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6825" w:lineRule="exact"/>
      </w:pPr>
    </w:p>
    <w:p>
      <w:pPr>
        <w:spacing w:line="16825" w:lineRule="exact"/>
        <w:sectPr>
          <w:headerReference r:id="rId5" w:type="default"/>
          <w:footerReference r:id="rId6" w:type="default"/>
          <w:pgSz w:w="11906" w:h="16839"/>
          <w:pgMar w:top="1" w:right="0" w:bottom="1" w:left="0" w:header="0" w:footer="0" w:gutter="0"/>
          <w:cols w:space="720" w:num="1"/>
        </w:sect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139" w:line="577" w:lineRule="exact"/>
        <w:ind w:left="3526"/>
        <w:rPr>
          <w:rFonts w:ascii="宋体" w:hAnsi="宋体" w:eastAsia="宋体" w:cs="宋体"/>
          <w:sz w:val="43"/>
          <w:szCs w:val="43"/>
        </w:rPr>
      </w:pPr>
      <w:r>
        <w:rPr>
          <w:rFonts w:ascii="宋体" w:hAnsi="宋体" w:eastAsia="宋体" w:cs="宋体"/>
          <w:b/>
          <w:bCs/>
          <w:spacing w:val="-2"/>
          <w:position w:val="2"/>
          <w:sz w:val="43"/>
          <w:szCs w:val="43"/>
        </w:rPr>
        <w:t>编者按</w:t>
      </w: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2"/>
        <w:spacing w:before="101" w:line="372" w:lineRule="auto"/>
        <w:ind w:left="6" w:firstLine="687"/>
      </w:pPr>
      <w:r>
        <w:rPr>
          <w:spacing w:val="7"/>
        </w:rPr>
        <w:t xml:space="preserve">大学质量文化是持续提高人才培养质量的内生动力。加  </w:t>
      </w:r>
      <w:r>
        <w:rPr>
          <w:spacing w:val="10"/>
        </w:rPr>
        <w:t xml:space="preserve">强大学质量文化建设，是高等教育高质量发展的必由之路。 </w:t>
      </w:r>
      <w:r>
        <w:rPr>
          <w:spacing w:val="7"/>
        </w:rPr>
        <w:t>“新时代高教</w:t>
      </w:r>
      <w:r>
        <w:rPr>
          <w:spacing w:val="-66"/>
        </w:rPr>
        <w:t xml:space="preserve"> </w:t>
      </w:r>
      <w:r>
        <w:rPr>
          <w:spacing w:val="7"/>
        </w:rPr>
        <w:t>40</w:t>
      </w:r>
      <w:r>
        <w:rPr>
          <w:spacing w:val="-56"/>
        </w:rPr>
        <w:t xml:space="preserve"> </w:t>
      </w:r>
      <w:r>
        <w:rPr>
          <w:spacing w:val="7"/>
        </w:rPr>
        <w:t>条</w:t>
      </w:r>
      <w:r>
        <w:rPr>
          <w:spacing w:val="-112"/>
        </w:rPr>
        <w:t xml:space="preserve"> </w:t>
      </w:r>
      <w:r>
        <w:rPr>
          <w:spacing w:val="7"/>
        </w:rPr>
        <w:t>”和新一轮本科教育教学审核评估方案，</w:t>
      </w:r>
      <w:r>
        <w:t xml:space="preserve"> </w:t>
      </w:r>
      <w:r>
        <w:rPr>
          <w:spacing w:val="8"/>
        </w:rPr>
        <w:t>不仅吹响了“加强大学质量文化建设</w:t>
      </w:r>
      <w:r>
        <w:rPr>
          <w:spacing w:val="-113"/>
        </w:rPr>
        <w:t xml:space="preserve"> </w:t>
      </w:r>
      <w:r>
        <w:rPr>
          <w:spacing w:val="8"/>
        </w:rPr>
        <w:t>”的进军号，而且将高</w:t>
      </w:r>
      <w:r>
        <w:t xml:space="preserve">  </w:t>
      </w:r>
      <w:r>
        <w:rPr>
          <w:spacing w:val="-3"/>
        </w:rPr>
        <w:t>校“</w:t>
      </w:r>
      <w:r>
        <w:rPr>
          <w:spacing w:val="-54"/>
        </w:rPr>
        <w:t xml:space="preserve"> </w:t>
      </w:r>
      <w:r>
        <w:rPr>
          <w:spacing w:val="-3"/>
        </w:rPr>
        <w:t>自觉、</w:t>
      </w:r>
      <w:r>
        <w:rPr>
          <w:spacing w:val="-67"/>
        </w:rPr>
        <w:t xml:space="preserve"> </w:t>
      </w:r>
      <w:r>
        <w:rPr>
          <w:spacing w:val="-3"/>
        </w:rPr>
        <w:t>自省、</w:t>
      </w:r>
      <w:r>
        <w:rPr>
          <w:spacing w:val="-66"/>
        </w:rPr>
        <w:t xml:space="preserve"> </w:t>
      </w:r>
      <w:r>
        <w:rPr>
          <w:spacing w:val="-3"/>
        </w:rPr>
        <w:t>自律、</w:t>
      </w:r>
      <w:r>
        <w:rPr>
          <w:spacing w:val="-67"/>
        </w:rPr>
        <w:t xml:space="preserve"> </w:t>
      </w:r>
      <w:r>
        <w:rPr>
          <w:spacing w:val="-3"/>
        </w:rPr>
        <w:t>自查、</w:t>
      </w:r>
      <w:r>
        <w:rPr>
          <w:spacing w:val="-66"/>
        </w:rPr>
        <w:t xml:space="preserve"> </w:t>
      </w:r>
      <w:r>
        <w:rPr>
          <w:spacing w:val="-3"/>
        </w:rPr>
        <w:t>自纠的质量文化建设情况</w:t>
      </w:r>
      <w:r>
        <w:rPr>
          <w:spacing w:val="-112"/>
        </w:rPr>
        <w:t xml:space="preserve"> </w:t>
      </w:r>
      <w:r>
        <w:rPr>
          <w:spacing w:val="-3"/>
        </w:rPr>
        <w:t>”</w:t>
      </w:r>
      <w:r>
        <w:t xml:space="preserve"> </w:t>
      </w:r>
      <w:r>
        <w:rPr>
          <w:spacing w:val="6"/>
        </w:rPr>
        <w:t>列为审核评估指标体系之中，意在“</w:t>
      </w:r>
      <w:r>
        <w:rPr>
          <w:spacing w:val="-101"/>
        </w:rPr>
        <w:t xml:space="preserve"> </w:t>
      </w:r>
      <w:r>
        <w:rPr>
          <w:spacing w:val="6"/>
        </w:rPr>
        <w:t>以评促建</w:t>
      </w:r>
      <w:r>
        <w:rPr>
          <w:spacing w:val="-110"/>
        </w:rPr>
        <w:t xml:space="preserve"> </w:t>
      </w:r>
      <w:r>
        <w:rPr>
          <w:spacing w:val="6"/>
        </w:rPr>
        <w:t>”</w:t>
      </w:r>
      <w:r>
        <w:rPr>
          <w:spacing w:val="5"/>
        </w:rPr>
        <w:t>，把大学质</w:t>
      </w:r>
    </w:p>
    <w:p>
      <w:pPr>
        <w:pStyle w:val="2"/>
        <w:spacing w:line="234" w:lineRule="auto"/>
        <w:ind w:left="25"/>
      </w:pPr>
      <w:r>
        <w:rPr>
          <w:spacing w:val="7"/>
        </w:rPr>
        <w:t>量文化建设落到实处。</w:t>
      </w:r>
    </w:p>
    <w:p>
      <w:pPr>
        <w:pStyle w:val="2"/>
        <w:spacing w:before="230" w:line="231" w:lineRule="auto"/>
        <w:ind w:left="679"/>
      </w:pPr>
      <w:r>
        <w:rPr>
          <w:spacing w:val="8"/>
        </w:rPr>
        <w:t>为使我校广大师生能够进一步正确理解和全面认识大</w:t>
      </w:r>
    </w:p>
    <w:p>
      <w:pPr>
        <w:pStyle w:val="2"/>
        <w:spacing w:before="232" w:line="372" w:lineRule="auto"/>
        <w:ind w:right="169"/>
      </w:pPr>
      <w:r>
        <w:rPr>
          <w:spacing w:val="6"/>
        </w:rPr>
        <w:t>学质量文化的内涵及特征，并积极探索“五自</w:t>
      </w:r>
      <w:r>
        <w:rPr>
          <w:spacing w:val="-99"/>
        </w:rPr>
        <w:t xml:space="preserve"> </w:t>
      </w:r>
      <w:r>
        <w:rPr>
          <w:spacing w:val="6"/>
        </w:rPr>
        <w:t>”大学质量文</w:t>
      </w:r>
      <w:r>
        <w:t xml:space="preserve"> </w:t>
      </w:r>
      <w:r>
        <w:rPr>
          <w:spacing w:val="7"/>
        </w:rPr>
        <w:t>化建设新路径，本期</w:t>
      </w:r>
      <w:r>
        <w:rPr>
          <w:rFonts w:hint="eastAsia"/>
          <w:spacing w:val="7"/>
          <w:lang w:val="en-US" w:eastAsia="zh-CN"/>
        </w:rPr>
        <w:t>质量</w:t>
      </w:r>
      <w:r>
        <w:rPr>
          <w:spacing w:val="7"/>
        </w:rPr>
        <w:t>简报我们精心挑选了</w:t>
      </w:r>
      <w:r>
        <w:rPr>
          <w:spacing w:val="-26"/>
        </w:rPr>
        <w:t xml:space="preserve"> </w:t>
      </w:r>
      <w:r>
        <w:rPr>
          <w:spacing w:val="7"/>
        </w:rPr>
        <w:t>13</w:t>
      </w:r>
      <w:r>
        <w:rPr>
          <w:spacing w:val="-65"/>
        </w:rPr>
        <w:t xml:space="preserve"> </w:t>
      </w:r>
      <w:r>
        <w:rPr>
          <w:spacing w:val="7"/>
        </w:rPr>
        <w:t>篇国内外</w:t>
      </w:r>
      <w:r>
        <w:t xml:space="preserve">  </w:t>
      </w:r>
      <w:r>
        <w:rPr>
          <w:spacing w:val="9"/>
        </w:rPr>
        <w:t>重要期刊发表的关于高校质量文化建设的论文，以期激发广</w:t>
      </w:r>
      <w:r>
        <w:rPr>
          <w:spacing w:val="1"/>
        </w:rPr>
        <w:t xml:space="preserve"> </w:t>
      </w:r>
      <w:r>
        <w:rPr>
          <w:spacing w:val="9"/>
        </w:rPr>
        <w:t>大师生深入探讨，塑形铸魂，发掘和凝炼具有</w:t>
      </w:r>
      <w:r>
        <w:rPr>
          <w:rFonts w:hint="eastAsia"/>
          <w:spacing w:val="9"/>
          <w:lang w:eastAsia="zh-CN"/>
        </w:rPr>
        <w:t>海南热带海洋学院</w:t>
      </w:r>
      <w:r>
        <w:rPr>
          <w:spacing w:val="9"/>
        </w:rPr>
        <w:t>特色的大学质量文化，让质量文化流淌于师生的血脉和心灵，外化于教育教学的每个环节，成为育人树才的不竭活力，助力</w:t>
      </w:r>
      <w:r>
        <w:rPr>
          <w:spacing w:val="8"/>
        </w:rPr>
        <w:t>我校教育教学高质量发展和应用型人才培养质量持续提升。</w:t>
      </w:r>
    </w:p>
    <w:p>
      <w:pPr>
        <w:spacing w:line="228" w:lineRule="auto"/>
        <w:sectPr>
          <w:pgSz w:w="11906" w:h="16839"/>
          <w:pgMar w:top="400" w:right="1632" w:bottom="400" w:left="1785" w:header="0" w:footer="0" w:gutter="0"/>
          <w:cols w:space="720" w:num="1"/>
        </w:sect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tabs>
          <w:tab w:val="left" w:pos="1218"/>
        </w:tabs>
        <w:spacing w:before="81" w:line="211" w:lineRule="auto"/>
        <w:ind w:left="1132"/>
        <w:rPr>
          <w:rFonts w:ascii="微软雅黑" w:hAnsi="微软雅黑" w:eastAsia="微软雅黑" w:cs="微软雅黑"/>
          <w:sz w:val="19"/>
          <w:szCs w:val="19"/>
        </w:rPr>
      </w:pPr>
      <w:r>
        <w:rPr>
          <w:rFonts w:ascii="微软雅黑" w:hAnsi="微软雅黑" w:eastAsia="微软雅黑" w:cs="微软雅黑"/>
          <w:sz w:val="19"/>
          <w:szCs w:val="19"/>
          <w:u w:val="single" w:color="231F20"/>
        </w:rPr>
        <w:tab/>
      </w:r>
      <w:r>
        <w:rPr>
          <w:rFonts w:ascii="微软雅黑" w:hAnsi="微软雅黑" w:eastAsia="微软雅黑" w:cs="微软雅黑"/>
          <w:spacing w:val="12"/>
          <w:sz w:val="19"/>
          <w:szCs w:val="19"/>
          <w:u w:val="single" w:color="231F20"/>
        </w:rPr>
        <w:t>教育学术月刊</w:t>
      </w:r>
      <w:r>
        <w:rPr>
          <w:rFonts w:ascii="微软雅黑" w:hAnsi="微软雅黑" w:eastAsia="微软雅黑" w:cs="微软雅黑"/>
          <w:spacing w:val="6"/>
          <w:sz w:val="19"/>
          <w:szCs w:val="19"/>
          <w:u w:val="single" w:color="231F20"/>
        </w:rPr>
        <w:t xml:space="preserve">     </w:t>
      </w:r>
      <w:r>
        <w:rPr>
          <w:rFonts w:ascii="宋体" w:hAnsi="宋体" w:eastAsia="宋体" w:cs="宋体"/>
          <w:spacing w:val="12"/>
          <w:sz w:val="19"/>
          <w:szCs w:val="19"/>
          <w:u w:val="single" w:color="231F20"/>
        </w:rPr>
        <w:t>2022</w:t>
      </w:r>
      <w:r>
        <w:rPr>
          <w:rFonts w:ascii="微软雅黑" w:hAnsi="微软雅黑" w:eastAsia="微软雅黑" w:cs="微软雅黑"/>
          <w:spacing w:val="12"/>
          <w:sz w:val="19"/>
          <w:szCs w:val="19"/>
          <w:u w:val="single" w:color="231F20"/>
        </w:rPr>
        <w:t>年第</w:t>
      </w:r>
      <w:r>
        <w:rPr>
          <w:rFonts w:ascii="宋体" w:hAnsi="宋体" w:eastAsia="宋体" w:cs="宋体"/>
          <w:spacing w:val="12"/>
          <w:sz w:val="19"/>
          <w:szCs w:val="19"/>
          <w:u w:val="single" w:color="231F20"/>
        </w:rPr>
        <w:t>11</w:t>
      </w:r>
      <w:r>
        <w:rPr>
          <w:rFonts w:ascii="微软雅黑" w:hAnsi="微软雅黑" w:eastAsia="微软雅黑" w:cs="微软雅黑"/>
          <w:spacing w:val="12"/>
          <w:sz w:val="19"/>
          <w:szCs w:val="19"/>
          <w:u w:val="single" w:color="231F20"/>
        </w:rPr>
        <w:t>期</w:t>
      </w:r>
      <w:r>
        <w:rPr>
          <w:rFonts w:ascii="微软雅黑" w:hAnsi="微软雅黑" w:eastAsia="微软雅黑" w:cs="微软雅黑"/>
          <w:sz w:val="19"/>
          <w:szCs w:val="19"/>
          <w:u w:val="single" w:color="231F20"/>
        </w:rPr>
        <w:t xml:space="preserve">  </w:t>
      </w:r>
    </w:p>
    <w:p>
      <w:pPr>
        <w:spacing w:before="42" w:line="189" w:lineRule="auto"/>
        <w:ind w:left="1526"/>
        <w:rPr>
          <w:rFonts w:ascii="宋体" w:hAnsi="宋体" w:eastAsia="宋体" w:cs="宋体"/>
          <w:sz w:val="12"/>
          <w:szCs w:val="12"/>
        </w:rPr>
      </w:pPr>
      <w:r>
        <w:rPr>
          <w:rFonts w:ascii="宋体" w:hAnsi="宋体" w:eastAsia="宋体" w:cs="宋体"/>
          <w:spacing w:val="9"/>
          <w:w w:val="126"/>
          <w:sz w:val="12"/>
          <w:szCs w:val="12"/>
        </w:rPr>
        <w:t>EDUCATION</w:t>
      </w:r>
      <w:r>
        <w:rPr>
          <w:rFonts w:ascii="宋体" w:hAnsi="宋体" w:eastAsia="宋体" w:cs="宋体"/>
          <w:spacing w:val="3"/>
          <w:sz w:val="12"/>
          <w:szCs w:val="12"/>
        </w:rPr>
        <w:t xml:space="preserve"> </w:t>
      </w:r>
      <w:r>
        <w:rPr>
          <w:rFonts w:ascii="宋体" w:hAnsi="宋体" w:eastAsia="宋体" w:cs="宋体"/>
          <w:spacing w:val="9"/>
          <w:w w:val="126"/>
          <w:sz w:val="12"/>
          <w:szCs w:val="12"/>
        </w:rPr>
        <w:t>RESEARCH</w:t>
      </w:r>
      <w:r>
        <w:rPr>
          <w:rFonts w:ascii="宋体" w:hAnsi="宋体" w:eastAsia="宋体" w:cs="宋体"/>
          <w:spacing w:val="1"/>
          <w:sz w:val="12"/>
          <w:szCs w:val="12"/>
        </w:rPr>
        <w:t xml:space="preserve"> </w:t>
      </w:r>
      <w:r>
        <w:rPr>
          <w:rFonts w:ascii="宋体" w:hAnsi="宋体" w:eastAsia="宋体" w:cs="宋体"/>
          <w:spacing w:val="9"/>
          <w:w w:val="126"/>
          <w:sz w:val="12"/>
          <w:szCs w:val="12"/>
        </w:rPr>
        <w:t>MONTHLY</w:t>
      </w:r>
    </w:p>
    <w:p>
      <w:pPr>
        <w:spacing w:line="324" w:lineRule="auto"/>
        <w:rPr>
          <w:rFonts w:ascii="Arial"/>
          <w:sz w:val="21"/>
        </w:rPr>
      </w:pPr>
    </w:p>
    <w:p>
      <w:pPr>
        <w:spacing w:before="51" w:line="190" w:lineRule="auto"/>
        <w:ind w:left="1124"/>
        <w:rPr>
          <w:rFonts w:ascii="Times New Roman" w:hAnsi="Times New Roman" w:eastAsia="Times New Roman" w:cs="Times New Roman"/>
          <w:sz w:val="18"/>
          <w:szCs w:val="18"/>
        </w:rPr>
      </w:pPr>
      <w:r>
        <w:rPr>
          <w:rFonts w:ascii="Times New Roman" w:hAnsi="Times New Roman" w:eastAsia="Times New Roman" w:cs="Times New Roman"/>
          <w:sz w:val="18"/>
          <w:szCs w:val="18"/>
        </w:rPr>
        <w:t>DOI:10.16477/j.cnki.issn1674-2311.2022.1</w:t>
      </w:r>
      <w:r>
        <w:rPr>
          <w:rFonts w:ascii="Times New Roman" w:hAnsi="Times New Roman" w:eastAsia="Times New Roman" w:cs="Times New Roman"/>
          <w:spacing w:val="-1"/>
          <w:sz w:val="18"/>
          <w:szCs w:val="18"/>
        </w:rPr>
        <w:t>1.006</w:t>
      </w:r>
    </w:p>
    <w:p>
      <w:pPr>
        <w:spacing w:line="265" w:lineRule="auto"/>
        <w:rPr>
          <w:rFonts w:ascii="Arial"/>
          <w:sz w:val="21"/>
        </w:rPr>
      </w:pPr>
    </w:p>
    <w:p>
      <w:pPr>
        <w:spacing w:line="266" w:lineRule="auto"/>
        <w:rPr>
          <w:rFonts w:ascii="Arial"/>
          <w:sz w:val="21"/>
        </w:rPr>
      </w:pPr>
    </w:p>
    <w:p>
      <w:pPr>
        <w:spacing w:before="153" w:line="620" w:lineRule="exact"/>
        <w:ind w:left="2230"/>
        <w:outlineLvl w:val="1"/>
        <w:rPr>
          <w:rFonts w:ascii="黑体" w:hAnsi="黑体" w:eastAsia="黑体" w:cs="黑体"/>
          <w:sz w:val="47"/>
          <w:szCs w:val="47"/>
        </w:rPr>
      </w:pPr>
      <w:r>
        <w:rPr>
          <w:rFonts w:ascii="黑体" w:hAnsi="黑体" w:eastAsia="黑体" w:cs="黑体"/>
          <w:color w:val="231F20"/>
          <w:spacing w:val="-8"/>
          <w:position w:val="2"/>
          <w:sz w:val="47"/>
          <w:szCs w:val="47"/>
        </w:rPr>
        <w:t>高等教育质量文化：独特性与解释力</w:t>
      </w:r>
    </w:p>
    <w:p>
      <w:pPr>
        <w:spacing w:line="270" w:lineRule="auto"/>
        <w:rPr>
          <w:rFonts w:ascii="Arial"/>
          <w:sz w:val="21"/>
        </w:rPr>
      </w:pPr>
    </w:p>
    <w:p>
      <w:pPr>
        <w:spacing w:line="271" w:lineRule="auto"/>
        <w:rPr>
          <w:rFonts w:ascii="Arial"/>
          <w:sz w:val="21"/>
        </w:rPr>
      </w:pPr>
    </w:p>
    <w:p>
      <w:pPr>
        <w:spacing w:before="78" w:line="315" w:lineRule="exact"/>
        <w:ind w:left="9763"/>
        <w:rPr>
          <w:rFonts w:ascii="黑体" w:hAnsi="黑体" w:eastAsia="黑体" w:cs="黑体"/>
          <w:sz w:val="24"/>
          <w:szCs w:val="24"/>
        </w:rPr>
      </w:pPr>
      <w:r>
        <w:rPr>
          <w:rFonts w:ascii="宋体" w:hAnsi="宋体" w:eastAsia="宋体" w:cs="宋体"/>
          <w:color w:val="231F20"/>
          <w:spacing w:val="-6"/>
          <w:position w:val="1"/>
          <w:sz w:val="24"/>
          <w:szCs w:val="24"/>
        </w:rPr>
        <w:t>■</w:t>
      </w:r>
      <w:r>
        <w:rPr>
          <w:rFonts w:ascii="黑体" w:hAnsi="黑体" w:eastAsia="黑体" w:cs="黑体"/>
          <w:color w:val="231F20"/>
          <w:spacing w:val="-6"/>
          <w:position w:val="1"/>
          <w:sz w:val="24"/>
          <w:szCs w:val="24"/>
        </w:rPr>
        <w:t>宋欣雄</w:t>
      </w:r>
    </w:p>
    <w:p>
      <w:pPr>
        <w:spacing w:line="272" w:lineRule="auto"/>
        <w:rPr>
          <w:rFonts w:ascii="Arial"/>
          <w:sz w:val="21"/>
        </w:rPr>
      </w:pPr>
    </w:p>
    <w:p>
      <w:pPr>
        <w:spacing w:before="1" w:line="42" w:lineRule="exact"/>
        <w:ind w:firstLine="1541"/>
      </w:pPr>
      <w:r>
        <w:pict>
          <v:group id="_x0000_s1026" o:spid="_x0000_s1026" o:spt="203" style="height:2.15pt;width:436.6pt;" coordsize="8732,43">
            <o:lock v:ext="edit"/>
            <v:shape id="_x0000_s1027" o:spid="_x0000_s1027" style="position:absolute;left:0;top:36;height:6;width:8732;" filled="f" stroked="t" coordsize="8732,6" path="m0,2l8731,2e">
              <v:fill on="f" focussize="0,0"/>
              <v:stroke weight="0.28pt" color="#231F20" miterlimit="4" joinstyle="miter"/>
              <v:imagedata o:title=""/>
              <o:lock v:ext="edit"/>
            </v:shape>
            <v:shape id="_x0000_s1028" o:spid="_x0000_s1028" style="position:absolute;left:0;top:0;height:20;width:8732;" filled="f" stroked="t" coordsize="8732,20" path="m0,9l8731,9e">
              <v:fill on="f" focussize="0,0"/>
              <v:stroke weight="0.99pt" color="#231F20" miterlimit="4" joinstyle="miter"/>
              <v:imagedata o:title=""/>
              <o:lock v:ext="edit"/>
            </v:shape>
            <w10:wrap type="none"/>
            <w10:anchorlock/>
          </v:group>
        </w:pict>
      </w:r>
    </w:p>
    <w:p>
      <w:pPr>
        <w:spacing w:before="136" w:line="270" w:lineRule="auto"/>
        <w:ind w:left="1540" w:right="417" w:firstLine="352"/>
        <w:rPr>
          <w:rFonts w:ascii="微软雅黑" w:hAnsi="微软雅黑" w:eastAsia="微软雅黑" w:cs="微软雅黑"/>
          <w:sz w:val="17"/>
          <w:szCs w:val="17"/>
        </w:rPr>
      </w:pPr>
      <w:r>
        <w:rPr>
          <w:rFonts w:ascii="黑体" w:hAnsi="黑体" w:eastAsia="黑体" w:cs="黑体"/>
          <w:color w:val="231F20"/>
          <w:spacing w:val="2"/>
          <w:sz w:val="17"/>
          <w:szCs w:val="17"/>
        </w:rPr>
        <w:t>摘</w:t>
      </w:r>
      <w:r>
        <w:rPr>
          <w:rFonts w:ascii="黑体" w:hAnsi="黑体" w:eastAsia="黑体" w:cs="黑体"/>
          <w:color w:val="231F20"/>
          <w:spacing w:val="93"/>
          <w:sz w:val="17"/>
          <w:szCs w:val="17"/>
        </w:rPr>
        <w:t xml:space="preserve"> </w:t>
      </w:r>
      <w:r>
        <w:rPr>
          <w:rFonts w:ascii="黑体" w:hAnsi="黑体" w:eastAsia="黑体" w:cs="黑体"/>
          <w:color w:val="231F20"/>
          <w:spacing w:val="2"/>
          <w:sz w:val="17"/>
          <w:szCs w:val="17"/>
        </w:rPr>
        <w:t>要：</w:t>
      </w:r>
      <w:r>
        <w:rPr>
          <w:rFonts w:ascii="微软雅黑" w:hAnsi="微软雅黑" w:eastAsia="微软雅黑" w:cs="微软雅黑"/>
          <w:color w:val="231F20"/>
          <w:spacing w:val="2"/>
          <w:sz w:val="17"/>
          <w:szCs w:val="17"/>
        </w:rPr>
        <w:t>工商业意义的质量标准不适合教育质量的转变性生成特征，它具有先天的局限性</w:t>
      </w:r>
      <w:r>
        <w:rPr>
          <w:rFonts w:ascii="微软雅黑" w:hAnsi="微软雅黑" w:eastAsia="微软雅黑" w:cs="微软雅黑"/>
          <w:color w:val="231F20"/>
          <w:spacing w:val="-27"/>
          <w:sz w:val="17"/>
          <w:szCs w:val="17"/>
        </w:rPr>
        <w:t xml:space="preserve"> </w:t>
      </w:r>
      <w:r>
        <w:rPr>
          <w:rFonts w:ascii="微软雅黑" w:hAnsi="微软雅黑" w:eastAsia="微软雅黑" w:cs="微软雅黑"/>
          <w:color w:val="231F20"/>
          <w:spacing w:val="2"/>
          <w:sz w:val="17"/>
          <w:szCs w:val="17"/>
        </w:rPr>
        <w:t>。认证、问责、审计、</w:t>
      </w:r>
      <w:r>
        <w:rPr>
          <w:rFonts w:ascii="微软雅黑" w:hAnsi="微软雅黑" w:eastAsia="微软雅黑" w:cs="微软雅黑"/>
          <w:color w:val="231F20"/>
          <w:sz w:val="17"/>
          <w:szCs w:val="17"/>
        </w:rPr>
        <w:t xml:space="preserve"> </w:t>
      </w:r>
      <w:r>
        <w:rPr>
          <w:rFonts w:ascii="微软雅黑" w:hAnsi="微软雅黑" w:eastAsia="微软雅黑" w:cs="微软雅黑"/>
          <w:color w:val="231F20"/>
          <w:spacing w:val="8"/>
          <w:sz w:val="17"/>
          <w:szCs w:val="17"/>
        </w:rPr>
        <w:t>评估等质量保证体系不能必然导致质量的改</w:t>
      </w:r>
      <w:r>
        <w:rPr>
          <w:rFonts w:ascii="微软雅黑" w:hAnsi="微软雅黑" w:eastAsia="微软雅黑" w:cs="微软雅黑"/>
          <w:color w:val="231F20"/>
          <w:spacing w:val="7"/>
          <w:sz w:val="17"/>
          <w:szCs w:val="17"/>
        </w:rPr>
        <w:t>进，因为它并非质量本身</w:t>
      </w:r>
      <w:r>
        <w:rPr>
          <w:rFonts w:ascii="微软雅黑" w:hAnsi="微软雅黑" w:eastAsia="微软雅黑" w:cs="微软雅黑"/>
          <w:color w:val="231F20"/>
          <w:spacing w:val="-27"/>
          <w:sz w:val="17"/>
          <w:szCs w:val="17"/>
        </w:rPr>
        <w:t xml:space="preserve"> </w:t>
      </w:r>
      <w:r>
        <w:rPr>
          <w:rFonts w:ascii="微软雅黑" w:hAnsi="微软雅黑" w:eastAsia="微软雅黑" w:cs="微软雅黑"/>
          <w:color w:val="231F20"/>
          <w:spacing w:val="7"/>
          <w:sz w:val="17"/>
          <w:szCs w:val="17"/>
        </w:rPr>
        <w:t xml:space="preserve">。欧洲大学协会从心理与结构两个维度把质  </w:t>
      </w:r>
      <w:r>
        <w:rPr>
          <w:rFonts w:ascii="微软雅黑" w:hAnsi="微软雅黑" w:eastAsia="微软雅黑" w:cs="微软雅黑"/>
          <w:color w:val="231F20"/>
          <w:spacing w:val="4"/>
          <w:sz w:val="17"/>
          <w:szCs w:val="17"/>
        </w:rPr>
        <w:t>量文化定义为永久地以提高质量为目的的组织文化，具有开创性价值</w:t>
      </w:r>
      <w:r>
        <w:rPr>
          <w:rFonts w:ascii="微软雅黑" w:hAnsi="微软雅黑" w:eastAsia="微软雅黑" w:cs="微软雅黑"/>
          <w:color w:val="231F20"/>
          <w:spacing w:val="-29"/>
          <w:sz w:val="17"/>
          <w:szCs w:val="17"/>
        </w:rPr>
        <w:t xml:space="preserve"> </w:t>
      </w:r>
      <w:r>
        <w:rPr>
          <w:rFonts w:ascii="微软雅黑" w:hAnsi="微软雅黑" w:eastAsia="微软雅黑" w:cs="微软雅黑"/>
          <w:color w:val="231F20"/>
          <w:spacing w:val="4"/>
          <w:sz w:val="17"/>
          <w:szCs w:val="17"/>
        </w:rPr>
        <w:t>。与工商业意义的质量观相比，高等教育质量  文化更着重于学生的转变而非控制、发展而非保证、变革而非顺从</w:t>
      </w:r>
      <w:r>
        <w:rPr>
          <w:rFonts w:ascii="微软雅黑" w:hAnsi="微软雅黑" w:eastAsia="微软雅黑" w:cs="微软雅黑"/>
          <w:color w:val="231F20"/>
          <w:spacing w:val="-29"/>
          <w:sz w:val="17"/>
          <w:szCs w:val="17"/>
        </w:rPr>
        <w:t xml:space="preserve"> </w:t>
      </w:r>
      <w:r>
        <w:rPr>
          <w:rFonts w:ascii="微软雅黑" w:hAnsi="微软雅黑" w:eastAsia="微软雅黑" w:cs="微软雅黑"/>
          <w:color w:val="231F20"/>
          <w:spacing w:val="4"/>
          <w:sz w:val="17"/>
          <w:szCs w:val="17"/>
        </w:rPr>
        <w:t>。高等教育质量文化是以信任与共同价值观为基  础的质量文化，是以学术共同体协调发展的质量文化，是以学生为中心的转化性学习</w:t>
      </w:r>
      <w:r>
        <w:rPr>
          <w:rFonts w:ascii="微软雅黑" w:hAnsi="微软雅黑" w:eastAsia="微软雅黑" w:cs="微软雅黑"/>
          <w:color w:val="231F20"/>
          <w:spacing w:val="3"/>
          <w:sz w:val="17"/>
          <w:szCs w:val="17"/>
        </w:rPr>
        <w:t>质量文化。</w:t>
      </w:r>
    </w:p>
    <w:p>
      <w:pPr>
        <w:spacing w:before="96" w:line="206" w:lineRule="auto"/>
        <w:ind w:left="1898"/>
        <w:rPr>
          <w:rFonts w:ascii="微软雅黑" w:hAnsi="微软雅黑" w:eastAsia="微软雅黑" w:cs="微软雅黑"/>
          <w:sz w:val="17"/>
          <w:szCs w:val="17"/>
        </w:rPr>
      </w:pPr>
      <w:r>
        <w:rPr>
          <w:rFonts w:ascii="黑体" w:hAnsi="黑体" w:eastAsia="黑体" w:cs="黑体"/>
          <w:color w:val="231F20"/>
          <w:spacing w:val="-5"/>
          <w:sz w:val="17"/>
          <w:szCs w:val="17"/>
        </w:rPr>
        <w:t>关键词：</w:t>
      </w:r>
      <w:r>
        <w:rPr>
          <w:rFonts w:ascii="微软雅黑" w:hAnsi="微软雅黑" w:eastAsia="微软雅黑" w:cs="微软雅黑"/>
          <w:color w:val="231F20"/>
          <w:spacing w:val="-5"/>
          <w:sz w:val="17"/>
          <w:szCs w:val="17"/>
        </w:rPr>
        <w:t xml:space="preserve">高等教育 </w:t>
      </w:r>
      <w:r>
        <w:rPr>
          <w:rFonts w:ascii="宋体" w:hAnsi="宋体" w:eastAsia="宋体" w:cs="宋体"/>
          <w:color w:val="231F20"/>
          <w:spacing w:val="-5"/>
          <w:sz w:val="17"/>
          <w:szCs w:val="17"/>
        </w:rPr>
        <w:t>;</w:t>
      </w:r>
      <w:r>
        <w:rPr>
          <w:rFonts w:ascii="微软雅黑" w:hAnsi="微软雅黑" w:eastAsia="微软雅黑" w:cs="微软雅黑"/>
          <w:color w:val="231F20"/>
          <w:spacing w:val="-5"/>
          <w:sz w:val="17"/>
          <w:szCs w:val="17"/>
        </w:rPr>
        <w:t xml:space="preserve">质量文化 </w:t>
      </w:r>
      <w:r>
        <w:rPr>
          <w:rFonts w:ascii="宋体" w:hAnsi="宋体" w:eastAsia="宋体" w:cs="宋体"/>
          <w:color w:val="231F20"/>
          <w:spacing w:val="-5"/>
          <w:sz w:val="17"/>
          <w:szCs w:val="17"/>
        </w:rPr>
        <w:t>;</w:t>
      </w:r>
      <w:r>
        <w:rPr>
          <w:rFonts w:ascii="微软雅黑" w:hAnsi="微软雅黑" w:eastAsia="微软雅黑" w:cs="微软雅黑"/>
          <w:color w:val="231F20"/>
          <w:spacing w:val="-5"/>
          <w:sz w:val="17"/>
          <w:szCs w:val="17"/>
        </w:rPr>
        <w:t>持续改进；独特性；解释力</w:t>
      </w:r>
    </w:p>
    <w:p>
      <w:pPr>
        <w:spacing w:before="90" w:line="207" w:lineRule="auto"/>
        <w:ind w:left="1908"/>
        <w:rPr>
          <w:rFonts w:ascii="宋体" w:hAnsi="宋体" w:eastAsia="宋体" w:cs="宋体"/>
          <w:sz w:val="17"/>
          <w:szCs w:val="17"/>
        </w:rPr>
      </w:pPr>
      <w:r>
        <w:rPr>
          <w:rFonts w:ascii="黑体" w:hAnsi="黑体" w:eastAsia="黑体" w:cs="黑体"/>
          <w:color w:val="231F20"/>
          <w:spacing w:val="7"/>
          <w:sz w:val="17"/>
          <w:szCs w:val="17"/>
        </w:rPr>
        <w:t>中图分类号：</w:t>
      </w:r>
      <w:r>
        <w:rPr>
          <w:rFonts w:ascii="宋体" w:hAnsi="宋体" w:eastAsia="宋体" w:cs="宋体"/>
          <w:color w:val="231F20"/>
          <w:spacing w:val="7"/>
          <w:sz w:val="17"/>
          <w:szCs w:val="17"/>
        </w:rPr>
        <w:t xml:space="preserve">G40-01      </w:t>
      </w:r>
      <w:r>
        <w:rPr>
          <w:rFonts w:ascii="黑体" w:hAnsi="黑体" w:eastAsia="黑体" w:cs="黑体"/>
          <w:color w:val="231F20"/>
          <w:spacing w:val="7"/>
          <w:sz w:val="17"/>
          <w:szCs w:val="17"/>
        </w:rPr>
        <w:t>文献标志码：</w:t>
      </w:r>
      <w:r>
        <w:rPr>
          <w:rFonts w:ascii="宋体" w:hAnsi="宋体" w:eastAsia="宋体" w:cs="宋体"/>
          <w:color w:val="231F20"/>
          <w:spacing w:val="7"/>
          <w:sz w:val="17"/>
          <w:szCs w:val="17"/>
        </w:rPr>
        <w:t xml:space="preserve">A       </w:t>
      </w:r>
      <w:r>
        <w:rPr>
          <w:rFonts w:ascii="黑体" w:hAnsi="黑体" w:eastAsia="黑体" w:cs="黑体"/>
          <w:color w:val="231F20"/>
          <w:spacing w:val="7"/>
          <w:sz w:val="17"/>
          <w:szCs w:val="17"/>
        </w:rPr>
        <w:t>文章编号：</w:t>
      </w:r>
      <w:r>
        <w:rPr>
          <w:rFonts w:ascii="宋体" w:hAnsi="宋体" w:eastAsia="宋体" w:cs="宋体"/>
          <w:color w:val="231F20"/>
          <w:spacing w:val="7"/>
          <w:sz w:val="17"/>
          <w:szCs w:val="17"/>
        </w:rPr>
        <w:t>1674-2311</w:t>
      </w:r>
      <w:r>
        <w:rPr>
          <w:rFonts w:ascii="微软雅黑" w:hAnsi="微软雅黑" w:eastAsia="微软雅黑" w:cs="微软雅黑"/>
          <w:color w:val="231F20"/>
          <w:spacing w:val="7"/>
          <w:sz w:val="17"/>
          <w:szCs w:val="17"/>
        </w:rPr>
        <w:t>（</w:t>
      </w:r>
      <w:r>
        <w:rPr>
          <w:rFonts w:ascii="宋体" w:hAnsi="宋体" w:eastAsia="宋体" w:cs="宋体"/>
          <w:color w:val="231F20"/>
          <w:spacing w:val="7"/>
          <w:sz w:val="17"/>
          <w:szCs w:val="17"/>
        </w:rPr>
        <w:t>2022</w:t>
      </w:r>
      <w:r>
        <w:rPr>
          <w:rFonts w:ascii="微软雅黑" w:hAnsi="微软雅黑" w:eastAsia="微软雅黑" w:cs="微软雅黑"/>
          <w:color w:val="231F20"/>
          <w:spacing w:val="7"/>
          <w:sz w:val="17"/>
          <w:szCs w:val="17"/>
        </w:rPr>
        <w:t>）</w:t>
      </w:r>
      <w:r>
        <w:rPr>
          <w:rFonts w:ascii="宋体" w:hAnsi="宋体" w:eastAsia="宋体" w:cs="宋体"/>
          <w:color w:val="231F20"/>
          <w:spacing w:val="7"/>
          <w:sz w:val="17"/>
          <w:szCs w:val="17"/>
        </w:rPr>
        <w:t>11-00</w:t>
      </w:r>
      <w:r>
        <w:rPr>
          <w:rFonts w:ascii="宋体" w:hAnsi="宋体" w:eastAsia="宋体" w:cs="宋体"/>
          <w:color w:val="231F20"/>
          <w:spacing w:val="6"/>
          <w:sz w:val="17"/>
          <w:szCs w:val="17"/>
        </w:rPr>
        <w:t>18-07</w:t>
      </w:r>
    </w:p>
    <w:p>
      <w:pPr>
        <w:spacing w:before="101" w:line="202" w:lineRule="auto"/>
        <w:ind w:left="1892"/>
        <w:rPr>
          <w:rFonts w:ascii="微软雅黑" w:hAnsi="微软雅黑" w:eastAsia="微软雅黑" w:cs="微软雅黑"/>
          <w:sz w:val="17"/>
          <w:szCs w:val="17"/>
        </w:rPr>
      </w:pPr>
      <w:r>
        <w:rPr>
          <w:rFonts w:ascii="黑体" w:hAnsi="黑体" w:eastAsia="黑体" w:cs="黑体"/>
          <w:color w:val="231F20"/>
          <w:spacing w:val="-1"/>
          <w:sz w:val="17"/>
          <w:szCs w:val="17"/>
        </w:rPr>
        <w:t>作者简介：</w:t>
      </w:r>
      <w:r>
        <w:rPr>
          <w:rFonts w:ascii="微软雅黑" w:hAnsi="微软雅黑" w:eastAsia="微软雅黑" w:cs="微软雅黑"/>
          <w:color w:val="231F20"/>
          <w:spacing w:val="-1"/>
          <w:sz w:val="17"/>
          <w:szCs w:val="17"/>
        </w:rPr>
        <w:t>宋欣雄，男，湖南师范大学教育科学学院博士生</w:t>
      </w:r>
      <w:r>
        <w:rPr>
          <w:rFonts w:ascii="微软雅黑" w:hAnsi="微软雅黑" w:eastAsia="微软雅黑" w:cs="微软雅黑"/>
          <w:color w:val="231F20"/>
          <w:spacing w:val="-2"/>
          <w:sz w:val="17"/>
          <w:szCs w:val="17"/>
        </w:rPr>
        <w:t xml:space="preserve">（湖南长沙  </w:t>
      </w:r>
      <w:r>
        <w:rPr>
          <w:rFonts w:ascii="宋体" w:hAnsi="宋体" w:eastAsia="宋体" w:cs="宋体"/>
          <w:color w:val="231F20"/>
          <w:spacing w:val="-2"/>
          <w:sz w:val="17"/>
          <w:szCs w:val="17"/>
        </w:rPr>
        <w:t>410081</w:t>
      </w:r>
      <w:r>
        <w:rPr>
          <w:rFonts w:ascii="微软雅黑" w:hAnsi="微软雅黑" w:eastAsia="微软雅黑" w:cs="微软雅黑"/>
          <w:color w:val="231F20"/>
          <w:spacing w:val="-2"/>
          <w:sz w:val="17"/>
          <w:szCs w:val="17"/>
        </w:rPr>
        <w:t>）。</w:t>
      </w:r>
    </w:p>
    <w:p>
      <w:pPr>
        <w:spacing w:before="74" w:line="48" w:lineRule="exact"/>
        <w:ind w:firstLine="1545"/>
      </w:pPr>
      <w:r>
        <w:pict>
          <v:group id="_x0000_s1029" o:spid="_x0000_s1029" o:spt="203" style="height:2.45pt;width:436.15pt;" coordsize="8722,49">
            <o:lock v:ext="edit"/>
            <v:shape id="_x0000_s1030" o:spid="_x0000_s1030" style="position:absolute;left:0;top:0;height:12;width:8722;" filled="f" stroked="t" coordsize="8722,12" path="m8722,8l0,2e">
              <v:fill on="f" focussize="0,0"/>
              <v:stroke weight="0.28pt" color="#231F20" miterlimit="4" joinstyle="miter"/>
              <v:imagedata o:title=""/>
              <o:lock v:ext="edit"/>
            </v:shape>
            <v:shape id="_x0000_s1031" o:spid="_x0000_s1031" style="position:absolute;left:0;top:22;height:25;width:8722;" filled="f" stroked="t" coordsize="8722,25" path="m8722,15l0,9e">
              <v:fill on="f" focussize="0,0"/>
              <v:stroke weight="0.99pt" color="#231F20" miterlimit="4" joinstyle="miter"/>
              <v:imagedata o:title=""/>
              <o:lock v:ext="edit"/>
            </v:shape>
            <w10:wrap type="none"/>
            <w10:anchorlock/>
          </v:group>
        </w:pict>
      </w:r>
    </w:p>
    <w:p>
      <w:pPr>
        <w:spacing w:before="46"/>
      </w:pPr>
    </w:p>
    <w:p>
      <w:pPr>
        <w:spacing w:before="45"/>
      </w:pPr>
    </w:p>
    <w:p>
      <w:pPr>
        <w:sectPr>
          <w:footerReference r:id="rId7" w:type="default"/>
          <w:pgSz w:w="12416" w:h="16612"/>
          <w:pgMar w:top="400" w:right="1238" w:bottom="547" w:left="407" w:header="0" w:footer="354" w:gutter="0"/>
          <w:cols w:equalWidth="0" w:num="1">
            <w:col w:w="10769"/>
          </w:cols>
        </w:sectPr>
      </w:pPr>
    </w:p>
    <w:p>
      <w:pPr>
        <w:spacing w:before="35" w:line="307" w:lineRule="auto"/>
        <w:ind w:left="1130" w:right="234" w:firstLine="420"/>
        <w:jc w:val="both"/>
        <w:rPr>
          <w:rFonts w:ascii="宋体" w:hAnsi="宋体" w:eastAsia="宋体" w:cs="宋体"/>
          <w:sz w:val="20"/>
          <w:szCs w:val="20"/>
        </w:rPr>
      </w:pPr>
      <w:r>
        <w:rPr>
          <w:rFonts w:ascii="宋体" w:hAnsi="宋体" w:eastAsia="宋体" w:cs="宋体"/>
          <w:color w:val="231F20"/>
          <w:spacing w:val="7"/>
          <w:sz w:val="20"/>
          <w:szCs w:val="20"/>
        </w:rPr>
        <w:t>现代意义的质量概念，是从工商业界隐喻过来</w:t>
      </w:r>
      <w:r>
        <w:rPr>
          <w:rFonts w:ascii="宋体" w:hAnsi="宋体" w:eastAsia="宋体" w:cs="宋体"/>
          <w:color w:val="231F20"/>
          <w:spacing w:val="9"/>
          <w:sz w:val="20"/>
          <w:szCs w:val="20"/>
        </w:rPr>
        <w:t xml:space="preserve"> </w:t>
      </w:r>
      <w:r>
        <w:rPr>
          <w:rFonts w:ascii="宋体" w:hAnsi="宋体" w:eastAsia="宋体" w:cs="宋体"/>
          <w:color w:val="231F20"/>
          <w:spacing w:val="7"/>
          <w:sz w:val="20"/>
          <w:szCs w:val="20"/>
        </w:rPr>
        <w:t>的。以技术、权力与意识形态为特征的质量标准都</w:t>
      </w:r>
      <w:r>
        <w:rPr>
          <w:rFonts w:ascii="宋体" w:hAnsi="宋体" w:eastAsia="宋体" w:cs="宋体"/>
          <w:color w:val="231F20"/>
          <w:spacing w:val="15"/>
          <w:sz w:val="20"/>
          <w:szCs w:val="20"/>
        </w:rPr>
        <w:t xml:space="preserve"> </w:t>
      </w:r>
      <w:r>
        <w:rPr>
          <w:rFonts w:ascii="宋体" w:hAnsi="宋体" w:eastAsia="宋体" w:cs="宋体"/>
          <w:color w:val="231F20"/>
          <w:spacing w:val="17"/>
          <w:sz w:val="20"/>
          <w:szCs w:val="20"/>
        </w:rPr>
        <w:t>无法充分诠释高等教育质量的独特性。近年来质</w:t>
      </w:r>
      <w:r>
        <w:rPr>
          <w:rFonts w:ascii="宋体" w:hAnsi="宋体" w:eastAsia="宋体" w:cs="宋体"/>
          <w:color w:val="231F20"/>
          <w:spacing w:val="12"/>
          <w:sz w:val="20"/>
          <w:szCs w:val="20"/>
        </w:rPr>
        <w:t xml:space="preserve"> </w:t>
      </w:r>
      <w:r>
        <w:rPr>
          <w:rFonts w:ascii="宋体" w:hAnsi="宋体" w:eastAsia="宋体" w:cs="宋体"/>
          <w:color w:val="231F20"/>
          <w:spacing w:val="17"/>
          <w:sz w:val="20"/>
          <w:szCs w:val="20"/>
        </w:rPr>
        <w:t>量文化的概念因其积极的意义在高等教育研究领</w:t>
      </w:r>
      <w:r>
        <w:rPr>
          <w:rFonts w:ascii="宋体" w:hAnsi="宋体" w:eastAsia="宋体" w:cs="宋体"/>
          <w:color w:val="231F20"/>
          <w:spacing w:val="12"/>
          <w:sz w:val="20"/>
          <w:szCs w:val="20"/>
        </w:rPr>
        <w:t xml:space="preserve"> </w:t>
      </w:r>
      <w:r>
        <w:rPr>
          <w:rFonts w:ascii="宋体" w:hAnsi="宋体" w:eastAsia="宋体" w:cs="宋体"/>
          <w:color w:val="231F20"/>
          <w:spacing w:val="17"/>
          <w:sz w:val="20"/>
          <w:szCs w:val="20"/>
        </w:rPr>
        <w:t>域逐渐兴起。话语的转换意味着对教育质量文化</w:t>
      </w:r>
      <w:r>
        <w:rPr>
          <w:rFonts w:ascii="宋体" w:hAnsi="宋体" w:eastAsia="宋体" w:cs="宋体"/>
          <w:color w:val="231F20"/>
          <w:spacing w:val="12"/>
          <w:sz w:val="20"/>
          <w:szCs w:val="20"/>
        </w:rPr>
        <w:t xml:space="preserve"> </w:t>
      </w:r>
      <w:r>
        <w:rPr>
          <w:rFonts w:ascii="宋体" w:hAnsi="宋体" w:eastAsia="宋体" w:cs="宋体"/>
          <w:color w:val="231F20"/>
          <w:spacing w:val="7"/>
          <w:sz w:val="20"/>
          <w:szCs w:val="20"/>
        </w:rPr>
        <w:t>理解的哲学视角的转移，因为语言作为任何变革过</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程中的一个关键问题，是与其契合的组织文化与特</w:t>
      </w:r>
      <w:r>
        <w:rPr>
          <w:rFonts w:ascii="宋体" w:hAnsi="宋体" w:eastAsia="宋体" w:cs="宋体"/>
          <w:color w:val="231F20"/>
          <w:spacing w:val="15"/>
          <w:sz w:val="20"/>
          <w:szCs w:val="20"/>
        </w:rPr>
        <w:t xml:space="preserve"> </w:t>
      </w:r>
      <w:r>
        <w:rPr>
          <w:rFonts w:ascii="宋体" w:hAnsi="宋体" w:eastAsia="宋体" w:cs="宋体"/>
          <w:color w:val="231F20"/>
          <w:spacing w:val="8"/>
          <w:sz w:val="20"/>
          <w:szCs w:val="20"/>
        </w:rPr>
        <w:t>征相一致的</w:t>
      </w:r>
      <w:r>
        <w:rPr>
          <w:rFonts w:ascii="宋体" w:hAnsi="宋体" w:eastAsia="宋体" w:cs="宋体"/>
          <w:color w:val="231F20"/>
          <w:spacing w:val="8"/>
          <w:position w:val="8"/>
          <w:sz w:val="10"/>
          <w:szCs w:val="10"/>
        </w:rPr>
        <w:t>[1]</w:t>
      </w:r>
      <w:r>
        <w:rPr>
          <w:rFonts w:ascii="宋体" w:hAnsi="宋体" w:eastAsia="宋体" w:cs="宋体"/>
          <w:color w:val="231F20"/>
          <w:spacing w:val="-21"/>
          <w:position w:val="8"/>
          <w:sz w:val="10"/>
          <w:szCs w:val="10"/>
        </w:rPr>
        <w:t xml:space="preserve"> </w:t>
      </w:r>
      <w:r>
        <w:rPr>
          <w:rFonts w:ascii="宋体" w:hAnsi="宋体" w:eastAsia="宋体" w:cs="宋体"/>
          <w:color w:val="231F20"/>
          <w:spacing w:val="8"/>
          <w:sz w:val="20"/>
          <w:szCs w:val="20"/>
        </w:rPr>
        <w:t>。杜威从欧洲哲学在教育问题的</w:t>
      </w:r>
      <w:r>
        <w:rPr>
          <w:rFonts w:ascii="宋体" w:hAnsi="宋体" w:eastAsia="宋体" w:cs="宋体"/>
          <w:color w:val="231F20"/>
          <w:spacing w:val="7"/>
          <w:sz w:val="20"/>
          <w:szCs w:val="20"/>
        </w:rPr>
        <w:t>直接</w:t>
      </w:r>
      <w:r>
        <w:rPr>
          <w:rFonts w:ascii="宋体" w:hAnsi="宋体" w:eastAsia="宋体" w:cs="宋体"/>
          <w:color w:val="231F20"/>
          <w:sz w:val="20"/>
          <w:szCs w:val="20"/>
        </w:rPr>
        <w:t xml:space="preserve"> </w:t>
      </w:r>
      <w:r>
        <w:rPr>
          <w:rFonts w:ascii="宋体" w:hAnsi="宋体" w:eastAsia="宋体" w:cs="宋体"/>
          <w:color w:val="231F20"/>
          <w:spacing w:val="7"/>
          <w:sz w:val="20"/>
          <w:szCs w:val="20"/>
        </w:rPr>
        <w:t>压力下起源的事实中得到启发，认为哲学思维的特</w:t>
      </w:r>
      <w:r>
        <w:rPr>
          <w:rFonts w:ascii="宋体" w:hAnsi="宋体" w:eastAsia="宋体" w:cs="宋体"/>
          <w:color w:val="231F20"/>
          <w:spacing w:val="15"/>
          <w:sz w:val="20"/>
          <w:szCs w:val="20"/>
        </w:rPr>
        <w:t xml:space="preserve"> </w:t>
      </w:r>
      <w:r>
        <w:rPr>
          <w:rFonts w:ascii="宋体" w:hAnsi="宋体" w:eastAsia="宋体" w:cs="宋体"/>
          <w:color w:val="231F20"/>
          <w:spacing w:val="17"/>
          <w:sz w:val="20"/>
          <w:szCs w:val="20"/>
        </w:rPr>
        <w:t>殊性存在于那种有组织的兴趣与制度上的要求的</w:t>
      </w:r>
      <w:r>
        <w:rPr>
          <w:rFonts w:ascii="宋体" w:hAnsi="宋体" w:eastAsia="宋体" w:cs="宋体"/>
          <w:color w:val="231F20"/>
          <w:spacing w:val="12"/>
          <w:sz w:val="20"/>
          <w:szCs w:val="20"/>
        </w:rPr>
        <w:t xml:space="preserve"> </w:t>
      </w:r>
      <w:r>
        <w:rPr>
          <w:rFonts w:ascii="宋体" w:hAnsi="宋体" w:eastAsia="宋体" w:cs="宋体"/>
          <w:color w:val="231F20"/>
          <w:spacing w:val="8"/>
          <w:sz w:val="20"/>
          <w:szCs w:val="20"/>
        </w:rPr>
        <w:t>冲突之中</w:t>
      </w:r>
      <w:r>
        <w:rPr>
          <w:rFonts w:ascii="宋体" w:hAnsi="宋体" w:eastAsia="宋体" w:cs="宋体"/>
          <w:color w:val="231F20"/>
          <w:spacing w:val="8"/>
          <w:position w:val="8"/>
          <w:sz w:val="10"/>
          <w:szCs w:val="10"/>
        </w:rPr>
        <w:t>[2]</w:t>
      </w:r>
      <w:r>
        <w:rPr>
          <w:rFonts w:ascii="宋体" w:hAnsi="宋体" w:eastAsia="宋体" w:cs="宋体"/>
          <w:color w:val="231F20"/>
          <w:spacing w:val="-21"/>
          <w:position w:val="8"/>
          <w:sz w:val="10"/>
          <w:szCs w:val="10"/>
        </w:rPr>
        <w:t xml:space="preserve"> </w:t>
      </w:r>
      <w:r>
        <w:rPr>
          <w:rFonts w:ascii="宋体" w:hAnsi="宋体" w:eastAsia="宋体" w:cs="宋体"/>
          <w:color w:val="231F20"/>
          <w:spacing w:val="8"/>
          <w:sz w:val="20"/>
          <w:szCs w:val="20"/>
        </w:rPr>
        <w:t>。因此有学者认为高等教育语境下</w:t>
      </w:r>
      <w:r>
        <w:rPr>
          <w:rFonts w:ascii="宋体" w:hAnsi="宋体" w:eastAsia="宋体" w:cs="宋体"/>
          <w:color w:val="231F20"/>
          <w:spacing w:val="7"/>
          <w:sz w:val="20"/>
          <w:szCs w:val="20"/>
        </w:rPr>
        <w:t>的质</w:t>
      </w:r>
      <w:r>
        <w:rPr>
          <w:rFonts w:ascii="宋体" w:hAnsi="宋体" w:eastAsia="宋体" w:cs="宋体"/>
          <w:color w:val="231F20"/>
          <w:sz w:val="20"/>
          <w:szCs w:val="20"/>
        </w:rPr>
        <w:t xml:space="preserve"> </w:t>
      </w:r>
      <w:r>
        <w:rPr>
          <w:rFonts w:ascii="宋体" w:hAnsi="宋体" w:eastAsia="宋体" w:cs="宋体"/>
          <w:color w:val="231F20"/>
          <w:spacing w:val="7"/>
          <w:sz w:val="20"/>
          <w:szCs w:val="20"/>
        </w:rPr>
        <w:t>量文化就是以信任为基础的、全社会范围内的、整</w:t>
      </w:r>
      <w:r>
        <w:rPr>
          <w:rFonts w:ascii="宋体" w:hAnsi="宋体" w:eastAsia="宋体" w:cs="宋体"/>
          <w:color w:val="231F20"/>
          <w:spacing w:val="15"/>
          <w:sz w:val="20"/>
          <w:szCs w:val="20"/>
        </w:rPr>
        <w:t xml:space="preserve"> </w:t>
      </w:r>
      <w:r>
        <w:rPr>
          <w:rFonts w:ascii="宋体" w:hAnsi="宋体" w:eastAsia="宋体" w:cs="宋体"/>
          <w:color w:val="231F20"/>
          <w:spacing w:val="8"/>
          <w:sz w:val="20"/>
          <w:szCs w:val="20"/>
        </w:rPr>
        <w:t>体的质量文化哲学</w:t>
      </w:r>
      <w:r>
        <w:rPr>
          <w:rFonts w:ascii="宋体" w:hAnsi="宋体" w:eastAsia="宋体" w:cs="宋体"/>
          <w:color w:val="231F20"/>
          <w:spacing w:val="8"/>
          <w:position w:val="8"/>
          <w:sz w:val="10"/>
          <w:szCs w:val="10"/>
        </w:rPr>
        <w:t>[3]</w:t>
      </w:r>
      <w:r>
        <w:rPr>
          <w:rFonts w:ascii="宋体" w:hAnsi="宋体" w:eastAsia="宋体" w:cs="宋体"/>
          <w:color w:val="231F20"/>
          <w:spacing w:val="-21"/>
          <w:position w:val="8"/>
          <w:sz w:val="10"/>
          <w:szCs w:val="10"/>
        </w:rPr>
        <w:t xml:space="preserve"> </w:t>
      </w:r>
      <w:r>
        <w:rPr>
          <w:rFonts w:ascii="宋体" w:hAnsi="宋体" w:eastAsia="宋体" w:cs="宋体"/>
          <w:color w:val="231F20"/>
          <w:spacing w:val="8"/>
          <w:sz w:val="20"/>
          <w:szCs w:val="20"/>
        </w:rPr>
        <w:t>。探索质量、文化与高等</w:t>
      </w:r>
      <w:r>
        <w:rPr>
          <w:rFonts w:ascii="宋体" w:hAnsi="宋体" w:eastAsia="宋体" w:cs="宋体"/>
          <w:color w:val="231F20"/>
          <w:spacing w:val="7"/>
          <w:sz w:val="20"/>
          <w:szCs w:val="20"/>
        </w:rPr>
        <w:t>教育</w:t>
      </w:r>
      <w:r>
        <w:rPr>
          <w:rFonts w:ascii="宋体" w:hAnsi="宋体" w:eastAsia="宋体" w:cs="宋体"/>
          <w:color w:val="231F20"/>
          <w:sz w:val="20"/>
          <w:szCs w:val="20"/>
        </w:rPr>
        <w:t xml:space="preserve"> </w:t>
      </w:r>
      <w:r>
        <w:rPr>
          <w:rFonts w:ascii="宋体" w:hAnsi="宋体" w:eastAsia="宋体" w:cs="宋体"/>
          <w:color w:val="231F20"/>
          <w:spacing w:val="7"/>
          <w:sz w:val="20"/>
          <w:szCs w:val="20"/>
        </w:rPr>
        <w:t>之间的关联，重塑高等教育质量话语与实践，需要</w:t>
      </w:r>
      <w:r>
        <w:rPr>
          <w:rFonts w:ascii="宋体" w:hAnsi="宋体" w:eastAsia="宋体" w:cs="宋体"/>
          <w:color w:val="231F20"/>
          <w:spacing w:val="15"/>
          <w:sz w:val="20"/>
          <w:szCs w:val="20"/>
        </w:rPr>
        <w:t xml:space="preserve"> </w:t>
      </w:r>
      <w:r>
        <w:rPr>
          <w:rFonts w:ascii="宋体" w:hAnsi="宋体" w:eastAsia="宋体" w:cs="宋体"/>
          <w:color w:val="231F20"/>
          <w:spacing w:val="8"/>
          <w:sz w:val="20"/>
          <w:szCs w:val="20"/>
        </w:rPr>
        <w:t>一种心智的品质与教育想象力。</w:t>
      </w:r>
    </w:p>
    <w:p>
      <w:pPr>
        <w:spacing w:line="362" w:lineRule="auto"/>
        <w:rPr>
          <w:rFonts w:ascii="Arial"/>
          <w:sz w:val="21"/>
        </w:rPr>
      </w:pPr>
    </w:p>
    <w:p>
      <w:pPr>
        <w:spacing w:before="65" w:line="270" w:lineRule="auto"/>
        <w:ind w:left="1132" w:right="234" w:firstLine="424"/>
        <w:rPr>
          <w:rFonts w:ascii="黑体" w:hAnsi="黑体" w:eastAsia="黑体" w:cs="黑体"/>
          <w:sz w:val="20"/>
          <w:szCs w:val="20"/>
        </w:rPr>
      </w:pPr>
      <w:r>
        <w:rPr>
          <w:rFonts w:ascii="黑体" w:hAnsi="黑体" w:eastAsia="黑体" w:cs="黑体"/>
          <w:color w:val="231F20"/>
          <w:spacing w:val="7"/>
          <w:sz w:val="20"/>
          <w:szCs w:val="20"/>
        </w:rPr>
        <w:t>一、工商业的质量保证体系不适合对高等教育</w:t>
      </w:r>
      <w:r>
        <w:rPr>
          <w:rFonts w:ascii="黑体" w:hAnsi="黑体" w:eastAsia="黑体" w:cs="黑体"/>
          <w:color w:val="231F20"/>
          <w:spacing w:val="2"/>
          <w:sz w:val="20"/>
          <w:szCs w:val="20"/>
        </w:rPr>
        <w:t xml:space="preserve"> </w:t>
      </w:r>
      <w:r>
        <w:rPr>
          <w:rFonts w:ascii="黑体" w:hAnsi="黑体" w:eastAsia="黑体" w:cs="黑体"/>
          <w:color w:val="231F20"/>
          <w:spacing w:val="8"/>
          <w:sz w:val="20"/>
          <w:szCs w:val="20"/>
        </w:rPr>
        <w:t>质量的解释</w:t>
      </w:r>
    </w:p>
    <w:p>
      <w:pPr>
        <w:spacing w:line="361" w:lineRule="auto"/>
        <w:rPr>
          <w:rFonts w:ascii="Arial"/>
          <w:sz w:val="21"/>
        </w:rPr>
      </w:pPr>
    </w:p>
    <w:p>
      <w:pPr>
        <w:spacing w:before="65" w:line="530" w:lineRule="exact"/>
        <w:ind w:left="1553"/>
        <w:rPr>
          <w:rFonts w:ascii="宋体" w:hAnsi="宋体" w:eastAsia="宋体" w:cs="宋体"/>
          <w:sz w:val="20"/>
          <w:szCs w:val="20"/>
        </w:rPr>
      </w:pPr>
      <w:r>
        <w:rPr>
          <w:rFonts w:ascii="宋体" w:hAnsi="宋体" w:eastAsia="宋体" w:cs="宋体"/>
          <w:color w:val="231F20"/>
          <w:spacing w:val="4"/>
          <w:position w:val="25"/>
          <w:sz w:val="20"/>
          <w:szCs w:val="20"/>
        </w:rPr>
        <w:t>大学不是风向标，不能什么流行就迎合什么</w:t>
      </w:r>
      <w:r>
        <w:rPr>
          <w:rFonts w:ascii="宋体" w:hAnsi="宋体" w:eastAsia="宋体" w:cs="宋体"/>
          <w:color w:val="231F20"/>
          <w:spacing w:val="4"/>
          <w:position w:val="33"/>
          <w:sz w:val="10"/>
          <w:szCs w:val="10"/>
        </w:rPr>
        <w:t>[4]</w:t>
      </w:r>
      <w:r>
        <w:rPr>
          <w:rFonts w:ascii="宋体" w:hAnsi="宋体" w:eastAsia="宋体" w:cs="宋体"/>
          <w:color w:val="231F20"/>
          <w:spacing w:val="4"/>
          <w:position w:val="25"/>
          <w:sz w:val="20"/>
          <w:szCs w:val="20"/>
        </w:rPr>
        <w:t>。</w:t>
      </w:r>
    </w:p>
    <w:p>
      <w:pPr>
        <w:spacing w:line="146" w:lineRule="exact"/>
        <w:ind w:left="1366"/>
        <w:rPr>
          <w:rFonts w:ascii="宋体" w:hAnsi="宋体" w:eastAsia="宋体" w:cs="宋体"/>
          <w:sz w:val="20"/>
          <w:szCs w:val="20"/>
        </w:rPr>
      </w:pPr>
      <w:r>
        <w:rPr>
          <w:rFonts w:ascii="宋体" w:hAnsi="宋体" w:eastAsia="宋体" w:cs="宋体"/>
          <w:color w:val="231F20"/>
          <w:spacing w:val="-4"/>
          <w:position w:val="-3"/>
          <w:sz w:val="20"/>
          <w:szCs w:val="20"/>
        </w:rPr>
        <w:t>18</w:t>
      </w:r>
    </w:p>
    <w:p>
      <w:pPr>
        <w:spacing w:line="14" w:lineRule="auto"/>
        <w:rPr>
          <w:rFonts w:ascii="Arial"/>
          <w:sz w:val="2"/>
        </w:rPr>
      </w:pPr>
      <w:r>
        <w:rPr>
          <w:rFonts w:ascii="Arial" w:hAnsi="Arial" w:eastAsia="Arial" w:cs="Arial"/>
          <w:sz w:val="2"/>
          <w:szCs w:val="2"/>
        </w:rPr>
        <w:br w:type="column"/>
      </w:r>
    </w:p>
    <w:p>
      <w:pPr>
        <w:spacing w:before="42" w:line="291" w:lineRule="auto"/>
        <w:ind w:left="97" w:right="65" w:firstLine="4"/>
        <w:jc w:val="both"/>
        <w:rPr>
          <w:rFonts w:ascii="宋体" w:hAnsi="宋体" w:eastAsia="宋体" w:cs="宋体"/>
          <w:sz w:val="20"/>
          <w:szCs w:val="20"/>
        </w:rPr>
      </w:pPr>
      <w:r>
        <w:rPr>
          <w:rFonts w:ascii="宋体" w:hAnsi="宋体" w:eastAsia="宋体" w:cs="宋体"/>
          <w:color w:val="231F20"/>
          <w:spacing w:val="7"/>
          <w:sz w:val="20"/>
          <w:szCs w:val="20"/>
        </w:rPr>
        <w:t>大学是思想库，但遗憾的是教育常常与经济亦步亦</w:t>
      </w:r>
      <w:r>
        <w:rPr>
          <w:rFonts w:ascii="宋体" w:hAnsi="宋体" w:eastAsia="宋体" w:cs="宋体"/>
          <w:color w:val="231F20"/>
          <w:spacing w:val="12"/>
          <w:sz w:val="20"/>
          <w:szCs w:val="20"/>
        </w:rPr>
        <w:t xml:space="preserve"> </w:t>
      </w:r>
      <w:r>
        <w:rPr>
          <w:rFonts w:ascii="宋体" w:hAnsi="宋体" w:eastAsia="宋体" w:cs="宋体"/>
          <w:color w:val="231F20"/>
          <w:spacing w:val="17"/>
          <w:sz w:val="20"/>
          <w:szCs w:val="20"/>
        </w:rPr>
        <w:t>趋。教育中的质量概念就是发端于工商业界。大</w:t>
      </w:r>
      <w:r>
        <w:rPr>
          <w:rFonts w:ascii="宋体" w:hAnsi="宋体" w:eastAsia="宋体" w:cs="宋体"/>
          <w:color w:val="231F20"/>
          <w:spacing w:val="13"/>
          <w:sz w:val="20"/>
          <w:szCs w:val="20"/>
        </w:rPr>
        <w:t xml:space="preserve"> </w:t>
      </w:r>
      <w:r>
        <w:rPr>
          <w:rFonts w:ascii="宋体" w:hAnsi="宋体" w:eastAsia="宋体" w:cs="宋体"/>
          <w:color w:val="231F20"/>
          <w:spacing w:val="7"/>
          <w:sz w:val="20"/>
          <w:szCs w:val="20"/>
        </w:rPr>
        <w:t>学与工商业特别是制造业在性质、存在的意义等方</w:t>
      </w:r>
      <w:r>
        <w:rPr>
          <w:rFonts w:ascii="宋体" w:hAnsi="宋体" w:eastAsia="宋体" w:cs="宋体"/>
          <w:color w:val="231F20"/>
          <w:spacing w:val="16"/>
          <w:sz w:val="20"/>
          <w:szCs w:val="20"/>
        </w:rPr>
        <w:t xml:space="preserve"> </w:t>
      </w:r>
      <w:r>
        <w:rPr>
          <w:rFonts w:ascii="宋体" w:hAnsi="宋体" w:eastAsia="宋体" w:cs="宋体"/>
          <w:color w:val="231F20"/>
          <w:spacing w:val="2"/>
          <w:sz w:val="20"/>
          <w:szCs w:val="20"/>
        </w:rPr>
        <w:t>面截然不同，理应有独特的质量话语。</w:t>
      </w:r>
    </w:p>
    <w:p>
      <w:pPr>
        <w:pStyle w:val="2"/>
        <w:spacing w:before="90" w:line="272" w:lineRule="auto"/>
        <w:ind w:left="92" w:right="65" w:firstLine="347"/>
        <w:rPr>
          <w:sz w:val="20"/>
          <w:szCs w:val="20"/>
        </w:rPr>
      </w:pPr>
      <w:r>
        <w:rPr>
          <w:color w:val="231F20"/>
          <w:spacing w:val="11"/>
          <w:sz w:val="20"/>
          <w:szCs w:val="20"/>
        </w:rPr>
        <w:t>（一）工商业意义的质量管理的主要特征及其</w:t>
      </w:r>
      <w:r>
        <w:rPr>
          <w:color w:val="231F20"/>
          <w:spacing w:val="7"/>
          <w:sz w:val="20"/>
          <w:szCs w:val="20"/>
        </w:rPr>
        <w:t xml:space="preserve"> </w:t>
      </w:r>
      <w:r>
        <w:rPr>
          <w:color w:val="231F20"/>
          <w:spacing w:val="9"/>
          <w:sz w:val="20"/>
          <w:szCs w:val="20"/>
        </w:rPr>
        <w:t>局限</w:t>
      </w:r>
    </w:p>
    <w:p>
      <w:pPr>
        <w:spacing w:before="89" w:line="305" w:lineRule="auto"/>
        <w:ind w:right="65" w:firstLine="521"/>
        <w:rPr>
          <w:rFonts w:ascii="宋体" w:hAnsi="宋体" w:eastAsia="宋体" w:cs="宋体"/>
          <w:sz w:val="20"/>
          <w:szCs w:val="20"/>
        </w:rPr>
      </w:pPr>
      <w:r>
        <w:rPr>
          <w:rFonts w:ascii="宋体" w:hAnsi="宋体" w:eastAsia="宋体" w:cs="宋体"/>
          <w:color w:val="231F20"/>
          <w:spacing w:val="6"/>
          <w:sz w:val="20"/>
          <w:szCs w:val="20"/>
        </w:rPr>
        <w:t>20世纪80年代开始，质量的概念主导了商业和</w:t>
      </w:r>
      <w:r>
        <w:rPr>
          <w:rFonts w:ascii="宋体" w:hAnsi="宋体" w:eastAsia="宋体" w:cs="宋体"/>
          <w:color w:val="231F20"/>
          <w:spacing w:val="14"/>
          <w:sz w:val="20"/>
          <w:szCs w:val="20"/>
        </w:rPr>
        <w:t xml:space="preserve"> </w:t>
      </w:r>
      <w:r>
        <w:rPr>
          <w:rFonts w:ascii="宋体" w:hAnsi="宋体" w:eastAsia="宋体" w:cs="宋体"/>
          <w:color w:val="231F20"/>
          <w:spacing w:val="12"/>
          <w:sz w:val="20"/>
          <w:szCs w:val="20"/>
        </w:rPr>
        <w:t>工业，并在私营公司中受到了相当大的关注。质量</w:t>
      </w:r>
      <w:r>
        <w:rPr>
          <w:rFonts w:ascii="宋体" w:hAnsi="宋体" w:eastAsia="宋体" w:cs="宋体"/>
          <w:color w:val="231F20"/>
          <w:spacing w:val="3"/>
          <w:sz w:val="20"/>
          <w:szCs w:val="20"/>
        </w:rPr>
        <w:t xml:space="preserve"> </w:t>
      </w:r>
      <w:r>
        <w:rPr>
          <w:rFonts w:ascii="宋体" w:hAnsi="宋体" w:eastAsia="宋体" w:cs="宋体"/>
          <w:color w:val="231F20"/>
          <w:spacing w:val="12"/>
          <w:sz w:val="20"/>
          <w:szCs w:val="20"/>
        </w:rPr>
        <w:t>被认为是可以提高组织绩效、利润与竞争力的一般</w:t>
      </w:r>
      <w:r>
        <w:rPr>
          <w:rFonts w:ascii="宋体" w:hAnsi="宋体" w:eastAsia="宋体" w:cs="宋体"/>
          <w:color w:val="231F20"/>
          <w:spacing w:val="3"/>
          <w:sz w:val="20"/>
          <w:szCs w:val="20"/>
        </w:rPr>
        <w:t xml:space="preserve"> “无形”因素。因而质量保证和质量管理程序成</w:t>
      </w:r>
      <w:r>
        <w:rPr>
          <w:rFonts w:ascii="宋体" w:hAnsi="宋体" w:eastAsia="宋体" w:cs="宋体"/>
          <w:color w:val="231F20"/>
          <w:spacing w:val="2"/>
          <w:sz w:val="20"/>
          <w:szCs w:val="20"/>
        </w:rPr>
        <w:t>为许</w:t>
      </w:r>
      <w:r>
        <w:rPr>
          <w:rFonts w:ascii="宋体" w:hAnsi="宋体" w:eastAsia="宋体" w:cs="宋体"/>
          <w:color w:val="231F20"/>
          <w:sz w:val="20"/>
          <w:szCs w:val="20"/>
        </w:rPr>
        <w:t xml:space="preserve"> </w:t>
      </w:r>
      <w:r>
        <w:rPr>
          <w:rFonts w:ascii="宋体" w:hAnsi="宋体" w:eastAsia="宋体" w:cs="宋体"/>
          <w:color w:val="231F20"/>
          <w:spacing w:val="12"/>
          <w:sz w:val="20"/>
          <w:szCs w:val="20"/>
        </w:rPr>
        <w:t>多组织管理战略的核心问题。工商业意义的质量概</w:t>
      </w:r>
      <w:r>
        <w:rPr>
          <w:rFonts w:ascii="宋体" w:hAnsi="宋体" w:eastAsia="宋体" w:cs="宋体"/>
          <w:color w:val="231F20"/>
          <w:spacing w:val="3"/>
          <w:sz w:val="20"/>
          <w:szCs w:val="20"/>
        </w:rPr>
        <w:t xml:space="preserve"> 念有如下几种：首先，符合规格，意即产品或服</w:t>
      </w:r>
      <w:r>
        <w:rPr>
          <w:rFonts w:ascii="宋体" w:hAnsi="宋体" w:eastAsia="宋体" w:cs="宋体"/>
          <w:color w:val="231F20"/>
          <w:spacing w:val="2"/>
          <w:sz w:val="20"/>
          <w:szCs w:val="20"/>
        </w:rPr>
        <w:t>务满</w:t>
      </w:r>
      <w:r>
        <w:rPr>
          <w:rFonts w:ascii="宋体" w:hAnsi="宋体" w:eastAsia="宋体" w:cs="宋体"/>
          <w:color w:val="231F20"/>
          <w:sz w:val="20"/>
          <w:szCs w:val="20"/>
        </w:rPr>
        <w:t xml:space="preserve"> </w:t>
      </w:r>
      <w:r>
        <w:rPr>
          <w:rFonts w:ascii="宋体" w:hAnsi="宋体" w:eastAsia="宋体" w:cs="宋体"/>
          <w:color w:val="231F20"/>
          <w:spacing w:val="3"/>
          <w:sz w:val="20"/>
          <w:szCs w:val="20"/>
        </w:rPr>
        <w:t>足所涉及的规则；其次是适合使用，就是说产品</w:t>
      </w:r>
      <w:r>
        <w:rPr>
          <w:rFonts w:ascii="宋体" w:hAnsi="宋体" w:eastAsia="宋体" w:cs="宋体"/>
          <w:color w:val="231F20"/>
          <w:spacing w:val="2"/>
          <w:sz w:val="20"/>
          <w:szCs w:val="20"/>
        </w:rPr>
        <w:t>或服</w:t>
      </w:r>
      <w:r>
        <w:rPr>
          <w:rFonts w:ascii="宋体" w:hAnsi="宋体" w:eastAsia="宋体" w:cs="宋体"/>
          <w:color w:val="231F20"/>
          <w:sz w:val="20"/>
          <w:szCs w:val="20"/>
        </w:rPr>
        <w:t xml:space="preserve"> </w:t>
      </w:r>
      <w:r>
        <w:rPr>
          <w:rFonts w:ascii="宋体" w:hAnsi="宋体" w:eastAsia="宋体" w:cs="宋体"/>
          <w:color w:val="231F20"/>
          <w:spacing w:val="12"/>
          <w:sz w:val="20"/>
          <w:szCs w:val="20"/>
        </w:rPr>
        <w:t>务能满足顾客或客户的期望；再次是项目或机构达</w:t>
      </w:r>
      <w:r>
        <w:rPr>
          <w:rFonts w:ascii="宋体" w:hAnsi="宋体" w:eastAsia="宋体" w:cs="宋体"/>
          <w:color w:val="231F20"/>
          <w:spacing w:val="3"/>
          <w:sz w:val="20"/>
          <w:szCs w:val="20"/>
        </w:rPr>
        <w:t xml:space="preserve"> 成了它的使命或目标；最后，质量还涉及可靠性</w:t>
      </w:r>
      <w:r>
        <w:rPr>
          <w:rFonts w:ascii="宋体" w:hAnsi="宋体" w:eastAsia="宋体" w:cs="宋体"/>
          <w:color w:val="231F20"/>
          <w:spacing w:val="2"/>
          <w:sz w:val="20"/>
          <w:szCs w:val="20"/>
        </w:rPr>
        <w:t>、持</w:t>
      </w:r>
      <w:r>
        <w:rPr>
          <w:rFonts w:ascii="宋体" w:hAnsi="宋体" w:eastAsia="宋体" w:cs="宋体"/>
          <w:color w:val="231F20"/>
          <w:sz w:val="20"/>
          <w:szCs w:val="20"/>
        </w:rPr>
        <w:t xml:space="preserve"> </w:t>
      </w:r>
      <w:r>
        <w:rPr>
          <w:rFonts w:ascii="宋体" w:hAnsi="宋体" w:eastAsia="宋体" w:cs="宋体"/>
          <w:color w:val="231F20"/>
          <w:spacing w:val="12"/>
          <w:sz w:val="20"/>
          <w:szCs w:val="20"/>
        </w:rPr>
        <w:t>久性以及美学要素等。质量运动的核心思想之一就</w:t>
      </w:r>
      <w:r>
        <w:rPr>
          <w:rFonts w:ascii="宋体" w:hAnsi="宋体" w:eastAsia="宋体" w:cs="宋体"/>
          <w:color w:val="231F20"/>
          <w:spacing w:val="3"/>
          <w:sz w:val="20"/>
          <w:szCs w:val="20"/>
        </w:rPr>
        <w:t xml:space="preserve"> </w:t>
      </w:r>
      <w:r>
        <w:rPr>
          <w:rFonts w:ascii="宋体" w:hAnsi="宋体" w:eastAsia="宋体" w:cs="宋体"/>
          <w:color w:val="231F20"/>
          <w:spacing w:val="12"/>
          <w:sz w:val="20"/>
          <w:szCs w:val="20"/>
        </w:rPr>
        <w:t>是持续改进。因此这也成为一个质量标准：一个能</w:t>
      </w:r>
      <w:r>
        <w:rPr>
          <w:rFonts w:ascii="宋体" w:hAnsi="宋体" w:eastAsia="宋体" w:cs="宋体"/>
          <w:color w:val="231F20"/>
          <w:spacing w:val="3"/>
          <w:sz w:val="20"/>
          <w:szCs w:val="20"/>
        </w:rPr>
        <w:t xml:space="preserve"> </w:t>
      </w:r>
      <w:r>
        <w:rPr>
          <w:rFonts w:ascii="宋体" w:hAnsi="宋体" w:eastAsia="宋体" w:cs="宋体"/>
          <w:color w:val="231F20"/>
          <w:spacing w:val="9"/>
          <w:sz w:val="20"/>
          <w:szCs w:val="20"/>
        </w:rPr>
        <w:t>创造持续改进风气的组织就是有质量的</w:t>
      </w:r>
      <w:r>
        <w:rPr>
          <w:rFonts w:ascii="宋体" w:hAnsi="宋体" w:eastAsia="宋体" w:cs="宋体"/>
          <w:color w:val="231F20"/>
          <w:spacing w:val="9"/>
          <w:position w:val="8"/>
          <w:sz w:val="10"/>
          <w:szCs w:val="10"/>
        </w:rPr>
        <w:t>[5]</w:t>
      </w:r>
      <w:r>
        <w:rPr>
          <w:rFonts w:ascii="宋体" w:hAnsi="宋体" w:eastAsia="宋体" w:cs="宋体"/>
          <w:color w:val="231F20"/>
          <w:spacing w:val="9"/>
          <w:sz w:val="20"/>
          <w:szCs w:val="20"/>
        </w:rPr>
        <w:t>。</w:t>
      </w:r>
    </w:p>
    <w:p>
      <w:pPr>
        <w:spacing w:before="91" w:line="270" w:lineRule="auto"/>
        <w:ind w:left="102" w:firstLine="415"/>
        <w:rPr>
          <w:rFonts w:ascii="宋体" w:hAnsi="宋体" w:eastAsia="宋体" w:cs="宋体"/>
          <w:sz w:val="20"/>
          <w:szCs w:val="20"/>
        </w:rPr>
      </w:pPr>
      <w:r>
        <w:rPr>
          <w:rFonts w:ascii="宋体" w:hAnsi="宋体" w:eastAsia="宋体" w:cs="宋体"/>
          <w:color w:val="231F20"/>
          <w:spacing w:val="18"/>
          <w:sz w:val="20"/>
          <w:szCs w:val="20"/>
        </w:rPr>
        <w:t>在此过程中产生的无数的质量保证概念与工</w:t>
      </w:r>
      <w:r>
        <w:rPr>
          <w:rFonts w:ascii="宋体" w:hAnsi="宋体" w:eastAsia="宋体" w:cs="宋体"/>
          <w:color w:val="231F20"/>
          <w:spacing w:val="6"/>
          <w:sz w:val="20"/>
          <w:szCs w:val="20"/>
        </w:rPr>
        <w:t xml:space="preserve"> </w:t>
      </w:r>
      <w:r>
        <w:rPr>
          <w:rFonts w:ascii="宋体" w:hAnsi="宋体" w:eastAsia="宋体" w:cs="宋体"/>
          <w:color w:val="231F20"/>
          <w:spacing w:val="1"/>
          <w:sz w:val="20"/>
          <w:szCs w:val="20"/>
        </w:rPr>
        <w:t>具，如全面质量管理等，着重持续改善和系统分析，</w:t>
      </w:r>
    </w:p>
    <w:p>
      <w:pPr>
        <w:spacing w:line="270" w:lineRule="auto"/>
        <w:rPr>
          <w:rFonts w:ascii="宋体" w:hAnsi="宋体" w:eastAsia="宋体" w:cs="宋体"/>
          <w:sz w:val="20"/>
          <w:szCs w:val="20"/>
        </w:rPr>
        <w:sectPr>
          <w:type w:val="continuous"/>
          <w:pgSz w:w="12416" w:h="16612"/>
          <w:pgMar w:top="400" w:right="1238" w:bottom="547" w:left="407" w:header="0" w:footer="354" w:gutter="0"/>
          <w:cols w:equalWidth="0" w:num="2">
            <w:col w:w="5936" w:space="100"/>
            <w:col w:w="4734"/>
          </w:cols>
        </w:sectPr>
      </w:pPr>
    </w:p>
    <w:p>
      <w:pPr>
        <w:spacing w:line="120" w:lineRule="exact"/>
      </w:pPr>
    </w:p>
    <w:p>
      <w:pPr>
        <w:spacing w:line="120" w:lineRule="exact"/>
        <w:sectPr>
          <w:headerReference r:id="rId8" w:type="default"/>
          <w:footerReference r:id="rId9" w:type="default"/>
          <w:pgSz w:w="12416" w:h="16612"/>
          <w:pgMar w:top="1480" w:right="1457" w:bottom="547" w:left="407" w:header="1150" w:footer="354" w:gutter="0"/>
          <w:cols w:equalWidth="0" w:num="1">
            <w:col w:w="10551"/>
          </w:cols>
        </w:sectPr>
      </w:pPr>
    </w:p>
    <w:p>
      <w:pPr>
        <w:spacing w:before="43" w:line="295" w:lineRule="auto"/>
        <w:ind w:left="904" w:right="330"/>
        <w:jc w:val="both"/>
        <w:rPr>
          <w:rFonts w:ascii="宋体" w:hAnsi="宋体" w:eastAsia="宋体" w:cs="宋体"/>
          <w:sz w:val="20"/>
          <w:szCs w:val="20"/>
        </w:rPr>
      </w:pPr>
      <w:r>
        <w:rPr>
          <w:rFonts w:ascii="宋体" w:hAnsi="宋体" w:eastAsia="宋体" w:cs="宋体"/>
          <w:color w:val="231F20"/>
          <w:spacing w:val="7"/>
          <w:sz w:val="20"/>
          <w:szCs w:val="20"/>
        </w:rPr>
        <w:t>宣称是关注全过程、全部因素、全员参与的综合质</w:t>
      </w:r>
      <w:r>
        <w:rPr>
          <w:rFonts w:ascii="宋体" w:hAnsi="宋体" w:eastAsia="宋体" w:cs="宋体"/>
          <w:color w:val="231F20"/>
          <w:spacing w:val="13"/>
          <w:sz w:val="20"/>
          <w:szCs w:val="20"/>
        </w:rPr>
        <w:t xml:space="preserve"> </w:t>
      </w:r>
      <w:r>
        <w:rPr>
          <w:rFonts w:ascii="宋体" w:hAnsi="宋体" w:eastAsia="宋体" w:cs="宋体"/>
          <w:color w:val="231F20"/>
          <w:spacing w:val="7"/>
          <w:sz w:val="20"/>
          <w:szCs w:val="20"/>
        </w:rPr>
        <w:t>量管理，但有研究表明它在应用于高等教育领域时</w:t>
      </w:r>
      <w:r>
        <w:rPr>
          <w:rFonts w:ascii="宋体" w:hAnsi="宋体" w:eastAsia="宋体" w:cs="宋体"/>
          <w:color w:val="231F20"/>
          <w:spacing w:val="14"/>
          <w:sz w:val="20"/>
          <w:szCs w:val="20"/>
        </w:rPr>
        <w:t xml:space="preserve"> </w:t>
      </w:r>
      <w:r>
        <w:rPr>
          <w:rFonts w:ascii="宋体" w:hAnsi="宋体" w:eastAsia="宋体" w:cs="宋体"/>
          <w:color w:val="231F20"/>
          <w:spacing w:val="8"/>
          <w:sz w:val="20"/>
          <w:szCs w:val="20"/>
        </w:rPr>
        <w:t>却遭遇滑铁卢</w:t>
      </w:r>
      <w:r>
        <w:rPr>
          <w:rFonts w:ascii="宋体" w:hAnsi="宋体" w:eastAsia="宋体" w:cs="宋体"/>
          <w:color w:val="231F20"/>
          <w:spacing w:val="8"/>
          <w:position w:val="8"/>
          <w:sz w:val="10"/>
          <w:szCs w:val="10"/>
        </w:rPr>
        <w:t>[6]</w:t>
      </w:r>
      <w:r>
        <w:rPr>
          <w:rFonts w:ascii="宋体" w:hAnsi="宋体" w:eastAsia="宋体" w:cs="宋体"/>
          <w:color w:val="231F20"/>
          <w:spacing w:val="-21"/>
          <w:position w:val="8"/>
          <w:sz w:val="10"/>
          <w:szCs w:val="10"/>
        </w:rPr>
        <w:t xml:space="preserve"> </w:t>
      </w:r>
      <w:r>
        <w:rPr>
          <w:rFonts w:ascii="宋体" w:hAnsi="宋体" w:eastAsia="宋体" w:cs="宋体"/>
          <w:color w:val="231F20"/>
          <w:spacing w:val="8"/>
          <w:sz w:val="20"/>
          <w:szCs w:val="20"/>
        </w:rPr>
        <w:t>。静态的评价方式以及测量</w:t>
      </w:r>
      <w:r>
        <w:rPr>
          <w:rFonts w:ascii="宋体" w:hAnsi="宋体" w:eastAsia="宋体" w:cs="宋体"/>
          <w:color w:val="231F20"/>
          <w:spacing w:val="7"/>
          <w:sz w:val="20"/>
          <w:szCs w:val="20"/>
        </w:rPr>
        <w:t>的标准</w:t>
      </w:r>
      <w:r>
        <w:rPr>
          <w:rFonts w:ascii="宋体" w:hAnsi="宋体" w:eastAsia="宋体" w:cs="宋体"/>
          <w:color w:val="231F20"/>
          <w:sz w:val="20"/>
          <w:szCs w:val="20"/>
        </w:rPr>
        <w:t xml:space="preserve"> </w:t>
      </w:r>
      <w:r>
        <w:rPr>
          <w:rFonts w:ascii="宋体" w:hAnsi="宋体" w:eastAsia="宋体" w:cs="宋体"/>
          <w:color w:val="231F20"/>
          <w:spacing w:val="7"/>
          <w:sz w:val="20"/>
          <w:szCs w:val="20"/>
        </w:rPr>
        <w:t>化定义，对课程内容与教育过程的阐释力不足的原</w:t>
      </w:r>
      <w:r>
        <w:rPr>
          <w:rFonts w:ascii="宋体" w:hAnsi="宋体" w:eastAsia="宋体" w:cs="宋体"/>
          <w:color w:val="231F20"/>
          <w:spacing w:val="14"/>
          <w:sz w:val="20"/>
          <w:szCs w:val="20"/>
        </w:rPr>
        <w:t xml:space="preserve"> </w:t>
      </w:r>
      <w:r>
        <w:rPr>
          <w:rFonts w:ascii="宋体" w:hAnsi="宋体" w:eastAsia="宋体" w:cs="宋体"/>
          <w:color w:val="231F20"/>
          <w:spacing w:val="3"/>
          <w:sz w:val="20"/>
          <w:szCs w:val="20"/>
        </w:rPr>
        <w:t>因在于心智状态，精神上的标准很难量化。</w:t>
      </w:r>
    </w:p>
    <w:p>
      <w:pPr>
        <w:spacing w:before="87" w:line="302" w:lineRule="auto"/>
        <w:ind w:left="903" w:right="330" w:firstLine="424"/>
        <w:rPr>
          <w:rFonts w:ascii="宋体" w:hAnsi="宋体" w:eastAsia="宋体" w:cs="宋体"/>
          <w:sz w:val="20"/>
          <w:szCs w:val="20"/>
        </w:rPr>
      </w:pPr>
      <w:r>
        <w:rPr>
          <w:rFonts w:ascii="宋体" w:hAnsi="宋体" w:eastAsia="宋体" w:cs="宋体"/>
          <w:color w:val="231F20"/>
          <w:spacing w:val="18"/>
          <w:sz w:val="20"/>
          <w:szCs w:val="20"/>
        </w:rPr>
        <w:t>绩效的概念也被挪用到高等教育领域。大多</w:t>
      </w:r>
      <w:r>
        <w:rPr>
          <w:rFonts w:ascii="宋体" w:hAnsi="宋体" w:eastAsia="宋体" w:cs="宋体"/>
          <w:color w:val="231F20"/>
          <w:spacing w:val="3"/>
          <w:sz w:val="20"/>
          <w:szCs w:val="20"/>
        </w:rPr>
        <w:t xml:space="preserve"> </w:t>
      </w:r>
      <w:r>
        <w:rPr>
          <w:rFonts w:ascii="宋体" w:hAnsi="宋体" w:eastAsia="宋体" w:cs="宋体"/>
          <w:color w:val="231F20"/>
          <w:spacing w:val="7"/>
          <w:sz w:val="20"/>
          <w:szCs w:val="20"/>
        </w:rPr>
        <w:t>数教育评价关注点在效率、成本效益或某种形式的</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质量代表，如满意度等。绩效指标的主要优势在于</w:t>
      </w:r>
      <w:r>
        <w:rPr>
          <w:rFonts w:ascii="宋体" w:hAnsi="宋体" w:eastAsia="宋体" w:cs="宋体"/>
          <w:color w:val="231F20"/>
          <w:spacing w:val="15"/>
          <w:sz w:val="20"/>
          <w:szCs w:val="20"/>
        </w:rPr>
        <w:t xml:space="preserve"> </w:t>
      </w:r>
      <w:r>
        <w:rPr>
          <w:rFonts w:ascii="宋体" w:hAnsi="宋体" w:eastAsia="宋体" w:cs="宋体"/>
          <w:color w:val="231F20"/>
          <w:spacing w:val="-2"/>
          <w:sz w:val="20"/>
          <w:szCs w:val="20"/>
        </w:rPr>
        <w:t>它的可比性，但由此引发的“排行榜”迷思，实乃质</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量改进的幻觉，徒增大学生及社会的过度焦虑。因</w:t>
      </w:r>
      <w:r>
        <w:rPr>
          <w:rFonts w:ascii="宋体" w:hAnsi="宋体" w:eastAsia="宋体" w:cs="宋体"/>
          <w:color w:val="231F20"/>
          <w:spacing w:val="15"/>
          <w:sz w:val="20"/>
          <w:szCs w:val="20"/>
        </w:rPr>
        <w:t xml:space="preserve"> </w:t>
      </w:r>
      <w:r>
        <w:rPr>
          <w:rFonts w:ascii="宋体" w:hAnsi="宋体" w:eastAsia="宋体" w:cs="宋体"/>
          <w:color w:val="231F20"/>
          <w:spacing w:val="17"/>
          <w:sz w:val="20"/>
          <w:szCs w:val="20"/>
        </w:rPr>
        <w:t>此把绩效置于质量评估是有争议的。其潜台词是</w:t>
      </w:r>
      <w:r>
        <w:rPr>
          <w:rFonts w:ascii="宋体" w:hAnsi="宋体" w:eastAsia="宋体" w:cs="宋体"/>
          <w:color w:val="231F20"/>
          <w:spacing w:val="12"/>
          <w:sz w:val="20"/>
          <w:szCs w:val="20"/>
        </w:rPr>
        <w:t xml:space="preserve"> </w:t>
      </w:r>
      <w:r>
        <w:rPr>
          <w:rFonts w:ascii="宋体" w:hAnsi="宋体" w:eastAsia="宋体" w:cs="宋体"/>
          <w:color w:val="231F20"/>
          <w:spacing w:val="17"/>
          <w:sz w:val="20"/>
          <w:szCs w:val="20"/>
        </w:rPr>
        <w:t>谁将进行评估？评估什么？一个更为根本的问题</w:t>
      </w:r>
      <w:r>
        <w:rPr>
          <w:rFonts w:ascii="宋体" w:hAnsi="宋体" w:eastAsia="宋体" w:cs="宋体"/>
          <w:color w:val="231F20"/>
          <w:spacing w:val="12"/>
          <w:sz w:val="20"/>
          <w:szCs w:val="20"/>
        </w:rPr>
        <w:t xml:space="preserve"> </w:t>
      </w:r>
      <w:r>
        <w:rPr>
          <w:rFonts w:ascii="宋体" w:hAnsi="宋体" w:eastAsia="宋体" w:cs="宋体"/>
          <w:color w:val="231F20"/>
          <w:spacing w:val="2"/>
          <w:sz w:val="20"/>
          <w:szCs w:val="20"/>
        </w:rPr>
        <w:t>是：高等教育质量究竟意味着什么？</w:t>
      </w:r>
    </w:p>
    <w:p>
      <w:pPr>
        <w:spacing w:before="91" w:line="270" w:lineRule="auto"/>
        <w:ind w:left="917" w:right="330" w:firstLine="414"/>
        <w:rPr>
          <w:rFonts w:ascii="宋体" w:hAnsi="宋体" w:eastAsia="宋体" w:cs="宋体"/>
          <w:sz w:val="20"/>
          <w:szCs w:val="20"/>
        </w:rPr>
      </w:pPr>
      <w:r>
        <w:rPr>
          <w:rFonts w:ascii="宋体" w:hAnsi="宋体" w:eastAsia="宋体" w:cs="宋体"/>
          <w:color w:val="231F20"/>
          <w:spacing w:val="7"/>
          <w:sz w:val="20"/>
          <w:szCs w:val="20"/>
        </w:rPr>
        <w:t>总体来说，对教育特别是高等教育产生深刻影</w:t>
      </w:r>
      <w:r>
        <w:rPr>
          <w:rFonts w:ascii="宋体" w:hAnsi="宋体" w:eastAsia="宋体" w:cs="宋体"/>
          <w:color w:val="231F20"/>
          <w:spacing w:val="1"/>
          <w:sz w:val="20"/>
          <w:szCs w:val="20"/>
        </w:rPr>
        <w:t xml:space="preserve"> </w:t>
      </w:r>
      <w:r>
        <w:rPr>
          <w:rFonts w:ascii="宋体" w:hAnsi="宋体" w:eastAsia="宋体" w:cs="宋体"/>
          <w:color w:val="231F20"/>
          <w:spacing w:val="7"/>
          <w:sz w:val="20"/>
          <w:szCs w:val="20"/>
        </w:rPr>
        <w:t>响的质量概念有如下几种：</w:t>
      </w:r>
    </w:p>
    <w:p>
      <w:pPr>
        <w:spacing w:before="92" w:line="295" w:lineRule="auto"/>
        <w:ind w:left="904" w:right="330" w:firstLine="420"/>
        <w:rPr>
          <w:rFonts w:ascii="宋体" w:hAnsi="宋体" w:eastAsia="宋体" w:cs="宋体"/>
          <w:sz w:val="20"/>
          <w:szCs w:val="20"/>
        </w:rPr>
      </w:pPr>
      <w:r>
        <w:rPr>
          <w:rFonts w:ascii="宋体" w:hAnsi="宋体" w:eastAsia="宋体" w:cs="宋体"/>
          <w:color w:val="231F20"/>
          <w:spacing w:val="7"/>
          <w:sz w:val="20"/>
          <w:szCs w:val="20"/>
        </w:rPr>
        <w:t>符合目的性：教育就是满足专业机构事先制定 的教学要求或课程目标并体现学校的教育使命，以</w:t>
      </w:r>
      <w:r>
        <w:rPr>
          <w:rFonts w:ascii="宋体" w:hAnsi="宋体" w:eastAsia="宋体" w:cs="宋体"/>
          <w:color w:val="231F20"/>
          <w:spacing w:val="13"/>
          <w:sz w:val="20"/>
          <w:szCs w:val="20"/>
        </w:rPr>
        <w:t xml:space="preserve"> </w:t>
      </w:r>
      <w:r>
        <w:rPr>
          <w:rFonts w:ascii="宋体" w:hAnsi="宋体" w:eastAsia="宋体" w:cs="宋体"/>
          <w:color w:val="231F20"/>
          <w:spacing w:val="17"/>
          <w:sz w:val="20"/>
          <w:szCs w:val="20"/>
        </w:rPr>
        <w:t>此评估学校与质量相关的教育计划或目的是否充</w:t>
      </w:r>
      <w:r>
        <w:rPr>
          <w:rFonts w:ascii="宋体" w:hAnsi="宋体" w:eastAsia="宋体" w:cs="宋体"/>
          <w:color w:val="231F20"/>
          <w:spacing w:val="10"/>
          <w:sz w:val="20"/>
          <w:szCs w:val="20"/>
        </w:rPr>
        <w:t xml:space="preserve"> </w:t>
      </w:r>
      <w:r>
        <w:rPr>
          <w:rFonts w:ascii="宋体" w:hAnsi="宋体" w:eastAsia="宋体" w:cs="宋体"/>
          <w:color w:val="231F20"/>
          <w:spacing w:val="5"/>
          <w:sz w:val="20"/>
          <w:szCs w:val="20"/>
        </w:rPr>
        <w:t>分。</w:t>
      </w:r>
      <w:r>
        <w:rPr>
          <w:rFonts w:ascii="宋体" w:hAnsi="宋体" w:eastAsia="宋体" w:cs="宋体"/>
          <w:color w:val="231F20"/>
          <w:spacing w:val="-43"/>
          <w:sz w:val="20"/>
          <w:szCs w:val="20"/>
        </w:rPr>
        <w:t xml:space="preserve"> </w:t>
      </w:r>
      <w:r>
        <w:rPr>
          <w:rFonts w:ascii="宋体" w:hAnsi="宋体" w:eastAsia="宋体" w:cs="宋体"/>
          <w:color w:val="231F20"/>
          <w:spacing w:val="5"/>
          <w:sz w:val="20"/>
          <w:szCs w:val="20"/>
        </w:rPr>
        <w:t>由此可知，合目的性作为一种结构主义的方法</w:t>
      </w:r>
      <w:r>
        <w:rPr>
          <w:rFonts w:ascii="宋体" w:hAnsi="宋体" w:eastAsia="宋体" w:cs="宋体"/>
          <w:color w:val="231F20"/>
          <w:sz w:val="20"/>
          <w:szCs w:val="20"/>
        </w:rPr>
        <w:t xml:space="preserve"> </w:t>
      </w:r>
      <w:r>
        <w:rPr>
          <w:rFonts w:ascii="宋体" w:hAnsi="宋体" w:eastAsia="宋体" w:cs="宋体"/>
          <w:color w:val="231F20"/>
          <w:spacing w:val="8"/>
          <w:sz w:val="20"/>
          <w:szCs w:val="20"/>
        </w:rPr>
        <w:t>并不是质量本身的定义。</w:t>
      </w:r>
    </w:p>
    <w:p>
      <w:pPr>
        <w:spacing w:before="92" w:line="295" w:lineRule="auto"/>
        <w:ind w:left="903" w:right="330" w:firstLine="422"/>
        <w:rPr>
          <w:rFonts w:ascii="宋体" w:hAnsi="宋体" w:eastAsia="宋体" w:cs="宋体"/>
          <w:sz w:val="20"/>
          <w:szCs w:val="20"/>
        </w:rPr>
      </w:pPr>
      <w:r>
        <w:rPr>
          <w:rFonts w:ascii="宋体" w:hAnsi="宋体" w:eastAsia="宋体" w:cs="宋体"/>
          <w:color w:val="231F20"/>
          <w:spacing w:val="7"/>
          <w:sz w:val="20"/>
          <w:szCs w:val="20"/>
        </w:rPr>
        <w:t xml:space="preserve">完美性或排他性：力求超过最高的标准以追求 </w:t>
      </w:r>
      <w:r>
        <w:rPr>
          <w:rFonts w:ascii="宋体" w:hAnsi="宋体" w:eastAsia="宋体" w:cs="宋体"/>
          <w:color w:val="231F20"/>
          <w:spacing w:val="17"/>
          <w:sz w:val="20"/>
          <w:szCs w:val="20"/>
        </w:rPr>
        <w:t>卓越。通常以异常高的学术成就作为标准。如果</w:t>
      </w:r>
      <w:r>
        <w:rPr>
          <w:rFonts w:ascii="宋体" w:hAnsi="宋体" w:eastAsia="宋体" w:cs="宋体"/>
          <w:color w:val="231F20"/>
          <w:spacing w:val="12"/>
          <w:sz w:val="20"/>
          <w:szCs w:val="20"/>
        </w:rPr>
        <w:t xml:space="preserve"> </w:t>
      </w:r>
      <w:r>
        <w:rPr>
          <w:rFonts w:ascii="宋体" w:hAnsi="宋体" w:eastAsia="宋体" w:cs="宋体"/>
          <w:color w:val="231F20"/>
          <w:spacing w:val="7"/>
          <w:sz w:val="20"/>
          <w:szCs w:val="20"/>
        </w:rPr>
        <w:t>超过标准，则实现质量。这种卓越意味着只有少数</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人与少数大学才能获得。只有那些高水平、高选择</w:t>
      </w:r>
      <w:r>
        <w:rPr>
          <w:rFonts w:ascii="宋体" w:hAnsi="宋体" w:eastAsia="宋体" w:cs="宋体"/>
          <w:color w:val="231F20"/>
          <w:spacing w:val="15"/>
          <w:sz w:val="20"/>
          <w:szCs w:val="20"/>
        </w:rPr>
        <w:t xml:space="preserve"> </w:t>
      </w:r>
      <w:r>
        <w:rPr>
          <w:rFonts w:ascii="宋体" w:hAnsi="宋体" w:eastAsia="宋体" w:cs="宋体"/>
          <w:color w:val="231F20"/>
          <w:spacing w:val="8"/>
          <w:sz w:val="20"/>
          <w:szCs w:val="20"/>
        </w:rPr>
        <w:t>性的声誉卓著的高校才是有质量的。</w:t>
      </w:r>
    </w:p>
    <w:p>
      <w:pPr>
        <w:spacing w:before="92" w:line="291" w:lineRule="auto"/>
        <w:ind w:left="904" w:right="258" w:firstLine="421"/>
        <w:rPr>
          <w:rFonts w:ascii="宋体" w:hAnsi="宋体" w:eastAsia="宋体" w:cs="宋体"/>
          <w:sz w:val="20"/>
          <w:szCs w:val="20"/>
        </w:rPr>
      </w:pPr>
      <w:r>
        <w:rPr>
          <w:rFonts w:ascii="宋体" w:hAnsi="宋体" w:eastAsia="宋体" w:cs="宋体"/>
          <w:color w:val="231F20"/>
          <w:spacing w:val="6"/>
          <w:sz w:val="20"/>
          <w:szCs w:val="20"/>
        </w:rPr>
        <w:t xml:space="preserve">一致、连贯性：专注于流程并设定其目标满足 </w:t>
      </w:r>
      <w:r>
        <w:rPr>
          <w:rFonts w:ascii="宋体" w:hAnsi="宋体" w:eastAsia="宋体" w:cs="宋体"/>
          <w:color w:val="231F20"/>
          <w:spacing w:val="10"/>
          <w:sz w:val="20"/>
          <w:szCs w:val="20"/>
        </w:rPr>
        <w:t>的规范；侧重于过程，并设定其目标满足的规范。</w:t>
      </w:r>
      <w:r>
        <w:rPr>
          <w:rFonts w:ascii="宋体" w:hAnsi="宋体" w:eastAsia="宋体" w:cs="宋体"/>
          <w:color w:val="231F20"/>
          <w:spacing w:val="18"/>
          <w:sz w:val="20"/>
          <w:szCs w:val="20"/>
        </w:rPr>
        <w:t xml:space="preserve"> </w:t>
      </w:r>
      <w:r>
        <w:rPr>
          <w:rFonts w:ascii="宋体" w:hAnsi="宋体" w:eastAsia="宋体" w:cs="宋体"/>
          <w:color w:val="231F20"/>
          <w:spacing w:val="7"/>
          <w:sz w:val="20"/>
          <w:szCs w:val="20"/>
        </w:rPr>
        <w:t>从这个意义上讲，质量是由零缺陷和一致性这</w:t>
      </w:r>
      <w:r>
        <w:rPr>
          <w:rFonts w:ascii="宋体" w:hAnsi="宋体" w:eastAsia="宋体" w:cs="宋体"/>
          <w:color w:val="231F20"/>
          <w:spacing w:val="6"/>
          <w:sz w:val="20"/>
          <w:szCs w:val="20"/>
        </w:rPr>
        <w:t xml:space="preserve">两个 </w:t>
      </w:r>
      <w:r>
        <w:rPr>
          <w:rFonts w:ascii="宋体" w:hAnsi="宋体" w:eastAsia="宋体" w:cs="宋体"/>
          <w:color w:val="231F20"/>
          <w:spacing w:val="8"/>
          <w:sz w:val="20"/>
          <w:szCs w:val="20"/>
        </w:rPr>
        <w:t>相互关联的概念合成的。</w:t>
      </w:r>
    </w:p>
    <w:p>
      <w:pPr>
        <w:spacing w:before="92" w:line="284" w:lineRule="auto"/>
        <w:ind w:left="805" w:right="258" w:firstLine="518"/>
        <w:rPr>
          <w:rFonts w:ascii="宋体" w:hAnsi="宋体" w:eastAsia="宋体" w:cs="宋体"/>
          <w:sz w:val="20"/>
          <w:szCs w:val="20"/>
        </w:rPr>
      </w:pPr>
      <w:r>
        <w:rPr>
          <w:rFonts w:ascii="宋体" w:hAnsi="宋体" w:eastAsia="宋体" w:cs="宋体"/>
          <w:color w:val="231F20"/>
          <w:spacing w:val="11"/>
          <w:sz w:val="20"/>
          <w:szCs w:val="20"/>
        </w:rPr>
        <w:t>物有所值：通过投资或支出回报来评估质量。</w:t>
      </w:r>
      <w:r>
        <w:rPr>
          <w:rFonts w:ascii="宋体" w:hAnsi="宋体" w:eastAsia="宋体" w:cs="宋体"/>
          <w:color w:val="231F20"/>
          <w:sz w:val="20"/>
          <w:szCs w:val="20"/>
        </w:rPr>
        <w:t xml:space="preserve"> </w:t>
      </w:r>
      <w:r>
        <w:rPr>
          <w:rFonts w:ascii="宋体" w:hAnsi="宋体" w:eastAsia="宋体" w:cs="宋体"/>
          <w:color w:val="231F20"/>
          <w:spacing w:val="11"/>
          <w:sz w:val="20"/>
          <w:szCs w:val="20"/>
        </w:rPr>
        <w:t xml:space="preserve">“物有所值”方法的核心是问责制。在教育中意味 </w:t>
      </w:r>
      <w:r>
        <w:rPr>
          <w:rFonts w:ascii="宋体" w:hAnsi="宋体" w:eastAsia="宋体" w:cs="宋体"/>
          <w:color w:val="231F20"/>
          <w:spacing w:val="15"/>
          <w:sz w:val="20"/>
          <w:szCs w:val="20"/>
        </w:rPr>
        <w:t>着公共服务应将对资助者负责。</w:t>
      </w:r>
    </w:p>
    <w:p>
      <w:pPr>
        <w:spacing w:before="92" w:line="295" w:lineRule="auto"/>
        <w:ind w:left="904" w:right="330" w:firstLine="420"/>
        <w:rPr>
          <w:rFonts w:ascii="宋体" w:hAnsi="宋体" w:eastAsia="宋体" w:cs="宋体"/>
          <w:sz w:val="20"/>
          <w:szCs w:val="20"/>
        </w:rPr>
      </w:pPr>
      <w:r>
        <w:rPr>
          <w:rFonts w:ascii="宋体" w:hAnsi="宋体" w:eastAsia="宋体" w:cs="宋体"/>
          <w:color w:val="231F20"/>
          <w:spacing w:val="7"/>
          <w:sz w:val="20"/>
          <w:szCs w:val="20"/>
        </w:rPr>
        <w:t>转变性：教育机构对学生的学习包括认知、情 感、心理等方面产生积极的变化。这种观点认为质</w:t>
      </w:r>
      <w:r>
        <w:rPr>
          <w:rFonts w:ascii="宋体" w:hAnsi="宋体" w:eastAsia="宋体" w:cs="宋体"/>
          <w:color w:val="231F20"/>
          <w:spacing w:val="14"/>
          <w:sz w:val="20"/>
          <w:szCs w:val="20"/>
        </w:rPr>
        <w:t xml:space="preserve"> </w:t>
      </w:r>
      <w:r>
        <w:rPr>
          <w:rFonts w:ascii="宋体" w:hAnsi="宋体" w:eastAsia="宋体" w:cs="宋体"/>
          <w:color w:val="231F20"/>
          <w:spacing w:val="7"/>
          <w:sz w:val="20"/>
          <w:szCs w:val="20"/>
        </w:rPr>
        <w:t>量是一个变化的过程。在高等教育中，它通过学生</w:t>
      </w:r>
      <w:r>
        <w:rPr>
          <w:rFonts w:ascii="宋体" w:hAnsi="宋体" w:eastAsia="宋体" w:cs="宋体"/>
          <w:color w:val="231F20"/>
          <w:spacing w:val="14"/>
          <w:sz w:val="20"/>
          <w:szCs w:val="20"/>
        </w:rPr>
        <w:t xml:space="preserve"> </w:t>
      </w:r>
      <w:r>
        <w:rPr>
          <w:rFonts w:ascii="宋体" w:hAnsi="宋体" w:eastAsia="宋体" w:cs="宋体"/>
          <w:color w:val="231F20"/>
          <w:spacing w:val="7"/>
          <w:sz w:val="20"/>
          <w:szCs w:val="20"/>
        </w:rPr>
        <w:t>的学习经验为其增加价值。教育不是为学生提供的</w:t>
      </w:r>
      <w:r>
        <w:rPr>
          <w:rFonts w:ascii="宋体" w:hAnsi="宋体" w:eastAsia="宋体" w:cs="宋体"/>
          <w:color w:val="231F20"/>
          <w:spacing w:val="14"/>
          <w:sz w:val="20"/>
          <w:szCs w:val="20"/>
        </w:rPr>
        <w:t xml:space="preserve"> </w:t>
      </w:r>
      <w:r>
        <w:rPr>
          <w:rFonts w:ascii="宋体" w:hAnsi="宋体" w:eastAsia="宋体" w:cs="宋体"/>
          <w:color w:val="231F20"/>
          <w:sz w:val="20"/>
          <w:szCs w:val="20"/>
        </w:rPr>
        <w:t>服务，而是作为参与者的学生不断转变的过程。</w:t>
      </w:r>
    </w:p>
    <w:p>
      <w:pPr>
        <w:spacing w:before="92" w:line="291" w:lineRule="auto"/>
        <w:ind w:left="921" w:right="330" w:firstLine="429"/>
        <w:rPr>
          <w:rFonts w:ascii="宋体" w:hAnsi="宋体" w:eastAsia="宋体" w:cs="宋体"/>
          <w:sz w:val="20"/>
          <w:szCs w:val="20"/>
        </w:rPr>
      </w:pPr>
      <w:r>
        <w:rPr>
          <w:rFonts w:ascii="宋体" w:hAnsi="宋体" w:eastAsia="宋体" w:cs="宋体"/>
          <w:color w:val="231F20"/>
          <w:spacing w:val="6"/>
          <w:sz w:val="20"/>
          <w:szCs w:val="20"/>
        </w:rPr>
        <w:t>由此可见，除转变性质量概念外，传统意义上</w:t>
      </w:r>
      <w:r>
        <w:rPr>
          <w:rFonts w:ascii="宋体" w:hAnsi="宋体" w:eastAsia="宋体" w:cs="宋体"/>
          <w:color w:val="231F20"/>
          <w:spacing w:val="1"/>
          <w:sz w:val="20"/>
          <w:szCs w:val="20"/>
        </w:rPr>
        <w:t xml:space="preserve"> </w:t>
      </w:r>
      <w:r>
        <w:rPr>
          <w:rFonts w:ascii="宋体" w:hAnsi="宋体" w:eastAsia="宋体" w:cs="宋体"/>
          <w:color w:val="231F20"/>
          <w:spacing w:val="7"/>
          <w:sz w:val="20"/>
          <w:szCs w:val="20"/>
        </w:rPr>
        <w:t>的高等教育质量与卓越相关联：通常把排他</w:t>
      </w:r>
      <w:r>
        <w:rPr>
          <w:rFonts w:ascii="宋体" w:hAnsi="宋体" w:eastAsia="宋体" w:cs="宋体"/>
          <w:color w:val="231F20"/>
          <w:spacing w:val="6"/>
          <w:sz w:val="20"/>
          <w:szCs w:val="20"/>
        </w:rPr>
        <w:t>性极高</w:t>
      </w:r>
      <w:r>
        <w:rPr>
          <w:rFonts w:ascii="宋体" w:hAnsi="宋体" w:eastAsia="宋体" w:cs="宋体"/>
          <w:color w:val="231F20"/>
          <w:sz w:val="20"/>
          <w:szCs w:val="20"/>
        </w:rPr>
        <w:t xml:space="preserve"> </w:t>
      </w:r>
      <w:r>
        <w:rPr>
          <w:rFonts w:ascii="宋体" w:hAnsi="宋体" w:eastAsia="宋体" w:cs="宋体"/>
          <w:color w:val="231F20"/>
          <w:spacing w:val="7"/>
          <w:sz w:val="20"/>
          <w:szCs w:val="20"/>
        </w:rPr>
        <w:t>的学术成就作为尺度，这极易忽视大学存在</w:t>
      </w:r>
      <w:r>
        <w:rPr>
          <w:rFonts w:ascii="宋体" w:hAnsi="宋体" w:eastAsia="宋体" w:cs="宋体"/>
          <w:color w:val="231F20"/>
          <w:spacing w:val="6"/>
          <w:sz w:val="20"/>
          <w:szCs w:val="20"/>
        </w:rPr>
        <w:t>的独特</w:t>
      </w:r>
      <w:r>
        <w:rPr>
          <w:rFonts w:ascii="宋体" w:hAnsi="宋体" w:eastAsia="宋体" w:cs="宋体"/>
          <w:color w:val="231F20"/>
          <w:sz w:val="20"/>
          <w:szCs w:val="20"/>
        </w:rPr>
        <w:t xml:space="preserve"> </w:t>
      </w:r>
      <w:r>
        <w:rPr>
          <w:rFonts w:ascii="宋体" w:hAnsi="宋体" w:eastAsia="宋体" w:cs="宋体"/>
          <w:color w:val="231F20"/>
          <w:spacing w:val="16"/>
          <w:sz w:val="20"/>
          <w:szCs w:val="20"/>
        </w:rPr>
        <w:t>的历史与文化特质。用一个统一的排他性标准来</w:t>
      </w:r>
    </w:p>
    <w:p>
      <w:pPr>
        <w:spacing w:line="14" w:lineRule="auto"/>
        <w:rPr>
          <w:rFonts w:ascii="Arial"/>
          <w:sz w:val="2"/>
        </w:rPr>
      </w:pPr>
      <w:r>
        <w:rPr>
          <w:rFonts w:ascii="Arial" w:hAnsi="Arial" w:eastAsia="Arial" w:cs="Arial"/>
          <w:sz w:val="2"/>
          <w:szCs w:val="2"/>
        </w:rPr>
        <w:br w:type="column"/>
      </w:r>
    </w:p>
    <w:p>
      <w:pPr>
        <w:spacing w:before="41" w:line="270" w:lineRule="auto"/>
        <w:ind w:left="7" w:right="73" w:hanging="5"/>
        <w:rPr>
          <w:rFonts w:ascii="宋体" w:hAnsi="宋体" w:eastAsia="宋体" w:cs="宋体"/>
          <w:sz w:val="20"/>
          <w:szCs w:val="20"/>
        </w:rPr>
      </w:pPr>
      <w:r>
        <w:rPr>
          <w:rFonts w:ascii="宋体" w:hAnsi="宋体" w:eastAsia="宋体" w:cs="宋体"/>
          <w:color w:val="231F20"/>
          <w:spacing w:val="7"/>
          <w:sz w:val="20"/>
          <w:szCs w:val="20"/>
        </w:rPr>
        <w:t>考量一个高校的办学质量，只能是挫伤高校，特别</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是师生员工的积极性。</w:t>
      </w:r>
    </w:p>
    <w:p>
      <w:pPr>
        <w:pStyle w:val="2"/>
        <w:spacing w:before="89" w:line="271" w:lineRule="auto"/>
        <w:ind w:left="24" w:right="73" w:firstLine="319"/>
        <w:rPr>
          <w:sz w:val="20"/>
          <w:szCs w:val="20"/>
        </w:rPr>
      </w:pPr>
      <w:r>
        <w:rPr>
          <w:color w:val="231F20"/>
          <w:spacing w:val="11"/>
          <w:sz w:val="20"/>
          <w:szCs w:val="20"/>
        </w:rPr>
        <w:t>（二）高等教育质量保证体系的内在要求及其</w:t>
      </w:r>
      <w:r>
        <w:rPr>
          <w:color w:val="231F20"/>
          <w:spacing w:val="7"/>
          <w:sz w:val="20"/>
          <w:szCs w:val="20"/>
        </w:rPr>
        <w:t xml:space="preserve"> </w:t>
      </w:r>
      <w:r>
        <w:rPr>
          <w:color w:val="231F20"/>
          <w:spacing w:val="-3"/>
          <w:sz w:val="20"/>
          <w:szCs w:val="20"/>
        </w:rPr>
        <w:t>问题</w:t>
      </w:r>
    </w:p>
    <w:p>
      <w:pPr>
        <w:spacing w:before="87" w:line="303" w:lineRule="auto"/>
        <w:ind w:left="2" w:right="73" w:firstLine="423"/>
        <w:rPr>
          <w:rFonts w:ascii="宋体" w:hAnsi="宋体" w:eastAsia="宋体" w:cs="宋体"/>
          <w:sz w:val="20"/>
          <w:szCs w:val="20"/>
        </w:rPr>
      </w:pPr>
      <w:r>
        <w:rPr>
          <w:rFonts w:ascii="宋体" w:hAnsi="宋体" w:eastAsia="宋体" w:cs="宋体"/>
          <w:color w:val="231F20"/>
          <w:spacing w:val="6"/>
          <w:sz w:val="20"/>
          <w:szCs w:val="20"/>
        </w:rPr>
        <w:t>20世纪80年代开始，质量问题逐渐成为政策议</w:t>
      </w:r>
      <w:r>
        <w:rPr>
          <w:rFonts w:ascii="宋体" w:hAnsi="宋体" w:eastAsia="宋体" w:cs="宋体"/>
          <w:color w:val="231F20"/>
          <w:spacing w:val="14"/>
          <w:sz w:val="20"/>
          <w:szCs w:val="20"/>
        </w:rPr>
        <w:t xml:space="preserve"> </w:t>
      </w:r>
      <w:r>
        <w:rPr>
          <w:rFonts w:ascii="宋体" w:hAnsi="宋体" w:eastAsia="宋体" w:cs="宋体"/>
          <w:color w:val="231F20"/>
          <w:spacing w:val="7"/>
          <w:sz w:val="20"/>
          <w:szCs w:val="20"/>
        </w:rPr>
        <w:t>程的核心，几乎所有的欧美国家都出现了由政府主</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导的以检查与监督为名的高等教育保障运动。20世</w:t>
      </w:r>
      <w:r>
        <w:rPr>
          <w:rFonts w:ascii="宋体" w:hAnsi="宋体" w:eastAsia="宋体" w:cs="宋体"/>
          <w:color w:val="231F20"/>
          <w:spacing w:val="8"/>
          <w:sz w:val="20"/>
          <w:szCs w:val="20"/>
        </w:rPr>
        <w:t xml:space="preserve"> </w:t>
      </w:r>
      <w:r>
        <w:rPr>
          <w:rFonts w:ascii="宋体" w:hAnsi="宋体" w:eastAsia="宋体" w:cs="宋体"/>
          <w:color w:val="231F20"/>
          <w:spacing w:val="7"/>
          <w:sz w:val="20"/>
          <w:szCs w:val="20"/>
        </w:rPr>
        <w:t>纪90年代博洛尼亚进程开始以来，各种指南和工具</w:t>
      </w:r>
      <w:r>
        <w:rPr>
          <w:rFonts w:ascii="宋体" w:hAnsi="宋体" w:eastAsia="宋体" w:cs="宋体"/>
          <w:color w:val="231F20"/>
          <w:spacing w:val="8"/>
          <w:sz w:val="20"/>
          <w:szCs w:val="20"/>
        </w:rPr>
        <w:t xml:space="preserve"> </w:t>
      </w:r>
      <w:r>
        <w:rPr>
          <w:rFonts w:ascii="宋体" w:hAnsi="宋体" w:eastAsia="宋体" w:cs="宋体"/>
          <w:color w:val="231F20"/>
          <w:spacing w:val="7"/>
          <w:sz w:val="20"/>
          <w:szCs w:val="20"/>
        </w:rPr>
        <w:t>由欧美向全球扩散，旨在支持高等教育机构的质量</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保证工作。质量保证指所有能激活与提高教育机构</w:t>
      </w:r>
      <w:r>
        <w:rPr>
          <w:rFonts w:ascii="宋体" w:hAnsi="宋体" w:eastAsia="宋体" w:cs="宋体"/>
          <w:color w:val="231F20"/>
          <w:spacing w:val="15"/>
          <w:sz w:val="20"/>
          <w:szCs w:val="20"/>
        </w:rPr>
        <w:t xml:space="preserve"> </w:t>
      </w:r>
      <w:r>
        <w:rPr>
          <w:rFonts w:ascii="宋体" w:hAnsi="宋体" w:eastAsia="宋体" w:cs="宋体"/>
          <w:color w:val="231F20"/>
          <w:sz w:val="20"/>
          <w:szCs w:val="20"/>
        </w:rPr>
        <w:t>绩效的所有的政策、程序与行为</w:t>
      </w:r>
      <w:r>
        <w:rPr>
          <w:rFonts w:ascii="宋体" w:hAnsi="宋体" w:eastAsia="宋体" w:cs="宋体"/>
          <w:color w:val="231F20"/>
          <w:position w:val="8"/>
          <w:sz w:val="10"/>
          <w:szCs w:val="10"/>
        </w:rPr>
        <w:t>[7]</w:t>
      </w:r>
      <w:r>
        <w:rPr>
          <w:rFonts w:ascii="宋体" w:hAnsi="宋体" w:eastAsia="宋体" w:cs="宋体"/>
          <w:color w:val="231F20"/>
          <w:spacing w:val="-28"/>
          <w:position w:val="8"/>
          <w:sz w:val="10"/>
          <w:szCs w:val="10"/>
        </w:rPr>
        <w:t xml:space="preserve"> </w:t>
      </w:r>
      <w:r>
        <w:rPr>
          <w:rFonts w:ascii="宋体" w:hAnsi="宋体" w:eastAsia="宋体" w:cs="宋体"/>
          <w:color w:val="231F20"/>
          <w:sz w:val="20"/>
          <w:szCs w:val="20"/>
        </w:rPr>
        <w:t>。质量保证</w:t>
      </w:r>
      <w:r>
        <w:rPr>
          <w:rFonts w:ascii="宋体" w:hAnsi="宋体" w:eastAsia="宋体" w:cs="宋体"/>
          <w:color w:val="231F20"/>
          <w:spacing w:val="-1"/>
          <w:sz w:val="20"/>
          <w:szCs w:val="20"/>
        </w:rPr>
        <w:t>是建立</w:t>
      </w:r>
      <w:r>
        <w:rPr>
          <w:rFonts w:ascii="宋体" w:hAnsi="宋体" w:eastAsia="宋体" w:cs="宋体"/>
          <w:color w:val="231F20"/>
          <w:sz w:val="20"/>
          <w:szCs w:val="20"/>
        </w:rPr>
        <w:t xml:space="preserve"> </w:t>
      </w:r>
      <w:r>
        <w:rPr>
          <w:rFonts w:ascii="宋体" w:hAnsi="宋体" w:eastAsia="宋体" w:cs="宋体"/>
          <w:color w:val="231F20"/>
          <w:spacing w:val="7"/>
          <w:sz w:val="20"/>
          <w:szCs w:val="20"/>
        </w:rPr>
        <w:t>各利益相关者信心的过程，相信所提供的服务（投</w:t>
      </w:r>
      <w:r>
        <w:rPr>
          <w:rFonts w:ascii="宋体" w:hAnsi="宋体" w:eastAsia="宋体" w:cs="宋体"/>
          <w:color w:val="231F20"/>
          <w:spacing w:val="15"/>
          <w:sz w:val="20"/>
          <w:szCs w:val="20"/>
        </w:rPr>
        <w:t xml:space="preserve"> </w:t>
      </w:r>
      <w:r>
        <w:rPr>
          <w:rFonts w:ascii="宋体" w:hAnsi="宋体" w:eastAsia="宋体" w:cs="宋体"/>
          <w:color w:val="231F20"/>
          <w:spacing w:val="-6"/>
          <w:sz w:val="20"/>
          <w:szCs w:val="20"/>
        </w:rPr>
        <w:t>入、过程和结果）能满足其期望或达到最低要求</w:t>
      </w:r>
      <w:r>
        <w:rPr>
          <w:rFonts w:ascii="宋体" w:hAnsi="宋体" w:eastAsia="宋体" w:cs="宋体"/>
          <w:color w:val="231F20"/>
          <w:spacing w:val="-6"/>
          <w:position w:val="8"/>
          <w:sz w:val="10"/>
          <w:szCs w:val="10"/>
        </w:rPr>
        <w:t>[8]</w:t>
      </w:r>
      <w:r>
        <w:rPr>
          <w:rFonts w:ascii="宋体" w:hAnsi="宋体" w:eastAsia="宋体" w:cs="宋体"/>
          <w:color w:val="231F20"/>
          <w:spacing w:val="-6"/>
          <w:sz w:val="20"/>
          <w:szCs w:val="20"/>
        </w:rPr>
        <w:t>。</w:t>
      </w:r>
    </w:p>
    <w:p>
      <w:pPr>
        <w:spacing w:before="88" w:line="302" w:lineRule="auto"/>
        <w:ind w:right="8" w:firstLine="422"/>
        <w:rPr>
          <w:rFonts w:ascii="宋体" w:hAnsi="宋体" w:eastAsia="宋体" w:cs="宋体"/>
          <w:sz w:val="20"/>
          <w:szCs w:val="20"/>
        </w:rPr>
      </w:pPr>
      <w:r>
        <w:rPr>
          <w:rFonts w:ascii="宋体" w:hAnsi="宋体" w:eastAsia="宋体" w:cs="宋体"/>
          <w:color w:val="231F20"/>
          <w:spacing w:val="7"/>
          <w:sz w:val="20"/>
          <w:szCs w:val="20"/>
        </w:rPr>
        <w:t>质量保证是确保其目的适合性，是一种提高整</w:t>
      </w:r>
      <w:r>
        <w:rPr>
          <w:rFonts w:ascii="宋体" w:hAnsi="宋体" w:eastAsia="宋体" w:cs="宋体"/>
          <w:color w:val="231F20"/>
          <w:spacing w:val="9"/>
          <w:sz w:val="20"/>
          <w:szCs w:val="20"/>
        </w:rPr>
        <w:t xml:space="preserve"> </w:t>
      </w:r>
      <w:r>
        <w:rPr>
          <w:rFonts w:ascii="宋体" w:hAnsi="宋体" w:eastAsia="宋体" w:cs="宋体"/>
          <w:color w:val="231F20"/>
          <w:spacing w:val="7"/>
          <w:sz w:val="20"/>
          <w:szCs w:val="20"/>
        </w:rPr>
        <w:t>体质量的方式，其首要目的是防止不合格产品或服</w:t>
      </w:r>
      <w:r>
        <w:rPr>
          <w:rFonts w:ascii="宋体" w:hAnsi="宋体" w:eastAsia="宋体" w:cs="宋体"/>
          <w:color w:val="231F20"/>
          <w:spacing w:val="18"/>
          <w:sz w:val="20"/>
          <w:szCs w:val="20"/>
        </w:rPr>
        <w:t xml:space="preserve"> </w:t>
      </w:r>
      <w:r>
        <w:rPr>
          <w:rFonts w:ascii="宋体" w:hAnsi="宋体" w:eastAsia="宋体" w:cs="宋体"/>
          <w:color w:val="231F20"/>
          <w:spacing w:val="8"/>
          <w:sz w:val="20"/>
          <w:szCs w:val="20"/>
        </w:rPr>
        <w:t>务</w:t>
      </w:r>
      <w:r>
        <w:rPr>
          <w:rFonts w:ascii="宋体" w:hAnsi="宋体" w:eastAsia="宋体" w:cs="宋体"/>
          <w:color w:val="231F20"/>
          <w:spacing w:val="8"/>
          <w:position w:val="8"/>
          <w:sz w:val="10"/>
          <w:szCs w:val="10"/>
        </w:rPr>
        <w:t>[9]</w:t>
      </w:r>
      <w:r>
        <w:rPr>
          <w:rFonts w:ascii="宋体" w:hAnsi="宋体" w:eastAsia="宋体" w:cs="宋体"/>
          <w:color w:val="231F20"/>
          <w:spacing w:val="-20"/>
          <w:position w:val="8"/>
          <w:sz w:val="10"/>
          <w:szCs w:val="10"/>
        </w:rPr>
        <w:t xml:space="preserve"> </w:t>
      </w:r>
      <w:r>
        <w:rPr>
          <w:rFonts w:ascii="宋体" w:hAnsi="宋体" w:eastAsia="宋体" w:cs="宋体"/>
          <w:color w:val="231F20"/>
          <w:spacing w:val="8"/>
          <w:sz w:val="20"/>
          <w:szCs w:val="20"/>
        </w:rPr>
        <w:t>。质量保证作为高等教育系统质量的持续评价</w:t>
      </w:r>
      <w:r>
        <w:rPr>
          <w:rFonts w:ascii="宋体" w:hAnsi="宋体" w:eastAsia="宋体" w:cs="宋体"/>
          <w:color w:val="231F20"/>
          <w:sz w:val="20"/>
          <w:szCs w:val="20"/>
        </w:rPr>
        <w:t xml:space="preserve"> </w:t>
      </w:r>
      <w:r>
        <w:rPr>
          <w:rFonts w:ascii="宋体" w:hAnsi="宋体" w:eastAsia="宋体" w:cs="宋体"/>
          <w:color w:val="231F20"/>
          <w:spacing w:val="-7"/>
          <w:sz w:val="20"/>
          <w:szCs w:val="20"/>
        </w:rPr>
        <w:t>过程，包括评估、控制、保证、保持与提升</w:t>
      </w:r>
      <w:r>
        <w:rPr>
          <w:rFonts w:ascii="宋体" w:hAnsi="宋体" w:eastAsia="宋体" w:cs="宋体"/>
          <w:color w:val="231F20"/>
          <w:spacing w:val="-7"/>
          <w:position w:val="8"/>
          <w:sz w:val="10"/>
          <w:szCs w:val="10"/>
        </w:rPr>
        <w:t>[10]</w:t>
      </w:r>
      <w:r>
        <w:rPr>
          <w:rFonts w:ascii="宋体" w:hAnsi="宋体" w:eastAsia="宋体" w:cs="宋体"/>
          <w:color w:val="231F20"/>
          <w:spacing w:val="-21"/>
          <w:position w:val="8"/>
          <w:sz w:val="10"/>
          <w:szCs w:val="10"/>
        </w:rPr>
        <w:t xml:space="preserve"> </w:t>
      </w:r>
      <w:r>
        <w:rPr>
          <w:rFonts w:ascii="宋体" w:hAnsi="宋体" w:eastAsia="宋体" w:cs="宋体"/>
          <w:color w:val="231F20"/>
          <w:spacing w:val="-7"/>
          <w:sz w:val="20"/>
          <w:szCs w:val="20"/>
        </w:rPr>
        <w:t>。</w:t>
      </w:r>
      <w:r>
        <w:rPr>
          <w:rFonts w:ascii="宋体" w:hAnsi="宋体" w:eastAsia="宋体" w:cs="宋体"/>
          <w:color w:val="231F20"/>
          <w:spacing w:val="-8"/>
          <w:sz w:val="20"/>
          <w:szCs w:val="20"/>
        </w:rPr>
        <w:t>然而，</w:t>
      </w:r>
      <w:r>
        <w:rPr>
          <w:rFonts w:ascii="宋体" w:hAnsi="宋体" w:eastAsia="宋体" w:cs="宋体"/>
          <w:color w:val="231F20"/>
          <w:sz w:val="20"/>
          <w:szCs w:val="20"/>
        </w:rPr>
        <w:t xml:space="preserve"> </w:t>
      </w:r>
      <w:r>
        <w:rPr>
          <w:rFonts w:ascii="宋体" w:hAnsi="宋体" w:eastAsia="宋体" w:cs="宋体"/>
          <w:color w:val="231F20"/>
          <w:spacing w:val="7"/>
          <w:sz w:val="20"/>
          <w:szCs w:val="20"/>
        </w:rPr>
        <w:t>这并不意味着质量必然改进。现有研究表明，为质</w:t>
      </w:r>
      <w:r>
        <w:rPr>
          <w:rFonts w:ascii="宋体" w:hAnsi="宋体" w:eastAsia="宋体" w:cs="宋体"/>
          <w:color w:val="231F20"/>
          <w:spacing w:val="18"/>
          <w:sz w:val="20"/>
          <w:szCs w:val="20"/>
        </w:rPr>
        <w:t xml:space="preserve"> </w:t>
      </w:r>
      <w:r>
        <w:rPr>
          <w:rFonts w:ascii="宋体" w:hAnsi="宋体" w:eastAsia="宋体" w:cs="宋体"/>
          <w:color w:val="231F20"/>
          <w:spacing w:val="-2"/>
          <w:sz w:val="20"/>
          <w:szCs w:val="20"/>
        </w:rPr>
        <w:t xml:space="preserve">量保证而制定的系统、规则、程序，以及产生的超大 </w:t>
      </w:r>
      <w:r>
        <w:rPr>
          <w:rFonts w:ascii="宋体" w:hAnsi="宋体" w:eastAsia="宋体" w:cs="宋体"/>
          <w:color w:val="231F20"/>
          <w:spacing w:val="7"/>
          <w:sz w:val="20"/>
          <w:szCs w:val="20"/>
        </w:rPr>
        <w:t>量数据、报告及引发的关注并没有带来师生员工的</w:t>
      </w:r>
      <w:r>
        <w:rPr>
          <w:rFonts w:ascii="宋体" w:hAnsi="宋体" w:eastAsia="宋体" w:cs="宋体"/>
          <w:color w:val="231F20"/>
          <w:spacing w:val="18"/>
          <w:sz w:val="20"/>
          <w:szCs w:val="20"/>
        </w:rPr>
        <w:t xml:space="preserve"> </w:t>
      </w:r>
      <w:r>
        <w:rPr>
          <w:rFonts w:ascii="宋体" w:hAnsi="宋体" w:eastAsia="宋体" w:cs="宋体"/>
          <w:color w:val="231F20"/>
          <w:spacing w:val="6"/>
          <w:sz w:val="20"/>
          <w:szCs w:val="20"/>
        </w:rPr>
        <w:t>拥护与积极参与</w:t>
      </w:r>
      <w:r>
        <w:rPr>
          <w:rFonts w:ascii="宋体" w:hAnsi="宋体" w:eastAsia="宋体" w:cs="宋体"/>
          <w:color w:val="231F20"/>
          <w:spacing w:val="6"/>
          <w:position w:val="8"/>
          <w:sz w:val="10"/>
          <w:szCs w:val="10"/>
        </w:rPr>
        <w:t>[11]</w:t>
      </w:r>
      <w:r>
        <w:rPr>
          <w:rFonts w:ascii="宋体" w:hAnsi="宋体" w:eastAsia="宋体" w:cs="宋体"/>
          <w:color w:val="231F20"/>
          <w:spacing w:val="6"/>
          <w:sz w:val="20"/>
          <w:szCs w:val="20"/>
        </w:rPr>
        <w:t>。</w:t>
      </w:r>
    </w:p>
    <w:p>
      <w:pPr>
        <w:spacing w:before="91" w:line="298" w:lineRule="auto"/>
        <w:ind w:left="2" w:right="2" w:firstLine="444"/>
        <w:rPr>
          <w:rFonts w:ascii="宋体" w:hAnsi="宋体" w:eastAsia="宋体" w:cs="宋体"/>
          <w:sz w:val="20"/>
          <w:szCs w:val="20"/>
        </w:rPr>
      </w:pPr>
      <w:r>
        <w:rPr>
          <w:rFonts w:ascii="宋体" w:hAnsi="宋体" w:eastAsia="宋体" w:cs="宋体"/>
          <w:color w:val="231F20"/>
          <w:spacing w:val="5"/>
          <w:sz w:val="20"/>
          <w:szCs w:val="20"/>
        </w:rPr>
        <w:t xml:space="preserve">问责，作为质量保证的核心理念，就是为了回 </w:t>
      </w:r>
      <w:r>
        <w:rPr>
          <w:rFonts w:ascii="宋体" w:hAnsi="宋体" w:eastAsia="宋体" w:cs="宋体"/>
          <w:color w:val="231F20"/>
          <w:spacing w:val="21"/>
          <w:sz w:val="20"/>
          <w:szCs w:val="20"/>
        </w:rPr>
        <w:t>应高校外部利益相关者对高等教育质量的诉求。</w:t>
      </w:r>
      <w:r>
        <w:rPr>
          <w:rFonts w:ascii="宋体" w:hAnsi="宋体" w:eastAsia="宋体" w:cs="宋体"/>
          <w:color w:val="231F20"/>
          <w:sz w:val="20"/>
          <w:szCs w:val="20"/>
        </w:rPr>
        <w:t xml:space="preserve"> </w:t>
      </w:r>
      <w:r>
        <w:rPr>
          <w:rFonts w:ascii="宋体" w:hAnsi="宋体" w:eastAsia="宋体" w:cs="宋体"/>
          <w:color w:val="231F20"/>
          <w:spacing w:val="7"/>
          <w:sz w:val="20"/>
          <w:szCs w:val="20"/>
        </w:rPr>
        <w:t xml:space="preserve">在美国，质量保证具有透明性等特有文化，但其认 证因自身的一系列缺陷，也难逃诟病：认证作为一 种基于极简主义的偶发性的相互利用行为，远离公 </w:t>
      </w:r>
      <w:r>
        <w:rPr>
          <w:rFonts w:ascii="宋体" w:hAnsi="宋体" w:eastAsia="宋体" w:cs="宋体"/>
          <w:color w:val="231F20"/>
          <w:spacing w:val="4"/>
          <w:sz w:val="20"/>
          <w:szCs w:val="20"/>
        </w:rPr>
        <w:t>共视野，不能防止学术的或行政的诚实与正直</w:t>
      </w:r>
      <w:r>
        <w:rPr>
          <w:rFonts w:ascii="宋体" w:hAnsi="宋体" w:eastAsia="宋体" w:cs="宋体"/>
          <w:color w:val="231F20"/>
          <w:spacing w:val="4"/>
          <w:position w:val="8"/>
          <w:sz w:val="10"/>
          <w:szCs w:val="10"/>
        </w:rPr>
        <w:t>[</w:t>
      </w:r>
      <w:r>
        <w:rPr>
          <w:rFonts w:ascii="宋体" w:hAnsi="宋体" w:eastAsia="宋体" w:cs="宋体"/>
          <w:color w:val="231F20"/>
          <w:spacing w:val="3"/>
          <w:position w:val="8"/>
          <w:sz w:val="10"/>
          <w:szCs w:val="10"/>
        </w:rPr>
        <w:t>12]</w:t>
      </w:r>
      <w:r>
        <w:rPr>
          <w:rFonts w:ascii="宋体" w:hAnsi="宋体" w:eastAsia="宋体" w:cs="宋体"/>
          <w:color w:val="231F20"/>
          <w:spacing w:val="3"/>
          <w:sz w:val="20"/>
          <w:szCs w:val="20"/>
        </w:rPr>
        <w:t>。</w:t>
      </w:r>
    </w:p>
    <w:p>
      <w:pPr>
        <w:spacing w:before="92" w:line="298" w:lineRule="auto"/>
        <w:ind w:left="2" w:right="73" w:firstLine="420"/>
        <w:rPr>
          <w:rFonts w:ascii="宋体" w:hAnsi="宋体" w:eastAsia="宋体" w:cs="宋体"/>
          <w:sz w:val="20"/>
          <w:szCs w:val="20"/>
        </w:rPr>
      </w:pPr>
      <w:r>
        <w:rPr>
          <w:rFonts w:ascii="宋体" w:hAnsi="宋体" w:eastAsia="宋体" w:cs="宋体"/>
          <w:color w:val="231F20"/>
          <w:spacing w:val="18"/>
          <w:sz w:val="20"/>
          <w:szCs w:val="20"/>
        </w:rPr>
        <w:t>传统的基于同行评议的质量保证体系的崩溃</w:t>
      </w:r>
      <w:r>
        <w:rPr>
          <w:rFonts w:ascii="宋体" w:hAnsi="宋体" w:eastAsia="宋体" w:cs="宋体"/>
          <w:color w:val="231F20"/>
          <w:spacing w:val="7"/>
          <w:sz w:val="20"/>
          <w:szCs w:val="20"/>
        </w:rPr>
        <w:t xml:space="preserve"> </w:t>
      </w:r>
      <w:r>
        <w:rPr>
          <w:rFonts w:ascii="宋体" w:hAnsi="宋体" w:eastAsia="宋体" w:cs="宋体"/>
          <w:color w:val="231F20"/>
          <w:spacing w:val="17"/>
          <w:sz w:val="20"/>
          <w:szCs w:val="20"/>
        </w:rPr>
        <w:t>与日益市场化的高等教育文化之间存在必然的紧</w:t>
      </w:r>
      <w:r>
        <w:rPr>
          <w:rFonts w:ascii="宋体" w:hAnsi="宋体" w:eastAsia="宋体" w:cs="宋体"/>
          <w:color w:val="231F20"/>
          <w:spacing w:val="12"/>
          <w:sz w:val="20"/>
          <w:szCs w:val="20"/>
        </w:rPr>
        <w:t xml:space="preserve"> </w:t>
      </w:r>
      <w:r>
        <w:rPr>
          <w:rFonts w:ascii="宋体" w:hAnsi="宋体" w:eastAsia="宋体" w:cs="宋体"/>
          <w:color w:val="231F20"/>
          <w:spacing w:val="7"/>
          <w:sz w:val="20"/>
          <w:szCs w:val="20"/>
        </w:rPr>
        <w:t>张。因为在一个竞争性而非学院制的体系中，很难</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区分学术评价与自利。同样，学术项目同行评审也</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存在类似弊端，被指空洞与徒劳，占据行政人员大</w:t>
      </w:r>
      <w:r>
        <w:rPr>
          <w:rFonts w:ascii="宋体" w:hAnsi="宋体" w:eastAsia="宋体" w:cs="宋体"/>
          <w:color w:val="231F20"/>
          <w:spacing w:val="15"/>
          <w:sz w:val="20"/>
          <w:szCs w:val="20"/>
        </w:rPr>
        <w:t xml:space="preserve"> </w:t>
      </w:r>
      <w:r>
        <w:rPr>
          <w:rFonts w:ascii="宋体" w:hAnsi="宋体" w:eastAsia="宋体" w:cs="宋体"/>
          <w:color w:val="231F20"/>
          <w:spacing w:val="4"/>
          <w:sz w:val="20"/>
          <w:szCs w:val="20"/>
        </w:rPr>
        <w:t>量繁忙的工作，而与资源分配与决策关联甚少</w:t>
      </w:r>
      <w:r>
        <w:rPr>
          <w:rFonts w:ascii="宋体" w:hAnsi="宋体" w:eastAsia="宋体" w:cs="宋体"/>
          <w:color w:val="231F20"/>
          <w:spacing w:val="4"/>
          <w:position w:val="8"/>
          <w:sz w:val="10"/>
          <w:szCs w:val="10"/>
        </w:rPr>
        <w:t>[</w:t>
      </w:r>
      <w:r>
        <w:rPr>
          <w:rFonts w:ascii="宋体" w:hAnsi="宋体" w:eastAsia="宋体" w:cs="宋体"/>
          <w:color w:val="231F20"/>
          <w:spacing w:val="3"/>
          <w:position w:val="8"/>
          <w:sz w:val="10"/>
          <w:szCs w:val="10"/>
        </w:rPr>
        <w:t>13]</w:t>
      </w:r>
      <w:r>
        <w:rPr>
          <w:rFonts w:ascii="宋体" w:hAnsi="宋体" w:eastAsia="宋体" w:cs="宋体"/>
          <w:color w:val="231F20"/>
          <w:spacing w:val="3"/>
          <w:sz w:val="20"/>
          <w:szCs w:val="20"/>
        </w:rPr>
        <w:t>。</w:t>
      </w:r>
    </w:p>
    <w:p>
      <w:pPr>
        <w:spacing w:before="91" w:line="300" w:lineRule="auto"/>
        <w:ind w:firstLine="422"/>
        <w:rPr>
          <w:rFonts w:ascii="宋体" w:hAnsi="宋体" w:eastAsia="宋体" w:cs="宋体"/>
          <w:sz w:val="20"/>
          <w:szCs w:val="20"/>
        </w:rPr>
      </w:pPr>
      <w:r>
        <w:rPr>
          <w:rFonts w:ascii="宋体" w:hAnsi="宋体" w:eastAsia="宋体" w:cs="宋体"/>
          <w:color w:val="231F20"/>
          <w:spacing w:val="-1"/>
          <w:sz w:val="20"/>
          <w:szCs w:val="20"/>
        </w:rPr>
        <w:t>保证（assurance)、问责（accountability</w:t>
      </w:r>
      <w:r>
        <w:rPr>
          <w:rFonts w:ascii="宋体" w:hAnsi="宋体" w:eastAsia="宋体" w:cs="宋体"/>
          <w:color w:val="231F20"/>
          <w:spacing w:val="55"/>
          <w:sz w:val="20"/>
          <w:szCs w:val="20"/>
        </w:rPr>
        <w:t xml:space="preserve"> </w:t>
      </w:r>
      <w:r>
        <w:rPr>
          <w:rFonts w:ascii="宋体" w:hAnsi="宋体" w:eastAsia="宋体" w:cs="宋体"/>
          <w:color w:val="231F20"/>
          <w:spacing w:val="-1"/>
          <w:sz w:val="20"/>
          <w:szCs w:val="20"/>
        </w:rPr>
        <w:t>)、</w:t>
      </w:r>
      <w:r>
        <w:rPr>
          <w:rFonts w:ascii="宋体" w:hAnsi="宋体" w:eastAsia="宋体" w:cs="宋体"/>
          <w:color w:val="231F20"/>
          <w:sz w:val="20"/>
          <w:szCs w:val="20"/>
        </w:rPr>
        <w:t xml:space="preserve"> </w:t>
      </w:r>
      <w:r>
        <w:rPr>
          <w:rFonts w:ascii="宋体" w:hAnsi="宋体" w:eastAsia="宋体" w:cs="宋体"/>
          <w:color w:val="231F20"/>
          <w:spacing w:val="2"/>
          <w:sz w:val="20"/>
          <w:szCs w:val="20"/>
        </w:rPr>
        <w:t>审计(</w:t>
      </w:r>
      <w:r>
        <w:rPr>
          <w:rFonts w:ascii="宋体" w:hAnsi="宋体" w:eastAsia="宋体" w:cs="宋体"/>
          <w:color w:val="231F20"/>
          <w:sz w:val="20"/>
          <w:szCs w:val="20"/>
        </w:rPr>
        <w:t>audit</w:t>
      </w:r>
      <w:r>
        <w:rPr>
          <w:rFonts w:ascii="宋体" w:hAnsi="宋体" w:eastAsia="宋体" w:cs="宋体"/>
          <w:color w:val="231F20"/>
          <w:spacing w:val="2"/>
          <w:sz w:val="20"/>
          <w:szCs w:val="20"/>
        </w:rPr>
        <w:t>)、评估(</w:t>
      </w:r>
      <w:r>
        <w:rPr>
          <w:rFonts w:ascii="宋体" w:hAnsi="宋体" w:eastAsia="宋体" w:cs="宋体"/>
          <w:color w:val="231F20"/>
          <w:sz w:val="20"/>
          <w:szCs w:val="20"/>
        </w:rPr>
        <w:t>assessment</w:t>
      </w:r>
      <w:r>
        <w:rPr>
          <w:rFonts w:ascii="宋体" w:hAnsi="宋体" w:eastAsia="宋体" w:cs="宋体"/>
          <w:color w:val="231F20"/>
          <w:spacing w:val="2"/>
          <w:sz w:val="20"/>
          <w:szCs w:val="20"/>
        </w:rPr>
        <w:t>)等以“立法者</w:t>
      </w:r>
      <w:r>
        <w:rPr>
          <w:rFonts w:ascii="宋体" w:hAnsi="宋体" w:eastAsia="宋体" w:cs="宋体"/>
          <w:color w:val="231F20"/>
          <w:spacing w:val="-72"/>
          <w:sz w:val="20"/>
          <w:szCs w:val="20"/>
        </w:rPr>
        <w:t xml:space="preserve"> </w:t>
      </w:r>
      <w:r>
        <w:rPr>
          <w:rFonts w:ascii="宋体" w:hAnsi="宋体" w:eastAsia="宋体" w:cs="宋体"/>
          <w:color w:val="231F20"/>
          <w:spacing w:val="2"/>
          <w:sz w:val="20"/>
          <w:szCs w:val="20"/>
        </w:rPr>
        <w:t xml:space="preserve">”形 </w:t>
      </w:r>
      <w:r>
        <w:rPr>
          <w:rFonts w:ascii="宋体" w:hAnsi="宋体" w:eastAsia="宋体" w:cs="宋体"/>
          <w:color w:val="231F20"/>
          <w:spacing w:val="7"/>
          <w:sz w:val="20"/>
          <w:szCs w:val="20"/>
        </w:rPr>
        <w:t xml:space="preserve">象出现的质量保证举措往往拘泥于程序与技术，其 </w:t>
      </w:r>
      <w:r>
        <w:rPr>
          <w:rFonts w:ascii="宋体" w:hAnsi="宋体" w:eastAsia="宋体" w:cs="宋体"/>
          <w:color w:val="231F20"/>
          <w:spacing w:val="16"/>
          <w:sz w:val="20"/>
          <w:szCs w:val="20"/>
        </w:rPr>
        <w:t xml:space="preserve">结构化方法的局限性显而易见。它忽视了人的热 </w:t>
      </w:r>
      <w:r>
        <w:rPr>
          <w:rFonts w:ascii="宋体" w:hAnsi="宋体" w:eastAsia="宋体" w:cs="宋体"/>
          <w:color w:val="231F20"/>
          <w:spacing w:val="-6"/>
          <w:sz w:val="20"/>
          <w:szCs w:val="20"/>
        </w:rPr>
        <w:t>情 (enthusiasm)、增</w:t>
      </w:r>
      <w:r>
        <w:rPr>
          <w:rFonts w:ascii="宋体" w:hAnsi="宋体" w:eastAsia="宋体" w:cs="宋体"/>
          <w:color w:val="231F20"/>
          <w:spacing w:val="-59"/>
          <w:sz w:val="20"/>
          <w:szCs w:val="20"/>
        </w:rPr>
        <w:t xml:space="preserve"> </w:t>
      </w:r>
      <w:r>
        <w:rPr>
          <w:rFonts w:ascii="宋体" w:hAnsi="宋体" w:eastAsia="宋体" w:cs="宋体"/>
          <w:color w:val="231F20"/>
          <w:spacing w:val="-6"/>
          <w:sz w:val="20"/>
          <w:szCs w:val="20"/>
        </w:rPr>
        <w:t>进（enhancement）、赋</w:t>
      </w:r>
      <w:r>
        <w:rPr>
          <w:rFonts w:ascii="宋体" w:hAnsi="宋体" w:eastAsia="宋体" w:cs="宋体"/>
          <w:color w:val="231F20"/>
          <w:spacing w:val="-49"/>
          <w:sz w:val="20"/>
          <w:szCs w:val="20"/>
        </w:rPr>
        <w:t xml:space="preserve"> </w:t>
      </w:r>
      <w:r>
        <w:rPr>
          <w:rFonts w:ascii="宋体" w:hAnsi="宋体" w:eastAsia="宋体" w:cs="宋体"/>
          <w:color w:val="231F20"/>
          <w:spacing w:val="-6"/>
          <w:sz w:val="20"/>
          <w:szCs w:val="20"/>
        </w:rPr>
        <w:t xml:space="preserve">能（em- </w:t>
      </w:r>
      <w:r>
        <w:rPr>
          <w:rFonts w:ascii="宋体" w:hAnsi="宋体" w:eastAsia="宋体" w:cs="宋体"/>
          <w:color w:val="231F20"/>
          <w:sz w:val="20"/>
          <w:szCs w:val="20"/>
        </w:rPr>
        <w:t>powerment</w:t>
      </w:r>
      <w:r>
        <w:rPr>
          <w:rFonts w:ascii="宋体" w:hAnsi="宋体" w:eastAsia="宋体" w:cs="宋体"/>
          <w:color w:val="231F20"/>
          <w:spacing w:val="4"/>
          <w:sz w:val="20"/>
          <w:szCs w:val="20"/>
        </w:rPr>
        <w:t>）与追求卓越（</w:t>
      </w:r>
      <w:r>
        <w:rPr>
          <w:rFonts w:ascii="宋体" w:hAnsi="宋体" w:eastAsia="宋体" w:cs="宋体"/>
          <w:color w:val="231F20"/>
          <w:sz w:val="20"/>
          <w:szCs w:val="20"/>
        </w:rPr>
        <w:t>excellence</w:t>
      </w:r>
      <w:r>
        <w:rPr>
          <w:rFonts w:ascii="宋体" w:hAnsi="宋体" w:eastAsia="宋体" w:cs="宋体"/>
          <w:color w:val="231F20"/>
          <w:spacing w:val="4"/>
          <w:sz w:val="20"/>
          <w:szCs w:val="20"/>
        </w:rPr>
        <w:t xml:space="preserve">）等生命元素 </w:t>
      </w:r>
      <w:r>
        <w:rPr>
          <w:rFonts w:ascii="宋体" w:hAnsi="宋体" w:eastAsia="宋体" w:cs="宋体"/>
          <w:color w:val="231F20"/>
          <w:spacing w:val="8"/>
          <w:sz w:val="20"/>
          <w:szCs w:val="20"/>
        </w:rPr>
        <w:t>对于质量改进的根本性意义。</w:t>
      </w:r>
    </w:p>
    <w:p>
      <w:pPr>
        <w:spacing w:before="91" w:line="572" w:lineRule="exact"/>
        <w:ind w:left="427"/>
        <w:rPr>
          <w:rFonts w:ascii="宋体" w:hAnsi="宋体" w:eastAsia="宋体" w:cs="宋体"/>
          <w:sz w:val="20"/>
          <w:szCs w:val="20"/>
        </w:rPr>
      </w:pPr>
      <w:r>
        <w:rPr>
          <w:rFonts w:ascii="宋体" w:hAnsi="宋体" w:eastAsia="宋体" w:cs="宋体"/>
          <w:color w:val="231F20"/>
          <w:spacing w:val="3"/>
          <w:position w:val="28"/>
          <w:sz w:val="20"/>
          <w:szCs w:val="20"/>
        </w:rPr>
        <w:t>与质量保证相比，质量增进（</w:t>
      </w:r>
      <w:r>
        <w:rPr>
          <w:rFonts w:ascii="宋体" w:hAnsi="宋体" w:eastAsia="宋体" w:cs="宋体"/>
          <w:color w:val="231F20"/>
          <w:position w:val="28"/>
          <w:sz w:val="20"/>
          <w:szCs w:val="20"/>
        </w:rPr>
        <w:t>enhancement</w:t>
      </w:r>
      <w:r>
        <w:rPr>
          <w:rFonts w:ascii="宋体" w:hAnsi="宋体" w:eastAsia="宋体" w:cs="宋体"/>
          <w:color w:val="231F20"/>
          <w:spacing w:val="3"/>
          <w:position w:val="28"/>
          <w:sz w:val="20"/>
          <w:szCs w:val="20"/>
        </w:rPr>
        <w:t>）是</w:t>
      </w:r>
    </w:p>
    <w:p>
      <w:pPr>
        <w:spacing w:line="148" w:lineRule="exact"/>
        <w:ind w:left="4166"/>
        <w:rPr>
          <w:rFonts w:ascii="宋体" w:hAnsi="宋体" w:eastAsia="宋体" w:cs="宋体"/>
          <w:sz w:val="20"/>
          <w:szCs w:val="20"/>
        </w:rPr>
      </w:pPr>
      <w:r>
        <w:rPr>
          <w:rFonts w:ascii="宋体" w:hAnsi="宋体" w:eastAsia="宋体" w:cs="宋体"/>
          <w:color w:val="231F20"/>
          <w:spacing w:val="-4"/>
          <w:position w:val="-3"/>
          <w:sz w:val="20"/>
          <w:szCs w:val="20"/>
        </w:rPr>
        <w:t>19</w:t>
      </w:r>
    </w:p>
    <w:p>
      <w:pPr>
        <w:spacing w:line="148" w:lineRule="exact"/>
        <w:rPr>
          <w:rFonts w:ascii="宋体" w:hAnsi="宋体" w:eastAsia="宋体" w:cs="宋体"/>
          <w:sz w:val="20"/>
          <w:szCs w:val="20"/>
        </w:rPr>
        <w:sectPr>
          <w:type w:val="continuous"/>
          <w:pgSz w:w="12416" w:h="16612"/>
          <w:pgMar w:top="1480" w:right="1457" w:bottom="547" w:left="407" w:header="1150" w:footer="354" w:gutter="0"/>
          <w:cols w:equalWidth="0" w:num="2">
            <w:col w:w="5804" w:space="100"/>
            <w:col w:w="4647"/>
          </w:cols>
        </w:sectPr>
      </w:pPr>
    </w:p>
    <w:p>
      <w:pPr>
        <w:spacing w:line="219" w:lineRule="exact"/>
      </w:pPr>
      <w:r>
        <w:pict>
          <v:shape id="_x0000_s1032" o:spid="_x0000_s1032" style="position:absolute;left:0pt;margin-left:76.5pt;margin-top:73.3pt;height:0.8pt;width:479.1pt;mso-position-horizontal-relative:page;mso-position-vertical-relative:page;z-index:251660288;mso-width-relative:page;mso-height-relative:page;" filled="f" stroked="t" coordsize="9582,16" o:allowincell="f" path="m0,6l9581,8e">
            <v:fill on="f" focussize="0,0"/>
            <v:stroke weight="0.68pt" color="#000000" miterlimit="4" joinstyle="miter"/>
            <v:imagedata o:title=""/>
            <o:lock v:ext="edit"/>
          </v:shape>
        </w:pict>
      </w:r>
    </w:p>
    <w:p>
      <w:pPr>
        <w:spacing w:line="219" w:lineRule="exact"/>
        <w:sectPr>
          <w:headerReference r:id="rId10" w:type="default"/>
          <w:footerReference r:id="rId11" w:type="default"/>
          <w:pgSz w:w="12416" w:h="16612"/>
          <w:pgMar w:top="1380" w:right="1230" w:bottom="547" w:left="407" w:header="1149" w:footer="354" w:gutter="0"/>
          <w:cols w:equalWidth="0" w:num="1">
            <w:col w:w="10778"/>
          </w:cols>
        </w:sectPr>
      </w:pPr>
    </w:p>
    <w:p>
      <w:pPr>
        <w:spacing w:before="44" w:line="295" w:lineRule="auto"/>
        <w:ind w:left="1130" w:right="267" w:firstLine="3"/>
        <w:jc w:val="both"/>
        <w:rPr>
          <w:rFonts w:ascii="宋体" w:hAnsi="宋体" w:eastAsia="宋体" w:cs="宋体"/>
          <w:sz w:val="20"/>
          <w:szCs w:val="20"/>
        </w:rPr>
      </w:pPr>
      <w:r>
        <w:rPr>
          <w:rFonts w:ascii="宋体" w:hAnsi="宋体" w:eastAsia="宋体" w:cs="宋体"/>
          <w:color w:val="231F20"/>
          <w:spacing w:val="7"/>
          <w:sz w:val="20"/>
          <w:szCs w:val="20"/>
        </w:rPr>
        <w:t>教学中一个审慎的转化性变化过程，直接涉及附加</w:t>
      </w:r>
      <w:r>
        <w:rPr>
          <w:rFonts w:ascii="宋体" w:hAnsi="宋体" w:eastAsia="宋体" w:cs="宋体"/>
          <w:color w:val="231F20"/>
          <w:spacing w:val="12"/>
          <w:sz w:val="20"/>
          <w:szCs w:val="20"/>
        </w:rPr>
        <w:t xml:space="preserve"> </w:t>
      </w:r>
      <w:r>
        <w:rPr>
          <w:rFonts w:ascii="宋体" w:hAnsi="宋体" w:eastAsia="宋体" w:cs="宋体"/>
          <w:color w:val="231F20"/>
          <w:spacing w:val="10"/>
          <w:sz w:val="20"/>
          <w:szCs w:val="20"/>
        </w:rPr>
        <w:t>价值与提高质量。因质量增进过程的变革性本质，</w:t>
      </w:r>
      <w:r>
        <w:rPr>
          <w:rFonts w:ascii="宋体" w:hAnsi="宋体" w:eastAsia="宋体" w:cs="宋体"/>
          <w:color w:val="231F20"/>
          <w:spacing w:val="14"/>
          <w:sz w:val="20"/>
          <w:szCs w:val="20"/>
        </w:rPr>
        <w:t xml:space="preserve"> </w:t>
      </w:r>
      <w:r>
        <w:rPr>
          <w:rFonts w:ascii="宋体" w:hAnsi="宋体" w:eastAsia="宋体" w:cs="宋体"/>
          <w:color w:val="231F20"/>
          <w:spacing w:val="17"/>
          <w:sz w:val="20"/>
          <w:szCs w:val="20"/>
        </w:rPr>
        <w:t>这就是我们要把重心放在质量增进而不是质量保</w:t>
      </w:r>
      <w:r>
        <w:rPr>
          <w:rFonts w:ascii="宋体" w:hAnsi="宋体" w:eastAsia="宋体" w:cs="宋体"/>
          <w:color w:val="231F20"/>
          <w:spacing w:val="12"/>
          <w:sz w:val="20"/>
          <w:szCs w:val="20"/>
        </w:rPr>
        <w:t xml:space="preserve"> </w:t>
      </w:r>
      <w:r>
        <w:rPr>
          <w:rFonts w:ascii="宋体" w:hAnsi="宋体" w:eastAsia="宋体" w:cs="宋体"/>
          <w:color w:val="231F20"/>
          <w:spacing w:val="17"/>
          <w:sz w:val="20"/>
          <w:szCs w:val="20"/>
        </w:rPr>
        <w:t>证上的原因。研究表明利用资源进行质量增进可</w:t>
      </w:r>
      <w:r>
        <w:rPr>
          <w:rFonts w:ascii="宋体" w:hAnsi="宋体" w:eastAsia="宋体" w:cs="宋体"/>
          <w:color w:val="231F20"/>
          <w:spacing w:val="12"/>
          <w:sz w:val="20"/>
          <w:szCs w:val="20"/>
        </w:rPr>
        <w:t xml:space="preserve"> </w:t>
      </w:r>
      <w:r>
        <w:rPr>
          <w:rFonts w:ascii="宋体" w:hAnsi="宋体" w:eastAsia="宋体" w:cs="宋体"/>
          <w:color w:val="231F20"/>
          <w:spacing w:val="6"/>
          <w:sz w:val="20"/>
          <w:szCs w:val="20"/>
        </w:rPr>
        <w:t>以明显提高教学质量</w:t>
      </w:r>
      <w:r>
        <w:rPr>
          <w:rFonts w:ascii="宋体" w:hAnsi="宋体" w:eastAsia="宋体" w:cs="宋体"/>
          <w:color w:val="231F20"/>
          <w:spacing w:val="6"/>
          <w:position w:val="8"/>
          <w:sz w:val="10"/>
          <w:szCs w:val="10"/>
        </w:rPr>
        <w:t>[14]</w:t>
      </w:r>
      <w:r>
        <w:rPr>
          <w:rFonts w:ascii="宋体" w:hAnsi="宋体" w:eastAsia="宋体" w:cs="宋体"/>
          <w:color w:val="231F20"/>
          <w:spacing w:val="6"/>
          <w:sz w:val="20"/>
          <w:szCs w:val="20"/>
        </w:rPr>
        <w:t>。</w:t>
      </w:r>
    </w:p>
    <w:p>
      <w:pPr>
        <w:spacing w:before="90" w:line="300" w:lineRule="auto"/>
        <w:ind w:left="1130" w:right="332" w:firstLine="424"/>
        <w:jc w:val="both"/>
        <w:rPr>
          <w:rFonts w:ascii="宋体" w:hAnsi="宋体" w:eastAsia="宋体" w:cs="宋体"/>
          <w:sz w:val="20"/>
          <w:szCs w:val="20"/>
        </w:rPr>
      </w:pPr>
      <w:r>
        <w:rPr>
          <w:rFonts w:ascii="宋体" w:hAnsi="宋体" w:eastAsia="宋体" w:cs="宋体"/>
          <w:color w:val="231F20"/>
          <w:spacing w:val="7"/>
          <w:sz w:val="20"/>
          <w:szCs w:val="20"/>
        </w:rPr>
        <w:t>从工商业领域引入的基标法、绩效指标等构成</w:t>
      </w:r>
      <w:r>
        <w:rPr>
          <w:rFonts w:ascii="宋体" w:hAnsi="宋体" w:eastAsia="宋体" w:cs="宋体"/>
          <w:color w:val="231F20"/>
          <w:spacing w:val="5"/>
          <w:sz w:val="20"/>
          <w:szCs w:val="20"/>
        </w:rPr>
        <w:t xml:space="preserve"> </w:t>
      </w:r>
      <w:r>
        <w:rPr>
          <w:rFonts w:ascii="宋体" w:hAnsi="宋体" w:eastAsia="宋体" w:cs="宋体"/>
          <w:color w:val="231F20"/>
          <w:spacing w:val="7"/>
          <w:sz w:val="20"/>
          <w:szCs w:val="20"/>
        </w:rPr>
        <w:t>了我们今天所言的系统的、正式的高等教育质量保</w:t>
      </w:r>
      <w:r>
        <w:rPr>
          <w:rFonts w:ascii="宋体" w:hAnsi="宋体" w:eastAsia="宋体" w:cs="宋体"/>
          <w:color w:val="231F20"/>
          <w:spacing w:val="15"/>
          <w:sz w:val="20"/>
          <w:szCs w:val="20"/>
        </w:rPr>
        <w:t xml:space="preserve"> </w:t>
      </w:r>
      <w:r>
        <w:rPr>
          <w:rFonts w:ascii="宋体" w:hAnsi="宋体" w:eastAsia="宋体" w:cs="宋体"/>
          <w:color w:val="231F20"/>
          <w:spacing w:val="17"/>
          <w:sz w:val="20"/>
          <w:szCs w:val="20"/>
        </w:rPr>
        <w:t>证。它在某种意义上是审计社会和评估型国家的</w:t>
      </w:r>
      <w:r>
        <w:rPr>
          <w:rFonts w:ascii="宋体" w:hAnsi="宋体" w:eastAsia="宋体" w:cs="宋体"/>
          <w:color w:val="231F20"/>
          <w:spacing w:val="12"/>
          <w:sz w:val="20"/>
          <w:szCs w:val="20"/>
        </w:rPr>
        <w:t xml:space="preserve"> </w:t>
      </w:r>
      <w:r>
        <w:rPr>
          <w:rFonts w:ascii="宋体" w:hAnsi="宋体" w:eastAsia="宋体" w:cs="宋体"/>
          <w:color w:val="231F20"/>
          <w:spacing w:val="14"/>
          <w:sz w:val="20"/>
          <w:szCs w:val="20"/>
        </w:rPr>
        <w:t>产物</w:t>
      </w:r>
      <w:r>
        <w:rPr>
          <w:rFonts w:ascii="宋体" w:hAnsi="宋体" w:eastAsia="宋体" w:cs="宋体"/>
          <w:color w:val="231F20"/>
          <w:spacing w:val="14"/>
          <w:position w:val="8"/>
          <w:sz w:val="10"/>
          <w:szCs w:val="10"/>
        </w:rPr>
        <w:t>[15]</w:t>
      </w:r>
      <w:r>
        <w:rPr>
          <w:rFonts w:ascii="宋体" w:hAnsi="宋体" w:eastAsia="宋体" w:cs="宋体"/>
          <w:color w:val="231F20"/>
          <w:spacing w:val="-17"/>
          <w:position w:val="8"/>
          <w:sz w:val="10"/>
          <w:szCs w:val="10"/>
        </w:rPr>
        <w:t xml:space="preserve"> </w:t>
      </w:r>
      <w:r>
        <w:rPr>
          <w:rFonts w:ascii="宋体" w:hAnsi="宋体" w:eastAsia="宋体" w:cs="宋体"/>
          <w:color w:val="231F20"/>
          <w:spacing w:val="14"/>
          <w:sz w:val="20"/>
          <w:szCs w:val="20"/>
        </w:rPr>
        <w:t>。教育世界被科学化、公式化和精细化以</w:t>
      </w:r>
      <w:r>
        <w:rPr>
          <w:rFonts w:ascii="宋体" w:hAnsi="宋体" w:eastAsia="宋体" w:cs="宋体"/>
          <w:color w:val="231F20"/>
          <w:sz w:val="20"/>
          <w:szCs w:val="20"/>
        </w:rPr>
        <w:t xml:space="preserve"> </w:t>
      </w:r>
      <w:r>
        <w:rPr>
          <w:rFonts w:ascii="宋体" w:hAnsi="宋体" w:eastAsia="宋体" w:cs="宋体"/>
          <w:color w:val="231F20"/>
          <w:spacing w:val="7"/>
          <w:sz w:val="20"/>
          <w:szCs w:val="20"/>
        </w:rPr>
        <w:t>后，就失去了它的人文意蕴和价值情思，失去了它</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的生命关切和人性基础，从而也就失去了它的灵性</w:t>
      </w:r>
      <w:r>
        <w:rPr>
          <w:rFonts w:ascii="宋体" w:hAnsi="宋体" w:eastAsia="宋体" w:cs="宋体"/>
          <w:color w:val="231F20"/>
          <w:spacing w:val="15"/>
          <w:sz w:val="20"/>
          <w:szCs w:val="20"/>
        </w:rPr>
        <w:t xml:space="preserve"> </w:t>
      </w:r>
      <w:r>
        <w:rPr>
          <w:rFonts w:ascii="宋体" w:hAnsi="宋体" w:eastAsia="宋体" w:cs="宋体"/>
          <w:color w:val="231F20"/>
          <w:spacing w:val="1"/>
          <w:sz w:val="20"/>
          <w:szCs w:val="20"/>
        </w:rPr>
        <w:t>与魅力，失去了它的活力与生机</w:t>
      </w:r>
      <w:r>
        <w:rPr>
          <w:rFonts w:ascii="宋体" w:hAnsi="宋体" w:eastAsia="宋体" w:cs="宋体"/>
          <w:color w:val="231F20"/>
          <w:spacing w:val="1"/>
          <w:position w:val="8"/>
          <w:sz w:val="10"/>
          <w:szCs w:val="10"/>
        </w:rPr>
        <w:t>[16]</w:t>
      </w:r>
      <w:r>
        <w:rPr>
          <w:rFonts w:ascii="宋体" w:hAnsi="宋体" w:eastAsia="宋体" w:cs="宋体"/>
          <w:color w:val="231F20"/>
          <w:spacing w:val="1"/>
          <w:sz w:val="20"/>
          <w:szCs w:val="20"/>
        </w:rPr>
        <w:t>。</w:t>
      </w:r>
    </w:p>
    <w:p>
      <w:pPr>
        <w:spacing w:before="92" w:line="298" w:lineRule="auto"/>
        <w:ind w:left="1130" w:right="258" w:firstLine="419"/>
        <w:jc w:val="both"/>
        <w:rPr>
          <w:rFonts w:ascii="宋体" w:hAnsi="宋体" w:eastAsia="宋体" w:cs="宋体"/>
          <w:sz w:val="20"/>
          <w:szCs w:val="20"/>
        </w:rPr>
      </w:pPr>
      <w:r>
        <w:rPr>
          <w:rFonts w:ascii="宋体" w:hAnsi="宋体" w:eastAsia="宋体" w:cs="宋体"/>
          <w:color w:val="231F20"/>
          <w:spacing w:val="17"/>
          <w:sz w:val="20"/>
          <w:szCs w:val="20"/>
        </w:rPr>
        <w:t xml:space="preserve">质量保证与控制等外在质量管理方法是机械 </w:t>
      </w:r>
      <w:r>
        <w:rPr>
          <w:rFonts w:ascii="宋体" w:hAnsi="宋体" w:eastAsia="宋体" w:cs="宋体"/>
          <w:color w:val="231F20"/>
          <w:spacing w:val="2"/>
          <w:sz w:val="20"/>
          <w:szCs w:val="20"/>
        </w:rPr>
        <w:t>的、技术的、自上而下的，在本质上是结构</w:t>
      </w:r>
      <w:r>
        <w:rPr>
          <w:rFonts w:ascii="宋体" w:hAnsi="宋体" w:eastAsia="宋体" w:cs="宋体"/>
          <w:color w:val="231F20"/>
          <w:spacing w:val="1"/>
          <w:sz w:val="20"/>
          <w:szCs w:val="20"/>
        </w:rPr>
        <w:t>主义的，</w:t>
      </w:r>
      <w:r>
        <w:rPr>
          <w:rFonts w:ascii="宋体" w:hAnsi="宋体" w:eastAsia="宋体" w:cs="宋体"/>
          <w:color w:val="231F20"/>
          <w:sz w:val="20"/>
          <w:szCs w:val="20"/>
        </w:rPr>
        <w:t xml:space="preserve"> </w:t>
      </w:r>
      <w:r>
        <w:rPr>
          <w:rFonts w:ascii="宋体" w:hAnsi="宋体" w:eastAsia="宋体" w:cs="宋体"/>
          <w:color w:val="231F20"/>
          <w:spacing w:val="7"/>
          <w:sz w:val="20"/>
          <w:szCs w:val="20"/>
        </w:rPr>
        <w:t xml:space="preserve">并不能揭示教育教学的现实生态，忽视了教育中的 </w:t>
      </w:r>
      <w:r>
        <w:rPr>
          <w:rFonts w:ascii="宋体" w:hAnsi="宋体" w:eastAsia="宋体" w:cs="宋体"/>
          <w:color w:val="231F20"/>
          <w:spacing w:val="16"/>
          <w:sz w:val="20"/>
          <w:szCs w:val="20"/>
        </w:rPr>
        <w:t xml:space="preserve">人的因素。任何真正的教育质量的达成是与学生 </w:t>
      </w:r>
      <w:r>
        <w:rPr>
          <w:rFonts w:ascii="宋体" w:hAnsi="宋体" w:eastAsia="宋体" w:cs="宋体"/>
          <w:color w:val="231F20"/>
          <w:spacing w:val="-7"/>
          <w:sz w:val="20"/>
          <w:szCs w:val="20"/>
        </w:rPr>
        <w:t>的动机、信念、情感、价值观，以及教师的道德态度、</w:t>
      </w:r>
      <w:r>
        <w:rPr>
          <w:rFonts w:ascii="宋体" w:hAnsi="宋体" w:eastAsia="宋体" w:cs="宋体"/>
          <w:color w:val="231F20"/>
          <w:spacing w:val="10"/>
          <w:sz w:val="20"/>
          <w:szCs w:val="20"/>
        </w:rPr>
        <w:t xml:space="preserve"> </w:t>
      </w:r>
      <w:r>
        <w:rPr>
          <w:rFonts w:ascii="宋体" w:hAnsi="宋体" w:eastAsia="宋体" w:cs="宋体"/>
          <w:color w:val="231F20"/>
          <w:spacing w:val="3"/>
          <w:sz w:val="20"/>
          <w:szCs w:val="20"/>
        </w:rPr>
        <w:t>认同感、专业能力与文化素养息息相关。</w:t>
      </w:r>
    </w:p>
    <w:p>
      <w:pPr>
        <w:spacing w:line="361" w:lineRule="auto"/>
        <w:rPr>
          <w:rFonts w:ascii="Arial"/>
          <w:sz w:val="21"/>
        </w:rPr>
      </w:pPr>
    </w:p>
    <w:p>
      <w:pPr>
        <w:spacing w:before="65" w:line="228" w:lineRule="auto"/>
        <w:ind w:left="1556"/>
        <w:rPr>
          <w:rFonts w:ascii="黑体" w:hAnsi="黑体" w:eastAsia="黑体" w:cs="黑体"/>
          <w:sz w:val="20"/>
          <w:szCs w:val="20"/>
        </w:rPr>
      </w:pPr>
      <w:r>
        <w:rPr>
          <w:rFonts w:ascii="黑体" w:hAnsi="黑体" w:eastAsia="黑体" w:cs="黑体"/>
          <w:color w:val="231F20"/>
          <w:spacing w:val="3"/>
          <w:sz w:val="20"/>
          <w:szCs w:val="20"/>
        </w:rPr>
        <w:t>二、质量文化观对高等教育质量的解释力</w:t>
      </w:r>
    </w:p>
    <w:p>
      <w:pPr>
        <w:spacing w:line="363" w:lineRule="auto"/>
        <w:rPr>
          <w:rFonts w:ascii="Arial"/>
          <w:sz w:val="21"/>
        </w:rPr>
      </w:pPr>
    </w:p>
    <w:p>
      <w:pPr>
        <w:spacing w:before="65" w:line="291" w:lineRule="auto"/>
        <w:ind w:left="1130" w:right="332" w:firstLine="420"/>
        <w:rPr>
          <w:rFonts w:ascii="宋体" w:hAnsi="宋体" w:eastAsia="宋体" w:cs="宋体"/>
          <w:sz w:val="20"/>
          <w:szCs w:val="20"/>
        </w:rPr>
      </w:pPr>
      <w:r>
        <w:rPr>
          <w:rFonts w:ascii="宋体" w:hAnsi="宋体" w:eastAsia="宋体" w:cs="宋体"/>
          <w:color w:val="231F20"/>
          <w:spacing w:val="7"/>
          <w:sz w:val="20"/>
          <w:szCs w:val="20"/>
        </w:rPr>
        <w:t>人们对于文化有共时的理解，但更多是从历时 的角度，描述其功能性、行为性与创生性。因此从</w:t>
      </w:r>
      <w:r>
        <w:rPr>
          <w:rFonts w:ascii="宋体" w:hAnsi="宋体" w:eastAsia="宋体" w:cs="宋体"/>
          <w:color w:val="231F20"/>
          <w:spacing w:val="14"/>
          <w:sz w:val="20"/>
          <w:szCs w:val="20"/>
        </w:rPr>
        <w:t xml:space="preserve"> </w:t>
      </w:r>
      <w:r>
        <w:rPr>
          <w:rFonts w:ascii="宋体" w:hAnsi="宋体" w:eastAsia="宋体" w:cs="宋体"/>
          <w:color w:val="231F20"/>
          <w:spacing w:val="17"/>
          <w:sz w:val="20"/>
          <w:szCs w:val="20"/>
        </w:rPr>
        <w:t>学生或学术共同体的转变性转化更能说明高等教</w:t>
      </w:r>
      <w:r>
        <w:rPr>
          <w:rFonts w:ascii="宋体" w:hAnsi="宋体" w:eastAsia="宋体" w:cs="宋体"/>
          <w:color w:val="231F20"/>
          <w:spacing w:val="11"/>
          <w:sz w:val="20"/>
          <w:szCs w:val="20"/>
        </w:rPr>
        <w:t xml:space="preserve"> </w:t>
      </w:r>
      <w:r>
        <w:rPr>
          <w:rFonts w:ascii="宋体" w:hAnsi="宋体" w:eastAsia="宋体" w:cs="宋体"/>
          <w:color w:val="231F20"/>
          <w:spacing w:val="7"/>
          <w:sz w:val="20"/>
          <w:szCs w:val="20"/>
        </w:rPr>
        <w:t>育质量的特质。</w:t>
      </w:r>
    </w:p>
    <w:p>
      <w:pPr>
        <w:pStyle w:val="2"/>
        <w:spacing w:before="91" w:line="224" w:lineRule="auto"/>
        <w:ind w:left="1471"/>
        <w:rPr>
          <w:sz w:val="20"/>
          <w:szCs w:val="20"/>
        </w:rPr>
      </w:pPr>
      <w:r>
        <w:rPr>
          <w:color w:val="231F20"/>
          <w:spacing w:val="-6"/>
          <w:sz w:val="20"/>
          <w:szCs w:val="20"/>
        </w:rPr>
        <w:t>（一）文化概念的重审：内涵与特质</w:t>
      </w:r>
    </w:p>
    <w:p>
      <w:pPr>
        <w:spacing w:before="96" w:line="300" w:lineRule="auto"/>
        <w:ind w:left="1130" w:right="144" w:firstLine="422"/>
        <w:rPr>
          <w:rFonts w:ascii="宋体" w:hAnsi="宋体" w:eastAsia="宋体" w:cs="宋体"/>
          <w:sz w:val="20"/>
          <w:szCs w:val="20"/>
        </w:rPr>
      </w:pPr>
      <w:r>
        <w:rPr>
          <w:rFonts w:ascii="宋体" w:hAnsi="宋体" w:eastAsia="宋体" w:cs="宋体"/>
          <w:color w:val="231F20"/>
          <w:spacing w:val="2"/>
          <w:sz w:val="20"/>
          <w:szCs w:val="20"/>
        </w:rPr>
        <w:t>文化的英文“</w:t>
      </w:r>
      <w:r>
        <w:rPr>
          <w:rFonts w:ascii="宋体" w:hAnsi="宋体" w:eastAsia="宋体" w:cs="宋体"/>
          <w:color w:val="231F20"/>
          <w:sz w:val="20"/>
          <w:szCs w:val="20"/>
        </w:rPr>
        <w:t>culture</w:t>
      </w:r>
      <w:r>
        <w:rPr>
          <w:rFonts w:ascii="宋体" w:hAnsi="宋体" w:eastAsia="宋体" w:cs="宋体"/>
          <w:color w:val="231F20"/>
          <w:spacing w:val="2"/>
          <w:sz w:val="20"/>
          <w:szCs w:val="20"/>
        </w:rPr>
        <w:t>”,是由拉丁语“</w:t>
      </w:r>
      <w:r>
        <w:rPr>
          <w:rFonts w:ascii="宋体" w:hAnsi="宋体" w:eastAsia="宋体" w:cs="宋体"/>
          <w:color w:val="231F20"/>
          <w:sz w:val="20"/>
          <w:szCs w:val="20"/>
        </w:rPr>
        <w:t>cultura</w:t>
      </w:r>
      <w:r>
        <w:rPr>
          <w:rFonts w:ascii="宋体" w:hAnsi="宋体" w:eastAsia="宋体" w:cs="宋体"/>
          <w:color w:val="231F20"/>
          <w:spacing w:val="2"/>
          <w:sz w:val="20"/>
          <w:szCs w:val="20"/>
        </w:rPr>
        <w:t>”</w:t>
      </w:r>
      <w:r>
        <w:rPr>
          <w:rFonts w:ascii="宋体" w:hAnsi="宋体" w:eastAsia="宋体" w:cs="宋体"/>
          <w:color w:val="231F20"/>
          <w:spacing w:val="5"/>
          <w:sz w:val="20"/>
          <w:szCs w:val="20"/>
        </w:rPr>
        <w:t xml:space="preserve"> </w:t>
      </w:r>
      <w:r>
        <w:rPr>
          <w:rFonts w:ascii="宋体" w:hAnsi="宋体" w:eastAsia="宋体" w:cs="宋体"/>
          <w:color w:val="231F20"/>
          <w:spacing w:val="-2"/>
          <w:sz w:val="20"/>
          <w:szCs w:val="20"/>
        </w:rPr>
        <w:t>演变而来，其最初的语义包括培育、栽培、种植等意</w:t>
      </w:r>
      <w:r>
        <w:rPr>
          <w:rFonts w:ascii="宋体" w:hAnsi="宋体" w:eastAsia="宋体" w:cs="宋体"/>
          <w:color w:val="231F20"/>
          <w:spacing w:val="5"/>
          <w:sz w:val="20"/>
          <w:szCs w:val="20"/>
        </w:rPr>
        <w:t xml:space="preserve">   </w:t>
      </w:r>
      <w:r>
        <w:rPr>
          <w:rFonts w:ascii="宋体" w:hAnsi="宋体" w:eastAsia="宋体" w:cs="宋体"/>
          <w:color w:val="231F20"/>
          <w:spacing w:val="10"/>
          <w:sz w:val="20"/>
          <w:szCs w:val="20"/>
        </w:rPr>
        <w:t>义。据考究，该词从</w:t>
      </w:r>
      <w:r>
        <w:rPr>
          <w:rFonts w:ascii="宋体" w:hAnsi="宋体" w:eastAsia="宋体" w:cs="宋体"/>
          <w:color w:val="231F20"/>
          <w:spacing w:val="-36"/>
          <w:sz w:val="20"/>
          <w:szCs w:val="20"/>
        </w:rPr>
        <w:t xml:space="preserve"> </w:t>
      </w:r>
      <w:r>
        <w:rPr>
          <w:rFonts w:ascii="宋体" w:hAnsi="宋体" w:eastAsia="宋体" w:cs="宋体"/>
          <w:color w:val="231F20"/>
          <w:spacing w:val="10"/>
          <w:sz w:val="20"/>
          <w:szCs w:val="20"/>
        </w:rPr>
        <w:t>15世纪早期被吸收进入英语。</w:t>
      </w:r>
      <w:r>
        <w:rPr>
          <w:rFonts w:ascii="宋体" w:hAnsi="宋体" w:eastAsia="宋体" w:cs="宋体"/>
          <w:color w:val="231F20"/>
          <w:sz w:val="20"/>
          <w:szCs w:val="20"/>
        </w:rPr>
        <w:t xml:space="preserve"> </w:t>
      </w:r>
      <w:r>
        <w:rPr>
          <w:rFonts w:ascii="宋体" w:hAnsi="宋体" w:eastAsia="宋体" w:cs="宋体"/>
          <w:color w:val="231F20"/>
          <w:spacing w:val="-5"/>
          <w:sz w:val="20"/>
          <w:szCs w:val="20"/>
        </w:rPr>
        <w:t>其隐喻意义“心智的培养”可以在培根（Bacon）、霍</w:t>
      </w:r>
      <w:r>
        <w:rPr>
          <w:rFonts w:ascii="宋体" w:hAnsi="宋体" w:eastAsia="宋体" w:cs="宋体"/>
          <w:color w:val="231F20"/>
          <w:sz w:val="20"/>
          <w:szCs w:val="20"/>
        </w:rPr>
        <w:t xml:space="preserve">   </w:t>
      </w:r>
      <w:r>
        <w:rPr>
          <w:rFonts w:ascii="宋体" w:hAnsi="宋体" w:eastAsia="宋体" w:cs="宋体"/>
          <w:color w:val="231F20"/>
          <w:spacing w:val="8"/>
          <w:sz w:val="20"/>
          <w:szCs w:val="20"/>
        </w:rPr>
        <w:t>布斯（</w:t>
      </w:r>
      <w:r>
        <w:rPr>
          <w:rFonts w:ascii="宋体" w:hAnsi="宋体" w:eastAsia="宋体" w:cs="宋体"/>
          <w:color w:val="231F20"/>
          <w:sz w:val="20"/>
          <w:szCs w:val="20"/>
        </w:rPr>
        <w:t>Hobbes</w:t>
      </w:r>
      <w:r>
        <w:rPr>
          <w:rFonts w:ascii="宋体" w:hAnsi="宋体" w:eastAsia="宋体" w:cs="宋体"/>
          <w:color w:val="231F20"/>
          <w:spacing w:val="8"/>
          <w:sz w:val="20"/>
          <w:szCs w:val="20"/>
        </w:rPr>
        <w:t>）等名人著作中看到。之后文化一词</w:t>
      </w:r>
      <w:r>
        <w:rPr>
          <w:rFonts w:ascii="宋体" w:hAnsi="宋体" w:eastAsia="宋体" w:cs="宋体"/>
          <w:color w:val="231F20"/>
          <w:spacing w:val="5"/>
          <w:sz w:val="20"/>
          <w:szCs w:val="20"/>
        </w:rPr>
        <w:t xml:space="preserve">   </w:t>
      </w:r>
      <w:r>
        <w:rPr>
          <w:rFonts w:ascii="宋体" w:hAnsi="宋体" w:eastAsia="宋体" w:cs="宋体"/>
          <w:color w:val="231F20"/>
          <w:spacing w:val="7"/>
          <w:sz w:val="20"/>
          <w:szCs w:val="20"/>
        </w:rPr>
        <w:t>的语义进一步丰富，并成为英语世界两三个最为复</w:t>
      </w:r>
      <w:r>
        <w:rPr>
          <w:rFonts w:ascii="宋体" w:hAnsi="宋体" w:eastAsia="宋体" w:cs="宋体"/>
          <w:color w:val="231F20"/>
          <w:spacing w:val="5"/>
          <w:sz w:val="20"/>
          <w:szCs w:val="20"/>
        </w:rPr>
        <w:t xml:space="preserve">   </w:t>
      </w:r>
      <w:r>
        <w:rPr>
          <w:rFonts w:ascii="宋体" w:hAnsi="宋体" w:eastAsia="宋体" w:cs="宋体"/>
          <w:color w:val="231F20"/>
          <w:spacing w:val="7"/>
          <w:sz w:val="20"/>
          <w:szCs w:val="20"/>
        </w:rPr>
        <w:t>杂的词语之一。</w:t>
      </w:r>
    </w:p>
    <w:p>
      <w:pPr>
        <w:spacing w:before="88" w:line="302" w:lineRule="auto"/>
        <w:ind w:left="1129" w:right="258" w:firstLine="442"/>
        <w:rPr>
          <w:rFonts w:ascii="宋体" w:hAnsi="宋体" w:eastAsia="宋体" w:cs="宋体"/>
          <w:sz w:val="20"/>
          <w:szCs w:val="20"/>
        </w:rPr>
      </w:pPr>
      <w:r>
        <w:rPr>
          <w:rFonts w:ascii="宋体" w:hAnsi="宋体" w:eastAsia="宋体" w:cs="宋体"/>
          <w:color w:val="231F20"/>
          <w:spacing w:val="5"/>
          <w:sz w:val="20"/>
          <w:szCs w:val="20"/>
        </w:rPr>
        <w:t>国外学者博德利（</w:t>
      </w:r>
      <w:r>
        <w:rPr>
          <w:rFonts w:ascii="宋体" w:hAnsi="宋体" w:eastAsia="宋体" w:cs="宋体"/>
          <w:color w:val="231F20"/>
          <w:sz w:val="20"/>
          <w:szCs w:val="20"/>
        </w:rPr>
        <w:t>Bodley</w:t>
      </w:r>
      <w:r>
        <w:rPr>
          <w:rFonts w:ascii="宋体" w:hAnsi="宋体" w:eastAsia="宋体" w:cs="宋体"/>
          <w:color w:val="231F20"/>
          <w:spacing w:val="5"/>
          <w:sz w:val="20"/>
          <w:szCs w:val="20"/>
        </w:rPr>
        <w:t xml:space="preserve">, J.H.）将人类学定 </w:t>
      </w:r>
      <w:r>
        <w:rPr>
          <w:rFonts w:ascii="宋体" w:hAnsi="宋体" w:eastAsia="宋体" w:cs="宋体"/>
          <w:color w:val="231F20"/>
          <w:spacing w:val="4"/>
          <w:sz w:val="20"/>
          <w:szCs w:val="20"/>
        </w:rPr>
        <w:t>义下</w:t>
      </w:r>
      <w:r>
        <w:rPr>
          <w:rFonts w:ascii="宋体" w:hAnsi="宋体" w:eastAsia="宋体" w:cs="宋体"/>
          <w:color w:val="231F20"/>
          <w:spacing w:val="-26"/>
          <w:sz w:val="20"/>
          <w:szCs w:val="20"/>
        </w:rPr>
        <w:t xml:space="preserve"> </w:t>
      </w:r>
      <w:r>
        <w:rPr>
          <w:rFonts w:ascii="宋体" w:hAnsi="宋体" w:eastAsia="宋体" w:cs="宋体"/>
          <w:color w:val="231F20"/>
          <w:spacing w:val="4"/>
          <w:sz w:val="20"/>
          <w:szCs w:val="20"/>
        </w:rPr>
        <w:t>156</w:t>
      </w:r>
      <w:r>
        <w:rPr>
          <w:rFonts w:ascii="宋体" w:hAnsi="宋体" w:eastAsia="宋体" w:cs="宋体"/>
          <w:color w:val="231F20"/>
          <w:spacing w:val="-56"/>
          <w:sz w:val="20"/>
          <w:szCs w:val="20"/>
        </w:rPr>
        <w:t xml:space="preserve"> </w:t>
      </w:r>
      <w:r>
        <w:rPr>
          <w:rFonts w:ascii="宋体" w:hAnsi="宋体" w:eastAsia="宋体" w:cs="宋体"/>
          <w:color w:val="231F20"/>
          <w:spacing w:val="4"/>
          <w:sz w:val="20"/>
          <w:szCs w:val="20"/>
        </w:rPr>
        <w:t>种不同的文化概念，细分为八大类：1.</w:t>
      </w:r>
      <w:r>
        <w:rPr>
          <w:rFonts w:ascii="宋体" w:hAnsi="宋体" w:eastAsia="宋体" w:cs="宋体"/>
          <w:color w:val="231F20"/>
          <w:spacing w:val="-54"/>
          <w:sz w:val="20"/>
          <w:szCs w:val="20"/>
        </w:rPr>
        <w:t xml:space="preserve"> </w:t>
      </w:r>
      <w:r>
        <w:rPr>
          <w:rFonts w:ascii="宋体" w:hAnsi="宋体" w:eastAsia="宋体" w:cs="宋体"/>
          <w:color w:val="231F20"/>
          <w:spacing w:val="4"/>
          <w:sz w:val="20"/>
          <w:szCs w:val="20"/>
        </w:rPr>
        <w:t xml:space="preserve">主 </w:t>
      </w:r>
      <w:r>
        <w:rPr>
          <w:rFonts w:ascii="宋体" w:hAnsi="宋体" w:eastAsia="宋体" w:cs="宋体"/>
          <w:color w:val="231F20"/>
          <w:spacing w:val="2"/>
          <w:sz w:val="20"/>
          <w:szCs w:val="20"/>
        </w:rPr>
        <w:t>题的：文化由一系列主题或范畴组成，如社会组</w:t>
      </w:r>
      <w:r>
        <w:rPr>
          <w:rFonts w:ascii="宋体" w:hAnsi="宋体" w:eastAsia="宋体" w:cs="宋体"/>
          <w:color w:val="231F20"/>
          <w:spacing w:val="1"/>
          <w:sz w:val="20"/>
          <w:szCs w:val="20"/>
        </w:rPr>
        <w:t>织、</w:t>
      </w:r>
      <w:r>
        <w:rPr>
          <w:rFonts w:ascii="宋体" w:hAnsi="宋体" w:eastAsia="宋体" w:cs="宋体"/>
          <w:color w:val="231F20"/>
          <w:sz w:val="20"/>
          <w:szCs w:val="20"/>
        </w:rPr>
        <w:t xml:space="preserve"> </w:t>
      </w:r>
      <w:r>
        <w:rPr>
          <w:rFonts w:ascii="宋体" w:hAnsi="宋体" w:eastAsia="宋体" w:cs="宋体"/>
          <w:color w:val="231F20"/>
          <w:spacing w:val="5"/>
          <w:sz w:val="20"/>
          <w:szCs w:val="20"/>
        </w:rPr>
        <w:t>宗教或经济；2.</w:t>
      </w:r>
      <w:r>
        <w:rPr>
          <w:rFonts w:ascii="宋体" w:hAnsi="宋体" w:eastAsia="宋体" w:cs="宋体"/>
          <w:color w:val="231F20"/>
          <w:spacing w:val="-56"/>
          <w:sz w:val="20"/>
          <w:szCs w:val="20"/>
        </w:rPr>
        <w:t xml:space="preserve"> </w:t>
      </w:r>
      <w:r>
        <w:rPr>
          <w:rFonts w:ascii="宋体" w:hAnsi="宋体" w:eastAsia="宋体" w:cs="宋体"/>
          <w:color w:val="231F20"/>
          <w:spacing w:val="5"/>
          <w:sz w:val="20"/>
          <w:szCs w:val="20"/>
        </w:rPr>
        <w:t xml:space="preserve">历史的：文化是传承给后代的社会 </w:t>
      </w:r>
      <w:r>
        <w:rPr>
          <w:rFonts w:ascii="宋体" w:hAnsi="宋体" w:eastAsia="宋体" w:cs="宋体"/>
          <w:color w:val="231F20"/>
          <w:spacing w:val="-2"/>
          <w:sz w:val="20"/>
          <w:szCs w:val="20"/>
        </w:rPr>
        <w:t xml:space="preserve">遗产或传统；3.行为的：文化是共享的、习得的人类 行为与生活方式；4.规范的：文化是理想、价值观或 </w:t>
      </w:r>
      <w:r>
        <w:rPr>
          <w:rFonts w:ascii="宋体" w:hAnsi="宋体" w:eastAsia="宋体" w:cs="宋体"/>
          <w:color w:val="231F20"/>
          <w:spacing w:val="5"/>
          <w:sz w:val="20"/>
          <w:szCs w:val="20"/>
        </w:rPr>
        <w:t>生活规则；5.</w:t>
      </w:r>
      <w:r>
        <w:rPr>
          <w:rFonts w:ascii="宋体" w:hAnsi="宋体" w:eastAsia="宋体" w:cs="宋体"/>
          <w:color w:val="231F20"/>
          <w:spacing w:val="-56"/>
          <w:sz w:val="20"/>
          <w:szCs w:val="20"/>
        </w:rPr>
        <w:t xml:space="preserve"> </w:t>
      </w:r>
      <w:r>
        <w:rPr>
          <w:rFonts w:ascii="宋体" w:hAnsi="宋体" w:eastAsia="宋体" w:cs="宋体"/>
          <w:color w:val="231F20"/>
          <w:spacing w:val="5"/>
          <w:sz w:val="20"/>
          <w:szCs w:val="20"/>
        </w:rPr>
        <w:t>功能的：文化是人类为适应环境或共 同生活而解决问题的方式；6.</w:t>
      </w:r>
      <w:r>
        <w:rPr>
          <w:rFonts w:ascii="宋体" w:hAnsi="宋体" w:eastAsia="宋体" w:cs="宋体"/>
          <w:color w:val="231F20"/>
          <w:spacing w:val="-45"/>
          <w:sz w:val="20"/>
          <w:szCs w:val="20"/>
        </w:rPr>
        <w:t xml:space="preserve"> </w:t>
      </w:r>
      <w:r>
        <w:rPr>
          <w:rFonts w:ascii="宋体" w:hAnsi="宋体" w:eastAsia="宋体" w:cs="宋体"/>
          <w:color w:val="231F20"/>
          <w:spacing w:val="5"/>
          <w:sz w:val="20"/>
          <w:szCs w:val="20"/>
        </w:rPr>
        <w:t>心理的：文化综合思</w:t>
      </w:r>
    </w:p>
    <w:p>
      <w:pPr>
        <w:spacing w:line="257" w:lineRule="auto"/>
        <w:rPr>
          <w:rFonts w:ascii="Arial"/>
          <w:sz w:val="21"/>
        </w:rPr>
      </w:pPr>
    </w:p>
    <w:p>
      <w:pPr>
        <w:spacing w:before="65" w:line="147" w:lineRule="exact"/>
        <w:ind w:left="1349"/>
        <w:rPr>
          <w:rFonts w:ascii="宋体" w:hAnsi="宋体" w:eastAsia="宋体" w:cs="宋体"/>
          <w:sz w:val="20"/>
          <w:szCs w:val="20"/>
        </w:rPr>
      </w:pPr>
      <w:r>
        <w:rPr>
          <w:rFonts w:ascii="宋体" w:hAnsi="宋体" w:eastAsia="宋体" w:cs="宋体"/>
          <w:color w:val="231F20"/>
          <w:spacing w:val="1"/>
          <w:position w:val="-3"/>
          <w:sz w:val="20"/>
          <w:szCs w:val="20"/>
        </w:rPr>
        <w:t>20</w:t>
      </w:r>
    </w:p>
    <w:p>
      <w:pPr>
        <w:spacing w:line="14" w:lineRule="auto"/>
        <w:rPr>
          <w:rFonts w:ascii="Arial"/>
          <w:sz w:val="2"/>
        </w:rPr>
      </w:pPr>
      <w:r>
        <w:rPr>
          <w:rFonts w:ascii="Arial" w:hAnsi="Arial" w:eastAsia="Arial" w:cs="Arial"/>
          <w:sz w:val="2"/>
          <w:szCs w:val="2"/>
        </w:rPr>
        <w:br w:type="column"/>
      </w:r>
    </w:p>
    <w:p>
      <w:pPr>
        <w:spacing w:before="41" w:line="291" w:lineRule="auto"/>
        <w:ind w:right="10"/>
        <w:jc w:val="both"/>
        <w:rPr>
          <w:rFonts w:ascii="宋体" w:hAnsi="宋体" w:eastAsia="宋体" w:cs="宋体"/>
          <w:sz w:val="20"/>
          <w:szCs w:val="20"/>
        </w:rPr>
      </w:pPr>
      <w:r>
        <w:rPr>
          <w:rFonts w:ascii="宋体" w:hAnsi="宋体" w:eastAsia="宋体" w:cs="宋体"/>
          <w:color w:val="231F20"/>
          <w:spacing w:val="10"/>
          <w:sz w:val="20"/>
          <w:szCs w:val="20"/>
        </w:rPr>
        <w:t>想观念与习性，并抑制冲动将人与动物区分开来；</w:t>
      </w:r>
      <w:r>
        <w:rPr>
          <w:rFonts w:ascii="宋体" w:hAnsi="宋体" w:eastAsia="宋体" w:cs="宋体"/>
          <w:color w:val="231F20"/>
          <w:spacing w:val="11"/>
          <w:sz w:val="20"/>
          <w:szCs w:val="20"/>
        </w:rPr>
        <w:t xml:space="preserve"> </w:t>
      </w:r>
      <w:r>
        <w:rPr>
          <w:rFonts w:ascii="宋体" w:hAnsi="宋体" w:eastAsia="宋体" w:cs="宋体"/>
          <w:color w:val="231F20"/>
          <w:spacing w:val="5"/>
          <w:sz w:val="20"/>
          <w:szCs w:val="20"/>
        </w:rPr>
        <w:t>7.</w:t>
      </w:r>
      <w:r>
        <w:rPr>
          <w:rFonts w:ascii="宋体" w:hAnsi="宋体" w:eastAsia="宋体" w:cs="宋体"/>
          <w:color w:val="231F20"/>
          <w:spacing w:val="-46"/>
          <w:sz w:val="20"/>
          <w:szCs w:val="20"/>
        </w:rPr>
        <w:t xml:space="preserve"> </w:t>
      </w:r>
      <w:r>
        <w:rPr>
          <w:rFonts w:ascii="宋体" w:hAnsi="宋体" w:eastAsia="宋体" w:cs="宋体"/>
          <w:color w:val="231F20"/>
          <w:spacing w:val="5"/>
          <w:sz w:val="20"/>
          <w:szCs w:val="20"/>
        </w:rPr>
        <w:t>结构的：文化由模式化和相互关联的思想、符号</w:t>
      </w:r>
      <w:r>
        <w:rPr>
          <w:rFonts w:ascii="宋体" w:hAnsi="宋体" w:eastAsia="宋体" w:cs="宋体"/>
          <w:color w:val="231F20"/>
          <w:sz w:val="20"/>
          <w:szCs w:val="20"/>
        </w:rPr>
        <w:t xml:space="preserve"> </w:t>
      </w:r>
      <w:r>
        <w:rPr>
          <w:rFonts w:ascii="宋体" w:hAnsi="宋体" w:eastAsia="宋体" w:cs="宋体"/>
          <w:color w:val="231F20"/>
          <w:spacing w:val="5"/>
          <w:sz w:val="20"/>
          <w:szCs w:val="20"/>
        </w:rPr>
        <w:t>或行为组成；8.</w:t>
      </w:r>
      <w:r>
        <w:rPr>
          <w:rFonts w:ascii="宋体" w:hAnsi="宋体" w:eastAsia="宋体" w:cs="宋体"/>
          <w:color w:val="231F20"/>
          <w:spacing w:val="-46"/>
          <w:sz w:val="20"/>
          <w:szCs w:val="20"/>
        </w:rPr>
        <w:t xml:space="preserve"> </w:t>
      </w:r>
      <w:r>
        <w:rPr>
          <w:rFonts w:ascii="宋体" w:hAnsi="宋体" w:eastAsia="宋体" w:cs="宋体"/>
          <w:color w:val="231F20"/>
          <w:spacing w:val="5"/>
          <w:sz w:val="20"/>
          <w:szCs w:val="20"/>
        </w:rPr>
        <w:t>象征性的：文化建立在社会共享的</w:t>
      </w:r>
      <w:r>
        <w:rPr>
          <w:rFonts w:ascii="宋体" w:hAnsi="宋体" w:eastAsia="宋体" w:cs="宋体"/>
          <w:color w:val="231F20"/>
          <w:sz w:val="20"/>
          <w:szCs w:val="20"/>
        </w:rPr>
        <w:t xml:space="preserve"> </w:t>
      </w:r>
      <w:r>
        <w:rPr>
          <w:rFonts w:ascii="宋体" w:hAnsi="宋体" w:eastAsia="宋体" w:cs="宋体"/>
          <w:color w:val="231F20"/>
          <w:spacing w:val="6"/>
          <w:sz w:val="20"/>
          <w:szCs w:val="20"/>
        </w:rPr>
        <w:t>任意分配的含义之上</w:t>
      </w:r>
      <w:r>
        <w:rPr>
          <w:rFonts w:ascii="宋体" w:hAnsi="宋体" w:eastAsia="宋体" w:cs="宋体"/>
          <w:color w:val="231F20"/>
          <w:spacing w:val="6"/>
          <w:position w:val="8"/>
          <w:sz w:val="10"/>
          <w:szCs w:val="10"/>
        </w:rPr>
        <w:t>[17]</w:t>
      </w:r>
      <w:r>
        <w:rPr>
          <w:rFonts w:ascii="宋体" w:hAnsi="宋体" w:eastAsia="宋体" w:cs="宋体"/>
          <w:color w:val="231F20"/>
          <w:spacing w:val="6"/>
          <w:sz w:val="20"/>
          <w:szCs w:val="20"/>
        </w:rPr>
        <w:t>。</w:t>
      </w:r>
    </w:p>
    <w:p>
      <w:pPr>
        <w:spacing w:before="87" w:line="302" w:lineRule="auto"/>
        <w:ind w:firstLine="423"/>
        <w:rPr>
          <w:rFonts w:ascii="宋体" w:hAnsi="宋体" w:eastAsia="宋体" w:cs="宋体"/>
          <w:sz w:val="20"/>
          <w:szCs w:val="20"/>
        </w:rPr>
      </w:pPr>
      <w:r>
        <w:rPr>
          <w:rFonts w:ascii="宋体" w:hAnsi="宋体" w:eastAsia="宋体" w:cs="宋体"/>
          <w:color w:val="231F20"/>
          <w:spacing w:val="6"/>
          <w:sz w:val="20"/>
          <w:szCs w:val="20"/>
        </w:rPr>
        <w:t xml:space="preserve">一般来说，文化摆脱了原初意义上的基于农牧 </w:t>
      </w:r>
      <w:r>
        <w:rPr>
          <w:rFonts w:ascii="宋体" w:hAnsi="宋体" w:eastAsia="宋体" w:cs="宋体"/>
          <w:color w:val="231F20"/>
          <w:spacing w:val="16"/>
          <w:sz w:val="20"/>
          <w:szCs w:val="20"/>
        </w:rPr>
        <w:t xml:space="preserve">业的含义，意在创造或生长一种高质量的文化气 </w:t>
      </w:r>
      <w:r>
        <w:rPr>
          <w:rFonts w:ascii="宋体" w:hAnsi="宋体" w:eastAsia="宋体" w:cs="宋体"/>
          <w:color w:val="231F20"/>
          <w:spacing w:val="-2"/>
          <w:sz w:val="20"/>
          <w:szCs w:val="20"/>
        </w:rPr>
        <w:t xml:space="preserve">质，包括共同信仰、价值观、习俗、行为意义等。西 </w:t>
      </w:r>
      <w:r>
        <w:rPr>
          <w:rFonts w:ascii="宋体" w:hAnsi="宋体" w:eastAsia="宋体" w:cs="宋体"/>
          <w:color w:val="231F20"/>
          <w:spacing w:val="16"/>
          <w:sz w:val="20"/>
          <w:szCs w:val="20"/>
        </w:rPr>
        <w:t xml:space="preserve">班牙思想家奥尔托加宣称它们在形式上表现为认 </w:t>
      </w:r>
      <w:r>
        <w:rPr>
          <w:rFonts w:ascii="宋体" w:hAnsi="宋体" w:eastAsia="宋体" w:cs="宋体"/>
          <w:color w:val="231F20"/>
          <w:spacing w:val="2"/>
          <w:sz w:val="20"/>
          <w:szCs w:val="20"/>
        </w:rPr>
        <w:t>识宇宙世界的明确、坚定的思想，认识事物的</w:t>
      </w:r>
      <w:r>
        <w:rPr>
          <w:rFonts w:ascii="宋体" w:hAnsi="宋体" w:eastAsia="宋体" w:cs="宋体"/>
          <w:color w:val="231F20"/>
          <w:spacing w:val="1"/>
          <w:sz w:val="20"/>
          <w:szCs w:val="20"/>
        </w:rPr>
        <w:t>本质、</w:t>
      </w:r>
      <w:r>
        <w:rPr>
          <w:rFonts w:ascii="宋体" w:hAnsi="宋体" w:eastAsia="宋体" w:cs="宋体"/>
          <w:color w:val="231F20"/>
          <w:sz w:val="20"/>
          <w:szCs w:val="20"/>
        </w:rPr>
        <w:t xml:space="preserve"> </w:t>
      </w:r>
      <w:r>
        <w:rPr>
          <w:rFonts w:ascii="宋体" w:hAnsi="宋体" w:eastAsia="宋体" w:cs="宋体"/>
          <w:color w:val="231F20"/>
          <w:spacing w:val="7"/>
          <w:sz w:val="20"/>
          <w:szCs w:val="20"/>
        </w:rPr>
        <w:t xml:space="preserve">积极的信念，这些思想的整体或体系就是文化的真 </w:t>
      </w:r>
      <w:r>
        <w:rPr>
          <w:rFonts w:ascii="宋体" w:hAnsi="宋体" w:eastAsia="宋体" w:cs="宋体"/>
          <w:color w:val="231F20"/>
          <w:spacing w:val="13"/>
          <w:sz w:val="20"/>
          <w:szCs w:val="20"/>
        </w:rPr>
        <w:t>正含义</w:t>
      </w:r>
      <w:r>
        <w:rPr>
          <w:rFonts w:ascii="宋体" w:hAnsi="宋体" w:eastAsia="宋体" w:cs="宋体"/>
          <w:color w:val="231F20"/>
          <w:spacing w:val="13"/>
          <w:position w:val="8"/>
          <w:sz w:val="10"/>
          <w:szCs w:val="10"/>
        </w:rPr>
        <w:t>[18]</w:t>
      </w:r>
      <w:r>
        <w:rPr>
          <w:rFonts w:ascii="宋体" w:hAnsi="宋体" w:eastAsia="宋体" w:cs="宋体"/>
          <w:color w:val="231F20"/>
          <w:spacing w:val="-12"/>
          <w:position w:val="8"/>
          <w:sz w:val="10"/>
          <w:szCs w:val="10"/>
        </w:rPr>
        <w:t xml:space="preserve"> </w:t>
      </w:r>
      <w:r>
        <w:rPr>
          <w:rFonts w:ascii="宋体" w:hAnsi="宋体" w:eastAsia="宋体" w:cs="宋体"/>
          <w:color w:val="231F20"/>
          <w:spacing w:val="13"/>
          <w:sz w:val="20"/>
          <w:szCs w:val="20"/>
        </w:rPr>
        <w:t xml:space="preserve">。因而大学的使命就是培养具有文化修 </w:t>
      </w:r>
      <w:r>
        <w:rPr>
          <w:rFonts w:ascii="宋体" w:hAnsi="宋体" w:eastAsia="宋体" w:cs="宋体"/>
          <w:color w:val="231F20"/>
          <w:spacing w:val="4"/>
          <w:sz w:val="20"/>
          <w:szCs w:val="20"/>
        </w:rPr>
        <w:t>养的人：能够以清晰的眼光看到生活道路的人</w:t>
      </w:r>
      <w:r>
        <w:rPr>
          <w:rFonts w:ascii="宋体" w:hAnsi="宋体" w:eastAsia="宋体" w:cs="宋体"/>
          <w:color w:val="231F20"/>
          <w:spacing w:val="4"/>
          <w:position w:val="8"/>
          <w:sz w:val="10"/>
          <w:szCs w:val="10"/>
        </w:rPr>
        <w:t>[</w:t>
      </w:r>
      <w:r>
        <w:rPr>
          <w:rFonts w:ascii="宋体" w:hAnsi="宋体" w:eastAsia="宋体" w:cs="宋体"/>
          <w:color w:val="231F20"/>
          <w:spacing w:val="3"/>
          <w:position w:val="8"/>
          <w:sz w:val="10"/>
          <w:szCs w:val="10"/>
        </w:rPr>
        <w:t>19]</w:t>
      </w:r>
      <w:r>
        <w:rPr>
          <w:rFonts w:ascii="宋体" w:hAnsi="宋体" w:eastAsia="宋体" w:cs="宋体"/>
          <w:color w:val="231F20"/>
          <w:spacing w:val="3"/>
          <w:sz w:val="20"/>
          <w:szCs w:val="20"/>
        </w:rPr>
        <w:t>。</w:t>
      </w:r>
    </w:p>
    <w:p>
      <w:pPr>
        <w:spacing w:before="91" w:line="300" w:lineRule="auto"/>
        <w:ind w:right="73" w:firstLine="425"/>
        <w:rPr>
          <w:rFonts w:ascii="宋体" w:hAnsi="宋体" w:eastAsia="宋体" w:cs="宋体"/>
          <w:sz w:val="20"/>
          <w:szCs w:val="20"/>
        </w:rPr>
      </w:pPr>
      <w:r>
        <w:rPr>
          <w:rFonts w:ascii="宋体" w:hAnsi="宋体" w:eastAsia="宋体" w:cs="宋体"/>
          <w:color w:val="231F20"/>
          <w:spacing w:val="7"/>
          <w:sz w:val="20"/>
          <w:szCs w:val="20"/>
        </w:rPr>
        <w:t>需要指出的是“文化”不仅意味着整个生活方</w:t>
      </w:r>
      <w:r>
        <w:rPr>
          <w:rFonts w:ascii="宋体" w:hAnsi="宋体" w:eastAsia="宋体" w:cs="宋体"/>
          <w:color w:val="231F20"/>
          <w:spacing w:val="3"/>
          <w:sz w:val="20"/>
          <w:szCs w:val="20"/>
        </w:rPr>
        <w:t xml:space="preserve"> </w:t>
      </w:r>
      <w:r>
        <w:rPr>
          <w:rFonts w:ascii="宋体" w:hAnsi="宋体" w:eastAsia="宋体" w:cs="宋体"/>
          <w:color w:val="231F20"/>
          <w:spacing w:val="17"/>
          <w:sz w:val="20"/>
          <w:szCs w:val="20"/>
        </w:rPr>
        <w:t>式与共同的意义。文化也是—个发现和创造性努</w:t>
      </w:r>
      <w:r>
        <w:rPr>
          <w:rFonts w:ascii="宋体" w:hAnsi="宋体" w:eastAsia="宋体" w:cs="宋体"/>
          <w:color w:val="231F20"/>
          <w:spacing w:val="11"/>
          <w:sz w:val="20"/>
          <w:szCs w:val="20"/>
        </w:rPr>
        <w:t xml:space="preserve"> </w:t>
      </w:r>
      <w:r>
        <w:rPr>
          <w:rFonts w:ascii="宋体" w:hAnsi="宋体" w:eastAsia="宋体" w:cs="宋体"/>
          <w:color w:val="231F20"/>
          <w:spacing w:val="17"/>
          <w:sz w:val="20"/>
          <w:szCs w:val="20"/>
        </w:rPr>
        <w:t>力的特殊过程。它昭示着精英文化与大众文化的</w:t>
      </w:r>
      <w:r>
        <w:rPr>
          <w:rFonts w:ascii="宋体" w:hAnsi="宋体" w:eastAsia="宋体" w:cs="宋体"/>
          <w:color w:val="231F20"/>
          <w:spacing w:val="11"/>
          <w:sz w:val="20"/>
          <w:szCs w:val="20"/>
        </w:rPr>
        <w:t xml:space="preserve"> </w:t>
      </w:r>
      <w:r>
        <w:rPr>
          <w:rFonts w:ascii="宋体" w:hAnsi="宋体" w:eastAsia="宋体" w:cs="宋体"/>
          <w:color w:val="231F20"/>
          <w:spacing w:val="7"/>
          <w:sz w:val="20"/>
          <w:szCs w:val="20"/>
        </w:rPr>
        <w:t>分野：新柏拉图主义将文化等同于美和智慧，将其</w:t>
      </w:r>
      <w:r>
        <w:rPr>
          <w:rFonts w:ascii="宋体" w:hAnsi="宋体" w:eastAsia="宋体" w:cs="宋体"/>
          <w:color w:val="231F20"/>
          <w:spacing w:val="14"/>
          <w:sz w:val="20"/>
          <w:szCs w:val="20"/>
        </w:rPr>
        <w:t xml:space="preserve"> </w:t>
      </w:r>
      <w:r>
        <w:rPr>
          <w:rFonts w:ascii="宋体" w:hAnsi="宋体" w:eastAsia="宋体" w:cs="宋体"/>
          <w:color w:val="231F20"/>
          <w:spacing w:val="7"/>
          <w:sz w:val="20"/>
          <w:szCs w:val="20"/>
        </w:rPr>
        <w:t>视为健康民主国家的关键组成部分；而民主意义下</w:t>
      </w:r>
      <w:r>
        <w:rPr>
          <w:rFonts w:ascii="宋体" w:hAnsi="宋体" w:eastAsia="宋体" w:cs="宋体"/>
          <w:color w:val="231F20"/>
          <w:spacing w:val="14"/>
          <w:sz w:val="20"/>
          <w:szCs w:val="20"/>
        </w:rPr>
        <w:t xml:space="preserve"> </w:t>
      </w:r>
      <w:r>
        <w:rPr>
          <w:rFonts w:ascii="宋体" w:hAnsi="宋体" w:eastAsia="宋体" w:cs="宋体"/>
          <w:color w:val="231F20"/>
          <w:spacing w:val="5"/>
          <w:sz w:val="20"/>
          <w:szCs w:val="20"/>
        </w:rPr>
        <w:t>的文化是描述性的、包容性的和相对性的</w:t>
      </w:r>
      <w:r>
        <w:rPr>
          <w:rFonts w:ascii="宋体" w:hAnsi="宋体" w:eastAsia="宋体" w:cs="宋体"/>
          <w:color w:val="231F20"/>
          <w:spacing w:val="5"/>
          <w:position w:val="8"/>
          <w:sz w:val="10"/>
          <w:szCs w:val="10"/>
        </w:rPr>
        <w:t>[20]</w:t>
      </w:r>
      <w:r>
        <w:rPr>
          <w:rFonts w:ascii="宋体" w:hAnsi="宋体" w:eastAsia="宋体" w:cs="宋体"/>
          <w:color w:val="231F20"/>
          <w:spacing w:val="-7"/>
          <w:position w:val="8"/>
          <w:sz w:val="10"/>
          <w:szCs w:val="10"/>
        </w:rPr>
        <w:t xml:space="preserve"> </w:t>
      </w:r>
      <w:r>
        <w:rPr>
          <w:rFonts w:ascii="宋体" w:hAnsi="宋体" w:eastAsia="宋体" w:cs="宋体"/>
          <w:color w:val="231F20"/>
          <w:spacing w:val="5"/>
          <w:sz w:val="20"/>
          <w:szCs w:val="20"/>
        </w:rPr>
        <w:t>。亚文</w:t>
      </w:r>
      <w:r>
        <w:rPr>
          <w:rFonts w:ascii="宋体" w:hAnsi="宋体" w:eastAsia="宋体" w:cs="宋体"/>
          <w:color w:val="231F20"/>
          <w:sz w:val="20"/>
          <w:szCs w:val="20"/>
        </w:rPr>
        <w:t xml:space="preserve"> </w:t>
      </w:r>
      <w:r>
        <w:rPr>
          <w:rFonts w:ascii="宋体" w:hAnsi="宋体" w:eastAsia="宋体" w:cs="宋体"/>
          <w:color w:val="231F20"/>
          <w:spacing w:val="8"/>
          <w:sz w:val="20"/>
          <w:szCs w:val="20"/>
        </w:rPr>
        <w:t>化可能成为一种辩证的反驳。</w:t>
      </w:r>
    </w:p>
    <w:p>
      <w:pPr>
        <w:pStyle w:val="2"/>
        <w:spacing w:before="91" w:line="224" w:lineRule="auto"/>
        <w:ind w:left="446"/>
        <w:rPr>
          <w:sz w:val="20"/>
          <w:szCs w:val="20"/>
        </w:rPr>
      </w:pPr>
      <w:r>
        <w:rPr>
          <w:color w:val="231F20"/>
          <w:spacing w:val="-5"/>
          <w:sz w:val="20"/>
          <w:szCs w:val="20"/>
        </w:rPr>
        <w:t>（二）高等教育质量文化：内涵与要素</w:t>
      </w:r>
    </w:p>
    <w:p>
      <w:pPr>
        <w:spacing w:before="95" w:line="300" w:lineRule="auto"/>
        <w:ind w:firstLine="422"/>
        <w:rPr>
          <w:rFonts w:ascii="宋体" w:hAnsi="宋体" w:eastAsia="宋体" w:cs="宋体"/>
          <w:sz w:val="20"/>
          <w:szCs w:val="20"/>
        </w:rPr>
      </w:pPr>
      <w:r>
        <w:rPr>
          <w:rFonts w:ascii="宋体" w:hAnsi="宋体" w:eastAsia="宋体" w:cs="宋体"/>
          <w:color w:val="231F20"/>
          <w:spacing w:val="17"/>
          <w:sz w:val="20"/>
          <w:szCs w:val="20"/>
        </w:rPr>
        <w:t xml:space="preserve">文化的多样性意味着对高等教育文化的理解 </w:t>
      </w:r>
      <w:r>
        <w:rPr>
          <w:rFonts w:ascii="宋体" w:hAnsi="宋体" w:eastAsia="宋体" w:cs="宋体"/>
          <w:color w:val="231F20"/>
          <w:spacing w:val="-7"/>
          <w:sz w:val="20"/>
          <w:szCs w:val="20"/>
        </w:rPr>
        <w:t>可以有不同视角。有人把它定义为与质量有关的习惯、</w:t>
      </w:r>
      <w:r>
        <w:rPr>
          <w:rFonts w:ascii="宋体" w:hAnsi="宋体" w:eastAsia="宋体" w:cs="宋体"/>
          <w:color w:val="231F20"/>
          <w:spacing w:val="11"/>
          <w:sz w:val="20"/>
          <w:szCs w:val="20"/>
        </w:rPr>
        <w:t xml:space="preserve"> </w:t>
      </w:r>
      <w:r>
        <w:rPr>
          <w:rFonts w:ascii="宋体" w:hAnsi="宋体" w:eastAsia="宋体" w:cs="宋体"/>
          <w:color w:val="231F20"/>
          <w:spacing w:val="6"/>
          <w:sz w:val="20"/>
          <w:szCs w:val="20"/>
        </w:rPr>
        <w:t>信念和行为模式，是一种思维的背景</w:t>
      </w:r>
      <w:r>
        <w:rPr>
          <w:rFonts w:ascii="宋体" w:hAnsi="宋体" w:eastAsia="宋体" w:cs="宋体"/>
          <w:color w:val="231F20"/>
          <w:spacing w:val="6"/>
          <w:position w:val="8"/>
          <w:sz w:val="10"/>
          <w:szCs w:val="10"/>
        </w:rPr>
        <w:t>[21]</w:t>
      </w:r>
      <w:r>
        <w:rPr>
          <w:rFonts w:ascii="宋体" w:hAnsi="宋体" w:eastAsia="宋体" w:cs="宋体"/>
          <w:color w:val="231F20"/>
          <w:spacing w:val="6"/>
          <w:sz w:val="20"/>
          <w:szCs w:val="20"/>
        </w:rPr>
        <w:t xml:space="preserve">；有人把物 </w:t>
      </w:r>
      <w:r>
        <w:rPr>
          <w:rFonts w:ascii="宋体" w:hAnsi="宋体" w:eastAsia="宋体" w:cs="宋体"/>
          <w:color w:val="231F20"/>
          <w:spacing w:val="7"/>
          <w:sz w:val="20"/>
          <w:szCs w:val="20"/>
        </w:rPr>
        <w:t xml:space="preserve">质形态的文化也包含其中，认为它是与高等教育相 </w:t>
      </w:r>
      <w:r>
        <w:rPr>
          <w:rFonts w:ascii="宋体" w:hAnsi="宋体" w:eastAsia="宋体" w:cs="宋体"/>
          <w:color w:val="231F20"/>
          <w:spacing w:val="-2"/>
          <w:sz w:val="20"/>
          <w:szCs w:val="20"/>
        </w:rPr>
        <w:t xml:space="preserve">关的质量理念、质量价值观、质量形象、质量制度与 </w:t>
      </w:r>
      <w:r>
        <w:rPr>
          <w:rFonts w:ascii="宋体" w:hAnsi="宋体" w:eastAsia="宋体" w:cs="宋体"/>
          <w:color w:val="231F20"/>
          <w:spacing w:val="5"/>
          <w:sz w:val="20"/>
          <w:szCs w:val="20"/>
        </w:rPr>
        <w:t>规范、质量行为方式及其物化形态的总和</w:t>
      </w:r>
      <w:r>
        <w:rPr>
          <w:rFonts w:ascii="宋体" w:hAnsi="宋体" w:eastAsia="宋体" w:cs="宋体"/>
          <w:color w:val="231F20"/>
          <w:spacing w:val="5"/>
          <w:position w:val="8"/>
          <w:sz w:val="10"/>
          <w:szCs w:val="10"/>
        </w:rPr>
        <w:t>[22]</w:t>
      </w:r>
      <w:r>
        <w:rPr>
          <w:rFonts w:ascii="宋体" w:hAnsi="宋体" w:eastAsia="宋体" w:cs="宋体"/>
          <w:color w:val="231F20"/>
          <w:spacing w:val="-17"/>
          <w:position w:val="8"/>
          <w:sz w:val="10"/>
          <w:szCs w:val="10"/>
        </w:rPr>
        <w:t xml:space="preserve"> </w:t>
      </w:r>
      <w:r>
        <w:rPr>
          <w:rFonts w:ascii="宋体" w:hAnsi="宋体" w:eastAsia="宋体" w:cs="宋体"/>
          <w:color w:val="231F20"/>
          <w:spacing w:val="5"/>
          <w:sz w:val="20"/>
          <w:szCs w:val="20"/>
        </w:rPr>
        <w:t xml:space="preserve">。欧洲 </w:t>
      </w:r>
      <w:r>
        <w:rPr>
          <w:rFonts w:ascii="宋体" w:hAnsi="宋体" w:eastAsia="宋体" w:cs="宋体"/>
          <w:color w:val="231F20"/>
          <w:sz w:val="20"/>
          <w:szCs w:val="20"/>
        </w:rPr>
        <w:t>大学协会（EUA）也为质量文化下了一个经</w:t>
      </w:r>
      <w:r>
        <w:rPr>
          <w:rFonts w:ascii="宋体" w:hAnsi="宋体" w:eastAsia="宋体" w:cs="宋体"/>
          <w:color w:val="231F20"/>
          <w:spacing w:val="-1"/>
          <w:sz w:val="20"/>
          <w:szCs w:val="20"/>
        </w:rPr>
        <w:t>典定义：</w:t>
      </w:r>
    </w:p>
    <w:p>
      <w:pPr>
        <w:spacing w:before="93" w:line="300" w:lineRule="auto"/>
        <w:ind w:right="73" w:firstLine="419"/>
        <w:rPr>
          <w:rFonts w:ascii="宋体" w:hAnsi="宋体" w:eastAsia="宋体" w:cs="宋体"/>
          <w:sz w:val="20"/>
          <w:szCs w:val="20"/>
        </w:rPr>
      </w:pPr>
      <w:r>
        <w:rPr>
          <w:rFonts w:ascii="宋体" w:hAnsi="宋体" w:eastAsia="宋体" w:cs="宋体"/>
          <w:color w:val="231F20"/>
          <w:spacing w:val="18"/>
          <w:sz w:val="20"/>
          <w:szCs w:val="20"/>
        </w:rPr>
        <w:t>质量文化是以永久地提高质量为目的的组织</w:t>
      </w:r>
      <w:r>
        <w:rPr>
          <w:rFonts w:ascii="宋体" w:hAnsi="宋体" w:eastAsia="宋体" w:cs="宋体"/>
          <w:color w:val="231F20"/>
          <w:spacing w:val="7"/>
          <w:sz w:val="20"/>
          <w:szCs w:val="20"/>
        </w:rPr>
        <w:t xml:space="preserve"> 文化，以两个区分性的因素为基础：一方面是共同</w:t>
      </w:r>
      <w:r>
        <w:rPr>
          <w:rFonts w:ascii="宋体" w:hAnsi="宋体" w:eastAsia="宋体" w:cs="宋体"/>
          <w:color w:val="231F20"/>
          <w:spacing w:val="14"/>
          <w:sz w:val="20"/>
          <w:szCs w:val="20"/>
        </w:rPr>
        <w:t xml:space="preserve"> </w:t>
      </w:r>
      <w:r>
        <w:rPr>
          <w:rFonts w:ascii="宋体" w:hAnsi="宋体" w:eastAsia="宋体" w:cs="宋体"/>
          <w:color w:val="231F20"/>
          <w:spacing w:val="-2"/>
          <w:sz w:val="20"/>
          <w:szCs w:val="20"/>
        </w:rPr>
        <w:t>的价值观、信念、和对质量的承诺（这是一个心理要</w:t>
      </w:r>
      <w:r>
        <w:rPr>
          <w:rFonts w:ascii="宋体" w:hAnsi="宋体" w:eastAsia="宋体" w:cs="宋体"/>
          <w:color w:val="231F20"/>
          <w:spacing w:val="14"/>
          <w:sz w:val="20"/>
          <w:szCs w:val="20"/>
        </w:rPr>
        <w:t xml:space="preserve"> </w:t>
      </w:r>
      <w:r>
        <w:rPr>
          <w:rFonts w:ascii="宋体" w:hAnsi="宋体" w:eastAsia="宋体" w:cs="宋体"/>
          <w:color w:val="231F20"/>
          <w:spacing w:val="-1"/>
          <w:sz w:val="20"/>
          <w:szCs w:val="20"/>
        </w:rPr>
        <w:t>素，指向理解、灵活性、参与、愿望与情感</w:t>
      </w:r>
      <w:r>
        <w:rPr>
          <w:rFonts w:ascii="宋体" w:hAnsi="宋体" w:eastAsia="宋体" w:cs="宋体"/>
          <w:color w:val="231F20"/>
          <w:spacing w:val="-35"/>
          <w:w w:val="65"/>
          <w:sz w:val="20"/>
          <w:szCs w:val="20"/>
        </w:rPr>
        <w:t>）；</w:t>
      </w:r>
      <w:r>
        <w:rPr>
          <w:rFonts w:ascii="宋体" w:hAnsi="宋体" w:eastAsia="宋体" w:cs="宋体"/>
          <w:color w:val="231F20"/>
          <w:spacing w:val="-1"/>
          <w:sz w:val="20"/>
          <w:szCs w:val="20"/>
        </w:rPr>
        <w:t>另一方</w:t>
      </w:r>
      <w:r>
        <w:rPr>
          <w:rFonts w:ascii="宋体" w:hAnsi="宋体" w:eastAsia="宋体" w:cs="宋体"/>
          <w:color w:val="231F20"/>
          <w:sz w:val="20"/>
          <w:szCs w:val="20"/>
        </w:rPr>
        <w:t xml:space="preserve"> </w:t>
      </w:r>
      <w:r>
        <w:rPr>
          <w:rFonts w:ascii="宋体" w:hAnsi="宋体" w:eastAsia="宋体" w:cs="宋体"/>
          <w:color w:val="231F20"/>
          <w:spacing w:val="-2"/>
          <w:sz w:val="20"/>
          <w:szCs w:val="20"/>
        </w:rPr>
        <w:t>面是结构、管理因素，它具有明确的流程，以提高质</w:t>
      </w:r>
      <w:r>
        <w:rPr>
          <w:rFonts w:ascii="宋体" w:hAnsi="宋体" w:eastAsia="宋体" w:cs="宋体"/>
          <w:color w:val="231F20"/>
          <w:spacing w:val="14"/>
          <w:sz w:val="20"/>
          <w:szCs w:val="20"/>
        </w:rPr>
        <w:t xml:space="preserve"> </w:t>
      </w:r>
      <w:r>
        <w:rPr>
          <w:rFonts w:ascii="宋体" w:hAnsi="宋体" w:eastAsia="宋体" w:cs="宋体"/>
          <w:color w:val="231F20"/>
          <w:spacing w:val="-2"/>
          <w:sz w:val="20"/>
          <w:szCs w:val="20"/>
        </w:rPr>
        <w:t>量并协调工作，表现为任务、标准、与个人、组织或</w:t>
      </w:r>
      <w:r>
        <w:rPr>
          <w:rFonts w:ascii="宋体" w:hAnsi="宋体" w:eastAsia="宋体" w:cs="宋体"/>
          <w:color w:val="231F20"/>
          <w:spacing w:val="14"/>
          <w:sz w:val="20"/>
          <w:szCs w:val="20"/>
        </w:rPr>
        <w:t xml:space="preserve"> </w:t>
      </w:r>
      <w:r>
        <w:rPr>
          <w:rFonts w:ascii="宋体" w:hAnsi="宋体" w:eastAsia="宋体" w:cs="宋体"/>
          <w:color w:val="231F20"/>
          <w:spacing w:val="5"/>
          <w:position w:val="-1"/>
          <w:sz w:val="20"/>
          <w:szCs w:val="20"/>
        </w:rPr>
        <w:t>服务的责任</w:t>
      </w:r>
      <w:r>
        <w:rPr>
          <w:rFonts w:ascii="宋体" w:hAnsi="宋体" w:eastAsia="宋体" w:cs="宋体"/>
          <w:color w:val="231F20"/>
          <w:spacing w:val="5"/>
          <w:position w:val="7"/>
          <w:sz w:val="10"/>
          <w:szCs w:val="10"/>
        </w:rPr>
        <w:t>[23]</w:t>
      </w:r>
      <w:r>
        <w:rPr>
          <w:rFonts w:ascii="宋体" w:hAnsi="宋体" w:eastAsia="宋体" w:cs="宋体"/>
          <w:color w:val="231F20"/>
          <w:spacing w:val="5"/>
          <w:position w:val="-1"/>
          <w:sz w:val="20"/>
          <w:szCs w:val="20"/>
        </w:rPr>
        <w:t>。</w:t>
      </w:r>
    </w:p>
    <w:p>
      <w:pPr>
        <w:spacing w:before="93" w:line="295" w:lineRule="auto"/>
        <w:ind w:right="73" w:firstLine="421"/>
        <w:rPr>
          <w:rFonts w:ascii="宋体" w:hAnsi="宋体" w:eastAsia="宋体" w:cs="宋体"/>
          <w:sz w:val="20"/>
          <w:szCs w:val="20"/>
        </w:rPr>
      </w:pPr>
      <w:r>
        <w:rPr>
          <w:rFonts w:ascii="宋体" w:hAnsi="宋体" w:eastAsia="宋体" w:cs="宋体"/>
          <w:color w:val="231F20"/>
          <w:spacing w:val="7"/>
          <w:sz w:val="20"/>
          <w:szCs w:val="20"/>
        </w:rPr>
        <w:t>显然这种理想的质量文化概念化的图式中，质</w:t>
      </w:r>
      <w:r>
        <w:rPr>
          <w:rFonts w:ascii="宋体" w:hAnsi="宋体" w:eastAsia="宋体" w:cs="宋体"/>
          <w:color w:val="231F20"/>
          <w:spacing w:val="6"/>
          <w:sz w:val="20"/>
          <w:szCs w:val="20"/>
        </w:rPr>
        <w:t xml:space="preserve"> </w:t>
      </w:r>
      <w:r>
        <w:rPr>
          <w:rFonts w:ascii="宋体" w:hAnsi="宋体" w:eastAsia="宋体" w:cs="宋体"/>
          <w:color w:val="231F20"/>
          <w:spacing w:val="7"/>
          <w:sz w:val="20"/>
          <w:szCs w:val="20"/>
        </w:rPr>
        <w:t>量管理、策略与过程这些硬因素或称为外在的因素</w:t>
      </w:r>
      <w:r>
        <w:rPr>
          <w:rFonts w:ascii="宋体" w:hAnsi="宋体" w:eastAsia="宋体" w:cs="宋体"/>
          <w:color w:val="231F20"/>
          <w:spacing w:val="14"/>
          <w:sz w:val="20"/>
          <w:szCs w:val="20"/>
        </w:rPr>
        <w:t xml:space="preserve"> </w:t>
      </w:r>
      <w:r>
        <w:rPr>
          <w:rFonts w:ascii="宋体" w:hAnsi="宋体" w:eastAsia="宋体" w:cs="宋体"/>
          <w:color w:val="231F20"/>
          <w:spacing w:val="7"/>
          <w:sz w:val="20"/>
          <w:szCs w:val="20"/>
        </w:rPr>
        <w:t>与价值观、信念与承诺等软的或称为内在的因素统</w:t>
      </w:r>
      <w:r>
        <w:rPr>
          <w:rFonts w:ascii="宋体" w:hAnsi="宋体" w:eastAsia="宋体" w:cs="宋体"/>
          <w:color w:val="231F20"/>
          <w:spacing w:val="14"/>
          <w:sz w:val="20"/>
          <w:szCs w:val="20"/>
        </w:rPr>
        <w:t xml:space="preserve"> </w:t>
      </w:r>
      <w:r>
        <w:rPr>
          <w:rFonts w:ascii="宋体" w:hAnsi="宋体" w:eastAsia="宋体" w:cs="宋体"/>
          <w:color w:val="231F20"/>
          <w:spacing w:val="7"/>
          <w:sz w:val="20"/>
          <w:szCs w:val="20"/>
        </w:rPr>
        <w:t>一于共同的质量追求之中，建立在充分的信任、交</w:t>
      </w:r>
      <w:r>
        <w:rPr>
          <w:rFonts w:ascii="宋体" w:hAnsi="宋体" w:eastAsia="宋体" w:cs="宋体"/>
          <w:color w:val="231F20"/>
          <w:spacing w:val="14"/>
          <w:sz w:val="20"/>
          <w:szCs w:val="20"/>
        </w:rPr>
        <w:t xml:space="preserve"> </w:t>
      </w:r>
      <w:r>
        <w:rPr>
          <w:rFonts w:ascii="宋体" w:hAnsi="宋体" w:eastAsia="宋体" w:cs="宋体"/>
          <w:color w:val="231F20"/>
          <w:spacing w:val="8"/>
          <w:sz w:val="20"/>
          <w:szCs w:val="20"/>
        </w:rPr>
        <w:t>流与共同参与的基础之上。</w:t>
      </w:r>
    </w:p>
    <w:p>
      <w:pPr>
        <w:spacing w:before="91" w:line="270" w:lineRule="auto"/>
        <w:ind w:left="20" w:right="73" w:firstLine="400"/>
        <w:rPr>
          <w:rFonts w:ascii="宋体" w:hAnsi="宋体" w:eastAsia="宋体" w:cs="宋体"/>
          <w:sz w:val="20"/>
          <w:szCs w:val="20"/>
        </w:rPr>
      </w:pPr>
      <w:r>
        <w:rPr>
          <w:rFonts w:ascii="宋体" w:hAnsi="宋体" w:eastAsia="宋体" w:cs="宋体"/>
          <w:color w:val="231F20"/>
          <w:spacing w:val="7"/>
          <w:sz w:val="20"/>
          <w:szCs w:val="20"/>
        </w:rPr>
        <w:t>在古典解释学看来，理解只是剔除了情感的说</w:t>
      </w:r>
      <w:r>
        <w:rPr>
          <w:rFonts w:ascii="宋体" w:hAnsi="宋体" w:eastAsia="宋体" w:cs="宋体"/>
          <w:color w:val="231F20"/>
          <w:spacing w:val="8"/>
          <w:sz w:val="20"/>
          <w:szCs w:val="20"/>
        </w:rPr>
        <w:t xml:space="preserve"> </w:t>
      </w:r>
      <w:r>
        <w:rPr>
          <w:rFonts w:ascii="宋体" w:hAnsi="宋体" w:eastAsia="宋体" w:cs="宋体"/>
          <w:color w:val="231F20"/>
          <w:spacing w:val="6"/>
          <w:sz w:val="20"/>
          <w:szCs w:val="20"/>
        </w:rPr>
        <w:t>明，往往被窄化为认知与理性的活动；近代解释学</w:t>
      </w:r>
    </w:p>
    <w:p>
      <w:pPr>
        <w:spacing w:line="270" w:lineRule="auto"/>
        <w:rPr>
          <w:rFonts w:ascii="宋体" w:hAnsi="宋体" w:eastAsia="宋体" w:cs="宋体"/>
          <w:sz w:val="20"/>
          <w:szCs w:val="20"/>
        </w:rPr>
        <w:sectPr>
          <w:type w:val="continuous"/>
          <w:pgSz w:w="12416" w:h="16612"/>
          <w:pgMar w:top="1380" w:right="1230" w:bottom="547" w:left="407" w:header="1149" w:footer="354" w:gutter="0"/>
          <w:cols w:equalWidth="0" w:num="2">
            <w:col w:w="6034" w:space="100"/>
            <w:col w:w="4645"/>
          </w:cols>
        </w:sectPr>
      </w:pPr>
    </w:p>
    <w:p>
      <w:pPr>
        <w:spacing w:line="120" w:lineRule="exact"/>
      </w:pPr>
    </w:p>
    <w:p>
      <w:pPr>
        <w:spacing w:line="120" w:lineRule="exact"/>
        <w:sectPr>
          <w:headerReference r:id="rId12" w:type="default"/>
          <w:footerReference r:id="rId13" w:type="default"/>
          <w:pgSz w:w="12416" w:h="16612"/>
          <w:pgMar w:top="1480" w:right="1459" w:bottom="547" w:left="407" w:header="1150" w:footer="354" w:gutter="0"/>
          <w:cols w:equalWidth="0" w:num="1">
            <w:col w:w="10549"/>
          </w:cols>
        </w:sectPr>
      </w:pPr>
    </w:p>
    <w:p>
      <w:pPr>
        <w:spacing w:before="39" w:line="296" w:lineRule="auto"/>
        <w:ind w:left="903" w:right="332" w:firstLine="5"/>
        <w:jc w:val="both"/>
        <w:rPr>
          <w:rFonts w:ascii="宋体" w:hAnsi="宋体" w:eastAsia="宋体" w:cs="宋体"/>
          <w:sz w:val="20"/>
          <w:szCs w:val="20"/>
        </w:rPr>
      </w:pPr>
      <w:r>
        <w:rPr>
          <w:rFonts w:ascii="宋体" w:hAnsi="宋体" w:eastAsia="宋体" w:cs="宋体"/>
          <w:color w:val="231F20"/>
          <w:spacing w:val="17"/>
          <w:sz w:val="20"/>
          <w:szCs w:val="20"/>
        </w:rPr>
        <w:t>则认为理解除了与认知成就之外还包含了对文本</w:t>
      </w:r>
      <w:r>
        <w:rPr>
          <w:rFonts w:ascii="宋体" w:hAnsi="宋体" w:eastAsia="宋体" w:cs="宋体"/>
          <w:color w:val="231F20"/>
          <w:spacing w:val="7"/>
          <w:sz w:val="20"/>
          <w:szCs w:val="20"/>
        </w:rPr>
        <w:t xml:space="preserve"> </w:t>
      </w:r>
      <w:r>
        <w:rPr>
          <w:rFonts w:ascii="宋体" w:hAnsi="宋体" w:eastAsia="宋体" w:cs="宋体"/>
          <w:color w:val="231F20"/>
          <w:spacing w:val="17"/>
          <w:sz w:val="20"/>
          <w:szCs w:val="20"/>
        </w:rPr>
        <w:t>的一种情感体验活动。或者说理解是对人的生命</w:t>
      </w:r>
      <w:r>
        <w:rPr>
          <w:rFonts w:ascii="宋体" w:hAnsi="宋体" w:eastAsia="宋体" w:cs="宋体"/>
          <w:color w:val="231F20"/>
          <w:spacing w:val="12"/>
          <w:sz w:val="20"/>
          <w:szCs w:val="20"/>
        </w:rPr>
        <w:t xml:space="preserve"> </w:t>
      </w:r>
      <w:r>
        <w:rPr>
          <w:rFonts w:ascii="宋体" w:hAnsi="宋体" w:eastAsia="宋体" w:cs="宋体"/>
          <w:color w:val="231F20"/>
          <w:spacing w:val="7"/>
          <w:sz w:val="20"/>
          <w:szCs w:val="20"/>
        </w:rPr>
        <w:t>性与整体性的理解。从文化的角度考察，个体情感</w:t>
      </w:r>
      <w:r>
        <w:rPr>
          <w:rFonts w:ascii="宋体" w:hAnsi="宋体" w:eastAsia="宋体" w:cs="宋体"/>
          <w:color w:val="231F20"/>
          <w:spacing w:val="15"/>
          <w:sz w:val="20"/>
          <w:szCs w:val="20"/>
        </w:rPr>
        <w:t xml:space="preserve"> </w:t>
      </w:r>
      <w:r>
        <w:rPr>
          <w:rFonts w:ascii="宋体" w:hAnsi="宋体" w:eastAsia="宋体" w:cs="宋体"/>
          <w:color w:val="231F20"/>
          <w:spacing w:val="17"/>
          <w:sz w:val="20"/>
          <w:szCs w:val="20"/>
        </w:rPr>
        <w:t>的认知和表达是由文化形塑的。心理学视野下的</w:t>
      </w:r>
      <w:r>
        <w:rPr>
          <w:rFonts w:ascii="宋体" w:hAnsi="宋体" w:eastAsia="宋体" w:cs="宋体"/>
          <w:color w:val="231F20"/>
          <w:spacing w:val="12"/>
          <w:sz w:val="20"/>
          <w:szCs w:val="20"/>
        </w:rPr>
        <w:t xml:space="preserve"> </w:t>
      </w:r>
      <w:r>
        <w:rPr>
          <w:rFonts w:ascii="宋体" w:hAnsi="宋体" w:eastAsia="宋体" w:cs="宋体"/>
          <w:color w:val="231F20"/>
          <w:spacing w:val="4"/>
          <w:sz w:val="20"/>
          <w:szCs w:val="20"/>
        </w:rPr>
        <w:t>质量不仅关乎理智与智慧，还涉及审美及道德。</w:t>
      </w:r>
    </w:p>
    <w:p>
      <w:pPr>
        <w:spacing w:before="91" w:line="305" w:lineRule="auto"/>
        <w:ind w:left="903" w:right="261" w:firstLine="420"/>
        <w:jc w:val="both"/>
        <w:rPr>
          <w:rFonts w:ascii="宋体" w:hAnsi="宋体" w:eastAsia="宋体" w:cs="宋体"/>
          <w:sz w:val="20"/>
          <w:szCs w:val="20"/>
        </w:rPr>
      </w:pPr>
      <w:r>
        <w:rPr>
          <w:rFonts w:ascii="宋体" w:hAnsi="宋体" w:eastAsia="宋体" w:cs="宋体"/>
          <w:color w:val="231F20"/>
          <w:spacing w:val="17"/>
          <w:sz w:val="20"/>
          <w:szCs w:val="20"/>
        </w:rPr>
        <w:t xml:space="preserve">质量文化概念假设了其成员在工作中享有高 </w:t>
      </w:r>
      <w:r>
        <w:rPr>
          <w:rFonts w:ascii="宋体" w:hAnsi="宋体" w:eastAsia="宋体" w:cs="宋体"/>
          <w:color w:val="231F20"/>
          <w:spacing w:val="16"/>
          <w:sz w:val="20"/>
          <w:szCs w:val="20"/>
        </w:rPr>
        <w:t xml:space="preserve">度的自我责任感和自主性。显然扩展了传统质量 </w:t>
      </w:r>
      <w:r>
        <w:rPr>
          <w:rFonts w:ascii="宋体" w:hAnsi="宋体" w:eastAsia="宋体" w:cs="宋体"/>
          <w:color w:val="231F20"/>
          <w:spacing w:val="7"/>
          <w:sz w:val="20"/>
          <w:szCs w:val="20"/>
        </w:rPr>
        <w:t xml:space="preserve">保证的方法，重视了个人心理因素在质量文化形成 中的重要性，从而使其质量文化方面表现为“自下 </w:t>
      </w:r>
      <w:r>
        <w:rPr>
          <w:rFonts w:ascii="宋体" w:hAnsi="宋体" w:eastAsia="宋体" w:cs="宋体"/>
          <w:color w:val="231F20"/>
          <w:spacing w:val="-2"/>
          <w:sz w:val="20"/>
          <w:szCs w:val="20"/>
        </w:rPr>
        <w:t xml:space="preserve">而上”的过程，而非管理意义上的测量、评估、保证 </w:t>
      </w:r>
      <w:r>
        <w:rPr>
          <w:rFonts w:ascii="宋体" w:hAnsi="宋体" w:eastAsia="宋体" w:cs="宋体"/>
          <w:color w:val="231F20"/>
          <w:spacing w:val="7"/>
          <w:sz w:val="20"/>
          <w:szCs w:val="20"/>
        </w:rPr>
        <w:t xml:space="preserve">以满足于管理概念的策略、工具和机制。因而便于 </w:t>
      </w:r>
      <w:r>
        <w:rPr>
          <w:rFonts w:ascii="宋体" w:hAnsi="宋体" w:eastAsia="宋体" w:cs="宋体"/>
          <w:color w:val="231F20"/>
          <w:spacing w:val="28"/>
          <w:sz w:val="20"/>
          <w:szCs w:val="20"/>
        </w:rPr>
        <w:t>激发个人在质量文化建设方面的能动性与主动</w:t>
      </w:r>
      <w:r>
        <w:rPr>
          <w:rFonts w:ascii="宋体" w:hAnsi="宋体" w:eastAsia="宋体" w:cs="宋体"/>
          <w:color w:val="231F20"/>
          <w:spacing w:val="9"/>
          <w:sz w:val="20"/>
          <w:szCs w:val="20"/>
        </w:rPr>
        <w:t xml:space="preserve"> </w:t>
      </w:r>
      <w:r>
        <w:rPr>
          <w:rFonts w:ascii="宋体" w:hAnsi="宋体" w:eastAsia="宋体" w:cs="宋体"/>
          <w:color w:val="231F20"/>
          <w:spacing w:val="10"/>
          <w:sz w:val="20"/>
          <w:szCs w:val="20"/>
        </w:rPr>
        <w:t>性。最后，</w:t>
      </w:r>
      <w:r>
        <w:rPr>
          <w:rFonts w:ascii="宋体" w:hAnsi="宋体" w:eastAsia="宋体" w:cs="宋体"/>
          <w:color w:val="231F20"/>
          <w:sz w:val="20"/>
          <w:szCs w:val="20"/>
        </w:rPr>
        <w:t>EUA</w:t>
      </w:r>
      <w:r>
        <w:rPr>
          <w:rFonts w:ascii="宋体" w:hAnsi="宋体" w:eastAsia="宋体" w:cs="宋体"/>
          <w:color w:val="231F20"/>
          <w:spacing w:val="-50"/>
          <w:sz w:val="20"/>
          <w:szCs w:val="20"/>
        </w:rPr>
        <w:t xml:space="preserve"> </w:t>
      </w:r>
      <w:r>
        <w:rPr>
          <w:rFonts w:ascii="宋体" w:hAnsi="宋体" w:eastAsia="宋体" w:cs="宋体"/>
          <w:color w:val="231F20"/>
          <w:spacing w:val="10"/>
          <w:sz w:val="20"/>
          <w:szCs w:val="20"/>
        </w:rPr>
        <w:t xml:space="preserve">假设这两个质量文化要素不是单独 </w:t>
      </w:r>
      <w:r>
        <w:rPr>
          <w:rFonts w:ascii="宋体" w:hAnsi="宋体" w:eastAsia="宋体" w:cs="宋体"/>
          <w:color w:val="231F20"/>
          <w:spacing w:val="1"/>
          <w:sz w:val="20"/>
          <w:szCs w:val="20"/>
        </w:rPr>
        <w:t>存在的，而是通过沟通、参与和信任联系在一起的，</w:t>
      </w:r>
      <w:r>
        <w:rPr>
          <w:rFonts w:ascii="宋体" w:hAnsi="宋体" w:eastAsia="宋体" w:cs="宋体"/>
          <w:color w:val="231F20"/>
          <w:spacing w:val="17"/>
          <w:sz w:val="20"/>
          <w:szCs w:val="20"/>
        </w:rPr>
        <w:t xml:space="preserve"> </w:t>
      </w:r>
      <w:r>
        <w:rPr>
          <w:rFonts w:ascii="宋体" w:hAnsi="宋体" w:eastAsia="宋体" w:cs="宋体"/>
          <w:color w:val="231F20"/>
          <w:spacing w:val="21"/>
          <w:sz w:val="20"/>
          <w:szCs w:val="20"/>
        </w:rPr>
        <w:t>这有助于发展一种自下而上的积极的质量文化。</w:t>
      </w:r>
      <w:r>
        <w:rPr>
          <w:rFonts w:ascii="宋体" w:hAnsi="宋体" w:eastAsia="宋体" w:cs="宋体"/>
          <w:color w:val="231F20"/>
          <w:sz w:val="20"/>
          <w:szCs w:val="20"/>
        </w:rPr>
        <w:t xml:space="preserve"> </w:t>
      </w:r>
      <w:r>
        <w:rPr>
          <w:rFonts w:ascii="宋体" w:hAnsi="宋体" w:eastAsia="宋体" w:cs="宋体"/>
          <w:color w:val="231F20"/>
          <w:spacing w:val="16"/>
          <w:sz w:val="20"/>
          <w:szCs w:val="20"/>
        </w:rPr>
        <w:t xml:space="preserve">这种质量文化可以通过共同价值观和信念的结构 </w:t>
      </w:r>
      <w:r>
        <w:rPr>
          <w:rFonts w:ascii="宋体" w:hAnsi="宋体" w:eastAsia="宋体" w:cs="宋体"/>
          <w:color w:val="231F20"/>
          <w:spacing w:val="7"/>
          <w:sz w:val="20"/>
          <w:szCs w:val="20"/>
        </w:rPr>
        <w:t>性决策来实施。</w:t>
      </w:r>
    </w:p>
    <w:p>
      <w:pPr>
        <w:tabs>
          <w:tab w:val="left" w:pos="940"/>
        </w:tabs>
        <w:spacing w:before="92" w:line="306" w:lineRule="auto"/>
        <w:ind w:left="817" w:right="332" w:firstLine="508"/>
        <w:jc w:val="both"/>
        <w:rPr>
          <w:rFonts w:ascii="宋体" w:hAnsi="宋体" w:eastAsia="宋体" w:cs="宋体"/>
          <w:sz w:val="20"/>
          <w:szCs w:val="20"/>
        </w:rPr>
      </w:pPr>
      <w:r>
        <w:rPr>
          <w:rFonts w:ascii="宋体" w:hAnsi="宋体" w:eastAsia="宋体" w:cs="宋体"/>
          <w:color w:val="231F20"/>
          <w:spacing w:val="7"/>
          <w:sz w:val="20"/>
          <w:szCs w:val="20"/>
        </w:rPr>
        <w:t>大学是学者们携起手来共同商讨、探索和传播</w:t>
      </w:r>
      <w:r>
        <w:rPr>
          <w:rFonts w:ascii="宋体" w:hAnsi="宋体" w:eastAsia="宋体" w:cs="宋体"/>
          <w:color w:val="231F20"/>
          <w:spacing w:val="6"/>
          <w:sz w:val="20"/>
          <w:szCs w:val="20"/>
        </w:rPr>
        <w:t xml:space="preserve"> </w:t>
      </w:r>
      <w:r>
        <w:rPr>
          <w:rFonts w:ascii="宋体" w:hAnsi="宋体" w:eastAsia="宋体" w:cs="宋体"/>
          <w:color w:val="231F20"/>
          <w:spacing w:val="17"/>
          <w:sz w:val="20"/>
          <w:szCs w:val="20"/>
        </w:rPr>
        <w:t>文化的组织</w:t>
      </w:r>
      <w:r>
        <w:rPr>
          <w:rFonts w:ascii="宋体" w:hAnsi="宋体" w:eastAsia="宋体" w:cs="宋体"/>
          <w:color w:val="231F20"/>
          <w:spacing w:val="17"/>
          <w:position w:val="8"/>
          <w:sz w:val="10"/>
          <w:szCs w:val="10"/>
        </w:rPr>
        <w:t>[24]</w:t>
      </w:r>
      <w:r>
        <w:rPr>
          <w:rFonts w:ascii="宋体" w:hAnsi="宋体" w:eastAsia="宋体" w:cs="宋体"/>
          <w:color w:val="231F20"/>
          <w:spacing w:val="-3"/>
          <w:position w:val="8"/>
          <w:sz w:val="10"/>
          <w:szCs w:val="10"/>
        </w:rPr>
        <w:t xml:space="preserve"> </w:t>
      </w:r>
      <w:r>
        <w:rPr>
          <w:rFonts w:ascii="宋体" w:hAnsi="宋体" w:eastAsia="宋体" w:cs="宋体"/>
          <w:color w:val="231F20"/>
          <w:spacing w:val="17"/>
          <w:sz w:val="20"/>
          <w:szCs w:val="20"/>
        </w:rPr>
        <w:t>。因而质量文化看成是组织文化的</w:t>
      </w:r>
      <w:r>
        <w:rPr>
          <w:rFonts w:ascii="宋体" w:hAnsi="宋体" w:eastAsia="宋体" w:cs="宋体"/>
          <w:color w:val="231F20"/>
          <w:sz w:val="20"/>
          <w:szCs w:val="20"/>
        </w:rPr>
        <w:t xml:space="preserve"> </w:t>
      </w:r>
      <w:r>
        <w:rPr>
          <w:rFonts w:ascii="宋体" w:hAnsi="宋体" w:eastAsia="宋体" w:cs="宋体"/>
          <w:color w:val="231F20"/>
          <w:spacing w:val="11"/>
          <w:sz w:val="20"/>
          <w:szCs w:val="20"/>
        </w:rPr>
        <w:t>一部分。对于什么是组织文化，有这么几种代表性</w:t>
      </w:r>
      <w:r>
        <w:rPr>
          <w:rFonts w:ascii="宋体" w:hAnsi="宋体" w:eastAsia="宋体" w:cs="宋体"/>
          <w:color w:val="231F20"/>
          <w:spacing w:val="13"/>
          <w:sz w:val="20"/>
          <w:szCs w:val="20"/>
        </w:rPr>
        <w:t xml:space="preserve"> </w:t>
      </w:r>
      <w:r>
        <w:rPr>
          <w:rFonts w:ascii="宋体" w:hAnsi="宋体" w:eastAsia="宋体" w:cs="宋体"/>
          <w:color w:val="231F20"/>
          <w:spacing w:val="7"/>
          <w:sz w:val="20"/>
          <w:szCs w:val="20"/>
        </w:rPr>
        <w:t>的观点:沙因（</w:t>
      </w:r>
      <w:r>
        <w:rPr>
          <w:rFonts w:ascii="宋体" w:hAnsi="宋体" w:eastAsia="宋体" w:cs="宋体"/>
          <w:color w:val="231F20"/>
          <w:sz w:val="20"/>
          <w:szCs w:val="20"/>
        </w:rPr>
        <w:t>Schein</w:t>
      </w:r>
      <w:r>
        <w:rPr>
          <w:rFonts w:ascii="宋体" w:hAnsi="宋体" w:eastAsia="宋体" w:cs="宋体"/>
          <w:color w:val="231F20"/>
          <w:spacing w:val="7"/>
          <w:sz w:val="20"/>
          <w:szCs w:val="20"/>
        </w:rPr>
        <w:t>）把组织文化看作是团队共享</w:t>
      </w:r>
      <w:r>
        <w:rPr>
          <w:rFonts w:ascii="宋体" w:hAnsi="宋体" w:eastAsia="宋体" w:cs="宋体"/>
          <w:color w:val="231F20"/>
          <w:spacing w:val="15"/>
          <w:sz w:val="20"/>
          <w:szCs w:val="20"/>
        </w:rPr>
        <w:t xml:space="preserve"> </w:t>
      </w:r>
      <w:r>
        <w:rPr>
          <w:rFonts w:ascii="宋体" w:hAnsi="宋体" w:eastAsia="宋体" w:cs="宋体"/>
          <w:color w:val="231F20"/>
          <w:spacing w:val="11"/>
          <w:sz w:val="20"/>
          <w:szCs w:val="20"/>
        </w:rPr>
        <w:t>的基本假设模式，是他们在解决外部适应和内部整</w:t>
      </w:r>
      <w:r>
        <w:rPr>
          <w:rFonts w:ascii="宋体" w:hAnsi="宋体" w:eastAsia="宋体" w:cs="宋体"/>
          <w:color w:val="231F20"/>
          <w:spacing w:val="13"/>
          <w:sz w:val="20"/>
          <w:szCs w:val="20"/>
        </w:rPr>
        <w:t xml:space="preserve"> </w:t>
      </w:r>
      <w:r>
        <w:rPr>
          <w:rFonts w:ascii="宋体" w:hAnsi="宋体" w:eastAsia="宋体" w:cs="宋体"/>
          <w:color w:val="231F20"/>
          <w:spacing w:val="11"/>
          <w:sz w:val="20"/>
          <w:szCs w:val="20"/>
        </w:rPr>
        <w:t>合问题时习得的。其文化元素包括价值观，共享的</w:t>
      </w:r>
      <w:r>
        <w:rPr>
          <w:rFonts w:ascii="宋体" w:hAnsi="宋体" w:eastAsia="宋体" w:cs="宋体"/>
          <w:color w:val="231F20"/>
          <w:spacing w:val="12"/>
          <w:sz w:val="20"/>
          <w:szCs w:val="20"/>
        </w:rPr>
        <w:t xml:space="preserve"> </w:t>
      </w:r>
      <w:r>
        <w:rPr>
          <w:rFonts w:ascii="宋体" w:hAnsi="宋体" w:eastAsia="宋体" w:cs="宋体"/>
          <w:color w:val="231F20"/>
          <w:spacing w:val="11"/>
          <w:sz w:val="20"/>
          <w:szCs w:val="20"/>
        </w:rPr>
        <w:t>基本假说以及其外在表现物；吉尔特·霍夫斯塔德</w:t>
      </w:r>
      <w:r>
        <w:rPr>
          <w:rFonts w:ascii="宋体" w:hAnsi="宋体" w:eastAsia="宋体" w:cs="宋体"/>
          <w:color w:val="231F20"/>
          <w:spacing w:val="13"/>
          <w:sz w:val="20"/>
          <w:szCs w:val="20"/>
        </w:rPr>
        <w:t xml:space="preserve"> </w:t>
      </w:r>
      <w:r>
        <w:rPr>
          <w:rFonts w:ascii="宋体" w:hAnsi="宋体" w:eastAsia="宋体" w:cs="宋体"/>
          <w:color w:val="231F20"/>
          <w:spacing w:val="3"/>
          <w:sz w:val="20"/>
          <w:szCs w:val="20"/>
        </w:rPr>
        <w:t>（</w:t>
      </w:r>
      <w:r>
        <w:rPr>
          <w:rFonts w:ascii="宋体" w:hAnsi="宋体" w:eastAsia="宋体" w:cs="宋体"/>
          <w:color w:val="231F20"/>
          <w:sz w:val="20"/>
          <w:szCs w:val="20"/>
        </w:rPr>
        <w:t>Geert</w:t>
      </w:r>
      <w:r>
        <w:rPr>
          <w:rFonts w:ascii="宋体" w:hAnsi="宋体" w:eastAsia="宋体" w:cs="宋体"/>
          <w:color w:val="231F20"/>
          <w:spacing w:val="3"/>
          <w:sz w:val="20"/>
          <w:szCs w:val="20"/>
        </w:rPr>
        <w:t xml:space="preserve"> </w:t>
      </w:r>
      <w:r>
        <w:rPr>
          <w:rFonts w:ascii="宋体" w:hAnsi="宋体" w:eastAsia="宋体" w:cs="宋体"/>
          <w:color w:val="231F20"/>
          <w:sz w:val="20"/>
          <w:szCs w:val="20"/>
        </w:rPr>
        <w:t>Hofstede</w:t>
      </w:r>
      <w:r>
        <w:rPr>
          <w:rFonts w:ascii="宋体" w:hAnsi="宋体" w:eastAsia="宋体" w:cs="宋体"/>
          <w:color w:val="231F20"/>
          <w:spacing w:val="3"/>
          <w:sz w:val="20"/>
          <w:szCs w:val="20"/>
        </w:rPr>
        <w:t xml:space="preserve">）视文化为一种心理编码，允诺一 </w:t>
      </w:r>
      <w:r>
        <w:rPr>
          <w:rFonts w:ascii="宋体" w:hAnsi="宋体" w:eastAsia="宋体" w:cs="宋体"/>
          <w:color w:val="231F20"/>
          <w:spacing w:val="2"/>
          <w:sz w:val="20"/>
          <w:szCs w:val="20"/>
        </w:rPr>
        <w:t>种连贯性行动，表现为符号、英雄、价值观和仪式等</w:t>
      </w:r>
      <w:r>
        <w:rPr>
          <w:rFonts w:ascii="宋体" w:hAnsi="宋体" w:eastAsia="宋体" w:cs="宋体"/>
          <w:color w:val="231F20"/>
          <w:spacing w:val="9"/>
          <w:sz w:val="20"/>
          <w:szCs w:val="20"/>
        </w:rPr>
        <w:t xml:space="preserve"> </w:t>
      </w:r>
      <w:r>
        <w:rPr>
          <w:rFonts w:ascii="宋体" w:hAnsi="宋体" w:eastAsia="宋体" w:cs="宋体"/>
          <w:color w:val="231F20"/>
          <w:spacing w:val="13"/>
          <w:sz w:val="20"/>
          <w:szCs w:val="20"/>
        </w:rPr>
        <w:t>来描述元素；约翰尼斯(</w:t>
      </w:r>
      <w:r>
        <w:rPr>
          <w:rFonts w:ascii="宋体" w:hAnsi="宋体" w:eastAsia="宋体" w:cs="宋体"/>
          <w:color w:val="231F20"/>
          <w:sz w:val="20"/>
          <w:szCs w:val="20"/>
        </w:rPr>
        <w:t>Johannes</w:t>
      </w:r>
      <w:r>
        <w:rPr>
          <w:rFonts w:ascii="宋体" w:hAnsi="宋体" w:eastAsia="宋体" w:cs="宋体"/>
          <w:color w:val="231F20"/>
          <w:spacing w:val="13"/>
          <w:sz w:val="20"/>
          <w:szCs w:val="20"/>
        </w:rPr>
        <w:t>)认为文化与语言</w:t>
      </w:r>
      <w:r>
        <w:rPr>
          <w:rFonts w:ascii="宋体" w:hAnsi="宋体" w:eastAsia="宋体" w:cs="宋体"/>
          <w:color w:val="231F20"/>
          <w:spacing w:val="8"/>
          <w:sz w:val="20"/>
          <w:szCs w:val="20"/>
        </w:rPr>
        <w:t xml:space="preserve"> </w:t>
      </w:r>
      <w:r>
        <w:rPr>
          <w:rFonts w:ascii="宋体" w:hAnsi="宋体" w:eastAsia="宋体" w:cs="宋体"/>
          <w:color w:val="231F20"/>
          <w:spacing w:val="11"/>
          <w:sz w:val="20"/>
          <w:szCs w:val="20"/>
        </w:rPr>
        <w:t>的语法规则和语义规则具有可比性；加雷思·摩根</w:t>
      </w:r>
      <w:r>
        <w:rPr>
          <w:rFonts w:ascii="宋体" w:hAnsi="宋体" w:eastAsia="宋体" w:cs="宋体"/>
          <w:color w:val="231F20"/>
          <w:spacing w:val="12"/>
          <w:sz w:val="20"/>
          <w:szCs w:val="20"/>
        </w:rPr>
        <w:t xml:space="preserve"> </w:t>
      </w:r>
      <w:r>
        <w:rPr>
          <w:rFonts w:ascii="宋体" w:hAnsi="宋体" w:eastAsia="宋体" w:cs="宋体"/>
          <w:color w:val="231F20"/>
          <w:sz w:val="20"/>
          <w:szCs w:val="20"/>
        </w:rPr>
        <w:tab/>
      </w:r>
      <w:r>
        <w:rPr>
          <w:rFonts w:ascii="宋体" w:hAnsi="宋体" w:eastAsia="宋体" w:cs="宋体"/>
          <w:color w:val="231F20"/>
          <w:spacing w:val="27"/>
          <w:sz w:val="20"/>
          <w:szCs w:val="20"/>
        </w:rPr>
        <w:t>(</w:t>
      </w:r>
      <w:r>
        <w:rPr>
          <w:rFonts w:ascii="宋体" w:hAnsi="宋体" w:eastAsia="宋体" w:cs="宋体"/>
          <w:color w:val="231F20"/>
          <w:sz w:val="20"/>
          <w:szCs w:val="20"/>
        </w:rPr>
        <w:t>Gareth</w:t>
      </w:r>
      <w:r>
        <w:rPr>
          <w:rFonts w:ascii="宋体" w:hAnsi="宋体" w:eastAsia="宋体" w:cs="宋体"/>
          <w:color w:val="231F20"/>
          <w:spacing w:val="27"/>
          <w:sz w:val="20"/>
          <w:szCs w:val="20"/>
        </w:rPr>
        <w:t xml:space="preserve"> </w:t>
      </w:r>
      <w:r>
        <w:rPr>
          <w:rFonts w:ascii="宋体" w:hAnsi="宋体" w:eastAsia="宋体" w:cs="宋体"/>
          <w:color w:val="231F20"/>
          <w:sz w:val="20"/>
          <w:szCs w:val="20"/>
        </w:rPr>
        <w:t>Morgan</w:t>
      </w:r>
      <w:r>
        <w:rPr>
          <w:rFonts w:ascii="宋体" w:hAnsi="宋体" w:eastAsia="宋体" w:cs="宋体"/>
          <w:color w:val="231F20"/>
          <w:spacing w:val="27"/>
          <w:sz w:val="20"/>
          <w:szCs w:val="20"/>
        </w:rPr>
        <w:t>)认为文化是一种社会和集体现</w:t>
      </w:r>
      <w:r>
        <w:rPr>
          <w:rFonts w:ascii="宋体" w:hAnsi="宋体" w:eastAsia="宋体" w:cs="宋体"/>
          <w:color w:val="231F20"/>
          <w:sz w:val="20"/>
          <w:szCs w:val="20"/>
        </w:rPr>
        <w:t xml:space="preserve"> </w:t>
      </w:r>
      <w:r>
        <w:rPr>
          <w:rFonts w:ascii="宋体" w:hAnsi="宋体" w:eastAsia="宋体" w:cs="宋体"/>
          <w:color w:val="231F20"/>
          <w:spacing w:val="11"/>
          <w:sz w:val="20"/>
          <w:szCs w:val="20"/>
        </w:rPr>
        <w:t>象，指的是一个社会群体的思想和价值观，在他们</w:t>
      </w:r>
      <w:r>
        <w:rPr>
          <w:rFonts w:ascii="宋体" w:hAnsi="宋体" w:eastAsia="宋体" w:cs="宋体"/>
          <w:color w:val="231F20"/>
          <w:spacing w:val="12"/>
          <w:sz w:val="20"/>
          <w:szCs w:val="20"/>
        </w:rPr>
        <w:t xml:space="preserve"> </w:t>
      </w:r>
      <w:r>
        <w:rPr>
          <w:rFonts w:ascii="宋体" w:hAnsi="宋体" w:eastAsia="宋体" w:cs="宋体"/>
          <w:color w:val="231F20"/>
          <w:spacing w:val="11"/>
          <w:sz w:val="20"/>
          <w:szCs w:val="20"/>
        </w:rPr>
        <w:t>没有明确意识到的情况下影响他们的行为</w:t>
      </w:r>
      <w:r>
        <w:rPr>
          <w:rFonts w:ascii="宋体" w:hAnsi="宋体" w:eastAsia="宋体" w:cs="宋体"/>
          <w:color w:val="231F20"/>
          <w:spacing w:val="11"/>
          <w:position w:val="8"/>
          <w:sz w:val="10"/>
          <w:szCs w:val="10"/>
        </w:rPr>
        <w:t>[25]</w:t>
      </w:r>
      <w:r>
        <w:rPr>
          <w:rFonts w:ascii="宋体" w:hAnsi="宋体" w:eastAsia="宋体" w:cs="宋体"/>
          <w:color w:val="231F20"/>
          <w:spacing w:val="11"/>
          <w:sz w:val="20"/>
          <w:szCs w:val="20"/>
        </w:rPr>
        <w:t>。</w:t>
      </w:r>
    </w:p>
    <w:p>
      <w:pPr>
        <w:spacing w:before="91" w:line="298" w:lineRule="auto"/>
        <w:ind w:left="904" w:right="267" w:firstLine="422"/>
        <w:jc w:val="both"/>
        <w:rPr>
          <w:rFonts w:ascii="宋体" w:hAnsi="宋体" w:eastAsia="宋体" w:cs="宋体"/>
          <w:sz w:val="20"/>
          <w:szCs w:val="20"/>
        </w:rPr>
      </w:pPr>
      <w:r>
        <w:rPr>
          <w:rFonts w:ascii="宋体" w:hAnsi="宋体" w:eastAsia="宋体" w:cs="宋体"/>
          <w:color w:val="231F20"/>
          <w:spacing w:val="18"/>
          <w:sz w:val="20"/>
          <w:szCs w:val="20"/>
        </w:rPr>
        <w:t>从以上的描述中我们不难得出组织文化的一</w:t>
      </w:r>
      <w:r>
        <w:rPr>
          <w:rFonts w:ascii="宋体" w:hAnsi="宋体" w:eastAsia="宋体" w:cs="宋体"/>
          <w:color w:val="231F20"/>
          <w:spacing w:val="3"/>
          <w:sz w:val="20"/>
          <w:szCs w:val="20"/>
        </w:rPr>
        <w:t xml:space="preserve"> </w:t>
      </w:r>
      <w:r>
        <w:rPr>
          <w:rFonts w:ascii="宋体" w:hAnsi="宋体" w:eastAsia="宋体" w:cs="宋体"/>
          <w:color w:val="231F20"/>
          <w:spacing w:val="1"/>
          <w:sz w:val="20"/>
          <w:szCs w:val="20"/>
        </w:rPr>
        <w:t>些共性，例如共享的价值观、信仰、知识以及语言，</w:t>
      </w:r>
      <w:r>
        <w:rPr>
          <w:rFonts w:ascii="宋体" w:hAnsi="宋体" w:eastAsia="宋体" w:cs="宋体"/>
          <w:color w:val="231F20"/>
          <w:spacing w:val="9"/>
          <w:sz w:val="20"/>
          <w:szCs w:val="20"/>
        </w:rPr>
        <w:t xml:space="preserve"> </w:t>
      </w:r>
      <w:r>
        <w:rPr>
          <w:rFonts w:ascii="宋体" w:hAnsi="宋体" w:eastAsia="宋体" w:cs="宋体"/>
          <w:color w:val="231F20"/>
          <w:spacing w:val="17"/>
          <w:sz w:val="20"/>
          <w:szCs w:val="20"/>
        </w:rPr>
        <w:t>并以此为内核，通过实践等外在表达方式呈现出</w:t>
      </w:r>
      <w:r>
        <w:rPr>
          <w:rFonts w:ascii="宋体" w:hAnsi="宋体" w:eastAsia="宋体" w:cs="宋体"/>
          <w:color w:val="231F20"/>
          <w:spacing w:val="10"/>
          <w:sz w:val="20"/>
          <w:szCs w:val="20"/>
        </w:rPr>
        <w:t xml:space="preserve"> </w:t>
      </w:r>
      <w:r>
        <w:rPr>
          <w:rFonts w:ascii="宋体" w:hAnsi="宋体" w:eastAsia="宋体" w:cs="宋体"/>
          <w:color w:val="231F20"/>
          <w:spacing w:val="7"/>
          <w:sz w:val="20"/>
          <w:szCs w:val="20"/>
        </w:rPr>
        <w:t>来，如学生思维等精神领域发生积极性转变。与工</w:t>
      </w:r>
      <w:r>
        <w:rPr>
          <w:rFonts w:ascii="宋体" w:hAnsi="宋体" w:eastAsia="宋体" w:cs="宋体"/>
          <w:color w:val="231F20"/>
          <w:spacing w:val="13"/>
          <w:sz w:val="20"/>
          <w:szCs w:val="20"/>
        </w:rPr>
        <w:t xml:space="preserve"> </w:t>
      </w:r>
      <w:r>
        <w:rPr>
          <w:rFonts w:ascii="宋体" w:hAnsi="宋体" w:eastAsia="宋体" w:cs="宋体"/>
          <w:color w:val="231F20"/>
          <w:spacing w:val="7"/>
          <w:sz w:val="20"/>
          <w:szCs w:val="20"/>
        </w:rPr>
        <w:t>商业意义上的质量观相比，它更着重于个人的转变</w:t>
      </w:r>
      <w:r>
        <w:rPr>
          <w:rFonts w:ascii="宋体" w:hAnsi="宋体" w:eastAsia="宋体" w:cs="宋体"/>
          <w:color w:val="231F20"/>
          <w:spacing w:val="13"/>
          <w:sz w:val="20"/>
          <w:szCs w:val="20"/>
        </w:rPr>
        <w:t xml:space="preserve"> </w:t>
      </w:r>
      <w:r>
        <w:rPr>
          <w:rFonts w:ascii="宋体" w:hAnsi="宋体" w:eastAsia="宋体" w:cs="宋体"/>
          <w:color w:val="231F20"/>
          <w:spacing w:val="-3"/>
          <w:sz w:val="20"/>
          <w:szCs w:val="20"/>
        </w:rPr>
        <w:t>而非控制，发展而非保证，变革而非顺从。</w:t>
      </w:r>
    </w:p>
    <w:p>
      <w:pPr>
        <w:spacing w:line="361" w:lineRule="auto"/>
        <w:rPr>
          <w:rFonts w:ascii="Arial"/>
          <w:sz w:val="21"/>
        </w:rPr>
      </w:pPr>
    </w:p>
    <w:p>
      <w:pPr>
        <w:spacing w:before="65" w:line="228" w:lineRule="auto"/>
        <w:ind w:left="1331"/>
        <w:rPr>
          <w:rFonts w:ascii="黑体" w:hAnsi="黑体" w:eastAsia="黑体" w:cs="黑体"/>
          <w:sz w:val="20"/>
          <w:szCs w:val="20"/>
        </w:rPr>
      </w:pPr>
      <w:r>
        <w:rPr>
          <w:rFonts w:ascii="黑体" w:hAnsi="黑体" w:eastAsia="黑体" w:cs="黑体"/>
          <w:color w:val="231F20"/>
          <w:spacing w:val="-5"/>
          <w:sz w:val="20"/>
          <w:szCs w:val="20"/>
        </w:rPr>
        <w:t>三、高等教育质量文化培育：推动质量持续改进</w:t>
      </w:r>
    </w:p>
    <w:p>
      <w:pPr>
        <w:spacing w:line="362" w:lineRule="auto"/>
        <w:rPr>
          <w:rFonts w:ascii="Arial"/>
          <w:sz w:val="21"/>
        </w:rPr>
      </w:pPr>
    </w:p>
    <w:p>
      <w:pPr>
        <w:spacing w:before="65" w:line="227" w:lineRule="auto"/>
        <w:ind w:left="1323"/>
        <w:rPr>
          <w:rFonts w:ascii="宋体" w:hAnsi="宋体" w:eastAsia="宋体" w:cs="宋体"/>
          <w:sz w:val="20"/>
          <w:szCs w:val="20"/>
        </w:rPr>
      </w:pPr>
      <w:r>
        <w:rPr>
          <w:rFonts w:ascii="宋体" w:hAnsi="宋体" w:eastAsia="宋体" w:cs="宋体"/>
          <w:color w:val="231F20"/>
          <w:spacing w:val="18"/>
          <w:sz w:val="20"/>
          <w:szCs w:val="20"/>
        </w:rPr>
        <w:t>质量是一个包含价值在内的哲学概念。高等</w:t>
      </w:r>
    </w:p>
    <w:p>
      <w:pPr>
        <w:spacing w:line="14" w:lineRule="auto"/>
        <w:rPr>
          <w:rFonts w:ascii="Arial"/>
          <w:sz w:val="2"/>
        </w:rPr>
      </w:pPr>
      <w:r>
        <w:rPr>
          <w:rFonts w:ascii="Arial" w:hAnsi="Arial" w:eastAsia="Arial" w:cs="Arial"/>
          <w:sz w:val="2"/>
          <w:szCs w:val="2"/>
        </w:rPr>
        <w:br w:type="column"/>
      </w:r>
    </w:p>
    <w:p>
      <w:pPr>
        <w:spacing w:before="40" w:line="303" w:lineRule="auto"/>
        <w:ind w:right="71" w:firstLine="2"/>
        <w:jc w:val="both"/>
        <w:rPr>
          <w:rFonts w:ascii="宋体" w:hAnsi="宋体" w:eastAsia="宋体" w:cs="宋体"/>
          <w:sz w:val="20"/>
          <w:szCs w:val="20"/>
        </w:rPr>
      </w:pPr>
      <w:r>
        <w:rPr>
          <w:rFonts w:ascii="宋体" w:hAnsi="宋体" w:eastAsia="宋体" w:cs="宋体"/>
          <w:color w:val="231F20"/>
          <w:spacing w:val="7"/>
          <w:sz w:val="20"/>
          <w:szCs w:val="20"/>
        </w:rPr>
        <w:t>教育中不同的利益群体或“利益相关者”对此有截</w:t>
      </w:r>
      <w:r>
        <w:rPr>
          <w:rFonts w:ascii="宋体" w:hAnsi="宋体" w:eastAsia="宋体" w:cs="宋体"/>
          <w:color w:val="231F20"/>
          <w:spacing w:val="12"/>
          <w:sz w:val="20"/>
          <w:szCs w:val="20"/>
        </w:rPr>
        <w:t xml:space="preserve"> </w:t>
      </w:r>
      <w:r>
        <w:rPr>
          <w:rFonts w:ascii="宋体" w:hAnsi="宋体" w:eastAsia="宋体" w:cs="宋体"/>
          <w:color w:val="231F20"/>
          <w:spacing w:val="7"/>
          <w:sz w:val="20"/>
          <w:szCs w:val="20"/>
        </w:rPr>
        <w:t>然不同的优先度。例如，学生和教师关注的可能是</w:t>
      </w:r>
      <w:r>
        <w:rPr>
          <w:rFonts w:ascii="宋体" w:hAnsi="宋体" w:eastAsia="宋体" w:cs="宋体"/>
          <w:color w:val="231F20"/>
          <w:spacing w:val="14"/>
          <w:sz w:val="20"/>
          <w:szCs w:val="20"/>
        </w:rPr>
        <w:t xml:space="preserve"> </w:t>
      </w:r>
      <w:r>
        <w:rPr>
          <w:rFonts w:ascii="宋体" w:hAnsi="宋体" w:eastAsia="宋体" w:cs="宋体"/>
          <w:color w:val="231F20"/>
          <w:spacing w:val="7"/>
          <w:sz w:val="20"/>
          <w:szCs w:val="20"/>
        </w:rPr>
        <w:t>教育过程，而政府可能是高等教育的产出与教育对</w:t>
      </w:r>
      <w:r>
        <w:rPr>
          <w:rFonts w:ascii="宋体" w:hAnsi="宋体" w:eastAsia="宋体" w:cs="宋体"/>
          <w:color w:val="231F20"/>
          <w:spacing w:val="14"/>
          <w:sz w:val="20"/>
          <w:szCs w:val="20"/>
        </w:rPr>
        <w:t xml:space="preserve"> </w:t>
      </w:r>
      <w:r>
        <w:rPr>
          <w:rFonts w:ascii="宋体" w:hAnsi="宋体" w:eastAsia="宋体" w:cs="宋体"/>
          <w:color w:val="231F20"/>
          <w:spacing w:val="7"/>
          <w:sz w:val="20"/>
          <w:szCs w:val="20"/>
        </w:rPr>
        <w:t>国家经济、科技的影响力。因此，质量不能作为一</w:t>
      </w:r>
      <w:r>
        <w:rPr>
          <w:rFonts w:ascii="宋体" w:hAnsi="宋体" w:eastAsia="宋体" w:cs="宋体"/>
          <w:color w:val="231F20"/>
          <w:spacing w:val="14"/>
          <w:sz w:val="20"/>
          <w:szCs w:val="20"/>
        </w:rPr>
        <w:t xml:space="preserve"> </w:t>
      </w:r>
      <w:r>
        <w:rPr>
          <w:rFonts w:ascii="宋体" w:hAnsi="宋体" w:eastAsia="宋体" w:cs="宋体"/>
          <w:color w:val="231F20"/>
          <w:spacing w:val="3"/>
          <w:sz w:val="20"/>
          <w:szCs w:val="20"/>
        </w:rPr>
        <w:t>个统一的概念来讨论。约克（</w:t>
      </w:r>
      <w:r>
        <w:rPr>
          <w:rFonts w:ascii="宋体" w:hAnsi="宋体" w:eastAsia="宋体" w:cs="宋体"/>
          <w:color w:val="231F20"/>
          <w:sz w:val="20"/>
          <w:szCs w:val="20"/>
        </w:rPr>
        <w:t>Yorke</w:t>
      </w:r>
      <w:r>
        <w:rPr>
          <w:rFonts w:ascii="宋体" w:hAnsi="宋体" w:eastAsia="宋体" w:cs="宋体"/>
          <w:color w:val="231F20"/>
          <w:spacing w:val="3"/>
          <w:sz w:val="20"/>
          <w:szCs w:val="20"/>
        </w:rPr>
        <w:t>）指出当一个机</w:t>
      </w:r>
      <w:r>
        <w:rPr>
          <w:rFonts w:ascii="宋体" w:hAnsi="宋体" w:eastAsia="宋体" w:cs="宋体"/>
          <w:color w:val="231F20"/>
          <w:spacing w:val="8"/>
          <w:sz w:val="20"/>
          <w:szCs w:val="20"/>
        </w:rPr>
        <w:t xml:space="preserve"> </w:t>
      </w:r>
      <w:r>
        <w:rPr>
          <w:rFonts w:ascii="宋体" w:hAnsi="宋体" w:eastAsia="宋体" w:cs="宋体"/>
          <w:color w:val="231F20"/>
          <w:spacing w:val="7"/>
          <w:sz w:val="20"/>
          <w:szCs w:val="20"/>
        </w:rPr>
        <w:t>构的质量文化面向所有利益相关者的需求，并且有</w:t>
      </w:r>
      <w:r>
        <w:rPr>
          <w:rFonts w:ascii="宋体" w:hAnsi="宋体" w:eastAsia="宋体" w:cs="宋体"/>
          <w:color w:val="231F20"/>
          <w:spacing w:val="14"/>
          <w:sz w:val="20"/>
          <w:szCs w:val="20"/>
        </w:rPr>
        <w:t xml:space="preserve"> </w:t>
      </w:r>
      <w:r>
        <w:rPr>
          <w:rFonts w:ascii="宋体" w:hAnsi="宋体" w:eastAsia="宋体" w:cs="宋体"/>
          <w:color w:val="231F20"/>
          <w:spacing w:val="7"/>
          <w:sz w:val="20"/>
          <w:szCs w:val="20"/>
        </w:rPr>
        <w:t>明确、有效的机制支持其全体员工努力实现整个组</w:t>
      </w:r>
      <w:r>
        <w:rPr>
          <w:rFonts w:ascii="宋体" w:hAnsi="宋体" w:eastAsia="宋体" w:cs="宋体"/>
          <w:color w:val="231F20"/>
          <w:spacing w:val="14"/>
          <w:sz w:val="20"/>
          <w:szCs w:val="20"/>
        </w:rPr>
        <w:t xml:space="preserve"> </w:t>
      </w:r>
      <w:r>
        <w:rPr>
          <w:rFonts w:ascii="宋体" w:hAnsi="宋体" w:eastAsia="宋体" w:cs="宋体"/>
          <w:color w:val="231F20"/>
          <w:spacing w:val="7"/>
          <w:sz w:val="20"/>
          <w:szCs w:val="20"/>
        </w:rPr>
        <w:t>织对质量持续改进的承诺时，该机构就形成了质量</w:t>
      </w:r>
      <w:r>
        <w:rPr>
          <w:rFonts w:ascii="宋体" w:hAnsi="宋体" w:eastAsia="宋体" w:cs="宋体"/>
          <w:color w:val="231F20"/>
          <w:spacing w:val="14"/>
          <w:sz w:val="20"/>
          <w:szCs w:val="20"/>
        </w:rPr>
        <w:t xml:space="preserve"> </w:t>
      </w:r>
      <w:r>
        <w:rPr>
          <w:rFonts w:ascii="宋体" w:hAnsi="宋体" w:eastAsia="宋体" w:cs="宋体"/>
          <w:color w:val="231F20"/>
          <w:spacing w:val="3"/>
          <w:position w:val="-2"/>
          <w:sz w:val="20"/>
          <w:szCs w:val="20"/>
        </w:rPr>
        <w:t>文化</w:t>
      </w:r>
      <w:r>
        <w:rPr>
          <w:rFonts w:ascii="宋体" w:hAnsi="宋体" w:eastAsia="宋体" w:cs="宋体"/>
          <w:color w:val="231F20"/>
          <w:spacing w:val="3"/>
          <w:position w:val="6"/>
          <w:sz w:val="10"/>
          <w:szCs w:val="10"/>
        </w:rPr>
        <w:t>[26]</w:t>
      </w:r>
      <w:r>
        <w:rPr>
          <w:rFonts w:ascii="宋体" w:hAnsi="宋体" w:eastAsia="宋体" w:cs="宋体"/>
          <w:color w:val="231F20"/>
          <w:spacing w:val="3"/>
          <w:position w:val="-2"/>
          <w:sz w:val="20"/>
          <w:szCs w:val="20"/>
        </w:rPr>
        <w:t>。</w:t>
      </w:r>
    </w:p>
    <w:p>
      <w:pPr>
        <w:pStyle w:val="2"/>
        <w:spacing w:before="89" w:line="274" w:lineRule="auto"/>
        <w:ind w:left="3" w:right="71" w:firstLine="338"/>
        <w:rPr>
          <w:sz w:val="20"/>
          <w:szCs w:val="20"/>
        </w:rPr>
      </w:pPr>
      <w:r>
        <w:rPr>
          <w:color w:val="231F20"/>
          <w:spacing w:val="11"/>
          <w:sz w:val="20"/>
          <w:szCs w:val="20"/>
        </w:rPr>
        <w:t>（一）培育以信任与共同价值观为基础的质量</w:t>
      </w:r>
      <w:r>
        <w:rPr>
          <w:color w:val="231F20"/>
          <w:spacing w:val="7"/>
          <w:sz w:val="20"/>
          <w:szCs w:val="20"/>
        </w:rPr>
        <w:t xml:space="preserve"> </w:t>
      </w:r>
      <w:r>
        <w:rPr>
          <w:color w:val="231F20"/>
          <w:spacing w:val="4"/>
          <w:sz w:val="20"/>
          <w:szCs w:val="20"/>
        </w:rPr>
        <w:t>文化</w:t>
      </w:r>
    </w:p>
    <w:p>
      <w:pPr>
        <w:spacing w:before="83" w:line="305" w:lineRule="auto"/>
        <w:ind w:firstLine="420"/>
        <w:rPr>
          <w:rFonts w:ascii="宋体" w:hAnsi="宋体" w:eastAsia="宋体" w:cs="宋体"/>
          <w:sz w:val="20"/>
          <w:szCs w:val="20"/>
        </w:rPr>
      </w:pPr>
      <w:r>
        <w:rPr>
          <w:rFonts w:ascii="宋体" w:hAnsi="宋体" w:eastAsia="宋体" w:cs="宋体"/>
          <w:color w:val="231F20"/>
          <w:spacing w:val="11"/>
          <w:sz w:val="20"/>
          <w:szCs w:val="20"/>
        </w:rPr>
        <w:t>在高等教育中加强质量文化会面临诸多挑战，</w:t>
      </w:r>
      <w:r>
        <w:rPr>
          <w:rFonts w:ascii="宋体" w:hAnsi="宋体" w:eastAsia="宋体" w:cs="宋体"/>
          <w:color w:val="231F20"/>
          <w:sz w:val="20"/>
          <w:szCs w:val="20"/>
        </w:rPr>
        <w:t xml:space="preserve"> </w:t>
      </w:r>
      <w:r>
        <w:rPr>
          <w:rFonts w:ascii="宋体" w:hAnsi="宋体" w:eastAsia="宋体" w:cs="宋体"/>
          <w:color w:val="231F20"/>
          <w:spacing w:val="13"/>
          <w:sz w:val="20"/>
          <w:szCs w:val="20"/>
        </w:rPr>
        <w:t>例如教师的教育质量所有权（</w:t>
      </w:r>
      <w:r>
        <w:rPr>
          <w:rFonts w:ascii="宋体" w:hAnsi="宋体" w:eastAsia="宋体" w:cs="宋体"/>
          <w:color w:val="231F20"/>
          <w:sz w:val="20"/>
          <w:szCs w:val="20"/>
        </w:rPr>
        <w:t>ownership</w:t>
      </w:r>
      <w:r>
        <w:rPr>
          <w:rFonts w:ascii="宋体" w:hAnsi="宋体" w:eastAsia="宋体" w:cs="宋体"/>
          <w:color w:val="231F20"/>
          <w:spacing w:val="13"/>
          <w:sz w:val="20"/>
          <w:szCs w:val="20"/>
        </w:rPr>
        <w:t>)的丧失。</w:t>
      </w:r>
      <w:r>
        <w:rPr>
          <w:rFonts w:ascii="宋体" w:hAnsi="宋体" w:eastAsia="宋体" w:cs="宋体"/>
          <w:color w:val="231F20"/>
          <w:spacing w:val="6"/>
          <w:sz w:val="20"/>
          <w:szCs w:val="20"/>
        </w:rPr>
        <w:t xml:space="preserve"> </w:t>
      </w:r>
      <w:r>
        <w:rPr>
          <w:rFonts w:ascii="宋体" w:hAnsi="宋体" w:eastAsia="宋体" w:cs="宋体"/>
          <w:color w:val="231F20"/>
          <w:spacing w:val="11"/>
          <w:sz w:val="20"/>
          <w:szCs w:val="20"/>
        </w:rPr>
        <w:t>所有权被理解为一种心理状态，意在促进责任</w:t>
      </w:r>
      <w:r>
        <w:rPr>
          <w:rFonts w:ascii="宋体" w:hAnsi="宋体" w:eastAsia="宋体" w:cs="宋体"/>
          <w:color w:val="231F20"/>
          <w:spacing w:val="10"/>
          <w:sz w:val="20"/>
          <w:szCs w:val="20"/>
        </w:rPr>
        <w:t>感，</w:t>
      </w:r>
      <w:r>
        <w:rPr>
          <w:rFonts w:ascii="宋体" w:hAnsi="宋体" w:eastAsia="宋体" w:cs="宋体"/>
          <w:color w:val="231F20"/>
          <w:sz w:val="20"/>
          <w:szCs w:val="20"/>
        </w:rPr>
        <w:t xml:space="preserve"> </w:t>
      </w:r>
      <w:r>
        <w:rPr>
          <w:rFonts w:ascii="宋体" w:hAnsi="宋体" w:eastAsia="宋体" w:cs="宋体"/>
          <w:color w:val="231F20"/>
          <w:spacing w:val="7"/>
          <w:sz w:val="20"/>
          <w:szCs w:val="20"/>
        </w:rPr>
        <w:t xml:space="preserve">包括保护、关心、培养和主动承担责任，以实现目 标。因为教师是课程的开发者与实施者，研究表明 </w:t>
      </w:r>
      <w:r>
        <w:rPr>
          <w:rFonts w:ascii="宋体" w:hAnsi="宋体" w:eastAsia="宋体" w:cs="宋体"/>
          <w:color w:val="231F20"/>
          <w:spacing w:val="16"/>
          <w:sz w:val="20"/>
          <w:szCs w:val="20"/>
        </w:rPr>
        <w:t xml:space="preserve">教师教育质量所有权对于确保教育质量是十分重 </w:t>
      </w:r>
      <w:r>
        <w:rPr>
          <w:rFonts w:ascii="宋体" w:hAnsi="宋体" w:eastAsia="宋体" w:cs="宋体"/>
          <w:color w:val="231F20"/>
          <w:spacing w:val="7"/>
          <w:sz w:val="20"/>
          <w:szCs w:val="20"/>
        </w:rPr>
        <w:t xml:space="preserve">要的。其次，高等教育中的问责制与质量提高缺乏 </w:t>
      </w:r>
      <w:r>
        <w:rPr>
          <w:rFonts w:ascii="宋体" w:hAnsi="宋体" w:eastAsia="宋体" w:cs="宋体"/>
          <w:color w:val="231F20"/>
          <w:spacing w:val="14"/>
          <w:sz w:val="20"/>
          <w:szCs w:val="20"/>
        </w:rPr>
        <w:t>平衡也是加强质量文化面临的挑战。</w:t>
      </w:r>
      <w:r>
        <w:rPr>
          <w:rFonts w:ascii="宋体" w:hAnsi="宋体" w:eastAsia="宋体" w:cs="宋体"/>
          <w:color w:val="231F20"/>
          <w:spacing w:val="-48"/>
          <w:sz w:val="20"/>
          <w:szCs w:val="20"/>
        </w:rPr>
        <w:t xml:space="preserve"> </w:t>
      </w:r>
      <w:r>
        <w:rPr>
          <w:rFonts w:ascii="宋体" w:hAnsi="宋体" w:eastAsia="宋体" w:cs="宋体"/>
          <w:color w:val="231F20"/>
          <w:spacing w:val="14"/>
          <w:sz w:val="20"/>
          <w:szCs w:val="20"/>
        </w:rPr>
        <w:t xml:space="preserve">问责的重要 </w:t>
      </w:r>
      <w:r>
        <w:rPr>
          <w:rFonts w:ascii="宋体" w:hAnsi="宋体" w:eastAsia="宋体" w:cs="宋体"/>
          <w:color w:val="231F20"/>
          <w:spacing w:val="7"/>
          <w:sz w:val="20"/>
          <w:szCs w:val="20"/>
        </w:rPr>
        <w:t>性不容置疑，但过分强调问责可能会使相关人员偏 离教育过程的本质，不能促进教育质量的提高。再 者，问责与质量改进过程的分离也无助于教师与管 理人员对质量的持续改进的集体所有权</w:t>
      </w:r>
      <w:r>
        <w:rPr>
          <w:rFonts w:ascii="宋体" w:hAnsi="宋体" w:eastAsia="宋体" w:cs="宋体"/>
          <w:color w:val="231F20"/>
          <w:spacing w:val="7"/>
          <w:position w:val="8"/>
          <w:sz w:val="10"/>
          <w:szCs w:val="10"/>
        </w:rPr>
        <w:t>[27]</w:t>
      </w:r>
      <w:r>
        <w:rPr>
          <w:rFonts w:ascii="宋体" w:hAnsi="宋体" w:eastAsia="宋体" w:cs="宋体"/>
          <w:color w:val="231F20"/>
          <w:spacing w:val="7"/>
          <w:sz w:val="20"/>
          <w:szCs w:val="20"/>
        </w:rPr>
        <w:t>。</w:t>
      </w:r>
    </w:p>
    <w:p>
      <w:pPr>
        <w:spacing w:before="87" w:line="304" w:lineRule="auto"/>
        <w:ind w:right="71" w:firstLine="416"/>
        <w:rPr>
          <w:rFonts w:ascii="宋体" w:hAnsi="宋体" w:eastAsia="宋体" w:cs="宋体"/>
          <w:sz w:val="20"/>
          <w:szCs w:val="20"/>
        </w:rPr>
      </w:pPr>
      <w:r>
        <w:rPr>
          <w:rFonts w:ascii="宋体" w:hAnsi="宋体" w:eastAsia="宋体" w:cs="宋体"/>
          <w:color w:val="231F20"/>
          <w:sz w:val="20"/>
          <w:szCs w:val="20"/>
        </w:rPr>
        <w:t>Hildesheim</w:t>
      </w:r>
      <w:r>
        <w:rPr>
          <w:rFonts w:ascii="宋体" w:hAnsi="宋体" w:eastAsia="宋体" w:cs="宋体"/>
          <w:color w:val="231F20"/>
          <w:spacing w:val="20"/>
          <w:position w:val="8"/>
          <w:sz w:val="10"/>
          <w:szCs w:val="10"/>
        </w:rPr>
        <w:t>[28]</w:t>
      </w:r>
      <w:r>
        <w:rPr>
          <w:rFonts w:ascii="宋体" w:hAnsi="宋体" w:eastAsia="宋体" w:cs="宋体"/>
          <w:color w:val="231F20"/>
          <w:spacing w:val="20"/>
          <w:sz w:val="20"/>
          <w:szCs w:val="20"/>
        </w:rPr>
        <w:t>对教育质量文化的理解具有建</w:t>
      </w:r>
      <w:r>
        <w:rPr>
          <w:rFonts w:ascii="宋体" w:hAnsi="宋体" w:eastAsia="宋体" w:cs="宋体"/>
          <w:color w:val="231F20"/>
          <w:spacing w:val="13"/>
          <w:sz w:val="20"/>
          <w:szCs w:val="20"/>
        </w:rPr>
        <w:t xml:space="preserve"> </w:t>
      </w:r>
      <w:r>
        <w:rPr>
          <w:rFonts w:ascii="宋体" w:hAnsi="宋体" w:eastAsia="宋体" w:cs="宋体"/>
          <w:color w:val="231F20"/>
          <w:spacing w:val="7"/>
          <w:sz w:val="20"/>
          <w:szCs w:val="20"/>
        </w:rPr>
        <w:t>设性。它预设了个人与集体、结构与心理、问责与</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改进、技术与价值之间从紧张走向平衡，共同建构</w:t>
      </w:r>
      <w:r>
        <w:rPr>
          <w:rFonts w:ascii="宋体" w:hAnsi="宋体" w:eastAsia="宋体" w:cs="宋体"/>
          <w:color w:val="231F20"/>
          <w:spacing w:val="15"/>
          <w:sz w:val="20"/>
          <w:szCs w:val="20"/>
        </w:rPr>
        <w:t xml:space="preserve"> </w:t>
      </w:r>
      <w:r>
        <w:rPr>
          <w:rFonts w:ascii="宋体" w:hAnsi="宋体" w:eastAsia="宋体" w:cs="宋体"/>
          <w:color w:val="231F20"/>
          <w:spacing w:val="-2"/>
          <w:sz w:val="20"/>
          <w:szCs w:val="20"/>
        </w:rPr>
        <w:t>一个和谐的“家”与教育氛围，达成对质量意义的共</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同理解：一种对质量价值的认同与谋划、履行质量</w:t>
      </w:r>
      <w:r>
        <w:rPr>
          <w:rFonts w:ascii="宋体" w:hAnsi="宋体" w:eastAsia="宋体" w:cs="宋体"/>
          <w:color w:val="231F20"/>
          <w:spacing w:val="15"/>
          <w:sz w:val="20"/>
          <w:szCs w:val="20"/>
        </w:rPr>
        <w:t xml:space="preserve"> </w:t>
      </w:r>
      <w:r>
        <w:rPr>
          <w:rFonts w:ascii="宋体" w:hAnsi="宋体" w:eastAsia="宋体" w:cs="宋体"/>
          <w:color w:val="231F20"/>
          <w:spacing w:val="17"/>
          <w:sz w:val="20"/>
          <w:szCs w:val="20"/>
        </w:rPr>
        <w:t>承诺的行为表征相统一。其中个人在质量文化中</w:t>
      </w:r>
      <w:r>
        <w:rPr>
          <w:rFonts w:ascii="宋体" w:hAnsi="宋体" w:eastAsia="宋体" w:cs="宋体"/>
          <w:color w:val="231F20"/>
          <w:spacing w:val="12"/>
          <w:sz w:val="20"/>
          <w:szCs w:val="20"/>
        </w:rPr>
        <w:t xml:space="preserve"> </w:t>
      </w:r>
      <w:r>
        <w:rPr>
          <w:rFonts w:ascii="宋体" w:hAnsi="宋体" w:eastAsia="宋体" w:cs="宋体"/>
          <w:color w:val="231F20"/>
          <w:spacing w:val="7"/>
          <w:sz w:val="20"/>
          <w:szCs w:val="20"/>
        </w:rPr>
        <w:t>所表现出来的责任、承诺与契约精神是质量文化的</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根本；建立在信任基础上的领导力是质量提高与实</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现的保障；共同参与的相互协调意义上的沟通是达</w:t>
      </w:r>
      <w:r>
        <w:rPr>
          <w:rFonts w:ascii="宋体" w:hAnsi="宋体" w:eastAsia="宋体" w:cs="宋体"/>
          <w:color w:val="231F20"/>
          <w:spacing w:val="15"/>
          <w:sz w:val="20"/>
          <w:szCs w:val="20"/>
        </w:rPr>
        <w:t xml:space="preserve"> </w:t>
      </w:r>
      <w:r>
        <w:rPr>
          <w:rFonts w:ascii="宋体" w:hAnsi="宋体" w:eastAsia="宋体" w:cs="宋体"/>
          <w:color w:val="231F20"/>
          <w:spacing w:val="8"/>
          <w:sz w:val="20"/>
          <w:szCs w:val="20"/>
        </w:rPr>
        <w:t>成理解的桥梁与不可或缺的有效方式。</w:t>
      </w:r>
    </w:p>
    <w:p>
      <w:pPr>
        <w:spacing w:before="87" w:line="302" w:lineRule="auto"/>
        <w:ind w:right="71" w:firstLine="421"/>
        <w:rPr>
          <w:rFonts w:ascii="宋体" w:hAnsi="宋体" w:eastAsia="宋体" w:cs="宋体"/>
          <w:sz w:val="20"/>
          <w:szCs w:val="20"/>
        </w:rPr>
      </w:pPr>
      <w:r>
        <w:rPr>
          <w:rFonts w:ascii="宋体" w:hAnsi="宋体" w:eastAsia="宋体" w:cs="宋体"/>
          <w:color w:val="231F20"/>
          <w:spacing w:val="7"/>
          <w:sz w:val="20"/>
          <w:szCs w:val="20"/>
        </w:rPr>
        <w:t xml:space="preserve">培育质量文化就是建立互信和理解的氛围，激 </w:t>
      </w:r>
      <w:r>
        <w:rPr>
          <w:rFonts w:ascii="宋体" w:hAnsi="宋体" w:eastAsia="宋体" w:cs="宋体"/>
          <w:color w:val="231F20"/>
          <w:spacing w:val="17"/>
          <w:sz w:val="20"/>
          <w:szCs w:val="20"/>
        </w:rPr>
        <w:t>发院校特别是教师在质量改进方面的动机并内化</w:t>
      </w:r>
      <w:r>
        <w:rPr>
          <w:rFonts w:ascii="宋体" w:hAnsi="宋体" w:eastAsia="宋体" w:cs="宋体"/>
          <w:color w:val="231F20"/>
          <w:spacing w:val="12"/>
          <w:sz w:val="20"/>
          <w:szCs w:val="20"/>
        </w:rPr>
        <w:t xml:space="preserve"> </w:t>
      </w:r>
      <w:r>
        <w:rPr>
          <w:rFonts w:ascii="宋体" w:hAnsi="宋体" w:eastAsia="宋体" w:cs="宋体"/>
          <w:color w:val="231F20"/>
          <w:spacing w:val="17"/>
          <w:sz w:val="20"/>
          <w:szCs w:val="20"/>
        </w:rPr>
        <w:t>为教育过程中质量实践。适当的沟通被视为利益</w:t>
      </w:r>
      <w:r>
        <w:rPr>
          <w:rFonts w:ascii="宋体" w:hAnsi="宋体" w:eastAsia="宋体" w:cs="宋体"/>
          <w:color w:val="231F20"/>
          <w:spacing w:val="12"/>
          <w:sz w:val="20"/>
          <w:szCs w:val="20"/>
        </w:rPr>
        <w:t xml:space="preserve"> </w:t>
      </w:r>
      <w:r>
        <w:rPr>
          <w:rFonts w:ascii="宋体" w:hAnsi="宋体" w:eastAsia="宋体" w:cs="宋体"/>
          <w:color w:val="231F20"/>
          <w:spacing w:val="28"/>
          <w:sz w:val="20"/>
          <w:szCs w:val="20"/>
        </w:rPr>
        <w:t>相关者实现共同价值观和信念的不可或缺的方</w:t>
      </w:r>
      <w:r>
        <w:rPr>
          <w:rFonts w:ascii="宋体" w:hAnsi="宋体" w:eastAsia="宋体" w:cs="宋体"/>
          <w:color w:val="231F20"/>
          <w:spacing w:val="9"/>
          <w:sz w:val="20"/>
          <w:szCs w:val="20"/>
        </w:rPr>
        <w:t xml:space="preserve"> </w:t>
      </w:r>
      <w:r>
        <w:rPr>
          <w:rFonts w:ascii="宋体" w:hAnsi="宋体" w:eastAsia="宋体" w:cs="宋体"/>
          <w:color w:val="231F20"/>
          <w:spacing w:val="7"/>
          <w:sz w:val="20"/>
          <w:szCs w:val="20"/>
        </w:rPr>
        <w:t>式。从更广泛的意义上考察，交流不仅仅意味着适</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当的信息共享，还意味着和解与妥协。以信任为基</w:t>
      </w:r>
      <w:r>
        <w:rPr>
          <w:rFonts w:ascii="宋体" w:hAnsi="宋体" w:eastAsia="宋体" w:cs="宋体"/>
          <w:color w:val="231F20"/>
          <w:spacing w:val="15"/>
          <w:sz w:val="20"/>
          <w:szCs w:val="20"/>
        </w:rPr>
        <w:t xml:space="preserve"> </w:t>
      </w:r>
      <w:r>
        <w:rPr>
          <w:rFonts w:ascii="宋体" w:hAnsi="宋体" w:eastAsia="宋体" w:cs="宋体"/>
          <w:color w:val="231F20"/>
          <w:spacing w:val="17"/>
          <w:sz w:val="20"/>
          <w:szCs w:val="20"/>
        </w:rPr>
        <w:t>础的高水平的质量文化还关联着与大学核心利益</w:t>
      </w:r>
      <w:r>
        <w:rPr>
          <w:rFonts w:ascii="宋体" w:hAnsi="宋体" w:eastAsia="宋体" w:cs="宋体"/>
          <w:color w:val="231F20"/>
          <w:spacing w:val="12"/>
          <w:sz w:val="20"/>
          <w:szCs w:val="20"/>
        </w:rPr>
        <w:t xml:space="preserve"> </w:t>
      </w:r>
      <w:r>
        <w:rPr>
          <w:rFonts w:ascii="宋体" w:hAnsi="宋体" w:eastAsia="宋体" w:cs="宋体"/>
          <w:color w:val="231F20"/>
          <w:spacing w:val="8"/>
          <w:sz w:val="20"/>
          <w:szCs w:val="20"/>
        </w:rPr>
        <w:t>相关者的忠诚和高等教育的声誉。</w:t>
      </w:r>
    </w:p>
    <w:p>
      <w:pPr>
        <w:spacing w:line="258" w:lineRule="auto"/>
        <w:rPr>
          <w:rFonts w:ascii="Arial"/>
          <w:sz w:val="21"/>
        </w:rPr>
      </w:pPr>
    </w:p>
    <w:p>
      <w:pPr>
        <w:spacing w:before="65" w:line="145" w:lineRule="exact"/>
        <w:ind w:left="4146"/>
        <w:rPr>
          <w:rFonts w:ascii="宋体" w:hAnsi="宋体" w:eastAsia="宋体" w:cs="宋体"/>
          <w:sz w:val="20"/>
          <w:szCs w:val="20"/>
        </w:rPr>
      </w:pPr>
      <w:r>
        <w:rPr>
          <w:rFonts w:ascii="宋体" w:hAnsi="宋体" w:eastAsia="宋体" w:cs="宋体"/>
          <w:color w:val="231F20"/>
          <w:spacing w:val="1"/>
          <w:position w:val="-3"/>
          <w:sz w:val="20"/>
          <w:szCs w:val="20"/>
        </w:rPr>
        <w:t>21</w:t>
      </w:r>
    </w:p>
    <w:p>
      <w:pPr>
        <w:spacing w:line="145" w:lineRule="exact"/>
        <w:rPr>
          <w:rFonts w:ascii="宋体" w:hAnsi="宋体" w:eastAsia="宋体" w:cs="宋体"/>
          <w:sz w:val="20"/>
          <w:szCs w:val="20"/>
        </w:rPr>
        <w:sectPr>
          <w:type w:val="continuous"/>
          <w:pgSz w:w="12416" w:h="16612"/>
          <w:pgMar w:top="1480" w:right="1459" w:bottom="547" w:left="407" w:header="1150" w:footer="354" w:gutter="0"/>
          <w:cols w:equalWidth="0" w:num="2">
            <w:col w:w="5807" w:space="100"/>
            <w:col w:w="4642"/>
          </w:cols>
        </w:sectPr>
      </w:pPr>
    </w:p>
    <w:p>
      <w:pPr>
        <w:spacing w:line="118" w:lineRule="exact"/>
      </w:pPr>
    </w:p>
    <w:p>
      <w:pPr>
        <w:spacing w:line="118" w:lineRule="exact"/>
        <w:sectPr>
          <w:headerReference r:id="rId14" w:type="default"/>
          <w:footerReference r:id="rId15" w:type="default"/>
          <w:pgSz w:w="12416" w:h="16612"/>
          <w:pgMar w:top="1482" w:right="1232" w:bottom="547" w:left="407" w:header="1149" w:footer="354" w:gutter="0"/>
          <w:cols w:equalWidth="0" w:num="1">
            <w:col w:w="10775"/>
          </w:cols>
        </w:sectPr>
      </w:pPr>
    </w:p>
    <w:p>
      <w:pPr>
        <w:spacing w:before="43" w:line="305" w:lineRule="auto"/>
        <w:ind w:left="1128" w:right="234" w:firstLine="424"/>
        <w:rPr>
          <w:rFonts w:ascii="宋体" w:hAnsi="宋体" w:eastAsia="宋体" w:cs="宋体"/>
          <w:sz w:val="20"/>
          <w:szCs w:val="20"/>
        </w:rPr>
      </w:pPr>
      <w:r>
        <w:rPr>
          <w:rFonts w:ascii="宋体" w:hAnsi="宋体" w:eastAsia="宋体" w:cs="宋体"/>
          <w:color w:val="231F20"/>
          <w:spacing w:val="7"/>
          <w:sz w:val="20"/>
          <w:szCs w:val="20"/>
        </w:rPr>
        <w:t xml:space="preserve">事实上质量文化的形成与变革取决于大学领导 </w:t>
      </w:r>
      <w:r>
        <w:rPr>
          <w:rFonts w:ascii="宋体" w:hAnsi="宋体" w:eastAsia="宋体" w:cs="宋体"/>
          <w:color w:val="231F20"/>
          <w:spacing w:val="-2"/>
          <w:sz w:val="20"/>
          <w:szCs w:val="20"/>
        </w:rPr>
        <w:t>人在变革过程中的专业精神、领导风范、大学使命与</w:t>
      </w:r>
      <w:r>
        <w:rPr>
          <w:rFonts w:ascii="宋体" w:hAnsi="宋体" w:eastAsia="宋体" w:cs="宋体"/>
          <w:color w:val="231F20"/>
          <w:spacing w:val="17"/>
          <w:sz w:val="20"/>
          <w:szCs w:val="20"/>
        </w:rPr>
        <w:t xml:space="preserve"> </w:t>
      </w:r>
      <w:r>
        <w:rPr>
          <w:rFonts w:ascii="宋体" w:hAnsi="宋体" w:eastAsia="宋体" w:cs="宋体"/>
          <w:color w:val="231F20"/>
          <w:spacing w:val="7"/>
          <w:sz w:val="20"/>
          <w:szCs w:val="20"/>
        </w:rPr>
        <w:t>承诺。在理想的实践中，正是卓越的领导力让教师</w:t>
      </w:r>
      <w:r>
        <w:rPr>
          <w:rFonts w:ascii="宋体" w:hAnsi="宋体" w:eastAsia="宋体" w:cs="宋体"/>
          <w:color w:val="231F20"/>
          <w:spacing w:val="17"/>
          <w:sz w:val="20"/>
          <w:szCs w:val="20"/>
        </w:rPr>
        <w:t xml:space="preserve"> </w:t>
      </w:r>
      <w:r>
        <w:rPr>
          <w:rFonts w:ascii="宋体" w:hAnsi="宋体" w:eastAsia="宋体" w:cs="宋体"/>
          <w:color w:val="231F20"/>
          <w:spacing w:val="-2"/>
          <w:sz w:val="20"/>
          <w:szCs w:val="20"/>
        </w:rPr>
        <w:t>获得了“所有权”感与归属感，从而使教学成为共同</w:t>
      </w:r>
      <w:r>
        <w:rPr>
          <w:rFonts w:ascii="宋体" w:hAnsi="宋体" w:eastAsia="宋体" w:cs="宋体"/>
          <w:color w:val="231F20"/>
          <w:spacing w:val="17"/>
          <w:sz w:val="20"/>
          <w:szCs w:val="20"/>
        </w:rPr>
        <w:t xml:space="preserve"> </w:t>
      </w:r>
      <w:r>
        <w:rPr>
          <w:rFonts w:ascii="宋体" w:hAnsi="宋体" w:eastAsia="宋体" w:cs="宋体"/>
          <w:color w:val="231F20"/>
          <w:spacing w:val="7"/>
          <w:sz w:val="20"/>
          <w:szCs w:val="20"/>
        </w:rPr>
        <w:t>的责任。在提升质量文化方面最成功的领导者正是</w:t>
      </w:r>
      <w:r>
        <w:rPr>
          <w:rFonts w:ascii="宋体" w:hAnsi="宋体" w:eastAsia="宋体" w:cs="宋体"/>
          <w:color w:val="231F20"/>
          <w:spacing w:val="17"/>
          <w:sz w:val="20"/>
          <w:szCs w:val="20"/>
        </w:rPr>
        <w:t xml:space="preserve"> </w:t>
      </w:r>
      <w:r>
        <w:rPr>
          <w:rFonts w:ascii="宋体" w:hAnsi="宋体" w:eastAsia="宋体" w:cs="宋体"/>
          <w:color w:val="231F20"/>
          <w:spacing w:val="7"/>
          <w:sz w:val="20"/>
          <w:szCs w:val="20"/>
        </w:rPr>
        <w:t>那些能够就预期变革的目的和效果提供令人信服的</w:t>
      </w:r>
      <w:r>
        <w:rPr>
          <w:rFonts w:ascii="宋体" w:hAnsi="宋体" w:eastAsia="宋体" w:cs="宋体"/>
          <w:color w:val="231F20"/>
          <w:spacing w:val="17"/>
          <w:sz w:val="20"/>
          <w:szCs w:val="20"/>
        </w:rPr>
        <w:t xml:space="preserve"> </w:t>
      </w:r>
      <w:r>
        <w:rPr>
          <w:rFonts w:ascii="宋体" w:hAnsi="宋体" w:eastAsia="宋体" w:cs="宋体"/>
          <w:color w:val="231F20"/>
          <w:spacing w:val="7"/>
          <w:sz w:val="20"/>
          <w:szCs w:val="20"/>
        </w:rPr>
        <w:t>共同愿景，团结潜在对手或建立教学专业话语的个</w:t>
      </w:r>
      <w:r>
        <w:rPr>
          <w:rFonts w:ascii="宋体" w:hAnsi="宋体" w:eastAsia="宋体" w:cs="宋体"/>
          <w:color w:val="231F20"/>
          <w:spacing w:val="17"/>
          <w:sz w:val="20"/>
          <w:szCs w:val="20"/>
        </w:rPr>
        <w:t xml:space="preserve"> </w:t>
      </w:r>
      <w:r>
        <w:rPr>
          <w:rFonts w:ascii="宋体" w:hAnsi="宋体" w:eastAsia="宋体" w:cs="宋体"/>
          <w:color w:val="231F20"/>
          <w:spacing w:val="6"/>
          <w:sz w:val="20"/>
          <w:szCs w:val="20"/>
        </w:rPr>
        <w:t>人</w:t>
      </w:r>
      <w:r>
        <w:rPr>
          <w:rFonts w:ascii="宋体" w:hAnsi="宋体" w:eastAsia="宋体" w:cs="宋体"/>
          <w:color w:val="231F20"/>
          <w:spacing w:val="6"/>
          <w:position w:val="8"/>
          <w:sz w:val="10"/>
          <w:szCs w:val="10"/>
        </w:rPr>
        <w:t>[29]</w:t>
      </w:r>
      <w:r>
        <w:rPr>
          <w:rFonts w:ascii="宋体" w:hAnsi="宋体" w:eastAsia="宋体" w:cs="宋体"/>
          <w:color w:val="231F20"/>
          <w:spacing w:val="-25"/>
          <w:position w:val="8"/>
          <w:sz w:val="10"/>
          <w:szCs w:val="10"/>
        </w:rPr>
        <w:t xml:space="preserve"> </w:t>
      </w:r>
      <w:r>
        <w:rPr>
          <w:rFonts w:ascii="宋体" w:hAnsi="宋体" w:eastAsia="宋体" w:cs="宋体"/>
          <w:color w:val="231F20"/>
          <w:spacing w:val="6"/>
          <w:sz w:val="20"/>
          <w:szCs w:val="20"/>
        </w:rPr>
        <w:t>。大学的高层管理者的远见卓识与战</w:t>
      </w:r>
      <w:r>
        <w:rPr>
          <w:rFonts w:ascii="宋体" w:hAnsi="宋体" w:eastAsia="宋体" w:cs="宋体"/>
          <w:color w:val="231F20"/>
          <w:spacing w:val="5"/>
          <w:sz w:val="20"/>
          <w:szCs w:val="20"/>
        </w:rPr>
        <w:t>略领导能</w:t>
      </w:r>
      <w:r>
        <w:rPr>
          <w:rFonts w:ascii="宋体" w:hAnsi="宋体" w:eastAsia="宋体" w:cs="宋体"/>
          <w:color w:val="231F20"/>
          <w:sz w:val="20"/>
          <w:szCs w:val="20"/>
        </w:rPr>
        <w:t xml:space="preserve"> </w:t>
      </w:r>
      <w:r>
        <w:rPr>
          <w:rFonts w:ascii="宋体" w:hAnsi="宋体" w:eastAsia="宋体" w:cs="宋体"/>
          <w:color w:val="231F20"/>
          <w:spacing w:val="7"/>
          <w:sz w:val="20"/>
          <w:szCs w:val="20"/>
        </w:rPr>
        <w:t>力，必将激励其成员将个人知识和经验自愿转变为</w:t>
      </w:r>
      <w:r>
        <w:rPr>
          <w:rFonts w:ascii="宋体" w:hAnsi="宋体" w:eastAsia="宋体" w:cs="宋体"/>
          <w:color w:val="231F20"/>
          <w:spacing w:val="17"/>
          <w:sz w:val="20"/>
          <w:szCs w:val="20"/>
        </w:rPr>
        <w:t xml:space="preserve"> </w:t>
      </w:r>
      <w:r>
        <w:rPr>
          <w:rFonts w:ascii="宋体" w:hAnsi="宋体" w:eastAsia="宋体" w:cs="宋体"/>
          <w:color w:val="231F20"/>
          <w:spacing w:val="7"/>
          <w:sz w:val="20"/>
          <w:szCs w:val="20"/>
        </w:rPr>
        <w:t>组织的力量源泉，以保持大学竞争优势。领导者所</w:t>
      </w:r>
      <w:r>
        <w:rPr>
          <w:rFonts w:ascii="宋体" w:hAnsi="宋体" w:eastAsia="宋体" w:cs="宋体"/>
          <w:color w:val="231F20"/>
          <w:spacing w:val="17"/>
          <w:sz w:val="20"/>
          <w:szCs w:val="20"/>
        </w:rPr>
        <w:t xml:space="preserve"> </w:t>
      </w:r>
      <w:r>
        <w:rPr>
          <w:rFonts w:ascii="宋体" w:hAnsi="宋体" w:eastAsia="宋体" w:cs="宋体"/>
          <w:color w:val="231F20"/>
          <w:spacing w:val="-2"/>
          <w:sz w:val="20"/>
          <w:szCs w:val="20"/>
        </w:rPr>
        <w:t>特有的激情、正直、好奇心、胆识以及创造性个人品</w:t>
      </w:r>
      <w:r>
        <w:rPr>
          <w:rFonts w:ascii="宋体" w:hAnsi="宋体" w:eastAsia="宋体" w:cs="宋体"/>
          <w:color w:val="231F20"/>
          <w:spacing w:val="17"/>
          <w:sz w:val="20"/>
          <w:szCs w:val="20"/>
        </w:rPr>
        <w:t xml:space="preserve"> </w:t>
      </w:r>
      <w:r>
        <w:rPr>
          <w:rFonts w:ascii="宋体" w:hAnsi="宋体" w:eastAsia="宋体" w:cs="宋体"/>
          <w:color w:val="231F20"/>
          <w:spacing w:val="5"/>
          <w:sz w:val="20"/>
          <w:szCs w:val="20"/>
        </w:rPr>
        <w:t>质对质量文化产生根本性与全局性影响。</w:t>
      </w:r>
    </w:p>
    <w:p>
      <w:pPr>
        <w:spacing w:before="92" w:line="291" w:lineRule="auto"/>
        <w:ind w:left="1130" w:right="234" w:firstLine="418"/>
        <w:rPr>
          <w:rFonts w:ascii="宋体" w:hAnsi="宋体" w:eastAsia="宋体" w:cs="宋体"/>
          <w:sz w:val="20"/>
          <w:szCs w:val="20"/>
        </w:rPr>
      </w:pPr>
      <w:r>
        <w:rPr>
          <w:rFonts w:ascii="宋体" w:hAnsi="宋体" w:eastAsia="宋体" w:cs="宋体"/>
          <w:color w:val="231F20"/>
          <w:spacing w:val="7"/>
          <w:sz w:val="20"/>
          <w:szCs w:val="20"/>
        </w:rPr>
        <w:t>研究表明，在可持续发展战略中，管理者的关</w:t>
      </w:r>
      <w:r>
        <w:rPr>
          <w:rFonts w:ascii="宋体" w:hAnsi="宋体" w:eastAsia="宋体" w:cs="宋体"/>
          <w:color w:val="231F20"/>
          <w:spacing w:val="11"/>
          <w:sz w:val="20"/>
          <w:szCs w:val="20"/>
        </w:rPr>
        <w:t xml:space="preserve"> </w:t>
      </w:r>
      <w:r>
        <w:rPr>
          <w:rFonts w:ascii="宋体" w:hAnsi="宋体" w:eastAsia="宋体" w:cs="宋体"/>
          <w:color w:val="231F20"/>
          <w:spacing w:val="7"/>
          <w:sz w:val="20"/>
          <w:szCs w:val="20"/>
        </w:rPr>
        <w:t>键作用表现在引领文化变革，并促进有效的团队合</w:t>
      </w:r>
      <w:r>
        <w:rPr>
          <w:rFonts w:ascii="宋体" w:hAnsi="宋体" w:eastAsia="宋体" w:cs="宋体"/>
          <w:color w:val="231F20"/>
          <w:spacing w:val="15"/>
          <w:sz w:val="20"/>
          <w:szCs w:val="20"/>
        </w:rPr>
        <w:t xml:space="preserve"> </w:t>
      </w:r>
      <w:r>
        <w:rPr>
          <w:rFonts w:ascii="宋体" w:hAnsi="宋体" w:eastAsia="宋体" w:cs="宋体"/>
          <w:color w:val="231F20"/>
          <w:spacing w:val="17"/>
          <w:sz w:val="20"/>
          <w:szCs w:val="20"/>
        </w:rPr>
        <w:t>作。但管理者对自身行为的认识和反思是有效文</w:t>
      </w:r>
      <w:r>
        <w:rPr>
          <w:rFonts w:ascii="宋体" w:hAnsi="宋体" w:eastAsia="宋体" w:cs="宋体"/>
          <w:color w:val="231F20"/>
          <w:spacing w:val="12"/>
          <w:sz w:val="20"/>
          <w:szCs w:val="20"/>
        </w:rPr>
        <w:t xml:space="preserve"> </w:t>
      </w:r>
      <w:r>
        <w:rPr>
          <w:rFonts w:ascii="宋体" w:hAnsi="宋体" w:eastAsia="宋体" w:cs="宋体"/>
          <w:color w:val="231F20"/>
          <w:spacing w:val="6"/>
          <w:sz w:val="20"/>
          <w:szCs w:val="20"/>
        </w:rPr>
        <w:t>化变革的先决条件</w:t>
      </w:r>
      <w:r>
        <w:rPr>
          <w:rFonts w:ascii="宋体" w:hAnsi="宋体" w:eastAsia="宋体" w:cs="宋体"/>
          <w:color w:val="231F20"/>
          <w:spacing w:val="6"/>
          <w:position w:val="8"/>
          <w:sz w:val="10"/>
          <w:szCs w:val="10"/>
        </w:rPr>
        <w:t>[30]</w:t>
      </w:r>
      <w:r>
        <w:rPr>
          <w:rFonts w:ascii="宋体" w:hAnsi="宋体" w:eastAsia="宋体" w:cs="宋体"/>
          <w:color w:val="231F20"/>
          <w:spacing w:val="6"/>
          <w:sz w:val="20"/>
          <w:szCs w:val="20"/>
        </w:rPr>
        <w:t>。</w:t>
      </w:r>
    </w:p>
    <w:p>
      <w:pPr>
        <w:spacing w:before="91" w:line="291" w:lineRule="auto"/>
        <w:ind w:left="1130" w:right="163" w:firstLine="428"/>
        <w:rPr>
          <w:rFonts w:ascii="宋体" w:hAnsi="宋体" w:eastAsia="宋体" w:cs="宋体"/>
          <w:sz w:val="20"/>
          <w:szCs w:val="20"/>
        </w:rPr>
      </w:pPr>
      <w:r>
        <w:rPr>
          <w:rFonts w:ascii="宋体" w:hAnsi="宋体" w:eastAsia="宋体" w:cs="宋体"/>
          <w:color w:val="231F20"/>
          <w:spacing w:val="10"/>
          <w:sz w:val="20"/>
          <w:szCs w:val="20"/>
        </w:rPr>
        <w:t>总之，领导力对提升优秀质量文化至关重要。</w:t>
      </w:r>
      <w:r>
        <w:rPr>
          <w:rFonts w:ascii="宋体" w:hAnsi="宋体" w:eastAsia="宋体" w:cs="宋体"/>
          <w:color w:val="231F20"/>
          <w:spacing w:val="12"/>
          <w:sz w:val="20"/>
          <w:szCs w:val="20"/>
        </w:rPr>
        <w:t xml:space="preserve"> </w:t>
      </w:r>
      <w:r>
        <w:rPr>
          <w:rFonts w:ascii="宋体" w:hAnsi="宋体" w:eastAsia="宋体" w:cs="宋体"/>
          <w:color w:val="231F20"/>
          <w:spacing w:val="7"/>
          <w:sz w:val="20"/>
          <w:szCs w:val="20"/>
        </w:rPr>
        <w:t xml:space="preserve">现代大学既需要学术上追求真理的勇气，也需要管 </w:t>
      </w:r>
      <w:r>
        <w:rPr>
          <w:rFonts w:ascii="宋体" w:hAnsi="宋体" w:eastAsia="宋体" w:cs="宋体"/>
          <w:color w:val="231F20"/>
          <w:spacing w:val="16"/>
          <w:sz w:val="20"/>
          <w:szCs w:val="20"/>
        </w:rPr>
        <w:t xml:space="preserve">理智慧。两者的结合才能全面阐释教育质量文化 </w:t>
      </w:r>
      <w:r>
        <w:rPr>
          <w:rFonts w:ascii="宋体" w:hAnsi="宋体" w:eastAsia="宋体" w:cs="宋体"/>
          <w:color w:val="231F20"/>
          <w:spacing w:val="8"/>
          <w:sz w:val="20"/>
          <w:szCs w:val="20"/>
        </w:rPr>
        <w:t>的丰富性与完整性。</w:t>
      </w:r>
    </w:p>
    <w:p>
      <w:pPr>
        <w:pStyle w:val="2"/>
        <w:spacing w:before="90" w:line="224" w:lineRule="auto"/>
        <w:ind w:left="1471"/>
        <w:rPr>
          <w:sz w:val="20"/>
          <w:szCs w:val="20"/>
        </w:rPr>
      </w:pPr>
      <w:r>
        <w:rPr>
          <w:color w:val="231F20"/>
          <w:spacing w:val="3"/>
          <w:sz w:val="20"/>
          <w:szCs w:val="20"/>
        </w:rPr>
        <w:t>（二）重建以学术共同体协调发展的质量文化</w:t>
      </w:r>
    </w:p>
    <w:p>
      <w:pPr>
        <w:spacing w:before="100" w:line="307" w:lineRule="auto"/>
        <w:ind w:left="1130" w:right="169" w:firstLine="424"/>
        <w:rPr>
          <w:rFonts w:ascii="宋体" w:hAnsi="宋体" w:eastAsia="宋体" w:cs="宋体"/>
          <w:sz w:val="20"/>
          <w:szCs w:val="20"/>
        </w:rPr>
      </w:pPr>
      <w:r>
        <w:rPr>
          <w:rFonts w:ascii="宋体" w:hAnsi="宋体" w:eastAsia="宋体" w:cs="宋体"/>
          <w:color w:val="231F20"/>
          <w:spacing w:val="18"/>
          <w:sz w:val="20"/>
          <w:szCs w:val="20"/>
        </w:rPr>
        <w:t>凡是在人以有机的方式由他们的意志相互结</w:t>
      </w:r>
      <w:r>
        <w:rPr>
          <w:rFonts w:ascii="宋体" w:hAnsi="宋体" w:eastAsia="宋体" w:cs="宋体"/>
          <w:color w:val="231F20"/>
          <w:spacing w:val="3"/>
          <w:sz w:val="20"/>
          <w:szCs w:val="20"/>
        </w:rPr>
        <w:t xml:space="preserve"> </w:t>
      </w:r>
      <w:r>
        <w:rPr>
          <w:rFonts w:ascii="宋体" w:hAnsi="宋体" w:eastAsia="宋体" w:cs="宋体"/>
          <w:color w:val="231F20"/>
          <w:spacing w:val="7"/>
          <w:sz w:val="20"/>
          <w:szCs w:val="20"/>
        </w:rPr>
        <w:t>合和相互肯定的地方，总是有这种方式的或那种方</w:t>
      </w:r>
      <w:r>
        <w:rPr>
          <w:rFonts w:ascii="宋体" w:hAnsi="宋体" w:eastAsia="宋体" w:cs="宋体"/>
          <w:color w:val="231F20"/>
          <w:spacing w:val="15"/>
          <w:sz w:val="20"/>
          <w:szCs w:val="20"/>
        </w:rPr>
        <w:t xml:space="preserve"> </w:t>
      </w:r>
      <w:r>
        <w:rPr>
          <w:rFonts w:ascii="宋体" w:hAnsi="宋体" w:eastAsia="宋体" w:cs="宋体"/>
          <w:color w:val="231F20"/>
          <w:spacing w:val="1"/>
          <w:sz w:val="20"/>
          <w:szCs w:val="20"/>
        </w:rPr>
        <w:t>式的共同体</w:t>
      </w:r>
      <w:r>
        <w:rPr>
          <w:rFonts w:ascii="宋体" w:hAnsi="宋体" w:eastAsia="宋体" w:cs="宋体"/>
          <w:color w:val="231F20"/>
          <w:spacing w:val="1"/>
          <w:position w:val="8"/>
          <w:sz w:val="10"/>
          <w:szCs w:val="10"/>
        </w:rPr>
        <w:t>[31]</w:t>
      </w:r>
      <w:r>
        <w:rPr>
          <w:rFonts w:ascii="宋体" w:hAnsi="宋体" w:eastAsia="宋体" w:cs="宋体"/>
          <w:color w:val="231F20"/>
          <w:spacing w:val="-18"/>
          <w:position w:val="8"/>
          <w:sz w:val="10"/>
          <w:szCs w:val="10"/>
        </w:rPr>
        <w:t xml:space="preserve"> </w:t>
      </w:r>
      <w:r>
        <w:rPr>
          <w:rFonts w:ascii="宋体" w:hAnsi="宋体" w:eastAsia="宋体" w:cs="宋体"/>
          <w:color w:val="231F20"/>
          <w:spacing w:val="1"/>
          <w:sz w:val="20"/>
          <w:szCs w:val="20"/>
        </w:rPr>
        <w:t>。</w:t>
      </w:r>
      <w:r>
        <w:rPr>
          <w:rFonts w:ascii="宋体" w:hAnsi="宋体" w:eastAsia="宋体" w:cs="宋体"/>
          <w:color w:val="231F20"/>
          <w:sz w:val="20"/>
          <w:szCs w:val="20"/>
        </w:rPr>
        <w:t>universitas</w:t>
      </w:r>
      <w:r>
        <w:rPr>
          <w:rFonts w:ascii="宋体" w:hAnsi="宋体" w:eastAsia="宋体" w:cs="宋体"/>
          <w:color w:val="231F20"/>
          <w:spacing w:val="1"/>
          <w:sz w:val="20"/>
          <w:szCs w:val="20"/>
        </w:rPr>
        <w:t xml:space="preserve">（大学）的最初含义-- </w:t>
      </w:r>
      <w:r>
        <w:rPr>
          <w:rFonts w:ascii="宋体" w:hAnsi="宋体" w:eastAsia="宋体" w:cs="宋体"/>
          <w:color w:val="231F20"/>
          <w:spacing w:val="16"/>
          <w:sz w:val="20"/>
          <w:szCs w:val="20"/>
        </w:rPr>
        <w:t>教师与学生的共同体--与它作为所有学科的统一</w:t>
      </w:r>
      <w:r>
        <w:rPr>
          <w:rFonts w:ascii="宋体" w:hAnsi="宋体" w:eastAsia="宋体" w:cs="宋体"/>
          <w:color w:val="231F20"/>
          <w:spacing w:val="17"/>
          <w:sz w:val="20"/>
          <w:szCs w:val="20"/>
        </w:rPr>
        <w:t xml:space="preserve"> </w:t>
      </w:r>
      <w:r>
        <w:rPr>
          <w:rFonts w:ascii="宋体" w:hAnsi="宋体" w:eastAsia="宋体" w:cs="宋体"/>
          <w:color w:val="231F20"/>
          <w:spacing w:val="5"/>
          <w:sz w:val="20"/>
          <w:szCs w:val="20"/>
        </w:rPr>
        <w:t>体含义同等重要</w:t>
      </w:r>
      <w:r>
        <w:rPr>
          <w:rFonts w:ascii="宋体" w:hAnsi="宋体" w:eastAsia="宋体" w:cs="宋体"/>
          <w:color w:val="231F20"/>
          <w:spacing w:val="5"/>
          <w:position w:val="8"/>
          <w:sz w:val="10"/>
          <w:szCs w:val="10"/>
        </w:rPr>
        <w:t>[32]</w:t>
      </w:r>
      <w:r>
        <w:rPr>
          <w:rFonts w:ascii="宋体" w:hAnsi="宋体" w:eastAsia="宋体" w:cs="宋体"/>
          <w:color w:val="231F20"/>
          <w:spacing w:val="-6"/>
          <w:position w:val="8"/>
          <w:sz w:val="10"/>
          <w:szCs w:val="10"/>
        </w:rPr>
        <w:t xml:space="preserve"> </w:t>
      </w:r>
      <w:r>
        <w:rPr>
          <w:rFonts w:ascii="宋体" w:hAnsi="宋体" w:eastAsia="宋体" w:cs="宋体"/>
          <w:color w:val="231F20"/>
          <w:spacing w:val="5"/>
          <w:sz w:val="20"/>
          <w:szCs w:val="20"/>
        </w:rPr>
        <w:t>。虽然中世纪大学“一个学者团</w:t>
      </w:r>
      <w:r>
        <w:rPr>
          <w:rFonts w:ascii="宋体" w:hAnsi="宋体" w:eastAsia="宋体" w:cs="宋体"/>
          <w:color w:val="231F20"/>
          <w:sz w:val="20"/>
          <w:szCs w:val="20"/>
        </w:rPr>
        <w:t xml:space="preserve"> </w:t>
      </w:r>
      <w:r>
        <w:rPr>
          <w:rFonts w:ascii="宋体" w:hAnsi="宋体" w:eastAsia="宋体" w:cs="宋体"/>
          <w:color w:val="231F20"/>
          <w:spacing w:val="-2"/>
          <w:sz w:val="20"/>
          <w:szCs w:val="20"/>
        </w:rPr>
        <w:t xml:space="preserve">体、一种共享的内部文化、一套共同旨趣、一席公共 </w:t>
      </w:r>
      <w:r>
        <w:rPr>
          <w:rFonts w:ascii="宋体" w:hAnsi="宋体" w:eastAsia="宋体" w:cs="宋体"/>
          <w:color w:val="231F20"/>
          <w:spacing w:val="4"/>
          <w:sz w:val="20"/>
          <w:szCs w:val="20"/>
        </w:rPr>
        <w:t>话语”</w:t>
      </w:r>
      <w:r>
        <w:rPr>
          <w:rFonts w:ascii="宋体" w:hAnsi="宋体" w:eastAsia="宋体" w:cs="宋体"/>
          <w:color w:val="231F20"/>
          <w:spacing w:val="4"/>
          <w:position w:val="8"/>
          <w:sz w:val="10"/>
          <w:szCs w:val="10"/>
        </w:rPr>
        <w:t>[33]</w:t>
      </w:r>
      <w:r>
        <w:rPr>
          <w:rFonts w:ascii="宋体" w:hAnsi="宋体" w:eastAsia="宋体" w:cs="宋体"/>
          <w:color w:val="231F20"/>
          <w:spacing w:val="4"/>
          <w:sz w:val="20"/>
          <w:szCs w:val="20"/>
        </w:rPr>
        <w:t>的象牙塔理想逐渐衰落，但</w:t>
      </w:r>
      <w:r>
        <w:rPr>
          <w:rFonts w:ascii="宋体" w:hAnsi="宋体" w:eastAsia="宋体" w:cs="宋体"/>
          <w:color w:val="231F20"/>
          <w:spacing w:val="-35"/>
          <w:sz w:val="20"/>
          <w:szCs w:val="20"/>
        </w:rPr>
        <w:t xml:space="preserve"> </w:t>
      </w:r>
      <w:r>
        <w:rPr>
          <w:rFonts w:ascii="宋体" w:hAnsi="宋体" w:eastAsia="宋体" w:cs="宋体"/>
          <w:color w:val="231F20"/>
          <w:spacing w:val="4"/>
          <w:sz w:val="20"/>
          <w:szCs w:val="20"/>
        </w:rPr>
        <w:t>19世纪的英国</w:t>
      </w:r>
      <w:r>
        <w:rPr>
          <w:rFonts w:ascii="宋体" w:hAnsi="宋体" w:eastAsia="宋体" w:cs="宋体"/>
          <w:color w:val="231F20"/>
          <w:sz w:val="20"/>
          <w:szCs w:val="20"/>
        </w:rPr>
        <w:t xml:space="preserve"> </w:t>
      </w:r>
      <w:r>
        <w:rPr>
          <w:rFonts w:ascii="宋体" w:hAnsi="宋体" w:eastAsia="宋体" w:cs="宋体"/>
          <w:color w:val="231F20"/>
          <w:spacing w:val="17"/>
          <w:sz w:val="20"/>
          <w:szCs w:val="20"/>
        </w:rPr>
        <w:t>教育家纽曼眼中的大学依然指向学生或学科。他</w:t>
      </w:r>
      <w:r>
        <w:rPr>
          <w:rFonts w:ascii="宋体" w:hAnsi="宋体" w:eastAsia="宋体" w:cs="宋体"/>
          <w:color w:val="231F20"/>
          <w:spacing w:val="12"/>
          <w:sz w:val="20"/>
          <w:szCs w:val="20"/>
        </w:rPr>
        <w:t xml:space="preserve"> </w:t>
      </w:r>
      <w:r>
        <w:rPr>
          <w:rFonts w:ascii="宋体" w:hAnsi="宋体" w:eastAsia="宋体" w:cs="宋体"/>
          <w:color w:val="231F20"/>
          <w:spacing w:val="1"/>
          <w:sz w:val="20"/>
          <w:szCs w:val="20"/>
        </w:rPr>
        <w:t>反问道：“如果大学的目的是为了科学和哲学发现，</w:t>
      </w:r>
      <w:r>
        <w:rPr>
          <w:rFonts w:ascii="宋体" w:hAnsi="宋体" w:eastAsia="宋体" w:cs="宋体"/>
          <w:color w:val="231F20"/>
          <w:spacing w:val="11"/>
          <w:sz w:val="20"/>
          <w:szCs w:val="20"/>
        </w:rPr>
        <w:t xml:space="preserve"> </w:t>
      </w:r>
      <w:r>
        <w:rPr>
          <w:rFonts w:ascii="宋体" w:hAnsi="宋体" w:eastAsia="宋体" w:cs="宋体"/>
          <w:color w:val="231F20"/>
          <w:spacing w:val="7"/>
          <w:sz w:val="20"/>
          <w:szCs w:val="20"/>
        </w:rPr>
        <w:t>我不明白为什么大学应该拥有学生。”</w:t>
      </w:r>
      <w:r>
        <w:rPr>
          <w:rFonts w:ascii="宋体" w:hAnsi="宋体" w:eastAsia="宋体" w:cs="宋体"/>
          <w:color w:val="231F20"/>
          <w:spacing w:val="7"/>
          <w:position w:val="8"/>
          <w:sz w:val="10"/>
          <w:szCs w:val="10"/>
        </w:rPr>
        <w:t>[3</w:t>
      </w:r>
      <w:r>
        <w:rPr>
          <w:rFonts w:ascii="宋体" w:hAnsi="宋体" w:eastAsia="宋体" w:cs="宋体"/>
          <w:color w:val="231F20"/>
          <w:spacing w:val="6"/>
          <w:position w:val="8"/>
          <w:sz w:val="10"/>
          <w:szCs w:val="10"/>
        </w:rPr>
        <w:t>4]</w:t>
      </w:r>
      <w:r>
        <w:rPr>
          <w:rFonts w:ascii="宋体" w:hAnsi="宋体" w:eastAsia="宋体" w:cs="宋体"/>
          <w:color w:val="231F20"/>
          <w:spacing w:val="6"/>
          <w:sz w:val="20"/>
          <w:szCs w:val="20"/>
        </w:rPr>
        <w:t>相比纽曼</w:t>
      </w:r>
      <w:r>
        <w:rPr>
          <w:rFonts w:ascii="宋体" w:hAnsi="宋体" w:eastAsia="宋体" w:cs="宋体"/>
          <w:color w:val="231F20"/>
          <w:sz w:val="20"/>
          <w:szCs w:val="20"/>
        </w:rPr>
        <w:t xml:space="preserve"> </w:t>
      </w:r>
      <w:r>
        <w:rPr>
          <w:rFonts w:ascii="宋体" w:hAnsi="宋体" w:eastAsia="宋体" w:cs="宋体"/>
          <w:color w:val="231F20"/>
          <w:spacing w:val="7"/>
          <w:sz w:val="20"/>
          <w:szCs w:val="20"/>
        </w:rPr>
        <w:t>与雅斯贝尔斯的视野似乎更为宽阔，他们用精炼的</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语言概括了大学的理想：大学是研究和传授科学的</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殿堂，是教育新人成长的世界，是个体之间富有生</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命的交往，是学术勃发的世界。这四项构成大学理</w:t>
      </w:r>
      <w:r>
        <w:rPr>
          <w:rFonts w:ascii="宋体" w:hAnsi="宋体" w:eastAsia="宋体" w:cs="宋体"/>
          <w:color w:val="231F20"/>
          <w:spacing w:val="15"/>
          <w:sz w:val="20"/>
          <w:szCs w:val="20"/>
        </w:rPr>
        <w:t xml:space="preserve"> </w:t>
      </w:r>
      <w:r>
        <w:rPr>
          <w:rFonts w:ascii="宋体" w:hAnsi="宋体" w:eastAsia="宋体" w:cs="宋体"/>
          <w:color w:val="231F20"/>
          <w:spacing w:val="5"/>
          <w:sz w:val="20"/>
          <w:szCs w:val="20"/>
        </w:rPr>
        <w:t>想的生命整体</w:t>
      </w:r>
      <w:r>
        <w:rPr>
          <w:rFonts w:ascii="宋体" w:hAnsi="宋体" w:eastAsia="宋体" w:cs="宋体"/>
          <w:color w:val="231F20"/>
          <w:spacing w:val="5"/>
          <w:position w:val="8"/>
          <w:sz w:val="10"/>
          <w:szCs w:val="10"/>
        </w:rPr>
        <w:t>[35]</w:t>
      </w:r>
      <w:r>
        <w:rPr>
          <w:rFonts w:ascii="宋体" w:hAnsi="宋体" w:eastAsia="宋体" w:cs="宋体"/>
          <w:color w:val="231F20"/>
          <w:spacing w:val="-6"/>
          <w:position w:val="8"/>
          <w:sz w:val="10"/>
          <w:szCs w:val="10"/>
        </w:rPr>
        <w:t xml:space="preserve"> </w:t>
      </w:r>
      <w:r>
        <w:rPr>
          <w:rFonts w:ascii="宋体" w:hAnsi="宋体" w:eastAsia="宋体" w:cs="宋体"/>
          <w:color w:val="231F20"/>
          <w:spacing w:val="5"/>
          <w:sz w:val="20"/>
          <w:szCs w:val="20"/>
        </w:rPr>
        <w:t>。在这两位教育思想家的眼里，大</w:t>
      </w:r>
      <w:r>
        <w:rPr>
          <w:rFonts w:ascii="宋体" w:hAnsi="宋体" w:eastAsia="宋体" w:cs="宋体"/>
          <w:color w:val="231F20"/>
          <w:sz w:val="20"/>
          <w:szCs w:val="20"/>
        </w:rPr>
        <w:t xml:space="preserve"> </w:t>
      </w:r>
      <w:r>
        <w:rPr>
          <w:rFonts w:ascii="宋体" w:hAnsi="宋体" w:eastAsia="宋体" w:cs="宋体"/>
          <w:color w:val="231F20"/>
          <w:spacing w:val="7"/>
          <w:sz w:val="20"/>
          <w:szCs w:val="20"/>
        </w:rPr>
        <w:t>学就是一种学术共同体的精神生活，它关注精神生</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命体的交往与学者的洞见，为对话交流提供了必要</w:t>
      </w:r>
      <w:r>
        <w:rPr>
          <w:rFonts w:ascii="宋体" w:hAnsi="宋体" w:eastAsia="宋体" w:cs="宋体"/>
          <w:color w:val="231F20"/>
          <w:spacing w:val="15"/>
          <w:sz w:val="20"/>
          <w:szCs w:val="20"/>
        </w:rPr>
        <w:t xml:space="preserve"> </w:t>
      </w:r>
      <w:r>
        <w:rPr>
          <w:rFonts w:ascii="宋体" w:hAnsi="宋体" w:eastAsia="宋体" w:cs="宋体"/>
          <w:color w:val="231F20"/>
          <w:spacing w:val="8"/>
          <w:sz w:val="20"/>
          <w:szCs w:val="20"/>
        </w:rPr>
        <w:t>的空间,为批判性思维的培养提供了前提。</w:t>
      </w:r>
    </w:p>
    <w:p>
      <w:pPr>
        <w:spacing w:before="95" w:line="270" w:lineRule="auto"/>
        <w:ind w:left="1133" w:right="169" w:firstLine="418"/>
        <w:rPr>
          <w:rFonts w:ascii="宋体" w:hAnsi="宋体" w:eastAsia="宋体" w:cs="宋体"/>
          <w:sz w:val="20"/>
          <w:szCs w:val="20"/>
        </w:rPr>
      </w:pPr>
      <w:r>
        <w:rPr>
          <w:rFonts w:ascii="宋体" w:hAnsi="宋体" w:eastAsia="宋体" w:cs="宋体"/>
          <w:color w:val="231F20"/>
          <w:spacing w:val="7"/>
          <w:sz w:val="20"/>
          <w:szCs w:val="20"/>
        </w:rPr>
        <w:t xml:space="preserve">然而，个别课程以及对该课程的经验不能构成 </w:t>
      </w:r>
      <w:r>
        <w:rPr>
          <w:rFonts w:ascii="宋体" w:hAnsi="宋体" w:eastAsia="宋体" w:cs="宋体"/>
          <w:color w:val="231F20"/>
          <w:spacing w:val="1"/>
          <w:sz w:val="20"/>
          <w:szCs w:val="20"/>
        </w:rPr>
        <w:t>一个“秘密花园”，而是必须公开接受严格的审查，</w:t>
      </w:r>
    </w:p>
    <w:p>
      <w:pPr>
        <w:spacing w:line="257" w:lineRule="auto"/>
        <w:rPr>
          <w:rFonts w:ascii="Arial"/>
          <w:sz w:val="21"/>
        </w:rPr>
      </w:pPr>
    </w:p>
    <w:p>
      <w:pPr>
        <w:spacing w:before="65" w:line="144" w:lineRule="exact"/>
        <w:ind w:left="1349"/>
        <w:rPr>
          <w:rFonts w:ascii="宋体" w:hAnsi="宋体" w:eastAsia="宋体" w:cs="宋体"/>
          <w:sz w:val="20"/>
          <w:szCs w:val="20"/>
        </w:rPr>
      </w:pPr>
      <w:r>
        <w:rPr>
          <w:rFonts w:ascii="宋体" w:hAnsi="宋体" w:eastAsia="宋体" w:cs="宋体"/>
          <w:color w:val="231F20"/>
          <w:spacing w:val="1"/>
          <w:position w:val="-3"/>
          <w:sz w:val="20"/>
          <w:szCs w:val="20"/>
        </w:rPr>
        <w:t>22</w:t>
      </w:r>
    </w:p>
    <w:p>
      <w:pPr>
        <w:spacing w:line="14" w:lineRule="auto"/>
        <w:rPr>
          <w:rFonts w:ascii="Arial"/>
          <w:sz w:val="2"/>
        </w:rPr>
      </w:pPr>
      <w:r>
        <w:rPr>
          <w:rFonts w:ascii="Arial" w:hAnsi="Arial" w:eastAsia="Arial" w:cs="Arial"/>
          <w:sz w:val="2"/>
          <w:szCs w:val="2"/>
        </w:rPr>
        <w:br w:type="column"/>
      </w:r>
    </w:p>
    <w:p>
      <w:pPr>
        <w:spacing w:before="41" w:line="298" w:lineRule="auto"/>
        <w:ind w:left="97" w:firstLine="1"/>
        <w:jc w:val="both"/>
        <w:rPr>
          <w:rFonts w:ascii="宋体" w:hAnsi="宋体" w:eastAsia="宋体" w:cs="宋体"/>
          <w:sz w:val="20"/>
          <w:szCs w:val="20"/>
        </w:rPr>
      </w:pPr>
      <w:r>
        <w:rPr>
          <w:rFonts w:ascii="宋体" w:hAnsi="宋体" w:eastAsia="宋体" w:cs="宋体"/>
          <w:color w:val="231F20"/>
          <w:spacing w:val="18"/>
          <w:sz w:val="20"/>
          <w:szCs w:val="20"/>
        </w:rPr>
        <w:t>这种审查是由作为法人团体的教师集体完成</w:t>
      </w:r>
      <w:r>
        <w:rPr>
          <w:rFonts w:ascii="宋体" w:hAnsi="宋体" w:eastAsia="宋体" w:cs="宋体"/>
          <w:color w:val="231F20"/>
          <w:spacing w:val="18"/>
          <w:position w:val="8"/>
          <w:sz w:val="10"/>
          <w:szCs w:val="10"/>
        </w:rPr>
        <w:t>[36]</w:t>
      </w:r>
      <w:r>
        <w:rPr>
          <w:rFonts w:ascii="宋体" w:hAnsi="宋体" w:eastAsia="宋体" w:cs="宋体"/>
          <w:color w:val="231F20"/>
          <w:spacing w:val="18"/>
          <w:sz w:val="20"/>
          <w:szCs w:val="20"/>
        </w:rPr>
        <w:t>。</w:t>
      </w:r>
      <w:r>
        <w:rPr>
          <w:rFonts w:ascii="宋体" w:hAnsi="宋体" w:eastAsia="宋体" w:cs="宋体"/>
          <w:color w:val="231F20"/>
          <w:spacing w:val="6"/>
          <w:sz w:val="20"/>
          <w:szCs w:val="20"/>
        </w:rPr>
        <w:t xml:space="preserve"> </w:t>
      </w:r>
      <w:r>
        <w:rPr>
          <w:rFonts w:ascii="宋体" w:hAnsi="宋体" w:eastAsia="宋体" w:cs="宋体"/>
          <w:color w:val="231F20"/>
          <w:spacing w:val="21"/>
          <w:sz w:val="20"/>
          <w:szCs w:val="20"/>
        </w:rPr>
        <w:t>它是建立在信任基础上的集体负责与共同使命。</w:t>
      </w:r>
      <w:r>
        <w:rPr>
          <w:rFonts w:ascii="宋体" w:hAnsi="宋体" w:eastAsia="宋体" w:cs="宋体"/>
          <w:color w:val="231F20"/>
          <w:sz w:val="20"/>
          <w:szCs w:val="20"/>
        </w:rPr>
        <w:t xml:space="preserve"> </w:t>
      </w:r>
      <w:r>
        <w:rPr>
          <w:rFonts w:ascii="宋体" w:hAnsi="宋体" w:eastAsia="宋体" w:cs="宋体"/>
          <w:color w:val="231F20"/>
          <w:spacing w:val="1"/>
          <w:sz w:val="20"/>
          <w:szCs w:val="20"/>
        </w:rPr>
        <w:t>对任何知识取向的活动而言，社会互动、个人承诺，</w:t>
      </w:r>
      <w:r>
        <w:rPr>
          <w:rFonts w:ascii="宋体" w:hAnsi="宋体" w:eastAsia="宋体" w:cs="宋体"/>
          <w:color w:val="231F20"/>
          <w:spacing w:val="17"/>
          <w:sz w:val="20"/>
          <w:szCs w:val="20"/>
        </w:rPr>
        <w:t xml:space="preserve"> </w:t>
      </w:r>
      <w:r>
        <w:rPr>
          <w:rFonts w:ascii="宋体" w:hAnsi="宋体" w:eastAsia="宋体" w:cs="宋体"/>
          <w:color w:val="231F20"/>
          <w:spacing w:val="6"/>
          <w:sz w:val="20"/>
          <w:szCs w:val="20"/>
        </w:rPr>
        <w:t>心智开发、价值关涉似乎成为四个共同要素</w:t>
      </w:r>
      <w:r>
        <w:rPr>
          <w:rFonts w:ascii="宋体" w:hAnsi="宋体" w:eastAsia="宋体" w:cs="宋体"/>
          <w:color w:val="231F20"/>
          <w:spacing w:val="6"/>
          <w:position w:val="8"/>
          <w:sz w:val="10"/>
          <w:szCs w:val="10"/>
        </w:rPr>
        <w:t>[37]</w:t>
      </w:r>
      <w:r>
        <w:rPr>
          <w:rFonts w:ascii="宋体" w:hAnsi="宋体" w:eastAsia="宋体" w:cs="宋体"/>
          <w:color w:val="231F20"/>
          <w:spacing w:val="6"/>
          <w:sz w:val="20"/>
          <w:szCs w:val="20"/>
        </w:rPr>
        <w:t xml:space="preserve">，只 </w:t>
      </w:r>
      <w:r>
        <w:rPr>
          <w:rFonts w:ascii="宋体" w:hAnsi="宋体" w:eastAsia="宋体" w:cs="宋体"/>
          <w:color w:val="231F20"/>
          <w:spacing w:val="7"/>
          <w:sz w:val="20"/>
          <w:szCs w:val="20"/>
        </w:rPr>
        <w:t xml:space="preserve">有当知识主体本身接受批判性评价时，高等教育的 </w:t>
      </w:r>
      <w:r>
        <w:rPr>
          <w:rFonts w:ascii="宋体" w:hAnsi="宋体" w:eastAsia="宋体" w:cs="宋体"/>
          <w:color w:val="231F20"/>
          <w:spacing w:val="6"/>
          <w:sz w:val="20"/>
          <w:szCs w:val="20"/>
        </w:rPr>
        <w:t>解放承诺才能得到履行</w:t>
      </w:r>
      <w:r>
        <w:rPr>
          <w:rFonts w:ascii="宋体" w:hAnsi="宋体" w:eastAsia="宋体" w:cs="宋体"/>
          <w:color w:val="231F20"/>
          <w:spacing w:val="6"/>
          <w:position w:val="8"/>
          <w:sz w:val="10"/>
          <w:szCs w:val="10"/>
        </w:rPr>
        <w:t>[38]</w:t>
      </w:r>
      <w:r>
        <w:rPr>
          <w:rFonts w:ascii="宋体" w:hAnsi="宋体" w:eastAsia="宋体" w:cs="宋体"/>
          <w:color w:val="231F20"/>
          <w:spacing w:val="6"/>
          <w:sz w:val="20"/>
          <w:szCs w:val="20"/>
        </w:rPr>
        <w:t>。</w:t>
      </w:r>
    </w:p>
    <w:p>
      <w:pPr>
        <w:spacing w:before="90" w:line="307" w:lineRule="auto"/>
        <w:ind w:right="8" w:firstLine="518"/>
        <w:rPr>
          <w:rFonts w:ascii="宋体" w:hAnsi="宋体" w:eastAsia="宋体" w:cs="宋体"/>
          <w:sz w:val="20"/>
          <w:szCs w:val="20"/>
        </w:rPr>
      </w:pPr>
      <w:r>
        <w:rPr>
          <w:rFonts w:ascii="宋体" w:hAnsi="宋体" w:eastAsia="宋体" w:cs="宋体"/>
          <w:color w:val="231F20"/>
          <w:spacing w:val="7"/>
          <w:sz w:val="20"/>
          <w:szCs w:val="20"/>
        </w:rPr>
        <w:t>在理性主义视野下，高等教育是为了“闲逸的</w:t>
      </w:r>
      <w:r>
        <w:rPr>
          <w:rFonts w:ascii="宋体" w:hAnsi="宋体" w:eastAsia="宋体" w:cs="宋体"/>
          <w:color w:val="231F20"/>
          <w:spacing w:val="8"/>
          <w:sz w:val="20"/>
          <w:szCs w:val="20"/>
        </w:rPr>
        <w:t xml:space="preserve"> </w:t>
      </w:r>
      <w:r>
        <w:rPr>
          <w:rFonts w:ascii="宋体" w:hAnsi="宋体" w:eastAsia="宋体" w:cs="宋体"/>
          <w:color w:val="231F20"/>
          <w:spacing w:val="3"/>
          <w:sz w:val="20"/>
          <w:szCs w:val="20"/>
        </w:rPr>
        <w:t>好奇”而追求知识、“富有想象”地探讨学问以</w:t>
      </w:r>
      <w:r>
        <w:rPr>
          <w:rFonts w:ascii="宋体" w:hAnsi="宋体" w:eastAsia="宋体" w:cs="宋体"/>
          <w:color w:val="231F20"/>
          <w:spacing w:val="2"/>
          <w:sz w:val="20"/>
          <w:szCs w:val="20"/>
        </w:rPr>
        <w:t>追求</w:t>
      </w:r>
      <w:r>
        <w:rPr>
          <w:rFonts w:ascii="宋体" w:hAnsi="宋体" w:eastAsia="宋体" w:cs="宋体"/>
          <w:color w:val="231F20"/>
          <w:sz w:val="20"/>
          <w:szCs w:val="20"/>
        </w:rPr>
        <w:t xml:space="preserve"> </w:t>
      </w:r>
      <w:r>
        <w:rPr>
          <w:rFonts w:ascii="宋体" w:hAnsi="宋体" w:eastAsia="宋体" w:cs="宋体"/>
          <w:color w:val="231F20"/>
          <w:spacing w:val="3"/>
          <w:sz w:val="20"/>
          <w:szCs w:val="20"/>
        </w:rPr>
        <w:t>“价值自由”。因此高等教育所体现的“高等”</w:t>
      </w:r>
      <w:r>
        <w:rPr>
          <w:rFonts w:ascii="宋体" w:hAnsi="宋体" w:eastAsia="宋体" w:cs="宋体"/>
          <w:color w:val="231F20"/>
          <w:spacing w:val="2"/>
          <w:sz w:val="20"/>
          <w:szCs w:val="20"/>
        </w:rPr>
        <w:t>就应</w:t>
      </w:r>
      <w:r>
        <w:rPr>
          <w:rFonts w:ascii="宋体" w:hAnsi="宋体" w:eastAsia="宋体" w:cs="宋体"/>
          <w:color w:val="231F20"/>
          <w:sz w:val="20"/>
          <w:szCs w:val="20"/>
        </w:rPr>
        <w:t xml:space="preserve"> </w:t>
      </w:r>
      <w:r>
        <w:rPr>
          <w:rFonts w:ascii="宋体" w:hAnsi="宋体" w:eastAsia="宋体" w:cs="宋体"/>
          <w:color w:val="231F20"/>
          <w:spacing w:val="12"/>
          <w:sz w:val="20"/>
          <w:szCs w:val="20"/>
        </w:rPr>
        <w:t>该体现在以自由教育作为教学与学习的过程；通过</w:t>
      </w:r>
      <w:r>
        <w:rPr>
          <w:rFonts w:ascii="宋体" w:hAnsi="宋体" w:eastAsia="宋体" w:cs="宋体"/>
          <w:color w:val="231F20"/>
          <w:spacing w:val="3"/>
          <w:sz w:val="20"/>
          <w:szCs w:val="20"/>
        </w:rPr>
        <w:t xml:space="preserve"> </w:t>
      </w:r>
      <w:r>
        <w:rPr>
          <w:rFonts w:ascii="宋体" w:hAnsi="宋体" w:eastAsia="宋体" w:cs="宋体"/>
          <w:color w:val="231F20"/>
          <w:spacing w:val="22"/>
          <w:sz w:val="20"/>
          <w:szCs w:val="20"/>
        </w:rPr>
        <w:t>反思性学习及深层次学习逐渐养成终身受用的批</w:t>
      </w:r>
      <w:r>
        <w:rPr>
          <w:rFonts w:ascii="宋体" w:hAnsi="宋体" w:eastAsia="宋体" w:cs="宋体"/>
          <w:color w:val="231F20"/>
          <w:spacing w:val="5"/>
          <w:sz w:val="20"/>
          <w:szCs w:val="20"/>
        </w:rPr>
        <w:t xml:space="preserve"> </w:t>
      </w:r>
      <w:r>
        <w:rPr>
          <w:rFonts w:ascii="宋体" w:hAnsi="宋体" w:eastAsia="宋体" w:cs="宋体"/>
          <w:color w:val="231F20"/>
          <w:spacing w:val="15"/>
          <w:sz w:val="20"/>
          <w:szCs w:val="20"/>
        </w:rPr>
        <w:t>判性思维能力，进而培育出理性思维及创新思想；</w:t>
      </w:r>
      <w:r>
        <w:rPr>
          <w:rFonts w:ascii="宋体" w:hAnsi="宋体" w:eastAsia="宋体" w:cs="宋体"/>
          <w:color w:val="231F20"/>
          <w:sz w:val="20"/>
          <w:szCs w:val="20"/>
        </w:rPr>
        <w:t xml:space="preserve"> </w:t>
      </w:r>
      <w:r>
        <w:rPr>
          <w:rFonts w:ascii="宋体" w:hAnsi="宋体" w:eastAsia="宋体" w:cs="宋体"/>
          <w:color w:val="231F20"/>
          <w:spacing w:val="12"/>
          <w:sz w:val="20"/>
          <w:szCs w:val="20"/>
        </w:rPr>
        <w:t>确保学生能充分参加学术对话；同时全体教职人员</w:t>
      </w:r>
      <w:r>
        <w:rPr>
          <w:rFonts w:ascii="宋体" w:hAnsi="宋体" w:eastAsia="宋体" w:cs="宋体"/>
          <w:color w:val="231F20"/>
          <w:spacing w:val="3"/>
          <w:sz w:val="20"/>
          <w:szCs w:val="20"/>
        </w:rPr>
        <w:t xml:space="preserve"> </w:t>
      </w:r>
      <w:r>
        <w:rPr>
          <w:rFonts w:ascii="宋体" w:hAnsi="宋体" w:eastAsia="宋体" w:cs="宋体"/>
          <w:color w:val="231F20"/>
          <w:spacing w:val="12"/>
          <w:sz w:val="20"/>
          <w:szCs w:val="20"/>
        </w:rPr>
        <w:t>全心付出，多与学生接触、给予积极反馈并采用形</w:t>
      </w:r>
      <w:r>
        <w:rPr>
          <w:rFonts w:ascii="宋体" w:hAnsi="宋体" w:eastAsia="宋体" w:cs="宋体"/>
          <w:color w:val="231F20"/>
          <w:spacing w:val="3"/>
          <w:sz w:val="20"/>
          <w:szCs w:val="20"/>
        </w:rPr>
        <w:t xml:space="preserve"> </w:t>
      </w:r>
      <w:r>
        <w:rPr>
          <w:rFonts w:ascii="宋体" w:hAnsi="宋体" w:eastAsia="宋体" w:cs="宋体"/>
          <w:color w:val="231F20"/>
          <w:spacing w:val="9"/>
          <w:sz w:val="20"/>
          <w:szCs w:val="20"/>
        </w:rPr>
        <w:t>成性评价模式等</w:t>
      </w:r>
      <w:r>
        <w:rPr>
          <w:rFonts w:ascii="宋体" w:hAnsi="宋体" w:eastAsia="宋体" w:cs="宋体"/>
          <w:color w:val="231F20"/>
          <w:spacing w:val="9"/>
          <w:position w:val="8"/>
          <w:sz w:val="10"/>
          <w:szCs w:val="10"/>
        </w:rPr>
        <w:t>[39]</w:t>
      </w:r>
      <w:r>
        <w:rPr>
          <w:rFonts w:ascii="宋体" w:hAnsi="宋体" w:eastAsia="宋体" w:cs="宋体"/>
          <w:color w:val="231F20"/>
          <w:spacing w:val="-8"/>
          <w:position w:val="8"/>
          <w:sz w:val="10"/>
          <w:szCs w:val="10"/>
        </w:rPr>
        <w:t xml:space="preserve"> </w:t>
      </w:r>
      <w:r>
        <w:rPr>
          <w:rFonts w:ascii="宋体" w:hAnsi="宋体" w:eastAsia="宋体" w:cs="宋体"/>
          <w:color w:val="231F20"/>
          <w:spacing w:val="9"/>
          <w:sz w:val="20"/>
          <w:szCs w:val="20"/>
        </w:rPr>
        <w:t>。纽曼甚至说“大学教育的真正</w:t>
      </w:r>
      <w:r>
        <w:rPr>
          <w:rFonts w:ascii="宋体" w:hAnsi="宋体" w:eastAsia="宋体" w:cs="宋体"/>
          <w:color w:val="231F20"/>
          <w:sz w:val="20"/>
          <w:szCs w:val="20"/>
        </w:rPr>
        <w:t xml:space="preserve"> </w:t>
      </w:r>
      <w:r>
        <w:rPr>
          <w:rFonts w:ascii="宋体" w:hAnsi="宋体" w:eastAsia="宋体" w:cs="宋体"/>
          <w:color w:val="231F20"/>
          <w:spacing w:val="12"/>
          <w:sz w:val="20"/>
          <w:szCs w:val="20"/>
        </w:rPr>
        <w:t>而且充分的目的不是学问，或学识，而是建立在知</w:t>
      </w:r>
      <w:r>
        <w:rPr>
          <w:rFonts w:ascii="宋体" w:hAnsi="宋体" w:eastAsia="宋体" w:cs="宋体"/>
          <w:color w:val="231F20"/>
          <w:spacing w:val="3"/>
          <w:sz w:val="20"/>
          <w:szCs w:val="20"/>
        </w:rPr>
        <w:t xml:space="preserve"> </w:t>
      </w:r>
      <w:r>
        <w:rPr>
          <w:rFonts w:ascii="宋体" w:hAnsi="宋体" w:eastAsia="宋体" w:cs="宋体"/>
          <w:color w:val="231F20"/>
          <w:spacing w:val="22"/>
          <w:sz w:val="20"/>
          <w:szCs w:val="20"/>
        </w:rPr>
        <w:t>识基础之上的思想或理智，抑或可称之为哲学体</w:t>
      </w:r>
      <w:r>
        <w:rPr>
          <w:rFonts w:ascii="宋体" w:hAnsi="宋体" w:eastAsia="宋体" w:cs="宋体"/>
          <w:color w:val="231F20"/>
          <w:spacing w:val="5"/>
          <w:sz w:val="20"/>
          <w:szCs w:val="20"/>
        </w:rPr>
        <w:t xml:space="preserve"> </w:t>
      </w:r>
      <w:r>
        <w:rPr>
          <w:rFonts w:ascii="宋体" w:hAnsi="宋体" w:eastAsia="宋体" w:cs="宋体"/>
          <w:color w:val="231F20"/>
          <w:spacing w:val="3"/>
          <w:sz w:val="20"/>
          <w:szCs w:val="20"/>
        </w:rPr>
        <w:t>系”</w:t>
      </w:r>
      <w:r>
        <w:rPr>
          <w:rFonts w:ascii="宋体" w:hAnsi="宋体" w:eastAsia="宋体" w:cs="宋体"/>
          <w:color w:val="231F20"/>
          <w:spacing w:val="3"/>
          <w:position w:val="8"/>
          <w:sz w:val="10"/>
          <w:szCs w:val="10"/>
        </w:rPr>
        <w:t>[40]</w:t>
      </w:r>
      <w:r>
        <w:rPr>
          <w:rFonts w:ascii="宋体" w:hAnsi="宋体" w:eastAsia="宋体" w:cs="宋体"/>
          <w:color w:val="231F20"/>
          <w:spacing w:val="-4"/>
          <w:position w:val="8"/>
          <w:sz w:val="10"/>
          <w:szCs w:val="10"/>
        </w:rPr>
        <w:t xml:space="preserve"> </w:t>
      </w:r>
      <w:r>
        <w:rPr>
          <w:rFonts w:ascii="宋体" w:hAnsi="宋体" w:eastAsia="宋体" w:cs="宋体"/>
          <w:color w:val="231F20"/>
          <w:spacing w:val="-18"/>
          <w:sz w:val="20"/>
          <w:szCs w:val="20"/>
        </w:rPr>
        <w:t xml:space="preserve">。然而“高深”“高层”“高等”也不足以全面充 </w:t>
      </w:r>
      <w:r>
        <w:rPr>
          <w:rFonts w:ascii="宋体" w:hAnsi="宋体" w:eastAsia="宋体" w:cs="宋体"/>
          <w:color w:val="231F20"/>
          <w:spacing w:val="22"/>
          <w:sz w:val="20"/>
          <w:szCs w:val="20"/>
        </w:rPr>
        <w:t>分阐述了大学的特性，因为其中的人是一个更复</w:t>
      </w:r>
      <w:r>
        <w:rPr>
          <w:rFonts w:ascii="宋体" w:hAnsi="宋体" w:eastAsia="宋体" w:cs="宋体"/>
          <w:color w:val="231F20"/>
          <w:spacing w:val="5"/>
          <w:sz w:val="20"/>
          <w:szCs w:val="20"/>
        </w:rPr>
        <w:t xml:space="preserve"> </w:t>
      </w:r>
      <w:r>
        <w:rPr>
          <w:rFonts w:ascii="宋体" w:hAnsi="宋体" w:eastAsia="宋体" w:cs="宋体"/>
          <w:color w:val="231F20"/>
          <w:spacing w:val="9"/>
          <w:sz w:val="20"/>
          <w:szCs w:val="20"/>
        </w:rPr>
        <w:t>杂、更美好的精神生命体</w:t>
      </w:r>
      <w:r>
        <w:rPr>
          <w:rFonts w:ascii="宋体" w:hAnsi="宋体" w:eastAsia="宋体" w:cs="宋体"/>
          <w:color w:val="231F20"/>
          <w:spacing w:val="9"/>
          <w:position w:val="8"/>
          <w:sz w:val="10"/>
          <w:szCs w:val="10"/>
        </w:rPr>
        <w:t>[41]</w:t>
      </w:r>
      <w:r>
        <w:rPr>
          <w:rFonts w:ascii="宋体" w:hAnsi="宋体" w:eastAsia="宋体" w:cs="宋体"/>
          <w:color w:val="231F20"/>
          <w:spacing w:val="-8"/>
          <w:position w:val="8"/>
          <w:sz w:val="10"/>
          <w:szCs w:val="10"/>
        </w:rPr>
        <w:t xml:space="preserve"> </w:t>
      </w:r>
      <w:r>
        <w:rPr>
          <w:rFonts w:ascii="宋体" w:hAnsi="宋体" w:eastAsia="宋体" w:cs="宋体"/>
          <w:color w:val="231F20"/>
          <w:spacing w:val="9"/>
          <w:sz w:val="20"/>
          <w:szCs w:val="20"/>
        </w:rPr>
        <w:t>。学术共同体之间不仅</w:t>
      </w:r>
      <w:r>
        <w:rPr>
          <w:rFonts w:ascii="宋体" w:hAnsi="宋体" w:eastAsia="宋体" w:cs="宋体"/>
          <w:color w:val="231F20"/>
          <w:sz w:val="20"/>
          <w:szCs w:val="20"/>
        </w:rPr>
        <w:t xml:space="preserve"> </w:t>
      </w:r>
      <w:r>
        <w:rPr>
          <w:rFonts w:ascii="宋体" w:hAnsi="宋体" w:eastAsia="宋体" w:cs="宋体"/>
          <w:color w:val="231F20"/>
          <w:spacing w:val="12"/>
          <w:sz w:val="20"/>
          <w:szCs w:val="20"/>
        </w:rPr>
        <w:t>有知识的传授，还有生命内涵的领悟、意志行为的</w:t>
      </w:r>
      <w:r>
        <w:rPr>
          <w:rFonts w:ascii="宋体" w:hAnsi="宋体" w:eastAsia="宋体" w:cs="宋体"/>
          <w:color w:val="231F20"/>
          <w:spacing w:val="3"/>
          <w:sz w:val="20"/>
          <w:szCs w:val="20"/>
        </w:rPr>
        <w:t xml:space="preserve"> </w:t>
      </w:r>
      <w:r>
        <w:rPr>
          <w:rFonts w:ascii="宋体" w:hAnsi="宋体" w:eastAsia="宋体" w:cs="宋体"/>
          <w:color w:val="231F20"/>
          <w:spacing w:val="36"/>
          <w:sz w:val="20"/>
          <w:szCs w:val="20"/>
        </w:rPr>
        <w:t>历练。</w:t>
      </w:r>
    </w:p>
    <w:p>
      <w:pPr>
        <w:spacing w:before="91" w:line="295" w:lineRule="auto"/>
        <w:ind w:left="97" w:firstLine="432"/>
        <w:rPr>
          <w:rFonts w:ascii="宋体" w:hAnsi="宋体" w:eastAsia="宋体" w:cs="宋体"/>
          <w:sz w:val="20"/>
          <w:szCs w:val="20"/>
        </w:rPr>
      </w:pPr>
      <w:r>
        <w:rPr>
          <w:rFonts w:ascii="宋体" w:hAnsi="宋体" w:eastAsia="宋体" w:cs="宋体"/>
          <w:color w:val="231F20"/>
          <w:spacing w:val="16"/>
          <w:sz w:val="20"/>
          <w:szCs w:val="20"/>
        </w:rPr>
        <w:t xml:space="preserve">费希特说学者的真正使命是高度注视人类一 </w:t>
      </w:r>
      <w:r>
        <w:rPr>
          <w:rFonts w:ascii="宋体" w:hAnsi="宋体" w:eastAsia="宋体" w:cs="宋体"/>
          <w:color w:val="231F20"/>
          <w:spacing w:val="9"/>
          <w:sz w:val="20"/>
          <w:szCs w:val="20"/>
        </w:rPr>
        <w:t>般的实际发展进程，并经常促进这种发展进程</w:t>
      </w:r>
      <w:r>
        <w:rPr>
          <w:rFonts w:ascii="宋体" w:hAnsi="宋体" w:eastAsia="宋体" w:cs="宋体"/>
          <w:color w:val="231F20"/>
          <w:spacing w:val="9"/>
          <w:position w:val="8"/>
          <w:sz w:val="10"/>
          <w:szCs w:val="10"/>
        </w:rPr>
        <w:t>[42]</w:t>
      </w:r>
      <w:r>
        <w:rPr>
          <w:rFonts w:ascii="宋体" w:hAnsi="宋体" w:eastAsia="宋体" w:cs="宋体"/>
          <w:color w:val="231F20"/>
          <w:spacing w:val="9"/>
          <w:sz w:val="20"/>
          <w:szCs w:val="20"/>
        </w:rPr>
        <w:t>。</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 xml:space="preserve">如果我们从这个角度去看教育质量，一定是事关学 </w:t>
      </w:r>
      <w:r>
        <w:rPr>
          <w:rFonts w:ascii="宋体" w:hAnsi="宋体" w:eastAsia="宋体" w:cs="宋体"/>
          <w:color w:val="231F20"/>
          <w:spacing w:val="16"/>
          <w:sz w:val="20"/>
          <w:szCs w:val="20"/>
        </w:rPr>
        <w:t xml:space="preserve">者的学术水平以及所培养的学生的质量。这才是 </w:t>
      </w:r>
      <w:r>
        <w:rPr>
          <w:rFonts w:ascii="宋体" w:hAnsi="宋体" w:eastAsia="宋体" w:cs="宋体"/>
          <w:color w:val="231F20"/>
          <w:spacing w:val="8"/>
          <w:sz w:val="20"/>
          <w:szCs w:val="20"/>
        </w:rPr>
        <w:t>高等教育质量文化的根基。</w:t>
      </w:r>
    </w:p>
    <w:p>
      <w:pPr>
        <w:pStyle w:val="2"/>
        <w:spacing w:before="90" w:line="224" w:lineRule="auto"/>
        <w:ind w:left="439"/>
        <w:rPr>
          <w:sz w:val="20"/>
          <w:szCs w:val="20"/>
        </w:rPr>
      </w:pPr>
      <w:r>
        <w:rPr>
          <w:color w:val="231F20"/>
          <w:sz w:val="20"/>
          <w:szCs w:val="20"/>
        </w:rPr>
        <w:t>（三）培育以学生为中心的转化性学习质量</w:t>
      </w:r>
      <w:r>
        <w:rPr>
          <w:color w:val="231F20"/>
          <w:spacing w:val="-1"/>
          <w:sz w:val="20"/>
          <w:szCs w:val="20"/>
        </w:rPr>
        <w:t>文化</w:t>
      </w:r>
    </w:p>
    <w:p>
      <w:pPr>
        <w:spacing w:before="95" w:line="270" w:lineRule="auto"/>
        <w:ind w:left="98" w:right="71" w:firstLine="460"/>
        <w:rPr>
          <w:rFonts w:ascii="宋体" w:hAnsi="宋体" w:eastAsia="宋体" w:cs="宋体"/>
          <w:sz w:val="20"/>
          <w:szCs w:val="20"/>
        </w:rPr>
      </w:pPr>
      <w:r>
        <w:rPr>
          <w:rFonts w:ascii="宋体" w:hAnsi="宋体" w:eastAsia="宋体" w:cs="宋体"/>
          <w:color w:val="231F20"/>
          <w:spacing w:val="16"/>
          <w:sz w:val="20"/>
          <w:szCs w:val="20"/>
        </w:rPr>
        <w:t>目前对学生成果的关注已经成为美国高等教</w:t>
      </w:r>
      <w:r>
        <w:rPr>
          <w:rFonts w:ascii="宋体" w:hAnsi="宋体" w:eastAsia="宋体" w:cs="宋体"/>
          <w:color w:val="231F20"/>
          <w:spacing w:val="4"/>
          <w:sz w:val="20"/>
          <w:szCs w:val="20"/>
        </w:rPr>
        <w:t xml:space="preserve"> </w:t>
      </w:r>
      <w:r>
        <w:rPr>
          <w:rFonts w:ascii="宋体" w:hAnsi="宋体" w:eastAsia="宋体" w:cs="宋体"/>
          <w:color w:val="231F20"/>
          <w:spacing w:val="7"/>
          <w:sz w:val="20"/>
          <w:szCs w:val="20"/>
        </w:rPr>
        <w:t>育认证中判断院校质量的依据和重点</w:t>
      </w:r>
      <w:r>
        <w:rPr>
          <w:rFonts w:ascii="宋体" w:hAnsi="宋体" w:eastAsia="宋体" w:cs="宋体"/>
          <w:color w:val="231F20"/>
          <w:spacing w:val="7"/>
          <w:position w:val="8"/>
          <w:sz w:val="10"/>
          <w:szCs w:val="10"/>
        </w:rPr>
        <w:t>[43]</w:t>
      </w:r>
      <w:r>
        <w:rPr>
          <w:rFonts w:ascii="宋体" w:hAnsi="宋体" w:eastAsia="宋体" w:cs="宋体"/>
          <w:color w:val="231F20"/>
          <w:spacing w:val="7"/>
          <w:sz w:val="20"/>
          <w:szCs w:val="20"/>
        </w:rPr>
        <w:t>。</w:t>
      </w:r>
    </w:p>
    <w:p>
      <w:pPr>
        <w:spacing w:before="85" w:line="305" w:lineRule="auto"/>
        <w:ind w:left="99" w:firstLine="422"/>
        <w:rPr>
          <w:rFonts w:ascii="宋体" w:hAnsi="宋体" w:eastAsia="宋体" w:cs="宋体"/>
          <w:sz w:val="20"/>
          <w:szCs w:val="20"/>
        </w:rPr>
      </w:pPr>
      <w:r>
        <w:rPr>
          <w:rFonts w:ascii="宋体" w:hAnsi="宋体" w:eastAsia="宋体" w:cs="宋体"/>
          <w:color w:val="231F20"/>
          <w:spacing w:val="6"/>
          <w:sz w:val="20"/>
          <w:szCs w:val="20"/>
        </w:rPr>
        <w:t xml:space="preserve">学生的就读经验、学习成果、与教育过程的融 </w:t>
      </w:r>
      <w:r>
        <w:rPr>
          <w:rFonts w:ascii="宋体" w:hAnsi="宋体" w:eastAsia="宋体" w:cs="宋体"/>
          <w:color w:val="231F20"/>
          <w:spacing w:val="16"/>
          <w:sz w:val="20"/>
          <w:szCs w:val="20"/>
        </w:rPr>
        <w:t xml:space="preserve">入度以及能力的发展等都成为教育质量关注的重 </w:t>
      </w:r>
      <w:r>
        <w:rPr>
          <w:rFonts w:ascii="宋体" w:hAnsi="宋体" w:eastAsia="宋体" w:cs="宋体"/>
          <w:color w:val="231F20"/>
          <w:spacing w:val="7"/>
          <w:sz w:val="20"/>
          <w:szCs w:val="20"/>
        </w:rPr>
        <w:t>点。教育的过程是一个不断改组、不断改造和</w:t>
      </w:r>
      <w:r>
        <w:rPr>
          <w:rFonts w:ascii="宋体" w:hAnsi="宋体" w:eastAsia="宋体" w:cs="宋体"/>
          <w:color w:val="231F20"/>
          <w:spacing w:val="6"/>
          <w:sz w:val="20"/>
          <w:szCs w:val="20"/>
        </w:rPr>
        <w:t xml:space="preserve">不断 </w:t>
      </w:r>
      <w:r>
        <w:rPr>
          <w:rFonts w:ascii="宋体" w:hAnsi="宋体" w:eastAsia="宋体" w:cs="宋体"/>
          <w:color w:val="231F20"/>
          <w:spacing w:val="5"/>
          <w:sz w:val="20"/>
          <w:szCs w:val="20"/>
        </w:rPr>
        <w:t>转化的成果</w:t>
      </w:r>
      <w:r>
        <w:rPr>
          <w:rFonts w:ascii="宋体" w:hAnsi="宋体" w:eastAsia="宋体" w:cs="宋体"/>
          <w:color w:val="231F20"/>
          <w:spacing w:val="5"/>
          <w:position w:val="8"/>
          <w:sz w:val="10"/>
          <w:szCs w:val="10"/>
        </w:rPr>
        <w:t>[44]</w:t>
      </w:r>
      <w:r>
        <w:rPr>
          <w:rFonts w:ascii="宋体" w:hAnsi="宋体" w:eastAsia="宋体" w:cs="宋体"/>
          <w:color w:val="231F20"/>
          <w:spacing w:val="-12"/>
          <w:position w:val="8"/>
          <w:sz w:val="10"/>
          <w:szCs w:val="10"/>
        </w:rPr>
        <w:t xml:space="preserve"> </w:t>
      </w:r>
      <w:r>
        <w:rPr>
          <w:rFonts w:ascii="宋体" w:hAnsi="宋体" w:eastAsia="宋体" w:cs="宋体"/>
          <w:color w:val="231F20"/>
          <w:spacing w:val="5"/>
          <w:sz w:val="20"/>
          <w:szCs w:val="20"/>
        </w:rPr>
        <w:t>。教育也是才智发展的增值（</w:t>
      </w:r>
      <w:r>
        <w:rPr>
          <w:rFonts w:ascii="宋体" w:hAnsi="宋体" w:eastAsia="宋体" w:cs="宋体"/>
          <w:color w:val="231F20"/>
          <w:sz w:val="20"/>
          <w:szCs w:val="20"/>
        </w:rPr>
        <w:t>value</w:t>
      </w:r>
      <w:r>
        <w:rPr>
          <w:rFonts w:ascii="宋体" w:hAnsi="宋体" w:eastAsia="宋体" w:cs="宋体"/>
          <w:color w:val="231F20"/>
          <w:spacing w:val="5"/>
          <w:sz w:val="20"/>
          <w:szCs w:val="20"/>
        </w:rPr>
        <w:t xml:space="preserve">- </w:t>
      </w:r>
      <w:r>
        <w:rPr>
          <w:rFonts w:ascii="宋体" w:hAnsi="宋体" w:eastAsia="宋体" w:cs="宋体"/>
          <w:color w:val="231F20"/>
          <w:sz w:val="20"/>
          <w:szCs w:val="20"/>
        </w:rPr>
        <w:t>added</w:t>
      </w:r>
      <w:r>
        <w:rPr>
          <w:rFonts w:ascii="宋体" w:hAnsi="宋体" w:eastAsia="宋体" w:cs="宋体"/>
          <w:color w:val="231F20"/>
          <w:spacing w:val="2"/>
          <w:sz w:val="20"/>
          <w:szCs w:val="20"/>
        </w:rPr>
        <w:t xml:space="preserve">）过程及文化体验与建构。例如，英国的传统 </w:t>
      </w:r>
      <w:r>
        <w:rPr>
          <w:rFonts w:ascii="宋体" w:hAnsi="宋体" w:eastAsia="宋体" w:cs="宋体"/>
          <w:color w:val="231F20"/>
          <w:spacing w:val="7"/>
          <w:sz w:val="20"/>
          <w:szCs w:val="20"/>
        </w:rPr>
        <w:t>大学通过导师制与面对面交流发展学生个性，</w:t>
      </w:r>
      <w:r>
        <w:rPr>
          <w:rFonts w:ascii="宋体" w:hAnsi="宋体" w:eastAsia="宋体" w:cs="宋体"/>
          <w:color w:val="231F20"/>
          <w:spacing w:val="6"/>
          <w:sz w:val="20"/>
          <w:szCs w:val="20"/>
        </w:rPr>
        <w:t xml:space="preserve">意在 </w:t>
      </w:r>
      <w:r>
        <w:rPr>
          <w:rFonts w:ascii="宋体" w:hAnsi="宋体" w:eastAsia="宋体" w:cs="宋体"/>
          <w:color w:val="231F20"/>
          <w:spacing w:val="20"/>
          <w:sz w:val="20"/>
          <w:szCs w:val="20"/>
        </w:rPr>
        <w:t>培养以知识与社会互动为基础的有教养的绅士。</w:t>
      </w:r>
      <w:r>
        <w:rPr>
          <w:rFonts w:ascii="宋体" w:hAnsi="宋体" w:eastAsia="宋体" w:cs="宋体"/>
          <w:color w:val="231F20"/>
          <w:spacing w:val="18"/>
          <w:sz w:val="20"/>
          <w:szCs w:val="20"/>
        </w:rPr>
        <w:t xml:space="preserve"> </w:t>
      </w:r>
      <w:r>
        <w:rPr>
          <w:rFonts w:ascii="宋体" w:hAnsi="宋体" w:eastAsia="宋体" w:cs="宋体"/>
          <w:color w:val="231F20"/>
          <w:spacing w:val="7"/>
          <w:sz w:val="20"/>
          <w:szCs w:val="20"/>
        </w:rPr>
        <w:t>而在德国，按照洪堡的观念，高等教育意在追</w:t>
      </w:r>
      <w:r>
        <w:rPr>
          <w:rFonts w:ascii="宋体" w:hAnsi="宋体" w:eastAsia="宋体" w:cs="宋体"/>
          <w:color w:val="231F20"/>
          <w:spacing w:val="6"/>
          <w:sz w:val="20"/>
          <w:szCs w:val="20"/>
        </w:rPr>
        <w:t xml:space="preserve">求知 </w:t>
      </w:r>
      <w:r>
        <w:rPr>
          <w:rFonts w:ascii="宋体" w:hAnsi="宋体" w:eastAsia="宋体" w:cs="宋体"/>
          <w:color w:val="231F20"/>
          <w:spacing w:val="7"/>
          <w:sz w:val="20"/>
          <w:szCs w:val="20"/>
        </w:rPr>
        <w:t>识，以从更广泛的社会文化中摆脱出来，培养</w:t>
      </w:r>
      <w:r>
        <w:rPr>
          <w:rFonts w:ascii="宋体" w:hAnsi="宋体" w:eastAsia="宋体" w:cs="宋体"/>
          <w:color w:val="231F20"/>
          <w:spacing w:val="6"/>
          <w:sz w:val="20"/>
          <w:szCs w:val="20"/>
        </w:rPr>
        <w:t xml:space="preserve">出有 </w:t>
      </w:r>
      <w:r>
        <w:rPr>
          <w:rFonts w:ascii="宋体" w:hAnsi="宋体" w:eastAsia="宋体" w:cs="宋体"/>
          <w:color w:val="231F20"/>
          <w:spacing w:val="7"/>
          <w:sz w:val="20"/>
          <w:szCs w:val="20"/>
        </w:rPr>
        <w:t>学问的知识分子。因此不同的文化视野，决定</w:t>
      </w:r>
      <w:r>
        <w:rPr>
          <w:rFonts w:ascii="宋体" w:hAnsi="宋体" w:eastAsia="宋体" w:cs="宋体"/>
          <w:color w:val="231F20"/>
          <w:spacing w:val="6"/>
          <w:sz w:val="20"/>
          <w:szCs w:val="20"/>
        </w:rPr>
        <w:t xml:space="preserve">了学 </w:t>
      </w:r>
      <w:r>
        <w:rPr>
          <w:rFonts w:ascii="宋体" w:hAnsi="宋体" w:eastAsia="宋体" w:cs="宋体"/>
          <w:color w:val="231F20"/>
          <w:spacing w:val="17"/>
          <w:sz w:val="20"/>
          <w:szCs w:val="20"/>
        </w:rPr>
        <w:t>生的转变的方向与内容，从而形成不同的文化气</w:t>
      </w:r>
    </w:p>
    <w:p>
      <w:pPr>
        <w:spacing w:line="305" w:lineRule="auto"/>
        <w:rPr>
          <w:rFonts w:ascii="宋体" w:hAnsi="宋体" w:eastAsia="宋体" w:cs="宋体"/>
          <w:sz w:val="20"/>
          <w:szCs w:val="20"/>
        </w:rPr>
        <w:sectPr>
          <w:type w:val="continuous"/>
          <w:pgSz w:w="12416" w:h="16612"/>
          <w:pgMar w:top="1482" w:right="1232" w:bottom="547" w:left="407" w:header="1149" w:footer="354" w:gutter="0"/>
          <w:cols w:equalWidth="0" w:num="2">
            <w:col w:w="5936" w:space="100"/>
            <w:col w:w="4740"/>
          </w:cols>
        </w:sectPr>
      </w:pPr>
    </w:p>
    <w:p>
      <w:pPr>
        <w:spacing w:line="218" w:lineRule="exact"/>
      </w:pPr>
      <w:r>
        <w:pict>
          <v:shape id="_x0000_s1033" o:spid="_x0000_s1033" style="position:absolute;left:0pt;margin-left:65.15pt;margin-top:73.2pt;height:0.8pt;width:479.1pt;mso-position-horizontal-relative:page;mso-position-vertical-relative:page;z-index:251663360;mso-width-relative:page;mso-height-relative:page;" filled="f" stroked="t" coordsize="9582,16" o:allowincell="f" path="m0,6l9581,8e">
            <v:fill on="f" focussize="0,0"/>
            <v:stroke weight="0.68pt" color="#000000" miterlimit="4" joinstyle="miter"/>
            <v:imagedata o:title=""/>
            <o:lock v:ext="edit"/>
          </v:shape>
        </w:pict>
      </w:r>
    </w:p>
    <w:p>
      <w:pPr>
        <w:spacing w:line="218" w:lineRule="exact"/>
        <w:sectPr>
          <w:headerReference r:id="rId16" w:type="default"/>
          <w:footerReference r:id="rId17" w:type="default"/>
          <w:pgSz w:w="12416" w:h="16612"/>
          <w:pgMar w:top="1381" w:right="1526" w:bottom="547" w:left="407" w:header="1150" w:footer="354" w:gutter="0"/>
          <w:cols w:equalWidth="0" w:num="1">
            <w:col w:w="10482"/>
          </w:cols>
        </w:sectPr>
      </w:pPr>
    </w:p>
    <w:p>
      <w:pPr>
        <w:spacing w:before="39" w:line="302" w:lineRule="auto"/>
        <w:ind w:left="903" w:right="261"/>
        <w:jc w:val="both"/>
        <w:rPr>
          <w:rFonts w:ascii="宋体" w:hAnsi="宋体" w:eastAsia="宋体" w:cs="宋体"/>
          <w:sz w:val="20"/>
          <w:szCs w:val="20"/>
        </w:rPr>
      </w:pPr>
      <w:r>
        <w:rPr>
          <w:rFonts w:ascii="宋体" w:hAnsi="宋体" w:eastAsia="宋体" w:cs="宋体"/>
          <w:color w:val="231F20"/>
          <w:spacing w:val="1"/>
          <w:sz w:val="20"/>
          <w:szCs w:val="20"/>
        </w:rPr>
        <w:t>质：人文的或科技的、自由的或机械的。进一步说，</w:t>
      </w:r>
      <w:r>
        <w:rPr>
          <w:rFonts w:ascii="宋体" w:hAnsi="宋体" w:eastAsia="宋体" w:cs="宋体"/>
          <w:color w:val="231F20"/>
          <w:spacing w:val="11"/>
          <w:sz w:val="20"/>
          <w:szCs w:val="20"/>
        </w:rPr>
        <w:t xml:space="preserve"> </w:t>
      </w:r>
      <w:r>
        <w:rPr>
          <w:rFonts w:ascii="宋体" w:hAnsi="宋体" w:eastAsia="宋体" w:cs="宋体"/>
          <w:color w:val="231F20"/>
          <w:spacing w:val="7"/>
          <w:sz w:val="20"/>
          <w:szCs w:val="20"/>
        </w:rPr>
        <w:t>真正的高等教育是培养学生的探索精神，而不是教</w:t>
      </w:r>
      <w:r>
        <w:rPr>
          <w:rFonts w:ascii="宋体" w:hAnsi="宋体" w:eastAsia="宋体" w:cs="宋体"/>
          <w:color w:val="231F20"/>
          <w:spacing w:val="15"/>
          <w:sz w:val="20"/>
          <w:szCs w:val="20"/>
        </w:rPr>
        <w:t xml:space="preserve"> </w:t>
      </w:r>
      <w:r>
        <w:rPr>
          <w:rFonts w:ascii="宋体" w:hAnsi="宋体" w:eastAsia="宋体" w:cs="宋体"/>
          <w:color w:val="231F20"/>
          <w:spacing w:val="17"/>
          <w:sz w:val="20"/>
          <w:szCs w:val="20"/>
        </w:rPr>
        <w:t>导学生选修哪些课程；不在于学生具体获得的能</w:t>
      </w:r>
      <w:r>
        <w:rPr>
          <w:rFonts w:ascii="宋体" w:hAnsi="宋体" w:eastAsia="宋体" w:cs="宋体"/>
          <w:color w:val="231F20"/>
          <w:spacing w:val="12"/>
          <w:sz w:val="20"/>
          <w:szCs w:val="20"/>
        </w:rPr>
        <w:t xml:space="preserve"> </w:t>
      </w:r>
      <w:r>
        <w:rPr>
          <w:rFonts w:ascii="宋体" w:hAnsi="宋体" w:eastAsia="宋体" w:cs="宋体"/>
          <w:color w:val="231F20"/>
          <w:spacing w:val="17"/>
          <w:sz w:val="20"/>
          <w:szCs w:val="20"/>
        </w:rPr>
        <w:t>力，而在于一种审慎质疑的态度与思维方法的培</w:t>
      </w:r>
      <w:r>
        <w:rPr>
          <w:rFonts w:ascii="宋体" w:hAnsi="宋体" w:eastAsia="宋体" w:cs="宋体"/>
          <w:color w:val="231F20"/>
          <w:spacing w:val="12"/>
          <w:sz w:val="20"/>
          <w:szCs w:val="20"/>
        </w:rPr>
        <w:t xml:space="preserve"> </w:t>
      </w:r>
      <w:r>
        <w:rPr>
          <w:rFonts w:ascii="宋体" w:hAnsi="宋体" w:eastAsia="宋体" w:cs="宋体"/>
          <w:color w:val="231F20"/>
          <w:spacing w:val="-2"/>
          <w:sz w:val="20"/>
          <w:szCs w:val="20"/>
        </w:rPr>
        <w:t>养。雅斯贝尔斯说：“大学里面的教育，从其本性来 说，是一种苏格拉底式的教育。”</w:t>
      </w:r>
      <w:r>
        <w:rPr>
          <w:rFonts w:ascii="宋体" w:hAnsi="宋体" w:eastAsia="宋体" w:cs="宋体"/>
          <w:color w:val="231F20"/>
          <w:spacing w:val="-2"/>
          <w:position w:val="8"/>
          <w:sz w:val="10"/>
          <w:szCs w:val="10"/>
        </w:rPr>
        <w:t>[45]</w:t>
      </w:r>
      <w:r>
        <w:rPr>
          <w:rFonts w:ascii="宋体" w:hAnsi="宋体" w:eastAsia="宋体" w:cs="宋体"/>
          <w:color w:val="231F20"/>
          <w:spacing w:val="-2"/>
          <w:sz w:val="20"/>
          <w:szCs w:val="20"/>
        </w:rPr>
        <w:t xml:space="preserve">即通过无休无止 </w:t>
      </w:r>
      <w:r>
        <w:rPr>
          <w:rFonts w:ascii="宋体" w:hAnsi="宋体" w:eastAsia="宋体" w:cs="宋体"/>
          <w:color w:val="231F20"/>
          <w:spacing w:val="7"/>
          <w:sz w:val="20"/>
          <w:szCs w:val="20"/>
        </w:rPr>
        <w:t>的辩难来唤醒沉睡的潜能与真实自我，以追求自由</w:t>
      </w:r>
      <w:r>
        <w:rPr>
          <w:rFonts w:ascii="宋体" w:hAnsi="宋体" w:eastAsia="宋体" w:cs="宋体"/>
          <w:color w:val="231F20"/>
          <w:spacing w:val="15"/>
          <w:sz w:val="20"/>
          <w:szCs w:val="20"/>
        </w:rPr>
        <w:t xml:space="preserve"> </w:t>
      </w:r>
      <w:r>
        <w:rPr>
          <w:rFonts w:ascii="宋体" w:hAnsi="宋体" w:eastAsia="宋体" w:cs="宋体"/>
          <w:color w:val="231F20"/>
          <w:spacing w:val="5"/>
          <w:sz w:val="20"/>
          <w:szCs w:val="20"/>
        </w:rPr>
        <w:t>与真理。</w:t>
      </w:r>
    </w:p>
    <w:p>
      <w:pPr>
        <w:spacing w:before="90" w:line="298" w:lineRule="auto"/>
        <w:ind w:left="904" w:right="318" w:firstLine="423"/>
        <w:jc w:val="both"/>
        <w:rPr>
          <w:rFonts w:ascii="宋体" w:hAnsi="宋体" w:eastAsia="宋体" w:cs="宋体"/>
          <w:sz w:val="20"/>
          <w:szCs w:val="20"/>
        </w:rPr>
      </w:pPr>
      <w:r>
        <w:rPr>
          <w:rFonts w:ascii="宋体" w:hAnsi="宋体" w:eastAsia="宋体" w:cs="宋体"/>
          <w:color w:val="231F20"/>
          <w:spacing w:val="7"/>
          <w:sz w:val="20"/>
          <w:szCs w:val="20"/>
        </w:rPr>
        <w:t>从根本上说，理解教育的前提是理解人。卡西</w:t>
      </w:r>
      <w:r>
        <w:rPr>
          <w:rFonts w:ascii="宋体" w:hAnsi="宋体" w:eastAsia="宋体" w:cs="宋体"/>
          <w:color w:val="231F20"/>
          <w:spacing w:val="5"/>
          <w:sz w:val="20"/>
          <w:szCs w:val="20"/>
        </w:rPr>
        <w:t xml:space="preserve"> 尔认为人的突出特征是人的劳作（</w:t>
      </w:r>
      <w:r>
        <w:rPr>
          <w:rFonts w:ascii="宋体" w:hAnsi="宋体" w:eastAsia="宋体" w:cs="宋体"/>
          <w:color w:val="231F20"/>
          <w:sz w:val="20"/>
          <w:szCs w:val="20"/>
        </w:rPr>
        <w:t>work</w:t>
      </w:r>
      <w:r>
        <w:rPr>
          <w:rFonts w:ascii="宋体" w:hAnsi="宋体" w:eastAsia="宋体" w:cs="宋体"/>
          <w:color w:val="231F20"/>
          <w:spacing w:val="5"/>
          <w:sz w:val="20"/>
          <w:szCs w:val="20"/>
        </w:rPr>
        <w:t>）。</w:t>
      </w:r>
      <w:r>
        <w:rPr>
          <w:rFonts w:ascii="宋体" w:hAnsi="宋体" w:eastAsia="宋体" w:cs="宋体"/>
          <w:color w:val="231F20"/>
          <w:spacing w:val="-32"/>
          <w:sz w:val="20"/>
          <w:szCs w:val="20"/>
        </w:rPr>
        <w:t xml:space="preserve"> </w:t>
      </w:r>
      <w:r>
        <w:rPr>
          <w:rFonts w:ascii="宋体" w:hAnsi="宋体" w:eastAsia="宋体" w:cs="宋体"/>
          <w:color w:val="231F20"/>
          <w:spacing w:val="5"/>
          <w:sz w:val="20"/>
          <w:szCs w:val="20"/>
        </w:rPr>
        <w:t>正是这</w:t>
      </w:r>
      <w:r>
        <w:rPr>
          <w:rFonts w:ascii="宋体" w:hAnsi="宋体" w:eastAsia="宋体" w:cs="宋体"/>
          <w:color w:val="231F20"/>
          <w:sz w:val="20"/>
          <w:szCs w:val="20"/>
        </w:rPr>
        <w:t xml:space="preserve"> </w:t>
      </w:r>
      <w:r>
        <w:rPr>
          <w:rFonts w:ascii="宋体" w:hAnsi="宋体" w:eastAsia="宋体" w:cs="宋体"/>
          <w:color w:val="231F20"/>
          <w:spacing w:val="-2"/>
          <w:sz w:val="20"/>
          <w:szCs w:val="20"/>
        </w:rPr>
        <w:t>种劳作，规定和划定了人性的圆周。语言、神话、宗</w:t>
      </w:r>
      <w:r>
        <w:rPr>
          <w:rFonts w:ascii="宋体" w:hAnsi="宋体" w:eastAsia="宋体" w:cs="宋体"/>
          <w:color w:val="231F20"/>
          <w:spacing w:val="14"/>
          <w:sz w:val="20"/>
          <w:szCs w:val="20"/>
        </w:rPr>
        <w:t xml:space="preserve"> </w:t>
      </w:r>
      <w:r>
        <w:rPr>
          <w:rFonts w:ascii="宋体" w:hAnsi="宋体" w:eastAsia="宋体" w:cs="宋体"/>
          <w:color w:val="231F20"/>
          <w:spacing w:val="-2"/>
          <w:sz w:val="20"/>
          <w:szCs w:val="20"/>
        </w:rPr>
        <w:t>教、艺术、科学、历史，都是这个圆的组成部分和各</w:t>
      </w:r>
      <w:r>
        <w:rPr>
          <w:rFonts w:ascii="宋体" w:hAnsi="宋体" w:eastAsia="宋体" w:cs="宋体"/>
          <w:color w:val="231F20"/>
          <w:spacing w:val="14"/>
          <w:sz w:val="20"/>
          <w:szCs w:val="20"/>
        </w:rPr>
        <w:t xml:space="preserve"> 个扇面</w:t>
      </w:r>
      <w:r>
        <w:rPr>
          <w:rFonts w:ascii="宋体" w:hAnsi="宋体" w:eastAsia="宋体" w:cs="宋体"/>
          <w:color w:val="231F20"/>
          <w:spacing w:val="14"/>
          <w:position w:val="8"/>
          <w:sz w:val="10"/>
          <w:szCs w:val="10"/>
        </w:rPr>
        <w:t>[46]</w:t>
      </w:r>
      <w:r>
        <w:rPr>
          <w:rFonts w:ascii="宋体" w:hAnsi="宋体" w:eastAsia="宋体" w:cs="宋体"/>
          <w:color w:val="231F20"/>
          <w:spacing w:val="-18"/>
          <w:position w:val="8"/>
          <w:sz w:val="10"/>
          <w:szCs w:val="10"/>
        </w:rPr>
        <w:t xml:space="preserve"> </w:t>
      </w:r>
      <w:r>
        <w:rPr>
          <w:rFonts w:ascii="宋体" w:hAnsi="宋体" w:eastAsia="宋体" w:cs="宋体"/>
          <w:color w:val="231F20"/>
          <w:spacing w:val="14"/>
          <w:sz w:val="20"/>
          <w:szCs w:val="20"/>
        </w:rPr>
        <w:t>。这表明文化是一种有意识的创造性生</w:t>
      </w:r>
      <w:r>
        <w:rPr>
          <w:rFonts w:ascii="宋体" w:hAnsi="宋体" w:eastAsia="宋体" w:cs="宋体"/>
          <w:color w:val="231F20"/>
          <w:sz w:val="20"/>
          <w:szCs w:val="20"/>
        </w:rPr>
        <w:t xml:space="preserve"> </w:t>
      </w:r>
      <w:r>
        <w:rPr>
          <w:rFonts w:ascii="宋体" w:hAnsi="宋体" w:eastAsia="宋体" w:cs="宋体"/>
          <w:color w:val="231F20"/>
          <w:spacing w:val="7"/>
          <w:sz w:val="20"/>
          <w:szCs w:val="20"/>
        </w:rPr>
        <w:t>成。文化必须通过实践才能成为人的第二天性</w:t>
      </w:r>
      <w:r>
        <w:rPr>
          <w:rFonts w:ascii="宋体" w:hAnsi="宋体" w:eastAsia="宋体" w:cs="宋体"/>
          <w:color w:val="231F20"/>
          <w:spacing w:val="7"/>
          <w:position w:val="8"/>
          <w:sz w:val="10"/>
          <w:szCs w:val="10"/>
        </w:rPr>
        <w:t>[47]</w:t>
      </w:r>
      <w:r>
        <w:rPr>
          <w:rFonts w:ascii="宋体" w:hAnsi="宋体" w:eastAsia="宋体" w:cs="宋体"/>
          <w:color w:val="231F20"/>
          <w:spacing w:val="7"/>
          <w:sz w:val="20"/>
          <w:szCs w:val="20"/>
        </w:rPr>
        <w:t>。</w:t>
      </w:r>
    </w:p>
    <w:p>
      <w:pPr>
        <w:spacing w:before="93" w:line="298" w:lineRule="auto"/>
        <w:ind w:left="903" w:right="327" w:firstLine="422"/>
        <w:jc w:val="both"/>
        <w:rPr>
          <w:rFonts w:ascii="宋体" w:hAnsi="宋体" w:eastAsia="宋体" w:cs="宋体"/>
          <w:sz w:val="20"/>
          <w:szCs w:val="20"/>
        </w:rPr>
      </w:pPr>
      <w:r>
        <w:rPr>
          <w:rFonts w:ascii="宋体" w:hAnsi="宋体" w:eastAsia="宋体" w:cs="宋体"/>
          <w:color w:val="231F20"/>
          <w:spacing w:val="7"/>
          <w:sz w:val="20"/>
          <w:szCs w:val="20"/>
        </w:rPr>
        <w:t>如西美尔所言：我们的想象与认识，我们的价</w:t>
      </w:r>
      <w:r>
        <w:rPr>
          <w:rFonts w:ascii="宋体" w:hAnsi="宋体" w:eastAsia="宋体" w:cs="宋体"/>
          <w:color w:val="231F20"/>
          <w:spacing w:val="6"/>
          <w:sz w:val="20"/>
          <w:szCs w:val="20"/>
        </w:rPr>
        <w:t xml:space="preserve"> </w:t>
      </w:r>
      <w:r>
        <w:rPr>
          <w:rFonts w:ascii="宋体" w:hAnsi="宋体" w:eastAsia="宋体" w:cs="宋体"/>
          <w:color w:val="231F20"/>
          <w:spacing w:val="17"/>
          <w:sz w:val="20"/>
          <w:szCs w:val="20"/>
        </w:rPr>
        <w:t>值与判断以及它们的意义全部在创造性的生命之</w:t>
      </w:r>
      <w:r>
        <w:rPr>
          <w:rFonts w:ascii="宋体" w:hAnsi="宋体" w:eastAsia="宋体" w:cs="宋体"/>
          <w:color w:val="231F20"/>
          <w:spacing w:val="12"/>
          <w:sz w:val="20"/>
          <w:szCs w:val="20"/>
        </w:rPr>
        <w:t xml:space="preserve"> </w:t>
      </w:r>
      <w:r>
        <w:rPr>
          <w:rFonts w:ascii="宋体" w:hAnsi="宋体" w:eastAsia="宋体" w:cs="宋体"/>
          <w:color w:val="231F20"/>
          <w:spacing w:val="14"/>
          <w:sz w:val="20"/>
          <w:szCs w:val="20"/>
        </w:rPr>
        <w:t>内——这恰恰就是生命的独特之处</w:t>
      </w:r>
      <w:r>
        <w:rPr>
          <w:rFonts w:ascii="宋体" w:hAnsi="宋体" w:eastAsia="宋体" w:cs="宋体"/>
          <w:color w:val="231F20"/>
          <w:spacing w:val="14"/>
          <w:position w:val="8"/>
          <w:sz w:val="10"/>
          <w:szCs w:val="10"/>
        </w:rPr>
        <w:t>[48]</w:t>
      </w:r>
      <w:r>
        <w:rPr>
          <w:rFonts w:ascii="宋体" w:hAnsi="宋体" w:eastAsia="宋体" w:cs="宋体"/>
          <w:color w:val="231F20"/>
          <w:spacing w:val="-17"/>
          <w:position w:val="8"/>
          <w:sz w:val="10"/>
          <w:szCs w:val="10"/>
        </w:rPr>
        <w:t xml:space="preserve"> </w:t>
      </w:r>
      <w:r>
        <w:rPr>
          <w:rFonts w:ascii="宋体" w:hAnsi="宋体" w:eastAsia="宋体" w:cs="宋体"/>
          <w:color w:val="231F20"/>
          <w:spacing w:val="14"/>
          <w:sz w:val="20"/>
          <w:szCs w:val="20"/>
        </w:rPr>
        <w:t>。教育只能</w:t>
      </w:r>
      <w:r>
        <w:rPr>
          <w:rFonts w:ascii="宋体" w:hAnsi="宋体" w:eastAsia="宋体" w:cs="宋体"/>
          <w:color w:val="231F20"/>
          <w:sz w:val="20"/>
          <w:szCs w:val="20"/>
        </w:rPr>
        <w:t xml:space="preserve"> </w:t>
      </w:r>
      <w:r>
        <w:rPr>
          <w:rFonts w:ascii="宋体" w:hAnsi="宋体" w:eastAsia="宋体" w:cs="宋体"/>
          <w:color w:val="231F20"/>
          <w:spacing w:val="17"/>
          <w:sz w:val="20"/>
          <w:szCs w:val="20"/>
        </w:rPr>
        <w:t>按照人的天分和可能性来促使人的发展。它构成</w:t>
      </w:r>
      <w:r>
        <w:rPr>
          <w:rFonts w:ascii="宋体" w:hAnsi="宋体" w:eastAsia="宋体" w:cs="宋体"/>
          <w:color w:val="231F20"/>
          <w:spacing w:val="12"/>
          <w:sz w:val="20"/>
          <w:szCs w:val="20"/>
        </w:rPr>
        <w:t xml:space="preserve"> </w:t>
      </w:r>
      <w:r>
        <w:rPr>
          <w:rFonts w:ascii="宋体" w:hAnsi="宋体" w:eastAsia="宋体" w:cs="宋体"/>
          <w:color w:val="231F20"/>
          <w:spacing w:val="7"/>
          <w:sz w:val="20"/>
          <w:szCs w:val="20"/>
        </w:rPr>
        <w:t>大学的基本原则：经过思考去运用一切工具和发展</w:t>
      </w:r>
      <w:r>
        <w:rPr>
          <w:rFonts w:ascii="宋体" w:hAnsi="宋体" w:eastAsia="宋体" w:cs="宋体"/>
          <w:color w:val="231F20"/>
          <w:spacing w:val="15"/>
          <w:sz w:val="20"/>
          <w:szCs w:val="20"/>
        </w:rPr>
        <w:t xml:space="preserve"> </w:t>
      </w:r>
      <w:r>
        <w:rPr>
          <w:rFonts w:ascii="宋体" w:hAnsi="宋体" w:eastAsia="宋体" w:cs="宋体"/>
          <w:color w:val="231F20"/>
          <w:spacing w:val="5"/>
          <w:sz w:val="20"/>
          <w:szCs w:val="20"/>
        </w:rPr>
        <w:t>人的所有潜能</w:t>
      </w:r>
      <w:r>
        <w:rPr>
          <w:rFonts w:ascii="宋体" w:hAnsi="宋体" w:eastAsia="宋体" w:cs="宋体"/>
          <w:color w:val="231F20"/>
          <w:spacing w:val="5"/>
          <w:position w:val="7"/>
          <w:sz w:val="10"/>
          <w:szCs w:val="10"/>
        </w:rPr>
        <w:t>[49]</w:t>
      </w:r>
      <w:r>
        <w:rPr>
          <w:rFonts w:ascii="宋体" w:hAnsi="宋体" w:eastAsia="宋体" w:cs="宋体"/>
          <w:color w:val="231F20"/>
          <w:spacing w:val="5"/>
          <w:sz w:val="20"/>
          <w:szCs w:val="20"/>
        </w:rPr>
        <w:t>。</w:t>
      </w:r>
    </w:p>
    <w:p>
      <w:pPr>
        <w:spacing w:before="91" w:line="295" w:lineRule="auto"/>
        <w:ind w:left="904" w:right="261" w:firstLine="421"/>
        <w:jc w:val="both"/>
        <w:rPr>
          <w:rFonts w:ascii="宋体" w:hAnsi="宋体" w:eastAsia="宋体" w:cs="宋体"/>
          <w:sz w:val="20"/>
          <w:szCs w:val="20"/>
        </w:rPr>
      </w:pPr>
      <w:r>
        <w:rPr>
          <w:rFonts w:ascii="宋体" w:hAnsi="宋体" w:eastAsia="宋体" w:cs="宋体"/>
          <w:color w:val="231F20"/>
          <w:spacing w:val="7"/>
          <w:sz w:val="20"/>
          <w:szCs w:val="20"/>
        </w:rPr>
        <w:t>教育之所以有质量可言，全在于其中的人本身</w:t>
      </w:r>
      <w:r>
        <w:rPr>
          <w:rFonts w:ascii="宋体" w:hAnsi="宋体" w:eastAsia="宋体" w:cs="宋体"/>
          <w:color w:val="231F20"/>
          <w:spacing w:val="6"/>
          <w:sz w:val="20"/>
          <w:szCs w:val="20"/>
        </w:rPr>
        <w:t xml:space="preserve"> </w:t>
      </w:r>
      <w:r>
        <w:rPr>
          <w:rFonts w:ascii="宋体" w:hAnsi="宋体" w:eastAsia="宋体" w:cs="宋体"/>
          <w:color w:val="231F20"/>
          <w:spacing w:val="7"/>
          <w:sz w:val="20"/>
          <w:szCs w:val="20"/>
        </w:rPr>
        <w:t>具有独特的内涵与品质。对于高等教育来说，它意</w:t>
      </w:r>
      <w:r>
        <w:rPr>
          <w:rFonts w:ascii="宋体" w:hAnsi="宋体" w:eastAsia="宋体" w:cs="宋体"/>
          <w:color w:val="231F20"/>
          <w:spacing w:val="13"/>
          <w:sz w:val="20"/>
          <w:szCs w:val="20"/>
        </w:rPr>
        <w:t xml:space="preserve"> </w:t>
      </w:r>
      <w:r>
        <w:rPr>
          <w:rFonts w:ascii="宋体" w:hAnsi="宋体" w:eastAsia="宋体" w:cs="宋体"/>
          <w:color w:val="231F20"/>
          <w:spacing w:val="10"/>
          <w:sz w:val="20"/>
          <w:szCs w:val="20"/>
        </w:rPr>
        <w:t>味着毕业生实际获得独特的智力修养与思辨能力，</w:t>
      </w:r>
      <w:r>
        <w:rPr>
          <w:rFonts w:ascii="宋体" w:hAnsi="宋体" w:eastAsia="宋体" w:cs="宋体"/>
          <w:color w:val="231F20"/>
          <w:spacing w:val="12"/>
          <w:sz w:val="20"/>
          <w:szCs w:val="20"/>
        </w:rPr>
        <w:t xml:space="preserve"> </w:t>
      </w:r>
      <w:r>
        <w:rPr>
          <w:rFonts w:ascii="宋体" w:hAnsi="宋体" w:eastAsia="宋体" w:cs="宋体"/>
          <w:color w:val="231F20"/>
          <w:spacing w:val="7"/>
          <w:sz w:val="20"/>
          <w:szCs w:val="20"/>
        </w:rPr>
        <w:t>而且包含着一个受过教育的人所应有的好奇心、想</w:t>
      </w:r>
      <w:r>
        <w:rPr>
          <w:rFonts w:ascii="宋体" w:hAnsi="宋体" w:eastAsia="宋体" w:cs="宋体"/>
          <w:color w:val="231F20"/>
          <w:spacing w:val="13"/>
          <w:sz w:val="20"/>
          <w:szCs w:val="20"/>
        </w:rPr>
        <w:t xml:space="preserve"> </w:t>
      </w:r>
      <w:r>
        <w:rPr>
          <w:rFonts w:ascii="宋体" w:hAnsi="宋体" w:eastAsia="宋体" w:cs="宋体"/>
          <w:color w:val="231F20"/>
          <w:spacing w:val="3"/>
          <w:sz w:val="20"/>
          <w:szCs w:val="20"/>
        </w:rPr>
        <w:t>象力。</w:t>
      </w:r>
    </w:p>
    <w:p>
      <w:pPr>
        <w:spacing w:before="88" w:line="296" w:lineRule="auto"/>
        <w:ind w:left="904" w:right="253" w:firstLine="420"/>
        <w:jc w:val="both"/>
        <w:rPr>
          <w:rFonts w:ascii="宋体" w:hAnsi="宋体" w:eastAsia="宋体" w:cs="宋体"/>
          <w:sz w:val="20"/>
          <w:szCs w:val="20"/>
        </w:rPr>
      </w:pPr>
      <w:r>
        <w:rPr>
          <w:rFonts w:ascii="宋体" w:hAnsi="宋体" w:eastAsia="宋体" w:cs="宋体"/>
          <w:color w:val="231F20"/>
          <w:spacing w:val="6"/>
          <w:sz w:val="20"/>
          <w:szCs w:val="20"/>
        </w:rPr>
        <w:t xml:space="preserve">杜威说：学习就是即将知道，它便包含从无知 </w:t>
      </w:r>
      <w:r>
        <w:rPr>
          <w:rFonts w:ascii="宋体" w:hAnsi="宋体" w:eastAsia="宋体" w:cs="宋体"/>
          <w:color w:val="231F20"/>
          <w:spacing w:val="7"/>
          <w:sz w:val="20"/>
          <w:szCs w:val="20"/>
        </w:rPr>
        <w:t xml:space="preserve">到智慧的过渡，从缺乏到充足的过渡，从缺陷到完 善的过渡，用希腊人的表达方法，就是从无生命到 </w:t>
      </w:r>
      <w:r>
        <w:rPr>
          <w:rFonts w:ascii="宋体" w:hAnsi="宋体" w:eastAsia="宋体" w:cs="宋体"/>
          <w:color w:val="231F20"/>
          <w:spacing w:val="8"/>
          <w:sz w:val="20"/>
          <w:szCs w:val="20"/>
        </w:rPr>
        <w:t>有生命的过渡</w:t>
      </w:r>
      <w:r>
        <w:rPr>
          <w:rFonts w:ascii="宋体" w:hAnsi="宋体" w:eastAsia="宋体" w:cs="宋体"/>
          <w:color w:val="231F20"/>
          <w:spacing w:val="8"/>
          <w:position w:val="8"/>
          <w:sz w:val="10"/>
          <w:szCs w:val="10"/>
        </w:rPr>
        <w:t>[50]</w:t>
      </w:r>
      <w:r>
        <w:rPr>
          <w:rFonts w:ascii="宋体" w:hAnsi="宋体" w:eastAsia="宋体" w:cs="宋体"/>
          <w:color w:val="231F20"/>
          <w:spacing w:val="-8"/>
          <w:position w:val="8"/>
          <w:sz w:val="10"/>
          <w:szCs w:val="10"/>
        </w:rPr>
        <w:t xml:space="preserve"> </w:t>
      </w:r>
      <w:r>
        <w:rPr>
          <w:rFonts w:ascii="宋体" w:hAnsi="宋体" w:eastAsia="宋体" w:cs="宋体"/>
          <w:color w:val="231F20"/>
          <w:spacing w:val="8"/>
          <w:sz w:val="20"/>
          <w:szCs w:val="20"/>
        </w:rPr>
        <w:t>。可见教育关注的是这种可能性、</w:t>
      </w:r>
      <w:r>
        <w:rPr>
          <w:rFonts w:ascii="宋体" w:hAnsi="宋体" w:eastAsia="宋体" w:cs="宋体"/>
          <w:color w:val="231F20"/>
          <w:sz w:val="20"/>
          <w:szCs w:val="20"/>
        </w:rPr>
        <w:t xml:space="preserve"> </w:t>
      </w:r>
      <w:r>
        <w:rPr>
          <w:rFonts w:ascii="宋体" w:hAnsi="宋体" w:eastAsia="宋体" w:cs="宋体"/>
          <w:color w:val="231F20"/>
          <w:spacing w:val="-10"/>
          <w:sz w:val="20"/>
          <w:szCs w:val="20"/>
        </w:rPr>
        <w:t>变化、形成、发展与转变。</w:t>
      </w:r>
    </w:p>
    <w:p>
      <w:pPr>
        <w:spacing w:before="87" w:line="302" w:lineRule="auto"/>
        <w:ind w:left="903" w:right="327" w:firstLine="421"/>
        <w:jc w:val="both"/>
        <w:rPr>
          <w:rFonts w:ascii="宋体" w:hAnsi="宋体" w:eastAsia="宋体" w:cs="宋体"/>
          <w:sz w:val="20"/>
          <w:szCs w:val="20"/>
        </w:rPr>
      </w:pPr>
      <w:r>
        <w:rPr>
          <w:rFonts w:ascii="宋体" w:hAnsi="宋体" w:eastAsia="宋体" w:cs="宋体"/>
          <w:color w:val="231F20"/>
          <w:spacing w:val="18"/>
          <w:sz w:val="20"/>
          <w:szCs w:val="20"/>
        </w:rPr>
        <w:t>这种教育的改变与发展呼唤自由教育。施特</w:t>
      </w:r>
      <w:r>
        <w:rPr>
          <w:rFonts w:ascii="宋体" w:hAnsi="宋体" w:eastAsia="宋体" w:cs="宋体"/>
          <w:color w:val="231F20"/>
          <w:spacing w:val="5"/>
          <w:sz w:val="20"/>
          <w:szCs w:val="20"/>
        </w:rPr>
        <w:t xml:space="preserve"> </w:t>
      </w:r>
      <w:r>
        <w:rPr>
          <w:rFonts w:ascii="宋体" w:hAnsi="宋体" w:eastAsia="宋体" w:cs="宋体"/>
          <w:color w:val="231F20"/>
          <w:spacing w:val="7"/>
          <w:sz w:val="20"/>
          <w:szCs w:val="20"/>
        </w:rPr>
        <w:t>劳斯说：“自由教育是在文化之中或朝向文化的教</w:t>
      </w:r>
      <w:r>
        <w:rPr>
          <w:rFonts w:ascii="宋体" w:hAnsi="宋体" w:eastAsia="宋体" w:cs="宋体"/>
          <w:color w:val="231F20"/>
          <w:spacing w:val="15"/>
          <w:sz w:val="20"/>
          <w:szCs w:val="20"/>
        </w:rPr>
        <w:t xml:space="preserve"> </w:t>
      </w:r>
      <w:r>
        <w:rPr>
          <w:rFonts w:ascii="宋体" w:hAnsi="宋体" w:eastAsia="宋体" w:cs="宋体"/>
          <w:color w:val="231F20"/>
          <w:spacing w:val="-3"/>
          <w:sz w:val="20"/>
          <w:szCs w:val="20"/>
        </w:rPr>
        <w:t>育，其成品是一个有文化的人。而‘文化</w:t>
      </w:r>
      <w:r>
        <w:rPr>
          <w:rFonts w:ascii="宋体" w:hAnsi="宋体" w:eastAsia="宋体" w:cs="宋体"/>
          <w:color w:val="231F20"/>
          <w:spacing w:val="-62"/>
          <w:sz w:val="20"/>
          <w:szCs w:val="20"/>
        </w:rPr>
        <w:t xml:space="preserve"> </w:t>
      </w:r>
      <w:r>
        <w:rPr>
          <w:rFonts w:ascii="宋体" w:hAnsi="宋体" w:eastAsia="宋体" w:cs="宋体"/>
          <w:color w:val="231F20"/>
          <w:spacing w:val="-3"/>
          <w:sz w:val="20"/>
          <w:szCs w:val="20"/>
        </w:rPr>
        <w:t>’意味着按</w:t>
      </w:r>
      <w:r>
        <w:rPr>
          <w:rFonts w:ascii="宋体" w:hAnsi="宋体" w:eastAsia="宋体" w:cs="宋体"/>
          <w:color w:val="231F20"/>
          <w:sz w:val="20"/>
          <w:szCs w:val="20"/>
        </w:rPr>
        <w:t xml:space="preserve"> </w:t>
      </w:r>
      <w:r>
        <w:rPr>
          <w:rFonts w:ascii="宋体" w:hAnsi="宋体" w:eastAsia="宋体" w:cs="宋体"/>
          <w:color w:val="231F20"/>
          <w:spacing w:val="17"/>
          <w:sz w:val="20"/>
          <w:szCs w:val="20"/>
        </w:rPr>
        <w:t>心灵的本性培育心灵，照料并提升心灵的天然禀</w:t>
      </w:r>
      <w:r>
        <w:rPr>
          <w:rFonts w:ascii="宋体" w:hAnsi="宋体" w:eastAsia="宋体" w:cs="宋体"/>
          <w:color w:val="231F20"/>
          <w:spacing w:val="12"/>
          <w:sz w:val="20"/>
          <w:szCs w:val="20"/>
        </w:rPr>
        <w:t xml:space="preserve"> </w:t>
      </w:r>
      <w:r>
        <w:rPr>
          <w:rFonts w:ascii="宋体" w:hAnsi="宋体" w:eastAsia="宋体" w:cs="宋体"/>
          <w:color w:val="231F20"/>
          <w:spacing w:val="-1"/>
          <w:sz w:val="20"/>
          <w:szCs w:val="20"/>
        </w:rPr>
        <w:t>赋”</w:t>
      </w:r>
      <w:r>
        <w:rPr>
          <w:rFonts w:ascii="宋体" w:hAnsi="宋体" w:eastAsia="宋体" w:cs="宋体"/>
          <w:color w:val="231F20"/>
          <w:spacing w:val="-13"/>
          <w:w w:val="88"/>
          <w:position w:val="8"/>
          <w:sz w:val="10"/>
          <w:szCs w:val="10"/>
        </w:rPr>
        <w:t>[51]</w:t>
      </w:r>
      <w:r>
        <w:rPr>
          <w:rFonts w:ascii="宋体" w:hAnsi="宋体" w:eastAsia="宋体" w:cs="宋体"/>
          <w:color w:val="231F20"/>
          <w:spacing w:val="-21"/>
          <w:position w:val="8"/>
          <w:sz w:val="10"/>
          <w:szCs w:val="10"/>
        </w:rPr>
        <w:t xml:space="preserve"> </w:t>
      </w:r>
      <w:r>
        <w:rPr>
          <w:rFonts w:ascii="宋体" w:hAnsi="宋体" w:eastAsia="宋体" w:cs="宋体"/>
          <w:color w:val="231F20"/>
          <w:spacing w:val="-2"/>
          <w:sz w:val="20"/>
          <w:szCs w:val="20"/>
        </w:rPr>
        <w:t>。</w:t>
      </w:r>
      <w:r>
        <w:rPr>
          <w:rFonts w:ascii="宋体" w:hAnsi="宋体" w:eastAsia="宋体" w:cs="宋体"/>
          <w:color w:val="231F20"/>
          <w:spacing w:val="-42"/>
          <w:sz w:val="20"/>
          <w:szCs w:val="20"/>
        </w:rPr>
        <w:t xml:space="preserve"> </w:t>
      </w:r>
      <w:r>
        <w:rPr>
          <w:rFonts w:ascii="宋体" w:hAnsi="宋体" w:eastAsia="宋体" w:cs="宋体"/>
          <w:color w:val="231F20"/>
          <w:spacing w:val="-2"/>
          <w:sz w:val="20"/>
          <w:szCs w:val="20"/>
        </w:rPr>
        <w:t>自由教育是大众文化的解毒剂，使人从“庸</w:t>
      </w:r>
      <w:r>
        <w:rPr>
          <w:rFonts w:ascii="宋体" w:hAnsi="宋体" w:eastAsia="宋体" w:cs="宋体"/>
          <w:color w:val="231F20"/>
          <w:sz w:val="20"/>
          <w:szCs w:val="20"/>
        </w:rPr>
        <w:t xml:space="preserve"> </w:t>
      </w:r>
      <w:r>
        <w:rPr>
          <w:rFonts w:ascii="宋体" w:hAnsi="宋体" w:eastAsia="宋体" w:cs="宋体"/>
          <w:color w:val="231F20"/>
          <w:spacing w:val="7"/>
          <w:sz w:val="20"/>
          <w:szCs w:val="20"/>
        </w:rPr>
        <w:t>俗”中解放出来，追求优异与卓越。古希腊人用庸</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俗来形容对美好体验的缺乏，因而，自由教育将赠</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予我们对美好事物的经历</w:t>
      </w:r>
      <w:r>
        <w:rPr>
          <w:rFonts w:ascii="宋体" w:hAnsi="宋体" w:eastAsia="宋体" w:cs="宋体"/>
          <w:color w:val="231F20"/>
          <w:spacing w:val="7"/>
          <w:position w:val="8"/>
          <w:sz w:val="10"/>
          <w:szCs w:val="10"/>
        </w:rPr>
        <w:t>[52]</w:t>
      </w:r>
      <w:r>
        <w:rPr>
          <w:rFonts w:ascii="宋体" w:hAnsi="宋体" w:eastAsia="宋体" w:cs="宋体"/>
          <w:color w:val="231F20"/>
          <w:spacing w:val="7"/>
          <w:sz w:val="20"/>
          <w:szCs w:val="20"/>
        </w:rPr>
        <w:t>。</w:t>
      </w:r>
    </w:p>
    <w:p>
      <w:pPr>
        <w:spacing w:before="91" w:line="284" w:lineRule="auto"/>
        <w:ind w:left="903" w:right="327" w:firstLine="426"/>
        <w:jc w:val="both"/>
        <w:rPr>
          <w:rFonts w:ascii="宋体" w:hAnsi="宋体" w:eastAsia="宋体" w:cs="宋体"/>
          <w:sz w:val="20"/>
          <w:szCs w:val="20"/>
        </w:rPr>
      </w:pPr>
      <w:r>
        <w:rPr>
          <w:rFonts w:ascii="宋体" w:hAnsi="宋体" w:eastAsia="宋体" w:cs="宋体"/>
          <w:color w:val="231F20"/>
          <w:spacing w:val="7"/>
          <w:sz w:val="20"/>
          <w:szCs w:val="20"/>
        </w:rPr>
        <w:t>高等教育意味着对“自我赋能”与心智自由发</w:t>
      </w:r>
      <w:r>
        <w:rPr>
          <w:rFonts w:ascii="宋体" w:hAnsi="宋体" w:eastAsia="宋体" w:cs="宋体"/>
          <w:color w:val="231F20"/>
          <w:spacing w:val="3"/>
          <w:sz w:val="20"/>
          <w:szCs w:val="20"/>
        </w:rPr>
        <w:t xml:space="preserve"> </w:t>
      </w:r>
      <w:r>
        <w:rPr>
          <w:rFonts w:ascii="宋体" w:hAnsi="宋体" w:eastAsia="宋体" w:cs="宋体"/>
          <w:color w:val="231F20"/>
          <w:spacing w:val="-2"/>
          <w:sz w:val="20"/>
          <w:szCs w:val="20"/>
        </w:rPr>
        <w:t>展的承诺，把人从形形色色的愚昧、无知、偏见、世</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俗、与人性的贪欲中解放出来，把自身推进到批判</w:t>
      </w:r>
    </w:p>
    <w:p>
      <w:pPr>
        <w:spacing w:line="14" w:lineRule="auto"/>
        <w:rPr>
          <w:rFonts w:ascii="Arial"/>
          <w:sz w:val="2"/>
        </w:rPr>
      </w:pPr>
      <w:r>
        <w:rPr>
          <w:rFonts w:ascii="Arial" w:hAnsi="Arial" w:eastAsia="Arial" w:cs="Arial"/>
          <w:sz w:val="2"/>
          <w:szCs w:val="2"/>
        </w:rPr>
        <w:br w:type="column"/>
      </w:r>
    </w:p>
    <w:p>
      <w:pPr>
        <w:spacing w:before="38" w:line="296" w:lineRule="auto"/>
        <w:ind w:left="6" w:right="4"/>
        <w:jc w:val="both"/>
        <w:rPr>
          <w:rFonts w:ascii="宋体" w:hAnsi="宋体" w:eastAsia="宋体" w:cs="宋体"/>
          <w:sz w:val="20"/>
          <w:szCs w:val="20"/>
        </w:rPr>
      </w:pPr>
      <w:r>
        <w:rPr>
          <w:rFonts w:ascii="宋体" w:hAnsi="宋体" w:eastAsia="宋体" w:cs="宋体"/>
          <w:color w:val="231F20"/>
          <w:spacing w:val="7"/>
          <w:sz w:val="20"/>
          <w:szCs w:val="20"/>
        </w:rPr>
        <w:t>性反思层面，实现自身的转变与改善。因此转化性</w:t>
      </w:r>
      <w:r>
        <w:rPr>
          <w:rFonts w:ascii="宋体" w:hAnsi="宋体" w:eastAsia="宋体" w:cs="宋体"/>
          <w:color w:val="231F20"/>
          <w:spacing w:val="13"/>
          <w:sz w:val="20"/>
          <w:szCs w:val="20"/>
        </w:rPr>
        <w:t xml:space="preserve"> </w:t>
      </w:r>
      <w:r>
        <w:rPr>
          <w:rFonts w:ascii="宋体" w:hAnsi="宋体" w:eastAsia="宋体" w:cs="宋体"/>
          <w:color w:val="231F20"/>
          <w:spacing w:val="17"/>
          <w:sz w:val="20"/>
          <w:szCs w:val="20"/>
        </w:rPr>
        <w:t>教育视角更能从根本上阐释高等教育质量文化的</w:t>
      </w:r>
      <w:r>
        <w:rPr>
          <w:rFonts w:ascii="宋体" w:hAnsi="宋体" w:eastAsia="宋体" w:cs="宋体"/>
          <w:color w:val="231F20"/>
          <w:spacing w:val="11"/>
          <w:sz w:val="20"/>
          <w:szCs w:val="20"/>
        </w:rPr>
        <w:t xml:space="preserve"> </w:t>
      </w:r>
      <w:r>
        <w:rPr>
          <w:rFonts w:ascii="宋体" w:hAnsi="宋体" w:eastAsia="宋体" w:cs="宋体"/>
          <w:color w:val="231F20"/>
          <w:spacing w:val="7"/>
          <w:sz w:val="20"/>
          <w:szCs w:val="20"/>
        </w:rPr>
        <w:t>真正意义，实现高等教育内涵式高质量发展。这种</w:t>
      </w:r>
      <w:r>
        <w:rPr>
          <w:rFonts w:ascii="宋体" w:hAnsi="宋体" w:eastAsia="宋体" w:cs="宋体"/>
          <w:color w:val="231F20"/>
          <w:spacing w:val="14"/>
          <w:sz w:val="20"/>
          <w:szCs w:val="20"/>
        </w:rPr>
        <w:t xml:space="preserve"> </w:t>
      </w:r>
      <w:r>
        <w:rPr>
          <w:rFonts w:ascii="宋体" w:hAnsi="宋体" w:eastAsia="宋体" w:cs="宋体"/>
          <w:color w:val="231F20"/>
          <w:spacing w:val="7"/>
          <w:sz w:val="20"/>
          <w:szCs w:val="20"/>
        </w:rPr>
        <w:t>高质量体现在人自身的文化修为、全面教养与非凡</w:t>
      </w:r>
      <w:r>
        <w:rPr>
          <w:rFonts w:ascii="宋体" w:hAnsi="宋体" w:eastAsia="宋体" w:cs="宋体"/>
          <w:color w:val="231F20"/>
          <w:spacing w:val="14"/>
          <w:sz w:val="20"/>
          <w:szCs w:val="20"/>
        </w:rPr>
        <w:t xml:space="preserve"> </w:t>
      </w:r>
      <w:r>
        <w:rPr>
          <w:rFonts w:ascii="宋体" w:hAnsi="宋体" w:eastAsia="宋体" w:cs="宋体"/>
          <w:color w:val="231F20"/>
          <w:spacing w:val="3"/>
          <w:sz w:val="20"/>
          <w:szCs w:val="20"/>
        </w:rPr>
        <w:t>卓越。</w:t>
      </w:r>
    </w:p>
    <w:p>
      <w:pPr>
        <w:spacing w:line="360" w:lineRule="auto"/>
        <w:rPr>
          <w:rFonts w:ascii="Arial"/>
          <w:sz w:val="21"/>
        </w:rPr>
      </w:pPr>
    </w:p>
    <w:p>
      <w:pPr>
        <w:spacing w:before="65" w:line="229" w:lineRule="auto"/>
        <w:ind w:left="441"/>
        <w:rPr>
          <w:rFonts w:ascii="黑体" w:hAnsi="黑体" w:eastAsia="黑体" w:cs="黑体"/>
          <w:sz w:val="20"/>
          <w:szCs w:val="20"/>
        </w:rPr>
      </w:pPr>
      <w:r>
        <w:rPr>
          <w:rFonts w:ascii="黑体" w:hAnsi="黑体" w:eastAsia="黑体" w:cs="黑体"/>
          <w:color w:val="231F20"/>
          <w:spacing w:val="-23"/>
          <w:sz w:val="20"/>
          <w:szCs w:val="20"/>
        </w:rPr>
        <w:t>四、结语</w:t>
      </w:r>
    </w:p>
    <w:p>
      <w:pPr>
        <w:spacing w:line="361" w:lineRule="auto"/>
        <w:rPr>
          <w:rFonts w:ascii="Arial"/>
          <w:sz w:val="21"/>
        </w:rPr>
      </w:pPr>
    </w:p>
    <w:p>
      <w:pPr>
        <w:spacing w:before="65" w:line="291" w:lineRule="auto"/>
        <w:ind w:left="6" w:right="4" w:firstLine="419"/>
        <w:jc w:val="both"/>
        <w:rPr>
          <w:rFonts w:ascii="宋体" w:hAnsi="宋体" w:eastAsia="宋体" w:cs="宋体"/>
          <w:sz w:val="20"/>
          <w:szCs w:val="20"/>
        </w:rPr>
      </w:pPr>
      <w:r>
        <w:rPr>
          <w:rFonts w:ascii="宋体" w:hAnsi="宋体" w:eastAsia="宋体" w:cs="宋体"/>
          <w:color w:val="231F20"/>
          <w:spacing w:val="7"/>
          <w:sz w:val="20"/>
          <w:szCs w:val="20"/>
        </w:rPr>
        <w:t>质量是一个主观性的概念，不同的利益相关者</w:t>
      </w:r>
      <w:r>
        <w:rPr>
          <w:rFonts w:ascii="宋体" w:hAnsi="宋体" w:eastAsia="宋体" w:cs="宋体"/>
          <w:color w:val="231F20"/>
          <w:spacing w:val="9"/>
          <w:sz w:val="20"/>
          <w:szCs w:val="20"/>
        </w:rPr>
        <w:t xml:space="preserve"> </w:t>
      </w:r>
      <w:r>
        <w:rPr>
          <w:rFonts w:ascii="宋体" w:hAnsi="宋体" w:eastAsia="宋体" w:cs="宋体"/>
          <w:color w:val="231F20"/>
          <w:spacing w:val="15"/>
          <w:sz w:val="20"/>
          <w:szCs w:val="20"/>
        </w:rPr>
        <w:t>或参与者有不同的理解。</w:t>
      </w:r>
      <w:r>
        <w:rPr>
          <w:rFonts w:ascii="宋体" w:hAnsi="宋体" w:eastAsia="宋体" w:cs="宋体"/>
          <w:color w:val="231F20"/>
          <w:spacing w:val="-47"/>
          <w:sz w:val="20"/>
          <w:szCs w:val="20"/>
        </w:rPr>
        <w:t xml:space="preserve"> </w:t>
      </w:r>
      <w:r>
        <w:rPr>
          <w:rFonts w:ascii="宋体" w:hAnsi="宋体" w:eastAsia="宋体" w:cs="宋体"/>
          <w:color w:val="231F20"/>
          <w:spacing w:val="15"/>
          <w:sz w:val="20"/>
          <w:szCs w:val="20"/>
        </w:rPr>
        <w:t>同时质量是动态而非静</w:t>
      </w:r>
      <w:r>
        <w:rPr>
          <w:rFonts w:ascii="宋体" w:hAnsi="宋体" w:eastAsia="宋体" w:cs="宋体"/>
          <w:color w:val="231F20"/>
          <w:sz w:val="20"/>
          <w:szCs w:val="20"/>
        </w:rPr>
        <w:t xml:space="preserve"> </w:t>
      </w:r>
      <w:r>
        <w:rPr>
          <w:rFonts w:ascii="宋体" w:hAnsi="宋体" w:eastAsia="宋体" w:cs="宋体"/>
          <w:color w:val="231F20"/>
          <w:spacing w:val="7"/>
          <w:sz w:val="20"/>
          <w:szCs w:val="20"/>
        </w:rPr>
        <w:t>态的，一种持续地对卓越的追求，必须在广阔的教</w:t>
      </w:r>
      <w:r>
        <w:rPr>
          <w:rFonts w:ascii="宋体" w:hAnsi="宋体" w:eastAsia="宋体" w:cs="宋体"/>
          <w:color w:val="231F20"/>
          <w:spacing w:val="14"/>
          <w:sz w:val="20"/>
          <w:szCs w:val="20"/>
        </w:rPr>
        <w:t xml:space="preserve"> </w:t>
      </w:r>
      <w:r>
        <w:rPr>
          <w:rFonts w:ascii="宋体" w:hAnsi="宋体" w:eastAsia="宋体" w:cs="宋体"/>
          <w:color w:val="231F20"/>
          <w:spacing w:val="1"/>
          <w:sz w:val="20"/>
          <w:szCs w:val="20"/>
        </w:rPr>
        <w:t>育、文化与社会情境中去理解。</w:t>
      </w:r>
    </w:p>
    <w:p>
      <w:pPr>
        <w:spacing w:before="92" w:line="300" w:lineRule="auto"/>
        <w:ind w:left="5" w:right="4" w:firstLine="420"/>
        <w:jc w:val="both"/>
        <w:rPr>
          <w:rFonts w:ascii="宋体" w:hAnsi="宋体" w:eastAsia="宋体" w:cs="宋体"/>
          <w:sz w:val="20"/>
          <w:szCs w:val="20"/>
        </w:rPr>
      </w:pPr>
      <w:r>
        <w:rPr>
          <w:rFonts w:ascii="宋体" w:hAnsi="宋体" w:eastAsia="宋体" w:cs="宋体"/>
          <w:color w:val="231F20"/>
          <w:spacing w:val="7"/>
          <w:sz w:val="20"/>
          <w:szCs w:val="20"/>
        </w:rPr>
        <w:t>质量是自身“生产”出来的。质量文化是持续</w:t>
      </w:r>
      <w:r>
        <w:rPr>
          <w:rFonts w:ascii="宋体" w:hAnsi="宋体" w:eastAsia="宋体" w:cs="宋体"/>
          <w:color w:val="231F20"/>
          <w:spacing w:val="9"/>
          <w:sz w:val="20"/>
          <w:szCs w:val="20"/>
        </w:rPr>
        <w:t xml:space="preserve"> </w:t>
      </w:r>
      <w:r>
        <w:rPr>
          <w:rFonts w:ascii="宋体" w:hAnsi="宋体" w:eastAsia="宋体" w:cs="宋体"/>
          <w:color w:val="231F20"/>
          <w:spacing w:val="17"/>
          <w:sz w:val="20"/>
          <w:szCs w:val="20"/>
        </w:rPr>
        <w:t>提升大学教育质量最持久的内在动力。高等教育</w:t>
      </w:r>
      <w:r>
        <w:rPr>
          <w:rFonts w:ascii="宋体" w:hAnsi="宋体" w:eastAsia="宋体" w:cs="宋体"/>
          <w:color w:val="231F20"/>
          <w:spacing w:val="12"/>
          <w:sz w:val="20"/>
          <w:szCs w:val="20"/>
        </w:rPr>
        <w:t xml:space="preserve"> </w:t>
      </w:r>
      <w:r>
        <w:rPr>
          <w:rFonts w:ascii="宋体" w:hAnsi="宋体" w:eastAsia="宋体" w:cs="宋体"/>
          <w:color w:val="231F20"/>
          <w:spacing w:val="7"/>
          <w:sz w:val="20"/>
          <w:szCs w:val="20"/>
        </w:rPr>
        <w:t>质量文化根植于自身的独特性，表现为独特的生活</w:t>
      </w:r>
      <w:r>
        <w:rPr>
          <w:rFonts w:ascii="宋体" w:hAnsi="宋体" w:eastAsia="宋体" w:cs="宋体"/>
          <w:color w:val="231F20"/>
          <w:spacing w:val="15"/>
          <w:sz w:val="20"/>
          <w:szCs w:val="20"/>
        </w:rPr>
        <w:t xml:space="preserve"> </w:t>
      </w:r>
      <w:r>
        <w:rPr>
          <w:rFonts w:ascii="宋体" w:hAnsi="宋体" w:eastAsia="宋体" w:cs="宋体"/>
          <w:color w:val="231F20"/>
          <w:spacing w:val="7"/>
          <w:sz w:val="20"/>
          <w:szCs w:val="20"/>
        </w:rPr>
        <w:t>方式、发展理念与精神文化。成熟稳定的质量文化</w:t>
      </w:r>
      <w:r>
        <w:rPr>
          <w:rFonts w:ascii="宋体" w:hAnsi="宋体" w:eastAsia="宋体" w:cs="宋体"/>
          <w:color w:val="231F20"/>
          <w:spacing w:val="15"/>
          <w:sz w:val="20"/>
          <w:szCs w:val="20"/>
        </w:rPr>
        <w:t xml:space="preserve"> </w:t>
      </w:r>
      <w:r>
        <w:rPr>
          <w:rFonts w:ascii="宋体" w:hAnsi="宋体" w:eastAsia="宋体" w:cs="宋体"/>
          <w:color w:val="231F20"/>
          <w:spacing w:val="17"/>
          <w:sz w:val="20"/>
          <w:szCs w:val="20"/>
        </w:rPr>
        <w:t>是提升大学质量的根本保证。大学校园弥漫的应</w:t>
      </w:r>
      <w:r>
        <w:rPr>
          <w:rFonts w:ascii="宋体" w:hAnsi="宋体" w:eastAsia="宋体" w:cs="宋体"/>
          <w:color w:val="231F20"/>
          <w:spacing w:val="12"/>
          <w:sz w:val="20"/>
          <w:szCs w:val="20"/>
        </w:rPr>
        <w:t xml:space="preserve"> </w:t>
      </w:r>
      <w:r>
        <w:rPr>
          <w:rFonts w:ascii="宋体" w:hAnsi="宋体" w:eastAsia="宋体" w:cs="宋体"/>
          <w:color w:val="231F20"/>
          <w:spacing w:val="17"/>
          <w:sz w:val="20"/>
          <w:szCs w:val="20"/>
        </w:rPr>
        <w:t>该是一种对真理孜孜以求的学习文化以及对什么</w:t>
      </w:r>
      <w:r>
        <w:rPr>
          <w:rFonts w:ascii="宋体" w:hAnsi="宋体" w:eastAsia="宋体" w:cs="宋体"/>
          <w:color w:val="231F20"/>
          <w:spacing w:val="12"/>
          <w:sz w:val="20"/>
          <w:szCs w:val="20"/>
        </w:rPr>
        <w:t xml:space="preserve"> </w:t>
      </w:r>
      <w:r>
        <w:rPr>
          <w:rFonts w:ascii="宋体" w:hAnsi="宋体" w:eastAsia="宋体" w:cs="宋体"/>
          <w:color w:val="231F20"/>
          <w:spacing w:val="8"/>
          <w:sz w:val="20"/>
          <w:szCs w:val="20"/>
        </w:rPr>
        <w:t>是好的教育的锲而不舍的追问。</w:t>
      </w:r>
    </w:p>
    <w:p>
      <w:pPr>
        <w:spacing w:line="273" w:lineRule="auto"/>
        <w:rPr>
          <w:rFonts w:ascii="Arial"/>
          <w:sz w:val="21"/>
        </w:rPr>
      </w:pPr>
    </w:p>
    <w:p>
      <w:pPr>
        <w:spacing w:before="49" w:line="230" w:lineRule="auto"/>
        <w:ind w:left="1976"/>
        <w:rPr>
          <w:rFonts w:ascii="黑体" w:hAnsi="黑体" w:eastAsia="黑体" w:cs="黑体"/>
          <w:sz w:val="15"/>
          <w:szCs w:val="15"/>
        </w:rPr>
      </w:pPr>
      <w:r>
        <w:rPr>
          <w:rFonts w:ascii="黑体" w:hAnsi="黑体" w:eastAsia="黑体" w:cs="黑体"/>
          <w:color w:val="231F20"/>
          <w:spacing w:val="7"/>
          <w:sz w:val="15"/>
          <w:szCs w:val="15"/>
        </w:rPr>
        <w:t>参考文献</w:t>
      </w:r>
    </w:p>
    <w:p>
      <w:pPr>
        <w:spacing w:before="104" w:line="344" w:lineRule="auto"/>
        <w:ind w:left="1" w:firstLine="323"/>
        <w:rPr>
          <w:rFonts w:ascii="Times New Roman" w:hAnsi="Times New Roman" w:eastAsia="Times New Roman" w:cs="Times New Roman"/>
          <w:sz w:val="15"/>
          <w:szCs w:val="15"/>
        </w:rPr>
      </w:pPr>
      <w:r>
        <w:rPr>
          <w:rFonts w:ascii="Times New Roman" w:hAnsi="Times New Roman" w:eastAsia="Times New Roman" w:cs="Times New Roman"/>
          <w:color w:val="231F20"/>
          <w:spacing w:val="2"/>
          <w:sz w:val="15"/>
          <w:szCs w:val="15"/>
        </w:rPr>
        <w:t>[1]Spear</w:t>
      </w:r>
      <w:r>
        <w:rPr>
          <w:rFonts w:ascii="Times New Roman" w:hAnsi="Times New Roman" w:eastAsia="Times New Roman" w:cs="Times New Roman"/>
          <w:color w:val="231F20"/>
          <w:spacing w:val="16"/>
          <w:sz w:val="15"/>
          <w:szCs w:val="15"/>
        </w:rPr>
        <w:t xml:space="preserve"> </w:t>
      </w:r>
      <w:r>
        <w:rPr>
          <w:rFonts w:ascii="Times New Roman" w:hAnsi="Times New Roman" w:eastAsia="Times New Roman" w:cs="Times New Roman"/>
          <w:color w:val="231F20"/>
          <w:spacing w:val="2"/>
          <w:sz w:val="15"/>
          <w:szCs w:val="15"/>
        </w:rPr>
        <w:t>R.The</w:t>
      </w:r>
      <w:r>
        <w:rPr>
          <w:rFonts w:ascii="Times New Roman" w:hAnsi="Times New Roman" w:eastAsia="Times New Roman" w:cs="Times New Roman"/>
          <w:color w:val="231F20"/>
          <w:spacing w:val="14"/>
          <w:w w:val="102"/>
          <w:sz w:val="15"/>
          <w:szCs w:val="15"/>
        </w:rPr>
        <w:t xml:space="preserve"> </w:t>
      </w:r>
      <w:r>
        <w:rPr>
          <w:rFonts w:ascii="Times New Roman" w:hAnsi="Times New Roman" w:eastAsia="Times New Roman" w:cs="Times New Roman"/>
          <w:color w:val="231F20"/>
          <w:spacing w:val="2"/>
          <w:sz w:val="15"/>
          <w:szCs w:val="15"/>
        </w:rPr>
        <w:t>dark</w:t>
      </w:r>
      <w:r>
        <w:rPr>
          <w:rFonts w:ascii="Times New Roman" w:hAnsi="Times New Roman" w:eastAsia="Times New Roman" w:cs="Times New Roman"/>
          <w:color w:val="231F20"/>
          <w:spacing w:val="16"/>
          <w:sz w:val="15"/>
          <w:szCs w:val="15"/>
        </w:rPr>
        <w:t xml:space="preserve"> </w:t>
      </w:r>
      <w:r>
        <w:rPr>
          <w:rFonts w:ascii="Times New Roman" w:hAnsi="Times New Roman" w:eastAsia="Times New Roman" w:cs="Times New Roman"/>
          <w:color w:val="231F20"/>
          <w:spacing w:val="2"/>
          <w:sz w:val="15"/>
          <w:szCs w:val="15"/>
        </w:rPr>
        <w:t>side</w:t>
      </w:r>
      <w:r>
        <w:rPr>
          <w:rFonts w:ascii="Times New Roman" w:hAnsi="Times New Roman" w:eastAsia="Times New Roman" w:cs="Times New Roman"/>
          <w:color w:val="231F20"/>
          <w:spacing w:val="14"/>
          <w:w w:val="101"/>
          <w:sz w:val="15"/>
          <w:szCs w:val="15"/>
        </w:rPr>
        <w:t xml:space="preserve"> </w:t>
      </w:r>
      <w:r>
        <w:rPr>
          <w:rFonts w:ascii="Times New Roman" w:hAnsi="Times New Roman" w:eastAsia="Times New Roman" w:cs="Times New Roman"/>
          <w:color w:val="231F20"/>
          <w:spacing w:val="2"/>
          <w:sz w:val="15"/>
          <w:szCs w:val="15"/>
        </w:rPr>
        <w:t>of the</w:t>
      </w:r>
      <w:r>
        <w:rPr>
          <w:rFonts w:ascii="Times New Roman" w:hAnsi="Times New Roman" w:eastAsia="Times New Roman" w:cs="Times New Roman"/>
          <w:color w:val="231F20"/>
          <w:spacing w:val="14"/>
          <w:sz w:val="15"/>
          <w:szCs w:val="15"/>
        </w:rPr>
        <w:t xml:space="preserve"> </w:t>
      </w:r>
      <w:r>
        <w:rPr>
          <w:rFonts w:ascii="Times New Roman" w:hAnsi="Times New Roman" w:eastAsia="Times New Roman" w:cs="Times New Roman"/>
          <w:color w:val="231F20"/>
          <w:spacing w:val="2"/>
          <w:sz w:val="15"/>
          <w:szCs w:val="15"/>
        </w:rPr>
        <w:t>moon-unilluminated</w:t>
      </w:r>
      <w:r>
        <w:rPr>
          <w:rFonts w:ascii="Times New Roman" w:hAnsi="Times New Roman" w:eastAsia="Times New Roman" w:cs="Times New Roman"/>
          <w:color w:val="231F20"/>
          <w:spacing w:val="15"/>
          <w:sz w:val="15"/>
          <w:szCs w:val="15"/>
        </w:rPr>
        <w:t xml:space="preserve"> </w:t>
      </w:r>
      <w:r>
        <w:rPr>
          <w:rFonts w:ascii="Times New Roman" w:hAnsi="Times New Roman" w:eastAsia="Times New Roman" w:cs="Times New Roman"/>
          <w:color w:val="231F20"/>
          <w:spacing w:val="2"/>
          <w:sz w:val="15"/>
          <w:szCs w:val="15"/>
        </w:rPr>
        <w:t>dimensions</w:t>
      </w:r>
      <w:r>
        <w:rPr>
          <w:rFonts w:ascii="Times New Roman" w:hAnsi="Times New Roman" w:eastAsia="Times New Roman" w:cs="Times New Roman"/>
          <w:color w:val="231F20"/>
          <w:spacing w:val="14"/>
          <w:sz w:val="15"/>
          <w:szCs w:val="15"/>
        </w:rPr>
        <w:t xml:space="preserve"> </w:t>
      </w:r>
      <w:r>
        <w:rPr>
          <w:rFonts w:ascii="Times New Roman" w:hAnsi="Times New Roman" w:eastAsia="Times New Roman" w:cs="Times New Roman"/>
          <w:color w:val="231F20"/>
          <w:spacing w:val="2"/>
          <w:sz w:val="15"/>
          <w:szCs w:val="15"/>
        </w:rPr>
        <w:t>of</w:t>
      </w:r>
      <w:r>
        <w:rPr>
          <w:rFonts w:ascii="Times New Roman" w:hAnsi="Times New Roman" w:eastAsia="Times New Roman" w:cs="Times New Roman"/>
          <w:color w:val="231F20"/>
          <w:sz w:val="15"/>
          <w:szCs w:val="15"/>
        </w:rPr>
        <w:t xml:space="preserve"> systems</w:t>
      </w:r>
      <w:r>
        <w:rPr>
          <w:rFonts w:ascii="Times New Roman" w:hAnsi="Times New Roman" w:eastAsia="Times New Roman" w:cs="Times New Roman"/>
          <w:color w:val="231F20"/>
          <w:spacing w:val="20"/>
          <w:w w:val="101"/>
          <w:sz w:val="15"/>
          <w:szCs w:val="15"/>
        </w:rPr>
        <w:t xml:space="preserve"> </w:t>
      </w:r>
      <w:r>
        <w:rPr>
          <w:rFonts w:ascii="Times New Roman" w:hAnsi="Times New Roman" w:eastAsia="Times New Roman" w:cs="Times New Roman"/>
          <w:color w:val="231F20"/>
          <w:sz w:val="15"/>
          <w:szCs w:val="15"/>
        </w:rPr>
        <w:t>practice</w:t>
      </w:r>
      <w:r>
        <w:rPr>
          <w:rFonts w:ascii="Times New Roman" w:hAnsi="Times New Roman" w:eastAsia="Times New Roman" w:cs="Times New Roman"/>
          <w:color w:val="231F20"/>
          <w:spacing w:val="5"/>
          <w:sz w:val="15"/>
          <w:szCs w:val="15"/>
        </w:rPr>
        <w:t>[J].</w:t>
      </w:r>
      <w:r>
        <w:rPr>
          <w:rFonts w:ascii="Times New Roman" w:hAnsi="Times New Roman" w:eastAsia="Times New Roman" w:cs="Times New Roman"/>
          <w:color w:val="231F20"/>
          <w:spacing w:val="16"/>
          <w:w w:val="101"/>
          <w:sz w:val="15"/>
          <w:szCs w:val="15"/>
        </w:rPr>
        <w:t xml:space="preserve"> </w:t>
      </w:r>
      <w:r>
        <w:rPr>
          <w:rFonts w:ascii="Times New Roman" w:hAnsi="Times New Roman" w:eastAsia="Times New Roman" w:cs="Times New Roman"/>
          <w:color w:val="231F20"/>
          <w:sz w:val="15"/>
          <w:szCs w:val="15"/>
        </w:rPr>
        <w:t>Systemic</w:t>
      </w:r>
      <w:r>
        <w:rPr>
          <w:rFonts w:ascii="Times New Roman" w:hAnsi="Times New Roman" w:eastAsia="Times New Roman" w:cs="Times New Roman"/>
          <w:color w:val="231F20"/>
          <w:spacing w:val="14"/>
          <w:w w:val="101"/>
          <w:sz w:val="15"/>
          <w:szCs w:val="15"/>
        </w:rPr>
        <w:t xml:space="preserve"> </w:t>
      </w:r>
      <w:r>
        <w:rPr>
          <w:rFonts w:ascii="Times New Roman" w:hAnsi="Times New Roman" w:eastAsia="Times New Roman" w:cs="Times New Roman"/>
          <w:color w:val="231F20"/>
          <w:sz w:val="15"/>
          <w:szCs w:val="15"/>
        </w:rPr>
        <w:t>Practice</w:t>
      </w:r>
      <w:r>
        <w:rPr>
          <w:rFonts w:ascii="Times New Roman" w:hAnsi="Times New Roman" w:eastAsia="Times New Roman" w:cs="Times New Roman"/>
          <w:color w:val="231F20"/>
          <w:spacing w:val="15"/>
          <w:w w:val="102"/>
          <w:sz w:val="15"/>
          <w:szCs w:val="15"/>
        </w:rPr>
        <w:t xml:space="preserve"> </w:t>
      </w:r>
      <w:r>
        <w:rPr>
          <w:rFonts w:ascii="Times New Roman" w:hAnsi="Times New Roman" w:eastAsia="Times New Roman" w:cs="Times New Roman"/>
          <w:color w:val="231F20"/>
          <w:sz w:val="15"/>
          <w:szCs w:val="15"/>
        </w:rPr>
        <w:t>and</w:t>
      </w:r>
      <w:r>
        <w:rPr>
          <w:rFonts w:ascii="Times New Roman" w:hAnsi="Times New Roman" w:eastAsia="Times New Roman" w:cs="Times New Roman"/>
          <w:color w:val="231F20"/>
          <w:spacing w:val="14"/>
          <w:sz w:val="15"/>
          <w:szCs w:val="15"/>
        </w:rPr>
        <w:t xml:space="preserve"> </w:t>
      </w:r>
      <w:r>
        <w:rPr>
          <w:rFonts w:ascii="Times New Roman" w:hAnsi="Times New Roman" w:eastAsia="Times New Roman" w:cs="Times New Roman"/>
          <w:color w:val="231F20"/>
          <w:sz w:val="15"/>
          <w:szCs w:val="15"/>
        </w:rPr>
        <w:t>Action</w:t>
      </w:r>
      <w:r>
        <w:rPr>
          <w:rFonts w:ascii="Times New Roman" w:hAnsi="Times New Roman" w:eastAsia="Times New Roman" w:cs="Times New Roman"/>
          <w:color w:val="231F20"/>
          <w:spacing w:val="17"/>
          <w:sz w:val="15"/>
          <w:szCs w:val="15"/>
        </w:rPr>
        <w:t xml:space="preserve"> </w:t>
      </w:r>
      <w:r>
        <w:rPr>
          <w:rFonts w:ascii="Times New Roman" w:hAnsi="Times New Roman" w:eastAsia="Times New Roman" w:cs="Times New Roman"/>
          <w:color w:val="231F20"/>
          <w:sz w:val="15"/>
          <w:szCs w:val="15"/>
        </w:rPr>
        <w:t>Research</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20"/>
          <w:w w:val="102"/>
          <w:sz w:val="15"/>
          <w:szCs w:val="15"/>
        </w:rPr>
        <w:t xml:space="preserve"> </w:t>
      </w:r>
      <w:r>
        <w:rPr>
          <w:rFonts w:ascii="Times New Roman" w:hAnsi="Times New Roman" w:eastAsia="Times New Roman" w:cs="Times New Roman"/>
          <w:color w:val="231F20"/>
          <w:spacing w:val="5"/>
          <w:sz w:val="15"/>
          <w:szCs w:val="15"/>
        </w:rPr>
        <w:t>2001,</w:t>
      </w:r>
      <w:r>
        <w:rPr>
          <w:rFonts w:ascii="Times New Roman" w:hAnsi="Times New Roman" w:eastAsia="Times New Roman" w:cs="Times New Roman"/>
          <w:color w:val="231F20"/>
          <w:spacing w:val="-20"/>
          <w:sz w:val="15"/>
          <w:szCs w:val="15"/>
        </w:rPr>
        <w:t xml:space="preserve"> </w:t>
      </w:r>
      <w:r>
        <w:rPr>
          <w:rFonts w:ascii="Times New Roman" w:hAnsi="Times New Roman" w:eastAsia="Times New Roman" w:cs="Times New Roman"/>
          <w:color w:val="231F20"/>
          <w:spacing w:val="5"/>
          <w:sz w:val="15"/>
          <w:szCs w:val="15"/>
        </w:rPr>
        <w:t>14(6):</w:t>
      </w:r>
      <w:r>
        <w:rPr>
          <w:rFonts w:ascii="Times New Roman" w:hAnsi="Times New Roman" w:eastAsia="Times New Roman" w:cs="Times New Roman"/>
          <w:color w:val="231F20"/>
          <w:sz w:val="15"/>
          <w:szCs w:val="15"/>
        </w:rPr>
        <w:t xml:space="preserve"> </w:t>
      </w:r>
      <w:r>
        <w:rPr>
          <w:rFonts w:ascii="Times New Roman" w:hAnsi="Times New Roman" w:eastAsia="Times New Roman" w:cs="Times New Roman"/>
          <w:color w:val="231F20"/>
          <w:spacing w:val="8"/>
          <w:sz w:val="15"/>
          <w:szCs w:val="15"/>
        </w:rPr>
        <w:t>779-790.</w:t>
      </w:r>
    </w:p>
    <w:p>
      <w:pPr>
        <w:spacing w:before="112" w:line="237" w:lineRule="auto"/>
        <w:ind w:right="4" w:firstLine="323"/>
        <w:rPr>
          <w:rFonts w:ascii="Times New Roman" w:hAnsi="Times New Roman" w:eastAsia="Times New Roman" w:cs="Times New Roman"/>
          <w:sz w:val="15"/>
          <w:szCs w:val="15"/>
        </w:rPr>
      </w:pPr>
      <w:r>
        <w:rPr>
          <w:rFonts w:ascii="Times New Roman" w:hAnsi="Times New Roman" w:eastAsia="Times New Roman" w:cs="Times New Roman"/>
          <w:color w:val="231F20"/>
          <w:spacing w:val="6"/>
          <w:sz w:val="15"/>
          <w:szCs w:val="15"/>
        </w:rPr>
        <w:t>[2][44][50](</w:t>
      </w:r>
      <w:r>
        <w:rPr>
          <w:rFonts w:ascii="微软雅黑" w:hAnsi="微软雅黑" w:eastAsia="微软雅黑" w:cs="微软雅黑"/>
          <w:color w:val="231F20"/>
          <w:spacing w:val="6"/>
          <w:sz w:val="15"/>
          <w:szCs w:val="15"/>
        </w:rPr>
        <w:t>美</w:t>
      </w:r>
      <w:r>
        <w:rPr>
          <w:rFonts w:ascii="Times New Roman" w:hAnsi="Times New Roman" w:eastAsia="Times New Roman" w:cs="Times New Roman"/>
          <w:color w:val="231F20"/>
          <w:spacing w:val="6"/>
          <w:sz w:val="15"/>
          <w:szCs w:val="15"/>
        </w:rPr>
        <w:t>)</w:t>
      </w:r>
      <w:r>
        <w:rPr>
          <w:rFonts w:ascii="微软雅黑" w:hAnsi="微软雅黑" w:eastAsia="微软雅黑" w:cs="微软雅黑"/>
          <w:color w:val="231F20"/>
          <w:spacing w:val="6"/>
          <w:sz w:val="15"/>
          <w:szCs w:val="15"/>
        </w:rPr>
        <w:t>约翰·杜威</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6"/>
          <w:sz w:val="15"/>
          <w:szCs w:val="15"/>
        </w:rPr>
        <w:t xml:space="preserve">. </w:t>
      </w:r>
      <w:r>
        <w:rPr>
          <w:rFonts w:ascii="微软雅黑" w:hAnsi="微软雅黑" w:eastAsia="微软雅黑" w:cs="微软雅黑"/>
          <w:color w:val="231F20"/>
          <w:spacing w:val="6"/>
          <w:sz w:val="15"/>
          <w:szCs w:val="15"/>
        </w:rPr>
        <w:t>民主主义与教</w:t>
      </w:r>
      <w:r>
        <w:rPr>
          <w:rFonts w:ascii="微软雅黑" w:hAnsi="微软雅黑" w:eastAsia="微软雅黑" w:cs="微软雅黑"/>
          <w:color w:val="231F20"/>
          <w:spacing w:val="5"/>
          <w:sz w:val="15"/>
          <w:szCs w:val="15"/>
        </w:rPr>
        <w:t>育</w:t>
      </w:r>
      <w:r>
        <w:rPr>
          <w:rFonts w:ascii="Times New Roman" w:hAnsi="Times New Roman" w:eastAsia="Times New Roman" w:cs="Times New Roman"/>
          <w:color w:val="231F20"/>
          <w:spacing w:val="5"/>
          <w:sz w:val="15"/>
          <w:szCs w:val="15"/>
        </w:rPr>
        <w:t>[M].</w:t>
      </w:r>
      <w:r>
        <w:rPr>
          <w:rFonts w:ascii="微软雅黑" w:hAnsi="微软雅黑" w:eastAsia="微软雅黑" w:cs="微软雅黑"/>
          <w:color w:val="231F20"/>
          <w:spacing w:val="5"/>
          <w:sz w:val="15"/>
          <w:szCs w:val="15"/>
        </w:rPr>
        <w:t>王承绪译</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11"/>
          <w:sz w:val="15"/>
          <w:szCs w:val="15"/>
        </w:rPr>
        <w:t xml:space="preserve"> </w:t>
      </w:r>
      <w:r>
        <w:rPr>
          <w:rFonts w:ascii="微软雅黑" w:hAnsi="微软雅黑" w:eastAsia="微软雅黑" w:cs="微软雅黑"/>
          <w:color w:val="231F20"/>
          <w:spacing w:val="5"/>
          <w:sz w:val="15"/>
          <w:szCs w:val="15"/>
        </w:rPr>
        <w:t>北京</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z w:val="15"/>
          <w:szCs w:val="15"/>
        </w:rPr>
        <w:t xml:space="preserve"> </w:t>
      </w:r>
      <w:r>
        <w:rPr>
          <w:rFonts w:ascii="微软雅黑" w:hAnsi="微软雅黑" w:eastAsia="微软雅黑" w:cs="微软雅黑"/>
          <w:color w:val="231F20"/>
          <w:spacing w:val="5"/>
          <w:sz w:val="15"/>
          <w:szCs w:val="15"/>
        </w:rPr>
        <w:t>人民教育出版社</w:t>
      </w:r>
      <w:r>
        <w:rPr>
          <w:rFonts w:ascii="Times New Roman" w:hAnsi="Times New Roman" w:eastAsia="Times New Roman" w:cs="Times New Roman"/>
          <w:color w:val="231F20"/>
          <w:spacing w:val="5"/>
          <w:sz w:val="15"/>
          <w:szCs w:val="15"/>
        </w:rPr>
        <w:t>,2017:351,58,349.</w:t>
      </w:r>
    </w:p>
    <w:p>
      <w:pPr>
        <w:spacing w:before="66" w:line="234" w:lineRule="auto"/>
        <w:ind w:left="2" w:right="4" w:firstLine="321"/>
        <w:rPr>
          <w:rFonts w:ascii="Times New Roman" w:hAnsi="Times New Roman" w:eastAsia="Times New Roman" w:cs="Times New Roman"/>
          <w:sz w:val="15"/>
          <w:szCs w:val="15"/>
        </w:rPr>
      </w:pPr>
      <w:r>
        <w:rPr>
          <w:rFonts w:ascii="Times New Roman" w:hAnsi="Times New Roman" w:eastAsia="Times New Roman" w:cs="Times New Roman"/>
          <w:color w:val="231F20"/>
          <w:spacing w:val="8"/>
          <w:sz w:val="15"/>
          <w:szCs w:val="15"/>
        </w:rPr>
        <w:t>[3]</w:t>
      </w:r>
      <w:r>
        <w:rPr>
          <w:rFonts w:ascii="微软雅黑" w:hAnsi="微软雅黑" w:eastAsia="微软雅黑" w:cs="微软雅黑"/>
          <w:color w:val="231F20"/>
          <w:spacing w:val="8"/>
          <w:sz w:val="15"/>
          <w:szCs w:val="15"/>
        </w:rPr>
        <w:t>张应强</w:t>
      </w:r>
      <w:r>
        <w:rPr>
          <w:rFonts w:ascii="Times New Roman" w:hAnsi="Times New Roman" w:eastAsia="Times New Roman" w:cs="Times New Roman"/>
          <w:color w:val="231F20"/>
          <w:spacing w:val="8"/>
          <w:sz w:val="15"/>
          <w:szCs w:val="15"/>
        </w:rPr>
        <w:t>,</w:t>
      </w:r>
      <w:r>
        <w:rPr>
          <w:rFonts w:ascii="微软雅黑" w:hAnsi="微软雅黑" w:eastAsia="微软雅黑" w:cs="微软雅黑"/>
          <w:color w:val="231F20"/>
          <w:spacing w:val="8"/>
          <w:sz w:val="15"/>
          <w:szCs w:val="15"/>
        </w:rPr>
        <w:t>苏永建</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8"/>
          <w:sz w:val="15"/>
          <w:szCs w:val="15"/>
        </w:rPr>
        <w:t>.</w:t>
      </w:r>
      <w:r>
        <w:rPr>
          <w:rFonts w:ascii="Times New Roman" w:hAnsi="Times New Roman" w:eastAsia="Times New Roman" w:cs="Times New Roman"/>
          <w:color w:val="231F20"/>
          <w:spacing w:val="-5"/>
          <w:sz w:val="15"/>
          <w:szCs w:val="15"/>
        </w:rPr>
        <w:t xml:space="preserve"> </w:t>
      </w:r>
      <w:r>
        <w:rPr>
          <w:rFonts w:ascii="微软雅黑" w:hAnsi="微软雅黑" w:eastAsia="微软雅黑" w:cs="微软雅黑"/>
          <w:color w:val="231F20"/>
          <w:spacing w:val="8"/>
          <w:sz w:val="15"/>
          <w:szCs w:val="15"/>
        </w:rPr>
        <w:t>高等教育质量保障</w:t>
      </w:r>
      <w:r>
        <w:rPr>
          <w:rFonts w:ascii="Times New Roman" w:hAnsi="Times New Roman" w:eastAsia="Times New Roman" w:cs="Times New Roman"/>
          <w:color w:val="231F20"/>
          <w:spacing w:val="7"/>
          <w:sz w:val="15"/>
          <w:szCs w:val="15"/>
        </w:rPr>
        <w:t>:</w:t>
      </w:r>
      <w:r>
        <w:rPr>
          <w:rFonts w:ascii="微软雅黑" w:hAnsi="微软雅黑" w:eastAsia="微软雅黑" w:cs="微软雅黑"/>
          <w:color w:val="231F20"/>
          <w:spacing w:val="7"/>
          <w:sz w:val="15"/>
          <w:szCs w:val="15"/>
        </w:rPr>
        <w:t>反思、批判与变革</w:t>
      </w:r>
      <w:r>
        <w:rPr>
          <w:rFonts w:ascii="Times New Roman" w:hAnsi="Times New Roman" w:eastAsia="Times New Roman" w:cs="Times New Roman"/>
          <w:color w:val="231F20"/>
          <w:spacing w:val="7"/>
          <w:sz w:val="15"/>
          <w:szCs w:val="15"/>
        </w:rPr>
        <w:t>[J].</w:t>
      </w:r>
      <w:r>
        <w:rPr>
          <w:rFonts w:ascii="微软雅黑" w:hAnsi="微软雅黑" w:eastAsia="微软雅黑" w:cs="微软雅黑"/>
          <w:color w:val="231F20"/>
          <w:spacing w:val="7"/>
          <w:sz w:val="15"/>
          <w:szCs w:val="15"/>
        </w:rPr>
        <w:t>教</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4"/>
          <w:sz w:val="15"/>
          <w:szCs w:val="15"/>
        </w:rPr>
        <w:t>育研究</w:t>
      </w:r>
      <w:r>
        <w:rPr>
          <w:rFonts w:ascii="Times New Roman" w:hAnsi="Times New Roman" w:eastAsia="Times New Roman" w:cs="Times New Roman"/>
          <w:color w:val="231F20"/>
          <w:spacing w:val="4"/>
          <w:sz w:val="15"/>
          <w:szCs w:val="15"/>
        </w:rPr>
        <w:t>, 2014,(5):19-27.</w:t>
      </w:r>
    </w:p>
    <w:p>
      <w:pPr>
        <w:spacing w:before="73" w:line="237" w:lineRule="auto"/>
        <w:ind w:left="10" w:right="4" w:firstLine="314"/>
        <w:rPr>
          <w:rFonts w:ascii="Times New Roman" w:hAnsi="Times New Roman" w:eastAsia="Times New Roman" w:cs="Times New Roman"/>
          <w:sz w:val="15"/>
          <w:szCs w:val="15"/>
        </w:rPr>
      </w:pPr>
      <w:r>
        <w:rPr>
          <w:rFonts w:ascii="Times New Roman" w:hAnsi="Times New Roman" w:eastAsia="Times New Roman" w:cs="Times New Roman"/>
          <w:color w:val="231F20"/>
          <w:spacing w:val="6"/>
          <w:sz w:val="15"/>
          <w:szCs w:val="15"/>
        </w:rPr>
        <w:t>[4]</w:t>
      </w:r>
      <w:r>
        <w:rPr>
          <w:rFonts w:ascii="Times New Roman" w:hAnsi="Times New Roman" w:eastAsia="Times New Roman" w:cs="Times New Roman"/>
          <w:color w:val="231F20"/>
          <w:spacing w:val="12"/>
          <w:w w:val="101"/>
          <w:sz w:val="15"/>
          <w:szCs w:val="15"/>
        </w:rPr>
        <w:t xml:space="preserve"> </w:t>
      </w:r>
      <w:r>
        <w:rPr>
          <w:rFonts w:ascii="Times New Roman" w:hAnsi="Times New Roman" w:eastAsia="Times New Roman" w:cs="Times New Roman"/>
          <w:color w:val="231F20"/>
          <w:spacing w:val="6"/>
          <w:sz w:val="15"/>
          <w:szCs w:val="15"/>
        </w:rPr>
        <w:t>(</w:t>
      </w:r>
      <w:r>
        <w:rPr>
          <w:rFonts w:ascii="微软雅黑" w:hAnsi="微软雅黑" w:eastAsia="微软雅黑" w:cs="微软雅黑"/>
          <w:color w:val="231F20"/>
          <w:spacing w:val="6"/>
          <w:sz w:val="15"/>
          <w:szCs w:val="15"/>
        </w:rPr>
        <w:t>美</w:t>
      </w:r>
      <w:r>
        <w:rPr>
          <w:rFonts w:ascii="Times New Roman" w:hAnsi="Times New Roman" w:eastAsia="Times New Roman" w:cs="Times New Roman"/>
          <w:color w:val="231F20"/>
          <w:spacing w:val="6"/>
          <w:sz w:val="15"/>
          <w:szCs w:val="15"/>
        </w:rPr>
        <w:t>)</w:t>
      </w:r>
      <w:r>
        <w:rPr>
          <w:rFonts w:ascii="微软雅黑" w:hAnsi="微软雅黑" w:eastAsia="微软雅黑" w:cs="微软雅黑"/>
          <w:color w:val="231F20"/>
          <w:spacing w:val="6"/>
          <w:sz w:val="15"/>
          <w:szCs w:val="15"/>
        </w:rPr>
        <w:t>弗莱克斯纳</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6"/>
          <w:sz w:val="15"/>
          <w:szCs w:val="15"/>
        </w:rPr>
        <w:t>.</w:t>
      </w:r>
      <w:r>
        <w:rPr>
          <w:rFonts w:ascii="Times New Roman" w:hAnsi="Times New Roman" w:eastAsia="Times New Roman" w:cs="Times New Roman"/>
          <w:color w:val="231F20"/>
          <w:spacing w:val="-10"/>
          <w:sz w:val="15"/>
          <w:szCs w:val="15"/>
        </w:rPr>
        <w:t xml:space="preserve"> </w:t>
      </w:r>
      <w:r>
        <w:rPr>
          <w:rFonts w:ascii="微软雅黑" w:hAnsi="微软雅黑" w:eastAsia="微软雅黑" w:cs="微软雅黑"/>
          <w:color w:val="231F20"/>
          <w:spacing w:val="6"/>
          <w:sz w:val="15"/>
          <w:szCs w:val="15"/>
        </w:rPr>
        <w:t>现代大学论——英美德大学研究</w:t>
      </w:r>
      <w:r>
        <w:rPr>
          <w:rFonts w:ascii="Times New Roman" w:hAnsi="Times New Roman" w:eastAsia="Times New Roman" w:cs="Times New Roman"/>
          <w:color w:val="231F20"/>
          <w:spacing w:val="6"/>
          <w:sz w:val="15"/>
          <w:szCs w:val="15"/>
        </w:rPr>
        <w:t>[M].</w:t>
      </w:r>
      <w:r>
        <w:rPr>
          <w:rFonts w:ascii="微软雅黑" w:hAnsi="微软雅黑" w:eastAsia="微软雅黑" w:cs="微软雅黑"/>
          <w:color w:val="231F20"/>
          <w:spacing w:val="6"/>
          <w:sz w:val="15"/>
          <w:szCs w:val="15"/>
        </w:rPr>
        <w:t>徐辉</w:t>
      </w:r>
      <w:r>
        <w:rPr>
          <w:rFonts w:ascii="Times New Roman" w:hAnsi="Times New Roman" w:eastAsia="Times New Roman" w:cs="Times New Roman"/>
          <w:color w:val="231F20"/>
          <w:spacing w:val="6"/>
          <w:sz w:val="15"/>
          <w:szCs w:val="15"/>
        </w:rPr>
        <w:t>,</w:t>
      </w:r>
      <w:r>
        <w:rPr>
          <w:rFonts w:ascii="Times New Roman" w:hAnsi="Times New Roman" w:eastAsia="Times New Roman" w:cs="Times New Roman"/>
          <w:color w:val="231F20"/>
          <w:sz w:val="15"/>
          <w:szCs w:val="15"/>
        </w:rPr>
        <w:t xml:space="preserve"> </w:t>
      </w:r>
      <w:r>
        <w:rPr>
          <w:rFonts w:ascii="微软雅黑" w:hAnsi="微软雅黑" w:eastAsia="微软雅黑" w:cs="微软雅黑"/>
          <w:color w:val="231F20"/>
          <w:spacing w:val="5"/>
          <w:sz w:val="15"/>
          <w:szCs w:val="15"/>
        </w:rPr>
        <w:t>陈晓菲译</w:t>
      </w:r>
      <w:r>
        <w:rPr>
          <w:rFonts w:ascii="微软雅黑" w:hAnsi="微软雅黑" w:eastAsia="微软雅黑" w:cs="微软雅黑"/>
          <w:color w:val="231F20"/>
          <w:spacing w:val="-4"/>
          <w:sz w:val="15"/>
          <w:szCs w:val="15"/>
        </w:rPr>
        <w:t xml:space="preserve"> </w:t>
      </w:r>
      <w:r>
        <w:rPr>
          <w:rFonts w:ascii="Times New Roman" w:hAnsi="Times New Roman" w:eastAsia="Times New Roman" w:cs="Times New Roman"/>
          <w:color w:val="231F20"/>
          <w:spacing w:val="5"/>
          <w:sz w:val="15"/>
          <w:szCs w:val="15"/>
        </w:rPr>
        <w:t xml:space="preserve">. </w:t>
      </w:r>
      <w:r>
        <w:rPr>
          <w:rFonts w:ascii="微软雅黑" w:hAnsi="微软雅黑" w:eastAsia="微软雅黑" w:cs="微软雅黑"/>
          <w:color w:val="231F20"/>
          <w:spacing w:val="5"/>
          <w:sz w:val="15"/>
          <w:szCs w:val="15"/>
        </w:rPr>
        <w:t>杭州</w:t>
      </w:r>
      <w:r>
        <w:rPr>
          <w:rFonts w:ascii="Times New Roman" w:hAnsi="Times New Roman" w:eastAsia="Times New Roman" w:cs="Times New Roman"/>
          <w:color w:val="231F20"/>
          <w:spacing w:val="5"/>
          <w:sz w:val="15"/>
          <w:szCs w:val="15"/>
        </w:rPr>
        <w:t>:</w:t>
      </w:r>
      <w:r>
        <w:rPr>
          <w:rFonts w:ascii="微软雅黑" w:hAnsi="微软雅黑" w:eastAsia="微软雅黑" w:cs="微软雅黑"/>
          <w:color w:val="231F20"/>
          <w:spacing w:val="5"/>
          <w:sz w:val="15"/>
          <w:szCs w:val="15"/>
        </w:rPr>
        <w:t>浙江教育出版社</w:t>
      </w:r>
      <w:r>
        <w:rPr>
          <w:rFonts w:ascii="Times New Roman" w:hAnsi="Times New Roman" w:eastAsia="Times New Roman" w:cs="Times New Roman"/>
          <w:color w:val="231F20"/>
          <w:spacing w:val="5"/>
          <w:sz w:val="15"/>
          <w:szCs w:val="15"/>
        </w:rPr>
        <w:t>, 2001:3.</w:t>
      </w:r>
    </w:p>
    <w:p>
      <w:pPr>
        <w:spacing w:before="73" w:line="346" w:lineRule="auto"/>
        <w:ind w:right="4" w:firstLine="324"/>
        <w:rPr>
          <w:rFonts w:ascii="Times New Roman" w:hAnsi="Times New Roman" w:eastAsia="Times New Roman" w:cs="Times New Roman"/>
          <w:sz w:val="15"/>
          <w:szCs w:val="15"/>
        </w:rPr>
      </w:pPr>
      <w:r>
        <w:rPr>
          <w:rFonts w:ascii="Times New Roman" w:hAnsi="Times New Roman" w:eastAsia="Times New Roman" w:cs="Times New Roman"/>
          <w:color w:val="231F20"/>
          <w:spacing w:val="1"/>
          <w:sz w:val="15"/>
          <w:szCs w:val="15"/>
        </w:rPr>
        <w:t>[5]  [12] [13] [43]</w:t>
      </w:r>
      <w:r>
        <w:rPr>
          <w:rFonts w:ascii="Times New Roman" w:hAnsi="Times New Roman" w:eastAsia="Times New Roman" w:cs="Times New Roman"/>
          <w:color w:val="231F20"/>
          <w:sz w:val="15"/>
          <w:szCs w:val="15"/>
        </w:rPr>
        <w:t>Bogue</w:t>
      </w:r>
      <w:r>
        <w:rPr>
          <w:rFonts w:ascii="Times New Roman" w:hAnsi="Times New Roman" w:eastAsia="Times New Roman" w:cs="Times New Roman"/>
          <w:color w:val="231F20"/>
          <w:spacing w:val="37"/>
          <w:sz w:val="15"/>
          <w:szCs w:val="15"/>
        </w:rPr>
        <w:t xml:space="preserve"> </w:t>
      </w:r>
      <w:r>
        <w:rPr>
          <w:rFonts w:ascii="Times New Roman" w:hAnsi="Times New Roman" w:eastAsia="Times New Roman" w:cs="Times New Roman"/>
          <w:color w:val="231F20"/>
          <w:sz w:val="15"/>
          <w:szCs w:val="15"/>
        </w:rPr>
        <w:t>E</w:t>
      </w:r>
      <w:r>
        <w:rPr>
          <w:rFonts w:ascii="Times New Roman" w:hAnsi="Times New Roman" w:eastAsia="Times New Roman" w:cs="Times New Roman"/>
          <w:color w:val="231F20"/>
          <w:spacing w:val="1"/>
          <w:sz w:val="15"/>
          <w:szCs w:val="15"/>
        </w:rPr>
        <w:t>.</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35"/>
          <w:w w:val="101"/>
          <w:sz w:val="15"/>
          <w:szCs w:val="15"/>
        </w:rPr>
        <w:t xml:space="preserve"> </w:t>
      </w:r>
      <w:r>
        <w:rPr>
          <w:rFonts w:ascii="Times New Roman" w:hAnsi="Times New Roman" w:eastAsia="Times New Roman" w:cs="Times New Roman"/>
          <w:color w:val="231F20"/>
          <w:sz w:val="15"/>
          <w:szCs w:val="15"/>
        </w:rPr>
        <w:t>Assurance</w:t>
      </w:r>
      <w:r>
        <w:rPr>
          <w:rFonts w:ascii="Times New Roman" w:hAnsi="Times New Roman" w:eastAsia="Times New Roman" w:cs="Times New Roman"/>
          <w:color w:val="231F20"/>
          <w:spacing w:val="1"/>
          <w:sz w:val="15"/>
          <w:szCs w:val="15"/>
        </w:rPr>
        <w:t xml:space="preserve">  </w:t>
      </w:r>
      <w:r>
        <w:rPr>
          <w:rFonts w:ascii="Times New Roman" w:hAnsi="Times New Roman" w:eastAsia="Times New Roman" w:cs="Times New Roman"/>
          <w:color w:val="231F20"/>
          <w:sz w:val="15"/>
          <w:szCs w:val="15"/>
        </w:rPr>
        <w:t>in</w:t>
      </w:r>
      <w:r>
        <w:rPr>
          <w:rFonts w:ascii="Times New Roman" w:hAnsi="Times New Roman" w:eastAsia="Times New Roman" w:cs="Times New Roman"/>
          <w:color w:val="231F20"/>
          <w:spacing w:val="1"/>
          <w:sz w:val="15"/>
          <w:szCs w:val="15"/>
        </w:rPr>
        <w:t xml:space="preserve"> </w:t>
      </w:r>
      <w:r>
        <w:rPr>
          <w:rFonts w:ascii="Times New Roman" w:hAnsi="Times New Roman" w:eastAsia="Times New Roman" w:cs="Times New Roman"/>
          <w:color w:val="231F20"/>
          <w:sz w:val="15"/>
          <w:szCs w:val="15"/>
        </w:rPr>
        <w:t xml:space="preserve"> Higher</w:t>
      </w:r>
      <w:r>
        <w:rPr>
          <w:rFonts w:ascii="Times New Roman" w:hAnsi="Times New Roman" w:eastAsia="Times New Roman" w:cs="Times New Roman"/>
          <w:color w:val="231F20"/>
          <w:spacing w:val="35"/>
          <w:w w:val="101"/>
          <w:sz w:val="15"/>
          <w:szCs w:val="15"/>
        </w:rPr>
        <w:t xml:space="preserve"> </w:t>
      </w:r>
      <w:r>
        <w:rPr>
          <w:rFonts w:ascii="Times New Roman" w:hAnsi="Times New Roman" w:eastAsia="Times New Roman" w:cs="Times New Roman"/>
          <w:color w:val="231F20"/>
          <w:sz w:val="15"/>
          <w:szCs w:val="15"/>
        </w:rPr>
        <w:t>Education: The</w:t>
      </w:r>
      <w:r>
        <w:rPr>
          <w:rFonts w:ascii="Times New Roman" w:hAnsi="Times New Roman" w:eastAsia="Times New Roman" w:cs="Times New Roman"/>
          <w:color w:val="231F20"/>
          <w:spacing w:val="15"/>
          <w:w w:val="102"/>
          <w:sz w:val="15"/>
          <w:szCs w:val="15"/>
        </w:rPr>
        <w:t xml:space="preserve"> </w:t>
      </w:r>
      <w:r>
        <w:rPr>
          <w:rFonts w:ascii="Times New Roman" w:hAnsi="Times New Roman" w:eastAsia="Times New Roman" w:cs="Times New Roman"/>
          <w:color w:val="231F20"/>
          <w:sz w:val="15"/>
          <w:szCs w:val="15"/>
        </w:rPr>
        <w:t>evolution</w:t>
      </w:r>
      <w:r>
        <w:rPr>
          <w:rFonts w:ascii="Times New Roman" w:hAnsi="Times New Roman" w:eastAsia="Times New Roman" w:cs="Times New Roman"/>
          <w:color w:val="231F20"/>
          <w:spacing w:val="12"/>
          <w:w w:val="102"/>
          <w:sz w:val="15"/>
          <w:szCs w:val="15"/>
        </w:rPr>
        <w:t xml:space="preserve"> </w:t>
      </w:r>
      <w:r>
        <w:rPr>
          <w:rFonts w:ascii="Times New Roman" w:hAnsi="Times New Roman" w:eastAsia="Times New Roman" w:cs="Times New Roman"/>
          <w:color w:val="231F20"/>
          <w:sz w:val="15"/>
          <w:szCs w:val="15"/>
        </w:rPr>
        <w:t>of</w:t>
      </w:r>
      <w:r>
        <w:rPr>
          <w:rFonts w:ascii="Times New Roman" w:hAnsi="Times New Roman" w:eastAsia="Times New Roman" w:cs="Times New Roman"/>
          <w:color w:val="231F20"/>
          <w:spacing w:val="9"/>
          <w:sz w:val="15"/>
          <w:szCs w:val="15"/>
        </w:rPr>
        <w:t xml:space="preserve"> </w:t>
      </w:r>
      <w:r>
        <w:rPr>
          <w:rFonts w:ascii="Times New Roman" w:hAnsi="Times New Roman" w:eastAsia="Times New Roman" w:cs="Times New Roman"/>
          <w:color w:val="231F20"/>
          <w:sz w:val="15"/>
          <w:szCs w:val="15"/>
        </w:rPr>
        <w:t>systems</w:t>
      </w:r>
      <w:r>
        <w:rPr>
          <w:rFonts w:ascii="Times New Roman" w:hAnsi="Times New Roman" w:eastAsia="Times New Roman" w:cs="Times New Roman"/>
          <w:color w:val="231F20"/>
          <w:spacing w:val="13"/>
          <w:sz w:val="15"/>
          <w:szCs w:val="15"/>
        </w:rPr>
        <w:t xml:space="preserve"> </w:t>
      </w:r>
      <w:r>
        <w:rPr>
          <w:rFonts w:ascii="Times New Roman" w:hAnsi="Times New Roman" w:eastAsia="Times New Roman" w:cs="Times New Roman"/>
          <w:color w:val="231F20"/>
          <w:sz w:val="15"/>
          <w:szCs w:val="15"/>
        </w:rPr>
        <w:t>and</w:t>
      </w:r>
      <w:r>
        <w:rPr>
          <w:rFonts w:ascii="Times New Roman" w:hAnsi="Times New Roman" w:eastAsia="Times New Roman" w:cs="Times New Roman"/>
          <w:color w:val="231F20"/>
          <w:spacing w:val="13"/>
          <w:w w:val="101"/>
          <w:sz w:val="15"/>
          <w:szCs w:val="15"/>
        </w:rPr>
        <w:t xml:space="preserve"> </w:t>
      </w:r>
      <w:r>
        <w:rPr>
          <w:rFonts w:ascii="Times New Roman" w:hAnsi="Times New Roman" w:eastAsia="Times New Roman" w:cs="Times New Roman"/>
          <w:color w:val="231F20"/>
          <w:sz w:val="15"/>
          <w:szCs w:val="15"/>
        </w:rPr>
        <w:t>design</w:t>
      </w:r>
      <w:r>
        <w:rPr>
          <w:rFonts w:ascii="Times New Roman" w:hAnsi="Times New Roman" w:eastAsia="Times New Roman" w:cs="Times New Roman"/>
          <w:color w:val="231F20"/>
          <w:spacing w:val="13"/>
          <w:sz w:val="15"/>
          <w:szCs w:val="15"/>
        </w:rPr>
        <w:t xml:space="preserve"> </w:t>
      </w:r>
      <w:r>
        <w:rPr>
          <w:rFonts w:ascii="Times New Roman" w:hAnsi="Times New Roman" w:eastAsia="Times New Roman" w:cs="Times New Roman"/>
          <w:color w:val="231F20"/>
          <w:sz w:val="15"/>
          <w:szCs w:val="15"/>
        </w:rPr>
        <w:t>ideals</w:t>
      </w:r>
      <w:r>
        <w:rPr>
          <w:rFonts w:ascii="Times New Roman" w:hAnsi="Times New Roman" w:eastAsia="Times New Roman" w:cs="Times New Roman"/>
          <w:color w:val="231F20"/>
          <w:spacing w:val="15"/>
          <w:w w:val="102"/>
          <w:sz w:val="15"/>
          <w:szCs w:val="15"/>
        </w:rPr>
        <w:t xml:space="preserve"> </w:t>
      </w:r>
      <w:r>
        <w:rPr>
          <w:rFonts w:ascii="Times New Roman" w:hAnsi="Times New Roman" w:eastAsia="Times New Roman" w:cs="Times New Roman"/>
          <w:color w:val="231F20"/>
          <w:spacing w:val="9"/>
          <w:sz w:val="15"/>
          <w:szCs w:val="15"/>
        </w:rPr>
        <w:t>[J].</w:t>
      </w:r>
      <w:r>
        <w:rPr>
          <w:rFonts w:ascii="Times New Roman" w:hAnsi="Times New Roman" w:eastAsia="Times New Roman" w:cs="Times New Roman"/>
          <w:color w:val="231F20"/>
          <w:sz w:val="15"/>
          <w:szCs w:val="15"/>
        </w:rPr>
        <w:t>New</w:t>
      </w:r>
      <w:r>
        <w:rPr>
          <w:rFonts w:ascii="Times New Roman" w:hAnsi="Times New Roman" w:eastAsia="Times New Roman" w:cs="Times New Roman"/>
          <w:color w:val="231F20"/>
          <w:spacing w:val="13"/>
          <w:sz w:val="15"/>
          <w:szCs w:val="15"/>
        </w:rPr>
        <w:t xml:space="preserve"> </w:t>
      </w:r>
      <w:r>
        <w:rPr>
          <w:rFonts w:ascii="Times New Roman" w:hAnsi="Times New Roman" w:eastAsia="Times New Roman" w:cs="Times New Roman"/>
          <w:color w:val="231F20"/>
          <w:sz w:val="15"/>
          <w:szCs w:val="15"/>
        </w:rPr>
        <w:t>directions</w:t>
      </w:r>
      <w:r>
        <w:rPr>
          <w:rFonts w:ascii="Times New Roman" w:hAnsi="Times New Roman" w:eastAsia="Times New Roman" w:cs="Times New Roman"/>
          <w:color w:val="231F20"/>
          <w:spacing w:val="9"/>
          <w:sz w:val="15"/>
          <w:szCs w:val="15"/>
        </w:rPr>
        <w:t xml:space="preserve"> </w:t>
      </w:r>
      <w:r>
        <w:rPr>
          <w:rFonts w:ascii="Times New Roman" w:hAnsi="Times New Roman" w:eastAsia="Times New Roman" w:cs="Times New Roman"/>
          <w:color w:val="231F20"/>
          <w:sz w:val="15"/>
          <w:szCs w:val="15"/>
        </w:rPr>
        <w:t>for</w:t>
      </w:r>
      <w:r>
        <w:rPr>
          <w:rFonts w:ascii="Times New Roman" w:hAnsi="Times New Roman" w:eastAsia="Times New Roman" w:cs="Times New Roman"/>
          <w:color w:val="231F20"/>
          <w:spacing w:val="12"/>
          <w:sz w:val="15"/>
          <w:szCs w:val="15"/>
        </w:rPr>
        <w:t xml:space="preserve"> </w:t>
      </w:r>
      <w:r>
        <w:rPr>
          <w:rFonts w:ascii="Times New Roman" w:hAnsi="Times New Roman" w:eastAsia="Times New Roman" w:cs="Times New Roman"/>
          <w:color w:val="231F20"/>
          <w:sz w:val="15"/>
          <w:szCs w:val="15"/>
        </w:rPr>
        <w:t>institu</w:t>
      </w:r>
      <w:r>
        <w:rPr>
          <w:rFonts w:ascii="Times New Roman" w:hAnsi="Times New Roman" w:eastAsia="Times New Roman" w:cs="Times New Roman"/>
          <w:color w:val="231F20"/>
          <w:spacing w:val="9"/>
          <w:sz w:val="15"/>
          <w:szCs w:val="15"/>
        </w:rPr>
        <w:t>⁃</w:t>
      </w:r>
      <w:r>
        <w:rPr>
          <w:rFonts w:ascii="Times New Roman" w:hAnsi="Times New Roman" w:eastAsia="Times New Roman" w:cs="Times New Roman"/>
          <w:color w:val="231F20"/>
          <w:sz w:val="15"/>
          <w:szCs w:val="15"/>
        </w:rPr>
        <w:t xml:space="preserve"> tional</w:t>
      </w:r>
      <w:r>
        <w:rPr>
          <w:rFonts w:ascii="Times New Roman" w:hAnsi="Times New Roman" w:eastAsia="Times New Roman" w:cs="Times New Roman"/>
          <w:color w:val="231F20"/>
          <w:spacing w:val="4"/>
          <w:sz w:val="15"/>
          <w:szCs w:val="15"/>
        </w:rPr>
        <w:t xml:space="preserve"> </w:t>
      </w:r>
      <w:r>
        <w:rPr>
          <w:rFonts w:ascii="Times New Roman" w:hAnsi="Times New Roman" w:eastAsia="Times New Roman" w:cs="Times New Roman"/>
          <w:color w:val="231F20"/>
          <w:sz w:val="15"/>
          <w:szCs w:val="15"/>
        </w:rPr>
        <w:t>research</w:t>
      </w:r>
      <w:r>
        <w:rPr>
          <w:rFonts w:ascii="Times New Roman" w:hAnsi="Times New Roman" w:eastAsia="Times New Roman" w:cs="Times New Roman"/>
          <w:color w:val="231F20"/>
          <w:spacing w:val="4"/>
          <w:sz w:val="15"/>
          <w:szCs w:val="15"/>
        </w:rPr>
        <w:t xml:space="preserve"> ,</w:t>
      </w:r>
      <w:r>
        <w:rPr>
          <w:rFonts w:ascii="Times New Roman" w:hAnsi="Times New Roman" w:eastAsia="Times New Roman" w:cs="Times New Roman"/>
          <w:color w:val="231F20"/>
          <w:spacing w:val="29"/>
          <w:sz w:val="15"/>
          <w:szCs w:val="15"/>
        </w:rPr>
        <w:t xml:space="preserve"> </w:t>
      </w:r>
      <w:r>
        <w:rPr>
          <w:rFonts w:ascii="Times New Roman" w:hAnsi="Times New Roman" w:eastAsia="Times New Roman" w:cs="Times New Roman"/>
          <w:color w:val="231F20"/>
          <w:spacing w:val="4"/>
          <w:sz w:val="15"/>
          <w:szCs w:val="15"/>
        </w:rPr>
        <w:t>1998,(99):7-</w:t>
      </w:r>
      <w:r>
        <w:rPr>
          <w:rFonts w:ascii="Times New Roman" w:hAnsi="Times New Roman" w:eastAsia="Times New Roman" w:cs="Times New Roman"/>
          <w:color w:val="231F20"/>
          <w:spacing w:val="-20"/>
          <w:sz w:val="15"/>
          <w:szCs w:val="15"/>
        </w:rPr>
        <w:t xml:space="preserve"> </w:t>
      </w:r>
      <w:r>
        <w:rPr>
          <w:rFonts w:ascii="Times New Roman" w:hAnsi="Times New Roman" w:eastAsia="Times New Roman" w:cs="Times New Roman"/>
          <w:color w:val="231F20"/>
          <w:spacing w:val="4"/>
          <w:sz w:val="15"/>
          <w:szCs w:val="15"/>
        </w:rPr>
        <w:t>18.</w:t>
      </w:r>
    </w:p>
    <w:p>
      <w:pPr>
        <w:spacing w:before="109" w:line="234" w:lineRule="auto"/>
        <w:ind w:left="4" w:right="4" w:firstLine="319"/>
        <w:rPr>
          <w:rFonts w:ascii="Times New Roman" w:hAnsi="Times New Roman" w:eastAsia="Times New Roman" w:cs="Times New Roman"/>
          <w:sz w:val="15"/>
          <w:szCs w:val="15"/>
        </w:rPr>
      </w:pPr>
      <w:r>
        <w:rPr>
          <w:rFonts w:ascii="Times New Roman" w:hAnsi="Times New Roman" w:eastAsia="Times New Roman" w:cs="Times New Roman"/>
          <w:color w:val="231F20"/>
          <w:spacing w:val="11"/>
          <w:sz w:val="15"/>
          <w:szCs w:val="15"/>
        </w:rPr>
        <w:t>[6]</w:t>
      </w:r>
      <w:r>
        <w:rPr>
          <w:rFonts w:ascii="微软雅黑" w:hAnsi="微软雅黑" w:eastAsia="微软雅黑" w:cs="微软雅黑"/>
          <w:color w:val="231F20"/>
          <w:spacing w:val="11"/>
          <w:sz w:val="15"/>
          <w:szCs w:val="15"/>
        </w:rPr>
        <w:t>陶爱萍</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11"/>
          <w:sz w:val="15"/>
          <w:szCs w:val="15"/>
        </w:rPr>
        <w:t>.</w:t>
      </w:r>
      <w:r>
        <w:rPr>
          <w:rFonts w:ascii="Times New Roman" w:hAnsi="Times New Roman" w:eastAsia="Times New Roman" w:cs="Times New Roman"/>
          <w:color w:val="231F20"/>
          <w:spacing w:val="-9"/>
          <w:sz w:val="15"/>
          <w:szCs w:val="15"/>
        </w:rPr>
        <w:t xml:space="preserve"> </w:t>
      </w:r>
      <w:r>
        <w:rPr>
          <w:rFonts w:ascii="微软雅黑" w:hAnsi="微软雅黑" w:eastAsia="微软雅黑" w:cs="微软雅黑"/>
          <w:color w:val="231F20"/>
          <w:spacing w:val="11"/>
          <w:sz w:val="15"/>
          <w:szCs w:val="15"/>
        </w:rPr>
        <w:t>美国高校全面质量管理由盛而衰之成</w:t>
      </w:r>
      <w:r>
        <w:rPr>
          <w:rFonts w:ascii="微软雅黑" w:hAnsi="微软雅黑" w:eastAsia="微软雅黑" w:cs="微软雅黑"/>
          <w:color w:val="231F20"/>
          <w:spacing w:val="10"/>
          <w:sz w:val="15"/>
          <w:szCs w:val="15"/>
        </w:rPr>
        <w:t>因及思考</w:t>
      </w:r>
      <w:r>
        <w:rPr>
          <w:rFonts w:ascii="Times New Roman" w:hAnsi="Times New Roman" w:eastAsia="Times New Roman" w:cs="Times New Roman"/>
          <w:color w:val="231F20"/>
          <w:spacing w:val="10"/>
          <w:sz w:val="15"/>
          <w:szCs w:val="15"/>
        </w:rPr>
        <w:t>[J].</w:t>
      </w:r>
      <w:r>
        <w:rPr>
          <w:rFonts w:ascii="Times New Roman" w:hAnsi="Times New Roman" w:eastAsia="Times New Roman" w:cs="Times New Roman"/>
          <w:color w:val="231F20"/>
          <w:sz w:val="15"/>
          <w:szCs w:val="15"/>
        </w:rPr>
        <w:t xml:space="preserve"> </w:t>
      </w:r>
      <w:r>
        <w:rPr>
          <w:rFonts w:ascii="微软雅黑" w:hAnsi="微软雅黑" w:eastAsia="微软雅黑" w:cs="微软雅黑"/>
          <w:color w:val="231F20"/>
          <w:spacing w:val="2"/>
          <w:sz w:val="15"/>
          <w:szCs w:val="15"/>
        </w:rPr>
        <w:t>高等农业教育</w:t>
      </w:r>
      <w:r>
        <w:rPr>
          <w:rFonts w:ascii="Times New Roman" w:hAnsi="Times New Roman" w:eastAsia="Times New Roman" w:cs="Times New Roman"/>
          <w:color w:val="231F20"/>
          <w:spacing w:val="2"/>
          <w:sz w:val="15"/>
          <w:szCs w:val="15"/>
        </w:rPr>
        <w:t>, 2009</w:t>
      </w:r>
      <w:r>
        <w:rPr>
          <w:rFonts w:ascii="微软雅黑" w:hAnsi="微软雅黑" w:eastAsia="微软雅黑" w:cs="微软雅黑"/>
          <w:color w:val="231F20"/>
          <w:spacing w:val="2"/>
          <w:sz w:val="15"/>
          <w:szCs w:val="15"/>
        </w:rPr>
        <w:t>，</w:t>
      </w:r>
      <w:r>
        <w:rPr>
          <w:rFonts w:ascii="Times New Roman" w:hAnsi="Times New Roman" w:eastAsia="Times New Roman" w:cs="Times New Roman"/>
          <w:color w:val="231F20"/>
          <w:spacing w:val="2"/>
          <w:sz w:val="15"/>
          <w:szCs w:val="15"/>
        </w:rPr>
        <w:t>(10):91-94.</w:t>
      </w:r>
    </w:p>
    <w:p>
      <w:pPr>
        <w:spacing w:before="80" w:line="276" w:lineRule="auto"/>
        <w:ind w:left="3" w:right="4" w:firstLine="320"/>
        <w:rPr>
          <w:rFonts w:ascii="Times New Roman" w:hAnsi="Times New Roman" w:eastAsia="Times New Roman" w:cs="Times New Roman"/>
          <w:sz w:val="15"/>
          <w:szCs w:val="15"/>
        </w:rPr>
      </w:pPr>
      <w:r>
        <w:rPr>
          <w:rFonts w:ascii="Times New Roman" w:hAnsi="Times New Roman" w:eastAsia="Times New Roman" w:cs="Times New Roman"/>
          <w:color w:val="231F20"/>
          <w:spacing w:val="5"/>
          <w:sz w:val="15"/>
          <w:szCs w:val="15"/>
        </w:rPr>
        <w:t>[7]</w:t>
      </w:r>
      <w:r>
        <w:rPr>
          <w:rFonts w:ascii="Times New Roman" w:hAnsi="Times New Roman" w:eastAsia="Times New Roman" w:cs="Times New Roman"/>
          <w:color w:val="231F20"/>
          <w:sz w:val="15"/>
          <w:szCs w:val="15"/>
        </w:rPr>
        <w:t>Kevin</w:t>
      </w:r>
      <w:r>
        <w:rPr>
          <w:rFonts w:ascii="Times New Roman" w:hAnsi="Times New Roman" w:eastAsia="Times New Roman" w:cs="Times New Roman"/>
          <w:color w:val="231F20"/>
          <w:spacing w:val="15"/>
          <w:w w:val="102"/>
          <w:sz w:val="15"/>
          <w:szCs w:val="15"/>
        </w:rPr>
        <w:t xml:space="preserve"> </w:t>
      </w:r>
      <w:r>
        <w:rPr>
          <w:rFonts w:ascii="Times New Roman" w:hAnsi="Times New Roman" w:eastAsia="Times New Roman" w:cs="Times New Roman"/>
          <w:color w:val="231F20"/>
          <w:sz w:val="15"/>
          <w:szCs w:val="15"/>
        </w:rPr>
        <w:t>K</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z w:val="15"/>
          <w:szCs w:val="15"/>
        </w:rPr>
        <w:t>Questioning</w:t>
      </w:r>
      <w:r>
        <w:rPr>
          <w:rFonts w:ascii="Times New Roman" w:hAnsi="Times New Roman" w:eastAsia="Times New Roman" w:cs="Times New Roman"/>
          <w:color w:val="231F20"/>
          <w:spacing w:val="10"/>
          <w:sz w:val="15"/>
          <w:szCs w:val="15"/>
        </w:rPr>
        <w:t xml:space="preserve"> </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10"/>
          <w:w w:val="101"/>
          <w:sz w:val="15"/>
          <w:szCs w:val="15"/>
        </w:rPr>
        <w:t xml:space="preserve"> </w:t>
      </w:r>
      <w:r>
        <w:rPr>
          <w:rFonts w:ascii="Times New Roman" w:hAnsi="Times New Roman" w:eastAsia="Times New Roman" w:cs="Times New Roman"/>
          <w:color w:val="231F20"/>
          <w:sz w:val="15"/>
          <w:szCs w:val="15"/>
        </w:rPr>
        <w:t>assurance</w:t>
      </w:r>
      <w:r>
        <w:rPr>
          <w:rFonts w:ascii="Times New Roman" w:hAnsi="Times New Roman" w:eastAsia="Times New Roman" w:cs="Times New Roman"/>
          <w:color w:val="231F20"/>
          <w:spacing w:val="5"/>
          <w:sz w:val="15"/>
          <w:szCs w:val="15"/>
        </w:rPr>
        <w:t>[J].</w:t>
      </w:r>
      <w:r>
        <w:rPr>
          <w:rFonts w:ascii="Times New Roman" w:hAnsi="Times New Roman" w:eastAsia="Times New Roman" w:cs="Times New Roman"/>
          <w:color w:val="231F20"/>
          <w:sz w:val="15"/>
          <w:szCs w:val="15"/>
        </w:rPr>
        <w:t>New</w:t>
      </w:r>
      <w:r>
        <w:rPr>
          <w:rFonts w:ascii="Times New Roman" w:hAnsi="Times New Roman" w:eastAsia="Times New Roman" w:cs="Times New Roman"/>
          <w:color w:val="231F20"/>
          <w:spacing w:val="10"/>
          <w:w w:val="101"/>
          <w:sz w:val="15"/>
          <w:szCs w:val="15"/>
        </w:rPr>
        <w:t xml:space="preserve"> </w:t>
      </w:r>
      <w:r>
        <w:rPr>
          <w:rFonts w:ascii="Times New Roman" w:hAnsi="Times New Roman" w:eastAsia="Times New Roman" w:cs="Times New Roman"/>
          <w:color w:val="231F20"/>
          <w:sz w:val="15"/>
          <w:szCs w:val="15"/>
        </w:rPr>
        <w:t>direction</w:t>
      </w:r>
      <w:r>
        <w:rPr>
          <w:rFonts w:ascii="Times New Roman" w:hAnsi="Times New Roman" w:eastAsia="Times New Roman" w:cs="Times New Roman"/>
          <w:color w:val="231F20"/>
          <w:spacing w:val="5"/>
          <w:sz w:val="15"/>
          <w:szCs w:val="15"/>
        </w:rPr>
        <w:t xml:space="preserve"> </w:t>
      </w:r>
      <w:r>
        <w:rPr>
          <w:rFonts w:ascii="Times New Roman" w:hAnsi="Times New Roman" w:eastAsia="Times New Roman" w:cs="Times New Roman"/>
          <w:color w:val="231F20"/>
          <w:sz w:val="15"/>
          <w:szCs w:val="15"/>
        </w:rPr>
        <w:t>for</w:t>
      </w:r>
      <w:r>
        <w:rPr>
          <w:rFonts w:ascii="Times New Roman" w:hAnsi="Times New Roman" w:eastAsia="Times New Roman" w:cs="Times New Roman"/>
          <w:color w:val="231F20"/>
          <w:spacing w:val="5"/>
          <w:sz w:val="15"/>
          <w:szCs w:val="15"/>
        </w:rPr>
        <w:t xml:space="preserve"> </w:t>
      </w:r>
      <w:r>
        <w:rPr>
          <w:rFonts w:ascii="Times New Roman" w:hAnsi="Times New Roman" w:eastAsia="Times New Roman" w:cs="Times New Roman"/>
          <w:color w:val="231F20"/>
          <w:sz w:val="15"/>
          <w:szCs w:val="15"/>
        </w:rPr>
        <w:t>high</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z w:val="15"/>
          <w:szCs w:val="15"/>
        </w:rPr>
        <w:t xml:space="preserve"> er</w:t>
      </w:r>
      <w:r>
        <w:rPr>
          <w:rFonts w:ascii="Times New Roman" w:hAnsi="Times New Roman" w:eastAsia="Times New Roman" w:cs="Times New Roman"/>
          <w:color w:val="231F20"/>
          <w:spacing w:val="2"/>
          <w:sz w:val="15"/>
          <w:szCs w:val="15"/>
        </w:rPr>
        <w:t xml:space="preserve"> </w:t>
      </w:r>
      <w:r>
        <w:rPr>
          <w:rFonts w:ascii="Times New Roman" w:hAnsi="Times New Roman" w:eastAsia="Times New Roman" w:cs="Times New Roman"/>
          <w:color w:val="231F20"/>
          <w:sz w:val="15"/>
          <w:szCs w:val="15"/>
        </w:rPr>
        <w:t>education</w:t>
      </w:r>
      <w:r>
        <w:rPr>
          <w:rFonts w:ascii="Times New Roman" w:hAnsi="Times New Roman" w:eastAsia="Times New Roman" w:cs="Times New Roman"/>
          <w:color w:val="231F20"/>
          <w:spacing w:val="2"/>
          <w:sz w:val="15"/>
          <w:szCs w:val="15"/>
        </w:rPr>
        <w:t>, 2014</w:t>
      </w:r>
      <w:r>
        <w:rPr>
          <w:rFonts w:ascii="微软雅黑" w:hAnsi="微软雅黑" w:eastAsia="微软雅黑" w:cs="微软雅黑"/>
          <w:color w:val="231F20"/>
          <w:spacing w:val="2"/>
          <w:sz w:val="15"/>
          <w:szCs w:val="15"/>
        </w:rPr>
        <w:t>，</w:t>
      </w:r>
      <w:r>
        <w:rPr>
          <w:rFonts w:ascii="Times New Roman" w:hAnsi="Times New Roman" w:eastAsia="Times New Roman" w:cs="Times New Roman"/>
          <w:color w:val="231F20"/>
          <w:spacing w:val="2"/>
          <w:sz w:val="15"/>
          <w:szCs w:val="15"/>
        </w:rPr>
        <w:t>(168):55-68.</w:t>
      </w:r>
    </w:p>
    <w:p>
      <w:pPr>
        <w:spacing w:before="73" w:line="237" w:lineRule="auto"/>
        <w:ind w:right="4" w:firstLine="323"/>
        <w:rPr>
          <w:rFonts w:ascii="Times New Roman" w:hAnsi="Times New Roman" w:eastAsia="Times New Roman" w:cs="Times New Roman"/>
          <w:sz w:val="15"/>
          <w:szCs w:val="15"/>
        </w:rPr>
      </w:pPr>
      <w:r>
        <w:rPr>
          <w:rFonts w:ascii="Times New Roman" w:hAnsi="Times New Roman" w:eastAsia="Times New Roman" w:cs="Times New Roman"/>
          <w:color w:val="231F20"/>
          <w:spacing w:val="9"/>
          <w:sz w:val="15"/>
          <w:szCs w:val="15"/>
        </w:rPr>
        <w:t>[8]</w:t>
      </w:r>
      <w:r>
        <w:rPr>
          <w:rFonts w:ascii="微软雅黑" w:hAnsi="微软雅黑" w:eastAsia="微软雅黑" w:cs="微软雅黑"/>
          <w:color w:val="231F20"/>
          <w:spacing w:val="9"/>
          <w:sz w:val="15"/>
          <w:szCs w:val="15"/>
        </w:rPr>
        <w:t>李亚东</w:t>
      </w:r>
      <w:r>
        <w:rPr>
          <w:rFonts w:ascii="微软雅黑" w:hAnsi="微软雅黑" w:eastAsia="微软雅黑" w:cs="微软雅黑"/>
          <w:color w:val="231F20"/>
          <w:spacing w:val="-12"/>
          <w:sz w:val="15"/>
          <w:szCs w:val="15"/>
        </w:rPr>
        <w:t xml:space="preserve"> </w:t>
      </w:r>
      <w:r>
        <w:rPr>
          <w:rFonts w:ascii="Times New Roman" w:hAnsi="Times New Roman" w:eastAsia="Times New Roman" w:cs="Times New Roman"/>
          <w:color w:val="231F20"/>
          <w:spacing w:val="9"/>
          <w:sz w:val="15"/>
          <w:szCs w:val="15"/>
        </w:rPr>
        <w:t>.</w:t>
      </w:r>
      <w:r>
        <w:rPr>
          <w:rFonts w:ascii="Times New Roman" w:hAnsi="Times New Roman" w:eastAsia="Times New Roman" w:cs="Times New Roman"/>
          <w:color w:val="231F20"/>
          <w:spacing w:val="-7"/>
          <w:sz w:val="15"/>
          <w:szCs w:val="15"/>
        </w:rPr>
        <w:t xml:space="preserve"> </w:t>
      </w:r>
      <w:r>
        <w:rPr>
          <w:rFonts w:ascii="微软雅黑" w:hAnsi="微软雅黑" w:eastAsia="微软雅黑" w:cs="微软雅黑"/>
          <w:color w:val="231F20"/>
          <w:spacing w:val="9"/>
          <w:sz w:val="15"/>
          <w:szCs w:val="15"/>
        </w:rPr>
        <w:t>我国高等教育外部质量保障组织体系顶层设计</w:t>
      </w:r>
      <w:r>
        <w:rPr>
          <w:rFonts w:ascii="Times New Roman" w:hAnsi="Times New Roman" w:eastAsia="Times New Roman" w:cs="Times New Roman"/>
          <w:color w:val="231F20"/>
          <w:spacing w:val="9"/>
          <w:sz w:val="15"/>
          <w:szCs w:val="15"/>
        </w:rPr>
        <w:t>[D].</w:t>
      </w:r>
      <w:r>
        <w:rPr>
          <w:rFonts w:ascii="Times New Roman" w:hAnsi="Times New Roman" w:eastAsia="Times New Roman" w:cs="Times New Roman"/>
          <w:color w:val="231F20"/>
          <w:sz w:val="15"/>
          <w:szCs w:val="15"/>
        </w:rPr>
        <w:t xml:space="preserve"> </w:t>
      </w:r>
      <w:r>
        <w:rPr>
          <w:rFonts w:ascii="微软雅黑" w:hAnsi="微软雅黑" w:eastAsia="微软雅黑" w:cs="微软雅黑"/>
          <w:color w:val="231F20"/>
          <w:spacing w:val="6"/>
          <w:sz w:val="15"/>
          <w:szCs w:val="15"/>
        </w:rPr>
        <w:t>华东师范大学</w:t>
      </w:r>
      <w:r>
        <w:rPr>
          <w:rFonts w:ascii="Times New Roman" w:hAnsi="Times New Roman" w:eastAsia="Times New Roman" w:cs="Times New Roman"/>
          <w:color w:val="231F20"/>
          <w:spacing w:val="6"/>
          <w:sz w:val="15"/>
          <w:szCs w:val="15"/>
        </w:rPr>
        <w:t>,2013.</w:t>
      </w:r>
    </w:p>
    <w:p>
      <w:pPr>
        <w:spacing w:before="74" w:line="276" w:lineRule="auto"/>
        <w:ind w:left="6" w:right="9" w:firstLine="318"/>
        <w:rPr>
          <w:rFonts w:ascii="Times New Roman" w:hAnsi="Times New Roman" w:eastAsia="Times New Roman" w:cs="Times New Roman"/>
          <w:sz w:val="15"/>
          <w:szCs w:val="15"/>
        </w:rPr>
      </w:pPr>
      <w:r>
        <w:rPr>
          <w:rFonts w:ascii="Times New Roman" w:hAnsi="Times New Roman" w:eastAsia="Times New Roman" w:cs="Times New Roman"/>
          <w:color w:val="231F20"/>
          <w:spacing w:val="2"/>
          <w:sz w:val="15"/>
          <w:szCs w:val="15"/>
        </w:rPr>
        <w:t>[9]Laurie</w:t>
      </w:r>
      <w:r>
        <w:rPr>
          <w:rFonts w:ascii="Times New Roman" w:hAnsi="Times New Roman" w:eastAsia="Times New Roman" w:cs="Times New Roman"/>
          <w:color w:val="231F20"/>
          <w:spacing w:val="24"/>
          <w:sz w:val="15"/>
          <w:szCs w:val="15"/>
        </w:rPr>
        <w:t xml:space="preserve"> </w:t>
      </w:r>
      <w:r>
        <w:rPr>
          <w:rFonts w:ascii="Times New Roman" w:hAnsi="Times New Roman" w:eastAsia="Times New Roman" w:cs="Times New Roman"/>
          <w:color w:val="231F20"/>
          <w:spacing w:val="2"/>
          <w:sz w:val="15"/>
          <w:szCs w:val="15"/>
        </w:rPr>
        <w:t>L.Embedding</w:t>
      </w:r>
      <w:r>
        <w:rPr>
          <w:rFonts w:ascii="Times New Roman" w:hAnsi="Times New Roman" w:eastAsia="Times New Roman" w:cs="Times New Roman"/>
          <w:color w:val="231F20"/>
          <w:spacing w:val="23"/>
          <w:w w:val="102"/>
          <w:sz w:val="15"/>
          <w:szCs w:val="15"/>
        </w:rPr>
        <w:t xml:space="preserve"> </w:t>
      </w:r>
      <w:r>
        <w:rPr>
          <w:rFonts w:ascii="Times New Roman" w:hAnsi="Times New Roman" w:eastAsia="Times New Roman" w:cs="Times New Roman"/>
          <w:color w:val="231F20"/>
          <w:spacing w:val="2"/>
          <w:sz w:val="15"/>
          <w:szCs w:val="15"/>
        </w:rPr>
        <w:t>quali</w:t>
      </w:r>
      <w:r>
        <w:rPr>
          <w:rFonts w:ascii="Times New Roman" w:hAnsi="Times New Roman" w:eastAsia="Times New Roman" w:cs="Times New Roman"/>
          <w:color w:val="231F20"/>
          <w:spacing w:val="1"/>
          <w:sz w:val="15"/>
          <w:szCs w:val="15"/>
        </w:rPr>
        <w:t>ty:the</w:t>
      </w:r>
      <w:r>
        <w:rPr>
          <w:rFonts w:ascii="Times New Roman" w:hAnsi="Times New Roman" w:eastAsia="Times New Roman" w:cs="Times New Roman"/>
          <w:color w:val="231F20"/>
          <w:spacing w:val="23"/>
          <w:w w:val="101"/>
          <w:sz w:val="15"/>
          <w:szCs w:val="15"/>
        </w:rPr>
        <w:t xml:space="preserve"> </w:t>
      </w:r>
      <w:r>
        <w:rPr>
          <w:rFonts w:ascii="Times New Roman" w:hAnsi="Times New Roman" w:eastAsia="Times New Roman" w:cs="Times New Roman"/>
          <w:color w:val="231F20"/>
          <w:spacing w:val="1"/>
          <w:sz w:val="15"/>
          <w:szCs w:val="15"/>
        </w:rPr>
        <w:t>challenges</w:t>
      </w:r>
      <w:r>
        <w:rPr>
          <w:rFonts w:ascii="Times New Roman" w:hAnsi="Times New Roman" w:eastAsia="Times New Roman" w:cs="Times New Roman"/>
          <w:color w:val="231F20"/>
          <w:spacing w:val="19"/>
          <w:w w:val="101"/>
          <w:sz w:val="15"/>
          <w:szCs w:val="15"/>
        </w:rPr>
        <w:t xml:space="preserve"> </w:t>
      </w:r>
      <w:r>
        <w:rPr>
          <w:rFonts w:ascii="Times New Roman" w:hAnsi="Times New Roman" w:eastAsia="Times New Roman" w:cs="Times New Roman"/>
          <w:color w:val="231F20"/>
          <w:spacing w:val="1"/>
          <w:sz w:val="15"/>
          <w:szCs w:val="15"/>
        </w:rPr>
        <w:t>for</w:t>
      </w:r>
      <w:r>
        <w:rPr>
          <w:rFonts w:ascii="Times New Roman" w:hAnsi="Times New Roman" w:eastAsia="Times New Roman" w:cs="Times New Roman"/>
          <w:color w:val="231F20"/>
          <w:spacing w:val="21"/>
          <w:sz w:val="15"/>
          <w:szCs w:val="15"/>
        </w:rPr>
        <w:t xml:space="preserve"> </w:t>
      </w:r>
      <w:r>
        <w:rPr>
          <w:rFonts w:ascii="Times New Roman" w:hAnsi="Times New Roman" w:eastAsia="Times New Roman" w:cs="Times New Roman"/>
          <w:color w:val="231F20"/>
          <w:spacing w:val="1"/>
          <w:sz w:val="15"/>
          <w:szCs w:val="15"/>
        </w:rPr>
        <w:t>higher</w:t>
      </w:r>
      <w:r>
        <w:rPr>
          <w:rFonts w:ascii="Times New Roman" w:hAnsi="Times New Roman" w:eastAsia="Times New Roman" w:cs="Times New Roman"/>
          <w:color w:val="231F20"/>
          <w:spacing w:val="22"/>
          <w:sz w:val="15"/>
          <w:szCs w:val="15"/>
        </w:rPr>
        <w:t xml:space="preserve"> </w:t>
      </w:r>
      <w:r>
        <w:rPr>
          <w:rFonts w:ascii="Times New Roman" w:hAnsi="Times New Roman" w:eastAsia="Times New Roman" w:cs="Times New Roman"/>
          <w:color w:val="231F20"/>
          <w:spacing w:val="1"/>
          <w:sz w:val="15"/>
          <w:szCs w:val="15"/>
        </w:rPr>
        <w:t>education</w:t>
      </w:r>
      <w:r>
        <w:rPr>
          <w:rFonts w:ascii="Times New Roman" w:hAnsi="Times New Roman" w:eastAsia="Times New Roman" w:cs="Times New Roman"/>
          <w:color w:val="231F20"/>
          <w:sz w:val="15"/>
          <w:szCs w:val="15"/>
        </w:rPr>
        <w:t xml:space="preserve"> </w:t>
      </w:r>
      <w:r>
        <w:rPr>
          <w:rFonts w:ascii="Times New Roman" w:hAnsi="Times New Roman" w:eastAsia="Times New Roman" w:cs="Times New Roman"/>
          <w:color w:val="231F20"/>
          <w:spacing w:val="2"/>
          <w:sz w:val="15"/>
          <w:szCs w:val="15"/>
        </w:rPr>
        <w:t>[J].</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2"/>
          <w:sz w:val="15"/>
          <w:szCs w:val="15"/>
        </w:rPr>
        <w:t xml:space="preserve"> </w:t>
      </w:r>
      <w:r>
        <w:rPr>
          <w:rFonts w:ascii="Times New Roman" w:hAnsi="Times New Roman" w:eastAsia="Times New Roman" w:cs="Times New Roman"/>
          <w:color w:val="231F20"/>
          <w:sz w:val="15"/>
          <w:szCs w:val="15"/>
        </w:rPr>
        <w:t>assurance</w:t>
      </w:r>
      <w:r>
        <w:rPr>
          <w:rFonts w:ascii="Times New Roman" w:hAnsi="Times New Roman" w:eastAsia="Times New Roman" w:cs="Times New Roman"/>
          <w:color w:val="231F20"/>
          <w:spacing w:val="2"/>
          <w:sz w:val="15"/>
          <w:szCs w:val="15"/>
        </w:rPr>
        <w:t xml:space="preserve"> </w:t>
      </w:r>
      <w:r>
        <w:rPr>
          <w:rFonts w:ascii="Times New Roman" w:hAnsi="Times New Roman" w:eastAsia="Times New Roman" w:cs="Times New Roman"/>
          <w:color w:val="231F20"/>
          <w:sz w:val="15"/>
          <w:szCs w:val="15"/>
        </w:rPr>
        <w:t>in</w:t>
      </w:r>
      <w:r>
        <w:rPr>
          <w:rFonts w:ascii="Times New Roman" w:hAnsi="Times New Roman" w:eastAsia="Times New Roman" w:cs="Times New Roman"/>
          <w:color w:val="231F20"/>
          <w:spacing w:val="2"/>
          <w:sz w:val="15"/>
          <w:szCs w:val="15"/>
        </w:rPr>
        <w:t xml:space="preserve"> </w:t>
      </w:r>
      <w:r>
        <w:rPr>
          <w:rFonts w:ascii="Times New Roman" w:hAnsi="Times New Roman" w:eastAsia="Times New Roman" w:cs="Times New Roman"/>
          <w:color w:val="231F20"/>
          <w:sz w:val="15"/>
          <w:szCs w:val="15"/>
        </w:rPr>
        <w:t>education</w:t>
      </w:r>
      <w:r>
        <w:rPr>
          <w:rFonts w:ascii="Times New Roman" w:hAnsi="Times New Roman" w:eastAsia="Times New Roman" w:cs="Times New Roman"/>
          <w:color w:val="231F20"/>
          <w:spacing w:val="2"/>
          <w:sz w:val="15"/>
          <w:szCs w:val="15"/>
        </w:rPr>
        <w:t>,2004</w:t>
      </w:r>
      <w:r>
        <w:rPr>
          <w:rFonts w:ascii="微软雅黑" w:hAnsi="微软雅黑" w:eastAsia="微软雅黑" w:cs="微软雅黑"/>
          <w:color w:val="231F20"/>
          <w:spacing w:val="2"/>
          <w:sz w:val="15"/>
          <w:szCs w:val="15"/>
        </w:rPr>
        <w:t>，</w:t>
      </w:r>
      <w:r>
        <w:rPr>
          <w:rFonts w:ascii="Times New Roman" w:hAnsi="Times New Roman" w:eastAsia="Times New Roman" w:cs="Times New Roman"/>
          <w:color w:val="231F20"/>
          <w:spacing w:val="2"/>
          <w:sz w:val="15"/>
          <w:szCs w:val="15"/>
        </w:rPr>
        <w:t>(4):157-</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pacing w:val="2"/>
          <w:sz w:val="15"/>
          <w:szCs w:val="15"/>
        </w:rPr>
        <w:t>165.</w:t>
      </w:r>
    </w:p>
    <w:p>
      <w:pPr>
        <w:spacing w:before="79" w:line="319" w:lineRule="auto"/>
        <w:ind w:left="1" w:right="4" w:firstLine="323"/>
        <w:rPr>
          <w:rFonts w:ascii="Times New Roman" w:hAnsi="Times New Roman" w:eastAsia="Times New Roman" w:cs="Times New Roman"/>
          <w:sz w:val="15"/>
          <w:szCs w:val="15"/>
        </w:rPr>
      </w:pPr>
      <w:r>
        <w:rPr>
          <w:rFonts w:ascii="Times New Roman" w:hAnsi="Times New Roman" w:eastAsia="Times New Roman" w:cs="Times New Roman"/>
          <w:color w:val="231F20"/>
          <w:spacing w:val="5"/>
          <w:sz w:val="15"/>
          <w:szCs w:val="15"/>
        </w:rPr>
        <w:t>[10]</w:t>
      </w:r>
      <w:r>
        <w:rPr>
          <w:rFonts w:ascii="Times New Roman" w:hAnsi="Times New Roman" w:eastAsia="Times New Roman" w:cs="Times New Roman"/>
          <w:color w:val="231F20"/>
          <w:sz w:val="15"/>
          <w:szCs w:val="15"/>
        </w:rPr>
        <w:t>Laura</w:t>
      </w:r>
      <w:r>
        <w:rPr>
          <w:rFonts w:ascii="Times New Roman" w:hAnsi="Times New Roman" w:eastAsia="Times New Roman" w:cs="Times New Roman"/>
          <w:color w:val="231F20"/>
          <w:spacing w:val="20"/>
          <w:sz w:val="15"/>
          <w:szCs w:val="15"/>
        </w:rPr>
        <w:t xml:space="preserve"> </w:t>
      </w:r>
      <w:r>
        <w:rPr>
          <w:rFonts w:ascii="Times New Roman" w:hAnsi="Times New Roman" w:eastAsia="Times New Roman" w:cs="Times New Roman"/>
          <w:color w:val="231F20"/>
          <w:sz w:val="15"/>
          <w:szCs w:val="15"/>
        </w:rPr>
        <w:t>S</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z w:val="15"/>
          <w:szCs w:val="15"/>
        </w:rPr>
        <w:t>et</w:t>
      </w:r>
      <w:r>
        <w:rPr>
          <w:rFonts w:ascii="Times New Roman" w:hAnsi="Times New Roman" w:eastAsia="Times New Roman" w:cs="Times New Roman"/>
          <w:color w:val="231F20"/>
          <w:spacing w:val="5"/>
          <w:sz w:val="15"/>
          <w:szCs w:val="15"/>
        </w:rPr>
        <w:t xml:space="preserve"> </w:t>
      </w:r>
      <w:r>
        <w:rPr>
          <w:rFonts w:ascii="Times New Roman" w:hAnsi="Times New Roman" w:eastAsia="Times New Roman" w:cs="Times New Roman"/>
          <w:color w:val="231F20"/>
          <w:sz w:val="15"/>
          <w:szCs w:val="15"/>
        </w:rPr>
        <w:t>al</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z w:val="15"/>
          <w:szCs w:val="15"/>
        </w:rPr>
        <w:t>Definitions</w:t>
      </w:r>
      <w:r>
        <w:rPr>
          <w:rFonts w:ascii="Times New Roman" w:hAnsi="Times New Roman" w:eastAsia="Times New Roman" w:cs="Times New Roman"/>
          <w:color w:val="231F20"/>
          <w:spacing w:val="5"/>
          <w:sz w:val="15"/>
          <w:szCs w:val="15"/>
        </w:rPr>
        <w:t xml:space="preserve"> </w:t>
      </w:r>
      <w:r>
        <w:rPr>
          <w:rFonts w:ascii="Times New Roman" w:hAnsi="Times New Roman" w:eastAsia="Times New Roman" w:cs="Times New Roman"/>
          <w:color w:val="231F20"/>
          <w:sz w:val="15"/>
          <w:szCs w:val="15"/>
        </w:rPr>
        <w:t>of</w:t>
      </w:r>
      <w:r>
        <w:rPr>
          <w:rFonts w:ascii="Times New Roman" w:hAnsi="Times New Roman" w:eastAsia="Times New Roman" w:cs="Times New Roman"/>
          <w:color w:val="231F20"/>
          <w:spacing w:val="5"/>
          <w:sz w:val="15"/>
          <w:szCs w:val="15"/>
        </w:rPr>
        <w:t xml:space="preserve"> </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5"/>
          <w:sz w:val="15"/>
          <w:szCs w:val="15"/>
        </w:rPr>
        <w:t xml:space="preserve"> </w:t>
      </w:r>
      <w:r>
        <w:rPr>
          <w:rFonts w:ascii="Times New Roman" w:hAnsi="Times New Roman" w:eastAsia="Times New Roman" w:cs="Times New Roman"/>
          <w:color w:val="231F20"/>
          <w:sz w:val="15"/>
          <w:szCs w:val="15"/>
        </w:rPr>
        <w:t>in</w:t>
      </w:r>
      <w:r>
        <w:rPr>
          <w:rFonts w:ascii="Times New Roman" w:hAnsi="Times New Roman" w:eastAsia="Times New Roman" w:cs="Times New Roman"/>
          <w:color w:val="231F20"/>
          <w:spacing w:val="11"/>
          <w:sz w:val="15"/>
          <w:szCs w:val="15"/>
        </w:rPr>
        <w:t xml:space="preserve"> </w:t>
      </w:r>
      <w:r>
        <w:rPr>
          <w:rFonts w:ascii="Times New Roman" w:hAnsi="Times New Roman" w:eastAsia="Times New Roman" w:cs="Times New Roman"/>
          <w:color w:val="231F20"/>
          <w:sz w:val="15"/>
          <w:szCs w:val="15"/>
        </w:rPr>
        <w:t>Higher</w:t>
      </w:r>
      <w:r>
        <w:rPr>
          <w:rFonts w:ascii="Times New Roman" w:hAnsi="Times New Roman" w:eastAsia="Times New Roman" w:cs="Times New Roman"/>
          <w:color w:val="231F20"/>
          <w:spacing w:val="5"/>
          <w:sz w:val="15"/>
          <w:szCs w:val="15"/>
        </w:rPr>
        <w:t xml:space="preserve"> </w:t>
      </w:r>
      <w:r>
        <w:rPr>
          <w:rFonts w:ascii="Times New Roman" w:hAnsi="Times New Roman" w:eastAsia="Times New Roman" w:cs="Times New Roman"/>
          <w:color w:val="231F20"/>
          <w:sz w:val="15"/>
          <w:szCs w:val="15"/>
        </w:rPr>
        <w:t>Education</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z w:val="15"/>
          <w:szCs w:val="15"/>
        </w:rPr>
        <w:t>A</w:t>
      </w:r>
      <w:r>
        <w:rPr>
          <w:rFonts w:ascii="Times New Roman" w:hAnsi="Times New Roman" w:eastAsia="Times New Roman" w:cs="Times New Roman"/>
          <w:color w:val="231F20"/>
          <w:spacing w:val="11"/>
          <w:sz w:val="15"/>
          <w:szCs w:val="15"/>
        </w:rPr>
        <w:t xml:space="preserve"> </w:t>
      </w:r>
      <w:r>
        <w:rPr>
          <w:rFonts w:ascii="Times New Roman" w:hAnsi="Times New Roman" w:eastAsia="Times New Roman" w:cs="Times New Roman"/>
          <w:color w:val="231F20"/>
          <w:sz w:val="15"/>
          <w:szCs w:val="15"/>
        </w:rPr>
        <w:t>Syn</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z w:val="15"/>
          <w:szCs w:val="15"/>
        </w:rPr>
        <w:t xml:space="preserve"> thesis</w:t>
      </w:r>
      <w:r>
        <w:rPr>
          <w:rFonts w:ascii="Times New Roman" w:hAnsi="Times New Roman" w:eastAsia="Times New Roman" w:cs="Times New Roman"/>
          <w:color w:val="231F20"/>
          <w:spacing w:val="4"/>
          <w:sz w:val="15"/>
          <w:szCs w:val="15"/>
        </w:rPr>
        <w:t xml:space="preserve"> </w:t>
      </w:r>
      <w:r>
        <w:rPr>
          <w:rFonts w:ascii="Times New Roman" w:hAnsi="Times New Roman" w:eastAsia="Times New Roman" w:cs="Times New Roman"/>
          <w:color w:val="231F20"/>
          <w:sz w:val="15"/>
          <w:szCs w:val="15"/>
        </w:rPr>
        <w:t>of</w:t>
      </w:r>
      <w:r>
        <w:rPr>
          <w:rFonts w:ascii="Times New Roman" w:hAnsi="Times New Roman" w:eastAsia="Times New Roman" w:cs="Times New Roman"/>
          <w:color w:val="231F20"/>
          <w:spacing w:val="4"/>
          <w:sz w:val="15"/>
          <w:szCs w:val="15"/>
        </w:rPr>
        <w:t xml:space="preserve"> </w:t>
      </w:r>
      <w:r>
        <w:rPr>
          <w:rFonts w:ascii="Times New Roman" w:hAnsi="Times New Roman" w:eastAsia="Times New Roman" w:cs="Times New Roman"/>
          <w:color w:val="231F20"/>
          <w:sz w:val="15"/>
          <w:szCs w:val="15"/>
        </w:rPr>
        <w:t>the</w:t>
      </w:r>
      <w:r>
        <w:rPr>
          <w:rFonts w:ascii="Times New Roman" w:hAnsi="Times New Roman" w:eastAsia="Times New Roman" w:cs="Times New Roman"/>
          <w:color w:val="231F20"/>
          <w:spacing w:val="4"/>
          <w:sz w:val="15"/>
          <w:szCs w:val="15"/>
        </w:rPr>
        <w:t xml:space="preserve"> </w:t>
      </w:r>
      <w:r>
        <w:rPr>
          <w:rFonts w:ascii="Times New Roman" w:hAnsi="Times New Roman" w:eastAsia="Times New Roman" w:cs="Times New Roman"/>
          <w:color w:val="231F20"/>
          <w:sz w:val="15"/>
          <w:szCs w:val="15"/>
        </w:rPr>
        <w:t>Literature</w:t>
      </w:r>
      <w:r>
        <w:rPr>
          <w:rFonts w:ascii="Times New Roman" w:hAnsi="Times New Roman" w:eastAsia="Times New Roman" w:cs="Times New Roman"/>
          <w:color w:val="231F20"/>
          <w:spacing w:val="4"/>
          <w:sz w:val="15"/>
          <w:szCs w:val="15"/>
        </w:rPr>
        <w:t xml:space="preserve"> [J].</w:t>
      </w:r>
      <w:r>
        <w:rPr>
          <w:rFonts w:ascii="Times New Roman" w:hAnsi="Times New Roman" w:eastAsia="Times New Roman" w:cs="Times New Roman"/>
          <w:color w:val="231F20"/>
          <w:sz w:val="15"/>
          <w:szCs w:val="15"/>
        </w:rPr>
        <w:t>High</w:t>
      </w:r>
      <w:r>
        <w:rPr>
          <w:rFonts w:ascii="Times New Roman" w:hAnsi="Times New Roman" w:eastAsia="Times New Roman" w:cs="Times New Roman"/>
          <w:color w:val="231F20"/>
          <w:spacing w:val="4"/>
          <w:sz w:val="15"/>
          <w:szCs w:val="15"/>
        </w:rPr>
        <w:t xml:space="preserve">. </w:t>
      </w:r>
      <w:r>
        <w:rPr>
          <w:rFonts w:ascii="Times New Roman" w:hAnsi="Times New Roman" w:eastAsia="Times New Roman" w:cs="Times New Roman"/>
          <w:color w:val="231F20"/>
          <w:sz w:val="15"/>
          <w:szCs w:val="15"/>
        </w:rPr>
        <w:t>Learn</w:t>
      </w:r>
      <w:r>
        <w:rPr>
          <w:rFonts w:ascii="Times New Roman" w:hAnsi="Times New Roman" w:eastAsia="Times New Roman" w:cs="Times New Roman"/>
          <w:color w:val="231F20"/>
          <w:spacing w:val="4"/>
          <w:sz w:val="15"/>
          <w:szCs w:val="15"/>
        </w:rPr>
        <w:t xml:space="preserve">. </w:t>
      </w:r>
      <w:r>
        <w:rPr>
          <w:rFonts w:ascii="Times New Roman" w:hAnsi="Times New Roman" w:eastAsia="Times New Roman" w:cs="Times New Roman"/>
          <w:color w:val="231F20"/>
          <w:sz w:val="15"/>
          <w:szCs w:val="15"/>
        </w:rPr>
        <w:t>Res</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pacing w:val="25"/>
          <w:w w:val="102"/>
          <w:sz w:val="15"/>
          <w:szCs w:val="15"/>
        </w:rPr>
        <w:t xml:space="preserve"> </w:t>
      </w:r>
      <w:r>
        <w:rPr>
          <w:rFonts w:ascii="Times New Roman" w:hAnsi="Times New Roman" w:eastAsia="Times New Roman" w:cs="Times New Roman"/>
          <w:color w:val="231F20"/>
          <w:sz w:val="15"/>
          <w:szCs w:val="15"/>
        </w:rPr>
        <w:t>Commun</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pacing w:val="11"/>
          <w:w w:val="101"/>
          <w:sz w:val="15"/>
          <w:szCs w:val="15"/>
        </w:rPr>
        <w:t xml:space="preserve"> </w:t>
      </w:r>
      <w:r>
        <w:rPr>
          <w:rFonts w:ascii="Times New Roman" w:hAnsi="Times New Roman" w:eastAsia="Times New Roman" w:cs="Times New Roman"/>
          <w:color w:val="231F20"/>
          <w:spacing w:val="4"/>
          <w:sz w:val="15"/>
          <w:szCs w:val="15"/>
        </w:rPr>
        <w:t>2015,(3):3-</w:t>
      </w:r>
      <w:r>
        <w:rPr>
          <w:rFonts w:ascii="Times New Roman" w:hAnsi="Times New Roman" w:eastAsia="Times New Roman" w:cs="Times New Roman"/>
          <w:color w:val="231F20"/>
          <w:spacing w:val="-20"/>
          <w:sz w:val="15"/>
          <w:szCs w:val="15"/>
        </w:rPr>
        <w:t xml:space="preserve"> </w:t>
      </w:r>
      <w:r>
        <w:rPr>
          <w:rFonts w:ascii="Times New Roman" w:hAnsi="Times New Roman" w:eastAsia="Times New Roman" w:cs="Times New Roman"/>
          <w:color w:val="231F20"/>
          <w:spacing w:val="4"/>
          <w:sz w:val="15"/>
          <w:szCs w:val="15"/>
        </w:rPr>
        <w:t>13.</w:t>
      </w:r>
    </w:p>
    <w:p>
      <w:pPr>
        <w:spacing w:before="116" w:line="319" w:lineRule="auto"/>
        <w:ind w:left="3" w:right="4" w:firstLine="320"/>
        <w:rPr>
          <w:rFonts w:ascii="Times New Roman" w:hAnsi="Times New Roman" w:eastAsia="Times New Roman" w:cs="Times New Roman"/>
          <w:sz w:val="15"/>
          <w:szCs w:val="15"/>
        </w:rPr>
      </w:pPr>
      <w:r>
        <w:rPr>
          <w:rFonts w:ascii="Times New Roman" w:hAnsi="Times New Roman" w:eastAsia="Times New Roman" w:cs="Times New Roman"/>
          <w:color w:val="231F20"/>
          <w:spacing w:val="4"/>
          <w:sz w:val="15"/>
          <w:szCs w:val="15"/>
        </w:rPr>
        <w:t>[11][17][20]</w:t>
      </w:r>
      <w:r>
        <w:rPr>
          <w:rFonts w:ascii="Times New Roman" w:hAnsi="Times New Roman" w:eastAsia="Times New Roman" w:cs="Times New Roman"/>
          <w:color w:val="231F20"/>
          <w:sz w:val="15"/>
          <w:szCs w:val="15"/>
        </w:rPr>
        <w:t>Lee</w:t>
      </w:r>
      <w:r>
        <w:rPr>
          <w:rFonts w:ascii="Times New Roman" w:hAnsi="Times New Roman" w:eastAsia="Times New Roman" w:cs="Times New Roman"/>
          <w:color w:val="231F20"/>
          <w:spacing w:val="27"/>
          <w:sz w:val="15"/>
          <w:szCs w:val="15"/>
        </w:rPr>
        <w:t xml:space="preserve"> </w:t>
      </w:r>
      <w:r>
        <w:rPr>
          <w:rFonts w:ascii="Times New Roman" w:hAnsi="Times New Roman" w:eastAsia="Times New Roman" w:cs="Times New Roman"/>
          <w:color w:val="231F20"/>
          <w:sz w:val="15"/>
          <w:szCs w:val="15"/>
        </w:rPr>
        <w:t>H</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pacing w:val="15"/>
          <w:w w:val="101"/>
          <w:sz w:val="15"/>
          <w:szCs w:val="15"/>
        </w:rPr>
        <w:t xml:space="preserve"> </w:t>
      </w:r>
      <w:r>
        <w:rPr>
          <w:rFonts w:ascii="Times New Roman" w:hAnsi="Times New Roman" w:eastAsia="Times New Roman" w:cs="Times New Roman"/>
          <w:color w:val="231F20"/>
          <w:sz w:val="15"/>
          <w:szCs w:val="15"/>
        </w:rPr>
        <w:t>Bjorn</w:t>
      </w:r>
      <w:r>
        <w:rPr>
          <w:rFonts w:ascii="Times New Roman" w:hAnsi="Times New Roman" w:eastAsia="Times New Roman" w:cs="Times New Roman"/>
          <w:color w:val="231F20"/>
          <w:spacing w:val="15"/>
          <w:sz w:val="15"/>
          <w:szCs w:val="15"/>
        </w:rPr>
        <w:t xml:space="preserve"> </w:t>
      </w:r>
      <w:r>
        <w:rPr>
          <w:rFonts w:ascii="Times New Roman" w:hAnsi="Times New Roman" w:eastAsia="Times New Roman" w:cs="Times New Roman"/>
          <w:color w:val="231F20"/>
          <w:sz w:val="15"/>
          <w:szCs w:val="15"/>
        </w:rPr>
        <w:t>S</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14"/>
          <w:sz w:val="15"/>
          <w:szCs w:val="15"/>
        </w:rPr>
        <w:t xml:space="preserve"> </w:t>
      </w:r>
      <w:r>
        <w:rPr>
          <w:rFonts w:ascii="Times New Roman" w:hAnsi="Times New Roman" w:eastAsia="Times New Roman" w:cs="Times New Roman"/>
          <w:color w:val="231F20"/>
          <w:sz w:val="15"/>
          <w:szCs w:val="15"/>
        </w:rPr>
        <w:t>culture</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pacing w:val="12"/>
          <w:sz w:val="15"/>
          <w:szCs w:val="15"/>
        </w:rPr>
        <w:t xml:space="preserve"> </w:t>
      </w:r>
      <w:r>
        <w:rPr>
          <w:rFonts w:ascii="Times New Roman" w:hAnsi="Times New Roman" w:eastAsia="Times New Roman" w:cs="Times New Roman"/>
          <w:color w:val="231F20"/>
          <w:sz w:val="15"/>
          <w:szCs w:val="15"/>
        </w:rPr>
        <w:t>understandings</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pacing w:val="12"/>
          <w:w w:val="101"/>
          <w:sz w:val="15"/>
          <w:szCs w:val="15"/>
        </w:rPr>
        <w:t xml:space="preserve"> </w:t>
      </w:r>
      <w:r>
        <w:rPr>
          <w:rFonts w:ascii="Times New Roman" w:hAnsi="Times New Roman" w:eastAsia="Times New Roman" w:cs="Times New Roman"/>
          <w:color w:val="231F20"/>
          <w:sz w:val="15"/>
          <w:szCs w:val="15"/>
        </w:rPr>
        <w:t>bound</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z w:val="15"/>
          <w:szCs w:val="15"/>
        </w:rPr>
        <w:t xml:space="preserve"> aries</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z w:val="15"/>
          <w:szCs w:val="15"/>
        </w:rPr>
        <w:t>and</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z w:val="15"/>
          <w:szCs w:val="15"/>
        </w:rPr>
        <w:t>linkages</w:t>
      </w:r>
      <w:r>
        <w:rPr>
          <w:rFonts w:ascii="Times New Roman" w:hAnsi="Times New Roman" w:eastAsia="Times New Roman" w:cs="Times New Roman"/>
          <w:color w:val="231F20"/>
          <w:spacing w:val="7"/>
          <w:sz w:val="15"/>
          <w:szCs w:val="15"/>
        </w:rPr>
        <w:t>[J].</w:t>
      </w:r>
      <w:r>
        <w:rPr>
          <w:rFonts w:ascii="Times New Roman" w:hAnsi="Times New Roman" w:eastAsia="Times New Roman" w:cs="Times New Roman"/>
          <w:color w:val="231F20"/>
          <w:sz w:val="15"/>
          <w:szCs w:val="15"/>
        </w:rPr>
        <w:t>European</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z w:val="15"/>
          <w:szCs w:val="15"/>
        </w:rPr>
        <w:t>Journal</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z w:val="15"/>
          <w:szCs w:val="15"/>
        </w:rPr>
        <w:t>of</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z w:val="15"/>
          <w:szCs w:val="15"/>
        </w:rPr>
        <w:t>Education</w:t>
      </w:r>
      <w:r>
        <w:rPr>
          <w:rFonts w:ascii="Times New Roman" w:hAnsi="Times New Roman" w:eastAsia="Times New Roman" w:cs="Times New Roman"/>
          <w:color w:val="231F20"/>
          <w:spacing w:val="7"/>
          <w:sz w:val="15"/>
          <w:szCs w:val="15"/>
        </w:rPr>
        <w:t>, 2008,(4):427-442.</w:t>
      </w:r>
    </w:p>
    <w:p>
      <w:pPr>
        <w:spacing w:line="310" w:lineRule="auto"/>
        <w:rPr>
          <w:rFonts w:ascii="Arial"/>
          <w:sz w:val="21"/>
        </w:rPr>
      </w:pPr>
    </w:p>
    <w:p>
      <w:pPr>
        <w:spacing w:before="58" w:line="148" w:lineRule="exact"/>
        <w:ind w:left="4152"/>
        <w:rPr>
          <w:rFonts w:ascii="Times New Roman" w:hAnsi="Times New Roman" w:eastAsia="Times New Roman" w:cs="Times New Roman"/>
          <w:sz w:val="20"/>
          <w:szCs w:val="20"/>
        </w:rPr>
      </w:pPr>
      <w:r>
        <w:rPr>
          <w:rFonts w:ascii="Times New Roman" w:hAnsi="Times New Roman" w:eastAsia="Times New Roman" w:cs="Times New Roman"/>
          <w:color w:val="231F20"/>
          <w:spacing w:val="1"/>
          <w:position w:val="-2"/>
          <w:sz w:val="20"/>
          <w:szCs w:val="20"/>
        </w:rPr>
        <w:t>23</w:t>
      </w:r>
    </w:p>
    <w:p>
      <w:pPr>
        <w:spacing w:line="148" w:lineRule="exact"/>
        <w:rPr>
          <w:rFonts w:ascii="Times New Roman" w:hAnsi="Times New Roman" w:eastAsia="Times New Roman" w:cs="Times New Roman"/>
          <w:sz w:val="20"/>
          <w:szCs w:val="20"/>
        </w:rPr>
        <w:sectPr>
          <w:type w:val="continuous"/>
          <w:pgSz w:w="12416" w:h="16612"/>
          <w:pgMar w:top="1381" w:right="1526" w:bottom="547" w:left="407" w:header="1150" w:footer="354" w:gutter="0"/>
          <w:cols w:equalWidth="0" w:num="2">
            <w:col w:w="5801" w:space="100"/>
            <w:col w:w="4581"/>
          </w:cols>
        </w:sectPr>
      </w:pPr>
    </w:p>
    <w:p>
      <w:pPr>
        <w:spacing w:line="128" w:lineRule="exact"/>
      </w:pPr>
    </w:p>
    <w:p>
      <w:pPr>
        <w:spacing w:line="128" w:lineRule="exact"/>
        <w:sectPr>
          <w:headerReference r:id="rId18" w:type="default"/>
          <w:footerReference r:id="rId19" w:type="default"/>
          <w:pgSz w:w="12416" w:h="16612"/>
          <w:pgMar w:top="1482" w:right="1282" w:bottom="547" w:left="407" w:header="1149" w:footer="354" w:gutter="0"/>
          <w:cols w:equalWidth="0" w:num="1">
            <w:col w:w="10726"/>
          </w:cols>
        </w:sectPr>
      </w:pPr>
    </w:p>
    <w:p>
      <w:pPr>
        <w:spacing w:before="34" w:line="275" w:lineRule="auto"/>
        <w:ind w:left="1130" w:right="329" w:firstLine="318"/>
        <w:rPr>
          <w:rFonts w:ascii="Times New Roman" w:hAnsi="Times New Roman" w:eastAsia="Times New Roman" w:cs="Times New Roman"/>
          <w:sz w:val="15"/>
          <w:szCs w:val="15"/>
        </w:rPr>
      </w:pPr>
      <w:r>
        <w:rPr>
          <w:rFonts w:ascii="Times New Roman" w:hAnsi="Times New Roman" w:eastAsia="Times New Roman" w:cs="Times New Roman"/>
          <w:color w:val="231F20"/>
          <w:spacing w:val="12"/>
          <w:sz w:val="15"/>
          <w:szCs w:val="15"/>
        </w:rPr>
        <w:t>[14]</w:t>
      </w:r>
      <w:r>
        <w:rPr>
          <w:rFonts w:ascii="Times New Roman" w:hAnsi="Times New Roman" w:eastAsia="Times New Roman" w:cs="Times New Roman"/>
          <w:color w:val="231F20"/>
          <w:sz w:val="15"/>
          <w:szCs w:val="15"/>
        </w:rPr>
        <w:t>Laurie</w:t>
      </w:r>
      <w:r>
        <w:rPr>
          <w:rFonts w:ascii="Times New Roman" w:hAnsi="Times New Roman" w:eastAsia="Times New Roman" w:cs="Times New Roman"/>
          <w:color w:val="231F20"/>
          <w:spacing w:val="15"/>
          <w:sz w:val="15"/>
          <w:szCs w:val="15"/>
        </w:rPr>
        <w:t xml:space="preserve"> </w:t>
      </w:r>
      <w:r>
        <w:rPr>
          <w:rFonts w:ascii="Times New Roman" w:hAnsi="Times New Roman" w:eastAsia="Times New Roman" w:cs="Times New Roman"/>
          <w:color w:val="231F20"/>
          <w:sz w:val="15"/>
          <w:szCs w:val="15"/>
        </w:rPr>
        <w:t>L</w:t>
      </w:r>
      <w:r>
        <w:rPr>
          <w:rFonts w:ascii="Times New Roman" w:hAnsi="Times New Roman" w:eastAsia="Times New Roman" w:cs="Times New Roman"/>
          <w:color w:val="231F20"/>
          <w:spacing w:val="12"/>
          <w:sz w:val="15"/>
          <w:szCs w:val="15"/>
        </w:rPr>
        <w:t>.</w:t>
      </w:r>
      <w:r>
        <w:rPr>
          <w:rFonts w:ascii="Times New Roman" w:hAnsi="Times New Roman" w:eastAsia="Times New Roman" w:cs="Times New Roman"/>
          <w:color w:val="231F20"/>
          <w:sz w:val="15"/>
          <w:szCs w:val="15"/>
        </w:rPr>
        <w:t>Embedding</w:t>
      </w:r>
      <w:r>
        <w:rPr>
          <w:rFonts w:ascii="Times New Roman" w:hAnsi="Times New Roman" w:eastAsia="Times New Roman" w:cs="Times New Roman"/>
          <w:color w:val="231F20"/>
          <w:spacing w:val="12"/>
          <w:sz w:val="15"/>
          <w:szCs w:val="15"/>
        </w:rPr>
        <w:t xml:space="preserve"> </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12"/>
          <w:sz w:val="15"/>
          <w:szCs w:val="15"/>
        </w:rPr>
        <w:t>:</w:t>
      </w:r>
      <w:r>
        <w:rPr>
          <w:rFonts w:ascii="Times New Roman" w:hAnsi="Times New Roman" w:eastAsia="Times New Roman" w:cs="Times New Roman"/>
          <w:color w:val="231F20"/>
          <w:sz w:val="15"/>
          <w:szCs w:val="15"/>
        </w:rPr>
        <w:t>the</w:t>
      </w:r>
      <w:r>
        <w:rPr>
          <w:rFonts w:ascii="Times New Roman" w:hAnsi="Times New Roman" w:eastAsia="Times New Roman" w:cs="Times New Roman"/>
          <w:color w:val="231F20"/>
          <w:spacing w:val="12"/>
          <w:sz w:val="15"/>
          <w:szCs w:val="15"/>
        </w:rPr>
        <w:t xml:space="preserve"> </w:t>
      </w:r>
      <w:r>
        <w:rPr>
          <w:rFonts w:ascii="Times New Roman" w:hAnsi="Times New Roman" w:eastAsia="Times New Roman" w:cs="Times New Roman"/>
          <w:color w:val="231F20"/>
          <w:sz w:val="15"/>
          <w:szCs w:val="15"/>
        </w:rPr>
        <w:t>challenges</w:t>
      </w:r>
      <w:r>
        <w:rPr>
          <w:rFonts w:ascii="Times New Roman" w:hAnsi="Times New Roman" w:eastAsia="Times New Roman" w:cs="Times New Roman"/>
          <w:color w:val="231F20"/>
          <w:spacing w:val="12"/>
          <w:sz w:val="15"/>
          <w:szCs w:val="15"/>
        </w:rPr>
        <w:t xml:space="preserve"> </w:t>
      </w:r>
      <w:r>
        <w:rPr>
          <w:rFonts w:ascii="Times New Roman" w:hAnsi="Times New Roman" w:eastAsia="Times New Roman" w:cs="Times New Roman"/>
          <w:color w:val="231F20"/>
          <w:sz w:val="15"/>
          <w:szCs w:val="15"/>
        </w:rPr>
        <w:t>for</w:t>
      </w:r>
      <w:r>
        <w:rPr>
          <w:rFonts w:ascii="Times New Roman" w:hAnsi="Times New Roman" w:eastAsia="Times New Roman" w:cs="Times New Roman"/>
          <w:color w:val="231F20"/>
          <w:spacing w:val="12"/>
          <w:sz w:val="15"/>
          <w:szCs w:val="15"/>
        </w:rPr>
        <w:t xml:space="preserve"> </w:t>
      </w:r>
      <w:r>
        <w:rPr>
          <w:rFonts w:ascii="Times New Roman" w:hAnsi="Times New Roman" w:eastAsia="Times New Roman" w:cs="Times New Roman"/>
          <w:color w:val="231F20"/>
          <w:sz w:val="15"/>
          <w:szCs w:val="15"/>
        </w:rPr>
        <w:t>higher</w:t>
      </w:r>
      <w:r>
        <w:rPr>
          <w:rFonts w:ascii="Times New Roman" w:hAnsi="Times New Roman" w:eastAsia="Times New Roman" w:cs="Times New Roman"/>
          <w:color w:val="231F20"/>
          <w:spacing w:val="9"/>
          <w:sz w:val="15"/>
          <w:szCs w:val="15"/>
        </w:rPr>
        <w:t xml:space="preserve"> </w:t>
      </w:r>
      <w:r>
        <w:rPr>
          <w:rFonts w:ascii="Times New Roman" w:hAnsi="Times New Roman" w:eastAsia="Times New Roman" w:cs="Times New Roman"/>
          <w:color w:val="231F20"/>
          <w:sz w:val="15"/>
          <w:szCs w:val="15"/>
        </w:rPr>
        <w:t xml:space="preserve">education </w:t>
      </w:r>
      <w:r>
        <w:rPr>
          <w:rFonts w:ascii="Times New Roman" w:hAnsi="Times New Roman" w:eastAsia="Times New Roman" w:cs="Times New Roman"/>
          <w:color w:val="231F20"/>
          <w:spacing w:val="2"/>
          <w:sz w:val="15"/>
          <w:szCs w:val="15"/>
        </w:rPr>
        <w:t>[J].</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2"/>
          <w:sz w:val="15"/>
          <w:szCs w:val="15"/>
        </w:rPr>
        <w:t xml:space="preserve"> </w:t>
      </w:r>
      <w:r>
        <w:rPr>
          <w:rFonts w:ascii="Times New Roman" w:hAnsi="Times New Roman" w:eastAsia="Times New Roman" w:cs="Times New Roman"/>
          <w:color w:val="231F20"/>
          <w:sz w:val="15"/>
          <w:szCs w:val="15"/>
        </w:rPr>
        <w:t>assurance</w:t>
      </w:r>
      <w:r>
        <w:rPr>
          <w:rFonts w:ascii="Times New Roman" w:hAnsi="Times New Roman" w:eastAsia="Times New Roman" w:cs="Times New Roman"/>
          <w:color w:val="231F20"/>
          <w:spacing w:val="2"/>
          <w:sz w:val="15"/>
          <w:szCs w:val="15"/>
        </w:rPr>
        <w:t xml:space="preserve"> </w:t>
      </w:r>
      <w:r>
        <w:rPr>
          <w:rFonts w:ascii="Times New Roman" w:hAnsi="Times New Roman" w:eastAsia="Times New Roman" w:cs="Times New Roman"/>
          <w:color w:val="231F20"/>
          <w:sz w:val="15"/>
          <w:szCs w:val="15"/>
        </w:rPr>
        <w:t>in</w:t>
      </w:r>
      <w:r>
        <w:rPr>
          <w:rFonts w:ascii="Times New Roman" w:hAnsi="Times New Roman" w:eastAsia="Times New Roman" w:cs="Times New Roman"/>
          <w:color w:val="231F20"/>
          <w:spacing w:val="2"/>
          <w:sz w:val="15"/>
          <w:szCs w:val="15"/>
        </w:rPr>
        <w:t xml:space="preserve"> </w:t>
      </w:r>
      <w:r>
        <w:rPr>
          <w:rFonts w:ascii="Times New Roman" w:hAnsi="Times New Roman" w:eastAsia="Times New Roman" w:cs="Times New Roman"/>
          <w:color w:val="231F20"/>
          <w:sz w:val="15"/>
          <w:szCs w:val="15"/>
        </w:rPr>
        <w:t>education</w:t>
      </w:r>
      <w:r>
        <w:rPr>
          <w:rFonts w:ascii="Times New Roman" w:hAnsi="Times New Roman" w:eastAsia="Times New Roman" w:cs="Times New Roman"/>
          <w:color w:val="231F20"/>
          <w:spacing w:val="2"/>
          <w:sz w:val="15"/>
          <w:szCs w:val="15"/>
        </w:rPr>
        <w:t>,2004</w:t>
      </w:r>
      <w:r>
        <w:rPr>
          <w:rFonts w:ascii="微软雅黑" w:hAnsi="微软雅黑" w:eastAsia="微软雅黑" w:cs="微软雅黑"/>
          <w:color w:val="231F20"/>
          <w:spacing w:val="2"/>
          <w:sz w:val="15"/>
          <w:szCs w:val="15"/>
        </w:rPr>
        <w:t>，</w:t>
      </w:r>
      <w:r>
        <w:rPr>
          <w:rFonts w:ascii="Times New Roman" w:hAnsi="Times New Roman" w:eastAsia="Times New Roman" w:cs="Times New Roman"/>
          <w:color w:val="231F20"/>
          <w:spacing w:val="2"/>
          <w:sz w:val="15"/>
          <w:szCs w:val="15"/>
        </w:rPr>
        <w:t>(4):157-</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pacing w:val="2"/>
          <w:sz w:val="15"/>
          <w:szCs w:val="15"/>
        </w:rPr>
        <w:t>165.</w:t>
      </w:r>
    </w:p>
    <w:p>
      <w:pPr>
        <w:spacing w:before="70" w:line="233" w:lineRule="auto"/>
        <w:ind w:left="1127" w:right="325" w:firstLine="321"/>
        <w:rPr>
          <w:rFonts w:ascii="Times New Roman" w:hAnsi="Times New Roman" w:eastAsia="Times New Roman" w:cs="Times New Roman"/>
          <w:sz w:val="15"/>
          <w:szCs w:val="15"/>
        </w:rPr>
      </w:pPr>
      <w:r>
        <w:rPr>
          <w:rFonts w:ascii="Times New Roman" w:hAnsi="Times New Roman" w:eastAsia="Times New Roman" w:cs="Times New Roman"/>
          <w:color w:val="231F20"/>
          <w:spacing w:val="5"/>
          <w:sz w:val="15"/>
          <w:szCs w:val="15"/>
        </w:rPr>
        <w:t>[15]</w:t>
      </w:r>
      <w:r>
        <w:rPr>
          <w:rFonts w:ascii="微软雅黑" w:hAnsi="微软雅黑" w:eastAsia="微软雅黑" w:cs="微软雅黑"/>
          <w:color w:val="231F20"/>
          <w:spacing w:val="5"/>
          <w:sz w:val="15"/>
          <w:szCs w:val="15"/>
        </w:rPr>
        <w:t>苏永建</w:t>
      </w:r>
      <w:r>
        <w:rPr>
          <w:rFonts w:ascii="微软雅黑" w:hAnsi="微软雅黑" w:eastAsia="微软雅黑" w:cs="微软雅黑"/>
          <w:color w:val="231F20"/>
          <w:spacing w:val="-9"/>
          <w:sz w:val="15"/>
          <w:szCs w:val="15"/>
        </w:rPr>
        <w:t xml:space="preserve"> </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10"/>
          <w:sz w:val="15"/>
          <w:szCs w:val="15"/>
        </w:rPr>
        <w:t xml:space="preserve"> </w:t>
      </w:r>
      <w:r>
        <w:rPr>
          <w:rFonts w:ascii="微软雅黑" w:hAnsi="微软雅黑" w:eastAsia="微软雅黑" w:cs="微软雅黑"/>
          <w:color w:val="231F20"/>
          <w:spacing w:val="5"/>
          <w:sz w:val="15"/>
          <w:szCs w:val="15"/>
        </w:rPr>
        <w:t>高等教育质量保障的历史演进、全球扩散与发展趋</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1"/>
          <w:sz w:val="15"/>
          <w:szCs w:val="15"/>
        </w:rPr>
        <w:t>势</w:t>
      </w:r>
      <w:r>
        <w:rPr>
          <w:rFonts w:ascii="Times New Roman" w:hAnsi="Times New Roman" w:eastAsia="Times New Roman" w:cs="Times New Roman"/>
          <w:color w:val="231F20"/>
          <w:spacing w:val="-1"/>
          <w:sz w:val="15"/>
          <w:szCs w:val="15"/>
        </w:rPr>
        <w:t>[J].</w:t>
      </w:r>
      <w:r>
        <w:rPr>
          <w:rFonts w:ascii="微软雅黑" w:hAnsi="微软雅黑" w:eastAsia="微软雅黑" w:cs="微软雅黑"/>
          <w:color w:val="231F20"/>
          <w:spacing w:val="-1"/>
          <w:sz w:val="15"/>
          <w:szCs w:val="15"/>
        </w:rPr>
        <w:t>高等教育研究，</w:t>
      </w:r>
      <w:r>
        <w:rPr>
          <w:rFonts w:ascii="Times New Roman" w:hAnsi="Times New Roman" w:eastAsia="Times New Roman" w:cs="Times New Roman"/>
          <w:color w:val="231F20"/>
          <w:spacing w:val="-1"/>
          <w:sz w:val="15"/>
          <w:szCs w:val="15"/>
        </w:rPr>
        <w:t>2017</w:t>
      </w:r>
      <w:r>
        <w:rPr>
          <w:rFonts w:ascii="微软雅黑" w:hAnsi="微软雅黑" w:eastAsia="微软雅黑" w:cs="微软雅黑"/>
          <w:color w:val="231F20"/>
          <w:spacing w:val="-1"/>
          <w:sz w:val="15"/>
          <w:szCs w:val="15"/>
        </w:rPr>
        <w:t>，</w:t>
      </w:r>
      <w:r>
        <w:rPr>
          <w:rFonts w:ascii="Times New Roman" w:hAnsi="Times New Roman" w:eastAsia="Times New Roman" w:cs="Times New Roman"/>
          <w:color w:val="231F20"/>
          <w:spacing w:val="-1"/>
          <w:sz w:val="15"/>
          <w:szCs w:val="15"/>
        </w:rPr>
        <w:t>(12):1-</w:t>
      </w:r>
      <w:r>
        <w:rPr>
          <w:rFonts w:ascii="Times New Roman" w:hAnsi="Times New Roman" w:eastAsia="Times New Roman" w:cs="Times New Roman"/>
          <w:color w:val="231F20"/>
          <w:spacing w:val="-11"/>
          <w:sz w:val="15"/>
          <w:szCs w:val="15"/>
        </w:rPr>
        <w:t xml:space="preserve"> </w:t>
      </w:r>
      <w:r>
        <w:rPr>
          <w:rFonts w:ascii="Times New Roman" w:hAnsi="Times New Roman" w:eastAsia="Times New Roman" w:cs="Times New Roman"/>
          <w:color w:val="231F20"/>
          <w:spacing w:val="-1"/>
          <w:sz w:val="15"/>
          <w:szCs w:val="15"/>
        </w:rPr>
        <w:t>11.</w:t>
      </w:r>
    </w:p>
    <w:p>
      <w:pPr>
        <w:spacing w:before="70" w:line="202" w:lineRule="auto"/>
        <w:ind w:left="1448"/>
        <w:rPr>
          <w:rFonts w:ascii="Times New Roman" w:hAnsi="Times New Roman" w:eastAsia="Times New Roman" w:cs="Times New Roman"/>
          <w:sz w:val="15"/>
          <w:szCs w:val="15"/>
        </w:rPr>
      </w:pPr>
      <w:r>
        <w:rPr>
          <w:rFonts w:ascii="Times New Roman" w:hAnsi="Times New Roman" w:eastAsia="Times New Roman" w:cs="Times New Roman"/>
          <w:color w:val="231F20"/>
          <w:spacing w:val="3"/>
          <w:sz w:val="15"/>
          <w:szCs w:val="15"/>
        </w:rPr>
        <w:t>[16]</w:t>
      </w:r>
      <w:r>
        <w:rPr>
          <w:rFonts w:ascii="微软雅黑" w:hAnsi="微软雅黑" w:eastAsia="微软雅黑" w:cs="微软雅黑"/>
          <w:color w:val="231F20"/>
          <w:spacing w:val="3"/>
          <w:sz w:val="15"/>
          <w:szCs w:val="15"/>
        </w:rPr>
        <w:t>刘济良</w:t>
      </w:r>
      <w:r>
        <w:rPr>
          <w:rFonts w:ascii="微软雅黑" w:hAnsi="微软雅黑" w:eastAsia="微软雅黑" w:cs="微软雅黑"/>
          <w:color w:val="231F20"/>
          <w:spacing w:val="-19"/>
          <w:sz w:val="15"/>
          <w:szCs w:val="15"/>
        </w:rPr>
        <w:t xml:space="preserve"> </w:t>
      </w:r>
      <w:r>
        <w:rPr>
          <w:rFonts w:ascii="Times New Roman" w:hAnsi="Times New Roman" w:eastAsia="Times New Roman" w:cs="Times New Roman"/>
          <w:color w:val="231F20"/>
          <w:spacing w:val="3"/>
          <w:sz w:val="15"/>
          <w:szCs w:val="15"/>
        </w:rPr>
        <w:t>.</w:t>
      </w:r>
      <w:r>
        <w:rPr>
          <w:rFonts w:ascii="Times New Roman" w:hAnsi="Times New Roman" w:eastAsia="Times New Roman" w:cs="Times New Roman"/>
          <w:color w:val="231F20"/>
          <w:spacing w:val="-16"/>
          <w:sz w:val="15"/>
          <w:szCs w:val="15"/>
        </w:rPr>
        <w:t xml:space="preserve"> </w:t>
      </w:r>
      <w:r>
        <w:rPr>
          <w:rFonts w:ascii="微软雅黑" w:hAnsi="微软雅黑" w:eastAsia="微软雅黑" w:cs="微软雅黑"/>
          <w:color w:val="231F20"/>
          <w:spacing w:val="3"/>
          <w:sz w:val="15"/>
          <w:szCs w:val="15"/>
        </w:rPr>
        <w:t>生命教育论</w:t>
      </w:r>
      <w:r>
        <w:rPr>
          <w:rFonts w:ascii="Times New Roman" w:hAnsi="Times New Roman" w:eastAsia="Times New Roman" w:cs="Times New Roman"/>
          <w:color w:val="231F20"/>
          <w:spacing w:val="3"/>
          <w:sz w:val="15"/>
          <w:szCs w:val="15"/>
        </w:rPr>
        <w:t>[M].</w:t>
      </w:r>
      <w:r>
        <w:rPr>
          <w:rFonts w:ascii="微软雅黑" w:hAnsi="微软雅黑" w:eastAsia="微软雅黑" w:cs="微软雅黑"/>
          <w:color w:val="231F20"/>
          <w:spacing w:val="3"/>
          <w:sz w:val="15"/>
          <w:szCs w:val="15"/>
        </w:rPr>
        <w:t>北京</w:t>
      </w:r>
      <w:r>
        <w:rPr>
          <w:rFonts w:ascii="Times New Roman" w:hAnsi="Times New Roman" w:eastAsia="Times New Roman" w:cs="Times New Roman"/>
          <w:color w:val="231F20"/>
          <w:spacing w:val="3"/>
          <w:sz w:val="15"/>
          <w:szCs w:val="15"/>
        </w:rPr>
        <w:t>:</w:t>
      </w:r>
      <w:r>
        <w:rPr>
          <w:rFonts w:ascii="微软雅黑" w:hAnsi="微软雅黑" w:eastAsia="微软雅黑" w:cs="微软雅黑"/>
          <w:color w:val="231F20"/>
          <w:spacing w:val="3"/>
          <w:sz w:val="15"/>
          <w:szCs w:val="15"/>
        </w:rPr>
        <w:t>中国社会科学出版社</w:t>
      </w:r>
      <w:r>
        <w:rPr>
          <w:rFonts w:ascii="Times New Roman" w:hAnsi="Times New Roman" w:eastAsia="Times New Roman" w:cs="Times New Roman"/>
          <w:color w:val="231F20"/>
          <w:spacing w:val="3"/>
          <w:sz w:val="15"/>
          <w:szCs w:val="15"/>
        </w:rPr>
        <w:t>,2</w:t>
      </w:r>
      <w:r>
        <w:rPr>
          <w:rFonts w:ascii="Times New Roman" w:hAnsi="Times New Roman" w:eastAsia="Times New Roman" w:cs="Times New Roman"/>
          <w:color w:val="231F20"/>
          <w:spacing w:val="2"/>
          <w:sz w:val="15"/>
          <w:szCs w:val="15"/>
        </w:rPr>
        <w:t>004:189.</w:t>
      </w:r>
    </w:p>
    <w:p>
      <w:pPr>
        <w:spacing w:before="69" w:line="236" w:lineRule="auto"/>
        <w:ind w:left="1127" w:right="325" w:firstLine="321"/>
        <w:rPr>
          <w:rFonts w:ascii="Times New Roman" w:hAnsi="Times New Roman" w:eastAsia="Times New Roman" w:cs="Times New Roman"/>
          <w:sz w:val="15"/>
          <w:szCs w:val="15"/>
        </w:rPr>
      </w:pPr>
      <w:r>
        <w:rPr>
          <w:rFonts w:ascii="Times New Roman" w:hAnsi="Times New Roman" w:eastAsia="Times New Roman" w:cs="Times New Roman"/>
          <w:color w:val="231F20"/>
          <w:spacing w:val="7"/>
          <w:sz w:val="15"/>
          <w:szCs w:val="15"/>
        </w:rPr>
        <w:t>[18][19](</w:t>
      </w:r>
      <w:r>
        <w:rPr>
          <w:rFonts w:ascii="微软雅黑" w:hAnsi="微软雅黑" w:eastAsia="微软雅黑" w:cs="微软雅黑"/>
          <w:color w:val="231F20"/>
          <w:spacing w:val="7"/>
          <w:sz w:val="15"/>
          <w:szCs w:val="15"/>
        </w:rPr>
        <w:t>西班牙</w:t>
      </w:r>
      <w:r>
        <w:rPr>
          <w:rFonts w:ascii="Times New Roman" w:hAnsi="Times New Roman" w:eastAsia="Times New Roman" w:cs="Times New Roman"/>
          <w:color w:val="231F20"/>
          <w:spacing w:val="7"/>
          <w:sz w:val="15"/>
          <w:szCs w:val="15"/>
        </w:rPr>
        <w:t>)</w:t>
      </w:r>
      <w:r>
        <w:rPr>
          <w:rFonts w:ascii="微软雅黑" w:hAnsi="微软雅黑" w:eastAsia="微软雅黑" w:cs="微软雅黑"/>
          <w:color w:val="231F20"/>
          <w:spacing w:val="7"/>
          <w:sz w:val="15"/>
          <w:szCs w:val="15"/>
        </w:rPr>
        <w:t>奥尔托加</w:t>
      </w:r>
      <w:r>
        <w:rPr>
          <w:rFonts w:ascii="微软雅黑" w:hAnsi="微软雅黑" w:eastAsia="微软雅黑" w:cs="微软雅黑"/>
          <w:color w:val="231F20"/>
          <w:spacing w:val="-5"/>
          <w:sz w:val="15"/>
          <w:szCs w:val="15"/>
        </w:rPr>
        <w:t xml:space="preserve"> </w:t>
      </w:r>
      <w:r>
        <w:rPr>
          <w:rFonts w:ascii="Times New Roman" w:hAnsi="Times New Roman" w:eastAsia="Times New Roman" w:cs="Times New Roman"/>
          <w:color w:val="231F20"/>
          <w:spacing w:val="7"/>
          <w:sz w:val="15"/>
          <w:szCs w:val="15"/>
        </w:rPr>
        <w:t xml:space="preserve">. </w:t>
      </w:r>
      <w:r>
        <w:rPr>
          <w:rFonts w:ascii="微软雅黑" w:hAnsi="微软雅黑" w:eastAsia="微软雅黑" w:cs="微软雅黑"/>
          <w:color w:val="231F20"/>
          <w:spacing w:val="7"/>
          <w:sz w:val="15"/>
          <w:szCs w:val="15"/>
        </w:rPr>
        <w:t>大学的使命</w:t>
      </w:r>
      <w:r>
        <w:rPr>
          <w:rFonts w:ascii="Times New Roman" w:hAnsi="Times New Roman" w:eastAsia="Times New Roman" w:cs="Times New Roman"/>
          <w:color w:val="231F20"/>
          <w:spacing w:val="7"/>
          <w:sz w:val="15"/>
          <w:szCs w:val="15"/>
        </w:rPr>
        <w:t>[M].</w:t>
      </w:r>
      <w:r>
        <w:rPr>
          <w:rFonts w:ascii="微软雅黑" w:hAnsi="微软雅黑" w:eastAsia="微软雅黑" w:cs="微软雅黑"/>
          <w:color w:val="231F20"/>
          <w:spacing w:val="7"/>
          <w:sz w:val="15"/>
          <w:szCs w:val="15"/>
        </w:rPr>
        <w:t>徐小周</w:t>
      </w:r>
      <w:r>
        <w:rPr>
          <w:rFonts w:ascii="Times New Roman" w:hAnsi="Times New Roman" w:eastAsia="Times New Roman" w:cs="Times New Roman"/>
          <w:color w:val="231F20"/>
          <w:spacing w:val="7"/>
          <w:sz w:val="15"/>
          <w:szCs w:val="15"/>
        </w:rPr>
        <w:t>,</w:t>
      </w:r>
      <w:r>
        <w:rPr>
          <w:rFonts w:ascii="Times New Roman" w:hAnsi="Times New Roman" w:eastAsia="Times New Roman" w:cs="Times New Roman"/>
          <w:color w:val="231F20"/>
          <w:spacing w:val="-18"/>
          <w:sz w:val="15"/>
          <w:szCs w:val="15"/>
        </w:rPr>
        <w:t xml:space="preserve"> </w:t>
      </w:r>
      <w:r>
        <w:rPr>
          <w:rFonts w:ascii="微软雅黑" w:hAnsi="微软雅黑" w:eastAsia="微软雅黑" w:cs="微软雅黑"/>
          <w:color w:val="231F20"/>
          <w:spacing w:val="7"/>
          <w:sz w:val="15"/>
          <w:szCs w:val="15"/>
        </w:rPr>
        <w:t>陈军译</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7"/>
          <w:sz w:val="15"/>
          <w:szCs w:val="15"/>
        </w:rPr>
        <w:t>.</w:t>
      </w:r>
      <w:r>
        <w:rPr>
          <w:rFonts w:ascii="Times New Roman" w:hAnsi="Times New Roman" w:eastAsia="Times New Roman" w:cs="Times New Roman"/>
          <w:color w:val="231F20"/>
          <w:spacing w:val="-6"/>
          <w:sz w:val="15"/>
          <w:szCs w:val="15"/>
        </w:rPr>
        <w:t xml:space="preserve"> </w:t>
      </w:r>
      <w:r>
        <w:rPr>
          <w:rFonts w:ascii="微软雅黑" w:hAnsi="微软雅黑" w:eastAsia="微软雅黑" w:cs="微软雅黑"/>
          <w:color w:val="231F20"/>
          <w:spacing w:val="7"/>
          <w:sz w:val="15"/>
          <w:szCs w:val="15"/>
        </w:rPr>
        <w:t>杭</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5"/>
          <w:sz w:val="15"/>
          <w:szCs w:val="15"/>
        </w:rPr>
        <w:t>州</w:t>
      </w:r>
      <w:r>
        <w:rPr>
          <w:rFonts w:ascii="Times New Roman" w:hAnsi="Times New Roman" w:eastAsia="Times New Roman" w:cs="Times New Roman"/>
          <w:color w:val="231F20"/>
          <w:spacing w:val="5"/>
          <w:sz w:val="15"/>
          <w:szCs w:val="15"/>
        </w:rPr>
        <w:t>:</w:t>
      </w:r>
      <w:r>
        <w:rPr>
          <w:rFonts w:ascii="微软雅黑" w:hAnsi="微软雅黑" w:eastAsia="微软雅黑" w:cs="微软雅黑"/>
          <w:color w:val="231F20"/>
          <w:spacing w:val="5"/>
          <w:sz w:val="15"/>
          <w:szCs w:val="15"/>
        </w:rPr>
        <w:t>浙江教育出版社</w:t>
      </w:r>
      <w:r>
        <w:rPr>
          <w:rFonts w:ascii="Times New Roman" w:hAnsi="Times New Roman" w:eastAsia="Times New Roman" w:cs="Times New Roman"/>
          <w:color w:val="231F20"/>
          <w:spacing w:val="5"/>
          <w:sz w:val="15"/>
          <w:szCs w:val="15"/>
        </w:rPr>
        <w:t>, 2001:55,87.</w:t>
      </w:r>
    </w:p>
    <w:p>
      <w:pPr>
        <w:spacing w:before="63" w:line="259" w:lineRule="auto"/>
        <w:ind w:left="1130" w:right="325" w:firstLine="318"/>
        <w:rPr>
          <w:rFonts w:ascii="Times New Roman" w:hAnsi="Times New Roman" w:eastAsia="Times New Roman" w:cs="Times New Roman"/>
          <w:sz w:val="15"/>
          <w:szCs w:val="15"/>
        </w:rPr>
      </w:pPr>
      <w:r>
        <w:rPr>
          <w:rFonts w:ascii="Times New Roman" w:hAnsi="Times New Roman" w:eastAsia="Times New Roman" w:cs="Times New Roman"/>
          <w:color w:val="231F20"/>
          <w:spacing w:val="5"/>
          <w:sz w:val="15"/>
          <w:szCs w:val="15"/>
        </w:rPr>
        <w:t>[21]</w:t>
      </w:r>
      <w:r>
        <w:rPr>
          <w:rFonts w:ascii="微软雅黑" w:hAnsi="微软雅黑" w:eastAsia="微软雅黑" w:cs="微软雅黑"/>
          <w:color w:val="231F20"/>
          <w:spacing w:val="5"/>
          <w:sz w:val="15"/>
          <w:szCs w:val="15"/>
        </w:rPr>
        <w:t>王建华</w:t>
      </w:r>
      <w:r>
        <w:rPr>
          <w:rFonts w:ascii="微软雅黑" w:hAnsi="微软雅黑" w:eastAsia="微软雅黑" w:cs="微软雅黑"/>
          <w:color w:val="231F20"/>
          <w:spacing w:val="-11"/>
          <w:sz w:val="15"/>
          <w:szCs w:val="15"/>
        </w:rPr>
        <w:t xml:space="preserve"> </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9"/>
          <w:sz w:val="15"/>
          <w:szCs w:val="15"/>
        </w:rPr>
        <w:t xml:space="preserve"> </w:t>
      </w:r>
      <w:r>
        <w:rPr>
          <w:rFonts w:ascii="微软雅黑" w:hAnsi="微软雅黑" w:eastAsia="微软雅黑" w:cs="微软雅黑"/>
          <w:color w:val="231F20"/>
          <w:spacing w:val="5"/>
          <w:sz w:val="15"/>
          <w:szCs w:val="15"/>
        </w:rPr>
        <w:t>高等教育质量管理：文化的视角</w:t>
      </w:r>
      <w:r>
        <w:rPr>
          <w:rFonts w:ascii="Times New Roman" w:hAnsi="Times New Roman" w:eastAsia="Times New Roman" w:cs="Times New Roman"/>
          <w:color w:val="231F20"/>
          <w:spacing w:val="5"/>
          <w:sz w:val="15"/>
          <w:szCs w:val="15"/>
        </w:rPr>
        <w:t>[J].</w:t>
      </w:r>
      <w:r>
        <w:rPr>
          <w:rFonts w:ascii="微软雅黑" w:hAnsi="微软雅黑" w:eastAsia="微软雅黑" w:cs="微软雅黑"/>
          <w:color w:val="231F20"/>
          <w:spacing w:val="5"/>
          <w:sz w:val="15"/>
          <w:szCs w:val="15"/>
        </w:rPr>
        <w:t>教育研究</w:t>
      </w:r>
      <w:r>
        <w:rPr>
          <w:rFonts w:ascii="Times New Roman" w:hAnsi="Times New Roman" w:eastAsia="Times New Roman" w:cs="Times New Roman"/>
          <w:color w:val="231F20"/>
          <w:spacing w:val="5"/>
          <w:sz w:val="15"/>
          <w:szCs w:val="15"/>
        </w:rPr>
        <w:t>,2010,</w:t>
      </w:r>
      <w:r>
        <w:rPr>
          <w:rFonts w:ascii="Times New Roman" w:hAnsi="Times New Roman" w:eastAsia="Times New Roman" w:cs="Times New Roman"/>
          <w:color w:val="231F20"/>
          <w:sz w:val="15"/>
          <w:szCs w:val="15"/>
        </w:rPr>
        <w:t xml:space="preserve"> </w:t>
      </w:r>
      <w:r>
        <w:rPr>
          <w:rFonts w:ascii="Times New Roman" w:hAnsi="Times New Roman" w:eastAsia="Times New Roman" w:cs="Times New Roman"/>
          <w:color w:val="231F20"/>
          <w:spacing w:val="4"/>
          <w:sz w:val="15"/>
          <w:szCs w:val="15"/>
        </w:rPr>
        <w:t>(2):57-62.</w:t>
      </w:r>
    </w:p>
    <w:p>
      <w:pPr>
        <w:spacing w:before="107" w:line="200" w:lineRule="auto"/>
        <w:ind w:left="1448"/>
        <w:rPr>
          <w:rFonts w:ascii="Times New Roman" w:hAnsi="Times New Roman" w:eastAsia="Times New Roman" w:cs="Times New Roman"/>
          <w:sz w:val="15"/>
          <w:szCs w:val="15"/>
        </w:rPr>
      </w:pPr>
      <w:r>
        <w:rPr>
          <w:rFonts w:ascii="Times New Roman" w:hAnsi="Times New Roman" w:eastAsia="Times New Roman" w:cs="Times New Roman"/>
          <w:color w:val="231F20"/>
          <w:spacing w:val="1"/>
          <w:sz w:val="15"/>
          <w:szCs w:val="15"/>
        </w:rPr>
        <w:t>[22]</w:t>
      </w:r>
      <w:r>
        <w:rPr>
          <w:rFonts w:ascii="微软雅黑" w:hAnsi="微软雅黑" w:eastAsia="微软雅黑" w:cs="微软雅黑"/>
          <w:color w:val="231F20"/>
          <w:spacing w:val="1"/>
          <w:sz w:val="15"/>
          <w:szCs w:val="15"/>
        </w:rPr>
        <w:t>何茂勋</w:t>
      </w:r>
      <w:r>
        <w:rPr>
          <w:rFonts w:ascii="微软雅黑" w:hAnsi="微软雅黑" w:eastAsia="微软雅黑" w:cs="微软雅黑"/>
          <w:color w:val="231F20"/>
          <w:spacing w:val="-11"/>
          <w:sz w:val="15"/>
          <w:szCs w:val="15"/>
        </w:rPr>
        <w:t xml:space="preserve"> </w:t>
      </w:r>
      <w:r>
        <w:rPr>
          <w:rFonts w:ascii="Times New Roman" w:hAnsi="Times New Roman" w:eastAsia="Times New Roman" w:cs="Times New Roman"/>
          <w:color w:val="231F20"/>
          <w:spacing w:val="1"/>
          <w:sz w:val="15"/>
          <w:szCs w:val="15"/>
        </w:rPr>
        <w:t>.</w:t>
      </w:r>
      <w:r>
        <w:rPr>
          <w:rFonts w:ascii="Times New Roman" w:hAnsi="Times New Roman" w:eastAsia="Times New Roman" w:cs="Times New Roman"/>
          <w:color w:val="231F20"/>
          <w:spacing w:val="-12"/>
          <w:sz w:val="15"/>
          <w:szCs w:val="15"/>
        </w:rPr>
        <w:t xml:space="preserve"> </w:t>
      </w:r>
      <w:r>
        <w:rPr>
          <w:rFonts w:ascii="微软雅黑" w:hAnsi="微软雅黑" w:eastAsia="微软雅黑" w:cs="微软雅黑"/>
          <w:color w:val="231F20"/>
          <w:spacing w:val="1"/>
          <w:sz w:val="15"/>
          <w:szCs w:val="15"/>
        </w:rPr>
        <w:t>高校质量文化论纲</w:t>
      </w:r>
      <w:r>
        <w:rPr>
          <w:rFonts w:ascii="Times New Roman" w:hAnsi="Times New Roman" w:eastAsia="Times New Roman" w:cs="Times New Roman"/>
          <w:color w:val="231F20"/>
          <w:spacing w:val="1"/>
          <w:sz w:val="15"/>
          <w:szCs w:val="15"/>
        </w:rPr>
        <w:t>[J].</w:t>
      </w:r>
      <w:r>
        <w:rPr>
          <w:rFonts w:ascii="微软雅黑" w:hAnsi="微软雅黑" w:eastAsia="微软雅黑" w:cs="微软雅黑"/>
          <w:color w:val="231F20"/>
          <w:spacing w:val="1"/>
          <w:sz w:val="15"/>
          <w:szCs w:val="15"/>
        </w:rPr>
        <w:t>高教论坛，</w:t>
      </w:r>
      <w:r>
        <w:rPr>
          <w:rFonts w:ascii="Times New Roman" w:hAnsi="Times New Roman" w:eastAsia="Times New Roman" w:cs="Times New Roman"/>
          <w:color w:val="231F20"/>
          <w:spacing w:val="1"/>
          <w:sz w:val="15"/>
          <w:szCs w:val="15"/>
        </w:rPr>
        <w:t>2004</w:t>
      </w:r>
      <w:r>
        <w:rPr>
          <w:rFonts w:ascii="微软雅黑" w:hAnsi="微软雅黑" w:eastAsia="微软雅黑" w:cs="微软雅黑"/>
          <w:color w:val="231F20"/>
          <w:spacing w:val="1"/>
          <w:sz w:val="15"/>
          <w:szCs w:val="15"/>
        </w:rPr>
        <w:t>，</w:t>
      </w:r>
      <w:r>
        <w:rPr>
          <w:rFonts w:ascii="Times New Roman" w:hAnsi="Times New Roman" w:eastAsia="Times New Roman" w:cs="Times New Roman"/>
          <w:color w:val="231F20"/>
          <w:spacing w:val="1"/>
          <w:sz w:val="15"/>
          <w:szCs w:val="15"/>
        </w:rPr>
        <w:t>(3):140-</w:t>
      </w:r>
      <w:r>
        <w:rPr>
          <w:rFonts w:ascii="Times New Roman" w:hAnsi="Times New Roman" w:eastAsia="Times New Roman" w:cs="Times New Roman"/>
          <w:color w:val="231F20"/>
          <w:spacing w:val="-19"/>
          <w:sz w:val="15"/>
          <w:szCs w:val="15"/>
        </w:rPr>
        <w:t xml:space="preserve"> </w:t>
      </w:r>
      <w:r>
        <w:rPr>
          <w:rFonts w:ascii="Times New Roman" w:hAnsi="Times New Roman" w:eastAsia="Times New Roman" w:cs="Times New Roman"/>
          <w:color w:val="231F20"/>
          <w:spacing w:val="1"/>
          <w:sz w:val="15"/>
          <w:szCs w:val="15"/>
        </w:rPr>
        <w:t>145.</w:t>
      </w:r>
    </w:p>
    <w:p>
      <w:pPr>
        <w:spacing w:before="77" w:line="356" w:lineRule="auto"/>
        <w:ind w:left="1125" w:right="322" w:firstLine="323"/>
        <w:rPr>
          <w:rFonts w:ascii="Times New Roman" w:hAnsi="Times New Roman" w:eastAsia="Times New Roman" w:cs="Times New Roman"/>
          <w:sz w:val="15"/>
          <w:szCs w:val="15"/>
        </w:rPr>
      </w:pPr>
      <w:r>
        <w:rPr>
          <w:rFonts w:ascii="Times New Roman" w:hAnsi="Times New Roman" w:eastAsia="Times New Roman" w:cs="Times New Roman"/>
          <w:color w:val="231F20"/>
          <w:spacing w:val="13"/>
          <w:sz w:val="15"/>
          <w:szCs w:val="15"/>
        </w:rPr>
        <w:t>[23]</w:t>
      </w:r>
      <w:r>
        <w:rPr>
          <w:rFonts w:ascii="Times New Roman" w:hAnsi="Times New Roman" w:eastAsia="Times New Roman" w:cs="Times New Roman"/>
          <w:color w:val="231F20"/>
          <w:sz w:val="15"/>
          <w:szCs w:val="15"/>
        </w:rPr>
        <w:t>European</w:t>
      </w:r>
      <w:r>
        <w:rPr>
          <w:rFonts w:ascii="Times New Roman" w:hAnsi="Times New Roman" w:eastAsia="Times New Roman" w:cs="Times New Roman"/>
          <w:color w:val="231F20"/>
          <w:spacing w:val="29"/>
          <w:w w:val="102"/>
          <w:sz w:val="15"/>
          <w:szCs w:val="15"/>
        </w:rPr>
        <w:t xml:space="preserve"> </w:t>
      </w:r>
      <w:r>
        <w:rPr>
          <w:rFonts w:ascii="Times New Roman" w:hAnsi="Times New Roman" w:eastAsia="Times New Roman" w:cs="Times New Roman"/>
          <w:color w:val="231F20"/>
          <w:sz w:val="15"/>
          <w:szCs w:val="15"/>
        </w:rPr>
        <w:t>University</w:t>
      </w:r>
      <w:r>
        <w:rPr>
          <w:rFonts w:ascii="Times New Roman" w:hAnsi="Times New Roman" w:eastAsia="Times New Roman" w:cs="Times New Roman"/>
          <w:color w:val="231F20"/>
          <w:spacing w:val="24"/>
          <w:sz w:val="15"/>
          <w:szCs w:val="15"/>
        </w:rPr>
        <w:t xml:space="preserve"> </w:t>
      </w:r>
      <w:r>
        <w:rPr>
          <w:rFonts w:ascii="Times New Roman" w:hAnsi="Times New Roman" w:eastAsia="Times New Roman" w:cs="Times New Roman"/>
          <w:color w:val="231F20"/>
          <w:sz w:val="15"/>
          <w:szCs w:val="15"/>
        </w:rPr>
        <w:t>Association</w:t>
      </w:r>
      <w:r>
        <w:rPr>
          <w:rFonts w:ascii="Times New Roman" w:hAnsi="Times New Roman" w:eastAsia="Times New Roman" w:cs="Times New Roman"/>
          <w:color w:val="231F20"/>
          <w:spacing w:val="13"/>
          <w:sz w:val="15"/>
          <w:szCs w:val="15"/>
        </w:rPr>
        <w:t>.</w:t>
      </w:r>
      <w:r>
        <w:rPr>
          <w:rFonts w:ascii="Times New Roman" w:hAnsi="Times New Roman" w:eastAsia="Times New Roman" w:cs="Times New Roman"/>
          <w:color w:val="231F20"/>
          <w:spacing w:val="27"/>
          <w:w w:val="102"/>
          <w:sz w:val="15"/>
          <w:szCs w:val="15"/>
        </w:rPr>
        <w:t xml:space="preserve"> </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28"/>
          <w:sz w:val="15"/>
          <w:szCs w:val="15"/>
        </w:rPr>
        <w:t xml:space="preserve"> </w:t>
      </w:r>
      <w:r>
        <w:rPr>
          <w:rFonts w:ascii="Times New Roman" w:hAnsi="Times New Roman" w:eastAsia="Times New Roman" w:cs="Times New Roman"/>
          <w:color w:val="231F20"/>
          <w:sz w:val="15"/>
          <w:szCs w:val="15"/>
        </w:rPr>
        <w:t>Culture</w:t>
      </w:r>
      <w:r>
        <w:rPr>
          <w:rFonts w:ascii="Times New Roman" w:hAnsi="Times New Roman" w:eastAsia="Times New Roman" w:cs="Times New Roman"/>
          <w:color w:val="231F20"/>
          <w:spacing w:val="25"/>
          <w:w w:val="101"/>
          <w:sz w:val="15"/>
          <w:szCs w:val="15"/>
        </w:rPr>
        <w:t xml:space="preserve"> </w:t>
      </w:r>
      <w:r>
        <w:rPr>
          <w:rFonts w:ascii="Times New Roman" w:hAnsi="Times New Roman" w:eastAsia="Times New Roman" w:cs="Times New Roman"/>
          <w:color w:val="231F20"/>
          <w:sz w:val="15"/>
          <w:szCs w:val="15"/>
        </w:rPr>
        <w:t>in</w:t>
      </w:r>
      <w:r>
        <w:rPr>
          <w:rFonts w:ascii="Times New Roman" w:hAnsi="Times New Roman" w:eastAsia="Times New Roman" w:cs="Times New Roman"/>
          <w:color w:val="231F20"/>
          <w:spacing w:val="25"/>
          <w:w w:val="101"/>
          <w:sz w:val="15"/>
          <w:szCs w:val="15"/>
        </w:rPr>
        <w:t xml:space="preserve"> </w:t>
      </w:r>
      <w:r>
        <w:rPr>
          <w:rFonts w:ascii="Times New Roman" w:hAnsi="Times New Roman" w:eastAsia="Times New Roman" w:cs="Times New Roman"/>
          <w:color w:val="231F20"/>
          <w:sz w:val="15"/>
          <w:szCs w:val="15"/>
        </w:rPr>
        <w:t xml:space="preserve">European </w:t>
      </w:r>
      <w:r>
        <w:rPr>
          <w:rFonts w:ascii="Times New Roman" w:hAnsi="Times New Roman" w:eastAsia="Times New Roman" w:cs="Times New Roman"/>
          <w:color w:val="231F20"/>
          <w:spacing w:val="2"/>
          <w:sz w:val="15"/>
          <w:szCs w:val="15"/>
        </w:rPr>
        <w:t>Universities:</w:t>
      </w:r>
      <w:r>
        <w:rPr>
          <w:rFonts w:ascii="Times New Roman" w:hAnsi="Times New Roman" w:eastAsia="Times New Roman" w:cs="Times New Roman"/>
          <w:color w:val="231F20"/>
          <w:spacing w:val="32"/>
          <w:w w:val="102"/>
          <w:sz w:val="15"/>
          <w:szCs w:val="15"/>
        </w:rPr>
        <w:t xml:space="preserve"> </w:t>
      </w:r>
      <w:r>
        <w:rPr>
          <w:rFonts w:ascii="Times New Roman" w:hAnsi="Times New Roman" w:eastAsia="Times New Roman" w:cs="Times New Roman"/>
          <w:color w:val="231F20"/>
          <w:spacing w:val="2"/>
          <w:sz w:val="15"/>
          <w:szCs w:val="15"/>
        </w:rPr>
        <w:t>A</w:t>
      </w:r>
      <w:r>
        <w:rPr>
          <w:rFonts w:ascii="Times New Roman" w:hAnsi="Times New Roman" w:eastAsia="Times New Roman" w:cs="Times New Roman"/>
          <w:color w:val="231F20"/>
          <w:spacing w:val="34"/>
          <w:w w:val="102"/>
          <w:sz w:val="15"/>
          <w:szCs w:val="15"/>
        </w:rPr>
        <w:t xml:space="preserve"> </w:t>
      </w:r>
      <w:r>
        <w:rPr>
          <w:rFonts w:ascii="Times New Roman" w:hAnsi="Times New Roman" w:eastAsia="Times New Roman" w:cs="Times New Roman"/>
          <w:color w:val="231F20"/>
          <w:spacing w:val="2"/>
          <w:sz w:val="15"/>
          <w:szCs w:val="15"/>
        </w:rPr>
        <w:t>Bottom-</w:t>
      </w:r>
      <w:r>
        <w:rPr>
          <w:rFonts w:ascii="Times New Roman" w:hAnsi="Times New Roman" w:eastAsia="Times New Roman" w:cs="Times New Roman"/>
          <w:color w:val="231F20"/>
          <w:spacing w:val="-8"/>
          <w:sz w:val="15"/>
          <w:szCs w:val="15"/>
        </w:rPr>
        <w:t xml:space="preserve"> </w:t>
      </w:r>
      <w:r>
        <w:rPr>
          <w:rFonts w:ascii="Times New Roman" w:hAnsi="Times New Roman" w:eastAsia="Times New Roman" w:cs="Times New Roman"/>
          <w:color w:val="231F20"/>
          <w:spacing w:val="2"/>
          <w:sz w:val="15"/>
          <w:szCs w:val="15"/>
        </w:rPr>
        <w:t>up</w:t>
      </w:r>
      <w:r>
        <w:rPr>
          <w:rFonts w:ascii="Times New Roman" w:hAnsi="Times New Roman" w:eastAsia="Times New Roman" w:cs="Times New Roman"/>
          <w:color w:val="231F20"/>
          <w:spacing w:val="31"/>
          <w:w w:val="102"/>
          <w:sz w:val="15"/>
          <w:szCs w:val="15"/>
        </w:rPr>
        <w:t xml:space="preserve"> </w:t>
      </w:r>
      <w:r>
        <w:rPr>
          <w:rFonts w:ascii="Times New Roman" w:hAnsi="Times New Roman" w:eastAsia="Times New Roman" w:cs="Times New Roman"/>
          <w:color w:val="231F20"/>
          <w:spacing w:val="2"/>
          <w:sz w:val="15"/>
          <w:szCs w:val="15"/>
        </w:rPr>
        <w:t>Approac</w:t>
      </w:r>
      <w:r>
        <w:rPr>
          <w:rFonts w:ascii="Times New Roman" w:hAnsi="Times New Roman" w:eastAsia="Times New Roman" w:cs="Times New Roman"/>
          <w:color w:val="231F20"/>
          <w:spacing w:val="1"/>
          <w:sz w:val="15"/>
          <w:szCs w:val="15"/>
        </w:rPr>
        <w:t>h.</w:t>
      </w:r>
      <w:r>
        <w:rPr>
          <w:rFonts w:ascii="Times New Roman" w:hAnsi="Times New Roman" w:eastAsia="Times New Roman" w:cs="Times New Roman"/>
          <w:color w:val="231F20"/>
          <w:spacing w:val="35"/>
          <w:sz w:val="15"/>
          <w:szCs w:val="15"/>
        </w:rPr>
        <w:t xml:space="preserve"> </w:t>
      </w:r>
      <w:r>
        <w:rPr>
          <w:rFonts w:ascii="Times New Roman" w:hAnsi="Times New Roman" w:eastAsia="Times New Roman" w:cs="Times New Roman"/>
          <w:color w:val="231F20"/>
          <w:spacing w:val="1"/>
          <w:sz w:val="15"/>
          <w:szCs w:val="15"/>
        </w:rPr>
        <w:t>Report</w:t>
      </w:r>
      <w:r>
        <w:rPr>
          <w:rFonts w:ascii="Times New Roman" w:hAnsi="Times New Roman" w:eastAsia="Times New Roman" w:cs="Times New Roman"/>
          <w:color w:val="231F20"/>
          <w:spacing w:val="33"/>
          <w:sz w:val="15"/>
          <w:szCs w:val="15"/>
        </w:rPr>
        <w:t xml:space="preserve"> </w:t>
      </w:r>
      <w:r>
        <w:rPr>
          <w:rFonts w:ascii="Times New Roman" w:hAnsi="Times New Roman" w:eastAsia="Times New Roman" w:cs="Times New Roman"/>
          <w:color w:val="231F20"/>
          <w:spacing w:val="1"/>
          <w:sz w:val="15"/>
          <w:szCs w:val="15"/>
        </w:rPr>
        <w:t>on</w:t>
      </w:r>
      <w:r>
        <w:rPr>
          <w:rFonts w:ascii="Times New Roman" w:hAnsi="Times New Roman" w:eastAsia="Times New Roman" w:cs="Times New Roman"/>
          <w:color w:val="231F20"/>
          <w:spacing w:val="31"/>
          <w:sz w:val="15"/>
          <w:szCs w:val="15"/>
        </w:rPr>
        <w:t xml:space="preserve"> </w:t>
      </w:r>
      <w:r>
        <w:rPr>
          <w:rFonts w:ascii="Times New Roman" w:hAnsi="Times New Roman" w:eastAsia="Times New Roman" w:cs="Times New Roman"/>
          <w:color w:val="231F20"/>
          <w:spacing w:val="1"/>
          <w:sz w:val="15"/>
          <w:szCs w:val="15"/>
        </w:rPr>
        <w:t>the</w:t>
      </w:r>
      <w:r>
        <w:rPr>
          <w:rFonts w:ascii="Times New Roman" w:hAnsi="Times New Roman" w:eastAsia="Times New Roman" w:cs="Times New Roman"/>
          <w:color w:val="231F20"/>
          <w:spacing w:val="30"/>
          <w:sz w:val="15"/>
          <w:szCs w:val="15"/>
        </w:rPr>
        <w:t xml:space="preserve"> </w:t>
      </w:r>
      <w:r>
        <w:rPr>
          <w:rFonts w:ascii="Times New Roman" w:hAnsi="Times New Roman" w:eastAsia="Times New Roman" w:cs="Times New Roman"/>
          <w:color w:val="231F20"/>
          <w:spacing w:val="1"/>
          <w:sz w:val="15"/>
          <w:szCs w:val="15"/>
        </w:rPr>
        <w:t>Three</w:t>
      </w:r>
      <w:r>
        <w:rPr>
          <w:rFonts w:ascii="Times New Roman" w:hAnsi="Times New Roman" w:eastAsia="Times New Roman" w:cs="Times New Roman"/>
          <w:color w:val="231F20"/>
          <w:spacing w:val="35"/>
          <w:sz w:val="15"/>
          <w:szCs w:val="15"/>
        </w:rPr>
        <w:t xml:space="preserve"> </w:t>
      </w:r>
      <w:r>
        <w:rPr>
          <w:rFonts w:ascii="Times New Roman" w:hAnsi="Times New Roman" w:eastAsia="Times New Roman" w:cs="Times New Roman"/>
          <w:color w:val="231F20"/>
          <w:spacing w:val="1"/>
          <w:sz w:val="15"/>
          <w:szCs w:val="15"/>
        </w:rPr>
        <w:t>Rounds</w:t>
      </w:r>
      <w:r>
        <w:rPr>
          <w:rFonts w:ascii="Times New Roman" w:hAnsi="Times New Roman" w:eastAsia="Times New Roman" w:cs="Times New Roman"/>
          <w:color w:val="231F20"/>
          <w:spacing w:val="33"/>
          <w:sz w:val="15"/>
          <w:szCs w:val="15"/>
        </w:rPr>
        <w:t xml:space="preserve"> </w:t>
      </w:r>
      <w:r>
        <w:rPr>
          <w:rFonts w:ascii="Times New Roman" w:hAnsi="Times New Roman" w:eastAsia="Times New Roman" w:cs="Times New Roman"/>
          <w:color w:val="231F20"/>
          <w:spacing w:val="1"/>
          <w:sz w:val="15"/>
          <w:szCs w:val="15"/>
        </w:rPr>
        <w:t>of</w:t>
      </w:r>
      <w:r>
        <w:rPr>
          <w:rFonts w:ascii="Times New Roman" w:hAnsi="Times New Roman" w:eastAsia="Times New Roman" w:cs="Times New Roman"/>
          <w:color w:val="231F20"/>
          <w:sz w:val="15"/>
          <w:szCs w:val="15"/>
        </w:rPr>
        <w:t xml:space="preserve"> the</w:t>
      </w:r>
      <w:r>
        <w:rPr>
          <w:rFonts w:ascii="Times New Roman" w:hAnsi="Times New Roman" w:eastAsia="Times New Roman" w:cs="Times New Roman"/>
          <w:color w:val="231F20"/>
          <w:spacing w:val="33"/>
          <w:w w:val="102"/>
          <w:sz w:val="15"/>
          <w:szCs w:val="15"/>
        </w:rPr>
        <w:t xml:space="preserve"> </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29"/>
          <w:sz w:val="15"/>
          <w:szCs w:val="15"/>
        </w:rPr>
        <w:t xml:space="preserve"> </w:t>
      </w:r>
      <w:r>
        <w:rPr>
          <w:rFonts w:ascii="Times New Roman" w:hAnsi="Times New Roman" w:eastAsia="Times New Roman" w:cs="Times New Roman"/>
          <w:color w:val="231F20"/>
          <w:sz w:val="15"/>
          <w:szCs w:val="15"/>
        </w:rPr>
        <w:t>Culture</w:t>
      </w:r>
      <w:r>
        <w:rPr>
          <w:rFonts w:ascii="Times New Roman" w:hAnsi="Times New Roman" w:eastAsia="Times New Roman" w:cs="Times New Roman"/>
          <w:color w:val="231F20"/>
          <w:spacing w:val="25"/>
          <w:w w:val="101"/>
          <w:sz w:val="15"/>
          <w:szCs w:val="15"/>
        </w:rPr>
        <w:t xml:space="preserve"> </w:t>
      </w:r>
      <w:r>
        <w:rPr>
          <w:rFonts w:ascii="Times New Roman" w:hAnsi="Times New Roman" w:eastAsia="Times New Roman" w:cs="Times New Roman"/>
          <w:color w:val="231F20"/>
          <w:sz w:val="15"/>
          <w:szCs w:val="15"/>
        </w:rPr>
        <w:t>Project</w:t>
      </w:r>
      <w:r>
        <w:rPr>
          <w:rFonts w:ascii="Times New Roman" w:hAnsi="Times New Roman" w:eastAsia="Times New Roman" w:cs="Times New Roman"/>
          <w:color w:val="231F20"/>
          <w:spacing w:val="29"/>
          <w:sz w:val="15"/>
          <w:szCs w:val="15"/>
        </w:rPr>
        <w:t xml:space="preserve"> </w:t>
      </w:r>
      <w:r>
        <w:rPr>
          <w:rFonts w:ascii="Times New Roman" w:hAnsi="Times New Roman" w:eastAsia="Times New Roman" w:cs="Times New Roman"/>
          <w:color w:val="231F20"/>
          <w:spacing w:val="12"/>
          <w:sz w:val="15"/>
          <w:szCs w:val="15"/>
        </w:rPr>
        <w:t>2002-</w:t>
      </w:r>
      <w:r>
        <w:rPr>
          <w:rFonts w:ascii="Times New Roman" w:hAnsi="Times New Roman" w:eastAsia="Times New Roman" w:cs="Times New Roman"/>
          <w:color w:val="231F20"/>
          <w:spacing w:val="-14"/>
          <w:sz w:val="15"/>
          <w:szCs w:val="15"/>
        </w:rPr>
        <w:t xml:space="preserve"> </w:t>
      </w:r>
      <w:r>
        <w:rPr>
          <w:rFonts w:ascii="Times New Roman" w:hAnsi="Times New Roman" w:eastAsia="Times New Roman" w:cs="Times New Roman"/>
          <w:color w:val="231F20"/>
          <w:spacing w:val="12"/>
          <w:sz w:val="15"/>
          <w:szCs w:val="15"/>
        </w:rPr>
        <w:t>2006.</w:t>
      </w:r>
      <w:r>
        <w:rPr>
          <w:rFonts w:ascii="Times New Roman" w:hAnsi="Times New Roman" w:eastAsia="Times New Roman" w:cs="Times New Roman"/>
          <w:color w:val="231F20"/>
          <w:spacing w:val="28"/>
          <w:w w:val="102"/>
          <w:sz w:val="15"/>
          <w:szCs w:val="15"/>
        </w:rPr>
        <w:t xml:space="preserve"> </w:t>
      </w:r>
      <w:r>
        <w:rPr>
          <w:rFonts w:ascii="Times New Roman" w:hAnsi="Times New Roman" w:eastAsia="Times New Roman" w:cs="Times New Roman"/>
          <w:color w:val="231F20"/>
          <w:sz w:val="15"/>
          <w:szCs w:val="15"/>
        </w:rPr>
        <w:t>Brussels</w:t>
      </w:r>
      <w:r>
        <w:rPr>
          <w:rFonts w:ascii="Times New Roman" w:hAnsi="Times New Roman" w:eastAsia="Times New Roman" w:cs="Times New Roman"/>
          <w:color w:val="231F20"/>
          <w:spacing w:val="12"/>
          <w:sz w:val="15"/>
          <w:szCs w:val="15"/>
        </w:rPr>
        <w:t>:</w:t>
      </w:r>
      <w:r>
        <w:rPr>
          <w:rFonts w:ascii="Times New Roman" w:hAnsi="Times New Roman" w:eastAsia="Times New Roman" w:cs="Times New Roman"/>
          <w:color w:val="231F20"/>
          <w:spacing w:val="26"/>
          <w:w w:val="101"/>
          <w:sz w:val="15"/>
          <w:szCs w:val="15"/>
        </w:rPr>
        <w:t xml:space="preserve"> </w:t>
      </w:r>
      <w:r>
        <w:rPr>
          <w:rFonts w:ascii="Times New Roman" w:hAnsi="Times New Roman" w:eastAsia="Times New Roman" w:cs="Times New Roman"/>
          <w:color w:val="231F20"/>
          <w:sz w:val="15"/>
          <w:szCs w:val="15"/>
        </w:rPr>
        <w:t>European</w:t>
      </w:r>
      <w:r>
        <w:rPr>
          <w:rFonts w:ascii="Times New Roman" w:hAnsi="Times New Roman" w:eastAsia="Times New Roman" w:cs="Times New Roman"/>
          <w:color w:val="231F20"/>
          <w:spacing w:val="27"/>
          <w:w w:val="101"/>
          <w:sz w:val="15"/>
          <w:szCs w:val="15"/>
        </w:rPr>
        <w:t xml:space="preserve"> </w:t>
      </w:r>
      <w:r>
        <w:rPr>
          <w:rFonts w:ascii="Times New Roman" w:hAnsi="Times New Roman" w:eastAsia="Times New Roman" w:cs="Times New Roman"/>
          <w:color w:val="231F20"/>
          <w:sz w:val="15"/>
          <w:szCs w:val="15"/>
        </w:rPr>
        <w:t>University Association</w:t>
      </w:r>
      <w:r>
        <w:rPr>
          <w:rFonts w:ascii="Times New Roman" w:hAnsi="Times New Roman" w:eastAsia="Times New Roman" w:cs="Times New Roman"/>
          <w:color w:val="231F20"/>
          <w:spacing w:val="5"/>
          <w:sz w:val="15"/>
          <w:szCs w:val="15"/>
        </w:rPr>
        <w:t>. 2006.</w:t>
      </w:r>
    </w:p>
    <w:p>
      <w:pPr>
        <w:spacing w:before="112" w:line="236" w:lineRule="auto"/>
        <w:ind w:left="1123" w:right="325" w:firstLine="325"/>
        <w:rPr>
          <w:rFonts w:ascii="Times New Roman" w:hAnsi="Times New Roman" w:eastAsia="Times New Roman" w:cs="Times New Roman"/>
          <w:sz w:val="15"/>
          <w:szCs w:val="15"/>
        </w:rPr>
      </w:pPr>
      <w:r>
        <w:rPr>
          <w:rFonts w:ascii="Times New Roman" w:hAnsi="Times New Roman" w:eastAsia="Times New Roman" w:cs="Times New Roman"/>
          <w:color w:val="231F20"/>
          <w:spacing w:val="9"/>
          <w:sz w:val="15"/>
          <w:szCs w:val="15"/>
        </w:rPr>
        <w:t>[24]</w:t>
      </w:r>
      <w:r>
        <w:rPr>
          <w:rFonts w:ascii="Times New Roman" w:hAnsi="Times New Roman" w:eastAsia="Times New Roman" w:cs="Times New Roman"/>
          <w:color w:val="231F20"/>
          <w:spacing w:val="16"/>
          <w:w w:val="102"/>
          <w:sz w:val="15"/>
          <w:szCs w:val="15"/>
        </w:rPr>
        <w:t xml:space="preserve"> </w:t>
      </w:r>
      <w:r>
        <w:rPr>
          <w:rFonts w:ascii="Times New Roman" w:hAnsi="Times New Roman" w:eastAsia="Times New Roman" w:cs="Times New Roman"/>
          <w:color w:val="231F20"/>
          <w:spacing w:val="9"/>
          <w:sz w:val="15"/>
          <w:szCs w:val="15"/>
        </w:rPr>
        <w:t>(</w:t>
      </w:r>
      <w:r>
        <w:rPr>
          <w:rFonts w:ascii="微软雅黑" w:hAnsi="微软雅黑" w:eastAsia="微软雅黑" w:cs="微软雅黑"/>
          <w:color w:val="231F20"/>
          <w:spacing w:val="9"/>
          <w:sz w:val="15"/>
          <w:szCs w:val="15"/>
        </w:rPr>
        <w:t>英</w:t>
      </w:r>
      <w:r>
        <w:rPr>
          <w:rFonts w:ascii="Times New Roman" w:hAnsi="Times New Roman" w:eastAsia="Times New Roman" w:cs="Times New Roman"/>
          <w:color w:val="231F20"/>
          <w:spacing w:val="9"/>
          <w:sz w:val="15"/>
          <w:szCs w:val="15"/>
        </w:rPr>
        <w:t>)</w:t>
      </w:r>
      <w:r>
        <w:rPr>
          <w:rFonts w:ascii="微软雅黑" w:hAnsi="微软雅黑" w:eastAsia="微软雅黑" w:cs="微软雅黑"/>
          <w:color w:val="231F20"/>
          <w:spacing w:val="9"/>
          <w:sz w:val="15"/>
          <w:szCs w:val="15"/>
        </w:rPr>
        <w:t>阿什比</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9"/>
          <w:sz w:val="15"/>
          <w:szCs w:val="15"/>
        </w:rPr>
        <w:t>.</w:t>
      </w:r>
      <w:r>
        <w:rPr>
          <w:rFonts w:ascii="Times New Roman" w:hAnsi="Times New Roman" w:eastAsia="Times New Roman" w:cs="Times New Roman"/>
          <w:color w:val="231F20"/>
          <w:spacing w:val="-10"/>
          <w:sz w:val="15"/>
          <w:szCs w:val="15"/>
        </w:rPr>
        <w:t xml:space="preserve"> </w:t>
      </w:r>
      <w:r>
        <w:rPr>
          <w:rFonts w:ascii="微软雅黑" w:hAnsi="微软雅黑" w:eastAsia="微软雅黑" w:cs="微软雅黑"/>
          <w:color w:val="231F20"/>
          <w:spacing w:val="9"/>
          <w:sz w:val="15"/>
          <w:szCs w:val="15"/>
        </w:rPr>
        <w:t>科技发达时代的大学教育</w:t>
      </w:r>
      <w:r>
        <w:rPr>
          <w:rFonts w:ascii="Times New Roman" w:hAnsi="Times New Roman" w:eastAsia="Times New Roman" w:cs="Times New Roman"/>
          <w:color w:val="231F20"/>
          <w:spacing w:val="9"/>
          <w:sz w:val="15"/>
          <w:szCs w:val="15"/>
        </w:rPr>
        <w:t>[M].</w:t>
      </w:r>
      <w:r>
        <w:rPr>
          <w:rFonts w:ascii="微软雅黑" w:hAnsi="微软雅黑" w:eastAsia="微软雅黑" w:cs="微软雅黑"/>
          <w:color w:val="231F20"/>
          <w:spacing w:val="9"/>
          <w:sz w:val="15"/>
          <w:szCs w:val="15"/>
        </w:rPr>
        <w:t>腾大</w:t>
      </w:r>
      <w:r>
        <w:rPr>
          <w:rFonts w:ascii="微软雅黑" w:hAnsi="微软雅黑" w:eastAsia="微软雅黑" w:cs="微软雅黑"/>
          <w:color w:val="231F20"/>
          <w:spacing w:val="8"/>
          <w:sz w:val="15"/>
          <w:szCs w:val="15"/>
        </w:rPr>
        <w:t>春</w:t>
      </w:r>
      <w:r>
        <w:rPr>
          <w:rFonts w:ascii="Times New Roman" w:hAnsi="Times New Roman" w:eastAsia="Times New Roman" w:cs="Times New Roman"/>
          <w:color w:val="231F20"/>
          <w:spacing w:val="8"/>
          <w:sz w:val="15"/>
          <w:szCs w:val="15"/>
        </w:rPr>
        <w:t>,</w:t>
      </w:r>
      <w:r>
        <w:rPr>
          <w:rFonts w:ascii="微软雅黑" w:hAnsi="微软雅黑" w:eastAsia="微软雅黑" w:cs="微软雅黑"/>
          <w:color w:val="231F20"/>
          <w:spacing w:val="8"/>
          <w:sz w:val="15"/>
          <w:szCs w:val="15"/>
        </w:rPr>
        <w:t>腾大生</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4"/>
          <w:sz w:val="15"/>
          <w:szCs w:val="15"/>
        </w:rPr>
        <w:t>译</w:t>
      </w:r>
      <w:r>
        <w:rPr>
          <w:rFonts w:ascii="微软雅黑" w:hAnsi="微软雅黑" w:eastAsia="微软雅黑" w:cs="微软雅黑"/>
          <w:color w:val="231F20"/>
          <w:spacing w:val="-1"/>
          <w:sz w:val="15"/>
          <w:szCs w:val="15"/>
        </w:rPr>
        <w:t xml:space="preserve"> </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pacing w:val="-14"/>
          <w:sz w:val="15"/>
          <w:szCs w:val="15"/>
        </w:rPr>
        <w:t xml:space="preserve"> </w:t>
      </w:r>
      <w:r>
        <w:rPr>
          <w:rFonts w:ascii="微软雅黑" w:hAnsi="微软雅黑" w:eastAsia="微软雅黑" w:cs="微软雅黑"/>
          <w:color w:val="231F20"/>
          <w:spacing w:val="4"/>
          <w:sz w:val="15"/>
          <w:szCs w:val="15"/>
        </w:rPr>
        <w:t>北京</w:t>
      </w:r>
      <w:r>
        <w:rPr>
          <w:rFonts w:ascii="Times New Roman" w:hAnsi="Times New Roman" w:eastAsia="Times New Roman" w:cs="Times New Roman"/>
          <w:color w:val="231F20"/>
          <w:spacing w:val="4"/>
          <w:sz w:val="15"/>
          <w:szCs w:val="15"/>
        </w:rPr>
        <w:t>:</w:t>
      </w:r>
      <w:r>
        <w:rPr>
          <w:rFonts w:ascii="微软雅黑" w:hAnsi="微软雅黑" w:eastAsia="微软雅黑" w:cs="微软雅黑"/>
          <w:color w:val="231F20"/>
          <w:spacing w:val="4"/>
          <w:sz w:val="15"/>
          <w:szCs w:val="15"/>
        </w:rPr>
        <w:t>人民教育出版社</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pacing w:val="-20"/>
          <w:sz w:val="15"/>
          <w:szCs w:val="15"/>
        </w:rPr>
        <w:t xml:space="preserve"> </w:t>
      </w:r>
      <w:r>
        <w:rPr>
          <w:rFonts w:ascii="Times New Roman" w:hAnsi="Times New Roman" w:eastAsia="Times New Roman" w:cs="Times New Roman"/>
          <w:color w:val="231F20"/>
          <w:spacing w:val="4"/>
          <w:sz w:val="15"/>
          <w:szCs w:val="15"/>
        </w:rPr>
        <w:t>1983:94.</w:t>
      </w:r>
    </w:p>
    <w:p>
      <w:pPr>
        <w:spacing w:before="71" w:line="317" w:lineRule="auto"/>
        <w:ind w:left="1127" w:right="331" w:firstLine="321"/>
        <w:rPr>
          <w:rFonts w:ascii="Times New Roman" w:hAnsi="Times New Roman" w:eastAsia="Times New Roman" w:cs="Times New Roman"/>
          <w:sz w:val="15"/>
          <w:szCs w:val="15"/>
        </w:rPr>
      </w:pPr>
      <w:r>
        <w:rPr>
          <w:rFonts w:ascii="Times New Roman" w:hAnsi="Times New Roman" w:eastAsia="Times New Roman" w:cs="Times New Roman"/>
          <w:color w:val="231F20"/>
          <w:spacing w:val="5"/>
          <w:sz w:val="15"/>
          <w:szCs w:val="15"/>
        </w:rPr>
        <w:t xml:space="preserve">[25]  </w:t>
      </w:r>
      <w:r>
        <w:rPr>
          <w:rFonts w:ascii="Times New Roman" w:hAnsi="Times New Roman" w:eastAsia="Times New Roman" w:cs="Times New Roman"/>
          <w:color w:val="231F20"/>
          <w:sz w:val="15"/>
          <w:szCs w:val="15"/>
        </w:rPr>
        <w:t>Ulf</w:t>
      </w:r>
      <w:r>
        <w:rPr>
          <w:rFonts w:ascii="Times New Roman" w:hAnsi="Times New Roman" w:eastAsia="Times New Roman" w:cs="Times New Roman"/>
          <w:color w:val="231F20"/>
          <w:spacing w:val="5"/>
          <w:sz w:val="15"/>
          <w:szCs w:val="15"/>
        </w:rPr>
        <w:t xml:space="preserve">  </w:t>
      </w:r>
      <w:r>
        <w:rPr>
          <w:rFonts w:ascii="Times New Roman" w:hAnsi="Times New Roman" w:eastAsia="Times New Roman" w:cs="Times New Roman"/>
          <w:color w:val="231F20"/>
          <w:sz w:val="15"/>
          <w:szCs w:val="15"/>
        </w:rPr>
        <w:t>E</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z w:val="15"/>
          <w:szCs w:val="15"/>
        </w:rPr>
        <w:t>Understanding</w:t>
      </w:r>
      <w:r>
        <w:rPr>
          <w:rFonts w:ascii="Times New Roman" w:hAnsi="Times New Roman" w:eastAsia="Times New Roman" w:cs="Times New Roman"/>
          <w:color w:val="231F20"/>
          <w:spacing w:val="5"/>
          <w:sz w:val="15"/>
          <w:szCs w:val="15"/>
        </w:rPr>
        <w:t xml:space="preserve">  </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5"/>
          <w:sz w:val="15"/>
          <w:szCs w:val="15"/>
        </w:rPr>
        <w:t xml:space="preserve">  </w:t>
      </w:r>
      <w:r>
        <w:rPr>
          <w:rFonts w:ascii="Times New Roman" w:hAnsi="Times New Roman" w:eastAsia="Times New Roman" w:cs="Times New Roman"/>
          <w:color w:val="231F20"/>
          <w:sz w:val="15"/>
          <w:szCs w:val="15"/>
        </w:rPr>
        <w:t>culture</w:t>
      </w:r>
      <w:r>
        <w:rPr>
          <w:rFonts w:ascii="Times New Roman" w:hAnsi="Times New Roman" w:eastAsia="Times New Roman" w:cs="Times New Roman"/>
          <w:color w:val="231F20"/>
          <w:spacing w:val="5"/>
          <w:sz w:val="15"/>
          <w:szCs w:val="15"/>
        </w:rPr>
        <w:t>[J].</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5"/>
          <w:sz w:val="15"/>
          <w:szCs w:val="15"/>
        </w:rPr>
        <w:t xml:space="preserve">  </w:t>
      </w:r>
      <w:r>
        <w:rPr>
          <w:rFonts w:ascii="Times New Roman" w:hAnsi="Times New Roman" w:eastAsia="Times New Roman" w:cs="Times New Roman"/>
          <w:color w:val="231F20"/>
          <w:sz w:val="15"/>
          <w:szCs w:val="15"/>
        </w:rPr>
        <w:t>Assurance</w:t>
      </w:r>
      <w:r>
        <w:rPr>
          <w:rFonts w:ascii="Times New Roman" w:hAnsi="Times New Roman" w:eastAsia="Times New Roman" w:cs="Times New Roman"/>
          <w:color w:val="231F20"/>
          <w:spacing w:val="5"/>
          <w:sz w:val="15"/>
          <w:szCs w:val="15"/>
        </w:rPr>
        <w:t xml:space="preserve">  </w:t>
      </w:r>
      <w:r>
        <w:rPr>
          <w:rFonts w:ascii="Times New Roman" w:hAnsi="Times New Roman" w:eastAsia="Times New Roman" w:cs="Times New Roman"/>
          <w:color w:val="231F20"/>
          <w:sz w:val="15"/>
          <w:szCs w:val="15"/>
        </w:rPr>
        <w:t>in</w:t>
      </w:r>
      <w:r>
        <w:rPr>
          <w:rFonts w:ascii="Times New Roman" w:hAnsi="Times New Roman" w:eastAsia="Times New Roman" w:cs="Times New Roman"/>
          <w:color w:val="231F20"/>
          <w:spacing w:val="8"/>
          <w:sz w:val="15"/>
          <w:szCs w:val="15"/>
        </w:rPr>
        <w:t xml:space="preserve"> </w:t>
      </w:r>
      <w:r>
        <w:rPr>
          <w:rFonts w:ascii="Times New Roman" w:hAnsi="Times New Roman" w:eastAsia="Times New Roman" w:cs="Times New Roman"/>
          <w:color w:val="231F20"/>
          <w:sz w:val="15"/>
          <w:szCs w:val="15"/>
        </w:rPr>
        <w:t>Education</w:t>
      </w:r>
      <w:r>
        <w:rPr>
          <w:rFonts w:ascii="Times New Roman" w:hAnsi="Times New Roman" w:eastAsia="Times New Roman" w:cs="Times New Roman"/>
          <w:color w:val="231F20"/>
          <w:spacing w:val="5"/>
          <w:sz w:val="15"/>
          <w:szCs w:val="15"/>
        </w:rPr>
        <w:t>,2009,(4):343-363.</w:t>
      </w:r>
    </w:p>
    <w:p>
      <w:pPr>
        <w:spacing w:before="115" w:line="317" w:lineRule="auto"/>
        <w:ind w:left="1124" w:right="331" w:firstLine="324"/>
        <w:rPr>
          <w:rFonts w:ascii="Times New Roman" w:hAnsi="Times New Roman" w:eastAsia="Times New Roman" w:cs="Times New Roman"/>
          <w:sz w:val="15"/>
          <w:szCs w:val="15"/>
        </w:rPr>
      </w:pPr>
      <w:r>
        <w:rPr>
          <w:rFonts w:ascii="Times New Roman" w:hAnsi="Times New Roman" w:eastAsia="Times New Roman" w:cs="Times New Roman"/>
          <w:color w:val="231F20"/>
          <w:spacing w:val="2"/>
          <w:sz w:val="15"/>
          <w:szCs w:val="15"/>
        </w:rPr>
        <w:t>[26]</w:t>
      </w:r>
      <w:r>
        <w:rPr>
          <w:rFonts w:ascii="Times New Roman" w:hAnsi="Times New Roman" w:eastAsia="Times New Roman" w:cs="Times New Roman"/>
          <w:color w:val="231F20"/>
          <w:sz w:val="15"/>
          <w:szCs w:val="15"/>
        </w:rPr>
        <w:t>Yorke</w:t>
      </w:r>
      <w:r>
        <w:rPr>
          <w:rFonts w:ascii="Times New Roman" w:hAnsi="Times New Roman" w:eastAsia="Times New Roman" w:cs="Times New Roman"/>
          <w:color w:val="231F20"/>
          <w:spacing w:val="2"/>
          <w:sz w:val="15"/>
          <w:szCs w:val="15"/>
        </w:rPr>
        <w:t xml:space="preserve">  </w:t>
      </w:r>
      <w:r>
        <w:rPr>
          <w:rFonts w:ascii="Times New Roman" w:hAnsi="Times New Roman" w:eastAsia="Times New Roman" w:cs="Times New Roman"/>
          <w:color w:val="231F20"/>
          <w:sz w:val="15"/>
          <w:szCs w:val="15"/>
        </w:rPr>
        <w:t>M</w:t>
      </w:r>
      <w:r>
        <w:rPr>
          <w:rFonts w:ascii="Times New Roman" w:hAnsi="Times New Roman" w:eastAsia="Times New Roman" w:cs="Times New Roman"/>
          <w:color w:val="231F20"/>
          <w:spacing w:val="2"/>
          <w:sz w:val="15"/>
          <w:szCs w:val="15"/>
        </w:rPr>
        <w:t>.</w:t>
      </w:r>
      <w:r>
        <w:rPr>
          <w:rFonts w:ascii="Times New Roman" w:hAnsi="Times New Roman" w:eastAsia="Times New Roman" w:cs="Times New Roman"/>
          <w:color w:val="231F20"/>
          <w:sz w:val="15"/>
          <w:szCs w:val="15"/>
        </w:rPr>
        <w:t>Developing</w:t>
      </w:r>
      <w:r>
        <w:rPr>
          <w:rFonts w:ascii="Times New Roman" w:hAnsi="Times New Roman" w:eastAsia="Times New Roman" w:cs="Times New Roman"/>
          <w:color w:val="231F20"/>
          <w:spacing w:val="2"/>
          <w:sz w:val="15"/>
          <w:szCs w:val="15"/>
        </w:rPr>
        <w:t xml:space="preserve">  </w:t>
      </w:r>
      <w:r>
        <w:rPr>
          <w:rFonts w:ascii="Times New Roman" w:hAnsi="Times New Roman" w:eastAsia="Times New Roman" w:cs="Times New Roman"/>
          <w:color w:val="231F20"/>
          <w:sz w:val="15"/>
          <w:szCs w:val="15"/>
        </w:rPr>
        <w:t>a</w:t>
      </w:r>
      <w:r>
        <w:rPr>
          <w:rFonts w:ascii="Times New Roman" w:hAnsi="Times New Roman" w:eastAsia="Times New Roman" w:cs="Times New Roman"/>
          <w:color w:val="231F20"/>
          <w:spacing w:val="2"/>
          <w:sz w:val="15"/>
          <w:szCs w:val="15"/>
        </w:rPr>
        <w:t xml:space="preserve">  </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2"/>
          <w:sz w:val="15"/>
          <w:szCs w:val="15"/>
        </w:rPr>
        <w:t xml:space="preserve">  </w:t>
      </w:r>
      <w:r>
        <w:rPr>
          <w:rFonts w:ascii="Times New Roman" w:hAnsi="Times New Roman" w:eastAsia="Times New Roman" w:cs="Times New Roman"/>
          <w:color w:val="231F20"/>
          <w:sz w:val="15"/>
          <w:szCs w:val="15"/>
        </w:rPr>
        <w:t>culture</w:t>
      </w:r>
      <w:r>
        <w:rPr>
          <w:rFonts w:ascii="Times New Roman" w:hAnsi="Times New Roman" w:eastAsia="Times New Roman" w:cs="Times New Roman"/>
          <w:color w:val="231F20"/>
          <w:spacing w:val="2"/>
          <w:sz w:val="15"/>
          <w:szCs w:val="15"/>
        </w:rPr>
        <w:t xml:space="preserve">  </w:t>
      </w:r>
      <w:r>
        <w:rPr>
          <w:rFonts w:ascii="Times New Roman" w:hAnsi="Times New Roman" w:eastAsia="Times New Roman" w:cs="Times New Roman"/>
          <w:color w:val="231F20"/>
          <w:sz w:val="15"/>
          <w:szCs w:val="15"/>
        </w:rPr>
        <w:t>in</w:t>
      </w:r>
      <w:r>
        <w:rPr>
          <w:rFonts w:ascii="Times New Roman" w:hAnsi="Times New Roman" w:eastAsia="Times New Roman" w:cs="Times New Roman"/>
          <w:color w:val="231F20"/>
          <w:spacing w:val="46"/>
          <w:w w:val="101"/>
          <w:sz w:val="15"/>
          <w:szCs w:val="15"/>
        </w:rPr>
        <w:t xml:space="preserve"> </w:t>
      </w:r>
      <w:r>
        <w:rPr>
          <w:rFonts w:ascii="Times New Roman" w:hAnsi="Times New Roman" w:eastAsia="Times New Roman" w:cs="Times New Roman"/>
          <w:color w:val="231F20"/>
          <w:sz w:val="15"/>
          <w:szCs w:val="15"/>
        </w:rPr>
        <w:t>higher</w:t>
      </w:r>
      <w:r>
        <w:rPr>
          <w:rFonts w:ascii="Times New Roman" w:hAnsi="Times New Roman" w:eastAsia="Times New Roman" w:cs="Times New Roman"/>
          <w:color w:val="231F20"/>
          <w:spacing w:val="37"/>
          <w:sz w:val="15"/>
          <w:szCs w:val="15"/>
        </w:rPr>
        <w:t xml:space="preserve"> </w:t>
      </w:r>
      <w:r>
        <w:rPr>
          <w:rFonts w:ascii="Times New Roman" w:hAnsi="Times New Roman" w:eastAsia="Times New Roman" w:cs="Times New Roman"/>
          <w:color w:val="231F20"/>
          <w:sz w:val="15"/>
          <w:szCs w:val="15"/>
        </w:rPr>
        <w:t>education</w:t>
      </w:r>
      <w:r>
        <w:rPr>
          <w:rFonts w:ascii="Times New Roman" w:hAnsi="Times New Roman" w:eastAsia="Times New Roman" w:cs="Times New Roman"/>
          <w:color w:val="231F20"/>
          <w:spacing w:val="2"/>
          <w:sz w:val="15"/>
          <w:szCs w:val="15"/>
        </w:rPr>
        <w:t>[J].</w:t>
      </w:r>
      <w:r>
        <w:rPr>
          <w:rFonts w:ascii="Times New Roman" w:hAnsi="Times New Roman" w:eastAsia="Times New Roman" w:cs="Times New Roman"/>
          <w:color w:val="231F20"/>
          <w:sz w:val="15"/>
          <w:szCs w:val="15"/>
        </w:rPr>
        <w:t xml:space="preserve"> Tertiary</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z w:val="15"/>
          <w:szCs w:val="15"/>
        </w:rPr>
        <w:t>education</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z w:val="15"/>
          <w:szCs w:val="15"/>
        </w:rPr>
        <w:t>and</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z w:val="15"/>
          <w:szCs w:val="15"/>
        </w:rPr>
        <w:t>management</w:t>
      </w:r>
      <w:r>
        <w:rPr>
          <w:rFonts w:ascii="Times New Roman" w:hAnsi="Times New Roman" w:eastAsia="Times New Roman" w:cs="Times New Roman"/>
          <w:color w:val="231F20"/>
          <w:spacing w:val="7"/>
          <w:sz w:val="15"/>
          <w:szCs w:val="15"/>
        </w:rPr>
        <w:t>,2000,(1):19-36.</w:t>
      </w:r>
    </w:p>
    <w:p>
      <w:pPr>
        <w:spacing w:before="115" w:line="347" w:lineRule="auto"/>
        <w:ind w:left="1125" w:right="326" w:firstLine="323"/>
        <w:rPr>
          <w:rFonts w:ascii="Times New Roman" w:hAnsi="Times New Roman" w:eastAsia="Times New Roman" w:cs="Times New Roman"/>
          <w:sz w:val="15"/>
          <w:szCs w:val="15"/>
        </w:rPr>
      </w:pPr>
      <w:r>
        <w:rPr>
          <w:rFonts w:ascii="Times New Roman" w:hAnsi="Times New Roman" w:eastAsia="Times New Roman" w:cs="Times New Roman"/>
          <w:color w:val="231F20"/>
          <w:spacing w:val="8"/>
          <w:sz w:val="15"/>
          <w:szCs w:val="15"/>
        </w:rPr>
        <w:t>[27][30]</w:t>
      </w:r>
      <w:r>
        <w:rPr>
          <w:rFonts w:ascii="Times New Roman" w:hAnsi="Times New Roman" w:eastAsia="Times New Roman" w:cs="Times New Roman"/>
          <w:color w:val="231F20"/>
          <w:spacing w:val="25"/>
          <w:sz w:val="15"/>
          <w:szCs w:val="15"/>
        </w:rPr>
        <w:t xml:space="preserve"> </w:t>
      </w:r>
      <w:r>
        <w:rPr>
          <w:rFonts w:ascii="Times New Roman" w:hAnsi="Times New Roman" w:eastAsia="Times New Roman" w:cs="Times New Roman"/>
          <w:color w:val="231F20"/>
          <w:sz w:val="15"/>
          <w:szCs w:val="15"/>
        </w:rPr>
        <w:t>Myrte</w:t>
      </w:r>
      <w:r>
        <w:rPr>
          <w:rFonts w:ascii="Times New Roman" w:hAnsi="Times New Roman" w:eastAsia="Times New Roman" w:cs="Times New Roman"/>
          <w:color w:val="231F20"/>
          <w:spacing w:val="12"/>
          <w:sz w:val="15"/>
          <w:szCs w:val="15"/>
        </w:rPr>
        <w:t xml:space="preserve">  </w:t>
      </w:r>
      <w:r>
        <w:rPr>
          <w:rFonts w:ascii="Times New Roman" w:hAnsi="Times New Roman" w:eastAsia="Times New Roman" w:cs="Times New Roman"/>
          <w:color w:val="231F20"/>
          <w:sz w:val="15"/>
          <w:szCs w:val="15"/>
        </w:rPr>
        <w:t>L</w:t>
      </w:r>
      <w:r>
        <w:rPr>
          <w:rFonts w:ascii="Times New Roman" w:hAnsi="Times New Roman" w:eastAsia="Times New Roman" w:cs="Times New Roman"/>
          <w:color w:val="231F20"/>
          <w:spacing w:val="8"/>
          <w:sz w:val="15"/>
          <w:szCs w:val="15"/>
        </w:rPr>
        <w:t>.</w:t>
      </w:r>
      <w:r>
        <w:rPr>
          <w:rFonts w:ascii="Times New Roman" w:hAnsi="Times New Roman" w:eastAsia="Times New Roman" w:cs="Times New Roman"/>
          <w:color w:val="231F20"/>
          <w:sz w:val="15"/>
          <w:szCs w:val="15"/>
        </w:rPr>
        <w:t>etc</w:t>
      </w:r>
      <w:r>
        <w:rPr>
          <w:rFonts w:ascii="Times New Roman" w:hAnsi="Times New Roman" w:eastAsia="Times New Roman" w:cs="Times New Roman"/>
          <w:color w:val="231F20"/>
          <w:spacing w:val="8"/>
          <w:sz w:val="15"/>
          <w:szCs w:val="15"/>
        </w:rPr>
        <w:t>.</w:t>
      </w:r>
      <w:r>
        <w:rPr>
          <w:rFonts w:ascii="Times New Roman" w:hAnsi="Times New Roman" w:eastAsia="Times New Roman" w:cs="Times New Roman"/>
          <w:color w:val="231F20"/>
          <w:sz w:val="15"/>
          <w:szCs w:val="15"/>
        </w:rPr>
        <w:t>Enhancing</w:t>
      </w:r>
      <w:r>
        <w:rPr>
          <w:rFonts w:ascii="Times New Roman" w:hAnsi="Times New Roman" w:eastAsia="Times New Roman" w:cs="Times New Roman"/>
          <w:color w:val="231F20"/>
          <w:spacing w:val="22"/>
          <w:sz w:val="15"/>
          <w:szCs w:val="15"/>
        </w:rPr>
        <w:t xml:space="preserve"> </w:t>
      </w:r>
      <w:r>
        <w:rPr>
          <w:rFonts w:ascii="Times New Roman" w:hAnsi="Times New Roman" w:eastAsia="Times New Roman" w:cs="Times New Roman"/>
          <w:color w:val="231F20"/>
          <w:sz w:val="15"/>
          <w:szCs w:val="15"/>
        </w:rPr>
        <w:t>a</w:t>
      </w:r>
      <w:r>
        <w:rPr>
          <w:rFonts w:ascii="Times New Roman" w:hAnsi="Times New Roman" w:eastAsia="Times New Roman" w:cs="Times New Roman"/>
          <w:color w:val="231F20"/>
          <w:spacing w:val="21"/>
          <w:w w:val="102"/>
          <w:sz w:val="15"/>
          <w:szCs w:val="15"/>
        </w:rPr>
        <w:t xml:space="preserve"> </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21"/>
          <w:w w:val="102"/>
          <w:sz w:val="15"/>
          <w:szCs w:val="15"/>
        </w:rPr>
        <w:t xml:space="preserve"> </w:t>
      </w:r>
      <w:r>
        <w:rPr>
          <w:rFonts w:ascii="Times New Roman" w:hAnsi="Times New Roman" w:eastAsia="Times New Roman" w:cs="Times New Roman"/>
          <w:color w:val="231F20"/>
          <w:sz w:val="15"/>
          <w:szCs w:val="15"/>
        </w:rPr>
        <w:t>culture</w:t>
      </w:r>
      <w:r>
        <w:rPr>
          <w:rFonts w:ascii="Times New Roman" w:hAnsi="Times New Roman" w:eastAsia="Times New Roman" w:cs="Times New Roman"/>
          <w:color w:val="231F20"/>
          <w:spacing w:val="21"/>
          <w:w w:val="101"/>
          <w:sz w:val="15"/>
          <w:szCs w:val="15"/>
        </w:rPr>
        <w:t xml:space="preserve"> </w:t>
      </w:r>
      <w:r>
        <w:rPr>
          <w:rFonts w:ascii="Times New Roman" w:hAnsi="Times New Roman" w:eastAsia="Times New Roman" w:cs="Times New Roman"/>
          <w:color w:val="231F20"/>
          <w:sz w:val="15"/>
          <w:szCs w:val="15"/>
        </w:rPr>
        <w:t>in</w:t>
      </w:r>
      <w:r>
        <w:rPr>
          <w:rFonts w:ascii="Times New Roman" w:hAnsi="Times New Roman" w:eastAsia="Times New Roman" w:cs="Times New Roman"/>
          <w:color w:val="231F20"/>
          <w:spacing w:val="20"/>
          <w:sz w:val="15"/>
          <w:szCs w:val="15"/>
        </w:rPr>
        <w:t xml:space="preserve"> </w:t>
      </w:r>
      <w:r>
        <w:rPr>
          <w:rFonts w:ascii="Times New Roman" w:hAnsi="Times New Roman" w:eastAsia="Times New Roman" w:cs="Times New Roman"/>
          <w:color w:val="231F20"/>
          <w:sz w:val="15"/>
          <w:szCs w:val="15"/>
        </w:rPr>
        <w:t>higher</w:t>
      </w:r>
      <w:r>
        <w:rPr>
          <w:rFonts w:ascii="Times New Roman" w:hAnsi="Times New Roman" w:eastAsia="Times New Roman" w:cs="Times New Roman"/>
          <w:color w:val="231F20"/>
          <w:spacing w:val="20"/>
          <w:w w:val="101"/>
          <w:sz w:val="15"/>
          <w:szCs w:val="15"/>
        </w:rPr>
        <w:t xml:space="preserve"> </w:t>
      </w:r>
      <w:r>
        <w:rPr>
          <w:rFonts w:ascii="Times New Roman" w:hAnsi="Times New Roman" w:eastAsia="Times New Roman" w:cs="Times New Roman"/>
          <w:color w:val="231F20"/>
          <w:sz w:val="15"/>
          <w:szCs w:val="15"/>
        </w:rPr>
        <w:t>educa</w:t>
      </w:r>
      <w:r>
        <w:rPr>
          <w:rFonts w:ascii="Times New Roman" w:hAnsi="Times New Roman" w:eastAsia="Times New Roman" w:cs="Times New Roman"/>
          <w:color w:val="231F20"/>
          <w:spacing w:val="8"/>
          <w:sz w:val="15"/>
          <w:szCs w:val="15"/>
        </w:rPr>
        <w:t>⁃</w:t>
      </w:r>
      <w:r>
        <w:rPr>
          <w:rFonts w:ascii="Times New Roman" w:hAnsi="Times New Roman" w:eastAsia="Times New Roman" w:cs="Times New Roman"/>
          <w:color w:val="231F20"/>
          <w:sz w:val="15"/>
          <w:szCs w:val="15"/>
        </w:rPr>
        <w:t xml:space="preserve"> </w:t>
      </w:r>
      <w:r>
        <w:rPr>
          <w:rFonts w:ascii="Times New Roman" w:hAnsi="Times New Roman" w:eastAsia="Times New Roman" w:cs="Times New Roman"/>
          <w:color w:val="231F20"/>
          <w:spacing w:val="3"/>
          <w:sz w:val="15"/>
          <w:szCs w:val="15"/>
        </w:rPr>
        <w:t>tion from a socio-te</w:t>
      </w:r>
      <w:r>
        <w:rPr>
          <w:rFonts w:ascii="Times New Roman" w:hAnsi="Times New Roman" w:eastAsia="Times New Roman" w:cs="Times New Roman"/>
          <w:color w:val="231F20"/>
          <w:spacing w:val="2"/>
          <w:sz w:val="15"/>
          <w:szCs w:val="15"/>
        </w:rPr>
        <w:t>chnical systems design perspective[J].quality</w:t>
      </w:r>
      <w:r>
        <w:rPr>
          <w:rFonts w:ascii="Times New Roman" w:hAnsi="Times New Roman" w:eastAsia="Times New Roman" w:cs="Times New Roman"/>
          <w:color w:val="231F20"/>
          <w:spacing w:val="8"/>
          <w:sz w:val="15"/>
          <w:szCs w:val="15"/>
        </w:rPr>
        <w:t xml:space="preserve"> </w:t>
      </w:r>
      <w:r>
        <w:rPr>
          <w:rFonts w:ascii="Times New Roman" w:hAnsi="Times New Roman" w:eastAsia="Times New Roman" w:cs="Times New Roman"/>
          <w:color w:val="231F20"/>
          <w:spacing w:val="2"/>
          <w:sz w:val="15"/>
          <w:szCs w:val="15"/>
        </w:rPr>
        <w:t>in</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pacing w:val="2"/>
          <w:sz w:val="15"/>
          <w:szCs w:val="15"/>
        </w:rPr>
        <w:t>high⁃</w:t>
      </w:r>
      <w:r>
        <w:rPr>
          <w:rFonts w:ascii="Times New Roman" w:hAnsi="Times New Roman" w:eastAsia="Times New Roman" w:cs="Times New Roman"/>
          <w:color w:val="231F20"/>
          <w:sz w:val="15"/>
          <w:szCs w:val="15"/>
        </w:rPr>
        <w:t xml:space="preserve"> er</w:t>
      </w:r>
      <w:r>
        <w:rPr>
          <w:rFonts w:ascii="Times New Roman" w:hAnsi="Times New Roman" w:eastAsia="Times New Roman" w:cs="Times New Roman"/>
          <w:color w:val="231F20"/>
          <w:spacing w:val="6"/>
          <w:sz w:val="15"/>
          <w:szCs w:val="15"/>
        </w:rPr>
        <w:t xml:space="preserve"> </w:t>
      </w:r>
      <w:r>
        <w:rPr>
          <w:rFonts w:ascii="Times New Roman" w:hAnsi="Times New Roman" w:eastAsia="Times New Roman" w:cs="Times New Roman"/>
          <w:color w:val="231F20"/>
          <w:sz w:val="15"/>
          <w:szCs w:val="15"/>
        </w:rPr>
        <w:t>education</w:t>
      </w:r>
      <w:r>
        <w:rPr>
          <w:rFonts w:ascii="Times New Roman" w:hAnsi="Times New Roman" w:eastAsia="Times New Roman" w:cs="Times New Roman"/>
          <w:color w:val="231F20"/>
          <w:spacing w:val="6"/>
          <w:sz w:val="15"/>
          <w:szCs w:val="15"/>
        </w:rPr>
        <w:t>, 2021:1-</w:t>
      </w:r>
      <w:r>
        <w:rPr>
          <w:rFonts w:ascii="Times New Roman" w:hAnsi="Times New Roman" w:eastAsia="Times New Roman" w:cs="Times New Roman"/>
          <w:color w:val="231F20"/>
          <w:spacing w:val="-9"/>
          <w:sz w:val="15"/>
          <w:szCs w:val="15"/>
        </w:rPr>
        <w:t xml:space="preserve"> </w:t>
      </w:r>
      <w:r>
        <w:rPr>
          <w:rFonts w:ascii="Times New Roman" w:hAnsi="Times New Roman" w:eastAsia="Times New Roman" w:cs="Times New Roman"/>
          <w:color w:val="231F20"/>
          <w:spacing w:val="6"/>
          <w:sz w:val="15"/>
          <w:szCs w:val="15"/>
        </w:rPr>
        <w:t>14.</w:t>
      </w:r>
    </w:p>
    <w:p>
      <w:pPr>
        <w:spacing w:before="107" w:line="317" w:lineRule="auto"/>
        <w:ind w:left="1126" w:right="326" w:firstLine="322"/>
        <w:rPr>
          <w:rFonts w:ascii="Times New Roman" w:hAnsi="Times New Roman" w:eastAsia="Times New Roman" w:cs="Times New Roman"/>
          <w:sz w:val="15"/>
          <w:szCs w:val="15"/>
        </w:rPr>
      </w:pPr>
      <w:r>
        <w:rPr>
          <w:rFonts w:ascii="Times New Roman" w:hAnsi="Times New Roman" w:eastAsia="Times New Roman" w:cs="Times New Roman"/>
          <w:color w:val="231F20"/>
          <w:spacing w:val="6"/>
          <w:sz w:val="15"/>
          <w:szCs w:val="15"/>
        </w:rPr>
        <w:t>[28]</w:t>
      </w:r>
      <w:r>
        <w:rPr>
          <w:rFonts w:ascii="Times New Roman" w:hAnsi="Times New Roman" w:eastAsia="Times New Roman" w:cs="Times New Roman"/>
          <w:color w:val="231F20"/>
          <w:sz w:val="15"/>
          <w:szCs w:val="15"/>
        </w:rPr>
        <w:t>Christine</w:t>
      </w:r>
      <w:r>
        <w:rPr>
          <w:rFonts w:ascii="Times New Roman" w:hAnsi="Times New Roman" w:eastAsia="Times New Roman" w:cs="Times New Roman"/>
          <w:color w:val="231F20"/>
          <w:spacing w:val="12"/>
          <w:w w:val="102"/>
          <w:sz w:val="15"/>
          <w:szCs w:val="15"/>
        </w:rPr>
        <w:t xml:space="preserve">  </w:t>
      </w:r>
      <w:r>
        <w:rPr>
          <w:rFonts w:ascii="Times New Roman" w:hAnsi="Times New Roman" w:eastAsia="Times New Roman" w:cs="Times New Roman"/>
          <w:color w:val="231F20"/>
          <w:sz w:val="15"/>
          <w:szCs w:val="15"/>
        </w:rPr>
        <w:t>H</w:t>
      </w:r>
      <w:r>
        <w:rPr>
          <w:rFonts w:ascii="Times New Roman" w:hAnsi="Times New Roman" w:eastAsia="Times New Roman" w:cs="Times New Roman"/>
          <w:color w:val="231F20"/>
          <w:spacing w:val="6"/>
          <w:sz w:val="15"/>
          <w:szCs w:val="15"/>
        </w:rPr>
        <w:t>,</w:t>
      </w:r>
      <w:r>
        <w:rPr>
          <w:rFonts w:ascii="Times New Roman" w:hAnsi="Times New Roman" w:eastAsia="Times New Roman" w:cs="Times New Roman"/>
          <w:color w:val="231F20"/>
          <w:spacing w:val="19"/>
          <w:sz w:val="15"/>
          <w:szCs w:val="15"/>
        </w:rPr>
        <w:t xml:space="preserve"> </w:t>
      </w:r>
      <w:r>
        <w:rPr>
          <w:rFonts w:ascii="Times New Roman" w:hAnsi="Times New Roman" w:eastAsia="Times New Roman" w:cs="Times New Roman"/>
          <w:color w:val="231F20"/>
          <w:sz w:val="15"/>
          <w:szCs w:val="15"/>
        </w:rPr>
        <w:t>Karlheinz</w:t>
      </w:r>
      <w:r>
        <w:rPr>
          <w:rFonts w:ascii="Times New Roman" w:hAnsi="Times New Roman" w:eastAsia="Times New Roman" w:cs="Times New Roman"/>
          <w:color w:val="231F20"/>
          <w:spacing w:val="18"/>
          <w:sz w:val="15"/>
          <w:szCs w:val="15"/>
        </w:rPr>
        <w:t xml:space="preserve"> </w:t>
      </w:r>
      <w:r>
        <w:rPr>
          <w:rFonts w:ascii="Times New Roman" w:hAnsi="Times New Roman" w:eastAsia="Times New Roman" w:cs="Times New Roman"/>
          <w:color w:val="231F20"/>
          <w:sz w:val="15"/>
          <w:szCs w:val="15"/>
        </w:rPr>
        <w:t>S</w:t>
      </w:r>
      <w:r>
        <w:rPr>
          <w:rFonts w:ascii="Times New Roman" w:hAnsi="Times New Roman" w:eastAsia="Times New Roman" w:cs="Times New Roman"/>
          <w:color w:val="231F20"/>
          <w:spacing w:val="6"/>
          <w:sz w:val="15"/>
          <w:szCs w:val="15"/>
        </w:rPr>
        <w:t>.</w:t>
      </w:r>
      <w:r>
        <w:rPr>
          <w:rFonts w:ascii="Times New Roman" w:hAnsi="Times New Roman" w:eastAsia="Times New Roman" w:cs="Times New Roman"/>
          <w:color w:val="231F20"/>
          <w:sz w:val="15"/>
          <w:szCs w:val="15"/>
        </w:rPr>
        <w:t>The</w:t>
      </w:r>
      <w:r>
        <w:rPr>
          <w:rFonts w:ascii="Times New Roman" w:hAnsi="Times New Roman" w:eastAsia="Times New Roman" w:cs="Times New Roman"/>
          <w:color w:val="231F20"/>
          <w:spacing w:val="17"/>
          <w:w w:val="101"/>
          <w:sz w:val="15"/>
          <w:szCs w:val="15"/>
        </w:rPr>
        <w:t xml:space="preserve"> </w:t>
      </w:r>
      <w:r>
        <w:rPr>
          <w:rFonts w:ascii="Times New Roman" w:hAnsi="Times New Roman" w:eastAsia="Times New Roman" w:cs="Times New Roman"/>
          <w:color w:val="231F20"/>
          <w:sz w:val="15"/>
          <w:szCs w:val="15"/>
        </w:rPr>
        <w:t>quality</w:t>
      </w:r>
      <w:r>
        <w:rPr>
          <w:rFonts w:ascii="Times New Roman" w:hAnsi="Times New Roman" w:eastAsia="Times New Roman" w:cs="Times New Roman"/>
          <w:color w:val="231F20"/>
          <w:spacing w:val="17"/>
          <w:w w:val="101"/>
          <w:sz w:val="15"/>
          <w:szCs w:val="15"/>
        </w:rPr>
        <w:t xml:space="preserve"> </w:t>
      </w:r>
      <w:r>
        <w:rPr>
          <w:rFonts w:ascii="Times New Roman" w:hAnsi="Times New Roman" w:eastAsia="Times New Roman" w:cs="Times New Roman"/>
          <w:color w:val="231F20"/>
          <w:sz w:val="15"/>
          <w:szCs w:val="15"/>
        </w:rPr>
        <w:t>culture</w:t>
      </w:r>
      <w:r>
        <w:rPr>
          <w:rFonts w:ascii="Times New Roman" w:hAnsi="Times New Roman" w:eastAsia="Times New Roman" w:cs="Times New Roman"/>
          <w:color w:val="231F20"/>
          <w:spacing w:val="17"/>
          <w:w w:val="101"/>
          <w:sz w:val="15"/>
          <w:szCs w:val="15"/>
        </w:rPr>
        <w:t xml:space="preserve"> </w:t>
      </w:r>
      <w:r>
        <w:rPr>
          <w:rFonts w:ascii="Times New Roman" w:hAnsi="Times New Roman" w:eastAsia="Times New Roman" w:cs="Times New Roman"/>
          <w:color w:val="231F20"/>
          <w:sz w:val="15"/>
          <w:szCs w:val="15"/>
        </w:rPr>
        <w:t>inventory</w:t>
      </w:r>
      <w:r>
        <w:rPr>
          <w:rFonts w:ascii="Times New Roman" w:hAnsi="Times New Roman" w:eastAsia="Times New Roman" w:cs="Times New Roman"/>
          <w:color w:val="231F20"/>
          <w:spacing w:val="6"/>
          <w:sz w:val="15"/>
          <w:szCs w:val="15"/>
        </w:rPr>
        <w:t>:</w:t>
      </w:r>
      <w:r>
        <w:rPr>
          <w:rFonts w:ascii="Times New Roman" w:hAnsi="Times New Roman" w:eastAsia="Times New Roman" w:cs="Times New Roman"/>
          <w:color w:val="231F20"/>
          <w:spacing w:val="17"/>
          <w:w w:val="101"/>
          <w:sz w:val="15"/>
          <w:szCs w:val="15"/>
        </w:rPr>
        <w:t xml:space="preserve"> </w:t>
      </w:r>
      <w:r>
        <w:rPr>
          <w:rFonts w:ascii="Times New Roman" w:hAnsi="Times New Roman" w:eastAsia="Times New Roman" w:cs="Times New Roman"/>
          <w:color w:val="231F20"/>
          <w:sz w:val="15"/>
          <w:szCs w:val="15"/>
        </w:rPr>
        <w:t>a</w:t>
      </w:r>
      <w:r>
        <w:rPr>
          <w:rFonts w:ascii="Times New Roman" w:hAnsi="Times New Roman" w:eastAsia="Times New Roman" w:cs="Times New Roman"/>
          <w:color w:val="231F20"/>
          <w:spacing w:val="17"/>
          <w:w w:val="101"/>
          <w:sz w:val="15"/>
          <w:szCs w:val="15"/>
        </w:rPr>
        <w:t xml:space="preserve"> </w:t>
      </w:r>
      <w:r>
        <w:rPr>
          <w:rFonts w:ascii="Times New Roman" w:hAnsi="Times New Roman" w:eastAsia="Times New Roman" w:cs="Times New Roman"/>
          <w:color w:val="231F20"/>
          <w:sz w:val="15"/>
          <w:szCs w:val="15"/>
        </w:rPr>
        <w:t>com</w:t>
      </w:r>
      <w:r>
        <w:rPr>
          <w:rFonts w:ascii="Times New Roman" w:hAnsi="Times New Roman" w:eastAsia="Times New Roman" w:cs="Times New Roman"/>
          <w:color w:val="231F20"/>
          <w:spacing w:val="6"/>
          <w:sz w:val="15"/>
          <w:szCs w:val="15"/>
        </w:rPr>
        <w:t>⁃</w:t>
      </w:r>
      <w:r>
        <w:rPr>
          <w:rFonts w:ascii="Times New Roman" w:hAnsi="Times New Roman" w:eastAsia="Times New Roman" w:cs="Times New Roman"/>
          <w:color w:val="231F20"/>
          <w:sz w:val="15"/>
          <w:szCs w:val="15"/>
        </w:rPr>
        <w:t xml:space="preserve"> </w:t>
      </w:r>
      <w:r>
        <w:rPr>
          <w:rFonts w:ascii="Times New Roman" w:hAnsi="Times New Roman" w:eastAsia="Times New Roman" w:cs="Times New Roman"/>
          <w:color w:val="231F20"/>
          <w:spacing w:val="2"/>
          <w:sz w:val="15"/>
          <w:szCs w:val="15"/>
        </w:rPr>
        <w:t>prehensive</w:t>
      </w:r>
      <w:r>
        <w:rPr>
          <w:rFonts w:ascii="Times New Roman" w:hAnsi="Times New Roman" w:eastAsia="Times New Roman" w:cs="Times New Roman"/>
          <w:color w:val="231F20"/>
          <w:spacing w:val="16"/>
          <w:w w:val="101"/>
          <w:sz w:val="15"/>
          <w:szCs w:val="15"/>
        </w:rPr>
        <w:t xml:space="preserve"> </w:t>
      </w:r>
      <w:r>
        <w:rPr>
          <w:rFonts w:ascii="Times New Roman" w:hAnsi="Times New Roman" w:eastAsia="Times New Roman" w:cs="Times New Roman"/>
          <w:color w:val="231F20"/>
          <w:spacing w:val="2"/>
          <w:sz w:val="15"/>
          <w:szCs w:val="15"/>
        </w:rPr>
        <w:t>approach</w:t>
      </w:r>
      <w:r>
        <w:rPr>
          <w:rFonts w:ascii="Times New Roman" w:hAnsi="Times New Roman" w:eastAsia="Times New Roman" w:cs="Times New Roman"/>
          <w:color w:val="231F20"/>
          <w:spacing w:val="13"/>
          <w:sz w:val="15"/>
          <w:szCs w:val="15"/>
        </w:rPr>
        <w:t xml:space="preserve"> </w:t>
      </w:r>
      <w:r>
        <w:rPr>
          <w:rFonts w:ascii="Times New Roman" w:hAnsi="Times New Roman" w:eastAsia="Times New Roman" w:cs="Times New Roman"/>
          <w:color w:val="231F20"/>
          <w:spacing w:val="2"/>
          <w:sz w:val="15"/>
          <w:szCs w:val="15"/>
        </w:rPr>
        <w:t>towards</w:t>
      </w:r>
      <w:r>
        <w:rPr>
          <w:rFonts w:ascii="Times New Roman" w:hAnsi="Times New Roman" w:eastAsia="Times New Roman" w:cs="Times New Roman"/>
          <w:color w:val="231F20"/>
          <w:spacing w:val="14"/>
          <w:w w:val="102"/>
          <w:sz w:val="15"/>
          <w:szCs w:val="15"/>
        </w:rPr>
        <w:t xml:space="preserve"> </w:t>
      </w:r>
      <w:r>
        <w:rPr>
          <w:rFonts w:ascii="Times New Roman" w:hAnsi="Times New Roman" w:eastAsia="Times New Roman" w:cs="Times New Roman"/>
          <w:color w:val="231F20"/>
          <w:spacing w:val="2"/>
          <w:sz w:val="15"/>
          <w:szCs w:val="15"/>
        </w:rPr>
        <w:t>measuring</w:t>
      </w:r>
      <w:r>
        <w:rPr>
          <w:rFonts w:ascii="Times New Roman" w:hAnsi="Times New Roman" w:eastAsia="Times New Roman" w:cs="Times New Roman"/>
          <w:color w:val="231F20"/>
          <w:spacing w:val="15"/>
          <w:sz w:val="15"/>
          <w:szCs w:val="15"/>
        </w:rPr>
        <w:t xml:space="preserve"> </w:t>
      </w:r>
      <w:r>
        <w:rPr>
          <w:rFonts w:ascii="Times New Roman" w:hAnsi="Times New Roman" w:eastAsia="Times New Roman" w:cs="Times New Roman"/>
          <w:color w:val="231F20"/>
          <w:spacing w:val="2"/>
          <w:sz w:val="15"/>
          <w:szCs w:val="15"/>
        </w:rPr>
        <w:t>quality</w:t>
      </w:r>
      <w:r>
        <w:rPr>
          <w:rFonts w:ascii="Times New Roman" w:hAnsi="Times New Roman" w:eastAsia="Times New Roman" w:cs="Times New Roman"/>
          <w:color w:val="231F20"/>
          <w:spacing w:val="15"/>
          <w:w w:val="101"/>
          <w:sz w:val="15"/>
          <w:szCs w:val="15"/>
        </w:rPr>
        <w:t xml:space="preserve"> </w:t>
      </w:r>
      <w:r>
        <w:rPr>
          <w:rFonts w:ascii="Times New Roman" w:hAnsi="Times New Roman" w:eastAsia="Times New Roman" w:cs="Times New Roman"/>
          <w:color w:val="231F20"/>
          <w:spacing w:val="2"/>
          <w:sz w:val="15"/>
          <w:szCs w:val="15"/>
        </w:rPr>
        <w:t>culture</w:t>
      </w:r>
      <w:r>
        <w:rPr>
          <w:rFonts w:ascii="Times New Roman" w:hAnsi="Times New Roman" w:eastAsia="Times New Roman" w:cs="Times New Roman"/>
          <w:color w:val="231F20"/>
          <w:spacing w:val="15"/>
          <w:sz w:val="15"/>
          <w:szCs w:val="15"/>
        </w:rPr>
        <w:t xml:space="preserve"> </w:t>
      </w:r>
      <w:r>
        <w:rPr>
          <w:rFonts w:ascii="Times New Roman" w:hAnsi="Times New Roman" w:eastAsia="Times New Roman" w:cs="Times New Roman"/>
          <w:color w:val="231F20"/>
          <w:spacing w:val="2"/>
          <w:sz w:val="15"/>
          <w:szCs w:val="15"/>
        </w:rPr>
        <w:t>in</w:t>
      </w:r>
      <w:r>
        <w:rPr>
          <w:rFonts w:ascii="Times New Roman" w:hAnsi="Times New Roman" w:eastAsia="Times New Roman" w:cs="Times New Roman"/>
          <w:color w:val="231F20"/>
          <w:spacing w:val="14"/>
          <w:sz w:val="15"/>
          <w:szCs w:val="15"/>
        </w:rPr>
        <w:t xml:space="preserve"> </w:t>
      </w:r>
      <w:r>
        <w:rPr>
          <w:rFonts w:ascii="Times New Roman" w:hAnsi="Times New Roman" w:eastAsia="Times New Roman" w:cs="Times New Roman"/>
          <w:color w:val="231F20"/>
          <w:spacing w:val="2"/>
          <w:sz w:val="15"/>
          <w:szCs w:val="15"/>
        </w:rPr>
        <w:t>higher</w:t>
      </w:r>
      <w:r>
        <w:rPr>
          <w:rFonts w:ascii="Times New Roman" w:hAnsi="Times New Roman" w:eastAsia="Times New Roman" w:cs="Times New Roman"/>
          <w:color w:val="231F20"/>
          <w:spacing w:val="14"/>
          <w:sz w:val="15"/>
          <w:szCs w:val="15"/>
        </w:rPr>
        <w:t xml:space="preserve"> </w:t>
      </w:r>
      <w:r>
        <w:rPr>
          <w:rFonts w:ascii="Times New Roman" w:hAnsi="Times New Roman" w:eastAsia="Times New Roman" w:cs="Times New Roman"/>
          <w:color w:val="231F20"/>
          <w:spacing w:val="2"/>
          <w:sz w:val="15"/>
          <w:szCs w:val="15"/>
        </w:rPr>
        <w:t>educa⁃</w:t>
      </w:r>
    </w:p>
    <w:p>
      <w:pPr>
        <w:spacing w:line="14" w:lineRule="auto"/>
        <w:rPr>
          <w:rFonts w:ascii="Arial"/>
          <w:sz w:val="2"/>
        </w:rPr>
      </w:pPr>
      <w:r>
        <w:rPr>
          <w:rFonts w:ascii="Arial" w:hAnsi="Arial" w:eastAsia="Arial" w:cs="Arial"/>
          <w:sz w:val="2"/>
          <w:szCs w:val="2"/>
        </w:rPr>
        <w:br w:type="column"/>
      </w:r>
    </w:p>
    <w:p>
      <w:pPr>
        <w:spacing w:before="32" w:line="238" w:lineRule="auto"/>
        <w:ind w:left="2"/>
        <w:rPr>
          <w:rFonts w:ascii="Times New Roman" w:hAnsi="Times New Roman" w:eastAsia="Times New Roman" w:cs="Times New Roman"/>
          <w:sz w:val="15"/>
          <w:szCs w:val="15"/>
        </w:rPr>
      </w:pPr>
      <w:r>
        <w:rPr>
          <w:rFonts w:ascii="Times New Roman" w:hAnsi="Times New Roman" w:eastAsia="Times New Roman" w:cs="Times New Roman"/>
          <w:color w:val="231F20"/>
          <w:sz w:val="15"/>
          <w:szCs w:val="15"/>
        </w:rPr>
        <w:t>tion</w:t>
      </w:r>
      <w:r>
        <w:rPr>
          <w:rFonts w:ascii="Times New Roman" w:hAnsi="Times New Roman" w:eastAsia="Times New Roman" w:cs="Times New Roman"/>
          <w:color w:val="231F20"/>
          <w:spacing w:val="6"/>
          <w:sz w:val="15"/>
          <w:szCs w:val="15"/>
        </w:rPr>
        <w:t>[J].</w:t>
      </w:r>
      <w:r>
        <w:rPr>
          <w:rFonts w:ascii="Times New Roman" w:hAnsi="Times New Roman" w:eastAsia="Times New Roman" w:cs="Times New Roman"/>
          <w:color w:val="231F20"/>
          <w:sz w:val="15"/>
          <w:szCs w:val="15"/>
        </w:rPr>
        <w:t>Studies</w:t>
      </w:r>
      <w:r>
        <w:rPr>
          <w:rFonts w:ascii="Times New Roman" w:hAnsi="Times New Roman" w:eastAsia="Times New Roman" w:cs="Times New Roman"/>
          <w:color w:val="231F20"/>
          <w:spacing w:val="6"/>
          <w:sz w:val="15"/>
          <w:szCs w:val="15"/>
        </w:rPr>
        <w:t xml:space="preserve"> </w:t>
      </w:r>
      <w:r>
        <w:rPr>
          <w:rFonts w:ascii="Times New Roman" w:hAnsi="Times New Roman" w:eastAsia="Times New Roman" w:cs="Times New Roman"/>
          <w:color w:val="231F20"/>
          <w:sz w:val="15"/>
          <w:szCs w:val="15"/>
        </w:rPr>
        <w:t>in</w:t>
      </w:r>
      <w:r>
        <w:rPr>
          <w:rFonts w:ascii="Times New Roman" w:hAnsi="Times New Roman" w:eastAsia="Times New Roman" w:cs="Times New Roman"/>
          <w:color w:val="231F20"/>
          <w:spacing w:val="6"/>
          <w:sz w:val="15"/>
          <w:szCs w:val="15"/>
        </w:rPr>
        <w:t xml:space="preserve"> </w:t>
      </w:r>
      <w:r>
        <w:rPr>
          <w:rFonts w:ascii="Times New Roman" w:hAnsi="Times New Roman" w:eastAsia="Times New Roman" w:cs="Times New Roman"/>
          <w:color w:val="231F20"/>
          <w:sz w:val="15"/>
          <w:szCs w:val="15"/>
        </w:rPr>
        <w:t>higher</w:t>
      </w:r>
      <w:r>
        <w:rPr>
          <w:rFonts w:ascii="Times New Roman" w:hAnsi="Times New Roman" w:eastAsia="Times New Roman" w:cs="Times New Roman"/>
          <w:color w:val="231F20"/>
          <w:spacing w:val="6"/>
          <w:sz w:val="15"/>
          <w:szCs w:val="15"/>
        </w:rPr>
        <w:t xml:space="preserve"> </w:t>
      </w:r>
      <w:r>
        <w:rPr>
          <w:rFonts w:ascii="Times New Roman" w:hAnsi="Times New Roman" w:eastAsia="Times New Roman" w:cs="Times New Roman"/>
          <w:color w:val="231F20"/>
          <w:sz w:val="15"/>
          <w:szCs w:val="15"/>
        </w:rPr>
        <w:t>education</w:t>
      </w:r>
      <w:r>
        <w:rPr>
          <w:rFonts w:ascii="Times New Roman" w:hAnsi="Times New Roman" w:eastAsia="Times New Roman" w:cs="Times New Roman"/>
          <w:color w:val="231F20"/>
          <w:spacing w:val="6"/>
          <w:sz w:val="15"/>
          <w:szCs w:val="15"/>
        </w:rPr>
        <w:t>,2020,(4):892-908.</w:t>
      </w:r>
    </w:p>
    <w:p>
      <w:pPr>
        <w:spacing w:before="127" w:line="326" w:lineRule="auto"/>
        <w:ind w:right="26" w:firstLine="325"/>
        <w:rPr>
          <w:rFonts w:ascii="Times New Roman" w:hAnsi="Times New Roman" w:eastAsia="Times New Roman" w:cs="Times New Roman"/>
          <w:sz w:val="15"/>
          <w:szCs w:val="15"/>
        </w:rPr>
      </w:pPr>
      <w:r>
        <w:rPr>
          <w:rFonts w:ascii="Times New Roman" w:hAnsi="Times New Roman" w:eastAsia="Times New Roman" w:cs="Times New Roman"/>
          <w:color w:val="231F20"/>
          <w:spacing w:val="2"/>
          <w:sz w:val="15"/>
          <w:szCs w:val="15"/>
        </w:rPr>
        <w:t>[29]</w:t>
      </w:r>
      <w:r>
        <w:rPr>
          <w:rFonts w:ascii="Times New Roman" w:hAnsi="Times New Roman" w:eastAsia="Times New Roman" w:cs="Times New Roman"/>
          <w:color w:val="231F20"/>
          <w:spacing w:val="47"/>
          <w:sz w:val="15"/>
          <w:szCs w:val="15"/>
        </w:rPr>
        <w:t xml:space="preserve"> </w:t>
      </w:r>
      <w:r>
        <w:rPr>
          <w:rFonts w:ascii="Times New Roman" w:hAnsi="Times New Roman" w:eastAsia="Times New Roman" w:cs="Times New Roman"/>
          <w:color w:val="231F20"/>
          <w:spacing w:val="2"/>
          <w:sz w:val="15"/>
          <w:szCs w:val="15"/>
        </w:rPr>
        <w:t>Małgorzata</w:t>
      </w:r>
      <w:r>
        <w:rPr>
          <w:rFonts w:ascii="Times New Roman" w:hAnsi="Times New Roman" w:eastAsia="Times New Roman" w:cs="Times New Roman"/>
          <w:color w:val="231F20"/>
          <w:sz w:val="15"/>
          <w:szCs w:val="15"/>
        </w:rPr>
        <w:t xml:space="preserve">   </w:t>
      </w:r>
      <w:r>
        <w:rPr>
          <w:rFonts w:ascii="Times New Roman" w:hAnsi="Times New Roman" w:eastAsia="Times New Roman" w:cs="Times New Roman"/>
          <w:color w:val="231F20"/>
          <w:spacing w:val="2"/>
          <w:sz w:val="15"/>
          <w:szCs w:val="15"/>
        </w:rPr>
        <w:t>D.Trust-based</w:t>
      </w:r>
      <w:r>
        <w:rPr>
          <w:rFonts w:ascii="Times New Roman" w:hAnsi="Times New Roman" w:eastAsia="Times New Roman" w:cs="Times New Roman"/>
          <w:color w:val="231F20"/>
          <w:spacing w:val="36"/>
          <w:w w:val="102"/>
          <w:sz w:val="15"/>
          <w:szCs w:val="15"/>
        </w:rPr>
        <w:t xml:space="preserve"> </w:t>
      </w:r>
      <w:r>
        <w:rPr>
          <w:rFonts w:ascii="Times New Roman" w:hAnsi="Times New Roman" w:eastAsia="Times New Roman" w:cs="Times New Roman"/>
          <w:color w:val="231F20"/>
          <w:spacing w:val="2"/>
          <w:sz w:val="15"/>
          <w:szCs w:val="15"/>
        </w:rPr>
        <w:t>quality</w:t>
      </w:r>
      <w:r>
        <w:rPr>
          <w:rFonts w:ascii="Times New Roman" w:hAnsi="Times New Roman" w:eastAsia="Times New Roman" w:cs="Times New Roman"/>
          <w:color w:val="231F20"/>
          <w:spacing w:val="35"/>
          <w:sz w:val="15"/>
          <w:szCs w:val="15"/>
        </w:rPr>
        <w:t xml:space="preserve"> </w:t>
      </w:r>
      <w:r>
        <w:rPr>
          <w:rFonts w:ascii="Times New Roman" w:hAnsi="Times New Roman" w:eastAsia="Times New Roman" w:cs="Times New Roman"/>
          <w:color w:val="231F20"/>
          <w:spacing w:val="2"/>
          <w:sz w:val="15"/>
          <w:szCs w:val="15"/>
        </w:rPr>
        <w:t>culture</w:t>
      </w:r>
      <w:r>
        <w:rPr>
          <w:rFonts w:ascii="Times New Roman" w:hAnsi="Times New Roman" w:eastAsia="Times New Roman" w:cs="Times New Roman"/>
          <w:color w:val="231F20"/>
          <w:spacing w:val="35"/>
          <w:w w:val="101"/>
          <w:sz w:val="15"/>
          <w:szCs w:val="15"/>
        </w:rPr>
        <w:t xml:space="preserve"> </w:t>
      </w:r>
      <w:r>
        <w:rPr>
          <w:rFonts w:ascii="Times New Roman" w:hAnsi="Times New Roman" w:eastAsia="Times New Roman" w:cs="Times New Roman"/>
          <w:color w:val="231F20"/>
          <w:spacing w:val="2"/>
          <w:sz w:val="15"/>
          <w:szCs w:val="15"/>
        </w:rPr>
        <w:t>conceptual</w:t>
      </w:r>
      <w:r>
        <w:rPr>
          <w:rFonts w:ascii="Times New Roman" w:hAnsi="Times New Roman" w:eastAsia="Times New Roman" w:cs="Times New Roman"/>
          <w:color w:val="231F20"/>
          <w:spacing w:val="34"/>
          <w:w w:val="102"/>
          <w:sz w:val="15"/>
          <w:szCs w:val="15"/>
        </w:rPr>
        <w:t xml:space="preserve"> </w:t>
      </w:r>
      <w:r>
        <w:rPr>
          <w:rFonts w:ascii="Times New Roman" w:hAnsi="Times New Roman" w:eastAsia="Times New Roman" w:cs="Times New Roman"/>
          <w:color w:val="231F20"/>
          <w:spacing w:val="2"/>
          <w:sz w:val="15"/>
          <w:szCs w:val="15"/>
        </w:rPr>
        <w:t>model</w:t>
      </w:r>
      <w:r>
        <w:rPr>
          <w:rFonts w:ascii="Times New Roman" w:hAnsi="Times New Roman" w:eastAsia="Times New Roman" w:cs="Times New Roman"/>
          <w:color w:val="231F20"/>
          <w:sz w:val="15"/>
          <w:szCs w:val="15"/>
        </w:rPr>
        <w:t xml:space="preserve"> for</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z w:val="15"/>
          <w:szCs w:val="15"/>
        </w:rPr>
        <w:t>higher</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z w:val="15"/>
          <w:szCs w:val="15"/>
        </w:rPr>
        <w:t>education</w:t>
      </w:r>
      <w:r>
        <w:rPr>
          <w:rFonts w:ascii="Times New Roman" w:hAnsi="Times New Roman" w:eastAsia="Times New Roman" w:cs="Times New Roman"/>
          <w:color w:val="231F20"/>
          <w:spacing w:val="7"/>
          <w:sz w:val="15"/>
          <w:szCs w:val="15"/>
        </w:rPr>
        <w:t xml:space="preserve"> </w:t>
      </w:r>
      <w:r>
        <w:rPr>
          <w:rFonts w:ascii="Times New Roman" w:hAnsi="Times New Roman" w:eastAsia="Times New Roman" w:cs="Times New Roman"/>
          <w:color w:val="231F20"/>
          <w:sz w:val="15"/>
          <w:szCs w:val="15"/>
        </w:rPr>
        <w:t>institutions</w:t>
      </w:r>
      <w:r>
        <w:rPr>
          <w:rFonts w:ascii="Times New Roman" w:hAnsi="Times New Roman" w:eastAsia="Times New Roman" w:cs="Times New Roman"/>
          <w:color w:val="231F20"/>
          <w:spacing w:val="7"/>
          <w:sz w:val="15"/>
          <w:szCs w:val="15"/>
        </w:rPr>
        <w:t>[J].</w:t>
      </w:r>
      <w:r>
        <w:rPr>
          <w:rFonts w:ascii="Times New Roman" w:hAnsi="Times New Roman" w:eastAsia="Times New Roman" w:cs="Times New Roman"/>
          <w:color w:val="231F20"/>
          <w:sz w:val="15"/>
          <w:szCs w:val="15"/>
        </w:rPr>
        <w:t>Sustainability</w:t>
      </w:r>
      <w:r>
        <w:rPr>
          <w:rFonts w:ascii="Times New Roman" w:hAnsi="Times New Roman" w:eastAsia="Times New Roman" w:cs="Times New Roman"/>
          <w:color w:val="231F20"/>
          <w:spacing w:val="7"/>
          <w:sz w:val="15"/>
          <w:szCs w:val="15"/>
        </w:rPr>
        <w:t>,2018,(10)2599-621.</w:t>
      </w:r>
    </w:p>
    <w:p>
      <w:pPr>
        <w:spacing w:before="120" w:line="242" w:lineRule="auto"/>
        <w:ind w:left="2" w:right="21" w:firstLine="323"/>
        <w:rPr>
          <w:rFonts w:ascii="Times New Roman" w:hAnsi="Times New Roman" w:eastAsia="Times New Roman" w:cs="Times New Roman"/>
          <w:sz w:val="15"/>
          <w:szCs w:val="15"/>
        </w:rPr>
      </w:pPr>
      <w:r>
        <w:rPr>
          <w:rFonts w:ascii="Times New Roman" w:hAnsi="Times New Roman" w:eastAsia="Times New Roman" w:cs="Times New Roman"/>
          <w:color w:val="231F20"/>
          <w:spacing w:val="5"/>
          <w:sz w:val="15"/>
          <w:szCs w:val="15"/>
        </w:rPr>
        <w:t>[31]</w:t>
      </w:r>
      <w:r>
        <w:rPr>
          <w:rFonts w:ascii="Times New Roman" w:hAnsi="Times New Roman" w:eastAsia="Times New Roman" w:cs="Times New Roman"/>
          <w:color w:val="231F20"/>
          <w:spacing w:val="12"/>
          <w:w w:val="101"/>
          <w:sz w:val="15"/>
          <w:szCs w:val="15"/>
        </w:rPr>
        <w:t xml:space="preserve"> </w:t>
      </w:r>
      <w:r>
        <w:rPr>
          <w:rFonts w:ascii="Times New Roman" w:hAnsi="Times New Roman" w:eastAsia="Times New Roman" w:cs="Times New Roman"/>
          <w:color w:val="231F20"/>
          <w:spacing w:val="5"/>
          <w:sz w:val="15"/>
          <w:szCs w:val="15"/>
        </w:rPr>
        <w:t>(</w:t>
      </w:r>
      <w:r>
        <w:rPr>
          <w:rFonts w:ascii="微软雅黑" w:hAnsi="微软雅黑" w:eastAsia="微软雅黑" w:cs="微软雅黑"/>
          <w:color w:val="231F20"/>
          <w:spacing w:val="5"/>
          <w:sz w:val="15"/>
          <w:szCs w:val="15"/>
        </w:rPr>
        <w:t>德</w:t>
      </w:r>
      <w:r>
        <w:rPr>
          <w:rFonts w:ascii="Times New Roman" w:hAnsi="Times New Roman" w:eastAsia="Times New Roman" w:cs="Times New Roman"/>
          <w:color w:val="231F20"/>
          <w:spacing w:val="5"/>
          <w:sz w:val="15"/>
          <w:szCs w:val="15"/>
        </w:rPr>
        <w:t>)</w:t>
      </w:r>
      <w:r>
        <w:rPr>
          <w:rFonts w:ascii="微软雅黑" w:hAnsi="微软雅黑" w:eastAsia="微软雅黑" w:cs="微软雅黑"/>
          <w:color w:val="231F20"/>
          <w:spacing w:val="5"/>
          <w:sz w:val="15"/>
          <w:szCs w:val="15"/>
        </w:rPr>
        <w:t>滕尼斯</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13"/>
          <w:sz w:val="15"/>
          <w:szCs w:val="15"/>
        </w:rPr>
        <w:t xml:space="preserve"> </w:t>
      </w:r>
      <w:r>
        <w:rPr>
          <w:rFonts w:ascii="微软雅黑" w:hAnsi="微软雅黑" w:eastAsia="微软雅黑" w:cs="微软雅黑"/>
          <w:color w:val="231F20"/>
          <w:spacing w:val="5"/>
          <w:sz w:val="15"/>
          <w:szCs w:val="15"/>
        </w:rPr>
        <w:t>共同体与社会——纯粹社会学的基本概念</w:t>
      </w:r>
      <w:r>
        <w:rPr>
          <w:rFonts w:ascii="Times New Roman" w:hAnsi="Times New Roman" w:eastAsia="Times New Roman" w:cs="Times New Roman"/>
          <w:color w:val="231F20"/>
          <w:spacing w:val="5"/>
          <w:sz w:val="15"/>
          <w:szCs w:val="15"/>
        </w:rPr>
        <w:t>[M</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z w:val="15"/>
          <w:szCs w:val="15"/>
        </w:rPr>
        <w:t xml:space="preserve"> </w:t>
      </w:r>
      <w:r>
        <w:rPr>
          <w:rFonts w:ascii="微软雅黑" w:hAnsi="微软雅黑" w:eastAsia="微软雅黑" w:cs="微软雅黑"/>
          <w:color w:val="231F20"/>
          <w:spacing w:val="4"/>
          <w:sz w:val="15"/>
          <w:szCs w:val="15"/>
        </w:rPr>
        <w:t>北京</w:t>
      </w:r>
      <w:r>
        <w:rPr>
          <w:rFonts w:ascii="Times New Roman" w:hAnsi="Times New Roman" w:eastAsia="Times New Roman" w:cs="Times New Roman"/>
          <w:color w:val="231F20"/>
          <w:spacing w:val="4"/>
          <w:sz w:val="15"/>
          <w:szCs w:val="15"/>
        </w:rPr>
        <w:t>:</w:t>
      </w:r>
      <w:r>
        <w:rPr>
          <w:rFonts w:ascii="微软雅黑" w:hAnsi="微软雅黑" w:eastAsia="微软雅黑" w:cs="微软雅黑"/>
          <w:color w:val="231F20"/>
          <w:spacing w:val="4"/>
          <w:sz w:val="15"/>
          <w:szCs w:val="15"/>
        </w:rPr>
        <w:t>商务印书馆</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pacing w:val="-9"/>
          <w:sz w:val="15"/>
          <w:szCs w:val="15"/>
        </w:rPr>
        <w:t xml:space="preserve"> </w:t>
      </w:r>
      <w:r>
        <w:rPr>
          <w:rFonts w:ascii="Times New Roman" w:hAnsi="Times New Roman" w:eastAsia="Times New Roman" w:cs="Times New Roman"/>
          <w:color w:val="231F20"/>
          <w:spacing w:val="4"/>
          <w:sz w:val="15"/>
          <w:szCs w:val="15"/>
        </w:rPr>
        <w:t>1999:58.</w:t>
      </w:r>
    </w:p>
    <w:p>
      <w:pPr>
        <w:spacing w:before="76" w:line="242" w:lineRule="auto"/>
        <w:ind w:left="3" w:right="21" w:firstLine="322"/>
        <w:rPr>
          <w:rFonts w:ascii="Times New Roman" w:hAnsi="Times New Roman" w:eastAsia="Times New Roman" w:cs="Times New Roman"/>
          <w:sz w:val="15"/>
          <w:szCs w:val="15"/>
        </w:rPr>
      </w:pPr>
      <w:r>
        <w:rPr>
          <w:rFonts w:ascii="Times New Roman" w:hAnsi="Times New Roman" w:eastAsia="Times New Roman" w:cs="Times New Roman"/>
          <w:color w:val="231F20"/>
          <w:spacing w:val="5"/>
          <w:sz w:val="15"/>
          <w:szCs w:val="15"/>
        </w:rPr>
        <w:t>[32][45][47](</w:t>
      </w:r>
      <w:r>
        <w:rPr>
          <w:rFonts w:ascii="微软雅黑" w:hAnsi="微软雅黑" w:eastAsia="微软雅黑" w:cs="微软雅黑"/>
          <w:color w:val="231F20"/>
          <w:spacing w:val="5"/>
          <w:sz w:val="15"/>
          <w:szCs w:val="15"/>
        </w:rPr>
        <w:t>德</w:t>
      </w:r>
      <w:r>
        <w:rPr>
          <w:rFonts w:ascii="Times New Roman" w:hAnsi="Times New Roman" w:eastAsia="Times New Roman" w:cs="Times New Roman"/>
          <w:color w:val="231F20"/>
          <w:spacing w:val="5"/>
          <w:sz w:val="15"/>
          <w:szCs w:val="15"/>
        </w:rPr>
        <w:t>)</w:t>
      </w:r>
      <w:r>
        <w:rPr>
          <w:rFonts w:ascii="微软雅黑" w:hAnsi="微软雅黑" w:eastAsia="微软雅黑" w:cs="微软雅黑"/>
          <w:color w:val="231F20"/>
          <w:spacing w:val="5"/>
          <w:sz w:val="15"/>
          <w:szCs w:val="15"/>
        </w:rPr>
        <w:t>卡尔·雅思贝尔斯</w:t>
      </w:r>
      <w:r>
        <w:rPr>
          <w:rFonts w:ascii="微软雅黑" w:hAnsi="微软雅黑" w:eastAsia="微软雅黑" w:cs="微软雅黑"/>
          <w:color w:val="231F20"/>
          <w:spacing w:val="-6"/>
          <w:sz w:val="15"/>
          <w:szCs w:val="15"/>
        </w:rPr>
        <w:t xml:space="preserve"> </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8"/>
          <w:sz w:val="15"/>
          <w:szCs w:val="15"/>
        </w:rPr>
        <w:t xml:space="preserve"> </w:t>
      </w:r>
      <w:r>
        <w:rPr>
          <w:rFonts w:ascii="微软雅黑" w:hAnsi="微软雅黑" w:eastAsia="微软雅黑" w:cs="微软雅黑"/>
          <w:color w:val="231F20"/>
          <w:spacing w:val="5"/>
          <w:sz w:val="15"/>
          <w:szCs w:val="15"/>
        </w:rPr>
        <w:t>大学之理念</w:t>
      </w:r>
      <w:r>
        <w:rPr>
          <w:rFonts w:ascii="Times New Roman" w:hAnsi="Times New Roman" w:eastAsia="Times New Roman" w:cs="Times New Roman"/>
          <w:color w:val="231F20"/>
          <w:spacing w:val="5"/>
          <w:sz w:val="15"/>
          <w:szCs w:val="15"/>
        </w:rPr>
        <w:t>[M].</w:t>
      </w:r>
      <w:r>
        <w:rPr>
          <w:rFonts w:ascii="微软雅黑" w:hAnsi="微软雅黑" w:eastAsia="微软雅黑" w:cs="微软雅黑"/>
          <w:color w:val="231F20"/>
          <w:spacing w:val="5"/>
          <w:sz w:val="15"/>
          <w:szCs w:val="15"/>
        </w:rPr>
        <w:t>邱立波译</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12"/>
          <w:sz w:val="15"/>
          <w:szCs w:val="15"/>
        </w:rPr>
        <w:t xml:space="preserve"> </w:t>
      </w:r>
      <w:r>
        <w:rPr>
          <w:rFonts w:ascii="微软雅黑" w:hAnsi="微软雅黑" w:eastAsia="微软雅黑" w:cs="微软雅黑"/>
          <w:color w:val="231F20"/>
          <w:spacing w:val="5"/>
          <w:sz w:val="15"/>
          <w:szCs w:val="15"/>
        </w:rPr>
        <w:t>上</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5"/>
          <w:sz w:val="15"/>
          <w:szCs w:val="15"/>
        </w:rPr>
        <w:t>海</w:t>
      </w:r>
      <w:r>
        <w:rPr>
          <w:rFonts w:ascii="Times New Roman" w:hAnsi="Times New Roman" w:eastAsia="Times New Roman" w:cs="Times New Roman"/>
          <w:color w:val="231F20"/>
          <w:spacing w:val="5"/>
          <w:sz w:val="15"/>
          <w:szCs w:val="15"/>
        </w:rPr>
        <w:t>:</w:t>
      </w:r>
      <w:r>
        <w:rPr>
          <w:rFonts w:ascii="微软雅黑" w:hAnsi="微软雅黑" w:eastAsia="微软雅黑" w:cs="微软雅黑"/>
          <w:color w:val="231F20"/>
          <w:spacing w:val="5"/>
          <w:sz w:val="15"/>
          <w:szCs w:val="15"/>
        </w:rPr>
        <w:t>上海人民出版社</w:t>
      </w:r>
      <w:r>
        <w:rPr>
          <w:rFonts w:ascii="Times New Roman" w:hAnsi="Times New Roman" w:eastAsia="Times New Roman" w:cs="Times New Roman"/>
          <w:color w:val="231F20"/>
          <w:spacing w:val="5"/>
          <w:sz w:val="15"/>
          <w:szCs w:val="15"/>
        </w:rPr>
        <w:t>,2007:97,82,56.</w:t>
      </w:r>
    </w:p>
    <w:p>
      <w:pPr>
        <w:spacing w:before="77" w:line="242" w:lineRule="auto"/>
        <w:ind w:right="21" w:firstLine="325"/>
        <w:rPr>
          <w:rFonts w:ascii="Times New Roman" w:hAnsi="Times New Roman" w:eastAsia="Times New Roman" w:cs="Times New Roman"/>
          <w:sz w:val="15"/>
          <w:szCs w:val="15"/>
        </w:rPr>
      </w:pPr>
      <w:r>
        <w:rPr>
          <w:rFonts w:ascii="Times New Roman" w:hAnsi="Times New Roman" w:eastAsia="Times New Roman" w:cs="Times New Roman"/>
          <w:color w:val="231F20"/>
          <w:spacing w:val="8"/>
          <w:sz w:val="15"/>
          <w:szCs w:val="15"/>
        </w:rPr>
        <w:t>[33][36][37][38](</w:t>
      </w:r>
      <w:r>
        <w:rPr>
          <w:rFonts w:ascii="微软雅黑" w:hAnsi="微软雅黑" w:eastAsia="微软雅黑" w:cs="微软雅黑"/>
          <w:color w:val="231F20"/>
          <w:spacing w:val="8"/>
          <w:sz w:val="15"/>
          <w:szCs w:val="15"/>
        </w:rPr>
        <w:t>英</w:t>
      </w:r>
      <w:r>
        <w:rPr>
          <w:rFonts w:ascii="Times New Roman" w:hAnsi="Times New Roman" w:eastAsia="Times New Roman" w:cs="Times New Roman"/>
          <w:color w:val="231F20"/>
          <w:spacing w:val="8"/>
          <w:sz w:val="15"/>
          <w:szCs w:val="15"/>
        </w:rPr>
        <w:t>)</w:t>
      </w:r>
      <w:r>
        <w:rPr>
          <w:rFonts w:ascii="微软雅黑" w:hAnsi="微软雅黑" w:eastAsia="微软雅黑" w:cs="微软雅黑"/>
          <w:color w:val="231F20"/>
          <w:spacing w:val="8"/>
          <w:sz w:val="15"/>
          <w:szCs w:val="15"/>
        </w:rPr>
        <w:t>罗纳德·巴尼特</w:t>
      </w:r>
      <w:r>
        <w:rPr>
          <w:rFonts w:ascii="微软雅黑" w:hAnsi="微软雅黑" w:eastAsia="微软雅黑" w:cs="微软雅黑"/>
          <w:color w:val="231F20"/>
          <w:spacing w:val="-4"/>
          <w:sz w:val="15"/>
          <w:szCs w:val="15"/>
        </w:rPr>
        <w:t xml:space="preserve"> </w:t>
      </w:r>
      <w:r>
        <w:rPr>
          <w:rFonts w:ascii="Times New Roman" w:hAnsi="Times New Roman" w:eastAsia="Times New Roman" w:cs="Times New Roman"/>
          <w:color w:val="231F20"/>
          <w:spacing w:val="8"/>
          <w:sz w:val="15"/>
          <w:szCs w:val="15"/>
        </w:rPr>
        <w:t xml:space="preserve">. </w:t>
      </w:r>
      <w:r>
        <w:rPr>
          <w:rFonts w:ascii="微软雅黑" w:hAnsi="微软雅黑" w:eastAsia="微软雅黑" w:cs="微软雅黑"/>
          <w:color w:val="231F20"/>
          <w:spacing w:val="8"/>
          <w:sz w:val="15"/>
          <w:szCs w:val="15"/>
        </w:rPr>
        <w:t>高等教育理念</w:t>
      </w:r>
      <w:r>
        <w:rPr>
          <w:rFonts w:ascii="Times New Roman" w:hAnsi="Times New Roman" w:eastAsia="Times New Roman" w:cs="Times New Roman"/>
          <w:color w:val="231F20"/>
          <w:spacing w:val="8"/>
          <w:sz w:val="15"/>
          <w:szCs w:val="15"/>
        </w:rPr>
        <w:t>[M].</w:t>
      </w:r>
      <w:r>
        <w:rPr>
          <w:rFonts w:ascii="微软雅黑" w:hAnsi="微软雅黑" w:eastAsia="微软雅黑" w:cs="微软雅黑"/>
          <w:color w:val="231F20"/>
          <w:spacing w:val="8"/>
          <w:sz w:val="15"/>
          <w:szCs w:val="15"/>
        </w:rPr>
        <w:t>蓝劲松</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4"/>
          <w:sz w:val="15"/>
          <w:szCs w:val="15"/>
        </w:rPr>
        <w:t>译</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pacing w:val="-14"/>
          <w:sz w:val="15"/>
          <w:szCs w:val="15"/>
        </w:rPr>
        <w:t xml:space="preserve"> </w:t>
      </w:r>
      <w:r>
        <w:rPr>
          <w:rFonts w:ascii="微软雅黑" w:hAnsi="微软雅黑" w:eastAsia="微软雅黑" w:cs="微软雅黑"/>
          <w:color w:val="231F20"/>
          <w:spacing w:val="4"/>
          <w:sz w:val="15"/>
          <w:szCs w:val="15"/>
        </w:rPr>
        <w:t>北京</w:t>
      </w:r>
      <w:r>
        <w:rPr>
          <w:rFonts w:ascii="Times New Roman" w:hAnsi="Times New Roman" w:eastAsia="Times New Roman" w:cs="Times New Roman"/>
          <w:color w:val="231F20"/>
          <w:spacing w:val="4"/>
          <w:sz w:val="15"/>
          <w:szCs w:val="15"/>
        </w:rPr>
        <w:t>:</w:t>
      </w:r>
      <w:r>
        <w:rPr>
          <w:rFonts w:ascii="微软雅黑" w:hAnsi="微软雅黑" w:eastAsia="微软雅黑" w:cs="微软雅黑"/>
          <w:color w:val="231F20"/>
          <w:spacing w:val="4"/>
          <w:sz w:val="15"/>
          <w:szCs w:val="15"/>
        </w:rPr>
        <w:t>北京大学出版社</w:t>
      </w:r>
      <w:r>
        <w:rPr>
          <w:rFonts w:ascii="Times New Roman" w:hAnsi="Times New Roman" w:eastAsia="Times New Roman" w:cs="Times New Roman"/>
          <w:color w:val="231F20"/>
          <w:spacing w:val="4"/>
          <w:sz w:val="15"/>
          <w:szCs w:val="15"/>
        </w:rPr>
        <w:t>, 2012:1</w:t>
      </w:r>
      <w:r>
        <w:rPr>
          <w:rFonts w:ascii="Times New Roman" w:hAnsi="Times New Roman" w:eastAsia="Times New Roman" w:cs="Times New Roman"/>
          <w:color w:val="231F20"/>
          <w:spacing w:val="3"/>
          <w:sz w:val="15"/>
          <w:szCs w:val="15"/>
        </w:rPr>
        <w:t>35,</w:t>
      </w:r>
      <w:r>
        <w:rPr>
          <w:rFonts w:ascii="Times New Roman" w:hAnsi="Times New Roman" w:eastAsia="Times New Roman" w:cs="Times New Roman"/>
          <w:color w:val="231F20"/>
          <w:spacing w:val="20"/>
          <w:sz w:val="15"/>
          <w:szCs w:val="15"/>
        </w:rPr>
        <w:t xml:space="preserve"> </w:t>
      </w:r>
      <w:r>
        <w:rPr>
          <w:rFonts w:ascii="Times New Roman" w:hAnsi="Times New Roman" w:eastAsia="Times New Roman" w:cs="Times New Roman"/>
          <w:color w:val="231F20"/>
          <w:spacing w:val="3"/>
          <w:sz w:val="15"/>
          <w:szCs w:val="15"/>
        </w:rPr>
        <w:t>133,58,</w:t>
      </w:r>
      <w:r>
        <w:rPr>
          <w:rFonts w:ascii="Times New Roman" w:hAnsi="Times New Roman" w:eastAsia="Times New Roman" w:cs="Times New Roman"/>
          <w:color w:val="231F20"/>
          <w:spacing w:val="-20"/>
          <w:sz w:val="15"/>
          <w:szCs w:val="15"/>
        </w:rPr>
        <w:t xml:space="preserve"> </w:t>
      </w:r>
      <w:r>
        <w:rPr>
          <w:rFonts w:ascii="Times New Roman" w:hAnsi="Times New Roman" w:eastAsia="Times New Roman" w:cs="Times New Roman"/>
          <w:color w:val="231F20"/>
          <w:spacing w:val="3"/>
          <w:sz w:val="15"/>
          <w:szCs w:val="15"/>
        </w:rPr>
        <w:t>103.</w:t>
      </w:r>
    </w:p>
    <w:p>
      <w:pPr>
        <w:spacing w:before="76" w:line="242" w:lineRule="auto"/>
        <w:ind w:left="3" w:right="21" w:firstLine="322"/>
        <w:rPr>
          <w:rFonts w:ascii="Times New Roman" w:hAnsi="Times New Roman" w:eastAsia="Times New Roman" w:cs="Times New Roman"/>
          <w:sz w:val="15"/>
          <w:szCs w:val="15"/>
        </w:rPr>
      </w:pPr>
      <w:r>
        <w:rPr>
          <w:rFonts w:ascii="Times New Roman" w:hAnsi="Times New Roman" w:eastAsia="Times New Roman" w:cs="Times New Roman"/>
          <w:color w:val="231F20"/>
          <w:spacing w:val="5"/>
          <w:sz w:val="15"/>
          <w:szCs w:val="15"/>
        </w:rPr>
        <w:t>[34][40](</w:t>
      </w:r>
      <w:r>
        <w:rPr>
          <w:rFonts w:ascii="微软雅黑" w:hAnsi="微软雅黑" w:eastAsia="微软雅黑" w:cs="微软雅黑"/>
          <w:color w:val="231F20"/>
          <w:spacing w:val="5"/>
          <w:sz w:val="15"/>
          <w:szCs w:val="15"/>
        </w:rPr>
        <w:t>英</w:t>
      </w:r>
      <w:r>
        <w:rPr>
          <w:rFonts w:ascii="Times New Roman" w:hAnsi="Times New Roman" w:eastAsia="Times New Roman" w:cs="Times New Roman"/>
          <w:color w:val="231F20"/>
          <w:spacing w:val="5"/>
          <w:sz w:val="15"/>
          <w:szCs w:val="15"/>
        </w:rPr>
        <w:t>)</w:t>
      </w:r>
      <w:r>
        <w:rPr>
          <w:rFonts w:ascii="微软雅黑" w:hAnsi="微软雅黑" w:eastAsia="微软雅黑" w:cs="微软雅黑"/>
          <w:color w:val="231F20"/>
          <w:spacing w:val="5"/>
          <w:sz w:val="15"/>
          <w:szCs w:val="15"/>
        </w:rPr>
        <w:t>纽曼</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8"/>
          <w:sz w:val="15"/>
          <w:szCs w:val="15"/>
        </w:rPr>
        <w:t xml:space="preserve"> </w:t>
      </w:r>
      <w:r>
        <w:rPr>
          <w:rFonts w:ascii="微软雅黑" w:hAnsi="微软雅黑" w:eastAsia="微软雅黑" w:cs="微软雅黑"/>
          <w:color w:val="231F20"/>
          <w:spacing w:val="5"/>
          <w:sz w:val="15"/>
          <w:szCs w:val="15"/>
        </w:rPr>
        <w:t>大学的理想</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11"/>
          <w:w w:val="102"/>
          <w:sz w:val="15"/>
          <w:szCs w:val="15"/>
        </w:rPr>
        <w:t xml:space="preserve"> </w:t>
      </w:r>
      <w:r>
        <w:rPr>
          <w:rFonts w:ascii="Times New Roman" w:hAnsi="Times New Roman" w:eastAsia="Times New Roman" w:cs="Times New Roman"/>
          <w:color w:val="231F20"/>
          <w:spacing w:val="5"/>
          <w:sz w:val="15"/>
          <w:szCs w:val="15"/>
        </w:rPr>
        <w:t>M</w:t>
      </w:r>
      <w:r>
        <w:rPr>
          <w:rFonts w:ascii="Times New Roman" w:hAnsi="Times New Roman" w:eastAsia="Times New Roman" w:cs="Times New Roman"/>
          <w:color w:val="231F20"/>
          <w:spacing w:val="4"/>
          <w:sz w:val="15"/>
          <w:szCs w:val="15"/>
        </w:rPr>
        <w:t>].</w:t>
      </w:r>
      <w:r>
        <w:rPr>
          <w:rFonts w:ascii="微软雅黑" w:hAnsi="微软雅黑" w:eastAsia="微软雅黑" w:cs="微软雅黑"/>
          <w:color w:val="231F20"/>
          <w:spacing w:val="4"/>
          <w:sz w:val="15"/>
          <w:szCs w:val="15"/>
        </w:rPr>
        <w:t>徐辉</w:t>
      </w:r>
      <w:r>
        <w:rPr>
          <w:rFonts w:ascii="Times New Roman" w:hAnsi="Times New Roman" w:eastAsia="Times New Roman" w:cs="Times New Roman"/>
          <w:color w:val="231F20"/>
          <w:spacing w:val="4"/>
          <w:sz w:val="15"/>
          <w:szCs w:val="15"/>
        </w:rPr>
        <w:t>,</w:t>
      </w:r>
      <w:r>
        <w:rPr>
          <w:rFonts w:ascii="微软雅黑" w:hAnsi="微软雅黑" w:eastAsia="微软雅黑" w:cs="微软雅黑"/>
          <w:color w:val="231F20"/>
          <w:spacing w:val="4"/>
          <w:sz w:val="15"/>
          <w:szCs w:val="15"/>
        </w:rPr>
        <w:t>顾建新</w:t>
      </w:r>
      <w:r>
        <w:rPr>
          <w:rFonts w:ascii="Times New Roman" w:hAnsi="Times New Roman" w:eastAsia="Times New Roman" w:cs="Times New Roman"/>
          <w:color w:val="231F20"/>
          <w:spacing w:val="4"/>
          <w:sz w:val="15"/>
          <w:szCs w:val="15"/>
        </w:rPr>
        <w:t>,</w:t>
      </w:r>
      <w:r>
        <w:rPr>
          <w:rFonts w:ascii="微软雅黑" w:hAnsi="微软雅黑" w:eastAsia="微软雅黑" w:cs="微软雅黑"/>
          <w:color w:val="231F20"/>
          <w:spacing w:val="4"/>
          <w:sz w:val="15"/>
          <w:szCs w:val="15"/>
        </w:rPr>
        <w:t>何曙荣译</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pacing w:val="-12"/>
          <w:sz w:val="15"/>
          <w:szCs w:val="15"/>
        </w:rPr>
        <w:t xml:space="preserve"> </w:t>
      </w:r>
      <w:r>
        <w:rPr>
          <w:rFonts w:ascii="微软雅黑" w:hAnsi="微软雅黑" w:eastAsia="微软雅黑" w:cs="微软雅黑"/>
          <w:color w:val="231F20"/>
          <w:spacing w:val="4"/>
          <w:sz w:val="15"/>
          <w:szCs w:val="15"/>
        </w:rPr>
        <w:t>杭州</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z w:val="15"/>
          <w:szCs w:val="15"/>
        </w:rPr>
        <w:t xml:space="preserve"> </w:t>
      </w:r>
      <w:r>
        <w:rPr>
          <w:rFonts w:ascii="微软雅黑" w:hAnsi="微软雅黑" w:eastAsia="微软雅黑" w:cs="微软雅黑"/>
          <w:color w:val="231F20"/>
          <w:spacing w:val="6"/>
          <w:sz w:val="15"/>
          <w:szCs w:val="15"/>
        </w:rPr>
        <w:t>浙江教育出版社</w:t>
      </w:r>
      <w:r>
        <w:rPr>
          <w:rFonts w:ascii="Times New Roman" w:hAnsi="Times New Roman" w:eastAsia="Times New Roman" w:cs="Times New Roman"/>
          <w:color w:val="231F20"/>
          <w:spacing w:val="6"/>
          <w:sz w:val="15"/>
          <w:szCs w:val="15"/>
        </w:rPr>
        <w:t>,2001:59.</w:t>
      </w:r>
    </w:p>
    <w:p>
      <w:pPr>
        <w:spacing w:before="77" w:line="242" w:lineRule="auto"/>
        <w:ind w:left="1" w:right="21" w:firstLine="323"/>
        <w:rPr>
          <w:rFonts w:ascii="Times New Roman" w:hAnsi="Times New Roman" w:eastAsia="Times New Roman" w:cs="Times New Roman"/>
          <w:sz w:val="15"/>
          <w:szCs w:val="15"/>
        </w:rPr>
      </w:pPr>
      <w:r>
        <w:rPr>
          <w:rFonts w:ascii="Times New Roman" w:hAnsi="Times New Roman" w:eastAsia="Times New Roman" w:cs="Times New Roman"/>
          <w:color w:val="231F20"/>
          <w:spacing w:val="5"/>
          <w:sz w:val="15"/>
          <w:szCs w:val="15"/>
        </w:rPr>
        <w:t>[35][49](</w:t>
      </w:r>
      <w:r>
        <w:rPr>
          <w:rFonts w:ascii="微软雅黑" w:hAnsi="微软雅黑" w:eastAsia="微软雅黑" w:cs="微软雅黑"/>
          <w:color w:val="231F20"/>
          <w:spacing w:val="5"/>
          <w:sz w:val="15"/>
          <w:szCs w:val="15"/>
        </w:rPr>
        <w:t>德</w:t>
      </w:r>
      <w:r>
        <w:rPr>
          <w:rFonts w:ascii="Times New Roman" w:hAnsi="Times New Roman" w:eastAsia="Times New Roman" w:cs="Times New Roman"/>
          <w:color w:val="231F20"/>
          <w:spacing w:val="5"/>
          <w:sz w:val="15"/>
          <w:szCs w:val="15"/>
        </w:rPr>
        <w:t>)</w:t>
      </w:r>
      <w:r>
        <w:rPr>
          <w:rFonts w:ascii="微软雅黑" w:hAnsi="微软雅黑" w:eastAsia="微软雅黑" w:cs="微软雅黑"/>
          <w:color w:val="231F20"/>
          <w:spacing w:val="5"/>
          <w:sz w:val="15"/>
          <w:szCs w:val="15"/>
        </w:rPr>
        <w:t>雅斯贝斯</w:t>
      </w:r>
      <w:r>
        <w:rPr>
          <w:rFonts w:ascii="微软雅黑" w:hAnsi="微软雅黑" w:eastAsia="微软雅黑" w:cs="微软雅黑"/>
          <w:color w:val="231F20"/>
          <w:spacing w:val="-1"/>
          <w:sz w:val="15"/>
          <w:szCs w:val="15"/>
        </w:rPr>
        <w:t xml:space="preserve"> </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12"/>
          <w:sz w:val="15"/>
          <w:szCs w:val="15"/>
        </w:rPr>
        <w:t xml:space="preserve"> </w:t>
      </w:r>
      <w:r>
        <w:rPr>
          <w:rFonts w:ascii="微软雅黑" w:hAnsi="微软雅黑" w:eastAsia="微软雅黑" w:cs="微软雅黑"/>
          <w:color w:val="231F20"/>
          <w:spacing w:val="5"/>
          <w:sz w:val="15"/>
          <w:szCs w:val="15"/>
        </w:rPr>
        <w:t>什么是教育</w:t>
      </w:r>
      <w:r>
        <w:rPr>
          <w:rFonts w:ascii="Times New Roman" w:hAnsi="Times New Roman" w:eastAsia="Times New Roman" w:cs="Times New Roman"/>
          <w:color w:val="231F20"/>
          <w:spacing w:val="5"/>
          <w:sz w:val="15"/>
          <w:szCs w:val="15"/>
        </w:rPr>
        <w:t>[M].</w:t>
      </w:r>
      <w:r>
        <w:rPr>
          <w:rFonts w:ascii="微软雅黑" w:hAnsi="微软雅黑" w:eastAsia="微软雅黑" w:cs="微软雅黑"/>
          <w:color w:val="231F20"/>
          <w:spacing w:val="5"/>
          <w:sz w:val="15"/>
          <w:szCs w:val="15"/>
        </w:rPr>
        <w:t>王承绪译</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12"/>
          <w:sz w:val="15"/>
          <w:szCs w:val="15"/>
        </w:rPr>
        <w:t xml:space="preserve"> </w:t>
      </w:r>
      <w:r>
        <w:rPr>
          <w:rFonts w:ascii="微软雅黑" w:hAnsi="微软雅黑" w:eastAsia="微软雅黑" w:cs="微软雅黑"/>
          <w:color w:val="231F20"/>
          <w:spacing w:val="5"/>
          <w:sz w:val="15"/>
          <w:szCs w:val="15"/>
        </w:rPr>
        <w:t>人民教育出版</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3"/>
          <w:sz w:val="15"/>
          <w:szCs w:val="15"/>
        </w:rPr>
        <w:t>社</w:t>
      </w:r>
      <w:r>
        <w:rPr>
          <w:rFonts w:ascii="Times New Roman" w:hAnsi="Times New Roman" w:eastAsia="Times New Roman" w:cs="Times New Roman"/>
          <w:color w:val="231F20"/>
          <w:spacing w:val="-3"/>
          <w:sz w:val="15"/>
          <w:szCs w:val="15"/>
        </w:rPr>
        <w:t>,</w:t>
      </w:r>
      <w:r>
        <w:rPr>
          <w:rFonts w:ascii="Times New Roman" w:hAnsi="Times New Roman" w:eastAsia="Times New Roman" w:cs="Times New Roman"/>
          <w:color w:val="231F20"/>
          <w:spacing w:val="-9"/>
          <w:sz w:val="15"/>
          <w:szCs w:val="15"/>
        </w:rPr>
        <w:t xml:space="preserve"> </w:t>
      </w:r>
      <w:r>
        <w:rPr>
          <w:rFonts w:ascii="Times New Roman" w:hAnsi="Times New Roman" w:eastAsia="Times New Roman" w:cs="Times New Roman"/>
          <w:color w:val="231F20"/>
          <w:spacing w:val="-3"/>
          <w:sz w:val="15"/>
          <w:szCs w:val="15"/>
        </w:rPr>
        <w:t>1991:150</w:t>
      </w:r>
      <w:r>
        <w:rPr>
          <w:rFonts w:ascii="微软雅黑" w:hAnsi="微软雅黑" w:eastAsia="微软雅黑" w:cs="微软雅黑"/>
          <w:color w:val="231F20"/>
          <w:spacing w:val="-3"/>
          <w:sz w:val="15"/>
          <w:szCs w:val="15"/>
        </w:rPr>
        <w:t>，</w:t>
      </w:r>
      <w:r>
        <w:rPr>
          <w:rFonts w:ascii="Times New Roman" w:hAnsi="Times New Roman" w:eastAsia="Times New Roman" w:cs="Times New Roman"/>
          <w:color w:val="231F20"/>
          <w:spacing w:val="-3"/>
          <w:sz w:val="15"/>
          <w:szCs w:val="15"/>
        </w:rPr>
        <w:t>113.</w:t>
      </w:r>
    </w:p>
    <w:p>
      <w:pPr>
        <w:spacing w:before="76"/>
        <w:ind w:left="4" w:right="21" w:firstLine="361"/>
        <w:rPr>
          <w:rFonts w:ascii="Times New Roman" w:hAnsi="Times New Roman" w:eastAsia="Times New Roman" w:cs="Times New Roman"/>
          <w:sz w:val="15"/>
          <w:szCs w:val="15"/>
        </w:rPr>
      </w:pPr>
      <w:r>
        <w:rPr>
          <w:rFonts w:ascii="Times New Roman" w:hAnsi="Times New Roman" w:eastAsia="Times New Roman" w:cs="Times New Roman"/>
          <w:color w:val="231F20"/>
          <w:spacing w:val="7"/>
          <w:sz w:val="15"/>
          <w:szCs w:val="15"/>
        </w:rPr>
        <w:t>[39](</w:t>
      </w:r>
      <w:r>
        <w:rPr>
          <w:rFonts w:ascii="微软雅黑" w:hAnsi="微软雅黑" w:eastAsia="微软雅黑" w:cs="微软雅黑"/>
          <w:color w:val="231F20"/>
          <w:spacing w:val="7"/>
          <w:sz w:val="15"/>
          <w:szCs w:val="15"/>
        </w:rPr>
        <w:t>英</w:t>
      </w:r>
      <w:r>
        <w:rPr>
          <w:rFonts w:ascii="Times New Roman" w:hAnsi="Times New Roman" w:eastAsia="Times New Roman" w:cs="Times New Roman"/>
          <w:color w:val="231F20"/>
          <w:spacing w:val="7"/>
          <w:sz w:val="15"/>
          <w:szCs w:val="15"/>
        </w:rPr>
        <w:t>)</w:t>
      </w:r>
      <w:r>
        <w:rPr>
          <w:rFonts w:ascii="微软雅黑" w:hAnsi="微软雅黑" w:eastAsia="微软雅黑" w:cs="微软雅黑"/>
          <w:color w:val="231F20"/>
          <w:spacing w:val="7"/>
          <w:sz w:val="15"/>
          <w:szCs w:val="15"/>
        </w:rPr>
        <w:t>大卫·帕尔菲曼</w:t>
      </w:r>
      <w:r>
        <w:rPr>
          <w:rFonts w:ascii="微软雅黑" w:hAnsi="微软雅黑" w:eastAsia="微软雅黑" w:cs="微软雅黑"/>
          <w:color w:val="231F20"/>
          <w:spacing w:val="-1"/>
          <w:sz w:val="15"/>
          <w:szCs w:val="15"/>
        </w:rPr>
        <w:t xml:space="preserve"> </w:t>
      </w:r>
      <w:r>
        <w:rPr>
          <w:rFonts w:ascii="Times New Roman" w:hAnsi="Times New Roman" w:eastAsia="Times New Roman" w:cs="Times New Roman"/>
          <w:color w:val="231F20"/>
          <w:spacing w:val="7"/>
          <w:sz w:val="15"/>
          <w:szCs w:val="15"/>
        </w:rPr>
        <w:t>.</w:t>
      </w:r>
      <w:r>
        <w:rPr>
          <w:rFonts w:ascii="Times New Roman" w:hAnsi="Times New Roman" w:eastAsia="Times New Roman" w:cs="Times New Roman"/>
          <w:color w:val="231F20"/>
          <w:spacing w:val="-11"/>
          <w:sz w:val="15"/>
          <w:szCs w:val="15"/>
        </w:rPr>
        <w:t xml:space="preserve"> </w:t>
      </w:r>
      <w:r>
        <w:rPr>
          <w:rFonts w:ascii="微软雅黑" w:hAnsi="微软雅黑" w:eastAsia="微软雅黑" w:cs="微软雅黑"/>
          <w:color w:val="231F20"/>
          <w:spacing w:val="7"/>
          <w:sz w:val="15"/>
          <w:szCs w:val="15"/>
        </w:rPr>
        <w:t>高等教育何以为高</w:t>
      </w:r>
      <w:r>
        <w:rPr>
          <w:rFonts w:ascii="Times New Roman" w:hAnsi="Times New Roman" w:eastAsia="Times New Roman" w:cs="Times New Roman"/>
          <w:color w:val="231F20"/>
          <w:spacing w:val="7"/>
          <w:sz w:val="15"/>
          <w:szCs w:val="15"/>
        </w:rPr>
        <w:t>:</w:t>
      </w:r>
      <w:r>
        <w:rPr>
          <w:rFonts w:ascii="微软雅黑" w:hAnsi="微软雅黑" w:eastAsia="微软雅黑" w:cs="微软雅黑"/>
          <w:color w:val="231F20"/>
          <w:spacing w:val="7"/>
          <w:sz w:val="15"/>
          <w:szCs w:val="15"/>
        </w:rPr>
        <w:t>牛津导师制教学反</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5"/>
          <w:sz w:val="15"/>
          <w:szCs w:val="15"/>
        </w:rPr>
        <w:t>思</w:t>
      </w:r>
      <w:r>
        <w:rPr>
          <w:rFonts w:ascii="Times New Roman" w:hAnsi="Times New Roman" w:eastAsia="Times New Roman" w:cs="Times New Roman"/>
          <w:color w:val="231F20"/>
          <w:spacing w:val="5"/>
          <w:sz w:val="15"/>
          <w:szCs w:val="15"/>
        </w:rPr>
        <w:t>[M].</w:t>
      </w:r>
      <w:r>
        <w:rPr>
          <w:rFonts w:ascii="微软雅黑" w:hAnsi="微软雅黑" w:eastAsia="微软雅黑" w:cs="微软雅黑"/>
          <w:color w:val="231F20"/>
          <w:spacing w:val="5"/>
          <w:sz w:val="15"/>
          <w:szCs w:val="15"/>
        </w:rPr>
        <w:t>冯青来译</w:t>
      </w:r>
      <w:r>
        <w:rPr>
          <w:rFonts w:ascii="微软雅黑" w:hAnsi="微软雅黑" w:eastAsia="微软雅黑" w:cs="微软雅黑"/>
          <w:color w:val="231F20"/>
          <w:spacing w:val="-10"/>
          <w:sz w:val="15"/>
          <w:szCs w:val="15"/>
        </w:rPr>
        <w:t xml:space="preserve"> </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15"/>
          <w:sz w:val="15"/>
          <w:szCs w:val="15"/>
        </w:rPr>
        <w:t xml:space="preserve"> </w:t>
      </w:r>
      <w:r>
        <w:rPr>
          <w:rFonts w:ascii="微软雅黑" w:hAnsi="微软雅黑" w:eastAsia="微软雅黑" w:cs="微软雅黑"/>
          <w:color w:val="231F20"/>
          <w:spacing w:val="5"/>
          <w:sz w:val="15"/>
          <w:szCs w:val="15"/>
        </w:rPr>
        <w:t>北京</w:t>
      </w:r>
      <w:r>
        <w:rPr>
          <w:rFonts w:ascii="Times New Roman" w:hAnsi="Times New Roman" w:eastAsia="Times New Roman" w:cs="Times New Roman"/>
          <w:color w:val="231F20"/>
          <w:spacing w:val="5"/>
          <w:sz w:val="15"/>
          <w:szCs w:val="15"/>
        </w:rPr>
        <w:t>:</w:t>
      </w:r>
      <w:r>
        <w:rPr>
          <w:rFonts w:ascii="微软雅黑" w:hAnsi="微软雅黑" w:eastAsia="微软雅黑" w:cs="微软雅黑"/>
          <w:color w:val="231F20"/>
          <w:spacing w:val="5"/>
          <w:sz w:val="15"/>
          <w:szCs w:val="15"/>
        </w:rPr>
        <w:t>北京大学出版社</w:t>
      </w:r>
      <w:r>
        <w:rPr>
          <w:rFonts w:ascii="Times New Roman" w:hAnsi="Times New Roman" w:eastAsia="Times New Roman" w:cs="Times New Roman"/>
          <w:color w:val="231F20"/>
          <w:spacing w:val="5"/>
          <w:sz w:val="15"/>
          <w:szCs w:val="15"/>
        </w:rPr>
        <w:t>,2011:72.</w:t>
      </w:r>
    </w:p>
    <w:p>
      <w:pPr>
        <w:spacing w:before="81" w:line="202" w:lineRule="auto"/>
        <w:ind w:left="325"/>
        <w:rPr>
          <w:rFonts w:ascii="Times New Roman" w:hAnsi="Times New Roman" w:eastAsia="Times New Roman" w:cs="Times New Roman"/>
          <w:sz w:val="15"/>
          <w:szCs w:val="15"/>
        </w:rPr>
      </w:pPr>
      <w:r>
        <w:rPr>
          <w:rFonts w:ascii="Times New Roman" w:hAnsi="Times New Roman" w:eastAsia="Times New Roman" w:cs="Times New Roman"/>
          <w:color w:val="231F20"/>
          <w:spacing w:val="1"/>
          <w:sz w:val="15"/>
          <w:szCs w:val="15"/>
        </w:rPr>
        <w:t>[41]</w:t>
      </w:r>
      <w:r>
        <w:rPr>
          <w:rFonts w:ascii="微软雅黑" w:hAnsi="微软雅黑" w:eastAsia="微软雅黑" w:cs="微软雅黑"/>
          <w:color w:val="231F20"/>
          <w:spacing w:val="1"/>
          <w:sz w:val="15"/>
          <w:szCs w:val="15"/>
        </w:rPr>
        <w:t>张楚廷</w:t>
      </w:r>
      <w:r>
        <w:rPr>
          <w:rFonts w:ascii="微软雅黑" w:hAnsi="微软雅黑" w:eastAsia="微软雅黑" w:cs="微软雅黑"/>
          <w:color w:val="231F20"/>
          <w:spacing w:val="-23"/>
          <w:sz w:val="15"/>
          <w:szCs w:val="15"/>
        </w:rPr>
        <w:t xml:space="preserve"> </w:t>
      </w:r>
      <w:r>
        <w:rPr>
          <w:rFonts w:ascii="Times New Roman" w:hAnsi="Times New Roman" w:eastAsia="Times New Roman" w:cs="Times New Roman"/>
          <w:color w:val="231F20"/>
          <w:spacing w:val="1"/>
          <w:sz w:val="15"/>
          <w:szCs w:val="15"/>
        </w:rPr>
        <w:t>.</w:t>
      </w:r>
      <w:r>
        <w:rPr>
          <w:rFonts w:ascii="Times New Roman" w:hAnsi="Times New Roman" w:eastAsia="Times New Roman" w:cs="Times New Roman"/>
          <w:color w:val="231F20"/>
          <w:spacing w:val="-20"/>
          <w:sz w:val="15"/>
          <w:szCs w:val="15"/>
        </w:rPr>
        <w:t xml:space="preserve"> </w:t>
      </w:r>
      <w:r>
        <w:rPr>
          <w:rFonts w:ascii="微软雅黑" w:hAnsi="微软雅黑" w:eastAsia="微软雅黑" w:cs="微软雅黑"/>
          <w:color w:val="231F20"/>
          <w:spacing w:val="1"/>
          <w:sz w:val="15"/>
          <w:szCs w:val="15"/>
        </w:rPr>
        <w:t>高等教育哲学通论</w:t>
      </w:r>
      <w:r>
        <w:rPr>
          <w:rFonts w:ascii="Times New Roman" w:hAnsi="Times New Roman" w:eastAsia="Times New Roman" w:cs="Times New Roman"/>
          <w:color w:val="231F20"/>
          <w:spacing w:val="1"/>
          <w:sz w:val="15"/>
          <w:szCs w:val="15"/>
        </w:rPr>
        <w:t>[M].</w:t>
      </w:r>
      <w:r>
        <w:rPr>
          <w:rFonts w:ascii="微软雅黑" w:hAnsi="微软雅黑" w:eastAsia="微软雅黑" w:cs="微软雅黑"/>
          <w:color w:val="231F20"/>
          <w:sz w:val="15"/>
          <w:szCs w:val="15"/>
        </w:rPr>
        <w:t>北京</w:t>
      </w:r>
      <w:r>
        <w:rPr>
          <w:rFonts w:ascii="Times New Roman" w:hAnsi="Times New Roman" w:eastAsia="Times New Roman" w:cs="Times New Roman"/>
          <w:color w:val="231F20"/>
          <w:sz w:val="15"/>
          <w:szCs w:val="15"/>
        </w:rPr>
        <w:t>:</w:t>
      </w:r>
      <w:r>
        <w:rPr>
          <w:rFonts w:ascii="微软雅黑" w:hAnsi="微软雅黑" w:eastAsia="微软雅黑" w:cs="微软雅黑"/>
          <w:color w:val="231F20"/>
          <w:sz w:val="15"/>
          <w:szCs w:val="15"/>
        </w:rPr>
        <w:t>高等教育出版社</w:t>
      </w:r>
      <w:r>
        <w:rPr>
          <w:rFonts w:ascii="Times New Roman" w:hAnsi="Times New Roman" w:eastAsia="Times New Roman" w:cs="Times New Roman"/>
          <w:color w:val="231F20"/>
          <w:sz w:val="15"/>
          <w:szCs w:val="15"/>
        </w:rPr>
        <w:t>,2010:71.</w:t>
      </w:r>
    </w:p>
    <w:p>
      <w:pPr>
        <w:spacing w:before="81" w:line="242" w:lineRule="auto"/>
        <w:ind w:left="2" w:right="21" w:firstLine="323"/>
        <w:rPr>
          <w:rFonts w:ascii="Times New Roman" w:hAnsi="Times New Roman" w:eastAsia="Times New Roman" w:cs="Times New Roman"/>
          <w:sz w:val="15"/>
          <w:szCs w:val="15"/>
        </w:rPr>
      </w:pPr>
      <w:r>
        <w:rPr>
          <w:rFonts w:ascii="Times New Roman" w:hAnsi="Times New Roman" w:eastAsia="Times New Roman" w:cs="Times New Roman"/>
          <w:color w:val="231F20"/>
          <w:spacing w:val="6"/>
          <w:sz w:val="15"/>
          <w:szCs w:val="15"/>
        </w:rPr>
        <w:t>[42]</w:t>
      </w:r>
      <w:r>
        <w:rPr>
          <w:rFonts w:ascii="Times New Roman" w:hAnsi="Times New Roman" w:eastAsia="Times New Roman" w:cs="Times New Roman"/>
          <w:color w:val="231F20"/>
          <w:spacing w:val="14"/>
          <w:sz w:val="15"/>
          <w:szCs w:val="15"/>
        </w:rPr>
        <w:t xml:space="preserve"> </w:t>
      </w:r>
      <w:r>
        <w:rPr>
          <w:rFonts w:ascii="Times New Roman" w:hAnsi="Times New Roman" w:eastAsia="Times New Roman" w:cs="Times New Roman"/>
          <w:color w:val="231F20"/>
          <w:spacing w:val="6"/>
          <w:sz w:val="15"/>
          <w:szCs w:val="15"/>
        </w:rPr>
        <w:t>(</w:t>
      </w:r>
      <w:r>
        <w:rPr>
          <w:rFonts w:ascii="微软雅黑" w:hAnsi="微软雅黑" w:eastAsia="微软雅黑" w:cs="微软雅黑"/>
          <w:color w:val="231F20"/>
          <w:spacing w:val="6"/>
          <w:sz w:val="15"/>
          <w:szCs w:val="15"/>
        </w:rPr>
        <w:t>德</w:t>
      </w:r>
      <w:r>
        <w:rPr>
          <w:rFonts w:ascii="Times New Roman" w:hAnsi="Times New Roman" w:eastAsia="Times New Roman" w:cs="Times New Roman"/>
          <w:color w:val="231F20"/>
          <w:spacing w:val="6"/>
          <w:sz w:val="15"/>
          <w:szCs w:val="15"/>
        </w:rPr>
        <w:t>)</w:t>
      </w:r>
      <w:r>
        <w:rPr>
          <w:rFonts w:ascii="微软雅黑" w:hAnsi="微软雅黑" w:eastAsia="微软雅黑" w:cs="微软雅黑"/>
          <w:color w:val="231F20"/>
          <w:spacing w:val="6"/>
          <w:sz w:val="15"/>
          <w:szCs w:val="15"/>
        </w:rPr>
        <w:t>费希特</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6"/>
          <w:sz w:val="15"/>
          <w:szCs w:val="15"/>
        </w:rPr>
        <w:t>.</w:t>
      </w:r>
      <w:r>
        <w:rPr>
          <w:rFonts w:ascii="Times New Roman" w:hAnsi="Times New Roman" w:eastAsia="Times New Roman" w:cs="Times New Roman"/>
          <w:color w:val="231F20"/>
          <w:spacing w:val="-13"/>
          <w:sz w:val="15"/>
          <w:szCs w:val="15"/>
        </w:rPr>
        <w:t xml:space="preserve"> </w:t>
      </w:r>
      <w:r>
        <w:rPr>
          <w:rFonts w:ascii="微软雅黑" w:hAnsi="微软雅黑" w:eastAsia="微软雅黑" w:cs="微软雅黑"/>
          <w:color w:val="231F20"/>
          <w:spacing w:val="6"/>
          <w:sz w:val="15"/>
          <w:szCs w:val="15"/>
        </w:rPr>
        <w:t>论学者的使命人的使命</w:t>
      </w:r>
      <w:r>
        <w:rPr>
          <w:rFonts w:ascii="Times New Roman" w:hAnsi="Times New Roman" w:eastAsia="Times New Roman" w:cs="Times New Roman"/>
          <w:color w:val="231F20"/>
          <w:spacing w:val="6"/>
          <w:sz w:val="15"/>
          <w:szCs w:val="15"/>
        </w:rPr>
        <w:t>[M].</w:t>
      </w:r>
      <w:r>
        <w:rPr>
          <w:rFonts w:ascii="微软雅黑" w:hAnsi="微软雅黑" w:eastAsia="微软雅黑" w:cs="微软雅黑"/>
          <w:color w:val="231F20"/>
          <w:spacing w:val="6"/>
          <w:sz w:val="15"/>
          <w:szCs w:val="15"/>
        </w:rPr>
        <w:t>梁志学</w:t>
      </w:r>
      <w:r>
        <w:rPr>
          <w:rFonts w:ascii="Times New Roman" w:hAnsi="Times New Roman" w:eastAsia="Times New Roman" w:cs="Times New Roman"/>
          <w:color w:val="231F20"/>
          <w:spacing w:val="6"/>
          <w:sz w:val="15"/>
          <w:szCs w:val="15"/>
        </w:rPr>
        <w:t>,</w:t>
      </w:r>
      <w:r>
        <w:rPr>
          <w:rFonts w:ascii="微软雅黑" w:hAnsi="微软雅黑" w:eastAsia="微软雅黑" w:cs="微软雅黑"/>
          <w:color w:val="231F20"/>
          <w:spacing w:val="6"/>
          <w:sz w:val="15"/>
          <w:szCs w:val="15"/>
        </w:rPr>
        <w:t>沈真译</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6"/>
          <w:sz w:val="15"/>
          <w:szCs w:val="15"/>
        </w:rPr>
        <w:t>.</w:t>
      </w:r>
      <w:r>
        <w:rPr>
          <w:rFonts w:ascii="Times New Roman" w:hAnsi="Times New Roman" w:eastAsia="Times New Roman" w:cs="Times New Roman"/>
          <w:color w:val="231F20"/>
          <w:spacing w:val="-11"/>
          <w:sz w:val="15"/>
          <w:szCs w:val="15"/>
        </w:rPr>
        <w:t xml:space="preserve"> </w:t>
      </w:r>
      <w:r>
        <w:rPr>
          <w:rFonts w:ascii="微软雅黑" w:hAnsi="微软雅黑" w:eastAsia="微软雅黑" w:cs="微软雅黑"/>
          <w:color w:val="231F20"/>
          <w:spacing w:val="6"/>
          <w:sz w:val="15"/>
          <w:szCs w:val="15"/>
        </w:rPr>
        <w:t>北</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5"/>
          <w:sz w:val="15"/>
          <w:szCs w:val="15"/>
        </w:rPr>
        <w:t>京</w:t>
      </w:r>
      <w:r>
        <w:rPr>
          <w:rFonts w:ascii="Times New Roman" w:hAnsi="Times New Roman" w:eastAsia="Times New Roman" w:cs="Times New Roman"/>
          <w:color w:val="231F20"/>
          <w:spacing w:val="5"/>
          <w:sz w:val="15"/>
          <w:szCs w:val="15"/>
        </w:rPr>
        <w:t>:</w:t>
      </w:r>
      <w:r>
        <w:rPr>
          <w:rFonts w:ascii="微软雅黑" w:hAnsi="微软雅黑" w:eastAsia="微软雅黑" w:cs="微软雅黑"/>
          <w:color w:val="231F20"/>
          <w:spacing w:val="5"/>
          <w:sz w:val="15"/>
          <w:szCs w:val="15"/>
        </w:rPr>
        <w:t>商务印书馆</w:t>
      </w:r>
      <w:r>
        <w:rPr>
          <w:rFonts w:ascii="Times New Roman" w:hAnsi="Times New Roman" w:eastAsia="Times New Roman" w:cs="Times New Roman"/>
          <w:color w:val="231F20"/>
          <w:spacing w:val="5"/>
          <w:sz w:val="15"/>
          <w:szCs w:val="15"/>
        </w:rPr>
        <w:t>,2003:40.</w:t>
      </w:r>
    </w:p>
    <w:p>
      <w:pPr>
        <w:spacing w:before="77" w:line="242" w:lineRule="auto"/>
        <w:ind w:right="21" w:firstLine="325"/>
        <w:rPr>
          <w:rFonts w:ascii="Times New Roman" w:hAnsi="Times New Roman" w:eastAsia="Times New Roman" w:cs="Times New Roman"/>
          <w:sz w:val="15"/>
          <w:szCs w:val="15"/>
        </w:rPr>
      </w:pPr>
      <w:r>
        <w:rPr>
          <w:rFonts w:ascii="Times New Roman" w:hAnsi="Times New Roman" w:eastAsia="Times New Roman" w:cs="Times New Roman"/>
          <w:color w:val="231F20"/>
          <w:spacing w:val="5"/>
          <w:sz w:val="15"/>
          <w:szCs w:val="15"/>
        </w:rPr>
        <w:t>[46] (</w:t>
      </w:r>
      <w:r>
        <w:rPr>
          <w:rFonts w:ascii="微软雅黑" w:hAnsi="微软雅黑" w:eastAsia="微软雅黑" w:cs="微软雅黑"/>
          <w:color w:val="231F20"/>
          <w:spacing w:val="5"/>
          <w:sz w:val="15"/>
          <w:szCs w:val="15"/>
        </w:rPr>
        <w:t>德</w:t>
      </w:r>
      <w:r>
        <w:rPr>
          <w:rFonts w:ascii="Times New Roman" w:hAnsi="Times New Roman" w:eastAsia="Times New Roman" w:cs="Times New Roman"/>
          <w:color w:val="231F20"/>
          <w:spacing w:val="5"/>
          <w:sz w:val="15"/>
          <w:szCs w:val="15"/>
        </w:rPr>
        <w:t>)</w:t>
      </w:r>
      <w:r>
        <w:rPr>
          <w:rFonts w:ascii="微软雅黑" w:hAnsi="微软雅黑" w:eastAsia="微软雅黑" w:cs="微软雅黑"/>
          <w:color w:val="231F20"/>
          <w:spacing w:val="5"/>
          <w:sz w:val="15"/>
          <w:szCs w:val="15"/>
        </w:rPr>
        <w:t>卡西尔</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5"/>
          <w:sz w:val="15"/>
          <w:szCs w:val="15"/>
        </w:rPr>
        <w:t>.</w:t>
      </w:r>
      <w:r>
        <w:rPr>
          <w:rFonts w:ascii="Times New Roman" w:hAnsi="Times New Roman" w:eastAsia="Times New Roman" w:cs="Times New Roman"/>
          <w:color w:val="231F20"/>
          <w:spacing w:val="-13"/>
          <w:sz w:val="15"/>
          <w:szCs w:val="15"/>
        </w:rPr>
        <w:t xml:space="preserve"> </w:t>
      </w:r>
      <w:r>
        <w:rPr>
          <w:rFonts w:ascii="微软雅黑" w:hAnsi="微软雅黑" w:eastAsia="微软雅黑" w:cs="微软雅黑"/>
          <w:color w:val="231F20"/>
          <w:spacing w:val="5"/>
          <w:sz w:val="15"/>
          <w:szCs w:val="15"/>
        </w:rPr>
        <w:t>人论</w:t>
      </w:r>
      <w:r>
        <w:rPr>
          <w:rFonts w:ascii="Times New Roman" w:hAnsi="Times New Roman" w:eastAsia="Times New Roman" w:cs="Times New Roman"/>
          <w:color w:val="231F20"/>
          <w:spacing w:val="5"/>
          <w:sz w:val="15"/>
          <w:szCs w:val="15"/>
        </w:rPr>
        <w:t>:</w:t>
      </w:r>
      <w:r>
        <w:rPr>
          <w:rFonts w:ascii="微软雅黑" w:hAnsi="微软雅黑" w:eastAsia="微软雅黑" w:cs="微软雅黑"/>
          <w:color w:val="231F20"/>
          <w:spacing w:val="5"/>
          <w:sz w:val="15"/>
          <w:szCs w:val="15"/>
        </w:rPr>
        <w:t>人类文化哲学引论</w:t>
      </w:r>
      <w:r>
        <w:rPr>
          <w:rFonts w:ascii="Times New Roman" w:hAnsi="Times New Roman" w:eastAsia="Times New Roman" w:cs="Times New Roman"/>
          <w:color w:val="231F20"/>
          <w:spacing w:val="5"/>
          <w:sz w:val="15"/>
          <w:szCs w:val="15"/>
        </w:rPr>
        <w:t>[M].</w:t>
      </w:r>
      <w:r>
        <w:rPr>
          <w:rFonts w:ascii="微软雅黑" w:hAnsi="微软雅黑" w:eastAsia="微软雅黑" w:cs="微软雅黑"/>
          <w:color w:val="231F20"/>
          <w:spacing w:val="5"/>
          <w:sz w:val="15"/>
          <w:szCs w:val="15"/>
        </w:rPr>
        <w:t>甘阳译</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4"/>
          <w:sz w:val="15"/>
          <w:szCs w:val="15"/>
        </w:rPr>
        <w:t>.</w:t>
      </w:r>
      <w:r>
        <w:rPr>
          <w:rFonts w:ascii="Times New Roman" w:hAnsi="Times New Roman" w:eastAsia="Times New Roman" w:cs="Times New Roman"/>
          <w:color w:val="231F20"/>
          <w:spacing w:val="-13"/>
          <w:sz w:val="15"/>
          <w:szCs w:val="15"/>
        </w:rPr>
        <w:t xml:space="preserve"> </w:t>
      </w:r>
      <w:r>
        <w:rPr>
          <w:rFonts w:ascii="微软雅黑" w:hAnsi="微软雅黑" w:eastAsia="微软雅黑" w:cs="微软雅黑"/>
          <w:color w:val="231F20"/>
          <w:spacing w:val="4"/>
          <w:sz w:val="15"/>
          <w:szCs w:val="15"/>
        </w:rPr>
        <w:t>上海</w:t>
      </w:r>
      <w:r>
        <w:rPr>
          <w:rFonts w:ascii="Times New Roman" w:hAnsi="Times New Roman" w:eastAsia="Times New Roman" w:cs="Times New Roman"/>
          <w:color w:val="231F20"/>
          <w:spacing w:val="4"/>
          <w:sz w:val="15"/>
          <w:szCs w:val="15"/>
        </w:rPr>
        <w:t>:</w:t>
      </w:r>
      <w:r>
        <w:rPr>
          <w:rFonts w:ascii="微软雅黑" w:hAnsi="微软雅黑" w:eastAsia="微软雅黑" w:cs="微软雅黑"/>
          <w:color w:val="231F20"/>
          <w:spacing w:val="4"/>
          <w:sz w:val="15"/>
          <w:szCs w:val="15"/>
        </w:rPr>
        <w:t>上海</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5"/>
          <w:sz w:val="15"/>
          <w:szCs w:val="15"/>
        </w:rPr>
        <w:t>译文出版社</w:t>
      </w:r>
      <w:r>
        <w:rPr>
          <w:rFonts w:ascii="Times New Roman" w:hAnsi="Times New Roman" w:eastAsia="Times New Roman" w:cs="Times New Roman"/>
          <w:color w:val="231F20"/>
          <w:spacing w:val="5"/>
          <w:sz w:val="15"/>
          <w:szCs w:val="15"/>
        </w:rPr>
        <w:t>,2013:115.</w:t>
      </w:r>
    </w:p>
    <w:p>
      <w:pPr>
        <w:spacing w:before="76" w:line="242" w:lineRule="auto"/>
        <w:ind w:left="8" w:right="21" w:firstLine="317"/>
        <w:rPr>
          <w:rFonts w:ascii="Times New Roman" w:hAnsi="Times New Roman" w:eastAsia="Times New Roman" w:cs="Times New Roman"/>
          <w:sz w:val="15"/>
          <w:szCs w:val="15"/>
        </w:rPr>
      </w:pPr>
      <w:r>
        <w:rPr>
          <w:rFonts w:ascii="Times New Roman" w:hAnsi="Times New Roman" w:eastAsia="Times New Roman" w:cs="Times New Roman"/>
          <w:color w:val="231F20"/>
          <w:spacing w:val="9"/>
          <w:sz w:val="15"/>
          <w:szCs w:val="15"/>
        </w:rPr>
        <w:t>[48]</w:t>
      </w:r>
      <w:r>
        <w:rPr>
          <w:rFonts w:ascii="Times New Roman" w:hAnsi="Times New Roman" w:eastAsia="Times New Roman" w:cs="Times New Roman"/>
          <w:color w:val="231F20"/>
          <w:spacing w:val="16"/>
          <w:w w:val="101"/>
          <w:sz w:val="15"/>
          <w:szCs w:val="15"/>
        </w:rPr>
        <w:t xml:space="preserve"> </w:t>
      </w:r>
      <w:r>
        <w:rPr>
          <w:rFonts w:ascii="Times New Roman" w:hAnsi="Times New Roman" w:eastAsia="Times New Roman" w:cs="Times New Roman"/>
          <w:color w:val="231F20"/>
          <w:spacing w:val="9"/>
          <w:sz w:val="15"/>
          <w:szCs w:val="15"/>
        </w:rPr>
        <w:t>(</w:t>
      </w:r>
      <w:r>
        <w:rPr>
          <w:rFonts w:ascii="微软雅黑" w:hAnsi="微软雅黑" w:eastAsia="微软雅黑" w:cs="微软雅黑"/>
          <w:color w:val="231F20"/>
          <w:spacing w:val="9"/>
          <w:sz w:val="15"/>
          <w:szCs w:val="15"/>
        </w:rPr>
        <w:t>德</w:t>
      </w:r>
      <w:r>
        <w:rPr>
          <w:rFonts w:ascii="Times New Roman" w:hAnsi="Times New Roman" w:eastAsia="Times New Roman" w:cs="Times New Roman"/>
          <w:color w:val="231F20"/>
          <w:spacing w:val="9"/>
          <w:sz w:val="15"/>
          <w:szCs w:val="15"/>
        </w:rPr>
        <w:t>)</w:t>
      </w:r>
      <w:r>
        <w:rPr>
          <w:rFonts w:ascii="微软雅黑" w:hAnsi="微软雅黑" w:eastAsia="微软雅黑" w:cs="微软雅黑"/>
          <w:color w:val="231F20"/>
          <w:spacing w:val="9"/>
          <w:sz w:val="15"/>
          <w:szCs w:val="15"/>
        </w:rPr>
        <w:t>格奥尔格·西美尔</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9"/>
          <w:sz w:val="15"/>
          <w:szCs w:val="15"/>
        </w:rPr>
        <w:t>.</w:t>
      </w:r>
      <w:r>
        <w:rPr>
          <w:rFonts w:ascii="Times New Roman" w:hAnsi="Times New Roman" w:eastAsia="Times New Roman" w:cs="Times New Roman"/>
          <w:color w:val="231F20"/>
          <w:spacing w:val="-6"/>
          <w:sz w:val="15"/>
          <w:szCs w:val="15"/>
        </w:rPr>
        <w:t xml:space="preserve"> </w:t>
      </w:r>
      <w:r>
        <w:rPr>
          <w:rFonts w:ascii="微软雅黑" w:hAnsi="微软雅黑" w:eastAsia="微软雅黑" w:cs="微软雅黑"/>
          <w:color w:val="231F20"/>
          <w:spacing w:val="9"/>
          <w:sz w:val="15"/>
          <w:szCs w:val="15"/>
        </w:rPr>
        <w:t>生命直观</w:t>
      </w:r>
      <w:r>
        <w:rPr>
          <w:rFonts w:ascii="Times New Roman" w:hAnsi="Times New Roman" w:eastAsia="Times New Roman" w:cs="Times New Roman"/>
          <w:color w:val="231F20"/>
          <w:spacing w:val="9"/>
          <w:sz w:val="15"/>
          <w:szCs w:val="15"/>
        </w:rPr>
        <w:t>[M].</w:t>
      </w:r>
      <w:r>
        <w:rPr>
          <w:rFonts w:ascii="微软雅黑" w:hAnsi="微软雅黑" w:eastAsia="微软雅黑" w:cs="微软雅黑"/>
          <w:color w:val="231F20"/>
          <w:spacing w:val="9"/>
          <w:sz w:val="15"/>
          <w:szCs w:val="15"/>
        </w:rPr>
        <w:t>习承俊译</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9"/>
          <w:sz w:val="15"/>
          <w:szCs w:val="15"/>
        </w:rPr>
        <w:t>.</w:t>
      </w:r>
      <w:r>
        <w:rPr>
          <w:rFonts w:ascii="Times New Roman" w:hAnsi="Times New Roman" w:eastAsia="Times New Roman" w:cs="Times New Roman"/>
          <w:color w:val="231F20"/>
          <w:spacing w:val="-8"/>
          <w:sz w:val="15"/>
          <w:szCs w:val="15"/>
        </w:rPr>
        <w:t xml:space="preserve"> </w:t>
      </w:r>
      <w:r>
        <w:rPr>
          <w:rFonts w:ascii="微软雅黑" w:hAnsi="微软雅黑" w:eastAsia="微软雅黑" w:cs="微软雅黑"/>
          <w:color w:val="231F20"/>
          <w:spacing w:val="8"/>
          <w:sz w:val="15"/>
          <w:szCs w:val="15"/>
        </w:rPr>
        <w:t>上海</w:t>
      </w:r>
      <w:r>
        <w:rPr>
          <w:rFonts w:ascii="Times New Roman" w:hAnsi="Times New Roman" w:eastAsia="Times New Roman" w:cs="Times New Roman"/>
          <w:color w:val="231F20"/>
          <w:spacing w:val="8"/>
          <w:sz w:val="15"/>
          <w:szCs w:val="15"/>
        </w:rPr>
        <w:t>:</w:t>
      </w:r>
      <w:r>
        <w:rPr>
          <w:rFonts w:ascii="微软雅黑" w:hAnsi="微软雅黑" w:eastAsia="微软雅黑" w:cs="微软雅黑"/>
          <w:color w:val="231F20"/>
          <w:spacing w:val="8"/>
          <w:sz w:val="15"/>
          <w:szCs w:val="15"/>
        </w:rPr>
        <w:t>三联</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4"/>
          <w:sz w:val="15"/>
          <w:szCs w:val="15"/>
        </w:rPr>
        <w:t>书店</w:t>
      </w:r>
      <w:r>
        <w:rPr>
          <w:rFonts w:ascii="Times New Roman" w:hAnsi="Times New Roman" w:eastAsia="Times New Roman" w:cs="Times New Roman"/>
          <w:color w:val="231F20"/>
          <w:spacing w:val="4"/>
          <w:sz w:val="15"/>
          <w:szCs w:val="15"/>
        </w:rPr>
        <w:t>,2003:20.</w:t>
      </w:r>
    </w:p>
    <w:p>
      <w:pPr>
        <w:spacing w:before="76" w:line="266" w:lineRule="auto"/>
        <w:ind w:left="4" w:right="21" w:firstLine="321"/>
        <w:rPr>
          <w:rFonts w:ascii="Times New Roman" w:hAnsi="Times New Roman" w:eastAsia="Times New Roman" w:cs="Times New Roman"/>
          <w:sz w:val="15"/>
          <w:szCs w:val="15"/>
        </w:rPr>
      </w:pPr>
      <w:r>
        <w:rPr>
          <w:rFonts w:ascii="Times New Roman" w:hAnsi="Times New Roman" w:eastAsia="Times New Roman" w:cs="Times New Roman"/>
          <w:color w:val="231F20"/>
          <w:spacing w:val="13"/>
          <w:sz w:val="15"/>
          <w:szCs w:val="15"/>
        </w:rPr>
        <w:t>[51][52]</w:t>
      </w:r>
      <w:r>
        <w:rPr>
          <w:rFonts w:ascii="微软雅黑" w:hAnsi="微软雅黑" w:eastAsia="微软雅黑" w:cs="微软雅黑"/>
          <w:color w:val="231F20"/>
          <w:spacing w:val="13"/>
          <w:sz w:val="15"/>
          <w:szCs w:val="15"/>
        </w:rPr>
        <w:t>刘小枫</w:t>
      </w:r>
      <w:r>
        <w:rPr>
          <w:rFonts w:ascii="微软雅黑" w:hAnsi="微软雅黑" w:eastAsia="微软雅黑" w:cs="微软雅黑"/>
          <w:color w:val="231F20"/>
          <w:spacing w:val="-14"/>
          <w:sz w:val="15"/>
          <w:szCs w:val="15"/>
        </w:rPr>
        <w:t xml:space="preserve"> </w:t>
      </w:r>
      <w:r>
        <w:rPr>
          <w:rFonts w:ascii="Times New Roman" w:hAnsi="Times New Roman" w:eastAsia="Times New Roman" w:cs="Times New Roman"/>
          <w:color w:val="231F20"/>
          <w:spacing w:val="13"/>
          <w:sz w:val="15"/>
          <w:szCs w:val="15"/>
        </w:rPr>
        <w:t xml:space="preserve">. </w:t>
      </w:r>
      <w:r>
        <w:rPr>
          <w:rFonts w:ascii="微软雅黑" w:hAnsi="微软雅黑" w:eastAsia="微软雅黑" w:cs="微软雅黑"/>
          <w:color w:val="231F20"/>
          <w:spacing w:val="13"/>
          <w:sz w:val="15"/>
          <w:szCs w:val="15"/>
        </w:rPr>
        <w:t>古典传统与自由教育</w:t>
      </w:r>
      <w:r>
        <w:rPr>
          <w:rFonts w:ascii="Times New Roman" w:hAnsi="Times New Roman" w:eastAsia="Times New Roman" w:cs="Times New Roman"/>
          <w:color w:val="231F20"/>
          <w:spacing w:val="13"/>
          <w:sz w:val="15"/>
          <w:szCs w:val="15"/>
        </w:rPr>
        <w:t>[M]</w:t>
      </w:r>
      <w:r>
        <w:rPr>
          <w:rFonts w:ascii="Times New Roman" w:hAnsi="Times New Roman" w:eastAsia="Times New Roman" w:cs="Times New Roman"/>
          <w:color w:val="231F20"/>
          <w:spacing w:val="12"/>
          <w:sz w:val="15"/>
          <w:szCs w:val="15"/>
        </w:rPr>
        <w:t>.</w:t>
      </w:r>
      <w:r>
        <w:rPr>
          <w:rFonts w:ascii="微软雅黑" w:hAnsi="微软雅黑" w:eastAsia="微软雅黑" w:cs="微软雅黑"/>
          <w:color w:val="231F20"/>
          <w:spacing w:val="12"/>
          <w:sz w:val="15"/>
          <w:szCs w:val="15"/>
        </w:rPr>
        <w:t>北京</w:t>
      </w:r>
      <w:r>
        <w:rPr>
          <w:rFonts w:ascii="Times New Roman" w:hAnsi="Times New Roman" w:eastAsia="Times New Roman" w:cs="Times New Roman"/>
          <w:color w:val="231F20"/>
          <w:spacing w:val="12"/>
          <w:sz w:val="15"/>
          <w:szCs w:val="15"/>
        </w:rPr>
        <w:t>:</w:t>
      </w:r>
      <w:r>
        <w:rPr>
          <w:rFonts w:ascii="微软雅黑" w:hAnsi="微软雅黑" w:eastAsia="微软雅黑" w:cs="微软雅黑"/>
          <w:color w:val="231F20"/>
          <w:spacing w:val="12"/>
          <w:sz w:val="15"/>
          <w:szCs w:val="15"/>
        </w:rPr>
        <w:t>华夏出版社</w:t>
      </w:r>
      <w:r>
        <w:rPr>
          <w:rFonts w:ascii="Times New Roman" w:hAnsi="Times New Roman" w:eastAsia="Times New Roman" w:cs="Times New Roman"/>
          <w:color w:val="231F20"/>
          <w:spacing w:val="12"/>
          <w:sz w:val="15"/>
          <w:szCs w:val="15"/>
        </w:rPr>
        <w:t>,</w:t>
      </w:r>
      <w:r>
        <w:rPr>
          <w:rFonts w:ascii="Times New Roman" w:hAnsi="Times New Roman" w:eastAsia="Times New Roman" w:cs="Times New Roman"/>
          <w:color w:val="231F20"/>
          <w:sz w:val="15"/>
          <w:szCs w:val="15"/>
        </w:rPr>
        <w:t xml:space="preserve"> </w:t>
      </w:r>
      <w:r>
        <w:rPr>
          <w:rFonts w:ascii="Times New Roman" w:hAnsi="Times New Roman" w:eastAsia="Times New Roman" w:cs="Times New Roman"/>
          <w:color w:val="231F20"/>
          <w:spacing w:val="2"/>
          <w:sz w:val="15"/>
          <w:szCs w:val="15"/>
        </w:rPr>
        <w:t>2005:2,8.</w:t>
      </w:r>
    </w:p>
    <w:p>
      <w:pPr>
        <w:spacing w:line="266" w:lineRule="auto"/>
        <w:rPr>
          <w:rFonts w:ascii="Times New Roman" w:hAnsi="Times New Roman" w:eastAsia="Times New Roman" w:cs="Times New Roman"/>
          <w:sz w:val="15"/>
          <w:szCs w:val="15"/>
        </w:rPr>
        <w:sectPr>
          <w:type w:val="continuous"/>
          <w:pgSz w:w="12416" w:h="16612"/>
          <w:pgMar w:top="1482" w:right="1282" w:bottom="547" w:left="407" w:header="1149" w:footer="354" w:gutter="0"/>
          <w:cols w:equalWidth="0" w:num="2">
            <w:col w:w="6027" w:space="100"/>
            <w:col w:w="4599"/>
          </w:cols>
        </w:sectPr>
      </w:pPr>
    </w:p>
    <w:p>
      <w:pPr>
        <w:spacing w:line="465" w:lineRule="auto"/>
        <w:rPr>
          <w:rFonts w:ascii="Arial"/>
          <w:sz w:val="21"/>
        </w:rPr>
      </w:pPr>
    </w:p>
    <w:p>
      <w:pPr>
        <w:spacing w:before="57" w:line="196" w:lineRule="auto"/>
        <w:ind w:left="2599"/>
        <w:rPr>
          <w:rFonts w:ascii="Times New Roman" w:hAnsi="Times New Roman" w:eastAsia="Times New Roman" w:cs="Times New Roman"/>
          <w:sz w:val="20"/>
          <w:szCs w:val="20"/>
        </w:rPr>
      </w:pPr>
      <w:r>
        <w:rPr>
          <w:rFonts w:ascii="Times New Roman" w:hAnsi="Times New Roman" w:eastAsia="Times New Roman" w:cs="Times New Roman"/>
          <w:b/>
          <w:bCs/>
          <w:color w:val="231F20"/>
          <w:spacing w:val="5"/>
          <w:sz w:val="20"/>
          <w:szCs w:val="20"/>
        </w:rPr>
        <w:t>Quality Culture of</w:t>
      </w:r>
      <w:r>
        <w:rPr>
          <w:rFonts w:ascii="Times New Roman" w:hAnsi="Times New Roman" w:eastAsia="Times New Roman" w:cs="Times New Roman"/>
          <w:b/>
          <w:bCs/>
          <w:color w:val="231F20"/>
          <w:spacing w:val="-9"/>
          <w:sz w:val="20"/>
          <w:szCs w:val="20"/>
        </w:rPr>
        <w:t xml:space="preserve"> </w:t>
      </w:r>
      <w:r>
        <w:rPr>
          <w:rFonts w:ascii="Times New Roman" w:hAnsi="Times New Roman" w:eastAsia="Times New Roman" w:cs="Times New Roman"/>
          <w:b/>
          <w:bCs/>
          <w:color w:val="231F20"/>
          <w:spacing w:val="5"/>
          <w:sz w:val="20"/>
          <w:szCs w:val="20"/>
        </w:rPr>
        <w:t xml:space="preserve">Higher Education: </w:t>
      </w:r>
      <w:r>
        <w:rPr>
          <w:rFonts w:ascii="Times New Roman" w:hAnsi="Times New Roman" w:eastAsia="Times New Roman" w:cs="Times New Roman"/>
          <w:b/>
          <w:bCs/>
          <w:color w:val="231F20"/>
          <w:spacing w:val="4"/>
          <w:sz w:val="20"/>
          <w:szCs w:val="20"/>
        </w:rPr>
        <w:t>Uniqueness and Explanatory Power</w:t>
      </w:r>
    </w:p>
    <w:p>
      <w:pPr>
        <w:spacing w:line="379" w:lineRule="auto"/>
        <w:rPr>
          <w:rFonts w:ascii="Arial"/>
          <w:sz w:val="21"/>
        </w:rPr>
      </w:pPr>
    </w:p>
    <w:p>
      <w:pPr>
        <w:spacing w:before="58" w:line="199" w:lineRule="auto"/>
        <w:ind w:left="5287"/>
        <w:rPr>
          <w:rFonts w:ascii="Times New Roman" w:hAnsi="Times New Roman" w:eastAsia="Times New Roman" w:cs="Times New Roman"/>
          <w:sz w:val="20"/>
          <w:szCs w:val="20"/>
        </w:rPr>
      </w:pPr>
      <w:r>
        <w:rPr>
          <w:rFonts w:ascii="Times New Roman" w:hAnsi="Times New Roman" w:eastAsia="Times New Roman" w:cs="Times New Roman"/>
          <w:color w:val="231F20"/>
          <w:spacing w:val="3"/>
          <w:sz w:val="20"/>
          <w:szCs w:val="20"/>
        </w:rPr>
        <w:t>Song Xinxiong</w:t>
      </w:r>
    </w:p>
    <w:p>
      <w:pPr>
        <w:spacing w:line="378" w:lineRule="auto"/>
        <w:rPr>
          <w:rFonts w:ascii="Arial"/>
          <w:sz w:val="21"/>
        </w:rPr>
      </w:pPr>
    </w:p>
    <w:p>
      <w:pPr>
        <w:spacing w:before="58" w:line="318" w:lineRule="auto"/>
        <w:ind w:left="1124" w:firstLine="420"/>
        <w:jc w:val="both"/>
        <w:rPr>
          <w:rFonts w:ascii="Times New Roman" w:hAnsi="Times New Roman" w:eastAsia="Times New Roman" w:cs="Times New Roman"/>
          <w:sz w:val="20"/>
          <w:szCs w:val="20"/>
        </w:rPr>
      </w:pPr>
      <w:r>
        <w:rPr>
          <w:rFonts w:ascii="Times New Roman" w:hAnsi="Times New Roman" w:eastAsia="Times New Roman" w:cs="Times New Roman"/>
          <w:b/>
          <w:bCs/>
          <w:color w:val="231F20"/>
          <w:spacing w:val="4"/>
          <w:sz w:val="20"/>
          <w:szCs w:val="20"/>
        </w:rPr>
        <w:t>Abstract:</w:t>
      </w:r>
      <w:r>
        <w:rPr>
          <w:rFonts w:ascii="Times New Roman" w:hAnsi="Times New Roman" w:eastAsia="Times New Roman" w:cs="Times New Roman"/>
          <w:b/>
          <w:bCs/>
          <w:color w:val="231F20"/>
          <w:spacing w:val="28"/>
          <w:sz w:val="20"/>
          <w:szCs w:val="20"/>
        </w:rPr>
        <w:t xml:space="preserve"> </w:t>
      </w:r>
      <w:r>
        <w:rPr>
          <w:rFonts w:ascii="Times New Roman" w:hAnsi="Times New Roman" w:eastAsia="Times New Roman" w:cs="Times New Roman"/>
          <w:color w:val="231F20"/>
          <w:spacing w:val="4"/>
          <w:sz w:val="20"/>
          <w:szCs w:val="20"/>
        </w:rPr>
        <w:t>The</w:t>
      </w:r>
      <w:r>
        <w:rPr>
          <w:rFonts w:ascii="Times New Roman" w:hAnsi="Times New Roman" w:eastAsia="Times New Roman" w:cs="Times New Roman"/>
          <w:color w:val="231F20"/>
          <w:spacing w:val="32"/>
          <w:sz w:val="20"/>
          <w:szCs w:val="20"/>
        </w:rPr>
        <w:t xml:space="preserve"> </w:t>
      </w:r>
      <w:r>
        <w:rPr>
          <w:rFonts w:ascii="Times New Roman" w:hAnsi="Times New Roman" w:eastAsia="Times New Roman" w:cs="Times New Roman"/>
          <w:color w:val="231F20"/>
          <w:spacing w:val="4"/>
          <w:sz w:val="20"/>
          <w:szCs w:val="20"/>
        </w:rPr>
        <w:t>quality</w:t>
      </w:r>
      <w:r>
        <w:rPr>
          <w:rFonts w:ascii="Times New Roman" w:hAnsi="Times New Roman" w:eastAsia="Times New Roman" w:cs="Times New Roman"/>
          <w:color w:val="231F20"/>
          <w:spacing w:val="35"/>
          <w:w w:val="101"/>
          <w:sz w:val="20"/>
          <w:szCs w:val="20"/>
        </w:rPr>
        <w:t xml:space="preserve"> </w:t>
      </w:r>
      <w:r>
        <w:rPr>
          <w:rFonts w:ascii="Times New Roman" w:hAnsi="Times New Roman" w:eastAsia="Times New Roman" w:cs="Times New Roman"/>
          <w:color w:val="231F20"/>
          <w:spacing w:val="4"/>
          <w:sz w:val="20"/>
          <w:szCs w:val="20"/>
        </w:rPr>
        <w:t>standards</w:t>
      </w:r>
      <w:r>
        <w:rPr>
          <w:rFonts w:ascii="Times New Roman" w:hAnsi="Times New Roman" w:eastAsia="Times New Roman" w:cs="Times New Roman"/>
          <w:color w:val="231F20"/>
          <w:spacing w:val="32"/>
          <w:w w:val="101"/>
          <w:sz w:val="20"/>
          <w:szCs w:val="20"/>
        </w:rPr>
        <w:t xml:space="preserve"> </w:t>
      </w:r>
      <w:r>
        <w:rPr>
          <w:rFonts w:ascii="Times New Roman" w:hAnsi="Times New Roman" w:eastAsia="Times New Roman" w:cs="Times New Roman"/>
          <w:color w:val="231F20"/>
          <w:spacing w:val="4"/>
          <w:sz w:val="20"/>
          <w:szCs w:val="20"/>
        </w:rPr>
        <w:t>characterized</w:t>
      </w:r>
      <w:r>
        <w:rPr>
          <w:rFonts w:ascii="Times New Roman" w:hAnsi="Times New Roman" w:eastAsia="Times New Roman" w:cs="Times New Roman"/>
          <w:color w:val="231F20"/>
          <w:spacing w:val="25"/>
          <w:sz w:val="20"/>
          <w:szCs w:val="20"/>
        </w:rPr>
        <w:t xml:space="preserve"> </w:t>
      </w:r>
      <w:r>
        <w:rPr>
          <w:rFonts w:ascii="Times New Roman" w:hAnsi="Times New Roman" w:eastAsia="Times New Roman" w:cs="Times New Roman"/>
          <w:color w:val="231F20"/>
          <w:spacing w:val="4"/>
          <w:sz w:val="20"/>
          <w:szCs w:val="20"/>
        </w:rPr>
        <w:t>by</w:t>
      </w:r>
      <w:r>
        <w:rPr>
          <w:rFonts w:ascii="Times New Roman" w:hAnsi="Times New Roman" w:eastAsia="Times New Roman" w:cs="Times New Roman"/>
          <w:color w:val="231F20"/>
          <w:spacing w:val="27"/>
          <w:w w:val="101"/>
          <w:sz w:val="20"/>
          <w:szCs w:val="20"/>
        </w:rPr>
        <w:t xml:space="preserve"> </w:t>
      </w:r>
      <w:r>
        <w:rPr>
          <w:rFonts w:ascii="Times New Roman" w:hAnsi="Times New Roman" w:eastAsia="Times New Roman" w:cs="Times New Roman"/>
          <w:color w:val="231F20"/>
          <w:spacing w:val="4"/>
          <w:sz w:val="20"/>
          <w:szCs w:val="20"/>
        </w:rPr>
        <w:t>techn</w:t>
      </w:r>
      <w:r>
        <w:rPr>
          <w:rFonts w:ascii="Times New Roman" w:hAnsi="Times New Roman" w:eastAsia="Times New Roman" w:cs="Times New Roman"/>
          <w:color w:val="231F20"/>
          <w:spacing w:val="3"/>
          <w:sz w:val="20"/>
          <w:szCs w:val="20"/>
        </w:rPr>
        <w:t>ology,</w:t>
      </w:r>
      <w:r>
        <w:rPr>
          <w:rFonts w:ascii="Times New Roman" w:hAnsi="Times New Roman" w:eastAsia="Times New Roman" w:cs="Times New Roman"/>
          <w:color w:val="231F20"/>
          <w:spacing w:val="25"/>
          <w:sz w:val="20"/>
          <w:szCs w:val="20"/>
        </w:rPr>
        <w:t xml:space="preserve"> </w:t>
      </w:r>
      <w:r>
        <w:rPr>
          <w:rFonts w:ascii="Times New Roman" w:hAnsi="Times New Roman" w:eastAsia="Times New Roman" w:cs="Times New Roman"/>
          <w:color w:val="231F20"/>
          <w:spacing w:val="3"/>
          <w:sz w:val="20"/>
          <w:szCs w:val="20"/>
        </w:rPr>
        <w:t>power</w:t>
      </w:r>
      <w:r>
        <w:rPr>
          <w:rFonts w:ascii="Times New Roman" w:hAnsi="Times New Roman" w:eastAsia="Times New Roman" w:cs="Times New Roman"/>
          <w:color w:val="231F20"/>
          <w:spacing w:val="31"/>
          <w:w w:val="101"/>
          <w:sz w:val="20"/>
          <w:szCs w:val="20"/>
        </w:rPr>
        <w:t xml:space="preserve"> </w:t>
      </w:r>
      <w:r>
        <w:rPr>
          <w:rFonts w:ascii="Times New Roman" w:hAnsi="Times New Roman" w:eastAsia="Times New Roman" w:cs="Times New Roman"/>
          <w:color w:val="231F20"/>
          <w:spacing w:val="3"/>
          <w:sz w:val="20"/>
          <w:szCs w:val="20"/>
        </w:rPr>
        <w:t>and</w:t>
      </w:r>
      <w:r>
        <w:rPr>
          <w:rFonts w:ascii="Times New Roman" w:hAnsi="Times New Roman" w:eastAsia="Times New Roman" w:cs="Times New Roman"/>
          <w:color w:val="231F20"/>
          <w:spacing w:val="31"/>
          <w:sz w:val="20"/>
          <w:szCs w:val="20"/>
        </w:rPr>
        <w:t xml:space="preserve"> </w:t>
      </w:r>
      <w:r>
        <w:rPr>
          <w:rFonts w:ascii="Times New Roman" w:hAnsi="Times New Roman" w:eastAsia="Times New Roman" w:cs="Times New Roman"/>
          <w:color w:val="231F20"/>
          <w:spacing w:val="3"/>
          <w:sz w:val="20"/>
          <w:szCs w:val="20"/>
        </w:rPr>
        <w:t>ideology</w:t>
      </w:r>
      <w:r>
        <w:rPr>
          <w:rFonts w:ascii="Times New Roman" w:hAnsi="Times New Roman" w:eastAsia="Times New Roman" w:cs="Times New Roman"/>
          <w:color w:val="231F20"/>
          <w:spacing w:val="32"/>
          <w:w w:val="101"/>
          <w:sz w:val="20"/>
          <w:szCs w:val="20"/>
        </w:rPr>
        <w:t xml:space="preserve"> </w:t>
      </w:r>
      <w:r>
        <w:rPr>
          <w:rFonts w:ascii="Times New Roman" w:hAnsi="Times New Roman" w:eastAsia="Times New Roman" w:cs="Times New Roman"/>
          <w:color w:val="231F20"/>
          <w:spacing w:val="3"/>
          <w:sz w:val="20"/>
          <w:szCs w:val="20"/>
        </w:rPr>
        <w:t>cannot</w:t>
      </w:r>
      <w:r>
        <w:rPr>
          <w:rFonts w:ascii="Times New Roman" w:hAnsi="Times New Roman" w:eastAsia="Times New Roman" w:cs="Times New Roman"/>
          <w:color w:val="231F20"/>
          <w:spacing w:val="32"/>
          <w:w w:val="101"/>
          <w:sz w:val="20"/>
          <w:szCs w:val="20"/>
        </w:rPr>
        <w:t xml:space="preserve"> </w:t>
      </w:r>
      <w:r>
        <w:rPr>
          <w:rFonts w:ascii="Times New Roman" w:hAnsi="Times New Roman" w:eastAsia="Times New Roman" w:cs="Times New Roman"/>
          <w:color w:val="231F20"/>
          <w:spacing w:val="3"/>
          <w:sz w:val="20"/>
          <w:szCs w:val="20"/>
        </w:rPr>
        <w:t>accurately</w:t>
      </w:r>
      <w:r>
        <w:rPr>
          <w:rFonts w:ascii="Times New Roman" w:hAnsi="Times New Roman" w:eastAsia="Times New Roman" w:cs="Times New Roman"/>
          <w:color w:val="231F20"/>
          <w:spacing w:val="27"/>
          <w:sz w:val="20"/>
          <w:szCs w:val="20"/>
        </w:rPr>
        <w:t xml:space="preserve"> </w:t>
      </w:r>
      <w:r>
        <w:rPr>
          <w:rFonts w:ascii="Times New Roman" w:hAnsi="Times New Roman" w:eastAsia="Times New Roman" w:cs="Times New Roman"/>
          <w:color w:val="231F20"/>
          <w:spacing w:val="3"/>
          <w:sz w:val="20"/>
          <w:szCs w:val="20"/>
        </w:rPr>
        <w:t>mea-</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4"/>
          <w:sz w:val="20"/>
          <w:szCs w:val="20"/>
        </w:rPr>
        <w:t>sure</w:t>
      </w:r>
      <w:r>
        <w:rPr>
          <w:rFonts w:ascii="Times New Roman" w:hAnsi="Times New Roman" w:eastAsia="Times New Roman" w:cs="Times New Roman"/>
          <w:color w:val="231F20"/>
          <w:spacing w:val="25"/>
          <w:sz w:val="20"/>
          <w:szCs w:val="20"/>
        </w:rPr>
        <w:t xml:space="preserve"> </w:t>
      </w:r>
      <w:r>
        <w:rPr>
          <w:rFonts w:ascii="Times New Roman" w:hAnsi="Times New Roman" w:eastAsia="Times New Roman" w:cs="Times New Roman"/>
          <w:color w:val="231F20"/>
          <w:spacing w:val="4"/>
          <w:sz w:val="20"/>
          <w:szCs w:val="20"/>
        </w:rPr>
        <w:t>the</w:t>
      </w:r>
      <w:r>
        <w:rPr>
          <w:rFonts w:ascii="Times New Roman" w:hAnsi="Times New Roman" w:eastAsia="Times New Roman" w:cs="Times New Roman"/>
          <w:color w:val="231F20"/>
          <w:spacing w:val="30"/>
          <w:sz w:val="20"/>
          <w:szCs w:val="20"/>
        </w:rPr>
        <w:t xml:space="preserve"> </w:t>
      </w:r>
      <w:r>
        <w:rPr>
          <w:rFonts w:ascii="Times New Roman" w:hAnsi="Times New Roman" w:eastAsia="Times New Roman" w:cs="Times New Roman"/>
          <w:color w:val="231F20"/>
          <w:spacing w:val="4"/>
          <w:sz w:val="20"/>
          <w:szCs w:val="20"/>
        </w:rPr>
        <w:t>quality</w:t>
      </w:r>
      <w:r>
        <w:rPr>
          <w:rFonts w:ascii="Times New Roman" w:hAnsi="Times New Roman" w:eastAsia="Times New Roman" w:cs="Times New Roman"/>
          <w:color w:val="231F20"/>
          <w:spacing w:val="30"/>
          <w:w w:val="101"/>
          <w:sz w:val="20"/>
          <w:szCs w:val="20"/>
        </w:rPr>
        <w:t xml:space="preserve"> </w:t>
      </w:r>
      <w:r>
        <w:rPr>
          <w:rFonts w:ascii="Times New Roman" w:hAnsi="Times New Roman" w:eastAsia="Times New Roman" w:cs="Times New Roman"/>
          <w:color w:val="231F20"/>
          <w:spacing w:val="4"/>
          <w:sz w:val="20"/>
          <w:szCs w:val="20"/>
        </w:rPr>
        <w:t>of higher</w:t>
      </w:r>
      <w:r>
        <w:rPr>
          <w:rFonts w:ascii="Times New Roman" w:hAnsi="Times New Roman" w:eastAsia="Times New Roman" w:cs="Times New Roman"/>
          <w:color w:val="231F20"/>
          <w:spacing w:val="29"/>
          <w:w w:val="101"/>
          <w:sz w:val="20"/>
          <w:szCs w:val="20"/>
        </w:rPr>
        <w:t xml:space="preserve"> </w:t>
      </w:r>
      <w:r>
        <w:rPr>
          <w:rFonts w:ascii="Times New Roman" w:hAnsi="Times New Roman" w:eastAsia="Times New Roman" w:cs="Times New Roman"/>
          <w:color w:val="231F20"/>
          <w:spacing w:val="4"/>
          <w:sz w:val="20"/>
          <w:szCs w:val="20"/>
        </w:rPr>
        <w:t>education.</w:t>
      </w:r>
      <w:r>
        <w:rPr>
          <w:rFonts w:ascii="Times New Roman" w:hAnsi="Times New Roman" w:eastAsia="Times New Roman" w:cs="Times New Roman"/>
          <w:color w:val="231F20"/>
          <w:spacing w:val="25"/>
          <w:w w:val="101"/>
          <w:sz w:val="20"/>
          <w:szCs w:val="20"/>
        </w:rPr>
        <w:t xml:space="preserve"> </w:t>
      </w:r>
      <w:r>
        <w:rPr>
          <w:rFonts w:ascii="Times New Roman" w:hAnsi="Times New Roman" w:eastAsia="Times New Roman" w:cs="Times New Roman"/>
          <w:color w:val="231F20"/>
          <w:spacing w:val="4"/>
          <w:sz w:val="20"/>
          <w:szCs w:val="20"/>
        </w:rPr>
        <w:t>The</w:t>
      </w:r>
      <w:r>
        <w:rPr>
          <w:rFonts w:ascii="Times New Roman" w:hAnsi="Times New Roman" w:eastAsia="Times New Roman" w:cs="Times New Roman"/>
          <w:color w:val="231F20"/>
          <w:spacing w:val="30"/>
          <w:sz w:val="20"/>
          <w:szCs w:val="20"/>
        </w:rPr>
        <w:t xml:space="preserve"> </w:t>
      </w:r>
      <w:r>
        <w:rPr>
          <w:rFonts w:ascii="Times New Roman" w:hAnsi="Times New Roman" w:eastAsia="Times New Roman" w:cs="Times New Roman"/>
          <w:color w:val="231F20"/>
          <w:spacing w:val="4"/>
          <w:sz w:val="20"/>
          <w:szCs w:val="20"/>
        </w:rPr>
        <w:t>quality</w:t>
      </w:r>
      <w:r>
        <w:rPr>
          <w:rFonts w:ascii="Times New Roman" w:hAnsi="Times New Roman" w:eastAsia="Times New Roman" w:cs="Times New Roman"/>
          <w:color w:val="231F20"/>
          <w:spacing w:val="33"/>
          <w:sz w:val="20"/>
          <w:szCs w:val="20"/>
        </w:rPr>
        <w:t xml:space="preserve"> </w:t>
      </w:r>
      <w:r>
        <w:rPr>
          <w:rFonts w:ascii="Times New Roman" w:hAnsi="Times New Roman" w:eastAsia="Times New Roman" w:cs="Times New Roman"/>
          <w:color w:val="231F20"/>
          <w:spacing w:val="4"/>
          <w:sz w:val="20"/>
          <w:szCs w:val="20"/>
        </w:rPr>
        <w:t>standard</w:t>
      </w:r>
      <w:r>
        <w:rPr>
          <w:rFonts w:ascii="Times New Roman" w:hAnsi="Times New Roman" w:eastAsia="Times New Roman" w:cs="Times New Roman"/>
          <w:color w:val="231F20"/>
          <w:spacing w:val="30"/>
          <w:sz w:val="20"/>
          <w:szCs w:val="20"/>
        </w:rPr>
        <w:t xml:space="preserve"> </w:t>
      </w:r>
      <w:r>
        <w:rPr>
          <w:rFonts w:ascii="Times New Roman" w:hAnsi="Times New Roman" w:eastAsia="Times New Roman" w:cs="Times New Roman"/>
          <w:color w:val="231F20"/>
          <w:spacing w:val="4"/>
          <w:sz w:val="20"/>
          <w:szCs w:val="20"/>
        </w:rPr>
        <w:t>of indus</w:t>
      </w:r>
      <w:r>
        <w:rPr>
          <w:rFonts w:ascii="Times New Roman" w:hAnsi="Times New Roman" w:eastAsia="Times New Roman" w:cs="Times New Roman"/>
          <w:color w:val="231F20"/>
          <w:spacing w:val="3"/>
          <w:sz w:val="20"/>
          <w:szCs w:val="20"/>
        </w:rPr>
        <w:t>trial</w:t>
      </w:r>
      <w:r>
        <w:rPr>
          <w:rFonts w:ascii="Times New Roman" w:hAnsi="Times New Roman" w:eastAsia="Times New Roman" w:cs="Times New Roman"/>
          <w:color w:val="231F20"/>
          <w:spacing w:val="30"/>
          <w:w w:val="101"/>
          <w:sz w:val="20"/>
          <w:szCs w:val="20"/>
        </w:rPr>
        <w:t xml:space="preserve"> </w:t>
      </w:r>
      <w:r>
        <w:rPr>
          <w:rFonts w:ascii="Times New Roman" w:hAnsi="Times New Roman" w:eastAsia="Times New Roman" w:cs="Times New Roman"/>
          <w:color w:val="231F20"/>
          <w:spacing w:val="3"/>
          <w:sz w:val="20"/>
          <w:szCs w:val="20"/>
        </w:rPr>
        <w:t>and</w:t>
      </w:r>
      <w:r>
        <w:rPr>
          <w:rFonts w:ascii="Times New Roman" w:hAnsi="Times New Roman" w:eastAsia="Times New Roman" w:cs="Times New Roman"/>
          <w:color w:val="231F20"/>
          <w:spacing w:val="30"/>
          <w:sz w:val="20"/>
          <w:szCs w:val="20"/>
        </w:rPr>
        <w:t xml:space="preserve"> </w:t>
      </w:r>
      <w:r>
        <w:rPr>
          <w:rFonts w:ascii="Times New Roman" w:hAnsi="Times New Roman" w:eastAsia="Times New Roman" w:cs="Times New Roman"/>
          <w:color w:val="231F20"/>
          <w:spacing w:val="3"/>
          <w:sz w:val="20"/>
          <w:szCs w:val="20"/>
        </w:rPr>
        <w:t>commercial</w:t>
      </w:r>
      <w:r>
        <w:rPr>
          <w:rFonts w:ascii="Times New Roman" w:hAnsi="Times New Roman" w:eastAsia="Times New Roman" w:cs="Times New Roman"/>
          <w:color w:val="231F20"/>
          <w:spacing w:val="33"/>
          <w:sz w:val="20"/>
          <w:szCs w:val="20"/>
        </w:rPr>
        <w:t xml:space="preserve"> </w:t>
      </w:r>
      <w:r>
        <w:rPr>
          <w:rFonts w:ascii="Times New Roman" w:hAnsi="Times New Roman" w:eastAsia="Times New Roman" w:cs="Times New Roman"/>
          <w:color w:val="231F20"/>
          <w:spacing w:val="3"/>
          <w:sz w:val="20"/>
          <w:szCs w:val="20"/>
        </w:rPr>
        <w:t>significance</w:t>
      </w:r>
      <w:r>
        <w:rPr>
          <w:rFonts w:ascii="Times New Roman" w:hAnsi="Times New Roman" w:eastAsia="Times New Roman" w:cs="Times New Roman"/>
          <w:color w:val="231F20"/>
          <w:spacing w:val="29"/>
          <w:sz w:val="20"/>
          <w:szCs w:val="20"/>
        </w:rPr>
        <w:t xml:space="preserve"> </w:t>
      </w:r>
      <w:r>
        <w:rPr>
          <w:rFonts w:ascii="Times New Roman" w:hAnsi="Times New Roman" w:eastAsia="Times New Roman" w:cs="Times New Roman"/>
          <w:color w:val="231F20"/>
          <w:spacing w:val="3"/>
          <w:sz w:val="20"/>
          <w:szCs w:val="20"/>
        </w:rPr>
        <w:t>is</w:t>
      </w:r>
      <w:r>
        <w:rPr>
          <w:rFonts w:ascii="Times New Roman" w:hAnsi="Times New Roman" w:eastAsia="Times New Roman" w:cs="Times New Roman"/>
          <w:color w:val="231F20"/>
          <w:spacing w:val="31"/>
          <w:sz w:val="20"/>
          <w:szCs w:val="20"/>
        </w:rPr>
        <w:t xml:space="preserve"> </w:t>
      </w:r>
      <w:r>
        <w:rPr>
          <w:rFonts w:ascii="Times New Roman" w:hAnsi="Times New Roman" w:eastAsia="Times New Roman" w:cs="Times New Roman"/>
          <w:color w:val="231F20"/>
          <w:spacing w:val="3"/>
          <w:sz w:val="20"/>
          <w:szCs w:val="20"/>
        </w:rPr>
        <w:t>also</w:t>
      </w:r>
      <w:r>
        <w:rPr>
          <w:rFonts w:ascii="Times New Roman" w:hAnsi="Times New Roman" w:eastAsia="Times New Roman" w:cs="Times New Roman"/>
          <w:color w:val="231F20"/>
          <w:spacing w:val="24"/>
          <w:w w:val="101"/>
          <w:sz w:val="20"/>
          <w:szCs w:val="20"/>
        </w:rPr>
        <w:t xml:space="preserve"> </w:t>
      </w:r>
      <w:r>
        <w:rPr>
          <w:rFonts w:ascii="Times New Roman" w:hAnsi="Times New Roman" w:eastAsia="Times New Roman" w:cs="Times New Roman"/>
          <w:color w:val="231F20"/>
          <w:spacing w:val="3"/>
          <w:sz w:val="20"/>
          <w:szCs w:val="20"/>
        </w:rPr>
        <w:t>not</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4"/>
          <w:sz w:val="20"/>
          <w:szCs w:val="20"/>
        </w:rPr>
        <w:t>suitable</w:t>
      </w:r>
      <w:r>
        <w:rPr>
          <w:rFonts w:ascii="Times New Roman" w:hAnsi="Times New Roman" w:eastAsia="Times New Roman" w:cs="Times New Roman"/>
          <w:color w:val="231F20"/>
          <w:spacing w:val="16"/>
          <w:w w:val="101"/>
          <w:sz w:val="20"/>
          <w:szCs w:val="20"/>
        </w:rPr>
        <w:t xml:space="preserve"> </w:t>
      </w:r>
      <w:r>
        <w:rPr>
          <w:rFonts w:ascii="Times New Roman" w:hAnsi="Times New Roman" w:eastAsia="Times New Roman" w:cs="Times New Roman"/>
          <w:color w:val="231F20"/>
          <w:spacing w:val="4"/>
          <w:sz w:val="20"/>
          <w:szCs w:val="20"/>
        </w:rPr>
        <w:t>for the transformational characteristics</w:t>
      </w:r>
      <w:r>
        <w:rPr>
          <w:rFonts w:ascii="Times New Roman" w:hAnsi="Times New Roman" w:eastAsia="Times New Roman" w:cs="Times New Roman"/>
          <w:color w:val="231F20"/>
          <w:spacing w:val="15"/>
          <w:w w:val="101"/>
          <w:sz w:val="20"/>
          <w:szCs w:val="20"/>
        </w:rPr>
        <w:t xml:space="preserve"> </w:t>
      </w:r>
      <w:r>
        <w:rPr>
          <w:rFonts w:ascii="Times New Roman" w:hAnsi="Times New Roman" w:eastAsia="Times New Roman" w:cs="Times New Roman"/>
          <w:color w:val="231F20"/>
          <w:spacing w:val="4"/>
          <w:sz w:val="20"/>
          <w:szCs w:val="20"/>
        </w:rPr>
        <w:t>of educational quality,</w:t>
      </w:r>
      <w:r>
        <w:rPr>
          <w:rFonts w:ascii="Times New Roman" w:hAnsi="Times New Roman" w:eastAsia="Times New Roman" w:cs="Times New Roman"/>
          <w:color w:val="231F20"/>
          <w:spacing w:val="16"/>
          <w:w w:val="101"/>
          <w:sz w:val="20"/>
          <w:szCs w:val="20"/>
        </w:rPr>
        <w:t xml:space="preserve"> </w:t>
      </w:r>
      <w:r>
        <w:rPr>
          <w:rFonts w:ascii="Times New Roman" w:hAnsi="Times New Roman" w:eastAsia="Times New Roman" w:cs="Times New Roman"/>
          <w:color w:val="231F20"/>
          <w:spacing w:val="4"/>
          <w:sz w:val="20"/>
          <w:szCs w:val="20"/>
        </w:rPr>
        <w:t>for its</w:t>
      </w:r>
      <w:r>
        <w:rPr>
          <w:rFonts w:ascii="Times New Roman" w:hAnsi="Times New Roman" w:eastAsia="Times New Roman" w:cs="Times New Roman"/>
          <w:color w:val="231F20"/>
          <w:spacing w:val="14"/>
          <w:w w:val="101"/>
          <w:sz w:val="20"/>
          <w:szCs w:val="20"/>
        </w:rPr>
        <w:t xml:space="preserve"> </w:t>
      </w:r>
      <w:r>
        <w:rPr>
          <w:rFonts w:ascii="Times New Roman" w:hAnsi="Times New Roman" w:eastAsia="Times New Roman" w:cs="Times New Roman"/>
          <w:color w:val="231F20"/>
          <w:spacing w:val="3"/>
          <w:sz w:val="20"/>
          <w:szCs w:val="20"/>
        </w:rPr>
        <w:t>inherent</w:t>
      </w:r>
      <w:r>
        <w:rPr>
          <w:rFonts w:ascii="Times New Roman" w:hAnsi="Times New Roman" w:eastAsia="Times New Roman" w:cs="Times New Roman"/>
          <w:color w:val="231F20"/>
          <w:spacing w:val="14"/>
          <w:w w:val="101"/>
          <w:sz w:val="20"/>
          <w:szCs w:val="20"/>
        </w:rPr>
        <w:t xml:space="preserve"> </w:t>
      </w:r>
      <w:r>
        <w:rPr>
          <w:rFonts w:ascii="Times New Roman" w:hAnsi="Times New Roman" w:eastAsia="Times New Roman" w:cs="Times New Roman"/>
          <w:color w:val="231F20"/>
          <w:spacing w:val="3"/>
          <w:sz w:val="20"/>
          <w:szCs w:val="20"/>
        </w:rPr>
        <w:t>limitations. Authentication,</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3"/>
          <w:sz w:val="20"/>
          <w:szCs w:val="20"/>
        </w:rPr>
        <w:t>accountability,</w:t>
      </w:r>
      <w:r>
        <w:rPr>
          <w:rFonts w:ascii="Times New Roman" w:hAnsi="Times New Roman" w:eastAsia="Times New Roman" w:cs="Times New Roman"/>
          <w:color w:val="231F20"/>
          <w:spacing w:val="41"/>
          <w:w w:val="101"/>
          <w:sz w:val="20"/>
          <w:szCs w:val="20"/>
        </w:rPr>
        <w:t xml:space="preserve"> </w:t>
      </w:r>
      <w:r>
        <w:rPr>
          <w:rFonts w:ascii="Times New Roman" w:hAnsi="Times New Roman" w:eastAsia="Times New Roman" w:cs="Times New Roman"/>
          <w:color w:val="231F20"/>
          <w:spacing w:val="3"/>
          <w:sz w:val="20"/>
          <w:szCs w:val="20"/>
        </w:rPr>
        <w:t>audit,</w:t>
      </w:r>
      <w:r>
        <w:rPr>
          <w:rFonts w:ascii="Times New Roman" w:hAnsi="Times New Roman" w:eastAsia="Times New Roman" w:cs="Times New Roman"/>
          <w:color w:val="231F20"/>
          <w:spacing w:val="22"/>
          <w:w w:val="101"/>
          <w:sz w:val="20"/>
          <w:szCs w:val="20"/>
        </w:rPr>
        <w:t xml:space="preserve"> </w:t>
      </w:r>
      <w:r>
        <w:rPr>
          <w:rFonts w:ascii="Times New Roman" w:hAnsi="Times New Roman" w:eastAsia="Times New Roman" w:cs="Times New Roman"/>
          <w:color w:val="231F20"/>
          <w:spacing w:val="3"/>
          <w:sz w:val="20"/>
          <w:szCs w:val="20"/>
        </w:rPr>
        <w:t>evaluation</w:t>
      </w:r>
      <w:r>
        <w:rPr>
          <w:rFonts w:ascii="Times New Roman" w:hAnsi="Times New Roman" w:eastAsia="Times New Roman" w:cs="Times New Roman"/>
          <w:color w:val="231F20"/>
          <w:spacing w:val="23"/>
          <w:sz w:val="20"/>
          <w:szCs w:val="20"/>
        </w:rPr>
        <w:t xml:space="preserve"> </w:t>
      </w:r>
      <w:r>
        <w:rPr>
          <w:rFonts w:ascii="Times New Roman" w:hAnsi="Times New Roman" w:eastAsia="Times New Roman" w:cs="Times New Roman"/>
          <w:color w:val="231F20"/>
          <w:spacing w:val="3"/>
          <w:sz w:val="20"/>
          <w:szCs w:val="20"/>
        </w:rPr>
        <w:t>and</w:t>
      </w:r>
      <w:r>
        <w:rPr>
          <w:rFonts w:ascii="Times New Roman" w:hAnsi="Times New Roman" w:eastAsia="Times New Roman" w:cs="Times New Roman"/>
          <w:color w:val="231F20"/>
          <w:spacing w:val="21"/>
          <w:w w:val="101"/>
          <w:sz w:val="20"/>
          <w:szCs w:val="20"/>
        </w:rPr>
        <w:t xml:space="preserve"> </w:t>
      </w:r>
      <w:r>
        <w:rPr>
          <w:rFonts w:ascii="Times New Roman" w:hAnsi="Times New Roman" w:eastAsia="Times New Roman" w:cs="Times New Roman"/>
          <w:color w:val="231F20"/>
          <w:spacing w:val="3"/>
          <w:sz w:val="20"/>
          <w:szCs w:val="20"/>
        </w:rPr>
        <w:t>other</w:t>
      </w:r>
      <w:r>
        <w:rPr>
          <w:rFonts w:ascii="Times New Roman" w:hAnsi="Times New Roman" w:eastAsia="Times New Roman" w:cs="Times New Roman"/>
          <w:color w:val="231F20"/>
          <w:spacing w:val="21"/>
          <w:sz w:val="20"/>
          <w:szCs w:val="20"/>
        </w:rPr>
        <w:t xml:space="preserve"> </w:t>
      </w:r>
      <w:r>
        <w:rPr>
          <w:rFonts w:ascii="Times New Roman" w:hAnsi="Times New Roman" w:eastAsia="Times New Roman" w:cs="Times New Roman"/>
          <w:color w:val="231F20"/>
          <w:spacing w:val="3"/>
          <w:sz w:val="20"/>
          <w:szCs w:val="20"/>
        </w:rPr>
        <w:t>quality</w:t>
      </w:r>
      <w:r>
        <w:rPr>
          <w:rFonts w:ascii="Times New Roman" w:hAnsi="Times New Roman" w:eastAsia="Times New Roman" w:cs="Times New Roman"/>
          <w:color w:val="231F20"/>
          <w:spacing w:val="22"/>
          <w:w w:val="101"/>
          <w:sz w:val="20"/>
          <w:szCs w:val="20"/>
        </w:rPr>
        <w:t xml:space="preserve"> </w:t>
      </w:r>
      <w:r>
        <w:rPr>
          <w:rFonts w:ascii="Times New Roman" w:hAnsi="Times New Roman" w:eastAsia="Times New Roman" w:cs="Times New Roman"/>
          <w:color w:val="231F20"/>
          <w:spacing w:val="3"/>
          <w:sz w:val="20"/>
          <w:szCs w:val="20"/>
        </w:rPr>
        <w:t>assurance</w:t>
      </w:r>
      <w:r>
        <w:rPr>
          <w:rFonts w:ascii="Times New Roman" w:hAnsi="Times New Roman" w:eastAsia="Times New Roman" w:cs="Times New Roman"/>
          <w:color w:val="231F20"/>
          <w:spacing w:val="25"/>
          <w:w w:val="101"/>
          <w:sz w:val="20"/>
          <w:szCs w:val="20"/>
        </w:rPr>
        <w:t xml:space="preserve"> </w:t>
      </w:r>
      <w:r>
        <w:rPr>
          <w:rFonts w:ascii="Times New Roman" w:hAnsi="Times New Roman" w:eastAsia="Times New Roman" w:cs="Times New Roman"/>
          <w:color w:val="231F20"/>
          <w:spacing w:val="3"/>
          <w:sz w:val="20"/>
          <w:szCs w:val="20"/>
        </w:rPr>
        <w:t>systems</w:t>
      </w:r>
      <w:r>
        <w:rPr>
          <w:rFonts w:ascii="Times New Roman" w:hAnsi="Times New Roman" w:eastAsia="Times New Roman" w:cs="Times New Roman"/>
          <w:color w:val="231F20"/>
          <w:spacing w:val="22"/>
          <w:w w:val="101"/>
          <w:sz w:val="20"/>
          <w:szCs w:val="20"/>
        </w:rPr>
        <w:t xml:space="preserve"> </w:t>
      </w:r>
      <w:r>
        <w:rPr>
          <w:rFonts w:ascii="Times New Roman" w:hAnsi="Times New Roman" w:eastAsia="Times New Roman" w:cs="Times New Roman"/>
          <w:color w:val="231F20"/>
          <w:spacing w:val="3"/>
          <w:sz w:val="20"/>
          <w:szCs w:val="20"/>
        </w:rPr>
        <w:t>cannot</w:t>
      </w:r>
      <w:r>
        <w:rPr>
          <w:rFonts w:ascii="Times New Roman" w:hAnsi="Times New Roman" w:eastAsia="Times New Roman" w:cs="Times New Roman"/>
          <w:color w:val="231F20"/>
          <w:spacing w:val="16"/>
          <w:sz w:val="20"/>
          <w:szCs w:val="20"/>
        </w:rPr>
        <w:t xml:space="preserve"> </w:t>
      </w:r>
      <w:r>
        <w:rPr>
          <w:rFonts w:ascii="Times New Roman" w:hAnsi="Times New Roman" w:eastAsia="Times New Roman" w:cs="Times New Roman"/>
          <w:color w:val="231F20"/>
          <w:spacing w:val="3"/>
          <w:sz w:val="20"/>
          <w:szCs w:val="20"/>
        </w:rPr>
        <w:t>necessarily</w:t>
      </w:r>
      <w:r>
        <w:rPr>
          <w:rFonts w:ascii="Times New Roman" w:hAnsi="Times New Roman" w:eastAsia="Times New Roman" w:cs="Times New Roman"/>
          <w:color w:val="231F20"/>
          <w:spacing w:val="21"/>
          <w:w w:val="101"/>
          <w:sz w:val="20"/>
          <w:szCs w:val="20"/>
        </w:rPr>
        <w:t xml:space="preserve"> </w:t>
      </w:r>
      <w:r>
        <w:rPr>
          <w:rFonts w:ascii="Times New Roman" w:hAnsi="Times New Roman" w:eastAsia="Times New Roman" w:cs="Times New Roman"/>
          <w:color w:val="231F20"/>
          <w:spacing w:val="3"/>
          <w:sz w:val="20"/>
          <w:szCs w:val="20"/>
        </w:rPr>
        <w:t>lead</w:t>
      </w:r>
      <w:r>
        <w:rPr>
          <w:rFonts w:ascii="Times New Roman" w:hAnsi="Times New Roman" w:eastAsia="Times New Roman" w:cs="Times New Roman"/>
          <w:color w:val="231F20"/>
          <w:spacing w:val="16"/>
          <w:w w:val="101"/>
          <w:sz w:val="20"/>
          <w:szCs w:val="20"/>
        </w:rPr>
        <w:t xml:space="preserve"> </w:t>
      </w:r>
      <w:r>
        <w:rPr>
          <w:rFonts w:ascii="Times New Roman" w:hAnsi="Times New Roman" w:eastAsia="Times New Roman" w:cs="Times New Roman"/>
          <w:color w:val="231F20"/>
          <w:spacing w:val="3"/>
          <w:sz w:val="20"/>
          <w:szCs w:val="20"/>
        </w:rPr>
        <w:t>to</w:t>
      </w:r>
      <w:r>
        <w:rPr>
          <w:rFonts w:ascii="Times New Roman" w:hAnsi="Times New Roman" w:eastAsia="Times New Roman" w:cs="Times New Roman"/>
          <w:color w:val="231F20"/>
          <w:spacing w:val="22"/>
          <w:w w:val="101"/>
          <w:sz w:val="20"/>
          <w:szCs w:val="20"/>
        </w:rPr>
        <w:t xml:space="preserve"> </w:t>
      </w:r>
      <w:r>
        <w:rPr>
          <w:rFonts w:ascii="Times New Roman" w:hAnsi="Times New Roman" w:eastAsia="Times New Roman" w:cs="Times New Roman"/>
          <w:color w:val="231F20"/>
          <w:spacing w:val="3"/>
          <w:sz w:val="20"/>
          <w:szCs w:val="20"/>
        </w:rPr>
        <w:t>quality</w:t>
      </w:r>
      <w:r>
        <w:rPr>
          <w:rFonts w:ascii="Times New Roman" w:hAnsi="Times New Roman" w:eastAsia="Times New Roman" w:cs="Times New Roman"/>
          <w:color w:val="231F20"/>
          <w:spacing w:val="21"/>
          <w:sz w:val="20"/>
          <w:szCs w:val="20"/>
        </w:rPr>
        <w:t xml:space="preserve"> </w:t>
      </w:r>
      <w:r>
        <w:rPr>
          <w:rFonts w:ascii="Times New Roman" w:hAnsi="Times New Roman" w:eastAsia="Times New Roman" w:cs="Times New Roman"/>
          <w:color w:val="231F20"/>
          <w:spacing w:val="3"/>
          <w:sz w:val="20"/>
          <w:szCs w:val="20"/>
        </w:rPr>
        <w:t>improve-</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4"/>
          <w:sz w:val="20"/>
          <w:szCs w:val="20"/>
        </w:rPr>
        <w:t>ment, because</w:t>
      </w:r>
      <w:r>
        <w:rPr>
          <w:rFonts w:ascii="Times New Roman" w:hAnsi="Times New Roman" w:eastAsia="Times New Roman" w:cs="Times New Roman"/>
          <w:color w:val="231F20"/>
          <w:spacing w:val="16"/>
          <w:w w:val="101"/>
          <w:sz w:val="20"/>
          <w:szCs w:val="20"/>
        </w:rPr>
        <w:t xml:space="preserve"> </w:t>
      </w:r>
      <w:r>
        <w:rPr>
          <w:rFonts w:ascii="Times New Roman" w:hAnsi="Times New Roman" w:eastAsia="Times New Roman" w:cs="Times New Roman"/>
          <w:color w:val="231F20"/>
          <w:spacing w:val="4"/>
          <w:sz w:val="20"/>
          <w:szCs w:val="20"/>
        </w:rPr>
        <w:t>their</w:t>
      </w:r>
      <w:r>
        <w:rPr>
          <w:rFonts w:ascii="Times New Roman" w:hAnsi="Times New Roman" w:eastAsia="Times New Roman" w:cs="Times New Roman"/>
          <w:color w:val="231F20"/>
          <w:spacing w:val="20"/>
          <w:w w:val="101"/>
          <w:sz w:val="20"/>
          <w:szCs w:val="20"/>
        </w:rPr>
        <w:t xml:space="preserve"> </w:t>
      </w:r>
      <w:r>
        <w:rPr>
          <w:rFonts w:ascii="Times New Roman" w:hAnsi="Times New Roman" w:eastAsia="Times New Roman" w:cs="Times New Roman"/>
          <w:color w:val="231F20"/>
          <w:spacing w:val="4"/>
          <w:sz w:val="20"/>
          <w:szCs w:val="20"/>
        </w:rPr>
        <w:t>are</w:t>
      </w:r>
      <w:r>
        <w:rPr>
          <w:rFonts w:ascii="Times New Roman" w:hAnsi="Times New Roman" w:eastAsia="Times New Roman" w:cs="Times New Roman"/>
          <w:color w:val="231F20"/>
          <w:spacing w:val="15"/>
          <w:w w:val="101"/>
          <w:sz w:val="20"/>
          <w:szCs w:val="20"/>
        </w:rPr>
        <w:t xml:space="preserve"> </w:t>
      </w:r>
      <w:r>
        <w:rPr>
          <w:rFonts w:ascii="Times New Roman" w:hAnsi="Times New Roman" w:eastAsia="Times New Roman" w:cs="Times New Roman"/>
          <w:color w:val="231F20"/>
          <w:spacing w:val="4"/>
          <w:sz w:val="20"/>
          <w:szCs w:val="20"/>
        </w:rPr>
        <w:t>not</w:t>
      </w:r>
      <w:r>
        <w:rPr>
          <w:rFonts w:ascii="Times New Roman" w:hAnsi="Times New Roman" w:eastAsia="Times New Roman" w:cs="Times New Roman"/>
          <w:color w:val="231F20"/>
          <w:spacing w:val="21"/>
          <w:sz w:val="20"/>
          <w:szCs w:val="20"/>
        </w:rPr>
        <w:t xml:space="preserve"> </w:t>
      </w:r>
      <w:r>
        <w:rPr>
          <w:rFonts w:ascii="Times New Roman" w:hAnsi="Times New Roman" w:eastAsia="Times New Roman" w:cs="Times New Roman"/>
          <w:color w:val="231F20"/>
          <w:spacing w:val="4"/>
          <w:sz w:val="20"/>
          <w:szCs w:val="20"/>
        </w:rPr>
        <w:t>quality</w:t>
      </w:r>
      <w:r>
        <w:rPr>
          <w:rFonts w:ascii="Times New Roman" w:hAnsi="Times New Roman" w:eastAsia="Times New Roman" w:cs="Times New Roman"/>
          <w:color w:val="231F20"/>
          <w:spacing w:val="20"/>
          <w:w w:val="101"/>
          <w:sz w:val="20"/>
          <w:szCs w:val="20"/>
        </w:rPr>
        <w:t xml:space="preserve"> </w:t>
      </w:r>
      <w:r>
        <w:rPr>
          <w:rFonts w:ascii="Times New Roman" w:hAnsi="Times New Roman" w:eastAsia="Times New Roman" w:cs="Times New Roman"/>
          <w:color w:val="231F20"/>
          <w:spacing w:val="4"/>
          <w:sz w:val="20"/>
          <w:szCs w:val="20"/>
        </w:rPr>
        <w:t>itself.</w:t>
      </w:r>
      <w:r>
        <w:rPr>
          <w:rFonts w:ascii="Times New Roman" w:hAnsi="Times New Roman" w:eastAsia="Times New Roman" w:cs="Times New Roman"/>
          <w:color w:val="231F20"/>
          <w:spacing w:val="16"/>
          <w:w w:val="101"/>
          <w:sz w:val="20"/>
          <w:szCs w:val="20"/>
        </w:rPr>
        <w:t xml:space="preserve"> </w:t>
      </w:r>
      <w:r>
        <w:rPr>
          <w:rFonts w:ascii="Times New Roman" w:hAnsi="Times New Roman" w:eastAsia="Times New Roman" w:cs="Times New Roman"/>
          <w:color w:val="231F20"/>
          <w:spacing w:val="4"/>
          <w:sz w:val="20"/>
          <w:szCs w:val="20"/>
        </w:rPr>
        <w:t>The</w:t>
      </w:r>
      <w:r>
        <w:rPr>
          <w:rFonts w:ascii="Times New Roman" w:hAnsi="Times New Roman" w:eastAsia="Times New Roman" w:cs="Times New Roman"/>
          <w:color w:val="231F20"/>
          <w:spacing w:val="19"/>
          <w:sz w:val="20"/>
          <w:szCs w:val="20"/>
        </w:rPr>
        <w:t xml:space="preserve"> </w:t>
      </w:r>
      <w:r>
        <w:rPr>
          <w:rFonts w:ascii="Times New Roman" w:hAnsi="Times New Roman" w:eastAsia="Times New Roman" w:cs="Times New Roman"/>
          <w:color w:val="231F20"/>
          <w:spacing w:val="4"/>
          <w:sz w:val="20"/>
          <w:szCs w:val="20"/>
        </w:rPr>
        <w:t>European</w:t>
      </w:r>
      <w:r>
        <w:rPr>
          <w:rFonts w:ascii="Times New Roman" w:hAnsi="Times New Roman" w:eastAsia="Times New Roman" w:cs="Times New Roman"/>
          <w:color w:val="231F20"/>
          <w:spacing w:val="15"/>
          <w:w w:val="101"/>
          <w:sz w:val="20"/>
          <w:szCs w:val="20"/>
        </w:rPr>
        <w:t xml:space="preserve"> </w:t>
      </w:r>
      <w:r>
        <w:rPr>
          <w:rFonts w:ascii="Times New Roman" w:hAnsi="Times New Roman" w:eastAsia="Times New Roman" w:cs="Times New Roman"/>
          <w:color w:val="231F20"/>
          <w:spacing w:val="4"/>
          <w:sz w:val="20"/>
          <w:szCs w:val="20"/>
        </w:rPr>
        <w:t>Universit</w:t>
      </w:r>
      <w:r>
        <w:rPr>
          <w:rFonts w:ascii="Times New Roman" w:hAnsi="Times New Roman" w:eastAsia="Times New Roman" w:cs="Times New Roman"/>
          <w:color w:val="231F20"/>
          <w:spacing w:val="3"/>
          <w:sz w:val="20"/>
          <w:szCs w:val="20"/>
        </w:rPr>
        <w:t>y Association</w:t>
      </w:r>
      <w:r>
        <w:rPr>
          <w:rFonts w:ascii="Times New Roman" w:hAnsi="Times New Roman" w:eastAsia="Times New Roman" w:cs="Times New Roman"/>
          <w:color w:val="231F20"/>
          <w:spacing w:val="23"/>
          <w:sz w:val="20"/>
          <w:szCs w:val="20"/>
        </w:rPr>
        <w:t xml:space="preserve"> </w:t>
      </w:r>
      <w:r>
        <w:rPr>
          <w:rFonts w:ascii="Times New Roman" w:hAnsi="Times New Roman" w:eastAsia="Times New Roman" w:cs="Times New Roman"/>
          <w:color w:val="231F20"/>
          <w:spacing w:val="3"/>
          <w:sz w:val="20"/>
          <w:szCs w:val="20"/>
        </w:rPr>
        <w:t>(EUA)</w:t>
      </w:r>
      <w:r>
        <w:rPr>
          <w:rFonts w:ascii="Times New Roman" w:hAnsi="Times New Roman" w:eastAsia="Times New Roman" w:cs="Times New Roman"/>
          <w:color w:val="231F20"/>
          <w:spacing w:val="21"/>
          <w:sz w:val="20"/>
          <w:szCs w:val="20"/>
        </w:rPr>
        <w:t xml:space="preserve"> </w:t>
      </w:r>
      <w:r>
        <w:rPr>
          <w:rFonts w:ascii="Times New Roman" w:hAnsi="Times New Roman" w:eastAsia="Times New Roman" w:cs="Times New Roman"/>
          <w:color w:val="231F20"/>
          <w:spacing w:val="3"/>
          <w:sz w:val="20"/>
          <w:szCs w:val="20"/>
        </w:rPr>
        <w:t>defines</w:t>
      </w:r>
      <w:r>
        <w:rPr>
          <w:rFonts w:ascii="Times New Roman" w:hAnsi="Times New Roman" w:eastAsia="Times New Roman" w:cs="Times New Roman"/>
          <w:color w:val="231F20"/>
          <w:spacing w:val="21"/>
          <w:w w:val="101"/>
          <w:sz w:val="20"/>
          <w:szCs w:val="20"/>
        </w:rPr>
        <w:t xml:space="preserve"> </w:t>
      </w:r>
      <w:r>
        <w:rPr>
          <w:rFonts w:ascii="Times New Roman" w:hAnsi="Times New Roman" w:eastAsia="Times New Roman" w:cs="Times New Roman"/>
          <w:color w:val="231F20"/>
          <w:spacing w:val="3"/>
          <w:sz w:val="20"/>
          <w:szCs w:val="20"/>
        </w:rPr>
        <w:t>quality</w:t>
      </w:r>
      <w:r>
        <w:rPr>
          <w:rFonts w:ascii="Times New Roman" w:hAnsi="Times New Roman" w:eastAsia="Times New Roman" w:cs="Times New Roman"/>
          <w:color w:val="231F20"/>
          <w:spacing w:val="21"/>
          <w:w w:val="101"/>
          <w:sz w:val="20"/>
          <w:szCs w:val="20"/>
        </w:rPr>
        <w:t xml:space="preserve"> </w:t>
      </w:r>
      <w:r>
        <w:rPr>
          <w:rFonts w:ascii="Times New Roman" w:hAnsi="Times New Roman" w:eastAsia="Times New Roman" w:cs="Times New Roman"/>
          <w:color w:val="231F20"/>
          <w:spacing w:val="3"/>
          <w:sz w:val="20"/>
          <w:szCs w:val="20"/>
        </w:rPr>
        <w:t>culture</w:t>
      </w:r>
      <w:r>
        <w:rPr>
          <w:rFonts w:ascii="Times New Roman" w:hAnsi="Times New Roman" w:eastAsia="Times New Roman" w:cs="Times New Roman"/>
          <w:color w:val="231F20"/>
          <w:spacing w:val="21"/>
          <w:w w:val="101"/>
          <w:sz w:val="20"/>
          <w:szCs w:val="20"/>
        </w:rPr>
        <w:t xml:space="preserve"> </w:t>
      </w:r>
      <w:r>
        <w:rPr>
          <w:rFonts w:ascii="Times New Roman" w:hAnsi="Times New Roman" w:eastAsia="Times New Roman" w:cs="Times New Roman"/>
          <w:color w:val="231F20"/>
          <w:spacing w:val="3"/>
          <w:sz w:val="20"/>
          <w:szCs w:val="20"/>
        </w:rPr>
        <w:t>as</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4"/>
          <w:sz w:val="20"/>
          <w:szCs w:val="20"/>
        </w:rPr>
        <w:t>an organizational culture aiming at permanently</w:t>
      </w:r>
      <w:r>
        <w:rPr>
          <w:rFonts w:ascii="Times New Roman" w:hAnsi="Times New Roman" w:eastAsia="Times New Roman" w:cs="Times New Roman"/>
          <w:color w:val="231F20"/>
          <w:spacing w:val="12"/>
          <w:sz w:val="20"/>
          <w:szCs w:val="20"/>
        </w:rPr>
        <w:t xml:space="preserve"> </w:t>
      </w:r>
      <w:r>
        <w:rPr>
          <w:rFonts w:ascii="Times New Roman" w:hAnsi="Times New Roman" w:eastAsia="Times New Roman" w:cs="Times New Roman"/>
          <w:color w:val="231F20"/>
          <w:spacing w:val="4"/>
          <w:sz w:val="20"/>
          <w:szCs w:val="20"/>
        </w:rPr>
        <w:t>improving</w:t>
      </w:r>
      <w:r>
        <w:rPr>
          <w:rFonts w:ascii="Times New Roman" w:hAnsi="Times New Roman" w:eastAsia="Times New Roman" w:cs="Times New Roman"/>
          <w:color w:val="231F20"/>
          <w:spacing w:val="12"/>
          <w:sz w:val="20"/>
          <w:szCs w:val="20"/>
        </w:rPr>
        <w:t xml:space="preserve"> </w:t>
      </w:r>
      <w:r>
        <w:rPr>
          <w:rFonts w:ascii="Times New Roman" w:hAnsi="Times New Roman" w:eastAsia="Times New Roman" w:cs="Times New Roman"/>
          <w:color w:val="231F20"/>
          <w:spacing w:val="4"/>
          <w:sz w:val="20"/>
          <w:szCs w:val="20"/>
        </w:rPr>
        <w:t>quality</w:t>
      </w:r>
      <w:r>
        <w:rPr>
          <w:rFonts w:ascii="Times New Roman" w:hAnsi="Times New Roman" w:eastAsia="Times New Roman" w:cs="Times New Roman"/>
          <w:color w:val="231F20"/>
          <w:spacing w:val="13"/>
          <w:w w:val="101"/>
          <w:sz w:val="20"/>
          <w:szCs w:val="20"/>
        </w:rPr>
        <w:t xml:space="preserve"> </w:t>
      </w:r>
      <w:r>
        <w:rPr>
          <w:rFonts w:ascii="Times New Roman" w:hAnsi="Times New Roman" w:eastAsia="Times New Roman" w:cs="Times New Roman"/>
          <w:color w:val="231F20"/>
          <w:spacing w:val="4"/>
          <w:sz w:val="20"/>
          <w:szCs w:val="20"/>
        </w:rPr>
        <w:t>from both psychological</w:t>
      </w:r>
      <w:r>
        <w:rPr>
          <w:rFonts w:ascii="Times New Roman" w:hAnsi="Times New Roman" w:eastAsia="Times New Roman" w:cs="Times New Roman"/>
          <w:color w:val="231F20"/>
          <w:spacing w:val="13"/>
          <w:sz w:val="20"/>
          <w:szCs w:val="20"/>
        </w:rPr>
        <w:t xml:space="preserve"> </w:t>
      </w:r>
      <w:r>
        <w:rPr>
          <w:rFonts w:ascii="Times New Roman" w:hAnsi="Times New Roman" w:eastAsia="Times New Roman" w:cs="Times New Roman"/>
          <w:color w:val="231F20"/>
          <w:spacing w:val="4"/>
          <w:sz w:val="20"/>
          <w:szCs w:val="20"/>
        </w:rPr>
        <w:t>and</w:t>
      </w:r>
      <w:r>
        <w:rPr>
          <w:rFonts w:ascii="Times New Roman" w:hAnsi="Times New Roman" w:eastAsia="Times New Roman" w:cs="Times New Roman"/>
          <w:color w:val="231F20"/>
          <w:spacing w:val="15"/>
          <w:w w:val="101"/>
          <w:sz w:val="20"/>
          <w:szCs w:val="20"/>
        </w:rPr>
        <w:t xml:space="preserve"> </w:t>
      </w:r>
      <w:r>
        <w:rPr>
          <w:rFonts w:ascii="Times New Roman" w:hAnsi="Times New Roman" w:eastAsia="Times New Roman" w:cs="Times New Roman"/>
          <w:color w:val="231F20"/>
          <w:spacing w:val="4"/>
          <w:sz w:val="20"/>
          <w:szCs w:val="20"/>
        </w:rPr>
        <w:t>stru</w:t>
      </w:r>
      <w:r>
        <w:rPr>
          <w:rFonts w:ascii="Times New Roman" w:hAnsi="Times New Roman" w:eastAsia="Times New Roman" w:cs="Times New Roman"/>
          <w:color w:val="231F20"/>
          <w:spacing w:val="3"/>
          <w:sz w:val="20"/>
          <w:szCs w:val="20"/>
        </w:rPr>
        <w:t>ctural</w:t>
      </w:r>
      <w:r>
        <w:rPr>
          <w:rFonts w:ascii="Times New Roman" w:hAnsi="Times New Roman" w:eastAsia="Times New Roman" w:cs="Times New Roman"/>
          <w:color w:val="231F20"/>
          <w:spacing w:val="12"/>
          <w:sz w:val="20"/>
          <w:szCs w:val="20"/>
        </w:rPr>
        <w:t xml:space="preserve"> </w:t>
      </w:r>
      <w:r>
        <w:rPr>
          <w:rFonts w:ascii="Times New Roman" w:hAnsi="Times New Roman" w:eastAsia="Times New Roman" w:cs="Times New Roman"/>
          <w:color w:val="231F20"/>
          <w:spacing w:val="3"/>
          <w:sz w:val="20"/>
          <w:szCs w:val="20"/>
        </w:rPr>
        <w:t>dimen-</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4"/>
          <w:sz w:val="20"/>
          <w:szCs w:val="20"/>
        </w:rPr>
        <w:t>sions, which has pioneering value. It claims that shared values, beliefs,</w:t>
      </w:r>
      <w:r>
        <w:rPr>
          <w:rFonts w:ascii="Times New Roman" w:hAnsi="Times New Roman" w:eastAsia="Times New Roman" w:cs="Times New Roman"/>
          <w:color w:val="231F20"/>
          <w:spacing w:val="20"/>
          <w:sz w:val="20"/>
          <w:szCs w:val="20"/>
        </w:rPr>
        <w:t xml:space="preserve"> </w:t>
      </w:r>
      <w:r>
        <w:rPr>
          <w:rFonts w:ascii="Times New Roman" w:hAnsi="Times New Roman" w:eastAsia="Times New Roman" w:cs="Times New Roman"/>
          <w:color w:val="231F20"/>
          <w:spacing w:val="4"/>
          <w:sz w:val="20"/>
          <w:szCs w:val="20"/>
        </w:rPr>
        <w:t>expectations</w:t>
      </w:r>
      <w:r>
        <w:rPr>
          <w:rFonts w:ascii="Times New Roman" w:hAnsi="Times New Roman" w:eastAsia="Times New Roman" w:cs="Times New Roman"/>
          <w:color w:val="231F20"/>
          <w:spacing w:val="12"/>
          <w:sz w:val="20"/>
          <w:szCs w:val="20"/>
        </w:rPr>
        <w:t xml:space="preserve"> </w:t>
      </w:r>
      <w:r>
        <w:rPr>
          <w:rFonts w:ascii="Times New Roman" w:hAnsi="Times New Roman" w:eastAsia="Times New Roman" w:cs="Times New Roman"/>
          <w:color w:val="231F20"/>
          <w:spacing w:val="4"/>
          <w:sz w:val="20"/>
          <w:szCs w:val="20"/>
        </w:rPr>
        <w:t>and</w:t>
      </w:r>
      <w:r>
        <w:rPr>
          <w:rFonts w:ascii="Times New Roman" w:hAnsi="Times New Roman" w:eastAsia="Times New Roman" w:cs="Times New Roman"/>
          <w:color w:val="231F20"/>
          <w:spacing w:val="11"/>
          <w:sz w:val="20"/>
          <w:szCs w:val="20"/>
        </w:rPr>
        <w:t xml:space="preserve"> </w:t>
      </w:r>
      <w:r>
        <w:rPr>
          <w:rFonts w:ascii="Times New Roman" w:hAnsi="Times New Roman" w:eastAsia="Times New Roman" w:cs="Times New Roman"/>
          <w:color w:val="231F20"/>
          <w:spacing w:val="4"/>
          <w:sz w:val="20"/>
          <w:szCs w:val="20"/>
        </w:rPr>
        <w:t>commitments</w:t>
      </w:r>
      <w:r>
        <w:rPr>
          <w:rFonts w:ascii="Times New Roman" w:hAnsi="Times New Roman" w:eastAsia="Times New Roman" w:cs="Times New Roman"/>
          <w:color w:val="231F20"/>
          <w:spacing w:val="11"/>
          <w:sz w:val="20"/>
          <w:szCs w:val="20"/>
        </w:rPr>
        <w:t xml:space="preserve"> </w:t>
      </w:r>
      <w:r>
        <w:rPr>
          <w:rFonts w:ascii="Times New Roman" w:hAnsi="Times New Roman" w:eastAsia="Times New Roman" w:cs="Times New Roman"/>
          <w:color w:val="231F20"/>
          <w:spacing w:val="4"/>
          <w:sz w:val="20"/>
          <w:szCs w:val="20"/>
        </w:rPr>
        <w:t>are</w:t>
      </w:r>
      <w:r>
        <w:rPr>
          <w:rFonts w:ascii="Times New Roman" w:hAnsi="Times New Roman" w:eastAsia="Times New Roman" w:cs="Times New Roman"/>
          <w:color w:val="231F20"/>
          <w:spacing w:val="12"/>
          <w:sz w:val="20"/>
          <w:szCs w:val="20"/>
        </w:rPr>
        <w:t xml:space="preserve"> </w:t>
      </w:r>
      <w:r>
        <w:rPr>
          <w:rFonts w:ascii="Times New Roman" w:hAnsi="Times New Roman" w:eastAsia="Times New Roman" w:cs="Times New Roman"/>
          <w:color w:val="231F20"/>
          <w:spacing w:val="4"/>
          <w:sz w:val="20"/>
          <w:szCs w:val="20"/>
        </w:rPr>
        <w:t>of</w:t>
      </w:r>
      <w:r>
        <w:rPr>
          <w:rFonts w:ascii="Times New Roman" w:hAnsi="Times New Roman" w:eastAsia="Times New Roman" w:cs="Times New Roman"/>
          <w:color w:val="231F20"/>
          <w:spacing w:val="-18"/>
          <w:sz w:val="20"/>
          <w:szCs w:val="20"/>
        </w:rPr>
        <w:t xml:space="preserve"> </w:t>
      </w:r>
      <w:r>
        <w:rPr>
          <w:rFonts w:ascii="Times New Roman" w:hAnsi="Times New Roman" w:eastAsia="Times New Roman" w:cs="Times New Roman"/>
          <w:color w:val="231F20"/>
          <w:spacing w:val="4"/>
          <w:sz w:val="20"/>
          <w:szCs w:val="20"/>
        </w:rPr>
        <w:t>pos-</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4"/>
          <w:sz w:val="20"/>
          <w:szCs w:val="20"/>
        </w:rPr>
        <w:t>itive</w:t>
      </w:r>
      <w:r>
        <w:rPr>
          <w:rFonts w:ascii="Times New Roman" w:hAnsi="Times New Roman" w:eastAsia="Times New Roman" w:cs="Times New Roman"/>
          <w:color w:val="231F20"/>
          <w:spacing w:val="30"/>
          <w:w w:val="101"/>
          <w:sz w:val="20"/>
          <w:szCs w:val="20"/>
        </w:rPr>
        <w:t xml:space="preserve"> </w:t>
      </w:r>
      <w:r>
        <w:rPr>
          <w:rFonts w:ascii="Times New Roman" w:hAnsi="Times New Roman" w:eastAsia="Times New Roman" w:cs="Times New Roman"/>
          <w:color w:val="231F20"/>
          <w:spacing w:val="4"/>
          <w:sz w:val="20"/>
          <w:szCs w:val="20"/>
        </w:rPr>
        <w:t>significance</w:t>
      </w:r>
      <w:r>
        <w:rPr>
          <w:rFonts w:ascii="Times New Roman" w:hAnsi="Times New Roman" w:eastAsia="Times New Roman" w:cs="Times New Roman"/>
          <w:color w:val="231F20"/>
          <w:spacing w:val="22"/>
          <w:sz w:val="20"/>
          <w:szCs w:val="20"/>
        </w:rPr>
        <w:t xml:space="preserve"> </w:t>
      </w:r>
      <w:r>
        <w:rPr>
          <w:rFonts w:ascii="Times New Roman" w:hAnsi="Times New Roman" w:eastAsia="Times New Roman" w:cs="Times New Roman"/>
          <w:color w:val="231F20"/>
          <w:spacing w:val="4"/>
          <w:sz w:val="20"/>
          <w:szCs w:val="20"/>
        </w:rPr>
        <w:t>to</w:t>
      </w:r>
      <w:r>
        <w:rPr>
          <w:rFonts w:ascii="Times New Roman" w:hAnsi="Times New Roman" w:eastAsia="Times New Roman" w:cs="Times New Roman"/>
          <w:color w:val="231F20"/>
          <w:spacing w:val="22"/>
          <w:sz w:val="20"/>
          <w:szCs w:val="20"/>
        </w:rPr>
        <w:t xml:space="preserve"> </w:t>
      </w:r>
      <w:r>
        <w:rPr>
          <w:rFonts w:ascii="Times New Roman" w:hAnsi="Times New Roman" w:eastAsia="Times New Roman" w:cs="Times New Roman"/>
          <w:color w:val="231F20"/>
          <w:spacing w:val="4"/>
          <w:sz w:val="20"/>
          <w:szCs w:val="20"/>
        </w:rPr>
        <w:t>the</w:t>
      </w:r>
      <w:r>
        <w:rPr>
          <w:rFonts w:ascii="Times New Roman" w:hAnsi="Times New Roman" w:eastAsia="Times New Roman" w:cs="Times New Roman"/>
          <w:color w:val="231F20"/>
          <w:spacing w:val="28"/>
          <w:w w:val="101"/>
          <w:sz w:val="20"/>
          <w:szCs w:val="20"/>
        </w:rPr>
        <w:t xml:space="preserve"> </w:t>
      </w:r>
      <w:r>
        <w:rPr>
          <w:rFonts w:ascii="Times New Roman" w:hAnsi="Times New Roman" w:eastAsia="Times New Roman" w:cs="Times New Roman"/>
          <w:color w:val="231F20"/>
          <w:spacing w:val="4"/>
          <w:sz w:val="20"/>
          <w:szCs w:val="20"/>
        </w:rPr>
        <w:t>formation</w:t>
      </w:r>
      <w:r>
        <w:rPr>
          <w:rFonts w:ascii="Times New Roman" w:hAnsi="Times New Roman" w:eastAsia="Times New Roman" w:cs="Times New Roman"/>
          <w:color w:val="231F20"/>
          <w:spacing w:val="26"/>
          <w:w w:val="101"/>
          <w:sz w:val="20"/>
          <w:szCs w:val="20"/>
        </w:rPr>
        <w:t xml:space="preserve"> </w:t>
      </w:r>
      <w:r>
        <w:rPr>
          <w:rFonts w:ascii="Times New Roman" w:hAnsi="Times New Roman" w:eastAsia="Times New Roman" w:cs="Times New Roman"/>
          <w:color w:val="231F20"/>
          <w:spacing w:val="4"/>
          <w:sz w:val="20"/>
          <w:szCs w:val="20"/>
        </w:rPr>
        <w:t>of quality</w:t>
      </w:r>
      <w:r>
        <w:rPr>
          <w:rFonts w:ascii="Times New Roman" w:hAnsi="Times New Roman" w:eastAsia="Times New Roman" w:cs="Times New Roman"/>
          <w:color w:val="231F20"/>
          <w:spacing w:val="27"/>
          <w:sz w:val="20"/>
          <w:szCs w:val="20"/>
        </w:rPr>
        <w:t xml:space="preserve"> </w:t>
      </w:r>
      <w:r>
        <w:rPr>
          <w:rFonts w:ascii="Times New Roman" w:hAnsi="Times New Roman" w:eastAsia="Times New Roman" w:cs="Times New Roman"/>
          <w:color w:val="231F20"/>
          <w:spacing w:val="4"/>
          <w:sz w:val="20"/>
          <w:szCs w:val="20"/>
        </w:rPr>
        <w:t>culture</w:t>
      </w:r>
      <w:r>
        <w:rPr>
          <w:rFonts w:ascii="Times New Roman" w:hAnsi="Times New Roman" w:eastAsia="Times New Roman" w:cs="Times New Roman"/>
          <w:color w:val="231F20"/>
          <w:spacing w:val="26"/>
          <w:sz w:val="20"/>
          <w:szCs w:val="20"/>
        </w:rPr>
        <w:t xml:space="preserve"> </w:t>
      </w:r>
      <w:r>
        <w:rPr>
          <w:rFonts w:ascii="Times New Roman" w:hAnsi="Times New Roman" w:eastAsia="Times New Roman" w:cs="Times New Roman"/>
          <w:color w:val="231F20"/>
          <w:spacing w:val="4"/>
          <w:sz w:val="20"/>
          <w:szCs w:val="20"/>
        </w:rPr>
        <w:t>in</w:t>
      </w:r>
      <w:r>
        <w:rPr>
          <w:rFonts w:ascii="Times New Roman" w:hAnsi="Times New Roman" w:eastAsia="Times New Roman" w:cs="Times New Roman"/>
          <w:color w:val="231F20"/>
          <w:spacing w:val="21"/>
          <w:w w:val="101"/>
          <w:sz w:val="20"/>
          <w:szCs w:val="20"/>
        </w:rPr>
        <w:t xml:space="preserve"> </w:t>
      </w:r>
      <w:r>
        <w:rPr>
          <w:rFonts w:ascii="Times New Roman" w:hAnsi="Times New Roman" w:eastAsia="Times New Roman" w:cs="Times New Roman"/>
          <w:color w:val="231F20"/>
          <w:spacing w:val="4"/>
          <w:sz w:val="20"/>
          <w:szCs w:val="20"/>
        </w:rPr>
        <w:t>higher</w:t>
      </w:r>
      <w:r>
        <w:rPr>
          <w:rFonts w:ascii="Times New Roman" w:hAnsi="Times New Roman" w:eastAsia="Times New Roman" w:cs="Times New Roman"/>
          <w:color w:val="231F20"/>
          <w:spacing w:val="26"/>
          <w:w w:val="101"/>
          <w:sz w:val="20"/>
          <w:szCs w:val="20"/>
        </w:rPr>
        <w:t xml:space="preserve"> </w:t>
      </w:r>
      <w:r>
        <w:rPr>
          <w:rFonts w:ascii="Times New Roman" w:hAnsi="Times New Roman" w:eastAsia="Times New Roman" w:cs="Times New Roman"/>
          <w:color w:val="231F20"/>
          <w:spacing w:val="4"/>
          <w:sz w:val="20"/>
          <w:szCs w:val="20"/>
        </w:rPr>
        <w:t>education.</w:t>
      </w:r>
      <w:r>
        <w:rPr>
          <w:rFonts w:ascii="Times New Roman" w:hAnsi="Times New Roman" w:eastAsia="Times New Roman" w:cs="Times New Roman"/>
          <w:color w:val="231F20"/>
          <w:spacing w:val="27"/>
          <w:sz w:val="20"/>
          <w:szCs w:val="20"/>
        </w:rPr>
        <w:t xml:space="preserve"> </w:t>
      </w:r>
      <w:r>
        <w:rPr>
          <w:rFonts w:ascii="Times New Roman" w:hAnsi="Times New Roman" w:eastAsia="Times New Roman" w:cs="Times New Roman"/>
          <w:color w:val="231F20"/>
          <w:spacing w:val="4"/>
          <w:sz w:val="20"/>
          <w:szCs w:val="20"/>
        </w:rPr>
        <w:t>Com</w:t>
      </w:r>
      <w:r>
        <w:rPr>
          <w:rFonts w:ascii="Times New Roman" w:hAnsi="Times New Roman" w:eastAsia="Times New Roman" w:cs="Times New Roman"/>
          <w:color w:val="231F20"/>
          <w:spacing w:val="3"/>
          <w:sz w:val="20"/>
          <w:szCs w:val="20"/>
        </w:rPr>
        <w:t>pared</w:t>
      </w:r>
      <w:r>
        <w:rPr>
          <w:rFonts w:ascii="Times New Roman" w:hAnsi="Times New Roman" w:eastAsia="Times New Roman" w:cs="Times New Roman"/>
          <w:color w:val="231F20"/>
          <w:spacing w:val="21"/>
          <w:sz w:val="20"/>
          <w:szCs w:val="20"/>
        </w:rPr>
        <w:t xml:space="preserve"> </w:t>
      </w:r>
      <w:r>
        <w:rPr>
          <w:rFonts w:ascii="Times New Roman" w:hAnsi="Times New Roman" w:eastAsia="Times New Roman" w:cs="Times New Roman"/>
          <w:color w:val="231F20"/>
          <w:spacing w:val="3"/>
          <w:sz w:val="20"/>
          <w:szCs w:val="20"/>
        </w:rPr>
        <w:t>with</w:t>
      </w:r>
      <w:r>
        <w:rPr>
          <w:rFonts w:ascii="Times New Roman" w:hAnsi="Times New Roman" w:eastAsia="Times New Roman" w:cs="Times New Roman"/>
          <w:color w:val="231F20"/>
          <w:spacing w:val="22"/>
          <w:sz w:val="20"/>
          <w:szCs w:val="20"/>
        </w:rPr>
        <w:t xml:space="preserve"> </w:t>
      </w:r>
      <w:r>
        <w:rPr>
          <w:rFonts w:ascii="Times New Roman" w:hAnsi="Times New Roman" w:eastAsia="Times New Roman" w:cs="Times New Roman"/>
          <w:color w:val="231F20"/>
          <w:spacing w:val="3"/>
          <w:sz w:val="20"/>
          <w:szCs w:val="20"/>
        </w:rPr>
        <w:t>the</w:t>
      </w:r>
      <w:r>
        <w:rPr>
          <w:rFonts w:ascii="Times New Roman" w:hAnsi="Times New Roman" w:eastAsia="Times New Roman" w:cs="Times New Roman"/>
          <w:color w:val="231F20"/>
          <w:spacing w:val="27"/>
          <w:sz w:val="20"/>
          <w:szCs w:val="20"/>
        </w:rPr>
        <w:t xml:space="preserve"> </w:t>
      </w:r>
      <w:r>
        <w:rPr>
          <w:rFonts w:ascii="Times New Roman" w:hAnsi="Times New Roman" w:eastAsia="Times New Roman" w:cs="Times New Roman"/>
          <w:color w:val="231F20"/>
          <w:spacing w:val="3"/>
          <w:sz w:val="20"/>
          <w:szCs w:val="20"/>
        </w:rPr>
        <w:t>quality</w:t>
      </w:r>
      <w:r>
        <w:rPr>
          <w:rFonts w:ascii="Times New Roman" w:hAnsi="Times New Roman" w:eastAsia="Times New Roman" w:cs="Times New Roman"/>
          <w:color w:val="231F20"/>
          <w:spacing w:val="26"/>
          <w:w w:val="101"/>
          <w:sz w:val="20"/>
          <w:szCs w:val="20"/>
        </w:rPr>
        <w:t xml:space="preserve"> </w:t>
      </w:r>
      <w:r>
        <w:rPr>
          <w:rFonts w:ascii="Times New Roman" w:hAnsi="Times New Roman" w:eastAsia="Times New Roman" w:cs="Times New Roman"/>
          <w:color w:val="231F20"/>
          <w:spacing w:val="3"/>
          <w:sz w:val="20"/>
          <w:szCs w:val="20"/>
        </w:rPr>
        <w:t>concept</w:t>
      </w:r>
      <w:r>
        <w:rPr>
          <w:rFonts w:ascii="Times New Roman" w:hAnsi="Times New Roman" w:eastAsia="Times New Roman" w:cs="Times New Roman"/>
          <w:color w:val="231F20"/>
          <w:spacing w:val="27"/>
          <w:sz w:val="20"/>
          <w:szCs w:val="20"/>
        </w:rPr>
        <w:t xml:space="preserve"> </w:t>
      </w:r>
      <w:r>
        <w:rPr>
          <w:rFonts w:ascii="Times New Roman" w:hAnsi="Times New Roman" w:eastAsia="Times New Roman" w:cs="Times New Roman"/>
          <w:color w:val="231F20"/>
          <w:spacing w:val="3"/>
          <w:sz w:val="20"/>
          <w:szCs w:val="20"/>
        </w:rPr>
        <w:t>of</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4"/>
          <w:sz w:val="20"/>
          <w:szCs w:val="20"/>
        </w:rPr>
        <w:t>industrial</w:t>
      </w:r>
      <w:r>
        <w:rPr>
          <w:rFonts w:ascii="Times New Roman" w:hAnsi="Times New Roman" w:eastAsia="Times New Roman" w:cs="Times New Roman"/>
          <w:color w:val="231F20"/>
          <w:spacing w:val="27"/>
          <w:w w:val="101"/>
          <w:sz w:val="20"/>
          <w:szCs w:val="20"/>
        </w:rPr>
        <w:t xml:space="preserve"> </w:t>
      </w:r>
      <w:r>
        <w:rPr>
          <w:rFonts w:ascii="Times New Roman" w:hAnsi="Times New Roman" w:eastAsia="Times New Roman" w:cs="Times New Roman"/>
          <w:color w:val="231F20"/>
          <w:spacing w:val="4"/>
          <w:sz w:val="20"/>
          <w:szCs w:val="20"/>
        </w:rPr>
        <w:t>and</w:t>
      </w:r>
      <w:r>
        <w:rPr>
          <w:rFonts w:ascii="Times New Roman" w:hAnsi="Times New Roman" w:eastAsia="Times New Roman" w:cs="Times New Roman"/>
          <w:color w:val="231F20"/>
          <w:spacing w:val="25"/>
          <w:w w:val="101"/>
          <w:sz w:val="20"/>
          <w:szCs w:val="20"/>
        </w:rPr>
        <w:t xml:space="preserve"> </w:t>
      </w:r>
      <w:r>
        <w:rPr>
          <w:rFonts w:ascii="Times New Roman" w:hAnsi="Times New Roman" w:eastAsia="Times New Roman" w:cs="Times New Roman"/>
          <w:color w:val="231F20"/>
          <w:spacing w:val="4"/>
          <w:sz w:val="20"/>
          <w:szCs w:val="20"/>
        </w:rPr>
        <w:t>commercial</w:t>
      </w:r>
      <w:r>
        <w:rPr>
          <w:rFonts w:ascii="Times New Roman" w:hAnsi="Times New Roman" w:eastAsia="Times New Roman" w:cs="Times New Roman"/>
          <w:color w:val="231F20"/>
          <w:spacing w:val="29"/>
          <w:w w:val="101"/>
          <w:sz w:val="20"/>
          <w:szCs w:val="20"/>
        </w:rPr>
        <w:t xml:space="preserve"> </w:t>
      </w:r>
      <w:r>
        <w:rPr>
          <w:rFonts w:ascii="Times New Roman" w:hAnsi="Times New Roman" w:eastAsia="Times New Roman" w:cs="Times New Roman"/>
          <w:color w:val="231F20"/>
          <w:spacing w:val="4"/>
          <w:sz w:val="20"/>
          <w:szCs w:val="20"/>
        </w:rPr>
        <w:t>significance,</w:t>
      </w:r>
      <w:r>
        <w:rPr>
          <w:rFonts w:ascii="Times New Roman" w:hAnsi="Times New Roman" w:eastAsia="Times New Roman" w:cs="Times New Roman"/>
          <w:color w:val="231F20"/>
          <w:spacing w:val="21"/>
          <w:sz w:val="20"/>
          <w:szCs w:val="20"/>
        </w:rPr>
        <w:t xml:space="preserve"> </w:t>
      </w:r>
      <w:r>
        <w:rPr>
          <w:rFonts w:ascii="Times New Roman" w:hAnsi="Times New Roman" w:eastAsia="Times New Roman" w:cs="Times New Roman"/>
          <w:color w:val="231F20"/>
          <w:spacing w:val="4"/>
          <w:sz w:val="20"/>
          <w:szCs w:val="20"/>
        </w:rPr>
        <w:t>the</w:t>
      </w:r>
      <w:r>
        <w:rPr>
          <w:rFonts w:ascii="Times New Roman" w:hAnsi="Times New Roman" w:eastAsia="Times New Roman" w:cs="Times New Roman"/>
          <w:color w:val="231F20"/>
          <w:spacing w:val="26"/>
          <w:w w:val="101"/>
          <w:sz w:val="20"/>
          <w:szCs w:val="20"/>
        </w:rPr>
        <w:t xml:space="preserve"> </w:t>
      </w:r>
      <w:r>
        <w:rPr>
          <w:rFonts w:ascii="Times New Roman" w:hAnsi="Times New Roman" w:eastAsia="Times New Roman" w:cs="Times New Roman"/>
          <w:color w:val="231F20"/>
          <w:spacing w:val="4"/>
          <w:sz w:val="20"/>
          <w:szCs w:val="20"/>
        </w:rPr>
        <w:t>quality</w:t>
      </w:r>
      <w:r>
        <w:rPr>
          <w:rFonts w:ascii="Times New Roman" w:hAnsi="Times New Roman" w:eastAsia="Times New Roman" w:cs="Times New Roman"/>
          <w:color w:val="231F20"/>
          <w:spacing w:val="26"/>
          <w:sz w:val="20"/>
          <w:szCs w:val="20"/>
        </w:rPr>
        <w:t xml:space="preserve"> </w:t>
      </w:r>
      <w:r>
        <w:rPr>
          <w:rFonts w:ascii="Times New Roman" w:hAnsi="Times New Roman" w:eastAsia="Times New Roman" w:cs="Times New Roman"/>
          <w:color w:val="231F20"/>
          <w:spacing w:val="4"/>
          <w:sz w:val="20"/>
          <w:szCs w:val="20"/>
        </w:rPr>
        <w:t>culture</w:t>
      </w:r>
      <w:r>
        <w:rPr>
          <w:rFonts w:ascii="Times New Roman" w:hAnsi="Times New Roman" w:eastAsia="Times New Roman" w:cs="Times New Roman"/>
          <w:color w:val="231F20"/>
          <w:spacing w:val="26"/>
          <w:sz w:val="20"/>
          <w:szCs w:val="20"/>
        </w:rPr>
        <w:t xml:space="preserve"> </w:t>
      </w:r>
      <w:r>
        <w:rPr>
          <w:rFonts w:ascii="Times New Roman" w:hAnsi="Times New Roman" w:eastAsia="Times New Roman" w:cs="Times New Roman"/>
          <w:color w:val="231F20"/>
          <w:spacing w:val="4"/>
          <w:sz w:val="20"/>
          <w:szCs w:val="20"/>
        </w:rPr>
        <w:t>of h</w:t>
      </w:r>
      <w:r>
        <w:rPr>
          <w:rFonts w:ascii="Times New Roman" w:hAnsi="Times New Roman" w:eastAsia="Times New Roman" w:cs="Times New Roman"/>
          <w:color w:val="231F20"/>
          <w:spacing w:val="3"/>
          <w:sz w:val="20"/>
          <w:szCs w:val="20"/>
        </w:rPr>
        <w:t>igher</w:t>
      </w:r>
      <w:r>
        <w:rPr>
          <w:rFonts w:ascii="Times New Roman" w:hAnsi="Times New Roman" w:eastAsia="Times New Roman" w:cs="Times New Roman"/>
          <w:color w:val="231F20"/>
          <w:spacing w:val="26"/>
          <w:sz w:val="20"/>
          <w:szCs w:val="20"/>
        </w:rPr>
        <w:t xml:space="preserve"> </w:t>
      </w:r>
      <w:r>
        <w:rPr>
          <w:rFonts w:ascii="Times New Roman" w:hAnsi="Times New Roman" w:eastAsia="Times New Roman" w:cs="Times New Roman"/>
          <w:color w:val="231F20"/>
          <w:spacing w:val="3"/>
          <w:sz w:val="20"/>
          <w:szCs w:val="20"/>
        </w:rPr>
        <w:t>education</w:t>
      </w:r>
      <w:r>
        <w:rPr>
          <w:rFonts w:ascii="Times New Roman" w:hAnsi="Times New Roman" w:eastAsia="Times New Roman" w:cs="Times New Roman"/>
          <w:color w:val="231F20"/>
          <w:spacing w:val="27"/>
          <w:sz w:val="20"/>
          <w:szCs w:val="20"/>
        </w:rPr>
        <w:t xml:space="preserve"> </w:t>
      </w:r>
      <w:r>
        <w:rPr>
          <w:rFonts w:ascii="Times New Roman" w:hAnsi="Times New Roman" w:eastAsia="Times New Roman" w:cs="Times New Roman"/>
          <w:color w:val="231F20"/>
          <w:spacing w:val="3"/>
          <w:sz w:val="20"/>
          <w:szCs w:val="20"/>
        </w:rPr>
        <w:t>focuses</w:t>
      </w:r>
      <w:r>
        <w:rPr>
          <w:rFonts w:ascii="Times New Roman" w:hAnsi="Times New Roman" w:eastAsia="Times New Roman" w:cs="Times New Roman"/>
          <w:color w:val="231F20"/>
          <w:spacing w:val="21"/>
          <w:sz w:val="20"/>
          <w:szCs w:val="20"/>
        </w:rPr>
        <w:t xml:space="preserve"> </w:t>
      </w:r>
      <w:r>
        <w:rPr>
          <w:rFonts w:ascii="Times New Roman" w:hAnsi="Times New Roman" w:eastAsia="Times New Roman" w:cs="Times New Roman"/>
          <w:color w:val="231F20"/>
          <w:spacing w:val="3"/>
          <w:sz w:val="20"/>
          <w:szCs w:val="20"/>
        </w:rPr>
        <w:t>more</w:t>
      </w:r>
      <w:r>
        <w:rPr>
          <w:rFonts w:ascii="Times New Roman" w:hAnsi="Times New Roman" w:eastAsia="Times New Roman" w:cs="Times New Roman"/>
          <w:color w:val="231F20"/>
          <w:spacing w:val="26"/>
          <w:sz w:val="20"/>
          <w:szCs w:val="20"/>
        </w:rPr>
        <w:t xml:space="preserve"> </w:t>
      </w:r>
      <w:r>
        <w:rPr>
          <w:rFonts w:ascii="Times New Roman" w:hAnsi="Times New Roman" w:eastAsia="Times New Roman" w:cs="Times New Roman"/>
          <w:color w:val="231F20"/>
          <w:spacing w:val="3"/>
          <w:sz w:val="20"/>
          <w:szCs w:val="20"/>
        </w:rPr>
        <w:t>on</w:t>
      </w:r>
      <w:r>
        <w:rPr>
          <w:rFonts w:ascii="Times New Roman" w:hAnsi="Times New Roman" w:eastAsia="Times New Roman" w:cs="Times New Roman"/>
          <w:color w:val="231F20"/>
          <w:spacing w:val="21"/>
          <w:w w:val="101"/>
          <w:sz w:val="20"/>
          <w:szCs w:val="20"/>
        </w:rPr>
        <w:t xml:space="preserve"> </w:t>
      </w:r>
      <w:r>
        <w:rPr>
          <w:rFonts w:ascii="Times New Roman" w:hAnsi="Times New Roman" w:eastAsia="Times New Roman" w:cs="Times New Roman"/>
          <w:color w:val="231F20"/>
          <w:spacing w:val="3"/>
          <w:sz w:val="20"/>
          <w:szCs w:val="20"/>
        </w:rPr>
        <w:t>the</w:t>
      </w:r>
      <w:r>
        <w:rPr>
          <w:rFonts w:ascii="Times New Roman" w:hAnsi="Times New Roman" w:eastAsia="Times New Roman" w:cs="Times New Roman"/>
          <w:color w:val="231F20"/>
          <w:spacing w:val="21"/>
          <w:sz w:val="20"/>
          <w:szCs w:val="20"/>
        </w:rPr>
        <w:t xml:space="preserve"> </w:t>
      </w:r>
      <w:r>
        <w:rPr>
          <w:rFonts w:ascii="Times New Roman" w:hAnsi="Times New Roman" w:eastAsia="Times New Roman" w:cs="Times New Roman"/>
          <w:color w:val="231F20"/>
          <w:spacing w:val="3"/>
          <w:sz w:val="20"/>
          <w:szCs w:val="20"/>
        </w:rPr>
        <w:t>transforma-</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4"/>
          <w:sz w:val="20"/>
          <w:szCs w:val="20"/>
        </w:rPr>
        <w:t>tion</w:t>
      </w:r>
      <w:r>
        <w:rPr>
          <w:rFonts w:ascii="Times New Roman" w:hAnsi="Times New Roman" w:eastAsia="Times New Roman" w:cs="Times New Roman"/>
          <w:color w:val="231F20"/>
          <w:spacing w:val="33"/>
          <w:sz w:val="20"/>
          <w:szCs w:val="20"/>
        </w:rPr>
        <w:t xml:space="preserve"> </w:t>
      </w:r>
      <w:r>
        <w:rPr>
          <w:rFonts w:ascii="Times New Roman" w:hAnsi="Times New Roman" w:eastAsia="Times New Roman" w:cs="Times New Roman"/>
          <w:color w:val="231F20"/>
          <w:spacing w:val="4"/>
          <w:sz w:val="20"/>
          <w:szCs w:val="20"/>
        </w:rPr>
        <w:t>of students</w:t>
      </w:r>
      <w:r>
        <w:rPr>
          <w:rFonts w:ascii="Times New Roman" w:hAnsi="Times New Roman" w:eastAsia="Times New Roman" w:cs="Times New Roman"/>
          <w:color w:val="231F20"/>
          <w:spacing w:val="26"/>
          <w:w w:val="101"/>
          <w:sz w:val="20"/>
          <w:szCs w:val="20"/>
        </w:rPr>
        <w:t xml:space="preserve"> </w:t>
      </w:r>
      <w:r>
        <w:rPr>
          <w:rFonts w:ascii="Times New Roman" w:hAnsi="Times New Roman" w:eastAsia="Times New Roman" w:cs="Times New Roman"/>
          <w:color w:val="231F20"/>
          <w:spacing w:val="4"/>
          <w:sz w:val="20"/>
          <w:szCs w:val="20"/>
        </w:rPr>
        <w:t>rather</w:t>
      </w:r>
      <w:r>
        <w:rPr>
          <w:rFonts w:ascii="Times New Roman" w:hAnsi="Times New Roman" w:eastAsia="Times New Roman" w:cs="Times New Roman"/>
          <w:color w:val="231F20"/>
          <w:spacing w:val="26"/>
          <w:w w:val="101"/>
          <w:sz w:val="20"/>
          <w:szCs w:val="20"/>
        </w:rPr>
        <w:t xml:space="preserve"> </w:t>
      </w:r>
      <w:r>
        <w:rPr>
          <w:rFonts w:ascii="Times New Roman" w:hAnsi="Times New Roman" w:eastAsia="Times New Roman" w:cs="Times New Roman"/>
          <w:color w:val="231F20"/>
          <w:spacing w:val="4"/>
          <w:sz w:val="20"/>
          <w:szCs w:val="20"/>
        </w:rPr>
        <w:t>than</w:t>
      </w:r>
      <w:r>
        <w:rPr>
          <w:rFonts w:ascii="Times New Roman" w:hAnsi="Times New Roman" w:eastAsia="Times New Roman" w:cs="Times New Roman"/>
          <w:color w:val="231F20"/>
          <w:spacing w:val="32"/>
          <w:w w:val="101"/>
          <w:sz w:val="20"/>
          <w:szCs w:val="20"/>
        </w:rPr>
        <w:t xml:space="preserve"> </w:t>
      </w:r>
      <w:r>
        <w:rPr>
          <w:rFonts w:ascii="Times New Roman" w:hAnsi="Times New Roman" w:eastAsia="Times New Roman" w:cs="Times New Roman"/>
          <w:color w:val="231F20"/>
          <w:spacing w:val="4"/>
          <w:sz w:val="20"/>
          <w:szCs w:val="20"/>
        </w:rPr>
        <w:t>on</w:t>
      </w:r>
      <w:r>
        <w:rPr>
          <w:rFonts w:ascii="Times New Roman" w:hAnsi="Times New Roman" w:eastAsia="Times New Roman" w:cs="Times New Roman"/>
          <w:color w:val="231F20"/>
          <w:spacing w:val="32"/>
          <w:w w:val="101"/>
          <w:sz w:val="20"/>
          <w:szCs w:val="20"/>
        </w:rPr>
        <w:t xml:space="preserve"> </w:t>
      </w:r>
      <w:r>
        <w:rPr>
          <w:rFonts w:ascii="Times New Roman" w:hAnsi="Times New Roman" w:eastAsia="Times New Roman" w:cs="Times New Roman"/>
          <w:color w:val="231F20"/>
          <w:spacing w:val="4"/>
          <w:sz w:val="20"/>
          <w:szCs w:val="20"/>
        </w:rPr>
        <w:t>control,</w:t>
      </w:r>
      <w:r>
        <w:rPr>
          <w:rFonts w:ascii="Times New Roman" w:hAnsi="Times New Roman" w:eastAsia="Times New Roman" w:cs="Times New Roman"/>
          <w:color w:val="231F20"/>
          <w:spacing w:val="32"/>
          <w:sz w:val="20"/>
          <w:szCs w:val="20"/>
        </w:rPr>
        <w:t xml:space="preserve"> </w:t>
      </w:r>
      <w:r>
        <w:rPr>
          <w:rFonts w:ascii="Times New Roman" w:hAnsi="Times New Roman" w:eastAsia="Times New Roman" w:cs="Times New Roman"/>
          <w:color w:val="231F20"/>
          <w:spacing w:val="4"/>
          <w:sz w:val="20"/>
          <w:szCs w:val="20"/>
        </w:rPr>
        <w:t>development</w:t>
      </w:r>
      <w:r>
        <w:rPr>
          <w:rFonts w:ascii="Times New Roman" w:hAnsi="Times New Roman" w:eastAsia="Times New Roman" w:cs="Times New Roman"/>
          <w:color w:val="231F20"/>
          <w:spacing w:val="26"/>
          <w:w w:val="101"/>
          <w:sz w:val="20"/>
          <w:szCs w:val="20"/>
        </w:rPr>
        <w:t xml:space="preserve"> </w:t>
      </w:r>
      <w:r>
        <w:rPr>
          <w:rFonts w:ascii="Times New Roman" w:hAnsi="Times New Roman" w:eastAsia="Times New Roman" w:cs="Times New Roman"/>
          <w:color w:val="231F20"/>
          <w:spacing w:val="4"/>
          <w:sz w:val="20"/>
          <w:szCs w:val="20"/>
        </w:rPr>
        <w:t>rather</w:t>
      </w:r>
      <w:r>
        <w:rPr>
          <w:rFonts w:ascii="Times New Roman" w:hAnsi="Times New Roman" w:eastAsia="Times New Roman" w:cs="Times New Roman"/>
          <w:color w:val="231F20"/>
          <w:spacing w:val="26"/>
          <w:sz w:val="20"/>
          <w:szCs w:val="20"/>
        </w:rPr>
        <w:t xml:space="preserve"> </w:t>
      </w:r>
      <w:r>
        <w:rPr>
          <w:rFonts w:ascii="Times New Roman" w:hAnsi="Times New Roman" w:eastAsia="Times New Roman" w:cs="Times New Roman"/>
          <w:color w:val="231F20"/>
          <w:spacing w:val="4"/>
          <w:sz w:val="20"/>
          <w:szCs w:val="20"/>
        </w:rPr>
        <w:t>than</w:t>
      </w:r>
      <w:r>
        <w:rPr>
          <w:rFonts w:ascii="Times New Roman" w:hAnsi="Times New Roman" w:eastAsia="Times New Roman" w:cs="Times New Roman"/>
          <w:color w:val="231F20"/>
          <w:spacing w:val="33"/>
          <w:sz w:val="20"/>
          <w:szCs w:val="20"/>
        </w:rPr>
        <w:t xml:space="preserve"> </w:t>
      </w:r>
      <w:r>
        <w:rPr>
          <w:rFonts w:ascii="Times New Roman" w:hAnsi="Times New Roman" w:eastAsia="Times New Roman" w:cs="Times New Roman"/>
          <w:color w:val="231F20"/>
          <w:spacing w:val="4"/>
          <w:sz w:val="20"/>
          <w:szCs w:val="20"/>
        </w:rPr>
        <w:t>assurance,</w:t>
      </w:r>
      <w:r>
        <w:rPr>
          <w:rFonts w:ascii="Times New Roman" w:hAnsi="Times New Roman" w:eastAsia="Times New Roman" w:cs="Times New Roman"/>
          <w:color w:val="231F20"/>
          <w:spacing w:val="33"/>
          <w:sz w:val="20"/>
          <w:szCs w:val="20"/>
        </w:rPr>
        <w:t xml:space="preserve"> </w:t>
      </w:r>
      <w:r>
        <w:rPr>
          <w:rFonts w:ascii="Times New Roman" w:hAnsi="Times New Roman" w:eastAsia="Times New Roman" w:cs="Times New Roman"/>
          <w:color w:val="231F20"/>
          <w:spacing w:val="4"/>
          <w:sz w:val="20"/>
          <w:szCs w:val="20"/>
        </w:rPr>
        <w:t>and</w:t>
      </w:r>
      <w:r>
        <w:rPr>
          <w:rFonts w:ascii="Times New Roman" w:hAnsi="Times New Roman" w:eastAsia="Times New Roman" w:cs="Times New Roman"/>
          <w:color w:val="231F20"/>
          <w:spacing w:val="26"/>
          <w:w w:val="101"/>
          <w:sz w:val="20"/>
          <w:szCs w:val="20"/>
        </w:rPr>
        <w:t xml:space="preserve"> </w:t>
      </w:r>
      <w:r>
        <w:rPr>
          <w:rFonts w:ascii="Times New Roman" w:hAnsi="Times New Roman" w:eastAsia="Times New Roman" w:cs="Times New Roman"/>
          <w:color w:val="231F20"/>
          <w:spacing w:val="4"/>
          <w:sz w:val="20"/>
          <w:szCs w:val="20"/>
        </w:rPr>
        <w:t>reform</w:t>
      </w:r>
      <w:r>
        <w:rPr>
          <w:rFonts w:ascii="Times New Roman" w:hAnsi="Times New Roman" w:eastAsia="Times New Roman" w:cs="Times New Roman"/>
          <w:color w:val="231F20"/>
          <w:spacing w:val="26"/>
          <w:w w:val="101"/>
          <w:sz w:val="20"/>
          <w:szCs w:val="20"/>
        </w:rPr>
        <w:t xml:space="preserve"> </w:t>
      </w:r>
      <w:r>
        <w:rPr>
          <w:rFonts w:ascii="Times New Roman" w:hAnsi="Times New Roman" w:eastAsia="Times New Roman" w:cs="Times New Roman"/>
          <w:color w:val="231F20"/>
          <w:spacing w:val="4"/>
          <w:sz w:val="20"/>
          <w:szCs w:val="20"/>
        </w:rPr>
        <w:t>rathe</w:t>
      </w:r>
      <w:r>
        <w:rPr>
          <w:rFonts w:ascii="Times New Roman" w:hAnsi="Times New Roman" w:eastAsia="Times New Roman" w:cs="Times New Roman"/>
          <w:color w:val="231F20"/>
          <w:spacing w:val="3"/>
          <w:sz w:val="20"/>
          <w:szCs w:val="20"/>
        </w:rPr>
        <w:t>r</w:t>
      </w:r>
      <w:r>
        <w:rPr>
          <w:rFonts w:ascii="Times New Roman" w:hAnsi="Times New Roman" w:eastAsia="Times New Roman" w:cs="Times New Roman"/>
          <w:color w:val="231F20"/>
          <w:spacing w:val="26"/>
          <w:w w:val="101"/>
          <w:sz w:val="20"/>
          <w:szCs w:val="20"/>
        </w:rPr>
        <w:t xml:space="preserve"> </w:t>
      </w:r>
      <w:r>
        <w:rPr>
          <w:rFonts w:ascii="Times New Roman" w:hAnsi="Times New Roman" w:eastAsia="Times New Roman" w:cs="Times New Roman"/>
          <w:color w:val="231F20"/>
          <w:spacing w:val="3"/>
          <w:sz w:val="20"/>
          <w:szCs w:val="20"/>
        </w:rPr>
        <w:t>than</w:t>
      </w:r>
      <w:r>
        <w:rPr>
          <w:rFonts w:ascii="Times New Roman" w:hAnsi="Times New Roman" w:eastAsia="Times New Roman" w:cs="Times New Roman"/>
          <w:color w:val="231F20"/>
          <w:spacing w:val="32"/>
          <w:w w:val="101"/>
          <w:sz w:val="20"/>
          <w:szCs w:val="20"/>
        </w:rPr>
        <w:t xml:space="preserve"> </w:t>
      </w:r>
      <w:r>
        <w:rPr>
          <w:rFonts w:ascii="Times New Roman" w:hAnsi="Times New Roman" w:eastAsia="Times New Roman" w:cs="Times New Roman"/>
          <w:color w:val="231F20"/>
          <w:spacing w:val="3"/>
          <w:sz w:val="20"/>
          <w:szCs w:val="20"/>
        </w:rPr>
        <w:t>compliance.</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4"/>
          <w:sz w:val="20"/>
          <w:szCs w:val="20"/>
        </w:rPr>
        <w:t>The</w:t>
      </w:r>
      <w:r>
        <w:rPr>
          <w:rFonts w:ascii="Times New Roman" w:hAnsi="Times New Roman" w:eastAsia="Times New Roman" w:cs="Times New Roman"/>
          <w:color w:val="231F20"/>
          <w:spacing w:val="25"/>
          <w:w w:val="101"/>
          <w:sz w:val="20"/>
          <w:szCs w:val="20"/>
        </w:rPr>
        <w:t xml:space="preserve"> </w:t>
      </w:r>
      <w:r>
        <w:rPr>
          <w:rFonts w:ascii="Times New Roman" w:hAnsi="Times New Roman" w:eastAsia="Times New Roman" w:cs="Times New Roman"/>
          <w:color w:val="231F20"/>
          <w:spacing w:val="4"/>
          <w:sz w:val="20"/>
          <w:szCs w:val="20"/>
        </w:rPr>
        <w:t>quality</w:t>
      </w:r>
      <w:r>
        <w:rPr>
          <w:rFonts w:ascii="Times New Roman" w:hAnsi="Times New Roman" w:eastAsia="Times New Roman" w:cs="Times New Roman"/>
          <w:color w:val="231F20"/>
          <w:spacing w:val="18"/>
          <w:sz w:val="20"/>
          <w:szCs w:val="20"/>
        </w:rPr>
        <w:t xml:space="preserve"> </w:t>
      </w:r>
      <w:r>
        <w:rPr>
          <w:rFonts w:ascii="Times New Roman" w:hAnsi="Times New Roman" w:eastAsia="Times New Roman" w:cs="Times New Roman"/>
          <w:color w:val="231F20"/>
          <w:spacing w:val="4"/>
          <w:sz w:val="20"/>
          <w:szCs w:val="20"/>
        </w:rPr>
        <w:t>culture</w:t>
      </w:r>
      <w:r>
        <w:rPr>
          <w:rFonts w:ascii="Times New Roman" w:hAnsi="Times New Roman" w:eastAsia="Times New Roman" w:cs="Times New Roman"/>
          <w:color w:val="231F20"/>
          <w:spacing w:val="17"/>
          <w:w w:val="101"/>
          <w:sz w:val="20"/>
          <w:szCs w:val="20"/>
        </w:rPr>
        <w:t xml:space="preserve"> </w:t>
      </w:r>
      <w:r>
        <w:rPr>
          <w:rFonts w:ascii="Times New Roman" w:hAnsi="Times New Roman" w:eastAsia="Times New Roman" w:cs="Times New Roman"/>
          <w:color w:val="231F20"/>
          <w:spacing w:val="4"/>
          <w:sz w:val="20"/>
          <w:szCs w:val="20"/>
        </w:rPr>
        <w:t>of</w:t>
      </w:r>
      <w:r>
        <w:rPr>
          <w:rFonts w:ascii="Times New Roman" w:hAnsi="Times New Roman" w:eastAsia="Times New Roman" w:cs="Times New Roman"/>
          <w:color w:val="231F20"/>
          <w:spacing w:val="-10"/>
          <w:sz w:val="20"/>
          <w:szCs w:val="20"/>
        </w:rPr>
        <w:t xml:space="preserve"> </w:t>
      </w:r>
      <w:r>
        <w:rPr>
          <w:rFonts w:ascii="Times New Roman" w:hAnsi="Times New Roman" w:eastAsia="Times New Roman" w:cs="Times New Roman"/>
          <w:color w:val="231F20"/>
          <w:spacing w:val="4"/>
          <w:sz w:val="20"/>
          <w:szCs w:val="20"/>
        </w:rPr>
        <w:t>higher</w:t>
      </w:r>
      <w:r>
        <w:rPr>
          <w:rFonts w:ascii="Times New Roman" w:hAnsi="Times New Roman" w:eastAsia="Times New Roman" w:cs="Times New Roman"/>
          <w:color w:val="231F20"/>
          <w:spacing w:val="18"/>
          <w:sz w:val="20"/>
          <w:szCs w:val="20"/>
        </w:rPr>
        <w:t xml:space="preserve"> </w:t>
      </w:r>
      <w:r>
        <w:rPr>
          <w:rFonts w:ascii="Times New Roman" w:hAnsi="Times New Roman" w:eastAsia="Times New Roman" w:cs="Times New Roman"/>
          <w:color w:val="231F20"/>
          <w:spacing w:val="4"/>
          <w:sz w:val="20"/>
          <w:szCs w:val="20"/>
        </w:rPr>
        <w:t>education</w:t>
      </w:r>
      <w:r>
        <w:rPr>
          <w:rFonts w:ascii="Times New Roman" w:hAnsi="Times New Roman" w:eastAsia="Times New Roman" w:cs="Times New Roman"/>
          <w:color w:val="231F20"/>
          <w:spacing w:val="16"/>
          <w:w w:val="101"/>
          <w:sz w:val="20"/>
          <w:szCs w:val="20"/>
        </w:rPr>
        <w:t xml:space="preserve"> </w:t>
      </w:r>
      <w:r>
        <w:rPr>
          <w:rFonts w:ascii="Times New Roman" w:hAnsi="Times New Roman" w:eastAsia="Times New Roman" w:cs="Times New Roman"/>
          <w:color w:val="231F20"/>
          <w:spacing w:val="4"/>
          <w:sz w:val="20"/>
          <w:szCs w:val="20"/>
        </w:rPr>
        <w:t>is the</w:t>
      </w:r>
      <w:r>
        <w:rPr>
          <w:rFonts w:ascii="Times New Roman" w:hAnsi="Times New Roman" w:eastAsia="Times New Roman" w:cs="Times New Roman"/>
          <w:color w:val="231F20"/>
          <w:spacing w:val="18"/>
          <w:sz w:val="20"/>
          <w:szCs w:val="20"/>
        </w:rPr>
        <w:t xml:space="preserve"> </w:t>
      </w:r>
      <w:r>
        <w:rPr>
          <w:rFonts w:ascii="Times New Roman" w:hAnsi="Times New Roman" w:eastAsia="Times New Roman" w:cs="Times New Roman"/>
          <w:color w:val="231F20"/>
          <w:spacing w:val="4"/>
          <w:sz w:val="20"/>
          <w:szCs w:val="20"/>
        </w:rPr>
        <w:t>one based</w:t>
      </w:r>
      <w:r>
        <w:rPr>
          <w:rFonts w:ascii="Times New Roman" w:hAnsi="Times New Roman" w:eastAsia="Times New Roman" w:cs="Times New Roman"/>
          <w:color w:val="231F20"/>
          <w:spacing w:val="17"/>
          <w:w w:val="101"/>
          <w:sz w:val="20"/>
          <w:szCs w:val="20"/>
        </w:rPr>
        <w:t xml:space="preserve"> </w:t>
      </w:r>
      <w:r>
        <w:rPr>
          <w:rFonts w:ascii="Times New Roman" w:hAnsi="Times New Roman" w:eastAsia="Times New Roman" w:cs="Times New Roman"/>
          <w:color w:val="231F20"/>
          <w:spacing w:val="4"/>
          <w:sz w:val="20"/>
          <w:szCs w:val="20"/>
        </w:rPr>
        <w:t>on trust</w:t>
      </w:r>
      <w:r>
        <w:rPr>
          <w:rFonts w:ascii="Times New Roman" w:hAnsi="Times New Roman" w:eastAsia="Times New Roman" w:cs="Times New Roman"/>
          <w:color w:val="231F20"/>
          <w:spacing w:val="18"/>
          <w:sz w:val="20"/>
          <w:szCs w:val="20"/>
        </w:rPr>
        <w:t xml:space="preserve"> </w:t>
      </w:r>
      <w:r>
        <w:rPr>
          <w:rFonts w:ascii="Times New Roman" w:hAnsi="Times New Roman" w:eastAsia="Times New Roman" w:cs="Times New Roman"/>
          <w:color w:val="231F20"/>
          <w:spacing w:val="4"/>
          <w:sz w:val="20"/>
          <w:szCs w:val="20"/>
        </w:rPr>
        <w:t>and</w:t>
      </w:r>
      <w:r>
        <w:rPr>
          <w:rFonts w:ascii="Times New Roman" w:hAnsi="Times New Roman" w:eastAsia="Times New Roman" w:cs="Times New Roman"/>
          <w:color w:val="231F20"/>
          <w:spacing w:val="17"/>
          <w:w w:val="101"/>
          <w:sz w:val="20"/>
          <w:szCs w:val="20"/>
        </w:rPr>
        <w:t xml:space="preserve"> </w:t>
      </w:r>
      <w:r>
        <w:rPr>
          <w:rFonts w:ascii="Times New Roman" w:hAnsi="Times New Roman" w:eastAsia="Times New Roman" w:cs="Times New Roman"/>
          <w:color w:val="231F20"/>
          <w:spacing w:val="4"/>
          <w:sz w:val="20"/>
          <w:szCs w:val="20"/>
        </w:rPr>
        <w:t>common values, the</w:t>
      </w:r>
      <w:r>
        <w:rPr>
          <w:rFonts w:ascii="Times New Roman" w:hAnsi="Times New Roman" w:eastAsia="Times New Roman" w:cs="Times New Roman"/>
          <w:color w:val="231F20"/>
          <w:spacing w:val="17"/>
          <w:w w:val="101"/>
          <w:sz w:val="20"/>
          <w:szCs w:val="20"/>
        </w:rPr>
        <w:t xml:space="preserve"> </w:t>
      </w:r>
      <w:r>
        <w:rPr>
          <w:rFonts w:ascii="Times New Roman" w:hAnsi="Times New Roman" w:eastAsia="Times New Roman" w:cs="Times New Roman"/>
          <w:color w:val="231F20"/>
          <w:spacing w:val="4"/>
          <w:sz w:val="20"/>
          <w:szCs w:val="20"/>
        </w:rPr>
        <w:t>one</w:t>
      </w:r>
      <w:r>
        <w:rPr>
          <w:rFonts w:ascii="Times New Roman" w:hAnsi="Times New Roman" w:eastAsia="Times New Roman" w:cs="Times New Roman"/>
          <w:color w:val="231F20"/>
          <w:spacing w:val="18"/>
          <w:sz w:val="20"/>
          <w:szCs w:val="20"/>
        </w:rPr>
        <w:t xml:space="preserve"> </w:t>
      </w:r>
      <w:r>
        <w:rPr>
          <w:rFonts w:ascii="Times New Roman" w:hAnsi="Times New Roman" w:eastAsia="Times New Roman" w:cs="Times New Roman"/>
          <w:color w:val="231F20"/>
          <w:spacing w:val="4"/>
          <w:sz w:val="20"/>
          <w:szCs w:val="20"/>
        </w:rPr>
        <w:t>coordinated</w:t>
      </w:r>
      <w:r>
        <w:rPr>
          <w:rFonts w:ascii="Times New Roman" w:hAnsi="Times New Roman" w:eastAsia="Times New Roman" w:cs="Times New Roman"/>
          <w:color w:val="231F20"/>
          <w:spacing w:val="10"/>
          <w:sz w:val="20"/>
          <w:szCs w:val="20"/>
        </w:rPr>
        <w:t xml:space="preserve"> </w:t>
      </w:r>
      <w:r>
        <w:rPr>
          <w:rFonts w:ascii="Times New Roman" w:hAnsi="Times New Roman" w:eastAsia="Times New Roman" w:cs="Times New Roman"/>
          <w:color w:val="231F20"/>
          <w:spacing w:val="4"/>
          <w:sz w:val="20"/>
          <w:szCs w:val="20"/>
        </w:rPr>
        <w:t>by</w:t>
      </w:r>
      <w:r>
        <w:rPr>
          <w:rFonts w:ascii="Times New Roman" w:hAnsi="Times New Roman" w:eastAsia="Times New Roman" w:cs="Times New Roman"/>
          <w:color w:val="231F20"/>
          <w:spacing w:val="13"/>
          <w:sz w:val="20"/>
          <w:szCs w:val="20"/>
        </w:rPr>
        <w:t xml:space="preserve"> </w:t>
      </w:r>
      <w:r>
        <w:rPr>
          <w:rFonts w:ascii="Times New Roman" w:hAnsi="Times New Roman" w:eastAsia="Times New Roman" w:cs="Times New Roman"/>
          <w:color w:val="231F20"/>
          <w:spacing w:val="4"/>
          <w:sz w:val="20"/>
          <w:szCs w:val="20"/>
        </w:rPr>
        <w:t>the</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4"/>
          <w:sz w:val="20"/>
          <w:szCs w:val="20"/>
        </w:rPr>
        <w:t>academic community, and the transformational one centere</w:t>
      </w:r>
      <w:r>
        <w:rPr>
          <w:rFonts w:ascii="Times New Roman" w:hAnsi="Times New Roman" w:eastAsia="Times New Roman" w:cs="Times New Roman"/>
          <w:color w:val="231F20"/>
          <w:spacing w:val="3"/>
          <w:sz w:val="20"/>
          <w:szCs w:val="20"/>
        </w:rPr>
        <w:t>d on</w:t>
      </w:r>
      <w:r>
        <w:rPr>
          <w:rFonts w:ascii="Times New Roman" w:hAnsi="Times New Roman" w:eastAsia="Times New Roman" w:cs="Times New Roman"/>
          <w:color w:val="231F20"/>
          <w:spacing w:val="12"/>
          <w:w w:val="101"/>
          <w:sz w:val="20"/>
          <w:szCs w:val="20"/>
        </w:rPr>
        <w:t xml:space="preserve"> </w:t>
      </w:r>
      <w:r>
        <w:rPr>
          <w:rFonts w:ascii="Times New Roman" w:hAnsi="Times New Roman" w:eastAsia="Times New Roman" w:cs="Times New Roman"/>
          <w:color w:val="231F20"/>
          <w:spacing w:val="3"/>
          <w:sz w:val="20"/>
          <w:szCs w:val="20"/>
        </w:rPr>
        <w:t>students.</w:t>
      </w:r>
    </w:p>
    <w:p>
      <w:pPr>
        <w:spacing w:before="83" w:line="257" w:lineRule="auto"/>
        <w:ind w:left="8674" w:right="485" w:hanging="7127"/>
        <w:rPr>
          <w:rFonts w:ascii="微软雅黑" w:hAnsi="微软雅黑" w:eastAsia="微软雅黑" w:cs="微软雅黑"/>
          <w:sz w:val="20"/>
          <w:szCs w:val="20"/>
        </w:rPr>
      </w:pPr>
      <w:r>
        <w:rPr>
          <w:rFonts w:ascii="Times New Roman" w:hAnsi="Times New Roman" w:eastAsia="Times New Roman" w:cs="Times New Roman"/>
          <w:b/>
          <w:bCs/>
          <w:color w:val="231F20"/>
          <w:spacing w:val="4"/>
          <w:sz w:val="20"/>
          <w:szCs w:val="20"/>
        </w:rPr>
        <w:t xml:space="preserve">Keywords: </w:t>
      </w:r>
      <w:r>
        <w:rPr>
          <w:rFonts w:ascii="Times New Roman" w:hAnsi="Times New Roman" w:eastAsia="Times New Roman" w:cs="Times New Roman"/>
          <w:color w:val="231F20"/>
          <w:spacing w:val="4"/>
          <w:sz w:val="20"/>
          <w:szCs w:val="20"/>
        </w:rPr>
        <w:t>higher education; quality culture; continuous improvement; uniqueness; explanatory power</w:t>
      </w:r>
      <w:r>
        <w:rPr>
          <w:rFonts w:ascii="Times New Roman" w:hAnsi="Times New Roman" w:eastAsia="Times New Roman" w:cs="Times New Roman"/>
          <w:color w:val="231F20"/>
          <w:spacing w:val="17"/>
          <w:w w:val="101"/>
          <w:sz w:val="20"/>
          <w:szCs w:val="20"/>
        </w:rPr>
        <w:t xml:space="preserve"> </w:t>
      </w:r>
      <w:r>
        <w:rPr>
          <w:rFonts w:ascii="微软雅黑" w:hAnsi="微软雅黑" w:eastAsia="微软雅黑" w:cs="微软雅黑"/>
          <w:color w:val="231F20"/>
          <w:spacing w:val="-5"/>
          <w:sz w:val="20"/>
          <w:szCs w:val="20"/>
        </w:rPr>
        <w:t>责任编辑：肖第郁</w:t>
      </w: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before="58" w:line="144" w:lineRule="exact"/>
        <w:ind w:left="1349"/>
        <w:rPr>
          <w:rFonts w:ascii="Times New Roman" w:hAnsi="Times New Roman" w:eastAsia="Times New Roman" w:cs="Times New Roman"/>
          <w:sz w:val="20"/>
          <w:szCs w:val="20"/>
        </w:rPr>
      </w:pPr>
      <w:r>
        <w:rPr>
          <w:rFonts w:ascii="Times New Roman" w:hAnsi="Times New Roman" w:eastAsia="Times New Roman" w:cs="Times New Roman"/>
          <w:color w:val="231F20"/>
          <w:spacing w:val="1"/>
          <w:position w:val="-2"/>
          <w:sz w:val="20"/>
          <w:szCs w:val="20"/>
        </w:rPr>
        <w:t>24</w:t>
      </w:r>
    </w:p>
    <w:p>
      <w:pPr>
        <w:spacing w:line="144" w:lineRule="exact"/>
        <w:rPr>
          <w:rFonts w:ascii="Times New Roman" w:hAnsi="Times New Roman" w:eastAsia="Times New Roman" w:cs="Times New Roman"/>
          <w:sz w:val="20"/>
          <w:szCs w:val="20"/>
        </w:rPr>
        <w:sectPr>
          <w:type w:val="continuous"/>
          <w:pgSz w:w="12416" w:h="16612"/>
          <w:pgMar w:top="1482" w:right="1282" w:bottom="547" w:left="407" w:header="1149" w:footer="354" w:gutter="0"/>
          <w:cols w:equalWidth="0" w:num="1">
            <w:col w:w="10726"/>
          </w:cols>
        </w:sectPr>
      </w:pPr>
    </w:p>
    <w:p>
      <w:pPr>
        <w:spacing w:before="152" w:line="229" w:lineRule="auto"/>
        <w:ind w:left="1274"/>
        <w:rPr>
          <w:rFonts w:ascii="Arial" w:hAnsi="Arial" w:eastAsia="Arial" w:cs="Arial"/>
          <w:sz w:val="16"/>
          <w:szCs w:val="16"/>
        </w:rPr>
      </w:pPr>
      <w:r>
        <w:pict>
          <v:shape id="_x0000_s1034" o:spid="_x0000_s1034" style="position:absolute;left:0pt;margin-left:56.5pt;margin-top:714.7pt;height:0.35pt;width:120.5pt;mso-position-horizontal-relative:page;mso-position-vertical-relative:page;z-index:251664384;mso-width-relative:page;mso-height-relative:page;" filled="f" stroked="t" coordsize="2410,6" o:allowincell="f" path="m0,3l2410,3e">
            <v:fill on="f" focussize="0,0"/>
            <v:stroke weight="0.33pt" color="#000000" miterlimit="10" joinstyle="miter"/>
            <v:imagedata o:title=""/>
            <o:lock v:ext="edit"/>
          </v:shape>
        </w:pict>
      </w:r>
      <w:r>
        <w:rPr>
          <w:rFonts w:ascii="Arial" w:hAnsi="Arial" w:eastAsia="Arial" w:cs="Arial"/>
          <w:spacing w:val="8"/>
          <w:sz w:val="16"/>
          <w:szCs w:val="16"/>
        </w:rPr>
        <w:t>2021</w:t>
      </w:r>
      <w:r>
        <w:rPr>
          <w:rFonts w:ascii="宋体" w:hAnsi="宋体" w:eastAsia="宋体" w:cs="宋体"/>
          <w:spacing w:val="8"/>
          <w:sz w:val="16"/>
          <w:szCs w:val="16"/>
        </w:rPr>
        <w:t>年</w:t>
      </w:r>
      <w:r>
        <w:rPr>
          <w:rFonts w:ascii="宋体" w:hAnsi="宋体" w:eastAsia="宋体" w:cs="宋体"/>
          <w:spacing w:val="-11"/>
          <w:sz w:val="16"/>
          <w:szCs w:val="16"/>
        </w:rPr>
        <w:t xml:space="preserve"> </w:t>
      </w:r>
      <w:r>
        <w:rPr>
          <w:rFonts w:ascii="Arial" w:hAnsi="Arial" w:eastAsia="Arial" w:cs="Arial"/>
          <w:spacing w:val="8"/>
          <w:sz w:val="16"/>
          <w:szCs w:val="16"/>
        </w:rPr>
        <w:t>3</w:t>
      </w:r>
      <w:r>
        <w:rPr>
          <w:rFonts w:ascii="宋体" w:hAnsi="宋体" w:eastAsia="宋体" w:cs="宋体"/>
          <w:spacing w:val="8"/>
          <w:sz w:val="16"/>
          <w:szCs w:val="16"/>
        </w:rPr>
        <w:t>月</w:t>
      </w:r>
      <w:r>
        <w:rPr>
          <w:rFonts w:ascii="宋体" w:hAnsi="宋体" w:eastAsia="宋体" w:cs="宋体"/>
          <w:spacing w:val="2"/>
          <w:sz w:val="16"/>
          <w:szCs w:val="16"/>
        </w:rPr>
        <w:t xml:space="preserve">                                 </w:t>
      </w:r>
      <w:r>
        <w:rPr>
          <w:position w:val="-1"/>
          <w:sz w:val="16"/>
          <w:szCs w:val="16"/>
        </w:rPr>
        <w:drawing>
          <wp:inline distT="0" distB="0" distL="0" distR="0">
            <wp:extent cx="998855" cy="1422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5"/>
                    <a:stretch>
                      <a:fillRect/>
                    </a:stretch>
                  </pic:blipFill>
                  <pic:spPr>
                    <a:xfrm>
                      <a:off x="0" y="0"/>
                      <a:ext cx="999127" cy="142240"/>
                    </a:xfrm>
                    <a:prstGeom prst="rect">
                      <a:avLst/>
                    </a:prstGeom>
                  </pic:spPr>
                </pic:pic>
              </a:graphicData>
            </a:graphic>
          </wp:inline>
        </w:drawing>
      </w:r>
      <w:r>
        <w:rPr>
          <w:rFonts w:ascii="宋体" w:hAnsi="宋体" w:eastAsia="宋体" w:cs="宋体"/>
          <w:sz w:val="16"/>
          <w:szCs w:val="16"/>
        </w:rPr>
        <w:t xml:space="preserve">                                  </w:t>
      </w:r>
      <w:r>
        <w:rPr>
          <w:rFonts w:ascii="Arial" w:hAnsi="Arial" w:eastAsia="Arial" w:cs="Arial"/>
          <w:sz w:val="16"/>
          <w:szCs w:val="16"/>
        </w:rPr>
        <w:t>Mar</w:t>
      </w:r>
      <w:r>
        <w:rPr>
          <w:rFonts w:ascii="Arial" w:hAnsi="Arial" w:eastAsia="Arial" w:cs="Arial"/>
          <w:spacing w:val="8"/>
          <w:sz w:val="16"/>
          <w:szCs w:val="16"/>
        </w:rPr>
        <w:t xml:space="preserve">. </w:t>
      </w:r>
      <w:r>
        <w:rPr>
          <w:rFonts w:ascii="微软雅黑" w:hAnsi="微软雅黑" w:eastAsia="微软雅黑" w:cs="微软雅黑"/>
          <w:spacing w:val="8"/>
          <w:sz w:val="16"/>
          <w:szCs w:val="16"/>
        </w:rPr>
        <w:t>,</w:t>
      </w:r>
      <w:r>
        <w:rPr>
          <w:rFonts w:ascii="Arial" w:hAnsi="Arial" w:eastAsia="Arial" w:cs="Arial"/>
          <w:spacing w:val="8"/>
          <w:sz w:val="16"/>
          <w:szCs w:val="16"/>
        </w:rPr>
        <w:t>2021</w:t>
      </w:r>
    </w:p>
    <w:p>
      <w:pPr>
        <w:spacing w:before="45" w:line="203" w:lineRule="auto"/>
        <w:ind w:left="1018"/>
        <w:rPr>
          <w:rFonts w:ascii="Arial" w:hAnsi="Arial" w:eastAsia="Arial" w:cs="Arial"/>
          <w:sz w:val="16"/>
          <w:szCs w:val="16"/>
        </w:rPr>
      </w:pPr>
      <w:r>
        <w:rPr>
          <w:rFonts w:ascii="宋体" w:hAnsi="宋体" w:eastAsia="宋体" w:cs="宋体"/>
          <w:spacing w:val="18"/>
          <w:sz w:val="16"/>
          <w:szCs w:val="16"/>
        </w:rPr>
        <w:t>第</w:t>
      </w:r>
      <w:r>
        <w:rPr>
          <w:rFonts w:ascii="宋体" w:hAnsi="宋体" w:eastAsia="宋体" w:cs="宋体"/>
          <w:spacing w:val="-16"/>
          <w:sz w:val="16"/>
          <w:szCs w:val="16"/>
        </w:rPr>
        <w:t xml:space="preserve"> </w:t>
      </w:r>
      <w:r>
        <w:rPr>
          <w:rFonts w:ascii="Arial" w:hAnsi="Arial" w:eastAsia="Arial" w:cs="Arial"/>
          <w:spacing w:val="18"/>
          <w:sz w:val="16"/>
          <w:szCs w:val="16"/>
        </w:rPr>
        <w:t>42</w:t>
      </w:r>
      <w:r>
        <w:rPr>
          <w:rFonts w:ascii="宋体" w:hAnsi="宋体" w:eastAsia="宋体" w:cs="宋体"/>
          <w:spacing w:val="18"/>
          <w:sz w:val="16"/>
          <w:szCs w:val="16"/>
        </w:rPr>
        <w:t xml:space="preserve">卷  </w:t>
      </w:r>
      <w:r>
        <w:rPr>
          <w:rFonts w:ascii="宋体" w:hAnsi="宋体" w:eastAsia="宋体" w:cs="宋体"/>
          <w:spacing w:val="18"/>
          <w:position w:val="1"/>
          <w:sz w:val="16"/>
          <w:szCs w:val="16"/>
        </w:rPr>
        <w:t>第</w:t>
      </w:r>
      <w:r>
        <w:rPr>
          <w:rFonts w:ascii="宋体" w:hAnsi="宋体" w:eastAsia="宋体" w:cs="宋体"/>
          <w:spacing w:val="-14"/>
          <w:position w:val="1"/>
          <w:sz w:val="16"/>
          <w:szCs w:val="16"/>
        </w:rPr>
        <w:t xml:space="preserve"> </w:t>
      </w:r>
      <w:r>
        <w:rPr>
          <w:rFonts w:ascii="Arial" w:hAnsi="Arial" w:eastAsia="Arial" w:cs="Arial"/>
          <w:spacing w:val="18"/>
          <w:position w:val="1"/>
          <w:sz w:val="16"/>
          <w:szCs w:val="16"/>
        </w:rPr>
        <w:t>3</w:t>
      </w:r>
      <w:r>
        <w:rPr>
          <w:rFonts w:ascii="宋体" w:hAnsi="宋体" w:eastAsia="宋体" w:cs="宋体"/>
          <w:spacing w:val="18"/>
          <w:position w:val="1"/>
          <w:sz w:val="16"/>
          <w:szCs w:val="16"/>
        </w:rPr>
        <w:t xml:space="preserve">期                         </w:t>
      </w:r>
      <w:r>
        <w:rPr>
          <w:rFonts w:ascii="Arial" w:hAnsi="Arial" w:eastAsia="Arial" w:cs="Arial"/>
          <w:sz w:val="16"/>
          <w:szCs w:val="16"/>
        </w:rPr>
        <w:t>JournalofHigherEducation</w:t>
      </w:r>
      <w:r>
        <w:rPr>
          <w:rFonts w:ascii="Arial" w:hAnsi="Arial" w:eastAsia="Arial" w:cs="Arial"/>
          <w:spacing w:val="1"/>
          <w:sz w:val="16"/>
          <w:szCs w:val="16"/>
        </w:rPr>
        <w:t xml:space="preserve">                                          </w:t>
      </w:r>
      <w:r>
        <w:rPr>
          <w:rFonts w:ascii="Arial" w:hAnsi="Arial" w:eastAsia="Arial" w:cs="Arial"/>
          <w:sz w:val="16"/>
          <w:szCs w:val="16"/>
        </w:rPr>
        <w:t xml:space="preserve">        Vol</w:t>
      </w:r>
      <w:r>
        <w:rPr>
          <w:rFonts w:ascii="Arial" w:hAnsi="Arial" w:eastAsia="Arial" w:cs="Arial"/>
          <w:spacing w:val="18"/>
          <w:sz w:val="16"/>
          <w:szCs w:val="16"/>
        </w:rPr>
        <w:t xml:space="preserve">.42 </w:t>
      </w:r>
      <w:r>
        <w:rPr>
          <w:rFonts w:ascii="Arial" w:hAnsi="Arial" w:eastAsia="Arial" w:cs="Arial"/>
          <w:spacing w:val="17"/>
          <w:sz w:val="16"/>
          <w:szCs w:val="16"/>
        </w:rPr>
        <w:t xml:space="preserve">   </w:t>
      </w:r>
      <w:r>
        <w:rPr>
          <w:rFonts w:ascii="Arial" w:hAnsi="Arial" w:eastAsia="Arial" w:cs="Arial"/>
          <w:sz w:val="16"/>
          <w:szCs w:val="16"/>
        </w:rPr>
        <w:t>No</w:t>
      </w:r>
      <w:r>
        <w:rPr>
          <w:rFonts w:ascii="Arial" w:hAnsi="Arial" w:eastAsia="Arial" w:cs="Arial"/>
          <w:spacing w:val="17"/>
          <w:sz w:val="16"/>
          <w:szCs w:val="16"/>
        </w:rPr>
        <w:t>.3</w:t>
      </w:r>
    </w:p>
    <w:p>
      <w:pPr>
        <w:spacing w:before="35" w:line="160" w:lineRule="exact"/>
        <w:jc w:val="right"/>
      </w:pPr>
      <w:r>
        <w:rPr>
          <w:position w:val="-3"/>
        </w:rPr>
        <w:drawing>
          <wp:inline distT="0" distB="0" distL="0" distR="0">
            <wp:extent cx="6118860" cy="10096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6"/>
                    <a:stretch>
                      <a:fillRect/>
                    </a:stretch>
                  </pic:blipFill>
                  <pic:spPr>
                    <a:xfrm>
                      <a:off x="0" y="0"/>
                      <a:ext cx="6119371" cy="101421"/>
                    </a:xfrm>
                    <a:prstGeom prst="rect">
                      <a:avLst/>
                    </a:prstGeom>
                  </pic:spPr>
                </pic:pic>
              </a:graphicData>
            </a:graphic>
          </wp:inline>
        </w:drawing>
      </w:r>
    </w:p>
    <w:p>
      <w:pPr>
        <w:spacing w:line="317" w:lineRule="auto"/>
        <w:rPr>
          <w:rFonts w:ascii="Arial"/>
          <w:sz w:val="21"/>
        </w:rPr>
      </w:pPr>
    </w:p>
    <w:p>
      <w:pPr>
        <w:spacing w:line="318" w:lineRule="auto"/>
        <w:rPr>
          <w:rFonts w:ascii="Arial"/>
          <w:sz w:val="21"/>
        </w:rPr>
      </w:pPr>
    </w:p>
    <w:p>
      <w:pPr>
        <w:spacing w:line="318" w:lineRule="auto"/>
        <w:rPr>
          <w:rFonts w:ascii="Arial"/>
          <w:sz w:val="21"/>
        </w:rPr>
      </w:pPr>
    </w:p>
    <w:p>
      <w:pPr>
        <w:spacing w:before="146" w:line="209" w:lineRule="auto"/>
        <w:ind w:left="2230"/>
        <w:rPr>
          <w:rFonts w:ascii="黑体" w:hAnsi="黑体" w:eastAsia="黑体" w:cs="黑体"/>
          <w:sz w:val="45"/>
          <w:szCs w:val="45"/>
        </w:rPr>
      </w:pPr>
      <w:r>
        <w:rPr>
          <w:rFonts w:ascii="黑体" w:hAnsi="黑体" w:eastAsia="黑体" w:cs="黑体"/>
          <w:spacing w:val="24"/>
          <w:sz w:val="45"/>
          <w:szCs w:val="45"/>
        </w:rPr>
        <w:t>高等教育质量文化及其建设策略</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111" w:line="176" w:lineRule="auto"/>
        <w:ind w:left="4513"/>
        <w:rPr>
          <w:rFonts w:ascii="Arial" w:hAnsi="Arial" w:eastAsia="Arial" w:cs="Arial"/>
          <w:sz w:val="14"/>
          <w:szCs w:val="14"/>
        </w:rPr>
      </w:pPr>
      <w:r>
        <w:rPr>
          <w:rFonts w:ascii="新宋体" w:hAnsi="新宋体" w:eastAsia="新宋体" w:cs="新宋体"/>
          <w:spacing w:val="2"/>
          <w:sz w:val="26"/>
          <w:szCs w:val="26"/>
        </w:rPr>
        <w:t>别敦荣</w:t>
      </w:r>
      <w:r>
        <w:rPr>
          <w:rFonts w:ascii="Arial" w:hAnsi="Arial" w:eastAsia="Arial" w:cs="Arial"/>
          <w:spacing w:val="2"/>
          <w:position w:val="8"/>
          <w:sz w:val="14"/>
          <w:szCs w:val="14"/>
        </w:rPr>
        <w:t xml:space="preserve">1  </w:t>
      </w:r>
      <w:r>
        <w:rPr>
          <w:rFonts w:ascii="微软雅黑" w:hAnsi="微软雅黑" w:eastAsia="微软雅黑" w:cs="微软雅黑"/>
          <w:spacing w:val="2"/>
          <w:sz w:val="26"/>
          <w:szCs w:val="26"/>
        </w:rPr>
        <w:t>,</w:t>
      </w:r>
      <w:r>
        <w:rPr>
          <w:rFonts w:ascii="微软雅黑" w:hAnsi="微软雅黑" w:eastAsia="微软雅黑" w:cs="微软雅黑"/>
          <w:spacing w:val="11"/>
          <w:sz w:val="26"/>
          <w:szCs w:val="26"/>
        </w:rPr>
        <w:t xml:space="preserve">  </w:t>
      </w:r>
      <w:r>
        <w:rPr>
          <w:rFonts w:ascii="新宋体" w:hAnsi="新宋体" w:eastAsia="新宋体" w:cs="新宋体"/>
          <w:spacing w:val="2"/>
          <w:sz w:val="26"/>
          <w:szCs w:val="26"/>
        </w:rPr>
        <w:t>易梦春</w:t>
      </w:r>
      <w:r>
        <w:rPr>
          <w:rFonts w:ascii="Arial" w:hAnsi="Arial" w:eastAsia="Arial" w:cs="Arial"/>
          <w:spacing w:val="2"/>
          <w:position w:val="8"/>
          <w:sz w:val="14"/>
          <w:szCs w:val="14"/>
        </w:rPr>
        <w:t>2</w:t>
      </w:r>
    </w:p>
    <w:p>
      <w:pPr>
        <w:spacing w:before="52" w:line="170" w:lineRule="auto"/>
        <w:ind w:left="2410"/>
        <w:rPr>
          <w:rFonts w:ascii="微软雅黑" w:hAnsi="微软雅黑" w:eastAsia="微软雅黑" w:cs="微软雅黑"/>
          <w:sz w:val="19"/>
          <w:szCs w:val="19"/>
        </w:rPr>
      </w:pPr>
      <w:r>
        <w:rPr>
          <w:rFonts w:ascii="微软雅黑" w:hAnsi="微软雅黑" w:eastAsia="微软雅黑" w:cs="微软雅黑"/>
          <w:spacing w:val="7"/>
          <w:sz w:val="19"/>
          <w:szCs w:val="19"/>
        </w:rPr>
        <w:t>(</w:t>
      </w:r>
      <w:r>
        <w:rPr>
          <w:rFonts w:ascii="Arial" w:hAnsi="Arial" w:eastAsia="Arial" w:cs="Arial"/>
          <w:spacing w:val="7"/>
          <w:sz w:val="19"/>
          <w:szCs w:val="19"/>
        </w:rPr>
        <w:t>1</w:t>
      </w:r>
      <w:r>
        <w:rPr>
          <w:rFonts w:ascii="Arial" w:hAnsi="Arial" w:eastAsia="Arial" w:cs="Arial"/>
          <w:spacing w:val="-17"/>
          <w:sz w:val="19"/>
          <w:szCs w:val="19"/>
        </w:rPr>
        <w:t xml:space="preserve"> </w:t>
      </w:r>
      <w:r>
        <w:rPr>
          <w:rFonts w:ascii="Arial" w:hAnsi="Arial" w:eastAsia="Arial" w:cs="Arial"/>
          <w:spacing w:val="7"/>
          <w:position w:val="-1"/>
          <w:sz w:val="19"/>
          <w:szCs w:val="19"/>
        </w:rPr>
        <w:t>.</w:t>
      </w:r>
      <w:r>
        <w:rPr>
          <w:rFonts w:ascii="Arial" w:hAnsi="Arial" w:eastAsia="Arial" w:cs="Arial"/>
          <w:spacing w:val="-20"/>
          <w:position w:val="-1"/>
          <w:sz w:val="19"/>
          <w:szCs w:val="19"/>
        </w:rPr>
        <w:t xml:space="preserve"> </w:t>
      </w:r>
      <w:r>
        <w:rPr>
          <w:rFonts w:ascii="新宋体" w:hAnsi="新宋体" w:eastAsia="新宋体" w:cs="新宋体"/>
          <w:spacing w:val="7"/>
          <w:sz w:val="19"/>
          <w:szCs w:val="19"/>
        </w:rPr>
        <w:t>厦门大学 高等教育发展研究中心</w:t>
      </w:r>
      <w:r>
        <w:rPr>
          <w:rFonts w:ascii="微软雅黑" w:hAnsi="微软雅黑" w:eastAsia="微软雅黑" w:cs="微软雅黑"/>
          <w:spacing w:val="7"/>
          <w:sz w:val="19"/>
          <w:szCs w:val="19"/>
        </w:rPr>
        <w:t>／</w:t>
      </w:r>
      <w:r>
        <w:rPr>
          <w:rFonts w:ascii="新宋体" w:hAnsi="新宋体" w:eastAsia="新宋体" w:cs="新宋体"/>
          <w:spacing w:val="7"/>
          <w:sz w:val="19"/>
          <w:szCs w:val="19"/>
        </w:rPr>
        <w:t>教</w:t>
      </w:r>
      <w:r>
        <w:rPr>
          <w:rFonts w:ascii="新宋体" w:hAnsi="新宋体" w:eastAsia="新宋体" w:cs="新宋体"/>
          <w:spacing w:val="6"/>
          <w:sz w:val="19"/>
          <w:szCs w:val="19"/>
        </w:rPr>
        <w:t>育研究院</w:t>
      </w:r>
      <w:r>
        <w:rPr>
          <w:rFonts w:ascii="微软雅黑" w:hAnsi="微软雅黑" w:eastAsia="微软雅黑" w:cs="微软雅黑"/>
          <w:spacing w:val="6"/>
          <w:position w:val="1"/>
          <w:sz w:val="19"/>
          <w:szCs w:val="19"/>
        </w:rPr>
        <w:t>，</w:t>
      </w:r>
      <w:r>
        <w:rPr>
          <w:rFonts w:ascii="新宋体" w:hAnsi="新宋体" w:eastAsia="新宋体" w:cs="新宋体"/>
          <w:spacing w:val="6"/>
          <w:sz w:val="19"/>
          <w:szCs w:val="19"/>
        </w:rPr>
        <w:t xml:space="preserve">福建 厦门 </w:t>
      </w:r>
      <w:r>
        <w:rPr>
          <w:rFonts w:ascii="Arial" w:hAnsi="Arial" w:eastAsia="Arial" w:cs="Arial"/>
          <w:spacing w:val="6"/>
          <w:sz w:val="19"/>
          <w:szCs w:val="19"/>
        </w:rPr>
        <w:t>361005</w:t>
      </w:r>
      <w:r>
        <w:rPr>
          <w:rFonts w:ascii="微软雅黑" w:hAnsi="微软雅黑" w:eastAsia="微软雅黑" w:cs="微软雅黑"/>
          <w:spacing w:val="6"/>
          <w:sz w:val="19"/>
          <w:szCs w:val="19"/>
        </w:rPr>
        <w:t>;</w:t>
      </w:r>
    </w:p>
    <w:p>
      <w:pPr>
        <w:spacing w:before="72" w:line="170" w:lineRule="auto"/>
        <w:ind w:left="3689"/>
        <w:rPr>
          <w:rFonts w:ascii="微软雅黑" w:hAnsi="微软雅黑" w:eastAsia="微软雅黑" w:cs="微软雅黑"/>
          <w:sz w:val="19"/>
          <w:szCs w:val="19"/>
        </w:rPr>
      </w:pPr>
      <w:r>
        <w:rPr>
          <w:rFonts w:ascii="Arial" w:hAnsi="Arial" w:eastAsia="Arial" w:cs="Arial"/>
          <w:spacing w:val="7"/>
          <w:sz w:val="19"/>
          <w:szCs w:val="19"/>
        </w:rPr>
        <w:t>2.</w:t>
      </w:r>
      <w:r>
        <w:rPr>
          <w:rFonts w:ascii="新宋体" w:hAnsi="新宋体" w:eastAsia="新宋体" w:cs="新宋体"/>
          <w:spacing w:val="7"/>
          <w:sz w:val="19"/>
          <w:szCs w:val="19"/>
        </w:rPr>
        <w:t>厦门市社会科学院</w:t>
      </w:r>
      <w:r>
        <w:rPr>
          <w:rFonts w:ascii="微软雅黑" w:hAnsi="微软雅黑" w:eastAsia="微软雅黑" w:cs="微软雅黑"/>
          <w:spacing w:val="7"/>
          <w:position w:val="1"/>
          <w:sz w:val="19"/>
          <w:szCs w:val="19"/>
        </w:rPr>
        <w:t>，</w:t>
      </w:r>
      <w:r>
        <w:rPr>
          <w:rFonts w:ascii="新宋体" w:hAnsi="新宋体" w:eastAsia="新宋体" w:cs="新宋体"/>
          <w:spacing w:val="7"/>
          <w:sz w:val="19"/>
          <w:szCs w:val="19"/>
        </w:rPr>
        <w:t xml:space="preserve">福建 厦门 </w:t>
      </w:r>
      <w:r>
        <w:rPr>
          <w:rFonts w:ascii="Arial" w:hAnsi="Arial" w:eastAsia="Arial" w:cs="Arial"/>
          <w:spacing w:val="7"/>
          <w:sz w:val="19"/>
          <w:szCs w:val="19"/>
        </w:rPr>
        <w:t>361003</w:t>
      </w:r>
      <w:r>
        <w:rPr>
          <w:rFonts w:ascii="微软雅黑" w:hAnsi="微软雅黑" w:eastAsia="微软雅黑" w:cs="微软雅黑"/>
          <w:spacing w:val="7"/>
          <w:sz w:val="19"/>
          <w:szCs w:val="19"/>
        </w:rPr>
        <w:t>)</w:t>
      </w:r>
    </w:p>
    <w:p>
      <w:pPr>
        <w:spacing w:line="407" w:lineRule="auto"/>
        <w:rPr>
          <w:rFonts w:ascii="Arial"/>
          <w:sz w:val="21"/>
        </w:rPr>
      </w:pPr>
    </w:p>
    <w:p>
      <w:pPr>
        <w:spacing w:before="81" w:line="225" w:lineRule="auto"/>
        <w:ind w:left="1364" w:right="562" w:firstLine="419"/>
        <w:jc w:val="both"/>
        <w:rPr>
          <w:rFonts w:ascii="微软雅黑" w:hAnsi="微软雅黑" w:eastAsia="微软雅黑" w:cs="微软雅黑"/>
          <w:sz w:val="19"/>
          <w:szCs w:val="19"/>
        </w:rPr>
      </w:pPr>
      <w:r>
        <w:rPr>
          <w:rFonts w:ascii="黑体" w:hAnsi="黑体" w:eastAsia="黑体" w:cs="黑体"/>
          <w:spacing w:val="11"/>
          <w:sz w:val="19"/>
          <w:szCs w:val="19"/>
        </w:rPr>
        <w:t>摘  要</w:t>
      </w:r>
      <w:r>
        <w:rPr>
          <w:rFonts w:ascii="微软雅黑" w:hAnsi="微软雅黑" w:eastAsia="微软雅黑" w:cs="微软雅黑"/>
          <w:spacing w:val="11"/>
          <w:sz w:val="19"/>
          <w:szCs w:val="19"/>
        </w:rPr>
        <w:t>：</w:t>
      </w:r>
      <w:r>
        <w:rPr>
          <w:rFonts w:ascii="微软雅黑" w:hAnsi="微软雅黑" w:eastAsia="微软雅黑" w:cs="微软雅黑"/>
          <w:spacing w:val="-29"/>
          <w:sz w:val="19"/>
          <w:szCs w:val="19"/>
        </w:rPr>
        <w:t xml:space="preserve"> </w:t>
      </w:r>
      <w:r>
        <w:rPr>
          <w:rFonts w:ascii="新宋体" w:hAnsi="新宋体" w:eastAsia="新宋体" w:cs="新宋体"/>
          <w:spacing w:val="11"/>
          <w:sz w:val="19"/>
          <w:szCs w:val="19"/>
        </w:rPr>
        <w:t>高等教育质量文化是围绕高等教育质量所形成的理念</w:t>
      </w:r>
      <w:r>
        <w:rPr>
          <w:rFonts w:ascii="微软雅黑" w:hAnsi="微软雅黑" w:eastAsia="微软雅黑" w:cs="微软雅黑"/>
          <w:spacing w:val="11"/>
          <w:sz w:val="19"/>
          <w:szCs w:val="19"/>
        </w:rPr>
        <w:t>、</w:t>
      </w:r>
      <w:r>
        <w:rPr>
          <w:rFonts w:ascii="新宋体" w:hAnsi="新宋体" w:eastAsia="新宋体" w:cs="新宋体"/>
          <w:spacing w:val="11"/>
          <w:sz w:val="19"/>
          <w:szCs w:val="19"/>
        </w:rPr>
        <w:t>信念</w:t>
      </w:r>
      <w:r>
        <w:rPr>
          <w:rFonts w:ascii="微软雅黑" w:hAnsi="微软雅黑" w:eastAsia="微软雅黑" w:cs="微软雅黑"/>
          <w:spacing w:val="11"/>
          <w:sz w:val="19"/>
          <w:szCs w:val="19"/>
        </w:rPr>
        <w:t>、</w:t>
      </w:r>
      <w:r>
        <w:rPr>
          <w:rFonts w:ascii="新宋体" w:hAnsi="新宋体" w:eastAsia="新宋体" w:cs="新宋体"/>
          <w:spacing w:val="11"/>
          <w:sz w:val="19"/>
          <w:szCs w:val="19"/>
        </w:rPr>
        <w:t>价值及</w:t>
      </w:r>
      <w:r>
        <w:rPr>
          <w:rFonts w:ascii="新宋体" w:hAnsi="新宋体" w:eastAsia="新宋体" w:cs="新宋体"/>
          <w:spacing w:val="-48"/>
          <w:sz w:val="19"/>
          <w:szCs w:val="19"/>
        </w:rPr>
        <w:t xml:space="preserve"> </w:t>
      </w:r>
      <w:r>
        <w:rPr>
          <w:rFonts w:ascii="新宋体" w:hAnsi="新宋体" w:eastAsia="新宋体" w:cs="新宋体"/>
          <w:spacing w:val="11"/>
          <w:sz w:val="19"/>
          <w:szCs w:val="19"/>
        </w:rPr>
        <w:t xml:space="preserve">由此所衍生 </w:t>
      </w:r>
      <w:r>
        <w:rPr>
          <w:rFonts w:ascii="新宋体" w:hAnsi="新宋体" w:eastAsia="新宋体" w:cs="新宋体"/>
          <w:spacing w:val="10"/>
          <w:sz w:val="19"/>
          <w:szCs w:val="19"/>
        </w:rPr>
        <w:t>和发展起来的相关制度</w:t>
      </w:r>
      <w:r>
        <w:rPr>
          <w:rFonts w:ascii="微软雅黑" w:hAnsi="微软雅黑" w:eastAsia="微软雅黑" w:cs="微软雅黑"/>
          <w:spacing w:val="10"/>
          <w:sz w:val="19"/>
          <w:szCs w:val="19"/>
        </w:rPr>
        <w:t>、</w:t>
      </w:r>
      <w:r>
        <w:rPr>
          <w:rFonts w:ascii="新宋体" w:hAnsi="新宋体" w:eastAsia="新宋体" w:cs="新宋体"/>
          <w:spacing w:val="10"/>
          <w:sz w:val="19"/>
          <w:szCs w:val="19"/>
        </w:rPr>
        <w:t>行为</w:t>
      </w:r>
      <w:r>
        <w:rPr>
          <w:rFonts w:ascii="微软雅黑" w:hAnsi="微软雅黑" w:eastAsia="微软雅黑" w:cs="微软雅黑"/>
          <w:spacing w:val="10"/>
          <w:sz w:val="19"/>
          <w:szCs w:val="19"/>
        </w:rPr>
        <w:t>、</w:t>
      </w:r>
      <w:r>
        <w:rPr>
          <w:rFonts w:ascii="新宋体" w:hAnsi="新宋体" w:eastAsia="新宋体" w:cs="新宋体"/>
          <w:spacing w:val="10"/>
          <w:sz w:val="19"/>
          <w:szCs w:val="19"/>
        </w:rPr>
        <w:t>惯习</w:t>
      </w:r>
      <w:r>
        <w:rPr>
          <w:rFonts w:ascii="微软雅黑" w:hAnsi="微软雅黑" w:eastAsia="微软雅黑" w:cs="微软雅黑"/>
          <w:spacing w:val="10"/>
          <w:sz w:val="19"/>
          <w:szCs w:val="19"/>
        </w:rPr>
        <w:t>、</w:t>
      </w:r>
      <w:r>
        <w:rPr>
          <w:rFonts w:ascii="新宋体" w:hAnsi="新宋体" w:eastAsia="新宋体" w:cs="新宋体"/>
          <w:spacing w:val="10"/>
          <w:sz w:val="19"/>
          <w:szCs w:val="19"/>
        </w:rPr>
        <w:t>物化载体等的有机体</w:t>
      </w:r>
      <w:r>
        <w:rPr>
          <w:rFonts w:ascii="新宋体" w:hAnsi="新宋体" w:eastAsia="新宋体" w:cs="新宋体"/>
          <w:spacing w:val="-51"/>
          <w:sz w:val="19"/>
          <w:szCs w:val="19"/>
        </w:rPr>
        <w:t xml:space="preserve"> </w:t>
      </w:r>
      <w:r>
        <w:rPr>
          <w:rFonts w:ascii="微软雅黑" w:hAnsi="微软雅黑" w:eastAsia="微软雅黑" w:cs="微软雅黑"/>
          <w:spacing w:val="10"/>
          <w:sz w:val="19"/>
          <w:szCs w:val="19"/>
        </w:rPr>
        <w:t>。</w:t>
      </w:r>
      <w:r>
        <w:rPr>
          <w:rFonts w:ascii="新宋体" w:hAnsi="新宋体" w:eastAsia="新宋体" w:cs="新宋体"/>
          <w:spacing w:val="10"/>
          <w:sz w:val="19"/>
          <w:szCs w:val="19"/>
        </w:rPr>
        <w:t>质量</w:t>
      </w:r>
      <w:r>
        <w:rPr>
          <w:rFonts w:ascii="新宋体" w:hAnsi="新宋体" w:eastAsia="新宋体" w:cs="新宋体"/>
          <w:spacing w:val="9"/>
          <w:sz w:val="19"/>
          <w:szCs w:val="19"/>
        </w:rPr>
        <w:t>文化是高等教育发展的产物</w:t>
      </w:r>
      <w:r>
        <w:rPr>
          <w:rFonts w:ascii="微软雅黑" w:hAnsi="微软雅黑" w:eastAsia="微软雅黑" w:cs="微软雅黑"/>
          <w:spacing w:val="9"/>
          <w:sz w:val="19"/>
          <w:szCs w:val="19"/>
        </w:rPr>
        <w:t>，</w:t>
      </w:r>
      <w:r>
        <w:rPr>
          <w:rFonts w:ascii="微软雅黑" w:hAnsi="微软雅黑" w:eastAsia="微软雅黑" w:cs="微软雅黑"/>
          <w:sz w:val="19"/>
          <w:szCs w:val="19"/>
        </w:rPr>
        <w:t xml:space="preserve"> </w:t>
      </w:r>
      <w:r>
        <w:rPr>
          <w:rFonts w:ascii="新宋体" w:hAnsi="新宋体" w:eastAsia="新宋体" w:cs="新宋体"/>
          <w:spacing w:val="14"/>
          <w:sz w:val="19"/>
          <w:szCs w:val="19"/>
        </w:rPr>
        <w:t>高校是质量文化形成和发展的关键主体</w:t>
      </w:r>
      <w:r>
        <w:rPr>
          <w:rFonts w:ascii="微软雅黑" w:hAnsi="微软雅黑" w:eastAsia="微软雅黑" w:cs="微软雅黑"/>
          <w:spacing w:val="14"/>
          <w:sz w:val="19"/>
          <w:szCs w:val="19"/>
        </w:rPr>
        <w:t>，</w:t>
      </w:r>
      <w:r>
        <w:rPr>
          <w:rFonts w:ascii="新宋体" w:hAnsi="新宋体" w:eastAsia="新宋体" w:cs="新宋体"/>
          <w:spacing w:val="14"/>
          <w:sz w:val="19"/>
          <w:szCs w:val="19"/>
        </w:rPr>
        <w:t>师生</w:t>
      </w:r>
      <w:r>
        <w:rPr>
          <w:rFonts w:ascii="新宋体" w:hAnsi="新宋体" w:eastAsia="新宋体" w:cs="新宋体"/>
          <w:spacing w:val="13"/>
          <w:sz w:val="19"/>
          <w:szCs w:val="19"/>
        </w:rPr>
        <w:t>是质量文化的直接创造者</w:t>
      </w:r>
      <w:r>
        <w:rPr>
          <w:rFonts w:ascii="微软雅黑" w:hAnsi="微软雅黑" w:eastAsia="微软雅黑" w:cs="微软雅黑"/>
          <w:spacing w:val="13"/>
          <w:sz w:val="19"/>
          <w:szCs w:val="19"/>
        </w:rPr>
        <w:t>，</w:t>
      </w:r>
      <w:r>
        <w:rPr>
          <w:rFonts w:ascii="新宋体" w:hAnsi="新宋体" w:eastAsia="新宋体" w:cs="新宋体"/>
          <w:spacing w:val="13"/>
          <w:sz w:val="19"/>
          <w:szCs w:val="19"/>
        </w:rPr>
        <w:t xml:space="preserve">质量评估和认证是质 </w:t>
      </w:r>
      <w:r>
        <w:rPr>
          <w:rFonts w:ascii="新宋体" w:hAnsi="新宋体" w:eastAsia="新宋体" w:cs="新宋体"/>
          <w:spacing w:val="12"/>
          <w:sz w:val="19"/>
          <w:szCs w:val="19"/>
        </w:rPr>
        <w:t>量文化创新发展的推进器</w:t>
      </w:r>
      <w:r>
        <w:rPr>
          <w:rFonts w:ascii="新宋体" w:hAnsi="新宋体" w:eastAsia="新宋体" w:cs="新宋体"/>
          <w:spacing w:val="-33"/>
          <w:sz w:val="19"/>
          <w:szCs w:val="19"/>
        </w:rPr>
        <w:t xml:space="preserve"> </w:t>
      </w:r>
      <w:r>
        <w:rPr>
          <w:rFonts w:ascii="微软雅黑" w:hAnsi="微软雅黑" w:eastAsia="微软雅黑" w:cs="微软雅黑"/>
          <w:spacing w:val="12"/>
          <w:sz w:val="19"/>
          <w:szCs w:val="19"/>
        </w:rPr>
        <w:t>。</w:t>
      </w:r>
      <w:r>
        <w:rPr>
          <w:rFonts w:ascii="新宋体" w:hAnsi="新宋体" w:eastAsia="新宋体" w:cs="新宋体"/>
          <w:spacing w:val="12"/>
          <w:sz w:val="19"/>
          <w:szCs w:val="19"/>
        </w:rPr>
        <w:t>质量文化建设是大众化</w:t>
      </w:r>
      <w:r>
        <w:rPr>
          <w:rFonts w:ascii="微软雅黑" w:hAnsi="微软雅黑" w:eastAsia="微软雅黑" w:cs="微软雅黑"/>
          <w:spacing w:val="12"/>
          <w:sz w:val="19"/>
          <w:szCs w:val="19"/>
        </w:rPr>
        <w:t>、</w:t>
      </w:r>
      <w:r>
        <w:rPr>
          <w:rFonts w:ascii="新宋体" w:hAnsi="新宋体" w:eastAsia="新宋体" w:cs="新宋体"/>
          <w:spacing w:val="12"/>
          <w:sz w:val="19"/>
          <w:szCs w:val="19"/>
        </w:rPr>
        <w:t>普及化高等教育健康发展的根本保证</w:t>
      </w:r>
      <w:r>
        <w:rPr>
          <w:rFonts w:ascii="微软雅黑" w:hAnsi="微软雅黑" w:eastAsia="微软雅黑" w:cs="微软雅黑"/>
          <w:spacing w:val="12"/>
          <w:sz w:val="19"/>
          <w:szCs w:val="19"/>
        </w:rPr>
        <w:t>，</w:t>
      </w:r>
      <w:r>
        <w:rPr>
          <w:rFonts w:ascii="新宋体" w:hAnsi="新宋体" w:eastAsia="新宋体" w:cs="新宋体"/>
          <w:spacing w:val="12"/>
          <w:sz w:val="19"/>
          <w:szCs w:val="19"/>
        </w:rPr>
        <w:t xml:space="preserve">是 </w:t>
      </w:r>
      <w:r>
        <w:rPr>
          <w:rFonts w:ascii="新宋体" w:hAnsi="新宋体" w:eastAsia="新宋体" w:cs="新宋体"/>
          <w:spacing w:val="9"/>
          <w:sz w:val="19"/>
          <w:szCs w:val="19"/>
        </w:rPr>
        <w:t>高教界面对社会关切的有效回应</w:t>
      </w:r>
      <w:r>
        <w:rPr>
          <w:rFonts w:ascii="微软雅黑" w:hAnsi="微软雅黑" w:eastAsia="微软雅黑" w:cs="微软雅黑"/>
          <w:spacing w:val="9"/>
          <w:sz w:val="19"/>
          <w:szCs w:val="19"/>
        </w:rPr>
        <w:t>，</w:t>
      </w:r>
      <w:r>
        <w:rPr>
          <w:rFonts w:ascii="新宋体" w:hAnsi="新宋体" w:eastAsia="新宋体" w:cs="新宋体"/>
          <w:spacing w:val="9"/>
          <w:sz w:val="19"/>
          <w:szCs w:val="19"/>
        </w:rPr>
        <w:t>是高等教育社会功</w:t>
      </w:r>
      <w:r>
        <w:rPr>
          <w:rFonts w:ascii="新宋体" w:hAnsi="新宋体" w:eastAsia="新宋体" w:cs="新宋体"/>
          <w:spacing w:val="-53"/>
          <w:sz w:val="19"/>
          <w:szCs w:val="19"/>
        </w:rPr>
        <w:t xml:space="preserve"> </w:t>
      </w:r>
      <w:r>
        <w:rPr>
          <w:rFonts w:ascii="新宋体" w:hAnsi="新宋体" w:eastAsia="新宋体" w:cs="新宋体"/>
          <w:spacing w:val="9"/>
          <w:sz w:val="19"/>
          <w:szCs w:val="19"/>
        </w:rPr>
        <w:t>能</w:t>
      </w:r>
      <w:r>
        <w:rPr>
          <w:rFonts w:ascii="新宋体" w:hAnsi="新宋体" w:eastAsia="新宋体" w:cs="新宋体"/>
          <w:spacing w:val="-54"/>
          <w:sz w:val="19"/>
          <w:szCs w:val="19"/>
        </w:rPr>
        <w:t xml:space="preserve"> </w:t>
      </w:r>
      <w:r>
        <w:rPr>
          <w:rFonts w:ascii="新宋体" w:hAnsi="新宋体" w:eastAsia="新宋体" w:cs="新宋体"/>
          <w:spacing w:val="9"/>
          <w:sz w:val="19"/>
          <w:szCs w:val="19"/>
        </w:rPr>
        <w:t>的</w:t>
      </w:r>
      <w:r>
        <w:rPr>
          <w:rFonts w:ascii="微软雅黑" w:hAnsi="微软雅黑" w:eastAsia="微软雅黑" w:cs="微软雅黑"/>
          <w:spacing w:val="9"/>
          <w:sz w:val="19"/>
          <w:szCs w:val="19"/>
        </w:rPr>
        <w:t>“</w:t>
      </w:r>
      <w:r>
        <w:rPr>
          <w:rFonts w:ascii="微软雅黑" w:hAnsi="微软雅黑" w:eastAsia="微软雅黑" w:cs="微软雅黑"/>
          <w:spacing w:val="-27"/>
          <w:sz w:val="19"/>
          <w:szCs w:val="19"/>
        </w:rPr>
        <w:t xml:space="preserve"> </w:t>
      </w:r>
      <w:r>
        <w:rPr>
          <w:rFonts w:ascii="新宋体" w:hAnsi="新宋体" w:eastAsia="新宋体" w:cs="新宋体"/>
          <w:spacing w:val="9"/>
          <w:sz w:val="19"/>
          <w:szCs w:val="19"/>
        </w:rPr>
        <w:t>显示屏</w:t>
      </w:r>
      <w:r>
        <w:rPr>
          <w:rFonts w:ascii="微软雅黑" w:hAnsi="微软雅黑" w:eastAsia="微软雅黑" w:cs="微软雅黑"/>
          <w:spacing w:val="9"/>
          <w:sz w:val="19"/>
          <w:szCs w:val="19"/>
        </w:rPr>
        <w:t>”。</w:t>
      </w:r>
      <w:r>
        <w:rPr>
          <w:rFonts w:ascii="新宋体" w:hAnsi="新宋体" w:eastAsia="新宋体" w:cs="新宋体"/>
          <w:spacing w:val="9"/>
          <w:sz w:val="19"/>
          <w:szCs w:val="19"/>
        </w:rPr>
        <w:t>加强</w:t>
      </w:r>
      <w:r>
        <w:rPr>
          <w:rFonts w:ascii="新宋体" w:hAnsi="新宋体" w:eastAsia="新宋体" w:cs="新宋体"/>
          <w:spacing w:val="-49"/>
          <w:sz w:val="19"/>
          <w:szCs w:val="19"/>
        </w:rPr>
        <w:t xml:space="preserve"> </w:t>
      </w:r>
      <w:r>
        <w:rPr>
          <w:rFonts w:ascii="新宋体" w:hAnsi="新宋体" w:eastAsia="新宋体" w:cs="新宋体"/>
          <w:spacing w:val="8"/>
          <w:sz w:val="19"/>
          <w:szCs w:val="19"/>
        </w:rPr>
        <w:t>高等教</w:t>
      </w:r>
      <w:r>
        <w:rPr>
          <w:rFonts w:ascii="新宋体" w:hAnsi="新宋体" w:eastAsia="新宋体" w:cs="新宋体"/>
          <w:spacing w:val="-57"/>
          <w:sz w:val="19"/>
          <w:szCs w:val="19"/>
        </w:rPr>
        <w:t xml:space="preserve"> </w:t>
      </w:r>
      <w:r>
        <w:rPr>
          <w:rFonts w:ascii="新宋体" w:hAnsi="新宋体" w:eastAsia="新宋体" w:cs="新宋体"/>
          <w:spacing w:val="8"/>
          <w:sz w:val="19"/>
          <w:szCs w:val="19"/>
        </w:rPr>
        <w:t xml:space="preserve">育质量文化 </w:t>
      </w:r>
      <w:r>
        <w:rPr>
          <w:rFonts w:ascii="新宋体" w:hAnsi="新宋体" w:eastAsia="新宋体" w:cs="新宋体"/>
          <w:spacing w:val="7"/>
          <w:sz w:val="19"/>
          <w:szCs w:val="19"/>
        </w:rPr>
        <w:t>建设</w:t>
      </w:r>
      <w:r>
        <w:rPr>
          <w:rFonts w:ascii="微软雅黑" w:hAnsi="微软雅黑" w:eastAsia="微软雅黑" w:cs="微软雅黑"/>
          <w:spacing w:val="7"/>
          <w:sz w:val="19"/>
          <w:szCs w:val="19"/>
        </w:rPr>
        <w:t>，</w:t>
      </w:r>
      <w:r>
        <w:rPr>
          <w:rFonts w:ascii="新宋体" w:hAnsi="新宋体" w:eastAsia="新宋体" w:cs="新宋体"/>
          <w:spacing w:val="7"/>
          <w:sz w:val="19"/>
          <w:szCs w:val="19"/>
        </w:rPr>
        <w:t>应树立以学生为中心的核心质量价值</w:t>
      </w:r>
      <w:r>
        <w:rPr>
          <w:rFonts w:ascii="微软雅黑" w:hAnsi="微软雅黑" w:eastAsia="微软雅黑" w:cs="微软雅黑"/>
          <w:spacing w:val="7"/>
          <w:sz w:val="19"/>
          <w:szCs w:val="19"/>
        </w:rPr>
        <w:t>，</w:t>
      </w:r>
      <w:r>
        <w:rPr>
          <w:rFonts w:ascii="新宋体" w:hAnsi="新宋体" w:eastAsia="新宋体" w:cs="新宋体"/>
          <w:spacing w:val="7"/>
          <w:sz w:val="19"/>
          <w:szCs w:val="19"/>
        </w:rPr>
        <w:t>打造基</w:t>
      </w:r>
      <w:r>
        <w:rPr>
          <w:rFonts w:ascii="新宋体" w:hAnsi="新宋体" w:eastAsia="新宋体" w:cs="新宋体"/>
          <w:spacing w:val="-57"/>
          <w:sz w:val="19"/>
          <w:szCs w:val="19"/>
        </w:rPr>
        <w:t xml:space="preserve"> </w:t>
      </w:r>
      <w:r>
        <w:rPr>
          <w:rFonts w:ascii="新宋体" w:hAnsi="新宋体" w:eastAsia="新宋体" w:cs="新宋体"/>
          <w:spacing w:val="7"/>
          <w:sz w:val="19"/>
          <w:szCs w:val="19"/>
        </w:rPr>
        <w:t>于</w:t>
      </w:r>
      <w:r>
        <w:rPr>
          <w:rFonts w:ascii="新宋体" w:hAnsi="新宋体" w:eastAsia="新宋体" w:cs="新宋体"/>
          <w:spacing w:val="-49"/>
          <w:sz w:val="19"/>
          <w:szCs w:val="19"/>
        </w:rPr>
        <w:t xml:space="preserve"> </w:t>
      </w:r>
      <w:r>
        <w:rPr>
          <w:rFonts w:ascii="新宋体" w:hAnsi="新宋体" w:eastAsia="新宋体" w:cs="新宋体"/>
          <w:spacing w:val="7"/>
          <w:sz w:val="19"/>
          <w:szCs w:val="19"/>
        </w:rPr>
        <w:t>高校</w:t>
      </w:r>
      <w:r>
        <w:rPr>
          <w:rFonts w:ascii="新宋体" w:hAnsi="新宋体" w:eastAsia="新宋体" w:cs="新宋体"/>
          <w:spacing w:val="-54"/>
          <w:sz w:val="19"/>
          <w:szCs w:val="19"/>
        </w:rPr>
        <w:t xml:space="preserve"> </w:t>
      </w:r>
      <w:r>
        <w:rPr>
          <w:rFonts w:ascii="新宋体" w:hAnsi="新宋体" w:eastAsia="新宋体" w:cs="新宋体"/>
          <w:spacing w:val="7"/>
          <w:sz w:val="19"/>
          <w:szCs w:val="19"/>
        </w:rPr>
        <w:t>的质量文化建设组</w:t>
      </w:r>
      <w:r>
        <w:rPr>
          <w:rFonts w:ascii="新宋体" w:hAnsi="新宋体" w:eastAsia="新宋体" w:cs="新宋体"/>
          <w:spacing w:val="-54"/>
          <w:sz w:val="19"/>
          <w:szCs w:val="19"/>
        </w:rPr>
        <w:t xml:space="preserve"> </w:t>
      </w:r>
      <w:r>
        <w:rPr>
          <w:rFonts w:ascii="新宋体" w:hAnsi="新宋体" w:eastAsia="新宋体" w:cs="新宋体"/>
          <w:spacing w:val="7"/>
          <w:sz w:val="19"/>
          <w:szCs w:val="19"/>
        </w:rPr>
        <w:t>织体</w:t>
      </w:r>
      <w:r>
        <w:rPr>
          <w:rFonts w:ascii="新宋体" w:hAnsi="新宋体" w:eastAsia="新宋体" w:cs="新宋体"/>
          <w:spacing w:val="-39"/>
          <w:sz w:val="19"/>
          <w:szCs w:val="19"/>
        </w:rPr>
        <w:t xml:space="preserve"> </w:t>
      </w:r>
      <w:r>
        <w:rPr>
          <w:rFonts w:ascii="新宋体" w:hAnsi="新宋体" w:eastAsia="新宋体" w:cs="新宋体"/>
          <w:spacing w:val="7"/>
          <w:sz w:val="19"/>
          <w:szCs w:val="19"/>
        </w:rPr>
        <w:t>系</w:t>
      </w:r>
      <w:r>
        <w:rPr>
          <w:rFonts w:ascii="微软雅黑" w:hAnsi="微软雅黑" w:eastAsia="微软雅黑" w:cs="微软雅黑"/>
          <w:spacing w:val="6"/>
          <w:sz w:val="19"/>
          <w:szCs w:val="19"/>
        </w:rPr>
        <w:t>，</w:t>
      </w:r>
      <w:r>
        <w:rPr>
          <w:rFonts w:ascii="新宋体" w:hAnsi="新宋体" w:eastAsia="新宋体" w:cs="新宋体"/>
          <w:spacing w:val="6"/>
          <w:sz w:val="19"/>
          <w:szCs w:val="19"/>
        </w:rPr>
        <w:t>构建</w:t>
      </w:r>
      <w:r>
        <w:rPr>
          <w:rFonts w:ascii="新宋体" w:hAnsi="新宋体" w:eastAsia="新宋体" w:cs="新宋体"/>
          <w:spacing w:val="-40"/>
          <w:sz w:val="19"/>
          <w:szCs w:val="19"/>
        </w:rPr>
        <w:t xml:space="preserve"> </w:t>
      </w:r>
      <w:r>
        <w:rPr>
          <w:rFonts w:ascii="新宋体" w:hAnsi="新宋体" w:eastAsia="新宋体" w:cs="新宋体"/>
          <w:spacing w:val="6"/>
          <w:sz w:val="19"/>
          <w:szCs w:val="19"/>
        </w:rPr>
        <w:t xml:space="preserve">内 </w:t>
      </w:r>
      <w:r>
        <w:rPr>
          <w:rFonts w:ascii="新宋体" w:hAnsi="新宋体" w:eastAsia="新宋体" w:cs="新宋体"/>
          <w:spacing w:val="15"/>
          <w:sz w:val="19"/>
          <w:szCs w:val="19"/>
        </w:rPr>
        <w:t>外结合</w:t>
      </w:r>
      <w:r>
        <w:rPr>
          <w:rFonts w:ascii="微软雅黑" w:hAnsi="微软雅黑" w:eastAsia="微软雅黑" w:cs="微软雅黑"/>
          <w:spacing w:val="15"/>
          <w:sz w:val="19"/>
          <w:szCs w:val="19"/>
        </w:rPr>
        <w:t>、</w:t>
      </w:r>
      <w:r>
        <w:rPr>
          <w:rFonts w:ascii="新宋体" w:hAnsi="新宋体" w:eastAsia="新宋体" w:cs="新宋体"/>
          <w:spacing w:val="15"/>
          <w:sz w:val="19"/>
          <w:szCs w:val="19"/>
        </w:rPr>
        <w:t>合作共治的质量保障体系和高质量发展的高等教育体系</w:t>
      </w:r>
      <w:r>
        <w:rPr>
          <w:rFonts w:ascii="微软雅黑" w:hAnsi="微软雅黑" w:eastAsia="微软雅黑" w:cs="微软雅黑"/>
          <w:spacing w:val="15"/>
          <w:sz w:val="19"/>
          <w:szCs w:val="19"/>
        </w:rPr>
        <w:t>。</w:t>
      </w:r>
    </w:p>
    <w:p>
      <w:pPr>
        <w:spacing w:before="65" w:line="185" w:lineRule="auto"/>
        <w:ind w:left="1792"/>
        <w:rPr>
          <w:rFonts w:ascii="新宋体" w:hAnsi="新宋体" w:eastAsia="新宋体" w:cs="新宋体"/>
          <w:sz w:val="19"/>
          <w:szCs w:val="19"/>
        </w:rPr>
      </w:pPr>
      <w:r>
        <w:rPr>
          <w:rFonts w:ascii="黑体" w:hAnsi="黑体" w:eastAsia="黑体" w:cs="黑体"/>
          <w:spacing w:val="8"/>
          <w:sz w:val="19"/>
          <w:szCs w:val="19"/>
        </w:rPr>
        <w:t>关键词</w:t>
      </w:r>
      <w:r>
        <w:rPr>
          <w:rFonts w:ascii="微软雅黑" w:hAnsi="微软雅黑" w:eastAsia="微软雅黑" w:cs="微软雅黑"/>
          <w:spacing w:val="8"/>
          <w:sz w:val="19"/>
          <w:szCs w:val="19"/>
        </w:rPr>
        <w:t>：</w:t>
      </w:r>
      <w:r>
        <w:rPr>
          <w:rFonts w:ascii="新宋体" w:hAnsi="新宋体" w:eastAsia="新宋体" w:cs="新宋体"/>
          <w:spacing w:val="8"/>
          <w:sz w:val="19"/>
          <w:szCs w:val="19"/>
        </w:rPr>
        <w:t>质量文化</w:t>
      </w:r>
      <w:r>
        <w:rPr>
          <w:rFonts w:ascii="新宋体" w:hAnsi="新宋体" w:eastAsia="新宋体" w:cs="新宋体"/>
          <w:spacing w:val="-47"/>
          <w:sz w:val="19"/>
          <w:szCs w:val="19"/>
        </w:rPr>
        <w:t xml:space="preserve"> </w:t>
      </w:r>
      <w:r>
        <w:rPr>
          <w:rFonts w:ascii="微软雅黑" w:hAnsi="微软雅黑" w:eastAsia="微软雅黑" w:cs="微软雅黑"/>
          <w:spacing w:val="8"/>
          <w:sz w:val="19"/>
          <w:szCs w:val="19"/>
        </w:rPr>
        <w:t>；</w:t>
      </w:r>
      <w:r>
        <w:rPr>
          <w:rFonts w:ascii="新宋体" w:hAnsi="新宋体" w:eastAsia="新宋体" w:cs="新宋体"/>
          <w:spacing w:val="8"/>
          <w:sz w:val="19"/>
          <w:szCs w:val="19"/>
        </w:rPr>
        <w:t>高等教育</w:t>
      </w:r>
      <w:r>
        <w:rPr>
          <w:rFonts w:ascii="微软雅黑" w:hAnsi="微软雅黑" w:eastAsia="微软雅黑" w:cs="微软雅黑"/>
          <w:spacing w:val="8"/>
          <w:sz w:val="19"/>
          <w:szCs w:val="19"/>
        </w:rPr>
        <w:t>；</w:t>
      </w:r>
      <w:r>
        <w:rPr>
          <w:rFonts w:ascii="新宋体" w:hAnsi="新宋体" w:eastAsia="新宋体" w:cs="新宋体"/>
          <w:spacing w:val="8"/>
          <w:sz w:val="19"/>
          <w:szCs w:val="19"/>
        </w:rPr>
        <w:t>评估</w:t>
      </w:r>
      <w:r>
        <w:rPr>
          <w:rFonts w:ascii="微软雅黑" w:hAnsi="微软雅黑" w:eastAsia="微软雅黑" w:cs="微软雅黑"/>
          <w:spacing w:val="8"/>
          <w:sz w:val="19"/>
          <w:szCs w:val="19"/>
        </w:rPr>
        <w:t>；</w:t>
      </w:r>
      <w:r>
        <w:rPr>
          <w:rFonts w:ascii="新宋体" w:hAnsi="新宋体" w:eastAsia="新宋体" w:cs="新宋体"/>
          <w:spacing w:val="8"/>
          <w:sz w:val="19"/>
          <w:szCs w:val="19"/>
        </w:rPr>
        <w:t>认证</w:t>
      </w:r>
    </w:p>
    <w:p>
      <w:pPr>
        <w:spacing w:before="51" w:line="189" w:lineRule="auto"/>
        <w:ind w:left="1799"/>
        <w:rPr>
          <w:rFonts w:ascii="Arial" w:hAnsi="Arial" w:eastAsia="Arial" w:cs="Arial"/>
          <w:sz w:val="19"/>
          <w:szCs w:val="19"/>
        </w:rPr>
      </w:pPr>
      <w:r>
        <w:rPr>
          <w:rFonts w:ascii="黑体" w:hAnsi="黑体" w:eastAsia="黑体" w:cs="黑体"/>
          <w:spacing w:val="2"/>
          <w:sz w:val="19"/>
          <w:szCs w:val="19"/>
        </w:rPr>
        <w:t>中图分类号</w:t>
      </w:r>
      <w:r>
        <w:rPr>
          <w:rFonts w:ascii="微软雅黑" w:hAnsi="微软雅黑" w:eastAsia="微软雅黑" w:cs="微软雅黑"/>
          <w:spacing w:val="2"/>
          <w:sz w:val="19"/>
          <w:szCs w:val="19"/>
        </w:rPr>
        <w:t>：</w:t>
      </w:r>
      <w:r>
        <w:rPr>
          <w:rFonts w:ascii="Arial" w:hAnsi="Arial" w:eastAsia="Arial" w:cs="Arial"/>
          <w:spacing w:val="2"/>
          <w:sz w:val="19"/>
          <w:szCs w:val="19"/>
        </w:rPr>
        <w:t xml:space="preserve">G640    </w:t>
      </w:r>
      <w:r>
        <w:rPr>
          <w:rFonts w:ascii="黑体" w:hAnsi="黑体" w:eastAsia="黑体" w:cs="黑体"/>
          <w:spacing w:val="2"/>
          <w:sz w:val="19"/>
          <w:szCs w:val="19"/>
        </w:rPr>
        <w:t>文献标志码</w:t>
      </w:r>
      <w:r>
        <w:rPr>
          <w:rFonts w:ascii="微软雅黑" w:hAnsi="微软雅黑" w:eastAsia="微软雅黑" w:cs="微软雅黑"/>
          <w:spacing w:val="2"/>
          <w:sz w:val="19"/>
          <w:szCs w:val="19"/>
        </w:rPr>
        <w:t>：</w:t>
      </w:r>
      <w:r>
        <w:rPr>
          <w:rFonts w:ascii="Arial" w:hAnsi="Arial" w:eastAsia="Arial" w:cs="Arial"/>
          <w:spacing w:val="2"/>
          <w:sz w:val="19"/>
          <w:szCs w:val="19"/>
        </w:rPr>
        <w:t xml:space="preserve">A    </w:t>
      </w:r>
      <w:r>
        <w:rPr>
          <w:rFonts w:ascii="黑体" w:hAnsi="黑体" w:eastAsia="黑体" w:cs="黑体"/>
          <w:spacing w:val="2"/>
          <w:sz w:val="19"/>
          <w:szCs w:val="19"/>
        </w:rPr>
        <w:t>文章编号</w:t>
      </w:r>
      <w:r>
        <w:rPr>
          <w:rFonts w:ascii="微软雅黑" w:hAnsi="微软雅黑" w:eastAsia="微软雅黑" w:cs="微软雅黑"/>
          <w:spacing w:val="2"/>
          <w:sz w:val="19"/>
          <w:szCs w:val="19"/>
        </w:rPr>
        <w:t>：</w:t>
      </w:r>
      <w:r>
        <w:rPr>
          <w:rFonts w:ascii="Arial" w:hAnsi="Arial" w:eastAsia="Arial" w:cs="Arial"/>
          <w:spacing w:val="2"/>
          <w:sz w:val="19"/>
          <w:szCs w:val="19"/>
        </w:rPr>
        <w:t>1000-4203</w:t>
      </w:r>
      <w:r>
        <w:rPr>
          <w:rFonts w:ascii="微软雅黑" w:hAnsi="微软雅黑" w:eastAsia="微软雅黑" w:cs="微软雅黑"/>
          <w:spacing w:val="2"/>
          <w:sz w:val="19"/>
          <w:szCs w:val="19"/>
        </w:rPr>
        <w:t>(</w:t>
      </w:r>
      <w:r>
        <w:rPr>
          <w:rFonts w:ascii="Arial" w:hAnsi="Arial" w:eastAsia="Arial" w:cs="Arial"/>
          <w:spacing w:val="2"/>
          <w:sz w:val="19"/>
          <w:szCs w:val="19"/>
        </w:rPr>
        <w:t>2</w:t>
      </w:r>
      <w:r>
        <w:rPr>
          <w:rFonts w:ascii="Arial" w:hAnsi="Arial" w:eastAsia="Arial" w:cs="Arial"/>
          <w:spacing w:val="1"/>
          <w:sz w:val="19"/>
          <w:szCs w:val="19"/>
        </w:rPr>
        <w:t>021</w:t>
      </w:r>
      <w:r>
        <w:rPr>
          <w:rFonts w:ascii="微软雅黑" w:hAnsi="微软雅黑" w:eastAsia="微软雅黑" w:cs="微软雅黑"/>
          <w:spacing w:val="1"/>
          <w:sz w:val="19"/>
          <w:szCs w:val="19"/>
        </w:rPr>
        <w:t>)</w:t>
      </w:r>
      <w:r>
        <w:rPr>
          <w:rFonts w:ascii="Arial" w:hAnsi="Arial" w:eastAsia="Arial" w:cs="Arial"/>
          <w:spacing w:val="1"/>
          <w:sz w:val="19"/>
          <w:szCs w:val="19"/>
        </w:rPr>
        <w:t>03-0007-10</w:t>
      </w:r>
    </w:p>
    <w:p>
      <w:pPr>
        <w:spacing w:line="318" w:lineRule="auto"/>
        <w:rPr>
          <w:rFonts w:ascii="Arial"/>
          <w:sz w:val="21"/>
        </w:rPr>
      </w:pPr>
    </w:p>
    <w:p>
      <w:pPr>
        <w:spacing w:before="75" w:line="208" w:lineRule="auto"/>
        <w:ind w:left="1611"/>
        <w:rPr>
          <w:rFonts w:ascii="Arial" w:hAnsi="Arial" w:eastAsia="Arial" w:cs="Arial"/>
          <w:sz w:val="26"/>
          <w:szCs w:val="26"/>
        </w:rPr>
      </w:pPr>
      <w:r>
        <w:rPr>
          <w:rFonts w:ascii="Arial" w:hAnsi="Arial" w:eastAsia="Arial" w:cs="Arial"/>
          <w:spacing w:val="16"/>
          <w:sz w:val="26"/>
          <w:szCs w:val="26"/>
        </w:rPr>
        <w:t>QualityCultureinHigherEducationandItsDevelo</w:t>
      </w:r>
      <w:r>
        <w:rPr>
          <w:rFonts w:ascii="Arial" w:hAnsi="Arial" w:eastAsia="Arial" w:cs="Arial"/>
          <w:spacing w:val="15"/>
          <w:sz w:val="26"/>
          <w:szCs w:val="26"/>
        </w:rPr>
        <w:t>pmentStrategy</w:t>
      </w:r>
    </w:p>
    <w:p>
      <w:pPr>
        <w:spacing w:before="102" w:line="170" w:lineRule="auto"/>
        <w:ind w:left="4094"/>
        <w:rPr>
          <w:rFonts w:ascii="Arial" w:hAnsi="Arial" w:eastAsia="Arial" w:cs="Arial"/>
          <w:sz w:val="10"/>
          <w:szCs w:val="10"/>
        </w:rPr>
      </w:pPr>
      <w:r>
        <w:rPr>
          <w:rFonts w:ascii="Arial" w:hAnsi="Arial" w:eastAsia="Arial" w:cs="Arial"/>
          <w:spacing w:val="11"/>
          <w:sz w:val="19"/>
          <w:szCs w:val="19"/>
        </w:rPr>
        <w:t>BIEDun-rong</w:t>
      </w:r>
      <w:r>
        <w:rPr>
          <w:rFonts w:ascii="Arial" w:hAnsi="Arial" w:eastAsia="Arial" w:cs="Arial"/>
          <w:spacing w:val="11"/>
          <w:position w:val="9"/>
          <w:sz w:val="10"/>
          <w:szCs w:val="10"/>
        </w:rPr>
        <w:t xml:space="preserve">1  </w:t>
      </w:r>
      <w:r>
        <w:rPr>
          <w:rFonts w:ascii="微软雅黑" w:hAnsi="微软雅黑" w:eastAsia="微软雅黑" w:cs="微软雅黑"/>
          <w:spacing w:val="11"/>
          <w:position w:val="2"/>
          <w:sz w:val="19"/>
          <w:szCs w:val="19"/>
        </w:rPr>
        <w:t xml:space="preserve">,  </w:t>
      </w:r>
      <w:r>
        <w:rPr>
          <w:rFonts w:ascii="Arial" w:hAnsi="Arial" w:eastAsia="Arial" w:cs="Arial"/>
          <w:spacing w:val="11"/>
          <w:sz w:val="19"/>
          <w:szCs w:val="19"/>
        </w:rPr>
        <w:t>YIMeng-chun</w:t>
      </w:r>
      <w:r>
        <w:rPr>
          <w:rFonts w:ascii="Arial" w:hAnsi="Arial" w:eastAsia="Arial" w:cs="Arial"/>
          <w:spacing w:val="11"/>
          <w:position w:val="9"/>
          <w:sz w:val="10"/>
          <w:szCs w:val="10"/>
        </w:rPr>
        <w:t>2</w:t>
      </w:r>
    </w:p>
    <w:p>
      <w:pPr>
        <w:spacing w:before="84" w:line="162" w:lineRule="auto"/>
        <w:ind w:left="2039"/>
        <w:rPr>
          <w:rFonts w:ascii="微软雅黑" w:hAnsi="微软雅黑" w:eastAsia="微软雅黑" w:cs="微软雅黑"/>
          <w:sz w:val="16"/>
          <w:szCs w:val="16"/>
        </w:rPr>
      </w:pPr>
      <w:r>
        <w:rPr>
          <w:rFonts w:ascii="微软雅黑" w:hAnsi="微软雅黑" w:eastAsia="微软雅黑" w:cs="微软雅黑"/>
          <w:spacing w:val="13"/>
          <w:position w:val="1"/>
          <w:sz w:val="16"/>
          <w:szCs w:val="16"/>
        </w:rPr>
        <w:t>(</w:t>
      </w:r>
      <w:r>
        <w:rPr>
          <w:rFonts w:ascii="Arial" w:hAnsi="Arial" w:eastAsia="Arial" w:cs="Arial"/>
          <w:spacing w:val="13"/>
          <w:position w:val="1"/>
          <w:sz w:val="16"/>
          <w:szCs w:val="16"/>
        </w:rPr>
        <w:t>1</w:t>
      </w:r>
      <w:r>
        <w:rPr>
          <w:rFonts w:ascii="Arial" w:hAnsi="Arial" w:eastAsia="Arial" w:cs="Arial"/>
          <w:spacing w:val="-14"/>
          <w:position w:val="1"/>
          <w:sz w:val="16"/>
          <w:szCs w:val="16"/>
        </w:rPr>
        <w:t xml:space="preserve"> </w:t>
      </w:r>
      <w:r>
        <w:rPr>
          <w:rFonts w:ascii="Arial" w:hAnsi="Arial" w:eastAsia="Arial" w:cs="Arial"/>
          <w:spacing w:val="13"/>
          <w:sz w:val="16"/>
          <w:szCs w:val="16"/>
        </w:rPr>
        <w:t>.</w:t>
      </w:r>
      <w:r>
        <w:rPr>
          <w:rFonts w:ascii="Arial" w:hAnsi="Arial" w:eastAsia="Arial" w:cs="Arial"/>
          <w:i/>
          <w:iCs/>
          <w:spacing w:val="13"/>
          <w:sz w:val="16"/>
          <w:szCs w:val="16"/>
        </w:rPr>
        <w:t>Center</w:t>
      </w:r>
      <w:r>
        <w:rPr>
          <w:rFonts w:ascii="Arial" w:hAnsi="Arial" w:eastAsia="Arial" w:cs="Arial"/>
          <w:i/>
          <w:iCs/>
          <w:spacing w:val="-14"/>
          <w:sz w:val="16"/>
          <w:szCs w:val="16"/>
        </w:rPr>
        <w:t xml:space="preserve"> </w:t>
      </w:r>
      <w:r>
        <w:rPr>
          <w:rFonts w:ascii="Arial" w:hAnsi="Arial" w:eastAsia="Arial" w:cs="Arial"/>
          <w:i/>
          <w:iCs/>
          <w:spacing w:val="13"/>
          <w:sz w:val="16"/>
          <w:szCs w:val="16"/>
        </w:rPr>
        <w:t>forHi</w:t>
      </w:r>
      <w:r>
        <w:rPr>
          <w:rFonts w:ascii="Arial" w:hAnsi="Arial" w:eastAsia="Arial" w:cs="Arial"/>
          <w:i/>
          <w:iCs/>
          <w:spacing w:val="13"/>
          <w:position w:val="-1"/>
          <w:sz w:val="16"/>
          <w:szCs w:val="16"/>
        </w:rPr>
        <w:t>g</w:t>
      </w:r>
      <w:r>
        <w:rPr>
          <w:rFonts w:ascii="Arial" w:hAnsi="Arial" w:eastAsia="Arial" w:cs="Arial"/>
          <w:i/>
          <w:iCs/>
          <w:spacing w:val="13"/>
          <w:sz w:val="16"/>
          <w:szCs w:val="16"/>
        </w:rPr>
        <w:t>herEducationDevelopment</w:t>
      </w:r>
      <w:r>
        <w:rPr>
          <w:rFonts w:ascii="微软雅黑" w:hAnsi="微软雅黑" w:eastAsia="微软雅黑" w:cs="微软雅黑"/>
          <w:spacing w:val="13"/>
          <w:sz w:val="16"/>
          <w:szCs w:val="16"/>
        </w:rPr>
        <w:t>/</w:t>
      </w:r>
      <w:r>
        <w:rPr>
          <w:rFonts w:ascii="Arial" w:hAnsi="Arial" w:eastAsia="Arial" w:cs="Arial"/>
          <w:i/>
          <w:iCs/>
          <w:spacing w:val="13"/>
          <w:sz w:val="16"/>
          <w:szCs w:val="16"/>
        </w:rPr>
        <w:t>InstituteofEducation</w:t>
      </w:r>
      <w:r>
        <w:rPr>
          <w:rFonts w:ascii="Arial" w:hAnsi="Arial" w:eastAsia="Arial" w:cs="Arial"/>
          <w:i/>
          <w:iCs/>
          <w:spacing w:val="-13"/>
          <w:sz w:val="16"/>
          <w:szCs w:val="16"/>
        </w:rPr>
        <w:t xml:space="preserve"> </w:t>
      </w:r>
      <w:r>
        <w:rPr>
          <w:rFonts w:ascii="微软雅黑" w:hAnsi="微软雅黑" w:eastAsia="微软雅黑" w:cs="微软雅黑"/>
          <w:spacing w:val="13"/>
          <w:position w:val="2"/>
          <w:sz w:val="16"/>
          <w:szCs w:val="16"/>
        </w:rPr>
        <w:t>,</w:t>
      </w:r>
      <w:r>
        <w:rPr>
          <w:rFonts w:ascii="微软雅黑" w:hAnsi="微软雅黑" w:eastAsia="微软雅黑" w:cs="微软雅黑"/>
          <w:spacing w:val="2"/>
          <w:position w:val="2"/>
          <w:sz w:val="16"/>
          <w:szCs w:val="16"/>
        </w:rPr>
        <w:t xml:space="preserve">  </w:t>
      </w:r>
      <w:r>
        <w:rPr>
          <w:rFonts w:ascii="Arial" w:hAnsi="Arial" w:eastAsia="Arial" w:cs="Arial"/>
          <w:i/>
          <w:iCs/>
          <w:spacing w:val="13"/>
          <w:sz w:val="16"/>
          <w:szCs w:val="16"/>
        </w:rPr>
        <w:t>XiamenUniv</w:t>
      </w:r>
      <w:r>
        <w:rPr>
          <w:rFonts w:ascii="Arial" w:hAnsi="Arial" w:eastAsia="Arial" w:cs="Arial"/>
          <w:i/>
          <w:iCs/>
          <w:spacing w:val="12"/>
          <w:sz w:val="16"/>
          <w:szCs w:val="16"/>
        </w:rPr>
        <w:t>ersit</w:t>
      </w:r>
      <w:r>
        <w:rPr>
          <w:rFonts w:ascii="Arial" w:hAnsi="Arial" w:eastAsia="Arial" w:cs="Arial"/>
          <w:i/>
          <w:iCs/>
          <w:spacing w:val="12"/>
          <w:position w:val="-1"/>
          <w:sz w:val="16"/>
          <w:szCs w:val="16"/>
        </w:rPr>
        <w:t xml:space="preserve">y </w:t>
      </w:r>
      <w:r>
        <w:rPr>
          <w:rFonts w:ascii="微软雅黑" w:hAnsi="微软雅黑" w:eastAsia="微软雅黑" w:cs="微软雅黑"/>
          <w:spacing w:val="12"/>
          <w:position w:val="2"/>
          <w:sz w:val="16"/>
          <w:szCs w:val="16"/>
        </w:rPr>
        <w:t>,</w:t>
      </w:r>
    </w:p>
    <w:p>
      <w:pPr>
        <w:spacing w:before="80" w:line="162" w:lineRule="auto"/>
        <w:ind w:left="1926"/>
        <w:rPr>
          <w:rFonts w:ascii="微软雅黑" w:hAnsi="微软雅黑" w:eastAsia="微软雅黑" w:cs="微软雅黑"/>
          <w:sz w:val="16"/>
          <w:szCs w:val="16"/>
        </w:rPr>
      </w:pPr>
      <w:r>
        <w:rPr>
          <w:rFonts w:ascii="Arial" w:hAnsi="Arial" w:eastAsia="Arial" w:cs="Arial"/>
          <w:i/>
          <w:iCs/>
          <w:spacing w:val="10"/>
          <w:sz w:val="16"/>
          <w:szCs w:val="16"/>
        </w:rPr>
        <w:t>Xiamen</w:t>
      </w:r>
      <w:r>
        <w:rPr>
          <w:rFonts w:ascii="Arial" w:hAnsi="Arial" w:eastAsia="Arial" w:cs="Arial"/>
          <w:spacing w:val="10"/>
          <w:sz w:val="16"/>
          <w:szCs w:val="16"/>
        </w:rPr>
        <w:t xml:space="preserve">361005 </w:t>
      </w:r>
      <w:r>
        <w:rPr>
          <w:rFonts w:ascii="微软雅黑" w:hAnsi="微软雅黑" w:eastAsia="微软雅黑" w:cs="微软雅黑"/>
          <w:spacing w:val="10"/>
          <w:position w:val="2"/>
          <w:sz w:val="16"/>
          <w:szCs w:val="16"/>
        </w:rPr>
        <w:t>,</w:t>
      </w:r>
      <w:r>
        <w:rPr>
          <w:rFonts w:ascii="微软雅黑" w:hAnsi="微软雅黑" w:eastAsia="微软雅黑" w:cs="微软雅黑"/>
          <w:spacing w:val="41"/>
          <w:position w:val="2"/>
          <w:sz w:val="16"/>
          <w:szCs w:val="16"/>
        </w:rPr>
        <w:t xml:space="preserve"> </w:t>
      </w:r>
      <w:r>
        <w:rPr>
          <w:rFonts w:ascii="Arial" w:hAnsi="Arial" w:eastAsia="Arial" w:cs="Arial"/>
          <w:i/>
          <w:iCs/>
          <w:spacing w:val="10"/>
          <w:sz w:val="16"/>
          <w:szCs w:val="16"/>
        </w:rPr>
        <w:t>China</w:t>
      </w:r>
      <w:r>
        <w:rPr>
          <w:rFonts w:ascii="Arial" w:hAnsi="Arial" w:eastAsia="Arial" w:cs="Arial"/>
          <w:i/>
          <w:iCs/>
          <w:spacing w:val="-7"/>
          <w:sz w:val="16"/>
          <w:szCs w:val="16"/>
        </w:rPr>
        <w:t xml:space="preserve"> </w:t>
      </w:r>
      <w:r>
        <w:rPr>
          <w:rFonts w:ascii="微软雅黑" w:hAnsi="微软雅黑" w:eastAsia="微软雅黑" w:cs="微软雅黑"/>
          <w:spacing w:val="10"/>
          <w:position w:val="2"/>
          <w:sz w:val="16"/>
          <w:szCs w:val="16"/>
        </w:rPr>
        <w:t>;</w:t>
      </w:r>
      <w:r>
        <w:rPr>
          <w:rFonts w:ascii="微软雅黑" w:hAnsi="微软雅黑" w:eastAsia="微软雅黑" w:cs="微软雅黑"/>
          <w:spacing w:val="4"/>
          <w:position w:val="2"/>
          <w:sz w:val="16"/>
          <w:szCs w:val="16"/>
        </w:rPr>
        <w:t xml:space="preserve">  </w:t>
      </w:r>
      <w:r>
        <w:rPr>
          <w:rFonts w:ascii="Arial" w:hAnsi="Arial" w:eastAsia="Arial" w:cs="Arial"/>
          <w:spacing w:val="10"/>
          <w:sz w:val="16"/>
          <w:szCs w:val="16"/>
        </w:rPr>
        <w:t>2</w:t>
      </w:r>
      <w:r>
        <w:rPr>
          <w:rFonts w:ascii="Arial" w:hAnsi="Arial" w:eastAsia="Arial" w:cs="Arial"/>
          <w:spacing w:val="-18"/>
          <w:sz w:val="16"/>
          <w:szCs w:val="16"/>
        </w:rPr>
        <w:t xml:space="preserve"> </w:t>
      </w:r>
      <w:r>
        <w:rPr>
          <w:rFonts w:ascii="Arial" w:hAnsi="Arial" w:eastAsia="Arial" w:cs="Arial"/>
          <w:spacing w:val="10"/>
          <w:sz w:val="16"/>
          <w:szCs w:val="16"/>
        </w:rPr>
        <w:t>.</w:t>
      </w:r>
      <w:r>
        <w:rPr>
          <w:rFonts w:ascii="Arial" w:hAnsi="Arial" w:eastAsia="Arial" w:cs="Arial"/>
          <w:i/>
          <w:iCs/>
          <w:spacing w:val="10"/>
          <w:sz w:val="16"/>
          <w:szCs w:val="16"/>
        </w:rPr>
        <w:t>Academ</w:t>
      </w:r>
      <w:r>
        <w:rPr>
          <w:rFonts w:ascii="Arial" w:hAnsi="Arial" w:eastAsia="Arial" w:cs="Arial"/>
          <w:i/>
          <w:iCs/>
          <w:spacing w:val="10"/>
          <w:position w:val="-1"/>
          <w:sz w:val="16"/>
          <w:szCs w:val="16"/>
        </w:rPr>
        <w:t>y</w:t>
      </w:r>
      <w:r>
        <w:rPr>
          <w:rFonts w:ascii="Arial" w:hAnsi="Arial" w:eastAsia="Arial" w:cs="Arial"/>
          <w:i/>
          <w:iCs/>
          <w:spacing w:val="19"/>
          <w:position w:val="-1"/>
          <w:sz w:val="16"/>
          <w:szCs w:val="16"/>
        </w:rPr>
        <w:t xml:space="preserve"> </w:t>
      </w:r>
      <w:r>
        <w:rPr>
          <w:rFonts w:ascii="Arial" w:hAnsi="Arial" w:eastAsia="Arial" w:cs="Arial"/>
          <w:i/>
          <w:iCs/>
          <w:spacing w:val="10"/>
          <w:sz w:val="16"/>
          <w:szCs w:val="16"/>
        </w:rPr>
        <w:t>o</w:t>
      </w:r>
      <w:r>
        <w:rPr>
          <w:rFonts w:ascii="Arial" w:hAnsi="Arial" w:eastAsia="Arial" w:cs="Arial"/>
          <w:i/>
          <w:iCs/>
          <w:spacing w:val="9"/>
          <w:sz w:val="16"/>
          <w:szCs w:val="16"/>
        </w:rPr>
        <w:t>fSocialSciencesofXiamen</w:t>
      </w:r>
      <w:r>
        <w:rPr>
          <w:rFonts w:ascii="Arial" w:hAnsi="Arial" w:eastAsia="Arial" w:cs="Arial"/>
          <w:i/>
          <w:iCs/>
          <w:spacing w:val="-13"/>
          <w:sz w:val="16"/>
          <w:szCs w:val="16"/>
        </w:rPr>
        <w:t xml:space="preserve"> </w:t>
      </w:r>
      <w:r>
        <w:rPr>
          <w:rFonts w:ascii="微软雅黑" w:hAnsi="微软雅黑" w:eastAsia="微软雅黑" w:cs="微软雅黑"/>
          <w:spacing w:val="9"/>
          <w:position w:val="2"/>
          <w:sz w:val="16"/>
          <w:szCs w:val="16"/>
        </w:rPr>
        <w:t>,</w:t>
      </w:r>
      <w:r>
        <w:rPr>
          <w:rFonts w:ascii="微软雅黑" w:hAnsi="微软雅黑" w:eastAsia="微软雅黑" w:cs="微软雅黑"/>
          <w:spacing w:val="2"/>
          <w:position w:val="2"/>
          <w:sz w:val="16"/>
          <w:szCs w:val="16"/>
        </w:rPr>
        <w:t xml:space="preserve">  </w:t>
      </w:r>
      <w:r>
        <w:rPr>
          <w:rFonts w:ascii="Arial" w:hAnsi="Arial" w:eastAsia="Arial" w:cs="Arial"/>
          <w:i/>
          <w:iCs/>
          <w:spacing w:val="9"/>
          <w:sz w:val="16"/>
          <w:szCs w:val="16"/>
        </w:rPr>
        <w:t>Xiamen</w:t>
      </w:r>
      <w:r>
        <w:rPr>
          <w:rFonts w:ascii="Arial" w:hAnsi="Arial" w:eastAsia="Arial" w:cs="Arial"/>
          <w:spacing w:val="9"/>
          <w:sz w:val="16"/>
          <w:szCs w:val="16"/>
        </w:rPr>
        <w:t xml:space="preserve">361003 </w:t>
      </w:r>
      <w:r>
        <w:rPr>
          <w:rFonts w:ascii="微软雅黑" w:hAnsi="微软雅黑" w:eastAsia="微软雅黑" w:cs="微软雅黑"/>
          <w:spacing w:val="9"/>
          <w:position w:val="2"/>
          <w:sz w:val="16"/>
          <w:szCs w:val="16"/>
        </w:rPr>
        <w:t>,</w:t>
      </w:r>
      <w:r>
        <w:rPr>
          <w:rFonts w:ascii="微软雅黑" w:hAnsi="微软雅黑" w:eastAsia="微软雅黑" w:cs="微软雅黑"/>
          <w:spacing w:val="41"/>
          <w:w w:val="102"/>
          <w:position w:val="2"/>
          <w:sz w:val="16"/>
          <w:szCs w:val="16"/>
        </w:rPr>
        <w:t xml:space="preserve"> </w:t>
      </w:r>
      <w:r>
        <w:rPr>
          <w:rFonts w:ascii="Arial" w:hAnsi="Arial" w:eastAsia="Arial" w:cs="Arial"/>
          <w:i/>
          <w:iCs/>
          <w:spacing w:val="9"/>
          <w:sz w:val="16"/>
          <w:szCs w:val="16"/>
        </w:rPr>
        <w:t>China</w:t>
      </w:r>
      <w:r>
        <w:rPr>
          <w:rFonts w:ascii="微软雅黑" w:hAnsi="微软雅黑" w:eastAsia="微软雅黑" w:cs="微软雅黑"/>
          <w:spacing w:val="9"/>
          <w:sz w:val="16"/>
          <w:szCs w:val="16"/>
        </w:rPr>
        <w:t>)</w:t>
      </w:r>
    </w:p>
    <w:p>
      <w:pPr>
        <w:spacing w:before="77" w:line="247" w:lineRule="auto"/>
        <w:ind w:left="1363" w:right="626" w:firstLine="414"/>
        <w:jc w:val="both"/>
        <w:rPr>
          <w:rFonts w:ascii="Arial" w:hAnsi="Arial" w:eastAsia="Arial" w:cs="Arial"/>
          <w:sz w:val="19"/>
          <w:szCs w:val="19"/>
        </w:rPr>
      </w:pPr>
      <w:r>
        <w:rPr>
          <w:rFonts w:ascii="Arial" w:hAnsi="Arial" w:eastAsia="Arial" w:cs="Arial"/>
          <w:spacing w:val="18"/>
          <w:sz w:val="19"/>
          <w:szCs w:val="19"/>
        </w:rPr>
        <w:t>Abstract</w:t>
      </w:r>
      <w:r>
        <w:rPr>
          <w:rFonts w:ascii="微软雅黑" w:hAnsi="微软雅黑" w:eastAsia="微软雅黑" w:cs="微软雅黑"/>
          <w:spacing w:val="18"/>
          <w:sz w:val="19"/>
          <w:szCs w:val="19"/>
        </w:rPr>
        <w:t>:</w:t>
      </w:r>
      <w:r>
        <w:rPr>
          <w:rFonts w:ascii="微软雅黑" w:hAnsi="微软雅黑" w:eastAsia="微软雅黑" w:cs="微软雅黑"/>
          <w:spacing w:val="5"/>
          <w:sz w:val="19"/>
          <w:szCs w:val="19"/>
        </w:rPr>
        <w:t xml:space="preserve">  </w:t>
      </w:r>
      <w:r>
        <w:rPr>
          <w:rFonts w:ascii="Arial" w:hAnsi="Arial" w:eastAsia="Arial" w:cs="Arial"/>
          <w:spacing w:val="18"/>
          <w:sz w:val="19"/>
          <w:szCs w:val="19"/>
        </w:rPr>
        <w:t>Qualit</w:t>
      </w:r>
      <w:r>
        <w:rPr>
          <w:rFonts w:ascii="Arial" w:hAnsi="Arial" w:eastAsia="Arial" w:cs="Arial"/>
          <w:spacing w:val="-36"/>
          <w:sz w:val="19"/>
          <w:szCs w:val="19"/>
        </w:rPr>
        <w:t xml:space="preserve"> </w:t>
      </w:r>
      <w:r>
        <w:rPr>
          <w:rFonts w:ascii="Arial" w:hAnsi="Arial" w:eastAsia="Arial" w:cs="Arial"/>
          <w:spacing w:val="18"/>
          <w:position w:val="-1"/>
          <w:sz w:val="19"/>
          <w:szCs w:val="19"/>
        </w:rPr>
        <w:t>y</w:t>
      </w:r>
      <w:r>
        <w:rPr>
          <w:rFonts w:ascii="Arial" w:hAnsi="Arial" w:eastAsia="Arial" w:cs="Arial"/>
          <w:spacing w:val="34"/>
          <w:position w:val="-1"/>
          <w:sz w:val="19"/>
          <w:szCs w:val="19"/>
        </w:rPr>
        <w:t xml:space="preserve"> </w:t>
      </w:r>
      <w:r>
        <w:rPr>
          <w:rFonts w:ascii="Arial" w:hAnsi="Arial" w:eastAsia="Arial" w:cs="Arial"/>
          <w:spacing w:val="18"/>
          <w:sz w:val="19"/>
          <w:szCs w:val="19"/>
        </w:rPr>
        <w:t>cultureinhigherEducationis</w:t>
      </w:r>
      <w:r>
        <w:rPr>
          <w:rFonts w:ascii="Arial" w:hAnsi="Arial" w:eastAsia="Arial" w:cs="Arial"/>
          <w:spacing w:val="17"/>
          <w:sz w:val="19"/>
          <w:szCs w:val="19"/>
        </w:rPr>
        <w:t>akindofmixturereferringtotheidea</w:t>
      </w:r>
      <w:r>
        <w:rPr>
          <w:rFonts w:ascii="Arial" w:hAnsi="Arial" w:eastAsia="Arial" w:cs="Arial"/>
          <w:spacing w:val="-8"/>
          <w:sz w:val="19"/>
          <w:szCs w:val="19"/>
        </w:rPr>
        <w:t xml:space="preserve"> </w:t>
      </w:r>
      <w:r>
        <w:rPr>
          <w:rFonts w:ascii="微软雅黑" w:hAnsi="微软雅黑" w:eastAsia="微软雅黑" w:cs="微软雅黑"/>
          <w:spacing w:val="17"/>
          <w:position w:val="2"/>
          <w:sz w:val="19"/>
          <w:szCs w:val="19"/>
        </w:rPr>
        <w:t>,</w:t>
      </w:r>
      <w:r>
        <w:rPr>
          <w:rFonts w:ascii="微软雅黑" w:hAnsi="微软雅黑" w:eastAsia="微软雅黑" w:cs="微软雅黑"/>
          <w:position w:val="2"/>
          <w:sz w:val="19"/>
          <w:szCs w:val="19"/>
        </w:rPr>
        <w:t xml:space="preserve"> </w:t>
      </w:r>
      <w:r>
        <w:rPr>
          <w:rFonts w:ascii="Arial" w:hAnsi="Arial" w:eastAsia="Arial" w:cs="Arial"/>
          <w:spacing w:val="13"/>
          <w:sz w:val="19"/>
          <w:szCs w:val="19"/>
        </w:rPr>
        <w:t>beliefandvaluewhichre</w:t>
      </w:r>
      <w:r>
        <w:rPr>
          <w:rFonts w:ascii="Arial" w:hAnsi="Arial" w:eastAsia="Arial" w:cs="Arial"/>
          <w:spacing w:val="12"/>
          <w:sz w:val="19"/>
          <w:szCs w:val="19"/>
        </w:rPr>
        <w:t>volvesaroundthe</w:t>
      </w:r>
      <w:r>
        <w:rPr>
          <w:rFonts w:ascii="Arial" w:hAnsi="Arial" w:eastAsia="Arial" w:cs="Arial"/>
          <w:spacing w:val="23"/>
          <w:w w:val="101"/>
          <w:sz w:val="19"/>
          <w:szCs w:val="19"/>
        </w:rPr>
        <w:t xml:space="preserve"> </w:t>
      </w:r>
      <w:r>
        <w:rPr>
          <w:rFonts w:ascii="Arial" w:hAnsi="Arial" w:eastAsia="Arial" w:cs="Arial"/>
          <w:spacing w:val="12"/>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12"/>
          <w:sz w:val="19"/>
          <w:szCs w:val="19"/>
        </w:rPr>
        <w:t>ualit</w:t>
      </w:r>
      <w:r>
        <w:rPr>
          <w:rFonts w:ascii="Arial" w:hAnsi="Arial" w:eastAsia="Arial" w:cs="Arial"/>
          <w:spacing w:val="-36"/>
          <w:sz w:val="19"/>
          <w:szCs w:val="19"/>
        </w:rPr>
        <w:t xml:space="preserve"> </w:t>
      </w:r>
      <w:r>
        <w:rPr>
          <w:rFonts w:ascii="Arial" w:hAnsi="Arial" w:eastAsia="Arial" w:cs="Arial"/>
          <w:spacing w:val="12"/>
          <w:position w:val="-1"/>
          <w:sz w:val="19"/>
          <w:szCs w:val="19"/>
        </w:rPr>
        <w:t xml:space="preserve">y </w:t>
      </w:r>
      <w:r>
        <w:rPr>
          <w:rFonts w:ascii="Arial" w:hAnsi="Arial" w:eastAsia="Arial" w:cs="Arial"/>
          <w:spacing w:val="12"/>
          <w:sz w:val="19"/>
          <w:szCs w:val="19"/>
        </w:rPr>
        <w:t>ofhighereducationandtheinstitution</w:t>
      </w:r>
      <w:r>
        <w:rPr>
          <w:rFonts w:ascii="Arial" w:hAnsi="Arial" w:eastAsia="Arial" w:cs="Arial"/>
          <w:spacing w:val="-10"/>
          <w:sz w:val="19"/>
          <w:szCs w:val="19"/>
        </w:rPr>
        <w:t xml:space="preserve"> </w:t>
      </w:r>
      <w:r>
        <w:rPr>
          <w:rFonts w:ascii="微软雅黑" w:hAnsi="微软雅黑" w:eastAsia="微软雅黑" w:cs="微软雅黑"/>
          <w:spacing w:val="12"/>
          <w:position w:val="2"/>
          <w:sz w:val="19"/>
          <w:szCs w:val="19"/>
        </w:rPr>
        <w:t>,</w:t>
      </w:r>
      <w:r>
        <w:rPr>
          <w:rFonts w:ascii="微软雅黑" w:hAnsi="微软雅黑" w:eastAsia="微软雅黑" w:cs="微软雅黑"/>
          <w:spacing w:val="50"/>
          <w:w w:val="101"/>
          <w:position w:val="2"/>
          <w:sz w:val="19"/>
          <w:szCs w:val="19"/>
        </w:rPr>
        <w:t xml:space="preserve"> </w:t>
      </w:r>
      <w:r>
        <w:rPr>
          <w:rFonts w:ascii="Arial" w:hAnsi="Arial" w:eastAsia="Arial" w:cs="Arial"/>
          <w:spacing w:val="12"/>
          <w:sz w:val="19"/>
          <w:szCs w:val="19"/>
        </w:rPr>
        <w:t>be-</w:t>
      </w:r>
      <w:r>
        <w:rPr>
          <w:rFonts w:ascii="Arial" w:hAnsi="Arial" w:eastAsia="Arial" w:cs="Arial"/>
          <w:sz w:val="19"/>
          <w:szCs w:val="19"/>
        </w:rPr>
        <w:t xml:space="preserve"> </w:t>
      </w:r>
      <w:r>
        <w:rPr>
          <w:rFonts w:ascii="Arial" w:hAnsi="Arial" w:eastAsia="Arial" w:cs="Arial"/>
          <w:spacing w:val="11"/>
          <w:sz w:val="19"/>
          <w:szCs w:val="19"/>
        </w:rPr>
        <w:t xml:space="preserve">havior </w:t>
      </w:r>
      <w:r>
        <w:rPr>
          <w:rFonts w:ascii="微软雅黑" w:hAnsi="微软雅黑" w:eastAsia="微软雅黑" w:cs="微软雅黑"/>
          <w:spacing w:val="11"/>
          <w:position w:val="2"/>
          <w:sz w:val="19"/>
          <w:szCs w:val="19"/>
        </w:rPr>
        <w:t>,</w:t>
      </w:r>
      <w:r>
        <w:rPr>
          <w:rFonts w:ascii="微软雅黑" w:hAnsi="微软雅黑" w:eastAsia="微软雅黑" w:cs="微软雅黑"/>
          <w:spacing w:val="2"/>
          <w:position w:val="2"/>
          <w:sz w:val="19"/>
          <w:szCs w:val="19"/>
        </w:rPr>
        <w:t xml:space="preserve">  </w:t>
      </w:r>
      <w:r>
        <w:rPr>
          <w:rFonts w:ascii="Arial" w:hAnsi="Arial" w:eastAsia="Arial" w:cs="Arial"/>
          <w:spacing w:val="11"/>
          <w:sz w:val="19"/>
          <w:szCs w:val="19"/>
        </w:rPr>
        <w:t>andmaterializationalcarriersderivedanddevelopedfromthem.</w:t>
      </w:r>
      <w:r>
        <w:rPr>
          <w:rFonts w:ascii="Arial" w:hAnsi="Arial" w:eastAsia="Arial" w:cs="Arial"/>
          <w:spacing w:val="45"/>
          <w:sz w:val="19"/>
          <w:szCs w:val="19"/>
        </w:rPr>
        <w:t xml:space="preserve"> </w:t>
      </w:r>
      <w:r>
        <w:rPr>
          <w:rFonts w:ascii="Arial" w:hAnsi="Arial" w:eastAsia="Arial" w:cs="Arial"/>
          <w:spacing w:val="11"/>
          <w:sz w:val="19"/>
          <w:szCs w:val="19"/>
        </w:rPr>
        <w:t>Qualit</w:t>
      </w:r>
      <w:r>
        <w:rPr>
          <w:rFonts w:ascii="Arial" w:hAnsi="Arial" w:eastAsia="Arial" w:cs="Arial"/>
          <w:spacing w:val="11"/>
          <w:position w:val="-1"/>
          <w:sz w:val="19"/>
          <w:szCs w:val="19"/>
        </w:rPr>
        <w:t>y</w:t>
      </w:r>
      <w:r>
        <w:rPr>
          <w:rFonts w:ascii="Arial" w:hAnsi="Arial" w:eastAsia="Arial" w:cs="Arial"/>
          <w:spacing w:val="23"/>
          <w:position w:val="-1"/>
          <w:sz w:val="19"/>
          <w:szCs w:val="19"/>
        </w:rPr>
        <w:t xml:space="preserve"> </w:t>
      </w:r>
      <w:r>
        <w:rPr>
          <w:rFonts w:ascii="Arial" w:hAnsi="Arial" w:eastAsia="Arial" w:cs="Arial"/>
          <w:spacing w:val="11"/>
          <w:sz w:val="19"/>
          <w:szCs w:val="19"/>
        </w:rPr>
        <w:t>cu</w:t>
      </w:r>
      <w:r>
        <w:rPr>
          <w:rFonts w:ascii="Arial" w:hAnsi="Arial" w:eastAsia="Arial" w:cs="Arial"/>
          <w:spacing w:val="10"/>
          <w:sz w:val="19"/>
          <w:szCs w:val="19"/>
        </w:rPr>
        <w:t>ltureisthe</w:t>
      </w:r>
      <w:r>
        <w:rPr>
          <w:rFonts w:ascii="Arial" w:hAnsi="Arial" w:eastAsia="Arial" w:cs="Arial"/>
          <w:sz w:val="19"/>
          <w:szCs w:val="19"/>
        </w:rPr>
        <w:t xml:space="preserve"> </w:t>
      </w:r>
      <w:r>
        <w:rPr>
          <w:rFonts w:ascii="Arial" w:hAnsi="Arial" w:eastAsia="Arial" w:cs="Arial"/>
          <w:spacing w:val="14"/>
          <w:sz w:val="19"/>
          <w:szCs w:val="19"/>
        </w:rPr>
        <w:t>productofhighereducationdevelopment.Institutesofhighereducationistheke</w:t>
      </w:r>
      <w:r>
        <w:rPr>
          <w:rFonts w:ascii="Arial" w:hAnsi="Arial" w:eastAsia="Arial" w:cs="Arial"/>
          <w:spacing w:val="14"/>
          <w:position w:val="-1"/>
          <w:sz w:val="19"/>
          <w:szCs w:val="19"/>
        </w:rPr>
        <w:t xml:space="preserve">y </w:t>
      </w:r>
      <w:r>
        <w:rPr>
          <w:rFonts w:ascii="Arial" w:hAnsi="Arial" w:eastAsia="Arial" w:cs="Arial"/>
          <w:spacing w:val="14"/>
          <w:sz w:val="19"/>
          <w:szCs w:val="19"/>
        </w:rPr>
        <w:t>bod</w:t>
      </w:r>
      <w:r>
        <w:rPr>
          <w:rFonts w:ascii="Arial" w:hAnsi="Arial" w:eastAsia="Arial" w:cs="Arial"/>
          <w:spacing w:val="-27"/>
          <w:sz w:val="19"/>
          <w:szCs w:val="19"/>
        </w:rPr>
        <w:t xml:space="preserve"> </w:t>
      </w:r>
      <w:r>
        <w:rPr>
          <w:rFonts w:ascii="Arial" w:hAnsi="Arial" w:eastAsia="Arial" w:cs="Arial"/>
          <w:spacing w:val="14"/>
          <w:position w:val="-1"/>
          <w:sz w:val="19"/>
          <w:szCs w:val="19"/>
        </w:rPr>
        <w:t xml:space="preserve">y </w:t>
      </w:r>
      <w:r>
        <w:rPr>
          <w:rFonts w:ascii="Arial" w:hAnsi="Arial" w:eastAsia="Arial" w:cs="Arial"/>
          <w:spacing w:val="14"/>
          <w:sz w:val="19"/>
          <w:szCs w:val="19"/>
        </w:rPr>
        <w:t>ofthe</w:t>
      </w:r>
      <w:r>
        <w:rPr>
          <w:rFonts w:ascii="Arial" w:hAnsi="Arial" w:eastAsia="Arial" w:cs="Arial"/>
          <w:sz w:val="19"/>
          <w:szCs w:val="19"/>
        </w:rPr>
        <w:t xml:space="preserve"> </w:t>
      </w:r>
      <w:r>
        <w:rPr>
          <w:rFonts w:ascii="Arial" w:hAnsi="Arial" w:eastAsia="Arial" w:cs="Arial"/>
          <w:spacing w:val="13"/>
          <w:sz w:val="19"/>
          <w:szCs w:val="19"/>
        </w:rPr>
        <w:t>formationanddevelopmentofthe</w:t>
      </w:r>
      <w:r>
        <w:rPr>
          <w:rFonts w:ascii="Arial" w:hAnsi="Arial" w:eastAsia="Arial" w:cs="Arial"/>
          <w:spacing w:val="35"/>
          <w:sz w:val="19"/>
          <w:szCs w:val="19"/>
        </w:rPr>
        <w:t xml:space="preserve"> </w:t>
      </w:r>
      <w:r>
        <w:rPr>
          <w:rFonts w:ascii="Arial" w:hAnsi="Arial" w:eastAsia="Arial" w:cs="Arial"/>
          <w:spacing w:val="13"/>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13"/>
          <w:sz w:val="19"/>
          <w:szCs w:val="19"/>
        </w:rPr>
        <w:t>ualit</w:t>
      </w:r>
      <w:r>
        <w:rPr>
          <w:rFonts w:ascii="Arial" w:hAnsi="Arial" w:eastAsia="Arial" w:cs="Arial"/>
          <w:spacing w:val="-36"/>
          <w:sz w:val="19"/>
          <w:szCs w:val="19"/>
        </w:rPr>
        <w:t xml:space="preserve"> </w:t>
      </w:r>
      <w:r>
        <w:rPr>
          <w:rFonts w:ascii="Arial" w:hAnsi="Arial" w:eastAsia="Arial" w:cs="Arial"/>
          <w:spacing w:val="13"/>
          <w:position w:val="-1"/>
          <w:sz w:val="19"/>
          <w:szCs w:val="19"/>
        </w:rPr>
        <w:t>y</w:t>
      </w:r>
      <w:r>
        <w:rPr>
          <w:rFonts w:ascii="Arial" w:hAnsi="Arial" w:eastAsia="Arial" w:cs="Arial"/>
          <w:spacing w:val="34"/>
          <w:w w:val="101"/>
          <w:position w:val="-1"/>
          <w:sz w:val="19"/>
          <w:szCs w:val="19"/>
        </w:rPr>
        <w:t xml:space="preserve"> </w:t>
      </w:r>
      <w:r>
        <w:rPr>
          <w:rFonts w:ascii="Arial" w:hAnsi="Arial" w:eastAsia="Arial" w:cs="Arial"/>
          <w:spacing w:val="13"/>
          <w:sz w:val="19"/>
          <w:szCs w:val="19"/>
        </w:rPr>
        <w:t>culture</w:t>
      </w:r>
      <w:r>
        <w:rPr>
          <w:rFonts w:ascii="Arial" w:hAnsi="Arial" w:eastAsia="Arial" w:cs="Arial"/>
          <w:spacing w:val="-9"/>
          <w:sz w:val="19"/>
          <w:szCs w:val="19"/>
        </w:rPr>
        <w:t xml:space="preserve"> </w:t>
      </w:r>
      <w:r>
        <w:rPr>
          <w:rFonts w:ascii="微软雅黑" w:hAnsi="微软雅黑" w:eastAsia="微软雅黑" w:cs="微软雅黑"/>
          <w:spacing w:val="13"/>
          <w:position w:val="2"/>
          <w:sz w:val="19"/>
          <w:szCs w:val="19"/>
        </w:rPr>
        <w:t>,</w:t>
      </w:r>
      <w:r>
        <w:rPr>
          <w:rFonts w:ascii="微软雅黑" w:hAnsi="微软雅黑" w:eastAsia="微软雅黑" w:cs="微软雅黑"/>
          <w:spacing w:val="3"/>
          <w:position w:val="2"/>
          <w:sz w:val="19"/>
          <w:szCs w:val="19"/>
        </w:rPr>
        <w:t xml:space="preserve">  </w:t>
      </w:r>
      <w:r>
        <w:rPr>
          <w:rFonts w:ascii="Arial" w:hAnsi="Arial" w:eastAsia="Arial" w:cs="Arial"/>
          <w:spacing w:val="13"/>
          <w:sz w:val="19"/>
          <w:szCs w:val="19"/>
        </w:rPr>
        <w:t>teacherandstudentisthedirectprod</w:t>
      </w:r>
      <w:r>
        <w:rPr>
          <w:rFonts w:ascii="Arial" w:hAnsi="Arial" w:eastAsia="Arial" w:cs="Arial"/>
          <w:spacing w:val="12"/>
          <w:sz w:val="19"/>
          <w:szCs w:val="19"/>
        </w:rPr>
        <w:t>ucer</w:t>
      </w:r>
      <w:r>
        <w:rPr>
          <w:rFonts w:ascii="Arial" w:hAnsi="Arial" w:eastAsia="Arial" w:cs="Arial"/>
          <w:sz w:val="19"/>
          <w:szCs w:val="19"/>
        </w:rPr>
        <w:t xml:space="preserve"> </w:t>
      </w:r>
      <w:r>
        <w:rPr>
          <w:rFonts w:ascii="Arial" w:hAnsi="Arial" w:eastAsia="Arial" w:cs="Arial"/>
          <w:spacing w:val="11"/>
          <w:sz w:val="19"/>
          <w:szCs w:val="19"/>
        </w:rPr>
        <w:t>of</w:t>
      </w:r>
      <w:r>
        <w:rPr>
          <w:rFonts w:ascii="Arial" w:hAnsi="Arial" w:eastAsia="Arial" w:cs="Arial"/>
          <w:spacing w:val="33"/>
          <w:sz w:val="19"/>
          <w:szCs w:val="19"/>
        </w:rPr>
        <w:t xml:space="preserve"> </w:t>
      </w:r>
      <w:r>
        <w:rPr>
          <w:rFonts w:ascii="Arial" w:hAnsi="Arial" w:eastAsia="Arial" w:cs="Arial"/>
          <w:spacing w:val="11"/>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11"/>
          <w:sz w:val="19"/>
          <w:szCs w:val="19"/>
        </w:rPr>
        <w:t>ualit</w:t>
      </w:r>
      <w:r>
        <w:rPr>
          <w:rFonts w:ascii="Arial" w:hAnsi="Arial" w:eastAsia="Arial" w:cs="Arial"/>
          <w:spacing w:val="-36"/>
          <w:sz w:val="19"/>
          <w:szCs w:val="19"/>
        </w:rPr>
        <w:t xml:space="preserve"> </w:t>
      </w:r>
      <w:r>
        <w:rPr>
          <w:rFonts w:ascii="Arial" w:hAnsi="Arial" w:eastAsia="Arial" w:cs="Arial"/>
          <w:spacing w:val="11"/>
          <w:position w:val="-1"/>
          <w:sz w:val="19"/>
          <w:szCs w:val="19"/>
        </w:rPr>
        <w:t>y</w:t>
      </w:r>
      <w:r>
        <w:rPr>
          <w:rFonts w:ascii="Arial" w:hAnsi="Arial" w:eastAsia="Arial" w:cs="Arial"/>
          <w:spacing w:val="35"/>
          <w:position w:val="-1"/>
          <w:sz w:val="19"/>
          <w:szCs w:val="19"/>
        </w:rPr>
        <w:t xml:space="preserve"> </w:t>
      </w:r>
      <w:r>
        <w:rPr>
          <w:rFonts w:ascii="Arial" w:hAnsi="Arial" w:eastAsia="Arial" w:cs="Arial"/>
          <w:spacing w:val="11"/>
          <w:sz w:val="19"/>
          <w:szCs w:val="19"/>
        </w:rPr>
        <w:t>culture</w:t>
      </w:r>
      <w:r>
        <w:rPr>
          <w:rFonts w:ascii="Arial" w:hAnsi="Arial" w:eastAsia="Arial" w:cs="Arial"/>
          <w:spacing w:val="-9"/>
          <w:sz w:val="19"/>
          <w:szCs w:val="19"/>
        </w:rPr>
        <w:t xml:space="preserve"> </w:t>
      </w:r>
      <w:r>
        <w:rPr>
          <w:rFonts w:ascii="微软雅黑" w:hAnsi="微软雅黑" w:eastAsia="微软雅黑" w:cs="微软雅黑"/>
          <w:spacing w:val="11"/>
          <w:position w:val="2"/>
          <w:sz w:val="19"/>
          <w:szCs w:val="19"/>
        </w:rPr>
        <w:t>,</w:t>
      </w:r>
      <w:r>
        <w:rPr>
          <w:rFonts w:ascii="微软雅黑" w:hAnsi="微软雅黑" w:eastAsia="微软雅黑" w:cs="微软雅黑"/>
          <w:spacing w:val="53"/>
          <w:w w:val="101"/>
          <w:position w:val="2"/>
          <w:sz w:val="19"/>
          <w:szCs w:val="19"/>
        </w:rPr>
        <w:t xml:space="preserve"> </w:t>
      </w:r>
      <w:r>
        <w:rPr>
          <w:rFonts w:ascii="Arial" w:hAnsi="Arial" w:eastAsia="Arial" w:cs="Arial"/>
          <w:spacing w:val="11"/>
          <w:sz w:val="19"/>
          <w:szCs w:val="19"/>
        </w:rPr>
        <w:t>and</w:t>
      </w:r>
      <w:r>
        <w:rPr>
          <w:rFonts w:ascii="Arial" w:hAnsi="Arial" w:eastAsia="Arial" w:cs="Arial"/>
          <w:spacing w:val="27"/>
          <w:sz w:val="19"/>
          <w:szCs w:val="19"/>
        </w:rPr>
        <w:t xml:space="preserve"> </w:t>
      </w:r>
      <w:r>
        <w:rPr>
          <w:rFonts w:ascii="Arial" w:hAnsi="Arial" w:eastAsia="Arial" w:cs="Arial"/>
          <w:spacing w:val="11"/>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11"/>
          <w:sz w:val="19"/>
          <w:szCs w:val="19"/>
        </w:rPr>
        <w:t>ualit</w:t>
      </w:r>
      <w:r>
        <w:rPr>
          <w:rFonts w:ascii="Arial" w:hAnsi="Arial" w:eastAsia="Arial" w:cs="Arial"/>
          <w:spacing w:val="-36"/>
          <w:sz w:val="19"/>
          <w:szCs w:val="19"/>
        </w:rPr>
        <w:t xml:space="preserve"> </w:t>
      </w:r>
      <w:r>
        <w:rPr>
          <w:rFonts w:ascii="Arial" w:hAnsi="Arial" w:eastAsia="Arial" w:cs="Arial"/>
          <w:spacing w:val="11"/>
          <w:position w:val="-1"/>
          <w:sz w:val="19"/>
          <w:szCs w:val="19"/>
        </w:rPr>
        <w:t>y</w:t>
      </w:r>
      <w:r>
        <w:rPr>
          <w:rFonts w:ascii="Arial" w:hAnsi="Arial" w:eastAsia="Arial" w:cs="Arial"/>
          <w:spacing w:val="27"/>
          <w:position w:val="-1"/>
          <w:sz w:val="19"/>
          <w:szCs w:val="19"/>
        </w:rPr>
        <w:t xml:space="preserve"> </w:t>
      </w:r>
      <w:r>
        <w:rPr>
          <w:rFonts w:ascii="Arial" w:hAnsi="Arial" w:eastAsia="Arial" w:cs="Arial"/>
          <w:spacing w:val="11"/>
          <w:sz w:val="19"/>
          <w:szCs w:val="19"/>
        </w:rPr>
        <w:t>evaluationandcertificati</w:t>
      </w:r>
      <w:r>
        <w:rPr>
          <w:rFonts w:ascii="Arial" w:hAnsi="Arial" w:eastAsia="Arial" w:cs="Arial"/>
          <w:spacing w:val="10"/>
          <w:sz w:val="19"/>
          <w:szCs w:val="19"/>
        </w:rPr>
        <w:t>onistheboostertotheinnovativede-</w:t>
      </w:r>
      <w:r>
        <w:rPr>
          <w:rFonts w:ascii="Arial" w:hAnsi="Arial" w:eastAsia="Arial" w:cs="Arial"/>
          <w:sz w:val="19"/>
          <w:szCs w:val="19"/>
        </w:rPr>
        <w:t xml:space="preserve"> </w:t>
      </w:r>
      <w:r>
        <w:rPr>
          <w:rFonts w:ascii="Arial" w:hAnsi="Arial" w:eastAsia="Arial" w:cs="Arial"/>
          <w:spacing w:val="13"/>
          <w:sz w:val="19"/>
          <w:szCs w:val="19"/>
        </w:rPr>
        <w:t>velopmentof</w:t>
      </w:r>
      <w:r>
        <w:rPr>
          <w:rFonts w:ascii="Arial" w:hAnsi="Arial" w:eastAsia="Arial" w:cs="Arial"/>
          <w:spacing w:val="41"/>
          <w:w w:val="101"/>
          <w:sz w:val="19"/>
          <w:szCs w:val="19"/>
        </w:rPr>
        <w:t xml:space="preserve"> </w:t>
      </w:r>
      <w:r>
        <w:rPr>
          <w:rFonts w:ascii="Arial" w:hAnsi="Arial" w:eastAsia="Arial" w:cs="Arial"/>
          <w:spacing w:val="13"/>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13"/>
          <w:sz w:val="19"/>
          <w:szCs w:val="19"/>
        </w:rPr>
        <w:t>ualit</w:t>
      </w:r>
      <w:r>
        <w:rPr>
          <w:rFonts w:ascii="Arial" w:hAnsi="Arial" w:eastAsia="Arial" w:cs="Arial"/>
          <w:spacing w:val="-36"/>
          <w:sz w:val="19"/>
          <w:szCs w:val="19"/>
        </w:rPr>
        <w:t xml:space="preserve"> </w:t>
      </w:r>
      <w:r>
        <w:rPr>
          <w:rFonts w:ascii="Arial" w:hAnsi="Arial" w:eastAsia="Arial" w:cs="Arial"/>
          <w:spacing w:val="13"/>
          <w:position w:val="-1"/>
          <w:sz w:val="19"/>
          <w:szCs w:val="19"/>
        </w:rPr>
        <w:t>y</w:t>
      </w:r>
      <w:r>
        <w:rPr>
          <w:rFonts w:ascii="Arial" w:hAnsi="Arial" w:eastAsia="Arial" w:cs="Arial"/>
          <w:spacing w:val="48"/>
          <w:w w:val="101"/>
          <w:position w:val="-1"/>
          <w:sz w:val="19"/>
          <w:szCs w:val="19"/>
        </w:rPr>
        <w:t xml:space="preserve"> </w:t>
      </w:r>
      <w:r>
        <w:rPr>
          <w:rFonts w:ascii="Arial" w:hAnsi="Arial" w:eastAsia="Arial" w:cs="Arial"/>
          <w:spacing w:val="13"/>
          <w:sz w:val="19"/>
          <w:szCs w:val="19"/>
        </w:rPr>
        <w:t>culture.</w:t>
      </w:r>
      <w:r>
        <w:rPr>
          <w:rFonts w:ascii="Arial" w:hAnsi="Arial" w:eastAsia="Arial" w:cs="Arial"/>
          <w:spacing w:val="5"/>
          <w:sz w:val="19"/>
          <w:szCs w:val="19"/>
        </w:rPr>
        <w:t xml:space="preserve">  </w:t>
      </w:r>
      <w:r>
        <w:rPr>
          <w:rFonts w:ascii="Arial" w:hAnsi="Arial" w:eastAsia="Arial" w:cs="Arial"/>
          <w:spacing w:val="13"/>
          <w:sz w:val="19"/>
          <w:szCs w:val="19"/>
        </w:rPr>
        <w:t>Buildingqualit</w:t>
      </w:r>
      <w:r>
        <w:rPr>
          <w:rFonts w:ascii="Arial" w:hAnsi="Arial" w:eastAsia="Arial" w:cs="Arial"/>
          <w:spacing w:val="-35"/>
          <w:sz w:val="19"/>
          <w:szCs w:val="19"/>
        </w:rPr>
        <w:t xml:space="preserve"> </w:t>
      </w:r>
      <w:r>
        <w:rPr>
          <w:rFonts w:ascii="Arial" w:hAnsi="Arial" w:eastAsia="Arial" w:cs="Arial"/>
          <w:spacing w:val="13"/>
          <w:position w:val="-1"/>
          <w:sz w:val="19"/>
          <w:szCs w:val="19"/>
        </w:rPr>
        <w:t>y</w:t>
      </w:r>
      <w:r>
        <w:rPr>
          <w:rFonts w:ascii="Arial" w:hAnsi="Arial" w:eastAsia="Arial" w:cs="Arial"/>
          <w:spacing w:val="48"/>
          <w:position w:val="-1"/>
          <w:sz w:val="19"/>
          <w:szCs w:val="19"/>
        </w:rPr>
        <w:t xml:space="preserve"> </w:t>
      </w:r>
      <w:r>
        <w:rPr>
          <w:rFonts w:ascii="Arial" w:hAnsi="Arial" w:eastAsia="Arial" w:cs="Arial"/>
          <w:spacing w:val="13"/>
          <w:sz w:val="19"/>
          <w:szCs w:val="19"/>
        </w:rPr>
        <w:t>cultureistheessentialguaranteetopromote</w:t>
      </w:r>
      <w:r>
        <w:rPr>
          <w:rFonts w:ascii="Arial" w:hAnsi="Arial" w:eastAsia="Arial" w:cs="Arial"/>
          <w:sz w:val="19"/>
          <w:szCs w:val="19"/>
        </w:rPr>
        <w:t xml:space="preserve"> </w:t>
      </w:r>
      <w:r>
        <w:rPr>
          <w:rFonts w:ascii="Arial" w:hAnsi="Arial" w:eastAsia="Arial" w:cs="Arial"/>
          <w:spacing w:val="13"/>
          <w:sz w:val="19"/>
          <w:szCs w:val="19"/>
        </w:rPr>
        <w:t>thedevelopmentofhighereducationmassif</w:t>
      </w:r>
      <w:r>
        <w:rPr>
          <w:rFonts w:ascii="Arial" w:hAnsi="Arial" w:eastAsia="Arial" w:cs="Arial"/>
          <w:spacing w:val="12"/>
          <w:sz w:val="19"/>
          <w:szCs w:val="19"/>
        </w:rPr>
        <w:t>icationandpopularizationhealthil</w:t>
      </w:r>
      <w:r>
        <w:rPr>
          <w:rFonts w:ascii="Arial" w:hAnsi="Arial" w:eastAsia="Arial" w:cs="Arial"/>
          <w:spacing w:val="12"/>
          <w:position w:val="-1"/>
          <w:sz w:val="19"/>
          <w:szCs w:val="19"/>
        </w:rPr>
        <w:t>y</w:t>
      </w:r>
      <w:r>
        <w:rPr>
          <w:rFonts w:ascii="Arial" w:hAnsi="Arial" w:eastAsia="Arial" w:cs="Arial"/>
          <w:spacing w:val="-9"/>
          <w:position w:val="-1"/>
          <w:sz w:val="19"/>
          <w:szCs w:val="19"/>
        </w:rPr>
        <w:t xml:space="preserve"> </w:t>
      </w:r>
      <w:r>
        <w:rPr>
          <w:rFonts w:ascii="微软雅黑" w:hAnsi="微软雅黑" w:eastAsia="微软雅黑" w:cs="微软雅黑"/>
          <w:spacing w:val="12"/>
          <w:position w:val="2"/>
          <w:sz w:val="19"/>
          <w:szCs w:val="19"/>
        </w:rPr>
        <w:t>,</w:t>
      </w:r>
      <w:r>
        <w:rPr>
          <w:rFonts w:ascii="微软雅黑" w:hAnsi="微软雅黑" w:eastAsia="微软雅黑" w:cs="微软雅黑"/>
          <w:spacing w:val="50"/>
          <w:position w:val="2"/>
          <w:sz w:val="19"/>
          <w:szCs w:val="19"/>
        </w:rPr>
        <w:t xml:space="preserve"> </w:t>
      </w:r>
      <w:r>
        <w:rPr>
          <w:rFonts w:ascii="Arial" w:hAnsi="Arial" w:eastAsia="Arial" w:cs="Arial"/>
          <w:spacing w:val="12"/>
          <w:sz w:val="19"/>
          <w:szCs w:val="19"/>
        </w:rPr>
        <w:t>aswellasthe</w:t>
      </w:r>
      <w:r>
        <w:rPr>
          <w:rFonts w:ascii="Arial" w:hAnsi="Arial" w:eastAsia="Arial" w:cs="Arial"/>
          <w:sz w:val="19"/>
          <w:szCs w:val="19"/>
        </w:rPr>
        <w:t xml:space="preserve"> </w:t>
      </w:r>
      <w:r>
        <w:rPr>
          <w:rFonts w:ascii="Arial" w:hAnsi="Arial" w:eastAsia="Arial" w:cs="Arial"/>
          <w:spacing w:val="11"/>
          <w:sz w:val="19"/>
          <w:szCs w:val="19"/>
        </w:rPr>
        <w:t>effectiveresponsetosocialconcerns</w:t>
      </w:r>
      <w:r>
        <w:rPr>
          <w:rFonts w:ascii="Arial" w:hAnsi="Arial" w:eastAsia="Arial" w:cs="Arial"/>
          <w:spacing w:val="-5"/>
          <w:sz w:val="19"/>
          <w:szCs w:val="19"/>
        </w:rPr>
        <w:t xml:space="preserve"> </w:t>
      </w:r>
      <w:r>
        <w:rPr>
          <w:rFonts w:ascii="微软雅黑" w:hAnsi="微软雅黑" w:eastAsia="微软雅黑" w:cs="微软雅黑"/>
          <w:spacing w:val="11"/>
          <w:position w:val="2"/>
          <w:sz w:val="19"/>
          <w:szCs w:val="19"/>
        </w:rPr>
        <w:t>,</w:t>
      </w:r>
      <w:r>
        <w:rPr>
          <w:rFonts w:ascii="微软雅黑" w:hAnsi="微软雅黑" w:eastAsia="微软雅黑" w:cs="微软雅黑"/>
          <w:spacing w:val="50"/>
          <w:position w:val="2"/>
          <w:sz w:val="19"/>
          <w:szCs w:val="19"/>
        </w:rPr>
        <w:t xml:space="preserve"> </w:t>
      </w:r>
      <w:r>
        <w:rPr>
          <w:rFonts w:ascii="Arial" w:hAnsi="Arial" w:eastAsia="Arial" w:cs="Arial"/>
          <w:spacing w:val="11"/>
          <w:sz w:val="19"/>
          <w:szCs w:val="19"/>
        </w:rPr>
        <w:t>andthedispla</w:t>
      </w:r>
      <w:r>
        <w:rPr>
          <w:rFonts w:ascii="Arial" w:hAnsi="Arial" w:eastAsia="Arial" w:cs="Arial"/>
          <w:spacing w:val="11"/>
          <w:position w:val="-1"/>
          <w:sz w:val="19"/>
          <w:szCs w:val="19"/>
        </w:rPr>
        <w:t>y</w:t>
      </w:r>
      <w:r>
        <w:rPr>
          <w:rFonts w:ascii="Arial" w:hAnsi="Arial" w:eastAsia="Arial" w:cs="Arial"/>
          <w:spacing w:val="23"/>
          <w:w w:val="101"/>
          <w:position w:val="-1"/>
          <w:sz w:val="19"/>
          <w:szCs w:val="19"/>
        </w:rPr>
        <w:t xml:space="preserve"> </w:t>
      </w:r>
      <w:r>
        <w:rPr>
          <w:rFonts w:ascii="Arial" w:hAnsi="Arial" w:eastAsia="Arial" w:cs="Arial"/>
          <w:spacing w:val="11"/>
          <w:sz w:val="19"/>
          <w:szCs w:val="19"/>
        </w:rPr>
        <w:t>showingsocialfuncti</w:t>
      </w:r>
      <w:r>
        <w:rPr>
          <w:rFonts w:ascii="Arial" w:hAnsi="Arial" w:eastAsia="Arial" w:cs="Arial"/>
          <w:spacing w:val="10"/>
          <w:sz w:val="19"/>
          <w:szCs w:val="19"/>
        </w:rPr>
        <w:t>onofhighereduca-</w:t>
      </w:r>
      <w:r>
        <w:rPr>
          <w:rFonts w:ascii="Arial" w:hAnsi="Arial" w:eastAsia="Arial" w:cs="Arial"/>
          <w:sz w:val="19"/>
          <w:szCs w:val="19"/>
        </w:rPr>
        <w:t xml:space="preserve"> </w:t>
      </w:r>
      <w:r>
        <w:rPr>
          <w:rFonts w:ascii="Arial" w:hAnsi="Arial" w:eastAsia="Arial" w:cs="Arial"/>
          <w:spacing w:val="11"/>
          <w:sz w:val="19"/>
          <w:szCs w:val="19"/>
        </w:rPr>
        <w:t>tion.</w:t>
      </w:r>
      <w:r>
        <w:rPr>
          <w:rFonts w:ascii="Arial" w:hAnsi="Arial" w:eastAsia="Arial" w:cs="Arial"/>
          <w:spacing w:val="60"/>
          <w:sz w:val="19"/>
          <w:szCs w:val="19"/>
        </w:rPr>
        <w:t xml:space="preserve"> </w:t>
      </w:r>
      <w:r>
        <w:rPr>
          <w:rFonts w:ascii="Arial" w:hAnsi="Arial" w:eastAsia="Arial" w:cs="Arial"/>
          <w:spacing w:val="11"/>
          <w:sz w:val="19"/>
          <w:szCs w:val="19"/>
        </w:rPr>
        <w:t>Weshouldkeeptotheke</w:t>
      </w:r>
      <w:r>
        <w:rPr>
          <w:rFonts w:ascii="Arial" w:hAnsi="Arial" w:eastAsia="Arial" w:cs="Arial"/>
          <w:spacing w:val="11"/>
          <w:position w:val="-1"/>
          <w:sz w:val="19"/>
          <w:szCs w:val="19"/>
        </w:rPr>
        <w:t>y</w:t>
      </w:r>
      <w:r>
        <w:rPr>
          <w:rFonts w:ascii="Arial" w:hAnsi="Arial" w:eastAsia="Arial" w:cs="Arial"/>
          <w:spacing w:val="40"/>
          <w:position w:val="-1"/>
          <w:sz w:val="19"/>
          <w:szCs w:val="19"/>
        </w:rPr>
        <w:t xml:space="preserve"> </w:t>
      </w:r>
      <w:r>
        <w:rPr>
          <w:rFonts w:ascii="Arial" w:hAnsi="Arial" w:eastAsia="Arial" w:cs="Arial"/>
          <w:spacing w:val="11"/>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11"/>
          <w:sz w:val="19"/>
          <w:szCs w:val="19"/>
        </w:rPr>
        <w:t>ualit</w:t>
      </w:r>
      <w:r>
        <w:rPr>
          <w:rFonts w:ascii="Arial" w:hAnsi="Arial" w:eastAsia="Arial" w:cs="Arial"/>
          <w:spacing w:val="-36"/>
          <w:sz w:val="19"/>
          <w:szCs w:val="19"/>
        </w:rPr>
        <w:t xml:space="preserve"> </w:t>
      </w:r>
      <w:r>
        <w:rPr>
          <w:rFonts w:ascii="Arial" w:hAnsi="Arial" w:eastAsia="Arial" w:cs="Arial"/>
          <w:spacing w:val="11"/>
          <w:position w:val="-1"/>
          <w:sz w:val="19"/>
          <w:szCs w:val="19"/>
        </w:rPr>
        <w:t>y</w:t>
      </w:r>
      <w:r>
        <w:rPr>
          <w:rFonts w:ascii="Arial" w:hAnsi="Arial" w:eastAsia="Arial" w:cs="Arial"/>
          <w:spacing w:val="38"/>
          <w:w w:val="101"/>
          <w:position w:val="-1"/>
          <w:sz w:val="19"/>
          <w:szCs w:val="19"/>
        </w:rPr>
        <w:t xml:space="preserve"> </w:t>
      </w:r>
      <w:r>
        <w:rPr>
          <w:rFonts w:ascii="Arial" w:hAnsi="Arial" w:eastAsia="Arial" w:cs="Arial"/>
          <w:spacing w:val="11"/>
          <w:sz w:val="19"/>
          <w:szCs w:val="19"/>
        </w:rPr>
        <w:t>valueof</w:t>
      </w:r>
      <w:r>
        <w:rPr>
          <w:rFonts w:ascii="微软雅黑" w:hAnsi="微软雅黑" w:eastAsia="微软雅黑" w:cs="微软雅黑"/>
          <w:spacing w:val="11"/>
          <w:position w:val="2"/>
          <w:sz w:val="19"/>
          <w:szCs w:val="19"/>
        </w:rPr>
        <w:t>“</w:t>
      </w:r>
      <w:r>
        <w:rPr>
          <w:rFonts w:ascii="微软雅黑" w:hAnsi="微软雅黑" w:eastAsia="微软雅黑" w:cs="微软雅黑"/>
          <w:spacing w:val="-21"/>
          <w:position w:val="2"/>
          <w:sz w:val="19"/>
          <w:szCs w:val="19"/>
        </w:rPr>
        <w:t xml:space="preserve"> </w:t>
      </w:r>
      <w:r>
        <w:rPr>
          <w:rFonts w:ascii="Arial" w:hAnsi="Arial" w:eastAsia="Arial" w:cs="Arial"/>
          <w:spacing w:val="11"/>
          <w:sz w:val="19"/>
          <w:szCs w:val="19"/>
        </w:rPr>
        <w:t>student-centered</w:t>
      </w:r>
      <w:r>
        <w:rPr>
          <w:rFonts w:ascii="微软雅黑" w:hAnsi="微软雅黑" w:eastAsia="微软雅黑" w:cs="微软雅黑"/>
          <w:spacing w:val="11"/>
          <w:position w:val="2"/>
          <w:sz w:val="19"/>
          <w:szCs w:val="19"/>
        </w:rPr>
        <w:t>”,</w:t>
      </w:r>
      <w:r>
        <w:rPr>
          <w:rFonts w:ascii="微软雅黑" w:hAnsi="微软雅黑" w:eastAsia="微软雅黑" w:cs="微软雅黑"/>
          <w:spacing w:val="7"/>
          <w:position w:val="2"/>
          <w:sz w:val="19"/>
          <w:szCs w:val="19"/>
        </w:rPr>
        <w:t xml:space="preserve">  </w:t>
      </w:r>
      <w:r>
        <w:rPr>
          <w:rFonts w:ascii="Arial" w:hAnsi="Arial" w:eastAsia="Arial" w:cs="Arial"/>
          <w:spacing w:val="11"/>
          <w:sz w:val="19"/>
          <w:szCs w:val="19"/>
        </w:rPr>
        <w:t>builduptheorganiza-</w:t>
      </w:r>
      <w:r>
        <w:rPr>
          <w:rFonts w:ascii="Arial" w:hAnsi="Arial" w:eastAsia="Arial" w:cs="Arial"/>
          <w:sz w:val="19"/>
          <w:szCs w:val="19"/>
        </w:rPr>
        <w:t xml:space="preserve"> </w:t>
      </w:r>
      <w:r>
        <w:rPr>
          <w:rFonts w:ascii="Arial" w:hAnsi="Arial" w:eastAsia="Arial" w:cs="Arial"/>
          <w:spacing w:val="11"/>
          <w:sz w:val="19"/>
          <w:szCs w:val="19"/>
        </w:rPr>
        <w:t>tions</w:t>
      </w:r>
      <w:r>
        <w:rPr>
          <w:rFonts w:ascii="Arial" w:hAnsi="Arial" w:eastAsia="Arial" w:cs="Arial"/>
          <w:spacing w:val="11"/>
          <w:position w:val="-1"/>
          <w:sz w:val="19"/>
          <w:szCs w:val="19"/>
        </w:rPr>
        <w:t>y</w:t>
      </w:r>
      <w:r>
        <w:rPr>
          <w:rFonts w:ascii="Arial" w:hAnsi="Arial" w:eastAsia="Arial" w:cs="Arial"/>
          <w:spacing w:val="-35"/>
          <w:position w:val="-1"/>
          <w:sz w:val="19"/>
          <w:szCs w:val="19"/>
        </w:rPr>
        <w:t xml:space="preserve"> </w:t>
      </w:r>
      <w:r>
        <w:rPr>
          <w:rFonts w:ascii="Arial" w:hAnsi="Arial" w:eastAsia="Arial" w:cs="Arial"/>
          <w:spacing w:val="11"/>
          <w:sz w:val="19"/>
          <w:szCs w:val="19"/>
        </w:rPr>
        <w:t>stembasedoninstitutesofhighereducation</w:t>
      </w:r>
      <w:r>
        <w:rPr>
          <w:rFonts w:ascii="Arial" w:hAnsi="Arial" w:eastAsia="Arial" w:cs="Arial"/>
          <w:spacing w:val="-10"/>
          <w:sz w:val="19"/>
          <w:szCs w:val="19"/>
        </w:rPr>
        <w:t xml:space="preserve"> </w:t>
      </w:r>
      <w:r>
        <w:rPr>
          <w:rFonts w:ascii="微软雅黑" w:hAnsi="微软雅黑" w:eastAsia="微软雅黑" w:cs="微软雅黑"/>
          <w:spacing w:val="10"/>
          <w:position w:val="2"/>
          <w:sz w:val="19"/>
          <w:szCs w:val="19"/>
        </w:rPr>
        <w:t>,</w:t>
      </w:r>
      <w:r>
        <w:rPr>
          <w:rFonts w:ascii="微软雅黑" w:hAnsi="微软雅黑" w:eastAsia="微软雅黑" w:cs="微软雅黑"/>
          <w:spacing w:val="52"/>
          <w:w w:val="101"/>
          <w:position w:val="2"/>
          <w:sz w:val="19"/>
          <w:szCs w:val="19"/>
        </w:rPr>
        <w:t xml:space="preserve"> </w:t>
      </w:r>
      <w:r>
        <w:rPr>
          <w:rFonts w:ascii="Arial" w:hAnsi="Arial" w:eastAsia="Arial" w:cs="Arial"/>
          <w:spacing w:val="10"/>
          <w:sz w:val="19"/>
          <w:szCs w:val="19"/>
        </w:rPr>
        <w:t>andconstructashared-governance</w:t>
      </w:r>
      <w:r>
        <w:rPr>
          <w:rFonts w:ascii="Arial" w:hAnsi="Arial" w:eastAsia="Arial" w:cs="Arial"/>
          <w:spacing w:val="24"/>
          <w:sz w:val="19"/>
          <w:szCs w:val="19"/>
        </w:rPr>
        <w:t xml:space="preserve"> </w:t>
      </w:r>
      <w:r>
        <w:rPr>
          <w:rFonts w:ascii="Arial" w:hAnsi="Arial" w:eastAsia="Arial" w:cs="Arial"/>
          <w:spacing w:val="10"/>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10"/>
          <w:sz w:val="19"/>
          <w:szCs w:val="19"/>
        </w:rPr>
        <w:t>uali-</w:t>
      </w:r>
      <w:r>
        <w:rPr>
          <w:rFonts w:ascii="Arial" w:hAnsi="Arial" w:eastAsia="Arial" w:cs="Arial"/>
          <w:sz w:val="19"/>
          <w:szCs w:val="19"/>
        </w:rPr>
        <w:t xml:space="preserve"> </w:t>
      </w:r>
      <w:r>
        <w:rPr>
          <w:rFonts w:ascii="Arial" w:hAnsi="Arial" w:eastAsia="Arial" w:cs="Arial"/>
          <w:spacing w:val="20"/>
          <w:sz w:val="19"/>
          <w:szCs w:val="19"/>
        </w:rPr>
        <w:t>t</w:t>
      </w:r>
      <w:r>
        <w:rPr>
          <w:rFonts w:ascii="Arial" w:hAnsi="Arial" w:eastAsia="Arial" w:cs="Arial"/>
          <w:spacing w:val="-36"/>
          <w:sz w:val="19"/>
          <w:szCs w:val="19"/>
        </w:rPr>
        <w:t xml:space="preserve"> </w:t>
      </w:r>
      <w:r>
        <w:rPr>
          <w:rFonts w:ascii="Arial" w:hAnsi="Arial" w:eastAsia="Arial" w:cs="Arial"/>
          <w:spacing w:val="20"/>
          <w:position w:val="-1"/>
          <w:sz w:val="19"/>
          <w:szCs w:val="19"/>
        </w:rPr>
        <w:t>y</w:t>
      </w:r>
      <w:r>
        <w:rPr>
          <w:rFonts w:ascii="Arial" w:hAnsi="Arial" w:eastAsia="Arial" w:cs="Arial"/>
          <w:spacing w:val="32"/>
          <w:w w:val="101"/>
          <w:position w:val="-1"/>
          <w:sz w:val="19"/>
          <w:szCs w:val="19"/>
        </w:rPr>
        <w:t xml:space="preserve"> </w:t>
      </w:r>
      <w:r>
        <w:rPr>
          <w:rFonts w:ascii="Arial" w:hAnsi="Arial" w:eastAsia="Arial" w:cs="Arial"/>
          <w:spacing w:val="20"/>
          <w:sz w:val="19"/>
          <w:szCs w:val="19"/>
        </w:rPr>
        <w:t>assurances</w:t>
      </w:r>
      <w:r>
        <w:rPr>
          <w:rFonts w:ascii="Arial" w:hAnsi="Arial" w:eastAsia="Arial" w:cs="Arial"/>
          <w:spacing w:val="20"/>
          <w:position w:val="-1"/>
          <w:sz w:val="19"/>
          <w:szCs w:val="19"/>
        </w:rPr>
        <w:t>y</w:t>
      </w:r>
      <w:r>
        <w:rPr>
          <w:rFonts w:ascii="Arial" w:hAnsi="Arial" w:eastAsia="Arial" w:cs="Arial"/>
          <w:spacing w:val="-35"/>
          <w:position w:val="-1"/>
          <w:sz w:val="19"/>
          <w:szCs w:val="19"/>
        </w:rPr>
        <w:t xml:space="preserve"> </w:t>
      </w:r>
      <w:r>
        <w:rPr>
          <w:rFonts w:ascii="Arial" w:hAnsi="Arial" w:eastAsia="Arial" w:cs="Arial"/>
          <w:spacing w:val="20"/>
          <w:sz w:val="19"/>
          <w:szCs w:val="19"/>
        </w:rPr>
        <w:t>stemlinkingof</w:t>
      </w:r>
      <w:r>
        <w:rPr>
          <w:rFonts w:ascii="Arial" w:hAnsi="Arial" w:eastAsia="Arial" w:cs="Arial"/>
          <w:spacing w:val="19"/>
          <w:sz w:val="19"/>
          <w:szCs w:val="19"/>
        </w:rPr>
        <w:t>insideandoutsideandahighereducations</w:t>
      </w:r>
      <w:r>
        <w:rPr>
          <w:rFonts w:ascii="Arial" w:hAnsi="Arial" w:eastAsia="Arial" w:cs="Arial"/>
          <w:spacing w:val="19"/>
          <w:position w:val="-1"/>
          <w:sz w:val="19"/>
          <w:szCs w:val="19"/>
        </w:rPr>
        <w:t>y</w:t>
      </w:r>
      <w:r>
        <w:rPr>
          <w:rFonts w:ascii="Arial" w:hAnsi="Arial" w:eastAsia="Arial" w:cs="Arial"/>
          <w:spacing w:val="-35"/>
          <w:position w:val="-1"/>
          <w:sz w:val="19"/>
          <w:szCs w:val="19"/>
        </w:rPr>
        <w:t xml:space="preserve"> </w:t>
      </w:r>
      <w:r>
        <w:rPr>
          <w:rFonts w:ascii="Arial" w:hAnsi="Arial" w:eastAsia="Arial" w:cs="Arial"/>
          <w:spacing w:val="19"/>
          <w:sz w:val="19"/>
          <w:szCs w:val="19"/>
        </w:rPr>
        <w:t>stemforhigh-</w:t>
      </w:r>
      <w:r>
        <w:rPr>
          <w:rFonts w:ascii="Arial" w:hAnsi="Arial" w:eastAsia="Arial" w:cs="Arial"/>
          <w:sz w:val="19"/>
          <w:szCs w:val="19"/>
        </w:rPr>
        <w:t xml:space="preserve"> </w:t>
      </w:r>
      <w:r>
        <w:rPr>
          <w:rFonts w:ascii="Arial" w:hAnsi="Arial" w:eastAsia="Arial" w:cs="Arial"/>
          <w:spacing w:val="3"/>
          <w:position w:val="-1"/>
          <w:sz w:val="19"/>
          <w:szCs w:val="19"/>
        </w:rPr>
        <w:t>q</w:t>
      </w:r>
      <w:r>
        <w:rPr>
          <w:rFonts w:ascii="Arial" w:hAnsi="Arial" w:eastAsia="Arial" w:cs="Arial"/>
          <w:spacing w:val="-34"/>
          <w:position w:val="-1"/>
          <w:sz w:val="19"/>
          <w:szCs w:val="19"/>
        </w:rPr>
        <w:t xml:space="preserve"> </w:t>
      </w:r>
      <w:r>
        <w:rPr>
          <w:rFonts w:ascii="Arial" w:hAnsi="Arial" w:eastAsia="Arial" w:cs="Arial"/>
          <w:spacing w:val="3"/>
          <w:sz w:val="19"/>
          <w:szCs w:val="19"/>
        </w:rPr>
        <w:t>ualit</w:t>
      </w:r>
      <w:r>
        <w:rPr>
          <w:rFonts w:ascii="Arial" w:hAnsi="Arial" w:eastAsia="Arial" w:cs="Arial"/>
          <w:spacing w:val="3"/>
          <w:position w:val="-1"/>
          <w:sz w:val="19"/>
          <w:szCs w:val="19"/>
        </w:rPr>
        <w:t>y</w:t>
      </w:r>
      <w:r>
        <w:rPr>
          <w:rFonts w:ascii="Arial" w:hAnsi="Arial" w:eastAsia="Arial" w:cs="Arial"/>
          <w:spacing w:val="34"/>
          <w:position w:val="-1"/>
          <w:sz w:val="19"/>
          <w:szCs w:val="19"/>
        </w:rPr>
        <w:t xml:space="preserve"> </w:t>
      </w:r>
      <w:r>
        <w:rPr>
          <w:rFonts w:ascii="Arial" w:hAnsi="Arial" w:eastAsia="Arial" w:cs="Arial"/>
          <w:spacing w:val="3"/>
          <w:sz w:val="19"/>
          <w:szCs w:val="19"/>
        </w:rPr>
        <w:t>development.</w:t>
      </w:r>
    </w:p>
    <w:p>
      <w:pPr>
        <w:spacing w:before="111" w:line="168" w:lineRule="auto"/>
        <w:ind w:left="1782"/>
        <w:rPr>
          <w:rFonts w:ascii="Arial" w:hAnsi="Arial" w:eastAsia="Arial" w:cs="Arial"/>
          <w:sz w:val="19"/>
          <w:szCs w:val="19"/>
        </w:rPr>
      </w:pPr>
      <w:r>
        <w:rPr>
          <w:rFonts w:ascii="Arial" w:hAnsi="Arial" w:eastAsia="Arial" w:cs="Arial"/>
          <w:spacing w:val="5"/>
          <w:sz w:val="19"/>
          <w:szCs w:val="19"/>
        </w:rPr>
        <w:t>Keywords</w:t>
      </w:r>
      <w:r>
        <w:rPr>
          <w:rFonts w:ascii="微软雅黑" w:hAnsi="微软雅黑" w:eastAsia="微软雅黑" w:cs="微软雅黑"/>
          <w:spacing w:val="5"/>
          <w:sz w:val="19"/>
          <w:szCs w:val="19"/>
        </w:rPr>
        <w:t xml:space="preserve">:  </w:t>
      </w:r>
      <w:r>
        <w:rPr>
          <w:rFonts w:ascii="Arial" w:hAnsi="Arial" w:eastAsia="Arial" w:cs="Arial"/>
          <w:spacing w:val="5"/>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5"/>
          <w:sz w:val="19"/>
          <w:szCs w:val="19"/>
        </w:rPr>
        <w:t>ualit</w:t>
      </w:r>
      <w:r>
        <w:rPr>
          <w:rFonts w:ascii="Arial" w:hAnsi="Arial" w:eastAsia="Arial" w:cs="Arial"/>
          <w:spacing w:val="-36"/>
          <w:sz w:val="19"/>
          <w:szCs w:val="19"/>
        </w:rPr>
        <w:t xml:space="preserve"> </w:t>
      </w:r>
      <w:r>
        <w:rPr>
          <w:rFonts w:ascii="Arial" w:hAnsi="Arial" w:eastAsia="Arial" w:cs="Arial"/>
          <w:spacing w:val="5"/>
          <w:position w:val="-1"/>
          <w:sz w:val="19"/>
          <w:szCs w:val="19"/>
        </w:rPr>
        <w:t>y</w:t>
      </w:r>
      <w:r>
        <w:rPr>
          <w:rFonts w:ascii="Arial" w:hAnsi="Arial" w:eastAsia="Arial" w:cs="Arial"/>
          <w:spacing w:val="34"/>
          <w:w w:val="101"/>
          <w:position w:val="-1"/>
          <w:sz w:val="19"/>
          <w:szCs w:val="19"/>
        </w:rPr>
        <w:t xml:space="preserve"> </w:t>
      </w:r>
      <w:r>
        <w:rPr>
          <w:rFonts w:ascii="Arial" w:hAnsi="Arial" w:eastAsia="Arial" w:cs="Arial"/>
          <w:spacing w:val="5"/>
          <w:sz w:val="19"/>
          <w:szCs w:val="19"/>
        </w:rPr>
        <w:t>cult</w:t>
      </w:r>
      <w:r>
        <w:rPr>
          <w:rFonts w:ascii="Arial" w:hAnsi="Arial" w:eastAsia="Arial" w:cs="Arial"/>
          <w:spacing w:val="4"/>
          <w:sz w:val="19"/>
          <w:szCs w:val="19"/>
        </w:rPr>
        <w:t>ure</w:t>
      </w:r>
      <w:r>
        <w:rPr>
          <w:rFonts w:ascii="Arial" w:hAnsi="Arial" w:eastAsia="Arial" w:cs="Arial"/>
          <w:spacing w:val="-8"/>
          <w:sz w:val="19"/>
          <w:szCs w:val="19"/>
        </w:rPr>
        <w:t xml:space="preserve"> </w:t>
      </w:r>
      <w:r>
        <w:rPr>
          <w:rFonts w:ascii="微软雅黑" w:hAnsi="微软雅黑" w:eastAsia="微软雅黑" w:cs="微软雅黑"/>
          <w:spacing w:val="4"/>
          <w:position w:val="2"/>
          <w:sz w:val="19"/>
          <w:szCs w:val="19"/>
        </w:rPr>
        <w:t xml:space="preserve">;  </w:t>
      </w:r>
      <w:r>
        <w:rPr>
          <w:rFonts w:ascii="Arial" w:hAnsi="Arial" w:eastAsia="Arial" w:cs="Arial"/>
          <w:spacing w:val="4"/>
          <w:sz w:val="19"/>
          <w:szCs w:val="19"/>
        </w:rPr>
        <w:t>highereducation</w:t>
      </w:r>
      <w:r>
        <w:rPr>
          <w:rFonts w:ascii="Arial" w:hAnsi="Arial" w:eastAsia="Arial" w:cs="Arial"/>
          <w:spacing w:val="-8"/>
          <w:sz w:val="19"/>
          <w:szCs w:val="19"/>
        </w:rPr>
        <w:t xml:space="preserve"> </w:t>
      </w:r>
      <w:r>
        <w:rPr>
          <w:rFonts w:ascii="微软雅黑" w:hAnsi="微软雅黑" w:eastAsia="微软雅黑" w:cs="微软雅黑"/>
          <w:spacing w:val="4"/>
          <w:position w:val="2"/>
          <w:sz w:val="19"/>
          <w:szCs w:val="19"/>
        </w:rPr>
        <w:t xml:space="preserve">;  </w:t>
      </w:r>
      <w:r>
        <w:rPr>
          <w:rFonts w:ascii="Arial" w:hAnsi="Arial" w:eastAsia="Arial" w:cs="Arial"/>
          <w:spacing w:val="4"/>
          <w:sz w:val="19"/>
          <w:szCs w:val="19"/>
        </w:rPr>
        <w:t>evaluation</w:t>
      </w:r>
      <w:r>
        <w:rPr>
          <w:rFonts w:ascii="Arial" w:hAnsi="Arial" w:eastAsia="Arial" w:cs="Arial"/>
          <w:spacing w:val="-9"/>
          <w:sz w:val="19"/>
          <w:szCs w:val="19"/>
        </w:rPr>
        <w:t xml:space="preserve"> </w:t>
      </w:r>
      <w:r>
        <w:rPr>
          <w:rFonts w:ascii="微软雅黑" w:hAnsi="微软雅黑" w:eastAsia="微软雅黑" w:cs="微软雅黑"/>
          <w:spacing w:val="4"/>
          <w:position w:val="2"/>
          <w:sz w:val="19"/>
          <w:szCs w:val="19"/>
        </w:rPr>
        <w:t xml:space="preserve">;  </w:t>
      </w:r>
      <w:r>
        <w:rPr>
          <w:rFonts w:ascii="Arial" w:hAnsi="Arial" w:eastAsia="Arial" w:cs="Arial"/>
          <w:spacing w:val="4"/>
          <w:sz w:val="19"/>
          <w:szCs w:val="19"/>
        </w:rPr>
        <w:t>accreditation</w:t>
      </w:r>
    </w:p>
    <w:p>
      <w:pPr>
        <w:spacing w:line="477" w:lineRule="auto"/>
        <w:rPr>
          <w:rFonts w:ascii="Arial"/>
          <w:sz w:val="21"/>
        </w:rPr>
      </w:pPr>
    </w:p>
    <w:p>
      <w:pPr>
        <w:spacing w:before="69" w:line="171" w:lineRule="auto"/>
        <w:ind w:left="1095"/>
        <w:rPr>
          <w:rFonts w:ascii="Arial" w:hAnsi="Arial" w:eastAsia="Arial" w:cs="Arial"/>
          <w:sz w:val="16"/>
          <w:szCs w:val="16"/>
        </w:rPr>
      </w:pPr>
      <w:r>
        <w:rPr>
          <w:rFonts w:ascii="黑体" w:hAnsi="黑体" w:eastAsia="黑体" w:cs="黑体"/>
          <w:spacing w:val="-3"/>
          <w:sz w:val="16"/>
          <w:szCs w:val="16"/>
        </w:rPr>
        <w:t>收稿</w:t>
      </w:r>
      <w:r>
        <w:rPr>
          <w:rFonts w:ascii="黑体" w:hAnsi="黑体" w:eastAsia="黑体" w:cs="黑体"/>
          <w:spacing w:val="-30"/>
          <w:sz w:val="16"/>
          <w:szCs w:val="16"/>
        </w:rPr>
        <w:t xml:space="preserve"> </w:t>
      </w:r>
      <w:r>
        <w:rPr>
          <w:rFonts w:ascii="黑体" w:hAnsi="黑体" w:eastAsia="黑体" w:cs="黑体"/>
          <w:spacing w:val="-3"/>
          <w:sz w:val="16"/>
          <w:szCs w:val="16"/>
        </w:rPr>
        <w:t>日期</w:t>
      </w:r>
      <w:r>
        <w:rPr>
          <w:rFonts w:ascii="微软雅黑" w:hAnsi="微软雅黑" w:eastAsia="微软雅黑" w:cs="微软雅黑"/>
          <w:spacing w:val="-3"/>
          <w:sz w:val="16"/>
          <w:szCs w:val="16"/>
        </w:rPr>
        <w:t>：</w:t>
      </w:r>
      <w:r>
        <w:rPr>
          <w:rFonts w:ascii="Arial" w:hAnsi="Arial" w:eastAsia="Arial" w:cs="Arial"/>
          <w:spacing w:val="-3"/>
          <w:sz w:val="16"/>
          <w:szCs w:val="16"/>
        </w:rPr>
        <w:t>2021-01-09</w:t>
      </w:r>
    </w:p>
    <w:p>
      <w:pPr>
        <w:spacing w:before="1" w:line="175" w:lineRule="auto"/>
        <w:ind w:left="1097"/>
        <w:rPr>
          <w:rFonts w:ascii="微软雅黑" w:hAnsi="微软雅黑" w:eastAsia="微软雅黑" w:cs="微软雅黑"/>
          <w:sz w:val="16"/>
          <w:szCs w:val="16"/>
        </w:rPr>
      </w:pPr>
      <w:r>
        <w:rPr>
          <w:rFonts w:ascii="黑体" w:hAnsi="黑体" w:eastAsia="黑体" w:cs="黑体"/>
          <w:spacing w:val="12"/>
          <w:sz w:val="16"/>
          <w:szCs w:val="16"/>
        </w:rPr>
        <w:t>基金项</w:t>
      </w:r>
      <w:r>
        <w:rPr>
          <w:rFonts w:ascii="黑体" w:hAnsi="黑体" w:eastAsia="黑体" w:cs="黑体"/>
          <w:spacing w:val="-37"/>
          <w:sz w:val="16"/>
          <w:szCs w:val="16"/>
        </w:rPr>
        <w:t xml:space="preserve"> </w:t>
      </w:r>
      <w:r>
        <w:rPr>
          <w:rFonts w:ascii="黑体" w:hAnsi="黑体" w:eastAsia="黑体" w:cs="黑体"/>
          <w:spacing w:val="12"/>
          <w:sz w:val="16"/>
          <w:szCs w:val="16"/>
        </w:rPr>
        <w:t>目</w:t>
      </w:r>
      <w:r>
        <w:rPr>
          <w:rFonts w:ascii="微软雅黑" w:hAnsi="微软雅黑" w:eastAsia="微软雅黑" w:cs="微软雅黑"/>
          <w:spacing w:val="12"/>
          <w:sz w:val="16"/>
          <w:szCs w:val="16"/>
        </w:rPr>
        <w:t>：</w:t>
      </w:r>
      <w:r>
        <w:rPr>
          <w:rFonts w:ascii="宋体" w:hAnsi="宋体" w:eastAsia="宋体" w:cs="宋体"/>
          <w:spacing w:val="12"/>
          <w:sz w:val="16"/>
          <w:szCs w:val="16"/>
        </w:rPr>
        <w:t>教育部人文社会科学重点研究基地重</w:t>
      </w:r>
      <w:r>
        <w:rPr>
          <w:rFonts w:ascii="宋体" w:hAnsi="宋体" w:eastAsia="宋体" w:cs="宋体"/>
          <w:spacing w:val="11"/>
          <w:sz w:val="16"/>
          <w:szCs w:val="16"/>
        </w:rPr>
        <w:t>大课题</w:t>
      </w:r>
      <w:r>
        <w:rPr>
          <w:rFonts w:ascii="微软雅黑" w:hAnsi="微软雅黑" w:eastAsia="微软雅黑" w:cs="微软雅黑"/>
          <w:spacing w:val="11"/>
          <w:sz w:val="16"/>
          <w:szCs w:val="16"/>
        </w:rPr>
        <w:t>(</w:t>
      </w:r>
      <w:r>
        <w:rPr>
          <w:rFonts w:ascii="Arial" w:hAnsi="Arial" w:eastAsia="Arial" w:cs="Arial"/>
          <w:spacing w:val="11"/>
          <w:sz w:val="16"/>
          <w:szCs w:val="16"/>
        </w:rPr>
        <w:t>17</w:t>
      </w:r>
      <w:r>
        <w:rPr>
          <w:rFonts w:ascii="Arial" w:hAnsi="Arial" w:eastAsia="Arial" w:cs="Arial"/>
          <w:sz w:val="16"/>
          <w:szCs w:val="16"/>
        </w:rPr>
        <w:t>JJD</w:t>
      </w:r>
      <w:r>
        <w:rPr>
          <w:rFonts w:ascii="Arial" w:hAnsi="Arial" w:eastAsia="Arial" w:cs="Arial"/>
          <w:spacing w:val="11"/>
          <w:sz w:val="16"/>
          <w:szCs w:val="16"/>
        </w:rPr>
        <w:t>88009</w:t>
      </w:r>
      <w:r>
        <w:rPr>
          <w:rFonts w:ascii="微软雅黑" w:hAnsi="微软雅黑" w:eastAsia="微软雅黑" w:cs="微软雅黑"/>
          <w:spacing w:val="11"/>
          <w:sz w:val="16"/>
          <w:szCs w:val="16"/>
        </w:rPr>
        <w:t>)</w:t>
      </w:r>
    </w:p>
    <w:p>
      <w:pPr>
        <w:spacing w:before="2" w:line="176" w:lineRule="auto"/>
        <w:ind w:left="1095" w:right="1"/>
        <w:rPr>
          <w:rFonts w:ascii="微软雅黑" w:hAnsi="微软雅黑" w:eastAsia="微软雅黑" w:cs="微软雅黑"/>
          <w:sz w:val="16"/>
          <w:szCs w:val="16"/>
        </w:rPr>
      </w:pPr>
      <w:r>
        <w:rPr>
          <w:rFonts w:ascii="黑体" w:hAnsi="黑体" w:eastAsia="黑体" w:cs="黑体"/>
          <w:spacing w:val="11"/>
          <w:sz w:val="16"/>
          <w:szCs w:val="16"/>
        </w:rPr>
        <w:t>作者简介</w:t>
      </w:r>
      <w:r>
        <w:rPr>
          <w:rFonts w:ascii="微软雅黑" w:hAnsi="微软雅黑" w:eastAsia="微软雅黑" w:cs="微软雅黑"/>
          <w:spacing w:val="11"/>
          <w:sz w:val="16"/>
          <w:szCs w:val="16"/>
        </w:rPr>
        <w:t>：</w:t>
      </w:r>
      <w:r>
        <w:rPr>
          <w:rFonts w:ascii="宋体" w:hAnsi="宋体" w:eastAsia="宋体" w:cs="宋体"/>
          <w:spacing w:val="11"/>
          <w:sz w:val="16"/>
          <w:szCs w:val="16"/>
        </w:rPr>
        <w:t>别敦荣</w:t>
      </w:r>
      <w:r>
        <w:rPr>
          <w:rFonts w:ascii="微软雅黑" w:hAnsi="微软雅黑" w:eastAsia="微软雅黑" w:cs="微软雅黑"/>
          <w:spacing w:val="11"/>
          <w:sz w:val="16"/>
          <w:szCs w:val="16"/>
        </w:rPr>
        <w:t>(</w:t>
      </w:r>
      <w:r>
        <w:rPr>
          <w:rFonts w:ascii="Arial" w:hAnsi="Arial" w:eastAsia="Arial" w:cs="Arial"/>
          <w:spacing w:val="11"/>
          <w:sz w:val="16"/>
          <w:szCs w:val="16"/>
        </w:rPr>
        <w:t>1963-</w:t>
      </w:r>
      <w:r>
        <w:rPr>
          <w:rFonts w:ascii="微软雅黑" w:hAnsi="微软雅黑" w:eastAsia="微软雅黑" w:cs="微软雅黑"/>
          <w:spacing w:val="11"/>
          <w:sz w:val="16"/>
          <w:szCs w:val="16"/>
        </w:rPr>
        <w:t>) ,</w:t>
      </w:r>
      <w:r>
        <w:rPr>
          <w:rFonts w:ascii="宋体" w:hAnsi="宋体" w:eastAsia="宋体" w:cs="宋体"/>
          <w:spacing w:val="11"/>
          <w:sz w:val="16"/>
          <w:szCs w:val="16"/>
        </w:rPr>
        <w:t>男</w:t>
      </w:r>
      <w:r>
        <w:rPr>
          <w:rFonts w:ascii="微软雅黑" w:hAnsi="微软雅黑" w:eastAsia="微软雅黑" w:cs="微软雅黑"/>
          <w:spacing w:val="11"/>
          <w:sz w:val="16"/>
          <w:szCs w:val="16"/>
        </w:rPr>
        <w:t>，</w:t>
      </w:r>
      <w:r>
        <w:rPr>
          <w:rFonts w:ascii="宋体" w:hAnsi="宋体" w:eastAsia="宋体" w:cs="宋体"/>
          <w:spacing w:val="11"/>
          <w:sz w:val="16"/>
          <w:szCs w:val="16"/>
        </w:rPr>
        <w:t>湖北洪湖人</w:t>
      </w:r>
      <w:r>
        <w:rPr>
          <w:rFonts w:ascii="微软雅黑" w:hAnsi="微软雅黑" w:eastAsia="微软雅黑" w:cs="微软雅黑"/>
          <w:spacing w:val="11"/>
          <w:sz w:val="16"/>
          <w:szCs w:val="16"/>
        </w:rPr>
        <w:t>，</w:t>
      </w:r>
      <w:r>
        <w:rPr>
          <w:rFonts w:ascii="宋体" w:hAnsi="宋体" w:eastAsia="宋体" w:cs="宋体"/>
          <w:spacing w:val="11"/>
          <w:sz w:val="16"/>
          <w:szCs w:val="16"/>
        </w:rPr>
        <w:t>厦门大学教育研究院院长</w:t>
      </w:r>
      <w:r>
        <w:rPr>
          <w:rFonts w:ascii="微软雅黑" w:hAnsi="微软雅黑" w:eastAsia="微软雅黑" w:cs="微软雅黑"/>
          <w:spacing w:val="11"/>
          <w:sz w:val="16"/>
          <w:szCs w:val="16"/>
        </w:rPr>
        <w:t>，</w:t>
      </w:r>
      <w:r>
        <w:rPr>
          <w:rFonts w:ascii="宋体" w:hAnsi="宋体" w:eastAsia="宋体" w:cs="宋体"/>
          <w:spacing w:val="11"/>
          <w:sz w:val="16"/>
          <w:szCs w:val="16"/>
        </w:rPr>
        <w:t>高等教育发展研究中心教授</w:t>
      </w:r>
      <w:r>
        <w:rPr>
          <w:rFonts w:ascii="微软雅黑" w:hAnsi="微软雅黑" w:eastAsia="微软雅黑" w:cs="微软雅黑"/>
          <w:spacing w:val="11"/>
          <w:sz w:val="16"/>
          <w:szCs w:val="16"/>
        </w:rPr>
        <w:t>，</w:t>
      </w:r>
      <w:r>
        <w:rPr>
          <w:rFonts w:ascii="宋体" w:hAnsi="宋体" w:eastAsia="宋体" w:cs="宋体"/>
          <w:spacing w:val="11"/>
          <w:sz w:val="16"/>
          <w:szCs w:val="16"/>
        </w:rPr>
        <w:t>博士生导师</w:t>
      </w:r>
      <w:r>
        <w:rPr>
          <w:rFonts w:ascii="微软雅黑" w:hAnsi="微软雅黑" w:eastAsia="微软雅黑" w:cs="微软雅黑"/>
          <w:spacing w:val="11"/>
          <w:sz w:val="16"/>
          <w:szCs w:val="16"/>
        </w:rPr>
        <w:t>，</w:t>
      </w:r>
      <w:r>
        <w:rPr>
          <w:rFonts w:ascii="宋体" w:hAnsi="宋体" w:eastAsia="宋体" w:cs="宋体"/>
          <w:spacing w:val="11"/>
          <w:sz w:val="16"/>
          <w:szCs w:val="16"/>
        </w:rPr>
        <w:t>从事高</w:t>
      </w:r>
      <w:r>
        <w:rPr>
          <w:rFonts w:ascii="宋体" w:hAnsi="宋体" w:eastAsia="宋体" w:cs="宋体"/>
          <w:spacing w:val="9"/>
          <w:sz w:val="16"/>
          <w:szCs w:val="16"/>
        </w:rPr>
        <w:t xml:space="preserve"> </w:t>
      </w:r>
      <w:r>
        <w:rPr>
          <w:rFonts w:ascii="宋体" w:hAnsi="宋体" w:eastAsia="宋体" w:cs="宋体"/>
          <w:spacing w:val="11"/>
          <w:sz w:val="16"/>
          <w:szCs w:val="16"/>
        </w:rPr>
        <w:t>等教育原理</w:t>
      </w:r>
      <w:r>
        <w:rPr>
          <w:rFonts w:ascii="微软雅黑" w:hAnsi="微软雅黑" w:eastAsia="微软雅黑" w:cs="微软雅黑"/>
          <w:spacing w:val="11"/>
          <w:sz w:val="16"/>
          <w:szCs w:val="16"/>
        </w:rPr>
        <w:t>、</w:t>
      </w:r>
      <w:r>
        <w:rPr>
          <w:rFonts w:ascii="宋体" w:hAnsi="宋体" w:eastAsia="宋体" w:cs="宋体"/>
          <w:spacing w:val="11"/>
          <w:sz w:val="16"/>
          <w:szCs w:val="16"/>
        </w:rPr>
        <w:t>高等教育管理</w:t>
      </w:r>
      <w:r>
        <w:rPr>
          <w:rFonts w:ascii="微软雅黑" w:hAnsi="微软雅黑" w:eastAsia="微软雅黑" w:cs="微软雅黑"/>
          <w:spacing w:val="11"/>
          <w:sz w:val="16"/>
          <w:szCs w:val="16"/>
        </w:rPr>
        <w:t>、</w:t>
      </w:r>
      <w:r>
        <w:rPr>
          <w:rFonts w:ascii="宋体" w:hAnsi="宋体" w:eastAsia="宋体" w:cs="宋体"/>
          <w:spacing w:val="11"/>
          <w:sz w:val="16"/>
          <w:szCs w:val="16"/>
        </w:rPr>
        <w:t>大学战略与规划</w:t>
      </w:r>
      <w:r>
        <w:rPr>
          <w:rFonts w:ascii="微软雅黑" w:hAnsi="微软雅黑" w:eastAsia="微软雅黑" w:cs="微软雅黑"/>
          <w:spacing w:val="11"/>
          <w:sz w:val="16"/>
          <w:szCs w:val="16"/>
        </w:rPr>
        <w:t>、</w:t>
      </w:r>
      <w:r>
        <w:rPr>
          <w:rFonts w:ascii="宋体" w:hAnsi="宋体" w:eastAsia="宋体" w:cs="宋体"/>
          <w:spacing w:val="11"/>
          <w:sz w:val="16"/>
          <w:szCs w:val="16"/>
        </w:rPr>
        <w:t>高校教学与评估研究</w:t>
      </w:r>
      <w:r>
        <w:rPr>
          <w:rFonts w:ascii="微软雅黑" w:hAnsi="微软雅黑" w:eastAsia="微软雅黑" w:cs="微软雅黑"/>
          <w:spacing w:val="11"/>
          <w:sz w:val="16"/>
          <w:szCs w:val="16"/>
        </w:rPr>
        <w:t>；</w:t>
      </w:r>
      <w:r>
        <w:rPr>
          <w:rFonts w:ascii="宋体" w:hAnsi="宋体" w:eastAsia="宋体" w:cs="宋体"/>
          <w:spacing w:val="11"/>
          <w:sz w:val="16"/>
          <w:szCs w:val="16"/>
        </w:rPr>
        <w:t>易梦春</w:t>
      </w:r>
      <w:r>
        <w:rPr>
          <w:rFonts w:ascii="微软雅黑" w:hAnsi="微软雅黑" w:eastAsia="微软雅黑" w:cs="微软雅黑"/>
          <w:spacing w:val="11"/>
          <w:sz w:val="16"/>
          <w:szCs w:val="16"/>
        </w:rPr>
        <w:t>(</w:t>
      </w:r>
      <w:r>
        <w:rPr>
          <w:rFonts w:ascii="Arial" w:hAnsi="Arial" w:eastAsia="Arial" w:cs="Arial"/>
          <w:spacing w:val="11"/>
          <w:sz w:val="16"/>
          <w:szCs w:val="16"/>
        </w:rPr>
        <w:t>1990-</w:t>
      </w:r>
      <w:r>
        <w:rPr>
          <w:rFonts w:ascii="微软雅黑" w:hAnsi="微软雅黑" w:eastAsia="微软雅黑" w:cs="微软雅黑"/>
          <w:spacing w:val="11"/>
          <w:sz w:val="16"/>
          <w:szCs w:val="16"/>
        </w:rPr>
        <w:t>) ,</w:t>
      </w:r>
      <w:r>
        <w:rPr>
          <w:rFonts w:ascii="宋体" w:hAnsi="宋体" w:eastAsia="宋体" w:cs="宋体"/>
          <w:spacing w:val="11"/>
          <w:sz w:val="16"/>
          <w:szCs w:val="16"/>
        </w:rPr>
        <w:t>女</w:t>
      </w:r>
      <w:r>
        <w:rPr>
          <w:rFonts w:ascii="微软雅黑" w:hAnsi="微软雅黑" w:eastAsia="微软雅黑" w:cs="微软雅黑"/>
          <w:spacing w:val="11"/>
          <w:sz w:val="16"/>
          <w:szCs w:val="16"/>
        </w:rPr>
        <w:t>，</w:t>
      </w:r>
      <w:r>
        <w:rPr>
          <w:rFonts w:ascii="宋体" w:hAnsi="宋体" w:eastAsia="宋体" w:cs="宋体"/>
          <w:spacing w:val="11"/>
          <w:sz w:val="16"/>
          <w:szCs w:val="16"/>
        </w:rPr>
        <w:t>湖北鄂州人</w:t>
      </w:r>
      <w:r>
        <w:rPr>
          <w:rFonts w:ascii="微软雅黑" w:hAnsi="微软雅黑" w:eastAsia="微软雅黑" w:cs="微软雅黑"/>
          <w:spacing w:val="11"/>
          <w:sz w:val="16"/>
          <w:szCs w:val="16"/>
        </w:rPr>
        <w:t>，</w:t>
      </w:r>
      <w:r>
        <w:rPr>
          <w:rFonts w:ascii="宋体" w:hAnsi="宋体" w:eastAsia="宋体" w:cs="宋体"/>
          <w:spacing w:val="11"/>
          <w:sz w:val="16"/>
          <w:szCs w:val="16"/>
        </w:rPr>
        <w:t>厦门市社会科学院</w:t>
      </w:r>
      <w:r>
        <w:rPr>
          <w:rFonts w:ascii="宋体" w:hAnsi="宋体" w:eastAsia="宋体" w:cs="宋体"/>
          <w:spacing w:val="9"/>
          <w:sz w:val="16"/>
          <w:szCs w:val="16"/>
        </w:rPr>
        <w:t xml:space="preserve"> </w:t>
      </w:r>
      <w:r>
        <w:rPr>
          <w:rFonts w:ascii="宋体" w:hAnsi="宋体" w:eastAsia="宋体" w:cs="宋体"/>
          <w:spacing w:val="11"/>
          <w:sz w:val="16"/>
          <w:szCs w:val="16"/>
        </w:rPr>
        <w:t>助理研究员</w:t>
      </w:r>
      <w:r>
        <w:rPr>
          <w:rFonts w:ascii="微软雅黑" w:hAnsi="微软雅黑" w:eastAsia="微软雅黑" w:cs="微软雅黑"/>
          <w:spacing w:val="11"/>
          <w:sz w:val="16"/>
          <w:szCs w:val="16"/>
        </w:rPr>
        <w:t>，</w:t>
      </w:r>
      <w:r>
        <w:rPr>
          <w:rFonts w:ascii="宋体" w:hAnsi="宋体" w:eastAsia="宋体" w:cs="宋体"/>
          <w:spacing w:val="11"/>
          <w:sz w:val="16"/>
          <w:szCs w:val="16"/>
        </w:rPr>
        <w:t>教育学博士</w:t>
      </w:r>
      <w:r>
        <w:rPr>
          <w:rFonts w:ascii="微软雅黑" w:hAnsi="微软雅黑" w:eastAsia="微软雅黑" w:cs="微软雅黑"/>
          <w:spacing w:val="11"/>
          <w:sz w:val="16"/>
          <w:szCs w:val="16"/>
        </w:rPr>
        <w:t>，</w:t>
      </w:r>
      <w:r>
        <w:rPr>
          <w:rFonts w:ascii="宋体" w:hAnsi="宋体" w:eastAsia="宋体" w:cs="宋体"/>
          <w:spacing w:val="11"/>
          <w:sz w:val="16"/>
          <w:szCs w:val="16"/>
        </w:rPr>
        <w:t>从事高等教育管理</w:t>
      </w:r>
      <w:r>
        <w:rPr>
          <w:rFonts w:ascii="微软雅黑" w:hAnsi="微软雅黑" w:eastAsia="微软雅黑" w:cs="微软雅黑"/>
          <w:spacing w:val="11"/>
          <w:sz w:val="16"/>
          <w:szCs w:val="16"/>
        </w:rPr>
        <w:t>、</w:t>
      </w:r>
      <w:r>
        <w:rPr>
          <w:rFonts w:ascii="宋体" w:hAnsi="宋体" w:eastAsia="宋体" w:cs="宋体"/>
          <w:spacing w:val="11"/>
          <w:sz w:val="16"/>
          <w:szCs w:val="16"/>
        </w:rPr>
        <w:t>高等教育质量保障研究</w:t>
      </w:r>
      <w:r>
        <w:rPr>
          <w:rFonts w:ascii="微软雅黑" w:hAnsi="微软雅黑" w:eastAsia="微软雅黑" w:cs="微软雅黑"/>
          <w:spacing w:val="11"/>
          <w:sz w:val="16"/>
          <w:szCs w:val="16"/>
        </w:rPr>
        <w:t>。</w:t>
      </w:r>
    </w:p>
    <w:p>
      <w:pPr>
        <w:spacing w:before="104" w:line="172" w:lineRule="auto"/>
        <w:ind w:left="9704"/>
        <w:rPr>
          <w:rFonts w:ascii="微软雅黑" w:hAnsi="微软雅黑" w:eastAsia="微软雅黑" w:cs="微软雅黑"/>
          <w:sz w:val="19"/>
          <w:szCs w:val="19"/>
        </w:rPr>
      </w:pPr>
      <w:r>
        <w:rPr>
          <w:rFonts w:ascii="微软雅黑" w:hAnsi="微软雅黑" w:eastAsia="微软雅黑" w:cs="微软雅黑"/>
          <w:spacing w:val="-13"/>
          <w:sz w:val="19"/>
          <w:szCs w:val="19"/>
        </w:rPr>
        <w:t>·</w:t>
      </w:r>
      <w:r>
        <w:rPr>
          <w:rFonts w:ascii="微软雅黑" w:hAnsi="微软雅黑" w:eastAsia="微软雅黑" w:cs="微软雅黑"/>
          <w:spacing w:val="21"/>
          <w:sz w:val="19"/>
          <w:szCs w:val="19"/>
        </w:rPr>
        <w:t xml:space="preserve">  </w:t>
      </w:r>
      <w:r>
        <w:rPr>
          <w:rFonts w:ascii="Arial" w:hAnsi="Arial" w:eastAsia="Arial" w:cs="Arial"/>
          <w:spacing w:val="-13"/>
          <w:position w:val="-2"/>
          <w:sz w:val="19"/>
          <w:szCs w:val="19"/>
        </w:rPr>
        <w:t>7</w:t>
      </w:r>
      <w:r>
        <w:rPr>
          <w:rFonts w:ascii="Arial" w:hAnsi="Arial" w:eastAsia="Arial" w:cs="Arial"/>
          <w:spacing w:val="22"/>
          <w:w w:val="101"/>
          <w:position w:val="-2"/>
          <w:sz w:val="19"/>
          <w:szCs w:val="19"/>
        </w:rPr>
        <w:t xml:space="preserve">  </w:t>
      </w:r>
      <w:r>
        <w:rPr>
          <w:rFonts w:ascii="微软雅黑" w:hAnsi="微软雅黑" w:eastAsia="微软雅黑" w:cs="微软雅黑"/>
          <w:spacing w:val="-13"/>
          <w:sz w:val="19"/>
          <w:szCs w:val="19"/>
        </w:rPr>
        <w:t>·</w:t>
      </w:r>
    </w:p>
    <w:p>
      <w:pPr>
        <w:spacing w:line="172" w:lineRule="auto"/>
        <w:rPr>
          <w:rFonts w:ascii="微软雅黑" w:hAnsi="微软雅黑" w:eastAsia="微软雅黑" w:cs="微软雅黑"/>
          <w:sz w:val="19"/>
          <w:szCs w:val="19"/>
        </w:rPr>
        <w:sectPr>
          <w:headerReference r:id="rId20" w:type="default"/>
          <w:footerReference r:id="rId21" w:type="default"/>
          <w:pgSz w:w="11905" w:h="16836"/>
          <w:pgMar w:top="400" w:right="1137" w:bottom="547" w:left="407" w:header="0" w:footer="354" w:gutter="0"/>
          <w:cols w:space="720" w:num="1"/>
        </w:sectPr>
      </w:pPr>
    </w:p>
    <w:p>
      <w:pPr>
        <w:spacing w:line="426" w:lineRule="auto"/>
        <w:rPr>
          <w:rFonts w:ascii="Arial"/>
          <w:sz w:val="21"/>
        </w:rPr>
      </w:pPr>
    </w:p>
    <w:p>
      <w:pPr>
        <w:spacing w:before="52" w:line="220" w:lineRule="auto"/>
        <w:ind w:left="4292"/>
        <w:rPr>
          <w:rFonts w:ascii="宋体" w:hAnsi="宋体" w:eastAsia="宋体" w:cs="宋体"/>
          <w:sz w:val="16"/>
          <w:szCs w:val="16"/>
        </w:rPr>
      </w:pPr>
      <w:r>
        <w:rPr>
          <w:rFonts w:ascii="宋体" w:hAnsi="宋体" w:eastAsia="宋体" w:cs="宋体"/>
          <w:spacing w:val="18"/>
          <w:sz w:val="16"/>
          <w:szCs w:val="16"/>
        </w:rPr>
        <w:t>高等教育质量文化及其建设策略</w:t>
      </w:r>
    </w:p>
    <w:p>
      <w:pPr>
        <w:spacing w:before="23" w:line="159" w:lineRule="exact"/>
        <w:ind w:left="721"/>
      </w:pPr>
      <w:r>
        <w:rPr>
          <w:position w:val="-3"/>
        </w:rPr>
        <w:drawing>
          <wp:inline distT="0" distB="0" distL="0" distR="0">
            <wp:extent cx="6118860" cy="1009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6"/>
                    <a:stretch>
                      <a:fillRect/>
                    </a:stretch>
                  </pic:blipFill>
                  <pic:spPr>
                    <a:xfrm>
                      <a:off x="0" y="0"/>
                      <a:ext cx="6119371" cy="101421"/>
                    </a:xfrm>
                    <a:prstGeom prst="rect">
                      <a:avLst/>
                    </a:prstGeom>
                  </pic:spPr>
                </pic:pic>
              </a:graphicData>
            </a:graphic>
          </wp:inline>
        </w:drawing>
      </w:r>
    </w:p>
    <w:p>
      <w:pPr>
        <w:spacing w:line="105" w:lineRule="exact"/>
      </w:pPr>
    </w:p>
    <w:p>
      <w:pPr>
        <w:spacing w:line="105" w:lineRule="exact"/>
        <w:sectPr>
          <w:footerReference r:id="rId22" w:type="default"/>
          <w:pgSz w:w="11905" w:h="16836"/>
          <w:pgMar w:top="400" w:right="1071" w:bottom="547" w:left="407" w:header="0" w:footer="354" w:gutter="0"/>
          <w:cols w:equalWidth="0" w:num="1">
            <w:col w:w="10425"/>
          </w:cols>
        </w:sectPr>
      </w:pPr>
    </w:p>
    <w:p>
      <w:pPr>
        <w:spacing w:before="39" w:line="231" w:lineRule="auto"/>
        <w:ind w:left="731" w:right="265" w:firstLine="422"/>
        <w:jc w:val="both"/>
        <w:rPr>
          <w:rFonts w:ascii="微软雅黑" w:hAnsi="微软雅黑" w:eastAsia="微软雅黑" w:cs="微软雅黑"/>
          <w:sz w:val="19"/>
          <w:szCs w:val="19"/>
        </w:rPr>
      </w:pPr>
      <w:r>
        <w:rPr>
          <w:rFonts w:ascii="宋体" w:hAnsi="宋体" w:eastAsia="宋体" w:cs="宋体"/>
          <w:spacing w:val="15"/>
          <w:sz w:val="19"/>
          <w:szCs w:val="19"/>
        </w:rPr>
        <w:t>质量文化是近年来高教界出现的一个热词</w:t>
      </w:r>
      <w:r>
        <w:rPr>
          <w:rFonts w:ascii="宋体" w:hAnsi="宋体" w:eastAsia="宋体" w:cs="宋体"/>
          <w:spacing w:val="-46"/>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质 </w:t>
      </w:r>
      <w:r>
        <w:rPr>
          <w:rFonts w:ascii="宋体" w:hAnsi="宋体" w:eastAsia="宋体" w:cs="宋体"/>
          <w:spacing w:val="17"/>
          <w:sz w:val="19"/>
          <w:szCs w:val="19"/>
        </w:rPr>
        <w:t>量文化及其建设是在高等教育发展进入大众化</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走 </w:t>
      </w:r>
      <w:r>
        <w:rPr>
          <w:rFonts w:ascii="宋体" w:hAnsi="宋体" w:eastAsia="宋体" w:cs="宋体"/>
          <w:spacing w:val="9"/>
          <w:sz w:val="19"/>
          <w:szCs w:val="19"/>
        </w:rPr>
        <w:t>向普及化的过程中</w:t>
      </w:r>
      <w:r>
        <w:rPr>
          <w:rFonts w:ascii="微软雅黑" w:hAnsi="微软雅黑" w:eastAsia="微软雅黑" w:cs="微软雅黑"/>
          <w:spacing w:val="9"/>
          <w:sz w:val="19"/>
          <w:szCs w:val="19"/>
        </w:rPr>
        <w:t>，</w:t>
      </w:r>
      <w:r>
        <w:rPr>
          <w:rFonts w:ascii="宋体" w:hAnsi="宋体" w:eastAsia="宋体" w:cs="宋体"/>
          <w:spacing w:val="9"/>
          <w:sz w:val="19"/>
          <w:szCs w:val="19"/>
        </w:rPr>
        <w:t>政府</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高校和社会共同关注的重 </w:t>
      </w:r>
      <w:r>
        <w:rPr>
          <w:rFonts w:ascii="宋体" w:hAnsi="宋体" w:eastAsia="宋体" w:cs="宋体"/>
          <w:spacing w:val="16"/>
          <w:sz w:val="19"/>
          <w:szCs w:val="19"/>
        </w:rPr>
        <w:t>要主题</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在审核评估和有关认证工作中</w:t>
      </w:r>
      <w:r>
        <w:rPr>
          <w:rFonts w:ascii="微软雅黑" w:hAnsi="微软雅黑" w:eastAsia="微软雅黑" w:cs="微软雅黑"/>
          <w:spacing w:val="16"/>
          <w:sz w:val="19"/>
          <w:szCs w:val="19"/>
        </w:rPr>
        <w:t>，</w:t>
      </w:r>
      <w:r>
        <w:rPr>
          <w:rFonts w:ascii="宋体" w:hAnsi="宋体" w:eastAsia="宋体" w:cs="宋体"/>
          <w:spacing w:val="16"/>
          <w:sz w:val="19"/>
          <w:szCs w:val="19"/>
        </w:rPr>
        <w:t>从</w:t>
      </w:r>
      <w:r>
        <w:rPr>
          <w:rFonts w:ascii="宋体" w:hAnsi="宋体" w:eastAsia="宋体" w:cs="宋体"/>
          <w:spacing w:val="15"/>
          <w:sz w:val="19"/>
          <w:szCs w:val="19"/>
        </w:rPr>
        <w:t>上到下 充满了对高等教育质量的关切</w:t>
      </w:r>
      <w:r>
        <w:rPr>
          <w:rFonts w:ascii="宋体" w:hAnsi="宋体" w:eastAsia="宋体" w:cs="宋体"/>
          <w:spacing w:val="-33"/>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尽管质量文化为高 </w:t>
      </w:r>
      <w:r>
        <w:rPr>
          <w:rFonts w:ascii="宋体" w:hAnsi="宋体" w:eastAsia="宋体" w:cs="宋体"/>
          <w:spacing w:val="17"/>
          <w:sz w:val="19"/>
          <w:szCs w:val="19"/>
        </w:rPr>
        <w:t>教界领导所重视</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高校干部教师在各种报告和文件 </w:t>
      </w:r>
      <w:r>
        <w:rPr>
          <w:rFonts w:ascii="宋体" w:hAnsi="宋体" w:eastAsia="宋体" w:cs="宋体"/>
          <w:spacing w:val="9"/>
          <w:sz w:val="19"/>
          <w:szCs w:val="19"/>
        </w:rPr>
        <w:t>中经常读到</w:t>
      </w:r>
      <w:r>
        <w:rPr>
          <w:rFonts w:ascii="微软雅黑" w:hAnsi="微软雅黑" w:eastAsia="微软雅黑" w:cs="微软雅黑"/>
          <w:spacing w:val="9"/>
          <w:sz w:val="19"/>
          <w:szCs w:val="19"/>
        </w:rPr>
        <w:t>，</w:t>
      </w:r>
      <w:r>
        <w:rPr>
          <w:rFonts w:ascii="宋体" w:hAnsi="宋体" w:eastAsia="宋体" w:cs="宋体"/>
          <w:spacing w:val="9"/>
          <w:sz w:val="19"/>
          <w:szCs w:val="19"/>
        </w:rPr>
        <w:t>也经常谈到</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但人们对高等教育质量文 </w:t>
      </w:r>
      <w:r>
        <w:rPr>
          <w:rFonts w:ascii="宋体" w:hAnsi="宋体" w:eastAsia="宋体" w:cs="宋体"/>
          <w:spacing w:val="17"/>
          <w:sz w:val="19"/>
          <w:szCs w:val="19"/>
        </w:rPr>
        <w:t>化的认识和理解却还不够清晰和深入</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在质量文化 </w:t>
      </w:r>
      <w:r>
        <w:rPr>
          <w:rFonts w:ascii="宋体" w:hAnsi="宋体" w:eastAsia="宋体" w:cs="宋体"/>
          <w:spacing w:val="7"/>
          <w:sz w:val="19"/>
          <w:szCs w:val="19"/>
        </w:rPr>
        <w:t>建设上也难说举措适当</w:t>
      </w:r>
      <w:r>
        <w:rPr>
          <w:rFonts w:ascii="微软雅黑" w:hAnsi="微软雅黑" w:eastAsia="微软雅黑" w:cs="微软雅黑"/>
          <w:spacing w:val="7"/>
          <w:sz w:val="19"/>
          <w:szCs w:val="19"/>
        </w:rPr>
        <w:t>、</w:t>
      </w:r>
      <w:r>
        <w:rPr>
          <w:rFonts w:ascii="宋体" w:hAnsi="宋体" w:eastAsia="宋体" w:cs="宋体"/>
          <w:spacing w:val="7"/>
          <w:sz w:val="19"/>
          <w:szCs w:val="19"/>
        </w:rPr>
        <w:t>应对自如</w:t>
      </w:r>
      <w:r>
        <w:rPr>
          <w:rFonts w:ascii="宋体" w:hAnsi="宋体" w:eastAsia="宋体" w:cs="宋体"/>
          <w:spacing w:val="-46"/>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实际上</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高等教 </w:t>
      </w:r>
      <w:r>
        <w:rPr>
          <w:rFonts w:ascii="宋体" w:hAnsi="宋体" w:eastAsia="宋体" w:cs="宋体"/>
          <w:spacing w:val="17"/>
          <w:sz w:val="19"/>
          <w:szCs w:val="19"/>
        </w:rPr>
        <w:t>育质量文化本身是一种十分复杂的存在</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人们看不 </w:t>
      </w:r>
      <w:r>
        <w:rPr>
          <w:rFonts w:ascii="宋体" w:hAnsi="宋体" w:eastAsia="宋体" w:cs="宋体"/>
          <w:spacing w:val="7"/>
          <w:sz w:val="19"/>
          <w:szCs w:val="19"/>
        </w:rPr>
        <w:t>见</w:t>
      </w:r>
      <w:r>
        <w:rPr>
          <w:rFonts w:ascii="微软雅黑" w:hAnsi="微软雅黑" w:eastAsia="微软雅黑" w:cs="微软雅黑"/>
          <w:spacing w:val="7"/>
          <w:sz w:val="19"/>
          <w:szCs w:val="19"/>
        </w:rPr>
        <w:t>、</w:t>
      </w:r>
      <w:r>
        <w:rPr>
          <w:rFonts w:ascii="宋体" w:hAnsi="宋体" w:eastAsia="宋体" w:cs="宋体"/>
          <w:spacing w:val="7"/>
          <w:sz w:val="19"/>
          <w:szCs w:val="19"/>
        </w:rPr>
        <w:t>摸不着</w:t>
      </w:r>
      <w:r>
        <w:rPr>
          <w:rFonts w:ascii="微软雅黑" w:hAnsi="微软雅黑" w:eastAsia="微软雅黑" w:cs="微软雅黑"/>
          <w:spacing w:val="7"/>
          <w:sz w:val="19"/>
          <w:szCs w:val="19"/>
        </w:rPr>
        <w:t>，</w:t>
      </w:r>
      <w:r>
        <w:rPr>
          <w:rFonts w:ascii="宋体" w:hAnsi="宋体" w:eastAsia="宋体" w:cs="宋体"/>
          <w:spacing w:val="7"/>
          <w:sz w:val="19"/>
          <w:szCs w:val="19"/>
        </w:rPr>
        <w:t>但它却似乎无时不在</w:t>
      </w:r>
      <w:r>
        <w:rPr>
          <w:rFonts w:ascii="微软雅黑" w:hAnsi="微软雅黑" w:eastAsia="微软雅黑" w:cs="微软雅黑"/>
          <w:spacing w:val="7"/>
          <w:sz w:val="19"/>
          <w:szCs w:val="19"/>
        </w:rPr>
        <w:t>、</w:t>
      </w:r>
      <w:r>
        <w:rPr>
          <w:rFonts w:ascii="宋体" w:hAnsi="宋体" w:eastAsia="宋体" w:cs="宋体"/>
          <w:spacing w:val="7"/>
          <w:sz w:val="19"/>
          <w:szCs w:val="19"/>
        </w:rPr>
        <w:t>无处不在</w:t>
      </w:r>
      <w:r>
        <w:rPr>
          <w:rFonts w:ascii="宋体" w:hAnsi="宋体" w:eastAsia="宋体" w:cs="宋体"/>
          <w:spacing w:val="-46"/>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这更 </w:t>
      </w:r>
      <w:r>
        <w:rPr>
          <w:rFonts w:ascii="宋体" w:hAnsi="宋体" w:eastAsia="宋体" w:cs="宋体"/>
          <w:spacing w:val="17"/>
          <w:sz w:val="19"/>
          <w:szCs w:val="19"/>
        </w:rPr>
        <w:t>增添了领会高等教育质量文化精神实质</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推进质量 </w:t>
      </w:r>
      <w:r>
        <w:rPr>
          <w:rFonts w:ascii="宋体" w:hAnsi="宋体" w:eastAsia="宋体" w:cs="宋体"/>
          <w:spacing w:val="15"/>
          <w:sz w:val="19"/>
          <w:szCs w:val="19"/>
        </w:rPr>
        <w:t>文化建设的难度</w:t>
      </w:r>
      <w:r>
        <w:rPr>
          <w:rFonts w:ascii="宋体" w:hAnsi="宋体" w:eastAsia="宋体" w:cs="宋体"/>
          <w:spacing w:val="-33"/>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新近出台的</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普通高等学校本科 </w:t>
      </w:r>
      <w:r>
        <w:rPr>
          <w:rFonts w:ascii="宋体" w:hAnsi="宋体" w:eastAsia="宋体" w:cs="宋体"/>
          <w:spacing w:val="14"/>
          <w:sz w:val="19"/>
          <w:szCs w:val="19"/>
        </w:rPr>
        <w:t>教育教学审核评估实施办法</w:t>
      </w:r>
      <w:r>
        <w:rPr>
          <w:rFonts w:ascii="微软雅黑" w:hAnsi="微软雅黑" w:eastAsia="微软雅黑" w:cs="微软雅黑"/>
          <w:spacing w:val="14"/>
          <w:sz w:val="19"/>
          <w:szCs w:val="19"/>
        </w:rPr>
        <w:t>(</w:t>
      </w:r>
      <w:r>
        <w:rPr>
          <w:rFonts w:ascii="Arial" w:hAnsi="Arial" w:eastAsia="Arial" w:cs="Arial"/>
          <w:spacing w:val="14"/>
          <w:sz w:val="19"/>
          <w:szCs w:val="19"/>
        </w:rPr>
        <w:t>2021-20</w:t>
      </w:r>
      <w:r>
        <w:rPr>
          <w:rFonts w:ascii="Arial" w:hAnsi="Arial" w:eastAsia="Arial" w:cs="Arial"/>
          <w:spacing w:val="13"/>
          <w:sz w:val="19"/>
          <w:szCs w:val="19"/>
        </w:rPr>
        <w:t>26</w:t>
      </w:r>
      <w:r>
        <w:rPr>
          <w:rFonts w:ascii="宋体" w:hAnsi="宋体" w:eastAsia="宋体" w:cs="宋体"/>
          <w:spacing w:val="13"/>
          <w:sz w:val="19"/>
          <w:szCs w:val="19"/>
        </w:rPr>
        <w:t>年</w:t>
      </w:r>
      <w:r>
        <w:rPr>
          <w:rFonts w:ascii="微软雅黑" w:hAnsi="微软雅黑" w:eastAsia="微软雅黑" w:cs="微软雅黑"/>
          <w:spacing w:val="13"/>
          <w:sz w:val="19"/>
          <w:szCs w:val="19"/>
        </w:rPr>
        <w:t>）》</w:t>
      </w:r>
      <w:r>
        <w:rPr>
          <w:rFonts w:ascii="宋体" w:hAnsi="宋体" w:eastAsia="宋体" w:cs="宋体"/>
          <w:spacing w:val="13"/>
          <w:sz w:val="19"/>
          <w:szCs w:val="19"/>
        </w:rPr>
        <w:t xml:space="preserve">首次 </w:t>
      </w:r>
      <w:r>
        <w:rPr>
          <w:rFonts w:ascii="宋体" w:hAnsi="宋体" w:eastAsia="宋体" w:cs="宋体"/>
          <w:spacing w:val="9"/>
          <w:sz w:val="19"/>
          <w:szCs w:val="19"/>
        </w:rPr>
        <w:t>将</w:t>
      </w:r>
      <w:r>
        <w:rPr>
          <w:rFonts w:ascii="微软雅黑" w:hAnsi="微软雅黑" w:eastAsia="微软雅黑" w:cs="微软雅黑"/>
          <w:spacing w:val="9"/>
          <w:sz w:val="19"/>
          <w:szCs w:val="19"/>
        </w:rPr>
        <w:t>“</w:t>
      </w:r>
      <w:r>
        <w:rPr>
          <w:rFonts w:ascii="宋体" w:hAnsi="宋体" w:eastAsia="宋体" w:cs="宋体"/>
          <w:spacing w:val="9"/>
          <w:sz w:val="19"/>
          <w:szCs w:val="19"/>
        </w:rPr>
        <w:t>质量文化</w:t>
      </w:r>
      <w:r>
        <w:rPr>
          <w:rFonts w:ascii="微软雅黑" w:hAnsi="微软雅黑" w:eastAsia="微软雅黑" w:cs="微软雅黑"/>
          <w:spacing w:val="9"/>
          <w:sz w:val="19"/>
          <w:szCs w:val="19"/>
        </w:rPr>
        <w:t>”</w:t>
      </w:r>
      <w:r>
        <w:rPr>
          <w:rFonts w:ascii="宋体" w:hAnsi="宋体" w:eastAsia="宋体" w:cs="宋体"/>
          <w:spacing w:val="9"/>
          <w:sz w:val="19"/>
          <w:szCs w:val="19"/>
        </w:rPr>
        <w:t>单列为审核要素</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这说明我国高等教 </w:t>
      </w:r>
      <w:r>
        <w:rPr>
          <w:rFonts w:ascii="宋体" w:hAnsi="宋体" w:eastAsia="宋体" w:cs="宋体"/>
          <w:spacing w:val="17"/>
          <w:sz w:val="19"/>
          <w:szCs w:val="19"/>
        </w:rPr>
        <w:t>育评估工作开始迈进新的发展阶段</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即从完善制度 </w:t>
      </w:r>
      <w:r>
        <w:rPr>
          <w:rFonts w:ascii="宋体" w:hAnsi="宋体" w:eastAsia="宋体" w:cs="宋体"/>
          <w:spacing w:val="1"/>
          <w:sz w:val="19"/>
          <w:szCs w:val="19"/>
        </w:rPr>
        <w:t>延伸到建构文化</w:t>
      </w:r>
      <w:r>
        <w:rPr>
          <w:rFonts w:ascii="微软雅黑" w:hAnsi="微软雅黑" w:eastAsia="微软雅黑" w:cs="微软雅黑"/>
          <w:spacing w:val="1"/>
          <w:sz w:val="19"/>
          <w:szCs w:val="19"/>
        </w:rPr>
        <w:t>，</w:t>
      </w:r>
      <w:r>
        <w:rPr>
          <w:rFonts w:ascii="宋体" w:hAnsi="宋体" w:eastAsia="宋体" w:cs="宋体"/>
          <w:spacing w:val="1"/>
          <w:sz w:val="19"/>
          <w:szCs w:val="19"/>
        </w:rPr>
        <w:t>从注重</w:t>
      </w:r>
      <w:r>
        <w:rPr>
          <w:rFonts w:ascii="微软雅黑" w:hAnsi="微软雅黑" w:eastAsia="微软雅黑" w:cs="微软雅黑"/>
          <w:spacing w:val="1"/>
          <w:sz w:val="19"/>
          <w:szCs w:val="19"/>
        </w:rPr>
        <w:t>“</w:t>
      </w:r>
      <w:r>
        <w:rPr>
          <w:rFonts w:ascii="宋体" w:hAnsi="宋体" w:eastAsia="宋体" w:cs="宋体"/>
          <w:spacing w:val="1"/>
          <w:sz w:val="19"/>
          <w:szCs w:val="19"/>
        </w:rPr>
        <w:t>制度约束</w:t>
      </w:r>
      <w:r>
        <w:rPr>
          <w:rFonts w:ascii="微软雅黑" w:hAnsi="微软雅黑" w:eastAsia="微软雅黑" w:cs="微软雅黑"/>
          <w:spacing w:val="1"/>
          <w:sz w:val="19"/>
          <w:szCs w:val="19"/>
        </w:rPr>
        <w:t>”</w:t>
      </w:r>
      <w:r>
        <w:rPr>
          <w:rFonts w:ascii="宋体" w:hAnsi="宋体" w:eastAsia="宋体" w:cs="宋体"/>
          <w:spacing w:val="1"/>
          <w:sz w:val="19"/>
          <w:szCs w:val="19"/>
        </w:rPr>
        <w:t>过渡到强调</w:t>
      </w:r>
      <w:r>
        <w:rPr>
          <w:rFonts w:ascii="微软雅黑" w:hAnsi="微软雅黑" w:eastAsia="微软雅黑" w:cs="微软雅黑"/>
          <w:spacing w:val="1"/>
          <w:sz w:val="19"/>
          <w:szCs w:val="19"/>
        </w:rPr>
        <w:t>“</w:t>
      </w:r>
      <w:r>
        <w:rPr>
          <w:rFonts w:ascii="宋体" w:hAnsi="宋体" w:eastAsia="宋体" w:cs="宋体"/>
          <w:spacing w:val="1"/>
          <w:sz w:val="19"/>
          <w:szCs w:val="19"/>
        </w:rPr>
        <w:t xml:space="preserve">文 </w:t>
      </w:r>
      <w:r>
        <w:rPr>
          <w:rFonts w:ascii="宋体" w:hAnsi="宋体" w:eastAsia="宋体" w:cs="宋体"/>
          <w:spacing w:val="9"/>
          <w:sz w:val="19"/>
          <w:szCs w:val="19"/>
        </w:rPr>
        <w:t>化自觉</w:t>
      </w:r>
      <w:r>
        <w:rPr>
          <w:rFonts w:ascii="微软雅黑" w:hAnsi="微软雅黑" w:eastAsia="微软雅黑" w:cs="微软雅黑"/>
          <w:spacing w:val="9"/>
          <w:sz w:val="19"/>
          <w:szCs w:val="19"/>
        </w:rPr>
        <w:t>”。</w:t>
      </w:r>
      <w:r>
        <w:rPr>
          <w:rFonts w:ascii="宋体" w:hAnsi="宋体" w:eastAsia="宋体" w:cs="宋体"/>
          <w:spacing w:val="9"/>
          <w:sz w:val="19"/>
          <w:szCs w:val="19"/>
        </w:rPr>
        <w:t>尽管这种转变符合高等教育发展规律</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也 </w:t>
      </w:r>
      <w:r>
        <w:rPr>
          <w:rFonts w:ascii="宋体" w:hAnsi="宋体" w:eastAsia="宋体" w:cs="宋体"/>
          <w:spacing w:val="17"/>
          <w:sz w:val="19"/>
          <w:szCs w:val="19"/>
        </w:rPr>
        <w:t>反映了世界高等教育质量保障的发展趋向</w:t>
      </w:r>
      <w:r>
        <w:rPr>
          <w:rFonts w:ascii="微软雅黑" w:hAnsi="微软雅黑" w:eastAsia="微软雅黑" w:cs="微软雅黑"/>
          <w:spacing w:val="17"/>
          <w:sz w:val="19"/>
          <w:szCs w:val="19"/>
        </w:rPr>
        <w:t>，</w:t>
      </w:r>
      <w:r>
        <w:rPr>
          <w:rFonts w:ascii="宋体" w:hAnsi="宋体" w:eastAsia="宋体" w:cs="宋体"/>
          <w:spacing w:val="17"/>
          <w:sz w:val="19"/>
          <w:szCs w:val="19"/>
        </w:rPr>
        <w:t>但它也 给高教界带来更艰巨的任务</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需要人们更准确地把 </w:t>
      </w:r>
      <w:r>
        <w:rPr>
          <w:rFonts w:ascii="宋体" w:hAnsi="宋体" w:eastAsia="宋体" w:cs="宋体"/>
          <w:spacing w:val="12"/>
          <w:sz w:val="19"/>
          <w:szCs w:val="19"/>
        </w:rPr>
        <w:t>握高等教育质量文化的内涵</w:t>
      </w:r>
      <w:r>
        <w:rPr>
          <w:rFonts w:ascii="微软雅黑" w:hAnsi="微软雅黑" w:eastAsia="微软雅黑" w:cs="微软雅黑"/>
          <w:spacing w:val="12"/>
          <w:sz w:val="19"/>
          <w:szCs w:val="19"/>
        </w:rPr>
        <w:t>，</w:t>
      </w:r>
      <w:r>
        <w:rPr>
          <w:rFonts w:ascii="宋体" w:hAnsi="宋体" w:eastAsia="宋体" w:cs="宋体"/>
          <w:spacing w:val="12"/>
          <w:sz w:val="19"/>
          <w:szCs w:val="19"/>
        </w:rPr>
        <w:t>理解质量文化的性质</w:t>
      </w:r>
      <w:r>
        <w:rPr>
          <w:rFonts w:ascii="微软雅黑" w:hAnsi="微软雅黑" w:eastAsia="微软雅黑" w:cs="微软雅黑"/>
          <w:spacing w:val="12"/>
          <w:sz w:val="19"/>
          <w:szCs w:val="19"/>
        </w:rPr>
        <w:t>，</w:t>
      </w:r>
      <w:r>
        <w:rPr>
          <w:rFonts w:ascii="微软雅黑" w:hAnsi="微软雅黑" w:eastAsia="微软雅黑" w:cs="微软雅黑"/>
          <w:spacing w:val="16"/>
          <w:sz w:val="19"/>
          <w:szCs w:val="19"/>
        </w:rPr>
        <w:t xml:space="preserve"> </w:t>
      </w:r>
      <w:r>
        <w:rPr>
          <w:rFonts w:ascii="宋体" w:hAnsi="宋体" w:eastAsia="宋体" w:cs="宋体"/>
          <w:spacing w:val="19"/>
          <w:sz w:val="19"/>
          <w:szCs w:val="19"/>
        </w:rPr>
        <w:t>明确质量文化建设的基本要求</w:t>
      </w:r>
      <w:r>
        <w:rPr>
          <w:rFonts w:ascii="微软雅黑" w:hAnsi="微软雅黑" w:eastAsia="微软雅黑" w:cs="微软雅黑"/>
          <w:spacing w:val="19"/>
          <w:sz w:val="19"/>
          <w:szCs w:val="19"/>
        </w:rPr>
        <w:t>。</w:t>
      </w:r>
    </w:p>
    <w:p>
      <w:pPr>
        <w:spacing w:line="298" w:lineRule="auto"/>
        <w:rPr>
          <w:rFonts w:ascii="Arial"/>
          <w:sz w:val="21"/>
        </w:rPr>
      </w:pPr>
    </w:p>
    <w:p>
      <w:pPr>
        <w:spacing w:before="85" w:line="393" w:lineRule="exact"/>
        <w:ind w:left="1589"/>
        <w:rPr>
          <w:rFonts w:ascii="新宋体" w:hAnsi="新宋体" w:eastAsia="新宋体" w:cs="新宋体"/>
          <w:sz w:val="26"/>
          <w:szCs w:val="26"/>
        </w:rPr>
      </w:pPr>
      <w:r>
        <w:rPr>
          <w:rFonts w:ascii="新宋体" w:hAnsi="新宋体" w:eastAsia="新宋体" w:cs="新宋体"/>
          <w:spacing w:val="12"/>
          <w:position w:val="10"/>
          <w:sz w:val="26"/>
          <w:szCs w:val="26"/>
        </w:rPr>
        <w:t>一</w:t>
      </w:r>
      <w:r>
        <w:rPr>
          <w:rFonts w:ascii="微软雅黑" w:hAnsi="微软雅黑" w:eastAsia="微软雅黑" w:cs="微软雅黑"/>
          <w:spacing w:val="12"/>
          <w:position w:val="11"/>
          <w:sz w:val="6"/>
          <w:szCs w:val="6"/>
        </w:rPr>
        <w:t xml:space="preserve">、   </w:t>
      </w:r>
      <w:r>
        <w:rPr>
          <w:rFonts w:ascii="新宋体" w:hAnsi="新宋体" w:eastAsia="新宋体" w:cs="新宋体"/>
          <w:spacing w:val="12"/>
          <w:position w:val="10"/>
          <w:sz w:val="26"/>
          <w:szCs w:val="26"/>
        </w:rPr>
        <w:t>高等教育质量文化的</w:t>
      </w:r>
    </w:p>
    <w:p>
      <w:pPr>
        <w:spacing w:line="210" w:lineRule="auto"/>
        <w:ind w:left="2245"/>
        <w:rPr>
          <w:rFonts w:ascii="新宋体" w:hAnsi="新宋体" w:eastAsia="新宋体" w:cs="新宋体"/>
          <w:sz w:val="26"/>
          <w:szCs w:val="26"/>
        </w:rPr>
      </w:pPr>
      <w:r>
        <w:rPr>
          <w:rFonts w:ascii="新宋体" w:hAnsi="新宋体" w:eastAsia="新宋体" w:cs="新宋体"/>
          <w:spacing w:val="8"/>
          <w:sz w:val="26"/>
          <w:szCs w:val="26"/>
        </w:rPr>
        <w:t>内涵及其形成</w:t>
      </w:r>
    </w:p>
    <w:p>
      <w:pPr>
        <w:spacing w:line="396" w:lineRule="auto"/>
        <w:rPr>
          <w:rFonts w:ascii="Arial"/>
          <w:sz w:val="21"/>
        </w:rPr>
      </w:pPr>
    </w:p>
    <w:p>
      <w:pPr>
        <w:spacing w:before="83" w:line="234" w:lineRule="auto"/>
        <w:ind w:left="732" w:right="335" w:firstLine="421"/>
        <w:jc w:val="both"/>
        <w:rPr>
          <w:rFonts w:ascii="微软雅黑" w:hAnsi="微软雅黑" w:eastAsia="微软雅黑" w:cs="微软雅黑"/>
          <w:sz w:val="19"/>
          <w:szCs w:val="19"/>
        </w:rPr>
      </w:pPr>
      <w:r>
        <w:rPr>
          <w:rFonts w:ascii="宋体" w:hAnsi="宋体" w:eastAsia="宋体" w:cs="宋体"/>
          <w:spacing w:val="16"/>
          <w:sz w:val="19"/>
          <w:szCs w:val="19"/>
        </w:rPr>
        <w:t>质量文化为人所重视只是最近的事情</w:t>
      </w:r>
      <w:r>
        <w:rPr>
          <w:rFonts w:ascii="宋体" w:hAnsi="宋体" w:eastAsia="宋体" w:cs="宋体"/>
          <w:spacing w:val="-46"/>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毫无疑</w:t>
      </w:r>
      <w:r>
        <w:rPr>
          <w:rFonts w:ascii="宋体" w:hAnsi="宋体" w:eastAsia="宋体" w:cs="宋体"/>
          <w:sz w:val="19"/>
          <w:szCs w:val="19"/>
        </w:rPr>
        <w:t xml:space="preserve"> </w:t>
      </w:r>
      <w:r>
        <w:rPr>
          <w:rFonts w:ascii="宋体" w:hAnsi="宋体" w:eastAsia="宋体" w:cs="宋体"/>
          <w:spacing w:val="9"/>
          <w:sz w:val="19"/>
          <w:szCs w:val="19"/>
        </w:rPr>
        <w:t>问</w:t>
      </w:r>
      <w:r>
        <w:rPr>
          <w:rFonts w:ascii="微软雅黑" w:hAnsi="微软雅黑" w:eastAsia="微软雅黑" w:cs="微软雅黑"/>
          <w:spacing w:val="9"/>
          <w:sz w:val="19"/>
          <w:szCs w:val="19"/>
        </w:rPr>
        <w:t>，</w:t>
      </w:r>
      <w:r>
        <w:rPr>
          <w:rFonts w:ascii="宋体" w:hAnsi="宋体" w:eastAsia="宋体" w:cs="宋体"/>
          <w:spacing w:val="9"/>
          <w:sz w:val="19"/>
          <w:szCs w:val="19"/>
        </w:rPr>
        <w:t>人们对高等教育质量的关注由来已久</w:t>
      </w:r>
      <w:r>
        <w:rPr>
          <w:rFonts w:ascii="微软雅黑" w:hAnsi="微软雅黑" w:eastAsia="微软雅黑" w:cs="微软雅黑"/>
          <w:spacing w:val="9"/>
          <w:sz w:val="19"/>
          <w:szCs w:val="19"/>
        </w:rPr>
        <w:t>，</w:t>
      </w:r>
      <w:r>
        <w:rPr>
          <w:rFonts w:ascii="宋体" w:hAnsi="宋体" w:eastAsia="宋体" w:cs="宋体"/>
          <w:spacing w:val="9"/>
          <w:sz w:val="19"/>
          <w:szCs w:val="19"/>
        </w:rPr>
        <w:t>在保证和</w:t>
      </w:r>
      <w:r>
        <w:rPr>
          <w:rFonts w:ascii="宋体" w:hAnsi="宋体" w:eastAsia="宋体" w:cs="宋体"/>
          <w:spacing w:val="13"/>
          <w:sz w:val="19"/>
          <w:szCs w:val="19"/>
        </w:rPr>
        <w:t xml:space="preserve"> </w:t>
      </w:r>
      <w:r>
        <w:rPr>
          <w:rFonts w:ascii="宋体" w:hAnsi="宋体" w:eastAsia="宋体" w:cs="宋体"/>
          <w:spacing w:val="18"/>
          <w:sz w:val="19"/>
          <w:szCs w:val="19"/>
        </w:rPr>
        <w:t>提高质量方面采取了诸多政策和措施</w:t>
      </w:r>
      <w:r>
        <w:rPr>
          <w:rFonts w:ascii="微软雅黑" w:hAnsi="微软雅黑" w:eastAsia="微软雅黑" w:cs="微软雅黑"/>
          <w:spacing w:val="18"/>
          <w:sz w:val="19"/>
          <w:szCs w:val="19"/>
        </w:rPr>
        <w:t>，</w:t>
      </w:r>
      <w:r>
        <w:rPr>
          <w:rFonts w:ascii="宋体" w:hAnsi="宋体" w:eastAsia="宋体" w:cs="宋体"/>
          <w:spacing w:val="18"/>
          <w:sz w:val="19"/>
          <w:szCs w:val="19"/>
        </w:rPr>
        <w:t>有的质量理</w:t>
      </w:r>
      <w:r>
        <w:rPr>
          <w:rFonts w:ascii="宋体" w:hAnsi="宋体" w:eastAsia="宋体" w:cs="宋体"/>
          <w:spacing w:val="14"/>
          <w:sz w:val="19"/>
          <w:szCs w:val="19"/>
        </w:rPr>
        <w:t xml:space="preserve"> </w:t>
      </w:r>
      <w:r>
        <w:rPr>
          <w:rFonts w:ascii="宋体" w:hAnsi="宋体" w:eastAsia="宋体" w:cs="宋体"/>
          <w:spacing w:val="18"/>
          <w:sz w:val="19"/>
          <w:szCs w:val="19"/>
        </w:rPr>
        <w:t>念和相关政策措施在宏观和微观的高等教育办学过</w:t>
      </w:r>
      <w:r>
        <w:rPr>
          <w:rFonts w:ascii="宋体" w:hAnsi="宋体" w:eastAsia="宋体" w:cs="宋体"/>
          <w:spacing w:val="12"/>
          <w:sz w:val="19"/>
          <w:szCs w:val="19"/>
        </w:rPr>
        <w:t xml:space="preserve"> </w:t>
      </w:r>
      <w:r>
        <w:rPr>
          <w:rFonts w:ascii="宋体" w:hAnsi="宋体" w:eastAsia="宋体" w:cs="宋体"/>
          <w:spacing w:val="9"/>
          <w:sz w:val="19"/>
          <w:szCs w:val="19"/>
        </w:rPr>
        <w:t>程中坚持了下来</w:t>
      </w:r>
      <w:r>
        <w:rPr>
          <w:rFonts w:ascii="微软雅黑" w:hAnsi="微软雅黑" w:eastAsia="微软雅黑" w:cs="微软雅黑"/>
          <w:spacing w:val="9"/>
          <w:sz w:val="19"/>
          <w:szCs w:val="19"/>
        </w:rPr>
        <w:t>，</w:t>
      </w:r>
      <w:r>
        <w:rPr>
          <w:rFonts w:ascii="宋体" w:hAnsi="宋体" w:eastAsia="宋体" w:cs="宋体"/>
          <w:spacing w:val="9"/>
          <w:sz w:val="19"/>
          <w:szCs w:val="19"/>
        </w:rPr>
        <w:t>成为传统和习惯</w:t>
      </w:r>
      <w:r>
        <w:rPr>
          <w:rFonts w:ascii="微软雅黑" w:hAnsi="微软雅黑" w:eastAsia="微软雅黑" w:cs="微软雅黑"/>
          <w:spacing w:val="9"/>
          <w:sz w:val="19"/>
          <w:szCs w:val="19"/>
        </w:rPr>
        <w:t>，</w:t>
      </w:r>
      <w:r>
        <w:rPr>
          <w:rFonts w:ascii="宋体" w:hAnsi="宋体" w:eastAsia="宋体" w:cs="宋体"/>
          <w:spacing w:val="9"/>
          <w:sz w:val="19"/>
          <w:szCs w:val="19"/>
        </w:rPr>
        <w:t>但质量文化并没</w:t>
      </w:r>
      <w:r>
        <w:rPr>
          <w:rFonts w:ascii="宋体" w:hAnsi="宋体" w:eastAsia="宋体" w:cs="宋体"/>
          <w:spacing w:val="13"/>
          <w:sz w:val="19"/>
          <w:szCs w:val="19"/>
        </w:rPr>
        <w:t xml:space="preserve"> </w:t>
      </w:r>
      <w:r>
        <w:rPr>
          <w:rFonts w:ascii="宋体" w:hAnsi="宋体" w:eastAsia="宋体" w:cs="宋体"/>
          <w:spacing w:val="16"/>
          <w:sz w:val="19"/>
          <w:szCs w:val="19"/>
        </w:rPr>
        <w:t>有引发人们的关注</w:t>
      </w:r>
      <w:r>
        <w:rPr>
          <w:rFonts w:ascii="宋体" w:hAnsi="宋体" w:eastAsia="宋体" w:cs="宋体"/>
          <w:spacing w:val="-38"/>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在高校本科教育教学审核评估</w:t>
      </w:r>
      <w:r>
        <w:rPr>
          <w:rFonts w:ascii="宋体" w:hAnsi="宋体" w:eastAsia="宋体" w:cs="宋体"/>
          <w:sz w:val="19"/>
          <w:szCs w:val="19"/>
        </w:rPr>
        <w:t xml:space="preserve"> </w:t>
      </w:r>
      <w:r>
        <w:rPr>
          <w:rFonts w:ascii="宋体" w:hAnsi="宋体" w:eastAsia="宋体" w:cs="宋体"/>
          <w:spacing w:val="9"/>
          <w:sz w:val="19"/>
          <w:szCs w:val="19"/>
        </w:rPr>
        <w:t>中</w:t>
      </w:r>
      <w:r>
        <w:rPr>
          <w:rFonts w:ascii="微软雅黑" w:hAnsi="微软雅黑" w:eastAsia="微软雅黑" w:cs="微软雅黑"/>
          <w:spacing w:val="9"/>
          <w:sz w:val="19"/>
          <w:szCs w:val="19"/>
        </w:rPr>
        <w:t>，</w:t>
      </w:r>
      <w:r>
        <w:rPr>
          <w:rFonts w:ascii="宋体" w:hAnsi="宋体" w:eastAsia="宋体" w:cs="宋体"/>
          <w:spacing w:val="9"/>
          <w:sz w:val="19"/>
          <w:szCs w:val="19"/>
        </w:rPr>
        <w:t>人们开始从文化角度认识高等教育质量</w:t>
      </w:r>
      <w:r>
        <w:rPr>
          <w:rFonts w:ascii="微软雅黑" w:hAnsi="微软雅黑" w:eastAsia="微软雅黑" w:cs="微软雅黑"/>
          <w:spacing w:val="9"/>
          <w:sz w:val="19"/>
          <w:szCs w:val="19"/>
        </w:rPr>
        <w:t>，</w:t>
      </w:r>
      <w:r>
        <w:rPr>
          <w:rFonts w:ascii="宋体" w:hAnsi="宋体" w:eastAsia="宋体" w:cs="宋体"/>
          <w:spacing w:val="9"/>
          <w:sz w:val="19"/>
          <w:szCs w:val="19"/>
        </w:rPr>
        <w:t>提出了</w:t>
      </w:r>
      <w:r>
        <w:rPr>
          <w:rFonts w:ascii="宋体" w:hAnsi="宋体" w:eastAsia="宋体" w:cs="宋体"/>
          <w:spacing w:val="14"/>
          <w:sz w:val="19"/>
          <w:szCs w:val="19"/>
        </w:rPr>
        <w:t xml:space="preserve"> </w:t>
      </w:r>
      <w:r>
        <w:rPr>
          <w:rFonts w:ascii="宋体" w:hAnsi="宋体" w:eastAsia="宋体" w:cs="宋体"/>
          <w:spacing w:val="18"/>
          <w:sz w:val="19"/>
          <w:szCs w:val="19"/>
        </w:rPr>
        <w:t>质量文化概念并受到重视</w:t>
      </w:r>
      <w:r>
        <w:rPr>
          <w:rFonts w:ascii="微软雅黑" w:hAnsi="微软雅黑" w:eastAsia="微软雅黑" w:cs="微软雅黑"/>
          <w:spacing w:val="18"/>
          <w:sz w:val="19"/>
          <w:szCs w:val="19"/>
        </w:rPr>
        <w:t>，</w:t>
      </w:r>
      <w:r>
        <w:rPr>
          <w:rFonts w:ascii="宋体" w:hAnsi="宋体" w:eastAsia="宋体" w:cs="宋体"/>
          <w:spacing w:val="18"/>
          <w:sz w:val="19"/>
          <w:szCs w:val="19"/>
        </w:rPr>
        <w:t>成为相关政策的重要主</w:t>
      </w:r>
      <w:r>
        <w:rPr>
          <w:rFonts w:ascii="宋体" w:hAnsi="宋体" w:eastAsia="宋体" w:cs="宋体"/>
          <w:spacing w:val="13"/>
          <w:sz w:val="19"/>
          <w:szCs w:val="19"/>
        </w:rPr>
        <w:t xml:space="preserve"> </w:t>
      </w:r>
      <w:r>
        <w:rPr>
          <w:rFonts w:ascii="宋体" w:hAnsi="宋体" w:eastAsia="宋体" w:cs="宋体"/>
          <w:spacing w:val="7"/>
          <w:sz w:val="19"/>
          <w:szCs w:val="19"/>
        </w:rPr>
        <w:t>题</w:t>
      </w:r>
      <w:r>
        <w:rPr>
          <w:rFonts w:ascii="宋体" w:hAnsi="宋体" w:eastAsia="宋体" w:cs="宋体"/>
          <w:spacing w:val="-36"/>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但客观上讲</w:t>
      </w:r>
      <w:r>
        <w:rPr>
          <w:rFonts w:ascii="微软雅黑" w:hAnsi="微软雅黑" w:eastAsia="微软雅黑" w:cs="微软雅黑"/>
          <w:spacing w:val="7"/>
          <w:sz w:val="19"/>
          <w:szCs w:val="19"/>
        </w:rPr>
        <w:t>，</w:t>
      </w:r>
      <w:r>
        <w:rPr>
          <w:rFonts w:ascii="宋体" w:hAnsi="宋体" w:eastAsia="宋体" w:cs="宋体"/>
          <w:spacing w:val="7"/>
          <w:sz w:val="19"/>
          <w:szCs w:val="19"/>
        </w:rPr>
        <w:t>理论研究相对滞后</w:t>
      </w:r>
      <w:r>
        <w:rPr>
          <w:rFonts w:ascii="微软雅黑" w:hAnsi="微软雅黑" w:eastAsia="微软雅黑" w:cs="微软雅黑"/>
          <w:spacing w:val="7"/>
          <w:sz w:val="19"/>
          <w:szCs w:val="19"/>
        </w:rPr>
        <w:t>，</w:t>
      </w:r>
      <w:r>
        <w:rPr>
          <w:rFonts w:ascii="宋体" w:hAnsi="宋体" w:eastAsia="宋体" w:cs="宋体"/>
          <w:spacing w:val="7"/>
          <w:sz w:val="19"/>
          <w:szCs w:val="19"/>
        </w:rPr>
        <w:t>高等教育质量</w:t>
      </w:r>
      <w:r>
        <w:rPr>
          <w:rFonts w:ascii="宋体" w:hAnsi="宋体" w:eastAsia="宋体" w:cs="宋体"/>
          <w:sz w:val="19"/>
          <w:szCs w:val="19"/>
        </w:rPr>
        <w:t xml:space="preserve"> </w:t>
      </w:r>
      <w:r>
        <w:rPr>
          <w:rFonts w:ascii="宋体" w:hAnsi="宋体" w:eastAsia="宋体" w:cs="宋体"/>
          <w:spacing w:val="18"/>
          <w:sz w:val="19"/>
          <w:szCs w:val="19"/>
        </w:rPr>
        <w:t>文化的内涵还有待厘清</w:t>
      </w:r>
      <w:r>
        <w:rPr>
          <w:rFonts w:ascii="微软雅黑" w:hAnsi="微软雅黑" w:eastAsia="微软雅黑" w:cs="微软雅黑"/>
          <w:spacing w:val="18"/>
          <w:sz w:val="19"/>
          <w:szCs w:val="19"/>
        </w:rPr>
        <w:t>。</w:t>
      </w:r>
    </w:p>
    <w:p>
      <w:pPr>
        <w:spacing w:before="67" w:line="212" w:lineRule="auto"/>
        <w:ind w:left="1158"/>
        <w:rPr>
          <w:rFonts w:ascii="黑体" w:hAnsi="黑体" w:eastAsia="黑体" w:cs="黑体"/>
          <w:sz w:val="19"/>
          <w:szCs w:val="19"/>
        </w:rPr>
      </w:pPr>
      <w:r>
        <w:rPr>
          <w:rFonts w:ascii="Arial" w:hAnsi="Arial" w:eastAsia="Arial" w:cs="Arial"/>
          <w:spacing w:val="9"/>
          <w:position w:val="-1"/>
          <w:sz w:val="19"/>
          <w:szCs w:val="19"/>
        </w:rPr>
        <w:t>1</w:t>
      </w:r>
      <w:r>
        <w:rPr>
          <w:rFonts w:ascii="Arial" w:hAnsi="Arial" w:eastAsia="Arial" w:cs="Arial"/>
          <w:spacing w:val="-16"/>
          <w:position w:val="-1"/>
          <w:sz w:val="19"/>
          <w:szCs w:val="19"/>
        </w:rPr>
        <w:t xml:space="preserve"> </w:t>
      </w:r>
      <w:r>
        <w:rPr>
          <w:rFonts w:ascii="Arial" w:hAnsi="Arial" w:eastAsia="Arial" w:cs="Arial"/>
          <w:spacing w:val="9"/>
          <w:position w:val="-1"/>
          <w:sz w:val="19"/>
          <w:szCs w:val="19"/>
        </w:rPr>
        <w:t>.</w:t>
      </w:r>
      <w:r>
        <w:rPr>
          <w:rFonts w:ascii="Arial" w:hAnsi="Arial" w:eastAsia="Arial" w:cs="Arial"/>
          <w:spacing w:val="-10"/>
          <w:position w:val="-1"/>
          <w:sz w:val="19"/>
          <w:szCs w:val="19"/>
        </w:rPr>
        <w:t xml:space="preserve"> </w:t>
      </w:r>
      <w:r>
        <w:rPr>
          <w:rFonts w:ascii="黑体" w:hAnsi="黑体" w:eastAsia="黑体" w:cs="黑体"/>
          <w:spacing w:val="9"/>
          <w:sz w:val="19"/>
          <w:szCs w:val="19"/>
        </w:rPr>
        <w:t>高等教育质量文化的内涵</w:t>
      </w:r>
    </w:p>
    <w:p>
      <w:pPr>
        <w:tabs>
          <w:tab w:val="left" w:pos="900"/>
        </w:tabs>
        <w:spacing w:before="94" w:line="229" w:lineRule="auto"/>
        <w:ind w:left="730" w:right="265" w:firstLine="425"/>
        <w:rPr>
          <w:rFonts w:ascii="微软雅黑" w:hAnsi="微软雅黑" w:eastAsia="微软雅黑" w:cs="微软雅黑"/>
          <w:sz w:val="19"/>
          <w:szCs w:val="19"/>
        </w:rPr>
      </w:pPr>
      <w:r>
        <w:rPr>
          <w:rFonts w:ascii="宋体" w:hAnsi="宋体" w:eastAsia="宋体" w:cs="宋体"/>
          <w:spacing w:val="21"/>
          <w:sz w:val="19"/>
          <w:szCs w:val="19"/>
        </w:rPr>
        <w:t>高等教育质量文化是高等教育文化的一部分</w:t>
      </w:r>
      <w:r>
        <w:rPr>
          <w:rFonts w:ascii="微软雅黑" w:hAnsi="微软雅黑" w:eastAsia="微软雅黑" w:cs="微软雅黑"/>
          <w:spacing w:val="21"/>
          <w:sz w:val="19"/>
          <w:szCs w:val="19"/>
        </w:rPr>
        <w:t>，</w:t>
      </w:r>
      <w:r>
        <w:rPr>
          <w:rFonts w:ascii="微软雅黑" w:hAnsi="微软雅黑" w:eastAsia="微软雅黑" w:cs="微软雅黑"/>
          <w:spacing w:val="17"/>
          <w:w w:val="101"/>
          <w:sz w:val="19"/>
          <w:szCs w:val="19"/>
        </w:rPr>
        <w:t xml:space="preserve"> </w:t>
      </w:r>
      <w:r>
        <w:rPr>
          <w:rFonts w:ascii="宋体" w:hAnsi="宋体" w:eastAsia="宋体" w:cs="宋体"/>
          <w:spacing w:val="17"/>
          <w:sz w:val="19"/>
          <w:szCs w:val="19"/>
        </w:rPr>
        <w:t xml:space="preserve">认识和理解高等教育质量文化不能脱离高等教育文 </w:t>
      </w:r>
      <w:r>
        <w:rPr>
          <w:rFonts w:ascii="宋体" w:hAnsi="宋体" w:eastAsia="宋体" w:cs="宋体"/>
          <w:spacing w:val="16"/>
          <w:sz w:val="19"/>
          <w:szCs w:val="19"/>
        </w:rPr>
        <w:t>化</w:t>
      </w:r>
      <w:r>
        <w:rPr>
          <w:rFonts w:ascii="宋体" w:hAnsi="宋体" w:eastAsia="宋体" w:cs="宋体"/>
          <w:spacing w:val="-53"/>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文化是一个多层面多维度的现象</w:t>
      </w:r>
      <w:r>
        <w:rPr>
          <w:rFonts w:ascii="微软雅黑" w:hAnsi="微软雅黑" w:eastAsia="微软雅黑" w:cs="微软雅黑"/>
          <w:spacing w:val="16"/>
          <w:sz w:val="19"/>
          <w:szCs w:val="19"/>
        </w:rPr>
        <w:t>，</w:t>
      </w:r>
      <w:r>
        <w:rPr>
          <w:rFonts w:ascii="宋体" w:hAnsi="宋体" w:eastAsia="宋体" w:cs="宋体"/>
          <w:spacing w:val="16"/>
          <w:sz w:val="19"/>
          <w:szCs w:val="19"/>
        </w:rPr>
        <w:t>高等教育</w:t>
      </w:r>
      <w:r>
        <w:rPr>
          <w:rFonts w:ascii="宋体" w:hAnsi="宋体" w:eastAsia="宋体" w:cs="宋体"/>
          <w:spacing w:val="15"/>
          <w:sz w:val="19"/>
          <w:szCs w:val="19"/>
        </w:rPr>
        <w:t xml:space="preserve">质 </w:t>
      </w:r>
      <w:r>
        <w:rPr>
          <w:rFonts w:ascii="宋体" w:hAnsi="宋体" w:eastAsia="宋体" w:cs="宋体"/>
          <w:spacing w:val="16"/>
          <w:sz w:val="19"/>
          <w:szCs w:val="19"/>
        </w:rPr>
        <w:t>量文化也具有多层面多维度的特点</w:t>
      </w:r>
      <w:r>
        <w:rPr>
          <w:rFonts w:ascii="宋体" w:hAnsi="宋体" w:eastAsia="宋体" w:cs="宋体"/>
          <w:spacing w:val="-51"/>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从一般</w:t>
      </w:r>
      <w:r>
        <w:rPr>
          <w:rFonts w:ascii="宋体" w:hAnsi="宋体" w:eastAsia="宋体" w:cs="宋体"/>
          <w:spacing w:val="15"/>
          <w:sz w:val="19"/>
          <w:szCs w:val="19"/>
        </w:rPr>
        <w:t xml:space="preserve">意义上 </w:t>
      </w:r>
      <w:r>
        <w:rPr>
          <w:rFonts w:ascii="宋体" w:hAnsi="宋体" w:eastAsia="宋体" w:cs="宋体"/>
          <w:spacing w:val="17"/>
          <w:sz w:val="19"/>
          <w:szCs w:val="19"/>
        </w:rPr>
        <w:t>讲</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高等教育质量文化是围绕高等教育质量所形成 </w:t>
      </w:r>
      <w:r>
        <w:rPr>
          <w:rFonts w:ascii="宋体" w:hAnsi="宋体" w:eastAsia="宋体" w:cs="宋体"/>
          <w:spacing w:val="9"/>
          <w:sz w:val="19"/>
          <w:szCs w:val="19"/>
        </w:rPr>
        <w:t>的理念</w:t>
      </w:r>
      <w:r>
        <w:rPr>
          <w:rFonts w:ascii="微软雅黑" w:hAnsi="微软雅黑" w:eastAsia="微软雅黑" w:cs="微软雅黑"/>
          <w:spacing w:val="9"/>
          <w:sz w:val="19"/>
          <w:szCs w:val="19"/>
        </w:rPr>
        <w:t>、</w:t>
      </w:r>
      <w:r>
        <w:rPr>
          <w:rFonts w:ascii="宋体" w:hAnsi="宋体" w:eastAsia="宋体" w:cs="宋体"/>
          <w:spacing w:val="9"/>
          <w:sz w:val="19"/>
          <w:szCs w:val="19"/>
        </w:rPr>
        <w:t>信念</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价值及由此所衍生和发展起来的相关 </w:t>
      </w:r>
      <w:r>
        <w:rPr>
          <w:rFonts w:ascii="宋体" w:hAnsi="宋体" w:eastAsia="宋体" w:cs="宋体"/>
          <w:spacing w:val="7"/>
          <w:sz w:val="19"/>
          <w:szCs w:val="19"/>
        </w:rPr>
        <w:t>制度</w:t>
      </w:r>
      <w:r>
        <w:rPr>
          <w:rFonts w:ascii="微软雅黑" w:hAnsi="微软雅黑" w:eastAsia="微软雅黑" w:cs="微软雅黑"/>
          <w:spacing w:val="7"/>
          <w:sz w:val="19"/>
          <w:szCs w:val="19"/>
        </w:rPr>
        <w:t>、</w:t>
      </w:r>
      <w:r>
        <w:rPr>
          <w:rFonts w:ascii="宋体" w:hAnsi="宋体" w:eastAsia="宋体" w:cs="宋体"/>
          <w:spacing w:val="7"/>
          <w:sz w:val="19"/>
          <w:szCs w:val="19"/>
        </w:rPr>
        <w:t>行为</w:t>
      </w:r>
      <w:r>
        <w:rPr>
          <w:rFonts w:ascii="微软雅黑" w:hAnsi="微软雅黑" w:eastAsia="微软雅黑" w:cs="微软雅黑"/>
          <w:spacing w:val="7"/>
          <w:sz w:val="19"/>
          <w:szCs w:val="19"/>
        </w:rPr>
        <w:t>、</w:t>
      </w:r>
      <w:r>
        <w:rPr>
          <w:rFonts w:ascii="宋体" w:hAnsi="宋体" w:eastAsia="宋体" w:cs="宋体"/>
          <w:spacing w:val="7"/>
          <w:sz w:val="19"/>
          <w:szCs w:val="19"/>
        </w:rPr>
        <w:t>惯习和物化载体的有机体</w:t>
      </w:r>
      <w:r>
        <w:rPr>
          <w:rFonts w:ascii="宋体" w:hAnsi="宋体" w:eastAsia="宋体" w:cs="宋体"/>
          <w:spacing w:val="-45"/>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它既有广狭 </w:t>
      </w:r>
      <w:r>
        <w:rPr>
          <w:rFonts w:ascii="微软雅黑" w:hAnsi="微软雅黑" w:eastAsia="微软雅黑" w:cs="微软雅黑"/>
          <w:sz w:val="19"/>
          <w:szCs w:val="19"/>
        </w:rPr>
        <w:tab/>
      </w:r>
      <w:r>
        <w:rPr>
          <w:rFonts w:ascii="微软雅黑" w:hAnsi="微软雅黑" w:eastAsia="微软雅黑" w:cs="微软雅黑"/>
          <w:spacing w:val="-11"/>
          <w:sz w:val="19"/>
          <w:szCs w:val="19"/>
        </w:rPr>
        <w:t>·</w:t>
      </w:r>
      <w:r>
        <w:rPr>
          <w:rFonts w:ascii="微软雅黑" w:hAnsi="微软雅黑" w:eastAsia="微软雅黑" w:cs="微软雅黑"/>
          <w:spacing w:val="19"/>
          <w:sz w:val="19"/>
          <w:szCs w:val="19"/>
        </w:rPr>
        <w:t xml:space="preserve">  </w:t>
      </w:r>
      <w:r>
        <w:rPr>
          <w:rFonts w:ascii="Arial" w:hAnsi="Arial" w:eastAsia="Arial" w:cs="Arial"/>
          <w:spacing w:val="-11"/>
          <w:position w:val="-2"/>
          <w:sz w:val="19"/>
          <w:szCs w:val="19"/>
        </w:rPr>
        <w:t>8</w:t>
      </w:r>
      <w:r>
        <w:rPr>
          <w:rFonts w:ascii="Arial" w:hAnsi="Arial" w:eastAsia="Arial" w:cs="Arial"/>
          <w:spacing w:val="21"/>
          <w:w w:val="101"/>
          <w:position w:val="-2"/>
          <w:sz w:val="19"/>
          <w:szCs w:val="19"/>
        </w:rPr>
        <w:t xml:space="preserve">  </w:t>
      </w:r>
      <w:r>
        <w:rPr>
          <w:rFonts w:ascii="微软雅黑" w:hAnsi="微软雅黑" w:eastAsia="微软雅黑" w:cs="微软雅黑"/>
          <w:spacing w:val="-11"/>
          <w:sz w:val="19"/>
          <w:szCs w:val="19"/>
        </w:rPr>
        <w:t>·</w:t>
      </w:r>
    </w:p>
    <w:p>
      <w:pPr>
        <w:spacing w:line="14" w:lineRule="auto"/>
        <w:rPr>
          <w:rFonts w:ascii="Arial"/>
          <w:sz w:val="2"/>
        </w:rPr>
      </w:pPr>
      <w:r>
        <w:rPr>
          <w:rFonts w:ascii="Arial" w:hAnsi="Arial" w:eastAsia="Arial" w:cs="Arial"/>
          <w:sz w:val="2"/>
          <w:szCs w:val="2"/>
        </w:rPr>
        <w:br w:type="column"/>
      </w:r>
    </w:p>
    <w:p>
      <w:pPr>
        <w:spacing w:before="46" w:line="208" w:lineRule="auto"/>
        <w:ind w:left="5" w:right="70" w:hanging="1"/>
        <w:rPr>
          <w:rFonts w:ascii="微软雅黑" w:hAnsi="微软雅黑" w:eastAsia="微软雅黑" w:cs="微软雅黑"/>
          <w:sz w:val="19"/>
          <w:szCs w:val="19"/>
        </w:rPr>
      </w:pPr>
      <w:r>
        <w:rPr>
          <w:rFonts w:ascii="宋体" w:hAnsi="宋体" w:eastAsia="宋体" w:cs="宋体"/>
          <w:spacing w:val="9"/>
          <w:sz w:val="19"/>
          <w:szCs w:val="19"/>
        </w:rPr>
        <w:t>义之分</w:t>
      </w:r>
      <w:r>
        <w:rPr>
          <w:rFonts w:ascii="微软雅黑" w:hAnsi="微软雅黑" w:eastAsia="微软雅黑" w:cs="微软雅黑"/>
          <w:spacing w:val="9"/>
          <w:sz w:val="19"/>
          <w:szCs w:val="19"/>
        </w:rPr>
        <w:t>，</w:t>
      </w:r>
      <w:r>
        <w:rPr>
          <w:rFonts w:ascii="宋体" w:hAnsi="宋体" w:eastAsia="宋体" w:cs="宋体"/>
          <w:spacing w:val="9"/>
          <w:sz w:val="19"/>
          <w:szCs w:val="19"/>
        </w:rPr>
        <w:t>又有宏微观之别</w:t>
      </w:r>
      <w:r>
        <w:rPr>
          <w:rFonts w:ascii="微软雅黑" w:hAnsi="微软雅黑" w:eastAsia="微软雅黑" w:cs="微软雅黑"/>
          <w:spacing w:val="9"/>
          <w:sz w:val="19"/>
          <w:szCs w:val="19"/>
        </w:rPr>
        <w:t>，</w:t>
      </w:r>
      <w:r>
        <w:rPr>
          <w:rFonts w:ascii="宋体" w:hAnsi="宋体" w:eastAsia="宋体" w:cs="宋体"/>
          <w:spacing w:val="9"/>
          <w:sz w:val="19"/>
          <w:szCs w:val="19"/>
        </w:rPr>
        <w:t>还有精神与物质的不同表</w:t>
      </w:r>
      <w:r>
        <w:rPr>
          <w:rFonts w:ascii="宋体" w:hAnsi="宋体" w:eastAsia="宋体" w:cs="宋体"/>
          <w:spacing w:val="11"/>
          <w:sz w:val="19"/>
          <w:szCs w:val="19"/>
        </w:rPr>
        <w:t xml:space="preserve"> </w:t>
      </w:r>
      <w:r>
        <w:rPr>
          <w:rFonts w:ascii="宋体" w:hAnsi="宋体" w:eastAsia="宋体" w:cs="宋体"/>
          <w:spacing w:val="16"/>
          <w:sz w:val="19"/>
          <w:szCs w:val="19"/>
        </w:rPr>
        <w:t>现方式</w:t>
      </w:r>
      <w:r>
        <w:rPr>
          <w:rFonts w:ascii="微软雅黑" w:hAnsi="微软雅黑" w:eastAsia="微软雅黑" w:cs="微软雅黑"/>
          <w:spacing w:val="16"/>
          <w:sz w:val="19"/>
          <w:szCs w:val="19"/>
        </w:rPr>
        <w:t>。</w:t>
      </w:r>
    </w:p>
    <w:p>
      <w:pPr>
        <w:spacing w:before="64" w:line="178" w:lineRule="auto"/>
        <w:ind w:left="438"/>
        <w:rPr>
          <w:rFonts w:ascii="微软雅黑" w:hAnsi="微软雅黑" w:eastAsia="微软雅黑" w:cs="微软雅黑"/>
          <w:sz w:val="19"/>
          <w:szCs w:val="19"/>
        </w:rPr>
      </w:pPr>
      <w:r>
        <w:rPr>
          <w:rFonts w:ascii="微软雅黑" w:hAnsi="微软雅黑" w:eastAsia="微软雅黑" w:cs="微软雅黑"/>
          <w:spacing w:val="17"/>
          <w:sz w:val="19"/>
          <w:szCs w:val="19"/>
        </w:rPr>
        <w:t>(</w:t>
      </w:r>
      <w:r>
        <w:rPr>
          <w:rFonts w:ascii="Arial" w:hAnsi="Arial" w:eastAsia="Arial" w:cs="Arial"/>
          <w:spacing w:val="17"/>
          <w:sz w:val="19"/>
          <w:szCs w:val="19"/>
        </w:rPr>
        <w:t>1</w:t>
      </w:r>
      <w:r>
        <w:rPr>
          <w:rFonts w:ascii="微软雅黑" w:hAnsi="微软雅黑" w:eastAsia="微软雅黑" w:cs="微软雅黑"/>
          <w:spacing w:val="17"/>
          <w:sz w:val="19"/>
          <w:szCs w:val="19"/>
        </w:rPr>
        <w:t>)</w:t>
      </w:r>
      <w:r>
        <w:rPr>
          <w:rFonts w:ascii="微软雅黑" w:hAnsi="微软雅黑" w:eastAsia="微软雅黑" w:cs="微软雅黑"/>
          <w:spacing w:val="-14"/>
          <w:sz w:val="19"/>
          <w:szCs w:val="19"/>
        </w:rPr>
        <w:t xml:space="preserve"> </w:t>
      </w:r>
      <w:r>
        <w:rPr>
          <w:rFonts w:ascii="宋体" w:hAnsi="宋体" w:eastAsia="宋体" w:cs="宋体"/>
          <w:spacing w:val="17"/>
          <w:sz w:val="19"/>
          <w:szCs w:val="19"/>
        </w:rPr>
        <w:t>广义和狭义的高等教育质量文化</w:t>
      </w:r>
      <w:r>
        <w:rPr>
          <w:rFonts w:ascii="微软雅黑" w:hAnsi="微软雅黑" w:eastAsia="微软雅黑" w:cs="微软雅黑"/>
          <w:spacing w:val="17"/>
          <w:sz w:val="19"/>
          <w:szCs w:val="19"/>
        </w:rPr>
        <w:t>。</w:t>
      </w:r>
    </w:p>
    <w:p>
      <w:pPr>
        <w:spacing w:before="72" w:line="237" w:lineRule="auto"/>
        <w:ind w:left="3" w:firstLine="421"/>
        <w:rPr>
          <w:rFonts w:ascii="微软雅黑" w:hAnsi="微软雅黑" w:eastAsia="微软雅黑" w:cs="微软雅黑"/>
          <w:sz w:val="19"/>
          <w:szCs w:val="19"/>
        </w:rPr>
      </w:pPr>
      <w:r>
        <w:rPr>
          <w:rFonts w:ascii="宋体" w:hAnsi="宋体" w:eastAsia="宋体" w:cs="宋体"/>
          <w:spacing w:val="15"/>
          <w:sz w:val="19"/>
          <w:szCs w:val="19"/>
        </w:rPr>
        <w:t>文化总是附着于一定的社会现象</w:t>
      </w:r>
      <w:r>
        <w:rPr>
          <w:rFonts w:ascii="宋体" w:hAnsi="宋体" w:eastAsia="宋体" w:cs="宋体"/>
          <w:spacing w:val="-46"/>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高等教育质 </w:t>
      </w:r>
      <w:r>
        <w:rPr>
          <w:rFonts w:ascii="宋体" w:hAnsi="宋体" w:eastAsia="宋体" w:cs="宋体"/>
          <w:spacing w:val="18"/>
          <w:sz w:val="19"/>
          <w:szCs w:val="19"/>
        </w:rPr>
        <w:t>量文化附着于高等教育</w:t>
      </w:r>
      <w:r>
        <w:rPr>
          <w:rFonts w:ascii="宋体" w:hAnsi="宋体" w:eastAsia="宋体" w:cs="宋体"/>
          <w:spacing w:val="-34"/>
          <w:sz w:val="19"/>
          <w:szCs w:val="19"/>
        </w:rPr>
        <w:t xml:space="preserve"> </w:t>
      </w:r>
      <w:r>
        <w:rPr>
          <w:rFonts w:ascii="微软雅黑" w:hAnsi="微软雅黑" w:eastAsia="微软雅黑" w:cs="微软雅黑"/>
          <w:spacing w:val="18"/>
          <w:sz w:val="19"/>
          <w:szCs w:val="19"/>
        </w:rPr>
        <w:t>。</w:t>
      </w:r>
      <w:r>
        <w:rPr>
          <w:rFonts w:ascii="微软雅黑" w:hAnsi="微软雅黑" w:eastAsia="微软雅黑" w:cs="微软雅黑"/>
          <w:spacing w:val="-33"/>
          <w:sz w:val="19"/>
          <w:szCs w:val="19"/>
        </w:rPr>
        <w:t xml:space="preserve"> </w:t>
      </w:r>
      <w:r>
        <w:rPr>
          <w:rFonts w:ascii="宋体" w:hAnsi="宋体" w:eastAsia="宋体" w:cs="宋体"/>
          <w:spacing w:val="18"/>
          <w:sz w:val="19"/>
          <w:szCs w:val="19"/>
        </w:rPr>
        <w:t>高等教育有广狭义之分</w:t>
      </w:r>
      <w:r>
        <w:rPr>
          <w:rFonts w:ascii="微软雅黑" w:hAnsi="微软雅黑" w:eastAsia="微软雅黑" w:cs="微软雅黑"/>
          <w:spacing w:val="18"/>
          <w:sz w:val="19"/>
          <w:szCs w:val="19"/>
        </w:rPr>
        <w:t>，</w:t>
      </w:r>
      <w:r>
        <w:rPr>
          <w:rFonts w:ascii="微软雅黑" w:hAnsi="微软雅黑" w:eastAsia="微软雅黑" w:cs="微软雅黑"/>
          <w:sz w:val="19"/>
          <w:szCs w:val="19"/>
        </w:rPr>
        <w:t xml:space="preserve"> </w:t>
      </w:r>
      <w:r>
        <w:rPr>
          <w:rFonts w:ascii="宋体" w:hAnsi="宋体" w:eastAsia="宋体" w:cs="宋体"/>
          <w:spacing w:val="15"/>
          <w:sz w:val="19"/>
          <w:szCs w:val="19"/>
        </w:rPr>
        <w:t>质量文化也有广狭义之分</w:t>
      </w:r>
      <w:r>
        <w:rPr>
          <w:rFonts w:ascii="宋体" w:hAnsi="宋体" w:eastAsia="宋体" w:cs="宋体"/>
          <w:spacing w:val="-35"/>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狭义的高等教育是指师 </w:t>
      </w:r>
      <w:r>
        <w:rPr>
          <w:rFonts w:ascii="宋体" w:hAnsi="宋体" w:eastAsia="宋体" w:cs="宋体"/>
          <w:spacing w:val="9"/>
          <w:sz w:val="19"/>
          <w:szCs w:val="19"/>
        </w:rPr>
        <w:t>生所建构的教与学活动及其过程</w:t>
      </w:r>
      <w:r>
        <w:rPr>
          <w:rFonts w:ascii="微软雅黑" w:hAnsi="微软雅黑" w:eastAsia="微软雅黑" w:cs="微软雅黑"/>
          <w:spacing w:val="9"/>
          <w:sz w:val="19"/>
          <w:szCs w:val="19"/>
        </w:rPr>
        <w:t>，</w:t>
      </w:r>
      <w:r>
        <w:rPr>
          <w:rFonts w:ascii="宋体" w:hAnsi="宋体" w:eastAsia="宋体" w:cs="宋体"/>
          <w:spacing w:val="9"/>
          <w:sz w:val="19"/>
          <w:szCs w:val="19"/>
        </w:rPr>
        <w:t>师与生</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教与学是 </w:t>
      </w:r>
      <w:r>
        <w:rPr>
          <w:rFonts w:ascii="宋体" w:hAnsi="宋体" w:eastAsia="宋体" w:cs="宋体"/>
          <w:spacing w:val="17"/>
          <w:sz w:val="19"/>
          <w:szCs w:val="19"/>
        </w:rPr>
        <w:t>高等教育活动的基本构成要素</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其他要素都为实现 </w:t>
      </w:r>
      <w:r>
        <w:rPr>
          <w:rFonts w:ascii="宋体" w:hAnsi="宋体" w:eastAsia="宋体" w:cs="宋体"/>
          <w:spacing w:val="14"/>
          <w:sz w:val="19"/>
          <w:szCs w:val="19"/>
        </w:rPr>
        <w:t>师生教与学目标服务</w:t>
      </w:r>
      <w:r>
        <w:rPr>
          <w:rFonts w:ascii="宋体" w:hAnsi="宋体" w:eastAsia="宋体" w:cs="宋体"/>
          <w:spacing w:val="-49"/>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19"/>
          <w:sz w:val="19"/>
          <w:szCs w:val="19"/>
        </w:rPr>
        <w:t xml:space="preserve"> </w:t>
      </w:r>
      <w:r>
        <w:rPr>
          <w:rFonts w:ascii="宋体" w:hAnsi="宋体" w:eastAsia="宋体" w:cs="宋体"/>
          <w:spacing w:val="14"/>
          <w:sz w:val="19"/>
          <w:szCs w:val="19"/>
        </w:rPr>
        <w:t>因此</w:t>
      </w:r>
      <w:r>
        <w:rPr>
          <w:rFonts w:ascii="微软雅黑" w:hAnsi="微软雅黑" w:eastAsia="微软雅黑" w:cs="微软雅黑"/>
          <w:spacing w:val="14"/>
          <w:sz w:val="19"/>
          <w:szCs w:val="19"/>
        </w:rPr>
        <w:t>，</w:t>
      </w:r>
      <w:r>
        <w:rPr>
          <w:rFonts w:ascii="宋体" w:hAnsi="宋体" w:eastAsia="宋体" w:cs="宋体"/>
          <w:spacing w:val="14"/>
          <w:sz w:val="19"/>
          <w:szCs w:val="19"/>
        </w:rPr>
        <w:t xml:space="preserve">狭义的高等教育质量 </w:t>
      </w:r>
      <w:r>
        <w:rPr>
          <w:rFonts w:ascii="宋体" w:hAnsi="宋体" w:eastAsia="宋体" w:cs="宋体"/>
          <w:spacing w:val="17"/>
          <w:sz w:val="19"/>
          <w:szCs w:val="19"/>
        </w:rPr>
        <w:t xml:space="preserve">文化是指师生在教学活动过程中所奉行的基本价值 观以及活动中所沉淀和积累下来的规则与惯习的总 </w:t>
      </w:r>
      <w:r>
        <w:rPr>
          <w:rFonts w:ascii="宋体" w:hAnsi="宋体" w:eastAsia="宋体" w:cs="宋体"/>
          <w:spacing w:val="15"/>
          <w:sz w:val="19"/>
          <w:szCs w:val="19"/>
        </w:rPr>
        <w:t>和</w:t>
      </w:r>
      <w:r>
        <w:rPr>
          <w:rFonts w:ascii="宋体" w:hAnsi="宋体" w:eastAsia="宋体" w:cs="宋体"/>
          <w:spacing w:val="-35"/>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也就是说</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师生是高等教育质量文化不可或缺 </w:t>
      </w:r>
      <w:r>
        <w:rPr>
          <w:rFonts w:ascii="宋体" w:hAnsi="宋体" w:eastAsia="宋体" w:cs="宋体"/>
          <w:spacing w:val="12"/>
          <w:sz w:val="19"/>
          <w:szCs w:val="19"/>
        </w:rPr>
        <w:t>的主体</w:t>
      </w:r>
      <w:r>
        <w:rPr>
          <w:rFonts w:ascii="微软雅黑" w:hAnsi="微软雅黑" w:eastAsia="微软雅黑" w:cs="微软雅黑"/>
          <w:spacing w:val="12"/>
          <w:sz w:val="19"/>
          <w:szCs w:val="19"/>
        </w:rPr>
        <w:t>，</w:t>
      </w:r>
      <w:r>
        <w:rPr>
          <w:rFonts w:ascii="宋体" w:hAnsi="宋体" w:eastAsia="宋体" w:cs="宋体"/>
          <w:spacing w:val="12"/>
          <w:sz w:val="19"/>
          <w:szCs w:val="19"/>
        </w:rPr>
        <w:t>质量文化扎根</w:t>
      </w:r>
      <w:r>
        <w:rPr>
          <w:rFonts w:ascii="宋体" w:hAnsi="宋体" w:eastAsia="宋体" w:cs="宋体"/>
          <w:spacing w:val="-55"/>
          <w:sz w:val="19"/>
          <w:szCs w:val="19"/>
        </w:rPr>
        <w:t xml:space="preserve"> </w:t>
      </w:r>
      <w:r>
        <w:rPr>
          <w:rFonts w:ascii="宋体" w:hAnsi="宋体" w:eastAsia="宋体" w:cs="宋体"/>
          <w:spacing w:val="12"/>
          <w:sz w:val="19"/>
          <w:szCs w:val="19"/>
        </w:rPr>
        <w:t>于师生</w:t>
      </w:r>
      <w:r>
        <w:rPr>
          <w:rFonts w:ascii="宋体" w:hAnsi="宋体" w:eastAsia="宋体" w:cs="宋体"/>
          <w:spacing w:val="-42"/>
          <w:sz w:val="19"/>
          <w:szCs w:val="19"/>
        </w:rPr>
        <w:t xml:space="preserve"> </w:t>
      </w:r>
      <w:r>
        <w:rPr>
          <w:rFonts w:ascii="宋体" w:hAnsi="宋体" w:eastAsia="宋体" w:cs="宋体"/>
          <w:spacing w:val="12"/>
          <w:sz w:val="19"/>
          <w:szCs w:val="19"/>
        </w:rPr>
        <w:t>内心</w:t>
      </w:r>
      <w:r>
        <w:rPr>
          <w:rFonts w:ascii="微软雅黑" w:hAnsi="微软雅黑" w:eastAsia="微软雅黑" w:cs="微软雅黑"/>
          <w:spacing w:val="12"/>
          <w:sz w:val="19"/>
          <w:szCs w:val="19"/>
        </w:rPr>
        <w:t>，</w:t>
      </w:r>
      <w:r>
        <w:rPr>
          <w:rFonts w:ascii="宋体" w:hAnsi="宋体" w:eastAsia="宋体" w:cs="宋体"/>
          <w:spacing w:val="12"/>
          <w:sz w:val="19"/>
          <w:szCs w:val="19"/>
        </w:rPr>
        <w:t>表现</w:t>
      </w:r>
      <w:r>
        <w:rPr>
          <w:rFonts w:ascii="宋体" w:hAnsi="宋体" w:eastAsia="宋体" w:cs="宋体"/>
          <w:spacing w:val="-55"/>
          <w:sz w:val="19"/>
          <w:szCs w:val="19"/>
        </w:rPr>
        <w:t xml:space="preserve"> </w:t>
      </w:r>
      <w:r>
        <w:rPr>
          <w:rFonts w:ascii="宋体" w:hAnsi="宋体" w:eastAsia="宋体" w:cs="宋体"/>
          <w:spacing w:val="12"/>
          <w:sz w:val="19"/>
          <w:szCs w:val="19"/>
        </w:rPr>
        <w:t>于</w:t>
      </w:r>
      <w:r>
        <w:rPr>
          <w:rFonts w:ascii="宋体" w:hAnsi="宋体" w:eastAsia="宋体" w:cs="宋体"/>
          <w:spacing w:val="11"/>
          <w:sz w:val="19"/>
          <w:szCs w:val="19"/>
        </w:rPr>
        <w:t xml:space="preserve">教学活 </w:t>
      </w:r>
      <w:r>
        <w:rPr>
          <w:rFonts w:ascii="宋体" w:hAnsi="宋体" w:eastAsia="宋体" w:cs="宋体"/>
          <w:spacing w:val="9"/>
          <w:sz w:val="19"/>
          <w:szCs w:val="19"/>
        </w:rPr>
        <w:t>动</w:t>
      </w:r>
      <w:r>
        <w:rPr>
          <w:rFonts w:ascii="微软雅黑" w:hAnsi="微软雅黑" w:eastAsia="微软雅黑" w:cs="微软雅黑"/>
          <w:spacing w:val="9"/>
          <w:sz w:val="19"/>
          <w:szCs w:val="19"/>
        </w:rPr>
        <w:t>，</w:t>
      </w:r>
      <w:r>
        <w:rPr>
          <w:rFonts w:ascii="宋体" w:hAnsi="宋体" w:eastAsia="宋体" w:cs="宋体"/>
          <w:spacing w:val="9"/>
          <w:sz w:val="19"/>
          <w:szCs w:val="19"/>
        </w:rPr>
        <w:t>分布于高等教育的方方面面</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从根本上决定着教 </w:t>
      </w:r>
      <w:r>
        <w:rPr>
          <w:rFonts w:ascii="宋体" w:hAnsi="宋体" w:eastAsia="宋体" w:cs="宋体"/>
          <w:spacing w:val="13"/>
          <w:sz w:val="19"/>
          <w:szCs w:val="19"/>
        </w:rPr>
        <w:t>学质量</w:t>
      </w:r>
      <w:r>
        <w:rPr>
          <w:rFonts w:ascii="微软雅黑" w:hAnsi="微软雅黑" w:eastAsia="微软雅黑" w:cs="微软雅黑"/>
          <w:spacing w:val="13"/>
          <w:sz w:val="19"/>
          <w:szCs w:val="19"/>
        </w:rPr>
        <w:t>，</w:t>
      </w:r>
      <w:r>
        <w:rPr>
          <w:rFonts w:ascii="宋体" w:hAnsi="宋体" w:eastAsia="宋体" w:cs="宋体"/>
          <w:spacing w:val="13"/>
          <w:sz w:val="19"/>
          <w:szCs w:val="19"/>
        </w:rPr>
        <w:t>是最深层的高等教育质量决定因素</w:t>
      </w:r>
      <w:r>
        <w:rPr>
          <w:rFonts w:ascii="微软雅黑" w:hAnsi="微软雅黑" w:eastAsia="微软雅黑" w:cs="微软雅黑"/>
          <w:spacing w:val="13"/>
          <w:sz w:val="19"/>
          <w:szCs w:val="19"/>
        </w:rPr>
        <w:t>。</w:t>
      </w:r>
    </w:p>
    <w:p>
      <w:pPr>
        <w:spacing w:before="69" w:line="237" w:lineRule="auto"/>
        <w:ind w:right="70" w:firstLine="422"/>
        <w:rPr>
          <w:rFonts w:ascii="微软雅黑" w:hAnsi="微软雅黑" w:eastAsia="微软雅黑" w:cs="微软雅黑"/>
          <w:sz w:val="19"/>
          <w:szCs w:val="19"/>
        </w:rPr>
      </w:pPr>
      <w:r>
        <w:rPr>
          <w:rFonts w:ascii="宋体" w:hAnsi="宋体" w:eastAsia="宋体" w:cs="宋体"/>
          <w:spacing w:val="29"/>
          <w:sz w:val="19"/>
          <w:szCs w:val="19"/>
        </w:rPr>
        <w:t>广义的高等教育是指社会或国家高等教育事</w:t>
      </w:r>
      <w:r>
        <w:rPr>
          <w:rFonts w:ascii="宋体" w:hAnsi="宋体" w:eastAsia="宋体" w:cs="宋体"/>
          <w:spacing w:val="6"/>
          <w:sz w:val="19"/>
          <w:szCs w:val="19"/>
        </w:rPr>
        <w:t xml:space="preserve"> </w:t>
      </w:r>
      <w:r>
        <w:rPr>
          <w:rFonts w:ascii="宋体" w:hAnsi="宋体" w:eastAsia="宋体" w:cs="宋体"/>
          <w:spacing w:val="9"/>
          <w:sz w:val="19"/>
          <w:szCs w:val="19"/>
        </w:rPr>
        <w:t>业</w:t>
      </w:r>
      <w:r>
        <w:rPr>
          <w:rFonts w:ascii="微软雅黑" w:hAnsi="微软雅黑" w:eastAsia="微软雅黑" w:cs="微软雅黑"/>
          <w:spacing w:val="9"/>
          <w:sz w:val="19"/>
          <w:szCs w:val="19"/>
        </w:rPr>
        <w:t>，</w:t>
      </w:r>
      <w:r>
        <w:rPr>
          <w:rFonts w:ascii="宋体" w:hAnsi="宋体" w:eastAsia="宋体" w:cs="宋体"/>
          <w:spacing w:val="9"/>
          <w:sz w:val="19"/>
          <w:szCs w:val="19"/>
        </w:rPr>
        <w:t>往往受到政府的高度重视</w:t>
      </w:r>
      <w:r>
        <w:rPr>
          <w:rFonts w:ascii="微软雅黑" w:hAnsi="微软雅黑" w:eastAsia="微软雅黑" w:cs="微软雅黑"/>
          <w:spacing w:val="9"/>
          <w:sz w:val="19"/>
          <w:szCs w:val="19"/>
        </w:rPr>
        <w:t>，</w:t>
      </w:r>
      <w:r>
        <w:rPr>
          <w:rFonts w:ascii="宋体" w:hAnsi="宋体" w:eastAsia="宋体" w:cs="宋体"/>
          <w:spacing w:val="9"/>
          <w:sz w:val="19"/>
          <w:szCs w:val="19"/>
        </w:rPr>
        <w:t>成为政府施政治国的</w:t>
      </w:r>
      <w:r>
        <w:rPr>
          <w:rFonts w:ascii="宋体" w:hAnsi="宋体" w:eastAsia="宋体" w:cs="宋体"/>
          <w:spacing w:val="15"/>
          <w:sz w:val="19"/>
          <w:szCs w:val="19"/>
        </w:rPr>
        <w:t xml:space="preserve"> 重要领域</w:t>
      </w:r>
      <w:r>
        <w:rPr>
          <w:rFonts w:ascii="宋体" w:hAnsi="宋体" w:eastAsia="宋体" w:cs="宋体"/>
          <w:spacing w:val="-46"/>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25"/>
          <w:sz w:val="19"/>
          <w:szCs w:val="19"/>
        </w:rPr>
        <w:t xml:space="preserve"> </w:t>
      </w:r>
      <w:r>
        <w:rPr>
          <w:rFonts w:ascii="宋体" w:hAnsi="宋体" w:eastAsia="宋体" w:cs="宋体"/>
          <w:spacing w:val="15"/>
          <w:sz w:val="19"/>
          <w:szCs w:val="19"/>
        </w:rPr>
        <w:t>因此</w:t>
      </w:r>
      <w:r>
        <w:rPr>
          <w:rFonts w:ascii="微软雅黑" w:hAnsi="微软雅黑" w:eastAsia="微软雅黑" w:cs="微软雅黑"/>
          <w:spacing w:val="15"/>
          <w:sz w:val="19"/>
          <w:szCs w:val="19"/>
        </w:rPr>
        <w:t>，</w:t>
      </w:r>
      <w:r>
        <w:rPr>
          <w:rFonts w:ascii="宋体" w:hAnsi="宋体" w:eastAsia="宋体" w:cs="宋体"/>
          <w:spacing w:val="15"/>
          <w:sz w:val="19"/>
          <w:szCs w:val="19"/>
        </w:rPr>
        <w:t>广义的高等教育质量文化是指国</w:t>
      </w:r>
      <w:r>
        <w:rPr>
          <w:rFonts w:ascii="宋体" w:hAnsi="宋体" w:eastAsia="宋体" w:cs="宋体"/>
          <w:sz w:val="19"/>
          <w:szCs w:val="19"/>
        </w:rPr>
        <w:t xml:space="preserve"> </w:t>
      </w:r>
      <w:r>
        <w:rPr>
          <w:rFonts w:ascii="宋体" w:hAnsi="宋体" w:eastAsia="宋体" w:cs="宋体"/>
          <w:spacing w:val="18"/>
          <w:sz w:val="19"/>
          <w:szCs w:val="19"/>
        </w:rPr>
        <w:t>家高等教育部门所存在的质量文化</w:t>
      </w:r>
      <w:r>
        <w:rPr>
          <w:rFonts w:ascii="微软雅黑" w:hAnsi="微软雅黑" w:eastAsia="微软雅黑" w:cs="微软雅黑"/>
          <w:spacing w:val="18"/>
          <w:sz w:val="19"/>
          <w:szCs w:val="19"/>
        </w:rPr>
        <w:t>，</w:t>
      </w:r>
      <w:r>
        <w:rPr>
          <w:rFonts w:ascii="宋体" w:hAnsi="宋体" w:eastAsia="宋体" w:cs="宋体"/>
          <w:spacing w:val="18"/>
          <w:sz w:val="19"/>
          <w:szCs w:val="19"/>
        </w:rPr>
        <w:t>既包括狭义的</w:t>
      </w:r>
      <w:r>
        <w:rPr>
          <w:rFonts w:ascii="宋体" w:hAnsi="宋体" w:eastAsia="宋体" w:cs="宋体"/>
          <w:spacing w:val="16"/>
          <w:sz w:val="19"/>
          <w:szCs w:val="19"/>
        </w:rPr>
        <w:t xml:space="preserve"> </w:t>
      </w:r>
      <w:r>
        <w:rPr>
          <w:rFonts w:ascii="宋体" w:hAnsi="宋体" w:eastAsia="宋体" w:cs="宋体"/>
          <w:spacing w:val="18"/>
          <w:sz w:val="19"/>
          <w:szCs w:val="19"/>
        </w:rPr>
        <w:t>质量文化</w:t>
      </w:r>
      <w:r>
        <w:rPr>
          <w:rFonts w:ascii="微软雅黑" w:hAnsi="微软雅黑" w:eastAsia="微软雅黑" w:cs="微软雅黑"/>
          <w:spacing w:val="18"/>
          <w:sz w:val="19"/>
          <w:szCs w:val="19"/>
        </w:rPr>
        <w:t>，</w:t>
      </w:r>
      <w:r>
        <w:rPr>
          <w:rFonts w:ascii="宋体" w:hAnsi="宋体" w:eastAsia="宋体" w:cs="宋体"/>
          <w:spacing w:val="18"/>
          <w:sz w:val="19"/>
          <w:szCs w:val="19"/>
        </w:rPr>
        <w:t>又包括政府和社会参与高等教育事业发</w:t>
      </w:r>
      <w:r>
        <w:rPr>
          <w:rFonts w:ascii="宋体" w:hAnsi="宋体" w:eastAsia="宋体" w:cs="宋体"/>
          <w:spacing w:val="13"/>
          <w:sz w:val="19"/>
          <w:szCs w:val="19"/>
        </w:rPr>
        <w:t xml:space="preserve"> </w:t>
      </w:r>
      <w:r>
        <w:rPr>
          <w:rFonts w:ascii="宋体" w:hAnsi="宋体" w:eastAsia="宋体" w:cs="宋体"/>
          <w:spacing w:val="24"/>
          <w:sz w:val="19"/>
          <w:szCs w:val="19"/>
        </w:rPr>
        <w:t>展所秉持的价值追求和积淀下来</w:t>
      </w:r>
      <w:r>
        <w:rPr>
          <w:rFonts w:ascii="宋体" w:hAnsi="宋体" w:eastAsia="宋体" w:cs="宋体"/>
          <w:spacing w:val="-46"/>
          <w:sz w:val="19"/>
          <w:szCs w:val="19"/>
        </w:rPr>
        <w:t xml:space="preserve"> </w:t>
      </w:r>
      <w:r>
        <w:rPr>
          <w:rFonts w:ascii="宋体" w:hAnsi="宋体" w:eastAsia="宋体" w:cs="宋体"/>
          <w:spacing w:val="24"/>
          <w:sz w:val="19"/>
          <w:szCs w:val="19"/>
        </w:rPr>
        <w:t>的稳定</w:t>
      </w:r>
      <w:r>
        <w:rPr>
          <w:rFonts w:ascii="宋体" w:hAnsi="宋体" w:eastAsia="宋体" w:cs="宋体"/>
          <w:spacing w:val="-47"/>
          <w:sz w:val="19"/>
          <w:szCs w:val="19"/>
        </w:rPr>
        <w:t xml:space="preserve"> </w:t>
      </w:r>
      <w:r>
        <w:rPr>
          <w:rFonts w:ascii="宋体" w:hAnsi="宋体" w:eastAsia="宋体" w:cs="宋体"/>
          <w:spacing w:val="24"/>
          <w:sz w:val="19"/>
          <w:szCs w:val="19"/>
        </w:rPr>
        <w:t>的作</w:t>
      </w:r>
      <w:r>
        <w:rPr>
          <w:rFonts w:ascii="宋体" w:hAnsi="宋体" w:eastAsia="宋体" w:cs="宋体"/>
          <w:spacing w:val="23"/>
          <w:sz w:val="19"/>
          <w:szCs w:val="19"/>
        </w:rPr>
        <w:t>用方</w:t>
      </w:r>
      <w:r>
        <w:rPr>
          <w:rFonts w:ascii="宋体" w:hAnsi="宋体" w:eastAsia="宋体" w:cs="宋体"/>
          <w:sz w:val="19"/>
          <w:szCs w:val="19"/>
        </w:rPr>
        <w:t xml:space="preserve"> </w:t>
      </w:r>
      <w:r>
        <w:rPr>
          <w:rFonts w:ascii="宋体" w:hAnsi="宋体" w:eastAsia="宋体" w:cs="宋体"/>
          <w:spacing w:val="16"/>
          <w:sz w:val="19"/>
          <w:szCs w:val="19"/>
        </w:rPr>
        <w:t>式</w:t>
      </w:r>
      <w:r>
        <w:rPr>
          <w:rFonts w:ascii="宋体" w:hAnsi="宋体" w:eastAsia="宋体" w:cs="宋体"/>
          <w:spacing w:val="-37"/>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从广义上讲</w:t>
      </w:r>
      <w:r>
        <w:rPr>
          <w:rFonts w:ascii="微软雅黑" w:hAnsi="微软雅黑" w:eastAsia="微软雅黑" w:cs="微软雅黑"/>
          <w:spacing w:val="16"/>
          <w:sz w:val="19"/>
          <w:szCs w:val="19"/>
        </w:rPr>
        <w:t>，</w:t>
      </w:r>
      <w:r>
        <w:rPr>
          <w:rFonts w:ascii="宋体" w:hAnsi="宋体" w:eastAsia="宋体" w:cs="宋体"/>
          <w:spacing w:val="16"/>
          <w:sz w:val="19"/>
          <w:szCs w:val="19"/>
        </w:rPr>
        <w:t>高等教育质量文化的主体是多元</w:t>
      </w:r>
      <w:r>
        <w:rPr>
          <w:rFonts w:ascii="宋体" w:hAnsi="宋体" w:eastAsia="宋体" w:cs="宋体"/>
          <w:sz w:val="19"/>
          <w:szCs w:val="19"/>
        </w:rPr>
        <w:t xml:space="preserve"> </w:t>
      </w:r>
      <w:r>
        <w:rPr>
          <w:rFonts w:ascii="宋体" w:hAnsi="宋体" w:eastAsia="宋体" w:cs="宋体"/>
          <w:spacing w:val="9"/>
          <w:sz w:val="19"/>
          <w:szCs w:val="19"/>
        </w:rPr>
        <w:t>的</w:t>
      </w:r>
      <w:r>
        <w:rPr>
          <w:rFonts w:ascii="微软雅黑" w:hAnsi="微软雅黑" w:eastAsia="微软雅黑" w:cs="微软雅黑"/>
          <w:spacing w:val="9"/>
          <w:sz w:val="19"/>
          <w:szCs w:val="19"/>
        </w:rPr>
        <w:t>，</w:t>
      </w:r>
      <w:r>
        <w:rPr>
          <w:rFonts w:ascii="宋体" w:hAnsi="宋体" w:eastAsia="宋体" w:cs="宋体"/>
          <w:spacing w:val="9"/>
          <w:sz w:val="19"/>
          <w:szCs w:val="19"/>
        </w:rPr>
        <w:t>既包括师生</w:t>
      </w:r>
      <w:r>
        <w:rPr>
          <w:rFonts w:ascii="微软雅黑" w:hAnsi="微软雅黑" w:eastAsia="微软雅黑" w:cs="微软雅黑"/>
          <w:spacing w:val="9"/>
          <w:sz w:val="19"/>
          <w:szCs w:val="19"/>
        </w:rPr>
        <w:t>，</w:t>
      </w:r>
      <w:r>
        <w:rPr>
          <w:rFonts w:ascii="宋体" w:hAnsi="宋体" w:eastAsia="宋体" w:cs="宋体"/>
          <w:spacing w:val="9"/>
          <w:sz w:val="19"/>
          <w:szCs w:val="19"/>
        </w:rPr>
        <w:t>又包括高校</w:t>
      </w:r>
      <w:r>
        <w:rPr>
          <w:rFonts w:ascii="微软雅黑" w:hAnsi="微软雅黑" w:eastAsia="微软雅黑" w:cs="微软雅黑"/>
          <w:spacing w:val="9"/>
          <w:sz w:val="19"/>
          <w:szCs w:val="19"/>
        </w:rPr>
        <w:t>、</w:t>
      </w:r>
      <w:r>
        <w:rPr>
          <w:rFonts w:ascii="宋体" w:hAnsi="宋体" w:eastAsia="宋体" w:cs="宋体"/>
          <w:spacing w:val="9"/>
          <w:sz w:val="19"/>
          <w:szCs w:val="19"/>
        </w:rPr>
        <w:t>政府和其他社会组织</w:t>
      </w:r>
      <w:r>
        <w:rPr>
          <w:rFonts w:ascii="宋体" w:hAnsi="宋体" w:eastAsia="宋体" w:cs="宋体"/>
          <w:spacing w:val="14"/>
          <w:sz w:val="19"/>
          <w:szCs w:val="19"/>
        </w:rPr>
        <w:t xml:space="preserve"> </w:t>
      </w:r>
      <w:r>
        <w:rPr>
          <w:rFonts w:ascii="宋体" w:hAnsi="宋体" w:eastAsia="宋体" w:cs="宋体"/>
          <w:spacing w:val="9"/>
          <w:sz w:val="19"/>
          <w:szCs w:val="19"/>
        </w:rPr>
        <w:t>等</w:t>
      </w:r>
      <w:r>
        <w:rPr>
          <w:rFonts w:ascii="微软雅黑" w:hAnsi="微软雅黑" w:eastAsia="微软雅黑" w:cs="微软雅黑"/>
          <w:spacing w:val="9"/>
          <w:sz w:val="19"/>
          <w:szCs w:val="19"/>
        </w:rPr>
        <w:t>；</w:t>
      </w:r>
      <w:r>
        <w:rPr>
          <w:rFonts w:ascii="宋体" w:hAnsi="宋体" w:eastAsia="宋体" w:cs="宋体"/>
          <w:spacing w:val="9"/>
          <w:sz w:val="19"/>
          <w:szCs w:val="19"/>
        </w:rPr>
        <w:t>高等教育质量价值是多元的</w:t>
      </w:r>
      <w:r>
        <w:rPr>
          <w:rFonts w:ascii="微软雅黑" w:hAnsi="微软雅黑" w:eastAsia="微软雅黑" w:cs="微软雅黑"/>
          <w:spacing w:val="9"/>
          <w:sz w:val="19"/>
          <w:szCs w:val="19"/>
        </w:rPr>
        <w:t>，</w:t>
      </w:r>
      <w:r>
        <w:rPr>
          <w:rFonts w:ascii="宋体" w:hAnsi="宋体" w:eastAsia="宋体" w:cs="宋体"/>
          <w:spacing w:val="9"/>
          <w:sz w:val="19"/>
          <w:szCs w:val="19"/>
        </w:rPr>
        <w:t>不同价值主体之间</w:t>
      </w:r>
      <w:r>
        <w:rPr>
          <w:rFonts w:ascii="宋体" w:hAnsi="宋体" w:eastAsia="宋体" w:cs="宋体"/>
          <w:spacing w:val="15"/>
          <w:sz w:val="19"/>
          <w:szCs w:val="19"/>
        </w:rPr>
        <w:t xml:space="preserve"> </w:t>
      </w:r>
      <w:r>
        <w:rPr>
          <w:rFonts w:ascii="宋体" w:hAnsi="宋体" w:eastAsia="宋体" w:cs="宋体"/>
          <w:spacing w:val="16"/>
          <w:sz w:val="19"/>
          <w:szCs w:val="19"/>
        </w:rPr>
        <w:t>存在相互博弈的关系</w:t>
      </w:r>
      <w:r>
        <w:rPr>
          <w:rFonts w:ascii="宋体" w:hAnsi="宋体" w:eastAsia="宋体" w:cs="宋体"/>
          <w:spacing w:val="-36"/>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高等教育质量文化主体之间</w:t>
      </w:r>
      <w:r>
        <w:rPr>
          <w:rFonts w:ascii="宋体" w:hAnsi="宋体" w:eastAsia="宋体" w:cs="宋体"/>
          <w:sz w:val="19"/>
          <w:szCs w:val="19"/>
        </w:rPr>
        <w:t xml:space="preserve"> </w:t>
      </w:r>
      <w:r>
        <w:rPr>
          <w:rFonts w:ascii="宋体" w:hAnsi="宋体" w:eastAsia="宋体" w:cs="宋体"/>
          <w:spacing w:val="18"/>
          <w:sz w:val="19"/>
          <w:szCs w:val="19"/>
        </w:rPr>
        <w:t>的地位并不是平等的</w:t>
      </w:r>
      <w:r>
        <w:rPr>
          <w:rFonts w:ascii="微软雅黑" w:hAnsi="微软雅黑" w:eastAsia="微软雅黑" w:cs="微软雅黑"/>
          <w:spacing w:val="18"/>
          <w:sz w:val="19"/>
          <w:szCs w:val="19"/>
        </w:rPr>
        <w:t>，</w:t>
      </w:r>
      <w:r>
        <w:rPr>
          <w:rFonts w:ascii="宋体" w:hAnsi="宋体" w:eastAsia="宋体" w:cs="宋体"/>
          <w:spacing w:val="18"/>
          <w:sz w:val="19"/>
          <w:szCs w:val="19"/>
        </w:rPr>
        <w:t>强势主体的作用对质量文化</w:t>
      </w:r>
      <w:r>
        <w:rPr>
          <w:rFonts w:ascii="宋体" w:hAnsi="宋体" w:eastAsia="宋体" w:cs="宋体"/>
          <w:spacing w:val="15"/>
          <w:sz w:val="19"/>
          <w:szCs w:val="19"/>
        </w:rPr>
        <w:t xml:space="preserve"> </w:t>
      </w:r>
      <w:r>
        <w:rPr>
          <w:rFonts w:ascii="宋体" w:hAnsi="宋体" w:eastAsia="宋体" w:cs="宋体"/>
          <w:spacing w:val="19"/>
          <w:sz w:val="19"/>
          <w:szCs w:val="19"/>
        </w:rPr>
        <w:t>生成和变化具有主导作用</w:t>
      </w:r>
      <w:r>
        <w:rPr>
          <w:rFonts w:ascii="微软雅黑" w:hAnsi="微软雅黑" w:eastAsia="微软雅黑" w:cs="微软雅黑"/>
          <w:spacing w:val="19"/>
          <w:sz w:val="19"/>
          <w:szCs w:val="19"/>
        </w:rPr>
        <w:t>。</w:t>
      </w:r>
    </w:p>
    <w:p>
      <w:pPr>
        <w:spacing w:before="63" w:line="178" w:lineRule="auto"/>
        <w:ind w:left="438"/>
        <w:rPr>
          <w:rFonts w:ascii="微软雅黑" w:hAnsi="微软雅黑" w:eastAsia="微软雅黑" w:cs="微软雅黑"/>
          <w:sz w:val="19"/>
          <w:szCs w:val="19"/>
        </w:rPr>
      </w:pPr>
      <w:r>
        <w:rPr>
          <w:rFonts w:ascii="微软雅黑" w:hAnsi="微软雅黑" w:eastAsia="微软雅黑" w:cs="微软雅黑"/>
          <w:spacing w:val="17"/>
          <w:sz w:val="19"/>
          <w:szCs w:val="19"/>
        </w:rPr>
        <w:t>(</w:t>
      </w:r>
      <w:r>
        <w:rPr>
          <w:rFonts w:ascii="Arial" w:hAnsi="Arial" w:eastAsia="Arial" w:cs="Arial"/>
          <w:spacing w:val="17"/>
          <w:sz w:val="19"/>
          <w:szCs w:val="19"/>
        </w:rPr>
        <w:t>2</w:t>
      </w:r>
      <w:r>
        <w:rPr>
          <w:rFonts w:ascii="微软雅黑" w:hAnsi="微软雅黑" w:eastAsia="微软雅黑" w:cs="微软雅黑"/>
          <w:spacing w:val="17"/>
          <w:sz w:val="19"/>
          <w:szCs w:val="19"/>
        </w:rPr>
        <w:t>)</w:t>
      </w:r>
      <w:r>
        <w:rPr>
          <w:rFonts w:ascii="微软雅黑" w:hAnsi="微软雅黑" w:eastAsia="微软雅黑" w:cs="微软雅黑"/>
          <w:spacing w:val="-14"/>
          <w:sz w:val="19"/>
          <w:szCs w:val="19"/>
        </w:rPr>
        <w:t xml:space="preserve"> </w:t>
      </w:r>
      <w:r>
        <w:rPr>
          <w:rFonts w:ascii="宋体" w:hAnsi="宋体" w:eastAsia="宋体" w:cs="宋体"/>
          <w:spacing w:val="17"/>
          <w:sz w:val="19"/>
          <w:szCs w:val="19"/>
        </w:rPr>
        <w:t>宏观和微观的高等教育质量文化</w:t>
      </w:r>
      <w:r>
        <w:rPr>
          <w:rFonts w:ascii="微软雅黑" w:hAnsi="微软雅黑" w:eastAsia="微软雅黑" w:cs="微软雅黑"/>
          <w:spacing w:val="17"/>
          <w:sz w:val="19"/>
          <w:szCs w:val="19"/>
        </w:rPr>
        <w:t>。</w:t>
      </w:r>
    </w:p>
    <w:p>
      <w:pPr>
        <w:spacing w:before="80" w:line="236" w:lineRule="auto"/>
        <w:ind w:firstLine="425"/>
        <w:rPr>
          <w:rFonts w:ascii="微软雅黑" w:hAnsi="微软雅黑" w:eastAsia="微软雅黑" w:cs="微软雅黑"/>
          <w:sz w:val="19"/>
          <w:szCs w:val="19"/>
        </w:rPr>
      </w:pPr>
      <w:r>
        <w:rPr>
          <w:rFonts w:ascii="宋体" w:hAnsi="宋体" w:eastAsia="宋体" w:cs="宋体"/>
          <w:spacing w:val="15"/>
          <w:sz w:val="19"/>
          <w:szCs w:val="19"/>
        </w:rPr>
        <w:t>高等教育是特定组织机构的职能</w:t>
      </w:r>
      <w:r>
        <w:rPr>
          <w:rFonts w:ascii="宋体" w:hAnsi="宋体" w:eastAsia="宋体" w:cs="宋体"/>
          <w:spacing w:val="-48"/>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一所高校所 </w:t>
      </w:r>
      <w:r>
        <w:rPr>
          <w:rFonts w:ascii="宋体" w:hAnsi="宋体" w:eastAsia="宋体" w:cs="宋体"/>
          <w:spacing w:val="17"/>
          <w:sz w:val="19"/>
          <w:szCs w:val="19"/>
        </w:rPr>
        <w:t>开展的高等教育往往被看作是微观的</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而多所高校 或一定地域范围内所有高校所开展的高等教育则被 </w:t>
      </w:r>
      <w:r>
        <w:rPr>
          <w:rFonts w:ascii="宋体" w:hAnsi="宋体" w:eastAsia="宋体" w:cs="宋体"/>
          <w:spacing w:val="14"/>
          <w:sz w:val="19"/>
          <w:szCs w:val="19"/>
        </w:rPr>
        <w:t>认为是宏观的</w:t>
      </w:r>
      <w:r>
        <w:rPr>
          <w:rFonts w:ascii="宋体" w:hAnsi="宋体" w:eastAsia="宋体" w:cs="宋体"/>
          <w:spacing w:val="-42"/>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23"/>
          <w:sz w:val="19"/>
          <w:szCs w:val="19"/>
        </w:rPr>
        <w:t xml:space="preserve"> </w:t>
      </w:r>
      <w:r>
        <w:rPr>
          <w:rFonts w:ascii="宋体" w:hAnsi="宋体" w:eastAsia="宋体" w:cs="宋体"/>
          <w:spacing w:val="14"/>
          <w:sz w:val="19"/>
          <w:szCs w:val="19"/>
        </w:rPr>
        <w:t>因此</w:t>
      </w:r>
      <w:r>
        <w:rPr>
          <w:rFonts w:ascii="微软雅黑" w:hAnsi="微软雅黑" w:eastAsia="微软雅黑" w:cs="微软雅黑"/>
          <w:spacing w:val="14"/>
          <w:sz w:val="19"/>
          <w:szCs w:val="19"/>
        </w:rPr>
        <w:t>，</w:t>
      </w:r>
      <w:r>
        <w:rPr>
          <w:rFonts w:ascii="宋体" w:hAnsi="宋体" w:eastAsia="宋体" w:cs="宋体"/>
          <w:spacing w:val="14"/>
          <w:sz w:val="19"/>
          <w:szCs w:val="19"/>
        </w:rPr>
        <w:t xml:space="preserve">微观的高等教育质量文化主 </w:t>
      </w:r>
      <w:r>
        <w:rPr>
          <w:rFonts w:ascii="宋体" w:hAnsi="宋体" w:eastAsia="宋体" w:cs="宋体"/>
          <w:spacing w:val="17"/>
          <w:sz w:val="19"/>
          <w:szCs w:val="19"/>
        </w:rPr>
        <w:t>要是指一所高校所形成的高等教育质量价值准则以 及与之相适应的质量生成和保障制度</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活动规范要 </w:t>
      </w:r>
      <w:r>
        <w:rPr>
          <w:rFonts w:ascii="宋体" w:hAnsi="宋体" w:eastAsia="宋体" w:cs="宋体"/>
          <w:spacing w:val="16"/>
          <w:sz w:val="19"/>
          <w:szCs w:val="19"/>
        </w:rPr>
        <w:t>求等</w:t>
      </w:r>
      <w:r>
        <w:rPr>
          <w:rFonts w:ascii="宋体" w:hAnsi="宋体" w:eastAsia="宋体" w:cs="宋体"/>
          <w:spacing w:val="-53"/>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高校是高等教育质量文化的主体</w:t>
      </w:r>
      <w:r>
        <w:rPr>
          <w:rFonts w:ascii="微软雅黑" w:hAnsi="微软雅黑" w:eastAsia="微软雅黑" w:cs="微软雅黑"/>
          <w:spacing w:val="16"/>
          <w:sz w:val="19"/>
          <w:szCs w:val="19"/>
        </w:rPr>
        <w:t>，</w:t>
      </w:r>
      <w:r>
        <w:rPr>
          <w:rFonts w:ascii="宋体" w:hAnsi="宋体" w:eastAsia="宋体" w:cs="宋体"/>
          <w:spacing w:val="16"/>
          <w:sz w:val="19"/>
          <w:szCs w:val="19"/>
        </w:rPr>
        <w:t>它所遵</w:t>
      </w:r>
      <w:r>
        <w:rPr>
          <w:rFonts w:ascii="宋体" w:hAnsi="宋体" w:eastAsia="宋体" w:cs="宋体"/>
          <w:spacing w:val="15"/>
          <w:sz w:val="19"/>
          <w:szCs w:val="19"/>
        </w:rPr>
        <w:t xml:space="preserve">循 </w:t>
      </w:r>
      <w:r>
        <w:rPr>
          <w:rFonts w:ascii="宋体" w:hAnsi="宋体" w:eastAsia="宋体" w:cs="宋体"/>
          <w:spacing w:val="17"/>
          <w:sz w:val="19"/>
          <w:szCs w:val="19"/>
        </w:rPr>
        <w:t>和实施的高等教育政策</w:t>
      </w:r>
      <w:r>
        <w:rPr>
          <w:rFonts w:ascii="微软雅黑" w:hAnsi="微软雅黑" w:eastAsia="微软雅黑" w:cs="微软雅黑"/>
          <w:spacing w:val="17"/>
          <w:sz w:val="19"/>
          <w:szCs w:val="19"/>
        </w:rPr>
        <w:t>、</w:t>
      </w:r>
      <w:r>
        <w:rPr>
          <w:rFonts w:ascii="宋体" w:hAnsi="宋体" w:eastAsia="宋体" w:cs="宋体"/>
          <w:spacing w:val="17"/>
          <w:sz w:val="19"/>
          <w:szCs w:val="19"/>
        </w:rPr>
        <w:t>所追求的高等教育质量价 值直接影响各学科专业的高等教育活动</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影响师生 </w:t>
      </w:r>
      <w:r>
        <w:rPr>
          <w:rFonts w:ascii="宋体" w:hAnsi="宋体" w:eastAsia="宋体" w:cs="宋体"/>
          <w:spacing w:val="15"/>
          <w:sz w:val="19"/>
          <w:szCs w:val="19"/>
        </w:rPr>
        <w:t>的教学过程</w:t>
      </w:r>
      <w:r>
        <w:rPr>
          <w:rFonts w:ascii="宋体" w:hAnsi="宋体" w:eastAsia="宋体" w:cs="宋体"/>
          <w:spacing w:val="-52"/>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3"/>
          <w:sz w:val="19"/>
          <w:szCs w:val="19"/>
        </w:rPr>
        <w:t xml:space="preserve"> </w:t>
      </w:r>
      <w:r>
        <w:rPr>
          <w:rFonts w:ascii="宋体" w:hAnsi="宋体" w:eastAsia="宋体" w:cs="宋体"/>
          <w:spacing w:val="15"/>
          <w:sz w:val="19"/>
          <w:szCs w:val="19"/>
        </w:rPr>
        <w:t>时间一长</w:t>
      </w:r>
      <w:r>
        <w:rPr>
          <w:rFonts w:ascii="微软雅黑" w:hAnsi="微软雅黑" w:eastAsia="微软雅黑" w:cs="微软雅黑"/>
          <w:spacing w:val="15"/>
          <w:sz w:val="19"/>
          <w:szCs w:val="19"/>
        </w:rPr>
        <w:t>，</w:t>
      </w:r>
      <w:r>
        <w:rPr>
          <w:rFonts w:ascii="宋体" w:hAnsi="宋体" w:eastAsia="宋体" w:cs="宋体"/>
          <w:spacing w:val="15"/>
          <w:sz w:val="19"/>
          <w:szCs w:val="19"/>
        </w:rPr>
        <w:t>高等教育质量文化便</w:t>
      </w:r>
      <w:r>
        <w:rPr>
          <w:rFonts w:ascii="宋体" w:hAnsi="宋体" w:eastAsia="宋体" w:cs="宋体"/>
          <w:spacing w:val="14"/>
          <w:sz w:val="19"/>
          <w:szCs w:val="19"/>
        </w:rPr>
        <w:t xml:space="preserve">形成 </w:t>
      </w:r>
      <w:r>
        <w:rPr>
          <w:rFonts w:ascii="宋体" w:hAnsi="宋体" w:eastAsia="宋体" w:cs="宋体"/>
          <w:spacing w:val="16"/>
          <w:sz w:val="19"/>
          <w:szCs w:val="19"/>
        </w:rPr>
        <w:t>了</w:t>
      </w:r>
      <w:r>
        <w:rPr>
          <w:rFonts w:ascii="宋体" w:hAnsi="宋体" w:eastAsia="宋体" w:cs="宋体"/>
          <w:spacing w:val="-53"/>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这就是说</w:t>
      </w:r>
      <w:r>
        <w:rPr>
          <w:rFonts w:ascii="微软雅黑" w:hAnsi="微软雅黑" w:eastAsia="微软雅黑" w:cs="微软雅黑"/>
          <w:spacing w:val="16"/>
          <w:sz w:val="19"/>
          <w:szCs w:val="19"/>
        </w:rPr>
        <w:t>，</w:t>
      </w:r>
      <w:r>
        <w:rPr>
          <w:rFonts w:ascii="宋体" w:hAnsi="宋体" w:eastAsia="宋体" w:cs="宋体"/>
          <w:spacing w:val="16"/>
          <w:sz w:val="19"/>
          <w:szCs w:val="19"/>
        </w:rPr>
        <w:t>高等教育质量文化是高校组织文</w:t>
      </w:r>
      <w:r>
        <w:rPr>
          <w:rFonts w:ascii="宋体" w:hAnsi="宋体" w:eastAsia="宋体" w:cs="宋体"/>
          <w:spacing w:val="15"/>
          <w:sz w:val="19"/>
          <w:szCs w:val="19"/>
        </w:rPr>
        <w:t xml:space="preserve">化 </w:t>
      </w:r>
      <w:r>
        <w:rPr>
          <w:rFonts w:ascii="宋体" w:hAnsi="宋体" w:eastAsia="宋体" w:cs="宋体"/>
          <w:spacing w:val="12"/>
          <w:sz w:val="19"/>
          <w:szCs w:val="19"/>
        </w:rPr>
        <w:t>的一部分</w:t>
      </w:r>
      <w:r>
        <w:rPr>
          <w:rFonts w:ascii="微软雅黑" w:hAnsi="微软雅黑" w:eastAsia="微软雅黑" w:cs="微软雅黑"/>
          <w:spacing w:val="12"/>
          <w:sz w:val="19"/>
          <w:szCs w:val="19"/>
        </w:rPr>
        <w:t>，</w:t>
      </w:r>
      <w:r>
        <w:rPr>
          <w:rFonts w:ascii="宋体" w:hAnsi="宋体" w:eastAsia="宋体" w:cs="宋体"/>
          <w:spacing w:val="12"/>
          <w:sz w:val="19"/>
          <w:szCs w:val="19"/>
        </w:rPr>
        <w:t>与高校办学定位和发展过程有密切关系</w:t>
      </w:r>
      <w:r>
        <w:rPr>
          <w:rFonts w:ascii="微软雅黑" w:hAnsi="微软雅黑" w:eastAsia="微软雅黑" w:cs="微软雅黑"/>
          <w:spacing w:val="12"/>
          <w:sz w:val="19"/>
          <w:szCs w:val="19"/>
        </w:rPr>
        <w:t>，</w:t>
      </w:r>
      <w:r>
        <w:rPr>
          <w:rFonts w:ascii="微软雅黑" w:hAnsi="微软雅黑" w:eastAsia="微软雅黑" w:cs="微软雅黑"/>
          <w:spacing w:val="17"/>
          <w:w w:val="101"/>
          <w:sz w:val="19"/>
          <w:szCs w:val="19"/>
        </w:rPr>
        <w:t xml:space="preserve"> </w:t>
      </w:r>
      <w:r>
        <w:rPr>
          <w:rFonts w:ascii="宋体" w:hAnsi="宋体" w:eastAsia="宋体" w:cs="宋体"/>
          <w:spacing w:val="17"/>
          <w:sz w:val="19"/>
          <w:szCs w:val="19"/>
        </w:rPr>
        <w:t>它不仅与高等教育质量生成不可分割</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更是质量保 </w:t>
      </w:r>
      <w:r>
        <w:rPr>
          <w:rFonts w:ascii="宋体" w:hAnsi="宋体" w:eastAsia="宋体" w:cs="宋体"/>
          <w:spacing w:val="18"/>
          <w:sz w:val="19"/>
          <w:szCs w:val="19"/>
        </w:rPr>
        <w:t>障的基石</w:t>
      </w:r>
      <w:r>
        <w:rPr>
          <w:rFonts w:ascii="微软雅黑" w:hAnsi="微软雅黑" w:eastAsia="微软雅黑" w:cs="微软雅黑"/>
          <w:spacing w:val="18"/>
          <w:sz w:val="19"/>
          <w:szCs w:val="19"/>
        </w:rPr>
        <w:t>。</w:t>
      </w:r>
    </w:p>
    <w:p>
      <w:pPr>
        <w:spacing w:before="61" w:line="234" w:lineRule="auto"/>
        <w:ind w:left="3" w:right="70" w:firstLine="417"/>
        <w:rPr>
          <w:rFonts w:ascii="宋体" w:hAnsi="宋体" w:eastAsia="宋体" w:cs="宋体"/>
          <w:sz w:val="19"/>
          <w:szCs w:val="19"/>
        </w:rPr>
      </w:pPr>
      <w:r>
        <w:rPr>
          <w:rFonts w:ascii="宋体" w:hAnsi="宋体" w:eastAsia="宋体" w:cs="宋体"/>
          <w:spacing w:val="18"/>
          <w:sz w:val="19"/>
          <w:szCs w:val="19"/>
        </w:rPr>
        <w:t>宏观的高等教育质量文化与微观的高等教育质</w:t>
      </w:r>
      <w:r>
        <w:rPr>
          <w:rFonts w:ascii="宋体" w:hAnsi="宋体" w:eastAsia="宋体" w:cs="宋体"/>
          <w:spacing w:val="10"/>
          <w:sz w:val="19"/>
          <w:szCs w:val="19"/>
        </w:rPr>
        <w:t xml:space="preserve"> </w:t>
      </w:r>
      <w:r>
        <w:rPr>
          <w:rFonts w:ascii="宋体" w:hAnsi="宋体" w:eastAsia="宋体" w:cs="宋体"/>
          <w:spacing w:val="16"/>
          <w:sz w:val="19"/>
          <w:szCs w:val="19"/>
        </w:rPr>
        <w:t>量文化既有联系又有差别</w:t>
      </w:r>
      <w:r>
        <w:rPr>
          <w:rFonts w:ascii="宋体" w:hAnsi="宋体" w:eastAsia="宋体" w:cs="宋体"/>
          <w:spacing w:val="-38"/>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宏观的高等教育质量文</w:t>
      </w:r>
      <w:r>
        <w:rPr>
          <w:rFonts w:ascii="宋体" w:hAnsi="宋体" w:eastAsia="宋体" w:cs="宋体"/>
          <w:sz w:val="19"/>
          <w:szCs w:val="19"/>
        </w:rPr>
        <w:t xml:space="preserve"> </w:t>
      </w:r>
      <w:r>
        <w:rPr>
          <w:rFonts w:ascii="宋体" w:hAnsi="宋体" w:eastAsia="宋体" w:cs="宋体"/>
          <w:spacing w:val="18"/>
          <w:sz w:val="19"/>
          <w:szCs w:val="19"/>
        </w:rPr>
        <w:t>化由微观的质量文化所构成</w:t>
      </w:r>
      <w:r>
        <w:rPr>
          <w:rFonts w:ascii="微软雅黑" w:hAnsi="微软雅黑" w:eastAsia="微软雅黑" w:cs="微软雅黑"/>
          <w:spacing w:val="18"/>
          <w:sz w:val="19"/>
          <w:szCs w:val="19"/>
        </w:rPr>
        <w:t>，</w:t>
      </w:r>
      <w:r>
        <w:rPr>
          <w:rFonts w:ascii="宋体" w:hAnsi="宋体" w:eastAsia="宋体" w:cs="宋体"/>
          <w:spacing w:val="18"/>
          <w:sz w:val="19"/>
          <w:szCs w:val="19"/>
        </w:rPr>
        <w:t>微观的质量文化是宏</w:t>
      </w:r>
    </w:p>
    <w:p>
      <w:pPr>
        <w:spacing w:line="234" w:lineRule="auto"/>
        <w:rPr>
          <w:rFonts w:ascii="宋体" w:hAnsi="宋体" w:eastAsia="宋体" w:cs="宋体"/>
          <w:sz w:val="19"/>
          <w:szCs w:val="19"/>
        </w:rPr>
        <w:sectPr>
          <w:type w:val="continuous"/>
          <w:pgSz w:w="11905" w:h="16836"/>
          <w:pgMar w:top="400" w:right="1071" w:bottom="547" w:left="407" w:header="0" w:footer="354" w:gutter="0"/>
          <w:cols w:equalWidth="0" w:num="2">
            <w:col w:w="5661" w:space="100"/>
            <w:col w:w="4665"/>
          </w:cols>
        </w:sectPr>
      </w:pPr>
    </w:p>
    <w:p>
      <w:pPr>
        <w:spacing w:line="426" w:lineRule="auto"/>
        <w:rPr>
          <w:rFonts w:ascii="Arial"/>
          <w:sz w:val="21"/>
        </w:rPr>
      </w:pPr>
    </w:p>
    <w:p>
      <w:pPr>
        <w:spacing w:before="52" w:line="220" w:lineRule="auto"/>
        <w:ind w:left="4292"/>
        <w:rPr>
          <w:rFonts w:ascii="宋体" w:hAnsi="宋体" w:eastAsia="宋体" w:cs="宋体"/>
          <w:sz w:val="16"/>
          <w:szCs w:val="16"/>
        </w:rPr>
      </w:pPr>
      <w:r>
        <w:rPr>
          <w:rFonts w:ascii="宋体" w:hAnsi="宋体" w:eastAsia="宋体" w:cs="宋体"/>
          <w:spacing w:val="18"/>
          <w:sz w:val="16"/>
          <w:szCs w:val="16"/>
        </w:rPr>
        <w:t>高等教育质量文化及其建设策略</w:t>
      </w:r>
    </w:p>
    <w:p>
      <w:pPr>
        <w:spacing w:before="23" w:line="159" w:lineRule="exact"/>
        <w:ind w:left="721"/>
      </w:pPr>
      <w:r>
        <w:rPr>
          <w:position w:val="-3"/>
        </w:rPr>
        <w:drawing>
          <wp:inline distT="0" distB="0" distL="0" distR="0">
            <wp:extent cx="6118860" cy="10096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6"/>
                    <a:stretch>
                      <a:fillRect/>
                    </a:stretch>
                  </pic:blipFill>
                  <pic:spPr>
                    <a:xfrm>
                      <a:off x="0" y="0"/>
                      <a:ext cx="6119371" cy="101421"/>
                    </a:xfrm>
                    <a:prstGeom prst="rect">
                      <a:avLst/>
                    </a:prstGeom>
                  </pic:spPr>
                </pic:pic>
              </a:graphicData>
            </a:graphic>
          </wp:inline>
        </w:drawing>
      </w:r>
    </w:p>
    <w:p>
      <w:pPr>
        <w:spacing w:line="116" w:lineRule="exact"/>
      </w:pPr>
    </w:p>
    <w:p>
      <w:pPr>
        <w:spacing w:line="116" w:lineRule="exact"/>
        <w:sectPr>
          <w:footerReference r:id="rId23" w:type="default"/>
          <w:pgSz w:w="11905" w:h="16836"/>
          <w:pgMar w:top="400" w:right="1071" w:bottom="547" w:left="407" w:header="0" w:footer="354" w:gutter="0"/>
          <w:cols w:equalWidth="0" w:num="1">
            <w:col w:w="10425"/>
          </w:cols>
        </w:sectPr>
      </w:pPr>
    </w:p>
    <w:p>
      <w:pPr>
        <w:spacing w:before="31" w:line="236" w:lineRule="auto"/>
        <w:ind w:left="731" w:right="263" w:firstLine="5"/>
        <w:jc w:val="both"/>
        <w:rPr>
          <w:rFonts w:ascii="微软雅黑" w:hAnsi="微软雅黑" w:eastAsia="微软雅黑" w:cs="微软雅黑"/>
          <w:sz w:val="19"/>
          <w:szCs w:val="19"/>
        </w:rPr>
      </w:pPr>
      <w:r>
        <w:rPr>
          <w:rFonts w:ascii="宋体" w:hAnsi="宋体" w:eastAsia="宋体" w:cs="宋体"/>
          <w:spacing w:val="19"/>
          <w:sz w:val="19"/>
          <w:szCs w:val="19"/>
        </w:rPr>
        <w:t>观质量文化的基因</w:t>
      </w:r>
      <w:r>
        <w:rPr>
          <w:rFonts w:ascii="宋体" w:hAnsi="宋体" w:eastAsia="宋体" w:cs="宋体"/>
          <w:spacing w:val="-51"/>
          <w:sz w:val="19"/>
          <w:szCs w:val="19"/>
        </w:rPr>
        <w:t xml:space="preserve"> </w:t>
      </w:r>
      <w:r>
        <w:rPr>
          <w:rFonts w:ascii="微软雅黑" w:hAnsi="微软雅黑" w:eastAsia="微软雅黑" w:cs="微软雅黑"/>
          <w:spacing w:val="19"/>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9"/>
          <w:sz w:val="19"/>
          <w:szCs w:val="19"/>
        </w:rPr>
        <w:t>正如个性与共性的差别一</w:t>
      </w:r>
      <w:r>
        <w:rPr>
          <w:rFonts w:ascii="宋体" w:hAnsi="宋体" w:eastAsia="宋体" w:cs="宋体"/>
          <w:spacing w:val="18"/>
          <w:sz w:val="19"/>
          <w:szCs w:val="19"/>
        </w:rPr>
        <w:t>样</w:t>
      </w:r>
      <w:r>
        <w:rPr>
          <w:rFonts w:ascii="微软雅黑" w:hAnsi="微软雅黑" w:eastAsia="微软雅黑" w:cs="微软雅黑"/>
          <w:spacing w:val="18"/>
          <w:sz w:val="19"/>
          <w:szCs w:val="19"/>
        </w:rPr>
        <w:t>，</w:t>
      </w:r>
      <w:r>
        <w:rPr>
          <w:rFonts w:ascii="微软雅黑" w:hAnsi="微软雅黑" w:eastAsia="微软雅黑" w:cs="微软雅黑"/>
          <w:sz w:val="19"/>
          <w:szCs w:val="19"/>
        </w:rPr>
        <w:t xml:space="preserve"> </w:t>
      </w:r>
      <w:r>
        <w:rPr>
          <w:rFonts w:ascii="宋体" w:hAnsi="宋体" w:eastAsia="宋体" w:cs="宋体"/>
          <w:spacing w:val="18"/>
          <w:sz w:val="19"/>
          <w:szCs w:val="19"/>
        </w:rPr>
        <w:t>个性的质量文化属于具体的高校</w:t>
      </w:r>
      <w:r>
        <w:rPr>
          <w:rFonts w:ascii="微软雅黑" w:hAnsi="微软雅黑" w:eastAsia="微软雅黑" w:cs="微软雅黑"/>
          <w:spacing w:val="18"/>
          <w:sz w:val="19"/>
          <w:szCs w:val="19"/>
        </w:rPr>
        <w:t>，</w:t>
      </w:r>
      <w:r>
        <w:rPr>
          <w:rFonts w:ascii="宋体" w:hAnsi="宋体" w:eastAsia="宋体" w:cs="宋体"/>
          <w:spacing w:val="18"/>
          <w:sz w:val="19"/>
          <w:szCs w:val="19"/>
        </w:rPr>
        <w:t>共性的质量</w:t>
      </w:r>
      <w:r>
        <w:rPr>
          <w:rFonts w:ascii="宋体" w:hAnsi="宋体" w:eastAsia="宋体" w:cs="宋体"/>
          <w:spacing w:val="17"/>
          <w:sz w:val="19"/>
          <w:szCs w:val="19"/>
        </w:rPr>
        <w:t xml:space="preserve">文化 </w:t>
      </w:r>
      <w:r>
        <w:rPr>
          <w:rFonts w:ascii="宋体" w:hAnsi="宋体" w:eastAsia="宋体" w:cs="宋体"/>
          <w:spacing w:val="18"/>
          <w:sz w:val="19"/>
          <w:szCs w:val="19"/>
        </w:rPr>
        <w:t>则表现为一定范围内的高校所共有的质量价值</w:t>
      </w:r>
      <w:r>
        <w:rPr>
          <w:rFonts w:ascii="宋体" w:hAnsi="宋体" w:eastAsia="宋体" w:cs="宋体"/>
          <w:spacing w:val="17"/>
          <w:sz w:val="19"/>
          <w:szCs w:val="19"/>
        </w:rPr>
        <w:t xml:space="preserve">追求 </w:t>
      </w:r>
      <w:r>
        <w:rPr>
          <w:rFonts w:ascii="宋体" w:hAnsi="宋体" w:eastAsia="宋体" w:cs="宋体"/>
          <w:spacing w:val="16"/>
          <w:sz w:val="19"/>
          <w:szCs w:val="19"/>
        </w:rPr>
        <w:t>以及相关规则要求</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从这个意义上讲</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宏观的高等 </w:t>
      </w:r>
      <w:r>
        <w:rPr>
          <w:rFonts w:ascii="宋体" w:hAnsi="宋体" w:eastAsia="宋体" w:cs="宋体"/>
          <w:spacing w:val="18"/>
          <w:sz w:val="19"/>
          <w:szCs w:val="19"/>
        </w:rPr>
        <w:t>教育质量文化是指一定区域高校共同遵循的质</w:t>
      </w:r>
      <w:r>
        <w:rPr>
          <w:rFonts w:ascii="宋体" w:hAnsi="宋体" w:eastAsia="宋体" w:cs="宋体"/>
          <w:spacing w:val="17"/>
          <w:sz w:val="19"/>
          <w:szCs w:val="19"/>
        </w:rPr>
        <w:t xml:space="preserve">量价 </w:t>
      </w:r>
      <w:r>
        <w:rPr>
          <w:rFonts w:ascii="宋体" w:hAnsi="宋体" w:eastAsia="宋体" w:cs="宋体"/>
          <w:spacing w:val="16"/>
          <w:sz w:val="19"/>
          <w:szCs w:val="19"/>
        </w:rPr>
        <w:t>值准则以及与之相适应的制度规范和工作要求</w:t>
      </w:r>
      <w:r>
        <w:rPr>
          <w:rFonts w:ascii="宋体" w:hAnsi="宋体" w:eastAsia="宋体" w:cs="宋体"/>
          <w:spacing w:val="-50"/>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5"/>
          <w:sz w:val="19"/>
          <w:szCs w:val="19"/>
        </w:rPr>
        <w:t xml:space="preserve">这 </w:t>
      </w:r>
      <w:r>
        <w:rPr>
          <w:rFonts w:ascii="宋体" w:hAnsi="宋体" w:eastAsia="宋体" w:cs="宋体"/>
          <w:spacing w:val="17"/>
          <w:sz w:val="19"/>
          <w:szCs w:val="19"/>
        </w:rPr>
        <w:t>里的区域可</w:t>
      </w:r>
      <w:r>
        <w:rPr>
          <w:rFonts w:ascii="宋体" w:hAnsi="宋体" w:eastAsia="宋体" w:cs="宋体"/>
          <w:spacing w:val="-32"/>
          <w:sz w:val="19"/>
          <w:szCs w:val="19"/>
        </w:rPr>
        <w:t xml:space="preserve"> </w:t>
      </w:r>
      <w:r>
        <w:rPr>
          <w:rFonts w:ascii="宋体" w:hAnsi="宋体" w:eastAsia="宋体" w:cs="宋体"/>
          <w:spacing w:val="17"/>
          <w:sz w:val="19"/>
          <w:szCs w:val="19"/>
        </w:rPr>
        <w:t>以是地理上</w:t>
      </w:r>
      <w:r>
        <w:rPr>
          <w:rFonts w:ascii="宋体" w:hAnsi="宋体" w:eastAsia="宋体" w:cs="宋体"/>
          <w:spacing w:val="-46"/>
          <w:sz w:val="19"/>
          <w:szCs w:val="19"/>
        </w:rPr>
        <w:t xml:space="preserve"> </w:t>
      </w:r>
      <w:r>
        <w:rPr>
          <w:rFonts w:ascii="宋体" w:hAnsi="宋体" w:eastAsia="宋体" w:cs="宋体"/>
          <w:spacing w:val="17"/>
          <w:sz w:val="19"/>
          <w:szCs w:val="19"/>
        </w:rPr>
        <w:t>的</w:t>
      </w:r>
      <w:r>
        <w:rPr>
          <w:rFonts w:ascii="微软雅黑" w:hAnsi="微软雅黑" w:eastAsia="微软雅黑" w:cs="微软雅黑"/>
          <w:spacing w:val="17"/>
          <w:sz w:val="19"/>
          <w:szCs w:val="19"/>
        </w:rPr>
        <w:t>，</w:t>
      </w:r>
      <w:r>
        <w:rPr>
          <w:rFonts w:ascii="宋体" w:hAnsi="宋体" w:eastAsia="宋体" w:cs="宋体"/>
          <w:spacing w:val="17"/>
          <w:sz w:val="19"/>
          <w:szCs w:val="19"/>
        </w:rPr>
        <w:t>也可以是行政区划的</w:t>
      </w:r>
      <w:r>
        <w:rPr>
          <w:rFonts w:ascii="微软雅黑" w:hAnsi="微软雅黑" w:eastAsia="微软雅黑" w:cs="微软雅黑"/>
          <w:spacing w:val="17"/>
          <w:sz w:val="19"/>
          <w:szCs w:val="19"/>
        </w:rPr>
        <w:t>。</w:t>
      </w:r>
      <w:r>
        <w:rPr>
          <w:rFonts w:ascii="微软雅黑" w:hAnsi="微软雅黑" w:eastAsia="微软雅黑" w:cs="微软雅黑"/>
          <w:sz w:val="19"/>
          <w:szCs w:val="19"/>
        </w:rPr>
        <w:t xml:space="preserve"> </w:t>
      </w:r>
      <w:r>
        <w:rPr>
          <w:rFonts w:ascii="宋体" w:hAnsi="宋体" w:eastAsia="宋体" w:cs="宋体"/>
          <w:spacing w:val="9"/>
          <w:sz w:val="19"/>
          <w:szCs w:val="19"/>
        </w:rPr>
        <w:t>地理上的往往与一定地方的文化相关</w:t>
      </w:r>
      <w:r>
        <w:rPr>
          <w:rFonts w:ascii="微软雅黑" w:hAnsi="微软雅黑" w:eastAsia="微软雅黑" w:cs="微软雅黑"/>
          <w:spacing w:val="9"/>
          <w:sz w:val="19"/>
          <w:szCs w:val="19"/>
        </w:rPr>
        <w:t>，</w:t>
      </w:r>
      <w:r>
        <w:rPr>
          <w:rFonts w:ascii="宋体" w:hAnsi="宋体" w:eastAsia="宋体" w:cs="宋体"/>
          <w:spacing w:val="9"/>
          <w:sz w:val="19"/>
          <w:szCs w:val="19"/>
        </w:rPr>
        <w:t>比如</w:t>
      </w:r>
      <w:r>
        <w:rPr>
          <w:rFonts w:ascii="微软雅黑" w:hAnsi="微软雅黑" w:eastAsia="微软雅黑" w:cs="微软雅黑"/>
          <w:spacing w:val="9"/>
          <w:sz w:val="19"/>
          <w:szCs w:val="19"/>
        </w:rPr>
        <w:t>，</w:t>
      </w:r>
      <w:r>
        <w:rPr>
          <w:rFonts w:ascii="宋体" w:hAnsi="宋体" w:eastAsia="宋体" w:cs="宋体"/>
          <w:spacing w:val="9"/>
          <w:sz w:val="19"/>
          <w:szCs w:val="19"/>
        </w:rPr>
        <w:t>东北地 区</w:t>
      </w:r>
      <w:r>
        <w:rPr>
          <w:rFonts w:ascii="微软雅黑" w:hAnsi="微软雅黑" w:eastAsia="微软雅黑" w:cs="微软雅黑"/>
          <w:spacing w:val="9"/>
          <w:sz w:val="19"/>
          <w:szCs w:val="19"/>
        </w:rPr>
        <w:t>、</w:t>
      </w:r>
      <w:r>
        <w:rPr>
          <w:rFonts w:ascii="宋体" w:hAnsi="宋体" w:eastAsia="宋体" w:cs="宋体"/>
          <w:spacing w:val="9"/>
          <w:sz w:val="19"/>
          <w:szCs w:val="19"/>
        </w:rPr>
        <w:t>华南地区</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西北地区的文化对当地高校的高等教 </w:t>
      </w:r>
      <w:r>
        <w:rPr>
          <w:rFonts w:ascii="宋体" w:hAnsi="宋体" w:eastAsia="宋体" w:cs="宋体"/>
          <w:spacing w:val="18"/>
          <w:sz w:val="19"/>
          <w:szCs w:val="19"/>
        </w:rPr>
        <w:t>育质量价值追求有重要影响</w:t>
      </w:r>
      <w:r>
        <w:rPr>
          <w:rFonts w:ascii="微软雅黑" w:hAnsi="微软雅黑" w:eastAsia="微软雅黑" w:cs="微软雅黑"/>
          <w:spacing w:val="18"/>
          <w:sz w:val="19"/>
          <w:szCs w:val="19"/>
        </w:rPr>
        <w:t>；</w:t>
      </w:r>
      <w:r>
        <w:rPr>
          <w:rFonts w:ascii="宋体" w:hAnsi="宋体" w:eastAsia="宋体" w:cs="宋体"/>
          <w:spacing w:val="18"/>
          <w:sz w:val="19"/>
          <w:szCs w:val="19"/>
        </w:rPr>
        <w:t>行政上的往往与</w:t>
      </w:r>
      <w:r>
        <w:rPr>
          <w:rFonts w:ascii="宋体" w:hAnsi="宋体" w:eastAsia="宋体" w:cs="宋体"/>
          <w:spacing w:val="17"/>
          <w:sz w:val="19"/>
          <w:szCs w:val="19"/>
        </w:rPr>
        <w:t xml:space="preserve">政府 </w:t>
      </w:r>
      <w:r>
        <w:rPr>
          <w:rFonts w:ascii="宋体" w:hAnsi="宋体" w:eastAsia="宋体" w:cs="宋体"/>
          <w:spacing w:val="9"/>
          <w:sz w:val="19"/>
          <w:szCs w:val="19"/>
        </w:rPr>
        <w:t>的高等教育政策相关联</w:t>
      </w:r>
      <w:r>
        <w:rPr>
          <w:rFonts w:ascii="微软雅黑" w:hAnsi="微软雅黑" w:eastAsia="微软雅黑" w:cs="微软雅黑"/>
          <w:spacing w:val="9"/>
          <w:sz w:val="19"/>
          <w:szCs w:val="19"/>
        </w:rPr>
        <w:t>，</w:t>
      </w:r>
      <w:r>
        <w:rPr>
          <w:rFonts w:ascii="宋体" w:hAnsi="宋体" w:eastAsia="宋体" w:cs="宋体"/>
          <w:spacing w:val="9"/>
          <w:sz w:val="19"/>
          <w:szCs w:val="19"/>
        </w:rPr>
        <w:t>比如</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上海市对全市高校的 </w:t>
      </w:r>
      <w:r>
        <w:rPr>
          <w:rFonts w:ascii="宋体" w:hAnsi="宋体" w:eastAsia="宋体" w:cs="宋体"/>
          <w:spacing w:val="18"/>
          <w:sz w:val="19"/>
          <w:szCs w:val="19"/>
        </w:rPr>
        <w:t>高等教育发展有自己的规划</w:t>
      </w:r>
      <w:r>
        <w:rPr>
          <w:rFonts w:ascii="微软雅黑" w:hAnsi="微软雅黑" w:eastAsia="微软雅黑" w:cs="微软雅黑"/>
          <w:spacing w:val="18"/>
          <w:sz w:val="19"/>
          <w:szCs w:val="19"/>
        </w:rPr>
        <w:t>，</w:t>
      </w:r>
      <w:r>
        <w:rPr>
          <w:rFonts w:ascii="宋体" w:hAnsi="宋体" w:eastAsia="宋体" w:cs="宋体"/>
          <w:spacing w:val="18"/>
          <w:sz w:val="19"/>
          <w:szCs w:val="19"/>
        </w:rPr>
        <w:t>对全市高等教育</w:t>
      </w:r>
      <w:r>
        <w:rPr>
          <w:rFonts w:ascii="宋体" w:hAnsi="宋体" w:eastAsia="宋体" w:cs="宋体"/>
          <w:spacing w:val="17"/>
          <w:sz w:val="19"/>
          <w:szCs w:val="19"/>
        </w:rPr>
        <w:t xml:space="preserve">质量 </w:t>
      </w:r>
      <w:r>
        <w:rPr>
          <w:rFonts w:ascii="宋体" w:hAnsi="宋体" w:eastAsia="宋体" w:cs="宋体"/>
          <w:spacing w:val="14"/>
          <w:sz w:val="19"/>
          <w:szCs w:val="19"/>
        </w:rPr>
        <w:t>的要求与其他省市自治区存在差异</w:t>
      </w:r>
      <w:r>
        <w:rPr>
          <w:rFonts w:ascii="宋体" w:hAnsi="宋体" w:eastAsia="宋体" w:cs="宋体"/>
          <w:spacing w:val="-40"/>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22"/>
          <w:sz w:val="19"/>
          <w:szCs w:val="19"/>
        </w:rPr>
        <w:t xml:space="preserve"> </w:t>
      </w:r>
      <w:r>
        <w:rPr>
          <w:rFonts w:ascii="宋体" w:hAnsi="宋体" w:eastAsia="宋体" w:cs="宋体"/>
          <w:spacing w:val="14"/>
          <w:sz w:val="19"/>
          <w:szCs w:val="19"/>
        </w:rPr>
        <w:t>当然</w:t>
      </w:r>
      <w:r>
        <w:rPr>
          <w:rFonts w:ascii="微软雅黑" w:hAnsi="微软雅黑" w:eastAsia="微软雅黑" w:cs="微软雅黑"/>
          <w:spacing w:val="14"/>
          <w:sz w:val="19"/>
          <w:szCs w:val="19"/>
        </w:rPr>
        <w:t>，</w:t>
      </w:r>
      <w:r>
        <w:rPr>
          <w:rFonts w:ascii="宋体" w:hAnsi="宋体" w:eastAsia="宋体" w:cs="宋体"/>
          <w:spacing w:val="14"/>
          <w:sz w:val="19"/>
          <w:szCs w:val="19"/>
        </w:rPr>
        <w:t xml:space="preserve">在国家 </w:t>
      </w:r>
      <w:r>
        <w:rPr>
          <w:rFonts w:ascii="宋体" w:hAnsi="宋体" w:eastAsia="宋体" w:cs="宋体"/>
          <w:spacing w:val="18"/>
          <w:sz w:val="19"/>
          <w:szCs w:val="19"/>
        </w:rPr>
        <w:t>层面</w:t>
      </w:r>
      <w:r>
        <w:rPr>
          <w:rFonts w:ascii="微软雅黑" w:hAnsi="微软雅黑" w:eastAsia="微软雅黑" w:cs="微软雅黑"/>
          <w:spacing w:val="18"/>
          <w:sz w:val="19"/>
          <w:szCs w:val="19"/>
        </w:rPr>
        <w:t>，</w:t>
      </w:r>
      <w:r>
        <w:rPr>
          <w:rFonts w:ascii="宋体" w:hAnsi="宋体" w:eastAsia="宋体" w:cs="宋体"/>
          <w:spacing w:val="18"/>
          <w:sz w:val="19"/>
          <w:szCs w:val="19"/>
        </w:rPr>
        <w:t>中央政府对全国高校的高等教育质量不</w:t>
      </w:r>
      <w:r>
        <w:rPr>
          <w:rFonts w:ascii="宋体" w:hAnsi="宋体" w:eastAsia="宋体" w:cs="宋体"/>
          <w:spacing w:val="17"/>
          <w:sz w:val="19"/>
          <w:szCs w:val="19"/>
        </w:rPr>
        <w:t xml:space="preserve">仅有 </w:t>
      </w:r>
      <w:r>
        <w:rPr>
          <w:rFonts w:ascii="宋体" w:hAnsi="宋体" w:eastAsia="宋体" w:cs="宋体"/>
          <w:spacing w:val="9"/>
          <w:sz w:val="19"/>
          <w:szCs w:val="19"/>
        </w:rPr>
        <w:t>标准</w:t>
      </w:r>
      <w:r>
        <w:rPr>
          <w:rFonts w:ascii="微软雅黑" w:hAnsi="微软雅黑" w:eastAsia="微软雅黑" w:cs="微软雅黑"/>
          <w:spacing w:val="9"/>
          <w:sz w:val="19"/>
          <w:szCs w:val="19"/>
        </w:rPr>
        <w:t>，</w:t>
      </w:r>
      <w:r>
        <w:rPr>
          <w:rFonts w:ascii="宋体" w:hAnsi="宋体" w:eastAsia="宋体" w:cs="宋体"/>
          <w:spacing w:val="9"/>
          <w:sz w:val="19"/>
          <w:szCs w:val="19"/>
        </w:rPr>
        <w:t>而且有持续的评估督导</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这对于全国高等教育 </w:t>
      </w:r>
      <w:r>
        <w:rPr>
          <w:rFonts w:ascii="宋体" w:hAnsi="宋体" w:eastAsia="宋体" w:cs="宋体"/>
          <w:spacing w:val="19"/>
          <w:sz w:val="19"/>
          <w:szCs w:val="19"/>
        </w:rPr>
        <w:t>质量文化的形成和发展具有重要影响</w:t>
      </w:r>
      <w:r>
        <w:rPr>
          <w:rFonts w:ascii="微软雅黑" w:hAnsi="微软雅黑" w:eastAsia="微软雅黑" w:cs="微软雅黑"/>
          <w:spacing w:val="19"/>
          <w:sz w:val="19"/>
          <w:szCs w:val="19"/>
        </w:rPr>
        <w:t>。</w:t>
      </w:r>
    </w:p>
    <w:p>
      <w:pPr>
        <w:spacing w:before="62" w:line="178" w:lineRule="auto"/>
        <w:ind w:left="1168"/>
        <w:rPr>
          <w:rFonts w:ascii="微软雅黑" w:hAnsi="微软雅黑" w:eastAsia="微软雅黑" w:cs="微软雅黑"/>
          <w:sz w:val="19"/>
          <w:szCs w:val="19"/>
        </w:rPr>
      </w:pPr>
      <w:r>
        <w:rPr>
          <w:rFonts w:ascii="微软雅黑" w:hAnsi="微软雅黑" w:eastAsia="微软雅黑" w:cs="微软雅黑"/>
          <w:spacing w:val="17"/>
          <w:sz w:val="19"/>
          <w:szCs w:val="19"/>
        </w:rPr>
        <w:t>(</w:t>
      </w:r>
      <w:r>
        <w:rPr>
          <w:rFonts w:ascii="Arial" w:hAnsi="Arial" w:eastAsia="Arial" w:cs="Arial"/>
          <w:spacing w:val="17"/>
          <w:sz w:val="19"/>
          <w:szCs w:val="19"/>
        </w:rPr>
        <w:t>3</w:t>
      </w:r>
      <w:r>
        <w:rPr>
          <w:rFonts w:ascii="微软雅黑" w:hAnsi="微软雅黑" w:eastAsia="微软雅黑" w:cs="微软雅黑"/>
          <w:spacing w:val="17"/>
          <w:sz w:val="19"/>
          <w:szCs w:val="19"/>
        </w:rPr>
        <w:t>)</w:t>
      </w:r>
      <w:r>
        <w:rPr>
          <w:rFonts w:ascii="微软雅黑" w:hAnsi="微软雅黑" w:eastAsia="微软雅黑" w:cs="微软雅黑"/>
          <w:spacing w:val="-14"/>
          <w:sz w:val="19"/>
          <w:szCs w:val="19"/>
        </w:rPr>
        <w:t xml:space="preserve"> </w:t>
      </w:r>
      <w:r>
        <w:rPr>
          <w:rFonts w:ascii="宋体" w:hAnsi="宋体" w:eastAsia="宋体" w:cs="宋体"/>
          <w:spacing w:val="17"/>
          <w:sz w:val="19"/>
          <w:szCs w:val="19"/>
        </w:rPr>
        <w:t>精神和物质的高等教育质量文化</w:t>
      </w:r>
      <w:r>
        <w:rPr>
          <w:rFonts w:ascii="微软雅黑" w:hAnsi="微软雅黑" w:eastAsia="微软雅黑" w:cs="微软雅黑"/>
          <w:spacing w:val="17"/>
          <w:sz w:val="19"/>
          <w:szCs w:val="19"/>
        </w:rPr>
        <w:t>。</w:t>
      </w:r>
    </w:p>
    <w:p>
      <w:pPr>
        <w:spacing w:before="62" w:line="237" w:lineRule="auto"/>
        <w:ind w:left="731" w:right="263" w:firstLine="422"/>
        <w:rPr>
          <w:rFonts w:ascii="微软雅黑" w:hAnsi="微软雅黑" w:eastAsia="微软雅黑" w:cs="微软雅黑"/>
          <w:sz w:val="19"/>
          <w:szCs w:val="19"/>
        </w:rPr>
      </w:pPr>
      <w:r>
        <w:rPr>
          <w:rFonts w:ascii="宋体" w:hAnsi="宋体" w:eastAsia="宋体" w:cs="宋体"/>
          <w:spacing w:val="8"/>
          <w:sz w:val="19"/>
          <w:szCs w:val="19"/>
        </w:rPr>
        <w:t>文化的本质是精神的</w:t>
      </w:r>
      <w:r>
        <w:rPr>
          <w:rFonts w:ascii="微软雅黑" w:hAnsi="微软雅黑" w:eastAsia="微软雅黑" w:cs="微软雅黑"/>
          <w:spacing w:val="8"/>
          <w:sz w:val="19"/>
          <w:szCs w:val="19"/>
        </w:rPr>
        <w:t>，</w:t>
      </w:r>
      <w:r>
        <w:rPr>
          <w:rFonts w:ascii="宋体" w:hAnsi="宋体" w:eastAsia="宋体" w:cs="宋体"/>
          <w:spacing w:val="8"/>
          <w:sz w:val="19"/>
          <w:szCs w:val="19"/>
        </w:rPr>
        <w:t>比如</w:t>
      </w:r>
      <w:r>
        <w:rPr>
          <w:rFonts w:ascii="微软雅黑" w:hAnsi="微软雅黑" w:eastAsia="微软雅黑" w:cs="微软雅黑"/>
          <w:spacing w:val="8"/>
          <w:sz w:val="19"/>
          <w:szCs w:val="19"/>
        </w:rPr>
        <w:t>，</w:t>
      </w:r>
      <w:r>
        <w:rPr>
          <w:rFonts w:ascii="宋体" w:hAnsi="宋体" w:eastAsia="宋体" w:cs="宋体"/>
          <w:spacing w:val="8"/>
          <w:sz w:val="19"/>
          <w:szCs w:val="19"/>
        </w:rPr>
        <w:t>理念或价值观</w:t>
      </w:r>
      <w:r>
        <w:rPr>
          <w:rFonts w:ascii="微软雅黑" w:hAnsi="微软雅黑" w:eastAsia="微软雅黑" w:cs="微软雅黑"/>
          <w:spacing w:val="8"/>
          <w:sz w:val="19"/>
          <w:szCs w:val="19"/>
        </w:rPr>
        <w:t>，</w:t>
      </w:r>
      <w:r>
        <w:rPr>
          <w:rFonts w:ascii="宋体" w:hAnsi="宋体" w:eastAsia="宋体" w:cs="宋体"/>
          <w:spacing w:val="8"/>
          <w:sz w:val="19"/>
          <w:szCs w:val="19"/>
        </w:rPr>
        <w:t xml:space="preserve">但 </w:t>
      </w:r>
      <w:r>
        <w:rPr>
          <w:rFonts w:ascii="宋体" w:hAnsi="宋体" w:eastAsia="宋体" w:cs="宋体"/>
          <w:spacing w:val="9"/>
          <w:sz w:val="19"/>
          <w:szCs w:val="19"/>
        </w:rPr>
        <w:t>也有物化的表现形式</w:t>
      </w:r>
      <w:r>
        <w:rPr>
          <w:rFonts w:ascii="微软雅黑" w:hAnsi="微软雅黑" w:eastAsia="微软雅黑" w:cs="微软雅黑"/>
          <w:spacing w:val="9"/>
          <w:sz w:val="19"/>
          <w:szCs w:val="19"/>
        </w:rPr>
        <w:t>，</w:t>
      </w:r>
      <w:r>
        <w:rPr>
          <w:rFonts w:ascii="宋体" w:hAnsi="宋体" w:eastAsia="宋体" w:cs="宋体"/>
          <w:spacing w:val="9"/>
          <w:sz w:val="19"/>
          <w:szCs w:val="19"/>
        </w:rPr>
        <w:t>比如</w:t>
      </w:r>
      <w:r>
        <w:rPr>
          <w:rFonts w:ascii="微软雅黑" w:hAnsi="微软雅黑" w:eastAsia="微软雅黑" w:cs="微软雅黑"/>
          <w:spacing w:val="9"/>
          <w:sz w:val="19"/>
          <w:szCs w:val="19"/>
        </w:rPr>
        <w:t>，</w:t>
      </w:r>
      <w:r>
        <w:rPr>
          <w:rFonts w:ascii="宋体" w:hAnsi="宋体" w:eastAsia="宋体" w:cs="宋体"/>
          <w:spacing w:val="9"/>
          <w:sz w:val="19"/>
          <w:szCs w:val="19"/>
        </w:rPr>
        <w:t>建筑文化</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即建筑上所 </w:t>
      </w:r>
      <w:r>
        <w:rPr>
          <w:rFonts w:ascii="宋体" w:hAnsi="宋体" w:eastAsia="宋体" w:cs="宋体"/>
          <w:spacing w:val="18"/>
          <w:sz w:val="19"/>
          <w:szCs w:val="19"/>
        </w:rPr>
        <w:t>承载的文化符号和价值取向</w:t>
      </w:r>
      <w:r>
        <w:rPr>
          <w:rFonts w:ascii="微软雅黑" w:hAnsi="微软雅黑" w:eastAsia="微软雅黑" w:cs="微软雅黑"/>
          <w:spacing w:val="18"/>
          <w:sz w:val="19"/>
          <w:szCs w:val="19"/>
        </w:rPr>
        <w:t>，</w:t>
      </w:r>
      <w:r>
        <w:rPr>
          <w:rFonts w:ascii="宋体" w:hAnsi="宋体" w:eastAsia="宋体" w:cs="宋体"/>
          <w:spacing w:val="18"/>
          <w:sz w:val="19"/>
          <w:szCs w:val="19"/>
        </w:rPr>
        <w:t>一如宫廷建筑所</w:t>
      </w:r>
      <w:r>
        <w:rPr>
          <w:rFonts w:ascii="宋体" w:hAnsi="宋体" w:eastAsia="宋体" w:cs="宋体"/>
          <w:spacing w:val="17"/>
          <w:sz w:val="19"/>
          <w:szCs w:val="19"/>
        </w:rPr>
        <w:t xml:space="preserve">代表 </w:t>
      </w:r>
      <w:r>
        <w:rPr>
          <w:rFonts w:ascii="宋体" w:hAnsi="宋体" w:eastAsia="宋体" w:cs="宋体"/>
          <w:spacing w:val="9"/>
          <w:sz w:val="19"/>
          <w:szCs w:val="19"/>
        </w:rPr>
        <w:t>的庄严</w:t>
      </w:r>
      <w:r>
        <w:rPr>
          <w:rFonts w:ascii="微软雅黑" w:hAnsi="微软雅黑" w:eastAsia="微软雅黑" w:cs="微软雅黑"/>
          <w:spacing w:val="9"/>
          <w:sz w:val="19"/>
          <w:szCs w:val="19"/>
        </w:rPr>
        <w:t>、</w:t>
      </w:r>
      <w:r>
        <w:rPr>
          <w:rFonts w:ascii="宋体" w:hAnsi="宋体" w:eastAsia="宋体" w:cs="宋体"/>
          <w:spacing w:val="9"/>
          <w:sz w:val="19"/>
          <w:szCs w:val="19"/>
        </w:rPr>
        <w:t>恢弘和大气</w:t>
      </w:r>
      <w:r>
        <w:rPr>
          <w:rFonts w:ascii="微软雅黑" w:hAnsi="微软雅黑" w:eastAsia="微软雅黑" w:cs="微软雅黑"/>
          <w:spacing w:val="9"/>
          <w:sz w:val="19"/>
          <w:szCs w:val="19"/>
        </w:rPr>
        <w:t>，</w:t>
      </w:r>
      <w:r>
        <w:rPr>
          <w:rFonts w:ascii="宋体" w:hAnsi="宋体" w:eastAsia="宋体" w:cs="宋体"/>
          <w:spacing w:val="9"/>
          <w:sz w:val="19"/>
          <w:szCs w:val="19"/>
        </w:rPr>
        <w:t>寺庙建筑所表现的虔敬</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肃穆 </w:t>
      </w:r>
      <w:r>
        <w:rPr>
          <w:rFonts w:ascii="宋体" w:hAnsi="宋体" w:eastAsia="宋体" w:cs="宋体"/>
          <w:spacing w:val="21"/>
          <w:sz w:val="19"/>
          <w:szCs w:val="19"/>
        </w:rPr>
        <w:t>和寂寥</w:t>
      </w:r>
      <w:r>
        <w:rPr>
          <w:rFonts w:ascii="宋体" w:hAnsi="宋体" w:eastAsia="宋体" w:cs="宋体"/>
          <w:spacing w:val="-49"/>
          <w:sz w:val="19"/>
          <w:szCs w:val="19"/>
        </w:rPr>
        <w:t xml:space="preserve"> </w:t>
      </w:r>
      <w:r>
        <w:rPr>
          <w:rFonts w:ascii="微软雅黑" w:hAnsi="微软雅黑" w:eastAsia="微软雅黑" w:cs="微软雅黑"/>
          <w:spacing w:val="21"/>
          <w:sz w:val="19"/>
          <w:szCs w:val="19"/>
        </w:rPr>
        <w:t>。</w:t>
      </w:r>
      <w:r>
        <w:rPr>
          <w:rFonts w:ascii="微软雅黑" w:hAnsi="微软雅黑" w:eastAsia="微软雅黑" w:cs="微软雅黑"/>
          <w:spacing w:val="-31"/>
          <w:sz w:val="19"/>
          <w:szCs w:val="19"/>
        </w:rPr>
        <w:t xml:space="preserve"> </w:t>
      </w:r>
      <w:r>
        <w:rPr>
          <w:rFonts w:ascii="宋体" w:hAnsi="宋体" w:eastAsia="宋体" w:cs="宋体"/>
          <w:spacing w:val="21"/>
          <w:sz w:val="19"/>
          <w:szCs w:val="19"/>
        </w:rPr>
        <w:t>高等教育质量文化也是如此</w:t>
      </w:r>
      <w:r>
        <w:rPr>
          <w:rFonts w:ascii="宋体" w:hAnsi="宋体" w:eastAsia="宋体" w:cs="宋体"/>
          <w:spacing w:val="-51"/>
          <w:sz w:val="19"/>
          <w:szCs w:val="19"/>
        </w:rPr>
        <w:t xml:space="preserve"> </w:t>
      </w:r>
      <w:r>
        <w:rPr>
          <w:rFonts w:ascii="微软雅黑" w:hAnsi="微软雅黑" w:eastAsia="微软雅黑" w:cs="微软雅黑"/>
          <w:spacing w:val="21"/>
          <w:sz w:val="19"/>
          <w:szCs w:val="19"/>
        </w:rPr>
        <w:t>。</w:t>
      </w:r>
      <w:r>
        <w:rPr>
          <w:rFonts w:ascii="微软雅黑" w:hAnsi="微软雅黑" w:eastAsia="微软雅黑" w:cs="微软雅黑"/>
          <w:spacing w:val="-33"/>
          <w:sz w:val="19"/>
          <w:szCs w:val="19"/>
        </w:rPr>
        <w:t xml:space="preserve"> </w:t>
      </w:r>
      <w:r>
        <w:rPr>
          <w:rFonts w:ascii="宋体" w:hAnsi="宋体" w:eastAsia="宋体" w:cs="宋体"/>
          <w:spacing w:val="21"/>
          <w:sz w:val="19"/>
          <w:szCs w:val="19"/>
        </w:rPr>
        <w:t xml:space="preserve">就精神而 </w:t>
      </w:r>
      <w:r>
        <w:rPr>
          <w:rFonts w:ascii="宋体" w:hAnsi="宋体" w:eastAsia="宋体" w:cs="宋体"/>
          <w:spacing w:val="18"/>
          <w:sz w:val="19"/>
          <w:szCs w:val="19"/>
        </w:rPr>
        <w:t>言</w:t>
      </w:r>
      <w:r>
        <w:rPr>
          <w:rFonts w:ascii="微软雅黑" w:hAnsi="微软雅黑" w:eastAsia="微软雅黑" w:cs="微软雅黑"/>
          <w:spacing w:val="18"/>
          <w:sz w:val="19"/>
          <w:szCs w:val="19"/>
        </w:rPr>
        <w:t>，</w:t>
      </w:r>
      <w:r>
        <w:rPr>
          <w:rFonts w:ascii="宋体" w:hAnsi="宋体" w:eastAsia="宋体" w:cs="宋体"/>
          <w:spacing w:val="18"/>
          <w:sz w:val="19"/>
          <w:szCs w:val="19"/>
        </w:rPr>
        <w:t>高等教育质量文化是指高等教育质量观所</w:t>
      </w:r>
      <w:r>
        <w:rPr>
          <w:rFonts w:ascii="宋体" w:hAnsi="宋体" w:eastAsia="宋体" w:cs="宋体"/>
          <w:spacing w:val="17"/>
          <w:sz w:val="19"/>
          <w:szCs w:val="19"/>
        </w:rPr>
        <w:t xml:space="preserve">包含 </w:t>
      </w:r>
      <w:r>
        <w:rPr>
          <w:rFonts w:ascii="宋体" w:hAnsi="宋体" w:eastAsia="宋体" w:cs="宋体"/>
          <w:spacing w:val="16"/>
          <w:sz w:val="19"/>
          <w:szCs w:val="19"/>
        </w:rPr>
        <w:t>的价值取向</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质量上的价值取向是高等教育质量文 化主体意志</w:t>
      </w:r>
      <w:r>
        <w:rPr>
          <w:rFonts w:ascii="宋体" w:hAnsi="宋体" w:eastAsia="宋体" w:cs="宋体"/>
          <w:spacing w:val="-48"/>
          <w:sz w:val="19"/>
          <w:szCs w:val="19"/>
        </w:rPr>
        <w:t xml:space="preserve"> </w:t>
      </w:r>
      <w:r>
        <w:rPr>
          <w:rFonts w:ascii="宋体" w:hAnsi="宋体" w:eastAsia="宋体" w:cs="宋体"/>
          <w:spacing w:val="16"/>
          <w:sz w:val="19"/>
          <w:szCs w:val="19"/>
        </w:rPr>
        <w:t>的体现</w:t>
      </w:r>
      <w:r>
        <w:rPr>
          <w:rFonts w:ascii="微软雅黑" w:hAnsi="微软雅黑" w:eastAsia="微软雅黑" w:cs="微软雅黑"/>
          <w:spacing w:val="16"/>
          <w:sz w:val="19"/>
          <w:szCs w:val="19"/>
        </w:rPr>
        <w:t>，</w:t>
      </w:r>
      <w:r>
        <w:rPr>
          <w:rFonts w:ascii="宋体" w:hAnsi="宋体" w:eastAsia="宋体" w:cs="宋体"/>
          <w:spacing w:val="16"/>
          <w:sz w:val="19"/>
          <w:szCs w:val="19"/>
        </w:rPr>
        <w:t>不同主体的组织性质不</w:t>
      </w:r>
      <w:r>
        <w:rPr>
          <w:rFonts w:ascii="宋体" w:hAnsi="宋体" w:eastAsia="宋体" w:cs="宋体"/>
          <w:spacing w:val="15"/>
          <w:sz w:val="19"/>
          <w:szCs w:val="19"/>
        </w:rPr>
        <w:t>同</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高 </w:t>
      </w:r>
      <w:r>
        <w:rPr>
          <w:rFonts w:ascii="宋体" w:hAnsi="宋体" w:eastAsia="宋体" w:cs="宋体"/>
          <w:spacing w:val="9"/>
          <w:sz w:val="19"/>
          <w:szCs w:val="19"/>
        </w:rPr>
        <w:t>校</w:t>
      </w:r>
      <w:r>
        <w:rPr>
          <w:rFonts w:ascii="微软雅黑" w:hAnsi="微软雅黑" w:eastAsia="微软雅黑" w:cs="微软雅黑"/>
          <w:spacing w:val="9"/>
          <w:sz w:val="19"/>
          <w:szCs w:val="19"/>
        </w:rPr>
        <w:t>、</w:t>
      </w:r>
      <w:r>
        <w:rPr>
          <w:rFonts w:ascii="宋体" w:hAnsi="宋体" w:eastAsia="宋体" w:cs="宋体"/>
          <w:spacing w:val="9"/>
          <w:sz w:val="19"/>
          <w:szCs w:val="19"/>
        </w:rPr>
        <w:t>政府</w:t>
      </w:r>
      <w:r>
        <w:rPr>
          <w:rFonts w:ascii="微软雅黑" w:hAnsi="微软雅黑" w:eastAsia="微软雅黑" w:cs="微软雅黑"/>
          <w:spacing w:val="9"/>
          <w:sz w:val="19"/>
          <w:szCs w:val="19"/>
        </w:rPr>
        <w:t>、</w:t>
      </w:r>
      <w:r>
        <w:rPr>
          <w:rFonts w:ascii="宋体" w:hAnsi="宋体" w:eastAsia="宋体" w:cs="宋体"/>
          <w:spacing w:val="9"/>
          <w:sz w:val="19"/>
          <w:szCs w:val="19"/>
        </w:rPr>
        <w:t>社会其他组织和民众之间的差异很大</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他 </w:t>
      </w:r>
      <w:r>
        <w:rPr>
          <w:rFonts w:ascii="宋体" w:hAnsi="宋体" w:eastAsia="宋体" w:cs="宋体"/>
          <w:spacing w:val="22"/>
          <w:sz w:val="19"/>
          <w:szCs w:val="19"/>
        </w:rPr>
        <w:t>们在高等教育质量上的诉求有相同或相似的内容</w:t>
      </w:r>
      <w:r>
        <w:rPr>
          <w:rFonts w:ascii="微软雅黑" w:hAnsi="微软雅黑" w:eastAsia="微软雅黑" w:cs="微软雅黑"/>
          <w:spacing w:val="22"/>
          <w:sz w:val="19"/>
          <w:szCs w:val="19"/>
        </w:rPr>
        <w:t>，</w:t>
      </w:r>
      <w:r>
        <w:rPr>
          <w:rFonts w:ascii="微软雅黑" w:hAnsi="微软雅黑" w:eastAsia="微软雅黑" w:cs="微软雅黑"/>
          <w:spacing w:val="2"/>
          <w:sz w:val="19"/>
          <w:szCs w:val="19"/>
        </w:rPr>
        <w:t xml:space="preserve"> </w:t>
      </w:r>
      <w:r>
        <w:rPr>
          <w:rFonts w:ascii="宋体" w:hAnsi="宋体" w:eastAsia="宋体" w:cs="宋体"/>
          <w:spacing w:val="16"/>
          <w:sz w:val="19"/>
          <w:szCs w:val="19"/>
        </w:rPr>
        <w:t>也有不同甚至对立的内容</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不同主体的高等教育质 </w:t>
      </w:r>
      <w:r>
        <w:rPr>
          <w:rFonts w:ascii="宋体" w:hAnsi="宋体" w:eastAsia="宋体" w:cs="宋体"/>
          <w:spacing w:val="18"/>
          <w:sz w:val="19"/>
          <w:szCs w:val="19"/>
        </w:rPr>
        <w:t>量价值取向往往以不同的方式表现</w:t>
      </w:r>
      <w:r>
        <w:rPr>
          <w:rFonts w:ascii="微软雅黑" w:hAnsi="微软雅黑" w:eastAsia="微软雅黑" w:cs="微软雅黑"/>
          <w:spacing w:val="18"/>
          <w:sz w:val="19"/>
          <w:szCs w:val="19"/>
        </w:rPr>
        <w:t>，</w:t>
      </w:r>
      <w:r>
        <w:rPr>
          <w:rFonts w:ascii="宋体" w:hAnsi="宋体" w:eastAsia="宋体" w:cs="宋体"/>
          <w:spacing w:val="18"/>
          <w:sz w:val="19"/>
          <w:szCs w:val="19"/>
        </w:rPr>
        <w:t>政府主要</w:t>
      </w:r>
      <w:r>
        <w:rPr>
          <w:rFonts w:ascii="宋体" w:hAnsi="宋体" w:eastAsia="宋体" w:cs="宋体"/>
          <w:spacing w:val="17"/>
          <w:sz w:val="19"/>
          <w:szCs w:val="19"/>
        </w:rPr>
        <w:t xml:space="preserve">通过 </w:t>
      </w:r>
      <w:r>
        <w:rPr>
          <w:rFonts w:ascii="宋体" w:hAnsi="宋体" w:eastAsia="宋体" w:cs="宋体"/>
          <w:spacing w:val="18"/>
          <w:sz w:val="19"/>
          <w:szCs w:val="19"/>
        </w:rPr>
        <w:t>相关政策的高等教育价值指引来体现</w:t>
      </w:r>
      <w:r>
        <w:rPr>
          <w:rFonts w:ascii="微软雅黑" w:hAnsi="微软雅黑" w:eastAsia="微软雅黑" w:cs="微软雅黑"/>
          <w:spacing w:val="18"/>
          <w:sz w:val="19"/>
          <w:szCs w:val="19"/>
        </w:rPr>
        <w:t>，</w:t>
      </w:r>
      <w:r>
        <w:rPr>
          <w:rFonts w:ascii="宋体" w:hAnsi="宋体" w:eastAsia="宋体" w:cs="宋体"/>
          <w:spacing w:val="18"/>
          <w:sz w:val="19"/>
          <w:szCs w:val="19"/>
        </w:rPr>
        <w:t>高校通</w:t>
      </w:r>
      <w:r>
        <w:rPr>
          <w:rFonts w:ascii="宋体" w:hAnsi="宋体" w:eastAsia="宋体" w:cs="宋体"/>
          <w:spacing w:val="17"/>
          <w:sz w:val="19"/>
          <w:szCs w:val="19"/>
        </w:rPr>
        <w:t xml:space="preserve">过自 </w:t>
      </w:r>
      <w:r>
        <w:rPr>
          <w:rFonts w:ascii="宋体" w:hAnsi="宋体" w:eastAsia="宋体" w:cs="宋体"/>
          <w:spacing w:val="18"/>
          <w:sz w:val="19"/>
          <w:szCs w:val="19"/>
        </w:rPr>
        <w:t>身的人才培养方案及改革所包含的高等教育价</w:t>
      </w:r>
      <w:r>
        <w:rPr>
          <w:rFonts w:ascii="宋体" w:hAnsi="宋体" w:eastAsia="宋体" w:cs="宋体"/>
          <w:spacing w:val="17"/>
          <w:sz w:val="19"/>
          <w:szCs w:val="19"/>
        </w:rPr>
        <w:t xml:space="preserve">值选 </w:t>
      </w:r>
      <w:r>
        <w:rPr>
          <w:rFonts w:ascii="宋体" w:hAnsi="宋体" w:eastAsia="宋体" w:cs="宋体"/>
          <w:spacing w:val="18"/>
          <w:sz w:val="19"/>
          <w:szCs w:val="19"/>
        </w:rPr>
        <w:t>择来反映</w:t>
      </w:r>
      <w:r>
        <w:rPr>
          <w:rFonts w:ascii="微软雅黑" w:hAnsi="微软雅黑" w:eastAsia="微软雅黑" w:cs="微软雅黑"/>
          <w:spacing w:val="18"/>
          <w:sz w:val="19"/>
          <w:szCs w:val="19"/>
        </w:rPr>
        <w:t>，</w:t>
      </w:r>
      <w:r>
        <w:rPr>
          <w:rFonts w:ascii="宋体" w:hAnsi="宋体" w:eastAsia="宋体" w:cs="宋体"/>
          <w:spacing w:val="18"/>
          <w:sz w:val="19"/>
          <w:szCs w:val="19"/>
        </w:rPr>
        <w:t>社会其他组织或通过舆论或通过对</w:t>
      </w:r>
      <w:r>
        <w:rPr>
          <w:rFonts w:ascii="宋体" w:hAnsi="宋体" w:eastAsia="宋体" w:cs="宋体"/>
          <w:spacing w:val="17"/>
          <w:sz w:val="19"/>
          <w:szCs w:val="19"/>
        </w:rPr>
        <w:t xml:space="preserve">高校 </w:t>
      </w:r>
      <w:r>
        <w:rPr>
          <w:rFonts w:ascii="宋体" w:hAnsi="宋体" w:eastAsia="宋体" w:cs="宋体"/>
          <w:spacing w:val="18"/>
          <w:sz w:val="19"/>
          <w:szCs w:val="19"/>
        </w:rPr>
        <w:t>毕业生的要求来表达高等教育价值评判</w:t>
      </w:r>
      <w:r>
        <w:rPr>
          <w:rFonts w:ascii="微软雅黑" w:hAnsi="微软雅黑" w:eastAsia="微软雅黑" w:cs="微软雅黑"/>
          <w:spacing w:val="18"/>
          <w:sz w:val="19"/>
          <w:szCs w:val="19"/>
        </w:rPr>
        <w:t>，</w:t>
      </w:r>
      <w:r>
        <w:rPr>
          <w:rFonts w:ascii="宋体" w:hAnsi="宋体" w:eastAsia="宋体" w:cs="宋体"/>
          <w:spacing w:val="18"/>
          <w:sz w:val="19"/>
          <w:szCs w:val="19"/>
        </w:rPr>
        <w:t>民众</w:t>
      </w:r>
      <w:r>
        <w:rPr>
          <w:rFonts w:ascii="宋体" w:hAnsi="宋体" w:eastAsia="宋体" w:cs="宋体"/>
          <w:spacing w:val="17"/>
          <w:sz w:val="19"/>
          <w:szCs w:val="19"/>
        </w:rPr>
        <w:t xml:space="preserve">则主 </w:t>
      </w:r>
      <w:r>
        <w:rPr>
          <w:rFonts w:ascii="宋体" w:hAnsi="宋体" w:eastAsia="宋体" w:cs="宋体"/>
          <w:spacing w:val="22"/>
          <w:sz w:val="19"/>
          <w:szCs w:val="19"/>
        </w:rPr>
        <w:t>要通过求学意愿来实现自身的高等教育价值要求</w:t>
      </w:r>
      <w:r>
        <w:rPr>
          <w:rFonts w:ascii="微软雅黑" w:hAnsi="微软雅黑" w:eastAsia="微软雅黑" w:cs="微软雅黑"/>
          <w:spacing w:val="22"/>
          <w:sz w:val="19"/>
          <w:szCs w:val="19"/>
        </w:rPr>
        <w:t>。</w:t>
      </w:r>
      <w:r>
        <w:rPr>
          <w:rFonts w:ascii="微软雅黑" w:hAnsi="微软雅黑" w:eastAsia="微软雅黑" w:cs="微软雅黑"/>
          <w:spacing w:val="2"/>
          <w:sz w:val="19"/>
          <w:szCs w:val="19"/>
        </w:rPr>
        <w:t xml:space="preserve"> </w:t>
      </w:r>
      <w:r>
        <w:rPr>
          <w:rFonts w:ascii="宋体" w:hAnsi="宋体" w:eastAsia="宋体" w:cs="宋体"/>
          <w:spacing w:val="18"/>
          <w:sz w:val="19"/>
          <w:szCs w:val="19"/>
        </w:rPr>
        <w:t>在以知识为目的的质量价值取向下</w:t>
      </w:r>
      <w:r>
        <w:rPr>
          <w:rFonts w:ascii="微软雅黑" w:hAnsi="微软雅黑" w:eastAsia="微软雅黑" w:cs="微软雅黑"/>
          <w:spacing w:val="18"/>
          <w:sz w:val="19"/>
          <w:szCs w:val="19"/>
        </w:rPr>
        <w:t>，</w:t>
      </w:r>
      <w:r>
        <w:rPr>
          <w:rFonts w:ascii="宋体" w:hAnsi="宋体" w:eastAsia="宋体" w:cs="宋体"/>
          <w:spacing w:val="18"/>
          <w:sz w:val="19"/>
          <w:szCs w:val="19"/>
        </w:rPr>
        <w:t>高等教育</w:t>
      </w:r>
      <w:r>
        <w:rPr>
          <w:rFonts w:ascii="宋体" w:hAnsi="宋体" w:eastAsia="宋体" w:cs="宋体"/>
          <w:spacing w:val="17"/>
          <w:sz w:val="19"/>
          <w:szCs w:val="19"/>
        </w:rPr>
        <w:t xml:space="preserve">质量 </w:t>
      </w:r>
      <w:r>
        <w:rPr>
          <w:rFonts w:ascii="宋体" w:hAnsi="宋体" w:eastAsia="宋体" w:cs="宋体"/>
          <w:spacing w:val="18"/>
          <w:sz w:val="19"/>
          <w:szCs w:val="19"/>
        </w:rPr>
        <w:t>文化就是围绕知识授受所发展起来的一套办学</w:t>
      </w:r>
      <w:r>
        <w:rPr>
          <w:rFonts w:ascii="宋体" w:hAnsi="宋体" w:eastAsia="宋体" w:cs="宋体"/>
          <w:spacing w:val="17"/>
          <w:sz w:val="19"/>
          <w:szCs w:val="19"/>
        </w:rPr>
        <w:t xml:space="preserve">规范 </w:t>
      </w:r>
      <w:r>
        <w:rPr>
          <w:rFonts w:ascii="宋体" w:hAnsi="宋体" w:eastAsia="宋体" w:cs="宋体"/>
          <w:spacing w:val="18"/>
          <w:sz w:val="19"/>
          <w:szCs w:val="19"/>
        </w:rPr>
        <w:t>和行为活动要求</w:t>
      </w:r>
      <w:r>
        <w:rPr>
          <w:rFonts w:ascii="微软雅黑" w:hAnsi="微软雅黑" w:eastAsia="微软雅黑" w:cs="微软雅黑"/>
          <w:spacing w:val="18"/>
          <w:sz w:val="19"/>
          <w:szCs w:val="19"/>
        </w:rPr>
        <w:t>；</w:t>
      </w:r>
      <w:r>
        <w:rPr>
          <w:rFonts w:ascii="宋体" w:hAnsi="宋体" w:eastAsia="宋体" w:cs="宋体"/>
          <w:spacing w:val="18"/>
          <w:sz w:val="19"/>
          <w:szCs w:val="19"/>
        </w:rPr>
        <w:t>在以服务社会为目的的质量</w:t>
      </w:r>
      <w:r>
        <w:rPr>
          <w:rFonts w:ascii="宋体" w:hAnsi="宋体" w:eastAsia="宋体" w:cs="宋体"/>
          <w:spacing w:val="17"/>
          <w:sz w:val="19"/>
          <w:szCs w:val="19"/>
        </w:rPr>
        <w:t xml:space="preserve">价值 </w:t>
      </w:r>
      <w:r>
        <w:rPr>
          <w:rFonts w:ascii="宋体" w:hAnsi="宋体" w:eastAsia="宋体" w:cs="宋体"/>
          <w:spacing w:val="18"/>
          <w:sz w:val="19"/>
          <w:szCs w:val="19"/>
        </w:rPr>
        <w:t>取向下</w:t>
      </w:r>
      <w:r>
        <w:rPr>
          <w:rFonts w:ascii="微软雅黑" w:hAnsi="微软雅黑" w:eastAsia="微软雅黑" w:cs="微软雅黑"/>
          <w:spacing w:val="18"/>
          <w:sz w:val="19"/>
          <w:szCs w:val="19"/>
        </w:rPr>
        <w:t>，</w:t>
      </w:r>
      <w:r>
        <w:rPr>
          <w:rFonts w:ascii="宋体" w:hAnsi="宋体" w:eastAsia="宋体" w:cs="宋体"/>
          <w:spacing w:val="18"/>
          <w:sz w:val="19"/>
          <w:szCs w:val="19"/>
        </w:rPr>
        <w:t>高等教育质量文化就包含了更多的与</w:t>
      </w:r>
      <w:r>
        <w:rPr>
          <w:rFonts w:ascii="宋体" w:hAnsi="宋体" w:eastAsia="宋体" w:cs="宋体"/>
          <w:spacing w:val="17"/>
          <w:sz w:val="19"/>
          <w:szCs w:val="19"/>
        </w:rPr>
        <w:t xml:space="preserve">社会 </w:t>
      </w:r>
      <w:r>
        <w:rPr>
          <w:rFonts w:ascii="宋体" w:hAnsi="宋体" w:eastAsia="宋体" w:cs="宋体"/>
          <w:spacing w:val="25"/>
          <w:sz w:val="19"/>
          <w:szCs w:val="19"/>
        </w:rPr>
        <w:t>企事业单位合作办学</w:t>
      </w:r>
      <w:r>
        <w:rPr>
          <w:rFonts w:ascii="宋体" w:hAnsi="宋体" w:eastAsia="宋体" w:cs="宋体"/>
          <w:spacing w:val="-44"/>
          <w:sz w:val="19"/>
          <w:szCs w:val="19"/>
        </w:rPr>
        <w:t xml:space="preserve"> </w:t>
      </w:r>
      <w:r>
        <w:rPr>
          <w:rFonts w:ascii="宋体" w:hAnsi="宋体" w:eastAsia="宋体" w:cs="宋体"/>
          <w:spacing w:val="25"/>
          <w:sz w:val="19"/>
          <w:szCs w:val="19"/>
        </w:rPr>
        <w:t xml:space="preserve">的制度和教学活动要求与惯 </w:t>
      </w:r>
      <w:r>
        <w:rPr>
          <w:rFonts w:ascii="宋体" w:hAnsi="宋体" w:eastAsia="宋体" w:cs="宋体"/>
          <w:spacing w:val="15"/>
          <w:sz w:val="19"/>
          <w:szCs w:val="19"/>
        </w:rPr>
        <w:t>习</w:t>
      </w:r>
      <w:r>
        <w:rPr>
          <w:rFonts w:ascii="微软雅黑" w:hAnsi="微软雅黑" w:eastAsia="微软雅黑" w:cs="微软雅黑"/>
          <w:spacing w:val="15"/>
          <w:sz w:val="19"/>
          <w:szCs w:val="19"/>
        </w:rPr>
        <w:t>。</w:t>
      </w:r>
    </w:p>
    <w:p>
      <w:pPr>
        <w:spacing w:before="71" w:line="255" w:lineRule="auto"/>
        <w:ind w:left="733" w:right="337" w:firstLine="422"/>
        <w:rPr>
          <w:rFonts w:ascii="宋体" w:hAnsi="宋体" w:eastAsia="宋体" w:cs="宋体"/>
          <w:sz w:val="19"/>
          <w:szCs w:val="19"/>
        </w:rPr>
      </w:pPr>
      <w:r>
        <w:rPr>
          <w:rFonts w:ascii="宋体" w:hAnsi="宋体" w:eastAsia="宋体" w:cs="宋体"/>
          <w:spacing w:val="18"/>
          <w:sz w:val="19"/>
          <w:szCs w:val="19"/>
        </w:rPr>
        <w:t>物质的高等教育质量文化与精神的高等教育质</w:t>
      </w:r>
      <w:r>
        <w:rPr>
          <w:rFonts w:ascii="宋体" w:hAnsi="宋体" w:eastAsia="宋体" w:cs="宋体"/>
          <w:spacing w:val="5"/>
          <w:sz w:val="19"/>
          <w:szCs w:val="19"/>
        </w:rPr>
        <w:t xml:space="preserve"> </w:t>
      </w:r>
      <w:r>
        <w:rPr>
          <w:rFonts w:ascii="宋体" w:hAnsi="宋体" w:eastAsia="宋体" w:cs="宋体"/>
          <w:spacing w:val="9"/>
          <w:sz w:val="19"/>
          <w:szCs w:val="19"/>
        </w:rPr>
        <w:t>量文化不可分割</w:t>
      </w:r>
      <w:r>
        <w:rPr>
          <w:rFonts w:ascii="微软雅黑" w:hAnsi="微软雅黑" w:eastAsia="微软雅黑" w:cs="微软雅黑"/>
          <w:spacing w:val="9"/>
          <w:sz w:val="19"/>
          <w:szCs w:val="19"/>
        </w:rPr>
        <w:t>，</w:t>
      </w:r>
      <w:r>
        <w:rPr>
          <w:rFonts w:ascii="宋体" w:hAnsi="宋体" w:eastAsia="宋体" w:cs="宋体"/>
          <w:spacing w:val="9"/>
          <w:sz w:val="19"/>
          <w:szCs w:val="19"/>
        </w:rPr>
        <w:t>没有精神的高等教育质量文化</w:t>
      </w:r>
      <w:r>
        <w:rPr>
          <w:rFonts w:ascii="微软雅黑" w:hAnsi="微软雅黑" w:eastAsia="微软雅黑" w:cs="微软雅黑"/>
          <w:spacing w:val="9"/>
          <w:sz w:val="19"/>
          <w:szCs w:val="19"/>
        </w:rPr>
        <w:t>，</w:t>
      </w:r>
      <w:r>
        <w:rPr>
          <w:rFonts w:ascii="宋体" w:hAnsi="宋体" w:eastAsia="宋体" w:cs="宋体"/>
          <w:spacing w:val="9"/>
          <w:sz w:val="19"/>
          <w:szCs w:val="19"/>
        </w:rPr>
        <w:t>就</w:t>
      </w:r>
      <w:r>
        <w:rPr>
          <w:rFonts w:ascii="宋体" w:hAnsi="宋体" w:eastAsia="宋体" w:cs="宋体"/>
          <w:spacing w:val="13"/>
          <w:sz w:val="19"/>
          <w:szCs w:val="19"/>
        </w:rPr>
        <w:t xml:space="preserve"> </w:t>
      </w:r>
      <w:r>
        <w:rPr>
          <w:rFonts w:ascii="宋体" w:hAnsi="宋体" w:eastAsia="宋体" w:cs="宋体"/>
          <w:spacing w:val="16"/>
          <w:sz w:val="19"/>
          <w:szCs w:val="19"/>
        </w:rPr>
        <w:t>不可能有物质的高等教育质量文化存在</w:t>
      </w:r>
      <w:r>
        <w:rPr>
          <w:rFonts w:ascii="宋体" w:hAnsi="宋体" w:eastAsia="宋体" w:cs="宋体"/>
          <w:spacing w:val="-37"/>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物质的高</w:t>
      </w:r>
      <w:r>
        <w:rPr>
          <w:rFonts w:ascii="宋体" w:hAnsi="宋体" w:eastAsia="宋体" w:cs="宋体"/>
          <w:sz w:val="19"/>
          <w:szCs w:val="19"/>
        </w:rPr>
        <w:t xml:space="preserve"> </w:t>
      </w:r>
      <w:r>
        <w:rPr>
          <w:rFonts w:ascii="宋体" w:hAnsi="宋体" w:eastAsia="宋体" w:cs="宋体"/>
          <w:spacing w:val="18"/>
          <w:sz w:val="19"/>
          <w:szCs w:val="19"/>
        </w:rPr>
        <w:t>等教育质量文化主要指高等教育活动中所利用和产</w:t>
      </w:r>
      <w:r>
        <w:rPr>
          <w:rFonts w:ascii="宋体" w:hAnsi="宋体" w:eastAsia="宋体" w:cs="宋体"/>
          <w:spacing w:val="11"/>
          <w:sz w:val="19"/>
          <w:szCs w:val="19"/>
        </w:rPr>
        <w:t xml:space="preserve"> </w:t>
      </w:r>
      <w:r>
        <w:rPr>
          <w:rFonts w:ascii="宋体" w:hAnsi="宋体" w:eastAsia="宋体" w:cs="宋体"/>
          <w:spacing w:val="18"/>
          <w:sz w:val="19"/>
          <w:szCs w:val="19"/>
        </w:rPr>
        <w:t>生的体现高等教育质量价值追求及其实现状况的物</w:t>
      </w:r>
    </w:p>
    <w:p>
      <w:pPr>
        <w:spacing w:line="14" w:lineRule="auto"/>
        <w:rPr>
          <w:rFonts w:ascii="Arial"/>
          <w:sz w:val="2"/>
        </w:rPr>
      </w:pPr>
      <w:r>
        <w:rPr>
          <w:rFonts w:ascii="Arial" w:hAnsi="Arial" w:eastAsia="Arial" w:cs="Arial"/>
          <w:sz w:val="2"/>
          <w:szCs w:val="2"/>
        </w:rPr>
        <w:br w:type="column"/>
      </w:r>
    </w:p>
    <w:p>
      <w:pPr>
        <w:spacing w:before="41" w:line="238" w:lineRule="auto"/>
        <w:ind w:left="1" w:right="69"/>
        <w:jc w:val="both"/>
        <w:rPr>
          <w:rFonts w:ascii="微软雅黑" w:hAnsi="微软雅黑" w:eastAsia="微软雅黑" w:cs="微软雅黑"/>
          <w:sz w:val="19"/>
          <w:szCs w:val="19"/>
        </w:rPr>
      </w:pPr>
      <w:r>
        <w:rPr>
          <w:rFonts w:ascii="宋体" w:hAnsi="宋体" w:eastAsia="宋体" w:cs="宋体"/>
          <w:spacing w:val="16"/>
          <w:sz w:val="19"/>
          <w:szCs w:val="19"/>
        </w:rPr>
        <w:t>化存在</w:t>
      </w:r>
      <w:r>
        <w:rPr>
          <w:rFonts w:ascii="宋体" w:hAnsi="宋体" w:eastAsia="宋体" w:cs="宋体"/>
          <w:spacing w:val="-40"/>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一方面</w:t>
      </w:r>
      <w:r>
        <w:rPr>
          <w:rFonts w:ascii="微软雅黑" w:hAnsi="微软雅黑" w:eastAsia="微软雅黑" w:cs="微软雅黑"/>
          <w:spacing w:val="16"/>
          <w:sz w:val="19"/>
          <w:szCs w:val="19"/>
        </w:rPr>
        <w:t>，</w:t>
      </w:r>
      <w:r>
        <w:rPr>
          <w:rFonts w:ascii="宋体" w:hAnsi="宋体" w:eastAsia="宋体" w:cs="宋体"/>
          <w:spacing w:val="16"/>
          <w:sz w:val="19"/>
          <w:szCs w:val="19"/>
        </w:rPr>
        <w:t>这种质量文化存在于高等教育过</w:t>
      </w:r>
      <w:r>
        <w:rPr>
          <w:rFonts w:ascii="宋体" w:hAnsi="宋体" w:eastAsia="宋体" w:cs="宋体"/>
          <w:sz w:val="19"/>
          <w:szCs w:val="19"/>
        </w:rPr>
        <w:t xml:space="preserve"> </w:t>
      </w:r>
      <w:r>
        <w:rPr>
          <w:rFonts w:ascii="宋体" w:hAnsi="宋体" w:eastAsia="宋体" w:cs="宋体"/>
          <w:spacing w:val="9"/>
          <w:sz w:val="19"/>
          <w:szCs w:val="19"/>
        </w:rPr>
        <w:t>程中</w:t>
      </w:r>
      <w:r>
        <w:rPr>
          <w:rFonts w:ascii="微软雅黑" w:hAnsi="微软雅黑" w:eastAsia="微软雅黑" w:cs="微软雅黑"/>
          <w:spacing w:val="9"/>
          <w:sz w:val="19"/>
          <w:szCs w:val="19"/>
        </w:rPr>
        <w:t>，</w:t>
      </w:r>
      <w:r>
        <w:rPr>
          <w:rFonts w:ascii="宋体" w:hAnsi="宋体" w:eastAsia="宋体" w:cs="宋体"/>
          <w:spacing w:val="9"/>
          <w:sz w:val="19"/>
          <w:szCs w:val="19"/>
        </w:rPr>
        <w:t>服务于高等教育质量的生成</w:t>
      </w:r>
      <w:r>
        <w:rPr>
          <w:rFonts w:ascii="微软雅黑" w:hAnsi="微软雅黑" w:eastAsia="微软雅黑" w:cs="微软雅黑"/>
          <w:spacing w:val="9"/>
          <w:sz w:val="19"/>
          <w:szCs w:val="19"/>
        </w:rPr>
        <w:t>，</w:t>
      </w:r>
      <w:r>
        <w:rPr>
          <w:rFonts w:ascii="宋体" w:hAnsi="宋体" w:eastAsia="宋体" w:cs="宋体"/>
          <w:spacing w:val="9"/>
          <w:sz w:val="19"/>
          <w:szCs w:val="19"/>
        </w:rPr>
        <w:t>表现为教育教学</w:t>
      </w:r>
      <w:r>
        <w:rPr>
          <w:rFonts w:ascii="宋体" w:hAnsi="宋体" w:eastAsia="宋体" w:cs="宋体"/>
          <w:spacing w:val="12"/>
          <w:sz w:val="19"/>
          <w:szCs w:val="19"/>
        </w:rPr>
        <w:t xml:space="preserve"> </w:t>
      </w:r>
      <w:r>
        <w:rPr>
          <w:rFonts w:ascii="宋体" w:hAnsi="宋体" w:eastAsia="宋体" w:cs="宋体"/>
          <w:spacing w:val="15"/>
          <w:sz w:val="19"/>
          <w:szCs w:val="19"/>
        </w:rPr>
        <w:t>环境条件</w:t>
      </w:r>
      <w:r>
        <w:rPr>
          <w:rFonts w:ascii="宋体" w:hAnsi="宋体" w:eastAsia="宋体" w:cs="宋体"/>
          <w:spacing w:val="-53"/>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20"/>
          <w:sz w:val="19"/>
          <w:szCs w:val="19"/>
        </w:rPr>
        <w:t xml:space="preserve"> </w:t>
      </w:r>
      <w:r>
        <w:rPr>
          <w:rFonts w:ascii="宋体" w:hAnsi="宋体" w:eastAsia="宋体" w:cs="宋体"/>
          <w:spacing w:val="15"/>
          <w:sz w:val="19"/>
          <w:szCs w:val="19"/>
        </w:rPr>
        <w:t>比如</w:t>
      </w:r>
      <w:r>
        <w:rPr>
          <w:rFonts w:ascii="微软雅黑" w:hAnsi="微软雅黑" w:eastAsia="微软雅黑" w:cs="微软雅黑"/>
          <w:spacing w:val="15"/>
          <w:sz w:val="19"/>
          <w:szCs w:val="19"/>
        </w:rPr>
        <w:t>，</w:t>
      </w:r>
      <w:r>
        <w:rPr>
          <w:rFonts w:ascii="宋体" w:hAnsi="宋体" w:eastAsia="宋体" w:cs="宋体"/>
          <w:spacing w:val="15"/>
          <w:sz w:val="19"/>
          <w:szCs w:val="19"/>
        </w:rPr>
        <w:t>教室和教学设施都是开展高等教</w:t>
      </w:r>
      <w:r>
        <w:rPr>
          <w:rFonts w:ascii="宋体" w:hAnsi="宋体" w:eastAsia="宋体" w:cs="宋体"/>
          <w:sz w:val="19"/>
          <w:szCs w:val="19"/>
        </w:rPr>
        <w:t xml:space="preserve"> </w:t>
      </w:r>
      <w:r>
        <w:rPr>
          <w:rFonts w:ascii="宋体" w:hAnsi="宋体" w:eastAsia="宋体" w:cs="宋体"/>
          <w:spacing w:val="9"/>
          <w:sz w:val="19"/>
          <w:szCs w:val="19"/>
        </w:rPr>
        <w:t>育活动所必需</w:t>
      </w:r>
      <w:r>
        <w:rPr>
          <w:rFonts w:ascii="微软雅黑" w:hAnsi="微软雅黑" w:eastAsia="微软雅黑" w:cs="微软雅黑"/>
          <w:spacing w:val="9"/>
          <w:sz w:val="19"/>
          <w:szCs w:val="19"/>
        </w:rPr>
        <w:t>，</w:t>
      </w:r>
      <w:r>
        <w:rPr>
          <w:rFonts w:ascii="宋体" w:hAnsi="宋体" w:eastAsia="宋体" w:cs="宋体"/>
          <w:spacing w:val="9"/>
          <w:sz w:val="19"/>
          <w:szCs w:val="19"/>
        </w:rPr>
        <w:t>它们不是普通的物质条件</w:t>
      </w:r>
      <w:r>
        <w:rPr>
          <w:rFonts w:ascii="微软雅黑" w:hAnsi="微软雅黑" w:eastAsia="微软雅黑" w:cs="微软雅黑"/>
          <w:spacing w:val="9"/>
          <w:sz w:val="19"/>
          <w:szCs w:val="19"/>
        </w:rPr>
        <w:t>，</w:t>
      </w:r>
      <w:r>
        <w:rPr>
          <w:rFonts w:ascii="宋体" w:hAnsi="宋体" w:eastAsia="宋体" w:cs="宋体"/>
          <w:spacing w:val="9"/>
          <w:sz w:val="19"/>
          <w:szCs w:val="19"/>
        </w:rPr>
        <w:t>而是包含</w:t>
      </w:r>
      <w:r>
        <w:rPr>
          <w:rFonts w:ascii="宋体" w:hAnsi="宋体" w:eastAsia="宋体" w:cs="宋体"/>
          <w:spacing w:val="13"/>
          <w:sz w:val="19"/>
          <w:szCs w:val="19"/>
        </w:rPr>
        <w:t xml:space="preserve"> </w:t>
      </w:r>
      <w:r>
        <w:rPr>
          <w:rFonts w:ascii="宋体" w:hAnsi="宋体" w:eastAsia="宋体" w:cs="宋体"/>
          <w:spacing w:val="18"/>
          <w:sz w:val="19"/>
          <w:szCs w:val="19"/>
        </w:rPr>
        <w:t>了高等教育价值追求的物质条件</w:t>
      </w:r>
      <w:r>
        <w:rPr>
          <w:rFonts w:ascii="微软雅黑" w:hAnsi="微软雅黑" w:eastAsia="微软雅黑" w:cs="微软雅黑"/>
          <w:spacing w:val="18"/>
          <w:sz w:val="19"/>
          <w:szCs w:val="19"/>
        </w:rPr>
        <w:t>，</w:t>
      </w:r>
      <w:r>
        <w:rPr>
          <w:rFonts w:ascii="宋体" w:hAnsi="宋体" w:eastAsia="宋体" w:cs="宋体"/>
          <w:spacing w:val="18"/>
          <w:sz w:val="19"/>
          <w:szCs w:val="19"/>
        </w:rPr>
        <w:t>智慧教室与传统</w:t>
      </w:r>
      <w:r>
        <w:rPr>
          <w:rFonts w:ascii="宋体" w:hAnsi="宋体" w:eastAsia="宋体" w:cs="宋体"/>
          <w:spacing w:val="13"/>
          <w:sz w:val="19"/>
          <w:szCs w:val="19"/>
        </w:rPr>
        <w:t xml:space="preserve"> </w:t>
      </w:r>
      <w:r>
        <w:rPr>
          <w:rFonts w:ascii="宋体" w:hAnsi="宋体" w:eastAsia="宋体" w:cs="宋体"/>
          <w:spacing w:val="18"/>
          <w:sz w:val="19"/>
          <w:szCs w:val="19"/>
        </w:rPr>
        <w:t>教室所包含的高等教育质量价值追求不同</w:t>
      </w:r>
      <w:r>
        <w:rPr>
          <w:rFonts w:ascii="微软雅黑" w:hAnsi="微软雅黑" w:eastAsia="微软雅黑" w:cs="微软雅黑"/>
          <w:spacing w:val="18"/>
          <w:sz w:val="19"/>
          <w:szCs w:val="19"/>
        </w:rPr>
        <w:t>，</w:t>
      </w:r>
      <w:r>
        <w:rPr>
          <w:rFonts w:ascii="宋体" w:hAnsi="宋体" w:eastAsia="宋体" w:cs="宋体"/>
          <w:spacing w:val="18"/>
          <w:sz w:val="19"/>
          <w:szCs w:val="19"/>
        </w:rPr>
        <w:t>多媒体</w:t>
      </w:r>
      <w:r>
        <w:rPr>
          <w:rFonts w:ascii="宋体" w:hAnsi="宋体" w:eastAsia="宋体" w:cs="宋体"/>
          <w:spacing w:val="14"/>
          <w:sz w:val="19"/>
          <w:szCs w:val="19"/>
        </w:rPr>
        <w:t xml:space="preserve"> </w:t>
      </w:r>
      <w:r>
        <w:rPr>
          <w:rFonts w:ascii="宋体" w:hAnsi="宋体" w:eastAsia="宋体" w:cs="宋体"/>
          <w:spacing w:val="18"/>
          <w:sz w:val="19"/>
          <w:szCs w:val="19"/>
        </w:rPr>
        <w:t>教学设施与传统的电化教学设施所追求的高等教育</w:t>
      </w:r>
      <w:r>
        <w:rPr>
          <w:rFonts w:ascii="宋体" w:hAnsi="宋体" w:eastAsia="宋体" w:cs="宋体"/>
          <w:spacing w:val="11"/>
          <w:sz w:val="19"/>
          <w:szCs w:val="19"/>
        </w:rPr>
        <w:t xml:space="preserve"> </w:t>
      </w:r>
      <w:r>
        <w:rPr>
          <w:rFonts w:ascii="宋体" w:hAnsi="宋体" w:eastAsia="宋体" w:cs="宋体"/>
          <w:spacing w:val="7"/>
          <w:sz w:val="19"/>
          <w:szCs w:val="19"/>
        </w:rPr>
        <w:t>质量价值存在差别</w:t>
      </w:r>
      <w:r>
        <w:rPr>
          <w:rFonts w:ascii="宋体" w:hAnsi="宋体" w:eastAsia="宋体" w:cs="宋体"/>
          <w:spacing w:val="-36"/>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毫无疑问</w:t>
      </w:r>
      <w:r>
        <w:rPr>
          <w:rFonts w:ascii="微软雅黑" w:hAnsi="微软雅黑" w:eastAsia="微软雅黑" w:cs="微软雅黑"/>
          <w:spacing w:val="7"/>
          <w:sz w:val="19"/>
          <w:szCs w:val="19"/>
        </w:rPr>
        <w:t>，</w:t>
      </w:r>
      <w:r>
        <w:rPr>
          <w:rFonts w:ascii="宋体" w:hAnsi="宋体" w:eastAsia="宋体" w:cs="宋体"/>
          <w:spacing w:val="7"/>
          <w:sz w:val="19"/>
          <w:szCs w:val="19"/>
        </w:rPr>
        <w:t>这些建筑</w:t>
      </w:r>
      <w:r>
        <w:rPr>
          <w:rFonts w:ascii="微软雅黑" w:hAnsi="微软雅黑" w:eastAsia="微软雅黑" w:cs="微软雅黑"/>
          <w:spacing w:val="7"/>
          <w:sz w:val="19"/>
          <w:szCs w:val="19"/>
        </w:rPr>
        <w:t>、</w:t>
      </w:r>
      <w:r>
        <w:rPr>
          <w:rFonts w:ascii="宋体" w:hAnsi="宋体" w:eastAsia="宋体" w:cs="宋体"/>
          <w:spacing w:val="7"/>
          <w:sz w:val="19"/>
          <w:szCs w:val="19"/>
        </w:rPr>
        <w:t>设施条件</w:t>
      </w:r>
      <w:r>
        <w:rPr>
          <w:rFonts w:ascii="宋体" w:hAnsi="宋体" w:eastAsia="宋体" w:cs="宋体"/>
          <w:sz w:val="19"/>
          <w:szCs w:val="19"/>
        </w:rPr>
        <w:t xml:space="preserve"> </w:t>
      </w:r>
      <w:r>
        <w:rPr>
          <w:rFonts w:ascii="宋体" w:hAnsi="宋体" w:eastAsia="宋体" w:cs="宋体"/>
          <w:spacing w:val="18"/>
          <w:sz w:val="19"/>
          <w:szCs w:val="19"/>
        </w:rPr>
        <w:t>是具有教育意义的</w:t>
      </w:r>
      <w:r>
        <w:rPr>
          <w:rFonts w:ascii="微软雅黑" w:hAnsi="微软雅黑" w:eastAsia="微软雅黑" w:cs="微软雅黑"/>
          <w:spacing w:val="18"/>
          <w:sz w:val="19"/>
          <w:szCs w:val="19"/>
        </w:rPr>
        <w:t>，</w:t>
      </w:r>
      <w:r>
        <w:rPr>
          <w:rFonts w:ascii="宋体" w:hAnsi="宋体" w:eastAsia="宋体" w:cs="宋体"/>
          <w:spacing w:val="18"/>
          <w:sz w:val="19"/>
          <w:szCs w:val="19"/>
        </w:rPr>
        <w:t>它们承载了人们对高等教育质</w:t>
      </w:r>
      <w:r>
        <w:rPr>
          <w:rFonts w:ascii="宋体" w:hAnsi="宋体" w:eastAsia="宋体" w:cs="宋体"/>
          <w:spacing w:val="12"/>
          <w:sz w:val="19"/>
          <w:szCs w:val="19"/>
        </w:rPr>
        <w:t xml:space="preserve"> </w:t>
      </w:r>
      <w:r>
        <w:rPr>
          <w:rFonts w:ascii="宋体" w:hAnsi="宋体" w:eastAsia="宋体" w:cs="宋体"/>
          <w:spacing w:val="18"/>
          <w:sz w:val="19"/>
          <w:szCs w:val="19"/>
        </w:rPr>
        <w:t>量的价值评价与选择</w:t>
      </w:r>
      <w:r>
        <w:rPr>
          <w:rFonts w:ascii="微软雅黑" w:hAnsi="微软雅黑" w:eastAsia="微软雅黑" w:cs="微软雅黑"/>
          <w:spacing w:val="18"/>
          <w:sz w:val="19"/>
          <w:szCs w:val="19"/>
        </w:rPr>
        <w:t>，</w:t>
      </w:r>
      <w:r>
        <w:rPr>
          <w:rFonts w:ascii="宋体" w:hAnsi="宋体" w:eastAsia="宋体" w:cs="宋体"/>
          <w:spacing w:val="18"/>
          <w:sz w:val="19"/>
          <w:szCs w:val="19"/>
        </w:rPr>
        <w:t>又被用于实现人们的高等教</w:t>
      </w:r>
      <w:r>
        <w:rPr>
          <w:rFonts w:ascii="宋体" w:hAnsi="宋体" w:eastAsia="宋体" w:cs="宋体"/>
          <w:spacing w:val="12"/>
          <w:sz w:val="19"/>
          <w:szCs w:val="19"/>
        </w:rPr>
        <w:t xml:space="preserve"> </w:t>
      </w:r>
      <w:r>
        <w:rPr>
          <w:rFonts w:ascii="宋体" w:hAnsi="宋体" w:eastAsia="宋体" w:cs="宋体"/>
          <w:spacing w:val="7"/>
          <w:sz w:val="19"/>
          <w:szCs w:val="19"/>
        </w:rPr>
        <w:t>育价值追求</w:t>
      </w:r>
      <w:r>
        <w:rPr>
          <w:rFonts w:ascii="宋体" w:hAnsi="宋体" w:eastAsia="宋体" w:cs="宋体"/>
          <w:spacing w:val="-36"/>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再如</w:t>
      </w:r>
      <w:r>
        <w:rPr>
          <w:rFonts w:ascii="微软雅黑" w:hAnsi="微软雅黑" w:eastAsia="微软雅黑" w:cs="微软雅黑"/>
          <w:spacing w:val="7"/>
          <w:sz w:val="19"/>
          <w:szCs w:val="19"/>
        </w:rPr>
        <w:t>，</w:t>
      </w:r>
      <w:r>
        <w:rPr>
          <w:rFonts w:ascii="宋体" w:hAnsi="宋体" w:eastAsia="宋体" w:cs="宋体"/>
          <w:spacing w:val="7"/>
          <w:sz w:val="19"/>
          <w:szCs w:val="19"/>
        </w:rPr>
        <w:t>中式建筑和西式建筑</w:t>
      </w:r>
      <w:r>
        <w:rPr>
          <w:rFonts w:ascii="微软雅黑" w:hAnsi="微软雅黑" w:eastAsia="微软雅黑" w:cs="微软雅黑"/>
          <w:spacing w:val="7"/>
          <w:sz w:val="19"/>
          <w:szCs w:val="19"/>
        </w:rPr>
        <w:t>、</w:t>
      </w:r>
      <w:r>
        <w:rPr>
          <w:rFonts w:ascii="宋体" w:hAnsi="宋体" w:eastAsia="宋体" w:cs="宋体"/>
          <w:spacing w:val="7"/>
          <w:sz w:val="19"/>
          <w:szCs w:val="19"/>
        </w:rPr>
        <w:t>高楼大厦</w:t>
      </w:r>
      <w:r>
        <w:rPr>
          <w:rFonts w:ascii="宋体" w:hAnsi="宋体" w:eastAsia="宋体" w:cs="宋体"/>
          <w:sz w:val="19"/>
          <w:szCs w:val="19"/>
        </w:rPr>
        <w:t xml:space="preserve"> </w:t>
      </w:r>
      <w:r>
        <w:rPr>
          <w:rFonts w:ascii="宋体" w:hAnsi="宋体" w:eastAsia="宋体" w:cs="宋体"/>
          <w:spacing w:val="18"/>
          <w:sz w:val="19"/>
          <w:szCs w:val="19"/>
        </w:rPr>
        <w:t>和庭院环境所承载的文化理念殊异</w:t>
      </w:r>
      <w:r>
        <w:rPr>
          <w:rFonts w:ascii="微软雅黑" w:hAnsi="微软雅黑" w:eastAsia="微软雅黑" w:cs="微软雅黑"/>
          <w:spacing w:val="18"/>
          <w:sz w:val="19"/>
          <w:szCs w:val="19"/>
        </w:rPr>
        <w:t>，</w:t>
      </w:r>
      <w:r>
        <w:rPr>
          <w:rFonts w:ascii="宋体" w:hAnsi="宋体" w:eastAsia="宋体" w:cs="宋体"/>
          <w:spacing w:val="18"/>
          <w:sz w:val="19"/>
          <w:szCs w:val="19"/>
        </w:rPr>
        <w:t>高校的选择往</w:t>
      </w:r>
      <w:r>
        <w:rPr>
          <w:rFonts w:ascii="宋体" w:hAnsi="宋体" w:eastAsia="宋体" w:cs="宋体"/>
          <w:spacing w:val="13"/>
          <w:sz w:val="19"/>
          <w:szCs w:val="19"/>
        </w:rPr>
        <w:t xml:space="preserve"> </w:t>
      </w:r>
      <w:r>
        <w:rPr>
          <w:rFonts w:ascii="宋体" w:hAnsi="宋体" w:eastAsia="宋体" w:cs="宋体"/>
          <w:spacing w:val="15"/>
          <w:sz w:val="19"/>
          <w:szCs w:val="19"/>
        </w:rPr>
        <w:t>往包含了对质量的倾向</w:t>
      </w:r>
      <w:r>
        <w:rPr>
          <w:rFonts w:ascii="宋体" w:hAnsi="宋体" w:eastAsia="宋体" w:cs="宋体"/>
          <w:spacing w:val="-38"/>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4"/>
          <w:sz w:val="19"/>
          <w:szCs w:val="19"/>
        </w:rPr>
        <w:t xml:space="preserve"> </w:t>
      </w:r>
      <w:r>
        <w:rPr>
          <w:rFonts w:ascii="宋体" w:hAnsi="宋体" w:eastAsia="宋体" w:cs="宋体"/>
          <w:spacing w:val="15"/>
          <w:sz w:val="19"/>
          <w:szCs w:val="19"/>
        </w:rPr>
        <w:t>另一方面</w:t>
      </w:r>
      <w:r>
        <w:rPr>
          <w:rFonts w:ascii="微软雅黑" w:hAnsi="微软雅黑" w:eastAsia="微软雅黑" w:cs="微软雅黑"/>
          <w:spacing w:val="15"/>
          <w:sz w:val="19"/>
          <w:szCs w:val="19"/>
        </w:rPr>
        <w:t>，</w:t>
      </w:r>
      <w:r>
        <w:rPr>
          <w:rFonts w:ascii="宋体" w:hAnsi="宋体" w:eastAsia="宋体" w:cs="宋体"/>
          <w:spacing w:val="15"/>
          <w:sz w:val="19"/>
          <w:szCs w:val="19"/>
        </w:rPr>
        <w:t>物质的质量文</w:t>
      </w:r>
      <w:r>
        <w:rPr>
          <w:rFonts w:ascii="宋体" w:hAnsi="宋体" w:eastAsia="宋体" w:cs="宋体"/>
          <w:sz w:val="19"/>
          <w:szCs w:val="19"/>
        </w:rPr>
        <w:t xml:space="preserve"> </w:t>
      </w:r>
      <w:r>
        <w:rPr>
          <w:rFonts w:ascii="宋体" w:hAnsi="宋体" w:eastAsia="宋体" w:cs="宋体"/>
          <w:spacing w:val="18"/>
          <w:sz w:val="19"/>
          <w:szCs w:val="19"/>
        </w:rPr>
        <w:t>化还可以是高等教育过程中所开展的活动及其结果</w:t>
      </w:r>
      <w:r>
        <w:rPr>
          <w:rFonts w:ascii="宋体" w:hAnsi="宋体" w:eastAsia="宋体" w:cs="宋体"/>
          <w:spacing w:val="11"/>
          <w:sz w:val="19"/>
          <w:szCs w:val="19"/>
        </w:rPr>
        <w:t xml:space="preserve"> </w:t>
      </w:r>
      <w:r>
        <w:rPr>
          <w:rFonts w:ascii="宋体" w:hAnsi="宋体" w:eastAsia="宋体" w:cs="宋体"/>
          <w:spacing w:val="-7"/>
          <w:sz w:val="19"/>
          <w:szCs w:val="19"/>
        </w:rPr>
        <w:t>的物化形式</w:t>
      </w:r>
      <w:r>
        <w:rPr>
          <w:rFonts w:ascii="微软雅黑" w:hAnsi="微软雅黑" w:eastAsia="微软雅黑" w:cs="微软雅黑"/>
          <w:spacing w:val="-7"/>
          <w:sz w:val="19"/>
          <w:szCs w:val="19"/>
        </w:rPr>
        <w:t>，</w:t>
      </w:r>
      <w:r>
        <w:rPr>
          <w:rFonts w:ascii="宋体" w:hAnsi="宋体" w:eastAsia="宋体" w:cs="宋体"/>
          <w:spacing w:val="-7"/>
          <w:sz w:val="19"/>
          <w:szCs w:val="19"/>
        </w:rPr>
        <w:t>比如</w:t>
      </w:r>
      <w:r>
        <w:rPr>
          <w:rFonts w:ascii="微软雅黑" w:hAnsi="微软雅黑" w:eastAsia="微软雅黑" w:cs="微软雅黑"/>
          <w:spacing w:val="-7"/>
          <w:sz w:val="19"/>
          <w:szCs w:val="19"/>
        </w:rPr>
        <w:t>，</w:t>
      </w:r>
      <w:r>
        <w:rPr>
          <w:rFonts w:ascii="宋体" w:hAnsi="宋体" w:eastAsia="宋体" w:cs="宋体"/>
          <w:spacing w:val="-7"/>
          <w:sz w:val="19"/>
          <w:szCs w:val="19"/>
        </w:rPr>
        <w:t>培养方案</w:t>
      </w:r>
      <w:r>
        <w:rPr>
          <w:rFonts w:ascii="微软雅黑" w:hAnsi="微软雅黑" w:eastAsia="微软雅黑" w:cs="微软雅黑"/>
          <w:spacing w:val="-7"/>
          <w:sz w:val="19"/>
          <w:szCs w:val="19"/>
        </w:rPr>
        <w:t>、</w:t>
      </w:r>
      <w:r>
        <w:rPr>
          <w:rFonts w:ascii="宋体" w:hAnsi="宋体" w:eastAsia="宋体" w:cs="宋体"/>
          <w:spacing w:val="-7"/>
          <w:sz w:val="19"/>
          <w:szCs w:val="19"/>
        </w:rPr>
        <w:t>课表</w:t>
      </w:r>
      <w:r>
        <w:rPr>
          <w:rFonts w:ascii="微软雅黑" w:hAnsi="微软雅黑" w:eastAsia="微软雅黑" w:cs="微软雅黑"/>
          <w:spacing w:val="-7"/>
          <w:sz w:val="19"/>
          <w:szCs w:val="19"/>
        </w:rPr>
        <w:t>、</w:t>
      </w:r>
      <w:r>
        <w:rPr>
          <w:rFonts w:ascii="宋体" w:hAnsi="宋体" w:eastAsia="宋体" w:cs="宋体"/>
          <w:spacing w:val="-7"/>
          <w:sz w:val="19"/>
          <w:szCs w:val="19"/>
        </w:rPr>
        <w:t>课件</w:t>
      </w:r>
      <w:r>
        <w:rPr>
          <w:rFonts w:ascii="微软雅黑" w:hAnsi="微软雅黑" w:eastAsia="微软雅黑" w:cs="微软雅黑"/>
          <w:spacing w:val="-7"/>
          <w:sz w:val="19"/>
          <w:szCs w:val="19"/>
        </w:rPr>
        <w:t>、</w:t>
      </w:r>
      <w:r>
        <w:rPr>
          <w:rFonts w:ascii="宋体" w:hAnsi="宋体" w:eastAsia="宋体" w:cs="宋体"/>
          <w:spacing w:val="-7"/>
          <w:sz w:val="19"/>
          <w:szCs w:val="19"/>
        </w:rPr>
        <w:t>讲义</w:t>
      </w:r>
      <w:r>
        <w:rPr>
          <w:rFonts w:ascii="微软雅黑" w:hAnsi="微软雅黑" w:eastAsia="微软雅黑" w:cs="微软雅黑"/>
          <w:spacing w:val="-7"/>
          <w:sz w:val="19"/>
          <w:szCs w:val="19"/>
        </w:rPr>
        <w:t>、</w:t>
      </w:r>
      <w:r>
        <w:rPr>
          <w:rFonts w:ascii="宋体" w:hAnsi="宋体" w:eastAsia="宋体" w:cs="宋体"/>
          <w:spacing w:val="-7"/>
          <w:sz w:val="19"/>
          <w:szCs w:val="19"/>
        </w:rPr>
        <w:t>实验</w:t>
      </w:r>
      <w:r>
        <w:rPr>
          <w:rFonts w:ascii="宋体" w:hAnsi="宋体" w:eastAsia="宋体" w:cs="宋体"/>
          <w:spacing w:val="15"/>
          <w:sz w:val="19"/>
          <w:szCs w:val="19"/>
        </w:rPr>
        <w:t xml:space="preserve"> </w:t>
      </w:r>
      <w:r>
        <w:rPr>
          <w:rFonts w:ascii="宋体" w:hAnsi="宋体" w:eastAsia="宋体" w:cs="宋体"/>
          <w:spacing w:val="-2"/>
          <w:sz w:val="19"/>
          <w:szCs w:val="19"/>
        </w:rPr>
        <w:t>报告</w:t>
      </w:r>
      <w:r>
        <w:rPr>
          <w:rFonts w:ascii="微软雅黑" w:hAnsi="微软雅黑" w:eastAsia="微软雅黑" w:cs="微软雅黑"/>
          <w:spacing w:val="-2"/>
          <w:sz w:val="19"/>
          <w:szCs w:val="19"/>
        </w:rPr>
        <w:t>、</w:t>
      </w:r>
      <w:r>
        <w:rPr>
          <w:rFonts w:ascii="宋体" w:hAnsi="宋体" w:eastAsia="宋体" w:cs="宋体"/>
          <w:spacing w:val="-2"/>
          <w:sz w:val="19"/>
          <w:szCs w:val="19"/>
        </w:rPr>
        <w:t>试卷</w:t>
      </w:r>
      <w:r>
        <w:rPr>
          <w:rFonts w:ascii="微软雅黑" w:hAnsi="微软雅黑" w:eastAsia="微软雅黑" w:cs="微软雅黑"/>
          <w:spacing w:val="-2"/>
          <w:sz w:val="19"/>
          <w:szCs w:val="19"/>
        </w:rPr>
        <w:t>、</w:t>
      </w:r>
      <w:r>
        <w:rPr>
          <w:rFonts w:ascii="宋体" w:hAnsi="宋体" w:eastAsia="宋体" w:cs="宋体"/>
          <w:spacing w:val="-2"/>
          <w:sz w:val="19"/>
          <w:szCs w:val="19"/>
        </w:rPr>
        <w:t>毕业论文</w:t>
      </w:r>
      <w:r>
        <w:rPr>
          <w:rFonts w:ascii="微软雅黑" w:hAnsi="微软雅黑" w:eastAsia="微软雅黑" w:cs="微软雅黑"/>
          <w:spacing w:val="-2"/>
          <w:sz w:val="19"/>
          <w:szCs w:val="19"/>
        </w:rPr>
        <w:t>（</w:t>
      </w:r>
      <w:r>
        <w:rPr>
          <w:rFonts w:ascii="宋体" w:hAnsi="宋体" w:eastAsia="宋体" w:cs="宋体"/>
          <w:spacing w:val="-2"/>
          <w:sz w:val="19"/>
          <w:szCs w:val="19"/>
        </w:rPr>
        <w:t>设计</w:t>
      </w:r>
      <w:r>
        <w:rPr>
          <w:rFonts w:ascii="微软雅黑" w:hAnsi="微软雅黑" w:eastAsia="微软雅黑" w:cs="微软雅黑"/>
          <w:spacing w:val="-2"/>
          <w:sz w:val="19"/>
          <w:szCs w:val="19"/>
        </w:rPr>
        <w:t>）、</w:t>
      </w:r>
      <w:r>
        <w:rPr>
          <w:rFonts w:ascii="宋体" w:hAnsi="宋体" w:eastAsia="宋体" w:cs="宋体"/>
          <w:spacing w:val="-2"/>
          <w:sz w:val="19"/>
          <w:szCs w:val="19"/>
        </w:rPr>
        <w:t>答辩决议书等</w:t>
      </w:r>
      <w:r>
        <w:rPr>
          <w:rFonts w:ascii="宋体" w:hAnsi="宋体" w:eastAsia="宋体" w:cs="宋体"/>
          <w:spacing w:val="-38"/>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2"/>
          <w:sz w:val="19"/>
          <w:szCs w:val="19"/>
        </w:rPr>
        <w:t>这些</w:t>
      </w:r>
      <w:r>
        <w:rPr>
          <w:rFonts w:ascii="宋体" w:hAnsi="宋体" w:eastAsia="宋体" w:cs="宋体"/>
          <w:sz w:val="19"/>
          <w:szCs w:val="19"/>
        </w:rPr>
        <w:t xml:space="preserve"> </w:t>
      </w:r>
      <w:r>
        <w:rPr>
          <w:rFonts w:ascii="宋体" w:hAnsi="宋体" w:eastAsia="宋体" w:cs="宋体"/>
          <w:spacing w:val="18"/>
          <w:sz w:val="19"/>
          <w:szCs w:val="19"/>
        </w:rPr>
        <w:t>记载教学过程中师生教学行为与成果的实物有的体</w:t>
      </w:r>
      <w:r>
        <w:rPr>
          <w:rFonts w:ascii="宋体" w:hAnsi="宋体" w:eastAsia="宋体" w:cs="宋体"/>
          <w:spacing w:val="11"/>
          <w:sz w:val="19"/>
          <w:szCs w:val="19"/>
        </w:rPr>
        <w:t xml:space="preserve"> </w:t>
      </w:r>
      <w:r>
        <w:rPr>
          <w:rFonts w:ascii="宋体" w:hAnsi="宋体" w:eastAsia="宋体" w:cs="宋体"/>
          <w:spacing w:val="18"/>
          <w:sz w:val="19"/>
          <w:szCs w:val="19"/>
        </w:rPr>
        <w:t>现了人们对高等教育质量价值的追求</w:t>
      </w:r>
      <w:r>
        <w:rPr>
          <w:rFonts w:ascii="微软雅黑" w:hAnsi="微软雅黑" w:eastAsia="微软雅黑" w:cs="微软雅黑"/>
          <w:spacing w:val="18"/>
          <w:sz w:val="19"/>
          <w:szCs w:val="19"/>
        </w:rPr>
        <w:t>，</w:t>
      </w:r>
      <w:r>
        <w:rPr>
          <w:rFonts w:ascii="宋体" w:hAnsi="宋体" w:eastAsia="宋体" w:cs="宋体"/>
          <w:spacing w:val="18"/>
          <w:sz w:val="19"/>
          <w:szCs w:val="19"/>
        </w:rPr>
        <w:t>有的反映了</w:t>
      </w:r>
      <w:r>
        <w:rPr>
          <w:rFonts w:ascii="宋体" w:hAnsi="宋体" w:eastAsia="宋体" w:cs="宋体"/>
          <w:spacing w:val="13"/>
          <w:sz w:val="19"/>
          <w:szCs w:val="19"/>
        </w:rPr>
        <w:t xml:space="preserve"> </w:t>
      </w:r>
      <w:r>
        <w:rPr>
          <w:rFonts w:ascii="宋体" w:hAnsi="宋体" w:eastAsia="宋体" w:cs="宋体"/>
          <w:spacing w:val="18"/>
          <w:sz w:val="19"/>
          <w:szCs w:val="19"/>
        </w:rPr>
        <w:t>价值追求的结果</w:t>
      </w:r>
      <w:r>
        <w:rPr>
          <w:rFonts w:ascii="微软雅黑" w:hAnsi="微软雅黑" w:eastAsia="微软雅黑" w:cs="微软雅黑"/>
          <w:spacing w:val="18"/>
          <w:sz w:val="19"/>
          <w:szCs w:val="19"/>
        </w:rPr>
        <w:t>。</w:t>
      </w:r>
      <w:bookmarkStart w:id="113" w:name="_GoBack"/>
      <w:bookmarkEnd w:id="113"/>
    </w:p>
    <w:p>
      <w:pPr>
        <w:spacing w:before="60" w:line="178" w:lineRule="auto"/>
        <w:ind w:left="437"/>
        <w:rPr>
          <w:rFonts w:ascii="微软雅黑" w:hAnsi="微软雅黑" w:eastAsia="微软雅黑" w:cs="微软雅黑"/>
          <w:sz w:val="19"/>
          <w:szCs w:val="19"/>
        </w:rPr>
      </w:pPr>
      <w:r>
        <w:rPr>
          <w:rFonts w:ascii="微软雅黑" w:hAnsi="微软雅黑" w:eastAsia="微软雅黑" w:cs="微软雅黑"/>
          <w:spacing w:val="17"/>
          <w:sz w:val="19"/>
          <w:szCs w:val="19"/>
        </w:rPr>
        <w:t>(</w:t>
      </w:r>
      <w:r>
        <w:rPr>
          <w:rFonts w:ascii="Arial" w:hAnsi="Arial" w:eastAsia="Arial" w:cs="Arial"/>
          <w:spacing w:val="17"/>
          <w:sz w:val="19"/>
          <w:szCs w:val="19"/>
        </w:rPr>
        <w:t>4</w:t>
      </w:r>
      <w:r>
        <w:rPr>
          <w:rFonts w:ascii="微软雅黑" w:hAnsi="微软雅黑" w:eastAsia="微软雅黑" w:cs="微软雅黑"/>
          <w:spacing w:val="17"/>
          <w:sz w:val="19"/>
          <w:szCs w:val="19"/>
        </w:rPr>
        <w:t>)</w:t>
      </w:r>
      <w:r>
        <w:rPr>
          <w:rFonts w:ascii="微软雅黑" w:hAnsi="微软雅黑" w:eastAsia="微软雅黑" w:cs="微软雅黑"/>
          <w:spacing w:val="-8"/>
          <w:sz w:val="19"/>
          <w:szCs w:val="19"/>
        </w:rPr>
        <w:t xml:space="preserve"> </w:t>
      </w:r>
      <w:r>
        <w:rPr>
          <w:rFonts w:ascii="宋体" w:hAnsi="宋体" w:eastAsia="宋体" w:cs="宋体"/>
          <w:spacing w:val="17"/>
          <w:sz w:val="19"/>
          <w:szCs w:val="19"/>
        </w:rPr>
        <w:t>持续改进是高等教育质量文化的核心</w:t>
      </w:r>
      <w:r>
        <w:rPr>
          <w:rFonts w:ascii="微软雅黑" w:hAnsi="微软雅黑" w:eastAsia="微软雅黑" w:cs="微软雅黑"/>
          <w:spacing w:val="17"/>
          <w:sz w:val="19"/>
          <w:szCs w:val="19"/>
        </w:rPr>
        <w:t>。</w:t>
      </w:r>
    </w:p>
    <w:p>
      <w:pPr>
        <w:spacing w:before="81" w:line="228" w:lineRule="auto"/>
        <w:ind w:firstLine="424"/>
        <w:rPr>
          <w:rFonts w:ascii="微软雅黑" w:hAnsi="微软雅黑" w:eastAsia="微软雅黑" w:cs="微软雅黑"/>
          <w:sz w:val="19"/>
          <w:szCs w:val="19"/>
        </w:rPr>
      </w:pPr>
      <w:r>
        <w:rPr>
          <w:rFonts w:ascii="宋体" w:hAnsi="宋体" w:eastAsia="宋体" w:cs="宋体"/>
          <w:spacing w:val="17"/>
          <w:sz w:val="19"/>
          <w:szCs w:val="19"/>
        </w:rPr>
        <w:t>高等教育质量文化是维新的</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它的目标指向是 </w:t>
      </w:r>
      <w:r>
        <w:rPr>
          <w:rFonts w:ascii="宋体" w:hAnsi="宋体" w:eastAsia="宋体" w:cs="宋体"/>
          <w:spacing w:val="15"/>
          <w:sz w:val="19"/>
          <w:szCs w:val="19"/>
        </w:rPr>
        <w:t>更高的质量</w:t>
      </w:r>
      <w:r>
        <w:rPr>
          <w:rFonts w:ascii="微软雅黑" w:hAnsi="微软雅黑" w:eastAsia="微软雅黑" w:cs="微软雅黑"/>
          <w:spacing w:val="15"/>
          <w:sz w:val="19"/>
          <w:szCs w:val="19"/>
        </w:rPr>
        <w:t>、</w:t>
      </w:r>
      <w:r>
        <w:rPr>
          <w:rFonts w:ascii="宋体" w:hAnsi="宋体" w:eastAsia="宋体" w:cs="宋体"/>
          <w:spacing w:val="15"/>
          <w:sz w:val="19"/>
          <w:szCs w:val="19"/>
        </w:rPr>
        <w:t>更强大的高等教育</w:t>
      </w:r>
      <w:r>
        <w:rPr>
          <w:rFonts w:ascii="宋体" w:hAnsi="宋体" w:eastAsia="宋体" w:cs="宋体"/>
          <w:spacing w:val="-51"/>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5"/>
          <w:sz w:val="19"/>
          <w:szCs w:val="19"/>
        </w:rPr>
        <w:t>持续改进既</w:t>
      </w:r>
      <w:r>
        <w:rPr>
          <w:rFonts w:ascii="宋体" w:hAnsi="宋体" w:eastAsia="宋体" w:cs="宋体"/>
          <w:spacing w:val="14"/>
          <w:sz w:val="19"/>
          <w:szCs w:val="19"/>
        </w:rPr>
        <w:t xml:space="preserve">是高 </w:t>
      </w:r>
      <w:r>
        <w:rPr>
          <w:rFonts w:ascii="宋体" w:hAnsi="宋体" w:eastAsia="宋体" w:cs="宋体"/>
          <w:spacing w:val="17"/>
          <w:sz w:val="19"/>
          <w:szCs w:val="19"/>
        </w:rPr>
        <w:t>等教育质量文化的内在品质</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也是高等教育质量文 </w:t>
      </w:r>
      <w:r>
        <w:rPr>
          <w:rFonts w:ascii="宋体" w:hAnsi="宋体" w:eastAsia="宋体" w:cs="宋体"/>
          <w:spacing w:val="15"/>
          <w:sz w:val="19"/>
          <w:szCs w:val="19"/>
        </w:rPr>
        <w:t>化适应社会发展需要的动力机制</w:t>
      </w:r>
      <w:r>
        <w:rPr>
          <w:rFonts w:ascii="宋体" w:hAnsi="宋体" w:eastAsia="宋体" w:cs="宋体"/>
          <w:spacing w:val="-33"/>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高等教育之所以 </w:t>
      </w:r>
      <w:r>
        <w:rPr>
          <w:rFonts w:ascii="宋体" w:hAnsi="宋体" w:eastAsia="宋体" w:cs="宋体"/>
          <w:spacing w:val="12"/>
          <w:sz w:val="19"/>
          <w:szCs w:val="19"/>
        </w:rPr>
        <w:t>一直保持旺盛而顽强的生命力</w:t>
      </w:r>
      <w:r>
        <w:rPr>
          <w:rFonts w:ascii="微软雅黑" w:hAnsi="微软雅黑" w:eastAsia="微软雅黑" w:cs="微软雅黑"/>
          <w:spacing w:val="12"/>
          <w:sz w:val="19"/>
          <w:szCs w:val="19"/>
        </w:rPr>
        <w:t>，</w:t>
      </w:r>
      <w:r>
        <w:rPr>
          <w:rFonts w:ascii="宋体" w:hAnsi="宋体" w:eastAsia="宋体" w:cs="宋体"/>
          <w:spacing w:val="12"/>
          <w:sz w:val="19"/>
          <w:szCs w:val="19"/>
        </w:rPr>
        <w:t>历经数百年而不衰</w:t>
      </w:r>
      <w:r>
        <w:rPr>
          <w:rFonts w:ascii="微软雅黑" w:hAnsi="微软雅黑" w:eastAsia="微软雅黑" w:cs="微软雅黑"/>
          <w:spacing w:val="12"/>
          <w:sz w:val="19"/>
          <w:szCs w:val="19"/>
        </w:rPr>
        <w:t>，</w:t>
      </w:r>
      <w:r>
        <w:rPr>
          <w:rFonts w:ascii="微软雅黑" w:hAnsi="微软雅黑" w:eastAsia="微软雅黑" w:cs="微软雅黑"/>
          <w:spacing w:val="16"/>
          <w:sz w:val="19"/>
          <w:szCs w:val="19"/>
        </w:rPr>
        <w:t xml:space="preserve"> </w:t>
      </w:r>
      <w:r>
        <w:rPr>
          <w:rFonts w:ascii="宋体" w:hAnsi="宋体" w:eastAsia="宋体" w:cs="宋体"/>
          <w:spacing w:val="17"/>
          <w:sz w:val="19"/>
          <w:szCs w:val="19"/>
        </w:rPr>
        <w:t>且不断走向壮大</w:t>
      </w:r>
      <w:r>
        <w:rPr>
          <w:rFonts w:ascii="微软雅黑" w:hAnsi="微软雅黑" w:eastAsia="微软雅黑" w:cs="微软雅黑"/>
          <w:spacing w:val="17"/>
          <w:sz w:val="19"/>
          <w:szCs w:val="19"/>
        </w:rPr>
        <w:t>，</w:t>
      </w:r>
      <w:r>
        <w:rPr>
          <w:rFonts w:ascii="宋体" w:hAnsi="宋体" w:eastAsia="宋体" w:cs="宋体"/>
          <w:spacing w:val="17"/>
          <w:sz w:val="19"/>
          <w:szCs w:val="19"/>
        </w:rPr>
        <w:t>实现了从精英化向大众化再向普 及化的发展</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离不开文化科学技术的发展进步和经 </w:t>
      </w:r>
      <w:r>
        <w:rPr>
          <w:rFonts w:ascii="宋体" w:hAnsi="宋体" w:eastAsia="宋体" w:cs="宋体"/>
          <w:spacing w:val="9"/>
          <w:sz w:val="19"/>
          <w:szCs w:val="19"/>
        </w:rPr>
        <w:t>济社会发展所提供的物质条件</w:t>
      </w:r>
      <w:r>
        <w:rPr>
          <w:rFonts w:ascii="微软雅黑" w:hAnsi="微软雅黑" w:eastAsia="微软雅黑" w:cs="微软雅黑"/>
          <w:spacing w:val="9"/>
          <w:sz w:val="19"/>
          <w:szCs w:val="19"/>
        </w:rPr>
        <w:t>，</w:t>
      </w:r>
      <w:r>
        <w:rPr>
          <w:rFonts w:ascii="宋体" w:hAnsi="宋体" w:eastAsia="宋体" w:cs="宋体"/>
          <w:spacing w:val="9"/>
          <w:sz w:val="19"/>
          <w:szCs w:val="19"/>
        </w:rPr>
        <w:t>更重要的是</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高等教 </w:t>
      </w:r>
      <w:r>
        <w:rPr>
          <w:rFonts w:ascii="宋体" w:hAnsi="宋体" w:eastAsia="宋体" w:cs="宋体"/>
          <w:spacing w:val="15"/>
          <w:sz w:val="19"/>
          <w:szCs w:val="19"/>
        </w:rPr>
        <w:t>育拥有质量文化所蕴含的持续改进的强大动力</w:t>
      </w:r>
      <w:r>
        <w:rPr>
          <w:rFonts w:ascii="宋体" w:hAnsi="宋体" w:eastAsia="宋体" w:cs="宋体"/>
          <w:spacing w:val="-33"/>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在 </w:t>
      </w:r>
      <w:r>
        <w:rPr>
          <w:rFonts w:ascii="宋体" w:hAnsi="宋体" w:eastAsia="宋体" w:cs="宋体"/>
          <w:spacing w:val="17"/>
          <w:sz w:val="19"/>
          <w:szCs w:val="19"/>
        </w:rPr>
        <w:t>高等教育大众化和普及化阶段</w:t>
      </w:r>
      <w:r>
        <w:rPr>
          <w:rFonts w:ascii="微软雅黑" w:hAnsi="微软雅黑" w:eastAsia="微软雅黑" w:cs="微软雅黑"/>
          <w:spacing w:val="17"/>
          <w:sz w:val="19"/>
          <w:szCs w:val="19"/>
        </w:rPr>
        <w:t>，</w:t>
      </w:r>
      <w:r>
        <w:rPr>
          <w:rFonts w:ascii="宋体" w:hAnsi="宋体" w:eastAsia="宋体" w:cs="宋体"/>
          <w:spacing w:val="17"/>
          <w:sz w:val="19"/>
          <w:szCs w:val="19"/>
        </w:rPr>
        <w:t>持续改进的质量文 化与外部利益相关者的质量价值诉求相结合</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提出 </w:t>
      </w:r>
      <w:r>
        <w:rPr>
          <w:rFonts w:ascii="宋体" w:hAnsi="宋体" w:eastAsia="宋体" w:cs="宋体"/>
          <w:spacing w:val="22"/>
          <w:sz w:val="19"/>
          <w:szCs w:val="19"/>
        </w:rPr>
        <w:t>了建立高等教育内外部质量保障体系的现实需</w:t>
      </w:r>
      <w:r>
        <w:rPr>
          <w:rFonts w:ascii="宋体" w:hAnsi="宋体" w:eastAsia="宋体" w:cs="宋体"/>
          <w:spacing w:val="21"/>
          <w:sz w:val="19"/>
          <w:szCs w:val="19"/>
        </w:rPr>
        <w:t>要</w:t>
      </w:r>
      <w:r>
        <w:rPr>
          <w:rFonts w:ascii="微软雅黑" w:hAnsi="微软雅黑" w:eastAsia="微软雅黑" w:cs="微软雅黑"/>
          <w:spacing w:val="21"/>
          <w:sz w:val="19"/>
          <w:szCs w:val="19"/>
        </w:rPr>
        <w:t>，</w:t>
      </w:r>
      <w:r>
        <w:rPr>
          <w:rFonts w:ascii="微软雅黑" w:hAnsi="微软雅黑" w:eastAsia="微软雅黑" w:cs="微软雅黑"/>
          <w:sz w:val="19"/>
          <w:szCs w:val="19"/>
        </w:rPr>
        <w:t xml:space="preserve"> </w:t>
      </w:r>
      <w:r>
        <w:rPr>
          <w:rFonts w:ascii="宋体" w:hAnsi="宋体" w:eastAsia="宋体" w:cs="宋体"/>
          <w:spacing w:val="17"/>
          <w:sz w:val="19"/>
          <w:szCs w:val="19"/>
        </w:rPr>
        <w:t>促成了各种内外部质量评估</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督导和认证工作的开 </w:t>
      </w:r>
      <w:r>
        <w:rPr>
          <w:rFonts w:ascii="宋体" w:hAnsi="宋体" w:eastAsia="宋体" w:cs="宋体"/>
          <w:spacing w:val="16"/>
          <w:sz w:val="19"/>
          <w:szCs w:val="19"/>
        </w:rPr>
        <w:t>展</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不同主体的高等教育质量价值博弈是持</w:t>
      </w:r>
      <w:r>
        <w:rPr>
          <w:rFonts w:ascii="宋体" w:hAnsi="宋体" w:eastAsia="宋体" w:cs="宋体"/>
          <w:spacing w:val="15"/>
          <w:sz w:val="19"/>
          <w:szCs w:val="19"/>
        </w:rPr>
        <w:t xml:space="preserve">续改革 </w:t>
      </w:r>
      <w:r>
        <w:rPr>
          <w:rFonts w:ascii="宋体" w:hAnsi="宋体" w:eastAsia="宋体" w:cs="宋体"/>
          <w:spacing w:val="18"/>
          <w:sz w:val="19"/>
          <w:szCs w:val="19"/>
        </w:rPr>
        <w:t>的动力源泉</w:t>
      </w:r>
      <w:r>
        <w:rPr>
          <w:rFonts w:ascii="微软雅黑" w:hAnsi="微软雅黑" w:eastAsia="微软雅黑" w:cs="微软雅黑"/>
          <w:spacing w:val="18"/>
          <w:sz w:val="19"/>
          <w:szCs w:val="19"/>
        </w:rPr>
        <w:t>。</w:t>
      </w:r>
    </w:p>
    <w:p>
      <w:pPr>
        <w:spacing w:before="63" w:line="212" w:lineRule="auto"/>
        <w:ind w:left="423"/>
        <w:rPr>
          <w:rFonts w:ascii="黑体" w:hAnsi="黑体" w:eastAsia="黑体" w:cs="黑体"/>
          <w:sz w:val="19"/>
          <w:szCs w:val="19"/>
        </w:rPr>
      </w:pPr>
      <w:r>
        <w:rPr>
          <w:rFonts w:ascii="Arial" w:hAnsi="Arial" w:eastAsia="Arial" w:cs="Arial"/>
          <w:spacing w:val="9"/>
          <w:position w:val="-1"/>
          <w:sz w:val="19"/>
          <w:szCs w:val="19"/>
        </w:rPr>
        <w:t>2</w:t>
      </w:r>
      <w:r>
        <w:rPr>
          <w:rFonts w:ascii="Arial" w:hAnsi="Arial" w:eastAsia="Arial" w:cs="Arial"/>
          <w:spacing w:val="-11"/>
          <w:position w:val="-1"/>
          <w:sz w:val="19"/>
          <w:szCs w:val="19"/>
        </w:rPr>
        <w:t xml:space="preserve"> </w:t>
      </w:r>
      <w:r>
        <w:rPr>
          <w:rFonts w:ascii="Arial" w:hAnsi="Arial" w:eastAsia="Arial" w:cs="Arial"/>
          <w:spacing w:val="9"/>
          <w:position w:val="-1"/>
          <w:sz w:val="19"/>
          <w:szCs w:val="19"/>
        </w:rPr>
        <w:t>.</w:t>
      </w:r>
      <w:r>
        <w:rPr>
          <w:rFonts w:ascii="Arial" w:hAnsi="Arial" w:eastAsia="Arial" w:cs="Arial"/>
          <w:spacing w:val="-10"/>
          <w:position w:val="-1"/>
          <w:sz w:val="19"/>
          <w:szCs w:val="19"/>
        </w:rPr>
        <w:t xml:space="preserve"> </w:t>
      </w:r>
      <w:r>
        <w:rPr>
          <w:rFonts w:ascii="黑体" w:hAnsi="黑体" w:eastAsia="黑体" w:cs="黑体"/>
          <w:spacing w:val="9"/>
          <w:sz w:val="19"/>
          <w:szCs w:val="19"/>
        </w:rPr>
        <w:t>高等教育质量文化的形成</w:t>
      </w:r>
    </w:p>
    <w:p>
      <w:pPr>
        <w:spacing w:before="93" w:line="225" w:lineRule="auto"/>
        <w:ind w:left="1" w:right="69" w:firstLine="421"/>
        <w:rPr>
          <w:rFonts w:ascii="微软雅黑" w:hAnsi="微软雅黑" w:eastAsia="微软雅黑" w:cs="微软雅黑"/>
          <w:sz w:val="19"/>
          <w:szCs w:val="19"/>
        </w:rPr>
      </w:pPr>
      <w:r>
        <w:rPr>
          <w:rFonts w:ascii="宋体" w:hAnsi="宋体" w:eastAsia="宋体" w:cs="宋体"/>
          <w:spacing w:val="18"/>
          <w:sz w:val="19"/>
          <w:szCs w:val="19"/>
        </w:rPr>
        <w:t>文化是一种复杂的社会存在</w:t>
      </w:r>
      <w:r>
        <w:rPr>
          <w:rFonts w:ascii="微软雅黑" w:hAnsi="微软雅黑" w:eastAsia="微软雅黑" w:cs="微软雅黑"/>
          <w:spacing w:val="18"/>
          <w:sz w:val="19"/>
          <w:szCs w:val="19"/>
        </w:rPr>
        <w:t>，</w:t>
      </w:r>
      <w:r>
        <w:rPr>
          <w:rFonts w:ascii="宋体" w:hAnsi="宋体" w:eastAsia="宋体" w:cs="宋体"/>
          <w:spacing w:val="18"/>
          <w:sz w:val="19"/>
          <w:szCs w:val="19"/>
        </w:rPr>
        <w:t>是在长期的社会</w:t>
      </w:r>
      <w:r>
        <w:rPr>
          <w:rFonts w:ascii="宋体" w:hAnsi="宋体" w:eastAsia="宋体" w:cs="宋体"/>
          <w:spacing w:val="9"/>
          <w:sz w:val="19"/>
          <w:szCs w:val="19"/>
        </w:rPr>
        <w:t xml:space="preserve"> </w:t>
      </w:r>
      <w:r>
        <w:rPr>
          <w:rFonts w:ascii="宋体" w:hAnsi="宋体" w:eastAsia="宋体" w:cs="宋体"/>
          <w:spacing w:val="16"/>
          <w:sz w:val="19"/>
          <w:szCs w:val="19"/>
        </w:rPr>
        <w:t>生产和生活中形成和沉淀下来的</w:t>
      </w:r>
      <w:r>
        <w:rPr>
          <w:rFonts w:ascii="宋体" w:hAnsi="宋体" w:eastAsia="宋体" w:cs="宋体"/>
          <w:spacing w:val="-38"/>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高等教育质量文</w:t>
      </w:r>
      <w:r>
        <w:rPr>
          <w:rFonts w:ascii="宋体" w:hAnsi="宋体" w:eastAsia="宋体" w:cs="宋体"/>
          <w:sz w:val="19"/>
          <w:szCs w:val="19"/>
        </w:rPr>
        <w:t xml:space="preserve"> </w:t>
      </w:r>
      <w:r>
        <w:rPr>
          <w:rFonts w:ascii="宋体" w:hAnsi="宋体" w:eastAsia="宋体" w:cs="宋体"/>
          <w:spacing w:val="18"/>
          <w:sz w:val="19"/>
          <w:szCs w:val="19"/>
        </w:rPr>
        <w:t>化与高等教育同时产生</w:t>
      </w:r>
      <w:r>
        <w:rPr>
          <w:rFonts w:ascii="微软雅黑" w:hAnsi="微软雅黑" w:eastAsia="微软雅黑" w:cs="微软雅黑"/>
          <w:spacing w:val="18"/>
          <w:sz w:val="19"/>
          <w:szCs w:val="19"/>
        </w:rPr>
        <w:t>，</w:t>
      </w:r>
      <w:r>
        <w:rPr>
          <w:rFonts w:ascii="宋体" w:hAnsi="宋体" w:eastAsia="宋体" w:cs="宋体"/>
          <w:spacing w:val="18"/>
          <w:sz w:val="19"/>
          <w:szCs w:val="19"/>
        </w:rPr>
        <w:t>随着高等教育发展变化而</w:t>
      </w:r>
      <w:r>
        <w:rPr>
          <w:rFonts w:ascii="宋体" w:hAnsi="宋体" w:eastAsia="宋体" w:cs="宋体"/>
          <w:spacing w:val="12"/>
          <w:sz w:val="19"/>
          <w:szCs w:val="19"/>
        </w:rPr>
        <w:t xml:space="preserve"> </w:t>
      </w:r>
      <w:r>
        <w:rPr>
          <w:rFonts w:ascii="宋体" w:hAnsi="宋体" w:eastAsia="宋体" w:cs="宋体"/>
          <w:spacing w:val="7"/>
          <w:sz w:val="19"/>
          <w:szCs w:val="19"/>
        </w:rPr>
        <w:t>不断演进</w:t>
      </w:r>
      <w:r>
        <w:rPr>
          <w:rFonts w:ascii="宋体" w:hAnsi="宋体" w:eastAsia="宋体" w:cs="宋体"/>
          <w:spacing w:val="-36"/>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不论人们发现与否</w:t>
      </w:r>
      <w:r>
        <w:rPr>
          <w:rFonts w:ascii="微软雅黑" w:hAnsi="微软雅黑" w:eastAsia="微软雅黑" w:cs="微软雅黑"/>
          <w:spacing w:val="7"/>
          <w:sz w:val="19"/>
          <w:szCs w:val="19"/>
        </w:rPr>
        <w:t>、</w:t>
      </w:r>
      <w:r>
        <w:rPr>
          <w:rFonts w:ascii="宋体" w:hAnsi="宋体" w:eastAsia="宋体" w:cs="宋体"/>
          <w:spacing w:val="7"/>
          <w:sz w:val="19"/>
          <w:szCs w:val="19"/>
        </w:rPr>
        <w:t>承认与否</w:t>
      </w:r>
      <w:r>
        <w:rPr>
          <w:rFonts w:ascii="微软雅黑" w:hAnsi="微软雅黑" w:eastAsia="微软雅黑" w:cs="微软雅黑"/>
          <w:spacing w:val="7"/>
          <w:sz w:val="19"/>
          <w:szCs w:val="19"/>
        </w:rPr>
        <w:t>，</w:t>
      </w:r>
      <w:r>
        <w:rPr>
          <w:rFonts w:ascii="宋体" w:hAnsi="宋体" w:eastAsia="宋体" w:cs="宋体"/>
          <w:spacing w:val="7"/>
          <w:sz w:val="19"/>
          <w:szCs w:val="19"/>
        </w:rPr>
        <w:t>它都在那</w:t>
      </w:r>
      <w:r>
        <w:rPr>
          <w:rFonts w:ascii="宋体" w:hAnsi="宋体" w:eastAsia="宋体" w:cs="宋体"/>
          <w:sz w:val="19"/>
          <w:szCs w:val="19"/>
        </w:rPr>
        <w:t xml:space="preserve"> </w:t>
      </w:r>
      <w:r>
        <w:rPr>
          <w:rFonts w:ascii="宋体" w:hAnsi="宋体" w:eastAsia="宋体" w:cs="宋体"/>
          <w:spacing w:val="18"/>
          <w:sz w:val="19"/>
          <w:szCs w:val="19"/>
        </w:rPr>
        <w:t>儿</w:t>
      </w:r>
      <w:r>
        <w:rPr>
          <w:rFonts w:ascii="微软雅黑" w:hAnsi="微软雅黑" w:eastAsia="微软雅黑" w:cs="微软雅黑"/>
          <w:spacing w:val="18"/>
          <w:sz w:val="19"/>
          <w:szCs w:val="19"/>
        </w:rPr>
        <w:t>，</w:t>
      </w:r>
      <w:r>
        <w:rPr>
          <w:rFonts w:ascii="宋体" w:hAnsi="宋体" w:eastAsia="宋体" w:cs="宋体"/>
          <w:spacing w:val="18"/>
          <w:sz w:val="19"/>
          <w:szCs w:val="19"/>
        </w:rPr>
        <w:t>历史的印记层层叠加形成丰富多样的高等教育</w:t>
      </w:r>
      <w:r>
        <w:rPr>
          <w:rFonts w:ascii="宋体" w:hAnsi="宋体" w:eastAsia="宋体" w:cs="宋体"/>
          <w:spacing w:val="11"/>
          <w:sz w:val="19"/>
          <w:szCs w:val="19"/>
        </w:rPr>
        <w:t xml:space="preserve"> </w:t>
      </w:r>
      <w:r>
        <w:rPr>
          <w:rFonts w:ascii="宋体" w:hAnsi="宋体" w:eastAsia="宋体" w:cs="宋体"/>
          <w:spacing w:val="18"/>
          <w:sz w:val="19"/>
          <w:szCs w:val="19"/>
        </w:rPr>
        <w:t>质量文化</w:t>
      </w:r>
      <w:r>
        <w:rPr>
          <w:rFonts w:ascii="微软雅黑" w:hAnsi="微软雅黑" w:eastAsia="微软雅黑" w:cs="微软雅黑"/>
          <w:spacing w:val="18"/>
          <w:sz w:val="19"/>
          <w:szCs w:val="19"/>
        </w:rPr>
        <w:t>，</w:t>
      </w:r>
      <w:r>
        <w:rPr>
          <w:rFonts w:ascii="宋体" w:hAnsi="宋体" w:eastAsia="宋体" w:cs="宋体"/>
          <w:spacing w:val="18"/>
          <w:sz w:val="19"/>
          <w:szCs w:val="19"/>
        </w:rPr>
        <w:t>时代特征使高等教育质量文化展现出现</w:t>
      </w:r>
      <w:r>
        <w:rPr>
          <w:rFonts w:ascii="宋体" w:hAnsi="宋体" w:eastAsia="宋体" w:cs="宋体"/>
          <w:spacing w:val="11"/>
          <w:sz w:val="19"/>
          <w:szCs w:val="19"/>
        </w:rPr>
        <w:t xml:space="preserve"> </w:t>
      </w:r>
      <w:r>
        <w:rPr>
          <w:rFonts w:ascii="宋体" w:hAnsi="宋体" w:eastAsia="宋体" w:cs="宋体"/>
          <w:spacing w:val="18"/>
          <w:sz w:val="19"/>
          <w:szCs w:val="19"/>
        </w:rPr>
        <w:t>实的适应性</w:t>
      </w:r>
      <w:r>
        <w:rPr>
          <w:rFonts w:ascii="微软雅黑" w:hAnsi="微软雅黑" w:eastAsia="微软雅黑" w:cs="微软雅黑"/>
          <w:spacing w:val="18"/>
          <w:sz w:val="19"/>
          <w:szCs w:val="19"/>
        </w:rPr>
        <w:t>。</w:t>
      </w:r>
    </w:p>
    <w:p>
      <w:pPr>
        <w:spacing w:before="64" w:line="178" w:lineRule="auto"/>
        <w:ind w:left="437"/>
        <w:rPr>
          <w:rFonts w:ascii="微软雅黑" w:hAnsi="微软雅黑" w:eastAsia="微软雅黑" w:cs="微软雅黑"/>
          <w:sz w:val="19"/>
          <w:szCs w:val="19"/>
        </w:rPr>
      </w:pPr>
      <w:r>
        <w:rPr>
          <w:rFonts w:ascii="微软雅黑" w:hAnsi="微软雅黑" w:eastAsia="微软雅黑" w:cs="微软雅黑"/>
          <w:spacing w:val="17"/>
          <w:sz w:val="19"/>
          <w:szCs w:val="19"/>
        </w:rPr>
        <w:t>(</w:t>
      </w:r>
      <w:r>
        <w:rPr>
          <w:rFonts w:ascii="Arial" w:hAnsi="Arial" w:eastAsia="Arial" w:cs="Arial"/>
          <w:spacing w:val="17"/>
          <w:sz w:val="19"/>
          <w:szCs w:val="19"/>
        </w:rPr>
        <w:t>1</w:t>
      </w:r>
      <w:r>
        <w:rPr>
          <w:rFonts w:ascii="微软雅黑" w:hAnsi="微软雅黑" w:eastAsia="微软雅黑" w:cs="微软雅黑"/>
          <w:spacing w:val="17"/>
          <w:sz w:val="19"/>
          <w:szCs w:val="19"/>
        </w:rPr>
        <w:t>)</w:t>
      </w:r>
      <w:r>
        <w:rPr>
          <w:rFonts w:ascii="微软雅黑" w:hAnsi="微软雅黑" w:eastAsia="微软雅黑" w:cs="微软雅黑"/>
          <w:spacing w:val="-14"/>
          <w:sz w:val="19"/>
          <w:szCs w:val="19"/>
        </w:rPr>
        <w:t xml:space="preserve"> </w:t>
      </w:r>
      <w:r>
        <w:rPr>
          <w:rFonts w:ascii="宋体" w:hAnsi="宋体" w:eastAsia="宋体" w:cs="宋体"/>
          <w:spacing w:val="17"/>
          <w:sz w:val="19"/>
          <w:szCs w:val="19"/>
        </w:rPr>
        <w:t>质量文化是高等教育发展的产物</w:t>
      </w:r>
      <w:r>
        <w:rPr>
          <w:rFonts w:ascii="微软雅黑" w:hAnsi="微软雅黑" w:eastAsia="微软雅黑" w:cs="微软雅黑"/>
          <w:spacing w:val="17"/>
          <w:sz w:val="19"/>
          <w:szCs w:val="19"/>
        </w:rPr>
        <w:t>。</w:t>
      </w:r>
    </w:p>
    <w:p>
      <w:pPr>
        <w:spacing w:before="72" w:line="188" w:lineRule="auto"/>
        <w:ind w:left="3942" w:right="69" w:hanging="3520"/>
        <w:rPr>
          <w:rFonts w:ascii="微软雅黑" w:hAnsi="微软雅黑" w:eastAsia="微软雅黑" w:cs="微软雅黑"/>
          <w:sz w:val="19"/>
          <w:szCs w:val="19"/>
        </w:rPr>
      </w:pPr>
      <w:r>
        <w:rPr>
          <w:rFonts w:ascii="宋体" w:hAnsi="宋体" w:eastAsia="宋体" w:cs="宋体"/>
          <w:spacing w:val="18"/>
          <w:sz w:val="19"/>
          <w:szCs w:val="19"/>
        </w:rPr>
        <w:t>质量文化产生于高等教育活动过程</w:t>
      </w:r>
      <w:r>
        <w:rPr>
          <w:rFonts w:ascii="微软雅黑" w:hAnsi="微软雅黑" w:eastAsia="微软雅黑" w:cs="微软雅黑"/>
          <w:spacing w:val="18"/>
          <w:sz w:val="19"/>
          <w:szCs w:val="19"/>
        </w:rPr>
        <w:t>，</w:t>
      </w:r>
      <w:r>
        <w:rPr>
          <w:rFonts w:ascii="宋体" w:hAnsi="宋体" w:eastAsia="宋体" w:cs="宋体"/>
          <w:spacing w:val="18"/>
          <w:sz w:val="19"/>
          <w:szCs w:val="19"/>
        </w:rPr>
        <w:t>既是历史</w:t>
      </w:r>
      <w:r>
        <w:rPr>
          <w:rFonts w:ascii="宋体" w:hAnsi="宋体" w:eastAsia="宋体" w:cs="宋体"/>
          <w:spacing w:val="10"/>
          <w:sz w:val="19"/>
          <w:szCs w:val="19"/>
        </w:rPr>
        <w:t xml:space="preserve"> </w:t>
      </w:r>
      <w:r>
        <w:rPr>
          <w:rFonts w:ascii="微软雅黑" w:hAnsi="微软雅黑" w:eastAsia="微软雅黑" w:cs="微软雅黑"/>
          <w:spacing w:val="-13"/>
          <w:sz w:val="19"/>
          <w:szCs w:val="19"/>
        </w:rPr>
        <w:t>·</w:t>
      </w:r>
      <w:r>
        <w:rPr>
          <w:rFonts w:ascii="微软雅黑" w:hAnsi="微软雅黑" w:eastAsia="微软雅黑" w:cs="微软雅黑"/>
          <w:spacing w:val="20"/>
          <w:w w:val="101"/>
          <w:sz w:val="19"/>
          <w:szCs w:val="19"/>
        </w:rPr>
        <w:t xml:space="preserve">  </w:t>
      </w:r>
      <w:r>
        <w:rPr>
          <w:rFonts w:ascii="Arial" w:hAnsi="Arial" w:eastAsia="Arial" w:cs="Arial"/>
          <w:spacing w:val="-13"/>
          <w:position w:val="-2"/>
          <w:sz w:val="19"/>
          <w:szCs w:val="19"/>
        </w:rPr>
        <w:t>9</w:t>
      </w:r>
      <w:r>
        <w:rPr>
          <w:rFonts w:ascii="Arial" w:hAnsi="Arial" w:eastAsia="Arial" w:cs="Arial"/>
          <w:spacing w:val="23"/>
          <w:position w:val="-2"/>
          <w:sz w:val="19"/>
          <w:szCs w:val="19"/>
        </w:rPr>
        <w:t xml:space="preserve">  </w:t>
      </w:r>
      <w:r>
        <w:rPr>
          <w:rFonts w:ascii="微软雅黑" w:hAnsi="微软雅黑" w:eastAsia="微软雅黑" w:cs="微软雅黑"/>
          <w:spacing w:val="-13"/>
          <w:sz w:val="19"/>
          <w:szCs w:val="19"/>
        </w:rPr>
        <w:t>·</w:t>
      </w:r>
    </w:p>
    <w:p>
      <w:pPr>
        <w:spacing w:line="188" w:lineRule="auto"/>
        <w:rPr>
          <w:rFonts w:ascii="微软雅黑" w:hAnsi="微软雅黑" w:eastAsia="微软雅黑" w:cs="微软雅黑"/>
          <w:sz w:val="19"/>
          <w:szCs w:val="19"/>
        </w:rPr>
        <w:sectPr>
          <w:type w:val="continuous"/>
          <w:pgSz w:w="11905" w:h="16836"/>
          <w:pgMar w:top="400" w:right="1071" w:bottom="547" w:left="407" w:header="0" w:footer="354" w:gutter="0"/>
          <w:cols w:equalWidth="0" w:num="2">
            <w:col w:w="5662" w:space="100"/>
            <w:col w:w="4664"/>
          </w:cols>
        </w:sectPr>
      </w:pPr>
    </w:p>
    <w:p>
      <w:pPr>
        <w:spacing w:line="426" w:lineRule="auto"/>
        <w:rPr>
          <w:rFonts w:ascii="Arial"/>
          <w:sz w:val="21"/>
        </w:rPr>
      </w:pPr>
    </w:p>
    <w:p>
      <w:pPr>
        <w:spacing w:before="52" w:line="220" w:lineRule="auto"/>
        <w:ind w:left="4292"/>
        <w:rPr>
          <w:rFonts w:ascii="宋体" w:hAnsi="宋体" w:eastAsia="宋体" w:cs="宋体"/>
          <w:sz w:val="16"/>
          <w:szCs w:val="16"/>
        </w:rPr>
      </w:pPr>
      <w:r>
        <w:rPr>
          <w:rFonts w:ascii="宋体" w:hAnsi="宋体" w:eastAsia="宋体" w:cs="宋体"/>
          <w:spacing w:val="18"/>
          <w:sz w:val="16"/>
          <w:szCs w:val="16"/>
        </w:rPr>
        <w:t>高等教育质量文化及其建设策略</w:t>
      </w:r>
    </w:p>
    <w:p>
      <w:pPr>
        <w:spacing w:before="23" w:line="159" w:lineRule="exact"/>
        <w:ind w:left="721"/>
      </w:pPr>
      <w:r>
        <w:rPr>
          <w:position w:val="-3"/>
        </w:rPr>
        <w:drawing>
          <wp:inline distT="0" distB="0" distL="0" distR="0">
            <wp:extent cx="6118860" cy="10096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6"/>
                    <a:stretch>
                      <a:fillRect/>
                    </a:stretch>
                  </pic:blipFill>
                  <pic:spPr>
                    <a:xfrm>
                      <a:off x="0" y="0"/>
                      <a:ext cx="6119371" cy="101421"/>
                    </a:xfrm>
                    <a:prstGeom prst="rect">
                      <a:avLst/>
                    </a:prstGeom>
                  </pic:spPr>
                </pic:pic>
              </a:graphicData>
            </a:graphic>
          </wp:inline>
        </w:drawing>
      </w:r>
    </w:p>
    <w:p>
      <w:pPr>
        <w:spacing w:line="116" w:lineRule="exact"/>
      </w:pPr>
    </w:p>
    <w:p>
      <w:pPr>
        <w:spacing w:line="116" w:lineRule="exact"/>
        <w:sectPr>
          <w:footerReference r:id="rId24" w:type="default"/>
          <w:pgSz w:w="11905" w:h="16836"/>
          <w:pgMar w:top="400" w:right="1071" w:bottom="547" w:left="407" w:header="0" w:footer="354" w:gutter="0"/>
          <w:cols w:equalWidth="0" w:num="1">
            <w:col w:w="10425"/>
          </w:cols>
        </w:sectPr>
      </w:pPr>
    </w:p>
    <w:p>
      <w:pPr>
        <w:spacing w:before="31" w:line="227" w:lineRule="auto"/>
        <w:ind w:left="733" w:right="246" w:firstLine="15"/>
        <w:jc w:val="both"/>
        <w:rPr>
          <w:rFonts w:ascii="微软雅黑" w:hAnsi="微软雅黑" w:eastAsia="微软雅黑" w:cs="微软雅黑"/>
          <w:sz w:val="19"/>
          <w:szCs w:val="19"/>
        </w:rPr>
      </w:pPr>
      <w:r>
        <w:rPr>
          <w:rFonts w:ascii="宋体" w:hAnsi="宋体" w:eastAsia="宋体" w:cs="宋体"/>
          <w:spacing w:val="7"/>
          <w:sz w:val="19"/>
          <w:szCs w:val="19"/>
        </w:rPr>
        <w:t>的</w:t>
      </w:r>
      <w:r>
        <w:rPr>
          <w:rFonts w:ascii="微软雅黑" w:hAnsi="微软雅黑" w:eastAsia="微软雅黑" w:cs="微软雅黑"/>
          <w:spacing w:val="7"/>
          <w:sz w:val="19"/>
          <w:szCs w:val="19"/>
        </w:rPr>
        <w:t>，</w:t>
      </w:r>
      <w:r>
        <w:rPr>
          <w:rFonts w:ascii="宋体" w:hAnsi="宋体" w:eastAsia="宋体" w:cs="宋体"/>
          <w:spacing w:val="7"/>
          <w:sz w:val="19"/>
          <w:szCs w:val="19"/>
        </w:rPr>
        <w:t>又是现实的</w:t>
      </w:r>
      <w:r>
        <w:rPr>
          <w:rFonts w:ascii="宋体" w:hAnsi="宋体" w:eastAsia="宋体" w:cs="宋体"/>
          <w:spacing w:val="-53"/>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说它是历史的</w:t>
      </w:r>
      <w:r>
        <w:rPr>
          <w:rFonts w:ascii="微软雅黑" w:hAnsi="微软雅黑" w:eastAsia="微软雅黑" w:cs="微软雅黑"/>
          <w:spacing w:val="7"/>
          <w:sz w:val="19"/>
          <w:szCs w:val="19"/>
        </w:rPr>
        <w:t>，</w:t>
      </w:r>
      <w:r>
        <w:rPr>
          <w:rFonts w:ascii="宋体" w:hAnsi="宋体" w:eastAsia="宋体" w:cs="宋体"/>
          <w:spacing w:val="7"/>
          <w:sz w:val="19"/>
          <w:szCs w:val="19"/>
        </w:rPr>
        <w:t>是因为只要高等教</w:t>
      </w:r>
      <w:r>
        <w:rPr>
          <w:rFonts w:ascii="宋体" w:hAnsi="宋体" w:eastAsia="宋体" w:cs="宋体"/>
          <w:sz w:val="19"/>
          <w:szCs w:val="19"/>
        </w:rPr>
        <w:t xml:space="preserve">  </w:t>
      </w:r>
      <w:r>
        <w:rPr>
          <w:rFonts w:ascii="宋体" w:hAnsi="宋体" w:eastAsia="宋体" w:cs="宋体"/>
          <w:spacing w:val="9"/>
          <w:sz w:val="19"/>
          <w:szCs w:val="19"/>
        </w:rPr>
        <w:t>育历史发展过程是连续的</w:t>
      </w:r>
      <w:r>
        <w:rPr>
          <w:rFonts w:ascii="微软雅黑" w:hAnsi="微软雅黑" w:eastAsia="微软雅黑" w:cs="微软雅黑"/>
          <w:spacing w:val="9"/>
          <w:sz w:val="19"/>
          <w:szCs w:val="19"/>
        </w:rPr>
        <w:t>，</w:t>
      </w:r>
      <w:r>
        <w:rPr>
          <w:rFonts w:ascii="宋体" w:hAnsi="宋体" w:eastAsia="宋体" w:cs="宋体"/>
          <w:spacing w:val="9"/>
          <w:sz w:val="19"/>
          <w:szCs w:val="19"/>
        </w:rPr>
        <w:t>那么</w:t>
      </w:r>
      <w:r>
        <w:rPr>
          <w:rFonts w:ascii="微软雅黑" w:hAnsi="微软雅黑" w:eastAsia="微软雅黑" w:cs="微软雅黑"/>
          <w:spacing w:val="9"/>
          <w:sz w:val="19"/>
          <w:szCs w:val="19"/>
        </w:rPr>
        <w:t>，</w:t>
      </w:r>
      <w:r>
        <w:rPr>
          <w:rFonts w:ascii="宋体" w:hAnsi="宋体" w:eastAsia="宋体" w:cs="宋体"/>
          <w:spacing w:val="9"/>
          <w:sz w:val="19"/>
          <w:szCs w:val="19"/>
        </w:rPr>
        <w:t>质量文化就是连续</w:t>
      </w:r>
      <w:r>
        <w:rPr>
          <w:rFonts w:ascii="宋体" w:hAnsi="宋体" w:eastAsia="宋体" w:cs="宋体"/>
          <w:spacing w:val="6"/>
          <w:sz w:val="19"/>
          <w:szCs w:val="19"/>
        </w:rPr>
        <w:t xml:space="preserve">  </w:t>
      </w:r>
      <w:r>
        <w:rPr>
          <w:rFonts w:ascii="宋体" w:hAnsi="宋体" w:eastAsia="宋体" w:cs="宋体"/>
          <w:spacing w:val="18"/>
          <w:sz w:val="19"/>
          <w:szCs w:val="19"/>
        </w:rPr>
        <w:t>积累起来的</w:t>
      </w:r>
      <w:r>
        <w:rPr>
          <w:rFonts w:ascii="微软雅黑" w:hAnsi="微软雅黑" w:eastAsia="微软雅黑" w:cs="微软雅黑"/>
          <w:spacing w:val="18"/>
          <w:sz w:val="19"/>
          <w:szCs w:val="19"/>
        </w:rPr>
        <w:t>，</w:t>
      </w:r>
      <w:r>
        <w:rPr>
          <w:rFonts w:ascii="宋体" w:hAnsi="宋体" w:eastAsia="宋体" w:cs="宋体"/>
          <w:spacing w:val="18"/>
          <w:sz w:val="19"/>
          <w:szCs w:val="19"/>
        </w:rPr>
        <w:t>不同时期高等教育改革发展为质量文</w:t>
      </w:r>
      <w:r>
        <w:rPr>
          <w:rFonts w:ascii="宋体" w:hAnsi="宋体" w:eastAsia="宋体" w:cs="宋体"/>
          <w:spacing w:val="6"/>
          <w:sz w:val="19"/>
          <w:szCs w:val="19"/>
        </w:rPr>
        <w:t xml:space="preserve">  </w:t>
      </w:r>
      <w:r>
        <w:rPr>
          <w:rFonts w:ascii="宋体" w:hAnsi="宋体" w:eastAsia="宋体" w:cs="宋体"/>
          <w:spacing w:val="18"/>
          <w:sz w:val="19"/>
          <w:szCs w:val="19"/>
        </w:rPr>
        <w:t>化建设注入新</w:t>
      </w:r>
      <w:r>
        <w:rPr>
          <w:rFonts w:ascii="宋体" w:hAnsi="宋体" w:eastAsia="宋体" w:cs="宋体"/>
          <w:spacing w:val="-45"/>
          <w:sz w:val="19"/>
          <w:szCs w:val="19"/>
        </w:rPr>
        <w:t xml:space="preserve"> </w:t>
      </w:r>
      <w:r>
        <w:rPr>
          <w:rFonts w:ascii="宋体" w:hAnsi="宋体" w:eastAsia="宋体" w:cs="宋体"/>
          <w:spacing w:val="18"/>
          <w:sz w:val="19"/>
          <w:szCs w:val="19"/>
        </w:rPr>
        <w:t>的</w:t>
      </w:r>
      <w:r>
        <w:rPr>
          <w:rFonts w:ascii="宋体" w:hAnsi="宋体" w:eastAsia="宋体" w:cs="宋体"/>
          <w:spacing w:val="-41"/>
          <w:sz w:val="19"/>
          <w:szCs w:val="19"/>
        </w:rPr>
        <w:t xml:space="preserve"> </w:t>
      </w:r>
      <w:r>
        <w:rPr>
          <w:rFonts w:ascii="宋体" w:hAnsi="宋体" w:eastAsia="宋体" w:cs="宋体"/>
          <w:spacing w:val="18"/>
          <w:sz w:val="19"/>
          <w:szCs w:val="19"/>
        </w:rPr>
        <w:t>内涵</w:t>
      </w:r>
      <w:r>
        <w:rPr>
          <w:rFonts w:ascii="微软雅黑" w:hAnsi="微软雅黑" w:eastAsia="微软雅黑" w:cs="微软雅黑"/>
          <w:spacing w:val="18"/>
          <w:sz w:val="19"/>
          <w:szCs w:val="19"/>
        </w:rPr>
        <w:t>，</w:t>
      </w:r>
      <w:r>
        <w:rPr>
          <w:rFonts w:ascii="宋体" w:hAnsi="宋体" w:eastAsia="宋体" w:cs="宋体"/>
          <w:spacing w:val="18"/>
          <w:sz w:val="19"/>
          <w:szCs w:val="19"/>
        </w:rPr>
        <w:t>使质量文化出现累积效应</w:t>
      </w:r>
      <w:r>
        <w:rPr>
          <w:rFonts w:ascii="微软雅黑" w:hAnsi="微软雅黑" w:eastAsia="微软雅黑" w:cs="微软雅黑"/>
          <w:spacing w:val="18"/>
          <w:sz w:val="19"/>
          <w:szCs w:val="19"/>
        </w:rPr>
        <w:t>。</w:t>
      </w:r>
      <w:r>
        <w:rPr>
          <w:rFonts w:ascii="微软雅黑" w:hAnsi="微软雅黑" w:eastAsia="微软雅黑" w:cs="微软雅黑"/>
          <w:sz w:val="19"/>
          <w:szCs w:val="19"/>
        </w:rPr>
        <w:t xml:space="preserve"> </w:t>
      </w:r>
      <w:r>
        <w:rPr>
          <w:rFonts w:ascii="宋体" w:hAnsi="宋体" w:eastAsia="宋体" w:cs="宋体"/>
          <w:spacing w:val="12"/>
          <w:sz w:val="19"/>
          <w:szCs w:val="19"/>
        </w:rPr>
        <w:t>即便高等教育发展出现断裂</w:t>
      </w:r>
      <w:r>
        <w:rPr>
          <w:rFonts w:ascii="微软雅黑" w:hAnsi="微软雅黑" w:eastAsia="微软雅黑" w:cs="微软雅黑"/>
          <w:spacing w:val="12"/>
          <w:sz w:val="19"/>
          <w:szCs w:val="19"/>
        </w:rPr>
        <w:t>，</w:t>
      </w:r>
      <w:r>
        <w:rPr>
          <w:rFonts w:ascii="宋体" w:hAnsi="宋体" w:eastAsia="宋体" w:cs="宋体"/>
          <w:spacing w:val="12"/>
          <w:sz w:val="19"/>
          <w:szCs w:val="19"/>
        </w:rPr>
        <w:t>质量文化也会</w:t>
      </w:r>
      <w:r>
        <w:rPr>
          <w:rFonts w:ascii="微软雅黑" w:hAnsi="微软雅黑" w:eastAsia="微软雅黑" w:cs="微软雅黑"/>
          <w:spacing w:val="12"/>
          <w:sz w:val="19"/>
          <w:szCs w:val="19"/>
        </w:rPr>
        <w:t>“</w:t>
      </w:r>
      <w:r>
        <w:rPr>
          <w:rFonts w:ascii="微软雅黑" w:hAnsi="微软雅黑" w:eastAsia="微软雅黑" w:cs="微软雅黑"/>
          <w:spacing w:val="-23"/>
          <w:sz w:val="19"/>
          <w:szCs w:val="19"/>
        </w:rPr>
        <w:t xml:space="preserve"> </w:t>
      </w:r>
      <w:r>
        <w:rPr>
          <w:rFonts w:ascii="宋体" w:hAnsi="宋体" w:eastAsia="宋体" w:cs="宋体"/>
          <w:spacing w:val="12"/>
          <w:sz w:val="19"/>
          <w:szCs w:val="19"/>
        </w:rPr>
        <w:t>记录</w:t>
      </w:r>
      <w:r>
        <w:rPr>
          <w:rFonts w:ascii="微软雅黑" w:hAnsi="微软雅黑" w:eastAsia="微软雅黑" w:cs="微软雅黑"/>
          <w:spacing w:val="12"/>
          <w:sz w:val="19"/>
          <w:szCs w:val="19"/>
        </w:rPr>
        <w:t>”</w:t>
      </w:r>
      <w:r>
        <w:rPr>
          <w:rFonts w:ascii="微软雅黑" w:hAnsi="微软雅黑" w:eastAsia="微软雅黑" w:cs="微软雅黑"/>
          <w:sz w:val="19"/>
          <w:szCs w:val="19"/>
        </w:rPr>
        <w:t xml:space="preserve"> </w:t>
      </w:r>
      <w:r>
        <w:rPr>
          <w:rFonts w:ascii="宋体" w:hAnsi="宋体" w:eastAsia="宋体" w:cs="宋体"/>
          <w:spacing w:val="16"/>
          <w:sz w:val="19"/>
          <w:szCs w:val="19"/>
        </w:rPr>
        <w:t>断裂的痕迹</w:t>
      </w:r>
      <w:r>
        <w:rPr>
          <w:rFonts w:ascii="宋体" w:hAnsi="宋体" w:eastAsia="宋体" w:cs="宋体"/>
          <w:spacing w:val="-38"/>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说它是现实的</w:t>
      </w:r>
      <w:r>
        <w:rPr>
          <w:rFonts w:ascii="微软雅黑" w:hAnsi="微软雅黑" w:eastAsia="微软雅黑" w:cs="微软雅黑"/>
          <w:spacing w:val="16"/>
          <w:sz w:val="19"/>
          <w:szCs w:val="19"/>
        </w:rPr>
        <w:t>，</w:t>
      </w:r>
      <w:r>
        <w:rPr>
          <w:rFonts w:ascii="宋体" w:hAnsi="宋体" w:eastAsia="宋体" w:cs="宋体"/>
          <w:spacing w:val="16"/>
          <w:sz w:val="19"/>
          <w:szCs w:val="19"/>
        </w:rPr>
        <w:t>是因为不论高等教育</w:t>
      </w:r>
      <w:r>
        <w:rPr>
          <w:rFonts w:ascii="宋体" w:hAnsi="宋体" w:eastAsia="宋体" w:cs="宋体"/>
          <w:sz w:val="19"/>
          <w:szCs w:val="19"/>
        </w:rPr>
        <w:t xml:space="preserve">  </w:t>
      </w:r>
      <w:r>
        <w:rPr>
          <w:rFonts w:ascii="宋体" w:hAnsi="宋体" w:eastAsia="宋体" w:cs="宋体"/>
          <w:spacing w:val="9"/>
          <w:sz w:val="19"/>
          <w:szCs w:val="19"/>
        </w:rPr>
        <w:t>历史有多久远</w:t>
      </w:r>
      <w:r>
        <w:rPr>
          <w:rFonts w:ascii="微软雅黑" w:hAnsi="微软雅黑" w:eastAsia="微软雅黑" w:cs="微软雅黑"/>
          <w:spacing w:val="9"/>
          <w:sz w:val="19"/>
          <w:szCs w:val="19"/>
        </w:rPr>
        <w:t>，</w:t>
      </w:r>
      <w:r>
        <w:rPr>
          <w:rFonts w:ascii="宋体" w:hAnsi="宋体" w:eastAsia="宋体" w:cs="宋体"/>
          <w:spacing w:val="9"/>
          <w:sz w:val="19"/>
          <w:szCs w:val="19"/>
        </w:rPr>
        <w:t>质量文化积累有多深厚</w:t>
      </w:r>
      <w:r>
        <w:rPr>
          <w:rFonts w:ascii="微软雅黑" w:hAnsi="微软雅黑" w:eastAsia="微软雅黑" w:cs="微软雅黑"/>
          <w:spacing w:val="9"/>
          <w:sz w:val="19"/>
          <w:szCs w:val="19"/>
        </w:rPr>
        <w:t>，</w:t>
      </w:r>
      <w:r>
        <w:rPr>
          <w:rFonts w:ascii="宋体" w:hAnsi="宋体" w:eastAsia="宋体" w:cs="宋体"/>
          <w:spacing w:val="9"/>
          <w:sz w:val="19"/>
          <w:szCs w:val="19"/>
        </w:rPr>
        <w:t>它既要影响</w:t>
      </w:r>
      <w:r>
        <w:rPr>
          <w:rFonts w:ascii="宋体" w:hAnsi="宋体" w:eastAsia="宋体" w:cs="宋体"/>
          <w:spacing w:val="6"/>
          <w:sz w:val="19"/>
          <w:szCs w:val="19"/>
        </w:rPr>
        <w:t xml:space="preserve">  </w:t>
      </w:r>
      <w:r>
        <w:rPr>
          <w:rFonts w:ascii="宋体" w:hAnsi="宋体" w:eastAsia="宋体" w:cs="宋体"/>
          <w:spacing w:val="18"/>
          <w:sz w:val="19"/>
          <w:szCs w:val="19"/>
        </w:rPr>
        <w:t>现实高等教育及其质量生成</w:t>
      </w:r>
      <w:r>
        <w:rPr>
          <w:rFonts w:ascii="微软雅黑" w:hAnsi="微软雅黑" w:eastAsia="微软雅黑" w:cs="微软雅黑"/>
          <w:spacing w:val="18"/>
          <w:sz w:val="19"/>
          <w:szCs w:val="19"/>
        </w:rPr>
        <w:t>，</w:t>
      </w:r>
      <w:r>
        <w:rPr>
          <w:rFonts w:ascii="宋体" w:hAnsi="宋体" w:eastAsia="宋体" w:cs="宋体"/>
          <w:spacing w:val="18"/>
          <w:sz w:val="19"/>
          <w:szCs w:val="19"/>
        </w:rPr>
        <w:t>又要将现实高等教育</w:t>
      </w:r>
      <w:r>
        <w:rPr>
          <w:rFonts w:ascii="宋体" w:hAnsi="宋体" w:eastAsia="宋体" w:cs="宋体"/>
          <w:spacing w:val="6"/>
          <w:sz w:val="19"/>
          <w:szCs w:val="19"/>
        </w:rPr>
        <w:t xml:space="preserve">  </w:t>
      </w:r>
      <w:r>
        <w:rPr>
          <w:rFonts w:ascii="宋体" w:hAnsi="宋体" w:eastAsia="宋体" w:cs="宋体"/>
          <w:spacing w:val="18"/>
          <w:sz w:val="19"/>
          <w:szCs w:val="19"/>
        </w:rPr>
        <w:t>活动所遵循的质量价值与规范沉淀并加以吸纳</w:t>
      </w:r>
      <w:r>
        <w:rPr>
          <w:rFonts w:ascii="微软雅黑" w:hAnsi="微软雅黑" w:eastAsia="微软雅黑" w:cs="微软雅黑"/>
          <w:spacing w:val="18"/>
          <w:sz w:val="19"/>
          <w:szCs w:val="19"/>
        </w:rPr>
        <w:t>，</w:t>
      </w:r>
      <w:r>
        <w:rPr>
          <w:rFonts w:ascii="宋体" w:hAnsi="宋体" w:eastAsia="宋体" w:cs="宋体"/>
          <w:spacing w:val="18"/>
          <w:sz w:val="19"/>
          <w:szCs w:val="19"/>
        </w:rPr>
        <w:t>使</w:t>
      </w:r>
      <w:r>
        <w:rPr>
          <w:rFonts w:ascii="宋体" w:hAnsi="宋体" w:eastAsia="宋体" w:cs="宋体"/>
          <w:spacing w:val="7"/>
          <w:sz w:val="19"/>
          <w:szCs w:val="19"/>
        </w:rPr>
        <w:t xml:space="preserve">  </w:t>
      </w:r>
      <w:r>
        <w:rPr>
          <w:rFonts w:ascii="宋体" w:hAnsi="宋体" w:eastAsia="宋体" w:cs="宋体"/>
          <w:spacing w:val="12"/>
          <w:sz w:val="19"/>
          <w:szCs w:val="19"/>
        </w:rPr>
        <w:t>自身的内涵更丰富</w:t>
      </w:r>
      <w:r>
        <w:rPr>
          <w:rFonts w:ascii="微软雅黑" w:hAnsi="微软雅黑" w:eastAsia="微软雅黑" w:cs="微软雅黑"/>
          <w:spacing w:val="12"/>
          <w:sz w:val="19"/>
          <w:szCs w:val="19"/>
        </w:rPr>
        <w:t>，</w:t>
      </w:r>
      <w:r>
        <w:rPr>
          <w:rFonts w:ascii="宋体" w:hAnsi="宋体" w:eastAsia="宋体" w:cs="宋体"/>
          <w:spacing w:val="12"/>
          <w:sz w:val="19"/>
          <w:szCs w:val="19"/>
        </w:rPr>
        <w:t>形式更多样</w:t>
      </w:r>
      <w:r>
        <w:rPr>
          <w:rFonts w:ascii="微软雅黑" w:hAnsi="微软雅黑" w:eastAsia="微软雅黑" w:cs="微软雅黑"/>
          <w:spacing w:val="12"/>
          <w:sz w:val="19"/>
          <w:szCs w:val="19"/>
        </w:rPr>
        <w:t>。</w:t>
      </w:r>
    </w:p>
    <w:p>
      <w:pPr>
        <w:spacing w:before="65" w:line="227" w:lineRule="auto"/>
        <w:ind w:left="732" w:right="262" w:firstLine="423"/>
        <w:rPr>
          <w:rFonts w:ascii="微软雅黑" w:hAnsi="微软雅黑" w:eastAsia="微软雅黑" w:cs="微软雅黑"/>
          <w:sz w:val="19"/>
          <w:szCs w:val="19"/>
        </w:rPr>
      </w:pPr>
      <w:r>
        <w:rPr>
          <w:rFonts w:ascii="宋体" w:hAnsi="宋体" w:eastAsia="宋体" w:cs="宋体"/>
          <w:spacing w:val="17"/>
          <w:sz w:val="19"/>
          <w:szCs w:val="19"/>
        </w:rPr>
        <w:t>高等教育发展常常不是直线性的</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发展历程可 </w:t>
      </w:r>
      <w:r>
        <w:rPr>
          <w:rFonts w:ascii="宋体" w:hAnsi="宋体" w:eastAsia="宋体" w:cs="宋体"/>
          <w:spacing w:val="18"/>
          <w:sz w:val="19"/>
          <w:szCs w:val="19"/>
        </w:rPr>
        <w:t>能出现曲折回流</w:t>
      </w:r>
      <w:r>
        <w:rPr>
          <w:rFonts w:ascii="微软雅黑" w:hAnsi="微软雅黑" w:eastAsia="微软雅黑" w:cs="微软雅黑"/>
          <w:spacing w:val="18"/>
          <w:sz w:val="19"/>
          <w:szCs w:val="19"/>
        </w:rPr>
        <w:t>，</w:t>
      </w:r>
      <w:r>
        <w:rPr>
          <w:rFonts w:ascii="宋体" w:hAnsi="宋体" w:eastAsia="宋体" w:cs="宋体"/>
          <w:spacing w:val="18"/>
          <w:sz w:val="19"/>
          <w:szCs w:val="19"/>
        </w:rPr>
        <w:t>质量文化也会随高等教育</w:t>
      </w:r>
      <w:r>
        <w:rPr>
          <w:rFonts w:ascii="宋体" w:hAnsi="宋体" w:eastAsia="宋体" w:cs="宋体"/>
          <w:spacing w:val="17"/>
          <w:sz w:val="19"/>
          <w:szCs w:val="19"/>
        </w:rPr>
        <w:t xml:space="preserve">的曲折 </w:t>
      </w:r>
      <w:r>
        <w:rPr>
          <w:rFonts w:ascii="宋体" w:hAnsi="宋体" w:eastAsia="宋体" w:cs="宋体"/>
          <w:spacing w:val="9"/>
          <w:sz w:val="19"/>
          <w:szCs w:val="19"/>
        </w:rPr>
        <w:t>发展而打上相应的烙印</w:t>
      </w:r>
      <w:r>
        <w:rPr>
          <w:rFonts w:ascii="微软雅黑" w:hAnsi="微软雅黑" w:eastAsia="微软雅黑" w:cs="微软雅黑"/>
          <w:spacing w:val="9"/>
          <w:sz w:val="19"/>
          <w:szCs w:val="19"/>
        </w:rPr>
        <w:t>，</w:t>
      </w:r>
      <w:r>
        <w:rPr>
          <w:rFonts w:ascii="宋体" w:hAnsi="宋体" w:eastAsia="宋体" w:cs="宋体"/>
          <w:spacing w:val="9"/>
          <w:sz w:val="19"/>
          <w:szCs w:val="19"/>
        </w:rPr>
        <w:t>还会表现出层次感</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将不同 </w:t>
      </w:r>
      <w:r>
        <w:rPr>
          <w:rFonts w:ascii="宋体" w:hAnsi="宋体" w:eastAsia="宋体" w:cs="宋体"/>
          <w:spacing w:val="22"/>
          <w:sz w:val="19"/>
          <w:szCs w:val="19"/>
        </w:rPr>
        <w:t>时期的高等教育质量价值观与相关惯习展露无遗</w:t>
      </w:r>
      <w:r>
        <w:rPr>
          <w:rFonts w:ascii="微软雅黑" w:hAnsi="微软雅黑" w:eastAsia="微软雅黑" w:cs="微软雅黑"/>
          <w:spacing w:val="22"/>
          <w:sz w:val="19"/>
          <w:szCs w:val="19"/>
        </w:rPr>
        <w:t>。</w:t>
      </w:r>
      <w:r>
        <w:rPr>
          <w:rFonts w:ascii="微软雅黑" w:hAnsi="微软雅黑" w:eastAsia="微软雅黑" w:cs="微软雅黑"/>
          <w:spacing w:val="1"/>
          <w:sz w:val="19"/>
          <w:szCs w:val="19"/>
        </w:rPr>
        <w:t xml:space="preserve"> </w:t>
      </w:r>
      <w:r>
        <w:rPr>
          <w:rFonts w:ascii="宋体" w:hAnsi="宋体" w:eastAsia="宋体" w:cs="宋体"/>
          <w:spacing w:val="18"/>
          <w:sz w:val="19"/>
          <w:szCs w:val="19"/>
        </w:rPr>
        <w:t>在现实的高等教育发展中</w:t>
      </w:r>
      <w:r>
        <w:rPr>
          <w:rFonts w:ascii="微软雅黑" w:hAnsi="微软雅黑" w:eastAsia="微软雅黑" w:cs="微软雅黑"/>
          <w:spacing w:val="18"/>
          <w:sz w:val="19"/>
          <w:szCs w:val="19"/>
        </w:rPr>
        <w:t>，</w:t>
      </w:r>
      <w:r>
        <w:rPr>
          <w:rFonts w:ascii="宋体" w:hAnsi="宋体" w:eastAsia="宋体" w:cs="宋体"/>
          <w:spacing w:val="18"/>
          <w:sz w:val="19"/>
          <w:szCs w:val="19"/>
        </w:rPr>
        <w:t>不同国家和地区</w:t>
      </w:r>
      <w:r>
        <w:rPr>
          <w:rFonts w:ascii="宋体" w:hAnsi="宋体" w:eastAsia="宋体" w:cs="宋体"/>
          <w:spacing w:val="17"/>
          <w:sz w:val="19"/>
          <w:szCs w:val="19"/>
        </w:rPr>
        <w:t xml:space="preserve">可能相 </w:t>
      </w:r>
      <w:r>
        <w:rPr>
          <w:rFonts w:ascii="宋体" w:hAnsi="宋体" w:eastAsia="宋体" w:cs="宋体"/>
          <w:spacing w:val="18"/>
          <w:sz w:val="19"/>
          <w:szCs w:val="19"/>
        </w:rPr>
        <w:t>互学习借鉴对方的经验</w:t>
      </w:r>
      <w:r>
        <w:rPr>
          <w:rFonts w:ascii="微软雅黑" w:hAnsi="微软雅黑" w:eastAsia="微软雅黑" w:cs="微软雅黑"/>
          <w:spacing w:val="18"/>
          <w:sz w:val="19"/>
          <w:szCs w:val="19"/>
        </w:rPr>
        <w:t>，</w:t>
      </w:r>
      <w:r>
        <w:rPr>
          <w:rFonts w:ascii="宋体" w:hAnsi="宋体" w:eastAsia="宋体" w:cs="宋体"/>
          <w:spacing w:val="18"/>
          <w:sz w:val="19"/>
          <w:szCs w:val="19"/>
        </w:rPr>
        <w:t>有的高等教育理念</w:t>
      </w:r>
      <w:r>
        <w:rPr>
          <w:rFonts w:ascii="宋体" w:hAnsi="宋体" w:eastAsia="宋体" w:cs="宋体"/>
          <w:spacing w:val="17"/>
          <w:sz w:val="19"/>
          <w:szCs w:val="19"/>
        </w:rPr>
        <w:t xml:space="preserve">和体制 </w:t>
      </w:r>
      <w:r>
        <w:rPr>
          <w:rFonts w:ascii="宋体" w:hAnsi="宋体" w:eastAsia="宋体" w:cs="宋体"/>
          <w:spacing w:val="18"/>
          <w:sz w:val="19"/>
          <w:szCs w:val="19"/>
        </w:rPr>
        <w:t>机制可能被移植到不同国家</w:t>
      </w:r>
      <w:r>
        <w:rPr>
          <w:rFonts w:ascii="微软雅黑" w:hAnsi="微软雅黑" w:eastAsia="微软雅黑" w:cs="微软雅黑"/>
          <w:spacing w:val="18"/>
          <w:sz w:val="19"/>
          <w:szCs w:val="19"/>
        </w:rPr>
        <w:t>，</w:t>
      </w:r>
      <w:r>
        <w:rPr>
          <w:rFonts w:ascii="宋体" w:hAnsi="宋体" w:eastAsia="宋体" w:cs="宋体"/>
          <w:spacing w:val="18"/>
          <w:sz w:val="19"/>
          <w:szCs w:val="19"/>
        </w:rPr>
        <w:t>在不同的社会</w:t>
      </w:r>
      <w:r>
        <w:rPr>
          <w:rFonts w:ascii="宋体" w:hAnsi="宋体" w:eastAsia="宋体" w:cs="宋体"/>
          <w:spacing w:val="17"/>
          <w:sz w:val="19"/>
          <w:szCs w:val="19"/>
        </w:rPr>
        <w:t xml:space="preserve">文化背 </w:t>
      </w:r>
      <w:r>
        <w:rPr>
          <w:rFonts w:ascii="宋体" w:hAnsi="宋体" w:eastAsia="宋体" w:cs="宋体"/>
          <w:spacing w:val="15"/>
          <w:sz w:val="19"/>
          <w:szCs w:val="19"/>
        </w:rPr>
        <w:t>景下发挥积极作用</w:t>
      </w:r>
      <w:r>
        <w:rPr>
          <w:rFonts w:ascii="微软雅黑" w:hAnsi="微软雅黑" w:eastAsia="微软雅黑" w:cs="微软雅黑"/>
          <w:spacing w:val="15"/>
          <w:sz w:val="19"/>
          <w:szCs w:val="19"/>
        </w:rPr>
        <w:t>，</w:t>
      </w:r>
      <w:r>
        <w:rPr>
          <w:rFonts w:ascii="宋体" w:hAnsi="宋体" w:eastAsia="宋体" w:cs="宋体"/>
          <w:spacing w:val="15"/>
          <w:sz w:val="19"/>
          <w:szCs w:val="19"/>
        </w:rPr>
        <w:t>促进高等教育事业发展</w:t>
      </w:r>
      <w:r>
        <w:rPr>
          <w:rFonts w:ascii="宋体" w:hAnsi="宋体" w:eastAsia="宋体" w:cs="宋体"/>
          <w:spacing w:val="-51"/>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15"/>
          <w:sz w:val="19"/>
          <w:szCs w:val="19"/>
        </w:rPr>
        <w:t xml:space="preserve">在这 </w:t>
      </w:r>
      <w:r>
        <w:rPr>
          <w:rFonts w:ascii="宋体" w:hAnsi="宋体" w:eastAsia="宋体" w:cs="宋体"/>
          <w:spacing w:val="9"/>
          <w:sz w:val="19"/>
          <w:szCs w:val="19"/>
        </w:rPr>
        <w:t>样的情境中</w:t>
      </w:r>
      <w:r>
        <w:rPr>
          <w:rFonts w:ascii="微软雅黑" w:hAnsi="微软雅黑" w:eastAsia="微软雅黑" w:cs="微软雅黑"/>
          <w:spacing w:val="9"/>
          <w:sz w:val="19"/>
          <w:szCs w:val="19"/>
        </w:rPr>
        <w:t>，</w:t>
      </w:r>
      <w:r>
        <w:rPr>
          <w:rFonts w:ascii="宋体" w:hAnsi="宋体" w:eastAsia="宋体" w:cs="宋体"/>
          <w:spacing w:val="9"/>
          <w:sz w:val="19"/>
          <w:szCs w:val="19"/>
        </w:rPr>
        <w:t>质量文化也会发生迁移或飘移</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对有关 </w:t>
      </w:r>
      <w:r>
        <w:rPr>
          <w:rFonts w:ascii="宋体" w:hAnsi="宋体" w:eastAsia="宋体" w:cs="宋体"/>
          <w:spacing w:val="19"/>
          <w:sz w:val="19"/>
          <w:szCs w:val="19"/>
        </w:rPr>
        <w:t>国家和地区高等教育质量的生成发挥作用</w:t>
      </w:r>
      <w:r>
        <w:rPr>
          <w:rFonts w:ascii="微软雅黑" w:hAnsi="微软雅黑" w:eastAsia="微软雅黑" w:cs="微软雅黑"/>
          <w:spacing w:val="19"/>
          <w:sz w:val="19"/>
          <w:szCs w:val="19"/>
        </w:rPr>
        <w:t>。</w:t>
      </w:r>
    </w:p>
    <w:p>
      <w:pPr>
        <w:spacing w:before="62" w:line="208" w:lineRule="auto"/>
        <w:ind w:left="732" w:right="337" w:firstLine="436"/>
        <w:rPr>
          <w:rFonts w:ascii="微软雅黑" w:hAnsi="微软雅黑" w:eastAsia="微软雅黑" w:cs="微软雅黑"/>
          <w:sz w:val="19"/>
          <w:szCs w:val="19"/>
        </w:rPr>
      </w:pPr>
      <w:r>
        <w:rPr>
          <w:rFonts w:ascii="微软雅黑" w:hAnsi="微软雅黑" w:eastAsia="微软雅黑" w:cs="微软雅黑"/>
          <w:spacing w:val="21"/>
          <w:sz w:val="19"/>
          <w:szCs w:val="19"/>
        </w:rPr>
        <w:t>(</w:t>
      </w:r>
      <w:r>
        <w:rPr>
          <w:rFonts w:ascii="Arial" w:hAnsi="Arial" w:eastAsia="Arial" w:cs="Arial"/>
          <w:spacing w:val="21"/>
          <w:sz w:val="19"/>
          <w:szCs w:val="19"/>
        </w:rPr>
        <w:t>2</w:t>
      </w:r>
      <w:r>
        <w:rPr>
          <w:rFonts w:ascii="微软雅黑" w:hAnsi="微软雅黑" w:eastAsia="微软雅黑" w:cs="微软雅黑"/>
          <w:spacing w:val="21"/>
          <w:sz w:val="19"/>
          <w:szCs w:val="19"/>
        </w:rPr>
        <w:t>)</w:t>
      </w:r>
      <w:r>
        <w:rPr>
          <w:rFonts w:ascii="微软雅黑" w:hAnsi="微软雅黑" w:eastAsia="微软雅黑" w:cs="微软雅黑"/>
          <w:spacing w:val="3"/>
          <w:sz w:val="19"/>
          <w:szCs w:val="19"/>
        </w:rPr>
        <w:t xml:space="preserve"> </w:t>
      </w:r>
      <w:r>
        <w:rPr>
          <w:rFonts w:ascii="宋体" w:hAnsi="宋体" w:eastAsia="宋体" w:cs="宋体"/>
          <w:spacing w:val="21"/>
          <w:sz w:val="19"/>
          <w:szCs w:val="19"/>
        </w:rPr>
        <w:t>高校是高等教育质量文化形成和发展的关</w:t>
      </w:r>
      <w:r>
        <w:rPr>
          <w:rFonts w:ascii="宋体" w:hAnsi="宋体" w:eastAsia="宋体" w:cs="宋体"/>
          <w:sz w:val="19"/>
          <w:szCs w:val="19"/>
        </w:rPr>
        <w:t xml:space="preserve"> </w:t>
      </w:r>
      <w:r>
        <w:rPr>
          <w:rFonts w:ascii="宋体" w:hAnsi="宋体" w:eastAsia="宋体" w:cs="宋体"/>
          <w:spacing w:val="17"/>
          <w:sz w:val="19"/>
          <w:szCs w:val="19"/>
        </w:rPr>
        <w:t>键主体</w:t>
      </w:r>
      <w:r>
        <w:rPr>
          <w:rFonts w:ascii="微软雅黑" w:hAnsi="微软雅黑" w:eastAsia="微软雅黑" w:cs="微软雅黑"/>
          <w:spacing w:val="17"/>
          <w:sz w:val="19"/>
          <w:szCs w:val="19"/>
        </w:rPr>
        <w:t>。</w:t>
      </w:r>
    </w:p>
    <w:p>
      <w:pPr>
        <w:spacing w:before="64" w:line="232" w:lineRule="auto"/>
        <w:ind w:left="730" w:right="266" w:firstLine="420"/>
        <w:rPr>
          <w:rFonts w:ascii="微软雅黑" w:hAnsi="微软雅黑" w:eastAsia="微软雅黑" w:cs="微软雅黑"/>
          <w:sz w:val="19"/>
          <w:szCs w:val="19"/>
        </w:rPr>
      </w:pPr>
      <w:r>
        <w:rPr>
          <w:rFonts w:ascii="宋体" w:hAnsi="宋体" w:eastAsia="宋体" w:cs="宋体"/>
          <w:spacing w:val="17"/>
          <w:sz w:val="19"/>
          <w:szCs w:val="19"/>
        </w:rPr>
        <w:t>尽管高等教育质量文化有宏观和微观之分</w:t>
      </w:r>
      <w:r>
        <w:rPr>
          <w:rFonts w:ascii="微软雅黑" w:hAnsi="微软雅黑" w:eastAsia="微软雅黑" w:cs="微软雅黑"/>
          <w:spacing w:val="17"/>
          <w:sz w:val="19"/>
          <w:szCs w:val="19"/>
        </w:rPr>
        <w:t>，</w:t>
      </w:r>
      <w:r>
        <w:rPr>
          <w:rFonts w:ascii="宋体" w:hAnsi="宋体" w:eastAsia="宋体" w:cs="宋体"/>
          <w:spacing w:val="17"/>
          <w:sz w:val="19"/>
          <w:szCs w:val="19"/>
        </w:rPr>
        <w:t>但 所有的质量文化都只有在高校扎根</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才能影响高等 </w:t>
      </w:r>
      <w:r>
        <w:rPr>
          <w:rFonts w:ascii="宋体" w:hAnsi="宋体" w:eastAsia="宋体" w:cs="宋体"/>
          <w:spacing w:val="16"/>
          <w:sz w:val="19"/>
          <w:szCs w:val="19"/>
        </w:rPr>
        <w:t>教育</w:t>
      </w:r>
      <w:r>
        <w:rPr>
          <w:rFonts w:ascii="宋体" w:hAnsi="宋体" w:eastAsia="宋体" w:cs="宋体"/>
          <w:spacing w:val="-53"/>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高等教育质量文化的主体很多</w:t>
      </w:r>
      <w:r>
        <w:rPr>
          <w:rFonts w:ascii="微软雅黑" w:hAnsi="微软雅黑" w:eastAsia="微软雅黑" w:cs="微软雅黑"/>
          <w:spacing w:val="16"/>
          <w:sz w:val="19"/>
          <w:szCs w:val="19"/>
        </w:rPr>
        <w:t>，</w:t>
      </w:r>
      <w:r>
        <w:rPr>
          <w:rFonts w:ascii="宋体" w:hAnsi="宋体" w:eastAsia="宋体" w:cs="宋体"/>
          <w:spacing w:val="16"/>
          <w:sz w:val="19"/>
          <w:szCs w:val="19"/>
        </w:rPr>
        <w:t>高校才</w:t>
      </w:r>
      <w:r>
        <w:rPr>
          <w:rFonts w:ascii="宋体" w:hAnsi="宋体" w:eastAsia="宋体" w:cs="宋体"/>
          <w:spacing w:val="15"/>
          <w:sz w:val="19"/>
          <w:szCs w:val="19"/>
        </w:rPr>
        <w:t xml:space="preserve">是形 </w:t>
      </w:r>
      <w:r>
        <w:rPr>
          <w:rFonts w:ascii="宋体" w:hAnsi="宋体" w:eastAsia="宋体" w:cs="宋体"/>
          <w:spacing w:val="17"/>
          <w:sz w:val="19"/>
          <w:szCs w:val="19"/>
        </w:rPr>
        <w:t>成和发展质量文化的关键</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政府和社会其他组织参 与质量文化建设的努力必须通过高校的接受和实践 </w:t>
      </w:r>
      <w:r>
        <w:rPr>
          <w:rFonts w:ascii="宋体" w:hAnsi="宋体" w:eastAsia="宋体" w:cs="宋体"/>
          <w:spacing w:val="18"/>
          <w:sz w:val="19"/>
          <w:szCs w:val="19"/>
        </w:rPr>
        <w:t>才能影响高等教育质量文化的发展与变化</w:t>
      </w:r>
      <w:r>
        <w:rPr>
          <w:rFonts w:ascii="宋体" w:hAnsi="宋体" w:eastAsia="宋体" w:cs="宋体"/>
          <w:spacing w:val="-51"/>
          <w:sz w:val="19"/>
          <w:szCs w:val="19"/>
        </w:rPr>
        <w:t xml:space="preserve"> </w:t>
      </w:r>
      <w:r>
        <w:rPr>
          <w:rFonts w:ascii="微软雅黑" w:hAnsi="微软雅黑" w:eastAsia="微软雅黑" w:cs="微软雅黑"/>
          <w:spacing w:val="18"/>
          <w:sz w:val="19"/>
          <w:szCs w:val="19"/>
        </w:rPr>
        <w:t>。</w:t>
      </w:r>
      <w:r>
        <w:rPr>
          <w:rFonts w:ascii="微软雅黑" w:hAnsi="微软雅黑" w:eastAsia="微软雅黑" w:cs="微软雅黑"/>
          <w:spacing w:val="-14"/>
          <w:sz w:val="19"/>
          <w:szCs w:val="19"/>
        </w:rPr>
        <w:t xml:space="preserve"> </w:t>
      </w:r>
      <w:r>
        <w:rPr>
          <w:rFonts w:ascii="宋体" w:hAnsi="宋体" w:eastAsia="宋体" w:cs="宋体"/>
          <w:spacing w:val="18"/>
          <w:sz w:val="19"/>
          <w:szCs w:val="19"/>
        </w:rPr>
        <w:t>比如</w:t>
      </w:r>
      <w:r>
        <w:rPr>
          <w:rFonts w:ascii="微软雅黑" w:hAnsi="微软雅黑" w:eastAsia="微软雅黑" w:cs="微软雅黑"/>
          <w:spacing w:val="18"/>
          <w:sz w:val="19"/>
          <w:szCs w:val="19"/>
        </w:rPr>
        <w:t>，</w:t>
      </w:r>
      <w:r>
        <w:rPr>
          <w:rFonts w:ascii="微软雅黑" w:hAnsi="微软雅黑" w:eastAsia="微软雅黑" w:cs="微软雅黑"/>
          <w:sz w:val="19"/>
          <w:szCs w:val="19"/>
        </w:rPr>
        <w:t xml:space="preserve"> </w:t>
      </w:r>
      <w:r>
        <w:rPr>
          <w:rFonts w:ascii="宋体" w:hAnsi="宋体" w:eastAsia="宋体" w:cs="宋体"/>
          <w:spacing w:val="17"/>
          <w:sz w:val="19"/>
          <w:szCs w:val="19"/>
        </w:rPr>
        <w:t>从世界众多国家的实践来看</w:t>
      </w:r>
      <w:r>
        <w:rPr>
          <w:rFonts w:ascii="微软雅黑" w:hAnsi="微软雅黑" w:eastAsia="微软雅黑" w:cs="微软雅黑"/>
          <w:spacing w:val="17"/>
          <w:sz w:val="19"/>
          <w:szCs w:val="19"/>
        </w:rPr>
        <w:t>，</w:t>
      </w:r>
      <w:r>
        <w:rPr>
          <w:rFonts w:ascii="宋体" w:hAnsi="宋体" w:eastAsia="宋体" w:cs="宋体"/>
          <w:spacing w:val="17"/>
          <w:sz w:val="19"/>
          <w:szCs w:val="19"/>
        </w:rPr>
        <w:t>不论采取何种高等教 育治理体制</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一个不争的事实是政府越来越重视高 </w:t>
      </w:r>
      <w:r>
        <w:rPr>
          <w:rFonts w:ascii="宋体" w:hAnsi="宋体" w:eastAsia="宋体" w:cs="宋体"/>
          <w:spacing w:val="9"/>
          <w:sz w:val="19"/>
          <w:szCs w:val="19"/>
        </w:rPr>
        <w:t>等教育</w:t>
      </w:r>
      <w:r>
        <w:rPr>
          <w:rFonts w:ascii="微软雅黑" w:hAnsi="微软雅黑" w:eastAsia="微软雅黑" w:cs="微软雅黑"/>
          <w:spacing w:val="9"/>
          <w:sz w:val="19"/>
          <w:szCs w:val="19"/>
        </w:rPr>
        <w:t>，</w:t>
      </w:r>
      <w:r>
        <w:rPr>
          <w:rFonts w:ascii="宋体" w:hAnsi="宋体" w:eastAsia="宋体" w:cs="宋体"/>
          <w:spacing w:val="9"/>
          <w:sz w:val="19"/>
          <w:szCs w:val="19"/>
        </w:rPr>
        <w:t>有的采取直接干预的方式</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有的采取间接干 </w:t>
      </w:r>
      <w:r>
        <w:rPr>
          <w:rFonts w:ascii="宋体" w:hAnsi="宋体" w:eastAsia="宋体" w:cs="宋体"/>
          <w:spacing w:val="16"/>
          <w:sz w:val="19"/>
          <w:szCs w:val="19"/>
        </w:rPr>
        <w:t>预的方式</w:t>
      </w:r>
      <w:r>
        <w:rPr>
          <w:rFonts w:ascii="宋体" w:hAnsi="宋体" w:eastAsia="宋体" w:cs="宋体"/>
          <w:spacing w:val="-53"/>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不管是直接的还是间接的</w:t>
      </w:r>
      <w:r>
        <w:rPr>
          <w:rFonts w:ascii="微软雅黑" w:hAnsi="微软雅黑" w:eastAsia="微软雅黑" w:cs="微软雅黑"/>
          <w:spacing w:val="16"/>
          <w:sz w:val="19"/>
          <w:szCs w:val="19"/>
        </w:rPr>
        <w:t>，</w:t>
      </w:r>
      <w:r>
        <w:rPr>
          <w:rFonts w:ascii="宋体" w:hAnsi="宋体" w:eastAsia="宋体" w:cs="宋体"/>
          <w:spacing w:val="16"/>
          <w:sz w:val="19"/>
          <w:szCs w:val="19"/>
        </w:rPr>
        <w:t>政府对</w:t>
      </w:r>
      <w:r>
        <w:rPr>
          <w:rFonts w:ascii="宋体" w:hAnsi="宋体" w:eastAsia="宋体" w:cs="宋体"/>
          <w:spacing w:val="15"/>
          <w:sz w:val="19"/>
          <w:szCs w:val="19"/>
        </w:rPr>
        <w:t xml:space="preserve">高等 </w:t>
      </w:r>
      <w:r>
        <w:rPr>
          <w:rFonts w:ascii="宋体" w:hAnsi="宋体" w:eastAsia="宋体" w:cs="宋体"/>
          <w:spacing w:val="17"/>
          <w:sz w:val="19"/>
          <w:szCs w:val="19"/>
        </w:rPr>
        <w:t>教育的干预都需要经过高校的转化</w:t>
      </w:r>
      <w:r>
        <w:rPr>
          <w:rFonts w:ascii="微软雅黑" w:hAnsi="微软雅黑" w:eastAsia="微软雅黑" w:cs="微软雅黑"/>
          <w:spacing w:val="17"/>
          <w:sz w:val="19"/>
          <w:szCs w:val="19"/>
        </w:rPr>
        <w:t>，</w:t>
      </w:r>
      <w:r>
        <w:rPr>
          <w:rFonts w:ascii="宋体" w:hAnsi="宋体" w:eastAsia="宋体" w:cs="宋体"/>
          <w:spacing w:val="17"/>
          <w:sz w:val="19"/>
          <w:szCs w:val="19"/>
        </w:rPr>
        <w:t>才能真正影响 高等教育</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政府所倡导的质量价值和要求才能指导 </w:t>
      </w:r>
      <w:r>
        <w:rPr>
          <w:rFonts w:ascii="宋体" w:hAnsi="宋体" w:eastAsia="宋体" w:cs="宋体"/>
          <w:spacing w:val="14"/>
          <w:sz w:val="19"/>
          <w:szCs w:val="19"/>
        </w:rPr>
        <w:t>高等教育活动</w:t>
      </w:r>
      <w:r>
        <w:rPr>
          <w:rFonts w:ascii="微软雅黑" w:hAnsi="微软雅黑" w:eastAsia="微软雅黑" w:cs="微软雅黑"/>
          <w:spacing w:val="14"/>
          <w:sz w:val="19"/>
          <w:szCs w:val="19"/>
        </w:rPr>
        <w:t>，</w:t>
      </w:r>
      <w:r>
        <w:rPr>
          <w:rFonts w:ascii="宋体" w:hAnsi="宋体" w:eastAsia="宋体" w:cs="宋体"/>
          <w:spacing w:val="14"/>
          <w:sz w:val="19"/>
          <w:szCs w:val="19"/>
        </w:rPr>
        <w:t>从而融入高等教育质量文化</w:t>
      </w:r>
      <w:r>
        <w:rPr>
          <w:rFonts w:ascii="微软雅黑" w:hAnsi="微软雅黑" w:eastAsia="微软雅黑" w:cs="微软雅黑"/>
          <w:spacing w:val="14"/>
          <w:sz w:val="19"/>
          <w:szCs w:val="19"/>
        </w:rPr>
        <w:t>。</w:t>
      </w:r>
    </w:p>
    <w:p>
      <w:pPr>
        <w:tabs>
          <w:tab w:val="left" w:pos="900"/>
        </w:tabs>
        <w:spacing w:before="66" w:line="223" w:lineRule="auto"/>
        <w:ind w:left="732" w:right="266" w:firstLine="423"/>
        <w:rPr>
          <w:rFonts w:ascii="微软雅黑" w:hAnsi="微软雅黑" w:eastAsia="微软雅黑" w:cs="微软雅黑"/>
          <w:sz w:val="19"/>
          <w:szCs w:val="19"/>
        </w:rPr>
      </w:pPr>
      <w:r>
        <w:rPr>
          <w:rFonts w:ascii="宋体" w:hAnsi="宋体" w:eastAsia="宋体" w:cs="宋体"/>
          <w:spacing w:val="15"/>
          <w:sz w:val="19"/>
          <w:szCs w:val="19"/>
        </w:rPr>
        <w:t>高校是高等教育质量文化的温床</w:t>
      </w:r>
      <w:r>
        <w:rPr>
          <w:rFonts w:ascii="宋体" w:hAnsi="宋体" w:eastAsia="宋体" w:cs="宋体"/>
          <w:spacing w:val="-48"/>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高校是高等 </w:t>
      </w:r>
      <w:r>
        <w:rPr>
          <w:rFonts w:ascii="宋体" w:hAnsi="宋体" w:eastAsia="宋体" w:cs="宋体"/>
          <w:spacing w:val="17"/>
          <w:sz w:val="19"/>
          <w:szCs w:val="19"/>
        </w:rPr>
        <w:t>教育的社会建制</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高等教育所赖以发挥功能的学科 </w:t>
      </w:r>
      <w:r>
        <w:rPr>
          <w:rFonts w:ascii="宋体" w:hAnsi="宋体" w:eastAsia="宋体" w:cs="宋体"/>
          <w:spacing w:val="9"/>
          <w:sz w:val="19"/>
          <w:szCs w:val="19"/>
        </w:rPr>
        <w:t>专业是由高校创建的</w:t>
      </w:r>
      <w:r>
        <w:rPr>
          <w:rFonts w:ascii="微软雅黑" w:hAnsi="微软雅黑" w:eastAsia="微软雅黑" w:cs="微软雅黑"/>
          <w:spacing w:val="9"/>
          <w:sz w:val="19"/>
          <w:szCs w:val="19"/>
        </w:rPr>
        <w:t>，</w:t>
      </w:r>
      <w:r>
        <w:rPr>
          <w:rFonts w:ascii="宋体" w:hAnsi="宋体" w:eastAsia="宋体" w:cs="宋体"/>
          <w:spacing w:val="9"/>
          <w:sz w:val="19"/>
          <w:szCs w:val="19"/>
        </w:rPr>
        <w:t>教师是由高校聘任的</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学生是 </w:t>
      </w:r>
      <w:r>
        <w:rPr>
          <w:rFonts w:ascii="宋体" w:hAnsi="宋体" w:eastAsia="宋体" w:cs="宋体"/>
          <w:spacing w:val="17"/>
          <w:sz w:val="19"/>
          <w:szCs w:val="19"/>
        </w:rPr>
        <w:t>由高校招收的</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所有人才培养活动都是由高校组织 </w:t>
      </w:r>
      <w:r>
        <w:rPr>
          <w:rFonts w:ascii="宋体" w:hAnsi="宋体" w:eastAsia="宋体" w:cs="宋体"/>
          <w:spacing w:val="15"/>
          <w:sz w:val="19"/>
          <w:szCs w:val="19"/>
        </w:rPr>
        <w:t>或牵头组织开展的</w:t>
      </w:r>
      <w:r>
        <w:rPr>
          <w:rFonts w:ascii="宋体" w:hAnsi="宋体" w:eastAsia="宋体" w:cs="宋体"/>
          <w:spacing w:val="-34"/>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所以</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高等教育质量文化是以 </w:t>
      </w:r>
      <w:r>
        <w:rPr>
          <w:rFonts w:ascii="宋体" w:hAnsi="宋体" w:eastAsia="宋体" w:cs="宋体"/>
          <w:spacing w:val="17"/>
          <w:sz w:val="19"/>
          <w:szCs w:val="19"/>
        </w:rPr>
        <w:t>高校为组织单元发展起来的</w:t>
      </w:r>
      <w:r>
        <w:rPr>
          <w:rFonts w:ascii="微软雅黑" w:hAnsi="微软雅黑" w:eastAsia="微软雅黑" w:cs="微软雅黑"/>
          <w:spacing w:val="17"/>
          <w:sz w:val="19"/>
          <w:szCs w:val="19"/>
        </w:rPr>
        <w:t>，</w:t>
      </w:r>
      <w:r>
        <w:rPr>
          <w:rFonts w:ascii="宋体" w:hAnsi="宋体" w:eastAsia="宋体" w:cs="宋体"/>
          <w:spacing w:val="17"/>
          <w:sz w:val="19"/>
          <w:szCs w:val="19"/>
        </w:rPr>
        <w:t>包括政府在内的所有 社会组织对高等教育质量的影响</w:t>
      </w:r>
      <w:r>
        <w:rPr>
          <w:rFonts w:ascii="微软雅黑" w:hAnsi="微软雅黑" w:eastAsia="微软雅黑" w:cs="微软雅黑"/>
          <w:spacing w:val="17"/>
          <w:sz w:val="19"/>
          <w:szCs w:val="19"/>
        </w:rPr>
        <w:t>，</w:t>
      </w:r>
      <w:r>
        <w:rPr>
          <w:rFonts w:ascii="宋体" w:hAnsi="宋体" w:eastAsia="宋体" w:cs="宋体"/>
          <w:spacing w:val="17"/>
          <w:sz w:val="19"/>
          <w:szCs w:val="19"/>
        </w:rPr>
        <w:t>都需要经过高校 筛选才能内化到学校组织文化中去</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成为高等教育 </w:t>
      </w:r>
      <w:r>
        <w:rPr>
          <w:rFonts w:ascii="宋体" w:hAnsi="宋体" w:eastAsia="宋体" w:cs="宋体"/>
          <w:spacing w:val="15"/>
          <w:sz w:val="19"/>
          <w:szCs w:val="19"/>
        </w:rPr>
        <w:t>质量文化的有机组成部分</w:t>
      </w:r>
      <w:r>
        <w:rPr>
          <w:rFonts w:ascii="宋体" w:hAnsi="宋体" w:eastAsia="宋体" w:cs="宋体"/>
          <w:spacing w:val="-34"/>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从这个意义上讲</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高校 </w:t>
      </w:r>
      <w:r>
        <w:rPr>
          <w:rFonts w:ascii="宋体" w:hAnsi="宋体" w:eastAsia="宋体" w:cs="宋体"/>
          <w:spacing w:val="22"/>
          <w:sz w:val="19"/>
          <w:szCs w:val="19"/>
        </w:rPr>
        <w:t>的高等教育质量文化并非只有高校一个原生</w:t>
      </w:r>
      <w:r>
        <w:rPr>
          <w:rFonts w:ascii="宋体" w:hAnsi="宋体" w:eastAsia="宋体" w:cs="宋体"/>
          <w:spacing w:val="21"/>
          <w:sz w:val="19"/>
          <w:szCs w:val="19"/>
        </w:rPr>
        <w:t>源流</w:t>
      </w:r>
      <w:r>
        <w:rPr>
          <w:rFonts w:ascii="微软雅黑" w:hAnsi="微软雅黑" w:eastAsia="微软雅黑" w:cs="微软雅黑"/>
          <w:spacing w:val="21"/>
          <w:sz w:val="19"/>
          <w:szCs w:val="19"/>
        </w:rPr>
        <w:t>，</w:t>
      </w:r>
      <w:r>
        <w:rPr>
          <w:rFonts w:ascii="微软雅黑" w:hAnsi="微软雅黑" w:eastAsia="微软雅黑" w:cs="微软雅黑"/>
          <w:sz w:val="19"/>
          <w:szCs w:val="19"/>
        </w:rPr>
        <w:t xml:space="preserve"> </w:t>
      </w:r>
      <w:r>
        <w:rPr>
          <w:rFonts w:ascii="微软雅黑" w:hAnsi="微软雅黑" w:eastAsia="微软雅黑" w:cs="微软雅黑"/>
          <w:position w:val="1"/>
          <w:sz w:val="19"/>
          <w:szCs w:val="19"/>
        </w:rPr>
        <w:tab/>
      </w:r>
      <w:r>
        <w:rPr>
          <w:rFonts w:ascii="微软雅黑" w:hAnsi="微软雅黑" w:eastAsia="微软雅黑" w:cs="微软雅黑"/>
          <w:spacing w:val="-10"/>
          <w:position w:val="1"/>
          <w:sz w:val="19"/>
          <w:szCs w:val="19"/>
        </w:rPr>
        <w:t>·</w:t>
      </w:r>
      <w:r>
        <w:rPr>
          <w:rFonts w:ascii="微软雅黑" w:hAnsi="微软雅黑" w:eastAsia="微软雅黑" w:cs="微软雅黑"/>
          <w:spacing w:val="22"/>
          <w:position w:val="1"/>
          <w:sz w:val="19"/>
          <w:szCs w:val="19"/>
        </w:rPr>
        <w:t xml:space="preserve">  </w:t>
      </w:r>
      <w:r>
        <w:rPr>
          <w:rFonts w:ascii="Arial" w:hAnsi="Arial" w:eastAsia="Arial" w:cs="Arial"/>
          <w:spacing w:val="-10"/>
          <w:position w:val="-1"/>
          <w:sz w:val="19"/>
          <w:szCs w:val="19"/>
        </w:rPr>
        <w:t>10</w:t>
      </w:r>
      <w:r>
        <w:rPr>
          <w:rFonts w:ascii="Arial" w:hAnsi="Arial" w:eastAsia="Arial" w:cs="Arial"/>
          <w:spacing w:val="21"/>
          <w:w w:val="101"/>
          <w:position w:val="-1"/>
          <w:sz w:val="19"/>
          <w:szCs w:val="19"/>
        </w:rPr>
        <w:t xml:space="preserve">  </w:t>
      </w:r>
      <w:r>
        <w:rPr>
          <w:rFonts w:ascii="微软雅黑" w:hAnsi="微软雅黑" w:eastAsia="微软雅黑" w:cs="微软雅黑"/>
          <w:spacing w:val="-10"/>
          <w:position w:val="1"/>
          <w:sz w:val="19"/>
          <w:szCs w:val="19"/>
        </w:rPr>
        <w:t>·</w:t>
      </w:r>
    </w:p>
    <w:p>
      <w:pPr>
        <w:spacing w:line="14" w:lineRule="auto"/>
        <w:rPr>
          <w:rFonts w:ascii="Arial"/>
          <w:sz w:val="2"/>
        </w:rPr>
      </w:pPr>
      <w:r>
        <w:rPr>
          <w:rFonts w:ascii="Arial" w:hAnsi="Arial" w:eastAsia="Arial" w:cs="Arial"/>
          <w:sz w:val="2"/>
          <w:szCs w:val="2"/>
        </w:rPr>
        <w:br w:type="column"/>
      </w:r>
    </w:p>
    <w:p>
      <w:pPr>
        <w:spacing w:before="37" w:line="184" w:lineRule="auto"/>
        <w:ind w:left="6"/>
        <w:rPr>
          <w:rFonts w:ascii="微软雅黑" w:hAnsi="微软雅黑" w:eastAsia="微软雅黑" w:cs="微软雅黑"/>
          <w:sz w:val="19"/>
          <w:szCs w:val="19"/>
        </w:rPr>
      </w:pPr>
      <w:r>
        <w:rPr>
          <w:rFonts w:ascii="宋体" w:hAnsi="宋体" w:eastAsia="宋体" w:cs="宋体"/>
          <w:spacing w:val="17"/>
          <w:sz w:val="19"/>
          <w:szCs w:val="19"/>
        </w:rPr>
        <w:t>而是具有多源性</w:t>
      </w:r>
      <w:r>
        <w:rPr>
          <w:rFonts w:ascii="微软雅黑" w:hAnsi="微软雅黑" w:eastAsia="微软雅黑" w:cs="微软雅黑"/>
          <w:spacing w:val="17"/>
          <w:sz w:val="19"/>
          <w:szCs w:val="19"/>
        </w:rPr>
        <w:t>。</w:t>
      </w:r>
    </w:p>
    <w:p>
      <w:pPr>
        <w:spacing w:before="63" w:line="178" w:lineRule="auto"/>
        <w:ind w:left="438"/>
        <w:rPr>
          <w:rFonts w:ascii="微软雅黑" w:hAnsi="微软雅黑" w:eastAsia="微软雅黑" w:cs="微软雅黑"/>
          <w:sz w:val="19"/>
          <w:szCs w:val="19"/>
        </w:rPr>
      </w:pPr>
      <w:r>
        <w:rPr>
          <w:rFonts w:ascii="微软雅黑" w:hAnsi="微软雅黑" w:eastAsia="微软雅黑" w:cs="微软雅黑"/>
          <w:spacing w:val="17"/>
          <w:sz w:val="19"/>
          <w:szCs w:val="19"/>
        </w:rPr>
        <w:t>(</w:t>
      </w:r>
      <w:r>
        <w:rPr>
          <w:rFonts w:ascii="Arial" w:hAnsi="Arial" w:eastAsia="Arial" w:cs="Arial"/>
          <w:spacing w:val="17"/>
          <w:sz w:val="19"/>
          <w:szCs w:val="19"/>
        </w:rPr>
        <w:t>3</w:t>
      </w:r>
      <w:r>
        <w:rPr>
          <w:rFonts w:ascii="微软雅黑" w:hAnsi="微软雅黑" w:eastAsia="微软雅黑" w:cs="微软雅黑"/>
          <w:spacing w:val="17"/>
          <w:sz w:val="19"/>
          <w:szCs w:val="19"/>
        </w:rPr>
        <w:t>)</w:t>
      </w:r>
      <w:r>
        <w:rPr>
          <w:rFonts w:ascii="微软雅黑" w:hAnsi="微软雅黑" w:eastAsia="微软雅黑" w:cs="微软雅黑"/>
          <w:spacing w:val="-6"/>
          <w:sz w:val="19"/>
          <w:szCs w:val="19"/>
        </w:rPr>
        <w:t xml:space="preserve"> </w:t>
      </w:r>
      <w:r>
        <w:rPr>
          <w:rFonts w:ascii="宋体" w:hAnsi="宋体" w:eastAsia="宋体" w:cs="宋体"/>
          <w:spacing w:val="17"/>
          <w:sz w:val="19"/>
          <w:szCs w:val="19"/>
        </w:rPr>
        <w:t>师生是高等教育质量文化的直接创造者</w:t>
      </w:r>
      <w:r>
        <w:rPr>
          <w:rFonts w:ascii="微软雅黑" w:hAnsi="微软雅黑" w:eastAsia="微软雅黑" w:cs="微软雅黑"/>
          <w:spacing w:val="17"/>
          <w:sz w:val="19"/>
          <w:szCs w:val="19"/>
        </w:rPr>
        <w:t>。</w:t>
      </w:r>
    </w:p>
    <w:p>
      <w:pPr>
        <w:spacing w:before="80" w:line="228" w:lineRule="auto"/>
        <w:ind w:firstLine="425"/>
        <w:rPr>
          <w:rFonts w:ascii="微软雅黑" w:hAnsi="微软雅黑" w:eastAsia="微软雅黑" w:cs="微软雅黑"/>
          <w:sz w:val="19"/>
          <w:szCs w:val="19"/>
        </w:rPr>
      </w:pPr>
      <w:r>
        <w:rPr>
          <w:rFonts w:ascii="宋体" w:hAnsi="宋体" w:eastAsia="宋体" w:cs="宋体"/>
          <w:spacing w:val="17"/>
          <w:sz w:val="19"/>
          <w:szCs w:val="19"/>
        </w:rPr>
        <w:t>高等教育质量的本意在于人才培养质量</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主要 </w:t>
      </w:r>
      <w:r>
        <w:rPr>
          <w:rFonts w:ascii="宋体" w:hAnsi="宋体" w:eastAsia="宋体" w:cs="宋体"/>
          <w:spacing w:val="15"/>
          <w:sz w:val="19"/>
          <w:szCs w:val="19"/>
        </w:rPr>
        <w:t>体现在学生的成长和发展上</w:t>
      </w:r>
      <w:r>
        <w:rPr>
          <w:rFonts w:ascii="宋体" w:hAnsi="宋体" w:eastAsia="宋体" w:cs="宋体"/>
          <w:spacing w:val="-33"/>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师生的教育教学活动 </w:t>
      </w:r>
      <w:r>
        <w:rPr>
          <w:rFonts w:ascii="宋体" w:hAnsi="宋体" w:eastAsia="宋体" w:cs="宋体"/>
          <w:spacing w:val="17"/>
          <w:sz w:val="19"/>
          <w:szCs w:val="19"/>
        </w:rPr>
        <w:t>不仅成就了学生的发展</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而且他们的活动印记成为 </w:t>
      </w:r>
      <w:r>
        <w:rPr>
          <w:rFonts w:ascii="宋体" w:hAnsi="宋体" w:eastAsia="宋体" w:cs="宋体"/>
          <w:spacing w:val="15"/>
          <w:sz w:val="19"/>
          <w:szCs w:val="19"/>
        </w:rPr>
        <w:t>高等教育质量文化的源泉</w:t>
      </w:r>
      <w:r>
        <w:rPr>
          <w:rFonts w:ascii="宋体" w:hAnsi="宋体" w:eastAsia="宋体" w:cs="宋体"/>
          <w:spacing w:val="-33"/>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在高校本科教育教学评 </w:t>
      </w:r>
      <w:r>
        <w:rPr>
          <w:rFonts w:ascii="宋体" w:hAnsi="宋体" w:eastAsia="宋体" w:cs="宋体"/>
          <w:spacing w:val="17"/>
          <w:sz w:val="19"/>
          <w:szCs w:val="19"/>
        </w:rPr>
        <w:t>估中</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查阅教学档案是人们了解高等教育质量的重 </w:t>
      </w:r>
      <w:r>
        <w:rPr>
          <w:rFonts w:ascii="宋体" w:hAnsi="宋体" w:eastAsia="宋体" w:cs="宋体"/>
          <w:spacing w:val="1"/>
          <w:sz w:val="19"/>
          <w:szCs w:val="19"/>
        </w:rPr>
        <w:t>要路径</w:t>
      </w:r>
      <w:r>
        <w:rPr>
          <w:rFonts w:ascii="微软雅黑" w:hAnsi="微软雅黑" w:eastAsia="微软雅黑" w:cs="微软雅黑"/>
          <w:spacing w:val="1"/>
          <w:sz w:val="19"/>
          <w:szCs w:val="19"/>
        </w:rPr>
        <w:t>，</w:t>
      </w:r>
      <w:r>
        <w:rPr>
          <w:rFonts w:ascii="宋体" w:hAnsi="宋体" w:eastAsia="宋体" w:cs="宋体"/>
          <w:spacing w:val="1"/>
          <w:sz w:val="19"/>
          <w:szCs w:val="19"/>
        </w:rPr>
        <w:t>比如</w:t>
      </w:r>
      <w:r>
        <w:rPr>
          <w:rFonts w:ascii="微软雅黑" w:hAnsi="微软雅黑" w:eastAsia="微软雅黑" w:cs="微软雅黑"/>
          <w:spacing w:val="1"/>
          <w:sz w:val="19"/>
          <w:szCs w:val="19"/>
        </w:rPr>
        <w:t>，</w:t>
      </w:r>
      <w:r>
        <w:rPr>
          <w:rFonts w:ascii="宋体" w:hAnsi="宋体" w:eastAsia="宋体" w:cs="宋体"/>
          <w:spacing w:val="1"/>
          <w:sz w:val="19"/>
          <w:szCs w:val="19"/>
        </w:rPr>
        <w:t>教学大纲</w:t>
      </w:r>
      <w:r>
        <w:rPr>
          <w:rFonts w:ascii="微软雅黑" w:hAnsi="微软雅黑" w:eastAsia="微软雅黑" w:cs="微软雅黑"/>
          <w:spacing w:val="1"/>
          <w:sz w:val="19"/>
          <w:szCs w:val="19"/>
        </w:rPr>
        <w:t>、</w:t>
      </w:r>
      <w:r>
        <w:rPr>
          <w:rFonts w:ascii="宋体" w:hAnsi="宋体" w:eastAsia="宋体" w:cs="宋体"/>
          <w:spacing w:val="1"/>
          <w:sz w:val="19"/>
          <w:szCs w:val="19"/>
        </w:rPr>
        <w:t>实验手册</w:t>
      </w:r>
      <w:r>
        <w:rPr>
          <w:rFonts w:ascii="微软雅黑" w:hAnsi="微软雅黑" w:eastAsia="微软雅黑" w:cs="微软雅黑"/>
          <w:spacing w:val="1"/>
          <w:sz w:val="19"/>
          <w:szCs w:val="19"/>
        </w:rPr>
        <w:t>、</w:t>
      </w:r>
      <w:r>
        <w:rPr>
          <w:rFonts w:ascii="宋体" w:hAnsi="宋体" w:eastAsia="宋体" w:cs="宋体"/>
          <w:spacing w:val="1"/>
          <w:sz w:val="19"/>
          <w:szCs w:val="19"/>
        </w:rPr>
        <w:t>学生试卷</w:t>
      </w:r>
      <w:r>
        <w:rPr>
          <w:rFonts w:ascii="微软雅黑" w:hAnsi="微软雅黑" w:eastAsia="微软雅黑" w:cs="微软雅黑"/>
          <w:spacing w:val="1"/>
          <w:sz w:val="19"/>
          <w:szCs w:val="19"/>
        </w:rPr>
        <w:t>、</w:t>
      </w:r>
      <w:r>
        <w:rPr>
          <w:rFonts w:ascii="宋体" w:hAnsi="宋体" w:eastAsia="宋体" w:cs="宋体"/>
          <w:spacing w:val="1"/>
          <w:sz w:val="19"/>
          <w:szCs w:val="19"/>
        </w:rPr>
        <w:t xml:space="preserve">毕业 </w:t>
      </w:r>
      <w:r>
        <w:rPr>
          <w:rFonts w:ascii="宋体" w:hAnsi="宋体" w:eastAsia="宋体" w:cs="宋体"/>
          <w:spacing w:val="9"/>
          <w:sz w:val="19"/>
          <w:szCs w:val="19"/>
        </w:rPr>
        <w:t>论文</w:t>
      </w:r>
      <w:r>
        <w:rPr>
          <w:rFonts w:ascii="微软雅黑" w:hAnsi="微软雅黑" w:eastAsia="微软雅黑" w:cs="微软雅黑"/>
          <w:spacing w:val="9"/>
          <w:sz w:val="19"/>
          <w:szCs w:val="19"/>
        </w:rPr>
        <w:t>（</w:t>
      </w:r>
      <w:r>
        <w:rPr>
          <w:rFonts w:ascii="宋体" w:hAnsi="宋体" w:eastAsia="宋体" w:cs="宋体"/>
          <w:spacing w:val="9"/>
          <w:sz w:val="19"/>
          <w:szCs w:val="19"/>
        </w:rPr>
        <w:t>设计</w:t>
      </w:r>
      <w:r>
        <w:rPr>
          <w:rFonts w:ascii="微软雅黑" w:hAnsi="微软雅黑" w:eastAsia="微软雅黑" w:cs="微软雅黑"/>
          <w:spacing w:val="9"/>
          <w:sz w:val="19"/>
          <w:szCs w:val="19"/>
        </w:rPr>
        <w:t>）</w:t>
      </w:r>
      <w:r>
        <w:rPr>
          <w:rFonts w:ascii="宋体" w:hAnsi="宋体" w:eastAsia="宋体" w:cs="宋体"/>
          <w:spacing w:val="9"/>
          <w:sz w:val="19"/>
          <w:szCs w:val="19"/>
        </w:rPr>
        <w:t>等档案资料是反映高等教育质量的历史 文献</w:t>
      </w:r>
      <w:r>
        <w:rPr>
          <w:rFonts w:ascii="微软雅黑" w:hAnsi="微软雅黑" w:eastAsia="微软雅黑" w:cs="微软雅黑"/>
          <w:spacing w:val="9"/>
          <w:sz w:val="19"/>
          <w:szCs w:val="19"/>
        </w:rPr>
        <w:t>，</w:t>
      </w:r>
      <w:r>
        <w:rPr>
          <w:rFonts w:ascii="宋体" w:hAnsi="宋体" w:eastAsia="宋体" w:cs="宋体"/>
          <w:spacing w:val="9"/>
          <w:sz w:val="19"/>
          <w:szCs w:val="19"/>
        </w:rPr>
        <w:t>查阅这些资料可以了解人才培养过程情况</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窥 </w:t>
      </w:r>
      <w:r>
        <w:rPr>
          <w:rFonts w:ascii="宋体" w:hAnsi="宋体" w:eastAsia="宋体" w:cs="宋体"/>
          <w:spacing w:val="16"/>
          <w:sz w:val="19"/>
          <w:szCs w:val="19"/>
        </w:rPr>
        <w:t>探高等教育质量特点</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不论是高等教育教学</w:t>
      </w:r>
      <w:r>
        <w:rPr>
          <w:rFonts w:ascii="宋体" w:hAnsi="宋体" w:eastAsia="宋体" w:cs="宋体"/>
          <w:spacing w:val="15"/>
          <w:sz w:val="19"/>
          <w:szCs w:val="19"/>
        </w:rPr>
        <w:t xml:space="preserve">活动还 </w:t>
      </w:r>
      <w:r>
        <w:rPr>
          <w:rFonts w:ascii="宋体" w:hAnsi="宋体" w:eastAsia="宋体" w:cs="宋体"/>
          <w:spacing w:val="9"/>
          <w:sz w:val="19"/>
          <w:szCs w:val="19"/>
        </w:rPr>
        <w:t>是教育教学档案资料</w:t>
      </w:r>
      <w:r>
        <w:rPr>
          <w:rFonts w:ascii="微软雅黑" w:hAnsi="微软雅黑" w:eastAsia="微软雅黑" w:cs="微软雅黑"/>
          <w:spacing w:val="9"/>
          <w:sz w:val="19"/>
          <w:szCs w:val="19"/>
        </w:rPr>
        <w:t>，</w:t>
      </w:r>
      <w:r>
        <w:rPr>
          <w:rFonts w:ascii="宋体" w:hAnsi="宋体" w:eastAsia="宋体" w:cs="宋体"/>
          <w:spacing w:val="9"/>
          <w:sz w:val="19"/>
          <w:szCs w:val="19"/>
        </w:rPr>
        <w:t>都是高校师生的杰作</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是他们 </w:t>
      </w:r>
      <w:r>
        <w:rPr>
          <w:rFonts w:ascii="宋体" w:hAnsi="宋体" w:eastAsia="宋体" w:cs="宋体"/>
          <w:spacing w:val="19"/>
          <w:sz w:val="19"/>
          <w:szCs w:val="19"/>
        </w:rPr>
        <w:t>对高等教育质量文化作出的贡献</w:t>
      </w:r>
      <w:r>
        <w:rPr>
          <w:rFonts w:ascii="宋体" w:hAnsi="宋体" w:eastAsia="宋体" w:cs="宋体"/>
          <w:spacing w:val="-52"/>
          <w:sz w:val="19"/>
          <w:szCs w:val="19"/>
        </w:rPr>
        <w:t xml:space="preserve"> </w:t>
      </w:r>
      <w:r>
        <w:rPr>
          <w:rFonts w:ascii="微软雅黑" w:hAnsi="微软雅黑" w:eastAsia="微软雅黑" w:cs="微软雅黑"/>
          <w:spacing w:val="19"/>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19"/>
          <w:sz w:val="19"/>
          <w:szCs w:val="19"/>
        </w:rPr>
        <w:t>毫不夸张地说</w:t>
      </w:r>
      <w:r>
        <w:rPr>
          <w:rFonts w:ascii="微软雅黑" w:hAnsi="微软雅黑" w:eastAsia="微软雅黑" w:cs="微软雅黑"/>
          <w:spacing w:val="19"/>
          <w:sz w:val="19"/>
          <w:szCs w:val="19"/>
        </w:rPr>
        <w:t>，</w:t>
      </w:r>
      <w:r>
        <w:rPr>
          <w:rFonts w:ascii="微软雅黑" w:hAnsi="微软雅黑" w:eastAsia="微软雅黑" w:cs="微软雅黑"/>
          <w:sz w:val="19"/>
          <w:szCs w:val="19"/>
        </w:rPr>
        <w:t xml:space="preserve"> </w:t>
      </w:r>
      <w:r>
        <w:rPr>
          <w:rFonts w:ascii="宋体" w:hAnsi="宋体" w:eastAsia="宋体" w:cs="宋体"/>
          <w:spacing w:val="17"/>
          <w:sz w:val="19"/>
          <w:szCs w:val="19"/>
        </w:rPr>
        <w:t>是师生创造了高等教育文化</w:t>
      </w:r>
      <w:r>
        <w:rPr>
          <w:rFonts w:ascii="微软雅黑" w:hAnsi="微软雅黑" w:eastAsia="微软雅黑" w:cs="微软雅黑"/>
          <w:spacing w:val="17"/>
          <w:sz w:val="19"/>
          <w:szCs w:val="19"/>
        </w:rPr>
        <w:t>，</w:t>
      </w:r>
      <w:r>
        <w:rPr>
          <w:rFonts w:ascii="宋体" w:hAnsi="宋体" w:eastAsia="宋体" w:cs="宋体"/>
          <w:spacing w:val="17"/>
          <w:sz w:val="19"/>
          <w:szCs w:val="19"/>
        </w:rPr>
        <w:t>其他主体可以影响高 等教育质量文化的形成和发展</w:t>
      </w:r>
      <w:r>
        <w:rPr>
          <w:rFonts w:ascii="微软雅黑" w:hAnsi="微软雅黑" w:eastAsia="微软雅黑" w:cs="微软雅黑"/>
          <w:spacing w:val="17"/>
          <w:sz w:val="19"/>
          <w:szCs w:val="19"/>
        </w:rPr>
        <w:t>，</w:t>
      </w:r>
      <w:r>
        <w:rPr>
          <w:rFonts w:ascii="宋体" w:hAnsi="宋体" w:eastAsia="宋体" w:cs="宋体"/>
          <w:spacing w:val="17"/>
          <w:sz w:val="19"/>
          <w:szCs w:val="19"/>
        </w:rPr>
        <w:t>为质量文化作出不 可或缺的贡献</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但他们在质量文化形成和发展中的 </w:t>
      </w:r>
      <w:r>
        <w:rPr>
          <w:rFonts w:ascii="宋体" w:hAnsi="宋体" w:eastAsia="宋体" w:cs="宋体"/>
          <w:spacing w:val="19"/>
          <w:sz w:val="19"/>
          <w:szCs w:val="19"/>
        </w:rPr>
        <w:t>角色与作用不可与师生相提并论</w:t>
      </w:r>
      <w:r>
        <w:rPr>
          <w:rFonts w:ascii="微软雅黑" w:hAnsi="微软雅黑" w:eastAsia="微软雅黑" w:cs="微软雅黑"/>
          <w:spacing w:val="19"/>
          <w:sz w:val="19"/>
          <w:szCs w:val="19"/>
        </w:rPr>
        <w:t>。</w:t>
      </w:r>
    </w:p>
    <w:p>
      <w:pPr>
        <w:spacing w:before="55" w:line="229" w:lineRule="auto"/>
        <w:ind w:right="69" w:firstLine="424"/>
        <w:rPr>
          <w:rFonts w:ascii="微软雅黑" w:hAnsi="微软雅黑" w:eastAsia="微软雅黑" w:cs="微软雅黑"/>
          <w:sz w:val="19"/>
          <w:szCs w:val="19"/>
        </w:rPr>
      </w:pPr>
      <w:r>
        <w:rPr>
          <w:rFonts w:ascii="宋体" w:hAnsi="宋体" w:eastAsia="宋体" w:cs="宋体"/>
          <w:spacing w:val="16"/>
          <w:sz w:val="19"/>
          <w:szCs w:val="19"/>
        </w:rPr>
        <w:t>师生是高等教育质量文化的缔造者</w:t>
      </w:r>
      <w:r>
        <w:rPr>
          <w:rFonts w:ascii="宋体" w:hAnsi="宋体" w:eastAsia="宋体" w:cs="宋体"/>
          <w:spacing w:val="-47"/>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文化的形</w:t>
      </w:r>
      <w:r>
        <w:rPr>
          <w:rFonts w:ascii="宋体" w:hAnsi="宋体" w:eastAsia="宋体" w:cs="宋体"/>
          <w:sz w:val="19"/>
          <w:szCs w:val="19"/>
        </w:rPr>
        <w:t xml:space="preserve"> </w:t>
      </w:r>
      <w:r>
        <w:rPr>
          <w:rFonts w:ascii="宋体" w:hAnsi="宋体" w:eastAsia="宋体" w:cs="宋体"/>
          <w:spacing w:val="9"/>
          <w:sz w:val="19"/>
          <w:szCs w:val="19"/>
        </w:rPr>
        <w:t>成和发展不是暴风骤雨式的</w:t>
      </w:r>
      <w:r>
        <w:rPr>
          <w:rFonts w:ascii="微软雅黑" w:hAnsi="微软雅黑" w:eastAsia="微软雅黑" w:cs="微软雅黑"/>
          <w:spacing w:val="9"/>
          <w:sz w:val="19"/>
          <w:szCs w:val="19"/>
        </w:rPr>
        <w:t>，</w:t>
      </w:r>
      <w:r>
        <w:rPr>
          <w:rFonts w:ascii="宋体" w:hAnsi="宋体" w:eastAsia="宋体" w:cs="宋体"/>
          <w:spacing w:val="9"/>
          <w:sz w:val="19"/>
          <w:szCs w:val="19"/>
        </w:rPr>
        <w:t>而是春风拂面</w:t>
      </w:r>
      <w:r>
        <w:rPr>
          <w:rFonts w:ascii="微软雅黑" w:hAnsi="微软雅黑" w:eastAsia="微软雅黑" w:cs="微软雅黑"/>
          <w:spacing w:val="9"/>
          <w:sz w:val="19"/>
          <w:szCs w:val="19"/>
        </w:rPr>
        <w:t>、</w:t>
      </w:r>
      <w:r>
        <w:rPr>
          <w:rFonts w:ascii="宋体" w:hAnsi="宋体" w:eastAsia="宋体" w:cs="宋体"/>
          <w:spacing w:val="9"/>
          <w:sz w:val="19"/>
          <w:szCs w:val="19"/>
        </w:rPr>
        <w:t>润物无</w:t>
      </w:r>
      <w:r>
        <w:rPr>
          <w:rFonts w:ascii="宋体" w:hAnsi="宋体" w:eastAsia="宋体" w:cs="宋体"/>
          <w:spacing w:val="15"/>
          <w:sz w:val="19"/>
          <w:szCs w:val="19"/>
        </w:rPr>
        <w:t xml:space="preserve"> </w:t>
      </w:r>
      <w:r>
        <w:rPr>
          <w:rFonts w:ascii="宋体" w:hAnsi="宋体" w:eastAsia="宋体" w:cs="宋体"/>
          <w:spacing w:val="14"/>
          <w:sz w:val="19"/>
          <w:szCs w:val="19"/>
        </w:rPr>
        <w:t>声式的</w:t>
      </w:r>
      <w:r>
        <w:rPr>
          <w:rFonts w:ascii="微软雅黑" w:hAnsi="微软雅黑" w:eastAsia="微软雅黑" w:cs="微软雅黑"/>
          <w:spacing w:val="14"/>
          <w:sz w:val="19"/>
          <w:szCs w:val="19"/>
        </w:rPr>
        <w:t>，</w:t>
      </w:r>
      <w:r>
        <w:rPr>
          <w:rFonts w:ascii="宋体" w:hAnsi="宋体" w:eastAsia="宋体" w:cs="宋体"/>
          <w:spacing w:val="14"/>
          <w:sz w:val="19"/>
          <w:szCs w:val="19"/>
        </w:rPr>
        <w:t>在高等教育发展</w:t>
      </w:r>
      <w:r>
        <w:rPr>
          <w:rFonts w:ascii="宋体" w:hAnsi="宋体" w:eastAsia="宋体" w:cs="宋体"/>
          <w:spacing w:val="-40"/>
          <w:sz w:val="19"/>
          <w:szCs w:val="19"/>
        </w:rPr>
        <w:t xml:space="preserve"> </w:t>
      </w:r>
      <w:r>
        <w:rPr>
          <w:rFonts w:ascii="宋体" w:hAnsi="宋体" w:eastAsia="宋体" w:cs="宋体"/>
          <w:spacing w:val="14"/>
          <w:sz w:val="19"/>
          <w:szCs w:val="19"/>
        </w:rPr>
        <w:t>中</w:t>
      </w:r>
      <w:r>
        <w:rPr>
          <w:rFonts w:ascii="微软雅黑" w:hAnsi="微软雅黑" w:eastAsia="微软雅黑" w:cs="微软雅黑"/>
          <w:spacing w:val="14"/>
          <w:sz w:val="19"/>
          <w:szCs w:val="19"/>
        </w:rPr>
        <w:t>，</w:t>
      </w:r>
      <w:r>
        <w:rPr>
          <w:rFonts w:ascii="宋体" w:hAnsi="宋体" w:eastAsia="宋体" w:cs="宋体"/>
          <w:spacing w:val="14"/>
          <w:sz w:val="19"/>
          <w:szCs w:val="19"/>
        </w:rPr>
        <w:t>师生</w:t>
      </w:r>
      <w:r>
        <w:rPr>
          <w:rFonts w:ascii="宋体" w:hAnsi="宋体" w:eastAsia="宋体" w:cs="宋体"/>
          <w:spacing w:val="-46"/>
          <w:sz w:val="19"/>
          <w:szCs w:val="19"/>
        </w:rPr>
        <w:t xml:space="preserve"> </w:t>
      </w:r>
      <w:r>
        <w:rPr>
          <w:rFonts w:ascii="宋体" w:hAnsi="宋体" w:eastAsia="宋体" w:cs="宋体"/>
          <w:spacing w:val="14"/>
          <w:sz w:val="19"/>
          <w:szCs w:val="19"/>
        </w:rPr>
        <w:t>的每一次教学活</w:t>
      </w:r>
      <w:r>
        <w:rPr>
          <w:rFonts w:ascii="宋体" w:hAnsi="宋体" w:eastAsia="宋体" w:cs="宋体"/>
          <w:sz w:val="19"/>
          <w:szCs w:val="19"/>
        </w:rPr>
        <w:t xml:space="preserve"> </w:t>
      </w:r>
      <w:r>
        <w:rPr>
          <w:rFonts w:ascii="宋体" w:hAnsi="宋体" w:eastAsia="宋体" w:cs="宋体"/>
          <w:spacing w:val="9"/>
          <w:sz w:val="19"/>
          <w:szCs w:val="19"/>
        </w:rPr>
        <w:t>动</w:t>
      </w:r>
      <w:r>
        <w:rPr>
          <w:rFonts w:ascii="微软雅黑" w:hAnsi="微软雅黑" w:eastAsia="微软雅黑" w:cs="微软雅黑"/>
          <w:spacing w:val="9"/>
          <w:sz w:val="19"/>
          <w:szCs w:val="19"/>
        </w:rPr>
        <w:t>、</w:t>
      </w:r>
      <w:r>
        <w:rPr>
          <w:rFonts w:ascii="宋体" w:hAnsi="宋体" w:eastAsia="宋体" w:cs="宋体"/>
          <w:spacing w:val="9"/>
          <w:sz w:val="19"/>
          <w:szCs w:val="19"/>
        </w:rPr>
        <w:t>每一次交流互动都具有文化意义</w:t>
      </w:r>
      <w:r>
        <w:rPr>
          <w:rFonts w:ascii="微软雅黑" w:hAnsi="微软雅黑" w:eastAsia="微软雅黑" w:cs="微软雅黑"/>
          <w:spacing w:val="9"/>
          <w:sz w:val="19"/>
          <w:szCs w:val="19"/>
        </w:rPr>
        <w:t>，</w:t>
      </w:r>
      <w:r>
        <w:rPr>
          <w:rFonts w:ascii="宋体" w:hAnsi="宋体" w:eastAsia="宋体" w:cs="宋体"/>
          <w:spacing w:val="9"/>
          <w:sz w:val="19"/>
          <w:szCs w:val="19"/>
        </w:rPr>
        <w:t>师生的行为不</w:t>
      </w:r>
      <w:r>
        <w:rPr>
          <w:rFonts w:ascii="宋体" w:hAnsi="宋体" w:eastAsia="宋体" w:cs="宋体"/>
          <w:spacing w:val="15"/>
          <w:sz w:val="19"/>
          <w:szCs w:val="19"/>
        </w:rPr>
        <w:t xml:space="preserve"> </w:t>
      </w:r>
      <w:r>
        <w:rPr>
          <w:rFonts w:ascii="宋体" w:hAnsi="宋体" w:eastAsia="宋体" w:cs="宋体"/>
          <w:spacing w:val="18"/>
          <w:sz w:val="19"/>
          <w:szCs w:val="19"/>
        </w:rPr>
        <w:t>但是在发现教育的意义</w:t>
      </w:r>
      <w:r>
        <w:rPr>
          <w:rFonts w:ascii="微软雅黑" w:hAnsi="微软雅黑" w:eastAsia="微软雅黑" w:cs="微软雅黑"/>
          <w:spacing w:val="18"/>
          <w:sz w:val="19"/>
          <w:szCs w:val="19"/>
        </w:rPr>
        <w:t>，</w:t>
      </w:r>
      <w:r>
        <w:rPr>
          <w:rFonts w:ascii="宋体" w:hAnsi="宋体" w:eastAsia="宋体" w:cs="宋体"/>
          <w:spacing w:val="18"/>
          <w:sz w:val="19"/>
          <w:szCs w:val="19"/>
        </w:rPr>
        <w:t>而且是在塑造高等教育质</w:t>
      </w:r>
      <w:r>
        <w:rPr>
          <w:rFonts w:ascii="宋体" w:hAnsi="宋体" w:eastAsia="宋体" w:cs="宋体"/>
          <w:spacing w:val="15"/>
          <w:sz w:val="19"/>
          <w:szCs w:val="19"/>
        </w:rPr>
        <w:t xml:space="preserve"> </w:t>
      </w:r>
      <w:r>
        <w:rPr>
          <w:rFonts w:ascii="宋体" w:hAnsi="宋体" w:eastAsia="宋体" w:cs="宋体"/>
          <w:spacing w:val="16"/>
          <w:sz w:val="19"/>
          <w:szCs w:val="19"/>
        </w:rPr>
        <w:t>量文化</w:t>
      </w:r>
      <w:r>
        <w:rPr>
          <w:rFonts w:ascii="宋体" w:hAnsi="宋体" w:eastAsia="宋体" w:cs="宋体"/>
          <w:spacing w:val="-37"/>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师生所践行的高等教育质量价值观可以源</w:t>
      </w:r>
      <w:r>
        <w:rPr>
          <w:rFonts w:ascii="宋体" w:hAnsi="宋体" w:eastAsia="宋体" w:cs="宋体"/>
          <w:sz w:val="19"/>
          <w:szCs w:val="19"/>
        </w:rPr>
        <w:t xml:space="preserve"> </w:t>
      </w:r>
      <w:r>
        <w:rPr>
          <w:rFonts w:ascii="宋体" w:hAnsi="宋体" w:eastAsia="宋体" w:cs="宋体"/>
          <w:spacing w:val="18"/>
          <w:sz w:val="19"/>
          <w:szCs w:val="19"/>
        </w:rPr>
        <w:t>自他们自我的发现和领悟</w:t>
      </w:r>
      <w:r>
        <w:rPr>
          <w:rFonts w:ascii="微软雅黑" w:hAnsi="微软雅黑" w:eastAsia="微软雅黑" w:cs="微软雅黑"/>
          <w:spacing w:val="18"/>
          <w:sz w:val="19"/>
          <w:szCs w:val="19"/>
        </w:rPr>
        <w:t>，</w:t>
      </w:r>
      <w:r>
        <w:rPr>
          <w:rFonts w:ascii="宋体" w:hAnsi="宋体" w:eastAsia="宋体" w:cs="宋体"/>
          <w:spacing w:val="18"/>
          <w:sz w:val="19"/>
          <w:szCs w:val="19"/>
        </w:rPr>
        <w:t>也可以源自高校的办学</w:t>
      </w:r>
      <w:r>
        <w:rPr>
          <w:rFonts w:ascii="宋体" w:hAnsi="宋体" w:eastAsia="宋体" w:cs="宋体"/>
          <w:spacing w:val="15"/>
          <w:sz w:val="19"/>
          <w:szCs w:val="19"/>
        </w:rPr>
        <w:t xml:space="preserve"> </w:t>
      </w:r>
      <w:r>
        <w:rPr>
          <w:rFonts w:ascii="宋体" w:hAnsi="宋体" w:eastAsia="宋体" w:cs="宋体"/>
          <w:spacing w:val="9"/>
          <w:sz w:val="19"/>
          <w:szCs w:val="19"/>
        </w:rPr>
        <w:t>要求</w:t>
      </w:r>
      <w:r>
        <w:rPr>
          <w:rFonts w:ascii="微软雅黑" w:hAnsi="微软雅黑" w:eastAsia="微软雅黑" w:cs="微软雅黑"/>
          <w:spacing w:val="9"/>
          <w:sz w:val="19"/>
          <w:szCs w:val="19"/>
        </w:rPr>
        <w:t>、</w:t>
      </w:r>
      <w:r>
        <w:rPr>
          <w:rFonts w:ascii="宋体" w:hAnsi="宋体" w:eastAsia="宋体" w:cs="宋体"/>
          <w:spacing w:val="9"/>
          <w:sz w:val="19"/>
          <w:szCs w:val="19"/>
        </w:rPr>
        <w:t>政府的政策精神</w:t>
      </w:r>
      <w:r>
        <w:rPr>
          <w:rFonts w:ascii="微软雅黑" w:hAnsi="微软雅黑" w:eastAsia="微软雅黑" w:cs="微软雅黑"/>
          <w:spacing w:val="9"/>
          <w:sz w:val="19"/>
          <w:szCs w:val="19"/>
        </w:rPr>
        <w:t>、</w:t>
      </w:r>
      <w:r>
        <w:rPr>
          <w:rFonts w:ascii="宋体" w:hAnsi="宋体" w:eastAsia="宋体" w:cs="宋体"/>
          <w:spacing w:val="9"/>
          <w:sz w:val="19"/>
          <w:szCs w:val="19"/>
        </w:rPr>
        <w:t>社会其他组织的期望和公共</w:t>
      </w:r>
      <w:r>
        <w:rPr>
          <w:rFonts w:ascii="宋体" w:hAnsi="宋体" w:eastAsia="宋体" w:cs="宋体"/>
          <w:spacing w:val="14"/>
          <w:sz w:val="19"/>
          <w:szCs w:val="19"/>
        </w:rPr>
        <w:t xml:space="preserve"> </w:t>
      </w:r>
      <w:r>
        <w:rPr>
          <w:rFonts w:ascii="宋体" w:hAnsi="宋体" w:eastAsia="宋体" w:cs="宋体"/>
          <w:spacing w:val="16"/>
          <w:sz w:val="19"/>
          <w:szCs w:val="19"/>
        </w:rPr>
        <w:t>舆论的呼吁</w:t>
      </w:r>
      <w:r>
        <w:rPr>
          <w:rFonts w:ascii="宋体" w:hAnsi="宋体" w:eastAsia="宋体" w:cs="宋体"/>
          <w:spacing w:val="-36"/>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这些高等教育价值观只有为师生所认</w:t>
      </w:r>
      <w:r>
        <w:rPr>
          <w:rFonts w:ascii="宋体" w:hAnsi="宋体" w:eastAsia="宋体" w:cs="宋体"/>
          <w:sz w:val="19"/>
          <w:szCs w:val="19"/>
        </w:rPr>
        <w:t xml:space="preserve"> </w:t>
      </w:r>
      <w:r>
        <w:rPr>
          <w:rFonts w:ascii="宋体" w:hAnsi="宋体" w:eastAsia="宋体" w:cs="宋体"/>
          <w:spacing w:val="18"/>
          <w:sz w:val="19"/>
          <w:szCs w:val="19"/>
        </w:rPr>
        <w:t>同并在教育教学活动中得到贯彻落实</w:t>
      </w:r>
      <w:r>
        <w:rPr>
          <w:rFonts w:ascii="微软雅黑" w:hAnsi="微软雅黑" w:eastAsia="微软雅黑" w:cs="微软雅黑"/>
          <w:spacing w:val="18"/>
          <w:sz w:val="19"/>
          <w:szCs w:val="19"/>
        </w:rPr>
        <w:t>，</w:t>
      </w:r>
      <w:r>
        <w:rPr>
          <w:rFonts w:ascii="宋体" w:hAnsi="宋体" w:eastAsia="宋体" w:cs="宋体"/>
          <w:spacing w:val="18"/>
          <w:sz w:val="19"/>
          <w:szCs w:val="19"/>
        </w:rPr>
        <w:t>才可能沉淀</w:t>
      </w:r>
      <w:r>
        <w:rPr>
          <w:rFonts w:ascii="宋体" w:hAnsi="宋体" w:eastAsia="宋体" w:cs="宋体"/>
          <w:spacing w:val="16"/>
          <w:sz w:val="19"/>
          <w:szCs w:val="19"/>
        </w:rPr>
        <w:t xml:space="preserve"> 而成为高等教育质量文化</w:t>
      </w:r>
      <w:r>
        <w:rPr>
          <w:rFonts w:ascii="宋体" w:hAnsi="宋体" w:eastAsia="宋体" w:cs="宋体"/>
          <w:spacing w:val="-35"/>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与高等教育质量文化相</w:t>
      </w:r>
      <w:r>
        <w:rPr>
          <w:rFonts w:ascii="宋体" w:hAnsi="宋体" w:eastAsia="宋体" w:cs="宋体"/>
          <w:sz w:val="19"/>
          <w:szCs w:val="19"/>
        </w:rPr>
        <w:t xml:space="preserve"> </w:t>
      </w:r>
      <w:r>
        <w:rPr>
          <w:rFonts w:ascii="宋体" w:hAnsi="宋体" w:eastAsia="宋体" w:cs="宋体"/>
          <w:spacing w:val="9"/>
          <w:sz w:val="19"/>
          <w:szCs w:val="19"/>
        </w:rPr>
        <w:t>关的自然人群体很多</w:t>
      </w:r>
      <w:r>
        <w:rPr>
          <w:rFonts w:ascii="微软雅黑" w:hAnsi="微软雅黑" w:eastAsia="微软雅黑" w:cs="微软雅黑"/>
          <w:spacing w:val="9"/>
          <w:sz w:val="19"/>
          <w:szCs w:val="19"/>
        </w:rPr>
        <w:t>，</w:t>
      </w:r>
      <w:r>
        <w:rPr>
          <w:rFonts w:ascii="宋体" w:hAnsi="宋体" w:eastAsia="宋体" w:cs="宋体"/>
          <w:spacing w:val="9"/>
          <w:sz w:val="19"/>
          <w:szCs w:val="19"/>
        </w:rPr>
        <w:t>比如</w:t>
      </w:r>
      <w:r>
        <w:rPr>
          <w:rFonts w:ascii="微软雅黑" w:hAnsi="微软雅黑" w:eastAsia="微软雅黑" w:cs="微软雅黑"/>
          <w:spacing w:val="9"/>
          <w:sz w:val="19"/>
          <w:szCs w:val="19"/>
        </w:rPr>
        <w:t>，</w:t>
      </w:r>
      <w:r>
        <w:rPr>
          <w:rFonts w:ascii="宋体" w:hAnsi="宋体" w:eastAsia="宋体" w:cs="宋体"/>
          <w:spacing w:val="9"/>
          <w:sz w:val="19"/>
          <w:szCs w:val="19"/>
        </w:rPr>
        <w:t>政府高等教育主管部门</w:t>
      </w:r>
      <w:r>
        <w:rPr>
          <w:rFonts w:ascii="宋体" w:hAnsi="宋体" w:eastAsia="宋体" w:cs="宋体"/>
          <w:spacing w:val="15"/>
          <w:sz w:val="19"/>
          <w:szCs w:val="19"/>
        </w:rPr>
        <w:t xml:space="preserve"> </w:t>
      </w:r>
      <w:r>
        <w:rPr>
          <w:rFonts w:ascii="宋体" w:hAnsi="宋体" w:eastAsia="宋体" w:cs="宋体"/>
          <w:spacing w:val="9"/>
          <w:sz w:val="19"/>
          <w:szCs w:val="19"/>
        </w:rPr>
        <w:t>的政策制定者和决策者</w:t>
      </w:r>
      <w:r>
        <w:rPr>
          <w:rFonts w:ascii="微软雅黑" w:hAnsi="微软雅黑" w:eastAsia="微软雅黑" w:cs="微软雅黑"/>
          <w:spacing w:val="9"/>
          <w:sz w:val="19"/>
          <w:szCs w:val="19"/>
        </w:rPr>
        <w:t>、</w:t>
      </w:r>
      <w:r>
        <w:rPr>
          <w:rFonts w:ascii="宋体" w:hAnsi="宋体" w:eastAsia="宋体" w:cs="宋体"/>
          <w:spacing w:val="9"/>
          <w:sz w:val="19"/>
          <w:szCs w:val="19"/>
        </w:rPr>
        <w:t>社会民众尤其是家长</w:t>
      </w:r>
      <w:r>
        <w:rPr>
          <w:rFonts w:ascii="微软雅黑" w:hAnsi="微软雅黑" w:eastAsia="微软雅黑" w:cs="微软雅黑"/>
          <w:spacing w:val="9"/>
          <w:sz w:val="19"/>
          <w:szCs w:val="19"/>
        </w:rPr>
        <w:t>、</w:t>
      </w:r>
      <w:r>
        <w:rPr>
          <w:rFonts w:ascii="宋体" w:hAnsi="宋体" w:eastAsia="宋体" w:cs="宋体"/>
          <w:spacing w:val="9"/>
          <w:sz w:val="19"/>
          <w:szCs w:val="19"/>
        </w:rPr>
        <w:t>企事</w:t>
      </w:r>
      <w:r>
        <w:rPr>
          <w:rFonts w:ascii="宋体" w:hAnsi="宋体" w:eastAsia="宋体" w:cs="宋体"/>
          <w:spacing w:val="15"/>
          <w:sz w:val="19"/>
          <w:szCs w:val="19"/>
        </w:rPr>
        <w:t xml:space="preserve"> </w:t>
      </w:r>
      <w:r>
        <w:rPr>
          <w:rFonts w:ascii="宋体" w:hAnsi="宋体" w:eastAsia="宋体" w:cs="宋体"/>
          <w:spacing w:val="18"/>
          <w:sz w:val="19"/>
          <w:szCs w:val="19"/>
        </w:rPr>
        <w:t>业单位有关领导管理人员和技术人员等</w:t>
      </w:r>
      <w:r>
        <w:rPr>
          <w:rFonts w:ascii="微软雅黑" w:hAnsi="微软雅黑" w:eastAsia="微软雅黑" w:cs="微软雅黑"/>
          <w:spacing w:val="18"/>
          <w:sz w:val="19"/>
          <w:szCs w:val="19"/>
        </w:rPr>
        <w:t>，</w:t>
      </w:r>
      <w:r>
        <w:rPr>
          <w:rFonts w:ascii="宋体" w:hAnsi="宋体" w:eastAsia="宋体" w:cs="宋体"/>
          <w:spacing w:val="18"/>
          <w:sz w:val="19"/>
          <w:szCs w:val="19"/>
        </w:rPr>
        <w:t>都对高等</w:t>
      </w:r>
      <w:r>
        <w:rPr>
          <w:rFonts w:ascii="宋体" w:hAnsi="宋体" w:eastAsia="宋体" w:cs="宋体"/>
          <w:spacing w:val="16"/>
          <w:sz w:val="19"/>
          <w:szCs w:val="19"/>
        </w:rPr>
        <w:t xml:space="preserve"> 教育质量文化有着重要的影响</w:t>
      </w:r>
      <w:r>
        <w:rPr>
          <w:rFonts w:ascii="宋体" w:hAnsi="宋体" w:eastAsia="宋体" w:cs="宋体"/>
          <w:spacing w:val="-35"/>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而在所有相关的自</w:t>
      </w:r>
      <w:r>
        <w:rPr>
          <w:rFonts w:ascii="宋体" w:hAnsi="宋体" w:eastAsia="宋体" w:cs="宋体"/>
          <w:sz w:val="19"/>
          <w:szCs w:val="19"/>
        </w:rPr>
        <w:t xml:space="preserve"> </w:t>
      </w:r>
      <w:r>
        <w:rPr>
          <w:rFonts w:ascii="宋体" w:hAnsi="宋体" w:eastAsia="宋体" w:cs="宋体"/>
          <w:spacing w:val="18"/>
          <w:sz w:val="19"/>
          <w:szCs w:val="19"/>
        </w:rPr>
        <w:t>然人群体中</w:t>
      </w:r>
      <w:r>
        <w:rPr>
          <w:rFonts w:ascii="微软雅黑" w:hAnsi="微软雅黑" w:eastAsia="微软雅黑" w:cs="微软雅黑"/>
          <w:spacing w:val="18"/>
          <w:sz w:val="19"/>
          <w:szCs w:val="19"/>
        </w:rPr>
        <w:t>，</w:t>
      </w:r>
      <w:r>
        <w:rPr>
          <w:rFonts w:ascii="宋体" w:hAnsi="宋体" w:eastAsia="宋体" w:cs="宋体"/>
          <w:spacing w:val="18"/>
          <w:sz w:val="19"/>
          <w:szCs w:val="19"/>
        </w:rPr>
        <w:t>只有师生是高等教育质量文化创造的</w:t>
      </w:r>
      <w:r>
        <w:rPr>
          <w:rFonts w:ascii="宋体" w:hAnsi="宋体" w:eastAsia="宋体" w:cs="宋体"/>
          <w:spacing w:val="14"/>
          <w:sz w:val="19"/>
          <w:szCs w:val="19"/>
        </w:rPr>
        <w:t xml:space="preserve"> </w:t>
      </w:r>
      <w:r>
        <w:rPr>
          <w:rFonts w:ascii="宋体" w:hAnsi="宋体" w:eastAsia="宋体" w:cs="宋体"/>
          <w:spacing w:val="17"/>
          <w:sz w:val="19"/>
          <w:szCs w:val="19"/>
        </w:rPr>
        <w:t>亲历者</w:t>
      </w:r>
      <w:r>
        <w:rPr>
          <w:rFonts w:ascii="微软雅黑" w:hAnsi="微软雅黑" w:eastAsia="微软雅黑" w:cs="微软雅黑"/>
          <w:spacing w:val="17"/>
          <w:sz w:val="19"/>
          <w:szCs w:val="19"/>
        </w:rPr>
        <w:t>。</w:t>
      </w:r>
    </w:p>
    <w:p>
      <w:pPr>
        <w:spacing w:before="65" w:line="208" w:lineRule="auto"/>
        <w:ind w:left="3" w:right="73" w:firstLine="434"/>
        <w:rPr>
          <w:rFonts w:ascii="微软雅黑" w:hAnsi="微软雅黑" w:eastAsia="微软雅黑" w:cs="微软雅黑"/>
          <w:sz w:val="19"/>
          <w:szCs w:val="19"/>
        </w:rPr>
      </w:pPr>
      <w:r>
        <w:rPr>
          <w:rFonts w:ascii="微软雅黑" w:hAnsi="微软雅黑" w:eastAsia="微软雅黑" w:cs="微软雅黑"/>
          <w:spacing w:val="21"/>
          <w:sz w:val="19"/>
          <w:szCs w:val="19"/>
        </w:rPr>
        <w:t>(</w:t>
      </w:r>
      <w:r>
        <w:rPr>
          <w:rFonts w:ascii="Arial" w:hAnsi="Arial" w:eastAsia="Arial" w:cs="Arial"/>
          <w:spacing w:val="21"/>
          <w:sz w:val="19"/>
          <w:szCs w:val="19"/>
        </w:rPr>
        <w:t>4</w:t>
      </w:r>
      <w:r>
        <w:rPr>
          <w:rFonts w:ascii="微软雅黑" w:hAnsi="微软雅黑" w:eastAsia="微软雅黑" w:cs="微软雅黑"/>
          <w:spacing w:val="21"/>
          <w:sz w:val="19"/>
          <w:szCs w:val="19"/>
        </w:rPr>
        <w:t>)</w:t>
      </w:r>
      <w:r>
        <w:rPr>
          <w:rFonts w:ascii="微软雅黑" w:hAnsi="微软雅黑" w:eastAsia="微软雅黑" w:cs="微软雅黑"/>
          <w:spacing w:val="1"/>
          <w:sz w:val="19"/>
          <w:szCs w:val="19"/>
        </w:rPr>
        <w:t xml:space="preserve"> </w:t>
      </w:r>
      <w:r>
        <w:rPr>
          <w:rFonts w:ascii="宋体" w:hAnsi="宋体" w:eastAsia="宋体" w:cs="宋体"/>
          <w:spacing w:val="21"/>
          <w:sz w:val="19"/>
          <w:szCs w:val="19"/>
        </w:rPr>
        <w:t>质量评估和认证是高等教育质量文化创新</w:t>
      </w:r>
      <w:r>
        <w:rPr>
          <w:rFonts w:ascii="宋体" w:hAnsi="宋体" w:eastAsia="宋体" w:cs="宋体"/>
          <w:sz w:val="19"/>
          <w:szCs w:val="19"/>
        </w:rPr>
        <w:t xml:space="preserve"> </w:t>
      </w:r>
      <w:r>
        <w:rPr>
          <w:rFonts w:ascii="宋体" w:hAnsi="宋体" w:eastAsia="宋体" w:cs="宋体"/>
          <w:spacing w:val="18"/>
          <w:sz w:val="19"/>
          <w:szCs w:val="19"/>
        </w:rPr>
        <w:t>发展的推进器</w:t>
      </w:r>
      <w:r>
        <w:rPr>
          <w:rFonts w:ascii="微软雅黑" w:hAnsi="微软雅黑" w:eastAsia="微软雅黑" w:cs="微软雅黑"/>
          <w:spacing w:val="18"/>
          <w:sz w:val="19"/>
          <w:szCs w:val="19"/>
        </w:rPr>
        <w:t>。</w:t>
      </w:r>
    </w:p>
    <w:p>
      <w:pPr>
        <w:spacing w:before="61" w:line="225" w:lineRule="auto"/>
        <w:ind w:left="2" w:right="69" w:firstLine="422"/>
        <w:rPr>
          <w:rFonts w:ascii="微软雅黑" w:hAnsi="微软雅黑" w:eastAsia="微软雅黑" w:cs="微软雅黑"/>
          <w:sz w:val="19"/>
          <w:szCs w:val="19"/>
        </w:rPr>
      </w:pPr>
      <w:r>
        <w:rPr>
          <w:rFonts w:ascii="宋体" w:hAnsi="宋体" w:eastAsia="宋体" w:cs="宋体"/>
          <w:spacing w:val="18"/>
          <w:sz w:val="19"/>
          <w:szCs w:val="19"/>
        </w:rPr>
        <w:t>高等教育质量文化具有发展性</w:t>
      </w:r>
      <w:r>
        <w:rPr>
          <w:rFonts w:ascii="微软雅黑" w:hAnsi="微软雅黑" w:eastAsia="微软雅黑" w:cs="微软雅黑"/>
          <w:spacing w:val="18"/>
          <w:sz w:val="19"/>
          <w:szCs w:val="19"/>
        </w:rPr>
        <w:t>，</w:t>
      </w:r>
      <w:r>
        <w:rPr>
          <w:rFonts w:ascii="宋体" w:hAnsi="宋体" w:eastAsia="宋体" w:cs="宋体"/>
          <w:spacing w:val="18"/>
          <w:sz w:val="19"/>
          <w:szCs w:val="19"/>
        </w:rPr>
        <w:t>它的形成与发</w:t>
      </w:r>
      <w:r>
        <w:rPr>
          <w:rFonts w:ascii="宋体" w:hAnsi="宋体" w:eastAsia="宋体" w:cs="宋体"/>
          <w:spacing w:val="7"/>
          <w:sz w:val="19"/>
          <w:szCs w:val="19"/>
        </w:rPr>
        <w:t xml:space="preserve"> </w:t>
      </w:r>
      <w:r>
        <w:rPr>
          <w:rFonts w:ascii="宋体" w:hAnsi="宋体" w:eastAsia="宋体" w:cs="宋体"/>
          <w:spacing w:val="9"/>
          <w:sz w:val="19"/>
          <w:szCs w:val="19"/>
        </w:rPr>
        <w:t>展是一个长期的过程</w:t>
      </w:r>
      <w:r>
        <w:rPr>
          <w:rFonts w:ascii="微软雅黑" w:hAnsi="微软雅黑" w:eastAsia="微软雅黑" w:cs="微软雅黑"/>
          <w:spacing w:val="9"/>
          <w:sz w:val="19"/>
          <w:szCs w:val="19"/>
        </w:rPr>
        <w:t>，</w:t>
      </w:r>
      <w:r>
        <w:rPr>
          <w:rFonts w:ascii="宋体" w:hAnsi="宋体" w:eastAsia="宋体" w:cs="宋体"/>
          <w:spacing w:val="9"/>
          <w:sz w:val="19"/>
          <w:szCs w:val="19"/>
        </w:rPr>
        <w:t>在日复一日的高校运行中</w:t>
      </w:r>
      <w:r>
        <w:rPr>
          <w:rFonts w:ascii="微软雅黑" w:hAnsi="微软雅黑" w:eastAsia="微软雅黑" w:cs="微软雅黑"/>
          <w:spacing w:val="9"/>
          <w:sz w:val="19"/>
          <w:szCs w:val="19"/>
        </w:rPr>
        <w:t>，</w:t>
      </w:r>
      <w:r>
        <w:rPr>
          <w:rFonts w:ascii="宋体" w:hAnsi="宋体" w:eastAsia="宋体" w:cs="宋体"/>
          <w:spacing w:val="9"/>
          <w:sz w:val="19"/>
          <w:szCs w:val="19"/>
        </w:rPr>
        <w:t>质</w:t>
      </w:r>
      <w:r>
        <w:rPr>
          <w:rFonts w:ascii="宋体" w:hAnsi="宋体" w:eastAsia="宋体" w:cs="宋体"/>
          <w:spacing w:val="13"/>
          <w:sz w:val="19"/>
          <w:szCs w:val="19"/>
        </w:rPr>
        <w:t xml:space="preserve"> </w:t>
      </w:r>
      <w:r>
        <w:rPr>
          <w:rFonts w:ascii="宋体" w:hAnsi="宋体" w:eastAsia="宋体" w:cs="宋体"/>
          <w:spacing w:val="16"/>
          <w:sz w:val="19"/>
          <w:szCs w:val="19"/>
        </w:rPr>
        <w:t>量文化进行着从量变到质变的转化</w:t>
      </w:r>
      <w:r>
        <w:rPr>
          <w:rFonts w:ascii="宋体" w:hAnsi="宋体" w:eastAsia="宋体" w:cs="宋体"/>
          <w:spacing w:val="-37"/>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积淀是质量文</w:t>
      </w:r>
      <w:r>
        <w:rPr>
          <w:rFonts w:ascii="宋体" w:hAnsi="宋体" w:eastAsia="宋体" w:cs="宋体"/>
          <w:sz w:val="19"/>
          <w:szCs w:val="19"/>
        </w:rPr>
        <w:t xml:space="preserve"> </w:t>
      </w:r>
      <w:r>
        <w:rPr>
          <w:rFonts w:ascii="宋体" w:hAnsi="宋体" w:eastAsia="宋体" w:cs="宋体"/>
          <w:spacing w:val="18"/>
          <w:sz w:val="19"/>
          <w:szCs w:val="19"/>
        </w:rPr>
        <w:t>化形成的基本机制</w:t>
      </w:r>
      <w:r>
        <w:rPr>
          <w:rFonts w:ascii="微软雅黑" w:hAnsi="微软雅黑" w:eastAsia="微软雅黑" w:cs="微软雅黑"/>
          <w:spacing w:val="18"/>
          <w:sz w:val="19"/>
          <w:szCs w:val="19"/>
        </w:rPr>
        <w:t>，</w:t>
      </w:r>
      <w:r>
        <w:rPr>
          <w:rFonts w:ascii="宋体" w:hAnsi="宋体" w:eastAsia="宋体" w:cs="宋体"/>
          <w:spacing w:val="18"/>
          <w:sz w:val="19"/>
          <w:szCs w:val="19"/>
        </w:rPr>
        <w:t>看似平淡无奇的高等教育日常</w:t>
      </w:r>
      <w:r>
        <w:rPr>
          <w:rFonts w:ascii="宋体" w:hAnsi="宋体" w:eastAsia="宋体" w:cs="宋体"/>
          <w:spacing w:val="12"/>
          <w:sz w:val="19"/>
          <w:szCs w:val="19"/>
        </w:rPr>
        <w:t xml:space="preserve"> </w:t>
      </w:r>
      <w:r>
        <w:rPr>
          <w:rFonts w:ascii="宋体" w:hAnsi="宋体" w:eastAsia="宋体" w:cs="宋体"/>
          <w:spacing w:val="18"/>
          <w:sz w:val="19"/>
          <w:szCs w:val="19"/>
        </w:rPr>
        <w:t>活动</w:t>
      </w:r>
      <w:r>
        <w:rPr>
          <w:rFonts w:ascii="微软雅黑" w:hAnsi="微软雅黑" w:eastAsia="微软雅黑" w:cs="微软雅黑"/>
          <w:spacing w:val="18"/>
          <w:sz w:val="19"/>
          <w:szCs w:val="19"/>
        </w:rPr>
        <w:t>，</w:t>
      </w:r>
      <w:r>
        <w:rPr>
          <w:rFonts w:ascii="宋体" w:hAnsi="宋体" w:eastAsia="宋体" w:cs="宋体"/>
          <w:spacing w:val="18"/>
          <w:sz w:val="19"/>
          <w:szCs w:val="19"/>
        </w:rPr>
        <w:t>日积月累地在人们的思想观念和行为方式上</w:t>
      </w:r>
      <w:r>
        <w:rPr>
          <w:rFonts w:ascii="宋体" w:hAnsi="宋体" w:eastAsia="宋体" w:cs="宋体"/>
          <w:spacing w:val="11"/>
          <w:sz w:val="19"/>
          <w:szCs w:val="19"/>
        </w:rPr>
        <w:t xml:space="preserve"> </w:t>
      </w:r>
      <w:r>
        <w:rPr>
          <w:rFonts w:ascii="宋体" w:hAnsi="宋体" w:eastAsia="宋体" w:cs="宋体"/>
          <w:spacing w:val="18"/>
          <w:sz w:val="19"/>
          <w:szCs w:val="19"/>
        </w:rPr>
        <w:t>留下印迹</w:t>
      </w:r>
      <w:r>
        <w:rPr>
          <w:rFonts w:ascii="微软雅黑" w:hAnsi="微软雅黑" w:eastAsia="微软雅黑" w:cs="微软雅黑"/>
          <w:spacing w:val="18"/>
          <w:sz w:val="19"/>
          <w:szCs w:val="19"/>
        </w:rPr>
        <w:t>，</w:t>
      </w:r>
      <w:r>
        <w:rPr>
          <w:rFonts w:ascii="宋体" w:hAnsi="宋体" w:eastAsia="宋体" w:cs="宋体"/>
          <w:spacing w:val="18"/>
          <w:sz w:val="19"/>
          <w:szCs w:val="19"/>
        </w:rPr>
        <w:t>在高校相关规章制度和环境条件上打上</w:t>
      </w:r>
      <w:r>
        <w:rPr>
          <w:rFonts w:ascii="宋体" w:hAnsi="宋体" w:eastAsia="宋体" w:cs="宋体"/>
          <w:spacing w:val="11"/>
          <w:sz w:val="19"/>
          <w:szCs w:val="19"/>
        </w:rPr>
        <w:t xml:space="preserve"> </w:t>
      </w:r>
      <w:r>
        <w:rPr>
          <w:rFonts w:ascii="宋体" w:hAnsi="宋体" w:eastAsia="宋体" w:cs="宋体"/>
          <w:spacing w:val="16"/>
          <w:sz w:val="19"/>
          <w:szCs w:val="19"/>
        </w:rPr>
        <w:t>烙痕</w:t>
      </w:r>
      <w:r>
        <w:rPr>
          <w:rFonts w:ascii="微软雅黑" w:hAnsi="微软雅黑" w:eastAsia="微软雅黑" w:cs="微软雅黑"/>
          <w:spacing w:val="16"/>
          <w:sz w:val="19"/>
          <w:szCs w:val="19"/>
        </w:rPr>
        <w:t>。</w:t>
      </w:r>
    </w:p>
    <w:p>
      <w:pPr>
        <w:spacing w:before="62" w:line="236" w:lineRule="auto"/>
        <w:ind w:left="2" w:right="69" w:firstLine="422"/>
        <w:rPr>
          <w:rFonts w:ascii="宋体" w:hAnsi="宋体" w:eastAsia="宋体" w:cs="宋体"/>
          <w:sz w:val="19"/>
          <w:szCs w:val="19"/>
        </w:rPr>
      </w:pPr>
      <w:r>
        <w:rPr>
          <w:rFonts w:ascii="宋体" w:hAnsi="宋体" w:eastAsia="宋体" w:cs="宋体"/>
          <w:spacing w:val="18"/>
          <w:sz w:val="19"/>
          <w:szCs w:val="19"/>
        </w:rPr>
        <w:t>高校办学受到校内外诸多组织机构和利益相关</w:t>
      </w:r>
      <w:r>
        <w:rPr>
          <w:rFonts w:ascii="宋体" w:hAnsi="宋体" w:eastAsia="宋体" w:cs="宋体"/>
          <w:spacing w:val="5"/>
          <w:sz w:val="19"/>
          <w:szCs w:val="19"/>
        </w:rPr>
        <w:t xml:space="preserve"> </w:t>
      </w:r>
      <w:r>
        <w:rPr>
          <w:rFonts w:ascii="宋体" w:hAnsi="宋体" w:eastAsia="宋体" w:cs="宋体"/>
          <w:spacing w:val="15"/>
          <w:sz w:val="19"/>
          <w:szCs w:val="19"/>
        </w:rPr>
        <w:t>群体的影响</w:t>
      </w:r>
      <w:r>
        <w:rPr>
          <w:rFonts w:ascii="微软雅黑" w:hAnsi="微软雅黑" w:eastAsia="微软雅黑" w:cs="微软雅黑"/>
          <w:spacing w:val="15"/>
          <w:sz w:val="19"/>
          <w:szCs w:val="19"/>
        </w:rPr>
        <w:t>，</w:t>
      </w:r>
      <w:r>
        <w:rPr>
          <w:rFonts w:ascii="宋体" w:hAnsi="宋体" w:eastAsia="宋体" w:cs="宋体"/>
          <w:spacing w:val="15"/>
          <w:sz w:val="19"/>
          <w:szCs w:val="19"/>
        </w:rPr>
        <w:t>高等教育质量受到多方的关注</w:t>
      </w:r>
      <w:r>
        <w:rPr>
          <w:rFonts w:ascii="宋体" w:hAnsi="宋体" w:eastAsia="宋体" w:cs="宋体"/>
          <w:spacing w:val="-36"/>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5"/>
          <w:sz w:val="19"/>
          <w:szCs w:val="19"/>
        </w:rPr>
        <w:t>政府</w:t>
      </w:r>
    </w:p>
    <w:p>
      <w:pPr>
        <w:spacing w:line="236" w:lineRule="auto"/>
        <w:rPr>
          <w:rFonts w:ascii="宋体" w:hAnsi="宋体" w:eastAsia="宋体" w:cs="宋体"/>
          <w:sz w:val="19"/>
          <w:szCs w:val="19"/>
        </w:rPr>
        <w:sectPr>
          <w:type w:val="continuous"/>
          <w:pgSz w:w="11905" w:h="16836"/>
          <w:pgMar w:top="400" w:right="1071" w:bottom="547" w:left="407" w:header="0" w:footer="354" w:gutter="0"/>
          <w:cols w:equalWidth="0" w:num="2">
            <w:col w:w="5662" w:space="100"/>
            <w:col w:w="4664"/>
          </w:cols>
        </w:sectPr>
      </w:pPr>
    </w:p>
    <w:p>
      <w:pPr>
        <w:spacing w:line="426" w:lineRule="auto"/>
        <w:rPr>
          <w:rFonts w:ascii="Arial"/>
          <w:sz w:val="21"/>
        </w:rPr>
      </w:pPr>
    </w:p>
    <w:p>
      <w:pPr>
        <w:spacing w:before="52" w:line="220" w:lineRule="auto"/>
        <w:ind w:left="4292"/>
        <w:rPr>
          <w:rFonts w:ascii="宋体" w:hAnsi="宋体" w:eastAsia="宋体" w:cs="宋体"/>
          <w:sz w:val="16"/>
          <w:szCs w:val="16"/>
        </w:rPr>
      </w:pPr>
      <w:r>
        <w:rPr>
          <w:rFonts w:ascii="宋体" w:hAnsi="宋体" w:eastAsia="宋体" w:cs="宋体"/>
          <w:spacing w:val="18"/>
          <w:sz w:val="16"/>
          <w:szCs w:val="16"/>
        </w:rPr>
        <w:t>高等教育质量文化及其建设策略</w:t>
      </w:r>
    </w:p>
    <w:p>
      <w:pPr>
        <w:spacing w:before="23" w:line="159" w:lineRule="exact"/>
        <w:ind w:left="721"/>
      </w:pPr>
      <w:r>
        <w:rPr>
          <w:position w:val="-3"/>
        </w:rPr>
        <w:drawing>
          <wp:inline distT="0" distB="0" distL="0" distR="0">
            <wp:extent cx="6118860" cy="10096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6"/>
                    <a:stretch>
                      <a:fillRect/>
                    </a:stretch>
                  </pic:blipFill>
                  <pic:spPr>
                    <a:xfrm>
                      <a:off x="0" y="0"/>
                      <a:ext cx="6119371" cy="101421"/>
                    </a:xfrm>
                    <a:prstGeom prst="rect">
                      <a:avLst/>
                    </a:prstGeom>
                  </pic:spPr>
                </pic:pic>
              </a:graphicData>
            </a:graphic>
          </wp:inline>
        </w:drawing>
      </w:r>
    </w:p>
    <w:p>
      <w:pPr>
        <w:spacing w:line="114" w:lineRule="exact"/>
      </w:pPr>
    </w:p>
    <w:p>
      <w:pPr>
        <w:spacing w:line="114" w:lineRule="exact"/>
        <w:sectPr>
          <w:footerReference r:id="rId25" w:type="default"/>
          <w:pgSz w:w="11905" w:h="16836"/>
          <w:pgMar w:top="400" w:right="1063" w:bottom="547" w:left="407" w:header="0" w:footer="354" w:gutter="0"/>
          <w:cols w:equalWidth="0" w:num="1">
            <w:col w:w="10433"/>
          </w:cols>
        </w:sectPr>
      </w:pPr>
    </w:p>
    <w:p>
      <w:pPr>
        <w:tabs>
          <w:tab w:val="left" w:pos="5392"/>
        </w:tabs>
        <w:spacing w:before="40" w:line="238" w:lineRule="auto"/>
        <w:ind w:left="731" w:right="266" w:firstLine="2"/>
        <w:jc w:val="both"/>
        <w:rPr>
          <w:rFonts w:ascii="微软雅黑" w:hAnsi="微软雅黑" w:eastAsia="微软雅黑" w:cs="微软雅黑"/>
          <w:sz w:val="19"/>
          <w:szCs w:val="19"/>
        </w:rPr>
      </w:pPr>
      <w:r>
        <w:rPr>
          <w:rFonts w:ascii="宋体" w:hAnsi="宋体" w:eastAsia="宋体" w:cs="宋体"/>
          <w:spacing w:val="17"/>
          <w:sz w:val="19"/>
          <w:szCs w:val="19"/>
        </w:rPr>
        <w:t>在其中具有重大影响</w:t>
      </w:r>
      <w:r>
        <w:rPr>
          <w:rFonts w:ascii="微软雅黑" w:hAnsi="微软雅黑" w:eastAsia="微软雅黑" w:cs="微软雅黑"/>
          <w:spacing w:val="17"/>
          <w:sz w:val="19"/>
          <w:szCs w:val="19"/>
        </w:rPr>
        <w:t>，</w:t>
      </w:r>
      <w:r>
        <w:rPr>
          <w:rFonts w:ascii="宋体" w:hAnsi="宋体" w:eastAsia="宋体" w:cs="宋体"/>
          <w:spacing w:val="17"/>
          <w:sz w:val="19"/>
          <w:szCs w:val="19"/>
        </w:rPr>
        <w:t>它的身份及其所拥有的高等 教育管理和治理权力</w:t>
      </w:r>
      <w:r>
        <w:rPr>
          <w:rFonts w:ascii="微软雅黑" w:hAnsi="微软雅黑" w:eastAsia="微软雅黑" w:cs="微软雅黑"/>
          <w:spacing w:val="17"/>
          <w:sz w:val="19"/>
          <w:szCs w:val="19"/>
        </w:rPr>
        <w:t>，</w:t>
      </w:r>
      <w:r>
        <w:rPr>
          <w:rFonts w:ascii="宋体" w:hAnsi="宋体" w:eastAsia="宋体" w:cs="宋体"/>
          <w:spacing w:val="17"/>
          <w:sz w:val="19"/>
          <w:szCs w:val="19"/>
        </w:rPr>
        <w:t>使其对高等教育质量不能不 高度重视</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并采取权威性的政策措施来引导和规范 </w:t>
      </w:r>
      <w:r>
        <w:rPr>
          <w:rFonts w:ascii="宋体" w:hAnsi="宋体" w:eastAsia="宋体" w:cs="宋体"/>
          <w:spacing w:val="15"/>
          <w:sz w:val="19"/>
          <w:szCs w:val="19"/>
        </w:rPr>
        <w:t>高校办学</w:t>
      </w:r>
      <w:r>
        <w:rPr>
          <w:rFonts w:ascii="微软雅黑" w:hAnsi="微软雅黑" w:eastAsia="微软雅黑" w:cs="微软雅黑"/>
          <w:spacing w:val="15"/>
          <w:sz w:val="19"/>
          <w:szCs w:val="19"/>
        </w:rPr>
        <w:t>，</w:t>
      </w:r>
      <w:r>
        <w:rPr>
          <w:rFonts w:ascii="宋体" w:hAnsi="宋体" w:eastAsia="宋体" w:cs="宋体"/>
          <w:spacing w:val="15"/>
          <w:sz w:val="19"/>
          <w:szCs w:val="19"/>
        </w:rPr>
        <w:t>以达到其所希望的办学目的</w:t>
      </w:r>
      <w:r>
        <w:rPr>
          <w:rFonts w:ascii="宋体" w:hAnsi="宋体" w:eastAsia="宋体" w:cs="宋体"/>
          <w:spacing w:val="-52"/>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5"/>
          <w:sz w:val="19"/>
          <w:szCs w:val="19"/>
        </w:rPr>
        <w:t>正如格</w:t>
      </w:r>
      <w:r>
        <w:rPr>
          <w:rFonts w:ascii="宋体" w:hAnsi="宋体" w:eastAsia="宋体" w:cs="宋体"/>
          <w:spacing w:val="14"/>
          <w:sz w:val="19"/>
          <w:szCs w:val="19"/>
        </w:rPr>
        <w:t xml:space="preserve">里 </w:t>
      </w:r>
      <w:r>
        <w:rPr>
          <w:rFonts w:ascii="宋体" w:hAnsi="宋体" w:eastAsia="宋体" w:cs="宋体"/>
          <w:spacing w:val="12"/>
          <w:sz w:val="19"/>
          <w:szCs w:val="19"/>
        </w:rPr>
        <w:t>纳</w:t>
      </w:r>
      <w:r>
        <w:rPr>
          <w:rFonts w:ascii="微软雅黑" w:hAnsi="微软雅黑" w:eastAsia="微软雅黑" w:cs="微软雅黑"/>
          <w:spacing w:val="12"/>
          <w:sz w:val="19"/>
          <w:szCs w:val="19"/>
        </w:rPr>
        <w:t>(</w:t>
      </w:r>
      <w:r>
        <w:rPr>
          <w:rFonts w:ascii="Arial" w:hAnsi="Arial" w:eastAsia="Arial" w:cs="Arial"/>
          <w:spacing w:val="12"/>
          <w:sz w:val="19"/>
          <w:szCs w:val="19"/>
        </w:rPr>
        <w:t>F</w:t>
      </w:r>
      <w:r>
        <w:rPr>
          <w:rFonts w:ascii="Arial" w:hAnsi="Arial" w:eastAsia="Arial" w:cs="Arial"/>
          <w:spacing w:val="12"/>
          <w:position w:val="-1"/>
          <w:sz w:val="19"/>
          <w:szCs w:val="19"/>
        </w:rPr>
        <w:t>.M.</w:t>
      </w:r>
      <w:r>
        <w:rPr>
          <w:rFonts w:ascii="Arial" w:hAnsi="Arial" w:eastAsia="Arial" w:cs="Arial"/>
          <w:position w:val="-1"/>
          <w:sz w:val="19"/>
          <w:szCs w:val="19"/>
        </w:rPr>
        <w:t>Gry</w:t>
      </w:r>
      <w:r>
        <w:rPr>
          <w:rFonts w:ascii="Arial" w:hAnsi="Arial" w:eastAsia="Arial" w:cs="Arial"/>
          <w:sz w:val="19"/>
          <w:szCs w:val="19"/>
        </w:rPr>
        <w:t>na</w:t>
      </w:r>
      <w:r>
        <w:rPr>
          <w:rFonts w:ascii="微软雅黑" w:hAnsi="微软雅黑" w:eastAsia="微软雅黑" w:cs="微软雅黑"/>
          <w:spacing w:val="12"/>
          <w:sz w:val="19"/>
          <w:szCs w:val="19"/>
        </w:rPr>
        <w:t>)</w:t>
      </w:r>
      <w:r>
        <w:rPr>
          <w:rFonts w:ascii="微软雅黑" w:hAnsi="微软雅黑" w:eastAsia="微软雅黑" w:cs="微软雅黑"/>
          <w:spacing w:val="-12"/>
          <w:sz w:val="19"/>
          <w:szCs w:val="19"/>
        </w:rPr>
        <w:t xml:space="preserve"> </w:t>
      </w:r>
      <w:r>
        <w:rPr>
          <w:rFonts w:ascii="宋体" w:hAnsi="宋体" w:eastAsia="宋体" w:cs="宋体"/>
          <w:spacing w:val="12"/>
          <w:sz w:val="19"/>
          <w:szCs w:val="19"/>
        </w:rPr>
        <w:t>所说</w:t>
      </w:r>
      <w:r>
        <w:rPr>
          <w:rFonts w:ascii="微软雅黑" w:hAnsi="微软雅黑" w:eastAsia="微软雅黑" w:cs="微软雅黑"/>
          <w:spacing w:val="12"/>
          <w:position w:val="1"/>
          <w:sz w:val="19"/>
          <w:szCs w:val="19"/>
        </w:rPr>
        <w:t>，</w:t>
      </w:r>
      <w:r>
        <w:rPr>
          <w:rFonts w:ascii="宋体" w:hAnsi="宋体" w:eastAsia="宋体" w:cs="宋体"/>
          <w:spacing w:val="12"/>
          <w:sz w:val="19"/>
          <w:szCs w:val="19"/>
        </w:rPr>
        <w:t>文化不属于技术范畴</w:t>
      </w:r>
      <w:r>
        <w:rPr>
          <w:rFonts w:ascii="微软雅黑" w:hAnsi="微软雅黑" w:eastAsia="微软雅黑" w:cs="微软雅黑"/>
          <w:spacing w:val="12"/>
          <w:position w:val="1"/>
          <w:sz w:val="19"/>
          <w:szCs w:val="19"/>
        </w:rPr>
        <w:t>，</w:t>
      </w:r>
      <w:r>
        <w:rPr>
          <w:rFonts w:ascii="宋体" w:hAnsi="宋体" w:eastAsia="宋体" w:cs="宋体"/>
          <w:spacing w:val="12"/>
          <w:sz w:val="19"/>
          <w:szCs w:val="19"/>
        </w:rPr>
        <w:t xml:space="preserve">但特定 </w:t>
      </w:r>
      <w:r>
        <w:rPr>
          <w:rFonts w:ascii="宋体" w:hAnsi="宋体" w:eastAsia="宋体" w:cs="宋体"/>
          <w:spacing w:val="18"/>
          <w:sz w:val="19"/>
          <w:szCs w:val="19"/>
        </w:rPr>
        <w:t>的方法和手段可以帮助我们形成这种质量文化</w:t>
      </w:r>
      <w:r>
        <w:rPr>
          <w:rFonts w:ascii="微软雅黑" w:hAnsi="微软雅黑" w:eastAsia="微软雅黑" w:cs="微软雅黑"/>
          <w:spacing w:val="18"/>
          <w:sz w:val="19"/>
          <w:szCs w:val="19"/>
        </w:rPr>
        <w:t>。</w:t>
      </w:r>
      <w:r>
        <w:rPr>
          <w:rFonts w:ascii="微软雅黑" w:hAnsi="微软雅黑" w:eastAsia="微软雅黑" w:cs="微软雅黑"/>
          <w:spacing w:val="18"/>
          <w:position w:val="8"/>
          <w:sz w:val="10"/>
          <w:szCs w:val="10"/>
        </w:rPr>
        <w:t>[</w:t>
      </w:r>
      <w:r>
        <w:rPr>
          <w:rFonts w:ascii="Arial" w:hAnsi="Arial" w:eastAsia="Arial" w:cs="Arial"/>
          <w:spacing w:val="18"/>
          <w:position w:val="8"/>
          <w:sz w:val="10"/>
          <w:szCs w:val="10"/>
        </w:rPr>
        <w:t>1</w:t>
      </w:r>
      <w:r>
        <w:rPr>
          <w:rFonts w:ascii="微软雅黑" w:hAnsi="微软雅黑" w:eastAsia="微软雅黑" w:cs="微软雅黑"/>
          <w:spacing w:val="18"/>
          <w:position w:val="8"/>
          <w:sz w:val="10"/>
          <w:szCs w:val="10"/>
        </w:rPr>
        <w:t>]</w:t>
      </w:r>
      <w:r>
        <w:rPr>
          <w:rFonts w:ascii="微软雅黑" w:hAnsi="微软雅黑" w:eastAsia="微软雅黑" w:cs="微软雅黑"/>
          <w:sz w:val="10"/>
          <w:szCs w:val="10"/>
        </w:rPr>
        <w:tab/>
      </w:r>
      <w:r>
        <w:rPr>
          <w:rFonts w:ascii="微软雅黑" w:hAnsi="微软雅黑" w:eastAsia="微软雅黑" w:cs="微软雅黑"/>
          <w:position w:val="8"/>
          <w:sz w:val="10"/>
          <w:szCs w:val="10"/>
        </w:rPr>
        <w:t xml:space="preserve"> </w:t>
      </w:r>
      <w:r>
        <w:rPr>
          <w:rFonts w:ascii="Arial" w:hAnsi="Arial" w:eastAsia="Arial" w:cs="Arial"/>
          <w:spacing w:val="16"/>
          <w:sz w:val="19"/>
          <w:szCs w:val="19"/>
        </w:rPr>
        <w:t>20</w:t>
      </w:r>
      <w:r>
        <w:rPr>
          <w:rFonts w:ascii="宋体" w:hAnsi="宋体" w:eastAsia="宋体" w:cs="宋体"/>
          <w:spacing w:val="16"/>
          <w:sz w:val="19"/>
          <w:szCs w:val="19"/>
        </w:rPr>
        <w:t>世纪后期以来</w:t>
      </w:r>
      <w:r>
        <w:rPr>
          <w:rFonts w:ascii="微软雅黑" w:hAnsi="微软雅黑" w:eastAsia="微软雅黑" w:cs="微软雅黑"/>
          <w:spacing w:val="16"/>
          <w:position w:val="1"/>
          <w:sz w:val="19"/>
          <w:szCs w:val="19"/>
        </w:rPr>
        <w:t>，</w:t>
      </w:r>
      <w:r>
        <w:rPr>
          <w:rFonts w:ascii="宋体" w:hAnsi="宋体" w:eastAsia="宋体" w:cs="宋体"/>
          <w:spacing w:val="16"/>
          <w:sz w:val="19"/>
          <w:szCs w:val="19"/>
        </w:rPr>
        <w:t xml:space="preserve">我国政府探索建立高等教育质量 </w:t>
      </w:r>
      <w:r>
        <w:rPr>
          <w:rFonts w:ascii="宋体" w:hAnsi="宋体" w:eastAsia="宋体" w:cs="宋体"/>
          <w:spacing w:val="12"/>
          <w:sz w:val="19"/>
          <w:szCs w:val="19"/>
        </w:rPr>
        <w:t>保障体系</w:t>
      </w:r>
      <w:r>
        <w:rPr>
          <w:rFonts w:ascii="微软雅黑" w:hAnsi="微软雅黑" w:eastAsia="微软雅黑" w:cs="微软雅黑"/>
          <w:spacing w:val="12"/>
          <w:position w:val="1"/>
          <w:sz w:val="19"/>
          <w:szCs w:val="19"/>
        </w:rPr>
        <w:t>，</w:t>
      </w:r>
      <w:r>
        <w:rPr>
          <w:rFonts w:ascii="宋体" w:hAnsi="宋体" w:eastAsia="宋体" w:cs="宋体"/>
          <w:spacing w:val="12"/>
          <w:sz w:val="19"/>
          <w:szCs w:val="19"/>
        </w:rPr>
        <w:t>尤其是</w:t>
      </w:r>
      <w:r>
        <w:rPr>
          <w:rFonts w:ascii="宋体" w:hAnsi="宋体" w:eastAsia="宋体" w:cs="宋体"/>
          <w:spacing w:val="2"/>
          <w:sz w:val="19"/>
          <w:szCs w:val="19"/>
        </w:rPr>
        <w:t xml:space="preserve"> </w:t>
      </w:r>
      <w:r>
        <w:rPr>
          <w:rFonts w:ascii="Arial" w:hAnsi="Arial" w:eastAsia="Arial" w:cs="Arial"/>
          <w:spacing w:val="12"/>
          <w:sz w:val="19"/>
          <w:szCs w:val="19"/>
        </w:rPr>
        <w:t>21</w:t>
      </w:r>
      <w:r>
        <w:rPr>
          <w:rFonts w:ascii="宋体" w:hAnsi="宋体" w:eastAsia="宋体" w:cs="宋体"/>
          <w:spacing w:val="12"/>
          <w:sz w:val="19"/>
          <w:szCs w:val="19"/>
        </w:rPr>
        <w:t>世纪以来</w:t>
      </w:r>
      <w:r>
        <w:rPr>
          <w:rFonts w:ascii="微软雅黑" w:hAnsi="微软雅黑" w:eastAsia="微软雅黑" w:cs="微软雅黑"/>
          <w:spacing w:val="12"/>
          <w:position w:val="1"/>
          <w:sz w:val="19"/>
          <w:szCs w:val="19"/>
        </w:rPr>
        <w:t>，</w:t>
      </w:r>
      <w:r>
        <w:rPr>
          <w:rFonts w:ascii="宋体" w:hAnsi="宋体" w:eastAsia="宋体" w:cs="宋体"/>
          <w:spacing w:val="12"/>
          <w:sz w:val="19"/>
          <w:szCs w:val="19"/>
        </w:rPr>
        <w:t xml:space="preserve">推动了本科教育教 </w:t>
      </w:r>
      <w:r>
        <w:rPr>
          <w:rFonts w:ascii="宋体" w:hAnsi="宋体" w:eastAsia="宋体" w:cs="宋体"/>
          <w:spacing w:val="17"/>
          <w:sz w:val="19"/>
          <w:szCs w:val="19"/>
        </w:rPr>
        <w:t xml:space="preserve">学工作水平评估和高职高专院校办学水平评估制度 </w:t>
      </w:r>
      <w:r>
        <w:rPr>
          <w:rFonts w:ascii="宋体" w:hAnsi="宋体" w:eastAsia="宋体" w:cs="宋体"/>
          <w:spacing w:val="16"/>
          <w:sz w:val="19"/>
          <w:szCs w:val="19"/>
        </w:rPr>
        <w:t>的建立</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联合相关行业部门建立专业认证与</w:t>
      </w:r>
      <w:r>
        <w:rPr>
          <w:rFonts w:ascii="宋体" w:hAnsi="宋体" w:eastAsia="宋体" w:cs="宋体"/>
          <w:spacing w:val="15"/>
          <w:sz w:val="19"/>
          <w:szCs w:val="19"/>
        </w:rPr>
        <w:t xml:space="preserve">评估制 </w:t>
      </w:r>
      <w:r>
        <w:rPr>
          <w:rFonts w:ascii="宋体" w:hAnsi="宋体" w:eastAsia="宋体" w:cs="宋体"/>
          <w:spacing w:val="17"/>
          <w:sz w:val="19"/>
          <w:szCs w:val="19"/>
        </w:rPr>
        <w:t>度</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不仅对高等教育的健康持续发展发挥了重要作 </w:t>
      </w:r>
      <w:r>
        <w:rPr>
          <w:rFonts w:ascii="宋体" w:hAnsi="宋体" w:eastAsia="宋体" w:cs="宋体"/>
          <w:spacing w:val="12"/>
          <w:sz w:val="19"/>
          <w:szCs w:val="19"/>
        </w:rPr>
        <w:t>用</w:t>
      </w:r>
      <w:r>
        <w:rPr>
          <w:rFonts w:ascii="微软雅黑" w:hAnsi="微软雅黑" w:eastAsia="微软雅黑" w:cs="微软雅黑"/>
          <w:spacing w:val="12"/>
          <w:sz w:val="19"/>
          <w:szCs w:val="19"/>
        </w:rPr>
        <w:t>，</w:t>
      </w:r>
      <w:r>
        <w:rPr>
          <w:rFonts w:ascii="宋体" w:hAnsi="宋体" w:eastAsia="宋体" w:cs="宋体"/>
          <w:spacing w:val="12"/>
          <w:sz w:val="19"/>
          <w:szCs w:val="19"/>
        </w:rPr>
        <w:t>而且为高等教育质量文化发展注入了新的动力</w:t>
      </w:r>
      <w:r>
        <w:rPr>
          <w:rFonts w:ascii="微软雅黑" w:hAnsi="微软雅黑" w:eastAsia="微软雅黑" w:cs="微软雅黑"/>
          <w:spacing w:val="12"/>
          <w:sz w:val="19"/>
          <w:szCs w:val="19"/>
        </w:rPr>
        <w:t>，</w:t>
      </w:r>
      <w:r>
        <w:rPr>
          <w:rFonts w:ascii="微软雅黑" w:hAnsi="微软雅黑" w:eastAsia="微软雅黑" w:cs="微软雅黑"/>
          <w:spacing w:val="16"/>
          <w:sz w:val="19"/>
          <w:szCs w:val="19"/>
        </w:rPr>
        <w:t xml:space="preserve"> </w:t>
      </w:r>
      <w:r>
        <w:rPr>
          <w:rFonts w:ascii="宋体" w:hAnsi="宋体" w:eastAsia="宋体" w:cs="宋体"/>
          <w:spacing w:val="15"/>
          <w:sz w:val="19"/>
          <w:szCs w:val="19"/>
        </w:rPr>
        <w:t>丰富了质量文化的内涵</w:t>
      </w:r>
      <w:r>
        <w:rPr>
          <w:rFonts w:ascii="宋体" w:hAnsi="宋体" w:eastAsia="宋体" w:cs="宋体"/>
          <w:spacing w:val="-33"/>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质量评估和认证理念已经 </w:t>
      </w:r>
      <w:r>
        <w:rPr>
          <w:rFonts w:ascii="宋体" w:hAnsi="宋体" w:eastAsia="宋体" w:cs="宋体"/>
          <w:spacing w:val="9"/>
          <w:sz w:val="19"/>
          <w:szCs w:val="19"/>
        </w:rPr>
        <w:t>为高校所接受和认同</w:t>
      </w:r>
      <w:r>
        <w:rPr>
          <w:rFonts w:ascii="微软雅黑" w:hAnsi="微软雅黑" w:eastAsia="微软雅黑" w:cs="微软雅黑"/>
          <w:spacing w:val="9"/>
          <w:sz w:val="19"/>
          <w:szCs w:val="19"/>
        </w:rPr>
        <w:t>，</w:t>
      </w:r>
      <w:r>
        <w:rPr>
          <w:rFonts w:ascii="宋体" w:hAnsi="宋体" w:eastAsia="宋体" w:cs="宋体"/>
          <w:spacing w:val="9"/>
          <w:sz w:val="19"/>
          <w:szCs w:val="19"/>
        </w:rPr>
        <w:t>以评促建</w:t>
      </w:r>
      <w:r>
        <w:rPr>
          <w:rFonts w:ascii="微软雅黑" w:hAnsi="微软雅黑" w:eastAsia="微软雅黑" w:cs="微软雅黑"/>
          <w:spacing w:val="9"/>
          <w:sz w:val="19"/>
          <w:szCs w:val="19"/>
        </w:rPr>
        <w:t>、</w:t>
      </w:r>
      <w:r>
        <w:rPr>
          <w:rFonts w:ascii="宋体" w:hAnsi="宋体" w:eastAsia="宋体" w:cs="宋体"/>
          <w:spacing w:val="9"/>
          <w:sz w:val="19"/>
          <w:szCs w:val="19"/>
        </w:rPr>
        <w:t>学生中心</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持续改 </w:t>
      </w:r>
      <w:r>
        <w:rPr>
          <w:rFonts w:ascii="宋体" w:hAnsi="宋体" w:eastAsia="宋体" w:cs="宋体"/>
          <w:spacing w:val="27"/>
          <w:sz w:val="19"/>
          <w:szCs w:val="19"/>
        </w:rPr>
        <w:t xml:space="preserve">进的价值观成为高等教育质量文化的重要组成部 </w:t>
      </w:r>
      <w:r>
        <w:rPr>
          <w:rFonts w:ascii="宋体" w:hAnsi="宋体" w:eastAsia="宋体" w:cs="宋体"/>
          <w:spacing w:val="15"/>
          <w:sz w:val="19"/>
          <w:szCs w:val="19"/>
        </w:rPr>
        <w:t>分</w:t>
      </w:r>
      <w:r>
        <w:rPr>
          <w:rFonts w:ascii="微软雅黑" w:hAnsi="微软雅黑" w:eastAsia="微软雅黑" w:cs="微软雅黑"/>
          <w:spacing w:val="15"/>
          <w:sz w:val="19"/>
          <w:szCs w:val="19"/>
        </w:rPr>
        <w:t>。</w:t>
      </w:r>
    </w:p>
    <w:p>
      <w:pPr>
        <w:spacing w:line="301" w:lineRule="auto"/>
        <w:rPr>
          <w:rFonts w:ascii="Arial"/>
          <w:sz w:val="21"/>
        </w:rPr>
      </w:pPr>
    </w:p>
    <w:p>
      <w:pPr>
        <w:spacing w:before="84" w:line="211" w:lineRule="auto"/>
        <w:ind w:left="1034"/>
        <w:rPr>
          <w:rFonts w:ascii="新宋体" w:hAnsi="新宋体" w:eastAsia="新宋体" w:cs="新宋体"/>
          <w:sz w:val="26"/>
          <w:szCs w:val="26"/>
        </w:rPr>
      </w:pPr>
      <w:r>
        <w:rPr>
          <w:rFonts w:ascii="新宋体" w:hAnsi="新宋体" w:eastAsia="新宋体" w:cs="新宋体"/>
          <w:spacing w:val="14"/>
          <w:sz w:val="26"/>
          <w:szCs w:val="26"/>
        </w:rPr>
        <w:t>二</w:t>
      </w:r>
      <w:r>
        <w:rPr>
          <w:rFonts w:ascii="微软雅黑" w:hAnsi="微软雅黑" w:eastAsia="微软雅黑" w:cs="微软雅黑"/>
          <w:spacing w:val="14"/>
          <w:position w:val="1"/>
          <w:sz w:val="6"/>
          <w:szCs w:val="6"/>
        </w:rPr>
        <w:t xml:space="preserve">、   </w:t>
      </w:r>
      <w:r>
        <w:rPr>
          <w:rFonts w:ascii="新宋体" w:hAnsi="新宋体" w:eastAsia="新宋体" w:cs="新宋体"/>
          <w:spacing w:val="14"/>
          <w:sz w:val="26"/>
          <w:szCs w:val="26"/>
        </w:rPr>
        <w:t>高等教育质量文化建设的意义</w:t>
      </w:r>
    </w:p>
    <w:p>
      <w:pPr>
        <w:spacing w:line="404" w:lineRule="auto"/>
        <w:rPr>
          <w:rFonts w:ascii="Arial"/>
          <w:sz w:val="21"/>
        </w:rPr>
      </w:pPr>
    </w:p>
    <w:p>
      <w:pPr>
        <w:spacing w:before="82" w:line="231" w:lineRule="auto"/>
        <w:ind w:left="732" w:right="336" w:firstLine="421"/>
        <w:rPr>
          <w:rFonts w:ascii="微软雅黑" w:hAnsi="微软雅黑" w:eastAsia="微软雅黑" w:cs="微软雅黑"/>
          <w:sz w:val="19"/>
          <w:szCs w:val="19"/>
        </w:rPr>
      </w:pPr>
      <w:r>
        <w:rPr>
          <w:rFonts w:ascii="宋体" w:hAnsi="宋体" w:eastAsia="宋体" w:cs="宋体"/>
          <w:spacing w:val="16"/>
          <w:sz w:val="19"/>
          <w:szCs w:val="19"/>
        </w:rPr>
        <w:t>质量文化是高等教育发展的土壤</w:t>
      </w:r>
      <w:r>
        <w:rPr>
          <w:rFonts w:ascii="宋体" w:hAnsi="宋体" w:eastAsia="宋体" w:cs="宋体"/>
          <w:spacing w:val="-46"/>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优良的质量</w:t>
      </w:r>
      <w:r>
        <w:rPr>
          <w:rFonts w:ascii="宋体" w:hAnsi="宋体" w:eastAsia="宋体" w:cs="宋体"/>
          <w:sz w:val="19"/>
          <w:szCs w:val="19"/>
        </w:rPr>
        <w:t xml:space="preserve"> </w:t>
      </w:r>
      <w:r>
        <w:rPr>
          <w:rFonts w:ascii="宋体" w:hAnsi="宋体" w:eastAsia="宋体" w:cs="宋体"/>
          <w:spacing w:val="9"/>
          <w:sz w:val="19"/>
          <w:szCs w:val="19"/>
        </w:rPr>
        <w:t>文化能够孕育高质量的高等教育</w:t>
      </w:r>
      <w:r>
        <w:rPr>
          <w:rFonts w:ascii="微软雅黑" w:hAnsi="微软雅黑" w:eastAsia="微软雅黑" w:cs="微软雅黑"/>
          <w:spacing w:val="9"/>
          <w:sz w:val="19"/>
          <w:szCs w:val="19"/>
        </w:rPr>
        <w:t>，</w:t>
      </w:r>
      <w:r>
        <w:rPr>
          <w:rFonts w:ascii="宋体" w:hAnsi="宋体" w:eastAsia="宋体" w:cs="宋体"/>
          <w:spacing w:val="9"/>
          <w:sz w:val="19"/>
          <w:szCs w:val="19"/>
        </w:rPr>
        <w:t>相反</w:t>
      </w:r>
      <w:r>
        <w:rPr>
          <w:rFonts w:ascii="微软雅黑" w:hAnsi="微软雅黑" w:eastAsia="微软雅黑" w:cs="微软雅黑"/>
          <w:spacing w:val="9"/>
          <w:sz w:val="19"/>
          <w:szCs w:val="19"/>
        </w:rPr>
        <w:t>，</w:t>
      </w:r>
      <w:r>
        <w:rPr>
          <w:rFonts w:ascii="宋体" w:hAnsi="宋体" w:eastAsia="宋体" w:cs="宋体"/>
          <w:spacing w:val="9"/>
          <w:sz w:val="19"/>
          <w:szCs w:val="19"/>
        </w:rPr>
        <w:t>低劣的质量</w:t>
      </w:r>
      <w:r>
        <w:rPr>
          <w:rFonts w:ascii="宋体" w:hAnsi="宋体" w:eastAsia="宋体" w:cs="宋体"/>
          <w:spacing w:val="13"/>
          <w:sz w:val="19"/>
          <w:szCs w:val="19"/>
        </w:rPr>
        <w:t xml:space="preserve"> </w:t>
      </w:r>
      <w:r>
        <w:rPr>
          <w:rFonts w:ascii="宋体" w:hAnsi="宋体" w:eastAsia="宋体" w:cs="宋体"/>
          <w:spacing w:val="16"/>
          <w:sz w:val="19"/>
          <w:szCs w:val="19"/>
        </w:rPr>
        <w:t>文化对高等教育的影响可能是致命的</w:t>
      </w:r>
      <w:r>
        <w:rPr>
          <w:rFonts w:ascii="宋体" w:hAnsi="宋体" w:eastAsia="宋体" w:cs="宋体"/>
          <w:spacing w:val="-37"/>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质量文化的</w:t>
      </w:r>
      <w:r>
        <w:rPr>
          <w:rFonts w:ascii="宋体" w:hAnsi="宋体" w:eastAsia="宋体" w:cs="宋体"/>
          <w:sz w:val="19"/>
          <w:szCs w:val="19"/>
        </w:rPr>
        <w:t xml:space="preserve"> </w:t>
      </w:r>
      <w:r>
        <w:rPr>
          <w:rFonts w:ascii="宋体" w:hAnsi="宋体" w:eastAsia="宋体" w:cs="宋体"/>
          <w:spacing w:val="15"/>
          <w:sz w:val="19"/>
          <w:szCs w:val="19"/>
        </w:rPr>
        <w:t>形成有两种基本路径</w:t>
      </w:r>
      <w:r>
        <w:rPr>
          <w:rFonts w:ascii="微软雅黑" w:hAnsi="微软雅黑" w:eastAsia="微软雅黑" w:cs="微软雅黑"/>
          <w:spacing w:val="15"/>
          <w:sz w:val="19"/>
          <w:szCs w:val="19"/>
        </w:rPr>
        <w:t>：</w:t>
      </w:r>
      <w:r>
        <w:rPr>
          <w:rFonts w:ascii="宋体" w:hAnsi="宋体" w:eastAsia="宋体" w:cs="宋体"/>
          <w:spacing w:val="15"/>
          <w:sz w:val="19"/>
          <w:szCs w:val="19"/>
        </w:rPr>
        <w:t>一是</w:t>
      </w:r>
      <w:r>
        <w:rPr>
          <w:rFonts w:ascii="宋体" w:hAnsi="宋体" w:eastAsia="宋体" w:cs="宋体"/>
          <w:spacing w:val="-15"/>
          <w:sz w:val="19"/>
          <w:szCs w:val="19"/>
        </w:rPr>
        <w:t xml:space="preserve"> </w:t>
      </w:r>
      <w:r>
        <w:rPr>
          <w:rFonts w:ascii="宋体" w:hAnsi="宋体" w:eastAsia="宋体" w:cs="宋体"/>
          <w:spacing w:val="15"/>
          <w:sz w:val="19"/>
          <w:szCs w:val="19"/>
        </w:rPr>
        <w:t>自然天成</w:t>
      </w:r>
      <w:r>
        <w:rPr>
          <w:rFonts w:ascii="微软雅黑" w:hAnsi="微软雅黑" w:eastAsia="微软雅黑" w:cs="微软雅黑"/>
          <w:spacing w:val="15"/>
          <w:sz w:val="19"/>
          <w:szCs w:val="19"/>
        </w:rPr>
        <w:t>，</w:t>
      </w:r>
      <w:r>
        <w:rPr>
          <w:rFonts w:ascii="宋体" w:hAnsi="宋体" w:eastAsia="宋体" w:cs="宋体"/>
          <w:spacing w:val="15"/>
          <w:sz w:val="19"/>
          <w:szCs w:val="19"/>
        </w:rPr>
        <w:t>二是有意作</w:t>
      </w:r>
      <w:r>
        <w:rPr>
          <w:rFonts w:ascii="宋体" w:hAnsi="宋体" w:eastAsia="宋体" w:cs="宋体"/>
          <w:sz w:val="19"/>
          <w:szCs w:val="19"/>
        </w:rPr>
        <w:t xml:space="preserve"> </w:t>
      </w:r>
      <w:r>
        <w:rPr>
          <w:rFonts w:ascii="宋体" w:hAnsi="宋体" w:eastAsia="宋体" w:cs="宋体"/>
          <w:spacing w:val="16"/>
          <w:sz w:val="19"/>
          <w:szCs w:val="19"/>
        </w:rPr>
        <w:t>为</w:t>
      </w:r>
      <w:r>
        <w:rPr>
          <w:rFonts w:ascii="宋体" w:hAnsi="宋体" w:eastAsia="宋体" w:cs="宋体"/>
          <w:spacing w:val="-39"/>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前者是指师生在高等教育发展过程中长期积淀</w:t>
      </w:r>
      <w:r>
        <w:rPr>
          <w:rFonts w:ascii="宋体" w:hAnsi="宋体" w:eastAsia="宋体" w:cs="宋体"/>
          <w:sz w:val="19"/>
          <w:szCs w:val="19"/>
        </w:rPr>
        <w:t xml:space="preserve"> </w:t>
      </w:r>
      <w:r>
        <w:rPr>
          <w:rFonts w:ascii="宋体" w:hAnsi="宋体" w:eastAsia="宋体" w:cs="宋体"/>
          <w:spacing w:val="18"/>
          <w:sz w:val="19"/>
          <w:szCs w:val="19"/>
        </w:rPr>
        <w:t>而成的质量文化</w:t>
      </w:r>
      <w:r>
        <w:rPr>
          <w:rFonts w:ascii="微软雅黑" w:hAnsi="微软雅黑" w:eastAsia="微软雅黑" w:cs="微软雅黑"/>
          <w:spacing w:val="18"/>
          <w:sz w:val="19"/>
          <w:szCs w:val="19"/>
        </w:rPr>
        <w:t>，</w:t>
      </w:r>
      <w:r>
        <w:rPr>
          <w:rFonts w:ascii="宋体" w:hAnsi="宋体" w:eastAsia="宋体" w:cs="宋体"/>
          <w:spacing w:val="18"/>
          <w:sz w:val="19"/>
          <w:szCs w:val="19"/>
        </w:rPr>
        <w:t>后者主要指在多种利益相关者的</w:t>
      </w:r>
      <w:r>
        <w:rPr>
          <w:rFonts w:ascii="宋体" w:hAnsi="宋体" w:eastAsia="宋体" w:cs="宋体"/>
          <w:spacing w:val="14"/>
          <w:sz w:val="19"/>
          <w:szCs w:val="19"/>
        </w:rPr>
        <w:t xml:space="preserve"> </w:t>
      </w:r>
      <w:r>
        <w:rPr>
          <w:rFonts w:ascii="宋体" w:hAnsi="宋体" w:eastAsia="宋体" w:cs="宋体"/>
          <w:spacing w:val="18"/>
          <w:sz w:val="19"/>
          <w:szCs w:val="19"/>
        </w:rPr>
        <w:t>影响下</w:t>
      </w:r>
      <w:r>
        <w:rPr>
          <w:rFonts w:ascii="微软雅黑" w:hAnsi="微软雅黑" w:eastAsia="微软雅黑" w:cs="微软雅黑"/>
          <w:spacing w:val="18"/>
          <w:sz w:val="19"/>
          <w:szCs w:val="19"/>
        </w:rPr>
        <w:t>，</w:t>
      </w:r>
      <w:r>
        <w:rPr>
          <w:rFonts w:ascii="宋体" w:hAnsi="宋体" w:eastAsia="宋体" w:cs="宋体"/>
          <w:spacing w:val="18"/>
          <w:sz w:val="19"/>
          <w:szCs w:val="19"/>
        </w:rPr>
        <w:t>师生受各种高等教育改革的影响改变教育</w:t>
      </w:r>
      <w:r>
        <w:rPr>
          <w:rFonts w:ascii="宋体" w:hAnsi="宋体" w:eastAsia="宋体" w:cs="宋体"/>
          <w:spacing w:val="13"/>
          <w:sz w:val="19"/>
          <w:szCs w:val="19"/>
        </w:rPr>
        <w:t xml:space="preserve"> </w:t>
      </w:r>
      <w:r>
        <w:rPr>
          <w:rFonts w:ascii="宋体" w:hAnsi="宋体" w:eastAsia="宋体" w:cs="宋体"/>
          <w:spacing w:val="15"/>
          <w:sz w:val="19"/>
          <w:szCs w:val="19"/>
        </w:rPr>
        <w:t>教学行为</w:t>
      </w:r>
      <w:r>
        <w:rPr>
          <w:rFonts w:ascii="微软雅黑" w:hAnsi="微软雅黑" w:eastAsia="微软雅黑" w:cs="微软雅黑"/>
          <w:spacing w:val="15"/>
          <w:sz w:val="19"/>
          <w:szCs w:val="19"/>
        </w:rPr>
        <w:t>，</w:t>
      </w:r>
      <w:r>
        <w:rPr>
          <w:rFonts w:ascii="宋体" w:hAnsi="宋体" w:eastAsia="宋体" w:cs="宋体"/>
          <w:spacing w:val="15"/>
          <w:sz w:val="19"/>
          <w:szCs w:val="19"/>
        </w:rPr>
        <w:t>从而导致新的质量文化的生成</w:t>
      </w:r>
      <w:r>
        <w:rPr>
          <w:rFonts w:ascii="宋体" w:hAnsi="宋体" w:eastAsia="宋体" w:cs="宋体"/>
          <w:spacing w:val="-35"/>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5"/>
          <w:sz w:val="19"/>
          <w:szCs w:val="19"/>
        </w:rPr>
        <w:t>这是一</w:t>
      </w:r>
      <w:r>
        <w:rPr>
          <w:rFonts w:ascii="宋体" w:hAnsi="宋体" w:eastAsia="宋体" w:cs="宋体"/>
          <w:sz w:val="19"/>
          <w:szCs w:val="19"/>
        </w:rPr>
        <w:t xml:space="preserve"> </w:t>
      </w:r>
      <w:r>
        <w:rPr>
          <w:rFonts w:ascii="宋体" w:hAnsi="宋体" w:eastAsia="宋体" w:cs="宋体"/>
          <w:spacing w:val="14"/>
          <w:sz w:val="19"/>
          <w:szCs w:val="19"/>
        </w:rPr>
        <w:t>种主动作为</w:t>
      </w:r>
      <w:r>
        <w:rPr>
          <w:rFonts w:ascii="微软雅黑" w:hAnsi="微软雅黑" w:eastAsia="微软雅黑" w:cs="微软雅黑"/>
          <w:spacing w:val="14"/>
          <w:position w:val="1"/>
          <w:sz w:val="19"/>
          <w:szCs w:val="19"/>
        </w:rPr>
        <w:t>、</w:t>
      </w:r>
      <w:r>
        <w:rPr>
          <w:rFonts w:ascii="宋体" w:hAnsi="宋体" w:eastAsia="宋体" w:cs="宋体"/>
          <w:spacing w:val="14"/>
          <w:sz w:val="19"/>
          <w:szCs w:val="19"/>
        </w:rPr>
        <w:t>有意建设的质量文化发展方式</w:t>
      </w:r>
      <w:r>
        <w:rPr>
          <w:rFonts w:ascii="宋体" w:hAnsi="宋体" w:eastAsia="宋体" w:cs="宋体"/>
          <w:spacing w:val="-47"/>
          <w:sz w:val="19"/>
          <w:szCs w:val="19"/>
        </w:rPr>
        <w:t xml:space="preserve"> </w:t>
      </w:r>
      <w:r>
        <w:rPr>
          <w:rFonts w:ascii="微软雅黑" w:hAnsi="微软雅黑" w:eastAsia="微软雅黑" w:cs="微软雅黑"/>
          <w:spacing w:val="14"/>
          <w:position w:val="1"/>
          <w:sz w:val="19"/>
          <w:szCs w:val="19"/>
        </w:rPr>
        <w:t>。</w:t>
      </w:r>
      <w:r>
        <w:rPr>
          <w:rFonts w:ascii="微软雅黑" w:hAnsi="微软雅黑" w:eastAsia="微软雅黑" w:cs="微软雅黑"/>
          <w:spacing w:val="-37"/>
          <w:position w:val="1"/>
          <w:sz w:val="19"/>
          <w:szCs w:val="19"/>
        </w:rPr>
        <w:t xml:space="preserve"> </w:t>
      </w:r>
      <w:r>
        <w:rPr>
          <w:rFonts w:ascii="Arial" w:hAnsi="Arial" w:eastAsia="Arial" w:cs="Arial"/>
          <w:spacing w:val="14"/>
          <w:sz w:val="19"/>
          <w:szCs w:val="19"/>
        </w:rPr>
        <w:t>20</w:t>
      </w:r>
      <w:r>
        <w:rPr>
          <w:rFonts w:ascii="宋体" w:hAnsi="宋体" w:eastAsia="宋体" w:cs="宋体"/>
          <w:spacing w:val="14"/>
          <w:sz w:val="19"/>
          <w:szCs w:val="19"/>
        </w:rPr>
        <w:t>世</w:t>
      </w:r>
      <w:r>
        <w:rPr>
          <w:rFonts w:ascii="宋体" w:hAnsi="宋体" w:eastAsia="宋体" w:cs="宋体"/>
          <w:sz w:val="19"/>
          <w:szCs w:val="19"/>
        </w:rPr>
        <w:t xml:space="preserve"> </w:t>
      </w:r>
      <w:r>
        <w:rPr>
          <w:rFonts w:ascii="宋体" w:hAnsi="宋体" w:eastAsia="宋体" w:cs="宋体"/>
          <w:spacing w:val="9"/>
          <w:sz w:val="19"/>
          <w:szCs w:val="19"/>
        </w:rPr>
        <w:t>纪以来</w:t>
      </w:r>
      <w:r>
        <w:rPr>
          <w:rFonts w:ascii="微软雅黑" w:hAnsi="微软雅黑" w:eastAsia="微软雅黑" w:cs="微软雅黑"/>
          <w:spacing w:val="9"/>
          <w:sz w:val="19"/>
          <w:szCs w:val="19"/>
        </w:rPr>
        <w:t>，</w:t>
      </w:r>
      <w:r>
        <w:rPr>
          <w:rFonts w:ascii="宋体" w:hAnsi="宋体" w:eastAsia="宋体" w:cs="宋体"/>
          <w:spacing w:val="9"/>
          <w:sz w:val="19"/>
          <w:szCs w:val="19"/>
        </w:rPr>
        <w:t>尤其是二战结束以来</w:t>
      </w:r>
      <w:r>
        <w:rPr>
          <w:rFonts w:ascii="微软雅黑" w:hAnsi="微软雅黑" w:eastAsia="微软雅黑" w:cs="微软雅黑"/>
          <w:spacing w:val="9"/>
          <w:sz w:val="19"/>
          <w:szCs w:val="19"/>
        </w:rPr>
        <w:t>，</w:t>
      </w:r>
      <w:r>
        <w:rPr>
          <w:rFonts w:ascii="宋体" w:hAnsi="宋体" w:eastAsia="宋体" w:cs="宋体"/>
          <w:spacing w:val="9"/>
          <w:sz w:val="19"/>
          <w:szCs w:val="19"/>
        </w:rPr>
        <w:t>质量文化建设成为推</w:t>
      </w:r>
      <w:r>
        <w:rPr>
          <w:rFonts w:ascii="宋体" w:hAnsi="宋体" w:eastAsia="宋体" w:cs="宋体"/>
          <w:spacing w:val="12"/>
          <w:sz w:val="19"/>
          <w:szCs w:val="19"/>
        </w:rPr>
        <w:t xml:space="preserve"> </w:t>
      </w:r>
      <w:r>
        <w:rPr>
          <w:rFonts w:ascii="宋体" w:hAnsi="宋体" w:eastAsia="宋体" w:cs="宋体"/>
          <w:spacing w:val="9"/>
          <w:sz w:val="19"/>
          <w:szCs w:val="19"/>
        </w:rPr>
        <w:t>动高等教育高质量</w:t>
      </w:r>
      <w:r>
        <w:rPr>
          <w:rFonts w:ascii="微软雅黑" w:hAnsi="微软雅黑" w:eastAsia="微软雅黑" w:cs="微软雅黑"/>
          <w:spacing w:val="9"/>
          <w:sz w:val="19"/>
          <w:szCs w:val="19"/>
        </w:rPr>
        <w:t>、</w:t>
      </w:r>
      <w:r>
        <w:rPr>
          <w:rFonts w:ascii="宋体" w:hAnsi="宋体" w:eastAsia="宋体" w:cs="宋体"/>
          <w:spacing w:val="9"/>
          <w:sz w:val="19"/>
          <w:szCs w:val="19"/>
        </w:rPr>
        <w:t>大规模发展的重点战略</w:t>
      </w:r>
      <w:r>
        <w:rPr>
          <w:rFonts w:ascii="微软雅黑" w:hAnsi="微软雅黑" w:eastAsia="微软雅黑" w:cs="微软雅黑"/>
          <w:spacing w:val="9"/>
          <w:sz w:val="19"/>
          <w:szCs w:val="19"/>
        </w:rPr>
        <w:t>，</w:t>
      </w:r>
      <w:r>
        <w:rPr>
          <w:rFonts w:ascii="宋体" w:hAnsi="宋体" w:eastAsia="宋体" w:cs="宋体"/>
          <w:spacing w:val="9"/>
          <w:sz w:val="19"/>
          <w:szCs w:val="19"/>
        </w:rPr>
        <w:t>受到众</w:t>
      </w:r>
      <w:r>
        <w:rPr>
          <w:rFonts w:ascii="宋体" w:hAnsi="宋体" w:eastAsia="宋体" w:cs="宋体"/>
          <w:spacing w:val="14"/>
          <w:sz w:val="19"/>
          <w:szCs w:val="19"/>
        </w:rPr>
        <w:t xml:space="preserve"> </w:t>
      </w:r>
      <w:r>
        <w:rPr>
          <w:rFonts w:ascii="宋体" w:hAnsi="宋体" w:eastAsia="宋体" w:cs="宋体"/>
          <w:spacing w:val="15"/>
          <w:sz w:val="19"/>
          <w:szCs w:val="19"/>
        </w:rPr>
        <w:t>多国家的重视</w:t>
      </w:r>
      <w:r>
        <w:rPr>
          <w:rFonts w:ascii="微软雅黑" w:hAnsi="微软雅黑" w:eastAsia="微软雅黑" w:cs="微软雅黑"/>
          <w:spacing w:val="15"/>
          <w:sz w:val="19"/>
          <w:szCs w:val="19"/>
        </w:rPr>
        <w:t>，</w:t>
      </w:r>
      <w:r>
        <w:rPr>
          <w:rFonts w:ascii="宋体" w:hAnsi="宋体" w:eastAsia="宋体" w:cs="宋体"/>
          <w:spacing w:val="15"/>
          <w:sz w:val="19"/>
          <w:szCs w:val="19"/>
        </w:rPr>
        <w:t>发挥了积极而重要的影响</w:t>
      </w:r>
      <w:r>
        <w:rPr>
          <w:rFonts w:ascii="宋体" w:hAnsi="宋体" w:eastAsia="宋体" w:cs="宋体"/>
          <w:spacing w:val="-35"/>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5"/>
          <w:sz w:val="19"/>
          <w:szCs w:val="19"/>
        </w:rPr>
        <w:t>概而言</w:t>
      </w:r>
      <w:r>
        <w:rPr>
          <w:rFonts w:ascii="宋体" w:hAnsi="宋体" w:eastAsia="宋体" w:cs="宋体"/>
          <w:sz w:val="19"/>
          <w:szCs w:val="19"/>
        </w:rPr>
        <w:t xml:space="preserve"> </w:t>
      </w:r>
      <w:r>
        <w:rPr>
          <w:rFonts w:ascii="宋体" w:hAnsi="宋体" w:eastAsia="宋体" w:cs="宋体"/>
          <w:spacing w:val="9"/>
          <w:sz w:val="19"/>
          <w:szCs w:val="19"/>
        </w:rPr>
        <w:t>之</w:t>
      </w:r>
      <w:r>
        <w:rPr>
          <w:rFonts w:ascii="微软雅黑" w:hAnsi="微软雅黑" w:eastAsia="微软雅黑" w:cs="微软雅黑"/>
          <w:spacing w:val="9"/>
          <w:sz w:val="19"/>
          <w:szCs w:val="19"/>
        </w:rPr>
        <w:t>，</w:t>
      </w:r>
      <w:r>
        <w:rPr>
          <w:rFonts w:ascii="宋体" w:hAnsi="宋体" w:eastAsia="宋体" w:cs="宋体"/>
          <w:spacing w:val="9"/>
          <w:sz w:val="19"/>
          <w:szCs w:val="19"/>
        </w:rPr>
        <w:t>质量文化建设主要有两方面的意义</w:t>
      </w:r>
      <w:r>
        <w:rPr>
          <w:rFonts w:ascii="微软雅黑" w:hAnsi="微软雅黑" w:eastAsia="微软雅黑" w:cs="微软雅黑"/>
          <w:spacing w:val="9"/>
          <w:sz w:val="19"/>
          <w:szCs w:val="19"/>
        </w:rPr>
        <w:t>：</w:t>
      </w:r>
      <w:r>
        <w:rPr>
          <w:rFonts w:ascii="宋体" w:hAnsi="宋体" w:eastAsia="宋体" w:cs="宋体"/>
          <w:spacing w:val="9"/>
          <w:sz w:val="19"/>
          <w:szCs w:val="19"/>
        </w:rPr>
        <w:t>一则是本体</w:t>
      </w:r>
      <w:r>
        <w:rPr>
          <w:rFonts w:ascii="宋体" w:hAnsi="宋体" w:eastAsia="宋体" w:cs="宋体"/>
          <w:spacing w:val="13"/>
          <w:sz w:val="19"/>
          <w:szCs w:val="19"/>
        </w:rPr>
        <w:t xml:space="preserve"> </w:t>
      </w:r>
      <w:r>
        <w:rPr>
          <w:rFonts w:ascii="宋体" w:hAnsi="宋体" w:eastAsia="宋体" w:cs="宋体"/>
          <w:spacing w:val="7"/>
          <w:sz w:val="19"/>
          <w:szCs w:val="19"/>
        </w:rPr>
        <w:t>意义</w:t>
      </w:r>
      <w:r>
        <w:rPr>
          <w:rFonts w:ascii="微软雅黑" w:hAnsi="微软雅黑" w:eastAsia="微软雅黑" w:cs="微软雅黑"/>
          <w:spacing w:val="7"/>
          <w:sz w:val="19"/>
          <w:szCs w:val="19"/>
        </w:rPr>
        <w:t>，</w:t>
      </w:r>
      <w:r>
        <w:rPr>
          <w:rFonts w:ascii="宋体" w:hAnsi="宋体" w:eastAsia="宋体" w:cs="宋体"/>
          <w:spacing w:val="7"/>
          <w:sz w:val="19"/>
          <w:szCs w:val="19"/>
        </w:rPr>
        <w:t>一则是社会意义</w:t>
      </w:r>
      <w:r>
        <w:rPr>
          <w:rFonts w:ascii="宋体" w:hAnsi="宋体" w:eastAsia="宋体" w:cs="宋体"/>
          <w:spacing w:val="-36"/>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二者是统一的</w:t>
      </w:r>
      <w:r>
        <w:rPr>
          <w:rFonts w:ascii="微软雅黑" w:hAnsi="微软雅黑" w:eastAsia="微软雅黑" w:cs="微软雅黑"/>
          <w:spacing w:val="7"/>
          <w:sz w:val="19"/>
          <w:szCs w:val="19"/>
        </w:rPr>
        <w:t>，</w:t>
      </w:r>
      <w:r>
        <w:rPr>
          <w:rFonts w:ascii="宋体" w:hAnsi="宋体" w:eastAsia="宋体" w:cs="宋体"/>
          <w:spacing w:val="7"/>
          <w:sz w:val="19"/>
          <w:szCs w:val="19"/>
        </w:rPr>
        <w:t>分而析之只</w:t>
      </w:r>
      <w:r>
        <w:rPr>
          <w:rFonts w:ascii="宋体" w:hAnsi="宋体" w:eastAsia="宋体" w:cs="宋体"/>
          <w:sz w:val="19"/>
          <w:szCs w:val="19"/>
        </w:rPr>
        <w:t xml:space="preserve"> </w:t>
      </w:r>
      <w:r>
        <w:rPr>
          <w:rFonts w:ascii="宋体" w:hAnsi="宋体" w:eastAsia="宋体" w:cs="宋体"/>
          <w:spacing w:val="19"/>
          <w:sz w:val="19"/>
          <w:szCs w:val="19"/>
        </w:rPr>
        <w:t>是为了更深入清晰地认识质量文化建设的意义</w:t>
      </w:r>
      <w:r>
        <w:rPr>
          <w:rFonts w:ascii="微软雅黑" w:hAnsi="微软雅黑" w:eastAsia="微软雅黑" w:cs="微软雅黑"/>
          <w:spacing w:val="19"/>
          <w:sz w:val="19"/>
          <w:szCs w:val="19"/>
        </w:rPr>
        <w:t>。</w:t>
      </w:r>
    </w:p>
    <w:p>
      <w:pPr>
        <w:spacing w:before="65" w:line="212" w:lineRule="auto"/>
        <w:ind w:left="1158"/>
        <w:rPr>
          <w:rFonts w:ascii="黑体" w:hAnsi="黑体" w:eastAsia="黑体" w:cs="黑体"/>
          <w:sz w:val="19"/>
          <w:szCs w:val="19"/>
        </w:rPr>
      </w:pPr>
      <w:r>
        <w:rPr>
          <w:rFonts w:ascii="Arial" w:hAnsi="Arial" w:eastAsia="Arial" w:cs="Arial"/>
          <w:spacing w:val="11"/>
          <w:position w:val="-1"/>
          <w:sz w:val="19"/>
          <w:szCs w:val="19"/>
        </w:rPr>
        <w:t>1</w:t>
      </w:r>
      <w:r>
        <w:rPr>
          <w:rFonts w:ascii="Arial" w:hAnsi="Arial" w:eastAsia="Arial" w:cs="Arial"/>
          <w:spacing w:val="-8"/>
          <w:position w:val="-1"/>
          <w:sz w:val="19"/>
          <w:szCs w:val="19"/>
        </w:rPr>
        <w:t xml:space="preserve"> </w:t>
      </w:r>
      <w:r>
        <w:rPr>
          <w:rFonts w:ascii="Arial" w:hAnsi="Arial" w:eastAsia="Arial" w:cs="Arial"/>
          <w:spacing w:val="11"/>
          <w:position w:val="-1"/>
          <w:sz w:val="19"/>
          <w:szCs w:val="19"/>
        </w:rPr>
        <w:t>.</w:t>
      </w:r>
      <w:r>
        <w:rPr>
          <w:rFonts w:ascii="Arial" w:hAnsi="Arial" w:eastAsia="Arial" w:cs="Arial"/>
          <w:spacing w:val="-10"/>
          <w:position w:val="-1"/>
          <w:sz w:val="19"/>
          <w:szCs w:val="19"/>
        </w:rPr>
        <w:t xml:space="preserve"> </w:t>
      </w:r>
      <w:r>
        <w:rPr>
          <w:rFonts w:ascii="黑体" w:hAnsi="黑体" w:eastAsia="黑体" w:cs="黑体"/>
          <w:spacing w:val="11"/>
          <w:sz w:val="19"/>
          <w:szCs w:val="19"/>
        </w:rPr>
        <w:t>高等教育质量文化建设的本体意义</w:t>
      </w:r>
    </w:p>
    <w:p>
      <w:pPr>
        <w:spacing w:before="94" w:line="226" w:lineRule="auto"/>
        <w:ind w:left="730" w:right="336" w:firstLine="423"/>
        <w:rPr>
          <w:rFonts w:ascii="微软雅黑" w:hAnsi="微软雅黑" w:eastAsia="微软雅黑" w:cs="微软雅黑"/>
          <w:sz w:val="19"/>
          <w:szCs w:val="19"/>
        </w:rPr>
      </w:pPr>
      <w:r>
        <w:rPr>
          <w:rFonts w:ascii="宋体" w:hAnsi="宋体" w:eastAsia="宋体" w:cs="宋体"/>
          <w:spacing w:val="18"/>
          <w:sz w:val="19"/>
          <w:szCs w:val="19"/>
        </w:rPr>
        <w:t>质量文化建设是在高等教育过程中实施</w:t>
      </w:r>
      <w:r>
        <w:rPr>
          <w:rFonts w:ascii="微软雅黑" w:hAnsi="微软雅黑" w:eastAsia="微软雅黑" w:cs="微软雅黑"/>
          <w:spacing w:val="18"/>
          <w:sz w:val="19"/>
          <w:szCs w:val="19"/>
        </w:rPr>
        <w:t>、</w:t>
      </w:r>
      <w:r>
        <w:rPr>
          <w:rFonts w:ascii="宋体" w:hAnsi="宋体" w:eastAsia="宋体" w:cs="宋体"/>
          <w:spacing w:val="18"/>
          <w:sz w:val="19"/>
          <w:szCs w:val="19"/>
        </w:rPr>
        <w:t>为促</w:t>
      </w:r>
      <w:r>
        <w:rPr>
          <w:rFonts w:ascii="宋体" w:hAnsi="宋体" w:eastAsia="宋体" w:cs="宋体"/>
          <w:spacing w:val="9"/>
          <w:sz w:val="19"/>
          <w:szCs w:val="19"/>
        </w:rPr>
        <w:t xml:space="preserve"> </w:t>
      </w:r>
      <w:r>
        <w:rPr>
          <w:rFonts w:ascii="宋体" w:hAnsi="宋体" w:eastAsia="宋体" w:cs="宋体"/>
          <w:spacing w:val="16"/>
          <w:sz w:val="19"/>
          <w:szCs w:val="19"/>
        </w:rPr>
        <w:t>进高等教育更好发展服务的活动</w:t>
      </w:r>
      <w:r>
        <w:rPr>
          <w:rFonts w:ascii="宋体" w:hAnsi="宋体" w:eastAsia="宋体" w:cs="宋体"/>
          <w:spacing w:val="-35"/>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质量文化不可能</w:t>
      </w:r>
      <w:r>
        <w:rPr>
          <w:rFonts w:ascii="宋体" w:hAnsi="宋体" w:eastAsia="宋体" w:cs="宋体"/>
          <w:sz w:val="19"/>
          <w:szCs w:val="19"/>
        </w:rPr>
        <w:t xml:space="preserve"> </w:t>
      </w:r>
      <w:r>
        <w:rPr>
          <w:rFonts w:ascii="宋体" w:hAnsi="宋体" w:eastAsia="宋体" w:cs="宋体"/>
          <w:spacing w:val="18"/>
          <w:sz w:val="19"/>
          <w:szCs w:val="19"/>
        </w:rPr>
        <w:t>脱离高等教育而存在</w:t>
      </w:r>
      <w:r>
        <w:rPr>
          <w:rFonts w:ascii="微软雅黑" w:hAnsi="微软雅黑" w:eastAsia="微软雅黑" w:cs="微软雅黑"/>
          <w:spacing w:val="18"/>
          <w:sz w:val="19"/>
          <w:szCs w:val="19"/>
        </w:rPr>
        <w:t>，</w:t>
      </w:r>
      <w:r>
        <w:rPr>
          <w:rFonts w:ascii="宋体" w:hAnsi="宋体" w:eastAsia="宋体" w:cs="宋体"/>
          <w:spacing w:val="18"/>
          <w:sz w:val="19"/>
          <w:szCs w:val="19"/>
        </w:rPr>
        <w:t>质量文化建设工作也只能在</w:t>
      </w:r>
      <w:r>
        <w:rPr>
          <w:rFonts w:ascii="宋体" w:hAnsi="宋体" w:eastAsia="宋体" w:cs="宋体"/>
          <w:spacing w:val="15"/>
          <w:sz w:val="19"/>
          <w:szCs w:val="19"/>
        </w:rPr>
        <w:t xml:space="preserve"> </w:t>
      </w:r>
      <w:r>
        <w:rPr>
          <w:rFonts w:ascii="宋体" w:hAnsi="宋体" w:eastAsia="宋体" w:cs="宋体"/>
          <w:spacing w:val="18"/>
          <w:sz w:val="19"/>
          <w:szCs w:val="19"/>
        </w:rPr>
        <w:t>高等教育过程中实施才能产生实际的效果</w:t>
      </w:r>
      <w:r>
        <w:rPr>
          <w:rFonts w:ascii="微软雅黑" w:hAnsi="微软雅黑" w:eastAsia="微软雅黑" w:cs="微软雅黑"/>
          <w:spacing w:val="18"/>
          <w:sz w:val="19"/>
          <w:szCs w:val="19"/>
        </w:rPr>
        <w:t>，</w:t>
      </w:r>
      <w:r>
        <w:rPr>
          <w:rFonts w:ascii="宋体" w:hAnsi="宋体" w:eastAsia="宋体" w:cs="宋体"/>
          <w:spacing w:val="18"/>
          <w:sz w:val="19"/>
          <w:szCs w:val="19"/>
        </w:rPr>
        <w:t>达到建</w:t>
      </w:r>
      <w:r>
        <w:rPr>
          <w:rFonts w:ascii="宋体" w:hAnsi="宋体" w:eastAsia="宋体" w:cs="宋体"/>
          <w:spacing w:val="17"/>
          <w:sz w:val="19"/>
          <w:szCs w:val="19"/>
        </w:rPr>
        <w:t xml:space="preserve"> </w:t>
      </w:r>
      <w:r>
        <w:rPr>
          <w:rFonts w:ascii="宋体" w:hAnsi="宋体" w:eastAsia="宋体" w:cs="宋体"/>
          <w:spacing w:val="16"/>
          <w:sz w:val="19"/>
          <w:szCs w:val="19"/>
        </w:rPr>
        <w:t>设目的</w:t>
      </w:r>
      <w:r>
        <w:rPr>
          <w:rFonts w:ascii="宋体" w:hAnsi="宋体" w:eastAsia="宋体" w:cs="宋体"/>
          <w:spacing w:val="-35"/>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所以</w:t>
      </w:r>
      <w:r>
        <w:rPr>
          <w:rFonts w:ascii="微软雅黑" w:hAnsi="微软雅黑" w:eastAsia="微软雅黑" w:cs="微软雅黑"/>
          <w:spacing w:val="16"/>
          <w:sz w:val="19"/>
          <w:szCs w:val="19"/>
        </w:rPr>
        <w:t>，</w:t>
      </w:r>
      <w:r>
        <w:rPr>
          <w:rFonts w:ascii="宋体" w:hAnsi="宋体" w:eastAsia="宋体" w:cs="宋体"/>
          <w:spacing w:val="16"/>
          <w:sz w:val="19"/>
          <w:szCs w:val="19"/>
        </w:rPr>
        <w:t>质量文化建设的要义在于服务高等</w:t>
      </w:r>
      <w:r>
        <w:rPr>
          <w:rFonts w:ascii="宋体" w:hAnsi="宋体" w:eastAsia="宋体" w:cs="宋体"/>
          <w:sz w:val="19"/>
          <w:szCs w:val="19"/>
        </w:rPr>
        <w:t xml:space="preserve"> </w:t>
      </w:r>
      <w:r>
        <w:rPr>
          <w:rFonts w:ascii="宋体" w:hAnsi="宋体" w:eastAsia="宋体" w:cs="宋体"/>
          <w:spacing w:val="13"/>
          <w:sz w:val="19"/>
          <w:szCs w:val="19"/>
        </w:rPr>
        <w:t>教育发展</w:t>
      </w:r>
      <w:r>
        <w:rPr>
          <w:rFonts w:ascii="微软雅黑" w:hAnsi="微软雅黑" w:eastAsia="微软雅黑" w:cs="微软雅黑"/>
          <w:spacing w:val="13"/>
          <w:sz w:val="19"/>
          <w:szCs w:val="19"/>
        </w:rPr>
        <w:t>，</w:t>
      </w:r>
      <w:r>
        <w:rPr>
          <w:rFonts w:ascii="宋体" w:hAnsi="宋体" w:eastAsia="宋体" w:cs="宋体"/>
          <w:spacing w:val="13"/>
          <w:sz w:val="19"/>
          <w:szCs w:val="19"/>
        </w:rPr>
        <w:t>这是质量文化建设的本体意义</w:t>
      </w:r>
      <w:r>
        <w:rPr>
          <w:rFonts w:ascii="微软雅黑" w:hAnsi="微软雅黑" w:eastAsia="微软雅黑" w:cs="微软雅黑"/>
          <w:spacing w:val="13"/>
          <w:sz w:val="19"/>
          <w:szCs w:val="19"/>
        </w:rPr>
        <w:t>。</w:t>
      </w:r>
    </w:p>
    <w:p>
      <w:pPr>
        <w:spacing w:before="71" w:line="210" w:lineRule="auto"/>
        <w:ind w:left="732" w:right="337" w:firstLine="436"/>
        <w:rPr>
          <w:rFonts w:ascii="微软雅黑" w:hAnsi="微软雅黑" w:eastAsia="微软雅黑" w:cs="微软雅黑"/>
          <w:sz w:val="19"/>
          <w:szCs w:val="19"/>
        </w:rPr>
      </w:pPr>
      <w:r>
        <w:rPr>
          <w:rFonts w:ascii="微软雅黑" w:hAnsi="微软雅黑" w:eastAsia="微软雅黑" w:cs="微软雅黑"/>
          <w:spacing w:val="12"/>
          <w:sz w:val="19"/>
          <w:szCs w:val="19"/>
        </w:rPr>
        <w:t>(</w:t>
      </w:r>
      <w:r>
        <w:rPr>
          <w:rFonts w:ascii="Arial" w:hAnsi="Arial" w:eastAsia="Arial" w:cs="Arial"/>
          <w:spacing w:val="12"/>
          <w:sz w:val="19"/>
          <w:szCs w:val="19"/>
        </w:rPr>
        <w:t>1</w:t>
      </w:r>
      <w:r>
        <w:rPr>
          <w:rFonts w:ascii="微软雅黑" w:hAnsi="微软雅黑" w:eastAsia="微软雅黑" w:cs="微软雅黑"/>
          <w:spacing w:val="12"/>
          <w:sz w:val="19"/>
          <w:szCs w:val="19"/>
        </w:rPr>
        <w:t>)</w:t>
      </w:r>
      <w:r>
        <w:rPr>
          <w:rFonts w:ascii="微软雅黑" w:hAnsi="微软雅黑" w:eastAsia="微软雅黑" w:cs="微软雅黑"/>
          <w:spacing w:val="-10"/>
          <w:sz w:val="19"/>
          <w:szCs w:val="19"/>
        </w:rPr>
        <w:t xml:space="preserve"> </w:t>
      </w:r>
      <w:r>
        <w:rPr>
          <w:rFonts w:ascii="宋体" w:hAnsi="宋体" w:eastAsia="宋体" w:cs="宋体"/>
          <w:spacing w:val="12"/>
          <w:sz w:val="19"/>
          <w:szCs w:val="19"/>
        </w:rPr>
        <w:t>质量文化建设是大众化</w:t>
      </w:r>
      <w:r>
        <w:rPr>
          <w:rFonts w:ascii="微软雅黑" w:hAnsi="微软雅黑" w:eastAsia="微软雅黑" w:cs="微软雅黑"/>
          <w:spacing w:val="12"/>
          <w:sz w:val="19"/>
          <w:szCs w:val="19"/>
        </w:rPr>
        <w:t>、</w:t>
      </w:r>
      <w:r>
        <w:rPr>
          <w:rFonts w:ascii="宋体" w:hAnsi="宋体" w:eastAsia="宋体" w:cs="宋体"/>
          <w:spacing w:val="12"/>
          <w:sz w:val="19"/>
          <w:szCs w:val="19"/>
        </w:rPr>
        <w:t>普及化高等教育健</w:t>
      </w:r>
      <w:r>
        <w:rPr>
          <w:rFonts w:ascii="宋体" w:hAnsi="宋体" w:eastAsia="宋体" w:cs="宋体"/>
          <w:sz w:val="19"/>
          <w:szCs w:val="19"/>
        </w:rPr>
        <w:t xml:space="preserve"> </w:t>
      </w:r>
      <w:r>
        <w:rPr>
          <w:rFonts w:ascii="宋体" w:hAnsi="宋体" w:eastAsia="宋体" w:cs="宋体"/>
          <w:spacing w:val="18"/>
          <w:sz w:val="19"/>
          <w:szCs w:val="19"/>
        </w:rPr>
        <w:t>康发展的根本保证</w:t>
      </w:r>
      <w:r>
        <w:rPr>
          <w:rFonts w:ascii="微软雅黑" w:hAnsi="微软雅黑" w:eastAsia="微软雅黑" w:cs="微软雅黑"/>
          <w:spacing w:val="18"/>
          <w:sz w:val="19"/>
          <w:szCs w:val="19"/>
        </w:rPr>
        <w:t>。</w:t>
      </w:r>
    </w:p>
    <w:p>
      <w:pPr>
        <w:spacing w:before="62" w:line="184" w:lineRule="auto"/>
        <w:ind w:left="1152"/>
        <w:rPr>
          <w:rFonts w:ascii="宋体" w:hAnsi="宋体" w:eastAsia="宋体" w:cs="宋体"/>
          <w:sz w:val="19"/>
          <w:szCs w:val="19"/>
        </w:rPr>
      </w:pPr>
      <w:r>
        <w:rPr>
          <w:rFonts w:ascii="宋体" w:hAnsi="宋体" w:eastAsia="宋体" w:cs="宋体"/>
          <w:spacing w:val="18"/>
          <w:sz w:val="19"/>
          <w:szCs w:val="19"/>
        </w:rPr>
        <w:t>精英化阶段少有质量文化建设</w:t>
      </w:r>
      <w:r>
        <w:rPr>
          <w:rFonts w:ascii="微软雅黑" w:hAnsi="微软雅黑" w:eastAsia="微软雅黑" w:cs="微软雅黑"/>
          <w:spacing w:val="18"/>
          <w:sz w:val="19"/>
          <w:szCs w:val="19"/>
        </w:rPr>
        <w:t>，</w:t>
      </w:r>
      <w:r>
        <w:rPr>
          <w:rFonts w:ascii="宋体" w:hAnsi="宋体" w:eastAsia="宋体" w:cs="宋体"/>
          <w:spacing w:val="18"/>
          <w:sz w:val="19"/>
          <w:szCs w:val="19"/>
        </w:rPr>
        <w:t>高等教育发展</w:t>
      </w:r>
    </w:p>
    <w:p>
      <w:pPr>
        <w:spacing w:line="14" w:lineRule="auto"/>
        <w:rPr>
          <w:rFonts w:ascii="Arial"/>
          <w:sz w:val="2"/>
        </w:rPr>
      </w:pPr>
      <w:r>
        <w:rPr>
          <w:rFonts w:ascii="Arial" w:hAnsi="Arial" w:eastAsia="Arial" w:cs="Arial"/>
          <w:sz w:val="2"/>
          <w:szCs w:val="2"/>
        </w:rPr>
        <w:br w:type="column"/>
      </w:r>
    </w:p>
    <w:p>
      <w:pPr>
        <w:spacing w:before="27" w:line="236" w:lineRule="auto"/>
        <w:ind w:firstLine="1"/>
        <w:jc w:val="both"/>
        <w:rPr>
          <w:rFonts w:ascii="微软雅黑" w:hAnsi="微软雅黑" w:eastAsia="微软雅黑" w:cs="微软雅黑"/>
          <w:sz w:val="19"/>
          <w:szCs w:val="19"/>
        </w:rPr>
      </w:pPr>
      <w:r>
        <w:rPr>
          <w:rFonts w:ascii="宋体" w:hAnsi="宋体" w:eastAsia="宋体" w:cs="宋体"/>
          <w:spacing w:val="18"/>
          <w:sz w:val="19"/>
          <w:szCs w:val="19"/>
        </w:rPr>
        <w:t>超越精英化</w:t>
      </w:r>
      <w:r>
        <w:rPr>
          <w:rFonts w:ascii="宋体" w:hAnsi="宋体" w:eastAsia="宋体" w:cs="宋体"/>
          <w:spacing w:val="-42"/>
          <w:sz w:val="19"/>
          <w:szCs w:val="19"/>
        </w:rPr>
        <w:t xml:space="preserve"> </w:t>
      </w:r>
      <w:r>
        <w:rPr>
          <w:rFonts w:ascii="宋体" w:hAnsi="宋体" w:eastAsia="宋体" w:cs="宋体"/>
          <w:spacing w:val="18"/>
          <w:sz w:val="19"/>
          <w:szCs w:val="19"/>
        </w:rPr>
        <w:t>阶段后</w:t>
      </w:r>
      <w:r>
        <w:rPr>
          <w:rFonts w:ascii="微软雅黑" w:hAnsi="微软雅黑" w:eastAsia="微软雅黑" w:cs="微软雅黑"/>
          <w:spacing w:val="18"/>
          <w:sz w:val="19"/>
          <w:szCs w:val="19"/>
        </w:rPr>
        <w:t>，</w:t>
      </w:r>
      <w:r>
        <w:rPr>
          <w:rFonts w:ascii="宋体" w:hAnsi="宋体" w:eastAsia="宋体" w:cs="宋体"/>
          <w:spacing w:val="18"/>
          <w:sz w:val="19"/>
          <w:szCs w:val="19"/>
        </w:rPr>
        <w:t>质量文化建设愈益受</w:t>
      </w:r>
      <w:r>
        <w:rPr>
          <w:rFonts w:ascii="宋体" w:hAnsi="宋体" w:eastAsia="宋体" w:cs="宋体"/>
          <w:spacing w:val="-56"/>
          <w:sz w:val="19"/>
          <w:szCs w:val="19"/>
        </w:rPr>
        <w:t xml:space="preserve"> </w:t>
      </w:r>
      <w:r>
        <w:rPr>
          <w:rFonts w:ascii="宋体" w:hAnsi="宋体" w:eastAsia="宋体" w:cs="宋体"/>
          <w:spacing w:val="18"/>
          <w:sz w:val="19"/>
          <w:szCs w:val="19"/>
        </w:rPr>
        <w:t>到重视</w:t>
      </w:r>
      <w:r>
        <w:rPr>
          <w:rFonts w:ascii="微软雅黑" w:hAnsi="微软雅黑" w:eastAsia="微软雅黑" w:cs="微软雅黑"/>
          <w:spacing w:val="18"/>
          <w:sz w:val="19"/>
          <w:szCs w:val="19"/>
        </w:rPr>
        <w:t>。</w:t>
      </w:r>
      <w:r>
        <w:rPr>
          <w:rFonts w:ascii="微软雅黑" w:hAnsi="微软雅黑" w:eastAsia="微软雅黑" w:cs="微软雅黑"/>
          <w:sz w:val="19"/>
          <w:szCs w:val="19"/>
        </w:rPr>
        <w:t xml:space="preserve"> </w:t>
      </w:r>
      <w:r>
        <w:rPr>
          <w:rFonts w:ascii="宋体" w:hAnsi="宋体" w:eastAsia="宋体" w:cs="宋体"/>
          <w:spacing w:val="22"/>
          <w:sz w:val="19"/>
          <w:szCs w:val="19"/>
        </w:rPr>
        <w:t>规模扩大是高等教育大众化和普及化的第一特征</w:t>
      </w:r>
      <w:r>
        <w:rPr>
          <w:rFonts w:ascii="微软雅黑" w:hAnsi="微软雅黑" w:eastAsia="微软雅黑" w:cs="微软雅黑"/>
          <w:spacing w:val="22"/>
          <w:sz w:val="19"/>
          <w:szCs w:val="19"/>
        </w:rPr>
        <w:t>，</w:t>
      </w:r>
      <w:r>
        <w:rPr>
          <w:rFonts w:ascii="微软雅黑" w:hAnsi="微软雅黑" w:eastAsia="微软雅黑" w:cs="微软雅黑"/>
          <w:spacing w:val="5"/>
          <w:sz w:val="19"/>
          <w:szCs w:val="19"/>
        </w:rPr>
        <w:t xml:space="preserve"> </w:t>
      </w:r>
      <w:r>
        <w:rPr>
          <w:rFonts w:ascii="宋体" w:hAnsi="宋体" w:eastAsia="宋体" w:cs="宋体"/>
          <w:spacing w:val="18"/>
          <w:sz w:val="19"/>
          <w:szCs w:val="19"/>
        </w:rPr>
        <w:t xml:space="preserve">规模扩大必然带来生源的多样化以及求学意愿与目 </w:t>
      </w:r>
      <w:r>
        <w:rPr>
          <w:rFonts w:ascii="宋体" w:hAnsi="宋体" w:eastAsia="宋体" w:cs="宋体"/>
          <w:spacing w:val="16"/>
          <w:sz w:val="19"/>
          <w:szCs w:val="19"/>
        </w:rPr>
        <w:t>的的差异化</w:t>
      </w:r>
      <w:r>
        <w:rPr>
          <w:rFonts w:ascii="宋体" w:hAnsi="宋体" w:eastAsia="宋体" w:cs="宋体"/>
          <w:spacing w:val="-49"/>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大众化和普及化发展不但会造成高等 </w:t>
      </w:r>
      <w:r>
        <w:rPr>
          <w:rFonts w:ascii="宋体" w:hAnsi="宋体" w:eastAsia="宋体" w:cs="宋体"/>
          <w:spacing w:val="18"/>
          <w:sz w:val="19"/>
          <w:szCs w:val="19"/>
        </w:rPr>
        <w:t>教育质量文化的变化</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而且质量文化内涵和外延的 扩充与转化将支持大众化和普及化高等教育的健康 </w:t>
      </w:r>
      <w:r>
        <w:rPr>
          <w:rFonts w:ascii="宋体" w:hAnsi="宋体" w:eastAsia="宋体" w:cs="宋体"/>
          <w:spacing w:val="16"/>
          <w:sz w:val="19"/>
          <w:szCs w:val="19"/>
        </w:rPr>
        <w:t>持续发展</w:t>
      </w:r>
      <w:r>
        <w:rPr>
          <w:rFonts w:ascii="宋体" w:hAnsi="宋体" w:eastAsia="宋体" w:cs="宋体"/>
          <w:spacing w:val="-49"/>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在国际高等教育发展史上</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大众化和普 </w:t>
      </w:r>
      <w:r>
        <w:rPr>
          <w:rFonts w:ascii="宋体" w:hAnsi="宋体" w:eastAsia="宋体" w:cs="宋体"/>
          <w:spacing w:val="13"/>
          <w:sz w:val="19"/>
          <w:szCs w:val="19"/>
        </w:rPr>
        <w:t>及化高等教育发展的历史只有</w:t>
      </w:r>
      <w:r>
        <w:rPr>
          <w:rFonts w:ascii="宋体" w:hAnsi="宋体" w:eastAsia="宋体" w:cs="宋体"/>
          <w:spacing w:val="-14"/>
          <w:sz w:val="19"/>
          <w:szCs w:val="19"/>
        </w:rPr>
        <w:t xml:space="preserve"> </w:t>
      </w:r>
      <w:r>
        <w:rPr>
          <w:rFonts w:ascii="Arial" w:hAnsi="Arial" w:eastAsia="Arial" w:cs="Arial"/>
          <w:spacing w:val="13"/>
          <w:sz w:val="19"/>
          <w:szCs w:val="19"/>
        </w:rPr>
        <w:t>70</w:t>
      </w:r>
      <w:r>
        <w:rPr>
          <w:rFonts w:ascii="宋体" w:hAnsi="宋体" w:eastAsia="宋体" w:cs="宋体"/>
          <w:spacing w:val="13"/>
          <w:sz w:val="19"/>
          <w:szCs w:val="19"/>
        </w:rPr>
        <w:t>余年</w:t>
      </w:r>
      <w:r>
        <w:rPr>
          <w:rFonts w:ascii="微软雅黑" w:hAnsi="微软雅黑" w:eastAsia="微软雅黑" w:cs="微软雅黑"/>
          <w:spacing w:val="13"/>
          <w:position w:val="1"/>
          <w:sz w:val="19"/>
          <w:szCs w:val="19"/>
        </w:rPr>
        <w:t>，</w:t>
      </w:r>
      <w:r>
        <w:rPr>
          <w:rFonts w:ascii="宋体" w:hAnsi="宋体" w:eastAsia="宋体" w:cs="宋体"/>
          <w:spacing w:val="13"/>
          <w:sz w:val="19"/>
          <w:szCs w:val="19"/>
        </w:rPr>
        <w:t xml:space="preserve">而精英化高 </w:t>
      </w:r>
      <w:r>
        <w:rPr>
          <w:rFonts w:ascii="宋体" w:hAnsi="宋体" w:eastAsia="宋体" w:cs="宋体"/>
          <w:spacing w:val="15"/>
          <w:sz w:val="19"/>
          <w:szCs w:val="19"/>
        </w:rPr>
        <w:t>等教育虽然只占适龄人口的</w:t>
      </w:r>
      <w:r>
        <w:rPr>
          <w:rFonts w:ascii="宋体" w:hAnsi="宋体" w:eastAsia="宋体" w:cs="宋体"/>
          <w:spacing w:val="-9"/>
          <w:sz w:val="19"/>
          <w:szCs w:val="19"/>
        </w:rPr>
        <w:t xml:space="preserve"> </w:t>
      </w:r>
      <w:r>
        <w:rPr>
          <w:rFonts w:ascii="Arial" w:hAnsi="Arial" w:eastAsia="Arial" w:cs="Arial"/>
          <w:spacing w:val="15"/>
          <w:sz w:val="19"/>
          <w:szCs w:val="19"/>
        </w:rPr>
        <w:t xml:space="preserve">15% </w:t>
      </w:r>
      <w:r>
        <w:rPr>
          <w:rFonts w:ascii="微软雅黑" w:hAnsi="微软雅黑" w:eastAsia="微软雅黑" w:cs="微软雅黑"/>
          <w:spacing w:val="15"/>
          <w:position w:val="1"/>
          <w:sz w:val="19"/>
          <w:szCs w:val="19"/>
        </w:rPr>
        <w:t>,</w:t>
      </w:r>
      <w:r>
        <w:rPr>
          <w:rFonts w:ascii="微软雅黑" w:hAnsi="微软雅黑" w:eastAsia="微软雅黑" w:cs="微软雅黑"/>
          <w:spacing w:val="-7"/>
          <w:position w:val="1"/>
          <w:sz w:val="19"/>
          <w:szCs w:val="19"/>
        </w:rPr>
        <w:t xml:space="preserve"> </w:t>
      </w:r>
      <w:r>
        <w:rPr>
          <w:rFonts w:ascii="宋体" w:hAnsi="宋体" w:eastAsia="宋体" w:cs="宋体"/>
          <w:spacing w:val="15"/>
          <w:sz w:val="19"/>
          <w:szCs w:val="19"/>
        </w:rPr>
        <w:t>且在精</w:t>
      </w:r>
      <w:r>
        <w:rPr>
          <w:rFonts w:ascii="宋体" w:hAnsi="宋体" w:eastAsia="宋体" w:cs="宋体"/>
          <w:spacing w:val="14"/>
          <w:sz w:val="19"/>
          <w:szCs w:val="19"/>
        </w:rPr>
        <w:t xml:space="preserve">英化阶段 </w:t>
      </w:r>
      <w:r>
        <w:rPr>
          <w:rFonts w:ascii="宋体" w:hAnsi="宋体" w:eastAsia="宋体" w:cs="宋体"/>
          <w:spacing w:val="22"/>
          <w:sz w:val="19"/>
          <w:szCs w:val="19"/>
        </w:rPr>
        <w:t>适龄人口的数量比大众化和普及化阶段要少得多</w:t>
      </w:r>
      <w:r>
        <w:rPr>
          <w:rFonts w:ascii="微软雅黑" w:hAnsi="微软雅黑" w:eastAsia="微软雅黑" w:cs="微软雅黑"/>
          <w:spacing w:val="22"/>
          <w:sz w:val="19"/>
          <w:szCs w:val="19"/>
        </w:rPr>
        <w:t>，</w:t>
      </w:r>
      <w:r>
        <w:rPr>
          <w:rFonts w:ascii="微软雅黑" w:hAnsi="微软雅黑" w:eastAsia="微软雅黑" w:cs="微软雅黑"/>
          <w:spacing w:val="5"/>
          <w:sz w:val="19"/>
          <w:szCs w:val="19"/>
        </w:rPr>
        <w:t xml:space="preserve"> </w:t>
      </w:r>
      <w:r>
        <w:rPr>
          <w:rFonts w:ascii="宋体" w:hAnsi="宋体" w:eastAsia="宋体" w:cs="宋体"/>
          <w:spacing w:val="16"/>
          <w:sz w:val="19"/>
          <w:szCs w:val="19"/>
        </w:rPr>
        <w:t>但它的发展历史却要长很多</w:t>
      </w:r>
      <w:r>
        <w:rPr>
          <w:rFonts w:ascii="宋体" w:hAnsi="宋体" w:eastAsia="宋体" w:cs="宋体"/>
          <w:spacing w:val="-49"/>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如果说精英化阶段高 </w:t>
      </w:r>
      <w:r>
        <w:rPr>
          <w:rFonts w:ascii="宋体" w:hAnsi="宋体" w:eastAsia="宋体" w:cs="宋体"/>
          <w:spacing w:val="18"/>
          <w:sz w:val="19"/>
          <w:szCs w:val="19"/>
        </w:rPr>
        <w:t>等教育质量文化比较多地表现为自然天成的话</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那 </w:t>
      </w:r>
      <w:r>
        <w:rPr>
          <w:rFonts w:ascii="宋体" w:hAnsi="宋体" w:eastAsia="宋体" w:cs="宋体"/>
          <w:spacing w:val="9"/>
          <w:sz w:val="19"/>
          <w:szCs w:val="19"/>
        </w:rPr>
        <w:t>么</w:t>
      </w:r>
      <w:r>
        <w:rPr>
          <w:rFonts w:ascii="微软雅黑" w:hAnsi="微软雅黑" w:eastAsia="微软雅黑" w:cs="微软雅黑"/>
          <w:spacing w:val="9"/>
          <w:sz w:val="19"/>
          <w:szCs w:val="19"/>
        </w:rPr>
        <w:t>，</w:t>
      </w:r>
      <w:r>
        <w:rPr>
          <w:rFonts w:ascii="宋体" w:hAnsi="宋体" w:eastAsia="宋体" w:cs="宋体"/>
          <w:spacing w:val="9"/>
          <w:sz w:val="19"/>
          <w:szCs w:val="19"/>
        </w:rPr>
        <w:t>在大众化和普及化阶段</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高等教育发展与社会各 </w:t>
      </w:r>
      <w:r>
        <w:rPr>
          <w:rFonts w:ascii="宋体" w:hAnsi="宋体" w:eastAsia="宋体" w:cs="宋体"/>
          <w:spacing w:val="13"/>
          <w:sz w:val="19"/>
          <w:szCs w:val="19"/>
        </w:rPr>
        <w:t>方越来越利益攸关</w:t>
      </w:r>
      <w:r>
        <w:rPr>
          <w:rFonts w:ascii="微软雅黑" w:hAnsi="微软雅黑" w:eastAsia="微软雅黑" w:cs="微软雅黑"/>
          <w:spacing w:val="13"/>
          <w:sz w:val="19"/>
          <w:szCs w:val="19"/>
        </w:rPr>
        <w:t>，</w:t>
      </w:r>
      <w:r>
        <w:rPr>
          <w:rFonts w:ascii="宋体" w:hAnsi="宋体" w:eastAsia="宋体" w:cs="宋体"/>
          <w:spacing w:val="13"/>
          <w:sz w:val="19"/>
          <w:szCs w:val="19"/>
        </w:rPr>
        <w:t>所以</w:t>
      </w:r>
      <w:r>
        <w:rPr>
          <w:rFonts w:ascii="微软雅黑" w:hAnsi="微软雅黑" w:eastAsia="微软雅黑" w:cs="微软雅黑"/>
          <w:spacing w:val="13"/>
          <w:sz w:val="19"/>
          <w:szCs w:val="19"/>
        </w:rPr>
        <w:t>，</w:t>
      </w:r>
      <w:r>
        <w:rPr>
          <w:rFonts w:ascii="宋体" w:hAnsi="宋体" w:eastAsia="宋体" w:cs="宋体"/>
          <w:spacing w:val="13"/>
          <w:sz w:val="19"/>
          <w:szCs w:val="19"/>
        </w:rPr>
        <w:t>质量文化建设成为高校</w:t>
      </w:r>
      <w:r>
        <w:rPr>
          <w:rFonts w:ascii="微软雅黑" w:hAnsi="微软雅黑" w:eastAsia="微软雅黑" w:cs="微软雅黑"/>
          <w:spacing w:val="13"/>
          <w:sz w:val="19"/>
          <w:szCs w:val="19"/>
        </w:rPr>
        <w:t>、</w:t>
      </w:r>
      <w:r>
        <w:rPr>
          <w:rFonts w:ascii="微软雅黑" w:hAnsi="微软雅黑" w:eastAsia="微软雅黑" w:cs="微软雅黑"/>
          <w:sz w:val="19"/>
          <w:szCs w:val="19"/>
        </w:rPr>
        <w:t xml:space="preserve"> </w:t>
      </w:r>
      <w:r>
        <w:rPr>
          <w:rFonts w:ascii="宋体" w:hAnsi="宋体" w:eastAsia="宋体" w:cs="宋体"/>
          <w:spacing w:val="18"/>
          <w:sz w:val="19"/>
          <w:szCs w:val="19"/>
        </w:rPr>
        <w:t>政府</w:t>
      </w:r>
      <w:r>
        <w:rPr>
          <w:rFonts w:ascii="微软雅黑" w:hAnsi="微软雅黑" w:eastAsia="微软雅黑" w:cs="微软雅黑"/>
          <w:spacing w:val="18"/>
          <w:sz w:val="19"/>
          <w:szCs w:val="19"/>
        </w:rPr>
        <w:t>、</w:t>
      </w:r>
      <w:r>
        <w:rPr>
          <w:rFonts w:ascii="宋体" w:hAnsi="宋体" w:eastAsia="宋体" w:cs="宋体"/>
          <w:spacing w:val="18"/>
          <w:sz w:val="19"/>
          <w:szCs w:val="19"/>
        </w:rPr>
        <w:t>其他社会组织和公众参与高等教育治理的主 要任务</w:t>
      </w:r>
      <w:r>
        <w:rPr>
          <w:rFonts w:ascii="微软雅黑" w:hAnsi="微软雅黑" w:eastAsia="微软雅黑" w:cs="微软雅黑"/>
          <w:spacing w:val="18"/>
          <w:sz w:val="19"/>
          <w:szCs w:val="19"/>
        </w:rPr>
        <w:t>，</w:t>
      </w:r>
      <w:r>
        <w:rPr>
          <w:rFonts w:ascii="宋体" w:hAnsi="宋体" w:eastAsia="宋体" w:cs="宋体"/>
          <w:spacing w:val="18"/>
          <w:sz w:val="19"/>
          <w:szCs w:val="19"/>
        </w:rPr>
        <w:t>它也是实现各利益攸关方高等教育质量价 值的重要路径</w:t>
      </w:r>
      <w:r>
        <w:rPr>
          <w:rFonts w:ascii="微软雅黑" w:hAnsi="微软雅黑" w:eastAsia="微软雅黑" w:cs="微软雅黑"/>
          <w:spacing w:val="18"/>
          <w:sz w:val="19"/>
          <w:szCs w:val="19"/>
        </w:rPr>
        <w:t>。</w:t>
      </w:r>
    </w:p>
    <w:p>
      <w:pPr>
        <w:spacing w:before="57" w:line="238" w:lineRule="auto"/>
        <w:ind w:right="3" w:firstLine="425"/>
        <w:rPr>
          <w:rFonts w:ascii="微软雅黑" w:hAnsi="微软雅黑" w:eastAsia="微软雅黑" w:cs="微软雅黑"/>
          <w:sz w:val="10"/>
          <w:szCs w:val="10"/>
        </w:rPr>
      </w:pPr>
      <w:r>
        <w:rPr>
          <w:rFonts w:ascii="宋体" w:hAnsi="宋体" w:eastAsia="宋体" w:cs="宋体"/>
          <w:spacing w:val="17"/>
          <w:sz w:val="19"/>
          <w:szCs w:val="19"/>
        </w:rPr>
        <w:t xml:space="preserve">高校和社会各方开展质量文化建设主要是为了 </w:t>
      </w:r>
      <w:r>
        <w:rPr>
          <w:rFonts w:ascii="宋体" w:hAnsi="宋体" w:eastAsia="宋体" w:cs="宋体"/>
          <w:spacing w:val="20"/>
          <w:sz w:val="19"/>
          <w:szCs w:val="19"/>
        </w:rPr>
        <w:t>保证和提高高等教育质量</w:t>
      </w:r>
      <w:r>
        <w:rPr>
          <w:rFonts w:ascii="宋体" w:hAnsi="宋体" w:eastAsia="宋体" w:cs="宋体"/>
          <w:spacing w:val="-45"/>
          <w:sz w:val="19"/>
          <w:szCs w:val="19"/>
        </w:rPr>
        <w:t xml:space="preserve"> </w:t>
      </w:r>
      <w:r>
        <w:rPr>
          <w:rFonts w:ascii="微软雅黑" w:hAnsi="微软雅黑" w:eastAsia="微软雅黑" w:cs="微软雅黑"/>
          <w:spacing w:val="20"/>
          <w:sz w:val="19"/>
          <w:szCs w:val="19"/>
        </w:rPr>
        <w:t>。</w:t>
      </w:r>
      <w:r>
        <w:rPr>
          <w:rFonts w:ascii="微软雅黑" w:hAnsi="微软雅黑" w:eastAsia="微软雅黑" w:cs="微软雅黑"/>
          <w:spacing w:val="-31"/>
          <w:sz w:val="19"/>
          <w:szCs w:val="19"/>
        </w:rPr>
        <w:t xml:space="preserve"> </w:t>
      </w:r>
      <w:r>
        <w:rPr>
          <w:rFonts w:ascii="宋体" w:hAnsi="宋体" w:eastAsia="宋体" w:cs="宋体"/>
          <w:spacing w:val="20"/>
          <w:sz w:val="19"/>
          <w:szCs w:val="19"/>
        </w:rPr>
        <w:t>在大众化</w:t>
      </w:r>
      <w:r>
        <w:rPr>
          <w:rFonts w:ascii="宋体" w:hAnsi="宋体" w:eastAsia="宋体" w:cs="宋体"/>
          <w:spacing w:val="-56"/>
          <w:sz w:val="19"/>
          <w:szCs w:val="19"/>
        </w:rPr>
        <w:t xml:space="preserve"> </w:t>
      </w:r>
      <w:r>
        <w:rPr>
          <w:rFonts w:ascii="宋体" w:hAnsi="宋体" w:eastAsia="宋体" w:cs="宋体"/>
          <w:spacing w:val="20"/>
          <w:sz w:val="19"/>
          <w:szCs w:val="19"/>
        </w:rPr>
        <w:t>和普及化</w:t>
      </w:r>
      <w:r>
        <w:rPr>
          <w:rFonts w:ascii="宋体" w:hAnsi="宋体" w:eastAsia="宋体" w:cs="宋体"/>
          <w:spacing w:val="-48"/>
          <w:sz w:val="19"/>
          <w:szCs w:val="19"/>
        </w:rPr>
        <w:t xml:space="preserve"> </w:t>
      </w:r>
      <w:r>
        <w:rPr>
          <w:rFonts w:ascii="宋体" w:hAnsi="宋体" w:eastAsia="宋体" w:cs="宋体"/>
          <w:spacing w:val="20"/>
          <w:sz w:val="19"/>
          <w:szCs w:val="19"/>
        </w:rPr>
        <w:t xml:space="preserve">阶 </w:t>
      </w:r>
      <w:r>
        <w:rPr>
          <w:rFonts w:ascii="宋体" w:hAnsi="宋体" w:eastAsia="宋体" w:cs="宋体"/>
          <w:spacing w:val="9"/>
          <w:sz w:val="19"/>
          <w:szCs w:val="19"/>
        </w:rPr>
        <w:t>段</w:t>
      </w:r>
      <w:r>
        <w:rPr>
          <w:rFonts w:ascii="微软雅黑" w:hAnsi="微软雅黑" w:eastAsia="微软雅黑" w:cs="微软雅黑"/>
          <w:spacing w:val="9"/>
          <w:sz w:val="19"/>
          <w:szCs w:val="19"/>
        </w:rPr>
        <w:t>，</w:t>
      </w:r>
      <w:r>
        <w:rPr>
          <w:rFonts w:ascii="宋体" w:hAnsi="宋体" w:eastAsia="宋体" w:cs="宋体"/>
          <w:spacing w:val="9"/>
          <w:sz w:val="19"/>
          <w:szCs w:val="19"/>
        </w:rPr>
        <w:t>高等教育质量越来越多样化</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这既是受教育者社 </w:t>
      </w:r>
      <w:r>
        <w:rPr>
          <w:rFonts w:ascii="宋体" w:hAnsi="宋体" w:eastAsia="宋体" w:cs="宋体"/>
          <w:spacing w:val="13"/>
          <w:sz w:val="19"/>
          <w:szCs w:val="19"/>
        </w:rPr>
        <w:t>会背景和求学意愿</w:t>
      </w:r>
      <w:r>
        <w:rPr>
          <w:rFonts w:ascii="宋体" w:hAnsi="宋体" w:eastAsia="宋体" w:cs="宋体"/>
          <w:spacing w:val="-30"/>
          <w:sz w:val="19"/>
          <w:szCs w:val="19"/>
        </w:rPr>
        <w:t xml:space="preserve"> </w:t>
      </w:r>
      <w:r>
        <w:rPr>
          <w:rFonts w:ascii="宋体" w:hAnsi="宋体" w:eastAsia="宋体" w:cs="宋体"/>
          <w:spacing w:val="13"/>
          <w:sz w:val="19"/>
          <w:szCs w:val="19"/>
        </w:rPr>
        <w:t>的反</w:t>
      </w:r>
      <w:r>
        <w:rPr>
          <w:rFonts w:ascii="宋体" w:hAnsi="宋体" w:eastAsia="宋体" w:cs="宋体"/>
          <w:spacing w:val="-52"/>
          <w:sz w:val="19"/>
          <w:szCs w:val="19"/>
        </w:rPr>
        <w:t xml:space="preserve"> </w:t>
      </w:r>
      <w:r>
        <w:rPr>
          <w:rFonts w:ascii="宋体" w:hAnsi="宋体" w:eastAsia="宋体" w:cs="宋体"/>
          <w:spacing w:val="13"/>
          <w:sz w:val="19"/>
          <w:szCs w:val="19"/>
        </w:rPr>
        <w:t>映</w:t>
      </w:r>
      <w:r>
        <w:rPr>
          <w:rFonts w:ascii="微软雅黑" w:hAnsi="微软雅黑" w:eastAsia="微软雅黑" w:cs="微软雅黑"/>
          <w:spacing w:val="13"/>
          <w:sz w:val="19"/>
          <w:szCs w:val="19"/>
        </w:rPr>
        <w:t>，</w:t>
      </w:r>
      <w:r>
        <w:rPr>
          <w:rFonts w:ascii="宋体" w:hAnsi="宋体" w:eastAsia="宋体" w:cs="宋体"/>
          <w:spacing w:val="13"/>
          <w:sz w:val="19"/>
          <w:szCs w:val="19"/>
        </w:rPr>
        <w:t>也是社会需求</w:t>
      </w:r>
      <w:r>
        <w:rPr>
          <w:rFonts w:ascii="宋体" w:hAnsi="宋体" w:eastAsia="宋体" w:cs="宋体"/>
          <w:spacing w:val="-46"/>
          <w:sz w:val="19"/>
          <w:szCs w:val="19"/>
        </w:rPr>
        <w:t xml:space="preserve"> </w:t>
      </w:r>
      <w:r>
        <w:rPr>
          <w:rFonts w:ascii="宋体" w:hAnsi="宋体" w:eastAsia="宋体" w:cs="宋体"/>
          <w:spacing w:val="13"/>
          <w:sz w:val="19"/>
          <w:szCs w:val="19"/>
        </w:rPr>
        <w:t>的反</w:t>
      </w:r>
      <w:r>
        <w:rPr>
          <w:rFonts w:ascii="宋体" w:hAnsi="宋体" w:eastAsia="宋体" w:cs="宋体"/>
          <w:spacing w:val="-51"/>
          <w:sz w:val="19"/>
          <w:szCs w:val="19"/>
        </w:rPr>
        <w:t xml:space="preserve"> </w:t>
      </w:r>
      <w:r>
        <w:rPr>
          <w:rFonts w:ascii="宋体" w:hAnsi="宋体" w:eastAsia="宋体" w:cs="宋体"/>
          <w:spacing w:val="13"/>
          <w:sz w:val="19"/>
          <w:szCs w:val="19"/>
        </w:rPr>
        <w:t>映</w:t>
      </w:r>
      <w:r>
        <w:rPr>
          <w:rFonts w:ascii="微软雅黑" w:hAnsi="微软雅黑" w:eastAsia="微软雅黑" w:cs="微软雅黑"/>
          <w:spacing w:val="13"/>
          <w:sz w:val="19"/>
          <w:szCs w:val="19"/>
        </w:rPr>
        <w:t>。</w:t>
      </w:r>
      <w:r>
        <w:rPr>
          <w:rFonts w:ascii="微软雅黑" w:hAnsi="微软雅黑" w:eastAsia="微软雅黑" w:cs="微软雅黑"/>
          <w:sz w:val="19"/>
          <w:szCs w:val="19"/>
        </w:rPr>
        <w:t xml:space="preserve"> </w:t>
      </w:r>
      <w:r>
        <w:rPr>
          <w:rFonts w:ascii="宋体" w:hAnsi="宋体" w:eastAsia="宋体" w:cs="宋体"/>
          <w:spacing w:val="18"/>
          <w:sz w:val="19"/>
          <w:szCs w:val="19"/>
        </w:rPr>
        <w:t>多样化的高等教育质量不可能自动获得</w:t>
      </w:r>
      <w:r>
        <w:rPr>
          <w:rFonts w:ascii="微软雅黑" w:hAnsi="微软雅黑" w:eastAsia="微软雅黑" w:cs="微软雅黑"/>
          <w:spacing w:val="18"/>
          <w:sz w:val="19"/>
          <w:szCs w:val="19"/>
        </w:rPr>
        <w:t>，</w:t>
      </w:r>
      <w:r>
        <w:rPr>
          <w:rFonts w:ascii="宋体" w:hAnsi="宋体" w:eastAsia="宋体" w:cs="宋体"/>
          <w:spacing w:val="18"/>
          <w:sz w:val="19"/>
          <w:szCs w:val="19"/>
        </w:rPr>
        <w:t>它离不</w:t>
      </w:r>
      <w:r>
        <w:rPr>
          <w:rFonts w:ascii="宋体" w:hAnsi="宋体" w:eastAsia="宋体" w:cs="宋体"/>
          <w:spacing w:val="17"/>
          <w:sz w:val="19"/>
          <w:szCs w:val="19"/>
        </w:rPr>
        <w:t xml:space="preserve">开 </w:t>
      </w:r>
      <w:r>
        <w:rPr>
          <w:rFonts w:ascii="宋体" w:hAnsi="宋体" w:eastAsia="宋体" w:cs="宋体"/>
          <w:spacing w:val="13"/>
          <w:sz w:val="19"/>
          <w:szCs w:val="19"/>
        </w:rPr>
        <w:t>高校和社会各方的积极行动</w:t>
      </w:r>
      <w:r>
        <w:rPr>
          <w:rFonts w:ascii="微软雅黑" w:hAnsi="微软雅黑" w:eastAsia="微软雅黑" w:cs="微软雅黑"/>
          <w:spacing w:val="13"/>
          <w:sz w:val="19"/>
          <w:szCs w:val="19"/>
        </w:rPr>
        <w:t>，</w:t>
      </w:r>
      <w:r>
        <w:rPr>
          <w:rFonts w:ascii="宋体" w:hAnsi="宋体" w:eastAsia="宋体" w:cs="宋体"/>
          <w:spacing w:val="13"/>
          <w:sz w:val="19"/>
          <w:szCs w:val="19"/>
        </w:rPr>
        <w:t>也就是质量文化建</w:t>
      </w:r>
      <w:r>
        <w:rPr>
          <w:rFonts w:ascii="宋体" w:hAnsi="宋体" w:eastAsia="宋体" w:cs="宋体"/>
          <w:spacing w:val="12"/>
          <w:sz w:val="19"/>
          <w:szCs w:val="19"/>
        </w:rPr>
        <w:t>设</w:t>
      </w:r>
      <w:r>
        <w:rPr>
          <w:rFonts w:ascii="微软雅黑" w:hAnsi="微软雅黑" w:eastAsia="微软雅黑" w:cs="微软雅黑"/>
          <w:spacing w:val="12"/>
          <w:sz w:val="19"/>
          <w:szCs w:val="19"/>
        </w:rPr>
        <w:t>。</w:t>
      </w:r>
      <w:r>
        <w:rPr>
          <w:rFonts w:ascii="微软雅黑" w:hAnsi="微软雅黑" w:eastAsia="微软雅黑" w:cs="微软雅黑"/>
          <w:sz w:val="19"/>
          <w:szCs w:val="19"/>
        </w:rPr>
        <w:t xml:space="preserve"> </w:t>
      </w:r>
      <w:r>
        <w:rPr>
          <w:rFonts w:ascii="Arial" w:hAnsi="Arial" w:eastAsia="Arial" w:cs="Arial"/>
          <w:spacing w:val="16"/>
          <w:sz w:val="19"/>
          <w:szCs w:val="19"/>
        </w:rPr>
        <w:t>20</w:t>
      </w:r>
      <w:r>
        <w:rPr>
          <w:rFonts w:ascii="宋体" w:hAnsi="宋体" w:eastAsia="宋体" w:cs="宋体"/>
          <w:spacing w:val="16"/>
          <w:sz w:val="19"/>
          <w:szCs w:val="19"/>
        </w:rPr>
        <w:t>世纪后半期众多国家和地区创建高职院校</w:t>
      </w:r>
      <w:r>
        <w:rPr>
          <w:rFonts w:ascii="微软雅黑" w:hAnsi="微软雅黑" w:eastAsia="微软雅黑" w:cs="微软雅黑"/>
          <w:spacing w:val="16"/>
          <w:position w:val="1"/>
          <w:sz w:val="19"/>
          <w:szCs w:val="19"/>
        </w:rPr>
        <w:t>，</w:t>
      </w:r>
      <w:r>
        <w:rPr>
          <w:rFonts w:ascii="宋体" w:hAnsi="宋体" w:eastAsia="宋体" w:cs="宋体"/>
          <w:spacing w:val="16"/>
          <w:sz w:val="19"/>
          <w:szCs w:val="19"/>
        </w:rPr>
        <w:t xml:space="preserve">发展 </w:t>
      </w:r>
      <w:r>
        <w:rPr>
          <w:rFonts w:ascii="宋体" w:hAnsi="宋体" w:eastAsia="宋体" w:cs="宋体"/>
          <w:spacing w:val="18"/>
          <w:sz w:val="19"/>
          <w:szCs w:val="19"/>
        </w:rPr>
        <w:t>高等职业教育</w:t>
      </w:r>
      <w:r>
        <w:rPr>
          <w:rFonts w:ascii="微软雅黑" w:hAnsi="微软雅黑" w:eastAsia="微软雅黑" w:cs="微软雅黑"/>
          <w:spacing w:val="18"/>
          <w:sz w:val="19"/>
          <w:szCs w:val="19"/>
        </w:rPr>
        <w:t>，</w:t>
      </w:r>
      <w:r>
        <w:rPr>
          <w:rFonts w:ascii="宋体" w:hAnsi="宋体" w:eastAsia="宋体" w:cs="宋体"/>
          <w:spacing w:val="18"/>
          <w:sz w:val="19"/>
          <w:szCs w:val="19"/>
        </w:rPr>
        <w:t>不但使高职教育文化成为高等教</w:t>
      </w:r>
      <w:r>
        <w:rPr>
          <w:rFonts w:ascii="宋体" w:hAnsi="宋体" w:eastAsia="宋体" w:cs="宋体"/>
          <w:spacing w:val="17"/>
          <w:sz w:val="19"/>
          <w:szCs w:val="19"/>
        </w:rPr>
        <w:t xml:space="preserve">育 </w:t>
      </w:r>
      <w:r>
        <w:rPr>
          <w:rFonts w:ascii="宋体" w:hAnsi="宋体" w:eastAsia="宋体" w:cs="宋体"/>
          <w:spacing w:val="18"/>
          <w:sz w:val="19"/>
          <w:szCs w:val="19"/>
        </w:rPr>
        <w:t>质量文化的重要组成部分</w:t>
      </w:r>
      <w:r>
        <w:rPr>
          <w:rFonts w:ascii="微软雅黑" w:hAnsi="微软雅黑" w:eastAsia="微软雅黑" w:cs="微软雅黑"/>
          <w:spacing w:val="18"/>
          <w:sz w:val="19"/>
          <w:szCs w:val="19"/>
        </w:rPr>
        <w:t>，</w:t>
      </w:r>
      <w:r>
        <w:rPr>
          <w:rFonts w:ascii="宋体" w:hAnsi="宋体" w:eastAsia="宋体" w:cs="宋体"/>
          <w:spacing w:val="18"/>
          <w:sz w:val="19"/>
          <w:szCs w:val="19"/>
        </w:rPr>
        <w:t>而且它也成为世界众</w:t>
      </w:r>
      <w:r>
        <w:rPr>
          <w:rFonts w:ascii="宋体" w:hAnsi="宋体" w:eastAsia="宋体" w:cs="宋体"/>
          <w:spacing w:val="17"/>
          <w:sz w:val="19"/>
          <w:szCs w:val="19"/>
        </w:rPr>
        <w:t xml:space="preserve">多 </w:t>
      </w:r>
      <w:r>
        <w:rPr>
          <w:rFonts w:ascii="宋体" w:hAnsi="宋体" w:eastAsia="宋体" w:cs="宋体"/>
          <w:spacing w:val="18"/>
          <w:sz w:val="19"/>
          <w:szCs w:val="19"/>
        </w:rPr>
        <w:t>国家和地区高等教育实现大众化并走向普及化的</w:t>
      </w:r>
      <w:r>
        <w:rPr>
          <w:rFonts w:ascii="宋体" w:hAnsi="宋体" w:eastAsia="宋体" w:cs="宋体"/>
          <w:spacing w:val="17"/>
          <w:sz w:val="19"/>
          <w:szCs w:val="19"/>
        </w:rPr>
        <w:t xml:space="preserve">可 </w:t>
      </w:r>
      <w:r>
        <w:rPr>
          <w:rFonts w:ascii="宋体" w:hAnsi="宋体" w:eastAsia="宋体" w:cs="宋体"/>
          <w:spacing w:val="16"/>
          <w:sz w:val="19"/>
          <w:szCs w:val="19"/>
        </w:rPr>
        <w:t>靠保证</w:t>
      </w:r>
      <w:r>
        <w:rPr>
          <w:rFonts w:ascii="宋体" w:hAnsi="宋体" w:eastAsia="宋体" w:cs="宋体"/>
          <w:spacing w:val="-51"/>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纵观世界</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尚未发现哪个国家或地区在发 </w:t>
      </w:r>
      <w:r>
        <w:rPr>
          <w:rFonts w:ascii="宋体" w:hAnsi="宋体" w:eastAsia="宋体" w:cs="宋体"/>
          <w:spacing w:val="18"/>
          <w:sz w:val="19"/>
          <w:szCs w:val="19"/>
        </w:rPr>
        <w:t>展大众化和普及化高等教育过程中没有开展质量</w:t>
      </w:r>
      <w:r>
        <w:rPr>
          <w:rFonts w:ascii="宋体" w:hAnsi="宋体" w:eastAsia="宋体" w:cs="宋体"/>
          <w:spacing w:val="17"/>
          <w:sz w:val="19"/>
          <w:szCs w:val="19"/>
        </w:rPr>
        <w:t xml:space="preserve">文 </w:t>
      </w:r>
      <w:r>
        <w:rPr>
          <w:rFonts w:ascii="宋体" w:hAnsi="宋体" w:eastAsia="宋体" w:cs="宋体"/>
          <w:spacing w:val="6"/>
          <w:sz w:val="19"/>
          <w:szCs w:val="19"/>
        </w:rPr>
        <w:t>化建设的</w:t>
      </w:r>
      <w:r>
        <w:rPr>
          <w:rFonts w:ascii="宋体" w:hAnsi="宋体" w:eastAsia="宋体" w:cs="宋体"/>
          <w:spacing w:val="-53"/>
          <w:sz w:val="19"/>
          <w:szCs w:val="19"/>
        </w:rPr>
        <w:t xml:space="preserve"> </w:t>
      </w:r>
      <w:r>
        <w:rPr>
          <w:rFonts w:ascii="微软雅黑" w:hAnsi="微软雅黑" w:eastAsia="微软雅黑" w:cs="微软雅黑"/>
          <w:spacing w:val="6"/>
          <w:sz w:val="19"/>
          <w:szCs w:val="19"/>
        </w:rPr>
        <w:t>。</w:t>
      </w:r>
      <w:r>
        <w:rPr>
          <w:rFonts w:ascii="微软雅黑" w:hAnsi="微软雅黑" w:eastAsia="微软雅黑" w:cs="微软雅黑"/>
          <w:spacing w:val="-20"/>
          <w:sz w:val="19"/>
          <w:szCs w:val="19"/>
        </w:rPr>
        <w:t xml:space="preserve"> </w:t>
      </w:r>
      <w:r>
        <w:rPr>
          <w:rFonts w:ascii="宋体" w:hAnsi="宋体" w:eastAsia="宋体" w:cs="宋体"/>
          <w:spacing w:val="6"/>
          <w:sz w:val="19"/>
          <w:szCs w:val="19"/>
        </w:rPr>
        <w:t>比如</w:t>
      </w:r>
      <w:r>
        <w:rPr>
          <w:rFonts w:ascii="微软雅黑" w:hAnsi="微软雅黑" w:eastAsia="微软雅黑" w:cs="微软雅黑"/>
          <w:spacing w:val="6"/>
          <w:sz w:val="19"/>
          <w:szCs w:val="19"/>
        </w:rPr>
        <w:t>，</w:t>
      </w:r>
      <w:r>
        <w:rPr>
          <w:rFonts w:ascii="宋体" w:hAnsi="宋体" w:eastAsia="宋体" w:cs="宋体"/>
          <w:spacing w:val="6"/>
          <w:sz w:val="19"/>
          <w:szCs w:val="19"/>
        </w:rPr>
        <w:t>美国建立了多元化的认证制度</w:t>
      </w:r>
      <w:r>
        <w:rPr>
          <w:rFonts w:ascii="微软雅黑" w:hAnsi="微软雅黑" w:eastAsia="微软雅黑" w:cs="微软雅黑"/>
          <w:spacing w:val="6"/>
          <w:sz w:val="19"/>
          <w:szCs w:val="19"/>
        </w:rPr>
        <w:t>，</w:t>
      </w:r>
      <w:r>
        <w:rPr>
          <w:rFonts w:ascii="宋体" w:hAnsi="宋体" w:eastAsia="宋体" w:cs="宋体"/>
          <w:spacing w:val="6"/>
          <w:sz w:val="19"/>
          <w:szCs w:val="19"/>
        </w:rPr>
        <w:t xml:space="preserve">使 </w:t>
      </w:r>
      <w:r>
        <w:rPr>
          <w:rFonts w:ascii="宋体" w:hAnsi="宋体" w:eastAsia="宋体" w:cs="宋体"/>
          <w:spacing w:val="18"/>
          <w:sz w:val="19"/>
          <w:szCs w:val="19"/>
        </w:rPr>
        <w:t>质量认证文化嵌入了高等教育</w:t>
      </w:r>
      <w:r>
        <w:rPr>
          <w:rFonts w:ascii="微软雅黑" w:hAnsi="微软雅黑" w:eastAsia="微软雅黑" w:cs="微软雅黑"/>
          <w:spacing w:val="18"/>
          <w:sz w:val="19"/>
          <w:szCs w:val="19"/>
        </w:rPr>
        <w:t>，</w:t>
      </w:r>
      <w:r>
        <w:rPr>
          <w:rFonts w:ascii="宋体" w:hAnsi="宋体" w:eastAsia="宋体" w:cs="宋体"/>
          <w:spacing w:val="18"/>
          <w:sz w:val="19"/>
          <w:szCs w:val="19"/>
        </w:rPr>
        <w:t>为大众化和普及</w:t>
      </w:r>
      <w:r>
        <w:rPr>
          <w:rFonts w:ascii="宋体" w:hAnsi="宋体" w:eastAsia="宋体" w:cs="宋体"/>
          <w:spacing w:val="17"/>
          <w:sz w:val="19"/>
          <w:szCs w:val="19"/>
        </w:rPr>
        <w:t xml:space="preserve">化 </w:t>
      </w:r>
      <w:r>
        <w:rPr>
          <w:rFonts w:ascii="宋体" w:hAnsi="宋体" w:eastAsia="宋体" w:cs="宋体"/>
          <w:spacing w:val="16"/>
          <w:sz w:val="19"/>
          <w:szCs w:val="19"/>
        </w:rPr>
        <w:t>高等教育发展中质量底线的保证奠定了基础</w:t>
      </w:r>
      <w:r>
        <w:rPr>
          <w:rFonts w:ascii="宋体" w:hAnsi="宋体" w:eastAsia="宋体" w:cs="宋体"/>
          <w:spacing w:val="-51"/>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英国 </w:t>
      </w:r>
      <w:r>
        <w:rPr>
          <w:rFonts w:ascii="宋体" w:hAnsi="宋体" w:eastAsia="宋体" w:cs="宋体"/>
          <w:spacing w:val="18"/>
          <w:sz w:val="19"/>
          <w:szCs w:val="19"/>
        </w:rPr>
        <w:t>改组大学拨款委员会</w:t>
      </w:r>
      <w:r>
        <w:rPr>
          <w:rFonts w:ascii="微软雅黑" w:hAnsi="微软雅黑" w:eastAsia="微软雅黑" w:cs="微软雅黑"/>
          <w:spacing w:val="18"/>
          <w:sz w:val="19"/>
          <w:szCs w:val="19"/>
        </w:rPr>
        <w:t>，</w:t>
      </w:r>
      <w:r>
        <w:rPr>
          <w:rFonts w:ascii="宋体" w:hAnsi="宋体" w:eastAsia="宋体" w:cs="宋体"/>
          <w:spacing w:val="18"/>
          <w:sz w:val="19"/>
          <w:szCs w:val="19"/>
        </w:rPr>
        <w:t>建立并不断完善高等教育</w:t>
      </w:r>
      <w:r>
        <w:rPr>
          <w:rFonts w:ascii="宋体" w:hAnsi="宋体" w:eastAsia="宋体" w:cs="宋体"/>
          <w:spacing w:val="17"/>
          <w:sz w:val="19"/>
          <w:szCs w:val="19"/>
        </w:rPr>
        <w:t xml:space="preserve">基 </w:t>
      </w:r>
      <w:r>
        <w:rPr>
          <w:rFonts w:ascii="宋体" w:hAnsi="宋体" w:eastAsia="宋体" w:cs="宋体"/>
          <w:spacing w:val="18"/>
          <w:sz w:val="19"/>
          <w:szCs w:val="19"/>
        </w:rPr>
        <w:t>金委员会制度</w:t>
      </w:r>
      <w:r>
        <w:rPr>
          <w:rFonts w:ascii="微软雅黑" w:hAnsi="微软雅黑" w:eastAsia="微软雅黑" w:cs="微软雅黑"/>
          <w:spacing w:val="18"/>
          <w:sz w:val="19"/>
          <w:szCs w:val="19"/>
        </w:rPr>
        <w:t>，</w:t>
      </w:r>
      <w:r>
        <w:rPr>
          <w:rFonts w:ascii="宋体" w:hAnsi="宋体" w:eastAsia="宋体" w:cs="宋体"/>
          <w:spacing w:val="18"/>
          <w:sz w:val="19"/>
          <w:szCs w:val="19"/>
        </w:rPr>
        <w:t>将高等教育质量保证与政府财政</w:t>
      </w:r>
      <w:r>
        <w:rPr>
          <w:rFonts w:ascii="宋体" w:hAnsi="宋体" w:eastAsia="宋体" w:cs="宋体"/>
          <w:spacing w:val="17"/>
          <w:sz w:val="19"/>
          <w:szCs w:val="19"/>
        </w:rPr>
        <w:t xml:space="preserve">拨 </w:t>
      </w:r>
      <w:r>
        <w:rPr>
          <w:rFonts w:ascii="宋体" w:hAnsi="宋体" w:eastAsia="宋体" w:cs="宋体"/>
          <w:spacing w:val="9"/>
          <w:sz w:val="19"/>
          <w:szCs w:val="19"/>
        </w:rPr>
        <w:t>款相关联</w:t>
      </w:r>
      <w:r>
        <w:rPr>
          <w:rFonts w:ascii="微软雅黑" w:hAnsi="微软雅黑" w:eastAsia="微软雅黑" w:cs="微软雅黑"/>
          <w:spacing w:val="9"/>
          <w:sz w:val="19"/>
          <w:szCs w:val="19"/>
        </w:rPr>
        <w:t>，</w:t>
      </w:r>
      <w:r>
        <w:rPr>
          <w:rFonts w:ascii="宋体" w:hAnsi="宋体" w:eastAsia="宋体" w:cs="宋体"/>
          <w:spacing w:val="9"/>
          <w:sz w:val="19"/>
          <w:szCs w:val="19"/>
        </w:rPr>
        <w:t>不断提升了高校办学的质量意识</w:t>
      </w:r>
      <w:r>
        <w:rPr>
          <w:rFonts w:ascii="微软雅黑" w:hAnsi="微软雅黑" w:eastAsia="微软雅黑" w:cs="微软雅黑"/>
          <w:spacing w:val="9"/>
          <w:sz w:val="19"/>
          <w:szCs w:val="19"/>
        </w:rPr>
        <w:t>，</w:t>
      </w:r>
      <w:r>
        <w:rPr>
          <w:rFonts w:ascii="宋体" w:hAnsi="宋体" w:eastAsia="宋体" w:cs="宋体"/>
          <w:spacing w:val="9"/>
          <w:sz w:val="19"/>
          <w:szCs w:val="19"/>
        </w:rPr>
        <w:t>而且使 教学评估</w:t>
      </w:r>
      <w:r>
        <w:rPr>
          <w:rFonts w:ascii="微软雅黑" w:hAnsi="微软雅黑" w:eastAsia="微软雅黑" w:cs="微软雅黑"/>
          <w:spacing w:val="9"/>
          <w:sz w:val="19"/>
          <w:szCs w:val="19"/>
        </w:rPr>
        <w:t>、</w:t>
      </w:r>
      <w:r>
        <w:rPr>
          <w:rFonts w:ascii="宋体" w:hAnsi="宋体" w:eastAsia="宋体" w:cs="宋体"/>
          <w:spacing w:val="9"/>
          <w:sz w:val="19"/>
          <w:szCs w:val="19"/>
        </w:rPr>
        <w:t>研究评估</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质量审核等成为保证大众化和 </w:t>
      </w:r>
      <w:r>
        <w:rPr>
          <w:rFonts w:ascii="宋体" w:hAnsi="宋体" w:eastAsia="宋体" w:cs="宋体"/>
          <w:spacing w:val="13"/>
          <w:sz w:val="19"/>
          <w:szCs w:val="19"/>
        </w:rPr>
        <w:t>普及化高等教育健康发展的重要推力</w:t>
      </w:r>
      <w:r>
        <w:rPr>
          <w:rFonts w:ascii="微软雅黑" w:hAnsi="微软雅黑" w:eastAsia="微软雅黑" w:cs="微软雅黑"/>
          <w:spacing w:val="13"/>
          <w:sz w:val="19"/>
          <w:szCs w:val="19"/>
        </w:rPr>
        <w:t>。</w:t>
      </w:r>
      <w:r>
        <w:rPr>
          <w:rFonts w:ascii="微软雅黑" w:hAnsi="微软雅黑" w:eastAsia="微软雅黑" w:cs="微软雅黑"/>
          <w:spacing w:val="13"/>
          <w:position w:val="8"/>
          <w:sz w:val="10"/>
          <w:szCs w:val="10"/>
        </w:rPr>
        <w:t>[</w:t>
      </w:r>
      <w:r>
        <w:rPr>
          <w:rFonts w:ascii="Arial" w:hAnsi="Arial" w:eastAsia="Arial" w:cs="Arial"/>
          <w:spacing w:val="13"/>
          <w:position w:val="8"/>
          <w:sz w:val="10"/>
          <w:szCs w:val="10"/>
        </w:rPr>
        <w:t>2</w:t>
      </w:r>
      <w:r>
        <w:rPr>
          <w:rFonts w:ascii="微软雅黑" w:hAnsi="微软雅黑" w:eastAsia="微软雅黑" w:cs="微软雅黑"/>
          <w:spacing w:val="13"/>
          <w:position w:val="8"/>
          <w:sz w:val="10"/>
          <w:szCs w:val="10"/>
        </w:rPr>
        <w:t>]</w:t>
      </w:r>
    </w:p>
    <w:p>
      <w:pPr>
        <w:spacing w:before="59" w:line="209" w:lineRule="auto"/>
        <w:ind w:left="3" w:right="80" w:firstLine="434"/>
        <w:rPr>
          <w:rFonts w:ascii="微软雅黑" w:hAnsi="微软雅黑" w:eastAsia="微软雅黑" w:cs="微软雅黑"/>
          <w:sz w:val="19"/>
          <w:szCs w:val="19"/>
        </w:rPr>
      </w:pPr>
      <w:r>
        <w:rPr>
          <w:rFonts w:ascii="微软雅黑" w:hAnsi="微软雅黑" w:eastAsia="微软雅黑" w:cs="微软雅黑"/>
          <w:spacing w:val="21"/>
          <w:sz w:val="19"/>
          <w:szCs w:val="19"/>
        </w:rPr>
        <w:t>(</w:t>
      </w:r>
      <w:r>
        <w:rPr>
          <w:rFonts w:ascii="Arial" w:hAnsi="Arial" w:eastAsia="Arial" w:cs="Arial"/>
          <w:spacing w:val="21"/>
          <w:sz w:val="19"/>
          <w:szCs w:val="19"/>
        </w:rPr>
        <w:t>2</w:t>
      </w:r>
      <w:r>
        <w:rPr>
          <w:rFonts w:ascii="微软雅黑" w:hAnsi="微软雅黑" w:eastAsia="微软雅黑" w:cs="微软雅黑"/>
          <w:spacing w:val="21"/>
          <w:sz w:val="19"/>
          <w:szCs w:val="19"/>
        </w:rPr>
        <w:t>)</w:t>
      </w:r>
      <w:r>
        <w:rPr>
          <w:rFonts w:ascii="微软雅黑" w:hAnsi="微软雅黑" w:eastAsia="微软雅黑" w:cs="微软雅黑"/>
          <w:spacing w:val="1"/>
          <w:sz w:val="19"/>
          <w:szCs w:val="19"/>
        </w:rPr>
        <w:t xml:space="preserve"> </w:t>
      </w:r>
      <w:r>
        <w:rPr>
          <w:rFonts w:ascii="宋体" w:hAnsi="宋体" w:eastAsia="宋体" w:cs="宋体"/>
          <w:spacing w:val="21"/>
          <w:sz w:val="19"/>
          <w:szCs w:val="19"/>
        </w:rPr>
        <w:t>质量文化建设是高校坚持正确办学方向的</w:t>
      </w:r>
      <w:r>
        <w:rPr>
          <w:rFonts w:ascii="宋体" w:hAnsi="宋体" w:eastAsia="宋体" w:cs="宋体"/>
          <w:sz w:val="19"/>
          <w:szCs w:val="19"/>
        </w:rPr>
        <w:t xml:space="preserve"> </w:t>
      </w:r>
      <w:r>
        <w:rPr>
          <w:rFonts w:ascii="宋体" w:hAnsi="宋体" w:eastAsia="宋体" w:cs="宋体"/>
          <w:spacing w:val="17"/>
          <w:sz w:val="19"/>
          <w:szCs w:val="19"/>
        </w:rPr>
        <w:t>重大抓手</w:t>
      </w:r>
      <w:r>
        <w:rPr>
          <w:rFonts w:ascii="微软雅黑" w:hAnsi="微软雅黑" w:eastAsia="微软雅黑" w:cs="微软雅黑"/>
          <w:spacing w:val="17"/>
          <w:sz w:val="19"/>
          <w:szCs w:val="19"/>
        </w:rPr>
        <w:t>。</w:t>
      </w:r>
    </w:p>
    <w:p>
      <w:pPr>
        <w:spacing w:before="65" w:line="227" w:lineRule="auto"/>
        <w:ind w:right="77" w:firstLine="424"/>
        <w:rPr>
          <w:rFonts w:ascii="宋体" w:hAnsi="宋体" w:eastAsia="宋体" w:cs="宋体"/>
          <w:sz w:val="19"/>
          <w:szCs w:val="19"/>
        </w:rPr>
      </w:pPr>
      <w:r>
        <w:rPr>
          <w:rFonts w:ascii="宋体" w:hAnsi="宋体" w:eastAsia="宋体" w:cs="宋体"/>
          <w:spacing w:val="16"/>
          <w:sz w:val="19"/>
          <w:szCs w:val="19"/>
        </w:rPr>
        <w:t>高校是高等教育质量文化的关键组织主体</w:t>
      </w:r>
      <w:r>
        <w:rPr>
          <w:rFonts w:ascii="宋体" w:hAnsi="宋体" w:eastAsia="宋体" w:cs="宋体"/>
          <w:spacing w:val="-48"/>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办</w:t>
      </w:r>
      <w:r>
        <w:rPr>
          <w:rFonts w:ascii="宋体" w:hAnsi="宋体" w:eastAsia="宋体" w:cs="宋体"/>
          <w:sz w:val="19"/>
          <w:szCs w:val="19"/>
        </w:rPr>
        <w:t xml:space="preserve"> </w:t>
      </w:r>
      <w:r>
        <w:rPr>
          <w:rFonts w:ascii="宋体" w:hAnsi="宋体" w:eastAsia="宋体" w:cs="宋体"/>
          <w:spacing w:val="18"/>
          <w:sz w:val="19"/>
          <w:szCs w:val="19"/>
        </w:rPr>
        <w:t>一所什么样的学校</w:t>
      </w:r>
      <w:r>
        <w:rPr>
          <w:rFonts w:ascii="微软雅黑" w:hAnsi="微软雅黑" w:eastAsia="微软雅黑" w:cs="微软雅黑"/>
          <w:spacing w:val="18"/>
          <w:sz w:val="19"/>
          <w:szCs w:val="19"/>
        </w:rPr>
        <w:t>，</w:t>
      </w:r>
      <w:r>
        <w:rPr>
          <w:rFonts w:ascii="宋体" w:hAnsi="宋体" w:eastAsia="宋体" w:cs="宋体"/>
          <w:spacing w:val="18"/>
          <w:sz w:val="19"/>
          <w:szCs w:val="19"/>
        </w:rPr>
        <w:t>就会有什么样的高等教育质量</w:t>
      </w:r>
      <w:r>
        <w:rPr>
          <w:rFonts w:ascii="宋体" w:hAnsi="宋体" w:eastAsia="宋体" w:cs="宋体"/>
          <w:spacing w:val="13"/>
          <w:sz w:val="19"/>
          <w:szCs w:val="19"/>
        </w:rPr>
        <w:t xml:space="preserve"> </w:t>
      </w:r>
      <w:r>
        <w:rPr>
          <w:rFonts w:ascii="宋体" w:hAnsi="宋体" w:eastAsia="宋体" w:cs="宋体"/>
          <w:spacing w:val="16"/>
          <w:sz w:val="19"/>
          <w:szCs w:val="19"/>
        </w:rPr>
        <w:t>文化</w:t>
      </w:r>
      <w:r>
        <w:rPr>
          <w:rFonts w:ascii="宋体" w:hAnsi="宋体" w:eastAsia="宋体" w:cs="宋体"/>
          <w:spacing w:val="-37"/>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反过来讲也是成立的</w:t>
      </w:r>
      <w:r>
        <w:rPr>
          <w:rFonts w:ascii="微软雅黑" w:hAnsi="微软雅黑" w:eastAsia="微软雅黑" w:cs="微软雅黑"/>
          <w:spacing w:val="16"/>
          <w:sz w:val="19"/>
          <w:szCs w:val="19"/>
        </w:rPr>
        <w:t>，</w:t>
      </w:r>
      <w:r>
        <w:rPr>
          <w:rFonts w:ascii="宋体" w:hAnsi="宋体" w:eastAsia="宋体" w:cs="宋体"/>
          <w:spacing w:val="16"/>
          <w:sz w:val="19"/>
          <w:szCs w:val="19"/>
        </w:rPr>
        <w:t>质量文化建设可以塑</w:t>
      </w:r>
      <w:r>
        <w:rPr>
          <w:rFonts w:ascii="宋体" w:hAnsi="宋体" w:eastAsia="宋体" w:cs="宋体"/>
          <w:sz w:val="19"/>
          <w:szCs w:val="19"/>
        </w:rPr>
        <w:t xml:space="preserve"> </w:t>
      </w:r>
      <w:r>
        <w:rPr>
          <w:rFonts w:ascii="宋体" w:hAnsi="宋体" w:eastAsia="宋体" w:cs="宋体"/>
          <w:spacing w:val="15"/>
          <w:sz w:val="19"/>
          <w:szCs w:val="19"/>
        </w:rPr>
        <w:t>造高校的办学特色</w:t>
      </w:r>
      <w:r>
        <w:rPr>
          <w:rFonts w:ascii="宋体" w:hAnsi="宋体" w:eastAsia="宋体" w:cs="宋体"/>
          <w:spacing w:val="-34"/>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5"/>
          <w:sz w:val="19"/>
          <w:szCs w:val="19"/>
        </w:rPr>
        <w:t>在大众化和普及化阶段</w:t>
      </w:r>
      <w:r>
        <w:rPr>
          <w:rFonts w:ascii="微软雅黑" w:hAnsi="微软雅黑" w:eastAsia="微软雅黑" w:cs="微软雅黑"/>
          <w:spacing w:val="15"/>
          <w:sz w:val="19"/>
          <w:szCs w:val="19"/>
        </w:rPr>
        <w:t>，</w:t>
      </w:r>
      <w:r>
        <w:rPr>
          <w:rFonts w:ascii="宋体" w:hAnsi="宋体" w:eastAsia="宋体" w:cs="宋体"/>
          <w:spacing w:val="15"/>
          <w:sz w:val="19"/>
          <w:szCs w:val="19"/>
        </w:rPr>
        <w:t>社会</w:t>
      </w:r>
      <w:r>
        <w:rPr>
          <w:rFonts w:ascii="宋体" w:hAnsi="宋体" w:eastAsia="宋体" w:cs="宋体"/>
          <w:sz w:val="19"/>
          <w:szCs w:val="19"/>
        </w:rPr>
        <w:t xml:space="preserve"> </w:t>
      </w:r>
      <w:r>
        <w:rPr>
          <w:rFonts w:ascii="宋体" w:hAnsi="宋体" w:eastAsia="宋体" w:cs="宋体"/>
          <w:spacing w:val="18"/>
          <w:sz w:val="19"/>
          <w:szCs w:val="19"/>
        </w:rPr>
        <w:t>需求越来越多样化</w:t>
      </w:r>
      <w:r>
        <w:rPr>
          <w:rFonts w:ascii="微软雅黑" w:hAnsi="微软雅黑" w:eastAsia="微软雅黑" w:cs="微软雅黑"/>
          <w:spacing w:val="18"/>
          <w:sz w:val="19"/>
          <w:szCs w:val="19"/>
        </w:rPr>
        <w:t>，</w:t>
      </w:r>
      <w:r>
        <w:rPr>
          <w:rFonts w:ascii="宋体" w:hAnsi="宋体" w:eastAsia="宋体" w:cs="宋体"/>
          <w:spacing w:val="18"/>
          <w:sz w:val="19"/>
          <w:szCs w:val="19"/>
        </w:rPr>
        <w:t>高校类型和特色也表现出多样</w:t>
      </w:r>
      <w:r>
        <w:rPr>
          <w:rFonts w:ascii="宋体" w:hAnsi="宋体" w:eastAsia="宋体" w:cs="宋体"/>
          <w:spacing w:val="13"/>
          <w:sz w:val="19"/>
          <w:szCs w:val="19"/>
        </w:rPr>
        <w:t xml:space="preserve"> </w:t>
      </w:r>
      <w:r>
        <w:rPr>
          <w:rFonts w:ascii="宋体" w:hAnsi="宋体" w:eastAsia="宋体" w:cs="宋体"/>
          <w:spacing w:val="16"/>
          <w:sz w:val="19"/>
          <w:szCs w:val="19"/>
        </w:rPr>
        <w:t>性的特点</w:t>
      </w:r>
      <w:r>
        <w:rPr>
          <w:rFonts w:ascii="宋体" w:hAnsi="宋体" w:eastAsia="宋体" w:cs="宋体"/>
          <w:spacing w:val="-36"/>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在众多需求的刺激下</w:t>
      </w:r>
      <w:r>
        <w:rPr>
          <w:rFonts w:ascii="微软雅黑" w:hAnsi="微软雅黑" w:eastAsia="微软雅黑" w:cs="微软雅黑"/>
          <w:spacing w:val="16"/>
          <w:sz w:val="19"/>
          <w:szCs w:val="19"/>
        </w:rPr>
        <w:t>，</w:t>
      </w:r>
      <w:r>
        <w:rPr>
          <w:rFonts w:ascii="宋体" w:hAnsi="宋体" w:eastAsia="宋体" w:cs="宋体"/>
          <w:spacing w:val="16"/>
          <w:sz w:val="19"/>
          <w:szCs w:val="19"/>
        </w:rPr>
        <w:t>高校很可能觉着</w:t>
      </w:r>
    </w:p>
    <w:p>
      <w:pPr>
        <w:spacing w:before="49" w:line="184" w:lineRule="exact"/>
        <w:ind w:left="3838"/>
        <w:rPr>
          <w:rFonts w:ascii="微软雅黑" w:hAnsi="微软雅黑" w:eastAsia="微软雅黑" w:cs="微软雅黑"/>
          <w:sz w:val="19"/>
          <w:szCs w:val="19"/>
        </w:rPr>
      </w:pPr>
      <w:r>
        <w:rPr>
          <w:rFonts w:ascii="微软雅黑" w:hAnsi="微软雅黑" w:eastAsia="微软雅黑" w:cs="微软雅黑"/>
          <w:spacing w:val="-11"/>
          <w:position w:val="1"/>
          <w:sz w:val="19"/>
          <w:szCs w:val="19"/>
        </w:rPr>
        <w:t>·</w:t>
      </w:r>
      <w:r>
        <w:rPr>
          <w:rFonts w:ascii="微软雅黑" w:hAnsi="微软雅黑" w:eastAsia="微软雅黑" w:cs="微软雅黑"/>
          <w:spacing w:val="21"/>
          <w:position w:val="1"/>
          <w:sz w:val="19"/>
          <w:szCs w:val="19"/>
        </w:rPr>
        <w:t xml:space="preserve">  </w:t>
      </w:r>
      <w:r>
        <w:rPr>
          <w:rFonts w:ascii="Arial" w:hAnsi="Arial" w:eastAsia="Arial" w:cs="Arial"/>
          <w:spacing w:val="-11"/>
          <w:position w:val="-1"/>
          <w:sz w:val="19"/>
          <w:szCs w:val="19"/>
        </w:rPr>
        <w:t>11</w:t>
      </w:r>
      <w:r>
        <w:rPr>
          <w:rFonts w:ascii="Arial" w:hAnsi="Arial" w:eastAsia="Arial" w:cs="Arial"/>
          <w:spacing w:val="24"/>
          <w:w w:val="101"/>
          <w:position w:val="-1"/>
          <w:sz w:val="19"/>
          <w:szCs w:val="19"/>
        </w:rPr>
        <w:t xml:space="preserve">  </w:t>
      </w:r>
      <w:r>
        <w:rPr>
          <w:rFonts w:ascii="微软雅黑" w:hAnsi="微软雅黑" w:eastAsia="微软雅黑" w:cs="微软雅黑"/>
          <w:spacing w:val="-11"/>
          <w:position w:val="1"/>
          <w:sz w:val="19"/>
          <w:szCs w:val="19"/>
        </w:rPr>
        <w:t>·</w:t>
      </w:r>
    </w:p>
    <w:p>
      <w:pPr>
        <w:spacing w:line="184" w:lineRule="exact"/>
        <w:rPr>
          <w:rFonts w:ascii="微软雅黑" w:hAnsi="微软雅黑" w:eastAsia="微软雅黑" w:cs="微软雅黑"/>
          <w:sz w:val="19"/>
          <w:szCs w:val="19"/>
        </w:rPr>
        <w:sectPr>
          <w:type w:val="continuous"/>
          <w:pgSz w:w="11905" w:h="16836"/>
          <w:pgMar w:top="400" w:right="1063" w:bottom="547" w:left="407" w:header="0" w:footer="354" w:gutter="0"/>
          <w:cols w:equalWidth="0" w:num="2">
            <w:col w:w="5662" w:space="100"/>
            <w:col w:w="4672"/>
          </w:cols>
        </w:sectPr>
      </w:pPr>
    </w:p>
    <w:p>
      <w:pPr>
        <w:spacing w:line="426" w:lineRule="auto"/>
        <w:rPr>
          <w:rFonts w:ascii="Arial"/>
          <w:sz w:val="21"/>
        </w:rPr>
      </w:pPr>
    </w:p>
    <w:p>
      <w:pPr>
        <w:spacing w:before="52" w:line="220" w:lineRule="auto"/>
        <w:ind w:left="4292"/>
        <w:rPr>
          <w:rFonts w:ascii="宋体" w:hAnsi="宋体" w:eastAsia="宋体" w:cs="宋体"/>
          <w:sz w:val="16"/>
          <w:szCs w:val="16"/>
        </w:rPr>
      </w:pPr>
      <w:r>
        <w:rPr>
          <w:rFonts w:ascii="宋体" w:hAnsi="宋体" w:eastAsia="宋体" w:cs="宋体"/>
          <w:spacing w:val="18"/>
          <w:sz w:val="16"/>
          <w:szCs w:val="16"/>
        </w:rPr>
        <w:t>高等教育质量文化及其建设策略</w:t>
      </w:r>
    </w:p>
    <w:p>
      <w:pPr>
        <w:spacing w:before="23" w:line="159" w:lineRule="exact"/>
        <w:ind w:left="721"/>
      </w:pPr>
      <w:r>
        <w:rPr>
          <w:position w:val="-3"/>
        </w:rPr>
        <w:drawing>
          <wp:inline distT="0" distB="0" distL="0" distR="0">
            <wp:extent cx="6118860" cy="10096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6"/>
                    <a:stretch>
                      <a:fillRect/>
                    </a:stretch>
                  </pic:blipFill>
                  <pic:spPr>
                    <a:xfrm>
                      <a:off x="0" y="0"/>
                      <a:ext cx="6119371" cy="101421"/>
                    </a:xfrm>
                    <a:prstGeom prst="rect">
                      <a:avLst/>
                    </a:prstGeom>
                  </pic:spPr>
                </pic:pic>
              </a:graphicData>
            </a:graphic>
          </wp:inline>
        </w:drawing>
      </w:r>
    </w:p>
    <w:p>
      <w:pPr>
        <w:spacing w:line="116" w:lineRule="exact"/>
      </w:pPr>
    </w:p>
    <w:p>
      <w:pPr>
        <w:spacing w:line="116" w:lineRule="exact"/>
        <w:sectPr>
          <w:footerReference r:id="rId26" w:type="default"/>
          <w:pgSz w:w="11905" w:h="16836"/>
          <w:pgMar w:top="400" w:right="1066" w:bottom="547" w:left="407" w:header="0" w:footer="354" w:gutter="0"/>
          <w:cols w:equalWidth="0" w:num="1">
            <w:col w:w="10430"/>
          </w:cols>
        </w:sectPr>
      </w:pPr>
    </w:p>
    <w:p>
      <w:pPr>
        <w:spacing w:before="37" w:line="215" w:lineRule="auto"/>
        <w:ind w:left="735" w:right="337" w:hanging="2"/>
        <w:jc w:val="both"/>
        <w:rPr>
          <w:rFonts w:ascii="微软雅黑" w:hAnsi="微软雅黑" w:eastAsia="微软雅黑" w:cs="微软雅黑"/>
          <w:sz w:val="19"/>
          <w:szCs w:val="19"/>
        </w:rPr>
      </w:pPr>
      <w:r>
        <w:rPr>
          <w:rFonts w:ascii="宋体" w:hAnsi="宋体" w:eastAsia="宋体" w:cs="宋体"/>
          <w:spacing w:val="15"/>
          <w:sz w:val="19"/>
          <w:szCs w:val="19"/>
        </w:rPr>
        <w:t>什么都重要</w:t>
      </w:r>
      <w:r>
        <w:rPr>
          <w:rFonts w:ascii="微软雅黑" w:hAnsi="微软雅黑" w:eastAsia="微软雅黑" w:cs="微软雅黑"/>
          <w:spacing w:val="15"/>
          <w:sz w:val="19"/>
          <w:szCs w:val="19"/>
        </w:rPr>
        <w:t>，</w:t>
      </w:r>
      <w:r>
        <w:rPr>
          <w:rFonts w:ascii="宋体" w:hAnsi="宋体" w:eastAsia="宋体" w:cs="宋体"/>
          <w:spacing w:val="15"/>
          <w:sz w:val="19"/>
          <w:szCs w:val="19"/>
        </w:rPr>
        <w:t>什么都不能忽视或放弃</w:t>
      </w:r>
      <w:r>
        <w:rPr>
          <w:rFonts w:ascii="微软雅黑" w:hAnsi="微软雅黑" w:eastAsia="微软雅黑" w:cs="微软雅黑"/>
          <w:spacing w:val="15"/>
          <w:sz w:val="19"/>
          <w:szCs w:val="19"/>
        </w:rPr>
        <w:t>，</w:t>
      </w:r>
      <w:r>
        <w:rPr>
          <w:rFonts w:ascii="宋体" w:hAnsi="宋体" w:eastAsia="宋体" w:cs="宋体"/>
          <w:spacing w:val="15"/>
          <w:sz w:val="19"/>
          <w:szCs w:val="19"/>
        </w:rPr>
        <w:t>从而迷失</w:t>
      </w:r>
      <w:r>
        <w:rPr>
          <w:rFonts w:ascii="宋体" w:hAnsi="宋体" w:eastAsia="宋体" w:cs="宋体"/>
          <w:spacing w:val="-16"/>
          <w:sz w:val="19"/>
          <w:szCs w:val="19"/>
        </w:rPr>
        <w:t xml:space="preserve"> </w:t>
      </w:r>
      <w:r>
        <w:rPr>
          <w:rFonts w:ascii="宋体" w:hAnsi="宋体" w:eastAsia="宋体" w:cs="宋体"/>
          <w:spacing w:val="15"/>
          <w:sz w:val="19"/>
          <w:szCs w:val="19"/>
        </w:rPr>
        <w:t>自</w:t>
      </w:r>
      <w:r>
        <w:rPr>
          <w:rFonts w:ascii="宋体" w:hAnsi="宋体" w:eastAsia="宋体" w:cs="宋体"/>
          <w:sz w:val="19"/>
          <w:szCs w:val="19"/>
        </w:rPr>
        <w:t xml:space="preserve"> </w:t>
      </w:r>
      <w:r>
        <w:rPr>
          <w:rFonts w:ascii="宋体" w:hAnsi="宋体" w:eastAsia="宋体" w:cs="宋体"/>
          <w:spacing w:val="16"/>
          <w:sz w:val="19"/>
          <w:szCs w:val="19"/>
        </w:rPr>
        <w:t>我</w:t>
      </w:r>
      <w:r>
        <w:rPr>
          <w:rFonts w:ascii="微软雅黑" w:hAnsi="微软雅黑" w:eastAsia="微软雅黑" w:cs="微软雅黑"/>
          <w:spacing w:val="16"/>
          <w:sz w:val="19"/>
          <w:szCs w:val="19"/>
        </w:rPr>
        <w:t>，</w:t>
      </w:r>
      <w:r>
        <w:rPr>
          <w:rFonts w:ascii="宋体" w:hAnsi="宋体" w:eastAsia="宋体" w:cs="宋体"/>
          <w:spacing w:val="16"/>
          <w:sz w:val="19"/>
          <w:szCs w:val="19"/>
        </w:rPr>
        <w:t>徘徊于各种需求之</w:t>
      </w:r>
      <w:r>
        <w:rPr>
          <w:rFonts w:ascii="宋体" w:hAnsi="宋体" w:eastAsia="宋体" w:cs="宋体"/>
          <w:spacing w:val="-41"/>
          <w:sz w:val="19"/>
          <w:szCs w:val="19"/>
        </w:rPr>
        <w:t xml:space="preserve"> </w:t>
      </w:r>
      <w:r>
        <w:rPr>
          <w:rFonts w:ascii="宋体" w:hAnsi="宋体" w:eastAsia="宋体" w:cs="宋体"/>
          <w:spacing w:val="16"/>
          <w:sz w:val="19"/>
          <w:szCs w:val="19"/>
        </w:rPr>
        <w:t>间</w:t>
      </w:r>
      <w:r>
        <w:rPr>
          <w:rFonts w:ascii="微软雅黑" w:hAnsi="微软雅黑" w:eastAsia="微软雅黑" w:cs="微软雅黑"/>
          <w:spacing w:val="16"/>
          <w:sz w:val="19"/>
          <w:szCs w:val="19"/>
        </w:rPr>
        <w:t>，</w:t>
      </w:r>
      <w:r>
        <w:rPr>
          <w:rFonts w:ascii="宋体" w:hAnsi="宋体" w:eastAsia="宋体" w:cs="宋体"/>
          <w:spacing w:val="16"/>
          <w:sz w:val="19"/>
          <w:szCs w:val="19"/>
        </w:rPr>
        <w:t>摇摆于各种办学定位之</w:t>
      </w:r>
      <w:r>
        <w:rPr>
          <w:rFonts w:ascii="宋体" w:hAnsi="宋体" w:eastAsia="宋体" w:cs="宋体"/>
          <w:sz w:val="19"/>
          <w:szCs w:val="19"/>
        </w:rPr>
        <w:t xml:space="preserve"> </w:t>
      </w:r>
      <w:r>
        <w:rPr>
          <w:rFonts w:ascii="宋体" w:hAnsi="宋体" w:eastAsia="宋体" w:cs="宋体"/>
          <w:spacing w:val="11"/>
          <w:sz w:val="19"/>
          <w:szCs w:val="19"/>
        </w:rPr>
        <w:t>间</w:t>
      </w:r>
      <w:r>
        <w:rPr>
          <w:rFonts w:ascii="微软雅黑" w:hAnsi="微软雅黑" w:eastAsia="微软雅黑" w:cs="微软雅黑"/>
          <w:spacing w:val="11"/>
          <w:sz w:val="19"/>
          <w:szCs w:val="19"/>
        </w:rPr>
        <w:t>，</w:t>
      </w:r>
      <w:r>
        <w:rPr>
          <w:rFonts w:ascii="宋体" w:hAnsi="宋体" w:eastAsia="宋体" w:cs="宋体"/>
          <w:spacing w:val="11"/>
          <w:sz w:val="19"/>
          <w:szCs w:val="19"/>
        </w:rPr>
        <w:t>不能坚持正确的办学方向</w:t>
      </w:r>
      <w:r>
        <w:rPr>
          <w:rFonts w:ascii="微软雅黑" w:hAnsi="微软雅黑" w:eastAsia="微软雅黑" w:cs="微软雅黑"/>
          <w:spacing w:val="11"/>
          <w:sz w:val="19"/>
          <w:szCs w:val="19"/>
        </w:rPr>
        <w:t>。</w:t>
      </w:r>
    </w:p>
    <w:p>
      <w:pPr>
        <w:tabs>
          <w:tab w:val="left" w:pos="736"/>
        </w:tabs>
        <w:spacing w:before="66" w:line="232" w:lineRule="auto"/>
        <w:ind w:left="641" w:right="246" w:firstLine="511"/>
        <w:jc w:val="both"/>
        <w:rPr>
          <w:rFonts w:ascii="微软雅黑" w:hAnsi="微软雅黑" w:eastAsia="微软雅黑" w:cs="微软雅黑"/>
          <w:sz w:val="10"/>
          <w:szCs w:val="10"/>
        </w:rPr>
      </w:pPr>
      <w:r>
        <w:rPr>
          <w:rFonts w:ascii="宋体" w:hAnsi="宋体" w:eastAsia="宋体" w:cs="宋体"/>
          <w:spacing w:val="18"/>
          <w:sz w:val="19"/>
          <w:szCs w:val="19"/>
        </w:rPr>
        <w:t>质量文化建设有助于高校增强办学定力</w:t>
      </w:r>
      <w:r>
        <w:rPr>
          <w:rFonts w:ascii="微软雅黑" w:hAnsi="微软雅黑" w:eastAsia="微软雅黑" w:cs="微软雅黑"/>
          <w:spacing w:val="18"/>
          <w:sz w:val="19"/>
          <w:szCs w:val="19"/>
        </w:rPr>
        <w:t>，</w:t>
      </w:r>
      <w:r>
        <w:rPr>
          <w:rFonts w:ascii="宋体" w:hAnsi="宋体" w:eastAsia="宋体" w:cs="宋体"/>
          <w:spacing w:val="18"/>
          <w:sz w:val="19"/>
          <w:szCs w:val="19"/>
        </w:rPr>
        <w:t>坚持</w:t>
      </w:r>
      <w:r>
        <w:rPr>
          <w:rFonts w:ascii="宋体" w:hAnsi="宋体" w:eastAsia="宋体" w:cs="宋体"/>
          <w:spacing w:val="4"/>
          <w:sz w:val="19"/>
          <w:szCs w:val="19"/>
        </w:rPr>
        <w:t xml:space="preserve">  </w:t>
      </w:r>
      <w:r>
        <w:rPr>
          <w:rFonts w:ascii="宋体" w:hAnsi="宋体" w:eastAsia="宋体" w:cs="宋体"/>
          <w:spacing w:val="13"/>
          <w:sz w:val="19"/>
          <w:szCs w:val="19"/>
        </w:rPr>
        <w:t>正确的办学方向</w:t>
      </w:r>
      <w:r>
        <w:rPr>
          <w:rFonts w:ascii="微软雅黑" w:hAnsi="微软雅黑" w:eastAsia="微软雅黑" w:cs="微软雅黑"/>
          <w:spacing w:val="13"/>
          <w:sz w:val="19"/>
          <w:szCs w:val="19"/>
        </w:rPr>
        <w:t>，</w:t>
      </w:r>
      <w:r>
        <w:rPr>
          <w:rFonts w:ascii="宋体" w:hAnsi="宋体" w:eastAsia="宋体" w:cs="宋体"/>
          <w:spacing w:val="13"/>
          <w:sz w:val="19"/>
          <w:szCs w:val="19"/>
        </w:rPr>
        <w:t>持续不断地累积组织文化</w:t>
      </w:r>
      <w:r>
        <w:rPr>
          <w:rFonts w:ascii="微软雅黑" w:hAnsi="微软雅黑" w:eastAsia="微软雅黑" w:cs="微软雅黑"/>
          <w:spacing w:val="13"/>
          <w:sz w:val="19"/>
          <w:szCs w:val="19"/>
        </w:rPr>
        <w:t>，</w:t>
      </w:r>
      <w:r>
        <w:rPr>
          <w:rFonts w:ascii="宋体" w:hAnsi="宋体" w:eastAsia="宋体" w:cs="宋体"/>
          <w:spacing w:val="13"/>
          <w:sz w:val="19"/>
          <w:szCs w:val="19"/>
        </w:rPr>
        <w:t>厚植文</w:t>
      </w:r>
      <w:r>
        <w:rPr>
          <w:rFonts w:ascii="宋体" w:hAnsi="宋体" w:eastAsia="宋体" w:cs="宋体"/>
          <w:spacing w:val="6"/>
          <w:sz w:val="19"/>
          <w:szCs w:val="19"/>
        </w:rPr>
        <w:t xml:space="preserve">  </w:t>
      </w:r>
      <w:r>
        <w:rPr>
          <w:rFonts w:ascii="宋体" w:hAnsi="宋体" w:eastAsia="宋体" w:cs="宋体"/>
          <w:spacing w:val="20"/>
          <w:sz w:val="19"/>
          <w:szCs w:val="19"/>
        </w:rPr>
        <w:t>化传统</w:t>
      </w:r>
      <w:r>
        <w:rPr>
          <w:rFonts w:ascii="宋体" w:hAnsi="宋体" w:eastAsia="宋体" w:cs="宋体"/>
          <w:spacing w:val="-35"/>
          <w:sz w:val="19"/>
          <w:szCs w:val="19"/>
        </w:rPr>
        <w:t xml:space="preserve"> </w:t>
      </w:r>
      <w:r>
        <w:rPr>
          <w:rFonts w:ascii="微软雅黑" w:hAnsi="微软雅黑" w:eastAsia="微软雅黑" w:cs="微软雅黑"/>
          <w:spacing w:val="20"/>
          <w:sz w:val="19"/>
          <w:szCs w:val="19"/>
        </w:rPr>
        <w:t>。</w:t>
      </w:r>
      <w:r>
        <w:rPr>
          <w:rFonts w:ascii="宋体" w:hAnsi="宋体" w:eastAsia="宋体" w:cs="宋体"/>
          <w:spacing w:val="20"/>
          <w:sz w:val="19"/>
          <w:szCs w:val="19"/>
        </w:rPr>
        <w:t>一般而言</w:t>
      </w:r>
      <w:r>
        <w:rPr>
          <w:rFonts w:ascii="微软雅黑" w:hAnsi="微软雅黑" w:eastAsia="微软雅黑" w:cs="微软雅黑"/>
          <w:spacing w:val="20"/>
          <w:sz w:val="19"/>
          <w:szCs w:val="19"/>
        </w:rPr>
        <w:t>，</w:t>
      </w:r>
      <w:r>
        <w:rPr>
          <w:rFonts w:ascii="宋体" w:hAnsi="宋体" w:eastAsia="宋体" w:cs="宋体"/>
          <w:spacing w:val="20"/>
          <w:sz w:val="19"/>
          <w:szCs w:val="19"/>
        </w:rPr>
        <w:t>在高等教育发展进入大众化和</w:t>
      </w:r>
      <w:r>
        <w:rPr>
          <w:rFonts w:ascii="宋体" w:hAnsi="宋体" w:eastAsia="宋体" w:cs="宋体"/>
          <w:sz w:val="19"/>
          <w:szCs w:val="19"/>
        </w:rPr>
        <w:t xml:space="preserve">  </w:t>
      </w:r>
      <w:r>
        <w:rPr>
          <w:rFonts w:ascii="宋体" w:hAnsi="宋体" w:eastAsia="宋体" w:cs="宋体"/>
          <w:spacing w:val="22"/>
          <w:sz w:val="19"/>
          <w:szCs w:val="19"/>
        </w:rPr>
        <w:t>普及化阶段后</w:t>
      </w:r>
      <w:r>
        <w:rPr>
          <w:rFonts w:ascii="微软雅黑" w:hAnsi="微软雅黑" w:eastAsia="微软雅黑" w:cs="微软雅黑"/>
          <w:spacing w:val="22"/>
          <w:sz w:val="19"/>
          <w:szCs w:val="19"/>
        </w:rPr>
        <w:t>，</w:t>
      </w:r>
      <w:r>
        <w:rPr>
          <w:rFonts w:ascii="宋体" w:hAnsi="宋体" w:eastAsia="宋体" w:cs="宋体"/>
          <w:spacing w:val="22"/>
          <w:sz w:val="19"/>
          <w:szCs w:val="19"/>
        </w:rPr>
        <w:t>几乎所有高校都会面临适应新的发</w:t>
      </w:r>
      <w:r>
        <w:rPr>
          <w:rFonts w:ascii="宋体" w:hAnsi="宋体" w:eastAsia="宋体" w:cs="宋体"/>
          <w:spacing w:val="8"/>
          <w:sz w:val="19"/>
          <w:szCs w:val="19"/>
        </w:rPr>
        <w:t xml:space="preserve">  </w:t>
      </w:r>
      <w:r>
        <w:rPr>
          <w:rFonts w:ascii="宋体" w:hAnsi="宋体" w:eastAsia="宋体" w:cs="宋体"/>
          <w:spacing w:val="20"/>
          <w:sz w:val="19"/>
          <w:szCs w:val="19"/>
        </w:rPr>
        <w:t>展形势和办学需要的问题</w:t>
      </w:r>
      <w:r>
        <w:rPr>
          <w:rFonts w:ascii="宋体" w:hAnsi="宋体" w:eastAsia="宋体" w:cs="宋体"/>
          <w:spacing w:val="-35"/>
          <w:sz w:val="19"/>
          <w:szCs w:val="19"/>
        </w:rPr>
        <w:t xml:space="preserve"> </w:t>
      </w:r>
      <w:r>
        <w:rPr>
          <w:rFonts w:ascii="微软雅黑" w:hAnsi="微软雅黑" w:eastAsia="微软雅黑" w:cs="微软雅黑"/>
          <w:spacing w:val="20"/>
          <w:sz w:val="19"/>
          <w:szCs w:val="19"/>
        </w:rPr>
        <w:t>。</w:t>
      </w:r>
      <w:r>
        <w:rPr>
          <w:rFonts w:ascii="宋体" w:hAnsi="宋体" w:eastAsia="宋体" w:cs="宋体"/>
          <w:spacing w:val="20"/>
          <w:sz w:val="19"/>
          <w:szCs w:val="19"/>
        </w:rPr>
        <w:t>高校即便确立了自身的</w:t>
      </w:r>
      <w:r>
        <w:rPr>
          <w:rFonts w:ascii="宋体" w:hAnsi="宋体" w:eastAsia="宋体" w:cs="宋体"/>
          <w:sz w:val="19"/>
          <w:szCs w:val="19"/>
        </w:rPr>
        <w:t xml:space="preserve">  </w:t>
      </w:r>
      <w:r>
        <w:rPr>
          <w:rFonts w:ascii="宋体" w:hAnsi="宋体" w:eastAsia="宋体" w:cs="宋体"/>
          <w:spacing w:val="13"/>
          <w:sz w:val="19"/>
          <w:szCs w:val="19"/>
        </w:rPr>
        <w:t>办学定位和发展方向</w:t>
      </w:r>
      <w:r>
        <w:rPr>
          <w:rFonts w:ascii="微软雅黑" w:hAnsi="微软雅黑" w:eastAsia="微软雅黑" w:cs="微软雅黑"/>
          <w:spacing w:val="13"/>
          <w:sz w:val="19"/>
          <w:szCs w:val="19"/>
        </w:rPr>
        <w:t>，</w:t>
      </w:r>
      <w:r>
        <w:rPr>
          <w:rFonts w:ascii="宋体" w:hAnsi="宋体" w:eastAsia="宋体" w:cs="宋体"/>
          <w:spacing w:val="13"/>
          <w:sz w:val="19"/>
          <w:szCs w:val="19"/>
        </w:rPr>
        <w:t>但要做到咬定青山不放松</w:t>
      </w:r>
      <w:r>
        <w:rPr>
          <w:rFonts w:ascii="微软雅黑" w:hAnsi="微软雅黑" w:eastAsia="微软雅黑" w:cs="微软雅黑"/>
          <w:spacing w:val="13"/>
          <w:sz w:val="19"/>
          <w:szCs w:val="19"/>
        </w:rPr>
        <w:t>，</w:t>
      </w:r>
      <w:r>
        <w:rPr>
          <w:rFonts w:ascii="宋体" w:hAnsi="宋体" w:eastAsia="宋体" w:cs="宋体"/>
          <w:spacing w:val="13"/>
          <w:sz w:val="19"/>
          <w:szCs w:val="19"/>
        </w:rPr>
        <w:t>培</w:t>
      </w:r>
      <w:r>
        <w:rPr>
          <w:rFonts w:ascii="宋体" w:hAnsi="宋体" w:eastAsia="宋体" w:cs="宋体"/>
          <w:spacing w:val="6"/>
          <w:sz w:val="19"/>
          <w:szCs w:val="19"/>
        </w:rPr>
        <w:t xml:space="preserve">  </w:t>
      </w:r>
      <w:r>
        <w:rPr>
          <w:rFonts w:ascii="宋体" w:hAnsi="宋体" w:eastAsia="宋体" w:cs="宋体"/>
          <w:spacing w:val="20"/>
          <w:sz w:val="19"/>
          <w:szCs w:val="19"/>
        </w:rPr>
        <w:t>育鲜明的办学特色</w:t>
      </w:r>
      <w:r>
        <w:rPr>
          <w:rFonts w:ascii="微软雅黑" w:hAnsi="微软雅黑" w:eastAsia="微软雅黑" w:cs="微软雅黑"/>
          <w:spacing w:val="20"/>
          <w:sz w:val="19"/>
          <w:szCs w:val="19"/>
        </w:rPr>
        <w:t>，</w:t>
      </w:r>
      <w:r>
        <w:rPr>
          <w:rFonts w:ascii="宋体" w:hAnsi="宋体" w:eastAsia="宋体" w:cs="宋体"/>
          <w:spacing w:val="20"/>
          <w:sz w:val="19"/>
          <w:szCs w:val="19"/>
        </w:rPr>
        <w:t>并不容易</w:t>
      </w:r>
      <w:r>
        <w:rPr>
          <w:rFonts w:ascii="宋体" w:hAnsi="宋体" w:eastAsia="宋体" w:cs="宋体"/>
          <w:spacing w:val="-53"/>
          <w:sz w:val="19"/>
          <w:szCs w:val="19"/>
        </w:rPr>
        <w:t xml:space="preserve"> </w:t>
      </w:r>
      <w:r>
        <w:rPr>
          <w:rFonts w:ascii="微软雅黑" w:hAnsi="微软雅黑" w:eastAsia="微软雅黑" w:cs="微软雅黑"/>
          <w:spacing w:val="20"/>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20"/>
          <w:sz w:val="19"/>
          <w:szCs w:val="19"/>
        </w:rPr>
        <w:t>质量文化建</w:t>
      </w:r>
      <w:r>
        <w:rPr>
          <w:rFonts w:ascii="宋体" w:hAnsi="宋体" w:eastAsia="宋体" w:cs="宋体"/>
          <w:spacing w:val="19"/>
          <w:sz w:val="19"/>
          <w:szCs w:val="19"/>
        </w:rPr>
        <w:t>设不仅</w:t>
      </w:r>
      <w:r>
        <w:rPr>
          <w:rFonts w:ascii="宋体" w:hAnsi="宋体" w:eastAsia="宋体" w:cs="宋体"/>
          <w:sz w:val="19"/>
          <w:szCs w:val="19"/>
        </w:rPr>
        <w:t xml:space="preserve">  </w:t>
      </w:r>
      <w:r>
        <w:rPr>
          <w:rFonts w:ascii="宋体" w:hAnsi="宋体" w:eastAsia="宋体" w:cs="宋体"/>
          <w:spacing w:val="22"/>
          <w:sz w:val="19"/>
          <w:szCs w:val="19"/>
        </w:rPr>
        <w:t>有助于保证高校教育教学质量</w:t>
      </w:r>
      <w:r>
        <w:rPr>
          <w:rFonts w:ascii="微软雅黑" w:hAnsi="微软雅黑" w:eastAsia="微软雅黑" w:cs="微软雅黑"/>
          <w:spacing w:val="22"/>
          <w:sz w:val="19"/>
          <w:szCs w:val="19"/>
        </w:rPr>
        <w:t>，</w:t>
      </w:r>
      <w:r>
        <w:rPr>
          <w:rFonts w:ascii="宋体" w:hAnsi="宋体" w:eastAsia="宋体" w:cs="宋体"/>
          <w:spacing w:val="22"/>
          <w:sz w:val="19"/>
          <w:szCs w:val="19"/>
        </w:rPr>
        <w:t>还能不断强化高校</w:t>
      </w:r>
      <w:r>
        <w:rPr>
          <w:rFonts w:ascii="宋体" w:hAnsi="宋体" w:eastAsia="宋体" w:cs="宋体"/>
          <w:spacing w:val="8"/>
          <w:sz w:val="19"/>
          <w:szCs w:val="19"/>
        </w:rPr>
        <w:t xml:space="preserve">  </w:t>
      </w:r>
      <w:r>
        <w:rPr>
          <w:rFonts w:ascii="宋体" w:hAnsi="宋体" w:eastAsia="宋体" w:cs="宋体"/>
          <w:spacing w:val="13"/>
          <w:sz w:val="19"/>
          <w:szCs w:val="19"/>
        </w:rPr>
        <w:t>组织文化</w:t>
      </w:r>
      <w:r>
        <w:rPr>
          <w:rFonts w:ascii="微软雅黑" w:hAnsi="微软雅黑" w:eastAsia="微软雅黑" w:cs="微软雅黑"/>
          <w:spacing w:val="13"/>
          <w:sz w:val="19"/>
          <w:szCs w:val="19"/>
        </w:rPr>
        <w:t>，</w:t>
      </w:r>
      <w:r>
        <w:rPr>
          <w:rFonts w:ascii="宋体" w:hAnsi="宋体" w:eastAsia="宋体" w:cs="宋体"/>
          <w:spacing w:val="13"/>
          <w:sz w:val="19"/>
          <w:szCs w:val="19"/>
        </w:rPr>
        <w:t>使学校文化发挥引领和凝聚作用</w:t>
      </w:r>
      <w:r>
        <w:rPr>
          <w:rFonts w:ascii="微软雅黑" w:hAnsi="微软雅黑" w:eastAsia="微软雅黑" w:cs="微软雅黑"/>
          <w:spacing w:val="13"/>
          <w:sz w:val="19"/>
          <w:szCs w:val="19"/>
        </w:rPr>
        <w:t>，</w:t>
      </w:r>
      <w:r>
        <w:rPr>
          <w:rFonts w:ascii="宋体" w:hAnsi="宋体" w:eastAsia="宋体" w:cs="宋体"/>
          <w:spacing w:val="13"/>
          <w:sz w:val="19"/>
          <w:szCs w:val="19"/>
        </w:rPr>
        <w:t>规范教</w:t>
      </w:r>
      <w:r>
        <w:rPr>
          <w:rFonts w:ascii="宋体" w:hAnsi="宋体" w:eastAsia="宋体" w:cs="宋体"/>
          <w:spacing w:val="6"/>
          <w:sz w:val="19"/>
          <w:szCs w:val="19"/>
        </w:rPr>
        <w:t xml:space="preserve">  </w:t>
      </w:r>
      <w:r>
        <w:rPr>
          <w:rFonts w:ascii="宋体" w:hAnsi="宋体" w:eastAsia="宋体" w:cs="宋体"/>
          <w:spacing w:val="22"/>
          <w:sz w:val="19"/>
          <w:szCs w:val="19"/>
        </w:rPr>
        <w:t>职员工的办学观念</w:t>
      </w:r>
      <w:r>
        <w:rPr>
          <w:rFonts w:ascii="微软雅黑" w:hAnsi="微软雅黑" w:eastAsia="微软雅黑" w:cs="微软雅黑"/>
          <w:spacing w:val="22"/>
          <w:sz w:val="19"/>
          <w:szCs w:val="19"/>
        </w:rPr>
        <w:t>，</w:t>
      </w:r>
      <w:r>
        <w:rPr>
          <w:rFonts w:ascii="宋体" w:hAnsi="宋体" w:eastAsia="宋体" w:cs="宋体"/>
          <w:spacing w:val="22"/>
          <w:sz w:val="19"/>
          <w:szCs w:val="19"/>
        </w:rPr>
        <w:t>调节他们的办学行为</w:t>
      </w:r>
      <w:r>
        <w:rPr>
          <w:rFonts w:ascii="微软雅黑" w:hAnsi="微软雅黑" w:eastAsia="微软雅黑" w:cs="微软雅黑"/>
          <w:spacing w:val="22"/>
          <w:sz w:val="19"/>
          <w:szCs w:val="19"/>
        </w:rPr>
        <w:t>，</w:t>
      </w:r>
      <w:r>
        <w:rPr>
          <w:rFonts w:ascii="宋体" w:hAnsi="宋体" w:eastAsia="宋体" w:cs="宋体"/>
          <w:spacing w:val="22"/>
          <w:sz w:val="19"/>
          <w:szCs w:val="19"/>
        </w:rPr>
        <w:t>聚合人</w:t>
      </w:r>
      <w:r>
        <w:rPr>
          <w:rFonts w:ascii="宋体" w:hAnsi="宋体" w:eastAsia="宋体" w:cs="宋体"/>
          <w:spacing w:val="9"/>
          <w:sz w:val="19"/>
          <w:szCs w:val="19"/>
        </w:rPr>
        <w:t xml:space="preserve">  </w:t>
      </w:r>
      <w:r>
        <w:rPr>
          <w:rFonts w:ascii="宋体" w:hAnsi="宋体" w:eastAsia="宋体" w:cs="宋体"/>
          <w:spacing w:val="10"/>
          <w:sz w:val="19"/>
          <w:szCs w:val="19"/>
        </w:rPr>
        <w:t>心</w:t>
      </w:r>
      <w:r>
        <w:rPr>
          <w:rFonts w:ascii="微软雅黑" w:hAnsi="微软雅黑" w:eastAsia="微软雅黑" w:cs="微软雅黑"/>
          <w:spacing w:val="10"/>
          <w:sz w:val="19"/>
          <w:szCs w:val="19"/>
        </w:rPr>
        <w:t>，</w:t>
      </w:r>
      <w:r>
        <w:rPr>
          <w:rFonts w:ascii="宋体" w:hAnsi="宋体" w:eastAsia="宋体" w:cs="宋体"/>
          <w:spacing w:val="10"/>
          <w:sz w:val="19"/>
          <w:szCs w:val="19"/>
        </w:rPr>
        <w:t>使学校办学方向不发生偏移或错位</w:t>
      </w:r>
      <w:r>
        <w:rPr>
          <w:rFonts w:ascii="宋体" w:hAnsi="宋体" w:eastAsia="宋体" w:cs="宋体"/>
          <w:spacing w:val="-50"/>
          <w:sz w:val="19"/>
          <w:szCs w:val="19"/>
        </w:rPr>
        <w:t xml:space="preserve"> </w:t>
      </w:r>
      <w:r>
        <w:rPr>
          <w:rFonts w:ascii="微软雅黑" w:hAnsi="微软雅黑" w:eastAsia="微软雅黑" w:cs="微软雅黑"/>
          <w:spacing w:val="10"/>
          <w:sz w:val="19"/>
          <w:szCs w:val="19"/>
        </w:rPr>
        <w:t>。</w:t>
      </w:r>
      <w:r>
        <w:rPr>
          <w:rFonts w:ascii="微软雅黑" w:hAnsi="微软雅黑" w:eastAsia="微软雅黑" w:cs="微软雅黑"/>
          <w:spacing w:val="-20"/>
          <w:sz w:val="19"/>
          <w:szCs w:val="19"/>
        </w:rPr>
        <w:t xml:space="preserve"> </w:t>
      </w:r>
      <w:r>
        <w:rPr>
          <w:rFonts w:ascii="宋体" w:hAnsi="宋体" w:eastAsia="宋体" w:cs="宋体"/>
          <w:spacing w:val="10"/>
          <w:sz w:val="19"/>
          <w:szCs w:val="19"/>
        </w:rPr>
        <w:t>比如</w:t>
      </w:r>
      <w:r>
        <w:rPr>
          <w:rFonts w:ascii="微软雅黑" w:hAnsi="微软雅黑" w:eastAsia="微软雅黑" w:cs="微软雅黑"/>
          <w:spacing w:val="10"/>
          <w:sz w:val="19"/>
          <w:szCs w:val="19"/>
        </w:rPr>
        <w:t>，</w:t>
      </w:r>
      <w:r>
        <w:rPr>
          <w:rFonts w:ascii="宋体" w:hAnsi="宋体" w:eastAsia="宋体" w:cs="宋体"/>
          <w:spacing w:val="10"/>
          <w:sz w:val="19"/>
          <w:szCs w:val="19"/>
        </w:rPr>
        <w:t>历史</w:t>
      </w:r>
      <w:r>
        <w:rPr>
          <w:rFonts w:ascii="宋体" w:hAnsi="宋体" w:eastAsia="宋体" w:cs="宋体"/>
          <w:sz w:val="19"/>
          <w:szCs w:val="19"/>
        </w:rPr>
        <w:t xml:space="preserve">  </w:t>
      </w:r>
      <w:r>
        <w:rPr>
          <w:rFonts w:ascii="宋体" w:hAnsi="宋体" w:eastAsia="宋体" w:cs="宋体"/>
          <w:spacing w:val="21"/>
          <w:sz w:val="19"/>
          <w:szCs w:val="19"/>
        </w:rPr>
        <w:t>悠久的牛津大学在经历了</w:t>
      </w:r>
      <w:r>
        <w:rPr>
          <w:rFonts w:ascii="宋体" w:hAnsi="宋体" w:eastAsia="宋体" w:cs="宋体"/>
          <w:spacing w:val="-4"/>
          <w:sz w:val="19"/>
          <w:szCs w:val="19"/>
        </w:rPr>
        <w:t xml:space="preserve"> </w:t>
      </w:r>
      <w:r>
        <w:rPr>
          <w:rFonts w:ascii="Arial" w:hAnsi="Arial" w:eastAsia="Arial" w:cs="Arial"/>
          <w:spacing w:val="21"/>
          <w:sz w:val="19"/>
          <w:szCs w:val="19"/>
        </w:rPr>
        <w:t>19</w:t>
      </w:r>
      <w:r>
        <w:rPr>
          <w:rFonts w:ascii="宋体" w:hAnsi="宋体" w:eastAsia="宋体" w:cs="宋体"/>
          <w:spacing w:val="21"/>
          <w:sz w:val="19"/>
          <w:szCs w:val="19"/>
        </w:rPr>
        <w:t>世纪和</w:t>
      </w:r>
      <w:r>
        <w:rPr>
          <w:rFonts w:ascii="宋体" w:hAnsi="宋体" w:eastAsia="宋体" w:cs="宋体"/>
          <w:spacing w:val="-21"/>
          <w:sz w:val="19"/>
          <w:szCs w:val="19"/>
        </w:rPr>
        <w:t xml:space="preserve"> </w:t>
      </w:r>
      <w:r>
        <w:rPr>
          <w:rFonts w:ascii="Arial" w:hAnsi="Arial" w:eastAsia="Arial" w:cs="Arial"/>
          <w:spacing w:val="21"/>
          <w:sz w:val="19"/>
          <w:szCs w:val="19"/>
        </w:rPr>
        <w:t>20</w:t>
      </w:r>
      <w:r>
        <w:rPr>
          <w:rFonts w:ascii="宋体" w:hAnsi="宋体" w:eastAsia="宋体" w:cs="宋体"/>
          <w:spacing w:val="21"/>
          <w:sz w:val="19"/>
          <w:szCs w:val="19"/>
        </w:rPr>
        <w:t>世纪的转型</w:t>
      </w:r>
      <w:r>
        <w:rPr>
          <w:rFonts w:ascii="宋体" w:hAnsi="宋体" w:eastAsia="宋体" w:cs="宋体"/>
          <w:sz w:val="19"/>
          <w:szCs w:val="19"/>
        </w:rPr>
        <w:t xml:space="preserve">  </w:t>
      </w:r>
      <w:r>
        <w:rPr>
          <w:rFonts w:ascii="宋体" w:hAnsi="宋体" w:eastAsia="宋体" w:cs="宋体"/>
          <w:spacing w:val="13"/>
          <w:sz w:val="19"/>
          <w:szCs w:val="19"/>
        </w:rPr>
        <w:t>发展后</w:t>
      </w:r>
      <w:r>
        <w:rPr>
          <w:rFonts w:ascii="微软雅黑" w:hAnsi="微软雅黑" w:eastAsia="微软雅黑" w:cs="微软雅黑"/>
          <w:spacing w:val="13"/>
          <w:sz w:val="19"/>
          <w:szCs w:val="19"/>
        </w:rPr>
        <w:t>，</w:t>
      </w:r>
      <w:r>
        <w:rPr>
          <w:rFonts w:ascii="宋体" w:hAnsi="宋体" w:eastAsia="宋体" w:cs="宋体"/>
          <w:spacing w:val="13"/>
          <w:sz w:val="19"/>
          <w:szCs w:val="19"/>
        </w:rPr>
        <w:t>尽管办学规模扩大了</w:t>
      </w:r>
      <w:r>
        <w:rPr>
          <w:rFonts w:ascii="微软雅黑" w:hAnsi="微软雅黑" w:eastAsia="微软雅黑" w:cs="微软雅黑"/>
          <w:spacing w:val="13"/>
          <w:sz w:val="19"/>
          <w:szCs w:val="19"/>
        </w:rPr>
        <w:t>，</w:t>
      </w:r>
      <w:r>
        <w:rPr>
          <w:rFonts w:ascii="宋体" w:hAnsi="宋体" w:eastAsia="宋体" w:cs="宋体"/>
          <w:spacing w:val="13"/>
          <w:sz w:val="19"/>
          <w:szCs w:val="19"/>
        </w:rPr>
        <w:t>学科专业门类和数量</w:t>
      </w:r>
      <w:r>
        <w:rPr>
          <w:rFonts w:ascii="宋体" w:hAnsi="宋体" w:eastAsia="宋体" w:cs="宋体"/>
          <w:spacing w:val="5"/>
          <w:sz w:val="19"/>
          <w:szCs w:val="19"/>
        </w:rPr>
        <w:t xml:space="preserve">  </w:t>
      </w:r>
      <w:r>
        <w:rPr>
          <w:rFonts w:ascii="宋体" w:hAnsi="宋体" w:eastAsia="宋体" w:cs="宋体"/>
          <w:spacing w:val="13"/>
          <w:sz w:val="19"/>
          <w:szCs w:val="19"/>
        </w:rPr>
        <w:t>增加了</w:t>
      </w:r>
      <w:r>
        <w:rPr>
          <w:rFonts w:ascii="微软雅黑" w:hAnsi="微软雅黑" w:eastAsia="微软雅黑" w:cs="微软雅黑"/>
          <w:spacing w:val="13"/>
          <w:sz w:val="19"/>
          <w:szCs w:val="19"/>
        </w:rPr>
        <w:t>，</w:t>
      </w:r>
      <w:r>
        <w:rPr>
          <w:rFonts w:ascii="宋体" w:hAnsi="宋体" w:eastAsia="宋体" w:cs="宋体"/>
          <w:spacing w:val="13"/>
          <w:sz w:val="19"/>
          <w:szCs w:val="19"/>
        </w:rPr>
        <w:t>生源的构成发生了重大改变</w:t>
      </w:r>
      <w:r>
        <w:rPr>
          <w:rFonts w:ascii="微软雅黑" w:hAnsi="微软雅黑" w:eastAsia="微软雅黑" w:cs="微软雅黑"/>
          <w:spacing w:val="13"/>
          <w:sz w:val="19"/>
          <w:szCs w:val="19"/>
        </w:rPr>
        <w:t>，</w:t>
      </w:r>
      <w:r>
        <w:rPr>
          <w:rFonts w:ascii="宋体" w:hAnsi="宋体" w:eastAsia="宋体" w:cs="宋体"/>
          <w:spacing w:val="13"/>
          <w:sz w:val="19"/>
          <w:szCs w:val="19"/>
        </w:rPr>
        <w:t>学校功能也拓</w:t>
      </w:r>
      <w:r>
        <w:rPr>
          <w:rFonts w:ascii="宋体" w:hAnsi="宋体" w:eastAsia="宋体" w:cs="宋体"/>
          <w:spacing w:val="6"/>
          <w:sz w:val="19"/>
          <w:szCs w:val="19"/>
        </w:rPr>
        <w:t xml:space="preserve">  </w:t>
      </w:r>
      <w:r>
        <w:rPr>
          <w:rFonts w:ascii="宋体" w:hAnsi="宋体" w:eastAsia="宋体" w:cs="宋体"/>
          <w:spacing w:val="13"/>
          <w:sz w:val="19"/>
          <w:szCs w:val="19"/>
        </w:rPr>
        <w:t>宽了</w:t>
      </w:r>
      <w:r>
        <w:rPr>
          <w:rFonts w:ascii="微软雅黑" w:hAnsi="微软雅黑" w:eastAsia="微软雅黑" w:cs="微软雅黑"/>
          <w:spacing w:val="13"/>
          <w:sz w:val="19"/>
          <w:szCs w:val="19"/>
        </w:rPr>
        <w:t>，</w:t>
      </w:r>
      <w:r>
        <w:rPr>
          <w:rFonts w:ascii="宋体" w:hAnsi="宋体" w:eastAsia="宋体" w:cs="宋体"/>
          <w:spacing w:val="13"/>
          <w:sz w:val="19"/>
          <w:szCs w:val="19"/>
        </w:rPr>
        <w:t>但并没有改变自身基本的办学方向</w:t>
      </w:r>
      <w:r>
        <w:rPr>
          <w:rFonts w:ascii="微软雅黑" w:hAnsi="微软雅黑" w:eastAsia="微软雅黑" w:cs="微软雅黑"/>
          <w:spacing w:val="13"/>
          <w:sz w:val="19"/>
          <w:szCs w:val="19"/>
        </w:rPr>
        <w:t>，</w:t>
      </w:r>
      <w:r>
        <w:rPr>
          <w:rFonts w:ascii="宋体" w:hAnsi="宋体" w:eastAsia="宋体" w:cs="宋体"/>
          <w:spacing w:val="13"/>
          <w:sz w:val="19"/>
          <w:szCs w:val="19"/>
        </w:rPr>
        <w:t>而是保持</w:t>
      </w:r>
      <w:r>
        <w:rPr>
          <w:rFonts w:ascii="宋体" w:hAnsi="宋体" w:eastAsia="宋体" w:cs="宋体"/>
          <w:spacing w:val="6"/>
          <w:sz w:val="19"/>
          <w:szCs w:val="19"/>
        </w:rPr>
        <w:t xml:space="preserve">  </w:t>
      </w:r>
      <w:r>
        <w:rPr>
          <w:rFonts w:ascii="宋体" w:hAnsi="宋体" w:eastAsia="宋体" w:cs="宋体"/>
          <w:spacing w:val="27"/>
          <w:sz w:val="19"/>
          <w:szCs w:val="19"/>
        </w:rPr>
        <w:t>了自身的办学特色</w:t>
      </w:r>
      <w:r>
        <w:rPr>
          <w:rFonts w:ascii="宋体" w:hAnsi="宋体" w:eastAsia="宋体" w:cs="宋体"/>
          <w:spacing w:val="-48"/>
          <w:sz w:val="19"/>
          <w:szCs w:val="19"/>
        </w:rPr>
        <w:t xml:space="preserve"> </w:t>
      </w:r>
      <w:r>
        <w:rPr>
          <w:rFonts w:ascii="微软雅黑" w:hAnsi="微软雅黑" w:eastAsia="微软雅黑" w:cs="微软雅黑"/>
          <w:spacing w:val="27"/>
          <w:sz w:val="19"/>
          <w:szCs w:val="19"/>
        </w:rPr>
        <w:t>。</w:t>
      </w:r>
      <w:r>
        <w:rPr>
          <w:rFonts w:ascii="微软雅黑" w:hAnsi="微软雅黑" w:eastAsia="微软雅黑" w:cs="微软雅黑"/>
          <w:spacing w:val="-29"/>
          <w:sz w:val="19"/>
          <w:szCs w:val="19"/>
        </w:rPr>
        <w:t xml:space="preserve"> </w:t>
      </w:r>
      <w:r>
        <w:rPr>
          <w:rFonts w:ascii="宋体" w:hAnsi="宋体" w:eastAsia="宋体" w:cs="宋体"/>
          <w:spacing w:val="27"/>
          <w:sz w:val="19"/>
          <w:szCs w:val="19"/>
        </w:rPr>
        <w:t>它之所</w:t>
      </w:r>
      <w:r>
        <w:rPr>
          <w:rFonts w:ascii="宋体" w:hAnsi="宋体" w:eastAsia="宋体" w:cs="宋体"/>
          <w:spacing w:val="-46"/>
          <w:sz w:val="19"/>
          <w:szCs w:val="19"/>
        </w:rPr>
        <w:t xml:space="preserve"> </w:t>
      </w:r>
      <w:r>
        <w:rPr>
          <w:rFonts w:ascii="宋体" w:hAnsi="宋体" w:eastAsia="宋体" w:cs="宋体"/>
          <w:spacing w:val="27"/>
          <w:sz w:val="19"/>
          <w:szCs w:val="19"/>
        </w:rPr>
        <w:t>以能够有这份办学定</w:t>
      </w:r>
      <w:r>
        <w:rPr>
          <w:rFonts w:ascii="宋体" w:hAnsi="宋体" w:eastAsia="宋体" w:cs="宋体"/>
          <w:sz w:val="19"/>
          <w:szCs w:val="19"/>
        </w:rPr>
        <w:t xml:space="preserve">  </w:t>
      </w:r>
      <w:r>
        <w:rPr>
          <w:rFonts w:ascii="宋体" w:hAnsi="宋体" w:eastAsia="宋体" w:cs="宋体"/>
          <w:spacing w:val="19"/>
          <w:sz w:val="19"/>
          <w:szCs w:val="19"/>
        </w:rPr>
        <w:t>力</w:t>
      </w:r>
      <w:r>
        <w:rPr>
          <w:rFonts w:ascii="微软雅黑" w:hAnsi="微软雅黑" w:eastAsia="微软雅黑" w:cs="微软雅黑"/>
          <w:spacing w:val="19"/>
          <w:sz w:val="19"/>
          <w:szCs w:val="19"/>
        </w:rPr>
        <w:t>，</w:t>
      </w:r>
      <w:r>
        <w:rPr>
          <w:rFonts w:ascii="宋体" w:hAnsi="宋体" w:eastAsia="宋体" w:cs="宋体"/>
          <w:spacing w:val="19"/>
          <w:sz w:val="19"/>
          <w:szCs w:val="19"/>
        </w:rPr>
        <w:t>与质量文化建设不无关系</w:t>
      </w:r>
      <w:r>
        <w:rPr>
          <w:rFonts w:ascii="宋体" w:hAnsi="宋体" w:eastAsia="宋体" w:cs="宋体"/>
          <w:spacing w:val="-43"/>
          <w:sz w:val="19"/>
          <w:szCs w:val="19"/>
        </w:rPr>
        <w:t xml:space="preserve"> </w:t>
      </w:r>
      <w:r>
        <w:rPr>
          <w:rFonts w:ascii="微软雅黑" w:hAnsi="微软雅黑" w:eastAsia="微软雅黑" w:cs="微软雅黑"/>
          <w:spacing w:val="19"/>
          <w:sz w:val="19"/>
          <w:szCs w:val="19"/>
        </w:rPr>
        <w:t>。</w:t>
      </w:r>
      <w:r>
        <w:rPr>
          <w:rFonts w:ascii="微软雅黑" w:hAnsi="微软雅黑" w:eastAsia="微软雅黑" w:cs="微软雅黑"/>
          <w:spacing w:val="-26"/>
          <w:sz w:val="19"/>
          <w:szCs w:val="19"/>
        </w:rPr>
        <w:t xml:space="preserve"> </w:t>
      </w:r>
      <w:r>
        <w:rPr>
          <w:rFonts w:ascii="宋体" w:hAnsi="宋体" w:eastAsia="宋体" w:cs="宋体"/>
          <w:spacing w:val="19"/>
          <w:sz w:val="19"/>
          <w:szCs w:val="19"/>
        </w:rPr>
        <w:t>哈佛大学前校长萨</w:t>
      </w:r>
      <w:r>
        <w:rPr>
          <w:rFonts w:ascii="宋体" w:hAnsi="宋体" w:eastAsia="宋体" w:cs="宋体"/>
          <w:sz w:val="19"/>
          <w:szCs w:val="19"/>
        </w:rPr>
        <w:t xml:space="preserve">  </w:t>
      </w:r>
      <w:r>
        <w:rPr>
          <w:rFonts w:ascii="宋体" w:hAnsi="宋体" w:eastAsia="宋体" w:cs="宋体"/>
          <w:spacing w:val="13"/>
          <w:sz w:val="19"/>
          <w:szCs w:val="19"/>
        </w:rPr>
        <w:t>默斯</w:t>
      </w:r>
      <w:r>
        <w:rPr>
          <w:rFonts w:ascii="微软雅黑" w:hAnsi="微软雅黑" w:eastAsia="微软雅黑" w:cs="微软雅黑"/>
          <w:spacing w:val="13"/>
          <w:sz w:val="19"/>
          <w:szCs w:val="19"/>
        </w:rPr>
        <w:t>(</w:t>
      </w:r>
      <w:r>
        <w:rPr>
          <w:rFonts w:ascii="Arial" w:hAnsi="Arial" w:eastAsia="Arial" w:cs="Arial"/>
          <w:spacing w:val="13"/>
          <w:sz w:val="19"/>
          <w:szCs w:val="19"/>
        </w:rPr>
        <w:t>L.</w:t>
      </w:r>
      <w:r>
        <w:rPr>
          <w:rFonts w:ascii="Arial" w:hAnsi="Arial" w:eastAsia="Arial" w:cs="Arial"/>
          <w:sz w:val="19"/>
          <w:szCs w:val="19"/>
        </w:rPr>
        <w:t>Summers</w:t>
      </w:r>
      <w:r>
        <w:rPr>
          <w:rFonts w:ascii="微软雅黑" w:hAnsi="微软雅黑" w:eastAsia="微软雅黑" w:cs="微软雅黑"/>
          <w:spacing w:val="13"/>
          <w:sz w:val="19"/>
          <w:szCs w:val="19"/>
        </w:rPr>
        <w:t xml:space="preserve">) </w:t>
      </w:r>
      <w:r>
        <w:rPr>
          <w:rFonts w:ascii="宋体" w:hAnsi="宋体" w:eastAsia="宋体" w:cs="宋体"/>
          <w:spacing w:val="13"/>
          <w:sz w:val="19"/>
          <w:szCs w:val="19"/>
        </w:rPr>
        <w:t>曾说道</w:t>
      </w:r>
      <w:r>
        <w:rPr>
          <w:rFonts w:ascii="微软雅黑" w:hAnsi="微软雅黑" w:eastAsia="微软雅黑" w:cs="微软雅黑"/>
          <w:spacing w:val="13"/>
          <w:sz w:val="19"/>
          <w:szCs w:val="19"/>
        </w:rPr>
        <w:t>：</w:t>
      </w:r>
      <w:r>
        <w:rPr>
          <w:rFonts w:ascii="微软雅黑" w:hAnsi="微软雅黑" w:eastAsia="微软雅黑" w:cs="微软雅黑"/>
          <w:spacing w:val="13"/>
          <w:position w:val="1"/>
          <w:sz w:val="19"/>
          <w:szCs w:val="19"/>
        </w:rPr>
        <w:t>“</w:t>
      </w:r>
      <w:r>
        <w:rPr>
          <w:rFonts w:ascii="宋体" w:hAnsi="宋体" w:eastAsia="宋体" w:cs="宋体"/>
          <w:spacing w:val="13"/>
          <w:sz w:val="19"/>
          <w:szCs w:val="19"/>
        </w:rPr>
        <w:t>保持哈佛的强大</w:t>
      </w:r>
      <w:r>
        <w:rPr>
          <w:rFonts w:ascii="微软雅黑" w:hAnsi="微软雅黑" w:eastAsia="微软雅黑" w:cs="微软雅黑"/>
          <w:spacing w:val="13"/>
          <w:position w:val="1"/>
          <w:sz w:val="19"/>
          <w:szCs w:val="19"/>
        </w:rPr>
        <w:t>，</w:t>
      </w:r>
      <w:r>
        <w:rPr>
          <w:rFonts w:ascii="宋体" w:hAnsi="宋体" w:eastAsia="宋体" w:cs="宋体"/>
          <w:spacing w:val="13"/>
          <w:sz w:val="19"/>
          <w:szCs w:val="19"/>
        </w:rPr>
        <w:t>需要</w:t>
      </w:r>
      <w:r>
        <w:rPr>
          <w:rFonts w:ascii="宋体" w:hAnsi="宋体" w:eastAsia="宋体" w:cs="宋体"/>
          <w:spacing w:val="5"/>
          <w:sz w:val="19"/>
          <w:szCs w:val="19"/>
        </w:rPr>
        <w:t xml:space="preserve">  </w:t>
      </w:r>
      <w:r>
        <w:rPr>
          <w:rFonts w:ascii="宋体" w:hAnsi="宋体" w:eastAsia="宋体" w:cs="宋体"/>
          <w:spacing w:val="22"/>
          <w:sz w:val="19"/>
          <w:szCs w:val="19"/>
        </w:rPr>
        <w:t>精心地维护和强化致使我们长盛不衰的法宝</w:t>
      </w:r>
      <w:r>
        <w:rPr>
          <w:rFonts w:ascii="微软雅黑" w:hAnsi="微软雅黑" w:eastAsia="微软雅黑" w:cs="微软雅黑"/>
          <w:spacing w:val="22"/>
          <w:sz w:val="19"/>
          <w:szCs w:val="19"/>
        </w:rPr>
        <w:t>：</w:t>
      </w:r>
      <w:r>
        <w:rPr>
          <w:rFonts w:ascii="宋体" w:hAnsi="宋体" w:eastAsia="宋体" w:cs="宋体"/>
          <w:spacing w:val="22"/>
          <w:sz w:val="19"/>
          <w:szCs w:val="19"/>
        </w:rPr>
        <w:t>保持</w:t>
      </w:r>
      <w:r>
        <w:rPr>
          <w:rFonts w:ascii="宋体" w:hAnsi="宋体" w:eastAsia="宋体" w:cs="宋体"/>
          <w:spacing w:val="8"/>
          <w:sz w:val="19"/>
          <w:szCs w:val="19"/>
        </w:rPr>
        <w:t xml:space="preserve">  </w:t>
      </w:r>
      <w:r>
        <w:rPr>
          <w:rFonts w:ascii="宋体" w:hAnsi="宋体" w:eastAsia="宋体" w:cs="宋体"/>
          <w:sz w:val="19"/>
          <w:szCs w:val="19"/>
        </w:rPr>
        <w:t>开放</w:t>
      </w:r>
      <w:r>
        <w:rPr>
          <w:rFonts w:ascii="宋体" w:hAnsi="宋体" w:eastAsia="宋体" w:cs="宋体"/>
          <w:spacing w:val="-36"/>
          <w:sz w:val="19"/>
          <w:szCs w:val="19"/>
        </w:rPr>
        <w:t xml:space="preserve"> </w:t>
      </w:r>
      <w:r>
        <w:rPr>
          <w:rFonts w:ascii="宋体" w:hAnsi="宋体" w:eastAsia="宋体" w:cs="宋体"/>
          <w:sz w:val="19"/>
          <w:szCs w:val="19"/>
        </w:rPr>
        <w:t>与</w:t>
      </w:r>
      <w:r>
        <w:rPr>
          <w:rFonts w:ascii="宋体" w:hAnsi="宋体" w:eastAsia="宋体" w:cs="宋体"/>
          <w:spacing w:val="-51"/>
          <w:sz w:val="19"/>
          <w:szCs w:val="19"/>
        </w:rPr>
        <w:t xml:space="preserve"> </w:t>
      </w:r>
      <w:r>
        <w:rPr>
          <w:rFonts w:ascii="宋体" w:hAnsi="宋体" w:eastAsia="宋体" w:cs="宋体"/>
          <w:sz w:val="19"/>
          <w:szCs w:val="19"/>
        </w:rPr>
        <w:t>质</w:t>
      </w:r>
      <w:r>
        <w:rPr>
          <w:rFonts w:ascii="宋体" w:hAnsi="宋体" w:eastAsia="宋体" w:cs="宋体"/>
          <w:spacing w:val="-50"/>
          <w:sz w:val="19"/>
          <w:szCs w:val="19"/>
        </w:rPr>
        <w:t xml:space="preserve"> </w:t>
      </w:r>
      <w:r>
        <w:rPr>
          <w:rFonts w:ascii="宋体" w:hAnsi="宋体" w:eastAsia="宋体" w:cs="宋体"/>
          <w:sz w:val="19"/>
          <w:szCs w:val="19"/>
        </w:rPr>
        <w:t>疑</w:t>
      </w:r>
      <w:r>
        <w:rPr>
          <w:rFonts w:ascii="微软雅黑" w:hAnsi="微软雅黑" w:eastAsia="微软雅黑" w:cs="微软雅黑"/>
          <w:sz w:val="19"/>
          <w:szCs w:val="19"/>
        </w:rPr>
        <w:t>、</w:t>
      </w:r>
      <w:r>
        <w:rPr>
          <w:rFonts w:ascii="宋体" w:hAnsi="宋体" w:eastAsia="宋体" w:cs="宋体"/>
          <w:sz w:val="19"/>
          <w:szCs w:val="19"/>
        </w:rPr>
        <w:t>探</w:t>
      </w:r>
      <w:r>
        <w:rPr>
          <w:rFonts w:ascii="宋体" w:hAnsi="宋体" w:eastAsia="宋体" w:cs="宋体"/>
          <w:spacing w:val="-52"/>
          <w:sz w:val="19"/>
          <w:szCs w:val="19"/>
        </w:rPr>
        <w:t xml:space="preserve"> </w:t>
      </w:r>
      <w:r>
        <w:rPr>
          <w:rFonts w:ascii="宋体" w:hAnsi="宋体" w:eastAsia="宋体" w:cs="宋体"/>
          <w:sz w:val="19"/>
          <w:szCs w:val="19"/>
        </w:rPr>
        <w:t>索</w:t>
      </w:r>
      <w:r>
        <w:rPr>
          <w:rFonts w:ascii="宋体" w:hAnsi="宋体" w:eastAsia="宋体" w:cs="宋体"/>
          <w:spacing w:val="-47"/>
          <w:sz w:val="19"/>
          <w:szCs w:val="19"/>
        </w:rPr>
        <w:t xml:space="preserve"> </w:t>
      </w:r>
      <w:r>
        <w:rPr>
          <w:rFonts w:ascii="宋体" w:hAnsi="宋体" w:eastAsia="宋体" w:cs="宋体"/>
          <w:sz w:val="19"/>
          <w:szCs w:val="19"/>
        </w:rPr>
        <w:t>与</w:t>
      </w:r>
      <w:r>
        <w:rPr>
          <w:rFonts w:ascii="宋体" w:hAnsi="宋体" w:eastAsia="宋体" w:cs="宋体"/>
          <w:spacing w:val="-49"/>
          <w:sz w:val="19"/>
          <w:szCs w:val="19"/>
        </w:rPr>
        <w:t xml:space="preserve"> </w:t>
      </w:r>
      <w:r>
        <w:rPr>
          <w:rFonts w:ascii="宋体" w:hAnsi="宋体" w:eastAsia="宋体" w:cs="宋体"/>
          <w:sz w:val="19"/>
          <w:szCs w:val="19"/>
        </w:rPr>
        <w:t>服</w:t>
      </w:r>
      <w:r>
        <w:rPr>
          <w:rFonts w:ascii="宋体" w:hAnsi="宋体" w:eastAsia="宋体" w:cs="宋体"/>
          <w:spacing w:val="-53"/>
          <w:sz w:val="19"/>
          <w:szCs w:val="19"/>
        </w:rPr>
        <w:t xml:space="preserve"> </w:t>
      </w:r>
      <w:r>
        <w:rPr>
          <w:rFonts w:ascii="宋体" w:hAnsi="宋体" w:eastAsia="宋体" w:cs="宋体"/>
          <w:sz w:val="19"/>
          <w:szCs w:val="19"/>
        </w:rPr>
        <w:t>务</w:t>
      </w:r>
      <w:r>
        <w:rPr>
          <w:rFonts w:ascii="微软雅黑" w:hAnsi="微软雅黑" w:eastAsia="微软雅黑" w:cs="微软雅黑"/>
          <w:sz w:val="19"/>
          <w:szCs w:val="19"/>
        </w:rPr>
        <w:t>、</w:t>
      </w:r>
      <w:r>
        <w:rPr>
          <w:rFonts w:ascii="宋体" w:hAnsi="宋体" w:eastAsia="宋体" w:cs="宋体"/>
          <w:sz w:val="19"/>
          <w:szCs w:val="19"/>
        </w:rPr>
        <w:t>传</w:t>
      </w:r>
      <w:r>
        <w:rPr>
          <w:rFonts w:ascii="宋体" w:hAnsi="宋体" w:eastAsia="宋体" w:cs="宋体"/>
          <w:spacing w:val="-51"/>
          <w:sz w:val="19"/>
          <w:szCs w:val="19"/>
        </w:rPr>
        <w:t xml:space="preserve"> </w:t>
      </w:r>
      <w:r>
        <w:rPr>
          <w:rFonts w:ascii="宋体" w:hAnsi="宋体" w:eastAsia="宋体" w:cs="宋体"/>
          <w:sz w:val="19"/>
          <w:szCs w:val="19"/>
        </w:rPr>
        <w:t>统</w:t>
      </w:r>
      <w:r>
        <w:rPr>
          <w:rFonts w:ascii="宋体" w:hAnsi="宋体" w:eastAsia="宋体" w:cs="宋体"/>
          <w:spacing w:val="-47"/>
          <w:sz w:val="19"/>
          <w:szCs w:val="19"/>
        </w:rPr>
        <w:t xml:space="preserve"> </w:t>
      </w:r>
      <w:r>
        <w:rPr>
          <w:rFonts w:ascii="宋体" w:hAnsi="宋体" w:eastAsia="宋体" w:cs="宋体"/>
          <w:sz w:val="19"/>
          <w:szCs w:val="19"/>
        </w:rPr>
        <w:t>与</w:t>
      </w:r>
      <w:r>
        <w:rPr>
          <w:rFonts w:ascii="宋体" w:hAnsi="宋体" w:eastAsia="宋体" w:cs="宋体"/>
          <w:spacing w:val="-53"/>
          <w:sz w:val="19"/>
          <w:szCs w:val="19"/>
        </w:rPr>
        <w:t xml:space="preserve"> </w:t>
      </w:r>
      <w:r>
        <w:rPr>
          <w:rFonts w:ascii="宋体" w:hAnsi="宋体" w:eastAsia="宋体" w:cs="宋体"/>
          <w:sz w:val="19"/>
          <w:szCs w:val="19"/>
        </w:rPr>
        <w:t>创</w:t>
      </w:r>
      <w:r>
        <w:rPr>
          <w:rFonts w:ascii="宋体" w:hAnsi="宋体" w:eastAsia="宋体" w:cs="宋体"/>
          <w:spacing w:val="-54"/>
          <w:sz w:val="19"/>
          <w:szCs w:val="19"/>
        </w:rPr>
        <w:t xml:space="preserve"> </w:t>
      </w:r>
      <w:r>
        <w:rPr>
          <w:rFonts w:ascii="宋体" w:hAnsi="宋体" w:eastAsia="宋体" w:cs="宋体"/>
          <w:sz w:val="19"/>
          <w:szCs w:val="19"/>
        </w:rPr>
        <w:t>新</w:t>
      </w:r>
      <w:r>
        <w:rPr>
          <w:rFonts w:ascii="宋体" w:hAnsi="宋体" w:eastAsia="宋体" w:cs="宋体"/>
          <w:spacing w:val="-37"/>
          <w:sz w:val="19"/>
          <w:szCs w:val="19"/>
        </w:rPr>
        <w:t xml:space="preserve"> </w:t>
      </w:r>
      <w:r>
        <w:rPr>
          <w:rFonts w:ascii="宋体" w:hAnsi="宋体" w:eastAsia="宋体" w:cs="宋体"/>
          <w:sz w:val="19"/>
          <w:szCs w:val="19"/>
        </w:rPr>
        <w:t>的</w:t>
      </w:r>
      <w:r>
        <w:rPr>
          <w:rFonts w:ascii="宋体" w:hAnsi="宋体" w:eastAsia="宋体" w:cs="宋体"/>
          <w:spacing w:val="-52"/>
          <w:sz w:val="19"/>
          <w:szCs w:val="19"/>
        </w:rPr>
        <w:t xml:space="preserve"> </w:t>
      </w:r>
      <w:r>
        <w:rPr>
          <w:rFonts w:ascii="宋体" w:hAnsi="宋体" w:eastAsia="宋体" w:cs="宋体"/>
          <w:sz w:val="19"/>
          <w:szCs w:val="19"/>
        </w:rPr>
        <w:t>有</w:t>
      </w:r>
      <w:r>
        <w:rPr>
          <w:rFonts w:ascii="宋体" w:hAnsi="宋体" w:eastAsia="宋体" w:cs="宋体"/>
          <w:spacing w:val="-51"/>
          <w:sz w:val="19"/>
          <w:szCs w:val="19"/>
        </w:rPr>
        <w:t xml:space="preserve"> </w:t>
      </w:r>
      <w:r>
        <w:rPr>
          <w:rFonts w:ascii="宋体" w:hAnsi="宋体" w:eastAsia="宋体" w:cs="宋体"/>
          <w:sz w:val="19"/>
          <w:szCs w:val="19"/>
        </w:rPr>
        <w:t>机</w:t>
      </w:r>
      <w:r>
        <w:rPr>
          <w:rFonts w:ascii="宋体" w:hAnsi="宋体" w:eastAsia="宋体" w:cs="宋体"/>
          <w:spacing w:val="-51"/>
          <w:sz w:val="19"/>
          <w:szCs w:val="19"/>
        </w:rPr>
        <w:t xml:space="preserve"> </w:t>
      </w:r>
      <w:r>
        <w:rPr>
          <w:rFonts w:ascii="宋体" w:hAnsi="宋体" w:eastAsia="宋体" w:cs="宋体"/>
          <w:sz w:val="19"/>
          <w:szCs w:val="19"/>
        </w:rPr>
        <w:t xml:space="preserve">统  </w:t>
      </w:r>
      <w:r>
        <w:rPr>
          <w:rFonts w:ascii="宋体" w:hAnsi="宋体" w:eastAsia="宋体" w:cs="宋体"/>
          <w:spacing w:val="-20"/>
          <w:sz w:val="19"/>
          <w:szCs w:val="19"/>
        </w:rPr>
        <w:t>一</w:t>
      </w:r>
      <w:r>
        <w:rPr>
          <w:rFonts w:ascii="微软雅黑" w:hAnsi="微软雅黑" w:eastAsia="微软雅黑" w:cs="微软雅黑"/>
          <w:spacing w:val="-20"/>
          <w:sz w:val="19"/>
          <w:szCs w:val="19"/>
        </w:rPr>
        <w:t>。”</w:t>
      </w:r>
      <w:r>
        <w:rPr>
          <w:rFonts w:ascii="微软雅黑" w:hAnsi="微软雅黑" w:eastAsia="微软雅黑" w:cs="微软雅黑"/>
          <w:spacing w:val="15"/>
          <w:position w:val="8"/>
          <w:sz w:val="10"/>
          <w:szCs w:val="10"/>
        </w:rPr>
        <w:t>[</w:t>
      </w:r>
      <w:r>
        <w:rPr>
          <w:rFonts w:ascii="Arial" w:hAnsi="Arial" w:eastAsia="Arial" w:cs="Arial"/>
          <w:spacing w:val="15"/>
          <w:position w:val="8"/>
          <w:sz w:val="10"/>
          <w:szCs w:val="10"/>
        </w:rPr>
        <w:t>3</w:t>
      </w:r>
      <w:r>
        <w:rPr>
          <w:rFonts w:ascii="微软雅黑" w:hAnsi="微软雅黑" w:eastAsia="微软雅黑" w:cs="微软雅黑"/>
          <w:spacing w:val="15"/>
          <w:position w:val="8"/>
          <w:sz w:val="10"/>
          <w:szCs w:val="10"/>
        </w:rPr>
        <w:t xml:space="preserve">]  </w:t>
      </w:r>
      <w:r>
        <w:rPr>
          <w:rFonts w:ascii="宋体" w:hAnsi="宋体" w:eastAsia="宋体" w:cs="宋体"/>
          <w:spacing w:val="15"/>
          <w:sz w:val="19"/>
          <w:szCs w:val="19"/>
        </w:rPr>
        <w:t>以通识教育传统为例</w:t>
      </w:r>
      <w:r>
        <w:rPr>
          <w:rFonts w:ascii="微软雅黑" w:hAnsi="微软雅黑" w:eastAsia="微软雅黑" w:cs="微软雅黑"/>
          <w:spacing w:val="15"/>
          <w:sz w:val="19"/>
          <w:szCs w:val="19"/>
        </w:rPr>
        <w:t>，</w:t>
      </w:r>
      <w:r>
        <w:rPr>
          <w:rFonts w:ascii="宋体" w:hAnsi="宋体" w:eastAsia="宋体" w:cs="宋体"/>
          <w:spacing w:val="15"/>
          <w:sz w:val="19"/>
          <w:szCs w:val="19"/>
        </w:rPr>
        <w:t>哈佛大学通过持续不</w:t>
      </w:r>
      <w:r>
        <w:rPr>
          <w:rFonts w:ascii="宋体" w:hAnsi="宋体" w:eastAsia="宋体" w:cs="宋体"/>
          <w:spacing w:val="9"/>
          <w:sz w:val="19"/>
          <w:szCs w:val="19"/>
        </w:rPr>
        <w:t xml:space="preserve">  </w:t>
      </w:r>
      <w:r>
        <w:rPr>
          <w:rFonts w:ascii="宋体" w:hAnsi="宋体" w:eastAsia="宋体" w:cs="宋体"/>
          <w:spacing w:val="13"/>
          <w:sz w:val="19"/>
          <w:szCs w:val="19"/>
        </w:rPr>
        <w:t>断的质量文化建设</w:t>
      </w:r>
      <w:r>
        <w:rPr>
          <w:rFonts w:ascii="微软雅黑" w:hAnsi="微软雅黑" w:eastAsia="微软雅黑" w:cs="微软雅黑"/>
          <w:spacing w:val="13"/>
          <w:sz w:val="19"/>
          <w:szCs w:val="19"/>
        </w:rPr>
        <w:t>，</w:t>
      </w:r>
      <w:r>
        <w:rPr>
          <w:rFonts w:ascii="宋体" w:hAnsi="宋体" w:eastAsia="宋体" w:cs="宋体"/>
          <w:spacing w:val="13"/>
          <w:sz w:val="19"/>
          <w:szCs w:val="19"/>
        </w:rPr>
        <w:t>强化通识教育传统</w:t>
      </w:r>
      <w:r>
        <w:rPr>
          <w:rFonts w:ascii="微软雅黑" w:hAnsi="微软雅黑" w:eastAsia="微软雅黑" w:cs="微软雅黑"/>
          <w:spacing w:val="13"/>
          <w:sz w:val="19"/>
          <w:szCs w:val="19"/>
        </w:rPr>
        <w:t>，</w:t>
      </w:r>
      <w:r>
        <w:rPr>
          <w:rFonts w:ascii="宋体" w:hAnsi="宋体" w:eastAsia="宋体" w:cs="宋体"/>
          <w:spacing w:val="13"/>
          <w:sz w:val="19"/>
          <w:szCs w:val="19"/>
        </w:rPr>
        <w:t>达到提高人</w:t>
      </w:r>
      <w:r>
        <w:rPr>
          <w:rFonts w:ascii="宋体" w:hAnsi="宋体" w:eastAsia="宋体" w:cs="宋体"/>
          <w:spacing w:val="6"/>
          <w:sz w:val="19"/>
          <w:szCs w:val="19"/>
        </w:rPr>
        <w:t xml:space="preserve">  </w:t>
      </w:r>
      <w:r>
        <w:rPr>
          <w:rFonts w:ascii="宋体" w:hAnsi="宋体" w:eastAsia="宋体" w:cs="宋体"/>
          <w:spacing w:val="21"/>
          <w:sz w:val="19"/>
          <w:szCs w:val="19"/>
        </w:rPr>
        <w:t>才培养质量的目的</w:t>
      </w:r>
      <w:r>
        <w:rPr>
          <w:rFonts w:ascii="宋体" w:hAnsi="宋体" w:eastAsia="宋体" w:cs="宋体"/>
          <w:spacing w:val="-43"/>
          <w:sz w:val="19"/>
          <w:szCs w:val="19"/>
        </w:rPr>
        <w:t xml:space="preserve"> </w:t>
      </w:r>
      <w:r>
        <w:rPr>
          <w:rFonts w:ascii="微软雅黑" w:hAnsi="微软雅黑" w:eastAsia="微软雅黑" w:cs="微软雅黑"/>
          <w:spacing w:val="21"/>
          <w:position w:val="1"/>
          <w:sz w:val="19"/>
          <w:szCs w:val="19"/>
        </w:rPr>
        <w:t>。</w:t>
      </w:r>
      <w:r>
        <w:rPr>
          <w:rFonts w:ascii="微软雅黑" w:hAnsi="微软雅黑" w:eastAsia="微软雅黑" w:cs="微软雅黑"/>
          <w:spacing w:val="-31"/>
          <w:position w:val="1"/>
          <w:sz w:val="19"/>
          <w:szCs w:val="19"/>
        </w:rPr>
        <w:t xml:space="preserve"> </w:t>
      </w:r>
      <w:r>
        <w:rPr>
          <w:rFonts w:ascii="Arial" w:hAnsi="Arial" w:eastAsia="Arial" w:cs="Arial"/>
          <w:spacing w:val="21"/>
          <w:sz w:val="19"/>
          <w:szCs w:val="19"/>
        </w:rPr>
        <w:t>1945</w:t>
      </w:r>
      <w:r>
        <w:rPr>
          <w:rFonts w:ascii="宋体" w:hAnsi="宋体" w:eastAsia="宋体" w:cs="宋体"/>
          <w:spacing w:val="21"/>
          <w:sz w:val="19"/>
          <w:szCs w:val="19"/>
        </w:rPr>
        <w:t>年时任校长科南特</w:t>
      </w:r>
      <w:r>
        <w:rPr>
          <w:rFonts w:ascii="微软雅黑" w:hAnsi="微软雅黑" w:eastAsia="微软雅黑" w:cs="微软雅黑"/>
          <w:spacing w:val="21"/>
          <w:sz w:val="19"/>
          <w:szCs w:val="19"/>
        </w:rPr>
        <w:t>(</w:t>
      </w:r>
      <w:r>
        <w:rPr>
          <w:rFonts w:ascii="Arial" w:hAnsi="Arial" w:eastAsia="Arial" w:cs="Arial"/>
          <w:spacing w:val="21"/>
          <w:sz w:val="19"/>
          <w:szCs w:val="19"/>
        </w:rPr>
        <w:t>J</w:t>
      </w:r>
      <w:r>
        <w:rPr>
          <w:rFonts w:ascii="Arial" w:hAnsi="Arial" w:eastAsia="Arial" w:cs="Arial"/>
          <w:spacing w:val="21"/>
          <w:position w:val="-1"/>
          <w:sz w:val="19"/>
          <w:szCs w:val="19"/>
        </w:rPr>
        <w:t>.B.</w:t>
      </w:r>
      <w:r>
        <w:rPr>
          <w:rFonts w:ascii="Arial" w:hAnsi="Arial" w:eastAsia="Arial" w:cs="Arial"/>
          <w:position w:val="-1"/>
          <w:sz w:val="19"/>
          <w:szCs w:val="19"/>
        </w:rPr>
        <w:t xml:space="preserve">   </w:t>
      </w:r>
      <w:r>
        <w:rPr>
          <w:rFonts w:ascii="Arial" w:hAnsi="Arial" w:eastAsia="Arial" w:cs="Arial"/>
          <w:sz w:val="19"/>
          <w:szCs w:val="19"/>
        </w:rPr>
        <w:t>Conant</w:t>
      </w:r>
      <w:r>
        <w:rPr>
          <w:rFonts w:ascii="微软雅黑" w:hAnsi="微软雅黑" w:eastAsia="微软雅黑" w:cs="微软雅黑"/>
          <w:spacing w:val="28"/>
          <w:sz w:val="19"/>
          <w:szCs w:val="19"/>
        </w:rPr>
        <w:t>)</w:t>
      </w:r>
      <w:r>
        <w:rPr>
          <w:rFonts w:ascii="微软雅黑" w:hAnsi="微软雅黑" w:eastAsia="微软雅黑" w:cs="微软雅黑"/>
          <w:spacing w:val="-6"/>
          <w:sz w:val="19"/>
          <w:szCs w:val="19"/>
        </w:rPr>
        <w:t xml:space="preserve"> </w:t>
      </w:r>
      <w:r>
        <w:rPr>
          <w:rFonts w:ascii="宋体" w:hAnsi="宋体" w:eastAsia="宋体" w:cs="宋体"/>
          <w:spacing w:val="28"/>
          <w:sz w:val="19"/>
          <w:szCs w:val="19"/>
        </w:rPr>
        <w:t>指派一个委员会对哈佛大学本科生课程体</w:t>
      </w:r>
      <w:r>
        <w:rPr>
          <w:rFonts w:ascii="宋体" w:hAnsi="宋体" w:eastAsia="宋体" w:cs="宋体"/>
          <w:sz w:val="19"/>
          <w:szCs w:val="19"/>
        </w:rPr>
        <w:t xml:space="preserve">  </w:t>
      </w:r>
      <w:r>
        <w:rPr>
          <w:rFonts w:ascii="宋体" w:hAnsi="宋体" w:eastAsia="宋体" w:cs="宋体"/>
          <w:spacing w:val="9"/>
          <w:sz w:val="19"/>
          <w:szCs w:val="19"/>
        </w:rPr>
        <w:t>系进行研究</w:t>
      </w:r>
      <w:r>
        <w:rPr>
          <w:rFonts w:ascii="微软雅黑" w:hAnsi="微软雅黑" w:eastAsia="微软雅黑" w:cs="微软雅黑"/>
          <w:spacing w:val="9"/>
          <w:sz w:val="19"/>
          <w:szCs w:val="19"/>
        </w:rPr>
        <w:t>，</w:t>
      </w:r>
      <w:r>
        <w:rPr>
          <w:rFonts w:ascii="宋体" w:hAnsi="宋体" w:eastAsia="宋体" w:cs="宋体"/>
          <w:spacing w:val="9"/>
          <w:sz w:val="19"/>
          <w:szCs w:val="19"/>
        </w:rPr>
        <w:t>形成了</w:t>
      </w:r>
      <w:r>
        <w:rPr>
          <w:rFonts w:ascii="微软雅黑" w:hAnsi="微软雅黑" w:eastAsia="微软雅黑" w:cs="微软雅黑"/>
          <w:spacing w:val="9"/>
          <w:sz w:val="19"/>
          <w:szCs w:val="19"/>
        </w:rPr>
        <w:t>《</w:t>
      </w:r>
      <w:r>
        <w:rPr>
          <w:rFonts w:ascii="宋体" w:hAnsi="宋体" w:eastAsia="宋体" w:cs="宋体"/>
          <w:spacing w:val="9"/>
          <w:sz w:val="19"/>
          <w:szCs w:val="19"/>
        </w:rPr>
        <w:t>自由社会中的通识教</w:t>
      </w:r>
      <w:r>
        <w:rPr>
          <w:rFonts w:ascii="宋体" w:hAnsi="宋体" w:eastAsia="宋体" w:cs="宋体"/>
          <w:spacing w:val="8"/>
          <w:sz w:val="19"/>
          <w:szCs w:val="19"/>
        </w:rPr>
        <w:t>育</w:t>
      </w:r>
      <w:r>
        <w:rPr>
          <w:rFonts w:ascii="微软雅黑" w:hAnsi="微软雅黑" w:eastAsia="微软雅黑" w:cs="微软雅黑"/>
          <w:spacing w:val="8"/>
          <w:sz w:val="19"/>
          <w:szCs w:val="19"/>
        </w:rPr>
        <w:t>》</w:t>
      </w:r>
      <w:r>
        <w:rPr>
          <w:rFonts w:ascii="宋体" w:hAnsi="宋体" w:eastAsia="宋体" w:cs="宋体"/>
          <w:spacing w:val="8"/>
          <w:sz w:val="19"/>
          <w:szCs w:val="19"/>
        </w:rPr>
        <w:t>报告</w:t>
      </w:r>
      <w:r>
        <w:rPr>
          <w:rFonts w:ascii="微软雅黑" w:hAnsi="微软雅黑" w:eastAsia="微软雅黑" w:cs="微软雅黑"/>
          <w:spacing w:val="8"/>
          <w:sz w:val="19"/>
          <w:szCs w:val="19"/>
        </w:rPr>
        <w:t>，</w:t>
      </w:r>
      <w:r>
        <w:rPr>
          <w:rFonts w:ascii="微软雅黑" w:hAnsi="微软雅黑" w:eastAsia="微软雅黑" w:cs="微软雅黑"/>
          <w:sz w:val="19"/>
          <w:szCs w:val="19"/>
        </w:rPr>
        <w:t xml:space="preserve"> </w:t>
      </w:r>
      <w:r>
        <w:rPr>
          <w:rFonts w:ascii="宋体" w:hAnsi="宋体" w:eastAsia="宋体" w:cs="宋体"/>
          <w:spacing w:val="22"/>
          <w:sz w:val="19"/>
          <w:szCs w:val="19"/>
        </w:rPr>
        <w:t>强调加强本科生的通识教育</w:t>
      </w:r>
      <w:r>
        <w:rPr>
          <w:rFonts w:ascii="微软雅黑" w:hAnsi="微软雅黑" w:eastAsia="微软雅黑" w:cs="微软雅黑"/>
          <w:spacing w:val="22"/>
          <w:sz w:val="19"/>
          <w:szCs w:val="19"/>
        </w:rPr>
        <w:t>，</w:t>
      </w:r>
      <w:r>
        <w:rPr>
          <w:rFonts w:ascii="宋体" w:hAnsi="宋体" w:eastAsia="宋体" w:cs="宋体"/>
          <w:spacing w:val="22"/>
          <w:sz w:val="19"/>
          <w:szCs w:val="19"/>
        </w:rPr>
        <w:t>以培养有责任的良好</w:t>
      </w:r>
      <w:r>
        <w:rPr>
          <w:rFonts w:ascii="宋体" w:hAnsi="宋体" w:eastAsia="宋体" w:cs="宋体"/>
          <w:spacing w:val="8"/>
          <w:sz w:val="19"/>
          <w:szCs w:val="19"/>
        </w:rPr>
        <w:t xml:space="preserve">  </w:t>
      </w:r>
      <w:r>
        <w:rPr>
          <w:rFonts w:ascii="宋体" w:hAnsi="宋体" w:eastAsia="宋体" w:cs="宋体"/>
          <w:spacing w:val="19"/>
          <w:sz w:val="19"/>
          <w:szCs w:val="19"/>
        </w:rPr>
        <w:t>的社会公民</w:t>
      </w:r>
      <w:r>
        <w:rPr>
          <w:rFonts w:ascii="微软雅黑" w:hAnsi="微软雅黑" w:eastAsia="微软雅黑" w:cs="微软雅黑"/>
          <w:spacing w:val="19"/>
          <w:position w:val="1"/>
          <w:sz w:val="19"/>
          <w:szCs w:val="19"/>
        </w:rPr>
        <w:t>。</w:t>
      </w:r>
      <w:r>
        <w:rPr>
          <w:rFonts w:ascii="微软雅黑" w:hAnsi="微软雅黑" w:eastAsia="微软雅黑" w:cs="微软雅黑"/>
          <w:spacing w:val="19"/>
          <w:position w:val="8"/>
          <w:sz w:val="10"/>
          <w:szCs w:val="10"/>
        </w:rPr>
        <w:t>[</w:t>
      </w:r>
      <w:r>
        <w:rPr>
          <w:rFonts w:ascii="Arial" w:hAnsi="Arial" w:eastAsia="Arial" w:cs="Arial"/>
          <w:spacing w:val="19"/>
          <w:position w:val="8"/>
          <w:sz w:val="10"/>
          <w:szCs w:val="10"/>
        </w:rPr>
        <w:t>4</w:t>
      </w:r>
      <w:r>
        <w:rPr>
          <w:rFonts w:ascii="微软雅黑" w:hAnsi="微软雅黑" w:eastAsia="微软雅黑" w:cs="微软雅黑"/>
          <w:spacing w:val="19"/>
          <w:position w:val="8"/>
          <w:sz w:val="10"/>
          <w:szCs w:val="10"/>
        </w:rPr>
        <w:t>]</w:t>
      </w:r>
      <w:r>
        <w:rPr>
          <w:rFonts w:ascii="微软雅黑" w:hAnsi="微软雅黑" w:eastAsia="微软雅黑" w:cs="微软雅黑"/>
          <w:position w:val="8"/>
          <w:sz w:val="10"/>
          <w:szCs w:val="10"/>
        </w:rPr>
        <w:t xml:space="preserve">  </w:t>
      </w:r>
      <w:r>
        <w:rPr>
          <w:rFonts w:ascii="Arial" w:hAnsi="Arial" w:eastAsia="Arial" w:cs="Arial"/>
          <w:spacing w:val="19"/>
          <w:sz w:val="19"/>
          <w:szCs w:val="19"/>
        </w:rPr>
        <w:t>1978</w:t>
      </w:r>
      <w:r>
        <w:rPr>
          <w:rFonts w:ascii="宋体" w:hAnsi="宋体" w:eastAsia="宋体" w:cs="宋体"/>
          <w:spacing w:val="19"/>
          <w:sz w:val="19"/>
          <w:szCs w:val="19"/>
        </w:rPr>
        <w:t>年时任校长博克</w:t>
      </w:r>
      <w:r>
        <w:rPr>
          <w:rFonts w:ascii="微软雅黑" w:hAnsi="微软雅黑" w:eastAsia="微软雅黑" w:cs="微软雅黑"/>
          <w:spacing w:val="19"/>
          <w:sz w:val="19"/>
          <w:szCs w:val="19"/>
        </w:rPr>
        <w:t>(</w:t>
      </w:r>
      <w:r>
        <w:rPr>
          <w:rFonts w:ascii="Arial" w:hAnsi="Arial" w:eastAsia="Arial" w:cs="Arial"/>
          <w:spacing w:val="19"/>
          <w:sz w:val="19"/>
          <w:szCs w:val="19"/>
        </w:rPr>
        <w:t>D</w:t>
      </w:r>
      <w:r>
        <w:rPr>
          <w:rFonts w:ascii="Arial" w:hAnsi="Arial" w:eastAsia="Arial" w:cs="Arial"/>
          <w:spacing w:val="18"/>
          <w:sz w:val="19"/>
          <w:szCs w:val="19"/>
        </w:rPr>
        <w:t>.C.</w:t>
      </w:r>
      <w:r>
        <w:rPr>
          <w:rFonts w:ascii="Arial" w:hAnsi="Arial" w:eastAsia="Arial" w:cs="Arial"/>
          <w:sz w:val="19"/>
          <w:szCs w:val="19"/>
        </w:rPr>
        <w:t>Bok</w:t>
      </w:r>
      <w:r>
        <w:rPr>
          <w:rFonts w:ascii="微软雅黑" w:hAnsi="微软雅黑" w:eastAsia="微软雅黑" w:cs="微软雅黑"/>
          <w:spacing w:val="18"/>
          <w:sz w:val="19"/>
          <w:szCs w:val="19"/>
        </w:rPr>
        <w:t xml:space="preserve">) </w:t>
      </w:r>
      <w:r>
        <w:rPr>
          <w:rFonts w:ascii="宋体" w:hAnsi="宋体" w:eastAsia="宋体" w:cs="宋体"/>
          <w:spacing w:val="18"/>
          <w:sz w:val="19"/>
          <w:szCs w:val="19"/>
        </w:rPr>
        <w:t>组</w:t>
      </w:r>
      <w:r>
        <w:rPr>
          <w:rFonts w:ascii="宋体" w:hAnsi="宋体" w:eastAsia="宋体" w:cs="宋体"/>
          <w:sz w:val="19"/>
          <w:szCs w:val="19"/>
        </w:rPr>
        <w:t xml:space="preserve">  </w:t>
      </w:r>
      <w:r>
        <w:rPr>
          <w:rFonts w:ascii="宋体" w:hAnsi="宋体" w:eastAsia="宋体" w:cs="宋体"/>
          <w:spacing w:val="16"/>
          <w:sz w:val="19"/>
          <w:szCs w:val="19"/>
        </w:rPr>
        <w:t>织专门委员会围绕</w:t>
      </w:r>
      <w:r>
        <w:rPr>
          <w:rFonts w:ascii="微软雅黑" w:hAnsi="微软雅黑" w:eastAsia="微软雅黑" w:cs="微软雅黑"/>
          <w:spacing w:val="16"/>
          <w:sz w:val="19"/>
          <w:szCs w:val="19"/>
        </w:rPr>
        <w:t>“</w:t>
      </w:r>
      <w:r>
        <w:rPr>
          <w:rFonts w:ascii="宋体" w:hAnsi="宋体" w:eastAsia="宋体" w:cs="宋体"/>
          <w:spacing w:val="16"/>
          <w:sz w:val="19"/>
          <w:szCs w:val="19"/>
        </w:rPr>
        <w:t>什么样的人是一个有教养的人</w:t>
      </w:r>
      <w:r>
        <w:rPr>
          <w:rFonts w:ascii="宋体" w:hAnsi="宋体" w:eastAsia="宋体" w:cs="宋体"/>
          <w:spacing w:val="-62"/>
          <w:sz w:val="19"/>
          <w:szCs w:val="19"/>
        </w:rPr>
        <w:t xml:space="preserve"> </w:t>
      </w:r>
      <w:r>
        <w:rPr>
          <w:rFonts w:ascii="微软雅黑" w:hAnsi="微软雅黑" w:eastAsia="微软雅黑" w:cs="微软雅黑"/>
          <w:spacing w:val="16"/>
          <w:sz w:val="19"/>
          <w:szCs w:val="19"/>
        </w:rPr>
        <w:t>”</w:t>
      </w:r>
      <w:r>
        <w:rPr>
          <w:rFonts w:ascii="微软雅黑" w:hAnsi="微软雅黑" w:eastAsia="微软雅黑" w:cs="微软雅黑"/>
          <w:sz w:val="19"/>
          <w:szCs w:val="19"/>
        </w:rPr>
        <w:t xml:space="preserve"> </w:t>
      </w:r>
      <w:r>
        <w:rPr>
          <w:rFonts w:ascii="宋体" w:hAnsi="宋体" w:eastAsia="宋体" w:cs="宋体"/>
          <w:spacing w:val="13"/>
          <w:sz w:val="19"/>
          <w:szCs w:val="19"/>
        </w:rPr>
        <w:t>进行调查研究</w:t>
      </w:r>
      <w:r>
        <w:rPr>
          <w:rFonts w:ascii="微软雅黑" w:hAnsi="微软雅黑" w:eastAsia="微软雅黑" w:cs="微软雅黑"/>
          <w:spacing w:val="13"/>
          <w:sz w:val="19"/>
          <w:szCs w:val="19"/>
        </w:rPr>
        <w:t>，</w:t>
      </w:r>
      <w:r>
        <w:rPr>
          <w:rFonts w:ascii="宋体" w:hAnsi="宋体" w:eastAsia="宋体" w:cs="宋体"/>
          <w:spacing w:val="13"/>
          <w:sz w:val="19"/>
          <w:szCs w:val="19"/>
        </w:rPr>
        <w:t>发布了</w:t>
      </w:r>
      <w:r>
        <w:rPr>
          <w:rFonts w:ascii="微软雅黑" w:hAnsi="微软雅黑" w:eastAsia="微软雅黑" w:cs="微软雅黑"/>
          <w:spacing w:val="13"/>
          <w:sz w:val="19"/>
          <w:szCs w:val="19"/>
        </w:rPr>
        <w:t>《</w:t>
      </w:r>
      <w:r>
        <w:rPr>
          <w:rFonts w:ascii="宋体" w:hAnsi="宋体" w:eastAsia="宋体" w:cs="宋体"/>
          <w:spacing w:val="13"/>
          <w:sz w:val="19"/>
          <w:szCs w:val="19"/>
        </w:rPr>
        <w:t>哈佛大学文理学院关于共同</w:t>
      </w:r>
      <w:r>
        <w:rPr>
          <w:rFonts w:ascii="宋体" w:hAnsi="宋体" w:eastAsia="宋体" w:cs="宋体"/>
          <w:spacing w:val="5"/>
          <w:sz w:val="19"/>
          <w:szCs w:val="19"/>
        </w:rPr>
        <w:t xml:space="preserve">  </w:t>
      </w:r>
      <w:r>
        <w:rPr>
          <w:rFonts w:ascii="宋体" w:hAnsi="宋体" w:eastAsia="宋体" w:cs="宋体"/>
          <w:spacing w:val="3"/>
          <w:sz w:val="19"/>
          <w:szCs w:val="19"/>
        </w:rPr>
        <w:t>基础课</w:t>
      </w:r>
      <w:r>
        <w:rPr>
          <w:rFonts w:ascii="宋体" w:hAnsi="宋体" w:eastAsia="宋体" w:cs="宋体"/>
          <w:spacing w:val="-50"/>
          <w:sz w:val="19"/>
          <w:szCs w:val="19"/>
        </w:rPr>
        <w:t xml:space="preserve"> </w:t>
      </w:r>
      <w:r>
        <w:rPr>
          <w:rFonts w:ascii="宋体" w:hAnsi="宋体" w:eastAsia="宋体" w:cs="宋体"/>
          <w:spacing w:val="3"/>
          <w:sz w:val="19"/>
          <w:szCs w:val="19"/>
        </w:rPr>
        <w:t>程</w:t>
      </w:r>
      <w:r>
        <w:rPr>
          <w:rFonts w:ascii="宋体" w:hAnsi="宋体" w:eastAsia="宋体" w:cs="宋体"/>
          <w:spacing w:val="-39"/>
          <w:sz w:val="19"/>
          <w:szCs w:val="19"/>
        </w:rPr>
        <w:t xml:space="preserve"> </w:t>
      </w:r>
      <w:r>
        <w:rPr>
          <w:rFonts w:ascii="宋体" w:hAnsi="宋体" w:eastAsia="宋体" w:cs="宋体"/>
          <w:spacing w:val="3"/>
          <w:sz w:val="19"/>
          <w:szCs w:val="19"/>
        </w:rPr>
        <w:t>的</w:t>
      </w:r>
      <w:r>
        <w:rPr>
          <w:rFonts w:ascii="宋体" w:hAnsi="宋体" w:eastAsia="宋体" w:cs="宋体"/>
          <w:spacing w:val="-53"/>
          <w:sz w:val="19"/>
          <w:szCs w:val="19"/>
        </w:rPr>
        <w:t xml:space="preserve"> </w:t>
      </w:r>
      <w:r>
        <w:rPr>
          <w:rFonts w:ascii="宋体" w:hAnsi="宋体" w:eastAsia="宋体" w:cs="宋体"/>
          <w:spacing w:val="3"/>
          <w:sz w:val="19"/>
          <w:szCs w:val="19"/>
        </w:rPr>
        <w:t>报</w:t>
      </w:r>
      <w:r>
        <w:rPr>
          <w:rFonts w:ascii="宋体" w:hAnsi="宋体" w:eastAsia="宋体" w:cs="宋体"/>
          <w:spacing w:val="-55"/>
          <w:sz w:val="19"/>
          <w:szCs w:val="19"/>
        </w:rPr>
        <w:t xml:space="preserve"> </w:t>
      </w:r>
      <w:r>
        <w:rPr>
          <w:rFonts w:ascii="宋体" w:hAnsi="宋体" w:eastAsia="宋体" w:cs="宋体"/>
          <w:spacing w:val="3"/>
          <w:sz w:val="19"/>
          <w:szCs w:val="19"/>
        </w:rPr>
        <w:t>告</w:t>
      </w:r>
      <w:r>
        <w:rPr>
          <w:rFonts w:ascii="微软雅黑" w:hAnsi="微软雅黑" w:eastAsia="微软雅黑" w:cs="微软雅黑"/>
          <w:spacing w:val="3"/>
          <w:sz w:val="19"/>
          <w:szCs w:val="19"/>
        </w:rPr>
        <w:t>》</w:t>
      </w:r>
      <w:r>
        <w:rPr>
          <w:rFonts w:ascii="微软雅黑" w:hAnsi="微软雅黑" w:eastAsia="微软雅黑" w:cs="微软雅黑"/>
          <w:spacing w:val="3"/>
          <w:position w:val="1"/>
          <w:sz w:val="19"/>
          <w:szCs w:val="19"/>
        </w:rPr>
        <w:t>，</w:t>
      </w:r>
      <w:r>
        <w:rPr>
          <w:rFonts w:ascii="宋体" w:hAnsi="宋体" w:eastAsia="宋体" w:cs="宋体"/>
          <w:spacing w:val="3"/>
          <w:sz w:val="19"/>
          <w:szCs w:val="19"/>
        </w:rPr>
        <w:t>决</w:t>
      </w:r>
      <w:r>
        <w:rPr>
          <w:rFonts w:ascii="宋体" w:hAnsi="宋体" w:eastAsia="宋体" w:cs="宋体"/>
          <w:spacing w:val="-55"/>
          <w:sz w:val="19"/>
          <w:szCs w:val="19"/>
        </w:rPr>
        <w:t xml:space="preserve"> </w:t>
      </w:r>
      <w:r>
        <w:rPr>
          <w:rFonts w:ascii="宋体" w:hAnsi="宋体" w:eastAsia="宋体" w:cs="宋体"/>
          <w:spacing w:val="3"/>
          <w:sz w:val="19"/>
          <w:szCs w:val="19"/>
        </w:rPr>
        <w:t>定</w:t>
      </w:r>
      <w:r>
        <w:rPr>
          <w:rFonts w:ascii="宋体" w:hAnsi="宋体" w:eastAsia="宋体" w:cs="宋体"/>
          <w:spacing w:val="-52"/>
          <w:sz w:val="19"/>
          <w:szCs w:val="19"/>
        </w:rPr>
        <w:t xml:space="preserve"> </w:t>
      </w:r>
      <w:r>
        <w:rPr>
          <w:rFonts w:ascii="宋体" w:hAnsi="宋体" w:eastAsia="宋体" w:cs="宋体"/>
          <w:spacing w:val="3"/>
          <w:sz w:val="19"/>
          <w:szCs w:val="19"/>
        </w:rPr>
        <w:t>实</w:t>
      </w:r>
      <w:r>
        <w:rPr>
          <w:rFonts w:ascii="宋体" w:hAnsi="宋体" w:eastAsia="宋体" w:cs="宋体"/>
          <w:spacing w:val="-56"/>
          <w:sz w:val="19"/>
          <w:szCs w:val="19"/>
        </w:rPr>
        <w:t xml:space="preserve"> </w:t>
      </w:r>
      <w:r>
        <w:rPr>
          <w:rFonts w:ascii="宋体" w:hAnsi="宋体" w:eastAsia="宋体" w:cs="宋体"/>
          <w:spacing w:val="3"/>
          <w:sz w:val="19"/>
          <w:szCs w:val="19"/>
        </w:rPr>
        <w:t>施</w:t>
      </w:r>
      <w:r>
        <w:rPr>
          <w:rFonts w:ascii="宋体" w:hAnsi="宋体" w:eastAsia="宋体" w:cs="宋体"/>
          <w:spacing w:val="-52"/>
          <w:sz w:val="19"/>
          <w:szCs w:val="19"/>
        </w:rPr>
        <w:t xml:space="preserve"> </w:t>
      </w:r>
      <w:r>
        <w:rPr>
          <w:rFonts w:ascii="宋体" w:hAnsi="宋体" w:eastAsia="宋体" w:cs="宋体"/>
          <w:spacing w:val="3"/>
          <w:sz w:val="19"/>
          <w:szCs w:val="19"/>
        </w:rPr>
        <w:t>核</w:t>
      </w:r>
      <w:r>
        <w:rPr>
          <w:rFonts w:ascii="宋体" w:hAnsi="宋体" w:eastAsia="宋体" w:cs="宋体"/>
          <w:spacing w:val="-52"/>
          <w:sz w:val="19"/>
          <w:szCs w:val="19"/>
        </w:rPr>
        <w:t xml:space="preserve"> </w:t>
      </w:r>
      <w:r>
        <w:rPr>
          <w:rFonts w:ascii="宋体" w:hAnsi="宋体" w:eastAsia="宋体" w:cs="宋体"/>
          <w:spacing w:val="3"/>
          <w:sz w:val="19"/>
          <w:szCs w:val="19"/>
        </w:rPr>
        <w:t>心课</w:t>
      </w:r>
      <w:r>
        <w:rPr>
          <w:rFonts w:ascii="宋体" w:hAnsi="宋体" w:eastAsia="宋体" w:cs="宋体"/>
          <w:spacing w:val="-54"/>
          <w:sz w:val="19"/>
          <w:szCs w:val="19"/>
        </w:rPr>
        <w:t xml:space="preserve"> </w:t>
      </w:r>
      <w:r>
        <w:rPr>
          <w:rFonts w:ascii="宋体" w:hAnsi="宋体" w:eastAsia="宋体" w:cs="宋体"/>
          <w:spacing w:val="3"/>
          <w:sz w:val="19"/>
          <w:szCs w:val="19"/>
        </w:rPr>
        <w:t>程</w:t>
      </w:r>
      <w:r>
        <w:rPr>
          <w:rFonts w:ascii="宋体" w:hAnsi="宋体" w:eastAsia="宋体" w:cs="宋体"/>
          <w:spacing w:val="-56"/>
          <w:sz w:val="19"/>
          <w:szCs w:val="19"/>
        </w:rPr>
        <w:t xml:space="preserve"> </w:t>
      </w:r>
      <w:r>
        <w:rPr>
          <w:rFonts w:ascii="宋体" w:hAnsi="宋体" w:eastAsia="宋体" w:cs="宋体"/>
          <w:spacing w:val="3"/>
          <w:sz w:val="19"/>
          <w:szCs w:val="19"/>
        </w:rPr>
        <w:t>计</w:t>
      </w:r>
      <w:r>
        <w:rPr>
          <w:rFonts w:ascii="宋体" w:hAnsi="宋体" w:eastAsia="宋体" w:cs="宋体"/>
          <w:spacing w:val="-54"/>
          <w:sz w:val="19"/>
          <w:szCs w:val="19"/>
        </w:rPr>
        <w:t xml:space="preserve"> </w:t>
      </w:r>
      <w:r>
        <w:rPr>
          <w:rFonts w:ascii="宋体" w:hAnsi="宋体" w:eastAsia="宋体" w:cs="宋体"/>
          <w:spacing w:val="3"/>
          <w:sz w:val="19"/>
          <w:szCs w:val="19"/>
        </w:rPr>
        <w:t>划</w:t>
      </w:r>
      <w:r>
        <w:rPr>
          <w:rFonts w:ascii="宋体" w:hAnsi="宋体" w:eastAsia="宋体" w:cs="宋体"/>
          <w:spacing w:val="-31"/>
          <w:sz w:val="19"/>
          <w:szCs w:val="19"/>
        </w:rPr>
        <w:t xml:space="preserve"> </w:t>
      </w:r>
      <w:r>
        <w:rPr>
          <w:rFonts w:ascii="微软雅黑" w:hAnsi="微软雅黑" w:eastAsia="微软雅黑" w:cs="微软雅黑"/>
          <w:spacing w:val="3"/>
          <w:sz w:val="19"/>
          <w:szCs w:val="19"/>
        </w:rPr>
        <w:t>(</w:t>
      </w:r>
      <w:r>
        <w:rPr>
          <w:rFonts w:ascii="Arial" w:hAnsi="Arial" w:eastAsia="Arial" w:cs="Arial"/>
          <w:sz w:val="19"/>
          <w:szCs w:val="19"/>
        </w:rPr>
        <w:t>core</w:t>
      </w:r>
      <w:r>
        <w:rPr>
          <w:rFonts w:ascii="Arial" w:hAnsi="Arial" w:eastAsia="Arial" w:cs="Arial"/>
          <w:spacing w:val="3"/>
          <w:sz w:val="19"/>
          <w:szCs w:val="19"/>
        </w:rPr>
        <w:t xml:space="preserve">  </w:t>
      </w:r>
      <w:r>
        <w:rPr>
          <w:rFonts w:ascii="Arial" w:hAnsi="Arial" w:eastAsia="Arial" w:cs="Arial"/>
          <w:sz w:val="19"/>
          <w:szCs w:val="19"/>
        </w:rPr>
        <w:tab/>
      </w:r>
      <w:r>
        <w:rPr>
          <w:rFonts w:ascii="Arial" w:hAnsi="Arial" w:eastAsia="Arial" w:cs="Arial"/>
          <w:sz w:val="19"/>
          <w:szCs w:val="19"/>
        </w:rPr>
        <w:t>curriculum</w:t>
      </w:r>
      <w:r>
        <w:rPr>
          <w:rFonts w:ascii="微软雅黑" w:hAnsi="微软雅黑" w:eastAsia="微软雅黑" w:cs="微软雅黑"/>
          <w:spacing w:val="19"/>
          <w:sz w:val="19"/>
          <w:szCs w:val="19"/>
        </w:rPr>
        <w:t xml:space="preserve">) </w:t>
      </w:r>
      <w:r>
        <w:rPr>
          <w:rFonts w:ascii="微软雅黑" w:hAnsi="微软雅黑" w:eastAsia="微软雅黑" w:cs="微软雅黑"/>
          <w:spacing w:val="19"/>
          <w:position w:val="1"/>
          <w:sz w:val="19"/>
          <w:szCs w:val="19"/>
        </w:rPr>
        <w:t>。</w:t>
      </w:r>
      <w:r>
        <w:rPr>
          <w:rFonts w:ascii="宋体" w:hAnsi="宋体" w:eastAsia="宋体" w:cs="宋体"/>
          <w:spacing w:val="19"/>
          <w:sz w:val="19"/>
          <w:szCs w:val="19"/>
        </w:rPr>
        <w:t xml:space="preserve">为了适应 </w:t>
      </w:r>
      <w:r>
        <w:rPr>
          <w:rFonts w:ascii="Arial" w:hAnsi="Arial" w:eastAsia="Arial" w:cs="Arial"/>
          <w:spacing w:val="19"/>
          <w:sz w:val="19"/>
          <w:szCs w:val="19"/>
        </w:rPr>
        <w:t>21</w:t>
      </w:r>
      <w:r>
        <w:rPr>
          <w:rFonts w:ascii="宋体" w:hAnsi="宋体" w:eastAsia="宋体" w:cs="宋体"/>
          <w:spacing w:val="19"/>
          <w:sz w:val="19"/>
          <w:szCs w:val="19"/>
        </w:rPr>
        <w:t>世纪</w:t>
      </w:r>
      <w:r>
        <w:rPr>
          <w:rFonts w:ascii="宋体" w:hAnsi="宋体" w:eastAsia="宋体" w:cs="宋体"/>
          <w:spacing w:val="-42"/>
          <w:sz w:val="19"/>
          <w:szCs w:val="19"/>
        </w:rPr>
        <w:t xml:space="preserve"> </w:t>
      </w:r>
      <w:r>
        <w:rPr>
          <w:rFonts w:ascii="宋体" w:hAnsi="宋体" w:eastAsia="宋体" w:cs="宋体"/>
          <w:spacing w:val="19"/>
          <w:sz w:val="19"/>
          <w:szCs w:val="19"/>
        </w:rPr>
        <w:t>的需要</w:t>
      </w:r>
      <w:r>
        <w:rPr>
          <w:rFonts w:ascii="微软雅黑" w:hAnsi="微软雅黑" w:eastAsia="微软雅黑" w:cs="微软雅黑"/>
          <w:spacing w:val="19"/>
          <w:position w:val="1"/>
          <w:sz w:val="19"/>
          <w:szCs w:val="19"/>
        </w:rPr>
        <w:t>，</w:t>
      </w:r>
      <w:r>
        <w:rPr>
          <w:rFonts w:ascii="宋体" w:hAnsi="宋体" w:eastAsia="宋体" w:cs="宋体"/>
          <w:spacing w:val="19"/>
          <w:sz w:val="19"/>
          <w:szCs w:val="19"/>
        </w:rPr>
        <w:t>哈佛大学</w:t>
      </w:r>
      <w:r>
        <w:rPr>
          <w:rFonts w:ascii="宋体" w:hAnsi="宋体" w:eastAsia="宋体" w:cs="宋体"/>
          <w:sz w:val="19"/>
          <w:szCs w:val="19"/>
        </w:rPr>
        <w:t xml:space="preserve">  </w:t>
      </w:r>
      <w:r>
        <w:rPr>
          <w:rFonts w:ascii="宋体" w:hAnsi="宋体" w:eastAsia="宋体" w:cs="宋体"/>
          <w:spacing w:val="26"/>
          <w:sz w:val="19"/>
          <w:szCs w:val="19"/>
        </w:rPr>
        <w:t>决定用新的通识教育计划取代实施了近</w:t>
      </w:r>
      <w:r>
        <w:rPr>
          <w:rFonts w:ascii="宋体" w:hAnsi="宋体" w:eastAsia="宋体" w:cs="宋体"/>
          <w:spacing w:val="3"/>
          <w:sz w:val="19"/>
          <w:szCs w:val="19"/>
        </w:rPr>
        <w:t xml:space="preserve"> </w:t>
      </w:r>
      <w:r>
        <w:rPr>
          <w:rFonts w:ascii="Arial" w:hAnsi="Arial" w:eastAsia="Arial" w:cs="Arial"/>
          <w:spacing w:val="26"/>
          <w:sz w:val="19"/>
          <w:szCs w:val="19"/>
        </w:rPr>
        <w:t>30</w:t>
      </w:r>
      <w:r>
        <w:rPr>
          <w:rFonts w:ascii="宋体" w:hAnsi="宋体" w:eastAsia="宋体" w:cs="宋体"/>
          <w:spacing w:val="26"/>
          <w:sz w:val="19"/>
          <w:szCs w:val="19"/>
        </w:rPr>
        <w:t>年的核</w:t>
      </w:r>
      <w:r>
        <w:rPr>
          <w:rFonts w:ascii="宋体" w:hAnsi="宋体" w:eastAsia="宋体" w:cs="宋体"/>
          <w:sz w:val="19"/>
          <w:szCs w:val="19"/>
        </w:rPr>
        <w:t xml:space="preserve">  </w:t>
      </w:r>
      <w:r>
        <w:rPr>
          <w:rFonts w:ascii="宋体" w:hAnsi="宋体" w:eastAsia="宋体" w:cs="宋体"/>
          <w:spacing w:val="11"/>
          <w:sz w:val="19"/>
          <w:szCs w:val="19"/>
        </w:rPr>
        <w:t>心课程计划</w:t>
      </w:r>
      <w:r>
        <w:rPr>
          <w:rFonts w:ascii="微软雅黑" w:hAnsi="微软雅黑" w:eastAsia="微软雅黑" w:cs="微软雅黑"/>
          <w:spacing w:val="11"/>
          <w:position w:val="1"/>
          <w:sz w:val="19"/>
          <w:szCs w:val="19"/>
        </w:rPr>
        <w:t>，</w:t>
      </w:r>
      <w:r>
        <w:rPr>
          <w:rFonts w:ascii="Arial" w:hAnsi="Arial" w:eastAsia="Arial" w:cs="Arial"/>
          <w:spacing w:val="11"/>
          <w:sz w:val="19"/>
          <w:szCs w:val="19"/>
        </w:rPr>
        <w:t>2007</w:t>
      </w:r>
      <w:r>
        <w:rPr>
          <w:rFonts w:ascii="宋体" w:hAnsi="宋体" w:eastAsia="宋体" w:cs="宋体"/>
          <w:spacing w:val="11"/>
          <w:sz w:val="19"/>
          <w:szCs w:val="19"/>
        </w:rPr>
        <w:t>年</w:t>
      </w:r>
      <w:r>
        <w:rPr>
          <w:rFonts w:ascii="微软雅黑" w:hAnsi="微软雅黑" w:eastAsia="微软雅黑" w:cs="微软雅黑"/>
          <w:spacing w:val="11"/>
          <w:sz w:val="19"/>
          <w:szCs w:val="19"/>
        </w:rPr>
        <w:t>《</w:t>
      </w:r>
      <w:r>
        <w:rPr>
          <w:rFonts w:ascii="宋体" w:hAnsi="宋体" w:eastAsia="宋体" w:cs="宋体"/>
          <w:spacing w:val="11"/>
          <w:sz w:val="19"/>
          <w:szCs w:val="19"/>
        </w:rPr>
        <w:t>通识教育工作组</w:t>
      </w:r>
      <w:r>
        <w:rPr>
          <w:rFonts w:ascii="宋体" w:hAnsi="宋体" w:eastAsia="宋体" w:cs="宋体"/>
          <w:spacing w:val="10"/>
          <w:sz w:val="19"/>
          <w:szCs w:val="19"/>
        </w:rPr>
        <w:t>报告</w:t>
      </w:r>
      <w:r>
        <w:rPr>
          <w:rFonts w:ascii="微软雅黑" w:hAnsi="微软雅黑" w:eastAsia="微软雅黑" w:cs="微软雅黑"/>
          <w:spacing w:val="10"/>
          <w:sz w:val="19"/>
          <w:szCs w:val="19"/>
        </w:rPr>
        <w:t>》</w:t>
      </w:r>
      <w:r>
        <w:rPr>
          <w:rFonts w:ascii="宋体" w:hAnsi="宋体" w:eastAsia="宋体" w:cs="宋体"/>
          <w:spacing w:val="10"/>
          <w:sz w:val="19"/>
          <w:szCs w:val="19"/>
        </w:rPr>
        <w:t>提出了</w:t>
      </w:r>
      <w:r>
        <w:rPr>
          <w:rFonts w:ascii="宋体" w:hAnsi="宋体" w:eastAsia="宋体" w:cs="宋体"/>
          <w:sz w:val="19"/>
          <w:szCs w:val="19"/>
        </w:rPr>
        <w:t xml:space="preserve">  </w:t>
      </w:r>
      <w:r>
        <w:rPr>
          <w:rFonts w:ascii="宋体" w:hAnsi="宋体" w:eastAsia="宋体" w:cs="宋体"/>
          <w:spacing w:val="18"/>
          <w:sz w:val="19"/>
          <w:szCs w:val="19"/>
        </w:rPr>
        <w:t>新的课程设计</w:t>
      </w:r>
      <w:r>
        <w:rPr>
          <w:rFonts w:ascii="微软雅黑" w:hAnsi="微软雅黑" w:eastAsia="微软雅黑" w:cs="微软雅黑"/>
          <w:spacing w:val="18"/>
          <w:position w:val="1"/>
          <w:sz w:val="19"/>
          <w:szCs w:val="19"/>
        </w:rPr>
        <w:t>，</w:t>
      </w:r>
      <w:r>
        <w:rPr>
          <w:rFonts w:ascii="宋体" w:hAnsi="宋体" w:eastAsia="宋体" w:cs="宋体"/>
          <w:spacing w:val="18"/>
          <w:sz w:val="19"/>
          <w:szCs w:val="19"/>
        </w:rPr>
        <w:t xml:space="preserve">将 </w:t>
      </w:r>
      <w:r>
        <w:rPr>
          <w:rFonts w:ascii="Arial" w:hAnsi="Arial" w:eastAsia="Arial" w:cs="Arial"/>
          <w:spacing w:val="18"/>
          <w:sz w:val="19"/>
          <w:szCs w:val="19"/>
        </w:rPr>
        <w:t>1978</w:t>
      </w:r>
      <w:r>
        <w:rPr>
          <w:rFonts w:ascii="宋体" w:hAnsi="宋体" w:eastAsia="宋体" w:cs="宋体"/>
          <w:spacing w:val="18"/>
          <w:sz w:val="19"/>
          <w:szCs w:val="19"/>
        </w:rPr>
        <w:t>年实施</w:t>
      </w:r>
      <w:r>
        <w:rPr>
          <w:rFonts w:ascii="宋体" w:hAnsi="宋体" w:eastAsia="宋体" w:cs="宋体"/>
          <w:spacing w:val="-49"/>
          <w:sz w:val="19"/>
          <w:szCs w:val="19"/>
        </w:rPr>
        <w:t xml:space="preserve"> </w:t>
      </w:r>
      <w:r>
        <w:rPr>
          <w:rFonts w:ascii="宋体" w:hAnsi="宋体" w:eastAsia="宋体" w:cs="宋体"/>
          <w:spacing w:val="18"/>
          <w:sz w:val="19"/>
          <w:szCs w:val="19"/>
        </w:rPr>
        <w:t xml:space="preserve">的涵盖 </w:t>
      </w:r>
      <w:r>
        <w:rPr>
          <w:rFonts w:ascii="Arial" w:hAnsi="Arial" w:eastAsia="Arial" w:cs="Arial"/>
          <w:spacing w:val="18"/>
          <w:sz w:val="19"/>
          <w:szCs w:val="19"/>
        </w:rPr>
        <w:t>7</w:t>
      </w:r>
      <w:r>
        <w:rPr>
          <w:rFonts w:ascii="宋体" w:hAnsi="宋体" w:eastAsia="宋体" w:cs="宋体"/>
          <w:spacing w:val="18"/>
          <w:sz w:val="19"/>
          <w:szCs w:val="19"/>
        </w:rPr>
        <w:t>个领域</w:t>
      </w:r>
      <w:r>
        <w:rPr>
          <w:rFonts w:ascii="宋体" w:hAnsi="宋体" w:eastAsia="宋体" w:cs="宋体"/>
          <w:spacing w:val="-48"/>
          <w:sz w:val="19"/>
          <w:szCs w:val="19"/>
        </w:rPr>
        <w:t xml:space="preserve"> </w:t>
      </w:r>
      <w:r>
        <w:rPr>
          <w:rFonts w:ascii="宋体" w:hAnsi="宋体" w:eastAsia="宋体" w:cs="宋体"/>
          <w:spacing w:val="18"/>
          <w:sz w:val="19"/>
          <w:szCs w:val="19"/>
        </w:rPr>
        <w:t>的</w:t>
      </w:r>
      <w:r>
        <w:rPr>
          <w:rFonts w:ascii="宋体" w:hAnsi="宋体" w:eastAsia="宋体" w:cs="宋体"/>
          <w:sz w:val="19"/>
          <w:szCs w:val="19"/>
        </w:rPr>
        <w:t xml:space="preserve">  </w:t>
      </w:r>
      <w:r>
        <w:rPr>
          <w:rFonts w:ascii="微软雅黑" w:hAnsi="微软雅黑" w:eastAsia="微软雅黑" w:cs="微软雅黑"/>
          <w:spacing w:val="4"/>
          <w:position w:val="1"/>
          <w:sz w:val="19"/>
          <w:szCs w:val="19"/>
        </w:rPr>
        <w:t>“</w:t>
      </w:r>
      <w:r>
        <w:rPr>
          <w:rFonts w:ascii="微软雅黑" w:hAnsi="微软雅黑" w:eastAsia="微软雅黑" w:cs="微软雅黑"/>
          <w:spacing w:val="-21"/>
          <w:position w:val="1"/>
          <w:sz w:val="19"/>
          <w:szCs w:val="19"/>
        </w:rPr>
        <w:t xml:space="preserve"> </w:t>
      </w:r>
      <w:r>
        <w:rPr>
          <w:rFonts w:ascii="宋体" w:hAnsi="宋体" w:eastAsia="宋体" w:cs="宋体"/>
          <w:spacing w:val="4"/>
          <w:sz w:val="19"/>
          <w:szCs w:val="19"/>
        </w:rPr>
        <w:t>核心课程</w:t>
      </w:r>
      <w:r>
        <w:rPr>
          <w:rFonts w:ascii="微软雅黑" w:hAnsi="微软雅黑" w:eastAsia="微软雅黑" w:cs="微软雅黑"/>
          <w:spacing w:val="4"/>
          <w:position w:val="1"/>
          <w:sz w:val="19"/>
          <w:szCs w:val="19"/>
        </w:rPr>
        <w:t>”</w:t>
      </w:r>
      <w:r>
        <w:rPr>
          <w:rFonts w:ascii="宋体" w:hAnsi="宋体" w:eastAsia="宋体" w:cs="宋体"/>
          <w:spacing w:val="4"/>
          <w:sz w:val="19"/>
          <w:szCs w:val="19"/>
        </w:rPr>
        <w:t>重组为</w:t>
      </w:r>
      <w:r>
        <w:rPr>
          <w:rFonts w:ascii="宋体" w:hAnsi="宋体" w:eastAsia="宋体" w:cs="宋体"/>
          <w:spacing w:val="-21"/>
          <w:sz w:val="19"/>
          <w:szCs w:val="19"/>
        </w:rPr>
        <w:t xml:space="preserve"> </w:t>
      </w:r>
      <w:r>
        <w:rPr>
          <w:rFonts w:ascii="Arial" w:hAnsi="Arial" w:eastAsia="Arial" w:cs="Arial"/>
          <w:spacing w:val="4"/>
          <w:sz w:val="19"/>
          <w:szCs w:val="19"/>
        </w:rPr>
        <w:t>8</w:t>
      </w:r>
      <w:r>
        <w:rPr>
          <w:rFonts w:ascii="宋体" w:hAnsi="宋体" w:eastAsia="宋体" w:cs="宋体"/>
          <w:spacing w:val="4"/>
          <w:sz w:val="19"/>
          <w:szCs w:val="19"/>
        </w:rPr>
        <w:t>个</w:t>
      </w:r>
      <w:r>
        <w:rPr>
          <w:rFonts w:ascii="微软雅黑" w:hAnsi="微软雅黑" w:eastAsia="微软雅黑" w:cs="微软雅黑"/>
          <w:spacing w:val="4"/>
          <w:position w:val="1"/>
          <w:sz w:val="19"/>
          <w:szCs w:val="19"/>
        </w:rPr>
        <w:t>，</w:t>
      </w:r>
      <w:r>
        <w:rPr>
          <w:rFonts w:ascii="宋体" w:hAnsi="宋体" w:eastAsia="宋体" w:cs="宋体"/>
          <w:spacing w:val="4"/>
          <w:sz w:val="19"/>
          <w:szCs w:val="19"/>
        </w:rPr>
        <w:t>包括审美和诠释</w:t>
      </w:r>
      <w:r>
        <w:rPr>
          <w:rFonts w:ascii="微软雅黑" w:hAnsi="微软雅黑" w:eastAsia="微软雅黑" w:cs="微软雅黑"/>
          <w:spacing w:val="4"/>
          <w:position w:val="1"/>
          <w:sz w:val="19"/>
          <w:szCs w:val="19"/>
        </w:rPr>
        <w:t>、</w:t>
      </w:r>
      <w:r>
        <w:rPr>
          <w:rFonts w:ascii="宋体" w:hAnsi="宋体" w:eastAsia="宋体" w:cs="宋体"/>
          <w:spacing w:val="4"/>
          <w:sz w:val="19"/>
          <w:szCs w:val="19"/>
        </w:rPr>
        <w:t>文化和信</w:t>
      </w:r>
      <w:r>
        <w:rPr>
          <w:rFonts w:ascii="宋体" w:hAnsi="宋体" w:eastAsia="宋体" w:cs="宋体"/>
          <w:sz w:val="19"/>
          <w:szCs w:val="19"/>
        </w:rPr>
        <w:t xml:space="preserve">  </w:t>
      </w:r>
      <w:r>
        <w:rPr>
          <w:rFonts w:ascii="宋体" w:hAnsi="宋体" w:eastAsia="宋体" w:cs="宋体"/>
          <w:spacing w:val="5"/>
          <w:sz w:val="19"/>
          <w:szCs w:val="19"/>
        </w:rPr>
        <w:t>仰</w:t>
      </w:r>
      <w:r>
        <w:rPr>
          <w:rFonts w:ascii="微软雅黑" w:hAnsi="微软雅黑" w:eastAsia="微软雅黑" w:cs="微软雅黑"/>
          <w:spacing w:val="5"/>
          <w:sz w:val="19"/>
          <w:szCs w:val="19"/>
        </w:rPr>
        <w:t>、</w:t>
      </w:r>
      <w:r>
        <w:rPr>
          <w:rFonts w:ascii="宋体" w:hAnsi="宋体" w:eastAsia="宋体" w:cs="宋体"/>
          <w:spacing w:val="5"/>
          <w:sz w:val="19"/>
          <w:szCs w:val="19"/>
        </w:rPr>
        <w:t>经验推理</w:t>
      </w:r>
      <w:r>
        <w:rPr>
          <w:rFonts w:ascii="微软雅黑" w:hAnsi="微软雅黑" w:eastAsia="微软雅黑" w:cs="微软雅黑"/>
          <w:spacing w:val="5"/>
          <w:sz w:val="19"/>
          <w:szCs w:val="19"/>
        </w:rPr>
        <w:t>、</w:t>
      </w:r>
      <w:r>
        <w:rPr>
          <w:rFonts w:ascii="宋体" w:hAnsi="宋体" w:eastAsia="宋体" w:cs="宋体"/>
          <w:spacing w:val="5"/>
          <w:sz w:val="19"/>
          <w:szCs w:val="19"/>
        </w:rPr>
        <w:t>伦理推理</w:t>
      </w:r>
      <w:r>
        <w:rPr>
          <w:rFonts w:ascii="微软雅黑" w:hAnsi="微软雅黑" w:eastAsia="微软雅黑" w:cs="微软雅黑"/>
          <w:spacing w:val="5"/>
          <w:sz w:val="19"/>
          <w:szCs w:val="19"/>
        </w:rPr>
        <w:t>、</w:t>
      </w:r>
      <w:r>
        <w:rPr>
          <w:rFonts w:ascii="宋体" w:hAnsi="宋体" w:eastAsia="宋体" w:cs="宋体"/>
          <w:spacing w:val="5"/>
          <w:sz w:val="19"/>
          <w:szCs w:val="19"/>
        </w:rPr>
        <w:t>生命系统科学</w:t>
      </w:r>
      <w:r>
        <w:rPr>
          <w:rFonts w:ascii="微软雅黑" w:hAnsi="微软雅黑" w:eastAsia="微软雅黑" w:cs="微软雅黑"/>
          <w:spacing w:val="5"/>
          <w:sz w:val="19"/>
          <w:szCs w:val="19"/>
        </w:rPr>
        <w:t>、</w:t>
      </w:r>
      <w:r>
        <w:rPr>
          <w:rFonts w:ascii="宋体" w:hAnsi="宋体" w:eastAsia="宋体" w:cs="宋体"/>
          <w:spacing w:val="5"/>
          <w:sz w:val="19"/>
          <w:szCs w:val="19"/>
        </w:rPr>
        <w:t>物质世界科</w:t>
      </w:r>
      <w:r>
        <w:rPr>
          <w:rFonts w:ascii="宋体" w:hAnsi="宋体" w:eastAsia="宋体" w:cs="宋体"/>
          <w:sz w:val="19"/>
          <w:szCs w:val="19"/>
        </w:rPr>
        <w:t xml:space="preserve">  </w:t>
      </w:r>
      <w:r>
        <w:rPr>
          <w:rFonts w:ascii="宋体" w:hAnsi="宋体" w:eastAsia="宋体" w:cs="宋体"/>
          <w:spacing w:val="12"/>
          <w:sz w:val="19"/>
          <w:szCs w:val="19"/>
        </w:rPr>
        <w:t>学</w:t>
      </w:r>
      <w:r>
        <w:rPr>
          <w:rFonts w:ascii="微软雅黑" w:hAnsi="微软雅黑" w:eastAsia="微软雅黑" w:cs="微软雅黑"/>
          <w:spacing w:val="12"/>
          <w:sz w:val="19"/>
          <w:szCs w:val="19"/>
        </w:rPr>
        <w:t>、</w:t>
      </w:r>
      <w:r>
        <w:rPr>
          <w:rFonts w:ascii="宋体" w:hAnsi="宋体" w:eastAsia="宋体" w:cs="宋体"/>
          <w:spacing w:val="12"/>
          <w:sz w:val="19"/>
          <w:szCs w:val="19"/>
        </w:rPr>
        <w:t>世界中的社会和世界中的美国</w:t>
      </w:r>
      <w:r>
        <w:rPr>
          <w:rFonts w:ascii="微软雅黑" w:hAnsi="微软雅黑" w:eastAsia="微软雅黑" w:cs="微软雅黑"/>
          <w:spacing w:val="12"/>
          <w:sz w:val="19"/>
          <w:szCs w:val="19"/>
        </w:rPr>
        <w:t>。</w:t>
      </w:r>
      <w:r>
        <w:rPr>
          <w:rFonts w:ascii="微软雅黑" w:hAnsi="微软雅黑" w:eastAsia="微软雅黑" w:cs="微软雅黑"/>
          <w:spacing w:val="12"/>
          <w:position w:val="7"/>
          <w:sz w:val="10"/>
          <w:szCs w:val="10"/>
        </w:rPr>
        <w:t>[</w:t>
      </w:r>
      <w:r>
        <w:rPr>
          <w:rFonts w:ascii="Arial" w:hAnsi="Arial" w:eastAsia="Arial" w:cs="Arial"/>
          <w:spacing w:val="12"/>
          <w:position w:val="7"/>
          <w:sz w:val="10"/>
          <w:szCs w:val="10"/>
        </w:rPr>
        <w:t>5</w:t>
      </w:r>
      <w:r>
        <w:rPr>
          <w:rFonts w:ascii="微软雅黑" w:hAnsi="微软雅黑" w:eastAsia="微软雅黑" w:cs="微软雅黑"/>
          <w:spacing w:val="12"/>
          <w:position w:val="7"/>
          <w:sz w:val="10"/>
          <w:szCs w:val="10"/>
        </w:rPr>
        <w:t>]</w:t>
      </w:r>
    </w:p>
    <w:p>
      <w:pPr>
        <w:spacing w:before="64" w:line="180" w:lineRule="auto"/>
        <w:ind w:left="1168"/>
        <w:rPr>
          <w:rFonts w:ascii="微软雅黑" w:hAnsi="微软雅黑" w:eastAsia="微软雅黑" w:cs="微软雅黑"/>
          <w:sz w:val="19"/>
          <w:szCs w:val="19"/>
        </w:rPr>
      </w:pPr>
      <w:r>
        <w:rPr>
          <w:rFonts w:ascii="微软雅黑" w:hAnsi="微软雅黑" w:eastAsia="微软雅黑" w:cs="微软雅黑"/>
          <w:spacing w:val="17"/>
          <w:sz w:val="19"/>
          <w:szCs w:val="19"/>
        </w:rPr>
        <w:t>(</w:t>
      </w:r>
      <w:r>
        <w:rPr>
          <w:rFonts w:ascii="Arial" w:hAnsi="Arial" w:eastAsia="Arial" w:cs="Arial"/>
          <w:spacing w:val="17"/>
          <w:sz w:val="19"/>
          <w:szCs w:val="19"/>
        </w:rPr>
        <w:t>3</w:t>
      </w:r>
      <w:r>
        <w:rPr>
          <w:rFonts w:ascii="微软雅黑" w:hAnsi="微软雅黑" w:eastAsia="微软雅黑" w:cs="微软雅黑"/>
          <w:spacing w:val="17"/>
          <w:sz w:val="19"/>
          <w:szCs w:val="19"/>
        </w:rPr>
        <w:t>)</w:t>
      </w:r>
      <w:r>
        <w:rPr>
          <w:rFonts w:ascii="微软雅黑" w:hAnsi="微软雅黑" w:eastAsia="微软雅黑" w:cs="微软雅黑"/>
          <w:spacing w:val="-3"/>
          <w:sz w:val="19"/>
          <w:szCs w:val="19"/>
        </w:rPr>
        <w:t xml:space="preserve"> </w:t>
      </w:r>
      <w:r>
        <w:rPr>
          <w:rFonts w:ascii="宋体" w:hAnsi="宋体" w:eastAsia="宋体" w:cs="宋体"/>
          <w:spacing w:val="17"/>
          <w:sz w:val="19"/>
          <w:szCs w:val="19"/>
        </w:rPr>
        <w:t>质量文化建设有利于发展高质量高等教育</w:t>
      </w:r>
      <w:r>
        <w:rPr>
          <w:rFonts w:ascii="微软雅黑" w:hAnsi="微软雅黑" w:eastAsia="微软雅黑" w:cs="微软雅黑"/>
          <w:spacing w:val="17"/>
          <w:sz w:val="19"/>
          <w:szCs w:val="19"/>
        </w:rPr>
        <w:t>。</w:t>
      </w:r>
    </w:p>
    <w:p>
      <w:pPr>
        <w:tabs>
          <w:tab w:val="left" w:pos="900"/>
        </w:tabs>
        <w:spacing w:before="68" w:line="215" w:lineRule="auto"/>
        <w:ind w:left="733" w:right="336" w:firstLine="420"/>
        <w:rPr>
          <w:rFonts w:ascii="微软雅黑" w:hAnsi="微软雅黑" w:eastAsia="微软雅黑" w:cs="微软雅黑"/>
          <w:sz w:val="19"/>
          <w:szCs w:val="19"/>
        </w:rPr>
      </w:pPr>
      <w:r>
        <w:rPr>
          <w:rFonts w:ascii="宋体" w:hAnsi="宋体" w:eastAsia="宋体" w:cs="宋体"/>
          <w:spacing w:val="16"/>
          <w:sz w:val="19"/>
          <w:szCs w:val="19"/>
        </w:rPr>
        <w:t>发展高质量高等教育是高校办学的内动力</w:t>
      </w:r>
      <w:r>
        <w:rPr>
          <w:rFonts w:ascii="宋体" w:hAnsi="宋体" w:eastAsia="宋体" w:cs="宋体"/>
          <w:spacing w:val="-45"/>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质</w:t>
      </w:r>
      <w:r>
        <w:rPr>
          <w:rFonts w:ascii="宋体" w:hAnsi="宋体" w:eastAsia="宋体" w:cs="宋体"/>
          <w:sz w:val="19"/>
          <w:szCs w:val="19"/>
        </w:rPr>
        <w:t xml:space="preserve"> </w:t>
      </w:r>
      <w:r>
        <w:rPr>
          <w:rFonts w:ascii="宋体" w:hAnsi="宋体" w:eastAsia="宋体" w:cs="宋体"/>
          <w:spacing w:val="18"/>
          <w:sz w:val="19"/>
          <w:szCs w:val="19"/>
        </w:rPr>
        <w:t>量是高等教育的生命线</w:t>
      </w:r>
      <w:r>
        <w:rPr>
          <w:rFonts w:ascii="微软雅黑" w:hAnsi="微软雅黑" w:eastAsia="微软雅黑" w:cs="微软雅黑"/>
          <w:spacing w:val="18"/>
          <w:sz w:val="19"/>
          <w:szCs w:val="19"/>
        </w:rPr>
        <w:t>，</w:t>
      </w:r>
      <w:r>
        <w:rPr>
          <w:rFonts w:ascii="宋体" w:hAnsi="宋体" w:eastAsia="宋体" w:cs="宋体"/>
          <w:spacing w:val="18"/>
          <w:sz w:val="19"/>
          <w:szCs w:val="19"/>
        </w:rPr>
        <w:t>高等教育如果出现了质量</w:t>
      </w:r>
      <w:r>
        <w:rPr>
          <w:rFonts w:ascii="宋体" w:hAnsi="宋体" w:eastAsia="宋体" w:cs="宋体"/>
          <w:spacing w:val="12"/>
          <w:sz w:val="19"/>
          <w:szCs w:val="19"/>
        </w:rPr>
        <w:t xml:space="preserve"> </w:t>
      </w:r>
      <w:r>
        <w:rPr>
          <w:rFonts w:ascii="宋体" w:hAnsi="宋体" w:eastAsia="宋体" w:cs="宋体"/>
          <w:spacing w:val="18"/>
          <w:sz w:val="19"/>
          <w:szCs w:val="19"/>
        </w:rPr>
        <w:t>问题</w:t>
      </w:r>
      <w:r>
        <w:rPr>
          <w:rFonts w:ascii="微软雅黑" w:hAnsi="微软雅黑" w:eastAsia="微软雅黑" w:cs="微软雅黑"/>
          <w:spacing w:val="18"/>
          <w:sz w:val="19"/>
          <w:szCs w:val="19"/>
        </w:rPr>
        <w:t>，</w:t>
      </w:r>
      <w:r>
        <w:rPr>
          <w:rFonts w:ascii="宋体" w:hAnsi="宋体" w:eastAsia="宋体" w:cs="宋体"/>
          <w:spacing w:val="18"/>
          <w:sz w:val="19"/>
          <w:szCs w:val="19"/>
        </w:rPr>
        <w:t>其损失和影响远远大于经济生产中出现的质</w:t>
      </w:r>
      <w:r>
        <w:rPr>
          <w:rFonts w:ascii="宋体" w:hAnsi="宋体" w:eastAsia="宋体" w:cs="宋体"/>
          <w:spacing w:val="12"/>
          <w:sz w:val="19"/>
          <w:szCs w:val="19"/>
        </w:rPr>
        <w:t xml:space="preserve"> </w:t>
      </w:r>
      <w:r>
        <w:rPr>
          <w:rFonts w:ascii="宋体" w:hAnsi="宋体" w:eastAsia="宋体" w:cs="宋体"/>
          <w:spacing w:val="16"/>
          <w:sz w:val="19"/>
          <w:szCs w:val="19"/>
        </w:rPr>
        <w:t>量问题</w:t>
      </w:r>
      <w:r>
        <w:rPr>
          <w:rFonts w:ascii="宋体" w:hAnsi="宋体" w:eastAsia="宋体" w:cs="宋体"/>
          <w:spacing w:val="-38"/>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经济生产质量问题尚可弥补</w:t>
      </w:r>
      <w:r>
        <w:rPr>
          <w:rFonts w:ascii="微软雅黑" w:hAnsi="微软雅黑" w:eastAsia="微软雅黑" w:cs="微软雅黑"/>
          <w:spacing w:val="16"/>
          <w:sz w:val="19"/>
          <w:szCs w:val="19"/>
        </w:rPr>
        <w:t>，</w:t>
      </w:r>
      <w:r>
        <w:rPr>
          <w:rFonts w:ascii="宋体" w:hAnsi="宋体" w:eastAsia="宋体" w:cs="宋体"/>
          <w:spacing w:val="16"/>
          <w:sz w:val="19"/>
          <w:szCs w:val="19"/>
        </w:rPr>
        <w:t>高等教育只</w:t>
      </w:r>
      <w:r>
        <w:rPr>
          <w:rFonts w:ascii="宋体" w:hAnsi="宋体" w:eastAsia="宋体" w:cs="宋体"/>
          <w:sz w:val="19"/>
          <w:szCs w:val="19"/>
        </w:rPr>
        <w:t xml:space="preserve"> </w:t>
      </w:r>
      <w:r>
        <w:rPr>
          <w:rFonts w:ascii="微软雅黑" w:hAnsi="微软雅黑" w:eastAsia="微软雅黑" w:cs="微软雅黑"/>
          <w:position w:val="1"/>
          <w:sz w:val="19"/>
          <w:szCs w:val="19"/>
        </w:rPr>
        <w:tab/>
      </w:r>
      <w:r>
        <w:rPr>
          <w:rFonts w:ascii="微软雅黑" w:hAnsi="微软雅黑" w:eastAsia="微软雅黑" w:cs="微软雅黑"/>
          <w:spacing w:val="-10"/>
          <w:position w:val="1"/>
          <w:sz w:val="19"/>
          <w:szCs w:val="19"/>
        </w:rPr>
        <w:t>·</w:t>
      </w:r>
      <w:r>
        <w:rPr>
          <w:rFonts w:ascii="微软雅黑" w:hAnsi="微软雅黑" w:eastAsia="微软雅黑" w:cs="微软雅黑"/>
          <w:spacing w:val="21"/>
          <w:position w:val="1"/>
          <w:sz w:val="19"/>
          <w:szCs w:val="19"/>
        </w:rPr>
        <w:t xml:space="preserve">  </w:t>
      </w:r>
      <w:r>
        <w:rPr>
          <w:rFonts w:ascii="Arial" w:hAnsi="Arial" w:eastAsia="Arial" w:cs="Arial"/>
          <w:spacing w:val="-10"/>
          <w:position w:val="-1"/>
          <w:sz w:val="19"/>
          <w:szCs w:val="19"/>
        </w:rPr>
        <w:t>12</w:t>
      </w:r>
      <w:r>
        <w:rPr>
          <w:rFonts w:ascii="Arial" w:hAnsi="Arial" w:eastAsia="Arial" w:cs="Arial"/>
          <w:spacing w:val="22"/>
          <w:w w:val="101"/>
          <w:position w:val="-1"/>
          <w:sz w:val="19"/>
          <w:szCs w:val="19"/>
        </w:rPr>
        <w:t xml:space="preserve">  </w:t>
      </w:r>
      <w:r>
        <w:rPr>
          <w:rFonts w:ascii="微软雅黑" w:hAnsi="微软雅黑" w:eastAsia="微软雅黑" w:cs="微软雅黑"/>
          <w:spacing w:val="-10"/>
          <w:position w:val="1"/>
          <w:sz w:val="19"/>
          <w:szCs w:val="19"/>
        </w:rPr>
        <w:t>·</w:t>
      </w:r>
    </w:p>
    <w:p>
      <w:pPr>
        <w:spacing w:line="14" w:lineRule="auto"/>
        <w:rPr>
          <w:rFonts w:ascii="Arial"/>
          <w:sz w:val="2"/>
        </w:rPr>
      </w:pPr>
      <w:r>
        <w:rPr>
          <w:rFonts w:ascii="Arial" w:hAnsi="Arial" w:eastAsia="Arial" w:cs="Arial"/>
          <w:sz w:val="2"/>
          <w:szCs w:val="2"/>
        </w:rPr>
        <w:br w:type="column"/>
      </w:r>
    </w:p>
    <w:p>
      <w:pPr>
        <w:spacing w:before="37" w:line="216" w:lineRule="auto"/>
        <w:ind w:left="1" w:right="4" w:hanging="1"/>
        <w:jc w:val="both"/>
        <w:rPr>
          <w:rFonts w:ascii="微软雅黑" w:hAnsi="微软雅黑" w:eastAsia="微软雅黑" w:cs="微软雅黑"/>
          <w:sz w:val="19"/>
          <w:szCs w:val="19"/>
        </w:rPr>
      </w:pPr>
      <w:r>
        <w:rPr>
          <w:rFonts w:ascii="宋体" w:hAnsi="宋体" w:eastAsia="宋体" w:cs="宋体"/>
          <w:spacing w:val="12"/>
          <w:sz w:val="19"/>
          <w:szCs w:val="19"/>
        </w:rPr>
        <w:t>要出现质量问题</w:t>
      </w:r>
      <w:r>
        <w:rPr>
          <w:rFonts w:ascii="微软雅黑" w:hAnsi="微软雅黑" w:eastAsia="微软雅黑" w:cs="微软雅黑"/>
          <w:spacing w:val="12"/>
          <w:sz w:val="19"/>
          <w:szCs w:val="19"/>
        </w:rPr>
        <w:t>，</w:t>
      </w:r>
      <w:r>
        <w:rPr>
          <w:rFonts w:ascii="宋体" w:hAnsi="宋体" w:eastAsia="宋体" w:cs="宋体"/>
          <w:spacing w:val="12"/>
          <w:sz w:val="19"/>
          <w:szCs w:val="19"/>
        </w:rPr>
        <w:t>就具有不可逆性</w:t>
      </w:r>
      <w:r>
        <w:rPr>
          <w:rFonts w:ascii="微软雅黑" w:hAnsi="微软雅黑" w:eastAsia="微软雅黑" w:cs="微软雅黑"/>
          <w:spacing w:val="12"/>
          <w:sz w:val="19"/>
          <w:szCs w:val="19"/>
        </w:rPr>
        <w:t>，</w:t>
      </w:r>
      <w:r>
        <w:rPr>
          <w:rFonts w:ascii="宋体" w:hAnsi="宋体" w:eastAsia="宋体" w:cs="宋体"/>
          <w:spacing w:val="12"/>
          <w:sz w:val="19"/>
          <w:szCs w:val="19"/>
        </w:rPr>
        <w:t>贻误个人前途</w:t>
      </w:r>
      <w:r>
        <w:rPr>
          <w:rFonts w:ascii="微软雅黑" w:hAnsi="微软雅黑" w:eastAsia="微软雅黑" w:cs="微软雅黑"/>
          <w:spacing w:val="12"/>
          <w:sz w:val="19"/>
          <w:szCs w:val="19"/>
        </w:rPr>
        <w:t>，</w:t>
      </w:r>
      <w:r>
        <w:rPr>
          <w:rFonts w:ascii="微软雅黑" w:hAnsi="微软雅黑" w:eastAsia="微软雅黑" w:cs="微软雅黑"/>
          <w:spacing w:val="16"/>
          <w:sz w:val="19"/>
          <w:szCs w:val="19"/>
        </w:rPr>
        <w:t xml:space="preserve"> </w:t>
      </w:r>
      <w:r>
        <w:rPr>
          <w:rFonts w:ascii="宋体" w:hAnsi="宋体" w:eastAsia="宋体" w:cs="宋体"/>
          <w:spacing w:val="7"/>
          <w:sz w:val="19"/>
          <w:szCs w:val="19"/>
        </w:rPr>
        <w:t>影响家庭和社会</w:t>
      </w:r>
      <w:r>
        <w:rPr>
          <w:rFonts w:ascii="宋体" w:hAnsi="宋体" w:eastAsia="宋体" w:cs="宋体"/>
          <w:spacing w:val="-48"/>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所以</w:t>
      </w:r>
      <w:r>
        <w:rPr>
          <w:rFonts w:ascii="微软雅黑" w:hAnsi="微软雅黑" w:eastAsia="微软雅黑" w:cs="微软雅黑"/>
          <w:spacing w:val="7"/>
          <w:sz w:val="19"/>
          <w:szCs w:val="19"/>
        </w:rPr>
        <w:t>，</w:t>
      </w:r>
      <w:r>
        <w:rPr>
          <w:rFonts w:ascii="宋体" w:hAnsi="宋体" w:eastAsia="宋体" w:cs="宋体"/>
          <w:spacing w:val="7"/>
          <w:sz w:val="19"/>
          <w:szCs w:val="19"/>
        </w:rPr>
        <w:t>高校举办高等教育</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追求高 </w:t>
      </w:r>
      <w:r>
        <w:rPr>
          <w:rFonts w:ascii="宋体" w:hAnsi="宋体" w:eastAsia="宋体" w:cs="宋体"/>
          <w:spacing w:val="18"/>
          <w:sz w:val="19"/>
          <w:szCs w:val="19"/>
        </w:rPr>
        <w:t>质量是与生俱来的使命</w:t>
      </w:r>
      <w:r>
        <w:rPr>
          <w:rFonts w:ascii="微软雅黑" w:hAnsi="微软雅黑" w:eastAsia="微软雅黑" w:cs="微软雅黑"/>
          <w:spacing w:val="18"/>
          <w:sz w:val="19"/>
          <w:szCs w:val="19"/>
        </w:rPr>
        <w:t>。</w:t>
      </w:r>
    </w:p>
    <w:p>
      <w:pPr>
        <w:spacing w:before="58" w:line="238" w:lineRule="auto"/>
        <w:ind w:right="74" w:firstLine="422"/>
        <w:rPr>
          <w:rFonts w:ascii="微软雅黑" w:hAnsi="微软雅黑" w:eastAsia="微软雅黑" w:cs="微软雅黑"/>
          <w:sz w:val="19"/>
          <w:szCs w:val="19"/>
        </w:rPr>
      </w:pPr>
      <w:r>
        <w:rPr>
          <w:rFonts w:ascii="宋体" w:hAnsi="宋体" w:eastAsia="宋体" w:cs="宋体"/>
          <w:spacing w:val="16"/>
          <w:sz w:val="19"/>
          <w:szCs w:val="19"/>
        </w:rPr>
        <w:t>质量文化建设是维新的</w:t>
      </w:r>
      <w:r>
        <w:rPr>
          <w:rFonts w:ascii="宋体" w:hAnsi="宋体" w:eastAsia="宋体" w:cs="宋体"/>
          <w:spacing w:val="-46"/>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质量文化建设</w:t>
      </w:r>
      <w:r>
        <w:rPr>
          <w:rFonts w:ascii="微软雅黑" w:hAnsi="微软雅黑" w:eastAsia="微软雅黑" w:cs="微软雅黑"/>
          <w:spacing w:val="16"/>
          <w:sz w:val="19"/>
          <w:szCs w:val="19"/>
        </w:rPr>
        <w:t>，</w:t>
      </w:r>
      <w:r>
        <w:rPr>
          <w:rFonts w:ascii="宋体" w:hAnsi="宋体" w:eastAsia="宋体" w:cs="宋体"/>
          <w:spacing w:val="16"/>
          <w:sz w:val="19"/>
          <w:szCs w:val="19"/>
        </w:rPr>
        <w:t>不论</w:t>
      </w:r>
      <w:r>
        <w:rPr>
          <w:rFonts w:ascii="宋体" w:hAnsi="宋体" w:eastAsia="宋体" w:cs="宋体"/>
          <w:sz w:val="19"/>
          <w:szCs w:val="19"/>
        </w:rPr>
        <w:t xml:space="preserve"> </w:t>
      </w:r>
      <w:r>
        <w:rPr>
          <w:rFonts w:ascii="宋体" w:hAnsi="宋体" w:eastAsia="宋体" w:cs="宋体"/>
          <w:spacing w:val="18"/>
          <w:sz w:val="19"/>
          <w:szCs w:val="19"/>
        </w:rPr>
        <w:t>是来自政府的要求</w:t>
      </w:r>
      <w:r>
        <w:rPr>
          <w:rFonts w:ascii="微软雅黑" w:hAnsi="微软雅黑" w:eastAsia="微软雅黑" w:cs="微软雅黑"/>
          <w:spacing w:val="18"/>
          <w:sz w:val="19"/>
          <w:szCs w:val="19"/>
        </w:rPr>
        <w:t>，</w:t>
      </w:r>
      <w:r>
        <w:rPr>
          <w:rFonts w:ascii="宋体" w:hAnsi="宋体" w:eastAsia="宋体" w:cs="宋体"/>
          <w:spacing w:val="18"/>
          <w:sz w:val="19"/>
          <w:szCs w:val="19"/>
        </w:rPr>
        <w:t>还是来自社会舆论或工商界的</w:t>
      </w:r>
      <w:r>
        <w:rPr>
          <w:rFonts w:ascii="宋体" w:hAnsi="宋体" w:eastAsia="宋体" w:cs="宋体"/>
          <w:spacing w:val="13"/>
          <w:sz w:val="19"/>
          <w:szCs w:val="19"/>
        </w:rPr>
        <w:t xml:space="preserve"> </w:t>
      </w:r>
      <w:r>
        <w:rPr>
          <w:rFonts w:ascii="宋体" w:hAnsi="宋体" w:eastAsia="宋体" w:cs="宋体"/>
          <w:spacing w:val="9"/>
          <w:sz w:val="19"/>
          <w:szCs w:val="19"/>
        </w:rPr>
        <w:t>要求</w:t>
      </w:r>
      <w:r>
        <w:rPr>
          <w:rFonts w:ascii="微软雅黑" w:hAnsi="微软雅黑" w:eastAsia="微软雅黑" w:cs="微软雅黑"/>
          <w:spacing w:val="9"/>
          <w:sz w:val="19"/>
          <w:szCs w:val="19"/>
        </w:rPr>
        <w:t>，</w:t>
      </w:r>
      <w:r>
        <w:rPr>
          <w:rFonts w:ascii="宋体" w:hAnsi="宋体" w:eastAsia="宋体" w:cs="宋体"/>
          <w:spacing w:val="9"/>
          <w:sz w:val="19"/>
          <w:szCs w:val="19"/>
        </w:rPr>
        <w:t>抑或是高校自身所动议开展的</w:t>
      </w:r>
      <w:r>
        <w:rPr>
          <w:rFonts w:ascii="微软雅黑" w:hAnsi="微软雅黑" w:eastAsia="微软雅黑" w:cs="微软雅黑"/>
          <w:spacing w:val="9"/>
          <w:sz w:val="19"/>
          <w:szCs w:val="19"/>
        </w:rPr>
        <w:t>，</w:t>
      </w:r>
      <w:r>
        <w:rPr>
          <w:rFonts w:ascii="宋体" w:hAnsi="宋体" w:eastAsia="宋体" w:cs="宋体"/>
          <w:spacing w:val="9"/>
          <w:sz w:val="19"/>
          <w:szCs w:val="19"/>
        </w:rPr>
        <w:t>都只有一个宗</w:t>
      </w:r>
      <w:r>
        <w:rPr>
          <w:rFonts w:ascii="宋体" w:hAnsi="宋体" w:eastAsia="宋体" w:cs="宋体"/>
          <w:spacing w:val="14"/>
          <w:sz w:val="19"/>
          <w:szCs w:val="19"/>
        </w:rPr>
        <w:t xml:space="preserve"> </w:t>
      </w:r>
      <w:r>
        <w:rPr>
          <w:rFonts w:ascii="宋体" w:hAnsi="宋体" w:eastAsia="宋体" w:cs="宋体"/>
          <w:spacing w:val="15"/>
          <w:sz w:val="19"/>
          <w:szCs w:val="19"/>
        </w:rPr>
        <w:t>旨</w:t>
      </w:r>
      <w:r>
        <w:rPr>
          <w:rFonts w:ascii="微软雅黑" w:hAnsi="微软雅黑" w:eastAsia="微软雅黑" w:cs="微软雅黑"/>
          <w:spacing w:val="15"/>
          <w:sz w:val="19"/>
          <w:szCs w:val="19"/>
        </w:rPr>
        <w:t>，</w:t>
      </w:r>
      <w:r>
        <w:rPr>
          <w:rFonts w:ascii="宋体" w:hAnsi="宋体" w:eastAsia="宋体" w:cs="宋体"/>
          <w:spacing w:val="15"/>
          <w:sz w:val="19"/>
          <w:szCs w:val="19"/>
        </w:rPr>
        <w:t>就是提高高等教育质量</w:t>
      </w:r>
      <w:r>
        <w:rPr>
          <w:rFonts w:ascii="宋体" w:hAnsi="宋体" w:eastAsia="宋体" w:cs="宋体"/>
          <w:spacing w:val="-37"/>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4"/>
          <w:sz w:val="19"/>
          <w:szCs w:val="19"/>
        </w:rPr>
        <w:t xml:space="preserve"> </w:t>
      </w:r>
      <w:r>
        <w:rPr>
          <w:rFonts w:ascii="宋体" w:hAnsi="宋体" w:eastAsia="宋体" w:cs="宋体"/>
          <w:spacing w:val="15"/>
          <w:sz w:val="19"/>
          <w:szCs w:val="19"/>
        </w:rPr>
        <w:t>我国政府持续开展的</w:t>
      </w:r>
      <w:r>
        <w:rPr>
          <w:rFonts w:ascii="宋体" w:hAnsi="宋体" w:eastAsia="宋体" w:cs="宋体"/>
          <w:sz w:val="19"/>
          <w:szCs w:val="19"/>
        </w:rPr>
        <w:t xml:space="preserve"> </w:t>
      </w:r>
      <w:r>
        <w:rPr>
          <w:rFonts w:ascii="宋体" w:hAnsi="宋体" w:eastAsia="宋体" w:cs="宋体"/>
          <w:spacing w:val="18"/>
          <w:sz w:val="19"/>
          <w:szCs w:val="19"/>
        </w:rPr>
        <w:t>高校教育教学工作合格评估和审核评估是一场重要</w:t>
      </w:r>
      <w:r>
        <w:rPr>
          <w:rFonts w:ascii="宋体" w:hAnsi="宋体" w:eastAsia="宋体" w:cs="宋体"/>
          <w:spacing w:val="13"/>
          <w:sz w:val="19"/>
          <w:szCs w:val="19"/>
        </w:rPr>
        <w:t xml:space="preserve"> </w:t>
      </w:r>
      <w:r>
        <w:rPr>
          <w:rFonts w:ascii="宋体" w:hAnsi="宋体" w:eastAsia="宋体" w:cs="宋体"/>
          <w:spacing w:val="18"/>
          <w:sz w:val="19"/>
          <w:szCs w:val="19"/>
        </w:rPr>
        <w:t>的质量建设运动</w:t>
      </w:r>
      <w:r>
        <w:rPr>
          <w:rFonts w:ascii="微软雅黑" w:hAnsi="微软雅黑" w:eastAsia="微软雅黑" w:cs="微软雅黑"/>
          <w:spacing w:val="18"/>
          <w:sz w:val="19"/>
          <w:szCs w:val="19"/>
        </w:rPr>
        <w:t>，</w:t>
      </w:r>
      <w:r>
        <w:rPr>
          <w:rFonts w:ascii="宋体" w:hAnsi="宋体" w:eastAsia="宋体" w:cs="宋体"/>
          <w:spacing w:val="18"/>
          <w:sz w:val="19"/>
          <w:szCs w:val="19"/>
        </w:rPr>
        <w:t>在我国高等教育发展由精英化走</w:t>
      </w:r>
      <w:r>
        <w:rPr>
          <w:rFonts w:ascii="宋体" w:hAnsi="宋体" w:eastAsia="宋体" w:cs="宋体"/>
          <w:spacing w:val="13"/>
          <w:sz w:val="19"/>
          <w:szCs w:val="19"/>
        </w:rPr>
        <w:t xml:space="preserve"> </w:t>
      </w:r>
      <w:r>
        <w:rPr>
          <w:rFonts w:ascii="宋体" w:hAnsi="宋体" w:eastAsia="宋体" w:cs="宋体"/>
          <w:spacing w:val="18"/>
          <w:sz w:val="19"/>
          <w:szCs w:val="19"/>
        </w:rPr>
        <w:t>向大众化和普及化的进程中</w:t>
      </w:r>
      <w:r>
        <w:rPr>
          <w:rFonts w:ascii="微软雅黑" w:hAnsi="微软雅黑" w:eastAsia="微软雅黑" w:cs="微软雅黑"/>
          <w:spacing w:val="18"/>
          <w:sz w:val="19"/>
          <w:szCs w:val="19"/>
        </w:rPr>
        <w:t>，</w:t>
      </w:r>
      <w:r>
        <w:rPr>
          <w:rFonts w:ascii="宋体" w:hAnsi="宋体" w:eastAsia="宋体" w:cs="宋体"/>
          <w:spacing w:val="18"/>
          <w:sz w:val="19"/>
          <w:szCs w:val="19"/>
        </w:rPr>
        <w:t>既发挥了保证底线质</w:t>
      </w:r>
      <w:r>
        <w:rPr>
          <w:rFonts w:ascii="宋体" w:hAnsi="宋体" w:eastAsia="宋体" w:cs="宋体"/>
          <w:spacing w:val="14"/>
          <w:sz w:val="19"/>
          <w:szCs w:val="19"/>
        </w:rPr>
        <w:t xml:space="preserve"> </w:t>
      </w:r>
      <w:r>
        <w:rPr>
          <w:rFonts w:ascii="宋体" w:hAnsi="宋体" w:eastAsia="宋体" w:cs="宋体"/>
          <w:spacing w:val="16"/>
          <w:sz w:val="19"/>
          <w:szCs w:val="19"/>
        </w:rPr>
        <w:t>量的作用</w:t>
      </w:r>
      <w:r>
        <w:rPr>
          <w:rFonts w:ascii="微软雅黑" w:hAnsi="微软雅黑" w:eastAsia="微软雅黑" w:cs="微软雅黑"/>
          <w:spacing w:val="16"/>
          <w:sz w:val="19"/>
          <w:szCs w:val="19"/>
        </w:rPr>
        <w:t>，</w:t>
      </w:r>
      <w:r>
        <w:rPr>
          <w:rFonts w:ascii="宋体" w:hAnsi="宋体" w:eastAsia="宋体" w:cs="宋体"/>
          <w:spacing w:val="16"/>
          <w:sz w:val="19"/>
          <w:szCs w:val="19"/>
        </w:rPr>
        <w:t>又发挥了提高质量的作用</w:t>
      </w:r>
      <w:r>
        <w:rPr>
          <w:rFonts w:ascii="宋体" w:hAnsi="宋体" w:eastAsia="宋体" w:cs="宋体"/>
          <w:spacing w:val="-36"/>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新一轮审核</w:t>
      </w:r>
      <w:r>
        <w:rPr>
          <w:rFonts w:ascii="宋体" w:hAnsi="宋体" w:eastAsia="宋体" w:cs="宋体"/>
          <w:sz w:val="19"/>
          <w:szCs w:val="19"/>
        </w:rPr>
        <w:t xml:space="preserve"> </w:t>
      </w:r>
      <w:r>
        <w:rPr>
          <w:rFonts w:ascii="宋体" w:hAnsi="宋体" w:eastAsia="宋体" w:cs="宋体"/>
          <w:spacing w:val="18"/>
          <w:sz w:val="19"/>
          <w:szCs w:val="19"/>
        </w:rPr>
        <w:t>评估所设计的分类评估体系将为高校教育教学植入</w:t>
      </w:r>
      <w:r>
        <w:rPr>
          <w:rFonts w:ascii="宋体" w:hAnsi="宋体" w:eastAsia="宋体" w:cs="宋体"/>
          <w:spacing w:val="13"/>
          <w:sz w:val="19"/>
          <w:szCs w:val="19"/>
        </w:rPr>
        <w:t xml:space="preserve"> </w:t>
      </w:r>
      <w:r>
        <w:rPr>
          <w:rFonts w:ascii="宋体" w:hAnsi="宋体" w:eastAsia="宋体" w:cs="宋体"/>
          <w:spacing w:val="18"/>
          <w:sz w:val="19"/>
          <w:szCs w:val="19"/>
        </w:rPr>
        <w:t>新的质量文化基因</w:t>
      </w:r>
      <w:r>
        <w:rPr>
          <w:rFonts w:ascii="微软雅黑" w:hAnsi="微软雅黑" w:eastAsia="微软雅黑" w:cs="微软雅黑"/>
          <w:spacing w:val="18"/>
          <w:sz w:val="19"/>
          <w:szCs w:val="19"/>
        </w:rPr>
        <w:t>，</w:t>
      </w:r>
      <w:r>
        <w:rPr>
          <w:rFonts w:ascii="宋体" w:hAnsi="宋体" w:eastAsia="宋体" w:cs="宋体"/>
          <w:spacing w:val="18"/>
          <w:sz w:val="19"/>
          <w:szCs w:val="19"/>
        </w:rPr>
        <w:t>引导高等教育在分类发展的基</w:t>
      </w:r>
      <w:r>
        <w:rPr>
          <w:rFonts w:ascii="宋体" w:hAnsi="宋体" w:eastAsia="宋体" w:cs="宋体"/>
          <w:spacing w:val="13"/>
          <w:sz w:val="19"/>
          <w:szCs w:val="19"/>
        </w:rPr>
        <w:t xml:space="preserve"> </w:t>
      </w:r>
      <w:r>
        <w:rPr>
          <w:rFonts w:ascii="宋体" w:hAnsi="宋体" w:eastAsia="宋体" w:cs="宋体"/>
          <w:spacing w:val="18"/>
          <w:sz w:val="19"/>
          <w:szCs w:val="19"/>
        </w:rPr>
        <w:t>础上全面提高质量</w:t>
      </w:r>
      <w:r>
        <w:rPr>
          <w:rFonts w:ascii="微软雅黑" w:hAnsi="微软雅黑" w:eastAsia="微软雅黑" w:cs="微软雅黑"/>
          <w:spacing w:val="18"/>
          <w:sz w:val="19"/>
          <w:szCs w:val="19"/>
        </w:rPr>
        <w:t>。</w:t>
      </w:r>
    </w:p>
    <w:p>
      <w:pPr>
        <w:spacing w:before="58" w:line="233" w:lineRule="auto"/>
        <w:ind w:left="1" w:right="74" w:firstLine="423"/>
        <w:rPr>
          <w:rFonts w:ascii="微软雅黑" w:hAnsi="微软雅黑" w:eastAsia="微软雅黑" w:cs="微软雅黑"/>
          <w:sz w:val="19"/>
          <w:szCs w:val="19"/>
        </w:rPr>
      </w:pPr>
      <w:r>
        <w:rPr>
          <w:rFonts w:ascii="宋体" w:hAnsi="宋体" w:eastAsia="宋体" w:cs="宋体"/>
          <w:spacing w:val="18"/>
          <w:sz w:val="19"/>
          <w:szCs w:val="19"/>
        </w:rPr>
        <w:t>高质量高等教育可能通过高校按部就班的教育</w:t>
      </w:r>
      <w:r>
        <w:rPr>
          <w:rFonts w:ascii="宋体" w:hAnsi="宋体" w:eastAsia="宋体" w:cs="宋体"/>
          <w:spacing w:val="5"/>
          <w:sz w:val="19"/>
          <w:szCs w:val="19"/>
        </w:rPr>
        <w:t xml:space="preserve"> </w:t>
      </w:r>
      <w:r>
        <w:rPr>
          <w:rFonts w:ascii="宋体" w:hAnsi="宋体" w:eastAsia="宋体" w:cs="宋体"/>
          <w:spacing w:val="9"/>
          <w:sz w:val="19"/>
          <w:szCs w:val="19"/>
        </w:rPr>
        <w:t>教学实践来实现</w:t>
      </w:r>
      <w:r>
        <w:rPr>
          <w:rFonts w:ascii="微软雅黑" w:hAnsi="微软雅黑" w:eastAsia="微软雅黑" w:cs="微软雅黑"/>
          <w:spacing w:val="9"/>
          <w:sz w:val="19"/>
          <w:szCs w:val="19"/>
        </w:rPr>
        <w:t>，</w:t>
      </w:r>
      <w:r>
        <w:rPr>
          <w:rFonts w:ascii="宋体" w:hAnsi="宋体" w:eastAsia="宋体" w:cs="宋体"/>
          <w:spacing w:val="9"/>
          <w:sz w:val="19"/>
          <w:szCs w:val="19"/>
        </w:rPr>
        <w:t>但这需要一个长期的发展过程</w:t>
      </w:r>
      <w:r>
        <w:rPr>
          <w:rFonts w:ascii="微软雅黑" w:hAnsi="微软雅黑" w:eastAsia="微软雅黑" w:cs="微软雅黑"/>
          <w:spacing w:val="9"/>
          <w:sz w:val="19"/>
          <w:szCs w:val="19"/>
        </w:rPr>
        <w:t>，</w:t>
      </w:r>
      <w:r>
        <w:rPr>
          <w:rFonts w:ascii="宋体" w:hAnsi="宋体" w:eastAsia="宋体" w:cs="宋体"/>
          <w:spacing w:val="9"/>
          <w:sz w:val="19"/>
          <w:szCs w:val="19"/>
        </w:rPr>
        <w:t>而</w:t>
      </w:r>
      <w:r>
        <w:rPr>
          <w:rFonts w:ascii="宋体" w:hAnsi="宋体" w:eastAsia="宋体" w:cs="宋体"/>
          <w:spacing w:val="14"/>
          <w:sz w:val="19"/>
          <w:szCs w:val="19"/>
        </w:rPr>
        <w:t xml:space="preserve"> </w:t>
      </w:r>
      <w:r>
        <w:rPr>
          <w:rFonts w:ascii="宋体" w:hAnsi="宋体" w:eastAsia="宋体" w:cs="宋体"/>
          <w:spacing w:val="16"/>
          <w:sz w:val="19"/>
          <w:szCs w:val="19"/>
        </w:rPr>
        <w:t>且不确定性很大</w:t>
      </w:r>
      <w:r>
        <w:rPr>
          <w:rFonts w:ascii="宋体" w:hAnsi="宋体" w:eastAsia="宋体" w:cs="宋体"/>
          <w:spacing w:val="-38"/>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质量文化建设是一种积极进取性</w:t>
      </w:r>
      <w:r>
        <w:rPr>
          <w:rFonts w:ascii="宋体" w:hAnsi="宋体" w:eastAsia="宋体" w:cs="宋体"/>
          <w:sz w:val="19"/>
          <w:szCs w:val="19"/>
        </w:rPr>
        <w:t xml:space="preserve"> </w:t>
      </w:r>
      <w:r>
        <w:rPr>
          <w:rFonts w:ascii="宋体" w:hAnsi="宋体" w:eastAsia="宋体" w:cs="宋体"/>
          <w:spacing w:val="18"/>
          <w:sz w:val="19"/>
          <w:szCs w:val="19"/>
        </w:rPr>
        <w:t>的高等教育发展行动</w:t>
      </w:r>
      <w:r>
        <w:rPr>
          <w:rFonts w:ascii="微软雅黑" w:hAnsi="微软雅黑" w:eastAsia="微软雅黑" w:cs="微软雅黑"/>
          <w:spacing w:val="18"/>
          <w:sz w:val="19"/>
          <w:szCs w:val="19"/>
        </w:rPr>
        <w:t>，</w:t>
      </w:r>
      <w:r>
        <w:rPr>
          <w:rFonts w:ascii="宋体" w:hAnsi="宋体" w:eastAsia="宋体" w:cs="宋体"/>
          <w:spacing w:val="18"/>
          <w:sz w:val="19"/>
          <w:szCs w:val="19"/>
        </w:rPr>
        <w:t>它所追求的就是在较短时间</w:t>
      </w:r>
      <w:r>
        <w:rPr>
          <w:rFonts w:ascii="宋体" w:hAnsi="宋体" w:eastAsia="宋体" w:cs="宋体"/>
          <w:spacing w:val="13"/>
          <w:sz w:val="19"/>
          <w:szCs w:val="19"/>
        </w:rPr>
        <w:t xml:space="preserve"> </w:t>
      </w:r>
      <w:r>
        <w:rPr>
          <w:rFonts w:ascii="宋体" w:hAnsi="宋体" w:eastAsia="宋体" w:cs="宋体"/>
          <w:spacing w:val="16"/>
          <w:sz w:val="19"/>
          <w:szCs w:val="19"/>
        </w:rPr>
        <w:t>实现高等教育质量的提升</w:t>
      </w:r>
      <w:r>
        <w:rPr>
          <w:rFonts w:ascii="宋体" w:hAnsi="宋体" w:eastAsia="宋体" w:cs="宋体"/>
          <w:spacing w:val="-37"/>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质量文化建设往往是目</w:t>
      </w:r>
      <w:r>
        <w:rPr>
          <w:rFonts w:ascii="宋体" w:hAnsi="宋体" w:eastAsia="宋体" w:cs="宋体"/>
          <w:sz w:val="19"/>
          <w:szCs w:val="19"/>
        </w:rPr>
        <w:t xml:space="preserve"> </w:t>
      </w:r>
      <w:r>
        <w:rPr>
          <w:rFonts w:ascii="宋体" w:hAnsi="宋体" w:eastAsia="宋体" w:cs="宋体"/>
          <w:spacing w:val="9"/>
          <w:sz w:val="19"/>
          <w:szCs w:val="19"/>
        </w:rPr>
        <w:t>的明确</w:t>
      </w:r>
      <w:r>
        <w:rPr>
          <w:rFonts w:ascii="微软雅黑" w:hAnsi="微软雅黑" w:eastAsia="微软雅黑" w:cs="微软雅黑"/>
          <w:spacing w:val="9"/>
          <w:sz w:val="19"/>
          <w:szCs w:val="19"/>
        </w:rPr>
        <w:t>、</w:t>
      </w:r>
      <w:r>
        <w:rPr>
          <w:rFonts w:ascii="宋体" w:hAnsi="宋体" w:eastAsia="宋体" w:cs="宋体"/>
          <w:spacing w:val="9"/>
          <w:sz w:val="19"/>
          <w:szCs w:val="19"/>
        </w:rPr>
        <w:t>行动有力的高等教育活动或治理活动</w:t>
      </w:r>
      <w:r>
        <w:rPr>
          <w:rFonts w:ascii="微软雅黑" w:hAnsi="微软雅黑" w:eastAsia="微软雅黑" w:cs="微软雅黑"/>
          <w:spacing w:val="9"/>
          <w:sz w:val="19"/>
          <w:szCs w:val="19"/>
        </w:rPr>
        <w:t>，</w:t>
      </w:r>
      <w:r>
        <w:rPr>
          <w:rFonts w:ascii="宋体" w:hAnsi="宋体" w:eastAsia="宋体" w:cs="宋体"/>
          <w:spacing w:val="9"/>
          <w:sz w:val="19"/>
          <w:szCs w:val="19"/>
        </w:rPr>
        <w:t>它不</w:t>
      </w:r>
      <w:r>
        <w:rPr>
          <w:rFonts w:ascii="宋体" w:hAnsi="宋体" w:eastAsia="宋体" w:cs="宋体"/>
          <w:spacing w:val="14"/>
          <w:sz w:val="19"/>
          <w:szCs w:val="19"/>
        </w:rPr>
        <w:t xml:space="preserve"> </w:t>
      </w:r>
      <w:r>
        <w:rPr>
          <w:rFonts w:ascii="宋体" w:hAnsi="宋体" w:eastAsia="宋体" w:cs="宋体"/>
          <w:spacing w:val="18"/>
          <w:sz w:val="19"/>
          <w:szCs w:val="19"/>
        </w:rPr>
        <w:t>仅要求在短期内取得实际成效</w:t>
      </w:r>
      <w:r>
        <w:rPr>
          <w:rFonts w:ascii="微软雅黑" w:hAnsi="微软雅黑" w:eastAsia="微软雅黑" w:cs="微软雅黑"/>
          <w:spacing w:val="18"/>
          <w:sz w:val="19"/>
          <w:szCs w:val="19"/>
        </w:rPr>
        <w:t>，</w:t>
      </w:r>
      <w:r>
        <w:rPr>
          <w:rFonts w:ascii="宋体" w:hAnsi="宋体" w:eastAsia="宋体" w:cs="宋体"/>
          <w:spacing w:val="18"/>
          <w:sz w:val="19"/>
          <w:szCs w:val="19"/>
        </w:rPr>
        <w:t>而且要求将新的文</w:t>
      </w:r>
      <w:r>
        <w:rPr>
          <w:rFonts w:ascii="宋体" w:hAnsi="宋体" w:eastAsia="宋体" w:cs="宋体"/>
          <w:spacing w:val="14"/>
          <w:sz w:val="19"/>
          <w:szCs w:val="19"/>
        </w:rPr>
        <w:t xml:space="preserve"> </w:t>
      </w:r>
      <w:r>
        <w:rPr>
          <w:rFonts w:ascii="宋体" w:hAnsi="宋体" w:eastAsia="宋体" w:cs="宋体"/>
          <w:spacing w:val="9"/>
          <w:sz w:val="19"/>
          <w:szCs w:val="19"/>
        </w:rPr>
        <w:t>化基因加以有机融合</w:t>
      </w:r>
      <w:r>
        <w:rPr>
          <w:rFonts w:ascii="微软雅黑" w:hAnsi="微软雅黑" w:eastAsia="微软雅黑" w:cs="微软雅黑"/>
          <w:spacing w:val="9"/>
          <w:sz w:val="19"/>
          <w:szCs w:val="19"/>
        </w:rPr>
        <w:t>，</w:t>
      </w:r>
      <w:r>
        <w:rPr>
          <w:rFonts w:ascii="宋体" w:hAnsi="宋体" w:eastAsia="宋体" w:cs="宋体"/>
          <w:spacing w:val="9"/>
          <w:sz w:val="19"/>
          <w:szCs w:val="19"/>
        </w:rPr>
        <w:t>创新高等教育文化</w:t>
      </w:r>
      <w:r>
        <w:rPr>
          <w:rFonts w:ascii="微软雅黑" w:hAnsi="微软雅黑" w:eastAsia="微软雅黑" w:cs="微软雅黑"/>
          <w:spacing w:val="9"/>
          <w:sz w:val="19"/>
          <w:szCs w:val="19"/>
        </w:rPr>
        <w:t>，</w:t>
      </w:r>
      <w:r>
        <w:rPr>
          <w:rFonts w:ascii="宋体" w:hAnsi="宋体" w:eastAsia="宋体" w:cs="宋体"/>
          <w:spacing w:val="9"/>
          <w:sz w:val="19"/>
          <w:szCs w:val="19"/>
        </w:rPr>
        <w:t>从而奠定</w:t>
      </w:r>
      <w:r>
        <w:rPr>
          <w:rFonts w:ascii="宋体" w:hAnsi="宋体" w:eastAsia="宋体" w:cs="宋体"/>
          <w:spacing w:val="14"/>
          <w:sz w:val="19"/>
          <w:szCs w:val="19"/>
        </w:rPr>
        <w:t xml:space="preserve"> </w:t>
      </w:r>
      <w:r>
        <w:rPr>
          <w:rFonts w:ascii="宋体" w:hAnsi="宋体" w:eastAsia="宋体" w:cs="宋体"/>
          <w:spacing w:val="19"/>
          <w:sz w:val="19"/>
          <w:szCs w:val="19"/>
        </w:rPr>
        <w:t>高等教育高质量发展的牢固基础</w:t>
      </w:r>
      <w:r>
        <w:rPr>
          <w:rFonts w:ascii="微软雅黑" w:hAnsi="微软雅黑" w:eastAsia="微软雅黑" w:cs="微软雅黑"/>
          <w:spacing w:val="19"/>
          <w:sz w:val="19"/>
          <w:szCs w:val="19"/>
        </w:rPr>
        <w:t>。</w:t>
      </w:r>
    </w:p>
    <w:p>
      <w:pPr>
        <w:spacing w:before="63" w:line="212" w:lineRule="auto"/>
        <w:ind w:left="423"/>
        <w:rPr>
          <w:rFonts w:ascii="黑体" w:hAnsi="黑体" w:eastAsia="黑体" w:cs="黑体"/>
          <w:sz w:val="19"/>
          <w:szCs w:val="19"/>
        </w:rPr>
      </w:pPr>
      <w:r>
        <w:rPr>
          <w:rFonts w:ascii="Arial" w:hAnsi="Arial" w:eastAsia="Arial" w:cs="Arial"/>
          <w:spacing w:val="12"/>
          <w:position w:val="-1"/>
          <w:sz w:val="19"/>
          <w:szCs w:val="19"/>
        </w:rPr>
        <w:t>2</w:t>
      </w:r>
      <w:r>
        <w:rPr>
          <w:rFonts w:ascii="Arial" w:hAnsi="Arial" w:eastAsia="Arial" w:cs="Arial"/>
          <w:spacing w:val="-20"/>
          <w:position w:val="-1"/>
          <w:sz w:val="19"/>
          <w:szCs w:val="19"/>
        </w:rPr>
        <w:t xml:space="preserve"> </w:t>
      </w:r>
      <w:r>
        <w:rPr>
          <w:rFonts w:ascii="Arial" w:hAnsi="Arial" w:eastAsia="Arial" w:cs="Arial"/>
          <w:spacing w:val="12"/>
          <w:position w:val="-1"/>
          <w:sz w:val="19"/>
          <w:szCs w:val="19"/>
        </w:rPr>
        <w:t>.</w:t>
      </w:r>
      <w:r>
        <w:rPr>
          <w:rFonts w:ascii="Arial" w:hAnsi="Arial" w:eastAsia="Arial" w:cs="Arial"/>
          <w:spacing w:val="-10"/>
          <w:position w:val="-1"/>
          <w:sz w:val="19"/>
          <w:szCs w:val="19"/>
        </w:rPr>
        <w:t xml:space="preserve"> </w:t>
      </w:r>
      <w:r>
        <w:rPr>
          <w:rFonts w:ascii="黑体" w:hAnsi="黑体" w:eastAsia="黑体" w:cs="黑体"/>
          <w:spacing w:val="12"/>
          <w:sz w:val="19"/>
          <w:szCs w:val="19"/>
        </w:rPr>
        <w:t>高等教育质量文化建设的社会意义</w:t>
      </w:r>
    </w:p>
    <w:p>
      <w:pPr>
        <w:spacing w:before="89" w:line="223" w:lineRule="auto"/>
        <w:ind w:left="1" w:firstLine="423"/>
        <w:rPr>
          <w:rFonts w:ascii="微软雅黑" w:hAnsi="微软雅黑" w:eastAsia="微软雅黑" w:cs="微软雅黑"/>
          <w:sz w:val="19"/>
          <w:szCs w:val="19"/>
        </w:rPr>
      </w:pPr>
      <w:r>
        <w:rPr>
          <w:rFonts w:ascii="宋体" w:hAnsi="宋体" w:eastAsia="宋体" w:cs="宋体"/>
          <w:spacing w:val="17"/>
          <w:sz w:val="19"/>
          <w:szCs w:val="19"/>
        </w:rPr>
        <w:t>高等教育质量文化建设的落脚点在高校</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影响 </w:t>
      </w:r>
      <w:r>
        <w:rPr>
          <w:rFonts w:ascii="宋体" w:hAnsi="宋体" w:eastAsia="宋体" w:cs="宋体"/>
          <w:spacing w:val="13"/>
          <w:sz w:val="19"/>
          <w:szCs w:val="19"/>
        </w:rPr>
        <w:t>却不只在高等教育内部</w:t>
      </w:r>
      <w:r>
        <w:rPr>
          <w:rFonts w:ascii="微软雅黑" w:hAnsi="微软雅黑" w:eastAsia="微软雅黑" w:cs="微软雅黑"/>
          <w:spacing w:val="13"/>
          <w:sz w:val="19"/>
          <w:szCs w:val="19"/>
        </w:rPr>
        <w:t>，</w:t>
      </w:r>
      <w:r>
        <w:rPr>
          <w:rFonts w:ascii="宋体" w:hAnsi="宋体" w:eastAsia="宋体" w:cs="宋体"/>
          <w:spacing w:val="13"/>
          <w:sz w:val="19"/>
          <w:szCs w:val="19"/>
        </w:rPr>
        <w:t>还会辐射到社会各</w:t>
      </w:r>
      <w:r>
        <w:rPr>
          <w:rFonts w:ascii="宋体" w:hAnsi="宋体" w:eastAsia="宋体" w:cs="宋体"/>
          <w:spacing w:val="12"/>
          <w:sz w:val="19"/>
          <w:szCs w:val="19"/>
        </w:rPr>
        <w:t>个方面</w:t>
      </w:r>
      <w:r>
        <w:rPr>
          <w:rFonts w:ascii="微软雅黑" w:hAnsi="微软雅黑" w:eastAsia="微软雅黑" w:cs="微软雅黑"/>
          <w:spacing w:val="12"/>
          <w:sz w:val="19"/>
          <w:szCs w:val="19"/>
        </w:rPr>
        <w:t>。</w:t>
      </w:r>
      <w:r>
        <w:rPr>
          <w:rFonts w:ascii="微软雅黑" w:hAnsi="微软雅黑" w:eastAsia="微软雅黑" w:cs="微软雅黑"/>
          <w:sz w:val="19"/>
          <w:szCs w:val="19"/>
        </w:rPr>
        <w:t xml:space="preserve"> </w:t>
      </w:r>
      <w:r>
        <w:rPr>
          <w:rFonts w:ascii="宋体" w:hAnsi="宋体" w:eastAsia="宋体" w:cs="宋体"/>
          <w:spacing w:val="18"/>
          <w:sz w:val="19"/>
          <w:szCs w:val="19"/>
        </w:rPr>
        <w:t>民众所需要的不是劣质的高等教育</w:t>
      </w:r>
      <w:r>
        <w:rPr>
          <w:rFonts w:ascii="微软雅黑" w:hAnsi="微软雅黑" w:eastAsia="微软雅黑" w:cs="微软雅黑"/>
          <w:spacing w:val="18"/>
          <w:sz w:val="19"/>
          <w:szCs w:val="19"/>
        </w:rPr>
        <w:t>，</w:t>
      </w:r>
      <w:r>
        <w:rPr>
          <w:rFonts w:ascii="宋体" w:hAnsi="宋体" w:eastAsia="宋体" w:cs="宋体"/>
          <w:spacing w:val="18"/>
          <w:sz w:val="19"/>
          <w:szCs w:val="19"/>
        </w:rPr>
        <w:t>社会企</w:t>
      </w:r>
      <w:r>
        <w:rPr>
          <w:rFonts w:ascii="宋体" w:hAnsi="宋体" w:eastAsia="宋体" w:cs="宋体"/>
          <w:spacing w:val="17"/>
          <w:sz w:val="19"/>
          <w:szCs w:val="19"/>
        </w:rPr>
        <w:t xml:space="preserve">事业单 </w:t>
      </w:r>
      <w:r>
        <w:rPr>
          <w:rFonts w:ascii="宋体" w:hAnsi="宋体" w:eastAsia="宋体" w:cs="宋体"/>
          <w:spacing w:val="1"/>
          <w:sz w:val="19"/>
          <w:szCs w:val="19"/>
        </w:rPr>
        <w:t>位也不欢迎低劣的高等教育</w:t>
      </w:r>
      <w:r>
        <w:rPr>
          <w:rFonts w:ascii="微软雅黑" w:hAnsi="微软雅黑" w:eastAsia="微软雅黑" w:cs="微软雅黑"/>
          <w:spacing w:val="1"/>
          <w:sz w:val="19"/>
          <w:szCs w:val="19"/>
        </w:rPr>
        <w:t>“</w:t>
      </w:r>
      <w:r>
        <w:rPr>
          <w:rFonts w:ascii="宋体" w:hAnsi="宋体" w:eastAsia="宋体" w:cs="宋体"/>
          <w:spacing w:val="1"/>
          <w:sz w:val="19"/>
          <w:szCs w:val="19"/>
        </w:rPr>
        <w:t>产品</w:t>
      </w:r>
      <w:r>
        <w:rPr>
          <w:rFonts w:ascii="微软雅黑" w:hAnsi="微软雅黑" w:eastAsia="微软雅黑" w:cs="微软雅黑"/>
          <w:spacing w:val="1"/>
          <w:sz w:val="19"/>
          <w:szCs w:val="19"/>
        </w:rPr>
        <w:t>”，</w:t>
      </w:r>
      <w:r>
        <w:rPr>
          <w:rFonts w:ascii="宋体" w:hAnsi="宋体" w:eastAsia="宋体" w:cs="宋体"/>
          <w:spacing w:val="1"/>
          <w:sz w:val="19"/>
          <w:szCs w:val="19"/>
        </w:rPr>
        <w:t>所以</w:t>
      </w:r>
      <w:r>
        <w:rPr>
          <w:rFonts w:ascii="微软雅黑" w:hAnsi="微软雅黑" w:eastAsia="微软雅黑" w:cs="微软雅黑"/>
          <w:spacing w:val="1"/>
          <w:sz w:val="19"/>
          <w:szCs w:val="19"/>
        </w:rPr>
        <w:t>，</w:t>
      </w:r>
      <w:r>
        <w:rPr>
          <w:rFonts w:ascii="宋体" w:hAnsi="宋体" w:eastAsia="宋体" w:cs="宋体"/>
          <w:spacing w:val="1"/>
          <w:sz w:val="19"/>
          <w:szCs w:val="19"/>
        </w:rPr>
        <w:t xml:space="preserve">高等教育 </w:t>
      </w:r>
      <w:r>
        <w:rPr>
          <w:rFonts w:ascii="宋体" w:hAnsi="宋体" w:eastAsia="宋体" w:cs="宋体"/>
          <w:spacing w:val="19"/>
          <w:sz w:val="19"/>
          <w:szCs w:val="19"/>
        </w:rPr>
        <w:t>质量文化建设有着广泛的社会意义</w:t>
      </w:r>
      <w:r>
        <w:rPr>
          <w:rFonts w:ascii="微软雅黑" w:hAnsi="微软雅黑" w:eastAsia="微软雅黑" w:cs="微软雅黑"/>
          <w:spacing w:val="19"/>
          <w:sz w:val="19"/>
          <w:szCs w:val="19"/>
        </w:rPr>
        <w:t>。</w:t>
      </w:r>
    </w:p>
    <w:p>
      <w:pPr>
        <w:spacing w:before="61" w:line="209" w:lineRule="auto"/>
        <w:ind w:left="2" w:right="77" w:firstLine="435"/>
        <w:rPr>
          <w:rFonts w:ascii="微软雅黑" w:hAnsi="微软雅黑" w:eastAsia="微软雅黑" w:cs="微软雅黑"/>
          <w:sz w:val="19"/>
          <w:szCs w:val="19"/>
        </w:rPr>
      </w:pPr>
      <w:r>
        <w:rPr>
          <w:rFonts w:ascii="微软雅黑" w:hAnsi="微软雅黑" w:eastAsia="微软雅黑" w:cs="微软雅黑"/>
          <w:spacing w:val="21"/>
          <w:sz w:val="19"/>
          <w:szCs w:val="19"/>
        </w:rPr>
        <w:t>(</w:t>
      </w:r>
      <w:r>
        <w:rPr>
          <w:rFonts w:ascii="Arial" w:hAnsi="Arial" w:eastAsia="Arial" w:cs="Arial"/>
          <w:spacing w:val="21"/>
          <w:sz w:val="19"/>
          <w:szCs w:val="19"/>
        </w:rPr>
        <w:t>1</w:t>
      </w:r>
      <w:r>
        <w:rPr>
          <w:rFonts w:ascii="微软雅黑" w:hAnsi="微软雅黑" w:eastAsia="微软雅黑" w:cs="微软雅黑"/>
          <w:spacing w:val="21"/>
          <w:sz w:val="19"/>
          <w:szCs w:val="19"/>
        </w:rPr>
        <w:t>)</w:t>
      </w:r>
      <w:r>
        <w:rPr>
          <w:rFonts w:ascii="微软雅黑" w:hAnsi="微软雅黑" w:eastAsia="微软雅黑" w:cs="微软雅黑"/>
          <w:spacing w:val="1"/>
          <w:sz w:val="19"/>
          <w:szCs w:val="19"/>
        </w:rPr>
        <w:t xml:space="preserve"> </w:t>
      </w:r>
      <w:r>
        <w:rPr>
          <w:rFonts w:ascii="宋体" w:hAnsi="宋体" w:eastAsia="宋体" w:cs="宋体"/>
          <w:spacing w:val="21"/>
          <w:sz w:val="19"/>
          <w:szCs w:val="19"/>
        </w:rPr>
        <w:t>质量文化建设是高教界面对社会关切的有</w:t>
      </w:r>
      <w:r>
        <w:rPr>
          <w:rFonts w:ascii="宋体" w:hAnsi="宋体" w:eastAsia="宋体" w:cs="宋体"/>
          <w:sz w:val="19"/>
          <w:szCs w:val="19"/>
        </w:rPr>
        <w:t xml:space="preserve"> </w:t>
      </w:r>
      <w:r>
        <w:rPr>
          <w:rFonts w:ascii="宋体" w:hAnsi="宋体" w:eastAsia="宋体" w:cs="宋体"/>
          <w:spacing w:val="17"/>
          <w:sz w:val="19"/>
          <w:szCs w:val="19"/>
        </w:rPr>
        <w:t>效回应</w:t>
      </w:r>
      <w:r>
        <w:rPr>
          <w:rFonts w:ascii="微软雅黑" w:hAnsi="微软雅黑" w:eastAsia="微软雅黑" w:cs="微软雅黑"/>
          <w:spacing w:val="17"/>
          <w:sz w:val="19"/>
          <w:szCs w:val="19"/>
        </w:rPr>
        <w:t>。</w:t>
      </w:r>
    </w:p>
    <w:p>
      <w:pPr>
        <w:spacing w:before="62" w:line="228" w:lineRule="auto"/>
        <w:ind w:right="4" w:firstLine="426"/>
        <w:rPr>
          <w:rFonts w:ascii="宋体" w:hAnsi="宋体" w:eastAsia="宋体" w:cs="宋体"/>
          <w:sz w:val="19"/>
          <w:szCs w:val="19"/>
        </w:rPr>
      </w:pPr>
      <w:r>
        <w:rPr>
          <w:rFonts w:ascii="宋体" w:hAnsi="宋体" w:eastAsia="宋体" w:cs="宋体"/>
          <w:spacing w:val="17"/>
          <w:sz w:val="19"/>
          <w:szCs w:val="19"/>
        </w:rPr>
        <w:t>与精英化阶段相比</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大众化和普及化高等教育 </w:t>
      </w:r>
      <w:r>
        <w:rPr>
          <w:rFonts w:ascii="宋体" w:hAnsi="宋体" w:eastAsia="宋体" w:cs="宋体"/>
          <w:spacing w:val="13"/>
          <w:sz w:val="19"/>
          <w:szCs w:val="19"/>
        </w:rPr>
        <w:t>受到更广泛的社会各界关注</w:t>
      </w:r>
      <w:r>
        <w:rPr>
          <w:rFonts w:ascii="宋体" w:hAnsi="宋体" w:eastAsia="宋体" w:cs="宋体"/>
          <w:spacing w:val="-41"/>
          <w:sz w:val="19"/>
          <w:szCs w:val="19"/>
        </w:rPr>
        <w:t xml:space="preserve"> </w:t>
      </w:r>
      <w:r>
        <w:rPr>
          <w:rFonts w:ascii="微软雅黑" w:hAnsi="微软雅黑" w:eastAsia="微软雅黑" w:cs="微软雅黑"/>
          <w:spacing w:val="13"/>
          <w:position w:val="1"/>
          <w:sz w:val="19"/>
          <w:szCs w:val="19"/>
        </w:rPr>
        <w:t>。</w:t>
      </w:r>
      <w:r>
        <w:rPr>
          <w:rFonts w:ascii="微软雅黑" w:hAnsi="微软雅黑" w:eastAsia="微软雅黑" w:cs="微软雅黑"/>
          <w:spacing w:val="-36"/>
          <w:position w:val="1"/>
          <w:sz w:val="19"/>
          <w:szCs w:val="19"/>
        </w:rPr>
        <w:t xml:space="preserve"> </w:t>
      </w:r>
      <w:r>
        <w:rPr>
          <w:rFonts w:ascii="Arial" w:hAnsi="Arial" w:eastAsia="Arial" w:cs="Arial"/>
          <w:spacing w:val="13"/>
          <w:sz w:val="19"/>
          <w:szCs w:val="19"/>
        </w:rPr>
        <w:t>21</w:t>
      </w:r>
      <w:r>
        <w:rPr>
          <w:rFonts w:ascii="宋体" w:hAnsi="宋体" w:eastAsia="宋体" w:cs="宋体"/>
          <w:spacing w:val="13"/>
          <w:sz w:val="19"/>
          <w:szCs w:val="19"/>
        </w:rPr>
        <w:t>世纪以来</w:t>
      </w:r>
      <w:r>
        <w:rPr>
          <w:rFonts w:ascii="微软雅黑" w:hAnsi="微软雅黑" w:eastAsia="微软雅黑" w:cs="微软雅黑"/>
          <w:spacing w:val="13"/>
          <w:position w:val="1"/>
          <w:sz w:val="19"/>
          <w:szCs w:val="19"/>
        </w:rPr>
        <w:t>，</w:t>
      </w:r>
      <w:r>
        <w:rPr>
          <w:rFonts w:ascii="宋体" w:hAnsi="宋体" w:eastAsia="宋体" w:cs="宋体"/>
          <w:spacing w:val="13"/>
          <w:sz w:val="19"/>
          <w:szCs w:val="19"/>
        </w:rPr>
        <w:t xml:space="preserve">我国高 </w:t>
      </w:r>
      <w:r>
        <w:rPr>
          <w:rFonts w:ascii="宋体" w:hAnsi="宋体" w:eastAsia="宋体" w:cs="宋体"/>
          <w:spacing w:val="15"/>
          <w:sz w:val="19"/>
          <w:szCs w:val="19"/>
        </w:rPr>
        <w:t>等教育发展步伐加快</w:t>
      </w:r>
      <w:r>
        <w:rPr>
          <w:rFonts w:ascii="微软雅黑" w:hAnsi="微软雅黑" w:eastAsia="微软雅黑" w:cs="微软雅黑"/>
          <w:spacing w:val="15"/>
          <w:sz w:val="19"/>
          <w:szCs w:val="19"/>
        </w:rPr>
        <w:t>，</w:t>
      </w:r>
      <w:r>
        <w:rPr>
          <w:rFonts w:ascii="宋体" w:hAnsi="宋体" w:eastAsia="宋体" w:cs="宋体"/>
          <w:spacing w:val="15"/>
          <w:sz w:val="19"/>
          <w:szCs w:val="19"/>
        </w:rPr>
        <w:t>规模增长几乎直线上升</w:t>
      </w:r>
      <w:r>
        <w:rPr>
          <w:rFonts w:ascii="宋体" w:hAnsi="宋体" w:eastAsia="宋体" w:cs="宋体"/>
          <w:spacing w:val="-52"/>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14"/>
          <w:sz w:val="19"/>
          <w:szCs w:val="19"/>
        </w:rPr>
        <w:t xml:space="preserve">据 </w:t>
      </w:r>
      <w:r>
        <w:rPr>
          <w:rFonts w:ascii="宋体" w:hAnsi="宋体" w:eastAsia="宋体" w:cs="宋体"/>
          <w:spacing w:val="7"/>
          <w:sz w:val="19"/>
          <w:szCs w:val="19"/>
        </w:rPr>
        <w:t>统计</w:t>
      </w:r>
      <w:r>
        <w:rPr>
          <w:rFonts w:ascii="微软雅黑" w:hAnsi="微软雅黑" w:eastAsia="微软雅黑" w:cs="微软雅黑"/>
          <w:spacing w:val="7"/>
          <w:position w:val="1"/>
          <w:sz w:val="19"/>
          <w:szCs w:val="19"/>
        </w:rPr>
        <w:t>，</w:t>
      </w:r>
      <w:r>
        <w:rPr>
          <w:rFonts w:ascii="Arial" w:hAnsi="Arial" w:eastAsia="Arial" w:cs="Arial"/>
          <w:spacing w:val="7"/>
          <w:sz w:val="19"/>
          <w:szCs w:val="19"/>
        </w:rPr>
        <w:t>1998</w:t>
      </w:r>
      <w:r>
        <w:rPr>
          <w:rFonts w:ascii="宋体" w:hAnsi="宋体" w:eastAsia="宋体" w:cs="宋体"/>
          <w:spacing w:val="7"/>
          <w:sz w:val="19"/>
          <w:szCs w:val="19"/>
        </w:rPr>
        <w:t>年</w:t>
      </w:r>
      <w:r>
        <w:rPr>
          <w:rFonts w:ascii="微软雅黑" w:hAnsi="微软雅黑" w:eastAsia="微软雅黑" w:cs="微软雅黑"/>
          <w:spacing w:val="7"/>
          <w:position w:val="1"/>
          <w:sz w:val="19"/>
          <w:szCs w:val="19"/>
        </w:rPr>
        <w:t>，</w:t>
      </w:r>
      <w:r>
        <w:rPr>
          <w:rFonts w:ascii="宋体" w:hAnsi="宋体" w:eastAsia="宋体" w:cs="宋体"/>
          <w:spacing w:val="7"/>
          <w:sz w:val="19"/>
          <w:szCs w:val="19"/>
        </w:rPr>
        <w:t>全</w:t>
      </w:r>
      <w:r>
        <w:rPr>
          <w:rFonts w:ascii="宋体" w:hAnsi="宋体" w:eastAsia="宋体" w:cs="宋体"/>
          <w:spacing w:val="-46"/>
          <w:sz w:val="19"/>
          <w:szCs w:val="19"/>
        </w:rPr>
        <w:t xml:space="preserve"> </w:t>
      </w:r>
      <w:r>
        <w:rPr>
          <w:rFonts w:ascii="宋体" w:hAnsi="宋体" w:eastAsia="宋体" w:cs="宋体"/>
          <w:spacing w:val="7"/>
          <w:sz w:val="19"/>
          <w:szCs w:val="19"/>
        </w:rPr>
        <w:t>国普通高校招收本专</w:t>
      </w:r>
      <w:r>
        <w:rPr>
          <w:rFonts w:ascii="宋体" w:hAnsi="宋体" w:eastAsia="宋体" w:cs="宋体"/>
          <w:spacing w:val="6"/>
          <w:sz w:val="19"/>
          <w:szCs w:val="19"/>
        </w:rPr>
        <w:t xml:space="preserve">科生 </w:t>
      </w:r>
      <w:r>
        <w:rPr>
          <w:rFonts w:ascii="Arial" w:hAnsi="Arial" w:eastAsia="Arial" w:cs="Arial"/>
          <w:spacing w:val="6"/>
          <w:sz w:val="19"/>
          <w:szCs w:val="19"/>
        </w:rPr>
        <w:t xml:space="preserve">108.36  </w:t>
      </w:r>
      <w:r>
        <w:rPr>
          <w:rFonts w:ascii="宋体" w:hAnsi="宋体" w:eastAsia="宋体" w:cs="宋体"/>
          <w:spacing w:val="6"/>
          <w:sz w:val="19"/>
          <w:szCs w:val="19"/>
        </w:rPr>
        <w:t>万人</w:t>
      </w:r>
      <w:r>
        <w:rPr>
          <w:rFonts w:ascii="微软雅黑" w:hAnsi="微软雅黑" w:eastAsia="微软雅黑" w:cs="微软雅黑"/>
          <w:spacing w:val="6"/>
          <w:position w:val="1"/>
          <w:sz w:val="19"/>
          <w:szCs w:val="19"/>
        </w:rPr>
        <w:t>，</w:t>
      </w:r>
      <w:r>
        <w:rPr>
          <w:rFonts w:ascii="宋体" w:hAnsi="宋体" w:eastAsia="宋体" w:cs="宋体"/>
          <w:spacing w:val="6"/>
          <w:sz w:val="19"/>
          <w:szCs w:val="19"/>
        </w:rPr>
        <w:t>到</w:t>
      </w:r>
      <w:r>
        <w:rPr>
          <w:rFonts w:ascii="宋体" w:hAnsi="宋体" w:eastAsia="宋体" w:cs="宋体"/>
          <w:spacing w:val="-11"/>
          <w:sz w:val="19"/>
          <w:szCs w:val="19"/>
        </w:rPr>
        <w:t xml:space="preserve"> </w:t>
      </w:r>
      <w:r>
        <w:rPr>
          <w:rFonts w:ascii="Arial" w:hAnsi="Arial" w:eastAsia="Arial" w:cs="Arial"/>
          <w:spacing w:val="6"/>
          <w:sz w:val="19"/>
          <w:szCs w:val="19"/>
        </w:rPr>
        <w:t>2019</w:t>
      </w:r>
      <w:r>
        <w:rPr>
          <w:rFonts w:ascii="宋体" w:hAnsi="宋体" w:eastAsia="宋体" w:cs="宋体"/>
          <w:spacing w:val="6"/>
          <w:sz w:val="19"/>
          <w:szCs w:val="19"/>
        </w:rPr>
        <w:t>年</w:t>
      </w:r>
      <w:r>
        <w:rPr>
          <w:rFonts w:ascii="微软雅黑" w:hAnsi="微软雅黑" w:eastAsia="微软雅黑" w:cs="微软雅黑"/>
          <w:spacing w:val="6"/>
          <w:position w:val="1"/>
          <w:sz w:val="19"/>
          <w:szCs w:val="19"/>
        </w:rPr>
        <w:t>，</w:t>
      </w:r>
      <w:r>
        <w:rPr>
          <w:rFonts w:ascii="宋体" w:hAnsi="宋体" w:eastAsia="宋体" w:cs="宋体"/>
          <w:spacing w:val="6"/>
          <w:sz w:val="19"/>
          <w:szCs w:val="19"/>
        </w:rPr>
        <w:t xml:space="preserve">普通高校招收本专科生 </w:t>
      </w:r>
      <w:r>
        <w:rPr>
          <w:rFonts w:ascii="Arial" w:hAnsi="Arial" w:eastAsia="Arial" w:cs="Arial"/>
          <w:spacing w:val="6"/>
          <w:sz w:val="19"/>
          <w:szCs w:val="19"/>
        </w:rPr>
        <w:t>914.90</w:t>
      </w:r>
      <w:r>
        <w:rPr>
          <w:rFonts w:ascii="宋体" w:hAnsi="宋体" w:eastAsia="宋体" w:cs="宋体"/>
          <w:spacing w:val="6"/>
          <w:sz w:val="19"/>
          <w:szCs w:val="19"/>
        </w:rPr>
        <w:t xml:space="preserve">万 </w:t>
      </w:r>
      <w:r>
        <w:rPr>
          <w:rFonts w:ascii="宋体" w:hAnsi="宋体" w:eastAsia="宋体" w:cs="宋体"/>
          <w:spacing w:val="7"/>
          <w:sz w:val="19"/>
          <w:szCs w:val="19"/>
        </w:rPr>
        <w:t>人</w:t>
      </w:r>
      <w:r>
        <w:rPr>
          <w:rFonts w:ascii="微软雅黑" w:hAnsi="微软雅黑" w:eastAsia="微软雅黑" w:cs="微软雅黑"/>
          <w:spacing w:val="7"/>
          <w:position w:val="1"/>
          <w:sz w:val="19"/>
          <w:szCs w:val="19"/>
        </w:rPr>
        <w:t>，</w:t>
      </w:r>
      <w:r>
        <w:rPr>
          <w:rFonts w:ascii="宋体" w:hAnsi="宋体" w:eastAsia="宋体" w:cs="宋体"/>
          <w:spacing w:val="7"/>
          <w:sz w:val="19"/>
          <w:szCs w:val="19"/>
        </w:rPr>
        <w:t>增长</w:t>
      </w:r>
      <w:r>
        <w:rPr>
          <w:rFonts w:ascii="Arial" w:hAnsi="Arial" w:eastAsia="Arial" w:cs="Arial"/>
          <w:spacing w:val="7"/>
          <w:sz w:val="19"/>
          <w:szCs w:val="19"/>
        </w:rPr>
        <w:t xml:space="preserve">744.31% </w:t>
      </w:r>
      <w:r>
        <w:rPr>
          <w:rFonts w:ascii="微软雅黑" w:hAnsi="微软雅黑" w:eastAsia="微软雅黑" w:cs="微软雅黑"/>
          <w:spacing w:val="7"/>
          <w:position w:val="1"/>
          <w:sz w:val="19"/>
          <w:szCs w:val="19"/>
        </w:rPr>
        <w:t xml:space="preserve">; </w:t>
      </w:r>
      <w:r>
        <w:rPr>
          <w:rFonts w:ascii="宋体" w:hAnsi="宋体" w:eastAsia="宋体" w:cs="宋体"/>
          <w:spacing w:val="7"/>
          <w:sz w:val="19"/>
          <w:szCs w:val="19"/>
        </w:rPr>
        <w:t>高等教育毛入学率从</w:t>
      </w:r>
      <w:r>
        <w:rPr>
          <w:rFonts w:ascii="宋体" w:hAnsi="宋体" w:eastAsia="宋体" w:cs="宋体"/>
          <w:spacing w:val="-18"/>
          <w:sz w:val="19"/>
          <w:szCs w:val="19"/>
        </w:rPr>
        <w:t xml:space="preserve"> </w:t>
      </w:r>
      <w:r>
        <w:rPr>
          <w:rFonts w:ascii="Arial" w:hAnsi="Arial" w:eastAsia="Arial" w:cs="Arial"/>
          <w:spacing w:val="7"/>
          <w:sz w:val="19"/>
          <w:szCs w:val="19"/>
        </w:rPr>
        <w:t>9.76%</w:t>
      </w:r>
      <w:r>
        <w:rPr>
          <w:rFonts w:ascii="宋体" w:hAnsi="宋体" w:eastAsia="宋体" w:cs="宋体"/>
          <w:spacing w:val="7"/>
          <w:sz w:val="19"/>
          <w:szCs w:val="19"/>
        </w:rPr>
        <w:t xml:space="preserve">增长 </w:t>
      </w:r>
      <w:r>
        <w:rPr>
          <w:rFonts w:ascii="宋体" w:hAnsi="宋体" w:eastAsia="宋体" w:cs="宋体"/>
          <w:spacing w:val="9"/>
          <w:position w:val="-1"/>
          <w:sz w:val="19"/>
          <w:szCs w:val="19"/>
        </w:rPr>
        <w:t>到</w:t>
      </w:r>
      <w:r>
        <w:rPr>
          <w:rFonts w:ascii="宋体" w:hAnsi="宋体" w:eastAsia="宋体" w:cs="宋体"/>
          <w:spacing w:val="-14"/>
          <w:position w:val="-1"/>
          <w:sz w:val="19"/>
          <w:szCs w:val="19"/>
        </w:rPr>
        <w:t xml:space="preserve"> </w:t>
      </w:r>
      <w:r>
        <w:rPr>
          <w:rFonts w:ascii="Arial" w:hAnsi="Arial" w:eastAsia="Arial" w:cs="Arial"/>
          <w:spacing w:val="9"/>
          <w:position w:val="-1"/>
          <w:sz w:val="19"/>
          <w:szCs w:val="19"/>
        </w:rPr>
        <w:t xml:space="preserve">51.60% </w:t>
      </w:r>
      <w:r>
        <w:rPr>
          <w:rFonts w:ascii="微软雅黑" w:hAnsi="微软雅黑" w:eastAsia="微软雅黑" w:cs="微软雅黑"/>
          <w:spacing w:val="9"/>
          <w:position w:val="1"/>
          <w:sz w:val="19"/>
          <w:szCs w:val="19"/>
        </w:rPr>
        <w:t xml:space="preserve">, </w:t>
      </w:r>
      <w:r>
        <w:rPr>
          <w:rFonts w:ascii="宋体" w:hAnsi="宋体" w:eastAsia="宋体" w:cs="宋体"/>
          <w:spacing w:val="9"/>
          <w:sz w:val="19"/>
          <w:szCs w:val="19"/>
        </w:rPr>
        <w:t>增幅达到</w:t>
      </w:r>
      <w:r>
        <w:rPr>
          <w:rFonts w:ascii="宋体" w:hAnsi="宋体" w:eastAsia="宋体" w:cs="宋体"/>
          <w:spacing w:val="-11"/>
          <w:sz w:val="19"/>
          <w:szCs w:val="19"/>
        </w:rPr>
        <w:t xml:space="preserve"> </w:t>
      </w:r>
      <w:r>
        <w:rPr>
          <w:rFonts w:ascii="Arial" w:hAnsi="Arial" w:eastAsia="Arial" w:cs="Arial"/>
          <w:spacing w:val="9"/>
          <w:sz w:val="19"/>
          <w:szCs w:val="19"/>
        </w:rPr>
        <w:t>41.84</w:t>
      </w:r>
      <w:r>
        <w:rPr>
          <w:rFonts w:ascii="宋体" w:hAnsi="宋体" w:eastAsia="宋体" w:cs="宋体"/>
          <w:spacing w:val="9"/>
          <w:sz w:val="19"/>
          <w:szCs w:val="19"/>
        </w:rPr>
        <w:t>个百分点</w:t>
      </w:r>
      <w:r>
        <w:rPr>
          <w:rFonts w:ascii="微软雅黑" w:hAnsi="微软雅黑" w:eastAsia="微软雅黑" w:cs="微软雅黑"/>
          <w:spacing w:val="9"/>
          <w:position w:val="1"/>
          <w:sz w:val="19"/>
          <w:szCs w:val="19"/>
        </w:rPr>
        <w:t>。</w:t>
      </w:r>
      <w:r>
        <w:rPr>
          <w:rFonts w:ascii="微软雅黑" w:hAnsi="微软雅黑" w:eastAsia="微软雅黑" w:cs="微软雅黑"/>
          <w:spacing w:val="9"/>
          <w:position w:val="8"/>
          <w:sz w:val="10"/>
          <w:szCs w:val="10"/>
        </w:rPr>
        <w:t>[</w:t>
      </w:r>
      <w:r>
        <w:rPr>
          <w:rFonts w:ascii="Arial" w:hAnsi="Arial" w:eastAsia="Arial" w:cs="Arial"/>
          <w:spacing w:val="9"/>
          <w:position w:val="8"/>
          <w:sz w:val="10"/>
          <w:szCs w:val="10"/>
        </w:rPr>
        <w:t>6</w:t>
      </w:r>
      <w:r>
        <w:rPr>
          <w:rFonts w:ascii="微软雅黑" w:hAnsi="微软雅黑" w:eastAsia="微软雅黑" w:cs="微软雅黑"/>
          <w:spacing w:val="9"/>
          <w:position w:val="8"/>
          <w:sz w:val="10"/>
          <w:szCs w:val="10"/>
        </w:rPr>
        <w:t xml:space="preserve">]  </w:t>
      </w:r>
      <w:r>
        <w:rPr>
          <w:rFonts w:ascii="宋体" w:hAnsi="宋体" w:eastAsia="宋体" w:cs="宋体"/>
          <w:spacing w:val="9"/>
          <w:sz w:val="19"/>
          <w:szCs w:val="19"/>
        </w:rPr>
        <w:t xml:space="preserve">如此大规 </w:t>
      </w:r>
      <w:r>
        <w:rPr>
          <w:rFonts w:ascii="宋体" w:hAnsi="宋体" w:eastAsia="宋体" w:cs="宋体"/>
          <w:spacing w:val="17"/>
          <w:sz w:val="19"/>
          <w:szCs w:val="19"/>
        </w:rPr>
        <w:t>模的增长幅度不仅对高教界产生了重大冲击</w:t>
      </w:r>
      <w:r>
        <w:rPr>
          <w:rFonts w:ascii="微软雅黑" w:hAnsi="微软雅黑" w:eastAsia="微软雅黑" w:cs="微软雅黑"/>
          <w:spacing w:val="17"/>
          <w:sz w:val="19"/>
          <w:szCs w:val="19"/>
        </w:rPr>
        <w:t>，</w:t>
      </w:r>
      <w:r>
        <w:rPr>
          <w:rFonts w:ascii="宋体" w:hAnsi="宋体" w:eastAsia="宋体" w:cs="宋体"/>
          <w:spacing w:val="17"/>
          <w:sz w:val="19"/>
          <w:szCs w:val="19"/>
        </w:rPr>
        <w:t>令人 们对传统的高等教育理念与实践产生怀疑</w:t>
      </w:r>
      <w:r>
        <w:rPr>
          <w:rFonts w:ascii="微软雅黑" w:hAnsi="微软雅黑" w:eastAsia="微软雅黑" w:cs="微软雅黑"/>
          <w:spacing w:val="17"/>
          <w:sz w:val="19"/>
          <w:szCs w:val="19"/>
        </w:rPr>
        <w:t>，</w:t>
      </w:r>
      <w:r>
        <w:rPr>
          <w:rFonts w:ascii="宋体" w:hAnsi="宋体" w:eastAsia="宋体" w:cs="宋体"/>
          <w:spacing w:val="17"/>
          <w:sz w:val="19"/>
          <w:szCs w:val="19"/>
        </w:rPr>
        <w:t>而且在 社会上引发了广泛的信任危机</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主要是对高等教育 </w:t>
      </w:r>
      <w:r>
        <w:rPr>
          <w:rFonts w:ascii="宋体" w:hAnsi="宋体" w:eastAsia="宋体" w:cs="宋体"/>
          <w:spacing w:val="14"/>
          <w:sz w:val="19"/>
          <w:szCs w:val="19"/>
        </w:rPr>
        <w:t>质量的疑虑加重</w:t>
      </w:r>
      <w:r>
        <w:rPr>
          <w:rFonts w:ascii="微软雅黑" w:hAnsi="微软雅黑" w:eastAsia="微软雅黑" w:cs="微软雅黑"/>
          <w:spacing w:val="14"/>
          <w:sz w:val="19"/>
          <w:szCs w:val="19"/>
        </w:rPr>
        <w:t>，</w:t>
      </w:r>
      <w:r>
        <w:rPr>
          <w:rFonts w:ascii="宋体" w:hAnsi="宋体" w:eastAsia="宋体" w:cs="宋体"/>
          <w:spacing w:val="14"/>
          <w:sz w:val="19"/>
          <w:szCs w:val="19"/>
        </w:rPr>
        <w:t>对高等教育发展持消极态度</w:t>
      </w:r>
      <w:r>
        <w:rPr>
          <w:rFonts w:ascii="宋体" w:hAnsi="宋体" w:eastAsia="宋体" w:cs="宋体"/>
          <w:spacing w:val="-33"/>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33"/>
          <w:sz w:val="19"/>
          <w:szCs w:val="19"/>
        </w:rPr>
        <w:t xml:space="preserve"> </w:t>
      </w:r>
      <w:r>
        <w:rPr>
          <w:rFonts w:ascii="宋体" w:hAnsi="宋体" w:eastAsia="宋体" w:cs="宋体"/>
          <w:spacing w:val="14"/>
          <w:sz w:val="19"/>
          <w:szCs w:val="19"/>
        </w:rPr>
        <w:t xml:space="preserve">高 </w:t>
      </w:r>
      <w:r>
        <w:rPr>
          <w:rFonts w:ascii="宋体" w:hAnsi="宋体" w:eastAsia="宋体" w:cs="宋体"/>
          <w:spacing w:val="17"/>
          <w:sz w:val="19"/>
          <w:szCs w:val="19"/>
        </w:rPr>
        <w:t>教界既需要自省</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以强大的定力和创新的精神维护 </w:t>
      </w:r>
      <w:r>
        <w:rPr>
          <w:rFonts w:ascii="宋体" w:hAnsi="宋体" w:eastAsia="宋体" w:cs="宋体"/>
          <w:spacing w:val="12"/>
          <w:sz w:val="19"/>
          <w:szCs w:val="19"/>
        </w:rPr>
        <w:t>高等教育发展局面</w:t>
      </w:r>
      <w:r>
        <w:rPr>
          <w:rFonts w:ascii="微软雅黑" w:hAnsi="微软雅黑" w:eastAsia="微软雅黑" w:cs="微软雅黑"/>
          <w:spacing w:val="12"/>
          <w:sz w:val="19"/>
          <w:szCs w:val="19"/>
        </w:rPr>
        <w:t>，</w:t>
      </w:r>
      <w:r>
        <w:rPr>
          <w:rFonts w:ascii="宋体" w:hAnsi="宋体" w:eastAsia="宋体" w:cs="宋体"/>
          <w:spacing w:val="12"/>
          <w:sz w:val="19"/>
          <w:szCs w:val="19"/>
        </w:rPr>
        <w:t>营造高等教育健康发展的态势</w:t>
      </w:r>
      <w:r>
        <w:rPr>
          <w:rFonts w:ascii="微软雅黑" w:hAnsi="微软雅黑" w:eastAsia="微软雅黑" w:cs="微软雅黑"/>
          <w:spacing w:val="12"/>
          <w:sz w:val="19"/>
          <w:szCs w:val="19"/>
        </w:rPr>
        <w:t>，</w:t>
      </w:r>
      <w:r>
        <w:rPr>
          <w:rFonts w:ascii="微软雅黑" w:hAnsi="微软雅黑" w:eastAsia="微软雅黑" w:cs="微软雅黑"/>
          <w:spacing w:val="16"/>
          <w:w w:val="101"/>
          <w:sz w:val="19"/>
          <w:szCs w:val="19"/>
        </w:rPr>
        <w:t xml:space="preserve"> </w:t>
      </w:r>
      <w:r>
        <w:rPr>
          <w:rFonts w:ascii="宋体" w:hAnsi="宋体" w:eastAsia="宋体" w:cs="宋体"/>
          <w:spacing w:val="18"/>
          <w:sz w:val="19"/>
          <w:szCs w:val="19"/>
        </w:rPr>
        <w:t>又需要自强</w:t>
      </w:r>
      <w:r>
        <w:rPr>
          <w:rFonts w:ascii="微软雅黑" w:hAnsi="微软雅黑" w:eastAsia="微软雅黑" w:cs="微软雅黑"/>
          <w:spacing w:val="18"/>
          <w:sz w:val="19"/>
          <w:szCs w:val="19"/>
        </w:rPr>
        <w:t>，</w:t>
      </w:r>
      <w:r>
        <w:rPr>
          <w:rFonts w:ascii="宋体" w:hAnsi="宋体" w:eastAsia="宋体" w:cs="宋体"/>
          <w:spacing w:val="18"/>
          <w:sz w:val="19"/>
          <w:szCs w:val="19"/>
        </w:rPr>
        <w:t>以积极的状态和正面的形象回应社会</w:t>
      </w:r>
    </w:p>
    <w:p>
      <w:pPr>
        <w:spacing w:line="228" w:lineRule="auto"/>
        <w:rPr>
          <w:rFonts w:ascii="宋体" w:hAnsi="宋体" w:eastAsia="宋体" w:cs="宋体"/>
          <w:sz w:val="19"/>
          <w:szCs w:val="19"/>
        </w:rPr>
        <w:sectPr>
          <w:type w:val="continuous"/>
          <w:pgSz w:w="11905" w:h="16836"/>
          <w:pgMar w:top="400" w:right="1066" w:bottom="547" w:left="407" w:header="0" w:footer="354" w:gutter="0"/>
          <w:cols w:equalWidth="0" w:num="2">
            <w:col w:w="5662" w:space="100"/>
            <w:col w:w="4669"/>
          </w:cols>
        </w:sectPr>
      </w:pPr>
    </w:p>
    <w:p>
      <w:pPr>
        <w:spacing w:line="426" w:lineRule="auto"/>
        <w:rPr>
          <w:rFonts w:ascii="Arial"/>
          <w:sz w:val="21"/>
        </w:rPr>
      </w:pPr>
    </w:p>
    <w:p>
      <w:pPr>
        <w:spacing w:before="52" w:line="220" w:lineRule="auto"/>
        <w:ind w:left="4292"/>
        <w:rPr>
          <w:rFonts w:ascii="宋体" w:hAnsi="宋体" w:eastAsia="宋体" w:cs="宋体"/>
          <w:sz w:val="16"/>
          <w:szCs w:val="16"/>
        </w:rPr>
      </w:pPr>
      <w:r>
        <w:rPr>
          <w:rFonts w:ascii="宋体" w:hAnsi="宋体" w:eastAsia="宋体" w:cs="宋体"/>
          <w:spacing w:val="18"/>
          <w:sz w:val="16"/>
          <w:szCs w:val="16"/>
        </w:rPr>
        <w:t>高等教育质量文化及其建设策略</w:t>
      </w:r>
    </w:p>
    <w:p>
      <w:pPr>
        <w:spacing w:before="23" w:line="159" w:lineRule="exact"/>
        <w:ind w:left="721"/>
      </w:pPr>
      <w:r>
        <w:rPr>
          <w:position w:val="-3"/>
        </w:rPr>
        <w:drawing>
          <wp:inline distT="0" distB="0" distL="0" distR="0">
            <wp:extent cx="6118860" cy="1009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6"/>
                    <a:stretch>
                      <a:fillRect/>
                    </a:stretch>
                  </pic:blipFill>
                  <pic:spPr>
                    <a:xfrm>
                      <a:off x="0" y="0"/>
                      <a:ext cx="6119371" cy="101421"/>
                    </a:xfrm>
                    <a:prstGeom prst="rect">
                      <a:avLst/>
                    </a:prstGeom>
                  </pic:spPr>
                </pic:pic>
              </a:graphicData>
            </a:graphic>
          </wp:inline>
        </w:drawing>
      </w:r>
    </w:p>
    <w:p>
      <w:pPr>
        <w:spacing w:line="114" w:lineRule="exact"/>
      </w:pPr>
    </w:p>
    <w:p>
      <w:pPr>
        <w:spacing w:line="114" w:lineRule="exact"/>
        <w:sectPr>
          <w:footerReference r:id="rId27" w:type="default"/>
          <w:pgSz w:w="11905" w:h="16836"/>
          <w:pgMar w:top="400" w:right="1066" w:bottom="547" w:left="407" w:header="0" w:footer="354" w:gutter="0"/>
          <w:cols w:equalWidth="0" w:num="1">
            <w:col w:w="10430"/>
          </w:cols>
        </w:sectPr>
      </w:pPr>
    </w:p>
    <w:p>
      <w:pPr>
        <w:spacing w:before="38" w:line="183" w:lineRule="auto"/>
        <w:ind w:left="733"/>
        <w:rPr>
          <w:rFonts w:ascii="微软雅黑" w:hAnsi="微软雅黑" w:eastAsia="微软雅黑" w:cs="微软雅黑"/>
          <w:sz w:val="19"/>
          <w:szCs w:val="19"/>
        </w:rPr>
      </w:pPr>
      <w:r>
        <w:rPr>
          <w:rFonts w:ascii="宋体" w:hAnsi="宋体" w:eastAsia="宋体" w:cs="宋体"/>
          <w:spacing w:val="12"/>
          <w:sz w:val="19"/>
          <w:szCs w:val="19"/>
        </w:rPr>
        <w:t>各界关切</w:t>
      </w:r>
      <w:r>
        <w:rPr>
          <w:rFonts w:ascii="微软雅黑" w:hAnsi="微软雅黑" w:eastAsia="微软雅黑" w:cs="微软雅黑"/>
          <w:spacing w:val="12"/>
          <w:sz w:val="19"/>
          <w:szCs w:val="19"/>
        </w:rPr>
        <w:t>，</w:t>
      </w:r>
      <w:r>
        <w:rPr>
          <w:rFonts w:ascii="宋体" w:hAnsi="宋体" w:eastAsia="宋体" w:cs="宋体"/>
          <w:spacing w:val="12"/>
          <w:sz w:val="19"/>
          <w:szCs w:val="19"/>
        </w:rPr>
        <w:t>呵护高等教育的社会声誉</w:t>
      </w:r>
      <w:r>
        <w:rPr>
          <w:rFonts w:ascii="微软雅黑" w:hAnsi="微软雅黑" w:eastAsia="微软雅黑" w:cs="微软雅黑"/>
          <w:spacing w:val="12"/>
          <w:sz w:val="19"/>
          <w:szCs w:val="19"/>
        </w:rPr>
        <w:t>。</w:t>
      </w:r>
    </w:p>
    <w:p>
      <w:pPr>
        <w:spacing w:before="72" w:line="228" w:lineRule="auto"/>
        <w:ind w:left="730" w:right="169" w:firstLine="422"/>
        <w:rPr>
          <w:rFonts w:ascii="微软雅黑" w:hAnsi="微软雅黑" w:eastAsia="微软雅黑" w:cs="微软雅黑"/>
          <w:sz w:val="19"/>
          <w:szCs w:val="19"/>
        </w:rPr>
      </w:pPr>
      <w:r>
        <w:rPr>
          <w:rFonts w:ascii="宋体" w:hAnsi="宋体" w:eastAsia="宋体" w:cs="宋体"/>
          <w:spacing w:val="17"/>
          <w:sz w:val="19"/>
          <w:szCs w:val="19"/>
        </w:rPr>
        <w:t>质量文化建设是高教界主动作为</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回应社会关 </w:t>
      </w:r>
      <w:r>
        <w:rPr>
          <w:rFonts w:ascii="宋体" w:hAnsi="宋体" w:eastAsia="宋体" w:cs="宋体"/>
          <w:spacing w:val="15"/>
          <w:sz w:val="19"/>
          <w:szCs w:val="19"/>
        </w:rPr>
        <w:t>切的有效手段</w:t>
      </w:r>
      <w:r>
        <w:rPr>
          <w:rFonts w:ascii="宋体" w:hAnsi="宋体" w:eastAsia="宋体" w:cs="宋体"/>
          <w:spacing w:val="-50"/>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1"/>
          <w:sz w:val="19"/>
          <w:szCs w:val="19"/>
        </w:rPr>
        <w:t xml:space="preserve"> </w:t>
      </w:r>
      <w:r>
        <w:rPr>
          <w:rFonts w:ascii="宋体" w:hAnsi="宋体" w:eastAsia="宋体" w:cs="宋体"/>
          <w:spacing w:val="15"/>
          <w:sz w:val="19"/>
          <w:szCs w:val="19"/>
        </w:rPr>
        <w:t>只有适应高等教育发展新要求</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创 </w:t>
      </w:r>
      <w:r>
        <w:rPr>
          <w:rFonts w:ascii="宋体" w:hAnsi="宋体" w:eastAsia="宋体" w:cs="宋体"/>
          <w:spacing w:val="18"/>
          <w:sz w:val="19"/>
          <w:szCs w:val="19"/>
        </w:rPr>
        <w:t>新发展质量文化</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为大众化和普及化高等教育质量 </w:t>
      </w:r>
      <w:r>
        <w:rPr>
          <w:rFonts w:ascii="宋体" w:hAnsi="宋体" w:eastAsia="宋体" w:cs="宋体"/>
          <w:spacing w:val="9"/>
          <w:sz w:val="19"/>
          <w:szCs w:val="19"/>
        </w:rPr>
        <w:t>奠基</w:t>
      </w:r>
      <w:r>
        <w:rPr>
          <w:rFonts w:ascii="微软雅黑" w:hAnsi="微软雅黑" w:eastAsia="微软雅黑" w:cs="微软雅黑"/>
          <w:spacing w:val="9"/>
          <w:sz w:val="19"/>
          <w:szCs w:val="19"/>
        </w:rPr>
        <w:t>，</w:t>
      </w:r>
      <w:r>
        <w:rPr>
          <w:rFonts w:ascii="宋体" w:hAnsi="宋体" w:eastAsia="宋体" w:cs="宋体"/>
          <w:spacing w:val="9"/>
          <w:sz w:val="19"/>
          <w:szCs w:val="19"/>
        </w:rPr>
        <w:t>才能化解社会各界的质疑</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树立良好的社会声 </w:t>
      </w:r>
      <w:r>
        <w:rPr>
          <w:rFonts w:ascii="宋体" w:hAnsi="宋体" w:eastAsia="宋体" w:cs="宋体"/>
          <w:spacing w:val="14"/>
          <w:sz w:val="19"/>
          <w:szCs w:val="19"/>
        </w:rPr>
        <w:t>誉</w:t>
      </w:r>
      <w:r>
        <w:rPr>
          <w:rFonts w:ascii="宋体" w:hAnsi="宋体" w:eastAsia="宋体" w:cs="宋体"/>
          <w:spacing w:val="-37"/>
          <w:sz w:val="19"/>
          <w:szCs w:val="19"/>
        </w:rPr>
        <w:t xml:space="preserve"> </w:t>
      </w:r>
      <w:r>
        <w:rPr>
          <w:rFonts w:ascii="微软雅黑" w:hAnsi="微软雅黑" w:eastAsia="微软雅黑" w:cs="微软雅黑"/>
          <w:spacing w:val="14"/>
          <w:position w:val="1"/>
          <w:sz w:val="19"/>
          <w:szCs w:val="19"/>
        </w:rPr>
        <w:t>。</w:t>
      </w:r>
      <w:r>
        <w:rPr>
          <w:rFonts w:ascii="Arial" w:hAnsi="Arial" w:eastAsia="Arial" w:cs="Arial"/>
          <w:spacing w:val="14"/>
          <w:sz w:val="19"/>
          <w:szCs w:val="19"/>
        </w:rPr>
        <w:t>21</w:t>
      </w:r>
      <w:r>
        <w:rPr>
          <w:rFonts w:ascii="宋体" w:hAnsi="宋体" w:eastAsia="宋体" w:cs="宋体"/>
          <w:spacing w:val="14"/>
          <w:sz w:val="19"/>
          <w:szCs w:val="19"/>
        </w:rPr>
        <w:t>世纪以来</w:t>
      </w:r>
      <w:r>
        <w:rPr>
          <w:rFonts w:ascii="微软雅黑" w:hAnsi="微软雅黑" w:eastAsia="微软雅黑" w:cs="微软雅黑"/>
          <w:spacing w:val="14"/>
          <w:position w:val="1"/>
          <w:sz w:val="19"/>
          <w:szCs w:val="19"/>
        </w:rPr>
        <w:t>，</w:t>
      </w:r>
      <w:r>
        <w:rPr>
          <w:rFonts w:ascii="宋体" w:hAnsi="宋体" w:eastAsia="宋体" w:cs="宋体"/>
          <w:spacing w:val="14"/>
          <w:sz w:val="19"/>
          <w:szCs w:val="19"/>
        </w:rPr>
        <w:t xml:space="preserve">我国高教界一方面加强了对大众 </w:t>
      </w:r>
      <w:r>
        <w:rPr>
          <w:rFonts w:ascii="宋体" w:hAnsi="宋体" w:eastAsia="宋体" w:cs="宋体"/>
          <w:spacing w:val="13"/>
          <w:sz w:val="19"/>
          <w:szCs w:val="19"/>
        </w:rPr>
        <w:t>化和普及化高等教育发展研究</w:t>
      </w:r>
      <w:r>
        <w:rPr>
          <w:rFonts w:ascii="微软雅黑" w:hAnsi="微软雅黑" w:eastAsia="微软雅黑" w:cs="微软雅黑"/>
          <w:spacing w:val="13"/>
          <w:sz w:val="19"/>
          <w:szCs w:val="19"/>
        </w:rPr>
        <w:t>，</w:t>
      </w:r>
      <w:r>
        <w:rPr>
          <w:rFonts w:ascii="宋体" w:hAnsi="宋体" w:eastAsia="宋体" w:cs="宋体"/>
          <w:spacing w:val="13"/>
          <w:sz w:val="19"/>
          <w:szCs w:val="19"/>
        </w:rPr>
        <w:t>提出了多元质量观</w:t>
      </w:r>
      <w:r>
        <w:rPr>
          <w:rFonts w:ascii="微软雅黑" w:hAnsi="微软雅黑" w:eastAsia="微软雅黑" w:cs="微软雅黑"/>
          <w:spacing w:val="13"/>
          <w:sz w:val="19"/>
          <w:szCs w:val="19"/>
        </w:rPr>
        <w:t>、</w:t>
      </w:r>
      <w:r>
        <w:rPr>
          <w:rFonts w:ascii="微软雅黑" w:hAnsi="微软雅黑" w:eastAsia="微软雅黑" w:cs="微软雅黑"/>
          <w:spacing w:val="1"/>
          <w:sz w:val="19"/>
          <w:szCs w:val="19"/>
        </w:rPr>
        <w:t xml:space="preserve"> </w:t>
      </w:r>
      <w:r>
        <w:rPr>
          <w:rFonts w:ascii="宋体" w:hAnsi="宋体" w:eastAsia="宋体" w:cs="宋体"/>
          <w:spacing w:val="18"/>
          <w:sz w:val="19"/>
          <w:szCs w:val="19"/>
        </w:rPr>
        <w:t>应用型高等教育理念和高等职业技术教育思想</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另 </w:t>
      </w:r>
      <w:r>
        <w:rPr>
          <w:rFonts w:ascii="宋体" w:hAnsi="宋体" w:eastAsia="宋体" w:cs="宋体"/>
          <w:spacing w:val="9"/>
          <w:sz w:val="19"/>
          <w:szCs w:val="19"/>
        </w:rPr>
        <w:t>一方面</w:t>
      </w:r>
      <w:r>
        <w:rPr>
          <w:rFonts w:ascii="微软雅黑" w:hAnsi="微软雅黑" w:eastAsia="微软雅黑" w:cs="微软雅黑"/>
          <w:spacing w:val="9"/>
          <w:sz w:val="19"/>
          <w:szCs w:val="19"/>
        </w:rPr>
        <w:t>，</w:t>
      </w:r>
      <w:r>
        <w:rPr>
          <w:rFonts w:ascii="宋体" w:hAnsi="宋体" w:eastAsia="宋体" w:cs="宋体"/>
          <w:spacing w:val="9"/>
          <w:sz w:val="19"/>
          <w:szCs w:val="19"/>
        </w:rPr>
        <w:t>加强了高职院校建设和应用型高校建设</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以 </w:t>
      </w:r>
      <w:r>
        <w:rPr>
          <w:rFonts w:ascii="宋体" w:hAnsi="宋体" w:eastAsia="宋体" w:cs="宋体"/>
          <w:spacing w:val="18"/>
          <w:sz w:val="19"/>
          <w:szCs w:val="19"/>
        </w:rPr>
        <w:t>社会需求为导向</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引入技能型人才和应用型人才培 </w:t>
      </w:r>
      <w:r>
        <w:rPr>
          <w:rFonts w:ascii="宋体" w:hAnsi="宋体" w:eastAsia="宋体" w:cs="宋体"/>
          <w:spacing w:val="15"/>
          <w:sz w:val="19"/>
          <w:szCs w:val="19"/>
        </w:rPr>
        <w:t>养模式</w:t>
      </w:r>
      <w:r>
        <w:rPr>
          <w:rFonts w:ascii="微软雅黑" w:hAnsi="微软雅黑" w:eastAsia="微软雅黑" w:cs="微软雅黑"/>
          <w:spacing w:val="15"/>
          <w:sz w:val="19"/>
          <w:szCs w:val="19"/>
        </w:rPr>
        <w:t>，</w:t>
      </w:r>
      <w:r>
        <w:rPr>
          <w:rFonts w:ascii="宋体" w:hAnsi="宋体" w:eastAsia="宋体" w:cs="宋体"/>
          <w:spacing w:val="15"/>
          <w:sz w:val="19"/>
          <w:szCs w:val="19"/>
        </w:rPr>
        <w:t>建构多元化人才培养体系</w:t>
      </w:r>
      <w:r>
        <w:rPr>
          <w:rFonts w:ascii="宋体" w:hAnsi="宋体" w:eastAsia="宋体" w:cs="宋体"/>
          <w:spacing w:val="-46"/>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15"/>
          <w:sz w:val="19"/>
          <w:szCs w:val="19"/>
        </w:rPr>
        <w:t xml:space="preserve">这些建设工作 </w:t>
      </w:r>
      <w:r>
        <w:rPr>
          <w:rFonts w:ascii="宋体" w:hAnsi="宋体" w:eastAsia="宋体" w:cs="宋体"/>
          <w:spacing w:val="18"/>
          <w:sz w:val="19"/>
          <w:szCs w:val="19"/>
        </w:rPr>
        <w:t>的推进</w:t>
      </w:r>
      <w:r>
        <w:rPr>
          <w:rFonts w:ascii="微软雅黑" w:hAnsi="微软雅黑" w:eastAsia="微软雅黑" w:cs="微软雅黑"/>
          <w:spacing w:val="18"/>
          <w:sz w:val="19"/>
          <w:szCs w:val="19"/>
        </w:rPr>
        <w:t>，</w:t>
      </w:r>
      <w:r>
        <w:rPr>
          <w:rFonts w:ascii="宋体" w:hAnsi="宋体" w:eastAsia="宋体" w:cs="宋体"/>
          <w:spacing w:val="18"/>
          <w:sz w:val="19"/>
          <w:szCs w:val="19"/>
        </w:rPr>
        <w:t>既使我国高等教育发展实现了向多元化转 型</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又在文化意义上创新了高等教育价值观以及与 </w:t>
      </w:r>
      <w:r>
        <w:rPr>
          <w:rFonts w:ascii="宋体" w:hAnsi="宋体" w:eastAsia="宋体" w:cs="宋体"/>
          <w:spacing w:val="20"/>
          <w:sz w:val="19"/>
          <w:szCs w:val="19"/>
        </w:rPr>
        <w:t>之相适应</w:t>
      </w:r>
      <w:r>
        <w:rPr>
          <w:rFonts w:ascii="宋体" w:hAnsi="宋体" w:eastAsia="宋体" w:cs="宋体"/>
          <w:spacing w:val="-35"/>
          <w:sz w:val="19"/>
          <w:szCs w:val="19"/>
        </w:rPr>
        <w:t xml:space="preserve"> </w:t>
      </w:r>
      <w:r>
        <w:rPr>
          <w:rFonts w:ascii="宋体" w:hAnsi="宋体" w:eastAsia="宋体" w:cs="宋体"/>
          <w:spacing w:val="20"/>
          <w:sz w:val="19"/>
          <w:szCs w:val="19"/>
        </w:rPr>
        <w:t>的体制机制</w:t>
      </w:r>
      <w:r>
        <w:rPr>
          <w:rFonts w:ascii="宋体" w:hAnsi="宋体" w:eastAsia="宋体" w:cs="宋体"/>
          <w:spacing w:val="-55"/>
          <w:sz w:val="19"/>
          <w:szCs w:val="19"/>
        </w:rPr>
        <w:t xml:space="preserve"> </w:t>
      </w:r>
      <w:r>
        <w:rPr>
          <w:rFonts w:ascii="宋体" w:hAnsi="宋体" w:eastAsia="宋体" w:cs="宋体"/>
          <w:spacing w:val="20"/>
          <w:sz w:val="19"/>
          <w:szCs w:val="19"/>
        </w:rPr>
        <w:t>和环境条件</w:t>
      </w:r>
      <w:r>
        <w:rPr>
          <w:rFonts w:ascii="宋体" w:hAnsi="宋体" w:eastAsia="宋体" w:cs="宋体"/>
          <w:spacing w:val="-51"/>
          <w:sz w:val="19"/>
          <w:szCs w:val="19"/>
        </w:rPr>
        <w:t xml:space="preserve"> </w:t>
      </w:r>
      <w:r>
        <w:rPr>
          <w:rFonts w:ascii="微软雅黑" w:hAnsi="微软雅黑" w:eastAsia="微软雅黑" w:cs="微软雅黑"/>
          <w:spacing w:val="20"/>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20"/>
          <w:sz w:val="19"/>
          <w:szCs w:val="19"/>
        </w:rPr>
        <w:t xml:space="preserve">从一定意义上 </w:t>
      </w:r>
      <w:r>
        <w:rPr>
          <w:rFonts w:ascii="宋体" w:hAnsi="宋体" w:eastAsia="宋体" w:cs="宋体"/>
          <w:spacing w:val="18"/>
          <w:sz w:val="19"/>
          <w:szCs w:val="19"/>
        </w:rPr>
        <w:t>讲</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可以说是社会关切倒逼高教界开展了质量文化 </w:t>
      </w:r>
      <w:r>
        <w:rPr>
          <w:rFonts w:ascii="宋体" w:hAnsi="宋体" w:eastAsia="宋体" w:cs="宋体"/>
          <w:spacing w:val="17"/>
          <w:sz w:val="19"/>
          <w:szCs w:val="19"/>
        </w:rPr>
        <w:t>建设</w:t>
      </w:r>
      <w:r>
        <w:rPr>
          <w:rFonts w:ascii="微软雅黑" w:hAnsi="微软雅黑" w:eastAsia="微软雅黑" w:cs="微软雅黑"/>
          <w:spacing w:val="17"/>
          <w:sz w:val="19"/>
          <w:szCs w:val="19"/>
        </w:rPr>
        <w:t>。</w:t>
      </w:r>
    </w:p>
    <w:p>
      <w:pPr>
        <w:spacing w:before="64" w:line="209" w:lineRule="auto"/>
        <w:ind w:left="734" w:right="248" w:firstLine="434"/>
        <w:rPr>
          <w:rFonts w:ascii="微软雅黑" w:hAnsi="微软雅黑" w:eastAsia="微软雅黑" w:cs="微软雅黑"/>
          <w:sz w:val="19"/>
          <w:szCs w:val="19"/>
        </w:rPr>
      </w:pPr>
      <w:r>
        <w:rPr>
          <w:rFonts w:ascii="微软雅黑" w:hAnsi="微软雅黑" w:eastAsia="微软雅黑" w:cs="微软雅黑"/>
          <w:spacing w:val="21"/>
          <w:sz w:val="19"/>
          <w:szCs w:val="19"/>
        </w:rPr>
        <w:t>(</w:t>
      </w:r>
      <w:r>
        <w:rPr>
          <w:rFonts w:ascii="Arial" w:hAnsi="Arial" w:eastAsia="Arial" w:cs="Arial"/>
          <w:spacing w:val="21"/>
          <w:sz w:val="19"/>
          <w:szCs w:val="19"/>
        </w:rPr>
        <w:t>2</w:t>
      </w:r>
      <w:r>
        <w:rPr>
          <w:rFonts w:ascii="微软雅黑" w:hAnsi="微软雅黑" w:eastAsia="微软雅黑" w:cs="微软雅黑"/>
          <w:spacing w:val="21"/>
          <w:sz w:val="19"/>
          <w:szCs w:val="19"/>
        </w:rPr>
        <w:t>)</w:t>
      </w:r>
      <w:r>
        <w:rPr>
          <w:rFonts w:ascii="微软雅黑" w:hAnsi="微软雅黑" w:eastAsia="微软雅黑" w:cs="微软雅黑"/>
          <w:spacing w:val="3"/>
          <w:sz w:val="19"/>
          <w:szCs w:val="19"/>
        </w:rPr>
        <w:t xml:space="preserve"> </w:t>
      </w:r>
      <w:r>
        <w:rPr>
          <w:rFonts w:ascii="宋体" w:hAnsi="宋体" w:eastAsia="宋体" w:cs="宋体"/>
          <w:spacing w:val="21"/>
          <w:sz w:val="19"/>
          <w:szCs w:val="19"/>
        </w:rPr>
        <w:t>质量文化建设是高校满足人民群众高等教</w:t>
      </w:r>
      <w:r>
        <w:rPr>
          <w:rFonts w:ascii="宋体" w:hAnsi="宋体" w:eastAsia="宋体" w:cs="宋体"/>
          <w:sz w:val="19"/>
          <w:szCs w:val="19"/>
        </w:rPr>
        <w:t xml:space="preserve"> </w:t>
      </w:r>
      <w:r>
        <w:rPr>
          <w:rFonts w:ascii="宋体" w:hAnsi="宋体" w:eastAsia="宋体" w:cs="宋体"/>
          <w:spacing w:val="18"/>
          <w:sz w:val="19"/>
          <w:szCs w:val="19"/>
        </w:rPr>
        <w:t>育需求的责任担当</w:t>
      </w:r>
      <w:r>
        <w:rPr>
          <w:rFonts w:ascii="微软雅黑" w:hAnsi="微软雅黑" w:eastAsia="微软雅黑" w:cs="微软雅黑"/>
          <w:spacing w:val="18"/>
          <w:sz w:val="19"/>
          <w:szCs w:val="19"/>
        </w:rPr>
        <w:t>。</w:t>
      </w:r>
    </w:p>
    <w:p>
      <w:pPr>
        <w:spacing w:before="66" w:line="232" w:lineRule="auto"/>
        <w:ind w:left="731" w:right="177" w:firstLine="425"/>
        <w:rPr>
          <w:rFonts w:ascii="微软雅黑" w:hAnsi="微软雅黑" w:eastAsia="微软雅黑" w:cs="微软雅黑"/>
          <w:sz w:val="19"/>
          <w:szCs w:val="19"/>
        </w:rPr>
      </w:pPr>
      <w:r>
        <w:rPr>
          <w:rFonts w:ascii="宋体" w:hAnsi="宋体" w:eastAsia="宋体" w:cs="宋体"/>
          <w:spacing w:val="27"/>
          <w:sz w:val="19"/>
          <w:szCs w:val="19"/>
        </w:rPr>
        <w:t xml:space="preserve">大众化和普及化发展不只是为了让民众有学 </w:t>
      </w:r>
      <w:r>
        <w:rPr>
          <w:rFonts w:ascii="宋体" w:hAnsi="宋体" w:eastAsia="宋体" w:cs="宋体"/>
          <w:spacing w:val="7"/>
          <w:sz w:val="19"/>
          <w:szCs w:val="19"/>
        </w:rPr>
        <w:t>上</w:t>
      </w:r>
      <w:r>
        <w:rPr>
          <w:rFonts w:ascii="微软雅黑" w:hAnsi="微软雅黑" w:eastAsia="微软雅黑" w:cs="微软雅黑"/>
          <w:spacing w:val="7"/>
          <w:sz w:val="19"/>
          <w:szCs w:val="19"/>
        </w:rPr>
        <w:t>，</w:t>
      </w:r>
      <w:r>
        <w:rPr>
          <w:rFonts w:ascii="宋体" w:hAnsi="宋体" w:eastAsia="宋体" w:cs="宋体"/>
          <w:spacing w:val="7"/>
          <w:sz w:val="19"/>
          <w:szCs w:val="19"/>
        </w:rPr>
        <w:t>还要让民众上好学</w:t>
      </w:r>
      <w:r>
        <w:rPr>
          <w:rFonts w:ascii="微软雅黑" w:hAnsi="微软雅黑" w:eastAsia="微软雅黑" w:cs="微软雅黑"/>
          <w:spacing w:val="7"/>
          <w:sz w:val="19"/>
          <w:szCs w:val="19"/>
        </w:rPr>
        <w:t>，</w:t>
      </w:r>
      <w:r>
        <w:rPr>
          <w:rFonts w:ascii="宋体" w:hAnsi="宋体" w:eastAsia="宋体" w:cs="宋体"/>
          <w:spacing w:val="7"/>
          <w:sz w:val="19"/>
          <w:szCs w:val="19"/>
        </w:rPr>
        <w:t>接受高质量的高等教育</w:t>
      </w:r>
      <w:r>
        <w:rPr>
          <w:rFonts w:ascii="宋体" w:hAnsi="宋体" w:eastAsia="宋体" w:cs="宋体"/>
          <w:spacing w:val="-46"/>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高 </w:t>
      </w:r>
      <w:r>
        <w:rPr>
          <w:rFonts w:ascii="宋体" w:hAnsi="宋体" w:eastAsia="宋体" w:cs="宋体"/>
          <w:spacing w:val="12"/>
          <w:sz w:val="19"/>
          <w:szCs w:val="19"/>
        </w:rPr>
        <w:t>校发展有自己的生命周期</w:t>
      </w:r>
      <w:r>
        <w:rPr>
          <w:rFonts w:ascii="微软雅黑" w:hAnsi="微软雅黑" w:eastAsia="微软雅黑" w:cs="微软雅黑"/>
          <w:spacing w:val="12"/>
          <w:sz w:val="19"/>
          <w:szCs w:val="19"/>
        </w:rPr>
        <w:t>，</w:t>
      </w:r>
      <w:r>
        <w:rPr>
          <w:rFonts w:ascii="宋体" w:hAnsi="宋体" w:eastAsia="宋体" w:cs="宋体"/>
          <w:spacing w:val="12"/>
          <w:sz w:val="19"/>
          <w:szCs w:val="19"/>
        </w:rPr>
        <w:t>在生命周期的不同阶段</w:t>
      </w:r>
      <w:r>
        <w:rPr>
          <w:rFonts w:ascii="微软雅黑" w:hAnsi="微软雅黑" w:eastAsia="微软雅黑" w:cs="微软雅黑"/>
          <w:spacing w:val="12"/>
          <w:sz w:val="19"/>
          <w:szCs w:val="19"/>
        </w:rPr>
        <w:t>，</w:t>
      </w:r>
      <w:r>
        <w:rPr>
          <w:rFonts w:ascii="微软雅黑" w:hAnsi="微软雅黑" w:eastAsia="微软雅黑" w:cs="微软雅黑"/>
          <w:spacing w:val="16"/>
          <w:sz w:val="19"/>
          <w:szCs w:val="19"/>
        </w:rPr>
        <w:t xml:space="preserve"> </w:t>
      </w:r>
      <w:r>
        <w:rPr>
          <w:rFonts w:ascii="宋体" w:hAnsi="宋体" w:eastAsia="宋体" w:cs="宋体"/>
          <w:spacing w:val="-2"/>
          <w:sz w:val="19"/>
          <w:szCs w:val="19"/>
        </w:rPr>
        <w:t>高校办</w:t>
      </w:r>
      <w:r>
        <w:rPr>
          <w:rFonts w:ascii="宋体" w:hAnsi="宋体" w:eastAsia="宋体" w:cs="宋体"/>
          <w:spacing w:val="-54"/>
          <w:sz w:val="19"/>
          <w:szCs w:val="19"/>
        </w:rPr>
        <w:t xml:space="preserve"> </w:t>
      </w:r>
      <w:r>
        <w:rPr>
          <w:rFonts w:ascii="宋体" w:hAnsi="宋体" w:eastAsia="宋体" w:cs="宋体"/>
          <w:spacing w:val="-2"/>
          <w:sz w:val="19"/>
          <w:szCs w:val="19"/>
        </w:rPr>
        <w:t>学</w:t>
      </w:r>
      <w:r>
        <w:rPr>
          <w:rFonts w:ascii="宋体" w:hAnsi="宋体" w:eastAsia="宋体" w:cs="宋体"/>
          <w:spacing w:val="-50"/>
          <w:sz w:val="19"/>
          <w:szCs w:val="19"/>
        </w:rPr>
        <w:t xml:space="preserve"> </w:t>
      </w:r>
      <w:r>
        <w:rPr>
          <w:rFonts w:ascii="宋体" w:hAnsi="宋体" w:eastAsia="宋体" w:cs="宋体"/>
          <w:spacing w:val="-2"/>
          <w:sz w:val="19"/>
          <w:szCs w:val="19"/>
        </w:rPr>
        <w:t>和</w:t>
      </w:r>
      <w:r>
        <w:rPr>
          <w:rFonts w:ascii="宋体" w:hAnsi="宋体" w:eastAsia="宋体" w:cs="宋体"/>
          <w:spacing w:val="-55"/>
          <w:sz w:val="19"/>
          <w:szCs w:val="19"/>
        </w:rPr>
        <w:t xml:space="preserve"> </w:t>
      </w:r>
      <w:r>
        <w:rPr>
          <w:rFonts w:ascii="宋体" w:hAnsi="宋体" w:eastAsia="宋体" w:cs="宋体"/>
          <w:spacing w:val="-2"/>
          <w:sz w:val="19"/>
          <w:szCs w:val="19"/>
        </w:rPr>
        <w:t>发</w:t>
      </w:r>
      <w:r>
        <w:rPr>
          <w:rFonts w:ascii="宋体" w:hAnsi="宋体" w:eastAsia="宋体" w:cs="宋体"/>
          <w:spacing w:val="-56"/>
          <w:sz w:val="19"/>
          <w:szCs w:val="19"/>
        </w:rPr>
        <w:t xml:space="preserve"> </w:t>
      </w:r>
      <w:r>
        <w:rPr>
          <w:rFonts w:ascii="宋体" w:hAnsi="宋体" w:eastAsia="宋体" w:cs="宋体"/>
          <w:spacing w:val="-2"/>
          <w:sz w:val="19"/>
          <w:szCs w:val="19"/>
        </w:rPr>
        <w:t>展</w:t>
      </w:r>
      <w:r>
        <w:rPr>
          <w:rFonts w:ascii="宋体" w:hAnsi="宋体" w:eastAsia="宋体" w:cs="宋体"/>
          <w:spacing w:val="-41"/>
          <w:sz w:val="19"/>
          <w:szCs w:val="19"/>
        </w:rPr>
        <w:t xml:space="preserve"> </w:t>
      </w:r>
      <w:r>
        <w:rPr>
          <w:rFonts w:ascii="宋体" w:hAnsi="宋体" w:eastAsia="宋体" w:cs="宋体"/>
          <w:spacing w:val="-2"/>
          <w:sz w:val="19"/>
          <w:szCs w:val="19"/>
        </w:rPr>
        <w:t>的</w:t>
      </w:r>
      <w:r>
        <w:rPr>
          <w:rFonts w:ascii="宋体" w:hAnsi="宋体" w:eastAsia="宋体" w:cs="宋体"/>
          <w:spacing w:val="-55"/>
          <w:sz w:val="19"/>
          <w:szCs w:val="19"/>
        </w:rPr>
        <w:t xml:space="preserve"> </w:t>
      </w:r>
      <w:r>
        <w:rPr>
          <w:rFonts w:ascii="宋体" w:hAnsi="宋体" w:eastAsia="宋体" w:cs="宋体"/>
          <w:spacing w:val="-2"/>
          <w:sz w:val="19"/>
          <w:szCs w:val="19"/>
        </w:rPr>
        <w:t>任</w:t>
      </w:r>
      <w:r>
        <w:rPr>
          <w:rFonts w:ascii="宋体" w:hAnsi="宋体" w:eastAsia="宋体" w:cs="宋体"/>
          <w:spacing w:val="-56"/>
          <w:sz w:val="19"/>
          <w:szCs w:val="19"/>
        </w:rPr>
        <w:t xml:space="preserve"> </w:t>
      </w:r>
      <w:r>
        <w:rPr>
          <w:rFonts w:ascii="宋体" w:hAnsi="宋体" w:eastAsia="宋体" w:cs="宋体"/>
          <w:spacing w:val="-2"/>
          <w:sz w:val="19"/>
          <w:szCs w:val="19"/>
        </w:rPr>
        <w:t>务</w:t>
      </w:r>
      <w:r>
        <w:rPr>
          <w:rFonts w:ascii="宋体" w:hAnsi="宋体" w:eastAsia="宋体" w:cs="宋体"/>
          <w:spacing w:val="-57"/>
          <w:sz w:val="19"/>
          <w:szCs w:val="19"/>
        </w:rPr>
        <w:t xml:space="preserve"> </w:t>
      </w:r>
      <w:r>
        <w:rPr>
          <w:rFonts w:ascii="宋体" w:hAnsi="宋体" w:eastAsia="宋体" w:cs="宋体"/>
          <w:spacing w:val="-2"/>
          <w:sz w:val="19"/>
          <w:szCs w:val="19"/>
        </w:rPr>
        <w:t>是</w:t>
      </w:r>
      <w:r>
        <w:rPr>
          <w:rFonts w:ascii="宋体" w:hAnsi="宋体" w:eastAsia="宋体" w:cs="宋体"/>
          <w:spacing w:val="-55"/>
          <w:sz w:val="19"/>
          <w:szCs w:val="19"/>
        </w:rPr>
        <w:t xml:space="preserve"> </w:t>
      </w:r>
      <w:r>
        <w:rPr>
          <w:rFonts w:ascii="宋体" w:hAnsi="宋体" w:eastAsia="宋体" w:cs="宋体"/>
          <w:spacing w:val="-2"/>
          <w:sz w:val="19"/>
          <w:szCs w:val="19"/>
        </w:rPr>
        <w:t>不</w:t>
      </w:r>
      <w:r>
        <w:rPr>
          <w:rFonts w:ascii="宋体" w:hAnsi="宋体" w:eastAsia="宋体" w:cs="宋体"/>
          <w:spacing w:val="-39"/>
          <w:sz w:val="19"/>
          <w:szCs w:val="19"/>
        </w:rPr>
        <w:t xml:space="preserve"> </w:t>
      </w:r>
      <w:r>
        <w:rPr>
          <w:rFonts w:ascii="宋体" w:hAnsi="宋体" w:eastAsia="宋体" w:cs="宋体"/>
          <w:spacing w:val="-2"/>
          <w:sz w:val="19"/>
          <w:szCs w:val="19"/>
        </w:rPr>
        <w:t>同</w:t>
      </w:r>
      <w:r>
        <w:rPr>
          <w:rFonts w:ascii="宋体" w:hAnsi="宋体" w:eastAsia="宋体" w:cs="宋体"/>
          <w:spacing w:val="-40"/>
          <w:sz w:val="19"/>
          <w:szCs w:val="19"/>
        </w:rPr>
        <w:t xml:space="preserve"> </w:t>
      </w:r>
      <w:r>
        <w:rPr>
          <w:rFonts w:ascii="宋体" w:hAnsi="宋体" w:eastAsia="宋体" w:cs="宋体"/>
          <w:spacing w:val="-2"/>
          <w:sz w:val="19"/>
          <w:szCs w:val="19"/>
        </w:rPr>
        <w:t>的</w:t>
      </w:r>
      <w:r>
        <w:rPr>
          <w:rFonts w:ascii="宋体" w:hAnsi="宋体" w:eastAsia="宋体" w:cs="宋体"/>
          <w:spacing w:val="-52"/>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29"/>
          <w:sz w:val="19"/>
          <w:szCs w:val="19"/>
        </w:rPr>
        <w:t xml:space="preserve"> </w:t>
      </w:r>
      <w:r>
        <w:rPr>
          <w:rFonts w:ascii="宋体" w:hAnsi="宋体" w:eastAsia="宋体" w:cs="宋体"/>
          <w:spacing w:val="-2"/>
          <w:sz w:val="19"/>
          <w:szCs w:val="19"/>
        </w:rPr>
        <w:t>据</w:t>
      </w:r>
      <w:r>
        <w:rPr>
          <w:rFonts w:ascii="宋体" w:hAnsi="宋体" w:eastAsia="宋体" w:cs="宋体"/>
          <w:spacing w:val="-55"/>
          <w:sz w:val="19"/>
          <w:szCs w:val="19"/>
        </w:rPr>
        <w:t xml:space="preserve"> </w:t>
      </w:r>
      <w:r>
        <w:rPr>
          <w:rFonts w:ascii="宋体" w:hAnsi="宋体" w:eastAsia="宋体" w:cs="宋体"/>
          <w:spacing w:val="-2"/>
          <w:sz w:val="19"/>
          <w:szCs w:val="19"/>
        </w:rPr>
        <w:t>统计</w:t>
      </w:r>
      <w:r>
        <w:rPr>
          <w:rFonts w:ascii="微软雅黑" w:hAnsi="微软雅黑" w:eastAsia="微软雅黑" w:cs="微软雅黑"/>
          <w:spacing w:val="-2"/>
          <w:sz w:val="19"/>
          <w:szCs w:val="19"/>
        </w:rPr>
        <w:t>，</w:t>
      </w:r>
      <w:r>
        <w:rPr>
          <w:rFonts w:ascii="宋体" w:hAnsi="宋体" w:eastAsia="宋体" w:cs="宋体"/>
          <w:spacing w:val="-2"/>
          <w:sz w:val="19"/>
          <w:szCs w:val="19"/>
        </w:rPr>
        <w:t>截</w:t>
      </w:r>
      <w:r>
        <w:rPr>
          <w:rFonts w:ascii="宋体" w:hAnsi="宋体" w:eastAsia="宋体" w:cs="宋体"/>
          <w:spacing w:val="-52"/>
          <w:sz w:val="19"/>
          <w:szCs w:val="19"/>
        </w:rPr>
        <w:t xml:space="preserve"> </w:t>
      </w:r>
      <w:r>
        <w:rPr>
          <w:rFonts w:ascii="宋体" w:hAnsi="宋体" w:eastAsia="宋体" w:cs="宋体"/>
          <w:spacing w:val="-2"/>
          <w:sz w:val="19"/>
          <w:szCs w:val="19"/>
        </w:rPr>
        <w:t xml:space="preserve">至 </w:t>
      </w:r>
      <w:r>
        <w:rPr>
          <w:rFonts w:ascii="Arial" w:hAnsi="Arial" w:eastAsia="Arial" w:cs="Arial"/>
          <w:spacing w:val="4"/>
          <w:sz w:val="19"/>
          <w:szCs w:val="19"/>
        </w:rPr>
        <w:t>2020</w:t>
      </w:r>
      <w:r>
        <w:rPr>
          <w:rFonts w:ascii="宋体" w:hAnsi="宋体" w:eastAsia="宋体" w:cs="宋体"/>
          <w:spacing w:val="4"/>
          <w:sz w:val="19"/>
          <w:szCs w:val="19"/>
        </w:rPr>
        <w:t>年</w:t>
      </w:r>
      <w:r>
        <w:rPr>
          <w:rFonts w:ascii="宋体" w:hAnsi="宋体" w:eastAsia="宋体" w:cs="宋体"/>
          <w:spacing w:val="-16"/>
          <w:sz w:val="19"/>
          <w:szCs w:val="19"/>
        </w:rPr>
        <w:t xml:space="preserve"> </w:t>
      </w:r>
      <w:r>
        <w:rPr>
          <w:rFonts w:ascii="Arial" w:hAnsi="Arial" w:eastAsia="Arial" w:cs="Arial"/>
          <w:spacing w:val="4"/>
          <w:sz w:val="19"/>
          <w:szCs w:val="19"/>
        </w:rPr>
        <w:t>6</w:t>
      </w:r>
      <w:r>
        <w:rPr>
          <w:rFonts w:ascii="宋体" w:hAnsi="宋体" w:eastAsia="宋体" w:cs="宋体"/>
          <w:spacing w:val="4"/>
          <w:sz w:val="19"/>
          <w:szCs w:val="19"/>
        </w:rPr>
        <w:t>月底</w:t>
      </w:r>
      <w:r>
        <w:rPr>
          <w:rFonts w:ascii="微软雅黑" w:hAnsi="微软雅黑" w:eastAsia="微软雅黑" w:cs="微软雅黑"/>
          <w:spacing w:val="4"/>
          <w:position w:val="1"/>
          <w:sz w:val="19"/>
          <w:szCs w:val="19"/>
        </w:rPr>
        <w:t>，</w:t>
      </w:r>
      <w:r>
        <w:rPr>
          <w:rFonts w:ascii="宋体" w:hAnsi="宋体" w:eastAsia="宋体" w:cs="宋体"/>
          <w:spacing w:val="4"/>
          <w:sz w:val="19"/>
          <w:szCs w:val="19"/>
        </w:rPr>
        <w:t>全国共有普通高校</w:t>
      </w:r>
      <w:r>
        <w:rPr>
          <w:rFonts w:ascii="宋体" w:hAnsi="宋体" w:eastAsia="宋体" w:cs="宋体"/>
          <w:spacing w:val="-20"/>
          <w:sz w:val="19"/>
          <w:szCs w:val="19"/>
        </w:rPr>
        <w:t xml:space="preserve"> </w:t>
      </w:r>
      <w:r>
        <w:rPr>
          <w:rFonts w:ascii="Arial" w:hAnsi="Arial" w:eastAsia="Arial" w:cs="Arial"/>
          <w:spacing w:val="4"/>
          <w:sz w:val="19"/>
          <w:szCs w:val="19"/>
        </w:rPr>
        <w:t>2740</w:t>
      </w:r>
      <w:r>
        <w:rPr>
          <w:rFonts w:ascii="宋体" w:hAnsi="宋体" w:eastAsia="宋体" w:cs="宋体"/>
          <w:spacing w:val="4"/>
          <w:sz w:val="19"/>
          <w:szCs w:val="19"/>
        </w:rPr>
        <w:t>所</w:t>
      </w:r>
      <w:r>
        <w:rPr>
          <w:rFonts w:ascii="微软雅黑" w:hAnsi="微软雅黑" w:eastAsia="微软雅黑" w:cs="微软雅黑"/>
          <w:spacing w:val="4"/>
          <w:position w:val="1"/>
          <w:sz w:val="19"/>
          <w:szCs w:val="19"/>
        </w:rPr>
        <w:t>，</w:t>
      </w:r>
      <w:r>
        <w:rPr>
          <w:rFonts w:ascii="宋体" w:hAnsi="宋体" w:eastAsia="宋体" w:cs="宋体"/>
          <w:spacing w:val="4"/>
          <w:sz w:val="19"/>
          <w:szCs w:val="19"/>
        </w:rPr>
        <w:t>比</w:t>
      </w:r>
      <w:r>
        <w:rPr>
          <w:rFonts w:ascii="宋体" w:hAnsi="宋体" w:eastAsia="宋体" w:cs="宋体"/>
          <w:spacing w:val="-17"/>
          <w:sz w:val="19"/>
          <w:szCs w:val="19"/>
        </w:rPr>
        <w:t xml:space="preserve"> </w:t>
      </w:r>
      <w:r>
        <w:rPr>
          <w:rFonts w:ascii="Arial" w:hAnsi="Arial" w:eastAsia="Arial" w:cs="Arial"/>
          <w:spacing w:val="4"/>
          <w:sz w:val="19"/>
          <w:szCs w:val="19"/>
        </w:rPr>
        <w:t xml:space="preserve">1998  </w:t>
      </w:r>
      <w:r>
        <w:rPr>
          <w:rFonts w:ascii="宋体" w:hAnsi="宋体" w:eastAsia="宋体" w:cs="宋体"/>
          <w:spacing w:val="4"/>
          <w:sz w:val="19"/>
          <w:szCs w:val="19"/>
        </w:rPr>
        <w:t xml:space="preserve">年净增 </w:t>
      </w:r>
      <w:r>
        <w:rPr>
          <w:rFonts w:ascii="Arial" w:hAnsi="Arial" w:eastAsia="Arial" w:cs="Arial"/>
          <w:spacing w:val="4"/>
          <w:sz w:val="19"/>
          <w:szCs w:val="19"/>
        </w:rPr>
        <w:t>1718</w:t>
      </w:r>
      <w:r>
        <w:rPr>
          <w:rFonts w:ascii="宋体" w:hAnsi="宋体" w:eastAsia="宋体" w:cs="宋体"/>
          <w:spacing w:val="4"/>
          <w:sz w:val="19"/>
          <w:szCs w:val="19"/>
        </w:rPr>
        <w:t>所</w:t>
      </w:r>
      <w:r>
        <w:rPr>
          <w:rFonts w:ascii="微软雅黑" w:hAnsi="微软雅黑" w:eastAsia="微软雅黑" w:cs="微软雅黑"/>
          <w:spacing w:val="4"/>
          <w:position w:val="1"/>
          <w:sz w:val="19"/>
          <w:szCs w:val="19"/>
        </w:rPr>
        <w:t>，</w:t>
      </w:r>
      <w:r>
        <w:rPr>
          <w:rFonts w:ascii="宋体" w:hAnsi="宋体" w:eastAsia="宋体" w:cs="宋体"/>
          <w:spacing w:val="4"/>
          <w:sz w:val="19"/>
          <w:szCs w:val="19"/>
        </w:rPr>
        <w:t xml:space="preserve">增长 </w:t>
      </w:r>
      <w:r>
        <w:rPr>
          <w:rFonts w:ascii="Arial" w:hAnsi="Arial" w:eastAsia="Arial" w:cs="Arial"/>
          <w:spacing w:val="4"/>
          <w:sz w:val="19"/>
          <w:szCs w:val="19"/>
        </w:rPr>
        <w:t xml:space="preserve">168.10% </w:t>
      </w:r>
      <w:r>
        <w:rPr>
          <w:rFonts w:ascii="微软雅黑" w:hAnsi="微软雅黑" w:eastAsia="微软雅黑" w:cs="微软雅黑"/>
          <w:spacing w:val="4"/>
          <w:position w:val="1"/>
          <w:sz w:val="19"/>
          <w:szCs w:val="19"/>
        </w:rPr>
        <w:t>。</w:t>
      </w:r>
      <w:r>
        <w:rPr>
          <w:rFonts w:ascii="宋体" w:hAnsi="宋体" w:eastAsia="宋体" w:cs="宋体"/>
          <w:spacing w:val="4"/>
          <w:sz w:val="19"/>
          <w:szCs w:val="19"/>
        </w:rPr>
        <w:t>这就是说</w:t>
      </w:r>
      <w:r>
        <w:rPr>
          <w:rFonts w:ascii="微软雅黑" w:hAnsi="微软雅黑" w:eastAsia="微软雅黑" w:cs="微软雅黑"/>
          <w:spacing w:val="4"/>
          <w:position w:val="1"/>
          <w:sz w:val="19"/>
          <w:szCs w:val="19"/>
        </w:rPr>
        <w:t>，</w:t>
      </w:r>
      <w:r>
        <w:rPr>
          <w:rFonts w:ascii="宋体" w:hAnsi="宋体" w:eastAsia="宋体" w:cs="宋体"/>
          <w:spacing w:val="4"/>
          <w:sz w:val="19"/>
          <w:szCs w:val="19"/>
        </w:rPr>
        <w:t xml:space="preserve">我国大 </w:t>
      </w:r>
      <w:r>
        <w:rPr>
          <w:rFonts w:ascii="宋体" w:hAnsi="宋体" w:eastAsia="宋体" w:cs="宋体"/>
          <w:spacing w:val="11"/>
          <w:sz w:val="19"/>
          <w:szCs w:val="19"/>
        </w:rPr>
        <w:t xml:space="preserve">多数高校办学历史不到 </w:t>
      </w:r>
      <w:r>
        <w:rPr>
          <w:rFonts w:ascii="Arial" w:hAnsi="Arial" w:eastAsia="Arial" w:cs="Arial"/>
          <w:spacing w:val="11"/>
          <w:sz w:val="19"/>
          <w:szCs w:val="19"/>
        </w:rPr>
        <w:t>20</w:t>
      </w:r>
      <w:r>
        <w:rPr>
          <w:rFonts w:ascii="宋体" w:hAnsi="宋体" w:eastAsia="宋体" w:cs="宋体"/>
          <w:spacing w:val="11"/>
          <w:sz w:val="19"/>
          <w:szCs w:val="19"/>
        </w:rPr>
        <w:t>年</w:t>
      </w:r>
      <w:r>
        <w:rPr>
          <w:rFonts w:ascii="微软雅黑" w:hAnsi="微软雅黑" w:eastAsia="微软雅黑" w:cs="微软雅黑"/>
          <w:spacing w:val="11"/>
          <w:position w:val="1"/>
          <w:sz w:val="19"/>
          <w:szCs w:val="19"/>
        </w:rPr>
        <w:t>，</w:t>
      </w:r>
      <w:r>
        <w:rPr>
          <w:rFonts w:ascii="宋体" w:hAnsi="宋体" w:eastAsia="宋体" w:cs="宋体"/>
          <w:spacing w:val="11"/>
          <w:sz w:val="19"/>
          <w:szCs w:val="19"/>
        </w:rPr>
        <w:t>新建高校占多数</w:t>
      </w:r>
      <w:r>
        <w:rPr>
          <w:rFonts w:ascii="微软雅黑" w:hAnsi="微软雅黑" w:eastAsia="微软雅黑" w:cs="微软雅黑"/>
          <w:spacing w:val="11"/>
          <w:position w:val="1"/>
          <w:sz w:val="19"/>
          <w:szCs w:val="19"/>
        </w:rPr>
        <w:t>，</w:t>
      </w:r>
      <w:r>
        <w:rPr>
          <w:rFonts w:ascii="宋体" w:hAnsi="宋体" w:eastAsia="宋体" w:cs="宋体"/>
          <w:spacing w:val="11"/>
          <w:sz w:val="19"/>
          <w:szCs w:val="19"/>
        </w:rPr>
        <w:t xml:space="preserve">积 </w:t>
      </w:r>
      <w:r>
        <w:rPr>
          <w:rFonts w:ascii="宋体" w:hAnsi="宋体" w:eastAsia="宋体" w:cs="宋体"/>
          <w:spacing w:val="5"/>
          <w:sz w:val="19"/>
          <w:szCs w:val="19"/>
        </w:rPr>
        <w:t>累少</w:t>
      </w:r>
      <w:r>
        <w:rPr>
          <w:rFonts w:ascii="微软雅黑" w:hAnsi="微软雅黑" w:eastAsia="微软雅黑" w:cs="微软雅黑"/>
          <w:spacing w:val="5"/>
          <w:position w:val="1"/>
          <w:sz w:val="19"/>
          <w:szCs w:val="19"/>
        </w:rPr>
        <w:t>，</w:t>
      </w:r>
      <w:r>
        <w:rPr>
          <w:rFonts w:ascii="宋体" w:hAnsi="宋体" w:eastAsia="宋体" w:cs="宋体"/>
          <w:spacing w:val="5"/>
          <w:sz w:val="19"/>
          <w:szCs w:val="19"/>
        </w:rPr>
        <w:t>质量文化薄弱</w:t>
      </w:r>
      <w:r>
        <w:rPr>
          <w:rFonts w:ascii="宋体" w:hAnsi="宋体" w:eastAsia="宋体" w:cs="宋体"/>
          <w:spacing w:val="-51"/>
          <w:sz w:val="19"/>
          <w:szCs w:val="19"/>
        </w:rPr>
        <w:t xml:space="preserve"> </w:t>
      </w:r>
      <w:r>
        <w:rPr>
          <w:rFonts w:ascii="微软雅黑" w:hAnsi="微软雅黑" w:eastAsia="微软雅黑" w:cs="微软雅黑"/>
          <w:spacing w:val="5"/>
          <w:position w:val="1"/>
          <w:sz w:val="19"/>
          <w:szCs w:val="19"/>
        </w:rPr>
        <w:t>。</w:t>
      </w:r>
      <w:r>
        <w:rPr>
          <w:rFonts w:ascii="宋体" w:hAnsi="宋体" w:eastAsia="宋体" w:cs="宋体"/>
          <w:spacing w:val="5"/>
          <w:sz w:val="19"/>
          <w:szCs w:val="19"/>
        </w:rPr>
        <w:t>另外</w:t>
      </w:r>
      <w:r>
        <w:rPr>
          <w:rFonts w:ascii="微软雅黑" w:hAnsi="微软雅黑" w:eastAsia="微软雅黑" w:cs="微软雅黑"/>
          <w:spacing w:val="5"/>
          <w:position w:val="1"/>
          <w:sz w:val="19"/>
          <w:szCs w:val="19"/>
        </w:rPr>
        <w:t>，</w:t>
      </w:r>
      <w:r>
        <w:rPr>
          <w:rFonts w:ascii="宋体" w:hAnsi="宋体" w:eastAsia="宋体" w:cs="宋体"/>
          <w:spacing w:val="5"/>
          <w:sz w:val="19"/>
          <w:szCs w:val="19"/>
        </w:rPr>
        <w:t>统计表明</w:t>
      </w:r>
      <w:r>
        <w:rPr>
          <w:rFonts w:ascii="微软雅黑" w:hAnsi="微软雅黑" w:eastAsia="微软雅黑" w:cs="微软雅黑"/>
          <w:spacing w:val="5"/>
          <w:position w:val="1"/>
          <w:sz w:val="19"/>
          <w:szCs w:val="19"/>
        </w:rPr>
        <w:t>，</w:t>
      </w:r>
      <w:r>
        <w:rPr>
          <w:rFonts w:ascii="Arial" w:hAnsi="Arial" w:eastAsia="Arial" w:cs="Arial"/>
          <w:spacing w:val="5"/>
          <w:sz w:val="19"/>
          <w:szCs w:val="19"/>
        </w:rPr>
        <w:t>1998</w:t>
      </w:r>
      <w:r>
        <w:rPr>
          <w:rFonts w:ascii="宋体" w:hAnsi="宋体" w:eastAsia="宋体" w:cs="宋体"/>
          <w:spacing w:val="5"/>
          <w:sz w:val="19"/>
          <w:szCs w:val="19"/>
        </w:rPr>
        <w:t xml:space="preserve">年我国 </w:t>
      </w:r>
      <w:r>
        <w:rPr>
          <w:rFonts w:ascii="宋体" w:hAnsi="宋体" w:eastAsia="宋体" w:cs="宋体"/>
          <w:spacing w:val="13"/>
          <w:sz w:val="19"/>
          <w:szCs w:val="19"/>
        </w:rPr>
        <w:t xml:space="preserve">普通高校本专科在校生为 </w:t>
      </w:r>
      <w:r>
        <w:rPr>
          <w:rFonts w:ascii="Arial" w:hAnsi="Arial" w:eastAsia="Arial" w:cs="Arial"/>
          <w:spacing w:val="13"/>
          <w:sz w:val="19"/>
          <w:szCs w:val="19"/>
        </w:rPr>
        <w:t>340.87</w:t>
      </w:r>
      <w:r>
        <w:rPr>
          <w:rFonts w:ascii="宋体" w:hAnsi="宋体" w:eastAsia="宋体" w:cs="宋体"/>
          <w:spacing w:val="13"/>
          <w:sz w:val="19"/>
          <w:szCs w:val="19"/>
        </w:rPr>
        <w:t>万人</w:t>
      </w:r>
      <w:r>
        <w:rPr>
          <w:rFonts w:ascii="微软雅黑" w:hAnsi="微软雅黑" w:eastAsia="微软雅黑" w:cs="微软雅黑"/>
          <w:spacing w:val="13"/>
          <w:position w:val="1"/>
          <w:sz w:val="19"/>
          <w:szCs w:val="19"/>
        </w:rPr>
        <w:t>，</w:t>
      </w:r>
      <w:r>
        <w:rPr>
          <w:rFonts w:ascii="宋体" w:hAnsi="宋体" w:eastAsia="宋体" w:cs="宋体"/>
          <w:spacing w:val="13"/>
          <w:sz w:val="19"/>
          <w:szCs w:val="19"/>
        </w:rPr>
        <w:t>到</w:t>
      </w:r>
      <w:r>
        <w:rPr>
          <w:rFonts w:ascii="宋体" w:hAnsi="宋体" w:eastAsia="宋体" w:cs="宋体"/>
          <w:spacing w:val="12"/>
          <w:sz w:val="19"/>
          <w:szCs w:val="19"/>
        </w:rPr>
        <w:t xml:space="preserve"> </w:t>
      </w:r>
      <w:r>
        <w:rPr>
          <w:rFonts w:ascii="Arial" w:hAnsi="Arial" w:eastAsia="Arial" w:cs="Arial"/>
          <w:spacing w:val="12"/>
          <w:sz w:val="19"/>
          <w:szCs w:val="19"/>
        </w:rPr>
        <w:t>2019</w:t>
      </w:r>
      <w:r>
        <w:rPr>
          <w:rFonts w:ascii="宋体" w:hAnsi="宋体" w:eastAsia="宋体" w:cs="宋体"/>
          <w:spacing w:val="12"/>
          <w:sz w:val="19"/>
          <w:szCs w:val="19"/>
        </w:rPr>
        <w:t>年</w:t>
      </w:r>
      <w:r>
        <w:rPr>
          <w:rFonts w:ascii="宋体" w:hAnsi="宋体" w:eastAsia="宋体" w:cs="宋体"/>
          <w:sz w:val="19"/>
          <w:szCs w:val="19"/>
        </w:rPr>
        <w:t xml:space="preserve"> </w:t>
      </w:r>
      <w:r>
        <w:rPr>
          <w:rFonts w:ascii="宋体" w:hAnsi="宋体" w:eastAsia="宋体" w:cs="宋体"/>
          <w:spacing w:val="2"/>
          <w:sz w:val="19"/>
          <w:szCs w:val="19"/>
        </w:rPr>
        <w:t>全国普通</w:t>
      </w:r>
      <w:r>
        <w:rPr>
          <w:rFonts w:ascii="宋体" w:hAnsi="宋体" w:eastAsia="宋体" w:cs="宋体"/>
          <w:spacing w:val="-40"/>
          <w:sz w:val="19"/>
          <w:szCs w:val="19"/>
        </w:rPr>
        <w:t xml:space="preserve"> </w:t>
      </w:r>
      <w:r>
        <w:rPr>
          <w:rFonts w:ascii="宋体" w:hAnsi="宋体" w:eastAsia="宋体" w:cs="宋体"/>
          <w:spacing w:val="2"/>
          <w:sz w:val="19"/>
          <w:szCs w:val="19"/>
        </w:rPr>
        <w:t>高</w:t>
      </w:r>
      <w:r>
        <w:rPr>
          <w:rFonts w:ascii="宋体" w:hAnsi="宋体" w:eastAsia="宋体" w:cs="宋体"/>
          <w:spacing w:val="-51"/>
          <w:sz w:val="19"/>
          <w:szCs w:val="19"/>
        </w:rPr>
        <w:t xml:space="preserve"> </w:t>
      </w:r>
      <w:r>
        <w:rPr>
          <w:rFonts w:ascii="宋体" w:hAnsi="宋体" w:eastAsia="宋体" w:cs="宋体"/>
          <w:spacing w:val="2"/>
          <w:sz w:val="19"/>
          <w:szCs w:val="19"/>
        </w:rPr>
        <w:t>校</w:t>
      </w:r>
      <w:r>
        <w:rPr>
          <w:rFonts w:ascii="宋体" w:hAnsi="宋体" w:eastAsia="宋体" w:cs="宋体"/>
          <w:spacing w:val="-54"/>
          <w:sz w:val="19"/>
          <w:szCs w:val="19"/>
        </w:rPr>
        <w:t xml:space="preserve"> </w:t>
      </w:r>
      <w:r>
        <w:rPr>
          <w:rFonts w:ascii="宋体" w:hAnsi="宋体" w:eastAsia="宋体" w:cs="宋体"/>
          <w:spacing w:val="2"/>
          <w:sz w:val="19"/>
          <w:szCs w:val="19"/>
        </w:rPr>
        <w:t>本</w:t>
      </w:r>
      <w:r>
        <w:rPr>
          <w:rFonts w:ascii="宋体" w:hAnsi="宋体" w:eastAsia="宋体" w:cs="宋体"/>
          <w:spacing w:val="-52"/>
          <w:sz w:val="19"/>
          <w:szCs w:val="19"/>
        </w:rPr>
        <w:t xml:space="preserve"> </w:t>
      </w:r>
      <w:r>
        <w:rPr>
          <w:rFonts w:ascii="宋体" w:hAnsi="宋体" w:eastAsia="宋体" w:cs="宋体"/>
          <w:spacing w:val="2"/>
          <w:sz w:val="19"/>
          <w:szCs w:val="19"/>
        </w:rPr>
        <w:t>专</w:t>
      </w:r>
      <w:r>
        <w:rPr>
          <w:rFonts w:ascii="宋体" w:hAnsi="宋体" w:eastAsia="宋体" w:cs="宋体"/>
          <w:spacing w:val="-54"/>
          <w:sz w:val="19"/>
          <w:szCs w:val="19"/>
        </w:rPr>
        <w:t xml:space="preserve"> </w:t>
      </w:r>
      <w:r>
        <w:rPr>
          <w:rFonts w:ascii="宋体" w:hAnsi="宋体" w:eastAsia="宋体" w:cs="宋体"/>
          <w:spacing w:val="2"/>
          <w:sz w:val="19"/>
          <w:szCs w:val="19"/>
        </w:rPr>
        <w:t>科</w:t>
      </w:r>
      <w:r>
        <w:rPr>
          <w:rFonts w:ascii="宋体" w:hAnsi="宋体" w:eastAsia="宋体" w:cs="宋体"/>
          <w:spacing w:val="-51"/>
          <w:sz w:val="19"/>
          <w:szCs w:val="19"/>
        </w:rPr>
        <w:t xml:space="preserve"> </w:t>
      </w:r>
      <w:r>
        <w:rPr>
          <w:rFonts w:ascii="宋体" w:hAnsi="宋体" w:eastAsia="宋体" w:cs="宋体"/>
          <w:spacing w:val="2"/>
          <w:sz w:val="19"/>
          <w:szCs w:val="19"/>
        </w:rPr>
        <w:t>在</w:t>
      </w:r>
      <w:r>
        <w:rPr>
          <w:rFonts w:ascii="宋体" w:hAnsi="宋体" w:eastAsia="宋体" w:cs="宋体"/>
          <w:spacing w:val="-51"/>
          <w:sz w:val="19"/>
          <w:szCs w:val="19"/>
        </w:rPr>
        <w:t xml:space="preserve"> </w:t>
      </w:r>
      <w:r>
        <w:rPr>
          <w:rFonts w:ascii="宋体" w:hAnsi="宋体" w:eastAsia="宋体" w:cs="宋体"/>
          <w:spacing w:val="2"/>
          <w:sz w:val="19"/>
          <w:szCs w:val="19"/>
        </w:rPr>
        <w:t>校</w:t>
      </w:r>
      <w:r>
        <w:rPr>
          <w:rFonts w:ascii="宋体" w:hAnsi="宋体" w:eastAsia="宋体" w:cs="宋体"/>
          <w:spacing w:val="-50"/>
          <w:sz w:val="19"/>
          <w:szCs w:val="19"/>
        </w:rPr>
        <w:t xml:space="preserve"> </w:t>
      </w:r>
      <w:r>
        <w:rPr>
          <w:rFonts w:ascii="宋体" w:hAnsi="宋体" w:eastAsia="宋体" w:cs="宋体"/>
          <w:spacing w:val="2"/>
          <w:sz w:val="19"/>
          <w:szCs w:val="19"/>
        </w:rPr>
        <w:t>生</w:t>
      </w:r>
      <w:r>
        <w:rPr>
          <w:rFonts w:ascii="宋体" w:hAnsi="宋体" w:eastAsia="宋体" w:cs="宋体"/>
          <w:spacing w:val="-52"/>
          <w:sz w:val="19"/>
          <w:szCs w:val="19"/>
        </w:rPr>
        <w:t xml:space="preserve"> </w:t>
      </w:r>
      <w:r>
        <w:rPr>
          <w:rFonts w:ascii="宋体" w:hAnsi="宋体" w:eastAsia="宋体" w:cs="宋体"/>
          <w:spacing w:val="2"/>
          <w:sz w:val="19"/>
          <w:szCs w:val="19"/>
        </w:rPr>
        <w:t>达</w:t>
      </w:r>
      <w:r>
        <w:rPr>
          <w:rFonts w:ascii="宋体" w:hAnsi="宋体" w:eastAsia="宋体" w:cs="宋体"/>
          <w:spacing w:val="-47"/>
          <w:sz w:val="19"/>
          <w:szCs w:val="19"/>
        </w:rPr>
        <w:t xml:space="preserve"> </w:t>
      </w:r>
      <w:r>
        <w:rPr>
          <w:rFonts w:ascii="宋体" w:hAnsi="宋体" w:eastAsia="宋体" w:cs="宋体"/>
          <w:spacing w:val="2"/>
          <w:sz w:val="19"/>
          <w:szCs w:val="19"/>
        </w:rPr>
        <w:t xml:space="preserve">到 </w:t>
      </w:r>
      <w:r>
        <w:rPr>
          <w:rFonts w:ascii="Arial" w:hAnsi="Arial" w:eastAsia="Arial" w:cs="Arial"/>
          <w:spacing w:val="2"/>
          <w:sz w:val="19"/>
          <w:szCs w:val="19"/>
        </w:rPr>
        <w:t xml:space="preserve">3031.53  </w:t>
      </w:r>
      <w:r>
        <w:rPr>
          <w:rFonts w:ascii="宋体" w:hAnsi="宋体" w:eastAsia="宋体" w:cs="宋体"/>
          <w:spacing w:val="2"/>
          <w:sz w:val="19"/>
          <w:szCs w:val="19"/>
        </w:rPr>
        <w:t>万</w:t>
      </w:r>
      <w:r>
        <w:rPr>
          <w:rFonts w:ascii="宋体" w:hAnsi="宋体" w:eastAsia="宋体" w:cs="宋体"/>
          <w:spacing w:val="-53"/>
          <w:sz w:val="19"/>
          <w:szCs w:val="19"/>
        </w:rPr>
        <w:t xml:space="preserve"> </w:t>
      </w:r>
      <w:r>
        <w:rPr>
          <w:rFonts w:ascii="宋体" w:hAnsi="宋体" w:eastAsia="宋体" w:cs="宋体"/>
          <w:spacing w:val="2"/>
          <w:sz w:val="19"/>
          <w:szCs w:val="19"/>
        </w:rPr>
        <w:t>人</w:t>
      </w:r>
      <w:r>
        <w:rPr>
          <w:rFonts w:ascii="微软雅黑" w:hAnsi="微软雅黑" w:eastAsia="微软雅黑" w:cs="微软雅黑"/>
          <w:spacing w:val="2"/>
          <w:position w:val="1"/>
          <w:sz w:val="19"/>
          <w:szCs w:val="19"/>
        </w:rPr>
        <w:t>，</w:t>
      </w:r>
      <w:r>
        <w:rPr>
          <w:rFonts w:ascii="微软雅黑" w:hAnsi="微软雅黑" w:eastAsia="微软雅黑" w:cs="微软雅黑"/>
          <w:position w:val="1"/>
          <w:sz w:val="19"/>
          <w:szCs w:val="19"/>
        </w:rPr>
        <w:t xml:space="preserve"> </w:t>
      </w:r>
      <w:r>
        <w:rPr>
          <w:rFonts w:ascii="Arial" w:hAnsi="Arial" w:eastAsia="Arial" w:cs="Arial"/>
          <w:spacing w:val="-1"/>
          <w:sz w:val="19"/>
          <w:szCs w:val="19"/>
        </w:rPr>
        <w:t>2019</w:t>
      </w:r>
      <w:r>
        <w:rPr>
          <w:rFonts w:ascii="宋体" w:hAnsi="宋体" w:eastAsia="宋体" w:cs="宋体"/>
          <w:spacing w:val="-1"/>
          <w:sz w:val="19"/>
          <w:szCs w:val="19"/>
        </w:rPr>
        <w:t>年</w:t>
      </w:r>
      <w:r>
        <w:rPr>
          <w:rFonts w:ascii="宋体" w:hAnsi="宋体" w:eastAsia="宋体" w:cs="宋体"/>
          <w:spacing w:val="-25"/>
          <w:sz w:val="19"/>
          <w:szCs w:val="19"/>
        </w:rPr>
        <w:t xml:space="preserve"> </w:t>
      </w:r>
      <w:r>
        <w:rPr>
          <w:rFonts w:ascii="宋体" w:hAnsi="宋体" w:eastAsia="宋体" w:cs="宋体"/>
          <w:spacing w:val="-1"/>
          <w:sz w:val="19"/>
          <w:szCs w:val="19"/>
        </w:rPr>
        <w:t xml:space="preserve">比 </w:t>
      </w:r>
      <w:r>
        <w:rPr>
          <w:rFonts w:ascii="Arial" w:hAnsi="Arial" w:eastAsia="Arial" w:cs="Arial"/>
          <w:spacing w:val="-1"/>
          <w:sz w:val="19"/>
          <w:szCs w:val="19"/>
        </w:rPr>
        <w:t xml:space="preserve">1998  </w:t>
      </w:r>
      <w:r>
        <w:rPr>
          <w:rFonts w:ascii="宋体" w:hAnsi="宋体" w:eastAsia="宋体" w:cs="宋体"/>
          <w:spacing w:val="-1"/>
          <w:position w:val="1"/>
          <w:sz w:val="19"/>
          <w:szCs w:val="19"/>
        </w:rPr>
        <w:t>年</w:t>
      </w:r>
      <w:r>
        <w:rPr>
          <w:rFonts w:ascii="宋体" w:hAnsi="宋体" w:eastAsia="宋体" w:cs="宋体"/>
          <w:spacing w:val="-48"/>
          <w:position w:val="1"/>
          <w:sz w:val="19"/>
          <w:szCs w:val="19"/>
        </w:rPr>
        <w:t xml:space="preserve"> </w:t>
      </w:r>
      <w:r>
        <w:rPr>
          <w:rFonts w:ascii="宋体" w:hAnsi="宋体" w:eastAsia="宋体" w:cs="宋体"/>
          <w:spacing w:val="-1"/>
          <w:position w:val="1"/>
          <w:sz w:val="19"/>
          <w:szCs w:val="19"/>
        </w:rPr>
        <w:t>增</w:t>
      </w:r>
      <w:r>
        <w:rPr>
          <w:rFonts w:ascii="宋体" w:hAnsi="宋体" w:eastAsia="宋体" w:cs="宋体"/>
          <w:spacing w:val="-45"/>
          <w:position w:val="1"/>
          <w:sz w:val="19"/>
          <w:szCs w:val="19"/>
        </w:rPr>
        <w:t xml:space="preserve"> </w:t>
      </w:r>
      <w:r>
        <w:rPr>
          <w:rFonts w:ascii="宋体" w:hAnsi="宋体" w:eastAsia="宋体" w:cs="宋体"/>
          <w:spacing w:val="-1"/>
          <w:position w:val="1"/>
          <w:sz w:val="19"/>
          <w:szCs w:val="19"/>
        </w:rPr>
        <w:t>加</w:t>
      </w:r>
      <w:r>
        <w:rPr>
          <w:rFonts w:ascii="宋体" w:hAnsi="宋体" w:eastAsia="宋体" w:cs="宋体"/>
          <w:spacing w:val="16"/>
          <w:position w:val="1"/>
          <w:sz w:val="19"/>
          <w:szCs w:val="19"/>
        </w:rPr>
        <w:t xml:space="preserve"> </w:t>
      </w:r>
      <w:r>
        <w:rPr>
          <w:rFonts w:ascii="Arial" w:hAnsi="Arial" w:eastAsia="Arial" w:cs="Arial"/>
          <w:spacing w:val="-1"/>
          <w:sz w:val="19"/>
          <w:szCs w:val="19"/>
        </w:rPr>
        <w:t>2690.66</w:t>
      </w:r>
      <w:r>
        <w:rPr>
          <w:rFonts w:ascii="Arial" w:hAnsi="Arial" w:eastAsia="Arial" w:cs="Arial"/>
          <w:spacing w:val="6"/>
          <w:sz w:val="19"/>
          <w:szCs w:val="19"/>
        </w:rPr>
        <w:t xml:space="preserve">  </w:t>
      </w:r>
      <w:r>
        <w:rPr>
          <w:rFonts w:ascii="宋体" w:hAnsi="宋体" w:eastAsia="宋体" w:cs="宋体"/>
          <w:spacing w:val="-1"/>
          <w:position w:val="1"/>
          <w:sz w:val="19"/>
          <w:szCs w:val="19"/>
        </w:rPr>
        <w:t>万</w:t>
      </w:r>
      <w:r>
        <w:rPr>
          <w:rFonts w:ascii="宋体" w:hAnsi="宋体" w:eastAsia="宋体" w:cs="宋体"/>
          <w:spacing w:val="-48"/>
          <w:position w:val="1"/>
          <w:sz w:val="19"/>
          <w:szCs w:val="19"/>
        </w:rPr>
        <w:t xml:space="preserve"> </w:t>
      </w:r>
      <w:r>
        <w:rPr>
          <w:rFonts w:ascii="宋体" w:hAnsi="宋体" w:eastAsia="宋体" w:cs="宋体"/>
          <w:spacing w:val="-1"/>
          <w:position w:val="1"/>
          <w:sz w:val="19"/>
          <w:szCs w:val="19"/>
        </w:rPr>
        <w:t>人</w:t>
      </w:r>
      <w:r>
        <w:rPr>
          <w:rFonts w:ascii="微软雅黑" w:hAnsi="微软雅黑" w:eastAsia="微软雅黑" w:cs="微软雅黑"/>
          <w:spacing w:val="-1"/>
          <w:position w:val="2"/>
          <w:sz w:val="19"/>
          <w:szCs w:val="19"/>
        </w:rPr>
        <w:t>，</w:t>
      </w:r>
      <w:r>
        <w:rPr>
          <w:rFonts w:ascii="宋体" w:hAnsi="宋体" w:eastAsia="宋体" w:cs="宋体"/>
          <w:spacing w:val="-1"/>
          <w:position w:val="1"/>
          <w:sz w:val="19"/>
          <w:szCs w:val="19"/>
        </w:rPr>
        <w:t>增</w:t>
      </w:r>
      <w:r>
        <w:rPr>
          <w:rFonts w:ascii="宋体" w:hAnsi="宋体" w:eastAsia="宋体" w:cs="宋体"/>
          <w:spacing w:val="-44"/>
          <w:position w:val="1"/>
          <w:sz w:val="19"/>
          <w:szCs w:val="19"/>
        </w:rPr>
        <w:t xml:space="preserve"> </w:t>
      </w:r>
      <w:r>
        <w:rPr>
          <w:rFonts w:ascii="宋体" w:hAnsi="宋体" w:eastAsia="宋体" w:cs="宋体"/>
          <w:spacing w:val="-1"/>
          <w:position w:val="1"/>
          <w:sz w:val="19"/>
          <w:szCs w:val="19"/>
        </w:rPr>
        <w:t>长</w:t>
      </w:r>
      <w:r>
        <w:rPr>
          <w:rFonts w:ascii="宋体" w:hAnsi="宋体" w:eastAsia="宋体" w:cs="宋体"/>
          <w:spacing w:val="18"/>
          <w:position w:val="1"/>
          <w:sz w:val="19"/>
          <w:szCs w:val="19"/>
        </w:rPr>
        <w:t xml:space="preserve"> </w:t>
      </w:r>
      <w:r>
        <w:rPr>
          <w:rFonts w:ascii="Arial" w:hAnsi="Arial" w:eastAsia="Arial" w:cs="Arial"/>
          <w:spacing w:val="-1"/>
          <w:sz w:val="19"/>
          <w:szCs w:val="19"/>
        </w:rPr>
        <w:t>789.</w:t>
      </w:r>
      <w:r>
        <w:rPr>
          <w:rFonts w:ascii="Arial" w:hAnsi="Arial" w:eastAsia="Arial" w:cs="Arial"/>
          <w:sz w:val="19"/>
          <w:szCs w:val="19"/>
        </w:rPr>
        <w:t xml:space="preserve">  </w:t>
      </w:r>
      <w:r>
        <w:rPr>
          <w:rFonts w:ascii="Arial" w:hAnsi="Arial" w:eastAsia="Arial" w:cs="Arial"/>
          <w:spacing w:val="20"/>
          <w:position w:val="-1"/>
          <w:sz w:val="19"/>
          <w:szCs w:val="19"/>
        </w:rPr>
        <w:t xml:space="preserve">35% </w:t>
      </w:r>
      <w:r>
        <w:rPr>
          <w:rFonts w:ascii="微软雅黑" w:hAnsi="微软雅黑" w:eastAsia="微软雅黑" w:cs="微软雅黑"/>
          <w:spacing w:val="20"/>
          <w:position w:val="1"/>
          <w:sz w:val="19"/>
          <w:szCs w:val="19"/>
        </w:rPr>
        <w:t>。</w:t>
      </w:r>
      <w:r>
        <w:rPr>
          <w:rFonts w:ascii="宋体" w:hAnsi="宋体" w:eastAsia="宋体" w:cs="宋体"/>
          <w:spacing w:val="20"/>
          <w:sz w:val="19"/>
          <w:szCs w:val="19"/>
        </w:rPr>
        <w:t>满足新增数</w:t>
      </w:r>
      <w:r>
        <w:rPr>
          <w:rFonts w:ascii="宋体" w:hAnsi="宋体" w:eastAsia="宋体" w:cs="宋体"/>
          <w:spacing w:val="-32"/>
          <w:sz w:val="19"/>
          <w:szCs w:val="19"/>
        </w:rPr>
        <w:t xml:space="preserve"> </w:t>
      </w:r>
      <w:r>
        <w:rPr>
          <w:rFonts w:ascii="宋体" w:hAnsi="宋体" w:eastAsia="宋体" w:cs="宋体"/>
          <w:spacing w:val="20"/>
          <w:sz w:val="19"/>
          <w:szCs w:val="19"/>
        </w:rPr>
        <w:t xml:space="preserve">以千万计民众的高质量教育需 </w:t>
      </w:r>
      <w:r>
        <w:rPr>
          <w:rFonts w:ascii="宋体" w:hAnsi="宋体" w:eastAsia="宋体" w:cs="宋体"/>
          <w:spacing w:val="17"/>
          <w:sz w:val="19"/>
          <w:szCs w:val="19"/>
        </w:rPr>
        <w:t>求</w:t>
      </w:r>
      <w:r>
        <w:rPr>
          <w:rFonts w:ascii="微软雅黑" w:hAnsi="微软雅黑" w:eastAsia="微软雅黑" w:cs="微软雅黑"/>
          <w:spacing w:val="17"/>
          <w:sz w:val="19"/>
          <w:szCs w:val="19"/>
        </w:rPr>
        <w:t>，</w:t>
      </w:r>
      <w:r>
        <w:rPr>
          <w:rFonts w:ascii="宋体" w:hAnsi="宋体" w:eastAsia="宋体" w:cs="宋体"/>
          <w:spacing w:val="17"/>
          <w:sz w:val="19"/>
          <w:szCs w:val="19"/>
        </w:rPr>
        <w:t>是我国高等教育迈向大众化和普及化发展的首 要任务</w:t>
      </w:r>
      <w:r>
        <w:rPr>
          <w:rFonts w:ascii="微软雅黑" w:hAnsi="微软雅黑" w:eastAsia="微软雅黑" w:cs="微软雅黑"/>
          <w:spacing w:val="17"/>
          <w:sz w:val="19"/>
          <w:szCs w:val="19"/>
        </w:rPr>
        <w:t>。</w:t>
      </w:r>
    </w:p>
    <w:p>
      <w:pPr>
        <w:spacing w:before="65" w:line="241" w:lineRule="auto"/>
        <w:ind w:left="641" w:right="173" w:firstLine="511"/>
        <w:rPr>
          <w:rFonts w:ascii="微软雅黑" w:hAnsi="微软雅黑" w:eastAsia="微软雅黑" w:cs="微软雅黑"/>
          <w:sz w:val="19"/>
          <w:szCs w:val="19"/>
        </w:rPr>
      </w:pPr>
      <w:r>
        <w:rPr>
          <w:rFonts w:ascii="宋体" w:hAnsi="宋体" w:eastAsia="宋体" w:cs="宋体"/>
          <w:spacing w:val="17"/>
          <w:sz w:val="19"/>
          <w:szCs w:val="19"/>
        </w:rPr>
        <w:t xml:space="preserve">质量文化建设的直接目的是保证和提高高等教 </w:t>
      </w:r>
      <w:r>
        <w:rPr>
          <w:rFonts w:ascii="宋体" w:hAnsi="宋体" w:eastAsia="宋体" w:cs="宋体"/>
          <w:spacing w:val="19"/>
          <w:sz w:val="19"/>
          <w:szCs w:val="19"/>
        </w:rPr>
        <w:t>育质量</w:t>
      </w:r>
      <w:r>
        <w:rPr>
          <w:rFonts w:ascii="微软雅黑" w:hAnsi="微软雅黑" w:eastAsia="微软雅黑" w:cs="微软雅黑"/>
          <w:spacing w:val="19"/>
          <w:sz w:val="19"/>
          <w:szCs w:val="19"/>
        </w:rPr>
        <w:t>，</w:t>
      </w:r>
      <w:r>
        <w:rPr>
          <w:rFonts w:ascii="宋体" w:hAnsi="宋体" w:eastAsia="宋体" w:cs="宋体"/>
          <w:spacing w:val="19"/>
          <w:sz w:val="19"/>
          <w:szCs w:val="19"/>
        </w:rPr>
        <w:t>受益者主要是学生</w:t>
      </w:r>
      <w:r>
        <w:rPr>
          <w:rFonts w:ascii="宋体" w:hAnsi="宋体" w:eastAsia="宋体" w:cs="宋体"/>
          <w:spacing w:val="-52"/>
          <w:sz w:val="19"/>
          <w:szCs w:val="19"/>
        </w:rPr>
        <w:t xml:space="preserve"> </w:t>
      </w:r>
      <w:r>
        <w:rPr>
          <w:rFonts w:ascii="微软雅黑" w:hAnsi="微软雅黑" w:eastAsia="微软雅黑" w:cs="微软雅黑"/>
          <w:spacing w:val="19"/>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9"/>
          <w:sz w:val="19"/>
          <w:szCs w:val="19"/>
        </w:rPr>
        <w:t xml:space="preserve">学生受教育质量不能 </w:t>
      </w:r>
      <w:r>
        <w:rPr>
          <w:rFonts w:ascii="宋体" w:hAnsi="宋体" w:eastAsia="宋体" w:cs="宋体"/>
          <w:spacing w:val="13"/>
          <w:sz w:val="19"/>
          <w:szCs w:val="19"/>
        </w:rPr>
        <w:t>保证</w:t>
      </w:r>
      <w:r>
        <w:rPr>
          <w:rFonts w:ascii="微软雅黑" w:hAnsi="微软雅黑" w:eastAsia="微软雅黑" w:cs="微软雅黑"/>
          <w:spacing w:val="13"/>
          <w:sz w:val="19"/>
          <w:szCs w:val="19"/>
        </w:rPr>
        <w:t>，</w:t>
      </w:r>
      <w:r>
        <w:rPr>
          <w:rFonts w:ascii="宋体" w:hAnsi="宋体" w:eastAsia="宋体" w:cs="宋体"/>
          <w:spacing w:val="13"/>
          <w:sz w:val="19"/>
          <w:szCs w:val="19"/>
        </w:rPr>
        <w:t>质量文化建设就是玩虚招</w:t>
      </w:r>
      <w:r>
        <w:rPr>
          <w:rFonts w:ascii="微软雅黑" w:hAnsi="微软雅黑" w:eastAsia="微软雅黑" w:cs="微软雅黑"/>
          <w:spacing w:val="13"/>
          <w:sz w:val="19"/>
          <w:szCs w:val="19"/>
        </w:rPr>
        <w:t>、</w:t>
      </w:r>
      <w:r>
        <w:rPr>
          <w:rFonts w:ascii="宋体" w:hAnsi="宋体" w:eastAsia="宋体" w:cs="宋体"/>
          <w:spacing w:val="13"/>
          <w:sz w:val="19"/>
          <w:szCs w:val="19"/>
        </w:rPr>
        <w:t>瞎折腾</w:t>
      </w:r>
      <w:r>
        <w:rPr>
          <w:rFonts w:ascii="微软雅黑" w:hAnsi="微软雅黑" w:eastAsia="微软雅黑" w:cs="微软雅黑"/>
          <w:spacing w:val="13"/>
          <w:sz w:val="19"/>
          <w:szCs w:val="19"/>
        </w:rPr>
        <w:t>，</w:t>
      </w:r>
      <w:r>
        <w:rPr>
          <w:rFonts w:ascii="宋体" w:hAnsi="宋体" w:eastAsia="宋体" w:cs="宋体"/>
          <w:spacing w:val="13"/>
          <w:sz w:val="19"/>
          <w:szCs w:val="19"/>
        </w:rPr>
        <w:t xml:space="preserve">浪费人力 </w:t>
      </w:r>
      <w:r>
        <w:rPr>
          <w:rFonts w:ascii="宋体" w:hAnsi="宋体" w:eastAsia="宋体" w:cs="宋体"/>
          <w:spacing w:val="11"/>
          <w:sz w:val="19"/>
          <w:szCs w:val="19"/>
        </w:rPr>
        <w:t>物力</w:t>
      </w:r>
      <w:r>
        <w:rPr>
          <w:rFonts w:ascii="微软雅黑" w:hAnsi="微软雅黑" w:eastAsia="微软雅黑" w:cs="微软雅黑"/>
          <w:spacing w:val="11"/>
          <w:sz w:val="19"/>
          <w:szCs w:val="19"/>
        </w:rPr>
        <w:t>，</w:t>
      </w:r>
      <w:r>
        <w:rPr>
          <w:rFonts w:ascii="宋体" w:hAnsi="宋体" w:eastAsia="宋体" w:cs="宋体"/>
          <w:spacing w:val="11"/>
          <w:sz w:val="19"/>
          <w:szCs w:val="19"/>
        </w:rPr>
        <w:t>难言高等教育有质量</w:t>
      </w:r>
      <w:r>
        <w:rPr>
          <w:rFonts w:ascii="宋体" w:hAnsi="宋体" w:eastAsia="宋体" w:cs="宋体"/>
          <w:spacing w:val="-48"/>
          <w:sz w:val="19"/>
          <w:szCs w:val="19"/>
        </w:rPr>
        <w:t xml:space="preserve"> </w:t>
      </w:r>
      <w:r>
        <w:rPr>
          <w:rFonts w:ascii="微软雅黑" w:hAnsi="微软雅黑" w:eastAsia="微软雅黑" w:cs="微软雅黑"/>
          <w:spacing w:val="11"/>
          <w:sz w:val="19"/>
          <w:szCs w:val="19"/>
        </w:rPr>
        <w:t>。</w:t>
      </w:r>
      <w:r>
        <w:rPr>
          <w:rFonts w:ascii="宋体" w:hAnsi="宋体" w:eastAsia="宋体" w:cs="宋体"/>
          <w:spacing w:val="11"/>
          <w:sz w:val="19"/>
          <w:szCs w:val="19"/>
        </w:rPr>
        <w:t>针对新建高校多</w:t>
      </w:r>
      <w:r>
        <w:rPr>
          <w:rFonts w:ascii="微软雅黑" w:hAnsi="微软雅黑" w:eastAsia="微软雅黑" w:cs="微软雅黑"/>
          <w:spacing w:val="11"/>
          <w:sz w:val="19"/>
          <w:szCs w:val="19"/>
        </w:rPr>
        <w:t>、</w:t>
      </w:r>
      <w:r>
        <w:rPr>
          <w:rFonts w:ascii="宋体" w:hAnsi="宋体" w:eastAsia="宋体" w:cs="宋体"/>
          <w:spacing w:val="11"/>
          <w:sz w:val="19"/>
          <w:szCs w:val="19"/>
        </w:rPr>
        <w:t xml:space="preserve">扩招 </w:t>
      </w:r>
      <w:r>
        <w:rPr>
          <w:rFonts w:ascii="宋体" w:hAnsi="宋体" w:eastAsia="宋体" w:cs="宋体"/>
          <w:spacing w:val="13"/>
          <w:sz w:val="19"/>
          <w:szCs w:val="19"/>
        </w:rPr>
        <w:t>数量大的实际情况</w:t>
      </w:r>
      <w:r>
        <w:rPr>
          <w:rFonts w:ascii="微软雅黑" w:hAnsi="微软雅黑" w:eastAsia="微软雅黑" w:cs="微软雅黑"/>
          <w:spacing w:val="13"/>
          <w:sz w:val="19"/>
          <w:szCs w:val="19"/>
        </w:rPr>
        <w:t>，</w:t>
      </w:r>
      <w:r>
        <w:rPr>
          <w:rFonts w:ascii="宋体" w:hAnsi="宋体" w:eastAsia="宋体" w:cs="宋体"/>
          <w:spacing w:val="13"/>
          <w:sz w:val="19"/>
          <w:szCs w:val="19"/>
        </w:rPr>
        <w:t>从保证底线质量的要求出发</w:t>
      </w:r>
      <w:r>
        <w:rPr>
          <w:rFonts w:ascii="微软雅黑" w:hAnsi="微软雅黑" w:eastAsia="微软雅黑" w:cs="微软雅黑"/>
          <w:spacing w:val="13"/>
          <w:sz w:val="19"/>
          <w:szCs w:val="19"/>
        </w:rPr>
        <w:t>，</w:t>
      </w:r>
      <w:r>
        <w:rPr>
          <w:rFonts w:ascii="宋体" w:hAnsi="宋体" w:eastAsia="宋体" w:cs="宋体"/>
          <w:spacing w:val="13"/>
          <w:sz w:val="19"/>
          <w:szCs w:val="19"/>
        </w:rPr>
        <w:t xml:space="preserve">我 </w:t>
      </w:r>
      <w:r>
        <w:rPr>
          <w:rFonts w:ascii="宋体" w:hAnsi="宋体" w:eastAsia="宋体" w:cs="宋体"/>
          <w:spacing w:val="21"/>
          <w:sz w:val="19"/>
          <w:szCs w:val="19"/>
        </w:rPr>
        <w:t>国组织开展了新建本科高校教学工作合格评估和高 职高专院校办学水平评估</w:t>
      </w:r>
      <w:r>
        <w:rPr>
          <w:rFonts w:ascii="微软雅黑" w:hAnsi="微软雅黑" w:eastAsia="微软雅黑" w:cs="微软雅黑"/>
          <w:spacing w:val="21"/>
          <w:sz w:val="19"/>
          <w:szCs w:val="19"/>
        </w:rPr>
        <w:t>，</w:t>
      </w:r>
      <w:r>
        <w:rPr>
          <w:rFonts w:ascii="宋体" w:hAnsi="宋体" w:eastAsia="宋体" w:cs="宋体"/>
          <w:spacing w:val="21"/>
          <w:sz w:val="19"/>
          <w:szCs w:val="19"/>
        </w:rPr>
        <w:t xml:space="preserve">重点解决两类高校的基 </w:t>
      </w:r>
      <w:r>
        <w:rPr>
          <w:rFonts w:ascii="宋体" w:hAnsi="宋体" w:eastAsia="宋体" w:cs="宋体"/>
          <w:spacing w:val="26"/>
          <w:sz w:val="19"/>
          <w:szCs w:val="19"/>
        </w:rPr>
        <w:t>本办学条件缺</w:t>
      </w:r>
      <w:r>
        <w:rPr>
          <w:rFonts w:ascii="宋体" w:hAnsi="宋体" w:eastAsia="宋体" w:cs="宋体"/>
          <w:spacing w:val="-22"/>
          <w:sz w:val="19"/>
          <w:szCs w:val="19"/>
        </w:rPr>
        <w:t xml:space="preserve"> </w:t>
      </w:r>
      <w:r>
        <w:rPr>
          <w:rFonts w:ascii="宋体" w:hAnsi="宋体" w:eastAsia="宋体" w:cs="宋体"/>
          <w:spacing w:val="26"/>
          <w:sz w:val="19"/>
          <w:szCs w:val="19"/>
        </w:rPr>
        <w:t>口</w:t>
      </w:r>
      <w:r>
        <w:rPr>
          <w:rFonts w:ascii="宋体" w:hAnsi="宋体" w:eastAsia="宋体" w:cs="宋体"/>
          <w:spacing w:val="-49"/>
          <w:sz w:val="19"/>
          <w:szCs w:val="19"/>
        </w:rPr>
        <w:t xml:space="preserve"> </w:t>
      </w:r>
      <w:r>
        <w:rPr>
          <w:rFonts w:ascii="宋体" w:hAnsi="宋体" w:eastAsia="宋体" w:cs="宋体"/>
          <w:spacing w:val="26"/>
          <w:sz w:val="19"/>
          <w:szCs w:val="19"/>
        </w:rPr>
        <w:t xml:space="preserve">问题和教育教学工作秩序混乱问 </w:t>
      </w:r>
      <w:r>
        <w:rPr>
          <w:rFonts w:ascii="宋体" w:hAnsi="宋体" w:eastAsia="宋体" w:cs="宋体"/>
          <w:spacing w:val="15"/>
          <w:sz w:val="19"/>
          <w:szCs w:val="19"/>
        </w:rPr>
        <w:t>题</w:t>
      </w:r>
      <w:r>
        <w:rPr>
          <w:rFonts w:ascii="宋体" w:hAnsi="宋体" w:eastAsia="宋体" w:cs="宋体"/>
          <w:spacing w:val="-50"/>
          <w:sz w:val="19"/>
          <w:szCs w:val="19"/>
        </w:rPr>
        <w:t xml:space="preserve"> </w:t>
      </w:r>
      <w:r>
        <w:rPr>
          <w:rFonts w:ascii="微软雅黑" w:hAnsi="微软雅黑" w:eastAsia="微软雅黑" w:cs="微软雅黑"/>
          <w:spacing w:val="15"/>
          <w:position w:val="1"/>
          <w:sz w:val="19"/>
          <w:szCs w:val="19"/>
        </w:rPr>
        <w:t>。</w:t>
      </w:r>
      <w:r>
        <w:rPr>
          <w:rFonts w:ascii="宋体" w:hAnsi="宋体" w:eastAsia="宋体" w:cs="宋体"/>
          <w:spacing w:val="15"/>
          <w:sz w:val="19"/>
          <w:szCs w:val="19"/>
        </w:rPr>
        <w:t>近</w:t>
      </w:r>
      <w:r>
        <w:rPr>
          <w:rFonts w:ascii="宋体" w:hAnsi="宋体" w:eastAsia="宋体" w:cs="宋体"/>
          <w:spacing w:val="-21"/>
          <w:sz w:val="19"/>
          <w:szCs w:val="19"/>
        </w:rPr>
        <w:t xml:space="preserve"> </w:t>
      </w:r>
      <w:r>
        <w:rPr>
          <w:rFonts w:ascii="Arial" w:hAnsi="Arial" w:eastAsia="Arial" w:cs="Arial"/>
          <w:spacing w:val="15"/>
          <w:sz w:val="19"/>
          <w:szCs w:val="19"/>
        </w:rPr>
        <w:t>20</w:t>
      </w:r>
      <w:r>
        <w:rPr>
          <w:rFonts w:ascii="宋体" w:hAnsi="宋体" w:eastAsia="宋体" w:cs="宋体"/>
          <w:spacing w:val="15"/>
          <w:sz w:val="19"/>
          <w:szCs w:val="19"/>
        </w:rPr>
        <w:t>年来</w:t>
      </w:r>
      <w:r>
        <w:rPr>
          <w:rFonts w:ascii="微软雅黑" w:hAnsi="微软雅黑" w:eastAsia="微软雅黑" w:cs="微软雅黑"/>
          <w:spacing w:val="15"/>
          <w:position w:val="1"/>
          <w:sz w:val="19"/>
          <w:szCs w:val="19"/>
        </w:rPr>
        <w:t>，</w:t>
      </w:r>
      <w:r>
        <w:rPr>
          <w:rFonts w:ascii="宋体" w:hAnsi="宋体" w:eastAsia="宋体" w:cs="宋体"/>
          <w:spacing w:val="15"/>
          <w:sz w:val="19"/>
          <w:szCs w:val="19"/>
        </w:rPr>
        <w:t xml:space="preserve">新建本科高校和高职高专院校坚持 </w:t>
      </w:r>
      <w:r>
        <w:rPr>
          <w:rFonts w:ascii="微软雅黑" w:hAnsi="微软雅黑" w:eastAsia="微软雅黑" w:cs="微软雅黑"/>
          <w:spacing w:val="3"/>
          <w:sz w:val="19"/>
          <w:szCs w:val="19"/>
        </w:rPr>
        <w:t>“</w:t>
      </w:r>
      <w:r>
        <w:rPr>
          <w:rFonts w:ascii="微软雅黑" w:hAnsi="微软雅黑" w:eastAsia="微软雅黑" w:cs="微软雅黑"/>
          <w:spacing w:val="-11"/>
          <w:sz w:val="19"/>
          <w:szCs w:val="19"/>
        </w:rPr>
        <w:t xml:space="preserve"> </w:t>
      </w:r>
      <w:r>
        <w:rPr>
          <w:rFonts w:ascii="宋体" w:hAnsi="宋体" w:eastAsia="宋体" w:cs="宋体"/>
          <w:spacing w:val="3"/>
          <w:sz w:val="19"/>
          <w:szCs w:val="19"/>
        </w:rPr>
        <w:t>以评促建</w:t>
      </w:r>
      <w:r>
        <w:rPr>
          <w:rFonts w:ascii="微软雅黑" w:hAnsi="微软雅黑" w:eastAsia="微软雅黑" w:cs="微软雅黑"/>
          <w:spacing w:val="3"/>
          <w:sz w:val="19"/>
          <w:szCs w:val="19"/>
        </w:rPr>
        <w:t>、</w:t>
      </w:r>
      <w:r>
        <w:rPr>
          <w:rFonts w:ascii="宋体" w:hAnsi="宋体" w:eastAsia="宋体" w:cs="宋体"/>
          <w:spacing w:val="3"/>
          <w:sz w:val="19"/>
          <w:szCs w:val="19"/>
        </w:rPr>
        <w:t>以评促改</w:t>
      </w:r>
      <w:r>
        <w:rPr>
          <w:rFonts w:ascii="微软雅黑" w:hAnsi="微软雅黑" w:eastAsia="微软雅黑" w:cs="微软雅黑"/>
          <w:spacing w:val="3"/>
          <w:sz w:val="19"/>
          <w:szCs w:val="19"/>
        </w:rPr>
        <w:t>、</w:t>
      </w:r>
      <w:r>
        <w:rPr>
          <w:rFonts w:ascii="宋体" w:hAnsi="宋体" w:eastAsia="宋体" w:cs="宋体"/>
          <w:spacing w:val="3"/>
          <w:sz w:val="19"/>
          <w:szCs w:val="19"/>
        </w:rPr>
        <w:t>以评促管</w:t>
      </w:r>
      <w:r>
        <w:rPr>
          <w:rFonts w:ascii="微软雅黑" w:hAnsi="微软雅黑" w:eastAsia="微软雅黑" w:cs="微软雅黑"/>
          <w:spacing w:val="3"/>
          <w:sz w:val="19"/>
          <w:szCs w:val="19"/>
        </w:rPr>
        <w:t>，</w:t>
      </w:r>
      <w:r>
        <w:rPr>
          <w:rFonts w:ascii="宋体" w:hAnsi="宋体" w:eastAsia="宋体" w:cs="宋体"/>
          <w:spacing w:val="3"/>
          <w:sz w:val="19"/>
          <w:szCs w:val="19"/>
        </w:rPr>
        <w:t>评建结合</w:t>
      </w:r>
      <w:r>
        <w:rPr>
          <w:rFonts w:ascii="微软雅黑" w:hAnsi="微软雅黑" w:eastAsia="微软雅黑" w:cs="微软雅黑"/>
          <w:spacing w:val="3"/>
          <w:sz w:val="19"/>
          <w:szCs w:val="19"/>
        </w:rPr>
        <w:t>、</w:t>
      </w:r>
      <w:r>
        <w:rPr>
          <w:rFonts w:ascii="宋体" w:hAnsi="宋体" w:eastAsia="宋体" w:cs="宋体"/>
          <w:spacing w:val="3"/>
          <w:sz w:val="19"/>
          <w:szCs w:val="19"/>
        </w:rPr>
        <w:t xml:space="preserve">重在建 </w:t>
      </w:r>
      <w:r>
        <w:rPr>
          <w:rFonts w:ascii="宋体" w:hAnsi="宋体" w:eastAsia="宋体" w:cs="宋体"/>
          <w:spacing w:val="5"/>
          <w:sz w:val="19"/>
          <w:szCs w:val="19"/>
        </w:rPr>
        <w:t>设</w:t>
      </w:r>
      <w:r>
        <w:rPr>
          <w:rFonts w:ascii="微软雅黑" w:hAnsi="微软雅黑" w:eastAsia="微软雅黑" w:cs="微软雅黑"/>
          <w:spacing w:val="5"/>
          <w:sz w:val="19"/>
          <w:szCs w:val="19"/>
        </w:rPr>
        <w:t>”，</w:t>
      </w:r>
      <w:r>
        <w:rPr>
          <w:rFonts w:ascii="宋体" w:hAnsi="宋体" w:eastAsia="宋体" w:cs="宋体"/>
          <w:spacing w:val="5"/>
          <w:sz w:val="19"/>
          <w:szCs w:val="19"/>
        </w:rPr>
        <w:t>以评建为抓手</w:t>
      </w:r>
      <w:r>
        <w:rPr>
          <w:rFonts w:ascii="微软雅黑" w:hAnsi="微软雅黑" w:eastAsia="微软雅黑" w:cs="微软雅黑"/>
          <w:spacing w:val="5"/>
          <w:sz w:val="19"/>
          <w:szCs w:val="19"/>
        </w:rPr>
        <w:t>，</w:t>
      </w:r>
      <w:r>
        <w:rPr>
          <w:rFonts w:ascii="宋体" w:hAnsi="宋体" w:eastAsia="宋体" w:cs="宋体"/>
          <w:spacing w:val="5"/>
          <w:sz w:val="19"/>
          <w:szCs w:val="19"/>
        </w:rPr>
        <w:t>开展了大规模的基本建设</w:t>
      </w:r>
      <w:r>
        <w:rPr>
          <w:rFonts w:ascii="微软雅黑" w:hAnsi="微软雅黑" w:eastAsia="微软雅黑" w:cs="微软雅黑"/>
          <w:spacing w:val="4"/>
          <w:sz w:val="19"/>
          <w:szCs w:val="19"/>
        </w:rPr>
        <w:t>，</w:t>
      </w:r>
      <w:r>
        <w:rPr>
          <w:rFonts w:ascii="宋体" w:hAnsi="宋体" w:eastAsia="宋体" w:cs="宋体"/>
          <w:spacing w:val="4"/>
          <w:sz w:val="19"/>
          <w:szCs w:val="19"/>
        </w:rPr>
        <w:t xml:space="preserve">加强 </w:t>
      </w:r>
      <w:r>
        <w:rPr>
          <w:rFonts w:ascii="宋体" w:hAnsi="宋体" w:eastAsia="宋体" w:cs="宋体"/>
          <w:spacing w:val="13"/>
          <w:sz w:val="19"/>
          <w:szCs w:val="19"/>
        </w:rPr>
        <w:t>了师资队伍</w:t>
      </w:r>
      <w:r>
        <w:rPr>
          <w:rFonts w:ascii="微软雅黑" w:hAnsi="微软雅黑" w:eastAsia="微软雅黑" w:cs="微软雅黑"/>
          <w:spacing w:val="13"/>
          <w:sz w:val="19"/>
          <w:szCs w:val="19"/>
        </w:rPr>
        <w:t>，</w:t>
      </w:r>
      <w:r>
        <w:rPr>
          <w:rFonts w:ascii="宋体" w:hAnsi="宋体" w:eastAsia="宋体" w:cs="宋体"/>
          <w:spacing w:val="13"/>
          <w:sz w:val="19"/>
          <w:szCs w:val="19"/>
        </w:rPr>
        <w:t>基本配齐补足了办学条件</w:t>
      </w:r>
      <w:r>
        <w:rPr>
          <w:rFonts w:ascii="微软雅黑" w:hAnsi="微软雅黑" w:eastAsia="微软雅黑" w:cs="微软雅黑"/>
          <w:spacing w:val="13"/>
          <w:sz w:val="19"/>
          <w:szCs w:val="19"/>
        </w:rPr>
        <w:t>，</w:t>
      </w:r>
      <w:r>
        <w:rPr>
          <w:rFonts w:ascii="宋体" w:hAnsi="宋体" w:eastAsia="宋体" w:cs="宋体"/>
          <w:spacing w:val="13"/>
          <w:sz w:val="19"/>
          <w:szCs w:val="19"/>
        </w:rPr>
        <w:t xml:space="preserve">改善了办学 </w:t>
      </w:r>
      <w:r>
        <w:rPr>
          <w:rFonts w:ascii="宋体" w:hAnsi="宋体" w:eastAsia="宋体" w:cs="宋体"/>
          <w:spacing w:val="16"/>
          <w:sz w:val="19"/>
          <w:szCs w:val="19"/>
        </w:rPr>
        <w:t>环境</w:t>
      </w:r>
      <w:r>
        <w:rPr>
          <w:rFonts w:ascii="微软雅黑" w:hAnsi="微软雅黑" w:eastAsia="微软雅黑" w:cs="微软雅黑"/>
          <w:spacing w:val="16"/>
          <w:sz w:val="19"/>
          <w:szCs w:val="19"/>
        </w:rPr>
        <w:t>，</w:t>
      </w:r>
      <w:r>
        <w:rPr>
          <w:rFonts w:ascii="宋体" w:hAnsi="宋体" w:eastAsia="宋体" w:cs="宋体"/>
          <w:spacing w:val="16"/>
          <w:sz w:val="19"/>
          <w:szCs w:val="19"/>
        </w:rPr>
        <w:t>健全了教育教学制度</w:t>
      </w:r>
      <w:r>
        <w:rPr>
          <w:rFonts w:ascii="微软雅黑" w:hAnsi="微软雅黑" w:eastAsia="微软雅黑" w:cs="微软雅黑"/>
          <w:spacing w:val="16"/>
          <w:sz w:val="19"/>
          <w:szCs w:val="19"/>
        </w:rPr>
        <w:t>，</w:t>
      </w:r>
      <w:r>
        <w:rPr>
          <w:rFonts w:ascii="宋体" w:hAnsi="宋体" w:eastAsia="宋体" w:cs="宋体"/>
          <w:spacing w:val="16"/>
          <w:sz w:val="19"/>
          <w:szCs w:val="19"/>
        </w:rPr>
        <w:t>完善了人才培养体系</w:t>
      </w:r>
      <w:r>
        <w:rPr>
          <w:rFonts w:ascii="微软雅黑" w:hAnsi="微软雅黑" w:eastAsia="微软雅黑" w:cs="微软雅黑"/>
          <w:spacing w:val="16"/>
          <w:sz w:val="19"/>
          <w:szCs w:val="19"/>
        </w:rPr>
        <w:t>。</w:t>
      </w:r>
    </w:p>
    <w:p>
      <w:pPr>
        <w:spacing w:line="14" w:lineRule="auto"/>
        <w:rPr>
          <w:rFonts w:ascii="Arial"/>
          <w:sz w:val="2"/>
        </w:rPr>
      </w:pPr>
      <w:r>
        <w:rPr>
          <w:rFonts w:ascii="Arial" w:hAnsi="Arial" w:eastAsia="Arial" w:cs="Arial"/>
          <w:sz w:val="2"/>
          <w:szCs w:val="2"/>
        </w:rPr>
        <w:br w:type="column"/>
      </w:r>
    </w:p>
    <w:p>
      <w:pPr>
        <w:spacing w:before="37" w:line="220" w:lineRule="auto"/>
        <w:ind w:left="90" w:right="74" w:hanging="1"/>
        <w:jc w:val="both"/>
        <w:rPr>
          <w:rFonts w:ascii="微软雅黑" w:hAnsi="微软雅黑" w:eastAsia="微软雅黑" w:cs="微软雅黑"/>
          <w:sz w:val="19"/>
          <w:szCs w:val="19"/>
        </w:rPr>
      </w:pPr>
      <w:r>
        <w:rPr>
          <w:rFonts w:ascii="宋体" w:hAnsi="宋体" w:eastAsia="宋体" w:cs="宋体"/>
          <w:spacing w:val="18"/>
          <w:sz w:val="19"/>
          <w:szCs w:val="19"/>
        </w:rPr>
        <w:t>评建文化已经在高校初步扎根</w:t>
      </w:r>
      <w:r>
        <w:rPr>
          <w:rFonts w:ascii="微软雅黑" w:hAnsi="微软雅黑" w:eastAsia="微软雅黑" w:cs="微软雅黑"/>
          <w:spacing w:val="18"/>
          <w:sz w:val="19"/>
          <w:szCs w:val="19"/>
        </w:rPr>
        <w:t>，</w:t>
      </w:r>
      <w:r>
        <w:rPr>
          <w:rFonts w:ascii="宋体" w:hAnsi="宋体" w:eastAsia="宋体" w:cs="宋体"/>
          <w:spacing w:val="18"/>
          <w:sz w:val="19"/>
          <w:szCs w:val="19"/>
        </w:rPr>
        <w:t>评估认证已经成为</w:t>
      </w:r>
      <w:r>
        <w:rPr>
          <w:rFonts w:ascii="宋体" w:hAnsi="宋体" w:eastAsia="宋体" w:cs="宋体"/>
          <w:spacing w:val="14"/>
          <w:sz w:val="19"/>
          <w:szCs w:val="19"/>
        </w:rPr>
        <w:t xml:space="preserve"> </w:t>
      </w:r>
      <w:r>
        <w:rPr>
          <w:rFonts w:ascii="宋体" w:hAnsi="宋体" w:eastAsia="宋体" w:cs="宋体"/>
          <w:spacing w:val="16"/>
          <w:sz w:val="19"/>
          <w:szCs w:val="19"/>
        </w:rPr>
        <w:t>高校谋求更好发展</w:t>
      </w:r>
      <w:r>
        <w:rPr>
          <w:rFonts w:ascii="微软雅黑" w:hAnsi="微软雅黑" w:eastAsia="微软雅黑" w:cs="微软雅黑"/>
          <w:spacing w:val="16"/>
          <w:sz w:val="19"/>
          <w:szCs w:val="19"/>
        </w:rPr>
        <w:t>、</w:t>
      </w:r>
      <w:r>
        <w:rPr>
          <w:rFonts w:ascii="宋体" w:hAnsi="宋体" w:eastAsia="宋体" w:cs="宋体"/>
          <w:spacing w:val="16"/>
          <w:sz w:val="19"/>
          <w:szCs w:val="19"/>
        </w:rPr>
        <w:t>提高办学水平的重要手段</w:t>
      </w:r>
      <w:r>
        <w:rPr>
          <w:rFonts w:ascii="宋体" w:hAnsi="宋体" w:eastAsia="宋体" w:cs="宋体"/>
          <w:spacing w:val="-37"/>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评</w:t>
      </w:r>
      <w:r>
        <w:rPr>
          <w:rFonts w:ascii="宋体" w:hAnsi="宋体" w:eastAsia="宋体" w:cs="宋体"/>
          <w:sz w:val="19"/>
          <w:szCs w:val="19"/>
        </w:rPr>
        <w:t xml:space="preserve"> </w:t>
      </w:r>
      <w:r>
        <w:rPr>
          <w:rFonts w:ascii="宋体" w:hAnsi="宋体" w:eastAsia="宋体" w:cs="宋体"/>
          <w:spacing w:val="18"/>
          <w:sz w:val="19"/>
          <w:szCs w:val="19"/>
        </w:rPr>
        <w:t>建文化的形成是高校办学走向正规化</w:t>
      </w:r>
      <w:r>
        <w:rPr>
          <w:rFonts w:ascii="微软雅黑" w:hAnsi="微软雅黑" w:eastAsia="微软雅黑" w:cs="微软雅黑"/>
          <w:spacing w:val="18"/>
          <w:sz w:val="19"/>
          <w:szCs w:val="19"/>
        </w:rPr>
        <w:t>、</w:t>
      </w:r>
      <w:r>
        <w:rPr>
          <w:rFonts w:ascii="宋体" w:hAnsi="宋体" w:eastAsia="宋体" w:cs="宋体"/>
          <w:spacing w:val="18"/>
          <w:sz w:val="19"/>
          <w:szCs w:val="19"/>
        </w:rPr>
        <w:t>办学质量得</w:t>
      </w:r>
      <w:r>
        <w:rPr>
          <w:rFonts w:ascii="宋体" w:hAnsi="宋体" w:eastAsia="宋体" w:cs="宋体"/>
          <w:spacing w:val="13"/>
          <w:sz w:val="19"/>
          <w:szCs w:val="19"/>
        </w:rPr>
        <w:t xml:space="preserve"> </w:t>
      </w:r>
      <w:r>
        <w:rPr>
          <w:rFonts w:ascii="宋体" w:hAnsi="宋体" w:eastAsia="宋体" w:cs="宋体"/>
          <w:spacing w:val="18"/>
          <w:sz w:val="19"/>
          <w:szCs w:val="19"/>
        </w:rPr>
        <w:t>到社会认可不可缺少的条件</w:t>
      </w:r>
      <w:r>
        <w:rPr>
          <w:rFonts w:ascii="微软雅黑" w:hAnsi="微软雅黑" w:eastAsia="微软雅黑" w:cs="微软雅黑"/>
          <w:spacing w:val="18"/>
          <w:sz w:val="19"/>
          <w:szCs w:val="19"/>
        </w:rPr>
        <w:t>。</w:t>
      </w:r>
    </w:p>
    <w:p>
      <w:pPr>
        <w:spacing w:before="60" w:line="207" w:lineRule="auto"/>
        <w:ind w:right="77" w:firstLine="526"/>
        <w:rPr>
          <w:rFonts w:ascii="微软雅黑" w:hAnsi="微软雅黑" w:eastAsia="微软雅黑" w:cs="微软雅黑"/>
          <w:sz w:val="19"/>
          <w:szCs w:val="19"/>
        </w:rPr>
      </w:pPr>
      <w:r>
        <w:rPr>
          <w:rFonts w:ascii="微软雅黑" w:hAnsi="微软雅黑" w:eastAsia="微软雅黑" w:cs="微软雅黑"/>
          <w:spacing w:val="21"/>
          <w:sz w:val="19"/>
          <w:szCs w:val="19"/>
        </w:rPr>
        <w:t>(</w:t>
      </w:r>
      <w:r>
        <w:rPr>
          <w:rFonts w:ascii="Arial" w:hAnsi="Arial" w:eastAsia="Arial" w:cs="Arial"/>
          <w:spacing w:val="21"/>
          <w:sz w:val="19"/>
          <w:szCs w:val="19"/>
        </w:rPr>
        <w:t>3</w:t>
      </w:r>
      <w:r>
        <w:rPr>
          <w:rFonts w:ascii="微软雅黑" w:hAnsi="微软雅黑" w:eastAsia="微软雅黑" w:cs="微软雅黑"/>
          <w:spacing w:val="21"/>
          <w:sz w:val="19"/>
          <w:szCs w:val="19"/>
        </w:rPr>
        <w:t>)</w:t>
      </w:r>
      <w:r>
        <w:rPr>
          <w:rFonts w:ascii="微软雅黑" w:hAnsi="微软雅黑" w:eastAsia="微软雅黑" w:cs="微软雅黑"/>
          <w:spacing w:val="1"/>
          <w:sz w:val="19"/>
          <w:szCs w:val="19"/>
        </w:rPr>
        <w:t xml:space="preserve"> </w:t>
      </w:r>
      <w:r>
        <w:rPr>
          <w:rFonts w:ascii="宋体" w:hAnsi="宋体" w:eastAsia="宋体" w:cs="宋体"/>
          <w:spacing w:val="21"/>
          <w:sz w:val="19"/>
          <w:szCs w:val="19"/>
        </w:rPr>
        <w:t>质量文化建设是展示高等教育社会功能的</w:t>
      </w:r>
      <w:r>
        <w:rPr>
          <w:rFonts w:ascii="宋体" w:hAnsi="宋体" w:eastAsia="宋体" w:cs="宋体"/>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31"/>
          <w:sz w:val="19"/>
          <w:szCs w:val="19"/>
        </w:rPr>
        <w:t xml:space="preserve"> </w:t>
      </w:r>
      <w:r>
        <w:rPr>
          <w:rFonts w:ascii="宋体" w:hAnsi="宋体" w:eastAsia="宋体" w:cs="宋体"/>
          <w:spacing w:val="-4"/>
          <w:sz w:val="19"/>
          <w:szCs w:val="19"/>
        </w:rPr>
        <w:t>显示屏</w:t>
      </w:r>
      <w:r>
        <w:rPr>
          <w:rFonts w:ascii="微软雅黑" w:hAnsi="微软雅黑" w:eastAsia="微软雅黑" w:cs="微软雅黑"/>
          <w:spacing w:val="-4"/>
          <w:sz w:val="19"/>
          <w:szCs w:val="19"/>
        </w:rPr>
        <w:t>”。</w:t>
      </w:r>
    </w:p>
    <w:p>
      <w:pPr>
        <w:spacing w:before="65" w:line="235" w:lineRule="auto"/>
        <w:ind w:left="88" w:right="4" w:firstLine="425"/>
        <w:rPr>
          <w:rFonts w:ascii="微软雅黑" w:hAnsi="微软雅黑" w:eastAsia="微软雅黑" w:cs="微软雅黑"/>
          <w:sz w:val="19"/>
          <w:szCs w:val="19"/>
        </w:rPr>
      </w:pPr>
      <w:r>
        <w:rPr>
          <w:rFonts w:ascii="宋体" w:hAnsi="宋体" w:eastAsia="宋体" w:cs="宋体"/>
          <w:spacing w:val="17"/>
          <w:sz w:val="19"/>
          <w:szCs w:val="19"/>
        </w:rPr>
        <w:t>高等教育是培养高级专门人才的活动</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是促进 </w:t>
      </w:r>
      <w:r>
        <w:rPr>
          <w:rFonts w:ascii="宋体" w:hAnsi="宋体" w:eastAsia="宋体" w:cs="宋体"/>
          <w:spacing w:val="8"/>
          <w:sz w:val="19"/>
          <w:szCs w:val="19"/>
        </w:rPr>
        <w:t>国家经济社会发展的</w:t>
      </w:r>
      <w:r>
        <w:rPr>
          <w:rFonts w:ascii="微软雅黑" w:hAnsi="微软雅黑" w:eastAsia="微软雅黑" w:cs="微软雅黑"/>
          <w:spacing w:val="8"/>
          <w:sz w:val="19"/>
          <w:szCs w:val="19"/>
        </w:rPr>
        <w:t>“</w:t>
      </w:r>
      <w:r>
        <w:rPr>
          <w:rFonts w:ascii="微软雅黑" w:hAnsi="微软雅黑" w:eastAsia="微软雅黑" w:cs="微软雅黑"/>
          <w:spacing w:val="-31"/>
          <w:sz w:val="19"/>
          <w:szCs w:val="19"/>
        </w:rPr>
        <w:t xml:space="preserve"> </w:t>
      </w:r>
      <w:r>
        <w:rPr>
          <w:rFonts w:ascii="宋体" w:hAnsi="宋体" w:eastAsia="宋体" w:cs="宋体"/>
          <w:spacing w:val="8"/>
          <w:sz w:val="19"/>
          <w:szCs w:val="19"/>
        </w:rPr>
        <w:t>工作母机</w:t>
      </w:r>
      <w:r>
        <w:rPr>
          <w:rFonts w:ascii="微软雅黑" w:hAnsi="微软雅黑" w:eastAsia="微软雅黑" w:cs="微软雅黑"/>
          <w:spacing w:val="8"/>
          <w:sz w:val="19"/>
          <w:szCs w:val="19"/>
        </w:rPr>
        <w:t>”，</w:t>
      </w:r>
      <w:r>
        <w:rPr>
          <w:rFonts w:ascii="宋体" w:hAnsi="宋体" w:eastAsia="宋体" w:cs="宋体"/>
          <w:spacing w:val="8"/>
          <w:sz w:val="19"/>
          <w:szCs w:val="19"/>
        </w:rPr>
        <w:t xml:space="preserve">它以培养德智体 </w:t>
      </w:r>
      <w:r>
        <w:rPr>
          <w:rFonts w:ascii="宋体" w:hAnsi="宋体" w:eastAsia="宋体" w:cs="宋体"/>
          <w:spacing w:val="22"/>
          <w:sz w:val="19"/>
          <w:szCs w:val="19"/>
        </w:rPr>
        <w:t>美劳全面发展的社会事业建设者和接班人为己</w:t>
      </w:r>
      <w:r>
        <w:rPr>
          <w:rFonts w:ascii="宋体" w:hAnsi="宋体" w:eastAsia="宋体" w:cs="宋体"/>
          <w:spacing w:val="21"/>
          <w:sz w:val="19"/>
          <w:szCs w:val="19"/>
        </w:rPr>
        <w:t>任</w:t>
      </w:r>
      <w:r>
        <w:rPr>
          <w:rFonts w:ascii="微软雅黑" w:hAnsi="微软雅黑" w:eastAsia="微软雅黑" w:cs="微软雅黑"/>
          <w:spacing w:val="21"/>
          <w:sz w:val="19"/>
          <w:szCs w:val="19"/>
        </w:rPr>
        <w:t>，</w:t>
      </w:r>
      <w:r>
        <w:rPr>
          <w:rFonts w:ascii="微软雅黑" w:hAnsi="微软雅黑" w:eastAsia="微软雅黑" w:cs="微软雅黑"/>
          <w:sz w:val="19"/>
          <w:szCs w:val="19"/>
        </w:rPr>
        <w:t xml:space="preserve"> </w:t>
      </w:r>
      <w:r>
        <w:rPr>
          <w:rFonts w:ascii="宋体" w:hAnsi="宋体" w:eastAsia="宋体" w:cs="宋体"/>
          <w:spacing w:val="15"/>
          <w:sz w:val="19"/>
          <w:szCs w:val="19"/>
        </w:rPr>
        <w:t>是社会文明进步的核心力量</w:t>
      </w:r>
      <w:r>
        <w:rPr>
          <w:rFonts w:ascii="宋体" w:hAnsi="宋体" w:eastAsia="宋体" w:cs="宋体"/>
          <w:spacing w:val="-51"/>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5"/>
          <w:sz w:val="19"/>
          <w:szCs w:val="19"/>
        </w:rPr>
        <w:t>不过</w:t>
      </w:r>
      <w:r>
        <w:rPr>
          <w:rFonts w:ascii="微软雅黑" w:hAnsi="微软雅黑" w:eastAsia="微软雅黑" w:cs="微软雅黑"/>
          <w:spacing w:val="15"/>
          <w:sz w:val="19"/>
          <w:szCs w:val="19"/>
        </w:rPr>
        <w:t>，</w:t>
      </w:r>
      <w:r>
        <w:rPr>
          <w:rFonts w:ascii="宋体" w:hAnsi="宋体" w:eastAsia="宋体" w:cs="宋体"/>
          <w:spacing w:val="15"/>
          <w:sz w:val="19"/>
          <w:szCs w:val="19"/>
        </w:rPr>
        <w:t>高等教育的</w:t>
      </w:r>
      <w:r>
        <w:rPr>
          <w:rFonts w:ascii="宋体" w:hAnsi="宋体" w:eastAsia="宋体" w:cs="宋体"/>
          <w:spacing w:val="14"/>
          <w:sz w:val="19"/>
          <w:szCs w:val="19"/>
        </w:rPr>
        <w:t xml:space="preserve">社 </w:t>
      </w:r>
      <w:r>
        <w:rPr>
          <w:rFonts w:ascii="宋体" w:hAnsi="宋体" w:eastAsia="宋体" w:cs="宋体"/>
          <w:spacing w:val="17"/>
          <w:sz w:val="19"/>
          <w:szCs w:val="19"/>
        </w:rPr>
        <w:t>会功能不是直接实现的</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而是通过所培养的人这个 </w:t>
      </w:r>
      <w:r>
        <w:rPr>
          <w:rFonts w:ascii="宋体" w:hAnsi="宋体" w:eastAsia="宋体" w:cs="宋体"/>
          <w:spacing w:val="16"/>
          <w:sz w:val="19"/>
          <w:szCs w:val="19"/>
        </w:rPr>
        <w:t>中介来完成的</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不仅如此</w:t>
      </w:r>
      <w:r>
        <w:rPr>
          <w:rFonts w:ascii="微软雅黑" w:hAnsi="微软雅黑" w:eastAsia="微软雅黑" w:cs="微软雅黑"/>
          <w:spacing w:val="16"/>
          <w:sz w:val="19"/>
          <w:szCs w:val="19"/>
        </w:rPr>
        <w:t>，</w:t>
      </w:r>
      <w:r>
        <w:rPr>
          <w:rFonts w:ascii="宋体" w:hAnsi="宋体" w:eastAsia="宋体" w:cs="宋体"/>
          <w:spacing w:val="16"/>
          <w:sz w:val="19"/>
          <w:szCs w:val="19"/>
        </w:rPr>
        <w:t>其社会功能不是</w:t>
      </w:r>
      <w:r>
        <w:rPr>
          <w:rFonts w:ascii="宋体" w:hAnsi="宋体" w:eastAsia="宋体" w:cs="宋体"/>
          <w:spacing w:val="15"/>
          <w:sz w:val="19"/>
          <w:szCs w:val="19"/>
        </w:rPr>
        <w:t>在高等 教育过程中实现的</w:t>
      </w:r>
      <w:r>
        <w:rPr>
          <w:rFonts w:ascii="微软雅黑" w:hAnsi="微软雅黑" w:eastAsia="微软雅黑" w:cs="微软雅黑"/>
          <w:spacing w:val="15"/>
          <w:sz w:val="19"/>
          <w:szCs w:val="19"/>
        </w:rPr>
        <w:t>，</w:t>
      </w:r>
      <w:r>
        <w:rPr>
          <w:rFonts w:ascii="宋体" w:hAnsi="宋体" w:eastAsia="宋体" w:cs="宋体"/>
          <w:spacing w:val="15"/>
          <w:sz w:val="19"/>
          <w:szCs w:val="19"/>
        </w:rPr>
        <w:t>而是具有长期性和发散性</w:t>
      </w:r>
      <w:r>
        <w:rPr>
          <w:rFonts w:ascii="宋体" w:hAnsi="宋体" w:eastAsia="宋体" w:cs="宋体"/>
          <w:spacing w:val="-33"/>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所 </w:t>
      </w:r>
      <w:r>
        <w:rPr>
          <w:rFonts w:ascii="宋体" w:hAnsi="宋体" w:eastAsia="宋体" w:cs="宋体"/>
          <w:spacing w:val="17"/>
          <w:sz w:val="19"/>
          <w:szCs w:val="19"/>
        </w:rPr>
        <w:t>谓长期性</w:t>
      </w:r>
      <w:r>
        <w:rPr>
          <w:rFonts w:ascii="微软雅黑" w:hAnsi="微软雅黑" w:eastAsia="微软雅黑" w:cs="微软雅黑"/>
          <w:spacing w:val="17"/>
          <w:sz w:val="19"/>
          <w:szCs w:val="19"/>
        </w:rPr>
        <w:t>，</w:t>
      </w:r>
      <w:r>
        <w:rPr>
          <w:rFonts w:ascii="宋体" w:hAnsi="宋体" w:eastAsia="宋体" w:cs="宋体"/>
          <w:spacing w:val="17"/>
          <w:sz w:val="19"/>
          <w:szCs w:val="19"/>
        </w:rPr>
        <w:t>是指高等教育的社会功能不是一种立竿 见影的作用</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往往需要经过很长时间才能逐步体现 </w:t>
      </w:r>
      <w:r>
        <w:rPr>
          <w:rFonts w:ascii="宋体" w:hAnsi="宋体" w:eastAsia="宋体" w:cs="宋体"/>
          <w:spacing w:val="16"/>
          <w:sz w:val="19"/>
          <w:szCs w:val="19"/>
        </w:rPr>
        <w:t>出来</w:t>
      </w:r>
      <w:r>
        <w:rPr>
          <w:rFonts w:ascii="宋体" w:hAnsi="宋体" w:eastAsia="宋体" w:cs="宋体"/>
          <w:spacing w:val="-53"/>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有的大学排行榜将毕业生中获得诺贝尔</w:t>
      </w:r>
      <w:r>
        <w:rPr>
          <w:rFonts w:ascii="宋体" w:hAnsi="宋体" w:eastAsia="宋体" w:cs="宋体"/>
          <w:spacing w:val="15"/>
          <w:sz w:val="19"/>
          <w:szCs w:val="19"/>
        </w:rPr>
        <w:t xml:space="preserve">奖等 </w:t>
      </w:r>
      <w:r>
        <w:rPr>
          <w:rFonts w:ascii="宋体" w:hAnsi="宋体" w:eastAsia="宋体" w:cs="宋体"/>
          <w:spacing w:val="17"/>
          <w:sz w:val="19"/>
          <w:szCs w:val="19"/>
        </w:rPr>
        <w:t xml:space="preserve">科技成就奖者作为高等教育社会功能或贡献的主要 </w:t>
      </w:r>
      <w:r>
        <w:rPr>
          <w:rFonts w:ascii="宋体" w:hAnsi="宋体" w:eastAsia="宋体" w:cs="宋体"/>
          <w:spacing w:val="7"/>
          <w:sz w:val="19"/>
          <w:szCs w:val="19"/>
        </w:rPr>
        <w:t>指标</w:t>
      </w:r>
      <w:r>
        <w:rPr>
          <w:rFonts w:ascii="微软雅黑" w:hAnsi="微软雅黑" w:eastAsia="微软雅黑" w:cs="微软雅黑"/>
          <w:spacing w:val="7"/>
          <w:sz w:val="19"/>
          <w:szCs w:val="19"/>
        </w:rPr>
        <w:t>，</w:t>
      </w:r>
      <w:r>
        <w:rPr>
          <w:rFonts w:ascii="宋体" w:hAnsi="宋体" w:eastAsia="宋体" w:cs="宋体"/>
          <w:spacing w:val="7"/>
          <w:sz w:val="19"/>
          <w:szCs w:val="19"/>
        </w:rPr>
        <w:t>其实</w:t>
      </w:r>
      <w:r>
        <w:rPr>
          <w:rFonts w:ascii="微软雅黑" w:hAnsi="微软雅黑" w:eastAsia="微软雅黑" w:cs="微软雅黑"/>
          <w:spacing w:val="7"/>
          <w:sz w:val="19"/>
          <w:szCs w:val="19"/>
        </w:rPr>
        <w:t>，</w:t>
      </w:r>
      <w:r>
        <w:rPr>
          <w:rFonts w:ascii="宋体" w:hAnsi="宋体" w:eastAsia="宋体" w:cs="宋体"/>
          <w:spacing w:val="7"/>
          <w:sz w:val="19"/>
          <w:szCs w:val="19"/>
        </w:rPr>
        <w:t>从毕业到获奖常常需要数十年时间</w:t>
      </w:r>
      <w:r>
        <w:rPr>
          <w:rFonts w:ascii="宋体" w:hAnsi="宋体" w:eastAsia="宋体" w:cs="宋体"/>
          <w:spacing w:val="-46"/>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在 </w:t>
      </w:r>
      <w:r>
        <w:rPr>
          <w:rFonts w:ascii="宋体" w:hAnsi="宋体" w:eastAsia="宋体" w:cs="宋体"/>
          <w:spacing w:val="17"/>
          <w:sz w:val="19"/>
          <w:szCs w:val="19"/>
        </w:rPr>
        <w:t>这数十年中</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有太多的因素可能影响毕业生的社会 </w:t>
      </w:r>
      <w:r>
        <w:rPr>
          <w:rFonts w:ascii="宋体" w:hAnsi="宋体" w:eastAsia="宋体" w:cs="宋体"/>
          <w:spacing w:val="9"/>
          <w:sz w:val="19"/>
          <w:szCs w:val="19"/>
        </w:rPr>
        <w:t>成就</w:t>
      </w:r>
      <w:r>
        <w:rPr>
          <w:rFonts w:ascii="微软雅黑" w:hAnsi="微软雅黑" w:eastAsia="微软雅黑" w:cs="微软雅黑"/>
          <w:spacing w:val="9"/>
          <w:sz w:val="19"/>
          <w:szCs w:val="19"/>
        </w:rPr>
        <w:t>，</w:t>
      </w:r>
      <w:r>
        <w:rPr>
          <w:rFonts w:ascii="宋体" w:hAnsi="宋体" w:eastAsia="宋体" w:cs="宋体"/>
          <w:spacing w:val="9"/>
          <w:sz w:val="19"/>
          <w:szCs w:val="19"/>
        </w:rPr>
        <w:t>他所接受的高等教育可能有影响</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也可能没有 </w:t>
      </w:r>
      <w:r>
        <w:rPr>
          <w:rFonts w:ascii="宋体" w:hAnsi="宋体" w:eastAsia="宋体" w:cs="宋体"/>
          <w:spacing w:val="16"/>
          <w:sz w:val="19"/>
          <w:szCs w:val="19"/>
        </w:rPr>
        <w:t>什么影响</w:t>
      </w:r>
      <w:r>
        <w:rPr>
          <w:rFonts w:ascii="宋体" w:hAnsi="宋体" w:eastAsia="宋体" w:cs="宋体"/>
          <w:spacing w:val="-53"/>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所谓发散性</w:t>
      </w:r>
      <w:r>
        <w:rPr>
          <w:rFonts w:ascii="微软雅黑" w:hAnsi="微软雅黑" w:eastAsia="微软雅黑" w:cs="微软雅黑"/>
          <w:spacing w:val="16"/>
          <w:sz w:val="19"/>
          <w:szCs w:val="19"/>
        </w:rPr>
        <w:t>，</w:t>
      </w:r>
      <w:r>
        <w:rPr>
          <w:rFonts w:ascii="宋体" w:hAnsi="宋体" w:eastAsia="宋体" w:cs="宋体"/>
          <w:spacing w:val="16"/>
          <w:sz w:val="19"/>
          <w:szCs w:val="19"/>
        </w:rPr>
        <w:t>是指高等教育的社会</w:t>
      </w:r>
      <w:r>
        <w:rPr>
          <w:rFonts w:ascii="宋体" w:hAnsi="宋体" w:eastAsia="宋体" w:cs="宋体"/>
          <w:spacing w:val="15"/>
          <w:sz w:val="19"/>
          <w:szCs w:val="19"/>
        </w:rPr>
        <w:t xml:space="preserve">功能 </w:t>
      </w:r>
      <w:r>
        <w:rPr>
          <w:rFonts w:ascii="宋体" w:hAnsi="宋体" w:eastAsia="宋体" w:cs="宋体"/>
          <w:spacing w:val="16"/>
          <w:sz w:val="19"/>
          <w:szCs w:val="19"/>
        </w:rPr>
        <w:t>表现在很多方面</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很多调查表明</w:t>
      </w:r>
      <w:r>
        <w:rPr>
          <w:rFonts w:ascii="微软雅黑" w:hAnsi="微软雅黑" w:eastAsia="微软雅黑" w:cs="微软雅黑"/>
          <w:spacing w:val="16"/>
          <w:sz w:val="19"/>
          <w:szCs w:val="19"/>
        </w:rPr>
        <w:t>，</w:t>
      </w:r>
      <w:r>
        <w:rPr>
          <w:rFonts w:ascii="宋体" w:hAnsi="宋体" w:eastAsia="宋体" w:cs="宋体"/>
          <w:spacing w:val="16"/>
          <w:sz w:val="19"/>
          <w:szCs w:val="19"/>
        </w:rPr>
        <w:t>毕业生在</w:t>
      </w:r>
      <w:r>
        <w:rPr>
          <w:rFonts w:ascii="宋体" w:hAnsi="宋体" w:eastAsia="宋体" w:cs="宋体"/>
          <w:spacing w:val="15"/>
          <w:sz w:val="19"/>
          <w:szCs w:val="19"/>
        </w:rPr>
        <w:t xml:space="preserve">不同行 </w:t>
      </w:r>
      <w:r>
        <w:rPr>
          <w:rFonts w:ascii="宋体" w:hAnsi="宋体" w:eastAsia="宋体" w:cs="宋体"/>
          <w:spacing w:val="17"/>
          <w:sz w:val="19"/>
          <w:szCs w:val="19"/>
        </w:rPr>
        <w:t>业部门职业岗位流动是很常见的事情</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他们所从事 的很多岗位或职业与他们所学习的专业往往关系不 </w:t>
      </w:r>
      <w:r>
        <w:rPr>
          <w:rFonts w:ascii="宋体" w:hAnsi="宋体" w:eastAsia="宋体" w:cs="宋体"/>
          <w:spacing w:val="7"/>
          <w:sz w:val="19"/>
          <w:szCs w:val="19"/>
        </w:rPr>
        <w:t>大</w:t>
      </w:r>
      <w:r>
        <w:rPr>
          <w:rFonts w:ascii="微软雅黑" w:hAnsi="微软雅黑" w:eastAsia="微软雅黑" w:cs="微软雅黑"/>
          <w:spacing w:val="7"/>
          <w:sz w:val="19"/>
          <w:szCs w:val="19"/>
        </w:rPr>
        <w:t>，</w:t>
      </w:r>
      <w:r>
        <w:rPr>
          <w:rFonts w:ascii="宋体" w:hAnsi="宋体" w:eastAsia="宋体" w:cs="宋体"/>
          <w:spacing w:val="7"/>
          <w:sz w:val="19"/>
          <w:szCs w:val="19"/>
        </w:rPr>
        <w:t>有的甚至根本没有关系</w:t>
      </w:r>
      <w:r>
        <w:rPr>
          <w:rFonts w:ascii="宋体" w:hAnsi="宋体" w:eastAsia="宋体" w:cs="宋体"/>
          <w:spacing w:val="-46"/>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所以</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考察或评判高等 </w:t>
      </w:r>
      <w:r>
        <w:rPr>
          <w:rFonts w:ascii="宋体" w:hAnsi="宋体" w:eastAsia="宋体" w:cs="宋体"/>
          <w:spacing w:val="19"/>
          <w:sz w:val="19"/>
          <w:szCs w:val="19"/>
        </w:rPr>
        <w:t>教育的社会功能并非易事</w:t>
      </w:r>
      <w:r>
        <w:rPr>
          <w:rFonts w:ascii="微软雅黑" w:hAnsi="微软雅黑" w:eastAsia="微软雅黑" w:cs="微软雅黑"/>
          <w:spacing w:val="19"/>
          <w:sz w:val="19"/>
          <w:szCs w:val="19"/>
        </w:rPr>
        <w:t>。</w:t>
      </w:r>
    </w:p>
    <w:p>
      <w:pPr>
        <w:spacing w:before="58" w:line="235" w:lineRule="auto"/>
        <w:ind w:left="89" w:firstLine="422"/>
        <w:rPr>
          <w:rFonts w:ascii="宋体" w:hAnsi="宋体" w:eastAsia="宋体" w:cs="宋体"/>
          <w:sz w:val="19"/>
          <w:szCs w:val="19"/>
        </w:rPr>
      </w:pPr>
      <w:r>
        <w:rPr>
          <w:rFonts w:ascii="宋体" w:hAnsi="宋体" w:eastAsia="宋体" w:cs="宋体"/>
          <w:spacing w:val="17"/>
          <w:sz w:val="19"/>
          <w:szCs w:val="19"/>
        </w:rPr>
        <w:t xml:space="preserve">质量文化建设是高教界展示高等教育社会功能 </w:t>
      </w:r>
      <w:r>
        <w:rPr>
          <w:rFonts w:ascii="宋体" w:hAnsi="宋体" w:eastAsia="宋体" w:cs="宋体"/>
          <w:spacing w:val="9"/>
          <w:sz w:val="19"/>
          <w:szCs w:val="19"/>
        </w:rPr>
        <w:t>的</w:t>
      </w:r>
      <w:r>
        <w:rPr>
          <w:rFonts w:ascii="微软雅黑" w:hAnsi="微软雅黑" w:eastAsia="微软雅黑" w:cs="微软雅黑"/>
          <w:spacing w:val="9"/>
          <w:sz w:val="19"/>
          <w:szCs w:val="19"/>
        </w:rPr>
        <w:t>“</w:t>
      </w:r>
      <w:r>
        <w:rPr>
          <w:rFonts w:ascii="宋体" w:hAnsi="宋体" w:eastAsia="宋体" w:cs="宋体"/>
          <w:spacing w:val="9"/>
          <w:sz w:val="19"/>
          <w:szCs w:val="19"/>
        </w:rPr>
        <w:t>显示屏</w:t>
      </w:r>
      <w:r>
        <w:rPr>
          <w:rFonts w:ascii="微软雅黑" w:hAnsi="微软雅黑" w:eastAsia="微软雅黑" w:cs="微软雅黑"/>
          <w:spacing w:val="9"/>
          <w:sz w:val="19"/>
          <w:szCs w:val="19"/>
        </w:rPr>
        <w:t>”。</w:t>
      </w:r>
      <w:r>
        <w:rPr>
          <w:rFonts w:ascii="宋体" w:hAnsi="宋体" w:eastAsia="宋体" w:cs="宋体"/>
          <w:spacing w:val="9"/>
          <w:sz w:val="19"/>
          <w:szCs w:val="19"/>
        </w:rPr>
        <w:t>质量文化建设项目实施的影响不只在 高教界内部</w:t>
      </w:r>
      <w:r>
        <w:rPr>
          <w:rFonts w:ascii="微软雅黑" w:hAnsi="微软雅黑" w:eastAsia="微软雅黑" w:cs="微软雅黑"/>
          <w:spacing w:val="9"/>
          <w:sz w:val="19"/>
          <w:szCs w:val="19"/>
        </w:rPr>
        <w:t>，</w:t>
      </w:r>
      <w:r>
        <w:rPr>
          <w:rFonts w:ascii="宋体" w:hAnsi="宋体" w:eastAsia="宋体" w:cs="宋体"/>
          <w:spacing w:val="9"/>
          <w:sz w:val="19"/>
          <w:szCs w:val="19"/>
        </w:rPr>
        <w:t>它同时也会延伸到外部</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向社会宣示高 </w:t>
      </w:r>
      <w:r>
        <w:rPr>
          <w:rFonts w:ascii="宋体" w:hAnsi="宋体" w:eastAsia="宋体" w:cs="宋体"/>
          <w:spacing w:val="15"/>
          <w:sz w:val="19"/>
          <w:szCs w:val="19"/>
        </w:rPr>
        <w:t>教界追求高等教育质量的决心和行动</w:t>
      </w:r>
      <w:r>
        <w:rPr>
          <w:rFonts w:ascii="宋体" w:hAnsi="宋体" w:eastAsia="宋体" w:cs="宋体"/>
          <w:spacing w:val="-50"/>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1"/>
          <w:sz w:val="19"/>
          <w:szCs w:val="19"/>
        </w:rPr>
        <w:t xml:space="preserve"> </w:t>
      </w:r>
      <w:r>
        <w:rPr>
          <w:rFonts w:ascii="宋体" w:hAnsi="宋体" w:eastAsia="宋体" w:cs="宋体"/>
          <w:spacing w:val="15"/>
          <w:sz w:val="19"/>
          <w:szCs w:val="19"/>
        </w:rPr>
        <w:t>近年</w:t>
      </w:r>
      <w:r>
        <w:rPr>
          <w:rFonts w:ascii="宋体" w:hAnsi="宋体" w:eastAsia="宋体" w:cs="宋体"/>
          <w:spacing w:val="14"/>
          <w:sz w:val="19"/>
          <w:szCs w:val="19"/>
        </w:rPr>
        <w:t>来</w:t>
      </w:r>
      <w:r>
        <w:rPr>
          <w:rFonts w:ascii="微软雅黑" w:hAnsi="微软雅黑" w:eastAsia="微软雅黑" w:cs="微软雅黑"/>
          <w:spacing w:val="14"/>
          <w:sz w:val="19"/>
          <w:szCs w:val="19"/>
        </w:rPr>
        <w:t>，</w:t>
      </w:r>
      <w:r>
        <w:rPr>
          <w:rFonts w:ascii="宋体" w:hAnsi="宋体" w:eastAsia="宋体" w:cs="宋体"/>
          <w:spacing w:val="14"/>
          <w:sz w:val="19"/>
          <w:szCs w:val="19"/>
        </w:rPr>
        <w:t xml:space="preserve">我 </w:t>
      </w:r>
      <w:r>
        <w:rPr>
          <w:rFonts w:ascii="宋体" w:hAnsi="宋体" w:eastAsia="宋体" w:cs="宋体"/>
          <w:spacing w:val="18"/>
          <w:sz w:val="19"/>
          <w:szCs w:val="19"/>
        </w:rPr>
        <w:t>国高教界试点实施了工程教育专业认证</w:t>
      </w:r>
      <w:r>
        <w:rPr>
          <w:rFonts w:ascii="微软雅黑" w:hAnsi="微软雅黑" w:eastAsia="微软雅黑" w:cs="微软雅黑"/>
          <w:spacing w:val="18"/>
          <w:sz w:val="19"/>
          <w:szCs w:val="19"/>
        </w:rPr>
        <w:t>、</w:t>
      </w:r>
      <w:r>
        <w:rPr>
          <w:rFonts w:ascii="宋体" w:hAnsi="宋体" w:eastAsia="宋体" w:cs="宋体"/>
          <w:spacing w:val="18"/>
          <w:sz w:val="19"/>
          <w:szCs w:val="19"/>
        </w:rPr>
        <w:t>师范</w:t>
      </w:r>
      <w:r>
        <w:rPr>
          <w:rFonts w:ascii="宋体" w:hAnsi="宋体" w:eastAsia="宋体" w:cs="宋体"/>
          <w:spacing w:val="17"/>
          <w:sz w:val="19"/>
          <w:szCs w:val="19"/>
        </w:rPr>
        <w:t xml:space="preserve">类专 </w:t>
      </w:r>
      <w:r>
        <w:rPr>
          <w:rFonts w:ascii="宋体" w:hAnsi="宋体" w:eastAsia="宋体" w:cs="宋体"/>
          <w:spacing w:val="18"/>
          <w:sz w:val="19"/>
          <w:szCs w:val="19"/>
        </w:rPr>
        <w:t>业认证和临床医学专业认证</w:t>
      </w:r>
      <w:r>
        <w:rPr>
          <w:rFonts w:ascii="微软雅黑" w:hAnsi="微软雅黑" w:eastAsia="微软雅黑" w:cs="微软雅黑"/>
          <w:spacing w:val="18"/>
          <w:sz w:val="19"/>
          <w:szCs w:val="19"/>
        </w:rPr>
        <w:t>，</w:t>
      </w:r>
      <w:r>
        <w:rPr>
          <w:rFonts w:ascii="宋体" w:hAnsi="宋体" w:eastAsia="宋体" w:cs="宋体"/>
          <w:spacing w:val="18"/>
          <w:sz w:val="19"/>
          <w:szCs w:val="19"/>
        </w:rPr>
        <w:t>认证要求相关专</w:t>
      </w:r>
      <w:r>
        <w:rPr>
          <w:rFonts w:ascii="宋体" w:hAnsi="宋体" w:eastAsia="宋体" w:cs="宋体"/>
          <w:spacing w:val="17"/>
          <w:sz w:val="19"/>
          <w:szCs w:val="19"/>
        </w:rPr>
        <w:t xml:space="preserve">业教 </w:t>
      </w:r>
      <w:r>
        <w:rPr>
          <w:rFonts w:ascii="宋体" w:hAnsi="宋体" w:eastAsia="宋体" w:cs="宋体"/>
          <w:spacing w:val="13"/>
          <w:sz w:val="19"/>
          <w:szCs w:val="19"/>
        </w:rPr>
        <w:t>育贯彻学生中心</w:t>
      </w:r>
      <w:r>
        <w:rPr>
          <w:rFonts w:ascii="微软雅黑" w:hAnsi="微软雅黑" w:eastAsia="微软雅黑" w:cs="微软雅黑"/>
          <w:spacing w:val="13"/>
          <w:sz w:val="19"/>
          <w:szCs w:val="19"/>
        </w:rPr>
        <w:t>、</w:t>
      </w:r>
      <w:r>
        <w:rPr>
          <w:rFonts w:ascii="宋体" w:hAnsi="宋体" w:eastAsia="宋体" w:cs="宋体"/>
          <w:spacing w:val="13"/>
          <w:sz w:val="19"/>
          <w:szCs w:val="19"/>
        </w:rPr>
        <w:t>成果导向和持续改进的基本</w:t>
      </w:r>
      <w:r>
        <w:rPr>
          <w:rFonts w:ascii="宋体" w:hAnsi="宋体" w:eastAsia="宋体" w:cs="宋体"/>
          <w:spacing w:val="12"/>
          <w:sz w:val="19"/>
          <w:szCs w:val="19"/>
        </w:rPr>
        <w:t>理念</w:t>
      </w:r>
      <w:r>
        <w:rPr>
          <w:rFonts w:ascii="微软雅黑" w:hAnsi="微软雅黑" w:eastAsia="微软雅黑" w:cs="微软雅黑"/>
          <w:spacing w:val="12"/>
          <w:sz w:val="19"/>
          <w:szCs w:val="19"/>
        </w:rPr>
        <w:t>，</w:t>
      </w:r>
      <w:r>
        <w:rPr>
          <w:rFonts w:ascii="微软雅黑" w:hAnsi="微软雅黑" w:eastAsia="微软雅黑" w:cs="微软雅黑"/>
          <w:sz w:val="19"/>
          <w:szCs w:val="19"/>
        </w:rPr>
        <w:t xml:space="preserve"> </w:t>
      </w:r>
      <w:r>
        <w:rPr>
          <w:rFonts w:ascii="宋体" w:hAnsi="宋体" w:eastAsia="宋体" w:cs="宋体"/>
          <w:spacing w:val="9"/>
          <w:sz w:val="19"/>
          <w:szCs w:val="19"/>
        </w:rPr>
        <w:t>把培养目标</w:t>
      </w:r>
      <w:r>
        <w:rPr>
          <w:rFonts w:ascii="微软雅黑" w:hAnsi="微软雅黑" w:eastAsia="微软雅黑" w:cs="微软雅黑"/>
          <w:spacing w:val="9"/>
          <w:sz w:val="19"/>
          <w:szCs w:val="19"/>
        </w:rPr>
        <w:t>、</w:t>
      </w:r>
      <w:r>
        <w:rPr>
          <w:rFonts w:ascii="宋体" w:hAnsi="宋体" w:eastAsia="宋体" w:cs="宋体"/>
          <w:spacing w:val="9"/>
          <w:sz w:val="19"/>
          <w:szCs w:val="19"/>
        </w:rPr>
        <w:t>毕业要求和课程教学相关联</w:t>
      </w:r>
      <w:r>
        <w:rPr>
          <w:rFonts w:ascii="微软雅黑" w:hAnsi="微软雅黑" w:eastAsia="微软雅黑" w:cs="微软雅黑"/>
          <w:spacing w:val="9"/>
          <w:sz w:val="19"/>
          <w:szCs w:val="19"/>
        </w:rPr>
        <w:t>，</w:t>
      </w:r>
      <w:r>
        <w:rPr>
          <w:rFonts w:ascii="宋体" w:hAnsi="宋体" w:eastAsia="宋体" w:cs="宋体"/>
          <w:spacing w:val="9"/>
          <w:sz w:val="19"/>
          <w:szCs w:val="19"/>
        </w:rPr>
        <w:t>对相关专 业教育教学进行全方位</w:t>
      </w:r>
      <w:r>
        <w:rPr>
          <w:rFonts w:ascii="微软雅黑" w:hAnsi="微软雅黑" w:eastAsia="微软雅黑" w:cs="微软雅黑"/>
          <w:spacing w:val="9"/>
          <w:sz w:val="19"/>
          <w:szCs w:val="19"/>
        </w:rPr>
        <w:t>、</w:t>
      </w:r>
      <w:r>
        <w:rPr>
          <w:rFonts w:ascii="宋体" w:hAnsi="宋体" w:eastAsia="宋体" w:cs="宋体"/>
          <w:spacing w:val="9"/>
          <w:sz w:val="19"/>
          <w:szCs w:val="19"/>
        </w:rPr>
        <w:t>全过程评价</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以推动各类专 </w:t>
      </w:r>
      <w:r>
        <w:rPr>
          <w:rFonts w:ascii="宋体" w:hAnsi="宋体" w:eastAsia="宋体" w:cs="宋体"/>
          <w:spacing w:val="16"/>
          <w:sz w:val="19"/>
          <w:szCs w:val="19"/>
        </w:rPr>
        <w:t>业人才培养质量的持续提升</w:t>
      </w:r>
      <w:r>
        <w:rPr>
          <w:rFonts w:ascii="宋体" w:hAnsi="宋体" w:eastAsia="宋体" w:cs="宋体"/>
          <w:spacing w:val="-51"/>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这些认证工作的开展 </w:t>
      </w:r>
      <w:r>
        <w:rPr>
          <w:rFonts w:ascii="宋体" w:hAnsi="宋体" w:eastAsia="宋体" w:cs="宋体"/>
          <w:spacing w:val="18"/>
          <w:sz w:val="19"/>
          <w:szCs w:val="19"/>
        </w:rPr>
        <w:t>既使高校相关专业办学目标更加明确</w:t>
      </w:r>
      <w:r>
        <w:rPr>
          <w:rFonts w:ascii="微软雅黑" w:hAnsi="微软雅黑" w:eastAsia="微软雅黑" w:cs="微软雅黑"/>
          <w:spacing w:val="18"/>
          <w:sz w:val="19"/>
          <w:szCs w:val="19"/>
        </w:rPr>
        <w:t>，</w:t>
      </w:r>
      <w:r>
        <w:rPr>
          <w:rFonts w:ascii="宋体" w:hAnsi="宋体" w:eastAsia="宋体" w:cs="宋体"/>
          <w:spacing w:val="18"/>
          <w:sz w:val="19"/>
          <w:szCs w:val="19"/>
        </w:rPr>
        <w:t>教育教</w:t>
      </w:r>
      <w:r>
        <w:rPr>
          <w:rFonts w:ascii="宋体" w:hAnsi="宋体" w:eastAsia="宋体" w:cs="宋体"/>
          <w:spacing w:val="17"/>
          <w:sz w:val="19"/>
          <w:szCs w:val="19"/>
        </w:rPr>
        <w:t xml:space="preserve">学工 </w:t>
      </w:r>
      <w:r>
        <w:rPr>
          <w:rFonts w:ascii="宋体" w:hAnsi="宋体" w:eastAsia="宋体" w:cs="宋体"/>
          <w:spacing w:val="9"/>
          <w:sz w:val="19"/>
          <w:szCs w:val="19"/>
        </w:rPr>
        <w:t>作更加规范可查</w:t>
      </w:r>
      <w:r>
        <w:rPr>
          <w:rFonts w:ascii="微软雅黑" w:hAnsi="微软雅黑" w:eastAsia="微软雅黑" w:cs="微软雅黑"/>
          <w:spacing w:val="9"/>
          <w:sz w:val="19"/>
          <w:szCs w:val="19"/>
        </w:rPr>
        <w:t>，</w:t>
      </w:r>
      <w:r>
        <w:rPr>
          <w:rFonts w:ascii="宋体" w:hAnsi="宋体" w:eastAsia="宋体" w:cs="宋体"/>
          <w:spacing w:val="9"/>
          <w:sz w:val="19"/>
          <w:szCs w:val="19"/>
        </w:rPr>
        <w:t>人才培养质量更有保障</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同时也使 </w:t>
      </w:r>
      <w:r>
        <w:rPr>
          <w:rFonts w:ascii="宋体" w:hAnsi="宋体" w:eastAsia="宋体" w:cs="宋体"/>
          <w:spacing w:val="18"/>
          <w:sz w:val="19"/>
          <w:szCs w:val="19"/>
        </w:rPr>
        <w:t>社会有关方面更理解高校人才培养过程与要求</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更 </w:t>
      </w:r>
      <w:r>
        <w:rPr>
          <w:rFonts w:ascii="宋体" w:hAnsi="宋体" w:eastAsia="宋体" w:cs="宋体"/>
          <w:spacing w:val="18"/>
          <w:sz w:val="19"/>
          <w:szCs w:val="19"/>
        </w:rPr>
        <w:t>清晰地了解高等教育质量的生成情况</w:t>
      </w:r>
      <w:r>
        <w:rPr>
          <w:rFonts w:ascii="微软雅黑" w:hAnsi="微软雅黑" w:eastAsia="微软雅黑" w:cs="微软雅黑"/>
          <w:spacing w:val="18"/>
          <w:sz w:val="19"/>
          <w:szCs w:val="19"/>
        </w:rPr>
        <w:t>，</w:t>
      </w:r>
      <w:r>
        <w:rPr>
          <w:rFonts w:ascii="宋体" w:hAnsi="宋体" w:eastAsia="宋体" w:cs="宋体"/>
          <w:spacing w:val="18"/>
          <w:sz w:val="19"/>
          <w:szCs w:val="19"/>
        </w:rPr>
        <w:t>尤其是</w:t>
      </w:r>
      <w:r>
        <w:rPr>
          <w:rFonts w:ascii="宋体" w:hAnsi="宋体" w:eastAsia="宋体" w:cs="宋体"/>
          <w:spacing w:val="17"/>
          <w:sz w:val="19"/>
          <w:szCs w:val="19"/>
        </w:rPr>
        <w:t xml:space="preserve">社会 </w:t>
      </w:r>
      <w:r>
        <w:rPr>
          <w:rFonts w:ascii="宋体" w:hAnsi="宋体" w:eastAsia="宋体" w:cs="宋体"/>
          <w:spacing w:val="18"/>
          <w:sz w:val="19"/>
          <w:szCs w:val="19"/>
        </w:rPr>
        <w:t>有关行业部门专业人员参与认证工作</w:t>
      </w:r>
      <w:r>
        <w:rPr>
          <w:rFonts w:ascii="微软雅黑" w:hAnsi="微软雅黑" w:eastAsia="微软雅黑" w:cs="微软雅黑"/>
          <w:spacing w:val="18"/>
          <w:sz w:val="19"/>
          <w:szCs w:val="19"/>
        </w:rPr>
        <w:t>，</w:t>
      </w:r>
      <w:r>
        <w:rPr>
          <w:rFonts w:ascii="宋体" w:hAnsi="宋体" w:eastAsia="宋体" w:cs="宋体"/>
          <w:spacing w:val="18"/>
          <w:sz w:val="19"/>
          <w:szCs w:val="19"/>
        </w:rPr>
        <w:t>更是将</w:t>
      </w:r>
      <w:r>
        <w:rPr>
          <w:rFonts w:ascii="宋体" w:hAnsi="宋体" w:eastAsia="宋体" w:cs="宋体"/>
          <w:spacing w:val="17"/>
          <w:sz w:val="19"/>
          <w:szCs w:val="19"/>
        </w:rPr>
        <w:t xml:space="preserve">社会 </w:t>
      </w:r>
      <w:r>
        <w:rPr>
          <w:rFonts w:ascii="宋体" w:hAnsi="宋体" w:eastAsia="宋体" w:cs="宋体"/>
          <w:spacing w:val="18"/>
          <w:sz w:val="19"/>
          <w:szCs w:val="19"/>
        </w:rPr>
        <w:t>生产对高校人才培养工作的意见和要求带入了</w:t>
      </w:r>
      <w:r>
        <w:rPr>
          <w:rFonts w:ascii="宋体" w:hAnsi="宋体" w:eastAsia="宋体" w:cs="宋体"/>
          <w:spacing w:val="17"/>
          <w:sz w:val="19"/>
          <w:szCs w:val="19"/>
        </w:rPr>
        <w:t xml:space="preserve">高等 </w:t>
      </w:r>
      <w:r>
        <w:rPr>
          <w:rFonts w:ascii="宋体" w:hAnsi="宋体" w:eastAsia="宋体" w:cs="宋体"/>
          <w:spacing w:val="14"/>
          <w:sz w:val="19"/>
          <w:szCs w:val="19"/>
        </w:rPr>
        <w:t>教育</w:t>
      </w:r>
      <w:r>
        <w:rPr>
          <w:rFonts w:ascii="微软雅黑" w:hAnsi="微软雅黑" w:eastAsia="微软雅黑" w:cs="微软雅黑"/>
          <w:spacing w:val="14"/>
          <w:sz w:val="19"/>
          <w:szCs w:val="19"/>
        </w:rPr>
        <w:t>，</w:t>
      </w:r>
      <w:r>
        <w:rPr>
          <w:rFonts w:ascii="宋体" w:hAnsi="宋体" w:eastAsia="宋体" w:cs="宋体"/>
          <w:spacing w:val="14"/>
          <w:sz w:val="19"/>
          <w:szCs w:val="19"/>
        </w:rPr>
        <w:t>促进</w:t>
      </w:r>
      <w:r>
        <w:rPr>
          <w:rFonts w:ascii="宋体" w:hAnsi="宋体" w:eastAsia="宋体" w:cs="宋体"/>
          <w:spacing w:val="-44"/>
          <w:sz w:val="19"/>
          <w:szCs w:val="19"/>
        </w:rPr>
        <w:t xml:space="preserve"> </w:t>
      </w:r>
      <w:r>
        <w:rPr>
          <w:rFonts w:ascii="宋体" w:hAnsi="宋体" w:eastAsia="宋体" w:cs="宋体"/>
          <w:spacing w:val="14"/>
          <w:sz w:val="19"/>
          <w:szCs w:val="19"/>
        </w:rPr>
        <w:t>了高教界</w:t>
      </w:r>
      <w:r>
        <w:rPr>
          <w:rFonts w:ascii="宋体" w:hAnsi="宋体" w:eastAsia="宋体" w:cs="宋体"/>
          <w:spacing w:val="-57"/>
          <w:sz w:val="19"/>
          <w:szCs w:val="19"/>
        </w:rPr>
        <w:t xml:space="preserve"> </w:t>
      </w:r>
      <w:r>
        <w:rPr>
          <w:rFonts w:ascii="宋体" w:hAnsi="宋体" w:eastAsia="宋体" w:cs="宋体"/>
          <w:spacing w:val="14"/>
          <w:sz w:val="19"/>
          <w:szCs w:val="19"/>
        </w:rPr>
        <w:t>与社会有关方</w:t>
      </w:r>
      <w:r>
        <w:rPr>
          <w:rFonts w:ascii="宋体" w:hAnsi="宋体" w:eastAsia="宋体" w:cs="宋体"/>
          <w:spacing w:val="-55"/>
          <w:sz w:val="19"/>
          <w:szCs w:val="19"/>
        </w:rPr>
        <w:t xml:space="preserve"> </w:t>
      </w:r>
      <w:r>
        <w:rPr>
          <w:rFonts w:ascii="宋体" w:hAnsi="宋体" w:eastAsia="宋体" w:cs="宋体"/>
          <w:spacing w:val="14"/>
          <w:sz w:val="19"/>
          <w:szCs w:val="19"/>
        </w:rPr>
        <w:t>面</w:t>
      </w:r>
      <w:r>
        <w:rPr>
          <w:rFonts w:ascii="宋体" w:hAnsi="宋体" w:eastAsia="宋体" w:cs="宋体"/>
          <w:spacing w:val="-46"/>
          <w:sz w:val="19"/>
          <w:szCs w:val="19"/>
        </w:rPr>
        <w:t xml:space="preserve"> </w:t>
      </w:r>
      <w:r>
        <w:rPr>
          <w:rFonts w:ascii="宋体" w:hAnsi="宋体" w:eastAsia="宋体" w:cs="宋体"/>
          <w:spacing w:val="14"/>
          <w:sz w:val="19"/>
          <w:szCs w:val="19"/>
        </w:rPr>
        <w:t>的有机互动</w:t>
      </w:r>
      <w:r>
        <w:rPr>
          <w:rFonts w:ascii="微软雅黑" w:hAnsi="微软雅黑" w:eastAsia="微软雅黑" w:cs="微软雅黑"/>
          <w:spacing w:val="14"/>
          <w:sz w:val="19"/>
          <w:szCs w:val="19"/>
        </w:rPr>
        <w:t>。</w:t>
      </w:r>
      <w:r>
        <w:rPr>
          <w:rFonts w:ascii="微软雅黑" w:hAnsi="微软雅黑" w:eastAsia="微软雅黑" w:cs="微软雅黑"/>
          <w:sz w:val="19"/>
          <w:szCs w:val="19"/>
        </w:rPr>
        <w:t xml:space="preserve"> </w:t>
      </w:r>
      <w:r>
        <w:rPr>
          <w:rFonts w:ascii="宋体" w:hAnsi="宋体" w:eastAsia="宋体" w:cs="宋体"/>
          <w:spacing w:val="18"/>
          <w:sz w:val="19"/>
          <w:szCs w:val="19"/>
        </w:rPr>
        <w:t>以往人们常常把高等教育质量看作一只黑箱</w:t>
      </w:r>
      <w:r>
        <w:rPr>
          <w:rFonts w:ascii="微软雅黑" w:hAnsi="微软雅黑" w:eastAsia="微软雅黑" w:cs="微软雅黑"/>
          <w:spacing w:val="18"/>
          <w:sz w:val="19"/>
          <w:szCs w:val="19"/>
        </w:rPr>
        <w:t>，</w:t>
      </w:r>
      <w:r>
        <w:rPr>
          <w:rFonts w:ascii="宋体" w:hAnsi="宋体" w:eastAsia="宋体" w:cs="宋体"/>
          <w:spacing w:val="17"/>
          <w:sz w:val="19"/>
          <w:szCs w:val="19"/>
        </w:rPr>
        <w:t xml:space="preserve">比喻 </w:t>
      </w:r>
      <w:r>
        <w:rPr>
          <w:rFonts w:ascii="宋体" w:hAnsi="宋体" w:eastAsia="宋体" w:cs="宋体"/>
          <w:spacing w:val="9"/>
          <w:sz w:val="19"/>
          <w:szCs w:val="19"/>
        </w:rPr>
        <w:t>无法透视质量的生成过程</w:t>
      </w:r>
      <w:r>
        <w:rPr>
          <w:rFonts w:ascii="微软雅黑" w:hAnsi="微软雅黑" w:eastAsia="微软雅黑" w:cs="微软雅黑"/>
          <w:spacing w:val="9"/>
          <w:sz w:val="19"/>
          <w:szCs w:val="19"/>
        </w:rPr>
        <w:t>，</w:t>
      </w:r>
      <w:r>
        <w:rPr>
          <w:rFonts w:ascii="宋体" w:hAnsi="宋体" w:eastAsia="宋体" w:cs="宋体"/>
          <w:spacing w:val="9"/>
          <w:sz w:val="19"/>
          <w:szCs w:val="19"/>
        </w:rPr>
        <w:t>有了质量文化建设</w:t>
      </w:r>
      <w:r>
        <w:rPr>
          <w:rFonts w:ascii="微软雅黑" w:hAnsi="微软雅黑" w:eastAsia="微软雅黑" w:cs="微软雅黑"/>
          <w:spacing w:val="9"/>
          <w:sz w:val="19"/>
          <w:szCs w:val="19"/>
        </w:rPr>
        <w:t>，</w:t>
      </w:r>
      <w:r>
        <w:rPr>
          <w:rFonts w:ascii="宋体" w:hAnsi="宋体" w:eastAsia="宋体" w:cs="宋体"/>
          <w:spacing w:val="9"/>
          <w:sz w:val="19"/>
          <w:szCs w:val="19"/>
        </w:rPr>
        <w:t>社会</w:t>
      </w:r>
    </w:p>
    <w:p>
      <w:pPr>
        <w:spacing w:before="85" w:line="171" w:lineRule="exact"/>
        <w:ind w:left="3927"/>
        <w:rPr>
          <w:rFonts w:ascii="微软雅黑" w:hAnsi="微软雅黑" w:eastAsia="微软雅黑" w:cs="微软雅黑"/>
          <w:sz w:val="19"/>
          <w:szCs w:val="19"/>
        </w:rPr>
      </w:pPr>
      <w:r>
        <w:rPr>
          <w:rFonts w:ascii="微软雅黑" w:hAnsi="微软雅黑" w:eastAsia="微软雅黑" w:cs="微软雅黑"/>
          <w:spacing w:val="-11"/>
          <w:sz w:val="19"/>
          <w:szCs w:val="19"/>
        </w:rPr>
        <w:t>·</w:t>
      </w:r>
      <w:r>
        <w:rPr>
          <w:rFonts w:ascii="微软雅黑" w:hAnsi="微软雅黑" w:eastAsia="微软雅黑" w:cs="微软雅黑"/>
          <w:spacing w:val="22"/>
          <w:w w:val="101"/>
          <w:sz w:val="19"/>
          <w:szCs w:val="19"/>
        </w:rPr>
        <w:t xml:space="preserve">  </w:t>
      </w:r>
      <w:r>
        <w:rPr>
          <w:rFonts w:ascii="Arial" w:hAnsi="Arial" w:eastAsia="Arial" w:cs="Arial"/>
          <w:spacing w:val="-11"/>
          <w:position w:val="-2"/>
          <w:sz w:val="19"/>
          <w:szCs w:val="19"/>
        </w:rPr>
        <w:t>13</w:t>
      </w:r>
      <w:r>
        <w:rPr>
          <w:rFonts w:ascii="Arial" w:hAnsi="Arial" w:eastAsia="Arial" w:cs="Arial"/>
          <w:spacing w:val="23"/>
          <w:position w:val="-2"/>
          <w:sz w:val="19"/>
          <w:szCs w:val="19"/>
        </w:rPr>
        <w:t xml:space="preserve">  </w:t>
      </w:r>
      <w:r>
        <w:rPr>
          <w:rFonts w:ascii="微软雅黑" w:hAnsi="微软雅黑" w:eastAsia="微软雅黑" w:cs="微软雅黑"/>
          <w:spacing w:val="-11"/>
          <w:sz w:val="19"/>
          <w:szCs w:val="19"/>
        </w:rPr>
        <w:t>·</w:t>
      </w:r>
    </w:p>
    <w:p>
      <w:pPr>
        <w:spacing w:line="171" w:lineRule="exact"/>
        <w:rPr>
          <w:rFonts w:ascii="微软雅黑" w:hAnsi="微软雅黑" w:eastAsia="微软雅黑" w:cs="微软雅黑"/>
          <w:sz w:val="19"/>
          <w:szCs w:val="19"/>
        </w:rPr>
        <w:sectPr>
          <w:type w:val="continuous"/>
          <w:pgSz w:w="11905" w:h="16836"/>
          <w:pgMar w:top="400" w:right="1066" w:bottom="547" w:left="407" w:header="0" w:footer="354" w:gutter="0"/>
          <w:cols w:equalWidth="0" w:num="2">
            <w:col w:w="5573" w:space="100"/>
            <w:col w:w="4758"/>
          </w:cols>
        </w:sectPr>
      </w:pPr>
    </w:p>
    <w:p>
      <w:pPr>
        <w:spacing w:line="426" w:lineRule="auto"/>
        <w:rPr>
          <w:rFonts w:ascii="Arial"/>
          <w:sz w:val="21"/>
        </w:rPr>
      </w:pPr>
    </w:p>
    <w:p>
      <w:pPr>
        <w:spacing w:before="52" w:line="220" w:lineRule="auto"/>
        <w:ind w:left="4292"/>
        <w:rPr>
          <w:rFonts w:ascii="宋体" w:hAnsi="宋体" w:eastAsia="宋体" w:cs="宋体"/>
          <w:sz w:val="16"/>
          <w:szCs w:val="16"/>
        </w:rPr>
      </w:pPr>
      <w:r>
        <w:rPr>
          <w:rFonts w:ascii="宋体" w:hAnsi="宋体" w:eastAsia="宋体" w:cs="宋体"/>
          <w:spacing w:val="18"/>
          <w:sz w:val="16"/>
          <w:szCs w:val="16"/>
        </w:rPr>
        <w:t>高等教育质量文化及其建设策略</w:t>
      </w:r>
    </w:p>
    <w:p>
      <w:pPr>
        <w:spacing w:before="23" w:line="159" w:lineRule="exact"/>
        <w:ind w:left="721"/>
      </w:pPr>
      <w:r>
        <w:rPr>
          <w:position w:val="-3"/>
        </w:rPr>
        <w:drawing>
          <wp:inline distT="0" distB="0" distL="0" distR="0">
            <wp:extent cx="6118860" cy="1009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6"/>
                    <a:stretch>
                      <a:fillRect/>
                    </a:stretch>
                  </pic:blipFill>
                  <pic:spPr>
                    <a:xfrm>
                      <a:off x="0" y="0"/>
                      <a:ext cx="6119371" cy="101421"/>
                    </a:xfrm>
                    <a:prstGeom prst="rect">
                      <a:avLst/>
                    </a:prstGeom>
                  </pic:spPr>
                </pic:pic>
              </a:graphicData>
            </a:graphic>
          </wp:inline>
        </w:drawing>
      </w:r>
    </w:p>
    <w:p>
      <w:pPr>
        <w:spacing w:line="115" w:lineRule="exact"/>
      </w:pPr>
    </w:p>
    <w:p>
      <w:pPr>
        <w:spacing w:line="115" w:lineRule="exact"/>
        <w:sectPr>
          <w:footerReference r:id="rId28" w:type="default"/>
          <w:pgSz w:w="11905" w:h="16836"/>
          <w:pgMar w:top="400" w:right="1063" w:bottom="547" w:left="407" w:header="0" w:footer="354" w:gutter="0"/>
          <w:cols w:equalWidth="0" w:num="1">
            <w:col w:w="10433"/>
          </w:cols>
        </w:sectPr>
      </w:pPr>
    </w:p>
    <w:p>
      <w:pPr>
        <w:spacing w:before="39" w:line="238" w:lineRule="auto"/>
        <w:ind w:left="733" w:right="338"/>
        <w:rPr>
          <w:rFonts w:ascii="微软雅黑" w:hAnsi="微软雅黑" w:eastAsia="微软雅黑" w:cs="微软雅黑"/>
          <w:sz w:val="19"/>
          <w:szCs w:val="19"/>
        </w:rPr>
      </w:pPr>
      <w:r>
        <w:rPr>
          <w:rFonts w:ascii="宋体" w:hAnsi="宋体" w:eastAsia="宋体" w:cs="宋体"/>
          <w:spacing w:val="18"/>
          <w:sz w:val="19"/>
          <w:szCs w:val="19"/>
        </w:rPr>
        <w:t>有关方面就可以从高校人才培养过程考察高等教育</w:t>
      </w:r>
      <w:r>
        <w:rPr>
          <w:rFonts w:ascii="宋体" w:hAnsi="宋体" w:eastAsia="宋体" w:cs="宋体"/>
          <w:spacing w:val="11"/>
          <w:sz w:val="19"/>
          <w:szCs w:val="19"/>
        </w:rPr>
        <w:t xml:space="preserve"> </w:t>
      </w:r>
      <w:r>
        <w:rPr>
          <w:rFonts w:ascii="宋体" w:hAnsi="宋体" w:eastAsia="宋体" w:cs="宋体"/>
          <w:spacing w:val="19"/>
          <w:sz w:val="19"/>
          <w:szCs w:val="19"/>
        </w:rPr>
        <w:t>是否能够满足经济社会发展的需要</w:t>
      </w:r>
      <w:r>
        <w:rPr>
          <w:rFonts w:ascii="微软雅黑" w:hAnsi="微软雅黑" w:eastAsia="微软雅黑" w:cs="微软雅黑"/>
          <w:spacing w:val="19"/>
          <w:sz w:val="19"/>
          <w:szCs w:val="19"/>
        </w:rPr>
        <w:t>。</w:t>
      </w:r>
    </w:p>
    <w:p>
      <w:pPr>
        <w:spacing w:line="303" w:lineRule="auto"/>
        <w:rPr>
          <w:rFonts w:ascii="Arial"/>
          <w:sz w:val="21"/>
        </w:rPr>
      </w:pPr>
    </w:p>
    <w:p>
      <w:pPr>
        <w:spacing w:before="84" w:line="211" w:lineRule="auto"/>
        <w:ind w:left="1033"/>
        <w:rPr>
          <w:rFonts w:ascii="新宋体" w:hAnsi="新宋体" w:eastAsia="新宋体" w:cs="新宋体"/>
          <w:sz w:val="26"/>
          <w:szCs w:val="26"/>
        </w:rPr>
      </w:pPr>
      <w:r>
        <w:rPr>
          <w:rFonts w:ascii="新宋体" w:hAnsi="新宋体" w:eastAsia="新宋体" w:cs="新宋体"/>
          <w:spacing w:val="14"/>
          <w:sz w:val="26"/>
          <w:szCs w:val="26"/>
        </w:rPr>
        <w:t>三</w:t>
      </w:r>
      <w:r>
        <w:rPr>
          <w:rFonts w:ascii="微软雅黑" w:hAnsi="微软雅黑" w:eastAsia="微软雅黑" w:cs="微软雅黑"/>
          <w:spacing w:val="14"/>
          <w:position w:val="1"/>
          <w:sz w:val="6"/>
          <w:szCs w:val="6"/>
        </w:rPr>
        <w:t xml:space="preserve">、   </w:t>
      </w:r>
      <w:r>
        <w:rPr>
          <w:rFonts w:ascii="新宋体" w:hAnsi="新宋体" w:eastAsia="新宋体" w:cs="新宋体"/>
          <w:spacing w:val="14"/>
          <w:sz w:val="26"/>
          <w:szCs w:val="26"/>
        </w:rPr>
        <w:t>高等教育质量文化建设的策略</w:t>
      </w:r>
    </w:p>
    <w:p>
      <w:pPr>
        <w:spacing w:line="405" w:lineRule="auto"/>
        <w:rPr>
          <w:rFonts w:ascii="Arial"/>
          <w:sz w:val="21"/>
        </w:rPr>
      </w:pPr>
    </w:p>
    <w:p>
      <w:pPr>
        <w:spacing w:before="82" w:line="231" w:lineRule="auto"/>
        <w:ind w:left="730" w:right="335" w:firstLine="425"/>
        <w:rPr>
          <w:rFonts w:ascii="微软雅黑" w:hAnsi="微软雅黑" w:eastAsia="微软雅黑" w:cs="微软雅黑"/>
          <w:sz w:val="19"/>
          <w:szCs w:val="19"/>
        </w:rPr>
      </w:pPr>
      <w:r>
        <w:rPr>
          <w:rFonts w:ascii="宋体" w:hAnsi="宋体" w:eastAsia="宋体" w:cs="宋体"/>
          <w:spacing w:val="18"/>
          <w:sz w:val="19"/>
          <w:szCs w:val="19"/>
        </w:rPr>
        <w:t>高等教育质量文化建设是一项长期的工作</w:t>
      </w:r>
      <w:r>
        <w:rPr>
          <w:rFonts w:ascii="微软雅黑" w:hAnsi="微软雅黑" w:eastAsia="微软雅黑" w:cs="微软雅黑"/>
          <w:spacing w:val="18"/>
          <w:sz w:val="19"/>
          <w:szCs w:val="19"/>
        </w:rPr>
        <w:t>，</w:t>
      </w:r>
      <w:r>
        <w:rPr>
          <w:rFonts w:ascii="宋体" w:hAnsi="宋体" w:eastAsia="宋体" w:cs="宋体"/>
          <w:spacing w:val="18"/>
          <w:sz w:val="19"/>
          <w:szCs w:val="19"/>
        </w:rPr>
        <w:t>需</w:t>
      </w:r>
      <w:r>
        <w:rPr>
          <w:rFonts w:ascii="宋体" w:hAnsi="宋体" w:eastAsia="宋体" w:cs="宋体"/>
          <w:spacing w:val="7"/>
          <w:sz w:val="19"/>
          <w:szCs w:val="19"/>
        </w:rPr>
        <w:t xml:space="preserve"> </w:t>
      </w:r>
      <w:r>
        <w:rPr>
          <w:rFonts w:ascii="宋体" w:hAnsi="宋体" w:eastAsia="宋体" w:cs="宋体"/>
          <w:spacing w:val="16"/>
          <w:sz w:val="19"/>
          <w:szCs w:val="19"/>
        </w:rPr>
        <w:t>要常抓不懈</w:t>
      </w:r>
      <w:r>
        <w:rPr>
          <w:rFonts w:ascii="宋体" w:hAnsi="宋体" w:eastAsia="宋体" w:cs="宋体"/>
          <w:spacing w:val="-35"/>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它以形成新的质量文化</w:t>
      </w:r>
      <w:r>
        <w:rPr>
          <w:rFonts w:ascii="微软雅黑" w:hAnsi="微软雅黑" w:eastAsia="微软雅黑" w:cs="微软雅黑"/>
          <w:spacing w:val="16"/>
          <w:sz w:val="19"/>
          <w:szCs w:val="19"/>
        </w:rPr>
        <w:t>，</w:t>
      </w:r>
      <w:r>
        <w:rPr>
          <w:rFonts w:ascii="宋体" w:hAnsi="宋体" w:eastAsia="宋体" w:cs="宋体"/>
          <w:spacing w:val="16"/>
          <w:sz w:val="19"/>
          <w:szCs w:val="19"/>
        </w:rPr>
        <w:t>淘汰过时的</w:t>
      </w:r>
      <w:r>
        <w:rPr>
          <w:rFonts w:ascii="宋体" w:hAnsi="宋体" w:eastAsia="宋体" w:cs="宋体"/>
          <w:sz w:val="19"/>
          <w:szCs w:val="19"/>
        </w:rPr>
        <w:t xml:space="preserve"> </w:t>
      </w:r>
      <w:r>
        <w:rPr>
          <w:rFonts w:ascii="宋体" w:hAnsi="宋体" w:eastAsia="宋体" w:cs="宋体"/>
          <w:spacing w:val="18"/>
          <w:sz w:val="19"/>
          <w:szCs w:val="19"/>
        </w:rPr>
        <w:t>质量文化为直接目标</w:t>
      </w:r>
      <w:r>
        <w:rPr>
          <w:rFonts w:ascii="微软雅黑" w:hAnsi="微软雅黑" w:eastAsia="微软雅黑" w:cs="微软雅黑"/>
          <w:spacing w:val="18"/>
          <w:sz w:val="19"/>
          <w:szCs w:val="19"/>
        </w:rPr>
        <w:t>，</w:t>
      </w:r>
      <w:r>
        <w:rPr>
          <w:rFonts w:ascii="宋体" w:hAnsi="宋体" w:eastAsia="宋体" w:cs="宋体"/>
          <w:spacing w:val="18"/>
          <w:sz w:val="19"/>
          <w:szCs w:val="19"/>
        </w:rPr>
        <w:t>服务于高校人才培养质量的</w:t>
      </w:r>
      <w:r>
        <w:rPr>
          <w:rFonts w:ascii="宋体" w:hAnsi="宋体" w:eastAsia="宋体" w:cs="宋体"/>
          <w:spacing w:val="14"/>
          <w:sz w:val="19"/>
          <w:szCs w:val="19"/>
        </w:rPr>
        <w:t xml:space="preserve"> </w:t>
      </w:r>
      <w:r>
        <w:rPr>
          <w:rFonts w:ascii="宋体" w:hAnsi="宋体" w:eastAsia="宋体" w:cs="宋体"/>
          <w:spacing w:val="15"/>
          <w:sz w:val="19"/>
          <w:szCs w:val="19"/>
        </w:rPr>
        <w:t>提高</w:t>
      </w:r>
      <w:r>
        <w:rPr>
          <w:rFonts w:ascii="宋体" w:hAnsi="宋体" w:eastAsia="宋体" w:cs="宋体"/>
          <w:spacing w:val="-38"/>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1"/>
          <w:sz w:val="19"/>
          <w:szCs w:val="19"/>
        </w:rPr>
        <w:t xml:space="preserve"> </w:t>
      </w:r>
      <w:r>
        <w:rPr>
          <w:rFonts w:ascii="宋体" w:hAnsi="宋体" w:eastAsia="宋体" w:cs="宋体"/>
          <w:spacing w:val="15"/>
          <w:sz w:val="19"/>
          <w:szCs w:val="19"/>
        </w:rPr>
        <w:t>开展质量文化建设</w:t>
      </w:r>
      <w:r>
        <w:rPr>
          <w:rFonts w:ascii="微软雅黑" w:hAnsi="微软雅黑" w:eastAsia="微软雅黑" w:cs="微软雅黑"/>
          <w:spacing w:val="15"/>
          <w:sz w:val="19"/>
          <w:szCs w:val="19"/>
        </w:rPr>
        <w:t>，</w:t>
      </w:r>
      <w:r>
        <w:rPr>
          <w:rFonts w:ascii="宋体" w:hAnsi="宋体" w:eastAsia="宋体" w:cs="宋体"/>
          <w:spacing w:val="15"/>
          <w:sz w:val="19"/>
          <w:szCs w:val="19"/>
        </w:rPr>
        <w:t>不单是高校的责任</w:t>
      </w:r>
      <w:r>
        <w:rPr>
          <w:rFonts w:ascii="微软雅黑" w:hAnsi="微软雅黑" w:eastAsia="微软雅黑" w:cs="微软雅黑"/>
          <w:spacing w:val="15"/>
          <w:sz w:val="19"/>
          <w:szCs w:val="19"/>
        </w:rPr>
        <w:t>，</w:t>
      </w:r>
      <w:r>
        <w:rPr>
          <w:rFonts w:ascii="宋体" w:hAnsi="宋体" w:eastAsia="宋体" w:cs="宋体"/>
          <w:spacing w:val="15"/>
          <w:sz w:val="19"/>
          <w:szCs w:val="19"/>
        </w:rPr>
        <w:t>政</w:t>
      </w:r>
      <w:r>
        <w:rPr>
          <w:rFonts w:ascii="宋体" w:hAnsi="宋体" w:eastAsia="宋体" w:cs="宋体"/>
          <w:sz w:val="19"/>
          <w:szCs w:val="19"/>
        </w:rPr>
        <w:t xml:space="preserve"> </w:t>
      </w:r>
      <w:r>
        <w:rPr>
          <w:rFonts w:ascii="宋体" w:hAnsi="宋体" w:eastAsia="宋体" w:cs="宋体"/>
          <w:spacing w:val="15"/>
          <w:sz w:val="19"/>
          <w:szCs w:val="19"/>
        </w:rPr>
        <w:t>府</w:t>
      </w:r>
      <w:r>
        <w:rPr>
          <w:rFonts w:ascii="微软雅黑" w:hAnsi="微软雅黑" w:eastAsia="微软雅黑" w:cs="微软雅黑"/>
          <w:spacing w:val="15"/>
          <w:sz w:val="19"/>
          <w:szCs w:val="19"/>
        </w:rPr>
        <w:t>、</w:t>
      </w:r>
      <w:r>
        <w:rPr>
          <w:rFonts w:ascii="宋体" w:hAnsi="宋体" w:eastAsia="宋体" w:cs="宋体"/>
          <w:spacing w:val="15"/>
          <w:sz w:val="19"/>
          <w:szCs w:val="19"/>
        </w:rPr>
        <w:t>社会有关方面应当发挥更积极的作用</w:t>
      </w:r>
      <w:r>
        <w:rPr>
          <w:rFonts w:ascii="宋体" w:hAnsi="宋体" w:eastAsia="宋体" w:cs="宋体"/>
          <w:spacing w:val="-34"/>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15"/>
          <w:sz w:val="19"/>
          <w:szCs w:val="19"/>
        </w:rPr>
        <w:t>质量文</w:t>
      </w:r>
      <w:r>
        <w:rPr>
          <w:rFonts w:ascii="宋体" w:hAnsi="宋体" w:eastAsia="宋体" w:cs="宋体"/>
          <w:sz w:val="19"/>
          <w:szCs w:val="19"/>
        </w:rPr>
        <w:t xml:space="preserve"> </w:t>
      </w:r>
      <w:r>
        <w:rPr>
          <w:rFonts w:ascii="宋体" w:hAnsi="宋体" w:eastAsia="宋体" w:cs="宋体"/>
          <w:spacing w:val="9"/>
          <w:sz w:val="19"/>
          <w:szCs w:val="19"/>
        </w:rPr>
        <w:t>化建设的内容丰富而多样</w:t>
      </w:r>
      <w:r>
        <w:rPr>
          <w:rFonts w:ascii="微软雅黑" w:hAnsi="微软雅黑" w:eastAsia="微软雅黑" w:cs="微软雅黑"/>
          <w:spacing w:val="9"/>
          <w:sz w:val="19"/>
          <w:szCs w:val="19"/>
        </w:rPr>
        <w:t>，</w:t>
      </w:r>
      <w:r>
        <w:rPr>
          <w:rFonts w:ascii="宋体" w:hAnsi="宋体" w:eastAsia="宋体" w:cs="宋体"/>
          <w:spacing w:val="9"/>
          <w:sz w:val="19"/>
          <w:szCs w:val="19"/>
        </w:rPr>
        <w:t>各高校校情不同</w:t>
      </w:r>
      <w:r>
        <w:rPr>
          <w:rFonts w:ascii="微软雅黑" w:hAnsi="微软雅黑" w:eastAsia="微软雅黑" w:cs="微软雅黑"/>
          <w:spacing w:val="9"/>
          <w:sz w:val="19"/>
          <w:szCs w:val="19"/>
        </w:rPr>
        <w:t>，</w:t>
      </w:r>
      <w:r>
        <w:rPr>
          <w:rFonts w:ascii="宋体" w:hAnsi="宋体" w:eastAsia="宋体" w:cs="宋体"/>
          <w:spacing w:val="9"/>
          <w:sz w:val="19"/>
          <w:szCs w:val="19"/>
        </w:rPr>
        <w:t>教育教</w:t>
      </w:r>
      <w:r>
        <w:rPr>
          <w:rFonts w:ascii="宋体" w:hAnsi="宋体" w:eastAsia="宋体" w:cs="宋体"/>
          <w:spacing w:val="15"/>
          <w:sz w:val="19"/>
          <w:szCs w:val="19"/>
        </w:rPr>
        <w:t xml:space="preserve"> </w:t>
      </w:r>
      <w:r>
        <w:rPr>
          <w:rFonts w:ascii="宋体" w:hAnsi="宋体" w:eastAsia="宋体" w:cs="宋体"/>
          <w:spacing w:val="18"/>
          <w:sz w:val="19"/>
          <w:szCs w:val="19"/>
        </w:rPr>
        <w:t>学的具体使命和任务各异</w:t>
      </w:r>
      <w:r>
        <w:rPr>
          <w:rFonts w:ascii="微软雅黑" w:hAnsi="微软雅黑" w:eastAsia="微软雅黑" w:cs="微软雅黑"/>
          <w:spacing w:val="18"/>
          <w:sz w:val="19"/>
          <w:szCs w:val="19"/>
        </w:rPr>
        <w:t>，</w:t>
      </w:r>
      <w:r>
        <w:rPr>
          <w:rFonts w:ascii="宋体" w:hAnsi="宋体" w:eastAsia="宋体" w:cs="宋体"/>
          <w:spacing w:val="18"/>
          <w:sz w:val="19"/>
          <w:szCs w:val="19"/>
        </w:rPr>
        <w:t>质量文化建设的形式和</w:t>
      </w:r>
      <w:r>
        <w:rPr>
          <w:rFonts w:ascii="宋体" w:hAnsi="宋体" w:eastAsia="宋体" w:cs="宋体"/>
          <w:spacing w:val="15"/>
          <w:sz w:val="19"/>
          <w:szCs w:val="19"/>
        </w:rPr>
        <w:t xml:space="preserve"> </w:t>
      </w:r>
      <w:r>
        <w:rPr>
          <w:rFonts w:ascii="宋体" w:hAnsi="宋体" w:eastAsia="宋体" w:cs="宋体"/>
          <w:spacing w:val="16"/>
          <w:sz w:val="19"/>
          <w:szCs w:val="19"/>
        </w:rPr>
        <w:t>内容也会存在差别</w:t>
      </w:r>
      <w:r>
        <w:rPr>
          <w:rFonts w:ascii="宋体" w:hAnsi="宋体" w:eastAsia="宋体" w:cs="宋体"/>
          <w:spacing w:val="-36"/>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我国高等教育发展正在向普及</w:t>
      </w:r>
      <w:r>
        <w:rPr>
          <w:rFonts w:ascii="宋体" w:hAnsi="宋体" w:eastAsia="宋体" w:cs="宋体"/>
          <w:sz w:val="19"/>
          <w:szCs w:val="19"/>
        </w:rPr>
        <w:t xml:space="preserve"> </w:t>
      </w:r>
      <w:r>
        <w:rPr>
          <w:rFonts w:ascii="宋体" w:hAnsi="宋体" w:eastAsia="宋体" w:cs="宋体"/>
          <w:spacing w:val="18"/>
          <w:sz w:val="19"/>
          <w:szCs w:val="19"/>
        </w:rPr>
        <w:t>化的中高级阶段推进</w:t>
      </w:r>
      <w:r>
        <w:rPr>
          <w:rFonts w:ascii="微软雅黑" w:hAnsi="微软雅黑" w:eastAsia="微软雅黑" w:cs="微软雅黑"/>
          <w:spacing w:val="18"/>
          <w:sz w:val="19"/>
          <w:szCs w:val="19"/>
        </w:rPr>
        <w:t>，</w:t>
      </w:r>
      <w:r>
        <w:rPr>
          <w:rFonts w:ascii="宋体" w:hAnsi="宋体" w:eastAsia="宋体" w:cs="宋体"/>
          <w:spacing w:val="18"/>
          <w:sz w:val="19"/>
          <w:szCs w:val="19"/>
        </w:rPr>
        <w:t>高校必须担负起保证质量的</w:t>
      </w:r>
      <w:r>
        <w:rPr>
          <w:rFonts w:ascii="宋体" w:hAnsi="宋体" w:eastAsia="宋体" w:cs="宋体"/>
          <w:spacing w:val="14"/>
          <w:sz w:val="19"/>
          <w:szCs w:val="19"/>
        </w:rPr>
        <w:t xml:space="preserve"> </w:t>
      </w:r>
      <w:r>
        <w:rPr>
          <w:rFonts w:ascii="宋体" w:hAnsi="宋体" w:eastAsia="宋体" w:cs="宋体"/>
          <w:spacing w:val="9"/>
          <w:sz w:val="19"/>
          <w:szCs w:val="19"/>
        </w:rPr>
        <w:t>使命</w:t>
      </w:r>
      <w:r>
        <w:rPr>
          <w:rFonts w:ascii="微软雅黑" w:hAnsi="微软雅黑" w:eastAsia="微软雅黑" w:cs="微软雅黑"/>
          <w:spacing w:val="9"/>
          <w:sz w:val="19"/>
          <w:szCs w:val="19"/>
        </w:rPr>
        <w:t>，</w:t>
      </w:r>
      <w:r>
        <w:rPr>
          <w:rFonts w:ascii="宋体" w:hAnsi="宋体" w:eastAsia="宋体" w:cs="宋体"/>
          <w:spacing w:val="9"/>
          <w:sz w:val="19"/>
          <w:szCs w:val="19"/>
        </w:rPr>
        <w:t>展现责任担当</w:t>
      </w:r>
      <w:r>
        <w:rPr>
          <w:rFonts w:ascii="微软雅黑" w:hAnsi="微软雅黑" w:eastAsia="微软雅黑" w:cs="微软雅黑"/>
          <w:spacing w:val="9"/>
          <w:sz w:val="19"/>
          <w:szCs w:val="19"/>
        </w:rPr>
        <w:t>，</w:t>
      </w:r>
      <w:r>
        <w:rPr>
          <w:rFonts w:ascii="宋体" w:hAnsi="宋体" w:eastAsia="宋体" w:cs="宋体"/>
          <w:spacing w:val="9"/>
          <w:sz w:val="19"/>
          <w:szCs w:val="19"/>
        </w:rPr>
        <w:t>主动回应社会关切</w:t>
      </w:r>
      <w:r>
        <w:rPr>
          <w:rFonts w:ascii="微软雅黑" w:hAnsi="微软雅黑" w:eastAsia="微软雅黑" w:cs="微软雅黑"/>
          <w:spacing w:val="9"/>
          <w:sz w:val="19"/>
          <w:szCs w:val="19"/>
        </w:rPr>
        <w:t>，</w:t>
      </w:r>
      <w:r>
        <w:rPr>
          <w:rFonts w:ascii="宋体" w:hAnsi="宋体" w:eastAsia="宋体" w:cs="宋体"/>
          <w:spacing w:val="9"/>
          <w:sz w:val="19"/>
          <w:szCs w:val="19"/>
        </w:rPr>
        <w:t>建设和发</w:t>
      </w:r>
      <w:r>
        <w:rPr>
          <w:rFonts w:ascii="宋体" w:hAnsi="宋体" w:eastAsia="宋体" w:cs="宋体"/>
          <w:spacing w:val="15"/>
          <w:sz w:val="19"/>
          <w:szCs w:val="19"/>
        </w:rPr>
        <w:t xml:space="preserve"> </w:t>
      </w:r>
      <w:r>
        <w:rPr>
          <w:rFonts w:ascii="宋体" w:hAnsi="宋体" w:eastAsia="宋体" w:cs="宋体"/>
          <w:spacing w:val="23"/>
          <w:sz w:val="19"/>
          <w:szCs w:val="19"/>
        </w:rPr>
        <w:t>展与时代要求相一致</w:t>
      </w:r>
      <w:r>
        <w:rPr>
          <w:rFonts w:ascii="宋体" w:hAnsi="宋体" w:eastAsia="宋体" w:cs="宋体"/>
          <w:spacing w:val="-46"/>
          <w:sz w:val="19"/>
          <w:szCs w:val="19"/>
        </w:rPr>
        <w:t xml:space="preserve"> </w:t>
      </w:r>
      <w:r>
        <w:rPr>
          <w:rFonts w:ascii="宋体" w:hAnsi="宋体" w:eastAsia="宋体" w:cs="宋体"/>
          <w:spacing w:val="23"/>
          <w:sz w:val="19"/>
          <w:szCs w:val="19"/>
        </w:rPr>
        <w:t>的高等教育质量文化</w:t>
      </w:r>
      <w:r>
        <w:rPr>
          <w:rFonts w:ascii="宋体" w:hAnsi="宋体" w:eastAsia="宋体" w:cs="宋体"/>
          <w:spacing w:val="-51"/>
          <w:sz w:val="19"/>
          <w:szCs w:val="19"/>
        </w:rPr>
        <w:t xml:space="preserve"> </w:t>
      </w:r>
      <w:r>
        <w:rPr>
          <w:rFonts w:ascii="微软雅黑" w:hAnsi="微软雅黑" w:eastAsia="微软雅黑" w:cs="微软雅黑"/>
          <w:spacing w:val="23"/>
          <w:sz w:val="19"/>
          <w:szCs w:val="19"/>
        </w:rPr>
        <w:t>。</w:t>
      </w:r>
      <w:r>
        <w:rPr>
          <w:rFonts w:ascii="微软雅黑" w:hAnsi="微软雅黑" w:eastAsia="微软雅黑" w:cs="微软雅黑"/>
          <w:spacing w:val="-28"/>
          <w:sz w:val="19"/>
          <w:szCs w:val="19"/>
        </w:rPr>
        <w:t xml:space="preserve"> </w:t>
      </w:r>
      <w:r>
        <w:rPr>
          <w:rFonts w:ascii="宋体" w:hAnsi="宋体" w:eastAsia="宋体" w:cs="宋体"/>
          <w:spacing w:val="22"/>
          <w:sz w:val="19"/>
          <w:szCs w:val="19"/>
        </w:rPr>
        <w:t>近年</w:t>
      </w:r>
      <w:r>
        <w:rPr>
          <w:rFonts w:ascii="宋体" w:hAnsi="宋体" w:eastAsia="宋体" w:cs="宋体"/>
          <w:sz w:val="19"/>
          <w:szCs w:val="19"/>
        </w:rPr>
        <w:t xml:space="preserve"> </w:t>
      </w:r>
      <w:r>
        <w:rPr>
          <w:rFonts w:ascii="宋体" w:hAnsi="宋体" w:eastAsia="宋体" w:cs="宋体"/>
          <w:spacing w:val="18"/>
          <w:sz w:val="19"/>
          <w:szCs w:val="19"/>
        </w:rPr>
        <w:t>来</w:t>
      </w:r>
      <w:r>
        <w:rPr>
          <w:rFonts w:ascii="微软雅黑" w:hAnsi="微软雅黑" w:eastAsia="微软雅黑" w:cs="微软雅黑"/>
          <w:spacing w:val="18"/>
          <w:sz w:val="19"/>
          <w:szCs w:val="19"/>
        </w:rPr>
        <w:t>，</w:t>
      </w:r>
      <w:r>
        <w:rPr>
          <w:rFonts w:ascii="宋体" w:hAnsi="宋体" w:eastAsia="宋体" w:cs="宋体"/>
          <w:spacing w:val="18"/>
          <w:sz w:val="19"/>
          <w:szCs w:val="19"/>
        </w:rPr>
        <w:t>我国政府在关于本科教育教学改革的政策文件</w:t>
      </w:r>
      <w:r>
        <w:rPr>
          <w:rFonts w:ascii="宋体" w:hAnsi="宋体" w:eastAsia="宋体" w:cs="宋体"/>
          <w:spacing w:val="15"/>
          <w:sz w:val="19"/>
          <w:szCs w:val="19"/>
        </w:rPr>
        <w:t xml:space="preserve"> </w:t>
      </w:r>
      <w:r>
        <w:rPr>
          <w:rFonts w:ascii="宋体" w:hAnsi="宋体" w:eastAsia="宋体" w:cs="宋体"/>
          <w:spacing w:val="9"/>
          <w:sz w:val="19"/>
          <w:szCs w:val="19"/>
        </w:rPr>
        <w:t>中</w:t>
      </w:r>
      <w:r>
        <w:rPr>
          <w:rFonts w:ascii="微软雅黑" w:hAnsi="微软雅黑" w:eastAsia="微软雅黑" w:cs="微软雅黑"/>
          <w:spacing w:val="9"/>
          <w:sz w:val="19"/>
          <w:szCs w:val="19"/>
        </w:rPr>
        <w:t>，</w:t>
      </w:r>
      <w:r>
        <w:rPr>
          <w:rFonts w:ascii="宋体" w:hAnsi="宋体" w:eastAsia="宋体" w:cs="宋体"/>
          <w:spacing w:val="9"/>
          <w:sz w:val="19"/>
          <w:szCs w:val="19"/>
        </w:rPr>
        <w:t>多次提出推进和加强质量文化建设的要求</w:t>
      </w:r>
      <w:r>
        <w:rPr>
          <w:rFonts w:ascii="微软雅黑" w:hAnsi="微软雅黑" w:eastAsia="微软雅黑" w:cs="微软雅黑"/>
          <w:spacing w:val="9"/>
          <w:sz w:val="19"/>
          <w:szCs w:val="19"/>
        </w:rPr>
        <w:t>，</w:t>
      </w:r>
      <w:r>
        <w:rPr>
          <w:rFonts w:ascii="宋体" w:hAnsi="宋体" w:eastAsia="宋体" w:cs="宋体"/>
          <w:spacing w:val="9"/>
          <w:sz w:val="19"/>
          <w:szCs w:val="19"/>
        </w:rPr>
        <w:t>既体</w:t>
      </w:r>
      <w:r>
        <w:rPr>
          <w:rFonts w:ascii="宋体" w:hAnsi="宋体" w:eastAsia="宋体" w:cs="宋体"/>
          <w:spacing w:val="15"/>
          <w:sz w:val="19"/>
          <w:szCs w:val="19"/>
        </w:rPr>
        <w:t xml:space="preserve"> </w:t>
      </w:r>
      <w:r>
        <w:rPr>
          <w:rFonts w:ascii="宋体" w:hAnsi="宋体" w:eastAsia="宋体" w:cs="宋体"/>
          <w:spacing w:val="18"/>
          <w:sz w:val="19"/>
          <w:szCs w:val="19"/>
        </w:rPr>
        <w:t>现了政府对质量文化建设的关注和重视</w:t>
      </w:r>
      <w:r>
        <w:rPr>
          <w:rFonts w:ascii="微软雅黑" w:hAnsi="微软雅黑" w:eastAsia="微软雅黑" w:cs="微软雅黑"/>
          <w:spacing w:val="18"/>
          <w:sz w:val="19"/>
          <w:szCs w:val="19"/>
        </w:rPr>
        <w:t>，</w:t>
      </w:r>
      <w:r>
        <w:rPr>
          <w:rFonts w:ascii="宋体" w:hAnsi="宋体" w:eastAsia="宋体" w:cs="宋体"/>
          <w:spacing w:val="18"/>
          <w:sz w:val="19"/>
          <w:szCs w:val="19"/>
        </w:rPr>
        <w:t>又表现出</w:t>
      </w:r>
      <w:r>
        <w:rPr>
          <w:rFonts w:ascii="宋体" w:hAnsi="宋体" w:eastAsia="宋体" w:cs="宋体"/>
          <w:spacing w:val="16"/>
          <w:sz w:val="19"/>
          <w:szCs w:val="19"/>
        </w:rPr>
        <w:t xml:space="preserve"> </w:t>
      </w:r>
      <w:r>
        <w:rPr>
          <w:rFonts w:ascii="宋体" w:hAnsi="宋体" w:eastAsia="宋体" w:cs="宋体"/>
          <w:spacing w:val="19"/>
          <w:sz w:val="19"/>
          <w:szCs w:val="19"/>
        </w:rPr>
        <w:t>加强质量文化建设的紧迫性</w:t>
      </w:r>
      <w:r>
        <w:rPr>
          <w:rFonts w:ascii="微软雅黑" w:hAnsi="微软雅黑" w:eastAsia="微软雅黑" w:cs="微软雅黑"/>
          <w:spacing w:val="19"/>
          <w:sz w:val="19"/>
          <w:szCs w:val="19"/>
        </w:rPr>
        <w:t>。</w:t>
      </w:r>
    </w:p>
    <w:p>
      <w:pPr>
        <w:spacing w:before="68" w:line="212" w:lineRule="auto"/>
        <w:ind w:left="1158"/>
        <w:rPr>
          <w:rFonts w:ascii="黑体" w:hAnsi="黑体" w:eastAsia="黑体" w:cs="黑体"/>
          <w:sz w:val="19"/>
          <w:szCs w:val="19"/>
        </w:rPr>
      </w:pPr>
      <w:r>
        <w:rPr>
          <w:rFonts w:ascii="Arial" w:hAnsi="Arial" w:eastAsia="Arial" w:cs="Arial"/>
          <w:spacing w:val="13"/>
          <w:position w:val="-1"/>
          <w:sz w:val="19"/>
          <w:szCs w:val="19"/>
        </w:rPr>
        <w:t>1</w:t>
      </w:r>
      <w:r>
        <w:rPr>
          <w:rFonts w:ascii="Arial" w:hAnsi="Arial" w:eastAsia="Arial" w:cs="Arial"/>
          <w:spacing w:val="-11"/>
          <w:position w:val="-1"/>
          <w:sz w:val="19"/>
          <w:szCs w:val="19"/>
        </w:rPr>
        <w:t xml:space="preserve"> </w:t>
      </w:r>
      <w:r>
        <w:rPr>
          <w:rFonts w:ascii="Arial" w:hAnsi="Arial" w:eastAsia="Arial" w:cs="Arial"/>
          <w:spacing w:val="13"/>
          <w:position w:val="-1"/>
          <w:sz w:val="19"/>
          <w:szCs w:val="19"/>
        </w:rPr>
        <w:t>.</w:t>
      </w:r>
      <w:r>
        <w:rPr>
          <w:rFonts w:ascii="Arial" w:hAnsi="Arial" w:eastAsia="Arial" w:cs="Arial"/>
          <w:spacing w:val="-15"/>
          <w:position w:val="-1"/>
          <w:sz w:val="19"/>
          <w:szCs w:val="19"/>
        </w:rPr>
        <w:t xml:space="preserve"> </w:t>
      </w:r>
      <w:r>
        <w:rPr>
          <w:rFonts w:ascii="黑体" w:hAnsi="黑体" w:eastAsia="黑体" w:cs="黑体"/>
          <w:spacing w:val="13"/>
          <w:sz w:val="19"/>
          <w:szCs w:val="19"/>
        </w:rPr>
        <w:t>树立以学生为中心的高等教育质量核心价值</w:t>
      </w:r>
    </w:p>
    <w:p>
      <w:pPr>
        <w:spacing w:before="105" w:line="230" w:lineRule="auto"/>
        <w:ind w:left="732" w:right="335" w:firstLine="420"/>
        <w:rPr>
          <w:rFonts w:ascii="微软雅黑" w:hAnsi="微软雅黑" w:eastAsia="微软雅黑" w:cs="微软雅黑"/>
          <w:sz w:val="19"/>
          <w:szCs w:val="19"/>
        </w:rPr>
      </w:pPr>
      <w:r>
        <w:rPr>
          <w:rFonts w:ascii="宋体" w:hAnsi="宋体" w:eastAsia="宋体" w:cs="宋体"/>
          <w:spacing w:val="18"/>
          <w:sz w:val="19"/>
          <w:szCs w:val="19"/>
        </w:rPr>
        <w:t>任何质量文化都包含理念</w:t>
      </w:r>
      <w:r>
        <w:rPr>
          <w:rFonts w:ascii="微软雅黑" w:hAnsi="微软雅黑" w:eastAsia="微软雅黑" w:cs="微软雅黑"/>
          <w:spacing w:val="18"/>
          <w:sz w:val="19"/>
          <w:szCs w:val="19"/>
        </w:rPr>
        <w:t>、</w:t>
      </w:r>
      <w:r>
        <w:rPr>
          <w:rFonts w:ascii="宋体" w:hAnsi="宋体" w:eastAsia="宋体" w:cs="宋体"/>
          <w:spacing w:val="18"/>
          <w:sz w:val="19"/>
          <w:szCs w:val="19"/>
        </w:rPr>
        <w:t>信念和价值等精神</w:t>
      </w:r>
      <w:r>
        <w:rPr>
          <w:rFonts w:ascii="宋体" w:hAnsi="宋体" w:eastAsia="宋体" w:cs="宋体"/>
          <w:spacing w:val="10"/>
          <w:sz w:val="19"/>
          <w:szCs w:val="19"/>
        </w:rPr>
        <w:t xml:space="preserve"> </w:t>
      </w:r>
      <w:r>
        <w:rPr>
          <w:rFonts w:ascii="宋体" w:hAnsi="宋体" w:eastAsia="宋体" w:cs="宋体"/>
          <w:spacing w:val="18"/>
          <w:sz w:val="19"/>
          <w:szCs w:val="19"/>
        </w:rPr>
        <w:t>层面的内容</w:t>
      </w:r>
      <w:r>
        <w:rPr>
          <w:rFonts w:ascii="微软雅黑" w:hAnsi="微软雅黑" w:eastAsia="微软雅黑" w:cs="微软雅黑"/>
          <w:spacing w:val="18"/>
          <w:sz w:val="19"/>
          <w:szCs w:val="19"/>
        </w:rPr>
        <w:t>，</w:t>
      </w:r>
      <w:r>
        <w:rPr>
          <w:rFonts w:ascii="宋体" w:hAnsi="宋体" w:eastAsia="宋体" w:cs="宋体"/>
          <w:spacing w:val="18"/>
          <w:sz w:val="19"/>
          <w:szCs w:val="19"/>
        </w:rPr>
        <w:t>正是这些决定了质量文化的性质和表</w:t>
      </w:r>
      <w:r>
        <w:rPr>
          <w:rFonts w:ascii="宋体" w:hAnsi="宋体" w:eastAsia="宋体" w:cs="宋体"/>
          <w:spacing w:val="14"/>
          <w:sz w:val="19"/>
          <w:szCs w:val="19"/>
        </w:rPr>
        <w:t xml:space="preserve"> </w:t>
      </w:r>
      <w:r>
        <w:rPr>
          <w:rFonts w:ascii="宋体" w:hAnsi="宋体" w:eastAsia="宋体" w:cs="宋体"/>
          <w:spacing w:val="7"/>
          <w:sz w:val="19"/>
          <w:szCs w:val="19"/>
        </w:rPr>
        <w:t>现方式</w:t>
      </w:r>
      <w:r>
        <w:rPr>
          <w:rFonts w:ascii="宋体" w:hAnsi="宋体" w:eastAsia="宋体" w:cs="宋体"/>
          <w:spacing w:val="-35"/>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传统上</w:t>
      </w:r>
      <w:r>
        <w:rPr>
          <w:rFonts w:ascii="微软雅黑" w:hAnsi="微软雅黑" w:eastAsia="微软雅黑" w:cs="微软雅黑"/>
          <w:spacing w:val="7"/>
          <w:sz w:val="19"/>
          <w:szCs w:val="19"/>
        </w:rPr>
        <w:t>，</w:t>
      </w:r>
      <w:r>
        <w:rPr>
          <w:rFonts w:ascii="宋体" w:hAnsi="宋体" w:eastAsia="宋体" w:cs="宋体"/>
          <w:spacing w:val="7"/>
          <w:sz w:val="19"/>
          <w:szCs w:val="19"/>
        </w:rPr>
        <w:t>高等教育质量的核心理念</w:t>
      </w:r>
      <w:r>
        <w:rPr>
          <w:rFonts w:ascii="微软雅黑" w:hAnsi="微软雅黑" w:eastAsia="微软雅黑" w:cs="微软雅黑"/>
          <w:spacing w:val="7"/>
          <w:sz w:val="19"/>
          <w:szCs w:val="19"/>
        </w:rPr>
        <w:t>、</w:t>
      </w:r>
      <w:r>
        <w:rPr>
          <w:rFonts w:ascii="宋体" w:hAnsi="宋体" w:eastAsia="宋体" w:cs="宋体"/>
          <w:spacing w:val="7"/>
          <w:sz w:val="19"/>
          <w:szCs w:val="19"/>
        </w:rPr>
        <w:t>信念和</w:t>
      </w:r>
      <w:r>
        <w:rPr>
          <w:rFonts w:ascii="宋体" w:hAnsi="宋体" w:eastAsia="宋体" w:cs="宋体"/>
          <w:sz w:val="19"/>
          <w:szCs w:val="19"/>
        </w:rPr>
        <w:t xml:space="preserve"> </w:t>
      </w:r>
      <w:r>
        <w:rPr>
          <w:rFonts w:ascii="宋体" w:hAnsi="宋体" w:eastAsia="宋体" w:cs="宋体"/>
          <w:spacing w:val="18"/>
          <w:sz w:val="19"/>
          <w:szCs w:val="19"/>
        </w:rPr>
        <w:t>价值主要是关于知识和教师无可替代</w:t>
      </w:r>
      <w:r>
        <w:rPr>
          <w:rFonts w:ascii="微软雅黑" w:hAnsi="微软雅黑" w:eastAsia="微软雅黑" w:cs="微软雅黑"/>
          <w:spacing w:val="18"/>
          <w:sz w:val="19"/>
          <w:szCs w:val="19"/>
        </w:rPr>
        <w:t>、</w:t>
      </w:r>
      <w:r>
        <w:rPr>
          <w:rFonts w:ascii="宋体" w:hAnsi="宋体" w:eastAsia="宋体" w:cs="宋体"/>
          <w:spacing w:val="18"/>
          <w:sz w:val="19"/>
          <w:szCs w:val="19"/>
        </w:rPr>
        <w:t>毋庸置疑的</w:t>
      </w:r>
      <w:r>
        <w:rPr>
          <w:rFonts w:ascii="宋体" w:hAnsi="宋体" w:eastAsia="宋体" w:cs="宋体"/>
          <w:spacing w:val="14"/>
          <w:sz w:val="19"/>
          <w:szCs w:val="19"/>
        </w:rPr>
        <w:t xml:space="preserve"> </w:t>
      </w:r>
      <w:r>
        <w:rPr>
          <w:rFonts w:ascii="宋体" w:hAnsi="宋体" w:eastAsia="宋体" w:cs="宋体"/>
          <w:spacing w:val="18"/>
          <w:sz w:val="19"/>
          <w:szCs w:val="19"/>
        </w:rPr>
        <w:t>绝对权威地位和作用的思想</w:t>
      </w:r>
      <w:r>
        <w:rPr>
          <w:rFonts w:ascii="微软雅黑" w:hAnsi="微软雅黑" w:eastAsia="微软雅黑" w:cs="微软雅黑"/>
          <w:spacing w:val="18"/>
          <w:sz w:val="19"/>
          <w:szCs w:val="19"/>
        </w:rPr>
        <w:t>，</w:t>
      </w:r>
      <w:r>
        <w:rPr>
          <w:rFonts w:ascii="宋体" w:hAnsi="宋体" w:eastAsia="宋体" w:cs="宋体"/>
          <w:spacing w:val="18"/>
          <w:sz w:val="19"/>
          <w:szCs w:val="19"/>
        </w:rPr>
        <w:t>知识中心和教师中心</w:t>
      </w:r>
      <w:r>
        <w:rPr>
          <w:rFonts w:ascii="宋体" w:hAnsi="宋体" w:eastAsia="宋体" w:cs="宋体"/>
          <w:spacing w:val="14"/>
          <w:sz w:val="19"/>
          <w:szCs w:val="19"/>
        </w:rPr>
        <w:t xml:space="preserve"> </w:t>
      </w:r>
      <w:r>
        <w:rPr>
          <w:rFonts w:ascii="宋体" w:hAnsi="宋体" w:eastAsia="宋体" w:cs="宋体"/>
          <w:spacing w:val="16"/>
          <w:sz w:val="19"/>
          <w:szCs w:val="19"/>
        </w:rPr>
        <w:t>是传统的高等教育质量的核心价值</w:t>
      </w:r>
      <w:r>
        <w:rPr>
          <w:rFonts w:ascii="宋体" w:hAnsi="宋体" w:eastAsia="宋体" w:cs="宋体"/>
          <w:spacing w:val="-37"/>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尽管在观念上</w:t>
      </w:r>
      <w:r>
        <w:rPr>
          <w:rFonts w:ascii="宋体" w:hAnsi="宋体" w:eastAsia="宋体" w:cs="宋体"/>
          <w:sz w:val="19"/>
          <w:szCs w:val="19"/>
        </w:rPr>
        <w:t xml:space="preserve"> </w:t>
      </w:r>
      <w:r>
        <w:rPr>
          <w:rFonts w:ascii="宋体" w:hAnsi="宋体" w:eastAsia="宋体" w:cs="宋体"/>
          <w:spacing w:val="18"/>
          <w:sz w:val="19"/>
          <w:szCs w:val="19"/>
        </w:rPr>
        <w:t>和政策文件中学生中心已司空见惯</w:t>
      </w:r>
      <w:r>
        <w:rPr>
          <w:rFonts w:ascii="微软雅黑" w:hAnsi="微软雅黑" w:eastAsia="微软雅黑" w:cs="微软雅黑"/>
          <w:spacing w:val="18"/>
          <w:sz w:val="19"/>
          <w:szCs w:val="19"/>
        </w:rPr>
        <w:t>，</w:t>
      </w:r>
      <w:r>
        <w:rPr>
          <w:rFonts w:ascii="宋体" w:hAnsi="宋体" w:eastAsia="宋体" w:cs="宋体"/>
          <w:spacing w:val="18"/>
          <w:sz w:val="19"/>
          <w:szCs w:val="19"/>
        </w:rPr>
        <w:t>很多教师把学</w:t>
      </w:r>
      <w:r>
        <w:rPr>
          <w:rFonts w:ascii="宋体" w:hAnsi="宋体" w:eastAsia="宋体" w:cs="宋体"/>
          <w:spacing w:val="14"/>
          <w:sz w:val="19"/>
          <w:szCs w:val="19"/>
        </w:rPr>
        <w:t xml:space="preserve"> </w:t>
      </w:r>
      <w:r>
        <w:rPr>
          <w:rFonts w:ascii="宋体" w:hAnsi="宋体" w:eastAsia="宋体" w:cs="宋体"/>
          <w:spacing w:val="18"/>
          <w:sz w:val="19"/>
          <w:szCs w:val="19"/>
        </w:rPr>
        <w:t>生中心作为谈论教育教学改革的口头禅</w:t>
      </w:r>
      <w:r>
        <w:rPr>
          <w:rFonts w:ascii="微软雅黑" w:hAnsi="微软雅黑" w:eastAsia="微软雅黑" w:cs="微软雅黑"/>
          <w:spacing w:val="18"/>
          <w:sz w:val="19"/>
          <w:szCs w:val="19"/>
        </w:rPr>
        <w:t>，</w:t>
      </w:r>
      <w:r>
        <w:rPr>
          <w:rFonts w:ascii="宋体" w:hAnsi="宋体" w:eastAsia="宋体" w:cs="宋体"/>
          <w:spacing w:val="18"/>
          <w:sz w:val="19"/>
          <w:szCs w:val="19"/>
        </w:rPr>
        <w:t>但在实际</w:t>
      </w:r>
      <w:r>
        <w:rPr>
          <w:rFonts w:ascii="宋体" w:hAnsi="宋体" w:eastAsia="宋体" w:cs="宋体"/>
          <w:spacing w:val="14"/>
          <w:sz w:val="19"/>
          <w:szCs w:val="19"/>
        </w:rPr>
        <w:t xml:space="preserve"> </w:t>
      </w:r>
      <w:r>
        <w:rPr>
          <w:rFonts w:ascii="宋体" w:hAnsi="宋体" w:eastAsia="宋体" w:cs="宋体"/>
          <w:spacing w:val="9"/>
          <w:sz w:val="19"/>
          <w:szCs w:val="19"/>
        </w:rPr>
        <w:t>工作中</w:t>
      </w:r>
      <w:r>
        <w:rPr>
          <w:rFonts w:ascii="微软雅黑" w:hAnsi="微软雅黑" w:eastAsia="微软雅黑" w:cs="微软雅黑"/>
          <w:spacing w:val="9"/>
          <w:sz w:val="19"/>
          <w:szCs w:val="19"/>
        </w:rPr>
        <w:t>，</w:t>
      </w:r>
      <w:r>
        <w:rPr>
          <w:rFonts w:ascii="宋体" w:hAnsi="宋体" w:eastAsia="宋体" w:cs="宋体"/>
          <w:spacing w:val="9"/>
          <w:sz w:val="19"/>
          <w:szCs w:val="19"/>
        </w:rPr>
        <w:t>学生中心并没有得到很好的贯彻</w:t>
      </w:r>
      <w:r>
        <w:rPr>
          <w:rFonts w:ascii="微软雅黑" w:hAnsi="微软雅黑" w:eastAsia="微软雅黑" w:cs="微软雅黑"/>
          <w:spacing w:val="9"/>
          <w:sz w:val="19"/>
          <w:szCs w:val="19"/>
        </w:rPr>
        <w:t>，</w:t>
      </w:r>
      <w:r>
        <w:rPr>
          <w:rFonts w:ascii="宋体" w:hAnsi="宋体" w:eastAsia="宋体" w:cs="宋体"/>
          <w:spacing w:val="9"/>
          <w:sz w:val="19"/>
          <w:szCs w:val="19"/>
        </w:rPr>
        <w:t>没有成为</w:t>
      </w:r>
      <w:r>
        <w:rPr>
          <w:rFonts w:ascii="宋体" w:hAnsi="宋体" w:eastAsia="宋体" w:cs="宋体"/>
          <w:spacing w:val="13"/>
          <w:sz w:val="19"/>
          <w:szCs w:val="19"/>
        </w:rPr>
        <w:t xml:space="preserve"> </w:t>
      </w:r>
      <w:r>
        <w:rPr>
          <w:rFonts w:ascii="宋体" w:hAnsi="宋体" w:eastAsia="宋体" w:cs="宋体"/>
          <w:spacing w:val="15"/>
          <w:sz w:val="19"/>
          <w:szCs w:val="19"/>
        </w:rPr>
        <w:t>高等教育质量文化的核心价值</w:t>
      </w:r>
      <w:r>
        <w:rPr>
          <w:rFonts w:ascii="宋体" w:hAnsi="宋体" w:eastAsia="宋体" w:cs="宋体"/>
          <w:spacing w:val="-41"/>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0"/>
          <w:sz w:val="19"/>
          <w:szCs w:val="19"/>
        </w:rPr>
        <w:t xml:space="preserve"> </w:t>
      </w:r>
      <w:r>
        <w:rPr>
          <w:rFonts w:ascii="宋体" w:hAnsi="宋体" w:eastAsia="宋体" w:cs="宋体"/>
          <w:spacing w:val="15"/>
          <w:sz w:val="19"/>
          <w:szCs w:val="19"/>
        </w:rPr>
        <w:t>总体上看</w:t>
      </w:r>
      <w:r>
        <w:rPr>
          <w:rFonts w:ascii="微软雅黑" w:hAnsi="微软雅黑" w:eastAsia="微软雅黑" w:cs="微软雅黑"/>
          <w:spacing w:val="15"/>
          <w:sz w:val="19"/>
          <w:szCs w:val="19"/>
        </w:rPr>
        <w:t>，</w:t>
      </w:r>
      <w:r>
        <w:rPr>
          <w:rFonts w:ascii="宋体" w:hAnsi="宋体" w:eastAsia="宋体" w:cs="宋体"/>
          <w:spacing w:val="15"/>
          <w:sz w:val="19"/>
          <w:szCs w:val="19"/>
        </w:rPr>
        <w:t>我国高</w:t>
      </w:r>
      <w:r>
        <w:rPr>
          <w:rFonts w:ascii="宋体" w:hAnsi="宋体" w:eastAsia="宋体" w:cs="宋体"/>
          <w:sz w:val="19"/>
          <w:szCs w:val="19"/>
        </w:rPr>
        <w:t xml:space="preserve"> </w:t>
      </w:r>
      <w:r>
        <w:rPr>
          <w:rFonts w:ascii="宋体" w:hAnsi="宋体" w:eastAsia="宋体" w:cs="宋体"/>
          <w:spacing w:val="18"/>
          <w:sz w:val="19"/>
          <w:szCs w:val="19"/>
        </w:rPr>
        <w:t>等教育质量的核心价值还是传统的</w:t>
      </w:r>
      <w:r>
        <w:rPr>
          <w:rFonts w:ascii="微软雅黑" w:hAnsi="微软雅黑" w:eastAsia="微软雅黑" w:cs="微软雅黑"/>
          <w:spacing w:val="18"/>
          <w:sz w:val="19"/>
          <w:szCs w:val="19"/>
        </w:rPr>
        <w:t>，</w:t>
      </w:r>
      <w:r>
        <w:rPr>
          <w:rFonts w:ascii="宋体" w:hAnsi="宋体" w:eastAsia="宋体" w:cs="宋体"/>
          <w:spacing w:val="18"/>
          <w:sz w:val="19"/>
          <w:szCs w:val="19"/>
        </w:rPr>
        <w:t>质量文化建设</w:t>
      </w:r>
      <w:r>
        <w:rPr>
          <w:rFonts w:ascii="宋体" w:hAnsi="宋体" w:eastAsia="宋体" w:cs="宋体"/>
          <w:spacing w:val="14"/>
          <w:sz w:val="19"/>
          <w:szCs w:val="19"/>
        </w:rPr>
        <w:t xml:space="preserve"> </w:t>
      </w:r>
      <w:r>
        <w:rPr>
          <w:rFonts w:ascii="宋体" w:hAnsi="宋体" w:eastAsia="宋体" w:cs="宋体"/>
          <w:spacing w:val="18"/>
          <w:sz w:val="19"/>
          <w:szCs w:val="19"/>
        </w:rPr>
        <w:t>必须解决核心价值问题</w:t>
      </w:r>
      <w:r>
        <w:rPr>
          <w:rFonts w:ascii="微软雅黑" w:hAnsi="微软雅黑" w:eastAsia="微软雅黑" w:cs="微软雅黑"/>
          <w:spacing w:val="18"/>
          <w:sz w:val="19"/>
          <w:szCs w:val="19"/>
        </w:rPr>
        <w:t>，</w:t>
      </w:r>
      <w:r>
        <w:rPr>
          <w:rFonts w:ascii="宋体" w:hAnsi="宋体" w:eastAsia="宋体" w:cs="宋体"/>
          <w:spacing w:val="18"/>
          <w:sz w:val="19"/>
          <w:szCs w:val="19"/>
        </w:rPr>
        <w:t>因为它关系到我国高等教</w:t>
      </w:r>
      <w:r>
        <w:rPr>
          <w:rFonts w:ascii="宋体" w:hAnsi="宋体" w:eastAsia="宋体" w:cs="宋体"/>
          <w:spacing w:val="13"/>
          <w:sz w:val="19"/>
          <w:szCs w:val="19"/>
        </w:rPr>
        <w:t xml:space="preserve"> </w:t>
      </w:r>
      <w:r>
        <w:rPr>
          <w:rFonts w:ascii="宋体" w:hAnsi="宋体" w:eastAsia="宋体" w:cs="宋体"/>
          <w:spacing w:val="18"/>
          <w:sz w:val="19"/>
          <w:szCs w:val="19"/>
        </w:rPr>
        <w:t>育质量文化的基本性质</w:t>
      </w:r>
      <w:r>
        <w:rPr>
          <w:rFonts w:ascii="微软雅黑" w:hAnsi="微软雅黑" w:eastAsia="微软雅黑" w:cs="微软雅黑"/>
          <w:spacing w:val="18"/>
          <w:sz w:val="19"/>
          <w:szCs w:val="19"/>
        </w:rPr>
        <w:t>。</w:t>
      </w:r>
    </w:p>
    <w:p>
      <w:pPr>
        <w:tabs>
          <w:tab w:val="left" w:pos="900"/>
        </w:tabs>
        <w:spacing w:before="70" w:line="225" w:lineRule="auto"/>
        <w:ind w:left="731" w:right="265" w:firstLine="422"/>
        <w:rPr>
          <w:rFonts w:ascii="微软雅黑" w:hAnsi="微软雅黑" w:eastAsia="微软雅黑" w:cs="微软雅黑"/>
          <w:sz w:val="19"/>
          <w:szCs w:val="19"/>
        </w:rPr>
      </w:pPr>
      <w:r>
        <w:rPr>
          <w:rFonts w:ascii="宋体" w:hAnsi="宋体" w:eastAsia="宋体" w:cs="宋体"/>
          <w:spacing w:val="17"/>
          <w:sz w:val="19"/>
          <w:szCs w:val="19"/>
        </w:rPr>
        <w:t>学生是高等教育质量文化的主体</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又是目的所 </w:t>
      </w:r>
      <w:r>
        <w:rPr>
          <w:rFonts w:ascii="宋体" w:hAnsi="宋体" w:eastAsia="宋体" w:cs="宋体"/>
          <w:spacing w:val="16"/>
          <w:sz w:val="19"/>
          <w:szCs w:val="19"/>
        </w:rPr>
        <w:t>在</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一切高等教育质量及质量文化最终都要</w:t>
      </w:r>
      <w:r>
        <w:rPr>
          <w:rFonts w:ascii="宋体" w:hAnsi="宋体" w:eastAsia="宋体" w:cs="宋体"/>
          <w:spacing w:val="15"/>
          <w:sz w:val="19"/>
          <w:szCs w:val="19"/>
        </w:rPr>
        <w:t xml:space="preserve">在学生 </w:t>
      </w:r>
      <w:r>
        <w:rPr>
          <w:rFonts w:ascii="宋体" w:hAnsi="宋体" w:eastAsia="宋体" w:cs="宋体"/>
          <w:spacing w:val="16"/>
          <w:sz w:val="19"/>
          <w:szCs w:val="19"/>
        </w:rPr>
        <w:t>身上得到体现</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坚持以学生为中心</w:t>
      </w:r>
      <w:r>
        <w:rPr>
          <w:rFonts w:ascii="微软雅黑" w:hAnsi="微软雅黑" w:eastAsia="微软雅黑" w:cs="微软雅黑"/>
          <w:spacing w:val="16"/>
          <w:sz w:val="19"/>
          <w:szCs w:val="19"/>
        </w:rPr>
        <w:t>，</w:t>
      </w:r>
      <w:r>
        <w:rPr>
          <w:rFonts w:ascii="宋体" w:hAnsi="宋体" w:eastAsia="宋体" w:cs="宋体"/>
          <w:spacing w:val="16"/>
          <w:sz w:val="19"/>
          <w:szCs w:val="19"/>
        </w:rPr>
        <w:t>是高等</w:t>
      </w:r>
      <w:r>
        <w:rPr>
          <w:rFonts w:ascii="宋体" w:hAnsi="宋体" w:eastAsia="宋体" w:cs="宋体"/>
          <w:spacing w:val="15"/>
          <w:sz w:val="19"/>
          <w:szCs w:val="19"/>
        </w:rPr>
        <w:t>教育质 量文化建设的基本原则</w:t>
      </w:r>
      <w:r>
        <w:rPr>
          <w:rFonts w:ascii="宋体" w:hAnsi="宋体" w:eastAsia="宋体" w:cs="宋体"/>
          <w:spacing w:val="-33"/>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学生中心是现代高等教育 </w:t>
      </w:r>
      <w:r>
        <w:rPr>
          <w:rFonts w:ascii="宋体" w:hAnsi="宋体" w:eastAsia="宋体" w:cs="宋体"/>
          <w:spacing w:val="17"/>
          <w:sz w:val="19"/>
          <w:szCs w:val="19"/>
        </w:rPr>
        <w:t>价值与传统高等教育价值的分水岭</w:t>
      </w:r>
      <w:r>
        <w:rPr>
          <w:rFonts w:ascii="微软雅黑" w:hAnsi="微软雅黑" w:eastAsia="微软雅黑" w:cs="微软雅黑"/>
          <w:spacing w:val="17"/>
          <w:sz w:val="19"/>
          <w:szCs w:val="19"/>
        </w:rPr>
        <w:t>，</w:t>
      </w:r>
      <w:r>
        <w:rPr>
          <w:rFonts w:ascii="宋体" w:hAnsi="宋体" w:eastAsia="宋体" w:cs="宋体"/>
          <w:spacing w:val="17"/>
          <w:sz w:val="19"/>
          <w:szCs w:val="19"/>
        </w:rPr>
        <w:t>遵循学生中心 原则</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高等教育质量文化建设必须从满足学生发展 </w:t>
      </w:r>
      <w:r>
        <w:rPr>
          <w:rFonts w:ascii="宋体" w:hAnsi="宋体" w:eastAsia="宋体" w:cs="宋体"/>
          <w:spacing w:val="9"/>
          <w:sz w:val="19"/>
          <w:szCs w:val="19"/>
        </w:rPr>
        <w:t>需要出发</w:t>
      </w:r>
      <w:r>
        <w:rPr>
          <w:rFonts w:ascii="微软雅黑" w:hAnsi="微软雅黑" w:eastAsia="微软雅黑" w:cs="微软雅黑"/>
          <w:spacing w:val="9"/>
          <w:sz w:val="19"/>
          <w:szCs w:val="19"/>
        </w:rPr>
        <w:t>，</w:t>
      </w:r>
      <w:r>
        <w:rPr>
          <w:rFonts w:ascii="宋体" w:hAnsi="宋体" w:eastAsia="宋体" w:cs="宋体"/>
          <w:spacing w:val="9"/>
          <w:sz w:val="19"/>
          <w:szCs w:val="19"/>
        </w:rPr>
        <w:t>落实学生主体地位</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构建服务学生全面发 </w:t>
      </w:r>
      <w:r>
        <w:rPr>
          <w:rFonts w:ascii="宋体" w:hAnsi="宋体" w:eastAsia="宋体" w:cs="宋体"/>
          <w:spacing w:val="17"/>
          <w:sz w:val="19"/>
          <w:szCs w:val="19"/>
        </w:rPr>
        <w:t>展的人才培养体系</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全面提高学生自主学习能力和 </w:t>
      </w:r>
      <w:r>
        <w:rPr>
          <w:rFonts w:ascii="宋体" w:hAnsi="宋体" w:eastAsia="宋体" w:cs="宋体"/>
          <w:spacing w:val="16"/>
          <w:sz w:val="19"/>
          <w:szCs w:val="19"/>
        </w:rPr>
        <w:t>发展质量</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从根本上讲</w:t>
      </w:r>
      <w:r>
        <w:rPr>
          <w:rFonts w:ascii="微软雅黑" w:hAnsi="微软雅黑" w:eastAsia="微软雅黑" w:cs="微软雅黑"/>
          <w:spacing w:val="16"/>
          <w:sz w:val="19"/>
          <w:szCs w:val="19"/>
        </w:rPr>
        <w:t>，</w:t>
      </w:r>
      <w:r>
        <w:rPr>
          <w:rFonts w:ascii="宋体" w:hAnsi="宋体" w:eastAsia="宋体" w:cs="宋体"/>
          <w:spacing w:val="16"/>
          <w:sz w:val="19"/>
          <w:szCs w:val="19"/>
        </w:rPr>
        <w:t>质量文化建设的成</w:t>
      </w:r>
      <w:r>
        <w:rPr>
          <w:rFonts w:ascii="宋体" w:hAnsi="宋体" w:eastAsia="宋体" w:cs="宋体"/>
          <w:spacing w:val="15"/>
          <w:sz w:val="19"/>
          <w:szCs w:val="19"/>
        </w:rPr>
        <w:t xml:space="preserve">效主要 </w:t>
      </w:r>
      <w:r>
        <w:rPr>
          <w:rFonts w:ascii="宋体" w:hAnsi="宋体" w:eastAsia="宋体" w:cs="宋体"/>
          <w:spacing w:val="12"/>
          <w:sz w:val="19"/>
          <w:szCs w:val="19"/>
        </w:rPr>
        <w:t>体现在是否能够让学生爱学习</w:t>
      </w:r>
      <w:r>
        <w:rPr>
          <w:rFonts w:ascii="微软雅黑" w:hAnsi="微软雅黑" w:eastAsia="微软雅黑" w:cs="微软雅黑"/>
          <w:spacing w:val="12"/>
          <w:sz w:val="19"/>
          <w:szCs w:val="19"/>
        </w:rPr>
        <w:t>、</w:t>
      </w:r>
      <w:r>
        <w:rPr>
          <w:rFonts w:ascii="宋体" w:hAnsi="宋体" w:eastAsia="宋体" w:cs="宋体"/>
          <w:spacing w:val="12"/>
          <w:sz w:val="19"/>
          <w:szCs w:val="19"/>
        </w:rPr>
        <w:t>会学习</w:t>
      </w:r>
      <w:r>
        <w:rPr>
          <w:rFonts w:ascii="微软雅黑" w:hAnsi="微软雅黑" w:eastAsia="微软雅黑" w:cs="微软雅黑"/>
          <w:spacing w:val="12"/>
          <w:sz w:val="19"/>
          <w:szCs w:val="19"/>
        </w:rPr>
        <w:t>、</w:t>
      </w:r>
      <w:r>
        <w:rPr>
          <w:rFonts w:ascii="宋体" w:hAnsi="宋体" w:eastAsia="宋体" w:cs="宋体"/>
          <w:spacing w:val="12"/>
          <w:sz w:val="19"/>
          <w:szCs w:val="19"/>
        </w:rPr>
        <w:t>要学习上</w:t>
      </w:r>
      <w:r>
        <w:rPr>
          <w:rFonts w:ascii="微软雅黑" w:hAnsi="微软雅黑" w:eastAsia="微软雅黑" w:cs="微软雅黑"/>
          <w:spacing w:val="12"/>
          <w:sz w:val="19"/>
          <w:szCs w:val="19"/>
        </w:rPr>
        <w:t>，</w:t>
      </w:r>
      <w:r>
        <w:rPr>
          <w:rFonts w:ascii="微软雅黑" w:hAnsi="微软雅黑" w:eastAsia="微软雅黑" w:cs="微软雅黑"/>
          <w:spacing w:val="16"/>
          <w:sz w:val="19"/>
          <w:szCs w:val="19"/>
        </w:rPr>
        <w:t xml:space="preserve"> </w:t>
      </w:r>
      <w:r>
        <w:rPr>
          <w:rFonts w:ascii="微软雅黑" w:hAnsi="微软雅黑" w:eastAsia="微软雅黑" w:cs="微软雅黑"/>
          <w:position w:val="1"/>
          <w:sz w:val="19"/>
          <w:szCs w:val="19"/>
        </w:rPr>
        <w:tab/>
      </w:r>
      <w:r>
        <w:rPr>
          <w:rFonts w:ascii="微软雅黑" w:hAnsi="微软雅黑" w:eastAsia="微软雅黑" w:cs="微软雅黑"/>
          <w:spacing w:val="-9"/>
          <w:position w:val="1"/>
          <w:sz w:val="19"/>
          <w:szCs w:val="19"/>
        </w:rPr>
        <w:t>·</w:t>
      </w:r>
      <w:r>
        <w:rPr>
          <w:rFonts w:ascii="微软雅黑" w:hAnsi="微软雅黑" w:eastAsia="微软雅黑" w:cs="微软雅黑"/>
          <w:spacing w:val="21"/>
          <w:position w:val="1"/>
          <w:sz w:val="19"/>
          <w:szCs w:val="19"/>
        </w:rPr>
        <w:t xml:space="preserve">  </w:t>
      </w:r>
      <w:r>
        <w:rPr>
          <w:rFonts w:ascii="Arial" w:hAnsi="Arial" w:eastAsia="Arial" w:cs="Arial"/>
          <w:spacing w:val="-9"/>
          <w:position w:val="-1"/>
          <w:sz w:val="19"/>
          <w:szCs w:val="19"/>
        </w:rPr>
        <w:t>14</w:t>
      </w:r>
      <w:r>
        <w:rPr>
          <w:rFonts w:ascii="Arial" w:hAnsi="Arial" w:eastAsia="Arial" w:cs="Arial"/>
          <w:spacing w:val="20"/>
          <w:w w:val="101"/>
          <w:position w:val="-1"/>
          <w:sz w:val="19"/>
          <w:szCs w:val="19"/>
        </w:rPr>
        <w:t xml:space="preserve">  </w:t>
      </w:r>
      <w:r>
        <w:rPr>
          <w:rFonts w:ascii="微软雅黑" w:hAnsi="微软雅黑" w:eastAsia="微软雅黑" w:cs="微软雅黑"/>
          <w:spacing w:val="-9"/>
          <w:position w:val="1"/>
          <w:sz w:val="19"/>
          <w:szCs w:val="19"/>
        </w:rPr>
        <w:t>·</w:t>
      </w:r>
    </w:p>
    <w:p>
      <w:pPr>
        <w:spacing w:line="14" w:lineRule="auto"/>
        <w:rPr>
          <w:rFonts w:ascii="Arial"/>
          <w:sz w:val="2"/>
        </w:rPr>
      </w:pPr>
      <w:r>
        <w:rPr>
          <w:rFonts w:ascii="Arial" w:hAnsi="Arial" w:eastAsia="Arial" w:cs="Arial"/>
          <w:sz w:val="2"/>
          <w:szCs w:val="2"/>
        </w:rPr>
        <w:br w:type="column"/>
      </w:r>
    </w:p>
    <w:p>
      <w:pPr>
        <w:spacing w:before="36" w:line="207" w:lineRule="auto"/>
        <w:ind w:left="8" w:right="78" w:hanging="3"/>
        <w:rPr>
          <w:rFonts w:ascii="微软雅黑" w:hAnsi="微软雅黑" w:eastAsia="微软雅黑" w:cs="微软雅黑"/>
          <w:sz w:val="19"/>
          <w:szCs w:val="19"/>
        </w:rPr>
      </w:pPr>
      <w:r>
        <w:rPr>
          <w:rFonts w:ascii="宋体" w:hAnsi="宋体" w:eastAsia="宋体" w:cs="宋体"/>
          <w:spacing w:val="18"/>
          <w:sz w:val="19"/>
          <w:szCs w:val="19"/>
        </w:rPr>
        <w:t>如果不能解决学生学习认知和信念</w:t>
      </w:r>
      <w:r>
        <w:rPr>
          <w:rFonts w:ascii="微软雅黑" w:hAnsi="微软雅黑" w:eastAsia="微软雅黑" w:cs="微软雅黑"/>
          <w:spacing w:val="18"/>
          <w:sz w:val="19"/>
          <w:szCs w:val="19"/>
        </w:rPr>
        <w:t>、</w:t>
      </w:r>
      <w:r>
        <w:rPr>
          <w:rFonts w:ascii="宋体" w:hAnsi="宋体" w:eastAsia="宋体" w:cs="宋体"/>
          <w:spacing w:val="18"/>
          <w:sz w:val="19"/>
          <w:szCs w:val="19"/>
        </w:rPr>
        <w:t>学习方法和行</w:t>
      </w:r>
      <w:r>
        <w:rPr>
          <w:rFonts w:ascii="宋体" w:hAnsi="宋体" w:eastAsia="宋体" w:cs="宋体"/>
          <w:spacing w:val="11"/>
          <w:sz w:val="19"/>
          <w:szCs w:val="19"/>
        </w:rPr>
        <w:t xml:space="preserve"> </w:t>
      </w:r>
      <w:r>
        <w:rPr>
          <w:rFonts w:ascii="宋体" w:hAnsi="宋体" w:eastAsia="宋体" w:cs="宋体"/>
          <w:spacing w:val="13"/>
          <w:sz w:val="19"/>
          <w:szCs w:val="19"/>
        </w:rPr>
        <w:t>为以及学习成效问题</w:t>
      </w:r>
      <w:r>
        <w:rPr>
          <w:rFonts w:ascii="微软雅黑" w:hAnsi="微软雅黑" w:eastAsia="微软雅黑" w:cs="微软雅黑"/>
          <w:spacing w:val="13"/>
          <w:sz w:val="19"/>
          <w:szCs w:val="19"/>
        </w:rPr>
        <w:t>，</w:t>
      </w:r>
      <w:r>
        <w:rPr>
          <w:rFonts w:ascii="宋体" w:hAnsi="宋体" w:eastAsia="宋体" w:cs="宋体"/>
          <w:spacing w:val="13"/>
          <w:sz w:val="19"/>
          <w:szCs w:val="19"/>
        </w:rPr>
        <w:t>质量文化建设是无效的</w:t>
      </w:r>
      <w:r>
        <w:rPr>
          <w:rFonts w:ascii="微软雅黑" w:hAnsi="微软雅黑" w:eastAsia="微软雅黑" w:cs="微软雅黑"/>
          <w:spacing w:val="13"/>
          <w:sz w:val="19"/>
          <w:szCs w:val="19"/>
        </w:rPr>
        <w:t>。</w:t>
      </w:r>
    </w:p>
    <w:p>
      <w:pPr>
        <w:spacing w:before="70" w:line="232" w:lineRule="auto"/>
        <w:ind w:firstLine="423"/>
        <w:rPr>
          <w:rFonts w:ascii="微软雅黑" w:hAnsi="微软雅黑" w:eastAsia="微软雅黑" w:cs="微软雅黑"/>
          <w:sz w:val="19"/>
          <w:szCs w:val="19"/>
        </w:rPr>
      </w:pPr>
      <w:r>
        <w:rPr>
          <w:rFonts w:ascii="宋体" w:hAnsi="宋体" w:eastAsia="宋体" w:cs="宋体"/>
          <w:spacing w:val="17"/>
          <w:sz w:val="19"/>
          <w:szCs w:val="19"/>
        </w:rPr>
        <w:t>落实学生中心原则</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需要质量建设主体多方面 </w:t>
      </w:r>
      <w:r>
        <w:rPr>
          <w:rFonts w:ascii="宋体" w:hAnsi="宋体" w:eastAsia="宋体" w:cs="宋体"/>
          <w:spacing w:val="16"/>
          <w:sz w:val="19"/>
          <w:szCs w:val="19"/>
        </w:rPr>
        <w:t>协同行动</w:t>
      </w:r>
      <w:r>
        <w:rPr>
          <w:rFonts w:ascii="宋体" w:hAnsi="宋体" w:eastAsia="宋体" w:cs="宋体"/>
          <w:spacing w:val="-48"/>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政府和社会各界的高等教育政策</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行动 </w:t>
      </w:r>
      <w:r>
        <w:rPr>
          <w:rFonts w:ascii="宋体" w:hAnsi="宋体" w:eastAsia="宋体" w:cs="宋体"/>
          <w:spacing w:val="9"/>
          <w:sz w:val="19"/>
          <w:szCs w:val="19"/>
        </w:rPr>
        <w:t>都要以学生为中心</w:t>
      </w:r>
      <w:r>
        <w:rPr>
          <w:rFonts w:ascii="微软雅黑" w:hAnsi="微软雅黑" w:eastAsia="微软雅黑" w:cs="微软雅黑"/>
          <w:spacing w:val="9"/>
          <w:sz w:val="19"/>
          <w:szCs w:val="19"/>
        </w:rPr>
        <w:t>，</w:t>
      </w:r>
      <w:r>
        <w:rPr>
          <w:rFonts w:ascii="宋体" w:hAnsi="宋体" w:eastAsia="宋体" w:cs="宋体"/>
          <w:spacing w:val="9"/>
          <w:sz w:val="19"/>
          <w:szCs w:val="19"/>
        </w:rPr>
        <w:t>落实一切为了学生</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为了一切学 </w:t>
      </w:r>
      <w:r>
        <w:rPr>
          <w:rFonts w:ascii="宋体" w:hAnsi="宋体" w:eastAsia="宋体" w:cs="宋体"/>
          <w:spacing w:val="18"/>
          <w:sz w:val="19"/>
          <w:szCs w:val="19"/>
        </w:rPr>
        <w:t>生</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将学生中心原则与国家发展战略需要和经济社 </w:t>
      </w:r>
      <w:r>
        <w:rPr>
          <w:rFonts w:ascii="宋体" w:hAnsi="宋体" w:eastAsia="宋体" w:cs="宋体"/>
          <w:spacing w:val="13"/>
          <w:sz w:val="19"/>
          <w:szCs w:val="19"/>
        </w:rPr>
        <w:t>会发展需要有机结合起来</w:t>
      </w:r>
      <w:r>
        <w:rPr>
          <w:rFonts w:ascii="微软雅黑" w:hAnsi="微软雅黑" w:eastAsia="微软雅黑" w:cs="微软雅黑"/>
          <w:spacing w:val="13"/>
          <w:sz w:val="19"/>
          <w:szCs w:val="19"/>
        </w:rPr>
        <w:t>，</w:t>
      </w:r>
      <w:r>
        <w:rPr>
          <w:rFonts w:ascii="宋体" w:hAnsi="宋体" w:eastAsia="宋体" w:cs="宋体"/>
          <w:spacing w:val="13"/>
          <w:sz w:val="19"/>
          <w:szCs w:val="19"/>
        </w:rPr>
        <w:t>使服务学生与服务国家</w:t>
      </w:r>
      <w:r>
        <w:rPr>
          <w:rFonts w:ascii="微软雅黑" w:hAnsi="微软雅黑" w:eastAsia="微软雅黑" w:cs="微软雅黑"/>
          <w:spacing w:val="13"/>
          <w:sz w:val="19"/>
          <w:szCs w:val="19"/>
        </w:rPr>
        <w:t>、</w:t>
      </w:r>
      <w:r>
        <w:rPr>
          <w:rFonts w:ascii="微软雅黑" w:hAnsi="微软雅黑" w:eastAsia="微软雅黑" w:cs="微软雅黑"/>
          <w:spacing w:val="1"/>
          <w:sz w:val="19"/>
          <w:szCs w:val="19"/>
        </w:rPr>
        <w:t xml:space="preserve"> </w:t>
      </w:r>
      <w:r>
        <w:rPr>
          <w:rFonts w:ascii="宋体" w:hAnsi="宋体" w:eastAsia="宋体" w:cs="宋体"/>
          <w:spacing w:val="18"/>
          <w:sz w:val="19"/>
          <w:szCs w:val="19"/>
        </w:rPr>
        <w:t>服务社会统一起来</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以凸显学生作为高等教育价值 </w:t>
      </w:r>
      <w:r>
        <w:rPr>
          <w:rFonts w:ascii="宋体" w:hAnsi="宋体" w:eastAsia="宋体" w:cs="宋体"/>
          <w:spacing w:val="15"/>
          <w:sz w:val="19"/>
          <w:szCs w:val="19"/>
        </w:rPr>
        <w:t>主体的核心地位</w:t>
      </w:r>
      <w:r>
        <w:rPr>
          <w:rFonts w:ascii="宋体" w:hAnsi="宋体" w:eastAsia="宋体" w:cs="宋体"/>
          <w:spacing w:val="-48"/>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3"/>
          <w:sz w:val="19"/>
          <w:szCs w:val="19"/>
        </w:rPr>
        <w:t xml:space="preserve"> </w:t>
      </w:r>
      <w:r>
        <w:rPr>
          <w:rFonts w:ascii="宋体" w:hAnsi="宋体" w:eastAsia="宋体" w:cs="宋体"/>
          <w:spacing w:val="15"/>
          <w:sz w:val="19"/>
          <w:szCs w:val="19"/>
        </w:rPr>
        <w:t>高校必须践行学生中心理念</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办 </w:t>
      </w:r>
      <w:r>
        <w:rPr>
          <w:rFonts w:ascii="宋体" w:hAnsi="宋体" w:eastAsia="宋体" w:cs="宋体"/>
          <w:spacing w:val="9"/>
          <w:sz w:val="19"/>
          <w:szCs w:val="19"/>
        </w:rPr>
        <w:t>学定位与发展愿景规划</w:t>
      </w:r>
      <w:r>
        <w:rPr>
          <w:rFonts w:ascii="微软雅黑" w:hAnsi="微软雅黑" w:eastAsia="微软雅黑" w:cs="微软雅黑"/>
          <w:spacing w:val="9"/>
          <w:sz w:val="19"/>
          <w:szCs w:val="19"/>
        </w:rPr>
        <w:t>、</w:t>
      </w:r>
      <w:r>
        <w:rPr>
          <w:rFonts w:ascii="宋体" w:hAnsi="宋体" w:eastAsia="宋体" w:cs="宋体"/>
          <w:spacing w:val="9"/>
          <w:sz w:val="19"/>
          <w:szCs w:val="19"/>
        </w:rPr>
        <w:t>学科专业建设与发展</w:t>
      </w:r>
      <w:r>
        <w:rPr>
          <w:rFonts w:ascii="微软雅黑" w:hAnsi="微软雅黑" w:eastAsia="微软雅黑" w:cs="微软雅黑"/>
          <w:spacing w:val="9"/>
          <w:sz w:val="19"/>
          <w:szCs w:val="19"/>
        </w:rPr>
        <w:t>、</w:t>
      </w:r>
      <w:r>
        <w:rPr>
          <w:rFonts w:ascii="宋体" w:hAnsi="宋体" w:eastAsia="宋体" w:cs="宋体"/>
          <w:spacing w:val="9"/>
          <w:sz w:val="19"/>
          <w:szCs w:val="19"/>
        </w:rPr>
        <w:t>课程 教学改革</w:t>
      </w:r>
      <w:r>
        <w:rPr>
          <w:rFonts w:ascii="微软雅黑" w:hAnsi="微软雅黑" w:eastAsia="微软雅黑" w:cs="微软雅黑"/>
          <w:spacing w:val="9"/>
          <w:sz w:val="19"/>
          <w:szCs w:val="19"/>
        </w:rPr>
        <w:t>、</w:t>
      </w:r>
      <w:r>
        <w:rPr>
          <w:rFonts w:ascii="宋体" w:hAnsi="宋体" w:eastAsia="宋体" w:cs="宋体"/>
          <w:spacing w:val="9"/>
          <w:sz w:val="19"/>
          <w:szCs w:val="19"/>
        </w:rPr>
        <w:t>社会合作与国际交流</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教学环境条件更新 </w:t>
      </w:r>
      <w:r>
        <w:rPr>
          <w:rFonts w:ascii="宋体" w:hAnsi="宋体" w:eastAsia="宋体" w:cs="宋体"/>
          <w:spacing w:val="18"/>
          <w:sz w:val="19"/>
          <w:szCs w:val="19"/>
        </w:rPr>
        <w:t>等都要以服务学生全面发展</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提高学生发展质量为 </w:t>
      </w:r>
      <w:r>
        <w:rPr>
          <w:rFonts w:ascii="宋体" w:hAnsi="宋体" w:eastAsia="宋体" w:cs="宋体"/>
          <w:spacing w:val="15"/>
          <w:sz w:val="19"/>
          <w:szCs w:val="19"/>
        </w:rPr>
        <w:t>准绳</w:t>
      </w:r>
      <w:r>
        <w:rPr>
          <w:rFonts w:ascii="微软雅黑" w:hAnsi="微软雅黑" w:eastAsia="微软雅黑" w:cs="微软雅黑"/>
          <w:spacing w:val="15"/>
          <w:sz w:val="19"/>
          <w:szCs w:val="19"/>
        </w:rPr>
        <w:t>，</w:t>
      </w:r>
      <w:r>
        <w:rPr>
          <w:rFonts w:ascii="宋体" w:hAnsi="宋体" w:eastAsia="宋体" w:cs="宋体"/>
          <w:spacing w:val="15"/>
          <w:sz w:val="19"/>
          <w:szCs w:val="19"/>
        </w:rPr>
        <w:t>建立以学生为中心的办学体系</w:t>
      </w:r>
      <w:r>
        <w:rPr>
          <w:rFonts w:ascii="宋体" w:hAnsi="宋体" w:eastAsia="宋体" w:cs="宋体"/>
          <w:spacing w:val="-48"/>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3"/>
          <w:sz w:val="19"/>
          <w:szCs w:val="19"/>
        </w:rPr>
        <w:t xml:space="preserve"> </w:t>
      </w:r>
      <w:r>
        <w:rPr>
          <w:rFonts w:ascii="宋体" w:hAnsi="宋体" w:eastAsia="宋体" w:cs="宋体"/>
          <w:spacing w:val="15"/>
          <w:sz w:val="19"/>
          <w:szCs w:val="19"/>
        </w:rPr>
        <w:t xml:space="preserve">高等教育质 </w:t>
      </w:r>
      <w:r>
        <w:rPr>
          <w:rFonts w:ascii="宋体" w:hAnsi="宋体" w:eastAsia="宋体" w:cs="宋体"/>
          <w:spacing w:val="18"/>
          <w:sz w:val="19"/>
          <w:szCs w:val="19"/>
        </w:rPr>
        <w:t>量保障应当把学生作为出发点</w:t>
      </w:r>
      <w:r>
        <w:rPr>
          <w:rFonts w:ascii="微软雅黑" w:hAnsi="微软雅黑" w:eastAsia="微软雅黑" w:cs="微软雅黑"/>
          <w:spacing w:val="18"/>
          <w:sz w:val="19"/>
          <w:szCs w:val="19"/>
        </w:rPr>
        <w:t>，</w:t>
      </w:r>
      <w:r>
        <w:rPr>
          <w:rFonts w:ascii="宋体" w:hAnsi="宋体" w:eastAsia="宋体" w:cs="宋体"/>
          <w:spacing w:val="18"/>
          <w:sz w:val="19"/>
          <w:szCs w:val="19"/>
        </w:rPr>
        <w:t>在评估和认证原则 与标准中牢固确立学生中心原则</w:t>
      </w:r>
      <w:r>
        <w:rPr>
          <w:rFonts w:ascii="微软雅黑" w:hAnsi="微软雅黑" w:eastAsia="微软雅黑" w:cs="微软雅黑"/>
          <w:spacing w:val="18"/>
          <w:sz w:val="19"/>
          <w:szCs w:val="19"/>
        </w:rPr>
        <w:t>，</w:t>
      </w:r>
      <w:r>
        <w:rPr>
          <w:rFonts w:ascii="宋体" w:hAnsi="宋体" w:eastAsia="宋体" w:cs="宋体"/>
          <w:spacing w:val="18"/>
          <w:sz w:val="19"/>
          <w:szCs w:val="19"/>
        </w:rPr>
        <w:t>所有关于高校教 育教学的评估和认证都应把考查学生中心地位和学 生发展质量放在首位</w:t>
      </w:r>
      <w:r>
        <w:rPr>
          <w:rFonts w:ascii="微软雅黑" w:hAnsi="微软雅黑" w:eastAsia="微软雅黑" w:cs="微软雅黑"/>
          <w:spacing w:val="18"/>
          <w:sz w:val="19"/>
          <w:szCs w:val="19"/>
        </w:rPr>
        <w:t>，</w:t>
      </w:r>
      <w:r>
        <w:rPr>
          <w:rFonts w:ascii="宋体" w:hAnsi="宋体" w:eastAsia="宋体" w:cs="宋体"/>
          <w:spacing w:val="18"/>
          <w:sz w:val="19"/>
          <w:szCs w:val="19"/>
        </w:rPr>
        <w:t>使学生中心价值理念在评估 和认证中沉淀下来</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成为高等教育质量文化的核心 </w:t>
      </w:r>
      <w:r>
        <w:rPr>
          <w:rFonts w:ascii="宋体" w:hAnsi="宋体" w:eastAsia="宋体" w:cs="宋体"/>
          <w:spacing w:val="17"/>
          <w:sz w:val="19"/>
          <w:szCs w:val="19"/>
        </w:rPr>
        <w:t>价值</w:t>
      </w:r>
      <w:r>
        <w:rPr>
          <w:rFonts w:ascii="微软雅黑" w:hAnsi="微软雅黑" w:eastAsia="微软雅黑" w:cs="微软雅黑"/>
          <w:spacing w:val="17"/>
          <w:sz w:val="19"/>
          <w:szCs w:val="19"/>
        </w:rPr>
        <w:t>。</w:t>
      </w:r>
    </w:p>
    <w:p>
      <w:pPr>
        <w:spacing w:before="61" w:line="259" w:lineRule="auto"/>
        <w:ind w:left="6" w:right="78" w:firstLine="418"/>
        <w:rPr>
          <w:rFonts w:ascii="黑体" w:hAnsi="黑体" w:eastAsia="黑体" w:cs="黑体"/>
          <w:sz w:val="19"/>
          <w:szCs w:val="19"/>
        </w:rPr>
      </w:pPr>
      <w:r>
        <w:rPr>
          <w:rFonts w:ascii="Arial" w:hAnsi="Arial" w:eastAsia="Arial" w:cs="Arial"/>
          <w:spacing w:val="15"/>
          <w:position w:val="-1"/>
          <w:sz w:val="19"/>
          <w:szCs w:val="19"/>
        </w:rPr>
        <w:t>2</w:t>
      </w:r>
      <w:r>
        <w:rPr>
          <w:rFonts w:ascii="Arial" w:hAnsi="Arial" w:eastAsia="Arial" w:cs="Arial"/>
          <w:spacing w:val="-7"/>
          <w:position w:val="-1"/>
          <w:sz w:val="19"/>
          <w:szCs w:val="19"/>
        </w:rPr>
        <w:t xml:space="preserve"> </w:t>
      </w:r>
      <w:r>
        <w:rPr>
          <w:rFonts w:ascii="Arial" w:hAnsi="Arial" w:eastAsia="Arial" w:cs="Arial"/>
          <w:spacing w:val="15"/>
          <w:position w:val="-1"/>
          <w:sz w:val="19"/>
          <w:szCs w:val="19"/>
        </w:rPr>
        <w:t>.</w:t>
      </w:r>
      <w:r>
        <w:rPr>
          <w:rFonts w:ascii="Arial" w:hAnsi="Arial" w:eastAsia="Arial" w:cs="Arial"/>
          <w:spacing w:val="-15"/>
          <w:position w:val="-1"/>
          <w:sz w:val="19"/>
          <w:szCs w:val="19"/>
        </w:rPr>
        <w:t xml:space="preserve"> </w:t>
      </w:r>
      <w:r>
        <w:rPr>
          <w:rFonts w:ascii="黑体" w:hAnsi="黑体" w:eastAsia="黑体" w:cs="黑体"/>
          <w:spacing w:val="15"/>
          <w:sz w:val="19"/>
          <w:szCs w:val="19"/>
        </w:rPr>
        <w:t>打造基于高校的高等教育质量文化建设组织</w:t>
      </w:r>
      <w:r>
        <w:rPr>
          <w:rFonts w:ascii="黑体" w:hAnsi="黑体" w:eastAsia="黑体" w:cs="黑体"/>
          <w:sz w:val="19"/>
          <w:szCs w:val="19"/>
        </w:rPr>
        <w:t xml:space="preserve"> </w:t>
      </w:r>
      <w:r>
        <w:rPr>
          <w:rFonts w:ascii="黑体" w:hAnsi="黑体" w:eastAsia="黑体" w:cs="黑体"/>
          <w:spacing w:val="8"/>
          <w:sz w:val="19"/>
          <w:szCs w:val="19"/>
        </w:rPr>
        <w:t>体系</w:t>
      </w:r>
    </w:p>
    <w:p>
      <w:pPr>
        <w:spacing w:before="90" w:line="229" w:lineRule="auto"/>
        <w:ind w:right="7" w:firstLine="423"/>
        <w:rPr>
          <w:rFonts w:ascii="微软雅黑" w:hAnsi="微软雅黑" w:eastAsia="微软雅黑" w:cs="微软雅黑"/>
          <w:sz w:val="19"/>
          <w:szCs w:val="19"/>
        </w:rPr>
      </w:pPr>
      <w:r>
        <w:rPr>
          <w:rFonts w:ascii="宋体" w:hAnsi="宋体" w:eastAsia="宋体" w:cs="宋体"/>
          <w:spacing w:val="15"/>
          <w:sz w:val="19"/>
          <w:szCs w:val="19"/>
        </w:rPr>
        <w:t>质量文化建设是有组织的行为</w:t>
      </w:r>
      <w:r>
        <w:rPr>
          <w:rFonts w:ascii="宋体" w:hAnsi="宋体" w:eastAsia="宋体" w:cs="宋体"/>
          <w:spacing w:val="-46"/>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质量文化建设 </w:t>
      </w:r>
      <w:r>
        <w:rPr>
          <w:rFonts w:ascii="宋体" w:hAnsi="宋体" w:eastAsia="宋体" w:cs="宋体"/>
          <w:spacing w:val="11"/>
          <w:sz w:val="19"/>
          <w:szCs w:val="19"/>
        </w:rPr>
        <w:t>的主体是多元</w:t>
      </w:r>
      <w:r>
        <w:rPr>
          <w:rFonts w:ascii="宋体" w:hAnsi="宋体" w:eastAsia="宋体" w:cs="宋体"/>
          <w:spacing w:val="-31"/>
          <w:sz w:val="19"/>
          <w:szCs w:val="19"/>
        </w:rPr>
        <w:t xml:space="preserve"> </w:t>
      </w:r>
      <w:r>
        <w:rPr>
          <w:rFonts w:ascii="宋体" w:hAnsi="宋体" w:eastAsia="宋体" w:cs="宋体"/>
          <w:spacing w:val="11"/>
          <w:sz w:val="19"/>
          <w:szCs w:val="19"/>
        </w:rPr>
        <w:t>的</w:t>
      </w:r>
      <w:r>
        <w:rPr>
          <w:rFonts w:ascii="微软雅黑" w:hAnsi="微软雅黑" w:eastAsia="微软雅黑" w:cs="微软雅黑"/>
          <w:spacing w:val="11"/>
          <w:sz w:val="19"/>
          <w:szCs w:val="19"/>
        </w:rPr>
        <w:t>，</w:t>
      </w:r>
      <w:r>
        <w:rPr>
          <w:rFonts w:ascii="宋体" w:hAnsi="宋体" w:eastAsia="宋体" w:cs="宋体"/>
          <w:spacing w:val="11"/>
          <w:sz w:val="19"/>
          <w:szCs w:val="19"/>
        </w:rPr>
        <w:t>有高校</w:t>
      </w:r>
      <w:r>
        <w:rPr>
          <w:rFonts w:ascii="微软雅黑" w:hAnsi="微软雅黑" w:eastAsia="微软雅黑" w:cs="微软雅黑"/>
          <w:spacing w:val="11"/>
          <w:sz w:val="19"/>
          <w:szCs w:val="19"/>
        </w:rPr>
        <w:t>、</w:t>
      </w:r>
      <w:r>
        <w:rPr>
          <w:rFonts w:ascii="宋体" w:hAnsi="宋体" w:eastAsia="宋体" w:cs="宋体"/>
          <w:spacing w:val="11"/>
          <w:sz w:val="19"/>
          <w:szCs w:val="19"/>
        </w:rPr>
        <w:t>政府部</w:t>
      </w:r>
      <w:r>
        <w:rPr>
          <w:rFonts w:ascii="宋体" w:hAnsi="宋体" w:eastAsia="宋体" w:cs="宋体"/>
          <w:spacing w:val="-44"/>
          <w:sz w:val="19"/>
          <w:szCs w:val="19"/>
        </w:rPr>
        <w:t xml:space="preserve"> </w:t>
      </w:r>
      <w:r>
        <w:rPr>
          <w:rFonts w:ascii="宋体" w:hAnsi="宋体" w:eastAsia="宋体" w:cs="宋体"/>
          <w:spacing w:val="11"/>
          <w:sz w:val="19"/>
          <w:szCs w:val="19"/>
        </w:rPr>
        <w:t>门</w:t>
      </w:r>
      <w:r>
        <w:rPr>
          <w:rFonts w:ascii="宋体" w:hAnsi="宋体" w:eastAsia="宋体" w:cs="宋体"/>
          <w:spacing w:val="-55"/>
          <w:sz w:val="19"/>
          <w:szCs w:val="19"/>
        </w:rPr>
        <w:t xml:space="preserve"> </w:t>
      </w:r>
      <w:r>
        <w:rPr>
          <w:rFonts w:ascii="宋体" w:hAnsi="宋体" w:eastAsia="宋体" w:cs="宋体"/>
          <w:spacing w:val="11"/>
          <w:sz w:val="19"/>
          <w:szCs w:val="19"/>
        </w:rPr>
        <w:t xml:space="preserve">和其他社会组 </w:t>
      </w:r>
      <w:r>
        <w:rPr>
          <w:rFonts w:ascii="宋体" w:hAnsi="宋体" w:eastAsia="宋体" w:cs="宋体"/>
          <w:spacing w:val="20"/>
          <w:sz w:val="19"/>
          <w:szCs w:val="19"/>
        </w:rPr>
        <w:t>织</w:t>
      </w:r>
      <w:r>
        <w:rPr>
          <w:rFonts w:ascii="宋体" w:hAnsi="宋体" w:eastAsia="宋体" w:cs="宋体"/>
          <w:spacing w:val="-52"/>
          <w:sz w:val="19"/>
          <w:szCs w:val="19"/>
        </w:rPr>
        <w:t xml:space="preserve"> </w:t>
      </w:r>
      <w:r>
        <w:rPr>
          <w:rFonts w:ascii="微软雅黑" w:hAnsi="微软雅黑" w:eastAsia="微软雅黑" w:cs="微软雅黑"/>
          <w:spacing w:val="20"/>
          <w:sz w:val="19"/>
          <w:szCs w:val="19"/>
        </w:rPr>
        <w:t>。</w:t>
      </w:r>
      <w:r>
        <w:rPr>
          <w:rFonts w:ascii="宋体" w:hAnsi="宋体" w:eastAsia="宋体" w:cs="宋体"/>
          <w:spacing w:val="20"/>
          <w:sz w:val="19"/>
          <w:szCs w:val="19"/>
        </w:rPr>
        <w:t>不同主体在高等教育发展中扮演的角色不同</w:t>
      </w:r>
      <w:r>
        <w:rPr>
          <w:rFonts w:ascii="微软雅黑" w:hAnsi="微软雅黑" w:eastAsia="微软雅黑" w:cs="微软雅黑"/>
          <w:spacing w:val="20"/>
          <w:sz w:val="19"/>
          <w:szCs w:val="19"/>
        </w:rPr>
        <w:t>，</w:t>
      </w:r>
      <w:r>
        <w:rPr>
          <w:rFonts w:ascii="微软雅黑" w:hAnsi="微软雅黑" w:eastAsia="微软雅黑" w:cs="微软雅黑"/>
          <w:sz w:val="19"/>
          <w:szCs w:val="19"/>
        </w:rPr>
        <w:t xml:space="preserve"> </w:t>
      </w:r>
      <w:r>
        <w:rPr>
          <w:rFonts w:ascii="宋体" w:hAnsi="宋体" w:eastAsia="宋体" w:cs="宋体"/>
          <w:spacing w:val="17"/>
          <w:sz w:val="19"/>
          <w:szCs w:val="19"/>
        </w:rPr>
        <w:t>关注质量的侧重点不同</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在质量文化建设中扮演的 </w:t>
      </w:r>
      <w:r>
        <w:rPr>
          <w:rFonts w:ascii="宋体" w:hAnsi="宋体" w:eastAsia="宋体" w:cs="宋体"/>
          <w:spacing w:val="15"/>
          <w:sz w:val="19"/>
          <w:szCs w:val="19"/>
        </w:rPr>
        <w:t>角色</w:t>
      </w:r>
      <w:r>
        <w:rPr>
          <w:rFonts w:ascii="微软雅黑" w:hAnsi="微软雅黑" w:eastAsia="微软雅黑" w:cs="微软雅黑"/>
          <w:spacing w:val="15"/>
          <w:sz w:val="19"/>
          <w:szCs w:val="19"/>
        </w:rPr>
        <w:t>、</w:t>
      </w:r>
      <w:r>
        <w:rPr>
          <w:rFonts w:ascii="宋体" w:hAnsi="宋体" w:eastAsia="宋体" w:cs="宋体"/>
          <w:spacing w:val="15"/>
          <w:sz w:val="19"/>
          <w:szCs w:val="19"/>
        </w:rPr>
        <w:t>发挥的作用也是存在差别的</w:t>
      </w:r>
      <w:r>
        <w:rPr>
          <w:rFonts w:ascii="宋体" w:hAnsi="宋体" w:eastAsia="宋体" w:cs="宋体"/>
          <w:spacing w:val="-51"/>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3"/>
          <w:sz w:val="19"/>
          <w:szCs w:val="19"/>
        </w:rPr>
        <w:t xml:space="preserve"> </w:t>
      </w:r>
      <w:r>
        <w:rPr>
          <w:rFonts w:ascii="宋体" w:hAnsi="宋体" w:eastAsia="宋体" w:cs="宋体"/>
          <w:spacing w:val="15"/>
          <w:sz w:val="19"/>
          <w:szCs w:val="19"/>
        </w:rPr>
        <w:t>高校是</w:t>
      </w:r>
      <w:r>
        <w:rPr>
          <w:rFonts w:ascii="宋体" w:hAnsi="宋体" w:eastAsia="宋体" w:cs="宋体"/>
          <w:spacing w:val="14"/>
          <w:sz w:val="19"/>
          <w:szCs w:val="19"/>
        </w:rPr>
        <w:t xml:space="preserve">质量建 </w:t>
      </w:r>
      <w:r>
        <w:rPr>
          <w:rFonts w:ascii="宋体" w:hAnsi="宋体" w:eastAsia="宋体" w:cs="宋体"/>
          <w:spacing w:val="17"/>
          <w:sz w:val="19"/>
          <w:szCs w:val="19"/>
        </w:rPr>
        <w:t>设的直接主体</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也是政府和其他社会组织质量文化 </w:t>
      </w:r>
      <w:r>
        <w:rPr>
          <w:rFonts w:ascii="宋体" w:hAnsi="宋体" w:eastAsia="宋体" w:cs="宋体"/>
          <w:spacing w:val="9"/>
          <w:sz w:val="19"/>
          <w:szCs w:val="19"/>
        </w:rPr>
        <w:t>建设的承接者和落脚点</w:t>
      </w:r>
      <w:r>
        <w:rPr>
          <w:rFonts w:ascii="微软雅黑" w:hAnsi="微软雅黑" w:eastAsia="微软雅黑" w:cs="微软雅黑"/>
          <w:spacing w:val="9"/>
          <w:sz w:val="19"/>
          <w:szCs w:val="19"/>
        </w:rPr>
        <w:t>，</w:t>
      </w:r>
      <w:r>
        <w:rPr>
          <w:rFonts w:ascii="宋体" w:hAnsi="宋体" w:eastAsia="宋体" w:cs="宋体"/>
          <w:spacing w:val="9"/>
          <w:sz w:val="19"/>
          <w:szCs w:val="19"/>
        </w:rPr>
        <w:t>也就是说</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政府和其他社会 </w:t>
      </w:r>
      <w:r>
        <w:rPr>
          <w:rFonts w:ascii="宋体" w:hAnsi="宋体" w:eastAsia="宋体" w:cs="宋体"/>
          <w:spacing w:val="22"/>
          <w:sz w:val="19"/>
          <w:szCs w:val="19"/>
        </w:rPr>
        <w:t>组织的质量文化建设需要通过高校的接受和消化</w:t>
      </w:r>
      <w:r>
        <w:rPr>
          <w:rFonts w:ascii="微软雅黑" w:hAnsi="微软雅黑" w:eastAsia="微软雅黑" w:cs="微软雅黑"/>
          <w:spacing w:val="22"/>
          <w:sz w:val="19"/>
          <w:szCs w:val="19"/>
        </w:rPr>
        <w:t>，</w:t>
      </w:r>
      <w:r>
        <w:rPr>
          <w:rFonts w:ascii="微软雅黑" w:hAnsi="微软雅黑" w:eastAsia="微软雅黑" w:cs="微软雅黑"/>
          <w:sz w:val="19"/>
          <w:szCs w:val="19"/>
        </w:rPr>
        <w:t xml:space="preserve"> </w:t>
      </w:r>
      <w:r>
        <w:rPr>
          <w:rFonts w:ascii="宋体" w:hAnsi="宋体" w:eastAsia="宋体" w:cs="宋体"/>
          <w:spacing w:val="14"/>
          <w:sz w:val="19"/>
          <w:szCs w:val="19"/>
        </w:rPr>
        <w:t>才能转化为高等教育质量文化的新内涵</w:t>
      </w:r>
      <w:r>
        <w:rPr>
          <w:rFonts w:ascii="宋体" w:hAnsi="宋体" w:eastAsia="宋体" w:cs="宋体"/>
          <w:spacing w:val="-45"/>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20"/>
          <w:sz w:val="19"/>
          <w:szCs w:val="19"/>
        </w:rPr>
        <w:t xml:space="preserve"> </w:t>
      </w:r>
      <w:r>
        <w:rPr>
          <w:rFonts w:ascii="宋体" w:hAnsi="宋体" w:eastAsia="宋体" w:cs="宋体"/>
          <w:spacing w:val="14"/>
          <w:sz w:val="19"/>
          <w:szCs w:val="19"/>
        </w:rPr>
        <w:t xml:space="preserve">由于各主 </w:t>
      </w:r>
      <w:r>
        <w:rPr>
          <w:rFonts w:ascii="宋体" w:hAnsi="宋体" w:eastAsia="宋体" w:cs="宋体"/>
          <w:spacing w:val="17"/>
          <w:sz w:val="19"/>
          <w:szCs w:val="19"/>
        </w:rPr>
        <w:t>体间复杂的行政和治理关系</w:t>
      </w:r>
      <w:r>
        <w:rPr>
          <w:rFonts w:ascii="微软雅黑" w:hAnsi="微软雅黑" w:eastAsia="微软雅黑" w:cs="微软雅黑"/>
          <w:spacing w:val="17"/>
          <w:sz w:val="19"/>
          <w:szCs w:val="19"/>
        </w:rPr>
        <w:t>，</w:t>
      </w:r>
      <w:r>
        <w:rPr>
          <w:rFonts w:ascii="宋体" w:hAnsi="宋体" w:eastAsia="宋体" w:cs="宋体"/>
          <w:spacing w:val="17"/>
          <w:sz w:val="19"/>
          <w:szCs w:val="19"/>
        </w:rPr>
        <w:t>高等教育质量文化建 设不可能是任何一个主体的单打独斗行为</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而是相 </w:t>
      </w:r>
      <w:r>
        <w:rPr>
          <w:rFonts w:ascii="宋体" w:hAnsi="宋体" w:eastAsia="宋体" w:cs="宋体"/>
          <w:spacing w:val="13"/>
          <w:sz w:val="19"/>
          <w:szCs w:val="19"/>
        </w:rPr>
        <w:t>互合作</w:t>
      </w:r>
      <w:r>
        <w:rPr>
          <w:rFonts w:ascii="微软雅黑" w:hAnsi="微软雅黑" w:eastAsia="微软雅黑" w:cs="微软雅黑"/>
          <w:spacing w:val="13"/>
          <w:sz w:val="19"/>
          <w:szCs w:val="19"/>
        </w:rPr>
        <w:t>、</w:t>
      </w:r>
      <w:r>
        <w:rPr>
          <w:rFonts w:ascii="宋体" w:hAnsi="宋体" w:eastAsia="宋体" w:cs="宋体"/>
          <w:spacing w:val="13"/>
          <w:sz w:val="19"/>
          <w:szCs w:val="19"/>
        </w:rPr>
        <w:t>共同用力的行动</w:t>
      </w:r>
      <w:r>
        <w:rPr>
          <w:rFonts w:ascii="宋体" w:hAnsi="宋体" w:eastAsia="宋体" w:cs="宋体"/>
          <w:spacing w:val="-52"/>
          <w:sz w:val="19"/>
          <w:szCs w:val="19"/>
        </w:rPr>
        <w:t xml:space="preserve"> </w:t>
      </w:r>
      <w:r>
        <w:rPr>
          <w:rFonts w:ascii="微软雅黑" w:hAnsi="微软雅黑" w:eastAsia="微软雅黑" w:cs="微软雅黑"/>
          <w:spacing w:val="13"/>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13"/>
          <w:sz w:val="19"/>
          <w:szCs w:val="19"/>
        </w:rPr>
        <w:t>所</w:t>
      </w:r>
      <w:r>
        <w:rPr>
          <w:rFonts w:ascii="宋体" w:hAnsi="宋体" w:eastAsia="宋体" w:cs="宋体"/>
          <w:spacing w:val="-48"/>
          <w:sz w:val="19"/>
          <w:szCs w:val="19"/>
        </w:rPr>
        <w:t xml:space="preserve"> </w:t>
      </w:r>
      <w:r>
        <w:rPr>
          <w:rFonts w:ascii="宋体" w:hAnsi="宋体" w:eastAsia="宋体" w:cs="宋体"/>
          <w:spacing w:val="13"/>
          <w:sz w:val="19"/>
          <w:szCs w:val="19"/>
        </w:rPr>
        <w:t>以</w:t>
      </w:r>
      <w:r>
        <w:rPr>
          <w:rFonts w:ascii="微软雅黑" w:hAnsi="微软雅黑" w:eastAsia="微软雅黑" w:cs="微软雅黑"/>
          <w:spacing w:val="13"/>
          <w:sz w:val="19"/>
          <w:szCs w:val="19"/>
        </w:rPr>
        <w:t>，</w:t>
      </w:r>
      <w:r>
        <w:rPr>
          <w:rFonts w:ascii="宋体" w:hAnsi="宋体" w:eastAsia="宋体" w:cs="宋体"/>
          <w:spacing w:val="13"/>
          <w:sz w:val="19"/>
          <w:szCs w:val="19"/>
        </w:rPr>
        <w:t>开展质量文化</w:t>
      </w:r>
      <w:r>
        <w:rPr>
          <w:rFonts w:ascii="宋体" w:hAnsi="宋体" w:eastAsia="宋体" w:cs="宋体"/>
          <w:spacing w:val="12"/>
          <w:sz w:val="19"/>
          <w:szCs w:val="19"/>
        </w:rPr>
        <w:t xml:space="preserve">建 </w:t>
      </w:r>
      <w:r>
        <w:rPr>
          <w:rFonts w:ascii="宋体" w:hAnsi="宋体" w:eastAsia="宋体" w:cs="宋体"/>
          <w:spacing w:val="9"/>
          <w:sz w:val="19"/>
          <w:szCs w:val="19"/>
        </w:rPr>
        <w:t>设</w:t>
      </w:r>
      <w:r>
        <w:rPr>
          <w:rFonts w:ascii="微软雅黑" w:hAnsi="微软雅黑" w:eastAsia="微软雅黑" w:cs="微软雅黑"/>
          <w:spacing w:val="9"/>
          <w:sz w:val="19"/>
          <w:szCs w:val="19"/>
        </w:rPr>
        <w:t>，</w:t>
      </w:r>
      <w:r>
        <w:rPr>
          <w:rFonts w:ascii="宋体" w:hAnsi="宋体" w:eastAsia="宋体" w:cs="宋体"/>
          <w:spacing w:val="9"/>
          <w:sz w:val="19"/>
          <w:szCs w:val="19"/>
        </w:rPr>
        <w:t>必须健全合理有效的组织体系</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使高等教育质量 </w:t>
      </w:r>
      <w:r>
        <w:rPr>
          <w:rFonts w:ascii="宋体" w:hAnsi="宋体" w:eastAsia="宋体" w:cs="宋体"/>
          <w:spacing w:val="12"/>
          <w:sz w:val="19"/>
          <w:szCs w:val="19"/>
        </w:rPr>
        <w:t>文化建设主体能够有机关联起来</w:t>
      </w:r>
      <w:r>
        <w:rPr>
          <w:rFonts w:ascii="微软雅黑" w:hAnsi="微软雅黑" w:eastAsia="微软雅黑" w:cs="微软雅黑"/>
          <w:spacing w:val="12"/>
          <w:sz w:val="19"/>
          <w:szCs w:val="19"/>
        </w:rPr>
        <w:t>，</w:t>
      </w:r>
      <w:r>
        <w:rPr>
          <w:rFonts w:ascii="宋体" w:hAnsi="宋体" w:eastAsia="宋体" w:cs="宋体"/>
          <w:spacing w:val="12"/>
          <w:sz w:val="19"/>
          <w:szCs w:val="19"/>
        </w:rPr>
        <w:t>有条不紊地行动</w:t>
      </w:r>
      <w:r>
        <w:rPr>
          <w:rFonts w:ascii="微软雅黑" w:hAnsi="微软雅黑" w:eastAsia="微软雅黑" w:cs="微软雅黑"/>
          <w:spacing w:val="12"/>
          <w:sz w:val="19"/>
          <w:szCs w:val="19"/>
        </w:rPr>
        <w:t>，</w:t>
      </w:r>
      <w:r>
        <w:rPr>
          <w:rFonts w:ascii="微软雅黑" w:hAnsi="微软雅黑" w:eastAsia="微软雅黑" w:cs="微软雅黑"/>
          <w:spacing w:val="17"/>
          <w:w w:val="101"/>
          <w:sz w:val="19"/>
          <w:szCs w:val="19"/>
        </w:rPr>
        <w:t xml:space="preserve"> </w:t>
      </w:r>
      <w:r>
        <w:rPr>
          <w:rFonts w:ascii="宋体" w:hAnsi="宋体" w:eastAsia="宋体" w:cs="宋体"/>
          <w:spacing w:val="17"/>
          <w:sz w:val="19"/>
          <w:szCs w:val="19"/>
        </w:rPr>
        <w:t>使各方的努力形成合力</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最终达到丰富高等教育质 </w:t>
      </w:r>
      <w:r>
        <w:rPr>
          <w:rFonts w:ascii="宋体" w:hAnsi="宋体" w:eastAsia="宋体" w:cs="宋体"/>
          <w:spacing w:val="9"/>
          <w:sz w:val="19"/>
          <w:szCs w:val="19"/>
        </w:rPr>
        <w:t>量文化内涵</w:t>
      </w:r>
      <w:r>
        <w:rPr>
          <w:rFonts w:ascii="微软雅黑" w:hAnsi="微软雅黑" w:eastAsia="微软雅黑" w:cs="微软雅黑"/>
          <w:spacing w:val="9"/>
          <w:sz w:val="19"/>
          <w:szCs w:val="19"/>
        </w:rPr>
        <w:t>，</w:t>
      </w:r>
      <w:r>
        <w:rPr>
          <w:rFonts w:ascii="宋体" w:hAnsi="宋体" w:eastAsia="宋体" w:cs="宋体"/>
          <w:spacing w:val="9"/>
          <w:sz w:val="19"/>
          <w:szCs w:val="19"/>
        </w:rPr>
        <w:t>创新质量文化形式的目标</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从而切实保 </w:t>
      </w:r>
      <w:r>
        <w:rPr>
          <w:rFonts w:ascii="宋体" w:hAnsi="宋体" w:eastAsia="宋体" w:cs="宋体"/>
          <w:spacing w:val="19"/>
          <w:sz w:val="19"/>
          <w:szCs w:val="19"/>
        </w:rPr>
        <w:t>证和提高高等教育质量</w:t>
      </w:r>
      <w:r>
        <w:rPr>
          <w:rFonts w:ascii="微软雅黑" w:hAnsi="微软雅黑" w:eastAsia="微软雅黑" w:cs="微软雅黑"/>
          <w:spacing w:val="19"/>
          <w:sz w:val="19"/>
          <w:szCs w:val="19"/>
        </w:rPr>
        <w:t>。</w:t>
      </w:r>
    </w:p>
    <w:p>
      <w:pPr>
        <w:spacing w:before="57" w:line="233" w:lineRule="auto"/>
        <w:ind w:left="3" w:right="77" w:firstLine="422"/>
        <w:rPr>
          <w:rFonts w:ascii="宋体" w:hAnsi="宋体" w:eastAsia="宋体" w:cs="宋体"/>
          <w:sz w:val="19"/>
          <w:szCs w:val="19"/>
        </w:rPr>
      </w:pPr>
      <w:r>
        <w:rPr>
          <w:rFonts w:ascii="宋体" w:hAnsi="宋体" w:eastAsia="宋体" w:cs="宋体"/>
          <w:spacing w:val="18"/>
          <w:sz w:val="19"/>
          <w:szCs w:val="19"/>
        </w:rPr>
        <w:t>高校在高等教育质量文化建设中扮演着多种角</w:t>
      </w:r>
      <w:r>
        <w:rPr>
          <w:rFonts w:ascii="宋体" w:hAnsi="宋体" w:eastAsia="宋体" w:cs="宋体"/>
          <w:spacing w:val="5"/>
          <w:sz w:val="19"/>
          <w:szCs w:val="19"/>
        </w:rPr>
        <w:t xml:space="preserve"> </w:t>
      </w:r>
      <w:r>
        <w:rPr>
          <w:rFonts w:ascii="宋体" w:hAnsi="宋体" w:eastAsia="宋体" w:cs="宋体"/>
          <w:spacing w:val="16"/>
          <w:sz w:val="19"/>
          <w:szCs w:val="19"/>
        </w:rPr>
        <w:t>色</w:t>
      </w:r>
      <w:r>
        <w:rPr>
          <w:rFonts w:ascii="宋体" w:hAnsi="宋体" w:eastAsia="宋体" w:cs="宋体"/>
          <w:spacing w:val="-37"/>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它可以自己组织开展质量文化建设</w:t>
      </w:r>
      <w:r>
        <w:rPr>
          <w:rFonts w:ascii="微软雅黑" w:hAnsi="微软雅黑" w:eastAsia="微软雅黑" w:cs="微软雅黑"/>
          <w:spacing w:val="16"/>
          <w:sz w:val="19"/>
          <w:szCs w:val="19"/>
        </w:rPr>
        <w:t>，</w:t>
      </w:r>
      <w:r>
        <w:rPr>
          <w:rFonts w:ascii="宋体" w:hAnsi="宋体" w:eastAsia="宋体" w:cs="宋体"/>
          <w:spacing w:val="16"/>
          <w:sz w:val="19"/>
          <w:szCs w:val="19"/>
        </w:rPr>
        <w:t>这是它作</w:t>
      </w:r>
      <w:r>
        <w:rPr>
          <w:rFonts w:ascii="宋体" w:hAnsi="宋体" w:eastAsia="宋体" w:cs="宋体"/>
          <w:sz w:val="19"/>
          <w:szCs w:val="19"/>
        </w:rPr>
        <w:t xml:space="preserve"> </w:t>
      </w:r>
      <w:r>
        <w:rPr>
          <w:rFonts w:ascii="宋体" w:hAnsi="宋体" w:eastAsia="宋体" w:cs="宋体"/>
          <w:spacing w:val="18"/>
          <w:sz w:val="19"/>
          <w:szCs w:val="19"/>
        </w:rPr>
        <w:t>为高等教育组织的本分</w:t>
      </w:r>
      <w:r>
        <w:rPr>
          <w:rFonts w:ascii="微软雅黑" w:hAnsi="微软雅黑" w:eastAsia="微软雅黑" w:cs="微软雅黑"/>
          <w:spacing w:val="18"/>
          <w:sz w:val="19"/>
          <w:szCs w:val="19"/>
        </w:rPr>
        <w:t>，</w:t>
      </w:r>
      <w:r>
        <w:rPr>
          <w:rFonts w:ascii="宋体" w:hAnsi="宋体" w:eastAsia="宋体" w:cs="宋体"/>
          <w:spacing w:val="18"/>
          <w:sz w:val="19"/>
          <w:szCs w:val="19"/>
        </w:rPr>
        <w:t>也是高等教育发展转型阶</w:t>
      </w:r>
      <w:r>
        <w:rPr>
          <w:rFonts w:ascii="宋体" w:hAnsi="宋体" w:eastAsia="宋体" w:cs="宋体"/>
          <w:spacing w:val="12"/>
          <w:sz w:val="19"/>
          <w:szCs w:val="19"/>
        </w:rPr>
        <w:t xml:space="preserve"> </w:t>
      </w:r>
      <w:r>
        <w:rPr>
          <w:rFonts w:ascii="宋体" w:hAnsi="宋体" w:eastAsia="宋体" w:cs="宋体"/>
          <w:spacing w:val="8"/>
          <w:sz w:val="19"/>
          <w:szCs w:val="19"/>
        </w:rPr>
        <w:t>段的</w:t>
      </w:r>
      <w:r>
        <w:rPr>
          <w:rFonts w:ascii="微软雅黑" w:hAnsi="微软雅黑" w:eastAsia="微软雅黑" w:cs="微软雅黑"/>
          <w:spacing w:val="8"/>
          <w:sz w:val="19"/>
          <w:szCs w:val="19"/>
        </w:rPr>
        <w:t>“</w:t>
      </w:r>
      <w:r>
        <w:rPr>
          <w:rFonts w:ascii="宋体" w:hAnsi="宋体" w:eastAsia="宋体" w:cs="宋体"/>
          <w:spacing w:val="8"/>
          <w:sz w:val="19"/>
          <w:szCs w:val="19"/>
        </w:rPr>
        <w:t>必修课</w:t>
      </w:r>
      <w:r>
        <w:rPr>
          <w:rFonts w:ascii="微软雅黑" w:hAnsi="微软雅黑" w:eastAsia="微软雅黑" w:cs="微软雅黑"/>
          <w:spacing w:val="8"/>
          <w:sz w:val="19"/>
          <w:szCs w:val="19"/>
        </w:rPr>
        <w:t>”。</w:t>
      </w:r>
      <w:r>
        <w:rPr>
          <w:rFonts w:ascii="微软雅黑" w:hAnsi="微软雅黑" w:eastAsia="微软雅黑" w:cs="微软雅黑"/>
          <w:spacing w:val="-21"/>
          <w:sz w:val="19"/>
          <w:szCs w:val="19"/>
        </w:rPr>
        <w:t xml:space="preserve"> </w:t>
      </w:r>
      <w:r>
        <w:rPr>
          <w:rFonts w:ascii="宋体" w:hAnsi="宋体" w:eastAsia="宋体" w:cs="宋体"/>
          <w:spacing w:val="8"/>
          <w:sz w:val="19"/>
          <w:szCs w:val="19"/>
        </w:rPr>
        <w:t>只有通过质量文化建设</w:t>
      </w:r>
      <w:r>
        <w:rPr>
          <w:rFonts w:ascii="微软雅黑" w:hAnsi="微软雅黑" w:eastAsia="微软雅黑" w:cs="微软雅黑"/>
          <w:spacing w:val="8"/>
          <w:sz w:val="19"/>
          <w:szCs w:val="19"/>
        </w:rPr>
        <w:t>，</w:t>
      </w:r>
      <w:r>
        <w:rPr>
          <w:rFonts w:ascii="宋体" w:hAnsi="宋体" w:eastAsia="宋体" w:cs="宋体"/>
          <w:spacing w:val="8"/>
          <w:sz w:val="19"/>
          <w:szCs w:val="19"/>
        </w:rPr>
        <w:t>高校才能</w:t>
      </w:r>
      <w:r>
        <w:rPr>
          <w:rFonts w:ascii="宋体" w:hAnsi="宋体" w:eastAsia="宋体" w:cs="宋体"/>
          <w:sz w:val="19"/>
          <w:szCs w:val="19"/>
        </w:rPr>
        <w:t xml:space="preserve"> </w:t>
      </w:r>
      <w:r>
        <w:rPr>
          <w:rFonts w:ascii="宋体" w:hAnsi="宋体" w:eastAsia="宋体" w:cs="宋体"/>
          <w:spacing w:val="18"/>
          <w:sz w:val="19"/>
          <w:szCs w:val="19"/>
        </w:rPr>
        <w:t>逐步消解传统的高等教育质量文化</w:t>
      </w:r>
      <w:r>
        <w:rPr>
          <w:rFonts w:ascii="微软雅黑" w:hAnsi="微软雅黑" w:eastAsia="微软雅黑" w:cs="微软雅黑"/>
          <w:spacing w:val="18"/>
          <w:sz w:val="19"/>
          <w:szCs w:val="19"/>
        </w:rPr>
        <w:t>，</w:t>
      </w:r>
      <w:r>
        <w:rPr>
          <w:rFonts w:ascii="宋体" w:hAnsi="宋体" w:eastAsia="宋体" w:cs="宋体"/>
          <w:spacing w:val="18"/>
          <w:sz w:val="19"/>
          <w:szCs w:val="19"/>
        </w:rPr>
        <w:t>创新质量文化</w:t>
      </w:r>
      <w:r>
        <w:rPr>
          <w:rFonts w:ascii="宋体" w:hAnsi="宋体" w:eastAsia="宋体" w:cs="宋体"/>
          <w:spacing w:val="13"/>
          <w:sz w:val="19"/>
          <w:szCs w:val="19"/>
        </w:rPr>
        <w:t xml:space="preserve"> </w:t>
      </w:r>
      <w:r>
        <w:rPr>
          <w:rFonts w:ascii="宋体" w:hAnsi="宋体" w:eastAsia="宋体" w:cs="宋体"/>
          <w:spacing w:val="15"/>
          <w:sz w:val="19"/>
          <w:szCs w:val="19"/>
        </w:rPr>
        <w:t>内涵</w:t>
      </w:r>
      <w:r>
        <w:rPr>
          <w:rFonts w:ascii="微软雅黑" w:hAnsi="微软雅黑" w:eastAsia="微软雅黑" w:cs="微软雅黑"/>
          <w:spacing w:val="15"/>
          <w:sz w:val="19"/>
          <w:szCs w:val="19"/>
        </w:rPr>
        <w:t>，</w:t>
      </w:r>
      <w:r>
        <w:rPr>
          <w:rFonts w:ascii="宋体" w:hAnsi="宋体" w:eastAsia="宋体" w:cs="宋体"/>
          <w:spacing w:val="15"/>
          <w:sz w:val="19"/>
          <w:szCs w:val="19"/>
        </w:rPr>
        <w:t>满足高等教育发展的新要求</w:t>
      </w:r>
      <w:r>
        <w:rPr>
          <w:rFonts w:ascii="宋体" w:hAnsi="宋体" w:eastAsia="宋体" w:cs="宋体"/>
          <w:spacing w:val="-36"/>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5"/>
          <w:sz w:val="19"/>
          <w:szCs w:val="19"/>
        </w:rPr>
        <w:t>政府既是高等</w:t>
      </w:r>
      <w:r>
        <w:rPr>
          <w:rFonts w:ascii="宋体" w:hAnsi="宋体" w:eastAsia="宋体" w:cs="宋体"/>
          <w:sz w:val="19"/>
          <w:szCs w:val="19"/>
        </w:rPr>
        <w:t xml:space="preserve"> </w:t>
      </w:r>
      <w:r>
        <w:rPr>
          <w:rFonts w:ascii="宋体" w:hAnsi="宋体" w:eastAsia="宋体" w:cs="宋体"/>
          <w:spacing w:val="18"/>
          <w:sz w:val="19"/>
          <w:szCs w:val="19"/>
        </w:rPr>
        <w:t>教育事业的领导者和支持者</w:t>
      </w:r>
      <w:r>
        <w:rPr>
          <w:rFonts w:ascii="微软雅黑" w:hAnsi="微软雅黑" w:eastAsia="微软雅黑" w:cs="微软雅黑"/>
          <w:spacing w:val="18"/>
          <w:sz w:val="19"/>
          <w:szCs w:val="19"/>
        </w:rPr>
        <w:t>，</w:t>
      </w:r>
      <w:r>
        <w:rPr>
          <w:rFonts w:ascii="宋体" w:hAnsi="宋体" w:eastAsia="宋体" w:cs="宋体"/>
          <w:spacing w:val="18"/>
          <w:sz w:val="19"/>
          <w:szCs w:val="19"/>
        </w:rPr>
        <w:t>又是高等教育质量的</w:t>
      </w:r>
    </w:p>
    <w:p>
      <w:pPr>
        <w:spacing w:line="233" w:lineRule="auto"/>
        <w:rPr>
          <w:rFonts w:ascii="宋体" w:hAnsi="宋体" w:eastAsia="宋体" w:cs="宋体"/>
          <w:sz w:val="19"/>
          <w:szCs w:val="19"/>
        </w:rPr>
        <w:sectPr>
          <w:type w:val="continuous"/>
          <w:pgSz w:w="11905" w:h="16836"/>
          <w:pgMar w:top="400" w:right="1063" w:bottom="547" w:left="407" w:header="0" w:footer="354" w:gutter="0"/>
          <w:cols w:equalWidth="0" w:num="2">
            <w:col w:w="5661" w:space="100"/>
            <w:col w:w="4673"/>
          </w:cols>
        </w:sectPr>
      </w:pPr>
    </w:p>
    <w:p>
      <w:pPr>
        <w:spacing w:line="426" w:lineRule="auto"/>
        <w:rPr>
          <w:rFonts w:ascii="Arial"/>
          <w:sz w:val="21"/>
        </w:rPr>
      </w:pPr>
    </w:p>
    <w:p>
      <w:pPr>
        <w:spacing w:before="52" w:line="220" w:lineRule="auto"/>
        <w:ind w:left="4292"/>
        <w:rPr>
          <w:rFonts w:ascii="宋体" w:hAnsi="宋体" w:eastAsia="宋体" w:cs="宋体"/>
          <w:sz w:val="16"/>
          <w:szCs w:val="16"/>
        </w:rPr>
      </w:pPr>
      <w:r>
        <w:rPr>
          <w:rFonts w:ascii="宋体" w:hAnsi="宋体" w:eastAsia="宋体" w:cs="宋体"/>
          <w:spacing w:val="18"/>
          <w:sz w:val="16"/>
          <w:szCs w:val="16"/>
        </w:rPr>
        <w:t>高等教育质量文化及其建设策略</w:t>
      </w:r>
    </w:p>
    <w:p>
      <w:pPr>
        <w:spacing w:before="23" w:line="159" w:lineRule="exact"/>
        <w:ind w:left="721"/>
      </w:pPr>
      <w:r>
        <w:rPr>
          <w:position w:val="-3"/>
        </w:rPr>
        <w:drawing>
          <wp:inline distT="0" distB="0" distL="0" distR="0">
            <wp:extent cx="6118860" cy="1009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6"/>
                    <a:stretch>
                      <a:fillRect/>
                    </a:stretch>
                  </pic:blipFill>
                  <pic:spPr>
                    <a:xfrm>
                      <a:off x="0" y="0"/>
                      <a:ext cx="6119371" cy="101421"/>
                    </a:xfrm>
                    <a:prstGeom prst="rect">
                      <a:avLst/>
                    </a:prstGeom>
                  </pic:spPr>
                </pic:pic>
              </a:graphicData>
            </a:graphic>
          </wp:inline>
        </w:drawing>
      </w:r>
    </w:p>
    <w:p>
      <w:pPr>
        <w:spacing w:line="116" w:lineRule="exact"/>
      </w:pPr>
    </w:p>
    <w:p>
      <w:pPr>
        <w:spacing w:line="116" w:lineRule="exact"/>
        <w:sectPr>
          <w:footerReference r:id="rId29" w:type="default"/>
          <w:pgSz w:w="11905" w:h="16836"/>
          <w:pgMar w:top="400" w:right="1066" w:bottom="547" w:left="407" w:header="0" w:footer="354" w:gutter="0"/>
          <w:cols w:equalWidth="0" w:num="1">
            <w:col w:w="10430"/>
          </w:cols>
        </w:sectPr>
      </w:pPr>
    </w:p>
    <w:p>
      <w:pPr>
        <w:spacing w:before="37"/>
        <w:ind w:left="730" w:right="259" w:firstLine="2"/>
        <w:jc w:val="both"/>
        <w:rPr>
          <w:rFonts w:ascii="微软雅黑" w:hAnsi="微软雅黑" w:eastAsia="微软雅黑" w:cs="微软雅黑"/>
          <w:sz w:val="19"/>
          <w:szCs w:val="19"/>
        </w:rPr>
      </w:pPr>
      <w:r>
        <w:rPr>
          <w:rFonts w:ascii="宋体" w:hAnsi="宋体" w:eastAsia="宋体" w:cs="宋体"/>
          <w:spacing w:val="18"/>
          <w:sz w:val="19"/>
          <w:szCs w:val="19"/>
        </w:rPr>
        <w:t>监督者和引导者</w:t>
      </w:r>
      <w:r>
        <w:rPr>
          <w:rFonts w:ascii="微软雅黑" w:hAnsi="微软雅黑" w:eastAsia="微软雅黑" w:cs="微软雅黑"/>
          <w:spacing w:val="18"/>
          <w:sz w:val="19"/>
          <w:szCs w:val="19"/>
        </w:rPr>
        <w:t>，</w:t>
      </w:r>
      <w:r>
        <w:rPr>
          <w:rFonts w:ascii="宋体" w:hAnsi="宋体" w:eastAsia="宋体" w:cs="宋体"/>
          <w:spacing w:val="18"/>
          <w:sz w:val="19"/>
          <w:szCs w:val="19"/>
        </w:rPr>
        <w:t>政府对质量和质量文化的重视常 常会转化为高等教育政策和改革行动</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质量文化建 设常常体现在各种相关政策导向和改革举措的实施 </w:t>
      </w:r>
      <w:r>
        <w:rPr>
          <w:rFonts w:ascii="宋体" w:hAnsi="宋体" w:eastAsia="宋体" w:cs="宋体"/>
          <w:spacing w:val="20"/>
          <w:sz w:val="19"/>
          <w:szCs w:val="19"/>
        </w:rPr>
        <w:t>上</w:t>
      </w:r>
      <w:r>
        <w:rPr>
          <w:rFonts w:ascii="宋体" w:hAnsi="宋体" w:eastAsia="宋体" w:cs="宋体"/>
          <w:spacing w:val="-44"/>
          <w:sz w:val="19"/>
          <w:szCs w:val="19"/>
        </w:rPr>
        <w:t xml:space="preserve"> </w:t>
      </w:r>
      <w:r>
        <w:rPr>
          <w:rFonts w:ascii="微软雅黑" w:hAnsi="微软雅黑" w:eastAsia="微软雅黑" w:cs="微软雅黑"/>
          <w:spacing w:val="20"/>
          <w:sz w:val="19"/>
          <w:szCs w:val="19"/>
        </w:rPr>
        <w:t>。</w:t>
      </w:r>
      <w:r>
        <w:rPr>
          <w:rFonts w:ascii="宋体" w:hAnsi="宋体" w:eastAsia="宋体" w:cs="宋体"/>
          <w:spacing w:val="20"/>
          <w:sz w:val="19"/>
          <w:szCs w:val="19"/>
        </w:rPr>
        <w:t>其他社会组织既可以独立开展质量文化建设</w:t>
      </w:r>
      <w:r>
        <w:rPr>
          <w:rFonts w:ascii="微软雅黑" w:hAnsi="微软雅黑" w:eastAsia="微软雅黑" w:cs="微软雅黑"/>
          <w:spacing w:val="20"/>
          <w:sz w:val="19"/>
          <w:szCs w:val="19"/>
        </w:rPr>
        <w:t>，</w:t>
      </w:r>
      <w:r>
        <w:rPr>
          <w:rFonts w:ascii="微软雅黑" w:hAnsi="微软雅黑" w:eastAsia="微软雅黑" w:cs="微软雅黑"/>
          <w:sz w:val="19"/>
          <w:szCs w:val="19"/>
        </w:rPr>
        <w:t xml:space="preserve"> </w:t>
      </w:r>
      <w:r>
        <w:rPr>
          <w:rFonts w:ascii="宋体" w:hAnsi="宋体" w:eastAsia="宋体" w:cs="宋体"/>
          <w:spacing w:val="18"/>
          <w:sz w:val="19"/>
          <w:szCs w:val="19"/>
        </w:rPr>
        <w:t xml:space="preserve">也可以联合高校或政府部门共同实施相关质量建设 </w:t>
      </w:r>
      <w:r>
        <w:rPr>
          <w:rFonts w:ascii="宋体" w:hAnsi="宋体" w:eastAsia="宋体" w:cs="宋体"/>
          <w:spacing w:val="16"/>
          <w:sz w:val="19"/>
          <w:szCs w:val="19"/>
        </w:rPr>
        <w:t>行动</w:t>
      </w:r>
      <w:r>
        <w:rPr>
          <w:rFonts w:ascii="宋体" w:hAnsi="宋体" w:eastAsia="宋体" w:cs="宋体"/>
          <w:spacing w:val="-47"/>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尽管政府和其他社会组织在高等教育质量文 </w:t>
      </w:r>
      <w:r>
        <w:rPr>
          <w:rFonts w:ascii="宋体" w:hAnsi="宋体" w:eastAsia="宋体" w:cs="宋体"/>
          <w:spacing w:val="18"/>
          <w:sz w:val="19"/>
          <w:szCs w:val="19"/>
        </w:rPr>
        <w:t>化建设上的作用是重要而显著的</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但他们的作用必 </w:t>
      </w:r>
      <w:r>
        <w:rPr>
          <w:rFonts w:ascii="宋体" w:hAnsi="宋体" w:eastAsia="宋体" w:cs="宋体"/>
          <w:spacing w:val="22"/>
          <w:sz w:val="19"/>
          <w:szCs w:val="19"/>
        </w:rPr>
        <w:t>须通过高校才能发挥实质性影</w:t>
      </w:r>
      <w:r>
        <w:rPr>
          <w:rFonts w:ascii="宋体" w:hAnsi="宋体" w:eastAsia="宋体" w:cs="宋体"/>
          <w:spacing w:val="-38"/>
          <w:sz w:val="19"/>
          <w:szCs w:val="19"/>
        </w:rPr>
        <w:t xml:space="preserve"> </w:t>
      </w:r>
      <w:r>
        <w:rPr>
          <w:rFonts w:ascii="宋体" w:hAnsi="宋体" w:eastAsia="宋体" w:cs="宋体"/>
          <w:spacing w:val="22"/>
          <w:sz w:val="19"/>
          <w:szCs w:val="19"/>
        </w:rPr>
        <w:t>响</w:t>
      </w:r>
      <w:r>
        <w:rPr>
          <w:rFonts w:ascii="宋体" w:hAnsi="宋体" w:eastAsia="宋体" w:cs="宋体"/>
          <w:spacing w:val="-52"/>
          <w:sz w:val="19"/>
          <w:szCs w:val="19"/>
        </w:rPr>
        <w:t xml:space="preserve"> </w:t>
      </w:r>
      <w:r>
        <w:rPr>
          <w:rFonts w:ascii="微软雅黑" w:hAnsi="微软雅黑" w:eastAsia="微软雅黑" w:cs="微软雅黑"/>
          <w:spacing w:val="22"/>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22"/>
          <w:sz w:val="19"/>
          <w:szCs w:val="19"/>
        </w:rPr>
        <w:t xml:space="preserve">从这个意义上 </w:t>
      </w:r>
      <w:r>
        <w:rPr>
          <w:rFonts w:ascii="宋体" w:hAnsi="宋体" w:eastAsia="宋体" w:cs="宋体"/>
          <w:spacing w:val="16"/>
          <w:sz w:val="19"/>
          <w:szCs w:val="19"/>
        </w:rPr>
        <w:t>讲</w:t>
      </w:r>
      <w:r>
        <w:rPr>
          <w:rFonts w:ascii="微软雅黑" w:hAnsi="微软雅黑" w:eastAsia="微软雅黑" w:cs="微软雅黑"/>
          <w:spacing w:val="16"/>
          <w:sz w:val="19"/>
          <w:szCs w:val="19"/>
        </w:rPr>
        <w:t>，</w:t>
      </w:r>
      <w:r>
        <w:rPr>
          <w:rFonts w:ascii="宋体" w:hAnsi="宋体" w:eastAsia="宋体" w:cs="宋体"/>
          <w:spacing w:val="16"/>
          <w:sz w:val="19"/>
          <w:szCs w:val="19"/>
        </w:rPr>
        <w:t>高校还扮演着质量文化建设的中介者角色</w:t>
      </w:r>
      <w:r>
        <w:rPr>
          <w:rFonts w:ascii="宋体" w:hAnsi="宋体" w:eastAsia="宋体" w:cs="宋体"/>
          <w:spacing w:val="-47"/>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尽 </w:t>
      </w:r>
      <w:r>
        <w:rPr>
          <w:rFonts w:ascii="宋体" w:hAnsi="宋体" w:eastAsia="宋体" w:cs="宋体"/>
          <w:spacing w:val="18"/>
          <w:sz w:val="19"/>
          <w:szCs w:val="19"/>
        </w:rPr>
        <w:t xml:space="preserve">管不同组织进行质量文化建设的目的都是为了提高 </w:t>
      </w:r>
      <w:r>
        <w:rPr>
          <w:rFonts w:ascii="宋体" w:hAnsi="宋体" w:eastAsia="宋体" w:cs="宋体"/>
          <w:spacing w:val="9"/>
          <w:sz w:val="19"/>
          <w:szCs w:val="19"/>
        </w:rPr>
        <w:t>高等教育质量</w:t>
      </w:r>
      <w:r>
        <w:rPr>
          <w:rFonts w:ascii="微软雅黑" w:hAnsi="微软雅黑" w:eastAsia="微软雅黑" w:cs="微软雅黑"/>
          <w:spacing w:val="9"/>
          <w:sz w:val="19"/>
          <w:szCs w:val="19"/>
        </w:rPr>
        <w:t>，</w:t>
      </w:r>
      <w:r>
        <w:rPr>
          <w:rFonts w:ascii="宋体" w:hAnsi="宋体" w:eastAsia="宋体" w:cs="宋体"/>
          <w:spacing w:val="9"/>
          <w:sz w:val="19"/>
          <w:szCs w:val="19"/>
        </w:rPr>
        <w:t>但由于它们的性质不同</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与高等教育 </w:t>
      </w:r>
      <w:r>
        <w:rPr>
          <w:rFonts w:ascii="宋体" w:hAnsi="宋体" w:eastAsia="宋体" w:cs="宋体"/>
          <w:spacing w:val="18"/>
          <w:sz w:val="19"/>
          <w:szCs w:val="19"/>
        </w:rPr>
        <w:t>的关系和攸关的利益存在差别</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它们在质量文化建 </w:t>
      </w:r>
      <w:r>
        <w:rPr>
          <w:rFonts w:ascii="宋体" w:hAnsi="宋体" w:eastAsia="宋体" w:cs="宋体"/>
          <w:spacing w:val="20"/>
          <w:sz w:val="19"/>
          <w:szCs w:val="19"/>
        </w:rPr>
        <w:t>设中所秉承的价值原则是不同的</w:t>
      </w:r>
      <w:r>
        <w:rPr>
          <w:rFonts w:ascii="宋体" w:hAnsi="宋体" w:eastAsia="宋体" w:cs="宋体"/>
          <w:spacing w:val="-44"/>
          <w:sz w:val="19"/>
          <w:szCs w:val="19"/>
        </w:rPr>
        <w:t xml:space="preserve"> </w:t>
      </w:r>
      <w:r>
        <w:rPr>
          <w:rFonts w:ascii="微软雅黑" w:hAnsi="微软雅黑" w:eastAsia="微软雅黑" w:cs="微软雅黑"/>
          <w:spacing w:val="20"/>
          <w:sz w:val="19"/>
          <w:szCs w:val="19"/>
        </w:rPr>
        <w:t>。</w:t>
      </w:r>
      <w:r>
        <w:rPr>
          <w:rFonts w:ascii="宋体" w:hAnsi="宋体" w:eastAsia="宋体" w:cs="宋体"/>
          <w:spacing w:val="20"/>
          <w:sz w:val="19"/>
          <w:szCs w:val="19"/>
        </w:rPr>
        <w:t>建立相互关联</w:t>
      </w:r>
      <w:r>
        <w:rPr>
          <w:rFonts w:ascii="微软雅黑" w:hAnsi="微软雅黑" w:eastAsia="微软雅黑" w:cs="微软雅黑"/>
          <w:spacing w:val="20"/>
          <w:sz w:val="19"/>
          <w:szCs w:val="19"/>
        </w:rPr>
        <w:t>、</w:t>
      </w:r>
      <w:r>
        <w:rPr>
          <w:rFonts w:ascii="微软雅黑" w:hAnsi="微软雅黑" w:eastAsia="微软雅黑" w:cs="微软雅黑"/>
          <w:sz w:val="19"/>
          <w:szCs w:val="19"/>
        </w:rPr>
        <w:t xml:space="preserve"> </w:t>
      </w:r>
      <w:r>
        <w:rPr>
          <w:rFonts w:ascii="宋体" w:hAnsi="宋体" w:eastAsia="宋体" w:cs="宋体"/>
          <w:spacing w:val="18"/>
          <w:sz w:val="19"/>
          <w:szCs w:val="19"/>
        </w:rPr>
        <w:t>导向积极</w:t>
      </w:r>
      <w:r>
        <w:rPr>
          <w:rFonts w:ascii="微软雅黑" w:hAnsi="微软雅黑" w:eastAsia="微软雅黑" w:cs="微软雅黑"/>
          <w:spacing w:val="18"/>
          <w:sz w:val="19"/>
          <w:szCs w:val="19"/>
        </w:rPr>
        <w:t>、</w:t>
      </w:r>
      <w:r>
        <w:rPr>
          <w:rFonts w:ascii="宋体" w:hAnsi="宋体" w:eastAsia="宋体" w:cs="宋体"/>
          <w:spacing w:val="18"/>
          <w:sz w:val="19"/>
          <w:szCs w:val="19"/>
        </w:rPr>
        <w:t>以高校为基础的质量建设组织体系是非 常必要的</w:t>
      </w:r>
      <w:r>
        <w:rPr>
          <w:rFonts w:ascii="微软雅黑" w:hAnsi="微软雅黑" w:eastAsia="微软雅黑" w:cs="微软雅黑"/>
          <w:spacing w:val="18"/>
          <w:sz w:val="19"/>
          <w:szCs w:val="19"/>
        </w:rPr>
        <w:t>。</w:t>
      </w:r>
    </w:p>
    <w:p>
      <w:pPr>
        <w:spacing w:before="62" w:line="234" w:lineRule="auto"/>
        <w:ind w:left="730" w:right="263" w:firstLine="421"/>
        <w:rPr>
          <w:rFonts w:ascii="微软雅黑" w:hAnsi="微软雅黑" w:eastAsia="微软雅黑" w:cs="微软雅黑"/>
          <w:sz w:val="19"/>
          <w:szCs w:val="19"/>
        </w:rPr>
      </w:pPr>
      <w:r>
        <w:rPr>
          <w:rFonts w:ascii="宋体" w:hAnsi="宋体" w:eastAsia="宋体" w:cs="宋体"/>
          <w:spacing w:val="17"/>
          <w:sz w:val="19"/>
          <w:szCs w:val="19"/>
        </w:rPr>
        <w:t xml:space="preserve">建立组织体系是高等教育质量文化建设的基础 </w:t>
      </w:r>
      <w:r>
        <w:rPr>
          <w:rFonts w:ascii="宋体" w:hAnsi="宋体" w:eastAsia="宋体" w:cs="宋体"/>
          <w:spacing w:val="9"/>
          <w:sz w:val="19"/>
          <w:szCs w:val="19"/>
        </w:rPr>
        <w:t>工作</w:t>
      </w:r>
      <w:r>
        <w:rPr>
          <w:rFonts w:ascii="微软雅黑" w:hAnsi="微软雅黑" w:eastAsia="微软雅黑" w:cs="微软雅黑"/>
          <w:spacing w:val="9"/>
          <w:sz w:val="19"/>
          <w:szCs w:val="19"/>
        </w:rPr>
        <w:t>，</w:t>
      </w:r>
      <w:r>
        <w:rPr>
          <w:rFonts w:ascii="宋体" w:hAnsi="宋体" w:eastAsia="宋体" w:cs="宋体"/>
          <w:spacing w:val="9"/>
          <w:sz w:val="19"/>
          <w:szCs w:val="19"/>
        </w:rPr>
        <w:t>其目的在于强化质量攸关的共同精神信念</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构 </w:t>
      </w:r>
      <w:r>
        <w:rPr>
          <w:rFonts w:ascii="宋体" w:hAnsi="宋体" w:eastAsia="宋体" w:cs="宋体"/>
          <w:spacing w:val="18"/>
          <w:sz w:val="19"/>
          <w:szCs w:val="19"/>
        </w:rPr>
        <w:t>建不断提升的质量文化共同体</w:t>
      </w:r>
      <w:r>
        <w:rPr>
          <w:rFonts w:ascii="微软雅黑" w:hAnsi="微软雅黑" w:eastAsia="微软雅黑" w:cs="微软雅黑"/>
          <w:spacing w:val="18"/>
          <w:sz w:val="19"/>
          <w:szCs w:val="19"/>
        </w:rPr>
        <w:t>，</w:t>
      </w:r>
      <w:r>
        <w:rPr>
          <w:rFonts w:ascii="宋体" w:hAnsi="宋体" w:eastAsia="宋体" w:cs="宋体"/>
          <w:spacing w:val="18"/>
          <w:sz w:val="19"/>
          <w:szCs w:val="19"/>
        </w:rPr>
        <w:t>形成共同参与的</w:t>
      </w:r>
      <w:r>
        <w:rPr>
          <w:rFonts w:ascii="宋体" w:hAnsi="宋体" w:eastAsia="宋体" w:cs="宋体"/>
          <w:spacing w:val="17"/>
          <w:sz w:val="19"/>
          <w:szCs w:val="19"/>
        </w:rPr>
        <w:t xml:space="preserve">质 </w:t>
      </w:r>
      <w:r>
        <w:rPr>
          <w:rFonts w:ascii="宋体" w:hAnsi="宋体" w:eastAsia="宋体" w:cs="宋体"/>
          <w:spacing w:val="16"/>
          <w:sz w:val="19"/>
          <w:szCs w:val="19"/>
        </w:rPr>
        <w:t>量建设合力</w:t>
      </w:r>
      <w:r>
        <w:rPr>
          <w:rFonts w:ascii="宋体" w:hAnsi="宋体" w:eastAsia="宋体" w:cs="宋体"/>
          <w:spacing w:val="-51"/>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高校是这一组织体系的基础</w:t>
      </w:r>
      <w:r>
        <w:rPr>
          <w:rFonts w:ascii="微软雅黑" w:hAnsi="微软雅黑" w:eastAsia="微软雅黑" w:cs="微软雅黑"/>
          <w:spacing w:val="16"/>
          <w:sz w:val="19"/>
          <w:szCs w:val="19"/>
        </w:rPr>
        <w:t>，</w:t>
      </w:r>
      <w:r>
        <w:rPr>
          <w:rFonts w:ascii="宋体" w:hAnsi="宋体" w:eastAsia="宋体" w:cs="宋体"/>
          <w:spacing w:val="16"/>
          <w:sz w:val="19"/>
          <w:szCs w:val="19"/>
        </w:rPr>
        <w:t>这是由 高校所处的位置和扮演的角色所决定的</w:t>
      </w:r>
      <w:r>
        <w:rPr>
          <w:rFonts w:ascii="宋体" w:hAnsi="宋体" w:eastAsia="宋体" w:cs="宋体"/>
          <w:spacing w:val="-51"/>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在质量文 </w:t>
      </w:r>
      <w:r>
        <w:rPr>
          <w:rFonts w:ascii="宋体" w:hAnsi="宋体" w:eastAsia="宋体" w:cs="宋体"/>
          <w:spacing w:val="18"/>
          <w:sz w:val="19"/>
          <w:szCs w:val="19"/>
        </w:rPr>
        <w:t>化建设组织体系中</w:t>
      </w:r>
      <w:r>
        <w:rPr>
          <w:rFonts w:ascii="微软雅黑" w:hAnsi="微软雅黑" w:eastAsia="微软雅黑" w:cs="微软雅黑"/>
          <w:spacing w:val="18"/>
          <w:sz w:val="19"/>
          <w:szCs w:val="19"/>
        </w:rPr>
        <w:t>，</w:t>
      </w:r>
      <w:r>
        <w:rPr>
          <w:rFonts w:ascii="宋体" w:hAnsi="宋体" w:eastAsia="宋体" w:cs="宋体"/>
          <w:spacing w:val="18"/>
          <w:sz w:val="19"/>
          <w:szCs w:val="19"/>
        </w:rPr>
        <w:t>高校既扮演着直接的建设者</w:t>
      </w:r>
      <w:r>
        <w:rPr>
          <w:rFonts w:ascii="宋体" w:hAnsi="宋体" w:eastAsia="宋体" w:cs="宋体"/>
          <w:spacing w:val="17"/>
          <w:sz w:val="19"/>
          <w:szCs w:val="19"/>
        </w:rPr>
        <w:t xml:space="preserve">角 </w:t>
      </w:r>
      <w:r>
        <w:rPr>
          <w:rFonts w:ascii="宋体" w:hAnsi="宋体" w:eastAsia="宋体" w:cs="宋体"/>
          <w:spacing w:val="18"/>
          <w:sz w:val="19"/>
          <w:szCs w:val="19"/>
        </w:rPr>
        <w:t>色</w:t>
      </w:r>
      <w:r>
        <w:rPr>
          <w:rFonts w:ascii="微软雅黑" w:hAnsi="微软雅黑" w:eastAsia="微软雅黑" w:cs="微软雅黑"/>
          <w:spacing w:val="18"/>
          <w:sz w:val="19"/>
          <w:szCs w:val="19"/>
        </w:rPr>
        <w:t>，</w:t>
      </w:r>
      <w:r>
        <w:rPr>
          <w:rFonts w:ascii="宋体" w:hAnsi="宋体" w:eastAsia="宋体" w:cs="宋体"/>
          <w:spacing w:val="18"/>
          <w:sz w:val="19"/>
          <w:szCs w:val="19"/>
        </w:rPr>
        <w:t>又扮演着承接并转化其他主体质量文化建设</w:t>
      </w:r>
      <w:r>
        <w:rPr>
          <w:rFonts w:ascii="宋体" w:hAnsi="宋体" w:eastAsia="宋体" w:cs="宋体"/>
          <w:spacing w:val="17"/>
          <w:sz w:val="19"/>
          <w:szCs w:val="19"/>
        </w:rPr>
        <w:t xml:space="preserve">影 </w:t>
      </w:r>
      <w:r>
        <w:rPr>
          <w:rFonts w:ascii="宋体" w:hAnsi="宋体" w:eastAsia="宋体" w:cs="宋体"/>
          <w:spacing w:val="18"/>
          <w:sz w:val="19"/>
          <w:szCs w:val="19"/>
        </w:rPr>
        <w:t>响的中介者角色</w:t>
      </w:r>
      <w:r>
        <w:rPr>
          <w:rFonts w:ascii="微软雅黑" w:hAnsi="微软雅黑" w:eastAsia="微软雅黑" w:cs="微软雅黑"/>
          <w:spacing w:val="18"/>
          <w:sz w:val="19"/>
          <w:szCs w:val="19"/>
        </w:rPr>
        <w:t>，</w:t>
      </w:r>
      <w:r>
        <w:rPr>
          <w:rFonts w:ascii="宋体" w:hAnsi="宋体" w:eastAsia="宋体" w:cs="宋体"/>
          <w:spacing w:val="18"/>
          <w:sz w:val="19"/>
          <w:szCs w:val="19"/>
        </w:rPr>
        <w:t>还扮演着与其他主体共同建设</w:t>
      </w:r>
      <w:r>
        <w:rPr>
          <w:rFonts w:ascii="宋体" w:hAnsi="宋体" w:eastAsia="宋体" w:cs="宋体"/>
          <w:spacing w:val="17"/>
          <w:sz w:val="19"/>
          <w:szCs w:val="19"/>
        </w:rPr>
        <w:t xml:space="preserve">质 </w:t>
      </w:r>
      <w:r>
        <w:rPr>
          <w:rFonts w:ascii="宋体" w:hAnsi="宋体" w:eastAsia="宋体" w:cs="宋体"/>
          <w:spacing w:val="15"/>
          <w:sz w:val="19"/>
          <w:szCs w:val="19"/>
        </w:rPr>
        <w:t>量文化的合作者角色</w:t>
      </w:r>
      <w:r>
        <w:rPr>
          <w:rFonts w:ascii="宋体" w:hAnsi="宋体" w:eastAsia="宋体" w:cs="宋体"/>
          <w:spacing w:val="-49"/>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5"/>
          <w:sz w:val="19"/>
          <w:szCs w:val="19"/>
        </w:rPr>
        <w:t>这不仅需要高校的自觉</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还 </w:t>
      </w:r>
      <w:r>
        <w:rPr>
          <w:rFonts w:ascii="宋体" w:hAnsi="宋体" w:eastAsia="宋体" w:cs="宋体"/>
          <w:spacing w:val="22"/>
          <w:sz w:val="19"/>
          <w:szCs w:val="19"/>
        </w:rPr>
        <w:t>需要政府和其他社会组织承认和尊重高校的角色</w:t>
      </w:r>
      <w:r>
        <w:rPr>
          <w:rFonts w:ascii="微软雅黑" w:hAnsi="微软雅黑" w:eastAsia="微软雅黑" w:cs="微软雅黑"/>
          <w:spacing w:val="22"/>
          <w:sz w:val="19"/>
          <w:szCs w:val="19"/>
        </w:rPr>
        <w:t>。</w:t>
      </w:r>
      <w:r>
        <w:rPr>
          <w:rFonts w:ascii="微软雅黑" w:hAnsi="微软雅黑" w:eastAsia="微软雅黑" w:cs="微软雅黑"/>
          <w:spacing w:val="3"/>
          <w:sz w:val="19"/>
          <w:szCs w:val="19"/>
        </w:rPr>
        <w:t xml:space="preserve"> </w:t>
      </w:r>
      <w:r>
        <w:rPr>
          <w:rFonts w:ascii="宋体" w:hAnsi="宋体" w:eastAsia="宋体" w:cs="宋体"/>
          <w:spacing w:val="18"/>
          <w:sz w:val="19"/>
          <w:szCs w:val="19"/>
        </w:rPr>
        <w:t>政府及其相关部门应当发挥积极的建设者</w:t>
      </w:r>
      <w:r>
        <w:rPr>
          <w:rFonts w:ascii="微软雅黑" w:hAnsi="微软雅黑" w:eastAsia="微软雅黑" w:cs="微软雅黑"/>
          <w:spacing w:val="18"/>
          <w:sz w:val="19"/>
          <w:szCs w:val="19"/>
        </w:rPr>
        <w:t>、</w:t>
      </w:r>
      <w:r>
        <w:rPr>
          <w:rFonts w:ascii="宋体" w:hAnsi="宋体" w:eastAsia="宋体" w:cs="宋体"/>
          <w:spacing w:val="18"/>
          <w:sz w:val="19"/>
          <w:szCs w:val="19"/>
        </w:rPr>
        <w:t>参与</w:t>
      </w:r>
      <w:r>
        <w:rPr>
          <w:rFonts w:ascii="宋体" w:hAnsi="宋体" w:eastAsia="宋体" w:cs="宋体"/>
          <w:spacing w:val="17"/>
          <w:sz w:val="19"/>
          <w:szCs w:val="19"/>
        </w:rPr>
        <w:t xml:space="preserve">者 </w:t>
      </w:r>
      <w:r>
        <w:rPr>
          <w:rFonts w:ascii="宋体" w:hAnsi="宋体" w:eastAsia="宋体" w:cs="宋体"/>
          <w:spacing w:val="18"/>
          <w:sz w:val="19"/>
          <w:szCs w:val="19"/>
        </w:rPr>
        <w:t>和支持者的作用</w:t>
      </w:r>
      <w:r>
        <w:rPr>
          <w:rFonts w:ascii="微软雅黑" w:hAnsi="微软雅黑" w:eastAsia="微软雅黑" w:cs="微软雅黑"/>
          <w:spacing w:val="18"/>
          <w:sz w:val="19"/>
          <w:szCs w:val="19"/>
        </w:rPr>
        <w:t>，</w:t>
      </w:r>
      <w:r>
        <w:rPr>
          <w:rFonts w:ascii="宋体" w:hAnsi="宋体" w:eastAsia="宋体" w:cs="宋体"/>
          <w:spacing w:val="18"/>
          <w:sz w:val="19"/>
          <w:szCs w:val="19"/>
        </w:rPr>
        <w:t>为高等教育质量文化建设提供</w:t>
      </w:r>
      <w:r>
        <w:rPr>
          <w:rFonts w:ascii="宋体" w:hAnsi="宋体" w:eastAsia="宋体" w:cs="宋体"/>
          <w:spacing w:val="17"/>
          <w:sz w:val="19"/>
          <w:szCs w:val="19"/>
        </w:rPr>
        <w:t xml:space="preserve">政 </w:t>
      </w:r>
      <w:r>
        <w:rPr>
          <w:rFonts w:ascii="宋体" w:hAnsi="宋体" w:eastAsia="宋体" w:cs="宋体"/>
          <w:spacing w:val="7"/>
          <w:sz w:val="19"/>
          <w:szCs w:val="19"/>
        </w:rPr>
        <w:t>策动议</w:t>
      </w:r>
      <w:r>
        <w:rPr>
          <w:rFonts w:ascii="微软雅黑" w:hAnsi="微软雅黑" w:eastAsia="微软雅黑" w:cs="微软雅黑"/>
          <w:spacing w:val="7"/>
          <w:sz w:val="19"/>
          <w:szCs w:val="19"/>
        </w:rPr>
        <w:t>、</w:t>
      </w:r>
      <w:r>
        <w:rPr>
          <w:rFonts w:ascii="宋体" w:hAnsi="宋体" w:eastAsia="宋体" w:cs="宋体"/>
          <w:spacing w:val="7"/>
          <w:sz w:val="19"/>
          <w:szCs w:val="19"/>
        </w:rPr>
        <w:t>法律规范</w:t>
      </w:r>
      <w:r>
        <w:rPr>
          <w:rFonts w:ascii="微软雅黑" w:hAnsi="微软雅黑" w:eastAsia="微软雅黑" w:cs="微软雅黑"/>
          <w:spacing w:val="7"/>
          <w:sz w:val="19"/>
          <w:szCs w:val="19"/>
        </w:rPr>
        <w:t>、</w:t>
      </w:r>
      <w:r>
        <w:rPr>
          <w:rFonts w:ascii="宋体" w:hAnsi="宋体" w:eastAsia="宋体" w:cs="宋体"/>
          <w:spacing w:val="7"/>
          <w:sz w:val="19"/>
          <w:szCs w:val="19"/>
        </w:rPr>
        <w:t>行政指导和经费支持</w:t>
      </w:r>
      <w:r>
        <w:rPr>
          <w:rFonts w:ascii="宋体" w:hAnsi="宋体" w:eastAsia="宋体" w:cs="宋体"/>
          <w:spacing w:val="-41"/>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作为国家 </w:t>
      </w:r>
      <w:r>
        <w:rPr>
          <w:rFonts w:ascii="宋体" w:hAnsi="宋体" w:eastAsia="宋体" w:cs="宋体"/>
          <w:spacing w:val="18"/>
          <w:sz w:val="19"/>
          <w:szCs w:val="19"/>
        </w:rPr>
        <w:t>高等教育事业的管理组织</w:t>
      </w:r>
      <w:r>
        <w:rPr>
          <w:rFonts w:ascii="微软雅黑" w:hAnsi="微软雅黑" w:eastAsia="微软雅黑" w:cs="微软雅黑"/>
          <w:spacing w:val="18"/>
          <w:sz w:val="19"/>
          <w:szCs w:val="19"/>
        </w:rPr>
        <w:t>，</w:t>
      </w:r>
      <w:r>
        <w:rPr>
          <w:rFonts w:ascii="宋体" w:hAnsi="宋体" w:eastAsia="宋体" w:cs="宋体"/>
          <w:spacing w:val="18"/>
          <w:sz w:val="19"/>
          <w:szCs w:val="19"/>
        </w:rPr>
        <w:t>政府及其相关部门具</w:t>
      </w:r>
      <w:r>
        <w:rPr>
          <w:rFonts w:ascii="宋体" w:hAnsi="宋体" w:eastAsia="宋体" w:cs="宋体"/>
          <w:spacing w:val="17"/>
          <w:sz w:val="19"/>
          <w:szCs w:val="19"/>
        </w:rPr>
        <w:t xml:space="preserve">有 </w:t>
      </w:r>
      <w:r>
        <w:rPr>
          <w:rFonts w:ascii="宋体" w:hAnsi="宋体" w:eastAsia="宋体" w:cs="宋体"/>
          <w:spacing w:val="9"/>
          <w:sz w:val="19"/>
          <w:szCs w:val="19"/>
        </w:rPr>
        <w:t>领导高校的职能</w:t>
      </w:r>
      <w:r>
        <w:rPr>
          <w:rFonts w:ascii="微软雅黑" w:hAnsi="微软雅黑" w:eastAsia="微软雅黑" w:cs="微软雅黑"/>
          <w:spacing w:val="9"/>
          <w:sz w:val="19"/>
          <w:szCs w:val="19"/>
        </w:rPr>
        <w:t>，</w:t>
      </w:r>
      <w:r>
        <w:rPr>
          <w:rFonts w:ascii="宋体" w:hAnsi="宋体" w:eastAsia="宋体" w:cs="宋体"/>
          <w:spacing w:val="9"/>
          <w:sz w:val="19"/>
          <w:szCs w:val="19"/>
        </w:rPr>
        <w:t>所以</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政府对高校的质量文化建设 </w:t>
      </w:r>
      <w:r>
        <w:rPr>
          <w:rFonts w:ascii="宋体" w:hAnsi="宋体" w:eastAsia="宋体" w:cs="宋体"/>
          <w:spacing w:val="16"/>
          <w:sz w:val="19"/>
          <w:szCs w:val="19"/>
        </w:rPr>
        <w:t>具有领导之责</w:t>
      </w:r>
      <w:r>
        <w:rPr>
          <w:rFonts w:ascii="宋体" w:hAnsi="宋体" w:eastAsia="宋体" w:cs="宋体"/>
          <w:spacing w:val="-51"/>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其他社会组织可以发挥监督者的作 </w:t>
      </w:r>
      <w:r>
        <w:rPr>
          <w:rFonts w:ascii="宋体" w:hAnsi="宋体" w:eastAsia="宋体" w:cs="宋体"/>
          <w:spacing w:val="7"/>
          <w:sz w:val="19"/>
          <w:szCs w:val="19"/>
        </w:rPr>
        <w:t>用</w:t>
      </w:r>
      <w:r>
        <w:rPr>
          <w:rFonts w:ascii="微软雅黑" w:hAnsi="微软雅黑" w:eastAsia="微软雅黑" w:cs="微软雅黑"/>
          <w:spacing w:val="7"/>
          <w:sz w:val="19"/>
          <w:szCs w:val="19"/>
        </w:rPr>
        <w:t>，</w:t>
      </w:r>
      <w:r>
        <w:rPr>
          <w:rFonts w:ascii="宋体" w:hAnsi="宋体" w:eastAsia="宋体" w:cs="宋体"/>
          <w:spacing w:val="7"/>
          <w:sz w:val="19"/>
          <w:szCs w:val="19"/>
        </w:rPr>
        <w:t>也可以发挥建设者的作用</w:t>
      </w:r>
      <w:r>
        <w:rPr>
          <w:rFonts w:ascii="宋体" w:hAnsi="宋体" w:eastAsia="宋体" w:cs="宋体"/>
          <w:spacing w:val="-41"/>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作为建设者</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其他社 </w:t>
      </w:r>
      <w:r>
        <w:rPr>
          <w:rFonts w:ascii="宋体" w:hAnsi="宋体" w:eastAsia="宋体" w:cs="宋体"/>
          <w:spacing w:val="18"/>
          <w:sz w:val="19"/>
          <w:szCs w:val="19"/>
        </w:rPr>
        <w:t>会组织应当与高校加强协同合作</w:t>
      </w:r>
      <w:r>
        <w:rPr>
          <w:rFonts w:ascii="微软雅黑" w:hAnsi="微软雅黑" w:eastAsia="微软雅黑" w:cs="微软雅黑"/>
          <w:spacing w:val="18"/>
          <w:sz w:val="19"/>
          <w:szCs w:val="19"/>
        </w:rPr>
        <w:t>，</w:t>
      </w:r>
      <w:r>
        <w:rPr>
          <w:rFonts w:ascii="宋体" w:hAnsi="宋体" w:eastAsia="宋体" w:cs="宋体"/>
          <w:spacing w:val="18"/>
          <w:sz w:val="19"/>
          <w:szCs w:val="19"/>
        </w:rPr>
        <w:t>将社会行业产</w:t>
      </w:r>
      <w:r>
        <w:rPr>
          <w:rFonts w:ascii="宋体" w:hAnsi="宋体" w:eastAsia="宋体" w:cs="宋体"/>
          <w:spacing w:val="17"/>
          <w:sz w:val="19"/>
          <w:szCs w:val="19"/>
        </w:rPr>
        <w:t xml:space="preserve">业 </w:t>
      </w:r>
      <w:r>
        <w:rPr>
          <w:rFonts w:ascii="宋体" w:hAnsi="宋体" w:eastAsia="宋体" w:cs="宋体"/>
          <w:spacing w:val="18"/>
          <w:sz w:val="19"/>
          <w:szCs w:val="19"/>
        </w:rPr>
        <w:t>部门和公众的质量意愿带入质量文化建设中</w:t>
      </w:r>
      <w:r>
        <w:rPr>
          <w:rFonts w:ascii="微软雅黑" w:hAnsi="微软雅黑" w:eastAsia="微软雅黑" w:cs="微软雅黑"/>
          <w:spacing w:val="18"/>
          <w:sz w:val="19"/>
          <w:szCs w:val="19"/>
        </w:rPr>
        <w:t>，</w:t>
      </w:r>
      <w:r>
        <w:rPr>
          <w:rFonts w:ascii="宋体" w:hAnsi="宋体" w:eastAsia="宋体" w:cs="宋体"/>
          <w:spacing w:val="18"/>
          <w:sz w:val="19"/>
          <w:szCs w:val="19"/>
        </w:rPr>
        <w:t>丰</w:t>
      </w:r>
      <w:r>
        <w:rPr>
          <w:rFonts w:ascii="宋体" w:hAnsi="宋体" w:eastAsia="宋体" w:cs="宋体"/>
          <w:spacing w:val="17"/>
          <w:sz w:val="19"/>
          <w:szCs w:val="19"/>
        </w:rPr>
        <w:t xml:space="preserve">富 </w:t>
      </w:r>
      <w:r>
        <w:rPr>
          <w:rFonts w:ascii="宋体" w:hAnsi="宋体" w:eastAsia="宋体" w:cs="宋体"/>
          <w:spacing w:val="18"/>
          <w:sz w:val="19"/>
          <w:szCs w:val="19"/>
        </w:rPr>
        <w:t>高等教育质量文化价值</w:t>
      </w:r>
      <w:r>
        <w:rPr>
          <w:rFonts w:ascii="微软雅黑" w:hAnsi="微软雅黑" w:eastAsia="微软雅黑" w:cs="微软雅黑"/>
          <w:spacing w:val="18"/>
          <w:sz w:val="19"/>
          <w:szCs w:val="19"/>
        </w:rPr>
        <w:t>，</w:t>
      </w:r>
      <w:r>
        <w:rPr>
          <w:rFonts w:ascii="宋体" w:hAnsi="宋体" w:eastAsia="宋体" w:cs="宋体"/>
          <w:spacing w:val="18"/>
          <w:sz w:val="19"/>
          <w:szCs w:val="19"/>
        </w:rPr>
        <w:t>增强质量文化的社会适</w:t>
      </w:r>
      <w:r>
        <w:rPr>
          <w:rFonts w:ascii="宋体" w:hAnsi="宋体" w:eastAsia="宋体" w:cs="宋体"/>
          <w:spacing w:val="17"/>
          <w:sz w:val="19"/>
          <w:szCs w:val="19"/>
        </w:rPr>
        <w:t xml:space="preserve">应 </w:t>
      </w:r>
      <w:r>
        <w:rPr>
          <w:rFonts w:ascii="宋体" w:hAnsi="宋体" w:eastAsia="宋体" w:cs="宋体"/>
          <w:spacing w:val="7"/>
          <w:sz w:val="19"/>
          <w:szCs w:val="19"/>
        </w:rPr>
        <w:t>性</w:t>
      </w:r>
      <w:r>
        <w:rPr>
          <w:rFonts w:ascii="宋体" w:hAnsi="宋体" w:eastAsia="宋体" w:cs="宋体"/>
          <w:spacing w:val="-41"/>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组织体系建设的关键抓手在于制度</w:t>
      </w:r>
      <w:r>
        <w:rPr>
          <w:rFonts w:ascii="微软雅黑" w:hAnsi="微软雅黑" w:eastAsia="微软雅黑" w:cs="微软雅黑"/>
          <w:spacing w:val="7"/>
          <w:sz w:val="19"/>
          <w:szCs w:val="19"/>
        </w:rPr>
        <w:t>，</w:t>
      </w:r>
      <w:r>
        <w:rPr>
          <w:rFonts w:ascii="宋体" w:hAnsi="宋体" w:eastAsia="宋体" w:cs="宋体"/>
          <w:spacing w:val="7"/>
          <w:sz w:val="19"/>
          <w:szCs w:val="19"/>
        </w:rPr>
        <w:t>高校</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政府 </w:t>
      </w:r>
      <w:r>
        <w:rPr>
          <w:rFonts w:ascii="宋体" w:hAnsi="宋体" w:eastAsia="宋体" w:cs="宋体"/>
          <w:spacing w:val="18"/>
          <w:sz w:val="19"/>
          <w:szCs w:val="19"/>
        </w:rPr>
        <w:t>和其他社会组织要从高等教育质量文化角度推进</w:t>
      </w:r>
      <w:r>
        <w:rPr>
          <w:rFonts w:ascii="宋体" w:hAnsi="宋体" w:eastAsia="宋体" w:cs="宋体"/>
          <w:spacing w:val="17"/>
          <w:sz w:val="19"/>
          <w:szCs w:val="19"/>
        </w:rPr>
        <w:t xml:space="preserve">质 </w:t>
      </w:r>
      <w:r>
        <w:rPr>
          <w:rFonts w:ascii="宋体" w:hAnsi="宋体" w:eastAsia="宋体" w:cs="宋体"/>
          <w:spacing w:val="18"/>
          <w:sz w:val="19"/>
          <w:szCs w:val="19"/>
        </w:rPr>
        <w:t>量制度的建立和完善工作</w:t>
      </w:r>
      <w:r>
        <w:rPr>
          <w:rFonts w:ascii="微软雅黑" w:hAnsi="微软雅黑" w:eastAsia="微软雅黑" w:cs="微软雅黑"/>
          <w:spacing w:val="18"/>
          <w:sz w:val="19"/>
          <w:szCs w:val="19"/>
        </w:rPr>
        <w:t>，</w:t>
      </w:r>
      <w:r>
        <w:rPr>
          <w:rFonts w:ascii="宋体" w:hAnsi="宋体" w:eastAsia="宋体" w:cs="宋体"/>
          <w:spacing w:val="18"/>
          <w:sz w:val="19"/>
          <w:szCs w:val="19"/>
        </w:rPr>
        <w:t>将质量保障落实到制</w:t>
      </w:r>
      <w:r>
        <w:rPr>
          <w:rFonts w:ascii="宋体" w:hAnsi="宋体" w:eastAsia="宋体" w:cs="宋体"/>
          <w:spacing w:val="17"/>
          <w:sz w:val="19"/>
          <w:szCs w:val="19"/>
        </w:rPr>
        <w:t xml:space="preserve">度 </w:t>
      </w:r>
      <w:r>
        <w:rPr>
          <w:rFonts w:ascii="宋体" w:hAnsi="宋体" w:eastAsia="宋体" w:cs="宋体"/>
          <w:spacing w:val="16"/>
          <w:sz w:val="19"/>
          <w:szCs w:val="19"/>
        </w:rPr>
        <w:t>上</w:t>
      </w:r>
      <w:r>
        <w:rPr>
          <w:rFonts w:ascii="微软雅黑" w:hAnsi="微软雅黑" w:eastAsia="微软雅黑" w:cs="微软雅黑"/>
          <w:spacing w:val="16"/>
          <w:sz w:val="19"/>
          <w:szCs w:val="19"/>
        </w:rPr>
        <w:t>。</w:t>
      </w:r>
    </w:p>
    <w:p>
      <w:pPr>
        <w:spacing w:before="72" w:line="259" w:lineRule="auto"/>
        <w:ind w:left="741" w:right="338" w:firstLine="414"/>
        <w:rPr>
          <w:rFonts w:ascii="黑体" w:hAnsi="黑体" w:eastAsia="黑体" w:cs="黑体"/>
          <w:sz w:val="19"/>
          <w:szCs w:val="19"/>
        </w:rPr>
      </w:pPr>
      <w:r>
        <w:rPr>
          <w:rFonts w:ascii="Arial" w:hAnsi="Arial" w:eastAsia="Arial" w:cs="Arial"/>
          <w:spacing w:val="15"/>
          <w:position w:val="-1"/>
          <w:sz w:val="19"/>
          <w:szCs w:val="19"/>
        </w:rPr>
        <w:t>3</w:t>
      </w:r>
      <w:r>
        <w:rPr>
          <w:rFonts w:ascii="Arial" w:hAnsi="Arial" w:eastAsia="Arial" w:cs="Arial"/>
          <w:spacing w:val="-21"/>
          <w:position w:val="-1"/>
          <w:sz w:val="19"/>
          <w:szCs w:val="19"/>
        </w:rPr>
        <w:t xml:space="preserve"> </w:t>
      </w:r>
      <w:r>
        <w:rPr>
          <w:rFonts w:ascii="Arial" w:hAnsi="Arial" w:eastAsia="Arial" w:cs="Arial"/>
          <w:spacing w:val="15"/>
          <w:position w:val="-1"/>
          <w:sz w:val="19"/>
          <w:szCs w:val="19"/>
        </w:rPr>
        <w:t>.</w:t>
      </w:r>
      <w:r>
        <w:rPr>
          <w:rFonts w:ascii="Arial" w:hAnsi="Arial" w:eastAsia="Arial" w:cs="Arial"/>
          <w:spacing w:val="-18"/>
          <w:position w:val="-1"/>
          <w:sz w:val="19"/>
          <w:szCs w:val="19"/>
        </w:rPr>
        <w:t xml:space="preserve"> </w:t>
      </w:r>
      <w:r>
        <w:rPr>
          <w:rFonts w:ascii="黑体" w:hAnsi="黑体" w:eastAsia="黑体" w:cs="黑体"/>
          <w:spacing w:val="15"/>
          <w:sz w:val="19"/>
          <w:szCs w:val="19"/>
        </w:rPr>
        <w:t>构建内外结合</w:t>
      </w:r>
      <w:r>
        <w:rPr>
          <w:rFonts w:ascii="微软雅黑" w:hAnsi="微软雅黑" w:eastAsia="微软雅黑" w:cs="微软雅黑"/>
          <w:spacing w:val="15"/>
          <w:position w:val="1"/>
          <w:sz w:val="4"/>
          <w:szCs w:val="4"/>
        </w:rPr>
        <w:t xml:space="preserve">、   </w:t>
      </w:r>
      <w:r>
        <w:rPr>
          <w:rFonts w:ascii="黑体" w:hAnsi="黑体" w:eastAsia="黑体" w:cs="黑体"/>
          <w:spacing w:val="15"/>
          <w:sz w:val="19"/>
          <w:szCs w:val="19"/>
        </w:rPr>
        <w:t>合作共治</w:t>
      </w:r>
      <w:r>
        <w:rPr>
          <w:rFonts w:ascii="黑体" w:hAnsi="黑体" w:eastAsia="黑体" w:cs="黑体"/>
          <w:spacing w:val="-52"/>
          <w:sz w:val="19"/>
          <w:szCs w:val="19"/>
        </w:rPr>
        <w:t xml:space="preserve"> </w:t>
      </w:r>
      <w:r>
        <w:rPr>
          <w:rFonts w:ascii="黑体" w:hAnsi="黑体" w:eastAsia="黑体" w:cs="黑体"/>
          <w:spacing w:val="15"/>
          <w:sz w:val="19"/>
          <w:szCs w:val="19"/>
        </w:rPr>
        <w:t>的高等教</w:t>
      </w:r>
      <w:r>
        <w:rPr>
          <w:rFonts w:ascii="黑体" w:hAnsi="黑体" w:eastAsia="黑体" w:cs="黑体"/>
          <w:spacing w:val="-53"/>
          <w:sz w:val="19"/>
          <w:szCs w:val="19"/>
        </w:rPr>
        <w:t xml:space="preserve"> </w:t>
      </w:r>
      <w:r>
        <w:rPr>
          <w:rFonts w:ascii="黑体" w:hAnsi="黑体" w:eastAsia="黑体" w:cs="黑体"/>
          <w:spacing w:val="15"/>
          <w:sz w:val="19"/>
          <w:szCs w:val="19"/>
        </w:rPr>
        <w:t>育质量保</w:t>
      </w:r>
      <w:r>
        <w:rPr>
          <w:rFonts w:ascii="黑体" w:hAnsi="黑体" w:eastAsia="黑体" w:cs="黑体"/>
          <w:sz w:val="19"/>
          <w:szCs w:val="19"/>
        </w:rPr>
        <w:t xml:space="preserve"> </w:t>
      </w:r>
      <w:r>
        <w:rPr>
          <w:rFonts w:ascii="黑体" w:hAnsi="黑体" w:eastAsia="黑体" w:cs="黑体"/>
          <w:spacing w:val="10"/>
          <w:sz w:val="19"/>
          <w:szCs w:val="19"/>
        </w:rPr>
        <w:t>障体系</w:t>
      </w:r>
    </w:p>
    <w:p>
      <w:pPr>
        <w:spacing w:before="92" w:line="234" w:lineRule="auto"/>
        <w:ind w:left="732" w:right="337" w:firstLine="421"/>
        <w:rPr>
          <w:rFonts w:ascii="宋体" w:hAnsi="宋体" w:eastAsia="宋体" w:cs="宋体"/>
          <w:sz w:val="19"/>
          <w:szCs w:val="19"/>
        </w:rPr>
      </w:pPr>
      <w:r>
        <w:rPr>
          <w:rFonts w:ascii="宋体" w:hAnsi="宋体" w:eastAsia="宋体" w:cs="宋体"/>
          <w:spacing w:val="29"/>
          <w:sz w:val="19"/>
          <w:szCs w:val="19"/>
        </w:rPr>
        <w:t>质量保障是高等教育质量文化建设的重要举</w:t>
      </w:r>
      <w:r>
        <w:rPr>
          <w:rFonts w:ascii="宋体" w:hAnsi="宋体" w:eastAsia="宋体" w:cs="宋体"/>
          <w:spacing w:val="7"/>
          <w:sz w:val="19"/>
          <w:szCs w:val="19"/>
        </w:rPr>
        <w:t xml:space="preserve"> </w:t>
      </w:r>
      <w:r>
        <w:rPr>
          <w:rFonts w:ascii="宋体" w:hAnsi="宋体" w:eastAsia="宋体" w:cs="宋体"/>
          <w:spacing w:val="1"/>
          <w:sz w:val="19"/>
          <w:szCs w:val="19"/>
        </w:rPr>
        <w:t>措</w:t>
      </w:r>
      <w:r>
        <w:rPr>
          <w:rFonts w:ascii="微软雅黑" w:hAnsi="微软雅黑" w:eastAsia="微软雅黑" w:cs="微软雅黑"/>
          <w:spacing w:val="1"/>
          <w:sz w:val="19"/>
          <w:szCs w:val="19"/>
        </w:rPr>
        <w:t>，</w:t>
      </w:r>
      <w:r>
        <w:rPr>
          <w:rFonts w:ascii="宋体" w:hAnsi="宋体" w:eastAsia="宋体" w:cs="宋体"/>
          <w:spacing w:val="1"/>
          <w:sz w:val="19"/>
          <w:szCs w:val="19"/>
        </w:rPr>
        <w:t>它包含一系列行动</w:t>
      </w:r>
      <w:r>
        <w:rPr>
          <w:rFonts w:ascii="微软雅黑" w:hAnsi="微软雅黑" w:eastAsia="微软雅黑" w:cs="微软雅黑"/>
          <w:spacing w:val="1"/>
          <w:sz w:val="19"/>
          <w:szCs w:val="19"/>
        </w:rPr>
        <w:t>，</w:t>
      </w:r>
      <w:r>
        <w:rPr>
          <w:rFonts w:ascii="宋体" w:hAnsi="宋体" w:eastAsia="宋体" w:cs="宋体"/>
          <w:spacing w:val="1"/>
          <w:sz w:val="19"/>
          <w:szCs w:val="19"/>
        </w:rPr>
        <w:t>比如</w:t>
      </w:r>
      <w:r>
        <w:rPr>
          <w:rFonts w:ascii="微软雅黑" w:hAnsi="微软雅黑" w:eastAsia="微软雅黑" w:cs="微软雅黑"/>
          <w:spacing w:val="1"/>
          <w:sz w:val="19"/>
          <w:szCs w:val="19"/>
        </w:rPr>
        <w:t>，</w:t>
      </w:r>
      <w:r>
        <w:rPr>
          <w:rFonts w:ascii="宋体" w:hAnsi="宋体" w:eastAsia="宋体" w:cs="宋体"/>
          <w:spacing w:val="1"/>
          <w:sz w:val="19"/>
          <w:szCs w:val="19"/>
        </w:rPr>
        <w:t>评估</w:t>
      </w:r>
      <w:r>
        <w:rPr>
          <w:rFonts w:ascii="微软雅黑" w:hAnsi="微软雅黑" w:eastAsia="微软雅黑" w:cs="微软雅黑"/>
          <w:spacing w:val="1"/>
          <w:sz w:val="19"/>
          <w:szCs w:val="19"/>
        </w:rPr>
        <w:t>、</w:t>
      </w:r>
      <w:r>
        <w:rPr>
          <w:rFonts w:ascii="宋体" w:hAnsi="宋体" w:eastAsia="宋体" w:cs="宋体"/>
          <w:spacing w:val="1"/>
          <w:sz w:val="19"/>
          <w:szCs w:val="19"/>
        </w:rPr>
        <w:t>认证</w:t>
      </w:r>
      <w:r>
        <w:rPr>
          <w:rFonts w:ascii="微软雅黑" w:hAnsi="微软雅黑" w:eastAsia="微软雅黑" w:cs="微软雅黑"/>
          <w:spacing w:val="1"/>
          <w:sz w:val="19"/>
          <w:szCs w:val="19"/>
        </w:rPr>
        <w:t>、</w:t>
      </w:r>
      <w:r>
        <w:rPr>
          <w:rFonts w:ascii="宋体" w:hAnsi="宋体" w:eastAsia="宋体" w:cs="宋体"/>
          <w:spacing w:val="1"/>
          <w:sz w:val="19"/>
          <w:szCs w:val="19"/>
        </w:rPr>
        <w:t>状态数据</w:t>
      </w:r>
      <w:r>
        <w:rPr>
          <w:rFonts w:ascii="宋体" w:hAnsi="宋体" w:eastAsia="宋体" w:cs="宋体"/>
          <w:spacing w:val="7"/>
          <w:sz w:val="19"/>
          <w:szCs w:val="19"/>
        </w:rPr>
        <w:t xml:space="preserve"> </w:t>
      </w:r>
      <w:r>
        <w:rPr>
          <w:rFonts w:ascii="宋体" w:hAnsi="宋体" w:eastAsia="宋体" w:cs="宋体"/>
          <w:spacing w:val="1"/>
          <w:sz w:val="19"/>
          <w:szCs w:val="19"/>
        </w:rPr>
        <w:t>监控</w:t>
      </w:r>
      <w:r>
        <w:rPr>
          <w:rFonts w:ascii="微软雅黑" w:hAnsi="微软雅黑" w:eastAsia="微软雅黑" w:cs="微软雅黑"/>
          <w:spacing w:val="1"/>
          <w:sz w:val="19"/>
          <w:szCs w:val="19"/>
        </w:rPr>
        <w:t>、</w:t>
      </w:r>
      <w:r>
        <w:rPr>
          <w:rFonts w:ascii="宋体" w:hAnsi="宋体" w:eastAsia="宋体" w:cs="宋体"/>
          <w:spacing w:val="1"/>
          <w:sz w:val="19"/>
          <w:szCs w:val="19"/>
        </w:rPr>
        <w:t>审核</w:t>
      </w:r>
      <w:r>
        <w:rPr>
          <w:rFonts w:ascii="微软雅黑" w:hAnsi="微软雅黑" w:eastAsia="微软雅黑" w:cs="微软雅黑"/>
          <w:spacing w:val="1"/>
          <w:sz w:val="19"/>
          <w:szCs w:val="19"/>
        </w:rPr>
        <w:t>（</w:t>
      </w:r>
      <w:r>
        <w:rPr>
          <w:rFonts w:ascii="宋体" w:hAnsi="宋体" w:eastAsia="宋体" w:cs="宋体"/>
          <w:spacing w:val="1"/>
          <w:sz w:val="19"/>
          <w:szCs w:val="19"/>
        </w:rPr>
        <w:t>或审计</w:t>
      </w:r>
      <w:r>
        <w:rPr>
          <w:rFonts w:ascii="微软雅黑" w:hAnsi="微软雅黑" w:eastAsia="微软雅黑" w:cs="微软雅黑"/>
          <w:spacing w:val="1"/>
          <w:sz w:val="19"/>
          <w:szCs w:val="19"/>
        </w:rPr>
        <w:t>）、</w:t>
      </w:r>
      <w:r>
        <w:rPr>
          <w:rFonts w:ascii="宋体" w:hAnsi="宋体" w:eastAsia="宋体" w:cs="宋体"/>
          <w:spacing w:val="1"/>
          <w:sz w:val="19"/>
          <w:szCs w:val="19"/>
        </w:rPr>
        <w:t>绩效考核</w:t>
      </w:r>
      <w:r>
        <w:rPr>
          <w:rFonts w:ascii="微软雅黑" w:hAnsi="微软雅黑" w:eastAsia="微软雅黑" w:cs="微软雅黑"/>
          <w:spacing w:val="1"/>
          <w:sz w:val="19"/>
          <w:szCs w:val="19"/>
        </w:rPr>
        <w:t>、</w:t>
      </w:r>
      <w:r>
        <w:rPr>
          <w:rFonts w:ascii="宋体" w:hAnsi="宋体" w:eastAsia="宋体" w:cs="宋体"/>
          <w:spacing w:val="1"/>
          <w:sz w:val="19"/>
          <w:szCs w:val="19"/>
        </w:rPr>
        <w:t>发布质量报告和排</w:t>
      </w:r>
      <w:r>
        <w:rPr>
          <w:rFonts w:ascii="宋体" w:hAnsi="宋体" w:eastAsia="宋体" w:cs="宋体"/>
          <w:spacing w:val="6"/>
          <w:sz w:val="19"/>
          <w:szCs w:val="19"/>
        </w:rPr>
        <w:t xml:space="preserve"> </w:t>
      </w:r>
      <w:r>
        <w:rPr>
          <w:rFonts w:ascii="宋体" w:hAnsi="宋体" w:eastAsia="宋体" w:cs="宋体"/>
          <w:spacing w:val="16"/>
          <w:sz w:val="19"/>
          <w:szCs w:val="19"/>
        </w:rPr>
        <w:t>行榜等</w:t>
      </w:r>
      <w:r>
        <w:rPr>
          <w:rFonts w:ascii="宋体" w:hAnsi="宋体" w:eastAsia="宋体" w:cs="宋体"/>
          <w:spacing w:val="-36"/>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这些行动可以由高校发动和组织开展</w:t>
      </w:r>
      <w:r>
        <w:rPr>
          <w:rFonts w:ascii="微软雅黑" w:hAnsi="微软雅黑" w:eastAsia="微软雅黑" w:cs="微软雅黑"/>
          <w:spacing w:val="16"/>
          <w:sz w:val="19"/>
          <w:szCs w:val="19"/>
        </w:rPr>
        <w:t>，</w:t>
      </w:r>
      <w:r>
        <w:rPr>
          <w:rFonts w:ascii="宋体" w:hAnsi="宋体" w:eastAsia="宋体" w:cs="宋体"/>
          <w:spacing w:val="16"/>
          <w:sz w:val="19"/>
          <w:szCs w:val="19"/>
        </w:rPr>
        <w:t>也</w:t>
      </w:r>
    </w:p>
    <w:p>
      <w:pPr>
        <w:spacing w:line="14" w:lineRule="auto"/>
        <w:rPr>
          <w:rFonts w:ascii="Arial"/>
          <w:sz w:val="2"/>
        </w:rPr>
      </w:pPr>
      <w:r>
        <w:rPr>
          <w:rFonts w:ascii="Arial" w:hAnsi="Arial" w:eastAsia="Arial" w:cs="Arial"/>
          <w:sz w:val="2"/>
          <w:szCs w:val="2"/>
        </w:rPr>
        <w:br w:type="column"/>
      </w:r>
    </w:p>
    <w:p>
      <w:pPr>
        <w:spacing w:before="40" w:line="225" w:lineRule="auto"/>
        <w:ind w:left="1" w:right="74" w:firstLine="2"/>
        <w:jc w:val="both"/>
        <w:rPr>
          <w:rFonts w:ascii="微软雅黑" w:hAnsi="微软雅黑" w:eastAsia="微软雅黑" w:cs="微软雅黑"/>
          <w:sz w:val="19"/>
          <w:szCs w:val="19"/>
        </w:rPr>
      </w:pPr>
      <w:r>
        <w:rPr>
          <w:rFonts w:ascii="宋体" w:hAnsi="宋体" w:eastAsia="宋体" w:cs="宋体"/>
          <w:spacing w:val="18"/>
          <w:sz w:val="19"/>
          <w:szCs w:val="19"/>
        </w:rPr>
        <w:t>可以由政府及其相关部门推动和组织开展</w:t>
      </w:r>
      <w:r>
        <w:rPr>
          <w:rFonts w:ascii="微软雅黑" w:hAnsi="微软雅黑" w:eastAsia="微软雅黑" w:cs="微软雅黑"/>
          <w:spacing w:val="18"/>
          <w:sz w:val="19"/>
          <w:szCs w:val="19"/>
        </w:rPr>
        <w:t>，</w:t>
      </w:r>
      <w:r>
        <w:rPr>
          <w:rFonts w:ascii="宋体" w:hAnsi="宋体" w:eastAsia="宋体" w:cs="宋体"/>
          <w:spacing w:val="18"/>
          <w:sz w:val="19"/>
          <w:szCs w:val="19"/>
        </w:rPr>
        <w:t>还可以</w:t>
      </w:r>
      <w:r>
        <w:rPr>
          <w:rFonts w:ascii="宋体" w:hAnsi="宋体" w:eastAsia="宋体" w:cs="宋体"/>
          <w:spacing w:val="11"/>
          <w:sz w:val="19"/>
          <w:szCs w:val="19"/>
        </w:rPr>
        <w:t xml:space="preserve"> </w:t>
      </w:r>
      <w:r>
        <w:rPr>
          <w:rFonts w:ascii="宋体" w:hAnsi="宋体" w:eastAsia="宋体" w:cs="宋体"/>
          <w:spacing w:val="15"/>
          <w:sz w:val="19"/>
          <w:szCs w:val="19"/>
        </w:rPr>
        <w:t>由其他社会组织实施</w:t>
      </w:r>
      <w:r>
        <w:rPr>
          <w:rFonts w:ascii="宋体" w:hAnsi="宋体" w:eastAsia="宋体" w:cs="宋体"/>
          <w:spacing w:val="-40"/>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2"/>
          <w:sz w:val="19"/>
          <w:szCs w:val="19"/>
        </w:rPr>
        <w:t xml:space="preserve"> </w:t>
      </w:r>
      <w:r>
        <w:rPr>
          <w:rFonts w:ascii="宋体" w:hAnsi="宋体" w:eastAsia="宋体" w:cs="宋体"/>
          <w:spacing w:val="15"/>
          <w:sz w:val="19"/>
          <w:szCs w:val="19"/>
        </w:rPr>
        <w:t>大体而言</w:t>
      </w:r>
      <w:r>
        <w:rPr>
          <w:rFonts w:ascii="微软雅黑" w:hAnsi="微软雅黑" w:eastAsia="微软雅黑" w:cs="微软雅黑"/>
          <w:spacing w:val="15"/>
          <w:sz w:val="19"/>
          <w:szCs w:val="19"/>
        </w:rPr>
        <w:t>，</w:t>
      </w:r>
      <w:r>
        <w:rPr>
          <w:rFonts w:ascii="宋体" w:hAnsi="宋体" w:eastAsia="宋体" w:cs="宋体"/>
          <w:spacing w:val="15"/>
          <w:sz w:val="19"/>
          <w:szCs w:val="19"/>
        </w:rPr>
        <w:t>这些质量保障活</w:t>
      </w:r>
      <w:r>
        <w:rPr>
          <w:rFonts w:ascii="宋体" w:hAnsi="宋体" w:eastAsia="宋体" w:cs="宋体"/>
          <w:sz w:val="19"/>
          <w:szCs w:val="19"/>
        </w:rPr>
        <w:t xml:space="preserve"> </w:t>
      </w:r>
      <w:r>
        <w:rPr>
          <w:rFonts w:ascii="宋体" w:hAnsi="宋体" w:eastAsia="宋体" w:cs="宋体"/>
          <w:spacing w:val="18"/>
          <w:sz w:val="19"/>
          <w:szCs w:val="19"/>
        </w:rPr>
        <w:t>动可以划分为内部质量保障和外部质量保障</w:t>
      </w:r>
      <w:r>
        <w:rPr>
          <w:rFonts w:ascii="微软雅黑" w:hAnsi="微软雅黑" w:eastAsia="微软雅黑" w:cs="微软雅黑"/>
          <w:spacing w:val="18"/>
          <w:sz w:val="19"/>
          <w:szCs w:val="19"/>
        </w:rPr>
        <w:t>，</w:t>
      </w:r>
      <w:r>
        <w:rPr>
          <w:rFonts w:ascii="宋体" w:hAnsi="宋体" w:eastAsia="宋体" w:cs="宋体"/>
          <w:spacing w:val="18"/>
          <w:sz w:val="19"/>
          <w:szCs w:val="19"/>
        </w:rPr>
        <w:t>内部</w:t>
      </w:r>
      <w:r>
        <w:rPr>
          <w:rFonts w:ascii="宋体" w:hAnsi="宋体" w:eastAsia="宋体" w:cs="宋体"/>
          <w:spacing w:val="14"/>
          <w:sz w:val="19"/>
          <w:szCs w:val="19"/>
        </w:rPr>
        <w:t xml:space="preserve"> </w:t>
      </w:r>
      <w:r>
        <w:rPr>
          <w:rFonts w:ascii="宋体" w:hAnsi="宋体" w:eastAsia="宋体" w:cs="宋体"/>
          <w:spacing w:val="18"/>
          <w:sz w:val="19"/>
          <w:szCs w:val="19"/>
        </w:rPr>
        <w:t>质量保障是由高校组织开展的</w:t>
      </w:r>
      <w:r>
        <w:rPr>
          <w:rFonts w:ascii="微软雅黑" w:hAnsi="微软雅黑" w:eastAsia="微软雅黑" w:cs="微软雅黑"/>
          <w:spacing w:val="18"/>
          <w:sz w:val="19"/>
          <w:szCs w:val="19"/>
        </w:rPr>
        <w:t>，</w:t>
      </w:r>
      <w:r>
        <w:rPr>
          <w:rFonts w:ascii="宋体" w:hAnsi="宋体" w:eastAsia="宋体" w:cs="宋体"/>
          <w:spacing w:val="18"/>
          <w:sz w:val="19"/>
          <w:szCs w:val="19"/>
        </w:rPr>
        <w:t>外部质量保障是由</w:t>
      </w:r>
      <w:r>
        <w:rPr>
          <w:rFonts w:ascii="宋体" w:hAnsi="宋体" w:eastAsia="宋体" w:cs="宋体"/>
          <w:spacing w:val="13"/>
          <w:sz w:val="19"/>
          <w:szCs w:val="19"/>
        </w:rPr>
        <w:t xml:space="preserve"> </w:t>
      </w:r>
      <w:r>
        <w:rPr>
          <w:rFonts w:ascii="宋体" w:hAnsi="宋体" w:eastAsia="宋体" w:cs="宋体"/>
          <w:spacing w:val="16"/>
          <w:sz w:val="19"/>
          <w:szCs w:val="19"/>
        </w:rPr>
        <w:t>政府和其他社会组织开展的</w:t>
      </w:r>
      <w:r>
        <w:rPr>
          <w:rFonts w:ascii="宋体" w:hAnsi="宋体" w:eastAsia="宋体" w:cs="宋体"/>
          <w:spacing w:val="-38"/>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不论是内部质量保障</w:t>
      </w:r>
      <w:r>
        <w:rPr>
          <w:rFonts w:ascii="宋体" w:hAnsi="宋体" w:eastAsia="宋体" w:cs="宋体"/>
          <w:sz w:val="19"/>
          <w:szCs w:val="19"/>
        </w:rPr>
        <w:t xml:space="preserve"> </w:t>
      </w:r>
      <w:r>
        <w:rPr>
          <w:rFonts w:ascii="宋体" w:hAnsi="宋体" w:eastAsia="宋体" w:cs="宋体"/>
          <w:spacing w:val="9"/>
          <w:sz w:val="19"/>
          <w:szCs w:val="19"/>
        </w:rPr>
        <w:t>还是外部质量保障</w:t>
      </w:r>
      <w:r>
        <w:rPr>
          <w:rFonts w:ascii="微软雅黑" w:hAnsi="微软雅黑" w:eastAsia="微软雅黑" w:cs="微软雅黑"/>
          <w:spacing w:val="9"/>
          <w:sz w:val="19"/>
          <w:szCs w:val="19"/>
        </w:rPr>
        <w:t>，</w:t>
      </w:r>
      <w:r>
        <w:rPr>
          <w:rFonts w:ascii="宋体" w:hAnsi="宋体" w:eastAsia="宋体" w:cs="宋体"/>
          <w:spacing w:val="9"/>
          <w:sz w:val="19"/>
          <w:szCs w:val="19"/>
        </w:rPr>
        <w:t>它们的目标指向都是一致的</w:t>
      </w:r>
      <w:r>
        <w:rPr>
          <w:rFonts w:ascii="微软雅黑" w:hAnsi="微软雅黑" w:eastAsia="微软雅黑" w:cs="微软雅黑"/>
          <w:spacing w:val="9"/>
          <w:sz w:val="19"/>
          <w:szCs w:val="19"/>
        </w:rPr>
        <w:t>，</w:t>
      </w:r>
      <w:r>
        <w:rPr>
          <w:rFonts w:ascii="宋体" w:hAnsi="宋体" w:eastAsia="宋体" w:cs="宋体"/>
          <w:spacing w:val="9"/>
          <w:sz w:val="19"/>
          <w:szCs w:val="19"/>
        </w:rPr>
        <w:t>即</w:t>
      </w:r>
      <w:r>
        <w:rPr>
          <w:rFonts w:ascii="宋体" w:hAnsi="宋体" w:eastAsia="宋体" w:cs="宋体"/>
          <w:spacing w:val="13"/>
          <w:sz w:val="19"/>
          <w:szCs w:val="19"/>
        </w:rPr>
        <w:t xml:space="preserve"> </w:t>
      </w:r>
      <w:r>
        <w:rPr>
          <w:rFonts w:ascii="宋体" w:hAnsi="宋体" w:eastAsia="宋体" w:cs="宋体"/>
          <w:spacing w:val="18"/>
          <w:sz w:val="19"/>
          <w:szCs w:val="19"/>
        </w:rPr>
        <w:t>改善高等教育质量文化</w:t>
      </w:r>
      <w:r>
        <w:rPr>
          <w:rFonts w:ascii="微软雅黑" w:hAnsi="微软雅黑" w:eastAsia="微软雅黑" w:cs="微软雅黑"/>
          <w:spacing w:val="18"/>
          <w:sz w:val="19"/>
          <w:szCs w:val="19"/>
        </w:rPr>
        <w:t>，</w:t>
      </w:r>
      <w:r>
        <w:rPr>
          <w:rFonts w:ascii="宋体" w:hAnsi="宋体" w:eastAsia="宋体" w:cs="宋体"/>
          <w:spacing w:val="18"/>
          <w:sz w:val="19"/>
          <w:szCs w:val="19"/>
        </w:rPr>
        <w:t>促进高等教育健康持续发</w:t>
      </w:r>
      <w:r>
        <w:rPr>
          <w:rFonts w:ascii="宋体" w:hAnsi="宋体" w:eastAsia="宋体" w:cs="宋体"/>
          <w:spacing w:val="12"/>
          <w:sz w:val="19"/>
          <w:szCs w:val="19"/>
        </w:rPr>
        <w:t xml:space="preserve"> </w:t>
      </w:r>
      <w:r>
        <w:rPr>
          <w:rFonts w:ascii="宋体" w:hAnsi="宋体" w:eastAsia="宋体" w:cs="宋体"/>
          <w:spacing w:val="9"/>
          <w:sz w:val="19"/>
          <w:szCs w:val="19"/>
        </w:rPr>
        <w:t>展</w:t>
      </w:r>
      <w:r>
        <w:rPr>
          <w:rFonts w:ascii="微软雅黑" w:hAnsi="微软雅黑" w:eastAsia="微软雅黑" w:cs="微软雅黑"/>
          <w:spacing w:val="9"/>
          <w:sz w:val="19"/>
          <w:szCs w:val="19"/>
        </w:rPr>
        <w:t>，</w:t>
      </w:r>
      <w:r>
        <w:rPr>
          <w:rFonts w:ascii="宋体" w:hAnsi="宋体" w:eastAsia="宋体" w:cs="宋体"/>
          <w:spacing w:val="9"/>
          <w:sz w:val="19"/>
          <w:szCs w:val="19"/>
        </w:rPr>
        <w:t>提高高等教育质量</w:t>
      </w:r>
      <w:r>
        <w:rPr>
          <w:rFonts w:ascii="微软雅黑" w:hAnsi="微软雅黑" w:eastAsia="微软雅黑" w:cs="微软雅黑"/>
          <w:spacing w:val="9"/>
          <w:sz w:val="19"/>
          <w:szCs w:val="19"/>
        </w:rPr>
        <w:t>。</w:t>
      </w:r>
    </w:p>
    <w:p>
      <w:pPr>
        <w:spacing w:before="69" w:line="229" w:lineRule="auto"/>
        <w:ind w:right="4" w:firstLine="441"/>
        <w:jc w:val="both"/>
        <w:rPr>
          <w:rFonts w:ascii="微软雅黑" w:hAnsi="微软雅黑" w:eastAsia="微软雅黑" w:cs="微软雅黑"/>
          <w:sz w:val="19"/>
          <w:szCs w:val="19"/>
        </w:rPr>
      </w:pPr>
      <w:r>
        <w:rPr>
          <w:rFonts w:ascii="宋体" w:hAnsi="宋体" w:eastAsia="宋体" w:cs="宋体"/>
          <w:spacing w:val="14"/>
          <w:sz w:val="19"/>
          <w:szCs w:val="19"/>
        </w:rPr>
        <w:t>内部质量保障是高等教育质量文化的基石</w:t>
      </w:r>
      <w:r>
        <w:rPr>
          <w:rFonts w:ascii="宋体" w:hAnsi="宋体" w:eastAsia="宋体" w:cs="宋体"/>
          <w:spacing w:val="-44"/>
          <w:sz w:val="19"/>
          <w:szCs w:val="19"/>
        </w:rPr>
        <w:t xml:space="preserve"> </w:t>
      </w:r>
      <w:r>
        <w:rPr>
          <w:rFonts w:ascii="微软雅黑" w:hAnsi="微软雅黑" w:eastAsia="微软雅黑" w:cs="微软雅黑"/>
          <w:spacing w:val="14"/>
          <w:sz w:val="19"/>
          <w:szCs w:val="19"/>
        </w:rPr>
        <w:t>。</w:t>
      </w:r>
      <w:r>
        <w:rPr>
          <w:rFonts w:ascii="宋体" w:hAnsi="宋体" w:eastAsia="宋体" w:cs="宋体"/>
          <w:spacing w:val="14"/>
          <w:sz w:val="19"/>
          <w:szCs w:val="19"/>
        </w:rPr>
        <w:t xml:space="preserve">高 </w:t>
      </w:r>
      <w:r>
        <w:rPr>
          <w:rFonts w:ascii="宋体" w:hAnsi="宋体" w:eastAsia="宋体" w:cs="宋体"/>
          <w:spacing w:val="9"/>
          <w:sz w:val="19"/>
          <w:szCs w:val="19"/>
        </w:rPr>
        <w:t>校开展内部质量保障由来已久</w:t>
      </w:r>
      <w:r>
        <w:rPr>
          <w:rFonts w:ascii="微软雅黑" w:hAnsi="微软雅黑" w:eastAsia="微软雅黑" w:cs="微软雅黑"/>
          <w:spacing w:val="9"/>
          <w:sz w:val="19"/>
          <w:szCs w:val="19"/>
        </w:rPr>
        <w:t>，</w:t>
      </w:r>
      <w:r>
        <w:rPr>
          <w:rFonts w:ascii="宋体" w:hAnsi="宋体" w:eastAsia="宋体" w:cs="宋体"/>
          <w:spacing w:val="9"/>
          <w:sz w:val="19"/>
          <w:szCs w:val="19"/>
        </w:rPr>
        <w:t>甚至可以说</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只要高 </w:t>
      </w:r>
      <w:r>
        <w:rPr>
          <w:rFonts w:ascii="宋体" w:hAnsi="宋体" w:eastAsia="宋体" w:cs="宋体"/>
          <w:spacing w:val="15"/>
          <w:sz w:val="19"/>
          <w:szCs w:val="19"/>
        </w:rPr>
        <w:t>校开展高等教育活动</w:t>
      </w:r>
      <w:r>
        <w:rPr>
          <w:rFonts w:ascii="微软雅黑" w:hAnsi="微软雅黑" w:eastAsia="微软雅黑" w:cs="微软雅黑"/>
          <w:spacing w:val="15"/>
          <w:sz w:val="19"/>
          <w:szCs w:val="19"/>
        </w:rPr>
        <w:t>，</w:t>
      </w:r>
      <w:r>
        <w:rPr>
          <w:rFonts w:ascii="宋体" w:hAnsi="宋体" w:eastAsia="宋体" w:cs="宋体"/>
          <w:spacing w:val="15"/>
          <w:sz w:val="19"/>
          <w:szCs w:val="19"/>
        </w:rPr>
        <w:t>就离不开质量保障</w:t>
      </w:r>
      <w:r>
        <w:rPr>
          <w:rFonts w:ascii="宋体" w:hAnsi="宋体" w:eastAsia="宋体" w:cs="宋体"/>
          <w:spacing w:val="-51"/>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5"/>
          <w:sz w:val="19"/>
          <w:szCs w:val="19"/>
        </w:rPr>
        <w:t>在</w:t>
      </w:r>
      <w:r>
        <w:rPr>
          <w:rFonts w:ascii="宋体" w:hAnsi="宋体" w:eastAsia="宋体" w:cs="宋体"/>
          <w:spacing w:val="14"/>
          <w:sz w:val="19"/>
          <w:szCs w:val="19"/>
        </w:rPr>
        <w:t xml:space="preserve">精英 </w:t>
      </w:r>
      <w:r>
        <w:rPr>
          <w:rFonts w:ascii="宋体" w:hAnsi="宋体" w:eastAsia="宋体" w:cs="宋体"/>
          <w:spacing w:val="9"/>
          <w:sz w:val="19"/>
          <w:szCs w:val="19"/>
        </w:rPr>
        <w:t>化高等教育阶段</w:t>
      </w:r>
      <w:r>
        <w:rPr>
          <w:rFonts w:ascii="微软雅黑" w:hAnsi="微软雅黑" w:eastAsia="微软雅黑" w:cs="微软雅黑"/>
          <w:spacing w:val="9"/>
          <w:sz w:val="19"/>
          <w:szCs w:val="19"/>
        </w:rPr>
        <w:t>，</w:t>
      </w:r>
      <w:r>
        <w:rPr>
          <w:rFonts w:ascii="宋体" w:hAnsi="宋体" w:eastAsia="宋体" w:cs="宋体"/>
          <w:spacing w:val="9"/>
          <w:sz w:val="19"/>
          <w:szCs w:val="19"/>
        </w:rPr>
        <w:t>高校办学与社会政治</w:t>
      </w:r>
      <w:r>
        <w:rPr>
          <w:rFonts w:ascii="微软雅黑" w:hAnsi="微软雅黑" w:eastAsia="微软雅黑" w:cs="微软雅黑"/>
          <w:spacing w:val="9"/>
          <w:sz w:val="19"/>
          <w:szCs w:val="19"/>
        </w:rPr>
        <w:t>、</w:t>
      </w:r>
      <w:r>
        <w:rPr>
          <w:rFonts w:ascii="宋体" w:hAnsi="宋体" w:eastAsia="宋体" w:cs="宋体"/>
          <w:spacing w:val="9"/>
          <w:sz w:val="19"/>
          <w:szCs w:val="19"/>
        </w:rPr>
        <w:t>经济的关系 并不紧密</w:t>
      </w:r>
      <w:r>
        <w:rPr>
          <w:rFonts w:ascii="微软雅黑" w:hAnsi="微软雅黑" w:eastAsia="微软雅黑" w:cs="微软雅黑"/>
          <w:spacing w:val="9"/>
          <w:sz w:val="19"/>
          <w:szCs w:val="19"/>
        </w:rPr>
        <w:t>，</w:t>
      </w:r>
      <w:r>
        <w:rPr>
          <w:rFonts w:ascii="宋体" w:hAnsi="宋体" w:eastAsia="宋体" w:cs="宋体"/>
          <w:spacing w:val="9"/>
          <w:sz w:val="19"/>
          <w:szCs w:val="19"/>
        </w:rPr>
        <w:t>高校的自主性很大</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高等教育质量保障主 </w:t>
      </w:r>
      <w:r>
        <w:rPr>
          <w:rFonts w:ascii="宋体" w:hAnsi="宋体" w:eastAsia="宋体" w:cs="宋体"/>
          <w:spacing w:val="15"/>
          <w:sz w:val="19"/>
          <w:szCs w:val="19"/>
        </w:rPr>
        <w:t>要是高校的事情</w:t>
      </w:r>
      <w:r>
        <w:rPr>
          <w:rFonts w:ascii="宋体" w:hAnsi="宋体" w:eastAsia="宋体" w:cs="宋体"/>
          <w:spacing w:val="-33"/>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高校组织开展的质量保障主要是 </w:t>
      </w:r>
      <w:r>
        <w:rPr>
          <w:rFonts w:ascii="宋体" w:hAnsi="宋体" w:eastAsia="宋体" w:cs="宋体"/>
          <w:spacing w:val="4"/>
          <w:sz w:val="19"/>
          <w:szCs w:val="19"/>
        </w:rPr>
        <w:t>通过背诵</w:t>
      </w:r>
      <w:r>
        <w:rPr>
          <w:rFonts w:ascii="微软雅黑" w:hAnsi="微软雅黑" w:eastAsia="微软雅黑" w:cs="微软雅黑"/>
          <w:spacing w:val="4"/>
          <w:sz w:val="19"/>
          <w:szCs w:val="19"/>
        </w:rPr>
        <w:t>、</w:t>
      </w:r>
      <w:r>
        <w:rPr>
          <w:rFonts w:ascii="宋体" w:hAnsi="宋体" w:eastAsia="宋体" w:cs="宋体"/>
          <w:spacing w:val="4"/>
          <w:sz w:val="19"/>
          <w:szCs w:val="19"/>
        </w:rPr>
        <w:t>演讲</w:t>
      </w:r>
      <w:r>
        <w:rPr>
          <w:rFonts w:ascii="微软雅黑" w:hAnsi="微软雅黑" w:eastAsia="微软雅黑" w:cs="微软雅黑"/>
          <w:spacing w:val="4"/>
          <w:sz w:val="19"/>
          <w:szCs w:val="19"/>
        </w:rPr>
        <w:t>、</w:t>
      </w:r>
      <w:r>
        <w:rPr>
          <w:rFonts w:ascii="宋体" w:hAnsi="宋体" w:eastAsia="宋体" w:cs="宋体"/>
          <w:spacing w:val="4"/>
          <w:sz w:val="19"/>
          <w:szCs w:val="19"/>
        </w:rPr>
        <w:t>辩论</w:t>
      </w:r>
      <w:r>
        <w:rPr>
          <w:rFonts w:ascii="微软雅黑" w:hAnsi="微软雅黑" w:eastAsia="微软雅黑" w:cs="微软雅黑"/>
          <w:spacing w:val="4"/>
          <w:sz w:val="19"/>
          <w:szCs w:val="19"/>
        </w:rPr>
        <w:t>、</w:t>
      </w:r>
      <w:r>
        <w:rPr>
          <w:rFonts w:ascii="宋体" w:hAnsi="宋体" w:eastAsia="宋体" w:cs="宋体"/>
          <w:spacing w:val="4"/>
          <w:sz w:val="19"/>
          <w:szCs w:val="19"/>
        </w:rPr>
        <w:t>问答等考试考查活动实现的</w:t>
      </w:r>
      <w:r>
        <w:rPr>
          <w:rFonts w:ascii="微软雅黑" w:hAnsi="微软雅黑" w:eastAsia="微软雅黑" w:cs="微软雅黑"/>
          <w:spacing w:val="4"/>
          <w:sz w:val="19"/>
          <w:szCs w:val="19"/>
        </w:rPr>
        <w:t>，</w:t>
      </w:r>
      <w:r>
        <w:rPr>
          <w:rFonts w:ascii="微软雅黑" w:hAnsi="微软雅黑" w:eastAsia="微软雅黑" w:cs="微软雅黑"/>
          <w:spacing w:val="6"/>
          <w:sz w:val="19"/>
          <w:szCs w:val="19"/>
        </w:rPr>
        <w:t xml:space="preserve"> </w:t>
      </w:r>
      <w:r>
        <w:rPr>
          <w:rFonts w:ascii="宋体" w:hAnsi="宋体" w:eastAsia="宋体" w:cs="宋体"/>
          <w:spacing w:val="15"/>
          <w:sz w:val="19"/>
          <w:szCs w:val="19"/>
        </w:rPr>
        <w:t>外部组织甚少干预或参与</w:t>
      </w:r>
      <w:r>
        <w:rPr>
          <w:rFonts w:ascii="宋体" w:hAnsi="宋体" w:eastAsia="宋体" w:cs="宋体"/>
          <w:spacing w:val="-33"/>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尽管在精英化后期</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有 </w:t>
      </w:r>
      <w:r>
        <w:rPr>
          <w:rFonts w:ascii="宋体" w:hAnsi="宋体" w:eastAsia="宋体" w:cs="宋体"/>
          <w:spacing w:val="17"/>
          <w:sz w:val="19"/>
          <w:szCs w:val="19"/>
        </w:rPr>
        <w:t>些国家政府组织开展了一些审核</w:t>
      </w:r>
      <w:r>
        <w:rPr>
          <w:rFonts w:ascii="微软雅黑" w:hAnsi="微软雅黑" w:eastAsia="微软雅黑" w:cs="微软雅黑"/>
          <w:spacing w:val="17"/>
          <w:sz w:val="19"/>
          <w:szCs w:val="19"/>
        </w:rPr>
        <w:t>、</w:t>
      </w:r>
      <w:r>
        <w:rPr>
          <w:rFonts w:ascii="宋体" w:hAnsi="宋体" w:eastAsia="宋体" w:cs="宋体"/>
          <w:spacing w:val="17"/>
          <w:sz w:val="19"/>
          <w:szCs w:val="19"/>
        </w:rPr>
        <w:t>统考测验等质量 保障活动</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但内部质量保障还是影响高等教育质量 </w:t>
      </w:r>
      <w:r>
        <w:rPr>
          <w:rFonts w:ascii="宋体" w:hAnsi="宋体" w:eastAsia="宋体" w:cs="宋体"/>
          <w:spacing w:val="16"/>
          <w:sz w:val="19"/>
          <w:szCs w:val="19"/>
        </w:rPr>
        <w:t>的主要方式</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在大众化和普及化阶段</w:t>
      </w:r>
      <w:r>
        <w:rPr>
          <w:rFonts w:ascii="微软雅黑" w:hAnsi="微软雅黑" w:eastAsia="微软雅黑" w:cs="微软雅黑"/>
          <w:spacing w:val="16"/>
          <w:sz w:val="19"/>
          <w:szCs w:val="19"/>
        </w:rPr>
        <w:t>，</w:t>
      </w:r>
      <w:r>
        <w:rPr>
          <w:rFonts w:ascii="宋体" w:hAnsi="宋体" w:eastAsia="宋体" w:cs="宋体"/>
          <w:spacing w:val="16"/>
          <w:sz w:val="19"/>
          <w:szCs w:val="19"/>
        </w:rPr>
        <w:t>尽管</w:t>
      </w:r>
      <w:r>
        <w:rPr>
          <w:rFonts w:ascii="宋体" w:hAnsi="宋体" w:eastAsia="宋体" w:cs="宋体"/>
          <w:spacing w:val="15"/>
          <w:sz w:val="19"/>
          <w:szCs w:val="19"/>
        </w:rPr>
        <w:t xml:space="preserve">政府和 </w:t>
      </w:r>
      <w:r>
        <w:rPr>
          <w:rFonts w:ascii="宋体" w:hAnsi="宋体" w:eastAsia="宋体" w:cs="宋体"/>
          <w:spacing w:val="17"/>
          <w:sz w:val="19"/>
          <w:szCs w:val="19"/>
        </w:rPr>
        <w:t>其他社会组织的影响越来越大</w:t>
      </w:r>
      <w:r>
        <w:rPr>
          <w:rFonts w:ascii="微软雅黑" w:hAnsi="微软雅黑" w:eastAsia="微软雅黑" w:cs="微软雅黑"/>
          <w:spacing w:val="17"/>
          <w:sz w:val="19"/>
          <w:szCs w:val="19"/>
        </w:rPr>
        <w:t>，</w:t>
      </w:r>
      <w:r>
        <w:rPr>
          <w:rFonts w:ascii="宋体" w:hAnsi="宋体" w:eastAsia="宋体" w:cs="宋体"/>
          <w:spacing w:val="17"/>
          <w:sz w:val="19"/>
          <w:szCs w:val="19"/>
        </w:rPr>
        <w:t>但高校的内部质量 保障仍发挥了主要作用</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尤其是高校的中介者角色 </w:t>
      </w:r>
      <w:r>
        <w:rPr>
          <w:rFonts w:ascii="宋体" w:hAnsi="宋体" w:eastAsia="宋体" w:cs="宋体"/>
          <w:spacing w:val="15"/>
          <w:sz w:val="19"/>
          <w:szCs w:val="19"/>
        </w:rPr>
        <w:t>更强化了内部质量保障的基础作用</w:t>
      </w:r>
      <w:r>
        <w:rPr>
          <w:rFonts w:ascii="宋体" w:hAnsi="宋体" w:eastAsia="宋体" w:cs="宋体"/>
          <w:spacing w:val="-33"/>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加强质量文化 </w:t>
      </w:r>
      <w:r>
        <w:rPr>
          <w:rFonts w:ascii="宋体" w:hAnsi="宋体" w:eastAsia="宋体" w:cs="宋体"/>
          <w:spacing w:val="9"/>
          <w:sz w:val="19"/>
          <w:szCs w:val="19"/>
        </w:rPr>
        <w:t>建设</w:t>
      </w:r>
      <w:r>
        <w:rPr>
          <w:rFonts w:ascii="微软雅黑" w:hAnsi="微软雅黑" w:eastAsia="微软雅黑" w:cs="微软雅黑"/>
          <w:spacing w:val="9"/>
          <w:sz w:val="19"/>
          <w:szCs w:val="19"/>
        </w:rPr>
        <w:t>，</w:t>
      </w:r>
      <w:r>
        <w:rPr>
          <w:rFonts w:ascii="宋体" w:hAnsi="宋体" w:eastAsia="宋体" w:cs="宋体"/>
          <w:spacing w:val="9"/>
          <w:sz w:val="19"/>
          <w:szCs w:val="19"/>
        </w:rPr>
        <w:t>应当更好地发挥内部质量保障的作用</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高校应 </w:t>
      </w:r>
      <w:r>
        <w:rPr>
          <w:rFonts w:ascii="宋体" w:hAnsi="宋体" w:eastAsia="宋体" w:cs="宋体"/>
          <w:spacing w:val="17"/>
          <w:sz w:val="19"/>
          <w:szCs w:val="19"/>
        </w:rPr>
        <w:t>当牢固树立质量文化意识</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高度重视内部质量保障 </w:t>
      </w:r>
      <w:r>
        <w:rPr>
          <w:rFonts w:ascii="宋体" w:hAnsi="宋体" w:eastAsia="宋体" w:cs="宋体"/>
          <w:spacing w:val="9"/>
          <w:sz w:val="19"/>
          <w:szCs w:val="19"/>
        </w:rPr>
        <w:t>的基础地位和作用</w:t>
      </w:r>
      <w:r>
        <w:rPr>
          <w:rFonts w:ascii="微软雅黑" w:hAnsi="微软雅黑" w:eastAsia="微软雅黑" w:cs="微软雅黑"/>
          <w:spacing w:val="9"/>
          <w:sz w:val="19"/>
          <w:szCs w:val="19"/>
        </w:rPr>
        <w:t>，</w:t>
      </w:r>
      <w:r>
        <w:rPr>
          <w:rFonts w:ascii="宋体" w:hAnsi="宋体" w:eastAsia="宋体" w:cs="宋体"/>
          <w:spacing w:val="9"/>
          <w:sz w:val="19"/>
          <w:szCs w:val="19"/>
        </w:rPr>
        <w:t>健全内部质量保障体系</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将质量 </w:t>
      </w:r>
      <w:r>
        <w:rPr>
          <w:rFonts w:ascii="宋体" w:hAnsi="宋体" w:eastAsia="宋体" w:cs="宋体"/>
          <w:spacing w:val="17"/>
          <w:sz w:val="19"/>
          <w:szCs w:val="19"/>
        </w:rPr>
        <w:t>保障的根基植于学科专业教育教学过程</w:t>
      </w:r>
      <w:r>
        <w:rPr>
          <w:rFonts w:ascii="微软雅黑" w:hAnsi="微软雅黑" w:eastAsia="微软雅黑" w:cs="微软雅黑"/>
          <w:spacing w:val="17"/>
          <w:sz w:val="19"/>
          <w:szCs w:val="19"/>
        </w:rPr>
        <w:t>，</w:t>
      </w:r>
      <w:r>
        <w:rPr>
          <w:rFonts w:ascii="宋体" w:hAnsi="宋体" w:eastAsia="宋体" w:cs="宋体"/>
          <w:spacing w:val="17"/>
          <w:sz w:val="19"/>
          <w:szCs w:val="19"/>
        </w:rPr>
        <w:t>将学生本 位</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持续改进和追求卓越的文化精神融入办学各方 </w:t>
      </w:r>
      <w:r>
        <w:rPr>
          <w:rFonts w:ascii="宋体" w:hAnsi="宋体" w:eastAsia="宋体" w:cs="宋体"/>
          <w:spacing w:val="18"/>
          <w:sz w:val="19"/>
          <w:szCs w:val="19"/>
        </w:rPr>
        <w:t>面和全过程</w:t>
      </w:r>
      <w:r>
        <w:rPr>
          <w:rFonts w:ascii="微软雅黑" w:hAnsi="微软雅黑" w:eastAsia="微软雅黑" w:cs="微软雅黑"/>
          <w:spacing w:val="18"/>
          <w:sz w:val="19"/>
          <w:szCs w:val="19"/>
        </w:rPr>
        <w:t>。</w:t>
      </w:r>
    </w:p>
    <w:p>
      <w:pPr>
        <w:spacing w:before="70" w:line="235" w:lineRule="auto"/>
        <w:ind w:firstLine="419"/>
        <w:jc w:val="both"/>
        <w:rPr>
          <w:rFonts w:ascii="宋体" w:hAnsi="宋体" w:eastAsia="宋体" w:cs="宋体"/>
          <w:sz w:val="19"/>
          <w:szCs w:val="19"/>
        </w:rPr>
      </w:pPr>
      <w:r>
        <w:rPr>
          <w:rFonts w:ascii="宋体" w:hAnsi="宋体" w:eastAsia="宋体" w:cs="宋体"/>
          <w:spacing w:val="17"/>
          <w:sz w:val="19"/>
          <w:szCs w:val="19"/>
        </w:rPr>
        <w:t xml:space="preserve">外部质量保障是政府和其他社会组织在高等教 </w:t>
      </w:r>
      <w:r>
        <w:rPr>
          <w:rFonts w:ascii="宋体" w:hAnsi="宋体" w:eastAsia="宋体" w:cs="宋体"/>
          <w:spacing w:val="18"/>
          <w:sz w:val="19"/>
          <w:szCs w:val="19"/>
        </w:rPr>
        <w:t>育大众化和普及化进程中逐步发展起来的质量</w:t>
      </w:r>
      <w:r>
        <w:rPr>
          <w:rFonts w:ascii="宋体" w:hAnsi="宋体" w:eastAsia="宋体" w:cs="宋体"/>
          <w:spacing w:val="17"/>
          <w:sz w:val="19"/>
          <w:szCs w:val="19"/>
        </w:rPr>
        <w:t xml:space="preserve">建设 </w:t>
      </w:r>
      <w:r>
        <w:rPr>
          <w:rFonts w:ascii="宋体" w:hAnsi="宋体" w:eastAsia="宋体" w:cs="宋体"/>
          <w:spacing w:val="16"/>
          <w:sz w:val="19"/>
          <w:szCs w:val="19"/>
        </w:rPr>
        <w:t>与关切活动</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应当承认</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外部质量保障与高校的质 </w:t>
      </w:r>
      <w:r>
        <w:rPr>
          <w:rFonts w:ascii="宋体" w:hAnsi="宋体" w:eastAsia="宋体" w:cs="宋体"/>
          <w:spacing w:val="18"/>
          <w:sz w:val="19"/>
          <w:szCs w:val="19"/>
        </w:rPr>
        <w:t>量追求并非总是完全一致的</w:t>
      </w:r>
      <w:r>
        <w:rPr>
          <w:rFonts w:ascii="微软雅黑" w:hAnsi="微软雅黑" w:eastAsia="微软雅黑" w:cs="微软雅黑"/>
          <w:spacing w:val="18"/>
          <w:sz w:val="19"/>
          <w:szCs w:val="19"/>
        </w:rPr>
        <w:t>，</w:t>
      </w:r>
      <w:r>
        <w:rPr>
          <w:rFonts w:ascii="宋体" w:hAnsi="宋体" w:eastAsia="宋体" w:cs="宋体"/>
          <w:spacing w:val="18"/>
          <w:sz w:val="19"/>
          <w:szCs w:val="19"/>
        </w:rPr>
        <w:t>但这并不说明可</w:t>
      </w:r>
      <w:r>
        <w:rPr>
          <w:rFonts w:ascii="宋体" w:hAnsi="宋体" w:eastAsia="宋体" w:cs="宋体"/>
          <w:spacing w:val="17"/>
          <w:sz w:val="19"/>
          <w:szCs w:val="19"/>
        </w:rPr>
        <w:t xml:space="preserve">以忽 </w:t>
      </w:r>
      <w:r>
        <w:rPr>
          <w:rFonts w:ascii="宋体" w:hAnsi="宋体" w:eastAsia="宋体" w:cs="宋体"/>
          <w:spacing w:val="15"/>
          <w:sz w:val="19"/>
          <w:szCs w:val="19"/>
        </w:rPr>
        <w:t>视或无视外部质量部保障</w:t>
      </w:r>
      <w:r>
        <w:rPr>
          <w:rFonts w:ascii="宋体" w:hAnsi="宋体" w:eastAsia="宋体" w:cs="宋体"/>
          <w:spacing w:val="-52"/>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3"/>
          <w:sz w:val="19"/>
          <w:szCs w:val="19"/>
        </w:rPr>
        <w:t xml:space="preserve"> </w:t>
      </w:r>
      <w:r>
        <w:rPr>
          <w:rFonts w:ascii="宋体" w:hAnsi="宋体" w:eastAsia="宋体" w:cs="宋体"/>
          <w:spacing w:val="15"/>
          <w:sz w:val="19"/>
          <w:szCs w:val="19"/>
        </w:rPr>
        <w:t>实际上</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高等教育普及 </w:t>
      </w:r>
      <w:r>
        <w:rPr>
          <w:rFonts w:ascii="宋体" w:hAnsi="宋体" w:eastAsia="宋体" w:cs="宋体"/>
          <w:spacing w:val="17"/>
          <w:sz w:val="19"/>
          <w:szCs w:val="19"/>
        </w:rPr>
        <w:t>化程度越高</w:t>
      </w:r>
      <w:r>
        <w:rPr>
          <w:rFonts w:ascii="微软雅黑" w:hAnsi="微软雅黑" w:eastAsia="微软雅黑" w:cs="微软雅黑"/>
          <w:spacing w:val="17"/>
          <w:sz w:val="19"/>
          <w:szCs w:val="19"/>
        </w:rPr>
        <w:t>，</w:t>
      </w:r>
      <w:r>
        <w:rPr>
          <w:rFonts w:ascii="宋体" w:hAnsi="宋体" w:eastAsia="宋体" w:cs="宋体"/>
          <w:spacing w:val="17"/>
          <w:sz w:val="19"/>
          <w:szCs w:val="19"/>
        </w:rPr>
        <w:t>外部质量保</w:t>
      </w:r>
      <w:r>
        <w:rPr>
          <w:rFonts w:ascii="宋体" w:hAnsi="宋体" w:eastAsia="宋体" w:cs="宋体"/>
          <w:spacing w:val="-32"/>
          <w:sz w:val="19"/>
          <w:szCs w:val="19"/>
        </w:rPr>
        <w:t xml:space="preserve"> </w:t>
      </w:r>
      <w:r>
        <w:rPr>
          <w:rFonts w:ascii="宋体" w:hAnsi="宋体" w:eastAsia="宋体" w:cs="宋体"/>
          <w:spacing w:val="17"/>
          <w:sz w:val="19"/>
          <w:szCs w:val="19"/>
        </w:rPr>
        <w:t>障发挥</w:t>
      </w:r>
      <w:r>
        <w:rPr>
          <w:rFonts w:ascii="宋体" w:hAnsi="宋体" w:eastAsia="宋体" w:cs="宋体"/>
          <w:spacing w:val="-46"/>
          <w:sz w:val="19"/>
          <w:szCs w:val="19"/>
        </w:rPr>
        <w:t xml:space="preserve"> </w:t>
      </w:r>
      <w:r>
        <w:rPr>
          <w:rFonts w:ascii="宋体" w:hAnsi="宋体" w:eastAsia="宋体" w:cs="宋体"/>
          <w:spacing w:val="17"/>
          <w:sz w:val="19"/>
          <w:szCs w:val="19"/>
        </w:rPr>
        <w:t>的作用就越重要</w:t>
      </w:r>
      <w:r>
        <w:rPr>
          <w:rFonts w:ascii="微软雅黑" w:hAnsi="微软雅黑" w:eastAsia="微软雅黑" w:cs="微软雅黑"/>
          <w:spacing w:val="17"/>
          <w:sz w:val="19"/>
          <w:szCs w:val="19"/>
        </w:rPr>
        <w:t>。</w:t>
      </w:r>
      <w:r>
        <w:rPr>
          <w:rFonts w:ascii="微软雅黑" w:hAnsi="微软雅黑" w:eastAsia="微软雅黑" w:cs="微软雅黑"/>
          <w:sz w:val="19"/>
          <w:szCs w:val="19"/>
        </w:rPr>
        <w:t xml:space="preserve"> </w:t>
      </w:r>
      <w:r>
        <w:rPr>
          <w:rFonts w:ascii="宋体" w:hAnsi="宋体" w:eastAsia="宋体" w:cs="宋体"/>
          <w:spacing w:val="18"/>
          <w:sz w:val="19"/>
          <w:szCs w:val="19"/>
        </w:rPr>
        <w:t>加强质量文化建设</w:t>
      </w:r>
      <w:r>
        <w:rPr>
          <w:rFonts w:ascii="微软雅黑" w:hAnsi="微软雅黑" w:eastAsia="微软雅黑" w:cs="微软雅黑"/>
          <w:spacing w:val="18"/>
          <w:sz w:val="19"/>
          <w:szCs w:val="19"/>
        </w:rPr>
        <w:t>，</w:t>
      </w:r>
      <w:r>
        <w:rPr>
          <w:rFonts w:ascii="宋体" w:hAnsi="宋体" w:eastAsia="宋体" w:cs="宋体"/>
          <w:spacing w:val="18"/>
          <w:sz w:val="19"/>
          <w:szCs w:val="19"/>
        </w:rPr>
        <w:t>应当充分发挥外部质量保</w:t>
      </w:r>
      <w:r>
        <w:rPr>
          <w:rFonts w:ascii="宋体" w:hAnsi="宋体" w:eastAsia="宋体" w:cs="宋体"/>
          <w:spacing w:val="17"/>
          <w:sz w:val="19"/>
          <w:szCs w:val="19"/>
        </w:rPr>
        <w:t xml:space="preserve">障的 </w:t>
      </w:r>
      <w:r>
        <w:rPr>
          <w:rFonts w:ascii="宋体" w:hAnsi="宋体" w:eastAsia="宋体" w:cs="宋体"/>
          <w:spacing w:val="9"/>
          <w:sz w:val="19"/>
          <w:szCs w:val="19"/>
        </w:rPr>
        <w:t>作用</w:t>
      </w:r>
      <w:r>
        <w:rPr>
          <w:rFonts w:ascii="微软雅黑" w:hAnsi="微软雅黑" w:eastAsia="微软雅黑" w:cs="微软雅黑"/>
          <w:spacing w:val="9"/>
          <w:sz w:val="19"/>
          <w:szCs w:val="19"/>
        </w:rPr>
        <w:t>，</w:t>
      </w:r>
      <w:r>
        <w:rPr>
          <w:rFonts w:ascii="宋体" w:hAnsi="宋体" w:eastAsia="宋体" w:cs="宋体"/>
          <w:spacing w:val="9"/>
          <w:sz w:val="19"/>
          <w:szCs w:val="19"/>
        </w:rPr>
        <w:t>建立内外结合</w:t>
      </w:r>
      <w:r>
        <w:rPr>
          <w:rFonts w:ascii="微软雅黑" w:hAnsi="微软雅黑" w:eastAsia="微软雅黑" w:cs="微软雅黑"/>
          <w:spacing w:val="9"/>
          <w:sz w:val="19"/>
          <w:szCs w:val="19"/>
        </w:rPr>
        <w:t>、</w:t>
      </w:r>
      <w:r>
        <w:rPr>
          <w:rFonts w:ascii="宋体" w:hAnsi="宋体" w:eastAsia="宋体" w:cs="宋体"/>
          <w:spacing w:val="9"/>
          <w:sz w:val="19"/>
          <w:szCs w:val="19"/>
        </w:rPr>
        <w:t>相互补充</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相互支持的作用机 </w:t>
      </w:r>
      <w:r>
        <w:rPr>
          <w:rFonts w:ascii="宋体" w:hAnsi="宋体" w:eastAsia="宋体" w:cs="宋体"/>
          <w:spacing w:val="18"/>
          <w:sz w:val="19"/>
          <w:szCs w:val="19"/>
        </w:rPr>
        <w:t>制</w:t>
      </w:r>
      <w:r>
        <w:rPr>
          <w:rFonts w:ascii="微软雅黑" w:hAnsi="微软雅黑" w:eastAsia="微软雅黑" w:cs="微软雅黑"/>
          <w:spacing w:val="18"/>
          <w:sz w:val="19"/>
          <w:szCs w:val="19"/>
        </w:rPr>
        <w:t>，</w:t>
      </w:r>
      <w:r>
        <w:rPr>
          <w:rFonts w:ascii="宋体" w:hAnsi="宋体" w:eastAsia="宋体" w:cs="宋体"/>
          <w:spacing w:val="18"/>
          <w:sz w:val="19"/>
          <w:szCs w:val="19"/>
        </w:rPr>
        <w:t>以达到在保证底线质量的基础上不断提高</w:t>
      </w:r>
      <w:r>
        <w:rPr>
          <w:rFonts w:ascii="宋体" w:hAnsi="宋体" w:eastAsia="宋体" w:cs="宋体"/>
          <w:spacing w:val="17"/>
          <w:sz w:val="19"/>
          <w:szCs w:val="19"/>
        </w:rPr>
        <w:t xml:space="preserve">高等 </w:t>
      </w:r>
      <w:r>
        <w:rPr>
          <w:rFonts w:ascii="宋体" w:hAnsi="宋体" w:eastAsia="宋体" w:cs="宋体"/>
          <w:spacing w:val="16"/>
          <w:sz w:val="19"/>
          <w:szCs w:val="19"/>
        </w:rPr>
        <w:t>教育质量的目的</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高校应当主动接受和吸纳外部质 </w:t>
      </w:r>
      <w:r>
        <w:rPr>
          <w:rFonts w:ascii="宋体" w:hAnsi="宋体" w:eastAsia="宋体" w:cs="宋体"/>
          <w:spacing w:val="9"/>
          <w:sz w:val="19"/>
          <w:szCs w:val="19"/>
        </w:rPr>
        <w:t>量保障理念</w:t>
      </w:r>
      <w:r>
        <w:rPr>
          <w:rFonts w:ascii="微软雅黑" w:hAnsi="微软雅黑" w:eastAsia="微软雅黑" w:cs="微软雅黑"/>
          <w:spacing w:val="9"/>
          <w:sz w:val="19"/>
          <w:szCs w:val="19"/>
        </w:rPr>
        <w:t>，</w:t>
      </w:r>
      <w:r>
        <w:rPr>
          <w:rFonts w:ascii="宋体" w:hAnsi="宋体" w:eastAsia="宋体" w:cs="宋体"/>
          <w:spacing w:val="9"/>
          <w:sz w:val="19"/>
          <w:szCs w:val="19"/>
        </w:rPr>
        <w:t>根据自身办学定位和质量文化价值</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吸 </w:t>
      </w:r>
      <w:r>
        <w:rPr>
          <w:rFonts w:ascii="宋体" w:hAnsi="宋体" w:eastAsia="宋体" w:cs="宋体"/>
          <w:spacing w:val="18"/>
          <w:sz w:val="19"/>
          <w:szCs w:val="19"/>
        </w:rPr>
        <w:t>收外部质量文化价值</w:t>
      </w:r>
      <w:r>
        <w:rPr>
          <w:rFonts w:ascii="微软雅黑" w:hAnsi="微软雅黑" w:eastAsia="微软雅黑" w:cs="微软雅黑"/>
          <w:spacing w:val="18"/>
          <w:sz w:val="19"/>
          <w:szCs w:val="19"/>
        </w:rPr>
        <w:t>，</w:t>
      </w:r>
      <w:r>
        <w:rPr>
          <w:rFonts w:ascii="宋体" w:hAnsi="宋体" w:eastAsia="宋体" w:cs="宋体"/>
          <w:spacing w:val="18"/>
          <w:sz w:val="19"/>
          <w:szCs w:val="19"/>
        </w:rPr>
        <w:t>形成与高等教育发展新</w:t>
      </w:r>
      <w:r>
        <w:rPr>
          <w:rFonts w:ascii="宋体" w:hAnsi="宋体" w:eastAsia="宋体" w:cs="宋体"/>
          <w:spacing w:val="17"/>
          <w:sz w:val="19"/>
          <w:szCs w:val="19"/>
        </w:rPr>
        <w:t xml:space="preserve">阶段 </w:t>
      </w:r>
      <w:r>
        <w:rPr>
          <w:rFonts w:ascii="宋体" w:hAnsi="宋体" w:eastAsia="宋体" w:cs="宋体"/>
          <w:spacing w:val="16"/>
          <w:sz w:val="19"/>
          <w:szCs w:val="19"/>
        </w:rPr>
        <w:t>需求相适应的质量文化</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政府及其相关部门拥有广 </w:t>
      </w:r>
      <w:r>
        <w:rPr>
          <w:rFonts w:ascii="宋体" w:hAnsi="宋体" w:eastAsia="宋体" w:cs="宋体"/>
          <w:spacing w:val="18"/>
          <w:sz w:val="19"/>
          <w:szCs w:val="19"/>
        </w:rPr>
        <w:t>泛的社会治理权</w:t>
      </w:r>
      <w:r>
        <w:rPr>
          <w:rFonts w:ascii="微软雅黑" w:hAnsi="微软雅黑" w:eastAsia="微软雅黑" w:cs="微软雅黑"/>
          <w:spacing w:val="18"/>
          <w:sz w:val="19"/>
          <w:szCs w:val="19"/>
        </w:rPr>
        <w:t>，</w:t>
      </w:r>
      <w:r>
        <w:rPr>
          <w:rFonts w:ascii="宋体" w:hAnsi="宋体" w:eastAsia="宋体" w:cs="宋体"/>
          <w:spacing w:val="18"/>
          <w:sz w:val="19"/>
          <w:szCs w:val="19"/>
        </w:rPr>
        <w:t>它们在高等教育质量文化建</w:t>
      </w:r>
      <w:r>
        <w:rPr>
          <w:rFonts w:ascii="宋体" w:hAnsi="宋体" w:eastAsia="宋体" w:cs="宋体"/>
          <w:spacing w:val="17"/>
          <w:sz w:val="19"/>
          <w:szCs w:val="19"/>
        </w:rPr>
        <w:t xml:space="preserve">设中 </w:t>
      </w:r>
      <w:r>
        <w:rPr>
          <w:rFonts w:ascii="宋体" w:hAnsi="宋体" w:eastAsia="宋体" w:cs="宋体"/>
          <w:spacing w:val="18"/>
          <w:sz w:val="19"/>
          <w:szCs w:val="19"/>
        </w:rPr>
        <w:t>的所有行动都是直接针对高校的</w:t>
      </w:r>
      <w:r>
        <w:rPr>
          <w:rFonts w:ascii="微软雅黑" w:hAnsi="微软雅黑" w:eastAsia="微软雅黑" w:cs="微软雅黑"/>
          <w:spacing w:val="18"/>
          <w:sz w:val="19"/>
          <w:szCs w:val="19"/>
        </w:rPr>
        <w:t>，</w:t>
      </w:r>
      <w:r>
        <w:rPr>
          <w:rFonts w:ascii="宋体" w:hAnsi="宋体" w:eastAsia="宋体" w:cs="宋体"/>
          <w:spacing w:val="18"/>
          <w:sz w:val="19"/>
          <w:szCs w:val="19"/>
        </w:rPr>
        <w:t>它们所发挥</w:t>
      </w:r>
      <w:r>
        <w:rPr>
          <w:rFonts w:ascii="宋体" w:hAnsi="宋体" w:eastAsia="宋体" w:cs="宋体"/>
          <w:spacing w:val="17"/>
          <w:sz w:val="19"/>
          <w:szCs w:val="19"/>
        </w:rPr>
        <w:t xml:space="preserve">的作 </w:t>
      </w:r>
      <w:r>
        <w:rPr>
          <w:rFonts w:ascii="宋体" w:hAnsi="宋体" w:eastAsia="宋体" w:cs="宋体"/>
          <w:spacing w:val="14"/>
          <w:sz w:val="19"/>
          <w:szCs w:val="19"/>
        </w:rPr>
        <w:t>用具有直接性和权威性</w:t>
      </w:r>
      <w:r>
        <w:rPr>
          <w:rFonts w:ascii="宋体" w:hAnsi="宋体" w:eastAsia="宋体" w:cs="宋体"/>
          <w:spacing w:val="-43"/>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19"/>
          <w:sz w:val="19"/>
          <w:szCs w:val="19"/>
        </w:rPr>
        <w:t xml:space="preserve"> </w:t>
      </w:r>
      <w:r>
        <w:rPr>
          <w:rFonts w:ascii="宋体" w:hAnsi="宋体" w:eastAsia="宋体" w:cs="宋体"/>
          <w:spacing w:val="14"/>
          <w:sz w:val="19"/>
          <w:szCs w:val="19"/>
        </w:rPr>
        <w:t>因此</w:t>
      </w:r>
      <w:r>
        <w:rPr>
          <w:rFonts w:ascii="微软雅黑" w:hAnsi="微软雅黑" w:eastAsia="微软雅黑" w:cs="微软雅黑"/>
          <w:spacing w:val="14"/>
          <w:sz w:val="19"/>
          <w:szCs w:val="19"/>
        </w:rPr>
        <w:t>，</w:t>
      </w:r>
      <w:r>
        <w:rPr>
          <w:rFonts w:ascii="宋体" w:hAnsi="宋体" w:eastAsia="宋体" w:cs="宋体"/>
          <w:spacing w:val="14"/>
          <w:sz w:val="19"/>
          <w:szCs w:val="19"/>
        </w:rPr>
        <w:t xml:space="preserve">政府及其相关部门 </w:t>
      </w:r>
      <w:r>
        <w:rPr>
          <w:rFonts w:ascii="宋体" w:hAnsi="宋体" w:eastAsia="宋体" w:cs="宋体"/>
          <w:spacing w:val="18"/>
          <w:sz w:val="19"/>
          <w:szCs w:val="19"/>
        </w:rPr>
        <w:t>应当在尊重高校办学自主权的前提下</w:t>
      </w:r>
      <w:r>
        <w:rPr>
          <w:rFonts w:ascii="微软雅黑" w:hAnsi="微软雅黑" w:eastAsia="微软雅黑" w:cs="微软雅黑"/>
          <w:spacing w:val="18"/>
          <w:sz w:val="19"/>
          <w:szCs w:val="19"/>
        </w:rPr>
        <w:t>，</w:t>
      </w:r>
      <w:r>
        <w:rPr>
          <w:rFonts w:ascii="宋体" w:hAnsi="宋体" w:eastAsia="宋体" w:cs="宋体"/>
          <w:spacing w:val="18"/>
          <w:sz w:val="19"/>
          <w:szCs w:val="19"/>
        </w:rPr>
        <w:t>从国家战略</w:t>
      </w:r>
    </w:p>
    <w:p>
      <w:pPr>
        <w:spacing w:before="95" w:line="159" w:lineRule="exact"/>
        <w:ind w:left="3837"/>
        <w:rPr>
          <w:rFonts w:ascii="微软雅黑" w:hAnsi="微软雅黑" w:eastAsia="微软雅黑" w:cs="微软雅黑"/>
          <w:sz w:val="19"/>
          <w:szCs w:val="19"/>
        </w:rPr>
      </w:pPr>
      <w:r>
        <w:rPr>
          <w:rFonts w:ascii="微软雅黑" w:hAnsi="微软雅黑" w:eastAsia="微软雅黑" w:cs="微软雅黑"/>
          <w:spacing w:val="-11"/>
          <w:sz w:val="19"/>
          <w:szCs w:val="19"/>
        </w:rPr>
        <w:t>·</w:t>
      </w:r>
      <w:r>
        <w:rPr>
          <w:rFonts w:ascii="微软雅黑" w:hAnsi="微软雅黑" w:eastAsia="微软雅黑" w:cs="微软雅黑"/>
          <w:spacing w:val="22"/>
          <w:sz w:val="19"/>
          <w:szCs w:val="19"/>
        </w:rPr>
        <w:t xml:space="preserve">  </w:t>
      </w:r>
      <w:r>
        <w:rPr>
          <w:rFonts w:ascii="Arial" w:hAnsi="Arial" w:eastAsia="Arial" w:cs="Arial"/>
          <w:spacing w:val="-11"/>
          <w:position w:val="-2"/>
          <w:sz w:val="19"/>
          <w:szCs w:val="19"/>
        </w:rPr>
        <w:t>15</w:t>
      </w:r>
      <w:r>
        <w:rPr>
          <w:rFonts w:ascii="Arial" w:hAnsi="Arial" w:eastAsia="Arial" w:cs="Arial"/>
          <w:spacing w:val="23"/>
          <w:w w:val="101"/>
          <w:position w:val="-2"/>
          <w:sz w:val="19"/>
          <w:szCs w:val="19"/>
        </w:rPr>
        <w:t xml:space="preserve">  </w:t>
      </w:r>
      <w:r>
        <w:rPr>
          <w:rFonts w:ascii="微软雅黑" w:hAnsi="微软雅黑" w:eastAsia="微软雅黑" w:cs="微软雅黑"/>
          <w:spacing w:val="-11"/>
          <w:sz w:val="19"/>
          <w:szCs w:val="19"/>
        </w:rPr>
        <w:t>·</w:t>
      </w:r>
    </w:p>
    <w:p>
      <w:pPr>
        <w:spacing w:line="159" w:lineRule="exact"/>
        <w:rPr>
          <w:rFonts w:ascii="微软雅黑" w:hAnsi="微软雅黑" w:eastAsia="微软雅黑" w:cs="微软雅黑"/>
          <w:sz w:val="19"/>
          <w:szCs w:val="19"/>
        </w:rPr>
        <w:sectPr>
          <w:type w:val="continuous"/>
          <w:pgSz w:w="11905" w:h="16836"/>
          <w:pgMar w:top="400" w:right="1066" w:bottom="547" w:left="407" w:header="0" w:footer="354" w:gutter="0"/>
          <w:cols w:equalWidth="0" w:num="2">
            <w:col w:w="5662" w:space="100"/>
            <w:col w:w="4668"/>
          </w:cols>
        </w:sectPr>
      </w:pPr>
    </w:p>
    <w:p>
      <w:pPr>
        <w:spacing w:line="426" w:lineRule="auto"/>
        <w:rPr>
          <w:rFonts w:ascii="Arial"/>
          <w:sz w:val="21"/>
        </w:rPr>
      </w:pPr>
    </w:p>
    <w:p>
      <w:pPr>
        <w:spacing w:before="52" w:line="220" w:lineRule="auto"/>
        <w:ind w:left="4292"/>
        <w:rPr>
          <w:rFonts w:ascii="宋体" w:hAnsi="宋体" w:eastAsia="宋体" w:cs="宋体"/>
          <w:sz w:val="16"/>
          <w:szCs w:val="16"/>
        </w:rPr>
      </w:pPr>
      <w:r>
        <w:rPr>
          <w:rFonts w:ascii="宋体" w:hAnsi="宋体" w:eastAsia="宋体" w:cs="宋体"/>
          <w:spacing w:val="18"/>
          <w:sz w:val="16"/>
          <w:szCs w:val="16"/>
        </w:rPr>
        <w:t>高等教育质量文化及其建设策略</w:t>
      </w:r>
    </w:p>
    <w:p>
      <w:pPr>
        <w:spacing w:before="23" w:line="159" w:lineRule="exact"/>
        <w:ind w:left="721"/>
      </w:pPr>
      <w:r>
        <w:rPr>
          <w:position w:val="-3"/>
        </w:rPr>
        <w:drawing>
          <wp:inline distT="0" distB="0" distL="0" distR="0">
            <wp:extent cx="6118860" cy="1009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6"/>
                    <a:stretch>
                      <a:fillRect/>
                    </a:stretch>
                  </pic:blipFill>
                  <pic:spPr>
                    <a:xfrm>
                      <a:off x="0" y="0"/>
                      <a:ext cx="6119371" cy="101421"/>
                    </a:xfrm>
                    <a:prstGeom prst="rect">
                      <a:avLst/>
                    </a:prstGeom>
                  </pic:spPr>
                </pic:pic>
              </a:graphicData>
            </a:graphic>
          </wp:inline>
        </w:drawing>
      </w:r>
    </w:p>
    <w:p>
      <w:pPr>
        <w:spacing w:line="114" w:lineRule="exact"/>
      </w:pPr>
    </w:p>
    <w:p>
      <w:pPr>
        <w:spacing w:line="114" w:lineRule="exact"/>
        <w:sectPr>
          <w:footerReference r:id="rId30" w:type="default"/>
          <w:pgSz w:w="11905" w:h="16836"/>
          <w:pgMar w:top="400" w:right="1066" w:bottom="547" w:left="407" w:header="0" w:footer="354" w:gutter="0"/>
          <w:cols w:equalWidth="0" w:num="1">
            <w:col w:w="10430"/>
          </w:cols>
        </w:sectPr>
      </w:pPr>
    </w:p>
    <w:p>
      <w:pPr>
        <w:spacing w:before="31" w:line="229" w:lineRule="auto"/>
        <w:ind w:left="731" w:right="259"/>
        <w:jc w:val="both"/>
        <w:rPr>
          <w:rFonts w:ascii="微软雅黑" w:hAnsi="微软雅黑" w:eastAsia="微软雅黑" w:cs="微软雅黑"/>
          <w:sz w:val="19"/>
          <w:szCs w:val="19"/>
        </w:rPr>
      </w:pPr>
      <w:r>
        <w:rPr>
          <w:rFonts w:ascii="宋体" w:hAnsi="宋体" w:eastAsia="宋体" w:cs="宋体"/>
          <w:spacing w:val="18"/>
          <w:sz w:val="19"/>
          <w:szCs w:val="19"/>
        </w:rPr>
        <w:t>需要和社会整体利益角度出发</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组织开展多样化的 </w:t>
      </w:r>
      <w:r>
        <w:rPr>
          <w:rFonts w:ascii="宋体" w:hAnsi="宋体" w:eastAsia="宋体" w:cs="宋体"/>
          <w:spacing w:val="9"/>
          <w:sz w:val="19"/>
          <w:szCs w:val="19"/>
        </w:rPr>
        <w:t>质量保障活动</w:t>
      </w:r>
      <w:r>
        <w:rPr>
          <w:rFonts w:ascii="微软雅黑" w:hAnsi="微软雅黑" w:eastAsia="微软雅黑" w:cs="微软雅黑"/>
          <w:spacing w:val="9"/>
          <w:sz w:val="19"/>
          <w:szCs w:val="19"/>
        </w:rPr>
        <w:t>，</w:t>
      </w:r>
      <w:r>
        <w:rPr>
          <w:rFonts w:ascii="宋体" w:hAnsi="宋体" w:eastAsia="宋体" w:cs="宋体"/>
          <w:spacing w:val="9"/>
          <w:sz w:val="19"/>
          <w:szCs w:val="19"/>
        </w:rPr>
        <w:t>利用政策法规和资源配置杠杆</w:t>
      </w:r>
      <w:r>
        <w:rPr>
          <w:rFonts w:ascii="微软雅黑" w:hAnsi="微软雅黑" w:eastAsia="微软雅黑" w:cs="微软雅黑"/>
          <w:spacing w:val="9"/>
          <w:sz w:val="19"/>
          <w:szCs w:val="19"/>
        </w:rPr>
        <w:t>，</w:t>
      </w:r>
      <w:r>
        <w:rPr>
          <w:rFonts w:ascii="宋体" w:hAnsi="宋体" w:eastAsia="宋体" w:cs="宋体"/>
          <w:spacing w:val="9"/>
          <w:sz w:val="19"/>
          <w:szCs w:val="19"/>
        </w:rPr>
        <w:t>引导 高校增强质量意识</w:t>
      </w:r>
      <w:r>
        <w:rPr>
          <w:rFonts w:ascii="微软雅黑" w:hAnsi="微软雅黑" w:eastAsia="微软雅黑" w:cs="微软雅黑"/>
          <w:spacing w:val="9"/>
          <w:sz w:val="19"/>
          <w:szCs w:val="19"/>
        </w:rPr>
        <w:t>，</w:t>
      </w:r>
      <w:r>
        <w:rPr>
          <w:rFonts w:ascii="宋体" w:hAnsi="宋体" w:eastAsia="宋体" w:cs="宋体"/>
          <w:spacing w:val="9"/>
          <w:sz w:val="19"/>
          <w:szCs w:val="19"/>
        </w:rPr>
        <w:t>校正办学定位</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为国家和社会培 </w:t>
      </w:r>
      <w:r>
        <w:rPr>
          <w:rFonts w:ascii="宋体" w:hAnsi="宋体" w:eastAsia="宋体" w:cs="宋体"/>
          <w:spacing w:val="16"/>
          <w:sz w:val="19"/>
          <w:szCs w:val="19"/>
        </w:rPr>
        <w:t>养更多高素质人才</w:t>
      </w:r>
      <w:r>
        <w:rPr>
          <w:rFonts w:ascii="宋体" w:hAnsi="宋体" w:eastAsia="宋体" w:cs="宋体"/>
          <w:spacing w:val="-50"/>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其他社会组织的质量保障活动 </w:t>
      </w:r>
      <w:r>
        <w:rPr>
          <w:rFonts w:ascii="宋体" w:hAnsi="宋体" w:eastAsia="宋体" w:cs="宋体"/>
          <w:spacing w:val="6"/>
          <w:sz w:val="19"/>
          <w:szCs w:val="19"/>
        </w:rPr>
        <w:t>可以是直接的</w:t>
      </w:r>
      <w:r>
        <w:rPr>
          <w:rFonts w:ascii="微软雅黑" w:hAnsi="微软雅黑" w:eastAsia="微软雅黑" w:cs="微软雅黑"/>
          <w:spacing w:val="6"/>
          <w:sz w:val="19"/>
          <w:szCs w:val="19"/>
        </w:rPr>
        <w:t>，</w:t>
      </w:r>
      <w:r>
        <w:rPr>
          <w:rFonts w:ascii="宋体" w:hAnsi="宋体" w:eastAsia="宋体" w:cs="宋体"/>
          <w:spacing w:val="6"/>
          <w:sz w:val="19"/>
          <w:szCs w:val="19"/>
        </w:rPr>
        <w:t>也可以是间接的</w:t>
      </w:r>
      <w:r>
        <w:rPr>
          <w:rFonts w:ascii="宋体" w:hAnsi="宋体" w:eastAsia="宋体" w:cs="宋体"/>
          <w:spacing w:val="-49"/>
          <w:sz w:val="19"/>
          <w:szCs w:val="19"/>
        </w:rPr>
        <w:t xml:space="preserve"> </w:t>
      </w:r>
      <w:r>
        <w:rPr>
          <w:rFonts w:ascii="微软雅黑" w:hAnsi="微软雅黑" w:eastAsia="微软雅黑" w:cs="微软雅黑"/>
          <w:spacing w:val="6"/>
          <w:sz w:val="19"/>
          <w:szCs w:val="19"/>
        </w:rPr>
        <w:t>。</w:t>
      </w:r>
      <w:r>
        <w:rPr>
          <w:rFonts w:ascii="微软雅黑" w:hAnsi="微软雅黑" w:eastAsia="微软雅黑" w:cs="微软雅黑"/>
          <w:spacing w:val="-20"/>
          <w:sz w:val="19"/>
          <w:szCs w:val="19"/>
        </w:rPr>
        <w:t xml:space="preserve"> </w:t>
      </w:r>
      <w:r>
        <w:rPr>
          <w:rFonts w:ascii="宋体" w:hAnsi="宋体" w:eastAsia="宋体" w:cs="宋体"/>
          <w:spacing w:val="6"/>
          <w:sz w:val="19"/>
          <w:szCs w:val="19"/>
        </w:rPr>
        <w:t>比如</w:t>
      </w:r>
      <w:r>
        <w:rPr>
          <w:rFonts w:ascii="微软雅黑" w:hAnsi="微软雅黑" w:eastAsia="微软雅黑" w:cs="微软雅黑"/>
          <w:spacing w:val="6"/>
          <w:sz w:val="19"/>
          <w:szCs w:val="19"/>
        </w:rPr>
        <w:t>，</w:t>
      </w:r>
      <w:r>
        <w:rPr>
          <w:rFonts w:ascii="宋体" w:hAnsi="宋体" w:eastAsia="宋体" w:cs="宋体"/>
          <w:spacing w:val="6"/>
          <w:sz w:val="19"/>
          <w:szCs w:val="19"/>
        </w:rPr>
        <w:t>与高校开展</w:t>
      </w:r>
      <w:r>
        <w:rPr>
          <w:rFonts w:ascii="宋体" w:hAnsi="宋体" w:eastAsia="宋体" w:cs="宋体"/>
          <w:sz w:val="19"/>
          <w:szCs w:val="19"/>
        </w:rPr>
        <w:t xml:space="preserve">  </w:t>
      </w:r>
      <w:r>
        <w:rPr>
          <w:rFonts w:ascii="宋体" w:hAnsi="宋体" w:eastAsia="宋体" w:cs="宋体"/>
          <w:spacing w:val="18"/>
          <w:sz w:val="19"/>
          <w:szCs w:val="19"/>
        </w:rPr>
        <w:t>各种形式的合作办学和质量审核与认证</w:t>
      </w:r>
      <w:r>
        <w:rPr>
          <w:rFonts w:ascii="微软雅黑" w:hAnsi="微软雅黑" w:eastAsia="微软雅黑" w:cs="微软雅黑"/>
          <w:spacing w:val="18"/>
          <w:sz w:val="19"/>
          <w:szCs w:val="19"/>
        </w:rPr>
        <w:t>，</w:t>
      </w:r>
      <w:r>
        <w:rPr>
          <w:rFonts w:ascii="宋体" w:hAnsi="宋体" w:eastAsia="宋体" w:cs="宋体"/>
          <w:spacing w:val="18"/>
          <w:sz w:val="19"/>
          <w:szCs w:val="19"/>
        </w:rPr>
        <w:t>将自身的 质量诉求反映到高校办学中去</w:t>
      </w:r>
      <w:r>
        <w:rPr>
          <w:rFonts w:ascii="微软雅黑" w:hAnsi="微软雅黑" w:eastAsia="微软雅黑" w:cs="微软雅黑"/>
          <w:spacing w:val="18"/>
          <w:sz w:val="19"/>
          <w:szCs w:val="19"/>
        </w:rPr>
        <w:t>，</w:t>
      </w:r>
      <w:r>
        <w:rPr>
          <w:rFonts w:ascii="宋体" w:hAnsi="宋体" w:eastAsia="宋体" w:cs="宋体"/>
          <w:spacing w:val="18"/>
          <w:sz w:val="19"/>
          <w:szCs w:val="19"/>
        </w:rPr>
        <w:t>并通过一定的质量 控制机制影响高等教育质量</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这种质量保障就是直 </w:t>
      </w:r>
      <w:r>
        <w:rPr>
          <w:rFonts w:ascii="宋体" w:hAnsi="宋体" w:eastAsia="宋体" w:cs="宋体"/>
          <w:spacing w:val="11"/>
          <w:sz w:val="19"/>
          <w:szCs w:val="19"/>
        </w:rPr>
        <w:t>接的</w:t>
      </w:r>
      <w:r>
        <w:rPr>
          <w:rFonts w:ascii="宋体" w:hAnsi="宋体" w:eastAsia="宋体" w:cs="宋体"/>
          <w:spacing w:val="-50"/>
          <w:sz w:val="19"/>
          <w:szCs w:val="19"/>
        </w:rPr>
        <w:t xml:space="preserve"> </w:t>
      </w:r>
      <w:r>
        <w:rPr>
          <w:rFonts w:ascii="微软雅黑" w:hAnsi="微软雅黑" w:eastAsia="微软雅黑" w:cs="微软雅黑"/>
          <w:spacing w:val="11"/>
          <w:sz w:val="19"/>
          <w:szCs w:val="19"/>
        </w:rPr>
        <w:t>。</w:t>
      </w:r>
      <w:r>
        <w:rPr>
          <w:rFonts w:ascii="宋体" w:hAnsi="宋体" w:eastAsia="宋体" w:cs="宋体"/>
          <w:spacing w:val="11"/>
          <w:sz w:val="19"/>
          <w:szCs w:val="19"/>
        </w:rPr>
        <w:t>它们还可以完全自主地开展各种研究</w:t>
      </w:r>
      <w:r>
        <w:rPr>
          <w:rFonts w:ascii="微软雅黑" w:hAnsi="微软雅黑" w:eastAsia="微软雅黑" w:cs="微软雅黑"/>
          <w:spacing w:val="11"/>
          <w:sz w:val="19"/>
          <w:szCs w:val="19"/>
        </w:rPr>
        <w:t>、</w:t>
      </w:r>
      <w:r>
        <w:rPr>
          <w:rFonts w:ascii="宋体" w:hAnsi="宋体" w:eastAsia="宋体" w:cs="宋体"/>
          <w:spacing w:val="11"/>
          <w:sz w:val="19"/>
          <w:szCs w:val="19"/>
        </w:rPr>
        <w:t>认证</w:t>
      </w:r>
      <w:r>
        <w:rPr>
          <w:rFonts w:ascii="微软雅黑" w:hAnsi="微软雅黑" w:eastAsia="微软雅黑" w:cs="微软雅黑"/>
          <w:spacing w:val="11"/>
          <w:sz w:val="19"/>
          <w:szCs w:val="19"/>
        </w:rPr>
        <w:t>、</w:t>
      </w:r>
      <w:r>
        <w:rPr>
          <w:rFonts w:ascii="微软雅黑" w:hAnsi="微软雅黑" w:eastAsia="微软雅黑" w:cs="微软雅黑"/>
          <w:sz w:val="19"/>
          <w:szCs w:val="19"/>
        </w:rPr>
        <w:t xml:space="preserve"> </w:t>
      </w:r>
      <w:r>
        <w:rPr>
          <w:rFonts w:ascii="宋体" w:hAnsi="宋体" w:eastAsia="宋体" w:cs="宋体"/>
          <w:spacing w:val="9"/>
          <w:sz w:val="19"/>
          <w:szCs w:val="19"/>
        </w:rPr>
        <w:t>排名活动</w:t>
      </w:r>
      <w:r>
        <w:rPr>
          <w:rFonts w:ascii="微软雅黑" w:hAnsi="微软雅黑" w:eastAsia="微软雅黑" w:cs="微软雅黑"/>
          <w:spacing w:val="9"/>
          <w:sz w:val="19"/>
          <w:szCs w:val="19"/>
        </w:rPr>
        <w:t>，</w:t>
      </w:r>
      <w:r>
        <w:rPr>
          <w:rFonts w:ascii="宋体" w:hAnsi="宋体" w:eastAsia="宋体" w:cs="宋体"/>
          <w:spacing w:val="9"/>
          <w:sz w:val="19"/>
          <w:szCs w:val="19"/>
        </w:rPr>
        <w:t>面向社会发布质量研究报告</w:t>
      </w:r>
      <w:r>
        <w:rPr>
          <w:rFonts w:ascii="微软雅黑" w:hAnsi="微软雅黑" w:eastAsia="微软雅黑" w:cs="微软雅黑"/>
          <w:spacing w:val="9"/>
          <w:sz w:val="19"/>
          <w:szCs w:val="19"/>
        </w:rPr>
        <w:t>、</w:t>
      </w:r>
      <w:r>
        <w:rPr>
          <w:rFonts w:ascii="宋体" w:hAnsi="宋体" w:eastAsia="宋体" w:cs="宋体"/>
          <w:spacing w:val="9"/>
          <w:sz w:val="19"/>
          <w:szCs w:val="19"/>
        </w:rPr>
        <w:t>认证结论或 排行榜</w:t>
      </w:r>
      <w:r>
        <w:rPr>
          <w:rFonts w:ascii="微软雅黑" w:hAnsi="微软雅黑" w:eastAsia="微软雅黑" w:cs="微软雅黑"/>
          <w:spacing w:val="9"/>
          <w:sz w:val="19"/>
          <w:szCs w:val="19"/>
        </w:rPr>
        <w:t>，</w:t>
      </w:r>
      <w:r>
        <w:rPr>
          <w:rFonts w:ascii="宋体" w:hAnsi="宋体" w:eastAsia="宋体" w:cs="宋体"/>
          <w:spacing w:val="9"/>
          <w:sz w:val="19"/>
          <w:szCs w:val="19"/>
        </w:rPr>
        <w:t>供社会各界和民众参考</w:t>
      </w:r>
      <w:r>
        <w:rPr>
          <w:rFonts w:ascii="微软雅黑" w:hAnsi="微软雅黑" w:eastAsia="微软雅黑" w:cs="微软雅黑"/>
          <w:spacing w:val="9"/>
          <w:sz w:val="19"/>
          <w:szCs w:val="19"/>
        </w:rPr>
        <w:t>，</w:t>
      </w:r>
      <w:r>
        <w:rPr>
          <w:rFonts w:ascii="宋体" w:hAnsi="宋体" w:eastAsia="宋体" w:cs="宋体"/>
          <w:spacing w:val="9"/>
          <w:sz w:val="19"/>
          <w:szCs w:val="19"/>
        </w:rPr>
        <w:t>高校也可以借鉴这 些活动的结果</w:t>
      </w:r>
      <w:r>
        <w:rPr>
          <w:rFonts w:ascii="微软雅黑" w:hAnsi="微软雅黑" w:eastAsia="微软雅黑" w:cs="微软雅黑"/>
          <w:spacing w:val="9"/>
          <w:sz w:val="19"/>
          <w:szCs w:val="19"/>
        </w:rPr>
        <w:t>，</w:t>
      </w:r>
      <w:r>
        <w:rPr>
          <w:rFonts w:ascii="宋体" w:hAnsi="宋体" w:eastAsia="宋体" w:cs="宋体"/>
          <w:spacing w:val="9"/>
          <w:sz w:val="19"/>
          <w:szCs w:val="19"/>
        </w:rPr>
        <w:t>在自身办学过程中加以运用</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这样的 </w:t>
      </w:r>
      <w:r>
        <w:rPr>
          <w:rFonts w:ascii="宋体" w:hAnsi="宋体" w:eastAsia="宋体" w:cs="宋体"/>
          <w:spacing w:val="19"/>
          <w:sz w:val="19"/>
          <w:szCs w:val="19"/>
        </w:rPr>
        <w:t>质量保障就是间接的</w:t>
      </w:r>
      <w:r>
        <w:rPr>
          <w:rFonts w:ascii="宋体" w:hAnsi="宋体" w:eastAsia="宋体" w:cs="宋体"/>
          <w:spacing w:val="-45"/>
          <w:sz w:val="19"/>
          <w:szCs w:val="19"/>
        </w:rPr>
        <w:t xml:space="preserve"> </w:t>
      </w:r>
      <w:r>
        <w:rPr>
          <w:rFonts w:ascii="微软雅黑" w:hAnsi="微软雅黑" w:eastAsia="微软雅黑" w:cs="微软雅黑"/>
          <w:spacing w:val="19"/>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9"/>
          <w:sz w:val="19"/>
          <w:szCs w:val="19"/>
        </w:rPr>
        <w:t>不管是直接的还是间接的</w:t>
      </w:r>
      <w:r>
        <w:rPr>
          <w:rFonts w:ascii="微软雅黑" w:hAnsi="微软雅黑" w:eastAsia="微软雅黑" w:cs="微软雅黑"/>
          <w:spacing w:val="19"/>
          <w:sz w:val="19"/>
          <w:szCs w:val="19"/>
        </w:rPr>
        <w:t>，</w:t>
      </w:r>
      <w:r>
        <w:rPr>
          <w:rFonts w:ascii="微软雅黑" w:hAnsi="微软雅黑" w:eastAsia="微软雅黑" w:cs="微软雅黑"/>
          <w:sz w:val="19"/>
          <w:szCs w:val="19"/>
        </w:rPr>
        <w:t xml:space="preserve"> </w:t>
      </w:r>
      <w:r>
        <w:rPr>
          <w:rFonts w:ascii="宋体" w:hAnsi="宋体" w:eastAsia="宋体" w:cs="宋体"/>
          <w:spacing w:val="18"/>
          <w:sz w:val="19"/>
          <w:szCs w:val="19"/>
        </w:rPr>
        <w:t>其他社会组织都应秉持客观公正的原则</w:t>
      </w:r>
      <w:r>
        <w:rPr>
          <w:rFonts w:ascii="微软雅黑" w:hAnsi="微软雅黑" w:eastAsia="微软雅黑" w:cs="微软雅黑"/>
          <w:spacing w:val="18"/>
          <w:sz w:val="19"/>
          <w:szCs w:val="19"/>
        </w:rPr>
        <w:t>，</w:t>
      </w:r>
      <w:r>
        <w:rPr>
          <w:rFonts w:ascii="宋体" w:hAnsi="宋体" w:eastAsia="宋体" w:cs="宋体"/>
          <w:spacing w:val="18"/>
          <w:sz w:val="19"/>
          <w:szCs w:val="19"/>
        </w:rPr>
        <w:t xml:space="preserve">从提高高 </w:t>
      </w:r>
      <w:r>
        <w:rPr>
          <w:rFonts w:ascii="宋体" w:hAnsi="宋体" w:eastAsia="宋体" w:cs="宋体"/>
          <w:spacing w:val="13"/>
          <w:sz w:val="19"/>
          <w:szCs w:val="19"/>
        </w:rPr>
        <w:t>等教育的社会适应性出发</w:t>
      </w:r>
      <w:r>
        <w:rPr>
          <w:rFonts w:ascii="微软雅黑" w:hAnsi="微软雅黑" w:eastAsia="微软雅黑" w:cs="微软雅黑"/>
          <w:spacing w:val="13"/>
          <w:sz w:val="19"/>
          <w:szCs w:val="19"/>
        </w:rPr>
        <w:t>，</w:t>
      </w:r>
      <w:r>
        <w:rPr>
          <w:rFonts w:ascii="宋体" w:hAnsi="宋体" w:eastAsia="宋体" w:cs="宋体"/>
          <w:spacing w:val="13"/>
          <w:sz w:val="19"/>
          <w:szCs w:val="19"/>
        </w:rPr>
        <w:t>开展各种质量保障活动</w:t>
      </w:r>
      <w:r>
        <w:rPr>
          <w:rFonts w:ascii="微软雅黑" w:hAnsi="微软雅黑" w:eastAsia="微软雅黑" w:cs="微软雅黑"/>
          <w:spacing w:val="13"/>
          <w:sz w:val="19"/>
          <w:szCs w:val="19"/>
        </w:rPr>
        <w:t>，</w:t>
      </w:r>
      <w:r>
        <w:rPr>
          <w:rFonts w:ascii="微软雅黑" w:hAnsi="微软雅黑" w:eastAsia="微软雅黑" w:cs="微软雅黑"/>
          <w:sz w:val="19"/>
          <w:szCs w:val="19"/>
        </w:rPr>
        <w:t xml:space="preserve"> </w:t>
      </w:r>
      <w:r>
        <w:rPr>
          <w:rFonts w:ascii="宋体" w:hAnsi="宋体" w:eastAsia="宋体" w:cs="宋体"/>
          <w:spacing w:val="19"/>
          <w:sz w:val="19"/>
          <w:szCs w:val="19"/>
        </w:rPr>
        <w:t>对高等教育发展发挥积极的促进作用</w:t>
      </w:r>
      <w:r>
        <w:rPr>
          <w:rFonts w:ascii="微软雅黑" w:hAnsi="微软雅黑" w:eastAsia="微软雅黑" w:cs="微软雅黑"/>
          <w:spacing w:val="19"/>
          <w:sz w:val="19"/>
          <w:szCs w:val="19"/>
        </w:rPr>
        <w:t>。</w:t>
      </w:r>
    </w:p>
    <w:p>
      <w:pPr>
        <w:spacing w:before="62" w:line="192" w:lineRule="auto"/>
        <w:ind w:left="1152"/>
        <w:rPr>
          <w:rFonts w:ascii="黑体" w:hAnsi="黑体" w:eastAsia="黑体" w:cs="黑体"/>
          <w:sz w:val="19"/>
          <w:szCs w:val="19"/>
        </w:rPr>
      </w:pPr>
      <w:r>
        <w:rPr>
          <w:rFonts w:ascii="微软雅黑" w:hAnsi="微软雅黑" w:eastAsia="微软雅黑" w:cs="微软雅黑"/>
          <w:spacing w:val="12"/>
          <w:position w:val="-1"/>
          <w:sz w:val="19"/>
          <w:szCs w:val="19"/>
        </w:rPr>
        <w:t>4</w:t>
      </w:r>
      <w:r>
        <w:rPr>
          <w:rFonts w:ascii="微软雅黑" w:hAnsi="微软雅黑" w:eastAsia="微软雅黑" w:cs="微软雅黑"/>
          <w:spacing w:val="-23"/>
          <w:position w:val="-1"/>
          <w:sz w:val="19"/>
          <w:szCs w:val="19"/>
        </w:rPr>
        <w:t xml:space="preserve"> </w:t>
      </w:r>
      <w:r>
        <w:rPr>
          <w:rFonts w:ascii="微软雅黑" w:hAnsi="微软雅黑" w:eastAsia="微软雅黑" w:cs="微软雅黑"/>
          <w:spacing w:val="12"/>
          <w:position w:val="-1"/>
          <w:sz w:val="19"/>
          <w:szCs w:val="19"/>
        </w:rPr>
        <w:t>.</w:t>
      </w:r>
      <w:r>
        <w:rPr>
          <w:rFonts w:ascii="微软雅黑" w:hAnsi="微软雅黑" w:eastAsia="微软雅黑" w:cs="微软雅黑"/>
          <w:spacing w:val="-19"/>
          <w:position w:val="-1"/>
          <w:sz w:val="19"/>
          <w:szCs w:val="19"/>
        </w:rPr>
        <w:t xml:space="preserve"> </w:t>
      </w:r>
      <w:r>
        <w:rPr>
          <w:rFonts w:ascii="黑体" w:hAnsi="黑体" w:eastAsia="黑体" w:cs="黑体"/>
          <w:spacing w:val="12"/>
          <w:sz w:val="19"/>
          <w:szCs w:val="19"/>
        </w:rPr>
        <w:t>建构高质量发展的高等教育体系</w:t>
      </w:r>
    </w:p>
    <w:p>
      <w:pPr>
        <w:spacing w:before="52" w:line="233" w:lineRule="auto"/>
        <w:ind w:left="733" w:right="337" w:firstLine="420"/>
        <w:rPr>
          <w:rFonts w:ascii="微软雅黑" w:hAnsi="微软雅黑" w:eastAsia="微软雅黑" w:cs="微软雅黑"/>
          <w:sz w:val="19"/>
          <w:szCs w:val="19"/>
        </w:rPr>
      </w:pPr>
      <w:r>
        <w:rPr>
          <w:rFonts w:ascii="宋体" w:hAnsi="宋体" w:eastAsia="宋体" w:cs="宋体"/>
          <w:spacing w:val="18"/>
          <w:sz w:val="19"/>
          <w:szCs w:val="19"/>
        </w:rPr>
        <w:t>质量文化建设不是平地起高楼</w:t>
      </w:r>
      <w:r>
        <w:rPr>
          <w:rFonts w:ascii="微软雅黑" w:hAnsi="微软雅黑" w:eastAsia="微软雅黑" w:cs="微软雅黑"/>
          <w:spacing w:val="18"/>
          <w:sz w:val="19"/>
          <w:szCs w:val="19"/>
        </w:rPr>
        <w:t>，</w:t>
      </w:r>
      <w:r>
        <w:rPr>
          <w:rFonts w:ascii="宋体" w:hAnsi="宋体" w:eastAsia="宋体" w:cs="宋体"/>
          <w:spacing w:val="18"/>
          <w:sz w:val="19"/>
          <w:szCs w:val="19"/>
        </w:rPr>
        <w:t>而是在现有高</w:t>
      </w:r>
      <w:r>
        <w:rPr>
          <w:rFonts w:ascii="宋体" w:hAnsi="宋体" w:eastAsia="宋体" w:cs="宋体"/>
          <w:spacing w:val="9"/>
          <w:sz w:val="19"/>
          <w:szCs w:val="19"/>
        </w:rPr>
        <w:t xml:space="preserve"> </w:t>
      </w:r>
      <w:r>
        <w:rPr>
          <w:rFonts w:ascii="宋体" w:hAnsi="宋体" w:eastAsia="宋体" w:cs="宋体"/>
          <w:spacing w:val="18"/>
          <w:sz w:val="19"/>
          <w:szCs w:val="19"/>
        </w:rPr>
        <w:t>等教育体系基础上进行的旨在提高发展质量和水平</w:t>
      </w:r>
      <w:r>
        <w:rPr>
          <w:rFonts w:ascii="宋体" w:hAnsi="宋体" w:eastAsia="宋体" w:cs="宋体"/>
          <w:spacing w:val="11"/>
          <w:sz w:val="19"/>
          <w:szCs w:val="19"/>
        </w:rPr>
        <w:t xml:space="preserve"> </w:t>
      </w:r>
      <w:r>
        <w:rPr>
          <w:rFonts w:ascii="宋体" w:hAnsi="宋体" w:eastAsia="宋体" w:cs="宋体"/>
          <w:spacing w:val="16"/>
          <w:sz w:val="19"/>
          <w:szCs w:val="19"/>
        </w:rPr>
        <w:t>的努力</w:t>
      </w:r>
      <w:r>
        <w:rPr>
          <w:rFonts w:ascii="宋体" w:hAnsi="宋体" w:eastAsia="宋体" w:cs="宋体"/>
          <w:spacing w:val="-39"/>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基础不好不牢</w:t>
      </w:r>
      <w:r>
        <w:rPr>
          <w:rFonts w:ascii="微软雅黑" w:hAnsi="微软雅黑" w:eastAsia="微软雅黑" w:cs="微软雅黑"/>
          <w:spacing w:val="16"/>
          <w:sz w:val="19"/>
          <w:szCs w:val="19"/>
        </w:rPr>
        <w:t>，</w:t>
      </w:r>
      <w:r>
        <w:rPr>
          <w:rFonts w:ascii="宋体" w:hAnsi="宋体" w:eastAsia="宋体" w:cs="宋体"/>
          <w:spacing w:val="16"/>
          <w:sz w:val="19"/>
          <w:szCs w:val="19"/>
        </w:rPr>
        <w:t>质量文化建设只能是亡羊</w:t>
      </w:r>
      <w:r>
        <w:rPr>
          <w:rFonts w:ascii="宋体" w:hAnsi="宋体" w:eastAsia="宋体" w:cs="宋体"/>
          <w:sz w:val="19"/>
          <w:szCs w:val="19"/>
        </w:rPr>
        <w:t xml:space="preserve"> </w:t>
      </w:r>
      <w:r>
        <w:rPr>
          <w:rFonts w:ascii="宋体" w:hAnsi="宋体" w:eastAsia="宋体" w:cs="宋体"/>
          <w:spacing w:val="16"/>
          <w:sz w:val="19"/>
          <w:szCs w:val="19"/>
        </w:rPr>
        <w:t>补牢</w:t>
      </w:r>
      <w:r>
        <w:rPr>
          <w:rFonts w:ascii="微软雅黑" w:hAnsi="微软雅黑" w:eastAsia="微软雅黑" w:cs="微软雅黑"/>
          <w:spacing w:val="16"/>
          <w:sz w:val="19"/>
          <w:szCs w:val="19"/>
        </w:rPr>
        <w:t>，</w:t>
      </w:r>
      <w:r>
        <w:rPr>
          <w:rFonts w:ascii="宋体" w:hAnsi="宋体" w:eastAsia="宋体" w:cs="宋体"/>
          <w:spacing w:val="16"/>
          <w:sz w:val="19"/>
          <w:szCs w:val="19"/>
        </w:rPr>
        <w:t>作用有限</w:t>
      </w:r>
      <w:r>
        <w:rPr>
          <w:rFonts w:ascii="宋体" w:hAnsi="宋体" w:eastAsia="宋体" w:cs="宋体"/>
          <w:spacing w:val="-38"/>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保证和提高高等教育质量的根本</w:t>
      </w:r>
      <w:r>
        <w:rPr>
          <w:rFonts w:ascii="宋体" w:hAnsi="宋体" w:eastAsia="宋体" w:cs="宋体"/>
          <w:sz w:val="19"/>
          <w:szCs w:val="19"/>
        </w:rPr>
        <w:t xml:space="preserve"> </w:t>
      </w:r>
      <w:r>
        <w:rPr>
          <w:rFonts w:ascii="宋体" w:hAnsi="宋体" w:eastAsia="宋体" w:cs="宋体"/>
          <w:spacing w:val="9"/>
          <w:sz w:val="19"/>
          <w:szCs w:val="19"/>
        </w:rPr>
        <w:t>在于建设高质量发展的高等教育体系</w:t>
      </w:r>
      <w:r>
        <w:rPr>
          <w:rFonts w:ascii="微软雅黑" w:hAnsi="微软雅黑" w:eastAsia="微软雅黑" w:cs="微软雅黑"/>
          <w:spacing w:val="9"/>
          <w:sz w:val="19"/>
          <w:szCs w:val="19"/>
        </w:rPr>
        <w:t>，</w:t>
      </w:r>
      <w:r>
        <w:rPr>
          <w:rFonts w:ascii="宋体" w:hAnsi="宋体" w:eastAsia="宋体" w:cs="宋体"/>
          <w:spacing w:val="9"/>
          <w:sz w:val="19"/>
          <w:szCs w:val="19"/>
        </w:rPr>
        <w:t>基础好了</w:t>
      </w:r>
      <w:r>
        <w:rPr>
          <w:rFonts w:ascii="微软雅黑" w:hAnsi="微软雅黑" w:eastAsia="微软雅黑" w:cs="微软雅黑"/>
          <w:spacing w:val="9"/>
          <w:sz w:val="19"/>
          <w:szCs w:val="19"/>
        </w:rPr>
        <w:t>，</w:t>
      </w:r>
      <w:r>
        <w:rPr>
          <w:rFonts w:ascii="宋体" w:hAnsi="宋体" w:eastAsia="宋体" w:cs="宋体"/>
          <w:spacing w:val="9"/>
          <w:sz w:val="19"/>
          <w:szCs w:val="19"/>
        </w:rPr>
        <w:t>就</w:t>
      </w:r>
      <w:r>
        <w:rPr>
          <w:rFonts w:ascii="宋体" w:hAnsi="宋体" w:eastAsia="宋体" w:cs="宋体"/>
          <w:spacing w:val="13"/>
          <w:sz w:val="19"/>
          <w:szCs w:val="19"/>
        </w:rPr>
        <w:t xml:space="preserve"> </w:t>
      </w:r>
      <w:r>
        <w:rPr>
          <w:rFonts w:ascii="宋体" w:hAnsi="宋体" w:eastAsia="宋体" w:cs="宋体"/>
          <w:spacing w:val="18"/>
          <w:sz w:val="19"/>
          <w:szCs w:val="19"/>
        </w:rPr>
        <w:t>可以在更高层面上开展质量文化建设</w:t>
      </w:r>
      <w:r>
        <w:rPr>
          <w:rFonts w:ascii="微软雅黑" w:hAnsi="微软雅黑" w:eastAsia="微软雅黑" w:cs="微软雅黑"/>
          <w:spacing w:val="18"/>
          <w:sz w:val="19"/>
          <w:szCs w:val="19"/>
        </w:rPr>
        <w:t>，</w:t>
      </w:r>
      <w:r>
        <w:rPr>
          <w:rFonts w:ascii="宋体" w:hAnsi="宋体" w:eastAsia="宋体" w:cs="宋体"/>
          <w:spacing w:val="18"/>
          <w:sz w:val="19"/>
          <w:szCs w:val="19"/>
        </w:rPr>
        <w:t>争取更好的</w:t>
      </w:r>
      <w:r>
        <w:rPr>
          <w:rFonts w:ascii="宋体" w:hAnsi="宋体" w:eastAsia="宋体" w:cs="宋体"/>
          <w:spacing w:val="13"/>
          <w:sz w:val="19"/>
          <w:szCs w:val="19"/>
        </w:rPr>
        <w:t xml:space="preserve"> </w:t>
      </w:r>
      <w:r>
        <w:rPr>
          <w:rFonts w:ascii="宋体" w:hAnsi="宋体" w:eastAsia="宋体" w:cs="宋体"/>
          <w:spacing w:val="17"/>
          <w:sz w:val="19"/>
          <w:szCs w:val="19"/>
        </w:rPr>
        <w:t>建设成效</w:t>
      </w:r>
      <w:r>
        <w:rPr>
          <w:rFonts w:ascii="微软雅黑" w:hAnsi="微软雅黑" w:eastAsia="微软雅黑" w:cs="微软雅黑"/>
          <w:spacing w:val="17"/>
          <w:sz w:val="19"/>
          <w:szCs w:val="19"/>
        </w:rPr>
        <w:t>。</w:t>
      </w:r>
    </w:p>
    <w:p>
      <w:pPr>
        <w:spacing w:before="64" w:line="227" w:lineRule="auto"/>
        <w:ind w:left="732" w:right="267" w:firstLine="423"/>
        <w:rPr>
          <w:rFonts w:ascii="微软雅黑" w:hAnsi="微软雅黑" w:eastAsia="微软雅黑" w:cs="微软雅黑"/>
          <w:sz w:val="19"/>
          <w:szCs w:val="19"/>
        </w:rPr>
      </w:pPr>
      <w:r>
        <w:rPr>
          <w:rFonts w:ascii="宋体" w:hAnsi="宋体" w:eastAsia="宋体" w:cs="宋体"/>
          <w:spacing w:val="17"/>
          <w:sz w:val="19"/>
          <w:szCs w:val="19"/>
        </w:rPr>
        <w:t>高等教育本身是一种文化活动</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长时期的沉淀 </w:t>
      </w:r>
      <w:r>
        <w:rPr>
          <w:rFonts w:ascii="宋体" w:hAnsi="宋体" w:eastAsia="宋体" w:cs="宋体"/>
          <w:spacing w:val="14"/>
          <w:sz w:val="19"/>
          <w:szCs w:val="19"/>
        </w:rPr>
        <w:t>和积累是高等教育高质量办学的必要条件</w:t>
      </w:r>
      <w:r>
        <w:rPr>
          <w:rFonts w:ascii="宋体" w:hAnsi="宋体" w:eastAsia="宋体" w:cs="宋体"/>
          <w:spacing w:val="-34"/>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33"/>
          <w:sz w:val="19"/>
          <w:szCs w:val="19"/>
        </w:rPr>
        <w:t xml:space="preserve"> </w:t>
      </w:r>
      <w:r>
        <w:rPr>
          <w:rFonts w:ascii="宋体" w:hAnsi="宋体" w:eastAsia="宋体" w:cs="宋体"/>
          <w:spacing w:val="14"/>
          <w:sz w:val="19"/>
          <w:szCs w:val="19"/>
        </w:rPr>
        <w:t xml:space="preserve">只要经 </w:t>
      </w:r>
      <w:r>
        <w:rPr>
          <w:rFonts w:ascii="宋体" w:hAnsi="宋体" w:eastAsia="宋体" w:cs="宋体"/>
          <w:spacing w:val="9"/>
          <w:sz w:val="19"/>
          <w:szCs w:val="19"/>
        </w:rPr>
        <w:t>费条件有保证</w:t>
      </w:r>
      <w:r>
        <w:rPr>
          <w:rFonts w:ascii="微软雅黑" w:hAnsi="微软雅黑" w:eastAsia="微软雅黑" w:cs="微软雅黑"/>
          <w:spacing w:val="9"/>
          <w:sz w:val="19"/>
          <w:szCs w:val="19"/>
        </w:rPr>
        <w:t>，</w:t>
      </w:r>
      <w:r>
        <w:rPr>
          <w:rFonts w:ascii="宋体" w:hAnsi="宋体" w:eastAsia="宋体" w:cs="宋体"/>
          <w:spacing w:val="9"/>
          <w:sz w:val="19"/>
          <w:szCs w:val="19"/>
        </w:rPr>
        <w:t>科研人员水平高</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科研工作就可以在 </w:t>
      </w:r>
      <w:r>
        <w:rPr>
          <w:rFonts w:ascii="宋体" w:hAnsi="宋体" w:eastAsia="宋体" w:cs="宋体"/>
          <w:spacing w:val="4"/>
          <w:sz w:val="19"/>
          <w:szCs w:val="19"/>
        </w:rPr>
        <w:t>短时间内取得突破</w:t>
      </w:r>
      <w:r>
        <w:rPr>
          <w:rFonts w:ascii="微软雅黑" w:hAnsi="微软雅黑" w:eastAsia="微软雅黑" w:cs="微软雅黑"/>
          <w:spacing w:val="4"/>
          <w:sz w:val="19"/>
          <w:szCs w:val="19"/>
        </w:rPr>
        <w:t>，</w:t>
      </w:r>
      <w:r>
        <w:rPr>
          <w:rFonts w:ascii="宋体" w:hAnsi="宋体" w:eastAsia="宋体" w:cs="宋体"/>
          <w:spacing w:val="4"/>
          <w:sz w:val="19"/>
          <w:szCs w:val="19"/>
        </w:rPr>
        <w:t>但高等教育却是一个</w:t>
      </w:r>
      <w:r>
        <w:rPr>
          <w:rFonts w:ascii="微软雅黑" w:hAnsi="微软雅黑" w:eastAsia="微软雅黑" w:cs="微软雅黑"/>
          <w:spacing w:val="4"/>
          <w:sz w:val="19"/>
          <w:szCs w:val="19"/>
        </w:rPr>
        <w:t>“</w:t>
      </w:r>
      <w:r>
        <w:rPr>
          <w:rFonts w:ascii="宋体" w:hAnsi="宋体" w:eastAsia="宋体" w:cs="宋体"/>
          <w:spacing w:val="4"/>
          <w:sz w:val="19"/>
          <w:szCs w:val="19"/>
        </w:rPr>
        <w:t>慢工活</w:t>
      </w:r>
      <w:r>
        <w:rPr>
          <w:rFonts w:ascii="微软雅黑" w:hAnsi="微软雅黑" w:eastAsia="微软雅黑" w:cs="微软雅黑"/>
          <w:spacing w:val="4"/>
          <w:sz w:val="19"/>
          <w:szCs w:val="19"/>
        </w:rPr>
        <w:t>”，</w:t>
      </w:r>
      <w:r>
        <w:rPr>
          <w:rFonts w:ascii="微软雅黑" w:hAnsi="微软雅黑" w:eastAsia="微软雅黑" w:cs="微软雅黑"/>
          <w:spacing w:val="5"/>
          <w:sz w:val="19"/>
          <w:szCs w:val="19"/>
        </w:rPr>
        <w:t xml:space="preserve"> </w:t>
      </w:r>
      <w:r>
        <w:rPr>
          <w:rFonts w:ascii="宋体" w:hAnsi="宋体" w:eastAsia="宋体" w:cs="宋体"/>
          <w:spacing w:val="14"/>
          <w:sz w:val="19"/>
          <w:szCs w:val="19"/>
        </w:rPr>
        <w:t>积累不足就会基础不牢</w:t>
      </w:r>
      <w:r>
        <w:rPr>
          <w:rFonts w:ascii="微软雅黑" w:hAnsi="微软雅黑" w:eastAsia="微软雅黑" w:cs="微软雅黑"/>
          <w:spacing w:val="14"/>
          <w:sz w:val="19"/>
          <w:szCs w:val="19"/>
        </w:rPr>
        <w:t>，</w:t>
      </w:r>
      <w:r>
        <w:rPr>
          <w:rFonts w:ascii="宋体" w:hAnsi="宋体" w:eastAsia="宋体" w:cs="宋体"/>
          <w:spacing w:val="14"/>
          <w:sz w:val="19"/>
          <w:szCs w:val="19"/>
        </w:rPr>
        <w:t>质量难有保障</w:t>
      </w:r>
      <w:r>
        <w:rPr>
          <w:rFonts w:ascii="宋体" w:hAnsi="宋体" w:eastAsia="宋体" w:cs="宋体"/>
          <w:spacing w:val="-34"/>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33"/>
          <w:sz w:val="19"/>
          <w:szCs w:val="19"/>
        </w:rPr>
        <w:t xml:space="preserve"> </w:t>
      </w:r>
      <w:r>
        <w:rPr>
          <w:rFonts w:ascii="宋体" w:hAnsi="宋体" w:eastAsia="宋体" w:cs="宋体"/>
          <w:spacing w:val="14"/>
          <w:sz w:val="19"/>
          <w:szCs w:val="19"/>
        </w:rPr>
        <w:t xml:space="preserve">我国大多 </w:t>
      </w:r>
      <w:r>
        <w:rPr>
          <w:rFonts w:ascii="宋体" w:hAnsi="宋体" w:eastAsia="宋体" w:cs="宋体"/>
          <w:spacing w:val="9"/>
          <w:sz w:val="19"/>
          <w:szCs w:val="19"/>
        </w:rPr>
        <w:t>数高校办学历史不长</w:t>
      </w:r>
      <w:r>
        <w:rPr>
          <w:rFonts w:ascii="微软雅黑" w:hAnsi="微软雅黑" w:eastAsia="微软雅黑" w:cs="微软雅黑"/>
          <w:spacing w:val="9"/>
          <w:sz w:val="19"/>
          <w:szCs w:val="19"/>
        </w:rPr>
        <w:t>，</w:t>
      </w:r>
      <w:r>
        <w:rPr>
          <w:rFonts w:ascii="宋体" w:hAnsi="宋体" w:eastAsia="宋体" w:cs="宋体"/>
          <w:spacing w:val="9"/>
          <w:sz w:val="19"/>
          <w:szCs w:val="19"/>
        </w:rPr>
        <w:t>加之办学之初因陋就简</w:t>
      </w:r>
      <w:r>
        <w:rPr>
          <w:rFonts w:ascii="微软雅黑" w:hAnsi="微软雅黑" w:eastAsia="微软雅黑" w:cs="微软雅黑"/>
          <w:spacing w:val="9"/>
          <w:sz w:val="19"/>
          <w:szCs w:val="19"/>
        </w:rPr>
        <w:t>，</w:t>
      </w:r>
      <w:r>
        <w:rPr>
          <w:rFonts w:ascii="宋体" w:hAnsi="宋体" w:eastAsia="宋体" w:cs="宋体"/>
          <w:spacing w:val="9"/>
          <w:sz w:val="19"/>
          <w:szCs w:val="19"/>
        </w:rPr>
        <w:t>缺乏 周密系统的规划设计</w:t>
      </w:r>
      <w:r>
        <w:rPr>
          <w:rFonts w:ascii="微软雅黑" w:hAnsi="微软雅黑" w:eastAsia="微软雅黑" w:cs="微软雅黑"/>
          <w:spacing w:val="9"/>
          <w:sz w:val="19"/>
          <w:szCs w:val="19"/>
        </w:rPr>
        <w:t>，</w:t>
      </w:r>
      <w:r>
        <w:rPr>
          <w:rFonts w:ascii="宋体" w:hAnsi="宋体" w:eastAsia="宋体" w:cs="宋体"/>
          <w:spacing w:val="9"/>
          <w:sz w:val="19"/>
          <w:szCs w:val="19"/>
        </w:rPr>
        <w:t>投入和资源保障有限</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高等教 </w:t>
      </w:r>
      <w:r>
        <w:rPr>
          <w:rFonts w:ascii="宋体" w:hAnsi="宋体" w:eastAsia="宋体" w:cs="宋体"/>
          <w:spacing w:val="14"/>
          <w:sz w:val="19"/>
          <w:szCs w:val="19"/>
        </w:rPr>
        <w:t>育文化积累不足</w:t>
      </w:r>
      <w:r>
        <w:rPr>
          <w:rFonts w:ascii="宋体" w:hAnsi="宋体" w:eastAsia="宋体" w:cs="宋体"/>
          <w:spacing w:val="-48"/>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19"/>
          <w:sz w:val="19"/>
          <w:szCs w:val="19"/>
        </w:rPr>
        <w:t xml:space="preserve"> </w:t>
      </w:r>
      <w:r>
        <w:rPr>
          <w:rFonts w:ascii="宋体" w:hAnsi="宋体" w:eastAsia="宋体" w:cs="宋体"/>
          <w:spacing w:val="14"/>
          <w:sz w:val="19"/>
          <w:szCs w:val="19"/>
        </w:rPr>
        <w:t>因此</w:t>
      </w:r>
      <w:r>
        <w:rPr>
          <w:rFonts w:ascii="微软雅黑" w:hAnsi="微软雅黑" w:eastAsia="微软雅黑" w:cs="微软雅黑"/>
          <w:spacing w:val="14"/>
          <w:sz w:val="19"/>
          <w:szCs w:val="19"/>
        </w:rPr>
        <w:t>，</w:t>
      </w:r>
      <w:r>
        <w:rPr>
          <w:rFonts w:ascii="宋体" w:hAnsi="宋体" w:eastAsia="宋体" w:cs="宋体"/>
          <w:spacing w:val="14"/>
          <w:sz w:val="19"/>
          <w:szCs w:val="19"/>
        </w:rPr>
        <w:t xml:space="preserve">在加强质量文化建设的同 </w:t>
      </w:r>
      <w:r>
        <w:rPr>
          <w:rFonts w:ascii="宋体" w:hAnsi="宋体" w:eastAsia="宋体" w:cs="宋体"/>
          <w:spacing w:val="9"/>
          <w:sz w:val="19"/>
          <w:szCs w:val="19"/>
        </w:rPr>
        <w:t>时</w:t>
      </w:r>
      <w:r>
        <w:rPr>
          <w:rFonts w:ascii="微软雅黑" w:hAnsi="微软雅黑" w:eastAsia="微软雅黑" w:cs="微软雅黑"/>
          <w:spacing w:val="9"/>
          <w:sz w:val="19"/>
          <w:szCs w:val="19"/>
        </w:rPr>
        <w:t>，</w:t>
      </w:r>
      <w:r>
        <w:rPr>
          <w:rFonts w:ascii="宋体" w:hAnsi="宋体" w:eastAsia="宋体" w:cs="宋体"/>
          <w:spacing w:val="9"/>
          <w:sz w:val="19"/>
          <w:szCs w:val="19"/>
        </w:rPr>
        <w:t>还必须重视高质量发展的高等教育体系建设</w:t>
      </w:r>
      <w:r>
        <w:rPr>
          <w:rFonts w:ascii="微软雅黑" w:hAnsi="微软雅黑" w:eastAsia="微软雅黑" w:cs="微软雅黑"/>
          <w:spacing w:val="9"/>
          <w:sz w:val="19"/>
          <w:szCs w:val="19"/>
        </w:rPr>
        <w:t>，</w:t>
      </w:r>
      <w:r>
        <w:rPr>
          <w:rFonts w:ascii="宋体" w:hAnsi="宋体" w:eastAsia="宋体" w:cs="宋体"/>
          <w:spacing w:val="9"/>
          <w:sz w:val="19"/>
          <w:szCs w:val="19"/>
        </w:rPr>
        <w:t>治 标与治本相结合</w:t>
      </w:r>
      <w:r>
        <w:rPr>
          <w:rFonts w:ascii="微软雅黑" w:hAnsi="微软雅黑" w:eastAsia="微软雅黑" w:cs="微软雅黑"/>
          <w:spacing w:val="9"/>
          <w:sz w:val="19"/>
          <w:szCs w:val="19"/>
        </w:rPr>
        <w:t>，</w:t>
      </w:r>
      <w:r>
        <w:rPr>
          <w:rFonts w:ascii="宋体" w:hAnsi="宋体" w:eastAsia="宋体" w:cs="宋体"/>
          <w:spacing w:val="9"/>
          <w:sz w:val="19"/>
          <w:szCs w:val="19"/>
        </w:rPr>
        <w:t>双管齐下</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开创新时代高等教育发 </w:t>
      </w:r>
      <w:r>
        <w:rPr>
          <w:rFonts w:ascii="宋体" w:hAnsi="宋体" w:eastAsia="宋体" w:cs="宋体"/>
          <w:spacing w:val="18"/>
          <w:sz w:val="19"/>
          <w:szCs w:val="19"/>
        </w:rPr>
        <w:t>展的新格局</w:t>
      </w:r>
      <w:r>
        <w:rPr>
          <w:rFonts w:ascii="微软雅黑" w:hAnsi="微软雅黑" w:eastAsia="微软雅黑" w:cs="微软雅黑"/>
          <w:spacing w:val="18"/>
          <w:sz w:val="19"/>
          <w:szCs w:val="19"/>
        </w:rPr>
        <w:t>。</w:t>
      </w:r>
    </w:p>
    <w:p>
      <w:pPr>
        <w:spacing w:before="62" w:line="201" w:lineRule="auto"/>
        <w:ind w:left="734" w:right="263" w:firstLine="417"/>
        <w:rPr>
          <w:rFonts w:ascii="微软雅黑" w:hAnsi="微软雅黑" w:eastAsia="微软雅黑" w:cs="微软雅黑"/>
          <w:sz w:val="19"/>
          <w:szCs w:val="19"/>
        </w:rPr>
      </w:pPr>
      <w:r>
        <w:rPr>
          <w:rFonts w:ascii="宋体" w:hAnsi="宋体" w:eastAsia="宋体" w:cs="宋体"/>
          <w:spacing w:val="17"/>
          <w:sz w:val="19"/>
          <w:szCs w:val="19"/>
        </w:rPr>
        <w:t>建设高质量发展的高等教育体系</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必须贯彻新 </w:t>
      </w:r>
      <w:r>
        <w:rPr>
          <w:rFonts w:ascii="宋体" w:hAnsi="宋体" w:eastAsia="宋体" w:cs="宋体"/>
          <w:spacing w:val="12"/>
          <w:sz w:val="19"/>
          <w:szCs w:val="19"/>
        </w:rPr>
        <w:t>发展理念</w:t>
      </w:r>
      <w:r>
        <w:rPr>
          <w:rFonts w:ascii="微软雅黑" w:hAnsi="微软雅黑" w:eastAsia="微软雅黑" w:cs="微软雅黑"/>
          <w:spacing w:val="12"/>
          <w:sz w:val="19"/>
          <w:szCs w:val="19"/>
        </w:rPr>
        <w:t>，</w:t>
      </w:r>
      <w:r>
        <w:rPr>
          <w:rFonts w:ascii="宋体" w:hAnsi="宋体" w:eastAsia="宋体" w:cs="宋体"/>
          <w:spacing w:val="12"/>
          <w:sz w:val="19"/>
          <w:szCs w:val="19"/>
        </w:rPr>
        <w:t>做到规模与质量统一</w:t>
      </w:r>
      <w:r>
        <w:rPr>
          <w:rFonts w:ascii="微软雅黑" w:hAnsi="微软雅黑" w:eastAsia="微软雅黑" w:cs="微软雅黑"/>
          <w:spacing w:val="12"/>
          <w:sz w:val="19"/>
          <w:szCs w:val="19"/>
        </w:rPr>
        <w:t>、</w:t>
      </w:r>
      <w:r>
        <w:rPr>
          <w:rFonts w:ascii="宋体" w:hAnsi="宋体" w:eastAsia="宋体" w:cs="宋体"/>
          <w:spacing w:val="12"/>
          <w:sz w:val="19"/>
          <w:szCs w:val="19"/>
        </w:rPr>
        <w:t>形式与内涵兼备</w:t>
      </w:r>
      <w:r>
        <w:rPr>
          <w:rFonts w:ascii="微软雅黑" w:hAnsi="微软雅黑" w:eastAsia="微软雅黑" w:cs="微软雅黑"/>
          <w:spacing w:val="12"/>
          <w:sz w:val="19"/>
          <w:szCs w:val="19"/>
        </w:rPr>
        <w:t>，</w:t>
      </w:r>
      <w:r>
        <w:rPr>
          <w:rFonts w:ascii="微软雅黑" w:hAnsi="微软雅黑" w:eastAsia="微软雅黑" w:cs="微软雅黑"/>
          <w:spacing w:val="17"/>
          <w:sz w:val="19"/>
          <w:szCs w:val="19"/>
        </w:rPr>
        <w:t xml:space="preserve"> </w:t>
      </w:r>
      <w:r>
        <w:rPr>
          <w:rFonts w:ascii="宋体" w:hAnsi="宋体" w:eastAsia="宋体" w:cs="宋体"/>
          <w:spacing w:val="19"/>
          <w:sz w:val="19"/>
          <w:szCs w:val="19"/>
        </w:rPr>
        <w:t>发展大规模</w:t>
      </w:r>
      <w:r>
        <w:rPr>
          <w:rFonts w:ascii="微软雅黑" w:hAnsi="微软雅黑" w:eastAsia="微软雅黑" w:cs="微软雅黑"/>
          <w:spacing w:val="19"/>
          <w:sz w:val="19"/>
          <w:szCs w:val="19"/>
        </w:rPr>
        <w:t>、</w:t>
      </w:r>
      <w:r>
        <w:rPr>
          <w:rFonts w:ascii="宋体" w:hAnsi="宋体" w:eastAsia="宋体" w:cs="宋体"/>
          <w:spacing w:val="19"/>
          <w:sz w:val="19"/>
          <w:szCs w:val="19"/>
        </w:rPr>
        <w:t>高质量</w:t>
      </w:r>
      <w:r>
        <w:rPr>
          <w:rFonts w:ascii="宋体" w:hAnsi="宋体" w:eastAsia="宋体" w:cs="宋体"/>
          <w:spacing w:val="-30"/>
          <w:sz w:val="19"/>
          <w:szCs w:val="19"/>
        </w:rPr>
        <w:t xml:space="preserve"> </w:t>
      </w:r>
      <w:r>
        <w:rPr>
          <w:rFonts w:ascii="宋体" w:hAnsi="宋体" w:eastAsia="宋体" w:cs="宋体"/>
          <w:spacing w:val="19"/>
          <w:sz w:val="19"/>
          <w:szCs w:val="19"/>
        </w:rPr>
        <w:t>的大众化和普及化高等教育</w:t>
      </w:r>
      <w:r>
        <w:rPr>
          <w:rFonts w:ascii="微软雅黑" w:hAnsi="微软雅黑" w:eastAsia="微软雅黑" w:cs="微软雅黑"/>
          <w:spacing w:val="19"/>
          <w:sz w:val="19"/>
          <w:szCs w:val="19"/>
        </w:rPr>
        <w:t>。</w:t>
      </w:r>
    </w:p>
    <w:p>
      <w:pPr>
        <w:spacing w:line="14" w:lineRule="auto"/>
        <w:rPr>
          <w:rFonts w:ascii="Arial"/>
          <w:sz w:val="2"/>
        </w:rPr>
      </w:pPr>
      <w:r>
        <w:rPr>
          <w:rFonts w:ascii="Arial" w:hAnsi="Arial" w:eastAsia="Arial" w:cs="Arial"/>
          <w:sz w:val="2"/>
          <w:szCs w:val="2"/>
        </w:rPr>
        <w:br w:type="column"/>
      </w:r>
    </w:p>
    <w:p>
      <w:pPr>
        <w:spacing w:before="33" w:line="232" w:lineRule="auto"/>
        <w:jc w:val="both"/>
        <w:rPr>
          <w:rFonts w:ascii="微软雅黑" w:hAnsi="微软雅黑" w:eastAsia="微软雅黑" w:cs="微软雅黑"/>
          <w:sz w:val="19"/>
          <w:szCs w:val="19"/>
        </w:rPr>
      </w:pPr>
      <w:r>
        <w:rPr>
          <w:rFonts w:ascii="宋体" w:hAnsi="宋体" w:eastAsia="宋体" w:cs="宋体"/>
          <w:spacing w:val="18"/>
          <w:sz w:val="19"/>
          <w:szCs w:val="19"/>
        </w:rPr>
        <w:t>应当进一步调整和拓展高等教育结构</w:t>
      </w:r>
      <w:r>
        <w:rPr>
          <w:rFonts w:ascii="微软雅黑" w:hAnsi="微软雅黑" w:eastAsia="微软雅黑" w:cs="微软雅黑"/>
          <w:spacing w:val="18"/>
          <w:sz w:val="19"/>
          <w:szCs w:val="19"/>
        </w:rPr>
        <w:t>，</w:t>
      </w:r>
      <w:r>
        <w:rPr>
          <w:rFonts w:ascii="宋体" w:hAnsi="宋体" w:eastAsia="宋体" w:cs="宋体"/>
          <w:spacing w:val="18"/>
          <w:sz w:val="19"/>
          <w:szCs w:val="19"/>
        </w:rPr>
        <w:t>优化</w:t>
      </w:r>
      <w:r>
        <w:rPr>
          <w:rFonts w:ascii="宋体" w:hAnsi="宋体" w:eastAsia="宋体" w:cs="宋体"/>
          <w:spacing w:val="17"/>
          <w:sz w:val="19"/>
          <w:szCs w:val="19"/>
        </w:rPr>
        <w:t xml:space="preserve">学科专 </w:t>
      </w:r>
      <w:r>
        <w:rPr>
          <w:rFonts w:ascii="宋体" w:hAnsi="宋体" w:eastAsia="宋体" w:cs="宋体"/>
          <w:spacing w:val="9"/>
          <w:sz w:val="19"/>
          <w:szCs w:val="19"/>
        </w:rPr>
        <w:t>业结构</w:t>
      </w:r>
      <w:r>
        <w:rPr>
          <w:rFonts w:ascii="微软雅黑" w:hAnsi="微软雅黑" w:eastAsia="微软雅黑" w:cs="微软雅黑"/>
          <w:spacing w:val="9"/>
          <w:sz w:val="19"/>
          <w:szCs w:val="19"/>
        </w:rPr>
        <w:t>，</w:t>
      </w:r>
      <w:r>
        <w:rPr>
          <w:rFonts w:ascii="宋体" w:hAnsi="宋体" w:eastAsia="宋体" w:cs="宋体"/>
          <w:spacing w:val="9"/>
          <w:sz w:val="19"/>
          <w:szCs w:val="19"/>
        </w:rPr>
        <w:t>开拓新的布局</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实施与大众化和普及化深度 </w:t>
      </w:r>
      <w:r>
        <w:rPr>
          <w:rFonts w:ascii="宋体" w:hAnsi="宋体" w:eastAsia="宋体" w:cs="宋体"/>
          <w:spacing w:val="18"/>
          <w:sz w:val="19"/>
          <w:szCs w:val="19"/>
        </w:rPr>
        <w:t>推进相适应的区域重点支持政策</w:t>
      </w:r>
      <w:r>
        <w:rPr>
          <w:rFonts w:ascii="微软雅黑" w:hAnsi="微软雅黑" w:eastAsia="微软雅黑" w:cs="微软雅黑"/>
          <w:spacing w:val="18"/>
          <w:sz w:val="19"/>
          <w:szCs w:val="19"/>
        </w:rPr>
        <w:t>，</w:t>
      </w:r>
      <w:r>
        <w:rPr>
          <w:rFonts w:ascii="宋体" w:hAnsi="宋体" w:eastAsia="宋体" w:cs="宋体"/>
          <w:spacing w:val="18"/>
          <w:sz w:val="19"/>
          <w:szCs w:val="19"/>
        </w:rPr>
        <w:t>扩大高等教</w:t>
      </w:r>
      <w:r>
        <w:rPr>
          <w:rFonts w:ascii="宋体" w:hAnsi="宋体" w:eastAsia="宋体" w:cs="宋体"/>
          <w:spacing w:val="17"/>
          <w:sz w:val="19"/>
          <w:szCs w:val="19"/>
        </w:rPr>
        <w:t xml:space="preserve">育容 </w:t>
      </w:r>
      <w:r>
        <w:rPr>
          <w:rFonts w:ascii="宋体" w:hAnsi="宋体" w:eastAsia="宋体" w:cs="宋体"/>
          <w:spacing w:val="13"/>
          <w:sz w:val="19"/>
          <w:szCs w:val="19"/>
        </w:rPr>
        <w:t>量</w:t>
      </w:r>
      <w:r>
        <w:rPr>
          <w:rFonts w:ascii="微软雅黑" w:hAnsi="微软雅黑" w:eastAsia="微软雅黑" w:cs="微软雅黑"/>
          <w:spacing w:val="13"/>
          <w:sz w:val="19"/>
          <w:szCs w:val="19"/>
        </w:rPr>
        <w:t>，</w:t>
      </w:r>
      <w:r>
        <w:rPr>
          <w:rFonts w:ascii="宋体" w:hAnsi="宋体" w:eastAsia="宋体" w:cs="宋体"/>
          <w:spacing w:val="13"/>
          <w:sz w:val="19"/>
          <w:szCs w:val="19"/>
        </w:rPr>
        <w:t>为更多民众接受高质量高等教育开辟新的</w:t>
      </w:r>
      <w:r>
        <w:rPr>
          <w:rFonts w:ascii="宋体" w:hAnsi="宋体" w:eastAsia="宋体" w:cs="宋体"/>
          <w:spacing w:val="12"/>
          <w:sz w:val="19"/>
          <w:szCs w:val="19"/>
        </w:rPr>
        <w:t>空间</w:t>
      </w:r>
      <w:r>
        <w:rPr>
          <w:rFonts w:ascii="微软雅黑" w:hAnsi="微软雅黑" w:eastAsia="微软雅黑" w:cs="微软雅黑"/>
          <w:spacing w:val="12"/>
          <w:sz w:val="19"/>
          <w:szCs w:val="19"/>
        </w:rPr>
        <w:t>。</w:t>
      </w:r>
      <w:r>
        <w:rPr>
          <w:rFonts w:ascii="微软雅黑" w:hAnsi="微软雅黑" w:eastAsia="微软雅黑" w:cs="微软雅黑"/>
          <w:sz w:val="19"/>
          <w:szCs w:val="19"/>
        </w:rPr>
        <w:t xml:space="preserve"> </w:t>
      </w:r>
      <w:r>
        <w:rPr>
          <w:rFonts w:ascii="宋体" w:hAnsi="宋体" w:eastAsia="宋体" w:cs="宋体"/>
          <w:spacing w:val="18"/>
          <w:sz w:val="19"/>
          <w:szCs w:val="19"/>
        </w:rPr>
        <w:t>进一步改革高等教育办学机制</w:t>
      </w:r>
      <w:r>
        <w:rPr>
          <w:rFonts w:ascii="微软雅黑" w:hAnsi="微软雅黑" w:eastAsia="微软雅黑" w:cs="微软雅黑"/>
          <w:spacing w:val="18"/>
          <w:sz w:val="19"/>
          <w:szCs w:val="19"/>
        </w:rPr>
        <w:t>，</w:t>
      </w:r>
      <w:r>
        <w:rPr>
          <w:rFonts w:ascii="宋体" w:hAnsi="宋体" w:eastAsia="宋体" w:cs="宋体"/>
          <w:spacing w:val="18"/>
          <w:sz w:val="19"/>
          <w:szCs w:val="19"/>
        </w:rPr>
        <w:t>为非传统生源</w:t>
      </w:r>
      <w:r>
        <w:rPr>
          <w:rFonts w:ascii="宋体" w:hAnsi="宋体" w:eastAsia="宋体" w:cs="宋体"/>
          <w:spacing w:val="17"/>
          <w:sz w:val="19"/>
          <w:szCs w:val="19"/>
        </w:rPr>
        <w:t xml:space="preserve">工学 </w:t>
      </w:r>
      <w:r>
        <w:rPr>
          <w:rFonts w:ascii="宋体" w:hAnsi="宋体" w:eastAsia="宋体" w:cs="宋体"/>
          <w:spacing w:val="16"/>
          <w:sz w:val="19"/>
          <w:szCs w:val="19"/>
        </w:rPr>
        <w:t>兼顾进入普通高校接受高等教育创造条件</w:t>
      </w:r>
      <w:r>
        <w:rPr>
          <w:rFonts w:ascii="宋体" w:hAnsi="宋体" w:eastAsia="宋体" w:cs="宋体"/>
          <w:spacing w:val="-50"/>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进一</w:t>
      </w:r>
      <w:r>
        <w:rPr>
          <w:rFonts w:ascii="宋体" w:hAnsi="宋体" w:eastAsia="宋体" w:cs="宋体"/>
          <w:spacing w:val="15"/>
          <w:sz w:val="19"/>
          <w:szCs w:val="19"/>
        </w:rPr>
        <w:t xml:space="preserve">步 </w:t>
      </w:r>
      <w:r>
        <w:rPr>
          <w:rFonts w:ascii="宋体" w:hAnsi="宋体" w:eastAsia="宋体" w:cs="宋体"/>
          <w:spacing w:val="9"/>
          <w:sz w:val="19"/>
          <w:szCs w:val="19"/>
        </w:rPr>
        <w:t>提升技术支持能力</w:t>
      </w:r>
      <w:r>
        <w:rPr>
          <w:rFonts w:ascii="微软雅黑" w:hAnsi="微软雅黑" w:eastAsia="微软雅黑" w:cs="微软雅黑"/>
          <w:spacing w:val="9"/>
          <w:sz w:val="19"/>
          <w:szCs w:val="19"/>
        </w:rPr>
        <w:t>，</w:t>
      </w:r>
      <w:r>
        <w:rPr>
          <w:rFonts w:ascii="宋体" w:hAnsi="宋体" w:eastAsia="宋体" w:cs="宋体"/>
          <w:spacing w:val="9"/>
          <w:sz w:val="19"/>
          <w:szCs w:val="19"/>
        </w:rPr>
        <w:t>发展线上高等教育</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支持虚拟大 </w:t>
      </w:r>
      <w:r>
        <w:rPr>
          <w:rFonts w:ascii="宋体" w:hAnsi="宋体" w:eastAsia="宋体" w:cs="宋体"/>
          <w:spacing w:val="16"/>
          <w:sz w:val="19"/>
          <w:szCs w:val="19"/>
        </w:rPr>
        <w:t>学办学</w:t>
      </w:r>
      <w:r>
        <w:rPr>
          <w:rFonts w:ascii="微软雅黑" w:hAnsi="微软雅黑" w:eastAsia="微软雅黑" w:cs="微软雅黑"/>
          <w:spacing w:val="16"/>
          <w:sz w:val="19"/>
          <w:szCs w:val="19"/>
        </w:rPr>
        <w:t>，</w:t>
      </w:r>
      <w:r>
        <w:rPr>
          <w:rFonts w:ascii="宋体" w:hAnsi="宋体" w:eastAsia="宋体" w:cs="宋体"/>
          <w:spacing w:val="16"/>
          <w:sz w:val="19"/>
          <w:szCs w:val="19"/>
        </w:rPr>
        <w:t>发展线上线下相结合的办学体系</w:t>
      </w:r>
      <w:r>
        <w:rPr>
          <w:rFonts w:ascii="宋体" w:hAnsi="宋体" w:eastAsia="宋体" w:cs="宋体"/>
          <w:spacing w:val="-50"/>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进一</w:t>
      </w:r>
      <w:r>
        <w:rPr>
          <w:rFonts w:ascii="宋体" w:hAnsi="宋体" w:eastAsia="宋体" w:cs="宋体"/>
          <w:spacing w:val="15"/>
          <w:sz w:val="19"/>
          <w:szCs w:val="19"/>
        </w:rPr>
        <w:t xml:space="preserve">步 </w:t>
      </w:r>
      <w:r>
        <w:rPr>
          <w:rFonts w:ascii="宋体" w:hAnsi="宋体" w:eastAsia="宋体" w:cs="宋体"/>
          <w:spacing w:val="12"/>
          <w:sz w:val="19"/>
          <w:szCs w:val="19"/>
        </w:rPr>
        <w:t>加强学情研究</w:t>
      </w:r>
      <w:r>
        <w:rPr>
          <w:rFonts w:ascii="微软雅黑" w:hAnsi="微软雅黑" w:eastAsia="微软雅黑" w:cs="微软雅黑"/>
          <w:spacing w:val="12"/>
          <w:sz w:val="19"/>
          <w:szCs w:val="19"/>
        </w:rPr>
        <w:t>，</w:t>
      </w:r>
      <w:r>
        <w:rPr>
          <w:rFonts w:ascii="宋体" w:hAnsi="宋体" w:eastAsia="宋体" w:cs="宋体"/>
          <w:spacing w:val="12"/>
          <w:sz w:val="19"/>
          <w:szCs w:val="19"/>
        </w:rPr>
        <w:t>以学</w:t>
      </w:r>
      <w:r>
        <w:rPr>
          <w:rFonts w:ascii="宋体" w:hAnsi="宋体" w:eastAsia="宋体" w:cs="宋体"/>
          <w:spacing w:val="-50"/>
          <w:sz w:val="19"/>
          <w:szCs w:val="19"/>
        </w:rPr>
        <w:t xml:space="preserve"> </w:t>
      </w:r>
      <w:r>
        <w:rPr>
          <w:rFonts w:ascii="宋体" w:hAnsi="宋体" w:eastAsia="宋体" w:cs="宋体"/>
          <w:spacing w:val="12"/>
          <w:sz w:val="19"/>
          <w:szCs w:val="19"/>
        </w:rPr>
        <w:t>习者</w:t>
      </w:r>
      <w:r>
        <w:rPr>
          <w:rFonts w:ascii="宋体" w:hAnsi="宋体" w:eastAsia="宋体" w:cs="宋体"/>
          <w:spacing w:val="-57"/>
          <w:sz w:val="19"/>
          <w:szCs w:val="19"/>
        </w:rPr>
        <w:t xml:space="preserve"> </w:t>
      </w:r>
      <w:r>
        <w:rPr>
          <w:rFonts w:ascii="宋体" w:hAnsi="宋体" w:eastAsia="宋体" w:cs="宋体"/>
          <w:spacing w:val="12"/>
          <w:sz w:val="19"/>
          <w:szCs w:val="19"/>
        </w:rPr>
        <w:t>为</w:t>
      </w:r>
      <w:r>
        <w:rPr>
          <w:rFonts w:ascii="宋体" w:hAnsi="宋体" w:eastAsia="宋体" w:cs="宋体"/>
          <w:spacing w:val="-43"/>
          <w:sz w:val="19"/>
          <w:szCs w:val="19"/>
        </w:rPr>
        <w:t xml:space="preserve"> </w:t>
      </w:r>
      <w:r>
        <w:rPr>
          <w:rFonts w:ascii="宋体" w:hAnsi="宋体" w:eastAsia="宋体" w:cs="宋体"/>
          <w:spacing w:val="12"/>
          <w:sz w:val="19"/>
          <w:szCs w:val="19"/>
        </w:rPr>
        <w:t>中心</w:t>
      </w:r>
      <w:r>
        <w:rPr>
          <w:rFonts w:ascii="微软雅黑" w:hAnsi="微软雅黑" w:eastAsia="微软雅黑" w:cs="微软雅黑"/>
          <w:spacing w:val="12"/>
          <w:sz w:val="19"/>
          <w:szCs w:val="19"/>
        </w:rPr>
        <w:t>，</w:t>
      </w:r>
      <w:r>
        <w:rPr>
          <w:rFonts w:ascii="宋体" w:hAnsi="宋体" w:eastAsia="宋体" w:cs="宋体"/>
          <w:spacing w:val="12"/>
          <w:sz w:val="19"/>
          <w:szCs w:val="19"/>
        </w:rPr>
        <w:t xml:space="preserve">改革教育教学模 </w:t>
      </w:r>
      <w:r>
        <w:rPr>
          <w:rFonts w:ascii="宋体" w:hAnsi="宋体" w:eastAsia="宋体" w:cs="宋体"/>
          <w:spacing w:val="9"/>
          <w:sz w:val="19"/>
          <w:szCs w:val="19"/>
        </w:rPr>
        <w:t>式</w:t>
      </w:r>
      <w:r>
        <w:rPr>
          <w:rFonts w:ascii="微软雅黑" w:hAnsi="微软雅黑" w:eastAsia="微软雅黑" w:cs="微软雅黑"/>
          <w:spacing w:val="9"/>
          <w:sz w:val="19"/>
          <w:szCs w:val="19"/>
        </w:rPr>
        <w:t>，</w:t>
      </w:r>
      <w:r>
        <w:rPr>
          <w:rFonts w:ascii="宋体" w:hAnsi="宋体" w:eastAsia="宋体" w:cs="宋体"/>
          <w:spacing w:val="9"/>
          <w:sz w:val="19"/>
          <w:szCs w:val="19"/>
        </w:rPr>
        <w:t>优化教育教学内容与方法</w:t>
      </w:r>
      <w:r>
        <w:rPr>
          <w:rFonts w:ascii="微软雅黑" w:hAnsi="微软雅黑" w:eastAsia="微软雅黑" w:cs="微软雅黑"/>
          <w:spacing w:val="9"/>
          <w:sz w:val="19"/>
          <w:szCs w:val="19"/>
        </w:rPr>
        <w:t>，</w:t>
      </w:r>
      <w:r>
        <w:rPr>
          <w:rFonts w:ascii="宋体" w:hAnsi="宋体" w:eastAsia="宋体" w:cs="宋体"/>
          <w:spacing w:val="9"/>
          <w:sz w:val="19"/>
          <w:szCs w:val="19"/>
        </w:rPr>
        <w:t>提高人才培养的针对 性和适切性</w:t>
      </w:r>
      <w:r>
        <w:rPr>
          <w:rFonts w:ascii="微软雅黑" w:hAnsi="微软雅黑" w:eastAsia="微软雅黑" w:cs="微软雅黑"/>
          <w:spacing w:val="9"/>
          <w:sz w:val="19"/>
          <w:szCs w:val="19"/>
        </w:rPr>
        <w:t>，</w:t>
      </w:r>
      <w:r>
        <w:rPr>
          <w:rFonts w:ascii="宋体" w:hAnsi="宋体" w:eastAsia="宋体" w:cs="宋体"/>
          <w:spacing w:val="9"/>
          <w:sz w:val="19"/>
          <w:szCs w:val="19"/>
        </w:rPr>
        <w:t>发展内涵丰富</w:t>
      </w:r>
      <w:r>
        <w:rPr>
          <w:rFonts w:ascii="微软雅黑" w:hAnsi="微软雅黑" w:eastAsia="微软雅黑" w:cs="微软雅黑"/>
          <w:spacing w:val="9"/>
          <w:sz w:val="19"/>
          <w:szCs w:val="19"/>
        </w:rPr>
        <w:t>、</w:t>
      </w:r>
      <w:r>
        <w:rPr>
          <w:rFonts w:ascii="宋体" w:hAnsi="宋体" w:eastAsia="宋体" w:cs="宋体"/>
          <w:spacing w:val="9"/>
          <w:sz w:val="19"/>
          <w:szCs w:val="19"/>
        </w:rPr>
        <w:t>形式多样</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质量优良的 </w:t>
      </w:r>
      <w:r>
        <w:rPr>
          <w:rFonts w:ascii="宋体" w:hAnsi="宋体" w:eastAsia="宋体" w:cs="宋体"/>
          <w:spacing w:val="16"/>
          <w:sz w:val="19"/>
          <w:szCs w:val="19"/>
        </w:rPr>
        <w:t>高等教育</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进一步提高办学资源筹措能力</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改革资 </w:t>
      </w:r>
      <w:r>
        <w:rPr>
          <w:rFonts w:ascii="宋体" w:hAnsi="宋体" w:eastAsia="宋体" w:cs="宋体"/>
          <w:spacing w:val="9"/>
          <w:sz w:val="19"/>
          <w:szCs w:val="19"/>
        </w:rPr>
        <w:t>源配置政策与方法</w:t>
      </w:r>
      <w:r>
        <w:rPr>
          <w:rFonts w:ascii="微软雅黑" w:hAnsi="微软雅黑" w:eastAsia="微软雅黑" w:cs="微软雅黑"/>
          <w:spacing w:val="9"/>
          <w:sz w:val="19"/>
          <w:szCs w:val="19"/>
        </w:rPr>
        <w:t>，</w:t>
      </w:r>
      <w:r>
        <w:rPr>
          <w:rFonts w:ascii="宋体" w:hAnsi="宋体" w:eastAsia="宋体" w:cs="宋体"/>
          <w:spacing w:val="9"/>
          <w:sz w:val="19"/>
          <w:szCs w:val="19"/>
        </w:rPr>
        <w:t>建立健全公共财政</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社会资本和 </w:t>
      </w:r>
      <w:r>
        <w:rPr>
          <w:rFonts w:ascii="宋体" w:hAnsi="宋体" w:eastAsia="宋体" w:cs="宋体"/>
          <w:spacing w:val="18"/>
          <w:sz w:val="19"/>
          <w:szCs w:val="19"/>
        </w:rPr>
        <w:t>私人投入相结合的资源保障机制</w:t>
      </w:r>
      <w:r>
        <w:rPr>
          <w:rFonts w:ascii="微软雅黑" w:hAnsi="微软雅黑" w:eastAsia="微软雅黑" w:cs="微软雅黑"/>
          <w:spacing w:val="18"/>
          <w:sz w:val="19"/>
          <w:szCs w:val="19"/>
        </w:rPr>
        <w:t>，</w:t>
      </w:r>
      <w:r>
        <w:rPr>
          <w:rFonts w:ascii="宋体" w:hAnsi="宋体" w:eastAsia="宋体" w:cs="宋体"/>
          <w:spacing w:val="18"/>
          <w:sz w:val="19"/>
          <w:szCs w:val="19"/>
        </w:rPr>
        <w:t>全面改善高</w:t>
      </w:r>
      <w:r>
        <w:rPr>
          <w:rFonts w:ascii="宋体" w:hAnsi="宋体" w:eastAsia="宋体" w:cs="宋体"/>
          <w:spacing w:val="17"/>
          <w:sz w:val="19"/>
          <w:szCs w:val="19"/>
        </w:rPr>
        <w:t xml:space="preserve">等教 </w:t>
      </w:r>
      <w:r>
        <w:rPr>
          <w:rFonts w:ascii="宋体" w:hAnsi="宋体" w:eastAsia="宋体" w:cs="宋体"/>
          <w:spacing w:val="18"/>
          <w:sz w:val="19"/>
          <w:szCs w:val="19"/>
        </w:rPr>
        <w:t>育办学条件</w:t>
      </w:r>
      <w:r>
        <w:rPr>
          <w:rFonts w:ascii="微软雅黑" w:hAnsi="微软雅黑" w:eastAsia="微软雅黑" w:cs="微软雅黑"/>
          <w:spacing w:val="18"/>
          <w:sz w:val="19"/>
          <w:szCs w:val="19"/>
        </w:rPr>
        <w:t>，</w:t>
      </w:r>
      <w:r>
        <w:rPr>
          <w:rFonts w:ascii="宋体" w:hAnsi="宋体" w:eastAsia="宋体" w:cs="宋体"/>
          <w:spacing w:val="18"/>
          <w:sz w:val="19"/>
          <w:szCs w:val="19"/>
        </w:rPr>
        <w:t>以优越的办学条件和环境支撑高</w:t>
      </w:r>
      <w:r>
        <w:rPr>
          <w:rFonts w:ascii="宋体" w:hAnsi="宋体" w:eastAsia="宋体" w:cs="宋体"/>
          <w:spacing w:val="17"/>
          <w:sz w:val="19"/>
          <w:szCs w:val="19"/>
        </w:rPr>
        <w:t xml:space="preserve">等教 </w:t>
      </w:r>
      <w:r>
        <w:rPr>
          <w:rFonts w:ascii="宋体" w:hAnsi="宋体" w:eastAsia="宋体" w:cs="宋体"/>
          <w:spacing w:val="16"/>
          <w:sz w:val="19"/>
          <w:szCs w:val="19"/>
        </w:rPr>
        <w:t>育高质量发展</w:t>
      </w:r>
      <w:r>
        <w:rPr>
          <w:rFonts w:ascii="宋体" w:hAnsi="宋体" w:eastAsia="宋体" w:cs="宋体"/>
          <w:spacing w:val="-5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进一步开展高等教育文化培育</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以 </w:t>
      </w:r>
      <w:r>
        <w:rPr>
          <w:rFonts w:ascii="宋体" w:hAnsi="宋体" w:eastAsia="宋体" w:cs="宋体"/>
          <w:spacing w:val="18"/>
          <w:sz w:val="19"/>
          <w:szCs w:val="19"/>
        </w:rPr>
        <w:t>新理念新思想指导高等教育文化建设</w:t>
      </w:r>
      <w:r>
        <w:rPr>
          <w:rFonts w:ascii="微软雅黑" w:hAnsi="微软雅黑" w:eastAsia="微软雅黑" w:cs="微软雅黑"/>
          <w:spacing w:val="18"/>
          <w:sz w:val="19"/>
          <w:szCs w:val="19"/>
        </w:rPr>
        <w:t>，</w:t>
      </w:r>
      <w:r>
        <w:rPr>
          <w:rFonts w:ascii="宋体" w:hAnsi="宋体" w:eastAsia="宋体" w:cs="宋体"/>
          <w:spacing w:val="18"/>
          <w:sz w:val="19"/>
          <w:szCs w:val="19"/>
        </w:rPr>
        <w:t>以高校</w:t>
      </w:r>
      <w:r>
        <w:rPr>
          <w:rFonts w:ascii="宋体" w:hAnsi="宋体" w:eastAsia="宋体" w:cs="宋体"/>
          <w:spacing w:val="17"/>
          <w:sz w:val="19"/>
          <w:szCs w:val="19"/>
        </w:rPr>
        <w:t xml:space="preserve">学科 </w:t>
      </w:r>
      <w:r>
        <w:rPr>
          <w:rFonts w:ascii="宋体" w:hAnsi="宋体" w:eastAsia="宋体" w:cs="宋体"/>
          <w:spacing w:val="22"/>
          <w:sz w:val="19"/>
          <w:szCs w:val="19"/>
        </w:rPr>
        <w:t>文化建设和组织文化建设促进高等教育文化培育</w:t>
      </w:r>
      <w:r>
        <w:rPr>
          <w:rFonts w:ascii="微软雅黑" w:hAnsi="微软雅黑" w:eastAsia="微软雅黑" w:cs="微软雅黑"/>
          <w:spacing w:val="22"/>
          <w:sz w:val="19"/>
          <w:szCs w:val="19"/>
        </w:rPr>
        <w:t>，</w:t>
      </w:r>
      <w:r>
        <w:rPr>
          <w:rFonts w:ascii="微软雅黑" w:hAnsi="微软雅黑" w:eastAsia="微软雅黑" w:cs="微软雅黑"/>
          <w:spacing w:val="2"/>
          <w:sz w:val="19"/>
          <w:szCs w:val="19"/>
        </w:rPr>
        <w:t xml:space="preserve"> </w:t>
      </w:r>
      <w:r>
        <w:rPr>
          <w:rFonts w:ascii="宋体" w:hAnsi="宋体" w:eastAsia="宋体" w:cs="宋体"/>
          <w:spacing w:val="25"/>
          <w:sz w:val="19"/>
          <w:szCs w:val="19"/>
        </w:rPr>
        <w:t>打造与大众化和普及化发展相适应</w:t>
      </w:r>
      <w:r>
        <w:rPr>
          <w:rFonts w:ascii="宋体" w:hAnsi="宋体" w:eastAsia="宋体" w:cs="宋体"/>
          <w:spacing w:val="-44"/>
          <w:sz w:val="19"/>
          <w:szCs w:val="19"/>
        </w:rPr>
        <w:t xml:space="preserve"> </w:t>
      </w:r>
      <w:r>
        <w:rPr>
          <w:rFonts w:ascii="宋体" w:hAnsi="宋体" w:eastAsia="宋体" w:cs="宋体"/>
          <w:spacing w:val="25"/>
          <w:sz w:val="19"/>
          <w:szCs w:val="19"/>
        </w:rPr>
        <w:t xml:space="preserve">的高等教育文 </w:t>
      </w:r>
      <w:r>
        <w:rPr>
          <w:rFonts w:ascii="宋体" w:hAnsi="宋体" w:eastAsia="宋体" w:cs="宋体"/>
          <w:spacing w:val="18"/>
          <w:sz w:val="19"/>
          <w:szCs w:val="19"/>
        </w:rPr>
        <w:t>化</w:t>
      </w:r>
      <w:r>
        <w:rPr>
          <w:rFonts w:ascii="微软雅黑" w:hAnsi="微软雅黑" w:eastAsia="微软雅黑" w:cs="微软雅黑"/>
          <w:spacing w:val="18"/>
          <w:sz w:val="19"/>
          <w:szCs w:val="19"/>
        </w:rPr>
        <w:t>，</w:t>
      </w:r>
      <w:r>
        <w:rPr>
          <w:rFonts w:ascii="宋体" w:hAnsi="宋体" w:eastAsia="宋体" w:cs="宋体"/>
          <w:spacing w:val="18"/>
          <w:sz w:val="19"/>
          <w:szCs w:val="19"/>
        </w:rPr>
        <w:t>为高等教育事业持续健康高质量发展奠定</w:t>
      </w:r>
      <w:r>
        <w:rPr>
          <w:rFonts w:ascii="宋体" w:hAnsi="宋体" w:eastAsia="宋体" w:cs="宋体"/>
          <w:spacing w:val="17"/>
          <w:sz w:val="19"/>
          <w:szCs w:val="19"/>
        </w:rPr>
        <w:t>坚实 的基础</w:t>
      </w:r>
      <w:r>
        <w:rPr>
          <w:rFonts w:ascii="微软雅黑" w:hAnsi="微软雅黑" w:eastAsia="微软雅黑" w:cs="微软雅黑"/>
          <w:spacing w:val="17"/>
          <w:sz w:val="19"/>
          <w:szCs w:val="19"/>
        </w:rPr>
        <w:t>。</w:t>
      </w:r>
    </w:p>
    <w:p>
      <w:pPr>
        <w:spacing w:line="327" w:lineRule="auto"/>
        <w:rPr>
          <w:rFonts w:ascii="Arial"/>
          <w:sz w:val="21"/>
        </w:rPr>
      </w:pPr>
    </w:p>
    <w:p>
      <w:pPr>
        <w:spacing w:before="52" w:line="212" w:lineRule="auto"/>
        <w:ind w:left="4"/>
        <w:rPr>
          <w:rFonts w:ascii="微软雅黑" w:hAnsi="微软雅黑" w:eastAsia="微软雅黑" w:cs="微软雅黑"/>
          <w:sz w:val="4"/>
          <w:szCs w:val="4"/>
        </w:rPr>
      </w:pPr>
      <w:r>
        <w:rPr>
          <w:rFonts w:ascii="黑体" w:hAnsi="黑体" w:eastAsia="黑体" w:cs="黑体"/>
          <w:spacing w:val="12"/>
          <w:sz w:val="16"/>
          <w:szCs w:val="16"/>
        </w:rPr>
        <w:t>参考文献</w:t>
      </w:r>
      <w:r>
        <w:rPr>
          <w:rFonts w:ascii="黑体" w:hAnsi="黑体" w:eastAsia="黑体" w:cs="黑体"/>
          <w:spacing w:val="-34"/>
          <w:sz w:val="16"/>
          <w:szCs w:val="16"/>
        </w:rPr>
        <w:t xml:space="preserve"> </w:t>
      </w:r>
      <w:r>
        <w:rPr>
          <w:rFonts w:ascii="微软雅黑" w:hAnsi="微软雅黑" w:eastAsia="微软雅黑" w:cs="微软雅黑"/>
          <w:spacing w:val="12"/>
          <w:sz w:val="4"/>
          <w:szCs w:val="4"/>
        </w:rPr>
        <w:t>：</w:t>
      </w:r>
    </w:p>
    <w:p>
      <w:pPr>
        <w:spacing w:before="101" w:line="210" w:lineRule="auto"/>
        <w:ind w:left="446" w:right="84" w:hanging="437"/>
        <w:rPr>
          <w:rFonts w:ascii="微软雅黑" w:hAnsi="微软雅黑" w:eastAsia="微软雅黑" w:cs="微软雅黑"/>
          <w:sz w:val="16"/>
          <w:szCs w:val="16"/>
        </w:rPr>
      </w:pPr>
      <w:r>
        <w:rPr>
          <w:rFonts w:ascii="微软雅黑" w:hAnsi="微软雅黑" w:eastAsia="微软雅黑" w:cs="微软雅黑"/>
          <w:spacing w:val="12"/>
          <w:sz w:val="16"/>
          <w:szCs w:val="16"/>
        </w:rPr>
        <w:t xml:space="preserve">[1]    </w:t>
      </w:r>
      <w:r>
        <w:rPr>
          <w:rFonts w:ascii="宋体" w:hAnsi="宋体" w:eastAsia="宋体" w:cs="宋体"/>
          <w:spacing w:val="12"/>
          <w:sz w:val="16"/>
          <w:szCs w:val="16"/>
        </w:rPr>
        <w:t>弗兰克</w:t>
      </w:r>
      <w:r>
        <w:rPr>
          <w:rFonts w:ascii="微软雅黑" w:hAnsi="微软雅黑" w:eastAsia="微软雅黑" w:cs="微软雅黑"/>
          <w:spacing w:val="12"/>
          <w:sz w:val="16"/>
          <w:szCs w:val="16"/>
        </w:rPr>
        <w:t>·</w:t>
      </w:r>
      <w:r>
        <w:rPr>
          <w:rFonts w:ascii="微软雅黑" w:hAnsi="微软雅黑" w:eastAsia="微软雅黑" w:cs="微软雅黑"/>
          <w:spacing w:val="47"/>
          <w:sz w:val="16"/>
          <w:szCs w:val="16"/>
        </w:rPr>
        <w:t xml:space="preserve"> </w:t>
      </w:r>
      <w:r>
        <w:rPr>
          <w:rFonts w:ascii="微软雅黑" w:hAnsi="微软雅黑" w:eastAsia="微软雅黑" w:cs="微软雅黑"/>
          <w:spacing w:val="12"/>
          <w:sz w:val="16"/>
          <w:szCs w:val="16"/>
        </w:rPr>
        <w:t>M·</w:t>
      </w:r>
      <w:r>
        <w:rPr>
          <w:rFonts w:ascii="微软雅黑" w:hAnsi="微软雅黑" w:eastAsia="微软雅黑" w:cs="微软雅黑"/>
          <w:spacing w:val="37"/>
          <w:sz w:val="16"/>
          <w:szCs w:val="16"/>
        </w:rPr>
        <w:t xml:space="preserve"> </w:t>
      </w:r>
      <w:r>
        <w:rPr>
          <w:rFonts w:ascii="宋体" w:hAnsi="宋体" w:eastAsia="宋体" w:cs="宋体"/>
          <w:spacing w:val="12"/>
          <w:sz w:val="16"/>
          <w:szCs w:val="16"/>
        </w:rPr>
        <w:t>格里纳</w:t>
      </w:r>
      <w:r>
        <w:rPr>
          <w:rFonts w:ascii="微软雅黑" w:hAnsi="微软雅黑" w:eastAsia="微软雅黑" w:cs="微软雅黑"/>
          <w:spacing w:val="12"/>
          <w:position w:val="-1"/>
          <w:sz w:val="16"/>
          <w:szCs w:val="16"/>
        </w:rPr>
        <w:t>．</w:t>
      </w:r>
      <w:r>
        <w:rPr>
          <w:rFonts w:ascii="宋体" w:hAnsi="宋体" w:eastAsia="宋体" w:cs="宋体"/>
          <w:spacing w:val="12"/>
          <w:sz w:val="16"/>
          <w:szCs w:val="16"/>
        </w:rPr>
        <w:t>质量策划与分析</w:t>
      </w:r>
      <w:r>
        <w:rPr>
          <w:rFonts w:ascii="微软雅黑" w:hAnsi="微软雅黑" w:eastAsia="微软雅黑" w:cs="微软雅黑"/>
          <w:spacing w:val="12"/>
          <w:sz w:val="16"/>
          <w:szCs w:val="16"/>
        </w:rPr>
        <w:t>[</w:t>
      </w:r>
      <w:r>
        <w:rPr>
          <w:rFonts w:ascii="微软雅黑" w:hAnsi="微软雅黑" w:eastAsia="微软雅黑" w:cs="微软雅黑"/>
          <w:spacing w:val="-18"/>
          <w:sz w:val="16"/>
          <w:szCs w:val="16"/>
        </w:rPr>
        <w:t xml:space="preserve"> </w:t>
      </w:r>
      <w:r>
        <w:rPr>
          <w:rFonts w:ascii="微软雅黑" w:hAnsi="微软雅黑" w:eastAsia="微软雅黑" w:cs="微软雅黑"/>
          <w:spacing w:val="12"/>
          <w:sz w:val="16"/>
          <w:szCs w:val="16"/>
        </w:rPr>
        <w:t>M]</w:t>
      </w:r>
      <w:r>
        <w:rPr>
          <w:rFonts w:ascii="微软雅黑" w:hAnsi="微软雅黑" w:eastAsia="微软雅黑" w:cs="微软雅黑"/>
          <w:spacing w:val="-14"/>
          <w:sz w:val="16"/>
          <w:szCs w:val="16"/>
        </w:rPr>
        <w:t xml:space="preserve"> </w:t>
      </w:r>
      <w:r>
        <w:rPr>
          <w:rFonts w:ascii="微软雅黑" w:hAnsi="微软雅黑" w:eastAsia="微软雅黑" w:cs="微软雅黑"/>
          <w:spacing w:val="12"/>
          <w:position w:val="-1"/>
          <w:sz w:val="16"/>
          <w:szCs w:val="16"/>
        </w:rPr>
        <w:t>.</w:t>
      </w:r>
      <w:r>
        <w:rPr>
          <w:rFonts w:ascii="微软雅黑" w:hAnsi="微软雅黑" w:eastAsia="微软雅黑" w:cs="微软雅黑"/>
          <w:spacing w:val="44"/>
          <w:position w:val="-1"/>
          <w:sz w:val="16"/>
          <w:szCs w:val="16"/>
        </w:rPr>
        <w:t xml:space="preserve"> </w:t>
      </w:r>
      <w:r>
        <w:rPr>
          <w:rFonts w:ascii="宋体" w:hAnsi="宋体" w:eastAsia="宋体" w:cs="宋体"/>
          <w:spacing w:val="12"/>
          <w:sz w:val="16"/>
          <w:szCs w:val="16"/>
        </w:rPr>
        <w:t>何桢</w:t>
      </w:r>
      <w:r>
        <w:rPr>
          <w:rFonts w:ascii="微软雅黑" w:hAnsi="微软雅黑" w:eastAsia="微软雅黑" w:cs="微软雅黑"/>
          <w:spacing w:val="12"/>
          <w:sz w:val="16"/>
          <w:szCs w:val="16"/>
        </w:rPr>
        <w:t>，</w:t>
      </w:r>
      <w:r>
        <w:rPr>
          <w:rFonts w:ascii="宋体" w:hAnsi="宋体" w:eastAsia="宋体" w:cs="宋体"/>
          <w:spacing w:val="12"/>
          <w:sz w:val="16"/>
          <w:szCs w:val="16"/>
        </w:rPr>
        <w:t>译</w:t>
      </w:r>
      <w:r>
        <w:rPr>
          <w:rFonts w:ascii="微软雅黑" w:hAnsi="微软雅黑" w:eastAsia="微软雅黑" w:cs="微软雅黑"/>
          <w:spacing w:val="12"/>
          <w:position w:val="-1"/>
          <w:sz w:val="16"/>
          <w:szCs w:val="16"/>
        </w:rPr>
        <w:t>.</w:t>
      </w:r>
      <w:r>
        <w:rPr>
          <w:rFonts w:ascii="微软雅黑" w:hAnsi="微软雅黑" w:eastAsia="微软雅黑" w:cs="微软雅黑"/>
          <w:position w:val="-1"/>
          <w:sz w:val="16"/>
          <w:szCs w:val="16"/>
        </w:rPr>
        <w:t xml:space="preserve"> </w:t>
      </w:r>
      <w:r>
        <w:rPr>
          <w:rFonts w:ascii="宋体" w:hAnsi="宋体" w:eastAsia="宋体" w:cs="宋体"/>
          <w:spacing w:val="4"/>
          <w:sz w:val="16"/>
          <w:szCs w:val="16"/>
        </w:rPr>
        <w:t>北京</w:t>
      </w:r>
      <w:r>
        <w:rPr>
          <w:rFonts w:ascii="微软雅黑" w:hAnsi="微软雅黑" w:eastAsia="微软雅黑" w:cs="微软雅黑"/>
          <w:spacing w:val="4"/>
          <w:sz w:val="16"/>
          <w:szCs w:val="16"/>
        </w:rPr>
        <w:t>：</w:t>
      </w:r>
      <w:r>
        <w:rPr>
          <w:rFonts w:ascii="宋体" w:hAnsi="宋体" w:eastAsia="宋体" w:cs="宋体"/>
          <w:spacing w:val="4"/>
          <w:sz w:val="16"/>
          <w:szCs w:val="16"/>
        </w:rPr>
        <w:t>中国人民大学出版社</w:t>
      </w:r>
      <w:r>
        <w:rPr>
          <w:rFonts w:ascii="微软雅黑" w:hAnsi="微软雅黑" w:eastAsia="微软雅黑" w:cs="微软雅黑"/>
          <w:spacing w:val="4"/>
          <w:position w:val="1"/>
          <w:sz w:val="16"/>
          <w:szCs w:val="16"/>
        </w:rPr>
        <w:t>，</w:t>
      </w:r>
      <w:r>
        <w:rPr>
          <w:rFonts w:ascii="微软雅黑" w:hAnsi="微软雅黑" w:eastAsia="微软雅黑" w:cs="微软雅黑"/>
          <w:spacing w:val="4"/>
          <w:sz w:val="16"/>
          <w:szCs w:val="16"/>
        </w:rPr>
        <w:t>2005:201.</w:t>
      </w:r>
    </w:p>
    <w:p>
      <w:pPr>
        <w:spacing w:before="66" w:line="222" w:lineRule="auto"/>
        <w:ind w:left="445" w:right="73" w:hanging="436"/>
        <w:rPr>
          <w:rFonts w:ascii="微软雅黑" w:hAnsi="微软雅黑" w:eastAsia="微软雅黑" w:cs="微软雅黑"/>
          <w:sz w:val="16"/>
          <w:szCs w:val="16"/>
        </w:rPr>
      </w:pPr>
      <w:r>
        <w:rPr>
          <w:rFonts w:ascii="微软雅黑" w:hAnsi="微软雅黑" w:eastAsia="微软雅黑" w:cs="微软雅黑"/>
          <w:spacing w:val="6"/>
          <w:sz w:val="16"/>
          <w:szCs w:val="16"/>
        </w:rPr>
        <w:t xml:space="preserve">[2]    </w:t>
      </w:r>
      <w:r>
        <w:rPr>
          <w:rFonts w:ascii="宋体" w:hAnsi="宋体" w:eastAsia="宋体" w:cs="宋体"/>
          <w:spacing w:val="6"/>
          <w:sz w:val="16"/>
          <w:szCs w:val="16"/>
        </w:rPr>
        <w:t>别敦荣</w:t>
      </w:r>
      <w:r>
        <w:rPr>
          <w:rFonts w:ascii="微软雅黑" w:hAnsi="微软雅黑" w:eastAsia="微软雅黑" w:cs="微软雅黑"/>
          <w:spacing w:val="6"/>
          <w:sz w:val="16"/>
          <w:szCs w:val="16"/>
        </w:rPr>
        <w:t>，</w:t>
      </w:r>
      <w:r>
        <w:rPr>
          <w:rFonts w:ascii="宋体" w:hAnsi="宋体" w:eastAsia="宋体" w:cs="宋体"/>
          <w:spacing w:val="6"/>
          <w:sz w:val="16"/>
          <w:szCs w:val="16"/>
        </w:rPr>
        <w:t>易梦春</w:t>
      </w:r>
      <w:r>
        <w:rPr>
          <w:rFonts w:ascii="微软雅黑" w:hAnsi="微软雅黑" w:eastAsia="微软雅黑" w:cs="微软雅黑"/>
          <w:spacing w:val="6"/>
          <w:sz w:val="16"/>
          <w:szCs w:val="16"/>
        </w:rPr>
        <w:t>，</w:t>
      </w:r>
      <w:r>
        <w:rPr>
          <w:rFonts w:ascii="宋体" w:hAnsi="宋体" w:eastAsia="宋体" w:cs="宋体"/>
          <w:spacing w:val="6"/>
          <w:sz w:val="16"/>
          <w:szCs w:val="16"/>
        </w:rPr>
        <w:t>李志义</w:t>
      </w:r>
      <w:r>
        <w:rPr>
          <w:rFonts w:ascii="微软雅黑" w:hAnsi="微软雅黑" w:eastAsia="微软雅黑" w:cs="微软雅黑"/>
          <w:spacing w:val="6"/>
          <w:sz w:val="16"/>
          <w:szCs w:val="16"/>
        </w:rPr>
        <w:t>，</w:t>
      </w:r>
      <w:r>
        <w:rPr>
          <w:rFonts w:ascii="宋体" w:hAnsi="宋体" w:eastAsia="宋体" w:cs="宋体"/>
          <w:spacing w:val="6"/>
          <w:sz w:val="16"/>
          <w:szCs w:val="16"/>
        </w:rPr>
        <w:t>等</w:t>
      </w:r>
      <w:r>
        <w:rPr>
          <w:rFonts w:ascii="微软雅黑" w:hAnsi="微软雅黑" w:eastAsia="微软雅黑" w:cs="微软雅黑"/>
          <w:spacing w:val="6"/>
          <w:position w:val="-1"/>
          <w:sz w:val="16"/>
          <w:szCs w:val="16"/>
        </w:rPr>
        <w:t>．</w:t>
      </w:r>
      <w:r>
        <w:rPr>
          <w:rFonts w:ascii="宋体" w:hAnsi="宋体" w:eastAsia="宋体" w:cs="宋体"/>
          <w:spacing w:val="6"/>
          <w:sz w:val="16"/>
          <w:szCs w:val="16"/>
        </w:rPr>
        <w:t>国际高等教育质量保障与</w:t>
      </w:r>
      <w:r>
        <w:rPr>
          <w:rFonts w:ascii="宋体" w:hAnsi="宋体" w:eastAsia="宋体" w:cs="宋体"/>
          <w:sz w:val="16"/>
          <w:szCs w:val="16"/>
        </w:rPr>
        <w:t xml:space="preserve"> </w:t>
      </w:r>
      <w:r>
        <w:rPr>
          <w:rFonts w:ascii="宋体" w:hAnsi="宋体" w:eastAsia="宋体" w:cs="宋体"/>
          <w:spacing w:val="8"/>
          <w:sz w:val="16"/>
          <w:szCs w:val="16"/>
        </w:rPr>
        <w:t>评估发展趋势及其启示</w:t>
      </w:r>
      <w:r>
        <w:rPr>
          <w:rFonts w:ascii="Arial" w:hAnsi="Arial" w:eastAsia="Arial" w:cs="Arial"/>
          <w:b/>
          <w:bCs/>
          <w:spacing w:val="8"/>
          <w:sz w:val="16"/>
          <w:szCs w:val="16"/>
        </w:rPr>
        <w:t>—</w:t>
      </w:r>
      <w:r>
        <w:rPr>
          <w:rFonts w:ascii="微软雅黑" w:hAnsi="微软雅黑" w:eastAsia="微软雅黑" w:cs="微软雅黑"/>
          <w:spacing w:val="8"/>
          <w:sz w:val="16"/>
          <w:szCs w:val="16"/>
        </w:rPr>
        <w:t>—</w:t>
      </w:r>
      <w:r>
        <w:rPr>
          <w:rFonts w:ascii="微软雅黑" w:hAnsi="微软雅黑" w:eastAsia="微软雅黑" w:cs="微软雅黑"/>
          <w:spacing w:val="-16"/>
          <w:sz w:val="16"/>
          <w:szCs w:val="16"/>
        </w:rPr>
        <w:t xml:space="preserve"> </w:t>
      </w:r>
      <w:r>
        <w:rPr>
          <w:rFonts w:ascii="宋体" w:hAnsi="宋体" w:eastAsia="宋体" w:cs="宋体"/>
          <w:spacing w:val="8"/>
          <w:sz w:val="16"/>
          <w:szCs w:val="16"/>
        </w:rPr>
        <w:t>基</w:t>
      </w:r>
      <w:r>
        <w:rPr>
          <w:rFonts w:ascii="宋体" w:hAnsi="宋体" w:eastAsia="宋体" w:cs="宋体"/>
          <w:spacing w:val="-48"/>
          <w:sz w:val="16"/>
          <w:szCs w:val="16"/>
        </w:rPr>
        <w:t xml:space="preserve"> </w:t>
      </w:r>
      <w:r>
        <w:rPr>
          <w:rFonts w:ascii="宋体" w:hAnsi="宋体" w:eastAsia="宋体" w:cs="宋体"/>
          <w:spacing w:val="8"/>
          <w:sz w:val="16"/>
          <w:szCs w:val="16"/>
        </w:rPr>
        <w:t xml:space="preserve">于 </w:t>
      </w:r>
      <w:r>
        <w:rPr>
          <w:rFonts w:ascii="微软雅黑" w:hAnsi="微软雅黑" w:eastAsia="微软雅黑" w:cs="微软雅黑"/>
          <w:spacing w:val="8"/>
          <w:sz w:val="16"/>
          <w:szCs w:val="16"/>
        </w:rPr>
        <w:t>11</w:t>
      </w:r>
      <w:r>
        <w:rPr>
          <w:rFonts w:ascii="宋体" w:hAnsi="宋体" w:eastAsia="宋体" w:cs="宋体"/>
          <w:spacing w:val="8"/>
          <w:sz w:val="16"/>
          <w:szCs w:val="16"/>
        </w:rPr>
        <w:t>个</w:t>
      </w:r>
      <w:r>
        <w:rPr>
          <w:rFonts w:ascii="宋体" w:hAnsi="宋体" w:eastAsia="宋体" w:cs="宋体"/>
          <w:spacing w:val="-36"/>
          <w:sz w:val="16"/>
          <w:szCs w:val="16"/>
        </w:rPr>
        <w:t xml:space="preserve"> </w:t>
      </w:r>
      <w:r>
        <w:rPr>
          <w:rFonts w:ascii="宋体" w:hAnsi="宋体" w:eastAsia="宋体" w:cs="宋体"/>
          <w:spacing w:val="8"/>
          <w:sz w:val="16"/>
          <w:szCs w:val="16"/>
        </w:rPr>
        <w:t>国家</w:t>
      </w:r>
      <w:r>
        <w:rPr>
          <w:rFonts w:ascii="微软雅黑" w:hAnsi="微软雅黑" w:eastAsia="微软雅黑" w:cs="微软雅黑"/>
          <w:spacing w:val="8"/>
          <w:sz w:val="16"/>
          <w:szCs w:val="16"/>
        </w:rPr>
        <w:t>（</w:t>
      </w:r>
      <w:r>
        <w:rPr>
          <w:rFonts w:ascii="宋体" w:hAnsi="宋体" w:eastAsia="宋体" w:cs="宋体"/>
          <w:spacing w:val="8"/>
          <w:sz w:val="16"/>
          <w:szCs w:val="16"/>
        </w:rPr>
        <w:t>地</w:t>
      </w:r>
      <w:r>
        <w:rPr>
          <w:rFonts w:ascii="宋体" w:hAnsi="宋体" w:eastAsia="宋体" w:cs="宋体"/>
          <w:spacing w:val="-42"/>
          <w:sz w:val="16"/>
          <w:szCs w:val="16"/>
        </w:rPr>
        <w:t xml:space="preserve"> </w:t>
      </w:r>
      <w:r>
        <w:rPr>
          <w:rFonts w:ascii="宋体" w:hAnsi="宋体" w:eastAsia="宋体" w:cs="宋体"/>
          <w:spacing w:val="8"/>
          <w:sz w:val="16"/>
          <w:szCs w:val="16"/>
        </w:rPr>
        <w:t>区</w:t>
      </w:r>
      <w:r>
        <w:rPr>
          <w:rFonts w:ascii="微软雅黑" w:hAnsi="微软雅黑" w:eastAsia="微软雅黑" w:cs="微软雅黑"/>
          <w:spacing w:val="8"/>
          <w:sz w:val="16"/>
          <w:szCs w:val="16"/>
        </w:rPr>
        <w:t>）</w:t>
      </w:r>
      <w:r>
        <w:rPr>
          <w:rFonts w:ascii="宋体" w:hAnsi="宋体" w:eastAsia="宋体" w:cs="宋体"/>
          <w:spacing w:val="8"/>
          <w:sz w:val="16"/>
          <w:szCs w:val="16"/>
        </w:rPr>
        <w:t>高</w:t>
      </w:r>
      <w:r>
        <w:rPr>
          <w:rFonts w:ascii="宋体" w:hAnsi="宋体" w:eastAsia="宋体" w:cs="宋体"/>
          <w:sz w:val="16"/>
          <w:szCs w:val="16"/>
        </w:rPr>
        <w:t xml:space="preserve"> </w:t>
      </w:r>
      <w:r>
        <w:rPr>
          <w:rFonts w:ascii="宋体" w:hAnsi="宋体" w:eastAsia="宋体" w:cs="宋体"/>
          <w:spacing w:val="4"/>
          <w:sz w:val="16"/>
          <w:szCs w:val="16"/>
        </w:rPr>
        <w:t>等教育质量</w:t>
      </w:r>
      <w:r>
        <w:rPr>
          <w:rFonts w:ascii="微软雅黑" w:hAnsi="微软雅黑" w:eastAsia="微软雅黑" w:cs="微软雅黑"/>
          <w:spacing w:val="4"/>
          <w:sz w:val="16"/>
          <w:szCs w:val="16"/>
        </w:rPr>
        <w:t>[J]</w:t>
      </w:r>
      <w:r>
        <w:rPr>
          <w:rFonts w:ascii="微软雅黑" w:hAnsi="微软雅黑" w:eastAsia="微软雅黑" w:cs="微软雅黑"/>
          <w:spacing w:val="-15"/>
          <w:sz w:val="16"/>
          <w:szCs w:val="16"/>
        </w:rPr>
        <w:t xml:space="preserve"> </w:t>
      </w:r>
      <w:r>
        <w:rPr>
          <w:rFonts w:ascii="微软雅黑" w:hAnsi="微软雅黑" w:eastAsia="微软雅黑" w:cs="微软雅黑"/>
          <w:spacing w:val="4"/>
          <w:position w:val="-1"/>
          <w:sz w:val="16"/>
          <w:szCs w:val="16"/>
        </w:rPr>
        <w:t xml:space="preserve">.  </w:t>
      </w:r>
      <w:r>
        <w:rPr>
          <w:rFonts w:ascii="宋体" w:hAnsi="宋体" w:eastAsia="宋体" w:cs="宋体"/>
          <w:spacing w:val="4"/>
          <w:sz w:val="16"/>
          <w:szCs w:val="16"/>
        </w:rPr>
        <w:t>中国高教研究</w:t>
      </w:r>
      <w:r>
        <w:rPr>
          <w:rFonts w:ascii="微软雅黑" w:hAnsi="微软雅黑" w:eastAsia="微软雅黑" w:cs="微软雅黑"/>
          <w:spacing w:val="4"/>
          <w:position w:val="1"/>
          <w:sz w:val="16"/>
          <w:szCs w:val="16"/>
        </w:rPr>
        <w:t>，</w:t>
      </w:r>
      <w:r>
        <w:rPr>
          <w:rFonts w:ascii="微软雅黑" w:hAnsi="微软雅黑" w:eastAsia="微软雅黑" w:cs="微软雅黑"/>
          <w:spacing w:val="4"/>
          <w:position w:val="-1"/>
          <w:sz w:val="16"/>
          <w:szCs w:val="16"/>
        </w:rPr>
        <w:t xml:space="preserve">2018 </w:t>
      </w:r>
      <w:r>
        <w:rPr>
          <w:rFonts w:ascii="微软雅黑" w:hAnsi="微软雅黑" w:eastAsia="微软雅黑" w:cs="微软雅黑"/>
          <w:spacing w:val="4"/>
          <w:position w:val="1"/>
          <w:sz w:val="16"/>
          <w:szCs w:val="16"/>
        </w:rPr>
        <w:t xml:space="preserve">, </w:t>
      </w:r>
      <w:r>
        <w:rPr>
          <w:rFonts w:ascii="微软雅黑" w:hAnsi="微软雅黑" w:eastAsia="微软雅黑" w:cs="微软雅黑"/>
          <w:spacing w:val="4"/>
          <w:sz w:val="16"/>
          <w:szCs w:val="16"/>
        </w:rPr>
        <w:t>(11</w:t>
      </w:r>
      <w:r>
        <w:rPr>
          <w:rFonts w:ascii="微软雅黑" w:hAnsi="微软雅黑" w:eastAsia="微软雅黑" w:cs="微软雅黑"/>
          <w:spacing w:val="3"/>
          <w:sz w:val="16"/>
          <w:szCs w:val="16"/>
        </w:rPr>
        <w:t>)</w:t>
      </w:r>
      <w:r>
        <w:rPr>
          <w:rFonts w:ascii="微软雅黑" w:hAnsi="微软雅黑" w:eastAsia="微软雅黑" w:cs="微软雅黑"/>
          <w:spacing w:val="15"/>
          <w:w w:val="102"/>
          <w:sz w:val="16"/>
          <w:szCs w:val="16"/>
        </w:rPr>
        <w:t xml:space="preserve"> </w:t>
      </w:r>
      <w:r>
        <w:rPr>
          <w:rFonts w:ascii="微软雅黑" w:hAnsi="微软雅黑" w:eastAsia="微软雅黑" w:cs="微软雅黑"/>
          <w:spacing w:val="3"/>
          <w:sz w:val="16"/>
          <w:szCs w:val="16"/>
        </w:rPr>
        <w:t>:36-44.</w:t>
      </w:r>
    </w:p>
    <w:p>
      <w:pPr>
        <w:spacing w:before="64" w:line="212" w:lineRule="auto"/>
        <w:ind w:left="446" w:right="74" w:hanging="437"/>
        <w:rPr>
          <w:rFonts w:ascii="微软雅黑" w:hAnsi="微软雅黑" w:eastAsia="微软雅黑" w:cs="微软雅黑"/>
          <w:sz w:val="16"/>
          <w:szCs w:val="16"/>
        </w:rPr>
      </w:pPr>
      <w:r>
        <w:rPr>
          <w:rFonts w:ascii="微软雅黑" w:hAnsi="微软雅黑" w:eastAsia="微软雅黑" w:cs="微软雅黑"/>
          <w:spacing w:val="10"/>
          <w:sz w:val="16"/>
          <w:szCs w:val="16"/>
        </w:rPr>
        <w:t xml:space="preserve">[3]    </w:t>
      </w:r>
      <w:r>
        <w:rPr>
          <w:rFonts w:ascii="宋体" w:hAnsi="宋体" w:eastAsia="宋体" w:cs="宋体"/>
          <w:spacing w:val="10"/>
          <w:sz w:val="16"/>
          <w:szCs w:val="16"/>
        </w:rPr>
        <w:t>伍方斋</w:t>
      </w:r>
      <w:r>
        <w:rPr>
          <w:rFonts w:ascii="微软雅黑" w:hAnsi="微软雅黑" w:eastAsia="微软雅黑" w:cs="微软雅黑"/>
          <w:spacing w:val="10"/>
          <w:position w:val="-1"/>
          <w:sz w:val="16"/>
          <w:szCs w:val="16"/>
        </w:rPr>
        <w:t>．</w:t>
      </w:r>
      <w:r>
        <w:rPr>
          <w:rFonts w:ascii="宋体" w:hAnsi="宋体" w:eastAsia="宋体" w:cs="宋体"/>
          <w:spacing w:val="10"/>
          <w:sz w:val="16"/>
          <w:szCs w:val="16"/>
        </w:rPr>
        <w:t>感受哈佛</w:t>
      </w:r>
      <w:r>
        <w:rPr>
          <w:rFonts w:ascii="Arial" w:hAnsi="Arial" w:eastAsia="Arial" w:cs="Arial"/>
          <w:b/>
          <w:bCs/>
          <w:spacing w:val="10"/>
          <w:sz w:val="16"/>
          <w:szCs w:val="16"/>
        </w:rPr>
        <w:t>—</w:t>
      </w:r>
      <w:r>
        <w:rPr>
          <w:rFonts w:ascii="微软雅黑" w:hAnsi="微软雅黑" w:eastAsia="微软雅黑" w:cs="微软雅黑"/>
          <w:spacing w:val="10"/>
          <w:sz w:val="16"/>
          <w:szCs w:val="16"/>
        </w:rPr>
        <w:t>—</w:t>
      </w:r>
      <w:r>
        <w:rPr>
          <w:rFonts w:ascii="微软雅黑" w:hAnsi="微软雅黑" w:eastAsia="微软雅黑" w:cs="微软雅黑"/>
          <w:spacing w:val="-9"/>
          <w:sz w:val="16"/>
          <w:szCs w:val="16"/>
        </w:rPr>
        <w:t xml:space="preserve"> </w:t>
      </w:r>
      <w:r>
        <w:rPr>
          <w:rFonts w:ascii="宋体" w:hAnsi="宋体" w:eastAsia="宋体" w:cs="宋体"/>
          <w:spacing w:val="10"/>
          <w:sz w:val="16"/>
          <w:szCs w:val="16"/>
        </w:rPr>
        <w:t>与哈佛全面接触</w:t>
      </w:r>
      <w:r>
        <w:rPr>
          <w:rFonts w:ascii="微软雅黑" w:hAnsi="微软雅黑" w:eastAsia="微软雅黑" w:cs="微软雅黑"/>
          <w:spacing w:val="10"/>
          <w:sz w:val="16"/>
          <w:szCs w:val="16"/>
        </w:rPr>
        <w:t>[</w:t>
      </w:r>
      <w:r>
        <w:rPr>
          <w:rFonts w:ascii="微软雅黑" w:hAnsi="微软雅黑" w:eastAsia="微软雅黑" w:cs="微软雅黑"/>
          <w:spacing w:val="-17"/>
          <w:sz w:val="16"/>
          <w:szCs w:val="16"/>
        </w:rPr>
        <w:t xml:space="preserve"> </w:t>
      </w:r>
      <w:r>
        <w:rPr>
          <w:rFonts w:ascii="微软雅黑" w:hAnsi="微软雅黑" w:eastAsia="微软雅黑" w:cs="微软雅黑"/>
          <w:spacing w:val="10"/>
          <w:sz w:val="16"/>
          <w:szCs w:val="16"/>
        </w:rPr>
        <w:t>M]</w:t>
      </w:r>
      <w:r>
        <w:rPr>
          <w:rFonts w:ascii="微软雅黑" w:hAnsi="微软雅黑" w:eastAsia="微软雅黑" w:cs="微软雅黑"/>
          <w:spacing w:val="-15"/>
          <w:sz w:val="16"/>
          <w:szCs w:val="16"/>
        </w:rPr>
        <w:t xml:space="preserve"> </w:t>
      </w:r>
      <w:r>
        <w:rPr>
          <w:rFonts w:ascii="微软雅黑" w:hAnsi="微软雅黑" w:eastAsia="微软雅黑" w:cs="微软雅黑"/>
          <w:spacing w:val="10"/>
          <w:position w:val="-1"/>
          <w:sz w:val="16"/>
          <w:szCs w:val="16"/>
        </w:rPr>
        <w:t>.</w:t>
      </w:r>
      <w:r>
        <w:rPr>
          <w:rFonts w:ascii="微软雅黑" w:hAnsi="微软雅黑" w:eastAsia="微软雅黑" w:cs="微软雅黑"/>
          <w:spacing w:val="1"/>
          <w:position w:val="-1"/>
          <w:sz w:val="16"/>
          <w:szCs w:val="16"/>
        </w:rPr>
        <w:t xml:space="preserve">  </w:t>
      </w:r>
      <w:r>
        <w:rPr>
          <w:rFonts w:ascii="宋体" w:hAnsi="宋体" w:eastAsia="宋体" w:cs="宋体"/>
          <w:spacing w:val="10"/>
          <w:sz w:val="16"/>
          <w:szCs w:val="16"/>
        </w:rPr>
        <w:t>北京</w:t>
      </w:r>
      <w:r>
        <w:rPr>
          <w:rFonts w:ascii="微软雅黑" w:hAnsi="微软雅黑" w:eastAsia="微软雅黑" w:cs="微软雅黑"/>
          <w:spacing w:val="10"/>
          <w:sz w:val="16"/>
          <w:szCs w:val="16"/>
        </w:rPr>
        <w:t>：</w:t>
      </w:r>
      <w:r>
        <w:rPr>
          <w:rFonts w:ascii="宋体" w:hAnsi="宋体" w:eastAsia="宋体" w:cs="宋体"/>
          <w:spacing w:val="10"/>
          <w:sz w:val="16"/>
          <w:szCs w:val="16"/>
        </w:rPr>
        <w:t>北</w:t>
      </w:r>
      <w:r>
        <w:rPr>
          <w:rFonts w:ascii="宋体" w:hAnsi="宋体" w:eastAsia="宋体" w:cs="宋体"/>
          <w:sz w:val="16"/>
          <w:szCs w:val="16"/>
        </w:rPr>
        <w:t xml:space="preserve"> </w:t>
      </w:r>
      <w:r>
        <w:rPr>
          <w:rFonts w:ascii="宋体" w:hAnsi="宋体" w:eastAsia="宋体" w:cs="宋体"/>
          <w:spacing w:val="2"/>
          <w:sz w:val="16"/>
          <w:szCs w:val="16"/>
        </w:rPr>
        <w:t>京出版社</w:t>
      </w:r>
      <w:r>
        <w:rPr>
          <w:rFonts w:ascii="微软雅黑" w:hAnsi="微软雅黑" w:eastAsia="微软雅黑" w:cs="微软雅黑"/>
          <w:spacing w:val="2"/>
          <w:position w:val="1"/>
          <w:sz w:val="16"/>
          <w:szCs w:val="16"/>
        </w:rPr>
        <w:t>，</w:t>
      </w:r>
      <w:r>
        <w:rPr>
          <w:rFonts w:ascii="微软雅黑" w:hAnsi="微软雅黑" w:eastAsia="微软雅黑" w:cs="微软雅黑"/>
          <w:spacing w:val="2"/>
          <w:sz w:val="16"/>
          <w:szCs w:val="16"/>
        </w:rPr>
        <w:t>2002:8.</w:t>
      </w:r>
    </w:p>
    <w:p>
      <w:pPr>
        <w:spacing w:before="66" w:line="214" w:lineRule="auto"/>
        <w:ind w:left="449" w:right="96" w:hanging="440"/>
        <w:rPr>
          <w:rFonts w:ascii="微软雅黑" w:hAnsi="微软雅黑" w:eastAsia="微软雅黑" w:cs="微软雅黑"/>
          <w:sz w:val="16"/>
          <w:szCs w:val="16"/>
        </w:rPr>
      </w:pPr>
      <w:r>
        <w:rPr>
          <w:rFonts w:ascii="微软雅黑" w:hAnsi="微软雅黑" w:eastAsia="微软雅黑" w:cs="微软雅黑"/>
          <w:spacing w:val="7"/>
          <w:sz w:val="16"/>
          <w:szCs w:val="16"/>
        </w:rPr>
        <w:t xml:space="preserve">[4]    </w:t>
      </w:r>
      <w:r>
        <w:rPr>
          <w:rFonts w:ascii="宋体" w:hAnsi="宋体" w:eastAsia="宋体" w:cs="宋体"/>
          <w:spacing w:val="7"/>
          <w:sz w:val="16"/>
          <w:szCs w:val="16"/>
        </w:rPr>
        <w:t>姜文闵</w:t>
      </w:r>
      <w:r>
        <w:rPr>
          <w:rFonts w:ascii="微软雅黑" w:hAnsi="微软雅黑" w:eastAsia="微软雅黑" w:cs="微软雅黑"/>
          <w:spacing w:val="7"/>
          <w:position w:val="-1"/>
          <w:sz w:val="16"/>
          <w:szCs w:val="16"/>
        </w:rPr>
        <w:t>．</w:t>
      </w:r>
      <w:r>
        <w:rPr>
          <w:rFonts w:ascii="宋体" w:hAnsi="宋体" w:eastAsia="宋体" w:cs="宋体"/>
          <w:spacing w:val="7"/>
          <w:sz w:val="16"/>
          <w:szCs w:val="16"/>
        </w:rPr>
        <w:t>哈佛大学</w:t>
      </w:r>
      <w:r>
        <w:rPr>
          <w:rFonts w:ascii="微软雅黑" w:hAnsi="微软雅黑" w:eastAsia="微软雅黑" w:cs="微软雅黑"/>
          <w:spacing w:val="7"/>
          <w:sz w:val="16"/>
          <w:szCs w:val="16"/>
        </w:rPr>
        <w:t>[</w:t>
      </w:r>
      <w:r>
        <w:rPr>
          <w:rFonts w:ascii="微软雅黑" w:hAnsi="微软雅黑" w:eastAsia="微软雅黑" w:cs="微软雅黑"/>
          <w:spacing w:val="-17"/>
          <w:sz w:val="16"/>
          <w:szCs w:val="16"/>
        </w:rPr>
        <w:t xml:space="preserve"> </w:t>
      </w:r>
      <w:r>
        <w:rPr>
          <w:rFonts w:ascii="微软雅黑" w:hAnsi="微软雅黑" w:eastAsia="微软雅黑" w:cs="微软雅黑"/>
          <w:spacing w:val="7"/>
          <w:sz w:val="16"/>
          <w:szCs w:val="16"/>
        </w:rPr>
        <w:t>M]</w:t>
      </w:r>
      <w:r>
        <w:rPr>
          <w:rFonts w:ascii="微软雅黑" w:hAnsi="微软雅黑" w:eastAsia="微软雅黑" w:cs="微软雅黑"/>
          <w:spacing w:val="-15"/>
          <w:sz w:val="16"/>
          <w:szCs w:val="16"/>
        </w:rPr>
        <w:t xml:space="preserve"> </w:t>
      </w:r>
      <w:r>
        <w:rPr>
          <w:rFonts w:ascii="微软雅黑" w:hAnsi="微软雅黑" w:eastAsia="微软雅黑" w:cs="微软雅黑"/>
          <w:spacing w:val="7"/>
          <w:position w:val="-1"/>
          <w:sz w:val="16"/>
          <w:szCs w:val="16"/>
        </w:rPr>
        <w:t xml:space="preserve">.  </w:t>
      </w:r>
      <w:r>
        <w:rPr>
          <w:rFonts w:ascii="宋体" w:hAnsi="宋体" w:eastAsia="宋体" w:cs="宋体"/>
          <w:spacing w:val="7"/>
          <w:sz w:val="16"/>
          <w:szCs w:val="16"/>
        </w:rPr>
        <w:t>长沙</w:t>
      </w:r>
      <w:r>
        <w:rPr>
          <w:rFonts w:ascii="微软雅黑" w:hAnsi="微软雅黑" w:eastAsia="微软雅黑" w:cs="微软雅黑"/>
          <w:spacing w:val="7"/>
          <w:sz w:val="16"/>
          <w:szCs w:val="16"/>
        </w:rPr>
        <w:t>：</w:t>
      </w:r>
      <w:r>
        <w:rPr>
          <w:rFonts w:ascii="宋体" w:hAnsi="宋体" w:eastAsia="宋体" w:cs="宋体"/>
          <w:spacing w:val="7"/>
          <w:sz w:val="16"/>
          <w:szCs w:val="16"/>
        </w:rPr>
        <w:t>湖南教育出版社</w:t>
      </w:r>
      <w:r>
        <w:rPr>
          <w:rFonts w:ascii="微软雅黑" w:hAnsi="微软雅黑" w:eastAsia="微软雅黑" w:cs="微软雅黑"/>
          <w:spacing w:val="7"/>
          <w:sz w:val="16"/>
          <w:szCs w:val="16"/>
        </w:rPr>
        <w:t>，198</w:t>
      </w:r>
      <w:r>
        <w:rPr>
          <w:rFonts w:ascii="微软雅黑" w:hAnsi="微软雅黑" w:eastAsia="微软雅黑" w:cs="微软雅黑"/>
          <w:spacing w:val="6"/>
          <w:sz w:val="16"/>
          <w:szCs w:val="16"/>
        </w:rPr>
        <w:t>8:</w:t>
      </w:r>
      <w:r>
        <w:rPr>
          <w:rFonts w:ascii="微软雅黑" w:hAnsi="微软雅黑" w:eastAsia="微软雅黑" w:cs="微软雅黑"/>
          <w:sz w:val="16"/>
          <w:szCs w:val="16"/>
        </w:rPr>
        <w:t xml:space="preserve"> </w:t>
      </w:r>
      <w:r>
        <w:rPr>
          <w:rFonts w:ascii="微软雅黑" w:hAnsi="微软雅黑" w:eastAsia="微软雅黑" w:cs="微软雅黑"/>
          <w:spacing w:val="-9"/>
          <w:sz w:val="16"/>
          <w:szCs w:val="16"/>
        </w:rPr>
        <w:t>37.</w:t>
      </w:r>
    </w:p>
    <w:p>
      <w:pPr>
        <w:spacing w:before="69" w:line="209" w:lineRule="auto"/>
        <w:ind w:left="449" w:right="74" w:hanging="440"/>
        <w:rPr>
          <w:rFonts w:ascii="微软雅黑" w:hAnsi="微软雅黑" w:eastAsia="微软雅黑" w:cs="微软雅黑"/>
          <w:sz w:val="16"/>
          <w:szCs w:val="16"/>
        </w:rPr>
      </w:pPr>
      <w:r>
        <w:rPr>
          <w:rFonts w:ascii="微软雅黑" w:hAnsi="微软雅黑" w:eastAsia="微软雅黑" w:cs="微软雅黑"/>
          <w:spacing w:val="14"/>
          <w:sz w:val="16"/>
          <w:szCs w:val="16"/>
        </w:rPr>
        <w:t>[5]</w:t>
      </w:r>
      <w:r>
        <w:rPr>
          <w:rFonts w:ascii="微软雅黑" w:hAnsi="微软雅黑" w:eastAsia="微软雅黑" w:cs="微软雅黑"/>
          <w:spacing w:val="8"/>
          <w:sz w:val="16"/>
          <w:szCs w:val="16"/>
        </w:rPr>
        <w:t xml:space="preserve">    </w:t>
      </w:r>
      <w:r>
        <w:rPr>
          <w:rFonts w:ascii="宋体" w:hAnsi="宋体" w:eastAsia="宋体" w:cs="宋体"/>
          <w:spacing w:val="14"/>
          <w:sz w:val="16"/>
          <w:szCs w:val="16"/>
        </w:rPr>
        <w:t>李会春</w:t>
      </w:r>
      <w:r>
        <w:rPr>
          <w:rFonts w:ascii="微软雅黑" w:hAnsi="微软雅黑" w:eastAsia="微软雅黑" w:cs="微软雅黑"/>
          <w:spacing w:val="14"/>
          <w:position w:val="-1"/>
          <w:sz w:val="16"/>
          <w:szCs w:val="16"/>
        </w:rPr>
        <w:t>．</w:t>
      </w:r>
      <w:r>
        <w:rPr>
          <w:rFonts w:ascii="宋体" w:hAnsi="宋体" w:eastAsia="宋体" w:cs="宋体"/>
          <w:spacing w:val="14"/>
          <w:sz w:val="16"/>
          <w:szCs w:val="16"/>
        </w:rPr>
        <w:t>哈佛大学的通识教育课程改革透视</w:t>
      </w:r>
      <w:r>
        <w:rPr>
          <w:rFonts w:ascii="微软雅黑" w:hAnsi="微软雅黑" w:eastAsia="微软雅黑" w:cs="微软雅黑"/>
          <w:spacing w:val="14"/>
          <w:sz w:val="16"/>
          <w:szCs w:val="16"/>
        </w:rPr>
        <w:t>[J]</w:t>
      </w:r>
      <w:r>
        <w:rPr>
          <w:rFonts w:ascii="微软雅黑" w:hAnsi="微软雅黑" w:eastAsia="微软雅黑" w:cs="微软雅黑"/>
          <w:spacing w:val="-12"/>
          <w:sz w:val="16"/>
          <w:szCs w:val="16"/>
        </w:rPr>
        <w:t xml:space="preserve"> </w:t>
      </w:r>
      <w:r>
        <w:rPr>
          <w:rFonts w:ascii="微软雅黑" w:hAnsi="微软雅黑" w:eastAsia="微软雅黑" w:cs="微软雅黑"/>
          <w:spacing w:val="14"/>
          <w:position w:val="-1"/>
          <w:sz w:val="16"/>
          <w:szCs w:val="16"/>
        </w:rPr>
        <w:t xml:space="preserve">.  </w:t>
      </w:r>
      <w:r>
        <w:rPr>
          <w:rFonts w:ascii="宋体" w:hAnsi="宋体" w:eastAsia="宋体" w:cs="宋体"/>
          <w:spacing w:val="14"/>
          <w:sz w:val="16"/>
          <w:szCs w:val="16"/>
        </w:rPr>
        <w:t>中</w:t>
      </w:r>
      <w:r>
        <w:rPr>
          <w:rFonts w:ascii="宋体" w:hAnsi="宋体" w:eastAsia="宋体" w:cs="宋体"/>
          <w:spacing w:val="-39"/>
          <w:sz w:val="16"/>
          <w:szCs w:val="16"/>
        </w:rPr>
        <w:t xml:space="preserve"> </w:t>
      </w:r>
      <w:r>
        <w:rPr>
          <w:rFonts w:ascii="宋体" w:hAnsi="宋体" w:eastAsia="宋体" w:cs="宋体"/>
          <w:spacing w:val="14"/>
          <w:sz w:val="16"/>
          <w:szCs w:val="16"/>
        </w:rPr>
        <w:t>国</w:t>
      </w:r>
      <w:r>
        <w:rPr>
          <w:rFonts w:ascii="宋体" w:hAnsi="宋体" w:eastAsia="宋体" w:cs="宋体"/>
          <w:sz w:val="16"/>
          <w:szCs w:val="16"/>
        </w:rPr>
        <w:t xml:space="preserve"> </w:t>
      </w:r>
      <w:r>
        <w:rPr>
          <w:rFonts w:ascii="宋体" w:hAnsi="宋体" w:eastAsia="宋体" w:cs="宋体"/>
          <w:spacing w:val="-2"/>
          <w:sz w:val="16"/>
          <w:szCs w:val="16"/>
        </w:rPr>
        <w:t>高等教育</w:t>
      </w:r>
      <w:r>
        <w:rPr>
          <w:rFonts w:ascii="微软雅黑" w:hAnsi="微软雅黑" w:eastAsia="微软雅黑" w:cs="微软雅黑"/>
          <w:spacing w:val="-2"/>
          <w:position w:val="1"/>
          <w:sz w:val="16"/>
          <w:szCs w:val="16"/>
        </w:rPr>
        <w:t>，</w:t>
      </w:r>
      <w:r>
        <w:rPr>
          <w:rFonts w:ascii="微软雅黑" w:hAnsi="微软雅黑" w:eastAsia="微软雅黑" w:cs="微软雅黑"/>
          <w:spacing w:val="-2"/>
          <w:sz w:val="16"/>
          <w:szCs w:val="16"/>
        </w:rPr>
        <w:t xml:space="preserve">2008 </w:t>
      </w:r>
      <w:r>
        <w:rPr>
          <w:rFonts w:ascii="微软雅黑" w:hAnsi="微软雅黑" w:eastAsia="微软雅黑" w:cs="微软雅黑"/>
          <w:spacing w:val="-2"/>
          <w:position w:val="1"/>
          <w:sz w:val="16"/>
          <w:szCs w:val="16"/>
        </w:rPr>
        <w:t xml:space="preserve">, </w:t>
      </w:r>
      <w:r>
        <w:rPr>
          <w:rFonts w:ascii="微软雅黑" w:hAnsi="微软雅黑" w:eastAsia="微软雅黑" w:cs="微软雅黑"/>
          <w:spacing w:val="-2"/>
          <w:sz w:val="16"/>
          <w:szCs w:val="16"/>
        </w:rPr>
        <w:t>(10)</w:t>
      </w:r>
      <w:r>
        <w:rPr>
          <w:rFonts w:ascii="微软雅黑" w:hAnsi="微软雅黑" w:eastAsia="微软雅黑" w:cs="微软雅黑"/>
          <w:spacing w:val="19"/>
          <w:sz w:val="16"/>
          <w:szCs w:val="16"/>
        </w:rPr>
        <w:t xml:space="preserve"> </w:t>
      </w:r>
      <w:r>
        <w:rPr>
          <w:rFonts w:ascii="微软雅黑" w:hAnsi="微软雅黑" w:eastAsia="微软雅黑" w:cs="微软雅黑"/>
          <w:spacing w:val="-2"/>
          <w:sz w:val="16"/>
          <w:szCs w:val="16"/>
        </w:rPr>
        <w:t>:60-62.</w:t>
      </w:r>
    </w:p>
    <w:p>
      <w:pPr>
        <w:spacing w:before="78" w:line="218" w:lineRule="auto"/>
        <w:ind w:left="448" w:right="74" w:hanging="439"/>
        <w:rPr>
          <w:rFonts w:ascii="微软雅黑" w:hAnsi="微软雅黑" w:eastAsia="微软雅黑" w:cs="微软雅黑"/>
          <w:sz w:val="16"/>
          <w:szCs w:val="16"/>
        </w:rPr>
      </w:pPr>
      <w:r>
        <w:rPr>
          <w:rFonts w:ascii="微软雅黑" w:hAnsi="微软雅黑" w:eastAsia="微软雅黑" w:cs="微软雅黑"/>
          <w:spacing w:val="13"/>
          <w:sz w:val="16"/>
          <w:szCs w:val="16"/>
        </w:rPr>
        <w:t>[6]</w:t>
      </w:r>
      <w:r>
        <w:rPr>
          <w:rFonts w:ascii="微软雅黑" w:hAnsi="微软雅黑" w:eastAsia="微软雅黑" w:cs="微软雅黑"/>
          <w:spacing w:val="7"/>
          <w:sz w:val="16"/>
          <w:szCs w:val="16"/>
        </w:rPr>
        <w:t xml:space="preserve">    </w:t>
      </w:r>
      <w:r>
        <w:rPr>
          <w:rFonts w:ascii="宋体" w:hAnsi="宋体" w:eastAsia="宋体" w:cs="宋体"/>
          <w:spacing w:val="13"/>
          <w:sz w:val="16"/>
          <w:szCs w:val="16"/>
        </w:rPr>
        <w:t>林焕新</w:t>
      </w:r>
      <w:r>
        <w:rPr>
          <w:rFonts w:ascii="微软雅黑" w:hAnsi="微软雅黑" w:eastAsia="微软雅黑" w:cs="微软雅黑"/>
          <w:spacing w:val="13"/>
          <w:position w:val="-1"/>
          <w:sz w:val="16"/>
          <w:szCs w:val="16"/>
        </w:rPr>
        <w:t>．</w:t>
      </w:r>
      <w:r>
        <w:rPr>
          <w:rFonts w:ascii="宋体" w:hAnsi="宋体" w:eastAsia="宋体" w:cs="宋体"/>
          <w:spacing w:val="13"/>
          <w:sz w:val="16"/>
          <w:szCs w:val="16"/>
        </w:rPr>
        <w:t>教育部发布</w:t>
      </w:r>
      <w:r>
        <w:rPr>
          <w:rFonts w:ascii="宋体" w:hAnsi="宋体" w:eastAsia="宋体" w:cs="宋体"/>
          <w:spacing w:val="-15"/>
          <w:sz w:val="16"/>
          <w:szCs w:val="16"/>
        </w:rPr>
        <w:t xml:space="preserve"> </w:t>
      </w:r>
      <w:r>
        <w:rPr>
          <w:rFonts w:ascii="微软雅黑" w:hAnsi="微软雅黑" w:eastAsia="微软雅黑" w:cs="微软雅黑"/>
          <w:spacing w:val="13"/>
          <w:sz w:val="16"/>
          <w:szCs w:val="16"/>
        </w:rPr>
        <w:t>2019</w:t>
      </w:r>
      <w:r>
        <w:rPr>
          <w:rFonts w:ascii="宋体" w:hAnsi="宋体" w:eastAsia="宋体" w:cs="宋体"/>
          <w:spacing w:val="13"/>
          <w:sz w:val="16"/>
          <w:szCs w:val="16"/>
        </w:rPr>
        <w:t>年全国教育事业发展统计公</w:t>
      </w:r>
      <w:r>
        <w:rPr>
          <w:rFonts w:ascii="宋体" w:hAnsi="宋体" w:eastAsia="宋体" w:cs="宋体"/>
          <w:sz w:val="16"/>
          <w:szCs w:val="16"/>
        </w:rPr>
        <w:t xml:space="preserve"> </w:t>
      </w:r>
      <w:r>
        <w:rPr>
          <w:rFonts w:ascii="宋体" w:hAnsi="宋体" w:eastAsia="宋体" w:cs="宋体"/>
          <w:spacing w:val="19"/>
          <w:sz w:val="16"/>
          <w:szCs w:val="16"/>
        </w:rPr>
        <w:t>报全国各级各类教育事业取得新进展</w:t>
      </w:r>
      <w:r>
        <w:rPr>
          <w:rFonts w:ascii="微软雅黑" w:hAnsi="微软雅黑" w:eastAsia="微软雅黑" w:cs="微软雅黑"/>
          <w:spacing w:val="19"/>
          <w:sz w:val="16"/>
          <w:szCs w:val="16"/>
        </w:rPr>
        <w:t>[N]</w:t>
      </w:r>
      <w:r>
        <w:rPr>
          <w:rFonts w:ascii="微软雅黑" w:hAnsi="微软雅黑" w:eastAsia="微软雅黑" w:cs="微软雅黑"/>
          <w:spacing w:val="-14"/>
          <w:sz w:val="16"/>
          <w:szCs w:val="16"/>
        </w:rPr>
        <w:t xml:space="preserve"> </w:t>
      </w:r>
      <w:r>
        <w:rPr>
          <w:rFonts w:ascii="微软雅黑" w:hAnsi="微软雅黑" w:eastAsia="微软雅黑" w:cs="微软雅黑"/>
          <w:spacing w:val="19"/>
          <w:position w:val="-1"/>
          <w:sz w:val="16"/>
          <w:szCs w:val="16"/>
        </w:rPr>
        <w:t xml:space="preserve">.  </w:t>
      </w:r>
      <w:r>
        <w:rPr>
          <w:rFonts w:ascii="宋体" w:hAnsi="宋体" w:eastAsia="宋体" w:cs="宋体"/>
          <w:spacing w:val="19"/>
          <w:sz w:val="16"/>
          <w:szCs w:val="16"/>
        </w:rPr>
        <w:t>中</w:t>
      </w:r>
      <w:r>
        <w:rPr>
          <w:rFonts w:ascii="宋体" w:hAnsi="宋体" w:eastAsia="宋体" w:cs="宋体"/>
          <w:spacing w:val="-35"/>
          <w:sz w:val="16"/>
          <w:szCs w:val="16"/>
        </w:rPr>
        <w:t xml:space="preserve"> </w:t>
      </w:r>
      <w:r>
        <w:rPr>
          <w:rFonts w:ascii="宋体" w:hAnsi="宋体" w:eastAsia="宋体" w:cs="宋体"/>
          <w:spacing w:val="19"/>
          <w:sz w:val="16"/>
          <w:szCs w:val="16"/>
        </w:rPr>
        <w:t>国教育</w:t>
      </w:r>
      <w:r>
        <w:rPr>
          <w:rFonts w:ascii="宋体" w:hAnsi="宋体" w:eastAsia="宋体" w:cs="宋体"/>
          <w:sz w:val="16"/>
          <w:szCs w:val="16"/>
        </w:rPr>
        <w:t xml:space="preserve"> </w:t>
      </w:r>
      <w:r>
        <w:rPr>
          <w:rFonts w:ascii="宋体" w:hAnsi="宋体" w:eastAsia="宋体" w:cs="宋体"/>
          <w:spacing w:val="-5"/>
          <w:position w:val="1"/>
          <w:sz w:val="16"/>
          <w:szCs w:val="16"/>
        </w:rPr>
        <w:t>报</w:t>
      </w:r>
      <w:r>
        <w:rPr>
          <w:rFonts w:ascii="微软雅黑" w:hAnsi="微软雅黑" w:eastAsia="微软雅黑" w:cs="微软雅黑"/>
          <w:spacing w:val="-5"/>
          <w:position w:val="1"/>
          <w:sz w:val="16"/>
          <w:szCs w:val="16"/>
        </w:rPr>
        <w:t>，</w:t>
      </w:r>
      <w:r>
        <w:rPr>
          <w:rFonts w:ascii="微软雅黑" w:hAnsi="微软雅黑" w:eastAsia="微软雅黑" w:cs="微软雅黑"/>
          <w:spacing w:val="-5"/>
          <w:sz w:val="16"/>
          <w:szCs w:val="16"/>
        </w:rPr>
        <w:t>2020-05-21(1) .</w:t>
      </w:r>
    </w:p>
    <w:p>
      <w:pPr>
        <w:spacing w:line="281" w:lineRule="auto"/>
        <w:rPr>
          <w:rFonts w:ascii="Arial"/>
          <w:sz w:val="21"/>
        </w:rPr>
      </w:pPr>
    </w:p>
    <w:p>
      <w:pPr>
        <w:spacing w:before="82" w:line="176" w:lineRule="auto"/>
        <w:jc w:val="right"/>
        <w:rPr>
          <w:rFonts w:ascii="微软雅黑" w:hAnsi="微软雅黑" w:eastAsia="微软雅黑" w:cs="微软雅黑"/>
          <w:sz w:val="19"/>
          <w:szCs w:val="19"/>
        </w:rPr>
      </w:pPr>
      <w:r>
        <w:rPr>
          <w:rFonts w:ascii="微软雅黑" w:hAnsi="微软雅黑" w:eastAsia="微软雅黑" w:cs="微软雅黑"/>
          <w:spacing w:val="8"/>
          <w:sz w:val="19"/>
          <w:szCs w:val="19"/>
        </w:rPr>
        <w:t>（</w:t>
      </w:r>
      <w:r>
        <w:rPr>
          <w:rFonts w:ascii="新宋体" w:hAnsi="新宋体" w:eastAsia="新宋体" w:cs="新宋体"/>
          <w:spacing w:val="8"/>
          <w:sz w:val="19"/>
          <w:szCs w:val="19"/>
        </w:rPr>
        <w:t>本文责任编辑</w:t>
      </w:r>
      <w:r>
        <w:rPr>
          <w:rFonts w:ascii="新宋体" w:hAnsi="新宋体" w:eastAsia="新宋体" w:cs="新宋体"/>
          <w:spacing w:val="34"/>
          <w:sz w:val="19"/>
          <w:szCs w:val="19"/>
        </w:rPr>
        <w:t xml:space="preserve">  </w:t>
      </w:r>
      <w:r>
        <w:rPr>
          <w:rFonts w:ascii="新宋体" w:hAnsi="新宋体" w:eastAsia="新宋体" w:cs="新宋体"/>
          <w:spacing w:val="8"/>
          <w:sz w:val="19"/>
          <w:szCs w:val="19"/>
        </w:rPr>
        <w:t>曾甘霖</w:t>
      </w:r>
      <w:r>
        <w:rPr>
          <w:rFonts w:ascii="微软雅黑" w:hAnsi="微软雅黑" w:eastAsia="微软雅黑" w:cs="微软雅黑"/>
          <w:spacing w:val="8"/>
          <w:sz w:val="19"/>
          <w:szCs w:val="19"/>
        </w:rPr>
        <w:t>）</w:t>
      </w:r>
    </w:p>
    <w:p>
      <w:pPr>
        <w:spacing w:line="176" w:lineRule="auto"/>
        <w:rPr>
          <w:rFonts w:ascii="微软雅黑" w:hAnsi="微软雅黑" w:eastAsia="微软雅黑" w:cs="微软雅黑"/>
          <w:sz w:val="19"/>
          <w:szCs w:val="19"/>
        </w:rPr>
        <w:sectPr>
          <w:type w:val="continuous"/>
          <w:pgSz w:w="11905" w:h="16836"/>
          <w:pgMar w:top="400" w:right="1066" w:bottom="547" w:left="407" w:header="0" w:footer="354" w:gutter="0"/>
          <w:cols w:equalWidth="0" w:num="2">
            <w:col w:w="5662" w:space="100"/>
            <w:col w:w="4668"/>
          </w:cols>
        </w:sect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81" w:line="184" w:lineRule="exact"/>
        <w:ind w:left="901"/>
        <w:rPr>
          <w:rFonts w:ascii="微软雅黑" w:hAnsi="微软雅黑" w:eastAsia="微软雅黑" w:cs="微软雅黑"/>
          <w:sz w:val="19"/>
          <w:szCs w:val="19"/>
        </w:rPr>
      </w:pPr>
      <w:r>
        <w:rPr>
          <w:rFonts w:ascii="微软雅黑" w:hAnsi="微软雅黑" w:eastAsia="微软雅黑" w:cs="微软雅黑"/>
          <w:spacing w:val="-14"/>
          <w:sz w:val="19"/>
          <w:szCs w:val="19"/>
        </w:rPr>
        <w:t>·</w:t>
      </w:r>
      <w:r>
        <w:rPr>
          <w:rFonts w:ascii="微软雅黑" w:hAnsi="微软雅黑" w:eastAsia="微软雅黑" w:cs="微软雅黑"/>
          <w:spacing w:val="22"/>
          <w:w w:val="101"/>
          <w:sz w:val="19"/>
          <w:szCs w:val="19"/>
        </w:rPr>
        <w:t xml:space="preserve">  </w:t>
      </w:r>
      <w:r>
        <w:rPr>
          <w:rFonts w:ascii="微软雅黑" w:hAnsi="微软雅黑" w:eastAsia="微软雅黑" w:cs="微软雅黑"/>
          <w:spacing w:val="-14"/>
          <w:position w:val="-2"/>
          <w:sz w:val="19"/>
          <w:szCs w:val="19"/>
        </w:rPr>
        <w:t>16</w:t>
      </w:r>
      <w:r>
        <w:rPr>
          <w:rFonts w:ascii="微软雅黑" w:hAnsi="微软雅黑" w:eastAsia="微软雅黑" w:cs="微软雅黑"/>
          <w:spacing w:val="20"/>
          <w:position w:val="-2"/>
          <w:sz w:val="19"/>
          <w:szCs w:val="19"/>
        </w:rPr>
        <w:t xml:space="preserve">  </w:t>
      </w:r>
      <w:r>
        <w:rPr>
          <w:rFonts w:ascii="微软雅黑" w:hAnsi="微软雅黑" w:eastAsia="微软雅黑" w:cs="微软雅黑"/>
          <w:spacing w:val="-14"/>
          <w:sz w:val="19"/>
          <w:szCs w:val="19"/>
        </w:rPr>
        <w:t>·</w:t>
      </w:r>
    </w:p>
    <w:p>
      <w:pPr>
        <w:spacing w:line="184" w:lineRule="exact"/>
        <w:rPr>
          <w:rFonts w:ascii="微软雅黑" w:hAnsi="微软雅黑" w:eastAsia="微软雅黑" w:cs="微软雅黑"/>
          <w:sz w:val="19"/>
          <w:szCs w:val="19"/>
        </w:rPr>
        <w:sectPr>
          <w:type w:val="continuous"/>
          <w:pgSz w:w="11905" w:h="16836"/>
          <w:pgMar w:top="400" w:right="1066" w:bottom="547" w:left="407" w:header="0" w:footer="354" w:gutter="0"/>
          <w:cols w:equalWidth="0" w:num="1">
            <w:col w:w="10430"/>
          </w:cols>
        </w:sectPr>
      </w:pPr>
    </w:p>
    <w:p>
      <w:pPr>
        <w:spacing w:line="289" w:lineRule="auto"/>
        <w:rPr>
          <w:rFonts w:ascii="Arial"/>
          <w:sz w:val="21"/>
        </w:rPr>
      </w:pPr>
      <w:r>
        <w:pict>
          <v:shape id="_x0000_s1035" o:spid="_x0000_s1035" style="position:absolute;left:0pt;margin-left:73.7pt;margin-top:697.7pt;height:0.3pt;width:100.5pt;mso-position-horizontal-relative:page;mso-position-vertical-relative:page;z-index:251672576;mso-width-relative:page;mso-height-relative:page;" filled="f" stroked="t" coordsize="2010,6" o:allowincell="f" path="m0,2l2009,2e">
            <v:fill on="f" focussize="0,0"/>
            <v:stroke weight="0.28pt" color="#231F20" miterlimit="4" joinstyle="miter"/>
            <v:imagedata o:title=""/>
            <o:lock v:ext="edit"/>
          </v:shape>
        </w:pict>
      </w: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133"/>
        <w:ind w:left="2211"/>
        <w:rPr>
          <w:rFonts w:ascii="宋体" w:hAnsi="宋体" w:eastAsia="宋体" w:cs="宋体"/>
          <w:sz w:val="21"/>
          <w:szCs w:val="21"/>
        </w:rPr>
      </w:pPr>
      <w:r>
        <w:rPr>
          <w:rFonts w:ascii="黑体" w:hAnsi="黑体" w:eastAsia="黑体" w:cs="黑体"/>
          <w:color w:val="231F20"/>
          <w:spacing w:val="-5"/>
          <w:sz w:val="41"/>
          <w:szCs w:val="41"/>
        </w:rPr>
        <w:t>高等教育质量文化：特征与研究展望</w:t>
      </w:r>
      <w:r>
        <w:rPr>
          <w:rFonts w:ascii="宋体" w:hAnsi="宋体" w:eastAsia="宋体" w:cs="宋体"/>
          <w:color w:val="231F20"/>
          <w:spacing w:val="-5"/>
          <w:position w:val="16"/>
          <w:sz w:val="21"/>
          <w:szCs w:val="21"/>
        </w:rPr>
        <w:t>①</w:t>
      </w:r>
    </w:p>
    <w:p>
      <w:pPr>
        <w:spacing w:line="445" w:lineRule="auto"/>
        <w:rPr>
          <w:rFonts w:ascii="Arial"/>
          <w:sz w:val="21"/>
        </w:rPr>
      </w:pPr>
    </w:p>
    <w:p>
      <w:pPr>
        <w:spacing w:before="116" w:line="175" w:lineRule="auto"/>
        <w:ind w:left="4663"/>
        <w:rPr>
          <w:rFonts w:ascii="微软雅黑" w:hAnsi="微软雅黑" w:eastAsia="微软雅黑" w:cs="微软雅黑"/>
          <w:sz w:val="27"/>
          <w:szCs w:val="27"/>
        </w:rPr>
      </w:pPr>
      <w:r>
        <w:rPr>
          <w:rFonts w:ascii="微软雅黑" w:hAnsi="微软雅黑" w:eastAsia="微软雅黑" w:cs="微软雅黑"/>
          <w:color w:val="231F20"/>
          <w:spacing w:val="-16"/>
          <w:sz w:val="27"/>
          <w:szCs w:val="27"/>
        </w:rPr>
        <w:t>洪    林，汪福俊</w:t>
      </w:r>
    </w:p>
    <w:p>
      <w:pPr>
        <w:spacing w:before="136" w:line="200" w:lineRule="auto"/>
        <w:ind w:left="4093"/>
        <w:rPr>
          <w:rFonts w:ascii="微软雅黑" w:hAnsi="微软雅黑" w:eastAsia="微软雅黑" w:cs="微软雅黑"/>
          <w:sz w:val="19"/>
          <w:szCs w:val="19"/>
        </w:rPr>
      </w:pPr>
      <w:r>
        <w:rPr>
          <w:rFonts w:ascii="微软雅黑" w:hAnsi="微软雅黑" w:eastAsia="微软雅黑" w:cs="微软雅黑"/>
          <w:color w:val="231F20"/>
          <w:spacing w:val="-12"/>
          <w:sz w:val="19"/>
          <w:szCs w:val="19"/>
        </w:rPr>
        <w:t>（盐城工学院，江苏  盐城</w:t>
      </w:r>
      <w:r>
        <w:rPr>
          <w:rFonts w:ascii="微软雅黑" w:hAnsi="微软雅黑" w:eastAsia="微软雅黑" w:cs="微软雅黑"/>
          <w:color w:val="231F20"/>
          <w:spacing w:val="43"/>
          <w:w w:val="101"/>
          <w:sz w:val="19"/>
          <w:szCs w:val="19"/>
        </w:rPr>
        <w:t xml:space="preserve"> </w:t>
      </w:r>
      <w:r>
        <w:rPr>
          <w:rFonts w:ascii="微软雅黑" w:hAnsi="微软雅黑" w:eastAsia="微软雅黑" w:cs="微软雅黑"/>
          <w:color w:val="231F20"/>
          <w:spacing w:val="-12"/>
          <w:sz w:val="19"/>
          <w:szCs w:val="19"/>
        </w:rPr>
        <w:t>224002）</w:t>
      </w:r>
    </w:p>
    <w:p>
      <w:pPr>
        <w:spacing w:line="355" w:lineRule="auto"/>
        <w:rPr>
          <w:rFonts w:ascii="Arial"/>
          <w:sz w:val="21"/>
        </w:rPr>
      </w:pPr>
    </w:p>
    <w:p>
      <w:pPr>
        <w:spacing w:before="85" w:line="253" w:lineRule="auto"/>
        <w:ind w:left="1075" w:right="195" w:firstLine="419"/>
        <w:jc w:val="both"/>
        <w:rPr>
          <w:rFonts w:ascii="微软雅黑" w:hAnsi="微软雅黑" w:eastAsia="微软雅黑" w:cs="微软雅黑"/>
          <w:sz w:val="20"/>
          <w:szCs w:val="20"/>
        </w:rPr>
      </w:pPr>
      <w:r>
        <w:rPr>
          <w:rFonts w:ascii="黑体" w:hAnsi="黑体" w:eastAsia="黑体" w:cs="黑体"/>
          <w:color w:val="231F20"/>
          <w:spacing w:val="8"/>
          <w:sz w:val="20"/>
          <w:szCs w:val="20"/>
        </w:rPr>
        <w:t>摘  要：</w:t>
      </w:r>
      <w:r>
        <w:rPr>
          <w:rFonts w:ascii="微软雅黑" w:hAnsi="微软雅黑" w:eastAsia="微软雅黑" w:cs="微软雅黑"/>
          <w:color w:val="231F20"/>
          <w:spacing w:val="8"/>
          <w:sz w:val="20"/>
          <w:szCs w:val="20"/>
        </w:rPr>
        <w:t>构建新发展理念指导下的高等教育质量文化，是推进高等教</w:t>
      </w:r>
      <w:r>
        <w:rPr>
          <w:rFonts w:ascii="微软雅黑" w:hAnsi="微软雅黑" w:eastAsia="微软雅黑" w:cs="微软雅黑"/>
          <w:color w:val="231F20"/>
          <w:spacing w:val="7"/>
          <w:sz w:val="20"/>
          <w:szCs w:val="20"/>
        </w:rPr>
        <w:t>育提质创新发展的路径之</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一</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3"/>
          <w:sz w:val="20"/>
          <w:szCs w:val="20"/>
        </w:rPr>
        <w:t>。在对高等教育质量文化路径论、结构论、功能论以及多重</w:t>
      </w:r>
      <w:r>
        <w:rPr>
          <w:rFonts w:ascii="微软雅黑" w:hAnsi="微软雅黑" w:eastAsia="微软雅黑" w:cs="微软雅黑"/>
          <w:color w:val="231F20"/>
          <w:spacing w:val="2"/>
          <w:sz w:val="20"/>
          <w:szCs w:val="20"/>
        </w:rPr>
        <w:t>定义进行初步辨析的基础上，归纳出高</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等教育质量文化的基本特征</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3"/>
          <w:sz w:val="20"/>
          <w:szCs w:val="20"/>
        </w:rPr>
        <w:t>。继而提出，新时代的高等教育质</w:t>
      </w:r>
      <w:r>
        <w:rPr>
          <w:rFonts w:ascii="微软雅黑" w:hAnsi="微软雅黑" w:eastAsia="微软雅黑" w:cs="微软雅黑"/>
          <w:color w:val="231F20"/>
          <w:spacing w:val="2"/>
          <w:sz w:val="20"/>
          <w:szCs w:val="20"/>
        </w:rPr>
        <w:t>量文化研究，将是聚焦高质量，凸显独</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特性，更加彰显中国特色高等教育质量文化的研究；是加强服务能力建设，提升社会贡献度，构建具</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4"/>
          <w:sz w:val="20"/>
          <w:szCs w:val="20"/>
        </w:rPr>
        <w:t>有校本特色的质量文化研究；是树立科学教育质量观，坚持全面质量管理理</w:t>
      </w:r>
      <w:r>
        <w:rPr>
          <w:rFonts w:ascii="微软雅黑" w:hAnsi="微软雅黑" w:eastAsia="微软雅黑" w:cs="微软雅黑"/>
          <w:color w:val="231F20"/>
          <w:spacing w:val="3"/>
          <w:sz w:val="20"/>
          <w:szCs w:val="20"/>
        </w:rPr>
        <w:t>念的研究。</w:t>
      </w:r>
    </w:p>
    <w:p>
      <w:pPr>
        <w:spacing w:before="84" w:line="206" w:lineRule="auto"/>
        <w:ind w:left="1495"/>
        <w:rPr>
          <w:rFonts w:ascii="微软雅黑" w:hAnsi="微软雅黑" w:eastAsia="微软雅黑" w:cs="微软雅黑"/>
          <w:sz w:val="20"/>
          <w:szCs w:val="20"/>
        </w:rPr>
      </w:pPr>
      <w:r>
        <w:rPr>
          <w:rFonts w:ascii="黑体" w:hAnsi="黑体" w:eastAsia="黑体" w:cs="黑体"/>
          <w:color w:val="231F20"/>
          <w:spacing w:val="-7"/>
          <w:sz w:val="20"/>
          <w:szCs w:val="20"/>
        </w:rPr>
        <w:t>关键词：</w:t>
      </w:r>
      <w:r>
        <w:rPr>
          <w:rFonts w:ascii="微软雅黑" w:hAnsi="微软雅黑" w:eastAsia="微软雅黑" w:cs="微软雅黑"/>
          <w:color w:val="231F20"/>
          <w:spacing w:val="-7"/>
          <w:sz w:val="20"/>
          <w:szCs w:val="20"/>
        </w:rPr>
        <w:t>质量；质量文化；高等教育质量；高等教育质量文化；内部治理</w:t>
      </w:r>
    </w:p>
    <w:p>
      <w:pPr>
        <w:spacing w:before="63" w:line="277" w:lineRule="auto"/>
        <w:ind w:left="1493" w:right="1637" w:firstLine="19"/>
        <w:rPr>
          <w:rFonts w:ascii="Times New Roman" w:hAnsi="Times New Roman" w:eastAsia="Times New Roman" w:cs="Times New Roman"/>
          <w:sz w:val="20"/>
          <w:szCs w:val="20"/>
        </w:rPr>
      </w:pPr>
      <w:r>
        <w:rPr>
          <w:rFonts w:ascii="黑体" w:hAnsi="黑体" w:eastAsia="黑体" w:cs="黑体"/>
          <w:color w:val="231F20"/>
          <w:spacing w:val="-4"/>
          <w:sz w:val="20"/>
          <w:szCs w:val="20"/>
        </w:rPr>
        <w:t>中图分类号：</w:t>
      </w:r>
      <w:r>
        <w:rPr>
          <w:rFonts w:ascii="Times New Roman" w:hAnsi="Times New Roman" w:eastAsia="Times New Roman" w:cs="Times New Roman"/>
          <w:color w:val="231F20"/>
          <w:spacing w:val="-4"/>
          <w:sz w:val="20"/>
          <w:szCs w:val="20"/>
        </w:rPr>
        <w:t xml:space="preserve">G40-058    </w:t>
      </w:r>
      <w:r>
        <w:rPr>
          <w:rFonts w:ascii="黑体" w:hAnsi="黑体" w:eastAsia="黑体" w:cs="黑体"/>
          <w:color w:val="231F20"/>
          <w:spacing w:val="-4"/>
          <w:sz w:val="20"/>
          <w:szCs w:val="20"/>
        </w:rPr>
        <w:t>文献标识码：</w:t>
      </w:r>
      <w:r>
        <w:rPr>
          <w:rFonts w:ascii="Times New Roman" w:hAnsi="Times New Roman" w:eastAsia="Times New Roman" w:cs="Times New Roman"/>
          <w:color w:val="231F20"/>
          <w:spacing w:val="-4"/>
          <w:sz w:val="20"/>
          <w:szCs w:val="20"/>
        </w:rPr>
        <w:t xml:space="preserve">A     </w:t>
      </w:r>
      <w:r>
        <w:rPr>
          <w:rFonts w:ascii="黑体" w:hAnsi="黑体" w:eastAsia="黑体" w:cs="黑体"/>
          <w:color w:val="231F20"/>
          <w:spacing w:val="-4"/>
          <w:sz w:val="20"/>
          <w:szCs w:val="20"/>
        </w:rPr>
        <w:t>文章编号：</w:t>
      </w:r>
      <w:r>
        <w:rPr>
          <w:rFonts w:ascii="Times New Roman" w:hAnsi="Times New Roman" w:eastAsia="Times New Roman" w:cs="Times New Roman"/>
          <w:color w:val="231F20"/>
          <w:spacing w:val="-4"/>
          <w:sz w:val="20"/>
          <w:szCs w:val="20"/>
        </w:rPr>
        <w:t>1674-5485</w:t>
      </w:r>
      <w:r>
        <w:rPr>
          <w:rFonts w:ascii="黑体" w:hAnsi="黑体" w:eastAsia="黑体" w:cs="黑体"/>
          <w:color w:val="231F20"/>
          <w:spacing w:val="-4"/>
          <w:sz w:val="20"/>
          <w:szCs w:val="20"/>
        </w:rPr>
        <w:t>（</w:t>
      </w:r>
      <w:r>
        <w:rPr>
          <w:rFonts w:ascii="Times New Roman" w:hAnsi="Times New Roman" w:eastAsia="Times New Roman" w:cs="Times New Roman"/>
          <w:color w:val="231F20"/>
          <w:spacing w:val="-4"/>
          <w:sz w:val="20"/>
          <w:szCs w:val="20"/>
        </w:rPr>
        <w:t>2021</w:t>
      </w:r>
      <w:r>
        <w:rPr>
          <w:rFonts w:ascii="黑体" w:hAnsi="黑体" w:eastAsia="黑体" w:cs="黑体"/>
          <w:color w:val="231F20"/>
          <w:spacing w:val="-4"/>
          <w:sz w:val="20"/>
          <w:szCs w:val="20"/>
        </w:rPr>
        <w:t>）</w:t>
      </w:r>
      <w:r>
        <w:rPr>
          <w:rFonts w:ascii="Times New Roman" w:hAnsi="Times New Roman" w:eastAsia="Times New Roman" w:cs="Times New Roman"/>
          <w:color w:val="231F20"/>
          <w:spacing w:val="-4"/>
          <w:sz w:val="20"/>
          <w:szCs w:val="20"/>
        </w:rPr>
        <w:t>07-00</w:t>
      </w:r>
      <w:r>
        <w:rPr>
          <w:rFonts w:ascii="Times New Roman" w:hAnsi="Times New Roman" w:eastAsia="Times New Roman" w:cs="Times New Roman"/>
          <w:color w:val="231F20"/>
          <w:spacing w:val="-5"/>
          <w:sz w:val="20"/>
          <w:szCs w:val="20"/>
        </w:rPr>
        <w:t>26-06</w:t>
      </w:r>
      <w:r>
        <w:rPr>
          <w:rFonts w:ascii="Times New Roman" w:hAnsi="Times New Roman" w:eastAsia="Times New Roman" w:cs="Times New Roman"/>
          <w:color w:val="231F20"/>
          <w:sz w:val="20"/>
          <w:szCs w:val="20"/>
        </w:rPr>
        <w:t xml:space="preserve"> </w:t>
      </w:r>
      <w:r>
        <w:rPr>
          <w:rFonts w:ascii="宋体" w:hAnsi="宋体" w:eastAsia="宋体" w:cs="宋体"/>
          <w:color w:val="231F20"/>
          <w:sz w:val="20"/>
          <w:szCs w:val="20"/>
        </w:rPr>
        <w:t>DOI</w:t>
      </w:r>
      <w:r>
        <w:rPr>
          <w:rFonts w:ascii="黑体" w:hAnsi="黑体" w:eastAsia="黑体" w:cs="黑体"/>
          <w:color w:val="231F20"/>
          <w:spacing w:val="3"/>
          <w:sz w:val="20"/>
          <w:szCs w:val="20"/>
        </w:rPr>
        <w:t>：</w:t>
      </w:r>
      <w:r>
        <w:rPr>
          <w:rFonts w:ascii="Times New Roman" w:hAnsi="Times New Roman" w:eastAsia="Times New Roman" w:cs="Times New Roman"/>
          <w:color w:val="231F20"/>
          <w:spacing w:val="3"/>
          <w:sz w:val="20"/>
          <w:szCs w:val="20"/>
        </w:rPr>
        <w:t>10.</w:t>
      </w:r>
      <w:r>
        <w:rPr>
          <w:rFonts w:ascii="Times New Roman" w:hAnsi="Times New Roman" w:eastAsia="Times New Roman" w:cs="Times New Roman"/>
          <w:color w:val="231F20"/>
          <w:spacing w:val="-25"/>
          <w:sz w:val="20"/>
          <w:szCs w:val="20"/>
        </w:rPr>
        <w:t xml:space="preserve"> </w:t>
      </w:r>
      <w:r>
        <w:rPr>
          <w:rFonts w:ascii="Times New Roman" w:hAnsi="Times New Roman" w:eastAsia="Times New Roman" w:cs="Times New Roman"/>
          <w:color w:val="231F20"/>
          <w:spacing w:val="3"/>
          <w:sz w:val="20"/>
          <w:szCs w:val="20"/>
        </w:rPr>
        <w:t>16697/j.</w:t>
      </w:r>
      <w:r>
        <w:rPr>
          <w:rFonts w:ascii="Times New Roman" w:hAnsi="Times New Roman" w:eastAsia="Times New Roman" w:cs="Times New Roman"/>
          <w:color w:val="231F20"/>
          <w:spacing w:val="-25"/>
          <w:sz w:val="20"/>
          <w:szCs w:val="20"/>
        </w:rPr>
        <w:t xml:space="preserve"> </w:t>
      </w:r>
      <w:r>
        <w:rPr>
          <w:rFonts w:ascii="Times New Roman" w:hAnsi="Times New Roman" w:eastAsia="Times New Roman" w:cs="Times New Roman"/>
          <w:color w:val="231F20"/>
          <w:spacing w:val="3"/>
          <w:sz w:val="20"/>
          <w:szCs w:val="20"/>
        </w:rPr>
        <w:t>1674-5485.2021.07</w:t>
      </w:r>
      <w:r>
        <w:rPr>
          <w:rFonts w:ascii="Times New Roman" w:hAnsi="Times New Roman" w:eastAsia="Times New Roman" w:cs="Times New Roman"/>
          <w:color w:val="231F20"/>
          <w:spacing w:val="2"/>
          <w:sz w:val="20"/>
          <w:szCs w:val="20"/>
        </w:rPr>
        <w:t>.004</w:t>
      </w:r>
    </w:p>
    <w:p>
      <w:pPr>
        <w:spacing w:before="5"/>
      </w:pPr>
    </w:p>
    <w:p>
      <w:pPr>
        <w:spacing w:before="4"/>
      </w:pPr>
    </w:p>
    <w:p>
      <w:pPr>
        <w:sectPr>
          <w:headerReference r:id="rId31" w:type="default"/>
          <w:footerReference r:id="rId32" w:type="default"/>
          <w:pgSz w:w="11906" w:h="16158"/>
          <w:pgMar w:top="1597" w:right="1280" w:bottom="547" w:left="407" w:header="1211" w:footer="354" w:gutter="0"/>
          <w:cols w:equalWidth="0" w:num="1">
            <w:col w:w="10217"/>
          </w:cols>
        </w:sectPr>
      </w:pPr>
    </w:p>
    <w:p>
      <w:pPr>
        <w:spacing w:before="40" w:line="230" w:lineRule="auto"/>
        <w:ind w:left="1069" w:right="120" w:firstLine="405"/>
        <w:jc w:val="both"/>
        <w:rPr>
          <w:rFonts w:ascii="微软雅黑" w:hAnsi="微软雅黑" w:eastAsia="微软雅黑" w:cs="微软雅黑"/>
          <w:sz w:val="19"/>
          <w:szCs w:val="19"/>
        </w:rPr>
      </w:pPr>
      <w:r>
        <w:rPr>
          <w:rFonts w:ascii="微软雅黑" w:hAnsi="微软雅黑" w:eastAsia="微软雅黑" w:cs="微软雅黑"/>
          <w:color w:val="231F20"/>
          <w:spacing w:val="18"/>
          <w:sz w:val="19"/>
          <w:szCs w:val="19"/>
        </w:rPr>
        <w:t>我国高等教育规模的迅速扩张始于</w:t>
      </w:r>
      <w:r>
        <w:rPr>
          <w:rFonts w:ascii="微软雅黑" w:hAnsi="微软雅黑" w:eastAsia="微软雅黑" w:cs="微软雅黑"/>
          <w:color w:val="231F20"/>
          <w:spacing w:val="10"/>
          <w:sz w:val="19"/>
          <w:szCs w:val="19"/>
        </w:rPr>
        <w:t xml:space="preserve"> </w:t>
      </w:r>
      <w:r>
        <w:rPr>
          <w:rFonts w:ascii="宋体" w:hAnsi="宋体" w:eastAsia="宋体" w:cs="宋体"/>
          <w:color w:val="231F20"/>
          <w:spacing w:val="18"/>
          <w:sz w:val="19"/>
          <w:szCs w:val="19"/>
        </w:rPr>
        <w:t>20</w:t>
      </w:r>
      <w:r>
        <w:rPr>
          <w:rFonts w:ascii="宋体" w:hAnsi="宋体" w:eastAsia="宋体" w:cs="宋体"/>
          <w:color w:val="231F20"/>
          <w:spacing w:val="-51"/>
          <w:sz w:val="19"/>
          <w:szCs w:val="19"/>
        </w:rPr>
        <w:t xml:space="preserve"> </w:t>
      </w:r>
      <w:r>
        <w:rPr>
          <w:rFonts w:ascii="微软雅黑" w:hAnsi="微软雅黑" w:eastAsia="微软雅黑" w:cs="微软雅黑"/>
          <w:color w:val="231F20"/>
          <w:spacing w:val="18"/>
          <w:sz w:val="19"/>
          <w:szCs w:val="19"/>
        </w:rPr>
        <w:t>世纪</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20"/>
          <w:sz w:val="19"/>
          <w:szCs w:val="19"/>
        </w:rPr>
        <w:t>末</w:t>
      </w:r>
      <w:r>
        <w:rPr>
          <w:rFonts w:ascii="微软雅黑" w:hAnsi="微软雅黑" w:eastAsia="微软雅黑" w:cs="微软雅黑"/>
          <w:color w:val="231F20"/>
          <w:spacing w:val="-9"/>
          <w:sz w:val="19"/>
          <w:szCs w:val="19"/>
        </w:rPr>
        <w:t xml:space="preserve"> </w:t>
      </w:r>
      <w:r>
        <w:rPr>
          <w:rFonts w:ascii="微软雅黑" w:hAnsi="微软雅黑" w:eastAsia="微软雅黑" w:cs="微软雅黑"/>
          <w:color w:val="231F20"/>
          <w:spacing w:val="20"/>
          <w:sz w:val="19"/>
          <w:szCs w:val="19"/>
        </w:rPr>
        <w:t>。现阶段</w:t>
      </w:r>
      <w:r>
        <w:rPr>
          <w:rFonts w:ascii="微软雅黑" w:hAnsi="微软雅黑" w:eastAsia="微软雅黑" w:cs="微软雅黑"/>
          <w:color w:val="231F20"/>
          <w:spacing w:val="-26"/>
          <w:sz w:val="19"/>
          <w:szCs w:val="19"/>
        </w:rPr>
        <w:t xml:space="preserve"> </w:t>
      </w:r>
      <w:r>
        <w:rPr>
          <w:rFonts w:ascii="微软雅黑" w:hAnsi="微软雅黑" w:eastAsia="微软雅黑" w:cs="微软雅黑"/>
          <w:color w:val="231F20"/>
          <w:spacing w:val="20"/>
          <w:sz w:val="19"/>
          <w:szCs w:val="19"/>
        </w:rPr>
        <w:t>，我国高等教育在学总人数已超过</w:t>
      </w:r>
      <w:r>
        <w:rPr>
          <w:rFonts w:ascii="微软雅黑" w:hAnsi="微软雅黑" w:eastAsia="微软雅黑" w:cs="微软雅黑"/>
          <w:color w:val="231F20"/>
          <w:sz w:val="19"/>
          <w:szCs w:val="19"/>
        </w:rPr>
        <w:t xml:space="preserve">  </w:t>
      </w:r>
      <w:r>
        <w:rPr>
          <w:rFonts w:ascii="宋体" w:hAnsi="宋体" w:eastAsia="宋体" w:cs="宋体"/>
          <w:color w:val="231F20"/>
          <w:spacing w:val="11"/>
          <w:sz w:val="19"/>
          <w:szCs w:val="19"/>
        </w:rPr>
        <w:t>4183</w:t>
      </w:r>
      <w:r>
        <w:rPr>
          <w:rFonts w:ascii="宋体" w:hAnsi="宋体" w:eastAsia="宋体" w:cs="宋体"/>
          <w:color w:val="231F20"/>
          <w:spacing w:val="-38"/>
          <w:sz w:val="19"/>
          <w:szCs w:val="19"/>
        </w:rPr>
        <w:t xml:space="preserve"> </w:t>
      </w:r>
      <w:r>
        <w:rPr>
          <w:rFonts w:ascii="微软雅黑" w:hAnsi="微软雅黑" w:eastAsia="微软雅黑" w:cs="微软雅黑"/>
          <w:color w:val="231F20"/>
          <w:spacing w:val="11"/>
          <w:sz w:val="19"/>
          <w:szCs w:val="19"/>
        </w:rPr>
        <w:t>万</w:t>
      </w:r>
      <w:r>
        <w:rPr>
          <w:rFonts w:ascii="微软雅黑" w:hAnsi="微软雅黑" w:eastAsia="微软雅黑" w:cs="微软雅黑"/>
          <w:color w:val="231F20"/>
          <w:spacing w:val="-32"/>
          <w:sz w:val="19"/>
          <w:szCs w:val="19"/>
        </w:rPr>
        <w:t xml:space="preserve"> </w:t>
      </w:r>
      <w:r>
        <w:rPr>
          <w:rFonts w:ascii="微软雅黑" w:hAnsi="微软雅黑" w:eastAsia="微软雅黑" w:cs="微软雅黑"/>
          <w:color w:val="231F20"/>
          <w:spacing w:val="11"/>
          <w:sz w:val="19"/>
          <w:szCs w:val="19"/>
        </w:rPr>
        <w:t>，成为世界上高等教育规模最大的国家</w:t>
      </w:r>
      <w:r>
        <w:rPr>
          <w:rFonts w:ascii="微软雅黑" w:hAnsi="微软雅黑" w:eastAsia="微软雅黑" w:cs="微软雅黑"/>
          <w:color w:val="231F20"/>
          <w:spacing w:val="-28"/>
          <w:sz w:val="19"/>
          <w:szCs w:val="19"/>
        </w:rPr>
        <w:t xml:space="preserve"> </w:t>
      </w:r>
      <w:r>
        <w:rPr>
          <w:rFonts w:ascii="微软雅黑" w:hAnsi="微软雅黑" w:eastAsia="微软雅黑" w:cs="微软雅黑"/>
          <w:color w:val="231F20"/>
          <w:spacing w:val="11"/>
          <w:sz w:val="19"/>
          <w:szCs w:val="19"/>
        </w:rPr>
        <w:t>。</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从精英教育跨入普及化时代，保障教育质量便提</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3"/>
          <w:sz w:val="19"/>
          <w:szCs w:val="19"/>
        </w:rPr>
        <w:t>上了重要议事日程，提高质量是未来教育改革发</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6"/>
          <w:sz w:val="19"/>
          <w:szCs w:val="19"/>
        </w:rPr>
        <w:t>展的核心任务</w:t>
      </w:r>
      <w:r>
        <w:rPr>
          <w:rFonts w:ascii="微软雅黑" w:hAnsi="微软雅黑" w:eastAsia="微软雅黑" w:cs="微软雅黑"/>
          <w:color w:val="231F20"/>
          <w:spacing w:val="6"/>
          <w:position w:val="6"/>
          <w:sz w:val="11"/>
          <w:szCs w:val="11"/>
        </w:rPr>
        <w:t>［</w:t>
      </w:r>
      <w:r>
        <w:rPr>
          <w:rFonts w:ascii="宋体" w:hAnsi="宋体" w:eastAsia="宋体" w:cs="宋体"/>
          <w:color w:val="231F20"/>
          <w:spacing w:val="6"/>
          <w:position w:val="6"/>
          <w:sz w:val="11"/>
          <w:szCs w:val="11"/>
        </w:rPr>
        <w:t>1</w:t>
      </w:r>
      <w:r>
        <w:rPr>
          <w:rFonts w:ascii="微软雅黑" w:hAnsi="微软雅黑" w:eastAsia="微软雅黑" w:cs="微软雅黑"/>
          <w:color w:val="231F20"/>
          <w:spacing w:val="-5"/>
          <w:position w:val="6"/>
          <w:sz w:val="11"/>
          <w:szCs w:val="11"/>
        </w:rPr>
        <w:t>］</w:t>
      </w:r>
      <w:r>
        <w:rPr>
          <w:rFonts w:ascii="微软雅黑" w:hAnsi="微软雅黑" w:eastAsia="微软雅黑" w:cs="微软雅黑"/>
          <w:color w:val="231F20"/>
          <w:spacing w:val="-32"/>
          <w:w w:val="56"/>
          <w:sz w:val="19"/>
          <w:szCs w:val="19"/>
        </w:rPr>
        <w:t>，</w:t>
      </w:r>
      <w:r>
        <w:rPr>
          <w:rFonts w:ascii="微软雅黑" w:hAnsi="微软雅黑" w:eastAsia="微软雅黑" w:cs="微软雅黑"/>
          <w:color w:val="231F20"/>
          <w:spacing w:val="6"/>
          <w:sz w:val="19"/>
          <w:szCs w:val="19"/>
        </w:rPr>
        <w:t>这其中，构建新发展理念指导下</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的高等教育质量文化，更是推进高等教育提质创</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8"/>
          <w:sz w:val="19"/>
          <w:szCs w:val="19"/>
        </w:rPr>
        <w:t>新发展的路径之一。</w:t>
      </w:r>
    </w:p>
    <w:p>
      <w:pPr>
        <w:spacing w:before="204" w:line="266" w:lineRule="exact"/>
        <w:ind w:left="1480"/>
        <w:rPr>
          <w:rFonts w:ascii="黑体" w:hAnsi="黑体" w:eastAsia="黑体" w:cs="黑体"/>
          <w:sz w:val="20"/>
          <w:szCs w:val="20"/>
        </w:rPr>
      </w:pPr>
      <w:r>
        <w:rPr>
          <w:rFonts w:ascii="黑体" w:hAnsi="黑体" w:eastAsia="黑体" w:cs="黑体"/>
          <w:color w:val="231F20"/>
          <w:spacing w:val="-8"/>
          <w:position w:val="1"/>
          <w:sz w:val="20"/>
          <w:szCs w:val="20"/>
        </w:rPr>
        <w:t>一、高等教育质量文化的内涵之辨</w:t>
      </w:r>
    </w:p>
    <w:p>
      <w:pPr>
        <w:spacing w:before="212" w:line="199" w:lineRule="auto"/>
        <w:ind w:left="1388"/>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1"/>
          <w:sz w:val="20"/>
          <w:szCs w:val="20"/>
        </w:rPr>
        <w:t>一）高等教育质量文化的路径论</w:t>
      </w:r>
    </w:p>
    <w:p>
      <w:pPr>
        <w:spacing w:before="34" w:line="219" w:lineRule="auto"/>
        <w:ind w:left="1071" w:right="195" w:firstLine="402"/>
        <w:rPr>
          <w:rFonts w:ascii="微软雅黑" w:hAnsi="微软雅黑" w:eastAsia="微软雅黑" w:cs="微软雅黑"/>
          <w:sz w:val="19"/>
          <w:szCs w:val="19"/>
        </w:rPr>
      </w:pPr>
      <w:r>
        <w:rPr>
          <w:rFonts w:ascii="微软雅黑" w:hAnsi="微软雅黑" w:eastAsia="微软雅黑" w:cs="微软雅黑"/>
          <w:color w:val="231F20"/>
          <w:spacing w:val="25"/>
          <w:sz w:val="19"/>
          <w:szCs w:val="19"/>
        </w:rPr>
        <w:t>我国高等教育质量文化研究并不是内生性</w:t>
      </w:r>
      <w:r>
        <w:rPr>
          <w:rFonts w:ascii="微软雅黑" w:hAnsi="微软雅黑" w:eastAsia="微软雅黑" w:cs="微软雅黑"/>
          <w:color w:val="231F20"/>
          <w:spacing w:val="2"/>
          <w:sz w:val="19"/>
          <w:szCs w:val="19"/>
        </w:rPr>
        <w:t xml:space="preserve"> </w:t>
      </w:r>
      <w:r>
        <w:rPr>
          <w:rFonts w:ascii="微软雅黑" w:hAnsi="微软雅黑" w:eastAsia="微软雅黑" w:cs="微软雅黑"/>
          <w:color w:val="231F20"/>
          <w:spacing w:val="4"/>
          <w:sz w:val="19"/>
          <w:szCs w:val="19"/>
        </w:rPr>
        <w:t>的，它依据的标准、建设的理念大多借鉴了企业质</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8"/>
          <w:sz w:val="19"/>
          <w:szCs w:val="19"/>
        </w:rPr>
        <w:t>量文化的研究成果</w:t>
      </w:r>
      <w:r>
        <w:rPr>
          <w:rFonts w:ascii="微软雅黑" w:hAnsi="微软雅黑" w:eastAsia="微软雅黑" w:cs="微软雅黑"/>
          <w:color w:val="231F20"/>
          <w:spacing w:val="-15"/>
          <w:sz w:val="19"/>
          <w:szCs w:val="19"/>
        </w:rPr>
        <w:t xml:space="preserve"> </w:t>
      </w:r>
      <w:r>
        <w:rPr>
          <w:rFonts w:ascii="微软雅黑" w:hAnsi="微软雅黑" w:eastAsia="微软雅黑" w:cs="微软雅黑"/>
          <w:color w:val="231F20"/>
          <w:spacing w:val="-8"/>
          <w:sz w:val="19"/>
          <w:szCs w:val="19"/>
        </w:rPr>
        <w:t>。其实“质量</w:t>
      </w:r>
      <w:r>
        <w:rPr>
          <w:rFonts w:ascii="微软雅黑" w:hAnsi="微软雅黑" w:eastAsia="微软雅黑" w:cs="微软雅黑"/>
          <w:color w:val="231F20"/>
          <w:spacing w:val="-33"/>
          <w:sz w:val="19"/>
          <w:szCs w:val="19"/>
        </w:rPr>
        <w:t xml:space="preserve"> </w:t>
      </w:r>
      <w:r>
        <w:rPr>
          <w:rFonts w:ascii="微软雅黑" w:hAnsi="微软雅黑" w:eastAsia="微软雅黑" w:cs="微软雅黑"/>
          <w:color w:val="231F20"/>
          <w:spacing w:val="-8"/>
          <w:sz w:val="19"/>
          <w:szCs w:val="19"/>
        </w:rPr>
        <w:t>”与“文化</w:t>
      </w:r>
      <w:r>
        <w:rPr>
          <w:rFonts w:ascii="微软雅黑" w:hAnsi="微软雅黑" w:eastAsia="微软雅黑" w:cs="微软雅黑"/>
          <w:color w:val="231F20"/>
          <w:spacing w:val="-32"/>
          <w:sz w:val="19"/>
          <w:szCs w:val="19"/>
        </w:rPr>
        <w:t xml:space="preserve"> </w:t>
      </w:r>
      <w:r>
        <w:rPr>
          <w:rFonts w:ascii="微软雅黑" w:hAnsi="微软雅黑" w:eastAsia="微软雅黑" w:cs="微软雅黑"/>
          <w:color w:val="231F20"/>
          <w:spacing w:val="-8"/>
          <w:sz w:val="19"/>
          <w:szCs w:val="19"/>
        </w:rPr>
        <w:t>”原本是</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4"/>
          <w:sz w:val="19"/>
          <w:szCs w:val="19"/>
        </w:rPr>
        <w:t>既有不同内涵、又有必然联系的两个词语，高等教</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4"/>
          <w:sz w:val="19"/>
          <w:szCs w:val="19"/>
        </w:rPr>
        <w:t>育以质量为起点，以质量文化为桥梁，最终指向高</w:t>
      </w:r>
    </w:p>
    <w:p>
      <w:pPr>
        <w:spacing w:line="14" w:lineRule="auto"/>
        <w:rPr>
          <w:rFonts w:ascii="Arial"/>
          <w:sz w:val="2"/>
        </w:rPr>
      </w:pPr>
      <w:r>
        <w:rPr>
          <w:rFonts w:ascii="Arial" w:hAnsi="Arial" w:eastAsia="Arial" w:cs="Arial"/>
          <w:sz w:val="2"/>
          <w:szCs w:val="2"/>
        </w:rPr>
        <w:br w:type="column"/>
      </w:r>
    </w:p>
    <w:p>
      <w:pPr>
        <w:spacing w:before="37" w:line="231" w:lineRule="auto"/>
        <w:ind w:left="99" w:firstLine="2"/>
        <w:rPr>
          <w:rFonts w:ascii="微软雅黑" w:hAnsi="微软雅黑" w:eastAsia="微软雅黑" w:cs="微软雅黑"/>
          <w:sz w:val="11"/>
          <w:szCs w:val="11"/>
        </w:rPr>
      </w:pPr>
      <w:r>
        <w:rPr>
          <w:rFonts w:ascii="微软雅黑" w:hAnsi="微软雅黑" w:eastAsia="微软雅黑" w:cs="微软雅黑"/>
          <w:color w:val="231F20"/>
          <w:spacing w:val="17"/>
          <w:sz w:val="19"/>
          <w:szCs w:val="19"/>
        </w:rPr>
        <w:t>等教育组织</w:t>
      </w:r>
      <w:r>
        <w:rPr>
          <w:rFonts w:ascii="微软雅黑" w:hAnsi="微软雅黑" w:eastAsia="微软雅黑" w:cs="微软雅黑"/>
          <w:color w:val="231F20"/>
          <w:spacing w:val="-1"/>
          <w:sz w:val="19"/>
          <w:szCs w:val="19"/>
        </w:rPr>
        <w:t xml:space="preserve"> </w:t>
      </w:r>
      <w:r>
        <w:rPr>
          <w:rFonts w:ascii="微软雅黑" w:hAnsi="微软雅黑" w:eastAsia="微软雅黑" w:cs="微软雅黑"/>
          <w:color w:val="231F20"/>
          <w:spacing w:val="17"/>
          <w:sz w:val="19"/>
          <w:szCs w:val="19"/>
        </w:rPr>
        <w:t xml:space="preserve">。在高等教育质量文化的形成过程    </w:t>
      </w:r>
      <w:r>
        <w:rPr>
          <w:rFonts w:ascii="微软雅黑" w:hAnsi="微软雅黑" w:eastAsia="微软雅黑" w:cs="微软雅黑"/>
          <w:color w:val="231F20"/>
          <w:spacing w:val="3"/>
          <w:sz w:val="19"/>
          <w:szCs w:val="19"/>
        </w:rPr>
        <w:t xml:space="preserve">中，质量文化、企业文化是一个重要的前置，董立    </w:t>
      </w:r>
      <w:r>
        <w:rPr>
          <w:rFonts w:ascii="微软雅黑" w:hAnsi="微软雅黑" w:eastAsia="微软雅黑" w:cs="微软雅黑"/>
          <w:color w:val="231F20"/>
          <w:sz w:val="19"/>
          <w:szCs w:val="19"/>
        </w:rPr>
        <w:t>平、孙维胜</w:t>
      </w:r>
      <w:r>
        <w:rPr>
          <w:rFonts w:ascii="微软雅黑" w:hAnsi="微软雅黑" w:eastAsia="微软雅黑" w:cs="微软雅黑"/>
          <w:color w:val="231F20"/>
          <w:position w:val="6"/>
          <w:sz w:val="11"/>
          <w:szCs w:val="11"/>
        </w:rPr>
        <w:t>［</w:t>
      </w:r>
      <w:r>
        <w:rPr>
          <w:rFonts w:ascii="宋体" w:hAnsi="宋体" w:eastAsia="宋体" w:cs="宋体"/>
          <w:color w:val="231F20"/>
          <w:position w:val="6"/>
          <w:sz w:val="11"/>
          <w:szCs w:val="11"/>
        </w:rPr>
        <w:t>2</w:t>
      </w:r>
      <w:r>
        <w:rPr>
          <w:rFonts w:ascii="微软雅黑" w:hAnsi="微软雅黑" w:eastAsia="微软雅黑" w:cs="微软雅黑"/>
          <w:color w:val="231F20"/>
          <w:position w:val="6"/>
          <w:sz w:val="11"/>
          <w:szCs w:val="11"/>
        </w:rPr>
        <w:t>］</w:t>
      </w:r>
      <w:r>
        <w:rPr>
          <w:rFonts w:ascii="微软雅黑" w:hAnsi="微软雅黑" w:eastAsia="微软雅黑" w:cs="微软雅黑"/>
          <w:color w:val="231F20"/>
          <w:sz w:val="19"/>
          <w:szCs w:val="19"/>
        </w:rPr>
        <w:t xml:space="preserve">等人将质量文化作为一个过渡，其向    </w:t>
      </w:r>
      <w:r>
        <w:rPr>
          <w:rFonts w:ascii="微软雅黑" w:hAnsi="微软雅黑" w:eastAsia="微软雅黑" w:cs="微软雅黑"/>
          <w:color w:val="231F20"/>
          <w:spacing w:val="2"/>
          <w:sz w:val="19"/>
          <w:szCs w:val="19"/>
        </w:rPr>
        <w:t>前是企业文化，向后是高等教育质量文化</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2"/>
          <w:sz w:val="19"/>
          <w:szCs w:val="19"/>
        </w:rPr>
        <w:t xml:space="preserve">。从“质    </w:t>
      </w:r>
      <w:r>
        <w:rPr>
          <w:rFonts w:ascii="微软雅黑" w:hAnsi="微软雅黑" w:eastAsia="微软雅黑" w:cs="微软雅黑"/>
          <w:color w:val="231F20"/>
          <w:spacing w:val="-6"/>
          <w:sz w:val="19"/>
          <w:szCs w:val="19"/>
        </w:rPr>
        <w:t>量</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6"/>
          <w:sz w:val="19"/>
          <w:szCs w:val="19"/>
        </w:rPr>
        <w:t>”到“高等教育质量文化</w:t>
      </w:r>
      <w:r>
        <w:rPr>
          <w:rFonts w:ascii="微软雅黑" w:hAnsi="微软雅黑" w:eastAsia="微软雅黑" w:cs="微软雅黑"/>
          <w:color w:val="231F20"/>
          <w:spacing w:val="-32"/>
          <w:sz w:val="19"/>
          <w:szCs w:val="19"/>
        </w:rPr>
        <w:t xml:space="preserve"> </w:t>
      </w:r>
      <w:r>
        <w:rPr>
          <w:rFonts w:ascii="微软雅黑" w:hAnsi="微软雅黑" w:eastAsia="微软雅黑" w:cs="微软雅黑"/>
          <w:color w:val="231F20"/>
          <w:spacing w:val="-6"/>
          <w:sz w:val="19"/>
          <w:szCs w:val="19"/>
        </w:rPr>
        <w:t xml:space="preserve">”的推演过程中，形成了    </w:t>
      </w:r>
      <w:r>
        <w:rPr>
          <w:rFonts w:ascii="微软雅黑" w:hAnsi="微软雅黑" w:eastAsia="微软雅黑" w:cs="微软雅黑"/>
          <w:color w:val="231F20"/>
          <w:spacing w:val="10"/>
          <w:sz w:val="19"/>
          <w:szCs w:val="19"/>
        </w:rPr>
        <w:t>两条不同的技术路线</w:t>
      </w:r>
      <w:r>
        <w:rPr>
          <w:rFonts w:ascii="微软雅黑" w:hAnsi="微软雅黑" w:eastAsia="微软雅黑" w:cs="微软雅黑"/>
          <w:color w:val="231F20"/>
          <w:spacing w:val="-10"/>
          <w:sz w:val="19"/>
          <w:szCs w:val="19"/>
        </w:rPr>
        <w:t xml:space="preserve"> </w:t>
      </w:r>
      <w:r>
        <w:rPr>
          <w:rFonts w:ascii="微软雅黑" w:hAnsi="微软雅黑" w:eastAsia="微软雅黑" w:cs="微软雅黑"/>
          <w:color w:val="231F20"/>
          <w:spacing w:val="10"/>
          <w:sz w:val="19"/>
          <w:szCs w:val="19"/>
        </w:rPr>
        <w:t>。一条路线是以“质量文化</w:t>
      </w:r>
      <w:r>
        <w:rPr>
          <w:rFonts w:ascii="微软雅黑" w:hAnsi="微软雅黑" w:eastAsia="微软雅黑" w:cs="微软雅黑"/>
          <w:color w:val="231F20"/>
          <w:spacing w:val="-31"/>
          <w:sz w:val="19"/>
          <w:szCs w:val="19"/>
        </w:rPr>
        <w:t xml:space="preserve"> </w:t>
      </w:r>
      <w:r>
        <w:rPr>
          <w:rFonts w:ascii="微软雅黑" w:hAnsi="微软雅黑" w:eastAsia="微软雅黑" w:cs="微软雅黑"/>
          <w:color w:val="231F20"/>
          <w:spacing w:val="10"/>
          <w:sz w:val="19"/>
          <w:szCs w:val="19"/>
        </w:rPr>
        <w:t>”</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7"/>
          <w:sz w:val="19"/>
          <w:szCs w:val="19"/>
        </w:rPr>
        <w:t>为纽带</w:t>
      </w:r>
      <w:r>
        <w:rPr>
          <w:rFonts w:ascii="微软雅黑" w:hAnsi="微软雅黑" w:eastAsia="微软雅黑" w:cs="微软雅黑"/>
          <w:color w:val="231F20"/>
          <w:spacing w:val="-17"/>
          <w:sz w:val="19"/>
          <w:szCs w:val="19"/>
        </w:rPr>
        <w:t xml:space="preserve"> </w:t>
      </w:r>
      <w:r>
        <w:rPr>
          <w:rFonts w:ascii="微软雅黑" w:hAnsi="微软雅黑" w:eastAsia="微软雅黑" w:cs="微软雅黑"/>
          <w:color w:val="231F20"/>
          <w:spacing w:val="7"/>
          <w:sz w:val="19"/>
          <w:szCs w:val="19"/>
        </w:rPr>
        <w:t>，以“质量</w:t>
      </w:r>
      <w:r>
        <w:rPr>
          <w:rFonts w:ascii="微软雅黑" w:hAnsi="微软雅黑" w:eastAsia="微软雅黑" w:cs="微软雅黑"/>
          <w:color w:val="231F20"/>
          <w:spacing w:val="-38"/>
          <w:sz w:val="19"/>
          <w:szCs w:val="19"/>
        </w:rPr>
        <w:t xml:space="preserve"> </w:t>
      </w:r>
      <w:r>
        <w:rPr>
          <w:rFonts w:ascii="宋体" w:hAnsi="宋体" w:eastAsia="宋体" w:cs="宋体"/>
          <w:color w:val="231F20"/>
          <w:spacing w:val="7"/>
          <w:sz w:val="19"/>
          <w:szCs w:val="19"/>
        </w:rPr>
        <w:t>→</w:t>
      </w:r>
      <w:r>
        <w:rPr>
          <w:rFonts w:ascii="微软雅黑" w:hAnsi="微软雅黑" w:eastAsia="微软雅黑" w:cs="微软雅黑"/>
          <w:color w:val="231F20"/>
          <w:spacing w:val="7"/>
          <w:sz w:val="19"/>
          <w:szCs w:val="19"/>
        </w:rPr>
        <w:t>质量文化</w:t>
      </w:r>
      <w:r>
        <w:rPr>
          <w:rFonts w:ascii="微软雅黑" w:hAnsi="微软雅黑" w:eastAsia="微软雅黑" w:cs="微软雅黑"/>
          <w:color w:val="231F20"/>
          <w:spacing w:val="-38"/>
          <w:sz w:val="19"/>
          <w:szCs w:val="19"/>
        </w:rPr>
        <w:t xml:space="preserve"> </w:t>
      </w:r>
      <w:r>
        <w:rPr>
          <w:rFonts w:ascii="宋体" w:hAnsi="宋体" w:eastAsia="宋体" w:cs="宋体"/>
          <w:color w:val="231F20"/>
          <w:spacing w:val="7"/>
          <w:sz w:val="19"/>
          <w:szCs w:val="19"/>
        </w:rPr>
        <w:t>→</w:t>
      </w:r>
      <w:r>
        <w:rPr>
          <w:rFonts w:ascii="宋体" w:hAnsi="宋体" w:eastAsia="宋体" w:cs="宋体"/>
          <w:color w:val="231F20"/>
          <w:spacing w:val="-70"/>
          <w:sz w:val="19"/>
          <w:szCs w:val="19"/>
        </w:rPr>
        <w:t xml:space="preserve"> </w:t>
      </w:r>
      <w:r>
        <w:rPr>
          <w:rFonts w:ascii="微软雅黑" w:hAnsi="微软雅黑" w:eastAsia="微软雅黑" w:cs="微软雅黑"/>
          <w:color w:val="231F20"/>
          <w:spacing w:val="7"/>
          <w:sz w:val="19"/>
          <w:szCs w:val="19"/>
        </w:rPr>
        <w:t xml:space="preserve">高等教育质量文    </w:t>
      </w:r>
      <w:r>
        <w:rPr>
          <w:rFonts w:ascii="微软雅黑" w:hAnsi="微软雅黑" w:eastAsia="微软雅黑" w:cs="微软雅黑"/>
          <w:color w:val="231F20"/>
          <w:spacing w:val="-3"/>
          <w:sz w:val="19"/>
          <w:szCs w:val="19"/>
        </w:rPr>
        <w:t>化</w:t>
      </w:r>
      <w:r>
        <w:rPr>
          <w:rFonts w:ascii="微软雅黑" w:hAnsi="微软雅黑" w:eastAsia="微软雅黑" w:cs="微软雅黑"/>
          <w:color w:val="231F20"/>
          <w:spacing w:val="-35"/>
          <w:sz w:val="19"/>
          <w:szCs w:val="19"/>
        </w:rPr>
        <w:t xml:space="preserve"> </w:t>
      </w:r>
      <w:r>
        <w:rPr>
          <w:rFonts w:ascii="微软雅黑" w:hAnsi="微软雅黑" w:eastAsia="微软雅黑" w:cs="微软雅黑"/>
          <w:color w:val="231F20"/>
          <w:spacing w:val="-3"/>
          <w:sz w:val="19"/>
          <w:szCs w:val="19"/>
        </w:rPr>
        <w:t>”为技术路线进行的研究</w:t>
      </w:r>
      <w:r>
        <w:rPr>
          <w:rFonts w:ascii="微软雅黑" w:hAnsi="微软雅黑" w:eastAsia="微软雅黑" w:cs="微软雅黑"/>
          <w:color w:val="231F20"/>
          <w:spacing w:val="-3"/>
          <w:position w:val="6"/>
          <w:sz w:val="11"/>
          <w:szCs w:val="11"/>
        </w:rPr>
        <w:t>［</w:t>
      </w:r>
      <w:r>
        <w:rPr>
          <w:rFonts w:ascii="宋体" w:hAnsi="宋体" w:eastAsia="宋体" w:cs="宋体"/>
          <w:color w:val="231F20"/>
          <w:spacing w:val="-3"/>
          <w:position w:val="6"/>
          <w:sz w:val="11"/>
          <w:szCs w:val="11"/>
        </w:rPr>
        <w:t>3</w:t>
      </w:r>
      <w:r>
        <w:rPr>
          <w:rFonts w:ascii="微软雅黑" w:hAnsi="微软雅黑" w:eastAsia="微软雅黑" w:cs="微软雅黑"/>
          <w:color w:val="231F20"/>
          <w:spacing w:val="-10"/>
          <w:position w:val="6"/>
          <w:sz w:val="11"/>
          <w:szCs w:val="11"/>
        </w:rPr>
        <w:t>］</w:t>
      </w:r>
      <w:r>
        <w:rPr>
          <w:rFonts w:ascii="微软雅黑" w:hAnsi="微软雅黑" w:eastAsia="微软雅黑" w:cs="微软雅黑"/>
          <w:color w:val="231F20"/>
          <w:spacing w:val="-30"/>
          <w:w w:val="53"/>
          <w:sz w:val="19"/>
          <w:szCs w:val="19"/>
        </w:rPr>
        <w:t>；</w:t>
      </w:r>
      <w:r>
        <w:rPr>
          <w:rFonts w:ascii="微软雅黑" w:hAnsi="微软雅黑" w:eastAsia="微软雅黑" w:cs="微软雅黑"/>
          <w:color w:val="231F20"/>
          <w:spacing w:val="-3"/>
          <w:sz w:val="19"/>
          <w:szCs w:val="19"/>
        </w:rPr>
        <w:t xml:space="preserve">另一条则是以“教育    </w:t>
      </w:r>
      <w:r>
        <w:rPr>
          <w:rFonts w:ascii="微软雅黑" w:hAnsi="微软雅黑" w:eastAsia="微软雅黑" w:cs="微软雅黑"/>
          <w:color w:val="231F20"/>
          <w:spacing w:val="2"/>
          <w:sz w:val="19"/>
          <w:szCs w:val="19"/>
        </w:rPr>
        <w:t>质量</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2"/>
          <w:sz w:val="19"/>
          <w:szCs w:val="19"/>
        </w:rPr>
        <w:t>”为桥梁，以“质量</w:t>
      </w:r>
      <w:r>
        <w:rPr>
          <w:rFonts w:ascii="宋体" w:hAnsi="宋体" w:eastAsia="宋体" w:cs="宋体"/>
          <w:color w:val="231F20"/>
          <w:spacing w:val="2"/>
          <w:sz w:val="19"/>
          <w:szCs w:val="19"/>
        </w:rPr>
        <w:t>→</w:t>
      </w:r>
      <w:r>
        <w:rPr>
          <w:rFonts w:ascii="微软雅黑" w:hAnsi="微软雅黑" w:eastAsia="微软雅黑" w:cs="微软雅黑"/>
          <w:color w:val="231F20"/>
          <w:spacing w:val="2"/>
          <w:sz w:val="19"/>
          <w:szCs w:val="19"/>
        </w:rPr>
        <w:t>教育质量</w:t>
      </w:r>
      <w:r>
        <w:rPr>
          <w:rFonts w:ascii="宋体" w:hAnsi="宋体" w:eastAsia="宋体" w:cs="宋体"/>
          <w:color w:val="231F20"/>
          <w:spacing w:val="2"/>
          <w:sz w:val="19"/>
          <w:szCs w:val="19"/>
        </w:rPr>
        <w:t>→</w:t>
      </w:r>
      <w:r>
        <w:rPr>
          <w:rFonts w:ascii="微软雅黑" w:hAnsi="微软雅黑" w:eastAsia="微软雅黑" w:cs="微软雅黑"/>
          <w:color w:val="231F20"/>
          <w:spacing w:val="2"/>
          <w:sz w:val="19"/>
          <w:szCs w:val="19"/>
        </w:rPr>
        <w:t xml:space="preserve">高等教育质    </w:t>
      </w:r>
      <w:r>
        <w:rPr>
          <w:rFonts w:ascii="微软雅黑" w:hAnsi="微软雅黑" w:eastAsia="微软雅黑" w:cs="微软雅黑"/>
          <w:color w:val="231F20"/>
          <w:spacing w:val="-8"/>
          <w:sz w:val="19"/>
          <w:szCs w:val="19"/>
        </w:rPr>
        <w:t>量文化</w:t>
      </w:r>
      <w:r>
        <w:rPr>
          <w:rFonts w:ascii="微软雅黑" w:hAnsi="微软雅黑" w:eastAsia="微软雅黑" w:cs="微软雅黑"/>
          <w:color w:val="231F20"/>
          <w:spacing w:val="-35"/>
          <w:sz w:val="19"/>
          <w:szCs w:val="19"/>
        </w:rPr>
        <w:t xml:space="preserve"> </w:t>
      </w:r>
      <w:r>
        <w:rPr>
          <w:rFonts w:ascii="微软雅黑" w:hAnsi="微软雅黑" w:eastAsia="微软雅黑" w:cs="微软雅黑"/>
          <w:color w:val="231F20"/>
          <w:spacing w:val="-8"/>
          <w:sz w:val="19"/>
          <w:szCs w:val="19"/>
        </w:rPr>
        <w:t>”为技术路线进行的研究。</w:t>
      </w:r>
      <w:r>
        <w:rPr>
          <w:rFonts w:ascii="微软雅黑" w:hAnsi="微软雅黑" w:eastAsia="微软雅黑" w:cs="微软雅黑"/>
          <w:color w:val="231F20"/>
          <w:spacing w:val="-8"/>
          <w:position w:val="6"/>
          <w:sz w:val="11"/>
          <w:szCs w:val="11"/>
        </w:rPr>
        <w:t>［</w:t>
      </w:r>
      <w:r>
        <w:rPr>
          <w:rFonts w:ascii="宋体" w:hAnsi="宋体" w:eastAsia="宋体" w:cs="宋体"/>
          <w:color w:val="231F20"/>
          <w:spacing w:val="-8"/>
          <w:position w:val="6"/>
          <w:sz w:val="11"/>
          <w:szCs w:val="11"/>
        </w:rPr>
        <w:t>4</w:t>
      </w:r>
      <w:r>
        <w:rPr>
          <w:rFonts w:ascii="微软雅黑" w:hAnsi="微软雅黑" w:eastAsia="微软雅黑" w:cs="微软雅黑"/>
          <w:color w:val="231F20"/>
          <w:spacing w:val="-8"/>
          <w:position w:val="6"/>
          <w:sz w:val="11"/>
          <w:szCs w:val="11"/>
        </w:rPr>
        <w:t>］</w:t>
      </w:r>
      <w:r>
        <w:rPr>
          <w:rFonts w:ascii="微软雅黑" w:hAnsi="微软雅黑" w:eastAsia="微软雅黑" w:cs="微软雅黑"/>
          <w:color w:val="231F20"/>
          <w:spacing w:val="-8"/>
          <w:sz w:val="19"/>
          <w:szCs w:val="19"/>
        </w:rPr>
        <w:t>此外，还有学者</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4"/>
          <w:sz w:val="19"/>
          <w:szCs w:val="19"/>
        </w:rPr>
        <w:t>在从“质量</w:t>
      </w:r>
      <w:r>
        <w:rPr>
          <w:rFonts w:ascii="微软雅黑" w:hAnsi="微软雅黑" w:eastAsia="微软雅黑" w:cs="微软雅黑"/>
          <w:color w:val="231F20"/>
          <w:spacing w:val="-10"/>
          <w:sz w:val="19"/>
          <w:szCs w:val="19"/>
        </w:rPr>
        <w:t xml:space="preserve"> </w:t>
      </w:r>
      <w:r>
        <w:rPr>
          <w:rFonts w:ascii="微软雅黑" w:hAnsi="微软雅黑" w:eastAsia="微软雅黑" w:cs="微软雅黑"/>
          <w:color w:val="231F20"/>
          <w:spacing w:val="-4"/>
          <w:sz w:val="19"/>
          <w:szCs w:val="19"/>
        </w:rPr>
        <w:t>”到“高等教育质量文化</w:t>
      </w:r>
      <w:r>
        <w:rPr>
          <w:rFonts w:ascii="微软雅黑" w:hAnsi="微软雅黑" w:eastAsia="微软雅黑" w:cs="微软雅黑"/>
          <w:color w:val="231F20"/>
          <w:spacing w:val="-28"/>
          <w:sz w:val="19"/>
          <w:szCs w:val="19"/>
        </w:rPr>
        <w:t xml:space="preserve"> </w:t>
      </w:r>
      <w:r>
        <w:rPr>
          <w:rFonts w:ascii="微软雅黑" w:hAnsi="微软雅黑" w:eastAsia="微软雅黑" w:cs="微软雅黑"/>
          <w:color w:val="231F20"/>
          <w:spacing w:val="-4"/>
          <w:sz w:val="19"/>
          <w:szCs w:val="19"/>
        </w:rPr>
        <w:t>”推演过程中 ，</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4"/>
          <w:sz w:val="19"/>
          <w:szCs w:val="19"/>
        </w:rPr>
        <w:t>选择了其他不同介体。</w:t>
      </w:r>
      <w:r>
        <w:rPr>
          <w:rFonts w:ascii="微软雅黑" w:hAnsi="微软雅黑" w:eastAsia="微软雅黑" w:cs="微软雅黑"/>
          <w:color w:val="231F20"/>
          <w:spacing w:val="-4"/>
          <w:position w:val="6"/>
          <w:sz w:val="11"/>
          <w:szCs w:val="11"/>
        </w:rPr>
        <w:t>［</w:t>
      </w:r>
      <w:r>
        <w:rPr>
          <w:rFonts w:ascii="宋体" w:hAnsi="宋体" w:eastAsia="宋体" w:cs="宋体"/>
          <w:color w:val="231F20"/>
          <w:spacing w:val="-4"/>
          <w:position w:val="6"/>
          <w:sz w:val="11"/>
          <w:szCs w:val="11"/>
        </w:rPr>
        <w:t>5</w:t>
      </w:r>
      <w:r>
        <w:rPr>
          <w:rFonts w:ascii="微软雅黑" w:hAnsi="微软雅黑" w:eastAsia="微软雅黑" w:cs="微软雅黑"/>
          <w:color w:val="231F20"/>
          <w:spacing w:val="-4"/>
          <w:position w:val="6"/>
          <w:sz w:val="11"/>
          <w:szCs w:val="11"/>
        </w:rPr>
        <w:t>］</w:t>
      </w:r>
    </w:p>
    <w:p>
      <w:pPr>
        <w:spacing w:before="39" w:line="218" w:lineRule="auto"/>
        <w:ind w:right="195" w:firstLine="504"/>
        <w:jc w:val="both"/>
        <w:rPr>
          <w:rFonts w:ascii="微软雅黑" w:hAnsi="微软雅黑" w:eastAsia="微软雅黑" w:cs="微软雅黑"/>
          <w:sz w:val="19"/>
          <w:szCs w:val="19"/>
        </w:rPr>
      </w:pPr>
      <w:r>
        <w:rPr>
          <w:rFonts w:ascii="微软雅黑" w:hAnsi="微软雅黑" w:eastAsia="微软雅黑" w:cs="微软雅黑"/>
          <w:color w:val="231F20"/>
          <w:spacing w:val="25"/>
          <w:sz w:val="19"/>
          <w:szCs w:val="19"/>
        </w:rPr>
        <w:t>高等教育质量文化路径论争议的焦点在于</w:t>
      </w:r>
      <w:r>
        <w:rPr>
          <w:rFonts w:ascii="微软雅黑" w:hAnsi="微软雅黑" w:eastAsia="微软雅黑" w:cs="微软雅黑"/>
          <w:color w:val="231F20"/>
          <w:spacing w:val="1"/>
          <w:sz w:val="19"/>
          <w:szCs w:val="19"/>
        </w:rPr>
        <w:t xml:space="preserve"> </w:t>
      </w:r>
      <w:r>
        <w:rPr>
          <w:rFonts w:ascii="微软雅黑" w:hAnsi="微软雅黑" w:eastAsia="微软雅黑" w:cs="微软雅黑"/>
          <w:color w:val="231F20"/>
          <w:spacing w:val="7"/>
          <w:sz w:val="19"/>
          <w:szCs w:val="19"/>
        </w:rPr>
        <w:t>“起点</w:t>
      </w:r>
      <w:r>
        <w:rPr>
          <w:rFonts w:ascii="微软雅黑" w:hAnsi="微软雅黑" w:eastAsia="微软雅黑" w:cs="微软雅黑"/>
          <w:color w:val="231F20"/>
          <w:spacing w:val="-15"/>
          <w:sz w:val="19"/>
          <w:szCs w:val="19"/>
        </w:rPr>
        <w:t xml:space="preserve"> </w:t>
      </w:r>
      <w:r>
        <w:rPr>
          <w:rFonts w:ascii="微软雅黑" w:hAnsi="微软雅黑" w:eastAsia="微软雅黑" w:cs="微软雅黑"/>
          <w:color w:val="231F20"/>
          <w:spacing w:val="7"/>
          <w:sz w:val="19"/>
          <w:szCs w:val="19"/>
        </w:rPr>
        <w:t>”的差异，但其本质是科技力量推动下的质</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9"/>
          <w:sz w:val="19"/>
          <w:szCs w:val="19"/>
        </w:rPr>
        <w:t>量文化形成过程，路径论关注的是质量标准与</w:t>
      </w:r>
      <w:r>
        <w:rPr>
          <w:rFonts w:ascii="微软雅黑" w:hAnsi="微软雅黑" w:eastAsia="微软雅黑" w:cs="微软雅黑"/>
          <w:color w:val="231F20"/>
          <w:spacing w:val="8"/>
          <w:sz w:val="19"/>
          <w:szCs w:val="19"/>
        </w:rPr>
        <w:t>“产</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9"/>
          <w:sz w:val="19"/>
          <w:szCs w:val="19"/>
        </w:rPr>
        <w:t>出效应”，其核心是塑造根植于内心的质量意</w:t>
      </w:r>
      <w:r>
        <w:rPr>
          <w:rFonts w:ascii="微软雅黑" w:hAnsi="微软雅黑" w:eastAsia="微软雅黑" w:cs="微软雅黑"/>
          <w:color w:val="231F20"/>
          <w:spacing w:val="8"/>
          <w:sz w:val="19"/>
          <w:szCs w:val="19"/>
        </w:rPr>
        <w:t>识与</w:t>
      </w:r>
    </w:p>
    <w:p>
      <w:pPr>
        <w:spacing w:line="218" w:lineRule="auto"/>
        <w:rPr>
          <w:rFonts w:ascii="微软雅黑" w:hAnsi="微软雅黑" w:eastAsia="微软雅黑" w:cs="微软雅黑"/>
          <w:sz w:val="19"/>
          <w:szCs w:val="19"/>
        </w:rPr>
        <w:sectPr>
          <w:type w:val="continuous"/>
          <w:pgSz w:w="11906" w:h="16158"/>
          <w:pgMar w:top="1597" w:right="1280" w:bottom="547" w:left="407" w:header="1211" w:footer="354" w:gutter="0"/>
          <w:cols w:equalWidth="0" w:num="2">
            <w:col w:w="5545" w:space="100"/>
            <w:col w:w="4573"/>
          </w:cols>
        </w:sectPr>
      </w:pPr>
    </w:p>
    <w:p>
      <w:pPr>
        <w:spacing w:line="247" w:lineRule="auto"/>
        <w:rPr>
          <w:rFonts w:ascii="Arial"/>
          <w:sz w:val="21"/>
        </w:rPr>
      </w:pPr>
    </w:p>
    <w:p>
      <w:pPr>
        <w:spacing w:line="247" w:lineRule="auto"/>
        <w:rPr>
          <w:rFonts w:ascii="Arial"/>
          <w:sz w:val="21"/>
        </w:rPr>
      </w:pPr>
    </w:p>
    <w:p>
      <w:pPr>
        <w:spacing w:before="74" w:line="202" w:lineRule="auto"/>
        <w:ind w:left="1404"/>
        <w:rPr>
          <w:rFonts w:ascii="微软雅黑" w:hAnsi="微软雅黑" w:eastAsia="微软雅黑" w:cs="微软雅黑"/>
          <w:sz w:val="17"/>
          <w:szCs w:val="17"/>
        </w:rPr>
      </w:pPr>
      <w:r>
        <w:rPr>
          <w:rFonts w:ascii="微软雅黑" w:hAnsi="微软雅黑" w:eastAsia="微软雅黑" w:cs="微软雅黑"/>
          <w:color w:val="231F20"/>
          <w:spacing w:val="-15"/>
          <w:sz w:val="17"/>
          <w:szCs w:val="17"/>
        </w:rPr>
        <w:t>收稿日期：2021-04-16</w:t>
      </w:r>
    </w:p>
    <w:p>
      <w:pPr>
        <w:spacing w:before="31" w:line="213" w:lineRule="auto"/>
        <w:ind w:left="1397" w:right="1353"/>
        <w:rPr>
          <w:rFonts w:ascii="微软雅黑" w:hAnsi="微软雅黑" w:eastAsia="微软雅黑" w:cs="微软雅黑"/>
          <w:sz w:val="17"/>
          <w:szCs w:val="17"/>
        </w:rPr>
      </w:pPr>
      <w:r>
        <w:rPr>
          <w:rFonts w:ascii="宋体" w:hAnsi="宋体" w:eastAsia="宋体" w:cs="宋体"/>
          <w:color w:val="231F20"/>
          <w:spacing w:val="-8"/>
          <w:w w:val="95"/>
          <w:sz w:val="17"/>
          <w:szCs w:val="17"/>
        </w:rPr>
        <w:t>①</w:t>
      </w:r>
      <w:r>
        <w:rPr>
          <w:rFonts w:ascii="微软雅黑" w:hAnsi="微软雅黑" w:eastAsia="微软雅黑" w:cs="微软雅黑"/>
          <w:color w:val="231F20"/>
          <w:spacing w:val="-8"/>
          <w:w w:val="95"/>
          <w:sz w:val="17"/>
          <w:szCs w:val="17"/>
        </w:rPr>
        <w:t>基金项目：江苏省社会科学基金重点课题“基于新工科背景的地方高校质量文化建设研究”（20JYA005）。</w:t>
      </w:r>
      <w:r>
        <w:rPr>
          <w:rFonts w:ascii="微软雅黑" w:hAnsi="微软雅黑" w:eastAsia="微软雅黑" w:cs="微软雅黑"/>
          <w:color w:val="231F20"/>
          <w:spacing w:val="24"/>
          <w:w w:val="101"/>
          <w:sz w:val="17"/>
          <w:szCs w:val="17"/>
        </w:rPr>
        <w:t xml:space="preserve"> </w:t>
      </w:r>
      <w:r>
        <w:rPr>
          <w:rFonts w:ascii="微软雅黑" w:hAnsi="微软雅黑" w:eastAsia="微软雅黑" w:cs="微软雅黑"/>
          <w:color w:val="231F20"/>
          <w:spacing w:val="-7"/>
          <w:w w:val="96"/>
          <w:sz w:val="17"/>
          <w:szCs w:val="17"/>
        </w:rPr>
        <w:t>作者简介：洪林，盐城工学院高等教育研究院研究员；汪福俊，盐城工学院发展与改革办公室副研究员。</w:t>
      </w:r>
    </w:p>
    <w:p>
      <w:pPr>
        <w:spacing w:line="249" w:lineRule="auto"/>
        <w:rPr>
          <w:rFonts w:ascii="Arial"/>
          <w:sz w:val="21"/>
        </w:rPr>
      </w:pPr>
    </w:p>
    <w:p>
      <w:pPr>
        <w:spacing w:before="86" w:line="152" w:lineRule="exact"/>
        <w:ind w:left="1417"/>
        <w:rPr>
          <w:rFonts w:ascii="微软雅黑" w:hAnsi="微软雅黑" w:eastAsia="微软雅黑" w:cs="微软雅黑"/>
          <w:sz w:val="20"/>
          <w:szCs w:val="20"/>
        </w:rPr>
      </w:pPr>
      <w:r>
        <w:pict>
          <v:shape id="_x0000_s1036" o:spid="_x0000_s1036" o:spt="202" type="#_x0000_t202" style="position:absolute;left:0pt;margin-left:55.45pt;margin-top:7.3pt;height:9.85pt;width:40.55pt;z-index:251673600;mso-width-relative:page;mso-height-relative:page;" filled="f" stroked="f" coordsize="21600,21600">
            <v:path/>
            <v:fill on="f" focussize="0,0"/>
            <v:stroke on="f"/>
            <v:imagedata o:title=""/>
            <o:lock v:ext="edit" aspectratio="f"/>
            <v:textbox inset="0mm,0mm,0mm,0mm">
              <w:txbxContent>
                <w:p>
                  <w:pPr>
                    <w:spacing w:before="20" w:line="156" w:lineRule="exact"/>
                    <w:ind w:left="20"/>
                    <w:rPr>
                      <w:rFonts w:ascii="微软雅黑" w:hAnsi="微软雅黑" w:eastAsia="微软雅黑" w:cs="微软雅黑"/>
                      <w:sz w:val="20"/>
                      <w:szCs w:val="20"/>
                    </w:rPr>
                  </w:pPr>
                  <w:r>
                    <w:rPr>
                      <w:rFonts w:ascii="微软雅黑" w:hAnsi="微软雅黑" w:eastAsia="微软雅黑" w:cs="微软雅黑"/>
                      <w:color w:val="231F20"/>
                      <w:spacing w:val="21"/>
                      <w:position w:val="-1"/>
                      <w:sz w:val="20"/>
                      <w:szCs w:val="20"/>
                    </w:rPr>
                    <w:t>-</w:t>
                  </w:r>
                  <w:r>
                    <w:rPr>
                      <w:rFonts w:ascii="微软雅黑" w:hAnsi="微软雅黑" w:eastAsia="微软雅黑" w:cs="微软雅黑"/>
                      <w:color w:val="231F20"/>
                      <w:spacing w:val="2"/>
                      <w:position w:val="-1"/>
                      <w:sz w:val="20"/>
                      <w:szCs w:val="20"/>
                    </w:rPr>
                    <w:t xml:space="preserve">         </w:t>
                  </w:r>
                  <w:r>
                    <w:rPr>
                      <w:rFonts w:ascii="微软雅黑" w:hAnsi="微软雅黑" w:eastAsia="微软雅黑" w:cs="微软雅黑"/>
                      <w:color w:val="231F20"/>
                      <w:spacing w:val="21"/>
                      <w:position w:val="-1"/>
                      <w:sz w:val="20"/>
                      <w:szCs w:val="20"/>
                    </w:rPr>
                    <w:t>-</w:t>
                  </w:r>
                </w:p>
              </w:txbxContent>
            </v:textbox>
          </v:shape>
        </w:pict>
      </w:r>
      <w:r>
        <w:rPr>
          <w:rFonts w:ascii="微软雅黑" w:hAnsi="微软雅黑" w:eastAsia="微软雅黑" w:cs="微软雅黑"/>
          <w:color w:val="231F20"/>
          <w:spacing w:val="-12"/>
          <w:position w:val="-3"/>
          <w:sz w:val="20"/>
          <w:szCs w:val="20"/>
        </w:rPr>
        <w:t>26</w:t>
      </w:r>
    </w:p>
    <w:p>
      <w:pPr>
        <w:spacing w:line="152" w:lineRule="exact"/>
        <w:rPr>
          <w:rFonts w:ascii="微软雅黑" w:hAnsi="微软雅黑" w:eastAsia="微软雅黑" w:cs="微软雅黑"/>
          <w:sz w:val="20"/>
          <w:szCs w:val="20"/>
        </w:rPr>
        <w:sectPr>
          <w:type w:val="continuous"/>
          <w:pgSz w:w="11906" w:h="16158"/>
          <w:pgMar w:top="1597" w:right="1280" w:bottom="547" w:left="407" w:header="1211" w:footer="354" w:gutter="0"/>
          <w:cols w:equalWidth="0" w:num="1">
            <w:col w:w="10217"/>
          </w:cols>
        </w:sectPr>
      </w:pPr>
    </w:p>
    <w:p>
      <w:pPr>
        <w:spacing w:line="106" w:lineRule="exact"/>
      </w:pPr>
    </w:p>
    <w:p>
      <w:pPr>
        <w:spacing w:line="106" w:lineRule="exact"/>
        <w:sectPr>
          <w:headerReference r:id="rId33" w:type="default"/>
          <w:pgSz w:w="11906" w:h="16158"/>
          <w:pgMar w:top="1489" w:right="1280" w:bottom="547" w:left="407" w:header="1198" w:footer="354" w:gutter="0"/>
          <w:cols w:equalWidth="0" w:num="1">
            <w:col w:w="10217"/>
          </w:cols>
        </w:sectPr>
      </w:pPr>
    </w:p>
    <w:p>
      <w:pPr>
        <w:spacing w:before="43" w:line="230" w:lineRule="auto"/>
        <w:ind w:left="1070" w:right="133" w:firstLine="17"/>
        <w:jc w:val="both"/>
        <w:rPr>
          <w:rFonts w:ascii="微软雅黑" w:hAnsi="微软雅黑" w:eastAsia="微软雅黑" w:cs="微软雅黑"/>
          <w:sz w:val="11"/>
          <w:szCs w:val="11"/>
        </w:rPr>
      </w:pPr>
      <w:r>
        <w:rPr>
          <w:rFonts w:ascii="微软雅黑" w:hAnsi="微软雅黑" w:eastAsia="微软雅黑" w:cs="微软雅黑"/>
          <w:color w:val="231F20"/>
          <w:spacing w:val="11"/>
          <w:sz w:val="19"/>
          <w:szCs w:val="19"/>
        </w:rPr>
        <w:t>以约束为前提的自觉行为的结合</w:t>
      </w:r>
      <w:r>
        <w:rPr>
          <w:rFonts w:ascii="微软雅黑" w:hAnsi="微软雅黑" w:eastAsia="微软雅黑" w:cs="微软雅黑"/>
          <w:color w:val="231F20"/>
          <w:spacing w:val="-18"/>
          <w:sz w:val="19"/>
          <w:szCs w:val="19"/>
        </w:rPr>
        <w:t xml:space="preserve"> </w:t>
      </w:r>
      <w:r>
        <w:rPr>
          <w:rFonts w:ascii="微软雅黑" w:hAnsi="微软雅黑" w:eastAsia="微软雅黑" w:cs="微软雅黑"/>
          <w:color w:val="231F20"/>
          <w:spacing w:val="11"/>
          <w:sz w:val="19"/>
          <w:szCs w:val="19"/>
        </w:rPr>
        <w:t>。所谓“高等教</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2"/>
          <w:sz w:val="19"/>
          <w:szCs w:val="19"/>
        </w:rPr>
        <w:t>育质量文化</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2"/>
          <w:sz w:val="19"/>
          <w:szCs w:val="19"/>
        </w:rPr>
        <w:t>”是一种文化在质量管理上的沉淀和</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凝结，是高等学校在长期教育教学实践过程中形</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4"/>
          <w:sz w:val="19"/>
          <w:szCs w:val="19"/>
        </w:rPr>
        <w:t xml:space="preserve">成的，它继承了优秀的民族文化传统、借鉴了国外  </w:t>
      </w:r>
      <w:r>
        <w:rPr>
          <w:rFonts w:ascii="微软雅黑" w:hAnsi="微软雅黑" w:eastAsia="微软雅黑" w:cs="微软雅黑"/>
          <w:color w:val="231F20"/>
          <w:spacing w:val="7"/>
          <w:sz w:val="19"/>
          <w:szCs w:val="19"/>
        </w:rPr>
        <w:t>大学文化精华，并结合高校自身的质量管理实践，</w:t>
      </w:r>
      <w:r>
        <w:rPr>
          <w:rFonts w:ascii="微软雅黑" w:hAnsi="微软雅黑" w:eastAsia="微软雅黑" w:cs="微软雅黑"/>
          <w:color w:val="231F20"/>
          <w:spacing w:val="5"/>
          <w:sz w:val="19"/>
          <w:szCs w:val="19"/>
        </w:rPr>
        <w:t xml:space="preserve"> </w:t>
      </w:r>
      <w:r>
        <w:rPr>
          <w:rFonts w:ascii="微软雅黑" w:hAnsi="微软雅黑" w:eastAsia="微软雅黑" w:cs="微软雅黑"/>
          <w:color w:val="231F20"/>
          <w:spacing w:val="4"/>
          <w:sz w:val="19"/>
          <w:szCs w:val="19"/>
        </w:rPr>
        <w:t xml:space="preserve">经过总结、凝练和创新所形成的，是具有明显个性  </w:t>
      </w:r>
      <w:r>
        <w:rPr>
          <w:rFonts w:ascii="微软雅黑" w:hAnsi="微软雅黑" w:eastAsia="微软雅黑" w:cs="微软雅黑"/>
          <w:color w:val="231F20"/>
          <w:spacing w:val="13"/>
          <w:sz w:val="19"/>
          <w:szCs w:val="19"/>
        </w:rPr>
        <w:t>特点的一种校园文化，它是由教职员工共同创造</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2"/>
          <w:sz w:val="19"/>
          <w:szCs w:val="19"/>
        </w:rPr>
        <w:t>和一致认可的质量意识</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2"/>
          <w:sz w:val="19"/>
          <w:szCs w:val="19"/>
        </w:rPr>
        <w:t>、质量价值标准和质量行</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5"/>
          <w:w w:val="99"/>
          <w:position w:val="-1"/>
          <w:sz w:val="19"/>
          <w:szCs w:val="19"/>
        </w:rPr>
        <w:t>为规范。</w:t>
      </w:r>
      <w:r>
        <w:rPr>
          <w:rFonts w:ascii="微软雅黑" w:hAnsi="微软雅黑" w:eastAsia="微软雅黑" w:cs="微软雅黑"/>
          <w:color w:val="231F20"/>
          <w:spacing w:val="-15"/>
          <w:w w:val="99"/>
          <w:position w:val="5"/>
          <w:sz w:val="11"/>
          <w:szCs w:val="11"/>
        </w:rPr>
        <w:t>［</w:t>
      </w:r>
      <w:r>
        <w:rPr>
          <w:rFonts w:ascii="宋体" w:hAnsi="宋体" w:eastAsia="宋体" w:cs="宋体"/>
          <w:color w:val="231F20"/>
          <w:spacing w:val="-15"/>
          <w:w w:val="99"/>
          <w:position w:val="5"/>
          <w:sz w:val="11"/>
          <w:szCs w:val="11"/>
        </w:rPr>
        <w:t>6</w:t>
      </w:r>
      <w:r>
        <w:rPr>
          <w:rFonts w:ascii="微软雅黑" w:hAnsi="微软雅黑" w:eastAsia="微软雅黑" w:cs="微软雅黑"/>
          <w:color w:val="231F20"/>
          <w:spacing w:val="-15"/>
          <w:w w:val="99"/>
          <w:position w:val="5"/>
          <w:sz w:val="11"/>
          <w:szCs w:val="11"/>
        </w:rPr>
        <w:t>］</w:t>
      </w:r>
    </w:p>
    <w:p>
      <w:pPr>
        <w:spacing w:before="42" w:line="199" w:lineRule="auto"/>
        <w:ind w:left="1388"/>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1"/>
          <w:sz w:val="20"/>
          <w:szCs w:val="20"/>
        </w:rPr>
        <w:t>二）高等教育质量文化的结构论</w:t>
      </w:r>
    </w:p>
    <w:p>
      <w:pPr>
        <w:spacing w:before="27" w:line="231" w:lineRule="auto"/>
        <w:ind w:left="1070" w:firstLine="403"/>
        <w:rPr>
          <w:rFonts w:ascii="微软雅黑" w:hAnsi="微软雅黑" w:eastAsia="微软雅黑" w:cs="微软雅黑"/>
          <w:sz w:val="11"/>
          <w:szCs w:val="11"/>
        </w:rPr>
      </w:pPr>
      <w:r>
        <w:rPr>
          <w:rFonts w:ascii="微软雅黑" w:hAnsi="微软雅黑" w:eastAsia="微软雅黑" w:cs="微软雅黑"/>
          <w:color w:val="231F20"/>
          <w:spacing w:val="7"/>
          <w:sz w:val="19"/>
          <w:szCs w:val="19"/>
        </w:rPr>
        <w:t>文化具有不同层面、不同维度的内涵与外延</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7"/>
          <w:sz w:val="19"/>
          <w:szCs w:val="19"/>
        </w:rPr>
        <w:t>，</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0"/>
          <w:sz w:val="19"/>
          <w:szCs w:val="19"/>
        </w:rPr>
        <w:t>需要我们做更加深入的研究</w:t>
      </w:r>
      <w:r>
        <w:rPr>
          <w:rFonts w:ascii="微软雅黑" w:hAnsi="微软雅黑" w:eastAsia="微软雅黑" w:cs="微软雅黑"/>
          <w:color w:val="231F20"/>
          <w:spacing w:val="-25"/>
          <w:sz w:val="19"/>
          <w:szCs w:val="19"/>
        </w:rPr>
        <w:t xml:space="preserve"> </w:t>
      </w:r>
      <w:r>
        <w:rPr>
          <w:rFonts w:ascii="微软雅黑" w:hAnsi="微软雅黑" w:eastAsia="微软雅黑" w:cs="微软雅黑"/>
          <w:color w:val="231F20"/>
          <w:spacing w:val="10"/>
          <w:sz w:val="19"/>
          <w:szCs w:val="19"/>
        </w:rPr>
        <w:t>。从高等教育质量文</w:t>
      </w:r>
      <w:r>
        <w:rPr>
          <w:rFonts w:ascii="微软雅黑" w:hAnsi="微软雅黑" w:eastAsia="微软雅黑" w:cs="微软雅黑"/>
          <w:color w:val="231F20"/>
          <w:spacing w:val="9"/>
          <w:sz w:val="19"/>
          <w:szCs w:val="19"/>
        </w:rPr>
        <w:t xml:space="preserve">    </w:t>
      </w:r>
      <w:r>
        <w:rPr>
          <w:rFonts w:ascii="微软雅黑" w:hAnsi="微软雅黑" w:eastAsia="微软雅黑" w:cs="微软雅黑"/>
          <w:color w:val="231F20"/>
          <w:spacing w:val="3"/>
          <w:sz w:val="19"/>
          <w:szCs w:val="19"/>
        </w:rPr>
        <w:t xml:space="preserve">化的组成入手，对其层次结构进行精细梳理、深入    剖析，有助于我们对高等教育质量文化内涵、特征    </w:t>
      </w:r>
      <w:r>
        <w:rPr>
          <w:rFonts w:ascii="微软雅黑" w:hAnsi="微软雅黑" w:eastAsia="微软雅黑" w:cs="微软雅黑"/>
          <w:color w:val="231F20"/>
          <w:spacing w:val="11"/>
          <w:sz w:val="19"/>
          <w:szCs w:val="19"/>
        </w:rPr>
        <w:t xml:space="preserve">和功能的进一步理解，有助于我们系统认识质量    </w:t>
      </w:r>
      <w:r>
        <w:rPr>
          <w:rFonts w:ascii="微软雅黑" w:hAnsi="微软雅黑" w:eastAsia="微软雅黑" w:cs="微软雅黑"/>
          <w:color w:val="231F20"/>
          <w:spacing w:val="10"/>
          <w:sz w:val="19"/>
          <w:szCs w:val="19"/>
        </w:rPr>
        <w:t>文化和精心培育质量文化</w:t>
      </w:r>
      <w:r>
        <w:rPr>
          <w:rFonts w:ascii="微软雅黑" w:hAnsi="微软雅黑" w:eastAsia="微软雅黑" w:cs="微软雅黑"/>
          <w:color w:val="231F20"/>
          <w:spacing w:val="-25"/>
          <w:sz w:val="19"/>
          <w:szCs w:val="19"/>
        </w:rPr>
        <w:t xml:space="preserve"> </w:t>
      </w:r>
      <w:r>
        <w:rPr>
          <w:rFonts w:ascii="微软雅黑" w:hAnsi="微软雅黑" w:eastAsia="微软雅黑" w:cs="微软雅黑"/>
          <w:color w:val="231F20"/>
          <w:spacing w:val="10"/>
          <w:sz w:val="19"/>
          <w:szCs w:val="19"/>
        </w:rPr>
        <w:t>。质量文化不仅包括高</w:t>
      </w:r>
      <w:r>
        <w:rPr>
          <w:rFonts w:ascii="微软雅黑" w:hAnsi="微软雅黑" w:eastAsia="微软雅黑" w:cs="微软雅黑"/>
          <w:color w:val="231F20"/>
          <w:spacing w:val="9"/>
          <w:sz w:val="19"/>
          <w:szCs w:val="19"/>
        </w:rPr>
        <w:t xml:space="preserve">    </w:t>
      </w:r>
      <w:r>
        <w:rPr>
          <w:rFonts w:ascii="微软雅黑" w:hAnsi="微软雅黑" w:eastAsia="微软雅黑" w:cs="微软雅黑"/>
          <w:color w:val="231F20"/>
          <w:spacing w:val="8"/>
          <w:sz w:val="19"/>
          <w:szCs w:val="19"/>
        </w:rPr>
        <w:t>校的质量精神文化，还包括质量精神文化的外化</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8"/>
          <w:sz w:val="19"/>
          <w:szCs w:val="19"/>
        </w:rPr>
        <w:t>，</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1"/>
          <w:sz w:val="19"/>
          <w:szCs w:val="19"/>
        </w:rPr>
        <w:t xml:space="preserve">而且在各个组成部分之间还存在着相互作用的关    </w:t>
      </w:r>
      <w:r>
        <w:rPr>
          <w:rFonts w:ascii="微软雅黑" w:hAnsi="微软雅黑" w:eastAsia="微软雅黑" w:cs="微软雅黑"/>
          <w:color w:val="231F20"/>
          <w:spacing w:val="9"/>
          <w:sz w:val="19"/>
          <w:szCs w:val="19"/>
        </w:rPr>
        <w:t>系，且有一定的层次性</w:t>
      </w:r>
      <w:r>
        <w:rPr>
          <w:rFonts w:ascii="微软雅黑" w:hAnsi="微软雅黑" w:eastAsia="微软雅黑" w:cs="微软雅黑"/>
          <w:color w:val="231F20"/>
          <w:spacing w:val="-4"/>
          <w:sz w:val="19"/>
          <w:szCs w:val="19"/>
        </w:rPr>
        <w:t xml:space="preserve"> </w:t>
      </w:r>
      <w:r>
        <w:rPr>
          <w:rFonts w:ascii="微软雅黑" w:hAnsi="微软雅黑" w:eastAsia="微软雅黑" w:cs="微软雅黑"/>
          <w:color w:val="231F20"/>
          <w:spacing w:val="9"/>
          <w:sz w:val="19"/>
          <w:szCs w:val="19"/>
        </w:rPr>
        <w:t xml:space="preserve">。质量文化从里往外又包    </w:t>
      </w:r>
      <w:r>
        <w:rPr>
          <w:rFonts w:ascii="微软雅黑" w:hAnsi="微软雅黑" w:eastAsia="微软雅黑" w:cs="微软雅黑"/>
          <w:color w:val="231F20"/>
          <w:spacing w:val="3"/>
          <w:sz w:val="19"/>
          <w:szCs w:val="19"/>
        </w:rPr>
        <w:t xml:space="preserve">含了三种文化，分别是质量管理的精神文化、制度    </w:t>
      </w:r>
      <w:r>
        <w:rPr>
          <w:rFonts w:ascii="微软雅黑" w:hAnsi="微软雅黑" w:eastAsia="微软雅黑" w:cs="微软雅黑"/>
          <w:color w:val="231F20"/>
          <w:spacing w:val="15"/>
          <w:sz w:val="19"/>
          <w:szCs w:val="19"/>
        </w:rPr>
        <w:t>文化和物质文化</w:t>
      </w:r>
      <w:r>
        <w:rPr>
          <w:rFonts w:ascii="微软雅黑" w:hAnsi="微软雅黑" w:eastAsia="微软雅黑" w:cs="微软雅黑"/>
          <w:color w:val="231F20"/>
          <w:spacing w:val="-4"/>
          <w:sz w:val="19"/>
          <w:szCs w:val="19"/>
        </w:rPr>
        <w:t xml:space="preserve"> </w:t>
      </w:r>
      <w:r>
        <w:rPr>
          <w:rFonts w:ascii="微软雅黑" w:hAnsi="微软雅黑" w:eastAsia="微软雅黑" w:cs="微软雅黑"/>
          <w:color w:val="231F20"/>
          <w:spacing w:val="15"/>
          <w:sz w:val="19"/>
          <w:szCs w:val="19"/>
        </w:rPr>
        <w:t>。精神文化是质量文化的内核</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15"/>
          <w:sz w:val="19"/>
          <w:szCs w:val="19"/>
        </w:rPr>
        <w:t>，</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1"/>
          <w:sz w:val="19"/>
          <w:szCs w:val="19"/>
        </w:rPr>
        <w:t xml:space="preserve">它的外层由实物质量和服务质量构成，精神文化    深刻影响着高校的教育管理实践和师生的行为规    </w:t>
      </w:r>
      <w:r>
        <w:rPr>
          <w:rFonts w:ascii="微软雅黑" w:hAnsi="微软雅黑" w:eastAsia="微软雅黑" w:cs="微软雅黑"/>
          <w:color w:val="231F20"/>
          <w:spacing w:val="10"/>
          <w:sz w:val="19"/>
          <w:szCs w:val="19"/>
        </w:rPr>
        <w:t>范</w:t>
      </w:r>
      <w:r>
        <w:rPr>
          <w:rFonts w:ascii="微软雅黑" w:hAnsi="微软雅黑" w:eastAsia="微软雅黑" w:cs="微软雅黑"/>
          <w:color w:val="231F20"/>
          <w:spacing w:val="-25"/>
          <w:sz w:val="19"/>
          <w:szCs w:val="19"/>
        </w:rPr>
        <w:t xml:space="preserve"> </w:t>
      </w:r>
      <w:r>
        <w:rPr>
          <w:rFonts w:ascii="微软雅黑" w:hAnsi="微软雅黑" w:eastAsia="微软雅黑" w:cs="微软雅黑"/>
          <w:color w:val="231F20"/>
          <w:spacing w:val="10"/>
          <w:sz w:val="19"/>
          <w:szCs w:val="19"/>
        </w:rPr>
        <w:t>。质量文化的精神层是一种更深层次的文化现</w:t>
      </w:r>
      <w:r>
        <w:rPr>
          <w:rFonts w:ascii="微软雅黑" w:hAnsi="微软雅黑" w:eastAsia="微软雅黑" w:cs="微软雅黑"/>
          <w:color w:val="231F20"/>
          <w:spacing w:val="9"/>
          <w:sz w:val="19"/>
          <w:szCs w:val="19"/>
        </w:rPr>
        <w:t xml:space="preserve">    </w:t>
      </w:r>
      <w:r>
        <w:rPr>
          <w:rFonts w:ascii="微软雅黑" w:hAnsi="微软雅黑" w:eastAsia="微软雅黑" w:cs="微软雅黑"/>
          <w:color w:val="231F20"/>
          <w:spacing w:val="18"/>
          <w:sz w:val="19"/>
          <w:szCs w:val="19"/>
        </w:rPr>
        <w:t>象</w:t>
      </w:r>
      <w:r>
        <w:rPr>
          <w:rFonts w:ascii="微软雅黑" w:hAnsi="微软雅黑" w:eastAsia="微软雅黑" w:cs="微软雅黑"/>
          <w:color w:val="231F20"/>
          <w:spacing w:val="-21"/>
          <w:sz w:val="19"/>
          <w:szCs w:val="19"/>
        </w:rPr>
        <w:t xml:space="preserve"> </w:t>
      </w:r>
      <w:r>
        <w:rPr>
          <w:rFonts w:ascii="微软雅黑" w:hAnsi="微软雅黑" w:eastAsia="微软雅黑" w:cs="微软雅黑"/>
          <w:color w:val="231F20"/>
          <w:spacing w:val="18"/>
          <w:sz w:val="19"/>
          <w:szCs w:val="19"/>
        </w:rPr>
        <w:t xml:space="preserve">，它在整个高校质量文化系统中处于核心地    </w:t>
      </w:r>
      <w:r>
        <w:rPr>
          <w:rFonts w:ascii="微软雅黑" w:hAnsi="微软雅黑" w:eastAsia="微软雅黑" w:cs="微软雅黑"/>
          <w:color w:val="231F20"/>
          <w:spacing w:val="3"/>
          <w:sz w:val="19"/>
          <w:szCs w:val="19"/>
        </w:rPr>
        <w:t>位</w:t>
      </w:r>
      <w:r>
        <w:rPr>
          <w:rFonts w:ascii="微软雅黑" w:hAnsi="微软雅黑" w:eastAsia="微软雅黑" w:cs="微软雅黑"/>
          <w:color w:val="231F20"/>
          <w:spacing w:val="5"/>
          <w:position w:val="6"/>
          <w:sz w:val="11"/>
          <w:szCs w:val="11"/>
        </w:rPr>
        <w:t>［</w:t>
      </w:r>
      <w:r>
        <w:rPr>
          <w:rFonts w:ascii="宋体" w:hAnsi="宋体" w:eastAsia="宋体" w:cs="宋体"/>
          <w:color w:val="231F20"/>
          <w:spacing w:val="5"/>
          <w:position w:val="6"/>
          <w:sz w:val="11"/>
          <w:szCs w:val="11"/>
        </w:rPr>
        <w:t>7</w:t>
      </w:r>
      <w:r>
        <w:rPr>
          <w:rFonts w:ascii="微软雅黑" w:hAnsi="微软雅黑" w:eastAsia="微软雅黑" w:cs="微软雅黑"/>
          <w:color w:val="231F20"/>
          <w:spacing w:val="6"/>
          <w:position w:val="6"/>
          <w:sz w:val="11"/>
          <w:szCs w:val="11"/>
        </w:rPr>
        <w:t>］</w:t>
      </w:r>
      <w:r>
        <w:rPr>
          <w:rFonts w:ascii="微软雅黑" w:hAnsi="微软雅黑" w:eastAsia="微软雅黑" w:cs="微软雅黑"/>
          <w:color w:val="231F20"/>
          <w:spacing w:val="-33"/>
          <w:w w:val="58"/>
          <w:sz w:val="19"/>
          <w:szCs w:val="19"/>
        </w:rPr>
        <w:t>，</w:t>
      </w:r>
      <w:r>
        <w:rPr>
          <w:rFonts w:ascii="微软雅黑" w:hAnsi="微软雅黑" w:eastAsia="微软雅黑" w:cs="微软雅黑"/>
          <w:color w:val="231F20"/>
          <w:spacing w:val="5"/>
          <w:sz w:val="19"/>
          <w:szCs w:val="19"/>
        </w:rPr>
        <w:t>它对师生的行为规范是一种无形的“约束”。</w:t>
      </w:r>
      <w:r>
        <w:rPr>
          <w:rFonts w:ascii="微软雅黑" w:hAnsi="微软雅黑" w:eastAsia="微软雅黑" w:cs="微软雅黑"/>
          <w:color w:val="231F20"/>
          <w:spacing w:val="1"/>
          <w:sz w:val="19"/>
          <w:szCs w:val="19"/>
        </w:rPr>
        <w:t xml:space="preserve"> </w:t>
      </w:r>
      <w:r>
        <w:rPr>
          <w:rFonts w:ascii="微软雅黑" w:hAnsi="微软雅黑" w:eastAsia="微软雅黑" w:cs="微软雅黑"/>
          <w:color w:val="231F20"/>
          <w:spacing w:val="11"/>
          <w:sz w:val="19"/>
          <w:szCs w:val="19"/>
        </w:rPr>
        <w:t xml:space="preserve">制度文化是质量文化的中间层，由高校质量管理    </w:t>
      </w:r>
      <w:r>
        <w:rPr>
          <w:rFonts w:ascii="微软雅黑" w:hAnsi="微软雅黑" w:eastAsia="微软雅黑" w:cs="微软雅黑"/>
          <w:color w:val="231F20"/>
          <w:spacing w:val="9"/>
          <w:sz w:val="19"/>
          <w:szCs w:val="19"/>
        </w:rPr>
        <w:t>的领导体制</w:t>
      </w:r>
      <w:r>
        <w:rPr>
          <w:rFonts w:ascii="微软雅黑" w:hAnsi="微软雅黑" w:eastAsia="微软雅黑" w:cs="微软雅黑"/>
          <w:color w:val="231F20"/>
          <w:spacing w:val="-29"/>
          <w:sz w:val="19"/>
          <w:szCs w:val="19"/>
        </w:rPr>
        <w:t xml:space="preserve"> </w:t>
      </w:r>
      <w:r>
        <w:rPr>
          <w:rFonts w:ascii="微软雅黑" w:hAnsi="微软雅黑" w:eastAsia="微软雅黑" w:cs="微软雅黑"/>
          <w:color w:val="231F20"/>
          <w:spacing w:val="9"/>
          <w:sz w:val="19"/>
          <w:szCs w:val="19"/>
        </w:rPr>
        <w:t>、组织机构</w:t>
      </w:r>
      <w:r>
        <w:rPr>
          <w:rFonts w:ascii="微软雅黑" w:hAnsi="微软雅黑" w:eastAsia="微软雅黑" w:cs="微软雅黑"/>
          <w:color w:val="231F20"/>
          <w:spacing w:val="-29"/>
          <w:sz w:val="19"/>
          <w:szCs w:val="19"/>
        </w:rPr>
        <w:t xml:space="preserve"> </w:t>
      </w:r>
      <w:r>
        <w:rPr>
          <w:rFonts w:ascii="微软雅黑" w:hAnsi="微软雅黑" w:eastAsia="微软雅黑" w:cs="微软雅黑"/>
          <w:color w:val="231F20"/>
          <w:spacing w:val="9"/>
          <w:sz w:val="19"/>
          <w:szCs w:val="19"/>
        </w:rPr>
        <w:t xml:space="preserve">、管理制度等三个部分组 </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11"/>
          <w:sz w:val="19"/>
          <w:szCs w:val="19"/>
        </w:rPr>
        <w:t xml:space="preserve">成，它能体现不同高校对质量文化的认可程度以    </w:t>
      </w:r>
      <w:r>
        <w:rPr>
          <w:rFonts w:ascii="微软雅黑" w:hAnsi="微软雅黑" w:eastAsia="微软雅黑" w:cs="微软雅黑"/>
          <w:color w:val="231F20"/>
          <w:spacing w:val="10"/>
          <w:sz w:val="19"/>
          <w:szCs w:val="19"/>
        </w:rPr>
        <w:t>及对质量文化的个性表达</w:t>
      </w:r>
      <w:r>
        <w:rPr>
          <w:rFonts w:ascii="微软雅黑" w:hAnsi="微软雅黑" w:eastAsia="微软雅黑" w:cs="微软雅黑"/>
          <w:color w:val="231F20"/>
          <w:spacing w:val="-25"/>
          <w:sz w:val="19"/>
          <w:szCs w:val="19"/>
        </w:rPr>
        <w:t xml:space="preserve"> </w:t>
      </w:r>
      <w:r>
        <w:rPr>
          <w:rFonts w:ascii="微软雅黑" w:hAnsi="微软雅黑" w:eastAsia="微软雅黑" w:cs="微软雅黑"/>
          <w:color w:val="231F20"/>
          <w:spacing w:val="10"/>
          <w:sz w:val="19"/>
          <w:szCs w:val="19"/>
        </w:rPr>
        <w:t>。物质文化是质量文化</w:t>
      </w:r>
      <w:r>
        <w:rPr>
          <w:rFonts w:ascii="微软雅黑" w:hAnsi="微软雅黑" w:eastAsia="微软雅黑" w:cs="微软雅黑"/>
          <w:color w:val="231F20"/>
          <w:spacing w:val="9"/>
          <w:sz w:val="19"/>
          <w:szCs w:val="19"/>
        </w:rPr>
        <w:t xml:space="preserve">    </w:t>
      </w:r>
      <w:r>
        <w:rPr>
          <w:rFonts w:ascii="微软雅黑" w:hAnsi="微软雅黑" w:eastAsia="微软雅黑" w:cs="微软雅黑"/>
          <w:color w:val="231F20"/>
          <w:spacing w:val="11"/>
          <w:sz w:val="19"/>
          <w:szCs w:val="19"/>
        </w:rPr>
        <w:t xml:space="preserve">的最外层，往往根植于高校的物质设施及其管理    </w:t>
      </w:r>
      <w:r>
        <w:rPr>
          <w:rFonts w:ascii="微软雅黑" w:hAnsi="微软雅黑" w:eastAsia="微软雅黑" w:cs="微软雅黑"/>
          <w:color w:val="231F20"/>
          <w:spacing w:val="3"/>
          <w:sz w:val="19"/>
          <w:szCs w:val="19"/>
        </w:rPr>
        <w:t xml:space="preserve">过程之中，它是高校质量文化的外显，能够让人直    </w:t>
      </w:r>
      <w:r>
        <w:rPr>
          <w:rFonts w:ascii="微软雅黑" w:hAnsi="微软雅黑" w:eastAsia="微软雅黑" w:cs="微软雅黑"/>
          <w:color w:val="231F20"/>
          <w:spacing w:val="11"/>
          <w:sz w:val="19"/>
          <w:szCs w:val="19"/>
        </w:rPr>
        <w:t xml:space="preserve">接感觉到，并能成为师生对不同质量文化直观判    </w:t>
      </w:r>
      <w:r>
        <w:rPr>
          <w:rFonts w:ascii="微软雅黑" w:hAnsi="微软雅黑" w:eastAsia="微软雅黑" w:cs="微软雅黑"/>
          <w:color w:val="231F20"/>
          <w:spacing w:val="2"/>
          <w:sz w:val="19"/>
          <w:szCs w:val="19"/>
        </w:rPr>
        <w:t>断的标准</w:t>
      </w:r>
      <w:r>
        <w:rPr>
          <w:rFonts w:ascii="微软雅黑" w:hAnsi="微软雅黑" w:eastAsia="微软雅黑" w:cs="微软雅黑"/>
          <w:color w:val="231F20"/>
          <w:spacing w:val="-21"/>
          <w:sz w:val="19"/>
          <w:szCs w:val="19"/>
        </w:rPr>
        <w:t xml:space="preserve"> </w:t>
      </w:r>
      <w:r>
        <w:rPr>
          <w:rFonts w:ascii="微软雅黑" w:hAnsi="微软雅黑" w:eastAsia="微软雅黑" w:cs="微软雅黑"/>
          <w:color w:val="231F20"/>
          <w:spacing w:val="2"/>
          <w:sz w:val="19"/>
          <w:szCs w:val="19"/>
        </w:rPr>
        <w:t>。此外，蒋友梅提出的由显性形态、隐性    形态和关系形态这“三种形态</w:t>
      </w:r>
      <w:r>
        <w:rPr>
          <w:rFonts w:ascii="微软雅黑" w:hAnsi="微软雅黑" w:eastAsia="微软雅黑" w:cs="微软雅黑"/>
          <w:color w:val="231F20"/>
          <w:spacing w:val="-21"/>
          <w:sz w:val="19"/>
          <w:szCs w:val="19"/>
        </w:rPr>
        <w:t xml:space="preserve"> </w:t>
      </w:r>
      <w:r>
        <w:rPr>
          <w:rFonts w:ascii="微软雅黑" w:hAnsi="微软雅黑" w:eastAsia="微软雅黑" w:cs="微软雅黑"/>
          <w:color w:val="231F20"/>
          <w:spacing w:val="2"/>
          <w:sz w:val="19"/>
          <w:szCs w:val="19"/>
        </w:rPr>
        <w:t xml:space="preserve">”构成的大学质量文    </w:t>
      </w:r>
      <w:r>
        <w:rPr>
          <w:rFonts w:ascii="微软雅黑" w:hAnsi="微软雅黑" w:eastAsia="微软雅黑" w:cs="微软雅黑"/>
          <w:color w:val="231F20"/>
          <w:spacing w:val="4"/>
          <w:sz w:val="19"/>
          <w:szCs w:val="19"/>
        </w:rPr>
        <w:t>化</w:t>
      </w:r>
      <w:r>
        <w:rPr>
          <w:rFonts w:ascii="微软雅黑" w:hAnsi="微软雅黑" w:eastAsia="微软雅黑" w:cs="微软雅黑"/>
          <w:color w:val="231F20"/>
          <w:spacing w:val="-28"/>
          <w:sz w:val="19"/>
          <w:szCs w:val="19"/>
        </w:rPr>
        <w:t xml:space="preserve"> </w:t>
      </w:r>
      <w:r>
        <w:rPr>
          <w:rFonts w:ascii="微软雅黑" w:hAnsi="微软雅黑" w:eastAsia="微软雅黑" w:cs="微软雅黑"/>
          <w:color w:val="231F20"/>
          <w:spacing w:val="4"/>
          <w:sz w:val="19"/>
          <w:szCs w:val="19"/>
        </w:rPr>
        <w:t>，本质上也可以归结到“三层次论</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4"/>
          <w:sz w:val="19"/>
          <w:szCs w:val="19"/>
        </w:rPr>
        <w:t>”观点之中</w:t>
      </w:r>
      <w:r>
        <w:rPr>
          <w:rFonts w:ascii="微软雅黑" w:hAnsi="微软雅黑" w:eastAsia="微软雅黑" w:cs="微软雅黑"/>
          <w:color w:val="231F20"/>
          <w:spacing w:val="-15"/>
          <w:sz w:val="19"/>
          <w:szCs w:val="19"/>
        </w:rPr>
        <w:t xml:space="preserve"> </w:t>
      </w:r>
      <w:r>
        <w:rPr>
          <w:rFonts w:ascii="微软雅黑" w:hAnsi="微软雅黑" w:eastAsia="微软雅黑" w:cs="微软雅黑"/>
          <w:color w:val="231F20"/>
          <w:spacing w:val="4"/>
          <w:sz w:val="19"/>
          <w:szCs w:val="19"/>
        </w:rPr>
        <w:t xml:space="preserve">。  </w:t>
      </w:r>
      <w:r>
        <w:rPr>
          <w:rFonts w:ascii="微软雅黑" w:hAnsi="微软雅黑" w:eastAsia="微软雅黑" w:cs="微软雅黑"/>
          <w:color w:val="231F20"/>
          <w:spacing w:val="3"/>
          <w:sz w:val="19"/>
          <w:szCs w:val="19"/>
        </w:rPr>
        <w:t xml:space="preserve">其中，显性形态指的是质量文化的依托物，它是可    </w:t>
      </w:r>
      <w:r>
        <w:rPr>
          <w:rFonts w:ascii="微软雅黑" w:hAnsi="微软雅黑" w:eastAsia="微软雅黑" w:cs="微软雅黑"/>
          <w:color w:val="231F20"/>
          <w:spacing w:val="8"/>
          <w:sz w:val="19"/>
          <w:szCs w:val="19"/>
        </w:rPr>
        <w:t>以耳濡目染的物质形态，包括学生、校园和教师</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8"/>
          <w:sz w:val="19"/>
          <w:szCs w:val="19"/>
        </w:rPr>
        <w:t>；</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1"/>
          <w:sz w:val="19"/>
          <w:szCs w:val="19"/>
        </w:rPr>
        <w:t xml:space="preserve">隐性形态是对大学组织内部质量文化中物质形态    </w:t>
      </w:r>
      <w:r>
        <w:rPr>
          <w:rFonts w:ascii="微软雅黑" w:hAnsi="微软雅黑" w:eastAsia="微软雅黑" w:cs="微软雅黑"/>
          <w:color w:val="231F20"/>
          <w:spacing w:val="12"/>
          <w:sz w:val="19"/>
          <w:szCs w:val="19"/>
        </w:rPr>
        <w:t>的二级抽象；显性形态和隐性形态之间的“桥梁</w:t>
      </w:r>
      <w:r>
        <w:rPr>
          <w:rFonts w:ascii="微软雅黑" w:hAnsi="微软雅黑" w:eastAsia="微软雅黑" w:cs="微软雅黑"/>
          <w:color w:val="231F20"/>
          <w:spacing w:val="-28"/>
          <w:sz w:val="19"/>
          <w:szCs w:val="19"/>
        </w:rPr>
        <w:t xml:space="preserve"> </w:t>
      </w:r>
      <w:r>
        <w:rPr>
          <w:rFonts w:ascii="微软雅黑" w:hAnsi="微软雅黑" w:eastAsia="微软雅黑" w:cs="微软雅黑"/>
          <w:color w:val="231F20"/>
          <w:spacing w:val="12"/>
          <w:sz w:val="19"/>
          <w:szCs w:val="19"/>
        </w:rPr>
        <w:t>”</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1"/>
          <w:sz w:val="19"/>
          <w:szCs w:val="19"/>
        </w:rPr>
        <w:t xml:space="preserve">便是关系形态，这三种形态共同构成了大学质量    </w:t>
      </w:r>
      <w:r>
        <w:rPr>
          <w:rFonts w:ascii="微软雅黑" w:hAnsi="微软雅黑" w:eastAsia="微软雅黑" w:cs="微软雅黑"/>
          <w:color w:val="231F20"/>
          <w:spacing w:val="-11"/>
          <w:w w:val="95"/>
          <w:position w:val="-2"/>
          <w:sz w:val="19"/>
          <w:szCs w:val="19"/>
        </w:rPr>
        <w:t>文化。</w:t>
      </w:r>
      <w:r>
        <w:rPr>
          <w:rFonts w:ascii="微软雅黑" w:hAnsi="微软雅黑" w:eastAsia="微软雅黑" w:cs="微软雅黑"/>
          <w:color w:val="231F20"/>
          <w:spacing w:val="-17"/>
          <w:w w:val="96"/>
          <w:position w:val="4"/>
          <w:sz w:val="11"/>
          <w:szCs w:val="11"/>
        </w:rPr>
        <w:t>［</w:t>
      </w:r>
      <w:r>
        <w:rPr>
          <w:rFonts w:ascii="宋体" w:hAnsi="宋体" w:eastAsia="宋体" w:cs="宋体"/>
          <w:color w:val="231F20"/>
          <w:spacing w:val="-17"/>
          <w:w w:val="96"/>
          <w:position w:val="4"/>
          <w:sz w:val="11"/>
          <w:szCs w:val="11"/>
        </w:rPr>
        <w:t>8</w:t>
      </w:r>
      <w:r>
        <w:rPr>
          <w:rFonts w:ascii="微软雅黑" w:hAnsi="微软雅黑" w:eastAsia="微软雅黑" w:cs="微软雅黑"/>
          <w:color w:val="231F20"/>
          <w:spacing w:val="-17"/>
          <w:w w:val="96"/>
          <w:position w:val="4"/>
          <w:sz w:val="11"/>
          <w:szCs w:val="11"/>
        </w:rPr>
        <w:t>］</w:t>
      </w:r>
    </w:p>
    <w:p>
      <w:pPr>
        <w:spacing w:line="14" w:lineRule="auto"/>
        <w:rPr>
          <w:rFonts w:ascii="Arial"/>
          <w:sz w:val="2"/>
        </w:rPr>
      </w:pPr>
      <w:r>
        <w:rPr>
          <w:rFonts w:ascii="Arial" w:hAnsi="Arial" w:eastAsia="Arial" w:cs="Arial"/>
          <w:sz w:val="2"/>
          <w:szCs w:val="2"/>
        </w:rPr>
        <w:br w:type="column"/>
      </w:r>
    </w:p>
    <w:p>
      <w:pPr>
        <w:spacing w:before="39" w:line="231" w:lineRule="auto"/>
        <w:ind w:left="99" w:right="195" w:firstLine="401"/>
        <w:rPr>
          <w:rFonts w:ascii="微软雅黑" w:hAnsi="微软雅黑" w:eastAsia="微软雅黑" w:cs="微软雅黑"/>
          <w:sz w:val="11"/>
          <w:szCs w:val="11"/>
        </w:rPr>
      </w:pPr>
      <w:r>
        <w:rPr>
          <w:rFonts w:ascii="微软雅黑" w:hAnsi="微软雅黑" w:eastAsia="微软雅黑" w:cs="微软雅黑"/>
          <w:color w:val="231F20"/>
          <w:spacing w:val="2"/>
          <w:sz w:val="19"/>
          <w:szCs w:val="19"/>
        </w:rPr>
        <w:t>还有学者提出了“</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2"/>
          <w:sz w:val="19"/>
          <w:szCs w:val="19"/>
        </w:rPr>
        <w:t>四层次论”，即高校质量文</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4"/>
          <w:sz w:val="19"/>
          <w:szCs w:val="19"/>
        </w:rPr>
        <w:t>化应该具有四个层次，由内到外依次是精神层（观</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6"/>
          <w:sz w:val="19"/>
          <w:szCs w:val="19"/>
        </w:rPr>
        <w:t>念层、道德层）、制度层、行为层和物质层</w:t>
      </w:r>
      <w:r>
        <w:rPr>
          <w:rFonts w:ascii="微软雅黑" w:hAnsi="微软雅黑" w:eastAsia="微软雅黑" w:cs="微软雅黑"/>
          <w:color w:val="231F20"/>
          <w:spacing w:val="-12"/>
          <w:sz w:val="19"/>
          <w:szCs w:val="19"/>
        </w:rPr>
        <w:t xml:space="preserve"> </w:t>
      </w:r>
      <w:r>
        <w:rPr>
          <w:rFonts w:ascii="微软雅黑" w:hAnsi="微软雅黑" w:eastAsia="微软雅黑" w:cs="微软雅黑"/>
          <w:color w:val="231F20"/>
          <w:spacing w:val="-6"/>
          <w:sz w:val="19"/>
          <w:szCs w:val="19"/>
        </w:rPr>
        <w:t>。董立平</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 xml:space="preserve">与孙维胜将其解释为：物质层是指质量文化的物 质部分以及建设质量文化的物质基础；行为层突 出体现在所形成的作风与行为准则方面，还体现 </w:t>
      </w:r>
      <w:r>
        <w:rPr>
          <w:rFonts w:ascii="微软雅黑" w:hAnsi="微软雅黑" w:eastAsia="微软雅黑" w:cs="微软雅黑"/>
          <w:color w:val="231F20"/>
          <w:spacing w:val="4"/>
          <w:sz w:val="19"/>
          <w:szCs w:val="19"/>
        </w:rPr>
        <w:t>在遵纪守法、照章办事等方面的原则；制度层是指</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4"/>
          <w:sz w:val="19"/>
          <w:szCs w:val="19"/>
        </w:rPr>
        <w:t>各种制度、规范和教职员工行为准则的总和，是高</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13"/>
          <w:sz w:val="19"/>
          <w:szCs w:val="19"/>
        </w:rPr>
        <w:t xml:space="preserve">校质量控制的制度文化；精神层是高校进行质量 决策和质量管理时的指导原则和行为规范，是一 所高校的普遍价值观，更是其质量文化的核心和 </w:t>
      </w:r>
      <w:r>
        <w:rPr>
          <w:rFonts w:ascii="微软雅黑" w:hAnsi="微软雅黑" w:eastAsia="微软雅黑" w:cs="微软雅黑"/>
          <w:color w:val="231F20"/>
          <w:spacing w:val="-10"/>
          <w:w w:val="94"/>
          <w:position w:val="-2"/>
          <w:sz w:val="19"/>
          <w:szCs w:val="19"/>
        </w:rPr>
        <w:t>源泉。</w:t>
      </w:r>
      <w:r>
        <w:rPr>
          <w:rFonts w:ascii="微软雅黑" w:hAnsi="微软雅黑" w:eastAsia="微软雅黑" w:cs="微软雅黑"/>
          <w:color w:val="231F20"/>
          <w:spacing w:val="-17"/>
          <w:w w:val="97"/>
          <w:position w:val="4"/>
          <w:sz w:val="11"/>
          <w:szCs w:val="11"/>
        </w:rPr>
        <w:t>［</w:t>
      </w:r>
      <w:r>
        <w:rPr>
          <w:rFonts w:ascii="宋体" w:hAnsi="宋体" w:eastAsia="宋体" w:cs="宋体"/>
          <w:color w:val="231F20"/>
          <w:spacing w:val="-17"/>
          <w:w w:val="97"/>
          <w:position w:val="4"/>
          <w:sz w:val="11"/>
          <w:szCs w:val="11"/>
        </w:rPr>
        <w:t>9</w:t>
      </w:r>
      <w:r>
        <w:rPr>
          <w:rFonts w:ascii="微软雅黑" w:hAnsi="微软雅黑" w:eastAsia="微软雅黑" w:cs="微软雅黑"/>
          <w:color w:val="231F20"/>
          <w:spacing w:val="-17"/>
          <w:w w:val="97"/>
          <w:position w:val="4"/>
          <w:sz w:val="11"/>
          <w:szCs w:val="11"/>
        </w:rPr>
        <w:t>］</w:t>
      </w:r>
    </w:p>
    <w:p>
      <w:pPr>
        <w:tabs>
          <w:tab w:val="left" w:pos="101"/>
        </w:tabs>
        <w:spacing w:before="38" w:line="231" w:lineRule="auto"/>
        <w:ind w:right="195" w:firstLine="504"/>
        <w:rPr>
          <w:rFonts w:ascii="微软雅黑" w:hAnsi="微软雅黑" w:eastAsia="微软雅黑" w:cs="微软雅黑"/>
          <w:sz w:val="11"/>
          <w:szCs w:val="11"/>
        </w:rPr>
      </w:pPr>
      <w:r>
        <w:rPr>
          <w:rFonts w:ascii="微软雅黑" w:hAnsi="微软雅黑" w:eastAsia="微软雅黑" w:cs="微软雅黑"/>
          <w:color w:val="231F20"/>
          <w:spacing w:val="25"/>
          <w:sz w:val="19"/>
          <w:szCs w:val="19"/>
        </w:rPr>
        <w:t>高等教育质量文化的结构论基本上是基于</w:t>
      </w:r>
      <w:r>
        <w:rPr>
          <w:rFonts w:ascii="微软雅黑" w:hAnsi="微软雅黑" w:eastAsia="微软雅黑" w:cs="微软雅黑"/>
          <w:color w:val="231F20"/>
          <w:spacing w:val="1"/>
          <w:sz w:val="19"/>
          <w:szCs w:val="19"/>
        </w:rPr>
        <w:t xml:space="preserve"> </w:t>
      </w:r>
      <w:r>
        <w:rPr>
          <w:rFonts w:ascii="微软雅黑" w:hAnsi="微软雅黑" w:eastAsia="微软雅黑" w:cs="微软雅黑"/>
          <w:color w:val="231F20"/>
          <w:spacing w:val="-4"/>
          <w:sz w:val="19"/>
          <w:szCs w:val="19"/>
        </w:rPr>
        <w:t>“</w:t>
      </w:r>
      <w:r>
        <w:rPr>
          <w:rFonts w:ascii="微软雅黑" w:hAnsi="微软雅黑" w:eastAsia="微软雅黑" w:cs="微软雅黑"/>
          <w:color w:val="231F20"/>
          <w:spacing w:val="-16"/>
          <w:sz w:val="19"/>
          <w:szCs w:val="19"/>
        </w:rPr>
        <w:t xml:space="preserve"> </w:t>
      </w:r>
      <w:r>
        <w:rPr>
          <w:rFonts w:ascii="微软雅黑" w:hAnsi="微软雅黑" w:eastAsia="微软雅黑" w:cs="微软雅黑"/>
          <w:color w:val="231F20"/>
          <w:spacing w:val="-4"/>
          <w:sz w:val="19"/>
          <w:szCs w:val="19"/>
        </w:rPr>
        <w:t>内在</w:t>
      </w:r>
      <w:r>
        <w:rPr>
          <w:rFonts w:ascii="微软雅黑" w:hAnsi="微软雅黑" w:eastAsia="微软雅黑" w:cs="微软雅黑"/>
          <w:color w:val="231F20"/>
          <w:spacing w:val="-28"/>
          <w:sz w:val="19"/>
          <w:szCs w:val="19"/>
        </w:rPr>
        <w:t xml:space="preserve"> </w:t>
      </w:r>
      <w:r>
        <w:rPr>
          <w:rFonts w:ascii="微软雅黑" w:hAnsi="微软雅黑" w:eastAsia="微软雅黑" w:cs="微软雅黑"/>
          <w:color w:val="231F20"/>
          <w:spacing w:val="-4"/>
          <w:sz w:val="19"/>
          <w:szCs w:val="19"/>
        </w:rPr>
        <w:t>”与“外显</w:t>
      </w:r>
      <w:r>
        <w:rPr>
          <w:rFonts w:ascii="微软雅黑" w:hAnsi="微软雅黑" w:eastAsia="微软雅黑" w:cs="微软雅黑"/>
          <w:color w:val="231F20"/>
          <w:spacing w:val="-27"/>
          <w:sz w:val="19"/>
          <w:szCs w:val="19"/>
        </w:rPr>
        <w:t xml:space="preserve"> </w:t>
      </w:r>
      <w:r>
        <w:rPr>
          <w:rFonts w:ascii="微软雅黑" w:hAnsi="微软雅黑" w:eastAsia="微软雅黑" w:cs="微软雅黑"/>
          <w:color w:val="231F20"/>
          <w:spacing w:val="-4"/>
          <w:sz w:val="19"/>
          <w:szCs w:val="19"/>
        </w:rPr>
        <w:t>”两个层面进行的衍生，是全体师</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8"/>
          <w:sz w:val="19"/>
          <w:szCs w:val="19"/>
        </w:rPr>
        <w:t>生关乎质量领域的精神活动以及精神物化产品的</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5"/>
          <w:sz w:val="19"/>
          <w:szCs w:val="19"/>
        </w:rPr>
        <w:t>总称</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5"/>
          <w:sz w:val="19"/>
          <w:szCs w:val="19"/>
        </w:rPr>
        <w:t>。正如欧盟大学协会（</w:t>
      </w:r>
      <w:r>
        <w:rPr>
          <w:rFonts w:ascii="宋体" w:hAnsi="宋体" w:eastAsia="宋体" w:cs="宋体"/>
          <w:color w:val="231F20"/>
          <w:sz w:val="19"/>
          <w:szCs w:val="19"/>
        </w:rPr>
        <w:t>European</w:t>
      </w:r>
      <w:r>
        <w:rPr>
          <w:rFonts w:ascii="宋体" w:hAnsi="宋体" w:eastAsia="宋体" w:cs="宋体"/>
          <w:color w:val="231F20"/>
          <w:spacing w:val="-16"/>
          <w:sz w:val="19"/>
          <w:szCs w:val="19"/>
        </w:rPr>
        <w:t xml:space="preserve"> </w:t>
      </w:r>
      <w:r>
        <w:rPr>
          <w:rFonts w:ascii="宋体" w:hAnsi="宋体" w:eastAsia="宋体" w:cs="宋体"/>
          <w:color w:val="231F20"/>
          <w:sz w:val="19"/>
          <w:szCs w:val="19"/>
        </w:rPr>
        <w:t xml:space="preserve">Universities </w:t>
      </w:r>
      <w:r>
        <w:rPr>
          <w:rFonts w:ascii="宋体" w:hAnsi="宋体" w:eastAsia="宋体" w:cs="宋体"/>
          <w:color w:val="231F20"/>
          <w:sz w:val="19"/>
          <w:szCs w:val="19"/>
        </w:rPr>
        <w:tab/>
      </w:r>
      <w:r>
        <w:rPr>
          <w:rFonts w:ascii="宋体" w:hAnsi="宋体" w:eastAsia="宋体" w:cs="宋体"/>
          <w:color w:val="231F20"/>
          <w:spacing w:val="-4"/>
          <w:sz w:val="19"/>
          <w:szCs w:val="19"/>
        </w:rPr>
        <w:t>Association</w:t>
      </w:r>
      <w:r>
        <w:rPr>
          <w:rFonts w:ascii="微软雅黑" w:hAnsi="微软雅黑" w:eastAsia="微软雅黑" w:cs="微软雅黑"/>
          <w:color w:val="231F20"/>
          <w:spacing w:val="-4"/>
          <w:sz w:val="19"/>
          <w:szCs w:val="19"/>
        </w:rPr>
        <w:t>，</w:t>
      </w:r>
      <w:r>
        <w:rPr>
          <w:rFonts w:ascii="宋体" w:hAnsi="宋体" w:eastAsia="宋体" w:cs="宋体"/>
          <w:color w:val="231F20"/>
          <w:spacing w:val="-4"/>
          <w:sz w:val="19"/>
          <w:szCs w:val="19"/>
        </w:rPr>
        <w:t>EUA</w:t>
      </w:r>
      <w:r>
        <w:rPr>
          <w:rFonts w:ascii="微软雅黑" w:hAnsi="微软雅黑" w:eastAsia="微软雅黑" w:cs="微软雅黑"/>
          <w:color w:val="231F20"/>
          <w:spacing w:val="-4"/>
          <w:sz w:val="19"/>
          <w:szCs w:val="19"/>
        </w:rPr>
        <w:t>）所提出的大学</w:t>
      </w:r>
      <w:r>
        <w:rPr>
          <w:rFonts w:ascii="微软雅黑" w:hAnsi="微软雅黑" w:eastAsia="微软雅黑" w:cs="微软雅黑"/>
          <w:color w:val="231F20"/>
          <w:spacing w:val="-5"/>
          <w:sz w:val="19"/>
          <w:szCs w:val="19"/>
        </w:rPr>
        <w:t>文化包含“硬</w:t>
      </w:r>
      <w:r>
        <w:rPr>
          <w:rFonts w:ascii="微软雅黑" w:hAnsi="微软雅黑" w:eastAsia="微软雅黑" w:cs="微软雅黑"/>
          <w:color w:val="231F20"/>
          <w:spacing w:val="-24"/>
          <w:sz w:val="19"/>
          <w:szCs w:val="19"/>
        </w:rPr>
        <w:t xml:space="preserve"> </w:t>
      </w:r>
      <w:r>
        <w:rPr>
          <w:rFonts w:ascii="微软雅黑" w:hAnsi="微软雅黑" w:eastAsia="微软雅黑" w:cs="微软雅黑"/>
          <w:color w:val="231F20"/>
          <w:spacing w:val="-5"/>
          <w:sz w:val="19"/>
          <w:szCs w:val="19"/>
        </w:rPr>
        <w:t>”的</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9"/>
          <w:sz w:val="19"/>
          <w:szCs w:val="19"/>
        </w:rPr>
        <w:t>方面（如质量管理、战略和过程）和“软</w:t>
      </w:r>
      <w:r>
        <w:rPr>
          <w:rFonts w:ascii="微软雅黑" w:hAnsi="微软雅黑" w:eastAsia="微软雅黑" w:cs="微软雅黑"/>
          <w:color w:val="231F20"/>
          <w:spacing w:val="-25"/>
          <w:sz w:val="19"/>
          <w:szCs w:val="19"/>
        </w:rPr>
        <w:t xml:space="preserve"> </w:t>
      </w:r>
      <w:r>
        <w:rPr>
          <w:rFonts w:ascii="微软雅黑" w:hAnsi="微软雅黑" w:eastAsia="微软雅黑" w:cs="微软雅黑"/>
          <w:color w:val="231F20"/>
          <w:spacing w:val="-9"/>
          <w:sz w:val="19"/>
          <w:szCs w:val="19"/>
        </w:rPr>
        <w:t>”的方面（如</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5"/>
          <w:sz w:val="19"/>
          <w:szCs w:val="19"/>
        </w:rPr>
        <w:t>价值观、信念和承诺）两个维度。</w:t>
      </w:r>
      <w:r>
        <w:rPr>
          <w:rFonts w:ascii="微软雅黑" w:hAnsi="微软雅黑" w:eastAsia="微软雅黑" w:cs="微软雅黑"/>
          <w:color w:val="231F20"/>
          <w:spacing w:val="-5"/>
          <w:position w:val="6"/>
          <w:sz w:val="11"/>
          <w:szCs w:val="11"/>
        </w:rPr>
        <w:t>［</w:t>
      </w:r>
      <w:r>
        <w:rPr>
          <w:rFonts w:ascii="宋体" w:hAnsi="宋体" w:eastAsia="宋体" w:cs="宋体"/>
          <w:color w:val="231F20"/>
          <w:spacing w:val="-5"/>
          <w:position w:val="6"/>
          <w:sz w:val="11"/>
          <w:szCs w:val="11"/>
        </w:rPr>
        <w:t>10</w:t>
      </w:r>
      <w:r>
        <w:rPr>
          <w:rFonts w:ascii="微软雅黑" w:hAnsi="微软雅黑" w:eastAsia="微软雅黑" w:cs="微软雅黑"/>
          <w:color w:val="231F20"/>
          <w:spacing w:val="-5"/>
          <w:position w:val="6"/>
          <w:sz w:val="11"/>
          <w:szCs w:val="11"/>
        </w:rPr>
        <w:t>］</w:t>
      </w:r>
      <w:r>
        <w:rPr>
          <w:rFonts w:ascii="微软雅黑" w:hAnsi="微软雅黑" w:eastAsia="微软雅黑" w:cs="微软雅黑"/>
          <w:color w:val="231F20"/>
          <w:spacing w:val="-5"/>
          <w:sz w:val="19"/>
          <w:szCs w:val="19"/>
        </w:rPr>
        <w:t>对此，</w:t>
      </w:r>
      <w:r>
        <w:rPr>
          <w:rFonts w:ascii="微软雅黑" w:hAnsi="微软雅黑" w:eastAsia="微软雅黑" w:cs="微软雅黑"/>
          <w:color w:val="231F20"/>
          <w:spacing w:val="-6"/>
          <w:sz w:val="19"/>
          <w:szCs w:val="19"/>
        </w:rPr>
        <w:t>安心与张</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8"/>
          <w:sz w:val="19"/>
          <w:szCs w:val="19"/>
        </w:rPr>
        <w:t>鹏提出高等教育质量文化是高等教育质量保障体</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z w:val="19"/>
          <w:szCs w:val="19"/>
        </w:rPr>
        <w:t>系中内外相生、以外促内的“统一体”，是高校以质</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18"/>
          <w:sz w:val="19"/>
          <w:szCs w:val="19"/>
        </w:rPr>
        <w:t>量为目标的价值认同和履行质量承诺的行为表征</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18"/>
          <w:sz w:val="19"/>
          <w:szCs w:val="19"/>
        </w:rPr>
        <w:t>的统一，是高校保障教育质量的技术操作和文化</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18"/>
          <w:sz w:val="19"/>
          <w:szCs w:val="19"/>
        </w:rPr>
        <w:t>认知的统一，是在大学内部群体一致认同的情境</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18"/>
          <w:sz w:val="19"/>
          <w:szCs w:val="19"/>
        </w:rPr>
        <w:t>之下，上升到大学组织文化层面在大学内部凝结</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8"/>
          <w:sz w:val="19"/>
          <w:szCs w:val="19"/>
        </w:rPr>
        <w:t>而成的一种“文化模式”。</w:t>
      </w:r>
      <w:r>
        <w:rPr>
          <w:rFonts w:ascii="微软雅黑" w:hAnsi="微软雅黑" w:eastAsia="微软雅黑" w:cs="微软雅黑"/>
          <w:color w:val="231F20"/>
          <w:spacing w:val="-8"/>
          <w:position w:val="6"/>
          <w:sz w:val="11"/>
          <w:szCs w:val="11"/>
        </w:rPr>
        <w:t>［</w:t>
      </w:r>
      <w:r>
        <w:rPr>
          <w:rFonts w:ascii="宋体" w:hAnsi="宋体" w:eastAsia="宋体" w:cs="宋体"/>
          <w:color w:val="231F20"/>
          <w:spacing w:val="-8"/>
          <w:position w:val="6"/>
          <w:sz w:val="11"/>
          <w:szCs w:val="11"/>
        </w:rPr>
        <w:t>11</w:t>
      </w:r>
      <w:r>
        <w:rPr>
          <w:rFonts w:ascii="微软雅黑" w:hAnsi="微软雅黑" w:eastAsia="微软雅黑" w:cs="微软雅黑"/>
          <w:color w:val="231F20"/>
          <w:spacing w:val="-8"/>
          <w:position w:val="6"/>
          <w:sz w:val="11"/>
          <w:szCs w:val="11"/>
        </w:rPr>
        <w:t>］</w:t>
      </w:r>
    </w:p>
    <w:p>
      <w:pPr>
        <w:spacing w:before="41" w:line="199" w:lineRule="auto"/>
        <w:ind w:left="416"/>
        <w:rPr>
          <w:rFonts w:ascii="微软雅黑" w:hAnsi="微软雅黑" w:eastAsia="微软雅黑" w:cs="微软雅黑"/>
          <w:sz w:val="20"/>
          <w:szCs w:val="20"/>
        </w:rPr>
      </w:pPr>
      <w:r>
        <w:rPr>
          <w:rFonts w:ascii="微软雅黑" w:hAnsi="微软雅黑" w:eastAsia="微软雅黑" w:cs="微软雅黑"/>
          <w:color w:val="231F20"/>
          <w:spacing w:val="-9"/>
          <w:sz w:val="20"/>
          <w:szCs w:val="20"/>
        </w:rPr>
        <w:t>（三）高等教育质量文化的功能论</w:t>
      </w:r>
    </w:p>
    <w:p>
      <w:pPr>
        <w:spacing w:before="41" w:line="228" w:lineRule="auto"/>
        <w:ind w:left="98" w:firstLine="399"/>
        <w:rPr>
          <w:rFonts w:ascii="微软雅黑" w:hAnsi="微软雅黑" w:eastAsia="微软雅黑" w:cs="微软雅黑"/>
          <w:sz w:val="19"/>
          <w:szCs w:val="19"/>
        </w:rPr>
      </w:pPr>
      <w:r>
        <w:rPr>
          <w:rFonts w:ascii="微软雅黑" w:hAnsi="微软雅黑" w:eastAsia="微软雅黑" w:cs="微软雅黑"/>
          <w:color w:val="231F20"/>
          <w:spacing w:val="10"/>
          <w:sz w:val="19"/>
          <w:szCs w:val="19"/>
        </w:rPr>
        <w:t>何茂勋</w:t>
      </w:r>
      <w:r>
        <w:rPr>
          <w:rFonts w:ascii="微软雅黑" w:hAnsi="微软雅黑" w:eastAsia="微软雅黑" w:cs="微软雅黑"/>
          <w:color w:val="231F20"/>
          <w:spacing w:val="-29"/>
          <w:sz w:val="19"/>
          <w:szCs w:val="19"/>
        </w:rPr>
        <w:t xml:space="preserve"> </w:t>
      </w:r>
      <w:r>
        <w:rPr>
          <w:rFonts w:ascii="微软雅黑" w:hAnsi="微软雅黑" w:eastAsia="微软雅黑" w:cs="微软雅黑"/>
          <w:color w:val="231F20"/>
          <w:spacing w:val="10"/>
          <w:sz w:val="19"/>
          <w:szCs w:val="19"/>
        </w:rPr>
        <w:t>、张蓓等学者曾把高等教育质量文化    功能归结为师生员工利益</w:t>
      </w:r>
      <w:r>
        <w:rPr>
          <w:rFonts w:ascii="微软雅黑" w:hAnsi="微软雅黑" w:eastAsia="微软雅黑" w:cs="微软雅黑"/>
          <w:color w:val="231F20"/>
          <w:spacing w:val="-29"/>
          <w:sz w:val="19"/>
          <w:szCs w:val="19"/>
        </w:rPr>
        <w:t xml:space="preserve"> </w:t>
      </w:r>
      <w:r>
        <w:rPr>
          <w:rFonts w:ascii="微软雅黑" w:hAnsi="微软雅黑" w:eastAsia="微软雅黑" w:cs="微软雅黑"/>
          <w:color w:val="231F20"/>
          <w:spacing w:val="10"/>
          <w:sz w:val="19"/>
          <w:szCs w:val="19"/>
        </w:rPr>
        <w:t xml:space="preserve">、员工目标导向和学校    </w:t>
      </w:r>
      <w:r>
        <w:rPr>
          <w:rFonts w:ascii="微软雅黑" w:hAnsi="微软雅黑" w:eastAsia="微软雅黑" w:cs="微软雅黑"/>
          <w:color w:val="231F20"/>
          <w:spacing w:val="11"/>
          <w:sz w:val="19"/>
          <w:szCs w:val="19"/>
        </w:rPr>
        <w:t xml:space="preserve">文化氛围的凝聚引导功能，学校无形的行为准则    和潜意识的规范约束功能，学校无形的精神驱动    力激励促进功能，以及学校外部主体的辐射反馈    </w:t>
      </w:r>
      <w:r>
        <w:rPr>
          <w:rFonts w:ascii="微软雅黑" w:hAnsi="微软雅黑" w:eastAsia="微软雅黑" w:cs="微软雅黑"/>
          <w:color w:val="231F20"/>
          <w:spacing w:val="4"/>
          <w:sz w:val="19"/>
          <w:szCs w:val="19"/>
        </w:rPr>
        <w:t>功能等四个方面的价值功能</w:t>
      </w:r>
      <w:r>
        <w:rPr>
          <w:rFonts w:ascii="微软雅黑" w:hAnsi="微软雅黑" w:eastAsia="微软雅黑" w:cs="微软雅黑"/>
          <w:color w:val="231F20"/>
          <w:spacing w:val="-31"/>
          <w:sz w:val="19"/>
          <w:szCs w:val="19"/>
        </w:rPr>
        <w:t xml:space="preserve"> </w:t>
      </w:r>
      <w:r>
        <w:rPr>
          <w:rFonts w:ascii="微软雅黑" w:hAnsi="微软雅黑" w:eastAsia="微软雅黑" w:cs="微软雅黑"/>
          <w:color w:val="231F20"/>
          <w:spacing w:val="4"/>
          <w:sz w:val="19"/>
          <w:szCs w:val="19"/>
        </w:rPr>
        <w:t>。</w:t>
      </w:r>
      <w:r>
        <w:rPr>
          <w:rFonts w:ascii="微软雅黑" w:hAnsi="微软雅黑" w:eastAsia="微软雅黑" w:cs="微软雅黑"/>
          <w:color w:val="231F20"/>
          <w:spacing w:val="4"/>
          <w:position w:val="6"/>
          <w:sz w:val="11"/>
          <w:szCs w:val="11"/>
        </w:rPr>
        <w:t>［</w:t>
      </w:r>
      <w:r>
        <w:rPr>
          <w:rFonts w:ascii="宋体" w:hAnsi="宋体" w:eastAsia="宋体" w:cs="宋体"/>
          <w:color w:val="231F20"/>
          <w:spacing w:val="4"/>
          <w:position w:val="6"/>
          <w:sz w:val="11"/>
          <w:szCs w:val="11"/>
        </w:rPr>
        <w:t>12</w:t>
      </w:r>
      <w:r>
        <w:rPr>
          <w:rFonts w:ascii="微软雅黑" w:hAnsi="微软雅黑" w:eastAsia="微软雅黑" w:cs="微软雅黑"/>
          <w:color w:val="231F20"/>
          <w:spacing w:val="4"/>
          <w:position w:val="6"/>
          <w:sz w:val="11"/>
          <w:szCs w:val="11"/>
        </w:rPr>
        <w:t>］</w:t>
      </w:r>
      <w:r>
        <w:rPr>
          <w:rFonts w:ascii="微软雅黑" w:hAnsi="微软雅黑" w:eastAsia="微软雅黑" w:cs="微软雅黑"/>
          <w:color w:val="231F20"/>
          <w:spacing w:val="4"/>
          <w:sz w:val="19"/>
          <w:szCs w:val="19"/>
        </w:rPr>
        <w:t xml:space="preserve">柏昌利则认为高    </w:t>
      </w:r>
      <w:r>
        <w:rPr>
          <w:rFonts w:ascii="微软雅黑" w:hAnsi="微软雅黑" w:eastAsia="微软雅黑" w:cs="微软雅黑"/>
          <w:color w:val="231F20"/>
          <w:spacing w:val="11"/>
          <w:sz w:val="19"/>
          <w:szCs w:val="19"/>
        </w:rPr>
        <w:t xml:space="preserve">等教育质量文化具有质量的认同感与使命感形成    </w:t>
      </w:r>
      <w:r>
        <w:rPr>
          <w:rFonts w:ascii="微软雅黑" w:hAnsi="微软雅黑" w:eastAsia="微软雅黑" w:cs="微软雅黑"/>
          <w:color w:val="231F20"/>
          <w:spacing w:val="10"/>
          <w:sz w:val="19"/>
          <w:szCs w:val="19"/>
        </w:rPr>
        <w:t>的凝聚功能</w:t>
      </w:r>
      <w:r>
        <w:rPr>
          <w:rFonts w:ascii="微软雅黑" w:hAnsi="微软雅黑" w:eastAsia="微软雅黑" w:cs="微软雅黑"/>
          <w:color w:val="231F20"/>
          <w:spacing w:val="-29"/>
          <w:sz w:val="19"/>
          <w:szCs w:val="19"/>
        </w:rPr>
        <w:t xml:space="preserve"> </w:t>
      </w:r>
      <w:r>
        <w:rPr>
          <w:rFonts w:ascii="微软雅黑" w:hAnsi="微软雅黑" w:eastAsia="微软雅黑" w:cs="微软雅黑"/>
          <w:color w:val="231F20"/>
          <w:spacing w:val="10"/>
          <w:sz w:val="19"/>
          <w:szCs w:val="19"/>
        </w:rPr>
        <w:t xml:space="preserve">、个人质量观与学校质量一致的导向    </w:t>
      </w:r>
      <w:r>
        <w:rPr>
          <w:rFonts w:ascii="微软雅黑" w:hAnsi="微软雅黑" w:eastAsia="微软雅黑" w:cs="微软雅黑"/>
          <w:color w:val="231F20"/>
          <w:spacing w:val="3"/>
          <w:sz w:val="19"/>
          <w:szCs w:val="19"/>
        </w:rPr>
        <w:t>功能、质量文化定势与氛围的激励功能、文化“软</w:t>
      </w:r>
      <w:r>
        <w:rPr>
          <w:rFonts w:ascii="微软雅黑" w:hAnsi="微软雅黑" w:eastAsia="微软雅黑" w:cs="微软雅黑"/>
          <w:color w:val="231F20"/>
          <w:spacing w:val="-23"/>
          <w:sz w:val="19"/>
          <w:szCs w:val="19"/>
        </w:rPr>
        <w:t xml:space="preserve"> </w:t>
      </w:r>
      <w:r>
        <w:rPr>
          <w:rFonts w:ascii="微软雅黑" w:hAnsi="微软雅黑" w:eastAsia="微软雅黑" w:cs="微软雅黑"/>
          <w:color w:val="231F20"/>
          <w:spacing w:val="3"/>
          <w:sz w:val="19"/>
          <w:szCs w:val="19"/>
        </w:rPr>
        <w:t>”</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1"/>
          <w:sz w:val="19"/>
          <w:szCs w:val="19"/>
        </w:rPr>
        <w:t xml:space="preserve">因素下的约束功能以及社会化的辐射功能等五个    </w:t>
      </w:r>
      <w:r>
        <w:rPr>
          <w:rFonts w:ascii="微软雅黑" w:hAnsi="微软雅黑" w:eastAsia="微软雅黑" w:cs="微软雅黑"/>
          <w:color w:val="231F20"/>
          <w:spacing w:val="-12"/>
          <w:w w:val="96"/>
          <w:sz w:val="19"/>
          <w:szCs w:val="19"/>
        </w:rPr>
        <w:t>方面。</w:t>
      </w:r>
      <w:r>
        <w:rPr>
          <w:rFonts w:ascii="微软雅黑" w:hAnsi="微软雅黑" w:eastAsia="微软雅黑" w:cs="微软雅黑"/>
          <w:color w:val="231F20"/>
          <w:position w:val="6"/>
          <w:sz w:val="11"/>
          <w:szCs w:val="11"/>
        </w:rPr>
        <w:t>［</w:t>
      </w:r>
      <w:r>
        <w:rPr>
          <w:rFonts w:ascii="宋体" w:hAnsi="宋体" w:eastAsia="宋体" w:cs="宋体"/>
          <w:color w:val="231F20"/>
          <w:position w:val="6"/>
          <w:sz w:val="11"/>
          <w:szCs w:val="11"/>
        </w:rPr>
        <w:t>13</w:t>
      </w:r>
      <w:r>
        <w:rPr>
          <w:rFonts w:ascii="微软雅黑" w:hAnsi="微软雅黑" w:eastAsia="微软雅黑" w:cs="微软雅黑"/>
          <w:color w:val="231F20"/>
          <w:position w:val="6"/>
          <w:sz w:val="11"/>
          <w:szCs w:val="11"/>
        </w:rPr>
        <w:t>］</w:t>
      </w:r>
      <w:r>
        <w:rPr>
          <w:rFonts w:ascii="微软雅黑" w:hAnsi="微软雅黑" w:eastAsia="微软雅黑" w:cs="微软雅黑"/>
          <w:color w:val="231F20"/>
          <w:sz w:val="19"/>
          <w:szCs w:val="19"/>
        </w:rPr>
        <w:t xml:space="preserve">高校质量文化在引领学校发展、塑造品牌    </w:t>
      </w:r>
      <w:r>
        <w:rPr>
          <w:rFonts w:ascii="微软雅黑" w:hAnsi="微软雅黑" w:eastAsia="微软雅黑" w:cs="微软雅黑"/>
          <w:color w:val="231F20"/>
          <w:spacing w:val="3"/>
          <w:sz w:val="19"/>
          <w:szCs w:val="19"/>
        </w:rPr>
        <w:t xml:space="preserve">形象、凝炼学校文化、满足各方需求等方面发挥了    </w:t>
      </w:r>
      <w:r>
        <w:rPr>
          <w:rFonts w:ascii="微软雅黑" w:hAnsi="微软雅黑" w:eastAsia="微软雅黑" w:cs="微软雅黑"/>
          <w:color w:val="231F20"/>
          <w:spacing w:val="-4"/>
          <w:sz w:val="19"/>
          <w:szCs w:val="19"/>
        </w:rPr>
        <w:t xml:space="preserve">促进作用，具有统整价值、引领价值、塑造价值、发    </w:t>
      </w:r>
      <w:r>
        <w:rPr>
          <w:rFonts w:ascii="微软雅黑" w:hAnsi="微软雅黑" w:eastAsia="微软雅黑" w:cs="微软雅黑"/>
          <w:color w:val="231F20"/>
          <w:spacing w:val="3"/>
          <w:sz w:val="19"/>
          <w:szCs w:val="19"/>
        </w:rPr>
        <w:t>展价值和愉悦价值 。</w:t>
      </w:r>
      <w:r>
        <w:rPr>
          <w:rFonts w:ascii="微软雅黑" w:hAnsi="微软雅黑" w:eastAsia="微软雅黑" w:cs="微软雅黑"/>
          <w:color w:val="231F20"/>
          <w:spacing w:val="3"/>
          <w:position w:val="6"/>
          <w:sz w:val="11"/>
          <w:szCs w:val="11"/>
        </w:rPr>
        <w:t>［</w:t>
      </w:r>
      <w:r>
        <w:rPr>
          <w:rFonts w:ascii="宋体" w:hAnsi="宋体" w:eastAsia="宋体" w:cs="宋体"/>
          <w:color w:val="231F20"/>
          <w:spacing w:val="3"/>
          <w:position w:val="6"/>
          <w:sz w:val="11"/>
          <w:szCs w:val="11"/>
        </w:rPr>
        <w:t>14</w:t>
      </w:r>
      <w:r>
        <w:rPr>
          <w:rFonts w:ascii="微软雅黑" w:hAnsi="微软雅黑" w:eastAsia="微软雅黑" w:cs="微软雅黑"/>
          <w:color w:val="231F20"/>
          <w:spacing w:val="3"/>
          <w:position w:val="6"/>
          <w:sz w:val="11"/>
          <w:szCs w:val="11"/>
        </w:rPr>
        <w:t>］</w:t>
      </w:r>
      <w:r>
        <w:rPr>
          <w:rFonts w:ascii="微软雅黑" w:hAnsi="微软雅黑" w:eastAsia="微软雅黑" w:cs="微软雅黑"/>
          <w:color w:val="231F20"/>
          <w:spacing w:val="3"/>
          <w:sz w:val="19"/>
          <w:szCs w:val="19"/>
        </w:rPr>
        <w:t>质量文化是高校的无</w:t>
      </w:r>
      <w:r>
        <w:rPr>
          <w:rFonts w:ascii="微软雅黑" w:hAnsi="微软雅黑" w:eastAsia="微软雅黑" w:cs="微软雅黑"/>
          <w:color w:val="231F20"/>
          <w:spacing w:val="2"/>
          <w:sz w:val="19"/>
          <w:szCs w:val="19"/>
        </w:rPr>
        <w:t xml:space="preserve">形资    </w:t>
      </w:r>
      <w:r>
        <w:rPr>
          <w:rFonts w:ascii="微软雅黑" w:hAnsi="微软雅黑" w:eastAsia="微软雅黑" w:cs="微软雅黑"/>
          <w:color w:val="231F20"/>
          <w:spacing w:val="4"/>
          <w:sz w:val="19"/>
          <w:szCs w:val="19"/>
        </w:rPr>
        <w:t>产，它能促进高校内生机制不断健全，提升学校的</w:t>
      </w:r>
    </w:p>
    <w:p>
      <w:pPr>
        <w:spacing w:line="228" w:lineRule="auto"/>
        <w:rPr>
          <w:rFonts w:ascii="微软雅黑" w:hAnsi="微软雅黑" w:eastAsia="微软雅黑" w:cs="微软雅黑"/>
          <w:sz w:val="19"/>
          <w:szCs w:val="19"/>
        </w:rPr>
        <w:sectPr>
          <w:type w:val="continuous"/>
          <w:pgSz w:w="11906" w:h="16158"/>
          <w:pgMar w:top="1489" w:right="1280" w:bottom="547" w:left="407" w:header="1198" w:footer="354" w:gutter="0"/>
          <w:cols w:equalWidth="0" w:num="2">
            <w:col w:w="5545" w:space="100"/>
            <w:col w:w="4573"/>
          </w:cols>
        </w:sectPr>
      </w:pPr>
    </w:p>
    <w:p>
      <w:pPr>
        <w:spacing w:line="321" w:lineRule="auto"/>
        <w:rPr>
          <w:rFonts w:ascii="Arial"/>
          <w:sz w:val="21"/>
        </w:rPr>
      </w:pPr>
    </w:p>
    <w:p>
      <w:pPr>
        <w:spacing w:before="85" w:line="153" w:lineRule="exact"/>
        <w:ind w:left="9194"/>
        <w:rPr>
          <w:rFonts w:ascii="微软雅黑" w:hAnsi="微软雅黑" w:eastAsia="微软雅黑" w:cs="微软雅黑"/>
          <w:sz w:val="20"/>
          <w:szCs w:val="20"/>
        </w:rPr>
      </w:pPr>
      <w:r>
        <w:rPr>
          <w:rFonts w:ascii="微软雅黑" w:hAnsi="微软雅黑" w:eastAsia="微软雅黑" w:cs="微软雅黑"/>
          <w:color w:val="231F20"/>
          <w:spacing w:val="1"/>
          <w:position w:val="-3"/>
          <w:sz w:val="20"/>
          <w:szCs w:val="20"/>
        </w:rPr>
        <w:t>-   27</w:t>
      </w:r>
      <w:r>
        <w:rPr>
          <w:rFonts w:ascii="微软雅黑" w:hAnsi="微软雅黑" w:eastAsia="微软雅黑" w:cs="微软雅黑"/>
          <w:color w:val="231F20"/>
          <w:spacing w:val="29"/>
          <w:w w:val="101"/>
          <w:position w:val="-3"/>
          <w:sz w:val="20"/>
          <w:szCs w:val="20"/>
        </w:rPr>
        <w:t xml:space="preserve">  </w:t>
      </w:r>
      <w:r>
        <w:rPr>
          <w:rFonts w:ascii="微软雅黑" w:hAnsi="微软雅黑" w:eastAsia="微软雅黑" w:cs="微软雅黑"/>
          <w:color w:val="231F20"/>
          <w:spacing w:val="1"/>
          <w:position w:val="-3"/>
          <w:sz w:val="20"/>
          <w:szCs w:val="20"/>
        </w:rPr>
        <w:t>-</w:t>
      </w:r>
    </w:p>
    <w:p>
      <w:pPr>
        <w:spacing w:line="153" w:lineRule="exact"/>
        <w:rPr>
          <w:rFonts w:ascii="微软雅黑" w:hAnsi="微软雅黑" w:eastAsia="微软雅黑" w:cs="微软雅黑"/>
          <w:sz w:val="20"/>
          <w:szCs w:val="20"/>
        </w:rPr>
        <w:sectPr>
          <w:type w:val="continuous"/>
          <w:pgSz w:w="11906" w:h="16158"/>
          <w:pgMar w:top="1489" w:right="1280" w:bottom="547" w:left="407" w:header="1198" w:footer="354" w:gutter="0"/>
          <w:cols w:equalWidth="0" w:num="1">
            <w:col w:w="10217"/>
          </w:cols>
        </w:sectPr>
      </w:pPr>
    </w:p>
    <w:p>
      <w:pPr>
        <w:spacing w:line="106" w:lineRule="exact"/>
      </w:pPr>
    </w:p>
    <w:p>
      <w:pPr>
        <w:spacing w:line="106" w:lineRule="exact"/>
        <w:sectPr>
          <w:headerReference r:id="rId34" w:type="default"/>
          <w:footerReference r:id="rId35" w:type="default"/>
          <w:pgSz w:w="11906" w:h="16158"/>
          <w:pgMar w:top="1489" w:right="1398" w:bottom="547" w:left="407" w:header="1198" w:footer="354" w:gutter="0"/>
          <w:cols w:equalWidth="0" w:num="1">
            <w:col w:w="10100"/>
          </w:cols>
        </w:sectPr>
      </w:pPr>
    </w:p>
    <w:p>
      <w:pPr>
        <w:spacing w:before="44" w:line="226" w:lineRule="auto"/>
        <w:ind w:left="1073" w:right="294"/>
        <w:jc w:val="both"/>
        <w:rPr>
          <w:rFonts w:ascii="微软雅黑" w:hAnsi="微软雅黑" w:eastAsia="微软雅黑" w:cs="微软雅黑"/>
          <w:sz w:val="19"/>
          <w:szCs w:val="19"/>
        </w:rPr>
      </w:pPr>
      <w:r>
        <w:rPr>
          <w:rFonts w:ascii="微软雅黑" w:hAnsi="微软雅黑" w:eastAsia="微软雅黑" w:cs="微软雅黑"/>
          <w:color w:val="231F20"/>
          <w:spacing w:val="4"/>
          <w:sz w:val="19"/>
          <w:szCs w:val="19"/>
        </w:rPr>
        <w:t>核心竞争力；它能聚拢高校的师生员工，增强学校</w:t>
      </w:r>
      <w:r>
        <w:rPr>
          <w:rFonts w:ascii="微软雅黑" w:hAnsi="微软雅黑" w:eastAsia="微软雅黑" w:cs="微软雅黑"/>
          <w:color w:val="231F20"/>
          <w:spacing w:val="5"/>
          <w:sz w:val="19"/>
          <w:szCs w:val="19"/>
        </w:rPr>
        <w:t xml:space="preserve"> </w:t>
      </w:r>
      <w:r>
        <w:rPr>
          <w:rFonts w:ascii="微软雅黑" w:hAnsi="微软雅黑" w:eastAsia="微软雅黑" w:cs="微软雅黑"/>
          <w:color w:val="231F20"/>
          <w:spacing w:val="4"/>
          <w:sz w:val="19"/>
          <w:szCs w:val="19"/>
        </w:rPr>
        <w:t>的凝聚力；它能塑造高校的社会形象，提升学校的</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13"/>
          <w:sz w:val="19"/>
          <w:szCs w:val="19"/>
        </w:rPr>
        <w:t>知名度和美誉度，对学校的高质量发展具有极其</w:t>
      </w:r>
      <w:r>
        <w:rPr>
          <w:rFonts w:ascii="微软雅黑" w:hAnsi="微软雅黑" w:eastAsia="微软雅黑" w:cs="微软雅黑"/>
          <w:color w:val="231F20"/>
          <w:spacing w:val="11"/>
          <w:sz w:val="19"/>
          <w:szCs w:val="19"/>
        </w:rPr>
        <w:t xml:space="preserve"> </w:t>
      </w:r>
      <w:r>
        <w:rPr>
          <w:rFonts w:ascii="微软雅黑" w:hAnsi="微软雅黑" w:eastAsia="微软雅黑" w:cs="微软雅黑"/>
          <w:color w:val="231F20"/>
          <w:spacing w:val="8"/>
          <w:sz w:val="19"/>
          <w:szCs w:val="19"/>
        </w:rPr>
        <w:t>重要的现实意义和深远的历史意义。</w:t>
      </w:r>
    </w:p>
    <w:p>
      <w:pPr>
        <w:spacing w:before="47" w:line="231" w:lineRule="auto"/>
        <w:ind w:left="1071" w:right="229" w:firstLine="402"/>
        <w:rPr>
          <w:rFonts w:ascii="微软雅黑" w:hAnsi="微软雅黑" w:eastAsia="微软雅黑" w:cs="微软雅黑"/>
          <w:sz w:val="19"/>
          <w:szCs w:val="19"/>
        </w:rPr>
      </w:pPr>
      <w:r>
        <w:rPr>
          <w:rFonts w:ascii="微软雅黑" w:hAnsi="微软雅黑" w:eastAsia="微软雅黑" w:cs="微软雅黑"/>
          <w:color w:val="231F20"/>
          <w:spacing w:val="13"/>
          <w:sz w:val="19"/>
          <w:szCs w:val="19"/>
        </w:rPr>
        <w:t>学校是一个集中的教育组织，它的质量必定</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4"/>
          <w:sz w:val="19"/>
          <w:szCs w:val="19"/>
        </w:rPr>
        <w:t xml:space="preserve">以教学质量为主题，以教师、教学管理人员、学生  </w:t>
      </w:r>
      <w:r>
        <w:rPr>
          <w:rFonts w:ascii="微软雅黑" w:hAnsi="微软雅黑" w:eastAsia="微软雅黑" w:cs="微软雅黑"/>
          <w:color w:val="231F20"/>
          <w:spacing w:val="-2"/>
          <w:sz w:val="19"/>
          <w:szCs w:val="19"/>
        </w:rPr>
        <w:t>为主体，以教育过程为主线的一种文化。</w:t>
      </w:r>
      <w:r>
        <w:rPr>
          <w:rFonts w:ascii="微软雅黑" w:hAnsi="微软雅黑" w:eastAsia="微软雅黑" w:cs="微软雅黑"/>
          <w:color w:val="231F20"/>
          <w:spacing w:val="-2"/>
          <w:position w:val="6"/>
          <w:sz w:val="11"/>
          <w:szCs w:val="11"/>
        </w:rPr>
        <w:t>［</w:t>
      </w:r>
      <w:r>
        <w:rPr>
          <w:rFonts w:ascii="宋体" w:hAnsi="宋体" w:eastAsia="宋体" w:cs="宋体"/>
          <w:color w:val="231F20"/>
          <w:spacing w:val="-2"/>
          <w:position w:val="6"/>
          <w:sz w:val="11"/>
          <w:szCs w:val="11"/>
        </w:rPr>
        <w:t>15</w:t>
      </w:r>
      <w:r>
        <w:rPr>
          <w:rFonts w:ascii="微软雅黑" w:hAnsi="微软雅黑" w:eastAsia="微软雅黑" w:cs="微软雅黑"/>
          <w:color w:val="231F20"/>
          <w:spacing w:val="-2"/>
          <w:position w:val="6"/>
          <w:sz w:val="11"/>
          <w:szCs w:val="11"/>
        </w:rPr>
        <w:t>］</w:t>
      </w:r>
      <w:r>
        <w:rPr>
          <w:rFonts w:ascii="微软雅黑" w:hAnsi="微软雅黑" w:eastAsia="微软雅黑" w:cs="微软雅黑"/>
          <w:color w:val="231F20"/>
          <w:spacing w:val="-2"/>
          <w:sz w:val="19"/>
          <w:szCs w:val="19"/>
        </w:rPr>
        <w:t>高等教</w:t>
      </w:r>
      <w:r>
        <w:rPr>
          <w:rFonts w:ascii="微软雅黑" w:hAnsi="微软雅黑" w:eastAsia="微软雅黑" w:cs="微软雅黑"/>
          <w:color w:val="231F20"/>
          <w:spacing w:val="3"/>
          <w:sz w:val="19"/>
          <w:szCs w:val="19"/>
        </w:rPr>
        <w:t xml:space="preserve">  </w:t>
      </w:r>
      <w:r>
        <w:rPr>
          <w:rFonts w:ascii="微软雅黑" w:hAnsi="微软雅黑" w:eastAsia="微软雅黑" w:cs="微软雅黑"/>
          <w:color w:val="231F20"/>
          <w:spacing w:val="13"/>
          <w:sz w:val="19"/>
          <w:szCs w:val="19"/>
        </w:rPr>
        <w:t>育质量文化是管理的一种有效的手段或工具，它</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12"/>
          <w:sz w:val="19"/>
          <w:szCs w:val="19"/>
        </w:rPr>
        <w:t>以无形或有形的途径治理着教育实践</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2"/>
          <w:sz w:val="19"/>
          <w:szCs w:val="19"/>
        </w:rPr>
        <w:t>。学校在长</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6"/>
          <w:sz w:val="19"/>
          <w:szCs w:val="19"/>
        </w:rPr>
        <w:t xml:space="preserve">期的教育管理过程中形成的师生认可的价值观， </w:t>
      </w:r>
      <w:r>
        <w:rPr>
          <w:rFonts w:ascii="微软雅黑" w:hAnsi="微软雅黑" w:eastAsia="微软雅黑" w:cs="微软雅黑"/>
          <w:color w:val="231F20"/>
          <w:spacing w:val="12"/>
          <w:sz w:val="19"/>
          <w:szCs w:val="19"/>
        </w:rPr>
        <w:t>能够渗透到学校的各项规章制度</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2"/>
          <w:sz w:val="19"/>
          <w:szCs w:val="19"/>
        </w:rPr>
        <w:t>、管理规范和每</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一位师生员工的思想意识与教学实践中，以便对</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13"/>
          <w:sz w:val="19"/>
          <w:szCs w:val="19"/>
        </w:rPr>
        <w:t>学校的教学质量管理起保障作用，同时成为学校</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12"/>
          <w:sz w:val="19"/>
          <w:szCs w:val="19"/>
        </w:rPr>
        <w:t>质量管理规范对各方面工作指导的必然结果</w:t>
      </w:r>
      <w:r>
        <w:rPr>
          <w:rFonts w:ascii="微软雅黑" w:hAnsi="微软雅黑" w:eastAsia="微软雅黑" w:cs="微软雅黑"/>
          <w:color w:val="231F20"/>
          <w:spacing w:val="12"/>
          <w:position w:val="6"/>
          <w:sz w:val="11"/>
          <w:szCs w:val="11"/>
        </w:rPr>
        <w:t>［</w:t>
      </w:r>
      <w:r>
        <w:rPr>
          <w:rFonts w:ascii="宋体" w:hAnsi="宋体" w:eastAsia="宋体" w:cs="宋体"/>
          <w:color w:val="231F20"/>
          <w:spacing w:val="12"/>
          <w:position w:val="6"/>
          <w:sz w:val="11"/>
          <w:szCs w:val="11"/>
        </w:rPr>
        <w:t>16</w:t>
      </w:r>
      <w:r>
        <w:rPr>
          <w:rFonts w:ascii="微软雅黑" w:hAnsi="微软雅黑" w:eastAsia="微软雅黑" w:cs="微软雅黑"/>
          <w:color w:val="231F20"/>
          <w:spacing w:val="10"/>
          <w:position w:val="6"/>
          <w:sz w:val="11"/>
          <w:szCs w:val="11"/>
        </w:rPr>
        <w:t>］</w:t>
      </w:r>
      <w:r>
        <w:rPr>
          <w:rFonts w:ascii="微软雅黑" w:hAnsi="微软雅黑" w:eastAsia="微软雅黑" w:cs="微软雅黑"/>
          <w:color w:val="231F20"/>
          <w:spacing w:val="-54"/>
          <w:w w:val="95"/>
          <w:sz w:val="19"/>
          <w:szCs w:val="19"/>
        </w:rPr>
        <w:t>；</w:t>
      </w:r>
      <w:r>
        <w:rPr>
          <w:rFonts w:ascii="微软雅黑" w:hAnsi="微软雅黑" w:eastAsia="微软雅黑" w:cs="微软雅黑"/>
          <w:color w:val="231F20"/>
          <w:spacing w:val="1"/>
          <w:sz w:val="19"/>
          <w:szCs w:val="19"/>
        </w:rPr>
        <w:t xml:space="preserve"> </w:t>
      </w:r>
      <w:r>
        <w:rPr>
          <w:rFonts w:ascii="微软雅黑" w:hAnsi="微软雅黑" w:eastAsia="微软雅黑" w:cs="微软雅黑"/>
          <w:color w:val="231F20"/>
          <w:spacing w:val="13"/>
          <w:sz w:val="19"/>
          <w:szCs w:val="19"/>
        </w:rPr>
        <w:t>它也一定是以人才培养质量为中心，并具有高等</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12"/>
          <w:sz w:val="19"/>
          <w:szCs w:val="19"/>
        </w:rPr>
        <w:t>教育特色的意识形态</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2"/>
          <w:sz w:val="19"/>
          <w:szCs w:val="19"/>
        </w:rPr>
        <w:t>、行为模式以及与之相适应</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的物质特征的综合，是质量管理层面的技术文化</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1"/>
          <w:sz w:val="19"/>
          <w:szCs w:val="19"/>
        </w:rPr>
        <w:t>与质量理念层面的精神文化的有机统一。</w:t>
      </w:r>
      <w:r>
        <w:rPr>
          <w:rFonts w:ascii="微软雅黑" w:hAnsi="微软雅黑" w:eastAsia="微软雅黑" w:cs="微软雅黑"/>
          <w:color w:val="231F20"/>
          <w:spacing w:val="1"/>
          <w:position w:val="6"/>
          <w:sz w:val="11"/>
          <w:szCs w:val="11"/>
        </w:rPr>
        <w:t>［</w:t>
      </w:r>
      <w:r>
        <w:rPr>
          <w:rFonts w:ascii="宋体" w:hAnsi="宋体" w:eastAsia="宋体" w:cs="宋体"/>
          <w:color w:val="231F20"/>
          <w:spacing w:val="1"/>
          <w:position w:val="6"/>
          <w:sz w:val="11"/>
          <w:szCs w:val="11"/>
        </w:rPr>
        <w:t>17</w:t>
      </w:r>
      <w:r>
        <w:rPr>
          <w:rFonts w:ascii="微软雅黑" w:hAnsi="微软雅黑" w:eastAsia="微软雅黑" w:cs="微软雅黑"/>
          <w:color w:val="231F20"/>
          <w:spacing w:val="1"/>
          <w:position w:val="6"/>
          <w:sz w:val="11"/>
          <w:szCs w:val="11"/>
        </w:rPr>
        <w:t>］</w:t>
      </w:r>
      <w:r>
        <w:rPr>
          <w:rFonts w:ascii="微软雅黑" w:hAnsi="微软雅黑" w:eastAsia="微软雅黑" w:cs="微软雅黑"/>
          <w:color w:val="231F20"/>
          <w:sz w:val="19"/>
          <w:szCs w:val="19"/>
        </w:rPr>
        <w:t xml:space="preserve">当然， </w:t>
      </w:r>
      <w:r>
        <w:rPr>
          <w:rFonts w:ascii="微软雅黑" w:hAnsi="微软雅黑" w:eastAsia="微软雅黑" w:cs="微软雅黑"/>
          <w:color w:val="231F20"/>
          <w:spacing w:val="4"/>
          <w:sz w:val="19"/>
          <w:szCs w:val="19"/>
        </w:rPr>
        <w:t xml:space="preserve">过度强调质量文化的管理性，必然会造成“本本主  </w:t>
      </w:r>
      <w:r>
        <w:rPr>
          <w:rFonts w:ascii="微软雅黑" w:hAnsi="微软雅黑" w:eastAsia="微软雅黑" w:cs="微软雅黑"/>
          <w:color w:val="231F20"/>
          <w:spacing w:val="-10"/>
          <w:w w:val="98"/>
          <w:sz w:val="19"/>
          <w:szCs w:val="19"/>
        </w:rPr>
        <w:t>义</w:t>
      </w:r>
      <w:r>
        <w:rPr>
          <w:rFonts w:ascii="微软雅黑" w:hAnsi="微软雅黑" w:eastAsia="微软雅黑" w:cs="微软雅黑"/>
          <w:color w:val="231F20"/>
          <w:spacing w:val="-33"/>
          <w:sz w:val="19"/>
          <w:szCs w:val="19"/>
        </w:rPr>
        <w:t xml:space="preserve"> </w:t>
      </w:r>
      <w:r>
        <w:rPr>
          <w:rFonts w:ascii="微软雅黑" w:hAnsi="微软雅黑" w:eastAsia="微软雅黑" w:cs="微软雅黑"/>
          <w:color w:val="231F20"/>
          <w:spacing w:val="-10"/>
          <w:w w:val="98"/>
          <w:sz w:val="19"/>
          <w:szCs w:val="19"/>
        </w:rPr>
        <w:t>”与“功利主义”，致使高校的“公司化</w:t>
      </w:r>
      <w:r>
        <w:rPr>
          <w:rFonts w:ascii="微软雅黑" w:hAnsi="微软雅黑" w:eastAsia="微软雅黑" w:cs="微软雅黑"/>
          <w:color w:val="231F20"/>
          <w:spacing w:val="-32"/>
          <w:sz w:val="19"/>
          <w:szCs w:val="19"/>
        </w:rPr>
        <w:t xml:space="preserve"> </w:t>
      </w:r>
      <w:r>
        <w:rPr>
          <w:rFonts w:ascii="微软雅黑" w:hAnsi="微软雅黑" w:eastAsia="微软雅黑" w:cs="微软雅黑"/>
          <w:color w:val="231F20"/>
          <w:spacing w:val="-10"/>
          <w:w w:val="98"/>
          <w:sz w:val="19"/>
          <w:szCs w:val="19"/>
        </w:rPr>
        <w:t>”发展以及</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3"/>
          <w:sz w:val="19"/>
          <w:szCs w:val="19"/>
        </w:rPr>
        <w:t>教育属性的丧失，值得教育管理者警惕。</w:t>
      </w:r>
    </w:p>
    <w:p>
      <w:pPr>
        <w:spacing w:before="42" w:line="199" w:lineRule="auto"/>
        <w:ind w:left="1388"/>
        <w:rPr>
          <w:rFonts w:ascii="微软雅黑" w:hAnsi="微软雅黑" w:eastAsia="微软雅黑" w:cs="微软雅黑"/>
          <w:sz w:val="20"/>
          <w:szCs w:val="20"/>
        </w:rPr>
      </w:pPr>
      <w:r>
        <w:rPr>
          <w:rFonts w:ascii="微软雅黑" w:hAnsi="微软雅黑" w:eastAsia="微软雅黑" w:cs="微软雅黑"/>
          <w:color w:val="231F20"/>
          <w:spacing w:val="-8"/>
          <w:sz w:val="20"/>
          <w:szCs w:val="20"/>
        </w:rPr>
        <w:t>（四）高等教育质量文化的多重定义</w:t>
      </w:r>
    </w:p>
    <w:p>
      <w:pPr>
        <w:spacing w:before="40" w:line="231" w:lineRule="auto"/>
        <w:ind w:left="1068" w:right="294" w:firstLine="403"/>
        <w:rPr>
          <w:rFonts w:ascii="微软雅黑" w:hAnsi="微软雅黑" w:eastAsia="微软雅黑" w:cs="微软雅黑"/>
          <w:sz w:val="11"/>
          <w:szCs w:val="11"/>
        </w:rPr>
      </w:pPr>
      <w:r>
        <w:rPr>
          <w:rFonts w:ascii="微软雅黑" w:hAnsi="微软雅黑" w:eastAsia="微软雅黑" w:cs="微软雅黑"/>
          <w:color w:val="231F20"/>
          <w:spacing w:val="13"/>
          <w:sz w:val="19"/>
          <w:szCs w:val="19"/>
        </w:rPr>
        <w:t>事实上，高等教育质量文化并没有一个统一</w:t>
      </w:r>
      <w:r>
        <w:rPr>
          <w:rFonts w:ascii="微软雅黑" w:hAnsi="微软雅黑" w:eastAsia="微软雅黑" w:cs="微软雅黑"/>
          <w:color w:val="231F20"/>
          <w:spacing w:val="17"/>
          <w:w w:val="101"/>
          <w:sz w:val="19"/>
          <w:szCs w:val="19"/>
        </w:rPr>
        <w:t xml:space="preserve"> </w:t>
      </w:r>
      <w:r>
        <w:rPr>
          <w:rFonts w:ascii="微软雅黑" w:hAnsi="微软雅黑" w:eastAsia="微软雅黑" w:cs="微软雅黑"/>
          <w:color w:val="231F20"/>
          <w:spacing w:val="-5"/>
          <w:sz w:val="19"/>
          <w:szCs w:val="19"/>
        </w:rPr>
        <w:t>的定义，目前被采用较广的“大学质量文化</w:t>
      </w:r>
      <w:r>
        <w:rPr>
          <w:rFonts w:ascii="微软雅黑" w:hAnsi="微软雅黑" w:eastAsia="微软雅黑" w:cs="微软雅黑"/>
          <w:color w:val="231F20"/>
          <w:spacing w:val="-33"/>
          <w:sz w:val="19"/>
          <w:szCs w:val="19"/>
        </w:rPr>
        <w:t xml:space="preserve"> </w:t>
      </w:r>
      <w:r>
        <w:rPr>
          <w:rFonts w:ascii="微软雅黑" w:hAnsi="微软雅黑" w:eastAsia="微软雅黑" w:cs="微软雅黑"/>
          <w:color w:val="231F20"/>
          <w:spacing w:val="-5"/>
          <w:sz w:val="19"/>
          <w:szCs w:val="19"/>
        </w:rPr>
        <w:t>”或“高</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4"/>
          <w:sz w:val="19"/>
          <w:szCs w:val="19"/>
        </w:rPr>
        <w:t>校质量文化”，是指高校在教育教学过程中自觉形</w:t>
      </w:r>
      <w:r>
        <w:rPr>
          <w:rFonts w:ascii="微软雅黑" w:hAnsi="微软雅黑" w:eastAsia="微软雅黑" w:cs="微软雅黑"/>
          <w:color w:val="231F20"/>
          <w:spacing w:val="10"/>
          <w:sz w:val="19"/>
          <w:szCs w:val="19"/>
        </w:rPr>
        <w:t xml:space="preserve"> </w:t>
      </w:r>
      <w:r>
        <w:rPr>
          <w:rFonts w:ascii="微软雅黑" w:hAnsi="微软雅黑" w:eastAsia="微软雅黑" w:cs="微软雅黑"/>
          <w:color w:val="231F20"/>
          <w:spacing w:val="4"/>
          <w:sz w:val="19"/>
          <w:szCs w:val="19"/>
        </w:rPr>
        <w:t>成的涉及质量领域的价值观念、规章制度、道德规</w:t>
      </w:r>
      <w:r>
        <w:rPr>
          <w:rFonts w:ascii="微软雅黑" w:hAnsi="微软雅黑" w:eastAsia="微软雅黑" w:cs="微软雅黑"/>
          <w:color w:val="231F20"/>
          <w:spacing w:val="10"/>
          <w:sz w:val="19"/>
          <w:szCs w:val="19"/>
        </w:rPr>
        <w:t xml:space="preserve"> </w:t>
      </w:r>
      <w:r>
        <w:rPr>
          <w:rFonts w:ascii="微软雅黑" w:hAnsi="微软雅黑" w:eastAsia="微软雅黑" w:cs="微软雅黑"/>
          <w:color w:val="231F20"/>
          <w:spacing w:val="-9"/>
          <w:w w:val="98"/>
          <w:sz w:val="19"/>
          <w:szCs w:val="19"/>
        </w:rPr>
        <w:t>范、环境意识及传统习惯等“软件</w:t>
      </w:r>
      <w:r>
        <w:rPr>
          <w:rFonts w:ascii="微软雅黑" w:hAnsi="微软雅黑" w:eastAsia="微软雅黑" w:cs="微软雅黑"/>
          <w:color w:val="231F20"/>
          <w:spacing w:val="-33"/>
          <w:sz w:val="19"/>
          <w:szCs w:val="19"/>
        </w:rPr>
        <w:t xml:space="preserve"> </w:t>
      </w:r>
      <w:r>
        <w:rPr>
          <w:rFonts w:ascii="微软雅黑" w:hAnsi="微软雅黑" w:eastAsia="微软雅黑" w:cs="微软雅黑"/>
          <w:color w:val="231F20"/>
          <w:spacing w:val="-9"/>
          <w:w w:val="98"/>
          <w:sz w:val="19"/>
          <w:szCs w:val="19"/>
        </w:rPr>
        <w:t>”的总和。</w:t>
      </w:r>
      <w:r>
        <w:rPr>
          <w:rFonts w:ascii="微软雅黑" w:hAnsi="微软雅黑" w:eastAsia="微软雅黑" w:cs="微软雅黑"/>
          <w:color w:val="231F20"/>
          <w:spacing w:val="-9"/>
          <w:w w:val="98"/>
          <w:position w:val="6"/>
          <w:sz w:val="11"/>
          <w:szCs w:val="11"/>
        </w:rPr>
        <w:t>［</w:t>
      </w:r>
      <w:r>
        <w:rPr>
          <w:rFonts w:ascii="宋体" w:hAnsi="宋体" w:eastAsia="宋体" w:cs="宋体"/>
          <w:color w:val="231F20"/>
          <w:spacing w:val="-9"/>
          <w:w w:val="98"/>
          <w:position w:val="6"/>
          <w:sz w:val="11"/>
          <w:szCs w:val="11"/>
        </w:rPr>
        <w:t>18</w:t>
      </w:r>
      <w:r>
        <w:rPr>
          <w:rFonts w:ascii="微软雅黑" w:hAnsi="微软雅黑" w:eastAsia="微软雅黑" w:cs="微软雅黑"/>
          <w:color w:val="231F20"/>
          <w:spacing w:val="-9"/>
          <w:w w:val="98"/>
          <w:position w:val="6"/>
          <w:sz w:val="11"/>
          <w:szCs w:val="11"/>
        </w:rPr>
        <w:t>］</w:t>
      </w:r>
      <w:r>
        <w:rPr>
          <w:rFonts w:ascii="微软雅黑" w:hAnsi="微软雅黑" w:eastAsia="微软雅黑" w:cs="微软雅黑"/>
          <w:color w:val="231F20"/>
          <w:spacing w:val="22"/>
          <w:sz w:val="19"/>
          <w:szCs w:val="19"/>
        </w:rPr>
        <w:t>高等</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教育质量文化正是高校致力于质量提升的环境建</w:t>
      </w:r>
      <w:r>
        <w:rPr>
          <w:rFonts w:ascii="微软雅黑" w:hAnsi="微软雅黑" w:eastAsia="微软雅黑" w:cs="微软雅黑"/>
          <w:color w:val="231F20"/>
          <w:spacing w:val="15"/>
          <w:w w:val="101"/>
          <w:sz w:val="19"/>
          <w:szCs w:val="19"/>
        </w:rPr>
        <w:t xml:space="preserve"> </w:t>
      </w:r>
      <w:r>
        <w:rPr>
          <w:rFonts w:ascii="微软雅黑" w:hAnsi="微软雅黑" w:eastAsia="微软雅黑" w:cs="微软雅黑"/>
          <w:color w:val="231F20"/>
          <w:spacing w:val="13"/>
          <w:sz w:val="19"/>
          <w:szCs w:val="19"/>
        </w:rPr>
        <w:t>设与内涵需求，是全体师生员工对质量价值的共</w:t>
      </w:r>
      <w:r>
        <w:rPr>
          <w:rFonts w:ascii="微软雅黑" w:hAnsi="微软雅黑" w:eastAsia="微软雅黑" w:cs="微软雅黑"/>
          <w:color w:val="231F20"/>
          <w:spacing w:val="15"/>
          <w:w w:val="101"/>
          <w:sz w:val="19"/>
          <w:szCs w:val="19"/>
        </w:rPr>
        <w:t xml:space="preserve"> </w:t>
      </w:r>
      <w:r>
        <w:rPr>
          <w:rFonts w:ascii="微软雅黑" w:hAnsi="微软雅黑" w:eastAsia="微软雅黑" w:cs="微软雅黑"/>
          <w:color w:val="231F20"/>
          <w:spacing w:val="1"/>
          <w:sz w:val="19"/>
          <w:szCs w:val="19"/>
        </w:rPr>
        <w:t>同理解</w:t>
      </w:r>
      <w:r>
        <w:rPr>
          <w:rFonts w:ascii="微软雅黑" w:hAnsi="微软雅黑" w:eastAsia="微软雅黑" w:cs="微软雅黑"/>
          <w:color w:val="231F20"/>
          <w:spacing w:val="-9"/>
          <w:sz w:val="19"/>
          <w:szCs w:val="19"/>
        </w:rPr>
        <w:t xml:space="preserve"> </w:t>
      </w:r>
      <w:r>
        <w:rPr>
          <w:rFonts w:ascii="微软雅黑" w:hAnsi="微软雅黑" w:eastAsia="微软雅黑" w:cs="微软雅黑"/>
          <w:color w:val="231F20"/>
          <w:spacing w:val="1"/>
          <w:sz w:val="19"/>
          <w:szCs w:val="19"/>
        </w:rPr>
        <w:t>。对上述“高校质量文化</w:t>
      </w:r>
      <w:r>
        <w:rPr>
          <w:rFonts w:ascii="微软雅黑" w:hAnsi="微软雅黑" w:eastAsia="微软雅黑" w:cs="微软雅黑"/>
          <w:color w:val="231F20"/>
          <w:spacing w:val="-27"/>
          <w:sz w:val="19"/>
          <w:szCs w:val="19"/>
        </w:rPr>
        <w:t xml:space="preserve"> </w:t>
      </w:r>
      <w:r>
        <w:rPr>
          <w:rFonts w:ascii="微软雅黑" w:hAnsi="微软雅黑" w:eastAsia="微软雅黑" w:cs="微软雅黑"/>
          <w:color w:val="231F20"/>
          <w:spacing w:val="1"/>
          <w:sz w:val="19"/>
          <w:szCs w:val="19"/>
        </w:rPr>
        <w:t>”定义的认可，主</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要由于一是该定义被学界引用频次较高；二是该</w:t>
      </w:r>
      <w:r>
        <w:rPr>
          <w:rFonts w:ascii="微软雅黑" w:hAnsi="微软雅黑" w:eastAsia="微软雅黑" w:cs="微软雅黑"/>
          <w:color w:val="231F20"/>
          <w:spacing w:val="15"/>
          <w:w w:val="101"/>
          <w:sz w:val="19"/>
          <w:szCs w:val="19"/>
        </w:rPr>
        <w:t xml:space="preserve"> </w:t>
      </w:r>
      <w:r>
        <w:rPr>
          <w:rFonts w:ascii="微软雅黑" w:hAnsi="微软雅黑" w:eastAsia="微软雅黑" w:cs="微软雅黑"/>
          <w:color w:val="231F20"/>
          <w:sz w:val="19"/>
          <w:szCs w:val="19"/>
        </w:rPr>
        <w:t>定义通过何茂勋</w:t>
      </w:r>
      <w:r>
        <w:rPr>
          <w:rFonts w:ascii="微软雅黑" w:hAnsi="微软雅黑" w:eastAsia="微软雅黑" w:cs="微软雅黑"/>
          <w:color w:val="231F20"/>
          <w:position w:val="6"/>
          <w:sz w:val="11"/>
          <w:szCs w:val="11"/>
        </w:rPr>
        <w:t>［</w:t>
      </w:r>
      <w:r>
        <w:rPr>
          <w:rFonts w:ascii="宋体" w:hAnsi="宋体" w:eastAsia="宋体" w:cs="宋体"/>
          <w:color w:val="231F20"/>
          <w:position w:val="6"/>
          <w:sz w:val="11"/>
          <w:szCs w:val="11"/>
        </w:rPr>
        <w:t>19</w:t>
      </w:r>
      <w:r>
        <w:rPr>
          <w:rFonts w:ascii="微软雅黑" w:hAnsi="微软雅黑" w:eastAsia="微软雅黑" w:cs="微软雅黑"/>
          <w:color w:val="231F20"/>
          <w:position w:val="6"/>
          <w:sz w:val="11"/>
          <w:szCs w:val="11"/>
        </w:rPr>
        <w:t>］</w:t>
      </w:r>
      <w:r>
        <w:rPr>
          <w:rFonts w:ascii="微软雅黑" w:hAnsi="微软雅黑" w:eastAsia="微软雅黑" w:cs="微软雅黑"/>
          <w:color w:val="231F20"/>
          <w:sz w:val="19"/>
          <w:szCs w:val="19"/>
        </w:rPr>
        <w:t>、唐华生与叶怀凡</w:t>
      </w:r>
      <w:r>
        <w:rPr>
          <w:rFonts w:ascii="微软雅黑" w:hAnsi="微软雅黑" w:eastAsia="微软雅黑" w:cs="微软雅黑"/>
          <w:color w:val="231F20"/>
          <w:position w:val="6"/>
          <w:sz w:val="11"/>
          <w:szCs w:val="11"/>
        </w:rPr>
        <w:t>［</w:t>
      </w:r>
      <w:r>
        <w:rPr>
          <w:rFonts w:ascii="宋体" w:hAnsi="宋体" w:eastAsia="宋体" w:cs="宋体"/>
          <w:color w:val="231F20"/>
          <w:position w:val="6"/>
          <w:sz w:val="11"/>
          <w:szCs w:val="11"/>
        </w:rPr>
        <w:t>20</w:t>
      </w:r>
      <w:r>
        <w:rPr>
          <w:rFonts w:ascii="微软雅黑" w:hAnsi="微软雅黑" w:eastAsia="微软雅黑" w:cs="微软雅黑"/>
          <w:color w:val="231F20"/>
          <w:position w:val="6"/>
          <w:sz w:val="11"/>
          <w:szCs w:val="11"/>
        </w:rPr>
        <w:t>］</w:t>
      </w:r>
      <w:r>
        <w:rPr>
          <w:rFonts w:ascii="微软雅黑" w:hAnsi="微软雅黑" w:eastAsia="微软雅黑" w:cs="微软雅黑"/>
          <w:color w:val="231F20"/>
          <w:sz w:val="19"/>
          <w:szCs w:val="19"/>
        </w:rPr>
        <w:t>等学者文</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4"/>
          <w:sz w:val="19"/>
          <w:szCs w:val="19"/>
        </w:rPr>
        <w:t>章的转用阐释，并赋予了其更深层次的内涵；三是</w:t>
      </w:r>
      <w:r>
        <w:rPr>
          <w:rFonts w:ascii="微软雅黑" w:hAnsi="微软雅黑" w:eastAsia="微软雅黑" w:cs="微软雅黑"/>
          <w:color w:val="231F20"/>
          <w:spacing w:val="10"/>
          <w:sz w:val="19"/>
          <w:szCs w:val="19"/>
        </w:rPr>
        <w:t xml:space="preserve"> </w:t>
      </w:r>
      <w:r>
        <w:rPr>
          <w:rFonts w:ascii="微软雅黑" w:hAnsi="微软雅黑" w:eastAsia="微软雅黑" w:cs="微软雅黑"/>
          <w:color w:val="231F20"/>
          <w:spacing w:val="35"/>
          <w:sz w:val="19"/>
          <w:szCs w:val="19"/>
        </w:rPr>
        <w:t>柏昌利在此基础上又提出的一个改进型的定</w:t>
      </w:r>
      <w:r>
        <w:rPr>
          <w:rFonts w:ascii="微软雅黑" w:hAnsi="微软雅黑" w:eastAsia="微软雅黑" w:cs="微软雅黑"/>
          <w:color w:val="231F20"/>
          <w:spacing w:val="3"/>
          <w:sz w:val="19"/>
          <w:szCs w:val="19"/>
        </w:rPr>
        <w:t xml:space="preserve"> </w:t>
      </w:r>
      <w:r>
        <w:rPr>
          <w:rFonts w:ascii="微软雅黑" w:hAnsi="微软雅黑" w:eastAsia="微软雅黑" w:cs="微软雅黑"/>
          <w:color w:val="231F20"/>
          <w:spacing w:val="-2"/>
          <w:sz w:val="19"/>
          <w:szCs w:val="19"/>
        </w:rPr>
        <w:t>义。</w:t>
      </w:r>
      <w:r>
        <w:rPr>
          <w:rFonts w:ascii="微软雅黑" w:hAnsi="微软雅黑" w:eastAsia="微软雅黑" w:cs="微软雅黑"/>
          <w:color w:val="231F20"/>
          <w:spacing w:val="-2"/>
          <w:position w:val="6"/>
          <w:sz w:val="11"/>
          <w:szCs w:val="11"/>
        </w:rPr>
        <w:t>［</w:t>
      </w:r>
      <w:r>
        <w:rPr>
          <w:rFonts w:ascii="宋体" w:hAnsi="宋体" w:eastAsia="宋体" w:cs="宋体"/>
          <w:color w:val="231F20"/>
          <w:spacing w:val="-2"/>
          <w:position w:val="6"/>
          <w:sz w:val="11"/>
          <w:szCs w:val="11"/>
        </w:rPr>
        <w:t>21</w:t>
      </w:r>
      <w:r>
        <w:rPr>
          <w:rFonts w:ascii="微软雅黑" w:hAnsi="微软雅黑" w:eastAsia="微软雅黑" w:cs="微软雅黑"/>
          <w:color w:val="231F20"/>
          <w:spacing w:val="-2"/>
          <w:position w:val="6"/>
          <w:sz w:val="11"/>
          <w:szCs w:val="11"/>
        </w:rPr>
        <w:t>］</w:t>
      </w:r>
      <w:r>
        <w:rPr>
          <w:rFonts w:ascii="微软雅黑" w:hAnsi="微软雅黑" w:eastAsia="微软雅黑" w:cs="微软雅黑"/>
          <w:color w:val="231F20"/>
          <w:spacing w:val="-2"/>
          <w:sz w:val="19"/>
          <w:szCs w:val="19"/>
        </w:rPr>
        <w:t>由此延伸，高校质量文化就是与高等教育相</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4"/>
          <w:sz w:val="19"/>
          <w:szCs w:val="19"/>
        </w:rPr>
        <w:t>关的质量理念、质量价值观、质量形象、质量制度</w:t>
      </w:r>
      <w:r>
        <w:rPr>
          <w:rFonts w:ascii="微软雅黑" w:hAnsi="微软雅黑" w:eastAsia="微软雅黑" w:cs="微软雅黑"/>
          <w:color w:val="231F20"/>
          <w:spacing w:val="10"/>
          <w:sz w:val="19"/>
          <w:szCs w:val="19"/>
        </w:rPr>
        <w:t xml:space="preserve"> </w:t>
      </w:r>
      <w:r>
        <w:rPr>
          <w:rFonts w:ascii="微软雅黑" w:hAnsi="微软雅黑" w:eastAsia="微软雅黑" w:cs="微软雅黑"/>
          <w:color w:val="231F20"/>
          <w:spacing w:val="-2"/>
          <w:sz w:val="19"/>
          <w:szCs w:val="19"/>
        </w:rPr>
        <w:t>与规范、质量行为方式及其物化形态的总和。</w:t>
      </w:r>
      <w:r>
        <w:rPr>
          <w:rFonts w:ascii="微软雅黑" w:hAnsi="微软雅黑" w:eastAsia="微软雅黑" w:cs="微软雅黑"/>
          <w:color w:val="231F20"/>
          <w:spacing w:val="-2"/>
          <w:position w:val="6"/>
          <w:sz w:val="11"/>
          <w:szCs w:val="11"/>
        </w:rPr>
        <w:t>［</w:t>
      </w:r>
      <w:r>
        <w:rPr>
          <w:rFonts w:ascii="宋体" w:hAnsi="宋体" w:eastAsia="宋体" w:cs="宋体"/>
          <w:color w:val="231F20"/>
          <w:spacing w:val="-2"/>
          <w:position w:val="6"/>
          <w:sz w:val="11"/>
          <w:szCs w:val="11"/>
        </w:rPr>
        <w:t>22</w:t>
      </w:r>
      <w:r>
        <w:rPr>
          <w:rFonts w:ascii="微软雅黑" w:hAnsi="微软雅黑" w:eastAsia="微软雅黑" w:cs="微软雅黑"/>
          <w:color w:val="231F20"/>
          <w:spacing w:val="-2"/>
          <w:position w:val="6"/>
          <w:sz w:val="11"/>
          <w:szCs w:val="11"/>
        </w:rPr>
        <w:t>］</w:t>
      </w:r>
    </w:p>
    <w:p>
      <w:pPr>
        <w:spacing w:before="37" w:line="221" w:lineRule="auto"/>
        <w:ind w:left="1071" w:right="294" w:firstLine="403"/>
        <w:rPr>
          <w:rFonts w:ascii="微软雅黑" w:hAnsi="微软雅黑" w:eastAsia="微软雅黑" w:cs="微软雅黑"/>
          <w:sz w:val="19"/>
          <w:szCs w:val="19"/>
        </w:rPr>
      </w:pPr>
      <w:r>
        <w:rPr>
          <w:rFonts w:ascii="微软雅黑" w:hAnsi="微软雅黑" w:eastAsia="微软雅黑" w:cs="微软雅黑"/>
          <w:color w:val="231F20"/>
          <w:spacing w:val="13"/>
          <w:sz w:val="19"/>
          <w:szCs w:val="19"/>
        </w:rPr>
        <w:t>高等教育质量文化由里而外的功能描述，正</w:t>
      </w:r>
      <w:r>
        <w:rPr>
          <w:rFonts w:ascii="微软雅黑" w:hAnsi="微软雅黑" w:eastAsia="微软雅黑" w:cs="微软雅黑"/>
          <w:color w:val="231F20"/>
          <w:spacing w:val="14"/>
          <w:w w:val="101"/>
          <w:sz w:val="19"/>
          <w:szCs w:val="19"/>
        </w:rPr>
        <w:t xml:space="preserve"> </w:t>
      </w:r>
      <w:r>
        <w:rPr>
          <w:rFonts w:ascii="微软雅黑" w:hAnsi="微软雅黑" w:eastAsia="微软雅黑" w:cs="微软雅黑"/>
          <w:color w:val="231F20"/>
          <w:spacing w:val="13"/>
          <w:sz w:val="19"/>
          <w:szCs w:val="19"/>
        </w:rPr>
        <w:t>是高校大学精神的有效彰显，更是大学经久不衰</w:t>
      </w:r>
      <w:r>
        <w:rPr>
          <w:rFonts w:ascii="微软雅黑" w:hAnsi="微软雅黑" w:eastAsia="微软雅黑" w:cs="微软雅黑"/>
          <w:color w:val="231F20"/>
          <w:spacing w:val="12"/>
          <w:sz w:val="19"/>
          <w:szCs w:val="19"/>
        </w:rPr>
        <w:t xml:space="preserve"> </w:t>
      </w:r>
      <w:r>
        <w:rPr>
          <w:rFonts w:ascii="微软雅黑" w:hAnsi="微软雅黑" w:eastAsia="微软雅黑" w:cs="微软雅黑"/>
          <w:color w:val="231F20"/>
          <w:spacing w:val="3"/>
          <w:sz w:val="19"/>
          <w:szCs w:val="19"/>
        </w:rPr>
        <w:t>的原因所在</w:t>
      </w:r>
      <w:r>
        <w:rPr>
          <w:rFonts w:ascii="微软雅黑" w:hAnsi="微软雅黑" w:eastAsia="微软雅黑" w:cs="微软雅黑"/>
          <w:color w:val="231F20"/>
          <w:spacing w:val="-25"/>
          <w:sz w:val="19"/>
          <w:szCs w:val="19"/>
        </w:rPr>
        <w:t xml:space="preserve"> </w:t>
      </w:r>
      <w:r>
        <w:rPr>
          <w:rFonts w:ascii="微软雅黑" w:hAnsi="微软雅黑" w:eastAsia="微软雅黑" w:cs="微软雅黑"/>
          <w:color w:val="231F20"/>
          <w:spacing w:val="3"/>
          <w:sz w:val="19"/>
          <w:szCs w:val="19"/>
        </w:rPr>
        <w:t>。大学的知识创造、批判精神、社</w:t>
      </w:r>
      <w:r>
        <w:rPr>
          <w:rFonts w:ascii="微软雅黑" w:hAnsi="微软雅黑" w:eastAsia="微软雅黑" w:cs="微软雅黑"/>
          <w:color w:val="231F20"/>
          <w:spacing w:val="2"/>
          <w:sz w:val="19"/>
          <w:szCs w:val="19"/>
        </w:rPr>
        <w:t>会关</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4"/>
          <w:sz w:val="19"/>
          <w:szCs w:val="19"/>
        </w:rPr>
        <w:t>怀和社会示范，正是大学独树一帜、引领社会发展</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0"/>
          <w:sz w:val="19"/>
          <w:szCs w:val="19"/>
        </w:rPr>
        <w:t>的人类社会文明的高级形式</w:t>
      </w:r>
      <w:r>
        <w:rPr>
          <w:rFonts w:ascii="微软雅黑" w:hAnsi="微软雅黑" w:eastAsia="微软雅黑" w:cs="微软雅黑"/>
          <w:color w:val="231F20"/>
          <w:spacing w:val="-5"/>
          <w:sz w:val="19"/>
          <w:szCs w:val="19"/>
        </w:rPr>
        <w:t xml:space="preserve"> </w:t>
      </w:r>
      <w:r>
        <w:rPr>
          <w:rFonts w:ascii="微软雅黑" w:hAnsi="微软雅黑" w:eastAsia="微软雅黑" w:cs="微软雅黑"/>
          <w:color w:val="231F20"/>
          <w:spacing w:val="10"/>
          <w:sz w:val="19"/>
          <w:szCs w:val="19"/>
        </w:rPr>
        <w:t>。</w:t>
      </w:r>
      <w:r>
        <w:rPr>
          <w:rFonts w:ascii="微软雅黑" w:hAnsi="微软雅黑" w:eastAsia="微软雅黑" w:cs="微软雅黑"/>
          <w:color w:val="231F20"/>
          <w:spacing w:val="-32"/>
          <w:sz w:val="19"/>
          <w:szCs w:val="19"/>
        </w:rPr>
        <w:t xml:space="preserve"> </w:t>
      </w:r>
      <w:r>
        <w:rPr>
          <w:rFonts w:ascii="微软雅黑" w:hAnsi="微软雅黑" w:eastAsia="微软雅黑" w:cs="微软雅黑"/>
          <w:color w:val="231F20"/>
          <w:spacing w:val="10"/>
          <w:sz w:val="19"/>
          <w:szCs w:val="19"/>
        </w:rPr>
        <w:t>因此，质量文化是</w:t>
      </w:r>
    </w:p>
    <w:p>
      <w:pPr>
        <w:spacing w:line="14" w:lineRule="auto"/>
        <w:rPr>
          <w:rFonts w:ascii="Arial"/>
          <w:sz w:val="2"/>
        </w:rPr>
      </w:pPr>
      <w:r>
        <w:rPr>
          <w:rFonts w:ascii="Arial" w:hAnsi="Arial" w:eastAsia="Arial" w:cs="Arial"/>
          <w:sz w:val="2"/>
          <w:szCs w:val="2"/>
        </w:rPr>
        <w:br w:type="column"/>
      </w:r>
    </w:p>
    <w:p>
      <w:pPr>
        <w:spacing w:before="46" w:line="228" w:lineRule="auto"/>
        <w:ind w:right="11" w:firstLine="6"/>
        <w:jc w:val="both"/>
        <w:rPr>
          <w:rFonts w:ascii="微软雅黑" w:hAnsi="微软雅黑" w:eastAsia="微软雅黑" w:cs="微软雅黑"/>
          <w:sz w:val="19"/>
          <w:szCs w:val="19"/>
        </w:rPr>
      </w:pPr>
      <w:r>
        <w:rPr>
          <w:rFonts w:ascii="微软雅黑" w:hAnsi="微软雅黑" w:eastAsia="微软雅黑" w:cs="微软雅黑"/>
          <w:color w:val="231F20"/>
          <w:spacing w:val="7"/>
          <w:sz w:val="19"/>
          <w:szCs w:val="19"/>
        </w:rPr>
        <w:t>大学精神的体现，它深深植根于大学的内核之中；</w:t>
      </w:r>
      <w:r>
        <w:rPr>
          <w:rFonts w:ascii="微软雅黑" w:hAnsi="微软雅黑" w:eastAsia="微软雅黑" w:cs="微软雅黑"/>
          <w:color w:val="231F20"/>
          <w:spacing w:val="2"/>
          <w:sz w:val="19"/>
          <w:szCs w:val="19"/>
        </w:rPr>
        <w:t xml:space="preserve"> </w:t>
      </w:r>
      <w:r>
        <w:rPr>
          <w:rFonts w:ascii="微软雅黑" w:hAnsi="微软雅黑" w:eastAsia="微软雅黑" w:cs="微软雅黑"/>
          <w:color w:val="231F20"/>
          <w:spacing w:val="16"/>
          <w:sz w:val="19"/>
          <w:szCs w:val="19"/>
        </w:rPr>
        <w:t>质量文化注重人的个性发展与人生意义的追求，</w:t>
      </w:r>
      <w:r>
        <w:rPr>
          <w:rFonts w:ascii="微软雅黑" w:hAnsi="微软雅黑" w:eastAsia="微软雅黑" w:cs="微软雅黑"/>
          <w:color w:val="231F20"/>
          <w:spacing w:val="16"/>
          <w:w w:val="101"/>
          <w:sz w:val="19"/>
          <w:szCs w:val="19"/>
        </w:rPr>
        <w:t xml:space="preserve"> </w:t>
      </w:r>
      <w:r>
        <w:rPr>
          <w:rFonts w:ascii="微软雅黑" w:hAnsi="微软雅黑" w:eastAsia="微软雅黑" w:cs="微软雅黑"/>
          <w:color w:val="231F20"/>
          <w:spacing w:val="13"/>
          <w:sz w:val="19"/>
          <w:szCs w:val="19"/>
        </w:rPr>
        <w:t>是基于教育者与学习者交互式的以价值实现为目</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4"/>
          <w:sz w:val="19"/>
          <w:szCs w:val="19"/>
        </w:rPr>
        <w:t xml:space="preserve">标的教育；质量文化涵括了系列制度、机制、措施  </w:t>
      </w:r>
      <w:r>
        <w:rPr>
          <w:rFonts w:ascii="微软雅黑" w:hAnsi="微软雅黑" w:eastAsia="微软雅黑" w:cs="微软雅黑"/>
          <w:color w:val="231F20"/>
          <w:spacing w:val="13"/>
          <w:sz w:val="19"/>
          <w:szCs w:val="19"/>
        </w:rPr>
        <w:t>等全体成员共同遵循的道德和规章的总成，以确</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8"/>
          <w:sz w:val="19"/>
          <w:szCs w:val="19"/>
        </w:rPr>
        <w:t>保质量文化不错位。</w:t>
      </w:r>
    </w:p>
    <w:p>
      <w:pPr>
        <w:spacing w:before="204" w:line="265" w:lineRule="exact"/>
        <w:ind w:left="409"/>
        <w:rPr>
          <w:rFonts w:ascii="黑体" w:hAnsi="黑体" w:eastAsia="黑体" w:cs="黑体"/>
          <w:sz w:val="20"/>
          <w:szCs w:val="20"/>
        </w:rPr>
      </w:pPr>
      <w:r>
        <w:rPr>
          <w:rFonts w:ascii="黑体" w:hAnsi="黑体" w:eastAsia="黑体" w:cs="黑体"/>
          <w:color w:val="231F20"/>
          <w:spacing w:val="-9"/>
          <w:position w:val="1"/>
          <w:sz w:val="20"/>
          <w:szCs w:val="20"/>
        </w:rPr>
        <w:t>二、高等教育质量文化的特征</w:t>
      </w:r>
    </w:p>
    <w:p>
      <w:pPr>
        <w:spacing w:before="190" w:line="228" w:lineRule="auto"/>
        <w:ind w:right="77" w:firstLine="399"/>
        <w:rPr>
          <w:rFonts w:ascii="微软雅黑" w:hAnsi="微软雅黑" w:eastAsia="微软雅黑" w:cs="微软雅黑"/>
          <w:sz w:val="19"/>
          <w:szCs w:val="19"/>
        </w:rPr>
      </w:pPr>
      <w:r>
        <w:rPr>
          <w:rFonts w:ascii="微软雅黑" w:hAnsi="微软雅黑" w:eastAsia="微软雅黑" w:cs="微软雅黑"/>
          <w:color w:val="231F20"/>
          <w:spacing w:val="14"/>
          <w:sz w:val="19"/>
          <w:szCs w:val="19"/>
        </w:rPr>
        <w:t>从精英化阶段向大众化阶段过渡的中国高等</w:t>
      </w:r>
      <w:r>
        <w:rPr>
          <w:rFonts w:ascii="微软雅黑" w:hAnsi="微软雅黑" w:eastAsia="微软雅黑" w:cs="微软雅黑"/>
          <w:color w:val="231F20"/>
          <w:spacing w:val="1"/>
          <w:sz w:val="19"/>
          <w:szCs w:val="19"/>
        </w:rPr>
        <w:t xml:space="preserve"> </w:t>
      </w:r>
      <w:r>
        <w:rPr>
          <w:rFonts w:ascii="微软雅黑" w:hAnsi="微软雅黑" w:eastAsia="微软雅黑" w:cs="微软雅黑"/>
          <w:color w:val="231F20"/>
          <w:spacing w:val="4"/>
          <w:sz w:val="19"/>
          <w:szCs w:val="19"/>
        </w:rPr>
        <w:t>教育，质量成为研究热点；从大众化阶段过渡到普</w:t>
      </w:r>
      <w:r>
        <w:rPr>
          <w:rFonts w:ascii="微软雅黑" w:hAnsi="微软雅黑" w:eastAsia="微软雅黑" w:cs="微软雅黑"/>
          <w:color w:val="231F20"/>
          <w:spacing w:val="9"/>
          <w:sz w:val="19"/>
          <w:szCs w:val="19"/>
        </w:rPr>
        <w:t xml:space="preserve"> </w:t>
      </w:r>
      <w:r>
        <w:rPr>
          <w:rFonts w:ascii="微软雅黑" w:hAnsi="微软雅黑" w:eastAsia="微软雅黑" w:cs="微软雅黑"/>
          <w:color w:val="231F20"/>
          <w:spacing w:val="4"/>
          <w:sz w:val="19"/>
          <w:szCs w:val="19"/>
        </w:rPr>
        <w:t>及化阶段的中国高等教育，内涵建设、质量保障更</w:t>
      </w:r>
      <w:r>
        <w:rPr>
          <w:rFonts w:ascii="微软雅黑" w:hAnsi="微软雅黑" w:eastAsia="微软雅黑" w:cs="微软雅黑"/>
          <w:color w:val="231F20"/>
          <w:spacing w:val="9"/>
          <w:sz w:val="19"/>
          <w:szCs w:val="19"/>
        </w:rPr>
        <w:t xml:space="preserve"> </w:t>
      </w:r>
      <w:r>
        <w:rPr>
          <w:rFonts w:ascii="微软雅黑" w:hAnsi="微软雅黑" w:eastAsia="微软雅黑" w:cs="微软雅黑"/>
          <w:color w:val="231F20"/>
          <w:spacing w:val="12"/>
          <w:sz w:val="19"/>
          <w:szCs w:val="19"/>
        </w:rPr>
        <w:t>是被提上了重要议事日程</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2"/>
          <w:sz w:val="19"/>
          <w:szCs w:val="19"/>
        </w:rPr>
        <w:t>。综合以上对高等教育</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质量文化内涵的辨析，我们可以归纳出高等教育</w:t>
      </w:r>
      <w:r>
        <w:rPr>
          <w:rFonts w:ascii="微软雅黑" w:hAnsi="微软雅黑" w:eastAsia="微软雅黑" w:cs="微软雅黑"/>
          <w:color w:val="231F20"/>
          <w:spacing w:val="14"/>
          <w:sz w:val="19"/>
          <w:szCs w:val="19"/>
        </w:rPr>
        <w:t xml:space="preserve"> </w:t>
      </w:r>
      <w:r>
        <w:rPr>
          <w:rFonts w:ascii="微软雅黑" w:hAnsi="微软雅黑" w:eastAsia="微软雅黑" w:cs="微软雅黑"/>
          <w:color w:val="231F20"/>
          <w:spacing w:val="8"/>
          <w:sz w:val="19"/>
          <w:szCs w:val="19"/>
        </w:rPr>
        <w:t>质量文化大致存在的特征。</w:t>
      </w:r>
    </w:p>
    <w:p>
      <w:pPr>
        <w:spacing w:before="41" w:line="216" w:lineRule="auto"/>
        <w:ind w:left="10" w:right="77" w:firstLine="307"/>
        <w:rPr>
          <w:rFonts w:ascii="微软雅黑" w:hAnsi="微软雅黑" w:eastAsia="微软雅黑" w:cs="微软雅黑"/>
          <w:sz w:val="20"/>
          <w:szCs w:val="20"/>
        </w:rPr>
      </w:pPr>
      <w:r>
        <w:rPr>
          <w:rFonts w:ascii="微软雅黑" w:hAnsi="微软雅黑" w:eastAsia="微软雅黑" w:cs="微软雅黑"/>
          <w:color w:val="231F20"/>
          <w:spacing w:val="-5"/>
          <w:sz w:val="20"/>
          <w:szCs w:val="20"/>
        </w:rPr>
        <w:t>（</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一）高等教育质量文化是一种因地制宜、百</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花齐放的文化</w:t>
      </w:r>
    </w:p>
    <w:p>
      <w:pPr>
        <w:spacing w:before="36" w:line="231" w:lineRule="auto"/>
        <w:ind w:firstLine="401"/>
        <w:rPr>
          <w:rFonts w:ascii="微软雅黑" w:hAnsi="微软雅黑" w:eastAsia="微软雅黑" w:cs="微软雅黑"/>
          <w:sz w:val="19"/>
          <w:szCs w:val="19"/>
        </w:rPr>
      </w:pPr>
      <w:r>
        <w:rPr>
          <w:rFonts w:ascii="微软雅黑" w:hAnsi="微软雅黑" w:eastAsia="微软雅黑" w:cs="微软雅黑"/>
          <w:color w:val="231F20"/>
          <w:spacing w:val="2"/>
          <w:sz w:val="19"/>
          <w:szCs w:val="19"/>
        </w:rPr>
        <w:t xml:space="preserve">各国有各国的国情，各地有各地的地情，欧洲  </w:t>
      </w:r>
      <w:r>
        <w:rPr>
          <w:rFonts w:ascii="微软雅黑" w:hAnsi="微软雅黑" w:eastAsia="微软雅黑" w:cs="微软雅黑"/>
          <w:color w:val="231F20"/>
          <w:spacing w:val="12"/>
          <w:sz w:val="19"/>
          <w:szCs w:val="19"/>
        </w:rPr>
        <w:t>的质量保障</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2"/>
          <w:sz w:val="19"/>
          <w:szCs w:val="19"/>
        </w:rPr>
        <w:t>、美国的教育认证以及发展中国家的</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5"/>
          <w:sz w:val="19"/>
          <w:szCs w:val="19"/>
        </w:rPr>
        <w:t>教育质量评价都各不相同</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5"/>
          <w:sz w:val="19"/>
          <w:szCs w:val="19"/>
        </w:rPr>
        <w:t>。我国大学质量文化，</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3"/>
          <w:sz w:val="19"/>
          <w:szCs w:val="19"/>
        </w:rPr>
        <w:t>更加注重以人为本、强调特色、追求卓越等基本原  则</w:t>
      </w:r>
      <w:r>
        <w:rPr>
          <w:rFonts w:ascii="微软雅黑" w:hAnsi="微软雅黑" w:eastAsia="微软雅黑" w:cs="微软雅黑"/>
          <w:color w:val="231F20"/>
          <w:spacing w:val="2"/>
          <w:position w:val="6"/>
          <w:sz w:val="11"/>
          <w:szCs w:val="11"/>
        </w:rPr>
        <w:t>［</w:t>
      </w:r>
      <w:r>
        <w:rPr>
          <w:rFonts w:ascii="宋体" w:hAnsi="宋体" w:eastAsia="宋体" w:cs="宋体"/>
          <w:color w:val="231F20"/>
          <w:spacing w:val="2"/>
          <w:position w:val="6"/>
          <w:sz w:val="11"/>
          <w:szCs w:val="11"/>
        </w:rPr>
        <w:t>23</w:t>
      </w:r>
      <w:r>
        <w:rPr>
          <w:rFonts w:ascii="微软雅黑" w:hAnsi="微软雅黑" w:eastAsia="微软雅黑" w:cs="微软雅黑"/>
          <w:color w:val="231F20"/>
          <w:spacing w:val="2"/>
          <w:position w:val="6"/>
          <w:sz w:val="11"/>
          <w:szCs w:val="11"/>
        </w:rPr>
        <w:t>］</w:t>
      </w:r>
      <w:r>
        <w:rPr>
          <w:rFonts w:ascii="微软雅黑" w:hAnsi="微软雅黑" w:eastAsia="微软雅黑" w:cs="微软雅黑"/>
          <w:color w:val="231F20"/>
          <w:spacing w:val="-34"/>
          <w:w w:val="59"/>
          <w:sz w:val="19"/>
          <w:szCs w:val="19"/>
        </w:rPr>
        <w:t>，</w:t>
      </w:r>
      <w:r>
        <w:rPr>
          <w:rFonts w:ascii="微软雅黑" w:hAnsi="微软雅黑" w:eastAsia="微软雅黑" w:cs="微软雅黑"/>
          <w:color w:val="231F20"/>
          <w:spacing w:val="2"/>
          <w:sz w:val="19"/>
          <w:szCs w:val="19"/>
        </w:rPr>
        <w:t xml:space="preserve">强调不忘立德树人初心，牢记为党育人、为  </w:t>
      </w:r>
      <w:r>
        <w:rPr>
          <w:rFonts w:ascii="微软雅黑" w:hAnsi="微软雅黑" w:eastAsia="微软雅黑" w:cs="微软雅黑"/>
          <w:color w:val="231F20"/>
          <w:spacing w:val="11"/>
          <w:sz w:val="19"/>
          <w:szCs w:val="19"/>
        </w:rPr>
        <w:t>国育才使命</w:t>
      </w:r>
      <w:r>
        <w:rPr>
          <w:rFonts w:ascii="微软雅黑" w:hAnsi="微软雅黑" w:eastAsia="微软雅黑" w:cs="微软雅黑"/>
          <w:color w:val="231F20"/>
          <w:spacing w:val="-21"/>
          <w:sz w:val="19"/>
          <w:szCs w:val="19"/>
        </w:rPr>
        <w:t xml:space="preserve"> </w:t>
      </w:r>
      <w:r>
        <w:rPr>
          <w:rFonts w:ascii="微软雅黑" w:hAnsi="微软雅黑" w:eastAsia="微软雅黑" w:cs="微软雅黑"/>
          <w:color w:val="231F20"/>
          <w:spacing w:val="11"/>
          <w:sz w:val="19"/>
          <w:szCs w:val="19"/>
        </w:rPr>
        <w:t>。</w:t>
      </w:r>
      <w:r>
        <w:rPr>
          <w:rFonts w:ascii="微软雅黑" w:hAnsi="微软雅黑" w:eastAsia="微软雅黑" w:cs="微软雅黑"/>
          <w:color w:val="231F20"/>
          <w:spacing w:val="-36"/>
          <w:sz w:val="19"/>
          <w:szCs w:val="19"/>
        </w:rPr>
        <w:t xml:space="preserve"> </w:t>
      </w:r>
      <w:r>
        <w:rPr>
          <w:rFonts w:ascii="微软雅黑" w:hAnsi="微软雅黑" w:eastAsia="微软雅黑" w:cs="微软雅黑"/>
          <w:color w:val="231F20"/>
          <w:spacing w:val="11"/>
          <w:sz w:val="19"/>
          <w:szCs w:val="19"/>
        </w:rPr>
        <w:t>当然，即使同一地区的不同类型高</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
          <w:sz w:val="19"/>
          <w:szCs w:val="19"/>
        </w:rPr>
        <w:t>校，在办学理念、管理思想、组织结构、行事风格、</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3"/>
          <w:sz w:val="19"/>
          <w:szCs w:val="19"/>
        </w:rPr>
        <w:t>质量文化等方面也会存在一定差异，正如潘懋元</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3"/>
          <w:sz w:val="19"/>
          <w:szCs w:val="19"/>
        </w:rPr>
        <w:t xml:space="preserve">先生所说，不同的高校有不同的质量标准，各级各  </w:t>
      </w:r>
      <w:r>
        <w:rPr>
          <w:rFonts w:ascii="微软雅黑" w:hAnsi="微软雅黑" w:eastAsia="微软雅黑" w:cs="微软雅黑"/>
          <w:color w:val="231F20"/>
          <w:spacing w:val="12"/>
          <w:sz w:val="19"/>
          <w:szCs w:val="19"/>
        </w:rPr>
        <w:t>类高校都应当有不同的质量标准</w:t>
      </w:r>
      <w:r>
        <w:rPr>
          <w:rFonts w:ascii="微软雅黑" w:hAnsi="微软雅黑" w:eastAsia="微软雅黑" w:cs="微软雅黑"/>
          <w:color w:val="231F20"/>
          <w:spacing w:val="12"/>
          <w:position w:val="6"/>
          <w:sz w:val="11"/>
          <w:szCs w:val="11"/>
        </w:rPr>
        <w:t>［</w:t>
      </w:r>
      <w:r>
        <w:rPr>
          <w:rFonts w:ascii="宋体" w:hAnsi="宋体" w:eastAsia="宋体" w:cs="宋体"/>
          <w:color w:val="231F20"/>
          <w:spacing w:val="12"/>
          <w:position w:val="6"/>
          <w:sz w:val="11"/>
          <w:szCs w:val="11"/>
        </w:rPr>
        <w:t>24</w:t>
      </w:r>
      <w:r>
        <w:rPr>
          <w:rFonts w:ascii="微软雅黑" w:hAnsi="微软雅黑" w:eastAsia="微软雅黑" w:cs="微软雅黑"/>
          <w:color w:val="231F20"/>
          <w:spacing w:val="-3"/>
          <w:position w:val="6"/>
          <w:sz w:val="11"/>
          <w:szCs w:val="11"/>
        </w:rPr>
        <w:t>］</w:t>
      </w:r>
      <w:r>
        <w:rPr>
          <w:rFonts w:ascii="微软雅黑" w:hAnsi="微软雅黑" w:eastAsia="微软雅黑" w:cs="微软雅黑"/>
          <w:color w:val="231F20"/>
          <w:spacing w:val="-32"/>
          <w:w w:val="56"/>
          <w:sz w:val="19"/>
          <w:szCs w:val="19"/>
        </w:rPr>
        <w:t>，</w:t>
      </w:r>
      <w:r>
        <w:rPr>
          <w:rFonts w:ascii="微软雅黑" w:hAnsi="微软雅黑" w:eastAsia="微软雅黑" w:cs="微软雅黑"/>
          <w:color w:val="231F20"/>
          <w:spacing w:val="12"/>
          <w:sz w:val="19"/>
          <w:szCs w:val="19"/>
        </w:rPr>
        <w:t>难以形成具</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有普适意义的质量文化建设指导意见，更无统一</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0"/>
          <w:sz w:val="19"/>
          <w:szCs w:val="19"/>
        </w:rPr>
        <w:t>的质量文化建设通用范式</w:t>
      </w:r>
      <w:r>
        <w:rPr>
          <w:rFonts w:ascii="微软雅黑" w:hAnsi="微软雅黑" w:eastAsia="微软雅黑" w:cs="微软雅黑"/>
          <w:color w:val="231F20"/>
          <w:spacing w:val="-10"/>
          <w:sz w:val="19"/>
          <w:szCs w:val="19"/>
        </w:rPr>
        <w:t xml:space="preserve"> </w:t>
      </w:r>
      <w:r>
        <w:rPr>
          <w:rFonts w:ascii="微软雅黑" w:hAnsi="微软雅黑" w:eastAsia="微软雅黑" w:cs="微软雅黑"/>
          <w:color w:val="231F20"/>
          <w:spacing w:val="10"/>
          <w:sz w:val="19"/>
          <w:szCs w:val="19"/>
        </w:rPr>
        <w:t>。</w:t>
      </w:r>
      <w:r>
        <w:rPr>
          <w:rFonts w:ascii="微软雅黑" w:hAnsi="微软雅黑" w:eastAsia="微软雅黑" w:cs="微软雅黑"/>
          <w:color w:val="231F20"/>
          <w:spacing w:val="-26"/>
          <w:sz w:val="19"/>
          <w:szCs w:val="19"/>
        </w:rPr>
        <w:t xml:space="preserve"> </w:t>
      </w:r>
      <w:r>
        <w:rPr>
          <w:rFonts w:ascii="微软雅黑" w:hAnsi="微软雅黑" w:eastAsia="微软雅黑" w:cs="微软雅黑"/>
          <w:color w:val="231F20"/>
          <w:spacing w:val="10"/>
          <w:sz w:val="19"/>
          <w:szCs w:val="19"/>
        </w:rPr>
        <w:t>在党和国家提出加强</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高等教育质量文化建设的新形势下，只有鼓励各</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3"/>
          <w:sz w:val="19"/>
          <w:szCs w:val="19"/>
        </w:rPr>
        <w:t>个高校因地因校制宜，才能形成既有中国特色又</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8"/>
          <w:sz w:val="19"/>
          <w:szCs w:val="19"/>
        </w:rPr>
        <w:t>有自身特点的高等教育质量文化。</w:t>
      </w:r>
    </w:p>
    <w:p>
      <w:pPr>
        <w:spacing w:before="41" w:line="216" w:lineRule="auto"/>
        <w:ind w:left="13" w:right="77" w:firstLine="303"/>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4"/>
          <w:sz w:val="20"/>
          <w:szCs w:val="20"/>
        </w:rPr>
        <w:t>二</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4"/>
          <w:sz w:val="20"/>
          <w:szCs w:val="20"/>
        </w:rPr>
        <w:t>）高等教育质量文化是一种改革持续深</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w w:val="98"/>
          <w:sz w:val="20"/>
          <w:szCs w:val="20"/>
        </w:rPr>
        <w:t>化、管理持续创新的文化</w:t>
      </w:r>
    </w:p>
    <w:p>
      <w:pPr>
        <w:spacing w:before="31" w:line="225" w:lineRule="auto"/>
        <w:ind w:firstLine="402"/>
        <w:rPr>
          <w:rFonts w:ascii="微软雅黑" w:hAnsi="微软雅黑" w:eastAsia="微软雅黑" w:cs="微软雅黑"/>
          <w:sz w:val="19"/>
          <w:szCs w:val="19"/>
        </w:rPr>
      </w:pPr>
      <w:r>
        <w:rPr>
          <w:rFonts w:ascii="微软雅黑" w:hAnsi="微软雅黑" w:eastAsia="微软雅黑" w:cs="微软雅黑"/>
          <w:color w:val="231F20"/>
          <w:spacing w:val="13"/>
          <w:sz w:val="19"/>
          <w:szCs w:val="19"/>
        </w:rPr>
        <w:t>党的十九届五中全会提出“高等教育进入普</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2"/>
          <w:sz w:val="19"/>
          <w:szCs w:val="19"/>
        </w:rPr>
        <w:t>及化阶段</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2"/>
          <w:sz w:val="19"/>
          <w:szCs w:val="19"/>
        </w:rPr>
        <w:t xml:space="preserve">”的重要判断的同时，进一步提出要加大  </w:t>
      </w:r>
      <w:r>
        <w:rPr>
          <w:rFonts w:ascii="微软雅黑" w:hAnsi="微软雅黑" w:eastAsia="微软雅黑" w:cs="微软雅黑"/>
          <w:color w:val="231F20"/>
          <w:spacing w:val="-1"/>
          <w:sz w:val="19"/>
          <w:szCs w:val="19"/>
        </w:rPr>
        <w:t>高等教育创新发展的力度，要从专业、课程、教材、</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3"/>
          <w:sz w:val="19"/>
          <w:szCs w:val="19"/>
        </w:rPr>
        <w:t>技术等方面加强建设，打好高质量本科教育攻坚</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2"/>
          <w:sz w:val="19"/>
          <w:szCs w:val="19"/>
        </w:rPr>
        <w:t>战，全面推动“</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2"/>
          <w:sz w:val="19"/>
          <w:szCs w:val="19"/>
        </w:rPr>
        <w:t xml:space="preserve">四新建设”。大学管理者都应具有  </w:t>
      </w:r>
      <w:r>
        <w:rPr>
          <w:rFonts w:ascii="微软雅黑" w:hAnsi="微软雅黑" w:eastAsia="微软雅黑" w:cs="微软雅黑"/>
          <w:color w:val="231F20"/>
          <w:spacing w:val="-1"/>
          <w:sz w:val="19"/>
          <w:szCs w:val="19"/>
        </w:rPr>
        <w:t>一种强烈的质量精神，把价值、目标、过程、激励、</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2"/>
          <w:sz w:val="19"/>
          <w:szCs w:val="19"/>
        </w:rPr>
        <w:t>结果、质量作为影响质量文化的六个要素。</w:t>
      </w:r>
      <w:r>
        <w:rPr>
          <w:rFonts w:ascii="微软雅黑" w:hAnsi="微软雅黑" w:eastAsia="微软雅黑" w:cs="微软雅黑"/>
          <w:color w:val="231F20"/>
          <w:spacing w:val="-2"/>
          <w:position w:val="6"/>
          <w:sz w:val="11"/>
          <w:szCs w:val="11"/>
        </w:rPr>
        <w:t>［</w:t>
      </w:r>
      <w:r>
        <w:rPr>
          <w:rFonts w:ascii="宋体" w:hAnsi="宋体" w:eastAsia="宋体" w:cs="宋体"/>
          <w:color w:val="231F20"/>
          <w:spacing w:val="-2"/>
          <w:position w:val="6"/>
          <w:sz w:val="11"/>
          <w:szCs w:val="11"/>
        </w:rPr>
        <w:t>25</w:t>
      </w:r>
      <w:r>
        <w:rPr>
          <w:rFonts w:ascii="微软雅黑" w:hAnsi="微软雅黑" w:eastAsia="微软雅黑" w:cs="微软雅黑"/>
          <w:color w:val="231F20"/>
          <w:spacing w:val="-2"/>
          <w:position w:val="6"/>
          <w:sz w:val="11"/>
          <w:szCs w:val="11"/>
        </w:rPr>
        <w:t>］</w:t>
      </w:r>
      <w:r>
        <w:rPr>
          <w:rFonts w:ascii="微软雅黑" w:hAnsi="微软雅黑" w:eastAsia="微软雅黑" w:cs="微软雅黑"/>
          <w:color w:val="231F20"/>
          <w:spacing w:val="-3"/>
          <w:sz w:val="19"/>
          <w:szCs w:val="19"/>
        </w:rPr>
        <w:t xml:space="preserve">只有  </w:t>
      </w:r>
      <w:r>
        <w:rPr>
          <w:rFonts w:ascii="微软雅黑" w:hAnsi="微软雅黑" w:eastAsia="微软雅黑" w:cs="微软雅黑"/>
          <w:color w:val="231F20"/>
          <w:spacing w:val="17"/>
          <w:sz w:val="19"/>
          <w:szCs w:val="19"/>
        </w:rPr>
        <w:t>在强化高校质量主体意识和责任意识的基础上，</w:t>
      </w:r>
      <w:r>
        <w:rPr>
          <w:rFonts w:ascii="微软雅黑" w:hAnsi="微软雅黑" w:eastAsia="微软雅黑" w:cs="微软雅黑"/>
          <w:color w:val="231F20"/>
          <w:spacing w:val="7"/>
          <w:sz w:val="19"/>
          <w:szCs w:val="19"/>
        </w:rPr>
        <w:t xml:space="preserve"> 持续深化教育教学改革，大力推进教学管理创新，</w:t>
      </w:r>
    </w:p>
    <w:p>
      <w:pPr>
        <w:spacing w:line="225" w:lineRule="auto"/>
        <w:rPr>
          <w:rFonts w:ascii="微软雅黑" w:hAnsi="微软雅黑" w:eastAsia="微软雅黑" w:cs="微软雅黑"/>
          <w:sz w:val="19"/>
          <w:szCs w:val="19"/>
        </w:rPr>
        <w:sectPr>
          <w:type w:val="continuous"/>
          <w:pgSz w:w="11906" w:h="16158"/>
          <w:pgMar w:top="1489" w:right="1398" w:bottom="547" w:left="407" w:header="1198" w:footer="354" w:gutter="0"/>
          <w:cols w:equalWidth="0" w:num="2">
            <w:col w:w="5644" w:space="100"/>
            <w:col w:w="4356"/>
          </w:cols>
        </w:sectPr>
      </w:pPr>
    </w:p>
    <w:p>
      <w:pPr>
        <w:spacing w:line="305" w:lineRule="auto"/>
        <w:rPr>
          <w:rFonts w:ascii="Arial"/>
          <w:sz w:val="21"/>
        </w:rPr>
      </w:pPr>
    </w:p>
    <w:p>
      <w:pPr>
        <w:spacing w:before="86" w:line="152" w:lineRule="exact"/>
        <w:ind w:left="1129"/>
        <w:rPr>
          <w:rFonts w:ascii="微软雅黑" w:hAnsi="微软雅黑" w:eastAsia="微软雅黑" w:cs="微软雅黑"/>
          <w:sz w:val="20"/>
          <w:szCs w:val="20"/>
        </w:rPr>
      </w:pPr>
      <w:r>
        <w:rPr>
          <w:rFonts w:ascii="微软雅黑" w:hAnsi="微软雅黑" w:eastAsia="微软雅黑" w:cs="微软雅黑"/>
          <w:color w:val="231F20"/>
          <w:spacing w:val="1"/>
          <w:position w:val="-3"/>
          <w:sz w:val="20"/>
          <w:szCs w:val="20"/>
        </w:rPr>
        <w:t>-   28</w:t>
      </w:r>
      <w:r>
        <w:rPr>
          <w:rFonts w:ascii="微软雅黑" w:hAnsi="微软雅黑" w:eastAsia="微软雅黑" w:cs="微软雅黑"/>
          <w:color w:val="231F20"/>
          <w:spacing w:val="29"/>
          <w:w w:val="101"/>
          <w:position w:val="-3"/>
          <w:sz w:val="20"/>
          <w:szCs w:val="20"/>
        </w:rPr>
        <w:t xml:space="preserve">  </w:t>
      </w:r>
      <w:r>
        <w:rPr>
          <w:rFonts w:ascii="微软雅黑" w:hAnsi="微软雅黑" w:eastAsia="微软雅黑" w:cs="微软雅黑"/>
          <w:color w:val="231F20"/>
          <w:spacing w:val="1"/>
          <w:position w:val="-3"/>
          <w:sz w:val="20"/>
          <w:szCs w:val="20"/>
        </w:rPr>
        <w:t>-</w:t>
      </w:r>
    </w:p>
    <w:p>
      <w:pPr>
        <w:spacing w:line="152" w:lineRule="exact"/>
        <w:rPr>
          <w:rFonts w:ascii="微软雅黑" w:hAnsi="微软雅黑" w:eastAsia="微软雅黑" w:cs="微软雅黑"/>
          <w:sz w:val="20"/>
          <w:szCs w:val="20"/>
        </w:rPr>
        <w:sectPr>
          <w:type w:val="continuous"/>
          <w:pgSz w:w="11906" w:h="16158"/>
          <w:pgMar w:top="1489" w:right="1398" w:bottom="547" w:left="407" w:header="1198" w:footer="354" w:gutter="0"/>
          <w:cols w:equalWidth="0" w:num="1">
            <w:col w:w="10100"/>
          </w:cols>
        </w:sectPr>
      </w:pPr>
    </w:p>
    <w:p>
      <w:pPr>
        <w:spacing w:line="106" w:lineRule="exact"/>
      </w:pPr>
    </w:p>
    <w:p>
      <w:pPr>
        <w:spacing w:line="106" w:lineRule="exact"/>
        <w:sectPr>
          <w:headerReference r:id="rId36" w:type="default"/>
          <w:footerReference r:id="rId37" w:type="default"/>
          <w:pgSz w:w="11906" w:h="16158"/>
          <w:pgMar w:top="1489" w:right="1392" w:bottom="547" w:left="407" w:header="1198" w:footer="354" w:gutter="0"/>
          <w:cols w:equalWidth="0" w:num="1">
            <w:col w:w="10105"/>
          </w:cols>
        </w:sectPr>
      </w:pPr>
    </w:p>
    <w:p>
      <w:pPr>
        <w:spacing w:before="44" w:line="226" w:lineRule="auto"/>
        <w:ind w:left="1071" w:right="231" w:firstLine="2"/>
        <w:jc w:val="both"/>
        <w:rPr>
          <w:rFonts w:ascii="微软雅黑" w:hAnsi="微软雅黑" w:eastAsia="微软雅黑" w:cs="微软雅黑"/>
          <w:sz w:val="19"/>
          <w:szCs w:val="19"/>
        </w:rPr>
      </w:pPr>
      <w:r>
        <w:rPr>
          <w:rFonts w:ascii="微软雅黑" w:hAnsi="微软雅黑" w:eastAsia="微软雅黑" w:cs="微软雅黑"/>
          <w:color w:val="231F20"/>
          <w:spacing w:val="-2"/>
          <w:sz w:val="19"/>
          <w:szCs w:val="19"/>
        </w:rPr>
        <w:t>积极探索建立自省、自律、自查、自纠的质量文化，</w:t>
      </w:r>
      <w:r>
        <w:rPr>
          <w:rFonts w:ascii="微软雅黑" w:hAnsi="微软雅黑" w:eastAsia="微软雅黑" w:cs="微软雅黑"/>
          <w:color w:val="231F20"/>
          <w:spacing w:val="12"/>
          <w:sz w:val="19"/>
          <w:szCs w:val="19"/>
        </w:rPr>
        <w:t xml:space="preserve"> </w:t>
      </w:r>
      <w:r>
        <w:rPr>
          <w:rFonts w:ascii="微软雅黑" w:hAnsi="微软雅黑" w:eastAsia="微软雅黑" w:cs="微软雅黑"/>
          <w:color w:val="231F20"/>
          <w:spacing w:val="4"/>
          <w:sz w:val="19"/>
          <w:szCs w:val="19"/>
        </w:rPr>
        <w:t xml:space="preserve">构建起有质量标准、有专门机构、有专业人员、有  监测评估、有及时反馈、有持续改进的质量保障制  </w:t>
      </w:r>
      <w:r>
        <w:rPr>
          <w:rFonts w:ascii="微软雅黑" w:hAnsi="微软雅黑" w:eastAsia="微软雅黑" w:cs="微软雅黑"/>
          <w:color w:val="231F20"/>
          <w:spacing w:val="3"/>
          <w:sz w:val="19"/>
          <w:szCs w:val="19"/>
        </w:rPr>
        <w:t>度，才能实现高等教育的高质量发展。</w:t>
      </w:r>
    </w:p>
    <w:p>
      <w:pPr>
        <w:spacing w:before="42" w:line="216" w:lineRule="auto"/>
        <w:ind w:left="1080" w:right="294" w:firstLine="307"/>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（三）高等教育质量文化是一种以绩效为导向</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构建资源配置机制的文化</w:t>
      </w:r>
    </w:p>
    <w:p>
      <w:pPr>
        <w:spacing w:before="34" w:line="231" w:lineRule="auto"/>
        <w:ind w:left="1071" w:right="218" w:firstLine="398"/>
        <w:rPr>
          <w:rFonts w:ascii="微软雅黑" w:hAnsi="微软雅黑" w:eastAsia="微软雅黑" w:cs="微软雅黑"/>
          <w:sz w:val="19"/>
          <w:szCs w:val="19"/>
        </w:rPr>
      </w:pPr>
      <w:r>
        <w:rPr>
          <w:rFonts w:ascii="微软雅黑" w:hAnsi="微软雅黑" w:eastAsia="微软雅黑" w:cs="微软雅黑"/>
          <w:color w:val="231F20"/>
          <w:spacing w:val="-4"/>
          <w:sz w:val="19"/>
          <w:szCs w:val="19"/>
        </w:rPr>
        <w:t>伊拉克尼·格拉马泽（</w:t>
      </w:r>
      <w:r>
        <w:rPr>
          <w:rFonts w:ascii="宋体" w:hAnsi="宋体" w:eastAsia="宋体" w:cs="宋体"/>
          <w:color w:val="231F20"/>
          <w:spacing w:val="-4"/>
          <w:sz w:val="19"/>
          <w:szCs w:val="19"/>
        </w:rPr>
        <w:t>Irakzli</w:t>
      </w:r>
      <w:r>
        <w:rPr>
          <w:rFonts w:ascii="宋体" w:hAnsi="宋体" w:eastAsia="宋体" w:cs="宋体"/>
          <w:color w:val="231F20"/>
          <w:spacing w:val="-33"/>
          <w:sz w:val="19"/>
          <w:szCs w:val="19"/>
        </w:rPr>
        <w:t xml:space="preserve"> </w:t>
      </w:r>
      <w:r>
        <w:rPr>
          <w:rFonts w:ascii="宋体" w:hAnsi="宋体" w:eastAsia="宋体" w:cs="宋体"/>
          <w:color w:val="231F20"/>
          <w:spacing w:val="-4"/>
          <w:sz w:val="19"/>
          <w:szCs w:val="19"/>
        </w:rPr>
        <w:t>Gvaramadze</w:t>
      </w:r>
      <w:r>
        <w:rPr>
          <w:rFonts w:ascii="微软雅黑" w:hAnsi="微软雅黑" w:eastAsia="微软雅黑" w:cs="微软雅黑"/>
          <w:color w:val="231F20"/>
          <w:spacing w:val="-18"/>
          <w:w w:val="53"/>
          <w:sz w:val="19"/>
          <w:szCs w:val="19"/>
        </w:rPr>
        <w:t>）</w:t>
      </w:r>
      <w:r>
        <w:rPr>
          <w:rFonts w:ascii="微软雅黑" w:hAnsi="微软雅黑" w:eastAsia="微软雅黑" w:cs="微软雅黑"/>
          <w:color w:val="231F20"/>
          <w:spacing w:val="-17"/>
          <w:w w:val="75"/>
          <w:position w:val="6"/>
          <w:sz w:val="11"/>
          <w:szCs w:val="11"/>
        </w:rPr>
        <w:t>［</w:t>
      </w:r>
      <w:r>
        <w:rPr>
          <w:rFonts w:ascii="宋体" w:hAnsi="宋体" w:eastAsia="宋体" w:cs="宋体"/>
          <w:color w:val="231F20"/>
          <w:spacing w:val="-4"/>
          <w:position w:val="6"/>
          <w:sz w:val="11"/>
          <w:szCs w:val="11"/>
        </w:rPr>
        <w:t>26</w:t>
      </w:r>
      <w:r>
        <w:rPr>
          <w:rFonts w:ascii="微软雅黑" w:hAnsi="微软雅黑" w:eastAsia="微软雅黑" w:cs="微软雅黑"/>
          <w:color w:val="231F20"/>
          <w:spacing w:val="-4"/>
          <w:position w:val="6"/>
          <w:sz w:val="11"/>
          <w:szCs w:val="11"/>
        </w:rPr>
        <w:t>］</w:t>
      </w:r>
      <w:r>
        <w:rPr>
          <w:rFonts w:ascii="微软雅黑" w:hAnsi="微软雅黑" w:eastAsia="微软雅黑" w:cs="微软雅黑"/>
          <w:color w:val="231F20"/>
          <w:spacing w:val="-4"/>
          <w:sz w:val="19"/>
          <w:szCs w:val="19"/>
        </w:rPr>
        <w:t xml:space="preserve">指  </w:t>
      </w:r>
      <w:r>
        <w:rPr>
          <w:rFonts w:ascii="微软雅黑" w:hAnsi="微软雅黑" w:eastAsia="微软雅黑" w:cs="微软雅黑"/>
          <w:color w:val="231F20"/>
          <w:spacing w:val="4"/>
          <w:sz w:val="19"/>
          <w:szCs w:val="19"/>
        </w:rPr>
        <w:t>出，质量文化的共同价值是制度自治、透明度和灵</w:t>
      </w:r>
      <w:r>
        <w:rPr>
          <w:rFonts w:ascii="微软雅黑" w:hAnsi="微软雅黑" w:eastAsia="微软雅黑" w:cs="微软雅黑"/>
          <w:color w:val="231F20"/>
          <w:spacing w:val="3"/>
          <w:sz w:val="19"/>
          <w:szCs w:val="19"/>
        </w:rPr>
        <w:t xml:space="preserve">  </w:t>
      </w:r>
      <w:r>
        <w:rPr>
          <w:rFonts w:ascii="微软雅黑" w:hAnsi="微软雅黑" w:eastAsia="微软雅黑" w:cs="微软雅黑"/>
          <w:color w:val="231F20"/>
          <w:spacing w:val="13"/>
          <w:sz w:val="19"/>
          <w:szCs w:val="19"/>
        </w:rPr>
        <w:t>活性，以及大学的高层管理者要有远见卓识和战</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14"/>
          <w:sz w:val="19"/>
          <w:szCs w:val="19"/>
        </w:rPr>
        <w:t>略领导能力</w:t>
      </w:r>
      <w:r>
        <w:rPr>
          <w:rFonts w:ascii="微软雅黑" w:hAnsi="微软雅黑" w:eastAsia="微软雅黑" w:cs="微软雅黑"/>
          <w:color w:val="231F20"/>
          <w:spacing w:val="-19"/>
          <w:sz w:val="19"/>
          <w:szCs w:val="19"/>
        </w:rPr>
        <w:t xml:space="preserve"> </w:t>
      </w:r>
      <w:r>
        <w:rPr>
          <w:rFonts w:ascii="微软雅黑" w:hAnsi="微软雅黑" w:eastAsia="微软雅黑" w:cs="微软雅黑"/>
          <w:color w:val="231F20"/>
          <w:spacing w:val="14"/>
          <w:sz w:val="19"/>
          <w:szCs w:val="19"/>
        </w:rPr>
        <w:t>，并辅之以不同利益相关者的参与</w:t>
      </w:r>
      <w:r>
        <w:rPr>
          <w:rFonts w:ascii="微软雅黑" w:hAnsi="微软雅黑" w:eastAsia="微软雅黑" w:cs="微软雅黑"/>
          <w:color w:val="231F20"/>
          <w:spacing w:val="-27"/>
          <w:sz w:val="19"/>
          <w:szCs w:val="19"/>
        </w:rPr>
        <w:t xml:space="preserve"> </w:t>
      </w:r>
      <w:r>
        <w:rPr>
          <w:rFonts w:ascii="微软雅黑" w:hAnsi="微软雅黑" w:eastAsia="微软雅黑" w:cs="微软雅黑"/>
          <w:color w:val="231F20"/>
          <w:spacing w:val="14"/>
          <w:sz w:val="19"/>
          <w:szCs w:val="19"/>
        </w:rPr>
        <w:t>。</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影响质量文化的文化壁垒主要包括管理者的管理</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12"/>
          <w:sz w:val="19"/>
          <w:szCs w:val="19"/>
        </w:rPr>
        <w:t>文化</w:t>
      </w:r>
      <w:r>
        <w:rPr>
          <w:rFonts w:ascii="微软雅黑" w:hAnsi="微软雅黑" w:eastAsia="微软雅黑" w:cs="微软雅黑"/>
          <w:color w:val="231F20"/>
          <w:spacing w:val="-23"/>
          <w:sz w:val="19"/>
          <w:szCs w:val="19"/>
        </w:rPr>
        <w:t xml:space="preserve"> </w:t>
      </w:r>
      <w:r>
        <w:rPr>
          <w:rFonts w:ascii="微软雅黑" w:hAnsi="微软雅黑" w:eastAsia="微软雅黑" w:cs="微软雅黑"/>
          <w:color w:val="231F20"/>
          <w:spacing w:val="12"/>
          <w:sz w:val="19"/>
          <w:szCs w:val="19"/>
        </w:rPr>
        <w:t>、高等教育的阶段性文化以及文化传统基因</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1"/>
          <w:sz w:val="19"/>
          <w:szCs w:val="19"/>
        </w:rPr>
        <w:t>和全面质量管理的挑战</w:t>
      </w:r>
      <w:r>
        <w:rPr>
          <w:rFonts w:ascii="微软雅黑" w:hAnsi="微软雅黑" w:eastAsia="微软雅黑" w:cs="微软雅黑"/>
          <w:color w:val="231F20"/>
          <w:spacing w:val="11"/>
          <w:position w:val="6"/>
          <w:sz w:val="11"/>
          <w:szCs w:val="11"/>
        </w:rPr>
        <w:t>［</w:t>
      </w:r>
      <w:r>
        <w:rPr>
          <w:rFonts w:ascii="宋体" w:hAnsi="宋体" w:eastAsia="宋体" w:cs="宋体"/>
          <w:color w:val="231F20"/>
          <w:spacing w:val="11"/>
          <w:position w:val="6"/>
          <w:sz w:val="11"/>
          <w:szCs w:val="11"/>
        </w:rPr>
        <w:t>27</w:t>
      </w:r>
      <w:r>
        <w:rPr>
          <w:rFonts w:ascii="微软雅黑" w:hAnsi="微软雅黑" w:eastAsia="微软雅黑" w:cs="微软雅黑"/>
          <w:color w:val="231F20"/>
          <w:spacing w:val="7"/>
          <w:position w:val="6"/>
          <w:sz w:val="11"/>
          <w:szCs w:val="11"/>
        </w:rPr>
        <w:t>］</w:t>
      </w:r>
      <w:r>
        <w:rPr>
          <w:rFonts w:ascii="微软雅黑" w:hAnsi="微软雅黑" w:eastAsia="微软雅黑" w:cs="微软雅黑"/>
          <w:color w:val="231F20"/>
          <w:spacing w:val="-37"/>
          <w:w w:val="64"/>
          <w:sz w:val="19"/>
          <w:szCs w:val="19"/>
        </w:rPr>
        <w:t>，</w:t>
      </w:r>
      <w:r>
        <w:rPr>
          <w:rFonts w:ascii="微软雅黑" w:hAnsi="微软雅黑" w:eastAsia="微软雅黑" w:cs="微软雅黑"/>
          <w:color w:val="231F20"/>
          <w:spacing w:val="11"/>
          <w:sz w:val="19"/>
          <w:szCs w:val="19"/>
        </w:rPr>
        <w:t>只有促进高校把分散</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的举措和行动聚焦于发展战略，进一步明确自身</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13"/>
          <w:sz w:val="19"/>
          <w:szCs w:val="19"/>
        </w:rPr>
        <w:t>的目标定位，促进学校将绩效理念融入办学各阶</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4"/>
          <w:sz w:val="19"/>
          <w:szCs w:val="19"/>
        </w:rPr>
        <w:t>段、深入学校各方面，才能更好地运用绩效精神办</w:t>
      </w:r>
      <w:r>
        <w:rPr>
          <w:rFonts w:ascii="微软雅黑" w:hAnsi="微软雅黑" w:eastAsia="微软雅黑" w:cs="微软雅黑"/>
          <w:color w:val="231F20"/>
          <w:spacing w:val="3"/>
          <w:sz w:val="19"/>
          <w:szCs w:val="19"/>
        </w:rPr>
        <w:t xml:space="preserve">  </w:t>
      </w:r>
      <w:r>
        <w:rPr>
          <w:rFonts w:ascii="微软雅黑" w:hAnsi="微软雅黑" w:eastAsia="微软雅黑" w:cs="微软雅黑"/>
          <w:color w:val="231F20"/>
          <w:spacing w:val="4"/>
          <w:sz w:val="19"/>
          <w:szCs w:val="19"/>
        </w:rPr>
        <w:t>学；只有以绩效评价为指引，不断完善学校治理体</w:t>
      </w:r>
      <w:r>
        <w:rPr>
          <w:rFonts w:ascii="微软雅黑" w:hAnsi="微软雅黑" w:eastAsia="微软雅黑" w:cs="微软雅黑"/>
          <w:color w:val="231F20"/>
          <w:spacing w:val="3"/>
          <w:sz w:val="19"/>
          <w:szCs w:val="19"/>
        </w:rPr>
        <w:t xml:space="preserve">  </w:t>
      </w:r>
      <w:r>
        <w:rPr>
          <w:rFonts w:ascii="微软雅黑" w:hAnsi="微软雅黑" w:eastAsia="微软雅黑" w:cs="微软雅黑"/>
          <w:color w:val="231F20"/>
          <w:spacing w:val="4"/>
          <w:sz w:val="19"/>
          <w:szCs w:val="19"/>
        </w:rPr>
        <w:t>系，并通过对高校重点工作进行连续跟踪评价，推</w:t>
      </w:r>
      <w:r>
        <w:rPr>
          <w:rFonts w:ascii="微软雅黑" w:hAnsi="微软雅黑" w:eastAsia="微软雅黑" w:cs="微软雅黑"/>
          <w:color w:val="231F20"/>
          <w:spacing w:val="3"/>
          <w:sz w:val="19"/>
          <w:szCs w:val="19"/>
        </w:rPr>
        <w:t xml:space="preserve">  </w:t>
      </w:r>
      <w:r>
        <w:rPr>
          <w:rFonts w:ascii="微软雅黑" w:hAnsi="微软雅黑" w:eastAsia="微软雅黑" w:cs="微软雅黑"/>
          <w:color w:val="231F20"/>
          <w:spacing w:val="4"/>
          <w:sz w:val="19"/>
          <w:szCs w:val="19"/>
        </w:rPr>
        <w:t>进高校更加重视规划引领，更加重视内涵提升，更</w:t>
      </w:r>
      <w:r>
        <w:rPr>
          <w:rFonts w:ascii="微软雅黑" w:hAnsi="微软雅黑" w:eastAsia="微软雅黑" w:cs="微软雅黑"/>
          <w:color w:val="231F20"/>
          <w:spacing w:val="3"/>
          <w:sz w:val="19"/>
          <w:szCs w:val="19"/>
        </w:rPr>
        <w:t xml:space="preserve">  </w:t>
      </w:r>
      <w:r>
        <w:rPr>
          <w:rFonts w:ascii="微软雅黑" w:hAnsi="微软雅黑" w:eastAsia="微软雅黑" w:cs="微软雅黑"/>
          <w:color w:val="231F20"/>
          <w:spacing w:val="22"/>
          <w:sz w:val="19"/>
          <w:szCs w:val="19"/>
        </w:rPr>
        <w:t>加重视建设成效</w:t>
      </w:r>
      <w:r>
        <w:rPr>
          <w:rFonts w:ascii="微软雅黑" w:hAnsi="微软雅黑" w:eastAsia="微软雅黑" w:cs="微软雅黑"/>
          <w:color w:val="231F20"/>
          <w:spacing w:val="-21"/>
          <w:sz w:val="19"/>
          <w:szCs w:val="19"/>
        </w:rPr>
        <w:t xml:space="preserve"> </w:t>
      </w:r>
      <w:r>
        <w:rPr>
          <w:rFonts w:ascii="微软雅黑" w:hAnsi="微软雅黑" w:eastAsia="微软雅黑" w:cs="微软雅黑"/>
          <w:color w:val="231F20"/>
          <w:spacing w:val="22"/>
          <w:sz w:val="19"/>
          <w:szCs w:val="19"/>
        </w:rPr>
        <w:t>，才能使质量文化建设更有实</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
          <w:sz w:val="19"/>
          <w:szCs w:val="19"/>
        </w:rPr>
        <w:t>效。</w:t>
      </w:r>
    </w:p>
    <w:p>
      <w:pPr>
        <w:spacing w:before="42" w:line="216" w:lineRule="auto"/>
        <w:ind w:left="1078" w:right="294" w:firstLine="310"/>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（四）高等教育质量文化是一种全面提高人才</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培养能力和质量水平的文化</w:t>
      </w:r>
    </w:p>
    <w:p>
      <w:pPr>
        <w:spacing w:before="27" w:line="231" w:lineRule="auto"/>
        <w:ind w:left="1071" w:right="294" w:firstLine="404"/>
        <w:rPr>
          <w:rFonts w:ascii="微软雅黑" w:hAnsi="微软雅黑" w:eastAsia="微软雅黑" w:cs="微软雅黑"/>
          <w:sz w:val="19"/>
          <w:szCs w:val="19"/>
        </w:rPr>
      </w:pPr>
      <w:r>
        <w:rPr>
          <w:rFonts w:ascii="微软雅黑" w:hAnsi="微软雅黑" w:eastAsia="微软雅黑" w:cs="微软雅黑"/>
          <w:color w:val="231F20"/>
          <w:spacing w:val="12"/>
          <w:sz w:val="19"/>
          <w:szCs w:val="19"/>
        </w:rPr>
        <w:t>高校是实践立德树人</w:t>
      </w:r>
      <w:r>
        <w:rPr>
          <w:rFonts w:ascii="微软雅黑" w:hAnsi="微软雅黑" w:eastAsia="微软雅黑" w:cs="微软雅黑"/>
          <w:color w:val="231F20"/>
          <w:spacing w:val="-23"/>
          <w:sz w:val="19"/>
          <w:szCs w:val="19"/>
        </w:rPr>
        <w:t xml:space="preserve"> </w:t>
      </w:r>
      <w:r>
        <w:rPr>
          <w:rFonts w:ascii="微软雅黑" w:hAnsi="微软雅黑" w:eastAsia="微软雅黑" w:cs="微软雅黑"/>
          <w:color w:val="231F20"/>
          <w:spacing w:val="12"/>
          <w:sz w:val="19"/>
          <w:szCs w:val="19"/>
        </w:rPr>
        <w:t>、培养创新人才的主阵</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4"/>
          <w:sz w:val="19"/>
          <w:szCs w:val="19"/>
        </w:rPr>
        <w:t>地，而社会却蕴藏着丰富的教育和学术资源，高等</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4"/>
          <w:sz w:val="19"/>
          <w:szCs w:val="19"/>
        </w:rPr>
        <w:t>教育只有打开学科边界、打开学习边界、打开学校</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13"/>
          <w:sz w:val="19"/>
          <w:szCs w:val="19"/>
        </w:rPr>
        <w:t xml:space="preserve">边界，抓住影响人才培养质量的核心要素和关键 </w:t>
      </w:r>
      <w:r>
        <w:rPr>
          <w:rFonts w:ascii="微软雅黑" w:hAnsi="微软雅黑" w:eastAsia="微软雅黑" w:cs="微软雅黑"/>
          <w:color w:val="231F20"/>
          <w:spacing w:val="4"/>
          <w:sz w:val="19"/>
          <w:szCs w:val="19"/>
        </w:rPr>
        <w:t>环节，从资源、组织、制度和管理等各个方面得到</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13"/>
          <w:sz w:val="19"/>
          <w:szCs w:val="19"/>
        </w:rPr>
        <w:t xml:space="preserve">有效支撑和有力保障，全面提高人才培养能力和 </w:t>
      </w:r>
      <w:r>
        <w:rPr>
          <w:rFonts w:ascii="微软雅黑" w:hAnsi="微软雅黑" w:eastAsia="微软雅黑" w:cs="微软雅黑"/>
          <w:color w:val="231F20"/>
          <w:spacing w:val="4"/>
          <w:sz w:val="19"/>
          <w:szCs w:val="19"/>
        </w:rPr>
        <w:t>质量水平，才能使我国高等教育行稳致远；只有对</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4"/>
          <w:sz w:val="19"/>
          <w:szCs w:val="19"/>
        </w:rPr>
        <w:t>高校的专业、课程、教学、督导、评价、监测等</w:t>
      </w:r>
      <w:r>
        <w:rPr>
          <w:rFonts w:ascii="微软雅黑" w:hAnsi="微软雅黑" w:eastAsia="微软雅黑" w:cs="微软雅黑"/>
          <w:color w:val="231F20"/>
          <w:spacing w:val="-5"/>
          <w:sz w:val="19"/>
          <w:szCs w:val="19"/>
        </w:rPr>
        <w:t>各种</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 xml:space="preserve">标准的制定方法和路径进行深入研究，并形成权 </w:t>
      </w:r>
      <w:r>
        <w:rPr>
          <w:rFonts w:ascii="微软雅黑" w:hAnsi="微软雅黑" w:eastAsia="微软雅黑" w:cs="微软雅黑"/>
          <w:color w:val="231F20"/>
          <w:spacing w:val="4"/>
          <w:sz w:val="19"/>
          <w:szCs w:val="19"/>
        </w:rPr>
        <w:t>威性的指导意见，才有可能在不同高校建立起“三</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12"/>
          <w:sz w:val="19"/>
          <w:szCs w:val="19"/>
        </w:rPr>
        <w:t>全育人</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2"/>
          <w:sz w:val="19"/>
          <w:szCs w:val="19"/>
        </w:rPr>
        <w:t>”以及利益相关者共同参与的公共治理的</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6"/>
          <w:sz w:val="19"/>
          <w:szCs w:val="19"/>
        </w:rPr>
        <w:t>质量文化。</w:t>
      </w:r>
    </w:p>
    <w:p>
      <w:pPr>
        <w:spacing w:before="41" w:line="216" w:lineRule="auto"/>
        <w:ind w:left="1088" w:right="294" w:firstLine="299"/>
        <w:rPr>
          <w:rFonts w:ascii="微软雅黑" w:hAnsi="微软雅黑" w:eastAsia="微软雅黑" w:cs="微软雅黑"/>
          <w:sz w:val="20"/>
          <w:szCs w:val="20"/>
        </w:rPr>
      </w:pPr>
      <w:r>
        <w:rPr>
          <w:rFonts w:ascii="微软雅黑" w:hAnsi="微软雅黑" w:eastAsia="微软雅黑" w:cs="微软雅黑"/>
          <w:color w:val="231F20"/>
          <w:spacing w:val="8"/>
          <w:sz w:val="20"/>
          <w:szCs w:val="20"/>
        </w:rPr>
        <w:t>（五）高等教育质量文化是一种关注学科前</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6"/>
          <w:w w:val="97"/>
          <w:sz w:val="20"/>
          <w:szCs w:val="20"/>
        </w:rPr>
        <w:t>沿、重视知识创新、改革传统评价机制的文化</w:t>
      </w:r>
    </w:p>
    <w:p>
      <w:pPr>
        <w:spacing w:before="28" w:line="228" w:lineRule="auto"/>
        <w:ind w:left="1071" w:right="294" w:firstLine="398"/>
        <w:rPr>
          <w:rFonts w:ascii="微软雅黑" w:hAnsi="微软雅黑" w:eastAsia="微软雅黑" w:cs="微软雅黑"/>
          <w:sz w:val="19"/>
          <w:szCs w:val="19"/>
        </w:rPr>
      </w:pPr>
      <w:r>
        <w:rPr>
          <w:rFonts w:ascii="微软雅黑" w:hAnsi="微软雅黑" w:eastAsia="微软雅黑" w:cs="微软雅黑"/>
          <w:color w:val="231F20"/>
          <w:spacing w:val="12"/>
          <w:sz w:val="19"/>
          <w:szCs w:val="19"/>
        </w:rPr>
        <w:t>新一轮科技创新</w:t>
      </w:r>
      <w:r>
        <w:rPr>
          <w:rFonts w:ascii="微软雅黑" w:hAnsi="微软雅黑" w:eastAsia="微软雅黑" w:cs="微软雅黑"/>
          <w:color w:val="231F20"/>
          <w:spacing w:val="-18"/>
          <w:sz w:val="19"/>
          <w:szCs w:val="19"/>
        </w:rPr>
        <w:t xml:space="preserve"> </w:t>
      </w:r>
      <w:r>
        <w:rPr>
          <w:rFonts w:ascii="微软雅黑" w:hAnsi="微软雅黑" w:eastAsia="微软雅黑" w:cs="微软雅黑"/>
          <w:color w:val="231F20"/>
          <w:spacing w:val="12"/>
          <w:sz w:val="19"/>
          <w:szCs w:val="19"/>
        </w:rPr>
        <w:t>、新一代信息技术正以前所</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未有的广度深度推动着高等教育创新发展，同时</w:t>
      </w:r>
      <w:r>
        <w:rPr>
          <w:rFonts w:ascii="微软雅黑" w:hAnsi="微软雅黑" w:eastAsia="微软雅黑" w:cs="微软雅黑"/>
          <w:color w:val="231F20"/>
          <w:spacing w:val="12"/>
          <w:sz w:val="19"/>
          <w:szCs w:val="19"/>
        </w:rPr>
        <w:t xml:space="preserve"> </w:t>
      </w:r>
      <w:r>
        <w:rPr>
          <w:rFonts w:ascii="微软雅黑" w:hAnsi="微软雅黑" w:eastAsia="微软雅黑" w:cs="微软雅黑"/>
          <w:color w:val="231F20"/>
          <w:spacing w:val="4"/>
          <w:sz w:val="19"/>
          <w:szCs w:val="19"/>
        </w:rPr>
        <w:t>也给高校关注学科前沿、重视知识创新、改革评价</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2"/>
          <w:sz w:val="19"/>
          <w:szCs w:val="19"/>
        </w:rPr>
        <w:t>机制带来了机遇迎来了挑战</w:t>
      </w:r>
      <w:r>
        <w:rPr>
          <w:rFonts w:ascii="微软雅黑" w:hAnsi="微软雅黑" w:eastAsia="微软雅黑" w:cs="微软雅黑"/>
          <w:color w:val="231F20"/>
          <w:spacing w:val="-23"/>
          <w:sz w:val="19"/>
          <w:szCs w:val="19"/>
        </w:rPr>
        <w:t xml:space="preserve"> </w:t>
      </w:r>
      <w:r>
        <w:rPr>
          <w:rFonts w:ascii="微软雅黑" w:hAnsi="微软雅黑" w:eastAsia="微软雅黑" w:cs="微软雅黑"/>
          <w:color w:val="231F20"/>
          <w:spacing w:val="12"/>
          <w:sz w:val="19"/>
          <w:szCs w:val="19"/>
        </w:rPr>
        <w:t>。解决我国科学技术</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3"/>
          <w:sz w:val="19"/>
          <w:szCs w:val="19"/>
        </w:rPr>
        <w:t>上的“卡脖子</w:t>
      </w:r>
      <w:r>
        <w:rPr>
          <w:rFonts w:ascii="微软雅黑" w:hAnsi="微软雅黑" w:eastAsia="微软雅黑" w:cs="微软雅黑"/>
          <w:color w:val="231F20"/>
          <w:spacing w:val="-27"/>
          <w:sz w:val="19"/>
          <w:szCs w:val="19"/>
        </w:rPr>
        <w:t xml:space="preserve"> </w:t>
      </w:r>
      <w:r>
        <w:rPr>
          <w:rFonts w:ascii="微软雅黑" w:hAnsi="微软雅黑" w:eastAsia="微软雅黑" w:cs="微软雅黑"/>
          <w:color w:val="231F20"/>
          <w:spacing w:val="3"/>
          <w:sz w:val="19"/>
          <w:szCs w:val="19"/>
        </w:rPr>
        <w:t>”问题，实现关键核心技术的革命性</w:t>
      </w:r>
    </w:p>
    <w:p>
      <w:pPr>
        <w:spacing w:line="14" w:lineRule="auto"/>
        <w:rPr>
          <w:rFonts w:ascii="Arial"/>
          <w:sz w:val="2"/>
        </w:rPr>
      </w:pPr>
      <w:r>
        <w:rPr>
          <w:rFonts w:ascii="Arial" w:hAnsi="Arial" w:eastAsia="Arial" w:cs="Arial"/>
          <w:sz w:val="2"/>
          <w:szCs w:val="2"/>
        </w:rPr>
        <w:br w:type="column"/>
      </w:r>
    </w:p>
    <w:p>
      <w:pPr>
        <w:spacing w:before="40" w:line="230" w:lineRule="auto"/>
        <w:ind w:right="8" w:firstLine="6"/>
        <w:jc w:val="both"/>
        <w:rPr>
          <w:rFonts w:ascii="微软雅黑" w:hAnsi="微软雅黑" w:eastAsia="微软雅黑" w:cs="微软雅黑"/>
          <w:sz w:val="19"/>
          <w:szCs w:val="19"/>
        </w:rPr>
      </w:pPr>
      <w:r>
        <w:rPr>
          <w:rFonts w:ascii="微软雅黑" w:hAnsi="微软雅黑" w:eastAsia="微软雅黑" w:cs="微软雅黑"/>
          <w:color w:val="231F20"/>
          <w:spacing w:val="7"/>
          <w:sz w:val="19"/>
          <w:szCs w:val="19"/>
        </w:rPr>
        <w:t>突破，迫切需要高校进行学科间的深度交叉融合。</w:t>
      </w:r>
      <w:r>
        <w:rPr>
          <w:rFonts w:ascii="微软雅黑" w:hAnsi="微软雅黑" w:eastAsia="微软雅黑" w:cs="微软雅黑"/>
          <w:color w:val="231F20"/>
          <w:spacing w:val="11"/>
          <w:sz w:val="19"/>
          <w:szCs w:val="19"/>
        </w:rPr>
        <w:t xml:space="preserve"> </w:t>
      </w:r>
      <w:r>
        <w:rPr>
          <w:rFonts w:ascii="微软雅黑" w:hAnsi="微软雅黑" w:eastAsia="微软雅黑" w:cs="微软雅黑"/>
          <w:color w:val="231F20"/>
          <w:spacing w:val="2"/>
          <w:sz w:val="19"/>
          <w:szCs w:val="19"/>
        </w:rPr>
        <w:t>在“交叉学科</w:t>
      </w:r>
      <w:r>
        <w:rPr>
          <w:rFonts w:ascii="微软雅黑" w:hAnsi="微软雅黑" w:eastAsia="微软雅黑" w:cs="微软雅黑"/>
          <w:color w:val="231F20"/>
          <w:spacing w:val="-25"/>
          <w:sz w:val="19"/>
          <w:szCs w:val="19"/>
        </w:rPr>
        <w:t xml:space="preserve"> </w:t>
      </w:r>
      <w:r>
        <w:rPr>
          <w:rFonts w:ascii="微软雅黑" w:hAnsi="微软雅黑" w:eastAsia="微软雅黑" w:cs="微软雅黑"/>
          <w:color w:val="231F20"/>
          <w:spacing w:val="2"/>
          <w:sz w:val="19"/>
          <w:szCs w:val="19"/>
        </w:rPr>
        <w:t xml:space="preserve">”正式成为与传统学科并肩的学科门  </w:t>
      </w:r>
      <w:r>
        <w:rPr>
          <w:rFonts w:ascii="微软雅黑" w:hAnsi="微软雅黑" w:eastAsia="微软雅黑" w:cs="微软雅黑"/>
          <w:color w:val="231F20"/>
          <w:spacing w:val="13"/>
          <w:sz w:val="19"/>
          <w:szCs w:val="19"/>
        </w:rPr>
        <w:t>类之当下，只有切实制定好根据学科门类组建队</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4"/>
          <w:sz w:val="19"/>
          <w:szCs w:val="19"/>
        </w:rPr>
        <w:t xml:space="preserve">伍、建立平台、投入资源的制度，更好更精准培养  高层次创新型、复合型、应用型人才的制度，以及  针对知识创新、学术研究、成果转化、服务社会的  </w:t>
      </w:r>
      <w:r>
        <w:rPr>
          <w:rFonts w:ascii="微软雅黑" w:hAnsi="微软雅黑" w:eastAsia="微软雅黑" w:cs="微软雅黑"/>
          <w:color w:val="231F20"/>
          <w:spacing w:val="13"/>
          <w:sz w:val="19"/>
          <w:szCs w:val="19"/>
        </w:rPr>
        <w:t>评议评价制度，才能建立起适应新时代要求的质</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5"/>
          <w:sz w:val="19"/>
          <w:szCs w:val="19"/>
        </w:rPr>
        <w:t>量文化。</w:t>
      </w:r>
    </w:p>
    <w:p>
      <w:pPr>
        <w:spacing w:before="40" w:line="216" w:lineRule="auto"/>
        <w:ind w:left="6" w:firstLine="312"/>
        <w:rPr>
          <w:rFonts w:ascii="微软雅黑" w:hAnsi="微软雅黑" w:eastAsia="微软雅黑" w:cs="微软雅黑"/>
          <w:sz w:val="20"/>
          <w:szCs w:val="20"/>
        </w:rPr>
      </w:pPr>
      <w:r>
        <w:rPr>
          <w:rFonts w:ascii="微软雅黑" w:hAnsi="微软雅黑" w:eastAsia="微软雅黑" w:cs="微软雅黑"/>
          <w:color w:val="231F20"/>
          <w:spacing w:val="-10"/>
          <w:sz w:val="20"/>
          <w:szCs w:val="20"/>
        </w:rPr>
        <w:t>（六）高等教育质量文化是“</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10"/>
          <w:sz w:val="20"/>
          <w:szCs w:val="20"/>
        </w:rPr>
        <w:t>以学生为中心”、</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促进学生主体发展的文化</w:t>
      </w:r>
    </w:p>
    <w:p>
      <w:pPr>
        <w:spacing w:before="30" w:line="231" w:lineRule="auto"/>
        <w:ind w:right="20" w:firstLine="406"/>
        <w:rPr>
          <w:rFonts w:ascii="微软雅黑" w:hAnsi="微软雅黑" w:eastAsia="微软雅黑" w:cs="微软雅黑"/>
          <w:sz w:val="19"/>
          <w:szCs w:val="19"/>
        </w:rPr>
      </w:pPr>
      <w:r>
        <w:rPr>
          <w:rFonts w:ascii="微软雅黑" w:hAnsi="微软雅黑" w:eastAsia="微软雅黑" w:cs="微软雅黑"/>
          <w:color w:val="231F20"/>
          <w:spacing w:val="13"/>
          <w:sz w:val="19"/>
          <w:szCs w:val="19"/>
        </w:rPr>
        <w:t>高等教育质量文化是高校人才培养质量保障</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3"/>
          <w:sz w:val="19"/>
          <w:szCs w:val="19"/>
        </w:rPr>
        <w:t>的核心和根本，这已成为高等教育管理者和研究</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2"/>
          <w:sz w:val="19"/>
          <w:szCs w:val="19"/>
        </w:rPr>
        <w:t>者们的共识</w:t>
      </w:r>
      <w:r>
        <w:rPr>
          <w:rFonts w:ascii="微软雅黑" w:hAnsi="微软雅黑" w:eastAsia="微软雅黑" w:cs="微软雅黑"/>
          <w:color w:val="231F20"/>
          <w:spacing w:val="-21"/>
          <w:sz w:val="19"/>
          <w:szCs w:val="19"/>
        </w:rPr>
        <w:t xml:space="preserve"> </w:t>
      </w:r>
      <w:r>
        <w:rPr>
          <w:rFonts w:ascii="微软雅黑" w:hAnsi="微软雅黑" w:eastAsia="微软雅黑" w:cs="微软雅黑"/>
          <w:color w:val="231F20"/>
          <w:spacing w:val="12"/>
          <w:sz w:val="19"/>
          <w:szCs w:val="19"/>
        </w:rPr>
        <w:t>。在欧洲高等教育界，大学质量文化</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2"/>
          <w:sz w:val="19"/>
          <w:szCs w:val="19"/>
        </w:rPr>
        <w:t>建设会更多地强调学生参与</w:t>
      </w:r>
      <w:r>
        <w:rPr>
          <w:rFonts w:ascii="微软雅黑" w:hAnsi="微软雅黑" w:eastAsia="微软雅黑" w:cs="微软雅黑"/>
          <w:color w:val="231F20"/>
          <w:spacing w:val="-21"/>
          <w:sz w:val="19"/>
          <w:szCs w:val="19"/>
        </w:rPr>
        <w:t xml:space="preserve"> </w:t>
      </w:r>
      <w:r>
        <w:rPr>
          <w:rFonts w:ascii="微软雅黑" w:hAnsi="微软雅黑" w:eastAsia="微软雅黑" w:cs="微软雅黑"/>
          <w:color w:val="231F20"/>
          <w:spacing w:val="12"/>
          <w:sz w:val="19"/>
          <w:szCs w:val="19"/>
        </w:rPr>
        <w:t>、多元评估以及信息</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共享，这就要求大学要通过发展质量文化的道德</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6"/>
          <w:sz w:val="19"/>
          <w:szCs w:val="19"/>
        </w:rPr>
        <w:t>来面对教育过程中所有参与者的选择。</w:t>
      </w:r>
      <w:r>
        <w:rPr>
          <w:rFonts w:ascii="微软雅黑" w:hAnsi="微软雅黑" w:eastAsia="微软雅黑" w:cs="微软雅黑"/>
          <w:color w:val="231F20"/>
          <w:spacing w:val="6"/>
          <w:position w:val="6"/>
          <w:sz w:val="11"/>
          <w:szCs w:val="11"/>
        </w:rPr>
        <w:t>［</w:t>
      </w:r>
      <w:r>
        <w:rPr>
          <w:rFonts w:ascii="宋体" w:hAnsi="宋体" w:eastAsia="宋体" w:cs="宋体"/>
          <w:color w:val="231F20"/>
          <w:spacing w:val="6"/>
          <w:position w:val="6"/>
          <w:sz w:val="11"/>
          <w:szCs w:val="11"/>
        </w:rPr>
        <w:t>28</w:t>
      </w:r>
      <w:r>
        <w:rPr>
          <w:rFonts w:ascii="微软雅黑" w:hAnsi="微软雅黑" w:eastAsia="微软雅黑" w:cs="微软雅黑"/>
          <w:color w:val="231F20"/>
          <w:spacing w:val="6"/>
          <w:position w:val="6"/>
          <w:sz w:val="11"/>
          <w:szCs w:val="11"/>
        </w:rPr>
        <w:t>］</w:t>
      </w:r>
      <w:r>
        <w:rPr>
          <w:rFonts w:ascii="微软雅黑" w:hAnsi="微软雅黑" w:eastAsia="微软雅黑" w:cs="微软雅黑"/>
          <w:color w:val="231F20"/>
          <w:spacing w:val="6"/>
          <w:sz w:val="19"/>
          <w:szCs w:val="19"/>
        </w:rPr>
        <w:t>世界上</w:t>
      </w:r>
      <w:r>
        <w:rPr>
          <w:rFonts w:ascii="微软雅黑" w:hAnsi="微软雅黑" w:eastAsia="微软雅黑" w:cs="微软雅黑"/>
          <w:color w:val="231F20"/>
          <w:spacing w:val="1"/>
          <w:sz w:val="19"/>
          <w:szCs w:val="19"/>
        </w:rPr>
        <w:t xml:space="preserve">  </w:t>
      </w:r>
      <w:r>
        <w:rPr>
          <w:rFonts w:ascii="微软雅黑" w:hAnsi="微软雅黑" w:eastAsia="微软雅黑" w:cs="微软雅黑"/>
          <w:color w:val="231F20"/>
          <w:spacing w:val="16"/>
          <w:sz w:val="19"/>
          <w:szCs w:val="19"/>
        </w:rPr>
        <w:t>一些发达国家对于高等教育质量保障问题研究，</w:t>
      </w:r>
      <w:r>
        <w:rPr>
          <w:rFonts w:ascii="微软雅黑" w:hAnsi="微软雅黑" w:eastAsia="微软雅黑" w:cs="微软雅黑"/>
          <w:color w:val="231F20"/>
          <w:spacing w:val="14"/>
          <w:w w:val="101"/>
          <w:sz w:val="19"/>
          <w:szCs w:val="19"/>
        </w:rPr>
        <w:t xml:space="preserve"> </w:t>
      </w:r>
      <w:r>
        <w:rPr>
          <w:rFonts w:ascii="微软雅黑" w:hAnsi="微软雅黑" w:eastAsia="微软雅黑" w:cs="微软雅黑"/>
          <w:color w:val="231F20"/>
          <w:spacing w:val="13"/>
          <w:sz w:val="19"/>
          <w:szCs w:val="19"/>
        </w:rPr>
        <w:t>已从强调外部质量保障向内部质量保障转变，从</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3"/>
          <w:sz w:val="19"/>
          <w:szCs w:val="19"/>
        </w:rPr>
        <w:t>强调资源要素投入向强调服务学生成长与发展转</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2"/>
          <w:w w:val="99"/>
          <w:sz w:val="19"/>
          <w:szCs w:val="19"/>
        </w:rPr>
        <w:t>变，并形成“以学生为中心</w:t>
      </w:r>
      <w:r>
        <w:rPr>
          <w:rFonts w:ascii="微软雅黑" w:hAnsi="微软雅黑" w:eastAsia="微软雅黑" w:cs="微软雅黑"/>
          <w:color w:val="231F20"/>
          <w:spacing w:val="-29"/>
          <w:sz w:val="19"/>
          <w:szCs w:val="19"/>
        </w:rPr>
        <w:t xml:space="preserve"> </w:t>
      </w:r>
      <w:r>
        <w:rPr>
          <w:rFonts w:ascii="微软雅黑" w:hAnsi="微软雅黑" w:eastAsia="微软雅黑" w:cs="微软雅黑"/>
          <w:color w:val="231F20"/>
          <w:spacing w:val="-12"/>
          <w:w w:val="99"/>
          <w:sz w:val="19"/>
          <w:szCs w:val="19"/>
        </w:rPr>
        <w:t>”“成果导向</w:t>
      </w:r>
      <w:r>
        <w:rPr>
          <w:rFonts w:ascii="微软雅黑" w:hAnsi="微软雅黑" w:eastAsia="微软雅黑" w:cs="微软雅黑"/>
          <w:color w:val="231F20"/>
          <w:spacing w:val="-32"/>
          <w:sz w:val="19"/>
          <w:szCs w:val="19"/>
        </w:rPr>
        <w:t xml:space="preserve"> </w:t>
      </w:r>
      <w:r>
        <w:rPr>
          <w:rFonts w:ascii="微软雅黑" w:hAnsi="微软雅黑" w:eastAsia="微软雅黑" w:cs="微软雅黑"/>
          <w:color w:val="231F20"/>
          <w:spacing w:val="-12"/>
          <w:w w:val="99"/>
          <w:sz w:val="19"/>
          <w:szCs w:val="19"/>
        </w:rPr>
        <w:t>”和“持续改</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2"/>
          <w:sz w:val="19"/>
          <w:szCs w:val="19"/>
        </w:rPr>
        <w:t>进</w:t>
      </w:r>
      <w:r>
        <w:rPr>
          <w:rFonts w:ascii="微软雅黑" w:hAnsi="微软雅黑" w:eastAsia="微软雅黑" w:cs="微软雅黑"/>
          <w:color w:val="231F20"/>
          <w:spacing w:val="-32"/>
          <w:sz w:val="19"/>
          <w:szCs w:val="19"/>
        </w:rPr>
        <w:t xml:space="preserve"> </w:t>
      </w:r>
      <w:r>
        <w:rPr>
          <w:rFonts w:ascii="微软雅黑" w:hAnsi="微软雅黑" w:eastAsia="微软雅黑" w:cs="微软雅黑"/>
          <w:color w:val="231F20"/>
          <w:spacing w:val="2"/>
          <w:sz w:val="19"/>
          <w:szCs w:val="19"/>
        </w:rPr>
        <w:t>”的三大质量保障理念</w:t>
      </w:r>
      <w:r>
        <w:rPr>
          <w:rFonts w:ascii="微软雅黑" w:hAnsi="微软雅黑" w:eastAsia="微软雅黑" w:cs="微软雅黑"/>
          <w:color w:val="231F20"/>
          <w:spacing w:val="-25"/>
          <w:sz w:val="19"/>
          <w:szCs w:val="19"/>
        </w:rPr>
        <w:t xml:space="preserve"> </w:t>
      </w:r>
      <w:r>
        <w:rPr>
          <w:rFonts w:ascii="微软雅黑" w:hAnsi="微软雅黑" w:eastAsia="微软雅黑" w:cs="微软雅黑"/>
          <w:color w:val="231F20"/>
          <w:spacing w:val="2"/>
          <w:sz w:val="19"/>
          <w:szCs w:val="19"/>
        </w:rPr>
        <w:t>。在我国“全面推进</w:t>
      </w:r>
      <w:r>
        <w:rPr>
          <w:rFonts w:ascii="微软雅黑" w:hAnsi="微软雅黑" w:eastAsia="微软雅黑" w:cs="微软雅黑"/>
          <w:color w:val="231F20"/>
          <w:spacing w:val="1"/>
          <w:sz w:val="19"/>
          <w:szCs w:val="19"/>
        </w:rPr>
        <w:t>教育</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3"/>
          <w:sz w:val="19"/>
          <w:szCs w:val="19"/>
        </w:rPr>
        <w:t>治理体系和治理能力现代化</w:t>
      </w:r>
      <w:r>
        <w:rPr>
          <w:rFonts w:ascii="微软雅黑" w:hAnsi="微软雅黑" w:eastAsia="微软雅黑" w:cs="微软雅黑"/>
          <w:color w:val="231F20"/>
          <w:spacing w:val="-25"/>
          <w:sz w:val="19"/>
          <w:szCs w:val="19"/>
        </w:rPr>
        <w:t xml:space="preserve"> </w:t>
      </w:r>
      <w:r>
        <w:rPr>
          <w:rFonts w:ascii="微软雅黑" w:hAnsi="微软雅黑" w:eastAsia="微软雅黑" w:cs="微软雅黑"/>
          <w:color w:val="231F20"/>
          <w:spacing w:val="3"/>
          <w:sz w:val="19"/>
          <w:szCs w:val="19"/>
        </w:rPr>
        <w:t>”的号角声中，加强高</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2"/>
          <w:sz w:val="19"/>
          <w:szCs w:val="19"/>
        </w:rPr>
        <w:t>校内部质量保障和质量文化建设</w:t>
      </w:r>
      <w:r>
        <w:rPr>
          <w:rFonts w:ascii="微软雅黑" w:hAnsi="微软雅黑" w:eastAsia="微软雅黑" w:cs="微软雅黑"/>
          <w:color w:val="231F20"/>
          <w:spacing w:val="-21"/>
          <w:sz w:val="19"/>
          <w:szCs w:val="19"/>
        </w:rPr>
        <w:t xml:space="preserve"> </w:t>
      </w:r>
      <w:r>
        <w:rPr>
          <w:rFonts w:ascii="微软雅黑" w:hAnsi="微软雅黑" w:eastAsia="微软雅黑" w:cs="微软雅黑"/>
          <w:color w:val="231F20"/>
          <w:spacing w:val="12"/>
          <w:sz w:val="19"/>
          <w:szCs w:val="19"/>
        </w:rPr>
        <w:t>、全面提高人才</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8"/>
          <w:sz w:val="19"/>
          <w:szCs w:val="19"/>
        </w:rPr>
        <w:t>培养能力已成当务之急。</w:t>
      </w:r>
    </w:p>
    <w:p>
      <w:pPr>
        <w:spacing w:before="205" w:line="266" w:lineRule="exact"/>
        <w:ind w:left="412"/>
        <w:rPr>
          <w:rFonts w:ascii="黑体" w:hAnsi="黑体" w:eastAsia="黑体" w:cs="黑体"/>
          <w:sz w:val="20"/>
          <w:szCs w:val="20"/>
        </w:rPr>
      </w:pPr>
      <w:r>
        <w:rPr>
          <w:rFonts w:ascii="黑体" w:hAnsi="黑体" w:eastAsia="黑体" w:cs="黑体"/>
          <w:color w:val="231F20"/>
          <w:spacing w:val="-8"/>
          <w:position w:val="1"/>
          <w:sz w:val="20"/>
          <w:szCs w:val="20"/>
        </w:rPr>
        <w:t>三、高等教育质量文化研究的趋势</w:t>
      </w:r>
    </w:p>
    <w:p>
      <w:pPr>
        <w:spacing w:before="223" w:line="231" w:lineRule="auto"/>
        <w:ind w:right="5" w:firstLine="403"/>
        <w:jc w:val="both"/>
        <w:rPr>
          <w:rFonts w:ascii="微软雅黑" w:hAnsi="微软雅黑" w:eastAsia="微软雅黑" w:cs="微软雅黑"/>
          <w:sz w:val="19"/>
          <w:szCs w:val="19"/>
        </w:rPr>
      </w:pPr>
      <w:r>
        <w:rPr>
          <w:rFonts w:ascii="微软雅黑" w:hAnsi="微软雅黑" w:eastAsia="微软雅黑" w:cs="微软雅黑"/>
          <w:color w:val="231F20"/>
          <w:spacing w:val="12"/>
          <w:sz w:val="19"/>
          <w:szCs w:val="19"/>
        </w:rPr>
        <w:t>质量文化的培育和建设将是一个长期的</w:t>
      </w:r>
      <w:r>
        <w:rPr>
          <w:rFonts w:ascii="微软雅黑" w:hAnsi="微软雅黑" w:eastAsia="微软雅黑" w:cs="微软雅黑"/>
          <w:color w:val="231F20"/>
          <w:spacing w:val="-21"/>
          <w:sz w:val="19"/>
          <w:szCs w:val="19"/>
        </w:rPr>
        <w:t xml:space="preserve"> </w:t>
      </w:r>
      <w:r>
        <w:rPr>
          <w:rFonts w:ascii="微软雅黑" w:hAnsi="微软雅黑" w:eastAsia="微软雅黑" w:cs="微软雅黑"/>
          <w:color w:val="231F20"/>
          <w:spacing w:val="12"/>
          <w:sz w:val="19"/>
          <w:szCs w:val="19"/>
        </w:rPr>
        <w:t>、艰</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3"/>
          <w:sz w:val="19"/>
          <w:szCs w:val="19"/>
        </w:rPr>
        <w:t xml:space="preserve">难的过程，不仅需要从高校自身出发进行研究，还  要从社会、文化、法律、社会心理等多个角度去探  </w:t>
      </w:r>
      <w:r>
        <w:rPr>
          <w:rFonts w:ascii="微软雅黑" w:hAnsi="微软雅黑" w:eastAsia="微软雅黑" w:cs="微软雅黑"/>
          <w:color w:val="231F20"/>
          <w:spacing w:val="12"/>
          <w:sz w:val="19"/>
          <w:szCs w:val="19"/>
        </w:rPr>
        <w:t>索</w:t>
      </w:r>
      <w:r>
        <w:rPr>
          <w:rFonts w:ascii="微软雅黑" w:hAnsi="微软雅黑" w:eastAsia="微软雅黑" w:cs="微软雅黑"/>
          <w:color w:val="231F20"/>
          <w:spacing w:val="-21"/>
          <w:sz w:val="19"/>
          <w:szCs w:val="19"/>
        </w:rPr>
        <w:t xml:space="preserve"> </w:t>
      </w:r>
      <w:r>
        <w:rPr>
          <w:rFonts w:ascii="微软雅黑" w:hAnsi="微软雅黑" w:eastAsia="微软雅黑" w:cs="微软雅黑"/>
          <w:color w:val="231F20"/>
          <w:spacing w:val="12"/>
          <w:sz w:val="19"/>
          <w:szCs w:val="19"/>
        </w:rPr>
        <w:t>。高校质量文化建设既无捷径可走，也没有现</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2"/>
          <w:sz w:val="19"/>
          <w:szCs w:val="19"/>
        </w:rPr>
        <w:t>成的可以照搬照用的蓝本</w:t>
      </w:r>
      <w:r>
        <w:rPr>
          <w:rFonts w:ascii="微软雅黑" w:hAnsi="微软雅黑" w:eastAsia="微软雅黑" w:cs="微软雅黑"/>
          <w:color w:val="231F20"/>
          <w:spacing w:val="12"/>
          <w:position w:val="6"/>
          <w:sz w:val="11"/>
          <w:szCs w:val="11"/>
        </w:rPr>
        <w:t>［</w:t>
      </w:r>
      <w:r>
        <w:rPr>
          <w:rFonts w:ascii="宋体" w:hAnsi="宋体" w:eastAsia="宋体" w:cs="宋体"/>
          <w:color w:val="231F20"/>
          <w:spacing w:val="12"/>
          <w:position w:val="6"/>
          <w:sz w:val="11"/>
          <w:szCs w:val="11"/>
        </w:rPr>
        <w:t>29</w:t>
      </w:r>
      <w:r>
        <w:rPr>
          <w:rFonts w:ascii="微软雅黑" w:hAnsi="微软雅黑" w:eastAsia="微软雅黑" w:cs="微软雅黑"/>
          <w:color w:val="231F20"/>
          <w:spacing w:val="-6"/>
          <w:position w:val="6"/>
          <w:sz w:val="11"/>
          <w:szCs w:val="11"/>
        </w:rPr>
        <w:t>］</w:t>
      </w:r>
      <w:r>
        <w:rPr>
          <w:rFonts w:ascii="微软雅黑" w:hAnsi="微软雅黑" w:eastAsia="微软雅黑" w:cs="微软雅黑"/>
          <w:color w:val="231F20"/>
          <w:spacing w:val="-34"/>
          <w:w w:val="60"/>
          <w:sz w:val="19"/>
          <w:szCs w:val="19"/>
        </w:rPr>
        <w:t>，</w:t>
      </w:r>
      <w:r>
        <w:rPr>
          <w:rFonts w:ascii="微软雅黑" w:hAnsi="微软雅黑" w:eastAsia="微软雅黑" w:cs="微软雅黑"/>
          <w:color w:val="231F20"/>
          <w:spacing w:val="12"/>
          <w:sz w:val="19"/>
          <w:szCs w:val="19"/>
        </w:rPr>
        <w:t>每一所高校都是在</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6"/>
          <w:sz w:val="19"/>
          <w:szCs w:val="19"/>
        </w:rPr>
        <w:t>摸着石头过河，边探索、边发现、边建设</w:t>
      </w:r>
      <w:r>
        <w:rPr>
          <w:rFonts w:ascii="微软雅黑" w:hAnsi="微软雅黑" w:eastAsia="微软雅黑" w:cs="微软雅黑"/>
          <w:color w:val="231F20"/>
          <w:spacing w:val="-14"/>
          <w:sz w:val="19"/>
          <w:szCs w:val="19"/>
        </w:rPr>
        <w:t xml:space="preserve"> </w:t>
      </w:r>
      <w:r>
        <w:rPr>
          <w:rFonts w:ascii="微软雅黑" w:hAnsi="微软雅黑" w:eastAsia="微软雅黑" w:cs="微软雅黑"/>
          <w:color w:val="231F20"/>
          <w:spacing w:val="-6"/>
          <w:sz w:val="19"/>
          <w:szCs w:val="19"/>
        </w:rPr>
        <w:t xml:space="preserve">。所以，未  </w:t>
      </w:r>
      <w:r>
        <w:rPr>
          <w:rFonts w:ascii="微软雅黑" w:hAnsi="微软雅黑" w:eastAsia="微软雅黑" w:cs="微软雅黑"/>
          <w:color w:val="231F20"/>
          <w:spacing w:val="13"/>
          <w:sz w:val="19"/>
          <w:szCs w:val="19"/>
        </w:rPr>
        <w:t>来的高等教育质量文化研究，已不单单是对东西</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23"/>
          <w:sz w:val="19"/>
          <w:szCs w:val="19"/>
        </w:rPr>
        <w:t>方高等教育质量文化进行的感性比较或浅显批</w:t>
      </w:r>
      <w:r>
        <w:rPr>
          <w:rFonts w:ascii="微软雅黑" w:hAnsi="微软雅黑" w:eastAsia="微软雅黑" w:cs="微软雅黑"/>
          <w:color w:val="231F20"/>
          <w:spacing w:val="8"/>
          <w:sz w:val="19"/>
          <w:szCs w:val="19"/>
        </w:rPr>
        <w:t xml:space="preserve">  判，而是要从我国新发展阶段高等教育的新理念、</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3"/>
          <w:sz w:val="19"/>
          <w:szCs w:val="19"/>
        </w:rPr>
        <w:t xml:space="preserve">新征程、新格局出发，去探讨如何推动高等教育高  质量发展，提升高等教育服务国家战略、服务区域  </w:t>
      </w:r>
      <w:r>
        <w:rPr>
          <w:rFonts w:ascii="微软雅黑" w:hAnsi="微软雅黑" w:eastAsia="微软雅黑" w:cs="微软雅黑"/>
          <w:color w:val="231F20"/>
          <w:spacing w:val="8"/>
          <w:sz w:val="19"/>
          <w:szCs w:val="19"/>
        </w:rPr>
        <w:t>经济社会发展的能力的研究。</w:t>
      </w:r>
    </w:p>
    <w:p>
      <w:pPr>
        <w:spacing w:before="39" w:line="226" w:lineRule="auto"/>
        <w:ind w:left="2" w:right="83" w:firstLine="397"/>
        <w:jc w:val="both"/>
        <w:rPr>
          <w:rFonts w:ascii="微软雅黑" w:hAnsi="微软雅黑" w:eastAsia="微软雅黑" w:cs="微软雅黑"/>
          <w:sz w:val="19"/>
          <w:szCs w:val="19"/>
        </w:rPr>
      </w:pPr>
      <w:r>
        <w:rPr>
          <w:rFonts w:ascii="微软雅黑" w:hAnsi="微软雅黑" w:eastAsia="微软雅黑" w:cs="微软雅黑"/>
          <w:color w:val="231F20"/>
          <w:spacing w:val="14"/>
          <w:sz w:val="19"/>
          <w:szCs w:val="19"/>
        </w:rPr>
        <w:t>第一，新时代的高等教育质量文化研究将是</w:t>
      </w:r>
      <w:r>
        <w:rPr>
          <w:rFonts w:ascii="微软雅黑" w:hAnsi="微软雅黑" w:eastAsia="微软雅黑" w:cs="微软雅黑"/>
          <w:color w:val="231F20"/>
          <w:spacing w:val="1"/>
          <w:sz w:val="19"/>
          <w:szCs w:val="19"/>
        </w:rPr>
        <w:t xml:space="preserve"> </w:t>
      </w:r>
      <w:r>
        <w:rPr>
          <w:rFonts w:ascii="微软雅黑" w:hAnsi="微软雅黑" w:eastAsia="微软雅黑" w:cs="微软雅黑"/>
          <w:color w:val="231F20"/>
          <w:spacing w:val="4"/>
          <w:sz w:val="19"/>
          <w:szCs w:val="19"/>
        </w:rPr>
        <w:t>聚焦高质量，凸显独特性，更加彰显中国特色高等</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11"/>
          <w:sz w:val="19"/>
          <w:szCs w:val="19"/>
        </w:rPr>
        <w:t>教育质量文化的研究</w:t>
      </w:r>
      <w:r>
        <w:rPr>
          <w:rFonts w:ascii="微软雅黑" w:hAnsi="微软雅黑" w:eastAsia="微软雅黑" w:cs="微软雅黑"/>
          <w:color w:val="231F20"/>
          <w:spacing w:val="-3"/>
          <w:sz w:val="19"/>
          <w:szCs w:val="19"/>
        </w:rPr>
        <w:t xml:space="preserve"> </w:t>
      </w:r>
      <w:r>
        <w:rPr>
          <w:rFonts w:ascii="微软雅黑" w:hAnsi="微软雅黑" w:eastAsia="微软雅黑" w:cs="微软雅黑"/>
          <w:color w:val="231F20"/>
          <w:spacing w:val="11"/>
          <w:sz w:val="19"/>
          <w:szCs w:val="19"/>
        </w:rPr>
        <w:t>。新时代背景下，我国高等</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教育质量文化研究要以立德树人为根本，牢记为</w:t>
      </w:r>
    </w:p>
    <w:p>
      <w:pPr>
        <w:spacing w:before="310" w:line="152" w:lineRule="exact"/>
        <w:ind w:left="3452"/>
        <w:rPr>
          <w:rFonts w:ascii="微软雅黑" w:hAnsi="微软雅黑" w:eastAsia="微软雅黑" w:cs="微软雅黑"/>
          <w:sz w:val="20"/>
          <w:szCs w:val="20"/>
        </w:rPr>
      </w:pPr>
      <w:r>
        <w:rPr>
          <w:rFonts w:ascii="微软雅黑" w:hAnsi="微软雅黑" w:eastAsia="微软雅黑" w:cs="微软雅黑"/>
          <w:color w:val="231F20"/>
          <w:spacing w:val="1"/>
          <w:position w:val="-3"/>
          <w:sz w:val="20"/>
          <w:szCs w:val="20"/>
        </w:rPr>
        <w:t>-   29</w:t>
      </w:r>
      <w:r>
        <w:rPr>
          <w:rFonts w:ascii="微软雅黑" w:hAnsi="微软雅黑" w:eastAsia="微软雅黑" w:cs="微软雅黑"/>
          <w:color w:val="231F20"/>
          <w:spacing w:val="29"/>
          <w:w w:val="101"/>
          <w:position w:val="-3"/>
          <w:sz w:val="20"/>
          <w:szCs w:val="20"/>
        </w:rPr>
        <w:t xml:space="preserve">  </w:t>
      </w:r>
      <w:r>
        <w:rPr>
          <w:rFonts w:ascii="微软雅黑" w:hAnsi="微软雅黑" w:eastAsia="微软雅黑" w:cs="微软雅黑"/>
          <w:color w:val="231F20"/>
          <w:spacing w:val="1"/>
          <w:position w:val="-3"/>
          <w:sz w:val="20"/>
          <w:szCs w:val="20"/>
        </w:rPr>
        <w:t>-</w:t>
      </w:r>
    </w:p>
    <w:p>
      <w:pPr>
        <w:spacing w:line="152" w:lineRule="exact"/>
        <w:rPr>
          <w:rFonts w:ascii="微软雅黑" w:hAnsi="微软雅黑" w:eastAsia="微软雅黑" w:cs="微软雅黑"/>
          <w:sz w:val="20"/>
          <w:szCs w:val="20"/>
        </w:rPr>
        <w:sectPr>
          <w:type w:val="continuous"/>
          <w:pgSz w:w="11906" w:h="16158"/>
          <w:pgMar w:top="1489" w:right="1392" w:bottom="547" w:left="407" w:header="1198" w:footer="354" w:gutter="0"/>
          <w:cols w:equalWidth="0" w:num="2">
            <w:col w:w="5643" w:space="100"/>
            <w:col w:w="4363"/>
          </w:cols>
        </w:sectPr>
      </w:pPr>
    </w:p>
    <w:p>
      <w:pPr>
        <w:spacing w:line="106" w:lineRule="exact"/>
      </w:pPr>
    </w:p>
    <w:p>
      <w:pPr>
        <w:spacing w:line="106" w:lineRule="exact"/>
        <w:sectPr>
          <w:headerReference r:id="rId38" w:type="default"/>
          <w:footerReference r:id="rId39" w:type="default"/>
          <w:pgSz w:w="11906" w:h="16158"/>
          <w:pgMar w:top="1489" w:right="1408" w:bottom="547" w:left="407" w:header="1198" w:footer="354" w:gutter="0"/>
          <w:cols w:equalWidth="0" w:num="1">
            <w:col w:w="10090"/>
          </w:cols>
        </w:sectPr>
      </w:pPr>
    </w:p>
    <w:p>
      <w:pPr>
        <w:spacing w:before="46" w:line="229" w:lineRule="auto"/>
        <w:ind w:left="1072" w:right="140"/>
        <w:jc w:val="both"/>
        <w:rPr>
          <w:rFonts w:ascii="微软雅黑" w:hAnsi="微软雅黑" w:eastAsia="微软雅黑" w:cs="微软雅黑"/>
          <w:sz w:val="19"/>
          <w:szCs w:val="19"/>
        </w:rPr>
      </w:pPr>
      <w:r>
        <w:rPr>
          <w:rFonts w:ascii="微软雅黑" w:hAnsi="微软雅黑" w:eastAsia="微软雅黑" w:cs="微软雅黑"/>
          <w:color w:val="231F20"/>
          <w:spacing w:val="7"/>
          <w:sz w:val="19"/>
          <w:szCs w:val="19"/>
        </w:rPr>
        <w:t>党育人、为国育才使命，坚持服务与引导相结合、</w:t>
      </w:r>
      <w:r>
        <w:rPr>
          <w:rFonts w:ascii="微软雅黑" w:hAnsi="微软雅黑" w:eastAsia="微软雅黑" w:cs="微软雅黑"/>
          <w:color w:val="231F20"/>
          <w:spacing w:val="18"/>
          <w:sz w:val="19"/>
          <w:szCs w:val="19"/>
        </w:rPr>
        <w:t xml:space="preserve"> </w:t>
      </w:r>
      <w:r>
        <w:rPr>
          <w:rFonts w:ascii="微软雅黑" w:hAnsi="微软雅黑" w:eastAsia="微软雅黑" w:cs="微软雅黑"/>
          <w:color w:val="231F20"/>
          <w:spacing w:val="3"/>
          <w:sz w:val="19"/>
          <w:szCs w:val="19"/>
        </w:rPr>
        <w:t xml:space="preserve">理论与实践相统一、继承与创新相协调，不断夯实  质量文化研究队伍，厚植文化建设根本力量；完善  </w:t>
      </w:r>
      <w:r>
        <w:rPr>
          <w:rFonts w:ascii="微软雅黑" w:hAnsi="微软雅黑" w:eastAsia="微软雅黑" w:cs="微软雅黑"/>
          <w:color w:val="231F20"/>
          <w:spacing w:val="7"/>
          <w:sz w:val="19"/>
          <w:szCs w:val="19"/>
        </w:rPr>
        <w:t>质量文化建设制度，构建质量文化发展长效机制；</w:t>
      </w:r>
      <w:r>
        <w:rPr>
          <w:rFonts w:ascii="微软雅黑" w:hAnsi="微软雅黑" w:eastAsia="微软雅黑" w:cs="微软雅黑"/>
          <w:color w:val="231F20"/>
          <w:spacing w:val="17"/>
          <w:w w:val="101"/>
          <w:sz w:val="19"/>
          <w:szCs w:val="19"/>
        </w:rPr>
        <w:t xml:space="preserve"> </w:t>
      </w:r>
      <w:r>
        <w:rPr>
          <w:rFonts w:ascii="微软雅黑" w:hAnsi="微软雅黑" w:eastAsia="微软雅黑" w:cs="微软雅黑"/>
          <w:color w:val="231F20"/>
          <w:spacing w:val="13"/>
          <w:sz w:val="19"/>
          <w:szCs w:val="19"/>
        </w:rPr>
        <w:t>汇聚高校内外多元力量，整合质量文化建设优质</w:t>
      </w:r>
      <w:r>
        <w:rPr>
          <w:rFonts w:ascii="微软雅黑" w:hAnsi="微软雅黑" w:eastAsia="微软雅黑" w:cs="微软雅黑"/>
          <w:color w:val="231F20"/>
          <w:spacing w:val="5"/>
          <w:sz w:val="19"/>
          <w:szCs w:val="19"/>
        </w:rPr>
        <w:t xml:space="preserve">  </w:t>
      </w:r>
      <w:r>
        <w:rPr>
          <w:rFonts w:ascii="微软雅黑" w:hAnsi="微软雅黑" w:eastAsia="微软雅黑" w:cs="微软雅黑"/>
          <w:color w:val="231F20"/>
          <w:spacing w:val="3"/>
          <w:sz w:val="19"/>
          <w:szCs w:val="19"/>
        </w:rPr>
        <w:t xml:space="preserve">资源；推动理论研究转型升级，凸显质量文化的中  </w:t>
      </w:r>
      <w:r>
        <w:rPr>
          <w:rFonts w:ascii="微软雅黑" w:hAnsi="微软雅黑" w:eastAsia="微软雅黑" w:cs="微软雅黑"/>
          <w:color w:val="231F20"/>
          <w:spacing w:val="5"/>
          <w:sz w:val="19"/>
          <w:szCs w:val="19"/>
        </w:rPr>
        <w:t>国特色。</w:t>
      </w:r>
    </w:p>
    <w:p>
      <w:pPr>
        <w:spacing w:before="40" w:line="231" w:lineRule="auto"/>
        <w:ind w:left="1070" w:right="140" w:firstLine="400"/>
        <w:jc w:val="both"/>
        <w:rPr>
          <w:rFonts w:ascii="微软雅黑" w:hAnsi="微软雅黑" w:eastAsia="微软雅黑" w:cs="微软雅黑"/>
          <w:sz w:val="19"/>
          <w:szCs w:val="19"/>
        </w:rPr>
      </w:pPr>
      <w:r>
        <w:rPr>
          <w:rFonts w:ascii="微软雅黑" w:hAnsi="微软雅黑" w:eastAsia="微软雅黑" w:cs="微软雅黑"/>
          <w:color w:val="231F20"/>
          <w:spacing w:val="14"/>
          <w:sz w:val="19"/>
          <w:szCs w:val="19"/>
        </w:rPr>
        <w:t>第二，新时代的高等教育质量文化研究将是</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3"/>
          <w:sz w:val="19"/>
          <w:szCs w:val="19"/>
        </w:rPr>
        <w:t xml:space="preserve">加强服务能力建设，提升社会贡献度，构建具有校  </w:t>
      </w:r>
      <w:r>
        <w:rPr>
          <w:rFonts w:ascii="微软雅黑" w:hAnsi="微软雅黑" w:eastAsia="微软雅黑" w:cs="微软雅黑"/>
          <w:color w:val="231F20"/>
          <w:spacing w:val="11"/>
          <w:sz w:val="19"/>
          <w:szCs w:val="19"/>
        </w:rPr>
        <w:t>本特色的质量文化研究</w:t>
      </w:r>
      <w:r>
        <w:rPr>
          <w:rFonts w:ascii="微软雅黑" w:hAnsi="微软雅黑" w:eastAsia="微软雅黑" w:cs="微软雅黑"/>
          <w:color w:val="231F20"/>
          <w:spacing w:val="-12"/>
          <w:sz w:val="19"/>
          <w:szCs w:val="19"/>
        </w:rPr>
        <w:t xml:space="preserve"> </w:t>
      </w:r>
      <w:r>
        <w:rPr>
          <w:rFonts w:ascii="微软雅黑" w:hAnsi="微软雅黑" w:eastAsia="微软雅黑" w:cs="微软雅黑"/>
          <w:color w:val="231F20"/>
          <w:spacing w:val="11"/>
          <w:sz w:val="19"/>
          <w:szCs w:val="19"/>
        </w:rPr>
        <w:t>。道格拉斯（</w:t>
      </w:r>
      <w:r>
        <w:rPr>
          <w:rFonts w:ascii="Times New Roman" w:hAnsi="Times New Roman" w:eastAsia="Times New Roman" w:cs="Times New Roman"/>
          <w:color w:val="231F20"/>
          <w:sz w:val="19"/>
          <w:szCs w:val="19"/>
        </w:rPr>
        <w:t>John</w:t>
      </w:r>
      <w:r>
        <w:rPr>
          <w:rFonts w:ascii="Times New Roman" w:hAnsi="Times New Roman" w:eastAsia="Times New Roman" w:cs="Times New Roman"/>
          <w:color w:val="231F20"/>
          <w:spacing w:val="21"/>
          <w:sz w:val="19"/>
          <w:szCs w:val="19"/>
        </w:rPr>
        <w:t xml:space="preserve"> </w:t>
      </w:r>
      <w:r>
        <w:rPr>
          <w:rFonts w:ascii="Times New Roman" w:hAnsi="Times New Roman" w:eastAsia="Times New Roman" w:cs="Times New Roman"/>
          <w:color w:val="231F20"/>
          <w:sz w:val="19"/>
          <w:szCs w:val="19"/>
        </w:rPr>
        <w:t>Aubrey</w:t>
      </w:r>
      <w:r>
        <w:rPr>
          <w:rFonts w:ascii="Times New Roman" w:hAnsi="Times New Roman" w:eastAsia="Times New Roman" w:cs="Times New Roman"/>
          <w:color w:val="231F20"/>
          <w:spacing w:val="11"/>
          <w:sz w:val="19"/>
          <w:szCs w:val="19"/>
        </w:rPr>
        <w:t xml:space="preserve">  </w:t>
      </w:r>
      <w:r>
        <w:rPr>
          <w:rFonts w:ascii="Times New Roman" w:hAnsi="Times New Roman" w:eastAsia="Times New Roman" w:cs="Times New Roman"/>
          <w:color w:val="231F20"/>
          <w:sz w:val="19"/>
          <w:szCs w:val="19"/>
        </w:rPr>
        <w:t>Douglass</w:t>
      </w:r>
      <w:r>
        <w:rPr>
          <w:rFonts w:ascii="微软雅黑" w:hAnsi="微软雅黑" w:eastAsia="微软雅黑" w:cs="微软雅黑"/>
          <w:color w:val="231F20"/>
          <w:spacing w:val="-18"/>
          <w:w w:val="53"/>
          <w:sz w:val="19"/>
          <w:szCs w:val="19"/>
        </w:rPr>
        <w:t>）</w:t>
      </w:r>
      <w:r>
        <w:rPr>
          <w:rFonts w:ascii="微软雅黑" w:hAnsi="微软雅黑" w:eastAsia="微软雅黑" w:cs="微软雅黑"/>
          <w:color w:val="231F20"/>
          <w:spacing w:val="-17"/>
          <w:w w:val="74"/>
          <w:position w:val="6"/>
          <w:sz w:val="11"/>
          <w:szCs w:val="11"/>
        </w:rPr>
        <w:t>［</w:t>
      </w:r>
      <w:r>
        <w:rPr>
          <w:rFonts w:ascii="Times New Roman" w:hAnsi="Times New Roman" w:eastAsia="Times New Roman" w:cs="Times New Roman"/>
          <w:color w:val="231F20"/>
          <w:spacing w:val="7"/>
          <w:position w:val="6"/>
          <w:sz w:val="11"/>
          <w:szCs w:val="11"/>
        </w:rPr>
        <w:t>30</w:t>
      </w:r>
      <w:r>
        <w:rPr>
          <w:rFonts w:ascii="微软雅黑" w:hAnsi="微软雅黑" w:eastAsia="微软雅黑" w:cs="微软雅黑"/>
          <w:color w:val="231F20"/>
          <w:spacing w:val="7"/>
          <w:position w:val="6"/>
          <w:sz w:val="11"/>
          <w:szCs w:val="11"/>
        </w:rPr>
        <w:t>］</w:t>
      </w:r>
      <w:r>
        <w:rPr>
          <w:rFonts w:ascii="微软雅黑" w:hAnsi="微软雅黑" w:eastAsia="微软雅黑" w:cs="微软雅黑"/>
          <w:color w:val="231F20"/>
          <w:spacing w:val="7"/>
          <w:sz w:val="19"/>
          <w:szCs w:val="19"/>
        </w:rPr>
        <w:t xml:space="preserve">认为，院校质量保障中最重要的部分  </w:t>
      </w:r>
      <w:r>
        <w:rPr>
          <w:rFonts w:ascii="微软雅黑" w:hAnsi="微软雅黑" w:eastAsia="微软雅黑" w:cs="微软雅黑"/>
          <w:color w:val="231F20"/>
          <w:spacing w:val="12"/>
          <w:sz w:val="19"/>
          <w:szCs w:val="19"/>
        </w:rPr>
        <w:t>就是内部质量保障及其质量文化</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2"/>
          <w:sz w:val="19"/>
          <w:szCs w:val="19"/>
        </w:rPr>
        <w:t>。我国高等教育</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8"/>
          <w:sz w:val="19"/>
          <w:szCs w:val="19"/>
        </w:rPr>
        <w:t>质量文化是一个完整的概念，不仅需要世界眼</w:t>
      </w:r>
      <w:r>
        <w:rPr>
          <w:rFonts w:ascii="微软雅黑" w:hAnsi="微软雅黑" w:eastAsia="微软雅黑" w:cs="微软雅黑"/>
          <w:color w:val="231F20"/>
          <w:spacing w:val="7"/>
          <w:sz w:val="19"/>
          <w:szCs w:val="19"/>
        </w:rPr>
        <w:t>光、</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2"/>
          <w:sz w:val="19"/>
          <w:szCs w:val="19"/>
        </w:rPr>
        <w:t>民族情怀，还需要对学校自身进行考量</w:t>
      </w:r>
      <w:r>
        <w:rPr>
          <w:rFonts w:ascii="微软雅黑" w:hAnsi="微软雅黑" w:eastAsia="微软雅黑" w:cs="微软雅黑"/>
          <w:color w:val="231F20"/>
          <w:spacing w:val="-20"/>
          <w:sz w:val="19"/>
          <w:szCs w:val="19"/>
        </w:rPr>
        <w:t xml:space="preserve"> </w:t>
      </w:r>
      <w:r>
        <w:rPr>
          <w:rFonts w:ascii="微软雅黑" w:hAnsi="微软雅黑" w:eastAsia="微软雅黑" w:cs="微软雅黑"/>
          <w:color w:val="231F20"/>
          <w:spacing w:val="12"/>
          <w:sz w:val="19"/>
          <w:szCs w:val="19"/>
        </w:rPr>
        <w:t>。要</w:t>
      </w:r>
      <w:r>
        <w:rPr>
          <w:rFonts w:ascii="微软雅黑" w:hAnsi="微软雅黑" w:eastAsia="微软雅黑" w:cs="微软雅黑"/>
          <w:color w:val="231F20"/>
          <w:spacing w:val="11"/>
          <w:sz w:val="19"/>
          <w:szCs w:val="19"/>
        </w:rPr>
        <w:t>构建</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2"/>
          <w:sz w:val="19"/>
          <w:szCs w:val="19"/>
        </w:rPr>
        <w:t>起既适应新发展格局</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2"/>
          <w:sz w:val="19"/>
          <w:szCs w:val="19"/>
        </w:rPr>
        <w:t>、又具有高校自身特点的人</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才培养体系；要提升适应新发展格局需要的创新</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3"/>
          <w:sz w:val="19"/>
          <w:szCs w:val="19"/>
        </w:rPr>
        <w:t>服务能力，又要具有高校自身特点的教育评价机</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0"/>
          <w:sz w:val="19"/>
          <w:szCs w:val="19"/>
        </w:rPr>
        <w:t>制</w:t>
      </w:r>
      <w:r>
        <w:rPr>
          <w:rFonts w:ascii="微软雅黑" w:hAnsi="微软雅黑" w:eastAsia="微软雅黑" w:cs="微软雅黑"/>
          <w:color w:val="231F20"/>
          <w:spacing w:val="-16"/>
          <w:sz w:val="19"/>
          <w:szCs w:val="19"/>
        </w:rPr>
        <w:t xml:space="preserve"> </w:t>
      </w:r>
      <w:r>
        <w:rPr>
          <w:rFonts w:ascii="微软雅黑" w:hAnsi="微软雅黑" w:eastAsia="微软雅黑" w:cs="微软雅黑"/>
          <w:color w:val="231F20"/>
          <w:spacing w:val="10"/>
          <w:sz w:val="19"/>
          <w:szCs w:val="19"/>
        </w:rPr>
        <w:t>、内部治理结构</w:t>
      </w:r>
      <w:r>
        <w:rPr>
          <w:rFonts w:ascii="微软雅黑" w:hAnsi="微软雅黑" w:eastAsia="微软雅黑" w:cs="微软雅黑"/>
          <w:color w:val="231F20"/>
          <w:spacing w:val="-20"/>
          <w:sz w:val="19"/>
          <w:szCs w:val="19"/>
        </w:rPr>
        <w:t xml:space="preserve"> </w:t>
      </w:r>
      <w:r>
        <w:rPr>
          <w:rFonts w:ascii="微软雅黑" w:hAnsi="微软雅黑" w:eastAsia="微软雅黑" w:cs="微软雅黑"/>
          <w:color w:val="231F20"/>
          <w:spacing w:val="10"/>
          <w:sz w:val="19"/>
          <w:szCs w:val="19"/>
        </w:rPr>
        <w:t>。要在高校质量保障模式与质</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2"/>
          <w:sz w:val="19"/>
          <w:szCs w:val="19"/>
        </w:rPr>
        <w:t>量保障体系构建</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2"/>
          <w:sz w:val="19"/>
          <w:szCs w:val="19"/>
        </w:rPr>
        <w:t>、质量保障方法与质量保障策略</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3"/>
          <w:sz w:val="19"/>
          <w:szCs w:val="19"/>
        </w:rPr>
        <w:t xml:space="preserve">探索、质量标准与质量管理规范制定、质量管理组  </w:t>
      </w:r>
      <w:r>
        <w:rPr>
          <w:rFonts w:ascii="微软雅黑" w:hAnsi="微软雅黑" w:eastAsia="微软雅黑" w:cs="微软雅黑"/>
          <w:color w:val="231F20"/>
          <w:spacing w:val="13"/>
          <w:sz w:val="19"/>
          <w:szCs w:val="19"/>
        </w:rPr>
        <w:t>织架构与质量管理队伍建设方面体现高校质量文</w:t>
      </w:r>
      <w:r>
        <w:rPr>
          <w:rFonts w:ascii="微软雅黑" w:hAnsi="微软雅黑" w:eastAsia="微软雅黑" w:cs="微软雅黑"/>
          <w:color w:val="231F20"/>
          <w:spacing w:val="7"/>
          <w:sz w:val="19"/>
          <w:szCs w:val="19"/>
        </w:rPr>
        <w:t xml:space="preserve">  化的校本特色。</w:t>
      </w:r>
    </w:p>
    <w:p>
      <w:pPr>
        <w:spacing w:before="23" w:line="231" w:lineRule="auto"/>
        <w:ind w:left="1069" w:right="140" w:firstLine="400"/>
        <w:jc w:val="both"/>
        <w:rPr>
          <w:rFonts w:ascii="微软雅黑" w:hAnsi="微软雅黑" w:eastAsia="微软雅黑" w:cs="微软雅黑"/>
          <w:sz w:val="19"/>
          <w:szCs w:val="19"/>
        </w:rPr>
      </w:pPr>
      <w:r>
        <w:rPr>
          <w:rFonts w:ascii="微软雅黑" w:hAnsi="微软雅黑" w:eastAsia="微软雅黑" w:cs="微软雅黑"/>
          <w:color w:val="231F20"/>
          <w:spacing w:val="14"/>
          <w:sz w:val="19"/>
          <w:szCs w:val="19"/>
        </w:rPr>
        <w:t>第三，新时代的高等教育质量文化研究将是</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树立科学教育质量观，坚持全面质量管理理念的</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
          <w:sz w:val="19"/>
          <w:szCs w:val="19"/>
        </w:rPr>
        <w:t>研究</w:t>
      </w:r>
      <w:r>
        <w:rPr>
          <w:rFonts w:ascii="微软雅黑" w:hAnsi="微软雅黑" w:eastAsia="微软雅黑" w:cs="微软雅黑"/>
          <w:color w:val="231F20"/>
          <w:spacing w:val="-15"/>
          <w:sz w:val="19"/>
          <w:szCs w:val="19"/>
        </w:rPr>
        <w:t xml:space="preserve"> </w:t>
      </w:r>
      <w:r>
        <w:rPr>
          <w:rFonts w:ascii="微软雅黑" w:hAnsi="微软雅黑" w:eastAsia="微软雅黑" w:cs="微软雅黑"/>
          <w:color w:val="231F20"/>
          <w:spacing w:val="-1"/>
          <w:sz w:val="19"/>
          <w:szCs w:val="19"/>
        </w:rPr>
        <w:t>。牛顿（</w:t>
      </w:r>
      <w:r>
        <w:rPr>
          <w:rFonts w:ascii="Times New Roman" w:hAnsi="Times New Roman" w:eastAsia="Times New Roman" w:cs="Times New Roman"/>
          <w:color w:val="231F20"/>
          <w:spacing w:val="-1"/>
          <w:sz w:val="19"/>
          <w:szCs w:val="19"/>
        </w:rPr>
        <w:t>Newton</w:t>
      </w:r>
      <w:r>
        <w:rPr>
          <w:rFonts w:ascii="微软雅黑" w:hAnsi="微软雅黑" w:eastAsia="微软雅黑" w:cs="微软雅黑"/>
          <w:color w:val="231F20"/>
          <w:spacing w:val="-26"/>
          <w:w w:val="77"/>
          <w:sz w:val="19"/>
          <w:szCs w:val="19"/>
        </w:rPr>
        <w:t>）</w:t>
      </w:r>
      <w:r>
        <w:rPr>
          <w:rFonts w:ascii="微软雅黑" w:hAnsi="微软雅黑" w:eastAsia="微软雅黑" w:cs="微软雅黑"/>
          <w:color w:val="231F20"/>
          <w:spacing w:val="-13"/>
          <w:w w:val="51"/>
          <w:position w:val="6"/>
          <w:sz w:val="11"/>
          <w:szCs w:val="11"/>
        </w:rPr>
        <w:t>［</w:t>
      </w:r>
      <w:r>
        <w:rPr>
          <w:rFonts w:ascii="Times New Roman" w:hAnsi="Times New Roman" w:eastAsia="Times New Roman" w:cs="Times New Roman"/>
          <w:color w:val="231F20"/>
          <w:spacing w:val="-1"/>
          <w:position w:val="6"/>
          <w:sz w:val="11"/>
          <w:szCs w:val="11"/>
        </w:rPr>
        <w:t>31</w:t>
      </w:r>
      <w:r>
        <w:rPr>
          <w:rFonts w:ascii="微软雅黑" w:hAnsi="微软雅黑" w:eastAsia="微软雅黑" w:cs="微软雅黑"/>
          <w:color w:val="231F20"/>
          <w:spacing w:val="-1"/>
          <w:position w:val="6"/>
          <w:sz w:val="11"/>
          <w:szCs w:val="11"/>
        </w:rPr>
        <w:t>］</w:t>
      </w:r>
      <w:r>
        <w:rPr>
          <w:rFonts w:ascii="微软雅黑" w:hAnsi="微软雅黑" w:eastAsia="微软雅黑" w:cs="微软雅黑"/>
          <w:color w:val="231F20"/>
          <w:spacing w:val="-11"/>
          <w:sz w:val="19"/>
          <w:szCs w:val="19"/>
        </w:rPr>
        <w:t>、维达尔（</w:t>
      </w:r>
      <w:r>
        <w:rPr>
          <w:rFonts w:ascii="Times New Roman" w:hAnsi="Times New Roman" w:eastAsia="Times New Roman" w:cs="Times New Roman"/>
          <w:color w:val="231F20"/>
          <w:spacing w:val="-11"/>
          <w:sz w:val="19"/>
          <w:szCs w:val="19"/>
        </w:rPr>
        <w:t>Vidal</w:t>
      </w:r>
      <w:r>
        <w:rPr>
          <w:rFonts w:ascii="微软雅黑" w:hAnsi="微软雅黑" w:eastAsia="微软雅黑" w:cs="微软雅黑"/>
          <w:color w:val="231F20"/>
          <w:spacing w:val="-13"/>
          <w:w w:val="51"/>
          <w:sz w:val="19"/>
          <w:szCs w:val="19"/>
        </w:rPr>
        <w:t>）</w:t>
      </w:r>
      <w:r>
        <w:rPr>
          <w:rFonts w:ascii="微软雅黑" w:hAnsi="微软雅黑" w:eastAsia="微软雅黑" w:cs="微软雅黑"/>
          <w:color w:val="231F20"/>
          <w:spacing w:val="-13"/>
          <w:w w:val="51"/>
          <w:position w:val="6"/>
          <w:sz w:val="11"/>
          <w:szCs w:val="11"/>
        </w:rPr>
        <w:t>［</w:t>
      </w:r>
      <w:r>
        <w:rPr>
          <w:rFonts w:ascii="Times New Roman" w:hAnsi="Times New Roman" w:eastAsia="Times New Roman" w:cs="Times New Roman"/>
          <w:color w:val="231F20"/>
          <w:position w:val="6"/>
          <w:sz w:val="11"/>
          <w:szCs w:val="11"/>
        </w:rPr>
        <w:t>32</w:t>
      </w:r>
      <w:r>
        <w:rPr>
          <w:rFonts w:ascii="微软雅黑" w:hAnsi="微软雅黑" w:eastAsia="微软雅黑" w:cs="微软雅黑"/>
          <w:color w:val="231F20"/>
          <w:position w:val="6"/>
          <w:sz w:val="11"/>
          <w:szCs w:val="11"/>
        </w:rPr>
        <w:t>］</w:t>
      </w:r>
      <w:r>
        <w:rPr>
          <w:rFonts w:ascii="微软雅黑" w:hAnsi="微软雅黑" w:eastAsia="微软雅黑" w:cs="微软雅黑"/>
          <w:color w:val="231F20"/>
          <w:sz w:val="19"/>
          <w:szCs w:val="19"/>
        </w:rPr>
        <w:t>认为</w:t>
      </w:r>
      <w:r>
        <w:rPr>
          <w:rFonts w:ascii="微软雅黑" w:hAnsi="微软雅黑" w:eastAsia="微软雅黑" w:cs="微软雅黑"/>
          <w:color w:val="231F20"/>
          <w:spacing w:val="-32"/>
          <w:sz w:val="19"/>
          <w:szCs w:val="19"/>
        </w:rPr>
        <w:t xml:space="preserve"> </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缺少学生因素的质量文化是不存在的，高质量的</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2"/>
          <w:sz w:val="19"/>
          <w:szCs w:val="19"/>
        </w:rPr>
        <w:t>质量文化是强调学生的价值增值</w:t>
      </w:r>
      <w:r>
        <w:rPr>
          <w:rFonts w:ascii="微软雅黑" w:hAnsi="微软雅黑" w:eastAsia="微软雅黑" w:cs="微软雅黑"/>
          <w:color w:val="231F20"/>
          <w:spacing w:val="-21"/>
          <w:sz w:val="19"/>
          <w:szCs w:val="19"/>
        </w:rPr>
        <w:t xml:space="preserve"> </w:t>
      </w:r>
      <w:r>
        <w:rPr>
          <w:rFonts w:ascii="微软雅黑" w:hAnsi="微软雅黑" w:eastAsia="微软雅黑" w:cs="微软雅黑"/>
          <w:color w:val="231F20"/>
          <w:spacing w:val="12"/>
          <w:sz w:val="19"/>
          <w:szCs w:val="19"/>
        </w:rPr>
        <w:t>。要研究如何强</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化学生主体地位，构建以学生为中心的质量文化</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3"/>
          <w:sz w:val="19"/>
          <w:szCs w:val="19"/>
        </w:rPr>
        <w:t>建设体系；要研究如何进一步树立正确的质量意</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3"/>
          <w:sz w:val="19"/>
          <w:szCs w:val="19"/>
        </w:rPr>
        <w:t xml:space="preserve">识，为学生成长成才营造质量氛围；如何建立健全  质量监控体系，为质量文化建设提供系统支持；如  </w:t>
      </w:r>
      <w:r>
        <w:rPr>
          <w:rFonts w:ascii="微软雅黑" w:hAnsi="微软雅黑" w:eastAsia="微软雅黑" w:cs="微软雅黑"/>
          <w:color w:val="231F20"/>
          <w:spacing w:val="13"/>
          <w:sz w:val="19"/>
          <w:szCs w:val="19"/>
        </w:rPr>
        <w:t>何形成对各项质量监控措施的实施过程和效果进</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2"/>
          <w:sz w:val="19"/>
          <w:szCs w:val="19"/>
        </w:rPr>
        <w:t>行有效监督，保障质量文化建设的实际效果</w:t>
      </w:r>
      <w:r>
        <w:rPr>
          <w:rFonts w:ascii="微软雅黑" w:hAnsi="微软雅黑" w:eastAsia="微软雅黑" w:cs="微软雅黑"/>
          <w:color w:val="231F20"/>
          <w:spacing w:val="-21"/>
          <w:sz w:val="19"/>
          <w:szCs w:val="19"/>
        </w:rPr>
        <w:t xml:space="preserve"> </w:t>
      </w:r>
      <w:r>
        <w:rPr>
          <w:rFonts w:ascii="微软雅黑" w:hAnsi="微软雅黑" w:eastAsia="微软雅黑" w:cs="微软雅黑"/>
          <w:color w:val="231F20"/>
          <w:spacing w:val="12"/>
          <w:sz w:val="19"/>
          <w:szCs w:val="19"/>
        </w:rPr>
        <w:t>。要</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3"/>
          <w:sz w:val="19"/>
          <w:szCs w:val="19"/>
        </w:rPr>
        <w:t>研究如何建立健全高校内部自治制度，加快塑造</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3"/>
          <w:sz w:val="19"/>
          <w:szCs w:val="19"/>
        </w:rPr>
        <w:t>质量文化建设的机制和载体，培育质量管理的自</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3"/>
          <w:sz w:val="19"/>
          <w:szCs w:val="19"/>
        </w:rPr>
        <w:t>发意识和习惯，使质量成为高校师生的一种生活</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3"/>
          <w:sz w:val="19"/>
          <w:szCs w:val="19"/>
        </w:rPr>
        <w:t xml:space="preserve">方式；如何通过营造质量文化建设环境，来推动质  </w:t>
      </w:r>
      <w:r>
        <w:rPr>
          <w:rFonts w:ascii="微软雅黑" w:hAnsi="微软雅黑" w:eastAsia="微软雅黑" w:cs="微软雅黑"/>
          <w:color w:val="231F20"/>
          <w:spacing w:val="-7"/>
          <w:sz w:val="19"/>
          <w:szCs w:val="19"/>
        </w:rPr>
        <w:t>量文化建设由“行政约束</w:t>
      </w:r>
      <w:r>
        <w:rPr>
          <w:rFonts w:ascii="微软雅黑" w:hAnsi="微软雅黑" w:eastAsia="微软雅黑" w:cs="微软雅黑"/>
          <w:color w:val="231F20"/>
          <w:spacing w:val="-17"/>
          <w:sz w:val="19"/>
          <w:szCs w:val="19"/>
        </w:rPr>
        <w:t xml:space="preserve"> </w:t>
      </w:r>
      <w:r>
        <w:rPr>
          <w:rFonts w:ascii="微软雅黑" w:hAnsi="微软雅黑" w:eastAsia="微软雅黑" w:cs="微软雅黑"/>
          <w:color w:val="231F20"/>
          <w:spacing w:val="-7"/>
          <w:sz w:val="19"/>
          <w:szCs w:val="19"/>
        </w:rPr>
        <w:t>”向“文化自觉</w:t>
      </w:r>
      <w:r>
        <w:rPr>
          <w:rFonts w:ascii="微软雅黑" w:hAnsi="微软雅黑" w:eastAsia="微软雅黑" w:cs="微软雅黑"/>
          <w:color w:val="231F20"/>
          <w:spacing w:val="-28"/>
          <w:sz w:val="19"/>
          <w:szCs w:val="19"/>
        </w:rPr>
        <w:t xml:space="preserve"> </w:t>
      </w:r>
      <w:r>
        <w:rPr>
          <w:rFonts w:ascii="微软雅黑" w:hAnsi="微软雅黑" w:eastAsia="微软雅黑" w:cs="微软雅黑"/>
          <w:color w:val="231F20"/>
          <w:spacing w:val="-7"/>
          <w:sz w:val="19"/>
          <w:szCs w:val="19"/>
        </w:rPr>
        <w:t xml:space="preserve">”转变；如  </w:t>
      </w:r>
      <w:r>
        <w:rPr>
          <w:rFonts w:ascii="微软雅黑" w:hAnsi="微软雅黑" w:eastAsia="微软雅黑" w:cs="微软雅黑"/>
          <w:color w:val="231F20"/>
          <w:spacing w:val="13"/>
          <w:sz w:val="19"/>
          <w:szCs w:val="19"/>
        </w:rPr>
        <w:t>何建立高校协同创新教学管理机制，并形成制度</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3"/>
          <w:sz w:val="19"/>
          <w:szCs w:val="19"/>
        </w:rPr>
        <w:t>合力；如何把质量保障内化为学校全员共同的价</w:t>
      </w:r>
      <w:r>
        <w:rPr>
          <w:rFonts w:ascii="微软雅黑" w:hAnsi="微软雅黑" w:eastAsia="微软雅黑" w:cs="微软雅黑"/>
          <w:color w:val="231F20"/>
          <w:spacing w:val="7"/>
          <w:sz w:val="19"/>
          <w:szCs w:val="19"/>
        </w:rPr>
        <w:t xml:space="preserve">  </w:t>
      </w:r>
      <w:r>
        <w:rPr>
          <w:rFonts w:ascii="微软雅黑" w:hAnsi="微软雅黑" w:eastAsia="微软雅黑" w:cs="微软雅黑"/>
          <w:color w:val="231F20"/>
          <w:spacing w:val="12"/>
          <w:sz w:val="19"/>
          <w:szCs w:val="19"/>
        </w:rPr>
        <w:t>值追求和自觉行为</w:t>
      </w:r>
      <w:r>
        <w:rPr>
          <w:rFonts w:ascii="微软雅黑" w:hAnsi="微软雅黑" w:eastAsia="微软雅黑" w:cs="微软雅黑"/>
          <w:color w:val="231F20"/>
          <w:spacing w:val="-21"/>
          <w:sz w:val="19"/>
          <w:szCs w:val="19"/>
        </w:rPr>
        <w:t xml:space="preserve"> </w:t>
      </w:r>
      <w:r>
        <w:rPr>
          <w:rFonts w:ascii="微软雅黑" w:hAnsi="微软雅黑" w:eastAsia="微软雅黑" w:cs="微软雅黑"/>
          <w:color w:val="231F20"/>
          <w:spacing w:val="12"/>
          <w:sz w:val="19"/>
          <w:szCs w:val="19"/>
        </w:rPr>
        <w:t>、将质量保障活动视为自我反</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
          <w:sz w:val="19"/>
          <w:szCs w:val="19"/>
        </w:rPr>
        <w:t>思和提高的重要途径，从而形成自省、自律、自查、</w:t>
      </w:r>
    </w:p>
    <w:p>
      <w:pPr>
        <w:spacing w:line="14" w:lineRule="auto"/>
        <w:rPr>
          <w:rFonts w:ascii="Arial"/>
          <w:sz w:val="2"/>
        </w:rPr>
      </w:pPr>
      <w:r>
        <w:rPr>
          <w:rFonts w:ascii="Arial" w:hAnsi="Arial" w:eastAsia="Arial" w:cs="Arial"/>
          <w:sz w:val="2"/>
          <w:szCs w:val="2"/>
        </w:rPr>
        <w:br w:type="column"/>
      </w:r>
    </w:p>
    <w:p>
      <w:pPr>
        <w:spacing w:before="42" w:line="205" w:lineRule="auto"/>
        <w:ind w:left="116"/>
        <w:rPr>
          <w:rFonts w:ascii="微软雅黑" w:hAnsi="微软雅黑" w:eastAsia="微软雅黑" w:cs="微软雅黑"/>
          <w:sz w:val="19"/>
          <w:szCs w:val="19"/>
        </w:rPr>
      </w:pPr>
      <w:r>
        <w:rPr>
          <w:rFonts w:ascii="微软雅黑" w:hAnsi="微软雅黑" w:eastAsia="微软雅黑" w:cs="微软雅黑"/>
          <w:color w:val="231F20"/>
          <w:spacing w:val="3"/>
          <w:sz w:val="19"/>
          <w:szCs w:val="19"/>
        </w:rPr>
        <w:t>自纠的行为习惯。</w:t>
      </w:r>
    </w:p>
    <w:p>
      <w:pPr>
        <w:spacing w:before="31" w:line="231" w:lineRule="auto"/>
        <w:ind w:left="77" w:right="67" w:firstLine="400"/>
        <w:jc w:val="both"/>
        <w:rPr>
          <w:rFonts w:ascii="微软雅黑" w:hAnsi="微软雅黑" w:eastAsia="微软雅黑" w:cs="微软雅黑"/>
          <w:sz w:val="19"/>
          <w:szCs w:val="19"/>
        </w:rPr>
      </w:pPr>
      <w:r>
        <w:rPr>
          <w:rFonts w:ascii="微软雅黑" w:hAnsi="微软雅黑" w:eastAsia="微软雅黑" w:cs="微软雅黑"/>
          <w:color w:val="231F20"/>
          <w:spacing w:val="14"/>
          <w:sz w:val="19"/>
          <w:szCs w:val="19"/>
        </w:rPr>
        <w:t>建设适应新发展格局需要的高等教育质量文</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4"/>
          <w:sz w:val="19"/>
          <w:szCs w:val="19"/>
        </w:rPr>
        <w:t>化，需要高等教育研究者和实践者的协同努力，并</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12"/>
          <w:sz w:val="19"/>
          <w:szCs w:val="19"/>
        </w:rPr>
        <w:t>实现政府</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2"/>
          <w:sz w:val="19"/>
          <w:szCs w:val="19"/>
        </w:rPr>
        <w:t>、高校以及社会多主体共同治理和多种</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10"/>
          <w:sz w:val="19"/>
          <w:szCs w:val="19"/>
        </w:rPr>
        <w:t>形式的机制创新</w:t>
      </w:r>
      <w:r>
        <w:rPr>
          <w:rFonts w:ascii="微软雅黑" w:hAnsi="微软雅黑" w:eastAsia="微软雅黑" w:cs="微软雅黑"/>
          <w:color w:val="231F20"/>
          <w:spacing w:val="-15"/>
          <w:sz w:val="19"/>
          <w:szCs w:val="19"/>
        </w:rPr>
        <w:t xml:space="preserve"> </w:t>
      </w:r>
      <w:r>
        <w:rPr>
          <w:rFonts w:ascii="微软雅黑" w:hAnsi="微软雅黑" w:eastAsia="微软雅黑" w:cs="微软雅黑"/>
          <w:color w:val="231F20"/>
          <w:spacing w:val="10"/>
          <w:sz w:val="19"/>
          <w:szCs w:val="19"/>
        </w:rPr>
        <w:t>。要在新时代“质量中国</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0"/>
          <w:sz w:val="19"/>
          <w:szCs w:val="19"/>
        </w:rPr>
        <w:t>”背景</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4"/>
          <w:sz w:val="19"/>
          <w:szCs w:val="19"/>
        </w:rPr>
        <w:t>下，对高等教育人才培养、高校内部质量保障体系</w:t>
      </w:r>
      <w:r>
        <w:rPr>
          <w:rFonts w:ascii="微软雅黑" w:hAnsi="微软雅黑" w:eastAsia="微软雅黑" w:cs="微软雅黑"/>
          <w:color w:val="231F20"/>
          <w:spacing w:val="8"/>
          <w:sz w:val="19"/>
          <w:szCs w:val="19"/>
        </w:rPr>
        <w:t xml:space="preserve"> </w:t>
      </w:r>
      <w:r>
        <w:rPr>
          <w:rFonts w:ascii="微软雅黑" w:hAnsi="微软雅黑" w:eastAsia="微软雅黑" w:cs="微软雅黑"/>
          <w:color w:val="231F20"/>
          <w:spacing w:val="12"/>
          <w:sz w:val="19"/>
          <w:szCs w:val="19"/>
        </w:rPr>
        <w:t>以及高校教学督导</w:t>
      </w:r>
      <w:r>
        <w:rPr>
          <w:rFonts w:ascii="微软雅黑" w:hAnsi="微软雅黑" w:eastAsia="微软雅黑" w:cs="微软雅黑"/>
          <w:color w:val="231F20"/>
          <w:spacing w:val="-22"/>
          <w:sz w:val="19"/>
          <w:szCs w:val="19"/>
        </w:rPr>
        <w:t xml:space="preserve"> </w:t>
      </w:r>
      <w:r>
        <w:rPr>
          <w:rFonts w:ascii="微软雅黑" w:hAnsi="微软雅黑" w:eastAsia="微软雅黑" w:cs="微软雅黑"/>
          <w:color w:val="231F20"/>
          <w:spacing w:val="12"/>
          <w:sz w:val="19"/>
          <w:szCs w:val="19"/>
        </w:rPr>
        <w:t>、专项评价和数据监测等课题</w:t>
      </w:r>
      <w:r>
        <w:rPr>
          <w:rFonts w:ascii="微软雅黑" w:hAnsi="微软雅黑" w:eastAsia="微软雅黑" w:cs="微软雅黑"/>
          <w:color w:val="231F20"/>
          <w:sz w:val="19"/>
          <w:szCs w:val="19"/>
        </w:rPr>
        <w:t xml:space="preserve"> </w:t>
      </w:r>
      <w:r>
        <w:rPr>
          <w:rFonts w:ascii="微软雅黑" w:hAnsi="微软雅黑" w:eastAsia="微软雅黑" w:cs="微软雅黑"/>
          <w:color w:val="231F20"/>
          <w:spacing w:val="-2"/>
          <w:sz w:val="19"/>
          <w:szCs w:val="19"/>
        </w:rPr>
        <w:t>进行深入研究。</w:t>
      </w:r>
      <w:r>
        <w:rPr>
          <w:rFonts w:ascii="微软雅黑" w:hAnsi="微软雅黑" w:eastAsia="微软雅黑" w:cs="微软雅黑"/>
          <w:color w:val="231F20"/>
          <w:spacing w:val="-2"/>
          <w:position w:val="6"/>
          <w:sz w:val="11"/>
          <w:szCs w:val="11"/>
        </w:rPr>
        <w:t>［</w:t>
      </w:r>
      <w:r>
        <w:rPr>
          <w:rFonts w:ascii="Times New Roman" w:hAnsi="Times New Roman" w:eastAsia="Times New Roman" w:cs="Times New Roman"/>
          <w:color w:val="231F20"/>
          <w:spacing w:val="-2"/>
          <w:position w:val="6"/>
          <w:sz w:val="11"/>
          <w:szCs w:val="11"/>
        </w:rPr>
        <w:t>33</w:t>
      </w:r>
      <w:r>
        <w:rPr>
          <w:rFonts w:ascii="微软雅黑" w:hAnsi="微软雅黑" w:eastAsia="微软雅黑" w:cs="微软雅黑"/>
          <w:color w:val="231F20"/>
          <w:spacing w:val="-2"/>
          <w:position w:val="6"/>
          <w:sz w:val="11"/>
          <w:szCs w:val="11"/>
        </w:rPr>
        <w:t>］</w:t>
      </w:r>
      <w:r>
        <w:rPr>
          <w:rFonts w:ascii="微软雅黑" w:hAnsi="微软雅黑" w:eastAsia="微软雅黑" w:cs="微软雅黑"/>
          <w:color w:val="231F20"/>
          <w:spacing w:val="-2"/>
          <w:sz w:val="19"/>
          <w:szCs w:val="19"/>
        </w:rPr>
        <w:t>笔者相信，在广大高等教育工作</w:t>
      </w:r>
      <w:r>
        <w:rPr>
          <w:rFonts w:ascii="微软雅黑" w:hAnsi="微软雅黑" w:eastAsia="微软雅黑" w:cs="微软雅黑"/>
          <w:color w:val="231F20"/>
          <w:spacing w:val="6"/>
          <w:sz w:val="19"/>
          <w:szCs w:val="19"/>
        </w:rPr>
        <w:t xml:space="preserve"> </w:t>
      </w:r>
      <w:r>
        <w:rPr>
          <w:rFonts w:ascii="微软雅黑" w:hAnsi="微软雅黑" w:eastAsia="微软雅黑" w:cs="微软雅黑"/>
          <w:color w:val="231F20"/>
          <w:spacing w:val="13"/>
          <w:sz w:val="19"/>
          <w:szCs w:val="19"/>
        </w:rPr>
        <w:t xml:space="preserve">者和研究人员的共同努力下，我国高等教育质量 文化建设一定能够迎来更加美好的未来，为高等 教育高质量发展，为人类文明进步做出新的更大 </w:t>
      </w:r>
      <w:r>
        <w:rPr>
          <w:rFonts w:ascii="微软雅黑" w:hAnsi="微软雅黑" w:eastAsia="微软雅黑" w:cs="微软雅黑"/>
          <w:color w:val="231F20"/>
          <w:spacing w:val="4"/>
          <w:sz w:val="19"/>
          <w:szCs w:val="19"/>
        </w:rPr>
        <w:t>贡献。</w:t>
      </w:r>
    </w:p>
    <w:p>
      <w:pPr>
        <w:spacing w:before="36" w:line="253" w:lineRule="exact"/>
        <w:ind w:left="82"/>
        <w:rPr>
          <w:rFonts w:ascii="黑体" w:hAnsi="黑体" w:eastAsia="黑体" w:cs="黑体"/>
          <w:sz w:val="19"/>
          <w:szCs w:val="19"/>
        </w:rPr>
      </w:pPr>
      <w:r>
        <w:rPr>
          <w:rFonts w:ascii="黑体" w:hAnsi="黑体" w:eastAsia="黑体" w:cs="黑体"/>
          <w:color w:val="231F20"/>
          <w:spacing w:val="5"/>
          <w:position w:val="1"/>
          <w:sz w:val="19"/>
          <w:szCs w:val="19"/>
        </w:rPr>
        <w:t>参考文献：</w:t>
      </w:r>
    </w:p>
    <w:p>
      <w:pPr>
        <w:spacing w:before="70" w:line="210" w:lineRule="auto"/>
        <w:ind w:left="86" w:right="64" w:hanging="87"/>
        <w:rPr>
          <w:rFonts w:ascii="Times New Roman" w:hAnsi="Times New Roman" w:eastAsia="Times New Roman" w:cs="Times New Roman"/>
          <w:sz w:val="20"/>
          <w:szCs w:val="20"/>
        </w:rPr>
      </w:pPr>
      <w:r>
        <w:rPr>
          <w:rFonts w:ascii="微软雅黑" w:hAnsi="微软雅黑" w:eastAsia="微软雅黑" w:cs="微软雅黑"/>
          <w:color w:val="231F20"/>
          <w:spacing w:val="-10"/>
          <w:sz w:val="20"/>
          <w:szCs w:val="20"/>
        </w:rPr>
        <w:t>［</w:t>
      </w:r>
      <w:r>
        <w:rPr>
          <w:rFonts w:ascii="微软雅黑" w:hAnsi="微软雅黑" w:eastAsia="微软雅黑" w:cs="微软雅黑"/>
          <w:color w:val="231F20"/>
          <w:spacing w:val="-20"/>
          <w:sz w:val="20"/>
          <w:szCs w:val="20"/>
        </w:rPr>
        <w:t xml:space="preserve"> </w:t>
      </w:r>
      <w:r>
        <w:rPr>
          <w:rFonts w:ascii="Times New Roman" w:hAnsi="Times New Roman" w:eastAsia="Times New Roman" w:cs="Times New Roman"/>
          <w:color w:val="231F20"/>
          <w:spacing w:val="-10"/>
          <w:sz w:val="20"/>
          <w:szCs w:val="20"/>
        </w:rPr>
        <w:t>1</w:t>
      </w:r>
      <w:r>
        <w:rPr>
          <w:rFonts w:ascii="微软雅黑" w:hAnsi="微软雅黑" w:eastAsia="微软雅黑" w:cs="微软雅黑"/>
          <w:color w:val="231F20"/>
          <w:spacing w:val="-10"/>
          <w:sz w:val="20"/>
          <w:szCs w:val="20"/>
        </w:rPr>
        <w:t xml:space="preserve">］马陆亭 </w:t>
      </w:r>
      <w:r>
        <w:rPr>
          <w:rFonts w:ascii="Times New Roman" w:hAnsi="Times New Roman" w:eastAsia="Times New Roman" w:cs="Times New Roman"/>
          <w:color w:val="231F20"/>
          <w:spacing w:val="-10"/>
          <w:sz w:val="20"/>
          <w:szCs w:val="20"/>
        </w:rPr>
        <w:t xml:space="preserve">. </w:t>
      </w:r>
      <w:r>
        <w:rPr>
          <w:rFonts w:ascii="微软雅黑" w:hAnsi="微软雅黑" w:eastAsia="微软雅黑" w:cs="微软雅黑"/>
          <w:color w:val="231F20"/>
          <w:spacing w:val="-10"/>
          <w:sz w:val="20"/>
          <w:szCs w:val="20"/>
        </w:rPr>
        <w:t>迈向高等教育普及化的理论要点［</w:t>
      </w:r>
      <w:r>
        <w:rPr>
          <w:rFonts w:ascii="Times New Roman" w:hAnsi="Times New Roman" w:eastAsia="Times New Roman" w:cs="Times New Roman"/>
          <w:color w:val="231F20"/>
          <w:spacing w:val="-10"/>
          <w:sz w:val="20"/>
          <w:szCs w:val="20"/>
        </w:rPr>
        <w:t>J</w:t>
      </w:r>
      <w:r>
        <w:rPr>
          <w:rFonts w:ascii="微软雅黑" w:hAnsi="微软雅黑" w:eastAsia="微软雅黑" w:cs="微软雅黑"/>
          <w:color w:val="231F20"/>
          <w:spacing w:val="-10"/>
          <w:sz w:val="20"/>
          <w:szCs w:val="20"/>
        </w:rPr>
        <w:t>］</w:t>
      </w:r>
      <w:r>
        <w:rPr>
          <w:rFonts w:ascii="Times New Roman" w:hAnsi="Times New Roman" w:eastAsia="Times New Roman" w:cs="Times New Roman"/>
          <w:color w:val="231F20"/>
          <w:spacing w:val="-10"/>
          <w:sz w:val="20"/>
          <w:szCs w:val="20"/>
        </w:rPr>
        <w:t>.</w:t>
      </w:r>
      <w:r>
        <w:rPr>
          <w:rFonts w:ascii="Times New Roman" w:hAnsi="Times New Roman" w:eastAsia="Times New Roman" w:cs="Times New Roman"/>
          <w:color w:val="231F20"/>
          <w:sz w:val="20"/>
          <w:szCs w:val="20"/>
        </w:rPr>
        <w:t xml:space="preserve"> </w:t>
      </w:r>
      <w:r>
        <w:rPr>
          <w:rFonts w:ascii="微软雅黑" w:hAnsi="微软雅黑" w:eastAsia="微软雅黑" w:cs="微软雅黑"/>
          <w:color w:val="231F20"/>
          <w:spacing w:val="-14"/>
          <w:sz w:val="20"/>
          <w:szCs w:val="20"/>
        </w:rPr>
        <w:t>现代教育管理，</w:t>
      </w:r>
      <w:r>
        <w:rPr>
          <w:rFonts w:ascii="Times New Roman" w:hAnsi="Times New Roman" w:eastAsia="Times New Roman" w:cs="Times New Roman"/>
          <w:color w:val="231F20"/>
          <w:spacing w:val="-14"/>
          <w:sz w:val="20"/>
          <w:szCs w:val="20"/>
        </w:rPr>
        <w:t>2017</w:t>
      </w:r>
      <w:r>
        <w:rPr>
          <w:rFonts w:ascii="微软雅黑" w:hAnsi="微软雅黑" w:eastAsia="微软雅黑" w:cs="微软雅黑"/>
          <w:color w:val="231F20"/>
          <w:spacing w:val="-14"/>
          <w:sz w:val="20"/>
          <w:szCs w:val="20"/>
        </w:rPr>
        <w:t>（</w:t>
      </w:r>
      <w:r>
        <w:rPr>
          <w:rFonts w:ascii="微软雅黑" w:hAnsi="微软雅黑" w:eastAsia="微软雅黑" w:cs="微软雅黑"/>
          <w:color w:val="231F20"/>
          <w:spacing w:val="-27"/>
          <w:sz w:val="20"/>
          <w:szCs w:val="20"/>
        </w:rPr>
        <w:t xml:space="preserve"> </w:t>
      </w:r>
      <w:r>
        <w:rPr>
          <w:rFonts w:ascii="Times New Roman" w:hAnsi="Times New Roman" w:eastAsia="Times New Roman" w:cs="Times New Roman"/>
          <w:color w:val="231F20"/>
          <w:spacing w:val="-14"/>
          <w:sz w:val="20"/>
          <w:szCs w:val="20"/>
        </w:rPr>
        <w:t>1</w:t>
      </w:r>
      <w:r>
        <w:rPr>
          <w:rFonts w:ascii="微软雅黑" w:hAnsi="微软雅黑" w:eastAsia="微软雅黑" w:cs="微软雅黑"/>
          <w:color w:val="231F20"/>
          <w:spacing w:val="-42"/>
          <w:w w:val="77"/>
          <w:sz w:val="20"/>
          <w:szCs w:val="20"/>
        </w:rPr>
        <w:t>）：</w:t>
      </w:r>
      <w:r>
        <w:rPr>
          <w:rFonts w:ascii="Times New Roman" w:hAnsi="Times New Roman" w:eastAsia="Times New Roman" w:cs="Times New Roman"/>
          <w:color w:val="231F20"/>
          <w:spacing w:val="-14"/>
          <w:sz w:val="20"/>
          <w:szCs w:val="20"/>
        </w:rPr>
        <w:t>1-</w:t>
      </w:r>
      <w:r>
        <w:rPr>
          <w:rFonts w:ascii="Times New Roman" w:hAnsi="Times New Roman" w:eastAsia="Times New Roman" w:cs="Times New Roman"/>
          <w:color w:val="231F20"/>
          <w:spacing w:val="-26"/>
          <w:sz w:val="20"/>
          <w:szCs w:val="20"/>
        </w:rPr>
        <w:t xml:space="preserve"> </w:t>
      </w:r>
      <w:r>
        <w:rPr>
          <w:rFonts w:ascii="Times New Roman" w:hAnsi="Times New Roman" w:eastAsia="Times New Roman" w:cs="Times New Roman"/>
          <w:color w:val="231F20"/>
          <w:spacing w:val="-14"/>
          <w:sz w:val="20"/>
          <w:szCs w:val="20"/>
        </w:rPr>
        <w:t>14.</w:t>
      </w:r>
    </w:p>
    <w:p>
      <w:pPr>
        <w:spacing w:before="33" w:line="210" w:lineRule="auto"/>
        <w:ind w:left="96" w:right="67" w:hanging="96"/>
        <w:rPr>
          <w:rFonts w:ascii="Times New Roman" w:hAnsi="Times New Roman" w:eastAsia="Times New Roman" w:cs="Times New Roman"/>
          <w:sz w:val="20"/>
          <w:szCs w:val="20"/>
        </w:rPr>
      </w:pP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2</w:t>
      </w:r>
      <w:r>
        <w:rPr>
          <w:rFonts w:ascii="微软雅黑" w:hAnsi="微软雅黑" w:eastAsia="微软雅黑" w:cs="微软雅黑"/>
          <w:color w:val="231F20"/>
          <w:spacing w:val="-23"/>
          <w:w w:val="55"/>
          <w:sz w:val="20"/>
          <w:szCs w:val="20"/>
        </w:rPr>
        <w:t>］［</w:t>
      </w:r>
      <w:r>
        <w:rPr>
          <w:rFonts w:ascii="Times New Roman" w:hAnsi="Times New Roman" w:eastAsia="Times New Roman" w:cs="Times New Roman"/>
          <w:color w:val="231F20"/>
          <w:spacing w:val="-7"/>
          <w:sz w:val="20"/>
          <w:szCs w:val="20"/>
        </w:rPr>
        <w:t>9</w:t>
      </w:r>
      <w:r>
        <w:rPr>
          <w:rFonts w:ascii="微软雅黑" w:hAnsi="微软雅黑" w:eastAsia="微软雅黑" w:cs="微软雅黑"/>
          <w:color w:val="231F20"/>
          <w:spacing w:val="-7"/>
          <w:sz w:val="20"/>
          <w:szCs w:val="20"/>
        </w:rPr>
        <w:t>］董立平，孙维胜</w:t>
      </w:r>
      <w:r>
        <w:rPr>
          <w:rFonts w:ascii="微软雅黑" w:hAnsi="微软雅黑" w:eastAsia="微软雅黑" w:cs="微软雅黑"/>
          <w:color w:val="231F20"/>
          <w:spacing w:val="-12"/>
          <w:sz w:val="20"/>
          <w:szCs w:val="20"/>
        </w:rPr>
        <w:t xml:space="preserve"> </w:t>
      </w:r>
      <w:r>
        <w:rPr>
          <w:rFonts w:ascii="Times New Roman" w:hAnsi="Times New Roman" w:eastAsia="Times New Roman" w:cs="Times New Roman"/>
          <w:color w:val="231F20"/>
          <w:spacing w:val="-7"/>
          <w:sz w:val="20"/>
          <w:szCs w:val="20"/>
        </w:rPr>
        <w:t xml:space="preserve">. </w:t>
      </w:r>
      <w:r>
        <w:rPr>
          <w:rFonts w:ascii="微软雅黑" w:hAnsi="微软雅黑" w:eastAsia="微软雅黑" w:cs="微软雅黑"/>
          <w:color w:val="231F20"/>
          <w:spacing w:val="-7"/>
          <w:sz w:val="20"/>
          <w:szCs w:val="20"/>
        </w:rPr>
        <w:t>大学质量文化的本质特征</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与结构剖析［</w:t>
      </w:r>
      <w:r>
        <w:rPr>
          <w:rFonts w:ascii="Times New Roman" w:hAnsi="Times New Roman" w:eastAsia="Times New Roman" w:cs="Times New Roman"/>
          <w:color w:val="231F20"/>
          <w:spacing w:val="-14"/>
          <w:sz w:val="20"/>
          <w:szCs w:val="20"/>
        </w:rPr>
        <w:t>J</w:t>
      </w:r>
      <w:r>
        <w:rPr>
          <w:rFonts w:ascii="微软雅黑" w:hAnsi="微软雅黑" w:eastAsia="微软雅黑" w:cs="微软雅黑"/>
          <w:color w:val="231F20"/>
          <w:spacing w:val="-14"/>
          <w:sz w:val="20"/>
          <w:szCs w:val="20"/>
        </w:rPr>
        <w:t>］</w:t>
      </w:r>
      <w:r>
        <w:rPr>
          <w:rFonts w:ascii="Times New Roman" w:hAnsi="Times New Roman" w:eastAsia="Times New Roman" w:cs="Times New Roman"/>
          <w:color w:val="231F20"/>
          <w:spacing w:val="-14"/>
          <w:sz w:val="20"/>
          <w:szCs w:val="20"/>
        </w:rPr>
        <w:t>.</w:t>
      </w:r>
      <w:r>
        <w:rPr>
          <w:rFonts w:ascii="Times New Roman" w:hAnsi="Times New Roman" w:eastAsia="Times New Roman" w:cs="Times New Roman"/>
          <w:color w:val="231F20"/>
          <w:spacing w:val="16"/>
          <w:sz w:val="20"/>
          <w:szCs w:val="20"/>
        </w:rPr>
        <w:t xml:space="preserve"> </w:t>
      </w:r>
      <w:r>
        <w:rPr>
          <w:rFonts w:ascii="微软雅黑" w:hAnsi="微软雅黑" w:eastAsia="微软雅黑" w:cs="微软雅黑"/>
          <w:color w:val="231F20"/>
          <w:spacing w:val="-14"/>
          <w:sz w:val="20"/>
          <w:szCs w:val="20"/>
        </w:rPr>
        <w:t>当代教育科学，</w:t>
      </w:r>
      <w:r>
        <w:rPr>
          <w:rFonts w:ascii="Times New Roman" w:hAnsi="Times New Roman" w:eastAsia="Times New Roman" w:cs="Times New Roman"/>
          <w:color w:val="231F20"/>
          <w:spacing w:val="-14"/>
          <w:sz w:val="20"/>
          <w:szCs w:val="20"/>
        </w:rPr>
        <w:t>2008</w:t>
      </w:r>
      <w:r>
        <w:rPr>
          <w:rFonts w:ascii="微软雅黑" w:hAnsi="微软雅黑" w:eastAsia="微软雅黑" w:cs="微软雅黑"/>
          <w:color w:val="231F20"/>
          <w:spacing w:val="-14"/>
          <w:sz w:val="20"/>
          <w:szCs w:val="20"/>
        </w:rPr>
        <w:t>（</w:t>
      </w:r>
      <w:r>
        <w:rPr>
          <w:rFonts w:ascii="Times New Roman" w:hAnsi="Times New Roman" w:eastAsia="Times New Roman" w:cs="Times New Roman"/>
          <w:color w:val="231F20"/>
          <w:spacing w:val="-15"/>
          <w:sz w:val="20"/>
          <w:szCs w:val="20"/>
        </w:rPr>
        <w:t>13</w:t>
      </w:r>
      <w:r>
        <w:rPr>
          <w:rFonts w:ascii="微软雅黑" w:hAnsi="微软雅黑" w:eastAsia="微软雅黑" w:cs="微软雅黑"/>
          <w:color w:val="231F20"/>
          <w:spacing w:val="-31"/>
          <w:w w:val="56"/>
          <w:sz w:val="20"/>
          <w:szCs w:val="20"/>
        </w:rPr>
        <w:t>）：</w:t>
      </w:r>
      <w:r>
        <w:rPr>
          <w:rFonts w:ascii="Times New Roman" w:hAnsi="Times New Roman" w:eastAsia="Times New Roman" w:cs="Times New Roman"/>
          <w:color w:val="231F20"/>
          <w:spacing w:val="-15"/>
          <w:sz w:val="20"/>
          <w:szCs w:val="20"/>
        </w:rPr>
        <w:t>6-9.</w:t>
      </w:r>
    </w:p>
    <w:p>
      <w:pPr>
        <w:spacing w:before="34" w:line="210" w:lineRule="auto"/>
        <w:ind w:right="67"/>
        <w:rPr>
          <w:rFonts w:ascii="Times New Roman" w:hAnsi="Times New Roman" w:eastAsia="Times New Roman" w:cs="Times New Roman"/>
          <w:sz w:val="20"/>
          <w:szCs w:val="20"/>
        </w:rPr>
      </w:pPr>
      <w:r>
        <w:rPr>
          <w:rFonts w:ascii="微软雅黑" w:hAnsi="微软雅黑" w:eastAsia="微软雅黑" w:cs="微软雅黑"/>
          <w:color w:val="231F20"/>
          <w:sz w:val="20"/>
          <w:szCs w:val="20"/>
        </w:rPr>
        <w:t>［</w:t>
      </w:r>
      <w:r>
        <w:rPr>
          <w:rFonts w:ascii="Times New Roman" w:hAnsi="Times New Roman" w:eastAsia="Times New Roman" w:cs="Times New Roman"/>
          <w:color w:val="231F20"/>
          <w:sz w:val="20"/>
          <w:szCs w:val="20"/>
        </w:rPr>
        <w:t>3</w:t>
      </w:r>
      <w:r>
        <w:rPr>
          <w:rFonts w:ascii="微软雅黑" w:hAnsi="微软雅黑" w:eastAsia="微软雅黑" w:cs="微软雅黑"/>
          <w:color w:val="231F20"/>
          <w:sz w:val="20"/>
          <w:szCs w:val="20"/>
        </w:rPr>
        <w:t xml:space="preserve">］禚军 </w:t>
      </w:r>
      <w:r>
        <w:rPr>
          <w:rFonts w:ascii="Times New Roman" w:hAnsi="Times New Roman" w:eastAsia="Times New Roman" w:cs="Times New Roman"/>
          <w:color w:val="231F20"/>
          <w:sz w:val="20"/>
          <w:szCs w:val="20"/>
        </w:rPr>
        <w:t xml:space="preserve">. </w:t>
      </w:r>
      <w:r>
        <w:rPr>
          <w:rFonts w:ascii="微软雅黑" w:hAnsi="微软雅黑" w:eastAsia="微软雅黑" w:cs="微软雅黑"/>
          <w:color w:val="231F20"/>
          <w:sz w:val="20"/>
          <w:szCs w:val="20"/>
        </w:rPr>
        <w:t>倡导质量文化建设</w:t>
      </w:r>
      <w:r>
        <w:rPr>
          <w:rFonts w:ascii="微软雅黑" w:hAnsi="微软雅黑" w:eastAsia="微软雅黑" w:cs="微软雅黑"/>
          <w:color w:val="231F20"/>
          <w:spacing w:val="35"/>
          <w:w w:val="101"/>
          <w:sz w:val="20"/>
          <w:szCs w:val="20"/>
        </w:rPr>
        <w:t xml:space="preserve"> </w:t>
      </w:r>
      <w:r>
        <w:rPr>
          <w:rFonts w:ascii="微软雅黑" w:hAnsi="微软雅黑" w:eastAsia="微软雅黑" w:cs="微软雅黑"/>
          <w:color w:val="231F20"/>
          <w:sz w:val="20"/>
          <w:szCs w:val="20"/>
        </w:rPr>
        <w:t xml:space="preserve">提高大学教育质量 </w:t>
      </w:r>
      <w:r>
        <w:rPr>
          <w:rFonts w:ascii="微软雅黑" w:hAnsi="微软雅黑" w:eastAsia="微软雅黑" w:cs="微软雅黑"/>
          <w:color w:val="231F20"/>
          <w:spacing w:val="-16"/>
          <w:sz w:val="20"/>
          <w:szCs w:val="20"/>
        </w:rPr>
        <w:t>［</w:t>
      </w:r>
      <w:r>
        <w:rPr>
          <w:rFonts w:ascii="Times New Roman" w:hAnsi="Times New Roman" w:eastAsia="Times New Roman" w:cs="Times New Roman"/>
          <w:color w:val="231F20"/>
          <w:spacing w:val="-16"/>
          <w:sz w:val="20"/>
          <w:szCs w:val="20"/>
        </w:rPr>
        <w:t>J</w:t>
      </w:r>
      <w:r>
        <w:rPr>
          <w:rFonts w:ascii="微软雅黑" w:hAnsi="微软雅黑" w:eastAsia="微软雅黑" w:cs="微软雅黑"/>
          <w:color w:val="231F20"/>
          <w:spacing w:val="-16"/>
          <w:sz w:val="20"/>
          <w:szCs w:val="20"/>
        </w:rPr>
        <w:t>］</w:t>
      </w:r>
      <w:r>
        <w:rPr>
          <w:rFonts w:ascii="Times New Roman" w:hAnsi="Times New Roman" w:eastAsia="Times New Roman" w:cs="Times New Roman"/>
          <w:color w:val="231F20"/>
          <w:spacing w:val="-16"/>
          <w:sz w:val="20"/>
          <w:szCs w:val="20"/>
        </w:rPr>
        <w:t xml:space="preserve">. </w:t>
      </w:r>
      <w:r>
        <w:rPr>
          <w:rFonts w:ascii="微软雅黑" w:hAnsi="微软雅黑" w:eastAsia="微软雅黑" w:cs="微软雅黑"/>
          <w:color w:val="231F20"/>
          <w:spacing w:val="-16"/>
          <w:sz w:val="20"/>
          <w:szCs w:val="20"/>
        </w:rPr>
        <w:t>现代交际，</w:t>
      </w:r>
      <w:r>
        <w:rPr>
          <w:rFonts w:ascii="Times New Roman" w:hAnsi="Times New Roman" w:eastAsia="Times New Roman" w:cs="Times New Roman"/>
          <w:color w:val="231F20"/>
          <w:spacing w:val="-16"/>
          <w:sz w:val="20"/>
          <w:szCs w:val="20"/>
        </w:rPr>
        <w:t>2012</w:t>
      </w:r>
      <w:r>
        <w:rPr>
          <w:rFonts w:ascii="微软雅黑" w:hAnsi="微软雅黑" w:eastAsia="微软雅黑" w:cs="微软雅黑"/>
          <w:color w:val="231F20"/>
          <w:spacing w:val="-16"/>
          <w:sz w:val="20"/>
          <w:szCs w:val="20"/>
        </w:rPr>
        <w:t>（</w:t>
      </w:r>
      <w:r>
        <w:rPr>
          <w:rFonts w:ascii="Times New Roman" w:hAnsi="Times New Roman" w:eastAsia="Times New Roman" w:cs="Times New Roman"/>
          <w:color w:val="231F20"/>
          <w:spacing w:val="-16"/>
          <w:sz w:val="20"/>
          <w:szCs w:val="20"/>
        </w:rPr>
        <w:t>8</w:t>
      </w:r>
      <w:r>
        <w:rPr>
          <w:rFonts w:ascii="微软雅黑" w:hAnsi="微软雅黑" w:eastAsia="微软雅黑" w:cs="微软雅黑"/>
          <w:color w:val="231F20"/>
          <w:spacing w:val="-34"/>
          <w:w w:val="62"/>
          <w:sz w:val="20"/>
          <w:szCs w:val="20"/>
        </w:rPr>
        <w:t>）：</w:t>
      </w:r>
      <w:r>
        <w:rPr>
          <w:rFonts w:ascii="Times New Roman" w:hAnsi="Times New Roman" w:eastAsia="Times New Roman" w:cs="Times New Roman"/>
          <w:color w:val="231F20"/>
          <w:spacing w:val="-16"/>
          <w:sz w:val="20"/>
          <w:szCs w:val="20"/>
        </w:rPr>
        <w:t>229.</w:t>
      </w:r>
    </w:p>
    <w:p>
      <w:pPr>
        <w:spacing w:before="34" w:line="224" w:lineRule="auto"/>
        <w:ind w:left="80" w:right="1" w:hanging="80"/>
        <w:jc w:val="both"/>
        <w:rPr>
          <w:rFonts w:ascii="Times New Roman" w:hAnsi="Times New Roman" w:eastAsia="Times New Roman" w:cs="Times New Roman"/>
          <w:sz w:val="20"/>
          <w:szCs w:val="20"/>
        </w:rPr>
      </w:pP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4</w:t>
      </w:r>
      <w:r>
        <w:rPr>
          <w:rFonts w:ascii="微软雅黑" w:hAnsi="微软雅黑" w:eastAsia="微软雅黑" w:cs="微软雅黑"/>
          <w:color w:val="231F20"/>
          <w:spacing w:val="-7"/>
          <w:sz w:val="20"/>
          <w:szCs w:val="20"/>
        </w:rPr>
        <w:t xml:space="preserve">］肖地楚，黄乃祝 </w:t>
      </w:r>
      <w:r>
        <w:rPr>
          <w:rFonts w:ascii="Times New Roman" w:hAnsi="Times New Roman" w:eastAsia="Times New Roman" w:cs="Times New Roman"/>
          <w:color w:val="231F20"/>
          <w:spacing w:val="-7"/>
          <w:sz w:val="20"/>
          <w:szCs w:val="20"/>
        </w:rPr>
        <w:t xml:space="preserve">. </w:t>
      </w:r>
      <w:r>
        <w:rPr>
          <w:rFonts w:ascii="微软雅黑" w:hAnsi="微软雅黑" w:eastAsia="微软雅黑" w:cs="微软雅黑"/>
          <w:color w:val="231F20"/>
          <w:spacing w:val="-7"/>
          <w:sz w:val="20"/>
          <w:szCs w:val="20"/>
        </w:rPr>
        <w:t>强化师生质量意识 培育和发</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8"/>
          <w:w w:val="97"/>
          <w:sz w:val="20"/>
          <w:szCs w:val="20"/>
        </w:rPr>
        <w:t>展</w:t>
      </w:r>
      <w:r>
        <w:rPr>
          <w:rFonts w:ascii="微软雅黑" w:hAnsi="微软雅黑" w:eastAsia="微软雅黑" w:cs="微软雅黑"/>
          <w:color w:val="231F20"/>
          <w:spacing w:val="-13"/>
          <w:sz w:val="20"/>
          <w:szCs w:val="20"/>
        </w:rPr>
        <w:t xml:space="preserve"> </w:t>
      </w:r>
      <w:r>
        <w:rPr>
          <w:rFonts w:ascii="微软雅黑" w:hAnsi="微软雅黑" w:eastAsia="微软雅黑" w:cs="微软雅黑"/>
          <w:color w:val="231F20"/>
          <w:spacing w:val="-18"/>
          <w:w w:val="97"/>
          <w:sz w:val="20"/>
          <w:szCs w:val="20"/>
        </w:rPr>
        <w:t>高</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8"/>
          <w:w w:val="97"/>
          <w:sz w:val="20"/>
          <w:szCs w:val="20"/>
        </w:rPr>
        <w:t>校</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8"/>
          <w:w w:val="97"/>
          <w:sz w:val="20"/>
          <w:szCs w:val="20"/>
        </w:rPr>
        <w:t>质</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8"/>
          <w:w w:val="97"/>
          <w:sz w:val="20"/>
          <w:szCs w:val="20"/>
        </w:rPr>
        <w:t>量</w:t>
      </w:r>
      <w:r>
        <w:rPr>
          <w:rFonts w:ascii="微软雅黑" w:hAnsi="微软雅黑" w:eastAsia="微软雅黑" w:cs="微软雅黑"/>
          <w:color w:val="231F20"/>
          <w:spacing w:val="-11"/>
          <w:sz w:val="20"/>
          <w:szCs w:val="20"/>
        </w:rPr>
        <w:t xml:space="preserve"> </w:t>
      </w:r>
      <w:r>
        <w:rPr>
          <w:rFonts w:ascii="微软雅黑" w:hAnsi="微软雅黑" w:eastAsia="微软雅黑" w:cs="微软雅黑"/>
          <w:color w:val="231F20"/>
          <w:spacing w:val="-18"/>
          <w:w w:val="97"/>
          <w:sz w:val="20"/>
          <w:szCs w:val="20"/>
        </w:rPr>
        <w:t>文</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8"/>
          <w:w w:val="97"/>
          <w:sz w:val="20"/>
          <w:szCs w:val="20"/>
        </w:rPr>
        <w:t>化［</w:t>
      </w:r>
      <w:r>
        <w:rPr>
          <w:rFonts w:ascii="Times New Roman" w:hAnsi="Times New Roman" w:eastAsia="Times New Roman" w:cs="Times New Roman"/>
          <w:color w:val="231F20"/>
          <w:spacing w:val="-18"/>
          <w:w w:val="97"/>
          <w:sz w:val="20"/>
          <w:szCs w:val="20"/>
        </w:rPr>
        <w:t>J</w:t>
      </w:r>
      <w:r>
        <w:rPr>
          <w:rFonts w:ascii="微软雅黑" w:hAnsi="微软雅黑" w:eastAsia="微软雅黑" w:cs="微软雅黑"/>
          <w:color w:val="231F20"/>
          <w:spacing w:val="-18"/>
          <w:w w:val="97"/>
          <w:sz w:val="20"/>
          <w:szCs w:val="20"/>
        </w:rPr>
        <w:t>］</w:t>
      </w:r>
      <w:r>
        <w:rPr>
          <w:rFonts w:ascii="Times New Roman" w:hAnsi="Times New Roman" w:eastAsia="Times New Roman" w:cs="Times New Roman"/>
          <w:color w:val="231F20"/>
          <w:spacing w:val="-18"/>
          <w:w w:val="97"/>
          <w:sz w:val="20"/>
          <w:szCs w:val="20"/>
        </w:rPr>
        <w:t>.</w:t>
      </w:r>
      <w:r>
        <w:rPr>
          <w:rFonts w:ascii="Times New Roman" w:hAnsi="Times New Roman" w:eastAsia="Times New Roman" w:cs="Times New Roman"/>
          <w:color w:val="231F20"/>
          <w:spacing w:val="22"/>
          <w:sz w:val="20"/>
          <w:szCs w:val="20"/>
        </w:rPr>
        <w:t xml:space="preserve"> </w:t>
      </w:r>
      <w:r>
        <w:rPr>
          <w:rFonts w:ascii="微软雅黑" w:hAnsi="微软雅黑" w:eastAsia="微软雅黑" w:cs="微软雅黑"/>
          <w:color w:val="231F20"/>
          <w:spacing w:val="-18"/>
          <w:w w:val="97"/>
          <w:sz w:val="20"/>
          <w:szCs w:val="20"/>
        </w:rPr>
        <w:t>湘 南 学 院 学</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8"/>
          <w:w w:val="97"/>
          <w:sz w:val="20"/>
          <w:szCs w:val="20"/>
        </w:rPr>
        <w:t>报</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18"/>
          <w:w w:val="97"/>
          <w:sz w:val="20"/>
          <w:szCs w:val="20"/>
        </w:rPr>
        <w:t>，</w:t>
      </w:r>
      <w:r>
        <w:rPr>
          <w:rFonts w:ascii="Times New Roman" w:hAnsi="Times New Roman" w:eastAsia="Times New Roman" w:cs="Times New Roman"/>
          <w:color w:val="231F20"/>
          <w:spacing w:val="-18"/>
          <w:w w:val="97"/>
          <w:sz w:val="20"/>
          <w:szCs w:val="20"/>
        </w:rPr>
        <w:t>2013</w:t>
      </w:r>
      <w:r>
        <w:rPr>
          <w:rFonts w:ascii="微软雅黑" w:hAnsi="微软雅黑" w:eastAsia="微软雅黑" w:cs="微软雅黑"/>
          <w:color w:val="231F20"/>
          <w:spacing w:val="-18"/>
          <w:w w:val="97"/>
          <w:sz w:val="20"/>
          <w:szCs w:val="20"/>
        </w:rPr>
        <w:t>（</w:t>
      </w:r>
      <w:r>
        <w:rPr>
          <w:rFonts w:ascii="Times New Roman" w:hAnsi="Times New Roman" w:eastAsia="Times New Roman" w:cs="Times New Roman"/>
          <w:color w:val="231F20"/>
          <w:spacing w:val="-18"/>
          <w:w w:val="97"/>
          <w:sz w:val="20"/>
          <w:szCs w:val="20"/>
        </w:rPr>
        <w:t>6</w:t>
      </w:r>
      <w:r>
        <w:rPr>
          <w:rFonts w:ascii="微软雅黑" w:hAnsi="微软雅黑" w:eastAsia="微软雅黑" w:cs="微软雅黑"/>
          <w:color w:val="231F20"/>
          <w:spacing w:val="-54"/>
          <w:sz w:val="20"/>
          <w:szCs w:val="20"/>
        </w:rPr>
        <w:t>）：</w:t>
      </w:r>
      <w:r>
        <w:rPr>
          <w:rFonts w:ascii="微软雅黑" w:hAnsi="微软雅黑" w:eastAsia="微软雅黑" w:cs="微软雅黑"/>
          <w:color w:val="231F20"/>
          <w:sz w:val="20"/>
          <w:szCs w:val="20"/>
        </w:rPr>
        <w:t xml:space="preserve"> </w:t>
      </w:r>
      <w:r>
        <w:rPr>
          <w:rFonts w:ascii="Times New Roman" w:hAnsi="Times New Roman" w:eastAsia="Times New Roman" w:cs="Times New Roman"/>
          <w:color w:val="231F20"/>
          <w:spacing w:val="6"/>
          <w:sz w:val="20"/>
          <w:szCs w:val="20"/>
        </w:rPr>
        <w:t>95-97.</w:t>
      </w:r>
    </w:p>
    <w:p>
      <w:pPr>
        <w:spacing w:before="96" w:line="210" w:lineRule="auto"/>
        <w:ind w:left="83" w:right="67" w:hanging="83"/>
        <w:rPr>
          <w:rFonts w:ascii="Times New Roman" w:hAnsi="Times New Roman" w:eastAsia="Times New Roman" w:cs="Times New Roman"/>
          <w:sz w:val="20"/>
          <w:szCs w:val="20"/>
        </w:rPr>
      </w:pPr>
      <w:r>
        <w:rPr>
          <w:rFonts w:ascii="微软雅黑" w:hAnsi="微软雅黑" w:eastAsia="微软雅黑" w:cs="微软雅黑"/>
          <w:color w:val="231F20"/>
          <w:spacing w:val="-17"/>
          <w:sz w:val="20"/>
          <w:szCs w:val="20"/>
        </w:rPr>
        <w:t>［</w:t>
      </w:r>
      <w:r>
        <w:rPr>
          <w:rFonts w:ascii="Times New Roman" w:hAnsi="Times New Roman" w:eastAsia="Times New Roman" w:cs="Times New Roman"/>
          <w:color w:val="231F20"/>
          <w:spacing w:val="-17"/>
          <w:sz w:val="20"/>
          <w:szCs w:val="20"/>
        </w:rPr>
        <w:t>5</w:t>
      </w:r>
      <w:r>
        <w:rPr>
          <w:rFonts w:ascii="微软雅黑" w:hAnsi="微软雅黑" w:eastAsia="微软雅黑" w:cs="微软雅黑"/>
          <w:color w:val="231F20"/>
          <w:spacing w:val="-17"/>
          <w:sz w:val="20"/>
          <w:szCs w:val="20"/>
        </w:rPr>
        <w:t>］徐娟，董云川</w:t>
      </w:r>
      <w:r>
        <w:rPr>
          <w:rFonts w:ascii="微软雅黑" w:hAnsi="微软雅黑" w:eastAsia="微软雅黑" w:cs="微软雅黑"/>
          <w:color w:val="231F20"/>
          <w:spacing w:val="-7"/>
          <w:sz w:val="20"/>
          <w:szCs w:val="20"/>
        </w:rPr>
        <w:t xml:space="preserve"> </w:t>
      </w:r>
      <w:r>
        <w:rPr>
          <w:rFonts w:ascii="Times New Roman" w:hAnsi="Times New Roman" w:eastAsia="Times New Roman" w:cs="Times New Roman"/>
          <w:color w:val="231F20"/>
          <w:spacing w:val="-17"/>
          <w:sz w:val="20"/>
          <w:szCs w:val="20"/>
        </w:rPr>
        <w:t xml:space="preserve">. </w:t>
      </w:r>
      <w:r>
        <w:rPr>
          <w:rFonts w:ascii="微软雅黑" w:hAnsi="微软雅黑" w:eastAsia="微软雅黑" w:cs="微软雅黑"/>
          <w:color w:val="231F20"/>
          <w:spacing w:val="-17"/>
          <w:sz w:val="20"/>
          <w:szCs w:val="20"/>
        </w:rPr>
        <w:t>高等教育质量文化刍议［</w:t>
      </w:r>
      <w:r>
        <w:rPr>
          <w:rFonts w:ascii="Times New Roman" w:hAnsi="Times New Roman" w:eastAsia="Times New Roman" w:cs="Times New Roman"/>
          <w:color w:val="231F20"/>
          <w:spacing w:val="-17"/>
          <w:sz w:val="20"/>
          <w:szCs w:val="20"/>
        </w:rPr>
        <w:t>J</w:t>
      </w:r>
      <w:r>
        <w:rPr>
          <w:rFonts w:ascii="微软雅黑" w:hAnsi="微软雅黑" w:eastAsia="微软雅黑" w:cs="微软雅黑"/>
          <w:color w:val="231F20"/>
          <w:spacing w:val="-17"/>
          <w:sz w:val="20"/>
          <w:szCs w:val="20"/>
        </w:rPr>
        <w:t>］</w:t>
      </w:r>
      <w:r>
        <w:rPr>
          <w:rFonts w:ascii="Times New Roman" w:hAnsi="Times New Roman" w:eastAsia="Times New Roman" w:cs="Times New Roman"/>
          <w:color w:val="231F20"/>
          <w:spacing w:val="-17"/>
          <w:sz w:val="20"/>
          <w:szCs w:val="20"/>
        </w:rPr>
        <w:t xml:space="preserve">. </w:t>
      </w:r>
      <w:r>
        <w:rPr>
          <w:rFonts w:ascii="微软雅黑" w:hAnsi="微软雅黑" w:eastAsia="微软雅黑" w:cs="微软雅黑"/>
          <w:color w:val="231F20"/>
          <w:spacing w:val="-17"/>
          <w:sz w:val="20"/>
          <w:szCs w:val="20"/>
        </w:rPr>
        <w:t>上海</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0"/>
          <w:sz w:val="20"/>
          <w:szCs w:val="20"/>
        </w:rPr>
        <w:t>教育评估研究，</w:t>
      </w:r>
      <w:r>
        <w:rPr>
          <w:rFonts w:ascii="Times New Roman" w:hAnsi="Times New Roman" w:eastAsia="Times New Roman" w:cs="Times New Roman"/>
          <w:color w:val="231F20"/>
          <w:spacing w:val="-10"/>
          <w:sz w:val="20"/>
          <w:szCs w:val="20"/>
        </w:rPr>
        <w:t>2014</w:t>
      </w:r>
      <w:r>
        <w:rPr>
          <w:rFonts w:ascii="微软雅黑" w:hAnsi="微软雅黑" w:eastAsia="微软雅黑" w:cs="微软雅黑"/>
          <w:color w:val="231F20"/>
          <w:spacing w:val="-10"/>
          <w:sz w:val="20"/>
          <w:szCs w:val="20"/>
        </w:rPr>
        <w:t>（</w:t>
      </w:r>
      <w:r>
        <w:rPr>
          <w:rFonts w:ascii="Times New Roman" w:hAnsi="Times New Roman" w:eastAsia="Times New Roman" w:cs="Times New Roman"/>
          <w:color w:val="231F20"/>
          <w:spacing w:val="-10"/>
          <w:sz w:val="20"/>
          <w:szCs w:val="20"/>
        </w:rPr>
        <w:t>3</w:t>
      </w:r>
      <w:r>
        <w:rPr>
          <w:rFonts w:ascii="微软雅黑" w:hAnsi="微软雅黑" w:eastAsia="微软雅黑" w:cs="微软雅黑"/>
          <w:color w:val="231F20"/>
          <w:spacing w:val="-42"/>
          <w:w w:val="76"/>
          <w:sz w:val="20"/>
          <w:szCs w:val="20"/>
        </w:rPr>
        <w:t>）：</w:t>
      </w:r>
      <w:r>
        <w:rPr>
          <w:rFonts w:ascii="Times New Roman" w:hAnsi="Times New Roman" w:eastAsia="Times New Roman" w:cs="Times New Roman"/>
          <w:color w:val="231F20"/>
          <w:spacing w:val="-10"/>
          <w:sz w:val="20"/>
          <w:szCs w:val="20"/>
        </w:rPr>
        <w:t>22-26.</w:t>
      </w:r>
    </w:p>
    <w:p>
      <w:pPr>
        <w:spacing w:before="33" w:line="210" w:lineRule="auto"/>
        <w:ind w:left="83" w:right="67" w:hanging="83"/>
        <w:rPr>
          <w:rFonts w:ascii="Times New Roman" w:hAnsi="Times New Roman" w:eastAsia="Times New Roman" w:cs="Times New Roman"/>
          <w:sz w:val="20"/>
          <w:szCs w:val="20"/>
        </w:rPr>
      </w:pPr>
      <w:r>
        <w:rPr>
          <w:rFonts w:ascii="微软雅黑" w:hAnsi="微软雅黑" w:eastAsia="微软雅黑" w:cs="微软雅黑"/>
          <w:color w:val="231F20"/>
          <w:spacing w:val="-16"/>
          <w:w w:val="99"/>
          <w:sz w:val="20"/>
          <w:szCs w:val="20"/>
        </w:rPr>
        <w:t>［</w:t>
      </w:r>
      <w:r>
        <w:rPr>
          <w:rFonts w:ascii="Times New Roman" w:hAnsi="Times New Roman" w:eastAsia="Times New Roman" w:cs="Times New Roman"/>
          <w:color w:val="231F20"/>
          <w:spacing w:val="-16"/>
          <w:w w:val="99"/>
          <w:sz w:val="20"/>
          <w:szCs w:val="20"/>
        </w:rPr>
        <w:t>6</w:t>
      </w:r>
      <w:r>
        <w:rPr>
          <w:rFonts w:ascii="微软雅黑" w:hAnsi="微软雅黑" w:eastAsia="微软雅黑" w:cs="微软雅黑"/>
          <w:color w:val="231F20"/>
          <w:spacing w:val="-16"/>
          <w:w w:val="99"/>
          <w:sz w:val="20"/>
          <w:szCs w:val="20"/>
        </w:rPr>
        <w:t>］李忆华，凌均卫</w:t>
      </w:r>
      <w:r>
        <w:rPr>
          <w:rFonts w:ascii="微软雅黑" w:hAnsi="微软雅黑" w:eastAsia="微软雅黑" w:cs="微软雅黑"/>
          <w:color w:val="231F20"/>
          <w:spacing w:val="-16"/>
          <w:sz w:val="20"/>
          <w:szCs w:val="20"/>
        </w:rPr>
        <w:t xml:space="preserve"> </w:t>
      </w:r>
      <w:r>
        <w:rPr>
          <w:rFonts w:ascii="Times New Roman" w:hAnsi="Times New Roman" w:eastAsia="Times New Roman" w:cs="Times New Roman"/>
          <w:color w:val="231F20"/>
          <w:spacing w:val="-16"/>
          <w:w w:val="99"/>
          <w:sz w:val="20"/>
          <w:szCs w:val="20"/>
        </w:rPr>
        <w:t>.</w:t>
      </w:r>
      <w:r>
        <w:rPr>
          <w:rFonts w:ascii="Times New Roman" w:hAnsi="Times New Roman" w:eastAsia="Times New Roman" w:cs="Times New Roman"/>
          <w:color w:val="231F20"/>
          <w:spacing w:val="-14"/>
          <w:sz w:val="20"/>
          <w:szCs w:val="20"/>
        </w:rPr>
        <w:t xml:space="preserve"> </w:t>
      </w:r>
      <w:r>
        <w:rPr>
          <w:rFonts w:ascii="微软雅黑" w:hAnsi="微软雅黑" w:eastAsia="微软雅黑" w:cs="微软雅黑"/>
          <w:color w:val="231F20"/>
          <w:spacing w:val="-16"/>
          <w:w w:val="99"/>
          <w:sz w:val="20"/>
          <w:szCs w:val="20"/>
        </w:rPr>
        <w:t>论高校质量文化的培</w:t>
      </w:r>
      <w:r>
        <w:rPr>
          <w:rFonts w:ascii="微软雅黑" w:hAnsi="微软雅黑" w:eastAsia="微软雅黑" w:cs="微软雅黑"/>
          <w:color w:val="231F20"/>
          <w:spacing w:val="-17"/>
          <w:w w:val="99"/>
          <w:sz w:val="20"/>
          <w:szCs w:val="20"/>
        </w:rPr>
        <w:t>育［</w:t>
      </w:r>
      <w:r>
        <w:rPr>
          <w:rFonts w:ascii="Times New Roman" w:hAnsi="Times New Roman" w:eastAsia="Times New Roman" w:cs="Times New Roman"/>
          <w:color w:val="231F20"/>
          <w:spacing w:val="-17"/>
          <w:w w:val="99"/>
          <w:sz w:val="20"/>
          <w:szCs w:val="20"/>
        </w:rPr>
        <w:t>J</w:t>
      </w:r>
      <w:r>
        <w:rPr>
          <w:rFonts w:ascii="微软雅黑" w:hAnsi="微软雅黑" w:eastAsia="微软雅黑" w:cs="微软雅黑"/>
          <w:color w:val="231F20"/>
          <w:spacing w:val="-17"/>
          <w:w w:val="99"/>
          <w:sz w:val="20"/>
          <w:szCs w:val="20"/>
        </w:rPr>
        <w:t>］</w:t>
      </w:r>
      <w:r>
        <w:rPr>
          <w:rFonts w:ascii="Times New Roman" w:hAnsi="Times New Roman" w:eastAsia="Times New Roman" w:cs="Times New Roman"/>
          <w:color w:val="231F20"/>
          <w:spacing w:val="-17"/>
          <w:w w:val="99"/>
          <w:sz w:val="20"/>
          <w:szCs w:val="20"/>
        </w:rPr>
        <w:t>.</w:t>
      </w:r>
      <w:r>
        <w:rPr>
          <w:rFonts w:ascii="Times New Roman" w:hAnsi="Times New Roman" w:eastAsia="Times New Roman" w:cs="Times New Roman"/>
          <w:color w:val="231F20"/>
          <w:spacing w:val="15"/>
          <w:w w:val="101"/>
          <w:sz w:val="20"/>
          <w:szCs w:val="20"/>
        </w:rPr>
        <w:t xml:space="preserve"> </w:t>
      </w:r>
      <w:r>
        <w:rPr>
          <w:rFonts w:ascii="微软雅黑" w:hAnsi="微软雅黑" w:eastAsia="微软雅黑" w:cs="微软雅黑"/>
          <w:color w:val="231F20"/>
          <w:spacing w:val="-17"/>
          <w:w w:val="99"/>
          <w:sz w:val="20"/>
          <w:szCs w:val="20"/>
        </w:rPr>
        <w:t>当</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9"/>
          <w:sz w:val="20"/>
          <w:szCs w:val="20"/>
        </w:rPr>
        <w:t>代教育论坛，</w:t>
      </w:r>
      <w:r>
        <w:rPr>
          <w:rFonts w:ascii="Times New Roman" w:hAnsi="Times New Roman" w:eastAsia="Times New Roman" w:cs="Times New Roman"/>
          <w:color w:val="231F20"/>
          <w:spacing w:val="-9"/>
          <w:sz w:val="20"/>
          <w:szCs w:val="20"/>
        </w:rPr>
        <w:t>2004</w:t>
      </w:r>
      <w:r>
        <w:rPr>
          <w:rFonts w:ascii="微软雅黑" w:hAnsi="微软雅黑" w:eastAsia="微软雅黑" w:cs="微软雅黑"/>
          <w:color w:val="231F20"/>
          <w:spacing w:val="-9"/>
          <w:sz w:val="20"/>
          <w:szCs w:val="20"/>
        </w:rPr>
        <w:t>（</w:t>
      </w:r>
      <w:r>
        <w:rPr>
          <w:rFonts w:ascii="微软雅黑" w:hAnsi="微软雅黑" w:eastAsia="微软雅黑" w:cs="微软雅黑"/>
          <w:color w:val="231F20"/>
          <w:spacing w:val="-29"/>
          <w:sz w:val="20"/>
          <w:szCs w:val="20"/>
        </w:rPr>
        <w:t xml:space="preserve"> </w:t>
      </w:r>
      <w:r>
        <w:rPr>
          <w:rFonts w:ascii="Times New Roman" w:hAnsi="Times New Roman" w:eastAsia="Times New Roman" w:cs="Times New Roman"/>
          <w:color w:val="231F20"/>
          <w:spacing w:val="-9"/>
          <w:sz w:val="20"/>
          <w:szCs w:val="20"/>
        </w:rPr>
        <w:t>12</w:t>
      </w:r>
      <w:r>
        <w:rPr>
          <w:rFonts w:ascii="微软雅黑" w:hAnsi="微软雅黑" w:eastAsia="微软雅黑" w:cs="微软雅黑"/>
          <w:color w:val="231F20"/>
          <w:spacing w:val="-31"/>
          <w:w w:val="57"/>
          <w:sz w:val="20"/>
          <w:szCs w:val="20"/>
        </w:rPr>
        <w:t>）：</w:t>
      </w:r>
      <w:r>
        <w:rPr>
          <w:rFonts w:ascii="Times New Roman" w:hAnsi="Times New Roman" w:eastAsia="Times New Roman" w:cs="Times New Roman"/>
          <w:color w:val="231F20"/>
          <w:spacing w:val="-9"/>
          <w:sz w:val="20"/>
          <w:szCs w:val="20"/>
        </w:rPr>
        <w:t>127-</w:t>
      </w:r>
      <w:r>
        <w:rPr>
          <w:rFonts w:ascii="Times New Roman" w:hAnsi="Times New Roman" w:eastAsia="Times New Roman" w:cs="Times New Roman"/>
          <w:color w:val="231F20"/>
          <w:spacing w:val="-26"/>
          <w:sz w:val="20"/>
          <w:szCs w:val="20"/>
        </w:rPr>
        <w:t xml:space="preserve"> </w:t>
      </w:r>
      <w:r>
        <w:rPr>
          <w:rFonts w:ascii="Times New Roman" w:hAnsi="Times New Roman" w:eastAsia="Times New Roman" w:cs="Times New Roman"/>
          <w:color w:val="231F20"/>
          <w:spacing w:val="-9"/>
          <w:sz w:val="20"/>
          <w:szCs w:val="20"/>
        </w:rPr>
        <w:t>130.</w:t>
      </w:r>
    </w:p>
    <w:p>
      <w:pPr>
        <w:spacing w:before="34" w:line="210" w:lineRule="auto"/>
        <w:ind w:left="80" w:hanging="80"/>
        <w:rPr>
          <w:rFonts w:ascii="Times New Roman" w:hAnsi="Times New Roman" w:eastAsia="Times New Roman" w:cs="Times New Roman"/>
          <w:sz w:val="20"/>
          <w:szCs w:val="20"/>
        </w:rPr>
      </w:pPr>
      <w:r>
        <w:rPr>
          <w:rFonts w:ascii="微软雅黑" w:hAnsi="微软雅黑" w:eastAsia="微软雅黑" w:cs="微软雅黑"/>
          <w:color w:val="231F20"/>
          <w:spacing w:val="-14"/>
          <w:sz w:val="20"/>
          <w:szCs w:val="20"/>
        </w:rPr>
        <w:t>［</w:t>
      </w:r>
      <w:r>
        <w:rPr>
          <w:rFonts w:ascii="Times New Roman" w:hAnsi="Times New Roman" w:eastAsia="Times New Roman" w:cs="Times New Roman"/>
          <w:color w:val="231F20"/>
          <w:spacing w:val="-14"/>
          <w:sz w:val="20"/>
          <w:szCs w:val="20"/>
        </w:rPr>
        <w:t>7</w:t>
      </w:r>
      <w:r>
        <w:rPr>
          <w:rFonts w:ascii="微软雅黑" w:hAnsi="微软雅黑" w:eastAsia="微软雅黑" w:cs="微软雅黑"/>
          <w:color w:val="231F20"/>
          <w:spacing w:val="-25"/>
          <w:w w:val="60"/>
          <w:sz w:val="20"/>
          <w:szCs w:val="20"/>
        </w:rPr>
        <w:t>］［</w:t>
      </w:r>
      <w:r>
        <w:rPr>
          <w:rFonts w:ascii="Times New Roman" w:hAnsi="Times New Roman" w:eastAsia="Times New Roman" w:cs="Times New Roman"/>
          <w:color w:val="231F20"/>
          <w:spacing w:val="-14"/>
          <w:sz w:val="20"/>
          <w:szCs w:val="20"/>
        </w:rPr>
        <w:t>18</w:t>
      </w:r>
      <w:r>
        <w:rPr>
          <w:rFonts w:ascii="微软雅黑" w:hAnsi="微软雅黑" w:eastAsia="微软雅黑" w:cs="微软雅黑"/>
          <w:color w:val="231F20"/>
          <w:spacing w:val="-14"/>
          <w:sz w:val="20"/>
          <w:szCs w:val="20"/>
        </w:rPr>
        <w:t xml:space="preserve">］刘德仿 </w:t>
      </w:r>
      <w:r>
        <w:rPr>
          <w:rFonts w:ascii="Times New Roman" w:hAnsi="Times New Roman" w:eastAsia="Times New Roman" w:cs="Times New Roman"/>
          <w:color w:val="231F20"/>
          <w:spacing w:val="-14"/>
          <w:sz w:val="20"/>
          <w:szCs w:val="20"/>
        </w:rPr>
        <w:t xml:space="preserve">. </w:t>
      </w:r>
      <w:r>
        <w:rPr>
          <w:rFonts w:ascii="微软雅黑" w:hAnsi="微软雅黑" w:eastAsia="微软雅黑" w:cs="微软雅黑"/>
          <w:color w:val="231F20"/>
          <w:spacing w:val="-14"/>
          <w:sz w:val="20"/>
          <w:szCs w:val="20"/>
        </w:rPr>
        <w:t>论高校质量文化之构建［</w:t>
      </w:r>
      <w:r>
        <w:rPr>
          <w:rFonts w:ascii="Times New Roman" w:hAnsi="Times New Roman" w:eastAsia="Times New Roman" w:cs="Times New Roman"/>
          <w:color w:val="231F20"/>
          <w:spacing w:val="-14"/>
          <w:sz w:val="20"/>
          <w:szCs w:val="20"/>
        </w:rPr>
        <w:t>J</w:t>
      </w:r>
      <w:r>
        <w:rPr>
          <w:rFonts w:ascii="微软雅黑" w:hAnsi="微软雅黑" w:eastAsia="微软雅黑" w:cs="微软雅黑"/>
          <w:color w:val="231F20"/>
          <w:spacing w:val="-14"/>
          <w:sz w:val="20"/>
          <w:szCs w:val="20"/>
        </w:rPr>
        <w:t>］</w:t>
      </w:r>
      <w:r>
        <w:rPr>
          <w:rFonts w:ascii="Times New Roman" w:hAnsi="Times New Roman" w:eastAsia="Times New Roman" w:cs="Times New Roman"/>
          <w:color w:val="231F20"/>
          <w:spacing w:val="-14"/>
          <w:sz w:val="20"/>
          <w:szCs w:val="20"/>
        </w:rPr>
        <w:t xml:space="preserve">. </w:t>
      </w:r>
      <w:r>
        <w:rPr>
          <w:rFonts w:ascii="微软雅黑" w:hAnsi="微软雅黑" w:eastAsia="微软雅黑" w:cs="微软雅黑"/>
          <w:color w:val="231F20"/>
          <w:spacing w:val="-14"/>
          <w:sz w:val="20"/>
          <w:szCs w:val="20"/>
        </w:rPr>
        <w:t>学海，</w:t>
      </w:r>
      <w:r>
        <w:rPr>
          <w:rFonts w:ascii="微软雅黑" w:hAnsi="微软雅黑" w:eastAsia="微软雅黑" w:cs="微软雅黑"/>
          <w:color w:val="231F20"/>
          <w:sz w:val="20"/>
          <w:szCs w:val="20"/>
        </w:rPr>
        <w:t xml:space="preserve"> </w:t>
      </w:r>
      <w:r>
        <w:rPr>
          <w:rFonts w:ascii="Times New Roman" w:hAnsi="Times New Roman" w:eastAsia="Times New Roman" w:cs="Times New Roman"/>
          <w:color w:val="231F20"/>
          <w:spacing w:val="-4"/>
          <w:sz w:val="20"/>
          <w:szCs w:val="20"/>
        </w:rPr>
        <w:t>2000</w:t>
      </w:r>
      <w:r>
        <w:rPr>
          <w:rFonts w:ascii="微软雅黑" w:hAnsi="微软雅黑" w:eastAsia="微软雅黑" w:cs="微软雅黑"/>
          <w:color w:val="231F20"/>
          <w:spacing w:val="-4"/>
          <w:sz w:val="20"/>
          <w:szCs w:val="20"/>
        </w:rPr>
        <w:t>（</w:t>
      </w:r>
      <w:r>
        <w:rPr>
          <w:rFonts w:ascii="Times New Roman" w:hAnsi="Times New Roman" w:eastAsia="Times New Roman" w:cs="Times New Roman"/>
          <w:color w:val="231F20"/>
          <w:spacing w:val="-4"/>
          <w:sz w:val="20"/>
          <w:szCs w:val="20"/>
        </w:rPr>
        <w:t>5</w:t>
      </w:r>
      <w:r>
        <w:rPr>
          <w:rFonts w:ascii="微软雅黑" w:hAnsi="微软雅黑" w:eastAsia="微软雅黑" w:cs="微软雅黑"/>
          <w:color w:val="231F20"/>
          <w:spacing w:val="-31"/>
          <w:w w:val="57"/>
          <w:sz w:val="20"/>
          <w:szCs w:val="20"/>
        </w:rPr>
        <w:t>）：</w:t>
      </w:r>
      <w:r>
        <w:rPr>
          <w:rFonts w:ascii="Times New Roman" w:hAnsi="Times New Roman" w:eastAsia="Times New Roman" w:cs="Times New Roman"/>
          <w:color w:val="231F20"/>
          <w:spacing w:val="-4"/>
          <w:sz w:val="20"/>
          <w:szCs w:val="20"/>
        </w:rPr>
        <w:t>172-</w:t>
      </w:r>
      <w:r>
        <w:rPr>
          <w:rFonts w:ascii="Times New Roman" w:hAnsi="Times New Roman" w:eastAsia="Times New Roman" w:cs="Times New Roman"/>
          <w:color w:val="231F20"/>
          <w:spacing w:val="-25"/>
          <w:sz w:val="20"/>
          <w:szCs w:val="20"/>
        </w:rPr>
        <w:t xml:space="preserve"> </w:t>
      </w:r>
      <w:r>
        <w:rPr>
          <w:rFonts w:ascii="Times New Roman" w:hAnsi="Times New Roman" w:eastAsia="Times New Roman" w:cs="Times New Roman"/>
          <w:color w:val="231F20"/>
          <w:spacing w:val="-4"/>
          <w:sz w:val="20"/>
          <w:szCs w:val="20"/>
        </w:rPr>
        <w:t>175.</w:t>
      </w:r>
    </w:p>
    <w:p>
      <w:pPr>
        <w:spacing w:before="34" w:line="210" w:lineRule="auto"/>
        <w:ind w:left="96" w:right="67" w:hanging="97"/>
        <w:rPr>
          <w:rFonts w:ascii="Times New Roman" w:hAnsi="Times New Roman" w:eastAsia="Times New Roman" w:cs="Times New Roman"/>
          <w:sz w:val="20"/>
          <w:szCs w:val="20"/>
        </w:rPr>
      </w:pPr>
      <w:r>
        <w:rPr>
          <w:rFonts w:ascii="微软雅黑" w:hAnsi="微软雅黑" w:eastAsia="微软雅黑" w:cs="微软雅黑"/>
          <w:color w:val="231F20"/>
          <w:spacing w:val="-4"/>
          <w:sz w:val="20"/>
          <w:szCs w:val="20"/>
        </w:rPr>
        <w:t>［</w:t>
      </w:r>
      <w:r>
        <w:rPr>
          <w:rFonts w:ascii="Times New Roman" w:hAnsi="Times New Roman" w:eastAsia="Times New Roman" w:cs="Times New Roman"/>
          <w:color w:val="231F20"/>
          <w:spacing w:val="-4"/>
          <w:sz w:val="20"/>
          <w:szCs w:val="20"/>
        </w:rPr>
        <w:t>8</w:t>
      </w:r>
      <w:r>
        <w:rPr>
          <w:rFonts w:ascii="微软雅黑" w:hAnsi="微软雅黑" w:eastAsia="微软雅黑" w:cs="微软雅黑"/>
          <w:color w:val="231F20"/>
          <w:spacing w:val="-4"/>
          <w:sz w:val="20"/>
          <w:szCs w:val="20"/>
        </w:rPr>
        <w:t>］蒋友梅</w:t>
      </w:r>
      <w:r>
        <w:rPr>
          <w:rFonts w:ascii="微软雅黑" w:hAnsi="微软雅黑" w:eastAsia="微软雅黑" w:cs="微软雅黑"/>
          <w:color w:val="231F20"/>
          <w:spacing w:val="-10"/>
          <w:sz w:val="20"/>
          <w:szCs w:val="20"/>
        </w:rPr>
        <w:t xml:space="preserve"> </w:t>
      </w:r>
      <w:r>
        <w:rPr>
          <w:rFonts w:ascii="Times New Roman" w:hAnsi="Times New Roman" w:eastAsia="Times New Roman" w:cs="Times New Roman"/>
          <w:color w:val="231F20"/>
          <w:spacing w:val="-4"/>
          <w:sz w:val="20"/>
          <w:szCs w:val="20"/>
        </w:rPr>
        <w:t xml:space="preserve">. </w:t>
      </w:r>
      <w:r>
        <w:rPr>
          <w:rFonts w:ascii="微软雅黑" w:hAnsi="微软雅黑" w:eastAsia="微软雅黑" w:cs="微软雅黑"/>
          <w:color w:val="231F20"/>
          <w:spacing w:val="-4"/>
          <w:sz w:val="20"/>
          <w:szCs w:val="20"/>
        </w:rPr>
        <w:t>转型期中国大学组织内部质量文化的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6"/>
          <w:sz w:val="20"/>
          <w:szCs w:val="20"/>
        </w:rPr>
        <w:t>生成［</w:t>
      </w:r>
      <w:r>
        <w:rPr>
          <w:rFonts w:ascii="Times New Roman" w:hAnsi="Times New Roman" w:eastAsia="Times New Roman" w:cs="Times New Roman"/>
          <w:color w:val="231F20"/>
          <w:spacing w:val="-16"/>
          <w:sz w:val="20"/>
          <w:szCs w:val="20"/>
        </w:rPr>
        <w:t>J</w:t>
      </w:r>
      <w:r>
        <w:rPr>
          <w:rFonts w:ascii="微软雅黑" w:hAnsi="微软雅黑" w:eastAsia="微软雅黑" w:cs="微软雅黑"/>
          <w:color w:val="231F20"/>
          <w:spacing w:val="-16"/>
          <w:sz w:val="20"/>
          <w:szCs w:val="20"/>
        </w:rPr>
        <w:t>］</w:t>
      </w:r>
      <w:r>
        <w:rPr>
          <w:rFonts w:ascii="Times New Roman" w:hAnsi="Times New Roman" w:eastAsia="Times New Roman" w:cs="Times New Roman"/>
          <w:color w:val="231F20"/>
          <w:spacing w:val="-16"/>
          <w:sz w:val="20"/>
          <w:szCs w:val="20"/>
        </w:rPr>
        <w:t xml:space="preserve">. </w:t>
      </w:r>
      <w:r>
        <w:rPr>
          <w:rFonts w:ascii="微软雅黑" w:hAnsi="微软雅黑" w:eastAsia="微软雅黑" w:cs="微软雅黑"/>
          <w:color w:val="231F20"/>
          <w:spacing w:val="-16"/>
          <w:sz w:val="20"/>
          <w:szCs w:val="20"/>
        </w:rPr>
        <w:t>江苏高教，</w:t>
      </w:r>
      <w:r>
        <w:rPr>
          <w:rFonts w:ascii="Times New Roman" w:hAnsi="Times New Roman" w:eastAsia="Times New Roman" w:cs="Times New Roman"/>
          <w:color w:val="231F20"/>
          <w:spacing w:val="-16"/>
          <w:sz w:val="20"/>
          <w:szCs w:val="20"/>
        </w:rPr>
        <w:t>2010</w:t>
      </w:r>
      <w:r>
        <w:rPr>
          <w:rFonts w:ascii="微软雅黑" w:hAnsi="微软雅黑" w:eastAsia="微软雅黑" w:cs="微软雅黑"/>
          <w:color w:val="231F20"/>
          <w:spacing w:val="-16"/>
          <w:sz w:val="20"/>
          <w:szCs w:val="20"/>
        </w:rPr>
        <w:t>（</w:t>
      </w:r>
      <w:r>
        <w:rPr>
          <w:rFonts w:ascii="Times New Roman" w:hAnsi="Times New Roman" w:eastAsia="Times New Roman" w:cs="Times New Roman"/>
          <w:color w:val="231F20"/>
          <w:spacing w:val="-16"/>
          <w:sz w:val="20"/>
          <w:szCs w:val="20"/>
        </w:rPr>
        <w:t>5</w:t>
      </w:r>
      <w:r>
        <w:rPr>
          <w:rFonts w:ascii="微软雅黑" w:hAnsi="微软雅黑" w:eastAsia="微软雅黑" w:cs="微软雅黑"/>
          <w:color w:val="231F20"/>
          <w:spacing w:val="-33"/>
          <w:w w:val="60"/>
          <w:sz w:val="20"/>
          <w:szCs w:val="20"/>
        </w:rPr>
        <w:t>）：</w:t>
      </w:r>
      <w:r>
        <w:rPr>
          <w:rFonts w:ascii="Times New Roman" w:hAnsi="Times New Roman" w:eastAsia="Times New Roman" w:cs="Times New Roman"/>
          <w:color w:val="231F20"/>
          <w:spacing w:val="-16"/>
          <w:sz w:val="20"/>
          <w:szCs w:val="20"/>
        </w:rPr>
        <w:t>54-57.</w:t>
      </w:r>
    </w:p>
    <w:p>
      <w:pPr>
        <w:spacing w:before="35" w:line="211" w:lineRule="auto"/>
        <w:ind w:left="78" w:right="1" w:hanging="78"/>
        <w:jc w:val="both"/>
        <w:rPr>
          <w:rFonts w:ascii="Times New Roman" w:hAnsi="Times New Roman" w:eastAsia="Times New Roman" w:cs="Times New Roman"/>
          <w:sz w:val="20"/>
          <w:szCs w:val="20"/>
        </w:rPr>
      </w:pPr>
      <w:r>
        <w:rPr>
          <w:rFonts w:ascii="微软雅黑" w:hAnsi="微软雅黑" w:eastAsia="微软雅黑" w:cs="微软雅黑"/>
          <w:color w:val="231F20"/>
          <w:spacing w:val="-6"/>
          <w:sz w:val="20"/>
          <w:szCs w:val="20"/>
        </w:rPr>
        <w:t>［</w:t>
      </w:r>
      <w:r>
        <w:rPr>
          <w:rFonts w:ascii="Times New Roman" w:hAnsi="Times New Roman" w:eastAsia="Times New Roman" w:cs="Times New Roman"/>
          <w:color w:val="231F20"/>
          <w:spacing w:val="-6"/>
          <w:sz w:val="20"/>
          <w:szCs w:val="20"/>
        </w:rPr>
        <w:t>10</w:t>
      </w:r>
      <w:r>
        <w:rPr>
          <w:rFonts w:ascii="微软雅黑" w:hAnsi="微软雅黑" w:eastAsia="微软雅黑" w:cs="微软雅黑"/>
          <w:color w:val="231F20"/>
          <w:spacing w:val="-6"/>
          <w:sz w:val="20"/>
          <w:szCs w:val="20"/>
        </w:rPr>
        <w:t>］</w:t>
      </w:r>
      <w:r>
        <w:rPr>
          <w:rFonts w:ascii="Times New Roman" w:hAnsi="Times New Roman" w:eastAsia="Times New Roman" w:cs="Times New Roman"/>
          <w:color w:val="231F20"/>
          <w:spacing w:val="-6"/>
          <w:sz w:val="20"/>
          <w:szCs w:val="20"/>
        </w:rPr>
        <w:t>EUA.</w:t>
      </w:r>
      <w:r>
        <w:rPr>
          <w:rFonts w:ascii="Times New Roman" w:hAnsi="Times New Roman" w:eastAsia="Times New Roman" w:cs="Times New Roman"/>
          <w:color w:val="231F20"/>
          <w:spacing w:val="23"/>
          <w:sz w:val="20"/>
          <w:szCs w:val="20"/>
        </w:rPr>
        <w:t xml:space="preserve"> </w:t>
      </w:r>
      <w:r>
        <w:rPr>
          <w:rFonts w:ascii="Times New Roman" w:hAnsi="Times New Roman" w:eastAsia="Times New Roman" w:cs="Times New Roman"/>
          <w:color w:val="231F20"/>
          <w:spacing w:val="-6"/>
          <w:sz w:val="20"/>
          <w:szCs w:val="20"/>
        </w:rPr>
        <w:t>Quality</w:t>
      </w:r>
      <w:r>
        <w:rPr>
          <w:rFonts w:ascii="Times New Roman" w:hAnsi="Times New Roman" w:eastAsia="Times New Roman" w:cs="Times New Roman"/>
          <w:color w:val="231F20"/>
          <w:spacing w:val="23"/>
          <w:w w:val="101"/>
          <w:sz w:val="20"/>
          <w:szCs w:val="20"/>
        </w:rPr>
        <w:t xml:space="preserve"> </w:t>
      </w:r>
      <w:r>
        <w:rPr>
          <w:rFonts w:ascii="Times New Roman" w:hAnsi="Times New Roman" w:eastAsia="Times New Roman" w:cs="Times New Roman"/>
          <w:color w:val="231F20"/>
          <w:spacing w:val="-6"/>
          <w:sz w:val="20"/>
          <w:szCs w:val="20"/>
        </w:rPr>
        <w:t>Culture</w:t>
      </w:r>
      <w:r>
        <w:rPr>
          <w:rFonts w:ascii="Times New Roman" w:hAnsi="Times New Roman" w:eastAsia="Times New Roman" w:cs="Times New Roman"/>
          <w:color w:val="231F20"/>
          <w:spacing w:val="20"/>
          <w:w w:val="101"/>
          <w:sz w:val="20"/>
          <w:szCs w:val="20"/>
        </w:rPr>
        <w:t xml:space="preserve"> </w:t>
      </w:r>
      <w:r>
        <w:rPr>
          <w:rFonts w:ascii="Times New Roman" w:hAnsi="Times New Roman" w:eastAsia="Times New Roman" w:cs="Times New Roman"/>
          <w:color w:val="231F20"/>
          <w:spacing w:val="-6"/>
          <w:sz w:val="20"/>
          <w:szCs w:val="20"/>
        </w:rPr>
        <w:t>in</w:t>
      </w:r>
      <w:r>
        <w:rPr>
          <w:rFonts w:ascii="Times New Roman" w:hAnsi="Times New Roman" w:eastAsia="Times New Roman" w:cs="Times New Roman"/>
          <w:color w:val="231F20"/>
          <w:spacing w:val="20"/>
          <w:sz w:val="20"/>
          <w:szCs w:val="20"/>
        </w:rPr>
        <w:t xml:space="preserve"> </w:t>
      </w:r>
      <w:r>
        <w:rPr>
          <w:rFonts w:ascii="Times New Roman" w:hAnsi="Times New Roman" w:eastAsia="Times New Roman" w:cs="Times New Roman"/>
          <w:color w:val="231F20"/>
          <w:spacing w:val="-6"/>
          <w:sz w:val="20"/>
          <w:szCs w:val="20"/>
        </w:rPr>
        <w:t>Eur</w:t>
      </w:r>
      <w:r>
        <w:rPr>
          <w:rFonts w:ascii="Times New Roman" w:hAnsi="Times New Roman" w:eastAsia="Times New Roman" w:cs="Times New Roman"/>
          <w:color w:val="231F20"/>
          <w:spacing w:val="-7"/>
          <w:sz w:val="20"/>
          <w:szCs w:val="20"/>
        </w:rPr>
        <w:t>opean</w:t>
      </w:r>
      <w:r>
        <w:rPr>
          <w:rFonts w:ascii="Times New Roman" w:hAnsi="Times New Roman" w:eastAsia="Times New Roman" w:cs="Times New Roman"/>
          <w:color w:val="231F20"/>
          <w:spacing w:val="22"/>
          <w:sz w:val="20"/>
          <w:szCs w:val="20"/>
        </w:rPr>
        <w:t xml:space="preserve"> </w:t>
      </w:r>
      <w:r>
        <w:rPr>
          <w:rFonts w:ascii="Times New Roman" w:hAnsi="Times New Roman" w:eastAsia="Times New Roman" w:cs="Times New Roman"/>
          <w:color w:val="231F20"/>
          <w:spacing w:val="-7"/>
          <w:sz w:val="20"/>
          <w:szCs w:val="20"/>
        </w:rPr>
        <w:t>Universities</w:t>
      </w:r>
      <w:r>
        <w:rPr>
          <w:rFonts w:ascii="微软雅黑" w:hAnsi="微软雅黑" w:eastAsia="微软雅黑" w:cs="微软雅黑"/>
          <w:color w:val="231F20"/>
          <w:spacing w:val="-7"/>
          <w:sz w:val="20"/>
          <w:szCs w:val="20"/>
        </w:rPr>
        <w:t>：</w:t>
      </w:r>
      <w:r>
        <w:rPr>
          <w:rFonts w:ascii="微软雅黑" w:hAnsi="微软雅黑" w:eastAsia="微软雅黑" w:cs="微软雅黑"/>
          <w:color w:val="231F20"/>
          <w:sz w:val="20"/>
          <w:szCs w:val="20"/>
        </w:rPr>
        <w:t xml:space="preserve"> </w:t>
      </w:r>
      <w:r>
        <w:rPr>
          <w:rFonts w:ascii="Times New Roman" w:hAnsi="Times New Roman" w:eastAsia="Times New Roman" w:cs="Times New Roman"/>
          <w:color w:val="231F20"/>
          <w:spacing w:val="-8"/>
          <w:sz w:val="20"/>
          <w:szCs w:val="20"/>
        </w:rPr>
        <w:t>A</w:t>
      </w:r>
      <w:r>
        <w:rPr>
          <w:rFonts w:ascii="Times New Roman" w:hAnsi="Times New Roman" w:eastAsia="Times New Roman" w:cs="Times New Roman"/>
          <w:color w:val="231F20"/>
          <w:spacing w:val="37"/>
          <w:sz w:val="20"/>
          <w:szCs w:val="20"/>
        </w:rPr>
        <w:t xml:space="preserve"> </w:t>
      </w:r>
      <w:r>
        <w:rPr>
          <w:rFonts w:ascii="Times New Roman" w:hAnsi="Times New Roman" w:eastAsia="Times New Roman" w:cs="Times New Roman"/>
          <w:color w:val="231F20"/>
          <w:spacing w:val="-8"/>
          <w:sz w:val="20"/>
          <w:szCs w:val="20"/>
        </w:rPr>
        <w:t>Bottom-up</w:t>
      </w:r>
      <w:r>
        <w:rPr>
          <w:rFonts w:ascii="Times New Roman" w:hAnsi="Times New Roman" w:eastAsia="Times New Roman" w:cs="Times New Roman"/>
          <w:color w:val="231F20"/>
          <w:spacing w:val="34"/>
          <w:w w:val="101"/>
          <w:sz w:val="20"/>
          <w:szCs w:val="20"/>
        </w:rPr>
        <w:t xml:space="preserve"> </w:t>
      </w:r>
      <w:r>
        <w:rPr>
          <w:rFonts w:ascii="Times New Roman" w:hAnsi="Times New Roman" w:eastAsia="Times New Roman" w:cs="Times New Roman"/>
          <w:color w:val="231F20"/>
          <w:spacing w:val="-8"/>
          <w:sz w:val="20"/>
          <w:szCs w:val="20"/>
        </w:rPr>
        <w:t>approach</w:t>
      </w:r>
      <w:r>
        <w:rPr>
          <w:rFonts w:ascii="微软雅黑" w:hAnsi="微软雅黑" w:eastAsia="微软雅黑" w:cs="微软雅黑"/>
          <w:color w:val="231F20"/>
          <w:spacing w:val="-8"/>
          <w:sz w:val="20"/>
          <w:szCs w:val="20"/>
        </w:rPr>
        <w:t>［</w:t>
      </w:r>
      <w:r>
        <w:rPr>
          <w:rFonts w:ascii="Times New Roman" w:hAnsi="Times New Roman" w:eastAsia="Times New Roman" w:cs="Times New Roman"/>
          <w:color w:val="231F20"/>
          <w:spacing w:val="-8"/>
          <w:sz w:val="20"/>
          <w:szCs w:val="20"/>
        </w:rPr>
        <w:t>R</w:t>
      </w:r>
      <w:r>
        <w:rPr>
          <w:rFonts w:ascii="微软雅黑" w:hAnsi="微软雅黑" w:eastAsia="微软雅黑" w:cs="微软雅黑"/>
          <w:color w:val="231F20"/>
          <w:spacing w:val="-8"/>
          <w:sz w:val="20"/>
          <w:szCs w:val="20"/>
        </w:rPr>
        <w:t>］</w:t>
      </w:r>
      <w:r>
        <w:rPr>
          <w:rFonts w:ascii="Times New Roman" w:hAnsi="Times New Roman" w:eastAsia="Times New Roman" w:cs="Times New Roman"/>
          <w:color w:val="231F20"/>
          <w:spacing w:val="-8"/>
          <w:sz w:val="20"/>
          <w:szCs w:val="20"/>
        </w:rPr>
        <w:t>.</w:t>
      </w:r>
      <w:r>
        <w:rPr>
          <w:rFonts w:ascii="Times New Roman" w:hAnsi="Times New Roman" w:eastAsia="Times New Roman" w:cs="Times New Roman"/>
          <w:color w:val="231F20"/>
          <w:spacing w:val="-15"/>
          <w:sz w:val="20"/>
          <w:szCs w:val="20"/>
        </w:rPr>
        <w:t xml:space="preserve"> </w:t>
      </w:r>
      <w:r>
        <w:rPr>
          <w:rFonts w:ascii="Times New Roman" w:hAnsi="Times New Roman" w:eastAsia="Times New Roman" w:cs="Times New Roman"/>
          <w:color w:val="231F20"/>
          <w:spacing w:val="-8"/>
          <w:sz w:val="20"/>
          <w:szCs w:val="20"/>
        </w:rPr>
        <w:t>Brussels</w:t>
      </w:r>
      <w:r>
        <w:rPr>
          <w:rFonts w:ascii="微软雅黑" w:hAnsi="微软雅黑" w:eastAsia="微软雅黑" w:cs="微软雅黑"/>
          <w:color w:val="231F20"/>
          <w:spacing w:val="-8"/>
          <w:sz w:val="20"/>
          <w:szCs w:val="20"/>
        </w:rPr>
        <w:t>：</w:t>
      </w:r>
      <w:r>
        <w:rPr>
          <w:rFonts w:ascii="Times New Roman" w:hAnsi="Times New Roman" w:eastAsia="Times New Roman" w:cs="Times New Roman"/>
          <w:color w:val="231F20"/>
          <w:spacing w:val="-8"/>
          <w:sz w:val="20"/>
          <w:szCs w:val="20"/>
        </w:rPr>
        <w:t>Europe</w:t>
      </w:r>
      <w:r>
        <w:rPr>
          <w:rFonts w:ascii="Times New Roman" w:hAnsi="Times New Roman" w:eastAsia="Times New Roman" w:cs="Times New Roman"/>
          <w:color w:val="231F20"/>
          <w:spacing w:val="-9"/>
          <w:sz w:val="20"/>
          <w:szCs w:val="20"/>
        </w:rPr>
        <w:t>an</w:t>
      </w:r>
      <w:r>
        <w:rPr>
          <w:rFonts w:ascii="Times New Roman" w:hAnsi="Times New Roman" w:eastAsia="Times New Roman" w:cs="Times New Roman"/>
          <w:color w:val="231F20"/>
          <w:spacing w:val="35"/>
          <w:sz w:val="20"/>
          <w:szCs w:val="20"/>
        </w:rPr>
        <w:t xml:space="preserve"> </w:t>
      </w:r>
      <w:r>
        <w:rPr>
          <w:rFonts w:ascii="Times New Roman" w:hAnsi="Times New Roman" w:eastAsia="Times New Roman" w:cs="Times New Roman"/>
          <w:color w:val="231F20"/>
          <w:spacing w:val="-9"/>
          <w:sz w:val="20"/>
          <w:szCs w:val="20"/>
        </w:rPr>
        <w:t xml:space="preserve">Uni⁃  </w:t>
      </w:r>
      <w:r>
        <w:rPr>
          <w:rFonts w:ascii="Times New Roman" w:hAnsi="Times New Roman" w:eastAsia="Times New Roman" w:cs="Times New Roman"/>
          <w:color w:val="231F20"/>
          <w:spacing w:val="-7"/>
          <w:sz w:val="20"/>
          <w:szCs w:val="20"/>
        </w:rPr>
        <w:t>versity Association</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2003.</w:t>
      </w:r>
    </w:p>
    <w:p>
      <w:pPr>
        <w:spacing w:before="44" w:line="216" w:lineRule="auto"/>
        <w:ind w:right="67"/>
        <w:rPr>
          <w:rFonts w:ascii="Times New Roman" w:hAnsi="Times New Roman" w:eastAsia="Times New Roman" w:cs="Times New Roman"/>
          <w:sz w:val="20"/>
          <w:szCs w:val="20"/>
        </w:rPr>
      </w:pPr>
      <w:r>
        <w:rPr>
          <w:rFonts w:ascii="微软雅黑" w:hAnsi="微软雅黑" w:eastAsia="微软雅黑" w:cs="微软雅黑"/>
          <w:color w:val="231F20"/>
          <w:spacing w:val="-9"/>
          <w:sz w:val="20"/>
          <w:szCs w:val="20"/>
        </w:rPr>
        <w:t>［</w:t>
      </w:r>
      <w:r>
        <w:rPr>
          <w:rFonts w:ascii="微软雅黑" w:hAnsi="微软雅黑" w:eastAsia="微软雅黑" w:cs="微软雅黑"/>
          <w:color w:val="231F20"/>
          <w:spacing w:val="-27"/>
          <w:sz w:val="20"/>
          <w:szCs w:val="20"/>
        </w:rPr>
        <w:t xml:space="preserve"> </w:t>
      </w:r>
      <w:r>
        <w:rPr>
          <w:rFonts w:ascii="Times New Roman" w:hAnsi="Times New Roman" w:eastAsia="Times New Roman" w:cs="Times New Roman"/>
          <w:color w:val="231F20"/>
          <w:spacing w:val="-9"/>
          <w:sz w:val="20"/>
          <w:szCs w:val="20"/>
        </w:rPr>
        <w:t>11</w:t>
      </w:r>
      <w:r>
        <w:rPr>
          <w:rFonts w:ascii="微软雅黑" w:hAnsi="微软雅黑" w:eastAsia="微软雅黑" w:cs="微软雅黑"/>
          <w:color w:val="231F20"/>
          <w:spacing w:val="-9"/>
          <w:sz w:val="20"/>
          <w:szCs w:val="20"/>
        </w:rPr>
        <w:t>］安心，张鹏</w:t>
      </w:r>
      <w:r>
        <w:rPr>
          <w:rFonts w:ascii="微软雅黑" w:hAnsi="微软雅黑" w:eastAsia="微软雅黑" w:cs="微软雅黑"/>
          <w:color w:val="231F20"/>
          <w:spacing w:val="-13"/>
          <w:sz w:val="20"/>
          <w:szCs w:val="20"/>
        </w:rPr>
        <w:t xml:space="preserve"> </w:t>
      </w:r>
      <w:r>
        <w:rPr>
          <w:rFonts w:ascii="Times New Roman" w:hAnsi="Times New Roman" w:eastAsia="Times New Roman" w:cs="Times New Roman"/>
          <w:color w:val="231F20"/>
          <w:spacing w:val="-9"/>
          <w:sz w:val="20"/>
          <w:szCs w:val="20"/>
        </w:rPr>
        <w:t xml:space="preserve">. </w:t>
      </w:r>
      <w:r>
        <w:rPr>
          <w:rFonts w:ascii="微软雅黑" w:hAnsi="微软雅黑" w:eastAsia="微软雅黑" w:cs="微软雅黑"/>
          <w:color w:val="231F20"/>
          <w:spacing w:val="-9"/>
          <w:sz w:val="20"/>
          <w:szCs w:val="20"/>
        </w:rPr>
        <w:t>构建内生型和外发内生型高等教</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育质量文化［</w:t>
      </w:r>
      <w:r>
        <w:rPr>
          <w:rFonts w:ascii="Times New Roman" w:hAnsi="Times New Roman" w:eastAsia="Times New Roman" w:cs="Times New Roman"/>
          <w:color w:val="231F20"/>
          <w:spacing w:val="-12"/>
          <w:sz w:val="20"/>
          <w:szCs w:val="20"/>
        </w:rPr>
        <w:t>J</w:t>
      </w:r>
      <w:r>
        <w:rPr>
          <w:rFonts w:ascii="微软雅黑" w:hAnsi="微软雅黑" w:eastAsia="微软雅黑" w:cs="微软雅黑"/>
          <w:color w:val="231F20"/>
          <w:spacing w:val="-12"/>
          <w:sz w:val="20"/>
          <w:szCs w:val="20"/>
        </w:rPr>
        <w:t>］</w:t>
      </w:r>
      <w:r>
        <w:rPr>
          <w:rFonts w:ascii="Times New Roman" w:hAnsi="Times New Roman" w:eastAsia="Times New Roman" w:cs="Times New Roman"/>
          <w:color w:val="231F20"/>
          <w:spacing w:val="-12"/>
          <w:sz w:val="20"/>
          <w:szCs w:val="20"/>
        </w:rPr>
        <w:t>.</w:t>
      </w:r>
      <w:r>
        <w:rPr>
          <w:rFonts w:ascii="Times New Roman" w:hAnsi="Times New Roman" w:eastAsia="Times New Roman" w:cs="Times New Roman"/>
          <w:color w:val="231F20"/>
          <w:spacing w:val="16"/>
          <w:sz w:val="20"/>
          <w:szCs w:val="20"/>
        </w:rPr>
        <w:t xml:space="preserve"> </w:t>
      </w:r>
      <w:r>
        <w:rPr>
          <w:rFonts w:ascii="微软雅黑" w:hAnsi="微软雅黑" w:eastAsia="微软雅黑" w:cs="微软雅黑"/>
          <w:color w:val="231F20"/>
          <w:spacing w:val="-12"/>
          <w:sz w:val="20"/>
          <w:szCs w:val="20"/>
        </w:rPr>
        <w:t>中国高等教育，</w:t>
      </w:r>
      <w:r>
        <w:rPr>
          <w:rFonts w:ascii="Times New Roman" w:hAnsi="Times New Roman" w:eastAsia="Times New Roman" w:cs="Times New Roman"/>
          <w:color w:val="231F20"/>
          <w:spacing w:val="-12"/>
          <w:sz w:val="20"/>
          <w:szCs w:val="20"/>
        </w:rPr>
        <w:t>201</w:t>
      </w:r>
      <w:r>
        <w:rPr>
          <w:rFonts w:ascii="Times New Roman" w:hAnsi="Times New Roman" w:eastAsia="Times New Roman" w:cs="Times New Roman"/>
          <w:color w:val="231F20"/>
          <w:spacing w:val="-13"/>
          <w:sz w:val="20"/>
          <w:szCs w:val="20"/>
        </w:rPr>
        <w:t>2</w:t>
      </w:r>
      <w:r>
        <w:rPr>
          <w:rFonts w:ascii="微软雅黑" w:hAnsi="微软雅黑" w:eastAsia="微软雅黑" w:cs="微软雅黑"/>
          <w:color w:val="231F20"/>
          <w:spacing w:val="-13"/>
          <w:sz w:val="20"/>
          <w:szCs w:val="20"/>
        </w:rPr>
        <w:t>（</w:t>
      </w:r>
      <w:r>
        <w:rPr>
          <w:rFonts w:ascii="微软雅黑" w:hAnsi="微软雅黑" w:eastAsia="微软雅黑" w:cs="微软雅黑"/>
          <w:color w:val="231F20"/>
          <w:spacing w:val="-29"/>
          <w:sz w:val="20"/>
          <w:szCs w:val="20"/>
        </w:rPr>
        <w:t xml:space="preserve"> </w:t>
      </w:r>
      <w:r>
        <w:rPr>
          <w:rFonts w:ascii="Times New Roman" w:hAnsi="Times New Roman" w:eastAsia="Times New Roman" w:cs="Times New Roman"/>
          <w:color w:val="231F20"/>
          <w:spacing w:val="-13"/>
          <w:sz w:val="20"/>
          <w:szCs w:val="20"/>
        </w:rPr>
        <w:t>12</w:t>
      </w:r>
      <w:r>
        <w:rPr>
          <w:rFonts w:ascii="微软雅黑" w:hAnsi="微软雅黑" w:eastAsia="微软雅黑" w:cs="微软雅黑"/>
          <w:color w:val="231F20"/>
          <w:spacing w:val="-39"/>
          <w:w w:val="70"/>
          <w:sz w:val="20"/>
          <w:szCs w:val="20"/>
        </w:rPr>
        <w:t>）：</w:t>
      </w:r>
      <w:r>
        <w:rPr>
          <w:rFonts w:ascii="Times New Roman" w:hAnsi="Times New Roman" w:eastAsia="Times New Roman" w:cs="Times New Roman"/>
          <w:color w:val="231F20"/>
          <w:spacing w:val="-13"/>
          <w:sz w:val="20"/>
          <w:szCs w:val="20"/>
        </w:rPr>
        <w:t>42-43.</w:t>
      </w:r>
      <w:r>
        <w:rPr>
          <w:rFonts w:ascii="Times New Roman" w:hAnsi="Times New Roman" w:eastAsia="Times New Roman" w:cs="Times New Roman"/>
          <w:color w:val="231F20"/>
          <w:sz w:val="20"/>
          <w:szCs w:val="20"/>
        </w:rPr>
        <w:t xml:space="preserve">    </w:t>
      </w:r>
      <w:r>
        <w:rPr>
          <w:rFonts w:ascii="微软雅黑" w:hAnsi="微软雅黑" w:eastAsia="微软雅黑" w:cs="微软雅黑"/>
          <w:color w:val="231F20"/>
          <w:spacing w:val="-7"/>
          <w:sz w:val="20"/>
          <w:szCs w:val="20"/>
        </w:rPr>
        <w:t>［</w:t>
      </w:r>
      <w:r>
        <w:rPr>
          <w:rFonts w:ascii="微软雅黑" w:hAnsi="微软雅黑" w:eastAsia="微软雅黑" w:cs="微软雅黑"/>
          <w:color w:val="231F20"/>
          <w:spacing w:val="-27"/>
          <w:sz w:val="20"/>
          <w:szCs w:val="20"/>
        </w:rPr>
        <w:t xml:space="preserve"> </w:t>
      </w:r>
      <w:r>
        <w:rPr>
          <w:rFonts w:ascii="Times New Roman" w:hAnsi="Times New Roman" w:eastAsia="Times New Roman" w:cs="Times New Roman"/>
          <w:color w:val="231F20"/>
          <w:spacing w:val="-7"/>
          <w:sz w:val="20"/>
          <w:szCs w:val="20"/>
        </w:rPr>
        <w:t>12</w:t>
      </w:r>
      <w:r>
        <w:rPr>
          <w:rFonts w:ascii="微软雅黑" w:hAnsi="微软雅黑" w:eastAsia="微软雅黑" w:cs="微软雅黑"/>
          <w:color w:val="231F20"/>
          <w:spacing w:val="-24"/>
          <w:w w:val="58"/>
          <w:sz w:val="20"/>
          <w:szCs w:val="20"/>
        </w:rPr>
        <w:t>］［</w:t>
      </w:r>
      <w:r>
        <w:rPr>
          <w:rFonts w:ascii="Times New Roman" w:hAnsi="Times New Roman" w:eastAsia="Times New Roman" w:cs="Times New Roman"/>
          <w:color w:val="231F20"/>
          <w:spacing w:val="-7"/>
          <w:sz w:val="20"/>
          <w:szCs w:val="20"/>
        </w:rPr>
        <w:t>19</w:t>
      </w:r>
      <w:r>
        <w:rPr>
          <w:rFonts w:ascii="微软雅黑" w:hAnsi="微软雅黑" w:eastAsia="微软雅黑" w:cs="微软雅黑"/>
          <w:color w:val="231F20"/>
          <w:spacing w:val="-7"/>
          <w:sz w:val="20"/>
          <w:szCs w:val="20"/>
        </w:rPr>
        <w:t xml:space="preserve">］何茂勋 </w:t>
      </w:r>
      <w:r>
        <w:rPr>
          <w:rFonts w:ascii="Times New Roman" w:hAnsi="Times New Roman" w:eastAsia="Times New Roman" w:cs="Times New Roman"/>
          <w:color w:val="231F20"/>
          <w:spacing w:val="-7"/>
          <w:sz w:val="20"/>
          <w:szCs w:val="20"/>
        </w:rPr>
        <w:t xml:space="preserve">. </w:t>
      </w:r>
      <w:r>
        <w:rPr>
          <w:rFonts w:ascii="微软雅黑" w:hAnsi="微软雅黑" w:eastAsia="微软雅黑" w:cs="微软雅黑"/>
          <w:color w:val="231F20"/>
          <w:spacing w:val="-7"/>
          <w:sz w:val="20"/>
          <w:szCs w:val="20"/>
        </w:rPr>
        <w:t>高校质量文化论纲［</w:t>
      </w:r>
      <w:r>
        <w:rPr>
          <w:rFonts w:ascii="Times New Roman" w:hAnsi="Times New Roman" w:eastAsia="Times New Roman" w:cs="Times New Roman"/>
          <w:color w:val="231F20"/>
          <w:spacing w:val="-7"/>
          <w:sz w:val="20"/>
          <w:szCs w:val="20"/>
        </w:rPr>
        <w:t>J</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w:t>
      </w:r>
      <w:r>
        <w:rPr>
          <w:rFonts w:ascii="Times New Roman" w:hAnsi="Times New Roman" w:eastAsia="Times New Roman" w:cs="Times New Roman"/>
          <w:color w:val="231F20"/>
          <w:spacing w:val="-8"/>
          <w:sz w:val="20"/>
          <w:szCs w:val="20"/>
        </w:rPr>
        <w:t xml:space="preserve"> </w:t>
      </w:r>
      <w:r>
        <w:rPr>
          <w:rFonts w:ascii="微软雅黑" w:hAnsi="微软雅黑" w:eastAsia="微软雅黑" w:cs="微软雅黑"/>
          <w:color w:val="231F20"/>
          <w:spacing w:val="-8"/>
          <w:sz w:val="20"/>
          <w:szCs w:val="20"/>
        </w:rPr>
        <w:t>高教论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坛，</w:t>
      </w:r>
      <w:r>
        <w:rPr>
          <w:rFonts w:ascii="Times New Roman" w:hAnsi="Times New Roman" w:eastAsia="Times New Roman" w:cs="Times New Roman"/>
          <w:color w:val="231F20"/>
          <w:spacing w:val="-5"/>
          <w:sz w:val="20"/>
          <w:szCs w:val="20"/>
        </w:rPr>
        <w:t>2004</w:t>
      </w:r>
      <w:r>
        <w:rPr>
          <w:rFonts w:ascii="微软雅黑" w:hAnsi="微软雅黑" w:eastAsia="微软雅黑" w:cs="微软雅黑"/>
          <w:color w:val="231F20"/>
          <w:spacing w:val="-5"/>
          <w:sz w:val="20"/>
          <w:szCs w:val="20"/>
        </w:rPr>
        <w:t>（</w:t>
      </w:r>
      <w:r>
        <w:rPr>
          <w:rFonts w:ascii="Times New Roman" w:hAnsi="Times New Roman" w:eastAsia="Times New Roman" w:cs="Times New Roman"/>
          <w:color w:val="231F20"/>
          <w:spacing w:val="-5"/>
          <w:sz w:val="20"/>
          <w:szCs w:val="20"/>
        </w:rPr>
        <w:t>3</w:t>
      </w:r>
      <w:r>
        <w:rPr>
          <w:rFonts w:ascii="微软雅黑" w:hAnsi="微软雅黑" w:eastAsia="微软雅黑" w:cs="微软雅黑"/>
          <w:color w:val="231F20"/>
          <w:spacing w:val="-32"/>
          <w:w w:val="58"/>
          <w:sz w:val="20"/>
          <w:szCs w:val="20"/>
        </w:rPr>
        <w:t>）：</w:t>
      </w:r>
      <w:r>
        <w:rPr>
          <w:rFonts w:ascii="Times New Roman" w:hAnsi="Times New Roman" w:eastAsia="Times New Roman" w:cs="Times New Roman"/>
          <w:color w:val="231F20"/>
          <w:spacing w:val="-5"/>
          <w:sz w:val="20"/>
          <w:szCs w:val="20"/>
        </w:rPr>
        <w:t>140-</w:t>
      </w:r>
      <w:r>
        <w:rPr>
          <w:rFonts w:ascii="Times New Roman" w:hAnsi="Times New Roman" w:eastAsia="Times New Roman" w:cs="Times New Roman"/>
          <w:color w:val="231F20"/>
          <w:spacing w:val="-22"/>
          <w:sz w:val="20"/>
          <w:szCs w:val="20"/>
        </w:rPr>
        <w:t xml:space="preserve"> </w:t>
      </w:r>
      <w:r>
        <w:rPr>
          <w:rFonts w:ascii="Times New Roman" w:hAnsi="Times New Roman" w:eastAsia="Times New Roman" w:cs="Times New Roman"/>
          <w:color w:val="231F20"/>
          <w:spacing w:val="-5"/>
          <w:sz w:val="20"/>
          <w:szCs w:val="20"/>
        </w:rPr>
        <w:t>145.</w:t>
      </w:r>
    </w:p>
    <w:p>
      <w:pPr>
        <w:spacing w:before="34" w:line="210" w:lineRule="auto"/>
        <w:ind w:left="96" w:right="67" w:hanging="96"/>
        <w:rPr>
          <w:rFonts w:ascii="Times New Roman" w:hAnsi="Times New Roman" w:eastAsia="Times New Roman" w:cs="Times New Roman"/>
          <w:sz w:val="20"/>
          <w:szCs w:val="20"/>
        </w:rPr>
      </w:pPr>
      <w:r>
        <w:rPr>
          <w:rFonts w:ascii="微软雅黑" w:hAnsi="微软雅黑" w:eastAsia="微软雅黑" w:cs="微软雅黑"/>
          <w:color w:val="231F20"/>
          <w:spacing w:val="1"/>
          <w:sz w:val="20"/>
          <w:szCs w:val="20"/>
        </w:rPr>
        <w:t>［</w:t>
      </w:r>
      <w:r>
        <w:rPr>
          <w:rFonts w:ascii="Times New Roman" w:hAnsi="Times New Roman" w:eastAsia="Times New Roman" w:cs="Times New Roman"/>
          <w:color w:val="231F20"/>
          <w:spacing w:val="1"/>
          <w:sz w:val="20"/>
          <w:szCs w:val="20"/>
        </w:rPr>
        <w:t>13</w:t>
      </w:r>
      <w:r>
        <w:rPr>
          <w:rFonts w:ascii="微软雅黑" w:hAnsi="微软雅黑" w:eastAsia="微软雅黑" w:cs="微软雅黑"/>
          <w:color w:val="231F20"/>
          <w:spacing w:val="-24"/>
          <w:w w:val="58"/>
          <w:sz w:val="20"/>
          <w:szCs w:val="20"/>
        </w:rPr>
        <w:t>］［</w:t>
      </w:r>
      <w:r>
        <w:rPr>
          <w:rFonts w:ascii="Times New Roman" w:hAnsi="Times New Roman" w:eastAsia="Times New Roman" w:cs="Times New Roman"/>
          <w:color w:val="231F20"/>
          <w:spacing w:val="1"/>
          <w:sz w:val="20"/>
          <w:szCs w:val="20"/>
        </w:rPr>
        <w:t>21</w:t>
      </w:r>
      <w:r>
        <w:rPr>
          <w:rFonts w:ascii="微软雅黑" w:hAnsi="微软雅黑" w:eastAsia="微软雅黑" w:cs="微软雅黑"/>
          <w:color w:val="231F20"/>
          <w:spacing w:val="-24"/>
          <w:w w:val="58"/>
          <w:sz w:val="20"/>
          <w:szCs w:val="20"/>
        </w:rPr>
        <w:t>］［</w:t>
      </w:r>
      <w:r>
        <w:rPr>
          <w:rFonts w:ascii="Times New Roman" w:hAnsi="Times New Roman" w:eastAsia="Times New Roman" w:cs="Times New Roman"/>
          <w:color w:val="231F20"/>
          <w:spacing w:val="1"/>
          <w:sz w:val="20"/>
          <w:szCs w:val="20"/>
        </w:rPr>
        <w:t>29</w:t>
      </w:r>
      <w:r>
        <w:rPr>
          <w:rFonts w:ascii="微软雅黑" w:hAnsi="微软雅黑" w:eastAsia="微软雅黑" w:cs="微软雅黑"/>
          <w:color w:val="231F20"/>
          <w:spacing w:val="1"/>
          <w:sz w:val="20"/>
          <w:szCs w:val="20"/>
        </w:rPr>
        <w:t xml:space="preserve">］柏昌利 </w:t>
      </w:r>
      <w:r>
        <w:rPr>
          <w:rFonts w:ascii="Times New Roman" w:hAnsi="Times New Roman" w:eastAsia="Times New Roman" w:cs="Times New Roman"/>
          <w:color w:val="231F20"/>
          <w:spacing w:val="1"/>
          <w:sz w:val="20"/>
          <w:szCs w:val="20"/>
        </w:rPr>
        <w:t xml:space="preserve">. </w:t>
      </w:r>
      <w:r>
        <w:rPr>
          <w:rFonts w:ascii="微软雅黑" w:hAnsi="微软雅黑" w:eastAsia="微软雅黑" w:cs="微软雅黑"/>
          <w:color w:val="231F20"/>
          <w:spacing w:val="1"/>
          <w:sz w:val="20"/>
          <w:szCs w:val="20"/>
        </w:rPr>
        <w:t xml:space="preserve">高校质量文化及其构建策 </w:t>
      </w:r>
      <w:r>
        <w:rPr>
          <w:rFonts w:ascii="微软雅黑" w:hAnsi="微软雅黑" w:eastAsia="微软雅黑" w:cs="微软雅黑"/>
          <w:color w:val="231F20"/>
          <w:spacing w:val="-15"/>
          <w:sz w:val="20"/>
          <w:szCs w:val="20"/>
        </w:rPr>
        <w:t>略研究［</w:t>
      </w:r>
      <w:r>
        <w:rPr>
          <w:rFonts w:ascii="Times New Roman" w:hAnsi="Times New Roman" w:eastAsia="Times New Roman" w:cs="Times New Roman"/>
          <w:color w:val="231F20"/>
          <w:spacing w:val="-15"/>
          <w:sz w:val="20"/>
          <w:szCs w:val="20"/>
        </w:rPr>
        <w:t>J</w:t>
      </w:r>
      <w:r>
        <w:rPr>
          <w:rFonts w:ascii="微软雅黑" w:hAnsi="微软雅黑" w:eastAsia="微软雅黑" w:cs="微软雅黑"/>
          <w:color w:val="231F20"/>
          <w:spacing w:val="-15"/>
          <w:sz w:val="20"/>
          <w:szCs w:val="20"/>
        </w:rPr>
        <w:t>］</w:t>
      </w:r>
      <w:r>
        <w:rPr>
          <w:rFonts w:ascii="Times New Roman" w:hAnsi="Times New Roman" w:eastAsia="Times New Roman" w:cs="Times New Roman"/>
          <w:color w:val="231F20"/>
          <w:spacing w:val="-15"/>
          <w:sz w:val="20"/>
          <w:szCs w:val="20"/>
        </w:rPr>
        <w:t>.</w:t>
      </w:r>
      <w:r>
        <w:rPr>
          <w:rFonts w:ascii="Times New Roman" w:hAnsi="Times New Roman" w:eastAsia="Times New Roman" w:cs="Times New Roman"/>
          <w:color w:val="231F20"/>
          <w:spacing w:val="16"/>
          <w:w w:val="101"/>
          <w:sz w:val="20"/>
          <w:szCs w:val="20"/>
        </w:rPr>
        <w:t xml:space="preserve"> </w:t>
      </w:r>
      <w:r>
        <w:rPr>
          <w:rFonts w:ascii="微软雅黑" w:hAnsi="微软雅黑" w:eastAsia="微软雅黑" w:cs="微软雅黑"/>
          <w:color w:val="231F20"/>
          <w:spacing w:val="-15"/>
          <w:sz w:val="20"/>
          <w:szCs w:val="20"/>
        </w:rPr>
        <w:t>中国电子教育，</w:t>
      </w:r>
      <w:r>
        <w:rPr>
          <w:rFonts w:ascii="Times New Roman" w:hAnsi="Times New Roman" w:eastAsia="Times New Roman" w:cs="Times New Roman"/>
          <w:color w:val="231F20"/>
          <w:spacing w:val="-15"/>
          <w:sz w:val="20"/>
          <w:szCs w:val="20"/>
        </w:rPr>
        <w:t>2008</w:t>
      </w:r>
      <w:r>
        <w:rPr>
          <w:rFonts w:ascii="微软雅黑" w:hAnsi="微软雅黑" w:eastAsia="微软雅黑" w:cs="微软雅黑"/>
          <w:color w:val="231F20"/>
          <w:spacing w:val="-15"/>
          <w:sz w:val="20"/>
          <w:szCs w:val="20"/>
        </w:rPr>
        <w:t>（</w:t>
      </w:r>
      <w:r>
        <w:rPr>
          <w:rFonts w:ascii="Times New Roman" w:hAnsi="Times New Roman" w:eastAsia="Times New Roman" w:cs="Times New Roman"/>
          <w:color w:val="231F20"/>
          <w:spacing w:val="-15"/>
          <w:sz w:val="20"/>
          <w:szCs w:val="20"/>
        </w:rPr>
        <w:t>2</w:t>
      </w:r>
      <w:r>
        <w:rPr>
          <w:rFonts w:ascii="微软雅黑" w:hAnsi="微软雅黑" w:eastAsia="微软雅黑" w:cs="微软雅黑"/>
          <w:color w:val="231F20"/>
          <w:spacing w:val="-32"/>
          <w:w w:val="58"/>
          <w:sz w:val="20"/>
          <w:szCs w:val="20"/>
        </w:rPr>
        <w:t>）：</w:t>
      </w:r>
      <w:r>
        <w:rPr>
          <w:rFonts w:ascii="Times New Roman" w:hAnsi="Times New Roman" w:eastAsia="Times New Roman" w:cs="Times New Roman"/>
          <w:color w:val="231F20"/>
          <w:spacing w:val="-15"/>
          <w:sz w:val="20"/>
          <w:szCs w:val="20"/>
        </w:rPr>
        <w:t>19-22.</w:t>
      </w:r>
    </w:p>
    <w:p>
      <w:pPr>
        <w:spacing w:before="33" w:line="210" w:lineRule="auto"/>
        <w:ind w:left="91" w:right="67" w:hanging="92"/>
        <w:rPr>
          <w:rFonts w:ascii="Times New Roman" w:hAnsi="Times New Roman" w:eastAsia="Times New Roman" w:cs="Times New Roman"/>
          <w:sz w:val="20"/>
          <w:szCs w:val="20"/>
        </w:rPr>
      </w:pPr>
      <w:r>
        <w:rPr>
          <w:rFonts w:ascii="微软雅黑" w:hAnsi="微软雅黑" w:eastAsia="微软雅黑" w:cs="微软雅黑"/>
          <w:color w:val="231F20"/>
          <w:spacing w:val="-2"/>
          <w:sz w:val="20"/>
          <w:szCs w:val="20"/>
        </w:rPr>
        <w:t>［</w:t>
      </w:r>
      <w:r>
        <w:rPr>
          <w:rFonts w:ascii="微软雅黑" w:hAnsi="微软雅黑" w:eastAsia="微软雅黑" w:cs="微软雅黑"/>
          <w:color w:val="231F20"/>
          <w:spacing w:val="-15"/>
          <w:sz w:val="20"/>
          <w:szCs w:val="20"/>
        </w:rPr>
        <w:t xml:space="preserve"> </w:t>
      </w:r>
      <w:r>
        <w:rPr>
          <w:rFonts w:ascii="Times New Roman" w:hAnsi="Times New Roman" w:eastAsia="Times New Roman" w:cs="Times New Roman"/>
          <w:color w:val="231F20"/>
          <w:spacing w:val="-2"/>
          <w:sz w:val="20"/>
          <w:szCs w:val="20"/>
        </w:rPr>
        <w:t>14</w:t>
      </w:r>
      <w:r>
        <w:rPr>
          <w:rFonts w:ascii="微软雅黑" w:hAnsi="微软雅黑" w:eastAsia="微软雅黑" w:cs="微软雅黑"/>
          <w:color w:val="231F20"/>
          <w:spacing w:val="-2"/>
          <w:sz w:val="20"/>
          <w:szCs w:val="20"/>
        </w:rPr>
        <w:t xml:space="preserve">］王姗姗 </w:t>
      </w:r>
      <w:r>
        <w:rPr>
          <w:rFonts w:ascii="Times New Roman" w:hAnsi="Times New Roman" w:eastAsia="Times New Roman" w:cs="Times New Roman"/>
          <w:color w:val="231F20"/>
          <w:spacing w:val="-2"/>
          <w:sz w:val="20"/>
          <w:szCs w:val="20"/>
        </w:rPr>
        <w:t xml:space="preserve">. </w:t>
      </w:r>
      <w:r>
        <w:rPr>
          <w:rFonts w:ascii="微软雅黑" w:hAnsi="微软雅黑" w:eastAsia="微软雅黑" w:cs="微软雅黑"/>
          <w:color w:val="231F20"/>
          <w:spacing w:val="-2"/>
          <w:sz w:val="20"/>
          <w:szCs w:val="20"/>
        </w:rPr>
        <w:t>高校质量文化的内涵解析与价值诉</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求［</w:t>
      </w:r>
      <w:r>
        <w:rPr>
          <w:rFonts w:ascii="Times New Roman" w:hAnsi="Times New Roman" w:eastAsia="Times New Roman" w:cs="Times New Roman"/>
          <w:color w:val="231F20"/>
          <w:spacing w:val="-17"/>
          <w:sz w:val="20"/>
          <w:szCs w:val="20"/>
        </w:rPr>
        <w:t>J</w:t>
      </w:r>
      <w:r>
        <w:rPr>
          <w:rFonts w:ascii="微软雅黑" w:hAnsi="微软雅黑" w:eastAsia="微软雅黑" w:cs="微软雅黑"/>
          <w:color w:val="231F20"/>
          <w:spacing w:val="-17"/>
          <w:sz w:val="20"/>
          <w:szCs w:val="20"/>
        </w:rPr>
        <w:t>］</w:t>
      </w:r>
      <w:r>
        <w:rPr>
          <w:rFonts w:ascii="Times New Roman" w:hAnsi="Times New Roman" w:eastAsia="Times New Roman" w:cs="Times New Roman"/>
          <w:color w:val="231F20"/>
          <w:spacing w:val="-17"/>
          <w:sz w:val="20"/>
          <w:szCs w:val="20"/>
        </w:rPr>
        <w:t xml:space="preserve">. </w:t>
      </w:r>
      <w:r>
        <w:rPr>
          <w:rFonts w:ascii="微软雅黑" w:hAnsi="微软雅黑" w:eastAsia="微软雅黑" w:cs="微软雅黑"/>
          <w:color w:val="231F20"/>
          <w:spacing w:val="-17"/>
          <w:sz w:val="20"/>
          <w:szCs w:val="20"/>
        </w:rPr>
        <w:t>高等农业教育，</w:t>
      </w:r>
      <w:r>
        <w:rPr>
          <w:rFonts w:ascii="Times New Roman" w:hAnsi="Times New Roman" w:eastAsia="Times New Roman" w:cs="Times New Roman"/>
          <w:color w:val="231F20"/>
          <w:spacing w:val="-17"/>
          <w:sz w:val="20"/>
          <w:szCs w:val="20"/>
        </w:rPr>
        <w:t>2015</w:t>
      </w:r>
      <w:r>
        <w:rPr>
          <w:rFonts w:ascii="微软雅黑" w:hAnsi="微软雅黑" w:eastAsia="微软雅黑" w:cs="微软雅黑"/>
          <w:color w:val="231F20"/>
          <w:spacing w:val="-17"/>
          <w:sz w:val="20"/>
          <w:szCs w:val="20"/>
        </w:rPr>
        <w:t>（</w:t>
      </w:r>
      <w:r>
        <w:rPr>
          <w:rFonts w:ascii="Times New Roman" w:hAnsi="Times New Roman" w:eastAsia="Times New Roman" w:cs="Times New Roman"/>
          <w:color w:val="231F20"/>
          <w:spacing w:val="-17"/>
          <w:sz w:val="20"/>
          <w:szCs w:val="20"/>
        </w:rPr>
        <w:t>6</w:t>
      </w:r>
      <w:r>
        <w:rPr>
          <w:rFonts w:ascii="微软雅黑" w:hAnsi="微软雅黑" w:eastAsia="微软雅黑" w:cs="微软雅黑"/>
          <w:color w:val="231F20"/>
          <w:spacing w:val="-42"/>
          <w:w w:val="76"/>
          <w:sz w:val="20"/>
          <w:szCs w:val="20"/>
        </w:rPr>
        <w:t>）：</w:t>
      </w:r>
      <w:r>
        <w:rPr>
          <w:rFonts w:ascii="Times New Roman" w:hAnsi="Times New Roman" w:eastAsia="Times New Roman" w:cs="Times New Roman"/>
          <w:color w:val="231F20"/>
          <w:spacing w:val="-17"/>
          <w:sz w:val="20"/>
          <w:szCs w:val="20"/>
        </w:rPr>
        <w:t>24-26.</w:t>
      </w:r>
    </w:p>
    <w:p>
      <w:pPr>
        <w:spacing w:before="34" w:line="158" w:lineRule="auto"/>
        <w:rPr>
          <w:rFonts w:ascii="微软雅黑" w:hAnsi="微软雅黑" w:eastAsia="微软雅黑" w:cs="微软雅黑"/>
          <w:sz w:val="20"/>
          <w:szCs w:val="20"/>
        </w:rPr>
      </w:pPr>
      <w:r>
        <w:rPr>
          <w:rFonts w:ascii="微软雅黑" w:hAnsi="微软雅黑" w:eastAsia="微软雅黑" w:cs="微软雅黑"/>
          <w:color w:val="231F20"/>
          <w:spacing w:val="-13"/>
          <w:sz w:val="20"/>
          <w:szCs w:val="20"/>
        </w:rPr>
        <w:t>［</w:t>
      </w:r>
      <w:r>
        <w:rPr>
          <w:rFonts w:ascii="Times New Roman" w:hAnsi="Times New Roman" w:eastAsia="Times New Roman" w:cs="Times New Roman"/>
          <w:color w:val="231F20"/>
          <w:spacing w:val="-13"/>
          <w:sz w:val="20"/>
          <w:szCs w:val="20"/>
        </w:rPr>
        <w:t>15</w:t>
      </w:r>
      <w:r>
        <w:rPr>
          <w:rFonts w:ascii="微软雅黑" w:hAnsi="微软雅黑" w:eastAsia="微软雅黑" w:cs="微软雅黑"/>
          <w:color w:val="231F20"/>
          <w:spacing w:val="-13"/>
          <w:sz w:val="20"/>
          <w:szCs w:val="20"/>
        </w:rPr>
        <w:t>］张蓓</w:t>
      </w:r>
      <w:r>
        <w:rPr>
          <w:rFonts w:ascii="微软雅黑" w:hAnsi="微软雅黑" w:eastAsia="微软雅黑" w:cs="微软雅黑"/>
          <w:color w:val="231F20"/>
          <w:spacing w:val="-15"/>
          <w:sz w:val="20"/>
          <w:szCs w:val="20"/>
        </w:rPr>
        <w:t xml:space="preserve"> </w:t>
      </w:r>
      <w:r>
        <w:rPr>
          <w:rFonts w:ascii="Times New Roman" w:hAnsi="Times New Roman" w:eastAsia="Times New Roman" w:cs="Times New Roman"/>
          <w:color w:val="231F20"/>
          <w:spacing w:val="-13"/>
          <w:sz w:val="20"/>
          <w:szCs w:val="20"/>
        </w:rPr>
        <w:t xml:space="preserve">. </w:t>
      </w:r>
      <w:r>
        <w:rPr>
          <w:rFonts w:ascii="微软雅黑" w:hAnsi="微软雅黑" w:eastAsia="微软雅黑" w:cs="微软雅黑"/>
          <w:color w:val="231F20"/>
          <w:spacing w:val="-13"/>
          <w:sz w:val="20"/>
          <w:szCs w:val="20"/>
        </w:rPr>
        <w:t>高校质量文化构建探析［</w:t>
      </w:r>
      <w:r>
        <w:rPr>
          <w:rFonts w:ascii="Times New Roman" w:hAnsi="Times New Roman" w:eastAsia="Times New Roman" w:cs="Times New Roman"/>
          <w:color w:val="231F20"/>
          <w:spacing w:val="-13"/>
          <w:sz w:val="20"/>
          <w:szCs w:val="20"/>
        </w:rPr>
        <w:t>J</w:t>
      </w:r>
      <w:r>
        <w:rPr>
          <w:rFonts w:ascii="微软雅黑" w:hAnsi="微软雅黑" w:eastAsia="微软雅黑" w:cs="微软雅黑"/>
          <w:color w:val="231F20"/>
          <w:spacing w:val="-13"/>
          <w:sz w:val="20"/>
          <w:szCs w:val="20"/>
        </w:rPr>
        <w:t>］</w:t>
      </w:r>
      <w:r>
        <w:rPr>
          <w:rFonts w:ascii="Times New Roman" w:hAnsi="Times New Roman" w:eastAsia="Times New Roman" w:cs="Times New Roman"/>
          <w:color w:val="231F20"/>
          <w:spacing w:val="-13"/>
          <w:sz w:val="20"/>
          <w:szCs w:val="20"/>
        </w:rPr>
        <w:t xml:space="preserve">. </w:t>
      </w:r>
      <w:r>
        <w:rPr>
          <w:rFonts w:ascii="微软雅黑" w:hAnsi="微软雅黑" w:eastAsia="微软雅黑" w:cs="微软雅黑"/>
          <w:color w:val="231F20"/>
          <w:spacing w:val="-13"/>
          <w:sz w:val="20"/>
          <w:szCs w:val="20"/>
        </w:rPr>
        <w:t>集</w:t>
      </w:r>
      <w:r>
        <w:rPr>
          <w:rFonts w:ascii="微软雅黑" w:hAnsi="微软雅黑" w:eastAsia="微软雅黑" w:cs="微软雅黑"/>
          <w:color w:val="231F20"/>
          <w:spacing w:val="-14"/>
          <w:sz w:val="20"/>
          <w:szCs w:val="20"/>
        </w:rPr>
        <w:t>美大学学</w:t>
      </w:r>
    </w:p>
    <w:p>
      <w:pPr>
        <w:spacing w:line="158" w:lineRule="auto"/>
        <w:rPr>
          <w:rFonts w:ascii="微软雅黑" w:hAnsi="微软雅黑" w:eastAsia="微软雅黑" w:cs="微软雅黑"/>
          <w:sz w:val="20"/>
          <w:szCs w:val="20"/>
        </w:rPr>
        <w:sectPr>
          <w:type w:val="continuous"/>
          <w:pgSz w:w="11906" w:h="16158"/>
          <w:pgMar w:top="1489" w:right="1408" w:bottom="547" w:left="407" w:header="1198" w:footer="354" w:gutter="0"/>
          <w:cols w:equalWidth="0" w:num="2">
            <w:col w:w="5567" w:space="100"/>
            <w:col w:w="4423"/>
          </w:cols>
        </w:sectPr>
      </w:pPr>
    </w:p>
    <w:p>
      <w:pPr>
        <w:spacing w:line="302" w:lineRule="auto"/>
        <w:rPr>
          <w:rFonts w:ascii="Arial"/>
          <w:sz w:val="21"/>
        </w:rPr>
      </w:pPr>
    </w:p>
    <w:p>
      <w:pPr>
        <w:spacing w:before="85" w:line="152" w:lineRule="exact"/>
        <w:ind w:left="1129"/>
        <w:rPr>
          <w:rFonts w:ascii="微软雅黑" w:hAnsi="微软雅黑" w:eastAsia="微软雅黑" w:cs="微软雅黑"/>
          <w:sz w:val="20"/>
          <w:szCs w:val="20"/>
        </w:rPr>
      </w:pPr>
      <w:r>
        <w:rPr>
          <w:rFonts w:ascii="微软雅黑" w:hAnsi="微软雅黑" w:eastAsia="微软雅黑" w:cs="微软雅黑"/>
          <w:color w:val="231F20"/>
          <w:spacing w:val="1"/>
          <w:position w:val="-3"/>
          <w:sz w:val="20"/>
          <w:szCs w:val="20"/>
        </w:rPr>
        <w:t>-   30</w:t>
      </w:r>
      <w:r>
        <w:rPr>
          <w:rFonts w:ascii="微软雅黑" w:hAnsi="微软雅黑" w:eastAsia="微软雅黑" w:cs="微软雅黑"/>
          <w:color w:val="231F20"/>
          <w:spacing w:val="29"/>
          <w:w w:val="101"/>
          <w:position w:val="-3"/>
          <w:sz w:val="20"/>
          <w:szCs w:val="20"/>
        </w:rPr>
        <w:t xml:space="preserve">  </w:t>
      </w:r>
      <w:r>
        <w:rPr>
          <w:rFonts w:ascii="微软雅黑" w:hAnsi="微软雅黑" w:eastAsia="微软雅黑" w:cs="微软雅黑"/>
          <w:color w:val="231F20"/>
          <w:spacing w:val="1"/>
          <w:position w:val="-3"/>
          <w:sz w:val="20"/>
          <w:szCs w:val="20"/>
        </w:rPr>
        <w:t>-</w:t>
      </w:r>
    </w:p>
    <w:p>
      <w:pPr>
        <w:spacing w:line="152" w:lineRule="exact"/>
        <w:rPr>
          <w:rFonts w:ascii="微软雅黑" w:hAnsi="微软雅黑" w:eastAsia="微软雅黑" w:cs="微软雅黑"/>
          <w:sz w:val="20"/>
          <w:szCs w:val="20"/>
        </w:rPr>
        <w:sectPr>
          <w:type w:val="continuous"/>
          <w:pgSz w:w="11906" w:h="16158"/>
          <w:pgMar w:top="1489" w:right="1408" w:bottom="547" w:left="407" w:header="1198" w:footer="354" w:gutter="0"/>
          <w:cols w:equalWidth="0" w:num="1">
            <w:col w:w="10090"/>
          </w:cols>
        </w:sectPr>
      </w:pPr>
    </w:p>
    <w:p>
      <w:pPr>
        <w:spacing w:line="110" w:lineRule="exact"/>
      </w:pPr>
    </w:p>
    <w:p>
      <w:pPr>
        <w:spacing w:line="110" w:lineRule="exact"/>
        <w:sectPr>
          <w:headerReference r:id="rId40" w:type="default"/>
          <w:footerReference r:id="rId41" w:type="default"/>
          <w:pgSz w:w="11906" w:h="16158"/>
          <w:pgMar w:top="1489" w:right="1408" w:bottom="547" w:left="407" w:header="1198" w:footer="354" w:gutter="0"/>
          <w:cols w:equalWidth="0" w:num="1">
            <w:col w:w="10090"/>
          </w:cols>
        </w:sectPr>
      </w:pPr>
    </w:p>
    <w:p>
      <w:pPr>
        <w:spacing w:before="45" w:line="199" w:lineRule="auto"/>
        <w:ind w:left="1081"/>
        <w:rPr>
          <w:rFonts w:ascii="Times New Roman" w:hAnsi="Times New Roman" w:eastAsia="Times New Roman" w:cs="Times New Roman"/>
          <w:sz w:val="20"/>
          <w:szCs w:val="20"/>
        </w:rPr>
      </w:pPr>
      <w:r>
        <w:rPr>
          <w:rFonts w:ascii="微软雅黑" w:hAnsi="微软雅黑" w:eastAsia="微软雅黑" w:cs="微软雅黑"/>
          <w:color w:val="231F20"/>
          <w:spacing w:val="-10"/>
          <w:sz w:val="20"/>
          <w:szCs w:val="20"/>
        </w:rPr>
        <w:t>报，</w:t>
      </w:r>
      <w:r>
        <w:rPr>
          <w:rFonts w:ascii="Times New Roman" w:hAnsi="Times New Roman" w:eastAsia="Times New Roman" w:cs="Times New Roman"/>
          <w:color w:val="231F20"/>
          <w:spacing w:val="-10"/>
          <w:sz w:val="20"/>
          <w:szCs w:val="20"/>
        </w:rPr>
        <w:t>2006</w:t>
      </w:r>
      <w:r>
        <w:rPr>
          <w:rFonts w:ascii="微软雅黑" w:hAnsi="微软雅黑" w:eastAsia="微软雅黑" w:cs="微软雅黑"/>
          <w:color w:val="231F20"/>
          <w:spacing w:val="-10"/>
          <w:sz w:val="20"/>
          <w:szCs w:val="20"/>
        </w:rPr>
        <w:t>（</w:t>
      </w:r>
      <w:r>
        <w:rPr>
          <w:rFonts w:ascii="Times New Roman" w:hAnsi="Times New Roman" w:eastAsia="Times New Roman" w:cs="Times New Roman"/>
          <w:color w:val="231F20"/>
          <w:spacing w:val="-10"/>
          <w:sz w:val="20"/>
          <w:szCs w:val="20"/>
        </w:rPr>
        <w:t>4</w:t>
      </w:r>
      <w:r>
        <w:rPr>
          <w:rFonts w:ascii="微软雅黑" w:hAnsi="微软雅黑" w:eastAsia="微软雅黑" w:cs="微软雅黑"/>
          <w:color w:val="231F20"/>
          <w:spacing w:val="-31"/>
          <w:w w:val="57"/>
          <w:sz w:val="20"/>
          <w:szCs w:val="20"/>
        </w:rPr>
        <w:t>）：</w:t>
      </w:r>
      <w:r>
        <w:rPr>
          <w:rFonts w:ascii="Times New Roman" w:hAnsi="Times New Roman" w:eastAsia="Times New Roman" w:cs="Times New Roman"/>
          <w:color w:val="231F20"/>
          <w:spacing w:val="-10"/>
          <w:sz w:val="20"/>
          <w:szCs w:val="20"/>
        </w:rPr>
        <w:t>75-78.</w:t>
      </w:r>
    </w:p>
    <w:p>
      <w:pPr>
        <w:spacing w:before="33" w:line="210" w:lineRule="auto"/>
        <w:ind w:left="1076" w:right="217" w:hanging="83"/>
        <w:rPr>
          <w:rFonts w:ascii="Times New Roman" w:hAnsi="Times New Roman" w:eastAsia="Times New Roman" w:cs="Times New Roman"/>
          <w:sz w:val="20"/>
          <w:szCs w:val="20"/>
        </w:rPr>
      </w:pP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16</w:t>
      </w:r>
      <w:r>
        <w:rPr>
          <w:rFonts w:ascii="微软雅黑" w:hAnsi="微软雅黑" w:eastAsia="微软雅黑" w:cs="微软雅黑"/>
          <w:color w:val="231F20"/>
          <w:spacing w:val="-7"/>
          <w:sz w:val="20"/>
          <w:szCs w:val="20"/>
        </w:rPr>
        <w:t xml:space="preserve">］邱文教 </w:t>
      </w:r>
      <w:r>
        <w:rPr>
          <w:rFonts w:ascii="Times New Roman" w:hAnsi="Times New Roman" w:eastAsia="Times New Roman" w:cs="Times New Roman"/>
          <w:color w:val="231F20"/>
          <w:spacing w:val="-7"/>
          <w:sz w:val="20"/>
          <w:szCs w:val="20"/>
        </w:rPr>
        <w:t xml:space="preserve">. </w:t>
      </w:r>
      <w:r>
        <w:rPr>
          <w:rFonts w:ascii="微软雅黑" w:hAnsi="微软雅黑" w:eastAsia="微软雅黑" w:cs="微软雅黑"/>
          <w:color w:val="231F20"/>
          <w:spacing w:val="-7"/>
          <w:sz w:val="20"/>
          <w:szCs w:val="20"/>
        </w:rPr>
        <w:t>教学质量文化建设探讨［</w:t>
      </w:r>
      <w:r>
        <w:rPr>
          <w:rFonts w:ascii="Times New Roman" w:hAnsi="Times New Roman" w:eastAsia="Times New Roman" w:cs="Times New Roman"/>
          <w:color w:val="231F20"/>
          <w:spacing w:val="-7"/>
          <w:sz w:val="20"/>
          <w:szCs w:val="20"/>
        </w:rPr>
        <w:t>J</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 xml:space="preserve">. </w:t>
      </w:r>
      <w:r>
        <w:rPr>
          <w:rFonts w:ascii="微软雅黑" w:hAnsi="微软雅黑" w:eastAsia="微软雅黑" w:cs="微软雅黑"/>
          <w:color w:val="231F20"/>
          <w:spacing w:val="-7"/>
          <w:sz w:val="20"/>
          <w:szCs w:val="20"/>
        </w:rPr>
        <w:t>教育评</w:t>
      </w:r>
      <w:r>
        <w:rPr>
          <w:rFonts w:ascii="微软雅黑" w:hAnsi="微软雅黑" w:eastAsia="微软雅黑" w:cs="微软雅黑"/>
          <w:color w:val="231F20"/>
          <w:spacing w:val="13"/>
          <w:sz w:val="20"/>
          <w:szCs w:val="20"/>
        </w:rPr>
        <w:t xml:space="preserve"> </w:t>
      </w:r>
      <w:r>
        <w:rPr>
          <w:rFonts w:ascii="微软雅黑" w:hAnsi="微软雅黑" w:eastAsia="微软雅黑" w:cs="微软雅黑"/>
          <w:color w:val="231F20"/>
          <w:spacing w:val="-12"/>
          <w:sz w:val="20"/>
          <w:szCs w:val="20"/>
        </w:rPr>
        <w:t>论，</w:t>
      </w:r>
      <w:r>
        <w:rPr>
          <w:rFonts w:ascii="Times New Roman" w:hAnsi="Times New Roman" w:eastAsia="Times New Roman" w:cs="Times New Roman"/>
          <w:color w:val="231F20"/>
          <w:spacing w:val="-12"/>
          <w:sz w:val="20"/>
          <w:szCs w:val="20"/>
        </w:rPr>
        <w:t>2007</w:t>
      </w:r>
      <w:r>
        <w:rPr>
          <w:rFonts w:ascii="微软雅黑" w:hAnsi="微软雅黑" w:eastAsia="微软雅黑" w:cs="微软雅黑"/>
          <w:color w:val="231F20"/>
          <w:spacing w:val="-12"/>
          <w:sz w:val="20"/>
          <w:szCs w:val="20"/>
        </w:rPr>
        <w:t>（</w:t>
      </w:r>
      <w:r>
        <w:rPr>
          <w:rFonts w:ascii="Times New Roman" w:hAnsi="Times New Roman" w:eastAsia="Times New Roman" w:cs="Times New Roman"/>
          <w:color w:val="231F20"/>
          <w:spacing w:val="-12"/>
          <w:sz w:val="20"/>
          <w:szCs w:val="20"/>
        </w:rPr>
        <w:t>5</w:t>
      </w:r>
      <w:r>
        <w:rPr>
          <w:rFonts w:ascii="微软雅黑" w:hAnsi="微软雅黑" w:eastAsia="微软雅黑" w:cs="微软雅黑"/>
          <w:color w:val="231F20"/>
          <w:spacing w:val="-33"/>
          <w:w w:val="60"/>
          <w:sz w:val="20"/>
          <w:szCs w:val="20"/>
        </w:rPr>
        <w:t>）：</w:t>
      </w:r>
      <w:r>
        <w:rPr>
          <w:rFonts w:ascii="Times New Roman" w:hAnsi="Times New Roman" w:eastAsia="Times New Roman" w:cs="Times New Roman"/>
          <w:color w:val="231F20"/>
          <w:spacing w:val="-12"/>
          <w:sz w:val="20"/>
          <w:szCs w:val="20"/>
        </w:rPr>
        <w:t>17-</w:t>
      </w:r>
      <w:r>
        <w:rPr>
          <w:rFonts w:ascii="Times New Roman" w:hAnsi="Times New Roman" w:eastAsia="Times New Roman" w:cs="Times New Roman"/>
          <w:color w:val="231F20"/>
          <w:spacing w:val="-24"/>
          <w:sz w:val="20"/>
          <w:szCs w:val="20"/>
        </w:rPr>
        <w:t xml:space="preserve"> </w:t>
      </w:r>
      <w:r>
        <w:rPr>
          <w:rFonts w:ascii="Times New Roman" w:hAnsi="Times New Roman" w:eastAsia="Times New Roman" w:cs="Times New Roman"/>
          <w:color w:val="231F20"/>
          <w:spacing w:val="-12"/>
          <w:sz w:val="20"/>
          <w:szCs w:val="20"/>
        </w:rPr>
        <w:t>19.</w:t>
      </w:r>
    </w:p>
    <w:p>
      <w:pPr>
        <w:spacing w:before="33" w:line="210" w:lineRule="auto"/>
        <w:ind w:left="1084" w:right="214" w:hanging="91"/>
        <w:rPr>
          <w:rFonts w:ascii="Times New Roman" w:hAnsi="Times New Roman" w:eastAsia="Times New Roman" w:cs="Times New Roman"/>
          <w:sz w:val="20"/>
          <w:szCs w:val="20"/>
        </w:rPr>
      </w:pPr>
      <w:r>
        <w:rPr>
          <w:rFonts w:ascii="微软雅黑" w:hAnsi="微软雅黑" w:eastAsia="微软雅黑" w:cs="微软雅黑"/>
          <w:color w:val="231F20"/>
          <w:spacing w:val="-12"/>
          <w:sz w:val="20"/>
          <w:szCs w:val="20"/>
        </w:rPr>
        <w:t>［</w:t>
      </w:r>
      <w:r>
        <w:rPr>
          <w:rFonts w:ascii="Times New Roman" w:hAnsi="Times New Roman" w:eastAsia="Times New Roman" w:cs="Times New Roman"/>
          <w:color w:val="231F20"/>
          <w:spacing w:val="-12"/>
          <w:sz w:val="20"/>
          <w:szCs w:val="20"/>
        </w:rPr>
        <w:t>17</w:t>
      </w:r>
      <w:r>
        <w:rPr>
          <w:rFonts w:ascii="微软雅黑" w:hAnsi="微软雅黑" w:eastAsia="微软雅黑" w:cs="微软雅黑"/>
          <w:color w:val="231F20"/>
          <w:spacing w:val="-12"/>
          <w:sz w:val="20"/>
          <w:szCs w:val="20"/>
        </w:rPr>
        <w:t>］刘丹平</w:t>
      </w:r>
      <w:r>
        <w:rPr>
          <w:rFonts w:ascii="微软雅黑" w:hAnsi="微软雅黑" w:eastAsia="微软雅黑" w:cs="微软雅黑"/>
          <w:color w:val="231F20"/>
          <w:spacing w:val="-6"/>
          <w:sz w:val="20"/>
          <w:szCs w:val="20"/>
        </w:rPr>
        <w:t xml:space="preserve"> </w:t>
      </w:r>
      <w:r>
        <w:rPr>
          <w:rFonts w:ascii="Times New Roman" w:hAnsi="Times New Roman" w:eastAsia="Times New Roman" w:cs="Times New Roman"/>
          <w:color w:val="231F20"/>
          <w:spacing w:val="-12"/>
          <w:sz w:val="20"/>
          <w:szCs w:val="20"/>
        </w:rPr>
        <w:t xml:space="preserve">. </w:t>
      </w:r>
      <w:r>
        <w:rPr>
          <w:rFonts w:ascii="微软雅黑" w:hAnsi="微软雅黑" w:eastAsia="微软雅黑" w:cs="微软雅黑"/>
          <w:color w:val="231F20"/>
          <w:spacing w:val="-12"/>
          <w:sz w:val="20"/>
          <w:szCs w:val="20"/>
        </w:rPr>
        <w:t>试论高校质量文化建设策略评价［</w:t>
      </w:r>
      <w:r>
        <w:rPr>
          <w:rFonts w:ascii="Times New Roman" w:hAnsi="Times New Roman" w:eastAsia="Times New Roman" w:cs="Times New Roman"/>
          <w:color w:val="231F20"/>
          <w:spacing w:val="-12"/>
          <w:sz w:val="20"/>
          <w:szCs w:val="20"/>
        </w:rPr>
        <w:t>J</w:t>
      </w:r>
      <w:r>
        <w:rPr>
          <w:rFonts w:ascii="微软雅黑" w:hAnsi="微软雅黑" w:eastAsia="微软雅黑" w:cs="微软雅黑"/>
          <w:color w:val="231F20"/>
          <w:spacing w:val="-12"/>
          <w:sz w:val="20"/>
          <w:szCs w:val="20"/>
        </w:rPr>
        <w:t>］</w:t>
      </w:r>
      <w:r>
        <w:rPr>
          <w:rFonts w:ascii="Times New Roman" w:hAnsi="Times New Roman" w:eastAsia="Times New Roman" w:cs="Times New Roman"/>
          <w:color w:val="231F20"/>
          <w:spacing w:val="-12"/>
          <w:sz w:val="20"/>
          <w:szCs w:val="20"/>
        </w:rPr>
        <w:t>.</w:t>
      </w:r>
      <w:r>
        <w:rPr>
          <w:rFonts w:ascii="Times New Roman" w:hAnsi="Times New Roman" w:eastAsia="Times New Roman" w:cs="Times New Roman"/>
          <w:color w:val="231F20"/>
          <w:sz w:val="20"/>
          <w:szCs w:val="20"/>
        </w:rPr>
        <w:t xml:space="preserve"> </w:t>
      </w:r>
      <w:r>
        <w:rPr>
          <w:rFonts w:ascii="微软雅黑" w:hAnsi="微软雅黑" w:eastAsia="微软雅黑" w:cs="微软雅黑"/>
          <w:color w:val="231F20"/>
          <w:spacing w:val="-8"/>
          <w:sz w:val="20"/>
          <w:szCs w:val="20"/>
        </w:rPr>
        <w:t>高教论坛，</w:t>
      </w:r>
      <w:r>
        <w:rPr>
          <w:rFonts w:ascii="Times New Roman" w:hAnsi="Times New Roman" w:eastAsia="Times New Roman" w:cs="Times New Roman"/>
          <w:color w:val="231F20"/>
          <w:spacing w:val="-8"/>
          <w:sz w:val="20"/>
          <w:szCs w:val="20"/>
        </w:rPr>
        <w:t>2011</w:t>
      </w:r>
      <w:r>
        <w:rPr>
          <w:rFonts w:ascii="微软雅黑" w:hAnsi="微软雅黑" w:eastAsia="微软雅黑" w:cs="微软雅黑"/>
          <w:color w:val="231F20"/>
          <w:spacing w:val="-8"/>
          <w:sz w:val="20"/>
          <w:szCs w:val="20"/>
        </w:rPr>
        <w:t>（</w:t>
      </w:r>
      <w:r>
        <w:rPr>
          <w:rFonts w:ascii="Times New Roman" w:hAnsi="Times New Roman" w:eastAsia="Times New Roman" w:cs="Times New Roman"/>
          <w:color w:val="231F20"/>
          <w:spacing w:val="-8"/>
          <w:sz w:val="20"/>
          <w:szCs w:val="20"/>
        </w:rPr>
        <w:t>10</w:t>
      </w:r>
      <w:r>
        <w:rPr>
          <w:rFonts w:ascii="微软雅黑" w:hAnsi="微软雅黑" w:eastAsia="微软雅黑" w:cs="微软雅黑"/>
          <w:color w:val="231F20"/>
          <w:spacing w:val="-31"/>
          <w:w w:val="57"/>
          <w:sz w:val="20"/>
          <w:szCs w:val="20"/>
        </w:rPr>
        <w:t>）：</w:t>
      </w:r>
      <w:r>
        <w:rPr>
          <w:rFonts w:ascii="Times New Roman" w:hAnsi="Times New Roman" w:eastAsia="Times New Roman" w:cs="Times New Roman"/>
          <w:color w:val="231F20"/>
          <w:spacing w:val="-8"/>
          <w:sz w:val="20"/>
          <w:szCs w:val="20"/>
        </w:rPr>
        <w:t>78-81.</w:t>
      </w:r>
    </w:p>
    <w:p>
      <w:pPr>
        <w:spacing w:before="33" w:line="210" w:lineRule="auto"/>
        <w:ind w:left="1083" w:right="217" w:hanging="90"/>
        <w:rPr>
          <w:rFonts w:ascii="Times New Roman" w:hAnsi="Times New Roman" w:eastAsia="Times New Roman" w:cs="Times New Roman"/>
          <w:sz w:val="20"/>
          <w:szCs w:val="20"/>
        </w:rPr>
      </w:pPr>
      <w:r>
        <w:rPr>
          <w:rFonts w:ascii="微软雅黑" w:hAnsi="微软雅黑" w:eastAsia="微软雅黑" w:cs="微软雅黑"/>
          <w:color w:val="231F20"/>
          <w:spacing w:val="-8"/>
          <w:sz w:val="20"/>
          <w:szCs w:val="20"/>
        </w:rPr>
        <w:t>［</w:t>
      </w:r>
      <w:r>
        <w:rPr>
          <w:rFonts w:ascii="Times New Roman" w:hAnsi="Times New Roman" w:eastAsia="Times New Roman" w:cs="Times New Roman"/>
          <w:color w:val="231F20"/>
          <w:spacing w:val="-8"/>
          <w:sz w:val="20"/>
          <w:szCs w:val="20"/>
        </w:rPr>
        <w:t>20</w:t>
      </w:r>
      <w:r>
        <w:rPr>
          <w:rFonts w:ascii="微软雅黑" w:hAnsi="微软雅黑" w:eastAsia="微软雅黑" w:cs="微软雅黑"/>
          <w:color w:val="231F20"/>
          <w:spacing w:val="-8"/>
          <w:sz w:val="20"/>
          <w:szCs w:val="20"/>
        </w:rPr>
        <w:t xml:space="preserve">］唐华生，叶怀凡 </w:t>
      </w:r>
      <w:r>
        <w:rPr>
          <w:rFonts w:ascii="Times New Roman" w:hAnsi="Times New Roman" w:eastAsia="Times New Roman" w:cs="Times New Roman"/>
          <w:color w:val="231F20"/>
          <w:spacing w:val="-8"/>
          <w:sz w:val="20"/>
          <w:szCs w:val="20"/>
        </w:rPr>
        <w:t xml:space="preserve">. </w:t>
      </w:r>
      <w:r>
        <w:rPr>
          <w:rFonts w:ascii="微软雅黑" w:hAnsi="微软雅黑" w:eastAsia="微软雅黑" w:cs="微软雅黑"/>
          <w:color w:val="231F20"/>
          <w:spacing w:val="-8"/>
          <w:sz w:val="20"/>
          <w:szCs w:val="20"/>
        </w:rPr>
        <w:t>发展质量：高等教育评价的</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7"/>
          <w:sz w:val="20"/>
          <w:szCs w:val="20"/>
        </w:rPr>
        <w:t>新视野［</w:t>
      </w:r>
      <w:r>
        <w:rPr>
          <w:rFonts w:ascii="Times New Roman" w:hAnsi="Times New Roman" w:eastAsia="Times New Roman" w:cs="Times New Roman"/>
          <w:color w:val="231F20"/>
          <w:spacing w:val="-17"/>
          <w:sz w:val="20"/>
          <w:szCs w:val="20"/>
        </w:rPr>
        <w:t>J</w:t>
      </w:r>
      <w:r>
        <w:rPr>
          <w:rFonts w:ascii="微软雅黑" w:hAnsi="微软雅黑" w:eastAsia="微软雅黑" w:cs="微软雅黑"/>
          <w:color w:val="231F20"/>
          <w:spacing w:val="-17"/>
          <w:sz w:val="20"/>
          <w:szCs w:val="20"/>
        </w:rPr>
        <w:t>］</w:t>
      </w:r>
      <w:r>
        <w:rPr>
          <w:rFonts w:ascii="Times New Roman" w:hAnsi="Times New Roman" w:eastAsia="Times New Roman" w:cs="Times New Roman"/>
          <w:color w:val="231F20"/>
          <w:spacing w:val="-17"/>
          <w:sz w:val="20"/>
          <w:szCs w:val="20"/>
        </w:rPr>
        <w:t xml:space="preserve">. </w:t>
      </w:r>
      <w:r>
        <w:rPr>
          <w:rFonts w:ascii="微软雅黑" w:hAnsi="微软雅黑" w:eastAsia="微软雅黑" w:cs="微软雅黑"/>
          <w:color w:val="231F20"/>
          <w:spacing w:val="-17"/>
          <w:sz w:val="20"/>
          <w:szCs w:val="20"/>
        </w:rPr>
        <w:t>高校教育管理，</w:t>
      </w:r>
      <w:r>
        <w:rPr>
          <w:rFonts w:ascii="Times New Roman" w:hAnsi="Times New Roman" w:eastAsia="Times New Roman" w:cs="Times New Roman"/>
          <w:color w:val="231F20"/>
          <w:spacing w:val="-17"/>
          <w:sz w:val="20"/>
          <w:szCs w:val="20"/>
        </w:rPr>
        <w:t>2011</w:t>
      </w:r>
      <w:r>
        <w:rPr>
          <w:rFonts w:ascii="微软雅黑" w:hAnsi="微软雅黑" w:eastAsia="微软雅黑" w:cs="微软雅黑"/>
          <w:color w:val="231F20"/>
          <w:spacing w:val="-17"/>
          <w:sz w:val="20"/>
          <w:szCs w:val="20"/>
        </w:rPr>
        <w:t>（</w:t>
      </w:r>
      <w:r>
        <w:rPr>
          <w:rFonts w:ascii="Times New Roman" w:hAnsi="Times New Roman" w:eastAsia="Times New Roman" w:cs="Times New Roman"/>
          <w:color w:val="231F20"/>
          <w:spacing w:val="-17"/>
          <w:sz w:val="20"/>
          <w:szCs w:val="20"/>
        </w:rPr>
        <w:t>5</w:t>
      </w:r>
      <w:r>
        <w:rPr>
          <w:rFonts w:ascii="微软雅黑" w:hAnsi="微软雅黑" w:eastAsia="微软雅黑" w:cs="微软雅黑"/>
          <w:color w:val="231F20"/>
          <w:spacing w:val="-44"/>
          <w:w w:val="80"/>
          <w:sz w:val="20"/>
          <w:szCs w:val="20"/>
        </w:rPr>
        <w:t>）：</w:t>
      </w:r>
      <w:r>
        <w:rPr>
          <w:rFonts w:ascii="Times New Roman" w:hAnsi="Times New Roman" w:eastAsia="Times New Roman" w:cs="Times New Roman"/>
          <w:color w:val="231F20"/>
          <w:spacing w:val="-17"/>
          <w:sz w:val="20"/>
          <w:szCs w:val="20"/>
        </w:rPr>
        <w:t>12-</w:t>
      </w:r>
      <w:r>
        <w:rPr>
          <w:rFonts w:ascii="Times New Roman" w:hAnsi="Times New Roman" w:eastAsia="Times New Roman" w:cs="Times New Roman"/>
          <w:color w:val="231F20"/>
          <w:spacing w:val="-23"/>
          <w:sz w:val="20"/>
          <w:szCs w:val="20"/>
        </w:rPr>
        <w:t xml:space="preserve"> </w:t>
      </w:r>
      <w:r>
        <w:rPr>
          <w:rFonts w:ascii="Times New Roman" w:hAnsi="Times New Roman" w:eastAsia="Times New Roman" w:cs="Times New Roman"/>
          <w:color w:val="231F20"/>
          <w:spacing w:val="-17"/>
          <w:sz w:val="20"/>
          <w:szCs w:val="20"/>
        </w:rPr>
        <w:t>16.</w:t>
      </w:r>
    </w:p>
    <w:p>
      <w:pPr>
        <w:spacing w:before="33" w:line="210" w:lineRule="auto"/>
        <w:ind w:left="1103" w:right="217" w:hanging="110"/>
        <w:rPr>
          <w:rFonts w:ascii="Times New Roman" w:hAnsi="Times New Roman" w:eastAsia="Times New Roman" w:cs="Times New Roman"/>
          <w:sz w:val="20"/>
          <w:szCs w:val="20"/>
        </w:rPr>
      </w:pPr>
      <w:r>
        <w:rPr>
          <w:rFonts w:ascii="微软雅黑" w:hAnsi="微软雅黑" w:eastAsia="微软雅黑" w:cs="微软雅黑"/>
          <w:color w:val="231F20"/>
          <w:spacing w:val="-8"/>
          <w:sz w:val="20"/>
          <w:szCs w:val="20"/>
        </w:rPr>
        <w:t>［</w:t>
      </w:r>
      <w:r>
        <w:rPr>
          <w:rFonts w:ascii="Times New Roman" w:hAnsi="Times New Roman" w:eastAsia="Times New Roman" w:cs="Times New Roman"/>
          <w:color w:val="231F20"/>
          <w:spacing w:val="-8"/>
          <w:sz w:val="20"/>
          <w:szCs w:val="20"/>
        </w:rPr>
        <w:t>22</w:t>
      </w:r>
      <w:r>
        <w:rPr>
          <w:rFonts w:ascii="微软雅黑" w:hAnsi="微软雅黑" w:eastAsia="微软雅黑" w:cs="微软雅黑"/>
          <w:color w:val="231F20"/>
          <w:spacing w:val="-8"/>
          <w:sz w:val="20"/>
          <w:szCs w:val="20"/>
        </w:rPr>
        <w:t>］罗儒国，王珊珊</w:t>
      </w:r>
      <w:r>
        <w:rPr>
          <w:rFonts w:ascii="微软雅黑" w:hAnsi="微软雅黑" w:eastAsia="微软雅黑" w:cs="微软雅黑"/>
          <w:color w:val="231F20"/>
          <w:spacing w:val="-6"/>
          <w:sz w:val="20"/>
          <w:szCs w:val="20"/>
        </w:rPr>
        <w:t xml:space="preserve"> </w:t>
      </w:r>
      <w:r>
        <w:rPr>
          <w:rFonts w:ascii="Times New Roman" w:hAnsi="Times New Roman" w:eastAsia="Times New Roman" w:cs="Times New Roman"/>
          <w:color w:val="231F20"/>
          <w:spacing w:val="-8"/>
          <w:sz w:val="20"/>
          <w:szCs w:val="20"/>
        </w:rPr>
        <w:t xml:space="preserve">. </w:t>
      </w:r>
      <w:r>
        <w:rPr>
          <w:rFonts w:ascii="微软雅黑" w:hAnsi="微软雅黑" w:eastAsia="微软雅黑" w:cs="微软雅黑"/>
          <w:color w:val="231F20"/>
          <w:spacing w:val="-8"/>
          <w:sz w:val="20"/>
          <w:szCs w:val="20"/>
        </w:rPr>
        <w:t>高校质量文化建设的误区与</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出路［</w:t>
      </w:r>
      <w:r>
        <w:rPr>
          <w:rFonts w:ascii="Times New Roman" w:hAnsi="Times New Roman" w:eastAsia="Times New Roman" w:cs="Times New Roman"/>
          <w:color w:val="231F20"/>
          <w:spacing w:val="-14"/>
          <w:sz w:val="20"/>
          <w:szCs w:val="20"/>
        </w:rPr>
        <w:t>J</w:t>
      </w:r>
      <w:r>
        <w:rPr>
          <w:rFonts w:ascii="微软雅黑" w:hAnsi="微软雅黑" w:eastAsia="微软雅黑" w:cs="微软雅黑"/>
          <w:color w:val="231F20"/>
          <w:spacing w:val="-14"/>
          <w:sz w:val="20"/>
          <w:szCs w:val="20"/>
        </w:rPr>
        <w:t>］</w:t>
      </w:r>
      <w:r>
        <w:rPr>
          <w:rFonts w:ascii="Times New Roman" w:hAnsi="Times New Roman" w:eastAsia="Times New Roman" w:cs="Times New Roman"/>
          <w:color w:val="231F20"/>
          <w:spacing w:val="-14"/>
          <w:sz w:val="20"/>
          <w:szCs w:val="20"/>
        </w:rPr>
        <w:t xml:space="preserve">. </w:t>
      </w:r>
      <w:r>
        <w:rPr>
          <w:rFonts w:ascii="微软雅黑" w:hAnsi="微软雅黑" w:eastAsia="微软雅黑" w:cs="微软雅黑"/>
          <w:color w:val="231F20"/>
          <w:spacing w:val="-14"/>
          <w:sz w:val="20"/>
          <w:szCs w:val="20"/>
        </w:rPr>
        <w:t>现代教育管理，</w:t>
      </w:r>
      <w:r>
        <w:rPr>
          <w:rFonts w:ascii="Times New Roman" w:hAnsi="Times New Roman" w:eastAsia="Times New Roman" w:cs="Times New Roman"/>
          <w:color w:val="231F20"/>
          <w:spacing w:val="-14"/>
          <w:sz w:val="20"/>
          <w:szCs w:val="20"/>
        </w:rPr>
        <w:t>2013</w:t>
      </w:r>
      <w:r>
        <w:rPr>
          <w:rFonts w:ascii="微软雅黑" w:hAnsi="微软雅黑" w:eastAsia="微软雅黑" w:cs="微软雅黑"/>
          <w:color w:val="231F20"/>
          <w:spacing w:val="-14"/>
          <w:sz w:val="20"/>
          <w:szCs w:val="20"/>
        </w:rPr>
        <w:t>（</w:t>
      </w:r>
      <w:r>
        <w:rPr>
          <w:rFonts w:ascii="Times New Roman" w:hAnsi="Times New Roman" w:eastAsia="Times New Roman" w:cs="Times New Roman"/>
          <w:color w:val="231F20"/>
          <w:spacing w:val="-14"/>
          <w:sz w:val="20"/>
          <w:szCs w:val="20"/>
        </w:rPr>
        <w:t>1</w:t>
      </w:r>
      <w:r>
        <w:rPr>
          <w:rFonts w:ascii="Times New Roman" w:hAnsi="Times New Roman" w:eastAsia="Times New Roman" w:cs="Times New Roman"/>
          <w:color w:val="231F20"/>
          <w:spacing w:val="-15"/>
          <w:sz w:val="20"/>
          <w:szCs w:val="20"/>
        </w:rPr>
        <w:t>0</w:t>
      </w:r>
      <w:r>
        <w:rPr>
          <w:rFonts w:ascii="微软雅黑" w:hAnsi="微软雅黑" w:eastAsia="微软雅黑" w:cs="微软雅黑"/>
          <w:color w:val="231F20"/>
          <w:spacing w:val="-31"/>
          <w:w w:val="56"/>
          <w:sz w:val="20"/>
          <w:szCs w:val="20"/>
        </w:rPr>
        <w:t>）：</w:t>
      </w:r>
      <w:r>
        <w:rPr>
          <w:rFonts w:ascii="Times New Roman" w:hAnsi="Times New Roman" w:eastAsia="Times New Roman" w:cs="Times New Roman"/>
          <w:color w:val="231F20"/>
          <w:spacing w:val="-15"/>
          <w:sz w:val="20"/>
          <w:szCs w:val="20"/>
        </w:rPr>
        <w:t>30-36.</w:t>
      </w:r>
    </w:p>
    <w:p>
      <w:pPr>
        <w:spacing w:before="34" w:line="214" w:lineRule="auto"/>
        <w:ind w:left="1077" w:right="217" w:hanging="84"/>
        <w:jc w:val="both"/>
        <w:rPr>
          <w:rFonts w:ascii="Times New Roman" w:hAnsi="Times New Roman" w:eastAsia="Times New Roman" w:cs="Times New Roman"/>
          <w:sz w:val="20"/>
          <w:szCs w:val="20"/>
        </w:rPr>
      </w:pPr>
      <w:r>
        <w:rPr>
          <w:rFonts w:ascii="微软雅黑" w:hAnsi="微软雅黑" w:eastAsia="微软雅黑" w:cs="微软雅黑"/>
          <w:color w:val="231F20"/>
          <w:spacing w:val="-2"/>
          <w:sz w:val="20"/>
          <w:szCs w:val="20"/>
        </w:rPr>
        <w:t>［</w:t>
      </w:r>
      <w:r>
        <w:rPr>
          <w:rFonts w:ascii="Times New Roman" w:hAnsi="Times New Roman" w:eastAsia="Times New Roman" w:cs="Times New Roman"/>
          <w:color w:val="231F20"/>
          <w:spacing w:val="-2"/>
          <w:sz w:val="20"/>
          <w:szCs w:val="20"/>
        </w:rPr>
        <w:t>23</w:t>
      </w:r>
      <w:r>
        <w:rPr>
          <w:rFonts w:ascii="微软雅黑" w:hAnsi="微软雅黑" w:eastAsia="微软雅黑" w:cs="微软雅黑"/>
          <w:color w:val="231F20"/>
          <w:spacing w:val="-2"/>
          <w:sz w:val="20"/>
          <w:szCs w:val="20"/>
        </w:rPr>
        <w:t xml:space="preserve">］林健 </w:t>
      </w:r>
      <w:r>
        <w:rPr>
          <w:rFonts w:ascii="Times New Roman" w:hAnsi="Times New Roman" w:eastAsia="Times New Roman" w:cs="Times New Roman"/>
          <w:color w:val="231F20"/>
          <w:spacing w:val="-2"/>
          <w:sz w:val="20"/>
          <w:szCs w:val="20"/>
        </w:rPr>
        <w:t xml:space="preserve">. </w:t>
      </w:r>
      <w:r>
        <w:rPr>
          <w:rFonts w:ascii="微软雅黑" w:hAnsi="微软雅黑" w:eastAsia="微软雅黑" w:cs="微软雅黑"/>
          <w:color w:val="231F20"/>
          <w:spacing w:val="-2"/>
          <w:sz w:val="20"/>
          <w:szCs w:val="20"/>
        </w:rPr>
        <w:t>深入扎实推进新工科建设——新工科</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5"/>
          <w:sz w:val="20"/>
          <w:szCs w:val="20"/>
        </w:rPr>
        <w:t>研究与实践项目的组织和实施［</w:t>
      </w:r>
      <w:r>
        <w:rPr>
          <w:rFonts w:ascii="Times New Roman" w:hAnsi="Times New Roman" w:eastAsia="Times New Roman" w:cs="Times New Roman"/>
          <w:color w:val="231F20"/>
          <w:spacing w:val="-5"/>
          <w:sz w:val="20"/>
          <w:szCs w:val="20"/>
        </w:rPr>
        <w:t>J</w:t>
      </w:r>
      <w:r>
        <w:rPr>
          <w:rFonts w:ascii="微软雅黑" w:hAnsi="微软雅黑" w:eastAsia="微软雅黑" w:cs="微软雅黑"/>
          <w:color w:val="231F20"/>
          <w:spacing w:val="-5"/>
          <w:sz w:val="20"/>
          <w:szCs w:val="20"/>
        </w:rPr>
        <w:t>］</w:t>
      </w:r>
      <w:r>
        <w:rPr>
          <w:rFonts w:ascii="Times New Roman" w:hAnsi="Times New Roman" w:eastAsia="Times New Roman" w:cs="Times New Roman"/>
          <w:color w:val="231F20"/>
          <w:spacing w:val="-5"/>
          <w:sz w:val="20"/>
          <w:szCs w:val="20"/>
        </w:rPr>
        <w:t xml:space="preserve">. </w:t>
      </w:r>
      <w:r>
        <w:rPr>
          <w:rFonts w:ascii="微软雅黑" w:hAnsi="微软雅黑" w:eastAsia="微软雅黑" w:cs="微软雅黑"/>
          <w:color w:val="231F20"/>
          <w:spacing w:val="-5"/>
          <w:sz w:val="20"/>
          <w:szCs w:val="20"/>
        </w:rPr>
        <w:t>高等工程教育</w:t>
      </w:r>
      <w:r>
        <w:rPr>
          <w:rFonts w:ascii="微软雅黑" w:hAnsi="微软雅黑" w:eastAsia="微软雅黑" w:cs="微软雅黑"/>
          <w:color w:val="231F20"/>
          <w:spacing w:val="11"/>
          <w:sz w:val="20"/>
          <w:szCs w:val="20"/>
        </w:rPr>
        <w:t xml:space="preserve"> </w:t>
      </w:r>
      <w:r>
        <w:rPr>
          <w:rFonts w:ascii="微软雅黑" w:hAnsi="微软雅黑" w:eastAsia="微软雅黑" w:cs="微软雅黑"/>
          <w:color w:val="231F20"/>
          <w:spacing w:val="-9"/>
          <w:sz w:val="20"/>
          <w:szCs w:val="20"/>
        </w:rPr>
        <w:t>研究，</w:t>
      </w:r>
      <w:r>
        <w:rPr>
          <w:rFonts w:ascii="Times New Roman" w:hAnsi="Times New Roman" w:eastAsia="Times New Roman" w:cs="Times New Roman"/>
          <w:color w:val="231F20"/>
          <w:spacing w:val="-9"/>
          <w:sz w:val="20"/>
          <w:szCs w:val="20"/>
        </w:rPr>
        <w:t>2017</w:t>
      </w:r>
      <w:r>
        <w:rPr>
          <w:rFonts w:ascii="微软雅黑" w:hAnsi="微软雅黑" w:eastAsia="微软雅黑" w:cs="微软雅黑"/>
          <w:color w:val="231F20"/>
          <w:spacing w:val="-9"/>
          <w:sz w:val="20"/>
          <w:szCs w:val="20"/>
        </w:rPr>
        <w:t>（</w:t>
      </w:r>
      <w:r>
        <w:rPr>
          <w:rFonts w:ascii="Times New Roman" w:hAnsi="Times New Roman" w:eastAsia="Times New Roman" w:cs="Times New Roman"/>
          <w:color w:val="231F20"/>
          <w:spacing w:val="-9"/>
          <w:sz w:val="20"/>
          <w:szCs w:val="20"/>
        </w:rPr>
        <w:t>5</w:t>
      </w:r>
      <w:r>
        <w:rPr>
          <w:rFonts w:ascii="微软雅黑" w:hAnsi="微软雅黑" w:eastAsia="微软雅黑" w:cs="微软雅黑"/>
          <w:color w:val="231F20"/>
          <w:spacing w:val="-31"/>
          <w:w w:val="57"/>
          <w:sz w:val="20"/>
          <w:szCs w:val="20"/>
        </w:rPr>
        <w:t>）：</w:t>
      </w:r>
      <w:r>
        <w:rPr>
          <w:rFonts w:ascii="Times New Roman" w:hAnsi="Times New Roman" w:eastAsia="Times New Roman" w:cs="Times New Roman"/>
          <w:color w:val="231F20"/>
          <w:spacing w:val="-9"/>
          <w:sz w:val="20"/>
          <w:szCs w:val="20"/>
        </w:rPr>
        <w:t>18-31.</w:t>
      </w:r>
    </w:p>
    <w:p>
      <w:pPr>
        <w:spacing w:before="33" w:line="210" w:lineRule="auto"/>
        <w:ind w:left="1100" w:right="217" w:hanging="107"/>
        <w:rPr>
          <w:rFonts w:ascii="Times New Roman" w:hAnsi="Times New Roman" w:eastAsia="Times New Roman" w:cs="Times New Roman"/>
          <w:sz w:val="20"/>
          <w:szCs w:val="20"/>
        </w:rPr>
      </w:pPr>
      <w:r>
        <w:rPr>
          <w:rFonts w:ascii="微软雅黑" w:hAnsi="微软雅黑" w:eastAsia="微软雅黑" w:cs="微软雅黑"/>
          <w:color w:val="231F20"/>
          <w:spacing w:val="-14"/>
          <w:sz w:val="20"/>
          <w:szCs w:val="20"/>
        </w:rPr>
        <w:t>［</w:t>
      </w:r>
      <w:r>
        <w:rPr>
          <w:rFonts w:ascii="Times New Roman" w:hAnsi="Times New Roman" w:eastAsia="Times New Roman" w:cs="Times New Roman"/>
          <w:color w:val="231F20"/>
          <w:spacing w:val="-14"/>
          <w:sz w:val="20"/>
          <w:szCs w:val="20"/>
        </w:rPr>
        <w:t>24</w:t>
      </w:r>
      <w:r>
        <w:rPr>
          <w:rFonts w:ascii="微软雅黑" w:hAnsi="微软雅黑" w:eastAsia="微软雅黑" w:cs="微软雅黑"/>
          <w:color w:val="231F20"/>
          <w:spacing w:val="-14"/>
          <w:sz w:val="20"/>
          <w:szCs w:val="20"/>
        </w:rPr>
        <w:t>］潘懋元</w:t>
      </w:r>
      <w:r>
        <w:rPr>
          <w:rFonts w:ascii="微软雅黑" w:hAnsi="微软雅黑" w:eastAsia="微软雅黑" w:cs="微软雅黑"/>
          <w:color w:val="231F20"/>
          <w:spacing w:val="-16"/>
          <w:sz w:val="20"/>
          <w:szCs w:val="20"/>
        </w:rPr>
        <w:t xml:space="preserve"> </w:t>
      </w:r>
      <w:r>
        <w:rPr>
          <w:rFonts w:ascii="Times New Roman" w:hAnsi="Times New Roman" w:eastAsia="Times New Roman" w:cs="Times New Roman"/>
          <w:color w:val="231F20"/>
          <w:spacing w:val="-14"/>
          <w:sz w:val="20"/>
          <w:szCs w:val="20"/>
        </w:rPr>
        <w:t xml:space="preserve">. </w:t>
      </w:r>
      <w:r>
        <w:rPr>
          <w:rFonts w:ascii="微软雅黑" w:hAnsi="微软雅黑" w:eastAsia="微软雅黑" w:cs="微软雅黑"/>
          <w:color w:val="231F20"/>
          <w:spacing w:val="-14"/>
          <w:sz w:val="20"/>
          <w:szCs w:val="20"/>
        </w:rPr>
        <w:t>高等教育大众化的教育质量观</w:t>
      </w:r>
      <w:r>
        <w:rPr>
          <w:rFonts w:ascii="微软雅黑" w:hAnsi="微软雅黑" w:eastAsia="微软雅黑" w:cs="微软雅黑"/>
          <w:color w:val="231F20"/>
          <w:spacing w:val="-15"/>
          <w:sz w:val="20"/>
          <w:szCs w:val="20"/>
        </w:rPr>
        <w:t>［</w:t>
      </w:r>
      <w:r>
        <w:rPr>
          <w:rFonts w:ascii="Times New Roman" w:hAnsi="Times New Roman" w:eastAsia="Times New Roman" w:cs="Times New Roman"/>
          <w:color w:val="231F20"/>
          <w:spacing w:val="-15"/>
          <w:sz w:val="20"/>
          <w:szCs w:val="20"/>
        </w:rPr>
        <w:t>J</w:t>
      </w:r>
      <w:r>
        <w:rPr>
          <w:rFonts w:ascii="微软雅黑" w:hAnsi="微软雅黑" w:eastAsia="微软雅黑" w:cs="微软雅黑"/>
          <w:color w:val="231F20"/>
          <w:spacing w:val="-15"/>
          <w:sz w:val="20"/>
          <w:szCs w:val="20"/>
        </w:rPr>
        <w:t>］</w:t>
      </w:r>
      <w:r>
        <w:rPr>
          <w:rFonts w:ascii="Times New Roman" w:hAnsi="Times New Roman" w:eastAsia="Times New Roman" w:cs="Times New Roman"/>
          <w:color w:val="231F20"/>
          <w:spacing w:val="-15"/>
          <w:sz w:val="20"/>
          <w:szCs w:val="20"/>
        </w:rPr>
        <w:t>.</w:t>
      </w:r>
      <w:r>
        <w:rPr>
          <w:rFonts w:ascii="Times New Roman" w:hAnsi="Times New Roman" w:eastAsia="Times New Roman" w:cs="Times New Roman"/>
          <w:color w:val="231F20"/>
          <w:spacing w:val="16"/>
          <w:sz w:val="20"/>
          <w:szCs w:val="20"/>
        </w:rPr>
        <w:t xml:space="preserve"> </w:t>
      </w:r>
      <w:r>
        <w:rPr>
          <w:rFonts w:ascii="微软雅黑" w:hAnsi="微软雅黑" w:eastAsia="微软雅黑" w:cs="微软雅黑"/>
          <w:color w:val="231F20"/>
          <w:spacing w:val="-15"/>
          <w:sz w:val="20"/>
          <w:szCs w:val="20"/>
        </w:rPr>
        <w:t>中</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3"/>
          <w:sz w:val="20"/>
          <w:szCs w:val="20"/>
        </w:rPr>
        <w:t>国高教研究，</w:t>
      </w:r>
      <w:r>
        <w:rPr>
          <w:rFonts w:ascii="Times New Roman" w:hAnsi="Times New Roman" w:eastAsia="Times New Roman" w:cs="Times New Roman"/>
          <w:color w:val="231F20"/>
          <w:spacing w:val="-13"/>
          <w:sz w:val="20"/>
          <w:szCs w:val="20"/>
        </w:rPr>
        <w:t>2000</w:t>
      </w:r>
      <w:r>
        <w:rPr>
          <w:rFonts w:ascii="微软雅黑" w:hAnsi="微软雅黑" w:eastAsia="微软雅黑" w:cs="微软雅黑"/>
          <w:color w:val="231F20"/>
          <w:spacing w:val="-13"/>
          <w:sz w:val="20"/>
          <w:szCs w:val="20"/>
        </w:rPr>
        <w:t>（</w:t>
      </w:r>
      <w:r>
        <w:rPr>
          <w:rFonts w:ascii="微软雅黑" w:hAnsi="微软雅黑" w:eastAsia="微软雅黑" w:cs="微软雅黑"/>
          <w:color w:val="231F20"/>
          <w:spacing w:val="-28"/>
          <w:sz w:val="20"/>
          <w:szCs w:val="20"/>
        </w:rPr>
        <w:t xml:space="preserve"> </w:t>
      </w:r>
      <w:r>
        <w:rPr>
          <w:rFonts w:ascii="Times New Roman" w:hAnsi="Times New Roman" w:eastAsia="Times New Roman" w:cs="Times New Roman"/>
          <w:color w:val="231F20"/>
          <w:spacing w:val="-13"/>
          <w:sz w:val="20"/>
          <w:szCs w:val="20"/>
        </w:rPr>
        <w:t>1</w:t>
      </w:r>
      <w:r>
        <w:rPr>
          <w:rFonts w:ascii="微软雅黑" w:hAnsi="微软雅黑" w:eastAsia="微软雅黑" w:cs="微软雅黑"/>
          <w:color w:val="231F20"/>
          <w:spacing w:val="-33"/>
          <w:w w:val="60"/>
          <w:sz w:val="20"/>
          <w:szCs w:val="20"/>
        </w:rPr>
        <w:t>）：</w:t>
      </w:r>
      <w:r>
        <w:rPr>
          <w:rFonts w:ascii="Times New Roman" w:hAnsi="Times New Roman" w:eastAsia="Times New Roman" w:cs="Times New Roman"/>
          <w:color w:val="231F20"/>
          <w:spacing w:val="-13"/>
          <w:sz w:val="20"/>
          <w:szCs w:val="20"/>
        </w:rPr>
        <w:t>9-</w:t>
      </w:r>
      <w:r>
        <w:rPr>
          <w:rFonts w:ascii="Times New Roman" w:hAnsi="Times New Roman" w:eastAsia="Times New Roman" w:cs="Times New Roman"/>
          <w:color w:val="231F20"/>
          <w:spacing w:val="-26"/>
          <w:sz w:val="20"/>
          <w:szCs w:val="20"/>
        </w:rPr>
        <w:t xml:space="preserve"> </w:t>
      </w:r>
      <w:r>
        <w:rPr>
          <w:rFonts w:ascii="Times New Roman" w:hAnsi="Times New Roman" w:eastAsia="Times New Roman" w:cs="Times New Roman"/>
          <w:color w:val="231F20"/>
          <w:spacing w:val="-13"/>
          <w:sz w:val="20"/>
          <w:szCs w:val="20"/>
        </w:rPr>
        <w:t>11.</w:t>
      </w:r>
    </w:p>
    <w:p>
      <w:pPr>
        <w:spacing w:before="34" w:line="214" w:lineRule="auto"/>
        <w:ind w:left="1075" w:right="218" w:hanging="82"/>
        <w:jc w:val="both"/>
        <w:rPr>
          <w:rFonts w:ascii="Times New Roman" w:hAnsi="Times New Roman" w:eastAsia="Times New Roman" w:cs="Times New Roman"/>
          <w:sz w:val="20"/>
          <w:szCs w:val="20"/>
        </w:rPr>
      </w:pPr>
      <w:r>
        <w:rPr>
          <w:rFonts w:ascii="微软雅黑" w:hAnsi="微软雅黑" w:eastAsia="微软雅黑" w:cs="微软雅黑"/>
          <w:color w:val="231F20"/>
          <w:spacing w:val="-10"/>
          <w:sz w:val="20"/>
          <w:szCs w:val="20"/>
        </w:rPr>
        <w:t>［</w:t>
      </w:r>
      <w:r>
        <w:rPr>
          <w:rFonts w:ascii="Times New Roman" w:hAnsi="Times New Roman" w:eastAsia="Times New Roman" w:cs="Times New Roman"/>
          <w:color w:val="231F20"/>
          <w:spacing w:val="-10"/>
          <w:sz w:val="20"/>
          <w:szCs w:val="20"/>
        </w:rPr>
        <w:t>25</w:t>
      </w:r>
      <w:r>
        <w:rPr>
          <w:rFonts w:ascii="微软雅黑" w:hAnsi="微软雅黑" w:eastAsia="微软雅黑" w:cs="微软雅黑"/>
          <w:color w:val="231F20"/>
          <w:spacing w:val="-10"/>
          <w:sz w:val="20"/>
          <w:szCs w:val="20"/>
        </w:rPr>
        <w:t>］</w:t>
      </w:r>
      <w:r>
        <w:rPr>
          <w:rFonts w:ascii="Times New Roman" w:hAnsi="Times New Roman" w:eastAsia="Times New Roman" w:cs="Times New Roman"/>
          <w:color w:val="231F20"/>
          <w:spacing w:val="-10"/>
          <w:sz w:val="20"/>
          <w:szCs w:val="20"/>
        </w:rPr>
        <w:t>COSTACHE</w:t>
      </w:r>
      <w:r>
        <w:rPr>
          <w:rFonts w:ascii="Times New Roman" w:hAnsi="Times New Roman" w:eastAsia="Times New Roman" w:cs="Times New Roman"/>
          <w:color w:val="231F20"/>
          <w:spacing w:val="20"/>
          <w:sz w:val="20"/>
          <w:szCs w:val="20"/>
        </w:rPr>
        <w:t xml:space="preserve"> </w:t>
      </w:r>
      <w:r>
        <w:rPr>
          <w:rFonts w:ascii="Times New Roman" w:hAnsi="Times New Roman" w:eastAsia="Times New Roman" w:cs="Times New Roman"/>
          <w:color w:val="231F20"/>
          <w:spacing w:val="-10"/>
          <w:sz w:val="20"/>
          <w:szCs w:val="20"/>
        </w:rPr>
        <w:t>RUSU.</w:t>
      </w:r>
      <w:r>
        <w:rPr>
          <w:rFonts w:ascii="Times New Roman" w:hAnsi="Times New Roman" w:eastAsia="Times New Roman" w:cs="Times New Roman"/>
          <w:color w:val="231F20"/>
          <w:spacing w:val="-28"/>
          <w:sz w:val="20"/>
          <w:szCs w:val="20"/>
        </w:rPr>
        <w:t xml:space="preserve"> </w:t>
      </w:r>
      <w:r>
        <w:rPr>
          <w:rFonts w:ascii="Times New Roman" w:hAnsi="Times New Roman" w:eastAsia="Times New Roman" w:cs="Times New Roman"/>
          <w:color w:val="231F20"/>
          <w:spacing w:val="-10"/>
          <w:sz w:val="20"/>
          <w:szCs w:val="20"/>
        </w:rPr>
        <w:t>From</w:t>
      </w:r>
      <w:r>
        <w:rPr>
          <w:rFonts w:ascii="Times New Roman" w:hAnsi="Times New Roman" w:eastAsia="Times New Roman" w:cs="Times New Roman"/>
          <w:color w:val="231F20"/>
          <w:spacing w:val="16"/>
          <w:sz w:val="20"/>
          <w:szCs w:val="20"/>
        </w:rPr>
        <w:t xml:space="preserve"> </w:t>
      </w:r>
      <w:r>
        <w:rPr>
          <w:rFonts w:ascii="Times New Roman" w:hAnsi="Times New Roman" w:eastAsia="Times New Roman" w:cs="Times New Roman"/>
          <w:color w:val="231F20"/>
          <w:spacing w:val="-10"/>
          <w:sz w:val="20"/>
          <w:szCs w:val="20"/>
        </w:rPr>
        <w:t>Quality</w:t>
      </w:r>
      <w:r>
        <w:rPr>
          <w:rFonts w:ascii="Times New Roman" w:hAnsi="Times New Roman" w:eastAsia="Times New Roman" w:cs="Times New Roman"/>
          <w:color w:val="231F20"/>
          <w:spacing w:val="14"/>
          <w:w w:val="101"/>
          <w:sz w:val="20"/>
          <w:szCs w:val="20"/>
        </w:rPr>
        <w:t xml:space="preserve"> </w:t>
      </w:r>
      <w:r>
        <w:rPr>
          <w:rFonts w:ascii="Times New Roman" w:hAnsi="Times New Roman" w:eastAsia="Times New Roman" w:cs="Times New Roman"/>
          <w:color w:val="231F20"/>
          <w:spacing w:val="-10"/>
          <w:sz w:val="20"/>
          <w:szCs w:val="20"/>
        </w:rPr>
        <w:t>Management</w:t>
      </w:r>
      <w:r>
        <w:rPr>
          <w:rFonts w:ascii="Times New Roman" w:hAnsi="Times New Roman" w:eastAsia="Times New Roman" w:cs="Times New Roman"/>
          <w:color w:val="231F20"/>
          <w:spacing w:val="8"/>
          <w:sz w:val="20"/>
          <w:szCs w:val="20"/>
        </w:rPr>
        <w:t xml:space="preserve"> </w:t>
      </w:r>
      <w:r>
        <w:rPr>
          <w:rFonts w:ascii="Times New Roman" w:hAnsi="Times New Roman" w:eastAsia="Times New Roman" w:cs="Times New Roman"/>
          <w:color w:val="231F20"/>
          <w:spacing w:val="-10"/>
          <w:sz w:val="20"/>
          <w:szCs w:val="20"/>
        </w:rPr>
        <w:t>to</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7"/>
          <w:sz w:val="20"/>
          <w:szCs w:val="20"/>
        </w:rPr>
        <w:t>Managing</w:t>
      </w:r>
      <w:r>
        <w:rPr>
          <w:rFonts w:ascii="Times New Roman" w:hAnsi="Times New Roman" w:eastAsia="Times New Roman" w:cs="Times New Roman"/>
          <w:color w:val="231F20"/>
          <w:spacing w:val="39"/>
          <w:sz w:val="20"/>
          <w:szCs w:val="20"/>
        </w:rPr>
        <w:t xml:space="preserve"> </w:t>
      </w:r>
      <w:r>
        <w:rPr>
          <w:rFonts w:ascii="Times New Roman" w:hAnsi="Times New Roman" w:eastAsia="Times New Roman" w:cs="Times New Roman"/>
          <w:color w:val="231F20"/>
          <w:spacing w:val="-7"/>
          <w:sz w:val="20"/>
          <w:szCs w:val="20"/>
        </w:rPr>
        <w:t>Quality</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J</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.Procedia-Social</w:t>
      </w:r>
      <w:r>
        <w:rPr>
          <w:rFonts w:ascii="Times New Roman" w:hAnsi="Times New Roman" w:eastAsia="Times New Roman" w:cs="Times New Roman"/>
          <w:color w:val="231F20"/>
          <w:spacing w:val="18"/>
          <w:w w:val="101"/>
          <w:sz w:val="20"/>
          <w:szCs w:val="20"/>
        </w:rPr>
        <w:t xml:space="preserve"> </w:t>
      </w:r>
      <w:r>
        <w:rPr>
          <w:rFonts w:ascii="Times New Roman" w:hAnsi="Times New Roman" w:eastAsia="Times New Roman" w:cs="Times New Roman"/>
          <w:color w:val="231F20"/>
          <w:spacing w:val="-7"/>
          <w:sz w:val="20"/>
          <w:szCs w:val="20"/>
        </w:rPr>
        <w:t>and</w:t>
      </w:r>
      <w:r>
        <w:rPr>
          <w:rFonts w:ascii="Times New Roman" w:hAnsi="Times New Roman" w:eastAsia="Times New Roman" w:cs="Times New Roman"/>
          <w:color w:val="231F20"/>
          <w:spacing w:val="21"/>
          <w:sz w:val="20"/>
          <w:szCs w:val="20"/>
        </w:rPr>
        <w:t xml:space="preserve"> </w:t>
      </w:r>
      <w:r>
        <w:rPr>
          <w:rFonts w:ascii="Times New Roman" w:hAnsi="Times New Roman" w:eastAsia="Times New Roman" w:cs="Times New Roman"/>
          <w:color w:val="231F20"/>
          <w:spacing w:val="-7"/>
          <w:sz w:val="20"/>
          <w:szCs w:val="20"/>
        </w:rPr>
        <w:t>Behavioral</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6"/>
          <w:sz w:val="20"/>
          <w:szCs w:val="20"/>
        </w:rPr>
        <w:t>Sciences</w:t>
      </w:r>
      <w:r>
        <w:rPr>
          <w:rFonts w:ascii="微软雅黑" w:hAnsi="微软雅黑" w:eastAsia="微软雅黑" w:cs="微软雅黑"/>
          <w:color w:val="231F20"/>
          <w:spacing w:val="-6"/>
          <w:sz w:val="20"/>
          <w:szCs w:val="20"/>
        </w:rPr>
        <w:t>，</w:t>
      </w:r>
      <w:r>
        <w:rPr>
          <w:rFonts w:ascii="Times New Roman" w:hAnsi="Times New Roman" w:eastAsia="Times New Roman" w:cs="Times New Roman"/>
          <w:color w:val="231F20"/>
          <w:spacing w:val="-6"/>
          <w:sz w:val="20"/>
          <w:szCs w:val="20"/>
        </w:rPr>
        <w:t>2016</w:t>
      </w:r>
      <w:r>
        <w:rPr>
          <w:rFonts w:ascii="微软雅黑" w:hAnsi="微软雅黑" w:eastAsia="微软雅黑" w:cs="微软雅黑"/>
          <w:color w:val="231F20"/>
          <w:spacing w:val="-6"/>
          <w:sz w:val="20"/>
          <w:szCs w:val="20"/>
        </w:rPr>
        <w:t>（</w:t>
      </w:r>
      <w:r>
        <w:rPr>
          <w:rFonts w:ascii="Times New Roman" w:hAnsi="Times New Roman" w:eastAsia="Times New Roman" w:cs="Times New Roman"/>
          <w:color w:val="231F20"/>
          <w:spacing w:val="-6"/>
          <w:sz w:val="20"/>
          <w:szCs w:val="20"/>
        </w:rPr>
        <w:t>6</w:t>
      </w:r>
      <w:r>
        <w:rPr>
          <w:rFonts w:ascii="微软雅黑" w:hAnsi="微软雅黑" w:eastAsia="微软雅黑" w:cs="微软雅黑"/>
          <w:color w:val="231F20"/>
          <w:spacing w:val="-31"/>
          <w:w w:val="56"/>
          <w:sz w:val="20"/>
          <w:szCs w:val="20"/>
        </w:rPr>
        <w:t>）：</w:t>
      </w:r>
      <w:r>
        <w:rPr>
          <w:rFonts w:ascii="Times New Roman" w:hAnsi="Times New Roman" w:eastAsia="Times New Roman" w:cs="Times New Roman"/>
          <w:color w:val="231F20"/>
          <w:spacing w:val="-6"/>
          <w:sz w:val="20"/>
          <w:szCs w:val="20"/>
        </w:rPr>
        <w:t>287-</w:t>
      </w:r>
      <w:r>
        <w:rPr>
          <w:rFonts w:ascii="Times New Roman" w:hAnsi="Times New Roman" w:eastAsia="Times New Roman" w:cs="Times New Roman"/>
          <w:color w:val="231F20"/>
          <w:spacing w:val="-7"/>
          <w:sz w:val="20"/>
          <w:szCs w:val="20"/>
        </w:rPr>
        <w:t>293.</w:t>
      </w:r>
    </w:p>
    <w:p>
      <w:pPr>
        <w:spacing w:before="35" w:line="235" w:lineRule="auto"/>
        <w:ind w:left="1073" w:right="150" w:hanging="80"/>
        <w:jc w:val="both"/>
        <w:rPr>
          <w:rFonts w:ascii="Times New Roman" w:hAnsi="Times New Roman" w:eastAsia="Times New Roman" w:cs="Times New Roman"/>
          <w:sz w:val="20"/>
          <w:szCs w:val="20"/>
        </w:rPr>
      </w:pPr>
      <w:r>
        <w:rPr>
          <w:rFonts w:ascii="微软雅黑" w:hAnsi="微软雅黑" w:eastAsia="微软雅黑" w:cs="微软雅黑"/>
          <w:color w:val="231F20"/>
          <w:spacing w:val="-8"/>
          <w:sz w:val="20"/>
          <w:szCs w:val="20"/>
        </w:rPr>
        <w:t>［</w:t>
      </w:r>
      <w:r>
        <w:rPr>
          <w:rFonts w:ascii="Times New Roman" w:hAnsi="Times New Roman" w:eastAsia="Times New Roman" w:cs="Times New Roman"/>
          <w:color w:val="231F20"/>
          <w:spacing w:val="-8"/>
          <w:sz w:val="20"/>
          <w:szCs w:val="20"/>
        </w:rPr>
        <w:t>26</w:t>
      </w:r>
      <w:r>
        <w:rPr>
          <w:rFonts w:ascii="微软雅黑" w:hAnsi="微软雅黑" w:eastAsia="微软雅黑" w:cs="微软雅黑"/>
          <w:color w:val="231F20"/>
          <w:spacing w:val="-8"/>
          <w:sz w:val="20"/>
          <w:szCs w:val="20"/>
        </w:rPr>
        <w:t>］</w:t>
      </w:r>
      <w:r>
        <w:rPr>
          <w:rFonts w:ascii="Times New Roman" w:hAnsi="Times New Roman" w:eastAsia="Times New Roman" w:cs="Times New Roman"/>
          <w:color w:val="231F20"/>
          <w:spacing w:val="-8"/>
          <w:sz w:val="20"/>
          <w:szCs w:val="20"/>
        </w:rPr>
        <w:t>IRAKLI</w:t>
      </w:r>
      <w:r>
        <w:rPr>
          <w:rFonts w:ascii="Times New Roman" w:hAnsi="Times New Roman" w:eastAsia="Times New Roman" w:cs="Times New Roman"/>
          <w:color w:val="231F20"/>
          <w:spacing w:val="42"/>
          <w:w w:val="101"/>
          <w:sz w:val="20"/>
          <w:szCs w:val="20"/>
        </w:rPr>
        <w:t xml:space="preserve"> </w:t>
      </w:r>
      <w:r>
        <w:rPr>
          <w:rFonts w:ascii="Times New Roman" w:hAnsi="Times New Roman" w:eastAsia="Times New Roman" w:cs="Times New Roman"/>
          <w:color w:val="231F20"/>
          <w:spacing w:val="-8"/>
          <w:sz w:val="20"/>
          <w:szCs w:val="20"/>
        </w:rPr>
        <w:t>GVARAMADZE.</w:t>
      </w:r>
      <w:r>
        <w:rPr>
          <w:rFonts w:ascii="Times New Roman" w:hAnsi="Times New Roman" w:eastAsia="Times New Roman" w:cs="Times New Roman"/>
          <w:color w:val="231F20"/>
          <w:spacing w:val="40"/>
          <w:sz w:val="20"/>
          <w:szCs w:val="20"/>
        </w:rPr>
        <w:t xml:space="preserve"> </w:t>
      </w:r>
      <w:r>
        <w:rPr>
          <w:rFonts w:ascii="Times New Roman" w:hAnsi="Times New Roman" w:eastAsia="Times New Roman" w:cs="Times New Roman"/>
          <w:color w:val="231F20"/>
          <w:spacing w:val="-8"/>
          <w:sz w:val="20"/>
          <w:szCs w:val="20"/>
        </w:rPr>
        <w:t>From  Qualit</w:t>
      </w:r>
      <w:r>
        <w:rPr>
          <w:rFonts w:ascii="Times New Roman" w:hAnsi="Times New Roman" w:eastAsia="Times New Roman" w:cs="Times New Roman"/>
          <w:color w:val="231F20"/>
          <w:spacing w:val="-9"/>
          <w:sz w:val="20"/>
          <w:szCs w:val="20"/>
        </w:rPr>
        <w:t>y</w:t>
      </w:r>
      <w:r>
        <w:rPr>
          <w:rFonts w:ascii="Times New Roman" w:hAnsi="Times New Roman" w:eastAsia="Times New Roman" w:cs="Times New Roman"/>
          <w:color w:val="231F20"/>
          <w:spacing w:val="38"/>
          <w:sz w:val="20"/>
          <w:szCs w:val="20"/>
        </w:rPr>
        <w:t xml:space="preserve"> </w:t>
      </w:r>
      <w:r>
        <w:rPr>
          <w:rFonts w:ascii="Times New Roman" w:hAnsi="Times New Roman" w:eastAsia="Times New Roman" w:cs="Times New Roman"/>
          <w:color w:val="231F20"/>
          <w:spacing w:val="-9"/>
          <w:sz w:val="20"/>
          <w:szCs w:val="20"/>
        </w:rPr>
        <w:t xml:space="preserve">Assur⁃  </w:t>
      </w:r>
      <w:r>
        <w:rPr>
          <w:rFonts w:ascii="Times New Roman" w:hAnsi="Times New Roman" w:eastAsia="Times New Roman" w:cs="Times New Roman"/>
          <w:color w:val="231F20"/>
          <w:spacing w:val="-3"/>
          <w:sz w:val="20"/>
          <w:szCs w:val="20"/>
        </w:rPr>
        <w:t>ance</w:t>
      </w:r>
      <w:r>
        <w:rPr>
          <w:rFonts w:ascii="Times New Roman" w:hAnsi="Times New Roman" w:eastAsia="Times New Roman" w:cs="Times New Roman"/>
          <w:color w:val="231F20"/>
          <w:spacing w:val="16"/>
          <w:sz w:val="20"/>
          <w:szCs w:val="20"/>
        </w:rPr>
        <w:t xml:space="preserve"> </w:t>
      </w:r>
      <w:r>
        <w:rPr>
          <w:rFonts w:ascii="Times New Roman" w:hAnsi="Times New Roman" w:eastAsia="Times New Roman" w:cs="Times New Roman"/>
          <w:color w:val="231F20"/>
          <w:spacing w:val="-3"/>
          <w:sz w:val="20"/>
          <w:szCs w:val="20"/>
        </w:rPr>
        <w:t>to</w:t>
      </w:r>
      <w:r>
        <w:rPr>
          <w:rFonts w:ascii="Times New Roman" w:hAnsi="Times New Roman" w:eastAsia="Times New Roman" w:cs="Times New Roman"/>
          <w:color w:val="231F20"/>
          <w:spacing w:val="21"/>
          <w:sz w:val="20"/>
          <w:szCs w:val="20"/>
        </w:rPr>
        <w:t xml:space="preserve"> </w:t>
      </w:r>
      <w:r>
        <w:rPr>
          <w:rFonts w:ascii="Times New Roman" w:hAnsi="Times New Roman" w:eastAsia="Times New Roman" w:cs="Times New Roman"/>
          <w:color w:val="231F20"/>
          <w:spacing w:val="-3"/>
          <w:sz w:val="20"/>
          <w:szCs w:val="20"/>
        </w:rPr>
        <w:t>Quality</w:t>
      </w:r>
      <w:r>
        <w:rPr>
          <w:rFonts w:ascii="Times New Roman" w:hAnsi="Times New Roman" w:eastAsia="Times New Roman" w:cs="Times New Roman"/>
          <w:color w:val="231F20"/>
          <w:spacing w:val="17"/>
          <w:w w:val="101"/>
          <w:sz w:val="20"/>
          <w:szCs w:val="20"/>
        </w:rPr>
        <w:t xml:space="preserve"> </w:t>
      </w:r>
      <w:r>
        <w:rPr>
          <w:rFonts w:ascii="Times New Roman" w:hAnsi="Times New Roman" w:eastAsia="Times New Roman" w:cs="Times New Roman"/>
          <w:color w:val="231F20"/>
          <w:spacing w:val="-3"/>
          <w:sz w:val="20"/>
          <w:szCs w:val="20"/>
        </w:rPr>
        <w:t>Enhancement</w:t>
      </w:r>
      <w:r>
        <w:rPr>
          <w:rFonts w:ascii="Times New Roman" w:hAnsi="Times New Roman" w:eastAsia="Times New Roman" w:cs="Times New Roman"/>
          <w:color w:val="231F20"/>
          <w:spacing w:val="17"/>
          <w:w w:val="101"/>
          <w:sz w:val="20"/>
          <w:szCs w:val="20"/>
        </w:rPr>
        <w:t xml:space="preserve"> </w:t>
      </w:r>
      <w:r>
        <w:rPr>
          <w:rFonts w:ascii="Times New Roman" w:hAnsi="Times New Roman" w:eastAsia="Times New Roman" w:cs="Times New Roman"/>
          <w:color w:val="231F20"/>
          <w:spacing w:val="-3"/>
          <w:sz w:val="20"/>
          <w:szCs w:val="20"/>
        </w:rPr>
        <w:t>in</w:t>
      </w:r>
      <w:r>
        <w:rPr>
          <w:rFonts w:ascii="Times New Roman" w:hAnsi="Times New Roman" w:eastAsia="Times New Roman" w:cs="Times New Roman"/>
          <w:color w:val="231F20"/>
          <w:spacing w:val="15"/>
          <w:w w:val="101"/>
          <w:sz w:val="20"/>
          <w:szCs w:val="20"/>
        </w:rPr>
        <w:t xml:space="preserve"> </w:t>
      </w:r>
      <w:r>
        <w:rPr>
          <w:rFonts w:ascii="Times New Roman" w:hAnsi="Times New Roman" w:eastAsia="Times New Roman" w:cs="Times New Roman"/>
          <w:color w:val="231F20"/>
          <w:spacing w:val="-3"/>
          <w:sz w:val="20"/>
          <w:szCs w:val="20"/>
        </w:rPr>
        <w:t>the</w:t>
      </w:r>
      <w:r>
        <w:rPr>
          <w:rFonts w:ascii="Times New Roman" w:hAnsi="Times New Roman" w:eastAsia="Times New Roman" w:cs="Times New Roman"/>
          <w:color w:val="231F20"/>
          <w:spacing w:val="17"/>
          <w:w w:val="101"/>
          <w:sz w:val="20"/>
          <w:szCs w:val="20"/>
        </w:rPr>
        <w:t xml:space="preserve"> </w:t>
      </w:r>
      <w:r>
        <w:rPr>
          <w:rFonts w:ascii="Times New Roman" w:hAnsi="Times New Roman" w:eastAsia="Times New Roman" w:cs="Times New Roman"/>
          <w:color w:val="231F20"/>
          <w:spacing w:val="-3"/>
          <w:sz w:val="20"/>
          <w:szCs w:val="20"/>
        </w:rPr>
        <w:t>Europ</w:t>
      </w:r>
      <w:r>
        <w:rPr>
          <w:rFonts w:ascii="Times New Roman" w:hAnsi="Times New Roman" w:eastAsia="Times New Roman" w:cs="Times New Roman"/>
          <w:color w:val="231F20"/>
          <w:spacing w:val="-4"/>
          <w:sz w:val="20"/>
          <w:szCs w:val="20"/>
        </w:rPr>
        <w:t>ean</w:t>
      </w:r>
      <w:r>
        <w:rPr>
          <w:rFonts w:ascii="Times New Roman" w:hAnsi="Times New Roman" w:eastAsia="Times New Roman" w:cs="Times New Roman"/>
          <w:color w:val="231F20"/>
          <w:spacing w:val="20"/>
          <w:w w:val="101"/>
          <w:sz w:val="20"/>
          <w:szCs w:val="20"/>
        </w:rPr>
        <w:t xml:space="preserve"> </w:t>
      </w:r>
      <w:r>
        <w:rPr>
          <w:rFonts w:ascii="Times New Roman" w:hAnsi="Times New Roman" w:eastAsia="Times New Roman" w:cs="Times New Roman"/>
          <w:color w:val="231F20"/>
          <w:spacing w:val="-4"/>
          <w:sz w:val="20"/>
          <w:szCs w:val="20"/>
        </w:rPr>
        <w:t xml:space="preserve">Higher  </w:t>
      </w:r>
      <w:r>
        <w:rPr>
          <w:rFonts w:ascii="Times New Roman" w:hAnsi="Times New Roman" w:eastAsia="Times New Roman" w:cs="Times New Roman"/>
          <w:color w:val="231F20"/>
          <w:spacing w:val="-7"/>
          <w:sz w:val="20"/>
          <w:szCs w:val="20"/>
        </w:rPr>
        <w:t>Education</w:t>
      </w:r>
      <w:r>
        <w:rPr>
          <w:rFonts w:ascii="Times New Roman" w:hAnsi="Times New Roman" w:eastAsia="Times New Roman" w:cs="Times New Roman"/>
          <w:color w:val="231F20"/>
          <w:spacing w:val="40"/>
          <w:sz w:val="20"/>
          <w:szCs w:val="20"/>
        </w:rPr>
        <w:t xml:space="preserve"> </w:t>
      </w:r>
      <w:r>
        <w:rPr>
          <w:rFonts w:ascii="Times New Roman" w:hAnsi="Times New Roman" w:eastAsia="Times New Roman" w:cs="Times New Roman"/>
          <w:color w:val="231F20"/>
          <w:spacing w:val="-7"/>
          <w:sz w:val="20"/>
          <w:szCs w:val="20"/>
        </w:rPr>
        <w:t>Area</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J</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 European</w:t>
      </w:r>
      <w:r>
        <w:rPr>
          <w:rFonts w:ascii="Times New Roman" w:hAnsi="Times New Roman" w:eastAsia="Times New Roman" w:cs="Times New Roman"/>
          <w:color w:val="231F20"/>
          <w:spacing w:val="36"/>
          <w:sz w:val="20"/>
          <w:szCs w:val="20"/>
        </w:rPr>
        <w:t xml:space="preserve"> </w:t>
      </w:r>
      <w:r>
        <w:rPr>
          <w:rFonts w:ascii="Times New Roman" w:hAnsi="Times New Roman" w:eastAsia="Times New Roman" w:cs="Times New Roman"/>
          <w:color w:val="231F20"/>
          <w:spacing w:val="-7"/>
          <w:sz w:val="20"/>
          <w:szCs w:val="20"/>
        </w:rPr>
        <w:t>Journal</w:t>
      </w:r>
      <w:r>
        <w:rPr>
          <w:rFonts w:ascii="Times New Roman" w:hAnsi="Times New Roman" w:eastAsia="Times New Roman" w:cs="Times New Roman"/>
          <w:color w:val="231F20"/>
          <w:spacing w:val="40"/>
          <w:w w:val="101"/>
          <w:sz w:val="20"/>
          <w:szCs w:val="20"/>
        </w:rPr>
        <w:t xml:space="preserve"> </w:t>
      </w:r>
      <w:r>
        <w:rPr>
          <w:rFonts w:ascii="Times New Roman" w:hAnsi="Times New Roman" w:eastAsia="Times New Roman" w:cs="Times New Roman"/>
          <w:color w:val="231F20"/>
          <w:spacing w:val="-7"/>
          <w:sz w:val="20"/>
          <w:szCs w:val="20"/>
        </w:rPr>
        <w:t>of</w:t>
      </w:r>
      <w:r>
        <w:rPr>
          <w:rFonts w:ascii="Times New Roman" w:hAnsi="Times New Roman" w:eastAsia="Times New Roman" w:cs="Times New Roman"/>
          <w:color w:val="231F20"/>
          <w:spacing w:val="30"/>
          <w:sz w:val="20"/>
          <w:szCs w:val="20"/>
        </w:rPr>
        <w:t xml:space="preserve"> </w:t>
      </w:r>
      <w:r>
        <w:rPr>
          <w:rFonts w:ascii="Times New Roman" w:hAnsi="Times New Roman" w:eastAsia="Times New Roman" w:cs="Times New Roman"/>
          <w:color w:val="231F20"/>
          <w:spacing w:val="-7"/>
          <w:sz w:val="20"/>
          <w:szCs w:val="20"/>
        </w:rPr>
        <w:t>Education</w:t>
      </w:r>
      <w:r>
        <w:rPr>
          <w:rFonts w:ascii="微软雅黑" w:hAnsi="微软雅黑" w:eastAsia="微软雅黑" w:cs="微软雅黑"/>
          <w:color w:val="231F20"/>
          <w:spacing w:val="-7"/>
          <w:sz w:val="20"/>
          <w:szCs w:val="20"/>
        </w:rPr>
        <w:t>，</w:t>
      </w:r>
      <w:r>
        <w:rPr>
          <w:rFonts w:ascii="微软雅黑" w:hAnsi="微软雅黑" w:eastAsia="微软雅黑" w:cs="微软雅黑"/>
          <w:color w:val="231F20"/>
          <w:sz w:val="20"/>
          <w:szCs w:val="20"/>
        </w:rPr>
        <w:t xml:space="preserve"> </w:t>
      </w:r>
      <w:r>
        <w:rPr>
          <w:rFonts w:ascii="Times New Roman" w:hAnsi="Times New Roman" w:eastAsia="Times New Roman" w:cs="Times New Roman"/>
          <w:color w:val="231F20"/>
          <w:spacing w:val="-2"/>
          <w:sz w:val="20"/>
          <w:szCs w:val="20"/>
        </w:rPr>
        <w:t>2008</w:t>
      </w:r>
      <w:r>
        <w:rPr>
          <w:rFonts w:ascii="微软雅黑" w:hAnsi="微软雅黑" w:eastAsia="微软雅黑" w:cs="微软雅黑"/>
          <w:color w:val="231F20"/>
          <w:spacing w:val="-2"/>
          <w:sz w:val="20"/>
          <w:szCs w:val="20"/>
        </w:rPr>
        <w:t>（</w:t>
      </w:r>
      <w:r>
        <w:rPr>
          <w:rFonts w:ascii="Times New Roman" w:hAnsi="Times New Roman" w:eastAsia="Times New Roman" w:cs="Times New Roman"/>
          <w:color w:val="231F20"/>
          <w:spacing w:val="-2"/>
          <w:sz w:val="20"/>
          <w:szCs w:val="20"/>
        </w:rPr>
        <w:t>4</w:t>
      </w:r>
      <w:r>
        <w:rPr>
          <w:rFonts w:ascii="微软雅黑" w:hAnsi="微软雅黑" w:eastAsia="微软雅黑" w:cs="微软雅黑"/>
          <w:color w:val="231F20"/>
          <w:spacing w:val="-31"/>
          <w:w w:val="56"/>
          <w:sz w:val="20"/>
          <w:szCs w:val="20"/>
        </w:rPr>
        <w:t>）：</w:t>
      </w:r>
      <w:r>
        <w:rPr>
          <w:rFonts w:ascii="Times New Roman" w:hAnsi="Times New Roman" w:eastAsia="Times New Roman" w:cs="Times New Roman"/>
          <w:color w:val="231F20"/>
          <w:spacing w:val="-2"/>
          <w:sz w:val="20"/>
          <w:szCs w:val="20"/>
        </w:rPr>
        <w:t>443-455.</w:t>
      </w:r>
    </w:p>
    <w:p>
      <w:pPr>
        <w:spacing w:before="33" w:line="159" w:lineRule="auto"/>
        <w:ind w:left="993"/>
        <w:rPr>
          <w:rFonts w:ascii="Times New Roman" w:hAnsi="Times New Roman" w:eastAsia="Times New Roman" w:cs="Times New Roman"/>
          <w:sz w:val="20"/>
          <w:szCs w:val="20"/>
        </w:rPr>
      </w:pP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27</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PETER</w:t>
      </w:r>
      <w:r>
        <w:rPr>
          <w:rFonts w:ascii="Times New Roman" w:hAnsi="Times New Roman" w:eastAsia="Times New Roman" w:cs="Times New Roman"/>
          <w:color w:val="231F20"/>
          <w:spacing w:val="43"/>
          <w:sz w:val="20"/>
          <w:szCs w:val="20"/>
        </w:rPr>
        <w:t xml:space="preserve"> </w:t>
      </w:r>
      <w:r>
        <w:rPr>
          <w:rFonts w:ascii="Times New Roman" w:hAnsi="Times New Roman" w:eastAsia="Times New Roman" w:cs="Times New Roman"/>
          <w:color w:val="231F20"/>
          <w:spacing w:val="-7"/>
          <w:sz w:val="20"/>
          <w:szCs w:val="20"/>
        </w:rPr>
        <w:t>NEWBY.</w:t>
      </w:r>
      <w:r>
        <w:rPr>
          <w:rFonts w:ascii="Times New Roman" w:hAnsi="Times New Roman" w:eastAsia="Times New Roman" w:cs="Times New Roman"/>
          <w:color w:val="231F20"/>
          <w:spacing w:val="-20"/>
          <w:sz w:val="20"/>
          <w:szCs w:val="20"/>
        </w:rPr>
        <w:t xml:space="preserve"> </w:t>
      </w:r>
      <w:r>
        <w:rPr>
          <w:rFonts w:ascii="Times New Roman" w:hAnsi="Times New Roman" w:eastAsia="Times New Roman" w:cs="Times New Roman"/>
          <w:color w:val="231F20"/>
          <w:spacing w:val="-7"/>
          <w:sz w:val="20"/>
          <w:szCs w:val="20"/>
        </w:rPr>
        <w:t>Culture</w:t>
      </w:r>
      <w:r>
        <w:rPr>
          <w:rFonts w:ascii="Times New Roman" w:hAnsi="Times New Roman" w:eastAsia="Times New Roman" w:cs="Times New Roman"/>
          <w:color w:val="231F20"/>
          <w:spacing w:val="28"/>
          <w:w w:val="101"/>
          <w:sz w:val="20"/>
          <w:szCs w:val="20"/>
        </w:rPr>
        <w:t xml:space="preserve"> </w:t>
      </w:r>
      <w:r>
        <w:rPr>
          <w:rFonts w:ascii="Times New Roman" w:hAnsi="Times New Roman" w:eastAsia="Times New Roman" w:cs="Times New Roman"/>
          <w:color w:val="231F20"/>
          <w:spacing w:val="-7"/>
          <w:sz w:val="20"/>
          <w:szCs w:val="20"/>
        </w:rPr>
        <w:t>and</w:t>
      </w:r>
      <w:r>
        <w:rPr>
          <w:rFonts w:ascii="Times New Roman" w:hAnsi="Times New Roman" w:eastAsia="Times New Roman" w:cs="Times New Roman"/>
          <w:color w:val="231F20"/>
          <w:spacing w:val="31"/>
          <w:w w:val="101"/>
          <w:sz w:val="20"/>
          <w:szCs w:val="20"/>
        </w:rPr>
        <w:t xml:space="preserve"> </w:t>
      </w:r>
      <w:r>
        <w:rPr>
          <w:rFonts w:ascii="Times New Roman" w:hAnsi="Times New Roman" w:eastAsia="Times New Roman" w:cs="Times New Roman"/>
          <w:color w:val="231F20"/>
          <w:spacing w:val="-7"/>
          <w:sz w:val="20"/>
          <w:szCs w:val="20"/>
        </w:rPr>
        <w:t>Quality</w:t>
      </w:r>
      <w:r>
        <w:rPr>
          <w:rFonts w:ascii="Times New Roman" w:hAnsi="Times New Roman" w:eastAsia="Times New Roman" w:cs="Times New Roman"/>
          <w:color w:val="231F20"/>
          <w:spacing w:val="28"/>
          <w:sz w:val="20"/>
          <w:szCs w:val="20"/>
        </w:rPr>
        <w:t xml:space="preserve"> </w:t>
      </w:r>
      <w:r>
        <w:rPr>
          <w:rFonts w:ascii="Times New Roman" w:hAnsi="Times New Roman" w:eastAsia="Times New Roman" w:cs="Times New Roman"/>
          <w:color w:val="231F20"/>
          <w:spacing w:val="-7"/>
          <w:sz w:val="20"/>
          <w:szCs w:val="20"/>
        </w:rPr>
        <w:t>in</w:t>
      </w:r>
      <w:r>
        <w:rPr>
          <w:rFonts w:ascii="Times New Roman" w:hAnsi="Times New Roman" w:eastAsia="Times New Roman" w:cs="Times New Roman"/>
          <w:color w:val="231F20"/>
          <w:spacing w:val="30"/>
          <w:w w:val="101"/>
          <w:sz w:val="20"/>
          <w:szCs w:val="20"/>
        </w:rPr>
        <w:t xml:space="preserve"> </w:t>
      </w:r>
      <w:r>
        <w:rPr>
          <w:rFonts w:ascii="Times New Roman" w:hAnsi="Times New Roman" w:eastAsia="Times New Roman" w:cs="Times New Roman"/>
          <w:color w:val="231F20"/>
          <w:spacing w:val="-7"/>
          <w:sz w:val="20"/>
          <w:szCs w:val="20"/>
        </w:rPr>
        <w:t>Higher</w:t>
      </w:r>
    </w:p>
    <w:p>
      <w:pPr>
        <w:spacing w:line="14" w:lineRule="auto"/>
        <w:rPr>
          <w:rFonts w:ascii="Arial"/>
          <w:sz w:val="2"/>
        </w:rPr>
      </w:pPr>
      <w:r>
        <w:rPr>
          <w:rFonts w:ascii="Arial" w:hAnsi="Arial" w:eastAsia="Arial" w:cs="Arial"/>
          <w:sz w:val="2"/>
          <w:szCs w:val="2"/>
        </w:rPr>
        <w:br w:type="column"/>
      </w:r>
    </w:p>
    <w:p>
      <w:pPr>
        <w:spacing w:before="44" w:line="225" w:lineRule="auto"/>
        <w:ind w:left="80" w:right="1"/>
        <w:rPr>
          <w:rFonts w:ascii="Times New Roman" w:hAnsi="Times New Roman" w:eastAsia="Times New Roman" w:cs="Times New Roman"/>
          <w:sz w:val="20"/>
          <w:szCs w:val="20"/>
        </w:rPr>
      </w:pPr>
      <w:r>
        <w:rPr>
          <w:rFonts w:ascii="Times New Roman" w:hAnsi="Times New Roman" w:eastAsia="Times New Roman" w:cs="Times New Roman"/>
          <w:color w:val="231F20"/>
          <w:spacing w:val="-7"/>
          <w:sz w:val="20"/>
          <w:szCs w:val="20"/>
        </w:rPr>
        <w:t>Education</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J</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 Higher  Education</w:t>
      </w:r>
      <w:r>
        <w:rPr>
          <w:rFonts w:ascii="Times New Roman" w:hAnsi="Times New Roman" w:eastAsia="Times New Roman" w:cs="Times New Roman"/>
          <w:color w:val="231F20"/>
          <w:spacing w:val="-8"/>
          <w:sz w:val="20"/>
          <w:szCs w:val="20"/>
        </w:rPr>
        <w:t xml:space="preserve">  Policy</w:t>
      </w:r>
      <w:r>
        <w:rPr>
          <w:rFonts w:ascii="微软雅黑" w:hAnsi="微软雅黑" w:eastAsia="微软雅黑" w:cs="微软雅黑"/>
          <w:color w:val="231F20"/>
          <w:spacing w:val="-8"/>
          <w:sz w:val="20"/>
          <w:szCs w:val="20"/>
        </w:rPr>
        <w:t>，</w:t>
      </w:r>
      <w:r>
        <w:rPr>
          <w:rFonts w:ascii="Times New Roman" w:hAnsi="Times New Roman" w:eastAsia="Times New Roman" w:cs="Times New Roman"/>
          <w:color w:val="231F20"/>
          <w:spacing w:val="-8"/>
          <w:sz w:val="20"/>
          <w:szCs w:val="20"/>
        </w:rPr>
        <w:t>1999</w:t>
      </w:r>
      <w:r>
        <w:rPr>
          <w:rFonts w:ascii="微软雅黑" w:hAnsi="微软雅黑" w:eastAsia="微软雅黑" w:cs="微软雅黑"/>
          <w:color w:val="231F20"/>
          <w:spacing w:val="-8"/>
          <w:sz w:val="20"/>
          <w:szCs w:val="20"/>
        </w:rPr>
        <w:t>（</w:t>
      </w:r>
      <w:r>
        <w:rPr>
          <w:rFonts w:ascii="Times New Roman" w:hAnsi="Times New Roman" w:eastAsia="Times New Roman" w:cs="Times New Roman"/>
          <w:color w:val="231F20"/>
          <w:spacing w:val="-8"/>
          <w:sz w:val="20"/>
          <w:szCs w:val="20"/>
        </w:rPr>
        <w:t>3</w:t>
      </w:r>
      <w:r>
        <w:rPr>
          <w:rFonts w:ascii="微软雅黑" w:hAnsi="微软雅黑" w:eastAsia="微软雅黑" w:cs="微软雅黑"/>
          <w:color w:val="231F20"/>
          <w:spacing w:val="-45"/>
          <w:sz w:val="20"/>
          <w:szCs w:val="20"/>
        </w:rPr>
        <w:t>）：</w:t>
      </w:r>
      <w:r>
        <w:rPr>
          <w:rFonts w:ascii="微软雅黑" w:hAnsi="微软雅黑" w:eastAsia="微软雅黑" w:cs="微软雅黑"/>
          <w:color w:val="231F20"/>
          <w:sz w:val="20"/>
          <w:szCs w:val="20"/>
        </w:rPr>
        <w:t xml:space="preserve"> </w:t>
      </w:r>
      <w:r>
        <w:rPr>
          <w:rFonts w:ascii="Times New Roman" w:hAnsi="Times New Roman" w:eastAsia="Times New Roman" w:cs="Times New Roman"/>
          <w:color w:val="231F20"/>
          <w:spacing w:val="4"/>
          <w:sz w:val="20"/>
          <w:szCs w:val="20"/>
        </w:rPr>
        <w:t>261-275.</w:t>
      </w:r>
    </w:p>
    <w:p>
      <w:pPr>
        <w:spacing w:before="94" w:line="236" w:lineRule="auto"/>
        <w:ind w:left="78" w:right="64" w:hanging="78"/>
        <w:jc w:val="both"/>
        <w:rPr>
          <w:rFonts w:ascii="Times New Roman" w:hAnsi="Times New Roman" w:eastAsia="Times New Roman" w:cs="Times New Roman"/>
          <w:sz w:val="20"/>
          <w:szCs w:val="20"/>
        </w:rPr>
      </w:pPr>
      <w:r>
        <w:rPr>
          <w:rFonts w:ascii="微软雅黑" w:hAnsi="微软雅黑" w:eastAsia="微软雅黑" w:cs="微软雅黑"/>
          <w:color w:val="231F20"/>
          <w:spacing w:val="-14"/>
          <w:w w:val="98"/>
          <w:sz w:val="20"/>
          <w:szCs w:val="20"/>
        </w:rPr>
        <w:t>［</w:t>
      </w:r>
      <w:r>
        <w:rPr>
          <w:rFonts w:ascii="Times New Roman" w:hAnsi="Times New Roman" w:eastAsia="Times New Roman" w:cs="Times New Roman"/>
          <w:color w:val="231F20"/>
          <w:spacing w:val="-14"/>
          <w:w w:val="98"/>
          <w:sz w:val="20"/>
          <w:szCs w:val="20"/>
        </w:rPr>
        <w:t>28</w:t>
      </w:r>
      <w:r>
        <w:rPr>
          <w:rFonts w:ascii="微软雅黑" w:hAnsi="微软雅黑" w:eastAsia="微软雅黑" w:cs="微软雅黑"/>
          <w:color w:val="231F20"/>
          <w:spacing w:val="-14"/>
          <w:w w:val="98"/>
          <w:sz w:val="20"/>
          <w:szCs w:val="20"/>
        </w:rPr>
        <w:t>］</w:t>
      </w:r>
      <w:r>
        <w:rPr>
          <w:rFonts w:ascii="Times New Roman" w:hAnsi="Times New Roman" w:eastAsia="Times New Roman" w:cs="Times New Roman"/>
          <w:color w:val="231F20"/>
          <w:spacing w:val="-14"/>
          <w:w w:val="98"/>
          <w:sz w:val="20"/>
          <w:szCs w:val="20"/>
        </w:rPr>
        <w:t>DOVAL</w:t>
      </w:r>
      <w:r>
        <w:rPr>
          <w:rFonts w:ascii="Times New Roman" w:hAnsi="Times New Roman" w:eastAsia="Times New Roman" w:cs="Times New Roman"/>
          <w:color w:val="231F20"/>
          <w:spacing w:val="28"/>
          <w:sz w:val="20"/>
          <w:szCs w:val="20"/>
        </w:rPr>
        <w:t xml:space="preserve"> </w:t>
      </w:r>
      <w:r>
        <w:rPr>
          <w:rFonts w:ascii="Times New Roman" w:hAnsi="Times New Roman" w:eastAsia="Times New Roman" w:cs="Times New Roman"/>
          <w:color w:val="231F20"/>
          <w:spacing w:val="-14"/>
          <w:w w:val="98"/>
          <w:sz w:val="20"/>
          <w:szCs w:val="20"/>
        </w:rPr>
        <w:t>E</w:t>
      </w:r>
      <w:r>
        <w:rPr>
          <w:rFonts w:ascii="微软雅黑" w:hAnsi="微软雅黑" w:eastAsia="微软雅黑" w:cs="微软雅黑"/>
          <w:color w:val="231F20"/>
          <w:spacing w:val="-14"/>
          <w:w w:val="98"/>
          <w:sz w:val="20"/>
          <w:szCs w:val="20"/>
        </w:rPr>
        <w:t>，</w:t>
      </w:r>
      <w:r>
        <w:rPr>
          <w:rFonts w:ascii="Times New Roman" w:hAnsi="Times New Roman" w:eastAsia="Times New Roman" w:cs="Times New Roman"/>
          <w:color w:val="231F20"/>
          <w:spacing w:val="-14"/>
          <w:w w:val="98"/>
          <w:sz w:val="20"/>
          <w:szCs w:val="20"/>
        </w:rPr>
        <w:t>BONDREA</w:t>
      </w:r>
      <w:r>
        <w:rPr>
          <w:rFonts w:ascii="Times New Roman" w:hAnsi="Times New Roman" w:eastAsia="Times New Roman" w:cs="Times New Roman"/>
          <w:color w:val="231F20"/>
          <w:spacing w:val="26"/>
          <w:w w:val="101"/>
          <w:sz w:val="20"/>
          <w:szCs w:val="20"/>
        </w:rPr>
        <w:t xml:space="preserve"> </w:t>
      </w:r>
      <w:r>
        <w:rPr>
          <w:rFonts w:ascii="Times New Roman" w:hAnsi="Times New Roman" w:eastAsia="Times New Roman" w:cs="Times New Roman"/>
          <w:color w:val="231F20"/>
          <w:spacing w:val="-14"/>
          <w:w w:val="98"/>
          <w:sz w:val="20"/>
          <w:szCs w:val="20"/>
        </w:rPr>
        <w:t>E</w:t>
      </w:r>
      <w:r>
        <w:rPr>
          <w:rFonts w:ascii="微软雅黑" w:hAnsi="微软雅黑" w:eastAsia="微软雅黑" w:cs="微软雅黑"/>
          <w:color w:val="231F20"/>
          <w:spacing w:val="-14"/>
          <w:w w:val="98"/>
          <w:sz w:val="20"/>
          <w:szCs w:val="20"/>
        </w:rPr>
        <w:t>，</w:t>
      </w:r>
      <w:r>
        <w:rPr>
          <w:rFonts w:ascii="Times New Roman" w:hAnsi="Times New Roman" w:eastAsia="Times New Roman" w:cs="Times New Roman"/>
          <w:color w:val="231F20"/>
          <w:spacing w:val="-14"/>
          <w:w w:val="98"/>
          <w:sz w:val="20"/>
          <w:szCs w:val="20"/>
        </w:rPr>
        <w:t>HELENA</w:t>
      </w:r>
      <w:r>
        <w:rPr>
          <w:rFonts w:ascii="Times New Roman" w:hAnsi="Times New Roman" w:eastAsia="Times New Roman" w:cs="Times New Roman"/>
          <w:color w:val="231F20"/>
          <w:spacing w:val="29"/>
          <w:w w:val="101"/>
          <w:sz w:val="20"/>
          <w:szCs w:val="20"/>
        </w:rPr>
        <w:t xml:space="preserve"> </w:t>
      </w:r>
      <w:r>
        <w:rPr>
          <w:rFonts w:ascii="Times New Roman" w:hAnsi="Times New Roman" w:eastAsia="Times New Roman" w:cs="Times New Roman"/>
          <w:color w:val="231F20"/>
          <w:spacing w:val="-14"/>
          <w:w w:val="98"/>
          <w:sz w:val="20"/>
          <w:szCs w:val="20"/>
        </w:rPr>
        <w:t>O</w:t>
      </w:r>
      <w:r>
        <w:rPr>
          <w:rFonts w:ascii="微软雅黑" w:hAnsi="微软雅黑" w:eastAsia="微软雅黑" w:cs="微软雅黑"/>
          <w:color w:val="231F20"/>
          <w:spacing w:val="-14"/>
          <w:w w:val="98"/>
          <w:sz w:val="20"/>
          <w:szCs w:val="20"/>
        </w:rPr>
        <w:t>，</w:t>
      </w:r>
      <w:r>
        <w:rPr>
          <w:rFonts w:ascii="Times New Roman" w:hAnsi="Times New Roman" w:eastAsia="Times New Roman" w:cs="Times New Roman"/>
          <w:color w:val="231F20"/>
          <w:spacing w:val="-14"/>
          <w:w w:val="98"/>
          <w:sz w:val="20"/>
          <w:szCs w:val="20"/>
        </w:rPr>
        <w:t>et</w:t>
      </w:r>
      <w:r>
        <w:rPr>
          <w:rFonts w:ascii="Times New Roman" w:hAnsi="Times New Roman" w:eastAsia="Times New Roman" w:cs="Times New Roman"/>
          <w:color w:val="231F20"/>
          <w:spacing w:val="26"/>
          <w:sz w:val="20"/>
          <w:szCs w:val="20"/>
        </w:rPr>
        <w:t xml:space="preserve"> </w:t>
      </w:r>
      <w:r>
        <w:rPr>
          <w:rFonts w:ascii="Times New Roman" w:hAnsi="Times New Roman" w:eastAsia="Times New Roman" w:cs="Times New Roman"/>
          <w:color w:val="231F20"/>
          <w:spacing w:val="-14"/>
          <w:w w:val="98"/>
          <w:sz w:val="20"/>
          <w:szCs w:val="20"/>
        </w:rPr>
        <w:t>al.</w:t>
      </w:r>
      <w:r>
        <w:rPr>
          <w:rFonts w:ascii="Times New Roman" w:hAnsi="Times New Roman" w:eastAsia="Times New Roman" w:cs="Times New Roman"/>
          <w:color w:val="231F20"/>
          <w:spacing w:val="23"/>
          <w:w w:val="101"/>
          <w:sz w:val="20"/>
          <w:szCs w:val="20"/>
        </w:rPr>
        <w:t xml:space="preserve"> </w:t>
      </w:r>
      <w:r>
        <w:rPr>
          <w:rFonts w:ascii="Times New Roman" w:hAnsi="Times New Roman" w:eastAsia="Times New Roman" w:cs="Times New Roman"/>
          <w:color w:val="231F20"/>
          <w:spacing w:val="-14"/>
          <w:w w:val="98"/>
          <w:sz w:val="20"/>
          <w:szCs w:val="20"/>
        </w:rPr>
        <w:t>A</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5"/>
          <w:sz w:val="20"/>
          <w:szCs w:val="20"/>
        </w:rPr>
        <w:t>Model</w:t>
      </w:r>
      <w:r>
        <w:rPr>
          <w:rFonts w:ascii="Times New Roman" w:hAnsi="Times New Roman" w:eastAsia="Times New Roman" w:cs="Times New Roman"/>
          <w:color w:val="231F20"/>
          <w:spacing w:val="23"/>
          <w:sz w:val="20"/>
          <w:szCs w:val="20"/>
        </w:rPr>
        <w:t xml:space="preserve"> </w:t>
      </w:r>
      <w:r>
        <w:rPr>
          <w:rFonts w:ascii="Times New Roman" w:hAnsi="Times New Roman" w:eastAsia="Times New Roman" w:cs="Times New Roman"/>
          <w:color w:val="231F20"/>
          <w:spacing w:val="-5"/>
          <w:sz w:val="20"/>
          <w:szCs w:val="20"/>
        </w:rPr>
        <w:t>of University</w:t>
      </w:r>
      <w:r>
        <w:rPr>
          <w:rFonts w:ascii="Times New Roman" w:hAnsi="Times New Roman" w:eastAsia="Times New Roman" w:cs="Times New Roman"/>
          <w:color w:val="231F20"/>
          <w:spacing w:val="16"/>
          <w:w w:val="101"/>
          <w:sz w:val="20"/>
          <w:szCs w:val="20"/>
        </w:rPr>
        <w:t xml:space="preserve"> </w:t>
      </w:r>
      <w:r>
        <w:rPr>
          <w:rFonts w:ascii="Times New Roman" w:hAnsi="Times New Roman" w:eastAsia="Times New Roman" w:cs="Times New Roman"/>
          <w:color w:val="231F20"/>
          <w:spacing w:val="-5"/>
          <w:sz w:val="20"/>
          <w:szCs w:val="20"/>
        </w:rPr>
        <w:t>Quality</w:t>
      </w:r>
      <w:r>
        <w:rPr>
          <w:rFonts w:ascii="Times New Roman" w:hAnsi="Times New Roman" w:eastAsia="Times New Roman" w:cs="Times New Roman"/>
          <w:color w:val="231F20"/>
          <w:spacing w:val="17"/>
          <w:sz w:val="20"/>
          <w:szCs w:val="20"/>
        </w:rPr>
        <w:t xml:space="preserve"> </w:t>
      </w:r>
      <w:r>
        <w:rPr>
          <w:rFonts w:ascii="Times New Roman" w:hAnsi="Times New Roman" w:eastAsia="Times New Roman" w:cs="Times New Roman"/>
          <w:color w:val="231F20"/>
          <w:spacing w:val="-5"/>
          <w:sz w:val="20"/>
          <w:szCs w:val="20"/>
        </w:rPr>
        <w:t>Culture</w:t>
      </w:r>
      <w:r>
        <w:rPr>
          <w:rFonts w:ascii="Times New Roman" w:hAnsi="Times New Roman" w:eastAsia="Times New Roman" w:cs="Times New Roman"/>
          <w:color w:val="231F20"/>
          <w:spacing w:val="15"/>
          <w:w w:val="101"/>
          <w:sz w:val="20"/>
          <w:szCs w:val="20"/>
        </w:rPr>
        <w:t xml:space="preserve"> </w:t>
      </w:r>
      <w:r>
        <w:rPr>
          <w:rFonts w:ascii="Times New Roman" w:hAnsi="Times New Roman" w:eastAsia="Times New Roman" w:cs="Times New Roman"/>
          <w:color w:val="231F20"/>
          <w:spacing w:val="-5"/>
          <w:sz w:val="20"/>
          <w:szCs w:val="20"/>
        </w:rPr>
        <w:t>System:</w:t>
      </w:r>
      <w:r>
        <w:rPr>
          <w:rFonts w:ascii="Times New Roman" w:hAnsi="Times New Roman" w:eastAsia="Times New Roman" w:cs="Times New Roman"/>
          <w:color w:val="231F20"/>
          <w:spacing w:val="14"/>
          <w:sz w:val="20"/>
          <w:szCs w:val="20"/>
        </w:rPr>
        <w:t xml:space="preserve"> </w:t>
      </w:r>
      <w:r>
        <w:rPr>
          <w:rFonts w:ascii="Times New Roman" w:hAnsi="Times New Roman" w:eastAsia="Times New Roman" w:cs="Times New Roman"/>
          <w:color w:val="231F20"/>
          <w:spacing w:val="-5"/>
          <w:sz w:val="20"/>
          <w:szCs w:val="20"/>
        </w:rPr>
        <w:t>Filling</w:t>
      </w:r>
      <w:r>
        <w:rPr>
          <w:rFonts w:ascii="Times New Roman" w:hAnsi="Times New Roman" w:eastAsia="Times New Roman" w:cs="Times New Roman"/>
          <w:color w:val="231F20"/>
          <w:spacing w:val="14"/>
          <w:sz w:val="20"/>
          <w:szCs w:val="20"/>
        </w:rPr>
        <w:t xml:space="preserve"> </w:t>
      </w:r>
      <w:r>
        <w:rPr>
          <w:rFonts w:ascii="Times New Roman" w:hAnsi="Times New Roman" w:eastAsia="Times New Roman" w:cs="Times New Roman"/>
          <w:color w:val="231F20"/>
          <w:spacing w:val="-5"/>
          <w:sz w:val="20"/>
          <w:szCs w:val="20"/>
        </w:rPr>
        <w:t>in</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6"/>
          <w:sz w:val="20"/>
          <w:szCs w:val="20"/>
        </w:rPr>
        <w:t>the</w:t>
      </w:r>
      <w:r>
        <w:rPr>
          <w:rFonts w:ascii="Times New Roman" w:hAnsi="Times New Roman" w:eastAsia="Times New Roman" w:cs="Times New Roman"/>
          <w:color w:val="231F20"/>
          <w:spacing w:val="14"/>
          <w:w w:val="101"/>
          <w:sz w:val="20"/>
          <w:szCs w:val="20"/>
        </w:rPr>
        <w:t xml:space="preserve"> </w:t>
      </w:r>
      <w:r>
        <w:rPr>
          <w:rFonts w:ascii="Times New Roman" w:hAnsi="Times New Roman" w:eastAsia="Times New Roman" w:cs="Times New Roman"/>
          <w:color w:val="231F20"/>
          <w:spacing w:val="-6"/>
          <w:sz w:val="20"/>
          <w:szCs w:val="20"/>
        </w:rPr>
        <w:t>Gaps</w:t>
      </w:r>
      <w:r>
        <w:rPr>
          <w:rFonts w:ascii="微软雅黑" w:hAnsi="微软雅黑" w:eastAsia="微软雅黑" w:cs="微软雅黑"/>
          <w:color w:val="231F20"/>
          <w:spacing w:val="-6"/>
          <w:sz w:val="20"/>
          <w:szCs w:val="20"/>
        </w:rPr>
        <w:t>［</w:t>
      </w:r>
      <w:r>
        <w:rPr>
          <w:rFonts w:ascii="Times New Roman" w:hAnsi="Times New Roman" w:eastAsia="Times New Roman" w:cs="Times New Roman"/>
          <w:color w:val="231F20"/>
          <w:spacing w:val="-6"/>
          <w:sz w:val="20"/>
          <w:szCs w:val="20"/>
        </w:rPr>
        <w:t>J</w:t>
      </w:r>
      <w:r>
        <w:rPr>
          <w:rFonts w:ascii="微软雅黑" w:hAnsi="微软雅黑" w:eastAsia="微软雅黑" w:cs="微软雅黑"/>
          <w:color w:val="231F20"/>
          <w:spacing w:val="-6"/>
          <w:sz w:val="20"/>
          <w:szCs w:val="20"/>
        </w:rPr>
        <w:t>］</w:t>
      </w:r>
      <w:r>
        <w:rPr>
          <w:rFonts w:ascii="Times New Roman" w:hAnsi="Times New Roman" w:eastAsia="Times New Roman" w:cs="Times New Roman"/>
          <w:color w:val="231F20"/>
          <w:spacing w:val="-6"/>
          <w:sz w:val="20"/>
          <w:szCs w:val="20"/>
        </w:rPr>
        <w:t>. Journal</w:t>
      </w:r>
      <w:r>
        <w:rPr>
          <w:rFonts w:ascii="Times New Roman" w:hAnsi="Times New Roman" w:eastAsia="Times New Roman" w:cs="Times New Roman"/>
          <w:color w:val="231F20"/>
          <w:spacing w:val="10"/>
          <w:sz w:val="20"/>
          <w:szCs w:val="20"/>
        </w:rPr>
        <w:t xml:space="preserve"> </w:t>
      </w:r>
      <w:r>
        <w:rPr>
          <w:rFonts w:ascii="Times New Roman" w:hAnsi="Times New Roman" w:eastAsia="Times New Roman" w:cs="Times New Roman"/>
          <w:color w:val="231F20"/>
          <w:spacing w:val="-6"/>
          <w:sz w:val="20"/>
          <w:szCs w:val="20"/>
        </w:rPr>
        <w:t>of US-China</w:t>
      </w:r>
      <w:r>
        <w:rPr>
          <w:rFonts w:ascii="Times New Roman" w:hAnsi="Times New Roman" w:eastAsia="Times New Roman" w:cs="Times New Roman"/>
          <w:color w:val="231F20"/>
          <w:spacing w:val="10"/>
          <w:sz w:val="20"/>
          <w:szCs w:val="20"/>
        </w:rPr>
        <w:t xml:space="preserve"> </w:t>
      </w:r>
      <w:r>
        <w:rPr>
          <w:rFonts w:ascii="Times New Roman" w:hAnsi="Times New Roman" w:eastAsia="Times New Roman" w:cs="Times New Roman"/>
          <w:color w:val="231F20"/>
          <w:spacing w:val="-6"/>
          <w:sz w:val="20"/>
          <w:szCs w:val="20"/>
        </w:rPr>
        <w:t>Public</w:t>
      </w:r>
      <w:r>
        <w:rPr>
          <w:rFonts w:ascii="Times New Roman" w:hAnsi="Times New Roman" w:eastAsia="Times New Roman" w:cs="Times New Roman"/>
          <w:color w:val="231F20"/>
          <w:spacing w:val="10"/>
          <w:sz w:val="20"/>
          <w:szCs w:val="20"/>
        </w:rPr>
        <w:t xml:space="preserve"> </w:t>
      </w:r>
      <w:r>
        <w:rPr>
          <w:rFonts w:ascii="Times New Roman" w:hAnsi="Times New Roman" w:eastAsia="Times New Roman" w:cs="Times New Roman"/>
          <w:color w:val="231F20"/>
          <w:spacing w:val="-6"/>
          <w:sz w:val="20"/>
          <w:szCs w:val="20"/>
        </w:rPr>
        <w:t>Administra⁃</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10"/>
          <w:sz w:val="20"/>
          <w:szCs w:val="20"/>
        </w:rPr>
        <w:t>tion</w:t>
      </w:r>
      <w:r>
        <w:rPr>
          <w:rFonts w:ascii="微软雅黑" w:hAnsi="微软雅黑" w:eastAsia="微软雅黑" w:cs="微软雅黑"/>
          <w:color w:val="231F20"/>
          <w:spacing w:val="-10"/>
          <w:sz w:val="20"/>
          <w:szCs w:val="20"/>
        </w:rPr>
        <w:t>，</w:t>
      </w:r>
      <w:r>
        <w:rPr>
          <w:rFonts w:ascii="Times New Roman" w:hAnsi="Times New Roman" w:eastAsia="Times New Roman" w:cs="Times New Roman"/>
          <w:color w:val="231F20"/>
          <w:spacing w:val="-10"/>
          <w:sz w:val="20"/>
          <w:szCs w:val="20"/>
        </w:rPr>
        <w:t>2011</w:t>
      </w:r>
      <w:r>
        <w:rPr>
          <w:rFonts w:ascii="微软雅黑" w:hAnsi="微软雅黑" w:eastAsia="微软雅黑" w:cs="微软雅黑"/>
          <w:color w:val="231F20"/>
          <w:spacing w:val="-10"/>
          <w:sz w:val="20"/>
          <w:szCs w:val="20"/>
        </w:rPr>
        <w:t>，</w:t>
      </w:r>
      <w:r>
        <w:rPr>
          <w:rFonts w:ascii="Times New Roman" w:hAnsi="Times New Roman" w:eastAsia="Times New Roman" w:cs="Times New Roman"/>
          <w:color w:val="231F20"/>
          <w:spacing w:val="-10"/>
          <w:sz w:val="20"/>
          <w:szCs w:val="20"/>
        </w:rPr>
        <w:t>8</w:t>
      </w:r>
      <w:r>
        <w:rPr>
          <w:rFonts w:ascii="微软雅黑" w:hAnsi="微软雅黑" w:eastAsia="微软雅黑" w:cs="微软雅黑"/>
          <w:color w:val="231F20"/>
          <w:spacing w:val="-10"/>
          <w:sz w:val="20"/>
          <w:szCs w:val="20"/>
        </w:rPr>
        <w:t>（</w:t>
      </w:r>
      <w:r>
        <w:rPr>
          <w:rFonts w:ascii="Times New Roman" w:hAnsi="Times New Roman" w:eastAsia="Times New Roman" w:cs="Times New Roman"/>
          <w:color w:val="231F20"/>
          <w:spacing w:val="-10"/>
          <w:sz w:val="20"/>
          <w:szCs w:val="20"/>
        </w:rPr>
        <w:t>9</w:t>
      </w:r>
      <w:r>
        <w:rPr>
          <w:rFonts w:ascii="微软雅黑" w:hAnsi="微软雅黑" w:eastAsia="微软雅黑" w:cs="微软雅黑"/>
          <w:color w:val="231F20"/>
          <w:spacing w:val="-34"/>
          <w:w w:val="62"/>
          <w:sz w:val="20"/>
          <w:szCs w:val="20"/>
        </w:rPr>
        <w:t>）：</w:t>
      </w:r>
      <w:r>
        <w:rPr>
          <w:rFonts w:ascii="Times New Roman" w:hAnsi="Times New Roman" w:eastAsia="Times New Roman" w:cs="Times New Roman"/>
          <w:color w:val="231F20"/>
          <w:spacing w:val="-10"/>
          <w:sz w:val="20"/>
          <w:szCs w:val="20"/>
        </w:rPr>
        <w:t>1058-</w:t>
      </w:r>
      <w:r>
        <w:rPr>
          <w:rFonts w:ascii="Times New Roman" w:hAnsi="Times New Roman" w:eastAsia="Times New Roman" w:cs="Times New Roman"/>
          <w:color w:val="231F20"/>
          <w:spacing w:val="-24"/>
          <w:sz w:val="20"/>
          <w:szCs w:val="20"/>
        </w:rPr>
        <w:t xml:space="preserve"> </w:t>
      </w:r>
      <w:r>
        <w:rPr>
          <w:rFonts w:ascii="Times New Roman" w:hAnsi="Times New Roman" w:eastAsia="Times New Roman" w:cs="Times New Roman"/>
          <w:color w:val="231F20"/>
          <w:spacing w:val="-10"/>
          <w:sz w:val="20"/>
          <w:szCs w:val="20"/>
        </w:rPr>
        <w:t>1066.</w:t>
      </w:r>
    </w:p>
    <w:p>
      <w:pPr>
        <w:spacing w:before="32" w:line="216" w:lineRule="auto"/>
        <w:ind w:left="80" w:hanging="80"/>
        <w:jc w:val="both"/>
        <w:rPr>
          <w:rFonts w:ascii="Times New Roman" w:hAnsi="Times New Roman" w:eastAsia="Times New Roman" w:cs="Times New Roman"/>
          <w:sz w:val="20"/>
          <w:szCs w:val="20"/>
        </w:rPr>
      </w:pPr>
      <w:r>
        <w:rPr>
          <w:rFonts w:ascii="微软雅黑" w:hAnsi="微软雅黑" w:eastAsia="微软雅黑" w:cs="微软雅黑"/>
          <w:color w:val="231F20"/>
          <w:spacing w:val="-9"/>
          <w:sz w:val="20"/>
          <w:szCs w:val="20"/>
        </w:rPr>
        <w:t>［</w:t>
      </w:r>
      <w:r>
        <w:rPr>
          <w:rFonts w:ascii="Times New Roman" w:hAnsi="Times New Roman" w:eastAsia="Times New Roman" w:cs="Times New Roman"/>
          <w:color w:val="231F20"/>
          <w:spacing w:val="-9"/>
          <w:sz w:val="20"/>
          <w:szCs w:val="20"/>
        </w:rPr>
        <w:t>30</w:t>
      </w:r>
      <w:r>
        <w:rPr>
          <w:rFonts w:ascii="微软雅黑" w:hAnsi="微软雅黑" w:eastAsia="微软雅黑" w:cs="微软雅黑"/>
          <w:color w:val="231F20"/>
          <w:spacing w:val="-9"/>
          <w:sz w:val="20"/>
          <w:szCs w:val="20"/>
        </w:rPr>
        <w:t>］</w:t>
      </w:r>
      <w:r>
        <w:rPr>
          <w:rFonts w:ascii="Times New Roman" w:hAnsi="Times New Roman" w:eastAsia="Times New Roman" w:cs="Times New Roman"/>
          <w:color w:val="231F20"/>
          <w:spacing w:val="-9"/>
          <w:sz w:val="20"/>
          <w:szCs w:val="20"/>
        </w:rPr>
        <w:t>JOHN</w:t>
      </w:r>
      <w:r>
        <w:rPr>
          <w:rFonts w:ascii="Times New Roman" w:hAnsi="Times New Roman" w:eastAsia="Times New Roman" w:cs="Times New Roman"/>
          <w:color w:val="231F20"/>
          <w:spacing w:val="30"/>
          <w:sz w:val="20"/>
          <w:szCs w:val="20"/>
        </w:rPr>
        <w:t xml:space="preserve"> </w:t>
      </w:r>
      <w:r>
        <w:rPr>
          <w:rFonts w:ascii="Times New Roman" w:hAnsi="Times New Roman" w:eastAsia="Times New Roman" w:cs="Times New Roman"/>
          <w:color w:val="231F20"/>
          <w:spacing w:val="-9"/>
          <w:sz w:val="20"/>
          <w:szCs w:val="20"/>
        </w:rPr>
        <w:t>AUBREY</w:t>
      </w:r>
      <w:r>
        <w:rPr>
          <w:rFonts w:ascii="Times New Roman" w:hAnsi="Times New Roman" w:eastAsia="Times New Roman" w:cs="Times New Roman"/>
          <w:color w:val="231F20"/>
          <w:spacing w:val="18"/>
          <w:w w:val="101"/>
          <w:sz w:val="20"/>
          <w:szCs w:val="20"/>
        </w:rPr>
        <w:t xml:space="preserve"> </w:t>
      </w:r>
      <w:r>
        <w:rPr>
          <w:rFonts w:ascii="Times New Roman" w:hAnsi="Times New Roman" w:eastAsia="Times New Roman" w:cs="Times New Roman"/>
          <w:color w:val="231F20"/>
          <w:spacing w:val="-9"/>
          <w:sz w:val="20"/>
          <w:szCs w:val="20"/>
        </w:rPr>
        <w:t>DOUGLASS.Creating</w:t>
      </w:r>
      <w:r>
        <w:rPr>
          <w:rFonts w:ascii="Times New Roman" w:hAnsi="Times New Roman" w:eastAsia="Times New Roman" w:cs="Times New Roman"/>
          <w:color w:val="231F20"/>
          <w:spacing w:val="16"/>
          <w:sz w:val="20"/>
          <w:szCs w:val="20"/>
        </w:rPr>
        <w:t xml:space="preserve"> </w:t>
      </w:r>
      <w:r>
        <w:rPr>
          <w:rFonts w:ascii="Times New Roman" w:hAnsi="Times New Roman" w:eastAsia="Times New Roman" w:cs="Times New Roman"/>
          <w:color w:val="231F20"/>
          <w:spacing w:val="-9"/>
          <w:sz w:val="20"/>
          <w:szCs w:val="20"/>
        </w:rPr>
        <w:t>a</w:t>
      </w:r>
      <w:r>
        <w:rPr>
          <w:rFonts w:ascii="Times New Roman" w:hAnsi="Times New Roman" w:eastAsia="Times New Roman" w:cs="Times New Roman"/>
          <w:color w:val="231F20"/>
          <w:spacing w:val="18"/>
          <w:w w:val="101"/>
          <w:sz w:val="20"/>
          <w:szCs w:val="20"/>
        </w:rPr>
        <w:t xml:space="preserve"> </w:t>
      </w:r>
      <w:r>
        <w:rPr>
          <w:rFonts w:ascii="Times New Roman" w:hAnsi="Times New Roman" w:eastAsia="Times New Roman" w:cs="Times New Roman"/>
          <w:color w:val="231F20"/>
          <w:spacing w:val="-9"/>
          <w:sz w:val="20"/>
          <w:szCs w:val="20"/>
        </w:rPr>
        <w:t xml:space="preserve">Culture  </w:t>
      </w:r>
      <w:r>
        <w:rPr>
          <w:rFonts w:ascii="Times New Roman" w:hAnsi="Times New Roman" w:eastAsia="Times New Roman" w:cs="Times New Roman"/>
          <w:color w:val="231F20"/>
          <w:spacing w:val="-6"/>
          <w:sz w:val="20"/>
          <w:szCs w:val="20"/>
        </w:rPr>
        <w:t>of</w:t>
      </w:r>
      <w:r>
        <w:rPr>
          <w:rFonts w:ascii="Times New Roman" w:hAnsi="Times New Roman" w:eastAsia="Times New Roman" w:cs="Times New Roman"/>
          <w:color w:val="231F20"/>
          <w:spacing w:val="18"/>
          <w:w w:val="101"/>
          <w:sz w:val="20"/>
          <w:szCs w:val="20"/>
        </w:rPr>
        <w:t xml:space="preserve"> </w:t>
      </w:r>
      <w:r>
        <w:rPr>
          <w:rFonts w:ascii="Times New Roman" w:hAnsi="Times New Roman" w:eastAsia="Times New Roman" w:cs="Times New Roman"/>
          <w:color w:val="231F20"/>
          <w:spacing w:val="-6"/>
          <w:sz w:val="20"/>
          <w:szCs w:val="20"/>
        </w:rPr>
        <w:t>Aspiration</w:t>
      </w:r>
      <w:r>
        <w:rPr>
          <w:rFonts w:ascii="微软雅黑" w:hAnsi="微软雅黑" w:eastAsia="微软雅黑" w:cs="微软雅黑"/>
          <w:color w:val="231F20"/>
          <w:spacing w:val="-6"/>
          <w:sz w:val="20"/>
          <w:szCs w:val="20"/>
        </w:rPr>
        <w:t>：</w:t>
      </w:r>
      <w:r>
        <w:rPr>
          <w:rFonts w:ascii="Times New Roman" w:hAnsi="Times New Roman" w:eastAsia="Times New Roman" w:cs="Times New Roman"/>
          <w:color w:val="231F20"/>
          <w:spacing w:val="-6"/>
          <w:sz w:val="20"/>
          <w:szCs w:val="20"/>
        </w:rPr>
        <w:t>Higher</w:t>
      </w:r>
      <w:r>
        <w:rPr>
          <w:rFonts w:ascii="Times New Roman" w:hAnsi="Times New Roman" w:eastAsia="Times New Roman" w:cs="Times New Roman"/>
          <w:color w:val="231F20"/>
          <w:spacing w:val="29"/>
          <w:w w:val="101"/>
          <w:sz w:val="20"/>
          <w:szCs w:val="20"/>
        </w:rPr>
        <w:t xml:space="preserve"> </w:t>
      </w:r>
      <w:r>
        <w:rPr>
          <w:rFonts w:ascii="Times New Roman" w:hAnsi="Times New Roman" w:eastAsia="Times New Roman" w:cs="Times New Roman"/>
          <w:color w:val="231F20"/>
          <w:spacing w:val="-6"/>
          <w:sz w:val="20"/>
          <w:szCs w:val="20"/>
        </w:rPr>
        <w:t>Education</w:t>
      </w:r>
      <w:r>
        <w:rPr>
          <w:rFonts w:ascii="微软雅黑" w:hAnsi="微软雅黑" w:eastAsia="微软雅黑" w:cs="微软雅黑"/>
          <w:color w:val="231F20"/>
          <w:spacing w:val="-6"/>
          <w:sz w:val="20"/>
          <w:szCs w:val="20"/>
        </w:rPr>
        <w:t>，</w:t>
      </w:r>
      <w:r>
        <w:rPr>
          <w:rFonts w:ascii="Times New Roman" w:hAnsi="Times New Roman" w:eastAsia="Times New Roman" w:cs="Times New Roman"/>
          <w:color w:val="231F20"/>
          <w:spacing w:val="-6"/>
          <w:sz w:val="20"/>
          <w:szCs w:val="20"/>
        </w:rPr>
        <w:t>Human</w:t>
      </w:r>
      <w:r>
        <w:rPr>
          <w:rFonts w:ascii="Times New Roman" w:hAnsi="Times New Roman" w:eastAsia="Times New Roman" w:cs="Times New Roman"/>
          <w:color w:val="231F20"/>
          <w:spacing w:val="34"/>
          <w:w w:val="101"/>
          <w:sz w:val="20"/>
          <w:szCs w:val="20"/>
        </w:rPr>
        <w:t xml:space="preserve"> </w:t>
      </w:r>
      <w:r>
        <w:rPr>
          <w:rFonts w:ascii="Times New Roman" w:hAnsi="Times New Roman" w:eastAsia="Times New Roman" w:cs="Times New Roman"/>
          <w:color w:val="231F20"/>
          <w:spacing w:val="-6"/>
          <w:sz w:val="20"/>
          <w:szCs w:val="20"/>
        </w:rPr>
        <w:t>Cap</w:t>
      </w:r>
      <w:r>
        <w:rPr>
          <w:rFonts w:ascii="Times New Roman" w:hAnsi="Times New Roman" w:eastAsia="Times New Roman" w:cs="Times New Roman"/>
          <w:color w:val="231F20"/>
          <w:spacing w:val="-7"/>
          <w:sz w:val="20"/>
          <w:szCs w:val="20"/>
        </w:rPr>
        <w:t>ital</w:t>
      </w:r>
      <w:r>
        <w:rPr>
          <w:rFonts w:ascii="Times New Roman" w:hAnsi="Times New Roman" w:eastAsia="Times New Roman" w:cs="Times New Roman"/>
          <w:color w:val="231F20"/>
          <w:spacing w:val="31"/>
          <w:w w:val="101"/>
          <w:sz w:val="20"/>
          <w:szCs w:val="20"/>
        </w:rPr>
        <w:t xml:space="preserve"> </w:t>
      </w:r>
      <w:r>
        <w:rPr>
          <w:rFonts w:ascii="Times New Roman" w:hAnsi="Times New Roman" w:eastAsia="Times New Roman" w:cs="Times New Roman"/>
          <w:color w:val="231F20"/>
          <w:spacing w:val="-7"/>
          <w:sz w:val="20"/>
          <w:szCs w:val="20"/>
        </w:rPr>
        <w:t>and  Social  Change</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J</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 Social</w:t>
      </w:r>
      <w:r>
        <w:rPr>
          <w:rFonts w:ascii="Times New Roman" w:hAnsi="Times New Roman" w:eastAsia="Times New Roman" w:cs="Times New Roman"/>
          <w:color w:val="231F20"/>
          <w:spacing w:val="3"/>
          <w:sz w:val="20"/>
          <w:szCs w:val="20"/>
        </w:rPr>
        <w:t xml:space="preserve">  </w:t>
      </w:r>
      <w:r>
        <w:rPr>
          <w:rFonts w:ascii="Times New Roman" w:hAnsi="Times New Roman" w:eastAsia="Times New Roman" w:cs="Times New Roman"/>
          <w:color w:val="231F20"/>
          <w:spacing w:val="-7"/>
          <w:sz w:val="20"/>
          <w:szCs w:val="20"/>
        </w:rPr>
        <w:t>and</w:t>
      </w:r>
      <w:r>
        <w:rPr>
          <w:rFonts w:ascii="Times New Roman" w:hAnsi="Times New Roman" w:eastAsia="Times New Roman" w:cs="Times New Roman"/>
          <w:color w:val="231F20"/>
          <w:spacing w:val="4"/>
          <w:sz w:val="20"/>
          <w:szCs w:val="20"/>
        </w:rPr>
        <w:t xml:space="preserve">  </w:t>
      </w:r>
      <w:r>
        <w:rPr>
          <w:rFonts w:ascii="Times New Roman" w:hAnsi="Times New Roman" w:eastAsia="Times New Roman" w:cs="Times New Roman"/>
          <w:color w:val="231F20"/>
          <w:spacing w:val="-7"/>
          <w:sz w:val="20"/>
          <w:szCs w:val="20"/>
        </w:rPr>
        <w:t>Behavioral</w:t>
      </w:r>
      <w:r>
        <w:rPr>
          <w:rFonts w:ascii="Times New Roman" w:hAnsi="Times New Roman" w:eastAsia="Times New Roman" w:cs="Times New Roman"/>
          <w:color w:val="231F20"/>
          <w:spacing w:val="4"/>
          <w:sz w:val="20"/>
          <w:szCs w:val="20"/>
        </w:rPr>
        <w:t xml:space="preserve">  </w:t>
      </w:r>
      <w:r>
        <w:rPr>
          <w:rFonts w:ascii="Times New Roman" w:hAnsi="Times New Roman" w:eastAsia="Times New Roman" w:cs="Times New Roman"/>
          <w:color w:val="231F20"/>
          <w:spacing w:val="-7"/>
          <w:sz w:val="20"/>
          <w:szCs w:val="20"/>
        </w:rPr>
        <w:t>Sc</w:t>
      </w:r>
      <w:r>
        <w:rPr>
          <w:rFonts w:ascii="Times New Roman" w:hAnsi="Times New Roman" w:eastAsia="Times New Roman" w:cs="Times New Roman"/>
          <w:color w:val="231F20"/>
          <w:spacing w:val="-8"/>
          <w:sz w:val="20"/>
          <w:szCs w:val="20"/>
        </w:rPr>
        <w:t>iences</w:t>
      </w:r>
      <w:r>
        <w:rPr>
          <w:rFonts w:ascii="微软雅黑" w:hAnsi="微软雅黑" w:eastAsia="微软雅黑" w:cs="微软雅黑"/>
          <w:color w:val="231F20"/>
          <w:spacing w:val="-8"/>
          <w:sz w:val="20"/>
          <w:szCs w:val="20"/>
        </w:rPr>
        <w:t>，</w:t>
      </w:r>
      <w:r>
        <w:rPr>
          <w:rFonts w:ascii="微软雅黑" w:hAnsi="微软雅黑" w:eastAsia="微软雅黑" w:cs="微软雅黑"/>
          <w:color w:val="231F20"/>
          <w:spacing w:val="1"/>
          <w:sz w:val="20"/>
          <w:szCs w:val="20"/>
        </w:rPr>
        <w:t xml:space="preserve"> </w:t>
      </w:r>
      <w:r>
        <w:rPr>
          <w:rFonts w:ascii="Times New Roman" w:hAnsi="Times New Roman" w:eastAsia="Times New Roman" w:cs="Times New Roman"/>
          <w:color w:val="231F20"/>
          <w:spacing w:val="-8"/>
          <w:sz w:val="20"/>
          <w:szCs w:val="20"/>
        </w:rPr>
        <w:t>2010</w:t>
      </w:r>
      <w:r>
        <w:rPr>
          <w:rFonts w:ascii="微软雅黑" w:hAnsi="微软雅黑" w:eastAsia="微软雅黑" w:cs="微软雅黑"/>
          <w:color w:val="231F20"/>
          <w:spacing w:val="-8"/>
          <w:sz w:val="20"/>
          <w:szCs w:val="20"/>
        </w:rPr>
        <w:t>，</w:t>
      </w:r>
      <w:r>
        <w:rPr>
          <w:rFonts w:ascii="Times New Roman" w:hAnsi="Times New Roman" w:eastAsia="Times New Roman" w:cs="Times New Roman"/>
          <w:color w:val="231F20"/>
          <w:spacing w:val="-8"/>
          <w:sz w:val="20"/>
          <w:szCs w:val="20"/>
        </w:rPr>
        <w:t>2</w:t>
      </w:r>
      <w:r>
        <w:rPr>
          <w:rFonts w:ascii="微软雅黑" w:hAnsi="微软雅黑" w:eastAsia="微软雅黑" w:cs="微软雅黑"/>
          <w:color w:val="231F20"/>
          <w:spacing w:val="-8"/>
          <w:sz w:val="20"/>
          <w:szCs w:val="20"/>
        </w:rPr>
        <w:t>（</w:t>
      </w:r>
      <w:r>
        <w:rPr>
          <w:rFonts w:ascii="Times New Roman" w:hAnsi="Times New Roman" w:eastAsia="Times New Roman" w:cs="Times New Roman"/>
          <w:color w:val="231F20"/>
          <w:spacing w:val="-8"/>
          <w:sz w:val="20"/>
          <w:szCs w:val="20"/>
        </w:rPr>
        <w:t>5</w:t>
      </w:r>
      <w:r>
        <w:rPr>
          <w:rFonts w:ascii="微软雅黑" w:hAnsi="微软雅黑" w:eastAsia="微软雅黑" w:cs="微软雅黑"/>
          <w:color w:val="231F20"/>
          <w:spacing w:val="-34"/>
          <w:w w:val="61"/>
          <w:sz w:val="20"/>
          <w:szCs w:val="20"/>
        </w:rPr>
        <w:t>）：</w:t>
      </w:r>
      <w:r>
        <w:rPr>
          <w:rFonts w:ascii="Times New Roman" w:hAnsi="Times New Roman" w:eastAsia="Times New Roman" w:cs="Times New Roman"/>
          <w:color w:val="231F20"/>
          <w:spacing w:val="-8"/>
          <w:sz w:val="20"/>
          <w:szCs w:val="20"/>
        </w:rPr>
        <w:t>6981-6995.</w:t>
      </w:r>
    </w:p>
    <w:p>
      <w:pPr>
        <w:spacing w:before="33" w:line="214" w:lineRule="auto"/>
        <w:ind w:left="80" w:hanging="80"/>
        <w:jc w:val="both"/>
        <w:rPr>
          <w:rFonts w:ascii="Times New Roman" w:hAnsi="Times New Roman" w:eastAsia="Times New Roman" w:cs="Times New Roman"/>
          <w:sz w:val="20"/>
          <w:szCs w:val="20"/>
        </w:rPr>
      </w:pPr>
      <w:r>
        <w:rPr>
          <w:rFonts w:ascii="微软雅黑" w:hAnsi="微软雅黑" w:eastAsia="微软雅黑" w:cs="微软雅黑"/>
          <w:color w:val="231F20"/>
          <w:spacing w:val="-11"/>
          <w:sz w:val="20"/>
          <w:szCs w:val="20"/>
        </w:rPr>
        <w:t>［</w:t>
      </w:r>
      <w:r>
        <w:rPr>
          <w:rFonts w:ascii="Times New Roman" w:hAnsi="Times New Roman" w:eastAsia="Times New Roman" w:cs="Times New Roman"/>
          <w:color w:val="231F20"/>
          <w:spacing w:val="-11"/>
          <w:sz w:val="20"/>
          <w:szCs w:val="20"/>
        </w:rPr>
        <w:t>31</w:t>
      </w:r>
      <w:r>
        <w:rPr>
          <w:rFonts w:ascii="微软雅黑" w:hAnsi="微软雅黑" w:eastAsia="微软雅黑" w:cs="微软雅黑"/>
          <w:color w:val="231F20"/>
          <w:spacing w:val="-11"/>
          <w:sz w:val="20"/>
          <w:szCs w:val="20"/>
        </w:rPr>
        <w:t>］</w:t>
      </w:r>
      <w:r>
        <w:rPr>
          <w:rFonts w:ascii="Times New Roman" w:hAnsi="Times New Roman" w:eastAsia="Times New Roman" w:cs="Times New Roman"/>
          <w:color w:val="231F20"/>
          <w:spacing w:val="-11"/>
          <w:sz w:val="20"/>
          <w:szCs w:val="20"/>
        </w:rPr>
        <w:t>EWTON</w:t>
      </w:r>
      <w:r>
        <w:rPr>
          <w:rFonts w:ascii="Times New Roman" w:hAnsi="Times New Roman" w:eastAsia="Times New Roman" w:cs="Times New Roman"/>
          <w:color w:val="231F20"/>
          <w:spacing w:val="15"/>
          <w:sz w:val="20"/>
          <w:szCs w:val="20"/>
        </w:rPr>
        <w:t xml:space="preserve">  </w:t>
      </w:r>
      <w:r>
        <w:rPr>
          <w:rFonts w:ascii="Times New Roman" w:hAnsi="Times New Roman" w:eastAsia="Times New Roman" w:cs="Times New Roman"/>
          <w:color w:val="231F20"/>
          <w:spacing w:val="-11"/>
          <w:sz w:val="20"/>
          <w:szCs w:val="20"/>
        </w:rPr>
        <w:t>J.</w:t>
      </w:r>
      <w:r>
        <w:rPr>
          <w:rFonts w:ascii="Times New Roman" w:hAnsi="Times New Roman" w:eastAsia="Times New Roman" w:cs="Times New Roman"/>
          <w:color w:val="231F20"/>
          <w:spacing w:val="24"/>
          <w:w w:val="101"/>
          <w:sz w:val="20"/>
          <w:szCs w:val="20"/>
        </w:rPr>
        <w:t xml:space="preserve"> </w:t>
      </w:r>
      <w:r>
        <w:rPr>
          <w:rFonts w:ascii="Times New Roman" w:hAnsi="Times New Roman" w:eastAsia="Times New Roman" w:cs="Times New Roman"/>
          <w:color w:val="231F20"/>
          <w:spacing w:val="-11"/>
          <w:sz w:val="20"/>
          <w:szCs w:val="20"/>
        </w:rPr>
        <w:t>Views</w:t>
      </w:r>
      <w:r>
        <w:rPr>
          <w:rFonts w:ascii="Times New Roman" w:hAnsi="Times New Roman" w:eastAsia="Times New Roman" w:cs="Times New Roman"/>
          <w:color w:val="231F20"/>
          <w:spacing w:val="20"/>
          <w:w w:val="101"/>
          <w:sz w:val="20"/>
          <w:szCs w:val="20"/>
        </w:rPr>
        <w:t xml:space="preserve"> </w:t>
      </w:r>
      <w:r>
        <w:rPr>
          <w:rFonts w:ascii="Times New Roman" w:hAnsi="Times New Roman" w:eastAsia="Times New Roman" w:cs="Times New Roman"/>
          <w:color w:val="231F20"/>
          <w:spacing w:val="-11"/>
          <w:sz w:val="20"/>
          <w:szCs w:val="20"/>
        </w:rPr>
        <w:t>from</w:t>
      </w:r>
      <w:r>
        <w:rPr>
          <w:rFonts w:ascii="Times New Roman" w:hAnsi="Times New Roman" w:eastAsia="Times New Roman" w:cs="Times New Roman"/>
          <w:color w:val="231F20"/>
          <w:spacing w:val="29"/>
          <w:sz w:val="20"/>
          <w:szCs w:val="20"/>
        </w:rPr>
        <w:t xml:space="preserve"> </w:t>
      </w:r>
      <w:r>
        <w:rPr>
          <w:rFonts w:ascii="Times New Roman" w:hAnsi="Times New Roman" w:eastAsia="Times New Roman" w:cs="Times New Roman"/>
          <w:color w:val="231F20"/>
          <w:spacing w:val="-11"/>
          <w:sz w:val="20"/>
          <w:szCs w:val="20"/>
        </w:rPr>
        <w:t>Below</w:t>
      </w:r>
      <w:r>
        <w:rPr>
          <w:rFonts w:ascii="微软雅黑" w:hAnsi="微软雅黑" w:eastAsia="微软雅黑" w:cs="微软雅黑"/>
          <w:color w:val="231F20"/>
          <w:spacing w:val="-11"/>
          <w:sz w:val="20"/>
          <w:szCs w:val="20"/>
        </w:rPr>
        <w:t>：</w:t>
      </w:r>
      <w:r>
        <w:rPr>
          <w:rFonts w:ascii="Times New Roman" w:hAnsi="Times New Roman" w:eastAsia="Times New Roman" w:cs="Times New Roman"/>
          <w:color w:val="231F20"/>
          <w:spacing w:val="-11"/>
          <w:sz w:val="20"/>
          <w:szCs w:val="20"/>
        </w:rPr>
        <w:t>Academics</w:t>
      </w:r>
      <w:r>
        <w:rPr>
          <w:rFonts w:ascii="Times New Roman" w:hAnsi="Times New Roman" w:eastAsia="Times New Roman" w:cs="Times New Roman"/>
          <w:color w:val="231F20"/>
          <w:spacing w:val="28"/>
          <w:w w:val="101"/>
          <w:sz w:val="20"/>
          <w:szCs w:val="20"/>
        </w:rPr>
        <w:t xml:space="preserve"> </w:t>
      </w:r>
      <w:r>
        <w:rPr>
          <w:rFonts w:ascii="Times New Roman" w:hAnsi="Times New Roman" w:eastAsia="Times New Roman" w:cs="Times New Roman"/>
          <w:color w:val="231F20"/>
          <w:spacing w:val="-11"/>
          <w:sz w:val="20"/>
          <w:szCs w:val="20"/>
        </w:rPr>
        <w:t xml:space="preserve">Cop⁃  </w:t>
      </w:r>
      <w:r>
        <w:rPr>
          <w:rFonts w:ascii="Times New Roman" w:hAnsi="Times New Roman" w:eastAsia="Times New Roman" w:cs="Times New Roman"/>
          <w:color w:val="231F20"/>
          <w:spacing w:val="-7"/>
          <w:sz w:val="20"/>
          <w:szCs w:val="20"/>
        </w:rPr>
        <w:t>ing  with  Quality</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J</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 Quality</w:t>
      </w:r>
      <w:r>
        <w:rPr>
          <w:rFonts w:ascii="Times New Roman" w:hAnsi="Times New Roman" w:eastAsia="Times New Roman" w:cs="Times New Roman"/>
          <w:color w:val="231F20"/>
          <w:spacing w:val="4"/>
          <w:sz w:val="20"/>
          <w:szCs w:val="20"/>
        </w:rPr>
        <w:t xml:space="preserve">  </w:t>
      </w:r>
      <w:r>
        <w:rPr>
          <w:rFonts w:ascii="Times New Roman" w:hAnsi="Times New Roman" w:eastAsia="Times New Roman" w:cs="Times New Roman"/>
          <w:color w:val="231F20"/>
          <w:spacing w:val="-7"/>
          <w:sz w:val="20"/>
          <w:szCs w:val="20"/>
        </w:rPr>
        <w:t>in</w:t>
      </w:r>
      <w:r>
        <w:rPr>
          <w:rFonts w:ascii="Times New Roman" w:hAnsi="Times New Roman" w:eastAsia="Times New Roman" w:cs="Times New Roman"/>
          <w:color w:val="231F20"/>
          <w:spacing w:val="3"/>
          <w:sz w:val="20"/>
          <w:szCs w:val="20"/>
        </w:rPr>
        <w:t xml:space="preserve">  </w:t>
      </w:r>
      <w:r>
        <w:rPr>
          <w:rFonts w:ascii="Times New Roman" w:hAnsi="Times New Roman" w:eastAsia="Times New Roman" w:cs="Times New Roman"/>
          <w:color w:val="231F20"/>
          <w:spacing w:val="-7"/>
          <w:sz w:val="20"/>
          <w:szCs w:val="20"/>
        </w:rPr>
        <w:t>Higher</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7"/>
          <w:sz w:val="20"/>
          <w:szCs w:val="20"/>
        </w:rPr>
        <w:t>Education</w:t>
      </w:r>
      <w:r>
        <w:rPr>
          <w:rFonts w:ascii="微软雅黑" w:hAnsi="微软雅黑" w:eastAsia="微软雅黑" w:cs="微软雅黑"/>
          <w:color w:val="231F20"/>
          <w:spacing w:val="-7"/>
          <w:sz w:val="20"/>
          <w:szCs w:val="20"/>
        </w:rPr>
        <w:t>，</w:t>
      </w:r>
      <w:r>
        <w:rPr>
          <w:rFonts w:ascii="微软雅黑" w:hAnsi="微软雅黑" w:eastAsia="微软雅黑" w:cs="微软雅黑"/>
          <w:color w:val="231F20"/>
          <w:spacing w:val="2"/>
          <w:sz w:val="20"/>
          <w:szCs w:val="20"/>
        </w:rPr>
        <w:t xml:space="preserve"> </w:t>
      </w:r>
      <w:r>
        <w:rPr>
          <w:rFonts w:ascii="Times New Roman" w:hAnsi="Times New Roman" w:eastAsia="Times New Roman" w:cs="Times New Roman"/>
          <w:color w:val="231F20"/>
          <w:spacing w:val="-3"/>
          <w:sz w:val="20"/>
          <w:szCs w:val="20"/>
        </w:rPr>
        <w:t>2002</w:t>
      </w:r>
      <w:r>
        <w:rPr>
          <w:rFonts w:ascii="微软雅黑" w:hAnsi="微软雅黑" w:eastAsia="微软雅黑" w:cs="微软雅黑"/>
          <w:color w:val="231F20"/>
          <w:spacing w:val="-3"/>
          <w:sz w:val="20"/>
          <w:szCs w:val="20"/>
        </w:rPr>
        <w:t>（</w:t>
      </w:r>
      <w:r>
        <w:rPr>
          <w:rFonts w:ascii="Times New Roman" w:hAnsi="Times New Roman" w:eastAsia="Times New Roman" w:cs="Times New Roman"/>
          <w:color w:val="231F20"/>
          <w:spacing w:val="-3"/>
          <w:sz w:val="20"/>
          <w:szCs w:val="20"/>
        </w:rPr>
        <w:t>8</w:t>
      </w:r>
      <w:r>
        <w:rPr>
          <w:rFonts w:ascii="微软雅黑" w:hAnsi="微软雅黑" w:eastAsia="微软雅黑" w:cs="微软雅黑"/>
          <w:color w:val="231F20"/>
          <w:spacing w:val="-32"/>
          <w:w w:val="58"/>
          <w:sz w:val="20"/>
          <w:szCs w:val="20"/>
        </w:rPr>
        <w:t>）：</w:t>
      </w:r>
      <w:r>
        <w:rPr>
          <w:rFonts w:ascii="Times New Roman" w:hAnsi="Times New Roman" w:eastAsia="Times New Roman" w:cs="Times New Roman"/>
          <w:color w:val="231F20"/>
          <w:spacing w:val="-3"/>
          <w:sz w:val="20"/>
          <w:szCs w:val="20"/>
        </w:rPr>
        <w:t>39-61.</w:t>
      </w:r>
    </w:p>
    <w:p>
      <w:pPr>
        <w:spacing w:before="34" w:line="212" w:lineRule="auto"/>
        <w:ind w:left="78" w:right="64" w:hanging="78"/>
        <w:rPr>
          <w:rFonts w:ascii="Times New Roman" w:hAnsi="Times New Roman" w:eastAsia="Times New Roman" w:cs="Times New Roman"/>
          <w:sz w:val="20"/>
          <w:szCs w:val="20"/>
        </w:rPr>
      </w:pPr>
      <w:r>
        <w:rPr>
          <w:rFonts w:ascii="微软雅黑" w:hAnsi="微软雅黑" w:eastAsia="微软雅黑" w:cs="微软雅黑"/>
          <w:color w:val="231F20"/>
          <w:spacing w:val="-9"/>
          <w:sz w:val="20"/>
          <w:szCs w:val="20"/>
        </w:rPr>
        <w:t>［</w:t>
      </w:r>
      <w:r>
        <w:rPr>
          <w:rFonts w:ascii="Times New Roman" w:hAnsi="Times New Roman" w:eastAsia="Times New Roman" w:cs="Times New Roman"/>
          <w:color w:val="231F20"/>
          <w:spacing w:val="-9"/>
          <w:sz w:val="20"/>
          <w:szCs w:val="20"/>
        </w:rPr>
        <w:t>32</w:t>
      </w:r>
      <w:r>
        <w:rPr>
          <w:rFonts w:ascii="微软雅黑" w:hAnsi="微软雅黑" w:eastAsia="微软雅黑" w:cs="微软雅黑"/>
          <w:color w:val="231F20"/>
          <w:spacing w:val="-9"/>
          <w:sz w:val="20"/>
          <w:szCs w:val="20"/>
        </w:rPr>
        <w:t>］</w:t>
      </w:r>
      <w:r>
        <w:rPr>
          <w:rFonts w:ascii="Times New Roman" w:hAnsi="Times New Roman" w:eastAsia="Times New Roman" w:cs="Times New Roman"/>
          <w:color w:val="231F20"/>
          <w:spacing w:val="-9"/>
          <w:sz w:val="20"/>
          <w:szCs w:val="20"/>
        </w:rPr>
        <w:t>VIDAL</w:t>
      </w:r>
      <w:r>
        <w:rPr>
          <w:rFonts w:ascii="Times New Roman" w:hAnsi="Times New Roman" w:eastAsia="Times New Roman" w:cs="Times New Roman"/>
          <w:color w:val="231F20"/>
          <w:spacing w:val="33"/>
          <w:sz w:val="20"/>
          <w:szCs w:val="20"/>
        </w:rPr>
        <w:t xml:space="preserve"> </w:t>
      </w:r>
      <w:r>
        <w:rPr>
          <w:rFonts w:ascii="Times New Roman" w:hAnsi="Times New Roman" w:eastAsia="Times New Roman" w:cs="Times New Roman"/>
          <w:color w:val="231F20"/>
          <w:spacing w:val="-9"/>
          <w:sz w:val="20"/>
          <w:szCs w:val="20"/>
        </w:rPr>
        <w:t>J.</w:t>
      </w:r>
      <w:r>
        <w:rPr>
          <w:rFonts w:ascii="Times New Roman" w:hAnsi="Times New Roman" w:eastAsia="Times New Roman" w:cs="Times New Roman"/>
          <w:color w:val="231F20"/>
          <w:spacing w:val="-26"/>
          <w:sz w:val="20"/>
          <w:szCs w:val="20"/>
        </w:rPr>
        <w:t xml:space="preserve"> </w:t>
      </w:r>
      <w:r>
        <w:rPr>
          <w:rFonts w:ascii="Times New Roman" w:hAnsi="Times New Roman" w:eastAsia="Times New Roman" w:cs="Times New Roman"/>
          <w:color w:val="231F20"/>
          <w:spacing w:val="-9"/>
          <w:sz w:val="20"/>
          <w:szCs w:val="20"/>
        </w:rPr>
        <w:t>Quality</w:t>
      </w:r>
      <w:r>
        <w:rPr>
          <w:rFonts w:ascii="Times New Roman" w:hAnsi="Times New Roman" w:eastAsia="Times New Roman" w:cs="Times New Roman"/>
          <w:color w:val="231F20"/>
          <w:spacing w:val="21"/>
          <w:w w:val="101"/>
          <w:sz w:val="20"/>
          <w:szCs w:val="20"/>
        </w:rPr>
        <w:t xml:space="preserve"> </w:t>
      </w:r>
      <w:r>
        <w:rPr>
          <w:rFonts w:ascii="Times New Roman" w:hAnsi="Times New Roman" w:eastAsia="Times New Roman" w:cs="Times New Roman"/>
          <w:color w:val="231F20"/>
          <w:spacing w:val="-9"/>
          <w:sz w:val="20"/>
          <w:szCs w:val="20"/>
        </w:rPr>
        <w:t>Assurance</w:t>
      </w:r>
      <w:r>
        <w:rPr>
          <w:rFonts w:ascii="微软雅黑" w:hAnsi="微软雅黑" w:eastAsia="微软雅黑" w:cs="微软雅黑"/>
          <w:color w:val="231F20"/>
          <w:spacing w:val="-9"/>
          <w:sz w:val="20"/>
          <w:szCs w:val="20"/>
        </w:rPr>
        <w:t>，</w:t>
      </w:r>
      <w:r>
        <w:rPr>
          <w:rFonts w:ascii="Times New Roman" w:hAnsi="Times New Roman" w:eastAsia="Times New Roman" w:cs="Times New Roman"/>
          <w:color w:val="231F20"/>
          <w:spacing w:val="-9"/>
          <w:sz w:val="20"/>
          <w:szCs w:val="20"/>
        </w:rPr>
        <w:t>Legal</w:t>
      </w:r>
      <w:r>
        <w:rPr>
          <w:rFonts w:ascii="Times New Roman" w:hAnsi="Times New Roman" w:eastAsia="Times New Roman" w:cs="Times New Roman"/>
          <w:color w:val="231F20"/>
          <w:spacing w:val="24"/>
          <w:sz w:val="20"/>
          <w:szCs w:val="20"/>
        </w:rPr>
        <w:t xml:space="preserve"> </w:t>
      </w:r>
      <w:r>
        <w:rPr>
          <w:rFonts w:ascii="Times New Roman" w:hAnsi="Times New Roman" w:eastAsia="Times New Roman" w:cs="Times New Roman"/>
          <w:color w:val="231F20"/>
          <w:spacing w:val="-9"/>
          <w:sz w:val="20"/>
          <w:szCs w:val="20"/>
        </w:rPr>
        <w:t>Reforms</w:t>
      </w:r>
      <w:r>
        <w:rPr>
          <w:rFonts w:ascii="Times New Roman" w:hAnsi="Times New Roman" w:eastAsia="Times New Roman" w:cs="Times New Roman"/>
          <w:color w:val="231F20"/>
          <w:spacing w:val="22"/>
          <w:w w:val="101"/>
          <w:sz w:val="20"/>
          <w:szCs w:val="20"/>
        </w:rPr>
        <w:t xml:space="preserve"> </w:t>
      </w:r>
      <w:r>
        <w:rPr>
          <w:rFonts w:ascii="Times New Roman" w:hAnsi="Times New Roman" w:eastAsia="Times New Roman" w:cs="Times New Roman"/>
          <w:color w:val="231F20"/>
          <w:spacing w:val="-9"/>
          <w:sz w:val="20"/>
          <w:szCs w:val="20"/>
        </w:rPr>
        <w:t>and</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7"/>
          <w:sz w:val="20"/>
          <w:szCs w:val="20"/>
        </w:rPr>
        <w:t>the</w:t>
      </w:r>
      <w:r>
        <w:rPr>
          <w:rFonts w:ascii="Times New Roman" w:hAnsi="Times New Roman" w:eastAsia="Times New Roman" w:cs="Times New Roman"/>
          <w:color w:val="231F20"/>
          <w:spacing w:val="24"/>
          <w:sz w:val="20"/>
          <w:szCs w:val="20"/>
        </w:rPr>
        <w:t xml:space="preserve"> </w:t>
      </w:r>
      <w:r>
        <w:rPr>
          <w:rFonts w:ascii="Times New Roman" w:hAnsi="Times New Roman" w:eastAsia="Times New Roman" w:cs="Times New Roman"/>
          <w:color w:val="231F20"/>
          <w:spacing w:val="-7"/>
          <w:sz w:val="20"/>
          <w:szCs w:val="20"/>
        </w:rPr>
        <w:t>European</w:t>
      </w:r>
      <w:r>
        <w:rPr>
          <w:rFonts w:ascii="Times New Roman" w:hAnsi="Times New Roman" w:eastAsia="Times New Roman" w:cs="Times New Roman"/>
          <w:color w:val="231F20"/>
          <w:spacing w:val="16"/>
          <w:sz w:val="20"/>
          <w:szCs w:val="20"/>
        </w:rPr>
        <w:t xml:space="preserve"> </w:t>
      </w:r>
      <w:r>
        <w:rPr>
          <w:rFonts w:ascii="Times New Roman" w:hAnsi="Times New Roman" w:eastAsia="Times New Roman" w:cs="Times New Roman"/>
          <w:color w:val="231F20"/>
          <w:spacing w:val="-7"/>
          <w:sz w:val="20"/>
          <w:szCs w:val="20"/>
        </w:rPr>
        <w:t>Higher</w:t>
      </w:r>
      <w:r>
        <w:rPr>
          <w:rFonts w:ascii="Times New Roman" w:hAnsi="Times New Roman" w:eastAsia="Times New Roman" w:cs="Times New Roman"/>
          <w:color w:val="231F20"/>
          <w:spacing w:val="12"/>
          <w:sz w:val="20"/>
          <w:szCs w:val="20"/>
        </w:rPr>
        <w:t xml:space="preserve"> </w:t>
      </w:r>
      <w:r>
        <w:rPr>
          <w:rFonts w:ascii="Times New Roman" w:hAnsi="Times New Roman" w:eastAsia="Times New Roman" w:cs="Times New Roman"/>
          <w:color w:val="231F20"/>
          <w:spacing w:val="-7"/>
          <w:sz w:val="20"/>
          <w:szCs w:val="20"/>
        </w:rPr>
        <w:t>Education</w:t>
      </w:r>
      <w:r>
        <w:rPr>
          <w:rFonts w:ascii="Times New Roman" w:hAnsi="Times New Roman" w:eastAsia="Times New Roman" w:cs="Times New Roman"/>
          <w:color w:val="231F20"/>
          <w:spacing w:val="12"/>
          <w:w w:val="101"/>
          <w:sz w:val="20"/>
          <w:szCs w:val="20"/>
        </w:rPr>
        <w:t xml:space="preserve"> </w:t>
      </w:r>
      <w:r>
        <w:rPr>
          <w:rFonts w:ascii="Times New Roman" w:hAnsi="Times New Roman" w:eastAsia="Times New Roman" w:cs="Times New Roman"/>
          <w:color w:val="231F20"/>
          <w:spacing w:val="-7"/>
          <w:sz w:val="20"/>
          <w:szCs w:val="20"/>
        </w:rPr>
        <w:t>Area</w:t>
      </w:r>
      <w:r>
        <w:rPr>
          <w:rFonts w:ascii="Times New Roman" w:hAnsi="Times New Roman" w:eastAsia="Times New Roman" w:cs="Times New Roman"/>
          <w:color w:val="231F20"/>
          <w:spacing w:val="14"/>
          <w:sz w:val="20"/>
          <w:szCs w:val="20"/>
        </w:rPr>
        <w:t xml:space="preserve"> </w:t>
      </w:r>
      <w:r>
        <w:rPr>
          <w:rFonts w:ascii="Times New Roman" w:hAnsi="Times New Roman" w:eastAsia="Times New Roman" w:cs="Times New Roman"/>
          <w:color w:val="231F20"/>
          <w:spacing w:val="-7"/>
          <w:sz w:val="20"/>
          <w:szCs w:val="20"/>
        </w:rPr>
        <w:t>in</w:t>
      </w:r>
      <w:r>
        <w:rPr>
          <w:rFonts w:ascii="Times New Roman" w:hAnsi="Times New Roman" w:eastAsia="Times New Roman" w:cs="Times New Roman"/>
          <w:color w:val="231F20"/>
          <w:spacing w:val="15"/>
          <w:w w:val="101"/>
          <w:sz w:val="20"/>
          <w:szCs w:val="20"/>
        </w:rPr>
        <w:t xml:space="preserve"> </w:t>
      </w:r>
      <w:r>
        <w:rPr>
          <w:rFonts w:ascii="Times New Roman" w:hAnsi="Times New Roman" w:eastAsia="Times New Roman" w:cs="Times New Roman"/>
          <w:color w:val="231F20"/>
          <w:spacing w:val="-7"/>
          <w:sz w:val="20"/>
          <w:szCs w:val="20"/>
        </w:rPr>
        <w:t>Spain</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J</w:t>
      </w:r>
      <w:r>
        <w:rPr>
          <w:rFonts w:ascii="微软雅黑" w:hAnsi="微软雅黑" w:eastAsia="微软雅黑" w:cs="微软雅黑"/>
          <w:color w:val="231F20"/>
          <w:spacing w:val="-7"/>
          <w:sz w:val="20"/>
          <w:szCs w:val="20"/>
        </w:rPr>
        <w:t>］</w:t>
      </w:r>
      <w:r>
        <w:rPr>
          <w:rFonts w:ascii="Times New Roman" w:hAnsi="Times New Roman" w:eastAsia="Times New Roman" w:cs="Times New Roman"/>
          <w:color w:val="231F20"/>
          <w:spacing w:val="-7"/>
          <w:sz w:val="20"/>
          <w:szCs w:val="20"/>
        </w:rPr>
        <w:t>.Eu⁃</w:t>
      </w:r>
      <w:r>
        <w:rPr>
          <w:rFonts w:ascii="Times New Roman" w:hAnsi="Times New Roman" w:eastAsia="Times New Roman" w:cs="Times New Roman"/>
          <w:color w:val="231F20"/>
          <w:sz w:val="20"/>
          <w:szCs w:val="20"/>
        </w:rPr>
        <w:t xml:space="preserve"> </w:t>
      </w:r>
      <w:r>
        <w:rPr>
          <w:rFonts w:ascii="Times New Roman" w:hAnsi="Times New Roman" w:eastAsia="Times New Roman" w:cs="Times New Roman"/>
          <w:color w:val="231F20"/>
          <w:spacing w:val="-4"/>
          <w:sz w:val="20"/>
          <w:szCs w:val="20"/>
        </w:rPr>
        <w:t>ropean Journal of Education</w:t>
      </w:r>
      <w:r>
        <w:rPr>
          <w:rFonts w:ascii="微软雅黑" w:hAnsi="微软雅黑" w:eastAsia="微软雅黑" w:cs="微软雅黑"/>
          <w:color w:val="231F20"/>
          <w:spacing w:val="-5"/>
          <w:sz w:val="20"/>
          <w:szCs w:val="20"/>
        </w:rPr>
        <w:t>，</w:t>
      </w:r>
      <w:r>
        <w:rPr>
          <w:rFonts w:ascii="Times New Roman" w:hAnsi="Times New Roman" w:eastAsia="Times New Roman" w:cs="Times New Roman"/>
          <w:color w:val="231F20"/>
          <w:spacing w:val="-5"/>
          <w:sz w:val="20"/>
          <w:szCs w:val="20"/>
        </w:rPr>
        <w:t>2003</w:t>
      </w:r>
      <w:r>
        <w:rPr>
          <w:rFonts w:ascii="微软雅黑" w:hAnsi="微软雅黑" w:eastAsia="微软雅黑" w:cs="微软雅黑"/>
          <w:color w:val="231F20"/>
          <w:spacing w:val="-5"/>
          <w:sz w:val="20"/>
          <w:szCs w:val="20"/>
        </w:rPr>
        <w:t>（</w:t>
      </w:r>
      <w:r>
        <w:rPr>
          <w:rFonts w:ascii="Times New Roman" w:hAnsi="Times New Roman" w:eastAsia="Times New Roman" w:cs="Times New Roman"/>
          <w:color w:val="231F20"/>
          <w:spacing w:val="-5"/>
          <w:sz w:val="20"/>
          <w:szCs w:val="20"/>
        </w:rPr>
        <w:t>3</w:t>
      </w:r>
      <w:r>
        <w:rPr>
          <w:rFonts w:ascii="微软雅黑" w:hAnsi="微软雅黑" w:eastAsia="微软雅黑" w:cs="微软雅黑"/>
          <w:color w:val="231F20"/>
          <w:spacing w:val="-31"/>
          <w:w w:val="56"/>
          <w:sz w:val="20"/>
          <w:szCs w:val="20"/>
        </w:rPr>
        <w:t>）：</w:t>
      </w:r>
      <w:r>
        <w:rPr>
          <w:rFonts w:ascii="Times New Roman" w:hAnsi="Times New Roman" w:eastAsia="Times New Roman" w:cs="Times New Roman"/>
          <w:color w:val="231F20"/>
          <w:spacing w:val="-5"/>
          <w:sz w:val="20"/>
          <w:szCs w:val="20"/>
        </w:rPr>
        <w:t>301-313.</w:t>
      </w:r>
    </w:p>
    <w:p>
      <w:pPr>
        <w:spacing w:before="40" w:line="216" w:lineRule="auto"/>
        <w:ind w:left="80" w:hanging="80"/>
        <w:rPr>
          <w:rFonts w:ascii="Times New Roman" w:hAnsi="Times New Roman" w:eastAsia="Times New Roman" w:cs="Times New Roman"/>
          <w:sz w:val="20"/>
          <w:szCs w:val="20"/>
        </w:rPr>
      </w:pPr>
      <w:r>
        <w:rPr>
          <w:rFonts w:ascii="微软雅黑" w:hAnsi="微软雅黑" w:eastAsia="微软雅黑" w:cs="微软雅黑"/>
          <w:color w:val="231F20"/>
          <w:spacing w:val="-10"/>
          <w:sz w:val="20"/>
          <w:szCs w:val="20"/>
        </w:rPr>
        <w:t>［</w:t>
      </w:r>
      <w:r>
        <w:rPr>
          <w:rFonts w:ascii="Times New Roman" w:hAnsi="Times New Roman" w:eastAsia="Times New Roman" w:cs="Times New Roman"/>
          <w:color w:val="231F20"/>
          <w:spacing w:val="-10"/>
          <w:sz w:val="20"/>
          <w:szCs w:val="20"/>
        </w:rPr>
        <w:t>33</w:t>
      </w:r>
      <w:r>
        <w:rPr>
          <w:rFonts w:ascii="微软雅黑" w:hAnsi="微软雅黑" w:eastAsia="微软雅黑" w:cs="微软雅黑"/>
          <w:color w:val="231F20"/>
          <w:spacing w:val="-10"/>
          <w:sz w:val="20"/>
          <w:szCs w:val="20"/>
        </w:rPr>
        <w:t>］李亚东</w:t>
      </w:r>
      <w:r>
        <w:rPr>
          <w:rFonts w:ascii="微软雅黑" w:hAnsi="微软雅黑" w:eastAsia="微软雅黑" w:cs="微软雅黑"/>
          <w:color w:val="231F20"/>
          <w:spacing w:val="-5"/>
          <w:sz w:val="20"/>
          <w:szCs w:val="20"/>
        </w:rPr>
        <w:t xml:space="preserve"> </w:t>
      </w:r>
      <w:r>
        <w:rPr>
          <w:rFonts w:ascii="Times New Roman" w:hAnsi="Times New Roman" w:eastAsia="Times New Roman" w:cs="Times New Roman"/>
          <w:color w:val="231F20"/>
          <w:spacing w:val="-10"/>
          <w:sz w:val="20"/>
          <w:szCs w:val="20"/>
        </w:rPr>
        <w:t xml:space="preserve">. </w:t>
      </w:r>
      <w:r>
        <w:rPr>
          <w:rFonts w:ascii="微软雅黑" w:hAnsi="微软雅黑" w:eastAsia="微软雅黑" w:cs="微软雅黑"/>
          <w:color w:val="231F20"/>
          <w:spacing w:val="-10"/>
          <w:sz w:val="20"/>
          <w:szCs w:val="20"/>
        </w:rPr>
        <w:t>战略谋划 携手共建：开创中国高等教</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育质量保障新局面——全国高校质量保障机构联</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盟成立大会学术报告综述［</w:t>
      </w:r>
      <w:r>
        <w:rPr>
          <w:rFonts w:ascii="Times New Roman" w:hAnsi="Times New Roman" w:eastAsia="Times New Roman" w:cs="Times New Roman"/>
          <w:color w:val="231F20"/>
          <w:spacing w:val="-2"/>
          <w:sz w:val="20"/>
          <w:szCs w:val="20"/>
        </w:rPr>
        <w:t>J</w:t>
      </w:r>
      <w:r>
        <w:rPr>
          <w:rFonts w:ascii="微软雅黑" w:hAnsi="微软雅黑" w:eastAsia="微软雅黑" w:cs="微软雅黑"/>
          <w:color w:val="231F20"/>
          <w:spacing w:val="-2"/>
          <w:sz w:val="20"/>
          <w:szCs w:val="20"/>
        </w:rPr>
        <w:t>］</w:t>
      </w:r>
      <w:r>
        <w:rPr>
          <w:rFonts w:ascii="Times New Roman" w:hAnsi="Times New Roman" w:eastAsia="Times New Roman" w:cs="Times New Roman"/>
          <w:color w:val="231F20"/>
          <w:spacing w:val="-2"/>
          <w:sz w:val="20"/>
          <w:szCs w:val="20"/>
        </w:rPr>
        <w:t xml:space="preserve">. </w:t>
      </w:r>
      <w:r>
        <w:rPr>
          <w:rFonts w:ascii="微软雅黑" w:hAnsi="微软雅黑" w:eastAsia="微软雅黑" w:cs="微软雅黑"/>
          <w:color w:val="231F20"/>
          <w:spacing w:val="-2"/>
          <w:sz w:val="20"/>
          <w:szCs w:val="20"/>
        </w:rPr>
        <w:t>高教发展与评估，</w:t>
      </w:r>
      <w:r>
        <w:rPr>
          <w:rFonts w:ascii="微软雅黑" w:hAnsi="微软雅黑" w:eastAsia="微软雅黑" w:cs="微软雅黑"/>
          <w:color w:val="231F20"/>
          <w:spacing w:val="11"/>
          <w:sz w:val="20"/>
          <w:szCs w:val="20"/>
        </w:rPr>
        <w:t xml:space="preserve"> </w:t>
      </w:r>
      <w:r>
        <w:rPr>
          <w:rFonts w:ascii="Times New Roman" w:hAnsi="Times New Roman" w:eastAsia="Times New Roman" w:cs="Times New Roman"/>
          <w:color w:val="231F20"/>
          <w:spacing w:val="-5"/>
          <w:sz w:val="20"/>
          <w:szCs w:val="20"/>
        </w:rPr>
        <w:t>2020</w:t>
      </w:r>
      <w:r>
        <w:rPr>
          <w:rFonts w:ascii="微软雅黑" w:hAnsi="微软雅黑" w:eastAsia="微软雅黑" w:cs="微软雅黑"/>
          <w:color w:val="231F20"/>
          <w:spacing w:val="-5"/>
          <w:sz w:val="20"/>
          <w:szCs w:val="20"/>
        </w:rPr>
        <w:t>（</w:t>
      </w:r>
      <w:r>
        <w:rPr>
          <w:rFonts w:ascii="微软雅黑" w:hAnsi="微软雅黑" w:eastAsia="微软雅黑" w:cs="微软雅黑"/>
          <w:color w:val="231F20"/>
          <w:spacing w:val="-26"/>
          <w:sz w:val="20"/>
          <w:szCs w:val="20"/>
        </w:rPr>
        <w:t xml:space="preserve"> </w:t>
      </w:r>
      <w:r>
        <w:rPr>
          <w:rFonts w:ascii="Times New Roman" w:hAnsi="Times New Roman" w:eastAsia="Times New Roman" w:cs="Times New Roman"/>
          <w:color w:val="231F20"/>
          <w:spacing w:val="-5"/>
          <w:sz w:val="20"/>
          <w:szCs w:val="20"/>
        </w:rPr>
        <w:t>1</w:t>
      </w:r>
      <w:r>
        <w:rPr>
          <w:rFonts w:ascii="微软雅黑" w:hAnsi="微软雅黑" w:eastAsia="微软雅黑" w:cs="微软雅黑"/>
          <w:color w:val="231F20"/>
          <w:spacing w:val="-31"/>
          <w:w w:val="56"/>
          <w:sz w:val="20"/>
          <w:szCs w:val="20"/>
        </w:rPr>
        <w:t>）：</w:t>
      </w:r>
      <w:r>
        <w:rPr>
          <w:rFonts w:ascii="Times New Roman" w:hAnsi="Times New Roman" w:eastAsia="Times New Roman" w:cs="Times New Roman"/>
          <w:color w:val="231F20"/>
          <w:spacing w:val="-5"/>
          <w:sz w:val="20"/>
          <w:szCs w:val="20"/>
        </w:rPr>
        <w:t>36-46.</w:t>
      </w:r>
    </w:p>
    <w:p>
      <w:pPr>
        <w:spacing w:before="26" w:line="266" w:lineRule="exact"/>
        <w:ind w:left="2769"/>
        <w:rPr>
          <w:rFonts w:ascii="黑体" w:hAnsi="黑体" w:eastAsia="黑体" w:cs="黑体"/>
          <w:sz w:val="20"/>
          <w:szCs w:val="20"/>
        </w:rPr>
      </w:pPr>
      <w:r>
        <w:rPr>
          <w:rFonts w:ascii="黑体" w:hAnsi="黑体" w:eastAsia="黑体" w:cs="黑体"/>
          <w:color w:val="231F20"/>
          <w:spacing w:val="-2"/>
          <w:position w:val="1"/>
          <w:sz w:val="20"/>
          <w:szCs w:val="20"/>
        </w:rPr>
        <w:t>责任编辑  李作章</w:t>
      </w:r>
    </w:p>
    <w:p>
      <w:pPr>
        <w:spacing w:line="266" w:lineRule="exact"/>
        <w:rPr>
          <w:rFonts w:ascii="黑体" w:hAnsi="黑体" w:eastAsia="黑体" w:cs="黑体"/>
          <w:sz w:val="20"/>
          <w:szCs w:val="20"/>
        </w:rPr>
        <w:sectPr>
          <w:type w:val="continuous"/>
          <w:pgSz w:w="11906" w:h="16158"/>
          <w:pgMar w:top="1489" w:right="1408" w:bottom="547" w:left="407" w:header="1198" w:footer="354" w:gutter="0"/>
          <w:cols w:equalWidth="0" w:num="2">
            <w:col w:w="5567" w:space="100"/>
            <w:col w:w="4423"/>
          </w:cols>
        </w:sectPr>
      </w:pPr>
    </w:p>
    <w:p>
      <w:pPr>
        <w:spacing w:line="408" w:lineRule="auto"/>
        <w:rPr>
          <w:rFonts w:ascii="Arial"/>
          <w:sz w:val="21"/>
        </w:rPr>
      </w:pPr>
    </w:p>
    <w:p>
      <w:pPr>
        <w:spacing w:before="61" w:line="194" w:lineRule="auto"/>
        <w:ind w:left="1694"/>
        <w:rPr>
          <w:rFonts w:ascii="Arial" w:hAnsi="Arial" w:eastAsia="Arial" w:cs="Arial"/>
          <w:sz w:val="21"/>
          <w:szCs w:val="21"/>
        </w:rPr>
      </w:pPr>
      <w:r>
        <w:rPr>
          <w:rFonts w:ascii="Arial" w:hAnsi="Arial" w:eastAsia="Arial" w:cs="Arial"/>
          <w:color w:val="231F20"/>
          <w:spacing w:val="2"/>
          <w:sz w:val="21"/>
          <w:szCs w:val="21"/>
        </w:rPr>
        <w:t>The Quality Culture of</w:t>
      </w:r>
      <w:r>
        <w:rPr>
          <w:rFonts w:ascii="Arial" w:hAnsi="Arial" w:eastAsia="Arial" w:cs="Arial"/>
          <w:color w:val="231F20"/>
          <w:spacing w:val="-5"/>
          <w:sz w:val="21"/>
          <w:szCs w:val="21"/>
        </w:rPr>
        <w:t xml:space="preserve"> </w:t>
      </w:r>
      <w:r>
        <w:rPr>
          <w:rFonts w:ascii="Arial" w:hAnsi="Arial" w:eastAsia="Arial" w:cs="Arial"/>
          <w:color w:val="231F20"/>
          <w:spacing w:val="2"/>
          <w:sz w:val="21"/>
          <w:szCs w:val="21"/>
        </w:rPr>
        <w:t>Higher Education: Characteristics and Research Prospects</w:t>
      </w:r>
    </w:p>
    <w:p>
      <w:pPr>
        <w:spacing w:before="131" w:line="192" w:lineRule="auto"/>
        <w:ind w:left="4300"/>
        <w:rPr>
          <w:rFonts w:ascii="Arial" w:hAnsi="Arial" w:eastAsia="Arial" w:cs="Arial"/>
          <w:sz w:val="21"/>
          <w:szCs w:val="21"/>
        </w:rPr>
      </w:pPr>
      <w:r>
        <w:rPr>
          <w:rFonts w:ascii="Arial" w:hAnsi="Arial" w:eastAsia="Arial" w:cs="Arial"/>
          <w:color w:val="231F20"/>
          <w:spacing w:val="8"/>
          <w:sz w:val="21"/>
          <w:szCs w:val="21"/>
        </w:rPr>
        <w:t>HONG Lin, WANG Fujun</w:t>
      </w:r>
    </w:p>
    <w:p>
      <w:pPr>
        <w:spacing w:before="91" w:line="189" w:lineRule="auto"/>
        <w:ind w:left="2854"/>
        <w:rPr>
          <w:rFonts w:ascii="微软雅黑" w:hAnsi="微软雅黑" w:eastAsia="微软雅黑" w:cs="微软雅黑"/>
          <w:sz w:val="20"/>
          <w:szCs w:val="20"/>
        </w:rPr>
      </w:pPr>
      <w:r>
        <w:rPr>
          <w:rFonts w:ascii="微软雅黑" w:hAnsi="微软雅黑" w:eastAsia="微软雅黑" w:cs="微软雅黑"/>
          <w:color w:val="231F20"/>
          <w:spacing w:val="-13"/>
          <w:sz w:val="20"/>
          <w:szCs w:val="20"/>
        </w:rPr>
        <w:t xml:space="preserve">（Yancheng Institute </w:t>
      </w:r>
      <w:r>
        <w:rPr>
          <w:rFonts w:ascii="微软雅黑" w:hAnsi="微软雅黑" w:eastAsia="微软雅黑" w:cs="微软雅黑"/>
          <w:color w:val="231F20"/>
          <w:spacing w:val="-14"/>
          <w:sz w:val="20"/>
          <w:szCs w:val="20"/>
        </w:rPr>
        <w:t>of Technology, Yancheng Jiangsu 224002）</w:t>
      </w:r>
    </w:p>
    <w:p>
      <w:pPr>
        <w:spacing w:before="45" w:line="213" w:lineRule="auto"/>
        <w:ind w:left="1069" w:right="59" w:firstLine="399"/>
        <w:jc w:val="both"/>
        <w:rPr>
          <w:rFonts w:ascii="微软雅黑" w:hAnsi="微软雅黑" w:eastAsia="微软雅黑" w:cs="微软雅黑"/>
          <w:sz w:val="21"/>
          <w:szCs w:val="21"/>
        </w:rPr>
      </w:pPr>
      <w:r>
        <w:rPr>
          <w:rFonts w:ascii="Arial" w:hAnsi="Arial" w:eastAsia="Arial" w:cs="Arial"/>
          <w:color w:val="231F20"/>
          <w:spacing w:val="-16"/>
          <w:sz w:val="19"/>
          <w:szCs w:val="19"/>
        </w:rPr>
        <w:t>Abstract:</w:t>
      </w:r>
      <w:r>
        <w:rPr>
          <w:rFonts w:ascii="Arial" w:hAnsi="Arial" w:eastAsia="Arial" w:cs="Arial"/>
          <w:color w:val="231F20"/>
          <w:spacing w:val="38"/>
          <w:sz w:val="19"/>
          <w:szCs w:val="19"/>
        </w:rPr>
        <w:t xml:space="preserve"> </w:t>
      </w:r>
      <w:r>
        <w:rPr>
          <w:rFonts w:ascii="微软雅黑" w:hAnsi="微软雅黑" w:eastAsia="微软雅黑" w:cs="微软雅黑"/>
          <w:color w:val="231F20"/>
          <w:spacing w:val="-16"/>
          <w:sz w:val="21"/>
          <w:szCs w:val="21"/>
        </w:rPr>
        <w:t>The</w:t>
      </w:r>
      <w:r>
        <w:rPr>
          <w:rFonts w:ascii="微软雅黑" w:hAnsi="微软雅黑" w:eastAsia="微软雅黑" w:cs="微软雅黑"/>
          <w:color w:val="231F20"/>
          <w:spacing w:val="25"/>
          <w:w w:val="101"/>
          <w:sz w:val="21"/>
          <w:szCs w:val="21"/>
        </w:rPr>
        <w:t xml:space="preserve"> </w:t>
      </w:r>
      <w:r>
        <w:rPr>
          <w:rFonts w:ascii="微软雅黑" w:hAnsi="微软雅黑" w:eastAsia="微软雅黑" w:cs="微软雅黑"/>
          <w:color w:val="231F20"/>
          <w:spacing w:val="-16"/>
          <w:sz w:val="21"/>
          <w:szCs w:val="21"/>
        </w:rPr>
        <w:t>quality</w:t>
      </w:r>
      <w:r>
        <w:rPr>
          <w:rFonts w:ascii="微软雅黑" w:hAnsi="微软雅黑" w:eastAsia="微软雅黑" w:cs="微软雅黑"/>
          <w:color w:val="231F20"/>
          <w:spacing w:val="24"/>
          <w:w w:val="101"/>
          <w:sz w:val="21"/>
          <w:szCs w:val="21"/>
        </w:rPr>
        <w:t xml:space="preserve"> </w:t>
      </w:r>
      <w:r>
        <w:rPr>
          <w:rFonts w:ascii="微软雅黑" w:hAnsi="微软雅黑" w:eastAsia="微软雅黑" w:cs="微软雅黑"/>
          <w:color w:val="231F20"/>
          <w:spacing w:val="-16"/>
          <w:sz w:val="21"/>
          <w:szCs w:val="21"/>
        </w:rPr>
        <w:t>culture</w:t>
      </w:r>
      <w:r>
        <w:rPr>
          <w:rFonts w:ascii="微软雅黑" w:hAnsi="微软雅黑" w:eastAsia="微软雅黑" w:cs="微软雅黑"/>
          <w:color w:val="231F20"/>
          <w:spacing w:val="23"/>
          <w:w w:val="101"/>
          <w:sz w:val="21"/>
          <w:szCs w:val="21"/>
        </w:rPr>
        <w:t xml:space="preserve"> </w:t>
      </w:r>
      <w:r>
        <w:rPr>
          <w:rFonts w:ascii="微软雅黑" w:hAnsi="微软雅黑" w:eastAsia="微软雅黑" w:cs="微软雅黑"/>
          <w:color w:val="231F20"/>
          <w:spacing w:val="-16"/>
          <w:sz w:val="21"/>
          <w:szCs w:val="21"/>
        </w:rPr>
        <w:t>of</w:t>
      </w:r>
      <w:r>
        <w:rPr>
          <w:rFonts w:ascii="微软雅黑" w:hAnsi="微软雅黑" w:eastAsia="微软雅黑" w:cs="微软雅黑"/>
          <w:color w:val="231F20"/>
          <w:spacing w:val="10"/>
          <w:sz w:val="21"/>
          <w:szCs w:val="21"/>
        </w:rPr>
        <w:t xml:space="preserve"> </w:t>
      </w:r>
      <w:r>
        <w:rPr>
          <w:rFonts w:ascii="微软雅黑" w:hAnsi="微软雅黑" w:eastAsia="微软雅黑" w:cs="微软雅黑"/>
          <w:color w:val="231F20"/>
          <w:spacing w:val="-16"/>
          <w:sz w:val="21"/>
          <w:szCs w:val="21"/>
        </w:rPr>
        <w:t>higher</w:t>
      </w:r>
      <w:r>
        <w:rPr>
          <w:rFonts w:ascii="微软雅黑" w:hAnsi="微软雅黑" w:eastAsia="微软雅黑" w:cs="微软雅黑"/>
          <w:color w:val="231F20"/>
          <w:spacing w:val="24"/>
          <w:sz w:val="21"/>
          <w:szCs w:val="21"/>
        </w:rPr>
        <w:t xml:space="preserve"> </w:t>
      </w:r>
      <w:r>
        <w:rPr>
          <w:rFonts w:ascii="微软雅黑" w:hAnsi="微软雅黑" w:eastAsia="微软雅黑" w:cs="微软雅黑"/>
          <w:color w:val="231F20"/>
          <w:spacing w:val="-16"/>
          <w:sz w:val="21"/>
          <w:szCs w:val="21"/>
        </w:rPr>
        <w:t>education</w:t>
      </w:r>
      <w:r>
        <w:rPr>
          <w:rFonts w:ascii="微软雅黑" w:hAnsi="微软雅黑" w:eastAsia="微软雅黑" w:cs="微软雅黑"/>
          <w:color w:val="231F20"/>
          <w:spacing w:val="25"/>
          <w:sz w:val="21"/>
          <w:szCs w:val="21"/>
        </w:rPr>
        <w:t xml:space="preserve"> </w:t>
      </w:r>
      <w:r>
        <w:rPr>
          <w:rFonts w:ascii="微软雅黑" w:hAnsi="微软雅黑" w:eastAsia="微软雅黑" w:cs="微软雅黑"/>
          <w:color w:val="231F20"/>
          <w:spacing w:val="-16"/>
          <w:sz w:val="21"/>
          <w:szCs w:val="21"/>
        </w:rPr>
        <w:t>should</w:t>
      </w:r>
      <w:r>
        <w:rPr>
          <w:rFonts w:ascii="微软雅黑" w:hAnsi="微软雅黑" w:eastAsia="微软雅黑" w:cs="微软雅黑"/>
          <w:color w:val="231F20"/>
          <w:spacing w:val="20"/>
          <w:sz w:val="21"/>
          <w:szCs w:val="21"/>
        </w:rPr>
        <w:t xml:space="preserve"> </w:t>
      </w:r>
      <w:r>
        <w:rPr>
          <w:rFonts w:ascii="微软雅黑" w:hAnsi="微软雅黑" w:eastAsia="微软雅黑" w:cs="微软雅黑"/>
          <w:color w:val="231F20"/>
          <w:spacing w:val="-16"/>
          <w:sz w:val="21"/>
          <w:szCs w:val="21"/>
        </w:rPr>
        <w:t>have</w:t>
      </w:r>
      <w:r>
        <w:rPr>
          <w:rFonts w:ascii="微软雅黑" w:hAnsi="微软雅黑" w:eastAsia="微软雅黑" w:cs="微软雅黑"/>
          <w:color w:val="231F20"/>
          <w:spacing w:val="22"/>
          <w:sz w:val="21"/>
          <w:szCs w:val="21"/>
        </w:rPr>
        <w:t xml:space="preserve"> </w:t>
      </w:r>
      <w:r>
        <w:rPr>
          <w:rFonts w:ascii="微软雅黑" w:hAnsi="微软雅黑" w:eastAsia="微软雅黑" w:cs="微软雅黑"/>
          <w:color w:val="231F20"/>
          <w:spacing w:val="-16"/>
          <w:sz w:val="21"/>
          <w:szCs w:val="21"/>
        </w:rPr>
        <w:t>new</w:t>
      </w:r>
      <w:r>
        <w:rPr>
          <w:rFonts w:ascii="微软雅黑" w:hAnsi="微软雅黑" w:eastAsia="微软雅黑" w:cs="微软雅黑"/>
          <w:color w:val="231F20"/>
          <w:spacing w:val="25"/>
          <w:sz w:val="21"/>
          <w:szCs w:val="21"/>
        </w:rPr>
        <w:t xml:space="preserve"> </w:t>
      </w:r>
      <w:r>
        <w:rPr>
          <w:rFonts w:ascii="微软雅黑" w:hAnsi="微软雅黑" w:eastAsia="微软雅黑" w:cs="微软雅黑"/>
          <w:color w:val="231F20"/>
          <w:spacing w:val="-16"/>
          <w:sz w:val="21"/>
          <w:szCs w:val="21"/>
        </w:rPr>
        <w:t>development</w:t>
      </w:r>
      <w:r>
        <w:rPr>
          <w:rFonts w:ascii="微软雅黑" w:hAnsi="微软雅黑" w:eastAsia="微软雅黑" w:cs="微软雅黑"/>
          <w:color w:val="231F20"/>
          <w:spacing w:val="24"/>
          <w:sz w:val="21"/>
          <w:szCs w:val="21"/>
        </w:rPr>
        <w:t xml:space="preserve"> </w:t>
      </w:r>
      <w:r>
        <w:rPr>
          <w:rFonts w:ascii="微软雅黑" w:hAnsi="微软雅黑" w:eastAsia="微软雅黑" w:cs="微软雅黑"/>
          <w:color w:val="231F20"/>
          <w:spacing w:val="-16"/>
          <w:sz w:val="21"/>
          <w:szCs w:val="21"/>
        </w:rPr>
        <w:t>concepts,</w:t>
      </w:r>
      <w:r>
        <w:rPr>
          <w:rFonts w:ascii="微软雅黑" w:hAnsi="微软雅黑" w:eastAsia="微软雅黑" w:cs="微软雅黑"/>
          <w:color w:val="231F20"/>
          <w:spacing w:val="24"/>
          <w:sz w:val="21"/>
          <w:szCs w:val="21"/>
        </w:rPr>
        <w:t xml:space="preserve"> </w:t>
      </w:r>
      <w:r>
        <w:rPr>
          <w:rFonts w:ascii="微软雅黑" w:hAnsi="微软雅黑" w:eastAsia="微软雅黑" w:cs="微软雅黑"/>
          <w:color w:val="231F20"/>
          <w:spacing w:val="-16"/>
          <w:sz w:val="21"/>
          <w:szCs w:val="21"/>
        </w:rPr>
        <w:t>and</w:t>
      </w:r>
      <w:r>
        <w:rPr>
          <w:rFonts w:ascii="微软雅黑" w:hAnsi="微软雅黑" w:eastAsia="微软雅黑" w:cs="微软雅黑"/>
          <w:color w:val="231F20"/>
          <w:spacing w:val="27"/>
          <w:sz w:val="21"/>
          <w:szCs w:val="21"/>
        </w:rPr>
        <w:t xml:space="preserve"> </w:t>
      </w:r>
      <w:r>
        <w:rPr>
          <w:rFonts w:ascii="微软雅黑" w:hAnsi="微软雅黑" w:eastAsia="微软雅黑" w:cs="微软雅黑"/>
          <w:color w:val="231F20"/>
          <w:spacing w:val="-16"/>
          <w:sz w:val="21"/>
          <w:szCs w:val="21"/>
        </w:rPr>
        <w:t>is</w:t>
      </w:r>
      <w:r>
        <w:rPr>
          <w:rFonts w:ascii="微软雅黑" w:hAnsi="微软雅黑" w:eastAsia="微软雅黑" w:cs="微软雅黑"/>
          <w:color w:val="231F20"/>
          <w:sz w:val="21"/>
          <w:szCs w:val="21"/>
        </w:rPr>
        <w:t xml:space="preserve"> </w:t>
      </w:r>
      <w:r>
        <w:rPr>
          <w:rFonts w:ascii="微软雅黑" w:hAnsi="微软雅黑" w:eastAsia="微软雅黑" w:cs="微软雅黑"/>
          <w:color w:val="231F20"/>
          <w:spacing w:val="-21"/>
          <w:sz w:val="21"/>
          <w:szCs w:val="21"/>
        </w:rPr>
        <w:t>one</w:t>
      </w:r>
      <w:r>
        <w:rPr>
          <w:rFonts w:ascii="微软雅黑" w:hAnsi="微软雅黑" w:eastAsia="微软雅黑" w:cs="微软雅黑"/>
          <w:color w:val="231F20"/>
          <w:spacing w:val="37"/>
          <w:sz w:val="21"/>
          <w:szCs w:val="21"/>
        </w:rPr>
        <w:t xml:space="preserve"> </w:t>
      </w:r>
      <w:r>
        <w:rPr>
          <w:rFonts w:ascii="微软雅黑" w:hAnsi="微软雅黑" w:eastAsia="微软雅黑" w:cs="微软雅黑"/>
          <w:color w:val="231F20"/>
          <w:spacing w:val="-21"/>
          <w:sz w:val="21"/>
          <w:szCs w:val="21"/>
        </w:rPr>
        <w:t>of</w:t>
      </w:r>
      <w:r>
        <w:rPr>
          <w:rFonts w:ascii="微软雅黑" w:hAnsi="微软雅黑" w:eastAsia="微软雅黑" w:cs="微软雅黑"/>
          <w:color w:val="231F20"/>
          <w:spacing w:val="6"/>
          <w:sz w:val="21"/>
          <w:szCs w:val="21"/>
        </w:rPr>
        <w:t xml:space="preserve"> </w:t>
      </w:r>
      <w:r>
        <w:rPr>
          <w:rFonts w:ascii="微软雅黑" w:hAnsi="微软雅黑" w:eastAsia="微软雅黑" w:cs="微软雅黑"/>
          <w:color w:val="231F20"/>
          <w:spacing w:val="-21"/>
          <w:sz w:val="21"/>
          <w:szCs w:val="21"/>
        </w:rPr>
        <w:t>the</w:t>
      </w:r>
      <w:r>
        <w:rPr>
          <w:rFonts w:ascii="微软雅黑" w:hAnsi="微软雅黑" w:eastAsia="微软雅黑" w:cs="微软雅黑"/>
          <w:color w:val="231F20"/>
          <w:spacing w:val="16"/>
          <w:sz w:val="21"/>
          <w:szCs w:val="21"/>
        </w:rPr>
        <w:t xml:space="preserve"> </w:t>
      </w:r>
      <w:r>
        <w:rPr>
          <w:rFonts w:ascii="微软雅黑" w:hAnsi="微软雅黑" w:eastAsia="微软雅黑" w:cs="微软雅黑"/>
          <w:color w:val="231F20"/>
          <w:spacing w:val="-21"/>
          <w:sz w:val="21"/>
          <w:szCs w:val="21"/>
        </w:rPr>
        <w:t>paths</w:t>
      </w:r>
      <w:r>
        <w:rPr>
          <w:rFonts w:ascii="微软雅黑" w:hAnsi="微软雅黑" w:eastAsia="微软雅黑" w:cs="微软雅黑"/>
          <w:color w:val="231F20"/>
          <w:spacing w:val="15"/>
          <w:sz w:val="21"/>
          <w:szCs w:val="21"/>
        </w:rPr>
        <w:t xml:space="preserve"> </w:t>
      </w:r>
      <w:r>
        <w:rPr>
          <w:rFonts w:ascii="微软雅黑" w:hAnsi="微软雅黑" w:eastAsia="微软雅黑" w:cs="微软雅黑"/>
          <w:color w:val="231F20"/>
          <w:spacing w:val="-21"/>
          <w:sz w:val="21"/>
          <w:szCs w:val="21"/>
        </w:rPr>
        <w:t>to</w:t>
      </w:r>
      <w:r>
        <w:rPr>
          <w:rFonts w:ascii="微软雅黑" w:hAnsi="微软雅黑" w:eastAsia="微软雅黑" w:cs="微软雅黑"/>
          <w:color w:val="231F20"/>
          <w:spacing w:val="15"/>
          <w:w w:val="101"/>
          <w:sz w:val="21"/>
          <w:szCs w:val="21"/>
        </w:rPr>
        <w:t xml:space="preserve"> </w:t>
      </w:r>
      <w:r>
        <w:rPr>
          <w:rFonts w:ascii="微软雅黑" w:hAnsi="微软雅黑" w:eastAsia="微软雅黑" w:cs="微软雅黑"/>
          <w:color w:val="231F20"/>
          <w:spacing w:val="-21"/>
          <w:sz w:val="21"/>
          <w:szCs w:val="21"/>
        </w:rPr>
        <w:t>promote</w:t>
      </w:r>
      <w:r>
        <w:rPr>
          <w:rFonts w:ascii="微软雅黑" w:hAnsi="微软雅黑" w:eastAsia="微软雅黑" w:cs="微软雅黑"/>
          <w:color w:val="231F20"/>
          <w:spacing w:val="15"/>
          <w:w w:val="101"/>
          <w:sz w:val="21"/>
          <w:szCs w:val="21"/>
        </w:rPr>
        <w:t xml:space="preserve"> </w:t>
      </w:r>
      <w:r>
        <w:rPr>
          <w:rFonts w:ascii="微软雅黑" w:hAnsi="微软雅黑" w:eastAsia="微软雅黑" w:cs="微软雅黑"/>
          <w:color w:val="231F20"/>
          <w:spacing w:val="-21"/>
          <w:sz w:val="21"/>
          <w:szCs w:val="21"/>
        </w:rPr>
        <w:t>the</w:t>
      </w:r>
      <w:r>
        <w:rPr>
          <w:rFonts w:ascii="微软雅黑" w:hAnsi="微软雅黑" w:eastAsia="微软雅黑" w:cs="微软雅黑"/>
          <w:color w:val="231F20"/>
          <w:spacing w:val="20"/>
          <w:sz w:val="21"/>
          <w:szCs w:val="21"/>
        </w:rPr>
        <w:t xml:space="preserve"> </w:t>
      </w:r>
      <w:r>
        <w:rPr>
          <w:rFonts w:ascii="微软雅黑" w:hAnsi="微软雅黑" w:eastAsia="微软雅黑" w:cs="微软雅黑"/>
          <w:color w:val="231F20"/>
          <w:spacing w:val="-21"/>
          <w:sz w:val="21"/>
          <w:szCs w:val="21"/>
        </w:rPr>
        <w:t>quality</w:t>
      </w:r>
      <w:r>
        <w:rPr>
          <w:rFonts w:ascii="微软雅黑" w:hAnsi="微软雅黑" w:eastAsia="微软雅黑" w:cs="微软雅黑"/>
          <w:color w:val="231F20"/>
          <w:spacing w:val="20"/>
          <w:sz w:val="21"/>
          <w:szCs w:val="21"/>
        </w:rPr>
        <w:t xml:space="preserve"> </w:t>
      </w:r>
      <w:r>
        <w:rPr>
          <w:rFonts w:ascii="微软雅黑" w:hAnsi="微软雅黑" w:eastAsia="微软雅黑" w:cs="微软雅黑"/>
          <w:color w:val="231F20"/>
          <w:spacing w:val="-21"/>
          <w:sz w:val="21"/>
          <w:szCs w:val="21"/>
        </w:rPr>
        <w:t>and</w:t>
      </w:r>
      <w:r>
        <w:rPr>
          <w:rFonts w:ascii="微软雅黑" w:hAnsi="微软雅黑" w:eastAsia="微软雅黑" w:cs="微软雅黑"/>
          <w:color w:val="231F20"/>
          <w:spacing w:val="22"/>
          <w:sz w:val="21"/>
          <w:szCs w:val="21"/>
        </w:rPr>
        <w:t xml:space="preserve"> </w:t>
      </w:r>
      <w:r>
        <w:rPr>
          <w:rFonts w:ascii="微软雅黑" w:hAnsi="微软雅黑" w:eastAsia="微软雅黑" w:cs="微软雅黑"/>
          <w:color w:val="231F20"/>
          <w:spacing w:val="-21"/>
          <w:sz w:val="21"/>
          <w:szCs w:val="21"/>
        </w:rPr>
        <w:t>innovation</w:t>
      </w:r>
      <w:r>
        <w:rPr>
          <w:rFonts w:ascii="微软雅黑" w:hAnsi="微软雅黑" w:eastAsia="微软雅黑" w:cs="微软雅黑"/>
          <w:color w:val="231F20"/>
          <w:spacing w:val="20"/>
          <w:sz w:val="21"/>
          <w:szCs w:val="21"/>
        </w:rPr>
        <w:t xml:space="preserve"> </w:t>
      </w:r>
      <w:r>
        <w:rPr>
          <w:rFonts w:ascii="微软雅黑" w:hAnsi="微软雅黑" w:eastAsia="微软雅黑" w:cs="微软雅黑"/>
          <w:color w:val="231F20"/>
          <w:spacing w:val="-21"/>
          <w:sz w:val="21"/>
          <w:szCs w:val="21"/>
        </w:rPr>
        <w:t>development</w:t>
      </w:r>
      <w:r>
        <w:rPr>
          <w:rFonts w:ascii="微软雅黑" w:hAnsi="微软雅黑" w:eastAsia="微软雅黑" w:cs="微软雅黑"/>
          <w:color w:val="231F20"/>
          <w:spacing w:val="18"/>
          <w:sz w:val="21"/>
          <w:szCs w:val="21"/>
        </w:rPr>
        <w:t xml:space="preserve"> </w:t>
      </w:r>
      <w:r>
        <w:rPr>
          <w:rFonts w:ascii="微软雅黑" w:hAnsi="微软雅黑" w:eastAsia="微软雅黑" w:cs="微软雅黑"/>
          <w:color w:val="231F20"/>
          <w:spacing w:val="-21"/>
          <w:sz w:val="21"/>
          <w:szCs w:val="21"/>
        </w:rPr>
        <w:t>of</w:t>
      </w:r>
      <w:r>
        <w:rPr>
          <w:rFonts w:ascii="微软雅黑" w:hAnsi="微软雅黑" w:eastAsia="微软雅黑" w:cs="微软雅黑"/>
          <w:color w:val="231F20"/>
          <w:spacing w:val="5"/>
          <w:sz w:val="21"/>
          <w:szCs w:val="21"/>
        </w:rPr>
        <w:t xml:space="preserve"> </w:t>
      </w:r>
      <w:r>
        <w:rPr>
          <w:rFonts w:ascii="微软雅黑" w:hAnsi="微软雅黑" w:eastAsia="微软雅黑" w:cs="微软雅黑"/>
          <w:color w:val="231F20"/>
          <w:spacing w:val="-21"/>
          <w:sz w:val="21"/>
          <w:szCs w:val="21"/>
        </w:rPr>
        <w:t>higher</w:t>
      </w:r>
      <w:r>
        <w:rPr>
          <w:rFonts w:ascii="微软雅黑" w:hAnsi="微软雅黑" w:eastAsia="微软雅黑" w:cs="微软雅黑"/>
          <w:color w:val="231F20"/>
          <w:spacing w:val="19"/>
          <w:w w:val="101"/>
          <w:sz w:val="21"/>
          <w:szCs w:val="21"/>
        </w:rPr>
        <w:t xml:space="preserve"> </w:t>
      </w:r>
      <w:r>
        <w:rPr>
          <w:rFonts w:ascii="微软雅黑" w:hAnsi="微软雅黑" w:eastAsia="微软雅黑" w:cs="微软雅黑"/>
          <w:color w:val="231F20"/>
          <w:spacing w:val="-21"/>
          <w:sz w:val="21"/>
          <w:szCs w:val="21"/>
        </w:rPr>
        <w:t>education.</w:t>
      </w:r>
      <w:r>
        <w:rPr>
          <w:rFonts w:ascii="微软雅黑" w:hAnsi="微软雅黑" w:eastAsia="微软雅黑" w:cs="微软雅黑"/>
          <w:color w:val="231F20"/>
          <w:spacing w:val="16"/>
          <w:sz w:val="21"/>
          <w:szCs w:val="21"/>
        </w:rPr>
        <w:t xml:space="preserve"> </w:t>
      </w:r>
      <w:r>
        <w:rPr>
          <w:rFonts w:ascii="微软雅黑" w:hAnsi="微软雅黑" w:eastAsia="微软雅黑" w:cs="微软雅黑"/>
          <w:color w:val="231F20"/>
          <w:spacing w:val="-21"/>
          <w:sz w:val="21"/>
          <w:szCs w:val="21"/>
        </w:rPr>
        <w:t>Based</w:t>
      </w:r>
      <w:r>
        <w:rPr>
          <w:rFonts w:ascii="微软雅黑" w:hAnsi="微软雅黑" w:eastAsia="微软雅黑" w:cs="微软雅黑"/>
          <w:color w:val="231F20"/>
          <w:spacing w:val="19"/>
          <w:sz w:val="21"/>
          <w:szCs w:val="21"/>
        </w:rPr>
        <w:t xml:space="preserve"> </w:t>
      </w:r>
      <w:r>
        <w:rPr>
          <w:rFonts w:ascii="微软雅黑" w:hAnsi="微软雅黑" w:eastAsia="微软雅黑" w:cs="微软雅黑"/>
          <w:color w:val="231F20"/>
          <w:spacing w:val="-21"/>
          <w:sz w:val="21"/>
          <w:szCs w:val="21"/>
        </w:rPr>
        <w:t>on</w:t>
      </w:r>
      <w:r>
        <w:rPr>
          <w:rFonts w:ascii="微软雅黑" w:hAnsi="微软雅黑" w:eastAsia="微软雅黑" w:cs="微软雅黑"/>
          <w:color w:val="231F20"/>
          <w:spacing w:val="16"/>
          <w:sz w:val="21"/>
          <w:szCs w:val="21"/>
        </w:rPr>
        <w:t xml:space="preserve"> </w:t>
      </w:r>
      <w:r>
        <w:rPr>
          <w:rFonts w:ascii="微软雅黑" w:hAnsi="微软雅黑" w:eastAsia="微软雅黑" w:cs="微软雅黑"/>
          <w:color w:val="231F20"/>
          <w:spacing w:val="-21"/>
          <w:sz w:val="21"/>
          <w:szCs w:val="21"/>
        </w:rPr>
        <w:t>the</w:t>
      </w:r>
      <w:r>
        <w:rPr>
          <w:rFonts w:ascii="微软雅黑" w:hAnsi="微软雅黑" w:eastAsia="微软雅黑" w:cs="微软雅黑"/>
          <w:color w:val="231F20"/>
          <w:sz w:val="21"/>
          <w:szCs w:val="21"/>
        </w:rPr>
        <w:t xml:space="preserve"> </w:t>
      </w:r>
      <w:r>
        <w:rPr>
          <w:rFonts w:ascii="微软雅黑" w:hAnsi="微软雅黑" w:eastAsia="微软雅黑" w:cs="微软雅黑"/>
          <w:color w:val="231F20"/>
          <w:spacing w:val="-16"/>
          <w:sz w:val="21"/>
          <w:szCs w:val="21"/>
        </w:rPr>
        <w:t>preliminary</w:t>
      </w:r>
      <w:r>
        <w:rPr>
          <w:rFonts w:ascii="微软雅黑" w:hAnsi="微软雅黑" w:eastAsia="微软雅黑" w:cs="微软雅黑"/>
          <w:color w:val="231F20"/>
          <w:spacing w:val="39"/>
          <w:w w:val="101"/>
          <w:sz w:val="21"/>
          <w:szCs w:val="21"/>
        </w:rPr>
        <w:t xml:space="preserve"> </w:t>
      </w:r>
      <w:r>
        <w:rPr>
          <w:rFonts w:ascii="微软雅黑" w:hAnsi="微软雅黑" w:eastAsia="微软雅黑" w:cs="微软雅黑"/>
          <w:color w:val="231F20"/>
          <w:spacing w:val="-16"/>
          <w:sz w:val="21"/>
          <w:szCs w:val="21"/>
        </w:rPr>
        <w:t>analysis</w:t>
      </w:r>
      <w:r>
        <w:rPr>
          <w:rFonts w:ascii="微软雅黑" w:hAnsi="微软雅黑" w:eastAsia="微软雅黑" w:cs="微软雅黑"/>
          <w:color w:val="231F20"/>
          <w:spacing w:val="38"/>
          <w:sz w:val="21"/>
          <w:szCs w:val="21"/>
        </w:rPr>
        <w:t xml:space="preserve"> </w:t>
      </w:r>
      <w:r>
        <w:rPr>
          <w:rFonts w:ascii="微软雅黑" w:hAnsi="微软雅黑" w:eastAsia="微软雅黑" w:cs="微软雅黑"/>
          <w:color w:val="231F20"/>
          <w:spacing w:val="-16"/>
          <w:sz w:val="21"/>
          <w:szCs w:val="21"/>
        </w:rPr>
        <w:t>of</w:t>
      </w:r>
      <w:r>
        <w:rPr>
          <w:rFonts w:ascii="微软雅黑" w:hAnsi="微软雅黑" w:eastAsia="微软雅黑" w:cs="微软雅黑"/>
          <w:color w:val="231F20"/>
          <w:spacing w:val="25"/>
          <w:w w:val="101"/>
          <w:sz w:val="21"/>
          <w:szCs w:val="21"/>
        </w:rPr>
        <w:t xml:space="preserve"> </w:t>
      </w:r>
      <w:r>
        <w:rPr>
          <w:rFonts w:ascii="微软雅黑" w:hAnsi="微软雅黑" w:eastAsia="微软雅黑" w:cs="微软雅黑"/>
          <w:color w:val="231F20"/>
          <w:spacing w:val="-16"/>
          <w:sz w:val="21"/>
          <w:szCs w:val="21"/>
        </w:rPr>
        <w:t>the</w:t>
      </w:r>
      <w:r>
        <w:rPr>
          <w:rFonts w:ascii="微软雅黑" w:hAnsi="微软雅黑" w:eastAsia="微软雅黑" w:cs="微软雅黑"/>
          <w:color w:val="231F20"/>
          <w:spacing w:val="35"/>
          <w:sz w:val="21"/>
          <w:szCs w:val="21"/>
        </w:rPr>
        <w:t xml:space="preserve"> </w:t>
      </w:r>
      <w:r>
        <w:rPr>
          <w:rFonts w:ascii="微软雅黑" w:hAnsi="微软雅黑" w:eastAsia="微软雅黑" w:cs="微软雅黑"/>
          <w:color w:val="231F20"/>
          <w:spacing w:val="-16"/>
          <w:sz w:val="21"/>
          <w:szCs w:val="21"/>
        </w:rPr>
        <w:t>path</w:t>
      </w:r>
      <w:r>
        <w:rPr>
          <w:rFonts w:ascii="微软雅黑" w:hAnsi="微软雅黑" w:eastAsia="微软雅黑" w:cs="微软雅黑"/>
          <w:color w:val="231F20"/>
          <w:spacing w:val="35"/>
          <w:sz w:val="21"/>
          <w:szCs w:val="21"/>
        </w:rPr>
        <w:t xml:space="preserve"> </w:t>
      </w:r>
      <w:r>
        <w:rPr>
          <w:rFonts w:ascii="微软雅黑" w:hAnsi="微软雅黑" w:eastAsia="微软雅黑" w:cs="微软雅黑"/>
          <w:color w:val="231F20"/>
          <w:spacing w:val="-16"/>
          <w:sz w:val="21"/>
          <w:szCs w:val="21"/>
        </w:rPr>
        <w:t>theo</w:t>
      </w:r>
      <w:r>
        <w:rPr>
          <w:rFonts w:ascii="微软雅黑" w:hAnsi="微软雅黑" w:eastAsia="微软雅黑" w:cs="微软雅黑"/>
          <w:color w:val="231F20"/>
          <w:spacing w:val="-17"/>
          <w:sz w:val="21"/>
          <w:szCs w:val="21"/>
        </w:rPr>
        <w:t>ry,</w:t>
      </w:r>
      <w:r>
        <w:rPr>
          <w:rFonts w:ascii="微软雅黑" w:hAnsi="微软雅黑" w:eastAsia="微软雅黑" w:cs="微软雅黑"/>
          <w:color w:val="231F20"/>
          <w:spacing w:val="38"/>
          <w:sz w:val="21"/>
          <w:szCs w:val="21"/>
        </w:rPr>
        <w:t xml:space="preserve"> </w:t>
      </w:r>
      <w:r>
        <w:rPr>
          <w:rFonts w:ascii="微软雅黑" w:hAnsi="微软雅黑" w:eastAsia="微软雅黑" w:cs="微软雅黑"/>
          <w:color w:val="231F20"/>
          <w:spacing w:val="-17"/>
          <w:sz w:val="21"/>
          <w:szCs w:val="21"/>
        </w:rPr>
        <w:t>structure</w:t>
      </w:r>
      <w:r>
        <w:rPr>
          <w:rFonts w:ascii="微软雅黑" w:hAnsi="微软雅黑" w:eastAsia="微软雅黑" w:cs="微软雅黑"/>
          <w:color w:val="231F20"/>
          <w:spacing w:val="35"/>
          <w:sz w:val="21"/>
          <w:szCs w:val="21"/>
        </w:rPr>
        <w:t xml:space="preserve"> </w:t>
      </w:r>
      <w:r>
        <w:rPr>
          <w:rFonts w:ascii="微软雅黑" w:hAnsi="微软雅黑" w:eastAsia="微软雅黑" w:cs="微软雅黑"/>
          <w:color w:val="231F20"/>
          <w:spacing w:val="-17"/>
          <w:sz w:val="21"/>
          <w:szCs w:val="21"/>
        </w:rPr>
        <w:t>theory,</w:t>
      </w:r>
      <w:r>
        <w:rPr>
          <w:rFonts w:ascii="微软雅黑" w:hAnsi="微软雅黑" w:eastAsia="微软雅黑" w:cs="微软雅黑"/>
          <w:color w:val="231F20"/>
          <w:spacing w:val="34"/>
          <w:sz w:val="21"/>
          <w:szCs w:val="21"/>
        </w:rPr>
        <w:t xml:space="preserve"> </w:t>
      </w:r>
      <w:r>
        <w:rPr>
          <w:rFonts w:ascii="微软雅黑" w:hAnsi="微软雅黑" w:eastAsia="微软雅黑" w:cs="微软雅黑"/>
          <w:color w:val="231F20"/>
          <w:spacing w:val="-17"/>
          <w:sz w:val="21"/>
          <w:szCs w:val="21"/>
        </w:rPr>
        <w:t>function</w:t>
      </w:r>
      <w:r>
        <w:rPr>
          <w:rFonts w:ascii="微软雅黑" w:hAnsi="微软雅黑" w:eastAsia="微软雅黑" w:cs="微软雅黑"/>
          <w:color w:val="231F20"/>
          <w:spacing w:val="35"/>
          <w:w w:val="101"/>
          <w:sz w:val="21"/>
          <w:szCs w:val="21"/>
        </w:rPr>
        <w:t xml:space="preserve"> </w:t>
      </w:r>
      <w:r>
        <w:rPr>
          <w:rFonts w:ascii="微软雅黑" w:hAnsi="微软雅黑" w:eastAsia="微软雅黑" w:cs="微软雅黑"/>
          <w:color w:val="231F20"/>
          <w:spacing w:val="-17"/>
          <w:sz w:val="21"/>
          <w:szCs w:val="21"/>
        </w:rPr>
        <w:t>theory</w:t>
      </w:r>
      <w:r>
        <w:rPr>
          <w:rFonts w:ascii="微软雅黑" w:hAnsi="微软雅黑" w:eastAsia="微软雅黑" w:cs="微软雅黑"/>
          <w:color w:val="231F20"/>
          <w:spacing w:val="39"/>
          <w:sz w:val="21"/>
          <w:szCs w:val="21"/>
        </w:rPr>
        <w:t xml:space="preserve"> </w:t>
      </w:r>
      <w:r>
        <w:rPr>
          <w:rFonts w:ascii="微软雅黑" w:hAnsi="微软雅黑" w:eastAsia="微软雅黑" w:cs="微软雅黑"/>
          <w:color w:val="231F20"/>
          <w:spacing w:val="-17"/>
          <w:sz w:val="21"/>
          <w:szCs w:val="21"/>
        </w:rPr>
        <w:t>and</w:t>
      </w:r>
      <w:r>
        <w:rPr>
          <w:rFonts w:ascii="微软雅黑" w:hAnsi="微软雅黑" w:eastAsia="微软雅黑" w:cs="微软雅黑"/>
          <w:color w:val="231F20"/>
          <w:spacing w:val="36"/>
          <w:sz w:val="21"/>
          <w:szCs w:val="21"/>
        </w:rPr>
        <w:t xml:space="preserve"> </w:t>
      </w:r>
      <w:r>
        <w:rPr>
          <w:rFonts w:ascii="微软雅黑" w:hAnsi="微软雅黑" w:eastAsia="微软雅黑" w:cs="微软雅黑"/>
          <w:color w:val="231F20"/>
          <w:spacing w:val="-17"/>
          <w:sz w:val="21"/>
          <w:szCs w:val="21"/>
        </w:rPr>
        <w:t>multiple</w:t>
      </w:r>
      <w:r>
        <w:rPr>
          <w:rFonts w:ascii="微软雅黑" w:hAnsi="微软雅黑" w:eastAsia="微软雅黑" w:cs="微软雅黑"/>
          <w:color w:val="231F20"/>
          <w:spacing w:val="39"/>
          <w:sz w:val="21"/>
          <w:szCs w:val="21"/>
        </w:rPr>
        <w:t xml:space="preserve"> </w:t>
      </w:r>
      <w:r>
        <w:rPr>
          <w:rFonts w:ascii="微软雅黑" w:hAnsi="微软雅黑" w:eastAsia="微软雅黑" w:cs="微软雅黑"/>
          <w:color w:val="231F20"/>
          <w:spacing w:val="-17"/>
          <w:sz w:val="21"/>
          <w:szCs w:val="21"/>
        </w:rPr>
        <w:t>definitions</w:t>
      </w:r>
      <w:r>
        <w:rPr>
          <w:rFonts w:ascii="微软雅黑" w:hAnsi="微软雅黑" w:eastAsia="微软雅黑" w:cs="微软雅黑"/>
          <w:color w:val="231F20"/>
          <w:spacing w:val="38"/>
          <w:sz w:val="21"/>
          <w:szCs w:val="21"/>
        </w:rPr>
        <w:t xml:space="preserve"> </w:t>
      </w:r>
      <w:r>
        <w:rPr>
          <w:rFonts w:ascii="微软雅黑" w:hAnsi="微软雅黑" w:eastAsia="微软雅黑" w:cs="微软雅黑"/>
          <w:color w:val="231F20"/>
          <w:spacing w:val="-17"/>
          <w:sz w:val="21"/>
          <w:szCs w:val="21"/>
        </w:rPr>
        <w:t>of</w:t>
      </w:r>
      <w:r>
        <w:rPr>
          <w:rFonts w:ascii="微软雅黑" w:hAnsi="微软雅黑" w:eastAsia="微软雅黑" w:cs="微软雅黑"/>
          <w:color w:val="231F20"/>
          <w:sz w:val="21"/>
          <w:szCs w:val="21"/>
        </w:rPr>
        <w:t xml:space="preserve"> </w:t>
      </w:r>
      <w:r>
        <w:rPr>
          <w:rFonts w:ascii="微软雅黑" w:hAnsi="微软雅黑" w:eastAsia="微软雅黑" w:cs="微软雅黑"/>
          <w:color w:val="231F20"/>
          <w:spacing w:val="-16"/>
          <w:sz w:val="21"/>
          <w:szCs w:val="21"/>
        </w:rPr>
        <w:t>higher</w:t>
      </w:r>
      <w:r>
        <w:rPr>
          <w:rFonts w:ascii="微软雅黑" w:hAnsi="微软雅黑" w:eastAsia="微软雅黑" w:cs="微软雅黑"/>
          <w:color w:val="231F20"/>
          <w:spacing w:val="18"/>
          <w:w w:val="101"/>
          <w:sz w:val="21"/>
          <w:szCs w:val="21"/>
        </w:rPr>
        <w:t xml:space="preserve"> </w:t>
      </w:r>
      <w:r>
        <w:rPr>
          <w:rFonts w:ascii="微软雅黑" w:hAnsi="微软雅黑" w:eastAsia="微软雅黑" w:cs="微软雅黑"/>
          <w:color w:val="231F20"/>
          <w:spacing w:val="-16"/>
          <w:sz w:val="21"/>
          <w:szCs w:val="21"/>
        </w:rPr>
        <w:t>education</w:t>
      </w:r>
      <w:r>
        <w:rPr>
          <w:rFonts w:ascii="微软雅黑" w:hAnsi="微软雅黑" w:eastAsia="微软雅黑" w:cs="微软雅黑"/>
          <w:color w:val="231F20"/>
          <w:spacing w:val="20"/>
          <w:sz w:val="21"/>
          <w:szCs w:val="21"/>
        </w:rPr>
        <w:t xml:space="preserve"> </w:t>
      </w:r>
      <w:r>
        <w:rPr>
          <w:rFonts w:ascii="微软雅黑" w:hAnsi="微软雅黑" w:eastAsia="微软雅黑" w:cs="微软雅黑"/>
          <w:color w:val="231F20"/>
          <w:spacing w:val="-16"/>
          <w:sz w:val="21"/>
          <w:szCs w:val="21"/>
        </w:rPr>
        <w:t>quality</w:t>
      </w:r>
      <w:r>
        <w:rPr>
          <w:rFonts w:ascii="微软雅黑" w:hAnsi="微软雅黑" w:eastAsia="微软雅黑" w:cs="微软雅黑"/>
          <w:color w:val="231F20"/>
          <w:spacing w:val="18"/>
          <w:w w:val="101"/>
          <w:sz w:val="21"/>
          <w:szCs w:val="21"/>
        </w:rPr>
        <w:t xml:space="preserve"> </w:t>
      </w:r>
      <w:r>
        <w:rPr>
          <w:rFonts w:ascii="微软雅黑" w:hAnsi="微软雅黑" w:eastAsia="微软雅黑" w:cs="微软雅黑"/>
          <w:color w:val="231F20"/>
          <w:spacing w:val="-16"/>
          <w:sz w:val="21"/>
          <w:szCs w:val="21"/>
        </w:rPr>
        <w:t>culture,</w:t>
      </w:r>
      <w:r>
        <w:rPr>
          <w:rFonts w:ascii="微软雅黑" w:hAnsi="微软雅黑" w:eastAsia="微软雅黑" w:cs="微软雅黑"/>
          <w:color w:val="231F20"/>
          <w:spacing w:val="14"/>
          <w:sz w:val="21"/>
          <w:szCs w:val="21"/>
        </w:rPr>
        <w:t xml:space="preserve"> </w:t>
      </w:r>
      <w:r>
        <w:rPr>
          <w:rFonts w:ascii="微软雅黑" w:hAnsi="微软雅黑" w:eastAsia="微软雅黑" w:cs="微软雅黑"/>
          <w:color w:val="231F20"/>
          <w:spacing w:val="-16"/>
          <w:sz w:val="21"/>
          <w:szCs w:val="21"/>
        </w:rPr>
        <w:t>this</w:t>
      </w:r>
      <w:r>
        <w:rPr>
          <w:rFonts w:ascii="微软雅黑" w:hAnsi="微软雅黑" w:eastAsia="微软雅黑" w:cs="微软雅黑"/>
          <w:color w:val="231F20"/>
          <w:spacing w:val="14"/>
          <w:sz w:val="21"/>
          <w:szCs w:val="21"/>
        </w:rPr>
        <w:t xml:space="preserve"> </w:t>
      </w:r>
      <w:r>
        <w:rPr>
          <w:rFonts w:ascii="微软雅黑" w:hAnsi="微软雅黑" w:eastAsia="微软雅黑" w:cs="微软雅黑"/>
          <w:color w:val="231F20"/>
          <w:spacing w:val="-16"/>
          <w:sz w:val="21"/>
          <w:szCs w:val="21"/>
        </w:rPr>
        <w:t>paper</w:t>
      </w:r>
      <w:r>
        <w:rPr>
          <w:rFonts w:ascii="微软雅黑" w:hAnsi="微软雅黑" w:eastAsia="微软雅黑" w:cs="微软雅黑"/>
          <w:color w:val="231F20"/>
          <w:spacing w:val="18"/>
          <w:w w:val="101"/>
          <w:sz w:val="21"/>
          <w:szCs w:val="21"/>
        </w:rPr>
        <w:t xml:space="preserve"> </w:t>
      </w:r>
      <w:r>
        <w:rPr>
          <w:rFonts w:ascii="微软雅黑" w:hAnsi="微软雅黑" w:eastAsia="微软雅黑" w:cs="微软雅黑"/>
          <w:color w:val="231F20"/>
          <w:spacing w:val="-16"/>
          <w:sz w:val="21"/>
          <w:szCs w:val="21"/>
        </w:rPr>
        <w:t>summarizes</w:t>
      </w:r>
      <w:r>
        <w:rPr>
          <w:rFonts w:ascii="微软雅黑" w:hAnsi="微软雅黑" w:eastAsia="微软雅黑" w:cs="微软雅黑"/>
          <w:color w:val="231F20"/>
          <w:spacing w:val="14"/>
          <w:sz w:val="21"/>
          <w:szCs w:val="21"/>
        </w:rPr>
        <w:t xml:space="preserve"> </w:t>
      </w:r>
      <w:r>
        <w:rPr>
          <w:rFonts w:ascii="微软雅黑" w:hAnsi="微软雅黑" w:eastAsia="微软雅黑" w:cs="微软雅黑"/>
          <w:color w:val="231F20"/>
          <w:spacing w:val="-16"/>
          <w:sz w:val="21"/>
          <w:szCs w:val="21"/>
        </w:rPr>
        <w:t>the</w:t>
      </w:r>
      <w:r>
        <w:rPr>
          <w:rFonts w:ascii="微软雅黑" w:hAnsi="微软雅黑" w:eastAsia="微软雅黑" w:cs="微软雅黑"/>
          <w:color w:val="231F20"/>
          <w:spacing w:val="19"/>
          <w:sz w:val="21"/>
          <w:szCs w:val="21"/>
        </w:rPr>
        <w:t xml:space="preserve"> </w:t>
      </w:r>
      <w:r>
        <w:rPr>
          <w:rFonts w:ascii="微软雅黑" w:hAnsi="微软雅黑" w:eastAsia="微软雅黑" w:cs="微软雅黑"/>
          <w:color w:val="231F20"/>
          <w:spacing w:val="-16"/>
          <w:sz w:val="21"/>
          <w:szCs w:val="21"/>
        </w:rPr>
        <w:t>ch</w:t>
      </w:r>
      <w:r>
        <w:rPr>
          <w:rFonts w:ascii="微软雅黑" w:hAnsi="微软雅黑" w:eastAsia="微软雅黑" w:cs="微软雅黑"/>
          <w:color w:val="231F20"/>
          <w:spacing w:val="-17"/>
          <w:sz w:val="21"/>
          <w:szCs w:val="21"/>
        </w:rPr>
        <w:t>aracteristics</w:t>
      </w:r>
      <w:r>
        <w:rPr>
          <w:rFonts w:ascii="微软雅黑" w:hAnsi="微软雅黑" w:eastAsia="微软雅黑" w:cs="微软雅黑"/>
          <w:color w:val="231F20"/>
          <w:spacing w:val="18"/>
          <w:sz w:val="21"/>
          <w:szCs w:val="21"/>
        </w:rPr>
        <w:t xml:space="preserve"> </w:t>
      </w:r>
      <w:r>
        <w:rPr>
          <w:rFonts w:ascii="微软雅黑" w:hAnsi="微软雅黑" w:eastAsia="微软雅黑" w:cs="微软雅黑"/>
          <w:color w:val="231F20"/>
          <w:spacing w:val="-17"/>
          <w:sz w:val="21"/>
          <w:szCs w:val="21"/>
        </w:rPr>
        <w:t>of</w:t>
      </w:r>
      <w:r>
        <w:rPr>
          <w:rFonts w:ascii="微软雅黑" w:hAnsi="微软雅黑" w:eastAsia="微软雅黑" w:cs="微软雅黑"/>
          <w:color w:val="231F20"/>
          <w:spacing w:val="4"/>
          <w:sz w:val="21"/>
          <w:szCs w:val="21"/>
        </w:rPr>
        <w:t xml:space="preserve"> </w:t>
      </w:r>
      <w:r>
        <w:rPr>
          <w:rFonts w:ascii="微软雅黑" w:hAnsi="微软雅黑" w:eastAsia="微软雅黑" w:cs="微软雅黑"/>
          <w:color w:val="231F20"/>
          <w:spacing w:val="-17"/>
          <w:sz w:val="21"/>
          <w:szCs w:val="21"/>
        </w:rPr>
        <w:t>higher</w:t>
      </w:r>
      <w:r>
        <w:rPr>
          <w:rFonts w:ascii="微软雅黑" w:hAnsi="微软雅黑" w:eastAsia="微软雅黑" w:cs="微软雅黑"/>
          <w:color w:val="231F20"/>
          <w:spacing w:val="18"/>
          <w:w w:val="101"/>
          <w:sz w:val="21"/>
          <w:szCs w:val="21"/>
        </w:rPr>
        <w:t xml:space="preserve"> </w:t>
      </w:r>
      <w:r>
        <w:rPr>
          <w:rFonts w:ascii="微软雅黑" w:hAnsi="微软雅黑" w:eastAsia="微软雅黑" w:cs="微软雅黑"/>
          <w:color w:val="231F20"/>
          <w:spacing w:val="-17"/>
          <w:sz w:val="21"/>
          <w:szCs w:val="21"/>
        </w:rPr>
        <w:t>education</w:t>
      </w:r>
      <w:r>
        <w:rPr>
          <w:rFonts w:ascii="微软雅黑" w:hAnsi="微软雅黑" w:eastAsia="微软雅黑" w:cs="微软雅黑"/>
          <w:color w:val="231F20"/>
          <w:spacing w:val="20"/>
          <w:sz w:val="21"/>
          <w:szCs w:val="21"/>
        </w:rPr>
        <w:t xml:space="preserve"> </w:t>
      </w:r>
      <w:r>
        <w:rPr>
          <w:rFonts w:ascii="微软雅黑" w:hAnsi="微软雅黑" w:eastAsia="微软雅黑" w:cs="微软雅黑"/>
          <w:color w:val="231F20"/>
          <w:spacing w:val="-17"/>
          <w:sz w:val="21"/>
          <w:szCs w:val="21"/>
        </w:rPr>
        <w:t>quality</w:t>
      </w:r>
      <w:r>
        <w:rPr>
          <w:rFonts w:ascii="微软雅黑" w:hAnsi="微软雅黑" w:eastAsia="微软雅黑" w:cs="微软雅黑"/>
          <w:color w:val="231F20"/>
          <w:sz w:val="21"/>
          <w:szCs w:val="21"/>
        </w:rPr>
        <w:t xml:space="preserve"> </w:t>
      </w:r>
      <w:r>
        <w:rPr>
          <w:rFonts w:ascii="微软雅黑" w:hAnsi="微软雅黑" w:eastAsia="微软雅黑" w:cs="微软雅黑"/>
          <w:color w:val="231F20"/>
          <w:spacing w:val="-16"/>
          <w:sz w:val="21"/>
          <w:szCs w:val="21"/>
        </w:rPr>
        <w:t>culture. Then, we point</w:t>
      </w:r>
      <w:r>
        <w:rPr>
          <w:rFonts w:ascii="微软雅黑" w:hAnsi="微软雅黑" w:eastAsia="微软雅黑" w:cs="微软雅黑"/>
          <w:color w:val="231F20"/>
          <w:spacing w:val="4"/>
          <w:sz w:val="21"/>
          <w:szCs w:val="21"/>
        </w:rPr>
        <w:t xml:space="preserve"> </w:t>
      </w:r>
      <w:r>
        <w:rPr>
          <w:rFonts w:ascii="微软雅黑" w:hAnsi="微软雅黑" w:eastAsia="微软雅黑" w:cs="微软雅黑"/>
          <w:color w:val="231F20"/>
          <w:spacing w:val="-16"/>
          <w:sz w:val="21"/>
          <w:szCs w:val="21"/>
        </w:rPr>
        <w:t xml:space="preserve">out </w:t>
      </w:r>
      <w:r>
        <w:rPr>
          <w:rFonts w:ascii="微软雅黑" w:hAnsi="微软雅黑" w:eastAsia="微软雅黑" w:cs="微软雅黑"/>
          <w:color w:val="231F20"/>
          <w:spacing w:val="-17"/>
          <w:sz w:val="21"/>
          <w:szCs w:val="21"/>
        </w:rPr>
        <w:t>the</w:t>
      </w:r>
      <w:r>
        <w:rPr>
          <w:rFonts w:ascii="微软雅黑" w:hAnsi="微软雅黑" w:eastAsia="微软雅黑" w:cs="微软雅黑"/>
          <w:color w:val="231F20"/>
          <w:spacing w:val="1"/>
          <w:sz w:val="21"/>
          <w:szCs w:val="21"/>
        </w:rPr>
        <w:t xml:space="preserve"> </w:t>
      </w:r>
      <w:r>
        <w:rPr>
          <w:rFonts w:ascii="微软雅黑" w:hAnsi="微软雅黑" w:eastAsia="微软雅黑" w:cs="微软雅黑"/>
          <w:color w:val="231F20"/>
          <w:spacing w:val="-17"/>
          <w:sz w:val="21"/>
          <w:szCs w:val="21"/>
        </w:rPr>
        <w:t>research</w:t>
      </w:r>
      <w:r>
        <w:rPr>
          <w:rFonts w:ascii="微软雅黑" w:hAnsi="微软雅黑" w:eastAsia="微软雅黑" w:cs="微软雅黑"/>
          <w:color w:val="231F20"/>
          <w:spacing w:val="8"/>
          <w:sz w:val="21"/>
          <w:szCs w:val="21"/>
        </w:rPr>
        <w:t xml:space="preserve"> </w:t>
      </w:r>
      <w:r>
        <w:rPr>
          <w:rFonts w:ascii="微软雅黑" w:hAnsi="微软雅黑" w:eastAsia="微软雅黑" w:cs="微软雅黑"/>
          <w:color w:val="231F20"/>
          <w:spacing w:val="-17"/>
          <w:sz w:val="21"/>
          <w:szCs w:val="21"/>
        </w:rPr>
        <w:t>in</w:t>
      </w:r>
      <w:r>
        <w:rPr>
          <w:rFonts w:ascii="微软雅黑" w:hAnsi="微软雅黑" w:eastAsia="微软雅黑" w:cs="微软雅黑"/>
          <w:color w:val="231F20"/>
          <w:spacing w:val="1"/>
          <w:sz w:val="21"/>
          <w:szCs w:val="21"/>
        </w:rPr>
        <w:t xml:space="preserve"> </w:t>
      </w:r>
      <w:r>
        <w:rPr>
          <w:rFonts w:ascii="微软雅黑" w:hAnsi="微软雅黑" w:eastAsia="微软雅黑" w:cs="微软雅黑"/>
          <w:color w:val="231F20"/>
          <w:spacing w:val="-17"/>
          <w:sz w:val="21"/>
          <w:szCs w:val="21"/>
        </w:rPr>
        <w:t>higher</w:t>
      </w:r>
      <w:r>
        <w:rPr>
          <w:rFonts w:ascii="微软雅黑" w:hAnsi="微软雅黑" w:eastAsia="微软雅黑" w:cs="微软雅黑"/>
          <w:color w:val="231F20"/>
          <w:spacing w:val="5"/>
          <w:sz w:val="21"/>
          <w:szCs w:val="21"/>
        </w:rPr>
        <w:t xml:space="preserve"> </w:t>
      </w:r>
      <w:r>
        <w:rPr>
          <w:rFonts w:ascii="微软雅黑" w:hAnsi="微软雅黑" w:eastAsia="微软雅黑" w:cs="微软雅黑"/>
          <w:color w:val="231F20"/>
          <w:spacing w:val="-17"/>
          <w:sz w:val="21"/>
          <w:szCs w:val="21"/>
        </w:rPr>
        <w:t>education</w:t>
      </w:r>
      <w:r>
        <w:rPr>
          <w:rFonts w:ascii="微软雅黑" w:hAnsi="微软雅黑" w:eastAsia="微软雅黑" w:cs="微软雅黑"/>
          <w:color w:val="231F20"/>
          <w:spacing w:val="7"/>
          <w:sz w:val="21"/>
          <w:szCs w:val="21"/>
        </w:rPr>
        <w:t xml:space="preserve"> </w:t>
      </w:r>
      <w:r>
        <w:rPr>
          <w:rFonts w:ascii="微软雅黑" w:hAnsi="微软雅黑" w:eastAsia="微软雅黑" w:cs="微软雅黑"/>
          <w:color w:val="231F20"/>
          <w:spacing w:val="-17"/>
          <w:sz w:val="21"/>
          <w:szCs w:val="21"/>
        </w:rPr>
        <w:t>quality</w:t>
      </w:r>
      <w:r>
        <w:rPr>
          <w:rFonts w:ascii="微软雅黑" w:hAnsi="微软雅黑" w:eastAsia="微软雅黑" w:cs="微软雅黑"/>
          <w:color w:val="231F20"/>
          <w:spacing w:val="5"/>
          <w:sz w:val="21"/>
          <w:szCs w:val="21"/>
        </w:rPr>
        <w:t xml:space="preserve"> </w:t>
      </w:r>
      <w:r>
        <w:rPr>
          <w:rFonts w:ascii="微软雅黑" w:hAnsi="微软雅黑" w:eastAsia="微软雅黑" w:cs="微软雅黑"/>
          <w:color w:val="231F20"/>
          <w:spacing w:val="-17"/>
          <w:sz w:val="21"/>
          <w:szCs w:val="21"/>
        </w:rPr>
        <w:t>culture</w:t>
      </w:r>
      <w:r>
        <w:rPr>
          <w:rFonts w:ascii="微软雅黑" w:hAnsi="微软雅黑" w:eastAsia="微软雅黑" w:cs="微软雅黑"/>
          <w:color w:val="231F20"/>
          <w:spacing w:val="6"/>
          <w:sz w:val="21"/>
          <w:szCs w:val="21"/>
        </w:rPr>
        <w:t xml:space="preserve"> </w:t>
      </w:r>
      <w:r>
        <w:rPr>
          <w:rFonts w:ascii="微软雅黑" w:hAnsi="微软雅黑" w:eastAsia="微软雅黑" w:cs="微软雅黑"/>
          <w:color w:val="231F20"/>
          <w:spacing w:val="-17"/>
          <w:sz w:val="21"/>
          <w:szCs w:val="21"/>
        </w:rPr>
        <w:t>should</w:t>
      </w:r>
      <w:r>
        <w:rPr>
          <w:rFonts w:ascii="微软雅黑" w:hAnsi="微软雅黑" w:eastAsia="微软雅黑" w:cs="微软雅黑"/>
          <w:color w:val="231F20"/>
          <w:spacing w:val="2"/>
          <w:sz w:val="21"/>
          <w:szCs w:val="21"/>
        </w:rPr>
        <w:t xml:space="preserve"> </w:t>
      </w:r>
      <w:r>
        <w:rPr>
          <w:rFonts w:ascii="微软雅黑" w:hAnsi="微软雅黑" w:eastAsia="微软雅黑" w:cs="微软雅黑"/>
          <w:color w:val="231F20"/>
          <w:spacing w:val="-17"/>
          <w:sz w:val="21"/>
          <w:szCs w:val="21"/>
        </w:rPr>
        <w:t>focus</w:t>
      </w:r>
      <w:r>
        <w:rPr>
          <w:rFonts w:ascii="微软雅黑" w:hAnsi="微软雅黑" w:eastAsia="微软雅黑" w:cs="微软雅黑"/>
          <w:color w:val="231F20"/>
          <w:spacing w:val="4"/>
          <w:sz w:val="21"/>
          <w:szCs w:val="21"/>
        </w:rPr>
        <w:t xml:space="preserve"> </w:t>
      </w:r>
      <w:r>
        <w:rPr>
          <w:rFonts w:ascii="微软雅黑" w:hAnsi="微软雅黑" w:eastAsia="微软雅黑" w:cs="微软雅黑"/>
          <w:color w:val="231F20"/>
          <w:spacing w:val="-17"/>
          <w:sz w:val="21"/>
          <w:szCs w:val="21"/>
        </w:rPr>
        <w:t>on</w:t>
      </w:r>
      <w:r>
        <w:rPr>
          <w:rFonts w:ascii="微软雅黑" w:hAnsi="微软雅黑" w:eastAsia="微软雅黑" w:cs="微软雅黑"/>
          <w:color w:val="231F20"/>
          <w:spacing w:val="2"/>
          <w:sz w:val="21"/>
          <w:szCs w:val="21"/>
        </w:rPr>
        <w:t xml:space="preserve"> </w:t>
      </w:r>
      <w:r>
        <w:rPr>
          <w:rFonts w:ascii="微软雅黑" w:hAnsi="微软雅黑" w:eastAsia="微软雅黑" w:cs="微软雅黑"/>
          <w:color w:val="231F20"/>
          <w:spacing w:val="-17"/>
          <w:sz w:val="21"/>
          <w:szCs w:val="21"/>
        </w:rPr>
        <w:t>the</w:t>
      </w:r>
      <w:r>
        <w:rPr>
          <w:rFonts w:ascii="微软雅黑" w:hAnsi="微软雅黑" w:eastAsia="微软雅黑" w:cs="微软雅黑"/>
          <w:color w:val="231F20"/>
          <w:spacing w:val="6"/>
          <w:sz w:val="21"/>
          <w:szCs w:val="21"/>
        </w:rPr>
        <w:t xml:space="preserve"> </w:t>
      </w:r>
      <w:r>
        <w:rPr>
          <w:rFonts w:ascii="微软雅黑" w:hAnsi="微软雅黑" w:eastAsia="微软雅黑" w:cs="微软雅黑"/>
          <w:color w:val="231F20"/>
          <w:spacing w:val="-17"/>
          <w:sz w:val="21"/>
          <w:szCs w:val="21"/>
        </w:rPr>
        <w:t>Chinese</w:t>
      </w:r>
      <w:r>
        <w:rPr>
          <w:rFonts w:ascii="微软雅黑" w:hAnsi="微软雅黑" w:eastAsia="微软雅黑" w:cs="微软雅黑"/>
          <w:color w:val="231F20"/>
          <w:sz w:val="21"/>
          <w:szCs w:val="21"/>
        </w:rPr>
        <w:t xml:space="preserve"> </w:t>
      </w:r>
      <w:r>
        <w:rPr>
          <w:rFonts w:ascii="微软雅黑" w:hAnsi="微软雅黑" w:eastAsia="微软雅黑" w:cs="微软雅黑"/>
          <w:color w:val="231F20"/>
          <w:spacing w:val="-16"/>
          <w:sz w:val="21"/>
          <w:szCs w:val="21"/>
        </w:rPr>
        <w:t>research</w:t>
      </w:r>
      <w:r>
        <w:rPr>
          <w:rFonts w:ascii="微软雅黑" w:hAnsi="微软雅黑" w:eastAsia="微软雅黑" w:cs="微软雅黑"/>
          <w:color w:val="231F20"/>
          <w:spacing w:val="11"/>
          <w:sz w:val="21"/>
          <w:szCs w:val="21"/>
        </w:rPr>
        <w:t xml:space="preserve"> </w:t>
      </w:r>
      <w:r>
        <w:rPr>
          <w:rFonts w:ascii="微软雅黑" w:hAnsi="微软雅黑" w:eastAsia="微软雅黑" w:cs="微软雅黑"/>
          <w:color w:val="231F20"/>
          <w:spacing w:val="-16"/>
          <w:sz w:val="21"/>
          <w:szCs w:val="21"/>
        </w:rPr>
        <w:t>of high</w:t>
      </w:r>
      <w:r>
        <w:rPr>
          <w:rFonts w:ascii="微软雅黑" w:hAnsi="微软雅黑" w:eastAsia="微软雅黑" w:cs="微软雅黑"/>
          <w:color w:val="231F20"/>
          <w:spacing w:val="12"/>
          <w:sz w:val="21"/>
          <w:szCs w:val="21"/>
        </w:rPr>
        <w:t xml:space="preserve"> </w:t>
      </w:r>
      <w:r>
        <w:rPr>
          <w:rFonts w:ascii="微软雅黑" w:hAnsi="微软雅黑" w:eastAsia="微软雅黑" w:cs="微软雅黑"/>
          <w:color w:val="231F20"/>
          <w:spacing w:val="-16"/>
          <w:sz w:val="21"/>
          <w:szCs w:val="21"/>
        </w:rPr>
        <w:t>quality</w:t>
      </w:r>
      <w:r>
        <w:rPr>
          <w:rFonts w:ascii="微软雅黑" w:hAnsi="微软雅黑" w:eastAsia="微软雅黑" w:cs="微软雅黑"/>
          <w:color w:val="231F20"/>
          <w:spacing w:val="11"/>
          <w:sz w:val="21"/>
          <w:szCs w:val="21"/>
        </w:rPr>
        <w:t xml:space="preserve"> </w:t>
      </w:r>
      <w:r>
        <w:rPr>
          <w:rFonts w:ascii="微软雅黑" w:hAnsi="微软雅黑" w:eastAsia="微软雅黑" w:cs="微软雅黑"/>
          <w:color w:val="231F20"/>
          <w:spacing w:val="-16"/>
          <w:sz w:val="21"/>
          <w:szCs w:val="21"/>
        </w:rPr>
        <w:t>and</w:t>
      </w:r>
      <w:r>
        <w:rPr>
          <w:rFonts w:ascii="微软雅黑" w:hAnsi="微软雅黑" w:eastAsia="微软雅黑" w:cs="微软雅黑"/>
          <w:color w:val="231F20"/>
          <w:spacing w:val="8"/>
          <w:sz w:val="21"/>
          <w:szCs w:val="21"/>
        </w:rPr>
        <w:t xml:space="preserve"> </w:t>
      </w:r>
      <w:r>
        <w:rPr>
          <w:rFonts w:ascii="微软雅黑" w:hAnsi="微软雅黑" w:eastAsia="微软雅黑" w:cs="微软雅黑"/>
          <w:color w:val="231F20"/>
          <w:spacing w:val="-16"/>
          <w:sz w:val="21"/>
          <w:szCs w:val="21"/>
        </w:rPr>
        <w:t>uniqueness,</w:t>
      </w:r>
      <w:r>
        <w:rPr>
          <w:rFonts w:ascii="微软雅黑" w:hAnsi="微软雅黑" w:eastAsia="微软雅黑" w:cs="微软雅黑"/>
          <w:color w:val="231F20"/>
          <w:spacing w:val="10"/>
          <w:sz w:val="21"/>
          <w:szCs w:val="21"/>
        </w:rPr>
        <w:t xml:space="preserve"> </w:t>
      </w:r>
      <w:r>
        <w:rPr>
          <w:rFonts w:ascii="微软雅黑" w:hAnsi="微软雅黑" w:eastAsia="微软雅黑" w:cs="微软雅黑"/>
          <w:color w:val="231F20"/>
          <w:spacing w:val="-16"/>
          <w:sz w:val="21"/>
          <w:szCs w:val="21"/>
        </w:rPr>
        <w:t>and</w:t>
      </w:r>
      <w:r>
        <w:rPr>
          <w:rFonts w:ascii="微软雅黑" w:hAnsi="微软雅黑" w:eastAsia="微软雅黑" w:cs="微软雅黑"/>
          <w:color w:val="231F20"/>
          <w:spacing w:val="6"/>
          <w:sz w:val="21"/>
          <w:szCs w:val="21"/>
        </w:rPr>
        <w:t xml:space="preserve"> </w:t>
      </w:r>
      <w:r>
        <w:rPr>
          <w:rFonts w:ascii="微软雅黑" w:hAnsi="微软雅黑" w:eastAsia="微软雅黑" w:cs="微软雅黑"/>
          <w:color w:val="231F20"/>
          <w:spacing w:val="-16"/>
          <w:sz w:val="21"/>
          <w:szCs w:val="21"/>
        </w:rPr>
        <w:t>highlight</w:t>
      </w:r>
      <w:r>
        <w:rPr>
          <w:rFonts w:ascii="微软雅黑" w:hAnsi="微软雅黑" w:eastAsia="微软雅黑" w:cs="微软雅黑"/>
          <w:color w:val="231F20"/>
          <w:spacing w:val="6"/>
          <w:sz w:val="21"/>
          <w:szCs w:val="21"/>
        </w:rPr>
        <w:t xml:space="preserve"> </w:t>
      </w:r>
      <w:r>
        <w:rPr>
          <w:rFonts w:ascii="微软雅黑" w:hAnsi="微软雅黑" w:eastAsia="微软雅黑" w:cs="微软雅黑"/>
          <w:color w:val="231F20"/>
          <w:spacing w:val="-16"/>
          <w:sz w:val="21"/>
          <w:szCs w:val="21"/>
        </w:rPr>
        <w:t>the</w:t>
      </w:r>
      <w:r>
        <w:rPr>
          <w:rFonts w:ascii="微软雅黑" w:hAnsi="微软雅黑" w:eastAsia="微软雅黑" w:cs="微软雅黑"/>
          <w:color w:val="231F20"/>
          <w:spacing w:val="11"/>
          <w:sz w:val="21"/>
          <w:szCs w:val="21"/>
        </w:rPr>
        <w:t xml:space="preserve"> </w:t>
      </w:r>
      <w:r>
        <w:rPr>
          <w:rFonts w:ascii="微软雅黑" w:hAnsi="微软雅黑" w:eastAsia="微软雅黑" w:cs="微软雅黑"/>
          <w:color w:val="231F20"/>
          <w:spacing w:val="-16"/>
          <w:sz w:val="21"/>
          <w:szCs w:val="21"/>
        </w:rPr>
        <w:t>school-based</w:t>
      </w:r>
      <w:r>
        <w:rPr>
          <w:rFonts w:ascii="微软雅黑" w:hAnsi="微软雅黑" w:eastAsia="微软雅黑" w:cs="微软雅黑"/>
          <w:color w:val="231F20"/>
          <w:spacing w:val="7"/>
          <w:sz w:val="21"/>
          <w:szCs w:val="21"/>
        </w:rPr>
        <w:t xml:space="preserve"> </w:t>
      </w:r>
      <w:r>
        <w:rPr>
          <w:rFonts w:ascii="微软雅黑" w:hAnsi="微软雅黑" w:eastAsia="微软雅黑" w:cs="微软雅黑"/>
          <w:color w:val="231F20"/>
          <w:spacing w:val="-16"/>
          <w:sz w:val="21"/>
          <w:szCs w:val="21"/>
        </w:rPr>
        <w:t>research</w:t>
      </w:r>
      <w:r>
        <w:rPr>
          <w:rFonts w:ascii="微软雅黑" w:hAnsi="微软雅黑" w:eastAsia="微软雅黑" w:cs="微软雅黑"/>
          <w:color w:val="231F20"/>
          <w:spacing w:val="11"/>
          <w:sz w:val="21"/>
          <w:szCs w:val="21"/>
        </w:rPr>
        <w:t xml:space="preserve"> </w:t>
      </w:r>
      <w:r>
        <w:rPr>
          <w:rFonts w:ascii="微软雅黑" w:hAnsi="微软雅黑" w:eastAsia="微软雅黑" w:cs="微软雅黑"/>
          <w:color w:val="231F20"/>
          <w:spacing w:val="-16"/>
          <w:sz w:val="21"/>
          <w:szCs w:val="21"/>
        </w:rPr>
        <w:t xml:space="preserve">of </w:t>
      </w:r>
      <w:r>
        <w:rPr>
          <w:rFonts w:ascii="微软雅黑" w:hAnsi="微软雅黑" w:eastAsia="微软雅黑" w:cs="微软雅黑"/>
          <w:color w:val="231F20"/>
          <w:spacing w:val="-17"/>
          <w:sz w:val="21"/>
          <w:szCs w:val="21"/>
        </w:rPr>
        <w:t>service</w:t>
      </w:r>
      <w:r>
        <w:rPr>
          <w:rFonts w:ascii="微软雅黑" w:hAnsi="微软雅黑" w:eastAsia="微软雅黑" w:cs="微软雅黑"/>
          <w:color w:val="231F20"/>
          <w:spacing w:val="11"/>
          <w:sz w:val="21"/>
          <w:szCs w:val="21"/>
        </w:rPr>
        <w:t xml:space="preserve"> </w:t>
      </w:r>
      <w:r>
        <w:rPr>
          <w:rFonts w:ascii="微软雅黑" w:hAnsi="微软雅黑" w:eastAsia="微软雅黑" w:cs="微软雅黑"/>
          <w:color w:val="231F20"/>
          <w:spacing w:val="-17"/>
          <w:sz w:val="21"/>
          <w:szCs w:val="21"/>
        </w:rPr>
        <w:t>ability</w:t>
      </w:r>
      <w:r>
        <w:rPr>
          <w:rFonts w:ascii="微软雅黑" w:hAnsi="微软雅黑" w:eastAsia="微软雅黑" w:cs="微软雅黑"/>
          <w:color w:val="231F20"/>
          <w:spacing w:val="11"/>
          <w:sz w:val="21"/>
          <w:szCs w:val="21"/>
        </w:rPr>
        <w:t xml:space="preserve"> </w:t>
      </w:r>
      <w:r>
        <w:rPr>
          <w:rFonts w:ascii="微软雅黑" w:hAnsi="微软雅黑" w:eastAsia="微软雅黑" w:cs="微软雅黑"/>
          <w:color w:val="231F20"/>
          <w:spacing w:val="-17"/>
          <w:sz w:val="21"/>
          <w:szCs w:val="21"/>
        </w:rPr>
        <w:t>and</w:t>
      </w:r>
      <w:r>
        <w:rPr>
          <w:rFonts w:ascii="微软雅黑" w:hAnsi="微软雅黑" w:eastAsia="微软雅黑" w:cs="微软雅黑"/>
          <w:color w:val="231F20"/>
          <w:sz w:val="21"/>
          <w:szCs w:val="21"/>
        </w:rPr>
        <w:t xml:space="preserve"> </w:t>
      </w:r>
      <w:r>
        <w:rPr>
          <w:rFonts w:ascii="微软雅黑" w:hAnsi="微软雅黑" w:eastAsia="微软雅黑" w:cs="微软雅黑"/>
          <w:color w:val="231F20"/>
          <w:spacing w:val="-14"/>
          <w:sz w:val="21"/>
          <w:szCs w:val="21"/>
        </w:rPr>
        <w:t xml:space="preserve">social  contribution.  It  is  also  the  research  of  scientific  education  </w:t>
      </w:r>
      <w:r>
        <w:rPr>
          <w:rFonts w:ascii="微软雅黑" w:hAnsi="微软雅黑" w:eastAsia="微软雅黑" w:cs="微软雅黑"/>
          <w:color w:val="231F20"/>
          <w:spacing w:val="-15"/>
          <w:sz w:val="21"/>
          <w:szCs w:val="21"/>
        </w:rPr>
        <w:t>quality  views  and  comprehensive</w:t>
      </w:r>
      <w:r>
        <w:rPr>
          <w:rFonts w:ascii="微软雅黑" w:hAnsi="微软雅黑" w:eastAsia="微软雅黑" w:cs="微软雅黑"/>
          <w:color w:val="231F20"/>
          <w:sz w:val="21"/>
          <w:szCs w:val="21"/>
        </w:rPr>
        <w:t xml:space="preserve"> </w:t>
      </w:r>
      <w:r>
        <w:rPr>
          <w:rFonts w:ascii="微软雅黑" w:hAnsi="微软雅黑" w:eastAsia="微软雅黑" w:cs="微软雅黑"/>
          <w:color w:val="231F20"/>
          <w:spacing w:val="-18"/>
          <w:sz w:val="21"/>
          <w:szCs w:val="21"/>
        </w:rPr>
        <w:t>quality management con</w:t>
      </w:r>
      <w:r>
        <w:rPr>
          <w:rFonts w:ascii="微软雅黑" w:hAnsi="微软雅黑" w:eastAsia="微软雅黑" w:cs="微软雅黑"/>
          <w:color w:val="231F20"/>
          <w:spacing w:val="-19"/>
          <w:sz w:val="21"/>
          <w:szCs w:val="21"/>
        </w:rPr>
        <w:t>cepts.</w:t>
      </w:r>
    </w:p>
    <w:p>
      <w:pPr>
        <w:spacing w:before="40" w:line="203" w:lineRule="auto"/>
        <w:ind w:left="1077" w:right="64" w:firstLine="396"/>
        <w:jc w:val="both"/>
        <w:rPr>
          <w:rFonts w:ascii="微软雅黑" w:hAnsi="微软雅黑" w:eastAsia="微软雅黑" w:cs="微软雅黑"/>
          <w:sz w:val="21"/>
          <w:szCs w:val="21"/>
        </w:rPr>
      </w:pPr>
      <w:r>
        <w:rPr>
          <w:rFonts w:ascii="Arial" w:hAnsi="Arial" w:eastAsia="Arial" w:cs="Arial"/>
          <w:color w:val="231F20"/>
          <w:spacing w:val="-12"/>
          <w:sz w:val="19"/>
          <w:szCs w:val="19"/>
        </w:rPr>
        <w:t>Key</w:t>
      </w:r>
      <w:r>
        <w:rPr>
          <w:rFonts w:ascii="Arial" w:hAnsi="Arial" w:eastAsia="Arial" w:cs="Arial"/>
          <w:color w:val="231F20"/>
          <w:spacing w:val="8"/>
          <w:sz w:val="19"/>
          <w:szCs w:val="19"/>
        </w:rPr>
        <w:t xml:space="preserve"> </w:t>
      </w:r>
      <w:r>
        <w:rPr>
          <w:rFonts w:ascii="Arial" w:hAnsi="Arial" w:eastAsia="Arial" w:cs="Arial"/>
          <w:color w:val="231F20"/>
          <w:spacing w:val="-12"/>
          <w:sz w:val="19"/>
          <w:szCs w:val="19"/>
        </w:rPr>
        <w:t>words:</w:t>
      </w:r>
      <w:r>
        <w:rPr>
          <w:rFonts w:ascii="Arial" w:hAnsi="Arial" w:eastAsia="Arial" w:cs="Arial"/>
          <w:color w:val="231F20"/>
          <w:spacing w:val="14"/>
          <w:sz w:val="19"/>
          <w:szCs w:val="19"/>
        </w:rPr>
        <w:t xml:space="preserve"> </w:t>
      </w:r>
      <w:r>
        <w:rPr>
          <w:rFonts w:ascii="微软雅黑" w:hAnsi="微软雅黑" w:eastAsia="微软雅黑" w:cs="微软雅黑"/>
          <w:color w:val="231F20"/>
          <w:spacing w:val="-12"/>
          <w:sz w:val="21"/>
          <w:szCs w:val="21"/>
        </w:rPr>
        <w:t>quality; quality culture</w:t>
      </w:r>
      <w:r>
        <w:rPr>
          <w:rFonts w:ascii="微软雅黑" w:hAnsi="微软雅黑" w:eastAsia="微软雅黑" w:cs="微软雅黑"/>
          <w:color w:val="231F20"/>
          <w:spacing w:val="-13"/>
          <w:sz w:val="21"/>
          <w:szCs w:val="21"/>
        </w:rPr>
        <w:t>; quality of higher</w:t>
      </w:r>
      <w:r>
        <w:rPr>
          <w:rFonts w:ascii="微软雅黑" w:hAnsi="微软雅黑" w:eastAsia="微软雅黑" w:cs="微软雅黑"/>
          <w:color w:val="231F20"/>
          <w:spacing w:val="4"/>
          <w:sz w:val="21"/>
          <w:szCs w:val="21"/>
        </w:rPr>
        <w:t xml:space="preserve"> </w:t>
      </w:r>
      <w:r>
        <w:rPr>
          <w:rFonts w:ascii="微软雅黑" w:hAnsi="微软雅黑" w:eastAsia="微软雅黑" w:cs="微软雅黑"/>
          <w:color w:val="231F20"/>
          <w:spacing w:val="-13"/>
          <w:sz w:val="21"/>
          <w:szCs w:val="21"/>
        </w:rPr>
        <w:t>education;</w:t>
      </w:r>
      <w:r>
        <w:rPr>
          <w:rFonts w:ascii="微软雅黑" w:hAnsi="微软雅黑" w:eastAsia="微软雅黑" w:cs="微软雅黑"/>
          <w:color w:val="231F20"/>
          <w:spacing w:val="4"/>
          <w:sz w:val="21"/>
          <w:szCs w:val="21"/>
        </w:rPr>
        <w:t xml:space="preserve"> </w:t>
      </w:r>
      <w:r>
        <w:rPr>
          <w:rFonts w:ascii="微软雅黑" w:hAnsi="微软雅黑" w:eastAsia="微软雅黑" w:cs="微软雅黑"/>
          <w:color w:val="231F20"/>
          <w:spacing w:val="-13"/>
          <w:sz w:val="21"/>
          <w:szCs w:val="21"/>
        </w:rPr>
        <w:t>quality</w:t>
      </w:r>
      <w:r>
        <w:rPr>
          <w:rFonts w:ascii="微软雅黑" w:hAnsi="微软雅黑" w:eastAsia="微软雅黑" w:cs="微软雅黑"/>
          <w:color w:val="231F20"/>
          <w:spacing w:val="5"/>
          <w:sz w:val="21"/>
          <w:szCs w:val="21"/>
        </w:rPr>
        <w:t xml:space="preserve"> </w:t>
      </w:r>
      <w:r>
        <w:rPr>
          <w:rFonts w:ascii="微软雅黑" w:hAnsi="微软雅黑" w:eastAsia="微软雅黑" w:cs="微软雅黑"/>
          <w:color w:val="231F20"/>
          <w:spacing w:val="-13"/>
          <w:sz w:val="21"/>
          <w:szCs w:val="21"/>
        </w:rPr>
        <w:t>culture</w:t>
      </w:r>
      <w:r>
        <w:rPr>
          <w:rFonts w:ascii="微软雅黑" w:hAnsi="微软雅黑" w:eastAsia="微软雅黑" w:cs="微软雅黑"/>
          <w:color w:val="231F20"/>
          <w:spacing w:val="3"/>
          <w:sz w:val="21"/>
          <w:szCs w:val="21"/>
        </w:rPr>
        <w:t xml:space="preserve"> </w:t>
      </w:r>
      <w:r>
        <w:rPr>
          <w:rFonts w:ascii="微软雅黑" w:hAnsi="微软雅黑" w:eastAsia="微软雅黑" w:cs="微软雅黑"/>
          <w:color w:val="231F20"/>
          <w:spacing w:val="-13"/>
          <w:sz w:val="21"/>
          <w:szCs w:val="21"/>
        </w:rPr>
        <w:t>of higher</w:t>
      </w:r>
      <w:r>
        <w:rPr>
          <w:rFonts w:ascii="微软雅黑" w:hAnsi="微软雅黑" w:eastAsia="微软雅黑" w:cs="微软雅黑"/>
          <w:color w:val="231F20"/>
          <w:spacing w:val="4"/>
          <w:sz w:val="21"/>
          <w:szCs w:val="21"/>
        </w:rPr>
        <w:t xml:space="preserve"> </w:t>
      </w:r>
      <w:r>
        <w:rPr>
          <w:rFonts w:ascii="微软雅黑" w:hAnsi="微软雅黑" w:eastAsia="微软雅黑" w:cs="微软雅黑"/>
          <w:color w:val="231F20"/>
          <w:spacing w:val="-13"/>
          <w:sz w:val="21"/>
          <w:szCs w:val="21"/>
        </w:rPr>
        <w:t>education;</w:t>
      </w:r>
      <w:r>
        <w:rPr>
          <w:rFonts w:ascii="微软雅黑" w:hAnsi="微软雅黑" w:eastAsia="微软雅黑" w:cs="微软雅黑"/>
          <w:color w:val="231F20"/>
          <w:sz w:val="21"/>
          <w:szCs w:val="21"/>
        </w:rPr>
        <w:t xml:space="preserve"> </w:t>
      </w:r>
      <w:r>
        <w:rPr>
          <w:rFonts w:ascii="微软雅黑" w:hAnsi="微软雅黑" w:eastAsia="微软雅黑" w:cs="微软雅黑"/>
          <w:color w:val="231F20"/>
          <w:spacing w:val="-16"/>
          <w:sz w:val="21"/>
          <w:szCs w:val="21"/>
        </w:rPr>
        <w:t>internal governance</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86" w:line="152" w:lineRule="exact"/>
        <w:ind w:left="9194"/>
        <w:rPr>
          <w:rFonts w:ascii="微软雅黑" w:hAnsi="微软雅黑" w:eastAsia="微软雅黑" w:cs="微软雅黑"/>
          <w:sz w:val="20"/>
          <w:szCs w:val="20"/>
        </w:rPr>
      </w:pPr>
      <w:r>
        <w:rPr>
          <w:rFonts w:ascii="微软雅黑" w:hAnsi="微软雅黑" w:eastAsia="微软雅黑" w:cs="微软雅黑"/>
          <w:color w:val="231F20"/>
          <w:spacing w:val="1"/>
          <w:position w:val="-3"/>
          <w:sz w:val="20"/>
          <w:szCs w:val="20"/>
        </w:rPr>
        <w:t>-   31</w:t>
      </w:r>
      <w:r>
        <w:rPr>
          <w:rFonts w:ascii="微软雅黑" w:hAnsi="微软雅黑" w:eastAsia="微软雅黑" w:cs="微软雅黑"/>
          <w:color w:val="231F20"/>
          <w:spacing w:val="29"/>
          <w:w w:val="101"/>
          <w:position w:val="-3"/>
          <w:sz w:val="20"/>
          <w:szCs w:val="20"/>
        </w:rPr>
        <w:t xml:space="preserve">  </w:t>
      </w:r>
      <w:r>
        <w:rPr>
          <w:rFonts w:ascii="微软雅黑" w:hAnsi="微软雅黑" w:eastAsia="微软雅黑" w:cs="微软雅黑"/>
          <w:color w:val="231F20"/>
          <w:spacing w:val="1"/>
          <w:position w:val="-3"/>
          <w:sz w:val="20"/>
          <w:szCs w:val="20"/>
        </w:rPr>
        <w:t>-</w:t>
      </w:r>
    </w:p>
    <w:p>
      <w:pPr>
        <w:spacing w:line="152" w:lineRule="exact"/>
        <w:rPr>
          <w:rFonts w:ascii="微软雅黑" w:hAnsi="微软雅黑" w:eastAsia="微软雅黑" w:cs="微软雅黑"/>
          <w:sz w:val="20"/>
          <w:szCs w:val="20"/>
        </w:rPr>
        <w:sectPr>
          <w:type w:val="continuous"/>
          <w:pgSz w:w="11906" w:h="16158"/>
          <w:pgMar w:top="1489" w:right="1408" w:bottom="547" w:left="407" w:header="1198" w:footer="354" w:gutter="0"/>
          <w:cols w:equalWidth="0" w:num="1">
            <w:col w:w="10090"/>
          </w:cols>
        </w:sectPr>
      </w:pPr>
    </w:p>
    <w:p>
      <w:pPr>
        <w:spacing w:line="388" w:lineRule="auto"/>
        <w:rPr>
          <w:rFonts w:ascii="Arial"/>
          <w:sz w:val="21"/>
        </w:rPr>
      </w:pPr>
    </w:p>
    <w:p>
      <w:pPr>
        <w:spacing w:before="116" w:line="159" w:lineRule="auto"/>
        <w:ind w:left="1579"/>
        <w:rPr>
          <w:rFonts w:ascii="微软雅黑" w:hAnsi="微软雅黑" w:eastAsia="微软雅黑" w:cs="微软雅黑"/>
          <w:sz w:val="27"/>
          <w:szCs w:val="27"/>
        </w:rPr>
      </w:pPr>
      <w:r>
        <w:rPr>
          <w:rFonts w:ascii="微软雅黑" w:hAnsi="微软雅黑" w:eastAsia="微软雅黑" w:cs="微软雅黑"/>
          <w:color w:val="231F20"/>
          <w:spacing w:val="-9"/>
          <w:sz w:val="27"/>
          <w:szCs w:val="27"/>
        </w:rPr>
        <w:t>Present</w:t>
      </w:r>
      <w:r>
        <w:rPr>
          <w:rFonts w:ascii="微软雅黑" w:hAnsi="微软雅黑" w:eastAsia="微软雅黑" w:cs="微软雅黑"/>
          <w:color w:val="231F20"/>
          <w:spacing w:val="23"/>
          <w:w w:val="101"/>
          <w:sz w:val="27"/>
          <w:szCs w:val="27"/>
        </w:rPr>
        <w:t xml:space="preserve"> </w:t>
      </w:r>
      <w:r>
        <w:rPr>
          <w:rFonts w:ascii="微软雅黑" w:hAnsi="微软雅黑" w:eastAsia="微软雅黑" w:cs="微软雅黑"/>
          <w:color w:val="231F20"/>
          <w:spacing w:val="-9"/>
          <w:sz w:val="27"/>
          <w:szCs w:val="27"/>
        </w:rPr>
        <w:t>Situation</w:t>
      </w:r>
      <w:r>
        <w:rPr>
          <w:rFonts w:ascii="微软雅黑" w:hAnsi="微软雅黑" w:eastAsia="微软雅黑" w:cs="微软雅黑"/>
          <w:color w:val="231F20"/>
          <w:spacing w:val="20"/>
          <w:sz w:val="27"/>
          <w:szCs w:val="27"/>
        </w:rPr>
        <w:t xml:space="preserve"> </w:t>
      </w:r>
      <w:r>
        <w:rPr>
          <w:rFonts w:ascii="微软雅黑" w:hAnsi="微软雅黑" w:eastAsia="微软雅黑" w:cs="微软雅黑"/>
          <w:color w:val="231F20"/>
          <w:spacing w:val="-9"/>
          <w:sz w:val="27"/>
          <w:szCs w:val="27"/>
        </w:rPr>
        <w:t>and</w:t>
      </w:r>
      <w:r>
        <w:rPr>
          <w:rFonts w:ascii="微软雅黑" w:hAnsi="微软雅黑" w:eastAsia="微软雅黑" w:cs="微软雅黑"/>
          <w:color w:val="231F20"/>
          <w:spacing w:val="19"/>
          <w:sz w:val="27"/>
          <w:szCs w:val="27"/>
        </w:rPr>
        <w:t xml:space="preserve"> </w:t>
      </w:r>
      <w:r>
        <w:rPr>
          <w:rFonts w:ascii="微软雅黑" w:hAnsi="微软雅黑" w:eastAsia="微软雅黑" w:cs="微软雅黑"/>
          <w:color w:val="231F20"/>
          <w:spacing w:val="-9"/>
          <w:sz w:val="27"/>
          <w:szCs w:val="27"/>
        </w:rPr>
        <w:t>Impr</w:t>
      </w:r>
      <w:r>
        <w:rPr>
          <w:rFonts w:ascii="微软雅黑" w:hAnsi="微软雅黑" w:eastAsia="微软雅黑" w:cs="微软雅黑"/>
          <w:color w:val="231F20"/>
          <w:spacing w:val="-10"/>
          <w:sz w:val="27"/>
          <w:szCs w:val="27"/>
        </w:rPr>
        <w:t>ovement</w:t>
      </w:r>
      <w:r>
        <w:rPr>
          <w:rFonts w:ascii="微软雅黑" w:hAnsi="微软雅黑" w:eastAsia="微软雅黑" w:cs="微软雅黑"/>
          <w:color w:val="231F20"/>
          <w:spacing w:val="23"/>
          <w:sz w:val="27"/>
          <w:szCs w:val="27"/>
        </w:rPr>
        <w:t xml:space="preserve"> </w:t>
      </w:r>
      <w:r>
        <w:rPr>
          <w:rFonts w:ascii="微软雅黑" w:hAnsi="微软雅黑" w:eastAsia="微软雅黑" w:cs="微软雅黑"/>
          <w:color w:val="231F20"/>
          <w:spacing w:val="-10"/>
          <w:sz w:val="27"/>
          <w:szCs w:val="27"/>
        </w:rPr>
        <w:t>Strategies</w:t>
      </w:r>
      <w:r>
        <w:rPr>
          <w:rFonts w:ascii="微软雅黑" w:hAnsi="微软雅黑" w:eastAsia="微软雅黑" w:cs="微软雅黑"/>
          <w:color w:val="231F20"/>
          <w:spacing w:val="21"/>
          <w:sz w:val="27"/>
          <w:szCs w:val="27"/>
        </w:rPr>
        <w:t xml:space="preserve"> </w:t>
      </w:r>
      <w:r>
        <w:rPr>
          <w:rFonts w:ascii="微软雅黑" w:hAnsi="微软雅黑" w:eastAsia="微软雅黑" w:cs="微软雅黑"/>
          <w:color w:val="231F20"/>
          <w:spacing w:val="-10"/>
          <w:sz w:val="27"/>
          <w:szCs w:val="27"/>
        </w:rPr>
        <w:t>of Quality</w:t>
      </w:r>
      <w:r>
        <w:rPr>
          <w:rFonts w:ascii="微软雅黑" w:hAnsi="微软雅黑" w:eastAsia="微软雅黑" w:cs="微软雅黑"/>
          <w:color w:val="231F20"/>
          <w:spacing w:val="27"/>
          <w:sz w:val="27"/>
          <w:szCs w:val="27"/>
        </w:rPr>
        <w:t xml:space="preserve"> </w:t>
      </w:r>
      <w:r>
        <w:rPr>
          <w:rFonts w:ascii="微软雅黑" w:hAnsi="微软雅黑" w:eastAsia="微软雅黑" w:cs="微软雅黑"/>
          <w:color w:val="231F20"/>
          <w:spacing w:val="-10"/>
          <w:sz w:val="27"/>
          <w:szCs w:val="27"/>
        </w:rPr>
        <w:t>Culture</w:t>
      </w:r>
    </w:p>
    <w:p>
      <w:pPr>
        <w:spacing w:before="67" w:line="159" w:lineRule="auto"/>
        <w:ind w:left="3053"/>
        <w:rPr>
          <w:rFonts w:ascii="微软雅黑" w:hAnsi="微软雅黑" w:eastAsia="微软雅黑" w:cs="微软雅黑"/>
          <w:sz w:val="27"/>
          <w:szCs w:val="27"/>
        </w:rPr>
      </w:pPr>
      <w:r>
        <w:rPr>
          <w:rFonts w:ascii="微软雅黑" w:hAnsi="微软雅黑" w:eastAsia="微软雅黑" w:cs="微软雅黑"/>
          <w:color w:val="231F20"/>
          <w:spacing w:val="-10"/>
          <w:sz w:val="27"/>
          <w:szCs w:val="27"/>
        </w:rPr>
        <w:t>Construction</w:t>
      </w:r>
      <w:r>
        <w:rPr>
          <w:rFonts w:ascii="微软雅黑" w:hAnsi="微软雅黑" w:eastAsia="微软雅黑" w:cs="微软雅黑"/>
          <w:color w:val="231F20"/>
          <w:spacing w:val="18"/>
          <w:sz w:val="27"/>
          <w:szCs w:val="27"/>
        </w:rPr>
        <w:t xml:space="preserve"> </w:t>
      </w:r>
      <w:r>
        <w:rPr>
          <w:rFonts w:ascii="微软雅黑" w:hAnsi="微软雅黑" w:eastAsia="微软雅黑" w:cs="微软雅黑"/>
          <w:color w:val="231F20"/>
          <w:spacing w:val="-10"/>
          <w:sz w:val="27"/>
          <w:szCs w:val="27"/>
        </w:rPr>
        <w:t>in</w:t>
      </w:r>
      <w:r>
        <w:rPr>
          <w:rFonts w:ascii="微软雅黑" w:hAnsi="微软雅黑" w:eastAsia="微软雅黑" w:cs="微软雅黑"/>
          <w:color w:val="231F20"/>
          <w:spacing w:val="27"/>
          <w:sz w:val="27"/>
          <w:szCs w:val="27"/>
        </w:rPr>
        <w:t xml:space="preserve"> </w:t>
      </w:r>
      <w:r>
        <w:rPr>
          <w:rFonts w:ascii="微软雅黑" w:hAnsi="微软雅黑" w:eastAsia="微软雅黑" w:cs="微软雅黑"/>
          <w:color w:val="231F20"/>
          <w:spacing w:val="-10"/>
          <w:sz w:val="27"/>
          <w:szCs w:val="27"/>
        </w:rPr>
        <w:t>Colleg</w:t>
      </w:r>
      <w:r>
        <w:rPr>
          <w:rFonts w:ascii="微软雅黑" w:hAnsi="微软雅黑" w:eastAsia="微软雅黑" w:cs="微软雅黑"/>
          <w:color w:val="231F20"/>
          <w:spacing w:val="-11"/>
          <w:sz w:val="27"/>
          <w:szCs w:val="27"/>
        </w:rPr>
        <w:t>es</w:t>
      </w:r>
      <w:r>
        <w:rPr>
          <w:rFonts w:ascii="微软雅黑" w:hAnsi="微软雅黑" w:eastAsia="微软雅黑" w:cs="微软雅黑"/>
          <w:color w:val="231F20"/>
          <w:spacing w:val="21"/>
          <w:sz w:val="27"/>
          <w:szCs w:val="27"/>
        </w:rPr>
        <w:t xml:space="preserve"> </w:t>
      </w:r>
      <w:r>
        <w:rPr>
          <w:rFonts w:ascii="微软雅黑" w:hAnsi="微软雅黑" w:eastAsia="微软雅黑" w:cs="微软雅黑"/>
          <w:color w:val="231F20"/>
          <w:spacing w:val="-11"/>
          <w:sz w:val="27"/>
          <w:szCs w:val="27"/>
        </w:rPr>
        <w:t>and</w:t>
      </w:r>
      <w:r>
        <w:rPr>
          <w:rFonts w:ascii="微软雅黑" w:hAnsi="微软雅黑" w:eastAsia="微软雅黑" w:cs="微软雅黑"/>
          <w:color w:val="231F20"/>
          <w:spacing w:val="18"/>
          <w:sz w:val="27"/>
          <w:szCs w:val="27"/>
        </w:rPr>
        <w:t xml:space="preserve"> </w:t>
      </w:r>
      <w:r>
        <w:rPr>
          <w:rFonts w:ascii="微软雅黑" w:hAnsi="微软雅黑" w:eastAsia="微软雅黑" w:cs="微软雅黑"/>
          <w:color w:val="231F20"/>
          <w:spacing w:val="-11"/>
          <w:sz w:val="27"/>
          <w:szCs w:val="27"/>
        </w:rPr>
        <w:t>Universities</w:t>
      </w:r>
    </w:p>
    <w:p>
      <w:pPr>
        <w:spacing w:before="113" w:line="159" w:lineRule="auto"/>
        <w:ind w:left="2083"/>
        <w:rPr>
          <w:rFonts w:ascii="微软雅黑" w:hAnsi="微软雅黑" w:eastAsia="微软雅黑" w:cs="微软雅黑"/>
          <w:sz w:val="22"/>
          <w:szCs w:val="22"/>
        </w:rPr>
      </w:pPr>
      <w:r>
        <w:rPr>
          <w:rFonts w:ascii="Arial" w:hAnsi="Arial" w:eastAsia="Arial" w:cs="Arial"/>
          <w:b/>
          <w:bCs/>
          <w:color w:val="231F20"/>
          <w:spacing w:val="-16"/>
          <w:sz w:val="22"/>
          <w:szCs w:val="22"/>
        </w:rPr>
        <w:t>—</w:t>
      </w:r>
      <w:r>
        <w:rPr>
          <w:rFonts w:ascii="微软雅黑" w:hAnsi="微软雅黑" w:eastAsia="微软雅黑" w:cs="微软雅黑"/>
          <w:color w:val="231F20"/>
          <w:spacing w:val="-238"/>
          <w:sz w:val="22"/>
          <w:szCs w:val="22"/>
        </w:rPr>
        <w:t>—</w:t>
      </w:r>
      <w:r>
        <w:rPr>
          <w:rFonts w:ascii="微软雅黑" w:hAnsi="微软雅黑" w:eastAsia="微软雅黑" w:cs="微软雅黑"/>
          <w:color w:val="231F20"/>
          <w:spacing w:val="-56"/>
          <w:sz w:val="22"/>
          <w:szCs w:val="22"/>
        </w:rPr>
        <w:t xml:space="preserve"> </w:t>
      </w:r>
      <w:r>
        <w:rPr>
          <w:rFonts w:ascii="微软雅黑" w:hAnsi="微软雅黑" w:eastAsia="微软雅黑" w:cs="微软雅黑"/>
          <w:color w:val="231F20"/>
          <w:spacing w:val="-16"/>
          <w:sz w:val="24"/>
          <w:szCs w:val="24"/>
        </w:rPr>
        <w:t>A</w:t>
      </w:r>
      <w:r>
        <w:rPr>
          <w:rFonts w:ascii="微软雅黑" w:hAnsi="微软雅黑" w:eastAsia="微软雅黑" w:cs="微软雅黑"/>
          <w:color w:val="231F20"/>
          <w:spacing w:val="17"/>
          <w:sz w:val="24"/>
          <w:szCs w:val="24"/>
        </w:rPr>
        <w:t xml:space="preserve"> </w:t>
      </w:r>
      <w:r>
        <w:rPr>
          <w:rFonts w:ascii="微软雅黑" w:hAnsi="微软雅黑" w:eastAsia="微软雅黑" w:cs="微软雅黑"/>
          <w:color w:val="231F20"/>
          <w:spacing w:val="-16"/>
          <w:sz w:val="24"/>
          <w:szCs w:val="24"/>
        </w:rPr>
        <w:t>case</w:t>
      </w:r>
      <w:r>
        <w:rPr>
          <w:rFonts w:ascii="微软雅黑" w:hAnsi="微软雅黑" w:eastAsia="微软雅黑" w:cs="微软雅黑"/>
          <w:color w:val="231F20"/>
          <w:spacing w:val="18"/>
          <w:sz w:val="24"/>
          <w:szCs w:val="24"/>
        </w:rPr>
        <w:t xml:space="preserve"> </w:t>
      </w:r>
      <w:r>
        <w:rPr>
          <w:rFonts w:ascii="微软雅黑" w:hAnsi="微软雅黑" w:eastAsia="微软雅黑" w:cs="微软雅黑"/>
          <w:color w:val="231F20"/>
          <w:spacing w:val="-16"/>
          <w:sz w:val="24"/>
          <w:szCs w:val="24"/>
        </w:rPr>
        <w:t>study</w:t>
      </w:r>
      <w:r>
        <w:rPr>
          <w:rFonts w:ascii="微软雅黑" w:hAnsi="微软雅黑" w:eastAsia="微软雅黑" w:cs="微软雅黑"/>
          <w:color w:val="231F20"/>
          <w:spacing w:val="15"/>
          <w:sz w:val="24"/>
          <w:szCs w:val="24"/>
        </w:rPr>
        <w:t xml:space="preserve"> </w:t>
      </w:r>
      <w:r>
        <w:rPr>
          <w:rFonts w:ascii="微软雅黑" w:hAnsi="微软雅黑" w:eastAsia="微软雅黑" w:cs="微软雅黑"/>
          <w:color w:val="231F20"/>
          <w:spacing w:val="-16"/>
          <w:sz w:val="24"/>
          <w:szCs w:val="24"/>
        </w:rPr>
        <w:t>on</w:t>
      </w:r>
      <w:r>
        <w:rPr>
          <w:rFonts w:ascii="微软雅黑" w:hAnsi="微软雅黑" w:eastAsia="微软雅黑" w:cs="微软雅黑"/>
          <w:color w:val="231F20"/>
          <w:spacing w:val="13"/>
          <w:sz w:val="24"/>
          <w:szCs w:val="24"/>
        </w:rPr>
        <w:t xml:space="preserve"> </w:t>
      </w:r>
      <w:r>
        <w:rPr>
          <w:rFonts w:ascii="微软雅黑" w:hAnsi="微软雅黑" w:eastAsia="微软雅黑" w:cs="微软雅黑"/>
          <w:color w:val="231F20"/>
          <w:spacing w:val="-16"/>
          <w:sz w:val="24"/>
          <w:szCs w:val="24"/>
        </w:rPr>
        <w:t>the</w:t>
      </w:r>
      <w:r>
        <w:rPr>
          <w:rFonts w:ascii="微软雅黑" w:hAnsi="微软雅黑" w:eastAsia="微软雅黑" w:cs="微软雅黑"/>
          <w:color w:val="231F20"/>
          <w:spacing w:val="-16"/>
          <w:sz w:val="22"/>
          <w:szCs w:val="22"/>
        </w:rPr>
        <w:t>“</w:t>
      </w:r>
      <w:r>
        <w:rPr>
          <w:rFonts w:ascii="微软雅黑" w:hAnsi="微软雅黑" w:eastAsia="微软雅黑" w:cs="微软雅黑"/>
          <w:color w:val="231F20"/>
          <w:spacing w:val="-16"/>
          <w:sz w:val="24"/>
          <w:szCs w:val="24"/>
        </w:rPr>
        <w:t>Third</w:t>
      </w:r>
      <w:r>
        <w:rPr>
          <w:rFonts w:ascii="微软雅黑" w:hAnsi="微软雅黑" w:eastAsia="微软雅黑" w:cs="微软雅黑"/>
          <w:color w:val="231F20"/>
          <w:spacing w:val="15"/>
          <w:sz w:val="24"/>
          <w:szCs w:val="24"/>
        </w:rPr>
        <w:t xml:space="preserve"> </w:t>
      </w:r>
      <w:r>
        <w:rPr>
          <w:rFonts w:ascii="微软雅黑" w:hAnsi="微软雅黑" w:eastAsia="微软雅黑" w:cs="微软雅黑"/>
          <w:color w:val="231F20"/>
          <w:spacing w:val="-16"/>
          <w:sz w:val="24"/>
          <w:szCs w:val="24"/>
        </w:rPr>
        <w:t>Party</w:t>
      </w:r>
      <w:r>
        <w:rPr>
          <w:rFonts w:ascii="微软雅黑" w:hAnsi="微软雅黑" w:eastAsia="微软雅黑" w:cs="微软雅黑"/>
          <w:color w:val="231F20"/>
          <w:spacing w:val="15"/>
          <w:sz w:val="24"/>
          <w:szCs w:val="24"/>
        </w:rPr>
        <w:t xml:space="preserve"> </w:t>
      </w:r>
      <w:r>
        <w:rPr>
          <w:rFonts w:ascii="微软雅黑" w:hAnsi="微软雅黑" w:eastAsia="微软雅黑" w:cs="微软雅黑"/>
          <w:color w:val="231F20"/>
          <w:spacing w:val="-16"/>
          <w:sz w:val="24"/>
          <w:szCs w:val="24"/>
        </w:rPr>
        <w:t>Evaluation</w:t>
      </w:r>
      <w:r>
        <w:rPr>
          <w:rFonts w:ascii="微软雅黑" w:hAnsi="微软雅黑" w:eastAsia="微软雅黑" w:cs="微软雅黑"/>
          <w:color w:val="231F20"/>
          <w:spacing w:val="16"/>
          <w:sz w:val="24"/>
          <w:szCs w:val="24"/>
        </w:rPr>
        <w:t xml:space="preserve"> </w:t>
      </w:r>
      <w:r>
        <w:rPr>
          <w:rFonts w:ascii="微软雅黑" w:hAnsi="微软雅黑" w:eastAsia="微软雅黑" w:cs="微软雅黑"/>
          <w:color w:val="231F20"/>
          <w:spacing w:val="-16"/>
          <w:sz w:val="24"/>
          <w:szCs w:val="24"/>
        </w:rPr>
        <w:t xml:space="preserve">of </w:t>
      </w:r>
      <w:r>
        <w:rPr>
          <w:rFonts w:ascii="微软雅黑" w:hAnsi="微软雅黑" w:eastAsia="微软雅黑" w:cs="微软雅黑"/>
          <w:color w:val="231F20"/>
          <w:spacing w:val="-17"/>
          <w:sz w:val="24"/>
          <w:szCs w:val="24"/>
        </w:rPr>
        <w:t>Higher</w:t>
      </w:r>
      <w:r>
        <w:rPr>
          <w:rFonts w:ascii="微软雅黑" w:hAnsi="微软雅黑" w:eastAsia="微软雅黑" w:cs="微软雅黑"/>
          <w:color w:val="231F20"/>
          <w:spacing w:val="13"/>
          <w:sz w:val="24"/>
          <w:szCs w:val="24"/>
        </w:rPr>
        <w:t xml:space="preserve"> </w:t>
      </w:r>
      <w:r>
        <w:rPr>
          <w:rFonts w:ascii="微软雅黑" w:hAnsi="微软雅黑" w:eastAsia="微软雅黑" w:cs="微软雅黑"/>
          <w:color w:val="231F20"/>
          <w:spacing w:val="-17"/>
          <w:sz w:val="24"/>
          <w:szCs w:val="24"/>
        </w:rPr>
        <w:t>Education</w:t>
      </w:r>
      <w:r>
        <w:rPr>
          <w:rFonts w:ascii="微软雅黑" w:hAnsi="微软雅黑" w:eastAsia="微软雅黑" w:cs="微软雅黑"/>
          <w:color w:val="231F20"/>
          <w:spacing w:val="-45"/>
          <w:sz w:val="24"/>
          <w:szCs w:val="24"/>
        </w:rPr>
        <w:t xml:space="preserve"> </w:t>
      </w:r>
      <w:r>
        <w:rPr>
          <w:rFonts w:ascii="微软雅黑" w:hAnsi="微软雅黑" w:eastAsia="微软雅黑" w:cs="微软雅黑"/>
          <w:color w:val="231F20"/>
          <w:spacing w:val="-17"/>
          <w:sz w:val="22"/>
          <w:szCs w:val="22"/>
        </w:rPr>
        <w:t>”</w:t>
      </w:r>
    </w:p>
    <w:p>
      <w:pPr>
        <w:spacing w:line="374" w:lineRule="auto"/>
        <w:rPr>
          <w:rFonts w:ascii="Arial"/>
          <w:sz w:val="21"/>
        </w:rPr>
      </w:pPr>
    </w:p>
    <w:p>
      <w:pPr>
        <w:spacing w:before="103" w:line="158" w:lineRule="auto"/>
        <w:ind w:left="5082"/>
        <w:rPr>
          <w:rFonts w:ascii="微软雅黑" w:hAnsi="微软雅黑" w:eastAsia="微软雅黑" w:cs="微软雅黑"/>
          <w:sz w:val="24"/>
          <w:szCs w:val="24"/>
        </w:rPr>
      </w:pPr>
      <w:r>
        <w:rPr>
          <w:rFonts w:ascii="微软雅黑" w:hAnsi="微软雅黑" w:eastAsia="微软雅黑" w:cs="微软雅黑"/>
          <w:color w:val="231F20"/>
          <w:spacing w:val="-12"/>
          <w:sz w:val="24"/>
          <w:szCs w:val="24"/>
        </w:rPr>
        <w:t>QI</w:t>
      </w:r>
      <w:r>
        <w:rPr>
          <w:rFonts w:ascii="微软雅黑" w:hAnsi="微软雅黑" w:eastAsia="微软雅黑" w:cs="微软雅黑"/>
          <w:color w:val="231F20"/>
          <w:spacing w:val="19"/>
          <w:sz w:val="24"/>
          <w:szCs w:val="24"/>
        </w:rPr>
        <w:t xml:space="preserve"> </w:t>
      </w:r>
      <w:r>
        <w:rPr>
          <w:rFonts w:ascii="微软雅黑" w:hAnsi="微软雅黑" w:eastAsia="微软雅黑" w:cs="微软雅黑"/>
          <w:color w:val="231F20"/>
          <w:spacing w:val="-12"/>
          <w:sz w:val="24"/>
          <w:szCs w:val="24"/>
        </w:rPr>
        <w:t>Yanjie</w:t>
      </w:r>
    </w:p>
    <w:p>
      <w:pPr>
        <w:spacing w:before="55" w:line="167" w:lineRule="auto"/>
        <w:ind w:left="3830"/>
        <w:rPr>
          <w:rFonts w:ascii="微软雅黑" w:hAnsi="微软雅黑" w:eastAsia="微软雅黑" w:cs="微软雅黑"/>
          <w:sz w:val="19"/>
          <w:szCs w:val="19"/>
        </w:rPr>
      </w:pPr>
      <w:r>
        <w:rPr>
          <w:rFonts w:ascii="微软雅黑" w:hAnsi="微软雅黑" w:eastAsia="微软雅黑" w:cs="微软雅黑"/>
          <w:color w:val="231F20"/>
          <w:spacing w:val="-11"/>
          <w:sz w:val="19"/>
          <w:szCs w:val="19"/>
        </w:rPr>
        <w:t>（</w:t>
      </w:r>
      <w:r>
        <w:rPr>
          <w:rFonts w:ascii="微软雅黑" w:hAnsi="微软雅黑" w:eastAsia="微软雅黑" w:cs="微软雅黑"/>
          <w:color w:val="231F20"/>
          <w:spacing w:val="-11"/>
          <w:sz w:val="20"/>
          <w:szCs w:val="20"/>
        </w:rPr>
        <w:t>Xiamen</w:t>
      </w:r>
      <w:r>
        <w:rPr>
          <w:rFonts w:ascii="微软雅黑" w:hAnsi="微软雅黑" w:eastAsia="微软雅黑" w:cs="微软雅黑"/>
          <w:color w:val="231F20"/>
          <w:spacing w:val="29"/>
          <w:w w:val="101"/>
          <w:sz w:val="20"/>
          <w:szCs w:val="20"/>
        </w:rPr>
        <w:t xml:space="preserve"> </w:t>
      </w:r>
      <w:r>
        <w:rPr>
          <w:rFonts w:ascii="微软雅黑" w:hAnsi="微软雅黑" w:eastAsia="微软雅黑" w:cs="微软雅黑"/>
          <w:color w:val="231F20"/>
          <w:spacing w:val="-11"/>
          <w:sz w:val="20"/>
          <w:szCs w:val="20"/>
        </w:rPr>
        <w:t>University, Xiam</w:t>
      </w:r>
      <w:r>
        <w:rPr>
          <w:rFonts w:ascii="微软雅黑" w:hAnsi="微软雅黑" w:eastAsia="微软雅黑" w:cs="微软雅黑"/>
          <w:color w:val="231F20"/>
          <w:spacing w:val="-12"/>
          <w:sz w:val="20"/>
          <w:szCs w:val="20"/>
        </w:rPr>
        <w:t>en</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2"/>
          <w:sz w:val="20"/>
          <w:szCs w:val="20"/>
        </w:rPr>
        <w:t>361005</w:t>
      </w:r>
      <w:r>
        <w:rPr>
          <w:rFonts w:ascii="微软雅黑" w:hAnsi="微软雅黑" w:eastAsia="微软雅黑" w:cs="微软雅黑"/>
          <w:color w:val="231F20"/>
          <w:spacing w:val="-12"/>
          <w:sz w:val="19"/>
          <w:szCs w:val="19"/>
        </w:rPr>
        <w:t>）</w:t>
      </w:r>
    </w:p>
    <w:p>
      <w:pPr>
        <w:spacing w:line="287" w:lineRule="auto"/>
        <w:rPr>
          <w:rFonts w:ascii="Arial"/>
          <w:sz w:val="21"/>
        </w:rPr>
      </w:pPr>
    </w:p>
    <w:p>
      <w:pPr>
        <w:spacing w:before="86" w:line="210" w:lineRule="auto"/>
        <w:ind w:left="712" w:right="10" w:firstLine="445"/>
        <w:jc w:val="both"/>
        <w:rPr>
          <w:rFonts w:ascii="微软雅黑" w:hAnsi="微软雅黑" w:eastAsia="微软雅黑" w:cs="微软雅黑"/>
          <w:sz w:val="20"/>
          <w:szCs w:val="20"/>
        </w:rPr>
      </w:pPr>
      <w:r>
        <w:rPr>
          <w:rFonts w:ascii="微软雅黑" w:hAnsi="微软雅黑" w:eastAsia="微软雅黑" w:cs="微软雅黑"/>
          <w:color w:val="231F20"/>
          <w:spacing w:val="-12"/>
          <w:sz w:val="20"/>
          <w:szCs w:val="20"/>
        </w:rPr>
        <w:t>Abstract:  Internal  quality  assurance  system  is  not  only  a</w:t>
      </w:r>
      <w:r>
        <w:rPr>
          <w:rFonts w:ascii="微软雅黑" w:hAnsi="微软雅黑" w:eastAsia="微软雅黑" w:cs="微软雅黑"/>
          <w:color w:val="231F20"/>
          <w:spacing w:val="-13"/>
          <w:sz w:val="20"/>
          <w:szCs w:val="20"/>
        </w:rPr>
        <w:t xml:space="preserve">  process  of  institutional  construction,  but  also  a</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3"/>
          <w:sz w:val="20"/>
          <w:szCs w:val="20"/>
        </w:rPr>
        <w:t>process   of   cultura</w:t>
      </w:r>
      <w:r>
        <w:rPr>
          <w:rFonts w:ascii="微软雅黑" w:hAnsi="微软雅黑" w:eastAsia="微软雅黑" w:cs="微软雅黑"/>
          <w:color w:val="231F20"/>
          <w:spacing w:val="-14"/>
          <w:sz w:val="20"/>
          <w:szCs w:val="20"/>
        </w:rPr>
        <w:t>l   construction.   In   this   paper,   through   an</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4"/>
          <w:sz w:val="20"/>
          <w:szCs w:val="20"/>
        </w:rPr>
        <w:t>empirical</w:t>
      </w:r>
      <w:r>
        <w:rPr>
          <w:rFonts w:ascii="微软雅黑" w:hAnsi="微软雅黑" w:eastAsia="微软雅黑" w:cs="微软雅黑"/>
          <w:color w:val="231F20"/>
          <w:spacing w:val="19"/>
          <w:w w:val="101"/>
          <w:sz w:val="20"/>
          <w:szCs w:val="20"/>
        </w:rPr>
        <w:t xml:space="preserve">  </w:t>
      </w:r>
      <w:r>
        <w:rPr>
          <w:rFonts w:ascii="微软雅黑" w:hAnsi="微软雅黑" w:eastAsia="微软雅黑" w:cs="微软雅黑"/>
          <w:color w:val="231F20"/>
          <w:spacing w:val="-14"/>
          <w:sz w:val="20"/>
          <w:szCs w:val="20"/>
        </w:rPr>
        <w:t>research</w:t>
      </w:r>
      <w:r>
        <w:rPr>
          <w:rFonts w:ascii="微软雅黑" w:hAnsi="微软雅黑" w:eastAsia="微软雅黑" w:cs="微软雅黑"/>
          <w:color w:val="231F20"/>
          <w:spacing w:val="20"/>
          <w:w w:val="101"/>
          <w:sz w:val="20"/>
          <w:szCs w:val="20"/>
        </w:rPr>
        <w:t xml:space="preserve">  </w:t>
      </w:r>
      <w:r>
        <w:rPr>
          <w:rFonts w:ascii="微软雅黑" w:hAnsi="微软雅黑" w:eastAsia="微软雅黑" w:cs="微软雅黑"/>
          <w:color w:val="231F20"/>
          <w:spacing w:val="-14"/>
          <w:sz w:val="20"/>
          <w:szCs w:val="20"/>
        </w:rPr>
        <w:t>on</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14"/>
          <w:sz w:val="20"/>
          <w:szCs w:val="20"/>
        </w:rPr>
        <w:t>the</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4"/>
          <w:sz w:val="20"/>
          <w:szCs w:val="20"/>
        </w:rPr>
        <w:t>construction</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4"/>
          <w:sz w:val="20"/>
          <w:szCs w:val="20"/>
        </w:rPr>
        <w:t>and</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implementation</w:t>
      </w:r>
      <w:r>
        <w:rPr>
          <w:rFonts w:ascii="微软雅黑" w:hAnsi="微软雅黑" w:eastAsia="微软雅黑" w:cs="微软雅黑"/>
          <w:color w:val="231F20"/>
          <w:spacing w:val="26"/>
          <w:w w:val="101"/>
          <w:sz w:val="20"/>
          <w:szCs w:val="20"/>
        </w:rPr>
        <w:t xml:space="preserve"> </w:t>
      </w:r>
      <w:r>
        <w:rPr>
          <w:rFonts w:ascii="微软雅黑" w:hAnsi="微软雅黑" w:eastAsia="微软雅黑" w:cs="微软雅黑"/>
          <w:color w:val="231F20"/>
          <w:spacing w:val="-14"/>
          <w:sz w:val="20"/>
          <w:szCs w:val="20"/>
        </w:rPr>
        <w:t>of</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4"/>
          <w:sz w:val="20"/>
          <w:szCs w:val="20"/>
        </w:rPr>
        <w:t>the</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14"/>
          <w:sz w:val="20"/>
          <w:szCs w:val="20"/>
        </w:rPr>
        <w:t>quality</w:t>
      </w:r>
      <w:r>
        <w:rPr>
          <w:rFonts w:ascii="微软雅黑" w:hAnsi="微软雅黑" w:eastAsia="微软雅黑" w:cs="微软雅黑"/>
          <w:color w:val="231F20"/>
          <w:spacing w:val="27"/>
          <w:w w:val="101"/>
          <w:sz w:val="20"/>
          <w:szCs w:val="20"/>
        </w:rPr>
        <w:t xml:space="preserve"> </w:t>
      </w:r>
      <w:r>
        <w:rPr>
          <w:rFonts w:ascii="微软雅黑" w:hAnsi="微软雅黑" w:eastAsia="微软雅黑" w:cs="微软雅黑"/>
          <w:color w:val="231F20"/>
          <w:spacing w:val="-14"/>
          <w:sz w:val="20"/>
          <w:szCs w:val="20"/>
        </w:rPr>
        <w:t>assurance</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4"/>
          <w:sz w:val="20"/>
          <w:szCs w:val="20"/>
        </w:rPr>
        <w:t>system</w:t>
      </w:r>
      <w:r>
        <w:rPr>
          <w:rFonts w:ascii="微软雅黑" w:hAnsi="微软雅黑" w:eastAsia="微软雅黑" w:cs="微软雅黑"/>
          <w:color w:val="231F20"/>
          <w:spacing w:val="23"/>
          <w:w w:val="101"/>
          <w:sz w:val="20"/>
          <w:szCs w:val="20"/>
        </w:rPr>
        <w:t xml:space="preserve"> </w:t>
      </w:r>
      <w:r>
        <w:rPr>
          <w:rFonts w:ascii="微软雅黑" w:hAnsi="微软雅黑" w:eastAsia="微软雅黑" w:cs="微软雅黑"/>
          <w:color w:val="231F20"/>
          <w:spacing w:val="-14"/>
          <w:sz w:val="20"/>
          <w:szCs w:val="20"/>
        </w:rPr>
        <w:t>fr</w:t>
      </w:r>
      <w:r>
        <w:rPr>
          <w:rFonts w:ascii="微软雅黑" w:hAnsi="微软雅黑" w:eastAsia="微软雅黑" w:cs="微软雅黑"/>
          <w:color w:val="231F20"/>
          <w:spacing w:val="-15"/>
          <w:sz w:val="20"/>
          <w:szCs w:val="20"/>
        </w:rPr>
        <w:t>om</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15"/>
          <w:sz w:val="20"/>
          <w:szCs w:val="20"/>
        </w:rPr>
        <w:t>the</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5"/>
          <w:sz w:val="20"/>
          <w:szCs w:val="20"/>
        </w:rPr>
        <w:t>institutional</w:t>
      </w:r>
      <w:r>
        <w:rPr>
          <w:rFonts w:ascii="微软雅黑" w:hAnsi="微软雅黑" w:eastAsia="微软雅黑" w:cs="微软雅黑"/>
          <w:color w:val="231F20"/>
          <w:spacing w:val="26"/>
          <w:w w:val="101"/>
          <w:sz w:val="20"/>
          <w:szCs w:val="20"/>
        </w:rPr>
        <w:t xml:space="preserve"> </w:t>
      </w:r>
      <w:r>
        <w:rPr>
          <w:rFonts w:ascii="微软雅黑" w:hAnsi="微软雅黑" w:eastAsia="微软雅黑" w:cs="微软雅黑"/>
          <w:color w:val="231F20"/>
          <w:spacing w:val="-15"/>
          <w:sz w:val="20"/>
          <w:szCs w:val="20"/>
        </w:rPr>
        <w:t>level</w:t>
      </w:r>
      <w:r>
        <w:rPr>
          <w:rFonts w:ascii="微软雅黑" w:hAnsi="微软雅黑" w:eastAsia="微软雅黑" w:cs="微软雅黑"/>
          <w:color w:val="231F20"/>
          <w:spacing w:val="29"/>
          <w:w w:val="101"/>
          <w:sz w:val="20"/>
          <w:szCs w:val="20"/>
        </w:rPr>
        <w:t xml:space="preserve"> </w:t>
      </w:r>
      <w:r>
        <w:rPr>
          <w:rFonts w:ascii="微软雅黑" w:hAnsi="微软雅黑" w:eastAsia="微软雅黑" w:cs="微软雅黑"/>
          <w:color w:val="231F20"/>
          <w:spacing w:val="-15"/>
          <w:sz w:val="20"/>
          <w:szCs w:val="20"/>
        </w:rPr>
        <w:t>and</w:t>
      </w:r>
      <w:r>
        <w:rPr>
          <w:rFonts w:ascii="微软雅黑" w:hAnsi="微软雅黑" w:eastAsia="微软雅黑" w:cs="微软雅黑"/>
          <w:color w:val="231F20"/>
          <w:spacing w:val="25"/>
          <w:w w:val="101"/>
          <w:sz w:val="20"/>
          <w:szCs w:val="20"/>
        </w:rPr>
        <w:t xml:space="preserve"> </w:t>
      </w:r>
      <w:r>
        <w:rPr>
          <w:rFonts w:ascii="微软雅黑" w:hAnsi="微软雅黑" w:eastAsia="微软雅黑" w:cs="微软雅黑"/>
          <w:color w:val="231F20"/>
          <w:spacing w:val="-15"/>
          <w:sz w:val="20"/>
          <w:szCs w:val="20"/>
        </w:rPr>
        <w:t>the</w:t>
      </w:r>
      <w:r>
        <w:rPr>
          <w:rFonts w:ascii="微软雅黑" w:hAnsi="微软雅黑" w:eastAsia="微软雅黑" w:cs="微软雅黑"/>
          <w:color w:val="231F20"/>
          <w:spacing w:val="29"/>
          <w:w w:val="101"/>
          <w:sz w:val="20"/>
          <w:szCs w:val="20"/>
        </w:rPr>
        <w:t xml:space="preserve"> </w:t>
      </w:r>
      <w:r>
        <w:rPr>
          <w:rFonts w:ascii="微软雅黑" w:hAnsi="微软雅黑" w:eastAsia="微软雅黑" w:cs="微软雅黑"/>
          <w:color w:val="231F20"/>
          <w:spacing w:val="-15"/>
          <w:sz w:val="20"/>
          <w:szCs w:val="20"/>
        </w:rPr>
        <w:t>cultural</w:t>
      </w:r>
      <w:r>
        <w:rPr>
          <w:rFonts w:ascii="微软雅黑" w:hAnsi="微软雅黑" w:eastAsia="微软雅黑" w:cs="微软雅黑"/>
          <w:color w:val="231F20"/>
          <w:spacing w:val="26"/>
          <w:w w:val="101"/>
          <w:sz w:val="20"/>
          <w:szCs w:val="20"/>
        </w:rPr>
        <w:t xml:space="preserve"> </w:t>
      </w:r>
      <w:r>
        <w:rPr>
          <w:rFonts w:ascii="微软雅黑" w:hAnsi="微软雅黑" w:eastAsia="微软雅黑" w:cs="微软雅黑"/>
          <w:color w:val="231F20"/>
          <w:spacing w:val="-15"/>
          <w:sz w:val="20"/>
          <w:szCs w:val="20"/>
        </w:rPr>
        <w:t>level</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5"/>
          <w:sz w:val="20"/>
          <w:szCs w:val="20"/>
        </w:rPr>
        <w:t>is</w:t>
      </w:r>
      <w:r>
        <w:rPr>
          <w:rFonts w:ascii="微软雅黑" w:hAnsi="微软雅黑" w:eastAsia="微软雅黑" w:cs="微软雅黑"/>
          <w:color w:val="231F20"/>
          <w:spacing w:val="30"/>
          <w:w w:val="101"/>
          <w:sz w:val="20"/>
          <w:szCs w:val="20"/>
        </w:rPr>
        <w:t xml:space="preserve"> </w:t>
      </w:r>
      <w:r>
        <w:rPr>
          <w:rFonts w:ascii="微软雅黑" w:hAnsi="微软雅黑" w:eastAsia="微软雅黑" w:cs="微软雅黑"/>
          <w:color w:val="231F20"/>
          <w:spacing w:val="-15"/>
          <w:sz w:val="20"/>
          <w:szCs w:val="20"/>
        </w:rPr>
        <w:t>S</w:t>
      </w:r>
      <w:r>
        <w:rPr>
          <w:rFonts w:ascii="微软雅黑" w:hAnsi="微软雅黑" w:eastAsia="微软雅黑" w:cs="微软雅黑"/>
          <w:color w:val="231F20"/>
          <w:spacing w:val="29"/>
          <w:w w:val="101"/>
          <w:sz w:val="20"/>
          <w:szCs w:val="20"/>
        </w:rPr>
        <w:t xml:space="preserve"> </w:t>
      </w:r>
      <w:r>
        <w:rPr>
          <w:rFonts w:ascii="微软雅黑" w:hAnsi="微软雅黑" w:eastAsia="微软雅黑" w:cs="微软雅黑"/>
          <w:color w:val="231F20"/>
          <w:spacing w:val="-15"/>
          <w:sz w:val="20"/>
          <w:szCs w:val="20"/>
        </w:rPr>
        <w:t>University,</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the  auth</w:t>
      </w:r>
      <w:r>
        <w:rPr>
          <w:rFonts w:ascii="微软雅黑" w:hAnsi="微软雅黑" w:eastAsia="微软雅黑" w:cs="微软雅黑"/>
          <w:color w:val="231F20"/>
          <w:spacing w:val="-16"/>
          <w:sz w:val="20"/>
          <w:szCs w:val="20"/>
        </w:rPr>
        <w:t>ors  have  found  that  effective  internal</w:t>
      </w:r>
      <w:r>
        <w:rPr>
          <w:rFonts w:ascii="微软雅黑" w:hAnsi="微软雅黑" w:eastAsia="微软雅黑" w:cs="微软雅黑"/>
          <w:color w:val="231F20"/>
          <w:spacing w:val="49"/>
          <w:sz w:val="20"/>
          <w:szCs w:val="20"/>
        </w:rPr>
        <w:t xml:space="preserve"> </w:t>
      </w:r>
      <w:r>
        <w:rPr>
          <w:rFonts w:ascii="微软雅黑" w:hAnsi="微软雅黑" w:eastAsia="微软雅黑" w:cs="微软雅黑"/>
          <w:color w:val="231F20"/>
          <w:spacing w:val="-16"/>
          <w:sz w:val="20"/>
          <w:szCs w:val="20"/>
        </w:rPr>
        <w:t>quality</w:t>
      </w:r>
      <w:r>
        <w:rPr>
          <w:rFonts w:ascii="微软雅黑" w:hAnsi="微软雅黑" w:eastAsia="微软雅黑" w:cs="微软雅黑"/>
          <w:color w:val="231F20"/>
          <w:spacing w:val="48"/>
          <w:w w:val="101"/>
          <w:sz w:val="20"/>
          <w:szCs w:val="20"/>
        </w:rPr>
        <w:t xml:space="preserve"> </w:t>
      </w:r>
      <w:r>
        <w:rPr>
          <w:rFonts w:ascii="微软雅黑" w:hAnsi="微软雅黑" w:eastAsia="微软雅黑" w:cs="微软雅黑"/>
          <w:color w:val="231F20"/>
          <w:spacing w:val="-16"/>
          <w:sz w:val="20"/>
          <w:szCs w:val="20"/>
        </w:rPr>
        <w:t>assurance</w:t>
      </w:r>
      <w:r>
        <w:rPr>
          <w:rFonts w:ascii="微软雅黑" w:hAnsi="微软雅黑" w:eastAsia="微软雅黑" w:cs="微软雅黑"/>
          <w:color w:val="231F20"/>
          <w:spacing w:val="52"/>
          <w:w w:val="101"/>
          <w:sz w:val="20"/>
          <w:szCs w:val="20"/>
        </w:rPr>
        <w:t xml:space="preserve"> </w:t>
      </w:r>
      <w:r>
        <w:rPr>
          <w:rFonts w:ascii="微软雅黑" w:hAnsi="微软雅黑" w:eastAsia="微软雅黑" w:cs="微软雅黑"/>
          <w:color w:val="231F20"/>
          <w:spacing w:val="-16"/>
          <w:sz w:val="20"/>
          <w:szCs w:val="20"/>
        </w:rPr>
        <w:t>system</w:t>
      </w:r>
      <w:r>
        <w:rPr>
          <w:rFonts w:ascii="微软雅黑" w:hAnsi="微软雅黑" w:eastAsia="微软雅黑" w:cs="微软雅黑"/>
          <w:color w:val="231F20"/>
          <w:spacing w:val="50"/>
          <w:w w:val="101"/>
          <w:sz w:val="20"/>
          <w:szCs w:val="20"/>
        </w:rPr>
        <w:t xml:space="preserve"> </w:t>
      </w:r>
      <w:r>
        <w:rPr>
          <w:rFonts w:ascii="微软雅黑" w:hAnsi="微软雅黑" w:eastAsia="微软雅黑" w:cs="微软雅黑"/>
          <w:color w:val="231F20"/>
          <w:spacing w:val="-16"/>
          <w:sz w:val="20"/>
          <w:szCs w:val="20"/>
        </w:rPr>
        <w:t>construction</w:t>
      </w:r>
      <w:r>
        <w:rPr>
          <w:rFonts w:ascii="微软雅黑" w:hAnsi="微软雅黑" w:eastAsia="微软雅黑" w:cs="微软雅黑"/>
          <w:color w:val="231F20"/>
          <w:spacing w:val="48"/>
          <w:sz w:val="20"/>
          <w:szCs w:val="20"/>
        </w:rPr>
        <w:t xml:space="preserve"> </w:t>
      </w:r>
      <w:r>
        <w:rPr>
          <w:rFonts w:ascii="微软雅黑" w:hAnsi="微软雅黑" w:eastAsia="微软雅黑" w:cs="微软雅黑"/>
          <w:color w:val="231F20"/>
          <w:spacing w:val="-16"/>
          <w:sz w:val="20"/>
          <w:szCs w:val="20"/>
        </w:rPr>
        <w:t>promote</w:t>
      </w:r>
      <w:r>
        <w:rPr>
          <w:rFonts w:ascii="微软雅黑" w:hAnsi="微软雅黑" w:eastAsia="微软雅黑" w:cs="微软雅黑"/>
          <w:color w:val="231F20"/>
          <w:spacing w:val="47"/>
          <w:w w:val="101"/>
          <w:sz w:val="20"/>
          <w:szCs w:val="20"/>
        </w:rPr>
        <w:t xml:space="preserve"> </w:t>
      </w:r>
      <w:r>
        <w:rPr>
          <w:rFonts w:ascii="微软雅黑" w:hAnsi="微软雅黑" w:eastAsia="微软雅黑" w:cs="微软雅黑"/>
          <w:color w:val="231F20"/>
          <w:spacing w:val="-16"/>
          <w:sz w:val="20"/>
          <w:szCs w:val="20"/>
        </w:rPr>
        <w:t>the</w:t>
      </w:r>
      <w:r>
        <w:rPr>
          <w:rFonts w:ascii="微软雅黑" w:hAnsi="微软雅黑" w:eastAsia="微软雅黑" w:cs="微软雅黑"/>
          <w:color w:val="231F20"/>
          <w:spacing w:val="50"/>
          <w:sz w:val="20"/>
          <w:szCs w:val="20"/>
        </w:rPr>
        <w:t xml:space="preserve"> </w:t>
      </w:r>
      <w:r>
        <w:rPr>
          <w:rFonts w:ascii="微软雅黑" w:hAnsi="微软雅黑" w:eastAsia="微软雅黑" w:cs="微软雅黑"/>
          <w:color w:val="231F20"/>
          <w:spacing w:val="-16"/>
          <w:sz w:val="20"/>
          <w:szCs w:val="20"/>
        </w:rPr>
        <w:t>gen</w:t>
      </w:r>
      <w:r>
        <w:rPr>
          <w:rFonts w:ascii="微软雅黑" w:hAnsi="微软雅黑" w:eastAsia="微软雅黑" w:cs="微软雅黑"/>
          <w:color w:val="231F20"/>
          <w:spacing w:val="-17"/>
          <w:sz w:val="20"/>
          <w:szCs w:val="20"/>
        </w:rPr>
        <w:t>eration</w:t>
      </w:r>
      <w:r>
        <w:rPr>
          <w:rFonts w:ascii="微软雅黑" w:hAnsi="微软雅黑" w:eastAsia="微软雅黑" w:cs="微软雅黑"/>
          <w:color w:val="231F20"/>
          <w:spacing w:val="49"/>
          <w:w w:val="101"/>
          <w:sz w:val="20"/>
          <w:szCs w:val="20"/>
        </w:rPr>
        <w:t xml:space="preserve"> </w:t>
      </w:r>
      <w:r>
        <w:rPr>
          <w:rFonts w:ascii="微软雅黑" w:hAnsi="微软雅黑" w:eastAsia="微软雅黑" w:cs="微软雅黑"/>
          <w:color w:val="231F20"/>
          <w:spacing w:val="-17"/>
          <w:sz w:val="20"/>
          <w:szCs w:val="20"/>
        </w:rPr>
        <w:t>o</w:t>
      </w:r>
      <w:r>
        <w:rPr>
          <w:rFonts w:ascii="微软雅黑" w:hAnsi="微软雅黑" w:eastAsia="微软雅黑" w:cs="微软雅黑"/>
          <w:color w:val="231F20"/>
          <w:spacing w:val="-8"/>
          <w:sz w:val="20"/>
          <w:szCs w:val="20"/>
        </w:rPr>
        <w:t>f</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quality</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14"/>
          <w:sz w:val="20"/>
          <w:szCs w:val="20"/>
        </w:rPr>
        <w:t>culture,</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14"/>
          <w:sz w:val="20"/>
          <w:szCs w:val="20"/>
        </w:rPr>
        <w:t>internal</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14"/>
          <w:sz w:val="20"/>
          <w:szCs w:val="20"/>
        </w:rPr>
        <w:t>autonomy</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14"/>
          <w:sz w:val="20"/>
          <w:szCs w:val="20"/>
        </w:rPr>
        <w:t>affects</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14"/>
          <w:sz w:val="20"/>
          <w:szCs w:val="20"/>
        </w:rPr>
        <w:t>t</w:t>
      </w:r>
      <w:r>
        <w:rPr>
          <w:rFonts w:ascii="微软雅黑" w:hAnsi="微软雅黑" w:eastAsia="微软雅黑" w:cs="微软雅黑"/>
          <w:color w:val="231F20"/>
          <w:spacing w:val="-15"/>
          <w:sz w:val="20"/>
          <w:szCs w:val="20"/>
        </w:rPr>
        <w:t>he</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15"/>
          <w:sz w:val="20"/>
          <w:szCs w:val="20"/>
        </w:rPr>
        <w:t>construction</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15"/>
          <w:sz w:val="20"/>
          <w:szCs w:val="20"/>
        </w:rPr>
        <w:t>of  quality   culture,</w:t>
      </w:r>
      <w:r>
        <w:rPr>
          <w:rFonts w:ascii="微软雅黑" w:hAnsi="微软雅黑" w:eastAsia="微软雅黑" w:cs="微软雅黑"/>
          <w:color w:val="231F20"/>
          <w:spacing w:val="5"/>
          <w:sz w:val="20"/>
          <w:szCs w:val="20"/>
        </w:rPr>
        <w:t xml:space="preserve">  </w:t>
      </w:r>
      <w:r>
        <w:rPr>
          <w:rFonts w:ascii="微软雅黑" w:hAnsi="微软雅黑" w:eastAsia="微软雅黑" w:cs="微软雅黑"/>
          <w:color w:val="231F20"/>
          <w:spacing w:val="-15"/>
          <w:sz w:val="20"/>
          <w:szCs w:val="20"/>
        </w:rPr>
        <w:t>the</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15"/>
          <w:sz w:val="20"/>
          <w:szCs w:val="20"/>
        </w:rPr>
        <w:t>implementation</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15"/>
          <w:sz w:val="20"/>
          <w:szCs w:val="20"/>
        </w:rPr>
        <w:t>of  quality</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3"/>
          <w:sz w:val="20"/>
          <w:szCs w:val="20"/>
        </w:rPr>
        <w:t>assurance</w:t>
      </w:r>
      <w:r>
        <w:rPr>
          <w:rFonts w:ascii="微软雅黑" w:hAnsi="微软雅黑" w:eastAsia="微软雅黑" w:cs="微软雅黑"/>
          <w:color w:val="231F20"/>
          <w:spacing w:val="39"/>
          <w:w w:val="101"/>
          <w:sz w:val="20"/>
          <w:szCs w:val="20"/>
        </w:rPr>
        <w:t xml:space="preserve"> </w:t>
      </w:r>
      <w:r>
        <w:rPr>
          <w:rFonts w:ascii="微软雅黑" w:hAnsi="微软雅黑" w:eastAsia="微软雅黑" w:cs="微软雅黑"/>
          <w:color w:val="231F20"/>
          <w:spacing w:val="-13"/>
          <w:sz w:val="20"/>
          <w:szCs w:val="20"/>
        </w:rPr>
        <w:t>tools</w:t>
      </w:r>
      <w:r>
        <w:rPr>
          <w:rFonts w:ascii="微软雅黑" w:hAnsi="微软雅黑" w:eastAsia="微软雅黑" w:cs="微软雅黑"/>
          <w:color w:val="231F20"/>
          <w:spacing w:val="39"/>
          <w:w w:val="101"/>
          <w:sz w:val="20"/>
          <w:szCs w:val="20"/>
        </w:rPr>
        <w:t xml:space="preserve"> </w:t>
      </w:r>
      <w:r>
        <w:rPr>
          <w:rFonts w:ascii="微软雅黑" w:hAnsi="微软雅黑" w:eastAsia="微软雅黑" w:cs="微软雅黑"/>
          <w:color w:val="231F20"/>
          <w:spacing w:val="-13"/>
          <w:sz w:val="20"/>
          <w:szCs w:val="20"/>
        </w:rPr>
        <w:t>to  ga</w:t>
      </w:r>
      <w:r>
        <w:rPr>
          <w:rFonts w:ascii="微软雅黑" w:hAnsi="微软雅黑" w:eastAsia="微软雅黑" w:cs="微软雅黑"/>
          <w:color w:val="231F20"/>
          <w:spacing w:val="-14"/>
          <w:sz w:val="20"/>
          <w:szCs w:val="20"/>
        </w:rPr>
        <w:t>ther  quality  culture  and  the  quality  assurance  model  reflects  the  characteristics  of  quality</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culture.</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7"/>
          <w:sz w:val="20"/>
          <w:szCs w:val="20"/>
        </w:rPr>
        <w:t>It</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7"/>
          <w:sz w:val="20"/>
          <w:szCs w:val="20"/>
        </w:rPr>
        <w:t>is</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7"/>
          <w:sz w:val="20"/>
          <w:szCs w:val="20"/>
        </w:rPr>
        <w:t>suggested</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17"/>
          <w:sz w:val="20"/>
          <w:szCs w:val="20"/>
        </w:rPr>
        <w:t>that</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17"/>
          <w:sz w:val="20"/>
          <w:szCs w:val="20"/>
        </w:rPr>
        <w:t>the</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17"/>
          <w:sz w:val="20"/>
          <w:szCs w:val="20"/>
        </w:rPr>
        <w:t>faculty</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7"/>
          <w:sz w:val="20"/>
          <w:szCs w:val="20"/>
        </w:rPr>
        <w:t>evaluation</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7"/>
          <w:sz w:val="20"/>
          <w:szCs w:val="20"/>
        </w:rPr>
        <w:t>system</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7"/>
          <w:sz w:val="20"/>
          <w:szCs w:val="20"/>
        </w:rPr>
        <w:t>should</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17"/>
          <w:sz w:val="20"/>
          <w:szCs w:val="20"/>
        </w:rPr>
        <w:t>be</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7"/>
          <w:sz w:val="20"/>
          <w:szCs w:val="20"/>
        </w:rPr>
        <w:t>improved</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7"/>
          <w:sz w:val="20"/>
          <w:szCs w:val="20"/>
        </w:rPr>
        <w:t>in</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17"/>
          <w:sz w:val="20"/>
          <w:szCs w:val="20"/>
        </w:rPr>
        <w:t>the</w:t>
      </w:r>
      <w:r>
        <w:rPr>
          <w:rFonts w:ascii="微软雅黑" w:hAnsi="微软雅黑" w:eastAsia="微软雅黑" w:cs="微软雅黑"/>
          <w:color w:val="231F20"/>
          <w:spacing w:val="25"/>
          <w:w w:val="101"/>
          <w:sz w:val="20"/>
          <w:szCs w:val="20"/>
        </w:rPr>
        <w:t xml:space="preserve"> </w:t>
      </w:r>
      <w:r>
        <w:rPr>
          <w:rFonts w:ascii="微软雅黑" w:hAnsi="微软雅黑" w:eastAsia="微软雅黑" w:cs="微软雅黑"/>
          <w:color w:val="231F20"/>
          <w:spacing w:val="-17"/>
          <w:sz w:val="20"/>
          <w:szCs w:val="20"/>
        </w:rPr>
        <w:t>future</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17"/>
          <w:sz w:val="20"/>
          <w:szCs w:val="20"/>
        </w:rPr>
        <w:t>to</w:t>
      </w:r>
      <w:r>
        <w:rPr>
          <w:rFonts w:ascii="微软雅黑" w:hAnsi="微软雅黑" w:eastAsia="微软雅黑" w:cs="微软雅黑"/>
          <w:color w:val="231F20"/>
          <w:spacing w:val="25"/>
          <w:w w:val="101"/>
          <w:sz w:val="20"/>
          <w:szCs w:val="20"/>
        </w:rPr>
        <w:t xml:space="preserve"> </w:t>
      </w:r>
      <w:r>
        <w:rPr>
          <w:rFonts w:ascii="微软雅黑" w:hAnsi="微软雅黑" w:eastAsia="微软雅黑" w:cs="微软雅黑"/>
          <w:color w:val="231F20"/>
          <w:spacing w:val="-17"/>
          <w:sz w:val="20"/>
          <w:szCs w:val="20"/>
        </w:rPr>
        <w:t>formulate</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17"/>
          <w:sz w:val="20"/>
          <w:szCs w:val="20"/>
        </w:rPr>
        <w:t>th</w:t>
      </w:r>
      <w:r>
        <w:rPr>
          <w:rFonts w:ascii="微软雅黑" w:hAnsi="微软雅黑" w:eastAsia="微软雅黑" w:cs="微软雅黑"/>
          <w:color w:val="231F20"/>
          <w:spacing w:val="-18"/>
          <w:sz w:val="20"/>
          <w:szCs w:val="20"/>
        </w:rPr>
        <w:t>e</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8"/>
          <w:sz w:val="20"/>
          <w:szCs w:val="20"/>
        </w:rPr>
        <w:t>core</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6"/>
          <w:sz w:val="20"/>
          <w:szCs w:val="20"/>
        </w:rPr>
        <w:t>position</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16"/>
          <w:sz w:val="20"/>
          <w:szCs w:val="20"/>
        </w:rPr>
        <w:t>of</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6"/>
          <w:sz w:val="20"/>
          <w:szCs w:val="20"/>
        </w:rPr>
        <w:t>teaching</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16"/>
          <w:sz w:val="20"/>
          <w:szCs w:val="20"/>
        </w:rPr>
        <w:t>evaluation</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16"/>
          <w:sz w:val="20"/>
          <w:szCs w:val="20"/>
        </w:rPr>
        <w:t>in</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16"/>
          <w:sz w:val="20"/>
          <w:szCs w:val="20"/>
        </w:rPr>
        <w:t>the</w:t>
      </w:r>
      <w:r>
        <w:rPr>
          <w:rFonts w:ascii="微软雅黑" w:hAnsi="微软雅黑" w:eastAsia="微软雅黑" w:cs="微软雅黑"/>
          <w:color w:val="231F20"/>
          <w:spacing w:val="27"/>
          <w:w w:val="101"/>
          <w:sz w:val="20"/>
          <w:szCs w:val="20"/>
        </w:rPr>
        <w:t xml:space="preserve"> </w:t>
      </w:r>
      <w:r>
        <w:rPr>
          <w:rFonts w:ascii="微软雅黑" w:hAnsi="微软雅黑" w:eastAsia="微软雅黑" w:cs="微软雅黑"/>
          <w:color w:val="231F20"/>
          <w:spacing w:val="-16"/>
          <w:sz w:val="20"/>
          <w:szCs w:val="20"/>
        </w:rPr>
        <w:t>quality</w:t>
      </w:r>
      <w:r>
        <w:rPr>
          <w:rFonts w:ascii="微软雅黑" w:hAnsi="微软雅黑" w:eastAsia="微软雅黑" w:cs="微软雅黑"/>
          <w:color w:val="231F20"/>
          <w:spacing w:val="27"/>
          <w:w w:val="101"/>
          <w:sz w:val="20"/>
          <w:szCs w:val="20"/>
        </w:rPr>
        <w:t xml:space="preserve"> </w:t>
      </w:r>
      <w:r>
        <w:rPr>
          <w:rFonts w:ascii="微软雅黑" w:hAnsi="微软雅黑" w:eastAsia="微软雅黑" w:cs="微软雅黑"/>
          <w:color w:val="231F20"/>
          <w:spacing w:val="-16"/>
          <w:sz w:val="20"/>
          <w:szCs w:val="20"/>
        </w:rPr>
        <w:t>assurance</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6"/>
          <w:sz w:val="20"/>
          <w:szCs w:val="20"/>
        </w:rPr>
        <w:t>system;</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6"/>
          <w:sz w:val="20"/>
          <w:szCs w:val="20"/>
        </w:rPr>
        <w:t>strengthe</w:t>
      </w:r>
      <w:r>
        <w:rPr>
          <w:rFonts w:ascii="微软雅黑" w:hAnsi="微软雅黑" w:eastAsia="微软雅黑" w:cs="微软雅黑"/>
          <w:color w:val="231F20"/>
          <w:spacing w:val="-17"/>
          <w:sz w:val="20"/>
          <w:szCs w:val="20"/>
        </w:rPr>
        <w:t>ning</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17"/>
          <w:sz w:val="20"/>
          <w:szCs w:val="20"/>
        </w:rPr>
        <w:t>the</w:t>
      </w:r>
      <w:r>
        <w:rPr>
          <w:rFonts w:ascii="微软雅黑" w:hAnsi="微软雅黑" w:eastAsia="微软雅黑" w:cs="微软雅黑"/>
          <w:color w:val="231F20"/>
          <w:spacing w:val="27"/>
          <w:w w:val="101"/>
          <w:sz w:val="20"/>
          <w:szCs w:val="20"/>
        </w:rPr>
        <w:t xml:space="preserve"> </w:t>
      </w:r>
      <w:r>
        <w:rPr>
          <w:rFonts w:ascii="微软雅黑" w:hAnsi="微软雅黑" w:eastAsia="微软雅黑" w:cs="微软雅黑"/>
          <w:color w:val="231F20"/>
          <w:spacing w:val="-17"/>
          <w:sz w:val="20"/>
          <w:szCs w:val="20"/>
        </w:rPr>
        <w:t>quality</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17"/>
          <w:sz w:val="20"/>
          <w:szCs w:val="20"/>
        </w:rPr>
        <w:t>information</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7"/>
          <w:sz w:val="20"/>
          <w:szCs w:val="20"/>
        </w:rPr>
        <w:t>sharing</w:t>
      </w:r>
      <w:r>
        <w:rPr>
          <w:rFonts w:ascii="微软雅黑" w:hAnsi="微软雅黑" w:eastAsia="微软雅黑" w:cs="微软雅黑"/>
          <w:color w:val="231F20"/>
          <w:spacing w:val="29"/>
          <w:w w:val="101"/>
          <w:sz w:val="20"/>
          <w:szCs w:val="20"/>
        </w:rPr>
        <w:t xml:space="preserve"> </w:t>
      </w:r>
      <w:r>
        <w:rPr>
          <w:rFonts w:ascii="微软雅黑" w:hAnsi="微软雅黑" w:eastAsia="微软雅黑" w:cs="微软雅黑"/>
          <w:color w:val="231F20"/>
          <w:spacing w:val="-17"/>
          <w:sz w:val="20"/>
          <w:szCs w:val="20"/>
        </w:rPr>
        <w:t>and</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6"/>
          <w:sz w:val="20"/>
          <w:szCs w:val="20"/>
        </w:rPr>
        <w:t xml:space="preserve">feedback  mechanism  to  expand  the  students  and  employees </w:t>
      </w:r>
      <w:r>
        <w:rPr>
          <w:rFonts w:ascii="微软雅黑" w:hAnsi="微软雅黑" w:eastAsia="微软雅黑" w:cs="微软雅黑"/>
          <w:color w:val="231F20"/>
          <w:spacing w:val="-16"/>
          <w:sz w:val="19"/>
          <w:szCs w:val="19"/>
        </w:rPr>
        <w:t>’</w:t>
      </w:r>
      <w:r>
        <w:rPr>
          <w:rFonts w:ascii="微软雅黑" w:hAnsi="微软雅黑" w:eastAsia="微软雅黑" w:cs="微软雅黑"/>
          <w:color w:val="231F20"/>
          <w:spacing w:val="-16"/>
          <w:sz w:val="20"/>
          <w:szCs w:val="20"/>
        </w:rPr>
        <w:t>right  to  know</w:t>
      </w:r>
      <w:r>
        <w:rPr>
          <w:rFonts w:ascii="微软雅黑" w:hAnsi="微软雅黑" w:eastAsia="微软雅黑" w:cs="微软雅黑"/>
          <w:color w:val="231F20"/>
          <w:spacing w:val="-17"/>
          <w:sz w:val="20"/>
          <w:szCs w:val="20"/>
        </w:rPr>
        <w:t xml:space="preserve">  and  to  participate  in;  strengthening</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people</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7"/>
          <w:sz w:val="20"/>
          <w:szCs w:val="20"/>
        </w:rPr>
        <w:t>-oriented</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7"/>
          <w:sz w:val="20"/>
          <w:szCs w:val="20"/>
        </w:rPr>
        <w:t>management</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17"/>
          <w:sz w:val="20"/>
          <w:szCs w:val="20"/>
        </w:rPr>
        <w:t>philosophy</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7"/>
          <w:sz w:val="20"/>
          <w:szCs w:val="20"/>
        </w:rPr>
        <w:t>and</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17"/>
          <w:sz w:val="20"/>
          <w:szCs w:val="20"/>
        </w:rPr>
        <w:t>promoting</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17"/>
          <w:sz w:val="20"/>
          <w:szCs w:val="20"/>
        </w:rPr>
        <w:t>the</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17"/>
          <w:sz w:val="20"/>
          <w:szCs w:val="20"/>
        </w:rPr>
        <w:t>return</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7"/>
          <w:sz w:val="20"/>
          <w:szCs w:val="20"/>
        </w:rPr>
        <w:t>of  quality   assurance</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17"/>
          <w:sz w:val="20"/>
          <w:szCs w:val="20"/>
        </w:rPr>
        <w:t>from</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8"/>
          <w:sz w:val="20"/>
          <w:szCs w:val="20"/>
        </w:rPr>
        <w:t>the</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18"/>
          <w:sz w:val="20"/>
          <w:szCs w:val="20"/>
        </w:rPr>
        <w:t>technical</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6"/>
          <w:sz w:val="20"/>
          <w:szCs w:val="20"/>
        </w:rPr>
        <w:t>rationality</w:t>
      </w:r>
      <w:r>
        <w:rPr>
          <w:rFonts w:ascii="微软雅黑" w:hAnsi="微软雅黑" w:eastAsia="微软雅黑" w:cs="微软雅黑"/>
          <w:color w:val="231F20"/>
          <w:spacing w:val="30"/>
          <w:w w:val="101"/>
          <w:sz w:val="20"/>
          <w:szCs w:val="20"/>
        </w:rPr>
        <w:t xml:space="preserve"> </w:t>
      </w:r>
      <w:r>
        <w:rPr>
          <w:rFonts w:ascii="微软雅黑" w:hAnsi="微软雅黑" w:eastAsia="微软雅黑" w:cs="微软雅黑"/>
          <w:color w:val="231F20"/>
          <w:spacing w:val="-16"/>
          <w:sz w:val="20"/>
          <w:szCs w:val="20"/>
        </w:rPr>
        <w:t>to</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16"/>
          <w:sz w:val="20"/>
          <w:szCs w:val="20"/>
        </w:rPr>
        <w:t>the</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6"/>
          <w:sz w:val="20"/>
          <w:szCs w:val="20"/>
        </w:rPr>
        <w:t>humanistic</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6"/>
          <w:sz w:val="20"/>
          <w:szCs w:val="20"/>
        </w:rPr>
        <w:t>reason;</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16"/>
          <w:sz w:val="20"/>
          <w:szCs w:val="20"/>
        </w:rPr>
        <w:t>carrying</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16"/>
          <w:sz w:val="20"/>
          <w:szCs w:val="20"/>
        </w:rPr>
        <w:t>out</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16"/>
          <w:sz w:val="20"/>
          <w:szCs w:val="20"/>
        </w:rPr>
        <w:t>the</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6"/>
          <w:sz w:val="20"/>
          <w:szCs w:val="20"/>
        </w:rPr>
        <w:t>propaganda</w:t>
      </w:r>
      <w:r>
        <w:rPr>
          <w:rFonts w:ascii="微软雅黑" w:hAnsi="微软雅黑" w:eastAsia="微软雅黑" w:cs="微软雅黑"/>
          <w:color w:val="231F20"/>
          <w:spacing w:val="33"/>
          <w:w w:val="101"/>
          <w:sz w:val="20"/>
          <w:szCs w:val="20"/>
        </w:rPr>
        <w:t xml:space="preserve"> </w:t>
      </w:r>
      <w:r>
        <w:rPr>
          <w:rFonts w:ascii="微软雅黑" w:hAnsi="微软雅黑" w:eastAsia="微软雅黑" w:cs="微软雅黑"/>
          <w:color w:val="231F20"/>
          <w:spacing w:val="-16"/>
          <w:sz w:val="20"/>
          <w:szCs w:val="20"/>
        </w:rPr>
        <w:t>and</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17"/>
          <w:sz w:val="20"/>
          <w:szCs w:val="20"/>
        </w:rPr>
        <w:t>training</w:t>
      </w:r>
      <w:r>
        <w:rPr>
          <w:rFonts w:ascii="微软雅黑" w:hAnsi="微软雅黑" w:eastAsia="微软雅黑" w:cs="微软雅黑"/>
          <w:color w:val="231F20"/>
          <w:spacing w:val="34"/>
          <w:w w:val="101"/>
          <w:sz w:val="20"/>
          <w:szCs w:val="20"/>
        </w:rPr>
        <w:t xml:space="preserve"> </w:t>
      </w:r>
      <w:r>
        <w:rPr>
          <w:rFonts w:ascii="微软雅黑" w:hAnsi="微软雅黑" w:eastAsia="微软雅黑" w:cs="微软雅黑"/>
          <w:color w:val="231F20"/>
          <w:spacing w:val="-17"/>
          <w:sz w:val="20"/>
          <w:szCs w:val="20"/>
        </w:rPr>
        <w:t>of</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7"/>
          <w:sz w:val="20"/>
          <w:szCs w:val="20"/>
        </w:rPr>
        <w:t>the</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17"/>
          <w:sz w:val="20"/>
          <w:szCs w:val="20"/>
        </w:rPr>
        <w:t>quality</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17"/>
          <w:sz w:val="20"/>
          <w:szCs w:val="20"/>
        </w:rPr>
        <w:t>assurance</w:t>
      </w:r>
      <w:r>
        <w:rPr>
          <w:rFonts w:ascii="微软雅黑" w:hAnsi="微软雅黑" w:eastAsia="微软雅黑" w:cs="微软雅黑"/>
          <w:color w:val="231F20"/>
          <w:spacing w:val="34"/>
          <w:w w:val="101"/>
          <w:sz w:val="20"/>
          <w:szCs w:val="20"/>
        </w:rPr>
        <w:t xml:space="preserve"> </w:t>
      </w:r>
      <w:r>
        <w:rPr>
          <w:rFonts w:ascii="微软雅黑" w:hAnsi="微软雅黑" w:eastAsia="微软雅黑" w:cs="微软雅黑"/>
          <w:color w:val="231F20"/>
          <w:spacing w:val="-17"/>
          <w:sz w:val="20"/>
          <w:szCs w:val="20"/>
        </w:rPr>
        <w:t>of</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7"/>
          <w:sz w:val="20"/>
          <w:szCs w:val="20"/>
        </w:rPr>
        <w:t>higher</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6"/>
          <w:sz w:val="20"/>
          <w:szCs w:val="20"/>
        </w:rPr>
        <w:t>education,</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16"/>
          <w:sz w:val="20"/>
          <w:szCs w:val="20"/>
        </w:rPr>
        <w:t>change</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6"/>
          <w:sz w:val="20"/>
          <w:szCs w:val="20"/>
        </w:rPr>
        <w:t>the</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16"/>
          <w:sz w:val="20"/>
          <w:szCs w:val="20"/>
        </w:rPr>
        <w:t>quality</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16"/>
          <w:sz w:val="20"/>
          <w:szCs w:val="20"/>
        </w:rPr>
        <w:t>guarantee</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16"/>
          <w:sz w:val="20"/>
          <w:szCs w:val="20"/>
        </w:rPr>
        <w:t>system</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6"/>
          <w:sz w:val="20"/>
          <w:szCs w:val="20"/>
        </w:rPr>
        <w:t>from</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6"/>
          <w:sz w:val="20"/>
          <w:szCs w:val="20"/>
        </w:rPr>
        <w:t>the</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6"/>
          <w:sz w:val="20"/>
          <w:szCs w:val="20"/>
        </w:rPr>
        <w:t>institutional</w:t>
      </w:r>
      <w:r>
        <w:rPr>
          <w:rFonts w:ascii="微软雅黑" w:hAnsi="微软雅黑" w:eastAsia="微软雅黑" w:cs="微软雅黑"/>
          <w:color w:val="231F20"/>
          <w:spacing w:val="15"/>
          <w:w w:val="101"/>
          <w:sz w:val="20"/>
          <w:szCs w:val="20"/>
        </w:rPr>
        <w:t xml:space="preserve"> </w:t>
      </w:r>
      <w:r>
        <w:rPr>
          <w:rFonts w:ascii="微软雅黑" w:hAnsi="微软雅黑" w:eastAsia="微软雅黑" w:cs="微软雅黑"/>
          <w:color w:val="231F20"/>
          <w:spacing w:val="-16"/>
          <w:sz w:val="20"/>
          <w:szCs w:val="20"/>
        </w:rPr>
        <w:t>regulation</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6"/>
          <w:sz w:val="20"/>
          <w:szCs w:val="20"/>
        </w:rPr>
        <w:t>to</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6"/>
          <w:sz w:val="20"/>
          <w:szCs w:val="20"/>
        </w:rPr>
        <w:t>the</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17"/>
          <w:sz w:val="20"/>
          <w:szCs w:val="20"/>
        </w:rPr>
        <w:t>cultural</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17"/>
          <w:sz w:val="20"/>
          <w:szCs w:val="20"/>
        </w:rPr>
        <w:t>consciousness.</w:t>
      </w:r>
    </w:p>
    <w:p>
      <w:pPr>
        <w:spacing w:before="70" w:line="164" w:lineRule="auto"/>
        <w:ind w:left="1136"/>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Key</w:t>
      </w:r>
      <w:r>
        <w:rPr>
          <w:rFonts w:ascii="微软雅黑" w:hAnsi="微软雅黑" w:eastAsia="微软雅黑" w:cs="微软雅黑"/>
          <w:color w:val="231F20"/>
          <w:spacing w:val="15"/>
          <w:w w:val="101"/>
          <w:sz w:val="20"/>
          <w:szCs w:val="20"/>
        </w:rPr>
        <w:t xml:space="preserve"> </w:t>
      </w:r>
      <w:r>
        <w:rPr>
          <w:rFonts w:ascii="微软雅黑" w:hAnsi="微软雅黑" w:eastAsia="微软雅黑" w:cs="微软雅黑"/>
          <w:color w:val="231F20"/>
          <w:spacing w:val="-11"/>
          <w:sz w:val="20"/>
          <w:szCs w:val="20"/>
        </w:rPr>
        <w:t>words:</w:t>
      </w:r>
      <w:r>
        <w:rPr>
          <w:rFonts w:ascii="微软雅黑" w:hAnsi="微软雅黑" w:eastAsia="微软雅黑" w:cs="微软雅黑"/>
          <w:color w:val="231F20"/>
          <w:spacing w:val="18"/>
          <w:w w:val="101"/>
          <w:sz w:val="20"/>
          <w:szCs w:val="20"/>
        </w:rPr>
        <w:t xml:space="preserve"> </w:t>
      </w:r>
      <w:r>
        <w:rPr>
          <w:rFonts w:ascii="微软雅黑" w:hAnsi="微软雅黑" w:eastAsia="微软雅黑" w:cs="微软雅黑"/>
          <w:color w:val="231F20"/>
          <w:spacing w:val="-11"/>
          <w:sz w:val="20"/>
          <w:szCs w:val="20"/>
        </w:rPr>
        <w:t>colleges</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11"/>
          <w:sz w:val="20"/>
          <w:szCs w:val="20"/>
        </w:rPr>
        <w:t>and</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1"/>
          <w:sz w:val="20"/>
          <w:szCs w:val="20"/>
        </w:rPr>
        <w:t>universities;</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11"/>
          <w:sz w:val="20"/>
          <w:szCs w:val="20"/>
        </w:rPr>
        <w:t>quality</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11"/>
          <w:sz w:val="20"/>
          <w:szCs w:val="20"/>
        </w:rPr>
        <w:t>culture;</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1"/>
          <w:sz w:val="20"/>
          <w:szCs w:val="20"/>
        </w:rPr>
        <w:t>inter</w:t>
      </w:r>
      <w:r>
        <w:rPr>
          <w:rFonts w:ascii="微软雅黑" w:hAnsi="微软雅黑" w:eastAsia="微软雅黑" w:cs="微软雅黑"/>
          <w:color w:val="231F20"/>
          <w:spacing w:val="-12"/>
          <w:sz w:val="20"/>
          <w:szCs w:val="20"/>
        </w:rPr>
        <w:t>nal</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12"/>
          <w:sz w:val="20"/>
          <w:szCs w:val="20"/>
        </w:rPr>
        <w:t>quality</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12"/>
          <w:sz w:val="20"/>
          <w:szCs w:val="20"/>
        </w:rPr>
        <w:t>assurance</w:t>
      </w:r>
    </w:p>
    <w:p>
      <w:pPr>
        <w:spacing w:line="356" w:lineRule="auto"/>
        <w:rPr>
          <w:rFonts w:ascii="Arial"/>
          <w:sz w:val="21"/>
        </w:rPr>
      </w:pPr>
    </w:p>
    <w:p>
      <w:pPr>
        <w:spacing w:before="1" w:line="76" w:lineRule="exact"/>
        <w:ind w:firstLine="714"/>
      </w:pPr>
      <w:r>
        <w:rPr>
          <w:position w:val="-1"/>
        </w:rPr>
        <w:drawing>
          <wp:inline distT="0" distB="0" distL="0" distR="0">
            <wp:extent cx="6132195" cy="4826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7"/>
                    <a:stretch>
                      <a:fillRect/>
                    </a:stretch>
                  </pic:blipFill>
                  <pic:spPr>
                    <a:xfrm>
                      <a:off x="0" y="0"/>
                      <a:ext cx="6132504" cy="48579"/>
                    </a:xfrm>
                    <a:prstGeom prst="rect">
                      <a:avLst/>
                    </a:prstGeom>
                  </pic:spPr>
                </pic:pic>
              </a:graphicData>
            </a:graphic>
          </wp:inline>
        </w:drawing>
      </w:r>
    </w:p>
    <w:p>
      <w:pPr>
        <w:spacing w:line="266" w:lineRule="auto"/>
        <w:rPr>
          <w:rFonts w:ascii="Arial"/>
          <w:sz w:val="21"/>
        </w:rPr>
      </w:pPr>
    </w:p>
    <w:p>
      <w:pPr>
        <w:spacing w:before="86" w:line="189" w:lineRule="auto"/>
        <w:ind w:left="645"/>
        <w:rPr>
          <w:rFonts w:ascii="微软雅黑" w:hAnsi="微软雅黑" w:eastAsia="微软雅黑" w:cs="微软雅黑"/>
          <w:sz w:val="19"/>
          <w:szCs w:val="19"/>
        </w:rPr>
      </w:pPr>
      <w:r>
        <w:rPr>
          <w:rFonts w:ascii="微软雅黑" w:hAnsi="微软雅黑" w:eastAsia="微软雅黑" w:cs="微软雅黑"/>
          <w:color w:val="231F20"/>
          <w:spacing w:val="-2"/>
          <w:sz w:val="19"/>
          <w:szCs w:val="19"/>
        </w:rPr>
        <w:t>（</w:t>
      </w:r>
      <w:r>
        <w:rPr>
          <w:rFonts w:ascii="新宋体" w:hAnsi="新宋体" w:eastAsia="新宋体" w:cs="新宋体"/>
          <w:color w:val="231F20"/>
          <w:spacing w:val="-2"/>
          <w:sz w:val="19"/>
          <w:szCs w:val="19"/>
        </w:rPr>
        <w:t>上接第</w:t>
      </w:r>
      <w:r>
        <w:rPr>
          <w:rFonts w:ascii="新宋体" w:hAnsi="新宋体" w:eastAsia="新宋体" w:cs="新宋体"/>
          <w:color w:val="231F20"/>
          <w:spacing w:val="-29"/>
          <w:sz w:val="19"/>
          <w:szCs w:val="19"/>
        </w:rPr>
        <w:t xml:space="preserve"> </w:t>
      </w:r>
      <w:r>
        <w:rPr>
          <w:rFonts w:ascii="微软雅黑" w:hAnsi="微软雅黑" w:eastAsia="微软雅黑" w:cs="微软雅黑"/>
          <w:color w:val="231F20"/>
          <w:spacing w:val="-2"/>
          <w:sz w:val="20"/>
          <w:szCs w:val="20"/>
        </w:rPr>
        <w:t>21</w:t>
      </w:r>
      <w:r>
        <w:rPr>
          <w:rFonts w:ascii="微软雅黑" w:hAnsi="微软雅黑" w:eastAsia="微软雅黑" w:cs="微软雅黑"/>
          <w:color w:val="231F20"/>
          <w:spacing w:val="22"/>
          <w:sz w:val="20"/>
          <w:szCs w:val="20"/>
        </w:rPr>
        <w:t xml:space="preserve"> </w:t>
      </w:r>
      <w:r>
        <w:rPr>
          <w:rFonts w:ascii="新宋体" w:hAnsi="新宋体" w:eastAsia="新宋体" w:cs="新宋体"/>
          <w:color w:val="231F20"/>
          <w:spacing w:val="-2"/>
          <w:sz w:val="19"/>
          <w:szCs w:val="19"/>
        </w:rPr>
        <w:t>页</w:t>
      </w:r>
      <w:r>
        <w:rPr>
          <w:rFonts w:ascii="微软雅黑" w:hAnsi="微软雅黑" w:eastAsia="微软雅黑" w:cs="微软雅黑"/>
          <w:color w:val="231F20"/>
          <w:spacing w:val="-2"/>
          <w:sz w:val="19"/>
          <w:szCs w:val="19"/>
        </w:rPr>
        <w:t>）</w:t>
      </w:r>
    </w:p>
    <w:p>
      <w:pPr>
        <w:spacing w:before="332" w:line="178" w:lineRule="auto"/>
        <w:ind w:left="3900" w:right="890" w:hanging="2296"/>
        <w:rPr>
          <w:rFonts w:ascii="微软雅黑" w:hAnsi="微软雅黑" w:eastAsia="微软雅黑" w:cs="微软雅黑"/>
          <w:sz w:val="27"/>
          <w:szCs w:val="27"/>
        </w:rPr>
      </w:pPr>
      <w:r>
        <w:rPr>
          <w:rFonts w:ascii="微软雅黑" w:hAnsi="微软雅黑" w:eastAsia="微软雅黑" w:cs="微软雅黑"/>
          <w:color w:val="231F20"/>
          <w:spacing w:val="-10"/>
          <w:sz w:val="27"/>
          <w:szCs w:val="27"/>
        </w:rPr>
        <w:t>The</w:t>
      </w:r>
      <w:r>
        <w:rPr>
          <w:rFonts w:ascii="微软雅黑" w:hAnsi="微软雅黑" w:eastAsia="微软雅黑" w:cs="微软雅黑"/>
          <w:color w:val="231F20"/>
          <w:spacing w:val="16"/>
          <w:sz w:val="27"/>
          <w:szCs w:val="27"/>
        </w:rPr>
        <w:t xml:space="preserve"> </w:t>
      </w:r>
      <w:r>
        <w:rPr>
          <w:rFonts w:ascii="微软雅黑" w:hAnsi="微软雅黑" w:eastAsia="微软雅黑" w:cs="微软雅黑"/>
          <w:color w:val="231F20"/>
          <w:spacing w:val="-10"/>
          <w:sz w:val="27"/>
          <w:szCs w:val="27"/>
        </w:rPr>
        <w:t>Achievements</w:t>
      </w:r>
      <w:r>
        <w:rPr>
          <w:rFonts w:ascii="微软雅黑" w:hAnsi="微软雅黑" w:eastAsia="微软雅黑" w:cs="微软雅黑"/>
          <w:color w:val="231F20"/>
          <w:spacing w:val="21"/>
          <w:sz w:val="27"/>
          <w:szCs w:val="27"/>
        </w:rPr>
        <w:t xml:space="preserve"> </w:t>
      </w:r>
      <w:r>
        <w:rPr>
          <w:rFonts w:ascii="微软雅黑" w:hAnsi="微软雅黑" w:eastAsia="微软雅黑" w:cs="微软雅黑"/>
          <w:color w:val="231F20"/>
          <w:spacing w:val="-10"/>
          <w:sz w:val="27"/>
          <w:szCs w:val="27"/>
        </w:rPr>
        <w:t>and</w:t>
      </w:r>
      <w:r>
        <w:rPr>
          <w:rFonts w:ascii="微软雅黑" w:hAnsi="微软雅黑" w:eastAsia="微软雅黑" w:cs="微软雅黑"/>
          <w:color w:val="231F20"/>
          <w:spacing w:val="19"/>
          <w:sz w:val="27"/>
          <w:szCs w:val="27"/>
        </w:rPr>
        <w:t xml:space="preserve"> </w:t>
      </w:r>
      <w:r>
        <w:rPr>
          <w:rFonts w:ascii="微软雅黑" w:hAnsi="微软雅黑" w:eastAsia="微软雅黑" w:cs="微软雅黑"/>
          <w:color w:val="231F20"/>
          <w:spacing w:val="-10"/>
          <w:sz w:val="27"/>
          <w:szCs w:val="27"/>
        </w:rPr>
        <w:t>Issues</w:t>
      </w:r>
      <w:r>
        <w:rPr>
          <w:rFonts w:ascii="微软雅黑" w:hAnsi="微软雅黑" w:eastAsia="微软雅黑" w:cs="微软雅黑"/>
          <w:color w:val="231F20"/>
          <w:spacing w:val="21"/>
          <w:w w:val="101"/>
          <w:sz w:val="27"/>
          <w:szCs w:val="27"/>
        </w:rPr>
        <w:t xml:space="preserve"> </w:t>
      </w:r>
      <w:r>
        <w:rPr>
          <w:rFonts w:ascii="微软雅黑" w:hAnsi="微软雅黑" w:eastAsia="微软雅黑" w:cs="微软雅黑"/>
          <w:color w:val="231F20"/>
          <w:spacing w:val="-10"/>
          <w:sz w:val="27"/>
          <w:szCs w:val="27"/>
        </w:rPr>
        <w:t>of the</w:t>
      </w:r>
      <w:r>
        <w:rPr>
          <w:rFonts w:ascii="微软雅黑" w:hAnsi="微软雅黑" w:eastAsia="微软雅黑" w:cs="微软雅黑"/>
          <w:color w:val="231F20"/>
          <w:spacing w:val="-10"/>
          <w:sz w:val="26"/>
          <w:szCs w:val="26"/>
        </w:rPr>
        <w:t>“</w:t>
      </w:r>
      <w:r>
        <w:rPr>
          <w:rFonts w:ascii="微软雅黑" w:hAnsi="微软雅黑" w:eastAsia="微软雅黑" w:cs="微软雅黑"/>
          <w:color w:val="231F20"/>
          <w:spacing w:val="-10"/>
          <w:sz w:val="27"/>
          <w:szCs w:val="27"/>
        </w:rPr>
        <w:t>For</w:t>
      </w:r>
      <w:r>
        <w:rPr>
          <w:rFonts w:ascii="微软雅黑" w:hAnsi="微软雅黑" w:eastAsia="微软雅黑" w:cs="微软雅黑"/>
          <w:color w:val="231F20"/>
          <w:spacing w:val="17"/>
          <w:sz w:val="27"/>
          <w:szCs w:val="27"/>
        </w:rPr>
        <w:t xml:space="preserve"> </w:t>
      </w:r>
      <w:r>
        <w:rPr>
          <w:rFonts w:ascii="微软雅黑" w:hAnsi="微软雅黑" w:eastAsia="微软雅黑" w:cs="微软雅黑"/>
          <w:color w:val="231F20"/>
          <w:spacing w:val="-10"/>
          <w:sz w:val="27"/>
          <w:szCs w:val="27"/>
        </w:rPr>
        <w:t>Ex</w:t>
      </w:r>
      <w:r>
        <w:rPr>
          <w:rFonts w:ascii="微软雅黑" w:hAnsi="微软雅黑" w:eastAsia="微软雅黑" w:cs="微软雅黑"/>
          <w:color w:val="231F20"/>
          <w:spacing w:val="-11"/>
          <w:sz w:val="27"/>
          <w:szCs w:val="27"/>
        </w:rPr>
        <w:t>cellence</w:t>
      </w:r>
      <w:r>
        <w:rPr>
          <w:rFonts w:ascii="微软雅黑" w:hAnsi="微软雅黑" w:eastAsia="微软雅黑" w:cs="微软雅黑"/>
          <w:color w:val="231F20"/>
          <w:spacing w:val="-11"/>
          <w:sz w:val="26"/>
          <w:szCs w:val="26"/>
        </w:rPr>
        <w:t>”</w:t>
      </w:r>
      <w:r>
        <w:rPr>
          <w:rFonts w:ascii="微软雅黑" w:hAnsi="微软雅黑" w:eastAsia="微软雅黑" w:cs="微软雅黑"/>
          <w:color w:val="231F20"/>
          <w:spacing w:val="-11"/>
          <w:sz w:val="27"/>
          <w:szCs w:val="27"/>
        </w:rPr>
        <w:t>Projects</w:t>
      </w:r>
      <w:r>
        <w:rPr>
          <w:rFonts w:ascii="微软雅黑" w:hAnsi="微软雅黑" w:eastAsia="微软雅黑" w:cs="微软雅黑"/>
          <w:color w:val="231F20"/>
          <w:spacing w:val="21"/>
          <w:sz w:val="27"/>
          <w:szCs w:val="27"/>
        </w:rPr>
        <w:t xml:space="preserve"> </w:t>
      </w:r>
      <w:r>
        <w:rPr>
          <w:rFonts w:ascii="微软雅黑" w:hAnsi="微软雅黑" w:eastAsia="微软雅黑" w:cs="微软雅黑"/>
          <w:color w:val="231F20"/>
          <w:spacing w:val="-11"/>
          <w:sz w:val="27"/>
          <w:szCs w:val="27"/>
        </w:rPr>
        <w:t>of</w:t>
      </w:r>
      <w:r>
        <w:rPr>
          <w:rFonts w:ascii="微软雅黑" w:hAnsi="微软雅黑" w:eastAsia="微软雅黑" w:cs="微软雅黑"/>
          <w:color w:val="231F20"/>
          <w:sz w:val="27"/>
          <w:szCs w:val="27"/>
        </w:rPr>
        <w:t xml:space="preserve"> </w:t>
      </w:r>
      <w:r>
        <w:rPr>
          <w:rFonts w:ascii="微软雅黑" w:hAnsi="微软雅黑" w:eastAsia="微软雅黑" w:cs="微软雅黑"/>
          <w:color w:val="231F20"/>
          <w:spacing w:val="-7"/>
          <w:sz w:val="27"/>
          <w:szCs w:val="27"/>
        </w:rPr>
        <w:t>Higher</w:t>
      </w:r>
      <w:r>
        <w:rPr>
          <w:rFonts w:ascii="微软雅黑" w:hAnsi="微软雅黑" w:eastAsia="微软雅黑" w:cs="微软雅黑"/>
          <w:color w:val="231F20"/>
          <w:spacing w:val="21"/>
          <w:sz w:val="27"/>
          <w:szCs w:val="27"/>
        </w:rPr>
        <w:t xml:space="preserve"> </w:t>
      </w:r>
      <w:r>
        <w:rPr>
          <w:rFonts w:ascii="微软雅黑" w:hAnsi="微软雅黑" w:eastAsia="微软雅黑" w:cs="微软雅黑"/>
          <w:color w:val="231F20"/>
          <w:spacing w:val="-7"/>
          <w:sz w:val="27"/>
          <w:szCs w:val="27"/>
        </w:rPr>
        <w:t>Education</w:t>
      </w:r>
      <w:r>
        <w:rPr>
          <w:rFonts w:ascii="微软雅黑" w:hAnsi="微软雅黑" w:eastAsia="微软雅黑" w:cs="微软雅黑"/>
          <w:color w:val="231F20"/>
          <w:spacing w:val="17"/>
          <w:sz w:val="27"/>
          <w:szCs w:val="27"/>
        </w:rPr>
        <w:t xml:space="preserve"> </w:t>
      </w:r>
      <w:r>
        <w:rPr>
          <w:rFonts w:ascii="微软雅黑" w:hAnsi="微软雅黑" w:eastAsia="微软雅黑" w:cs="微软雅黑"/>
          <w:color w:val="231F20"/>
          <w:spacing w:val="-7"/>
          <w:sz w:val="27"/>
          <w:szCs w:val="27"/>
        </w:rPr>
        <w:t>in</w:t>
      </w:r>
      <w:r>
        <w:rPr>
          <w:rFonts w:ascii="微软雅黑" w:hAnsi="微软雅黑" w:eastAsia="微软雅黑" w:cs="微软雅黑"/>
          <w:color w:val="231F20"/>
          <w:spacing w:val="27"/>
          <w:w w:val="101"/>
          <w:sz w:val="27"/>
          <w:szCs w:val="27"/>
        </w:rPr>
        <w:t xml:space="preserve"> </w:t>
      </w:r>
      <w:r>
        <w:rPr>
          <w:rFonts w:ascii="微软雅黑" w:hAnsi="微软雅黑" w:eastAsia="微软雅黑" w:cs="微软雅黑"/>
          <w:color w:val="231F20"/>
          <w:spacing w:val="-7"/>
          <w:sz w:val="27"/>
          <w:szCs w:val="27"/>
        </w:rPr>
        <w:t>China</w:t>
      </w:r>
    </w:p>
    <w:p>
      <w:pPr>
        <w:spacing w:before="110" w:line="159" w:lineRule="auto"/>
        <w:ind w:left="2105"/>
        <w:rPr>
          <w:rFonts w:ascii="微软雅黑" w:hAnsi="微软雅黑" w:eastAsia="微软雅黑" w:cs="微软雅黑"/>
          <w:sz w:val="24"/>
          <w:szCs w:val="24"/>
        </w:rPr>
      </w:pPr>
      <w:r>
        <w:rPr>
          <w:rFonts w:ascii="Arial" w:hAnsi="Arial" w:eastAsia="Arial" w:cs="Arial"/>
          <w:b/>
          <w:bCs/>
          <w:color w:val="231F20"/>
          <w:spacing w:val="145"/>
          <w:w w:val="150"/>
          <w:sz w:val="22"/>
          <w:szCs w:val="22"/>
        </w:rPr>
        <w:t>—</w:t>
      </w:r>
      <w:r>
        <w:rPr>
          <w:rFonts w:ascii="微软雅黑" w:hAnsi="微软雅黑" w:eastAsia="微软雅黑" w:cs="微软雅黑"/>
          <w:color w:val="231F20"/>
          <w:spacing w:val="-238"/>
          <w:sz w:val="22"/>
          <w:szCs w:val="22"/>
        </w:rPr>
        <w:t>—</w:t>
      </w:r>
      <w:r>
        <w:rPr>
          <w:rFonts w:ascii="微软雅黑" w:hAnsi="微软雅黑" w:eastAsia="微软雅黑" w:cs="微软雅黑"/>
          <w:color w:val="231F20"/>
          <w:spacing w:val="-55"/>
          <w:sz w:val="22"/>
          <w:szCs w:val="22"/>
        </w:rPr>
        <w:t xml:space="preserve"> </w:t>
      </w:r>
      <w:r>
        <w:rPr>
          <w:rFonts w:ascii="微软雅黑" w:hAnsi="微软雅黑" w:eastAsia="微软雅黑" w:cs="微软雅黑"/>
          <w:color w:val="231F20"/>
          <w:spacing w:val="-20"/>
          <w:sz w:val="24"/>
          <w:szCs w:val="24"/>
        </w:rPr>
        <w:t>Analysis</w:t>
      </w:r>
      <w:r>
        <w:rPr>
          <w:rFonts w:ascii="微软雅黑" w:hAnsi="微软雅黑" w:eastAsia="微软雅黑" w:cs="微软雅黑"/>
          <w:color w:val="231F20"/>
          <w:spacing w:val="14"/>
          <w:sz w:val="24"/>
          <w:szCs w:val="24"/>
        </w:rPr>
        <w:t xml:space="preserve"> </w:t>
      </w:r>
      <w:r>
        <w:rPr>
          <w:rFonts w:ascii="微软雅黑" w:hAnsi="微软雅黑" w:eastAsia="微软雅黑" w:cs="微软雅黑"/>
          <w:color w:val="231F20"/>
          <w:spacing w:val="-20"/>
          <w:sz w:val="24"/>
          <w:szCs w:val="24"/>
        </w:rPr>
        <w:t>based</w:t>
      </w:r>
      <w:r>
        <w:rPr>
          <w:rFonts w:ascii="微软雅黑" w:hAnsi="微软雅黑" w:eastAsia="微软雅黑" w:cs="微软雅黑"/>
          <w:color w:val="231F20"/>
          <w:spacing w:val="16"/>
          <w:sz w:val="24"/>
          <w:szCs w:val="24"/>
        </w:rPr>
        <w:t xml:space="preserve"> </w:t>
      </w:r>
      <w:r>
        <w:rPr>
          <w:rFonts w:ascii="微软雅黑" w:hAnsi="微软雅黑" w:eastAsia="微软雅黑" w:cs="微软雅黑"/>
          <w:color w:val="231F20"/>
          <w:spacing w:val="-20"/>
          <w:sz w:val="24"/>
          <w:szCs w:val="24"/>
        </w:rPr>
        <w:t>on</w:t>
      </w:r>
      <w:r>
        <w:rPr>
          <w:rFonts w:ascii="微软雅黑" w:hAnsi="微软雅黑" w:eastAsia="微软雅黑" w:cs="微软雅黑"/>
          <w:color w:val="231F20"/>
          <w:spacing w:val="12"/>
          <w:sz w:val="24"/>
          <w:szCs w:val="24"/>
        </w:rPr>
        <w:t xml:space="preserve"> </w:t>
      </w:r>
      <w:r>
        <w:rPr>
          <w:rFonts w:ascii="微软雅黑" w:hAnsi="微软雅黑" w:eastAsia="微软雅黑" w:cs="微软雅黑"/>
          <w:color w:val="231F20"/>
          <w:spacing w:val="-20"/>
          <w:sz w:val="24"/>
          <w:szCs w:val="24"/>
        </w:rPr>
        <w:t>the</w:t>
      </w:r>
      <w:r>
        <w:rPr>
          <w:rFonts w:ascii="微软雅黑" w:hAnsi="微软雅黑" w:eastAsia="微软雅黑" w:cs="微软雅黑"/>
          <w:color w:val="231F20"/>
          <w:spacing w:val="27"/>
          <w:sz w:val="24"/>
          <w:szCs w:val="24"/>
        </w:rPr>
        <w:t xml:space="preserve"> </w:t>
      </w:r>
      <w:r>
        <w:rPr>
          <w:rFonts w:ascii="微软雅黑" w:hAnsi="微软雅黑" w:eastAsia="微软雅黑" w:cs="微软雅黑"/>
          <w:color w:val="231F20"/>
          <w:spacing w:val="-20"/>
          <w:sz w:val="24"/>
          <w:szCs w:val="24"/>
        </w:rPr>
        <w:t>Th</w:t>
      </w:r>
      <w:r>
        <w:rPr>
          <w:rFonts w:ascii="微软雅黑" w:hAnsi="微软雅黑" w:eastAsia="微软雅黑" w:cs="微软雅黑"/>
          <w:color w:val="231F20"/>
          <w:spacing w:val="-21"/>
          <w:sz w:val="24"/>
          <w:szCs w:val="24"/>
        </w:rPr>
        <w:t>ird</w:t>
      </w:r>
      <w:r>
        <w:rPr>
          <w:rFonts w:ascii="微软雅黑" w:hAnsi="微软雅黑" w:eastAsia="微软雅黑" w:cs="微软雅黑"/>
          <w:color w:val="231F20"/>
          <w:spacing w:val="7"/>
          <w:sz w:val="24"/>
          <w:szCs w:val="24"/>
        </w:rPr>
        <w:t xml:space="preserve"> </w:t>
      </w:r>
      <w:r>
        <w:rPr>
          <w:rFonts w:ascii="微软雅黑" w:hAnsi="微软雅黑" w:eastAsia="微软雅黑" w:cs="微软雅黑"/>
          <w:color w:val="231F20"/>
          <w:spacing w:val="-21"/>
          <w:sz w:val="24"/>
          <w:szCs w:val="24"/>
        </w:rPr>
        <w:t>Party</w:t>
      </w:r>
      <w:r>
        <w:rPr>
          <w:rFonts w:ascii="微软雅黑" w:hAnsi="微软雅黑" w:eastAsia="微软雅黑" w:cs="微软雅黑"/>
          <w:color w:val="231F20"/>
          <w:spacing w:val="7"/>
          <w:sz w:val="24"/>
          <w:szCs w:val="24"/>
        </w:rPr>
        <w:t xml:space="preserve"> </w:t>
      </w:r>
      <w:r>
        <w:rPr>
          <w:rFonts w:ascii="微软雅黑" w:hAnsi="微软雅黑" w:eastAsia="微软雅黑" w:cs="微软雅黑"/>
          <w:color w:val="231F20"/>
          <w:spacing w:val="-21"/>
          <w:sz w:val="24"/>
          <w:szCs w:val="24"/>
        </w:rPr>
        <w:t>Evaluation</w:t>
      </w:r>
      <w:r>
        <w:rPr>
          <w:rFonts w:ascii="微软雅黑" w:hAnsi="微软雅黑" w:eastAsia="微软雅黑" w:cs="微软雅黑"/>
          <w:color w:val="231F20"/>
          <w:spacing w:val="12"/>
          <w:sz w:val="24"/>
          <w:szCs w:val="24"/>
        </w:rPr>
        <w:t xml:space="preserve"> </w:t>
      </w:r>
      <w:r>
        <w:rPr>
          <w:rFonts w:ascii="微软雅黑" w:hAnsi="微软雅黑" w:eastAsia="微软雅黑" w:cs="微软雅黑"/>
          <w:color w:val="231F20"/>
          <w:spacing w:val="-21"/>
          <w:sz w:val="24"/>
          <w:szCs w:val="24"/>
        </w:rPr>
        <w:t>of</w:t>
      </w:r>
      <w:r>
        <w:rPr>
          <w:rFonts w:ascii="微软雅黑" w:hAnsi="微软雅黑" w:eastAsia="微软雅黑" w:cs="微软雅黑"/>
          <w:color w:val="231F20"/>
          <w:spacing w:val="7"/>
          <w:sz w:val="24"/>
          <w:szCs w:val="24"/>
        </w:rPr>
        <w:t xml:space="preserve"> </w:t>
      </w:r>
      <w:r>
        <w:rPr>
          <w:rFonts w:ascii="微软雅黑" w:hAnsi="微软雅黑" w:eastAsia="微软雅黑" w:cs="微软雅黑"/>
          <w:color w:val="231F20"/>
          <w:spacing w:val="-21"/>
          <w:sz w:val="24"/>
          <w:szCs w:val="24"/>
        </w:rPr>
        <w:t>Higher</w:t>
      </w:r>
      <w:r>
        <w:rPr>
          <w:rFonts w:ascii="微软雅黑" w:hAnsi="微软雅黑" w:eastAsia="微软雅黑" w:cs="微软雅黑"/>
          <w:color w:val="231F20"/>
          <w:spacing w:val="7"/>
          <w:sz w:val="24"/>
          <w:szCs w:val="24"/>
        </w:rPr>
        <w:t xml:space="preserve"> </w:t>
      </w:r>
      <w:r>
        <w:rPr>
          <w:rFonts w:ascii="微软雅黑" w:hAnsi="微软雅黑" w:eastAsia="微软雅黑" w:cs="微软雅黑"/>
          <w:color w:val="231F20"/>
          <w:spacing w:val="-21"/>
          <w:sz w:val="24"/>
          <w:szCs w:val="24"/>
        </w:rPr>
        <w:t>Education</w:t>
      </w:r>
    </w:p>
    <w:p>
      <w:pPr>
        <w:spacing w:line="282" w:lineRule="auto"/>
        <w:rPr>
          <w:rFonts w:ascii="Arial"/>
          <w:sz w:val="21"/>
        </w:rPr>
      </w:pPr>
    </w:p>
    <w:p>
      <w:pPr>
        <w:spacing w:before="104" w:line="158" w:lineRule="auto"/>
        <w:ind w:left="4960"/>
        <w:rPr>
          <w:rFonts w:ascii="微软雅黑" w:hAnsi="微软雅黑" w:eastAsia="微软雅黑" w:cs="微软雅黑"/>
          <w:sz w:val="24"/>
          <w:szCs w:val="24"/>
        </w:rPr>
      </w:pPr>
      <w:r>
        <w:rPr>
          <w:rFonts w:ascii="微软雅黑" w:hAnsi="微软雅黑" w:eastAsia="微软雅黑" w:cs="微软雅黑"/>
          <w:color w:val="231F20"/>
          <w:spacing w:val="-21"/>
          <w:sz w:val="24"/>
          <w:szCs w:val="24"/>
        </w:rPr>
        <w:t>Li</w:t>
      </w:r>
      <w:r>
        <w:rPr>
          <w:rFonts w:ascii="微软雅黑" w:hAnsi="微软雅黑" w:eastAsia="微软雅黑" w:cs="微软雅黑"/>
          <w:color w:val="231F20"/>
          <w:spacing w:val="25"/>
          <w:w w:val="101"/>
          <w:sz w:val="24"/>
          <w:szCs w:val="24"/>
        </w:rPr>
        <w:t xml:space="preserve"> </w:t>
      </w:r>
      <w:r>
        <w:rPr>
          <w:rFonts w:ascii="微软雅黑" w:hAnsi="微软雅黑" w:eastAsia="微软雅黑" w:cs="微软雅黑"/>
          <w:color w:val="231F20"/>
          <w:spacing w:val="-21"/>
          <w:sz w:val="24"/>
          <w:szCs w:val="24"/>
        </w:rPr>
        <w:t>Guoqiang</w:t>
      </w:r>
    </w:p>
    <w:p>
      <w:pPr>
        <w:spacing w:before="55" w:line="167" w:lineRule="auto"/>
        <w:ind w:left="3831"/>
        <w:rPr>
          <w:rFonts w:ascii="微软雅黑" w:hAnsi="微软雅黑" w:eastAsia="微软雅黑" w:cs="微软雅黑"/>
          <w:sz w:val="19"/>
          <w:szCs w:val="19"/>
        </w:rPr>
      </w:pPr>
      <w:r>
        <w:rPr>
          <w:rFonts w:ascii="微软雅黑" w:hAnsi="微软雅黑" w:eastAsia="微软雅黑" w:cs="微软雅黑"/>
          <w:color w:val="231F20"/>
          <w:spacing w:val="-11"/>
          <w:sz w:val="19"/>
          <w:szCs w:val="19"/>
        </w:rPr>
        <w:t>（</w:t>
      </w:r>
      <w:r>
        <w:rPr>
          <w:rFonts w:ascii="微软雅黑" w:hAnsi="微软雅黑" w:eastAsia="微软雅黑" w:cs="微软雅黑"/>
          <w:color w:val="231F20"/>
          <w:spacing w:val="-11"/>
          <w:sz w:val="20"/>
          <w:szCs w:val="20"/>
        </w:rPr>
        <w:t>Xiamen</w:t>
      </w:r>
      <w:r>
        <w:rPr>
          <w:rFonts w:ascii="微软雅黑" w:hAnsi="微软雅黑" w:eastAsia="微软雅黑" w:cs="微软雅黑"/>
          <w:color w:val="231F20"/>
          <w:spacing w:val="29"/>
          <w:w w:val="101"/>
          <w:sz w:val="20"/>
          <w:szCs w:val="20"/>
        </w:rPr>
        <w:t xml:space="preserve"> </w:t>
      </w:r>
      <w:r>
        <w:rPr>
          <w:rFonts w:ascii="微软雅黑" w:hAnsi="微软雅黑" w:eastAsia="微软雅黑" w:cs="微软雅黑"/>
          <w:color w:val="231F20"/>
          <w:spacing w:val="-11"/>
          <w:sz w:val="20"/>
          <w:szCs w:val="20"/>
        </w:rPr>
        <w:t>University, Xiam</w:t>
      </w:r>
      <w:r>
        <w:rPr>
          <w:rFonts w:ascii="微软雅黑" w:hAnsi="微软雅黑" w:eastAsia="微软雅黑" w:cs="微软雅黑"/>
          <w:color w:val="231F20"/>
          <w:spacing w:val="-12"/>
          <w:sz w:val="20"/>
          <w:szCs w:val="20"/>
        </w:rPr>
        <w:t>en</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2"/>
          <w:sz w:val="20"/>
          <w:szCs w:val="20"/>
        </w:rPr>
        <w:t>361005</w:t>
      </w:r>
      <w:r>
        <w:rPr>
          <w:rFonts w:ascii="微软雅黑" w:hAnsi="微软雅黑" w:eastAsia="微软雅黑" w:cs="微软雅黑"/>
          <w:color w:val="231F20"/>
          <w:spacing w:val="-12"/>
          <w:sz w:val="19"/>
          <w:szCs w:val="19"/>
        </w:rPr>
        <w:t>）</w:t>
      </w:r>
    </w:p>
    <w:p>
      <w:pPr>
        <w:spacing w:line="290" w:lineRule="auto"/>
        <w:rPr>
          <w:rFonts w:ascii="Arial"/>
          <w:sz w:val="21"/>
        </w:rPr>
      </w:pPr>
    </w:p>
    <w:p>
      <w:pPr>
        <w:spacing w:before="87" w:line="211" w:lineRule="auto"/>
        <w:ind w:left="715" w:firstLine="425"/>
        <w:jc w:val="both"/>
        <w:rPr>
          <w:rFonts w:ascii="微软雅黑" w:hAnsi="微软雅黑" w:eastAsia="微软雅黑" w:cs="微软雅黑"/>
          <w:sz w:val="20"/>
          <w:szCs w:val="20"/>
        </w:rPr>
      </w:pPr>
      <w:r>
        <w:rPr>
          <w:rFonts w:ascii="微软雅黑" w:hAnsi="微软雅黑" w:eastAsia="微软雅黑" w:cs="微软雅黑"/>
          <w:color w:val="231F20"/>
          <w:spacing w:val="-16"/>
          <w:sz w:val="20"/>
          <w:szCs w:val="20"/>
        </w:rPr>
        <w:t>Abstract:</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16"/>
          <w:sz w:val="20"/>
          <w:szCs w:val="20"/>
        </w:rPr>
        <w:t>Based</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16"/>
          <w:sz w:val="20"/>
          <w:szCs w:val="20"/>
        </w:rPr>
        <w:t>on</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16"/>
          <w:sz w:val="20"/>
          <w:szCs w:val="20"/>
        </w:rPr>
        <w:t>the</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5"/>
          <w:sz w:val="20"/>
          <w:szCs w:val="20"/>
        </w:rPr>
        <w:t>summary</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15"/>
          <w:sz w:val="20"/>
          <w:szCs w:val="20"/>
        </w:rPr>
        <w:t>of</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5"/>
          <w:sz w:val="20"/>
          <w:szCs w:val="20"/>
        </w:rPr>
        <w:t>the</w:t>
      </w:r>
      <w:r>
        <w:rPr>
          <w:rFonts w:ascii="微软雅黑" w:hAnsi="微软雅黑" w:eastAsia="微软雅黑" w:cs="微软雅黑"/>
          <w:color w:val="231F20"/>
          <w:spacing w:val="27"/>
          <w:w w:val="101"/>
          <w:sz w:val="20"/>
          <w:szCs w:val="20"/>
        </w:rPr>
        <w:t xml:space="preserve"> </w:t>
      </w:r>
      <w:r>
        <w:rPr>
          <w:rFonts w:ascii="微软雅黑" w:hAnsi="微软雅黑" w:eastAsia="微软雅黑" w:cs="微软雅黑"/>
          <w:color w:val="231F20"/>
          <w:spacing w:val="-15"/>
          <w:sz w:val="20"/>
          <w:szCs w:val="20"/>
        </w:rPr>
        <w:t>effectiveness</w:t>
      </w:r>
      <w:r>
        <w:rPr>
          <w:rFonts w:ascii="微软雅黑" w:hAnsi="微软雅黑" w:eastAsia="微软雅黑" w:cs="微软雅黑"/>
          <w:color w:val="231F20"/>
          <w:spacing w:val="26"/>
          <w:w w:val="101"/>
          <w:sz w:val="20"/>
          <w:szCs w:val="20"/>
        </w:rPr>
        <w:t xml:space="preserve"> </w:t>
      </w:r>
      <w:r>
        <w:rPr>
          <w:rFonts w:ascii="微软雅黑" w:hAnsi="微软雅黑" w:eastAsia="微软雅黑" w:cs="微软雅黑"/>
          <w:color w:val="231F20"/>
          <w:spacing w:val="-15"/>
          <w:sz w:val="20"/>
          <w:szCs w:val="20"/>
        </w:rPr>
        <w:t>of</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5"/>
          <w:sz w:val="20"/>
          <w:szCs w:val="20"/>
        </w:rPr>
        <w:t>implementation</w:t>
      </w:r>
      <w:r>
        <w:rPr>
          <w:rFonts w:ascii="微软雅黑" w:hAnsi="微软雅黑" w:eastAsia="微软雅黑" w:cs="微软雅黑"/>
          <w:color w:val="231F20"/>
          <w:spacing w:val="26"/>
          <w:w w:val="101"/>
          <w:sz w:val="20"/>
          <w:szCs w:val="20"/>
        </w:rPr>
        <w:t xml:space="preserve"> </w:t>
      </w:r>
      <w:r>
        <w:rPr>
          <w:rFonts w:ascii="微软雅黑" w:hAnsi="微软雅黑" w:eastAsia="微软雅黑" w:cs="微软雅黑"/>
          <w:color w:val="231F20"/>
          <w:spacing w:val="-15"/>
          <w:sz w:val="20"/>
          <w:szCs w:val="20"/>
        </w:rPr>
        <w:t>of</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5"/>
          <w:sz w:val="20"/>
          <w:szCs w:val="20"/>
        </w:rPr>
        <w:t xml:space="preserve">the  </w:t>
      </w:r>
      <w:r>
        <w:rPr>
          <w:rFonts w:ascii="微软雅黑" w:hAnsi="微软雅黑" w:eastAsia="微软雅黑" w:cs="微软雅黑"/>
          <w:color w:val="231F20"/>
          <w:spacing w:val="-15"/>
          <w:sz w:val="19"/>
          <w:szCs w:val="19"/>
        </w:rPr>
        <w:t>“</w:t>
      </w:r>
      <w:r>
        <w:rPr>
          <w:rFonts w:ascii="微软雅黑" w:hAnsi="微软雅黑" w:eastAsia="微软雅黑" w:cs="微软雅黑"/>
          <w:color w:val="231F20"/>
          <w:spacing w:val="-15"/>
          <w:sz w:val="20"/>
          <w:szCs w:val="20"/>
        </w:rPr>
        <w:t>for</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16"/>
          <w:sz w:val="20"/>
          <w:szCs w:val="20"/>
        </w:rPr>
        <w:t>excellence</w:t>
      </w:r>
      <w:r>
        <w:rPr>
          <w:rFonts w:ascii="微软雅黑" w:hAnsi="微软雅黑" w:eastAsia="微软雅黑" w:cs="微软雅黑"/>
          <w:color w:val="231F20"/>
          <w:spacing w:val="-36"/>
          <w:sz w:val="20"/>
          <w:szCs w:val="20"/>
        </w:rPr>
        <w:t xml:space="preserve"> </w:t>
      </w:r>
      <w:r>
        <w:rPr>
          <w:rFonts w:ascii="微软雅黑" w:hAnsi="微软雅黑" w:eastAsia="微软雅黑" w:cs="微软雅黑"/>
          <w:color w:val="231F20"/>
          <w:spacing w:val="-16"/>
          <w:sz w:val="19"/>
          <w:szCs w:val="19"/>
        </w:rPr>
        <w:t>”</w:t>
      </w:r>
      <w:r>
        <w:rPr>
          <w:rFonts w:ascii="微软雅黑" w:hAnsi="微软雅黑" w:eastAsia="微软雅黑" w:cs="微软雅黑"/>
          <w:color w:val="231F20"/>
          <w:spacing w:val="-16"/>
          <w:sz w:val="20"/>
          <w:szCs w:val="20"/>
        </w:rPr>
        <w:t>projects</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16"/>
          <w:sz w:val="20"/>
          <w:szCs w:val="20"/>
        </w:rPr>
        <w:t>o</w:t>
      </w:r>
      <w:r>
        <w:rPr>
          <w:rFonts w:ascii="微软雅黑" w:hAnsi="微软雅黑" w:eastAsia="微软雅黑" w:cs="微软雅黑"/>
          <w:color w:val="231F20"/>
          <w:spacing w:val="3"/>
          <w:sz w:val="20"/>
          <w:szCs w:val="20"/>
        </w:rPr>
        <w:t>f</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5"/>
          <w:sz w:val="20"/>
          <w:szCs w:val="20"/>
        </w:rPr>
        <w:t>higher  education  in</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5"/>
          <w:sz w:val="20"/>
          <w:szCs w:val="20"/>
        </w:rPr>
        <w:t>China</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5"/>
          <w:sz w:val="20"/>
          <w:szCs w:val="20"/>
        </w:rPr>
        <w:t>over</w:t>
      </w:r>
      <w:r>
        <w:rPr>
          <w:rFonts w:ascii="微软雅黑" w:hAnsi="微软雅黑" w:eastAsia="微软雅黑" w:cs="微软雅黑"/>
          <w:color w:val="231F20"/>
          <w:spacing w:val="56"/>
          <w:sz w:val="20"/>
          <w:szCs w:val="20"/>
        </w:rPr>
        <w:t xml:space="preserve"> </w:t>
      </w:r>
      <w:r>
        <w:rPr>
          <w:rFonts w:ascii="微软雅黑" w:hAnsi="微软雅黑" w:eastAsia="微软雅黑" w:cs="微软雅黑"/>
          <w:color w:val="231F20"/>
          <w:spacing w:val="-15"/>
          <w:sz w:val="20"/>
          <w:szCs w:val="20"/>
        </w:rPr>
        <w:t>the</w:t>
      </w:r>
      <w:r>
        <w:rPr>
          <w:rFonts w:ascii="微软雅黑" w:hAnsi="微软雅黑" w:eastAsia="微软雅黑" w:cs="微软雅黑"/>
          <w:color w:val="231F20"/>
          <w:spacing w:val="58"/>
          <w:sz w:val="20"/>
          <w:szCs w:val="20"/>
        </w:rPr>
        <w:t xml:space="preserve"> </w:t>
      </w:r>
      <w:r>
        <w:rPr>
          <w:rFonts w:ascii="微软雅黑" w:hAnsi="微软雅黑" w:eastAsia="微软雅黑" w:cs="微软雅黑"/>
          <w:color w:val="231F20"/>
          <w:spacing w:val="-15"/>
          <w:sz w:val="20"/>
          <w:szCs w:val="20"/>
        </w:rPr>
        <w:t>past</w:t>
      </w:r>
      <w:r>
        <w:rPr>
          <w:rFonts w:ascii="微软雅黑" w:hAnsi="微软雅黑" w:eastAsia="微软雅黑" w:cs="微软雅黑"/>
          <w:color w:val="231F20"/>
          <w:spacing w:val="54"/>
          <w:w w:val="101"/>
          <w:sz w:val="20"/>
          <w:szCs w:val="20"/>
        </w:rPr>
        <w:t xml:space="preserve"> </w:t>
      </w:r>
      <w:r>
        <w:rPr>
          <w:rFonts w:ascii="微软雅黑" w:hAnsi="微软雅黑" w:eastAsia="微软雅黑" w:cs="微软雅黑"/>
          <w:color w:val="231F20"/>
          <w:spacing w:val="-15"/>
          <w:sz w:val="20"/>
          <w:szCs w:val="20"/>
        </w:rPr>
        <w:t>five</w:t>
      </w:r>
      <w:r>
        <w:rPr>
          <w:rFonts w:ascii="微软雅黑" w:hAnsi="微软雅黑" w:eastAsia="微软雅黑" w:cs="微软雅黑"/>
          <w:color w:val="231F20"/>
          <w:spacing w:val="56"/>
          <w:sz w:val="20"/>
          <w:szCs w:val="20"/>
        </w:rPr>
        <w:t xml:space="preserve"> </w:t>
      </w:r>
      <w:r>
        <w:rPr>
          <w:rFonts w:ascii="微软雅黑" w:hAnsi="微软雅黑" w:eastAsia="微软雅黑" w:cs="微软雅黑"/>
          <w:color w:val="231F20"/>
          <w:spacing w:val="-15"/>
          <w:sz w:val="20"/>
          <w:szCs w:val="20"/>
        </w:rPr>
        <w:t>years,</w:t>
      </w:r>
      <w:r>
        <w:rPr>
          <w:rFonts w:ascii="微软雅黑" w:hAnsi="微软雅黑" w:eastAsia="微软雅黑" w:cs="微软雅黑"/>
          <w:color w:val="231F20"/>
          <w:spacing w:val="59"/>
          <w:sz w:val="20"/>
          <w:szCs w:val="20"/>
        </w:rPr>
        <w:t xml:space="preserve"> </w:t>
      </w:r>
      <w:r>
        <w:rPr>
          <w:rFonts w:ascii="微软雅黑" w:hAnsi="微软雅黑" w:eastAsia="微软雅黑" w:cs="微软雅黑"/>
          <w:color w:val="231F20"/>
          <w:spacing w:val="-15"/>
          <w:sz w:val="20"/>
          <w:szCs w:val="20"/>
        </w:rPr>
        <w:t>this</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5"/>
          <w:sz w:val="20"/>
          <w:szCs w:val="20"/>
        </w:rPr>
        <w:t>pap</w:t>
      </w:r>
      <w:r>
        <w:rPr>
          <w:rFonts w:ascii="微软雅黑" w:hAnsi="微软雅黑" w:eastAsia="微软雅黑" w:cs="微软雅黑"/>
          <w:color w:val="231F20"/>
          <w:spacing w:val="-16"/>
          <w:sz w:val="20"/>
          <w:szCs w:val="20"/>
        </w:rPr>
        <w:t>er</w:t>
      </w:r>
      <w:r>
        <w:rPr>
          <w:rFonts w:ascii="微软雅黑" w:hAnsi="微软雅黑" w:eastAsia="微软雅黑" w:cs="微软雅黑"/>
          <w:color w:val="231F20"/>
          <w:spacing w:val="58"/>
          <w:sz w:val="20"/>
          <w:szCs w:val="20"/>
        </w:rPr>
        <w:t xml:space="preserve"> </w:t>
      </w:r>
      <w:r>
        <w:rPr>
          <w:rFonts w:ascii="微软雅黑" w:hAnsi="微软雅黑" w:eastAsia="微软雅黑" w:cs="微软雅黑"/>
          <w:color w:val="231F20"/>
          <w:spacing w:val="-16"/>
          <w:sz w:val="20"/>
          <w:szCs w:val="20"/>
        </w:rPr>
        <w:t>teased</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6"/>
          <w:sz w:val="20"/>
          <w:szCs w:val="20"/>
        </w:rPr>
        <w:t>out</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6"/>
          <w:sz w:val="20"/>
          <w:szCs w:val="20"/>
        </w:rPr>
        <w:t>the</w:t>
      </w:r>
      <w:r>
        <w:rPr>
          <w:rFonts w:ascii="微软雅黑" w:hAnsi="微软雅黑" w:eastAsia="微软雅黑" w:cs="微软雅黑"/>
          <w:color w:val="231F20"/>
          <w:spacing w:val="59"/>
          <w:w w:val="101"/>
          <w:sz w:val="20"/>
          <w:szCs w:val="20"/>
        </w:rPr>
        <w:t xml:space="preserve"> </w:t>
      </w:r>
      <w:r>
        <w:rPr>
          <w:rFonts w:ascii="微软雅黑" w:hAnsi="微软雅黑" w:eastAsia="微软雅黑" w:cs="微软雅黑"/>
          <w:color w:val="231F20"/>
          <w:spacing w:val="-16"/>
          <w:sz w:val="20"/>
          <w:szCs w:val="20"/>
        </w:rPr>
        <w:t>turning</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6"/>
          <w:sz w:val="20"/>
          <w:szCs w:val="20"/>
        </w:rPr>
        <w:t>process</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6"/>
          <w:sz w:val="20"/>
          <w:szCs w:val="20"/>
        </w:rPr>
        <w:t>of  the</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6"/>
          <w:sz w:val="20"/>
          <w:szCs w:val="20"/>
        </w:rPr>
        <w:t>policy</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5"/>
          <w:sz w:val="20"/>
          <w:szCs w:val="20"/>
        </w:rPr>
        <w:t>direction</w:t>
      </w:r>
      <w:r>
        <w:rPr>
          <w:rFonts w:ascii="微软雅黑" w:hAnsi="微软雅黑" w:eastAsia="微软雅黑" w:cs="微软雅黑"/>
          <w:color w:val="231F20"/>
          <w:spacing w:val="26"/>
          <w:w w:val="101"/>
          <w:sz w:val="20"/>
          <w:szCs w:val="20"/>
        </w:rPr>
        <w:t xml:space="preserve"> </w:t>
      </w:r>
      <w:r>
        <w:rPr>
          <w:rFonts w:ascii="微软雅黑" w:hAnsi="微软雅黑" w:eastAsia="微软雅黑" w:cs="微软雅黑"/>
          <w:color w:val="231F20"/>
          <w:spacing w:val="-15"/>
          <w:sz w:val="20"/>
          <w:szCs w:val="20"/>
        </w:rPr>
        <w:t>of</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5"/>
          <w:sz w:val="20"/>
          <w:szCs w:val="20"/>
        </w:rPr>
        <w:t xml:space="preserve">the  </w:t>
      </w:r>
      <w:r>
        <w:rPr>
          <w:rFonts w:ascii="微软雅黑" w:hAnsi="微软雅黑" w:eastAsia="微软雅黑" w:cs="微软雅黑"/>
          <w:color w:val="231F20"/>
          <w:spacing w:val="-15"/>
          <w:sz w:val="19"/>
          <w:szCs w:val="19"/>
        </w:rPr>
        <w:t>“</w:t>
      </w:r>
      <w:r>
        <w:rPr>
          <w:rFonts w:ascii="微软雅黑" w:hAnsi="微软雅黑" w:eastAsia="微软雅黑" w:cs="微软雅黑"/>
          <w:color w:val="231F20"/>
          <w:spacing w:val="-15"/>
          <w:sz w:val="20"/>
          <w:szCs w:val="20"/>
        </w:rPr>
        <w:t>for</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15"/>
          <w:sz w:val="20"/>
          <w:szCs w:val="20"/>
        </w:rPr>
        <w:t>excellence</w:t>
      </w:r>
      <w:r>
        <w:rPr>
          <w:rFonts w:ascii="微软雅黑" w:hAnsi="微软雅黑" w:eastAsia="微软雅黑" w:cs="微软雅黑"/>
          <w:color w:val="231F20"/>
          <w:spacing w:val="-36"/>
          <w:sz w:val="20"/>
          <w:szCs w:val="20"/>
        </w:rPr>
        <w:t xml:space="preserve"> </w:t>
      </w:r>
      <w:r>
        <w:rPr>
          <w:rFonts w:ascii="微软雅黑" w:hAnsi="微软雅黑" w:eastAsia="微软雅黑" w:cs="微软雅黑"/>
          <w:color w:val="231F20"/>
          <w:spacing w:val="-15"/>
          <w:sz w:val="19"/>
          <w:szCs w:val="19"/>
        </w:rPr>
        <w:t>”</w:t>
      </w:r>
      <w:r>
        <w:rPr>
          <w:rFonts w:ascii="微软雅黑" w:hAnsi="微软雅黑" w:eastAsia="微软雅黑" w:cs="微软雅黑"/>
          <w:color w:val="231F20"/>
          <w:spacing w:val="-15"/>
          <w:sz w:val="20"/>
          <w:szCs w:val="20"/>
        </w:rPr>
        <w:t>projects</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5"/>
          <w:sz w:val="20"/>
          <w:szCs w:val="20"/>
        </w:rPr>
        <w:t>of</w:t>
      </w:r>
      <w:r>
        <w:rPr>
          <w:rFonts w:ascii="微软雅黑" w:hAnsi="微软雅黑" w:eastAsia="微软雅黑" w:cs="微软雅黑"/>
          <w:color w:val="231F20"/>
          <w:spacing w:val="15"/>
          <w:w w:val="101"/>
          <w:sz w:val="20"/>
          <w:szCs w:val="20"/>
        </w:rPr>
        <w:t xml:space="preserve"> </w:t>
      </w:r>
      <w:r>
        <w:rPr>
          <w:rFonts w:ascii="微软雅黑" w:hAnsi="微软雅黑" w:eastAsia="微软雅黑" w:cs="微软雅黑"/>
          <w:color w:val="231F20"/>
          <w:spacing w:val="-15"/>
          <w:sz w:val="20"/>
          <w:szCs w:val="20"/>
        </w:rPr>
        <w:t>higher</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15"/>
          <w:sz w:val="20"/>
          <w:szCs w:val="20"/>
        </w:rPr>
        <w:t>education</w:t>
      </w:r>
      <w:r>
        <w:rPr>
          <w:rFonts w:ascii="微软雅黑" w:hAnsi="微软雅黑" w:eastAsia="微软雅黑" w:cs="微软雅黑"/>
          <w:color w:val="231F20"/>
          <w:spacing w:val="28"/>
          <w:w w:val="101"/>
          <w:sz w:val="20"/>
          <w:szCs w:val="20"/>
        </w:rPr>
        <w:t xml:space="preserve"> </w:t>
      </w:r>
      <w:r>
        <w:rPr>
          <w:rFonts w:ascii="微软雅黑" w:hAnsi="微软雅黑" w:eastAsia="微软雅黑" w:cs="微软雅黑"/>
          <w:color w:val="231F20"/>
          <w:spacing w:val="-15"/>
          <w:sz w:val="20"/>
          <w:szCs w:val="20"/>
        </w:rPr>
        <w:t>in</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15"/>
          <w:sz w:val="20"/>
          <w:szCs w:val="20"/>
        </w:rPr>
        <w:t>China,</w:t>
      </w:r>
      <w:r>
        <w:rPr>
          <w:rFonts w:ascii="微软雅黑" w:hAnsi="微软雅黑" w:eastAsia="微软雅黑" w:cs="微软雅黑"/>
          <w:color w:val="231F20"/>
          <w:spacing w:val="26"/>
          <w:w w:val="101"/>
          <w:sz w:val="20"/>
          <w:szCs w:val="20"/>
        </w:rPr>
        <w:t xml:space="preserve"> </w:t>
      </w:r>
      <w:r>
        <w:rPr>
          <w:rFonts w:ascii="微软雅黑" w:hAnsi="微软雅黑" w:eastAsia="微软雅黑" w:cs="微软雅黑"/>
          <w:color w:val="231F20"/>
          <w:spacing w:val="-15"/>
          <w:sz w:val="20"/>
          <w:szCs w:val="20"/>
        </w:rPr>
        <w:t>pointed</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15"/>
          <w:sz w:val="20"/>
          <w:szCs w:val="20"/>
        </w:rPr>
        <w:t>out</w:t>
      </w:r>
      <w:r>
        <w:rPr>
          <w:rFonts w:ascii="微软雅黑" w:hAnsi="微软雅黑" w:eastAsia="微软雅黑" w:cs="微软雅黑"/>
          <w:color w:val="231F20"/>
          <w:spacing w:val="26"/>
          <w:w w:val="101"/>
          <w:sz w:val="20"/>
          <w:szCs w:val="20"/>
        </w:rPr>
        <w:t xml:space="preserve"> </w:t>
      </w:r>
      <w:r>
        <w:rPr>
          <w:rFonts w:ascii="微软雅黑" w:hAnsi="微软雅黑" w:eastAsia="微软雅黑" w:cs="微软雅黑"/>
          <w:color w:val="231F20"/>
          <w:spacing w:val="-15"/>
          <w:sz w:val="20"/>
          <w:szCs w:val="20"/>
        </w:rPr>
        <w:t>the</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5"/>
          <w:sz w:val="20"/>
          <w:szCs w:val="20"/>
        </w:rPr>
        <w:t>core</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5"/>
          <w:sz w:val="20"/>
          <w:szCs w:val="20"/>
        </w:rPr>
        <w:t>issues</w:t>
      </w:r>
      <w:r>
        <w:rPr>
          <w:rFonts w:ascii="微软雅黑" w:hAnsi="微软雅黑" w:eastAsia="微软雅黑" w:cs="微软雅黑"/>
          <w:color w:val="231F20"/>
          <w:spacing w:val="29"/>
          <w:w w:val="101"/>
          <w:sz w:val="20"/>
          <w:szCs w:val="20"/>
        </w:rPr>
        <w:t xml:space="preserve"> </w:t>
      </w:r>
      <w:r>
        <w:rPr>
          <w:rFonts w:ascii="微软雅黑" w:hAnsi="微软雅黑" w:eastAsia="微软雅黑" w:cs="微软雅黑"/>
          <w:color w:val="231F20"/>
          <w:spacing w:val="-15"/>
          <w:sz w:val="20"/>
          <w:szCs w:val="20"/>
        </w:rPr>
        <w:t>exis</w:t>
      </w:r>
      <w:r>
        <w:rPr>
          <w:rFonts w:ascii="微软雅黑" w:hAnsi="微软雅黑" w:eastAsia="微软雅黑" w:cs="微软雅黑"/>
          <w:color w:val="231F20"/>
          <w:spacing w:val="-16"/>
          <w:sz w:val="20"/>
          <w:szCs w:val="20"/>
        </w:rPr>
        <w:t>t</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6"/>
          <w:sz w:val="20"/>
          <w:szCs w:val="20"/>
        </w:rPr>
        <w:t>in</w:t>
      </w:r>
      <w:r>
        <w:rPr>
          <w:rFonts w:ascii="微软雅黑" w:hAnsi="微软雅黑" w:eastAsia="微软雅黑" w:cs="微软雅黑"/>
          <w:color w:val="231F20"/>
          <w:spacing w:val="25"/>
          <w:w w:val="101"/>
          <w:sz w:val="20"/>
          <w:szCs w:val="20"/>
        </w:rPr>
        <w:t xml:space="preserve"> </w:t>
      </w:r>
      <w:r>
        <w:rPr>
          <w:rFonts w:ascii="微软雅黑" w:hAnsi="微软雅黑" w:eastAsia="微软雅黑" w:cs="微软雅黑"/>
          <w:color w:val="231F20"/>
          <w:spacing w:val="-16"/>
          <w:sz w:val="20"/>
          <w:szCs w:val="20"/>
        </w:rPr>
        <w:t>this</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1"/>
          <w:sz w:val="20"/>
          <w:szCs w:val="20"/>
        </w:rPr>
        <w:t>process,</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21"/>
          <w:sz w:val="20"/>
          <w:szCs w:val="20"/>
        </w:rPr>
        <w:t>and</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21"/>
          <w:sz w:val="20"/>
          <w:szCs w:val="20"/>
        </w:rPr>
        <w:t>put</w:t>
      </w:r>
      <w:r>
        <w:rPr>
          <w:rFonts w:ascii="微软雅黑" w:hAnsi="微软雅黑" w:eastAsia="微软雅黑" w:cs="微软雅黑"/>
          <w:color w:val="231F20"/>
          <w:spacing w:val="27"/>
          <w:w w:val="101"/>
          <w:sz w:val="20"/>
          <w:szCs w:val="20"/>
        </w:rPr>
        <w:t xml:space="preserve"> </w:t>
      </w:r>
      <w:r>
        <w:rPr>
          <w:rFonts w:ascii="微软雅黑" w:hAnsi="微软雅黑" w:eastAsia="微软雅黑" w:cs="微软雅黑"/>
          <w:color w:val="231F20"/>
          <w:spacing w:val="-21"/>
          <w:sz w:val="20"/>
          <w:szCs w:val="20"/>
        </w:rPr>
        <w:t>fo</w:t>
      </w:r>
      <w:r>
        <w:rPr>
          <w:rFonts w:ascii="微软雅黑" w:hAnsi="微软雅黑" w:eastAsia="微软雅黑" w:cs="微软雅黑"/>
          <w:color w:val="231F20"/>
          <w:spacing w:val="-20"/>
          <w:sz w:val="20"/>
          <w:szCs w:val="20"/>
        </w:rPr>
        <w:t>rward</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20"/>
          <w:sz w:val="20"/>
          <w:szCs w:val="20"/>
        </w:rPr>
        <w:t>a</w:t>
      </w:r>
      <w:r>
        <w:rPr>
          <w:rFonts w:ascii="微软雅黑" w:hAnsi="微软雅黑" w:eastAsia="微软雅黑" w:cs="微软雅黑"/>
          <w:color w:val="231F20"/>
          <w:spacing w:val="34"/>
          <w:w w:val="101"/>
          <w:sz w:val="20"/>
          <w:szCs w:val="20"/>
        </w:rPr>
        <w:t xml:space="preserve"> </w:t>
      </w:r>
      <w:r>
        <w:rPr>
          <w:rFonts w:ascii="微软雅黑" w:hAnsi="微软雅黑" w:eastAsia="微软雅黑" w:cs="微软雅黑"/>
          <w:color w:val="231F20"/>
          <w:spacing w:val="-20"/>
          <w:sz w:val="20"/>
          <w:szCs w:val="20"/>
        </w:rPr>
        <w:t>number</w:t>
      </w:r>
      <w:r>
        <w:rPr>
          <w:rFonts w:ascii="微软雅黑" w:hAnsi="微软雅黑" w:eastAsia="微软雅黑" w:cs="微软雅黑"/>
          <w:color w:val="231F20"/>
          <w:spacing w:val="32"/>
          <w:w w:val="101"/>
          <w:sz w:val="20"/>
          <w:szCs w:val="20"/>
        </w:rPr>
        <w:t xml:space="preserve"> </w:t>
      </w:r>
      <w:r>
        <w:rPr>
          <w:rFonts w:ascii="微软雅黑" w:hAnsi="微软雅黑" w:eastAsia="微软雅黑" w:cs="微软雅黑"/>
          <w:color w:val="231F20"/>
          <w:spacing w:val="-20"/>
          <w:sz w:val="20"/>
          <w:szCs w:val="20"/>
        </w:rPr>
        <w:t>of</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20"/>
          <w:sz w:val="20"/>
          <w:szCs w:val="20"/>
        </w:rPr>
        <w:t>improving</w:t>
      </w:r>
      <w:r>
        <w:rPr>
          <w:rFonts w:ascii="微软雅黑" w:hAnsi="微软雅黑" w:eastAsia="微软雅黑" w:cs="微软雅黑"/>
          <w:color w:val="231F20"/>
          <w:spacing w:val="37"/>
          <w:sz w:val="20"/>
          <w:szCs w:val="20"/>
        </w:rPr>
        <w:t xml:space="preserve"> </w:t>
      </w:r>
      <w:r>
        <w:rPr>
          <w:rFonts w:ascii="微软雅黑" w:hAnsi="微软雅黑" w:eastAsia="微软雅黑" w:cs="微软雅黑"/>
          <w:color w:val="231F20"/>
          <w:spacing w:val="-20"/>
          <w:sz w:val="20"/>
          <w:szCs w:val="20"/>
        </w:rPr>
        <w:t>suggestions</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20"/>
          <w:sz w:val="20"/>
          <w:szCs w:val="20"/>
        </w:rPr>
        <w:t>on</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20"/>
          <w:sz w:val="20"/>
          <w:szCs w:val="20"/>
        </w:rPr>
        <w:t>the</w:t>
      </w:r>
      <w:r>
        <w:rPr>
          <w:rFonts w:ascii="微软雅黑" w:hAnsi="微软雅黑" w:eastAsia="微软雅黑" w:cs="微软雅黑"/>
          <w:color w:val="231F20"/>
          <w:spacing w:val="34"/>
          <w:w w:val="101"/>
          <w:sz w:val="20"/>
          <w:szCs w:val="20"/>
        </w:rPr>
        <w:t xml:space="preserve"> </w:t>
      </w:r>
      <w:r>
        <w:rPr>
          <w:rFonts w:ascii="微软雅黑" w:hAnsi="微软雅黑" w:eastAsia="微软雅黑" w:cs="微软雅黑"/>
          <w:color w:val="231F20"/>
          <w:spacing w:val="-20"/>
          <w:sz w:val="20"/>
          <w:szCs w:val="20"/>
        </w:rPr>
        <w:t>management</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20"/>
          <w:sz w:val="20"/>
          <w:szCs w:val="20"/>
        </w:rPr>
        <w:t>and</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20"/>
          <w:sz w:val="20"/>
          <w:szCs w:val="20"/>
        </w:rPr>
        <w:t>the</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20"/>
          <w:sz w:val="20"/>
          <w:szCs w:val="20"/>
        </w:rPr>
        <w:t>implementation</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20"/>
          <w:sz w:val="20"/>
          <w:szCs w:val="20"/>
        </w:rPr>
        <w:t>way</w:t>
      </w:r>
      <w:r>
        <w:rPr>
          <w:rFonts w:ascii="微软雅黑" w:hAnsi="微软雅黑" w:eastAsia="微软雅黑" w:cs="微软雅黑"/>
          <w:color w:val="231F20"/>
          <w:spacing w:val="34"/>
          <w:w w:val="101"/>
          <w:sz w:val="20"/>
          <w:szCs w:val="20"/>
        </w:rPr>
        <w:t xml:space="preserve"> </w:t>
      </w:r>
      <w:r>
        <w:rPr>
          <w:rFonts w:ascii="微软雅黑" w:hAnsi="微软雅黑" w:eastAsia="微软雅黑" w:cs="微软雅黑"/>
          <w:color w:val="231F20"/>
          <w:spacing w:val="-20"/>
          <w:sz w:val="20"/>
          <w:szCs w:val="20"/>
        </w:rPr>
        <w:t>o</w:t>
      </w:r>
      <w:r>
        <w:rPr>
          <w:rFonts w:ascii="微软雅黑" w:hAnsi="微软雅黑" w:eastAsia="微软雅黑" w:cs="微软雅黑"/>
          <w:color w:val="231F20"/>
          <w:spacing w:val="-4"/>
          <w:sz w:val="20"/>
          <w:szCs w:val="20"/>
        </w:rPr>
        <w:t>f</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5"/>
          <w:sz w:val="20"/>
          <w:szCs w:val="20"/>
        </w:rPr>
        <w:t>the</w:t>
      </w:r>
      <w:r>
        <w:rPr>
          <w:rFonts w:ascii="微软雅黑" w:hAnsi="微软雅黑" w:eastAsia="微软雅黑" w:cs="微软雅黑"/>
          <w:color w:val="231F20"/>
          <w:spacing w:val="30"/>
          <w:w w:val="101"/>
          <w:sz w:val="20"/>
          <w:szCs w:val="20"/>
        </w:rPr>
        <w:t xml:space="preserve"> </w:t>
      </w:r>
      <w:r>
        <w:rPr>
          <w:rFonts w:ascii="微软雅黑" w:hAnsi="微软雅黑" w:eastAsia="微软雅黑" w:cs="微软雅黑"/>
          <w:color w:val="231F20"/>
          <w:spacing w:val="-15"/>
          <w:sz w:val="19"/>
          <w:szCs w:val="19"/>
        </w:rPr>
        <w:t>“</w:t>
      </w:r>
      <w:r>
        <w:rPr>
          <w:rFonts w:ascii="微软雅黑" w:hAnsi="微软雅黑" w:eastAsia="微软雅黑" w:cs="微软雅黑"/>
          <w:color w:val="231F20"/>
          <w:spacing w:val="-15"/>
          <w:sz w:val="20"/>
          <w:szCs w:val="20"/>
        </w:rPr>
        <w:t>for</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5"/>
          <w:sz w:val="20"/>
          <w:szCs w:val="20"/>
        </w:rPr>
        <w:t>excellence</w:t>
      </w:r>
      <w:r>
        <w:rPr>
          <w:rFonts w:ascii="微软雅黑" w:hAnsi="微软雅黑" w:eastAsia="微软雅黑" w:cs="微软雅黑"/>
          <w:color w:val="231F20"/>
          <w:spacing w:val="-15"/>
          <w:sz w:val="19"/>
          <w:szCs w:val="19"/>
        </w:rPr>
        <w:t>”</w:t>
      </w:r>
      <w:r>
        <w:rPr>
          <w:rFonts w:ascii="微软雅黑" w:hAnsi="微软雅黑" w:eastAsia="微软雅黑" w:cs="微软雅黑"/>
          <w:color w:val="231F20"/>
          <w:spacing w:val="-15"/>
          <w:sz w:val="20"/>
          <w:szCs w:val="20"/>
        </w:rPr>
        <w:t>pr</w:t>
      </w:r>
      <w:r>
        <w:rPr>
          <w:rFonts w:ascii="微软雅黑" w:hAnsi="微软雅黑" w:eastAsia="微软雅黑" w:cs="微软雅黑"/>
          <w:color w:val="231F20"/>
          <w:spacing w:val="-16"/>
          <w:sz w:val="20"/>
          <w:szCs w:val="20"/>
        </w:rPr>
        <w:t>ojects</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16"/>
          <w:sz w:val="20"/>
          <w:szCs w:val="20"/>
        </w:rPr>
        <w:t>of</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16"/>
          <w:sz w:val="20"/>
          <w:szCs w:val="20"/>
        </w:rPr>
        <w:t>higher</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6"/>
          <w:sz w:val="20"/>
          <w:szCs w:val="20"/>
        </w:rPr>
        <w:t>education</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6"/>
          <w:sz w:val="20"/>
          <w:szCs w:val="20"/>
        </w:rPr>
        <w:t>in</w:t>
      </w:r>
      <w:r>
        <w:rPr>
          <w:rFonts w:ascii="微软雅黑" w:hAnsi="微软雅黑" w:eastAsia="微软雅黑" w:cs="微软雅黑"/>
          <w:color w:val="231F20"/>
          <w:spacing w:val="20"/>
          <w:w w:val="101"/>
          <w:sz w:val="20"/>
          <w:szCs w:val="20"/>
        </w:rPr>
        <w:t xml:space="preserve"> </w:t>
      </w:r>
      <w:r>
        <w:rPr>
          <w:rFonts w:ascii="微软雅黑" w:hAnsi="微软雅黑" w:eastAsia="微软雅黑" w:cs="微软雅黑"/>
          <w:color w:val="231F20"/>
          <w:spacing w:val="-16"/>
          <w:sz w:val="20"/>
          <w:szCs w:val="20"/>
        </w:rPr>
        <w:t>China</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6"/>
          <w:sz w:val="20"/>
          <w:szCs w:val="20"/>
        </w:rPr>
        <w:t>from</w:t>
      </w:r>
      <w:r>
        <w:rPr>
          <w:rFonts w:ascii="微软雅黑" w:hAnsi="微软雅黑" w:eastAsia="微软雅黑" w:cs="微软雅黑"/>
          <w:color w:val="231F20"/>
          <w:spacing w:val="14"/>
          <w:w w:val="101"/>
          <w:sz w:val="20"/>
          <w:szCs w:val="20"/>
        </w:rPr>
        <w:t xml:space="preserve"> </w:t>
      </w:r>
      <w:r>
        <w:rPr>
          <w:rFonts w:ascii="微软雅黑" w:hAnsi="微软雅黑" w:eastAsia="微软雅黑" w:cs="微软雅黑"/>
          <w:color w:val="231F20"/>
          <w:spacing w:val="-16"/>
          <w:sz w:val="20"/>
          <w:szCs w:val="20"/>
        </w:rPr>
        <w:t>three</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16"/>
          <w:sz w:val="20"/>
          <w:szCs w:val="20"/>
        </w:rPr>
        <w:t>aspects,</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6"/>
          <w:sz w:val="20"/>
          <w:szCs w:val="20"/>
        </w:rPr>
        <w:t>which</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16"/>
          <w:sz w:val="20"/>
          <w:szCs w:val="20"/>
        </w:rPr>
        <w:t>are</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6"/>
          <w:sz w:val="20"/>
          <w:szCs w:val="20"/>
        </w:rPr>
        <w:t>the</w:t>
      </w:r>
      <w:r>
        <w:rPr>
          <w:rFonts w:ascii="微软雅黑" w:hAnsi="微软雅黑" w:eastAsia="微软雅黑" w:cs="微软雅黑"/>
          <w:color w:val="231F20"/>
          <w:spacing w:val="15"/>
          <w:w w:val="101"/>
          <w:sz w:val="20"/>
          <w:szCs w:val="20"/>
        </w:rPr>
        <w:t xml:space="preserve"> </w:t>
      </w:r>
      <w:r>
        <w:rPr>
          <w:rFonts w:ascii="微软雅黑" w:hAnsi="微软雅黑" w:eastAsia="微软雅黑" w:cs="微软雅黑"/>
          <w:color w:val="231F20"/>
          <w:spacing w:val="-16"/>
          <w:sz w:val="20"/>
          <w:szCs w:val="20"/>
        </w:rPr>
        <w:t>pooling</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6"/>
          <w:sz w:val="20"/>
          <w:szCs w:val="20"/>
        </w:rPr>
        <w:t>of</w:t>
      </w:r>
      <w:r>
        <w:rPr>
          <w:rFonts w:ascii="微软雅黑" w:hAnsi="微软雅黑" w:eastAsia="微软雅黑" w:cs="微软雅黑"/>
          <w:color w:val="231F20"/>
          <w:spacing w:val="5"/>
          <w:sz w:val="20"/>
          <w:szCs w:val="20"/>
        </w:rPr>
        <w:t xml:space="preserve"> </w:t>
      </w:r>
      <w:r>
        <w:rPr>
          <w:rFonts w:ascii="微软雅黑" w:hAnsi="微软雅黑" w:eastAsia="微软雅黑" w:cs="微软雅黑"/>
          <w:color w:val="231F20"/>
          <w:spacing w:val="-16"/>
          <w:sz w:val="20"/>
          <w:szCs w:val="20"/>
        </w:rPr>
        <w:t>resources,</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5"/>
          <w:sz w:val="20"/>
          <w:szCs w:val="20"/>
        </w:rPr>
        <w:t>the</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5"/>
          <w:sz w:val="20"/>
          <w:szCs w:val="20"/>
        </w:rPr>
        <w:t>reasonable</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15"/>
          <w:sz w:val="20"/>
          <w:szCs w:val="20"/>
        </w:rPr>
        <w:t>evaluation</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15"/>
          <w:sz w:val="20"/>
          <w:szCs w:val="20"/>
        </w:rPr>
        <w:t>and</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5"/>
          <w:sz w:val="20"/>
          <w:szCs w:val="20"/>
        </w:rPr>
        <w:t>the</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15"/>
          <w:sz w:val="20"/>
          <w:szCs w:val="20"/>
        </w:rPr>
        <w:t>accurate</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6"/>
          <w:sz w:val="20"/>
          <w:szCs w:val="20"/>
        </w:rPr>
        <w:t>financial</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16"/>
          <w:sz w:val="20"/>
          <w:szCs w:val="20"/>
        </w:rPr>
        <w:t>investment.</w:t>
      </w:r>
    </w:p>
    <w:p>
      <w:pPr>
        <w:spacing w:before="22" w:line="189" w:lineRule="auto"/>
        <w:ind w:left="720" w:right="17" w:firstLine="420"/>
        <w:jc w:val="both"/>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Key</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4"/>
          <w:sz w:val="20"/>
          <w:szCs w:val="20"/>
        </w:rPr>
        <w:t>words:</w:t>
      </w:r>
      <w:r>
        <w:rPr>
          <w:rFonts w:ascii="微软雅黑" w:hAnsi="微软雅黑" w:eastAsia="微软雅黑" w:cs="微软雅黑"/>
          <w:color w:val="231F20"/>
          <w:spacing w:val="20"/>
          <w:w w:val="101"/>
          <w:sz w:val="20"/>
          <w:szCs w:val="20"/>
        </w:rPr>
        <w:t xml:space="preserve"> </w:t>
      </w:r>
      <w:r>
        <w:rPr>
          <w:rFonts w:ascii="微软雅黑" w:hAnsi="微软雅黑" w:eastAsia="微软雅黑" w:cs="微软雅黑"/>
          <w:color w:val="231F20"/>
          <w:spacing w:val="-14"/>
          <w:sz w:val="20"/>
          <w:szCs w:val="20"/>
        </w:rPr>
        <w:t>higher</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4"/>
          <w:sz w:val="20"/>
          <w:szCs w:val="20"/>
        </w:rPr>
        <w:t>education;</w:t>
      </w:r>
      <w:r>
        <w:rPr>
          <w:rFonts w:ascii="微软雅黑" w:hAnsi="微软雅黑" w:eastAsia="微软雅黑" w:cs="微软雅黑"/>
          <w:color w:val="231F20"/>
          <w:spacing w:val="-14"/>
          <w:sz w:val="19"/>
          <w:szCs w:val="19"/>
        </w:rPr>
        <w:t>“</w:t>
      </w:r>
      <w:r>
        <w:rPr>
          <w:rFonts w:ascii="微软雅黑" w:hAnsi="微软雅黑" w:eastAsia="微软雅黑" w:cs="微软雅黑"/>
          <w:color w:val="231F20"/>
          <w:spacing w:val="-14"/>
          <w:sz w:val="20"/>
          <w:szCs w:val="20"/>
        </w:rPr>
        <w:t>for</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4"/>
          <w:sz w:val="20"/>
          <w:szCs w:val="20"/>
        </w:rPr>
        <w:t>excellence</w:t>
      </w:r>
      <w:r>
        <w:rPr>
          <w:rFonts w:ascii="微软雅黑" w:hAnsi="微软雅黑" w:eastAsia="微软雅黑" w:cs="微软雅黑"/>
          <w:color w:val="231F20"/>
          <w:spacing w:val="-14"/>
          <w:sz w:val="19"/>
          <w:szCs w:val="19"/>
        </w:rPr>
        <w:t>”</w:t>
      </w:r>
      <w:r>
        <w:rPr>
          <w:rFonts w:ascii="微软雅黑" w:hAnsi="微软雅黑" w:eastAsia="微软雅黑" w:cs="微软雅黑"/>
          <w:color w:val="231F20"/>
          <w:spacing w:val="-14"/>
          <w:sz w:val="20"/>
          <w:szCs w:val="20"/>
        </w:rPr>
        <w:t>projects;</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4"/>
          <w:sz w:val="20"/>
          <w:szCs w:val="20"/>
        </w:rPr>
        <w:t>effectiveness</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4"/>
          <w:sz w:val="20"/>
          <w:szCs w:val="20"/>
        </w:rPr>
        <w:t>of</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14"/>
          <w:sz w:val="20"/>
          <w:szCs w:val="20"/>
        </w:rPr>
        <w:t>the</w:t>
      </w:r>
      <w:r>
        <w:rPr>
          <w:rFonts w:ascii="微软雅黑" w:hAnsi="微软雅黑" w:eastAsia="微软雅黑" w:cs="微软雅黑"/>
          <w:color w:val="231F20"/>
          <w:spacing w:val="23"/>
          <w:w w:val="101"/>
          <w:sz w:val="20"/>
          <w:szCs w:val="20"/>
        </w:rPr>
        <w:t xml:space="preserve"> </w:t>
      </w:r>
      <w:r>
        <w:rPr>
          <w:rFonts w:ascii="微软雅黑" w:hAnsi="微软雅黑" w:eastAsia="微软雅黑" w:cs="微软雅黑"/>
          <w:color w:val="231F20"/>
          <w:spacing w:val="-14"/>
          <w:sz w:val="20"/>
          <w:szCs w:val="20"/>
        </w:rPr>
        <w:t>implementatio</w:t>
      </w:r>
      <w:r>
        <w:rPr>
          <w:rFonts w:ascii="微软雅黑" w:hAnsi="微软雅黑" w:eastAsia="微软雅黑" w:cs="微软雅黑"/>
          <w:color w:val="231F20"/>
          <w:spacing w:val="-15"/>
          <w:sz w:val="20"/>
          <w:szCs w:val="20"/>
        </w:rPr>
        <w:t>n;</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15"/>
          <w:sz w:val="20"/>
          <w:szCs w:val="20"/>
        </w:rPr>
        <w:t>implementation</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6"/>
          <w:w w:val="99"/>
          <w:sz w:val="20"/>
          <w:szCs w:val="20"/>
        </w:rPr>
        <w:t>strategy</w:t>
      </w: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1" w:line="284" w:lineRule="exact"/>
        <w:ind w:firstLine="547"/>
      </w:pPr>
      <w:r>
        <w:rPr>
          <w:position w:val="-5"/>
        </w:rPr>
        <w:pict>
          <v:group id="_x0000_s1037" o:spid="_x0000_s1037" o:spt="203" style="height:14.2pt;width:39.65pt;" coordsize="793,283">
            <o:lock v:ext="edit"/>
            <v:group id="_x0000_s1038" o:spid="_x0000_s1038" o:spt="203" style="position:absolute;left:0;top:0;height:283;width:793;" coordsize="793,283">
              <o:lock v:ext="edit"/>
              <v:shape id="_x0000_s1039" o:spid="_x0000_s1039" style="position:absolute;left:396;top:0;height:283;width:397;" fillcolor="#231F20" filled="t" stroked="f" coordsize="397,283" path="m396,0l0,0,0,283,396,283,396,0xe">
                <v:path/>
                <v:fill on="t" focussize="0,0"/>
                <v:stroke on="f"/>
                <v:imagedata o:title=""/>
                <o:lock v:ext="edit"/>
              </v:shape>
              <v:shape id="_x0000_s1040" o:spid="_x0000_s1040" style="position:absolute;left:0;top:0;height:283;width:395;" fillcolor="#C7C8CA" filled="t" stroked="f" coordsize="395,283" path="m395,0l0,0,0,283,395,283,395,0xe">
                <v:path/>
                <v:fill on="t" focussize="0,0"/>
                <v:stroke on="f"/>
                <v:imagedata o:title=""/>
                <o:lock v:ext="edit"/>
              </v:shape>
            </v:group>
            <v:shape id="_x0000_s1041" o:spid="_x0000_s1041" o:spt="202" type="#_x0000_t202" style="position:absolute;left:-20;top:-20;height:324;width:833;" filled="f" stroked="f" coordsize="21600,21600">
              <v:path/>
              <v:fill on="f" focussize="0,0"/>
              <v:stroke on="f"/>
              <v:imagedata o:title=""/>
              <o:lock v:ext="edit" aspectratio="f"/>
              <v:textbox inset="0mm,0mm,0mm,0mm">
                <w:txbxContent>
                  <w:p>
                    <w:pPr>
                      <w:spacing w:before="87" w:line="194" w:lineRule="auto"/>
                      <w:ind w:left="507"/>
                      <w:rPr>
                        <w:rFonts w:ascii="Times New Roman" w:hAnsi="Times New Roman" w:eastAsia="Times New Roman" w:cs="Times New Roman"/>
                        <w:sz w:val="20"/>
                        <w:szCs w:val="20"/>
                      </w:rPr>
                    </w:pPr>
                    <w:r>
                      <w:rPr>
                        <w:rFonts w:ascii="Times New Roman" w:hAnsi="Times New Roman" w:eastAsia="Times New Roman" w:cs="Times New Roman"/>
                        <w:color w:val="FFFFFF"/>
                        <w:spacing w:val="4"/>
                        <w:sz w:val="20"/>
                        <w:szCs w:val="20"/>
                      </w:rPr>
                      <w:t>30</w:t>
                    </w:r>
                  </w:p>
                </w:txbxContent>
              </v:textbox>
            </v:shape>
            <w10:wrap type="none"/>
            <w10:anchorlock/>
          </v:group>
        </w:pict>
      </w:r>
    </w:p>
    <w:p>
      <w:pPr>
        <w:spacing w:line="284" w:lineRule="exact"/>
        <w:sectPr>
          <w:headerReference r:id="rId42" w:type="default"/>
          <w:footerReference r:id="rId43" w:type="default"/>
          <w:pgSz w:w="11906" w:h="16158"/>
          <w:pgMar w:top="1095" w:right="1108" w:bottom="547" w:left="407" w:header="749" w:footer="354" w:gutter="0"/>
          <w:cols w:space="720" w:num="1"/>
        </w:sectPr>
      </w:pPr>
    </w:p>
    <w:p>
      <w:pPr>
        <w:spacing w:line="354" w:lineRule="auto"/>
        <w:rPr>
          <w:rFonts w:ascii="Arial"/>
          <w:sz w:val="21"/>
        </w:rPr>
      </w:pPr>
      <w:r>
        <w:drawing>
          <wp:anchor distT="0" distB="0" distL="0" distR="0" simplePos="0" relativeHeight="251680768" behindDoc="1" locked="0" layoutInCell="0" allowOverlap="1">
            <wp:simplePos x="0" y="0"/>
            <wp:positionH relativeFrom="page">
              <wp:posOffset>647700</wp:posOffset>
            </wp:positionH>
            <wp:positionV relativeFrom="page">
              <wp:posOffset>1018540</wp:posOffset>
            </wp:positionV>
            <wp:extent cx="6296660" cy="1778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18"/>
                    <a:stretch>
                      <a:fillRect/>
                    </a:stretch>
                  </pic:blipFill>
                  <pic:spPr>
                    <a:xfrm>
                      <a:off x="0" y="0"/>
                      <a:ext cx="6296393" cy="18008"/>
                    </a:xfrm>
                    <a:prstGeom prst="rect">
                      <a:avLst/>
                    </a:prstGeom>
                  </pic:spPr>
                </pic:pic>
              </a:graphicData>
            </a:graphic>
          </wp:anchor>
        </w:drawing>
      </w:r>
    </w:p>
    <w:p>
      <w:pPr>
        <w:spacing w:line="354" w:lineRule="auto"/>
        <w:rPr>
          <w:rFonts w:ascii="Arial"/>
          <w:sz w:val="21"/>
        </w:rPr>
      </w:pPr>
    </w:p>
    <w:p>
      <w:pPr>
        <w:spacing w:before="94" w:line="164" w:lineRule="auto"/>
        <w:ind w:left="5034"/>
        <w:rPr>
          <w:rFonts w:ascii="微软雅黑" w:hAnsi="微软雅黑" w:eastAsia="微软雅黑" w:cs="微软雅黑"/>
          <w:sz w:val="22"/>
          <w:szCs w:val="22"/>
        </w:rPr>
      </w:pPr>
      <w:r>
        <w:pict>
          <v:shape id="_x0000_s1042" o:spid="_x0000_s1042" o:spt="202" type="#_x0000_t202" style="position:absolute;left:0pt;margin-left:498.95pt;margin-top:2.55pt;height:21.4pt;width:42.6pt;z-index:251685888;mso-width-relative:page;mso-height-relative:page;" filled="f" stroked="f" coordsize="21600,21600">
            <v:path/>
            <v:fill on="f" focussize="0,0"/>
            <v:stroke on="f"/>
            <v:imagedata o:title=""/>
            <o:lock v:ext="edit" aspectratio="f"/>
            <v:textbox inset="0mm,0mm,0mm,0mm">
              <w:txbxContent>
                <w:p>
                  <w:pPr>
                    <w:pStyle w:val="2"/>
                    <w:spacing w:before="19" w:line="199" w:lineRule="auto"/>
                    <w:ind w:left="113" w:right="20" w:hanging="93"/>
                    <w:rPr>
                      <w:sz w:val="18"/>
                      <w:szCs w:val="18"/>
                    </w:rPr>
                  </w:pPr>
                  <w:r>
                    <w:rPr>
                      <w:color w:val="231F20"/>
                      <w:spacing w:val="-6"/>
                      <w:sz w:val="18"/>
                      <w:szCs w:val="18"/>
                    </w:rPr>
                    <w:t>No.8.</w:t>
                  </w:r>
                  <w:r>
                    <w:rPr>
                      <w:color w:val="231F20"/>
                      <w:spacing w:val="-35"/>
                      <w:sz w:val="18"/>
                      <w:szCs w:val="18"/>
                    </w:rPr>
                    <w:t xml:space="preserve"> </w:t>
                  </w:r>
                  <w:r>
                    <w:rPr>
                      <w:color w:val="231F20"/>
                      <w:spacing w:val="-6"/>
                      <w:sz w:val="18"/>
                      <w:szCs w:val="18"/>
                    </w:rPr>
                    <w:t>2021</w:t>
                  </w:r>
                  <w:r>
                    <w:rPr>
                      <w:color w:val="231F20"/>
                      <w:sz w:val="18"/>
                      <w:szCs w:val="18"/>
                    </w:rPr>
                    <w:t xml:space="preserve"> Sum</w:t>
                  </w:r>
                  <w:r>
                    <w:rPr>
                      <w:color w:val="231F20"/>
                      <w:spacing w:val="-34"/>
                      <w:sz w:val="18"/>
                      <w:szCs w:val="18"/>
                    </w:rPr>
                    <w:t xml:space="preserve"> </w:t>
                  </w:r>
                  <w:r>
                    <w:rPr>
                      <w:color w:val="231F20"/>
                      <w:spacing w:val="11"/>
                      <w:sz w:val="18"/>
                      <w:szCs w:val="18"/>
                    </w:rPr>
                    <w:t>225</w:t>
                  </w:r>
                </w:p>
              </w:txbxContent>
            </v:textbox>
          </v:shape>
        </w:pict>
      </w:r>
      <w:r>
        <w:pict>
          <v:shape id="_x0000_s1043" o:spid="_x0000_s1043" o:spt="202" type="#_x0000_t202" style="position:absolute;left:0pt;margin-left:53.25pt;margin-top:0.4pt;height:25.8pt;width:52.2pt;z-index:251684864;mso-width-relative:page;mso-height-relative:page;" filled="f" stroked="f" coordsize="21600,21600">
            <v:path/>
            <v:fill on="f" focussize="0,0"/>
            <v:stroke on="f"/>
            <v:imagedata o:title=""/>
            <o:lock v:ext="edit" aspectratio="f"/>
            <v:textbox inset="0mm,0mm,0mm,0mm">
              <w:txbxContent>
                <w:p>
                  <w:pPr>
                    <w:spacing w:before="19" w:line="168" w:lineRule="auto"/>
                    <w:ind w:left="20"/>
                    <w:rPr>
                      <w:rFonts w:ascii="微软雅黑" w:hAnsi="微软雅黑" w:eastAsia="微软雅黑" w:cs="微软雅黑"/>
                      <w:sz w:val="18"/>
                      <w:szCs w:val="18"/>
                    </w:rPr>
                  </w:pPr>
                  <w:r>
                    <w:rPr>
                      <w:rFonts w:ascii="微软雅黑" w:hAnsi="微软雅黑" w:eastAsia="微软雅黑" w:cs="微软雅黑"/>
                      <w:color w:val="231F20"/>
                      <w:spacing w:val="-7"/>
                      <w:sz w:val="18"/>
                      <w:szCs w:val="18"/>
                    </w:rPr>
                    <w:t>2021年第8期</w:t>
                  </w:r>
                </w:p>
                <w:p>
                  <w:pPr>
                    <w:spacing w:before="1" w:line="201" w:lineRule="auto"/>
                    <w:ind w:left="138"/>
                    <w:rPr>
                      <w:rFonts w:ascii="微软雅黑" w:hAnsi="微软雅黑" w:eastAsia="微软雅黑" w:cs="微软雅黑"/>
                      <w:sz w:val="18"/>
                      <w:szCs w:val="18"/>
                    </w:rPr>
                  </w:pPr>
                  <w:r>
                    <w:rPr>
                      <w:rFonts w:ascii="微软雅黑" w:hAnsi="微软雅黑" w:eastAsia="微软雅黑" w:cs="微软雅黑"/>
                      <w:color w:val="231F20"/>
                      <w:spacing w:val="-11"/>
                      <w:sz w:val="18"/>
                      <w:szCs w:val="18"/>
                    </w:rPr>
                    <w:t>总第225期</w:t>
                  </w:r>
                </w:p>
              </w:txbxContent>
            </v:textbox>
          </v:shape>
        </w:pict>
      </w:r>
      <w:r>
        <w:drawing>
          <wp:anchor distT="0" distB="0" distL="0" distR="0" simplePos="0" relativeHeight="251682816" behindDoc="1" locked="0" layoutInCell="1" allowOverlap="1">
            <wp:simplePos x="0" y="0"/>
            <wp:positionH relativeFrom="column">
              <wp:posOffset>0</wp:posOffset>
            </wp:positionH>
            <wp:positionV relativeFrom="paragraph">
              <wp:posOffset>-703580</wp:posOffset>
            </wp:positionV>
            <wp:extent cx="7774305" cy="1090612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9"/>
                    <a:stretch>
                      <a:fillRect/>
                    </a:stretch>
                  </pic:blipFill>
                  <pic:spPr>
                    <a:xfrm>
                      <a:off x="0" y="0"/>
                      <a:ext cx="7774134" cy="10906187"/>
                    </a:xfrm>
                    <a:prstGeom prst="rect">
                      <a:avLst/>
                    </a:prstGeom>
                  </pic:spPr>
                </pic:pic>
              </a:graphicData>
            </a:graphic>
          </wp:anchor>
        </w:drawing>
      </w:r>
      <w:r>
        <w:rPr>
          <w:rFonts w:ascii="微软雅黑" w:hAnsi="微软雅黑" w:eastAsia="微软雅黑" w:cs="微软雅黑"/>
          <w:color w:val="231F20"/>
          <w:spacing w:val="22"/>
          <w:sz w:val="22"/>
          <w:szCs w:val="22"/>
        </w:rPr>
        <w:t>佳木斯职业学院学报</w:t>
      </w:r>
    </w:p>
    <w:p>
      <w:pPr>
        <w:spacing w:line="184" w:lineRule="auto"/>
        <w:ind w:left="4545"/>
        <w:rPr>
          <w:rFonts w:ascii="宋体" w:hAnsi="宋体" w:eastAsia="宋体" w:cs="宋体"/>
          <w:sz w:val="10"/>
          <w:szCs w:val="10"/>
        </w:rPr>
      </w:pPr>
      <w:r>
        <w:rPr>
          <w:rFonts w:ascii="宋体" w:hAnsi="宋体" w:eastAsia="宋体" w:cs="宋体"/>
          <w:color w:val="231F20"/>
          <w:spacing w:val="7"/>
          <w:w w:val="114"/>
          <w:sz w:val="10"/>
          <w:szCs w:val="10"/>
          <w:shd w:val="clear" w:fill="FFFFFE"/>
        </w:rPr>
        <w:t>J</w:t>
      </w:r>
      <w:r>
        <w:rPr>
          <w:rFonts w:ascii="宋体" w:hAnsi="宋体" w:eastAsia="宋体" w:cs="宋体"/>
          <w:color w:val="231F20"/>
          <w:spacing w:val="3"/>
          <w:sz w:val="10"/>
          <w:szCs w:val="10"/>
          <w:shd w:val="clear" w:fill="FFFFFE"/>
        </w:rPr>
        <w:t xml:space="preserve"> </w:t>
      </w:r>
      <w:r>
        <w:rPr>
          <w:rFonts w:ascii="宋体" w:hAnsi="宋体" w:eastAsia="宋体" w:cs="宋体"/>
          <w:color w:val="231F20"/>
          <w:spacing w:val="7"/>
          <w:w w:val="114"/>
          <w:sz w:val="10"/>
          <w:szCs w:val="10"/>
          <w:shd w:val="clear" w:fill="FFFFFE"/>
        </w:rPr>
        <w:t>OURNAL</w:t>
      </w:r>
      <w:r>
        <w:rPr>
          <w:rFonts w:ascii="宋体" w:hAnsi="宋体" w:eastAsia="宋体" w:cs="宋体"/>
          <w:color w:val="231F20"/>
          <w:spacing w:val="36"/>
          <w:sz w:val="10"/>
          <w:szCs w:val="10"/>
          <w:shd w:val="clear" w:fill="FFFFFE"/>
        </w:rPr>
        <w:t xml:space="preserve"> </w:t>
      </w:r>
      <w:r>
        <w:rPr>
          <w:rFonts w:ascii="宋体" w:hAnsi="宋体" w:eastAsia="宋体" w:cs="宋体"/>
          <w:color w:val="231F20"/>
          <w:spacing w:val="7"/>
          <w:w w:val="114"/>
          <w:sz w:val="10"/>
          <w:szCs w:val="10"/>
          <w:shd w:val="clear" w:fill="FFFFFE"/>
        </w:rPr>
        <w:t>OF</w:t>
      </w:r>
      <w:r>
        <w:rPr>
          <w:rFonts w:ascii="宋体" w:hAnsi="宋体" w:eastAsia="宋体" w:cs="宋体"/>
          <w:color w:val="231F20"/>
          <w:spacing w:val="35"/>
          <w:w w:val="101"/>
          <w:sz w:val="10"/>
          <w:szCs w:val="10"/>
          <w:shd w:val="clear" w:fill="FFFFFE"/>
        </w:rPr>
        <w:t xml:space="preserve"> </w:t>
      </w:r>
      <w:r>
        <w:rPr>
          <w:rFonts w:ascii="宋体" w:hAnsi="宋体" w:eastAsia="宋体" w:cs="宋体"/>
          <w:color w:val="231F20"/>
          <w:spacing w:val="7"/>
          <w:w w:val="114"/>
          <w:sz w:val="10"/>
          <w:szCs w:val="10"/>
          <w:shd w:val="clear" w:fill="FFFFFE"/>
        </w:rPr>
        <w:t>J</w:t>
      </w:r>
      <w:r>
        <w:rPr>
          <w:rFonts w:ascii="宋体" w:hAnsi="宋体" w:eastAsia="宋体" w:cs="宋体"/>
          <w:color w:val="231F20"/>
          <w:spacing w:val="-3"/>
          <w:sz w:val="10"/>
          <w:szCs w:val="10"/>
          <w:shd w:val="clear" w:fill="FFFFFE"/>
        </w:rPr>
        <w:t xml:space="preserve"> </w:t>
      </w:r>
      <w:r>
        <w:rPr>
          <w:rFonts w:ascii="宋体" w:hAnsi="宋体" w:eastAsia="宋体" w:cs="宋体"/>
          <w:color w:val="231F20"/>
          <w:spacing w:val="7"/>
          <w:w w:val="114"/>
          <w:sz w:val="10"/>
          <w:szCs w:val="10"/>
          <w:shd w:val="clear" w:fill="FFFFFE"/>
        </w:rPr>
        <w:t>I</w:t>
      </w:r>
      <w:r>
        <w:rPr>
          <w:rFonts w:ascii="宋体" w:hAnsi="宋体" w:eastAsia="宋体" w:cs="宋体"/>
          <w:color w:val="231F20"/>
          <w:spacing w:val="-5"/>
          <w:sz w:val="10"/>
          <w:szCs w:val="10"/>
          <w:shd w:val="clear" w:fill="FFFFFE"/>
        </w:rPr>
        <w:t xml:space="preserve"> </w:t>
      </w:r>
      <w:r>
        <w:rPr>
          <w:rFonts w:ascii="宋体" w:hAnsi="宋体" w:eastAsia="宋体" w:cs="宋体"/>
          <w:color w:val="231F20"/>
          <w:spacing w:val="7"/>
          <w:w w:val="114"/>
          <w:sz w:val="10"/>
          <w:szCs w:val="10"/>
          <w:shd w:val="clear" w:fill="FFFFFE"/>
        </w:rPr>
        <w:t>A</w:t>
      </w:r>
      <w:r>
        <w:rPr>
          <w:rFonts w:ascii="宋体" w:hAnsi="宋体" w:eastAsia="宋体" w:cs="宋体"/>
          <w:color w:val="231F20"/>
          <w:spacing w:val="-31"/>
          <w:sz w:val="10"/>
          <w:szCs w:val="10"/>
          <w:shd w:val="clear" w:fill="FFFFFE"/>
        </w:rPr>
        <w:t xml:space="preserve"> </w:t>
      </w:r>
      <w:r>
        <w:rPr>
          <w:rFonts w:ascii="宋体" w:hAnsi="宋体" w:eastAsia="宋体" w:cs="宋体"/>
          <w:color w:val="231F20"/>
          <w:spacing w:val="7"/>
          <w:w w:val="114"/>
          <w:sz w:val="10"/>
          <w:szCs w:val="10"/>
          <w:shd w:val="clear" w:fill="FFFFFE"/>
        </w:rPr>
        <w:t>MUS</w:t>
      </w:r>
      <w:r>
        <w:rPr>
          <w:rFonts w:ascii="宋体" w:hAnsi="宋体" w:eastAsia="宋体" w:cs="宋体"/>
          <w:color w:val="231F20"/>
          <w:spacing w:val="-5"/>
          <w:sz w:val="10"/>
          <w:szCs w:val="10"/>
          <w:shd w:val="clear" w:fill="FFFFFE"/>
        </w:rPr>
        <w:t xml:space="preserve"> </w:t>
      </w:r>
      <w:r>
        <w:rPr>
          <w:rFonts w:ascii="宋体" w:hAnsi="宋体" w:eastAsia="宋体" w:cs="宋体"/>
          <w:color w:val="231F20"/>
          <w:spacing w:val="7"/>
          <w:w w:val="114"/>
          <w:sz w:val="10"/>
          <w:szCs w:val="10"/>
          <w:shd w:val="clear" w:fill="FFFFFE"/>
        </w:rPr>
        <w:t>I</w:t>
      </w:r>
      <w:r>
        <w:rPr>
          <w:rFonts w:ascii="宋体" w:hAnsi="宋体" w:eastAsia="宋体" w:cs="宋体"/>
          <w:color w:val="231F20"/>
          <w:spacing w:val="48"/>
          <w:w w:val="101"/>
          <w:sz w:val="10"/>
          <w:szCs w:val="10"/>
          <w:shd w:val="clear" w:fill="FFFFFE"/>
        </w:rPr>
        <w:t xml:space="preserve"> </w:t>
      </w:r>
      <w:r>
        <w:rPr>
          <w:rFonts w:ascii="宋体" w:hAnsi="宋体" w:eastAsia="宋体" w:cs="宋体"/>
          <w:color w:val="231F20"/>
          <w:spacing w:val="7"/>
          <w:w w:val="114"/>
          <w:sz w:val="10"/>
          <w:szCs w:val="10"/>
          <w:shd w:val="clear" w:fill="FFFFFE"/>
        </w:rPr>
        <w:t>VOC</w:t>
      </w:r>
      <w:r>
        <w:rPr>
          <w:rFonts w:ascii="宋体" w:hAnsi="宋体" w:eastAsia="宋体" w:cs="宋体"/>
          <w:color w:val="231F20"/>
          <w:spacing w:val="-25"/>
          <w:sz w:val="10"/>
          <w:szCs w:val="10"/>
          <w:shd w:val="clear" w:fill="FFFFFE"/>
        </w:rPr>
        <w:t xml:space="preserve"> </w:t>
      </w:r>
      <w:r>
        <w:rPr>
          <w:rFonts w:ascii="宋体" w:hAnsi="宋体" w:eastAsia="宋体" w:cs="宋体"/>
          <w:color w:val="231F20"/>
          <w:spacing w:val="7"/>
          <w:w w:val="114"/>
          <w:sz w:val="10"/>
          <w:szCs w:val="10"/>
          <w:shd w:val="clear" w:fill="FFFFFE"/>
        </w:rPr>
        <w:t>AT</w:t>
      </w:r>
      <w:r>
        <w:rPr>
          <w:rFonts w:ascii="宋体" w:hAnsi="宋体" w:eastAsia="宋体" w:cs="宋体"/>
          <w:color w:val="231F20"/>
          <w:spacing w:val="-11"/>
          <w:sz w:val="10"/>
          <w:szCs w:val="10"/>
          <w:shd w:val="clear" w:fill="FFFFFE"/>
        </w:rPr>
        <w:t xml:space="preserve"> </w:t>
      </w:r>
      <w:r>
        <w:rPr>
          <w:rFonts w:ascii="宋体" w:hAnsi="宋体" w:eastAsia="宋体" w:cs="宋体"/>
          <w:color w:val="231F20"/>
          <w:spacing w:val="7"/>
          <w:w w:val="114"/>
          <w:sz w:val="10"/>
          <w:szCs w:val="10"/>
          <w:shd w:val="clear" w:fill="FFFFFE"/>
        </w:rPr>
        <w:t>I</w:t>
      </w:r>
      <w:r>
        <w:rPr>
          <w:rFonts w:ascii="宋体" w:hAnsi="宋体" w:eastAsia="宋体" w:cs="宋体"/>
          <w:color w:val="231F20"/>
          <w:spacing w:val="-3"/>
          <w:sz w:val="10"/>
          <w:szCs w:val="10"/>
          <w:shd w:val="clear" w:fill="FFFFFE"/>
        </w:rPr>
        <w:t xml:space="preserve"> </w:t>
      </w:r>
      <w:r>
        <w:rPr>
          <w:rFonts w:ascii="宋体" w:hAnsi="宋体" w:eastAsia="宋体" w:cs="宋体"/>
          <w:color w:val="231F20"/>
          <w:spacing w:val="7"/>
          <w:w w:val="114"/>
          <w:sz w:val="10"/>
          <w:szCs w:val="10"/>
          <w:shd w:val="clear" w:fill="FFFFFE"/>
        </w:rPr>
        <w:t>ONAL</w:t>
      </w:r>
      <w:r>
        <w:rPr>
          <w:rFonts w:ascii="宋体" w:hAnsi="宋体" w:eastAsia="宋体" w:cs="宋体"/>
          <w:color w:val="231F20"/>
          <w:spacing w:val="42"/>
          <w:sz w:val="10"/>
          <w:szCs w:val="10"/>
          <w:shd w:val="clear" w:fill="FFFFFE"/>
        </w:rPr>
        <w:t xml:space="preserve"> </w:t>
      </w:r>
      <w:r>
        <w:rPr>
          <w:rFonts w:ascii="宋体" w:hAnsi="宋体" w:eastAsia="宋体" w:cs="宋体"/>
          <w:color w:val="231F20"/>
          <w:spacing w:val="7"/>
          <w:w w:val="114"/>
          <w:sz w:val="10"/>
          <w:szCs w:val="10"/>
          <w:shd w:val="clear" w:fill="FFFFFE"/>
        </w:rPr>
        <w:t>I</w:t>
      </w:r>
      <w:r>
        <w:rPr>
          <w:rFonts w:ascii="宋体" w:hAnsi="宋体" w:eastAsia="宋体" w:cs="宋体"/>
          <w:color w:val="231F20"/>
          <w:spacing w:val="-5"/>
          <w:sz w:val="10"/>
          <w:szCs w:val="10"/>
          <w:shd w:val="clear" w:fill="FFFFFE"/>
        </w:rPr>
        <w:t xml:space="preserve"> </w:t>
      </w:r>
      <w:r>
        <w:rPr>
          <w:rFonts w:ascii="宋体" w:hAnsi="宋体" w:eastAsia="宋体" w:cs="宋体"/>
          <w:color w:val="231F20"/>
          <w:spacing w:val="7"/>
          <w:w w:val="114"/>
          <w:sz w:val="10"/>
          <w:szCs w:val="10"/>
          <w:shd w:val="clear" w:fill="FFFFFE"/>
        </w:rPr>
        <w:t>NS</w:t>
      </w:r>
      <w:r>
        <w:rPr>
          <w:rFonts w:ascii="宋体" w:hAnsi="宋体" w:eastAsia="宋体" w:cs="宋体"/>
          <w:color w:val="231F20"/>
          <w:spacing w:val="-12"/>
          <w:sz w:val="10"/>
          <w:szCs w:val="10"/>
          <w:shd w:val="clear" w:fill="FFFFFE"/>
        </w:rPr>
        <w:t xml:space="preserve"> </w:t>
      </w:r>
      <w:r>
        <w:rPr>
          <w:rFonts w:ascii="宋体" w:hAnsi="宋体" w:eastAsia="宋体" w:cs="宋体"/>
          <w:color w:val="231F20"/>
          <w:spacing w:val="7"/>
          <w:w w:val="114"/>
          <w:sz w:val="10"/>
          <w:szCs w:val="10"/>
          <w:shd w:val="clear" w:fill="FFFFFE"/>
        </w:rPr>
        <w:t>T</w:t>
      </w:r>
      <w:r>
        <w:rPr>
          <w:rFonts w:ascii="宋体" w:hAnsi="宋体" w:eastAsia="宋体" w:cs="宋体"/>
          <w:color w:val="231F20"/>
          <w:spacing w:val="-11"/>
          <w:sz w:val="10"/>
          <w:szCs w:val="10"/>
          <w:shd w:val="clear" w:fill="FFFFFE"/>
        </w:rPr>
        <w:t xml:space="preserve"> </w:t>
      </w:r>
      <w:r>
        <w:rPr>
          <w:rFonts w:ascii="宋体" w:hAnsi="宋体" w:eastAsia="宋体" w:cs="宋体"/>
          <w:color w:val="231F20"/>
          <w:spacing w:val="7"/>
          <w:w w:val="114"/>
          <w:sz w:val="10"/>
          <w:szCs w:val="10"/>
          <w:shd w:val="clear" w:fill="FFFFFE"/>
        </w:rPr>
        <w:t>I</w:t>
      </w:r>
      <w:r>
        <w:rPr>
          <w:rFonts w:ascii="宋体" w:hAnsi="宋体" w:eastAsia="宋体" w:cs="宋体"/>
          <w:color w:val="231F20"/>
          <w:spacing w:val="-3"/>
          <w:sz w:val="10"/>
          <w:szCs w:val="10"/>
          <w:shd w:val="clear" w:fill="FFFFFE"/>
        </w:rPr>
        <w:t xml:space="preserve"> </w:t>
      </w:r>
      <w:r>
        <w:rPr>
          <w:rFonts w:ascii="宋体" w:hAnsi="宋体" w:eastAsia="宋体" w:cs="宋体"/>
          <w:color w:val="231F20"/>
          <w:spacing w:val="7"/>
          <w:w w:val="114"/>
          <w:sz w:val="10"/>
          <w:szCs w:val="10"/>
          <w:shd w:val="clear" w:fill="FFFFFE"/>
        </w:rPr>
        <w:t>T</w:t>
      </w:r>
      <w:r>
        <w:rPr>
          <w:rFonts w:ascii="宋体" w:hAnsi="宋体" w:eastAsia="宋体" w:cs="宋体"/>
          <w:color w:val="231F20"/>
          <w:spacing w:val="-19"/>
          <w:sz w:val="10"/>
          <w:szCs w:val="10"/>
          <w:shd w:val="clear" w:fill="FFFFFE"/>
        </w:rPr>
        <w:t xml:space="preserve"> </w:t>
      </w:r>
      <w:r>
        <w:rPr>
          <w:rFonts w:ascii="宋体" w:hAnsi="宋体" w:eastAsia="宋体" w:cs="宋体"/>
          <w:color w:val="231F20"/>
          <w:spacing w:val="7"/>
          <w:w w:val="114"/>
          <w:sz w:val="10"/>
          <w:szCs w:val="10"/>
          <w:shd w:val="clear" w:fill="FFFFFE"/>
        </w:rPr>
        <w:t>UT</w:t>
      </w:r>
      <w:r>
        <w:rPr>
          <w:rFonts w:ascii="宋体" w:hAnsi="宋体" w:eastAsia="宋体" w:cs="宋体"/>
          <w:color w:val="231F20"/>
          <w:spacing w:val="-18"/>
          <w:sz w:val="10"/>
          <w:szCs w:val="10"/>
          <w:shd w:val="clear" w:fill="FFFFFE"/>
        </w:rPr>
        <w:t xml:space="preserve"> </w:t>
      </w:r>
      <w:r>
        <w:rPr>
          <w:rFonts w:ascii="宋体" w:hAnsi="宋体" w:eastAsia="宋体" w:cs="宋体"/>
          <w:color w:val="231F20"/>
          <w:spacing w:val="7"/>
          <w:w w:val="114"/>
          <w:sz w:val="10"/>
          <w:szCs w:val="10"/>
          <w:shd w:val="clear" w:fill="FFFFFE"/>
        </w:rPr>
        <w:t>E</w:t>
      </w:r>
    </w:p>
    <w:p>
      <w:pPr>
        <w:spacing w:before="39" w:line="28" w:lineRule="exact"/>
        <w:ind w:firstLine="1017"/>
      </w:pPr>
      <w:r>
        <w:drawing>
          <wp:inline distT="0" distB="0" distL="0" distR="0">
            <wp:extent cx="6296025" cy="1778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8"/>
                    <a:stretch>
                      <a:fillRect/>
                    </a:stretch>
                  </pic:blipFill>
                  <pic:spPr>
                    <a:xfrm>
                      <a:off x="0" y="0"/>
                      <a:ext cx="6296393" cy="18008"/>
                    </a:xfrm>
                    <a:prstGeom prst="rect">
                      <a:avLst/>
                    </a:prstGeom>
                  </pic:spPr>
                </pic:pic>
              </a:graphicData>
            </a:graphic>
          </wp:inline>
        </w:drawing>
      </w: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117" w:line="241" w:lineRule="auto"/>
        <w:ind w:left="2062"/>
        <w:rPr>
          <w:rFonts w:ascii="宋体" w:hAnsi="宋体" w:eastAsia="宋体" w:cs="宋体"/>
          <w:sz w:val="36"/>
          <w:szCs w:val="36"/>
        </w:rPr>
      </w:pPr>
      <w:r>
        <w:rPr>
          <w:rFonts w:ascii="宋体" w:hAnsi="宋体" w:eastAsia="宋体" w:cs="宋体"/>
          <w:b/>
          <w:bCs/>
          <w:color w:val="231F20"/>
          <w:spacing w:val="-7"/>
          <w:sz w:val="36"/>
          <w:szCs w:val="36"/>
        </w:rPr>
        <w:t>以质量文化建设推动高校教育质量改进的路径研究</w:t>
      </w:r>
    </w:p>
    <w:p>
      <w:pPr>
        <w:spacing w:before="144" w:line="206" w:lineRule="auto"/>
        <w:ind w:left="5616"/>
        <w:rPr>
          <w:rFonts w:ascii="宋体" w:hAnsi="宋体" w:eastAsia="宋体" w:cs="宋体"/>
          <w:sz w:val="24"/>
          <w:szCs w:val="24"/>
        </w:rPr>
      </w:pPr>
      <w:r>
        <w:rPr>
          <w:rFonts w:ascii="宋体" w:hAnsi="宋体" w:eastAsia="宋体" w:cs="宋体"/>
          <w:color w:val="231F20"/>
          <w:spacing w:val="-2"/>
          <w:sz w:val="24"/>
          <w:szCs w:val="24"/>
        </w:rPr>
        <w:t>刘文君</w:t>
      </w:r>
    </w:p>
    <w:p>
      <w:pPr>
        <w:spacing w:before="90" w:line="207" w:lineRule="auto"/>
        <w:ind w:left="4227"/>
        <w:rPr>
          <w:rFonts w:ascii="宋体" w:hAnsi="宋体" w:eastAsia="宋体" w:cs="宋体"/>
          <w:sz w:val="18"/>
          <w:szCs w:val="18"/>
        </w:rPr>
      </w:pPr>
      <w:r>
        <w:rPr>
          <w:rFonts w:ascii="宋体" w:hAnsi="宋体" w:eastAsia="宋体" w:cs="宋体"/>
          <w:color w:val="231F20"/>
          <w:spacing w:val="-3"/>
          <w:sz w:val="18"/>
          <w:szCs w:val="18"/>
        </w:rPr>
        <w:t>（厦门大学教育研究院，福建厦门</w:t>
      </w:r>
      <w:r>
        <w:rPr>
          <w:rFonts w:ascii="宋体" w:hAnsi="宋体" w:eastAsia="宋体" w:cs="宋体"/>
          <w:color w:val="231F20"/>
          <w:spacing w:val="42"/>
          <w:sz w:val="18"/>
          <w:szCs w:val="18"/>
        </w:rPr>
        <w:t xml:space="preserve"> </w:t>
      </w:r>
      <w:r>
        <w:rPr>
          <w:rFonts w:ascii="宋体" w:hAnsi="宋体" w:eastAsia="宋体" w:cs="宋体"/>
          <w:color w:val="231F20"/>
          <w:spacing w:val="-3"/>
          <w:sz w:val="18"/>
          <w:szCs w:val="18"/>
        </w:rPr>
        <w:t>361005）</w:t>
      </w:r>
    </w:p>
    <w:p>
      <w:pPr>
        <w:spacing w:before="217" w:line="204" w:lineRule="auto"/>
        <w:ind w:left="1373" w:right="1640" w:firstLine="359"/>
        <w:jc w:val="both"/>
        <w:rPr>
          <w:rFonts w:ascii="微软雅黑" w:hAnsi="微软雅黑" w:eastAsia="微软雅黑" w:cs="微软雅黑"/>
          <w:sz w:val="18"/>
          <w:szCs w:val="18"/>
        </w:rPr>
      </w:pPr>
      <w:r>
        <w:rPr>
          <w:rFonts w:ascii="黑体" w:hAnsi="黑体" w:eastAsia="黑体" w:cs="黑体"/>
          <w:color w:val="231F20"/>
          <w:spacing w:val="-5"/>
          <w:sz w:val="18"/>
          <w:szCs w:val="18"/>
        </w:rPr>
        <w:t>摘</w:t>
      </w:r>
      <w:r>
        <w:rPr>
          <w:rFonts w:ascii="黑体" w:hAnsi="黑体" w:eastAsia="黑体" w:cs="黑体"/>
          <w:color w:val="231F20"/>
          <w:spacing w:val="39"/>
          <w:sz w:val="18"/>
          <w:szCs w:val="18"/>
        </w:rPr>
        <w:t xml:space="preserve"> </w:t>
      </w:r>
      <w:r>
        <w:rPr>
          <w:rFonts w:ascii="黑体" w:hAnsi="黑体" w:eastAsia="黑体" w:cs="黑体"/>
          <w:color w:val="231F20"/>
          <w:spacing w:val="-5"/>
          <w:sz w:val="18"/>
          <w:szCs w:val="18"/>
        </w:rPr>
        <w:t>要：</w:t>
      </w:r>
      <w:r>
        <w:rPr>
          <w:rFonts w:ascii="黑体" w:hAnsi="黑体" w:eastAsia="黑体" w:cs="黑体"/>
          <w:color w:val="231F20"/>
          <w:spacing w:val="-19"/>
          <w:sz w:val="18"/>
          <w:szCs w:val="18"/>
        </w:rPr>
        <w:t xml:space="preserve"> </w:t>
      </w:r>
      <w:r>
        <w:rPr>
          <w:rFonts w:ascii="微软雅黑" w:hAnsi="微软雅黑" w:eastAsia="微软雅黑" w:cs="微软雅黑"/>
          <w:color w:val="231F20"/>
          <w:spacing w:val="-5"/>
          <w:sz w:val="18"/>
          <w:szCs w:val="18"/>
        </w:rPr>
        <w:t>知识是高等教育的根基，高等教育质量管理不能简单地以技术问题来看待，它更多的是一种文化实践</w:t>
      </w:r>
      <w:r>
        <w:rPr>
          <w:rFonts w:ascii="微软雅黑" w:hAnsi="微软雅黑" w:eastAsia="微软雅黑" w:cs="微软雅黑"/>
          <w:color w:val="231F20"/>
          <w:spacing w:val="-5"/>
          <w:position w:val="8"/>
          <w:sz w:val="10"/>
          <w:szCs w:val="10"/>
        </w:rPr>
        <w:t xml:space="preserve">［1］ </w:t>
      </w:r>
      <w:r>
        <w:rPr>
          <w:rFonts w:ascii="微软雅黑" w:hAnsi="微软雅黑" w:eastAsia="微软雅黑" w:cs="微软雅黑"/>
          <w:color w:val="231F20"/>
          <w:spacing w:val="-5"/>
          <w:sz w:val="18"/>
          <w:szCs w:val="18"/>
        </w:rPr>
        <w:t>。</w:t>
      </w:r>
      <w:r>
        <w:rPr>
          <w:rFonts w:ascii="微软雅黑" w:hAnsi="微软雅黑" w:eastAsia="微软雅黑" w:cs="微软雅黑"/>
          <w:color w:val="231F20"/>
          <w:sz w:val="18"/>
          <w:szCs w:val="18"/>
        </w:rPr>
        <w:t xml:space="preserve"> </w:t>
      </w:r>
      <w:r>
        <w:rPr>
          <w:rFonts w:ascii="微软雅黑" w:hAnsi="微软雅黑" w:eastAsia="微软雅黑" w:cs="微软雅黑"/>
          <w:color w:val="231F20"/>
          <w:spacing w:val="1"/>
          <w:sz w:val="18"/>
          <w:szCs w:val="18"/>
        </w:rPr>
        <w:t>而我国高校在质量文化建设方面的现状仍存在一些问题亟待解决，所以分析质量文化在高校中缺失的原因，</w:t>
      </w:r>
      <w:r>
        <w:rPr>
          <w:rFonts w:ascii="微软雅黑" w:hAnsi="微软雅黑" w:eastAsia="微软雅黑" w:cs="微软雅黑"/>
          <w:color w:val="231F20"/>
          <w:sz w:val="18"/>
          <w:szCs w:val="18"/>
        </w:rPr>
        <w:t xml:space="preserve">提出相应 </w:t>
      </w:r>
      <w:r>
        <w:rPr>
          <w:rFonts w:ascii="微软雅黑" w:hAnsi="微软雅黑" w:eastAsia="微软雅黑" w:cs="微软雅黑"/>
          <w:color w:val="231F20"/>
          <w:spacing w:val="1"/>
          <w:sz w:val="18"/>
          <w:szCs w:val="18"/>
        </w:rPr>
        <w:t>的解决措施，以提高我国高校的质量文化建设，这是当下高校质量改革的重点</w:t>
      </w:r>
      <w:r>
        <w:rPr>
          <w:rFonts w:ascii="微软雅黑" w:hAnsi="微软雅黑" w:eastAsia="微软雅黑" w:cs="微软雅黑"/>
          <w:color w:val="231F20"/>
          <w:sz w:val="18"/>
          <w:szCs w:val="18"/>
        </w:rPr>
        <w:t xml:space="preserve">之一。质量文化建设是提升我国高等教 </w:t>
      </w:r>
      <w:r>
        <w:rPr>
          <w:rFonts w:ascii="微软雅黑" w:hAnsi="微软雅黑" w:eastAsia="微软雅黑" w:cs="微软雅黑"/>
          <w:color w:val="231F20"/>
          <w:spacing w:val="2"/>
          <w:sz w:val="18"/>
          <w:szCs w:val="18"/>
        </w:rPr>
        <w:t>育质量的实践问题</w:t>
      </w:r>
      <w:r>
        <w:rPr>
          <w:rFonts w:ascii="微软雅黑" w:hAnsi="微软雅黑" w:eastAsia="微软雅黑" w:cs="微软雅黑"/>
          <w:color w:val="231F20"/>
          <w:spacing w:val="2"/>
          <w:position w:val="8"/>
          <w:sz w:val="10"/>
          <w:szCs w:val="10"/>
        </w:rPr>
        <w:t>［2］</w:t>
      </w:r>
      <w:r>
        <w:rPr>
          <w:rFonts w:ascii="微软雅黑" w:hAnsi="微软雅黑" w:eastAsia="微软雅黑" w:cs="微软雅黑"/>
          <w:color w:val="231F20"/>
          <w:spacing w:val="15"/>
          <w:w w:val="101"/>
          <w:position w:val="8"/>
          <w:sz w:val="10"/>
          <w:szCs w:val="10"/>
        </w:rPr>
        <w:t xml:space="preserve"> </w:t>
      </w:r>
      <w:r>
        <w:rPr>
          <w:rFonts w:ascii="微软雅黑" w:hAnsi="微软雅黑" w:eastAsia="微软雅黑" w:cs="微软雅黑"/>
          <w:color w:val="231F20"/>
          <w:spacing w:val="2"/>
          <w:sz w:val="18"/>
          <w:szCs w:val="18"/>
        </w:rPr>
        <w:t>，笔者认为可以通过精神层面的培育、物质层面的提升以及制度层面的发展，进一步推动质量</w:t>
      </w:r>
      <w:r>
        <w:rPr>
          <w:rFonts w:ascii="微软雅黑" w:hAnsi="微软雅黑" w:eastAsia="微软雅黑" w:cs="微软雅黑"/>
          <w:color w:val="231F20"/>
          <w:sz w:val="18"/>
          <w:szCs w:val="18"/>
        </w:rPr>
        <w:t xml:space="preserve"> </w:t>
      </w:r>
      <w:r>
        <w:rPr>
          <w:rFonts w:ascii="微软雅黑" w:hAnsi="微软雅黑" w:eastAsia="微软雅黑" w:cs="微软雅黑"/>
          <w:color w:val="231F20"/>
          <w:spacing w:val="2"/>
          <w:sz w:val="18"/>
          <w:szCs w:val="18"/>
        </w:rPr>
        <w:t>文化的有效发展</w:t>
      </w:r>
      <w:r>
        <w:rPr>
          <w:rFonts w:ascii="微软雅黑" w:hAnsi="微软雅黑" w:eastAsia="微软雅黑" w:cs="微软雅黑"/>
          <w:color w:val="231F20"/>
          <w:spacing w:val="2"/>
          <w:position w:val="8"/>
          <w:sz w:val="10"/>
          <w:szCs w:val="10"/>
        </w:rPr>
        <w:t>［1］</w:t>
      </w:r>
      <w:r>
        <w:rPr>
          <w:rFonts w:ascii="微软雅黑" w:hAnsi="微软雅黑" w:eastAsia="微软雅黑" w:cs="微软雅黑"/>
          <w:color w:val="231F20"/>
          <w:spacing w:val="19"/>
          <w:position w:val="8"/>
          <w:sz w:val="10"/>
          <w:szCs w:val="10"/>
        </w:rPr>
        <w:t xml:space="preserve"> </w:t>
      </w:r>
      <w:r>
        <w:rPr>
          <w:rFonts w:ascii="微软雅黑" w:hAnsi="微软雅黑" w:eastAsia="微软雅黑" w:cs="微软雅黑"/>
          <w:color w:val="231F20"/>
          <w:spacing w:val="2"/>
          <w:sz w:val="18"/>
          <w:szCs w:val="18"/>
        </w:rPr>
        <w:t>。因此，本文从我国高校质量文化建设的现状出发，揭示</w:t>
      </w:r>
      <w:r>
        <w:rPr>
          <w:rFonts w:ascii="微软雅黑" w:hAnsi="微软雅黑" w:eastAsia="微软雅黑" w:cs="微软雅黑"/>
          <w:color w:val="231F20"/>
          <w:spacing w:val="1"/>
          <w:sz w:val="18"/>
          <w:szCs w:val="18"/>
        </w:rPr>
        <w:t>高校质量文化缺失的原因，由此提出相</w:t>
      </w:r>
      <w:r>
        <w:rPr>
          <w:rFonts w:ascii="微软雅黑" w:hAnsi="微软雅黑" w:eastAsia="微软雅黑" w:cs="微软雅黑"/>
          <w:color w:val="231F20"/>
          <w:sz w:val="18"/>
          <w:szCs w:val="18"/>
        </w:rPr>
        <w:t xml:space="preserve"> </w:t>
      </w:r>
      <w:r>
        <w:rPr>
          <w:rFonts w:ascii="微软雅黑" w:hAnsi="微软雅黑" w:eastAsia="微软雅黑" w:cs="微软雅黑"/>
          <w:color w:val="231F20"/>
          <w:spacing w:val="-1"/>
          <w:sz w:val="18"/>
          <w:szCs w:val="18"/>
        </w:rPr>
        <w:t>应的解决策略，为助推高校的质量文化建设献力</w:t>
      </w:r>
      <w:r>
        <w:rPr>
          <w:rFonts w:ascii="微软雅黑" w:hAnsi="微软雅黑" w:eastAsia="微软雅黑" w:cs="微软雅黑"/>
          <w:color w:val="231F20"/>
          <w:spacing w:val="-1"/>
          <w:position w:val="8"/>
          <w:sz w:val="10"/>
          <w:szCs w:val="10"/>
        </w:rPr>
        <w:t>［3］</w:t>
      </w:r>
      <w:r>
        <w:rPr>
          <w:rFonts w:ascii="微软雅黑" w:hAnsi="微软雅黑" w:eastAsia="微软雅黑" w:cs="微软雅黑"/>
          <w:color w:val="231F20"/>
          <w:spacing w:val="-8"/>
          <w:position w:val="8"/>
          <w:sz w:val="10"/>
          <w:szCs w:val="10"/>
        </w:rPr>
        <w:t xml:space="preserve"> </w:t>
      </w:r>
      <w:r>
        <w:rPr>
          <w:rFonts w:ascii="微软雅黑" w:hAnsi="微软雅黑" w:eastAsia="微软雅黑" w:cs="微软雅黑"/>
          <w:color w:val="231F20"/>
          <w:spacing w:val="-1"/>
          <w:sz w:val="18"/>
          <w:szCs w:val="18"/>
        </w:rPr>
        <w:t>。</w:t>
      </w:r>
    </w:p>
    <w:p>
      <w:pPr>
        <w:pStyle w:val="2"/>
        <w:spacing w:line="463" w:lineRule="exact"/>
        <w:ind w:firstLine="1733"/>
      </w:pPr>
      <w:r>
        <w:rPr>
          <w:position w:val="-9"/>
        </w:rPr>
        <w:pict>
          <v:shape id="_x0000_s1044" o:spid="_x0000_s1044" o:spt="202" type="#_x0000_t202" style="height:29.15pt;width:391.55pt;" filled="f" stroked="f" coordsize="21600,21600">
            <v:path/>
            <v:fill on="f" focussize="0,0"/>
            <v:stroke on="f"/>
            <v:imagedata o:title=""/>
            <o:lock v:ext="edit" aspectratio="f"/>
            <v:textbox inset="0mm,0mm,0mm,0mm">
              <w:txbxContent>
                <w:sdt>
                  <w:sdtPr>
                    <w:rPr>
                      <w:rFonts w:ascii="黑体" w:hAnsi="黑体" w:eastAsia="黑体" w:cs="黑体"/>
                      <w:sz w:val="18"/>
                      <w:szCs w:val="18"/>
                    </w:rPr>
                    <w:id w:val="1"/>
                    <w:docPartObj>
                      <w:docPartGallery w:val="Table of Contents"/>
                      <w:docPartUnique/>
                    </w:docPartObj>
                  </w:sdtPr>
                  <w:sdtEndPr>
                    <w:rPr>
                      <w:rFonts w:ascii="楷体" w:hAnsi="楷体" w:eastAsia="楷体" w:cs="楷体"/>
                      <w:sz w:val="18"/>
                      <w:szCs w:val="18"/>
                    </w:rPr>
                  </w:sdtEndPr>
                  <w:sdtContent>
                    <w:p>
                      <w:pPr>
                        <w:spacing w:before="59" w:line="202" w:lineRule="auto"/>
                        <w:rPr>
                          <w:rFonts w:ascii="微软雅黑" w:hAnsi="微软雅黑" w:eastAsia="微软雅黑" w:cs="微软雅黑"/>
                          <w:sz w:val="18"/>
                          <w:szCs w:val="18"/>
                        </w:rPr>
                      </w:pPr>
                      <w:r>
                        <w:rPr>
                          <w:rFonts w:ascii="黑体" w:hAnsi="黑体" w:eastAsia="黑体" w:cs="黑体"/>
                          <w:color w:val="231F20"/>
                          <w:spacing w:val="-4"/>
                          <w:sz w:val="18"/>
                          <w:szCs w:val="18"/>
                        </w:rPr>
                        <w:t xml:space="preserve">关键词： </w:t>
                      </w:r>
                      <w:r>
                        <w:rPr>
                          <w:rFonts w:ascii="微软雅黑" w:hAnsi="微软雅黑" w:eastAsia="微软雅黑" w:cs="微软雅黑"/>
                          <w:color w:val="231F20"/>
                          <w:spacing w:val="-4"/>
                          <w:sz w:val="18"/>
                          <w:szCs w:val="18"/>
                        </w:rPr>
                        <w:t>高校；高等教育质量；质量文化；改进路径</w:t>
                      </w:r>
                    </w:p>
                    <w:p>
                      <w:pPr>
                        <w:spacing w:line="241" w:lineRule="auto"/>
                        <w:jc w:val="right"/>
                        <w:rPr>
                          <w:rFonts w:ascii="楷体" w:hAnsi="楷体" w:eastAsia="楷体" w:cs="楷体"/>
                          <w:sz w:val="18"/>
                          <w:szCs w:val="18"/>
                        </w:rPr>
                      </w:pPr>
                      <w:r>
                        <w:rPr>
                          <w:rFonts w:ascii="黑体" w:hAnsi="黑体" w:eastAsia="黑体" w:cs="黑体"/>
                          <w:color w:val="231F20"/>
                          <w:spacing w:val="-6"/>
                          <w:sz w:val="18"/>
                          <w:szCs w:val="18"/>
                        </w:rPr>
                        <w:t>中图分类号：</w:t>
                      </w:r>
                      <w:r>
                        <w:rPr>
                          <w:rFonts w:ascii="黑体" w:hAnsi="黑体" w:eastAsia="黑体" w:cs="黑体"/>
                          <w:color w:val="231F20"/>
                          <w:spacing w:val="49"/>
                          <w:sz w:val="18"/>
                          <w:szCs w:val="18"/>
                        </w:rPr>
                        <w:t xml:space="preserve"> </w:t>
                      </w:r>
                      <w:r>
                        <w:rPr>
                          <w:rFonts w:ascii="楷体" w:hAnsi="楷体" w:eastAsia="楷体" w:cs="楷体"/>
                          <w:color w:val="231F20"/>
                          <w:spacing w:val="-6"/>
                          <w:sz w:val="18"/>
                          <w:szCs w:val="18"/>
                        </w:rPr>
                        <w:t xml:space="preserve">G644          </w:t>
                      </w:r>
                      <w:r>
                        <w:rPr>
                          <w:rFonts w:ascii="黑体" w:hAnsi="黑体" w:eastAsia="黑体" w:cs="黑体"/>
                          <w:color w:val="231F20"/>
                          <w:spacing w:val="-6"/>
                          <w:sz w:val="18"/>
                          <w:szCs w:val="18"/>
                        </w:rPr>
                        <w:t>文献标识码：</w:t>
                      </w:r>
                      <w:r>
                        <w:rPr>
                          <w:rFonts w:ascii="黑体" w:hAnsi="黑体" w:eastAsia="黑体" w:cs="黑体"/>
                          <w:color w:val="231F20"/>
                          <w:spacing w:val="34"/>
                          <w:sz w:val="18"/>
                          <w:szCs w:val="18"/>
                        </w:rPr>
                        <w:t xml:space="preserve"> </w:t>
                      </w:r>
                      <w:r>
                        <w:rPr>
                          <w:rFonts w:ascii="楷体" w:hAnsi="楷体" w:eastAsia="楷体" w:cs="楷体"/>
                          <w:color w:val="231F20"/>
                          <w:spacing w:val="-6"/>
                          <w:sz w:val="18"/>
                          <w:szCs w:val="18"/>
                        </w:rPr>
                        <w:t xml:space="preserve">A           </w:t>
                      </w:r>
                      <w:r>
                        <w:rPr>
                          <w:rFonts w:ascii="黑体" w:hAnsi="黑体" w:eastAsia="黑体" w:cs="黑体"/>
                          <w:color w:val="231F20"/>
                          <w:spacing w:val="-6"/>
                          <w:sz w:val="18"/>
                          <w:szCs w:val="18"/>
                        </w:rPr>
                        <w:t>文章编号：</w:t>
                      </w:r>
                      <w:r>
                        <w:rPr>
                          <w:rFonts w:ascii="黑体" w:hAnsi="黑体" w:eastAsia="黑体" w:cs="黑体"/>
                          <w:color w:val="231F20"/>
                          <w:spacing w:val="38"/>
                          <w:sz w:val="18"/>
                          <w:szCs w:val="18"/>
                        </w:rPr>
                        <w:t xml:space="preserve"> </w:t>
                      </w:r>
                      <w:r>
                        <w:rPr>
                          <w:rFonts w:ascii="楷体" w:hAnsi="楷体" w:eastAsia="楷体" w:cs="楷体"/>
                          <w:color w:val="231F20"/>
                          <w:spacing w:val="-6"/>
                          <w:sz w:val="18"/>
                          <w:szCs w:val="18"/>
                        </w:rPr>
                        <w:t>2095-9052（2021）08-0128-</w:t>
                      </w:r>
                      <w:r>
                        <w:fldChar w:fldCharType="begin"/>
                      </w:r>
                      <w:r>
                        <w:instrText xml:space="preserve"> HYPERLINK \l "bookmark1" </w:instrText>
                      </w:r>
                      <w:r>
                        <w:fldChar w:fldCharType="separate"/>
                      </w:r>
                      <w:r>
                        <w:rPr>
                          <w:rFonts w:ascii="楷体" w:hAnsi="楷体" w:eastAsia="楷体" w:cs="楷体"/>
                          <w:color w:val="231F20"/>
                          <w:spacing w:val="-6"/>
                          <w:sz w:val="18"/>
                          <w:szCs w:val="18"/>
                        </w:rPr>
                        <w:t>03</w:t>
                      </w:r>
                      <w:r>
                        <w:rPr>
                          <w:rFonts w:ascii="楷体" w:hAnsi="楷体" w:eastAsia="楷体" w:cs="楷体"/>
                          <w:color w:val="231F20"/>
                          <w:spacing w:val="-6"/>
                          <w:sz w:val="18"/>
                          <w:szCs w:val="18"/>
                        </w:rPr>
                        <w:fldChar w:fldCharType="end"/>
                      </w:r>
                    </w:p>
                  </w:sdtContent>
                </w:sdt>
              </w:txbxContent>
            </v:textbox>
            <w10:wrap type="none"/>
            <w10:anchorlock/>
          </v:shape>
        </w:pict>
      </w:r>
    </w:p>
    <w:p>
      <w:pPr>
        <w:spacing w:before="288" w:line="203" w:lineRule="auto"/>
        <w:ind w:left="1393"/>
        <w:rPr>
          <w:rFonts w:ascii="微软雅黑" w:hAnsi="微软雅黑" w:eastAsia="微软雅黑" w:cs="微软雅黑"/>
          <w:sz w:val="20"/>
          <w:szCs w:val="20"/>
        </w:rPr>
      </w:pPr>
      <w:r>
        <w:pict>
          <v:shape id="_x0000_s1045" o:spid="_x0000_s1045" o:spt="202" type="#_x0000_t202" style="position:absolute;left:0pt;margin-left:305.1pt;margin-top:13.3pt;height:432.35pt;width:242.95pt;z-index:251683840;mso-width-relative:page;mso-height-relative:page;" filled="f" stroked="f" coordsize="21600,21600">
            <v:path/>
            <v:fill on="f" focussize="0,0"/>
            <v:stroke on="f"/>
            <v:imagedata o:title=""/>
            <o:lock v:ext="edit" aspectratio="f"/>
            <v:textbox inset="0mm,0mm,0mm,0mm">
              <w:txbxContent>
                <w:p>
                  <w:pPr>
                    <w:spacing w:before="16" w:line="199" w:lineRule="auto"/>
                    <w:ind w:left="20" w:right="21" w:firstLine="4"/>
                    <w:jc w:val="both"/>
                    <w:rPr>
                      <w:rFonts w:ascii="微软雅黑" w:hAnsi="微软雅黑" w:eastAsia="微软雅黑" w:cs="微软雅黑"/>
                      <w:sz w:val="20"/>
                      <w:szCs w:val="20"/>
                    </w:rPr>
                  </w:pPr>
                  <w:r>
                    <w:rPr>
                      <w:rFonts w:ascii="微软雅黑" w:hAnsi="微软雅黑" w:eastAsia="微软雅黑" w:cs="微软雅黑"/>
                      <w:color w:val="231F20"/>
                      <w:sz w:val="20"/>
                      <w:szCs w:val="20"/>
                    </w:rPr>
                    <w:t>纳，质量文化使得管理效率提高，学校的教育环境有所</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z w:val="20"/>
                      <w:szCs w:val="20"/>
                    </w:rPr>
                    <w:t>改善，优质教师的引进增多。虽然我国高校对质量文化</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z w:val="20"/>
                      <w:szCs w:val="20"/>
                    </w:rPr>
                    <w:t>建设越来越重视，但是在认识和实践方面仍然存在一些</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z w:val="20"/>
                      <w:szCs w:val="20"/>
                    </w:rPr>
                    <w:t>偏差，一定程度上会限制高等教育机构建立高质量文化</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2"/>
                      <w:sz w:val="20"/>
                      <w:szCs w:val="20"/>
                    </w:rPr>
                    <w:t>的进展，因此必须逐渐加以解决。</w:t>
                  </w:r>
                </w:p>
                <w:p>
                  <w:pPr>
                    <w:spacing w:before="5" w:line="200" w:lineRule="auto"/>
                    <w:ind w:left="20" w:right="20" w:firstLine="368"/>
                    <w:jc w:val="both"/>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第一，表现在对培养高校质量文化的行为者缺乏了</w:t>
                  </w:r>
                  <w:r>
                    <w:rPr>
                      <w:rFonts w:ascii="微软雅黑" w:hAnsi="微软雅黑" w:eastAsia="微软雅黑" w:cs="微软雅黑"/>
                      <w:color w:val="231F20"/>
                      <w:spacing w:val="5"/>
                      <w:sz w:val="20"/>
                      <w:szCs w:val="20"/>
                    </w:rPr>
                    <w:t xml:space="preserve"> </w:t>
                  </w:r>
                  <w:r>
                    <w:rPr>
                      <w:rFonts w:ascii="微软雅黑" w:hAnsi="微软雅黑" w:eastAsia="微软雅黑" w:cs="微软雅黑"/>
                      <w:color w:val="231F20"/>
                      <w:sz w:val="20"/>
                      <w:szCs w:val="20"/>
                    </w:rPr>
                    <w:t>解。在高等教育机构中，教师和学生缺乏参与质量文化</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z w:val="20"/>
                      <w:szCs w:val="20"/>
                    </w:rPr>
                    <w:t>建设的积极性和主动性。在职能组织中设立质量控制或</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z w:val="20"/>
                      <w:szCs w:val="20"/>
                    </w:rPr>
                    <w:t>质量保证部门，这样可能会给组织内的其他部门传达一</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6"/>
                      <w:sz w:val="20"/>
                      <w:szCs w:val="20"/>
                    </w:rPr>
                    <w:t>种信息，即这批专门人员才是管理质量的主体</w:t>
                  </w:r>
                  <w:r>
                    <w:rPr>
                      <w:rFonts w:ascii="微软雅黑" w:hAnsi="微软雅黑" w:eastAsia="微软雅黑" w:cs="微软雅黑"/>
                      <w:color w:val="231F20"/>
                      <w:spacing w:val="6"/>
                      <w:position w:val="9"/>
                      <w:sz w:val="11"/>
                      <w:szCs w:val="11"/>
                    </w:rPr>
                    <w:t>［5</w:t>
                  </w:r>
                  <w:r>
                    <w:rPr>
                      <w:rFonts w:ascii="微软雅黑" w:hAnsi="微软雅黑" w:eastAsia="微软雅黑" w:cs="微软雅黑"/>
                      <w:color w:val="231F20"/>
                      <w:spacing w:val="-5"/>
                      <w:position w:val="9"/>
                      <w:sz w:val="11"/>
                      <w:szCs w:val="11"/>
                    </w:rPr>
                    <w:t>］</w:t>
                  </w:r>
                  <w:r>
                    <w:rPr>
                      <w:rFonts w:ascii="微软雅黑" w:hAnsi="微软雅黑" w:eastAsia="微软雅黑" w:cs="微软雅黑"/>
                      <w:color w:val="231F20"/>
                      <w:spacing w:val="-22"/>
                      <w:sz w:val="20"/>
                      <w:szCs w:val="20"/>
                    </w:rPr>
                    <w:t>，</w:t>
                  </w:r>
                  <w:r>
                    <w:rPr>
                      <w:rFonts w:ascii="微软雅黑" w:hAnsi="微软雅黑" w:eastAsia="微软雅黑" w:cs="微软雅黑"/>
                      <w:color w:val="231F20"/>
                      <w:spacing w:val="6"/>
                      <w:sz w:val="20"/>
                      <w:szCs w:val="20"/>
                    </w:rPr>
                    <w:t>因</w:t>
                  </w:r>
                  <w:r>
                    <w:rPr>
                      <w:rFonts w:ascii="微软雅黑" w:hAnsi="微软雅黑" w:eastAsia="微软雅黑" w:cs="微软雅黑"/>
                      <w:color w:val="231F20"/>
                      <w:sz w:val="20"/>
                      <w:szCs w:val="20"/>
                    </w:rPr>
                    <w:t xml:space="preserve"> 而进行质量文化建设不属于其他部门的职责。长期秉承</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9"/>
                      <w:sz w:val="20"/>
                      <w:szCs w:val="20"/>
                    </w:rPr>
                    <w:t>着“自上而下”的观念，将会导致师生主观认为质量</w:t>
                  </w:r>
                  <w:r>
                    <w:rPr>
                      <w:rFonts w:ascii="微软雅黑" w:hAnsi="微软雅黑" w:eastAsia="微软雅黑" w:cs="微软雅黑"/>
                      <w:color w:val="231F20"/>
                      <w:sz w:val="20"/>
                      <w:szCs w:val="20"/>
                    </w:rPr>
                    <w:t xml:space="preserve"> 文化建设是高校领导层的事务，与教师和学生联系并不</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z w:val="20"/>
                      <w:szCs w:val="20"/>
                    </w:rPr>
                    <w:t>大。事实上，高校的质量文化建设不仅是领导层和行政</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z w:val="20"/>
                      <w:szCs w:val="20"/>
                    </w:rPr>
                    <w:t>人员的事情，更需要包括教师和学生在内的全体成员都</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z w:val="20"/>
                      <w:szCs w:val="20"/>
                    </w:rPr>
                    <w:t>主动参与，关注教育质量、参与质量文化建设，在全校</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2"/>
                      <w:sz w:val="20"/>
                      <w:szCs w:val="20"/>
                    </w:rPr>
                    <w:t>形成一种积极的质量行为和文化氛围。</w:t>
                  </w:r>
                </w:p>
                <w:p>
                  <w:pPr>
                    <w:spacing w:before="35" w:line="198" w:lineRule="auto"/>
                    <w:ind w:left="20" w:right="21" w:firstLine="367"/>
                    <w:jc w:val="both"/>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第二，一些高校缺乏历史传承和高校办学特色</w:t>
                  </w:r>
                  <w:r>
                    <w:rPr>
                      <w:rFonts w:ascii="微软雅黑" w:hAnsi="微软雅黑" w:eastAsia="微软雅黑" w:cs="微软雅黑"/>
                      <w:color w:val="231F20"/>
                      <w:spacing w:val="1"/>
                      <w:sz w:val="20"/>
                      <w:szCs w:val="20"/>
                    </w:rPr>
                    <w:t>，使</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其内部独特的质量文化难以形成。我国高等教育逐渐由</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z w:val="20"/>
                      <w:szCs w:val="20"/>
                    </w:rPr>
                    <w:t>大众化普及化阶段过渡，高等职业院校、高等普通院校</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z w:val="20"/>
                      <w:szCs w:val="20"/>
                    </w:rPr>
                    <w:t>的招生人数持续上涨，这使得原来的校园面积不能满足</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
                      <w:sz w:val="20"/>
                      <w:szCs w:val="20"/>
                    </w:rPr>
                    <w:t>激增的大学生人数，</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
                      <w:sz w:val="20"/>
                      <w:szCs w:val="20"/>
                    </w:rPr>
                    <w:t>因此扩大校园面积、组建新校舍是</w:t>
                  </w:r>
                  <w:r>
                    <w:rPr>
                      <w:rFonts w:ascii="微软雅黑" w:hAnsi="微软雅黑" w:eastAsia="微软雅黑" w:cs="微软雅黑"/>
                      <w:color w:val="231F20"/>
                      <w:sz w:val="20"/>
                      <w:szCs w:val="20"/>
                    </w:rPr>
                    <w:t xml:space="preserve"> 必不可少的。校园扩建主要通过修建新校区以及合并扩</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z w:val="20"/>
                      <w:szCs w:val="20"/>
                    </w:rPr>
                    <w:t>大老校区来实现，但是，新建的教学楼和合并的校园在</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
                      <w:sz w:val="20"/>
                      <w:szCs w:val="20"/>
                    </w:rPr>
                    <w:t>短期内很难形成师生认同且具有高校特色的质量</w:t>
                  </w:r>
                  <w:r>
                    <w:rPr>
                      <w:rFonts w:ascii="微软雅黑" w:hAnsi="微软雅黑" w:eastAsia="微软雅黑" w:cs="微软雅黑"/>
                      <w:color w:val="231F20"/>
                      <w:spacing w:val="-2"/>
                      <w:sz w:val="20"/>
                      <w:szCs w:val="20"/>
                    </w:rPr>
                    <w:t>文化。</w:t>
                  </w:r>
                </w:p>
                <w:p>
                  <w:pPr>
                    <w:spacing w:before="34" w:line="198" w:lineRule="auto"/>
                    <w:ind w:left="20" w:right="21" w:firstLine="407"/>
                    <w:jc w:val="both"/>
                    <w:rPr>
                      <w:rFonts w:ascii="微软雅黑" w:hAnsi="微软雅黑" w:eastAsia="微软雅黑" w:cs="微软雅黑"/>
                      <w:sz w:val="20"/>
                      <w:szCs w:val="20"/>
                    </w:rPr>
                  </w:pPr>
                  <w:r>
                    <w:rPr>
                      <w:rFonts w:ascii="微软雅黑" w:hAnsi="微软雅黑" w:eastAsia="微软雅黑" w:cs="微软雅黑"/>
                      <w:color w:val="231F20"/>
                      <w:sz w:val="20"/>
                      <w:szCs w:val="20"/>
                    </w:rPr>
                    <w:t>目前不少高校为实现高质量发展，设立了教学质量 监控与评价中心或教学质量管理办公室，这些组织结构</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9"/>
                      <w:sz w:val="20"/>
                      <w:szCs w:val="20"/>
                    </w:rPr>
                    <w:t>最初是为了评估本科教学水平，以满足高校优</w:t>
                  </w:r>
                  <w:r>
                    <w:rPr>
                      <w:rFonts w:ascii="微软雅黑" w:hAnsi="微软雅黑" w:eastAsia="微软雅黑" w:cs="微软雅黑"/>
                      <w:color w:val="231F20"/>
                      <w:spacing w:val="8"/>
                      <w:sz w:val="20"/>
                      <w:szCs w:val="20"/>
                    </w:rPr>
                    <w:t>质教育</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9"/>
                      <w:sz w:val="20"/>
                      <w:szCs w:val="20"/>
                    </w:rPr>
                    <w:t>质量的需要，但它们往往是宏观的，责任不明确，成</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z w:val="20"/>
                      <w:szCs w:val="20"/>
                    </w:rPr>
                    <w:t>绩不令人满意。这些质量组织在制定质量规划、质量政</w:t>
                  </w:r>
                </w:p>
              </w:txbxContent>
            </v:textbox>
          </v:shape>
        </w:pict>
      </w:r>
      <w:r>
        <w:rPr>
          <w:rFonts w:ascii="微软雅黑" w:hAnsi="微软雅黑" w:eastAsia="微软雅黑" w:cs="微软雅黑"/>
          <w:color w:val="231F20"/>
          <w:spacing w:val="10"/>
          <w:sz w:val="20"/>
          <w:szCs w:val="20"/>
        </w:rPr>
        <w:t>高等教育的普及程度越来越高，领域变革从未间</w:t>
      </w:r>
    </w:p>
    <w:p>
      <w:pPr>
        <w:spacing w:before="1" w:line="180" w:lineRule="auto"/>
        <w:ind w:left="1026"/>
        <w:rPr>
          <w:rFonts w:ascii="微软雅黑" w:hAnsi="微软雅黑" w:eastAsia="微软雅黑" w:cs="微软雅黑"/>
          <w:sz w:val="20"/>
          <w:szCs w:val="20"/>
        </w:rPr>
      </w:pPr>
      <w:r>
        <w:rPr>
          <w:rFonts w:ascii="微软雅黑" w:hAnsi="微软雅黑" w:eastAsia="微软雅黑" w:cs="微软雅黑"/>
          <w:color w:val="231F20"/>
          <w:spacing w:val="8"/>
          <w:sz w:val="20"/>
          <w:szCs w:val="20"/>
        </w:rPr>
        <w:t>断，高校因规模扩张、公共财政紧缩等问题，导致高</w:t>
      </w:r>
    </w:p>
    <w:p>
      <w:pPr>
        <w:spacing w:before="31" w:line="180" w:lineRule="auto"/>
        <w:ind w:left="1023"/>
        <w:rPr>
          <w:rFonts w:ascii="微软雅黑" w:hAnsi="微软雅黑" w:eastAsia="微软雅黑" w:cs="微软雅黑"/>
          <w:sz w:val="20"/>
          <w:szCs w:val="20"/>
        </w:rPr>
      </w:pPr>
      <w:r>
        <w:rPr>
          <w:rFonts w:ascii="微软雅黑" w:hAnsi="微软雅黑" w:eastAsia="微软雅黑" w:cs="微软雅黑"/>
          <w:color w:val="231F20"/>
          <w:spacing w:val="9"/>
          <w:sz w:val="20"/>
          <w:szCs w:val="20"/>
        </w:rPr>
        <w:t>等教育质量下滑和教育问责激烈等问题遭到民众的关</w:t>
      </w:r>
    </w:p>
    <w:p>
      <w:pPr>
        <w:spacing w:before="32" w:line="181" w:lineRule="auto"/>
        <w:ind w:left="1026"/>
        <w:rPr>
          <w:rFonts w:ascii="微软雅黑" w:hAnsi="微软雅黑" w:eastAsia="微软雅黑" w:cs="微软雅黑"/>
          <w:sz w:val="20"/>
          <w:szCs w:val="20"/>
        </w:rPr>
      </w:pPr>
      <w:r>
        <w:rPr>
          <w:rFonts w:ascii="微软雅黑" w:hAnsi="微软雅黑" w:eastAsia="微软雅黑" w:cs="微软雅黑"/>
          <w:color w:val="231F20"/>
          <w:spacing w:val="8"/>
          <w:sz w:val="20"/>
          <w:szCs w:val="20"/>
        </w:rPr>
        <w:t>注和质疑。在《国家中长期教育改革和发展规划纲要</w:t>
      </w:r>
    </w:p>
    <w:p>
      <w:pPr>
        <w:spacing w:before="28" w:line="201" w:lineRule="auto"/>
        <w:ind w:left="908"/>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（2010—2020 年）》的框架内，提高教育质量已成为高</w:t>
      </w:r>
    </w:p>
    <w:p>
      <w:pPr>
        <w:spacing w:before="7" w:line="181" w:lineRule="auto"/>
        <w:ind w:left="1023"/>
        <w:rPr>
          <w:rFonts w:ascii="微软雅黑" w:hAnsi="微软雅黑" w:eastAsia="微软雅黑" w:cs="微软雅黑"/>
          <w:sz w:val="20"/>
          <w:szCs w:val="20"/>
        </w:rPr>
      </w:pPr>
      <w:r>
        <w:rPr>
          <w:rFonts w:ascii="微软雅黑" w:hAnsi="微软雅黑" w:eastAsia="微软雅黑" w:cs="微软雅黑"/>
          <w:color w:val="231F20"/>
          <w:sz w:val="20"/>
          <w:szCs w:val="20"/>
        </w:rPr>
        <w:t>等教育改革和发展进程的主流，确保高等教育质量</w:t>
      </w:r>
      <w:r>
        <w:rPr>
          <w:rFonts w:ascii="微软雅黑" w:hAnsi="微软雅黑" w:eastAsia="微软雅黑" w:cs="微软雅黑"/>
          <w:color w:val="231F20"/>
          <w:spacing w:val="-1"/>
          <w:sz w:val="20"/>
          <w:szCs w:val="20"/>
        </w:rPr>
        <w:t>的活</w:t>
      </w:r>
    </w:p>
    <w:p>
      <w:pPr>
        <w:spacing w:before="31" w:line="179" w:lineRule="auto"/>
        <w:ind w:left="1024"/>
        <w:rPr>
          <w:rFonts w:ascii="微软雅黑" w:hAnsi="微软雅黑" w:eastAsia="微软雅黑" w:cs="微软雅黑"/>
          <w:sz w:val="20"/>
          <w:szCs w:val="20"/>
        </w:rPr>
      </w:pPr>
      <w:r>
        <w:rPr>
          <w:rFonts w:ascii="微软雅黑" w:hAnsi="微软雅黑" w:eastAsia="微软雅黑" w:cs="微软雅黑"/>
          <w:color w:val="231F20"/>
          <w:sz w:val="20"/>
          <w:szCs w:val="20"/>
        </w:rPr>
        <w:t>动如雨后春笋般展开。“质量文化”最初是美国对企业</w:t>
      </w:r>
    </w:p>
    <w:p>
      <w:pPr>
        <w:spacing w:before="34" w:line="181" w:lineRule="auto"/>
        <w:ind w:left="1019"/>
        <w:rPr>
          <w:rFonts w:ascii="微软雅黑" w:hAnsi="微软雅黑" w:eastAsia="微软雅黑" w:cs="微软雅黑"/>
          <w:sz w:val="20"/>
          <w:szCs w:val="20"/>
        </w:rPr>
      </w:pPr>
      <w:r>
        <w:rPr>
          <w:rFonts w:ascii="微软雅黑" w:hAnsi="微软雅黑" w:eastAsia="微软雅黑" w:cs="微软雅黑"/>
          <w:color w:val="231F20"/>
          <w:sz w:val="20"/>
          <w:szCs w:val="20"/>
        </w:rPr>
        <w:t>研究的专业概念，然后传到日本，对日本工业产品的提</w:t>
      </w:r>
    </w:p>
    <w:p>
      <w:pPr>
        <w:spacing w:before="31" w:line="181" w:lineRule="auto"/>
        <w:ind w:left="1025"/>
        <w:rPr>
          <w:rFonts w:ascii="微软雅黑" w:hAnsi="微软雅黑" w:eastAsia="微软雅黑" w:cs="微软雅黑"/>
          <w:sz w:val="20"/>
          <w:szCs w:val="20"/>
        </w:rPr>
      </w:pPr>
      <w:r>
        <w:rPr>
          <w:rFonts w:ascii="微软雅黑" w:hAnsi="微软雅黑" w:eastAsia="微软雅黑" w:cs="微软雅黑"/>
          <w:color w:val="231F20"/>
          <w:spacing w:val="-3"/>
          <w:sz w:val="20"/>
          <w:szCs w:val="20"/>
        </w:rPr>
        <w:t>高产生了巨大作用。从 20 世纪 80 年代起，</w:t>
      </w:r>
      <w:r>
        <w:rPr>
          <w:rFonts w:ascii="微软雅黑" w:hAnsi="微软雅黑" w:eastAsia="微软雅黑" w:cs="微软雅黑"/>
          <w:color w:val="231F20"/>
          <w:spacing w:val="-4"/>
          <w:sz w:val="20"/>
          <w:szCs w:val="20"/>
        </w:rPr>
        <w:t>“质量文化”</w:t>
      </w:r>
    </w:p>
    <w:p>
      <w:pPr>
        <w:spacing w:before="31" w:line="181" w:lineRule="auto"/>
        <w:ind w:left="1028"/>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引入我国，大大提升了我国大型企业的社会经济效益。</w:t>
      </w:r>
    </w:p>
    <w:p>
      <w:pPr>
        <w:spacing w:before="31" w:line="181" w:lineRule="auto"/>
        <w:ind w:left="1022"/>
        <w:rPr>
          <w:rFonts w:ascii="微软雅黑" w:hAnsi="微软雅黑" w:eastAsia="微软雅黑" w:cs="微软雅黑"/>
          <w:sz w:val="20"/>
          <w:szCs w:val="20"/>
        </w:rPr>
      </w:pPr>
      <w:r>
        <w:rPr>
          <w:rFonts w:ascii="微软雅黑" w:hAnsi="微软雅黑" w:eastAsia="微软雅黑" w:cs="微软雅黑"/>
          <w:color w:val="231F20"/>
          <w:sz w:val="20"/>
          <w:szCs w:val="20"/>
        </w:rPr>
        <w:t>一些教育专家和学者正在将优质教育引入教育研究，利</w:t>
      </w:r>
    </w:p>
    <w:p>
      <w:pPr>
        <w:spacing w:before="30" w:line="181" w:lineRule="auto"/>
        <w:ind w:left="1022"/>
        <w:rPr>
          <w:rFonts w:ascii="微软雅黑" w:hAnsi="微软雅黑" w:eastAsia="微软雅黑" w:cs="微软雅黑"/>
          <w:sz w:val="20"/>
          <w:szCs w:val="20"/>
        </w:rPr>
      </w:pPr>
      <w:r>
        <w:rPr>
          <w:rFonts w:ascii="微软雅黑" w:hAnsi="微软雅黑" w:eastAsia="微软雅黑" w:cs="微软雅黑"/>
          <w:color w:val="231F20"/>
          <w:sz w:val="20"/>
          <w:szCs w:val="20"/>
        </w:rPr>
        <w:t>用公司的优质文化在高等教育领域中构建起自身范围内</w:t>
      </w:r>
    </w:p>
    <w:p>
      <w:pPr>
        <w:spacing w:before="34" w:line="178" w:lineRule="auto"/>
        <w:ind w:left="1037"/>
        <w:rPr>
          <w:rFonts w:ascii="微软雅黑" w:hAnsi="微软雅黑" w:eastAsia="微软雅黑" w:cs="微软雅黑"/>
          <w:sz w:val="20"/>
          <w:szCs w:val="20"/>
        </w:rPr>
      </w:pPr>
      <w:r>
        <w:rPr>
          <w:rFonts w:ascii="微软雅黑" w:hAnsi="微软雅黑" w:eastAsia="微软雅黑" w:cs="微软雅黑"/>
          <w:color w:val="231F20"/>
          <w:spacing w:val="7"/>
          <w:sz w:val="20"/>
          <w:szCs w:val="20"/>
        </w:rPr>
        <w:t>的优质文化。美国管理学教授朱兰在他的质量手册中</w:t>
      </w:r>
    </w:p>
    <w:p>
      <w:pPr>
        <w:spacing w:before="34" w:line="181" w:lineRule="auto"/>
        <w:ind w:left="1019"/>
        <w:rPr>
          <w:rFonts w:ascii="微软雅黑" w:hAnsi="微软雅黑" w:eastAsia="微软雅黑" w:cs="微软雅黑"/>
          <w:sz w:val="20"/>
          <w:szCs w:val="20"/>
        </w:rPr>
      </w:pPr>
      <w:r>
        <w:rPr>
          <w:rFonts w:ascii="微软雅黑" w:hAnsi="微软雅黑" w:eastAsia="微软雅黑" w:cs="微软雅黑"/>
          <w:color w:val="231F20"/>
          <w:sz w:val="20"/>
          <w:szCs w:val="20"/>
        </w:rPr>
        <w:t>说：“质量文化是人们产生的与质量有关的习惯、信念</w:t>
      </w:r>
    </w:p>
    <w:p>
      <w:pPr>
        <w:spacing w:before="8" w:line="196" w:lineRule="auto"/>
        <w:ind w:left="1028"/>
        <w:rPr>
          <w:rFonts w:ascii="微软雅黑" w:hAnsi="微软雅黑" w:eastAsia="微软雅黑" w:cs="微软雅黑"/>
          <w:sz w:val="20"/>
          <w:szCs w:val="20"/>
        </w:rPr>
      </w:pPr>
      <w:r>
        <w:rPr>
          <w:rFonts w:ascii="微软雅黑" w:hAnsi="微软雅黑" w:eastAsia="微软雅黑" w:cs="微软雅黑"/>
          <w:color w:val="231F20"/>
          <w:spacing w:val="-3"/>
          <w:sz w:val="20"/>
          <w:szCs w:val="20"/>
        </w:rPr>
        <w:t>和行为模式</w:t>
      </w:r>
      <w:r>
        <w:rPr>
          <w:rFonts w:ascii="微软雅黑" w:hAnsi="微软雅黑" w:eastAsia="微软雅黑" w:cs="微软雅黑"/>
          <w:color w:val="231F20"/>
          <w:spacing w:val="-3"/>
          <w:position w:val="9"/>
          <w:sz w:val="11"/>
          <w:szCs w:val="11"/>
        </w:rPr>
        <w:t>［4］</w:t>
      </w:r>
      <w:r>
        <w:rPr>
          <w:rFonts w:ascii="微软雅黑" w:hAnsi="微软雅黑" w:eastAsia="微软雅黑" w:cs="微软雅黑"/>
          <w:color w:val="231F20"/>
          <w:spacing w:val="-3"/>
          <w:sz w:val="20"/>
          <w:szCs w:val="20"/>
        </w:rPr>
        <w:t>。”刘德仿教授对质量文</w:t>
      </w:r>
      <w:r>
        <w:rPr>
          <w:rFonts w:ascii="微软雅黑" w:hAnsi="微软雅黑" w:eastAsia="微软雅黑" w:cs="微软雅黑"/>
          <w:color w:val="231F20"/>
          <w:spacing w:val="-4"/>
          <w:sz w:val="20"/>
          <w:szCs w:val="20"/>
        </w:rPr>
        <w:t>化的定义说的是</w:t>
      </w:r>
    </w:p>
    <w:p>
      <w:pPr>
        <w:spacing w:before="34" w:line="180" w:lineRule="auto"/>
        <w:ind w:left="916"/>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“大学在长期的教育教学过程中，自觉形成的涉及质量</w:t>
      </w:r>
    </w:p>
    <w:p>
      <w:pPr>
        <w:spacing w:before="31" w:line="181" w:lineRule="auto"/>
        <w:ind w:left="1025"/>
        <w:rPr>
          <w:rFonts w:ascii="微软雅黑" w:hAnsi="微软雅黑" w:eastAsia="微软雅黑" w:cs="微软雅黑"/>
          <w:sz w:val="20"/>
          <w:szCs w:val="20"/>
        </w:rPr>
      </w:pPr>
      <w:r>
        <w:rPr>
          <w:rFonts w:ascii="微软雅黑" w:hAnsi="微软雅黑" w:eastAsia="微软雅黑" w:cs="微软雅黑"/>
          <w:color w:val="231F20"/>
          <w:sz w:val="20"/>
          <w:szCs w:val="20"/>
        </w:rPr>
        <w:t>空间的价值观念、规章制度、道德规范、环境意识及传</w:t>
      </w:r>
    </w:p>
    <w:p>
      <w:pPr>
        <w:spacing w:before="8" w:line="198" w:lineRule="auto"/>
        <w:ind w:left="1023"/>
        <w:rPr>
          <w:rFonts w:ascii="微软雅黑" w:hAnsi="微软雅黑" w:eastAsia="微软雅黑" w:cs="微软雅黑"/>
          <w:sz w:val="20"/>
          <w:szCs w:val="20"/>
        </w:rPr>
      </w:pPr>
      <w:r>
        <w:rPr>
          <w:rFonts w:ascii="微软雅黑" w:hAnsi="微软雅黑" w:eastAsia="微软雅黑" w:cs="微软雅黑"/>
          <w:color w:val="231F20"/>
          <w:spacing w:val="-3"/>
          <w:sz w:val="20"/>
          <w:szCs w:val="20"/>
        </w:rPr>
        <w:t>统习惯等‘软件’的总和”</w:t>
      </w:r>
      <w:r>
        <w:rPr>
          <w:rFonts w:ascii="微软雅黑" w:hAnsi="微软雅黑" w:eastAsia="微软雅黑" w:cs="微软雅黑"/>
          <w:color w:val="231F20"/>
          <w:spacing w:val="-3"/>
          <w:position w:val="9"/>
          <w:sz w:val="11"/>
          <w:szCs w:val="11"/>
        </w:rPr>
        <w:t>［5］</w:t>
      </w:r>
      <w:r>
        <w:rPr>
          <w:rFonts w:ascii="微软雅黑" w:hAnsi="微软雅黑" w:eastAsia="微软雅黑" w:cs="微软雅黑"/>
          <w:color w:val="231F20"/>
          <w:spacing w:val="-3"/>
          <w:sz w:val="20"/>
          <w:szCs w:val="20"/>
        </w:rPr>
        <w:t>。在本文中，质量文化是</w:t>
      </w:r>
    </w:p>
    <w:p>
      <w:pPr>
        <w:spacing w:before="30" w:line="180" w:lineRule="auto"/>
        <w:ind w:left="1023"/>
        <w:rPr>
          <w:rFonts w:ascii="微软雅黑" w:hAnsi="微软雅黑" w:eastAsia="微软雅黑" w:cs="微软雅黑"/>
          <w:sz w:val="20"/>
          <w:szCs w:val="20"/>
        </w:rPr>
      </w:pPr>
      <w:r>
        <w:rPr>
          <w:rFonts w:ascii="微软雅黑" w:hAnsi="微软雅黑" w:eastAsia="微软雅黑" w:cs="微软雅黑"/>
          <w:color w:val="231F20"/>
          <w:sz w:val="20"/>
          <w:szCs w:val="20"/>
        </w:rPr>
        <w:t>指在高校中涉及教育质量的物质基础、精神面貌、行为</w:t>
      </w:r>
    </w:p>
    <w:p>
      <w:pPr>
        <w:spacing w:before="33" w:line="180" w:lineRule="auto"/>
        <w:ind w:left="1034"/>
        <w:rPr>
          <w:rFonts w:ascii="微软雅黑" w:hAnsi="微软雅黑" w:eastAsia="微软雅黑" w:cs="微软雅黑"/>
          <w:sz w:val="20"/>
          <w:szCs w:val="20"/>
        </w:rPr>
      </w:pPr>
      <w:r>
        <w:rPr>
          <w:rFonts w:ascii="微软雅黑" w:hAnsi="微软雅黑" w:eastAsia="微软雅黑" w:cs="微软雅黑"/>
          <w:color w:val="231F20"/>
          <w:spacing w:val="-3"/>
          <w:sz w:val="20"/>
          <w:szCs w:val="20"/>
        </w:rPr>
        <w:t>习惯和规章制度等内容的总和。</w:t>
      </w:r>
    </w:p>
    <w:p>
      <w:pPr>
        <w:spacing w:before="161" w:line="205" w:lineRule="auto"/>
        <w:ind w:left="1392"/>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一、我国高校质量文化建设的现状</w:t>
      </w:r>
    </w:p>
    <w:p>
      <w:pPr>
        <w:spacing w:before="92" w:line="189" w:lineRule="auto"/>
        <w:ind w:left="1410"/>
        <w:rPr>
          <w:rFonts w:ascii="微软雅黑" w:hAnsi="微软雅黑" w:eastAsia="微软雅黑" w:cs="微软雅黑"/>
          <w:sz w:val="20"/>
          <w:szCs w:val="20"/>
        </w:rPr>
      </w:pPr>
      <w:r>
        <w:rPr>
          <w:rFonts w:ascii="微软雅黑" w:hAnsi="微软雅黑" w:eastAsia="微软雅黑" w:cs="微软雅黑"/>
          <w:color w:val="231F20"/>
          <w:sz w:val="20"/>
          <w:szCs w:val="20"/>
        </w:rPr>
        <w:t>国家对高等教育的教育质量愈加重视，并将检查和</w:t>
      </w:r>
    </w:p>
    <w:p>
      <w:pPr>
        <w:spacing w:line="180" w:lineRule="auto"/>
        <w:ind w:left="1022"/>
        <w:rPr>
          <w:rFonts w:ascii="微软雅黑" w:hAnsi="微软雅黑" w:eastAsia="微软雅黑" w:cs="微软雅黑"/>
          <w:sz w:val="20"/>
          <w:szCs w:val="20"/>
        </w:rPr>
      </w:pPr>
      <w:r>
        <w:rPr>
          <w:rFonts w:ascii="微软雅黑" w:hAnsi="微软雅黑" w:eastAsia="微软雅黑" w:cs="微软雅黑"/>
          <w:color w:val="231F20"/>
          <w:sz w:val="20"/>
          <w:szCs w:val="20"/>
        </w:rPr>
        <w:t>调研列入常规工作，采取各项措施以保证高校教育质量</w:t>
      </w:r>
    </w:p>
    <w:p>
      <w:pPr>
        <w:spacing w:before="32" w:line="181" w:lineRule="auto"/>
        <w:ind w:left="1037"/>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的稳步提升，如本科教学评估、第五轮学科评估。我国</w:t>
      </w:r>
    </w:p>
    <w:p>
      <w:pPr>
        <w:spacing w:before="31" w:line="181" w:lineRule="auto"/>
        <w:ind w:left="1024"/>
        <w:rPr>
          <w:rFonts w:ascii="微软雅黑" w:hAnsi="微软雅黑" w:eastAsia="微软雅黑" w:cs="微软雅黑"/>
          <w:sz w:val="20"/>
          <w:szCs w:val="20"/>
        </w:rPr>
      </w:pPr>
      <w:r>
        <w:rPr>
          <w:rFonts w:ascii="微软雅黑" w:hAnsi="微软雅黑" w:eastAsia="微软雅黑" w:cs="微软雅黑"/>
          <w:color w:val="231F20"/>
          <w:sz w:val="20"/>
          <w:szCs w:val="20"/>
        </w:rPr>
        <w:t>现在已经进入高等教育的普及化阶段，由于其规模扩张</w:t>
      </w:r>
    </w:p>
    <w:p>
      <w:pPr>
        <w:spacing w:before="31" w:line="181" w:lineRule="auto"/>
        <w:ind w:left="1026"/>
        <w:rPr>
          <w:rFonts w:ascii="微软雅黑" w:hAnsi="微软雅黑" w:eastAsia="微软雅黑" w:cs="微软雅黑"/>
          <w:sz w:val="20"/>
          <w:szCs w:val="20"/>
        </w:rPr>
      </w:pPr>
      <w:r>
        <w:rPr>
          <w:rFonts w:ascii="微软雅黑" w:hAnsi="微软雅黑" w:eastAsia="微软雅黑" w:cs="微软雅黑"/>
          <w:color w:val="231F20"/>
          <w:sz w:val="20"/>
          <w:szCs w:val="20"/>
        </w:rPr>
        <w:t>而引起的教育质量问题也日益凸显，用人单位越来越注</w:t>
      </w:r>
    </w:p>
    <w:p>
      <w:pPr>
        <w:spacing w:before="32" w:line="181" w:lineRule="auto"/>
        <w:ind w:left="1022"/>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重人才培养的质量和所接受的高等教育的质量，由此，</w:t>
      </w:r>
    </w:p>
    <w:p>
      <w:pPr>
        <w:spacing w:before="30" w:line="181" w:lineRule="auto"/>
        <w:ind w:left="1022"/>
        <w:rPr>
          <w:rFonts w:ascii="微软雅黑" w:hAnsi="微软雅黑" w:eastAsia="微软雅黑" w:cs="微软雅黑"/>
          <w:sz w:val="20"/>
          <w:szCs w:val="20"/>
        </w:rPr>
      </w:pPr>
      <w:r>
        <w:rPr>
          <w:rFonts w:ascii="微软雅黑" w:hAnsi="微软雅黑" w:eastAsia="微软雅黑" w:cs="微软雅黑"/>
          <w:color w:val="231F20"/>
          <w:sz w:val="20"/>
          <w:szCs w:val="20"/>
        </w:rPr>
        <w:t>质量文化的概念被引入高等教育领域中。在新时代的浪</w:t>
      </w:r>
    </w:p>
    <w:p>
      <w:pPr>
        <w:spacing w:before="32" w:line="181" w:lineRule="auto"/>
        <w:ind w:left="1021"/>
        <w:rPr>
          <w:rFonts w:ascii="微软雅黑" w:hAnsi="微软雅黑" w:eastAsia="微软雅黑" w:cs="微软雅黑"/>
          <w:sz w:val="20"/>
          <w:szCs w:val="20"/>
        </w:rPr>
      </w:pPr>
      <w:r>
        <w:rPr>
          <w:rFonts w:ascii="微软雅黑" w:hAnsi="微软雅黑" w:eastAsia="微软雅黑" w:cs="微软雅黑"/>
          <w:color w:val="231F20"/>
          <w:sz w:val="20"/>
          <w:szCs w:val="20"/>
        </w:rPr>
        <w:t>潮下，高校质量文化的概念也被广大师生和教职工所接</w:t>
      </w:r>
    </w:p>
    <w:p>
      <w:pPr>
        <w:spacing w:before="214" w:line="20" w:lineRule="exact"/>
        <w:ind w:firstLine="1017"/>
      </w:pPr>
      <w:r>
        <w:pict>
          <v:shape id="_x0000_s1046" o:spid="_x0000_s1046" style="height:1pt;width:127.6pt;" filled="f" stroked="t" coordsize="2551,20" path="m0,10l2551,10e">
            <v:fill on="f" focussize="0,0"/>
            <v:stroke weight="1pt" color="#231F20" miterlimit="4" joinstyle="miter"/>
            <v:imagedata o:title=""/>
            <o:lock v:ext="edit"/>
            <w10:wrap type="none"/>
            <w10:anchorlock/>
          </v:shape>
        </w:pict>
      </w:r>
    </w:p>
    <w:p>
      <w:pPr>
        <w:spacing w:before="236" w:line="186" w:lineRule="auto"/>
        <w:ind w:left="1023"/>
        <w:rPr>
          <w:rFonts w:ascii="微软雅黑" w:hAnsi="微软雅黑" w:eastAsia="微软雅黑" w:cs="微软雅黑"/>
          <w:sz w:val="15"/>
          <w:szCs w:val="15"/>
        </w:rPr>
      </w:pPr>
      <w:r>
        <w:rPr>
          <w:rFonts w:ascii="黑体" w:hAnsi="黑体" w:eastAsia="黑体" w:cs="黑体"/>
          <w:color w:val="231F20"/>
          <w:spacing w:val="-10"/>
          <w:sz w:val="15"/>
          <w:szCs w:val="15"/>
        </w:rPr>
        <w:t>收稿日期：</w:t>
      </w:r>
      <w:r>
        <w:rPr>
          <w:rFonts w:ascii="黑体" w:hAnsi="黑体" w:eastAsia="黑体" w:cs="黑体"/>
          <w:color w:val="231F20"/>
          <w:spacing w:val="36"/>
          <w:sz w:val="15"/>
          <w:szCs w:val="15"/>
        </w:rPr>
        <w:t xml:space="preserve"> </w:t>
      </w:r>
      <w:r>
        <w:rPr>
          <w:rFonts w:ascii="微软雅黑" w:hAnsi="微软雅黑" w:eastAsia="微软雅黑" w:cs="微软雅黑"/>
          <w:color w:val="231F20"/>
          <w:spacing w:val="-10"/>
          <w:sz w:val="15"/>
          <w:szCs w:val="15"/>
        </w:rPr>
        <w:t xml:space="preserve">2021-03-24       </w:t>
      </w:r>
      <w:r>
        <w:rPr>
          <w:rFonts w:ascii="黑体" w:hAnsi="黑体" w:eastAsia="黑体" w:cs="黑体"/>
          <w:color w:val="231F20"/>
          <w:spacing w:val="-10"/>
          <w:sz w:val="15"/>
          <w:szCs w:val="15"/>
        </w:rPr>
        <w:t>修改日期：</w:t>
      </w:r>
      <w:r>
        <w:rPr>
          <w:rFonts w:ascii="黑体" w:hAnsi="黑体" w:eastAsia="黑体" w:cs="黑体"/>
          <w:color w:val="231F20"/>
          <w:spacing w:val="31"/>
          <w:w w:val="101"/>
          <w:sz w:val="15"/>
          <w:szCs w:val="15"/>
        </w:rPr>
        <w:t xml:space="preserve"> </w:t>
      </w:r>
      <w:r>
        <w:rPr>
          <w:rFonts w:ascii="微软雅黑" w:hAnsi="微软雅黑" w:eastAsia="微软雅黑" w:cs="微软雅黑"/>
          <w:color w:val="231F20"/>
          <w:spacing w:val="-10"/>
          <w:sz w:val="15"/>
          <w:szCs w:val="15"/>
        </w:rPr>
        <w:t>2021-06-07</w:t>
      </w:r>
    </w:p>
    <w:p>
      <w:pPr>
        <w:spacing w:before="1" w:line="197" w:lineRule="auto"/>
        <w:ind w:left="1023"/>
        <w:rPr>
          <w:rFonts w:ascii="微软雅黑" w:hAnsi="微软雅黑" w:eastAsia="微软雅黑" w:cs="微软雅黑"/>
          <w:sz w:val="15"/>
          <w:szCs w:val="15"/>
        </w:rPr>
      </w:pPr>
      <w:r>
        <w:rPr>
          <w:rFonts w:ascii="黑体" w:hAnsi="黑体" w:eastAsia="黑体" w:cs="黑体"/>
          <w:color w:val="231F20"/>
          <w:spacing w:val="-6"/>
          <w:sz w:val="15"/>
          <w:szCs w:val="15"/>
        </w:rPr>
        <w:t>作者简介：</w:t>
      </w:r>
      <w:r>
        <w:rPr>
          <w:rFonts w:ascii="微软雅黑" w:hAnsi="微软雅黑" w:eastAsia="微软雅黑" w:cs="微软雅黑"/>
          <w:color w:val="231F20"/>
          <w:spacing w:val="-6"/>
          <w:sz w:val="15"/>
          <w:szCs w:val="15"/>
        </w:rPr>
        <w:t>刘文君（1998—</w:t>
      </w:r>
      <w:r>
        <w:rPr>
          <w:rFonts w:ascii="微软雅黑" w:hAnsi="微软雅黑" w:eastAsia="微软雅黑" w:cs="微软雅黑"/>
          <w:color w:val="231F20"/>
          <w:spacing w:val="-35"/>
          <w:sz w:val="15"/>
          <w:szCs w:val="15"/>
        </w:rPr>
        <w:t>），</w:t>
      </w:r>
      <w:r>
        <w:rPr>
          <w:rFonts w:ascii="微软雅黑" w:hAnsi="微软雅黑" w:eastAsia="微软雅黑" w:cs="微软雅黑"/>
          <w:color w:val="231F20"/>
          <w:spacing w:val="-3"/>
          <w:sz w:val="15"/>
          <w:szCs w:val="15"/>
        </w:rPr>
        <w:t xml:space="preserve"> </w:t>
      </w:r>
      <w:r>
        <w:rPr>
          <w:rFonts w:ascii="微软雅黑" w:hAnsi="微软雅黑" w:eastAsia="微软雅黑" w:cs="微软雅黑"/>
          <w:color w:val="231F20"/>
          <w:spacing w:val="-6"/>
          <w:sz w:val="15"/>
          <w:szCs w:val="15"/>
        </w:rPr>
        <w:t xml:space="preserve">女， 重庆万州人，  厦门大学教育研究院教育经济与管理专业 2020 级在读硕士研究生， </w:t>
      </w:r>
      <w:r>
        <w:rPr>
          <w:rFonts w:ascii="微软雅黑" w:hAnsi="微软雅黑" w:eastAsia="微软雅黑" w:cs="微软雅黑"/>
          <w:color w:val="231F20"/>
          <w:spacing w:val="-7"/>
          <w:sz w:val="15"/>
          <w:szCs w:val="15"/>
        </w:rPr>
        <w:t xml:space="preserve"> 主要从事高等教育经济与管理研究。</w:t>
      </w:r>
    </w:p>
    <w:p>
      <w:pPr>
        <w:spacing w:line="323" w:lineRule="auto"/>
        <w:rPr>
          <w:rFonts w:ascii="Arial"/>
          <w:sz w:val="21"/>
        </w:rPr>
      </w:pPr>
    </w:p>
    <w:p>
      <w:pPr>
        <w:spacing w:before="98" w:line="197" w:lineRule="exact"/>
        <w:ind w:left="1017"/>
        <w:rPr>
          <w:rFonts w:ascii="Arial" w:hAnsi="Arial" w:eastAsia="Arial" w:cs="Arial"/>
          <w:sz w:val="34"/>
          <w:szCs w:val="34"/>
        </w:rPr>
      </w:pPr>
      <w:r>
        <w:drawing>
          <wp:anchor distT="0" distB="0" distL="0" distR="0" simplePos="0" relativeHeight="251681792" behindDoc="1" locked="0" layoutInCell="1" allowOverlap="1">
            <wp:simplePos x="0" y="0"/>
            <wp:positionH relativeFrom="column">
              <wp:posOffset>645795</wp:posOffset>
            </wp:positionH>
            <wp:positionV relativeFrom="paragraph">
              <wp:posOffset>104140</wp:posOffset>
            </wp:positionV>
            <wp:extent cx="351790" cy="635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0"/>
                    <a:stretch>
                      <a:fillRect/>
                    </a:stretch>
                  </pic:blipFill>
                  <pic:spPr>
                    <a:xfrm>
                      <a:off x="0" y="0"/>
                      <a:ext cx="351993" cy="6350"/>
                    </a:xfrm>
                    <a:prstGeom prst="rect">
                      <a:avLst/>
                    </a:prstGeom>
                  </pic:spPr>
                </pic:pic>
              </a:graphicData>
            </a:graphic>
          </wp:anchor>
        </w:drawing>
      </w:r>
      <w:r>
        <w:rPr>
          <w:rFonts w:ascii="Arial" w:hAnsi="Arial" w:eastAsia="Arial" w:cs="Arial"/>
          <w:color w:val="231F20"/>
          <w:spacing w:val="-4"/>
          <w:position w:val="-1"/>
          <w:sz w:val="34"/>
          <w:szCs w:val="34"/>
        </w:rPr>
        <w:t>-</w:t>
      </w:r>
      <w:r>
        <w:rPr>
          <w:rFonts w:ascii="Arial" w:hAnsi="Arial" w:eastAsia="Arial" w:cs="Arial"/>
          <w:color w:val="231F20"/>
          <w:spacing w:val="-51"/>
          <w:position w:val="-1"/>
          <w:sz w:val="34"/>
          <w:szCs w:val="34"/>
        </w:rPr>
        <w:t xml:space="preserve"> </w:t>
      </w:r>
      <w:r>
        <w:rPr>
          <w:rFonts w:ascii="Times New Roman" w:hAnsi="Times New Roman" w:eastAsia="Times New Roman" w:cs="Times New Roman"/>
          <w:color w:val="231F20"/>
          <w:spacing w:val="-4"/>
          <w:sz w:val="17"/>
          <w:szCs w:val="17"/>
        </w:rPr>
        <w:t>128</w:t>
      </w:r>
      <w:r>
        <w:rPr>
          <w:rFonts w:ascii="Times New Roman" w:hAnsi="Times New Roman" w:eastAsia="Times New Roman" w:cs="Times New Roman"/>
          <w:color w:val="231F20"/>
          <w:spacing w:val="6"/>
          <w:sz w:val="17"/>
          <w:szCs w:val="17"/>
        </w:rPr>
        <w:t xml:space="preserve"> </w:t>
      </w:r>
      <w:r>
        <w:rPr>
          <w:rFonts w:ascii="Arial" w:hAnsi="Arial" w:eastAsia="Arial" w:cs="Arial"/>
          <w:color w:val="231F20"/>
          <w:spacing w:val="-4"/>
          <w:position w:val="-1"/>
          <w:sz w:val="34"/>
          <w:szCs w:val="34"/>
        </w:rPr>
        <w:t>-</w:t>
      </w:r>
    </w:p>
    <w:p>
      <w:pPr>
        <w:spacing w:before="249" w:line="202" w:lineRule="auto"/>
        <w:ind w:left="405"/>
        <w:rPr>
          <w:rFonts w:ascii="Arial" w:hAnsi="Arial" w:eastAsia="Arial" w:cs="Arial"/>
          <w:sz w:val="19"/>
          <w:szCs w:val="19"/>
        </w:rPr>
      </w:pPr>
      <w:r>
        <w:rPr>
          <w:rFonts w:ascii="Arial" w:hAnsi="Arial" w:eastAsia="Arial" w:cs="Arial"/>
          <w:color w:val="B2B2B2"/>
          <w:spacing w:val="13"/>
          <w:sz w:val="19"/>
          <w:szCs w:val="19"/>
        </w:rPr>
        <w:t>(c)1994-2023</w:t>
      </w:r>
      <w:r>
        <w:rPr>
          <w:rFonts w:ascii="Arial" w:hAnsi="Arial" w:eastAsia="Arial" w:cs="Arial"/>
          <w:color w:val="B2B2B2"/>
          <w:spacing w:val="23"/>
          <w:w w:val="101"/>
          <w:sz w:val="19"/>
          <w:szCs w:val="19"/>
        </w:rPr>
        <w:t xml:space="preserve"> </w:t>
      </w:r>
      <w:r>
        <w:rPr>
          <w:rFonts w:ascii="Arial" w:hAnsi="Arial" w:eastAsia="Arial" w:cs="Arial"/>
          <w:color w:val="B2B2B2"/>
          <w:sz w:val="19"/>
          <w:szCs w:val="19"/>
        </w:rPr>
        <w:t>china</w:t>
      </w:r>
      <w:r>
        <w:rPr>
          <w:rFonts w:ascii="Arial" w:hAnsi="Arial" w:eastAsia="Arial" w:cs="Arial"/>
          <w:color w:val="B2B2B2"/>
          <w:spacing w:val="13"/>
          <w:sz w:val="19"/>
          <w:szCs w:val="19"/>
        </w:rPr>
        <w:t xml:space="preserve"> </w:t>
      </w:r>
      <w:r>
        <w:rPr>
          <w:rFonts w:ascii="Arial" w:hAnsi="Arial" w:eastAsia="Arial" w:cs="Arial"/>
          <w:color w:val="B2B2B2"/>
          <w:sz w:val="19"/>
          <w:szCs w:val="19"/>
        </w:rPr>
        <w:t>Academic</w:t>
      </w:r>
      <w:r>
        <w:rPr>
          <w:rFonts w:ascii="Arial" w:hAnsi="Arial" w:eastAsia="Arial" w:cs="Arial"/>
          <w:color w:val="B2B2B2"/>
          <w:spacing w:val="13"/>
          <w:sz w:val="19"/>
          <w:szCs w:val="19"/>
        </w:rPr>
        <w:t xml:space="preserve"> </w:t>
      </w:r>
      <w:r>
        <w:rPr>
          <w:rFonts w:ascii="Arial" w:hAnsi="Arial" w:eastAsia="Arial" w:cs="Arial"/>
          <w:color w:val="B2B2B2"/>
          <w:sz w:val="19"/>
          <w:szCs w:val="19"/>
        </w:rPr>
        <w:t>Journal</w:t>
      </w:r>
      <w:r>
        <w:rPr>
          <w:rFonts w:ascii="Arial" w:hAnsi="Arial" w:eastAsia="Arial" w:cs="Arial"/>
          <w:color w:val="B2B2B2"/>
          <w:spacing w:val="13"/>
          <w:sz w:val="19"/>
          <w:szCs w:val="19"/>
        </w:rPr>
        <w:t xml:space="preserve"> </w:t>
      </w:r>
      <w:r>
        <w:rPr>
          <w:rFonts w:ascii="Arial" w:hAnsi="Arial" w:eastAsia="Arial" w:cs="Arial"/>
          <w:color w:val="B2B2B2"/>
          <w:sz w:val="19"/>
          <w:szCs w:val="19"/>
        </w:rPr>
        <w:t>Electronic</w:t>
      </w:r>
      <w:r>
        <w:rPr>
          <w:rFonts w:ascii="Arial" w:hAnsi="Arial" w:eastAsia="Arial" w:cs="Arial"/>
          <w:color w:val="B2B2B2"/>
          <w:spacing w:val="13"/>
          <w:sz w:val="19"/>
          <w:szCs w:val="19"/>
        </w:rPr>
        <w:t xml:space="preserve"> </w:t>
      </w:r>
      <w:r>
        <w:rPr>
          <w:rFonts w:ascii="Arial" w:hAnsi="Arial" w:eastAsia="Arial" w:cs="Arial"/>
          <w:color w:val="B2B2B2"/>
          <w:sz w:val="19"/>
          <w:szCs w:val="19"/>
        </w:rPr>
        <w:t>publishing</w:t>
      </w:r>
      <w:r>
        <w:rPr>
          <w:rFonts w:ascii="Arial" w:hAnsi="Arial" w:eastAsia="Arial" w:cs="Arial"/>
          <w:color w:val="B2B2B2"/>
          <w:spacing w:val="13"/>
          <w:sz w:val="19"/>
          <w:szCs w:val="19"/>
        </w:rPr>
        <w:t xml:space="preserve"> </w:t>
      </w:r>
      <w:r>
        <w:rPr>
          <w:rFonts w:ascii="Arial" w:hAnsi="Arial" w:eastAsia="Arial" w:cs="Arial"/>
          <w:color w:val="B2B2B2"/>
          <w:sz w:val="19"/>
          <w:szCs w:val="19"/>
        </w:rPr>
        <w:t>House</w:t>
      </w:r>
      <w:r>
        <w:rPr>
          <w:rFonts w:ascii="Arial" w:hAnsi="Arial" w:eastAsia="Arial" w:cs="Arial"/>
          <w:color w:val="B2B2B2"/>
          <w:spacing w:val="13"/>
          <w:sz w:val="19"/>
          <w:szCs w:val="19"/>
        </w:rPr>
        <w:t xml:space="preserve">. </w:t>
      </w:r>
      <w:r>
        <w:rPr>
          <w:rFonts w:ascii="Arial" w:hAnsi="Arial" w:eastAsia="Arial" w:cs="Arial"/>
          <w:color w:val="B2B2B2"/>
          <w:sz w:val="19"/>
          <w:szCs w:val="19"/>
        </w:rPr>
        <w:t>All</w:t>
      </w:r>
      <w:r>
        <w:rPr>
          <w:rFonts w:ascii="Arial" w:hAnsi="Arial" w:eastAsia="Arial" w:cs="Arial"/>
          <w:color w:val="B2B2B2"/>
          <w:spacing w:val="13"/>
          <w:sz w:val="19"/>
          <w:szCs w:val="19"/>
        </w:rPr>
        <w:t xml:space="preserve"> </w:t>
      </w:r>
      <w:r>
        <w:rPr>
          <w:rFonts w:ascii="Arial" w:hAnsi="Arial" w:eastAsia="Arial" w:cs="Arial"/>
          <w:color w:val="B2B2B2"/>
          <w:sz w:val="19"/>
          <w:szCs w:val="19"/>
        </w:rPr>
        <w:t>rights</w:t>
      </w:r>
      <w:r>
        <w:rPr>
          <w:rFonts w:ascii="Arial" w:hAnsi="Arial" w:eastAsia="Arial" w:cs="Arial"/>
          <w:color w:val="B2B2B2"/>
          <w:spacing w:val="13"/>
          <w:sz w:val="19"/>
          <w:szCs w:val="19"/>
        </w:rPr>
        <w:t xml:space="preserve"> </w:t>
      </w:r>
      <w:r>
        <w:rPr>
          <w:rFonts w:ascii="Arial" w:hAnsi="Arial" w:eastAsia="Arial" w:cs="Arial"/>
          <w:color w:val="B2B2B2"/>
          <w:sz w:val="19"/>
          <w:szCs w:val="19"/>
        </w:rPr>
        <w:t>reserved</w:t>
      </w:r>
      <w:r>
        <w:rPr>
          <w:rFonts w:ascii="Arial" w:hAnsi="Arial" w:eastAsia="Arial" w:cs="Arial"/>
          <w:color w:val="B2B2B2"/>
          <w:spacing w:val="13"/>
          <w:sz w:val="19"/>
          <w:szCs w:val="19"/>
        </w:rPr>
        <w:t xml:space="preserve">.    </w:t>
      </w:r>
      <w:r>
        <w:rPr>
          <w:rFonts w:ascii="Arial" w:hAnsi="Arial" w:eastAsia="Arial" w:cs="Arial"/>
          <w:color w:val="B2B2B2"/>
          <w:sz w:val="19"/>
          <w:szCs w:val="19"/>
        </w:rPr>
        <w:t>http</w:t>
      </w:r>
      <w:r>
        <w:rPr>
          <w:rFonts w:ascii="Arial" w:hAnsi="Arial" w:eastAsia="Arial" w:cs="Arial"/>
          <w:color w:val="B2B2B2"/>
          <w:spacing w:val="13"/>
          <w:sz w:val="19"/>
          <w:szCs w:val="19"/>
        </w:rPr>
        <w:t>://</w:t>
      </w:r>
      <w:r>
        <w:rPr>
          <w:rFonts w:ascii="Arial" w:hAnsi="Arial" w:eastAsia="Arial" w:cs="Arial"/>
          <w:color w:val="B2B2B2"/>
          <w:sz w:val="19"/>
          <w:szCs w:val="19"/>
        </w:rPr>
        <w:t>www</w:t>
      </w:r>
      <w:r>
        <w:rPr>
          <w:rFonts w:ascii="Arial" w:hAnsi="Arial" w:eastAsia="Arial" w:cs="Arial"/>
          <w:color w:val="B2B2B2"/>
          <w:spacing w:val="13"/>
          <w:sz w:val="19"/>
          <w:szCs w:val="19"/>
        </w:rPr>
        <w:t>.</w:t>
      </w:r>
      <w:r>
        <w:rPr>
          <w:rFonts w:ascii="Arial" w:hAnsi="Arial" w:eastAsia="Arial" w:cs="Arial"/>
          <w:color w:val="B2B2B2"/>
          <w:sz w:val="19"/>
          <w:szCs w:val="19"/>
        </w:rPr>
        <w:t>cnki</w:t>
      </w:r>
      <w:r>
        <w:rPr>
          <w:rFonts w:ascii="Arial" w:hAnsi="Arial" w:eastAsia="Arial" w:cs="Arial"/>
          <w:color w:val="B2B2B2"/>
          <w:spacing w:val="13"/>
          <w:sz w:val="19"/>
          <w:szCs w:val="19"/>
        </w:rPr>
        <w:t>.</w:t>
      </w:r>
      <w:r>
        <w:rPr>
          <w:rFonts w:ascii="Arial" w:hAnsi="Arial" w:eastAsia="Arial" w:cs="Arial"/>
          <w:color w:val="B2B2B2"/>
          <w:sz w:val="19"/>
          <w:szCs w:val="19"/>
        </w:rPr>
        <w:t>net</w:t>
      </w:r>
    </w:p>
    <w:p>
      <w:pPr>
        <w:spacing w:line="202" w:lineRule="auto"/>
        <w:rPr>
          <w:rFonts w:ascii="Arial" w:hAnsi="Arial" w:eastAsia="Arial" w:cs="Arial"/>
          <w:sz w:val="19"/>
          <w:szCs w:val="19"/>
        </w:rPr>
        <w:sectPr>
          <w:headerReference r:id="rId44" w:type="default"/>
          <w:footerReference r:id="rId45" w:type="default"/>
          <w:pgSz w:w="12246" w:h="17179"/>
          <w:pgMar w:top="400" w:right="0" w:bottom="354" w:left="2" w:header="0" w:footer="0" w:gutter="0"/>
          <w:cols w:space="720" w:num="1"/>
        </w:sectPr>
      </w:pPr>
    </w:p>
    <w:p>
      <w:pPr>
        <w:spacing w:line="329" w:lineRule="auto"/>
        <w:rPr>
          <w:rFonts w:ascii="Arial"/>
          <w:sz w:val="21"/>
        </w:rPr>
      </w:pPr>
    </w:p>
    <w:p>
      <w:pPr>
        <w:spacing w:line="329" w:lineRule="auto"/>
        <w:rPr>
          <w:rFonts w:ascii="Arial"/>
          <w:sz w:val="21"/>
        </w:rPr>
      </w:pPr>
    </w:p>
    <w:p>
      <w:pPr>
        <w:spacing w:before="78" w:line="168" w:lineRule="auto"/>
        <w:ind w:left="1359"/>
        <w:rPr>
          <w:rFonts w:ascii="微软雅黑" w:hAnsi="微软雅黑" w:eastAsia="微软雅黑" w:cs="微软雅黑"/>
          <w:sz w:val="18"/>
          <w:szCs w:val="18"/>
        </w:rPr>
      </w:pPr>
      <w:r>
        <w:pict>
          <v:shape id="_x0000_s1047" o:spid="_x0000_s1047" o:spt="202" type="#_x0000_t202" style="position:absolute;left:0pt;margin-left:515.75pt;margin-top:5pt;height:21.4pt;width:42.6pt;z-index:251687936;mso-width-relative:page;mso-height-relative:page;" filled="f" stroked="f" coordsize="21600,21600">
            <v:path/>
            <v:fill on="f" focussize="0,0"/>
            <v:stroke on="f"/>
            <v:imagedata o:title=""/>
            <o:lock v:ext="edit" aspectratio="f"/>
            <v:textbox inset="0mm,0mm,0mm,0mm">
              <w:txbxContent>
                <w:p>
                  <w:pPr>
                    <w:pStyle w:val="2"/>
                    <w:spacing w:before="20" w:line="173" w:lineRule="auto"/>
                    <w:ind w:left="20"/>
                    <w:rPr>
                      <w:sz w:val="18"/>
                      <w:szCs w:val="18"/>
                    </w:rPr>
                  </w:pPr>
                  <w:r>
                    <w:rPr>
                      <w:color w:val="231F20"/>
                      <w:spacing w:val="-6"/>
                      <w:sz w:val="18"/>
                      <w:szCs w:val="18"/>
                    </w:rPr>
                    <w:t>No.8.</w:t>
                  </w:r>
                  <w:r>
                    <w:rPr>
                      <w:color w:val="231F20"/>
                      <w:spacing w:val="-31"/>
                      <w:sz w:val="18"/>
                      <w:szCs w:val="18"/>
                    </w:rPr>
                    <w:t xml:space="preserve"> </w:t>
                  </w:r>
                  <w:r>
                    <w:rPr>
                      <w:color w:val="231F20"/>
                      <w:spacing w:val="-6"/>
                      <w:sz w:val="18"/>
                      <w:szCs w:val="18"/>
                    </w:rPr>
                    <w:t>2021</w:t>
                  </w:r>
                </w:p>
                <w:p>
                  <w:pPr>
                    <w:pStyle w:val="2"/>
                    <w:spacing w:before="46" w:line="176" w:lineRule="auto"/>
                    <w:ind w:left="113"/>
                    <w:rPr>
                      <w:sz w:val="18"/>
                      <w:szCs w:val="18"/>
                    </w:rPr>
                  </w:pPr>
                  <w:r>
                    <w:rPr>
                      <w:color w:val="231F20"/>
                      <w:sz w:val="18"/>
                      <w:szCs w:val="18"/>
                    </w:rPr>
                    <w:t>Sum</w:t>
                  </w:r>
                  <w:r>
                    <w:rPr>
                      <w:color w:val="231F20"/>
                      <w:spacing w:val="-34"/>
                      <w:sz w:val="18"/>
                      <w:szCs w:val="18"/>
                    </w:rPr>
                    <w:t xml:space="preserve"> </w:t>
                  </w:r>
                  <w:r>
                    <w:rPr>
                      <w:color w:val="231F20"/>
                      <w:spacing w:val="11"/>
                      <w:sz w:val="18"/>
                      <w:szCs w:val="18"/>
                    </w:rPr>
                    <w:t>225</w:t>
                  </w:r>
                </w:p>
              </w:txbxContent>
            </v:textbox>
          </v:shape>
        </w:pict>
      </w:r>
      <w:r>
        <w:pict>
          <v:shape id="_x0000_s1048" o:spid="_x0000_s1048" o:spt="202" type="#_x0000_t202" style="position:absolute;left:0pt;margin-left:272.65pt;margin-top:6.2pt;height:17.95pt;width:67.5pt;z-index:25168691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微软雅黑" w:hAnsi="微软雅黑" w:eastAsia="微软雅黑" w:cs="微软雅黑"/>
                      <w:sz w:val="22"/>
                      <w:szCs w:val="22"/>
                    </w:rPr>
                  </w:pPr>
                  <w:r>
                    <w:rPr>
                      <w:rFonts w:ascii="微软雅黑" w:hAnsi="微软雅黑" w:eastAsia="微软雅黑" w:cs="微软雅黑"/>
                      <w:color w:val="231F20"/>
                      <w:spacing w:val="-2"/>
                      <w:sz w:val="22"/>
                      <w:szCs w:val="22"/>
                    </w:rPr>
                    <w:t>教育教学研究</w:t>
                  </w:r>
                </w:p>
              </w:txbxContent>
            </v:textbox>
          </v:shape>
        </w:pict>
      </w:r>
      <w:r>
        <w:rPr>
          <w:rFonts w:ascii="微软雅黑" w:hAnsi="微软雅黑" w:eastAsia="微软雅黑" w:cs="微软雅黑"/>
          <w:color w:val="231F20"/>
          <w:spacing w:val="-7"/>
          <w:sz w:val="18"/>
          <w:szCs w:val="18"/>
        </w:rPr>
        <w:t>2021年第8期</w:t>
      </w:r>
    </w:p>
    <w:p>
      <w:pPr>
        <w:spacing w:before="1" w:line="192" w:lineRule="auto"/>
        <w:ind w:left="1477"/>
        <w:rPr>
          <w:rFonts w:ascii="微软雅黑" w:hAnsi="微软雅黑" w:eastAsia="微软雅黑" w:cs="微软雅黑"/>
          <w:sz w:val="18"/>
          <w:szCs w:val="18"/>
        </w:rPr>
      </w:pPr>
      <w:r>
        <w:rPr>
          <w:rFonts w:ascii="微软雅黑" w:hAnsi="微软雅黑" w:eastAsia="微软雅黑" w:cs="微软雅黑"/>
          <w:color w:val="231F20"/>
          <w:spacing w:val="-11"/>
          <w:sz w:val="18"/>
          <w:szCs w:val="18"/>
        </w:rPr>
        <w:t>总第225期</w:t>
      </w:r>
    </w:p>
    <w:p>
      <w:pPr>
        <w:spacing w:line="28" w:lineRule="exact"/>
        <w:ind w:firstLine="1309"/>
      </w:pPr>
      <w:r>
        <w:drawing>
          <wp:inline distT="0" distB="0" distL="0" distR="0">
            <wp:extent cx="6296025" cy="1778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8"/>
                    <a:stretch>
                      <a:fillRect/>
                    </a:stretch>
                  </pic:blipFill>
                  <pic:spPr>
                    <a:xfrm>
                      <a:off x="0" y="0"/>
                      <a:ext cx="6296405" cy="18008"/>
                    </a:xfrm>
                    <a:prstGeom prst="rect">
                      <a:avLst/>
                    </a:prstGeom>
                  </pic:spPr>
                </pic:pic>
              </a:graphicData>
            </a:graphic>
          </wp:inline>
        </w:drawing>
      </w:r>
    </w:p>
    <w:p>
      <w:pPr>
        <w:spacing w:line="163" w:lineRule="exact"/>
      </w:pPr>
    </w:p>
    <w:p>
      <w:pPr>
        <w:spacing w:line="163" w:lineRule="exact"/>
        <w:sectPr>
          <w:headerReference r:id="rId46" w:type="default"/>
          <w:footerReference r:id="rId47" w:type="default"/>
          <w:pgSz w:w="12246" w:h="17179"/>
          <w:pgMar w:top="400" w:right="0" w:bottom="547" w:left="0" w:header="0" w:footer="354" w:gutter="0"/>
          <w:cols w:equalWidth="0" w:num="1">
            <w:col w:w="12246"/>
          </w:cols>
        </w:sectPr>
      </w:pPr>
    </w:p>
    <w:p>
      <w:pPr>
        <w:spacing w:before="40" w:line="202" w:lineRule="auto"/>
        <w:ind w:left="1295" w:right="184" w:firstLine="3"/>
        <w:jc w:val="both"/>
        <w:rPr>
          <w:rFonts w:ascii="微软雅黑" w:hAnsi="微软雅黑" w:eastAsia="微软雅黑" w:cs="微软雅黑"/>
          <w:sz w:val="20"/>
          <w:szCs w:val="20"/>
        </w:rPr>
      </w:pPr>
      <w:r>
        <w:rPr>
          <w:rFonts w:ascii="微软雅黑" w:hAnsi="微软雅黑" w:eastAsia="微软雅黑" w:cs="微软雅黑"/>
          <w:color w:val="231F20"/>
          <w:spacing w:val="6"/>
          <w:sz w:val="20"/>
          <w:szCs w:val="20"/>
        </w:rPr>
        <w:t>策、质量标准、质量评估和改进等相关工作时</w:t>
      </w:r>
      <w:r>
        <w:rPr>
          <w:rFonts w:ascii="微软雅黑" w:hAnsi="微软雅黑" w:eastAsia="微软雅黑" w:cs="微软雅黑"/>
          <w:color w:val="231F20"/>
          <w:spacing w:val="6"/>
          <w:position w:val="9"/>
          <w:sz w:val="11"/>
          <w:szCs w:val="11"/>
        </w:rPr>
        <w:t>［3</w:t>
      </w:r>
      <w:r>
        <w:rPr>
          <w:rFonts w:ascii="微软雅黑" w:hAnsi="微软雅黑" w:eastAsia="微软雅黑" w:cs="微软雅黑"/>
          <w:color w:val="231F20"/>
          <w:spacing w:val="-4"/>
          <w:position w:val="9"/>
          <w:sz w:val="11"/>
          <w:szCs w:val="11"/>
        </w:rPr>
        <w:t>］</w:t>
      </w:r>
      <w:r>
        <w:rPr>
          <w:rFonts w:ascii="微软雅黑" w:hAnsi="微软雅黑" w:eastAsia="微软雅黑" w:cs="微软雅黑"/>
          <w:color w:val="231F20"/>
          <w:spacing w:val="-16"/>
          <w:sz w:val="20"/>
          <w:szCs w:val="20"/>
        </w:rPr>
        <w:t>，</w:t>
      </w:r>
      <w:r>
        <w:rPr>
          <w:rFonts w:ascii="微软雅黑" w:hAnsi="微软雅黑" w:eastAsia="微软雅黑" w:cs="微软雅黑"/>
          <w:color w:val="231F20"/>
          <w:spacing w:val="6"/>
          <w:sz w:val="20"/>
          <w:szCs w:val="20"/>
        </w:rPr>
        <w:t>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有“外生型”的特点，</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
          <w:sz w:val="20"/>
          <w:szCs w:val="20"/>
        </w:rPr>
        <w:t>即高校的质量组织机构为了符合</w:t>
      </w:r>
      <w:r>
        <w:rPr>
          <w:rFonts w:ascii="微软雅黑" w:hAnsi="微软雅黑" w:eastAsia="微软雅黑" w:cs="微软雅黑"/>
          <w:color w:val="231F20"/>
          <w:sz w:val="20"/>
          <w:szCs w:val="20"/>
        </w:rPr>
        <w:t xml:space="preserve"> 规章制度标准而进行质量改进。这就导致这些质量组织 所做的工作不能很好地满足高校发展的长期利益，只是</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2"/>
          <w:sz w:val="20"/>
          <w:szCs w:val="20"/>
        </w:rPr>
        <w:t>取得了在质量检查和评估中的短期效益。</w:t>
      </w:r>
    </w:p>
    <w:p>
      <w:pPr>
        <w:spacing w:before="181" w:line="205" w:lineRule="auto"/>
        <w:ind w:left="1670"/>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二、我国高校质量文化缺失的原因</w:t>
      </w:r>
    </w:p>
    <w:p>
      <w:pPr>
        <w:spacing w:before="112" w:line="198" w:lineRule="auto"/>
        <w:ind w:left="1295" w:right="107" w:firstLine="370"/>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根据上述高质量文化的形成情况，目前，我国高校</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在提升质量的过程中还存在质量文化建设不</w:t>
      </w:r>
      <w:r>
        <w:rPr>
          <w:rFonts w:ascii="微软雅黑" w:hAnsi="微软雅黑" w:eastAsia="微软雅黑" w:cs="微软雅黑"/>
          <w:color w:val="231F20"/>
          <w:spacing w:val="3"/>
          <w:sz w:val="20"/>
          <w:szCs w:val="20"/>
        </w:rPr>
        <w:t>足的问题，</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缺乏高质量文化无助于确保高等教育机构的质量</w:t>
      </w:r>
      <w:r>
        <w:rPr>
          <w:rFonts w:ascii="微软雅黑" w:hAnsi="微软雅黑" w:eastAsia="微软雅黑" w:cs="微软雅黑"/>
          <w:color w:val="231F20"/>
          <w:spacing w:val="8"/>
          <w:position w:val="9"/>
          <w:sz w:val="11"/>
          <w:szCs w:val="11"/>
        </w:rPr>
        <w:t>［6］</w:t>
      </w:r>
      <w:r>
        <w:rPr>
          <w:rFonts w:ascii="微软雅黑" w:hAnsi="微软雅黑" w:eastAsia="微软雅黑" w:cs="微软雅黑"/>
          <w:color w:val="231F20"/>
          <w:spacing w:val="8"/>
          <w:sz w:val="20"/>
          <w:szCs w:val="20"/>
        </w:rPr>
        <w:t>。</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1"/>
          <w:sz w:val="20"/>
          <w:szCs w:val="20"/>
        </w:rPr>
        <w:t xml:space="preserve">所以，分析缺乏高质量文化的原因有助于确定应对措施  </w:t>
      </w:r>
      <w:r>
        <w:rPr>
          <w:rFonts w:ascii="微软雅黑" w:hAnsi="微软雅黑" w:eastAsia="微软雅黑" w:cs="微软雅黑"/>
          <w:color w:val="231F20"/>
          <w:spacing w:val="-3"/>
          <w:sz w:val="20"/>
          <w:szCs w:val="20"/>
        </w:rPr>
        <w:t>和提出解决办法。</w:t>
      </w:r>
    </w:p>
    <w:p>
      <w:pPr>
        <w:spacing w:before="25" w:line="200" w:lineRule="auto"/>
        <w:ind w:left="1567"/>
        <w:rPr>
          <w:rFonts w:ascii="微软雅黑" w:hAnsi="微软雅黑" w:eastAsia="微软雅黑" w:cs="微软雅黑"/>
          <w:sz w:val="20"/>
          <w:szCs w:val="20"/>
        </w:rPr>
      </w:pPr>
      <w:r>
        <w:rPr>
          <w:rFonts w:ascii="微软雅黑" w:hAnsi="微软雅黑" w:eastAsia="微软雅黑" w:cs="微软雅黑"/>
          <w:color w:val="231F20"/>
          <w:sz w:val="20"/>
          <w:szCs w:val="20"/>
        </w:rPr>
        <w:t>（一）学校对质量文化发展的轻视</w:t>
      </w:r>
    </w:p>
    <w:p>
      <w:pPr>
        <w:spacing w:before="9" w:line="201" w:lineRule="auto"/>
        <w:ind w:left="1295" w:right="182" w:firstLine="264"/>
        <w:rPr>
          <w:rFonts w:ascii="微软雅黑" w:hAnsi="微软雅黑" w:eastAsia="微软雅黑" w:cs="微软雅黑"/>
          <w:sz w:val="20"/>
          <w:szCs w:val="20"/>
        </w:rPr>
      </w:pPr>
      <w:r>
        <w:rPr>
          <w:rFonts w:ascii="微软雅黑" w:hAnsi="微软雅黑" w:eastAsia="微软雅黑" w:cs="微软雅黑"/>
          <w:color w:val="231F20"/>
          <w:spacing w:val="7"/>
          <w:sz w:val="20"/>
          <w:szCs w:val="20"/>
        </w:rPr>
        <w:t>“官本位”思想一直存在于我国高校之中，</w:t>
      </w:r>
      <w:r>
        <w:rPr>
          <w:rFonts w:ascii="微软雅黑" w:hAnsi="微软雅黑" w:eastAsia="微软雅黑" w:cs="微软雅黑"/>
          <w:color w:val="231F20"/>
          <w:spacing w:val="6"/>
          <w:sz w:val="20"/>
          <w:szCs w:val="20"/>
        </w:rPr>
        <w:t>这是一</w:t>
      </w:r>
      <w:r>
        <w:rPr>
          <w:rFonts w:ascii="微软雅黑" w:hAnsi="微软雅黑" w:eastAsia="微软雅黑" w:cs="微软雅黑"/>
          <w:color w:val="231F20"/>
          <w:sz w:val="20"/>
          <w:szCs w:val="20"/>
        </w:rPr>
        <w:t xml:space="preserve"> 种以官为尊、以官为贵的思想观念。受到“官本位”思</w:t>
      </w:r>
      <w:r>
        <w:rPr>
          <w:rFonts w:ascii="微软雅黑" w:hAnsi="微软雅黑" w:eastAsia="微软雅黑" w:cs="微软雅黑"/>
          <w:color w:val="231F20"/>
          <w:spacing w:val="15"/>
          <w:w w:val="101"/>
          <w:sz w:val="20"/>
          <w:szCs w:val="20"/>
        </w:rPr>
        <w:t xml:space="preserve"> </w:t>
      </w:r>
      <w:r>
        <w:rPr>
          <w:rFonts w:ascii="微软雅黑" w:hAnsi="微软雅黑" w:eastAsia="微软雅黑" w:cs="微软雅黑"/>
          <w:color w:val="231F20"/>
          <w:sz w:val="20"/>
          <w:szCs w:val="20"/>
        </w:rPr>
        <w:t>想的影响，有些高校的行政人员、教师乃至学生中功利</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z w:val="20"/>
          <w:szCs w:val="20"/>
        </w:rPr>
        <w:t>性的价值观比较普遍，关注眼前的短期利益，忽视自身</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9"/>
          <w:sz w:val="20"/>
          <w:szCs w:val="20"/>
        </w:rPr>
        <w:t>发展的长期利益，更不必说发展个人意识中的质量文</w:t>
      </w:r>
      <w:r>
        <w:rPr>
          <w:rFonts w:ascii="微软雅黑" w:hAnsi="微软雅黑" w:eastAsia="微软雅黑" w:cs="微软雅黑"/>
          <w:color w:val="231F20"/>
          <w:sz w:val="20"/>
          <w:szCs w:val="20"/>
        </w:rPr>
        <w:t xml:space="preserve"> 化。“官本位”影响在管理部门中更为明显，高校管理</w:t>
      </w:r>
      <w:r>
        <w:rPr>
          <w:rFonts w:ascii="微软雅黑" w:hAnsi="微软雅黑" w:eastAsia="微软雅黑" w:cs="微软雅黑"/>
          <w:color w:val="231F20"/>
          <w:spacing w:val="11"/>
          <w:sz w:val="20"/>
          <w:szCs w:val="20"/>
        </w:rPr>
        <w:t xml:space="preserve"> </w:t>
      </w:r>
      <w:r>
        <w:rPr>
          <w:rFonts w:ascii="微软雅黑" w:hAnsi="微软雅黑" w:eastAsia="微软雅黑" w:cs="微软雅黑"/>
          <w:color w:val="231F20"/>
          <w:sz w:val="20"/>
          <w:szCs w:val="20"/>
        </w:rPr>
        <w:t>者对学术领域的关注度远不及招生规模和科研项目的申</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z w:val="20"/>
          <w:szCs w:val="20"/>
        </w:rPr>
        <w:t>报数量。虽然高校注重教育质量的发展，但是高校领导</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z w:val="20"/>
          <w:szCs w:val="20"/>
        </w:rPr>
        <w:t>在实施管理的过程中，往往忽视了文化在高等教育管理</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z w:val="20"/>
          <w:szCs w:val="20"/>
        </w:rPr>
        <w:t>中的作用，没有意识到高质量文化对提高教育质量的影</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z w:val="20"/>
          <w:szCs w:val="20"/>
        </w:rPr>
        <w:t>响，也没有意识到其高质量的管理可以改变高等教育机</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4"/>
          <w:position w:val="-1"/>
          <w:sz w:val="20"/>
          <w:szCs w:val="20"/>
        </w:rPr>
        <w:t>构的组织文化</w:t>
      </w:r>
      <w:r>
        <w:rPr>
          <w:rFonts w:ascii="微软雅黑" w:hAnsi="微软雅黑" w:eastAsia="微软雅黑" w:cs="微软雅黑"/>
          <w:color w:val="231F20"/>
          <w:spacing w:val="-4"/>
          <w:position w:val="8"/>
          <w:sz w:val="11"/>
          <w:szCs w:val="11"/>
        </w:rPr>
        <w:t>［3］</w:t>
      </w:r>
      <w:r>
        <w:rPr>
          <w:rFonts w:ascii="微软雅黑" w:hAnsi="微软雅黑" w:eastAsia="微软雅黑" w:cs="微软雅黑"/>
          <w:color w:val="231F20"/>
          <w:spacing w:val="-4"/>
          <w:position w:val="-1"/>
          <w:sz w:val="20"/>
          <w:szCs w:val="20"/>
        </w:rPr>
        <w:t>。</w:t>
      </w:r>
    </w:p>
    <w:p>
      <w:pPr>
        <w:spacing w:before="36" w:line="199" w:lineRule="auto"/>
        <w:ind w:left="1293" w:right="184" w:firstLine="371"/>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受到绩效管理和行政化评估倾向的影响，我国高等</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1"/>
          <w:sz w:val="20"/>
          <w:szCs w:val="20"/>
        </w:rPr>
        <w:t xml:space="preserve">教育的内部质量保障体系存在许多问题，如质量保障目 </w:t>
      </w:r>
      <w:r>
        <w:rPr>
          <w:rFonts w:ascii="微软雅黑" w:hAnsi="微软雅黑" w:eastAsia="微软雅黑" w:cs="微软雅黑"/>
          <w:color w:val="231F20"/>
          <w:sz w:val="20"/>
          <w:szCs w:val="20"/>
        </w:rPr>
        <w:t>标的外生性、质量保障组织的行政性、质量保障标准的</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z w:val="20"/>
          <w:szCs w:val="20"/>
        </w:rPr>
        <w:t>预设性、质量保障效果的滞后性等。因此，我国高校在</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z w:val="20"/>
          <w:szCs w:val="20"/>
        </w:rPr>
        <w:t>质量保障方面的实践性问题需要依靠高校的质量文化建</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3"/>
          <w:sz w:val="20"/>
          <w:szCs w:val="20"/>
        </w:rPr>
        <w:t>设加以解决</w:t>
      </w:r>
      <w:r>
        <w:rPr>
          <w:rFonts w:ascii="微软雅黑" w:hAnsi="微软雅黑" w:eastAsia="微软雅黑" w:cs="微软雅黑"/>
          <w:color w:val="231F20"/>
          <w:spacing w:val="-3"/>
          <w:position w:val="9"/>
          <w:sz w:val="11"/>
          <w:szCs w:val="11"/>
        </w:rPr>
        <w:t>［3］</w:t>
      </w:r>
      <w:r>
        <w:rPr>
          <w:rFonts w:ascii="微软雅黑" w:hAnsi="微软雅黑" w:eastAsia="微软雅黑" w:cs="微软雅黑"/>
          <w:color w:val="231F20"/>
          <w:spacing w:val="-3"/>
          <w:sz w:val="20"/>
          <w:szCs w:val="20"/>
        </w:rPr>
        <w:t>，而不仅仅是依赖外部质量保障体系。</w:t>
      </w:r>
    </w:p>
    <w:p>
      <w:pPr>
        <w:spacing w:before="23" w:line="200" w:lineRule="auto"/>
        <w:ind w:left="1567"/>
        <w:rPr>
          <w:rFonts w:ascii="微软雅黑" w:hAnsi="微软雅黑" w:eastAsia="微软雅黑" w:cs="微软雅黑"/>
          <w:sz w:val="20"/>
          <w:szCs w:val="20"/>
        </w:rPr>
      </w:pPr>
      <w:r>
        <w:rPr>
          <w:rFonts w:ascii="微软雅黑" w:hAnsi="微软雅黑" w:eastAsia="微软雅黑" w:cs="微软雅黑"/>
          <w:color w:val="231F20"/>
          <w:spacing w:val="-6"/>
          <w:sz w:val="20"/>
          <w:szCs w:val="20"/>
        </w:rPr>
        <w:t>（二）“拿来主义”不利于形成质量文化</w:t>
      </w:r>
    </w:p>
    <w:p>
      <w:pPr>
        <w:spacing w:before="7" w:line="201" w:lineRule="auto"/>
        <w:ind w:left="1191" w:right="117" w:firstLine="476"/>
        <w:rPr>
          <w:rFonts w:ascii="微软雅黑" w:hAnsi="微软雅黑" w:eastAsia="微软雅黑" w:cs="微软雅黑"/>
          <w:sz w:val="20"/>
          <w:szCs w:val="20"/>
        </w:rPr>
      </w:pPr>
      <w:r>
        <w:rPr>
          <w:rFonts w:ascii="微软雅黑" w:hAnsi="微软雅黑" w:eastAsia="微软雅黑" w:cs="微软雅黑"/>
          <w:color w:val="231F20"/>
          <w:spacing w:val="5"/>
          <w:sz w:val="20"/>
          <w:szCs w:val="20"/>
        </w:rPr>
        <w:t>我国高等教育仍然在一个不断扩张和变化的阶</w:t>
      </w:r>
      <w:r>
        <w:rPr>
          <w:rFonts w:ascii="微软雅黑" w:hAnsi="微软雅黑" w:eastAsia="微软雅黑" w:cs="微软雅黑"/>
          <w:color w:val="231F20"/>
          <w:spacing w:val="4"/>
          <w:sz w:val="20"/>
          <w:szCs w:val="20"/>
        </w:rPr>
        <w:t>段，</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如何改进落后的管理体制，首先需要学习先进的质量文</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7"/>
          <w:sz w:val="20"/>
          <w:szCs w:val="20"/>
        </w:rPr>
        <w:t>化，这能够为我国高校质量文化的提升提供借鉴意义，</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4"/>
          <w:sz w:val="20"/>
          <w:szCs w:val="20"/>
        </w:rPr>
        <w:t>并完善适用于高校的质量文化理论。部分高校将企业质</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4"/>
          <w:sz w:val="20"/>
          <w:szCs w:val="20"/>
        </w:rPr>
        <w:t>量文化的相关理论与实践经验直接引进，没有区分开企</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3"/>
          <w:sz w:val="20"/>
          <w:szCs w:val="20"/>
        </w:rPr>
        <w:t xml:space="preserve">业质量文化和学校质量文化之间存在的差异。企业是出  </w:t>
      </w:r>
      <w:r>
        <w:rPr>
          <w:rFonts w:ascii="微软雅黑" w:hAnsi="微软雅黑" w:eastAsia="微软雅黑" w:cs="微软雅黑"/>
          <w:color w:val="231F20"/>
          <w:spacing w:val="5"/>
          <w:sz w:val="20"/>
          <w:szCs w:val="20"/>
        </w:rPr>
        <w:t>于盈利目的，将高质量理解为满足客户“需要”和</w:t>
      </w:r>
      <w:r>
        <w:rPr>
          <w:rFonts w:ascii="微软雅黑" w:hAnsi="微软雅黑" w:eastAsia="微软雅黑" w:cs="微软雅黑"/>
          <w:color w:val="231F20"/>
          <w:spacing w:val="4"/>
          <w:sz w:val="20"/>
          <w:szCs w:val="20"/>
        </w:rPr>
        <w:t>产品</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“标准”。当然，大学也可以盈利，但不能作为盈利机构</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pacing w:val="4"/>
          <w:sz w:val="20"/>
          <w:szCs w:val="20"/>
        </w:rPr>
        <w:t>运作，</w:t>
      </w:r>
      <w:r>
        <w:rPr>
          <w:rFonts w:ascii="微软雅黑" w:hAnsi="微软雅黑" w:eastAsia="微软雅黑" w:cs="微软雅黑"/>
          <w:color w:val="231F20"/>
          <w:spacing w:val="-37"/>
          <w:sz w:val="20"/>
          <w:szCs w:val="20"/>
        </w:rPr>
        <w:t xml:space="preserve"> </w:t>
      </w:r>
      <w:r>
        <w:rPr>
          <w:rFonts w:ascii="微软雅黑" w:hAnsi="微软雅黑" w:eastAsia="微软雅黑" w:cs="微软雅黑"/>
          <w:color w:val="231F20"/>
          <w:spacing w:val="4"/>
          <w:sz w:val="20"/>
          <w:szCs w:val="20"/>
        </w:rPr>
        <w:t>因为大学的高质量文化是以人的“发展”为导向</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的，针对的是有个性的个人。</w:t>
      </w:r>
    </w:p>
    <w:p>
      <w:pPr>
        <w:spacing w:before="23" w:line="200" w:lineRule="auto"/>
        <w:ind w:left="1567"/>
        <w:rPr>
          <w:rFonts w:ascii="微软雅黑" w:hAnsi="微软雅黑" w:eastAsia="微软雅黑" w:cs="微软雅黑"/>
          <w:sz w:val="20"/>
          <w:szCs w:val="20"/>
        </w:rPr>
      </w:pPr>
      <w:r>
        <w:rPr>
          <w:rFonts w:ascii="微软雅黑" w:hAnsi="微软雅黑" w:eastAsia="微软雅黑" w:cs="微软雅黑"/>
          <w:color w:val="231F20"/>
          <w:spacing w:val="-4"/>
          <w:sz w:val="20"/>
          <w:szCs w:val="20"/>
        </w:rPr>
        <w:t>（三）尚未完善的相关制度不能引领质量文化的发展</w:t>
      </w:r>
    </w:p>
    <w:p>
      <w:pPr>
        <w:spacing w:before="9" w:line="190" w:lineRule="auto"/>
        <w:ind w:left="1295" w:right="109" w:firstLine="374"/>
        <w:rPr>
          <w:rFonts w:ascii="微软雅黑" w:hAnsi="微软雅黑" w:eastAsia="微软雅黑" w:cs="微软雅黑"/>
          <w:sz w:val="20"/>
          <w:szCs w:val="20"/>
        </w:rPr>
      </w:pPr>
      <w:r>
        <w:rPr>
          <w:rFonts w:ascii="微软雅黑" w:hAnsi="微软雅黑" w:eastAsia="微软雅黑" w:cs="微软雅黑"/>
          <w:color w:val="231F20"/>
          <w:sz w:val="20"/>
          <w:szCs w:val="20"/>
        </w:rPr>
        <w:t>为保障高校的质量，各高等院校都相继出台了质量  规章制度，并且安排了质量管理人员，但在实际操作上</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1"/>
          <w:sz w:val="20"/>
          <w:szCs w:val="20"/>
        </w:rPr>
        <w:t>效果却并不突出。有些规章制度是为应付上级检查而设  定，还有的是以非正式口头承诺的形式和约定成俗的习</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3"/>
          <w:sz w:val="20"/>
          <w:szCs w:val="20"/>
        </w:rPr>
        <w:t>惯而设定，并没有成文的文件规定和严格的管理制度。</w:t>
      </w:r>
    </w:p>
    <w:p>
      <w:pPr>
        <w:spacing w:line="14" w:lineRule="auto"/>
        <w:rPr>
          <w:rFonts w:ascii="Arial"/>
          <w:sz w:val="2"/>
        </w:rPr>
      </w:pPr>
      <w:r>
        <w:rPr>
          <w:rFonts w:ascii="Arial" w:hAnsi="Arial" w:eastAsia="Arial" w:cs="Arial"/>
          <w:sz w:val="2"/>
          <w:szCs w:val="2"/>
        </w:rPr>
        <w:br w:type="column"/>
      </w:r>
    </w:p>
    <w:p>
      <w:pPr>
        <w:spacing w:before="64" w:line="196" w:lineRule="auto"/>
        <w:ind w:left="3" w:right="1037"/>
        <w:jc w:val="both"/>
        <w:rPr>
          <w:rFonts w:ascii="微软雅黑" w:hAnsi="微软雅黑" w:eastAsia="微软雅黑" w:cs="微软雅黑"/>
          <w:sz w:val="20"/>
          <w:szCs w:val="20"/>
        </w:rPr>
      </w:pPr>
      <w:r>
        <w:rPr>
          <w:rFonts w:ascii="微软雅黑" w:hAnsi="微软雅黑" w:eastAsia="微软雅黑" w:cs="微软雅黑"/>
          <w:color w:val="231F20"/>
          <w:sz w:val="20"/>
          <w:szCs w:val="20"/>
        </w:rPr>
        <w:t>在没有严格管理制度的约束下，高校有关人员在质量文</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z w:val="20"/>
          <w:szCs w:val="20"/>
        </w:rPr>
        <w:t>化领域的工作中缺乏标准和问责，因此高质量文化建设</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3"/>
          <w:sz w:val="20"/>
          <w:szCs w:val="20"/>
        </w:rPr>
        <w:t>只是停留在应付层面。</w:t>
      </w:r>
    </w:p>
    <w:p>
      <w:pPr>
        <w:spacing w:before="22" w:line="200" w:lineRule="auto"/>
        <w:ind w:left="273"/>
        <w:rPr>
          <w:rFonts w:ascii="微软雅黑" w:hAnsi="微软雅黑" w:eastAsia="微软雅黑" w:cs="微软雅黑"/>
          <w:sz w:val="20"/>
          <w:szCs w:val="20"/>
        </w:rPr>
      </w:pPr>
      <w:r>
        <w:rPr>
          <w:rFonts w:ascii="微软雅黑" w:hAnsi="微软雅黑" w:eastAsia="微软雅黑" w:cs="微软雅黑"/>
          <w:color w:val="231F20"/>
          <w:sz w:val="20"/>
          <w:szCs w:val="20"/>
        </w:rPr>
        <w:t>（四）在高校中缺乏有关质量文化的培育</w:t>
      </w:r>
    </w:p>
    <w:p>
      <w:pPr>
        <w:spacing w:before="6" w:line="201" w:lineRule="auto"/>
        <w:ind w:right="1031" w:firstLine="371"/>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教科文组织于 2009 年举行的第二次世界高等教育</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z w:val="20"/>
          <w:szCs w:val="20"/>
        </w:rPr>
        <w:t>会议指出，质量是现代大学的最重要课题，也有着至关</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z w:val="20"/>
          <w:szCs w:val="20"/>
        </w:rPr>
        <w:t>重要的作用。卓越的质量既要有体系来加以保障，更需</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z w:val="20"/>
          <w:szCs w:val="20"/>
        </w:rPr>
        <w:t>要质量文化来维护。由此可见，高校长期发展势必将质</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z w:val="20"/>
          <w:szCs w:val="20"/>
        </w:rPr>
        <w:t>量文化作为重要的一环。然而，我国高校在质量文化方</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6"/>
          <w:sz w:val="20"/>
          <w:szCs w:val="20"/>
        </w:rPr>
        <w:t>面的意识还比较浅薄</w:t>
      </w:r>
      <w:r>
        <w:rPr>
          <w:rFonts w:ascii="微软雅黑" w:hAnsi="微软雅黑" w:eastAsia="微软雅黑" w:cs="微软雅黑"/>
          <w:color w:val="231F20"/>
          <w:spacing w:val="6"/>
          <w:position w:val="9"/>
          <w:sz w:val="11"/>
          <w:szCs w:val="11"/>
        </w:rPr>
        <w:t>［2</w:t>
      </w:r>
      <w:r>
        <w:rPr>
          <w:rFonts w:ascii="微软雅黑" w:hAnsi="微软雅黑" w:eastAsia="微软雅黑" w:cs="微软雅黑"/>
          <w:color w:val="231F20"/>
          <w:spacing w:val="-2"/>
          <w:position w:val="9"/>
          <w:sz w:val="11"/>
          <w:szCs w:val="11"/>
        </w:rPr>
        <w:t>］</w:t>
      </w:r>
      <w:r>
        <w:rPr>
          <w:rFonts w:ascii="微软雅黑" w:hAnsi="微软雅黑" w:eastAsia="微软雅黑" w:cs="微软雅黑"/>
          <w:color w:val="231F20"/>
          <w:spacing w:val="-30"/>
          <w:sz w:val="20"/>
          <w:szCs w:val="20"/>
        </w:rPr>
        <w:t>，</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6"/>
          <w:sz w:val="20"/>
          <w:szCs w:val="20"/>
        </w:rPr>
        <w:t>以质量为核心的高等教育发</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9"/>
          <w:sz w:val="20"/>
          <w:szCs w:val="20"/>
        </w:rPr>
        <w:t>展理念并未完全确立。现实中，管理人员的重点是效</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z w:val="20"/>
          <w:szCs w:val="20"/>
        </w:rPr>
        <w:t>率，而不是管理质量，教师倾向于职业发展，学生则侧</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z w:val="20"/>
          <w:szCs w:val="20"/>
        </w:rPr>
        <w:t>重于就业前的准备工作。可见，质量文化并未以正式的</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
          <w:sz w:val="20"/>
          <w:szCs w:val="20"/>
        </w:rPr>
        <w:t>教育内容在高校管理人员、教职工群体和学生中传播。</w:t>
      </w:r>
    </w:p>
    <w:p>
      <w:pPr>
        <w:spacing w:before="31" w:line="200" w:lineRule="auto"/>
        <w:ind w:right="1031" w:firstLine="372"/>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不久前，在高等教育机构开展建立优质文化的研</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z w:val="20"/>
          <w:szCs w:val="20"/>
        </w:rPr>
        <w:t>究，目前仍在继续发展，研究结果尚未成熟，无法为高</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z w:val="20"/>
          <w:szCs w:val="20"/>
        </w:rPr>
        <w:t>等教育机构提供有效和可持续的优质文化教育</w:t>
      </w:r>
      <w:r>
        <w:rPr>
          <w:rFonts w:ascii="微软雅黑" w:hAnsi="微软雅黑" w:eastAsia="微软雅黑" w:cs="微软雅黑"/>
          <w:color w:val="231F20"/>
          <w:spacing w:val="-1"/>
          <w:sz w:val="20"/>
          <w:szCs w:val="20"/>
        </w:rPr>
        <w:t>内容，以</w:t>
      </w:r>
      <w:r>
        <w:rPr>
          <w:rFonts w:ascii="微软雅黑" w:hAnsi="微软雅黑" w:eastAsia="微软雅黑" w:cs="微软雅黑"/>
          <w:color w:val="231F20"/>
          <w:sz w:val="20"/>
          <w:szCs w:val="20"/>
        </w:rPr>
        <w:t xml:space="preserve"> 至于高校内部有关质量的教育还不充分。质量文化在高</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z w:val="20"/>
          <w:szCs w:val="20"/>
        </w:rPr>
        <w:t>校中很少被提及，开展的高校并不多见。质量文化有关</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z w:val="20"/>
          <w:szCs w:val="20"/>
        </w:rPr>
        <w:t>经费、人力和政策的不足，导致高校有关质量文化教育</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z w:val="20"/>
          <w:szCs w:val="20"/>
        </w:rPr>
        <w:t>的课程设置得不到更新，所以那些适合参与质量文化建</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pacing w:val="-2"/>
          <w:sz w:val="20"/>
          <w:szCs w:val="20"/>
        </w:rPr>
        <w:t>设的学生群体的参与意识比较薄弱。</w:t>
      </w:r>
    </w:p>
    <w:p>
      <w:pPr>
        <w:spacing w:before="182" w:line="205" w:lineRule="auto"/>
        <w:ind w:left="377"/>
        <w:rPr>
          <w:rFonts w:ascii="微软雅黑" w:hAnsi="微软雅黑" w:eastAsia="微软雅黑" w:cs="微软雅黑"/>
          <w:sz w:val="22"/>
          <w:szCs w:val="22"/>
        </w:rPr>
      </w:pPr>
      <w:r>
        <w:rPr>
          <w:rFonts w:ascii="微软雅黑" w:hAnsi="微软雅黑" w:eastAsia="微软雅黑" w:cs="微软雅黑"/>
          <w:color w:val="231F20"/>
          <w:spacing w:val="-1"/>
          <w:sz w:val="22"/>
          <w:szCs w:val="22"/>
        </w:rPr>
        <w:t>三、高校质量文化建设的路径</w:t>
      </w:r>
    </w:p>
    <w:p>
      <w:pPr>
        <w:spacing w:before="115" w:line="198" w:lineRule="auto"/>
        <w:ind w:left="3" w:right="954" w:firstLine="372"/>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高校质量文化不仅包括物质层面的文化，还有</w:t>
      </w:r>
      <w:r>
        <w:rPr>
          <w:rFonts w:ascii="微软雅黑" w:hAnsi="微软雅黑" w:eastAsia="微软雅黑" w:cs="微软雅黑"/>
          <w:color w:val="231F20"/>
          <w:sz w:val="20"/>
          <w:szCs w:val="20"/>
        </w:rPr>
        <w:t xml:space="preserve">精神  </w:t>
      </w:r>
      <w:r>
        <w:rPr>
          <w:rFonts w:ascii="微软雅黑" w:hAnsi="微软雅黑" w:eastAsia="微软雅黑" w:cs="微软雅黑"/>
          <w:color w:val="231F20"/>
          <w:spacing w:val="3"/>
          <w:sz w:val="20"/>
          <w:szCs w:val="20"/>
        </w:rPr>
        <w:t>文化层面，各部分之间相互联系和作用。有学者认为，</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4"/>
          <w:sz w:val="20"/>
          <w:szCs w:val="20"/>
        </w:rPr>
        <w:t>质量文化有其层级性，包括物质层、制度层</w:t>
      </w:r>
      <w:r>
        <w:rPr>
          <w:rFonts w:ascii="微软雅黑" w:hAnsi="微软雅黑" w:eastAsia="微软雅黑" w:cs="微软雅黑"/>
          <w:color w:val="231F20"/>
          <w:spacing w:val="3"/>
          <w:sz w:val="20"/>
          <w:szCs w:val="20"/>
        </w:rPr>
        <w:t>和精神层。</w:t>
      </w:r>
      <w:r>
        <w:rPr>
          <w:rFonts w:ascii="微软雅黑" w:hAnsi="微软雅黑" w:eastAsia="微软雅黑" w:cs="微软雅黑"/>
          <w:color w:val="231F20"/>
          <w:sz w:val="20"/>
          <w:szCs w:val="20"/>
        </w:rPr>
        <w:t xml:space="preserve"> 因此在探索质量文化建设的路径时，应充分</w:t>
      </w:r>
      <w:r>
        <w:rPr>
          <w:rFonts w:ascii="微软雅黑" w:hAnsi="微软雅黑" w:eastAsia="微软雅黑" w:cs="微软雅黑"/>
          <w:color w:val="231F20"/>
          <w:spacing w:val="-1"/>
          <w:sz w:val="20"/>
          <w:szCs w:val="20"/>
        </w:rPr>
        <w:t xml:space="preserve">考虑这三个  </w:t>
      </w:r>
      <w:r>
        <w:rPr>
          <w:rFonts w:ascii="微软雅黑" w:hAnsi="微软雅黑" w:eastAsia="微软雅黑" w:cs="微软雅黑"/>
          <w:color w:val="231F20"/>
          <w:spacing w:val="-2"/>
          <w:sz w:val="20"/>
          <w:szCs w:val="20"/>
        </w:rPr>
        <w:t>方面，在不同的层面上提出有效、可实施的路径。</w:t>
      </w:r>
    </w:p>
    <w:p>
      <w:pPr>
        <w:spacing w:before="22" w:line="200" w:lineRule="auto"/>
        <w:ind w:left="273"/>
        <w:rPr>
          <w:rFonts w:ascii="微软雅黑" w:hAnsi="微软雅黑" w:eastAsia="微软雅黑" w:cs="微软雅黑"/>
          <w:sz w:val="20"/>
          <w:szCs w:val="20"/>
        </w:rPr>
      </w:pPr>
      <w:r>
        <w:rPr>
          <w:rFonts w:ascii="微软雅黑" w:hAnsi="微软雅黑" w:eastAsia="微软雅黑" w:cs="微软雅黑"/>
          <w:color w:val="231F20"/>
          <w:sz w:val="20"/>
          <w:szCs w:val="20"/>
        </w:rPr>
        <w:t>（一）培育精神层面的质量文化</w:t>
      </w:r>
    </w:p>
    <w:p>
      <w:pPr>
        <w:spacing w:before="16" w:line="199" w:lineRule="auto"/>
        <w:ind w:left="2" w:right="965" w:firstLine="370"/>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首先，在高校中营造自由民主、平等公正的质量文</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z w:val="20"/>
          <w:szCs w:val="20"/>
        </w:rPr>
        <w:t>化氛围。高质量文化活动需要全部成员团结合作，如果</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z w:val="20"/>
          <w:szCs w:val="20"/>
        </w:rPr>
        <w:t>高等教育机构成员之间不能相互理解、避免竞争，那么</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z w:val="20"/>
          <w:szCs w:val="20"/>
        </w:rPr>
        <w:t>追求高质量的文化将会是空谈。只有在自由、民主、平</w:t>
      </w:r>
      <w:r>
        <w:rPr>
          <w:rFonts w:ascii="微软雅黑" w:hAnsi="微软雅黑" w:eastAsia="微软雅黑" w:cs="微软雅黑"/>
          <w:color w:val="231F20"/>
          <w:spacing w:val="3"/>
          <w:sz w:val="20"/>
          <w:szCs w:val="20"/>
        </w:rPr>
        <w:t xml:space="preserve">  等和公正的气氛中，才能形成优秀的高校文化。其次，</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z w:val="20"/>
          <w:szCs w:val="20"/>
        </w:rPr>
        <w:t>自由、民主、平等和公正的文化还需要根据学术自由的</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z w:val="20"/>
          <w:szCs w:val="20"/>
        </w:rPr>
        <w:t>传统，并建立健全科学的学术评价制度。教学质量是高</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1"/>
          <w:sz w:val="20"/>
          <w:szCs w:val="20"/>
        </w:rPr>
        <w:t xml:space="preserve">校发展的重中之重，加强高校的质量文化建设能够提高  </w:t>
      </w:r>
      <w:r>
        <w:rPr>
          <w:rFonts w:ascii="微软雅黑" w:hAnsi="微软雅黑" w:eastAsia="微软雅黑" w:cs="微软雅黑"/>
          <w:color w:val="231F20"/>
          <w:sz w:val="20"/>
          <w:szCs w:val="20"/>
        </w:rPr>
        <w:t>教学质量管理及其建设，提高教学的质量。再次，需要</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z w:val="20"/>
          <w:szCs w:val="20"/>
        </w:rPr>
        <w:t>在高校人员中强化质量文化的先进意识。“质量文化对</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z w:val="20"/>
          <w:szCs w:val="20"/>
        </w:rPr>
        <w:t>于高等教育质量拥有巨大的影响力，文化决定质量，质</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z w:val="20"/>
          <w:szCs w:val="20"/>
        </w:rPr>
        <w:t>量是文化的结晶，只有通过先进的质量文化才有可能生</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3"/>
          <w:sz w:val="20"/>
          <w:szCs w:val="20"/>
        </w:rPr>
        <w:t>产出优秀的产品，才能培养出优秀的人</w:t>
      </w:r>
      <w:r>
        <w:rPr>
          <w:rFonts w:ascii="微软雅黑" w:hAnsi="微软雅黑" w:eastAsia="微软雅黑" w:cs="微软雅黑"/>
          <w:color w:val="231F20"/>
          <w:spacing w:val="-3"/>
          <w:position w:val="9"/>
          <w:sz w:val="11"/>
          <w:szCs w:val="11"/>
        </w:rPr>
        <w:t>［5］</w:t>
      </w:r>
      <w:r>
        <w:rPr>
          <w:rFonts w:ascii="微软雅黑" w:hAnsi="微软雅黑" w:eastAsia="微软雅黑" w:cs="微软雅黑"/>
          <w:color w:val="231F20"/>
          <w:spacing w:val="-3"/>
          <w:sz w:val="20"/>
          <w:szCs w:val="20"/>
        </w:rPr>
        <w:t>。”高校内部</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z w:val="20"/>
          <w:szCs w:val="20"/>
        </w:rPr>
        <w:t>人员包括行政管理人员、教师和学生，每个人都对提高</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z w:val="20"/>
          <w:szCs w:val="20"/>
        </w:rPr>
        <w:t>教育教学的质量担负不同的责任。在高校领导层中树立</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z w:val="20"/>
          <w:szCs w:val="20"/>
        </w:rPr>
        <w:t>质量文化的意识和价值观非常重要，其意识和价值观念</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z w:val="20"/>
          <w:szCs w:val="20"/>
        </w:rPr>
        <w:t>对高校师生的质量文化建设具有导向作用。另外，要提</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z w:val="20"/>
          <w:szCs w:val="20"/>
        </w:rPr>
        <w:t>高执行人员对质量文化内涵的理解，保证在贯彻和执行</w:t>
      </w:r>
    </w:p>
    <w:p>
      <w:pPr>
        <w:spacing w:line="199" w:lineRule="auto"/>
        <w:rPr>
          <w:rFonts w:ascii="微软雅黑" w:hAnsi="微软雅黑" w:eastAsia="微软雅黑" w:cs="微软雅黑"/>
          <w:sz w:val="20"/>
          <w:szCs w:val="20"/>
        </w:rPr>
        <w:sectPr>
          <w:type w:val="continuous"/>
          <w:pgSz w:w="12246" w:h="17179"/>
          <w:pgMar w:top="400" w:right="0" w:bottom="547" w:left="0" w:header="0" w:footer="354" w:gutter="0"/>
          <w:cols w:equalWidth="0" w:num="2">
            <w:col w:w="6296" w:space="100"/>
            <w:col w:w="5850"/>
          </w:cols>
        </w:sectPr>
      </w:pPr>
    </w:p>
    <w:p>
      <w:pPr>
        <w:spacing w:line="392" w:lineRule="auto"/>
        <w:rPr>
          <w:rFonts w:ascii="Arial"/>
          <w:sz w:val="21"/>
        </w:rPr>
      </w:pPr>
    </w:p>
    <w:p>
      <w:pPr>
        <w:spacing w:before="99" w:line="117" w:lineRule="exact"/>
        <w:ind w:left="10672"/>
        <w:rPr>
          <w:rFonts w:ascii="Arial" w:hAnsi="Arial" w:eastAsia="Arial" w:cs="Arial"/>
          <w:sz w:val="34"/>
          <w:szCs w:val="34"/>
        </w:rPr>
      </w:pPr>
      <w:r>
        <w:rPr>
          <w:rFonts w:ascii="Arial" w:hAnsi="Arial" w:eastAsia="Arial" w:cs="Arial"/>
          <w:color w:val="231F20"/>
          <w:spacing w:val="-4"/>
          <w:position w:val="-3"/>
          <w:sz w:val="34"/>
          <w:szCs w:val="34"/>
        </w:rPr>
        <w:t>-</w:t>
      </w:r>
      <w:r>
        <w:rPr>
          <w:rFonts w:ascii="Arial" w:hAnsi="Arial" w:eastAsia="Arial" w:cs="Arial"/>
          <w:color w:val="231F20"/>
          <w:spacing w:val="-51"/>
          <w:position w:val="-3"/>
          <w:sz w:val="34"/>
          <w:szCs w:val="34"/>
        </w:rPr>
        <w:t xml:space="preserve"> </w:t>
      </w:r>
      <w:r>
        <w:rPr>
          <w:rFonts w:ascii="Times New Roman" w:hAnsi="Times New Roman" w:eastAsia="Times New Roman" w:cs="Times New Roman"/>
          <w:color w:val="231F20"/>
          <w:spacing w:val="-4"/>
          <w:position w:val="-2"/>
          <w:sz w:val="17"/>
          <w:szCs w:val="17"/>
        </w:rPr>
        <w:t>129</w:t>
      </w:r>
      <w:r>
        <w:rPr>
          <w:rFonts w:ascii="Times New Roman" w:hAnsi="Times New Roman" w:eastAsia="Times New Roman" w:cs="Times New Roman"/>
          <w:color w:val="231F20"/>
          <w:spacing w:val="6"/>
          <w:position w:val="-2"/>
          <w:sz w:val="17"/>
          <w:szCs w:val="17"/>
        </w:rPr>
        <w:t xml:space="preserve"> </w:t>
      </w:r>
      <w:r>
        <w:rPr>
          <w:rFonts w:ascii="Arial" w:hAnsi="Arial" w:eastAsia="Arial" w:cs="Arial"/>
          <w:color w:val="231F20"/>
          <w:spacing w:val="-4"/>
          <w:position w:val="-3"/>
          <w:sz w:val="34"/>
          <w:szCs w:val="34"/>
        </w:rPr>
        <w:t>-</w:t>
      </w:r>
    </w:p>
    <w:p>
      <w:pPr>
        <w:spacing w:line="117" w:lineRule="exact"/>
        <w:rPr>
          <w:rFonts w:ascii="Arial" w:hAnsi="Arial" w:eastAsia="Arial" w:cs="Arial"/>
          <w:sz w:val="34"/>
          <w:szCs w:val="34"/>
        </w:rPr>
        <w:sectPr>
          <w:type w:val="continuous"/>
          <w:pgSz w:w="12246" w:h="17179"/>
          <w:pgMar w:top="400" w:right="0" w:bottom="547" w:left="0" w:header="0" w:footer="354" w:gutter="0"/>
          <w:cols w:equalWidth="0" w:num="1">
            <w:col w:w="12246"/>
          </w:cols>
        </w:sectPr>
      </w:pPr>
    </w:p>
    <w:p>
      <w:pPr>
        <w:spacing w:line="354" w:lineRule="auto"/>
        <w:rPr>
          <w:rFonts w:ascii="Arial"/>
          <w:sz w:val="21"/>
        </w:rPr>
      </w:pPr>
      <w:r>
        <w:drawing>
          <wp:anchor distT="0" distB="0" distL="0" distR="0" simplePos="0" relativeHeight="251691008" behindDoc="1" locked="0" layoutInCell="0" allowOverlap="1">
            <wp:simplePos x="0" y="0"/>
            <wp:positionH relativeFrom="page">
              <wp:posOffset>647700</wp:posOffset>
            </wp:positionH>
            <wp:positionV relativeFrom="page">
              <wp:posOffset>1018540</wp:posOffset>
            </wp:positionV>
            <wp:extent cx="6296660" cy="1778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8"/>
                    <a:stretch>
                      <a:fillRect/>
                    </a:stretch>
                  </pic:blipFill>
                  <pic:spPr>
                    <a:xfrm>
                      <a:off x="0" y="0"/>
                      <a:ext cx="6296393" cy="18008"/>
                    </a:xfrm>
                    <a:prstGeom prst="rect">
                      <a:avLst/>
                    </a:prstGeom>
                  </pic:spPr>
                </pic:pic>
              </a:graphicData>
            </a:graphic>
          </wp:anchor>
        </w:drawing>
      </w:r>
    </w:p>
    <w:p>
      <w:pPr>
        <w:spacing w:line="354" w:lineRule="auto"/>
        <w:rPr>
          <w:rFonts w:ascii="Arial"/>
          <w:sz w:val="21"/>
        </w:rPr>
      </w:pPr>
    </w:p>
    <w:p>
      <w:pPr>
        <w:spacing w:before="94" w:line="164" w:lineRule="auto"/>
        <w:ind w:left="5034"/>
        <w:rPr>
          <w:rFonts w:ascii="微软雅黑" w:hAnsi="微软雅黑" w:eastAsia="微软雅黑" w:cs="微软雅黑"/>
          <w:sz w:val="22"/>
          <w:szCs w:val="22"/>
        </w:rPr>
      </w:pPr>
      <w:r>
        <w:pict>
          <v:shape id="_x0000_s1049" o:spid="_x0000_s1049" o:spt="202" type="#_x0000_t202" style="position:absolute;left:0pt;margin-left:498.95pt;margin-top:2.55pt;height:21.4pt;width:42.6pt;z-index:251695104;mso-width-relative:page;mso-height-relative:page;" filled="f" stroked="f" coordsize="21600,21600">
            <v:path/>
            <v:fill on="f" focussize="0,0"/>
            <v:stroke on="f"/>
            <v:imagedata o:title=""/>
            <o:lock v:ext="edit" aspectratio="f"/>
            <v:textbox inset="0mm,0mm,0mm,0mm">
              <w:txbxContent>
                <w:p>
                  <w:pPr>
                    <w:pStyle w:val="2"/>
                    <w:spacing w:before="19" w:line="199" w:lineRule="auto"/>
                    <w:ind w:left="113" w:right="20" w:hanging="93"/>
                    <w:rPr>
                      <w:sz w:val="18"/>
                      <w:szCs w:val="18"/>
                    </w:rPr>
                  </w:pPr>
                  <w:r>
                    <w:rPr>
                      <w:color w:val="231F20"/>
                      <w:spacing w:val="-6"/>
                      <w:sz w:val="18"/>
                      <w:szCs w:val="18"/>
                    </w:rPr>
                    <w:t>No.8.</w:t>
                  </w:r>
                  <w:r>
                    <w:rPr>
                      <w:color w:val="231F20"/>
                      <w:spacing w:val="-35"/>
                      <w:sz w:val="18"/>
                      <w:szCs w:val="18"/>
                    </w:rPr>
                    <w:t xml:space="preserve"> </w:t>
                  </w:r>
                  <w:r>
                    <w:rPr>
                      <w:color w:val="231F20"/>
                      <w:spacing w:val="-6"/>
                      <w:sz w:val="18"/>
                      <w:szCs w:val="18"/>
                    </w:rPr>
                    <w:t>2021</w:t>
                  </w:r>
                  <w:r>
                    <w:rPr>
                      <w:color w:val="231F20"/>
                      <w:sz w:val="18"/>
                      <w:szCs w:val="18"/>
                    </w:rPr>
                    <w:t xml:space="preserve"> Sum</w:t>
                  </w:r>
                  <w:r>
                    <w:rPr>
                      <w:color w:val="231F20"/>
                      <w:spacing w:val="-34"/>
                      <w:sz w:val="18"/>
                      <w:szCs w:val="18"/>
                    </w:rPr>
                    <w:t xml:space="preserve"> </w:t>
                  </w:r>
                  <w:r>
                    <w:rPr>
                      <w:color w:val="231F20"/>
                      <w:spacing w:val="11"/>
                      <w:sz w:val="18"/>
                      <w:szCs w:val="18"/>
                    </w:rPr>
                    <w:t>225</w:t>
                  </w:r>
                </w:p>
              </w:txbxContent>
            </v:textbox>
          </v:shape>
        </w:pict>
      </w:r>
      <w:r>
        <w:pict>
          <v:shape id="_x0000_s1050" o:spid="_x0000_s1050" o:spt="202" type="#_x0000_t202" style="position:absolute;left:0pt;margin-left:53.25pt;margin-top:0.4pt;height:25.8pt;width:52.2pt;z-index:251694080;mso-width-relative:page;mso-height-relative:page;" filled="f" stroked="f" coordsize="21600,21600">
            <v:path/>
            <v:fill on="f" focussize="0,0"/>
            <v:stroke on="f"/>
            <v:imagedata o:title=""/>
            <o:lock v:ext="edit" aspectratio="f"/>
            <v:textbox inset="0mm,0mm,0mm,0mm">
              <w:txbxContent>
                <w:p>
                  <w:pPr>
                    <w:spacing w:before="19" w:line="168" w:lineRule="auto"/>
                    <w:ind w:left="20"/>
                    <w:rPr>
                      <w:rFonts w:ascii="微软雅黑" w:hAnsi="微软雅黑" w:eastAsia="微软雅黑" w:cs="微软雅黑"/>
                      <w:sz w:val="18"/>
                      <w:szCs w:val="18"/>
                    </w:rPr>
                  </w:pPr>
                  <w:r>
                    <w:rPr>
                      <w:rFonts w:ascii="微软雅黑" w:hAnsi="微软雅黑" w:eastAsia="微软雅黑" w:cs="微软雅黑"/>
                      <w:color w:val="231F20"/>
                      <w:spacing w:val="-7"/>
                      <w:sz w:val="18"/>
                      <w:szCs w:val="18"/>
                    </w:rPr>
                    <w:t>2021年第8期</w:t>
                  </w:r>
                </w:p>
                <w:p>
                  <w:pPr>
                    <w:spacing w:before="1" w:line="201" w:lineRule="auto"/>
                    <w:ind w:left="138"/>
                    <w:rPr>
                      <w:rFonts w:ascii="微软雅黑" w:hAnsi="微软雅黑" w:eastAsia="微软雅黑" w:cs="微软雅黑"/>
                      <w:sz w:val="18"/>
                      <w:szCs w:val="18"/>
                    </w:rPr>
                  </w:pPr>
                  <w:r>
                    <w:rPr>
                      <w:rFonts w:ascii="微软雅黑" w:hAnsi="微软雅黑" w:eastAsia="微软雅黑" w:cs="微软雅黑"/>
                      <w:color w:val="231F20"/>
                      <w:spacing w:val="-11"/>
                      <w:sz w:val="18"/>
                      <w:szCs w:val="18"/>
                    </w:rPr>
                    <w:t>总第225期</w:t>
                  </w:r>
                </w:p>
              </w:txbxContent>
            </v:textbox>
          </v:shape>
        </w:pict>
      </w:r>
      <w:r>
        <w:drawing>
          <wp:anchor distT="0" distB="0" distL="0" distR="0" simplePos="0" relativeHeight="251692032" behindDoc="1" locked="0" layoutInCell="1" allowOverlap="1">
            <wp:simplePos x="0" y="0"/>
            <wp:positionH relativeFrom="column">
              <wp:posOffset>0</wp:posOffset>
            </wp:positionH>
            <wp:positionV relativeFrom="paragraph">
              <wp:posOffset>-703580</wp:posOffset>
            </wp:positionV>
            <wp:extent cx="7774305" cy="1090612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1"/>
                    <a:stretch>
                      <a:fillRect/>
                    </a:stretch>
                  </pic:blipFill>
                  <pic:spPr>
                    <a:xfrm>
                      <a:off x="0" y="0"/>
                      <a:ext cx="7774131" cy="10906183"/>
                    </a:xfrm>
                    <a:prstGeom prst="rect">
                      <a:avLst/>
                    </a:prstGeom>
                  </pic:spPr>
                </pic:pic>
              </a:graphicData>
            </a:graphic>
          </wp:anchor>
        </w:drawing>
      </w:r>
      <w:r>
        <w:rPr>
          <w:rFonts w:ascii="微软雅黑" w:hAnsi="微软雅黑" w:eastAsia="微软雅黑" w:cs="微软雅黑"/>
          <w:color w:val="231F20"/>
          <w:spacing w:val="22"/>
          <w:sz w:val="22"/>
          <w:szCs w:val="22"/>
        </w:rPr>
        <w:t>佳木斯职业学院学报</w:t>
      </w:r>
    </w:p>
    <w:p>
      <w:pPr>
        <w:spacing w:line="184" w:lineRule="auto"/>
        <w:ind w:left="4545"/>
        <w:rPr>
          <w:rFonts w:ascii="宋体" w:hAnsi="宋体" w:eastAsia="宋体" w:cs="宋体"/>
          <w:sz w:val="10"/>
          <w:szCs w:val="10"/>
        </w:rPr>
      </w:pPr>
      <w:r>
        <w:rPr>
          <w:rFonts w:ascii="宋体" w:hAnsi="宋体" w:eastAsia="宋体" w:cs="宋体"/>
          <w:color w:val="231F20"/>
          <w:spacing w:val="7"/>
          <w:w w:val="114"/>
          <w:sz w:val="10"/>
          <w:szCs w:val="10"/>
          <w:shd w:val="clear" w:fill="FFFFFE"/>
        </w:rPr>
        <w:t>J</w:t>
      </w:r>
      <w:r>
        <w:rPr>
          <w:rFonts w:ascii="宋体" w:hAnsi="宋体" w:eastAsia="宋体" w:cs="宋体"/>
          <w:color w:val="231F20"/>
          <w:spacing w:val="3"/>
          <w:sz w:val="10"/>
          <w:szCs w:val="10"/>
          <w:shd w:val="clear" w:fill="FFFFFE"/>
        </w:rPr>
        <w:t xml:space="preserve"> </w:t>
      </w:r>
      <w:r>
        <w:rPr>
          <w:rFonts w:ascii="宋体" w:hAnsi="宋体" w:eastAsia="宋体" w:cs="宋体"/>
          <w:color w:val="231F20"/>
          <w:spacing w:val="7"/>
          <w:w w:val="114"/>
          <w:sz w:val="10"/>
          <w:szCs w:val="10"/>
          <w:shd w:val="clear" w:fill="FFFFFE"/>
        </w:rPr>
        <w:t>OURNAL</w:t>
      </w:r>
      <w:r>
        <w:rPr>
          <w:rFonts w:ascii="宋体" w:hAnsi="宋体" w:eastAsia="宋体" w:cs="宋体"/>
          <w:color w:val="231F20"/>
          <w:spacing w:val="36"/>
          <w:sz w:val="10"/>
          <w:szCs w:val="10"/>
          <w:shd w:val="clear" w:fill="FFFFFE"/>
        </w:rPr>
        <w:t xml:space="preserve"> </w:t>
      </w:r>
      <w:r>
        <w:rPr>
          <w:rFonts w:ascii="宋体" w:hAnsi="宋体" w:eastAsia="宋体" w:cs="宋体"/>
          <w:color w:val="231F20"/>
          <w:spacing w:val="7"/>
          <w:w w:val="114"/>
          <w:sz w:val="10"/>
          <w:szCs w:val="10"/>
          <w:shd w:val="clear" w:fill="FFFFFE"/>
        </w:rPr>
        <w:t>OF</w:t>
      </w:r>
      <w:r>
        <w:rPr>
          <w:rFonts w:ascii="宋体" w:hAnsi="宋体" w:eastAsia="宋体" w:cs="宋体"/>
          <w:color w:val="231F20"/>
          <w:spacing w:val="35"/>
          <w:w w:val="101"/>
          <w:sz w:val="10"/>
          <w:szCs w:val="10"/>
          <w:shd w:val="clear" w:fill="FFFFFE"/>
        </w:rPr>
        <w:t xml:space="preserve"> </w:t>
      </w:r>
      <w:r>
        <w:rPr>
          <w:rFonts w:ascii="宋体" w:hAnsi="宋体" w:eastAsia="宋体" w:cs="宋体"/>
          <w:color w:val="231F20"/>
          <w:spacing w:val="7"/>
          <w:w w:val="114"/>
          <w:sz w:val="10"/>
          <w:szCs w:val="10"/>
          <w:shd w:val="clear" w:fill="FFFFFE"/>
        </w:rPr>
        <w:t>J</w:t>
      </w:r>
      <w:r>
        <w:rPr>
          <w:rFonts w:ascii="宋体" w:hAnsi="宋体" w:eastAsia="宋体" w:cs="宋体"/>
          <w:color w:val="231F20"/>
          <w:spacing w:val="-3"/>
          <w:sz w:val="10"/>
          <w:szCs w:val="10"/>
          <w:shd w:val="clear" w:fill="FFFFFE"/>
        </w:rPr>
        <w:t xml:space="preserve"> </w:t>
      </w:r>
      <w:r>
        <w:rPr>
          <w:rFonts w:ascii="宋体" w:hAnsi="宋体" w:eastAsia="宋体" w:cs="宋体"/>
          <w:color w:val="231F20"/>
          <w:spacing w:val="7"/>
          <w:w w:val="114"/>
          <w:sz w:val="10"/>
          <w:szCs w:val="10"/>
          <w:shd w:val="clear" w:fill="FFFFFE"/>
        </w:rPr>
        <w:t>I</w:t>
      </w:r>
      <w:r>
        <w:rPr>
          <w:rFonts w:ascii="宋体" w:hAnsi="宋体" w:eastAsia="宋体" w:cs="宋体"/>
          <w:color w:val="231F20"/>
          <w:spacing w:val="-5"/>
          <w:sz w:val="10"/>
          <w:szCs w:val="10"/>
          <w:shd w:val="clear" w:fill="FFFFFE"/>
        </w:rPr>
        <w:t xml:space="preserve"> </w:t>
      </w:r>
      <w:r>
        <w:rPr>
          <w:rFonts w:ascii="宋体" w:hAnsi="宋体" w:eastAsia="宋体" w:cs="宋体"/>
          <w:color w:val="231F20"/>
          <w:spacing w:val="7"/>
          <w:w w:val="114"/>
          <w:sz w:val="10"/>
          <w:szCs w:val="10"/>
          <w:shd w:val="clear" w:fill="FFFFFE"/>
        </w:rPr>
        <w:t>A</w:t>
      </w:r>
      <w:r>
        <w:rPr>
          <w:rFonts w:ascii="宋体" w:hAnsi="宋体" w:eastAsia="宋体" w:cs="宋体"/>
          <w:color w:val="231F20"/>
          <w:spacing w:val="-31"/>
          <w:sz w:val="10"/>
          <w:szCs w:val="10"/>
          <w:shd w:val="clear" w:fill="FFFFFE"/>
        </w:rPr>
        <w:t xml:space="preserve"> </w:t>
      </w:r>
      <w:r>
        <w:rPr>
          <w:rFonts w:ascii="宋体" w:hAnsi="宋体" w:eastAsia="宋体" w:cs="宋体"/>
          <w:color w:val="231F20"/>
          <w:spacing w:val="7"/>
          <w:w w:val="114"/>
          <w:sz w:val="10"/>
          <w:szCs w:val="10"/>
          <w:shd w:val="clear" w:fill="FFFFFE"/>
        </w:rPr>
        <w:t>MUS</w:t>
      </w:r>
      <w:r>
        <w:rPr>
          <w:rFonts w:ascii="宋体" w:hAnsi="宋体" w:eastAsia="宋体" w:cs="宋体"/>
          <w:color w:val="231F20"/>
          <w:spacing w:val="-5"/>
          <w:sz w:val="10"/>
          <w:szCs w:val="10"/>
          <w:shd w:val="clear" w:fill="FFFFFE"/>
        </w:rPr>
        <w:t xml:space="preserve"> </w:t>
      </w:r>
      <w:r>
        <w:rPr>
          <w:rFonts w:ascii="宋体" w:hAnsi="宋体" w:eastAsia="宋体" w:cs="宋体"/>
          <w:color w:val="231F20"/>
          <w:spacing w:val="7"/>
          <w:w w:val="114"/>
          <w:sz w:val="10"/>
          <w:szCs w:val="10"/>
          <w:shd w:val="clear" w:fill="FFFFFE"/>
        </w:rPr>
        <w:t>I</w:t>
      </w:r>
      <w:r>
        <w:rPr>
          <w:rFonts w:ascii="宋体" w:hAnsi="宋体" w:eastAsia="宋体" w:cs="宋体"/>
          <w:color w:val="231F20"/>
          <w:spacing w:val="48"/>
          <w:w w:val="101"/>
          <w:sz w:val="10"/>
          <w:szCs w:val="10"/>
          <w:shd w:val="clear" w:fill="FFFFFE"/>
        </w:rPr>
        <w:t xml:space="preserve"> </w:t>
      </w:r>
      <w:r>
        <w:rPr>
          <w:rFonts w:ascii="宋体" w:hAnsi="宋体" w:eastAsia="宋体" w:cs="宋体"/>
          <w:color w:val="231F20"/>
          <w:spacing w:val="7"/>
          <w:w w:val="114"/>
          <w:sz w:val="10"/>
          <w:szCs w:val="10"/>
          <w:shd w:val="clear" w:fill="FFFFFE"/>
        </w:rPr>
        <w:t>VOC</w:t>
      </w:r>
      <w:r>
        <w:rPr>
          <w:rFonts w:ascii="宋体" w:hAnsi="宋体" w:eastAsia="宋体" w:cs="宋体"/>
          <w:color w:val="231F20"/>
          <w:spacing w:val="-25"/>
          <w:sz w:val="10"/>
          <w:szCs w:val="10"/>
          <w:shd w:val="clear" w:fill="FFFFFE"/>
        </w:rPr>
        <w:t xml:space="preserve"> </w:t>
      </w:r>
      <w:r>
        <w:rPr>
          <w:rFonts w:ascii="宋体" w:hAnsi="宋体" w:eastAsia="宋体" w:cs="宋体"/>
          <w:color w:val="231F20"/>
          <w:spacing w:val="7"/>
          <w:w w:val="114"/>
          <w:sz w:val="10"/>
          <w:szCs w:val="10"/>
          <w:shd w:val="clear" w:fill="FFFFFE"/>
        </w:rPr>
        <w:t>AT</w:t>
      </w:r>
      <w:r>
        <w:rPr>
          <w:rFonts w:ascii="宋体" w:hAnsi="宋体" w:eastAsia="宋体" w:cs="宋体"/>
          <w:color w:val="231F20"/>
          <w:spacing w:val="-11"/>
          <w:sz w:val="10"/>
          <w:szCs w:val="10"/>
          <w:shd w:val="clear" w:fill="FFFFFE"/>
        </w:rPr>
        <w:t xml:space="preserve"> </w:t>
      </w:r>
      <w:r>
        <w:rPr>
          <w:rFonts w:ascii="宋体" w:hAnsi="宋体" w:eastAsia="宋体" w:cs="宋体"/>
          <w:color w:val="231F20"/>
          <w:spacing w:val="7"/>
          <w:w w:val="114"/>
          <w:sz w:val="10"/>
          <w:szCs w:val="10"/>
          <w:shd w:val="clear" w:fill="FFFFFE"/>
        </w:rPr>
        <w:t>I</w:t>
      </w:r>
      <w:r>
        <w:rPr>
          <w:rFonts w:ascii="宋体" w:hAnsi="宋体" w:eastAsia="宋体" w:cs="宋体"/>
          <w:color w:val="231F20"/>
          <w:spacing w:val="-3"/>
          <w:sz w:val="10"/>
          <w:szCs w:val="10"/>
          <w:shd w:val="clear" w:fill="FFFFFE"/>
        </w:rPr>
        <w:t xml:space="preserve"> </w:t>
      </w:r>
      <w:r>
        <w:rPr>
          <w:rFonts w:ascii="宋体" w:hAnsi="宋体" w:eastAsia="宋体" w:cs="宋体"/>
          <w:color w:val="231F20"/>
          <w:spacing w:val="7"/>
          <w:w w:val="114"/>
          <w:sz w:val="10"/>
          <w:szCs w:val="10"/>
          <w:shd w:val="clear" w:fill="FFFFFE"/>
        </w:rPr>
        <w:t>ONAL</w:t>
      </w:r>
      <w:r>
        <w:rPr>
          <w:rFonts w:ascii="宋体" w:hAnsi="宋体" w:eastAsia="宋体" w:cs="宋体"/>
          <w:color w:val="231F20"/>
          <w:spacing w:val="42"/>
          <w:sz w:val="10"/>
          <w:szCs w:val="10"/>
          <w:shd w:val="clear" w:fill="FFFFFE"/>
        </w:rPr>
        <w:t xml:space="preserve"> </w:t>
      </w:r>
      <w:r>
        <w:rPr>
          <w:rFonts w:ascii="宋体" w:hAnsi="宋体" w:eastAsia="宋体" w:cs="宋体"/>
          <w:color w:val="231F20"/>
          <w:spacing w:val="7"/>
          <w:w w:val="114"/>
          <w:sz w:val="10"/>
          <w:szCs w:val="10"/>
          <w:shd w:val="clear" w:fill="FFFFFE"/>
        </w:rPr>
        <w:t>I</w:t>
      </w:r>
      <w:r>
        <w:rPr>
          <w:rFonts w:ascii="宋体" w:hAnsi="宋体" w:eastAsia="宋体" w:cs="宋体"/>
          <w:color w:val="231F20"/>
          <w:spacing w:val="-5"/>
          <w:sz w:val="10"/>
          <w:szCs w:val="10"/>
          <w:shd w:val="clear" w:fill="FFFFFE"/>
        </w:rPr>
        <w:t xml:space="preserve"> </w:t>
      </w:r>
      <w:r>
        <w:rPr>
          <w:rFonts w:ascii="宋体" w:hAnsi="宋体" w:eastAsia="宋体" w:cs="宋体"/>
          <w:color w:val="231F20"/>
          <w:spacing w:val="7"/>
          <w:w w:val="114"/>
          <w:sz w:val="10"/>
          <w:szCs w:val="10"/>
          <w:shd w:val="clear" w:fill="FFFFFE"/>
        </w:rPr>
        <w:t>NS</w:t>
      </w:r>
      <w:r>
        <w:rPr>
          <w:rFonts w:ascii="宋体" w:hAnsi="宋体" w:eastAsia="宋体" w:cs="宋体"/>
          <w:color w:val="231F20"/>
          <w:spacing w:val="-12"/>
          <w:sz w:val="10"/>
          <w:szCs w:val="10"/>
          <w:shd w:val="clear" w:fill="FFFFFE"/>
        </w:rPr>
        <w:t xml:space="preserve"> </w:t>
      </w:r>
      <w:r>
        <w:rPr>
          <w:rFonts w:ascii="宋体" w:hAnsi="宋体" w:eastAsia="宋体" w:cs="宋体"/>
          <w:color w:val="231F20"/>
          <w:spacing w:val="7"/>
          <w:w w:val="114"/>
          <w:sz w:val="10"/>
          <w:szCs w:val="10"/>
          <w:shd w:val="clear" w:fill="FFFFFE"/>
        </w:rPr>
        <w:t>T</w:t>
      </w:r>
      <w:r>
        <w:rPr>
          <w:rFonts w:ascii="宋体" w:hAnsi="宋体" w:eastAsia="宋体" w:cs="宋体"/>
          <w:color w:val="231F20"/>
          <w:spacing w:val="-11"/>
          <w:sz w:val="10"/>
          <w:szCs w:val="10"/>
          <w:shd w:val="clear" w:fill="FFFFFE"/>
        </w:rPr>
        <w:t xml:space="preserve"> </w:t>
      </w:r>
      <w:r>
        <w:rPr>
          <w:rFonts w:ascii="宋体" w:hAnsi="宋体" w:eastAsia="宋体" w:cs="宋体"/>
          <w:color w:val="231F20"/>
          <w:spacing w:val="7"/>
          <w:w w:val="114"/>
          <w:sz w:val="10"/>
          <w:szCs w:val="10"/>
          <w:shd w:val="clear" w:fill="FFFFFE"/>
        </w:rPr>
        <w:t>I</w:t>
      </w:r>
      <w:r>
        <w:rPr>
          <w:rFonts w:ascii="宋体" w:hAnsi="宋体" w:eastAsia="宋体" w:cs="宋体"/>
          <w:color w:val="231F20"/>
          <w:spacing w:val="-3"/>
          <w:sz w:val="10"/>
          <w:szCs w:val="10"/>
          <w:shd w:val="clear" w:fill="FFFFFE"/>
        </w:rPr>
        <w:t xml:space="preserve"> </w:t>
      </w:r>
      <w:r>
        <w:rPr>
          <w:rFonts w:ascii="宋体" w:hAnsi="宋体" w:eastAsia="宋体" w:cs="宋体"/>
          <w:color w:val="231F20"/>
          <w:spacing w:val="7"/>
          <w:w w:val="114"/>
          <w:sz w:val="10"/>
          <w:szCs w:val="10"/>
          <w:shd w:val="clear" w:fill="FFFFFE"/>
        </w:rPr>
        <w:t>T</w:t>
      </w:r>
      <w:r>
        <w:rPr>
          <w:rFonts w:ascii="宋体" w:hAnsi="宋体" w:eastAsia="宋体" w:cs="宋体"/>
          <w:color w:val="231F20"/>
          <w:spacing w:val="-19"/>
          <w:sz w:val="10"/>
          <w:szCs w:val="10"/>
          <w:shd w:val="clear" w:fill="FFFFFE"/>
        </w:rPr>
        <w:t xml:space="preserve"> </w:t>
      </w:r>
      <w:r>
        <w:rPr>
          <w:rFonts w:ascii="宋体" w:hAnsi="宋体" w:eastAsia="宋体" w:cs="宋体"/>
          <w:color w:val="231F20"/>
          <w:spacing w:val="7"/>
          <w:w w:val="114"/>
          <w:sz w:val="10"/>
          <w:szCs w:val="10"/>
          <w:shd w:val="clear" w:fill="FFFFFE"/>
        </w:rPr>
        <w:t>UT</w:t>
      </w:r>
      <w:r>
        <w:rPr>
          <w:rFonts w:ascii="宋体" w:hAnsi="宋体" w:eastAsia="宋体" w:cs="宋体"/>
          <w:color w:val="231F20"/>
          <w:spacing w:val="-18"/>
          <w:sz w:val="10"/>
          <w:szCs w:val="10"/>
          <w:shd w:val="clear" w:fill="FFFFFE"/>
        </w:rPr>
        <w:t xml:space="preserve"> </w:t>
      </w:r>
      <w:r>
        <w:rPr>
          <w:rFonts w:ascii="宋体" w:hAnsi="宋体" w:eastAsia="宋体" w:cs="宋体"/>
          <w:color w:val="231F20"/>
          <w:spacing w:val="7"/>
          <w:w w:val="114"/>
          <w:sz w:val="10"/>
          <w:szCs w:val="10"/>
          <w:shd w:val="clear" w:fill="FFFFFE"/>
        </w:rPr>
        <w:t>E</w:t>
      </w:r>
    </w:p>
    <w:p>
      <w:pPr>
        <w:spacing w:before="39" w:line="28" w:lineRule="exact"/>
        <w:ind w:firstLine="1017"/>
      </w:pPr>
      <w:r>
        <w:drawing>
          <wp:inline distT="0" distB="0" distL="0" distR="0">
            <wp:extent cx="6296025" cy="1778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8"/>
                    <a:stretch>
                      <a:fillRect/>
                    </a:stretch>
                  </pic:blipFill>
                  <pic:spPr>
                    <a:xfrm>
                      <a:off x="0" y="0"/>
                      <a:ext cx="6296393" cy="18008"/>
                    </a:xfrm>
                    <a:prstGeom prst="rect">
                      <a:avLst/>
                    </a:prstGeom>
                  </pic:spPr>
                </pic:pic>
              </a:graphicData>
            </a:graphic>
          </wp:inline>
        </w:drawing>
      </w:r>
    </w:p>
    <w:p>
      <w:pPr>
        <w:spacing w:before="241" w:line="201" w:lineRule="auto"/>
        <w:ind w:left="6122" w:right="1286" w:firstLine="1"/>
        <w:jc w:val="both"/>
        <w:rPr>
          <w:rFonts w:ascii="微软雅黑" w:hAnsi="微软雅黑" w:eastAsia="微软雅黑" w:cs="微软雅黑"/>
          <w:sz w:val="20"/>
          <w:szCs w:val="20"/>
        </w:rPr>
      </w:pPr>
      <w:r>
        <w:pict>
          <v:shape id="_x0000_s1051" o:spid="_x0000_s1051" o:spt="202" type="#_x0000_t202" style="position:absolute;left:0pt;margin-left:49.9pt;margin-top:11.15pt;height:667.4pt;width:246.9pt;z-index:251693056;mso-width-relative:page;mso-height-relative:page;" filled="f" stroked="f" coordsize="21600,21600">
            <v:path/>
            <v:fill on="f" focussize="0,0"/>
            <v:stroke on="f"/>
            <v:imagedata o:title=""/>
            <o:lock v:ext="edit" aspectratio="f"/>
            <v:textbox inset="0mm,0mm,0mm,0mm">
              <w:txbxContent>
                <w:p>
                  <w:pPr>
                    <w:spacing w:before="18" w:line="197" w:lineRule="auto"/>
                    <w:ind w:left="21" w:right="23" w:firstLine="3"/>
                    <w:jc w:val="both"/>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质量文化有关方针、政策时的准确性，</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1"/>
                      <w:sz w:val="20"/>
                      <w:szCs w:val="20"/>
                    </w:rPr>
                    <w:t>同时能够规避实</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施过程中的突发情况，增强处理质量文化危机的能力。</w:t>
                  </w:r>
                  <w:r>
                    <w:rPr>
                      <w:rFonts w:ascii="微软雅黑" w:hAnsi="微软雅黑" w:eastAsia="微软雅黑" w:cs="微软雅黑"/>
                      <w:color w:val="231F20"/>
                      <w:spacing w:val="18"/>
                      <w:w w:val="101"/>
                      <w:sz w:val="20"/>
                      <w:szCs w:val="20"/>
                    </w:rPr>
                    <w:t xml:space="preserve"> </w:t>
                  </w:r>
                  <w:r>
                    <w:rPr>
                      <w:rFonts w:ascii="微软雅黑" w:hAnsi="微软雅黑" w:eastAsia="微软雅黑" w:cs="微软雅黑"/>
                      <w:color w:val="231F20"/>
                      <w:sz w:val="20"/>
                      <w:szCs w:val="20"/>
                    </w:rPr>
                    <w:t>最后，还要在师生群体中加强对质量文化的宣传，加强</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2"/>
                      <w:sz w:val="20"/>
                      <w:szCs w:val="20"/>
                    </w:rPr>
                    <w:t>师生对质量文化含义、理念和作用的理解。</w:t>
                  </w:r>
                </w:p>
                <w:p>
                  <w:pPr>
                    <w:spacing w:before="25" w:line="200" w:lineRule="auto"/>
                    <w:ind w:left="293"/>
                    <w:rPr>
                      <w:rFonts w:ascii="微软雅黑" w:hAnsi="微软雅黑" w:eastAsia="微软雅黑" w:cs="微软雅黑"/>
                      <w:sz w:val="20"/>
                      <w:szCs w:val="20"/>
                    </w:rPr>
                  </w:pPr>
                  <w:r>
                    <w:rPr>
                      <w:rFonts w:ascii="微软雅黑" w:hAnsi="微软雅黑" w:eastAsia="微软雅黑" w:cs="微软雅黑"/>
                      <w:color w:val="231F20"/>
                      <w:sz w:val="20"/>
                      <w:szCs w:val="20"/>
                    </w:rPr>
                    <w:t>（二）提升物质层面的质量文化</w:t>
                  </w:r>
                </w:p>
                <w:p>
                  <w:pPr>
                    <w:spacing w:before="14" w:line="197" w:lineRule="auto"/>
                    <w:ind w:left="20" w:right="99" w:firstLine="374"/>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物质层面是质量文化的基础部分，其质量文化内容</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z w:val="20"/>
                      <w:szCs w:val="20"/>
                    </w:rPr>
                    <w:t>丰富，包括学校的校园环境、基础设施、办学条件、标</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z w:val="20"/>
                      <w:szCs w:val="20"/>
                    </w:rPr>
                    <w:t>语、校徽等。物质层面的质量文化建设充分体现了高校</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
                      <w:sz w:val="20"/>
                      <w:szCs w:val="20"/>
                    </w:rPr>
                    <w:t>的办学目标，并且共同服务于育人这一重要目标。</w:t>
                  </w:r>
                </w:p>
                <w:p>
                  <w:pPr>
                    <w:spacing w:before="31" w:line="201" w:lineRule="auto"/>
                    <w:ind w:left="21" w:right="94" w:firstLine="368"/>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第一，创造优美的校园环境。各高校的地理位置不</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z w:val="20"/>
                      <w:szCs w:val="20"/>
                    </w:rPr>
                    <w:t>同，呈现出来的校园环境各有特色。从高校校园环境的</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9"/>
                      <w:sz w:val="20"/>
                      <w:szCs w:val="20"/>
                    </w:rPr>
                    <w:t>宏观层面看，高校的教学区、活动场所、生活空间都</w:t>
                  </w:r>
                  <w:r>
                    <w:rPr>
                      <w:rFonts w:ascii="微软雅黑" w:hAnsi="微软雅黑" w:eastAsia="微软雅黑" w:cs="微软雅黑"/>
                      <w:color w:val="231F20"/>
                      <w:spacing w:val="13"/>
                      <w:sz w:val="20"/>
                      <w:szCs w:val="20"/>
                    </w:rPr>
                    <w:t xml:space="preserve"> </w:t>
                  </w:r>
                  <w:r>
                    <w:rPr>
                      <w:rFonts w:ascii="微软雅黑" w:hAnsi="微软雅黑" w:eastAsia="微软雅黑" w:cs="微软雅黑"/>
                      <w:color w:val="231F20"/>
                      <w:spacing w:val="8"/>
                      <w:sz w:val="20"/>
                      <w:szCs w:val="20"/>
                    </w:rPr>
                    <w:t>按照地理特色进行布局，各部分联合起来就是和谐的</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z w:val="20"/>
                      <w:szCs w:val="20"/>
                    </w:rPr>
                    <w:t>整体，能够更好、更有效地服务于高校的教育教学。例</w:t>
                  </w:r>
                  <w:r>
                    <w:rPr>
                      <w:rFonts w:ascii="微软雅黑" w:hAnsi="微软雅黑" w:eastAsia="微软雅黑" w:cs="微软雅黑"/>
                      <w:color w:val="231F20"/>
                      <w:spacing w:val="5"/>
                      <w:sz w:val="20"/>
                      <w:szCs w:val="20"/>
                    </w:rPr>
                    <w:t xml:space="preserve"> </w:t>
                  </w:r>
                  <w:r>
                    <w:rPr>
                      <w:rFonts w:ascii="微软雅黑" w:hAnsi="微软雅黑" w:eastAsia="微软雅黑" w:cs="微软雅黑"/>
                      <w:color w:val="231F20"/>
                      <w:sz w:val="20"/>
                      <w:szCs w:val="20"/>
                    </w:rPr>
                    <w:t>如，在图书馆呈现有启示意义的名人画像和名句，塑造</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z w:val="20"/>
                      <w:szCs w:val="20"/>
                    </w:rPr>
                    <w:t>的雕像以代表学校特色精神为主，建造的校史馆能体现</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z w:val="20"/>
                      <w:szCs w:val="20"/>
                    </w:rPr>
                    <w:t>学校的发展进程。校园绿化也是重要部分，干净整洁的</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z w:val="20"/>
                      <w:szCs w:val="20"/>
                    </w:rPr>
                    <w:t>校园环境能够给师生带来活力。校园环境是质量文化的 物质层体现，被寄予了高校特色。优质的校园环境不仅</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z w:val="20"/>
                      <w:szCs w:val="20"/>
                    </w:rPr>
                    <w:t>能满足师生的日常学习与生活要求，而且能以潜移默化</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3"/>
                      <w:sz w:val="20"/>
                      <w:szCs w:val="20"/>
                    </w:rPr>
                    <w:t>的方式传达人文关怀。</w:t>
                  </w:r>
                </w:p>
                <w:p>
                  <w:pPr>
                    <w:spacing w:before="24" w:line="201" w:lineRule="auto"/>
                    <w:ind w:left="23" w:right="99" w:firstLine="367"/>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第二，优化办学条件。高校教师以及教育工作者是</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9"/>
                      <w:sz w:val="20"/>
                      <w:szCs w:val="20"/>
                    </w:rPr>
                    <w:t>建设高质量文化的关键，他们不只要建设一个组织完</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z w:val="20"/>
                      <w:szCs w:val="20"/>
                    </w:rPr>
                    <w:t>善、教学质量优质的高等教育机构，还需要努力加强其</w:t>
                  </w:r>
                  <w:r>
                    <w:rPr>
                      <w:rFonts w:ascii="微软雅黑" w:hAnsi="微软雅黑" w:eastAsia="微软雅黑" w:cs="微软雅黑"/>
                      <w:color w:val="231F20"/>
                      <w:spacing w:val="13"/>
                      <w:sz w:val="20"/>
                      <w:szCs w:val="20"/>
                    </w:rPr>
                    <w:t xml:space="preserve"> </w:t>
                  </w:r>
                  <w:r>
                    <w:rPr>
                      <w:rFonts w:ascii="微软雅黑" w:hAnsi="微软雅黑" w:eastAsia="微软雅黑" w:cs="微软雅黑"/>
                      <w:color w:val="231F20"/>
                      <w:spacing w:val="-1"/>
                      <w:sz w:val="20"/>
                      <w:szCs w:val="20"/>
                    </w:rPr>
                    <w:t>管理团队和技术支持，</w:t>
                  </w:r>
                  <w:r>
                    <w:rPr>
                      <w:rFonts w:ascii="微软雅黑" w:hAnsi="微软雅黑" w:eastAsia="微软雅黑" w:cs="微软雅黑"/>
                      <w:color w:val="231F20"/>
                      <w:spacing w:val="-22"/>
                      <w:sz w:val="20"/>
                      <w:szCs w:val="20"/>
                    </w:rPr>
                    <w:t xml:space="preserve"> </w:t>
                  </w:r>
                  <w:r>
                    <w:rPr>
                      <w:rFonts w:ascii="微软雅黑" w:hAnsi="微软雅黑" w:eastAsia="微软雅黑" w:cs="微软雅黑"/>
                      <w:color w:val="231F20"/>
                      <w:spacing w:val="-1"/>
                      <w:sz w:val="20"/>
                      <w:szCs w:val="20"/>
                    </w:rPr>
                    <w:t>以便在整个学校就教学、管理和</w:t>
                  </w:r>
                  <w:r>
                    <w:rPr>
                      <w:rFonts w:ascii="微软雅黑" w:hAnsi="微软雅黑" w:eastAsia="微软雅黑" w:cs="微软雅黑"/>
                      <w:color w:val="231F20"/>
                      <w:sz w:val="20"/>
                      <w:szCs w:val="20"/>
                    </w:rPr>
                    <w:t xml:space="preserve"> 服务方面达成共识。教职工和管理团队是高等学校教育</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8"/>
                      <w:sz w:val="20"/>
                      <w:szCs w:val="20"/>
                    </w:rPr>
                    <w:t>教学过程中的软实力，通过优化师资和管理队伍并引</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z w:val="20"/>
                      <w:szCs w:val="20"/>
                    </w:rPr>
                    <w:t>进优秀人才能够提高高校的办学实力。同时，随着当下</w:t>
                  </w:r>
                  <w:r>
                    <w:rPr>
                      <w:rFonts w:ascii="微软雅黑" w:hAnsi="微软雅黑" w:eastAsia="微软雅黑" w:cs="微软雅黑"/>
                      <w:color w:val="231F20"/>
                      <w:spacing w:val="13"/>
                      <w:sz w:val="20"/>
                      <w:szCs w:val="20"/>
                    </w:rPr>
                    <w:t xml:space="preserve"> </w:t>
                  </w:r>
                  <w:r>
                    <w:rPr>
                      <w:rFonts w:ascii="微软雅黑" w:hAnsi="微软雅黑" w:eastAsia="微软雅黑" w:cs="微软雅黑"/>
                      <w:color w:val="231F20"/>
                      <w:spacing w:val="-2"/>
                      <w:sz w:val="20"/>
                      <w:szCs w:val="20"/>
                    </w:rPr>
                    <w:t>5G 技术、VR 技术和其他高新技术的发展，先进的技术</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z w:val="20"/>
                      <w:szCs w:val="20"/>
                    </w:rPr>
                    <w:t>与设备是高校质量文化的物质保证，促使高校课堂和实</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3"/>
                      <w:sz w:val="20"/>
                      <w:szCs w:val="20"/>
                    </w:rPr>
                    <w:t>验室也随之发生革新。</w:t>
                  </w:r>
                </w:p>
                <w:p>
                  <w:pPr>
                    <w:spacing w:before="24" w:line="200" w:lineRule="auto"/>
                    <w:ind w:left="293"/>
                    <w:rPr>
                      <w:rFonts w:ascii="微软雅黑" w:hAnsi="微软雅黑" w:eastAsia="微软雅黑" w:cs="微软雅黑"/>
                      <w:sz w:val="20"/>
                      <w:szCs w:val="20"/>
                    </w:rPr>
                  </w:pPr>
                  <w:r>
                    <w:rPr>
                      <w:rFonts w:ascii="微软雅黑" w:hAnsi="微软雅黑" w:eastAsia="微软雅黑" w:cs="微软雅黑"/>
                      <w:color w:val="231F20"/>
                      <w:sz w:val="20"/>
                      <w:szCs w:val="20"/>
                    </w:rPr>
                    <w:t>（三）发展制度层面的质量文化</w:t>
                  </w:r>
                </w:p>
                <w:p>
                  <w:pPr>
                    <w:spacing w:before="12" w:line="199" w:lineRule="auto"/>
                    <w:ind w:left="21" w:right="20" w:firstLine="373"/>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高校的质量文化建设需要制度和机制作为强</w:t>
                  </w:r>
                  <w:r>
                    <w:rPr>
                      <w:rFonts w:ascii="微软雅黑" w:hAnsi="微软雅黑" w:eastAsia="微软雅黑" w:cs="微软雅黑"/>
                      <w:color w:val="231F20"/>
                      <w:spacing w:val="1"/>
                      <w:sz w:val="20"/>
                      <w:szCs w:val="20"/>
                    </w:rPr>
                    <w:t>有力的</w:t>
                  </w:r>
                  <w:r>
                    <w:rPr>
                      <w:rFonts w:ascii="微软雅黑" w:hAnsi="微软雅黑" w:eastAsia="微软雅黑" w:cs="微软雅黑"/>
                      <w:color w:val="231F20"/>
                      <w:sz w:val="20"/>
                      <w:szCs w:val="20"/>
                    </w:rPr>
                    <w:t xml:space="preserve">  支撑</w:t>
                  </w:r>
                  <w:r>
                    <w:rPr>
                      <w:rFonts w:ascii="微软雅黑" w:hAnsi="微软雅黑" w:eastAsia="微软雅黑" w:cs="微软雅黑"/>
                      <w:color w:val="231F20"/>
                      <w:position w:val="9"/>
                      <w:sz w:val="11"/>
                      <w:szCs w:val="11"/>
                    </w:rPr>
                    <w:t>［1］</w:t>
                  </w:r>
                  <w:r>
                    <w:rPr>
                      <w:rFonts w:ascii="微软雅黑" w:hAnsi="微软雅黑" w:eastAsia="微软雅黑" w:cs="微软雅黑"/>
                      <w:color w:val="231F20"/>
                      <w:sz w:val="20"/>
                      <w:szCs w:val="20"/>
                    </w:rPr>
                    <w:t>。将制度转化为高校质量文化并非一蹴而就的，</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pacing w:val="4"/>
                      <w:sz w:val="20"/>
                      <w:szCs w:val="20"/>
                    </w:rPr>
                    <w:t>高等教育机构的所有成员都必须培养对制度的认同</w:t>
                  </w:r>
                  <w:r>
                    <w:rPr>
                      <w:rFonts w:ascii="微软雅黑" w:hAnsi="微软雅黑" w:eastAsia="微软雅黑" w:cs="微软雅黑"/>
                      <w:color w:val="231F20"/>
                      <w:spacing w:val="3"/>
                      <w:sz w:val="20"/>
                      <w:szCs w:val="20"/>
                    </w:rPr>
                    <w:t>感，</w:t>
                  </w:r>
                  <w:r>
                    <w:rPr>
                      <w:rFonts w:ascii="微软雅黑" w:hAnsi="微软雅黑" w:eastAsia="微软雅黑" w:cs="微软雅黑"/>
                      <w:color w:val="231F20"/>
                      <w:sz w:val="20"/>
                      <w:szCs w:val="20"/>
                    </w:rPr>
                    <w:t xml:space="preserve"> 将制度转变为文化，不是僵化的规则和原则。因此</w:t>
                  </w:r>
                  <w:r>
                    <w:rPr>
                      <w:rFonts w:ascii="微软雅黑" w:hAnsi="微软雅黑" w:eastAsia="微软雅黑" w:cs="微软雅黑"/>
                      <w:color w:val="231F20"/>
                      <w:spacing w:val="-1"/>
                      <w:sz w:val="20"/>
                      <w:szCs w:val="20"/>
                    </w:rPr>
                    <w:t xml:space="preserve">，各  </w:t>
                  </w:r>
                  <w:r>
                    <w:rPr>
                      <w:rFonts w:ascii="微软雅黑" w:hAnsi="微软雅黑" w:eastAsia="微软雅黑" w:cs="微软雅黑"/>
                      <w:color w:val="231F20"/>
                      <w:spacing w:val="4"/>
                      <w:sz w:val="20"/>
                      <w:szCs w:val="20"/>
                    </w:rPr>
                    <w:t>高校在推进质量文化建设时，应建立健全具有参与</w:t>
                  </w:r>
                  <w:r>
                    <w:rPr>
                      <w:rFonts w:ascii="微软雅黑" w:hAnsi="微软雅黑" w:eastAsia="微软雅黑" w:cs="微软雅黑"/>
                      <w:color w:val="231F20"/>
                      <w:spacing w:val="3"/>
                      <w:sz w:val="20"/>
                      <w:szCs w:val="20"/>
                    </w:rPr>
                    <w:t>性、</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公开性的管理制度、评价制度和奖惩制度等。</w:t>
                  </w:r>
                </w:p>
                <w:p>
                  <w:pPr>
                    <w:spacing w:before="34" w:line="200" w:lineRule="auto"/>
                    <w:ind w:left="20" w:right="35" w:firstLine="370"/>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第一，科学、合理的管理制度是必不可少的</w:t>
                  </w:r>
                  <w:r>
                    <w:rPr>
                      <w:rFonts w:ascii="微软雅黑" w:hAnsi="微软雅黑" w:eastAsia="微软雅黑" w:cs="微软雅黑"/>
                      <w:color w:val="231F20"/>
                      <w:spacing w:val="1"/>
                      <w:sz w:val="20"/>
                      <w:szCs w:val="20"/>
                    </w:rPr>
                    <w:t>。针对</w:t>
                  </w:r>
                  <w:r>
                    <w:rPr>
                      <w:rFonts w:ascii="微软雅黑" w:hAnsi="微软雅黑" w:eastAsia="微软雅黑" w:cs="微软雅黑"/>
                      <w:color w:val="231F20"/>
                      <w:sz w:val="20"/>
                      <w:szCs w:val="20"/>
                    </w:rPr>
                    <w:t xml:space="preserve">  此前谈及的“拿来主义”，我国高校质量文化研究相对</w:t>
                  </w:r>
                  <w:r>
                    <w:rPr>
                      <w:rFonts w:ascii="微软雅黑" w:hAnsi="微软雅黑" w:eastAsia="微软雅黑" w:cs="微软雅黑"/>
                      <w:color w:val="231F20"/>
                      <w:spacing w:val="5"/>
                      <w:sz w:val="20"/>
                      <w:szCs w:val="20"/>
                    </w:rPr>
                    <w:t xml:space="preserve">  </w:t>
                  </w:r>
                  <w:r>
                    <w:rPr>
                      <w:rFonts w:ascii="微软雅黑" w:hAnsi="微软雅黑" w:eastAsia="微软雅黑" w:cs="微软雅黑"/>
                      <w:color w:val="231F20"/>
                      <w:sz w:val="20"/>
                      <w:szCs w:val="20"/>
                    </w:rPr>
                    <w:t>较晚。起初，高校将企业质量理念直接用于其管理活动</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z w:val="20"/>
                      <w:szCs w:val="20"/>
                    </w:rPr>
                    <w:t>中，产生众多无法用企业管理制度解决的问题。对其他</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z w:val="20"/>
                      <w:szCs w:val="20"/>
                    </w:rPr>
                    <w:t>国家管理体制的借鉴绝非直接“嫁接”，因此建立一套</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z w:val="20"/>
                      <w:szCs w:val="20"/>
                    </w:rPr>
                    <w:t>符合中国特色的管理体制非常重要。高校教育教学各项</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z w:val="20"/>
                      <w:szCs w:val="20"/>
                    </w:rPr>
                    <w:t>工作的顺利进行和高校全体人员的行为规范都离不开科</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3"/>
                      <w:sz w:val="20"/>
                      <w:szCs w:val="20"/>
                    </w:rPr>
                    <w:t>学的管理制度，学校的管理制度既有一定的控制作用，</w:t>
                  </w:r>
                </w:p>
              </w:txbxContent>
            </v:textbox>
          </v:shape>
        </w:pict>
      </w:r>
      <w:r>
        <w:rPr>
          <w:rFonts w:ascii="微软雅黑" w:hAnsi="微软雅黑" w:eastAsia="微软雅黑" w:cs="微软雅黑"/>
          <w:color w:val="231F20"/>
          <w:spacing w:val="-1"/>
          <w:sz w:val="20"/>
          <w:szCs w:val="20"/>
        </w:rPr>
        <w:t xml:space="preserve">也体现了义务性和权利性。合理的管理制度是高校优良 </w:t>
      </w:r>
      <w:r>
        <w:rPr>
          <w:rFonts w:ascii="微软雅黑" w:hAnsi="微软雅黑" w:eastAsia="微软雅黑" w:cs="微软雅黑"/>
          <w:color w:val="231F20"/>
          <w:sz w:val="20"/>
          <w:szCs w:val="20"/>
        </w:rPr>
        <w:t>质量观的表现形式，不仅能对各事务进行高效管理，对</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z w:val="20"/>
          <w:szCs w:val="20"/>
        </w:rPr>
        <w:t>于师生而言也是一种管理理念和管理价值观的存在。所</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z w:val="20"/>
          <w:szCs w:val="20"/>
        </w:rPr>
        <w:t>以，建立和完善管理制度非常重要，能够保证师生员工</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z w:val="20"/>
          <w:szCs w:val="20"/>
        </w:rPr>
        <w:t>的工作和学习积极性与主动性。管理制度的建立与完善</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z w:val="20"/>
          <w:szCs w:val="20"/>
        </w:rPr>
        <w:t>需要做到以下几方面：一是各项管理制度应体现人本主</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z w:val="20"/>
          <w:szCs w:val="20"/>
        </w:rPr>
        <w:t>义精神，以教师为本，以学生为本的精神，减少硬性管</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z w:val="20"/>
          <w:szCs w:val="20"/>
        </w:rPr>
        <w:t>理；二是管理制度的制订应根据本校发展的特点，体现</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z w:val="20"/>
          <w:szCs w:val="20"/>
        </w:rPr>
        <w:t>本校的质量价值观念；三是实行动态调整机制，根据环</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1"/>
          <w:sz w:val="20"/>
          <w:szCs w:val="20"/>
        </w:rPr>
        <w:t>境、学校状态的改变以及质量反馈适时作出相应调整；</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z w:val="20"/>
          <w:szCs w:val="20"/>
        </w:rPr>
        <w:t>四是管理制度应具有长期性，与高校的长期可持续发展</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5"/>
          <w:sz w:val="20"/>
          <w:szCs w:val="20"/>
        </w:rPr>
        <w:t>紧密联系。</w:t>
      </w:r>
    </w:p>
    <w:p>
      <w:pPr>
        <w:spacing w:before="34" w:line="201" w:lineRule="auto"/>
        <w:ind w:left="6120" w:right="1222" w:firstLine="370"/>
        <w:jc w:val="both"/>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 xml:space="preserve">第二，呼吁学生参与高校质量文化建设。学生是推  </w:t>
      </w:r>
      <w:r>
        <w:rPr>
          <w:rFonts w:ascii="微软雅黑" w:hAnsi="微软雅黑" w:eastAsia="微软雅黑" w:cs="微软雅黑"/>
          <w:color w:val="231F20"/>
          <w:sz w:val="20"/>
          <w:szCs w:val="20"/>
        </w:rPr>
        <w:t xml:space="preserve">进质量文化发展的主体之一，应当给予学生话语权。对  高校质量进行改进的过程中，需要增强学生的主体性意  识，倡导其参与到质量文化建设中，在此过程中彰显质  量文化建设的特色。高等教育信息化是推动高等教育改  革创新以及提高质量的手段，因此高校管理者要充分应  用先进的信息技术使学生参与高校的质量文化建设。如  此就可以获取学生对高校质量文化建设的意见，根据这  部分建议进行完善，并提供了反馈。比如，通过微博学  </w:t>
      </w:r>
      <w:r>
        <w:rPr>
          <w:rFonts w:ascii="微软雅黑" w:hAnsi="微软雅黑" w:eastAsia="微软雅黑" w:cs="微软雅黑"/>
          <w:color w:val="231F20"/>
          <w:spacing w:val="-4"/>
          <w:sz w:val="20"/>
          <w:szCs w:val="20"/>
        </w:rPr>
        <w:t>生可以直接表达他们对教育氛围、学习设施、管理制</w:t>
      </w:r>
      <w:r>
        <w:rPr>
          <w:rFonts w:ascii="微软雅黑" w:hAnsi="微软雅黑" w:eastAsia="微软雅黑" w:cs="微软雅黑"/>
          <w:color w:val="231F20"/>
          <w:spacing w:val="-5"/>
          <w:sz w:val="20"/>
          <w:szCs w:val="20"/>
        </w:rPr>
        <w:t>度、</w:t>
      </w:r>
      <w:r>
        <w:rPr>
          <w:rFonts w:ascii="微软雅黑" w:hAnsi="微软雅黑" w:eastAsia="微软雅黑" w:cs="微软雅黑"/>
          <w:color w:val="231F20"/>
          <w:sz w:val="20"/>
          <w:szCs w:val="20"/>
        </w:rPr>
        <w:t xml:space="preserve"> 学习风气等的建议；可以建立专门的电子邮箱，用来征  求学生对高校质量文化建设的意见和建议，并且邮箱的  </w:t>
      </w:r>
      <w:r>
        <w:rPr>
          <w:rFonts w:ascii="微软雅黑" w:hAnsi="微软雅黑" w:eastAsia="微软雅黑" w:cs="微软雅黑"/>
          <w:color w:val="231F20"/>
          <w:spacing w:val="-5"/>
          <w:sz w:val="20"/>
          <w:szCs w:val="20"/>
        </w:rPr>
        <w:t>负责人可以由学生来担任，培养其主人翁意识。</w:t>
      </w:r>
    </w:p>
    <w:p>
      <w:pPr>
        <w:spacing w:before="180" w:line="206" w:lineRule="auto"/>
        <w:ind w:left="6511"/>
        <w:rPr>
          <w:rFonts w:ascii="微软雅黑" w:hAnsi="微软雅黑" w:eastAsia="微软雅黑" w:cs="微软雅黑"/>
          <w:sz w:val="22"/>
          <w:szCs w:val="22"/>
        </w:rPr>
      </w:pPr>
      <w:r>
        <w:rPr>
          <w:rFonts w:ascii="微软雅黑" w:hAnsi="微软雅黑" w:eastAsia="微软雅黑" w:cs="微软雅黑"/>
          <w:color w:val="231F20"/>
          <w:spacing w:val="-5"/>
          <w:sz w:val="22"/>
          <w:szCs w:val="22"/>
        </w:rPr>
        <w:t>四、结语</w:t>
      </w:r>
    </w:p>
    <w:p>
      <w:pPr>
        <w:spacing w:before="108" w:line="200" w:lineRule="auto"/>
        <w:ind w:left="6123" w:right="1228" w:firstLine="406"/>
        <w:jc w:val="both"/>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 xml:space="preserve">目前，各高校为提升高等教育质量也相应制定了许  多内部质量保障体系，但是仅仅依靠外部的约束力往往  是不足够的，各个高校都需要重视高质量文化并把其加  </w:t>
      </w:r>
      <w:r>
        <w:rPr>
          <w:rFonts w:ascii="微软雅黑" w:hAnsi="微软雅黑" w:eastAsia="微软雅黑" w:cs="微软雅黑"/>
          <w:color w:val="231F20"/>
          <w:spacing w:val="3"/>
          <w:sz w:val="20"/>
          <w:szCs w:val="20"/>
        </w:rPr>
        <w:t>入质量保证制度，接受以质量为中心的高校办学理念。</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
          <w:sz w:val="20"/>
          <w:szCs w:val="20"/>
        </w:rPr>
        <w:t xml:space="preserve">在高校建设高质量文化是一项长期而复杂的工作，需要  根据高校自身特点进行持续改进。而且质量文化建设需  紧紧围绕高校的办学目标，以保证质量文化的建设内容  </w:t>
      </w:r>
      <w:r>
        <w:rPr>
          <w:rFonts w:ascii="微软雅黑" w:hAnsi="微软雅黑" w:eastAsia="微软雅黑" w:cs="微软雅黑"/>
          <w:color w:val="231F20"/>
          <w:spacing w:val="-2"/>
          <w:sz w:val="20"/>
          <w:szCs w:val="20"/>
        </w:rPr>
        <w:t>符合高校发展并且能够为师生所接受</w:t>
      </w:r>
      <w:r>
        <w:rPr>
          <w:rFonts w:ascii="微软雅黑" w:hAnsi="微软雅黑" w:eastAsia="微软雅黑" w:cs="微软雅黑"/>
          <w:color w:val="231F20"/>
          <w:spacing w:val="-2"/>
          <w:position w:val="9"/>
          <w:sz w:val="11"/>
          <w:szCs w:val="11"/>
        </w:rPr>
        <w:t>［2］</w:t>
      </w:r>
      <w:r>
        <w:rPr>
          <w:rFonts w:ascii="微软雅黑" w:hAnsi="微软雅黑" w:eastAsia="微软雅黑" w:cs="微软雅黑"/>
          <w:color w:val="231F20"/>
          <w:spacing w:val="-2"/>
          <w:sz w:val="20"/>
          <w:szCs w:val="20"/>
        </w:rPr>
        <w:t>。</w:t>
      </w:r>
    </w:p>
    <w:p>
      <w:pPr>
        <w:spacing w:before="194" w:line="202" w:lineRule="auto"/>
        <w:ind w:left="6127"/>
        <w:rPr>
          <w:rFonts w:ascii="微软雅黑" w:hAnsi="微软雅黑" w:eastAsia="微软雅黑" w:cs="微软雅黑"/>
          <w:sz w:val="19"/>
          <w:szCs w:val="19"/>
        </w:rPr>
      </w:pPr>
      <w:r>
        <w:rPr>
          <w:rFonts w:ascii="微软雅黑" w:hAnsi="微软雅黑" w:eastAsia="微软雅黑" w:cs="微软雅黑"/>
          <w:color w:val="231F20"/>
          <w:spacing w:val="-7"/>
          <w:sz w:val="19"/>
          <w:szCs w:val="19"/>
        </w:rPr>
        <w:t>参考文献：</w:t>
      </w:r>
    </w:p>
    <w:p>
      <w:pPr>
        <w:spacing w:before="116" w:line="184" w:lineRule="auto"/>
        <w:ind w:left="6507" w:right="1305" w:hanging="390"/>
        <w:rPr>
          <w:rFonts w:ascii="微软雅黑" w:hAnsi="微软雅黑" w:eastAsia="微软雅黑" w:cs="微软雅黑"/>
          <w:sz w:val="15"/>
          <w:szCs w:val="15"/>
        </w:rPr>
      </w:pPr>
      <w:r>
        <w:rPr>
          <w:rFonts w:ascii="微软雅黑" w:hAnsi="微软雅黑" w:eastAsia="微软雅黑" w:cs="微软雅黑"/>
          <w:color w:val="231F20"/>
          <w:spacing w:val="-1"/>
          <w:sz w:val="15"/>
          <w:szCs w:val="15"/>
        </w:rPr>
        <w:t>［1］叶敏.质量文化视角下完善高校内部质量保障体系的策略</w:t>
      </w:r>
      <w:r>
        <w:rPr>
          <w:rFonts w:ascii="微软雅黑" w:hAnsi="微软雅黑" w:eastAsia="微软雅黑" w:cs="微软雅黑"/>
          <w:color w:val="231F20"/>
          <w:spacing w:val="-2"/>
          <w:sz w:val="15"/>
          <w:szCs w:val="15"/>
        </w:rPr>
        <w:t>研究［D］</w:t>
      </w:r>
      <w:r>
        <w:rPr>
          <w:rFonts w:ascii="微软雅黑" w:hAnsi="微软雅黑" w:eastAsia="微软雅黑" w:cs="微软雅黑"/>
          <w:color w:val="231F20"/>
          <w:spacing w:val="39"/>
          <w:w w:val="101"/>
          <w:sz w:val="15"/>
          <w:szCs w:val="15"/>
        </w:rPr>
        <w:t xml:space="preserve"> </w:t>
      </w:r>
      <w:r>
        <w:rPr>
          <w:rFonts w:ascii="微软雅黑" w:hAnsi="微软雅黑" w:eastAsia="微软雅黑" w:cs="微软雅黑"/>
          <w:color w:val="231F20"/>
          <w:spacing w:val="-2"/>
          <w:sz w:val="15"/>
          <w:szCs w:val="15"/>
        </w:rPr>
        <w:t>.</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4"/>
          <w:sz w:val="15"/>
          <w:szCs w:val="15"/>
        </w:rPr>
        <w:t>南昌大学硕士论文，2014.</w:t>
      </w:r>
    </w:p>
    <w:p>
      <w:pPr>
        <w:spacing w:before="7" w:line="184" w:lineRule="auto"/>
        <w:ind w:left="6509" w:right="1305" w:hanging="392"/>
        <w:rPr>
          <w:rFonts w:ascii="微软雅黑" w:hAnsi="微软雅黑" w:eastAsia="微软雅黑" w:cs="微软雅黑"/>
          <w:sz w:val="15"/>
          <w:szCs w:val="15"/>
        </w:rPr>
      </w:pPr>
      <w:r>
        <w:rPr>
          <w:rFonts w:ascii="微软雅黑" w:hAnsi="微软雅黑" w:eastAsia="微软雅黑" w:cs="微软雅黑"/>
          <w:color w:val="231F20"/>
          <w:spacing w:val="-1"/>
          <w:sz w:val="15"/>
          <w:szCs w:val="15"/>
        </w:rPr>
        <w:t>［2］龙雯雯.高等学校质量文化建设策略研究［D］</w:t>
      </w:r>
      <w:r>
        <w:rPr>
          <w:rFonts w:ascii="微软雅黑" w:hAnsi="微软雅黑" w:eastAsia="微软雅黑" w:cs="微软雅黑"/>
          <w:color w:val="231F20"/>
          <w:spacing w:val="39"/>
          <w:w w:val="101"/>
          <w:sz w:val="15"/>
          <w:szCs w:val="15"/>
        </w:rPr>
        <w:t xml:space="preserve"> </w:t>
      </w:r>
      <w:r>
        <w:rPr>
          <w:rFonts w:ascii="微软雅黑" w:hAnsi="微软雅黑" w:eastAsia="微软雅黑" w:cs="微软雅黑"/>
          <w:color w:val="231F20"/>
          <w:spacing w:val="-1"/>
          <w:sz w:val="15"/>
          <w:szCs w:val="15"/>
        </w:rPr>
        <w:t>.中南民</w:t>
      </w:r>
      <w:r>
        <w:rPr>
          <w:rFonts w:ascii="微软雅黑" w:hAnsi="微软雅黑" w:eastAsia="微软雅黑" w:cs="微软雅黑"/>
          <w:color w:val="231F20"/>
          <w:spacing w:val="-2"/>
          <w:sz w:val="15"/>
          <w:szCs w:val="15"/>
        </w:rPr>
        <w:t>族大学硕士论</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9"/>
          <w:sz w:val="15"/>
          <w:szCs w:val="15"/>
        </w:rPr>
        <w:t>文，2012.</w:t>
      </w:r>
    </w:p>
    <w:p>
      <w:pPr>
        <w:spacing w:before="5" w:line="182" w:lineRule="auto"/>
        <w:ind w:left="6508" w:right="1302" w:hanging="391"/>
        <w:rPr>
          <w:rFonts w:ascii="微软雅黑" w:hAnsi="微软雅黑" w:eastAsia="微软雅黑" w:cs="微软雅黑"/>
          <w:sz w:val="15"/>
          <w:szCs w:val="15"/>
        </w:rPr>
      </w:pPr>
      <w:r>
        <w:rPr>
          <w:rFonts w:ascii="微软雅黑" w:hAnsi="微软雅黑" w:eastAsia="微软雅黑" w:cs="微软雅黑"/>
          <w:color w:val="231F20"/>
          <w:spacing w:val="3"/>
          <w:sz w:val="15"/>
          <w:szCs w:val="15"/>
        </w:rPr>
        <w:t>［3］罗儒国，王姗姗.高校质量文化建设的误区与出路［J］.现代教育管</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7"/>
          <w:sz w:val="15"/>
          <w:szCs w:val="15"/>
        </w:rPr>
        <w:t>理，2013（10</w:t>
      </w:r>
      <w:r>
        <w:rPr>
          <w:rFonts w:ascii="微软雅黑" w:hAnsi="微软雅黑" w:eastAsia="微软雅黑" w:cs="微软雅黑"/>
          <w:color w:val="231F20"/>
          <w:spacing w:val="-9"/>
          <w:sz w:val="15"/>
          <w:szCs w:val="15"/>
        </w:rPr>
        <w:t>）：</w:t>
      </w:r>
      <w:r>
        <w:rPr>
          <w:rFonts w:ascii="微软雅黑" w:hAnsi="微软雅黑" w:eastAsia="微软雅黑" w:cs="微软雅黑"/>
          <w:color w:val="231F20"/>
          <w:spacing w:val="-7"/>
          <w:sz w:val="15"/>
          <w:szCs w:val="15"/>
        </w:rPr>
        <w:t>30-36.</w:t>
      </w:r>
    </w:p>
    <w:p>
      <w:pPr>
        <w:spacing w:before="8" w:line="188" w:lineRule="auto"/>
        <w:ind w:left="6117" w:right="1302"/>
        <w:rPr>
          <w:rFonts w:ascii="微软雅黑" w:hAnsi="微软雅黑" w:eastAsia="微软雅黑" w:cs="微软雅黑"/>
          <w:sz w:val="15"/>
          <w:szCs w:val="15"/>
        </w:rPr>
      </w:pPr>
      <w:r>
        <w:rPr>
          <w:rFonts w:ascii="微软雅黑" w:hAnsi="微软雅黑" w:eastAsia="微软雅黑" w:cs="微软雅黑"/>
          <w:color w:val="231F20"/>
          <w:spacing w:val="-11"/>
          <w:sz w:val="15"/>
          <w:szCs w:val="15"/>
        </w:rPr>
        <w:t>［4］吴颖珊.高等教育质量文化建设研究［D］</w:t>
      </w:r>
      <w:r>
        <w:rPr>
          <w:rFonts w:ascii="微软雅黑" w:hAnsi="微软雅黑" w:eastAsia="微软雅黑" w:cs="微软雅黑"/>
          <w:color w:val="231F20"/>
          <w:spacing w:val="42"/>
          <w:sz w:val="15"/>
          <w:szCs w:val="15"/>
        </w:rPr>
        <w:t xml:space="preserve"> </w:t>
      </w:r>
      <w:r>
        <w:rPr>
          <w:rFonts w:ascii="微软雅黑" w:hAnsi="微软雅黑" w:eastAsia="微软雅黑" w:cs="微软雅黑"/>
          <w:color w:val="231F20"/>
          <w:spacing w:val="-11"/>
          <w:sz w:val="15"/>
          <w:szCs w:val="15"/>
        </w:rPr>
        <w:t>.浙江工业大学硕士论文，2012.</w:t>
      </w:r>
      <w:r>
        <w:rPr>
          <w:rFonts w:ascii="微软雅黑" w:hAnsi="微软雅黑" w:eastAsia="微软雅黑" w:cs="微软雅黑"/>
          <w:color w:val="231F20"/>
          <w:sz w:val="15"/>
          <w:szCs w:val="15"/>
        </w:rPr>
        <w:t xml:space="preserve"> </w:t>
      </w:r>
      <w:r>
        <w:rPr>
          <w:rFonts w:ascii="微软雅黑" w:hAnsi="微软雅黑" w:eastAsia="微软雅黑" w:cs="微软雅黑"/>
          <w:color w:val="231F20"/>
          <w:spacing w:val="3"/>
          <w:sz w:val="15"/>
          <w:szCs w:val="15"/>
        </w:rPr>
        <w:t>［5］俞国锋.质量文化：地方高校大学文化建设的重点［J］.安徽工业大</w:t>
      </w:r>
    </w:p>
    <w:p>
      <w:pPr>
        <w:spacing w:before="1" w:line="175" w:lineRule="auto"/>
        <w:ind w:left="6509"/>
        <w:rPr>
          <w:rFonts w:ascii="微软雅黑" w:hAnsi="微软雅黑" w:eastAsia="微软雅黑" w:cs="微软雅黑"/>
          <w:sz w:val="15"/>
          <w:szCs w:val="15"/>
        </w:rPr>
      </w:pPr>
      <w:r>
        <w:rPr>
          <w:rFonts w:ascii="微软雅黑" w:hAnsi="微软雅黑" w:eastAsia="微软雅黑" w:cs="微软雅黑"/>
          <w:color w:val="231F20"/>
          <w:spacing w:val="-7"/>
          <w:sz w:val="15"/>
          <w:szCs w:val="15"/>
        </w:rPr>
        <w:t>学学报：社会科学版，2013（1</w:t>
      </w:r>
      <w:r>
        <w:rPr>
          <w:rFonts w:ascii="微软雅黑" w:hAnsi="微软雅黑" w:eastAsia="微软雅黑" w:cs="微软雅黑"/>
          <w:color w:val="231F20"/>
          <w:spacing w:val="-2"/>
          <w:sz w:val="15"/>
          <w:szCs w:val="15"/>
        </w:rPr>
        <w:t>）：</w:t>
      </w:r>
      <w:r>
        <w:rPr>
          <w:rFonts w:ascii="微软雅黑" w:hAnsi="微软雅黑" w:eastAsia="微软雅黑" w:cs="微软雅黑"/>
          <w:color w:val="231F20"/>
          <w:spacing w:val="-7"/>
          <w:sz w:val="15"/>
          <w:szCs w:val="15"/>
        </w:rPr>
        <w:t>123-124+137.</w:t>
      </w:r>
    </w:p>
    <w:p>
      <w:pPr>
        <w:spacing w:before="10" w:line="177" w:lineRule="auto"/>
        <w:ind w:left="6117"/>
        <w:rPr>
          <w:rFonts w:ascii="微软雅黑" w:hAnsi="微软雅黑" w:eastAsia="微软雅黑" w:cs="微软雅黑"/>
          <w:sz w:val="15"/>
          <w:szCs w:val="15"/>
        </w:rPr>
      </w:pPr>
      <w:r>
        <w:rPr>
          <w:rFonts w:ascii="微软雅黑" w:hAnsi="微软雅黑" w:eastAsia="微软雅黑" w:cs="微软雅黑"/>
          <w:color w:val="231F20"/>
          <w:spacing w:val="3"/>
          <w:sz w:val="15"/>
          <w:szCs w:val="15"/>
        </w:rPr>
        <w:t>［6］安心，张鹏.构建内生型和外发内生型高等教育质量文化［J］.中国</w:t>
      </w:r>
    </w:p>
    <w:p>
      <w:pPr>
        <w:spacing w:before="11" w:line="176" w:lineRule="auto"/>
        <w:ind w:left="6511"/>
        <w:rPr>
          <w:rFonts w:ascii="微软雅黑" w:hAnsi="微软雅黑" w:eastAsia="微软雅黑" w:cs="微软雅黑"/>
          <w:sz w:val="15"/>
          <w:szCs w:val="15"/>
        </w:rPr>
      </w:pPr>
      <w:r>
        <w:rPr>
          <w:rFonts w:ascii="微软雅黑" w:hAnsi="微软雅黑" w:eastAsia="微软雅黑" w:cs="微软雅黑"/>
          <w:color w:val="231F20"/>
          <w:spacing w:val="-6"/>
          <w:sz w:val="15"/>
          <w:szCs w:val="15"/>
        </w:rPr>
        <w:t>高等教育，2012（12</w:t>
      </w:r>
      <w:r>
        <w:rPr>
          <w:rFonts w:ascii="微软雅黑" w:hAnsi="微软雅黑" w:eastAsia="微软雅黑" w:cs="微软雅黑"/>
          <w:color w:val="231F20"/>
          <w:spacing w:val="-5"/>
          <w:sz w:val="15"/>
          <w:szCs w:val="15"/>
        </w:rPr>
        <w:t>）：</w:t>
      </w:r>
      <w:r>
        <w:rPr>
          <w:rFonts w:ascii="微软雅黑" w:hAnsi="微软雅黑" w:eastAsia="微软雅黑" w:cs="微软雅黑"/>
          <w:color w:val="231F20"/>
          <w:spacing w:val="-6"/>
          <w:sz w:val="15"/>
          <w:szCs w:val="15"/>
        </w:rPr>
        <w:t>42-43.</w:t>
      </w:r>
    </w:p>
    <w:p>
      <w:pPr>
        <w:pStyle w:val="2"/>
        <w:spacing w:before="128" w:line="234" w:lineRule="auto"/>
        <w:ind w:left="9220"/>
        <w:rPr>
          <w:sz w:val="19"/>
          <w:szCs w:val="19"/>
        </w:rPr>
      </w:pPr>
      <w:r>
        <w:rPr>
          <w:color w:val="231F20"/>
          <w:spacing w:val="1"/>
          <w:sz w:val="19"/>
          <w:szCs w:val="19"/>
        </w:rPr>
        <w:t>（责任编辑：董维）</w:t>
      </w:r>
    </w:p>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99" w:line="197" w:lineRule="exact"/>
        <w:ind w:left="1017"/>
        <w:rPr>
          <w:rFonts w:ascii="Arial" w:hAnsi="Arial" w:eastAsia="Arial" w:cs="Arial"/>
          <w:sz w:val="34"/>
          <w:szCs w:val="34"/>
        </w:rPr>
      </w:pPr>
      <w:r>
        <w:drawing>
          <wp:anchor distT="0" distB="0" distL="0" distR="0" simplePos="0" relativeHeight="251689984" behindDoc="1" locked="0" layoutInCell="1" allowOverlap="1">
            <wp:simplePos x="0" y="0"/>
            <wp:positionH relativeFrom="column">
              <wp:posOffset>645795</wp:posOffset>
            </wp:positionH>
            <wp:positionV relativeFrom="paragraph">
              <wp:posOffset>104140</wp:posOffset>
            </wp:positionV>
            <wp:extent cx="351790" cy="635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0"/>
                    <a:stretch>
                      <a:fillRect/>
                    </a:stretch>
                  </pic:blipFill>
                  <pic:spPr>
                    <a:xfrm>
                      <a:off x="0" y="0"/>
                      <a:ext cx="351993" cy="6350"/>
                    </a:xfrm>
                    <a:prstGeom prst="rect">
                      <a:avLst/>
                    </a:prstGeom>
                  </pic:spPr>
                </pic:pic>
              </a:graphicData>
            </a:graphic>
          </wp:anchor>
        </w:drawing>
      </w:r>
      <w:r>
        <w:rPr>
          <w:rFonts w:ascii="Arial" w:hAnsi="Arial" w:eastAsia="Arial" w:cs="Arial"/>
          <w:color w:val="231F20"/>
          <w:spacing w:val="-4"/>
          <w:position w:val="-1"/>
          <w:sz w:val="34"/>
          <w:szCs w:val="34"/>
        </w:rPr>
        <w:t>-</w:t>
      </w:r>
      <w:r>
        <w:rPr>
          <w:rFonts w:ascii="Arial" w:hAnsi="Arial" w:eastAsia="Arial" w:cs="Arial"/>
          <w:color w:val="231F20"/>
          <w:spacing w:val="-51"/>
          <w:position w:val="-1"/>
          <w:sz w:val="34"/>
          <w:szCs w:val="34"/>
        </w:rPr>
        <w:t xml:space="preserve"> </w:t>
      </w:r>
      <w:r>
        <w:rPr>
          <w:rFonts w:ascii="Times New Roman" w:hAnsi="Times New Roman" w:eastAsia="Times New Roman" w:cs="Times New Roman"/>
          <w:color w:val="231F20"/>
          <w:spacing w:val="-4"/>
          <w:sz w:val="17"/>
          <w:szCs w:val="17"/>
        </w:rPr>
        <w:t>130</w:t>
      </w:r>
      <w:r>
        <w:rPr>
          <w:rFonts w:ascii="Times New Roman" w:hAnsi="Times New Roman" w:eastAsia="Times New Roman" w:cs="Times New Roman"/>
          <w:color w:val="231F20"/>
          <w:spacing w:val="6"/>
          <w:sz w:val="17"/>
          <w:szCs w:val="17"/>
        </w:rPr>
        <w:t xml:space="preserve"> </w:t>
      </w:r>
      <w:r>
        <w:rPr>
          <w:rFonts w:ascii="Arial" w:hAnsi="Arial" w:eastAsia="Arial" w:cs="Arial"/>
          <w:color w:val="231F20"/>
          <w:spacing w:val="-4"/>
          <w:position w:val="-1"/>
          <w:sz w:val="34"/>
          <w:szCs w:val="34"/>
        </w:rPr>
        <w:t>-</w:t>
      </w:r>
    </w:p>
    <w:p>
      <w:pPr>
        <w:spacing w:before="249" w:line="202" w:lineRule="auto"/>
        <w:ind w:left="405"/>
        <w:rPr>
          <w:rFonts w:ascii="Arial" w:hAnsi="Arial" w:eastAsia="Arial" w:cs="Arial"/>
          <w:sz w:val="19"/>
          <w:szCs w:val="19"/>
        </w:rPr>
      </w:pPr>
      <w:r>
        <w:rPr>
          <w:rFonts w:ascii="Arial" w:hAnsi="Arial" w:eastAsia="Arial" w:cs="Arial"/>
          <w:color w:val="B2B2B2"/>
          <w:spacing w:val="13"/>
          <w:sz w:val="19"/>
          <w:szCs w:val="19"/>
        </w:rPr>
        <w:t>(c)1994-2023</w:t>
      </w:r>
      <w:r>
        <w:rPr>
          <w:rFonts w:ascii="Arial" w:hAnsi="Arial" w:eastAsia="Arial" w:cs="Arial"/>
          <w:color w:val="B2B2B2"/>
          <w:spacing w:val="23"/>
          <w:w w:val="101"/>
          <w:sz w:val="19"/>
          <w:szCs w:val="19"/>
        </w:rPr>
        <w:t xml:space="preserve"> </w:t>
      </w:r>
      <w:r>
        <w:rPr>
          <w:rFonts w:ascii="Arial" w:hAnsi="Arial" w:eastAsia="Arial" w:cs="Arial"/>
          <w:color w:val="B2B2B2"/>
          <w:sz w:val="19"/>
          <w:szCs w:val="19"/>
        </w:rPr>
        <w:t>china</w:t>
      </w:r>
      <w:r>
        <w:rPr>
          <w:rFonts w:ascii="Arial" w:hAnsi="Arial" w:eastAsia="Arial" w:cs="Arial"/>
          <w:color w:val="B2B2B2"/>
          <w:spacing w:val="13"/>
          <w:sz w:val="19"/>
          <w:szCs w:val="19"/>
        </w:rPr>
        <w:t xml:space="preserve"> </w:t>
      </w:r>
      <w:r>
        <w:rPr>
          <w:rFonts w:ascii="Arial" w:hAnsi="Arial" w:eastAsia="Arial" w:cs="Arial"/>
          <w:color w:val="B2B2B2"/>
          <w:sz w:val="19"/>
          <w:szCs w:val="19"/>
        </w:rPr>
        <w:t>Academic</w:t>
      </w:r>
      <w:r>
        <w:rPr>
          <w:rFonts w:ascii="Arial" w:hAnsi="Arial" w:eastAsia="Arial" w:cs="Arial"/>
          <w:color w:val="B2B2B2"/>
          <w:spacing w:val="13"/>
          <w:sz w:val="19"/>
          <w:szCs w:val="19"/>
        </w:rPr>
        <w:t xml:space="preserve"> </w:t>
      </w:r>
      <w:r>
        <w:rPr>
          <w:rFonts w:ascii="Arial" w:hAnsi="Arial" w:eastAsia="Arial" w:cs="Arial"/>
          <w:color w:val="B2B2B2"/>
          <w:sz w:val="19"/>
          <w:szCs w:val="19"/>
        </w:rPr>
        <w:t>Journal</w:t>
      </w:r>
      <w:r>
        <w:rPr>
          <w:rFonts w:ascii="Arial" w:hAnsi="Arial" w:eastAsia="Arial" w:cs="Arial"/>
          <w:color w:val="B2B2B2"/>
          <w:spacing w:val="13"/>
          <w:sz w:val="19"/>
          <w:szCs w:val="19"/>
        </w:rPr>
        <w:t xml:space="preserve"> </w:t>
      </w:r>
      <w:r>
        <w:rPr>
          <w:rFonts w:ascii="Arial" w:hAnsi="Arial" w:eastAsia="Arial" w:cs="Arial"/>
          <w:color w:val="B2B2B2"/>
          <w:sz w:val="19"/>
          <w:szCs w:val="19"/>
        </w:rPr>
        <w:t>Electronic</w:t>
      </w:r>
      <w:r>
        <w:rPr>
          <w:rFonts w:ascii="Arial" w:hAnsi="Arial" w:eastAsia="Arial" w:cs="Arial"/>
          <w:color w:val="B2B2B2"/>
          <w:spacing w:val="13"/>
          <w:sz w:val="19"/>
          <w:szCs w:val="19"/>
        </w:rPr>
        <w:t xml:space="preserve"> </w:t>
      </w:r>
      <w:r>
        <w:rPr>
          <w:rFonts w:ascii="Arial" w:hAnsi="Arial" w:eastAsia="Arial" w:cs="Arial"/>
          <w:color w:val="B2B2B2"/>
          <w:sz w:val="19"/>
          <w:szCs w:val="19"/>
        </w:rPr>
        <w:t>publishing</w:t>
      </w:r>
      <w:r>
        <w:rPr>
          <w:rFonts w:ascii="Arial" w:hAnsi="Arial" w:eastAsia="Arial" w:cs="Arial"/>
          <w:color w:val="B2B2B2"/>
          <w:spacing w:val="13"/>
          <w:sz w:val="19"/>
          <w:szCs w:val="19"/>
        </w:rPr>
        <w:t xml:space="preserve"> </w:t>
      </w:r>
      <w:r>
        <w:rPr>
          <w:rFonts w:ascii="Arial" w:hAnsi="Arial" w:eastAsia="Arial" w:cs="Arial"/>
          <w:color w:val="B2B2B2"/>
          <w:sz w:val="19"/>
          <w:szCs w:val="19"/>
        </w:rPr>
        <w:t>House</w:t>
      </w:r>
      <w:r>
        <w:rPr>
          <w:rFonts w:ascii="Arial" w:hAnsi="Arial" w:eastAsia="Arial" w:cs="Arial"/>
          <w:color w:val="B2B2B2"/>
          <w:spacing w:val="13"/>
          <w:sz w:val="19"/>
          <w:szCs w:val="19"/>
        </w:rPr>
        <w:t xml:space="preserve">. </w:t>
      </w:r>
      <w:r>
        <w:rPr>
          <w:rFonts w:ascii="Arial" w:hAnsi="Arial" w:eastAsia="Arial" w:cs="Arial"/>
          <w:color w:val="B2B2B2"/>
          <w:sz w:val="19"/>
          <w:szCs w:val="19"/>
        </w:rPr>
        <w:t>All</w:t>
      </w:r>
      <w:r>
        <w:rPr>
          <w:rFonts w:ascii="Arial" w:hAnsi="Arial" w:eastAsia="Arial" w:cs="Arial"/>
          <w:color w:val="B2B2B2"/>
          <w:spacing w:val="13"/>
          <w:sz w:val="19"/>
          <w:szCs w:val="19"/>
        </w:rPr>
        <w:t xml:space="preserve"> </w:t>
      </w:r>
      <w:r>
        <w:rPr>
          <w:rFonts w:ascii="Arial" w:hAnsi="Arial" w:eastAsia="Arial" w:cs="Arial"/>
          <w:color w:val="B2B2B2"/>
          <w:sz w:val="19"/>
          <w:szCs w:val="19"/>
        </w:rPr>
        <w:t>rights</w:t>
      </w:r>
      <w:r>
        <w:rPr>
          <w:rFonts w:ascii="Arial" w:hAnsi="Arial" w:eastAsia="Arial" w:cs="Arial"/>
          <w:color w:val="B2B2B2"/>
          <w:spacing w:val="13"/>
          <w:sz w:val="19"/>
          <w:szCs w:val="19"/>
        </w:rPr>
        <w:t xml:space="preserve"> </w:t>
      </w:r>
      <w:r>
        <w:rPr>
          <w:rFonts w:ascii="Arial" w:hAnsi="Arial" w:eastAsia="Arial" w:cs="Arial"/>
          <w:color w:val="B2B2B2"/>
          <w:sz w:val="19"/>
          <w:szCs w:val="19"/>
        </w:rPr>
        <w:t>reserved</w:t>
      </w:r>
      <w:r>
        <w:rPr>
          <w:rFonts w:ascii="Arial" w:hAnsi="Arial" w:eastAsia="Arial" w:cs="Arial"/>
          <w:color w:val="B2B2B2"/>
          <w:spacing w:val="13"/>
          <w:sz w:val="19"/>
          <w:szCs w:val="19"/>
        </w:rPr>
        <w:t xml:space="preserve">.    </w:t>
      </w:r>
      <w:r>
        <w:rPr>
          <w:rFonts w:ascii="Arial" w:hAnsi="Arial" w:eastAsia="Arial" w:cs="Arial"/>
          <w:color w:val="B2B2B2"/>
          <w:sz w:val="19"/>
          <w:szCs w:val="19"/>
        </w:rPr>
        <w:t>http</w:t>
      </w:r>
      <w:r>
        <w:rPr>
          <w:rFonts w:ascii="Arial" w:hAnsi="Arial" w:eastAsia="Arial" w:cs="Arial"/>
          <w:color w:val="B2B2B2"/>
          <w:spacing w:val="13"/>
          <w:sz w:val="19"/>
          <w:szCs w:val="19"/>
        </w:rPr>
        <w:t>://</w:t>
      </w:r>
      <w:r>
        <w:rPr>
          <w:rFonts w:ascii="Arial" w:hAnsi="Arial" w:eastAsia="Arial" w:cs="Arial"/>
          <w:color w:val="B2B2B2"/>
          <w:sz w:val="19"/>
          <w:szCs w:val="19"/>
        </w:rPr>
        <w:t>www</w:t>
      </w:r>
      <w:r>
        <w:rPr>
          <w:rFonts w:ascii="Arial" w:hAnsi="Arial" w:eastAsia="Arial" w:cs="Arial"/>
          <w:color w:val="B2B2B2"/>
          <w:spacing w:val="13"/>
          <w:sz w:val="19"/>
          <w:szCs w:val="19"/>
        </w:rPr>
        <w:t>.</w:t>
      </w:r>
      <w:r>
        <w:rPr>
          <w:rFonts w:ascii="Arial" w:hAnsi="Arial" w:eastAsia="Arial" w:cs="Arial"/>
          <w:color w:val="B2B2B2"/>
          <w:sz w:val="19"/>
          <w:szCs w:val="19"/>
        </w:rPr>
        <w:t>cnki</w:t>
      </w:r>
      <w:r>
        <w:rPr>
          <w:rFonts w:ascii="Arial" w:hAnsi="Arial" w:eastAsia="Arial" w:cs="Arial"/>
          <w:color w:val="B2B2B2"/>
          <w:spacing w:val="13"/>
          <w:sz w:val="19"/>
          <w:szCs w:val="19"/>
        </w:rPr>
        <w:t>.</w:t>
      </w:r>
      <w:r>
        <w:rPr>
          <w:rFonts w:ascii="Arial" w:hAnsi="Arial" w:eastAsia="Arial" w:cs="Arial"/>
          <w:color w:val="B2B2B2"/>
          <w:sz w:val="19"/>
          <w:szCs w:val="19"/>
        </w:rPr>
        <w:t>net</w:t>
      </w:r>
    </w:p>
    <w:p>
      <w:pPr>
        <w:spacing w:line="202" w:lineRule="auto"/>
        <w:rPr>
          <w:rFonts w:ascii="Arial" w:hAnsi="Arial" w:eastAsia="Arial" w:cs="Arial"/>
          <w:sz w:val="19"/>
          <w:szCs w:val="19"/>
        </w:rPr>
        <w:sectPr>
          <w:headerReference r:id="rId48" w:type="default"/>
          <w:footerReference r:id="rId49" w:type="default"/>
          <w:pgSz w:w="12246" w:h="17179"/>
          <w:pgMar w:top="400" w:right="0" w:bottom="354" w:left="2" w:header="0" w:footer="0" w:gutter="0"/>
          <w:cols w:space="720" w:num="1"/>
        </w:sectPr>
      </w:pPr>
    </w:p>
    <w:p>
      <w:pPr>
        <w:spacing w:line="264" w:lineRule="auto"/>
        <w:rPr>
          <w:rFonts w:ascii="Arial"/>
          <w:sz w:val="21"/>
        </w:rPr>
      </w:pPr>
      <w:r>
        <w:pict>
          <v:shape id="_x0000_s1052" o:spid="_x0000_s1052" style="position:absolute;left:0pt;margin-left:66.5pt;margin-top:708.3pt;height:0.35pt;width:115.5pt;mso-position-horizontal-relative:page;mso-position-vertical-relative:page;z-index:251696128;mso-width-relative:page;mso-height-relative:page;" filled="f" stroked="t" coordsize="2310,6" o:allowincell="f" path="m0,3l2310,3e">
            <v:fill on="f" focussize="0,0"/>
            <v:stroke weight="0.33pt" color="#000000" miterlimit="10" joinstyle="miter"/>
            <v:imagedata o:title=""/>
            <o:lock v:ext="edit"/>
          </v:shape>
        </w:pic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127" w:line="209" w:lineRule="auto"/>
        <w:ind w:left="1379"/>
        <w:rPr>
          <w:rFonts w:ascii="宋体" w:hAnsi="宋体" w:eastAsia="宋体" w:cs="宋体"/>
          <w:sz w:val="39"/>
          <w:szCs w:val="39"/>
        </w:rPr>
      </w:pPr>
      <w:r>
        <w:rPr>
          <w:rFonts w:ascii="宋体" w:hAnsi="宋体" w:eastAsia="宋体" w:cs="宋体"/>
          <w:color w:val="0166B3"/>
          <w:spacing w:val="26"/>
          <w:sz w:val="39"/>
          <w:szCs w:val="39"/>
        </w:rPr>
        <w:t>教学学术视角下高校教学质量文化建设的思考</w:t>
      </w:r>
    </w:p>
    <w:p>
      <w:pPr>
        <w:spacing w:line="302" w:lineRule="auto"/>
        <w:rPr>
          <w:rFonts w:ascii="Arial"/>
          <w:sz w:val="21"/>
        </w:rPr>
      </w:pPr>
    </w:p>
    <w:p>
      <w:pPr>
        <w:spacing w:before="88" w:line="202" w:lineRule="auto"/>
        <w:ind w:left="5132"/>
        <w:rPr>
          <w:rFonts w:ascii="新宋体" w:hAnsi="新宋体" w:eastAsia="新宋体" w:cs="新宋体"/>
          <w:sz w:val="27"/>
          <w:szCs w:val="27"/>
        </w:rPr>
      </w:pPr>
      <w:r>
        <w:rPr>
          <w:rFonts w:ascii="新宋体" w:hAnsi="新宋体" w:eastAsia="新宋体" w:cs="新宋体"/>
          <w:spacing w:val="-3"/>
          <w:sz w:val="27"/>
          <w:szCs w:val="27"/>
        </w:rPr>
        <w:t>周</w:t>
      </w:r>
      <w:r>
        <w:rPr>
          <w:rFonts w:ascii="新宋体" w:hAnsi="新宋体" w:eastAsia="新宋体" w:cs="新宋体"/>
          <w:spacing w:val="18"/>
          <w:sz w:val="27"/>
          <w:szCs w:val="27"/>
        </w:rPr>
        <w:t xml:space="preserve">  </w:t>
      </w:r>
      <w:r>
        <w:rPr>
          <w:rFonts w:ascii="新宋体" w:hAnsi="新宋体" w:eastAsia="新宋体" w:cs="新宋体"/>
          <w:spacing w:val="-3"/>
          <w:sz w:val="27"/>
          <w:szCs w:val="27"/>
        </w:rPr>
        <w:t>波</w:t>
      </w:r>
    </w:p>
    <w:p>
      <w:pPr>
        <w:spacing w:line="291" w:lineRule="auto"/>
        <w:rPr>
          <w:rFonts w:ascii="Arial"/>
          <w:sz w:val="21"/>
        </w:rPr>
      </w:pPr>
    </w:p>
    <w:p>
      <w:pPr>
        <w:spacing w:before="86" w:line="189" w:lineRule="auto"/>
        <w:ind w:left="3250"/>
        <w:rPr>
          <w:rFonts w:ascii="宋体" w:hAnsi="宋体" w:eastAsia="宋体" w:cs="宋体"/>
          <w:sz w:val="20"/>
          <w:szCs w:val="20"/>
        </w:rPr>
      </w:pPr>
      <w:r>
        <w:rPr>
          <w:rFonts w:ascii="宋体" w:hAnsi="宋体" w:eastAsia="宋体" w:cs="宋体"/>
          <w:spacing w:val="-2"/>
          <w:sz w:val="20"/>
          <w:szCs w:val="20"/>
        </w:rPr>
        <w:t>(</w:t>
      </w:r>
      <w:r>
        <w:rPr>
          <w:rFonts w:ascii="宋体" w:hAnsi="宋体" w:eastAsia="宋体" w:cs="宋体"/>
          <w:spacing w:val="-39"/>
          <w:sz w:val="20"/>
          <w:szCs w:val="20"/>
        </w:rPr>
        <w:t xml:space="preserve"> </w:t>
      </w:r>
      <w:r>
        <w:rPr>
          <w:rFonts w:ascii="宋体" w:hAnsi="宋体" w:eastAsia="宋体" w:cs="宋体"/>
          <w:spacing w:val="-2"/>
          <w:sz w:val="20"/>
          <w:szCs w:val="20"/>
        </w:rPr>
        <w:t>四川文理学院教师教育学院，四川</w:t>
      </w:r>
      <w:r>
        <w:rPr>
          <w:rFonts w:ascii="宋体" w:hAnsi="宋体" w:eastAsia="宋体" w:cs="宋体"/>
          <w:spacing w:val="-19"/>
          <w:sz w:val="20"/>
          <w:szCs w:val="20"/>
        </w:rPr>
        <w:t xml:space="preserve"> </w:t>
      </w:r>
      <w:r>
        <w:rPr>
          <w:rFonts w:ascii="宋体" w:hAnsi="宋体" w:eastAsia="宋体" w:cs="宋体"/>
          <w:spacing w:val="-2"/>
          <w:sz w:val="20"/>
          <w:szCs w:val="20"/>
        </w:rPr>
        <w:t xml:space="preserve">达州  </w:t>
      </w:r>
      <w:r>
        <w:rPr>
          <w:rFonts w:ascii="微软雅黑" w:hAnsi="微软雅黑" w:eastAsia="微软雅黑" w:cs="微软雅黑"/>
          <w:spacing w:val="-2"/>
          <w:sz w:val="20"/>
          <w:szCs w:val="20"/>
        </w:rPr>
        <w:t>635000</w:t>
      </w:r>
      <w:r>
        <w:rPr>
          <w:rFonts w:ascii="宋体" w:hAnsi="宋体" w:eastAsia="宋体" w:cs="宋体"/>
          <w:spacing w:val="-2"/>
          <w:sz w:val="20"/>
          <w:szCs w:val="20"/>
        </w:rPr>
        <w:t>)</w:t>
      </w:r>
    </w:p>
    <w:p>
      <w:pPr>
        <w:spacing w:before="126"/>
      </w:pPr>
    </w:p>
    <w:tbl>
      <w:tblPr>
        <w:tblStyle w:val="5"/>
        <w:tblW w:w="9197" w:type="dxa"/>
        <w:tblInd w:w="947" w:type="dxa"/>
        <w:tblBorders>
          <w:top w:val="single" w:color="0166B3" w:sz="4" w:space="0"/>
          <w:left w:val="single" w:color="0166B3" w:sz="6" w:space="0"/>
          <w:bottom w:val="single" w:color="0166B3" w:sz="6" w:space="0"/>
          <w:right w:val="single" w:color="0166B3" w:sz="6" w:space="0"/>
          <w:insideH w:val="none" w:color="auto" w:sz="0" w:space="0"/>
          <w:insideV w:val="none" w:color="auto" w:sz="0" w:space="0"/>
        </w:tblBorders>
        <w:tblLayout w:type="fixed"/>
        <w:tblCellMar>
          <w:top w:w="0" w:type="dxa"/>
          <w:left w:w="0" w:type="dxa"/>
          <w:bottom w:w="0" w:type="dxa"/>
          <w:right w:w="0" w:type="dxa"/>
        </w:tblCellMar>
      </w:tblPr>
      <w:tblGrid>
        <w:gridCol w:w="9197"/>
      </w:tblGrid>
      <w:tr>
        <w:tblPrEx>
          <w:tblBorders>
            <w:top w:val="single" w:color="0166B3" w:sz="4" w:space="0"/>
            <w:left w:val="single" w:color="0166B3" w:sz="6" w:space="0"/>
            <w:bottom w:val="single" w:color="0166B3" w:sz="6" w:space="0"/>
            <w:right w:val="single" w:color="0166B3" w:sz="6" w:space="0"/>
            <w:insideH w:val="none" w:color="auto" w:sz="0" w:space="0"/>
            <w:insideV w:val="none" w:color="auto" w:sz="0" w:space="0"/>
          </w:tblBorders>
          <w:tblCellMar>
            <w:top w:w="0" w:type="dxa"/>
            <w:left w:w="0" w:type="dxa"/>
            <w:bottom w:w="0" w:type="dxa"/>
            <w:right w:w="0" w:type="dxa"/>
          </w:tblCellMar>
        </w:tblPrEx>
        <w:trPr>
          <w:trHeight w:val="7877" w:hRule="atLeast"/>
        </w:trPr>
        <w:tc>
          <w:tcPr>
            <w:tcW w:w="9197" w:type="dxa"/>
            <w:vAlign w:val="top"/>
          </w:tcPr>
          <w:p>
            <w:pPr>
              <w:spacing w:line="390" w:lineRule="auto"/>
              <w:rPr>
                <w:rFonts w:ascii="Arial"/>
                <w:sz w:val="21"/>
              </w:rPr>
            </w:pPr>
          </w:p>
          <w:p>
            <w:pPr>
              <w:pStyle w:val="6"/>
              <w:spacing w:before="56" w:line="262" w:lineRule="auto"/>
              <w:ind w:left="495" w:right="487" w:firstLine="359"/>
              <w:jc w:val="both"/>
            </w:pPr>
            <w:r>
              <w:rPr>
                <w:rFonts w:ascii="黑体" w:hAnsi="黑体" w:eastAsia="黑体" w:cs="黑体"/>
                <w:spacing w:val="8"/>
              </w:rPr>
              <w:t>摘要</w:t>
            </w:r>
            <w:r>
              <w:rPr>
                <w:rFonts w:ascii="黑体" w:hAnsi="黑体" w:eastAsia="黑体" w:cs="黑体"/>
                <w:spacing w:val="-42"/>
              </w:rPr>
              <w:t xml:space="preserve"> </w:t>
            </w:r>
            <w:r>
              <w:rPr>
                <w:rFonts w:ascii="黑体" w:hAnsi="黑体" w:eastAsia="黑体" w:cs="黑体"/>
                <w:spacing w:val="8"/>
              </w:rPr>
              <w:t>:</w:t>
            </w:r>
            <w:r>
              <w:rPr>
                <w:rFonts w:ascii="黑体" w:hAnsi="黑体" w:eastAsia="黑体" w:cs="黑体"/>
                <w:spacing w:val="-38"/>
              </w:rPr>
              <w:t xml:space="preserve"> </w:t>
            </w:r>
            <w:r>
              <w:rPr>
                <w:rFonts w:ascii="新宋体" w:hAnsi="新宋体" w:eastAsia="新宋体" w:cs="新宋体"/>
                <w:spacing w:val="8"/>
              </w:rPr>
              <w:t>建设高水平的教学质量文化是提升高等教育质量与人才培养质量的基石，是新时代建设高水平</w:t>
            </w:r>
            <w:r>
              <w:rPr>
                <w:rFonts w:ascii="新宋体" w:hAnsi="新宋体" w:eastAsia="新宋体" w:cs="新宋体"/>
              </w:rPr>
              <w:t xml:space="preserve"> </w:t>
            </w:r>
            <w:r>
              <w:rPr>
                <w:rFonts w:ascii="新宋体" w:hAnsi="新宋体" w:eastAsia="新宋体" w:cs="新宋体"/>
                <w:spacing w:val="8"/>
              </w:rPr>
              <w:t>大学的内在需求</w:t>
            </w:r>
            <w:r>
              <w:rPr>
                <w:spacing w:val="8"/>
              </w:rPr>
              <w:t>。</w:t>
            </w:r>
            <w:r>
              <w:rPr>
                <w:rFonts w:ascii="新宋体" w:hAnsi="新宋体" w:eastAsia="新宋体" w:cs="新宋体"/>
                <w:spacing w:val="8"/>
              </w:rPr>
              <w:t>教学学术作为一种全新的学术理论与范式，创造性地把教学纳入学术范畴，为化解教学</w:t>
            </w:r>
            <w:r>
              <w:rPr>
                <w:rFonts w:ascii="新宋体" w:hAnsi="新宋体" w:eastAsia="新宋体" w:cs="新宋体"/>
                <w:spacing w:val="9"/>
              </w:rPr>
              <w:t xml:space="preserve"> </w:t>
            </w:r>
            <w:r>
              <w:rPr>
                <w:rFonts w:ascii="新宋体" w:hAnsi="新宋体" w:eastAsia="新宋体" w:cs="新宋体"/>
                <w:spacing w:val="4"/>
              </w:rPr>
              <w:t>与科研之间的矛盾架起了</w:t>
            </w:r>
            <w:r>
              <w:rPr>
                <w:spacing w:val="4"/>
              </w:rPr>
              <w:t>“</w:t>
            </w:r>
            <w:r>
              <w:rPr>
                <w:rFonts w:ascii="新宋体" w:hAnsi="新宋体" w:eastAsia="新宋体" w:cs="新宋体"/>
                <w:spacing w:val="4"/>
              </w:rPr>
              <w:t>桥梁</w:t>
            </w:r>
            <w:r>
              <w:rPr>
                <w:spacing w:val="4"/>
              </w:rPr>
              <w:t>”</w:t>
            </w:r>
            <w:r>
              <w:rPr>
                <w:rFonts w:ascii="新宋体" w:hAnsi="新宋体" w:eastAsia="新宋体" w:cs="新宋体"/>
                <w:spacing w:val="4"/>
              </w:rPr>
              <w:t>，并丰富和拓宽了教学质量文化的内涵，使高校教学质量文化成为一种全</w:t>
            </w:r>
            <w:r>
              <w:rPr>
                <w:rFonts w:ascii="新宋体" w:hAnsi="新宋体" w:eastAsia="新宋体" w:cs="新宋体"/>
                <w:spacing w:val="18"/>
              </w:rPr>
              <w:t xml:space="preserve"> </w:t>
            </w:r>
            <w:r>
              <w:rPr>
                <w:rFonts w:ascii="新宋体" w:hAnsi="新宋体" w:eastAsia="新宋体" w:cs="新宋体"/>
                <w:spacing w:val="5"/>
              </w:rPr>
              <w:t>员性</w:t>
            </w:r>
            <w:r>
              <w:rPr>
                <w:spacing w:val="5"/>
              </w:rPr>
              <w:t>、</w:t>
            </w:r>
            <w:r>
              <w:rPr>
                <w:rFonts w:ascii="新宋体" w:hAnsi="新宋体" w:eastAsia="新宋体" w:cs="新宋体"/>
                <w:spacing w:val="5"/>
              </w:rPr>
              <w:t>自觉性</w:t>
            </w:r>
            <w:r>
              <w:rPr>
                <w:spacing w:val="5"/>
              </w:rPr>
              <w:t>、</w:t>
            </w:r>
            <w:r>
              <w:rPr>
                <w:rFonts w:ascii="新宋体" w:hAnsi="新宋体" w:eastAsia="新宋体" w:cs="新宋体"/>
                <w:spacing w:val="5"/>
              </w:rPr>
              <w:t>发展性和本源性文化</w:t>
            </w:r>
            <w:r>
              <w:rPr>
                <w:spacing w:val="5"/>
              </w:rPr>
              <w:t>。</w:t>
            </w:r>
            <w:r>
              <w:rPr>
                <w:rFonts w:ascii="新宋体" w:hAnsi="新宋体" w:eastAsia="新宋体" w:cs="新宋体"/>
                <w:spacing w:val="5"/>
              </w:rPr>
              <w:t>加强</w:t>
            </w:r>
            <w:r>
              <w:rPr>
                <w:rFonts w:ascii="新宋体" w:hAnsi="新宋体" w:eastAsia="新宋体" w:cs="新宋体"/>
                <w:spacing w:val="4"/>
              </w:rPr>
              <w:t>高校教学质量文化建设，应树立教学学术理念</w:t>
            </w:r>
            <w:r>
              <w:rPr>
                <w:spacing w:val="4"/>
              </w:rPr>
              <w:t>、</w:t>
            </w:r>
            <w:r>
              <w:rPr>
                <w:rFonts w:ascii="新宋体" w:hAnsi="新宋体" w:eastAsia="新宋体" w:cs="新宋体"/>
                <w:spacing w:val="4"/>
              </w:rPr>
              <w:t>健全教学学术管</w:t>
            </w:r>
            <w:r>
              <w:rPr>
                <w:rFonts w:ascii="新宋体" w:hAnsi="新宋体" w:eastAsia="新宋体" w:cs="新宋体"/>
              </w:rPr>
              <w:t xml:space="preserve"> </w:t>
            </w:r>
            <w:r>
              <w:rPr>
                <w:rFonts w:ascii="新宋体" w:hAnsi="新宋体" w:eastAsia="新宋体" w:cs="新宋体"/>
                <w:spacing w:val="3"/>
              </w:rPr>
              <w:t>理机制</w:t>
            </w:r>
            <w:r>
              <w:rPr>
                <w:spacing w:val="3"/>
              </w:rPr>
              <w:t>、</w:t>
            </w:r>
            <w:r>
              <w:rPr>
                <w:rFonts w:ascii="新宋体" w:hAnsi="新宋体" w:eastAsia="新宋体" w:cs="新宋体"/>
                <w:spacing w:val="3"/>
              </w:rPr>
              <w:t>开展教学学术活动，以引领和促进高校教学高质量发展</w:t>
            </w:r>
            <w:r>
              <w:rPr>
                <w:spacing w:val="3"/>
              </w:rPr>
              <w:t>。</w:t>
            </w:r>
          </w:p>
          <w:p>
            <w:pPr>
              <w:spacing w:before="96" w:line="217" w:lineRule="auto"/>
              <w:ind w:left="862"/>
              <w:rPr>
                <w:rFonts w:ascii="新宋体" w:hAnsi="新宋体" w:eastAsia="新宋体" w:cs="新宋体"/>
                <w:sz w:val="17"/>
                <w:szCs w:val="17"/>
              </w:rPr>
            </w:pPr>
            <w:r>
              <w:rPr>
                <w:rFonts w:ascii="黑体" w:hAnsi="黑体" w:eastAsia="黑体" w:cs="黑体"/>
                <w:sz w:val="17"/>
                <w:szCs w:val="17"/>
              </w:rPr>
              <w:t>关键词</w:t>
            </w:r>
            <w:r>
              <w:rPr>
                <w:rFonts w:ascii="黑体" w:hAnsi="黑体" w:eastAsia="黑体" w:cs="黑体"/>
                <w:spacing w:val="-47"/>
                <w:sz w:val="17"/>
                <w:szCs w:val="17"/>
              </w:rPr>
              <w:t xml:space="preserve"> </w:t>
            </w:r>
            <w:r>
              <w:rPr>
                <w:rFonts w:ascii="黑体" w:hAnsi="黑体" w:eastAsia="黑体" w:cs="黑体"/>
                <w:sz w:val="17"/>
                <w:szCs w:val="17"/>
              </w:rPr>
              <w:t>:</w:t>
            </w:r>
            <w:r>
              <w:rPr>
                <w:rFonts w:ascii="黑体" w:hAnsi="黑体" w:eastAsia="黑体" w:cs="黑体"/>
                <w:spacing w:val="-44"/>
                <w:sz w:val="17"/>
                <w:szCs w:val="17"/>
              </w:rPr>
              <w:t xml:space="preserve"> </w:t>
            </w:r>
            <w:r>
              <w:rPr>
                <w:rFonts w:ascii="新宋体" w:hAnsi="新宋体" w:eastAsia="新宋体" w:cs="新宋体"/>
                <w:sz w:val="17"/>
                <w:szCs w:val="17"/>
              </w:rPr>
              <w:t>教学学术;</w:t>
            </w:r>
            <w:r>
              <w:rPr>
                <w:rFonts w:ascii="新宋体" w:hAnsi="新宋体" w:eastAsia="新宋体" w:cs="新宋体"/>
                <w:spacing w:val="-27"/>
                <w:sz w:val="17"/>
                <w:szCs w:val="17"/>
              </w:rPr>
              <w:t xml:space="preserve"> </w:t>
            </w:r>
            <w:r>
              <w:rPr>
                <w:rFonts w:ascii="新宋体" w:hAnsi="新宋体" w:eastAsia="新宋体" w:cs="新宋体"/>
                <w:sz w:val="17"/>
                <w:szCs w:val="17"/>
              </w:rPr>
              <w:t>高校教学;</w:t>
            </w:r>
            <w:r>
              <w:rPr>
                <w:rFonts w:ascii="新宋体" w:hAnsi="新宋体" w:eastAsia="新宋体" w:cs="新宋体"/>
                <w:spacing w:val="-48"/>
                <w:sz w:val="17"/>
                <w:szCs w:val="17"/>
              </w:rPr>
              <w:t xml:space="preserve"> </w:t>
            </w:r>
            <w:r>
              <w:rPr>
                <w:rFonts w:ascii="新宋体" w:hAnsi="新宋体" w:eastAsia="新宋体" w:cs="新宋体"/>
                <w:sz w:val="17"/>
                <w:szCs w:val="17"/>
              </w:rPr>
              <w:t>教学质量文化;</w:t>
            </w:r>
            <w:r>
              <w:rPr>
                <w:rFonts w:ascii="新宋体" w:hAnsi="新宋体" w:eastAsia="新宋体" w:cs="新宋体"/>
                <w:spacing w:val="-38"/>
                <w:sz w:val="17"/>
                <w:szCs w:val="17"/>
              </w:rPr>
              <w:t xml:space="preserve"> </w:t>
            </w:r>
            <w:r>
              <w:rPr>
                <w:rFonts w:ascii="新宋体" w:hAnsi="新宋体" w:eastAsia="新宋体" w:cs="新宋体"/>
                <w:sz w:val="17"/>
                <w:szCs w:val="17"/>
              </w:rPr>
              <w:t>文</w:t>
            </w:r>
            <w:r>
              <w:rPr>
                <w:rFonts w:ascii="新宋体" w:hAnsi="新宋体" w:eastAsia="新宋体" w:cs="新宋体"/>
                <w:spacing w:val="-1"/>
                <w:sz w:val="17"/>
                <w:szCs w:val="17"/>
              </w:rPr>
              <w:t>化建设</w:t>
            </w:r>
          </w:p>
          <w:p>
            <w:pPr>
              <w:pStyle w:val="6"/>
              <w:spacing w:before="116" w:line="201" w:lineRule="auto"/>
              <w:ind w:left="869"/>
            </w:pPr>
            <w:r>
              <w:rPr>
                <w:rFonts w:ascii="黑体" w:hAnsi="黑体" w:eastAsia="黑体" w:cs="黑体"/>
                <w:spacing w:val="-7"/>
              </w:rPr>
              <w:t>中图分类号</w:t>
            </w:r>
            <w:r>
              <w:rPr>
                <w:rFonts w:ascii="黑体" w:hAnsi="黑体" w:eastAsia="黑体" w:cs="黑体"/>
                <w:spacing w:val="-46"/>
              </w:rPr>
              <w:t xml:space="preserve"> </w:t>
            </w:r>
            <w:r>
              <w:rPr>
                <w:rFonts w:ascii="黑体" w:hAnsi="黑体" w:eastAsia="黑体" w:cs="黑体"/>
                <w:spacing w:val="-7"/>
              </w:rPr>
              <w:t>:</w:t>
            </w:r>
            <w:r>
              <w:rPr>
                <w:rFonts w:ascii="黑体" w:hAnsi="黑体" w:eastAsia="黑体" w:cs="黑体"/>
                <w:spacing w:val="-38"/>
              </w:rPr>
              <w:t xml:space="preserve"> </w:t>
            </w:r>
            <w:r>
              <w:rPr>
                <w:spacing w:val="-7"/>
              </w:rPr>
              <w:t xml:space="preserve">G642        </w:t>
            </w:r>
            <w:r>
              <w:rPr>
                <w:rFonts w:ascii="黑体" w:hAnsi="黑体" w:eastAsia="黑体" w:cs="黑体"/>
                <w:spacing w:val="-7"/>
              </w:rPr>
              <w:t>文献标识码</w:t>
            </w:r>
            <w:r>
              <w:rPr>
                <w:rFonts w:ascii="黑体" w:hAnsi="黑体" w:eastAsia="黑体" w:cs="黑体"/>
                <w:spacing w:val="-46"/>
              </w:rPr>
              <w:t xml:space="preserve"> </w:t>
            </w:r>
            <w:r>
              <w:rPr>
                <w:rFonts w:ascii="黑体" w:hAnsi="黑体" w:eastAsia="黑体" w:cs="黑体"/>
                <w:spacing w:val="-7"/>
              </w:rPr>
              <w:t>:</w:t>
            </w:r>
            <w:r>
              <w:rPr>
                <w:rFonts w:ascii="黑体" w:hAnsi="黑体" w:eastAsia="黑体" w:cs="黑体"/>
                <w:spacing w:val="-42"/>
              </w:rPr>
              <w:t xml:space="preserve"> </w:t>
            </w:r>
            <w:r>
              <w:rPr>
                <w:spacing w:val="-7"/>
              </w:rPr>
              <w:t xml:space="preserve">A        </w:t>
            </w:r>
            <w:r>
              <w:rPr>
                <w:rFonts w:ascii="黑体" w:hAnsi="黑体" w:eastAsia="黑体" w:cs="黑体"/>
                <w:spacing w:val="-7"/>
              </w:rPr>
              <w:t>文章编号</w:t>
            </w:r>
            <w:r>
              <w:rPr>
                <w:rFonts w:ascii="黑体" w:hAnsi="黑体" w:eastAsia="黑体" w:cs="黑体"/>
                <w:spacing w:val="-46"/>
              </w:rPr>
              <w:t xml:space="preserve"> </w:t>
            </w:r>
            <w:r>
              <w:rPr>
                <w:rFonts w:ascii="黑体" w:hAnsi="黑体" w:eastAsia="黑体" w:cs="黑体"/>
                <w:spacing w:val="-7"/>
              </w:rPr>
              <w:t>:</w:t>
            </w:r>
            <w:r>
              <w:rPr>
                <w:rFonts w:ascii="黑体" w:hAnsi="黑体" w:eastAsia="黑体" w:cs="黑体"/>
                <w:spacing w:val="-36"/>
              </w:rPr>
              <w:t xml:space="preserve"> </w:t>
            </w:r>
            <w:r>
              <w:rPr>
                <w:spacing w:val="-7"/>
              </w:rPr>
              <w:t>16</w:t>
            </w:r>
            <w:r>
              <w:rPr>
                <w:spacing w:val="-8"/>
              </w:rPr>
              <w:t>74－7798</w:t>
            </w:r>
            <w:r>
              <w:rPr>
                <w:rFonts w:ascii="宋体" w:hAnsi="宋体" w:eastAsia="宋体" w:cs="宋体"/>
                <w:spacing w:val="-8"/>
              </w:rPr>
              <w:t>(</w:t>
            </w:r>
            <w:r>
              <w:rPr>
                <w:spacing w:val="-8"/>
              </w:rPr>
              <w:t>2021</w:t>
            </w:r>
            <w:r>
              <w:rPr>
                <w:rFonts w:ascii="宋体" w:hAnsi="宋体" w:eastAsia="宋体" w:cs="宋体"/>
                <w:spacing w:val="-8"/>
              </w:rPr>
              <w:t>)</w:t>
            </w:r>
            <w:r>
              <w:rPr>
                <w:rFonts w:ascii="宋体" w:hAnsi="宋体" w:eastAsia="宋体" w:cs="宋体"/>
                <w:spacing w:val="-34"/>
              </w:rPr>
              <w:t xml:space="preserve"> </w:t>
            </w:r>
            <w:r>
              <w:rPr>
                <w:spacing w:val="-8"/>
              </w:rPr>
              <w:t>02－0022－06</w:t>
            </w:r>
          </w:p>
          <w:p>
            <w:pPr>
              <w:spacing w:before="48" w:line="190" w:lineRule="auto"/>
              <w:ind w:left="870"/>
              <w:rPr>
                <w:rFonts w:ascii="Times New Roman" w:hAnsi="Times New Roman" w:eastAsia="Times New Roman" w:cs="Times New Roman"/>
                <w:sz w:val="18"/>
                <w:szCs w:val="18"/>
              </w:rPr>
            </w:pPr>
            <w:r>
              <w:rPr>
                <w:rFonts w:ascii="Times New Roman" w:hAnsi="Times New Roman" w:eastAsia="Times New Roman" w:cs="Times New Roman"/>
                <w:sz w:val="18"/>
                <w:szCs w:val="18"/>
              </w:rPr>
              <w:t>DOI:10.13391/j.cnki.issn.1674-7798.2021.0</w:t>
            </w:r>
            <w:r>
              <w:rPr>
                <w:rFonts w:ascii="Times New Roman" w:hAnsi="Times New Roman" w:eastAsia="Times New Roman" w:cs="Times New Roman"/>
                <w:spacing w:val="-1"/>
                <w:sz w:val="18"/>
                <w:szCs w:val="18"/>
              </w:rPr>
              <w:t>2.004</w:t>
            </w:r>
          </w:p>
          <w:p>
            <w:pPr>
              <w:pStyle w:val="6"/>
              <w:spacing w:before="31" w:line="302" w:lineRule="exact"/>
              <w:ind w:left="663"/>
              <w:rPr>
                <w:sz w:val="27"/>
                <w:szCs w:val="27"/>
              </w:rPr>
            </w:pPr>
            <w:r>
              <w:rPr>
                <w:spacing w:val="-12"/>
                <w:position w:val="2"/>
                <w:sz w:val="27"/>
                <w:szCs w:val="27"/>
              </w:rPr>
              <w:t>On</w:t>
            </w:r>
            <w:r>
              <w:rPr>
                <w:spacing w:val="24"/>
                <w:w w:val="101"/>
                <w:position w:val="2"/>
                <w:sz w:val="27"/>
                <w:szCs w:val="27"/>
              </w:rPr>
              <w:t xml:space="preserve"> </w:t>
            </w:r>
            <w:r>
              <w:rPr>
                <w:spacing w:val="-12"/>
                <w:position w:val="2"/>
                <w:sz w:val="27"/>
                <w:szCs w:val="27"/>
              </w:rPr>
              <w:t>the</w:t>
            </w:r>
            <w:r>
              <w:rPr>
                <w:spacing w:val="35"/>
                <w:position w:val="2"/>
                <w:sz w:val="27"/>
                <w:szCs w:val="27"/>
              </w:rPr>
              <w:t xml:space="preserve"> </w:t>
            </w:r>
            <w:r>
              <w:rPr>
                <w:spacing w:val="-12"/>
                <w:position w:val="2"/>
                <w:sz w:val="27"/>
                <w:szCs w:val="27"/>
              </w:rPr>
              <w:t>Construction</w:t>
            </w:r>
            <w:r>
              <w:rPr>
                <w:spacing w:val="25"/>
                <w:w w:val="101"/>
                <w:position w:val="2"/>
                <w:sz w:val="27"/>
                <w:szCs w:val="27"/>
              </w:rPr>
              <w:t xml:space="preserve"> </w:t>
            </w:r>
            <w:r>
              <w:rPr>
                <w:spacing w:val="-12"/>
                <w:position w:val="2"/>
                <w:sz w:val="27"/>
                <w:szCs w:val="27"/>
              </w:rPr>
              <w:t>of</w:t>
            </w:r>
            <w:r>
              <w:rPr>
                <w:spacing w:val="14"/>
                <w:position w:val="2"/>
                <w:sz w:val="27"/>
                <w:szCs w:val="27"/>
              </w:rPr>
              <w:t xml:space="preserve"> </w:t>
            </w:r>
            <w:r>
              <w:rPr>
                <w:spacing w:val="-12"/>
                <w:position w:val="2"/>
                <w:sz w:val="27"/>
                <w:szCs w:val="27"/>
              </w:rPr>
              <w:t>Teaching</w:t>
            </w:r>
            <w:r>
              <w:rPr>
                <w:spacing w:val="30"/>
                <w:position w:val="2"/>
                <w:sz w:val="27"/>
                <w:szCs w:val="27"/>
              </w:rPr>
              <w:t xml:space="preserve"> </w:t>
            </w:r>
            <w:r>
              <w:rPr>
                <w:spacing w:val="-13"/>
                <w:position w:val="2"/>
                <w:sz w:val="27"/>
                <w:szCs w:val="27"/>
              </w:rPr>
              <w:t>Quality</w:t>
            </w:r>
            <w:r>
              <w:rPr>
                <w:spacing w:val="33"/>
                <w:position w:val="2"/>
                <w:sz w:val="27"/>
                <w:szCs w:val="27"/>
              </w:rPr>
              <w:t xml:space="preserve"> </w:t>
            </w:r>
            <w:r>
              <w:rPr>
                <w:spacing w:val="-13"/>
                <w:position w:val="2"/>
                <w:sz w:val="27"/>
                <w:szCs w:val="27"/>
              </w:rPr>
              <w:t>Culture</w:t>
            </w:r>
            <w:r>
              <w:rPr>
                <w:spacing w:val="26"/>
                <w:w w:val="101"/>
                <w:position w:val="2"/>
                <w:sz w:val="27"/>
                <w:szCs w:val="27"/>
              </w:rPr>
              <w:t xml:space="preserve"> </w:t>
            </w:r>
            <w:r>
              <w:rPr>
                <w:spacing w:val="-13"/>
                <w:position w:val="2"/>
                <w:sz w:val="27"/>
                <w:szCs w:val="27"/>
              </w:rPr>
              <w:t>in</w:t>
            </w:r>
            <w:r>
              <w:rPr>
                <w:spacing w:val="32"/>
                <w:position w:val="2"/>
                <w:sz w:val="27"/>
                <w:szCs w:val="27"/>
              </w:rPr>
              <w:t xml:space="preserve"> </w:t>
            </w:r>
            <w:r>
              <w:rPr>
                <w:spacing w:val="-13"/>
                <w:position w:val="2"/>
                <w:sz w:val="27"/>
                <w:szCs w:val="27"/>
              </w:rPr>
              <w:t>Colleges</w:t>
            </w:r>
            <w:r>
              <w:rPr>
                <w:spacing w:val="26"/>
                <w:position w:val="2"/>
                <w:sz w:val="27"/>
                <w:szCs w:val="27"/>
              </w:rPr>
              <w:t xml:space="preserve"> </w:t>
            </w:r>
            <w:r>
              <w:rPr>
                <w:spacing w:val="-13"/>
                <w:position w:val="2"/>
                <w:sz w:val="27"/>
                <w:szCs w:val="27"/>
              </w:rPr>
              <w:t>and</w:t>
            </w:r>
          </w:p>
          <w:p>
            <w:pPr>
              <w:pStyle w:val="6"/>
              <w:spacing w:before="119" w:line="302" w:lineRule="exact"/>
              <w:ind w:left="1239"/>
              <w:rPr>
                <w:sz w:val="27"/>
                <w:szCs w:val="27"/>
              </w:rPr>
            </w:pPr>
            <w:r>
              <w:rPr>
                <w:spacing w:val="-12"/>
                <w:position w:val="2"/>
                <w:sz w:val="27"/>
                <w:szCs w:val="27"/>
              </w:rPr>
              <w:t>Universities</w:t>
            </w:r>
            <w:r>
              <w:rPr>
                <w:spacing w:val="24"/>
                <w:position w:val="2"/>
                <w:sz w:val="27"/>
                <w:szCs w:val="27"/>
              </w:rPr>
              <w:t xml:space="preserve"> </w:t>
            </w:r>
            <w:r>
              <w:rPr>
                <w:spacing w:val="-12"/>
                <w:position w:val="2"/>
                <w:sz w:val="27"/>
                <w:szCs w:val="27"/>
              </w:rPr>
              <w:t>from</w:t>
            </w:r>
            <w:r>
              <w:rPr>
                <w:spacing w:val="26"/>
                <w:position w:val="2"/>
                <w:sz w:val="27"/>
                <w:szCs w:val="27"/>
              </w:rPr>
              <w:t xml:space="preserve"> </w:t>
            </w:r>
            <w:r>
              <w:rPr>
                <w:spacing w:val="-12"/>
                <w:position w:val="2"/>
                <w:sz w:val="27"/>
                <w:szCs w:val="27"/>
              </w:rPr>
              <w:t>the</w:t>
            </w:r>
            <w:r>
              <w:rPr>
                <w:spacing w:val="26"/>
                <w:position w:val="2"/>
                <w:sz w:val="27"/>
                <w:szCs w:val="27"/>
              </w:rPr>
              <w:t xml:space="preserve"> </w:t>
            </w:r>
            <w:r>
              <w:rPr>
                <w:spacing w:val="-12"/>
                <w:position w:val="2"/>
                <w:sz w:val="27"/>
                <w:szCs w:val="27"/>
              </w:rPr>
              <w:t>P</w:t>
            </w:r>
            <w:r>
              <w:rPr>
                <w:spacing w:val="-13"/>
                <w:position w:val="2"/>
                <w:sz w:val="27"/>
                <w:szCs w:val="27"/>
              </w:rPr>
              <w:t>erspective</w:t>
            </w:r>
            <w:r>
              <w:rPr>
                <w:spacing w:val="29"/>
                <w:position w:val="2"/>
                <w:sz w:val="27"/>
                <w:szCs w:val="27"/>
              </w:rPr>
              <w:t xml:space="preserve"> </w:t>
            </w:r>
            <w:r>
              <w:rPr>
                <w:spacing w:val="-13"/>
                <w:position w:val="2"/>
                <w:sz w:val="27"/>
                <w:szCs w:val="27"/>
              </w:rPr>
              <w:t>of</w:t>
            </w:r>
            <w:r>
              <w:rPr>
                <w:spacing w:val="14"/>
                <w:position w:val="2"/>
                <w:sz w:val="27"/>
                <w:szCs w:val="27"/>
              </w:rPr>
              <w:t xml:space="preserve"> </w:t>
            </w:r>
            <w:r>
              <w:rPr>
                <w:spacing w:val="-13"/>
                <w:position w:val="2"/>
                <w:sz w:val="27"/>
                <w:szCs w:val="27"/>
              </w:rPr>
              <w:t>Teaching</w:t>
            </w:r>
            <w:r>
              <w:rPr>
                <w:spacing w:val="23"/>
                <w:position w:val="2"/>
                <w:sz w:val="27"/>
                <w:szCs w:val="27"/>
              </w:rPr>
              <w:t xml:space="preserve"> </w:t>
            </w:r>
            <w:r>
              <w:rPr>
                <w:spacing w:val="-13"/>
                <w:position w:val="2"/>
                <w:sz w:val="27"/>
                <w:szCs w:val="27"/>
              </w:rPr>
              <w:t>Academic</w:t>
            </w:r>
          </w:p>
          <w:p>
            <w:pPr>
              <w:pStyle w:val="6"/>
              <w:spacing w:before="111" w:line="196" w:lineRule="auto"/>
              <w:ind w:left="4120"/>
              <w:rPr>
                <w:sz w:val="23"/>
                <w:szCs w:val="23"/>
              </w:rPr>
            </w:pPr>
            <w:r>
              <w:rPr>
                <w:spacing w:val="-14"/>
                <w:sz w:val="23"/>
                <w:szCs w:val="23"/>
              </w:rPr>
              <w:t>ZHOU</w:t>
            </w:r>
            <w:r>
              <w:rPr>
                <w:spacing w:val="30"/>
                <w:sz w:val="23"/>
                <w:szCs w:val="23"/>
              </w:rPr>
              <w:t xml:space="preserve"> </w:t>
            </w:r>
            <w:r>
              <w:rPr>
                <w:spacing w:val="-14"/>
                <w:sz w:val="23"/>
                <w:szCs w:val="23"/>
              </w:rPr>
              <w:t>Bo</w:t>
            </w:r>
          </w:p>
          <w:p>
            <w:pPr>
              <w:pStyle w:val="6"/>
              <w:spacing w:before="30" w:line="180" w:lineRule="auto"/>
              <w:ind w:left="981"/>
              <w:rPr>
                <w:rFonts w:ascii="宋体" w:hAnsi="宋体" w:eastAsia="宋体" w:cs="宋体"/>
              </w:rPr>
            </w:pPr>
            <w:r>
              <w:rPr>
                <w:rFonts w:ascii="宋体" w:hAnsi="宋体" w:eastAsia="宋体" w:cs="宋体"/>
                <w:spacing w:val="-13"/>
              </w:rPr>
              <w:t>(</w:t>
            </w:r>
            <w:r>
              <w:rPr>
                <w:spacing w:val="-13"/>
              </w:rPr>
              <w:t>School</w:t>
            </w:r>
            <w:r>
              <w:rPr>
                <w:spacing w:val="18"/>
                <w:w w:val="101"/>
              </w:rPr>
              <w:t xml:space="preserve"> </w:t>
            </w:r>
            <w:r>
              <w:rPr>
                <w:spacing w:val="-13"/>
              </w:rPr>
              <w:t>of</w:t>
            </w:r>
            <w:r>
              <w:rPr>
                <w:spacing w:val="5"/>
              </w:rPr>
              <w:t xml:space="preserve"> </w:t>
            </w:r>
            <w:r>
              <w:rPr>
                <w:spacing w:val="-13"/>
              </w:rPr>
              <w:t>Teacher</w:t>
            </w:r>
            <w:r>
              <w:rPr>
                <w:spacing w:val="17"/>
                <w:w w:val="101"/>
              </w:rPr>
              <w:t xml:space="preserve"> </w:t>
            </w:r>
            <w:r>
              <w:rPr>
                <w:spacing w:val="-13"/>
              </w:rPr>
              <w:t>Education</w:t>
            </w:r>
            <w:r>
              <w:rPr>
                <w:rFonts w:ascii="宋体" w:hAnsi="宋体" w:eastAsia="宋体" w:cs="宋体"/>
                <w:spacing w:val="-13"/>
              </w:rPr>
              <w:t>，</w:t>
            </w:r>
            <w:r>
              <w:rPr>
                <w:spacing w:val="-13"/>
              </w:rPr>
              <w:t>Sichuan</w:t>
            </w:r>
            <w:r>
              <w:rPr>
                <w:spacing w:val="19"/>
              </w:rPr>
              <w:t xml:space="preserve"> </w:t>
            </w:r>
            <w:r>
              <w:rPr>
                <w:spacing w:val="-13"/>
              </w:rPr>
              <w:t>University</w:t>
            </w:r>
            <w:r>
              <w:rPr>
                <w:spacing w:val="18"/>
                <w:w w:val="101"/>
              </w:rPr>
              <w:t xml:space="preserve"> </w:t>
            </w:r>
            <w:r>
              <w:rPr>
                <w:spacing w:val="-13"/>
              </w:rPr>
              <w:t>of</w:t>
            </w:r>
            <w:r>
              <w:rPr>
                <w:spacing w:val="7"/>
              </w:rPr>
              <w:t xml:space="preserve"> </w:t>
            </w:r>
            <w:r>
              <w:rPr>
                <w:spacing w:val="-13"/>
              </w:rPr>
              <w:t>Arts</w:t>
            </w:r>
            <w:r>
              <w:rPr>
                <w:spacing w:val="19"/>
                <w:w w:val="101"/>
              </w:rPr>
              <w:t xml:space="preserve"> </w:t>
            </w:r>
            <w:r>
              <w:rPr>
                <w:spacing w:val="-13"/>
              </w:rPr>
              <w:t>and</w:t>
            </w:r>
            <w:r>
              <w:rPr>
                <w:spacing w:val="19"/>
                <w:w w:val="101"/>
              </w:rPr>
              <w:t xml:space="preserve"> </w:t>
            </w:r>
            <w:r>
              <w:rPr>
                <w:spacing w:val="-13"/>
              </w:rPr>
              <w:t>Scien</w:t>
            </w:r>
            <w:r>
              <w:rPr>
                <w:spacing w:val="-14"/>
              </w:rPr>
              <w:t>ces</w:t>
            </w:r>
            <w:r>
              <w:rPr>
                <w:rFonts w:ascii="宋体" w:hAnsi="宋体" w:eastAsia="宋体" w:cs="宋体"/>
                <w:spacing w:val="-14"/>
              </w:rPr>
              <w:t>，</w:t>
            </w:r>
            <w:r>
              <w:rPr>
                <w:spacing w:val="-14"/>
              </w:rPr>
              <w:t>Dazhou</w:t>
            </w:r>
            <w:r>
              <w:rPr>
                <w:rFonts w:ascii="宋体" w:hAnsi="宋体" w:eastAsia="宋体" w:cs="宋体"/>
                <w:spacing w:val="-14"/>
              </w:rPr>
              <w:t>，</w:t>
            </w:r>
            <w:r>
              <w:rPr>
                <w:spacing w:val="-14"/>
              </w:rPr>
              <w:t>Sichuan</w:t>
            </w:r>
            <w:r>
              <w:rPr>
                <w:rFonts w:ascii="宋体" w:hAnsi="宋体" w:eastAsia="宋体" w:cs="宋体"/>
                <w:spacing w:val="-14"/>
              </w:rPr>
              <w:t>，</w:t>
            </w:r>
            <w:r>
              <w:rPr>
                <w:spacing w:val="-14"/>
              </w:rPr>
              <w:t>635000</w:t>
            </w:r>
            <w:r>
              <w:rPr>
                <w:rFonts w:ascii="宋体" w:hAnsi="宋体" w:eastAsia="宋体" w:cs="宋体"/>
                <w:spacing w:val="-14"/>
              </w:rPr>
              <w:t>)</w:t>
            </w:r>
          </w:p>
          <w:p>
            <w:pPr>
              <w:pStyle w:val="6"/>
              <w:spacing w:before="122" w:line="254" w:lineRule="auto"/>
              <w:ind w:left="488" w:right="454" w:firstLine="361"/>
              <w:jc w:val="both"/>
            </w:pPr>
            <w:r>
              <w:rPr>
                <w:spacing w:val="-13"/>
              </w:rPr>
              <w:t>Abstract</w:t>
            </w:r>
            <w:r>
              <w:rPr>
                <w:spacing w:val="-16"/>
              </w:rPr>
              <w:t xml:space="preserve"> </w:t>
            </w:r>
            <w:r>
              <w:rPr>
                <w:rFonts w:ascii="宋体" w:hAnsi="宋体" w:eastAsia="宋体" w:cs="宋体"/>
                <w:spacing w:val="-13"/>
              </w:rPr>
              <w:t>:</w:t>
            </w:r>
            <w:r>
              <w:rPr>
                <w:rFonts w:ascii="宋体" w:hAnsi="宋体" w:eastAsia="宋体" w:cs="宋体"/>
                <w:spacing w:val="-46"/>
              </w:rPr>
              <w:t xml:space="preserve"> </w:t>
            </w:r>
            <w:r>
              <w:rPr>
                <w:spacing w:val="-13"/>
              </w:rPr>
              <w:t>The</w:t>
            </w:r>
            <w:r>
              <w:rPr>
                <w:spacing w:val="19"/>
              </w:rPr>
              <w:t xml:space="preserve"> </w:t>
            </w:r>
            <w:r>
              <w:rPr>
                <w:spacing w:val="-13"/>
              </w:rPr>
              <w:t>construction</w:t>
            </w:r>
            <w:r>
              <w:rPr>
                <w:spacing w:val="18"/>
              </w:rPr>
              <w:t xml:space="preserve"> </w:t>
            </w:r>
            <w:r>
              <w:rPr>
                <w:spacing w:val="-13"/>
              </w:rPr>
              <w:t>of</w:t>
            </w:r>
            <w:r>
              <w:rPr>
                <w:spacing w:val="7"/>
              </w:rPr>
              <w:t xml:space="preserve"> </w:t>
            </w:r>
            <w:r>
              <w:rPr>
                <w:spacing w:val="-13"/>
              </w:rPr>
              <w:t>hig</w:t>
            </w:r>
            <w:r>
              <w:rPr>
                <w:spacing w:val="-14"/>
              </w:rPr>
              <w:t>h－level</w:t>
            </w:r>
            <w:r>
              <w:rPr>
                <w:spacing w:val="17"/>
              </w:rPr>
              <w:t xml:space="preserve"> </w:t>
            </w:r>
            <w:r>
              <w:rPr>
                <w:spacing w:val="-14"/>
              </w:rPr>
              <w:t>teaching</w:t>
            </w:r>
            <w:r>
              <w:rPr>
                <w:spacing w:val="25"/>
              </w:rPr>
              <w:t xml:space="preserve"> </w:t>
            </w:r>
            <w:r>
              <w:rPr>
                <w:spacing w:val="-14"/>
              </w:rPr>
              <w:t>quality</w:t>
            </w:r>
            <w:r>
              <w:rPr>
                <w:spacing w:val="24"/>
                <w:w w:val="101"/>
              </w:rPr>
              <w:t xml:space="preserve"> </w:t>
            </w:r>
            <w:r>
              <w:rPr>
                <w:spacing w:val="-14"/>
              </w:rPr>
              <w:t>culture</w:t>
            </w:r>
            <w:r>
              <w:rPr>
                <w:spacing w:val="24"/>
                <w:w w:val="101"/>
              </w:rPr>
              <w:t xml:space="preserve"> </w:t>
            </w:r>
            <w:r>
              <w:rPr>
                <w:spacing w:val="-14"/>
              </w:rPr>
              <w:t>is</w:t>
            </w:r>
            <w:r>
              <w:rPr>
                <w:spacing w:val="22"/>
                <w:w w:val="101"/>
              </w:rPr>
              <w:t xml:space="preserve"> </w:t>
            </w:r>
            <w:r>
              <w:rPr>
                <w:spacing w:val="-14"/>
              </w:rPr>
              <w:t>the</w:t>
            </w:r>
            <w:r>
              <w:rPr>
                <w:spacing w:val="24"/>
                <w:w w:val="101"/>
              </w:rPr>
              <w:t xml:space="preserve"> </w:t>
            </w:r>
            <w:r>
              <w:rPr>
                <w:spacing w:val="-14"/>
              </w:rPr>
              <w:t>cornerstone</w:t>
            </w:r>
            <w:r>
              <w:rPr>
                <w:spacing w:val="24"/>
              </w:rPr>
              <w:t xml:space="preserve"> </w:t>
            </w:r>
            <w:r>
              <w:rPr>
                <w:spacing w:val="-14"/>
              </w:rPr>
              <w:t>of</w:t>
            </w:r>
            <w:r>
              <w:rPr>
                <w:spacing w:val="15"/>
              </w:rPr>
              <w:t xml:space="preserve"> </w:t>
            </w:r>
            <w:r>
              <w:rPr>
                <w:spacing w:val="-14"/>
              </w:rPr>
              <w:t>improving</w:t>
            </w:r>
            <w:r>
              <w:rPr>
                <w:spacing w:val="22"/>
              </w:rPr>
              <w:t xml:space="preserve"> </w:t>
            </w:r>
            <w:r>
              <w:rPr>
                <w:spacing w:val="-14"/>
              </w:rPr>
              <w:t>the</w:t>
            </w:r>
            <w:r>
              <w:rPr>
                <w:spacing w:val="25"/>
              </w:rPr>
              <w:t xml:space="preserve"> </w:t>
            </w:r>
            <w:r>
              <w:rPr>
                <w:spacing w:val="-14"/>
              </w:rPr>
              <w:t>quality</w:t>
            </w:r>
            <w:r>
              <w:t xml:space="preserve">  </w:t>
            </w:r>
            <w:r>
              <w:rPr>
                <w:spacing w:val="-15"/>
              </w:rPr>
              <w:t>of</w:t>
            </w:r>
            <w:r>
              <w:rPr>
                <w:spacing w:val="7"/>
              </w:rPr>
              <w:t xml:space="preserve"> </w:t>
            </w:r>
            <w:r>
              <w:rPr>
                <w:spacing w:val="-15"/>
              </w:rPr>
              <w:t>higher</w:t>
            </w:r>
            <w:r>
              <w:rPr>
                <w:spacing w:val="18"/>
              </w:rPr>
              <w:t xml:space="preserve"> </w:t>
            </w:r>
            <w:r>
              <w:rPr>
                <w:spacing w:val="-15"/>
              </w:rPr>
              <w:t>education</w:t>
            </w:r>
            <w:r>
              <w:rPr>
                <w:spacing w:val="19"/>
              </w:rPr>
              <w:t xml:space="preserve"> </w:t>
            </w:r>
            <w:r>
              <w:rPr>
                <w:spacing w:val="-15"/>
              </w:rPr>
              <w:t>and</w:t>
            </w:r>
            <w:r>
              <w:rPr>
                <w:spacing w:val="16"/>
                <w:w w:val="101"/>
              </w:rPr>
              <w:t xml:space="preserve"> </w:t>
            </w:r>
            <w:r>
              <w:rPr>
                <w:spacing w:val="-15"/>
              </w:rPr>
              <w:t>personnel</w:t>
            </w:r>
            <w:r>
              <w:rPr>
                <w:spacing w:val="16"/>
                <w:w w:val="101"/>
              </w:rPr>
              <w:t xml:space="preserve"> </w:t>
            </w:r>
            <w:r>
              <w:rPr>
                <w:spacing w:val="-15"/>
              </w:rPr>
              <w:t>training</w:t>
            </w:r>
            <w:r>
              <w:rPr>
                <w:rFonts w:ascii="宋体" w:hAnsi="宋体" w:eastAsia="宋体" w:cs="宋体"/>
                <w:spacing w:val="-15"/>
              </w:rPr>
              <w:t>，</w:t>
            </w:r>
            <w:r>
              <w:rPr>
                <w:spacing w:val="-15"/>
              </w:rPr>
              <w:t>and</w:t>
            </w:r>
            <w:r>
              <w:rPr>
                <w:spacing w:val="16"/>
              </w:rPr>
              <w:t xml:space="preserve"> </w:t>
            </w:r>
            <w:r>
              <w:rPr>
                <w:spacing w:val="-15"/>
              </w:rPr>
              <w:t>the</w:t>
            </w:r>
            <w:r>
              <w:rPr>
                <w:spacing w:val="18"/>
                <w:w w:val="101"/>
              </w:rPr>
              <w:t xml:space="preserve"> </w:t>
            </w:r>
            <w:r>
              <w:rPr>
                <w:spacing w:val="-15"/>
              </w:rPr>
              <w:t>internal</w:t>
            </w:r>
            <w:r>
              <w:rPr>
                <w:spacing w:val="19"/>
                <w:w w:val="101"/>
              </w:rPr>
              <w:t xml:space="preserve"> </w:t>
            </w:r>
            <w:r>
              <w:rPr>
                <w:spacing w:val="-15"/>
              </w:rPr>
              <w:t>demand</w:t>
            </w:r>
            <w:r>
              <w:rPr>
                <w:spacing w:val="18"/>
              </w:rPr>
              <w:t xml:space="preserve"> </w:t>
            </w:r>
            <w:r>
              <w:rPr>
                <w:spacing w:val="-15"/>
              </w:rPr>
              <w:t>of</w:t>
            </w:r>
            <w:r>
              <w:rPr>
                <w:spacing w:val="9"/>
              </w:rPr>
              <w:t xml:space="preserve"> </w:t>
            </w:r>
            <w:r>
              <w:rPr>
                <w:spacing w:val="-15"/>
              </w:rPr>
              <w:t>construc</w:t>
            </w:r>
            <w:r>
              <w:rPr>
                <w:spacing w:val="-16"/>
              </w:rPr>
              <w:t>ting</w:t>
            </w:r>
            <w:r>
              <w:rPr>
                <w:spacing w:val="21"/>
              </w:rPr>
              <w:t xml:space="preserve"> </w:t>
            </w:r>
            <w:r>
              <w:rPr>
                <w:spacing w:val="-16"/>
              </w:rPr>
              <w:t>high</w:t>
            </w:r>
            <w:r>
              <w:rPr>
                <w:spacing w:val="20"/>
                <w:w w:val="101"/>
              </w:rPr>
              <w:t xml:space="preserve"> </w:t>
            </w:r>
            <w:r>
              <w:rPr>
                <w:spacing w:val="-16"/>
              </w:rPr>
              <w:t>level</w:t>
            </w:r>
            <w:r>
              <w:rPr>
                <w:spacing w:val="21"/>
                <w:w w:val="101"/>
              </w:rPr>
              <w:t xml:space="preserve"> </w:t>
            </w:r>
            <w:r>
              <w:rPr>
                <w:spacing w:val="-16"/>
              </w:rPr>
              <w:t>higher</w:t>
            </w:r>
            <w:r>
              <w:rPr>
                <w:spacing w:val="21"/>
                <w:w w:val="101"/>
              </w:rPr>
              <w:t xml:space="preserve"> </w:t>
            </w:r>
            <w:r>
              <w:rPr>
                <w:spacing w:val="-16"/>
              </w:rPr>
              <w:t>education</w:t>
            </w:r>
            <w:r>
              <w:rPr>
                <w:spacing w:val="22"/>
              </w:rPr>
              <w:t xml:space="preserve"> </w:t>
            </w:r>
            <w:r>
              <w:rPr>
                <w:spacing w:val="-16"/>
              </w:rPr>
              <w:t>in</w:t>
            </w:r>
            <w:r>
              <w:t xml:space="preserve">  </w:t>
            </w:r>
            <w:r>
              <w:rPr>
                <w:spacing w:val="-15"/>
              </w:rPr>
              <w:t>the</w:t>
            </w:r>
            <w:r>
              <w:rPr>
                <w:spacing w:val="18"/>
                <w:w w:val="101"/>
              </w:rPr>
              <w:t xml:space="preserve"> </w:t>
            </w:r>
            <w:r>
              <w:rPr>
                <w:spacing w:val="-15"/>
              </w:rPr>
              <w:t>new</w:t>
            </w:r>
            <w:r>
              <w:rPr>
                <w:spacing w:val="18"/>
                <w:w w:val="101"/>
              </w:rPr>
              <w:t xml:space="preserve"> </w:t>
            </w:r>
            <w:r>
              <w:rPr>
                <w:spacing w:val="-15"/>
              </w:rPr>
              <w:t>era．Teaching</w:t>
            </w:r>
            <w:r>
              <w:rPr>
                <w:spacing w:val="19"/>
              </w:rPr>
              <w:t xml:space="preserve"> </w:t>
            </w:r>
            <w:r>
              <w:rPr>
                <w:spacing w:val="-15"/>
              </w:rPr>
              <w:t>academic</w:t>
            </w:r>
            <w:r>
              <w:rPr>
                <w:rFonts w:ascii="宋体" w:hAnsi="宋体" w:eastAsia="宋体" w:cs="宋体"/>
                <w:spacing w:val="-16"/>
              </w:rPr>
              <w:t>，</w:t>
            </w:r>
            <w:r>
              <w:rPr>
                <w:spacing w:val="-16"/>
              </w:rPr>
              <w:t>a</w:t>
            </w:r>
            <w:r>
              <w:rPr>
                <w:spacing w:val="19"/>
              </w:rPr>
              <w:t xml:space="preserve"> </w:t>
            </w:r>
            <w:r>
              <w:rPr>
                <w:spacing w:val="-16"/>
              </w:rPr>
              <w:t>kind</w:t>
            </w:r>
            <w:r>
              <w:rPr>
                <w:spacing w:val="17"/>
                <w:w w:val="101"/>
              </w:rPr>
              <w:t xml:space="preserve"> </w:t>
            </w:r>
            <w:r>
              <w:rPr>
                <w:spacing w:val="-16"/>
              </w:rPr>
              <w:t>of</w:t>
            </w:r>
            <w:r>
              <w:rPr>
                <w:spacing w:val="4"/>
              </w:rPr>
              <w:t xml:space="preserve"> </w:t>
            </w:r>
            <w:r>
              <w:rPr>
                <w:spacing w:val="-16"/>
              </w:rPr>
              <w:t>new</w:t>
            </w:r>
            <w:r>
              <w:rPr>
                <w:spacing w:val="12"/>
                <w:w w:val="101"/>
              </w:rPr>
              <w:t xml:space="preserve"> </w:t>
            </w:r>
            <w:r>
              <w:rPr>
                <w:spacing w:val="-16"/>
              </w:rPr>
              <w:t>theory</w:t>
            </w:r>
            <w:r>
              <w:rPr>
                <w:spacing w:val="15"/>
                <w:w w:val="101"/>
              </w:rPr>
              <w:t xml:space="preserve"> </w:t>
            </w:r>
            <w:r>
              <w:rPr>
                <w:spacing w:val="-16"/>
              </w:rPr>
              <w:t>and</w:t>
            </w:r>
            <w:r>
              <w:rPr>
                <w:spacing w:val="12"/>
                <w:w w:val="101"/>
              </w:rPr>
              <w:t xml:space="preserve"> </w:t>
            </w:r>
            <w:r>
              <w:rPr>
                <w:spacing w:val="-16"/>
              </w:rPr>
              <w:t>paradigm</w:t>
            </w:r>
            <w:r>
              <w:rPr>
                <w:rFonts w:ascii="宋体" w:hAnsi="宋体" w:eastAsia="宋体" w:cs="宋体"/>
                <w:spacing w:val="-16"/>
              </w:rPr>
              <w:t>，</w:t>
            </w:r>
            <w:r>
              <w:rPr>
                <w:spacing w:val="-16"/>
              </w:rPr>
              <w:t>creatively</w:t>
            </w:r>
            <w:r>
              <w:rPr>
                <w:spacing w:val="13"/>
                <w:w w:val="101"/>
              </w:rPr>
              <w:t xml:space="preserve"> </w:t>
            </w:r>
            <w:r>
              <w:rPr>
                <w:spacing w:val="-16"/>
              </w:rPr>
              <w:t>brings</w:t>
            </w:r>
            <w:r>
              <w:rPr>
                <w:spacing w:val="12"/>
                <w:w w:val="101"/>
              </w:rPr>
              <w:t xml:space="preserve"> </w:t>
            </w:r>
            <w:r>
              <w:rPr>
                <w:spacing w:val="-16"/>
              </w:rPr>
              <w:t>teaching</w:t>
            </w:r>
            <w:r>
              <w:rPr>
                <w:spacing w:val="15"/>
              </w:rPr>
              <w:t xml:space="preserve"> </w:t>
            </w:r>
            <w:r>
              <w:rPr>
                <w:spacing w:val="-16"/>
              </w:rPr>
              <w:t>into</w:t>
            </w:r>
            <w:r>
              <w:rPr>
                <w:spacing w:val="12"/>
                <w:w w:val="101"/>
              </w:rPr>
              <w:t xml:space="preserve"> </w:t>
            </w:r>
            <w:r>
              <w:rPr>
                <w:spacing w:val="-16"/>
              </w:rPr>
              <w:t>the</w:t>
            </w:r>
            <w:r>
              <w:rPr>
                <w:spacing w:val="15"/>
              </w:rPr>
              <w:t xml:space="preserve"> </w:t>
            </w:r>
            <w:r>
              <w:rPr>
                <w:spacing w:val="-16"/>
              </w:rPr>
              <w:t>academic</w:t>
            </w:r>
            <w:r>
              <w:t xml:space="preserve">  </w:t>
            </w:r>
            <w:r>
              <w:rPr>
                <w:spacing w:val="-15"/>
              </w:rPr>
              <w:t>category</w:t>
            </w:r>
            <w:r>
              <w:rPr>
                <w:spacing w:val="33"/>
                <w:w w:val="101"/>
              </w:rPr>
              <w:t xml:space="preserve"> </w:t>
            </w:r>
            <w:r>
              <w:rPr>
                <w:spacing w:val="-15"/>
              </w:rPr>
              <w:t>and</w:t>
            </w:r>
            <w:r>
              <w:rPr>
                <w:spacing w:val="17"/>
              </w:rPr>
              <w:t xml:space="preserve"> </w:t>
            </w:r>
            <w:r>
              <w:rPr>
                <w:spacing w:val="-15"/>
              </w:rPr>
              <w:t>builds</w:t>
            </w:r>
            <w:r>
              <w:rPr>
                <w:spacing w:val="19"/>
              </w:rPr>
              <w:t xml:space="preserve"> </w:t>
            </w:r>
            <w:r>
              <w:rPr>
                <w:spacing w:val="-15"/>
              </w:rPr>
              <w:t>a</w:t>
            </w:r>
            <w:r>
              <w:rPr>
                <w:spacing w:val="28"/>
                <w:w w:val="101"/>
              </w:rPr>
              <w:t xml:space="preserve"> </w:t>
            </w:r>
            <w:r>
              <w:rPr>
                <w:spacing w:val="-15"/>
              </w:rPr>
              <w:t>"</w:t>
            </w:r>
            <w:r>
              <w:rPr>
                <w:spacing w:val="-18"/>
              </w:rPr>
              <w:t xml:space="preserve"> </w:t>
            </w:r>
            <w:r>
              <w:rPr>
                <w:spacing w:val="-15"/>
              </w:rPr>
              <w:t>bridge"  to</w:t>
            </w:r>
            <w:r>
              <w:rPr>
                <w:spacing w:val="19"/>
                <w:w w:val="101"/>
              </w:rPr>
              <w:t xml:space="preserve"> </w:t>
            </w:r>
            <w:r>
              <w:rPr>
                <w:spacing w:val="-15"/>
              </w:rPr>
              <w:t>address</w:t>
            </w:r>
            <w:r>
              <w:rPr>
                <w:spacing w:val="16"/>
              </w:rPr>
              <w:t xml:space="preserve"> </w:t>
            </w:r>
            <w:r>
              <w:rPr>
                <w:spacing w:val="-15"/>
              </w:rPr>
              <w:t>the</w:t>
            </w:r>
            <w:r>
              <w:rPr>
                <w:spacing w:val="19"/>
              </w:rPr>
              <w:t xml:space="preserve"> </w:t>
            </w:r>
            <w:r>
              <w:rPr>
                <w:spacing w:val="-15"/>
              </w:rPr>
              <w:t>contradiction</w:t>
            </w:r>
            <w:r>
              <w:rPr>
                <w:spacing w:val="17"/>
              </w:rPr>
              <w:t xml:space="preserve"> </w:t>
            </w:r>
            <w:r>
              <w:rPr>
                <w:spacing w:val="-15"/>
              </w:rPr>
              <w:t>between</w:t>
            </w:r>
            <w:r>
              <w:rPr>
                <w:spacing w:val="14"/>
              </w:rPr>
              <w:t xml:space="preserve"> </w:t>
            </w:r>
            <w:r>
              <w:rPr>
                <w:spacing w:val="-15"/>
              </w:rPr>
              <w:t>teaching</w:t>
            </w:r>
            <w:r>
              <w:rPr>
                <w:spacing w:val="17"/>
                <w:w w:val="101"/>
              </w:rPr>
              <w:t xml:space="preserve"> </w:t>
            </w:r>
            <w:r>
              <w:rPr>
                <w:spacing w:val="-15"/>
              </w:rPr>
              <w:t>and</w:t>
            </w:r>
            <w:r>
              <w:rPr>
                <w:spacing w:val="18"/>
              </w:rPr>
              <w:t xml:space="preserve"> </w:t>
            </w:r>
            <w:r>
              <w:rPr>
                <w:spacing w:val="-15"/>
              </w:rPr>
              <w:t>scientific</w:t>
            </w:r>
            <w:r>
              <w:rPr>
                <w:spacing w:val="15"/>
              </w:rPr>
              <w:t xml:space="preserve"> </w:t>
            </w:r>
            <w:r>
              <w:rPr>
                <w:spacing w:val="-15"/>
              </w:rPr>
              <w:t>research．More</w:t>
            </w:r>
            <w:r>
              <w:rPr>
                <w:spacing w:val="16"/>
                <w:w w:val="101"/>
              </w:rPr>
              <w:t xml:space="preserve"> </w:t>
            </w:r>
            <w:r>
              <w:rPr>
                <w:spacing w:val="-15"/>
              </w:rPr>
              <w:t>impor-</w:t>
            </w:r>
            <w:r>
              <w:t xml:space="preserve"> </w:t>
            </w:r>
            <w:r>
              <w:rPr>
                <w:spacing w:val="-14"/>
              </w:rPr>
              <w:t>tantly</w:t>
            </w:r>
            <w:r>
              <w:rPr>
                <w:rFonts w:ascii="宋体" w:hAnsi="宋体" w:eastAsia="宋体" w:cs="宋体"/>
                <w:spacing w:val="-14"/>
              </w:rPr>
              <w:t>，</w:t>
            </w:r>
            <w:r>
              <w:rPr>
                <w:spacing w:val="-14"/>
              </w:rPr>
              <w:t>it</w:t>
            </w:r>
            <w:r>
              <w:rPr>
                <w:spacing w:val="19"/>
                <w:w w:val="101"/>
              </w:rPr>
              <w:t xml:space="preserve"> </w:t>
            </w:r>
            <w:r>
              <w:rPr>
                <w:spacing w:val="-14"/>
              </w:rPr>
              <w:t>enriches</w:t>
            </w:r>
            <w:r>
              <w:rPr>
                <w:spacing w:val="11"/>
              </w:rPr>
              <w:t xml:space="preserve"> </w:t>
            </w:r>
            <w:r>
              <w:rPr>
                <w:spacing w:val="-14"/>
              </w:rPr>
              <w:t>and</w:t>
            </w:r>
            <w:r>
              <w:rPr>
                <w:spacing w:val="7"/>
              </w:rPr>
              <w:t xml:space="preserve"> </w:t>
            </w:r>
            <w:r>
              <w:rPr>
                <w:spacing w:val="-14"/>
              </w:rPr>
              <w:t>widens</w:t>
            </w:r>
            <w:r>
              <w:rPr>
                <w:spacing w:val="8"/>
              </w:rPr>
              <w:t xml:space="preserve"> </w:t>
            </w:r>
            <w:r>
              <w:rPr>
                <w:spacing w:val="-14"/>
              </w:rPr>
              <w:t>the</w:t>
            </w:r>
            <w:r>
              <w:rPr>
                <w:spacing w:val="11"/>
              </w:rPr>
              <w:t xml:space="preserve"> </w:t>
            </w:r>
            <w:r>
              <w:rPr>
                <w:spacing w:val="-14"/>
              </w:rPr>
              <w:t>connotation</w:t>
            </w:r>
            <w:r>
              <w:rPr>
                <w:spacing w:val="10"/>
              </w:rPr>
              <w:t xml:space="preserve"> </w:t>
            </w:r>
            <w:r>
              <w:rPr>
                <w:spacing w:val="-14"/>
              </w:rPr>
              <w:t>of teaching</w:t>
            </w:r>
            <w:r>
              <w:rPr>
                <w:spacing w:val="12"/>
              </w:rPr>
              <w:t xml:space="preserve"> </w:t>
            </w:r>
            <w:r>
              <w:rPr>
                <w:spacing w:val="-14"/>
              </w:rPr>
              <w:t>qua</w:t>
            </w:r>
            <w:r>
              <w:rPr>
                <w:spacing w:val="-15"/>
              </w:rPr>
              <w:t>lity</w:t>
            </w:r>
            <w:r>
              <w:rPr>
                <w:spacing w:val="11"/>
              </w:rPr>
              <w:t xml:space="preserve"> </w:t>
            </w:r>
            <w:r>
              <w:rPr>
                <w:spacing w:val="-15"/>
              </w:rPr>
              <w:t>culture</w:t>
            </w:r>
            <w:r>
              <w:rPr>
                <w:rFonts w:ascii="宋体" w:hAnsi="宋体" w:eastAsia="宋体" w:cs="宋体"/>
                <w:spacing w:val="-15"/>
              </w:rPr>
              <w:t>，</w:t>
            </w:r>
            <w:r>
              <w:rPr>
                <w:spacing w:val="-15"/>
              </w:rPr>
              <w:t>and</w:t>
            </w:r>
            <w:r>
              <w:rPr>
                <w:spacing w:val="10"/>
              </w:rPr>
              <w:t xml:space="preserve"> </w:t>
            </w:r>
            <w:r>
              <w:rPr>
                <w:spacing w:val="-15"/>
              </w:rPr>
              <w:t>makes</w:t>
            </w:r>
            <w:r>
              <w:rPr>
                <w:spacing w:val="9"/>
              </w:rPr>
              <w:t xml:space="preserve"> </w:t>
            </w:r>
            <w:r>
              <w:rPr>
                <w:spacing w:val="-15"/>
              </w:rPr>
              <w:t>the</w:t>
            </w:r>
            <w:r>
              <w:rPr>
                <w:spacing w:val="8"/>
              </w:rPr>
              <w:t xml:space="preserve"> </w:t>
            </w:r>
            <w:r>
              <w:rPr>
                <w:spacing w:val="-15"/>
              </w:rPr>
              <w:t>teaching</w:t>
            </w:r>
            <w:r>
              <w:rPr>
                <w:spacing w:val="11"/>
              </w:rPr>
              <w:t xml:space="preserve"> </w:t>
            </w:r>
            <w:r>
              <w:rPr>
                <w:spacing w:val="-15"/>
              </w:rPr>
              <w:t>quality</w:t>
            </w:r>
            <w:r>
              <w:rPr>
                <w:spacing w:val="12"/>
              </w:rPr>
              <w:t xml:space="preserve"> </w:t>
            </w:r>
            <w:r>
              <w:rPr>
                <w:spacing w:val="-15"/>
              </w:rPr>
              <w:t>culture</w:t>
            </w:r>
            <w:r>
              <w:rPr>
                <w:spacing w:val="11"/>
              </w:rPr>
              <w:t xml:space="preserve"> </w:t>
            </w:r>
            <w:r>
              <w:rPr>
                <w:spacing w:val="-15"/>
              </w:rPr>
              <w:t>in</w:t>
            </w:r>
            <w:r>
              <w:t xml:space="preserve">  </w:t>
            </w:r>
            <w:r>
              <w:rPr>
                <w:spacing w:val="-14"/>
              </w:rPr>
              <w:t>colleges</w:t>
            </w:r>
            <w:r>
              <w:rPr>
                <w:spacing w:val="19"/>
                <w:w w:val="101"/>
              </w:rPr>
              <w:t xml:space="preserve"> </w:t>
            </w:r>
            <w:r>
              <w:rPr>
                <w:spacing w:val="-14"/>
              </w:rPr>
              <w:t>and</w:t>
            </w:r>
            <w:r>
              <w:rPr>
                <w:spacing w:val="10"/>
              </w:rPr>
              <w:t xml:space="preserve"> </w:t>
            </w:r>
            <w:r>
              <w:rPr>
                <w:spacing w:val="-14"/>
              </w:rPr>
              <w:t>universities</w:t>
            </w:r>
            <w:r>
              <w:rPr>
                <w:spacing w:val="12"/>
              </w:rPr>
              <w:t xml:space="preserve"> </w:t>
            </w:r>
            <w:r>
              <w:rPr>
                <w:spacing w:val="-14"/>
              </w:rPr>
              <w:t>become</w:t>
            </w:r>
            <w:r>
              <w:rPr>
                <w:spacing w:val="13"/>
                <w:w w:val="101"/>
              </w:rPr>
              <w:t xml:space="preserve"> </w:t>
            </w:r>
            <w:r>
              <w:rPr>
                <w:spacing w:val="-14"/>
              </w:rPr>
              <w:t>a</w:t>
            </w:r>
            <w:r>
              <w:rPr>
                <w:spacing w:val="13"/>
              </w:rPr>
              <w:t xml:space="preserve"> </w:t>
            </w:r>
            <w:r>
              <w:rPr>
                <w:spacing w:val="-14"/>
              </w:rPr>
              <w:t>culture</w:t>
            </w:r>
            <w:r>
              <w:rPr>
                <w:spacing w:val="12"/>
                <w:w w:val="101"/>
              </w:rPr>
              <w:t xml:space="preserve"> </w:t>
            </w:r>
            <w:r>
              <w:rPr>
                <w:spacing w:val="-14"/>
              </w:rPr>
              <w:t>of</w:t>
            </w:r>
            <w:r>
              <w:rPr>
                <w:spacing w:val="3"/>
              </w:rPr>
              <w:t xml:space="preserve"> </w:t>
            </w:r>
            <w:r>
              <w:rPr>
                <w:spacing w:val="-14"/>
              </w:rPr>
              <w:t>all</w:t>
            </w:r>
            <w:r>
              <w:rPr>
                <w:spacing w:val="-29"/>
              </w:rPr>
              <w:t xml:space="preserve"> </w:t>
            </w:r>
            <w:r>
              <w:rPr>
                <w:spacing w:val="-14"/>
              </w:rPr>
              <w:t>－staff</w:t>
            </w:r>
            <w:r>
              <w:rPr>
                <w:rFonts w:ascii="宋体" w:hAnsi="宋体" w:eastAsia="宋体" w:cs="宋体"/>
                <w:spacing w:val="-14"/>
              </w:rPr>
              <w:t>，</w:t>
            </w:r>
            <w:r>
              <w:rPr>
                <w:spacing w:val="-14"/>
              </w:rPr>
              <w:t>self－consciousness</w:t>
            </w:r>
            <w:r>
              <w:rPr>
                <w:rFonts w:ascii="宋体" w:hAnsi="宋体" w:eastAsia="宋体" w:cs="宋体"/>
                <w:spacing w:val="-14"/>
              </w:rPr>
              <w:t>，</w:t>
            </w:r>
            <w:r>
              <w:rPr>
                <w:spacing w:val="-14"/>
              </w:rPr>
              <w:t>develop</w:t>
            </w:r>
            <w:r>
              <w:rPr>
                <w:spacing w:val="-15"/>
              </w:rPr>
              <w:t>ment</w:t>
            </w:r>
            <w:r>
              <w:rPr>
                <w:spacing w:val="14"/>
              </w:rPr>
              <w:t xml:space="preserve"> </w:t>
            </w:r>
            <w:r>
              <w:rPr>
                <w:spacing w:val="-15"/>
              </w:rPr>
              <w:t>and</w:t>
            </w:r>
            <w:r>
              <w:rPr>
                <w:spacing w:val="12"/>
              </w:rPr>
              <w:t xml:space="preserve"> </w:t>
            </w:r>
            <w:r>
              <w:rPr>
                <w:spacing w:val="-15"/>
              </w:rPr>
              <w:t>origin．To</w:t>
            </w:r>
            <w:r>
              <w:rPr>
                <w:spacing w:val="14"/>
                <w:w w:val="101"/>
              </w:rPr>
              <w:t xml:space="preserve"> </w:t>
            </w:r>
            <w:r>
              <w:rPr>
                <w:spacing w:val="-15"/>
              </w:rPr>
              <w:t>strength-</w:t>
            </w:r>
            <w:r>
              <w:t xml:space="preserve"> </w:t>
            </w:r>
            <w:r>
              <w:rPr>
                <w:spacing w:val="-14"/>
              </w:rPr>
              <w:t>en</w:t>
            </w:r>
            <w:r>
              <w:rPr>
                <w:spacing w:val="31"/>
                <w:w w:val="101"/>
              </w:rPr>
              <w:t xml:space="preserve"> </w:t>
            </w:r>
            <w:r>
              <w:rPr>
                <w:spacing w:val="-14"/>
              </w:rPr>
              <w:t>the</w:t>
            </w:r>
            <w:r>
              <w:rPr>
                <w:spacing w:val="19"/>
              </w:rPr>
              <w:t xml:space="preserve"> </w:t>
            </w:r>
            <w:r>
              <w:rPr>
                <w:spacing w:val="-14"/>
              </w:rPr>
              <w:t>construction</w:t>
            </w:r>
            <w:r>
              <w:rPr>
                <w:spacing w:val="18"/>
              </w:rPr>
              <w:t xml:space="preserve"> </w:t>
            </w:r>
            <w:r>
              <w:rPr>
                <w:spacing w:val="-14"/>
              </w:rPr>
              <w:t>of teaching</w:t>
            </w:r>
            <w:r>
              <w:rPr>
                <w:spacing w:val="9"/>
              </w:rPr>
              <w:t xml:space="preserve"> </w:t>
            </w:r>
            <w:r>
              <w:rPr>
                <w:spacing w:val="-14"/>
              </w:rPr>
              <w:t>quality</w:t>
            </w:r>
            <w:r>
              <w:rPr>
                <w:spacing w:val="9"/>
              </w:rPr>
              <w:t xml:space="preserve"> </w:t>
            </w:r>
            <w:r>
              <w:rPr>
                <w:spacing w:val="-14"/>
              </w:rPr>
              <w:t>culture</w:t>
            </w:r>
            <w:r>
              <w:rPr>
                <w:spacing w:val="9"/>
              </w:rPr>
              <w:t xml:space="preserve"> </w:t>
            </w:r>
            <w:r>
              <w:rPr>
                <w:spacing w:val="-14"/>
              </w:rPr>
              <w:t>in</w:t>
            </w:r>
            <w:r>
              <w:rPr>
                <w:spacing w:val="9"/>
              </w:rPr>
              <w:t xml:space="preserve"> </w:t>
            </w:r>
            <w:r>
              <w:rPr>
                <w:spacing w:val="-14"/>
              </w:rPr>
              <w:t>colleges</w:t>
            </w:r>
            <w:r>
              <w:rPr>
                <w:spacing w:val="10"/>
              </w:rPr>
              <w:t xml:space="preserve"> </w:t>
            </w:r>
            <w:r>
              <w:rPr>
                <w:spacing w:val="-14"/>
              </w:rPr>
              <w:t>and</w:t>
            </w:r>
            <w:r>
              <w:rPr>
                <w:spacing w:val="6"/>
              </w:rPr>
              <w:t xml:space="preserve"> </w:t>
            </w:r>
            <w:r>
              <w:rPr>
                <w:spacing w:val="-14"/>
              </w:rPr>
              <w:t>universities</w:t>
            </w:r>
            <w:r>
              <w:rPr>
                <w:rFonts w:ascii="宋体" w:hAnsi="宋体" w:eastAsia="宋体" w:cs="宋体"/>
                <w:spacing w:val="-14"/>
              </w:rPr>
              <w:t>，</w:t>
            </w:r>
            <w:r>
              <w:rPr>
                <w:spacing w:val="-14"/>
              </w:rPr>
              <w:t>it</w:t>
            </w:r>
            <w:r>
              <w:rPr>
                <w:spacing w:val="10"/>
              </w:rPr>
              <w:t xml:space="preserve"> </w:t>
            </w:r>
            <w:r>
              <w:rPr>
                <w:spacing w:val="-14"/>
              </w:rPr>
              <w:t>is</w:t>
            </w:r>
            <w:r>
              <w:rPr>
                <w:spacing w:val="9"/>
              </w:rPr>
              <w:t xml:space="preserve"> </w:t>
            </w:r>
            <w:r>
              <w:rPr>
                <w:spacing w:val="-14"/>
              </w:rPr>
              <w:t>essential</w:t>
            </w:r>
            <w:r>
              <w:rPr>
                <w:spacing w:val="7"/>
              </w:rPr>
              <w:t xml:space="preserve"> </w:t>
            </w:r>
            <w:r>
              <w:rPr>
                <w:spacing w:val="-14"/>
              </w:rPr>
              <w:t>to</w:t>
            </w:r>
            <w:r>
              <w:rPr>
                <w:spacing w:val="10"/>
              </w:rPr>
              <w:t xml:space="preserve"> </w:t>
            </w:r>
            <w:r>
              <w:rPr>
                <w:spacing w:val="-14"/>
              </w:rPr>
              <w:t>set</w:t>
            </w:r>
            <w:r>
              <w:rPr>
                <w:spacing w:val="8"/>
              </w:rPr>
              <w:t xml:space="preserve"> </w:t>
            </w:r>
            <w:r>
              <w:rPr>
                <w:spacing w:val="-14"/>
              </w:rPr>
              <w:t>up</w:t>
            </w:r>
            <w:r>
              <w:rPr>
                <w:spacing w:val="6"/>
              </w:rPr>
              <w:t xml:space="preserve"> </w:t>
            </w:r>
            <w:r>
              <w:rPr>
                <w:spacing w:val="-14"/>
              </w:rPr>
              <w:t>teaching</w:t>
            </w:r>
            <w:r>
              <w:rPr>
                <w:spacing w:val="9"/>
              </w:rPr>
              <w:t xml:space="preserve"> </w:t>
            </w:r>
            <w:r>
              <w:rPr>
                <w:spacing w:val="-14"/>
              </w:rPr>
              <w:t>academ-</w:t>
            </w:r>
            <w:r>
              <w:t xml:space="preserve"> </w:t>
            </w:r>
            <w:r>
              <w:rPr>
                <w:spacing w:val="-16"/>
              </w:rPr>
              <w:t>ic</w:t>
            </w:r>
            <w:r>
              <w:rPr>
                <w:spacing w:val="19"/>
              </w:rPr>
              <w:t xml:space="preserve"> </w:t>
            </w:r>
            <w:r>
              <w:rPr>
                <w:spacing w:val="-16"/>
              </w:rPr>
              <w:t>idea</w:t>
            </w:r>
            <w:r>
              <w:rPr>
                <w:rFonts w:ascii="宋体" w:hAnsi="宋体" w:eastAsia="宋体" w:cs="宋体"/>
                <w:spacing w:val="-16"/>
              </w:rPr>
              <w:t>，</w:t>
            </w:r>
            <w:r>
              <w:rPr>
                <w:spacing w:val="-16"/>
              </w:rPr>
              <w:t>improve</w:t>
            </w:r>
            <w:r>
              <w:rPr>
                <w:spacing w:val="18"/>
                <w:w w:val="101"/>
              </w:rPr>
              <w:t xml:space="preserve"> </w:t>
            </w:r>
            <w:r>
              <w:rPr>
                <w:spacing w:val="-16"/>
              </w:rPr>
              <w:t>teaching</w:t>
            </w:r>
            <w:r>
              <w:rPr>
                <w:spacing w:val="30"/>
                <w:w w:val="101"/>
              </w:rPr>
              <w:t xml:space="preserve"> </w:t>
            </w:r>
            <w:r>
              <w:rPr>
                <w:spacing w:val="-16"/>
              </w:rPr>
              <w:t>academic</w:t>
            </w:r>
            <w:r>
              <w:rPr>
                <w:spacing w:val="30"/>
              </w:rPr>
              <w:t xml:space="preserve"> </w:t>
            </w:r>
            <w:r>
              <w:rPr>
                <w:spacing w:val="-16"/>
              </w:rPr>
              <w:t>management</w:t>
            </w:r>
            <w:r>
              <w:rPr>
                <w:spacing w:val="30"/>
              </w:rPr>
              <w:t xml:space="preserve"> </w:t>
            </w:r>
            <w:r>
              <w:rPr>
                <w:spacing w:val="-16"/>
              </w:rPr>
              <w:t>mechanism</w:t>
            </w:r>
            <w:r>
              <w:rPr>
                <w:spacing w:val="30"/>
              </w:rPr>
              <w:t xml:space="preserve"> </w:t>
            </w:r>
            <w:r>
              <w:rPr>
                <w:spacing w:val="-16"/>
              </w:rPr>
              <w:t>and</w:t>
            </w:r>
            <w:r>
              <w:rPr>
                <w:spacing w:val="30"/>
                <w:w w:val="101"/>
              </w:rPr>
              <w:t xml:space="preserve"> </w:t>
            </w:r>
            <w:r>
              <w:rPr>
                <w:spacing w:val="-16"/>
              </w:rPr>
              <w:t>carry</w:t>
            </w:r>
            <w:r>
              <w:rPr>
                <w:spacing w:val="30"/>
              </w:rPr>
              <w:t xml:space="preserve"> </w:t>
            </w:r>
            <w:r>
              <w:rPr>
                <w:spacing w:val="-16"/>
              </w:rPr>
              <w:t>out</w:t>
            </w:r>
            <w:r>
              <w:rPr>
                <w:spacing w:val="28"/>
              </w:rPr>
              <w:t xml:space="preserve"> </w:t>
            </w:r>
            <w:r>
              <w:rPr>
                <w:spacing w:val="-16"/>
              </w:rPr>
              <w:t>teaching</w:t>
            </w:r>
            <w:r>
              <w:rPr>
                <w:spacing w:val="31"/>
              </w:rPr>
              <w:t xml:space="preserve"> </w:t>
            </w:r>
            <w:r>
              <w:rPr>
                <w:spacing w:val="-16"/>
              </w:rPr>
              <w:t>academic</w:t>
            </w:r>
            <w:r>
              <w:rPr>
                <w:spacing w:val="30"/>
                <w:w w:val="101"/>
              </w:rPr>
              <w:t xml:space="preserve"> </w:t>
            </w:r>
            <w:r>
              <w:rPr>
                <w:spacing w:val="-16"/>
              </w:rPr>
              <w:t>activitie</w:t>
            </w:r>
            <w:r>
              <w:rPr>
                <w:spacing w:val="-17"/>
              </w:rPr>
              <w:t>s</w:t>
            </w:r>
            <w:r>
              <w:rPr>
                <w:spacing w:val="-26"/>
              </w:rPr>
              <w:t xml:space="preserve"> </w:t>
            </w:r>
            <w:r>
              <w:rPr>
                <w:rFonts w:ascii="宋体" w:hAnsi="宋体" w:eastAsia="宋体" w:cs="宋体"/>
                <w:spacing w:val="-17"/>
              </w:rPr>
              <w:t>，</w:t>
            </w:r>
            <w:r>
              <w:rPr>
                <w:spacing w:val="-17"/>
              </w:rPr>
              <w:t>so</w:t>
            </w:r>
            <w:r>
              <w:rPr>
                <w:spacing w:val="31"/>
              </w:rPr>
              <w:t xml:space="preserve"> </w:t>
            </w:r>
            <w:r>
              <w:rPr>
                <w:spacing w:val="-17"/>
              </w:rPr>
              <w:t>as</w:t>
            </w:r>
            <w:r>
              <w:rPr>
                <w:spacing w:val="28"/>
              </w:rPr>
              <w:t xml:space="preserve"> </w:t>
            </w:r>
            <w:r>
              <w:rPr>
                <w:spacing w:val="-17"/>
              </w:rPr>
              <w:t>to</w:t>
            </w:r>
            <w:r>
              <w:t xml:space="preserve">  </w:t>
            </w:r>
            <w:r>
              <w:rPr>
                <w:spacing w:val="-15"/>
              </w:rPr>
              <w:t>guide</w:t>
            </w:r>
            <w:r>
              <w:rPr>
                <w:spacing w:val="19"/>
                <w:w w:val="101"/>
              </w:rPr>
              <w:t xml:space="preserve"> </w:t>
            </w:r>
            <w:r>
              <w:rPr>
                <w:spacing w:val="-15"/>
              </w:rPr>
              <w:t>and</w:t>
            </w:r>
            <w:r>
              <w:rPr>
                <w:spacing w:val="16"/>
                <w:w w:val="101"/>
              </w:rPr>
              <w:t xml:space="preserve"> </w:t>
            </w:r>
            <w:r>
              <w:rPr>
                <w:spacing w:val="-15"/>
              </w:rPr>
              <w:t>promote</w:t>
            </w:r>
            <w:r>
              <w:rPr>
                <w:spacing w:val="16"/>
                <w:w w:val="101"/>
              </w:rPr>
              <w:t xml:space="preserve"> </w:t>
            </w:r>
            <w:r>
              <w:rPr>
                <w:spacing w:val="-15"/>
              </w:rPr>
              <w:t>the</w:t>
            </w:r>
            <w:r>
              <w:rPr>
                <w:spacing w:val="19"/>
              </w:rPr>
              <w:t xml:space="preserve"> </w:t>
            </w:r>
            <w:r>
              <w:rPr>
                <w:spacing w:val="-15"/>
              </w:rPr>
              <w:t>development</w:t>
            </w:r>
            <w:r>
              <w:rPr>
                <w:spacing w:val="18"/>
                <w:w w:val="101"/>
              </w:rPr>
              <w:t xml:space="preserve"> </w:t>
            </w:r>
            <w:r>
              <w:rPr>
                <w:spacing w:val="-15"/>
              </w:rPr>
              <w:t>of</w:t>
            </w:r>
            <w:r>
              <w:rPr>
                <w:spacing w:val="7"/>
              </w:rPr>
              <w:t xml:space="preserve"> </w:t>
            </w:r>
            <w:r>
              <w:rPr>
                <w:spacing w:val="-15"/>
              </w:rPr>
              <w:t>high</w:t>
            </w:r>
            <w:r>
              <w:rPr>
                <w:spacing w:val="19"/>
              </w:rPr>
              <w:t xml:space="preserve"> </w:t>
            </w:r>
            <w:r>
              <w:rPr>
                <w:spacing w:val="-15"/>
              </w:rPr>
              <w:t>qualit</w:t>
            </w:r>
            <w:r>
              <w:rPr>
                <w:spacing w:val="-16"/>
              </w:rPr>
              <w:t>y</w:t>
            </w:r>
            <w:r>
              <w:rPr>
                <w:spacing w:val="16"/>
                <w:w w:val="101"/>
              </w:rPr>
              <w:t xml:space="preserve"> </w:t>
            </w:r>
            <w:r>
              <w:rPr>
                <w:spacing w:val="-16"/>
              </w:rPr>
              <w:t>teaching</w:t>
            </w:r>
            <w:r>
              <w:rPr>
                <w:spacing w:val="18"/>
                <w:w w:val="101"/>
              </w:rPr>
              <w:t xml:space="preserve"> </w:t>
            </w:r>
            <w:r>
              <w:rPr>
                <w:spacing w:val="-16"/>
              </w:rPr>
              <w:t>in</w:t>
            </w:r>
            <w:r>
              <w:rPr>
                <w:spacing w:val="18"/>
                <w:w w:val="101"/>
              </w:rPr>
              <w:t xml:space="preserve"> </w:t>
            </w:r>
            <w:r>
              <w:rPr>
                <w:spacing w:val="-16"/>
              </w:rPr>
              <w:t>colleges</w:t>
            </w:r>
            <w:r>
              <w:rPr>
                <w:spacing w:val="19"/>
                <w:w w:val="101"/>
              </w:rPr>
              <w:t xml:space="preserve"> </w:t>
            </w:r>
            <w:r>
              <w:rPr>
                <w:spacing w:val="-16"/>
              </w:rPr>
              <w:t>and</w:t>
            </w:r>
            <w:r>
              <w:rPr>
                <w:spacing w:val="16"/>
                <w:w w:val="101"/>
              </w:rPr>
              <w:t xml:space="preserve"> </w:t>
            </w:r>
            <w:r>
              <w:rPr>
                <w:spacing w:val="-16"/>
              </w:rPr>
              <w:t>universities.</w:t>
            </w:r>
          </w:p>
          <w:p>
            <w:pPr>
              <w:pStyle w:val="6"/>
              <w:spacing w:before="124" w:line="163" w:lineRule="auto"/>
              <w:ind w:left="853"/>
            </w:pPr>
            <w:r>
              <w:rPr>
                <w:spacing w:val="-14"/>
              </w:rPr>
              <w:t>Key</w:t>
            </w:r>
            <w:r>
              <w:rPr>
                <w:spacing w:val="16"/>
                <w:w w:val="101"/>
              </w:rPr>
              <w:t xml:space="preserve"> </w:t>
            </w:r>
            <w:r>
              <w:rPr>
                <w:spacing w:val="-14"/>
              </w:rPr>
              <w:t xml:space="preserve">words </w:t>
            </w:r>
            <w:r>
              <w:rPr>
                <w:rFonts w:ascii="宋体" w:hAnsi="宋体" w:eastAsia="宋体" w:cs="宋体"/>
                <w:spacing w:val="-14"/>
              </w:rPr>
              <w:t>:</w:t>
            </w:r>
            <w:r>
              <w:rPr>
                <w:rFonts w:ascii="宋体" w:hAnsi="宋体" w:eastAsia="宋体" w:cs="宋体"/>
                <w:spacing w:val="-46"/>
              </w:rPr>
              <w:t xml:space="preserve"> </w:t>
            </w:r>
            <w:r>
              <w:rPr>
                <w:spacing w:val="-14"/>
              </w:rPr>
              <w:t>Teaching</w:t>
            </w:r>
            <w:r>
              <w:rPr>
                <w:spacing w:val="17"/>
              </w:rPr>
              <w:t xml:space="preserve"> </w:t>
            </w:r>
            <w:r>
              <w:rPr>
                <w:spacing w:val="-14"/>
              </w:rPr>
              <w:t>Academic</w:t>
            </w:r>
            <w:r>
              <w:rPr>
                <w:spacing w:val="-12"/>
              </w:rPr>
              <w:t xml:space="preserve"> </w:t>
            </w:r>
            <w:r>
              <w:rPr>
                <w:rFonts w:ascii="宋体" w:hAnsi="宋体" w:eastAsia="宋体" w:cs="宋体"/>
                <w:spacing w:val="-14"/>
              </w:rPr>
              <w:t>;</w:t>
            </w:r>
            <w:r>
              <w:rPr>
                <w:rFonts w:ascii="宋体" w:hAnsi="宋体" w:eastAsia="宋体" w:cs="宋体"/>
                <w:spacing w:val="20"/>
              </w:rPr>
              <w:t xml:space="preserve"> </w:t>
            </w:r>
            <w:r>
              <w:rPr>
                <w:spacing w:val="-14"/>
              </w:rPr>
              <w:t>University</w:t>
            </w:r>
            <w:r>
              <w:rPr>
                <w:spacing w:val="15"/>
                <w:w w:val="101"/>
              </w:rPr>
              <w:t xml:space="preserve"> </w:t>
            </w:r>
            <w:r>
              <w:rPr>
                <w:spacing w:val="-14"/>
              </w:rPr>
              <w:t>Teaching</w:t>
            </w:r>
            <w:r>
              <w:rPr>
                <w:spacing w:val="-12"/>
              </w:rPr>
              <w:t xml:space="preserve"> </w:t>
            </w:r>
            <w:r>
              <w:rPr>
                <w:rFonts w:ascii="宋体" w:hAnsi="宋体" w:eastAsia="宋体" w:cs="宋体"/>
                <w:spacing w:val="-14"/>
              </w:rPr>
              <w:t>;</w:t>
            </w:r>
            <w:r>
              <w:rPr>
                <w:rFonts w:ascii="宋体" w:hAnsi="宋体" w:eastAsia="宋体" w:cs="宋体"/>
                <w:spacing w:val="15"/>
              </w:rPr>
              <w:t xml:space="preserve"> </w:t>
            </w:r>
            <w:r>
              <w:rPr>
                <w:spacing w:val="-14"/>
              </w:rPr>
              <w:t>Teaching</w:t>
            </w:r>
            <w:r>
              <w:rPr>
                <w:spacing w:val="21"/>
                <w:w w:val="101"/>
              </w:rPr>
              <w:t xml:space="preserve"> </w:t>
            </w:r>
            <w:r>
              <w:rPr>
                <w:spacing w:val="-14"/>
              </w:rPr>
              <w:t>Quality</w:t>
            </w:r>
            <w:r>
              <w:rPr>
                <w:spacing w:val="21"/>
                <w:w w:val="101"/>
              </w:rPr>
              <w:t xml:space="preserve"> </w:t>
            </w:r>
            <w:r>
              <w:rPr>
                <w:spacing w:val="-14"/>
              </w:rPr>
              <w:t>Cul</w:t>
            </w:r>
            <w:r>
              <w:rPr>
                <w:spacing w:val="-15"/>
              </w:rPr>
              <w:t>ture</w:t>
            </w:r>
            <w:r>
              <w:rPr>
                <w:spacing w:val="-12"/>
              </w:rPr>
              <w:t xml:space="preserve"> </w:t>
            </w:r>
            <w:r>
              <w:rPr>
                <w:rFonts w:ascii="宋体" w:hAnsi="宋体" w:eastAsia="宋体" w:cs="宋体"/>
                <w:spacing w:val="-15"/>
              </w:rPr>
              <w:t>;</w:t>
            </w:r>
            <w:r>
              <w:rPr>
                <w:rFonts w:ascii="宋体" w:hAnsi="宋体" w:eastAsia="宋体" w:cs="宋体"/>
                <w:spacing w:val="-39"/>
              </w:rPr>
              <w:t xml:space="preserve"> </w:t>
            </w:r>
            <w:r>
              <w:rPr>
                <w:spacing w:val="-15"/>
              </w:rPr>
              <w:t>Cultural</w:t>
            </w:r>
            <w:r>
              <w:rPr>
                <w:spacing w:val="21"/>
                <w:w w:val="101"/>
              </w:rPr>
              <w:t xml:space="preserve"> </w:t>
            </w:r>
            <w:r>
              <w:rPr>
                <w:spacing w:val="-15"/>
              </w:rPr>
              <w:t>Construction</w:t>
            </w:r>
          </w:p>
        </w:tc>
      </w:tr>
    </w:tbl>
    <w:p>
      <w:pPr>
        <w:rPr>
          <w:rFonts w:ascii="Arial"/>
          <w:sz w:val="21"/>
        </w:rPr>
      </w:pPr>
    </w:p>
    <w:p>
      <w:pPr>
        <w:spacing w:line="66" w:lineRule="exact"/>
      </w:pPr>
    </w:p>
    <w:p>
      <w:pPr>
        <w:spacing w:line="66" w:lineRule="exact"/>
        <w:sectPr>
          <w:headerReference r:id="rId50" w:type="default"/>
          <w:footerReference r:id="rId51" w:type="default"/>
          <w:pgSz w:w="11905" w:h="16836"/>
          <w:pgMar w:top="1109" w:right="1336" w:bottom="547" w:left="407" w:header="720" w:footer="354" w:gutter="0"/>
          <w:cols w:equalWidth="0" w:num="1">
            <w:col w:w="10160"/>
          </w:cols>
        </w:sectPr>
      </w:pPr>
    </w:p>
    <w:p>
      <w:pPr>
        <w:spacing w:before="39" w:line="262" w:lineRule="auto"/>
        <w:ind w:left="931" w:right="331" w:firstLine="422"/>
        <w:jc w:val="both"/>
        <w:rPr>
          <w:rFonts w:ascii="宋体" w:hAnsi="宋体" w:eastAsia="宋体" w:cs="宋体"/>
          <w:sz w:val="20"/>
          <w:szCs w:val="20"/>
        </w:rPr>
      </w:pPr>
      <w:r>
        <w:rPr>
          <w:rFonts w:ascii="宋体" w:hAnsi="宋体" w:eastAsia="宋体" w:cs="宋体"/>
          <w:spacing w:val="9"/>
          <w:sz w:val="20"/>
          <w:szCs w:val="20"/>
        </w:rPr>
        <w:t>教育高质量发展开启了新时代教育发展的新</w:t>
      </w:r>
      <w:r>
        <w:rPr>
          <w:rFonts w:ascii="宋体" w:hAnsi="宋体" w:eastAsia="宋体" w:cs="宋体"/>
          <w:sz w:val="20"/>
          <w:szCs w:val="20"/>
        </w:rPr>
        <w:t xml:space="preserve"> </w:t>
      </w:r>
      <w:r>
        <w:rPr>
          <w:rFonts w:ascii="宋体" w:hAnsi="宋体" w:eastAsia="宋体" w:cs="宋体"/>
          <w:spacing w:val="9"/>
          <w:sz w:val="20"/>
          <w:szCs w:val="20"/>
        </w:rPr>
        <w:t>序章和新征程</w:t>
      </w:r>
      <w:r>
        <w:rPr>
          <w:rFonts w:ascii="宋体" w:hAnsi="宋体" w:eastAsia="宋体" w:cs="宋体"/>
          <w:spacing w:val="9"/>
          <w:position w:val="1"/>
          <w:sz w:val="20"/>
          <w:szCs w:val="20"/>
        </w:rPr>
        <w:t>，</w:t>
      </w:r>
      <w:r>
        <w:rPr>
          <w:rFonts w:ascii="宋体" w:hAnsi="宋体" w:eastAsia="宋体" w:cs="宋体"/>
          <w:spacing w:val="9"/>
          <w:sz w:val="20"/>
          <w:szCs w:val="20"/>
        </w:rPr>
        <w:t>是新时代教育发展的根本使命和</w:t>
      </w:r>
      <w:r>
        <w:rPr>
          <w:rFonts w:ascii="宋体" w:hAnsi="宋体" w:eastAsia="宋体" w:cs="宋体"/>
          <w:spacing w:val="6"/>
          <w:sz w:val="20"/>
          <w:szCs w:val="20"/>
        </w:rPr>
        <w:t xml:space="preserve"> </w:t>
      </w:r>
      <w:r>
        <w:rPr>
          <w:rFonts w:ascii="宋体" w:hAnsi="宋体" w:eastAsia="宋体" w:cs="宋体"/>
          <w:spacing w:val="9"/>
          <w:sz w:val="20"/>
          <w:szCs w:val="20"/>
        </w:rPr>
        <w:t>主旋律</w:t>
      </w:r>
      <w:r>
        <w:rPr>
          <w:rFonts w:ascii="宋体" w:hAnsi="宋体" w:eastAsia="宋体" w:cs="宋体"/>
          <w:spacing w:val="9"/>
          <w:position w:val="1"/>
          <w:sz w:val="20"/>
          <w:szCs w:val="20"/>
        </w:rPr>
        <w:t>，</w:t>
      </w:r>
      <w:r>
        <w:rPr>
          <w:rFonts w:ascii="宋体" w:hAnsi="宋体" w:eastAsia="宋体" w:cs="宋体"/>
          <w:spacing w:val="9"/>
          <w:sz w:val="20"/>
          <w:szCs w:val="20"/>
        </w:rPr>
        <w:t>是实现教育现代化和建设教育强国的内</w:t>
      </w:r>
    </w:p>
    <w:p>
      <w:pPr>
        <w:spacing w:line="14" w:lineRule="auto"/>
        <w:rPr>
          <w:rFonts w:ascii="Arial"/>
          <w:sz w:val="2"/>
        </w:rPr>
      </w:pPr>
      <w:r>
        <w:rPr>
          <w:rFonts w:ascii="Arial" w:hAnsi="Arial" w:eastAsia="Arial" w:cs="Arial"/>
          <w:sz w:val="2"/>
          <w:szCs w:val="2"/>
        </w:rPr>
        <w:br w:type="column"/>
      </w:r>
    </w:p>
    <w:p>
      <w:pPr>
        <w:spacing w:before="36" w:line="219" w:lineRule="auto"/>
        <w:ind w:left="1" w:hanging="1"/>
        <w:jc w:val="both"/>
        <w:rPr>
          <w:rFonts w:ascii="宋体" w:hAnsi="宋体" w:eastAsia="宋体" w:cs="宋体"/>
          <w:sz w:val="20"/>
          <w:szCs w:val="20"/>
        </w:rPr>
      </w:pPr>
      <w:r>
        <w:rPr>
          <w:rFonts w:ascii="宋体" w:hAnsi="宋体" w:eastAsia="宋体" w:cs="宋体"/>
          <w:spacing w:val="9"/>
          <w:sz w:val="20"/>
          <w:szCs w:val="20"/>
        </w:rPr>
        <w:t>在诉求</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我国高等教育已从高速度发展迈入了高</w:t>
      </w:r>
      <w:r>
        <w:rPr>
          <w:rFonts w:ascii="宋体" w:hAnsi="宋体" w:eastAsia="宋体" w:cs="宋体"/>
          <w:spacing w:val="7"/>
          <w:sz w:val="20"/>
          <w:szCs w:val="20"/>
        </w:rPr>
        <w:t xml:space="preserve"> </w:t>
      </w:r>
      <w:r>
        <w:rPr>
          <w:rFonts w:ascii="宋体" w:hAnsi="宋体" w:eastAsia="宋体" w:cs="宋体"/>
          <w:spacing w:val="9"/>
          <w:sz w:val="20"/>
          <w:szCs w:val="20"/>
        </w:rPr>
        <w:t>质量发展的新阶段</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教学质量作为高校教育质量</w:t>
      </w:r>
      <w:r>
        <w:rPr>
          <w:rFonts w:ascii="宋体" w:hAnsi="宋体" w:eastAsia="宋体" w:cs="宋体"/>
          <w:spacing w:val="6"/>
          <w:sz w:val="20"/>
          <w:szCs w:val="20"/>
        </w:rPr>
        <w:t xml:space="preserve"> </w:t>
      </w:r>
      <w:r>
        <w:rPr>
          <w:rFonts w:ascii="宋体" w:hAnsi="宋体" w:eastAsia="宋体" w:cs="宋体"/>
          <w:spacing w:val="9"/>
          <w:sz w:val="20"/>
          <w:szCs w:val="20"/>
        </w:rPr>
        <w:t>的核心和根本内容</w:t>
      </w:r>
      <w:r>
        <w:rPr>
          <w:rFonts w:ascii="宋体" w:hAnsi="宋体" w:eastAsia="宋体" w:cs="宋体"/>
          <w:spacing w:val="9"/>
          <w:position w:val="1"/>
          <w:sz w:val="20"/>
          <w:szCs w:val="20"/>
        </w:rPr>
        <w:t>，</w:t>
      </w:r>
      <w:r>
        <w:rPr>
          <w:rFonts w:ascii="宋体" w:hAnsi="宋体" w:eastAsia="宋体" w:cs="宋体"/>
          <w:spacing w:val="9"/>
          <w:sz w:val="20"/>
          <w:szCs w:val="20"/>
        </w:rPr>
        <w:t>是实现高等教育高质量发展</w:t>
      </w:r>
    </w:p>
    <w:p>
      <w:pPr>
        <w:spacing w:line="219" w:lineRule="auto"/>
        <w:rPr>
          <w:rFonts w:ascii="宋体" w:hAnsi="宋体" w:eastAsia="宋体" w:cs="宋体"/>
          <w:sz w:val="20"/>
          <w:szCs w:val="20"/>
        </w:rPr>
        <w:sectPr>
          <w:type w:val="continuous"/>
          <w:pgSz w:w="11905" w:h="16836"/>
          <w:pgMar w:top="1109" w:right="1336" w:bottom="547" w:left="407" w:header="720" w:footer="354" w:gutter="0"/>
          <w:cols w:equalWidth="0" w:num="2">
            <w:col w:w="5660" w:space="100"/>
            <w:col w:w="4400"/>
          </w:cols>
        </w:sect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4" w:line="196" w:lineRule="auto"/>
        <w:ind w:left="929"/>
        <w:rPr>
          <w:rFonts w:ascii="微软雅黑" w:hAnsi="微软雅黑" w:eastAsia="微软雅黑" w:cs="微软雅黑"/>
          <w:sz w:val="15"/>
          <w:szCs w:val="15"/>
        </w:rPr>
      </w:pPr>
      <w:r>
        <w:rPr>
          <w:rFonts w:ascii="黑体" w:hAnsi="黑体" w:eastAsia="黑体" w:cs="黑体"/>
          <w:spacing w:val="-8"/>
          <w:sz w:val="15"/>
          <w:szCs w:val="15"/>
        </w:rPr>
        <w:t>收稿日期</w:t>
      </w:r>
      <w:r>
        <w:rPr>
          <w:rFonts w:ascii="黑体" w:hAnsi="黑体" w:eastAsia="黑体" w:cs="黑体"/>
          <w:spacing w:val="-41"/>
          <w:sz w:val="15"/>
          <w:szCs w:val="15"/>
        </w:rPr>
        <w:t xml:space="preserve"> </w:t>
      </w:r>
      <w:r>
        <w:rPr>
          <w:rFonts w:ascii="黑体" w:hAnsi="黑体" w:eastAsia="黑体" w:cs="黑体"/>
          <w:spacing w:val="-8"/>
          <w:sz w:val="15"/>
          <w:szCs w:val="15"/>
        </w:rPr>
        <w:t>:</w:t>
      </w:r>
      <w:r>
        <w:rPr>
          <w:rFonts w:ascii="黑体" w:hAnsi="黑体" w:eastAsia="黑体" w:cs="黑体"/>
          <w:spacing w:val="-45"/>
          <w:sz w:val="15"/>
          <w:szCs w:val="15"/>
        </w:rPr>
        <w:t xml:space="preserve"> </w:t>
      </w:r>
      <w:r>
        <w:rPr>
          <w:rFonts w:ascii="微软雅黑" w:hAnsi="微软雅黑" w:eastAsia="微软雅黑" w:cs="微软雅黑"/>
          <w:spacing w:val="-8"/>
          <w:sz w:val="15"/>
          <w:szCs w:val="15"/>
        </w:rPr>
        <w:t>2020</w:t>
      </w:r>
      <w:r>
        <w:rPr>
          <w:rFonts w:ascii="微软雅黑" w:hAnsi="微软雅黑" w:eastAsia="微软雅黑" w:cs="微软雅黑"/>
          <w:spacing w:val="-18"/>
          <w:sz w:val="15"/>
          <w:szCs w:val="15"/>
        </w:rPr>
        <w:t xml:space="preserve"> </w:t>
      </w:r>
      <w:r>
        <w:rPr>
          <w:rFonts w:ascii="微软雅黑" w:hAnsi="微软雅黑" w:eastAsia="微软雅黑" w:cs="微软雅黑"/>
          <w:spacing w:val="-8"/>
          <w:sz w:val="15"/>
          <w:szCs w:val="15"/>
        </w:rPr>
        <w:t>－10－25</w:t>
      </w:r>
    </w:p>
    <w:p>
      <w:pPr>
        <w:spacing w:before="24" w:line="211" w:lineRule="auto"/>
        <w:ind w:left="1647" w:hanging="717"/>
        <w:rPr>
          <w:rFonts w:ascii="微软雅黑" w:hAnsi="微软雅黑" w:eastAsia="微软雅黑" w:cs="微软雅黑"/>
          <w:sz w:val="15"/>
          <w:szCs w:val="15"/>
        </w:rPr>
      </w:pPr>
      <w:r>
        <w:rPr>
          <w:rFonts w:ascii="黑体" w:hAnsi="黑体" w:eastAsia="黑体" w:cs="黑体"/>
          <w:sz w:val="15"/>
          <w:szCs w:val="15"/>
        </w:rPr>
        <w:t>基金项目</w:t>
      </w:r>
      <w:r>
        <w:rPr>
          <w:rFonts w:ascii="黑体" w:hAnsi="黑体" w:eastAsia="黑体" w:cs="黑体"/>
          <w:spacing w:val="-41"/>
          <w:sz w:val="15"/>
          <w:szCs w:val="15"/>
        </w:rPr>
        <w:t xml:space="preserve"> </w:t>
      </w:r>
      <w:r>
        <w:rPr>
          <w:rFonts w:ascii="黑体" w:hAnsi="黑体" w:eastAsia="黑体" w:cs="黑体"/>
          <w:sz w:val="15"/>
          <w:szCs w:val="15"/>
        </w:rPr>
        <w:t>:</w:t>
      </w:r>
      <w:r>
        <w:rPr>
          <w:rFonts w:ascii="黑体" w:hAnsi="黑体" w:eastAsia="黑体" w:cs="黑体"/>
          <w:spacing w:val="-19"/>
          <w:sz w:val="15"/>
          <w:szCs w:val="15"/>
        </w:rPr>
        <w:t xml:space="preserve"> </w:t>
      </w:r>
      <w:r>
        <w:rPr>
          <w:rFonts w:ascii="宋体" w:hAnsi="宋体" w:eastAsia="宋体" w:cs="宋体"/>
          <w:sz w:val="15"/>
          <w:szCs w:val="15"/>
        </w:rPr>
        <w:t>四川省高等学校人文社会科学重点研究基地</w:t>
      </w:r>
      <w:r>
        <w:rPr>
          <w:rFonts w:ascii="微软雅黑" w:hAnsi="微软雅黑" w:eastAsia="微软雅黑" w:cs="微软雅黑"/>
          <w:sz w:val="15"/>
          <w:szCs w:val="15"/>
        </w:rPr>
        <w:t>———</w:t>
      </w:r>
      <w:r>
        <w:rPr>
          <w:rFonts w:ascii="微软雅黑" w:hAnsi="微软雅黑" w:eastAsia="微软雅黑" w:cs="微软雅黑"/>
          <w:spacing w:val="-30"/>
          <w:sz w:val="15"/>
          <w:szCs w:val="15"/>
        </w:rPr>
        <w:t xml:space="preserve"> </w:t>
      </w:r>
      <w:r>
        <w:rPr>
          <w:rFonts w:ascii="宋体" w:hAnsi="宋体" w:eastAsia="宋体" w:cs="宋体"/>
          <w:sz w:val="15"/>
          <w:szCs w:val="15"/>
        </w:rPr>
        <w:t>统筹</w:t>
      </w:r>
      <w:r>
        <w:rPr>
          <w:rFonts w:ascii="宋体" w:hAnsi="宋体" w:eastAsia="宋体" w:cs="宋体"/>
          <w:spacing w:val="-1"/>
          <w:sz w:val="15"/>
          <w:szCs w:val="15"/>
        </w:rPr>
        <w:t>城乡教育发展研究中心项目(</w:t>
      </w:r>
      <w:r>
        <w:rPr>
          <w:rFonts w:ascii="宋体" w:hAnsi="宋体" w:eastAsia="宋体" w:cs="宋体"/>
          <w:spacing w:val="-38"/>
          <w:sz w:val="15"/>
          <w:szCs w:val="15"/>
        </w:rPr>
        <w:t xml:space="preserve"> </w:t>
      </w:r>
      <w:r>
        <w:rPr>
          <w:rFonts w:ascii="宋体" w:hAnsi="宋体" w:eastAsia="宋体" w:cs="宋体"/>
          <w:spacing w:val="-1"/>
          <w:sz w:val="15"/>
          <w:szCs w:val="15"/>
        </w:rPr>
        <w:t>项目编号:</w:t>
      </w:r>
      <w:r>
        <w:rPr>
          <w:rFonts w:ascii="宋体" w:hAnsi="宋体" w:eastAsia="宋体" w:cs="宋体"/>
          <w:spacing w:val="-36"/>
          <w:sz w:val="15"/>
          <w:szCs w:val="15"/>
        </w:rPr>
        <w:t xml:space="preserve"> </w:t>
      </w:r>
      <w:r>
        <w:rPr>
          <w:rFonts w:ascii="微软雅黑" w:hAnsi="微软雅黑" w:eastAsia="微软雅黑" w:cs="微软雅黑"/>
          <w:spacing w:val="-1"/>
          <w:sz w:val="15"/>
          <w:szCs w:val="15"/>
        </w:rPr>
        <w:t>TCCXJY－2020</w:t>
      </w:r>
      <w:r>
        <w:rPr>
          <w:rFonts w:ascii="微软雅黑" w:hAnsi="微软雅黑" w:eastAsia="微软雅黑" w:cs="微软雅黑"/>
          <w:spacing w:val="-11"/>
          <w:sz w:val="15"/>
          <w:szCs w:val="15"/>
        </w:rPr>
        <w:t xml:space="preserve"> </w:t>
      </w:r>
      <w:r>
        <w:rPr>
          <w:rFonts w:ascii="微软雅黑" w:hAnsi="微软雅黑" w:eastAsia="微软雅黑" w:cs="微软雅黑"/>
          <w:spacing w:val="-1"/>
          <w:sz w:val="15"/>
          <w:szCs w:val="15"/>
        </w:rPr>
        <w:t>－B21</w:t>
      </w:r>
      <w:r>
        <w:rPr>
          <w:rFonts w:ascii="宋体" w:hAnsi="宋体" w:eastAsia="宋体" w:cs="宋体"/>
          <w:spacing w:val="-1"/>
          <w:sz w:val="15"/>
          <w:szCs w:val="15"/>
        </w:rPr>
        <w:t>) ;</w:t>
      </w:r>
      <w:r>
        <w:rPr>
          <w:rFonts w:ascii="宋体" w:hAnsi="宋体" w:eastAsia="宋体" w:cs="宋体"/>
          <w:spacing w:val="-14"/>
          <w:sz w:val="15"/>
          <w:szCs w:val="15"/>
        </w:rPr>
        <w:t xml:space="preserve"> </w:t>
      </w:r>
      <w:r>
        <w:rPr>
          <w:rFonts w:ascii="宋体" w:hAnsi="宋体" w:eastAsia="宋体" w:cs="宋体"/>
          <w:spacing w:val="-1"/>
          <w:sz w:val="15"/>
          <w:szCs w:val="15"/>
        </w:rPr>
        <w:t>四川省</w:t>
      </w:r>
      <w:r>
        <w:rPr>
          <w:rFonts w:ascii="宋体" w:hAnsi="宋体" w:eastAsia="宋体" w:cs="宋体"/>
          <w:sz w:val="15"/>
          <w:szCs w:val="15"/>
        </w:rPr>
        <w:t xml:space="preserve"> 高等学校人文社会科学重点研究基地</w:t>
      </w:r>
      <w:r>
        <w:rPr>
          <w:rFonts w:ascii="微软雅黑" w:hAnsi="微软雅黑" w:eastAsia="微软雅黑" w:cs="微软雅黑"/>
          <w:sz w:val="15"/>
          <w:szCs w:val="15"/>
        </w:rPr>
        <w:t>———</w:t>
      </w:r>
      <w:r>
        <w:rPr>
          <w:rFonts w:ascii="微软雅黑" w:hAnsi="微软雅黑" w:eastAsia="微软雅黑" w:cs="微软雅黑"/>
          <w:spacing w:val="-34"/>
          <w:sz w:val="15"/>
          <w:szCs w:val="15"/>
        </w:rPr>
        <w:t xml:space="preserve"> </w:t>
      </w:r>
      <w:r>
        <w:rPr>
          <w:rFonts w:ascii="宋体" w:hAnsi="宋体" w:eastAsia="宋体" w:cs="宋体"/>
          <w:sz w:val="15"/>
          <w:szCs w:val="15"/>
        </w:rPr>
        <w:t>农村幼儿教育研究中心项目</w:t>
      </w:r>
      <w:r>
        <w:rPr>
          <w:rFonts w:ascii="宋体" w:hAnsi="宋体" w:eastAsia="宋体" w:cs="宋体"/>
          <w:spacing w:val="-1"/>
          <w:sz w:val="15"/>
          <w:szCs w:val="15"/>
        </w:rPr>
        <w:t>(</w:t>
      </w:r>
      <w:r>
        <w:rPr>
          <w:rFonts w:ascii="宋体" w:hAnsi="宋体" w:eastAsia="宋体" w:cs="宋体"/>
          <w:spacing w:val="-42"/>
          <w:sz w:val="15"/>
          <w:szCs w:val="15"/>
        </w:rPr>
        <w:t xml:space="preserve"> </w:t>
      </w:r>
      <w:r>
        <w:rPr>
          <w:rFonts w:ascii="宋体" w:hAnsi="宋体" w:eastAsia="宋体" w:cs="宋体"/>
          <w:spacing w:val="-1"/>
          <w:sz w:val="15"/>
          <w:szCs w:val="15"/>
        </w:rPr>
        <w:t>项目编号:</w:t>
      </w:r>
      <w:r>
        <w:rPr>
          <w:rFonts w:ascii="宋体" w:hAnsi="宋体" w:eastAsia="宋体" w:cs="宋体"/>
          <w:spacing w:val="-35"/>
          <w:sz w:val="15"/>
          <w:szCs w:val="15"/>
        </w:rPr>
        <w:t xml:space="preserve"> </w:t>
      </w:r>
      <w:r>
        <w:rPr>
          <w:rFonts w:ascii="微软雅黑" w:hAnsi="微软雅黑" w:eastAsia="微软雅黑" w:cs="微软雅黑"/>
          <w:spacing w:val="-1"/>
          <w:sz w:val="15"/>
          <w:szCs w:val="15"/>
        </w:rPr>
        <w:t>NYJ20200609</w:t>
      </w:r>
      <w:r>
        <w:rPr>
          <w:rFonts w:ascii="宋体" w:hAnsi="宋体" w:eastAsia="宋体" w:cs="宋体"/>
          <w:spacing w:val="-1"/>
          <w:sz w:val="15"/>
          <w:szCs w:val="15"/>
        </w:rPr>
        <w:t>) 阶段性研究成果</w:t>
      </w:r>
      <w:r>
        <w:rPr>
          <w:rFonts w:ascii="微软雅黑" w:hAnsi="微软雅黑" w:eastAsia="微软雅黑" w:cs="微软雅黑"/>
          <w:spacing w:val="-1"/>
          <w:sz w:val="15"/>
          <w:szCs w:val="15"/>
        </w:rPr>
        <w:t>。</w:t>
      </w:r>
    </w:p>
    <w:p>
      <w:pPr>
        <w:spacing w:before="25" w:line="198" w:lineRule="auto"/>
        <w:ind w:left="929"/>
        <w:rPr>
          <w:rFonts w:ascii="微软雅黑" w:hAnsi="微软雅黑" w:eastAsia="微软雅黑" w:cs="微软雅黑"/>
          <w:sz w:val="15"/>
          <w:szCs w:val="15"/>
        </w:rPr>
      </w:pPr>
      <w:r>
        <w:rPr>
          <w:rFonts w:ascii="黑体" w:hAnsi="黑体" w:eastAsia="黑体" w:cs="黑体"/>
          <w:spacing w:val="-4"/>
          <w:sz w:val="15"/>
          <w:szCs w:val="15"/>
        </w:rPr>
        <w:t>作者简介</w:t>
      </w:r>
      <w:r>
        <w:rPr>
          <w:rFonts w:ascii="黑体" w:hAnsi="黑体" w:eastAsia="黑体" w:cs="黑体"/>
          <w:spacing w:val="-40"/>
          <w:sz w:val="15"/>
          <w:szCs w:val="15"/>
        </w:rPr>
        <w:t xml:space="preserve"> </w:t>
      </w:r>
      <w:r>
        <w:rPr>
          <w:rFonts w:ascii="黑体" w:hAnsi="黑体" w:eastAsia="黑体" w:cs="黑体"/>
          <w:spacing w:val="-4"/>
          <w:sz w:val="15"/>
          <w:szCs w:val="15"/>
        </w:rPr>
        <w:t>:</w:t>
      </w:r>
      <w:r>
        <w:rPr>
          <w:rFonts w:ascii="黑体" w:hAnsi="黑体" w:eastAsia="黑体" w:cs="黑体"/>
          <w:spacing w:val="-33"/>
          <w:sz w:val="15"/>
          <w:szCs w:val="15"/>
        </w:rPr>
        <w:t xml:space="preserve"> </w:t>
      </w:r>
      <w:r>
        <w:rPr>
          <w:rFonts w:ascii="宋体" w:hAnsi="宋体" w:eastAsia="宋体" w:cs="宋体"/>
          <w:spacing w:val="-4"/>
          <w:sz w:val="15"/>
          <w:szCs w:val="15"/>
        </w:rPr>
        <w:t>周  波(</w:t>
      </w:r>
      <w:r>
        <w:rPr>
          <w:rFonts w:ascii="宋体" w:hAnsi="宋体" w:eastAsia="宋体" w:cs="宋体"/>
          <w:spacing w:val="-43"/>
          <w:sz w:val="15"/>
          <w:szCs w:val="15"/>
        </w:rPr>
        <w:t xml:space="preserve"> </w:t>
      </w:r>
      <w:r>
        <w:rPr>
          <w:rFonts w:ascii="微软雅黑" w:hAnsi="微软雅黑" w:eastAsia="微软雅黑" w:cs="微软雅黑"/>
          <w:spacing w:val="-4"/>
          <w:sz w:val="15"/>
          <w:szCs w:val="15"/>
        </w:rPr>
        <w:t>1982</w:t>
      </w:r>
      <w:r>
        <w:rPr>
          <w:rFonts w:ascii="微软雅黑" w:hAnsi="微软雅黑" w:eastAsia="微软雅黑" w:cs="微软雅黑"/>
          <w:spacing w:val="-19"/>
          <w:sz w:val="15"/>
          <w:szCs w:val="15"/>
        </w:rPr>
        <w:t xml:space="preserve"> </w:t>
      </w:r>
      <w:r>
        <w:rPr>
          <w:rFonts w:ascii="微软雅黑" w:hAnsi="微软雅黑" w:eastAsia="微软雅黑" w:cs="微软雅黑"/>
          <w:spacing w:val="-4"/>
          <w:sz w:val="15"/>
          <w:szCs w:val="15"/>
        </w:rPr>
        <w:t>－</w:t>
      </w:r>
      <w:r>
        <w:rPr>
          <w:rFonts w:ascii="宋体" w:hAnsi="宋体" w:eastAsia="宋体" w:cs="宋体"/>
          <w:spacing w:val="-4"/>
          <w:sz w:val="15"/>
          <w:szCs w:val="15"/>
        </w:rPr>
        <w:t>)</w:t>
      </w:r>
      <w:r>
        <w:rPr>
          <w:rFonts w:ascii="宋体" w:hAnsi="宋体" w:eastAsia="宋体" w:cs="宋体"/>
          <w:spacing w:val="-22"/>
          <w:sz w:val="15"/>
          <w:szCs w:val="15"/>
        </w:rPr>
        <w:t xml:space="preserve"> </w:t>
      </w:r>
      <w:r>
        <w:rPr>
          <w:rFonts w:ascii="宋体" w:hAnsi="宋体" w:eastAsia="宋体" w:cs="宋体"/>
          <w:spacing w:val="-4"/>
          <w:sz w:val="15"/>
          <w:szCs w:val="15"/>
        </w:rPr>
        <w:t>，男，湖南永州人，教育学博士，四川文理学院教师教育学院副院长</w:t>
      </w:r>
      <w:r>
        <w:rPr>
          <w:rFonts w:ascii="微软雅黑" w:hAnsi="微软雅黑" w:eastAsia="微软雅黑" w:cs="微软雅黑"/>
          <w:spacing w:val="-4"/>
          <w:sz w:val="15"/>
          <w:szCs w:val="15"/>
        </w:rPr>
        <w:t>、</w:t>
      </w:r>
      <w:r>
        <w:rPr>
          <w:rFonts w:ascii="宋体" w:hAnsi="宋体" w:eastAsia="宋体" w:cs="宋体"/>
          <w:spacing w:val="-4"/>
          <w:sz w:val="15"/>
          <w:szCs w:val="15"/>
        </w:rPr>
        <w:t>副研究员，研究方向</w:t>
      </w:r>
      <w:r>
        <w:rPr>
          <w:rFonts w:ascii="宋体" w:hAnsi="宋体" w:eastAsia="宋体" w:cs="宋体"/>
          <w:spacing w:val="-42"/>
          <w:sz w:val="15"/>
          <w:szCs w:val="15"/>
        </w:rPr>
        <w:t xml:space="preserve"> </w:t>
      </w:r>
      <w:r>
        <w:rPr>
          <w:rFonts w:ascii="宋体" w:hAnsi="宋体" w:eastAsia="宋体" w:cs="宋体"/>
          <w:spacing w:val="-5"/>
          <w:sz w:val="15"/>
          <w:szCs w:val="15"/>
        </w:rPr>
        <w:t>:</w:t>
      </w:r>
      <w:r>
        <w:rPr>
          <w:rFonts w:ascii="宋体" w:hAnsi="宋体" w:eastAsia="宋体" w:cs="宋体"/>
          <w:spacing w:val="-32"/>
          <w:sz w:val="15"/>
          <w:szCs w:val="15"/>
        </w:rPr>
        <w:t xml:space="preserve"> </w:t>
      </w:r>
      <w:r>
        <w:rPr>
          <w:rFonts w:ascii="宋体" w:hAnsi="宋体" w:eastAsia="宋体" w:cs="宋体"/>
          <w:spacing w:val="-5"/>
          <w:sz w:val="15"/>
          <w:szCs w:val="15"/>
        </w:rPr>
        <w:t>高等教育学</w:t>
      </w:r>
      <w:r>
        <w:rPr>
          <w:rFonts w:ascii="微软雅黑" w:hAnsi="微软雅黑" w:eastAsia="微软雅黑" w:cs="微软雅黑"/>
          <w:spacing w:val="-5"/>
          <w:sz w:val="15"/>
          <w:szCs w:val="15"/>
        </w:rPr>
        <w:t>。</w:t>
      </w:r>
    </w:p>
    <w:p>
      <w:pPr>
        <w:spacing w:before="83" w:line="194" w:lineRule="exact"/>
        <w:ind w:firstLine="922"/>
      </w:pPr>
      <w:r>
        <w:rPr>
          <w:position w:val="-3"/>
        </w:rPr>
        <w:pict>
          <v:shape id="_x0000_s1053" o:spid="_x0000_s1053" o:spt="202" type="#_x0000_t202" style="height:9.7pt;width:22.3pt;" fillcolor="#0064B2" filled="t" stroked="f" coordsize="21600,21600">
            <v:path/>
            <v:fill on="t" focussize="0,0"/>
            <v:stroke on="f"/>
            <v:imagedata o:title=""/>
            <o:lock v:ext="edit" aspectratio="f"/>
            <v:textbox inset="0mm,0mm,0mm,0mm">
              <w:txbxContent>
                <w:p>
                  <w:pPr>
                    <w:spacing w:before="25" w:line="168" w:lineRule="auto"/>
                    <w:ind w:left="123"/>
                    <w:rPr>
                      <w:rFonts w:ascii="微软雅黑" w:hAnsi="微软雅黑" w:eastAsia="微软雅黑" w:cs="微软雅黑"/>
                      <w:sz w:val="19"/>
                      <w:szCs w:val="19"/>
                    </w:rPr>
                  </w:pPr>
                  <w:r>
                    <w:rPr>
                      <w:rFonts w:ascii="微软雅黑" w:hAnsi="微软雅黑" w:eastAsia="微软雅黑" w:cs="微软雅黑"/>
                      <w:color w:val="FFFFFF"/>
                      <w:spacing w:val="-5"/>
                      <w:sz w:val="19"/>
                      <w:szCs w:val="19"/>
                    </w:rPr>
                    <w:t>22</w:t>
                  </w:r>
                </w:p>
              </w:txbxContent>
            </v:textbox>
            <w10:wrap type="none"/>
            <w10:anchorlock/>
          </v:shape>
        </w:pict>
      </w:r>
    </w:p>
    <w:p>
      <w:pPr>
        <w:spacing w:line="194" w:lineRule="exact"/>
        <w:sectPr>
          <w:type w:val="continuous"/>
          <w:pgSz w:w="11905" w:h="16836"/>
          <w:pgMar w:top="1109" w:right="1336" w:bottom="547" w:left="407" w:header="720" w:footer="354" w:gutter="0"/>
          <w:cols w:equalWidth="0" w:num="1">
            <w:col w:w="10160"/>
          </w:cols>
        </w:sectPr>
      </w:pPr>
    </w:p>
    <w:p>
      <w:pPr>
        <w:spacing w:line="433" w:lineRule="auto"/>
        <w:rPr>
          <w:rFonts w:ascii="Arial"/>
          <w:sz w:val="21"/>
        </w:rPr>
      </w:pPr>
    </w:p>
    <w:p>
      <w:pPr>
        <w:spacing w:before="56" w:line="214" w:lineRule="auto"/>
        <w:ind w:left="6539"/>
        <w:rPr>
          <w:rFonts w:ascii="宋体" w:hAnsi="宋体" w:eastAsia="宋体" w:cs="宋体"/>
          <w:sz w:val="17"/>
          <w:szCs w:val="17"/>
        </w:rPr>
      </w:pPr>
      <w:r>
        <w:rPr>
          <w:rFonts w:ascii="宋体" w:hAnsi="宋体" w:eastAsia="宋体" w:cs="宋体"/>
          <w:color w:val="0166B3"/>
          <w:spacing w:val="9"/>
          <w:sz w:val="17"/>
          <w:szCs w:val="17"/>
        </w:rPr>
        <w:t>教学学术视角下高校教学质量文化建设的思考</w:t>
      </w:r>
    </w:p>
    <w:p>
      <w:pPr>
        <w:spacing w:before="49" w:line="56" w:lineRule="exact"/>
        <w:ind w:firstLine="5603"/>
      </w:pPr>
      <w:r>
        <w:rPr>
          <w:position w:val="-1"/>
        </w:rPr>
        <w:drawing>
          <wp:inline distT="0" distB="0" distL="0" distR="0">
            <wp:extent cx="2879090" cy="3556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22"/>
                    <a:stretch>
                      <a:fillRect/>
                    </a:stretch>
                  </pic:blipFill>
                  <pic:spPr>
                    <a:xfrm>
                      <a:off x="0" y="0"/>
                      <a:ext cx="2879090" cy="35560"/>
                    </a:xfrm>
                    <a:prstGeom prst="rect">
                      <a:avLst/>
                    </a:prstGeom>
                  </pic:spPr>
                </pic:pic>
              </a:graphicData>
            </a:graphic>
          </wp:inline>
        </w:drawing>
      </w:r>
    </w:p>
    <w:p>
      <w:pPr>
        <w:spacing w:before="102"/>
      </w:pPr>
    </w:p>
    <w:p>
      <w:pPr>
        <w:sectPr>
          <w:headerReference r:id="rId52" w:type="default"/>
          <w:footerReference r:id="rId53" w:type="default"/>
          <w:pgSz w:w="11905" w:h="16836"/>
          <w:pgMar w:top="400" w:right="1262" w:bottom="547" w:left="407" w:header="0" w:footer="354" w:gutter="0"/>
          <w:cols w:equalWidth="0" w:num="1">
            <w:col w:w="10234"/>
          </w:cols>
        </w:sectPr>
      </w:pPr>
    </w:p>
    <w:p>
      <w:pPr>
        <w:spacing w:before="49" w:line="249" w:lineRule="auto"/>
        <w:ind w:left="931" w:right="256" w:firstLine="17"/>
        <w:jc w:val="both"/>
        <w:rPr>
          <w:rFonts w:ascii="微软雅黑" w:hAnsi="微软雅黑" w:eastAsia="微软雅黑" w:cs="微软雅黑"/>
          <w:sz w:val="20"/>
          <w:szCs w:val="20"/>
        </w:rPr>
      </w:pPr>
      <w:r>
        <w:rPr>
          <w:rFonts w:ascii="宋体" w:hAnsi="宋体" w:eastAsia="宋体" w:cs="宋体"/>
          <w:spacing w:val="7"/>
          <w:sz w:val="20"/>
          <w:szCs w:val="20"/>
        </w:rPr>
        <w:t>的根本</w:t>
      </w:r>
      <w:r>
        <w:rPr>
          <w:rFonts w:ascii="微软雅黑" w:hAnsi="微软雅黑" w:eastAsia="微软雅黑" w:cs="微软雅黑"/>
          <w:spacing w:val="7"/>
          <w:position w:val="1"/>
          <w:sz w:val="20"/>
          <w:szCs w:val="20"/>
        </w:rPr>
        <w:t>。</w:t>
      </w:r>
      <w:r>
        <w:rPr>
          <w:rFonts w:ascii="宋体" w:hAnsi="宋体" w:eastAsia="宋体" w:cs="宋体"/>
          <w:spacing w:val="7"/>
          <w:sz w:val="20"/>
          <w:szCs w:val="20"/>
        </w:rPr>
        <w:t xml:space="preserve">提高教学质量关键在于构建一种高校教 </w:t>
      </w:r>
      <w:r>
        <w:rPr>
          <w:rFonts w:ascii="宋体" w:hAnsi="宋体" w:eastAsia="宋体" w:cs="宋体"/>
          <w:spacing w:val="12"/>
          <w:sz w:val="20"/>
          <w:szCs w:val="20"/>
        </w:rPr>
        <w:t>师倾心教学</w:t>
      </w:r>
      <w:r>
        <w:rPr>
          <w:rFonts w:ascii="微软雅黑" w:hAnsi="微软雅黑" w:eastAsia="微软雅黑" w:cs="微软雅黑"/>
          <w:spacing w:val="12"/>
          <w:position w:val="1"/>
          <w:sz w:val="20"/>
          <w:szCs w:val="20"/>
        </w:rPr>
        <w:t>、</w:t>
      </w:r>
      <w:r>
        <w:rPr>
          <w:rFonts w:ascii="宋体" w:hAnsi="宋体" w:eastAsia="宋体" w:cs="宋体"/>
          <w:spacing w:val="12"/>
          <w:sz w:val="20"/>
          <w:szCs w:val="20"/>
        </w:rPr>
        <w:t>专注教学和研究教学的质量文化</w:t>
      </w:r>
      <w:r>
        <w:rPr>
          <w:rFonts w:ascii="微软雅黑" w:hAnsi="微软雅黑" w:eastAsia="微软雅黑" w:cs="微软雅黑"/>
          <w:spacing w:val="12"/>
          <w:position w:val="1"/>
          <w:sz w:val="20"/>
          <w:szCs w:val="20"/>
        </w:rPr>
        <w:t>。</w:t>
      </w:r>
      <w:r>
        <w:rPr>
          <w:rFonts w:ascii="微软雅黑" w:hAnsi="微软雅黑" w:eastAsia="微软雅黑" w:cs="微软雅黑"/>
          <w:spacing w:val="18"/>
          <w:position w:val="1"/>
          <w:sz w:val="20"/>
          <w:szCs w:val="20"/>
        </w:rPr>
        <w:t xml:space="preserve"> </w:t>
      </w:r>
      <w:r>
        <w:rPr>
          <w:rFonts w:ascii="宋体" w:hAnsi="宋体" w:eastAsia="宋体" w:cs="宋体"/>
          <w:spacing w:val="8"/>
          <w:sz w:val="20"/>
          <w:szCs w:val="20"/>
        </w:rPr>
        <w:t>教学质量文化作为高校教育质量文化的核心</w:t>
      </w:r>
      <w:r>
        <w:rPr>
          <w:rFonts w:ascii="宋体" w:hAnsi="宋体" w:eastAsia="宋体" w:cs="宋体"/>
          <w:spacing w:val="8"/>
          <w:position w:val="1"/>
          <w:sz w:val="20"/>
          <w:szCs w:val="20"/>
        </w:rPr>
        <w:t>，</w:t>
      </w:r>
      <w:r>
        <w:rPr>
          <w:rFonts w:ascii="宋体" w:hAnsi="宋体" w:eastAsia="宋体" w:cs="宋体"/>
          <w:spacing w:val="8"/>
          <w:sz w:val="20"/>
          <w:szCs w:val="20"/>
        </w:rPr>
        <w:t>作 为教学文化的根本</w:t>
      </w:r>
      <w:r>
        <w:rPr>
          <w:rFonts w:ascii="宋体" w:hAnsi="宋体" w:eastAsia="宋体" w:cs="宋体"/>
          <w:spacing w:val="8"/>
          <w:position w:val="1"/>
          <w:sz w:val="20"/>
          <w:szCs w:val="20"/>
        </w:rPr>
        <w:t>，</w:t>
      </w:r>
      <w:r>
        <w:rPr>
          <w:rFonts w:ascii="宋体" w:hAnsi="宋体" w:eastAsia="宋体" w:cs="宋体"/>
          <w:spacing w:val="8"/>
          <w:sz w:val="20"/>
          <w:szCs w:val="20"/>
        </w:rPr>
        <w:t xml:space="preserve">全面提高高校教学质量必须 </w:t>
      </w:r>
      <w:r>
        <w:rPr>
          <w:rFonts w:ascii="宋体" w:hAnsi="宋体" w:eastAsia="宋体" w:cs="宋体"/>
          <w:spacing w:val="12"/>
          <w:sz w:val="20"/>
          <w:szCs w:val="20"/>
        </w:rPr>
        <w:t>把加强教学质量文化建设作为高校的根本任务</w:t>
      </w:r>
      <w:r>
        <w:rPr>
          <w:rFonts w:ascii="微软雅黑" w:hAnsi="微软雅黑" w:eastAsia="微软雅黑" w:cs="微软雅黑"/>
          <w:spacing w:val="12"/>
          <w:position w:val="1"/>
          <w:sz w:val="20"/>
          <w:szCs w:val="20"/>
        </w:rPr>
        <w:t>、</w:t>
      </w:r>
      <w:r>
        <w:rPr>
          <w:rFonts w:ascii="微软雅黑" w:hAnsi="微软雅黑" w:eastAsia="微软雅黑" w:cs="微软雅黑"/>
          <w:spacing w:val="18"/>
          <w:position w:val="1"/>
          <w:sz w:val="20"/>
          <w:szCs w:val="20"/>
        </w:rPr>
        <w:t xml:space="preserve"> </w:t>
      </w:r>
      <w:r>
        <w:rPr>
          <w:rFonts w:ascii="宋体" w:hAnsi="宋体" w:eastAsia="宋体" w:cs="宋体"/>
          <w:spacing w:val="8"/>
          <w:sz w:val="20"/>
          <w:szCs w:val="20"/>
        </w:rPr>
        <w:t>核心内容和永恒主题</w:t>
      </w:r>
      <w:r>
        <w:rPr>
          <w:rFonts w:ascii="微软雅黑" w:hAnsi="微软雅黑" w:eastAsia="微软雅黑" w:cs="微软雅黑"/>
          <w:spacing w:val="8"/>
          <w:sz w:val="20"/>
          <w:szCs w:val="20"/>
        </w:rPr>
        <w:t>。“</w:t>
      </w:r>
      <w:r>
        <w:rPr>
          <w:rFonts w:ascii="宋体" w:hAnsi="宋体" w:eastAsia="宋体" w:cs="宋体"/>
          <w:spacing w:val="8"/>
          <w:sz w:val="20"/>
          <w:szCs w:val="20"/>
        </w:rPr>
        <w:t xml:space="preserve">致力于更高质量的最基 </w:t>
      </w:r>
      <w:r>
        <w:rPr>
          <w:rFonts w:ascii="宋体" w:hAnsi="宋体" w:eastAsia="宋体" w:cs="宋体"/>
          <w:spacing w:val="-3"/>
          <w:sz w:val="20"/>
          <w:szCs w:val="20"/>
        </w:rPr>
        <w:t>本动力必须来自高校本身</w:t>
      </w:r>
      <w:r>
        <w:rPr>
          <w:rFonts w:ascii="微软雅黑" w:hAnsi="微软雅黑" w:eastAsia="微软雅黑" w:cs="微软雅黑"/>
          <w:spacing w:val="-3"/>
          <w:position w:val="1"/>
          <w:sz w:val="20"/>
          <w:szCs w:val="20"/>
        </w:rPr>
        <w:t>———</w:t>
      </w:r>
      <w:r>
        <w:rPr>
          <w:rFonts w:ascii="微软雅黑" w:hAnsi="微软雅黑" w:eastAsia="微软雅黑" w:cs="微软雅黑"/>
          <w:spacing w:val="-47"/>
          <w:position w:val="1"/>
          <w:sz w:val="20"/>
          <w:szCs w:val="20"/>
        </w:rPr>
        <w:t xml:space="preserve"> </w:t>
      </w:r>
      <w:r>
        <w:rPr>
          <w:rFonts w:ascii="宋体" w:hAnsi="宋体" w:eastAsia="宋体" w:cs="宋体"/>
          <w:spacing w:val="-3"/>
          <w:sz w:val="20"/>
          <w:szCs w:val="20"/>
        </w:rPr>
        <w:t>他们内部的质量</w:t>
      </w:r>
      <w:r>
        <w:rPr>
          <w:rFonts w:ascii="宋体" w:hAnsi="宋体" w:eastAsia="宋体" w:cs="宋体"/>
          <w:spacing w:val="-4"/>
          <w:sz w:val="20"/>
          <w:szCs w:val="20"/>
        </w:rPr>
        <w:t xml:space="preserve">保 </w:t>
      </w:r>
      <w:r>
        <w:rPr>
          <w:rFonts w:ascii="宋体" w:hAnsi="宋体" w:eastAsia="宋体" w:cs="宋体"/>
          <w:spacing w:val="3"/>
          <w:sz w:val="20"/>
          <w:szCs w:val="20"/>
        </w:rPr>
        <w:t>障系统和质量文化</w:t>
      </w:r>
      <w:r>
        <w:rPr>
          <w:rFonts w:ascii="微软雅黑" w:hAnsi="微软雅黑" w:eastAsia="微软雅黑" w:cs="微软雅黑"/>
          <w:spacing w:val="3"/>
          <w:sz w:val="20"/>
          <w:szCs w:val="20"/>
        </w:rPr>
        <w:t>”</w:t>
      </w:r>
      <w:r>
        <w:rPr>
          <w:rFonts w:ascii="宋体" w:hAnsi="宋体" w:eastAsia="宋体" w:cs="宋体"/>
          <w:spacing w:val="3"/>
          <w:position w:val="9"/>
          <w:sz w:val="11"/>
          <w:szCs w:val="11"/>
        </w:rPr>
        <w:t>［</w:t>
      </w:r>
      <w:r>
        <w:rPr>
          <w:rFonts w:ascii="微软雅黑" w:hAnsi="微软雅黑" w:eastAsia="微软雅黑" w:cs="微软雅黑"/>
          <w:spacing w:val="3"/>
          <w:position w:val="9"/>
          <w:sz w:val="11"/>
          <w:szCs w:val="11"/>
        </w:rPr>
        <w:t>1</w:t>
      </w:r>
      <w:r>
        <w:rPr>
          <w:rFonts w:ascii="宋体" w:hAnsi="宋体" w:eastAsia="宋体" w:cs="宋体"/>
          <w:spacing w:val="3"/>
          <w:position w:val="9"/>
          <w:sz w:val="11"/>
          <w:szCs w:val="11"/>
        </w:rPr>
        <w:t>］</w:t>
      </w:r>
      <w:r>
        <w:rPr>
          <w:rFonts w:ascii="宋体" w:hAnsi="宋体" w:eastAsia="宋体" w:cs="宋体"/>
          <w:spacing w:val="-22"/>
          <w:position w:val="9"/>
          <w:sz w:val="11"/>
          <w:szCs w:val="11"/>
        </w:rPr>
        <w:t xml:space="preserve"> </w:t>
      </w:r>
      <w:r>
        <w:rPr>
          <w:rFonts w:ascii="微软雅黑" w:hAnsi="微软雅黑" w:eastAsia="微软雅黑" w:cs="微软雅黑"/>
          <w:spacing w:val="3"/>
          <w:sz w:val="20"/>
          <w:szCs w:val="20"/>
        </w:rPr>
        <w:t>。</w:t>
      </w:r>
      <w:r>
        <w:rPr>
          <w:rFonts w:ascii="宋体" w:hAnsi="宋体" w:eastAsia="宋体" w:cs="宋体"/>
          <w:spacing w:val="3"/>
          <w:sz w:val="20"/>
          <w:szCs w:val="20"/>
        </w:rPr>
        <w:t xml:space="preserve">文化作为一个内涵十分 </w:t>
      </w:r>
      <w:r>
        <w:rPr>
          <w:rFonts w:ascii="宋体" w:hAnsi="宋体" w:eastAsia="宋体" w:cs="宋体"/>
          <w:spacing w:val="8"/>
          <w:sz w:val="20"/>
          <w:szCs w:val="20"/>
        </w:rPr>
        <w:t>丰富的概念</w:t>
      </w:r>
      <w:r>
        <w:rPr>
          <w:rFonts w:ascii="宋体" w:hAnsi="宋体" w:eastAsia="宋体" w:cs="宋体"/>
          <w:spacing w:val="8"/>
          <w:position w:val="1"/>
          <w:sz w:val="20"/>
          <w:szCs w:val="20"/>
        </w:rPr>
        <w:t>，</w:t>
      </w:r>
      <w:r>
        <w:rPr>
          <w:rFonts w:ascii="宋体" w:hAnsi="宋体" w:eastAsia="宋体" w:cs="宋体"/>
          <w:spacing w:val="8"/>
          <w:sz w:val="20"/>
          <w:szCs w:val="20"/>
        </w:rPr>
        <w:t>其定义多达上百种</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高校教学质量 文化作为文化的下位观念</w:t>
      </w:r>
      <w:r>
        <w:rPr>
          <w:rFonts w:ascii="宋体" w:hAnsi="宋体" w:eastAsia="宋体" w:cs="宋体"/>
          <w:spacing w:val="8"/>
          <w:position w:val="1"/>
          <w:sz w:val="20"/>
          <w:szCs w:val="20"/>
        </w:rPr>
        <w:t>，</w:t>
      </w:r>
      <w:r>
        <w:rPr>
          <w:rFonts w:ascii="宋体" w:hAnsi="宋体" w:eastAsia="宋体" w:cs="宋体"/>
          <w:spacing w:val="8"/>
          <w:sz w:val="20"/>
          <w:szCs w:val="20"/>
        </w:rPr>
        <w:t>为其下一个共识性的 定义是一件十分困难的事情</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本文中的高校教学 质量文化是指高校在长期的办学中形成的有关重 </w:t>
      </w:r>
      <w:r>
        <w:rPr>
          <w:rFonts w:ascii="宋体" w:hAnsi="宋体" w:eastAsia="宋体" w:cs="宋体"/>
          <w:spacing w:val="-6"/>
          <w:sz w:val="20"/>
          <w:szCs w:val="20"/>
        </w:rPr>
        <w:t>视</w:t>
      </w:r>
      <w:r>
        <w:rPr>
          <w:rFonts w:ascii="微软雅黑" w:hAnsi="微软雅黑" w:eastAsia="微软雅黑" w:cs="微软雅黑"/>
          <w:spacing w:val="-6"/>
          <w:position w:val="1"/>
          <w:sz w:val="20"/>
          <w:szCs w:val="20"/>
        </w:rPr>
        <w:t>、</w:t>
      </w:r>
      <w:r>
        <w:rPr>
          <w:rFonts w:ascii="宋体" w:hAnsi="宋体" w:eastAsia="宋体" w:cs="宋体"/>
          <w:spacing w:val="-6"/>
          <w:sz w:val="20"/>
          <w:szCs w:val="20"/>
        </w:rPr>
        <w:t>保障</w:t>
      </w:r>
      <w:r>
        <w:rPr>
          <w:rFonts w:ascii="微软雅黑" w:hAnsi="微软雅黑" w:eastAsia="微软雅黑" w:cs="微软雅黑"/>
          <w:spacing w:val="-6"/>
          <w:position w:val="1"/>
          <w:sz w:val="20"/>
          <w:szCs w:val="20"/>
        </w:rPr>
        <w:t>、</w:t>
      </w:r>
      <w:r>
        <w:rPr>
          <w:rFonts w:ascii="宋体" w:hAnsi="宋体" w:eastAsia="宋体" w:cs="宋体"/>
          <w:spacing w:val="-6"/>
          <w:sz w:val="20"/>
          <w:szCs w:val="20"/>
        </w:rPr>
        <w:t>提升教学质量的精神</w:t>
      </w:r>
      <w:r>
        <w:rPr>
          <w:rFonts w:ascii="微软雅黑" w:hAnsi="微软雅黑" w:eastAsia="微软雅黑" w:cs="微软雅黑"/>
          <w:spacing w:val="-6"/>
          <w:position w:val="1"/>
          <w:sz w:val="20"/>
          <w:szCs w:val="20"/>
        </w:rPr>
        <w:t>、</w:t>
      </w:r>
      <w:r>
        <w:rPr>
          <w:rFonts w:ascii="宋体" w:hAnsi="宋体" w:eastAsia="宋体" w:cs="宋体"/>
          <w:spacing w:val="-6"/>
          <w:sz w:val="20"/>
          <w:szCs w:val="20"/>
        </w:rPr>
        <w:t>价值观念</w:t>
      </w:r>
      <w:r>
        <w:rPr>
          <w:rFonts w:ascii="微软雅黑" w:hAnsi="微软雅黑" w:eastAsia="微软雅黑" w:cs="微软雅黑"/>
          <w:spacing w:val="-6"/>
          <w:position w:val="1"/>
          <w:sz w:val="20"/>
          <w:szCs w:val="20"/>
        </w:rPr>
        <w:t>、</w:t>
      </w:r>
      <w:r>
        <w:rPr>
          <w:rFonts w:ascii="宋体" w:hAnsi="宋体" w:eastAsia="宋体" w:cs="宋体"/>
          <w:spacing w:val="-6"/>
          <w:sz w:val="20"/>
          <w:szCs w:val="20"/>
        </w:rPr>
        <w:t>道德</w:t>
      </w:r>
      <w:r>
        <w:rPr>
          <w:rFonts w:ascii="微软雅黑" w:hAnsi="微软雅黑" w:eastAsia="微软雅黑" w:cs="微软雅黑"/>
          <w:spacing w:val="-6"/>
          <w:position w:val="1"/>
          <w:sz w:val="20"/>
          <w:szCs w:val="20"/>
        </w:rPr>
        <w:t>、</w:t>
      </w:r>
      <w:r>
        <w:rPr>
          <w:rFonts w:ascii="微软雅黑" w:hAnsi="微软雅黑" w:eastAsia="微软雅黑" w:cs="微软雅黑"/>
          <w:spacing w:val="8"/>
          <w:position w:val="1"/>
          <w:sz w:val="20"/>
          <w:szCs w:val="20"/>
        </w:rPr>
        <w:t xml:space="preserve"> </w:t>
      </w:r>
      <w:r>
        <w:rPr>
          <w:rFonts w:ascii="宋体" w:hAnsi="宋体" w:eastAsia="宋体" w:cs="宋体"/>
          <w:spacing w:val="-1"/>
          <w:sz w:val="20"/>
          <w:szCs w:val="20"/>
        </w:rPr>
        <w:t>制度措施</w:t>
      </w:r>
      <w:r>
        <w:rPr>
          <w:rFonts w:ascii="微软雅黑" w:hAnsi="微软雅黑" w:eastAsia="微软雅黑" w:cs="微软雅黑"/>
          <w:spacing w:val="-1"/>
          <w:sz w:val="20"/>
          <w:szCs w:val="20"/>
        </w:rPr>
        <w:t>、</w:t>
      </w:r>
      <w:r>
        <w:rPr>
          <w:rFonts w:ascii="宋体" w:hAnsi="宋体" w:eastAsia="宋体" w:cs="宋体"/>
          <w:spacing w:val="-1"/>
          <w:sz w:val="20"/>
          <w:szCs w:val="20"/>
        </w:rPr>
        <w:t>风气</w:t>
      </w:r>
      <w:r>
        <w:rPr>
          <w:rFonts w:ascii="微软雅黑" w:hAnsi="微软雅黑" w:eastAsia="微软雅黑" w:cs="微软雅黑"/>
          <w:spacing w:val="-1"/>
          <w:sz w:val="20"/>
          <w:szCs w:val="20"/>
        </w:rPr>
        <w:t>、</w:t>
      </w:r>
      <w:r>
        <w:rPr>
          <w:rFonts w:ascii="宋体" w:hAnsi="宋体" w:eastAsia="宋体" w:cs="宋体"/>
          <w:spacing w:val="-1"/>
          <w:sz w:val="20"/>
          <w:szCs w:val="20"/>
        </w:rPr>
        <w:t>习惯</w:t>
      </w:r>
      <w:r>
        <w:rPr>
          <w:rFonts w:ascii="微软雅黑" w:hAnsi="微软雅黑" w:eastAsia="微软雅黑" w:cs="微软雅黑"/>
          <w:spacing w:val="-1"/>
          <w:sz w:val="20"/>
          <w:szCs w:val="20"/>
        </w:rPr>
        <w:t>、</w:t>
      </w:r>
      <w:r>
        <w:rPr>
          <w:rFonts w:ascii="宋体" w:hAnsi="宋体" w:eastAsia="宋体" w:cs="宋体"/>
          <w:spacing w:val="-1"/>
          <w:sz w:val="20"/>
          <w:szCs w:val="20"/>
        </w:rPr>
        <w:t>行为准则等</w:t>
      </w:r>
      <w:r>
        <w:rPr>
          <w:rFonts w:ascii="微软雅黑" w:hAnsi="微软雅黑" w:eastAsia="微软雅黑" w:cs="微软雅黑"/>
          <w:spacing w:val="-1"/>
          <w:sz w:val="20"/>
          <w:szCs w:val="20"/>
        </w:rPr>
        <w:t>“</w:t>
      </w:r>
      <w:r>
        <w:rPr>
          <w:rFonts w:ascii="宋体" w:hAnsi="宋体" w:eastAsia="宋体" w:cs="宋体"/>
          <w:spacing w:val="-1"/>
          <w:sz w:val="20"/>
          <w:szCs w:val="20"/>
        </w:rPr>
        <w:t>软件</w:t>
      </w:r>
      <w:r>
        <w:rPr>
          <w:rFonts w:ascii="微软雅黑" w:hAnsi="微软雅黑" w:eastAsia="微软雅黑" w:cs="微软雅黑"/>
          <w:spacing w:val="-1"/>
          <w:sz w:val="20"/>
          <w:szCs w:val="20"/>
        </w:rPr>
        <w:t>”</w:t>
      </w:r>
      <w:r>
        <w:rPr>
          <w:rFonts w:ascii="宋体" w:hAnsi="宋体" w:eastAsia="宋体" w:cs="宋体"/>
          <w:spacing w:val="-1"/>
          <w:sz w:val="20"/>
          <w:szCs w:val="20"/>
        </w:rPr>
        <w:t>的总 和</w:t>
      </w:r>
      <w:r>
        <w:rPr>
          <w:rFonts w:ascii="宋体" w:hAnsi="宋体" w:eastAsia="宋体" w:cs="宋体"/>
          <w:spacing w:val="-1"/>
          <w:position w:val="1"/>
          <w:sz w:val="20"/>
          <w:szCs w:val="20"/>
        </w:rPr>
        <w:t>，</w:t>
      </w:r>
      <w:r>
        <w:rPr>
          <w:rFonts w:ascii="宋体" w:hAnsi="宋体" w:eastAsia="宋体" w:cs="宋体"/>
          <w:spacing w:val="-1"/>
          <w:sz w:val="20"/>
          <w:szCs w:val="20"/>
        </w:rPr>
        <w:t>它对保障和提升教学质量具有凝聚作用</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引领 作用</w:t>
      </w:r>
      <w:r>
        <w:rPr>
          <w:rFonts w:ascii="微软雅黑" w:hAnsi="微软雅黑" w:eastAsia="微软雅黑" w:cs="微软雅黑"/>
          <w:spacing w:val="-1"/>
          <w:sz w:val="20"/>
          <w:szCs w:val="20"/>
        </w:rPr>
        <w:t>、</w:t>
      </w:r>
      <w:r>
        <w:rPr>
          <w:rFonts w:ascii="宋体" w:hAnsi="宋体" w:eastAsia="宋体" w:cs="宋体"/>
          <w:spacing w:val="-1"/>
          <w:sz w:val="20"/>
          <w:szCs w:val="20"/>
        </w:rPr>
        <w:t>激励作用</w:t>
      </w:r>
      <w:r>
        <w:rPr>
          <w:rFonts w:ascii="微软雅黑" w:hAnsi="微软雅黑" w:eastAsia="微软雅黑" w:cs="微软雅黑"/>
          <w:spacing w:val="-1"/>
          <w:sz w:val="20"/>
          <w:szCs w:val="20"/>
        </w:rPr>
        <w:t>、</w:t>
      </w:r>
      <w:r>
        <w:rPr>
          <w:rFonts w:ascii="宋体" w:hAnsi="宋体" w:eastAsia="宋体" w:cs="宋体"/>
          <w:spacing w:val="-1"/>
          <w:sz w:val="20"/>
          <w:szCs w:val="20"/>
        </w:rPr>
        <w:t>规范作用等</w:t>
      </w:r>
      <w:r>
        <w:rPr>
          <w:rFonts w:ascii="微软雅黑" w:hAnsi="微软雅黑" w:eastAsia="微软雅黑" w:cs="微软雅黑"/>
          <w:spacing w:val="-1"/>
          <w:sz w:val="20"/>
          <w:szCs w:val="20"/>
        </w:rPr>
        <w:t>。“</w:t>
      </w:r>
      <w:r>
        <w:rPr>
          <w:rFonts w:ascii="宋体" w:hAnsi="宋体" w:eastAsia="宋体" w:cs="宋体"/>
          <w:spacing w:val="-1"/>
          <w:sz w:val="20"/>
          <w:szCs w:val="20"/>
        </w:rPr>
        <w:t xml:space="preserve">构建好的质量文 </w:t>
      </w:r>
      <w:r>
        <w:rPr>
          <w:rFonts w:ascii="宋体" w:hAnsi="宋体" w:eastAsia="宋体" w:cs="宋体"/>
          <w:spacing w:val="3"/>
          <w:sz w:val="20"/>
          <w:szCs w:val="20"/>
        </w:rPr>
        <w:t>化是高校提高教学质量行之有效的保障</w:t>
      </w:r>
      <w:r>
        <w:rPr>
          <w:rFonts w:ascii="宋体" w:hAnsi="宋体" w:eastAsia="宋体" w:cs="宋体"/>
          <w:spacing w:val="3"/>
          <w:position w:val="1"/>
          <w:sz w:val="20"/>
          <w:szCs w:val="20"/>
        </w:rPr>
        <w:t>，</w:t>
      </w:r>
      <w:r>
        <w:rPr>
          <w:rFonts w:ascii="宋体" w:hAnsi="宋体" w:eastAsia="宋体" w:cs="宋体"/>
          <w:spacing w:val="3"/>
          <w:sz w:val="20"/>
          <w:szCs w:val="20"/>
        </w:rPr>
        <w:t>比技术</w:t>
      </w:r>
      <w:r>
        <w:rPr>
          <w:rFonts w:ascii="微软雅黑" w:hAnsi="微软雅黑" w:eastAsia="微软雅黑" w:cs="微软雅黑"/>
          <w:spacing w:val="3"/>
          <w:position w:val="1"/>
          <w:sz w:val="20"/>
          <w:szCs w:val="20"/>
        </w:rPr>
        <w:t>、</w:t>
      </w:r>
      <w:r>
        <w:rPr>
          <w:rFonts w:ascii="微软雅黑" w:hAnsi="微软雅黑" w:eastAsia="微软雅黑" w:cs="微软雅黑"/>
          <w:spacing w:val="4"/>
          <w:position w:val="1"/>
          <w:sz w:val="20"/>
          <w:szCs w:val="20"/>
        </w:rPr>
        <w:t xml:space="preserve"> </w:t>
      </w:r>
      <w:r>
        <w:rPr>
          <w:rFonts w:ascii="宋体" w:hAnsi="宋体" w:eastAsia="宋体" w:cs="宋体"/>
          <w:spacing w:val="3"/>
          <w:sz w:val="20"/>
          <w:szCs w:val="20"/>
        </w:rPr>
        <w:t>标准</w:t>
      </w:r>
      <w:r>
        <w:rPr>
          <w:rFonts w:ascii="微软雅黑" w:hAnsi="微软雅黑" w:eastAsia="微软雅黑" w:cs="微软雅黑"/>
          <w:spacing w:val="3"/>
          <w:sz w:val="20"/>
          <w:szCs w:val="20"/>
        </w:rPr>
        <w:t>、</w:t>
      </w:r>
      <w:r>
        <w:rPr>
          <w:rFonts w:ascii="宋体" w:hAnsi="宋体" w:eastAsia="宋体" w:cs="宋体"/>
          <w:spacing w:val="3"/>
          <w:sz w:val="20"/>
          <w:szCs w:val="20"/>
        </w:rPr>
        <w:t>制度更加稳定可靠</w:t>
      </w:r>
      <w:r>
        <w:rPr>
          <w:rFonts w:ascii="微软雅黑" w:hAnsi="微软雅黑" w:eastAsia="微软雅黑" w:cs="微软雅黑"/>
          <w:spacing w:val="3"/>
          <w:sz w:val="20"/>
          <w:szCs w:val="20"/>
        </w:rPr>
        <w:t>”</w:t>
      </w:r>
      <w:r>
        <w:rPr>
          <w:rFonts w:ascii="宋体" w:hAnsi="宋体" w:eastAsia="宋体" w:cs="宋体"/>
          <w:spacing w:val="3"/>
          <w:position w:val="9"/>
          <w:sz w:val="11"/>
          <w:szCs w:val="11"/>
        </w:rPr>
        <w:t>［</w:t>
      </w:r>
      <w:r>
        <w:rPr>
          <w:rFonts w:ascii="微软雅黑" w:hAnsi="微软雅黑" w:eastAsia="微软雅黑" w:cs="微软雅黑"/>
          <w:spacing w:val="3"/>
          <w:position w:val="9"/>
          <w:sz w:val="11"/>
          <w:szCs w:val="11"/>
        </w:rPr>
        <w:t>2</w:t>
      </w:r>
      <w:r>
        <w:rPr>
          <w:rFonts w:ascii="宋体" w:hAnsi="宋体" w:eastAsia="宋体" w:cs="宋体"/>
          <w:spacing w:val="3"/>
          <w:position w:val="9"/>
          <w:sz w:val="11"/>
          <w:szCs w:val="11"/>
        </w:rPr>
        <w:t>］</w:t>
      </w:r>
      <w:r>
        <w:rPr>
          <w:rFonts w:ascii="宋体" w:hAnsi="宋体" w:eastAsia="宋体" w:cs="宋体"/>
          <w:spacing w:val="-22"/>
          <w:position w:val="9"/>
          <w:sz w:val="11"/>
          <w:szCs w:val="11"/>
        </w:rPr>
        <w:t xml:space="preserve"> </w:t>
      </w:r>
      <w:r>
        <w:rPr>
          <w:rFonts w:ascii="微软雅黑" w:hAnsi="微软雅黑" w:eastAsia="微软雅黑" w:cs="微软雅黑"/>
          <w:spacing w:val="3"/>
          <w:sz w:val="20"/>
          <w:szCs w:val="20"/>
        </w:rPr>
        <w:t>。</w:t>
      </w:r>
      <w:r>
        <w:rPr>
          <w:rFonts w:ascii="宋体" w:hAnsi="宋体" w:eastAsia="宋体" w:cs="宋体"/>
          <w:spacing w:val="3"/>
          <w:sz w:val="20"/>
          <w:szCs w:val="20"/>
        </w:rPr>
        <w:t xml:space="preserve">教学质量文化在 </w:t>
      </w:r>
      <w:r>
        <w:rPr>
          <w:rFonts w:ascii="宋体" w:hAnsi="宋体" w:eastAsia="宋体" w:cs="宋体"/>
          <w:spacing w:val="8"/>
          <w:sz w:val="20"/>
          <w:szCs w:val="20"/>
        </w:rPr>
        <w:t>提高高校教学质量方面的作用更具有根本性</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基 础性和稳定性</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构建高校教学质量文化的重要突 </w:t>
      </w:r>
      <w:r>
        <w:rPr>
          <w:rFonts w:ascii="宋体" w:hAnsi="宋体" w:eastAsia="宋体" w:cs="宋体"/>
          <w:spacing w:val="-1"/>
          <w:sz w:val="20"/>
          <w:szCs w:val="20"/>
        </w:rPr>
        <w:t>破点就是保持</w:t>
      </w:r>
      <w:r>
        <w:rPr>
          <w:rFonts w:ascii="微软雅黑" w:hAnsi="微软雅黑" w:eastAsia="微软雅黑" w:cs="微软雅黑"/>
          <w:spacing w:val="-1"/>
          <w:sz w:val="20"/>
          <w:szCs w:val="20"/>
        </w:rPr>
        <w:t>“</w:t>
      </w:r>
      <w:r>
        <w:rPr>
          <w:rFonts w:ascii="宋体" w:hAnsi="宋体" w:eastAsia="宋体" w:cs="宋体"/>
          <w:spacing w:val="-1"/>
          <w:sz w:val="20"/>
          <w:szCs w:val="20"/>
        </w:rPr>
        <w:t>科研与教学</w:t>
      </w:r>
      <w:r>
        <w:rPr>
          <w:rFonts w:ascii="微软雅黑" w:hAnsi="微软雅黑" w:eastAsia="微软雅黑" w:cs="微软雅黑"/>
          <w:spacing w:val="-1"/>
          <w:sz w:val="20"/>
          <w:szCs w:val="20"/>
        </w:rPr>
        <w:t>”</w:t>
      </w:r>
      <w:r>
        <w:rPr>
          <w:rFonts w:ascii="宋体" w:hAnsi="宋体" w:eastAsia="宋体" w:cs="宋体"/>
          <w:spacing w:val="-1"/>
          <w:sz w:val="20"/>
          <w:szCs w:val="20"/>
        </w:rPr>
        <w:t xml:space="preserve">有效平衡，保持这种 </w:t>
      </w:r>
      <w:r>
        <w:rPr>
          <w:rFonts w:ascii="宋体" w:hAnsi="宋体" w:eastAsia="宋体" w:cs="宋体"/>
          <w:spacing w:val="8"/>
          <w:sz w:val="20"/>
          <w:szCs w:val="20"/>
        </w:rPr>
        <w:t>有效平衡的根本在于实现教学从外在的负担转变 为高校教师成长的途径</w:t>
      </w:r>
      <w:r>
        <w:rPr>
          <w:rFonts w:ascii="宋体" w:hAnsi="宋体" w:eastAsia="宋体" w:cs="宋体"/>
          <w:spacing w:val="8"/>
          <w:position w:val="1"/>
          <w:sz w:val="20"/>
          <w:szCs w:val="20"/>
        </w:rPr>
        <w:t>，</w:t>
      </w:r>
      <w:r>
        <w:rPr>
          <w:rFonts w:ascii="宋体" w:hAnsi="宋体" w:eastAsia="宋体" w:cs="宋体"/>
          <w:spacing w:val="8"/>
          <w:sz w:val="20"/>
          <w:szCs w:val="20"/>
        </w:rPr>
        <w:t>才能使高校教师把更多 地时间与精力用在教学上</w:t>
      </w:r>
      <w:r>
        <w:rPr>
          <w:rFonts w:ascii="宋体" w:hAnsi="宋体" w:eastAsia="宋体" w:cs="宋体"/>
          <w:spacing w:val="8"/>
          <w:position w:val="1"/>
          <w:sz w:val="20"/>
          <w:szCs w:val="20"/>
        </w:rPr>
        <w:t>，</w:t>
      </w:r>
      <w:r>
        <w:rPr>
          <w:rFonts w:ascii="宋体" w:hAnsi="宋体" w:eastAsia="宋体" w:cs="宋体"/>
          <w:spacing w:val="8"/>
          <w:sz w:val="20"/>
          <w:szCs w:val="20"/>
        </w:rPr>
        <w:t xml:space="preserve">才能引导和促进广大 </w:t>
      </w:r>
      <w:r>
        <w:rPr>
          <w:rFonts w:ascii="宋体" w:hAnsi="宋体" w:eastAsia="宋体" w:cs="宋体"/>
          <w:spacing w:val="12"/>
          <w:sz w:val="20"/>
          <w:szCs w:val="20"/>
        </w:rPr>
        <w:t>高校教师注重教学</w:t>
      </w:r>
      <w:r>
        <w:rPr>
          <w:rFonts w:ascii="微软雅黑" w:hAnsi="微软雅黑" w:eastAsia="微软雅黑" w:cs="微软雅黑"/>
          <w:spacing w:val="12"/>
          <w:position w:val="1"/>
          <w:sz w:val="20"/>
          <w:szCs w:val="20"/>
        </w:rPr>
        <w:t>、</w:t>
      </w:r>
      <w:r>
        <w:rPr>
          <w:rFonts w:ascii="宋体" w:hAnsi="宋体" w:eastAsia="宋体" w:cs="宋体"/>
          <w:spacing w:val="12"/>
          <w:sz w:val="20"/>
          <w:szCs w:val="20"/>
        </w:rPr>
        <w:t>潜心教学和自觉改善教学</w:t>
      </w:r>
      <w:r>
        <w:rPr>
          <w:rFonts w:ascii="微软雅黑" w:hAnsi="微软雅黑" w:eastAsia="微软雅黑" w:cs="微软雅黑"/>
          <w:spacing w:val="12"/>
          <w:position w:val="1"/>
          <w:sz w:val="20"/>
          <w:szCs w:val="20"/>
        </w:rPr>
        <w:t>。</w:t>
      </w:r>
      <w:r>
        <w:rPr>
          <w:rFonts w:ascii="微软雅黑" w:hAnsi="微软雅黑" w:eastAsia="微软雅黑" w:cs="微软雅黑"/>
          <w:spacing w:val="18"/>
          <w:position w:val="1"/>
          <w:sz w:val="20"/>
          <w:szCs w:val="20"/>
        </w:rPr>
        <w:t xml:space="preserve"> </w:t>
      </w:r>
      <w:r>
        <w:rPr>
          <w:rFonts w:ascii="宋体" w:hAnsi="宋体" w:eastAsia="宋体" w:cs="宋体"/>
          <w:spacing w:val="4"/>
          <w:sz w:val="20"/>
          <w:szCs w:val="20"/>
        </w:rPr>
        <w:t>兴起于</w:t>
      </w:r>
      <w:r>
        <w:rPr>
          <w:rFonts w:ascii="宋体" w:hAnsi="宋体" w:eastAsia="宋体" w:cs="宋体"/>
          <w:spacing w:val="-48"/>
          <w:sz w:val="20"/>
          <w:szCs w:val="20"/>
        </w:rPr>
        <w:t xml:space="preserve"> </w:t>
      </w:r>
      <w:r>
        <w:rPr>
          <w:rFonts w:ascii="微软雅黑" w:hAnsi="微软雅黑" w:eastAsia="微软雅黑" w:cs="微软雅黑"/>
          <w:spacing w:val="4"/>
          <w:sz w:val="20"/>
          <w:szCs w:val="20"/>
        </w:rPr>
        <w:t xml:space="preserve">20 </w:t>
      </w:r>
      <w:r>
        <w:rPr>
          <w:rFonts w:ascii="宋体" w:hAnsi="宋体" w:eastAsia="宋体" w:cs="宋体"/>
          <w:spacing w:val="4"/>
          <w:sz w:val="20"/>
          <w:szCs w:val="20"/>
        </w:rPr>
        <w:t>世纪</w:t>
      </w:r>
      <w:r>
        <w:rPr>
          <w:rFonts w:ascii="宋体" w:hAnsi="宋体" w:eastAsia="宋体" w:cs="宋体"/>
          <w:spacing w:val="-50"/>
          <w:sz w:val="20"/>
          <w:szCs w:val="20"/>
        </w:rPr>
        <w:t xml:space="preserve"> </w:t>
      </w:r>
      <w:r>
        <w:rPr>
          <w:rFonts w:ascii="微软雅黑" w:hAnsi="微软雅黑" w:eastAsia="微软雅黑" w:cs="微软雅黑"/>
          <w:spacing w:val="4"/>
          <w:sz w:val="20"/>
          <w:szCs w:val="20"/>
        </w:rPr>
        <w:t xml:space="preserve">90 </w:t>
      </w:r>
      <w:r>
        <w:rPr>
          <w:rFonts w:ascii="宋体" w:hAnsi="宋体" w:eastAsia="宋体" w:cs="宋体"/>
          <w:spacing w:val="4"/>
          <w:sz w:val="20"/>
          <w:szCs w:val="20"/>
        </w:rPr>
        <w:t xml:space="preserve">年代的教学学术思想为有效平 </w:t>
      </w:r>
      <w:r>
        <w:rPr>
          <w:rFonts w:ascii="宋体" w:hAnsi="宋体" w:eastAsia="宋体" w:cs="宋体"/>
          <w:spacing w:val="8"/>
          <w:sz w:val="20"/>
          <w:szCs w:val="20"/>
        </w:rPr>
        <w:t>衡</w:t>
      </w:r>
      <w:r>
        <w:rPr>
          <w:rFonts w:ascii="微软雅黑" w:hAnsi="微软雅黑" w:eastAsia="微软雅黑" w:cs="微软雅黑"/>
          <w:spacing w:val="8"/>
          <w:sz w:val="20"/>
          <w:szCs w:val="20"/>
        </w:rPr>
        <w:t>“</w:t>
      </w:r>
      <w:r>
        <w:rPr>
          <w:rFonts w:ascii="宋体" w:hAnsi="宋体" w:eastAsia="宋体" w:cs="宋体"/>
          <w:spacing w:val="8"/>
          <w:sz w:val="20"/>
          <w:szCs w:val="20"/>
        </w:rPr>
        <w:t>科研与教学</w:t>
      </w:r>
      <w:r>
        <w:rPr>
          <w:rFonts w:ascii="微软雅黑" w:hAnsi="微软雅黑" w:eastAsia="微软雅黑" w:cs="微软雅黑"/>
          <w:spacing w:val="8"/>
          <w:sz w:val="20"/>
          <w:szCs w:val="20"/>
        </w:rPr>
        <w:t>”</w:t>
      </w:r>
      <w:r>
        <w:rPr>
          <w:rFonts w:ascii="宋体" w:hAnsi="宋体" w:eastAsia="宋体" w:cs="宋体"/>
          <w:spacing w:val="8"/>
          <w:sz w:val="20"/>
          <w:szCs w:val="20"/>
        </w:rPr>
        <w:t>之间的关系找到了一条可行的 道路</w:t>
      </w:r>
      <w:r>
        <w:rPr>
          <w:rFonts w:ascii="宋体" w:hAnsi="宋体" w:eastAsia="宋体" w:cs="宋体"/>
          <w:spacing w:val="8"/>
          <w:position w:val="1"/>
          <w:sz w:val="20"/>
          <w:szCs w:val="20"/>
        </w:rPr>
        <w:t>，</w:t>
      </w:r>
      <w:r>
        <w:rPr>
          <w:rFonts w:ascii="宋体" w:hAnsi="宋体" w:eastAsia="宋体" w:cs="宋体"/>
          <w:spacing w:val="8"/>
          <w:sz w:val="20"/>
          <w:szCs w:val="20"/>
        </w:rPr>
        <w:t xml:space="preserve">也为探讨构建高校教学质量文化提供了有 </w:t>
      </w:r>
      <w:r>
        <w:rPr>
          <w:rFonts w:ascii="宋体" w:hAnsi="宋体" w:eastAsia="宋体" w:cs="宋体"/>
          <w:spacing w:val="5"/>
          <w:sz w:val="20"/>
          <w:szCs w:val="20"/>
        </w:rPr>
        <w:t>益的启迪</w:t>
      </w:r>
      <w:r>
        <w:rPr>
          <w:rFonts w:ascii="微软雅黑" w:hAnsi="微软雅黑" w:eastAsia="微软雅黑" w:cs="微软雅黑"/>
          <w:spacing w:val="5"/>
          <w:position w:val="1"/>
          <w:sz w:val="20"/>
          <w:szCs w:val="20"/>
        </w:rPr>
        <w:t>。</w:t>
      </w:r>
    </w:p>
    <w:p>
      <w:pPr>
        <w:spacing w:before="225" w:line="178" w:lineRule="auto"/>
        <w:ind w:left="1358"/>
        <w:rPr>
          <w:rFonts w:ascii="宋体" w:hAnsi="宋体" w:eastAsia="宋体" w:cs="宋体"/>
          <w:sz w:val="27"/>
          <w:szCs w:val="27"/>
        </w:rPr>
      </w:pPr>
      <w:r>
        <w:rPr>
          <w:rFonts w:ascii="宋体" w:hAnsi="宋体" w:eastAsia="宋体" w:cs="宋体"/>
          <w:color w:val="0166B3"/>
          <w:spacing w:val="-9"/>
          <w:sz w:val="27"/>
          <w:szCs w:val="27"/>
        </w:rPr>
        <w:t>一</w:t>
      </w:r>
      <w:r>
        <w:rPr>
          <w:rFonts w:ascii="微软雅黑" w:hAnsi="微软雅黑" w:eastAsia="微软雅黑" w:cs="微软雅黑"/>
          <w:color w:val="0166B3"/>
          <w:spacing w:val="-9"/>
          <w:position w:val="1"/>
          <w:sz w:val="27"/>
          <w:szCs w:val="27"/>
        </w:rPr>
        <w:t>、</w:t>
      </w:r>
      <w:r>
        <w:rPr>
          <w:rFonts w:ascii="宋体" w:hAnsi="宋体" w:eastAsia="宋体" w:cs="宋体"/>
          <w:color w:val="0166B3"/>
          <w:spacing w:val="-9"/>
          <w:sz w:val="27"/>
          <w:szCs w:val="27"/>
        </w:rPr>
        <w:t>教学学术的概述</w:t>
      </w:r>
    </w:p>
    <w:p>
      <w:pPr>
        <w:spacing w:before="194" w:line="214" w:lineRule="auto"/>
        <w:ind w:left="1390"/>
        <w:rPr>
          <w:rFonts w:ascii="黑体" w:hAnsi="黑体" w:eastAsia="黑体" w:cs="黑体"/>
          <w:sz w:val="20"/>
          <w:szCs w:val="20"/>
        </w:rPr>
      </w:pPr>
      <w:r>
        <w:rPr>
          <w:rFonts w:ascii="黑体" w:hAnsi="黑体" w:eastAsia="黑体" w:cs="黑体"/>
          <w:spacing w:val="2"/>
          <w:sz w:val="20"/>
          <w:szCs w:val="20"/>
        </w:rPr>
        <w:t>(一)</w:t>
      </w:r>
      <w:r>
        <w:rPr>
          <w:rFonts w:ascii="黑体" w:hAnsi="黑体" w:eastAsia="黑体" w:cs="黑体"/>
          <w:spacing w:val="-26"/>
          <w:sz w:val="20"/>
          <w:szCs w:val="20"/>
        </w:rPr>
        <w:t xml:space="preserve"> </w:t>
      </w:r>
      <w:r>
        <w:rPr>
          <w:rFonts w:ascii="黑体" w:hAnsi="黑体" w:eastAsia="黑体" w:cs="黑体"/>
          <w:spacing w:val="2"/>
          <w:sz w:val="20"/>
          <w:szCs w:val="20"/>
        </w:rPr>
        <w:t>教学学术的产生与发展</w:t>
      </w:r>
    </w:p>
    <w:p>
      <w:pPr>
        <w:spacing w:before="104" w:line="264" w:lineRule="auto"/>
        <w:ind w:left="931" w:right="329" w:firstLine="422"/>
        <w:rPr>
          <w:rFonts w:ascii="宋体" w:hAnsi="宋体" w:eastAsia="宋体" w:cs="宋体"/>
          <w:sz w:val="20"/>
          <w:szCs w:val="20"/>
        </w:rPr>
      </w:pPr>
      <w:r>
        <w:rPr>
          <w:rFonts w:ascii="宋体" w:hAnsi="宋体" w:eastAsia="宋体" w:cs="宋体"/>
          <w:spacing w:val="9"/>
          <w:sz w:val="20"/>
          <w:szCs w:val="20"/>
        </w:rPr>
        <w:t>教学学术的产生是人们对教学质量持续下降</w:t>
      </w:r>
      <w:r>
        <w:rPr>
          <w:rFonts w:ascii="宋体" w:hAnsi="宋体" w:eastAsia="宋体" w:cs="宋体"/>
          <w:sz w:val="20"/>
          <w:szCs w:val="20"/>
        </w:rPr>
        <w:t xml:space="preserve"> </w:t>
      </w:r>
      <w:r>
        <w:rPr>
          <w:rFonts w:ascii="宋体" w:hAnsi="宋体" w:eastAsia="宋体" w:cs="宋体"/>
          <w:spacing w:val="9"/>
          <w:sz w:val="20"/>
          <w:szCs w:val="20"/>
        </w:rPr>
        <w:t>反思的结果和教学中心地位复归的内在诉求</w:t>
      </w:r>
      <w:r>
        <w:rPr>
          <w:rFonts w:ascii="宋体" w:hAnsi="宋体" w:eastAsia="宋体" w:cs="宋体"/>
          <w:spacing w:val="9"/>
          <w:position w:val="1"/>
          <w:sz w:val="20"/>
          <w:szCs w:val="20"/>
        </w:rPr>
        <w:t>，</w:t>
      </w:r>
      <w:r>
        <w:rPr>
          <w:rFonts w:ascii="宋体" w:hAnsi="宋体" w:eastAsia="宋体" w:cs="宋体"/>
          <w:spacing w:val="9"/>
          <w:sz w:val="20"/>
          <w:szCs w:val="20"/>
        </w:rPr>
        <w:t>有</w:t>
      </w:r>
      <w:r>
        <w:rPr>
          <w:rFonts w:ascii="宋体" w:hAnsi="宋体" w:eastAsia="宋体" w:cs="宋体"/>
          <w:spacing w:val="8"/>
          <w:sz w:val="20"/>
          <w:szCs w:val="20"/>
        </w:rPr>
        <w:t xml:space="preserve"> </w:t>
      </w:r>
      <w:r>
        <w:rPr>
          <w:rFonts w:ascii="宋体" w:hAnsi="宋体" w:eastAsia="宋体" w:cs="宋体"/>
          <w:spacing w:val="9"/>
          <w:sz w:val="20"/>
          <w:szCs w:val="20"/>
        </w:rPr>
        <w:t>着深刻的历史背景</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战后</w:t>
      </w:r>
      <w:r>
        <w:rPr>
          <w:rFonts w:ascii="宋体" w:hAnsi="宋体" w:eastAsia="宋体" w:cs="宋体"/>
          <w:spacing w:val="9"/>
          <w:position w:val="1"/>
          <w:sz w:val="20"/>
          <w:szCs w:val="20"/>
        </w:rPr>
        <w:t>，</w:t>
      </w:r>
      <w:r>
        <w:rPr>
          <w:rFonts w:ascii="宋体" w:hAnsi="宋体" w:eastAsia="宋体" w:cs="宋体"/>
          <w:spacing w:val="9"/>
          <w:sz w:val="20"/>
          <w:szCs w:val="20"/>
        </w:rPr>
        <w:t>美国政府加大了对科</w:t>
      </w:r>
      <w:r>
        <w:rPr>
          <w:rFonts w:ascii="宋体" w:hAnsi="宋体" w:eastAsia="宋体" w:cs="宋体"/>
          <w:spacing w:val="7"/>
          <w:sz w:val="20"/>
          <w:szCs w:val="20"/>
        </w:rPr>
        <w:t xml:space="preserve"> </w:t>
      </w:r>
      <w:r>
        <w:rPr>
          <w:rFonts w:ascii="宋体" w:hAnsi="宋体" w:eastAsia="宋体" w:cs="宋体"/>
          <w:spacing w:val="9"/>
          <w:sz w:val="20"/>
          <w:szCs w:val="20"/>
        </w:rPr>
        <w:t>研的政策与经费支持力度</w:t>
      </w:r>
      <w:r>
        <w:rPr>
          <w:rFonts w:ascii="宋体" w:hAnsi="宋体" w:eastAsia="宋体" w:cs="宋体"/>
          <w:spacing w:val="9"/>
          <w:position w:val="1"/>
          <w:sz w:val="20"/>
          <w:szCs w:val="20"/>
        </w:rPr>
        <w:t>，</w:t>
      </w:r>
      <w:r>
        <w:rPr>
          <w:rFonts w:ascii="宋体" w:hAnsi="宋体" w:eastAsia="宋体" w:cs="宋体"/>
          <w:spacing w:val="9"/>
          <w:sz w:val="20"/>
          <w:szCs w:val="20"/>
        </w:rPr>
        <w:t>促使高校普遍重视科</w:t>
      </w:r>
      <w:r>
        <w:rPr>
          <w:rFonts w:ascii="宋体" w:hAnsi="宋体" w:eastAsia="宋体" w:cs="宋体"/>
          <w:spacing w:val="7"/>
          <w:sz w:val="20"/>
          <w:szCs w:val="20"/>
        </w:rPr>
        <w:t xml:space="preserve"> </w:t>
      </w:r>
      <w:r>
        <w:rPr>
          <w:rFonts w:ascii="宋体" w:hAnsi="宋体" w:eastAsia="宋体" w:cs="宋体"/>
          <w:spacing w:val="9"/>
          <w:sz w:val="20"/>
          <w:szCs w:val="20"/>
        </w:rPr>
        <w:t>研的职能</w:t>
      </w:r>
      <w:r>
        <w:rPr>
          <w:rFonts w:ascii="宋体" w:hAnsi="宋体" w:eastAsia="宋体" w:cs="宋体"/>
          <w:spacing w:val="9"/>
          <w:position w:val="1"/>
          <w:sz w:val="20"/>
          <w:szCs w:val="20"/>
        </w:rPr>
        <w:t>，</w:t>
      </w:r>
      <w:r>
        <w:rPr>
          <w:rFonts w:ascii="宋体" w:hAnsi="宋体" w:eastAsia="宋体" w:cs="宋体"/>
          <w:spacing w:val="9"/>
          <w:sz w:val="20"/>
          <w:szCs w:val="20"/>
        </w:rPr>
        <w:t>逐渐形成了把科研成果的数量与层次</w:t>
      </w:r>
      <w:r>
        <w:rPr>
          <w:rFonts w:ascii="宋体" w:hAnsi="宋体" w:eastAsia="宋体" w:cs="宋体"/>
          <w:spacing w:val="6"/>
          <w:sz w:val="20"/>
          <w:szCs w:val="20"/>
        </w:rPr>
        <w:t xml:space="preserve"> </w:t>
      </w:r>
      <w:r>
        <w:rPr>
          <w:rFonts w:ascii="宋体" w:hAnsi="宋体" w:eastAsia="宋体" w:cs="宋体"/>
          <w:spacing w:val="9"/>
          <w:sz w:val="20"/>
          <w:szCs w:val="20"/>
        </w:rPr>
        <w:t>作为大学教师晋升主要依据的高校教师职称晋升</w:t>
      </w:r>
      <w:r>
        <w:rPr>
          <w:rFonts w:ascii="宋体" w:hAnsi="宋体" w:eastAsia="宋体" w:cs="宋体"/>
          <w:spacing w:val="4"/>
          <w:sz w:val="20"/>
          <w:szCs w:val="20"/>
        </w:rPr>
        <w:t xml:space="preserve"> </w:t>
      </w:r>
      <w:r>
        <w:rPr>
          <w:rFonts w:ascii="宋体" w:hAnsi="宋体" w:eastAsia="宋体" w:cs="宋体"/>
          <w:sz w:val="20"/>
          <w:szCs w:val="20"/>
        </w:rPr>
        <w:t>机制</w:t>
      </w:r>
      <w:r>
        <w:rPr>
          <w:rFonts w:ascii="微软雅黑" w:hAnsi="微软雅黑" w:eastAsia="微软雅黑" w:cs="微软雅黑"/>
          <w:sz w:val="20"/>
          <w:szCs w:val="20"/>
        </w:rPr>
        <w:t>。</w:t>
      </w:r>
      <w:r>
        <w:rPr>
          <w:rFonts w:ascii="宋体" w:hAnsi="宋体" w:eastAsia="宋体" w:cs="宋体"/>
          <w:sz w:val="20"/>
          <w:szCs w:val="20"/>
        </w:rPr>
        <w:t>甚至有的高校出台了</w:t>
      </w:r>
      <w:r>
        <w:rPr>
          <w:rFonts w:ascii="微软雅黑" w:hAnsi="微软雅黑" w:eastAsia="微软雅黑" w:cs="微软雅黑"/>
          <w:sz w:val="20"/>
          <w:szCs w:val="20"/>
        </w:rPr>
        <w:t>“</w:t>
      </w:r>
      <w:r>
        <w:rPr>
          <w:rFonts w:ascii="宋体" w:hAnsi="宋体" w:eastAsia="宋体" w:cs="宋体"/>
          <w:sz w:val="20"/>
          <w:szCs w:val="20"/>
        </w:rPr>
        <w:t>不出版就解聘</w:t>
      </w:r>
      <w:r>
        <w:rPr>
          <w:rFonts w:ascii="微软雅黑" w:hAnsi="微软雅黑" w:eastAsia="微软雅黑" w:cs="微软雅黑"/>
          <w:spacing w:val="-1"/>
          <w:sz w:val="20"/>
          <w:szCs w:val="20"/>
        </w:rPr>
        <w:t>”“</w:t>
      </w:r>
      <w:r>
        <w:rPr>
          <w:rFonts w:ascii="宋体" w:hAnsi="宋体" w:eastAsia="宋体" w:cs="宋体"/>
          <w:spacing w:val="-1"/>
          <w:sz w:val="20"/>
          <w:szCs w:val="20"/>
        </w:rPr>
        <w:t>非</w:t>
      </w:r>
      <w:r>
        <w:rPr>
          <w:rFonts w:ascii="宋体" w:hAnsi="宋体" w:eastAsia="宋体" w:cs="宋体"/>
          <w:sz w:val="20"/>
          <w:szCs w:val="20"/>
        </w:rPr>
        <w:t xml:space="preserve"> </w:t>
      </w:r>
      <w:r>
        <w:rPr>
          <w:rFonts w:ascii="宋体" w:hAnsi="宋体" w:eastAsia="宋体" w:cs="宋体"/>
          <w:spacing w:val="9"/>
          <w:sz w:val="20"/>
          <w:szCs w:val="20"/>
        </w:rPr>
        <w:t>升即走</w:t>
      </w:r>
      <w:r>
        <w:rPr>
          <w:rFonts w:ascii="微软雅黑" w:hAnsi="微软雅黑" w:eastAsia="微软雅黑" w:cs="微软雅黑"/>
          <w:spacing w:val="9"/>
          <w:sz w:val="20"/>
          <w:szCs w:val="20"/>
        </w:rPr>
        <w:t>”</w:t>
      </w:r>
      <w:r>
        <w:rPr>
          <w:rFonts w:ascii="宋体" w:hAnsi="宋体" w:eastAsia="宋体" w:cs="宋体"/>
          <w:spacing w:val="9"/>
          <w:sz w:val="20"/>
          <w:szCs w:val="20"/>
        </w:rPr>
        <w:t>的教师评价与管理政策，导致教学与科</w:t>
      </w:r>
      <w:r>
        <w:rPr>
          <w:rFonts w:ascii="宋体" w:hAnsi="宋体" w:eastAsia="宋体" w:cs="宋体"/>
          <w:spacing w:val="7"/>
          <w:sz w:val="20"/>
          <w:szCs w:val="20"/>
        </w:rPr>
        <w:t xml:space="preserve"> </w:t>
      </w:r>
      <w:r>
        <w:rPr>
          <w:rFonts w:ascii="宋体" w:hAnsi="宋体" w:eastAsia="宋体" w:cs="宋体"/>
          <w:sz w:val="20"/>
          <w:szCs w:val="20"/>
        </w:rPr>
        <w:t>研的全面失衡，促使</w:t>
      </w:r>
      <w:r>
        <w:rPr>
          <w:rFonts w:ascii="微软雅黑" w:hAnsi="微软雅黑" w:eastAsia="微软雅黑" w:cs="微软雅黑"/>
          <w:sz w:val="20"/>
          <w:szCs w:val="20"/>
        </w:rPr>
        <w:t>“</w:t>
      </w:r>
      <w:r>
        <w:rPr>
          <w:rFonts w:ascii="宋体" w:hAnsi="宋体" w:eastAsia="宋体" w:cs="宋体"/>
          <w:sz w:val="20"/>
          <w:szCs w:val="20"/>
        </w:rPr>
        <w:t>重科研轻教学</w:t>
      </w:r>
      <w:r>
        <w:rPr>
          <w:rFonts w:ascii="微软雅黑" w:hAnsi="微软雅黑" w:eastAsia="微软雅黑" w:cs="微软雅黑"/>
          <w:sz w:val="20"/>
          <w:szCs w:val="20"/>
        </w:rPr>
        <w:t>”</w:t>
      </w:r>
      <w:r>
        <w:rPr>
          <w:rFonts w:ascii="宋体" w:hAnsi="宋体" w:eastAsia="宋体" w:cs="宋体"/>
          <w:sz w:val="20"/>
          <w:szCs w:val="20"/>
        </w:rPr>
        <w:t>高校</w:t>
      </w:r>
      <w:r>
        <w:rPr>
          <w:rFonts w:ascii="宋体" w:hAnsi="宋体" w:eastAsia="宋体" w:cs="宋体"/>
          <w:spacing w:val="-1"/>
          <w:sz w:val="20"/>
          <w:szCs w:val="20"/>
        </w:rPr>
        <w:t>文化的</w:t>
      </w:r>
    </w:p>
    <w:p>
      <w:pPr>
        <w:spacing w:line="14" w:lineRule="auto"/>
        <w:rPr>
          <w:rFonts w:ascii="Arial"/>
          <w:sz w:val="2"/>
        </w:rPr>
      </w:pPr>
      <w:r>
        <w:rPr>
          <w:rFonts w:ascii="Arial" w:hAnsi="Arial" w:eastAsia="Arial" w:cs="Arial"/>
          <w:sz w:val="2"/>
          <w:szCs w:val="2"/>
        </w:rPr>
        <w:br w:type="column"/>
      </w:r>
    </w:p>
    <w:p>
      <w:pPr>
        <w:spacing w:before="46" w:line="253" w:lineRule="auto"/>
        <w:ind w:firstLine="3"/>
        <w:jc w:val="both"/>
        <w:rPr>
          <w:rFonts w:ascii="微软雅黑" w:hAnsi="微软雅黑" w:eastAsia="微软雅黑" w:cs="微软雅黑"/>
          <w:sz w:val="20"/>
          <w:szCs w:val="20"/>
        </w:rPr>
      </w:pPr>
      <w:r>
        <w:rPr>
          <w:rFonts w:ascii="宋体" w:hAnsi="宋体" w:eastAsia="宋体" w:cs="宋体"/>
          <w:spacing w:val="8"/>
          <w:sz w:val="20"/>
          <w:szCs w:val="20"/>
        </w:rPr>
        <w:t>形成</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大学教师把主要时间</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精力投入到科研工 作</w:t>
      </w:r>
      <w:r>
        <w:rPr>
          <w:rFonts w:ascii="宋体" w:hAnsi="宋体" w:eastAsia="宋体" w:cs="宋体"/>
          <w:spacing w:val="8"/>
          <w:position w:val="1"/>
          <w:sz w:val="20"/>
          <w:szCs w:val="20"/>
        </w:rPr>
        <w:t>，</w:t>
      </w:r>
      <w:r>
        <w:rPr>
          <w:rFonts w:ascii="宋体" w:hAnsi="宋体" w:eastAsia="宋体" w:cs="宋体"/>
          <w:spacing w:val="8"/>
          <w:sz w:val="20"/>
          <w:szCs w:val="20"/>
        </w:rPr>
        <w:t>教学工作被视为一种外在的任务甚至是一种 额外的负担</w:t>
      </w:r>
      <w:r>
        <w:rPr>
          <w:rFonts w:ascii="宋体" w:hAnsi="宋体" w:eastAsia="宋体" w:cs="宋体"/>
          <w:spacing w:val="8"/>
          <w:position w:val="1"/>
          <w:sz w:val="20"/>
          <w:szCs w:val="20"/>
        </w:rPr>
        <w:t>，</w:t>
      </w:r>
      <w:r>
        <w:rPr>
          <w:rFonts w:ascii="宋体" w:hAnsi="宋体" w:eastAsia="宋体" w:cs="宋体"/>
          <w:spacing w:val="8"/>
          <w:sz w:val="20"/>
          <w:szCs w:val="20"/>
        </w:rPr>
        <w:t xml:space="preserve">不可避免地导致高等教育质量的全 </w:t>
      </w:r>
      <w:r>
        <w:rPr>
          <w:rFonts w:ascii="宋体" w:hAnsi="宋体" w:eastAsia="宋体" w:cs="宋体"/>
          <w:spacing w:val="5"/>
          <w:sz w:val="20"/>
          <w:szCs w:val="20"/>
        </w:rPr>
        <w:t>面下降</w:t>
      </w:r>
      <w:r>
        <w:rPr>
          <w:rFonts w:ascii="微软雅黑" w:hAnsi="微软雅黑" w:eastAsia="微软雅黑" w:cs="微软雅黑"/>
          <w:spacing w:val="5"/>
          <w:sz w:val="20"/>
          <w:szCs w:val="20"/>
        </w:rPr>
        <w:t>。1990</w:t>
      </w:r>
      <w:r>
        <w:rPr>
          <w:rFonts w:ascii="微软雅黑" w:hAnsi="微软雅黑" w:eastAsia="微软雅黑" w:cs="微软雅黑"/>
          <w:spacing w:val="28"/>
          <w:w w:val="101"/>
          <w:sz w:val="20"/>
          <w:szCs w:val="20"/>
        </w:rPr>
        <w:t xml:space="preserve"> </w:t>
      </w:r>
      <w:r>
        <w:rPr>
          <w:rFonts w:ascii="宋体" w:hAnsi="宋体" w:eastAsia="宋体" w:cs="宋体"/>
          <w:spacing w:val="5"/>
          <w:sz w:val="20"/>
          <w:szCs w:val="20"/>
        </w:rPr>
        <w:t>年，美国卡耐基教学促进会主席</w:t>
      </w:r>
      <w:r>
        <w:rPr>
          <w:rFonts w:ascii="微软雅黑" w:hAnsi="微软雅黑" w:eastAsia="微软雅黑" w:cs="微软雅黑"/>
          <w:spacing w:val="5"/>
          <w:sz w:val="20"/>
          <w:szCs w:val="20"/>
        </w:rPr>
        <w:t>、</w:t>
      </w:r>
      <w:r>
        <w:rPr>
          <w:rFonts w:ascii="微软雅黑" w:hAnsi="微软雅黑" w:eastAsia="微软雅黑" w:cs="微软雅黑"/>
          <w:sz w:val="20"/>
          <w:szCs w:val="20"/>
        </w:rPr>
        <w:t xml:space="preserve"> </w:t>
      </w:r>
      <w:r>
        <w:rPr>
          <w:rFonts w:ascii="宋体" w:hAnsi="宋体" w:eastAsia="宋体" w:cs="宋体"/>
          <w:spacing w:val="15"/>
          <w:sz w:val="20"/>
          <w:szCs w:val="20"/>
        </w:rPr>
        <w:t>前教育部部长厄内斯特</w:t>
      </w:r>
      <w:r>
        <w:rPr>
          <w:rFonts w:ascii="微软雅黑" w:hAnsi="微软雅黑" w:eastAsia="微软雅黑" w:cs="微软雅黑"/>
          <w:spacing w:val="15"/>
          <w:sz w:val="20"/>
          <w:szCs w:val="20"/>
        </w:rPr>
        <w:t>·</w:t>
      </w:r>
      <w:r>
        <w:rPr>
          <w:rFonts w:ascii="宋体" w:hAnsi="宋体" w:eastAsia="宋体" w:cs="宋体"/>
          <w:spacing w:val="15"/>
          <w:sz w:val="20"/>
          <w:szCs w:val="20"/>
        </w:rPr>
        <w:t xml:space="preserve">博耶敏锐地意识到教学 </w:t>
      </w:r>
      <w:r>
        <w:rPr>
          <w:rFonts w:ascii="宋体" w:hAnsi="宋体" w:eastAsia="宋体" w:cs="宋体"/>
          <w:spacing w:val="8"/>
          <w:sz w:val="20"/>
          <w:szCs w:val="20"/>
        </w:rPr>
        <w:t xml:space="preserve">与科研失衡导致高校教学质量下降问题的严重性 </w:t>
      </w:r>
      <w:r>
        <w:rPr>
          <w:rFonts w:ascii="宋体" w:hAnsi="宋体" w:eastAsia="宋体" w:cs="宋体"/>
          <w:sz w:val="20"/>
          <w:szCs w:val="20"/>
        </w:rPr>
        <w:t>和解决该问题的紧迫性</w:t>
      </w:r>
      <w:r>
        <w:rPr>
          <w:rFonts w:ascii="微软雅黑" w:hAnsi="微软雅黑" w:eastAsia="微软雅黑" w:cs="微软雅黑"/>
          <w:sz w:val="20"/>
          <w:szCs w:val="20"/>
        </w:rPr>
        <w:t>。</w:t>
      </w:r>
      <w:r>
        <w:rPr>
          <w:rFonts w:ascii="宋体" w:hAnsi="宋体" w:eastAsia="宋体" w:cs="宋体"/>
          <w:sz w:val="20"/>
          <w:szCs w:val="20"/>
        </w:rPr>
        <w:t>他在</w:t>
      </w:r>
      <w:r>
        <w:rPr>
          <w:rFonts w:ascii="宋体" w:hAnsi="宋体" w:eastAsia="宋体" w:cs="宋体"/>
          <w:spacing w:val="-35"/>
          <w:sz w:val="20"/>
          <w:szCs w:val="20"/>
        </w:rPr>
        <w:t xml:space="preserve"> </w:t>
      </w:r>
      <w:r>
        <w:rPr>
          <w:rFonts w:ascii="微软雅黑" w:hAnsi="微软雅黑" w:eastAsia="微软雅黑" w:cs="微软雅黑"/>
          <w:sz w:val="20"/>
          <w:szCs w:val="20"/>
        </w:rPr>
        <w:t xml:space="preserve">1990 </w:t>
      </w:r>
      <w:r>
        <w:rPr>
          <w:rFonts w:ascii="宋体" w:hAnsi="宋体" w:eastAsia="宋体" w:cs="宋体"/>
          <w:sz w:val="20"/>
          <w:szCs w:val="20"/>
        </w:rPr>
        <w:t>年出版的</w:t>
      </w:r>
      <w:r>
        <w:rPr>
          <w:rFonts w:ascii="微软雅黑" w:hAnsi="微软雅黑" w:eastAsia="微软雅黑" w:cs="微软雅黑"/>
          <w:sz w:val="20"/>
          <w:szCs w:val="20"/>
        </w:rPr>
        <w:t>《</w:t>
      </w:r>
      <w:r>
        <w:rPr>
          <w:rFonts w:ascii="宋体" w:hAnsi="宋体" w:eastAsia="宋体" w:cs="宋体"/>
          <w:spacing w:val="-1"/>
          <w:sz w:val="20"/>
          <w:szCs w:val="20"/>
        </w:rPr>
        <w:t xml:space="preserve">学 </w:t>
      </w:r>
      <w:r>
        <w:rPr>
          <w:rFonts w:ascii="宋体" w:hAnsi="宋体" w:eastAsia="宋体" w:cs="宋体"/>
          <w:spacing w:val="7"/>
          <w:sz w:val="20"/>
          <w:szCs w:val="20"/>
        </w:rPr>
        <w:t>术水平的反思</w:t>
      </w:r>
      <w:r>
        <w:rPr>
          <w:rFonts w:ascii="微软雅黑" w:hAnsi="微软雅黑" w:eastAsia="微软雅黑" w:cs="微软雅黑"/>
          <w:spacing w:val="7"/>
          <w:sz w:val="20"/>
          <w:szCs w:val="20"/>
        </w:rPr>
        <w:t>—</w:t>
      </w:r>
      <w:r>
        <w:rPr>
          <w:rFonts w:ascii="微软雅黑" w:hAnsi="微软雅黑" w:eastAsia="微软雅黑" w:cs="微软雅黑"/>
          <w:spacing w:val="-35"/>
          <w:w w:val="64"/>
          <w:sz w:val="20"/>
          <w:szCs w:val="20"/>
        </w:rPr>
        <w:t>——</w:t>
      </w:r>
      <w:r>
        <w:rPr>
          <w:rFonts w:ascii="微软雅黑" w:hAnsi="微软雅黑" w:eastAsia="微软雅黑" w:cs="微软雅黑"/>
          <w:spacing w:val="-37"/>
          <w:sz w:val="20"/>
          <w:szCs w:val="20"/>
        </w:rPr>
        <w:t xml:space="preserve"> </w:t>
      </w:r>
      <w:r>
        <w:rPr>
          <w:rFonts w:ascii="宋体" w:hAnsi="宋体" w:eastAsia="宋体" w:cs="宋体"/>
          <w:spacing w:val="7"/>
          <w:sz w:val="20"/>
          <w:szCs w:val="20"/>
        </w:rPr>
        <w:t>大学教授的工作重点</w:t>
      </w:r>
      <w:r>
        <w:rPr>
          <w:rFonts w:ascii="微软雅黑" w:hAnsi="微软雅黑" w:eastAsia="微软雅黑" w:cs="微软雅黑"/>
          <w:spacing w:val="7"/>
          <w:sz w:val="20"/>
          <w:szCs w:val="20"/>
        </w:rPr>
        <w:t>》</w:t>
      </w:r>
      <w:r>
        <w:rPr>
          <w:rFonts w:ascii="宋体" w:hAnsi="宋体" w:eastAsia="宋体" w:cs="宋体"/>
          <w:spacing w:val="7"/>
          <w:sz w:val="20"/>
          <w:szCs w:val="20"/>
        </w:rPr>
        <w:t xml:space="preserve">一书中 </w:t>
      </w:r>
      <w:r>
        <w:rPr>
          <w:rFonts w:ascii="宋体" w:hAnsi="宋体" w:eastAsia="宋体" w:cs="宋体"/>
          <w:spacing w:val="4"/>
          <w:sz w:val="20"/>
          <w:szCs w:val="20"/>
        </w:rPr>
        <w:t>首次提出了教学学术的概念</w:t>
      </w:r>
      <w:r>
        <w:rPr>
          <w:rFonts w:ascii="宋体" w:hAnsi="宋体" w:eastAsia="宋体" w:cs="宋体"/>
          <w:spacing w:val="4"/>
          <w:position w:val="9"/>
          <w:sz w:val="11"/>
          <w:szCs w:val="11"/>
        </w:rPr>
        <w:t>［</w:t>
      </w:r>
      <w:r>
        <w:rPr>
          <w:rFonts w:ascii="微软雅黑" w:hAnsi="微软雅黑" w:eastAsia="微软雅黑" w:cs="微软雅黑"/>
          <w:spacing w:val="4"/>
          <w:position w:val="9"/>
          <w:sz w:val="11"/>
          <w:szCs w:val="11"/>
        </w:rPr>
        <w:t>3</w:t>
      </w:r>
      <w:r>
        <w:rPr>
          <w:rFonts w:ascii="宋体" w:hAnsi="宋体" w:eastAsia="宋体" w:cs="宋体"/>
          <w:spacing w:val="4"/>
          <w:position w:val="9"/>
          <w:sz w:val="11"/>
          <w:szCs w:val="11"/>
        </w:rPr>
        <w:t>］</w:t>
      </w:r>
      <w:r>
        <w:rPr>
          <w:rFonts w:ascii="微软雅黑" w:hAnsi="微软雅黑" w:eastAsia="微软雅黑" w:cs="微软雅黑"/>
          <w:spacing w:val="4"/>
          <w:sz w:val="20"/>
          <w:szCs w:val="20"/>
        </w:rPr>
        <w:t>。</w:t>
      </w:r>
      <w:r>
        <w:rPr>
          <w:rFonts w:ascii="宋体" w:hAnsi="宋体" w:eastAsia="宋体" w:cs="宋体"/>
          <w:spacing w:val="4"/>
          <w:sz w:val="20"/>
          <w:szCs w:val="20"/>
        </w:rPr>
        <w:t xml:space="preserve">在博耶看来，教 </w:t>
      </w:r>
      <w:r>
        <w:rPr>
          <w:rFonts w:ascii="宋体" w:hAnsi="宋体" w:eastAsia="宋体" w:cs="宋体"/>
          <w:spacing w:val="8"/>
          <w:sz w:val="20"/>
          <w:szCs w:val="20"/>
        </w:rPr>
        <w:t>学支撑着学术，离开教学，学术将难以为继</w:t>
      </w:r>
      <w:r>
        <w:rPr>
          <w:rFonts w:ascii="宋体" w:hAnsi="宋体" w:eastAsia="宋体" w:cs="宋体"/>
          <w:spacing w:val="8"/>
          <w:position w:val="9"/>
          <w:sz w:val="11"/>
          <w:szCs w:val="11"/>
        </w:rPr>
        <w:t>［</w:t>
      </w:r>
      <w:r>
        <w:rPr>
          <w:rFonts w:ascii="微软雅黑" w:hAnsi="微软雅黑" w:eastAsia="微软雅黑" w:cs="微软雅黑"/>
          <w:spacing w:val="8"/>
          <w:position w:val="9"/>
          <w:sz w:val="11"/>
          <w:szCs w:val="11"/>
        </w:rPr>
        <w:t>4</w:t>
      </w:r>
      <w:r>
        <w:rPr>
          <w:rFonts w:ascii="宋体" w:hAnsi="宋体" w:eastAsia="宋体" w:cs="宋体"/>
          <w:spacing w:val="8"/>
          <w:position w:val="9"/>
          <w:sz w:val="11"/>
          <w:szCs w:val="11"/>
        </w:rPr>
        <w:t>］</w:t>
      </w:r>
      <w:r>
        <w:rPr>
          <w:rFonts w:ascii="微软雅黑" w:hAnsi="微软雅黑" w:eastAsia="微软雅黑" w:cs="微软雅黑"/>
          <w:spacing w:val="8"/>
          <w:sz w:val="20"/>
          <w:szCs w:val="20"/>
        </w:rPr>
        <w:t>。</w:t>
      </w:r>
      <w:r>
        <w:rPr>
          <w:rFonts w:ascii="微软雅黑" w:hAnsi="微软雅黑" w:eastAsia="微软雅黑" w:cs="微软雅黑"/>
          <w:spacing w:val="3"/>
          <w:sz w:val="20"/>
          <w:szCs w:val="20"/>
        </w:rPr>
        <w:t xml:space="preserve"> </w:t>
      </w:r>
      <w:r>
        <w:rPr>
          <w:rFonts w:ascii="宋体" w:hAnsi="宋体" w:eastAsia="宋体" w:cs="宋体"/>
          <w:spacing w:val="7"/>
          <w:sz w:val="20"/>
          <w:szCs w:val="20"/>
        </w:rPr>
        <w:t>教学学术意味着教学也是一种学术活动</w:t>
      </w:r>
      <w:r>
        <w:rPr>
          <w:rFonts w:ascii="微软雅黑" w:hAnsi="微软雅黑" w:eastAsia="微软雅黑" w:cs="微软雅黑"/>
          <w:spacing w:val="7"/>
          <w:position w:val="1"/>
          <w:sz w:val="20"/>
          <w:szCs w:val="20"/>
        </w:rPr>
        <w:t>。</w:t>
      </w:r>
      <w:r>
        <w:rPr>
          <w:rFonts w:ascii="微软雅黑" w:hAnsi="微软雅黑" w:eastAsia="微软雅黑" w:cs="微软雅黑"/>
          <w:spacing w:val="-22"/>
          <w:position w:val="1"/>
          <w:sz w:val="20"/>
          <w:szCs w:val="20"/>
        </w:rPr>
        <w:t xml:space="preserve"> </w:t>
      </w:r>
      <w:r>
        <w:rPr>
          <w:rFonts w:ascii="宋体" w:hAnsi="宋体" w:eastAsia="宋体" w:cs="宋体"/>
          <w:spacing w:val="7"/>
          <w:sz w:val="20"/>
          <w:szCs w:val="20"/>
        </w:rPr>
        <w:t xml:space="preserve">随着教 </w:t>
      </w:r>
      <w:r>
        <w:rPr>
          <w:rFonts w:ascii="宋体" w:hAnsi="宋体" w:eastAsia="宋体" w:cs="宋体"/>
          <w:spacing w:val="8"/>
          <w:sz w:val="20"/>
          <w:szCs w:val="20"/>
        </w:rPr>
        <w:t>学学术引起人们的广泛而深入的探讨</w:t>
      </w:r>
      <w:r>
        <w:rPr>
          <w:rFonts w:ascii="宋体" w:hAnsi="宋体" w:eastAsia="宋体" w:cs="宋体"/>
          <w:spacing w:val="8"/>
          <w:position w:val="1"/>
          <w:sz w:val="20"/>
          <w:szCs w:val="20"/>
        </w:rPr>
        <w:t>，</w:t>
      </w:r>
      <w:r>
        <w:rPr>
          <w:rFonts w:ascii="宋体" w:hAnsi="宋体" w:eastAsia="宋体" w:cs="宋体"/>
          <w:spacing w:val="8"/>
          <w:sz w:val="20"/>
          <w:szCs w:val="20"/>
        </w:rPr>
        <w:t>教学学术 概念表现出多元化</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博耶创造性的把大学教学纳 </w:t>
      </w:r>
      <w:r>
        <w:rPr>
          <w:rFonts w:ascii="宋体" w:hAnsi="宋体" w:eastAsia="宋体" w:cs="宋体"/>
          <w:spacing w:val="-1"/>
          <w:sz w:val="20"/>
          <w:szCs w:val="20"/>
        </w:rPr>
        <w:t>入学术范畴</w:t>
      </w:r>
      <w:r>
        <w:rPr>
          <w:rFonts w:ascii="宋体" w:hAnsi="宋体" w:eastAsia="宋体" w:cs="宋体"/>
          <w:spacing w:val="-1"/>
          <w:position w:val="1"/>
          <w:sz w:val="20"/>
          <w:szCs w:val="20"/>
        </w:rPr>
        <w:t>，</w:t>
      </w:r>
      <w:r>
        <w:rPr>
          <w:rFonts w:ascii="宋体" w:hAnsi="宋体" w:eastAsia="宋体" w:cs="宋体"/>
          <w:spacing w:val="-1"/>
          <w:sz w:val="20"/>
          <w:szCs w:val="20"/>
        </w:rPr>
        <w:t>大学教学不仅是一种教育活动</w:t>
      </w:r>
      <w:r>
        <w:rPr>
          <w:rFonts w:ascii="宋体" w:hAnsi="宋体" w:eastAsia="宋体" w:cs="宋体"/>
          <w:spacing w:val="-1"/>
          <w:position w:val="1"/>
          <w:sz w:val="20"/>
          <w:szCs w:val="20"/>
        </w:rPr>
        <w:t>，</w:t>
      </w:r>
      <w:r>
        <w:rPr>
          <w:rFonts w:ascii="宋体" w:hAnsi="宋体" w:eastAsia="宋体" w:cs="宋体"/>
          <w:spacing w:val="-1"/>
          <w:sz w:val="20"/>
          <w:szCs w:val="20"/>
        </w:rPr>
        <w:t xml:space="preserve">也是 </w:t>
      </w:r>
      <w:r>
        <w:rPr>
          <w:rFonts w:ascii="宋体" w:hAnsi="宋体" w:eastAsia="宋体" w:cs="宋体"/>
          <w:spacing w:val="8"/>
          <w:sz w:val="20"/>
          <w:szCs w:val="20"/>
        </w:rPr>
        <w:t>一种学术活动</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教学学术作为一种全新的学术范 式与理论</w:t>
      </w:r>
      <w:r>
        <w:rPr>
          <w:rFonts w:ascii="宋体" w:hAnsi="宋体" w:eastAsia="宋体" w:cs="宋体"/>
          <w:spacing w:val="8"/>
          <w:position w:val="1"/>
          <w:sz w:val="20"/>
          <w:szCs w:val="20"/>
        </w:rPr>
        <w:t>，</w:t>
      </w:r>
      <w:r>
        <w:rPr>
          <w:rFonts w:ascii="宋体" w:hAnsi="宋体" w:eastAsia="宋体" w:cs="宋体"/>
          <w:spacing w:val="8"/>
          <w:sz w:val="20"/>
          <w:szCs w:val="20"/>
        </w:rPr>
        <w:t>拓展了学术的内涵和提升了大学教学 的地位</w:t>
      </w:r>
      <w:r>
        <w:rPr>
          <w:rFonts w:ascii="宋体" w:hAnsi="宋体" w:eastAsia="宋体" w:cs="宋体"/>
          <w:spacing w:val="8"/>
          <w:position w:val="1"/>
          <w:sz w:val="20"/>
          <w:szCs w:val="20"/>
        </w:rPr>
        <w:t>，</w:t>
      </w:r>
      <w:r>
        <w:rPr>
          <w:rFonts w:ascii="宋体" w:hAnsi="宋体" w:eastAsia="宋体" w:cs="宋体"/>
          <w:spacing w:val="8"/>
          <w:sz w:val="20"/>
          <w:szCs w:val="20"/>
        </w:rPr>
        <w:t>为高校教师改善教学提供了理论依据和 指明了方向与途径</w:t>
      </w:r>
      <w:r>
        <w:rPr>
          <w:rFonts w:ascii="微软雅黑" w:hAnsi="微软雅黑" w:eastAsia="微软雅黑" w:cs="微软雅黑"/>
          <w:spacing w:val="8"/>
          <w:sz w:val="20"/>
          <w:szCs w:val="20"/>
        </w:rPr>
        <w:t>。1997</w:t>
      </w:r>
      <w:r>
        <w:rPr>
          <w:rFonts w:ascii="微软雅黑" w:hAnsi="微软雅黑" w:eastAsia="微软雅黑" w:cs="微软雅黑"/>
          <w:spacing w:val="30"/>
          <w:sz w:val="20"/>
          <w:szCs w:val="20"/>
        </w:rPr>
        <w:t xml:space="preserve"> </w:t>
      </w:r>
      <w:r>
        <w:rPr>
          <w:rFonts w:ascii="宋体" w:hAnsi="宋体" w:eastAsia="宋体" w:cs="宋体"/>
          <w:spacing w:val="8"/>
          <w:sz w:val="20"/>
          <w:szCs w:val="20"/>
        </w:rPr>
        <w:t xml:space="preserve">年博耶的继任者李 </w:t>
      </w:r>
      <w:r>
        <w:rPr>
          <w:rFonts w:ascii="微软雅黑" w:hAnsi="微软雅黑" w:eastAsia="微软雅黑" w:cs="微软雅黑"/>
          <w:spacing w:val="8"/>
          <w:sz w:val="20"/>
          <w:szCs w:val="20"/>
        </w:rPr>
        <w:t xml:space="preserve">·   </w:t>
      </w:r>
      <w:r>
        <w:rPr>
          <w:rFonts w:ascii="宋体" w:hAnsi="宋体" w:eastAsia="宋体" w:cs="宋体"/>
          <w:spacing w:val="-1"/>
          <w:sz w:val="20"/>
          <w:szCs w:val="20"/>
        </w:rPr>
        <w:t>舒尔曼把教学学术拓展为</w:t>
      </w:r>
      <w:r>
        <w:rPr>
          <w:rFonts w:ascii="微软雅黑" w:hAnsi="微软雅黑" w:eastAsia="微软雅黑" w:cs="微软雅黑"/>
          <w:spacing w:val="-1"/>
          <w:sz w:val="20"/>
          <w:szCs w:val="20"/>
        </w:rPr>
        <w:t>“</w:t>
      </w:r>
      <w:r>
        <w:rPr>
          <w:rFonts w:ascii="宋体" w:hAnsi="宋体" w:eastAsia="宋体" w:cs="宋体"/>
          <w:spacing w:val="-1"/>
          <w:sz w:val="20"/>
          <w:szCs w:val="20"/>
        </w:rPr>
        <w:t>教与学的学术</w:t>
      </w:r>
      <w:r>
        <w:rPr>
          <w:rFonts w:ascii="微软雅黑" w:hAnsi="微软雅黑" w:eastAsia="微软雅黑" w:cs="微软雅黑"/>
          <w:spacing w:val="-1"/>
          <w:sz w:val="20"/>
          <w:szCs w:val="20"/>
        </w:rPr>
        <w:t>”</w:t>
      </w:r>
      <w:r>
        <w:rPr>
          <w:rFonts w:ascii="宋体" w:hAnsi="宋体" w:eastAsia="宋体" w:cs="宋体"/>
          <w:spacing w:val="-1"/>
          <w:sz w:val="20"/>
          <w:szCs w:val="20"/>
        </w:rPr>
        <w:t xml:space="preserve">，认为 </w:t>
      </w:r>
      <w:r>
        <w:rPr>
          <w:rFonts w:ascii="宋体" w:hAnsi="宋体" w:eastAsia="宋体" w:cs="宋体"/>
          <w:spacing w:val="-6"/>
          <w:sz w:val="20"/>
          <w:szCs w:val="20"/>
        </w:rPr>
        <w:t>应开展</w:t>
      </w:r>
      <w:r>
        <w:rPr>
          <w:rFonts w:ascii="微软雅黑" w:hAnsi="微软雅黑" w:eastAsia="微软雅黑" w:cs="微软雅黑"/>
          <w:spacing w:val="-6"/>
          <w:sz w:val="20"/>
          <w:szCs w:val="20"/>
        </w:rPr>
        <w:t>“</w:t>
      </w:r>
      <w:r>
        <w:rPr>
          <w:rFonts w:ascii="宋体" w:hAnsi="宋体" w:eastAsia="宋体" w:cs="宋体"/>
          <w:spacing w:val="-6"/>
          <w:sz w:val="20"/>
          <w:szCs w:val="20"/>
        </w:rPr>
        <w:t>教</w:t>
      </w:r>
      <w:r>
        <w:rPr>
          <w:rFonts w:ascii="微软雅黑" w:hAnsi="微软雅黑" w:eastAsia="微软雅黑" w:cs="微软雅黑"/>
          <w:spacing w:val="-6"/>
          <w:sz w:val="20"/>
          <w:szCs w:val="20"/>
        </w:rPr>
        <w:t>”</w:t>
      </w:r>
      <w:r>
        <w:rPr>
          <w:rFonts w:ascii="宋体" w:hAnsi="宋体" w:eastAsia="宋体" w:cs="宋体"/>
          <w:spacing w:val="-6"/>
          <w:sz w:val="20"/>
          <w:szCs w:val="20"/>
        </w:rPr>
        <w:t>与</w:t>
      </w:r>
      <w:r>
        <w:rPr>
          <w:rFonts w:ascii="微软雅黑" w:hAnsi="微软雅黑" w:eastAsia="微软雅黑" w:cs="微软雅黑"/>
          <w:spacing w:val="-6"/>
          <w:sz w:val="20"/>
          <w:szCs w:val="20"/>
        </w:rPr>
        <w:t>“</w:t>
      </w:r>
      <w:r>
        <w:rPr>
          <w:rFonts w:ascii="宋体" w:hAnsi="宋体" w:eastAsia="宋体" w:cs="宋体"/>
          <w:spacing w:val="-6"/>
          <w:sz w:val="20"/>
          <w:szCs w:val="20"/>
        </w:rPr>
        <w:t>学</w:t>
      </w:r>
      <w:r>
        <w:rPr>
          <w:rFonts w:ascii="微软雅黑" w:hAnsi="微软雅黑" w:eastAsia="微软雅黑" w:cs="微软雅黑"/>
          <w:spacing w:val="-6"/>
          <w:sz w:val="20"/>
          <w:szCs w:val="20"/>
        </w:rPr>
        <w:t>”</w:t>
      </w:r>
      <w:r>
        <w:rPr>
          <w:rFonts w:ascii="宋体" w:hAnsi="宋体" w:eastAsia="宋体" w:cs="宋体"/>
          <w:spacing w:val="-6"/>
          <w:sz w:val="20"/>
          <w:szCs w:val="20"/>
        </w:rPr>
        <w:t>两个方面的学术研究</w:t>
      </w:r>
      <w:r>
        <w:rPr>
          <w:rFonts w:ascii="宋体" w:hAnsi="宋体" w:eastAsia="宋体" w:cs="宋体"/>
          <w:spacing w:val="-6"/>
          <w:position w:val="9"/>
          <w:sz w:val="11"/>
          <w:szCs w:val="11"/>
        </w:rPr>
        <w:t>［</w:t>
      </w:r>
      <w:r>
        <w:rPr>
          <w:rFonts w:ascii="微软雅黑" w:hAnsi="微软雅黑" w:eastAsia="微软雅黑" w:cs="微软雅黑"/>
          <w:spacing w:val="-6"/>
          <w:position w:val="9"/>
          <w:sz w:val="11"/>
          <w:szCs w:val="11"/>
        </w:rPr>
        <w:t>5</w:t>
      </w:r>
      <w:r>
        <w:rPr>
          <w:rFonts w:ascii="宋体" w:hAnsi="宋体" w:eastAsia="宋体" w:cs="宋体"/>
          <w:spacing w:val="-6"/>
          <w:position w:val="9"/>
          <w:sz w:val="11"/>
          <w:szCs w:val="11"/>
        </w:rPr>
        <w:t>］</w:t>
      </w:r>
      <w:r>
        <w:rPr>
          <w:rFonts w:ascii="宋体" w:hAnsi="宋体" w:eastAsia="宋体" w:cs="宋体"/>
          <w:spacing w:val="-23"/>
          <w:position w:val="9"/>
          <w:sz w:val="11"/>
          <w:szCs w:val="11"/>
        </w:rPr>
        <w:t xml:space="preserve"> </w:t>
      </w:r>
      <w:r>
        <w:rPr>
          <w:rFonts w:ascii="微软雅黑" w:hAnsi="微软雅黑" w:eastAsia="微软雅黑" w:cs="微软雅黑"/>
          <w:spacing w:val="-6"/>
          <w:sz w:val="20"/>
          <w:szCs w:val="20"/>
        </w:rPr>
        <w:t>。</w:t>
      </w:r>
      <w:r>
        <w:rPr>
          <w:rFonts w:ascii="微软雅黑" w:hAnsi="微软雅黑" w:eastAsia="微软雅黑" w:cs="微软雅黑"/>
          <w:spacing w:val="-34"/>
          <w:sz w:val="20"/>
          <w:szCs w:val="20"/>
        </w:rPr>
        <w:t xml:space="preserve"> </w:t>
      </w:r>
      <w:r>
        <w:rPr>
          <w:rFonts w:ascii="宋体" w:hAnsi="宋体" w:eastAsia="宋体" w:cs="宋体"/>
          <w:spacing w:val="-6"/>
          <w:sz w:val="20"/>
          <w:szCs w:val="20"/>
        </w:rPr>
        <w:t xml:space="preserve">随 </w:t>
      </w:r>
      <w:r>
        <w:rPr>
          <w:rFonts w:ascii="宋体" w:hAnsi="宋体" w:eastAsia="宋体" w:cs="宋体"/>
          <w:spacing w:val="8"/>
          <w:sz w:val="20"/>
          <w:szCs w:val="20"/>
        </w:rPr>
        <w:t>着人们对教学学术研究的不断深化</w:t>
      </w:r>
      <w:r>
        <w:rPr>
          <w:rFonts w:ascii="宋体" w:hAnsi="宋体" w:eastAsia="宋体" w:cs="宋体"/>
          <w:spacing w:val="8"/>
          <w:position w:val="1"/>
          <w:sz w:val="20"/>
          <w:szCs w:val="20"/>
        </w:rPr>
        <w:t>，</w:t>
      </w:r>
      <w:r>
        <w:rPr>
          <w:rFonts w:ascii="宋体" w:hAnsi="宋体" w:eastAsia="宋体" w:cs="宋体"/>
          <w:spacing w:val="8"/>
          <w:sz w:val="20"/>
          <w:szCs w:val="20"/>
        </w:rPr>
        <w:t xml:space="preserve">教学学术呈 </w:t>
      </w:r>
      <w:r>
        <w:rPr>
          <w:rFonts w:ascii="宋体" w:hAnsi="宋体" w:eastAsia="宋体" w:cs="宋体"/>
          <w:spacing w:val="-1"/>
          <w:sz w:val="20"/>
          <w:szCs w:val="20"/>
        </w:rPr>
        <w:t>现出多元性</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民族性</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复杂性等特点</w:t>
      </w:r>
      <w:r>
        <w:rPr>
          <w:rFonts w:ascii="宋体" w:hAnsi="宋体" w:eastAsia="宋体" w:cs="宋体"/>
          <w:spacing w:val="-1"/>
          <w:position w:val="1"/>
          <w:sz w:val="20"/>
          <w:szCs w:val="20"/>
        </w:rPr>
        <w:t>，</w:t>
      </w:r>
      <w:r>
        <w:rPr>
          <w:rFonts w:ascii="宋体" w:hAnsi="宋体" w:eastAsia="宋体" w:cs="宋体"/>
          <w:spacing w:val="-1"/>
          <w:sz w:val="20"/>
          <w:szCs w:val="20"/>
        </w:rPr>
        <w:t xml:space="preserve">从最初的理 </w:t>
      </w:r>
      <w:r>
        <w:rPr>
          <w:rFonts w:ascii="宋体" w:hAnsi="宋体" w:eastAsia="宋体" w:cs="宋体"/>
          <w:spacing w:val="8"/>
          <w:sz w:val="20"/>
          <w:szCs w:val="20"/>
        </w:rPr>
        <w:t>论探讨不断深入到教学实践层面</w:t>
      </w:r>
      <w:r>
        <w:rPr>
          <w:rFonts w:ascii="宋体" w:hAnsi="宋体" w:eastAsia="宋体" w:cs="宋体"/>
          <w:spacing w:val="8"/>
          <w:position w:val="1"/>
          <w:sz w:val="20"/>
          <w:szCs w:val="20"/>
        </w:rPr>
        <w:t>，</w:t>
      </w:r>
      <w:r>
        <w:rPr>
          <w:rFonts w:ascii="宋体" w:hAnsi="宋体" w:eastAsia="宋体" w:cs="宋体"/>
          <w:spacing w:val="8"/>
          <w:sz w:val="20"/>
          <w:szCs w:val="20"/>
        </w:rPr>
        <w:t xml:space="preserve">从最初的美国 </w:t>
      </w:r>
      <w:r>
        <w:rPr>
          <w:rFonts w:ascii="宋体" w:hAnsi="宋体" w:eastAsia="宋体" w:cs="宋体"/>
          <w:spacing w:val="-9"/>
          <w:sz w:val="20"/>
          <w:szCs w:val="20"/>
        </w:rPr>
        <w:t>扩大到德</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法</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英</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中</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日等国家</w:t>
      </w:r>
      <w:r>
        <w:rPr>
          <w:rFonts w:ascii="宋体" w:hAnsi="宋体" w:eastAsia="宋体" w:cs="宋体"/>
          <w:spacing w:val="-9"/>
          <w:position w:val="1"/>
          <w:sz w:val="20"/>
          <w:szCs w:val="20"/>
        </w:rPr>
        <w:t>，</w:t>
      </w:r>
      <w:r>
        <w:rPr>
          <w:rFonts w:ascii="宋体" w:hAnsi="宋体" w:eastAsia="宋体" w:cs="宋体"/>
          <w:spacing w:val="-9"/>
          <w:sz w:val="20"/>
          <w:szCs w:val="20"/>
        </w:rPr>
        <w:t xml:space="preserve">并不断形成本土 </w:t>
      </w:r>
      <w:r>
        <w:rPr>
          <w:rFonts w:ascii="宋体" w:hAnsi="宋体" w:eastAsia="宋体" w:cs="宋体"/>
          <w:spacing w:val="8"/>
          <w:sz w:val="20"/>
          <w:szCs w:val="20"/>
        </w:rPr>
        <w:t>化的教学学术思想和实践</w:t>
      </w:r>
      <w:r>
        <w:rPr>
          <w:rFonts w:ascii="宋体" w:hAnsi="宋体" w:eastAsia="宋体" w:cs="宋体"/>
          <w:spacing w:val="8"/>
          <w:position w:val="1"/>
          <w:sz w:val="20"/>
          <w:szCs w:val="20"/>
        </w:rPr>
        <w:t>，</w:t>
      </w:r>
      <w:r>
        <w:rPr>
          <w:rFonts w:ascii="宋体" w:hAnsi="宋体" w:eastAsia="宋体" w:cs="宋体"/>
          <w:spacing w:val="8"/>
          <w:sz w:val="20"/>
          <w:szCs w:val="20"/>
        </w:rPr>
        <w:t>引发了具有世界影响 的教学学术运动</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如我国有的学者把教学学术理 </w:t>
      </w:r>
      <w:r>
        <w:rPr>
          <w:rFonts w:ascii="宋体" w:hAnsi="宋体" w:eastAsia="宋体" w:cs="宋体"/>
          <w:spacing w:val="-1"/>
          <w:sz w:val="20"/>
          <w:szCs w:val="20"/>
        </w:rPr>
        <w:t>解为是一种新的学术形态</w:t>
      </w:r>
      <w:r>
        <w:rPr>
          <w:rFonts w:ascii="宋体" w:hAnsi="宋体" w:eastAsia="宋体" w:cs="宋体"/>
          <w:spacing w:val="-1"/>
          <w:position w:val="1"/>
          <w:sz w:val="20"/>
          <w:szCs w:val="20"/>
        </w:rPr>
        <w:t>，</w:t>
      </w:r>
      <w:r>
        <w:rPr>
          <w:rFonts w:ascii="宋体" w:hAnsi="宋体" w:eastAsia="宋体" w:cs="宋体"/>
          <w:spacing w:val="-1"/>
          <w:sz w:val="20"/>
          <w:szCs w:val="20"/>
        </w:rPr>
        <w:t>它具有可研究性</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教学 实践性</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可表征和可交流性</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 xml:space="preserve">可评价与可改进性等 </w:t>
      </w:r>
      <w:r>
        <w:rPr>
          <w:rFonts w:ascii="宋体" w:hAnsi="宋体" w:eastAsia="宋体" w:cs="宋体"/>
          <w:spacing w:val="-6"/>
          <w:position w:val="-3"/>
          <w:sz w:val="20"/>
          <w:szCs w:val="20"/>
        </w:rPr>
        <w:t>特性</w:t>
      </w:r>
      <w:r>
        <w:rPr>
          <w:rFonts w:ascii="宋体" w:hAnsi="宋体" w:eastAsia="宋体" w:cs="宋体"/>
          <w:spacing w:val="-6"/>
          <w:position w:val="6"/>
          <w:sz w:val="11"/>
          <w:szCs w:val="11"/>
        </w:rPr>
        <w:t>［</w:t>
      </w:r>
      <w:r>
        <w:rPr>
          <w:rFonts w:ascii="微软雅黑" w:hAnsi="微软雅黑" w:eastAsia="微软雅黑" w:cs="微软雅黑"/>
          <w:spacing w:val="-6"/>
          <w:position w:val="6"/>
          <w:sz w:val="11"/>
          <w:szCs w:val="11"/>
        </w:rPr>
        <w:t>6</w:t>
      </w:r>
      <w:r>
        <w:rPr>
          <w:rFonts w:ascii="宋体" w:hAnsi="宋体" w:eastAsia="宋体" w:cs="宋体"/>
          <w:spacing w:val="-6"/>
          <w:position w:val="6"/>
          <w:sz w:val="11"/>
          <w:szCs w:val="11"/>
        </w:rPr>
        <w:t>］</w:t>
      </w:r>
      <w:r>
        <w:rPr>
          <w:rFonts w:ascii="微软雅黑" w:hAnsi="微软雅黑" w:eastAsia="微软雅黑" w:cs="微软雅黑"/>
          <w:spacing w:val="-6"/>
          <w:position w:val="-2"/>
          <w:sz w:val="20"/>
          <w:szCs w:val="20"/>
        </w:rPr>
        <w:t>。</w:t>
      </w:r>
    </w:p>
    <w:p>
      <w:pPr>
        <w:spacing w:before="78" w:line="214" w:lineRule="auto"/>
        <w:ind w:left="459"/>
        <w:rPr>
          <w:rFonts w:ascii="黑体" w:hAnsi="黑体" w:eastAsia="黑体" w:cs="黑体"/>
          <w:sz w:val="20"/>
          <w:szCs w:val="20"/>
        </w:rPr>
      </w:pPr>
      <w:r>
        <w:rPr>
          <w:rFonts w:ascii="黑体" w:hAnsi="黑体" w:eastAsia="黑体" w:cs="黑体"/>
          <w:spacing w:val="1"/>
          <w:sz w:val="20"/>
          <w:szCs w:val="20"/>
        </w:rPr>
        <w:t>(二)</w:t>
      </w:r>
      <w:r>
        <w:rPr>
          <w:rFonts w:ascii="黑体" w:hAnsi="黑体" w:eastAsia="黑体" w:cs="黑体"/>
          <w:spacing w:val="-37"/>
          <w:sz w:val="20"/>
          <w:szCs w:val="20"/>
        </w:rPr>
        <w:t xml:space="preserve"> </w:t>
      </w:r>
      <w:r>
        <w:rPr>
          <w:rFonts w:ascii="黑体" w:hAnsi="黑体" w:eastAsia="黑体" w:cs="黑体"/>
          <w:spacing w:val="1"/>
          <w:sz w:val="20"/>
          <w:szCs w:val="20"/>
        </w:rPr>
        <w:t>教学学术的概念</w:t>
      </w:r>
    </w:p>
    <w:p>
      <w:pPr>
        <w:spacing w:before="106" w:line="263" w:lineRule="auto"/>
        <w:ind w:right="72" w:firstLine="422"/>
        <w:rPr>
          <w:rFonts w:ascii="微软雅黑" w:hAnsi="微软雅黑" w:eastAsia="微软雅黑" w:cs="微软雅黑"/>
          <w:sz w:val="20"/>
          <w:szCs w:val="20"/>
        </w:rPr>
      </w:pPr>
      <w:r>
        <w:rPr>
          <w:rFonts w:ascii="宋体" w:hAnsi="宋体" w:eastAsia="宋体" w:cs="宋体"/>
          <w:spacing w:val="9"/>
          <w:sz w:val="20"/>
          <w:szCs w:val="20"/>
        </w:rPr>
        <w:t>教学学术经过几十年的发展主要形成了三种</w:t>
      </w:r>
      <w:r>
        <w:rPr>
          <w:rFonts w:ascii="宋体" w:hAnsi="宋体" w:eastAsia="宋体" w:cs="宋体"/>
          <w:spacing w:val="2"/>
          <w:sz w:val="20"/>
          <w:szCs w:val="20"/>
        </w:rPr>
        <w:t xml:space="preserve"> </w:t>
      </w:r>
      <w:r>
        <w:rPr>
          <w:rFonts w:ascii="宋体" w:hAnsi="宋体" w:eastAsia="宋体" w:cs="宋体"/>
          <w:spacing w:val="9"/>
          <w:sz w:val="20"/>
          <w:szCs w:val="20"/>
        </w:rPr>
        <w:t>代表性的观点</w:t>
      </w:r>
      <w:r>
        <w:rPr>
          <w:rFonts w:ascii="宋体" w:hAnsi="宋体" w:eastAsia="宋体" w:cs="宋体"/>
          <w:spacing w:val="9"/>
          <w:position w:val="1"/>
          <w:sz w:val="20"/>
          <w:szCs w:val="20"/>
        </w:rPr>
        <w:t>，</w:t>
      </w:r>
      <w:r>
        <w:rPr>
          <w:rFonts w:ascii="宋体" w:hAnsi="宋体" w:eastAsia="宋体" w:cs="宋体"/>
          <w:spacing w:val="9"/>
          <w:sz w:val="20"/>
          <w:szCs w:val="20"/>
        </w:rPr>
        <w:t>一是教学学术是教师生产研究性</w:t>
      </w:r>
      <w:r>
        <w:rPr>
          <w:rFonts w:ascii="宋体" w:hAnsi="宋体" w:eastAsia="宋体" w:cs="宋体"/>
          <w:spacing w:val="8"/>
          <w:sz w:val="20"/>
          <w:szCs w:val="20"/>
        </w:rPr>
        <w:t xml:space="preserve"> </w:t>
      </w:r>
      <w:r>
        <w:rPr>
          <w:rFonts w:ascii="宋体" w:hAnsi="宋体" w:eastAsia="宋体" w:cs="宋体"/>
          <w:spacing w:val="9"/>
          <w:sz w:val="20"/>
          <w:szCs w:val="20"/>
        </w:rPr>
        <w:t>和创造性的可见成果</w:t>
      </w:r>
      <w:r>
        <w:rPr>
          <w:rFonts w:ascii="宋体" w:hAnsi="宋体" w:eastAsia="宋体" w:cs="宋体"/>
          <w:spacing w:val="9"/>
          <w:position w:val="1"/>
          <w:sz w:val="20"/>
          <w:szCs w:val="20"/>
        </w:rPr>
        <w:t>，</w:t>
      </w:r>
      <w:r>
        <w:rPr>
          <w:rFonts w:ascii="宋体" w:hAnsi="宋体" w:eastAsia="宋体" w:cs="宋体"/>
          <w:spacing w:val="9"/>
          <w:sz w:val="20"/>
          <w:szCs w:val="20"/>
        </w:rPr>
        <w:t>对教与学的研究被视为教 学学术的一个重要方面</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二是教学学术等于优秀</w:t>
      </w:r>
      <w:r>
        <w:rPr>
          <w:rFonts w:ascii="宋体" w:hAnsi="宋体" w:eastAsia="宋体" w:cs="宋体"/>
          <w:spacing w:val="8"/>
          <w:sz w:val="20"/>
          <w:szCs w:val="20"/>
        </w:rPr>
        <w:t xml:space="preserve"> </w:t>
      </w:r>
      <w:r>
        <w:rPr>
          <w:rFonts w:ascii="宋体" w:hAnsi="宋体" w:eastAsia="宋体" w:cs="宋体"/>
          <w:spacing w:val="9"/>
          <w:sz w:val="20"/>
          <w:szCs w:val="20"/>
        </w:rPr>
        <w:t>教学</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三是教学学术和学术性教学相似</w:t>
      </w:r>
      <w:r>
        <w:rPr>
          <w:rFonts w:ascii="宋体" w:hAnsi="宋体" w:eastAsia="宋体" w:cs="宋体"/>
          <w:spacing w:val="9"/>
          <w:position w:val="1"/>
          <w:sz w:val="20"/>
          <w:szCs w:val="20"/>
        </w:rPr>
        <w:t>，</w:t>
      </w:r>
      <w:r>
        <w:rPr>
          <w:rFonts w:ascii="宋体" w:hAnsi="宋体" w:eastAsia="宋体" w:cs="宋体"/>
          <w:spacing w:val="9"/>
          <w:sz w:val="20"/>
          <w:szCs w:val="20"/>
        </w:rPr>
        <w:t>是教学</w:t>
      </w:r>
      <w:r>
        <w:rPr>
          <w:rFonts w:ascii="宋体" w:hAnsi="宋体" w:eastAsia="宋体" w:cs="宋体"/>
          <w:spacing w:val="10"/>
          <w:sz w:val="20"/>
          <w:szCs w:val="20"/>
        </w:rPr>
        <w:t xml:space="preserve"> </w:t>
      </w:r>
      <w:r>
        <w:rPr>
          <w:rFonts w:ascii="宋体" w:hAnsi="宋体" w:eastAsia="宋体" w:cs="宋体"/>
          <w:spacing w:val="9"/>
          <w:sz w:val="20"/>
          <w:szCs w:val="20"/>
        </w:rPr>
        <w:t>领域的学者们所使用的将教育理论和研究运用于</w:t>
      </w:r>
      <w:r>
        <w:rPr>
          <w:rFonts w:ascii="宋体" w:hAnsi="宋体" w:eastAsia="宋体" w:cs="宋体"/>
          <w:spacing w:val="6"/>
          <w:sz w:val="20"/>
          <w:szCs w:val="20"/>
        </w:rPr>
        <w:t xml:space="preserve"> </w:t>
      </w:r>
      <w:r>
        <w:rPr>
          <w:rFonts w:ascii="宋体" w:hAnsi="宋体" w:eastAsia="宋体" w:cs="宋体"/>
          <w:spacing w:val="4"/>
          <w:sz w:val="20"/>
          <w:szCs w:val="20"/>
        </w:rPr>
        <w:t>实践中的学术性取向</w:t>
      </w:r>
      <w:r>
        <w:rPr>
          <w:rFonts w:ascii="微软雅黑" w:hAnsi="微软雅黑" w:eastAsia="微软雅黑" w:cs="微软雅黑"/>
          <w:spacing w:val="4"/>
          <w:sz w:val="20"/>
          <w:szCs w:val="20"/>
        </w:rPr>
        <w:t>。</w:t>
      </w:r>
      <w:r>
        <w:rPr>
          <w:rFonts w:ascii="宋体" w:hAnsi="宋体" w:eastAsia="宋体" w:cs="宋体"/>
          <w:spacing w:val="4"/>
          <w:position w:val="9"/>
          <w:sz w:val="11"/>
          <w:szCs w:val="11"/>
        </w:rPr>
        <w:t>［</w:t>
      </w:r>
      <w:r>
        <w:rPr>
          <w:rFonts w:ascii="微软雅黑" w:hAnsi="微软雅黑" w:eastAsia="微软雅黑" w:cs="微软雅黑"/>
          <w:spacing w:val="4"/>
          <w:position w:val="9"/>
          <w:sz w:val="11"/>
          <w:szCs w:val="11"/>
        </w:rPr>
        <w:t>7</w:t>
      </w:r>
      <w:r>
        <w:rPr>
          <w:rFonts w:ascii="宋体" w:hAnsi="宋体" w:eastAsia="宋体" w:cs="宋体"/>
          <w:spacing w:val="4"/>
          <w:position w:val="9"/>
          <w:sz w:val="11"/>
          <w:szCs w:val="11"/>
        </w:rPr>
        <w:t>］</w:t>
      </w:r>
      <w:r>
        <w:rPr>
          <w:rFonts w:ascii="宋体" w:hAnsi="宋体" w:eastAsia="宋体" w:cs="宋体"/>
          <w:spacing w:val="-30"/>
          <w:position w:val="9"/>
          <w:sz w:val="11"/>
          <w:szCs w:val="11"/>
        </w:rPr>
        <w:t xml:space="preserve"> </w:t>
      </w:r>
      <w:r>
        <w:rPr>
          <w:rFonts w:ascii="宋体" w:hAnsi="宋体" w:eastAsia="宋体" w:cs="宋体"/>
          <w:spacing w:val="4"/>
          <w:sz w:val="20"/>
          <w:szCs w:val="20"/>
        </w:rPr>
        <w:t>教学学术理论</w:t>
      </w:r>
      <w:r>
        <w:rPr>
          <w:rFonts w:ascii="宋体" w:hAnsi="宋体" w:eastAsia="宋体" w:cs="宋体"/>
          <w:spacing w:val="3"/>
          <w:sz w:val="20"/>
          <w:szCs w:val="20"/>
        </w:rPr>
        <w:t>的提出丰</w:t>
      </w:r>
      <w:r>
        <w:rPr>
          <w:rFonts w:ascii="宋体" w:hAnsi="宋体" w:eastAsia="宋体" w:cs="宋体"/>
          <w:sz w:val="20"/>
          <w:szCs w:val="20"/>
        </w:rPr>
        <w:t xml:space="preserve"> </w:t>
      </w:r>
      <w:r>
        <w:rPr>
          <w:rFonts w:ascii="宋体" w:hAnsi="宋体" w:eastAsia="宋体" w:cs="宋体"/>
          <w:spacing w:val="9"/>
          <w:sz w:val="20"/>
          <w:szCs w:val="20"/>
        </w:rPr>
        <w:t>富了传统的学术内涵</w:t>
      </w:r>
      <w:r>
        <w:rPr>
          <w:rFonts w:ascii="宋体" w:hAnsi="宋体" w:eastAsia="宋体" w:cs="宋体"/>
          <w:spacing w:val="9"/>
          <w:position w:val="1"/>
          <w:sz w:val="20"/>
          <w:szCs w:val="20"/>
        </w:rPr>
        <w:t>，</w:t>
      </w:r>
      <w:r>
        <w:rPr>
          <w:rFonts w:ascii="宋体" w:hAnsi="宋体" w:eastAsia="宋体" w:cs="宋体"/>
          <w:spacing w:val="9"/>
          <w:sz w:val="20"/>
          <w:szCs w:val="20"/>
        </w:rPr>
        <w:t xml:space="preserve">引发了人们对教学的研究 </w:t>
      </w:r>
      <w:r>
        <w:rPr>
          <w:rFonts w:ascii="宋体" w:hAnsi="宋体" w:eastAsia="宋体" w:cs="宋体"/>
          <w:spacing w:val="4"/>
          <w:sz w:val="20"/>
          <w:szCs w:val="20"/>
        </w:rPr>
        <w:t>与改进</w:t>
      </w:r>
      <w:r>
        <w:rPr>
          <w:rFonts w:ascii="宋体" w:hAnsi="宋体" w:eastAsia="宋体" w:cs="宋体"/>
          <w:spacing w:val="4"/>
          <w:position w:val="1"/>
          <w:sz w:val="20"/>
          <w:szCs w:val="20"/>
        </w:rPr>
        <w:t>，</w:t>
      </w:r>
      <w:r>
        <w:rPr>
          <w:rFonts w:ascii="宋体" w:hAnsi="宋体" w:eastAsia="宋体" w:cs="宋体"/>
          <w:spacing w:val="4"/>
          <w:sz w:val="20"/>
          <w:szCs w:val="20"/>
        </w:rPr>
        <w:t>对提高教学质量具有重要的现实意义</w:t>
      </w:r>
      <w:r>
        <w:rPr>
          <w:rFonts w:ascii="微软雅黑" w:hAnsi="微软雅黑" w:eastAsia="微软雅黑" w:cs="微软雅黑"/>
          <w:spacing w:val="4"/>
          <w:position w:val="1"/>
          <w:sz w:val="20"/>
          <w:szCs w:val="20"/>
        </w:rPr>
        <w:t>。</w:t>
      </w:r>
    </w:p>
    <w:p>
      <w:pPr>
        <w:spacing w:before="84" w:line="258" w:lineRule="auto"/>
        <w:ind w:right="16" w:firstLine="420"/>
        <w:rPr>
          <w:rFonts w:ascii="宋体" w:hAnsi="宋体" w:eastAsia="宋体" w:cs="宋体"/>
          <w:sz w:val="20"/>
          <w:szCs w:val="20"/>
        </w:rPr>
      </w:pPr>
      <w:r>
        <w:rPr>
          <w:rFonts w:ascii="宋体" w:hAnsi="宋体" w:eastAsia="宋体" w:cs="宋体"/>
          <w:spacing w:val="1"/>
          <w:sz w:val="20"/>
          <w:szCs w:val="20"/>
        </w:rPr>
        <w:t>事实上</w:t>
      </w:r>
      <w:r>
        <w:rPr>
          <w:rFonts w:ascii="宋体" w:hAnsi="宋体" w:eastAsia="宋体" w:cs="宋体"/>
          <w:spacing w:val="1"/>
          <w:position w:val="1"/>
          <w:sz w:val="20"/>
          <w:szCs w:val="20"/>
        </w:rPr>
        <w:t>，</w:t>
      </w:r>
      <w:r>
        <w:rPr>
          <w:rFonts w:ascii="宋体" w:hAnsi="宋体" w:eastAsia="宋体" w:cs="宋体"/>
          <w:spacing w:val="1"/>
          <w:sz w:val="20"/>
          <w:szCs w:val="20"/>
        </w:rPr>
        <w:t>教学学术包括教学与学术两个方面</w:t>
      </w:r>
      <w:r>
        <w:rPr>
          <w:rFonts w:ascii="宋体" w:hAnsi="宋体" w:eastAsia="宋体" w:cs="宋体"/>
          <w:spacing w:val="1"/>
          <w:position w:val="1"/>
          <w:sz w:val="20"/>
          <w:szCs w:val="20"/>
        </w:rPr>
        <w:t>，</w:t>
      </w:r>
      <w:r>
        <w:rPr>
          <w:rFonts w:ascii="宋体" w:hAnsi="宋体" w:eastAsia="宋体" w:cs="宋体"/>
          <w:spacing w:val="15"/>
          <w:position w:val="1"/>
          <w:sz w:val="20"/>
          <w:szCs w:val="20"/>
        </w:rPr>
        <w:t xml:space="preserve"> </w:t>
      </w:r>
      <w:r>
        <w:rPr>
          <w:rFonts w:ascii="宋体" w:hAnsi="宋体" w:eastAsia="宋体" w:cs="宋体"/>
          <w:spacing w:val="19"/>
          <w:sz w:val="20"/>
          <w:szCs w:val="20"/>
        </w:rPr>
        <w:t>传统的三种代表性观点未能全面揭示其本质特</w:t>
      </w:r>
    </w:p>
    <w:p>
      <w:pPr>
        <w:spacing w:before="106" w:line="193" w:lineRule="exact"/>
        <w:ind w:firstLine="3948"/>
      </w:pPr>
      <w:r>
        <w:rPr>
          <w:position w:val="-3"/>
        </w:rPr>
        <w:pict>
          <v:shape id="_x0000_s1054" o:spid="_x0000_s1054" o:spt="202" type="#_x0000_t202" style="height:9.7pt;width:22.3pt;" fillcolor="#0064B2" filled="t" stroked="f" coordsize="21600,21600">
            <v:path/>
            <v:fill on="t" focussize="0,0"/>
            <v:stroke on="f"/>
            <v:imagedata o:title=""/>
            <o:lock v:ext="edit" aspectratio="f"/>
            <v:textbox inset="0mm,0mm,0mm,0mm">
              <w:txbxContent>
                <w:p>
                  <w:pPr>
                    <w:spacing w:before="26" w:line="166" w:lineRule="auto"/>
                    <w:ind w:left="123"/>
                    <w:rPr>
                      <w:rFonts w:ascii="微软雅黑" w:hAnsi="微软雅黑" w:eastAsia="微软雅黑" w:cs="微软雅黑"/>
                      <w:sz w:val="19"/>
                      <w:szCs w:val="19"/>
                    </w:rPr>
                  </w:pPr>
                  <w:r>
                    <w:rPr>
                      <w:rFonts w:ascii="微软雅黑" w:hAnsi="微软雅黑" w:eastAsia="微软雅黑" w:cs="微软雅黑"/>
                      <w:color w:val="FFFFFF"/>
                      <w:spacing w:val="-5"/>
                      <w:sz w:val="19"/>
                      <w:szCs w:val="19"/>
                    </w:rPr>
                    <w:t>23</w:t>
                  </w:r>
                </w:p>
              </w:txbxContent>
            </v:textbox>
            <w10:wrap type="none"/>
            <w10:anchorlock/>
          </v:shape>
        </w:pict>
      </w:r>
    </w:p>
    <w:p>
      <w:pPr>
        <w:spacing w:line="193" w:lineRule="exact"/>
        <w:sectPr>
          <w:type w:val="continuous"/>
          <w:pgSz w:w="11905" w:h="16836"/>
          <w:pgMar w:top="400" w:right="1262" w:bottom="547" w:left="407" w:header="0" w:footer="354" w:gutter="0"/>
          <w:cols w:equalWidth="0" w:num="2">
            <w:col w:w="5660" w:space="100"/>
            <w:col w:w="4474"/>
          </w:cols>
        </w:sectPr>
      </w:pPr>
    </w:p>
    <w:p>
      <w:pPr>
        <w:spacing w:before="188"/>
      </w:pPr>
    </w:p>
    <w:p>
      <w:pPr>
        <w:sectPr>
          <w:footerReference r:id="rId54" w:type="default"/>
          <w:pgSz w:w="11905" w:h="16836"/>
          <w:pgMar w:top="400" w:right="1279" w:bottom="547" w:left="407" w:header="0" w:footer="354" w:gutter="0"/>
          <w:cols w:equalWidth="0" w:num="1">
            <w:col w:w="10217"/>
          </w:cols>
        </w:sectPr>
      </w:pPr>
    </w:p>
    <w:p>
      <w:pPr>
        <w:spacing w:before="38" w:line="186" w:lineRule="auto"/>
        <w:ind w:left="1010"/>
        <w:rPr>
          <w:rFonts w:ascii="宋体" w:hAnsi="宋体" w:eastAsia="宋体" w:cs="宋体"/>
          <w:sz w:val="17"/>
          <w:szCs w:val="17"/>
        </w:rPr>
      </w:pPr>
      <w:r>
        <w:rPr>
          <w:rFonts w:ascii="宋体" w:hAnsi="宋体" w:eastAsia="宋体" w:cs="宋体"/>
          <w:color w:val="0166B3"/>
          <w:spacing w:val="1"/>
          <w:sz w:val="17"/>
          <w:szCs w:val="17"/>
        </w:rPr>
        <w:t xml:space="preserve">贵州师范学院学报  </w:t>
      </w:r>
      <w:r>
        <w:rPr>
          <w:rFonts w:ascii="微软雅黑" w:hAnsi="微软雅黑" w:eastAsia="微软雅黑" w:cs="微软雅黑"/>
          <w:color w:val="0166B3"/>
          <w:spacing w:val="1"/>
          <w:sz w:val="17"/>
          <w:szCs w:val="17"/>
        </w:rPr>
        <w:t xml:space="preserve">2021 </w:t>
      </w:r>
      <w:r>
        <w:rPr>
          <w:rFonts w:ascii="宋体" w:hAnsi="宋体" w:eastAsia="宋体" w:cs="宋体"/>
          <w:color w:val="0166B3"/>
          <w:spacing w:val="1"/>
          <w:sz w:val="17"/>
          <w:szCs w:val="17"/>
        </w:rPr>
        <w:t>年第</w:t>
      </w:r>
      <w:r>
        <w:rPr>
          <w:rFonts w:ascii="宋体" w:hAnsi="宋体" w:eastAsia="宋体" w:cs="宋体"/>
          <w:color w:val="0166B3"/>
          <w:spacing w:val="-31"/>
          <w:sz w:val="17"/>
          <w:szCs w:val="17"/>
        </w:rPr>
        <w:t xml:space="preserve"> </w:t>
      </w:r>
      <w:r>
        <w:rPr>
          <w:rFonts w:ascii="微软雅黑" w:hAnsi="微软雅黑" w:eastAsia="微软雅黑" w:cs="微软雅黑"/>
          <w:color w:val="0166B3"/>
          <w:spacing w:val="1"/>
          <w:sz w:val="17"/>
          <w:szCs w:val="17"/>
        </w:rPr>
        <w:t>2</w:t>
      </w:r>
      <w:r>
        <w:rPr>
          <w:rFonts w:ascii="微软雅黑" w:hAnsi="微软雅黑" w:eastAsia="微软雅黑" w:cs="微软雅黑"/>
          <w:color w:val="0166B3"/>
          <w:spacing w:val="12"/>
          <w:w w:val="101"/>
          <w:sz w:val="17"/>
          <w:szCs w:val="17"/>
        </w:rPr>
        <w:t xml:space="preserve"> </w:t>
      </w:r>
      <w:r>
        <w:rPr>
          <w:rFonts w:ascii="宋体" w:hAnsi="宋体" w:eastAsia="宋体" w:cs="宋体"/>
          <w:color w:val="0166B3"/>
          <w:spacing w:val="1"/>
          <w:sz w:val="17"/>
          <w:szCs w:val="17"/>
        </w:rPr>
        <w:t>期</w:t>
      </w:r>
    </w:p>
    <w:p>
      <w:pPr>
        <w:spacing w:before="43" w:line="56" w:lineRule="exact"/>
        <w:ind w:firstLine="921"/>
      </w:pPr>
      <w:r>
        <w:rPr>
          <w:position w:val="-1"/>
        </w:rPr>
        <w:drawing>
          <wp:inline distT="0" distB="0" distL="0" distR="0">
            <wp:extent cx="2519045" cy="3556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3"/>
                    <a:stretch>
                      <a:fillRect/>
                    </a:stretch>
                  </pic:blipFill>
                  <pic:spPr>
                    <a:xfrm>
                      <a:off x="0" y="0"/>
                      <a:ext cx="2519679" cy="35560"/>
                    </a:xfrm>
                    <a:prstGeom prst="rect">
                      <a:avLst/>
                    </a:prstGeom>
                  </pic:spPr>
                </pic:pic>
              </a:graphicData>
            </a:graphic>
          </wp:inline>
        </w:drawing>
      </w:r>
    </w:p>
    <w:p>
      <w:pPr>
        <w:spacing w:line="302" w:lineRule="auto"/>
        <w:rPr>
          <w:rFonts w:ascii="Arial"/>
          <w:sz w:val="21"/>
        </w:rPr>
      </w:pPr>
    </w:p>
    <w:p>
      <w:pPr>
        <w:spacing w:before="85" w:line="259" w:lineRule="auto"/>
        <w:ind w:left="930" w:right="330" w:firstLine="4"/>
        <w:jc w:val="both"/>
        <w:rPr>
          <w:rFonts w:ascii="微软雅黑" w:hAnsi="微软雅黑" w:eastAsia="微软雅黑" w:cs="微软雅黑"/>
          <w:sz w:val="20"/>
          <w:szCs w:val="20"/>
        </w:rPr>
      </w:pPr>
      <w:r>
        <w:rPr>
          <w:rFonts w:ascii="宋体" w:hAnsi="宋体" w:eastAsia="宋体" w:cs="宋体"/>
          <w:spacing w:val="8"/>
          <w:sz w:val="20"/>
          <w:szCs w:val="20"/>
        </w:rPr>
        <w:t>征</w:t>
      </w:r>
      <w:r>
        <w:rPr>
          <w:rFonts w:ascii="微软雅黑" w:hAnsi="微软雅黑" w:eastAsia="微软雅黑" w:cs="微软雅黑"/>
          <w:spacing w:val="8"/>
          <w:sz w:val="20"/>
          <w:szCs w:val="20"/>
        </w:rPr>
        <w:t>。</w:t>
      </w:r>
      <w:r>
        <w:rPr>
          <w:rFonts w:ascii="宋体" w:hAnsi="宋体" w:eastAsia="宋体" w:cs="宋体"/>
          <w:spacing w:val="8"/>
          <w:sz w:val="20"/>
          <w:szCs w:val="20"/>
        </w:rPr>
        <w:t>那么什么是教学学术? 它是指教学实践者对</w:t>
      </w:r>
      <w:r>
        <w:rPr>
          <w:rFonts w:ascii="宋体" w:hAnsi="宋体" w:eastAsia="宋体" w:cs="宋体"/>
          <w:spacing w:val="16"/>
          <w:sz w:val="20"/>
          <w:szCs w:val="20"/>
        </w:rPr>
        <w:t xml:space="preserve"> </w:t>
      </w:r>
      <w:r>
        <w:rPr>
          <w:rFonts w:ascii="宋体" w:hAnsi="宋体" w:eastAsia="宋体" w:cs="宋体"/>
          <w:spacing w:val="9"/>
          <w:sz w:val="20"/>
          <w:szCs w:val="20"/>
        </w:rPr>
        <w:t>教学实践中的问题开展学术研究</w:t>
      </w:r>
      <w:r>
        <w:rPr>
          <w:rFonts w:ascii="宋体" w:hAnsi="宋体" w:eastAsia="宋体" w:cs="宋体"/>
          <w:spacing w:val="9"/>
          <w:position w:val="1"/>
          <w:sz w:val="20"/>
          <w:szCs w:val="20"/>
        </w:rPr>
        <w:t>，</w:t>
      </w:r>
      <w:r>
        <w:rPr>
          <w:rFonts w:ascii="宋体" w:hAnsi="宋体" w:eastAsia="宋体" w:cs="宋体"/>
          <w:spacing w:val="9"/>
          <w:sz w:val="20"/>
          <w:szCs w:val="20"/>
        </w:rPr>
        <w:t>并应用研究成</w:t>
      </w:r>
      <w:r>
        <w:rPr>
          <w:rFonts w:ascii="宋体" w:hAnsi="宋体" w:eastAsia="宋体" w:cs="宋体"/>
          <w:spacing w:val="8"/>
          <w:sz w:val="20"/>
          <w:szCs w:val="20"/>
        </w:rPr>
        <w:t xml:space="preserve"> </w:t>
      </w:r>
      <w:r>
        <w:rPr>
          <w:rFonts w:ascii="宋体" w:hAnsi="宋体" w:eastAsia="宋体" w:cs="宋体"/>
          <w:spacing w:val="9"/>
          <w:sz w:val="20"/>
          <w:szCs w:val="20"/>
        </w:rPr>
        <w:t>果改善教学实践本身</w:t>
      </w:r>
      <w:r>
        <w:rPr>
          <w:rFonts w:ascii="宋体" w:hAnsi="宋体" w:eastAsia="宋体" w:cs="宋体"/>
          <w:spacing w:val="9"/>
          <w:position w:val="1"/>
          <w:sz w:val="20"/>
          <w:szCs w:val="20"/>
        </w:rPr>
        <w:t>，</w:t>
      </w:r>
      <w:r>
        <w:rPr>
          <w:rFonts w:ascii="宋体" w:hAnsi="宋体" w:eastAsia="宋体" w:cs="宋体"/>
          <w:spacing w:val="9"/>
          <w:sz w:val="20"/>
          <w:szCs w:val="20"/>
        </w:rPr>
        <w:t>以提高教学质量的一种活</w:t>
      </w:r>
      <w:r>
        <w:rPr>
          <w:rFonts w:ascii="宋体" w:hAnsi="宋体" w:eastAsia="宋体" w:cs="宋体"/>
          <w:spacing w:val="7"/>
          <w:sz w:val="20"/>
          <w:szCs w:val="20"/>
        </w:rPr>
        <w:t xml:space="preserve"> </w:t>
      </w:r>
      <w:r>
        <w:rPr>
          <w:rFonts w:ascii="宋体" w:hAnsi="宋体" w:eastAsia="宋体" w:cs="宋体"/>
          <w:spacing w:val="9"/>
          <w:sz w:val="20"/>
          <w:szCs w:val="20"/>
        </w:rPr>
        <w:t>动</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教学学术内涵丰富</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外延广阔</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它既不同于</w:t>
      </w:r>
      <w:r>
        <w:rPr>
          <w:rFonts w:ascii="宋体" w:hAnsi="宋体" w:eastAsia="宋体" w:cs="宋体"/>
          <w:spacing w:val="8"/>
          <w:sz w:val="20"/>
          <w:szCs w:val="20"/>
        </w:rPr>
        <w:t xml:space="preserve"> </w:t>
      </w:r>
      <w:r>
        <w:rPr>
          <w:rFonts w:ascii="宋体" w:hAnsi="宋体" w:eastAsia="宋体" w:cs="宋体"/>
          <w:sz w:val="20"/>
          <w:szCs w:val="20"/>
        </w:rPr>
        <w:t>纯粹的教学活动</w:t>
      </w:r>
      <w:r>
        <w:rPr>
          <w:rFonts w:ascii="宋体" w:hAnsi="宋体" w:eastAsia="宋体" w:cs="宋体"/>
          <w:position w:val="1"/>
          <w:sz w:val="20"/>
          <w:szCs w:val="20"/>
        </w:rPr>
        <w:t>，</w:t>
      </w:r>
      <w:r>
        <w:rPr>
          <w:rFonts w:ascii="宋体" w:hAnsi="宋体" w:eastAsia="宋体" w:cs="宋体"/>
          <w:sz w:val="20"/>
          <w:szCs w:val="20"/>
        </w:rPr>
        <w:t>又不同于传统的学术活动</w:t>
      </w:r>
      <w:r>
        <w:rPr>
          <w:rFonts w:ascii="宋体" w:hAnsi="宋体" w:eastAsia="宋体" w:cs="宋体"/>
          <w:spacing w:val="-1"/>
          <w:position w:val="1"/>
          <w:sz w:val="20"/>
          <w:szCs w:val="20"/>
        </w:rPr>
        <w:t>，</w:t>
      </w:r>
      <w:r>
        <w:rPr>
          <w:rFonts w:ascii="宋体" w:hAnsi="宋体" w:eastAsia="宋体" w:cs="宋体"/>
          <w:spacing w:val="-1"/>
          <w:sz w:val="20"/>
          <w:szCs w:val="20"/>
        </w:rPr>
        <w:t>而是</w:t>
      </w:r>
      <w:r>
        <w:rPr>
          <w:rFonts w:ascii="宋体" w:hAnsi="宋体" w:eastAsia="宋体" w:cs="宋体"/>
          <w:sz w:val="20"/>
          <w:szCs w:val="20"/>
        </w:rPr>
        <w:t xml:space="preserve"> </w:t>
      </w:r>
      <w:r>
        <w:rPr>
          <w:rFonts w:ascii="宋体" w:hAnsi="宋体" w:eastAsia="宋体" w:cs="宋体"/>
          <w:spacing w:val="9"/>
          <w:sz w:val="20"/>
          <w:szCs w:val="20"/>
        </w:rPr>
        <w:t>具有教育性和学术性的双重特质</w:t>
      </w:r>
      <w:r>
        <w:rPr>
          <w:rFonts w:ascii="宋体" w:hAnsi="宋体" w:eastAsia="宋体" w:cs="宋体"/>
          <w:spacing w:val="9"/>
          <w:position w:val="1"/>
          <w:sz w:val="20"/>
          <w:szCs w:val="20"/>
        </w:rPr>
        <w:t>，</w:t>
      </w:r>
      <w:r>
        <w:rPr>
          <w:rFonts w:ascii="宋体" w:hAnsi="宋体" w:eastAsia="宋体" w:cs="宋体"/>
          <w:spacing w:val="9"/>
          <w:sz w:val="20"/>
          <w:szCs w:val="20"/>
        </w:rPr>
        <w:t>它使高校教学</w:t>
      </w:r>
      <w:r>
        <w:rPr>
          <w:rFonts w:ascii="宋体" w:hAnsi="宋体" w:eastAsia="宋体" w:cs="宋体"/>
          <w:spacing w:val="8"/>
          <w:sz w:val="20"/>
          <w:szCs w:val="20"/>
        </w:rPr>
        <w:t xml:space="preserve"> </w:t>
      </w:r>
      <w:r>
        <w:rPr>
          <w:rFonts w:ascii="宋体" w:hAnsi="宋体" w:eastAsia="宋体" w:cs="宋体"/>
          <w:spacing w:val="9"/>
          <w:sz w:val="20"/>
          <w:szCs w:val="20"/>
        </w:rPr>
        <w:t>既是一种教育活动</w:t>
      </w:r>
      <w:r>
        <w:rPr>
          <w:rFonts w:ascii="宋体" w:hAnsi="宋体" w:eastAsia="宋体" w:cs="宋体"/>
          <w:spacing w:val="9"/>
          <w:position w:val="1"/>
          <w:sz w:val="20"/>
          <w:szCs w:val="20"/>
        </w:rPr>
        <w:t>，</w:t>
      </w:r>
      <w:r>
        <w:rPr>
          <w:rFonts w:ascii="宋体" w:hAnsi="宋体" w:eastAsia="宋体" w:cs="宋体"/>
          <w:spacing w:val="9"/>
          <w:sz w:val="20"/>
          <w:szCs w:val="20"/>
        </w:rPr>
        <w:t>又是一种学术探究活动</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教 学学术以教学实践问题为研究对象</w:t>
      </w:r>
      <w:r>
        <w:rPr>
          <w:rFonts w:ascii="宋体" w:hAnsi="宋体" w:eastAsia="宋体" w:cs="宋体"/>
          <w:spacing w:val="9"/>
          <w:position w:val="1"/>
          <w:sz w:val="20"/>
          <w:szCs w:val="20"/>
        </w:rPr>
        <w:t>，</w:t>
      </w:r>
      <w:r>
        <w:rPr>
          <w:rFonts w:ascii="宋体" w:hAnsi="宋体" w:eastAsia="宋体" w:cs="宋体"/>
          <w:spacing w:val="9"/>
          <w:sz w:val="20"/>
          <w:szCs w:val="20"/>
        </w:rPr>
        <w:t>通过主动反</w:t>
      </w:r>
      <w:r>
        <w:rPr>
          <w:rFonts w:ascii="宋体" w:hAnsi="宋体" w:eastAsia="宋体" w:cs="宋体"/>
          <w:spacing w:val="8"/>
          <w:sz w:val="20"/>
          <w:szCs w:val="20"/>
        </w:rPr>
        <w:t xml:space="preserve"> </w:t>
      </w:r>
      <w:r>
        <w:rPr>
          <w:rFonts w:ascii="宋体" w:hAnsi="宋体" w:eastAsia="宋体" w:cs="宋体"/>
          <w:spacing w:val="-1"/>
          <w:sz w:val="20"/>
          <w:szCs w:val="20"/>
        </w:rPr>
        <w:t>思</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批判</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研究</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对话与交流等方式探究如何有效</w:t>
      </w:r>
      <w:r>
        <w:rPr>
          <w:rFonts w:ascii="宋体" w:hAnsi="宋体" w:eastAsia="宋体" w:cs="宋体"/>
          <w:spacing w:val="18"/>
          <w:sz w:val="20"/>
          <w:szCs w:val="20"/>
        </w:rPr>
        <w:t xml:space="preserve"> </w:t>
      </w:r>
      <w:r>
        <w:rPr>
          <w:rFonts w:ascii="宋体" w:hAnsi="宋体" w:eastAsia="宋体" w:cs="宋体"/>
          <w:sz w:val="20"/>
          <w:szCs w:val="20"/>
        </w:rPr>
        <w:t>传播知识与改善教学</w:t>
      </w:r>
      <w:r>
        <w:rPr>
          <w:rFonts w:ascii="宋体" w:hAnsi="宋体" w:eastAsia="宋体" w:cs="宋体"/>
          <w:position w:val="1"/>
          <w:sz w:val="20"/>
          <w:szCs w:val="20"/>
        </w:rPr>
        <w:t>，</w:t>
      </w:r>
      <w:r>
        <w:rPr>
          <w:rFonts w:ascii="宋体" w:hAnsi="宋体" w:eastAsia="宋体" w:cs="宋体"/>
          <w:sz w:val="20"/>
          <w:szCs w:val="20"/>
        </w:rPr>
        <w:t>形成可以公开的</w:t>
      </w:r>
      <w:r>
        <w:rPr>
          <w:rFonts w:ascii="微软雅黑" w:hAnsi="微软雅黑" w:eastAsia="微软雅黑" w:cs="微软雅黑"/>
          <w:position w:val="1"/>
          <w:sz w:val="20"/>
          <w:szCs w:val="20"/>
        </w:rPr>
        <w:t>、</w:t>
      </w:r>
      <w:r>
        <w:rPr>
          <w:rFonts w:ascii="宋体" w:hAnsi="宋体" w:eastAsia="宋体" w:cs="宋体"/>
          <w:sz w:val="20"/>
          <w:szCs w:val="20"/>
        </w:rPr>
        <w:t>可</w:t>
      </w:r>
      <w:r>
        <w:rPr>
          <w:rFonts w:ascii="宋体" w:hAnsi="宋体" w:eastAsia="宋体" w:cs="宋体"/>
          <w:spacing w:val="-1"/>
          <w:sz w:val="20"/>
          <w:szCs w:val="20"/>
        </w:rPr>
        <w:t>交流与</w:t>
      </w:r>
      <w:r>
        <w:rPr>
          <w:rFonts w:ascii="宋体" w:hAnsi="宋体" w:eastAsia="宋体" w:cs="宋体"/>
          <w:sz w:val="20"/>
          <w:szCs w:val="20"/>
        </w:rPr>
        <w:t xml:space="preserve"> </w:t>
      </w:r>
      <w:r>
        <w:rPr>
          <w:rFonts w:ascii="宋体" w:hAnsi="宋体" w:eastAsia="宋体" w:cs="宋体"/>
          <w:spacing w:val="9"/>
          <w:sz w:val="20"/>
          <w:szCs w:val="20"/>
        </w:rPr>
        <w:t>批判的研究性成果</w:t>
      </w:r>
      <w:r>
        <w:rPr>
          <w:rFonts w:ascii="宋体" w:hAnsi="宋体" w:eastAsia="宋体" w:cs="宋体"/>
          <w:spacing w:val="9"/>
          <w:position w:val="1"/>
          <w:sz w:val="20"/>
          <w:szCs w:val="20"/>
        </w:rPr>
        <w:t>，</w:t>
      </w:r>
      <w:r>
        <w:rPr>
          <w:rFonts w:ascii="宋体" w:hAnsi="宋体" w:eastAsia="宋体" w:cs="宋体"/>
          <w:spacing w:val="9"/>
          <w:sz w:val="20"/>
          <w:szCs w:val="20"/>
        </w:rPr>
        <w:t>并自觉地把研究性成果应用</w:t>
      </w:r>
      <w:r>
        <w:rPr>
          <w:rFonts w:ascii="宋体" w:hAnsi="宋体" w:eastAsia="宋体" w:cs="宋体"/>
          <w:spacing w:val="7"/>
          <w:sz w:val="20"/>
          <w:szCs w:val="20"/>
        </w:rPr>
        <w:t xml:space="preserve"> </w:t>
      </w:r>
      <w:r>
        <w:rPr>
          <w:rFonts w:ascii="宋体" w:hAnsi="宋体" w:eastAsia="宋体" w:cs="宋体"/>
          <w:spacing w:val="9"/>
          <w:sz w:val="20"/>
          <w:szCs w:val="20"/>
        </w:rPr>
        <w:t>于改善教学实践</w:t>
      </w:r>
      <w:r>
        <w:rPr>
          <w:rFonts w:ascii="微软雅黑" w:hAnsi="微软雅黑" w:eastAsia="微软雅黑" w:cs="微软雅黑"/>
          <w:spacing w:val="9"/>
          <w:position w:val="1"/>
          <w:sz w:val="20"/>
          <w:szCs w:val="20"/>
        </w:rPr>
        <w:t>。</w:t>
      </w:r>
    </w:p>
    <w:p>
      <w:pPr>
        <w:spacing w:before="80" w:line="214" w:lineRule="auto"/>
        <w:ind w:left="1390"/>
        <w:rPr>
          <w:rFonts w:ascii="黑体" w:hAnsi="黑体" w:eastAsia="黑体" w:cs="黑体"/>
          <w:sz w:val="20"/>
          <w:szCs w:val="20"/>
        </w:rPr>
      </w:pPr>
      <w:r>
        <w:rPr>
          <w:rFonts w:ascii="黑体" w:hAnsi="黑体" w:eastAsia="黑体" w:cs="黑体"/>
          <w:spacing w:val="-4"/>
          <w:sz w:val="20"/>
          <w:szCs w:val="20"/>
        </w:rPr>
        <w:t>(</w:t>
      </w:r>
      <w:r>
        <w:rPr>
          <w:rFonts w:ascii="黑体" w:hAnsi="黑体" w:eastAsia="黑体" w:cs="黑体"/>
          <w:spacing w:val="-51"/>
          <w:sz w:val="20"/>
          <w:szCs w:val="20"/>
        </w:rPr>
        <w:t xml:space="preserve"> </w:t>
      </w:r>
      <w:r>
        <w:rPr>
          <w:rFonts w:ascii="黑体" w:hAnsi="黑体" w:eastAsia="黑体" w:cs="黑体"/>
          <w:spacing w:val="-4"/>
          <w:sz w:val="20"/>
          <w:szCs w:val="20"/>
        </w:rPr>
        <w:t>三)</w:t>
      </w:r>
      <w:r>
        <w:rPr>
          <w:rFonts w:ascii="黑体" w:hAnsi="黑体" w:eastAsia="黑体" w:cs="黑体"/>
          <w:spacing w:val="-37"/>
          <w:sz w:val="20"/>
          <w:szCs w:val="20"/>
        </w:rPr>
        <w:t xml:space="preserve"> </w:t>
      </w:r>
      <w:r>
        <w:rPr>
          <w:rFonts w:ascii="黑体" w:hAnsi="黑体" w:eastAsia="黑体" w:cs="黑体"/>
          <w:spacing w:val="-4"/>
          <w:sz w:val="20"/>
          <w:szCs w:val="20"/>
        </w:rPr>
        <w:t>教学学术的意义</w:t>
      </w:r>
    </w:p>
    <w:p>
      <w:pPr>
        <w:spacing w:before="95" w:line="265" w:lineRule="auto"/>
        <w:ind w:left="931" w:right="258" w:firstLine="422"/>
        <w:rPr>
          <w:rFonts w:ascii="宋体" w:hAnsi="宋体" w:eastAsia="宋体" w:cs="宋体"/>
          <w:sz w:val="20"/>
          <w:szCs w:val="20"/>
        </w:rPr>
      </w:pPr>
      <w:r>
        <w:rPr>
          <w:rFonts w:ascii="宋体" w:hAnsi="宋体" w:eastAsia="宋体" w:cs="宋体"/>
          <w:spacing w:val="8"/>
          <w:sz w:val="20"/>
          <w:szCs w:val="20"/>
        </w:rPr>
        <w:t>教学学术引导和促进大学教师关注</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研究大 </w:t>
      </w:r>
      <w:r>
        <w:rPr>
          <w:rFonts w:ascii="宋体" w:hAnsi="宋体" w:eastAsia="宋体" w:cs="宋体"/>
          <w:spacing w:val="-9"/>
          <w:sz w:val="20"/>
          <w:szCs w:val="20"/>
        </w:rPr>
        <w:t>学教学本身</w:t>
      </w:r>
      <w:r>
        <w:rPr>
          <w:rFonts w:ascii="宋体" w:hAnsi="宋体" w:eastAsia="宋体" w:cs="宋体"/>
          <w:spacing w:val="-9"/>
          <w:position w:val="1"/>
          <w:sz w:val="20"/>
          <w:szCs w:val="20"/>
        </w:rPr>
        <w:t>，</w:t>
      </w:r>
      <w:r>
        <w:rPr>
          <w:rFonts w:ascii="宋体" w:hAnsi="宋体" w:eastAsia="宋体" w:cs="宋体"/>
          <w:spacing w:val="-9"/>
          <w:sz w:val="20"/>
          <w:szCs w:val="20"/>
        </w:rPr>
        <w:t>创造可交流</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可传播</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可评价</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 xml:space="preserve">可公开 </w:t>
      </w:r>
      <w:r>
        <w:rPr>
          <w:rFonts w:ascii="宋体" w:hAnsi="宋体" w:eastAsia="宋体" w:cs="宋体"/>
          <w:spacing w:val="8"/>
          <w:sz w:val="20"/>
          <w:szCs w:val="20"/>
        </w:rPr>
        <w:t>发表的研究成果</w:t>
      </w:r>
      <w:r>
        <w:rPr>
          <w:rFonts w:ascii="宋体" w:hAnsi="宋体" w:eastAsia="宋体" w:cs="宋体"/>
          <w:spacing w:val="8"/>
          <w:position w:val="1"/>
          <w:sz w:val="20"/>
          <w:szCs w:val="20"/>
        </w:rPr>
        <w:t>，</w:t>
      </w:r>
      <w:r>
        <w:rPr>
          <w:rFonts w:ascii="宋体" w:hAnsi="宋体" w:eastAsia="宋体" w:cs="宋体"/>
          <w:spacing w:val="8"/>
          <w:sz w:val="20"/>
          <w:szCs w:val="20"/>
        </w:rPr>
        <w:t xml:space="preserve">使教学学术具有了学术活动公 </w:t>
      </w:r>
      <w:r>
        <w:rPr>
          <w:rFonts w:ascii="宋体" w:hAnsi="宋体" w:eastAsia="宋体" w:cs="宋体"/>
          <w:spacing w:val="-9"/>
          <w:sz w:val="20"/>
          <w:szCs w:val="20"/>
        </w:rPr>
        <w:t>开的</w:t>
      </w:r>
      <w:r>
        <w:rPr>
          <w:rFonts w:ascii="微软雅黑" w:hAnsi="微软雅黑" w:eastAsia="微软雅黑" w:cs="微软雅黑"/>
          <w:spacing w:val="-9"/>
          <w:sz w:val="20"/>
          <w:szCs w:val="20"/>
        </w:rPr>
        <w:t>、</w:t>
      </w:r>
      <w:r>
        <w:rPr>
          <w:rFonts w:ascii="宋体" w:hAnsi="宋体" w:eastAsia="宋体" w:cs="宋体"/>
          <w:spacing w:val="-9"/>
          <w:sz w:val="20"/>
          <w:szCs w:val="20"/>
        </w:rPr>
        <w:t>批判性的</w:t>
      </w:r>
      <w:r>
        <w:rPr>
          <w:rFonts w:ascii="微软雅黑" w:hAnsi="微软雅黑" w:eastAsia="微软雅黑" w:cs="微软雅黑"/>
          <w:spacing w:val="-9"/>
          <w:sz w:val="20"/>
          <w:szCs w:val="20"/>
        </w:rPr>
        <w:t>、</w:t>
      </w:r>
      <w:r>
        <w:rPr>
          <w:rFonts w:ascii="宋体" w:hAnsi="宋体" w:eastAsia="宋体" w:cs="宋体"/>
          <w:spacing w:val="-9"/>
          <w:sz w:val="20"/>
          <w:szCs w:val="20"/>
        </w:rPr>
        <w:t>可传播与交流</w:t>
      </w:r>
      <w:r>
        <w:rPr>
          <w:rFonts w:ascii="微软雅黑" w:hAnsi="微软雅黑" w:eastAsia="微软雅黑" w:cs="微软雅黑"/>
          <w:spacing w:val="-9"/>
          <w:sz w:val="20"/>
          <w:szCs w:val="20"/>
        </w:rPr>
        <w:t>、</w:t>
      </w:r>
      <w:r>
        <w:rPr>
          <w:rFonts w:ascii="宋体" w:hAnsi="宋体" w:eastAsia="宋体" w:cs="宋体"/>
          <w:spacing w:val="-9"/>
          <w:sz w:val="20"/>
          <w:szCs w:val="20"/>
        </w:rPr>
        <w:t>可改进的特性</w:t>
      </w:r>
      <w:r>
        <w:rPr>
          <w:rFonts w:ascii="宋体" w:hAnsi="宋体" w:eastAsia="宋体" w:cs="宋体"/>
          <w:spacing w:val="-53"/>
          <w:sz w:val="20"/>
          <w:szCs w:val="20"/>
        </w:rPr>
        <w:t xml:space="preserve"> </w:t>
      </w:r>
      <w:r>
        <w:rPr>
          <w:rFonts w:ascii="宋体" w:hAnsi="宋体" w:eastAsia="宋体" w:cs="宋体"/>
          <w:spacing w:val="-9"/>
          <w:sz w:val="20"/>
          <w:szCs w:val="20"/>
        </w:rPr>
        <w:t>;</w:t>
      </w:r>
      <w:r>
        <w:rPr>
          <w:rFonts w:ascii="宋体" w:hAnsi="宋体" w:eastAsia="宋体" w:cs="宋体"/>
          <w:spacing w:val="-42"/>
          <w:sz w:val="20"/>
          <w:szCs w:val="20"/>
        </w:rPr>
        <w:t xml:space="preserve"> </w:t>
      </w:r>
      <w:r>
        <w:rPr>
          <w:rFonts w:ascii="宋体" w:hAnsi="宋体" w:eastAsia="宋体" w:cs="宋体"/>
          <w:spacing w:val="-9"/>
          <w:sz w:val="20"/>
          <w:szCs w:val="20"/>
        </w:rPr>
        <w:t xml:space="preserve">化 </w:t>
      </w:r>
      <w:r>
        <w:rPr>
          <w:rFonts w:ascii="宋体" w:hAnsi="宋体" w:eastAsia="宋体" w:cs="宋体"/>
          <w:spacing w:val="8"/>
          <w:sz w:val="20"/>
          <w:szCs w:val="20"/>
        </w:rPr>
        <w:t>解了教学与科研的矛盾</w:t>
      </w:r>
      <w:r>
        <w:rPr>
          <w:rFonts w:ascii="宋体" w:hAnsi="宋体" w:eastAsia="宋体" w:cs="宋体"/>
          <w:spacing w:val="8"/>
          <w:position w:val="1"/>
          <w:sz w:val="20"/>
          <w:szCs w:val="20"/>
        </w:rPr>
        <w:t>，</w:t>
      </w:r>
      <w:r>
        <w:rPr>
          <w:rFonts w:ascii="宋体" w:hAnsi="宋体" w:eastAsia="宋体" w:cs="宋体"/>
          <w:spacing w:val="8"/>
          <w:sz w:val="20"/>
          <w:szCs w:val="20"/>
        </w:rPr>
        <w:t>利于使教学与科研保持 一种动态平衡</w:t>
      </w:r>
      <w:r>
        <w:rPr>
          <w:rFonts w:ascii="宋体" w:hAnsi="宋体" w:eastAsia="宋体" w:cs="宋体"/>
          <w:spacing w:val="8"/>
          <w:position w:val="1"/>
          <w:sz w:val="20"/>
          <w:szCs w:val="20"/>
        </w:rPr>
        <w:t>，</w:t>
      </w:r>
      <w:r>
        <w:rPr>
          <w:rFonts w:ascii="宋体" w:hAnsi="宋体" w:eastAsia="宋体" w:cs="宋体"/>
          <w:spacing w:val="8"/>
          <w:sz w:val="20"/>
          <w:szCs w:val="20"/>
        </w:rPr>
        <w:t xml:space="preserve">对提高教学质量和实现教师教学 </w:t>
      </w:r>
      <w:r>
        <w:rPr>
          <w:rFonts w:ascii="宋体" w:hAnsi="宋体" w:eastAsia="宋体" w:cs="宋体"/>
          <w:spacing w:val="11"/>
          <w:sz w:val="20"/>
          <w:szCs w:val="20"/>
        </w:rPr>
        <w:t>专业成长具有积极意义</w:t>
      </w:r>
      <w:r>
        <w:rPr>
          <w:rFonts w:ascii="宋体" w:hAnsi="宋体" w:eastAsia="宋体" w:cs="宋体"/>
          <w:spacing w:val="11"/>
          <w:position w:val="9"/>
          <w:sz w:val="11"/>
          <w:szCs w:val="11"/>
        </w:rPr>
        <w:t>［</w:t>
      </w:r>
      <w:r>
        <w:rPr>
          <w:rFonts w:ascii="微软雅黑" w:hAnsi="微软雅黑" w:eastAsia="微软雅黑" w:cs="微软雅黑"/>
          <w:spacing w:val="11"/>
          <w:position w:val="9"/>
          <w:sz w:val="11"/>
          <w:szCs w:val="11"/>
        </w:rPr>
        <w:t>8</w:t>
      </w:r>
      <w:r>
        <w:rPr>
          <w:rFonts w:ascii="宋体" w:hAnsi="宋体" w:eastAsia="宋体" w:cs="宋体"/>
          <w:spacing w:val="11"/>
          <w:position w:val="9"/>
          <w:sz w:val="11"/>
          <w:szCs w:val="11"/>
        </w:rPr>
        <w:t>］</w:t>
      </w:r>
      <w:r>
        <w:rPr>
          <w:rFonts w:ascii="宋体" w:hAnsi="宋体" w:eastAsia="宋体" w:cs="宋体"/>
          <w:spacing w:val="-4"/>
          <w:position w:val="9"/>
          <w:sz w:val="11"/>
          <w:szCs w:val="11"/>
        </w:rPr>
        <w:t xml:space="preserve"> </w:t>
      </w:r>
      <w:r>
        <w:rPr>
          <w:rFonts w:ascii="微软雅黑" w:hAnsi="微软雅黑" w:eastAsia="微软雅黑" w:cs="微软雅黑"/>
          <w:spacing w:val="11"/>
          <w:sz w:val="20"/>
          <w:szCs w:val="20"/>
        </w:rPr>
        <w:t>。</w:t>
      </w:r>
      <w:r>
        <w:rPr>
          <w:rFonts w:ascii="宋体" w:hAnsi="宋体" w:eastAsia="宋体" w:cs="宋体"/>
          <w:spacing w:val="11"/>
          <w:sz w:val="20"/>
          <w:szCs w:val="20"/>
        </w:rPr>
        <w:t xml:space="preserve">一是教学学术创造 </w:t>
      </w:r>
      <w:r>
        <w:rPr>
          <w:rFonts w:ascii="宋体" w:hAnsi="宋体" w:eastAsia="宋体" w:cs="宋体"/>
          <w:spacing w:val="8"/>
          <w:sz w:val="20"/>
          <w:szCs w:val="20"/>
        </w:rPr>
        <w:t>性地把教学纳入到学术范畴</w:t>
      </w:r>
      <w:r>
        <w:rPr>
          <w:rFonts w:ascii="宋体" w:hAnsi="宋体" w:eastAsia="宋体" w:cs="宋体"/>
          <w:spacing w:val="8"/>
          <w:position w:val="1"/>
          <w:sz w:val="20"/>
          <w:szCs w:val="20"/>
        </w:rPr>
        <w:t>，</w:t>
      </w:r>
      <w:r>
        <w:rPr>
          <w:rFonts w:ascii="宋体" w:hAnsi="宋体" w:eastAsia="宋体" w:cs="宋体"/>
          <w:spacing w:val="8"/>
          <w:sz w:val="20"/>
          <w:szCs w:val="20"/>
        </w:rPr>
        <w:t>赋予了教学全新的 内涵</w:t>
      </w:r>
      <w:r>
        <w:rPr>
          <w:rFonts w:ascii="宋体" w:hAnsi="宋体" w:eastAsia="宋体" w:cs="宋体"/>
          <w:spacing w:val="8"/>
          <w:position w:val="1"/>
          <w:sz w:val="20"/>
          <w:szCs w:val="20"/>
        </w:rPr>
        <w:t>，</w:t>
      </w:r>
      <w:r>
        <w:rPr>
          <w:rFonts w:ascii="宋体" w:hAnsi="宋体" w:eastAsia="宋体" w:cs="宋体"/>
          <w:spacing w:val="8"/>
          <w:sz w:val="20"/>
          <w:szCs w:val="20"/>
        </w:rPr>
        <w:t>利于引导广大教师充分认识到教学培养学 生与造就教师的双重意义</w:t>
      </w:r>
      <w:r>
        <w:rPr>
          <w:rFonts w:ascii="宋体" w:hAnsi="宋体" w:eastAsia="宋体" w:cs="宋体"/>
          <w:spacing w:val="8"/>
          <w:position w:val="1"/>
          <w:sz w:val="20"/>
          <w:szCs w:val="20"/>
        </w:rPr>
        <w:t>，</w:t>
      </w:r>
      <w:r>
        <w:rPr>
          <w:rFonts w:ascii="宋体" w:hAnsi="宋体" w:eastAsia="宋体" w:cs="宋体"/>
          <w:spacing w:val="8"/>
          <w:sz w:val="20"/>
          <w:szCs w:val="20"/>
        </w:rPr>
        <w:t>把教学从视为一种外 在的任务内化为自身专业成长的内在需求</w:t>
      </w:r>
      <w:r>
        <w:rPr>
          <w:rFonts w:ascii="宋体" w:hAnsi="宋体" w:eastAsia="宋体" w:cs="宋体"/>
          <w:spacing w:val="8"/>
          <w:position w:val="1"/>
          <w:sz w:val="20"/>
          <w:szCs w:val="20"/>
        </w:rPr>
        <w:t>，</w:t>
      </w:r>
      <w:r>
        <w:rPr>
          <w:rFonts w:ascii="宋体" w:hAnsi="宋体" w:eastAsia="宋体" w:cs="宋体"/>
          <w:spacing w:val="8"/>
          <w:sz w:val="20"/>
          <w:szCs w:val="20"/>
        </w:rPr>
        <w:t>使得 关注教学</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潜心教学与自觉改善教学成为教师专 </w:t>
      </w:r>
      <w:r>
        <w:rPr>
          <w:rFonts w:ascii="宋体" w:hAnsi="宋体" w:eastAsia="宋体" w:cs="宋体"/>
          <w:spacing w:val="7"/>
          <w:sz w:val="20"/>
          <w:szCs w:val="20"/>
        </w:rPr>
        <w:t>业成长的实践活动</w:t>
      </w:r>
      <w:r>
        <w:rPr>
          <w:rFonts w:ascii="微软雅黑" w:hAnsi="微软雅黑" w:eastAsia="微软雅黑" w:cs="微软雅黑"/>
          <w:spacing w:val="7"/>
          <w:position w:val="1"/>
          <w:sz w:val="20"/>
          <w:szCs w:val="20"/>
        </w:rPr>
        <w:t>。</w:t>
      </w:r>
      <w:r>
        <w:rPr>
          <w:rFonts w:ascii="微软雅黑" w:hAnsi="微软雅黑" w:eastAsia="微软雅黑" w:cs="微软雅黑"/>
          <w:spacing w:val="-24"/>
          <w:position w:val="1"/>
          <w:sz w:val="20"/>
          <w:szCs w:val="20"/>
        </w:rPr>
        <w:t xml:space="preserve"> </w:t>
      </w:r>
      <w:r>
        <w:rPr>
          <w:rFonts w:ascii="宋体" w:hAnsi="宋体" w:eastAsia="宋体" w:cs="宋体"/>
          <w:spacing w:val="7"/>
          <w:sz w:val="20"/>
          <w:szCs w:val="20"/>
        </w:rPr>
        <w:t>只有当人人参与教学</w:t>
      </w:r>
      <w:r>
        <w:rPr>
          <w:rFonts w:ascii="微软雅黑" w:hAnsi="微软雅黑" w:eastAsia="微软雅黑" w:cs="微软雅黑"/>
          <w:spacing w:val="7"/>
          <w:position w:val="1"/>
          <w:sz w:val="20"/>
          <w:szCs w:val="20"/>
        </w:rPr>
        <w:t>、</w:t>
      </w:r>
      <w:r>
        <w:rPr>
          <w:rFonts w:ascii="宋体" w:hAnsi="宋体" w:eastAsia="宋体" w:cs="宋体"/>
          <w:spacing w:val="7"/>
          <w:sz w:val="20"/>
          <w:szCs w:val="20"/>
        </w:rPr>
        <w:t xml:space="preserve">人人 </w:t>
      </w:r>
      <w:r>
        <w:rPr>
          <w:rFonts w:ascii="宋体" w:hAnsi="宋体" w:eastAsia="宋体" w:cs="宋体"/>
          <w:spacing w:val="-1"/>
          <w:sz w:val="20"/>
          <w:szCs w:val="20"/>
        </w:rPr>
        <w:t>关心教学</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人人研究教学</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 xml:space="preserve">人人潜心教学不再是口 </w:t>
      </w:r>
      <w:r>
        <w:rPr>
          <w:rFonts w:ascii="宋体" w:hAnsi="宋体" w:eastAsia="宋体" w:cs="宋体"/>
          <w:spacing w:val="8"/>
          <w:sz w:val="20"/>
          <w:szCs w:val="20"/>
        </w:rPr>
        <w:t>号</w:t>
      </w:r>
      <w:r>
        <w:rPr>
          <w:rFonts w:ascii="宋体" w:hAnsi="宋体" w:eastAsia="宋体" w:cs="宋体"/>
          <w:spacing w:val="8"/>
          <w:position w:val="1"/>
          <w:sz w:val="20"/>
          <w:szCs w:val="20"/>
        </w:rPr>
        <w:t>，</w:t>
      </w:r>
      <w:r>
        <w:rPr>
          <w:rFonts w:ascii="宋体" w:hAnsi="宋体" w:eastAsia="宋体" w:cs="宋体"/>
          <w:spacing w:val="8"/>
          <w:sz w:val="20"/>
          <w:szCs w:val="20"/>
        </w:rPr>
        <w:t>教学是高校的中心工作才不至于是一句空洞 的口号</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二是教学学术并不反对学术研究</w:t>
      </w:r>
      <w:r>
        <w:rPr>
          <w:rFonts w:ascii="宋体" w:hAnsi="宋体" w:eastAsia="宋体" w:cs="宋体"/>
          <w:spacing w:val="8"/>
          <w:position w:val="1"/>
          <w:sz w:val="20"/>
          <w:szCs w:val="20"/>
        </w:rPr>
        <w:t>，</w:t>
      </w:r>
      <w:r>
        <w:rPr>
          <w:rFonts w:ascii="宋体" w:hAnsi="宋体" w:eastAsia="宋体" w:cs="宋体"/>
          <w:spacing w:val="8"/>
          <w:sz w:val="20"/>
          <w:szCs w:val="20"/>
        </w:rPr>
        <w:t>而是 引导与要求教师应当把更多的时间和精力从学科 专业学术转移到自身教学问题的研究</w:t>
      </w:r>
      <w:r>
        <w:rPr>
          <w:rFonts w:ascii="宋体" w:hAnsi="宋体" w:eastAsia="宋体" w:cs="宋体"/>
          <w:spacing w:val="8"/>
          <w:position w:val="1"/>
          <w:sz w:val="20"/>
          <w:szCs w:val="20"/>
        </w:rPr>
        <w:t>，</w:t>
      </w:r>
      <w:r>
        <w:rPr>
          <w:rFonts w:ascii="宋体" w:hAnsi="宋体" w:eastAsia="宋体" w:cs="宋体"/>
          <w:spacing w:val="8"/>
          <w:sz w:val="20"/>
          <w:szCs w:val="20"/>
        </w:rPr>
        <w:t>保持学科 专业学术和教学学术之间的相对平衡</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当广大教 师把更多的时间与精力用于研究与解决自身教学 问题的时候</w:t>
      </w:r>
      <w:r>
        <w:rPr>
          <w:rFonts w:ascii="宋体" w:hAnsi="宋体" w:eastAsia="宋体" w:cs="宋体"/>
          <w:spacing w:val="8"/>
          <w:position w:val="1"/>
          <w:sz w:val="20"/>
          <w:szCs w:val="20"/>
        </w:rPr>
        <w:t>，</w:t>
      </w:r>
      <w:r>
        <w:rPr>
          <w:rFonts w:ascii="宋体" w:hAnsi="宋体" w:eastAsia="宋体" w:cs="宋体"/>
          <w:spacing w:val="8"/>
          <w:sz w:val="20"/>
          <w:szCs w:val="20"/>
        </w:rPr>
        <w:t xml:space="preserve">就为高校教师提高教学质量找到一 </w:t>
      </w:r>
      <w:r>
        <w:rPr>
          <w:rFonts w:ascii="宋体" w:hAnsi="宋体" w:eastAsia="宋体" w:cs="宋体"/>
          <w:spacing w:val="12"/>
          <w:sz w:val="20"/>
          <w:szCs w:val="20"/>
        </w:rPr>
        <w:t>条可行的路径</w:t>
      </w:r>
      <w:r>
        <w:rPr>
          <w:rFonts w:ascii="微软雅黑" w:hAnsi="微软雅黑" w:eastAsia="微软雅黑" w:cs="微软雅黑"/>
          <w:spacing w:val="12"/>
          <w:position w:val="1"/>
          <w:sz w:val="20"/>
          <w:szCs w:val="20"/>
        </w:rPr>
        <w:t>。</w:t>
      </w:r>
      <w:r>
        <w:rPr>
          <w:rFonts w:ascii="宋体" w:hAnsi="宋体" w:eastAsia="宋体" w:cs="宋体"/>
          <w:spacing w:val="12"/>
          <w:sz w:val="20"/>
          <w:szCs w:val="20"/>
        </w:rPr>
        <w:t>三是教学学术成果具有可发表</w:t>
      </w:r>
      <w:r>
        <w:rPr>
          <w:rFonts w:ascii="微软雅黑" w:hAnsi="微软雅黑" w:eastAsia="微软雅黑" w:cs="微软雅黑"/>
          <w:spacing w:val="12"/>
          <w:position w:val="1"/>
          <w:sz w:val="20"/>
          <w:szCs w:val="20"/>
        </w:rPr>
        <w:t>、</w:t>
      </w:r>
      <w:r>
        <w:rPr>
          <w:rFonts w:ascii="微软雅黑" w:hAnsi="微软雅黑" w:eastAsia="微软雅黑" w:cs="微软雅黑"/>
          <w:spacing w:val="17"/>
          <w:position w:val="1"/>
          <w:sz w:val="20"/>
          <w:szCs w:val="20"/>
        </w:rPr>
        <w:t xml:space="preserve"> </w:t>
      </w:r>
      <w:r>
        <w:rPr>
          <w:rFonts w:ascii="宋体" w:hAnsi="宋体" w:eastAsia="宋体" w:cs="宋体"/>
          <w:spacing w:val="8"/>
          <w:sz w:val="20"/>
          <w:szCs w:val="20"/>
        </w:rPr>
        <w:t>可评价的特性</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高校教师所公开发表的教学学术 </w:t>
      </w:r>
      <w:r>
        <w:rPr>
          <w:rFonts w:ascii="宋体" w:hAnsi="宋体" w:eastAsia="宋体" w:cs="宋体"/>
          <w:spacing w:val="-1"/>
          <w:sz w:val="20"/>
          <w:szCs w:val="20"/>
        </w:rPr>
        <w:t>成果</w:t>
      </w:r>
      <w:r>
        <w:rPr>
          <w:rFonts w:ascii="宋体" w:hAnsi="宋体" w:eastAsia="宋体" w:cs="宋体"/>
          <w:spacing w:val="-1"/>
          <w:position w:val="1"/>
          <w:sz w:val="20"/>
          <w:szCs w:val="20"/>
        </w:rPr>
        <w:t>，</w:t>
      </w:r>
      <w:r>
        <w:rPr>
          <w:rFonts w:ascii="宋体" w:hAnsi="宋体" w:eastAsia="宋体" w:cs="宋体"/>
          <w:spacing w:val="-1"/>
          <w:sz w:val="20"/>
          <w:szCs w:val="20"/>
        </w:rPr>
        <w:t>不仅彰显了教师自身的学术能力与价值</w:t>
      </w:r>
      <w:r>
        <w:rPr>
          <w:rFonts w:ascii="宋体" w:hAnsi="宋体" w:eastAsia="宋体" w:cs="宋体"/>
          <w:spacing w:val="-1"/>
          <w:position w:val="1"/>
          <w:sz w:val="20"/>
          <w:szCs w:val="20"/>
        </w:rPr>
        <w:t>，</w:t>
      </w:r>
      <w:r>
        <w:rPr>
          <w:rFonts w:ascii="宋体" w:hAnsi="宋体" w:eastAsia="宋体" w:cs="宋体"/>
          <w:spacing w:val="-1"/>
          <w:sz w:val="20"/>
          <w:szCs w:val="20"/>
        </w:rPr>
        <w:t xml:space="preserve">还 </w:t>
      </w:r>
      <w:r>
        <w:rPr>
          <w:rFonts w:ascii="宋体" w:hAnsi="宋体" w:eastAsia="宋体" w:cs="宋体"/>
          <w:spacing w:val="7"/>
          <w:sz w:val="20"/>
          <w:szCs w:val="20"/>
        </w:rPr>
        <w:t>可提高高校的社会声誉</w:t>
      </w:r>
      <w:r>
        <w:rPr>
          <w:rFonts w:ascii="微软雅黑" w:hAnsi="微软雅黑" w:eastAsia="微软雅黑" w:cs="微软雅黑"/>
          <w:spacing w:val="7"/>
          <w:position w:val="1"/>
          <w:sz w:val="20"/>
          <w:szCs w:val="20"/>
        </w:rPr>
        <w:t>。</w:t>
      </w:r>
      <w:r>
        <w:rPr>
          <w:rFonts w:ascii="微软雅黑" w:hAnsi="微软雅黑" w:eastAsia="微软雅黑" w:cs="微软雅黑"/>
          <w:spacing w:val="-24"/>
          <w:position w:val="1"/>
          <w:sz w:val="20"/>
          <w:szCs w:val="20"/>
        </w:rPr>
        <w:t xml:space="preserve"> </w:t>
      </w:r>
      <w:r>
        <w:rPr>
          <w:rFonts w:ascii="宋体" w:hAnsi="宋体" w:eastAsia="宋体" w:cs="宋体"/>
          <w:spacing w:val="7"/>
          <w:sz w:val="20"/>
          <w:szCs w:val="20"/>
        </w:rPr>
        <w:t>因而</w:t>
      </w:r>
      <w:r>
        <w:rPr>
          <w:rFonts w:ascii="宋体" w:hAnsi="宋体" w:eastAsia="宋体" w:cs="宋体"/>
          <w:spacing w:val="7"/>
          <w:position w:val="1"/>
          <w:sz w:val="20"/>
          <w:szCs w:val="20"/>
        </w:rPr>
        <w:t>，</w:t>
      </w:r>
      <w:r>
        <w:rPr>
          <w:rFonts w:ascii="宋体" w:hAnsi="宋体" w:eastAsia="宋体" w:cs="宋体"/>
          <w:spacing w:val="7"/>
          <w:sz w:val="20"/>
          <w:szCs w:val="20"/>
        </w:rPr>
        <w:t xml:space="preserve">教学学术为高校 </w:t>
      </w:r>
      <w:r>
        <w:rPr>
          <w:rFonts w:ascii="宋体" w:hAnsi="宋体" w:eastAsia="宋体" w:cs="宋体"/>
          <w:spacing w:val="8"/>
          <w:sz w:val="20"/>
          <w:szCs w:val="20"/>
        </w:rPr>
        <w:t>与教师重视教学工作提供了内在动力</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在教师层 面</w:t>
      </w:r>
      <w:r>
        <w:rPr>
          <w:rFonts w:ascii="宋体" w:hAnsi="宋体" w:eastAsia="宋体" w:cs="宋体"/>
          <w:spacing w:val="8"/>
          <w:position w:val="1"/>
          <w:sz w:val="20"/>
          <w:szCs w:val="20"/>
        </w:rPr>
        <w:t>，</w:t>
      </w:r>
      <w:r>
        <w:rPr>
          <w:rFonts w:ascii="宋体" w:hAnsi="宋体" w:eastAsia="宋体" w:cs="宋体"/>
          <w:spacing w:val="8"/>
          <w:sz w:val="20"/>
          <w:szCs w:val="20"/>
        </w:rPr>
        <w:t xml:space="preserve">教学学术有利于激励教师自觉改善教学和提 </w:t>
      </w:r>
      <w:r>
        <w:rPr>
          <w:rFonts w:ascii="宋体" w:hAnsi="宋体" w:eastAsia="宋体" w:cs="宋体"/>
          <w:sz w:val="20"/>
          <w:szCs w:val="20"/>
        </w:rPr>
        <w:t>高教学质量</w:t>
      </w:r>
      <w:r>
        <w:rPr>
          <w:rFonts w:ascii="宋体" w:hAnsi="宋体" w:eastAsia="宋体" w:cs="宋体"/>
          <w:spacing w:val="-54"/>
          <w:sz w:val="20"/>
          <w:szCs w:val="20"/>
        </w:rPr>
        <w:t xml:space="preserve"> </w:t>
      </w:r>
      <w:r>
        <w:rPr>
          <w:rFonts w:ascii="宋体" w:hAnsi="宋体" w:eastAsia="宋体" w:cs="宋体"/>
          <w:position w:val="1"/>
          <w:sz w:val="20"/>
          <w:szCs w:val="20"/>
        </w:rPr>
        <w:t>;</w:t>
      </w:r>
      <w:r>
        <w:rPr>
          <w:rFonts w:ascii="宋体" w:hAnsi="宋体" w:eastAsia="宋体" w:cs="宋体"/>
          <w:spacing w:val="-48"/>
          <w:position w:val="1"/>
          <w:sz w:val="20"/>
          <w:szCs w:val="20"/>
        </w:rPr>
        <w:t xml:space="preserve"> </w:t>
      </w:r>
      <w:r>
        <w:rPr>
          <w:rFonts w:ascii="宋体" w:hAnsi="宋体" w:eastAsia="宋体" w:cs="宋体"/>
          <w:sz w:val="20"/>
          <w:szCs w:val="20"/>
        </w:rPr>
        <w:t>在学校层面</w:t>
      </w:r>
      <w:r>
        <w:rPr>
          <w:rFonts w:ascii="宋体" w:hAnsi="宋体" w:eastAsia="宋体" w:cs="宋体"/>
          <w:position w:val="1"/>
          <w:sz w:val="20"/>
          <w:szCs w:val="20"/>
        </w:rPr>
        <w:t>，</w:t>
      </w:r>
      <w:r>
        <w:rPr>
          <w:rFonts w:ascii="宋体" w:hAnsi="宋体" w:eastAsia="宋体" w:cs="宋体"/>
          <w:sz w:val="20"/>
          <w:szCs w:val="20"/>
        </w:rPr>
        <w:t>有利于促进学校</w:t>
      </w:r>
      <w:r>
        <w:rPr>
          <w:rFonts w:ascii="宋体" w:hAnsi="宋体" w:eastAsia="宋体" w:cs="宋体"/>
          <w:spacing w:val="-1"/>
          <w:sz w:val="20"/>
          <w:szCs w:val="20"/>
        </w:rPr>
        <w:t>建立与</w:t>
      </w:r>
    </w:p>
    <w:p>
      <w:pPr>
        <w:spacing w:before="106" w:line="194" w:lineRule="exact"/>
        <w:ind w:firstLine="922"/>
      </w:pPr>
      <w:r>
        <w:rPr>
          <w:position w:val="-3"/>
        </w:rPr>
        <w:pict>
          <v:shape id="_x0000_s1055" o:spid="_x0000_s1055" o:spt="202" type="#_x0000_t202" style="height:9.7pt;width:22.3pt;" fillcolor="#0064B2" filled="t" stroked="f" coordsize="21600,21600">
            <v:path/>
            <v:fill on="t" focussize="0,0"/>
            <v:stroke on="f"/>
            <v:imagedata o:title=""/>
            <o:lock v:ext="edit" aspectratio="f"/>
            <v:textbox inset="0mm,0mm,0mm,0mm">
              <w:txbxContent>
                <w:p>
                  <w:pPr>
                    <w:spacing w:before="25" w:line="168" w:lineRule="auto"/>
                    <w:ind w:left="123"/>
                    <w:rPr>
                      <w:rFonts w:ascii="微软雅黑" w:hAnsi="微软雅黑" w:eastAsia="微软雅黑" w:cs="微软雅黑"/>
                      <w:sz w:val="19"/>
                      <w:szCs w:val="19"/>
                    </w:rPr>
                  </w:pPr>
                  <w:r>
                    <w:rPr>
                      <w:rFonts w:ascii="微软雅黑" w:hAnsi="微软雅黑" w:eastAsia="微软雅黑" w:cs="微软雅黑"/>
                      <w:color w:val="FFFFFF"/>
                      <w:spacing w:val="-5"/>
                      <w:sz w:val="19"/>
                      <w:szCs w:val="19"/>
                    </w:rPr>
                    <w:t>24</w:t>
                  </w:r>
                </w:p>
              </w:txbxContent>
            </v:textbox>
            <w10:wrap type="none"/>
            <w10:anchorlock/>
          </v:shape>
        </w:pict>
      </w:r>
    </w:p>
    <w:p>
      <w:pPr>
        <w:spacing w:line="14" w:lineRule="auto"/>
        <w:rPr>
          <w:rFonts w:ascii="Arial"/>
          <w:sz w:val="2"/>
        </w:rPr>
      </w:pPr>
      <w:r>
        <w:rPr>
          <w:rFonts w:ascii="Arial" w:hAnsi="Arial" w:eastAsia="Arial" w:cs="Arial"/>
          <w:sz w:val="2"/>
          <w:szCs w:val="2"/>
        </w:rPr>
        <w:br w:type="column"/>
      </w:r>
    </w:p>
    <w:p>
      <w:pPr>
        <w:spacing w:line="328" w:lineRule="auto"/>
        <w:rPr>
          <w:rFonts w:ascii="Arial"/>
          <w:sz w:val="21"/>
        </w:rPr>
      </w:pPr>
    </w:p>
    <w:p>
      <w:pPr>
        <w:spacing w:line="328" w:lineRule="auto"/>
        <w:rPr>
          <w:rFonts w:ascii="Arial"/>
          <w:sz w:val="21"/>
        </w:rPr>
      </w:pPr>
    </w:p>
    <w:p>
      <w:pPr>
        <w:spacing w:before="86" w:line="233" w:lineRule="auto"/>
        <w:ind w:left="1" w:right="56" w:hanging="1"/>
        <w:jc w:val="both"/>
        <w:rPr>
          <w:rFonts w:ascii="微软雅黑" w:hAnsi="微软雅黑" w:eastAsia="微软雅黑" w:cs="微软雅黑"/>
          <w:sz w:val="20"/>
          <w:szCs w:val="20"/>
        </w:rPr>
      </w:pPr>
      <w:r>
        <w:rPr>
          <w:rFonts w:ascii="宋体" w:hAnsi="宋体" w:eastAsia="宋体" w:cs="宋体"/>
          <w:spacing w:val="9"/>
          <w:sz w:val="20"/>
          <w:szCs w:val="20"/>
        </w:rPr>
        <w:t>健全相关政策措施保障教学的中心地位</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教学学 术与高校教学的内在关联</w:t>
      </w:r>
      <w:r>
        <w:rPr>
          <w:rFonts w:ascii="宋体" w:hAnsi="宋体" w:eastAsia="宋体" w:cs="宋体"/>
          <w:spacing w:val="9"/>
          <w:position w:val="1"/>
          <w:sz w:val="20"/>
          <w:szCs w:val="20"/>
        </w:rPr>
        <w:t>，</w:t>
      </w:r>
      <w:r>
        <w:rPr>
          <w:rFonts w:ascii="宋体" w:hAnsi="宋体" w:eastAsia="宋体" w:cs="宋体"/>
          <w:spacing w:val="9"/>
          <w:sz w:val="20"/>
          <w:szCs w:val="20"/>
        </w:rPr>
        <w:t>为理解与建设高校教</w:t>
      </w:r>
      <w:r>
        <w:rPr>
          <w:rFonts w:ascii="宋体" w:hAnsi="宋体" w:eastAsia="宋体" w:cs="宋体"/>
          <w:spacing w:val="6"/>
          <w:sz w:val="20"/>
          <w:szCs w:val="20"/>
        </w:rPr>
        <w:t xml:space="preserve"> </w:t>
      </w:r>
      <w:r>
        <w:rPr>
          <w:rFonts w:ascii="宋体" w:hAnsi="宋体" w:eastAsia="宋体" w:cs="宋体"/>
          <w:spacing w:val="9"/>
          <w:sz w:val="20"/>
          <w:szCs w:val="20"/>
        </w:rPr>
        <w:t>学质量文化提供了重要的思路与启示</w:t>
      </w:r>
      <w:r>
        <w:rPr>
          <w:rFonts w:ascii="微软雅黑" w:hAnsi="微软雅黑" w:eastAsia="微软雅黑" w:cs="微软雅黑"/>
          <w:spacing w:val="9"/>
          <w:position w:val="1"/>
          <w:sz w:val="20"/>
          <w:szCs w:val="20"/>
        </w:rPr>
        <w:t>。</w:t>
      </w:r>
    </w:p>
    <w:p>
      <w:pPr>
        <w:spacing w:before="191" w:line="211" w:lineRule="auto"/>
        <w:ind w:left="3" w:right="58" w:firstLine="450"/>
        <w:rPr>
          <w:rFonts w:ascii="宋体" w:hAnsi="宋体" w:eastAsia="宋体" w:cs="宋体"/>
          <w:sz w:val="27"/>
          <w:szCs w:val="27"/>
        </w:rPr>
      </w:pPr>
      <w:r>
        <w:rPr>
          <w:rFonts w:ascii="宋体" w:hAnsi="宋体" w:eastAsia="宋体" w:cs="宋体"/>
          <w:color w:val="0166B3"/>
          <w:spacing w:val="11"/>
          <w:sz w:val="27"/>
          <w:szCs w:val="27"/>
        </w:rPr>
        <w:t>二</w:t>
      </w:r>
      <w:r>
        <w:rPr>
          <w:rFonts w:ascii="微软雅黑" w:hAnsi="微软雅黑" w:eastAsia="微软雅黑" w:cs="微软雅黑"/>
          <w:color w:val="0166B3"/>
          <w:spacing w:val="11"/>
          <w:position w:val="1"/>
          <w:sz w:val="27"/>
          <w:szCs w:val="27"/>
        </w:rPr>
        <w:t>、</w:t>
      </w:r>
      <w:r>
        <w:rPr>
          <w:rFonts w:ascii="宋体" w:hAnsi="宋体" w:eastAsia="宋体" w:cs="宋体"/>
          <w:color w:val="0166B3"/>
          <w:spacing w:val="11"/>
          <w:sz w:val="27"/>
          <w:szCs w:val="27"/>
        </w:rPr>
        <w:t>教学学术视角下高校教学质</w:t>
      </w:r>
      <w:r>
        <w:rPr>
          <w:rFonts w:ascii="宋体" w:hAnsi="宋体" w:eastAsia="宋体" w:cs="宋体"/>
          <w:color w:val="0166B3"/>
          <w:spacing w:val="8"/>
          <w:sz w:val="27"/>
          <w:szCs w:val="27"/>
        </w:rPr>
        <w:t xml:space="preserve"> </w:t>
      </w:r>
      <w:r>
        <w:rPr>
          <w:rFonts w:ascii="宋体" w:hAnsi="宋体" w:eastAsia="宋体" w:cs="宋体"/>
          <w:color w:val="0166B3"/>
          <w:spacing w:val="6"/>
          <w:sz w:val="27"/>
          <w:szCs w:val="27"/>
        </w:rPr>
        <w:t>量文化的特征</w:t>
      </w:r>
    </w:p>
    <w:p>
      <w:pPr>
        <w:spacing w:before="205" w:line="266" w:lineRule="auto"/>
        <w:ind w:firstLine="422"/>
        <w:rPr>
          <w:rFonts w:ascii="微软雅黑" w:hAnsi="微软雅黑" w:eastAsia="微软雅黑" w:cs="微软雅黑"/>
          <w:sz w:val="20"/>
          <w:szCs w:val="20"/>
        </w:rPr>
      </w:pPr>
      <w:r>
        <w:rPr>
          <w:rFonts w:ascii="宋体" w:hAnsi="宋体" w:eastAsia="宋体" w:cs="宋体"/>
          <w:spacing w:val="12"/>
          <w:sz w:val="20"/>
          <w:szCs w:val="20"/>
        </w:rPr>
        <w:t>教学学术丰富和深化了人们对教学的认识</w:t>
      </w:r>
      <w:r>
        <w:rPr>
          <w:rFonts w:ascii="宋体" w:hAnsi="宋体" w:eastAsia="宋体" w:cs="宋体"/>
          <w:spacing w:val="12"/>
          <w:position w:val="1"/>
          <w:sz w:val="20"/>
          <w:szCs w:val="20"/>
        </w:rPr>
        <w:t>，</w:t>
      </w:r>
      <w:r>
        <w:rPr>
          <w:rFonts w:ascii="宋体" w:hAnsi="宋体" w:eastAsia="宋体" w:cs="宋体"/>
          <w:spacing w:val="4"/>
          <w:position w:val="1"/>
          <w:sz w:val="20"/>
          <w:szCs w:val="20"/>
        </w:rPr>
        <w:t xml:space="preserve"> </w:t>
      </w:r>
      <w:r>
        <w:rPr>
          <w:rFonts w:ascii="宋体" w:hAnsi="宋体" w:eastAsia="宋体" w:cs="宋体"/>
          <w:spacing w:val="9"/>
          <w:sz w:val="20"/>
          <w:szCs w:val="20"/>
        </w:rPr>
        <w:t>也为系统深入理解高校教学质量文化提供了新的</w:t>
      </w:r>
      <w:r>
        <w:rPr>
          <w:rFonts w:ascii="宋体" w:hAnsi="宋体" w:eastAsia="宋体" w:cs="宋体"/>
          <w:spacing w:val="6"/>
          <w:sz w:val="20"/>
          <w:szCs w:val="20"/>
        </w:rPr>
        <w:t xml:space="preserve"> </w:t>
      </w:r>
      <w:r>
        <w:rPr>
          <w:rFonts w:ascii="宋体" w:hAnsi="宋体" w:eastAsia="宋体" w:cs="宋体"/>
          <w:spacing w:val="9"/>
          <w:sz w:val="20"/>
          <w:szCs w:val="20"/>
        </w:rPr>
        <w:t>视角和启示</w:t>
      </w:r>
      <w:r>
        <w:rPr>
          <w:rFonts w:ascii="宋体" w:hAnsi="宋体" w:eastAsia="宋体" w:cs="宋体"/>
          <w:spacing w:val="9"/>
          <w:position w:val="1"/>
          <w:sz w:val="20"/>
          <w:szCs w:val="20"/>
        </w:rPr>
        <w:t>，</w:t>
      </w:r>
      <w:r>
        <w:rPr>
          <w:rFonts w:ascii="宋体" w:hAnsi="宋体" w:eastAsia="宋体" w:cs="宋体"/>
          <w:spacing w:val="9"/>
          <w:sz w:val="20"/>
          <w:szCs w:val="20"/>
        </w:rPr>
        <w:t>对认识与建设高校教学质量文化具</w:t>
      </w:r>
      <w:r>
        <w:rPr>
          <w:rFonts w:ascii="宋体" w:hAnsi="宋体" w:eastAsia="宋体" w:cs="宋体"/>
          <w:spacing w:val="8"/>
          <w:sz w:val="20"/>
          <w:szCs w:val="20"/>
        </w:rPr>
        <w:t xml:space="preserve"> </w:t>
      </w:r>
      <w:r>
        <w:rPr>
          <w:rFonts w:ascii="宋体" w:hAnsi="宋体" w:eastAsia="宋体" w:cs="宋体"/>
          <w:spacing w:val="9"/>
          <w:sz w:val="20"/>
          <w:szCs w:val="20"/>
        </w:rPr>
        <w:t>有重要的现实意义</w:t>
      </w:r>
      <w:r>
        <w:rPr>
          <w:rFonts w:ascii="微软雅黑" w:hAnsi="微软雅黑" w:eastAsia="微软雅黑" w:cs="微软雅黑"/>
          <w:spacing w:val="9"/>
          <w:position w:val="1"/>
          <w:sz w:val="20"/>
          <w:szCs w:val="20"/>
        </w:rPr>
        <w:t>。</w:t>
      </w:r>
    </w:p>
    <w:p>
      <w:pPr>
        <w:spacing w:before="78" w:line="214" w:lineRule="auto"/>
        <w:ind w:left="458"/>
        <w:rPr>
          <w:rFonts w:ascii="黑体" w:hAnsi="黑体" w:eastAsia="黑体" w:cs="黑体"/>
          <w:sz w:val="20"/>
          <w:szCs w:val="20"/>
        </w:rPr>
      </w:pPr>
      <w:r>
        <w:rPr>
          <w:rFonts w:ascii="黑体" w:hAnsi="黑体" w:eastAsia="黑体" w:cs="黑体"/>
          <w:spacing w:val="4"/>
          <w:sz w:val="20"/>
          <w:szCs w:val="20"/>
        </w:rPr>
        <w:t>(一)</w:t>
      </w:r>
      <w:r>
        <w:rPr>
          <w:rFonts w:ascii="黑体" w:hAnsi="黑体" w:eastAsia="黑体" w:cs="黑体"/>
          <w:spacing w:val="-19"/>
          <w:sz w:val="20"/>
          <w:szCs w:val="20"/>
        </w:rPr>
        <w:t xml:space="preserve"> </w:t>
      </w:r>
      <w:r>
        <w:rPr>
          <w:rFonts w:ascii="黑体" w:hAnsi="黑体" w:eastAsia="黑体" w:cs="黑体"/>
          <w:spacing w:val="4"/>
          <w:sz w:val="20"/>
          <w:szCs w:val="20"/>
        </w:rPr>
        <w:t>高校教学质量文化是一种全员性文化</w:t>
      </w:r>
    </w:p>
    <w:p>
      <w:pPr>
        <w:spacing w:before="106" w:line="266" w:lineRule="auto"/>
        <w:ind w:firstLine="422"/>
        <w:rPr>
          <w:rFonts w:ascii="微软雅黑" w:hAnsi="微软雅黑" w:eastAsia="微软雅黑" w:cs="微软雅黑"/>
          <w:sz w:val="20"/>
          <w:szCs w:val="20"/>
        </w:rPr>
      </w:pPr>
      <w:r>
        <w:rPr>
          <w:rFonts w:ascii="宋体" w:hAnsi="宋体" w:eastAsia="宋体" w:cs="宋体"/>
          <w:spacing w:val="9"/>
          <w:sz w:val="20"/>
          <w:szCs w:val="20"/>
        </w:rPr>
        <w:t>教学学术是教学实践者对教学实践问题开展</w:t>
      </w:r>
      <w:r>
        <w:rPr>
          <w:rFonts w:ascii="宋体" w:hAnsi="宋体" w:eastAsia="宋体" w:cs="宋体"/>
          <w:spacing w:val="2"/>
          <w:sz w:val="20"/>
          <w:szCs w:val="20"/>
        </w:rPr>
        <w:t xml:space="preserve"> </w:t>
      </w:r>
      <w:r>
        <w:rPr>
          <w:rFonts w:ascii="宋体" w:hAnsi="宋体" w:eastAsia="宋体" w:cs="宋体"/>
          <w:spacing w:val="9"/>
          <w:sz w:val="20"/>
          <w:szCs w:val="20"/>
        </w:rPr>
        <w:t>教学学术研究并应用研究成果改善教学实践的一</w:t>
      </w:r>
      <w:r>
        <w:rPr>
          <w:rFonts w:ascii="宋体" w:hAnsi="宋体" w:eastAsia="宋体" w:cs="宋体"/>
          <w:spacing w:val="6"/>
          <w:sz w:val="20"/>
          <w:szCs w:val="20"/>
        </w:rPr>
        <w:t xml:space="preserve"> </w:t>
      </w:r>
      <w:r>
        <w:rPr>
          <w:rFonts w:ascii="宋体" w:hAnsi="宋体" w:eastAsia="宋体" w:cs="宋体"/>
          <w:spacing w:val="9"/>
          <w:sz w:val="20"/>
          <w:szCs w:val="20"/>
        </w:rPr>
        <w:t>种活动</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这里的教学实践者包含了高校教师</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学</w:t>
      </w:r>
      <w:r>
        <w:rPr>
          <w:rFonts w:ascii="宋体" w:hAnsi="宋体" w:eastAsia="宋体" w:cs="宋体"/>
          <w:spacing w:val="10"/>
          <w:sz w:val="20"/>
          <w:szCs w:val="20"/>
        </w:rPr>
        <w:t xml:space="preserve"> </w:t>
      </w:r>
      <w:r>
        <w:rPr>
          <w:rFonts w:ascii="宋体" w:hAnsi="宋体" w:eastAsia="宋体" w:cs="宋体"/>
          <w:spacing w:val="9"/>
          <w:sz w:val="20"/>
          <w:szCs w:val="20"/>
        </w:rPr>
        <w:t>生和管理者</w:t>
      </w:r>
      <w:r>
        <w:rPr>
          <w:rFonts w:ascii="宋体" w:hAnsi="宋体" w:eastAsia="宋体" w:cs="宋体"/>
          <w:spacing w:val="9"/>
          <w:position w:val="1"/>
          <w:sz w:val="20"/>
          <w:szCs w:val="20"/>
        </w:rPr>
        <w:t>，</w:t>
      </w:r>
      <w:r>
        <w:rPr>
          <w:rFonts w:ascii="宋体" w:hAnsi="宋体" w:eastAsia="宋体" w:cs="宋体"/>
          <w:spacing w:val="9"/>
          <w:sz w:val="20"/>
          <w:szCs w:val="20"/>
        </w:rPr>
        <w:t>提高教学质量是所有教学实践者共</w:t>
      </w:r>
      <w:r>
        <w:rPr>
          <w:rFonts w:ascii="宋体" w:hAnsi="宋体" w:eastAsia="宋体" w:cs="宋体"/>
          <w:spacing w:val="8"/>
          <w:sz w:val="20"/>
          <w:szCs w:val="20"/>
        </w:rPr>
        <w:t xml:space="preserve"> </w:t>
      </w:r>
      <w:r>
        <w:rPr>
          <w:rFonts w:ascii="宋体" w:hAnsi="宋体" w:eastAsia="宋体" w:cs="宋体"/>
          <w:spacing w:val="9"/>
          <w:sz w:val="20"/>
          <w:szCs w:val="20"/>
        </w:rPr>
        <w:t>同权利与责任</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教学学术把高校管理者</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教师与</w:t>
      </w:r>
      <w:r>
        <w:rPr>
          <w:rFonts w:ascii="宋体" w:hAnsi="宋体" w:eastAsia="宋体" w:cs="宋体"/>
          <w:spacing w:val="10"/>
          <w:sz w:val="20"/>
          <w:szCs w:val="20"/>
        </w:rPr>
        <w:t xml:space="preserve"> </w:t>
      </w:r>
      <w:r>
        <w:rPr>
          <w:rFonts w:ascii="宋体" w:hAnsi="宋体" w:eastAsia="宋体" w:cs="宋体"/>
          <w:spacing w:val="9"/>
          <w:sz w:val="20"/>
          <w:szCs w:val="20"/>
        </w:rPr>
        <w:t>学生纳入到高校教学质量文化的建设之中</w:t>
      </w:r>
      <w:r>
        <w:rPr>
          <w:rFonts w:ascii="宋体" w:hAnsi="宋体" w:eastAsia="宋体" w:cs="宋体"/>
          <w:spacing w:val="9"/>
          <w:position w:val="1"/>
          <w:sz w:val="20"/>
          <w:szCs w:val="20"/>
        </w:rPr>
        <w:t>，</w:t>
      </w:r>
      <w:r>
        <w:rPr>
          <w:rFonts w:ascii="宋体" w:hAnsi="宋体" w:eastAsia="宋体" w:cs="宋体"/>
          <w:spacing w:val="9"/>
          <w:sz w:val="20"/>
          <w:szCs w:val="20"/>
        </w:rPr>
        <w:t>使之</w:t>
      </w:r>
      <w:r>
        <w:rPr>
          <w:rFonts w:ascii="宋体" w:hAnsi="宋体" w:eastAsia="宋体" w:cs="宋体"/>
          <w:spacing w:val="10"/>
          <w:sz w:val="20"/>
          <w:szCs w:val="20"/>
        </w:rPr>
        <w:t xml:space="preserve"> </w:t>
      </w:r>
      <w:r>
        <w:rPr>
          <w:rFonts w:ascii="宋体" w:hAnsi="宋体" w:eastAsia="宋体" w:cs="宋体"/>
          <w:spacing w:val="9"/>
          <w:sz w:val="20"/>
          <w:szCs w:val="20"/>
        </w:rPr>
        <w:t>成为高校教学质量文化建设的主体</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当高校中不 同利益主体都积极对自身教学工作开展研究和改</w:t>
      </w:r>
      <w:r>
        <w:rPr>
          <w:rFonts w:ascii="宋体" w:hAnsi="宋体" w:eastAsia="宋体" w:cs="宋体"/>
          <w:spacing w:val="6"/>
          <w:sz w:val="20"/>
          <w:szCs w:val="20"/>
        </w:rPr>
        <w:t xml:space="preserve"> </w:t>
      </w:r>
      <w:r>
        <w:rPr>
          <w:rFonts w:ascii="宋体" w:hAnsi="宋体" w:eastAsia="宋体" w:cs="宋体"/>
          <w:spacing w:val="9"/>
          <w:sz w:val="20"/>
          <w:szCs w:val="20"/>
        </w:rPr>
        <w:t>善教学实践本身的时候</w:t>
      </w:r>
      <w:r>
        <w:rPr>
          <w:rFonts w:ascii="宋体" w:hAnsi="宋体" w:eastAsia="宋体" w:cs="宋体"/>
          <w:spacing w:val="9"/>
          <w:position w:val="1"/>
          <w:sz w:val="20"/>
          <w:szCs w:val="20"/>
        </w:rPr>
        <w:t>，</w:t>
      </w:r>
      <w:r>
        <w:rPr>
          <w:rFonts w:ascii="宋体" w:hAnsi="宋体" w:eastAsia="宋体" w:cs="宋体"/>
          <w:spacing w:val="9"/>
          <w:sz w:val="20"/>
          <w:szCs w:val="20"/>
        </w:rPr>
        <w:t>高校教学质量文化就成 为一种全员性文化</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教学学术从根本上扭转了提</w:t>
      </w:r>
      <w:r>
        <w:rPr>
          <w:rFonts w:ascii="宋体" w:hAnsi="宋体" w:eastAsia="宋体" w:cs="宋体"/>
          <w:spacing w:val="8"/>
          <w:sz w:val="20"/>
          <w:szCs w:val="20"/>
        </w:rPr>
        <w:t xml:space="preserve"> </w:t>
      </w:r>
      <w:r>
        <w:rPr>
          <w:rFonts w:ascii="宋体" w:hAnsi="宋体" w:eastAsia="宋体" w:cs="宋体"/>
          <w:spacing w:val="9"/>
          <w:sz w:val="20"/>
          <w:szCs w:val="20"/>
        </w:rPr>
        <w:t>高教学质量只是高校教师的事情</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仅仅限于课堂 教学教师教的单方面的片面认识</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学生作为教学 实践者在教学活动中也具有主观能动性</w:t>
      </w:r>
      <w:r>
        <w:rPr>
          <w:rFonts w:ascii="宋体" w:hAnsi="宋体" w:eastAsia="宋体" w:cs="宋体"/>
          <w:spacing w:val="9"/>
          <w:position w:val="1"/>
          <w:sz w:val="20"/>
          <w:szCs w:val="20"/>
        </w:rPr>
        <w:t>，</w:t>
      </w:r>
      <w:r>
        <w:rPr>
          <w:rFonts w:ascii="宋体" w:hAnsi="宋体" w:eastAsia="宋体" w:cs="宋体"/>
          <w:spacing w:val="9"/>
          <w:sz w:val="20"/>
          <w:szCs w:val="20"/>
        </w:rPr>
        <w:t>也能在</w:t>
      </w:r>
      <w:r>
        <w:rPr>
          <w:rFonts w:ascii="宋体" w:hAnsi="宋体" w:eastAsia="宋体" w:cs="宋体"/>
          <w:spacing w:val="10"/>
          <w:sz w:val="20"/>
          <w:szCs w:val="20"/>
        </w:rPr>
        <w:t xml:space="preserve"> </w:t>
      </w:r>
      <w:r>
        <w:rPr>
          <w:rFonts w:ascii="宋体" w:hAnsi="宋体" w:eastAsia="宋体" w:cs="宋体"/>
          <w:spacing w:val="9"/>
          <w:sz w:val="20"/>
          <w:szCs w:val="20"/>
        </w:rPr>
        <w:t>教学研究和改善教学活动中发挥重要作用</w:t>
      </w:r>
      <w:r>
        <w:rPr>
          <w:rFonts w:ascii="宋体" w:hAnsi="宋体" w:eastAsia="宋体" w:cs="宋体"/>
          <w:spacing w:val="9"/>
          <w:position w:val="1"/>
          <w:sz w:val="20"/>
          <w:szCs w:val="20"/>
        </w:rPr>
        <w:t>，</w:t>
      </w:r>
      <w:r>
        <w:rPr>
          <w:rFonts w:ascii="宋体" w:hAnsi="宋体" w:eastAsia="宋体" w:cs="宋体"/>
          <w:spacing w:val="9"/>
          <w:sz w:val="20"/>
          <w:szCs w:val="20"/>
        </w:rPr>
        <w:t>对传</w:t>
      </w:r>
      <w:r>
        <w:rPr>
          <w:rFonts w:ascii="宋体" w:hAnsi="宋体" w:eastAsia="宋体" w:cs="宋体"/>
          <w:spacing w:val="10"/>
          <w:sz w:val="20"/>
          <w:szCs w:val="20"/>
        </w:rPr>
        <w:t xml:space="preserve"> </w:t>
      </w:r>
      <w:r>
        <w:rPr>
          <w:rFonts w:ascii="宋体" w:hAnsi="宋体" w:eastAsia="宋体" w:cs="宋体"/>
          <w:spacing w:val="9"/>
          <w:sz w:val="20"/>
          <w:szCs w:val="20"/>
        </w:rPr>
        <w:t>播知识</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拓展知识和提高知识的理解与掌握等有</w:t>
      </w:r>
      <w:r>
        <w:rPr>
          <w:rFonts w:ascii="宋体" w:hAnsi="宋体" w:eastAsia="宋体" w:cs="宋体"/>
          <w:spacing w:val="8"/>
          <w:sz w:val="20"/>
          <w:szCs w:val="20"/>
        </w:rPr>
        <w:t xml:space="preserve"> </w:t>
      </w:r>
      <w:r>
        <w:rPr>
          <w:rFonts w:ascii="宋体" w:hAnsi="宋体" w:eastAsia="宋体" w:cs="宋体"/>
          <w:spacing w:val="9"/>
          <w:sz w:val="20"/>
          <w:szCs w:val="20"/>
        </w:rPr>
        <w:t>着至关重要的影响</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建构主义认为学习者对外部</w:t>
      </w:r>
      <w:r>
        <w:rPr>
          <w:rFonts w:ascii="宋体" w:hAnsi="宋体" w:eastAsia="宋体" w:cs="宋体"/>
          <w:spacing w:val="8"/>
          <w:sz w:val="20"/>
          <w:szCs w:val="20"/>
        </w:rPr>
        <w:t xml:space="preserve"> </w:t>
      </w:r>
      <w:r>
        <w:rPr>
          <w:rFonts w:ascii="宋体" w:hAnsi="宋体" w:eastAsia="宋体" w:cs="宋体"/>
          <w:spacing w:val="9"/>
          <w:sz w:val="20"/>
          <w:szCs w:val="20"/>
        </w:rPr>
        <w:t>世界的理解是他或她自己积极建构的结果</w:t>
      </w:r>
      <w:r>
        <w:rPr>
          <w:rFonts w:ascii="宋体" w:hAnsi="宋体" w:eastAsia="宋体" w:cs="宋体"/>
          <w:spacing w:val="9"/>
          <w:position w:val="1"/>
          <w:sz w:val="20"/>
          <w:szCs w:val="20"/>
        </w:rPr>
        <w:t>，</w:t>
      </w:r>
      <w:r>
        <w:rPr>
          <w:rFonts w:ascii="宋体" w:hAnsi="宋体" w:eastAsia="宋体" w:cs="宋体"/>
          <w:spacing w:val="9"/>
          <w:sz w:val="20"/>
          <w:szCs w:val="20"/>
        </w:rPr>
        <w:t>而不</w:t>
      </w:r>
      <w:r>
        <w:rPr>
          <w:rFonts w:ascii="宋体" w:hAnsi="宋体" w:eastAsia="宋体" w:cs="宋体"/>
          <w:spacing w:val="10"/>
          <w:sz w:val="20"/>
          <w:szCs w:val="20"/>
        </w:rPr>
        <w:t xml:space="preserve"> 是被动地接受别的什么人呈现给他们的东西</w:t>
      </w:r>
      <w:r>
        <w:rPr>
          <w:rFonts w:ascii="宋体" w:hAnsi="宋体" w:eastAsia="宋体" w:cs="宋体"/>
          <w:spacing w:val="-59"/>
          <w:sz w:val="20"/>
          <w:szCs w:val="20"/>
        </w:rPr>
        <w:t xml:space="preserve"> </w:t>
      </w:r>
      <w:r>
        <w:rPr>
          <w:rFonts w:ascii="微软雅黑" w:hAnsi="微软雅黑" w:eastAsia="微软雅黑" w:cs="微软雅黑"/>
          <w:spacing w:val="10"/>
          <w:position w:val="1"/>
          <w:sz w:val="20"/>
          <w:szCs w:val="20"/>
        </w:rPr>
        <w:t>……</w:t>
      </w:r>
      <w:r>
        <w:rPr>
          <w:rFonts w:ascii="微软雅黑" w:hAnsi="微软雅黑" w:eastAsia="微软雅黑" w:cs="微软雅黑"/>
          <w:position w:val="1"/>
          <w:sz w:val="20"/>
          <w:szCs w:val="20"/>
        </w:rPr>
        <w:t xml:space="preserve">  </w:t>
      </w:r>
      <w:r>
        <w:rPr>
          <w:rFonts w:ascii="宋体" w:hAnsi="宋体" w:eastAsia="宋体" w:cs="宋体"/>
          <w:spacing w:val="11"/>
          <w:sz w:val="20"/>
          <w:szCs w:val="20"/>
        </w:rPr>
        <w:t>学习活动是一个创造性的理解过程</w:t>
      </w:r>
      <w:r>
        <w:rPr>
          <w:rFonts w:ascii="宋体" w:hAnsi="宋体" w:eastAsia="宋体" w:cs="宋体"/>
          <w:spacing w:val="11"/>
          <w:position w:val="9"/>
          <w:sz w:val="11"/>
          <w:szCs w:val="11"/>
        </w:rPr>
        <w:t>［</w:t>
      </w:r>
      <w:r>
        <w:rPr>
          <w:rFonts w:ascii="微软雅黑" w:hAnsi="微软雅黑" w:eastAsia="微软雅黑" w:cs="微软雅黑"/>
          <w:spacing w:val="11"/>
          <w:position w:val="9"/>
          <w:sz w:val="11"/>
          <w:szCs w:val="11"/>
        </w:rPr>
        <w:t>9</w:t>
      </w:r>
      <w:r>
        <w:rPr>
          <w:rFonts w:ascii="宋体" w:hAnsi="宋体" w:eastAsia="宋体" w:cs="宋体"/>
          <w:spacing w:val="11"/>
          <w:position w:val="9"/>
          <w:sz w:val="11"/>
          <w:szCs w:val="11"/>
        </w:rPr>
        <w:t>］</w:t>
      </w:r>
      <w:r>
        <w:rPr>
          <w:rFonts w:ascii="宋体" w:hAnsi="宋体" w:eastAsia="宋体" w:cs="宋体"/>
          <w:spacing w:val="-4"/>
          <w:position w:val="9"/>
          <w:sz w:val="11"/>
          <w:szCs w:val="11"/>
        </w:rPr>
        <w:t xml:space="preserve"> </w:t>
      </w:r>
      <w:r>
        <w:rPr>
          <w:rFonts w:ascii="微软雅黑" w:hAnsi="微软雅黑" w:eastAsia="微软雅黑" w:cs="微软雅黑"/>
          <w:spacing w:val="11"/>
          <w:sz w:val="20"/>
          <w:szCs w:val="20"/>
        </w:rPr>
        <w:t>。</w:t>
      </w:r>
      <w:r>
        <w:rPr>
          <w:rFonts w:ascii="微软雅黑" w:hAnsi="微软雅黑" w:eastAsia="微软雅黑" w:cs="微软雅黑"/>
          <w:spacing w:val="-38"/>
          <w:sz w:val="20"/>
          <w:szCs w:val="20"/>
        </w:rPr>
        <w:t xml:space="preserve"> </w:t>
      </w:r>
      <w:r>
        <w:rPr>
          <w:rFonts w:ascii="宋体" w:hAnsi="宋体" w:eastAsia="宋体" w:cs="宋体"/>
          <w:spacing w:val="11"/>
          <w:sz w:val="20"/>
          <w:szCs w:val="20"/>
        </w:rPr>
        <w:t>高校管</w:t>
      </w:r>
      <w:r>
        <w:rPr>
          <w:rFonts w:ascii="宋体" w:hAnsi="宋体" w:eastAsia="宋体" w:cs="宋体"/>
          <w:sz w:val="20"/>
          <w:szCs w:val="20"/>
        </w:rPr>
        <w:t xml:space="preserve"> </w:t>
      </w:r>
      <w:r>
        <w:rPr>
          <w:rFonts w:ascii="宋体" w:hAnsi="宋体" w:eastAsia="宋体" w:cs="宋体"/>
          <w:spacing w:val="9"/>
          <w:sz w:val="20"/>
          <w:szCs w:val="20"/>
        </w:rPr>
        <w:t>理者的教育教学管理活动对提高教学质量具有基</w:t>
      </w:r>
      <w:r>
        <w:rPr>
          <w:rFonts w:ascii="宋体" w:hAnsi="宋体" w:eastAsia="宋体" w:cs="宋体"/>
          <w:spacing w:val="6"/>
          <w:sz w:val="20"/>
          <w:szCs w:val="20"/>
        </w:rPr>
        <w:t xml:space="preserve"> </w:t>
      </w:r>
      <w:r>
        <w:rPr>
          <w:rFonts w:ascii="宋体" w:hAnsi="宋体" w:eastAsia="宋体" w:cs="宋体"/>
          <w:sz w:val="20"/>
          <w:szCs w:val="20"/>
        </w:rPr>
        <w:t>础性的影响</w:t>
      </w:r>
      <w:r>
        <w:rPr>
          <w:rFonts w:ascii="宋体" w:hAnsi="宋体" w:eastAsia="宋体" w:cs="宋体"/>
          <w:position w:val="1"/>
          <w:sz w:val="20"/>
          <w:szCs w:val="20"/>
        </w:rPr>
        <w:t>，</w:t>
      </w:r>
      <w:r>
        <w:rPr>
          <w:rFonts w:ascii="宋体" w:hAnsi="宋体" w:eastAsia="宋体" w:cs="宋体"/>
          <w:sz w:val="20"/>
          <w:szCs w:val="20"/>
        </w:rPr>
        <w:t>研究教育教学管理中的问题</w:t>
      </w:r>
      <w:r>
        <w:rPr>
          <w:rFonts w:ascii="宋体" w:hAnsi="宋体" w:eastAsia="宋体" w:cs="宋体"/>
          <w:position w:val="1"/>
          <w:sz w:val="20"/>
          <w:szCs w:val="20"/>
        </w:rPr>
        <w:t>，</w:t>
      </w:r>
      <w:r>
        <w:rPr>
          <w:rFonts w:ascii="宋体" w:hAnsi="宋体" w:eastAsia="宋体" w:cs="宋体"/>
          <w:sz w:val="20"/>
          <w:szCs w:val="20"/>
        </w:rPr>
        <w:t>不</w:t>
      </w:r>
      <w:r>
        <w:rPr>
          <w:rFonts w:ascii="宋体" w:hAnsi="宋体" w:eastAsia="宋体" w:cs="宋体"/>
          <w:spacing w:val="-1"/>
          <w:sz w:val="20"/>
          <w:szCs w:val="20"/>
        </w:rPr>
        <w:t>断提</w:t>
      </w:r>
      <w:r>
        <w:rPr>
          <w:rFonts w:ascii="宋体" w:hAnsi="宋体" w:eastAsia="宋体" w:cs="宋体"/>
          <w:sz w:val="20"/>
          <w:szCs w:val="20"/>
        </w:rPr>
        <w:t xml:space="preserve"> </w:t>
      </w:r>
      <w:r>
        <w:rPr>
          <w:rFonts w:ascii="宋体" w:hAnsi="宋体" w:eastAsia="宋体" w:cs="宋体"/>
          <w:spacing w:val="9"/>
          <w:sz w:val="20"/>
          <w:szCs w:val="20"/>
        </w:rPr>
        <w:t>高教育教学管理能力与水平</w:t>
      </w:r>
      <w:r>
        <w:rPr>
          <w:rFonts w:ascii="宋体" w:hAnsi="宋体" w:eastAsia="宋体" w:cs="宋体"/>
          <w:spacing w:val="9"/>
          <w:position w:val="1"/>
          <w:sz w:val="20"/>
          <w:szCs w:val="20"/>
        </w:rPr>
        <w:t>，</w:t>
      </w:r>
      <w:r>
        <w:rPr>
          <w:rFonts w:ascii="宋体" w:hAnsi="宋体" w:eastAsia="宋体" w:cs="宋体"/>
          <w:spacing w:val="9"/>
          <w:sz w:val="20"/>
          <w:szCs w:val="20"/>
        </w:rPr>
        <w:t>促使高校管理者成 为教育教学管理专家</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教学学术为不同教学实践</w:t>
      </w:r>
      <w:r>
        <w:rPr>
          <w:rFonts w:ascii="宋体" w:hAnsi="宋体" w:eastAsia="宋体" w:cs="宋体"/>
          <w:spacing w:val="8"/>
          <w:sz w:val="20"/>
          <w:szCs w:val="20"/>
        </w:rPr>
        <w:t xml:space="preserve"> </w:t>
      </w:r>
      <w:r>
        <w:rPr>
          <w:rFonts w:ascii="宋体" w:hAnsi="宋体" w:eastAsia="宋体" w:cs="宋体"/>
          <w:spacing w:val="9"/>
          <w:sz w:val="20"/>
          <w:szCs w:val="20"/>
        </w:rPr>
        <w:t>者对各自活动中的问题进行科学研究和积极解决</w:t>
      </w:r>
      <w:r>
        <w:rPr>
          <w:rFonts w:ascii="宋体" w:hAnsi="宋体" w:eastAsia="宋体" w:cs="宋体"/>
          <w:spacing w:val="6"/>
          <w:sz w:val="20"/>
          <w:szCs w:val="20"/>
        </w:rPr>
        <w:t xml:space="preserve"> </w:t>
      </w:r>
      <w:r>
        <w:rPr>
          <w:rFonts w:ascii="宋体" w:hAnsi="宋体" w:eastAsia="宋体" w:cs="宋体"/>
          <w:spacing w:val="9"/>
          <w:sz w:val="20"/>
          <w:szCs w:val="20"/>
        </w:rPr>
        <w:t>提供了动力与途径</w:t>
      </w:r>
      <w:r>
        <w:rPr>
          <w:rFonts w:ascii="宋体" w:hAnsi="宋体" w:eastAsia="宋体" w:cs="宋体"/>
          <w:spacing w:val="9"/>
          <w:position w:val="1"/>
          <w:sz w:val="20"/>
          <w:szCs w:val="20"/>
        </w:rPr>
        <w:t>，</w:t>
      </w:r>
      <w:r>
        <w:rPr>
          <w:rFonts w:ascii="宋体" w:hAnsi="宋体" w:eastAsia="宋体" w:cs="宋体"/>
          <w:spacing w:val="9"/>
          <w:sz w:val="20"/>
          <w:szCs w:val="20"/>
        </w:rPr>
        <w:t>把不同主体直接或间接的纳</w:t>
      </w:r>
      <w:r>
        <w:rPr>
          <w:rFonts w:ascii="宋体" w:hAnsi="宋体" w:eastAsia="宋体" w:cs="宋体"/>
          <w:spacing w:val="8"/>
          <w:sz w:val="20"/>
          <w:szCs w:val="20"/>
        </w:rPr>
        <w:t xml:space="preserve"> </w:t>
      </w:r>
      <w:r>
        <w:rPr>
          <w:rFonts w:ascii="宋体" w:hAnsi="宋体" w:eastAsia="宋体" w:cs="宋体"/>
          <w:spacing w:val="2"/>
          <w:sz w:val="20"/>
          <w:szCs w:val="20"/>
        </w:rPr>
        <w:t>入到关注</w:t>
      </w:r>
      <w:r>
        <w:rPr>
          <w:rFonts w:ascii="微软雅黑" w:hAnsi="微软雅黑" w:eastAsia="微软雅黑" w:cs="微软雅黑"/>
          <w:spacing w:val="2"/>
          <w:position w:val="1"/>
          <w:sz w:val="20"/>
          <w:szCs w:val="20"/>
        </w:rPr>
        <w:t>、</w:t>
      </w:r>
      <w:r>
        <w:rPr>
          <w:rFonts w:ascii="宋体" w:hAnsi="宋体" w:eastAsia="宋体" w:cs="宋体"/>
          <w:spacing w:val="2"/>
          <w:sz w:val="20"/>
          <w:szCs w:val="20"/>
        </w:rPr>
        <w:t>研究</w:t>
      </w:r>
      <w:r>
        <w:rPr>
          <w:rFonts w:ascii="微软雅黑" w:hAnsi="微软雅黑" w:eastAsia="微软雅黑" w:cs="微软雅黑"/>
          <w:spacing w:val="2"/>
          <w:position w:val="1"/>
          <w:sz w:val="20"/>
          <w:szCs w:val="20"/>
        </w:rPr>
        <w:t>、</w:t>
      </w:r>
      <w:r>
        <w:rPr>
          <w:rFonts w:ascii="宋体" w:hAnsi="宋体" w:eastAsia="宋体" w:cs="宋体"/>
          <w:spacing w:val="2"/>
          <w:sz w:val="20"/>
          <w:szCs w:val="20"/>
        </w:rPr>
        <w:t>保障与提升教学质量的过程中</w:t>
      </w:r>
      <w:r>
        <w:rPr>
          <w:rFonts w:ascii="宋体" w:hAnsi="宋体" w:eastAsia="宋体" w:cs="宋体"/>
          <w:spacing w:val="2"/>
          <w:position w:val="1"/>
          <w:sz w:val="20"/>
          <w:szCs w:val="20"/>
        </w:rPr>
        <w:t>，</w:t>
      </w:r>
      <w:r>
        <w:rPr>
          <w:rFonts w:ascii="宋体" w:hAnsi="宋体" w:eastAsia="宋体" w:cs="宋体"/>
          <w:spacing w:val="11"/>
          <w:position w:val="1"/>
          <w:sz w:val="20"/>
          <w:szCs w:val="20"/>
        </w:rPr>
        <w:t xml:space="preserve"> </w:t>
      </w:r>
      <w:r>
        <w:rPr>
          <w:rFonts w:ascii="宋体" w:hAnsi="宋体" w:eastAsia="宋体" w:cs="宋体"/>
          <w:spacing w:val="9"/>
          <w:sz w:val="20"/>
          <w:szCs w:val="20"/>
        </w:rPr>
        <w:t>保障与促进了教学中心工作的落实落地</w:t>
      </w:r>
      <w:r>
        <w:rPr>
          <w:rFonts w:ascii="宋体" w:hAnsi="宋体" w:eastAsia="宋体" w:cs="宋体"/>
          <w:spacing w:val="9"/>
          <w:position w:val="1"/>
          <w:sz w:val="20"/>
          <w:szCs w:val="20"/>
        </w:rPr>
        <w:t>，</w:t>
      </w:r>
      <w:r>
        <w:rPr>
          <w:rFonts w:ascii="宋体" w:hAnsi="宋体" w:eastAsia="宋体" w:cs="宋体"/>
          <w:spacing w:val="9"/>
          <w:sz w:val="20"/>
          <w:szCs w:val="20"/>
        </w:rPr>
        <w:t>提升教</w:t>
      </w:r>
      <w:r>
        <w:rPr>
          <w:rFonts w:ascii="宋体" w:hAnsi="宋体" w:eastAsia="宋体" w:cs="宋体"/>
          <w:spacing w:val="10"/>
          <w:sz w:val="20"/>
          <w:szCs w:val="20"/>
        </w:rPr>
        <w:t xml:space="preserve"> </w:t>
      </w:r>
      <w:r>
        <w:rPr>
          <w:rFonts w:ascii="宋体" w:hAnsi="宋体" w:eastAsia="宋体" w:cs="宋体"/>
          <w:spacing w:val="9"/>
          <w:sz w:val="20"/>
          <w:szCs w:val="20"/>
        </w:rPr>
        <w:t>学质量成为全员共同参与的活动</w:t>
      </w:r>
      <w:r>
        <w:rPr>
          <w:rFonts w:ascii="微软雅黑" w:hAnsi="微软雅黑" w:eastAsia="微软雅黑" w:cs="微软雅黑"/>
          <w:spacing w:val="9"/>
          <w:position w:val="1"/>
          <w:sz w:val="20"/>
          <w:szCs w:val="20"/>
        </w:rPr>
        <w:t>。</w:t>
      </w:r>
    </w:p>
    <w:p>
      <w:pPr>
        <w:spacing w:before="79" w:line="214" w:lineRule="auto"/>
        <w:ind w:left="458"/>
        <w:rPr>
          <w:rFonts w:ascii="黑体" w:hAnsi="黑体" w:eastAsia="黑体" w:cs="黑体"/>
          <w:sz w:val="20"/>
          <w:szCs w:val="20"/>
        </w:rPr>
      </w:pPr>
      <w:r>
        <w:rPr>
          <w:rFonts w:ascii="黑体" w:hAnsi="黑体" w:eastAsia="黑体" w:cs="黑体"/>
          <w:spacing w:val="4"/>
          <w:sz w:val="20"/>
          <w:szCs w:val="20"/>
        </w:rPr>
        <w:t>(二)</w:t>
      </w:r>
      <w:r>
        <w:rPr>
          <w:rFonts w:ascii="黑体" w:hAnsi="黑体" w:eastAsia="黑体" w:cs="黑体"/>
          <w:spacing w:val="-19"/>
          <w:sz w:val="20"/>
          <w:szCs w:val="20"/>
        </w:rPr>
        <w:t xml:space="preserve"> </w:t>
      </w:r>
      <w:r>
        <w:rPr>
          <w:rFonts w:ascii="黑体" w:hAnsi="黑体" w:eastAsia="黑体" w:cs="黑体"/>
          <w:spacing w:val="4"/>
          <w:sz w:val="20"/>
          <w:szCs w:val="20"/>
        </w:rPr>
        <w:t>高校教学质量文化是一种自觉性文化</w:t>
      </w:r>
    </w:p>
    <w:p>
      <w:pPr>
        <w:spacing w:before="109" w:line="178" w:lineRule="auto"/>
        <w:ind w:left="422"/>
        <w:rPr>
          <w:rFonts w:ascii="宋体" w:hAnsi="宋体" w:eastAsia="宋体" w:cs="宋体"/>
          <w:sz w:val="20"/>
          <w:szCs w:val="20"/>
        </w:rPr>
      </w:pPr>
      <w:r>
        <w:rPr>
          <w:rFonts w:ascii="宋体" w:hAnsi="宋体" w:eastAsia="宋体" w:cs="宋体"/>
          <w:spacing w:val="9"/>
          <w:sz w:val="20"/>
          <w:szCs w:val="20"/>
        </w:rPr>
        <w:t>教学学术使教学具有了学术性特质</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教学学</w:t>
      </w:r>
    </w:p>
    <w:p>
      <w:pPr>
        <w:spacing w:line="178" w:lineRule="auto"/>
        <w:rPr>
          <w:rFonts w:ascii="宋体" w:hAnsi="宋体" w:eastAsia="宋体" w:cs="宋体"/>
          <w:sz w:val="20"/>
          <w:szCs w:val="20"/>
        </w:rPr>
        <w:sectPr>
          <w:type w:val="continuous"/>
          <w:pgSz w:w="11905" w:h="16836"/>
          <w:pgMar w:top="400" w:right="1279" w:bottom="547" w:left="407" w:header="0" w:footer="354" w:gutter="0"/>
          <w:cols w:equalWidth="0" w:num="2">
            <w:col w:w="5660" w:space="100"/>
            <w:col w:w="4457"/>
          </w:cols>
        </w:sectPr>
      </w:pPr>
    </w:p>
    <w:p>
      <w:pPr>
        <w:spacing w:line="433" w:lineRule="auto"/>
        <w:rPr>
          <w:rFonts w:ascii="Arial"/>
          <w:sz w:val="21"/>
        </w:rPr>
      </w:pPr>
    </w:p>
    <w:p>
      <w:pPr>
        <w:spacing w:before="56" w:line="214" w:lineRule="auto"/>
        <w:ind w:left="6539"/>
        <w:rPr>
          <w:rFonts w:ascii="宋体" w:hAnsi="宋体" w:eastAsia="宋体" w:cs="宋体"/>
          <w:sz w:val="17"/>
          <w:szCs w:val="17"/>
        </w:rPr>
      </w:pPr>
      <w:r>
        <w:rPr>
          <w:rFonts w:ascii="宋体" w:hAnsi="宋体" w:eastAsia="宋体" w:cs="宋体"/>
          <w:color w:val="0166B3"/>
          <w:spacing w:val="9"/>
          <w:sz w:val="17"/>
          <w:szCs w:val="17"/>
        </w:rPr>
        <w:t>教学学术视角下高校教学质量文化建设的思考</w:t>
      </w:r>
    </w:p>
    <w:p>
      <w:pPr>
        <w:spacing w:before="49" w:line="56" w:lineRule="exact"/>
        <w:ind w:firstLine="5603"/>
      </w:pPr>
      <w:r>
        <w:rPr>
          <w:position w:val="-1"/>
        </w:rPr>
        <w:drawing>
          <wp:inline distT="0" distB="0" distL="0" distR="0">
            <wp:extent cx="2879090" cy="3556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2"/>
                    <a:stretch>
                      <a:fillRect/>
                    </a:stretch>
                  </pic:blipFill>
                  <pic:spPr>
                    <a:xfrm>
                      <a:off x="0" y="0"/>
                      <a:ext cx="2879090" cy="35560"/>
                    </a:xfrm>
                    <a:prstGeom prst="rect">
                      <a:avLst/>
                    </a:prstGeom>
                  </pic:spPr>
                </pic:pic>
              </a:graphicData>
            </a:graphic>
          </wp:inline>
        </w:drawing>
      </w:r>
    </w:p>
    <w:p>
      <w:pPr>
        <w:spacing w:before="102"/>
      </w:pPr>
    </w:p>
    <w:p>
      <w:pPr>
        <w:sectPr>
          <w:footerReference r:id="rId55" w:type="default"/>
          <w:pgSz w:w="11905" w:h="16836"/>
          <w:pgMar w:top="400" w:right="1248" w:bottom="547" w:left="407" w:header="0" w:footer="354" w:gutter="0"/>
          <w:cols w:equalWidth="0" w:num="1">
            <w:col w:w="10248"/>
          </w:cols>
        </w:sectPr>
      </w:pPr>
    </w:p>
    <w:p>
      <w:pPr>
        <w:spacing w:before="29" w:line="263" w:lineRule="auto"/>
        <w:ind w:left="931" w:right="257" w:firstLine="2"/>
        <w:jc w:val="both"/>
        <w:rPr>
          <w:rFonts w:ascii="微软雅黑" w:hAnsi="微软雅黑" w:eastAsia="微软雅黑" w:cs="微软雅黑"/>
          <w:sz w:val="20"/>
          <w:szCs w:val="20"/>
        </w:rPr>
      </w:pPr>
      <w:r>
        <w:rPr>
          <w:rFonts w:ascii="宋体" w:hAnsi="宋体" w:eastAsia="宋体" w:cs="宋体"/>
          <w:spacing w:val="8"/>
          <w:sz w:val="20"/>
          <w:szCs w:val="20"/>
        </w:rPr>
        <w:t>术研究成果不仅可以公开发表</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传播</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交流与批 判</w:t>
      </w:r>
      <w:r>
        <w:rPr>
          <w:rFonts w:ascii="宋体" w:hAnsi="宋体" w:eastAsia="宋体" w:cs="宋体"/>
          <w:spacing w:val="8"/>
          <w:position w:val="1"/>
          <w:sz w:val="20"/>
          <w:szCs w:val="20"/>
        </w:rPr>
        <w:t>，</w:t>
      </w:r>
      <w:r>
        <w:rPr>
          <w:rFonts w:ascii="宋体" w:hAnsi="宋体" w:eastAsia="宋体" w:cs="宋体"/>
          <w:spacing w:val="8"/>
          <w:sz w:val="20"/>
          <w:szCs w:val="20"/>
        </w:rPr>
        <w:t>还具有改善教学本身的功能</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教学学术化解 </w:t>
      </w:r>
      <w:r>
        <w:rPr>
          <w:rFonts w:ascii="宋体" w:hAnsi="宋体" w:eastAsia="宋体" w:cs="宋体"/>
          <w:spacing w:val="-1"/>
          <w:sz w:val="20"/>
          <w:szCs w:val="20"/>
        </w:rPr>
        <w:t>了教学与科研的矛盾</w:t>
      </w:r>
      <w:r>
        <w:rPr>
          <w:rFonts w:ascii="宋体" w:hAnsi="宋体" w:eastAsia="宋体" w:cs="宋体"/>
          <w:spacing w:val="-1"/>
          <w:position w:val="1"/>
          <w:sz w:val="20"/>
          <w:szCs w:val="20"/>
        </w:rPr>
        <w:t>，</w:t>
      </w:r>
      <w:r>
        <w:rPr>
          <w:rFonts w:ascii="宋体" w:hAnsi="宋体" w:eastAsia="宋体" w:cs="宋体"/>
          <w:spacing w:val="-1"/>
          <w:sz w:val="20"/>
          <w:szCs w:val="20"/>
        </w:rPr>
        <w:t>教学学术成果成为教师</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 xml:space="preserve">高 </w:t>
      </w:r>
      <w:r>
        <w:rPr>
          <w:rFonts w:ascii="宋体" w:hAnsi="宋体" w:eastAsia="宋体" w:cs="宋体"/>
          <w:spacing w:val="8"/>
          <w:sz w:val="20"/>
          <w:szCs w:val="20"/>
        </w:rPr>
        <w:t>校管理者获得晋升的重要依据</w:t>
      </w:r>
      <w:r>
        <w:rPr>
          <w:rFonts w:ascii="宋体" w:hAnsi="宋体" w:eastAsia="宋体" w:cs="宋体"/>
          <w:spacing w:val="8"/>
          <w:position w:val="1"/>
          <w:sz w:val="20"/>
          <w:szCs w:val="20"/>
        </w:rPr>
        <w:t>，</w:t>
      </w:r>
      <w:r>
        <w:rPr>
          <w:rFonts w:ascii="宋体" w:hAnsi="宋体" w:eastAsia="宋体" w:cs="宋体"/>
          <w:spacing w:val="8"/>
          <w:sz w:val="20"/>
          <w:szCs w:val="20"/>
        </w:rPr>
        <w:t>也极大促进自身 教学能力</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教学管理水平等的提升</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从事教学活 </w:t>
      </w:r>
      <w:r>
        <w:rPr>
          <w:rFonts w:ascii="宋体" w:hAnsi="宋体" w:eastAsia="宋体" w:cs="宋体"/>
          <w:spacing w:val="12"/>
          <w:sz w:val="20"/>
          <w:szCs w:val="20"/>
        </w:rPr>
        <w:t>动和提升教学质量不再是一种来自外在的要求</w:t>
      </w:r>
      <w:r>
        <w:rPr>
          <w:rFonts w:ascii="宋体" w:hAnsi="宋体" w:eastAsia="宋体" w:cs="宋体"/>
          <w:spacing w:val="12"/>
          <w:position w:val="1"/>
          <w:sz w:val="20"/>
          <w:szCs w:val="20"/>
        </w:rPr>
        <w:t>，</w:t>
      </w:r>
      <w:r>
        <w:rPr>
          <w:rFonts w:ascii="宋体" w:hAnsi="宋体" w:eastAsia="宋体" w:cs="宋体"/>
          <w:spacing w:val="18"/>
          <w:position w:val="1"/>
          <w:sz w:val="20"/>
          <w:szCs w:val="20"/>
        </w:rPr>
        <w:t xml:space="preserve"> </w:t>
      </w:r>
      <w:r>
        <w:rPr>
          <w:rFonts w:ascii="宋体" w:hAnsi="宋体" w:eastAsia="宋体" w:cs="宋体"/>
          <w:spacing w:val="8"/>
          <w:sz w:val="20"/>
          <w:szCs w:val="20"/>
        </w:rPr>
        <w:t xml:space="preserve">而是成为承担提高人才培养质量和实现自身成长 </w:t>
      </w:r>
      <w:r>
        <w:rPr>
          <w:rFonts w:ascii="宋体" w:hAnsi="宋体" w:eastAsia="宋体" w:cs="宋体"/>
          <w:spacing w:val="12"/>
          <w:sz w:val="20"/>
          <w:szCs w:val="20"/>
        </w:rPr>
        <w:t>的内在需求</w:t>
      </w:r>
      <w:r>
        <w:rPr>
          <w:rFonts w:ascii="微软雅黑" w:hAnsi="微软雅黑" w:eastAsia="微软雅黑" w:cs="微软雅黑"/>
          <w:spacing w:val="12"/>
          <w:position w:val="1"/>
          <w:sz w:val="20"/>
          <w:szCs w:val="20"/>
        </w:rPr>
        <w:t>。</w:t>
      </w:r>
      <w:r>
        <w:rPr>
          <w:rFonts w:ascii="宋体" w:hAnsi="宋体" w:eastAsia="宋体" w:cs="宋体"/>
          <w:spacing w:val="12"/>
          <w:sz w:val="20"/>
          <w:szCs w:val="20"/>
        </w:rPr>
        <w:t>教学不仅培养学生</w:t>
      </w:r>
      <w:r>
        <w:rPr>
          <w:rFonts w:ascii="宋体" w:hAnsi="宋体" w:eastAsia="宋体" w:cs="宋体"/>
          <w:spacing w:val="12"/>
          <w:position w:val="1"/>
          <w:sz w:val="20"/>
          <w:szCs w:val="20"/>
        </w:rPr>
        <w:t>，</w:t>
      </w:r>
      <w:r>
        <w:rPr>
          <w:rFonts w:ascii="宋体" w:hAnsi="宋体" w:eastAsia="宋体" w:cs="宋体"/>
          <w:spacing w:val="12"/>
          <w:sz w:val="20"/>
          <w:szCs w:val="20"/>
        </w:rPr>
        <w:t>也造就教师</w:t>
      </w:r>
      <w:r>
        <w:rPr>
          <w:rFonts w:ascii="微软雅黑" w:hAnsi="微软雅黑" w:eastAsia="微软雅黑" w:cs="微软雅黑"/>
          <w:spacing w:val="12"/>
          <w:position w:val="1"/>
          <w:sz w:val="20"/>
          <w:szCs w:val="20"/>
        </w:rPr>
        <w:t>。</w:t>
      </w:r>
      <w:r>
        <w:rPr>
          <w:rFonts w:ascii="微软雅黑" w:hAnsi="微软雅黑" w:eastAsia="微软雅黑" w:cs="微软雅黑"/>
          <w:spacing w:val="18"/>
          <w:position w:val="1"/>
          <w:sz w:val="20"/>
          <w:szCs w:val="20"/>
        </w:rPr>
        <w:t xml:space="preserve"> </w:t>
      </w:r>
      <w:r>
        <w:rPr>
          <w:rFonts w:ascii="宋体" w:hAnsi="宋体" w:eastAsia="宋体" w:cs="宋体"/>
          <w:spacing w:val="8"/>
          <w:sz w:val="20"/>
          <w:szCs w:val="20"/>
        </w:rPr>
        <w:t>教学活动成为不同教学实践者生命存在的方式与 途径</w:t>
      </w:r>
      <w:r>
        <w:rPr>
          <w:rFonts w:ascii="宋体" w:hAnsi="宋体" w:eastAsia="宋体" w:cs="宋体"/>
          <w:spacing w:val="8"/>
          <w:position w:val="1"/>
          <w:sz w:val="20"/>
          <w:szCs w:val="20"/>
        </w:rPr>
        <w:t>，</w:t>
      </w:r>
      <w:r>
        <w:rPr>
          <w:rFonts w:ascii="宋体" w:hAnsi="宋体" w:eastAsia="宋体" w:cs="宋体"/>
          <w:spacing w:val="8"/>
          <w:sz w:val="20"/>
          <w:szCs w:val="20"/>
        </w:rPr>
        <w:t>提升教学质量的过程既是不断丰富与完善 学生生命质量的过程</w:t>
      </w:r>
      <w:r>
        <w:rPr>
          <w:rFonts w:ascii="宋体" w:hAnsi="宋体" w:eastAsia="宋体" w:cs="宋体"/>
          <w:spacing w:val="8"/>
          <w:position w:val="1"/>
          <w:sz w:val="20"/>
          <w:szCs w:val="20"/>
        </w:rPr>
        <w:t>，</w:t>
      </w:r>
      <w:r>
        <w:rPr>
          <w:rFonts w:ascii="宋体" w:hAnsi="宋体" w:eastAsia="宋体" w:cs="宋体"/>
          <w:spacing w:val="8"/>
          <w:sz w:val="20"/>
          <w:szCs w:val="20"/>
        </w:rPr>
        <w:t>也是成全教师自身生命质 量与提升生命价值的过程</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教学学术使教学活动 和不同教学实践者的生命成长有机结合起来</w:t>
      </w:r>
      <w:r>
        <w:rPr>
          <w:rFonts w:ascii="宋体" w:hAnsi="宋体" w:eastAsia="宋体" w:cs="宋体"/>
          <w:spacing w:val="8"/>
          <w:position w:val="1"/>
          <w:sz w:val="20"/>
          <w:szCs w:val="20"/>
        </w:rPr>
        <w:t>，</w:t>
      </w:r>
      <w:r>
        <w:rPr>
          <w:rFonts w:ascii="宋体" w:hAnsi="宋体" w:eastAsia="宋体" w:cs="宋体"/>
          <w:spacing w:val="8"/>
          <w:sz w:val="20"/>
          <w:szCs w:val="20"/>
        </w:rPr>
        <w:t xml:space="preserve">提 </w:t>
      </w:r>
      <w:r>
        <w:rPr>
          <w:rFonts w:ascii="宋体" w:hAnsi="宋体" w:eastAsia="宋体" w:cs="宋体"/>
          <w:spacing w:val="-1"/>
          <w:sz w:val="20"/>
          <w:szCs w:val="20"/>
        </w:rPr>
        <w:t>高教学质量不再是一种外在的</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强制性的</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 xml:space="preserve">命令式 </w:t>
      </w:r>
      <w:r>
        <w:rPr>
          <w:rFonts w:ascii="宋体" w:hAnsi="宋体" w:eastAsia="宋体" w:cs="宋体"/>
          <w:spacing w:val="8"/>
          <w:sz w:val="20"/>
          <w:szCs w:val="20"/>
        </w:rPr>
        <w:t>的要求</w:t>
      </w:r>
      <w:r>
        <w:rPr>
          <w:rFonts w:ascii="宋体" w:hAnsi="宋体" w:eastAsia="宋体" w:cs="宋体"/>
          <w:spacing w:val="8"/>
          <w:position w:val="1"/>
          <w:sz w:val="20"/>
          <w:szCs w:val="20"/>
        </w:rPr>
        <w:t>，</w:t>
      </w:r>
      <w:r>
        <w:rPr>
          <w:rFonts w:ascii="宋体" w:hAnsi="宋体" w:eastAsia="宋体" w:cs="宋体"/>
          <w:spacing w:val="8"/>
          <w:sz w:val="20"/>
          <w:szCs w:val="20"/>
        </w:rPr>
        <w:t>而是基于教学实践者共同成长的内在需 求</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教学学术引领不同教学实践者主动反思教学 </w:t>
      </w:r>
      <w:r>
        <w:rPr>
          <w:rFonts w:ascii="宋体" w:hAnsi="宋体" w:eastAsia="宋体" w:cs="宋体"/>
          <w:spacing w:val="-1"/>
          <w:sz w:val="20"/>
          <w:szCs w:val="20"/>
        </w:rPr>
        <w:t>活动</w:t>
      </w:r>
      <w:r>
        <w:rPr>
          <w:rFonts w:ascii="宋体" w:hAnsi="宋体" w:eastAsia="宋体" w:cs="宋体"/>
          <w:spacing w:val="-1"/>
          <w:position w:val="1"/>
          <w:sz w:val="20"/>
          <w:szCs w:val="20"/>
        </w:rPr>
        <w:t>，</w:t>
      </w:r>
      <w:r>
        <w:rPr>
          <w:rFonts w:ascii="宋体" w:hAnsi="宋体" w:eastAsia="宋体" w:cs="宋体"/>
          <w:spacing w:val="-1"/>
          <w:sz w:val="20"/>
          <w:szCs w:val="20"/>
        </w:rPr>
        <w:t>勇于发现教学实践问题</w:t>
      </w:r>
      <w:r>
        <w:rPr>
          <w:rFonts w:ascii="宋体" w:hAnsi="宋体" w:eastAsia="宋体" w:cs="宋体"/>
          <w:spacing w:val="-1"/>
          <w:position w:val="1"/>
          <w:sz w:val="20"/>
          <w:szCs w:val="20"/>
        </w:rPr>
        <w:t>，</w:t>
      </w:r>
      <w:r>
        <w:rPr>
          <w:rFonts w:ascii="宋体" w:hAnsi="宋体" w:eastAsia="宋体" w:cs="宋体"/>
          <w:spacing w:val="-1"/>
          <w:sz w:val="20"/>
          <w:szCs w:val="20"/>
        </w:rPr>
        <w:t>主动反思</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 xml:space="preserve">理性分 </w:t>
      </w:r>
      <w:r>
        <w:rPr>
          <w:rFonts w:ascii="宋体" w:hAnsi="宋体" w:eastAsia="宋体" w:cs="宋体"/>
          <w:spacing w:val="8"/>
          <w:sz w:val="20"/>
          <w:szCs w:val="20"/>
        </w:rPr>
        <w:t>析与科学批判</w:t>
      </w:r>
      <w:r>
        <w:rPr>
          <w:rFonts w:ascii="宋体" w:hAnsi="宋体" w:eastAsia="宋体" w:cs="宋体"/>
          <w:spacing w:val="8"/>
          <w:position w:val="1"/>
          <w:sz w:val="20"/>
          <w:szCs w:val="20"/>
        </w:rPr>
        <w:t>，</w:t>
      </w:r>
      <w:r>
        <w:rPr>
          <w:rFonts w:ascii="宋体" w:hAnsi="宋体" w:eastAsia="宋体" w:cs="宋体"/>
          <w:spacing w:val="8"/>
          <w:sz w:val="20"/>
          <w:szCs w:val="20"/>
        </w:rPr>
        <w:t xml:space="preserve">自觉将研究成果应用于改善教学 </w:t>
      </w:r>
      <w:r>
        <w:rPr>
          <w:rFonts w:ascii="宋体" w:hAnsi="宋体" w:eastAsia="宋体" w:cs="宋体"/>
          <w:spacing w:val="-1"/>
          <w:sz w:val="20"/>
          <w:szCs w:val="20"/>
        </w:rPr>
        <w:t>工作本身</w:t>
      </w:r>
      <w:r>
        <w:rPr>
          <w:rFonts w:ascii="宋体" w:hAnsi="宋体" w:eastAsia="宋体" w:cs="宋体"/>
          <w:spacing w:val="-1"/>
          <w:position w:val="1"/>
          <w:sz w:val="20"/>
          <w:szCs w:val="20"/>
        </w:rPr>
        <w:t>，</w:t>
      </w:r>
      <w:r>
        <w:rPr>
          <w:rFonts w:ascii="宋体" w:hAnsi="宋体" w:eastAsia="宋体" w:cs="宋体"/>
          <w:spacing w:val="-1"/>
          <w:sz w:val="20"/>
          <w:szCs w:val="20"/>
        </w:rPr>
        <w:t>主动为教学提供良好的环境</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 xml:space="preserve">条件与服 </w:t>
      </w:r>
      <w:r>
        <w:rPr>
          <w:rFonts w:ascii="宋体" w:hAnsi="宋体" w:eastAsia="宋体" w:cs="宋体"/>
          <w:spacing w:val="8"/>
          <w:sz w:val="20"/>
          <w:szCs w:val="20"/>
        </w:rPr>
        <w:t>务保障</w:t>
      </w:r>
      <w:r>
        <w:rPr>
          <w:rFonts w:ascii="宋体" w:hAnsi="宋体" w:eastAsia="宋体" w:cs="宋体"/>
          <w:spacing w:val="8"/>
          <w:position w:val="1"/>
          <w:sz w:val="20"/>
          <w:szCs w:val="20"/>
        </w:rPr>
        <w:t>，</w:t>
      </w:r>
      <w:r>
        <w:rPr>
          <w:rFonts w:ascii="宋体" w:hAnsi="宋体" w:eastAsia="宋体" w:cs="宋体"/>
          <w:spacing w:val="8"/>
          <w:sz w:val="20"/>
          <w:szCs w:val="20"/>
        </w:rPr>
        <w:t>使保障与提升教学质量成为不同教学实 践者的一种自觉行为</w:t>
      </w:r>
      <w:r>
        <w:rPr>
          <w:rFonts w:ascii="宋体" w:hAnsi="宋体" w:eastAsia="宋体" w:cs="宋体"/>
          <w:spacing w:val="8"/>
          <w:position w:val="1"/>
          <w:sz w:val="20"/>
          <w:szCs w:val="20"/>
        </w:rPr>
        <w:t>，</w:t>
      </w:r>
      <w:r>
        <w:rPr>
          <w:rFonts w:ascii="宋体" w:hAnsi="宋体" w:eastAsia="宋体" w:cs="宋体"/>
          <w:spacing w:val="8"/>
          <w:sz w:val="20"/>
          <w:szCs w:val="20"/>
        </w:rPr>
        <w:t xml:space="preserve">在不断提升教学质量的过 </w:t>
      </w:r>
      <w:r>
        <w:rPr>
          <w:rFonts w:ascii="宋体" w:hAnsi="宋体" w:eastAsia="宋体" w:cs="宋体"/>
          <w:spacing w:val="9"/>
          <w:sz w:val="20"/>
          <w:szCs w:val="20"/>
        </w:rPr>
        <w:t>程中形成一种自觉性文化</w:t>
      </w:r>
      <w:r>
        <w:rPr>
          <w:rFonts w:ascii="微软雅黑" w:hAnsi="微软雅黑" w:eastAsia="微软雅黑" w:cs="微软雅黑"/>
          <w:spacing w:val="9"/>
          <w:position w:val="1"/>
          <w:sz w:val="20"/>
          <w:szCs w:val="20"/>
        </w:rPr>
        <w:t>。</w:t>
      </w:r>
    </w:p>
    <w:p>
      <w:pPr>
        <w:spacing w:before="80" w:line="214" w:lineRule="auto"/>
        <w:ind w:left="1390"/>
        <w:rPr>
          <w:rFonts w:ascii="黑体" w:hAnsi="黑体" w:eastAsia="黑体" w:cs="黑体"/>
          <w:sz w:val="20"/>
          <w:szCs w:val="20"/>
        </w:rPr>
      </w:pPr>
      <w:r>
        <w:rPr>
          <w:rFonts w:ascii="黑体" w:hAnsi="黑体" w:eastAsia="黑体" w:cs="黑体"/>
          <w:spacing w:val="2"/>
          <w:sz w:val="20"/>
          <w:szCs w:val="20"/>
        </w:rPr>
        <w:t>(</w:t>
      </w:r>
      <w:r>
        <w:rPr>
          <w:rFonts w:ascii="黑体" w:hAnsi="黑体" w:eastAsia="黑体" w:cs="黑体"/>
          <w:spacing w:val="-52"/>
          <w:sz w:val="20"/>
          <w:szCs w:val="20"/>
        </w:rPr>
        <w:t xml:space="preserve"> </w:t>
      </w:r>
      <w:r>
        <w:rPr>
          <w:rFonts w:ascii="黑体" w:hAnsi="黑体" w:eastAsia="黑体" w:cs="黑体"/>
          <w:spacing w:val="2"/>
          <w:sz w:val="20"/>
          <w:szCs w:val="20"/>
        </w:rPr>
        <w:t>三)</w:t>
      </w:r>
      <w:r>
        <w:rPr>
          <w:rFonts w:ascii="黑体" w:hAnsi="黑体" w:eastAsia="黑体" w:cs="黑体"/>
          <w:spacing w:val="-29"/>
          <w:sz w:val="20"/>
          <w:szCs w:val="20"/>
        </w:rPr>
        <w:t xml:space="preserve"> </w:t>
      </w:r>
      <w:r>
        <w:rPr>
          <w:rFonts w:ascii="黑体" w:hAnsi="黑体" w:eastAsia="黑体" w:cs="黑体"/>
          <w:spacing w:val="2"/>
          <w:sz w:val="20"/>
          <w:szCs w:val="20"/>
        </w:rPr>
        <w:t>高校教学质量文化是一种发展性文化</w:t>
      </w:r>
    </w:p>
    <w:p>
      <w:pPr>
        <w:spacing w:before="110" w:line="265" w:lineRule="auto"/>
        <w:ind w:left="931" w:right="257" w:firstLine="358"/>
        <w:rPr>
          <w:rFonts w:ascii="微软雅黑" w:hAnsi="微软雅黑" w:eastAsia="微软雅黑" w:cs="微软雅黑"/>
          <w:sz w:val="20"/>
          <w:szCs w:val="20"/>
        </w:rPr>
      </w:pPr>
      <w:r>
        <w:rPr>
          <w:rFonts w:ascii="微软雅黑" w:hAnsi="微软雅黑" w:eastAsia="微软雅黑" w:cs="微软雅黑"/>
          <w:spacing w:val="11"/>
          <w:sz w:val="20"/>
          <w:szCs w:val="20"/>
        </w:rPr>
        <w:t>“</w:t>
      </w:r>
      <w:r>
        <w:rPr>
          <w:rFonts w:ascii="宋体" w:hAnsi="宋体" w:eastAsia="宋体" w:cs="宋体"/>
          <w:spacing w:val="11"/>
          <w:sz w:val="20"/>
          <w:szCs w:val="20"/>
        </w:rPr>
        <w:t xml:space="preserve">世界上没有天生的好老师，只要在教学上 </w:t>
      </w:r>
      <w:r>
        <w:rPr>
          <w:rFonts w:ascii="宋体" w:hAnsi="宋体" w:eastAsia="宋体" w:cs="宋体"/>
          <w:spacing w:val="-1"/>
          <w:sz w:val="20"/>
          <w:szCs w:val="20"/>
        </w:rPr>
        <w:t>投入</w:t>
      </w:r>
      <w:r>
        <w:rPr>
          <w:rFonts w:ascii="宋体" w:hAnsi="宋体" w:eastAsia="宋体" w:cs="宋体"/>
          <w:spacing w:val="-1"/>
          <w:position w:val="1"/>
          <w:sz w:val="20"/>
          <w:szCs w:val="20"/>
        </w:rPr>
        <w:t>，</w:t>
      </w:r>
      <w:r>
        <w:rPr>
          <w:rFonts w:ascii="宋体" w:hAnsi="宋体" w:eastAsia="宋体" w:cs="宋体"/>
          <w:spacing w:val="-1"/>
          <w:sz w:val="20"/>
          <w:szCs w:val="20"/>
        </w:rPr>
        <w:t>发现教学问题</w:t>
      </w:r>
      <w:r>
        <w:rPr>
          <w:rFonts w:ascii="宋体" w:hAnsi="宋体" w:eastAsia="宋体" w:cs="宋体"/>
          <w:spacing w:val="-1"/>
          <w:position w:val="1"/>
          <w:sz w:val="20"/>
          <w:szCs w:val="20"/>
        </w:rPr>
        <w:t>，</w:t>
      </w:r>
      <w:r>
        <w:rPr>
          <w:rFonts w:ascii="宋体" w:hAnsi="宋体" w:eastAsia="宋体" w:cs="宋体"/>
          <w:spacing w:val="-1"/>
          <w:sz w:val="20"/>
          <w:szCs w:val="20"/>
        </w:rPr>
        <w:t>开展教学研究</w:t>
      </w:r>
      <w:r>
        <w:rPr>
          <w:rFonts w:ascii="宋体" w:hAnsi="宋体" w:eastAsia="宋体" w:cs="宋体"/>
          <w:spacing w:val="-1"/>
          <w:position w:val="1"/>
          <w:sz w:val="20"/>
          <w:szCs w:val="20"/>
        </w:rPr>
        <w:t>，</w:t>
      </w:r>
      <w:r>
        <w:rPr>
          <w:rFonts w:ascii="宋体" w:hAnsi="宋体" w:eastAsia="宋体" w:cs="宋体"/>
          <w:spacing w:val="-1"/>
          <w:sz w:val="20"/>
          <w:szCs w:val="20"/>
        </w:rPr>
        <w:t xml:space="preserve">就能取得教 </w:t>
      </w:r>
      <w:r>
        <w:rPr>
          <w:rFonts w:ascii="宋体" w:hAnsi="宋体" w:eastAsia="宋体" w:cs="宋体"/>
          <w:spacing w:val="8"/>
          <w:sz w:val="20"/>
          <w:szCs w:val="20"/>
        </w:rPr>
        <w:t>学学术成果</w:t>
      </w:r>
      <w:r>
        <w:rPr>
          <w:rFonts w:ascii="宋体" w:hAnsi="宋体" w:eastAsia="宋体" w:cs="宋体"/>
          <w:spacing w:val="8"/>
          <w:position w:val="1"/>
          <w:sz w:val="20"/>
          <w:szCs w:val="20"/>
        </w:rPr>
        <w:t>，</w:t>
      </w:r>
      <w:r>
        <w:rPr>
          <w:rFonts w:ascii="宋体" w:hAnsi="宋体" w:eastAsia="宋体" w:cs="宋体"/>
          <w:spacing w:val="8"/>
          <w:sz w:val="20"/>
          <w:szCs w:val="20"/>
        </w:rPr>
        <w:t xml:space="preserve">这是教师教学专业水平持续发展的 </w:t>
      </w:r>
      <w:r>
        <w:rPr>
          <w:rFonts w:ascii="宋体" w:hAnsi="宋体" w:eastAsia="宋体" w:cs="宋体"/>
          <w:spacing w:val="16"/>
          <w:sz w:val="20"/>
          <w:szCs w:val="20"/>
        </w:rPr>
        <w:t>保证</w:t>
      </w:r>
      <w:r>
        <w:rPr>
          <w:rFonts w:ascii="宋体" w:hAnsi="宋体" w:eastAsia="宋体" w:cs="宋体"/>
          <w:spacing w:val="16"/>
          <w:position w:val="1"/>
          <w:sz w:val="20"/>
          <w:szCs w:val="20"/>
        </w:rPr>
        <w:t>，</w:t>
      </w:r>
      <w:r>
        <w:rPr>
          <w:rFonts w:ascii="宋体" w:hAnsi="宋体" w:eastAsia="宋体" w:cs="宋体"/>
          <w:spacing w:val="16"/>
          <w:sz w:val="20"/>
          <w:szCs w:val="20"/>
        </w:rPr>
        <w:t>可以说这个过程也是教师教学发展</w:t>
      </w:r>
      <w:r>
        <w:rPr>
          <w:rFonts w:ascii="宋体" w:hAnsi="宋体" w:eastAsia="宋体" w:cs="宋体"/>
          <w:spacing w:val="-46"/>
          <w:sz w:val="20"/>
          <w:szCs w:val="20"/>
        </w:rPr>
        <w:t xml:space="preserve"> </w:t>
      </w:r>
      <w:r>
        <w:rPr>
          <w:rFonts w:ascii="宋体" w:hAnsi="宋体" w:eastAsia="宋体" w:cs="宋体"/>
          <w:spacing w:val="16"/>
          <w:sz w:val="20"/>
          <w:szCs w:val="20"/>
        </w:rPr>
        <w:t xml:space="preserve">的过 </w:t>
      </w:r>
      <w:r>
        <w:rPr>
          <w:rFonts w:ascii="宋体" w:hAnsi="宋体" w:eastAsia="宋体" w:cs="宋体"/>
          <w:spacing w:val="1"/>
          <w:sz w:val="20"/>
          <w:szCs w:val="20"/>
        </w:rPr>
        <w:t>程</w:t>
      </w:r>
      <w:r>
        <w:rPr>
          <w:rFonts w:ascii="微软雅黑" w:hAnsi="微软雅黑" w:eastAsia="微软雅黑" w:cs="微软雅黑"/>
          <w:spacing w:val="1"/>
          <w:sz w:val="20"/>
          <w:szCs w:val="20"/>
        </w:rPr>
        <w:t>。”</w:t>
      </w:r>
      <w:r>
        <w:rPr>
          <w:rFonts w:ascii="宋体" w:hAnsi="宋体" w:eastAsia="宋体" w:cs="宋体"/>
          <w:spacing w:val="1"/>
          <w:position w:val="9"/>
          <w:sz w:val="11"/>
          <w:szCs w:val="11"/>
        </w:rPr>
        <w:t>［</w:t>
      </w:r>
      <w:r>
        <w:rPr>
          <w:rFonts w:ascii="微软雅黑" w:hAnsi="微软雅黑" w:eastAsia="微软雅黑" w:cs="微软雅黑"/>
          <w:spacing w:val="1"/>
          <w:position w:val="9"/>
          <w:sz w:val="11"/>
          <w:szCs w:val="11"/>
        </w:rPr>
        <w:t>10</w:t>
      </w:r>
      <w:r>
        <w:rPr>
          <w:rFonts w:ascii="宋体" w:hAnsi="宋体" w:eastAsia="宋体" w:cs="宋体"/>
          <w:spacing w:val="1"/>
          <w:position w:val="9"/>
          <w:sz w:val="11"/>
          <w:szCs w:val="11"/>
        </w:rPr>
        <w:t>］</w:t>
      </w:r>
      <w:r>
        <w:rPr>
          <w:rFonts w:ascii="宋体" w:hAnsi="宋体" w:eastAsia="宋体" w:cs="宋体"/>
          <w:spacing w:val="1"/>
          <w:sz w:val="20"/>
          <w:szCs w:val="20"/>
        </w:rPr>
        <w:t xml:space="preserve">教学学术从根本上改变了传统高校教学 </w:t>
      </w:r>
      <w:r>
        <w:rPr>
          <w:rFonts w:ascii="宋体" w:hAnsi="宋体" w:eastAsia="宋体" w:cs="宋体"/>
          <w:spacing w:val="-9"/>
          <w:sz w:val="20"/>
          <w:szCs w:val="20"/>
        </w:rPr>
        <w:t>封闭</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单向</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控制的状态</w:t>
      </w:r>
      <w:r>
        <w:rPr>
          <w:rFonts w:ascii="宋体" w:hAnsi="宋体" w:eastAsia="宋体" w:cs="宋体"/>
          <w:spacing w:val="-9"/>
          <w:position w:val="1"/>
          <w:sz w:val="20"/>
          <w:szCs w:val="20"/>
        </w:rPr>
        <w:t>，</w:t>
      </w:r>
      <w:r>
        <w:rPr>
          <w:rFonts w:ascii="宋体" w:hAnsi="宋体" w:eastAsia="宋体" w:cs="宋体"/>
          <w:spacing w:val="-9"/>
          <w:sz w:val="20"/>
          <w:szCs w:val="20"/>
        </w:rPr>
        <w:t>使教学处于一种民主</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平 等</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开放的生成状态</w:t>
      </w:r>
      <w:r>
        <w:rPr>
          <w:rFonts w:ascii="宋体" w:hAnsi="宋体" w:eastAsia="宋体" w:cs="宋体"/>
          <w:spacing w:val="-9"/>
          <w:position w:val="1"/>
          <w:sz w:val="20"/>
          <w:szCs w:val="20"/>
        </w:rPr>
        <w:t>，</w:t>
      </w:r>
      <w:r>
        <w:rPr>
          <w:rFonts w:ascii="宋体" w:hAnsi="宋体" w:eastAsia="宋体" w:cs="宋体"/>
          <w:spacing w:val="-9"/>
          <w:sz w:val="20"/>
          <w:szCs w:val="20"/>
        </w:rPr>
        <w:t>利于激发教师</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学生</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 xml:space="preserve">管理者 </w:t>
      </w:r>
      <w:r>
        <w:rPr>
          <w:rFonts w:ascii="宋体" w:hAnsi="宋体" w:eastAsia="宋体" w:cs="宋体"/>
          <w:spacing w:val="-1"/>
          <w:sz w:val="20"/>
          <w:szCs w:val="20"/>
        </w:rPr>
        <w:t>的内在活力与激情</w:t>
      </w:r>
      <w:r>
        <w:rPr>
          <w:rFonts w:ascii="宋体" w:hAnsi="宋体" w:eastAsia="宋体" w:cs="宋体"/>
          <w:spacing w:val="-1"/>
          <w:position w:val="1"/>
          <w:sz w:val="20"/>
          <w:szCs w:val="20"/>
        </w:rPr>
        <w:t>，</w:t>
      </w:r>
      <w:r>
        <w:rPr>
          <w:rFonts w:ascii="宋体" w:hAnsi="宋体" w:eastAsia="宋体" w:cs="宋体"/>
          <w:spacing w:val="-1"/>
          <w:sz w:val="20"/>
          <w:szCs w:val="20"/>
        </w:rPr>
        <w:t>将极大释放各自的潜能</w:t>
      </w:r>
      <w:r>
        <w:rPr>
          <w:rFonts w:ascii="宋体" w:hAnsi="宋体" w:eastAsia="宋体" w:cs="宋体"/>
          <w:spacing w:val="-1"/>
          <w:position w:val="1"/>
          <w:sz w:val="20"/>
          <w:szCs w:val="20"/>
        </w:rPr>
        <w:t>，</w:t>
      </w:r>
      <w:r>
        <w:rPr>
          <w:rFonts w:ascii="宋体" w:hAnsi="宋体" w:eastAsia="宋体" w:cs="宋体"/>
          <w:spacing w:val="-1"/>
          <w:sz w:val="20"/>
          <w:szCs w:val="20"/>
        </w:rPr>
        <w:t xml:space="preserve">使教 </w:t>
      </w:r>
      <w:r>
        <w:rPr>
          <w:rFonts w:ascii="宋体" w:hAnsi="宋体" w:eastAsia="宋体" w:cs="宋体"/>
          <w:spacing w:val="8"/>
          <w:sz w:val="20"/>
          <w:szCs w:val="20"/>
        </w:rPr>
        <w:t xml:space="preserve">学实践者在教学活动中处于一种开放的多元互动 </w:t>
      </w:r>
      <w:r>
        <w:rPr>
          <w:rFonts w:ascii="宋体" w:hAnsi="宋体" w:eastAsia="宋体" w:cs="宋体"/>
          <w:spacing w:val="7"/>
          <w:sz w:val="20"/>
          <w:szCs w:val="20"/>
        </w:rPr>
        <w:t>的关系</w:t>
      </w:r>
      <w:r>
        <w:rPr>
          <w:rFonts w:ascii="宋体" w:hAnsi="宋体" w:eastAsia="宋体" w:cs="宋体"/>
          <w:spacing w:val="7"/>
          <w:position w:val="1"/>
          <w:sz w:val="20"/>
          <w:szCs w:val="20"/>
        </w:rPr>
        <w:t>，</w:t>
      </w:r>
      <w:r>
        <w:rPr>
          <w:rFonts w:ascii="宋体" w:hAnsi="宋体" w:eastAsia="宋体" w:cs="宋体"/>
          <w:spacing w:val="7"/>
          <w:sz w:val="20"/>
          <w:szCs w:val="20"/>
        </w:rPr>
        <w:t>在交互作用与生成中实现各</w:t>
      </w:r>
      <w:r>
        <w:rPr>
          <w:rFonts w:ascii="宋体" w:hAnsi="宋体" w:eastAsia="宋体" w:cs="宋体"/>
          <w:spacing w:val="-22"/>
          <w:sz w:val="20"/>
          <w:szCs w:val="20"/>
        </w:rPr>
        <w:t xml:space="preserve"> </w:t>
      </w:r>
      <w:r>
        <w:rPr>
          <w:rFonts w:ascii="宋体" w:hAnsi="宋体" w:eastAsia="宋体" w:cs="宋体"/>
          <w:spacing w:val="7"/>
          <w:sz w:val="20"/>
          <w:szCs w:val="20"/>
        </w:rPr>
        <w:t>自</w:t>
      </w:r>
      <w:r>
        <w:rPr>
          <w:rFonts w:ascii="宋体" w:hAnsi="宋体" w:eastAsia="宋体" w:cs="宋体"/>
          <w:spacing w:val="-55"/>
          <w:sz w:val="20"/>
          <w:szCs w:val="20"/>
        </w:rPr>
        <w:t xml:space="preserve"> </w:t>
      </w:r>
      <w:r>
        <w:rPr>
          <w:rFonts w:ascii="宋体" w:hAnsi="宋体" w:eastAsia="宋体" w:cs="宋体"/>
          <w:spacing w:val="7"/>
          <w:sz w:val="20"/>
          <w:szCs w:val="20"/>
        </w:rPr>
        <w:t>的发展</w:t>
      </w:r>
      <w:r>
        <w:rPr>
          <w:rFonts w:ascii="微软雅黑" w:hAnsi="微软雅黑" w:eastAsia="微软雅黑" w:cs="微软雅黑"/>
          <w:spacing w:val="7"/>
          <w:position w:val="1"/>
          <w:sz w:val="20"/>
          <w:szCs w:val="20"/>
        </w:rPr>
        <w:t>。</w:t>
      </w:r>
      <w:r>
        <w:rPr>
          <w:rFonts w:ascii="微软雅黑" w:hAnsi="微软雅黑" w:eastAsia="微软雅黑" w:cs="微软雅黑"/>
          <w:position w:val="1"/>
          <w:sz w:val="20"/>
          <w:szCs w:val="20"/>
        </w:rPr>
        <w:t xml:space="preserve"> </w:t>
      </w:r>
      <w:r>
        <w:rPr>
          <w:rFonts w:ascii="宋体" w:hAnsi="宋体" w:eastAsia="宋体" w:cs="宋体"/>
          <w:spacing w:val="8"/>
          <w:sz w:val="20"/>
          <w:szCs w:val="20"/>
        </w:rPr>
        <w:t>因而</w:t>
      </w:r>
      <w:r>
        <w:rPr>
          <w:rFonts w:ascii="宋体" w:hAnsi="宋体" w:eastAsia="宋体" w:cs="宋体"/>
          <w:spacing w:val="8"/>
          <w:position w:val="1"/>
          <w:sz w:val="20"/>
          <w:szCs w:val="20"/>
        </w:rPr>
        <w:t>，</w:t>
      </w:r>
      <w:r>
        <w:rPr>
          <w:rFonts w:ascii="宋体" w:hAnsi="宋体" w:eastAsia="宋体" w:cs="宋体"/>
          <w:spacing w:val="8"/>
          <w:sz w:val="20"/>
          <w:szCs w:val="20"/>
        </w:rPr>
        <w:t xml:space="preserve">教学活动不再是一个单一的知识传播的过 </w:t>
      </w:r>
      <w:r>
        <w:rPr>
          <w:rFonts w:ascii="宋体" w:hAnsi="宋体" w:eastAsia="宋体" w:cs="宋体"/>
          <w:spacing w:val="-1"/>
          <w:sz w:val="20"/>
          <w:szCs w:val="20"/>
        </w:rPr>
        <w:t>程</w:t>
      </w:r>
      <w:r>
        <w:rPr>
          <w:rFonts w:ascii="宋体" w:hAnsi="宋体" w:eastAsia="宋体" w:cs="宋体"/>
          <w:spacing w:val="-1"/>
          <w:position w:val="1"/>
          <w:sz w:val="20"/>
          <w:szCs w:val="20"/>
        </w:rPr>
        <w:t>，</w:t>
      </w:r>
      <w:r>
        <w:rPr>
          <w:rFonts w:ascii="宋体" w:hAnsi="宋体" w:eastAsia="宋体" w:cs="宋体"/>
          <w:spacing w:val="-1"/>
          <w:sz w:val="20"/>
          <w:szCs w:val="20"/>
        </w:rPr>
        <w:t>而是一个知识拓展与丰富的过程</w:t>
      </w:r>
      <w:r>
        <w:rPr>
          <w:rFonts w:ascii="宋体" w:hAnsi="宋体" w:eastAsia="宋体" w:cs="宋体"/>
          <w:spacing w:val="-45"/>
          <w:sz w:val="20"/>
          <w:szCs w:val="20"/>
        </w:rPr>
        <w:t xml:space="preserve"> </w:t>
      </w:r>
      <w:r>
        <w:rPr>
          <w:rFonts w:ascii="宋体" w:hAnsi="宋体" w:eastAsia="宋体" w:cs="宋体"/>
          <w:spacing w:val="-1"/>
          <w:position w:val="1"/>
          <w:sz w:val="20"/>
          <w:szCs w:val="20"/>
        </w:rPr>
        <w:t>;</w:t>
      </w:r>
      <w:r>
        <w:rPr>
          <w:rFonts w:ascii="宋体" w:hAnsi="宋体" w:eastAsia="宋体" w:cs="宋体"/>
          <w:spacing w:val="-42"/>
          <w:position w:val="1"/>
          <w:sz w:val="20"/>
          <w:szCs w:val="20"/>
        </w:rPr>
        <w:t xml:space="preserve"> </w:t>
      </w:r>
      <w:r>
        <w:rPr>
          <w:rFonts w:ascii="宋体" w:hAnsi="宋体" w:eastAsia="宋体" w:cs="宋体"/>
          <w:spacing w:val="-1"/>
          <w:sz w:val="20"/>
          <w:szCs w:val="20"/>
        </w:rPr>
        <w:t xml:space="preserve">它不仅培养 </w:t>
      </w:r>
      <w:r>
        <w:rPr>
          <w:rFonts w:ascii="宋体" w:hAnsi="宋体" w:eastAsia="宋体" w:cs="宋体"/>
          <w:spacing w:val="8"/>
          <w:sz w:val="20"/>
          <w:szCs w:val="20"/>
        </w:rPr>
        <w:t>学生</w:t>
      </w:r>
      <w:r>
        <w:rPr>
          <w:rFonts w:ascii="宋体" w:hAnsi="宋体" w:eastAsia="宋体" w:cs="宋体"/>
          <w:spacing w:val="8"/>
          <w:position w:val="1"/>
          <w:sz w:val="20"/>
          <w:szCs w:val="20"/>
        </w:rPr>
        <w:t>，</w:t>
      </w:r>
      <w:r>
        <w:rPr>
          <w:rFonts w:ascii="宋体" w:hAnsi="宋体" w:eastAsia="宋体" w:cs="宋体"/>
          <w:spacing w:val="8"/>
          <w:sz w:val="20"/>
          <w:szCs w:val="20"/>
        </w:rPr>
        <w:t>还利于实现高校教师教学专业发展与提升 高校管理者的管理能力与水平</w:t>
      </w:r>
      <w:r>
        <w:rPr>
          <w:rFonts w:ascii="宋体" w:hAnsi="宋体" w:eastAsia="宋体" w:cs="宋体"/>
          <w:spacing w:val="8"/>
          <w:position w:val="1"/>
          <w:sz w:val="20"/>
          <w:szCs w:val="20"/>
        </w:rPr>
        <w:t>，</w:t>
      </w:r>
      <w:r>
        <w:rPr>
          <w:rFonts w:ascii="宋体" w:hAnsi="宋体" w:eastAsia="宋体" w:cs="宋体"/>
          <w:spacing w:val="8"/>
          <w:sz w:val="20"/>
          <w:szCs w:val="20"/>
        </w:rPr>
        <w:t>促使每一位高校 教师都能成为教学专家</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每一位高校管理者都能 </w:t>
      </w:r>
      <w:r>
        <w:rPr>
          <w:rFonts w:ascii="宋体" w:hAnsi="宋体" w:eastAsia="宋体" w:cs="宋体"/>
          <w:spacing w:val="9"/>
          <w:sz w:val="20"/>
          <w:szCs w:val="20"/>
        </w:rPr>
        <w:t>成为管理专家</w:t>
      </w:r>
      <w:r>
        <w:rPr>
          <w:rFonts w:ascii="微软雅黑" w:hAnsi="微软雅黑" w:eastAsia="微软雅黑" w:cs="微软雅黑"/>
          <w:spacing w:val="9"/>
          <w:position w:val="1"/>
          <w:sz w:val="20"/>
          <w:szCs w:val="20"/>
        </w:rPr>
        <w:t>。</w:t>
      </w:r>
    </w:p>
    <w:p>
      <w:pPr>
        <w:spacing w:before="79" w:line="214" w:lineRule="auto"/>
        <w:ind w:left="1390"/>
        <w:rPr>
          <w:rFonts w:ascii="黑体" w:hAnsi="黑体" w:eastAsia="黑体" w:cs="黑体"/>
          <w:sz w:val="20"/>
          <w:szCs w:val="20"/>
        </w:rPr>
      </w:pPr>
      <w:r>
        <w:rPr>
          <w:rFonts w:ascii="黑体" w:hAnsi="黑体" w:eastAsia="黑体" w:cs="黑体"/>
          <w:spacing w:val="2"/>
          <w:sz w:val="20"/>
          <w:szCs w:val="20"/>
        </w:rPr>
        <w:t>(</w:t>
      </w:r>
      <w:r>
        <w:rPr>
          <w:rFonts w:ascii="黑体" w:hAnsi="黑体" w:eastAsia="黑体" w:cs="黑体"/>
          <w:spacing w:val="-52"/>
          <w:sz w:val="20"/>
          <w:szCs w:val="20"/>
        </w:rPr>
        <w:t xml:space="preserve"> </w:t>
      </w:r>
      <w:r>
        <w:rPr>
          <w:rFonts w:ascii="黑体" w:hAnsi="黑体" w:eastAsia="黑体" w:cs="黑体"/>
          <w:spacing w:val="2"/>
          <w:sz w:val="20"/>
          <w:szCs w:val="20"/>
        </w:rPr>
        <w:t>四)</w:t>
      </w:r>
      <w:r>
        <w:rPr>
          <w:rFonts w:ascii="黑体" w:hAnsi="黑体" w:eastAsia="黑体" w:cs="黑体"/>
          <w:spacing w:val="-29"/>
          <w:sz w:val="20"/>
          <w:szCs w:val="20"/>
        </w:rPr>
        <w:t xml:space="preserve"> </w:t>
      </w:r>
      <w:r>
        <w:rPr>
          <w:rFonts w:ascii="黑体" w:hAnsi="黑体" w:eastAsia="黑体" w:cs="黑体"/>
          <w:spacing w:val="2"/>
          <w:sz w:val="20"/>
          <w:szCs w:val="20"/>
        </w:rPr>
        <w:t>高校教学质量文化是一种本源性文化</w:t>
      </w:r>
    </w:p>
    <w:p>
      <w:pPr>
        <w:spacing w:before="110" w:line="185" w:lineRule="auto"/>
        <w:ind w:left="1353"/>
        <w:rPr>
          <w:rFonts w:ascii="宋体" w:hAnsi="宋体" w:eastAsia="宋体" w:cs="宋体"/>
          <w:sz w:val="20"/>
          <w:szCs w:val="20"/>
        </w:rPr>
      </w:pPr>
      <w:r>
        <w:rPr>
          <w:rFonts w:ascii="宋体" w:hAnsi="宋体" w:eastAsia="宋体" w:cs="宋体"/>
          <w:spacing w:val="9"/>
          <w:sz w:val="20"/>
          <w:szCs w:val="20"/>
        </w:rPr>
        <w:t>教学学术</w:t>
      </w:r>
      <w:r>
        <w:rPr>
          <w:rFonts w:ascii="微软雅黑" w:hAnsi="微软雅黑" w:eastAsia="微软雅黑" w:cs="微软雅黑"/>
          <w:spacing w:val="9"/>
          <w:sz w:val="20"/>
          <w:szCs w:val="20"/>
        </w:rPr>
        <w:t>“</w:t>
      </w:r>
      <w:r>
        <w:rPr>
          <w:rFonts w:ascii="宋体" w:hAnsi="宋体" w:eastAsia="宋体" w:cs="宋体"/>
          <w:spacing w:val="9"/>
          <w:sz w:val="20"/>
          <w:szCs w:val="20"/>
        </w:rPr>
        <w:t>作为一种改进与提高教师教学质</w:t>
      </w:r>
    </w:p>
    <w:p>
      <w:pPr>
        <w:spacing w:line="14" w:lineRule="auto"/>
        <w:rPr>
          <w:rFonts w:ascii="Arial"/>
          <w:sz w:val="2"/>
        </w:rPr>
      </w:pPr>
      <w:r>
        <w:rPr>
          <w:rFonts w:ascii="Arial" w:hAnsi="Arial" w:eastAsia="Arial" w:cs="Arial"/>
          <w:sz w:val="2"/>
          <w:szCs w:val="2"/>
        </w:rPr>
        <w:br w:type="column"/>
      </w:r>
    </w:p>
    <w:p>
      <w:pPr>
        <w:spacing w:before="33" w:line="260" w:lineRule="auto"/>
        <w:jc w:val="both"/>
        <w:rPr>
          <w:rFonts w:ascii="微软雅黑" w:hAnsi="微软雅黑" w:eastAsia="微软雅黑" w:cs="微软雅黑"/>
          <w:sz w:val="20"/>
          <w:szCs w:val="20"/>
        </w:rPr>
      </w:pPr>
      <w:r>
        <w:rPr>
          <w:rFonts w:ascii="宋体" w:hAnsi="宋体" w:eastAsia="宋体" w:cs="宋体"/>
          <w:spacing w:val="9"/>
          <w:sz w:val="20"/>
          <w:szCs w:val="20"/>
        </w:rPr>
        <w:t>量与水平的学术</w:t>
      </w:r>
      <w:r>
        <w:rPr>
          <w:rFonts w:ascii="宋体" w:hAnsi="宋体" w:eastAsia="宋体" w:cs="宋体"/>
          <w:spacing w:val="9"/>
          <w:position w:val="1"/>
          <w:sz w:val="20"/>
          <w:szCs w:val="20"/>
        </w:rPr>
        <w:t>，</w:t>
      </w:r>
      <w:r>
        <w:rPr>
          <w:rFonts w:ascii="宋体" w:hAnsi="宋体" w:eastAsia="宋体" w:cs="宋体"/>
          <w:spacing w:val="9"/>
          <w:sz w:val="20"/>
          <w:szCs w:val="20"/>
        </w:rPr>
        <w:t>它把审视教学实践中的问题为</w:t>
      </w:r>
      <w:r>
        <w:rPr>
          <w:rFonts w:ascii="宋体" w:hAnsi="宋体" w:eastAsia="宋体" w:cs="宋体"/>
          <w:spacing w:val="4"/>
          <w:sz w:val="20"/>
          <w:szCs w:val="20"/>
        </w:rPr>
        <w:t xml:space="preserve">  </w:t>
      </w:r>
      <w:r>
        <w:rPr>
          <w:rFonts w:ascii="宋体" w:hAnsi="宋体" w:eastAsia="宋体" w:cs="宋体"/>
          <w:sz w:val="20"/>
          <w:szCs w:val="20"/>
        </w:rPr>
        <w:t>己任</w:t>
      </w:r>
      <w:r>
        <w:rPr>
          <w:rFonts w:ascii="宋体" w:hAnsi="宋体" w:eastAsia="宋体" w:cs="宋体"/>
          <w:position w:val="1"/>
          <w:sz w:val="20"/>
          <w:szCs w:val="20"/>
        </w:rPr>
        <w:t>，</w:t>
      </w:r>
      <w:r>
        <w:rPr>
          <w:rFonts w:ascii="宋体" w:hAnsi="宋体" w:eastAsia="宋体" w:cs="宋体"/>
          <w:sz w:val="20"/>
          <w:szCs w:val="20"/>
        </w:rPr>
        <w:t>凸显了教学的中心地位</w:t>
      </w:r>
      <w:r>
        <w:rPr>
          <w:rFonts w:ascii="宋体" w:hAnsi="宋体" w:eastAsia="宋体" w:cs="宋体"/>
          <w:position w:val="1"/>
          <w:sz w:val="20"/>
          <w:szCs w:val="20"/>
        </w:rPr>
        <w:t>，</w:t>
      </w:r>
      <w:r>
        <w:rPr>
          <w:rFonts w:ascii="宋体" w:hAnsi="宋体" w:eastAsia="宋体" w:cs="宋体"/>
          <w:sz w:val="20"/>
          <w:szCs w:val="20"/>
        </w:rPr>
        <w:t>也为教师教</w:t>
      </w:r>
      <w:r>
        <w:rPr>
          <w:rFonts w:ascii="宋体" w:hAnsi="宋体" w:eastAsia="宋体" w:cs="宋体"/>
          <w:spacing w:val="-1"/>
          <w:sz w:val="20"/>
          <w:szCs w:val="20"/>
        </w:rPr>
        <w:t>学专业</w:t>
      </w:r>
      <w:r>
        <w:rPr>
          <w:rFonts w:ascii="宋体" w:hAnsi="宋体" w:eastAsia="宋体" w:cs="宋体"/>
          <w:sz w:val="20"/>
          <w:szCs w:val="20"/>
        </w:rPr>
        <w:t xml:space="preserve">  </w:t>
      </w:r>
      <w:r>
        <w:rPr>
          <w:rFonts w:ascii="宋体" w:hAnsi="宋体" w:eastAsia="宋体" w:cs="宋体"/>
          <w:spacing w:val="13"/>
          <w:sz w:val="20"/>
          <w:szCs w:val="20"/>
        </w:rPr>
        <w:t>成长提供了契机</w:t>
      </w:r>
      <w:r>
        <w:rPr>
          <w:rFonts w:ascii="微软雅黑" w:hAnsi="微软雅黑" w:eastAsia="微软雅黑" w:cs="微软雅黑"/>
          <w:spacing w:val="13"/>
          <w:sz w:val="20"/>
          <w:szCs w:val="20"/>
        </w:rPr>
        <w:t>。</w:t>
      </w:r>
      <w:r>
        <w:rPr>
          <w:rFonts w:ascii="宋体" w:hAnsi="宋体" w:eastAsia="宋体" w:cs="宋体"/>
          <w:spacing w:val="13"/>
          <w:sz w:val="20"/>
          <w:szCs w:val="20"/>
        </w:rPr>
        <w:t>教学学术将教学</w:t>
      </w:r>
      <w:r>
        <w:rPr>
          <w:rFonts w:ascii="微软雅黑" w:hAnsi="微软雅黑" w:eastAsia="微软雅黑" w:cs="微软雅黑"/>
          <w:spacing w:val="13"/>
          <w:sz w:val="20"/>
          <w:szCs w:val="20"/>
        </w:rPr>
        <w:t>“</w:t>
      </w:r>
      <w:r>
        <w:rPr>
          <w:rFonts w:ascii="宋体" w:hAnsi="宋体" w:eastAsia="宋体" w:cs="宋体"/>
          <w:spacing w:val="13"/>
          <w:sz w:val="20"/>
          <w:szCs w:val="20"/>
        </w:rPr>
        <w:t>被边缘化</w:t>
      </w:r>
      <w:r>
        <w:rPr>
          <w:rFonts w:ascii="微软雅黑" w:hAnsi="微软雅黑" w:eastAsia="微软雅黑" w:cs="微软雅黑"/>
          <w:spacing w:val="13"/>
          <w:sz w:val="20"/>
          <w:szCs w:val="20"/>
        </w:rPr>
        <w:t>”</w:t>
      </w:r>
      <w:r>
        <w:rPr>
          <w:rFonts w:ascii="微软雅黑" w:hAnsi="微软雅黑" w:eastAsia="微软雅黑" w:cs="微软雅黑"/>
          <w:spacing w:val="12"/>
          <w:sz w:val="20"/>
          <w:szCs w:val="20"/>
        </w:rPr>
        <w:t xml:space="preserve"> </w:t>
      </w:r>
      <w:r>
        <w:rPr>
          <w:rFonts w:ascii="宋体" w:hAnsi="宋体" w:eastAsia="宋体" w:cs="宋体"/>
          <w:spacing w:val="9"/>
          <w:sz w:val="20"/>
          <w:szCs w:val="20"/>
        </w:rPr>
        <w:t>重新提高到核心地位</w:t>
      </w:r>
      <w:r>
        <w:rPr>
          <w:rFonts w:ascii="宋体" w:hAnsi="宋体" w:eastAsia="宋体" w:cs="宋体"/>
          <w:spacing w:val="9"/>
          <w:position w:val="1"/>
          <w:sz w:val="20"/>
          <w:szCs w:val="20"/>
        </w:rPr>
        <w:t>，</w:t>
      </w:r>
      <w:r>
        <w:rPr>
          <w:rFonts w:ascii="宋体" w:hAnsi="宋体" w:eastAsia="宋体" w:cs="宋体"/>
          <w:spacing w:val="9"/>
          <w:sz w:val="20"/>
          <w:szCs w:val="20"/>
        </w:rPr>
        <w:t>是大学教学原初职能与地</w:t>
      </w:r>
      <w:r>
        <w:rPr>
          <w:rFonts w:ascii="宋体" w:hAnsi="宋体" w:eastAsia="宋体" w:cs="宋体"/>
          <w:spacing w:val="4"/>
          <w:sz w:val="20"/>
          <w:szCs w:val="20"/>
        </w:rPr>
        <w:t xml:space="preserve">  </w:t>
      </w:r>
      <w:r>
        <w:rPr>
          <w:rFonts w:ascii="宋体" w:hAnsi="宋体" w:eastAsia="宋体" w:cs="宋体"/>
          <w:spacing w:val="2"/>
          <w:sz w:val="20"/>
          <w:szCs w:val="20"/>
        </w:rPr>
        <w:t>位的复归</w:t>
      </w:r>
      <w:r>
        <w:rPr>
          <w:rFonts w:ascii="微软雅黑" w:hAnsi="微软雅黑" w:eastAsia="微软雅黑" w:cs="微软雅黑"/>
          <w:spacing w:val="2"/>
          <w:sz w:val="20"/>
          <w:szCs w:val="20"/>
        </w:rPr>
        <w:t>。”</w:t>
      </w:r>
      <w:r>
        <w:rPr>
          <w:rFonts w:ascii="宋体" w:hAnsi="宋体" w:eastAsia="宋体" w:cs="宋体"/>
          <w:spacing w:val="2"/>
          <w:position w:val="9"/>
          <w:sz w:val="11"/>
          <w:szCs w:val="11"/>
        </w:rPr>
        <w:t>［</w:t>
      </w:r>
      <w:r>
        <w:rPr>
          <w:rFonts w:ascii="微软雅黑" w:hAnsi="微软雅黑" w:eastAsia="微软雅黑" w:cs="微软雅黑"/>
          <w:spacing w:val="2"/>
          <w:position w:val="9"/>
          <w:sz w:val="11"/>
          <w:szCs w:val="11"/>
        </w:rPr>
        <w:t>11</w:t>
      </w:r>
      <w:r>
        <w:rPr>
          <w:rFonts w:ascii="宋体" w:hAnsi="宋体" w:eastAsia="宋体" w:cs="宋体"/>
          <w:spacing w:val="2"/>
          <w:position w:val="9"/>
          <w:sz w:val="11"/>
          <w:szCs w:val="11"/>
        </w:rPr>
        <w:t>］</w:t>
      </w:r>
      <w:r>
        <w:rPr>
          <w:rFonts w:ascii="宋体" w:hAnsi="宋体" w:eastAsia="宋体" w:cs="宋体"/>
          <w:spacing w:val="2"/>
          <w:sz w:val="20"/>
          <w:szCs w:val="20"/>
        </w:rPr>
        <w:t>教学学术利于引领高校教师主动</w:t>
      </w:r>
      <w:r>
        <w:rPr>
          <w:rFonts w:ascii="宋体" w:hAnsi="宋体" w:eastAsia="宋体" w:cs="宋体"/>
          <w:sz w:val="20"/>
          <w:szCs w:val="20"/>
        </w:rPr>
        <w:t xml:space="preserve">  </w:t>
      </w:r>
      <w:r>
        <w:rPr>
          <w:rFonts w:ascii="宋体" w:hAnsi="宋体" w:eastAsia="宋体" w:cs="宋体"/>
          <w:spacing w:val="9"/>
          <w:sz w:val="20"/>
          <w:szCs w:val="20"/>
        </w:rPr>
        <w:t>把改善教学与提高人才培养质量作为自身的安身</w:t>
      </w:r>
      <w:r>
        <w:rPr>
          <w:rFonts w:ascii="宋体" w:hAnsi="宋体" w:eastAsia="宋体" w:cs="宋体"/>
          <w:spacing w:val="2"/>
          <w:sz w:val="20"/>
          <w:szCs w:val="20"/>
        </w:rPr>
        <w:t xml:space="preserve">  </w:t>
      </w:r>
      <w:r>
        <w:rPr>
          <w:rFonts w:ascii="宋体" w:hAnsi="宋体" w:eastAsia="宋体" w:cs="宋体"/>
          <w:spacing w:val="9"/>
          <w:sz w:val="20"/>
          <w:szCs w:val="20"/>
        </w:rPr>
        <w:t>立命之本和根本职责</w:t>
      </w:r>
      <w:r>
        <w:rPr>
          <w:rFonts w:ascii="宋体" w:hAnsi="宋体" w:eastAsia="宋体" w:cs="宋体"/>
          <w:spacing w:val="9"/>
          <w:position w:val="1"/>
          <w:sz w:val="20"/>
          <w:szCs w:val="20"/>
        </w:rPr>
        <w:t>，</w:t>
      </w:r>
      <w:r>
        <w:rPr>
          <w:rFonts w:ascii="宋体" w:hAnsi="宋体" w:eastAsia="宋体" w:cs="宋体"/>
          <w:spacing w:val="9"/>
          <w:sz w:val="20"/>
          <w:szCs w:val="20"/>
        </w:rPr>
        <w:t>把教学作为自己的第一要</w:t>
      </w:r>
      <w:r>
        <w:rPr>
          <w:rFonts w:ascii="宋体" w:hAnsi="宋体" w:eastAsia="宋体" w:cs="宋体"/>
          <w:spacing w:val="4"/>
          <w:sz w:val="20"/>
          <w:szCs w:val="20"/>
        </w:rPr>
        <w:t xml:space="preserve">  </w:t>
      </w:r>
      <w:r>
        <w:rPr>
          <w:rFonts w:ascii="宋体" w:hAnsi="宋体" w:eastAsia="宋体" w:cs="宋体"/>
          <w:sz w:val="20"/>
          <w:szCs w:val="20"/>
        </w:rPr>
        <w:t>务</w:t>
      </w:r>
      <w:r>
        <w:rPr>
          <w:rFonts w:ascii="宋体" w:hAnsi="宋体" w:eastAsia="宋体" w:cs="宋体"/>
          <w:position w:val="1"/>
          <w:sz w:val="20"/>
          <w:szCs w:val="20"/>
        </w:rPr>
        <w:t>，</w:t>
      </w:r>
      <w:r>
        <w:rPr>
          <w:rFonts w:ascii="宋体" w:hAnsi="宋体" w:eastAsia="宋体" w:cs="宋体"/>
          <w:sz w:val="20"/>
          <w:szCs w:val="20"/>
        </w:rPr>
        <w:t>以提升人才培养质量为己任</w:t>
      </w:r>
      <w:r>
        <w:rPr>
          <w:rFonts w:ascii="宋体" w:hAnsi="宋体" w:eastAsia="宋体" w:cs="宋体"/>
          <w:position w:val="1"/>
          <w:sz w:val="20"/>
          <w:szCs w:val="20"/>
        </w:rPr>
        <w:t>，</w:t>
      </w:r>
      <w:r>
        <w:rPr>
          <w:rFonts w:ascii="宋体" w:hAnsi="宋体" w:eastAsia="宋体" w:cs="宋体"/>
          <w:sz w:val="20"/>
          <w:szCs w:val="20"/>
        </w:rPr>
        <w:t>把主要时间</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精</w:t>
      </w:r>
      <w:r>
        <w:rPr>
          <w:rFonts w:ascii="宋体" w:hAnsi="宋体" w:eastAsia="宋体" w:cs="宋体"/>
          <w:sz w:val="20"/>
          <w:szCs w:val="20"/>
        </w:rPr>
        <w:t xml:space="preserve">  </w:t>
      </w:r>
      <w:r>
        <w:rPr>
          <w:rFonts w:ascii="宋体" w:hAnsi="宋体" w:eastAsia="宋体" w:cs="宋体"/>
          <w:spacing w:val="9"/>
          <w:sz w:val="20"/>
          <w:szCs w:val="20"/>
        </w:rPr>
        <w:t>力用于研究教学</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改善教学与实现自身教学专业</w:t>
      </w:r>
      <w:r>
        <w:rPr>
          <w:rFonts w:ascii="宋体" w:hAnsi="宋体" w:eastAsia="宋体" w:cs="宋体"/>
          <w:spacing w:val="4"/>
          <w:sz w:val="20"/>
          <w:szCs w:val="20"/>
        </w:rPr>
        <w:t xml:space="preserve">  </w:t>
      </w:r>
      <w:r>
        <w:rPr>
          <w:rFonts w:ascii="宋体" w:hAnsi="宋体" w:eastAsia="宋体" w:cs="宋体"/>
          <w:spacing w:val="9"/>
          <w:sz w:val="20"/>
          <w:szCs w:val="20"/>
        </w:rPr>
        <w:t>发展</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提高高校教学质量不再是一种命令</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任务</w:t>
      </w:r>
      <w:r>
        <w:rPr>
          <w:rFonts w:ascii="宋体" w:hAnsi="宋体" w:eastAsia="宋体" w:cs="宋体"/>
          <w:spacing w:val="4"/>
          <w:sz w:val="20"/>
          <w:szCs w:val="20"/>
        </w:rPr>
        <w:t xml:space="preserve">  </w:t>
      </w:r>
      <w:r>
        <w:rPr>
          <w:rFonts w:ascii="宋体" w:hAnsi="宋体" w:eastAsia="宋体" w:cs="宋体"/>
          <w:spacing w:val="9"/>
          <w:sz w:val="20"/>
          <w:szCs w:val="20"/>
        </w:rPr>
        <w:t>或负担</w:t>
      </w:r>
      <w:r>
        <w:rPr>
          <w:rFonts w:ascii="宋体" w:hAnsi="宋体" w:eastAsia="宋体" w:cs="宋体"/>
          <w:spacing w:val="9"/>
          <w:position w:val="1"/>
          <w:sz w:val="20"/>
          <w:szCs w:val="20"/>
        </w:rPr>
        <w:t>，</w:t>
      </w:r>
      <w:r>
        <w:rPr>
          <w:rFonts w:ascii="宋体" w:hAnsi="宋体" w:eastAsia="宋体" w:cs="宋体"/>
          <w:spacing w:val="9"/>
          <w:sz w:val="20"/>
          <w:szCs w:val="20"/>
        </w:rPr>
        <w:t>而是作为自我完善与成长的内在诉求与</w:t>
      </w:r>
      <w:r>
        <w:rPr>
          <w:rFonts w:ascii="宋体" w:hAnsi="宋体" w:eastAsia="宋体" w:cs="宋体"/>
          <w:spacing w:val="3"/>
          <w:sz w:val="20"/>
          <w:szCs w:val="20"/>
        </w:rPr>
        <w:t xml:space="preserve">  </w:t>
      </w:r>
      <w:r>
        <w:rPr>
          <w:rFonts w:ascii="宋体" w:hAnsi="宋体" w:eastAsia="宋体" w:cs="宋体"/>
          <w:spacing w:val="4"/>
          <w:sz w:val="20"/>
          <w:szCs w:val="20"/>
        </w:rPr>
        <w:t>使命</w:t>
      </w:r>
      <w:r>
        <w:rPr>
          <w:rFonts w:ascii="宋体" w:hAnsi="宋体" w:eastAsia="宋体" w:cs="宋体"/>
          <w:spacing w:val="4"/>
          <w:position w:val="1"/>
          <w:sz w:val="20"/>
          <w:szCs w:val="20"/>
        </w:rPr>
        <w:t>，</w:t>
      </w:r>
      <w:r>
        <w:rPr>
          <w:rFonts w:ascii="宋体" w:hAnsi="宋体" w:eastAsia="宋体" w:cs="宋体"/>
          <w:spacing w:val="4"/>
          <w:sz w:val="20"/>
          <w:szCs w:val="20"/>
        </w:rPr>
        <w:t>是对高校本源性文化的坚守与理性回归</w:t>
      </w:r>
      <w:r>
        <w:rPr>
          <w:rFonts w:ascii="微软雅黑" w:hAnsi="微软雅黑" w:eastAsia="微软雅黑" w:cs="微软雅黑"/>
          <w:spacing w:val="4"/>
          <w:position w:val="1"/>
          <w:sz w:val="20"/>
          <w:szCs w:val="20"/>
        </w:rPr>
        <w:t>。</w:t>
      </w:r>
    </w:p>
    <w:p>
      <w:pPr>
        <w:spacing w:before="191" w:line="211" w:lineRule="auto"/>
        <w:ind w:left="3" w:right="89" w:firstLine="446"/>
        <w:rPr>
          <w:rFonts w:ascii="宋体" w:hAnsi="宋体" w:eastAsia="宋体" w:cs="宋体"/>
          <w:sz w:val="27"/>
          <w:szCs w:val="27"/>
        </w:rPr>
      </w:pPr>
      <w:r>
        <w:rPr>
          <w:rFonts w:ascii="宋体" w:hAnsi="宋体" w:eastAsia="宋体" w:cs="宋体"/>
          <w:color w:val="0166B3"/>
          <w:spacing w:val="12"/>
          <w:sz w:val="27"/>
          <w:szCs w:val="27"/>
        </w:rPr>
        <w:t>三</w:t>
      </w:r>
      <w:r>
        <w:rPr>
          <w:rFonts w:ascii="微软雅黑" w:hAnsi="微软雅黑" w:eastAsia="微软雅黑" w:cs="微软雅黑"/>
          <w:color w:val="0166B3"/>
          <w:spacing w:val="12"/>
          <w:position w:val="1"/>
          <w:sz w:val="27"/>
          <w:szCs w:val="27"/>
        </w:rPr>
        <w:t>、</w:t>
      </w:r>
      <w:r>
        <w:rPr>
          <w:rFonts w:ascii="宋体" w:hAnsi="宋体" w:eastAsia="宋体" w:cs="宋体"/>
          <w:color w:val="0166B3"/>
          <w:spacing w:val="12"/>
          <w:sz w:val="27"/>
          <w:szCs w:val="27"/>
        </w:rPr>
        <w:t>教学学术视角下高校教学质</w:t>
      </w:r>
      <w:r>
        <w:rPr>
          <w:rFonts w:ascii="宋体" w:hAnsi="宋体" w:eastAsia="宋体" w:cs="宋体"/>
          <w:color w:val="0166B3"/>
          <w:sz w:val="27"/>
          <w:szCs w:val="27"/>
        </w:rPr>
        <w:t xml:space="preserve"> </w:t>
      </w:r>
      <w:r>
        <w:rPr>
          <w:rFonts w:ascii="宋体" w:hAnsi="宋体" w:eastAsia="宋体" w:cs="宋体"/>
          <w:color w:val="0166B3"/>
          <w:spacing w:val="7"/>
          <w:sz w:val="27"/>
          <w:szCs w:val="27"/>
        </w:rPr>
        <w:t>量文化建设的策略</w:t>
      </w:r>
    </w:p>
    <w:p>
      <w:pPr>
        <w:spacing w:before="201" w:line="245" w:lineRule="auto"/>
        <w:ind w:right="87" w:firstLine="358"/>
        <w:rPr>
          <w:rFonts w:ascii="微软雅黑" w:hAnsi="微软雅黑" w:eastAsia="微软雅黑" w:cs="微软雅黑"/>
          <w:sz w:val="20"/>
          <w:szCs w:val="20"/>
        </w:rPr>
      </w:pPr>
      <w:r>
        <w:rPr>
          <w:rFonts w:ascii="微软雅黑" w:hAnsi="微软雅黑" w:eastAsia="微软雅黑" w:cs="微软雅黑"/>
          <w:spacing w:val="12"/>
          <w:sz w:val="20"/>
          <w:szCs w:val="20"/>
        </w:rPr>
        <w:t>“</w:t>
      </w:r>
      <w:r>
        <w:rPr>
          <w:rFonts w:ascii="宋体" w:hAnsi="宋体" w:eastAsia="宋体" w:cs="宋体"/>
          <w:spacing w:val="12"/>
          <w:sz w:val="20"/>
          <w:szCs w:val="20"/>
        </w:rPr>
        <w:t>大学教学质量文化意味着院校组织成员共</w:t>
      </w:r>
      <w:r>
        <w:rPr>
          <w:rFonts w:ascii="宋体" w:hAnsi="宋体" w:eastAsia="宋体" w:cs="宋体"/>
          <w:spacing w:val="10"/>
          <w:sz w:val="20"/>
          <w:szCs w:val="20"/>
        </w:rPr>
        <w:t xml:space="preserve"> </w:t>
      </w:r>
      <w:r>
        <w:rPr>
          <w:rFonts w:ascii="宋体" w:hAnsi="宋体" w:eastAsia="宋体" w:cs="宋体"/>
          <w:spacing w:val="-7"/>
          <w:sz w:val="20"/>
          <w:szCs w:val="20"/>
        </w:rPr>
        <w:t>享的教学价值</w:t>
      </w:r>
      <w:r>
        <w:rPr>
          <w:rFonts w:ascii="微软雅黑" w:hAnsi="微软雅黑" w:eastAsia="微软雅黑" w:cs="微软雅黑"/>
          <w:spacing w:val="-7"/>
          <w:position w:val="1"/>
          <w:sz w:val="20"/>
          <w:szCs w:val="20"/>
        </w:rPr>
        <w:t>、</w:t>
      </w:r>
      <w:r>
        <w:rPr>
          <w:rFonts w:ascii="宋体" w:hAnsi="宋体" w:eastAsia="宋体" w:cs="宋体"/>
          <w:spacing w:val="-7"/>
          <w:sz w:val="20"/>
          <w:szCs w:val="20"/>
        </w:rPr>
        <w:t>使命</w:t>
      </w:r>
      <w:r>
        <w:rPr>
          <w:rFonts w:ascii="微软雅黑" w:hAnsi="微软雅黑" w:eastAsia="微软雅黑" w:cs="微软雅黑"/>
          <w:spacing w:val="-7"/>
          <w:position w:val="1"/>
          <w:sz w:val="20"/>
          <w:szCs w:val="20"/>
        </w:rPr>
        <w:t>、</w:t>
      </w:r>
      <w:r>
        <w:rPr>
          <w:rFonts w:ascii="宋体" w:hAnsi="宋体" w:eastAsia="宋体" w:cs="宋体"/>
          <w:spacing w:val="-7"/>
          <w:sz w:val="20"/>
          <w:szCs w:val="20"/>
        </w:rPr>
        <w:t>信念</w:t>
      </w:r>
      <w:r>
        <w:rPr>
          <w:rFonts w:ascii="微软雅黑" w:hAnsi="微软雅黑" w:eastAsia="微软雅黑" w:cs="微软雅黑"/>
          <w:spacing w:val="-7"/>
          <w:position w:val="1"/>
          <w:sz w:val="20"/>
          <w:szCs w:val="20"/>
        </w:rPr>
        <w:t>、</w:t>
      </w:r>
      <w:r>
        <w:rPr>
          <w:rFonts w:ascii="宋体" w:hAnsi="宋体" w:eastAsia="宋体" w:cs="宋体"/>
          <w:spacing w:val="-7"/>
          <w:sz w:val="20"/>
          <w:szCs w:val="20"/>
        </w:rPr>
        <w:t>责任</w:t>
      </w:r>
      <w:r>
        <w:rPr>
          <w:rFonts w:ascii="微软雅黑" w:hAnsi="微软雅黑" w:eastAsia="微软雅黑" w:cs="微软雅黑"/>
          <w:spacing w:val="-7"/>
          <w:position w:val="1"/>
          <w:sz w:val="20"/>
          <w:szCs w:val="20"/>
        </w:rPr>
        <w:t>、</w:t>
      </w:r>
      <w:r>
        <w:rPr>
          <w:rFonts w:ascii="宋体" w:hAnsi="宋体" w:eastAsia="宋体" w:cs="宋体"/>
          <w:spacing w:val="-7"/>
          <w:sz w:val="20"/>
          <w:szCs w:val="20"/>
        </w:rPr>
        <w:t>期待</w:t>
      </w:r>
      <w:r>
        <w:rPr>
          <w:rFonts w:ascii="微软雅黑" w:hAnsi="微软雅黑" w:eastAsia="微软雅黑" w:cs="微软雅黑"/>
          <w:spacing w:val="-7"/>
          <w:position w:val="1"/>
          <w:sz w:val="20"/>
          <w:szCs w:val="20"/>
        </w:rPr>
        <w:t>……</w:t>
      </w:r>
      <w:r>
        <w:rPr>
          <w:rFonts w:ascii="微软雅黑" w:hAnsi="微软雅黑" w:eastAsia="微软雅黑" w:cs="微软雅黑"/>
          <w:spacing w:val="-22"/>
          <w:position w:val="1"/>
          <w:sz w:val="20"/>
          <w:szCs w:val="20"/>
        </w:rPr>
        <w:t xml:space="preserve"> </w:t>
      </w:r>
      <w:r>
        <w:rPr>
          <w:rFonts w:ascii="宋体" w:hAnsi="宋体" w:eastAsia="宋体" w:cs="宋体"/>
          <w:spacing w:val="-8"/>
          <w:sz w:val="20"/>
          <w:szCs w:val="20"/>
        </w:rPr>
        <w:t>任何高</w:t>
      </w:r>
      <w:r>
        <w:rPr>
          <w:rFonts w:ascii="宋体" w:hAnsi="宋体" w:eastAsia="宋体" w:cs="宋体"/>
          <w:sz w:val="20"/>
          <w:szCs w:val="20"/>
        </w:rPr>
        <w:t xml:space="preserve"> </w:t>
      </w:r>
      <w:r>
        <w:rPr>
          <w:rFonts w:ascii="宋体" w:hAnsi="宋体" w:eastAsia="宋体" w:cs="宋体"/>
          <w:spacing w:val="9"/>
          <w:sz w:val="20"/>
          <w:szCs w:val="20"/>
        </w:rPr>
        <w:t>等教育教学质量保障制度和标准</w:t>
      </w:r>
      <w:r>
        <w:rPr>
          <w:rFonts w:ascii="宋体" w:hAnsi="宋体" w:eastAsia="宋体" w:cs="宋体"/>
          <w:spacing w:val="9"/>
          <w:position w:val="1"/>
          <w:sz w:val="20"/>
          <w:szCs w:val="20"/>
        </w:rPr>
        <w:t>，</w:t>
      </w:r>
      <w:r>
        <w:rPr>
          <w:rFonts w:ascii="宋体" w:hAnsi="宋体" w:eastAsia="宋体" w:cs="宋体"/>
          <w:spacing w:val="9"/>
          <w:sz w:val="20"/>
          <w:szCs w:val="20"/>
        </w:rPr>
        <w:t>只有成为师生 的共同信念和自觉追求</w:t>
      </w:r>
      <w:r>
        <w:rPr>
          <w:rFonts w:ascii="宋体" w:hAnsi="宋体" w:eastAsia="宋体" w:cs="宋体"/>
          <w:spacing w:val="9"/>
          <w:position w:val="1"/>
          <w:sz w:val="20"/>
          <w:szCs w:val="20"/>
        </w:rPr>
        <w:t>，</w:t>
      </w:r>
      <w:r>
        <w:rPr>
          <w:rFonts w:ascii="宋体" w:hAnsi="宋体" w:eastAsia="宋体" w:cs="宋体"/>
          <w:spacing w:val="9"/>
          <w:sz w:val="20"/>
          <w:szCs w:val="20"/>
        </w:rPr>
        <w:t xml:space="preserve">并形成教学质量文化的 </w:t>
      </w:r>
      <w:r>
        <w:rPr>
          <w:rFonts w:ascii="宋体" w:hAnsi="宋体" w:eastAsia="宋体" w:cs="宋体"/>
          <w:spacing w:val="-6"/>
          <w:sz w:val="20"/>
          <w:szCs w:val="20"/>
        </w:rPr>
        <w:t>氛围，才能真正保障教学质量</w:t>
      </w:r>
      <w:r>
        <w:rPr>
          <w:rFonts w:ascii="微软雅黑" w:hAnsi="微软雅黑" w:eastAsia="微软雅黑" w:cs="微软雅黑"/>
          <w:spacing w:val="-6"/>
          <w:sz w:val="20"/>
          <w:szCs w:val="20"/>
        </w:rPr>
        <w:t>。”</w:t>
      </w:r>
      <w:r>
        <w:rPr>
          <w:rFonts w:ascii="宋体" w:hAnsi="宋体" w:eastAsia="宋体" w:cs="宋体"/>
          <w:spacing w:val="-6"/>
          <w:position w:val="9"/>
          <w:sz w:val="11"/>
          <w:szCs w:val="11"/>
        </w:rPr>
        <w:t>［</w:t>
      </w:r>
      <w:r>
        <w:rPr>
          <w:rFonts w:ascii="微软雅黑" w:hAnsi="微软雅黑" w:eastAsia="微软雅黑" w:cs="微软雅黑"/>
          <w:spacing w:val="-6"/>
          <w:position w:val="9"/>
          <w:sz w:val="11"/>
          <w:szCs w:val="11"/>
        </w:rPr>
        <w:t>12</w:t>
      </w:r>
      <w:r>
        <w:rPr>
          <w:rFonts w:ascii="宋体" w:hAnsi="宋体" w:eastAsia="宋体" w:cs="宋体"/>
          <w:spacing w:val="-6"/>
          <w:position w:val="9"/>
          <w:sz w:val="11"/>
          <w:szCs w:val="11"/>
        </w:rPr>
        <w:t>］</w:t>
      </w:r>
      <w:r>
        <w:rPr>
          <w:rFonts w:ascii="宋体" w:hAnsi="宋体" w:eastAsia="宋体" w:cs="宋体"/>
          <w:spacing w:val="-6"/>
          <w:sz w:val="20"/>
          <w:szCs w:val="20"/>
        </w:rPr>
        <w:t>教学学术视角</w:t>
      </w:r>
      <w:r>
        <w:rPr>
          <w:rFonts w:ascii="宋体" w:hAnsi="宋体" w:eastAsia="宋体" w:cs="宋体"/>
          <w:sz w:val="20"/>
          <w:szCs w:val="20"/>
        </w:rPr>
        <w:t xml:space="preserve"> 下</w:t>
      </w:r>
      <w:r>
        <w:rPr>
          <w:rFonts w:ascii="宋体" w:hAnsi="宋体" w:eastAsia="宋体" w:cs="宋体"/>
          <w:position w:val="1"/>
          <w:sz w:val="20"/>
          <w:szCs w:val="20"/>
        </w:rPr>
        <w:t>，</w:t>
      </w:r>
      <w:r>
        <w:rPr>
          <w:rFonts w:ascii="宋体" w:hAnsi="宋体" w:eastAsia="宋体" w:cs="宋体"/>
          <w:sz w:val="20"/>
          <w:szCs w:val="20"/>
        </w:rPr>
        <w:t>高校教学质量文化的建设应突出全员性</w:t>
      </w:r>
      <w:r>
        <w:rPr>
          <w:rFonts w:ascii="微软雅黑" w:hAnsi="微软雅黑" w:eastAsia="微软雅黑" w:cs="微软雅黑"/>
          <w:position w:val="1"/>
          <w:sz w:val="20"/>
          <w:szCs w:val="20"/>
        </w:rPr>
        <w:t>、</w:t>
      </w:r>
      <w:r>
        <w:rPr>
          <w:rFonts w:ascii="宋体" w:hAnsi="宋体" w:eastAsia="宋体" w:cs="宋体"/>
          <w:spacing w:val="-1"/>
          <w:sz w:val="20"/>
          <w:szCs w:val="20"/>
        </w:rPr>
        <w:t>自觉</w:t>
      </w:r>
      <w:r>
        <w:rPr>
          <w:rFonts w:ascii="宋体" w:hAnsi="宋体" w:eastAsia="宋体" w:cs="宋体"/>
          <w:sz w:val="20"/>
          <w:szCs w:val="20"/>
        </w:rPr>
        <w:t xml:space="preserve"> </w:t>
      </w:r>
      <w:r>
        <w:rPr>
          <w:rFonts w:ascii="宋体" w:hAnsi="宋体" w:eastAsia="宋体" w:cs="宋体"/>
          <w:spacing w:val="9"/>
          <w:sz w:val="20"/>
          <w:szCs w:val="20"/>
        </w:rPr>
        <w:t>性</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发展性和本源性等特性</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 xml:space="preserve">从树立教学学术理 </w:t>
      </w:r>
      <w:r>
        <w:rPr>
          <w:rFonts w:ascii="宋体" w:hAnsi="宋体" w:eastAsia="宋体" w:cs="宋体"/>
          <w:sz w:val="20"/>
          <w:szCs w:val="20"/>
        </w:rPr>
        <w:t>念入手</w:t>
      </w:r>
      <w:r>
        <w:rPr>
          <w:rFonts w:ascii="宋体" w:hAnsi="宋体" w:eastAsia="宋体" w:cs="宋体"/>
          <w:position w:val="1"/>
          <w:sz w:val="20"/>
          <w:szCs w:val="20"/>
        </w:rPr>
        <w:t>，</w:t>
      </w:r>
      <w:r>
        <w:rPr>
          <w:rFonts w:ascii="宋体" w:hAnsi="宋体" w:eastAsia="宋体" w:cs="宋体"/>
          <w:sz w:val="20"/>
          <w:szCs w:val="20"/>
        </w:rPr>
        <w:t>加强教学学术管理和实践</w:t>
      </w:r>
      <w:r>
        <w:rPr>
          <w:rFonts w:ascii="宋体" w:hAnsi="宋体" w:eastAsia="宋体" w:cs="宋体"/>
          <w:position w:val="1"/>
          <w:sz w:val="20"/>
          <w:szCs w:val="20"/>
        </w:rPr>
        <w:t>，</w:t>
      </w:r>
      <w:r>
        <w:rPr>
          <w:rFonts w:ascii="宋体" w:hAnsi="宋体" w:eastAsia="宋体" w:cs="宋体"/>
          <w:sz w:val="20"/>
          <w:szCs w:val="20"/>
        </w:rPr>
        <w:t>打破传统</w:t>
      </w:r>
      <w:r>
        <w:rPr>
          <w:rFonts w:ascii="宋体" w:hAnsi="宋体" w:eastAsia="宋体" w:cs="宋体"/>
          <w:spacing w:val="-1"/>
          <w:sz w:val="20"/>
          <w:szCs w:val="20"/>
        </w:rPr>
        <w:t>监控</w:t>
      </w:r>
      <w:r>
        <w:rPr>
          <w:rFonts w:ascii="宋体" w:hAnsi="宋体" w:eastAsia="宋体" w:cs="宋体"/>
          <w:sz w:val="20"/>
          <w:szCs w:val="20"/>
        </w:rPr>
        <w:t xml:space="preserve"> 文化的局限，使提高教学质量由</w:t>
      </w:r>
      <w:r>
        <w:rPr>
          <w:rFonts w:ascii="微软雅黑" w:hAnsi="微软雅黑" w:eastAsia="微软雅黑" w:cs="微软雅黑"/>
          <w:sz w:val="20"/>
          <w:szCs w:val="20"/>
        </w:rPr>
        <w:t>“</w:t>
      </w:r>
      <w:r>
        <w:rPr>
          <w:rFonts w:ascii="宋体" w:hAnsi="宋体" w:eastAsia="宋体" w:cs="宋体"/>
          <w:sz w:val="20"/>
          <w:szCs w:val="20"/>
        </w:rPr>
        <w:t>外在压力</w:t>
      </w:r>
      <w:r>
        <w:rPr>
          <w:rFonts w:ascii="微软雅黑" w:hAnsi="微软雅黑" w:eastAsia="微软雅黑" w:cs="微软雅黑"/>
          <w:sz w:val="20"/>
          <w:szCs w:val="20"/>
        </w:rPr>
        <w:t>”</w:t>
      </w:r>
      <w:r>
        <w:rPr>
          <w:rFonts w:ascii="宋体" w:hAnsi="宋体" w:eastAsia="宋体" w:cs="宋体"/>
          <w:sz w:val="20"/>
          <w:szCs w:val="20"/>
        </w:rPr>
        <w:t>转变 成一种</w:t>
      </w:r>
      <w:r>
        <w:rPr>
          <w:rFonts w:ascii="微软雅黑" w:hAnsi="微软雅黑" w:eastAsia="微软雅黑" w:cs="微软雅黑"/>
          <w:sz w:val="20"/>
          <w:szCs w:val="20"/>
        </w:rPr>
        <w:t>“</w:t>
      </w:r>
      <w:r>
        <w:rPr>
          <w:rFonts w:ascii="宋体" w:hAnsi="宋体" w:eastAsia="宋体" w:cs="宋体"/>
          <w:sz w:val="20"/>
          <w:szCs w:val="20"/>
        </w:rPr>
        <w:t>内在动力</w:t>
      </w:r>
      <w:r>
        <w:rPr>
          <w:rFonts w:ascii="微软雅黑" w:hAnsi="微软雅黑" w:eastAsia="微软雅黑" w:cs="微软雅黑"/>
          <w:sz w:val="20"/>
          <w:szCs w:val="20"/>
        </w:rPr>
        <w:t>”</w:t>
      </w:r>
      <w:r>
        <w:rPr>
          <w:rFonts w:ascii="宋体" w:hAnsi="宋体" w:eastAsia="宋体" w:cs="宋体"/>
          <w:sz w:val="20"/>
          <w:szCs w:val="20"/>
        </w:rPr>
        <w:t>，为高校构建教学质量文</w:t>
      </w:r>
      <w:r>
        <w:rPr>
          <w:rFonts w:ascii="宋体" w:hAnsi="宋体" w:eastAsia="宋体" w:cs="宋体"/>
          <w:spacing w:val="-1"/>
          <w:sz w:val="20"/>
          <w:szCs w:val="20"/>
        </w:rPr>
        <w:t>化提</w:t>
      </w:r>
      <w:r>
        <w:rPr>
          <w:rFonts w:ascii="宋体" w:hAnsi="宋体" w:eastAsia="宋体" w:cs="宋体"/>
          <w:sz w:val="20"/>
          <w:szCs w:val="20"/>
        </w:rPr>
        <w:t xml:space="preserve"> </w:t>
      </w:r>
      <w:r>
        <w:rPr>
          <w:rFonts w:ascii="宋体" w:hAnsi="宋体" w:eastAsia="宋体" w:cs="宋体"/>
          <w:spacing w:val="9"/>
          <w:sz w:val="20"/>
          <w:szCs w:val="20"/>
        </w:rPr>
        <w:t>供内源性动力和现实的切入点</w:t>
      </w:r>
      <w:r>
        <w:rPr>
          <w:rFonts w:ascii="微软雅黑" w:hAnsi="微软雅黑" w:eastAsia="微软雅黑" w:cs="微软雅黑"/>
          <w:spacing w:val="9"/>
          <w:position w:val="1"/>
          <w:sz w:val="20"/>
          <w:szCs w:val="20"/>
        </w:rPr>
        <w:t>。</w:t>
      </w:r>
    </w:p>
    <w:p>
      <w:pPr>
        <w:spacing w:before="79" w:line="264" w:lineRule="auto"/>
        <w:ind w:left="3" w:right="87" w:firstLine="453"/>
        <w:rPr>
          <w:rFonts w:ascii="黑体" w:hAnsi="黑体" w:eastAsia="黑体" w:cs="黑体"/>
          <w:sz w:val="20"/>
          <w:szCs w:val="20"/>
        </w:rPr>
      </w:pPr>
      <w:r>
        <w:rPr>
          <w:rFonts w:ascii="黑体" w:hAnsi="黑体" w:eastAsia="黑体" w:cs="黑体"/>
          <w:spacing w:val="3"/>
          <w:sz w:val="20"/>
          <w:szCs w:val="20"/>
        </w:rPr>
        <w:t>(一)</w:t>
      </w:r>
      <w:r>
        <w:rPr>
          <w:rFonts w:ascii="黑体" w:hAnsi="黑体" w:eastAsia="黑体" w:cs="黑体"/>
          <w:spacing w:val="-18"/>
          <w:sz w:val="20"/>
          <w:szCs w:val="20"/>
        </w:rPr>
        <w:t xml:space="preserve"> </w:t>
      </w:r>
      <w:r>
        <w:rPr>
          <w:rFonts w:ascii="黑体" w:hAnsi="黑体" w:eastAsia="黑体" w:cs="黑体"/>
          <w:spacing w:val="3"/>
          <w:sz w:val="20"/>
          <w:szCs w:val="20"/>
        </w:rPr>
        <w:t>树立教学学术理念，引领高校教学质量</w:t>
      </w:r>
      <w:r>
        <w:rPr>
          <w:rFonts w:ascii="黑体" w:hAnsi="黑体" w:eastAsia="黑体" w:cs="黑体"/>
          <w:sz w:val="20"/>
          <w:szCs w:val="20"/>
        </w:rPr>
        <w:t xml:space="preserve"> </w:t>
      </w:r>
      <w:r>
        <w:rPr>
          <w:rFonts w:ascii="黑体" w:hAnsi="黑体" w:eastAsia="黑体" w:cs="黑体"/>
          <w:spacing w:val="5"/>
          <w:sz w:val="20"/>
          <w:szCs w:val="20"/>
        </w:rPr>
        <w:t>文化建设</w:t>
      </w:r>
    </w:p>
    <w:p>
      <w:pPr>
        <w:spacing w:before="105" w:line="269" w:lineRule="auto"/>
        <w:ind w:right="87" w:firstLine="419"/>
        <w:rPr>
          <w:rFonts w:ascii="宋体" w:hAnsi="宋体" w:eastAsia="宋体" w:cs="宋体"/>
          <w:sz w:val="20"/>
          <w:szCs w:val="20"/>
        </w:rPr>
      </w:pPr>
      <w:r>
        <w:rPr>
          <w:rFonts w:ascii="宋体" w:hAnsi="宋体" w:eastAsia="宋体" w:cs="宋体"/>
          <w:spacing w:val="9"/>
          <w:sz w:val="20"/>
          <w:szCs w:val="20"/>
        </w:rPr>
        <w:t>教学学术重新把教学置于高校工作的中心地</w:t>
      </w:r>
      <w:r>
        <w:rPr>
          <w:rFonts w:ascii="宋体" w:hAnsi="宋体" w:eastAsia="宋体" w:cs="宋体"/>
          <w:spacing w:val="4"/>
          <w:sz w:val="20"/>
          <w:szCs w:val="20"/>
        </w:rPr>
        <w:t xml:space="preserve"> </w:t>
      </w:r>
      <w:r>
        <w:rPr>
          <w:rFonts w:ascii="宋体" w:hAnsi="宋体" w:eastAsia="宋体" w:cs="宋体"/>
          <w:sz w:val="20"/>
          <w:szCs w:val="20"/>
        </w:rPr>
        <w:t>位</w:t>
      </w:r>
      <w:r>
        <w:rPr>
          <w:rFonts w:ascii="宋体" w:hAnsi="宋体" w:eastAsia="宋体" w:cs="宋体"/>
          <w:position w:val="1"/>
          <w:sz w:val="20"/>
          <w:szCs w:val="20"/>
        </w:rPr>
        <w:t>，</w:t>
      </w:r>
      <w:r>
        <w:rPr>
          <w:rFonts w:ascii="宋体" w:hAnsi="宋体" w:eastAsia="宋体" w:cs="宋体"/>
          <w:sz w:val="20"/>
          <w:szCs w:val="20"/>
        </w:rPr>
        <w:t>教学重新成为高校的根本职能和核心使命</w:t>
      </w:r>
      <w:r>
        <w:rPr>
          <w:rFonts w:ascii="宋体" w:hAnsi="宋体" w:eastAsia="宋体" w:cs="宋体"/>
          <w:spacing w:val="-1"/>
          <w:position w:val="1"/>
          <w:sz w:val="20"/>
          <w:szCs w:val="20"/>
        </w:rPr>
        <w:t>，</w:t>
      </w:r>
      <w:r>
        <w:rPr>
          <w:rFonts w:ascii="宋体" w:hAnsi="宋体" w:eastAsia="宋体" w:cs="宋体"/>
          <w:spacing w:val="-1"/>
          <w:sz w:val="20"/>
          <w:szCs w:val="20"/>
        </w:rPr>
        <w:t>还</w:t>
      </w:r>
      <w:r>
        <w:rPr>
          <w:rFonts w:ascii="宋体" w:hAnsi="宋体" w:eastAsia="宋体" w:cs="宋体"/>
          <w:sz w:val="20"/>
          <w:szCs w:val="20"/>
        </w:rPr>
        <w:t xml:space="preserve"> </w:t>
      </w:r>
      <w:r>
        <w:rPr>
          <w:rFonts w:ascii="宋体" w:hAnsi="宋体" w:eastAsia="宋体" w:cs="宋体"/>
          <w:spacing w:val="9"/>
          <w:sz w:val="20"/>
          <w:szCs w:val="20"/>
        </w:rPr>
        <w:t>教学应有的尊严与地位</w:t>
      </w:r>
      <w:r>
        <w:rPr>
          <w:rFonts w:ascii="微软雅黑" w:hAnsi="微软雅黑" w:eastAsia="微软雅黑" w:cs="微软雅黑"/>
          <w:spacing w:val="9"/>
          <w:sz w:val="20"/>
          <w:szCs w:val="20"/>
        </w:rPr>
        <w:t>。“</w:t>
      </w:r>
      <w:r>
        <w:rPr>
          <w:rFonts w:ascii="宋体" w:hAnsi="宋体" w:eastAsia="宋体" w:cs="宋体"/>
          <w:spacing w:val="9"/>
          <w:sz w:val="20"/>
          <w:szCs w:val="20"/>
        </w:rPr>
        <w:t>教学学术以学术的视</w:t>
      </w:r>
      <w:r>
        <w:rPr>
          <w:rFonts w:ascii="宋体" w:hAnsi="宋体" w:eastAsia="宋体" w:cs="宋体"/>
          <w:spacing w:val="8"/>
          <w:sz w:val="20"/>
          <w:szCs w:val="20"/>
        </w:rPr>
        <w:t xml:space="preserve"> </w:t>
      </w:r>
      <w:r>
        <w:rPr>
          <w:rFonts w:ascii="宋体" w:hAnsi="宋体" w:eastAsia="宋体" w:cs="宋体"/>
          <w:spacing w:val="9"/>
          <w:sz w:val="20"/>
          <w:szCs w:val="20"/>
        </w:rPr>
        <w:t>野来看待教学</w:t>
      </w:r>
      <w:r>
        <w:rPr>
          <w:rFonts w:ascii="宋体" w:hAnsi="宋体" w:eastAsia="宋体" w:cs="宋体"/>
          <w:spacing w:val="9"/>
          <w:position w:val="1"/>
          <w:sz w:val="20"/>
          <w:szCs w:val="20"/>
        </w:rPr>
        <w:t>，</w:t>
      </w:r>
      <w:r>
        <w:rPr>
          <w:rFonts w:ascii="宋体" w:hAnsi="宋体" w:eastAsia="宋体" w:cs="宋体"/>
          <w:spacing w:val="9"/>
          <w:sz w:val="20"/>
          <w:szCs w:val="20"/>
        </w:rPr>
        <w:t>它为提高教学质量提供了合法的</w:t>
      </w:r>
      <w:r>
        <w:rPr>
          <w:rFonts w:ascii="宋体" w:hAnsi="宋体" w:eastAsia="宋体" w:cs="宋体"/>
          <w:spacing w:val="7"/>
          <w:sz w:val="20"/>
          <w:szCs w:val="20"/>
        </w:rPr>
        <w:t xml:space="preserve"> </w:t>
      </w:r>
      <w:r>
        <w:rPr>
          <w:rFonts w:ascii="宋体" w:hAnsi="宋体" w:eastAsia="宋体" w:cs="宋体"/>
          <w:spacing w:val="-16"/>
          <w:sz w:val="20"/>
          <w:szCs w:val="20"/>
        </w:rPr>
        <w:t>理论依据</w:t>
      </w:r>
      <w:r>
        <w:rPr>
          <w:rFonts w:ascii="微软雅黑" w:hAnsi="微软雅黑" w:eastAsia="微软雅黑" w:cs="微软雅黑"/>
          <w:spacing w:val="-16"/>
          <w:sz w:val="20"/>
          <w:szCs w:val="20"/>
        </w:rPr>
        <w:t>。</w:t>
      </w:r>
      <w:r>
        <w:rPr>
          <w:rFonts w:ascii="宋体" w:hAnsi="宋体" w:eastAsia="宋体" w:cs="宋体"/>
          <w:spacing w:val="-16"/>
          <w:position w:val="9"/>
          <w:sz w:val="11"/>
          <w:szCs w:val="11"/>
        </w:rPr>
        <w:t>［</w:t>
      </w:r>
      <w:r>
        <w:rPr>
          <w:rFonts w:ascii="微软雅黑" w:hAnsi="微软雅黑" w:eastAsia="微软雅黑" w:cs="微软雅黑"/>
          <w:spacing w:val="-16"/>
          <w:position w:val="9"/>
          <w:sz w:val="11"/>
          <w:szCs w:val="11"/>
        </w:rPr>
        <w:t>13</w:t>
      </w:r>
      <w:r>
        <w:rPr>
          <w:rFonts w:ascii="宋体" w:hAnsi="宋体" w:eastAsia="宋体" w:cs="宋体"/>
          <w:spacing w:val="-16"/>
          <w:position w:val="9"/>
          <w:sz w:val="11"/>
          <w:szCs w:val="11"/>
        </w:rPr>
        <w:t>］</w:t>
      </w:r>
      <w:r>
        <w:rPr>
          <w:rFonts w:ascii="宋体" w:hAnsi="宋体" w:eastAsia="宋体" w:cs="宋体"/>
          <w:spacing w:val="-31"/>
          <w:position w:val="9"/>
          <w:sz w:val="11"/>
          <w:szCs w:val="11"/>
        </w:rPr>
        <w:t xml:space="preserve"> </w:t>
      </w:r>
      <w:r>
        <w:rPr>
          <w:rFonts w:ascii="微软雅黑" w:hAnsi="微软雅黑" w:eastAsia="微软雅黑" w:cs="微软雅黑"/>
          <w:spacing w:val="-2"/>
          <w:sz w:val="20"/>
          <w:szCs w:val="20"/>
        </w:rPr>
        <w:t>”</w:t>
      </w:r>
      <w:r>
        <w:rPr>
          <w:rFonts w:ascii="宋体" w:hAnsi="宋体" w:eastAsia="宋体" w:cs="宋体"/>
          <w:spacing w:val="-2"/>
          <w:sz w:val="20"/>
          <w:szCs w:val="20"/>
        </w:rPr>
        <w:t>树立教学学术理念，就是要自觉树</w:t>
      </w:r>
      <w:r>
        <w:rPr>
          <w:rFonts w:ascii="宋体" w:hAnsi="宋体" w:eastAsia="宋体" w:cs="宋体"/>
          <w:sz w:val="20"/>
          <w:szCs w:val="20"/>
        </w:rPr>
        <w:t xml:space="preserve"> </w:t>
      </w:r>
      <w:r>
        <w:rPr>
          <w:rFonts w:ascii="宋体" w:hAnsi="宋体" w:eastAsia="宋体" w:cs="宋体"/>
          <w:spacing w:val="9"/>
          <w:sz w:val="20"/>
          <w:szCs w:val="20"/>
        </w:rPr>
        <w:t>立提高教学质量的信念和价值观念</w:t>
      </w:r>
      <w:r>
        <w:rPr>
          <w:rFonts w:ascii="宋体" w:hAnsi="宋体" w:eastAsia="宋体" w:cs="宋体"/>
          <w:spacing w:val="9"/>
          <w:position w:val="1"/>
          <w:sz w:val="20"/>
          <w:szCs w:val="20"/>
        </w:rPr>
        <w:t>，</w:t>
      </w:r>
      <w:r>
        <w:rPr>
          <w:rFonts w:ascii="宋体" w:hAnsi="宋体" w:eastAsia="宋体" w:cs="宋体"/>
          <w:spacing w:val="9"/>
          <w:sz w:val="20"/>
          <w:szCs w:val="20"/>
        </w:rPr>
        <w:t>自觉把提高 教学质量作为自身生命成长与生命价值提升的重</w:t>
      </w:r>
      <w:r>
        <w:rPr>
          <w:rFonts w:ascii="宋体" w:hAnsi="宋体" w:eastAsia="宋体" w:cs="宋体"/>
          <w:spacing w:val="5"/>
          <w:sz w:val="20"/>
          <w:szCs w:val="20"/>
        </w:rPr>
        <w:t xml:space="preserve"> </w:t>
      </w:r>
      <w:r>
        <w:rPr>
          <w:rFonts w:ascii="宋体" w:hAnsi="宋体" w:eastAsia="宋体" w:cs="宋体"/>
          <w:spacing w:val="9"/>
          <w:sz w:val="20"/>
          <w:szCs w:val="20"/>
        </w:rPr>
        <w:t>要方式</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树立教学学术理念</w:t>
      </w:r>
      <w:r>
        <w:rPr>
          <w:rFonts w:ascii="宋体" w:hAnsi="宋体" w:eastAsia="宋体" w:cs="宋体"/>
          <w:spacing w:val="9"/>
          <w:position w:val="1"/>
          <w:sz w:val="20"/>
          <w:szCs w:val="20"/>
        </w:rPr>
        <w:t>，</w:t>
      </w:r>
      <w:r>
        <w:rPr>
          <w:rFonts w:ascii="宋体" w:hAnsi="宋体" w:eastAsia="宋体" w:cs="宋体"/>
          <w:spacing w:val="9"/>
          <w:sz w:val="20"/>
          <w:szCs w:val="20"/>
        </w:rPr>
        <w:t>一是利于增强教学 实践者提高教学质量的主体意识</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教学学术理念</w:t>
      </w:r>
      <w:r>
        <w:rPr>
          <w:rFonts w:ascii="宋体" w:hAnsi="宋体" w:eastAsia="宋体" w:cs="宋体"/>
          <w:spacing w:val="8"/>
          <w:sz w:val="20"/>
          <w:szCs w:val="20"/>
        </w:rPr>
        <w:t xml:space="preserve"> </w:t>
      </w:r>
      <w:r>
        <w:rPr>
          <w:rFonts w:ascii="宋体" w:hAnsi="宋体" w:eastAsia="宋体" w:cs="宋体"/>
          <w:spacing w:val="9"/>
          <w:sz w:val="20"/>
          <w:szCs w:val="20"/>
        </w:rPr>
        <w:t>使高校教师成为教学活动的真正主体</w:t>
      </w:r>
      <w:r>
        <w:rPr>
          <w:rFonts w:ascii="宋体" w:hAnsi="宋体" w:eastAsia="宋体" w:cs="宋体"/>
          <w:spacing w:val="9"/>
          <w:position w:val="1"/>
          <w:sz w:val="20"/>
          <w:szCs w:val="20"/>
        </w:rPr>
        <w:t>，</w:t>
      </w:r>
      <w:r>
        <w:rPr>
          <w:rFonts w:ascii="宋体" w:hAnsi="宋体" w:eastAsia="宋体" w:cs="宋体"/>
          <w:spacing w:val="9"/>
          <w:sz w:val="20"/>
          <w:szCs w:val="20"/>
        </w:rPr>
        <w:t>改善教学 与提高教学质量是高校教师的一种内在需要</w:t>
      </w:r>
      <w:r>
        <w:rPr>
          <w:rFonts w:ascii="宋体" w:hAnsi="宋体" w:eastAsia="宋体" w:cs="宋体"/>
          <w:spacing w:val="9"/>
          <w:position w:val="1"/>
          <w:sz w:val="20"/>
          <w:szCs w:val="20"/>
        </w:rPr>
        <w:t>，</w:t>
      </w:r>
      <w:r>
        <w:rPr>
          <w:rFonts w:ascii="宋体" w:hAnsi="宋体" w:eastAsia="宋体" w:cs="宋体"/>
          <w:spacing w:val="9"/>
          <w:sz w:val="20"/>
          <w:szCs w:val="20"/>
        </w:rPr>
        <w:t>有 利于激发他们的主体意识和提高教学质量的积极</w:t>
      </w:r>
      <w:r>
        <w:rPr>
          <w:rFonts w:ascii="宋体" w:hAnsi="宋体" w:eastAsia="宋体" w:cs="宋体"/>
          <w:spacing w:val="5"/>
          <w:sz w:val="20"/>
          <w:szCs w:val="20"/>
        </w:rPr>
        <w:t xml:space="preserve"> </w:t>
      </w:r>
      <w:r>
        <w:rPr>
          <w:rFonts w:ascii="宋体" w:hAnsi="宋体" w:eastAsia="宋体" w:cs="宋体"/>
          <w:sz w:val="20"/>
          <w:szCs w:val="20"/>
        </w:rPr>
        <w:t>性</w:t>
      </w:r>
      <w:r>
        <w:rPr>
          <w:rFonts w:ascii="微软雅黑" w:hAnsi="微软雅黑" w:eastAsia="微软雅黑" w:cs="微软雅黑"/>
          <w:position w:val="1"/>
          <w:sz w:val="20"/>
          <w:szCs w:val="20"/>
        </w:rPr>
        <w:t>、</w:t>
      </w:r>
      <w:r>
        <w:rPr>
          <w:rFonts w:ascii="宋体" w:hAnsi="宋体" w:eastAsia="宋体" w:cs="宋体"/>
          <w:sz w:val="20"/>
          <w:szCs w:val="20"/>
        </w:rPr>
        <w:t>主动性</w:t>
      </w:r>
      <w:r>
        <w:rPr>
          <w:rFonts w:ascii="微软雅黑" w:hAnsi="微软雅黑" w:eastAsia="微软雅黑" w:cs="微软雅黑"/>
          <w:position w:val="1"/>
          <w:sz w:val="20"/>
          <w:szCs w:val="20"/>
        </w:rPr>
        <w:t>、</w:t>
      </w:r>
      <w:r>
        <w:rPr>
          <w:rFonts w:ascii="宋体" w:hAnsi="宋体" w:eastAsia="宋体" w:cs="宋体"/>
          <w:sz w:val="20"/>
          <w:szCs w:val="20"/>
        </w:rPr>
        <w:t>自觉性和创造性</w:t>
      </w:r>
      <w:r>
        <w:rPr>
          <w:rFonts w:ascii="微软雅黑" w:hAnsi="微软雅黑" w:eastAsia="微软雅黑" w:cs="微软雅黑"/>
          <w:position w:val="1"/>
          <w:sz w:val="20"/>
          <w:szCs w:val="20"/>
        </w:rPr>
        <w:t>。</w:t>
      </w:r>
      <w:r>
        <w:rPr>
          <w:rFonts w:ascii="宋体" w:hAnsi="宋体" w:eastAsia="宋体" w:cs="宋体"/>
          <w:sz w:val="20"/>
          <w:szCs w:val="20"/>
        </w:rPr>
        <w:t>二是利于增</w:t>
      </w:r>
      <w:r>
        <w:rPr>
          <w:rFonts w:ascii="宋体" w:hAnsi="宋体" w:eastAsia="宋体" w:cs="宋体"/>
          <w:spacing w:val="-1"/>
          <w:sz w:val="20"/>
          <w:szCs w:val="20"/>
        </w:rPr>
        <w:t>强教学</w:t>
      </w:r>
    </w:p>
    <w:p>
      <w:pPr>
        <w:spacing w:before="82" w:line="194" w:lineRule="exact"/>
        <w:ind w:firstLine="3948"/>
      </w:pPr>
      <w:r>
        <w:rPr>
          <w:position w:val="-3"/>
        </w:rPr>
        <w:pict>
          <v:shape id="_x0000_s1056" o:spid="_x0000_s1056" o:spt="202" type="#_x0000_t202" style="height:9.7pt;width:22.3pt;" fillcolor="#0064B2" filled="t" stroked="f" coordsize="21600,21600">
            <v:path/>
            <v:fill on="t" focussize="0,0"/>
            <v:stroke on="f"/>
            <v:imagedata o:title=""/>
            <o:lock v:ext="edit" aspectratio="f"/>
            <v:textbox inset="0mm,0mm,0mm,0mm">
              <w:txbxContent>
                <w:p>
                  <w:pPr>
                    <w:spacing w:before="26" w:line="166" w:lineRule="auto"/>
                    <w:ind w:left="123"/>
                    <w:rPr>
                      <w:rFonts w:ascii="微软雅黑" w:hAnsi="微软雅黑" w:eastAsia="微软雅黑" w:cs="微软雅黑"/>
                      <w:sz w:val="19"/>
                      <w:szCs w:val="19"/>
                    </w:rPr>
                  </w:pPr>
                  <w:r>
                    <w:rPr>
                      <w:rFonts w:ascii="微软雅黑" w:hAnsi="微软雅黑" w:eastAsia="微软雅黑" w:cs="微软雅黑"/>
                      <w:color w:val="FFFFFF"/>
                      <w:spacing w:val="-5"/>
                      <w:sz w:val="19"/>
                      <w:szCs w:val="19"/>
                    </w:rPr>
                    <w:t>25</w:t>
                  </w:r>
                </w:p>
              </w:txbxContent>
            </v:textbox>
            <w10:wrap type="none"/>
            <w10:anchorlock/>
          </v:shape>
        </w:pict>
      </w:r>
    </w:p>
    <w:p>
      <w:pPr>
        <w:spacing w:line="194" w:lineRule="exact"/>
        <w:sectPr>
          <w:type w:val="continuous"/>
          <w:pgSz w:w="11905" w:h="16836"/>
          <w:pgMar w:top="400" w:right="1248" w:bottom="547" w:left="407" w:header="0" w:footer="354" w:gutter="0"/>
          <w:cols w:equalWidth="0" w:num="2">
            <w:col w:w="5660" w:space="100"/>
            <w:col w:w="4488"/>
          </w:cols>
        </w:sectPr>
      </w:pPr>
    </w:p>
    <w:p>
      <w:pPr>
        <w:spacing w:before="188"/>
      </w:pPr>
    </w:p>
    <w:p>
      <w:pPr>
        <w:sectPr>
          <w:footerReference r:id="rId56" w:type="default"/>
          <w:pgSz w:w="11905" w:h="16836"/>
          <w:pgMar w:top="400" w:right="1262" w:bottom="547" w:left="407" w:header="0" w:footer="354" w:gutter="0"/>
          <w:cols w:equalWidth="0" w:num="1">
            <w:col w:w="10234"/>
          </w:cols>
        </w:sectPr>
      </w:pPr>
    </w:p>
    <w:p>
      <w:pPr>
        <w:spacing w:before="38" w:line="186" w:lineRule="auto"/>
        <w:ind w:left="1010"/>
        <w:rPr>
          <w:rFonts w:ascii="宋体" w:hAnsi="宋体" w:eastAsia="宋体" w:cs="宋体"/>
          <w:sz w:val="17"/>
          <w:szCs w:val="17"/>
        </w:rPr>
      </w:pPr>
      <w:r>
        <w:rPr>
          <w:rFonts w:ascii="宋体" w:hAnsi="宋体" w:eastAsia="宋体" w:cs="宋体"/>
          <w:color w:val="0166B3"/>
          <w:spacing w:val="1"/>
          <w:sz w:val="17"/>
          <w:szCs w:val="17"/>
        </w:rPr>
        <w:t xml:space="preserve">贵州师范学院学报  </w:t>
      </w:r>
      <w:r>
        <w:rPr>
          <w:rFonts w:ascii="微软雅黑" w:hAnsi="微软雅黑" w:eastAsia="微软雅黑" w:cs="微软雅黑"/>
          <w:color w:val="0166B3"/>
          <w:spacing w:val="1"/>
          <w:sz w:val="17"/>
          <w:szCs w:val="17"/>
        </w:rPr>
        <w:t xml:space="preserve">2021 </w:t>
      </w:r>
      <w:r>
        <w:rPr>
          <w:rFonts w:ascii="宋体" w:hAnsi="宋体" w:eastAsia="宋体" w:cs="宋体"/>
          <w:color w:val="0166B3"/>
          <w:spacing w:val="1"/>
          <w:sz w:val="17"/>
          <w:szCs w:val="17"/>
        </w:rPr>
        <w:t>年第</w:t>
      </w:r>
      <w:r>
        <w:rPr>
          <w:rFonts w:ascii="宋体" w:hAnsi="宋体" w:eastAsia="宋体" w:cs="宋体"/>
          <w:color w:val="0166B3"/>
          <w:spacing w:val="-31"/>
          <w:sz w:val="17"/>
          <w:szCs w:val="17"/>
        </w:rPr>
        <w:t xml:space="preserve"> </w:t>
      </w:r>
      <w:r>
        <w:rPr>
          <w:rFonts w:ascii="微软雅黑" w:hAnsi="微软雅黑" w:eastAsia="微软雅黑" w:cs="微软雅黑"/>
          <w:color w:val="0166B3"/>
          <w:spacing w:val="1"/>
          <w:sz w:val="17"/>
          <w:szCs w:val="17"/>
        </w:rPr>
        <w:t>2</w:t>
      </w:r>
      <w:r>
        <w:rPr>
          <w:rFonts w:ascii="微软雅黑" w:hAnsi="微软雅黑" w:eastAsia="微软雅黑" w:cs="微软雅黑"/>
          <w:color w:val="0166B3"/>
          <w:spacing w:val="12"/>
          <w:w w:val="101"/>
          <w:sz w:val="17"/>
          <w:szCs w:val="17"/>
        </w:rPr>
        <w:t xml:space="preserve"> </w:t>
      </w:r>
      <w:r>
        <w:rPr>
          <w:rFonts w:ascii="宋体" w:hAnsi="宋体" w:eastAsia="宋体" w:cs="宋体"/>
          <w:color w:val="0166B3"/>
          <w:spacing w:val="1"/>
          <w:sz w:val="17"/>
          <w:szCs w:val="17"/>
        </w:rPr>
        <w:t>期</w:t>
      </w:r>
    </w:p>
    <w:p>
      <w:pPr>
        <w:spacing w:before="43" w:line="56" w:lineRule="exact"/>
        <w:ind w:firstLine="921"/>
      </w:pPr>
      <w:r>
        <w:rPr>
          <w:position w:val="-1"/>
        </w:rPr>
        <w:drawing>
          <wp:inline distT="0" distB="0" distL="0" distR="0">
            <wp:extent cx="2519045" cy="3556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3"/>
                    <a:stretch>
                      <a:fillRect/>
                    </a:stretch>
                  </pic:blipFill>
                  <pic:spPr>
                    <a:xfrm>
                      <a:off x="0" y="0"/>
                      <a:ext cx="2519679" cy="35560"/>
                    </a:xfrm>
                    <a:prstGeom prst="rect">
                      <a:avLst/>
                    </a:prstGeom>
                  </pic:spPr>
                </pic:pic>
              </a:graphicData>
            </a:graphic>
          </wp:inline>
        </w:drawing>
      </w:r>
    </w:p>
    <w:p>
      <w:pPr>
        <w:spacing w:line="291" w:lineRule="auto"/>
        <w:rPr>
          <w:rFonts w:ascii="Arial"/>
          <w:sz w:val="21"/>
        </w:rPr>
      </w:pPr>
    </w:p>
    <w:p>
      <w:pPr>
        <w:spacing w:before="86" w:line="257" w:lineRule="auto"/>
        <w:ind w:left="931" w:right="256" w:firstLine="5"/>
        <w:jc w:val="both"/>
        <w:rPr>
          <w:rFonts w:ascii="微软雅黑" w:hAnsi="微软雅黑" w:eastAsia="微软雅黑" w:cs="微软雅黑"/>
          <w:sz w:val="20"/>
          <w:szCs w:val="20"/>
        </w:rPr>
      </w:pPr>
      <w:r>
        <w:rPr>
          <w:rFonts w:ascii="宋体" w:hAnsi="宋体" w:eastAsia="宋体" w:cs="宋体"/>
          <w:spacing w:val="8"/>
          <w:sz w:val="20"/>
          <w:szCs w:val="20"/>
        </w:rPr>
        <w:t>实践者提高教学质量的价值观念</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长期以来</w:t>
      </w:r>
      <w:r>
        <w:rPr>
          <w:rFonts w:ascii="宋体" w:hAnsi="宋体" w:eastAsia="宋体" w:cs="宋体"/>
          <w:spacing w:val="8"/>
          <w:position w:val="1"/>
          <w:sz w:val="20"/>
          <w:szCs w:val="20"/>
        </w:rPr>
        <w:t>，</w:t>
      </w:r>
      <w:r>
        <w:rPr>
          <w:rFonts w:ascii="宋体" w:hAnsi="宋体" w:eastAsia="宋体" w:cs="宋体"/>
          <w:spacing w:val="8"/>
          <w:sz w:val="20"/>
          <w:szCs w:val="20"/>
        </w:rPr>
        <w:t>我 国高校为了提高教学质量建立了比较完备的监控 体系</w:t>
      </w:r>
      <w:r>
        <w:rPr>
          <w:rFonts w:ascii="宋体" w:hAnsi="宋体" w:eastAsia="宋体" w:cs="宋体"/>
          <w:spacing w:val="8"/>
          <w:position w:val="1"/>
          <w:sz w:val="20"/>
          <w:szCs w:val="20"/>
        </w:rPr>
        <w:t>，</w:t>
      </w:r>
      <w:r>
        <w:rPr>
          <w:rFonts w:ascii="宋体" w:hAnsi="宋体" w:eastAsia="宋体" w:cs="宋体"/>
          <w:spacing w:val="8"/>
          <w:sz w:val="20"/>
          <w:szCs w:val="20"/>
        </w:rPr>
        <w:t>在监督教师遵守某种规则方面具有一定的 效果</w:t>
      </w:r>
      <w:r>
        <w:rPr>
          <w:rFonts w:ascii="宋体" w:hAnsi="宋体" w:eastAsia="宋体" w:cs="宋体"/>
          <w:spacing w:val="8"/>
          <w:position w:val="1"/>
          <w:sz w:val="20"/>
          <w:szCs w:val="20"/>
        </w:rPr>
        <w:t>，</w:t>
      </w:r>
      <w:r>
        <w:rPr>
          <w:rFonts w:ascii="宋体" w:hAnsi="宋体" w:eastAsia="宋体" w:cs="宋体"/>
          <w:spacing w:val="8"/>
          <w:sz w:val="20"/>
          <w:szCs w:val="20"/>
        </w:rPr>
        <w:t>但是它却人为的割裂了教师与教学管理者 的友好与信任关系</w:t>
      </w:r>
      <w:r>
        <w:rPr>
          <w:rFonts w:ascii="宋体" w:hAnsi="宋体" w:eastAsia="宋体" w:cs="宋体"/>
          <w:spacing w:val="8"/>
          <w:position w:val="1"/>
          <w:sz w:val="20"/>
          <w:szCs w:val="20"/>
        </w:rPr>
        <w:t>，</w:t>
      </w:r>
      <w:r>
        <w:rPr>
          <w:rFonts w:ascii="宋体" w:hAnsi="宋体" w:eastAsia="宋体" w:cs="宋体"/>
          <w:spacing w:val="8"/>
          <w:sz w:val="20"/>
          <w:szCs w:val="20"/>
        </w:rPr>
        <w:t>并且难以真正激荡高校教师 提高教学质量内心深处的灵魂</w:t>
      </w:r>
      <w:r>
        <w:rPr>
          <w:rFonts w:ascii="微软雅黑" w:hAnsi="微软雅黑" w:eastAsia="微软雅黑" w:cs="微软雅黑"/>
          <w:spacing w:val="8"/>
          <w:sz w:val="20"/>
          <w:szCs w:val="20"/>
        </w:rPr>
        <w:t>。“</w:t>
      </w:r>
      <w:r>
        <w:rPr>
          <w:rFonts w:ascii="宋体" w:hAnsi="宋体" w:eastAsia="宋体" w:cs="宋体"/>
          <w:spacing w:val="8"/>
          <w:sz w:val="20"/>
          <w:szCs w:val="20"/>
        </w:rPr>
        <w:t xml:space="preserve">如火如荼的教 </w:t>
      </w:r>
      <w:r>
        <w:rPr>
          <w:rFonts w:ascii="宋体" w:hAnsi="宋体" w:eastAsia="宋体" w:cs="宋体"/>
          <w:spacing w:val="12"/>
          <w:sz w:val="20"/>
          <w:szCs w:val="20"/>
        </w:rPr>
        <w:t>学质量监控并没有有效地化解当前的质量危机</w:t>
      </w:r>
      <w:r>
        <w:rPr>
          <w:rFonts w:ascii="微软雅黑" w:hAnsi="微软雅黑" w:eastAsia="微软雅黑" w:cs="微软雅黑"/>
          <w:spacing w:val="12"/>
          <w:position w:val="1"/>
          <w:sz w:val="20"/>
          <w:szCs w:val="20"/>
        </w:rPr>
        <w:t>。</w:t>
      </w:r>
      <w:r>
        <w:rPr>
          <w:rFonts w:ascii="微软雅黑" w:hAnsi="微软雅黑" w:eastAsia="微软雅黑" w:cs="微软雅黑"/>
          <w:spacing w:val="18"/>
          <w:position w:val="1"/>
          <w:sz w:val="20"/>
          <w:szCs w:val="20"/>
        </w:rPr>
        <w:t xml:space="preserve"> </w:t>
      </w:r>
      <w:r>
        <w:rPr>
          <w:rFonts w:ascii="微软雅黑" w:hAnsi="微软雅黑" w:eastAsia="微软雅黑" w:cs="微软雅黑"/>
          <w:spacing w:val="10"/>
          <w:position w:val="1"/>
          <w:sz w:val="20"/>
          <w:szCs w:val="20"/>
        </w:rPr>
        <w:t>……</w:t>
      </w:r>
      <w:r>
        <w:rPr>
          <w:rFonts w:ascii="微软雅黑" w:hAnsi="微软雅黑" w:eastAsia="微软雅黑" w:cs="微软雅黑"/>
          <w:spacing w:val="-13"/>
          <w:position w:val="1"/>
          <w:sz w:val="20"/>
          <w:szCs w:val="20"/>
        </w:rPr>
        <w:t xml:space="preserve"> </w:t>
      </w:r>
      <w:r>
        <w:rPr>
          <w:rFonts w:ascii="宋体" w:hAnsi="宋体" w:eastAsia="宋体" w:cs="宋体"/>
          <w:spacing w:val="10"/>
          <w:sz w:val="20"/>
          <w:szCs w:val="20"/>
        </w:rPr>
        <w:t>当前缺乏教学意愿的教师越来越多</w:t>
      </w:r>
      <w:r>
        <w:rPr>
          <w:rFonts w:ascii="宋体" w:hAnsi="宋体" w:eastAsia="宋体" w:cs="宋体"/>
          <w:spacing w:val="10"/>
          <w:position w:val="1"/>
          <w:sz w:val="20"/>
          <w:szCs w:val="20"/>
        </w:rPr>
        <w:t>，</w:t>
      </w:r>
      <w:r>
        <w:rPr>
          <w:rFonts w:ascii="宋体" w:hAnsi="宋体" w:eastAsia="宋体" w:cs="宋体"/>
          <w:spacing w:val="10"/>
          <w:sz w:val="20"/>
          <w:szCs w:val="20"/>
        </w:rPr>
        <w:t>心无</w:t>
      </w:r>
      <w:r>
        <w:rPr>
          <w:rFonts w:ascii="宋体" w:hAnsi="宋体" w:eastAsia="宋体" w:cs="宋体"/>
          <w:spacing w:val="9"/>
          <w:sz w:val="20"/>
          <w:szCs w:val="20"/>
        </w:rPr>
        <w:t xml:space="preserve">旁 </w:t>
      </w:r>
      <w:r>
        <w:rPr>
          <w:rFonts w:ascii="宋体" w:hAnsi="宋体" w:eastAsia="宋体" w:cs="宋体"/>
          <w:spacing w:val="8"/>
          <w:sz w:val="20"/>
          <w:szCs w:val="20"/>
        </w:rPr>
        <w:t>骛专注于教学的教师越来越少</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一个缺乏教学意 </w:t>
      </w:r>
      <w:r>
        <w:rPr>
          <w:rFonts w:ascii="宋体" w:hAnsi="宋体" w:eastAsia="宋体" w:cs="宋体"/>
          <w:spacing w:val="-3"/>
          <w:sz w:val="20"/>
          <w:szCs w:val="20"/>
        </w:rPr>
        <w:t>愿的教师，如何去谈教学质量的提高呢?</w:t>
      </w:r>
      <w:r>
        <w:rPr>
          <w:rFonts w:ascii="宋体" w:hAnsi="宋体" w:eastAsia="宋体" w:cs="宋体"/>
          <w:spacing w:val="-3"/>
          <w:position w:val="9"/>
          <w:sz w:val="11"/>
          <w:szCs w:val="11"/>
        </w:rPr>
        <w:t>［</w:t>
      </w:r>
      <w:r>
        <w:rPr>
          <w:rFonts w:ascii="微软雅黑" w:hAnsi="微软雅黑" w:eastAsia="微软雅黑" w:cs="微软雅黑"/>
          <w:spacing w:val="-3"/>
          <w:position w:val="9"/>
          <w:sz w:val="11"/>
          <w:szCs w:val="11"/>
        </w:rPr>
        <w:t>1</w:t>
      </w:r>
      <w:r>
        <w:rPr>
          <w:rFonts w:ascii="微软雅黑" w:hAnsi="微软雅黑" w:eastAsia="微软雅黑" w:cs="微软雅黑"/>
          <w:spacing w:val="-4"/>
          <w:position w:val="9"/>
          <w:sz w:val="11"/>
          <w:szCs w:val="11"/>
        </w:rPr>
        <w:t>4</w:t>
      </w:r>
      <w:r>
        <w:rPr>
          <w:rFonts w:ascii="宋体" w:hAnsi="宋体" w:eastAsia="宋体" w:cs="宋体"/>
          <w:spacing w:val="-4"/>
          <w:position w:val="9"/>
          <w:sz w:val="11"/>
          <w:szCs w:val="11"/>
        </w:rPr>
        <w:t>］</w:t>
      </w:r>
      <w:r>
        <w:rPr>
          <w:rFonts w:ascii="宋体" w:hAnsi="宋体" w:eastAsia="宋体" w:cs="宋体"/>
          <w:spacing w:val="-30"/>
          <w:position w:val="9"/>
          <w:sz w:val="11"/>
          <w:szCs w:val="11"/>
        </w:rPr>
        <w:t xml:space="preserve"> </w:t>
      </w:r>
      <w:r>
        <w:rPr>
          <w:rFonts w:ascii="微软雅黑" w:hAnsi="微软雅黑" w:eastAsia="微软雅黑" w:cs="微软雅黑"/>
          <w:spacing w:val="-4"/>
          <w:sz w:val="20"/>
          <w:szCs w:val="20"/>
        </w:rPr>
        <w:t>”</w:t>
      </w:r>
      <w:r>
        <w:rPr>
          <w:rFonts w:ascii="宋体" w:hAnsi="宋体" w:eastAsia="宋体" w:cs="宋体"/>
          <w:spacing w:val="-4"/>
          <w:sz w:val="20"/>
          <w:szCs w:val="20"/>
        </w:rPr>
        <w:t xml:space="preserve">树立 </w:t>
      </w:r>
      <w:r>
        <w:rPr>
          <w:rFonts w:ascii="宋体" w:hAnsi="宋体" w:eastAsia="宋体" w:cs="宋体"/>
          <w:spacing w:val="8"/>
          <w:sz w:val="20"/>
          <w:szCs w:val="20"/>
        </w:rPr>
        <w:t>教学学术理念</w:t>
      </w:r>
      <w:r>
        <w:rPr>
          <w:rFonts w:ascii="宋体" w:hAnsi="宋体" w:eastAsia="宋体" w:cs="宋体"/>
          <w:spacing w:val="8"/>
          <w:position w:val="1"/>
          <w:sz w:val="20"/>
          <w:szCs w:val="20"/>
        </w:rPr>
        <w:t>，</w:t>
      </w:r>
      <w:r>
        <w:rPr>
          <w:rFonts w:ascii="宋体" w:hAnsi="宋体" w:eastAsia="宋体" w:cs="宋体"/>
          <w:spacing w:val="8"/>
          <w:sz w:val="20"/>
          <w:szCs w:val="20"/>
        </w:rPr>
        <w:t xml:space="preserve">使教学实践者将提高教学质量内 </w:t>
      </w:r>
      <w:r>
        <w:rPr>
          <w:rFonts w:ascii="宋体" w:hAnsi="宋体" w:eastAsia="宋体" w:cs="宋体"/>
          <w:spacing w:val="-1"/>
          <w:sz w:val="20"/>
          <w:szCs w:val="20"/>
        </w:rPr>
        <w:t>化为自己的价值追求</w:t>
      </w:r>
      <w:r>
        <w:rPr>
          <w:rFonts w:ascii="宋体" w:hAnsi="宋体" w:eastAsia="宋体" w:cs="宋体"/>
          <w:spacing w:val="-1"/>
          <w:position w:val="1"/>
          <w:sz w:val="20"/>
          <w:szCs w:val="20"/>
        </w:rPr>
        <w:t>，</w:t>
      </w:r>
      <w:r>
        <w:rPr>
          <w:rFonts w:ascii="宋体" w:hAnsi="宋体" w:eastAsia="宋体" w:cs="宋体"/>
          <w:spacing w:val="-1"/>
          <w:sz w:val="20"/>
          <w:szCs w:val="20"/>
        </w:rPr>
        <w:t>才能使之心甘情愿</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 xml:space="preserve">全身心 </w:t>
      </w:r>
      <w:r>
        <w:rPr>
          <w:rFonts w:ascii="宋体" w:hAnsi="宋体" w:eastAsia="宋体" w:cs="宋体"/>
          <w:spacing w:val="8"/>
          <w:sz w:val="20"/>
          <w:szCs w:val="20"/>
        </w:rPr>
        <w:t>地投入到研究教学与改善教学之中</w:t>
      </w:r>
      <w:r>
        <w:rPr>
          <w:rFonts w:ascii="宋体" w:hAnsi="宋体" w:eastAsia="宋体" w:cs="宋体"/>
          <w:spacing w:val="8"/>
          <w:position w:val="1"/>
          <w:sz w:val="20"/>
          <w:szCs w:val="20"/>
        </w:rPr>
        <w:t>，</w:t>
      </w:r>
      <w:r>
        <w:rPr>
          <w:rFonts w:ascii="宋体" w:hAnsi="宋体" w:eastAsia="宋体" w:cs="宋体"/>
          <w:spacing w:val="8"/>
          <w:sz w:val="20"/>
          <w:szCs w:val="20"/>
        </w:rPr>
        <w:t>它从根本上 解决了教学实践者提高教学质量的价值观念与意 愿问题</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三是利于增强高校教师提高教学质量的 责任意识</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树立教学学术理念</w:t>
      </w:r>
      <w:r>
        <w:rPr>
          <w:rFonts w:ascii="宋体" w:hAnsi="宋体" w:eastAsia="宋体" w:cs="宋体"/>
          <w:spacing w:val="8"/>
          <w:position w:val="1"/>
          <w:sz w:val="20"/>
          <w:szCs w:val="20"/>
        </w:rPr>
        <w:t>，</w:t>
      </w:r>
      <w:r>
        <w:rPr>
          <w:rFonts w:ascii="宋体" w:hAnsi="宋体" w:eastAsia="宋体" w:cs="宋体"/>
          <w:spacing w:val="8"/>
          <w:sz w:val="20"/>
          <w:szCs w:val="20"/>
        </w:rPr>
        <w:t xml:space="preserve">就是要求高校教 </w:t>
      </w:r>
      <w:r>
        <w:rPr>
          <w:rFonts w:ascii="宋体" w:hAnsi="宋体" w:eastAsia="宋体" w:cs="宋体"/>
          <w:spacing w:val="12"/>
          <w:sz w:val="20"/>
          <w:szCs w:val="20"/>
        </w:rPr>
        <w:t>师自觉把教学作为自身的中心工作和根本职责</w:t>
      </w:r>
      <w:r>
        <w:rPr>
          <w:rFonts w:ascii="宋体" w:hAnsi="宋体" w:eastAsia="宋体" w:cs="宋体"/>
          <w:spacing w:val="12"/>
          <w:position w:val="1"/>
          <w:sz w:val="20"/>
          <w:szCs w:val="20"/>
        </w:rPr>
        <w:t>，</w:t>
      </w:r>
      <w:r>
        <w:rPr>
          <w:rFonts w:ascii="宋体" w:hAnsi="宋体" w:eastAsia="宋体" w:cs="宋体"/>
          <w:spacing w:val="18"/>
          <w:position w:val="1"/>
          <w:sz w:val="20"/>
          <w:szCs w:val="20"/>
        </w:rPr>
        <w:t xml:space="preserve"> </w:t>
      </w:r>
      <w:r>
        <w:rPr>
          <w:rFonts w:ascii="宋体" w:hAnsi="宋体" w:eastAsia="宋体" w:cs="宋体"/>
          <w:spacing w:val="8"/>
          <w:sz w:val="20"/>
          <w:szCs w:val="20"/>
        </w:rPr>
        <w:t>把提高教学质量作为自身的核心使命，把</w:t>
      </w:r>
      <w:r>
        <w:rPr>
          <w:rFonts w:ascii="微软雅黑" w:hAnsi="微软雅黑" w:eastAsia="微软雅黑" w:cs="微软雅黑"/>
          <w:spacing w:val="8"/>
          <w:sz w:val="20"/>
          <w:szCs w:val="20"/>
        </w:rPr>
        <w:t>“</w:t>
      </w:r>
      <w:r>
        <w:rPr>
          <w:rFonts w:ascii="宋体" w:hAnsi="宋体" w:eastAsia="宋体" w:cs="宋体"/>
          <w:spacing w:val="8"/>
          <w:sz w:val="20"/>
          <w:szCs w:val="20"/>
        </w:rPr>
        <w:t xml:space="preserve">教学 </w:t>
      </w:r>
      <w:r>
        <w:rPr>
          <w:rFonts w:ascii="宋体" w:hAnsi="宋体" w:eastAsia="宋体" w:cs="宋体"/>
          <w:spacing w:val="-1"/>
          <w:sz w:val="20"/>
          <w:szCs w:val="20"/>
        </w:rPr>
        <w:t>者</w:t>
      </w:r>
      <w:r>
        <w:rPr>
          <w:rFonts w:ascii="微软雅黑" w:hAnsi="微软雅黑" w:eastAsia="微软雅黑" w:cs="微软雅黑"/>
          <w:spacing w:val="-1"/>
          <w:sz w:val="20"/>
          <w:szCs w:val="20"/>
        </w:rPr>
        <w:t>”</w:t>
      </w:r>
      <w:r>
        <w:rPr>
          <w:rFonts w:ascii="宋体" w:hAnsi="宋体" w:eastAsia="宋体" w:cs="宋体"/>
          <w:spacing w:val="-1"/>
          <w:sz w:val="20"/>
          <w:szCs w:val="20"/>
        </w:rPr>
        <w:t>与</w:t>
      </w:r>
      <w:r>
        <w:rPr>
          <w:rFonts w:ascii="微软雅黑" w:hAnsi="微软雅黑" w:eastAsia="微软雅黑" w:cs="微软雅黑"/>
          <w:spacing w:val="-1"/>
          <w:sz w:val="20"/>
          <w:szCs w:val="20"/>
        </w:rPr>
        <w:t>“</w:t>
      </w:r>
      <w:r>
        <w:rPr>
          <w:rFonts w:ascii="宋体" w:hAnsi="宋体" w:eastAsia="宋体" w:cs="宋体"/>
          <w:spacing w:val="-1"/>
          <w:sz w:val="20"/>
          <w:szCs w:val="20"/>
        </w:rPr>
        <w:t>学者</w:t>
      </w:r>
      <w:r>
        <w:rPr>
          <w:rFonts w:ascii="微软雅黑" w:hAnsi="微软雅黑" w:eastAsia="微软雅黑" w:cs="微软雅黑"/>
          <w:spacing w:val="-1"/>
          <w:sz w:val="20"/>
          <w:szCs w:val="20"/>
        </w:rPr>
        <w:t>”</w:t>
      </w:r>
      <w:r>
        <w:rPr>
          <w:rFonts w:ascii="宋体" w:hAnsi="宋体" w:eastAsia="宋体" w:cs="宋体"/>
          <w:spacing w:val="-1"/>
          <w:sz w:val="20"/>
          <w:szCs w:val="20"/>
        </w:rPr>
        <w:t xml:space="preserve">角色有机统一起来，扮演与履行好 </w:t>
      </w:r>
      <w:r>
        <w:rPr>
          <w:rFonts w:ascii="宋体" w:hAnsi="宋体" w:eastAsia="宋体" w:cs="宋体"/>
          <w:spacing w:val="8"/>
          <w:sz w:val="20"/>
          <w:szCs w:val="20"/>
        </w:rPr>
        <w:t>教学者的责任</w:t>
      </w:r>
      <w:r>
        <w:rPr>
          <w:rFonts w:ascii="微软雅黑" w:hAnsi="微软雅黑" w:eastAsia="微软雅黑" w:cs="微软雅黑"/>
          <w:spacing w:val="8"/>
          <w:sz w:val="20"/>
          <w:szCs w:val="20"/>
        </w:rPr>
        <w:t>。“</w:t>
      </w:r>
      <w:r>
        <w:rPr>
          <w:rFonts w:ascii="宋体" w:hAnsi="宋体" w:eastAsia="宋体" w:cs="宋体"/>
          <w:spacing w:val="8"/>
          <w:sz w:val="20"/>
          <w:szCs w:val="20"/>
        </w:rPr>
        <w:t>无论大学功能以及教师任务出 现怎样的变化</w:t>
      </w:r>
      <w:r>
        <w:rPr>
          <w:rFonts w:ascii="宋体" w:hAnsi="宋体" w:eastAsia="宋体" w:cs="宋体"/>
          <w:spacing w:val="8"/>
          <w:position w:val="1"/>
          <w:sz w:val="20"/>
          <w:szCs w:val="20"/>
        </w:rPr>
        <w:t>，</w:t>
      </w:r>
      <w:r>
        <w:rPr>
          <w:rFonts w:ascii="宋体" w:hAnsi="宋体" w:eastAsia="宋体" w:cs="宋体"/>
          <w:spacing w:val="8"/>
          <w:sz w:val="20"/>
          <w:szCs w:val="20"/>
        </w:rPr>
        <w:t xml:space="preserve">大学教师作为教学者的责任应该 </w:t>
      </w:r>
      <w:r>
        <w:rPr>
          <w:rFonts w:ascii="宋体" w:hAnsi="宋体" w:eastAsia="宋体" w:cs="宋体"/>
          <w:spacing w:val="-10"/>
          <w:position w:val="-1"/>
          <w:sz w:val="20"/>
          <w:szCs w:val="20"/>
        </w:rPr>
        <w:t>始终得到坚守</w:t>
      </w:r>
      <w:r>
        <w:rPr>
          <w:rFonts w:ascii="微软雅黑" w:hAnsi="微软雅黑" w:eastAsia="微软雅黑" w:cs="微软雅黑"/>
          <w:spacing w:val="-10"/>
          <w:sz w:val="20"/>
          <w:szCs w:val="20"/>
        </w:rPr>
        <w:t>。</w:t>
      </w:r>
      <w:r>
        <w:rPr>
          <w:rFonts w:ascii="宋体" w:hAnsi="宋体" w:eastAsia="宋体" w:cs="宋体"/>
          <w:spacing w:val="-10"/>
          <w:position w:val="8"/>
          <w:sz w:val="11"/>
          <w:szCs w:val="11"/>
        </w:rPr>
        <w:t>［</w:t>
      </w:r>
      <w:r>
        <w:rPr>
          <w:rFonts w:ascii="微软雅黑" w:hAnsi="微软雅黑" w:eastAsia="微软雅黑" w:cs="微软雅黑"/>
          <w:spacing w:val="-10"/>
          <w:position w:val="8"/>
          <w:sz w:val="11"/>
          <w:szCs w:val="11"/>
        </w:rPr>
        <w:t>15</w:t>
      </w:r>
      <w:r>
        <w:rPr>
          <w:rFonts w:ascii="宋体" w:hAnsi="宋体" w:eastAsia="宋体" w:cs="宋体"/>
          <w:spacing w:val="-10"/>
          <w:position w:val="8"/>
          <w:sz w:val="11"/>
          <w:szCs w:val="11"/>
        </w:rPr>
        <w:t>］</w:t>
      </w:r>
      <w:r>
        <w:rPr>
          <w:rFonts w:ascii="宋体" w:hAnsi="宋体" w:eastAsia="宋体" w:cs="宋体"/>
          <w:spacing w:val="-22"/>
          <w:position w:val="8"/>
          <w:sz w:val="11"/>
          <w:szCs w:val="11"/>
        </w:rPr>
        <w:t xml:space="preserve"> </w:t>
      </w:r>
      <w:r>
        <w:rPr>
          <w:rFonts w:ascii="微软雅黑" w:hAnsi="微软雅黑" w:eastAsia="微软雅黑" w:cs="微软雅黑"/>
          <w:spacing w:val="-10"/>
          <w:sz w:val="20"/>
          <w:szCs w:val="20"/>
        </w:rPr>
        <w:t>”</w:t>
      </w:r>
    </w:p>
    <w:p>
      <w:pPr>
        <w:spacing w:before="75" w:line="264" w:lineRule="auto"/>
        <w:ind w:left="933" w:right="329" w:firstLine="456"/>
        <w:rPr>
          <w:rFonts w:ascii="黑体" w:hAnsi="黑体" w:eastAsia="黑体" w:cs="黑体"/>
          <w:sz w:val="20"/>
          <w:szCs w:val="20"/>
        </w:rPr>
      </w:pPr>
      <w:r>
        <w:rPr>
          <w:rFonts w:ascii="黑体" w:hAnsi="黑体" w:eastAsia="黑体" w:cs="黑体"/>
          <w:spacing w:val="3"/>
          <w:sz w:val="20"/>
          <w:szCs w:val="20"/>
        </w:rPr>
        <w:t>(二)</w:t>
      </w:r>
      <w:r>
        <w:rPr>
          <w:rFonts w:ascii="黑体" w:hAnsi="黑体" w:eastAsia="黑体" w:cs="黑体"/>
          <w:spacing w:val="-22"/>
          <w:sz w:val="20"/>
          <w:szCs w:val="20"/>
        </w:rPr>
        <w:t xml:space="preserve"> </w:t>
      </w:r>
      <w:r>
        <w:rPr>
          <w:rFonts w:ascii="黑体" w:hAnsi="黑体" w:eastAsia="黑体" w:cs="黑体"/>
          <w:spacing w:val="3"/>
          <w:sz w:val="20"/>
          <w:szCs w:val="20"/>
        </w:rPr>
        <w:t>健全教学学术管理机制，保障高校教学</w:t>
      </w:r>
      <w:r>
        <w:rPr>
          <w:rFonts w:ascii="黑体" w:hAnsi="黑体" w:eastAsia="黑体" w:cs="黑体"/>
          <w:sz w:val="20"/>
          <w:szCs w:val="20"/>
        </w:rPr>
        <w:t xml:space="preserve"> </w:t>
      </w:r>
      <w:r>
        <w:rPr>
          <w:rFonts w:ascii="黑体" w:hAnsi="黑体" w:eastAsia="黑体" w:cs="黑体"/>
          <w:spacing w:val="7"/>
          <w:sz w:val="20"/>
          <w:szCs w:val="20"/>
        </w:rPr>
        <w:t>质量文化建设</w:t>
      </w:r>
    </w:p>
    <w:p>
      <w:pPr>
        <w:spacing w:before="106" w:line="246" w:lineRule="auto"/>
        <w:ind w:left="931" w:right="257" w:firstLine="433"/>
        <w:rPr>
          <w:rFonts w:ascii="微软雅黑" w:hAnsi="微软雅黑" w:eastAsia="微软雅黑" w:cs="微软雅黑"/>
          <w:sz w:val="20"/>
          <w:szCs w:val="20"/>
        </w:rPr>
      </w:pPr>
      <w:r>
        <w:rPr>
          <w:rFonts w:ascii="宋体" w:hAnsi="宋体" w:eastAsia="宋体" w:cs="宋体"/>
          <w:spacing w:val="12"/>
          <w:sz w:val="20"/>
          <w:szCs w:val="20"/>
        </w:rPr>
        <w:t>完善的教学学术管理机制对保障高校教师</w:t>
      </w:r>
      <w:r>
        <w:rPr>
          <w:rFonts w:ascii="微软雅黑" w:hAnsi="微软雅黑" w:eastAsia="微软雅黑" w:cs="微软雅黑"/>
          <w:spacing w:val="12"/>
          <w:position w:val="1"/>
          <w:sz w:val="20"/>
          <w:szCs w:val="20"/>
        </w:rPr>
        <w:t>、</w:t>
      </w:r>
      <w:r>
        <w:rPr>
          <w:rFonts w:ascii="微软雅黑" w:hAnsi="微软雅黑" w:eastAsia="微软雅黑" w:cs="微软雅黑"/>
          <w:spacing w:val="7"/>
          <w:position w:val="1"/>
          <w:sz w:val="20"/>
          <w:szCs w:val="20"/>
        </w:rPr>
        <w:t xml:space="preserve"> </w:t>
      </w:r>
      <w:r>
        <w:rPr>
          <w:rFonts w:ascii="宋体" w:hAnsi="宋体" w:eastAsia="宋体" w:cs="宋体"/>
          <w:spacing w:val="8"/>
          <w:sz w:val="20"/>
          <w:szCs w:val="20"/>
        </w:rPr>
        <w:t>管理者与学生从事教学活动</w:t>
      </w:r>
      <w:r>
        <w:rPr>
          <w:rFonts w:ascii="宋体" w:hAnsi="宋体" w:eastAsia="宋体" w:cs="宋体"/>
          <w:spacing w:val="8"/>
          <w:position w:val="1"/>
          <w:sz w:val="20"/>
          <w:szCs w:val="20"/>
        </w:rPr>
        <w:t>，</w:t>
      </w:r>
      <w:r>
        <w:rPr>
          <w:rFonts w:ascii="宋体" w:hAnsi="宋体" w:eastAsia="宋体" w:cs="宋体"/>
          <w:spacing w:val="8"/>
          <w:sz w:val="20"/>
          <w:szCs w:val="20"/>
        </w:rPr>
        <w:t>促进高校教学质量 文化建设具有重要作用</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健全高校教学学术管理 机制是教学学术得以顺利进行的必要手段</w:t>
      </w:r>
      <w:r>
        <w:rPr>
          <w:rFonts w:ascii="宋体" w:hAnsi="宋体" w:eastAsia="宋体" w:cs="宋体"/>
          <w:spacing w:val="8"/>
          <w:position w:val="1"/>
          <w:sz w:val="20"/>
          <w:szCs w:val="20"/>
        </w:rPr>
        <w:t>，</w:t>
      </w:r>
      <w:r>
        <w:rPr>
          <w:rFonts w:ascii="宋体" w:hAnsi="宋体" w:eastAsia="宋体" w:cs="宋体"/>
          <w:spacing w:val="8"/>
          <w:sz w:val="20"/>
          <w:szCs w:val="20"/>
        </w:rPr>
        <w:t xml:space="preserve">是建 </w:t>
      </w:r>
      <w:r>
        <w:rPr>
          <w:rFonts w:ascii="宋体" w:hAnsi="宋体" w:eastAsia="宋体" w:cs="宋体"/>
          <w:spacing w:val="9"/>
          <w:sz w:val="20"/>
          <w:szCs w:val="20"/>
        </w:rPr>
        <w:t>设高水平高校教学质量文化的重要保障</w:t>
      </w:r>
      <w:r>
        <w:rPr>
          <w:rFonts w:ascii="微软雅黑" w:hAnsi="微软雅黑" w:eastAsia="微软雅黑" w:cs="微软雅黑"/>
          <w:spacing w:val="9"/>
          <w:position w:val="1"/>
          <w:sz w:val="20"/>
          <w:szCs w:val="20"/>
        </w:rPr>
        <w:t>。</w:t>
      </w:r>
    </w:p>
    <w:p>
      <w:pPr>
        <w:spacing w:before="83" w:line="185" w:lineRule="auto"/>
        <w:ind w:left="1354"/>
        <w:rPr>
          <w:rFonts w:ascii="宋体" w:hAnsi="宋体" w:eastAsia="宋体" w:cs="宋体"/>
          <w:sz w:val="20"/>
          <w:szCs w:val="20"/>
        </w:rPr>
      </w:pPr>
      <w:r>
        <w:rPr>
          <w:rFonts w:ascii="微软雅黑" w:hAnsi="微软雅黑" w:eastAsia="微软雅黑" w:cs="微软雅黑"/>
          <w:spacing w:val="-2"/>
          <w:sz w:val="20"/>
          <w:szCs w:val="20"/>
        </w:rPr>
        <w:t>1．</w:t>
      </w:r>
      <w:r>
        <w:rPr>
          <w:rFonts w:ascii="宋体" w:hAnsi="宋体" w:eastAsia="宋体" w:cs="宋体"/>
          <w:spacing w:val="-2"/>
          <w:sz w:val="20"/>
          <w:szCs w:val="20"/>
        </w:rPr>
        <w:t>提高教学学术的领导质量</w:t>
      </w:r>
    </w:p>
    <w:p>
      <w:pPr>
        <w:spacing w:before="73" w:line="246" w:lineRule="auto"/>
        <w:ind w:left="932" w:right="256" w:firstLine="424"/>
        <w:rPr>
          <w:rFonts w:ascii="微软雅黑" w:hAnsi="微软雅黑" w:eastAsia="微软雅黑" w:cs="微软雅黑"/>
          <w:sz w:val="20"/>
          <w:szCs w:val="20"/>
        </w:rPr>
      </w:pPr>
      <w:r>
        <w:rPr>
          <w:rFonts w:ascii="宋体" w:hAnsi="宋体" w:eastAsia="宋体" w:cs="宋体"/>
          <w:spacing w:val="8"/>
          <w:sz w:val="20"/>
          <w:szCs w:val="20"/>
        </w:rPr>
        <w:t>高校教学质量文化建设需要学校领导和各级 管理者拥有强烈的教学质量意识</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科学的教学质 量价值观念和坚定的教学质量信念</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对于教学质 </w:t>
      </w:r>
      <w:r>
        <w:rPr>
          <w:rFonts w:ascii="宋体" w:hAnsi="宋体" w:eastAsia="宋体" w:cs="宋体"/>
          <w:spacing w:val="3"/>
          <w:sz w:val="20"/>
          <w:szCs w:val="20"/>
        </w:rPr>
        <w:t>量文化建设而言</w:t>
      </w:r>
      <w:r>
        <w:rPr>
          <w:rFonts w:ascii="宋体" w:hAnsi="宋体" w:eastAsia="宋体" w:cs="宋体"/>
          <w:spacing w:val="3"/>
          <w:position w:val="1"/>
          <w:sz w:val="20"/>
          <w:szCs w:val="20"/>
        </w:rPr>
        <w:t>，</w:t>
      </w:r>
      <w:r>
        <w:rPr>
          <w:rFonts w:ascii="微软雅黑" w:hAnsi="微软雅黑" w:eastAsia="微软雅黑" w:cs="微软雅黑"/>
          <w:spacing w:val="3"/>
          <w:position w:val="1"/>
          <w:sz w:val="20"/>
          <w:szCs w:val="20"/>
        </w:rPr>
        <w:t>“</w:t>
      </w:r>
      <w:r>
        <w:rPr>
          <w:rFonts w:ascii="宋体" w:hAnsi="宋体" w:eastAsia="宋体" w:cs="宋体"/>
          <w:spacing w:val="3"/>
          <w:sz w:val="20"/>
          <w:szCs w:val="20"/>
        </w:rPr>
        <w:t>最高管理层必须有质量意识</w:t>
      </w:r>
      <w:r>
        <w:rPr>
          <w:rFonts w:ascii="微软雅黑" w:hAnsi="微软雅黑" w:eastAsia="微软雅黑" w:cs="微软雅黑"/>
          <w:spacing w:val="3"/>
          <w:position w:val="1"/>
          <w:sz w:val="20"/>
          <w:szCs w:val="20"/>
        </w:rPr>
        <w:t xml:space="preserve">。 </w:t>
      </w:r>
      <w:r>
        <w:rPr>
          <w:rFonts w:ascii="宋体" w:hAnsi="宋体" w:eastAsia="宋体" w:cs="宋体"/>
          <w:spacing w:val="8"/>
          <w:sz w:val="20"/>
          <w:szCs w:val="20"/>
        </w:rPr>
        <w:t>假如最高管理层都不能表明对质量的重视</w:t>
      </w:r>
      <w:r>
        <w:rPr>
          <w:rFonts w:ascii="宋体" w:hAnsi="宋体" w:eastAsia="宋体" w:cs="宋体"/>
          <w:spacing w:val="8"/>
          <w:position w:val="1"/>
          <w:sz w:val="20"/>
          <w:szCs w:val="20"/>
        </w:rPr>
        <w:t>，</w:t>
      </w:r>
      <w:r>
        <w:rPr>
          <w:rFonts w:ascii="宋体" w:hAnsi="宋体" w:eastAsia="宋体" w:cs="宋体"/>
          <w:spacing w:val="8"/>
          <w:sz w:val="20"/>
          <w:szCs w:val="20"/>
        </w:rPr>
        <w:t xml:space="preserve">下面 </w:t>
      </w:r>
      <w:r>
        <w:rPr>
          <w:rFonts w:ascii="宋体" w:hAnsi="宋体" w:eastAsia="宋体" w:cs="宋体"/>
          <w:spacing w:val="-11"/>
          <w:sz w:val="20"/>
          <w:szCs w:val="20"/>
        </w:rPr>
        <w:t>的人就更不会</w:t>
      </w:r>
      <w:r>
        <w:rPr>
          <w:rFonts w:ascii="微软雅黑" w:hAnsi="微软雅黑" w:eastAsia="微软雅黑" w:cs="微软雅黑"/>
          <w:spacing w:val="-11"/>
          <w:sz w:val="20"/>
          <w:szCs w:val="20"/>
        </w:rPr>
        <w:t>。</w:t>
      </w:r>
      <w:r>
        <w:rPr>
          <w:rFonts w:ascii="宋体" w:hAnsi="宋体" w:eastAsia="宋体" w:cs="宋体"/>
          <w:spacing w:val="-11"/>
          <w:position w:val="9"/>
          <w:sz w:val="11"/>
          <w:szCs w:val="11"/>
        </w:rPr>
        <w:t>［</w:t>
      </w:r>
      <w:r>
        <w:rPr>
          <w:rFonts w:ascii="微软雅黑" w:hAnsi="微软雅黑" w:eastAsia="微软雅黑" w:cs="微软雅黑"/>
          <w:spacing w:val="-11"/>
          <w:position w:val="9"/>
          <w:sz w:val="11"/>
          <w:szCs w:val="11"/>
        </w:rPr>
        <w:t>16</w:t>
      </w:r>
      <w:r>
        <w:rPr>
          <w:rFonts w:ascii="宋体" w:hAnsi="宋体" w:eastAsia="宋体" w:cs="宋体"/>
          <w:spacing w:val="-11"/>
          <w:position w:val="9"/>
          <w:sz w:val="11"/>
          <w:szCs w:val="11"/>
        </w:rPr>
        <w:t>］</w:t>
      </w:r>
      <w:r>
        <w:rPr>
          <w:rFonts w:ascii="宋体" w:hAnsi="宋体" w:eastAsia="宋体" w:cs="宋体"/>
          <w:spacing w:val="-20"/>
          <w:position w:val="9"/>
          <w:sz w:val="11"/>
          <w:szCs w:val="11"/>
        </w:rPr>
        <w:t xml:space="preserve"> </w:t>
      </w:r>
      <w:r>
        <w:rPr>
          <w:rFonts w:ascii="微软雅黑" w:hAnsi="微软雅黑" w:eastAsia="微软雅黑" w:cs="微软雅黑"/>
          <w:spacing w:val="9"/>
          <w:sz w:val="20"/>
          <w:szCs w:val="20"/>
        </w:rPr>
        <w:t>”</w:t>
      </w:r>
      <w:r>
        <w:rPr>
          <w:rFonts w:ascii="宋体" w:hAnsi="宋体" w:eastAsia="宋体" w:cs="宋体"/>
          <w:spacing w:val="9"/>
          <w:sz w:val="20"/>
          <w:szCs w:val="20"/>
        </w:rPr>
        <w:t xml:space="preserve">学校领导和各级管理者应不 </w:t>
      </w:r>
      <w:r>
        <w:rPr>
          <w:rFonts w:ascii="宋体" w:hAnsi="宋体" w:eastAsia="宋体" w:cs="宋体"/>
          <w:spacing w:val="8"/>
          <w:sz w:val="20"/>
          <w:szCs w:val="20"/>
        </w:rPr>
        <w:t>断提高教学学术的领导能力与水平</w:t>
      </w:r>
      <w:r>
        <w:rPr>
          <w:rFonts w:ascii="宋体" w:hAnsi="宋体" w:eastAsia="宋体" w:cs="宋体"/>
          <w:spacing w:val="8"/>
          <w:position w:val="1"/>
          <w:sz w:val="20"/>
          <w:szCs w:val="20"/>
        </w:rPr>
        <w:t>，</w:t>
      </w:r>
      <w:r>
        <w:rPr>
          <w:rFonts w:ascii="宋体" w:hAnsi="宋体" w:eastAsia="宋体" w:cs="宋体"/>
          <w:spacing w:val="8"/>
          <w:sz w:val="20"/>
          <w:szCs w:val="20"/>
        </w:rPr>
        <w:t>以强烈的教 学质量意识重视教学学术</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以开放的方式宣传教 </w:t>
      </w:r>
      <w:r>
        <w:rPr>
          <w:rFonts w:ascii="宋体" w:hAnsi="宋体" w:eastAsia="宋体" w:cs="宋体"/>
          <w:spacing w:val="-1"/>
          <w:sz w:val="20"/>
          <w:szCs w:val="20"/>
        </w:rPr>
        <w:t>学学术</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以先进的管理理念引导教学学术</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 xml:space="preserve">以优质 </w:t>
      </w:r>
      <w:r>
        <w:rPr>
          <w:rFonts w:ascii="宋体" w:hAnsi="宋体" w:eastAsia="宋体" w:cs="宋体"/>
          <w:spacing w:val="8"/>
          <w:sz w:val="20"/>
          <w:szCs w:val="20"/>
        </w:rPr>
        <w:t>与民主的管理方式服务教学学术</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以饱满的热情 </w:t>
      </w:r>
      <w:r>
        <w:rPr>
          <w:rFonts w:ascii="宋体" w:hAnsi="宋体" w:eastAsia="宋体" w:cs="宋体"/>
          <w:spacing w:val="3"/>
          <w:sz w:val="20"/>
          <w:szCs w:val="20"/>
        </w:rPr>
        <w:t>参与教学学术</w:t>
      </w:r>
      <w:r>
        <w:rPr>
          <w:rFonts w:ascii="微软雅黑" w:hAnsi="微软雅黑" w:eastAsia="微软雅黑" w:cs="微软雅黑"/>
          <w:spacing w:val="3"/>
          <w:position w:val="1"/>
          <w:sz w:val="20"/>
          <w:szCs w:val="20"/>
        </w:rPr>
        <w:t>、</w:t>
      </w:r>
      <w:r>
        <w:rPr>
          <w:rFonts w:ascii="宋体" w:hAnsi="宋体" w:eastAsia="宋体" w:cs="宋体"/>
          <w:spacing w:val="3"/>
          <w:sz w:val="20"/>
          <w:szCs w:val="20"/>
        </w:rPr>
        <w:t>以身体力行的方式彰显教学学术</w:t>
      </w:r>
      <w:r>
        <w:rPr>
          <w:rFonts w:ascii="微软雅黑" w:hAnsi="微软雅黑" w:eastAsia="微软雅黑" w:cs="微软雅黑"/>
          <w:spacing w:val="3"/>
          <w:position w:val="1"/>
          <w:sz w:val="20"/>
          <w:szCs w:val="20"/>
        </w:rPr>
        <w:t>。</w:t>
      </w:r>
    </w:p>
    <w:p>
      <w:pPr>
        <w:spacing w:before="82" w:line="194" w:lineRule="exact"/>
        <w:ind w:firstLine="922"/>
      </w:pPr>
      <w:r>
        <w:rPr>
          <w:position w:val="-3"/>
        </w:rPr>
        <w:pict>
          <v:shape id="_x0000_s1057" o:spid="_x0000_s1057" o:spt="202" type="#_x0000_t202" style="height:9.7pt;width:22.3pt;" fillcolor="#0064B2" filled="t" stroked="f" coordsize="21600,21600">
            <v:path/>
            <v:fill on="t" focussize="0,0"/>
            <v:stroke on="f"/>
            <v:imagedata o:title=""/>
            <o:lock v:ext="edit" aspectratio="f"/>
            <v:textbox inset="0mm,0mm,0mm,0mm">
              <w:txbxContent>
                <w:p>
                  <w:pPr>
                    <w:spacing w:before="26" w:line="166" w:lineRule="auto"/>
                    <w:ind w:left="123"/>
                    <w:rPr>
                      <w:rFonts w:ascii="微软雅黑" w:hAnsi="微软雅黑" w:eastAsia="微软雅黑" w:cs="微软雅黑"/>
                      <w:sz w:val="19"/>
                      <w:szCs w:val="19"/>
                    </w:rPr>
                  </w:pPr>
                  <w:r>
                    <w:rPr>
                      <w:rFonts w:ascii="微软雅黑" w:hAnsi="微软雅黑" w:eastAsia="微软雅黑" w:cs="微软雅黑"/>
                      <w:color w:val="FFFFFF"/>
                      <w:spacing w:val="-5"/>
                      <w:sz w:val="19"/>
                      <w:szCs w:val="19"/>
                    </w:rPr>
                    <w:t>26</w:t>
                  </w:r>
                </w:p>
              </w:txbxContent>
            </v:textbox>
            <w10:wrap type="none"/>
            <w10:anchorlock/>
          </v:shape>
        </w:pict>
      </w:r>
    </w:p>
    <w:p>
      <w:pPr>
        <w:spacing w:line="14" w:lineRule="auto"/>
        <w:rPr>
          <w:rFonts w:ascii="Arial"/>
          <w:sz w:val="2"/>
        </w:rPr>
      </w:pPr>
      <w:r>
        <w:rPr>
          <w:rFonts w:ascii="Arial" w:hAnsi="Arial" w:eastAsia="Arial" w:cs="Arial"/>
          <w:sz w:val="2"/>
          <w:szCs w:val="2"/>
        </w:rPr>
        <w:br w:type="column"/>
      </w:r>
    </w:p>
    <w:p>
      <w:pPr>
        <w:spacing w:line="337" w:lineRule="auto"/>
        <w:rPr>
          <w:rFonts w:ascii="Arial"/>
          <w:sz w:val="21"/>
        </w:rPr>
      </w:pPr>
    </w:p>
    <w:p>
      <w:pPr>
        <w:spacing w:line="337" w:lineRule="auto"/>
        <w:rPr>
          <w:rFonts w:ascii="Arial"/>
          <w:sz w:val="21"/>
        </w:rPr>
      </w:pPr>
    </w:p>
    <w:p>
      <w:pPr>
        <w:spacing w:before="65" w:line="274" w:lineRule="auto"/>
        <w:ind w:right="16" w:firstLine="4"/>
        <w:jc w:val="both"/>
        <w:rPr>
          <w:rFonts w:ascii="微软雅黑" w:hAnsi="微软雅黑" w:eastAsia="微软雅黑" w:cs="微软雅黑"/>
          <w:sz w:val="20"/>
          <w:szCs w:val="20"/>
        </w:rPr>
      </w:pPr>
      <w:r>
        <w:rPr>
          <w:rFonts w:ascii="宋体" w:hAnsi="宋体" w:eastAsia="宋体" w:cs="宋体"/>
          <w:spacing w:val="9"/>
          <w:sz w:val="20"/>
          <w:szCs w:val="20"/>
        </w:rPr>
        <w:t>学校领导和管理者只有高度重视教学学术</w:t>
      </w:r>
      <w:r>
        <w:rPr>
          <w:rFonts w:ascii="宋体" w:hAnsi="宋体" w:eastAsia="宋体" w:cs="宋体"/>
          <w:spacing w:val="9"/>
          <w:position w:val="1"/>
          <w:sz w:val="20"/>
          <w:szCs w:val="20"/>
        </w:rPr>
        <w:t>，</w:t>
      </w:r>
      <w:r>
        <w:rPr>
          <w:rFonts w:ascii="宋体" w:hAnsi="宋体" w:eastAsia="宋体" w:cs="宋体"/>
          <w:spacing w:val="9"/>
          <w:sz w:val="20"/>
          <w:szCs w:val="20"/>
        </w:rPr>
        <w:t>通过</w:t>
      </w:r>
      <w:r>
        <w:rPr>
          <w:rFonts w:ascii="宋体" w:hAnsi="宋体" w:eastAsia="宋体" w:cs="宋体"/>
          <w:spacing w:val="5"/>
          <w:sz w:val="20"/>
          <w:szCs w:val="20"/>
        </w:rPr>
        <w:t xml:space="preserve"> </w:t>
      </w:r>
      <w:r>
        <w:rPr>
          <w:rFonts w:ascii="宋体" w:hAnsi="宋体" w:eastAsia="宋体" w:cs="宋体"/>
          <w:spacing w:val="12"/>
          <w:sz w:val="20"/>
          <w:szCs w:val="20"/>
        </w:rPr>
        <w:t>科学而充满人文情怀的管理方式促进教学学术</w:t>
      </w:r>
      <w:r>
        <w:rPr>
          <w:rFonts w:ascii="宋体" w:hAnsi="宋体" w:eastAsia="宋体" w:cs="宋体"/>
          <w:spacing w:val="12"/>
          <w:position w:val="1"/>
          <w:sz w:val="20"/>
          <w:szCs w:val="20"/>
        </w:rPr>
        <w:t>，</w:t>
      </w:r>
      <w:r>
        <w:rPr>
          <w:rFonts w:ascii="宋体" w:hAnsi="宋体" w:eastAsia="宋体" w:cs="宋体"/>
          <w:spacing w:val="3"/>
          <w:position w:val="1"/>
          <w:sz w:val="20"/>
          <w:szCs w:val="20"/>
        </w:rPr>
        <w:t xml:space="preserve"> </w:t>
      </w:r>
      <w:r>
        <w:rPr>
          <w:rFonts w:ascii="宋体" w:hAnsi="宋体" w:eastAsia="宋体" w:cs="宋体"/>
          <w:spacing w:val="9"/>
          <w:sz w:val="20"/>
          <w:szCs w:val="20"/>
        </w:rPr>
        <w:t>才能真正激发广大教职工与学生坚持教学的中心</w:t>
      </w:r>
      <w:r>
        <w:rPr>
          <w:rFonts w:ascii="宋体" w:hAnsi="宋体" w:eastAsia="宋体" w:cs="宋体"/>
          <w:spacing w:val="6"/>
          <w:sz w:val="20"/>
          <w:szCs w:val="20"/>
        </w:rPr>
        <w:t xml:space="preserve"> </w:t>
      </w:r>
      <w:r>
        <w:rPr>
          <w:rFonts w:ascii="宋体" w:hAnsi="宋体" w:eastAsia="宋体" w:cs="宋体"/>
          <w:sz w:val="20"/>
          <w:szCs w:val="20"/>
        </w:rPr>
        <w:t>地位</w:t>
      </w:r>
      <w:r>
        <w:rPr>
          <w:rFonts w:ascii="宋体" w:hAnsi="宋体" w:eastAsia="宋体" w:cs="宋体"/>
          <w:position w:val="1"/>
          <w:sz w:val="20"/>
          <w:szCs w:val="20"/>
        </w:rPr>
        <w:t>，</w:t>
      </w:r>
      <w:r>
        <w:rPr>
          <w:rFonts w:ascii="宋体" w:hAnsi="宋体" w:eastAsia="宋体" w:cs="宋体"/>
          <w:sz w:val="20"/>
          <w:szCs w:val="20"/>
        </w:rPr>
        <w:t>积极主动开展教学研究和改善教学</w:t>
      </w:r>
      <w:r>
        <w:rPr>
          <w:rFonts w:ascii="宋体" w:hAnsi="宋体" w:eastAsia="宋体" w:cs="宋体"/>
          <w:position w:val="1"/>
          <w:sz w:val="20"/>
          <w:szCs w:val="20"/>
        </w:rPr>
        <w:t>，</w:t>
      </w:r>
      <w:r>
        <w:rPr>
          <w:rFonts w:ascii="宋体" w:hAnsi="宋体" w:eastAsia="宋体" w:cs="宋体"/>
          <w:sz w:val="20"/>
          <w:szCs w:val="20"/>
        </w:rPr>
        <w:t>才</w:t>
      </w:r>
      <w:r>
        <w:rPr>
          <w:rFonts w:ascii="宋体" w:hAnsi="宋体" w:eastAsia="宋体" w:cs="宋体"/>
          <w:spacing w:val="-1"/>
          <w:sz w:val="20"/>
          <w:szCs w:val="20"/>
        </w:rPr>
        <w:t>能真</w:t>
      </w:r>
      <w:r>
        <w:rPr>
          <w:rFonts w:ascii="宋体" w:hAnsi="宋体" w:eastAsia="宋体" w:cs="宋体"/>
          <w:sz w:val="20"/>
          <w:szCs w:val="20"/>
        </w:rPr>
        <w:t xml:space="preserve"> </w:t>
      </w:r>
      <w:r>
        <w:rPr>
          <w:rFonts w:ascii="宋体" w:hAnsi="宋体" w:eastAsia="宋体" w:cs="宋体"/>
          <w:spacing w:val="9"/>
          <w:sz w:val="20"/>
          <w:szCs w:val="20"/>
        </w:rPr>
        <w:t>正实现全体成员参与教学质量文化建设</w:t>
      </w:r>
      <w:r>
        <w:rPr>
          <w:rFonts w:ascii="微软雅黑" w:hAnsi="微软雅黑" w:eastAsia="微软雅黑" w:cs="微软雅黑"/>
          <w:spacing w:val="9"/>
          <w:position w:val="1"/>
          <w:sz w:val="20"/>
          <w:szCs w:val="20"/>
        </w:rPr>
        <w:t>。</w:t>
      </w:r>
    </w:p>
    <w:p>
      <w:pPr>
        <w:spacing w:before="83" w:line="185" w:lineRule="auto"/>
        <w:ind w:left="407"/>
        <w:rPr>
          <w:rFonts w:ascii="宋体" w:hAnsi="宋体" w:eastAsia="宋体" w:cs="宋体"/>
          <w:sz w:val="20"/>
          <w:szCs w:val="20"/>
        </w:rPr>
      </w:pPr>
      <w:r>
        <w:rPr>
          <w:rFonts w:ascii="微软雅黑" w:hAnsi="微软雅黑" w:eastAsia="微软雅黑" w:cs="微软雅黑"/>
          <w:sz w:val="20"/>
          <w:szCs w:val="20"/>
        </w:rPr>
        <w:t>2．</w:t>
      </w:r>
      <w:r>
        <w:rPr>
          <w:rFonts w:ascii="宋体" w:hAnsi="宋体" w:eastAsia="宋体" w:cs="宋体"/>
          <w:sz w:val="20"/>
          <w:szCs w:val="20"/>
        </w:rPr>
        <w:t>建立健全教学学术评价机制</w:t>
      </w:r>
    </w:p>
    <w:p>
      <w:pPr>
        <w:spacing w:before="66" w:line="248" w:lineRule="auto"/>
        <w:ind w:firstLine="420"/>
        <w:rPr>
          <w:rFonts w:ascii="微软雅黑" w:hAnsi="微软雅黑" w:eastAsia="微软雅黑" w:cs="微软雅黑"/>
          <w:sz w:val="20"/>
          <w:szCs w:val="20"/>
        </w:rPr>
      </w:pPr>
      <w:r>
        <w:rPr>
          <w:rFonts w:ascii="宋体" w:hAnsi="宋体" w:eastAsia="宋体" w:cs="宋体"/>
          <w:spacing w:val="2"/>
          <w:sz w:val="20"/>
          <w:szCs w:val="20"/>
        </w:rPr>
        <w:t>在高校教师与管理者的招聘选拔</w:t>
      </w:r>
      <w:r>
        <w:rPr>
          <w:rFonts w:ascii="微软雅黑" w:hAnsi="微软雅黑" w:eastAsia="微软雅黑" w:cs="微软雅黑"/>
          <w:spacing w:val="2"/>
          <w:position w:val="1"/>
          <w:sz w:val="20"/>
          <w:szCs w:val="20"/>
        </w:rPr>
        <w:t>、</w:t>
      </w:r>
      <w:r>
        <w:rPr>
          <w:rFonts w:ascii="宋体" w:hAnsi="宋体" w:eastAsia="宋体" w:cs="宋体"/>
          <w:spacing w:val="2"/>
          <w:sz w:val="20"/>
          <w:szCs w:val="20"/>
        </w:rPr>
        <w:t>年终考核</w:t>
      </w:r>
      <w:r>
        <w:rPr>
          <w:rFonts w:ascii="微软雅黑" w:hAnsi="微软雅黑" w:eastAsia="微软雅黑" w:cs="微软雅黑"/>
          <w:spacing w:val="2"/>
          <w:position w:val="1"/>
          <w:sz w:val="20"/>
          <w:szCs w:val="20"/>
        </w:rPr>
        <w:t>、</w:t>
      </w:r>
      <w:r>
        <w:rPr>
          <w:rFonts w:ascii="微软雅黑" w:hAnsi="微软雅黑" w:eastAsia="微软雅黑" w:cs="微软雅黑"/>
          <w:spacing w:val="12"/>
          <w:position w:val="1"/>
          <w:sz w:val="20"/>
          <w:szCs w:val="20"/>
        </w:rPr>
        <w:t xml:space="preserve"> </w:t>
      </w:r>
      <w:r>
        <w:rPr>
          <w:rFonts w:ascii="宋体" w:hAnsi="宋体" w:eastAsia="宋体" w:cs="宋体"/>
          <w:spacing w:val="-1"/>
          <w:sz w:val="20"/>
          <w:szCs w:val="20"/>
        </w:rPr>
        <w:t>评优评先</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职称评审</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 xml:space="preserve">职务晋升等环节中应把教学 </w:t>
      </w:r>
      <w:r>
        <w:rPr>
          <w:rFonts w:ascii="宋体" w:hAnsi="宋体" w:eastAsia="宋体" w:cs="宋体"/>
          <w:spacing w:val="8"/>
          <w:sz w:val="20"/>
          <w:szCs w:val="20"/>
        </w:rPr>
        <w:t>学术成果</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能力与水平作为主要的评价维度和基 </w:t>
      </w:r>
      <w:r>
        <w:rPr>
          <w:rFonts w:ascii="宋体" w:hAnsi="宋体" w:eastAsia="宋体" w:cs="宋体"/>
          <w:spacing w:val="3"/>
          <w:sz w:val="20"/>
          <w:szCs w:val="20"/>
        </w:rPr>
        <w:t>本的评价内容</w:t>
      </w:r>
      <w:r>
        <w:rPr>
          <w:rFonts w:ascii="宋体" w:hAnsi="宋体" w:eastAsia="宋体" w:cs="宋体"/>
          <w:spacing w:val="3"/>
          <w:position w:val="1"/>
          <w:sz w:val="20"/>
          <w:szCs w:val="20"/>
        </w:rPr>
        <w:t>，</w:t>
      </w:r>
      <w:r>
        <w:rPr>
          <w:rFonts w:ascii="宋体" w:hAnsi="宋体" w:eastAsia="宋体" w:cs="宋体"/>
          <w:spacing w:val="3"/>
          <w:sz w:val="20"/>
          <w:szCs w:val="20"/>
        </w:rPr>
        <w:t>体现高校教师与管理者研究教学</w:t>
      </w:r>
      <w:r>
        <w:rPr>
          <w:rFonts w:ascii="微软雅黑" w:hAnsi="微软雅黑" w:eastAsia="微软雅黑" w:cs="微软雅黑"/>
          <w:spacing w:val="3"/>
          <w:position w:val="1"/>
          <w:sz w:val="20"/>
          <w:szCs w:val="20"/>
        </w:rPr>
        <w:t>、</w:t>
      </w:r>
      <w:r>
        <w:rPr>
          <w:rFonts w:ascii="微软雅黑" w:hAnsi="微软雅黑" w:eastAsia="微软雅黑" w:cs="微软雅黑"/>
          <w:spacing w:val="6"/>
          <w:position w:val="1"/>
          <w:sz w:val="20"/>
          <w:szCs w:val="20"/>
        </w:rPr>
        <w:t xml:space="preserve"> </w:t>
      </w:r>
      <w:r>
        <w:rPr>
          <w:rFonts w:ascii="宋体" w:hAnsi="宋体" w:eastAsia="宋体" w:cs="宋体"/>
          <w:spacing w:val="8"/>
          <w:sz w:val="20"/>
          <w:szCs w:val="20"/>
        </w:rPr>
        <w:t>改善教学与提高教学质量的价值</w:t>
      </w:r>
      <w:r>
        <w:rPr>
          <w:rFonts w:ascii="宋体" w:hAnsi="宋体" w:eastAsia="宋体" w:cs="宋体"/>
          <w:spacing w:val="8"/>
          <w:position w:val="1"/>
          <w:sz w:val="20"/>
          <w:szCs w:val="20"/>
        </w:rPr>
        <w:t>，</w:t>
      </w:r>
      <w:r>
        <w:rPr>
          <w:rFonts w:ascii="宋体" w:hAnsi="宋体" w:eastAsia="宋体" w:cs="宋体"/>
          <w:spacing w:val="8"/>
          <w:sz w:val="20"/>
          <w:szCs w:val="20"/>
        </w:rPr>
        <w:t>以切实可行的 制度保障教学的中心地位和教学质量的提高</w:t>
      </w:r>
      <w:r>
        <w:rPr>
          <w:rFonts w:ascii="宋体" w:hAnsi="宋体" w:eastAsia="宋体" w:cs="宋体"/>
          <w:spacing w:val="8"/>
          <w:position w:val="1"/>
          <w:sz w:val="20"/>
          <w:szCs w:val="20"/>
        </w:rPr>
        <w:t>，</w:t>
      </w:r>
      <w:r>
        <w:rPr>
          <w:rFonts w:ascii="宋体" w:hAnsi="宋体" w:eastAsia="宋体" w:cs="宋体"/>
          <w:spacing w:val="8"/>
          <w:sz w:val="20"/>
          <w:szCs w:val="20"/>
        </w:rPr>
        <w:t>还 教学应有的尊严与地位</w:t>
      </w:r>
      <w:r>
        <w:rPr>
          <w:rFonts w:ascii="微软雅黑" w:hAnsi="微软雅黑" w:eastAsia="微软雅黑" w:cs="微软雅黑"/>
          <w:spacing w:val="8"/>
          <w:sz w:val="20"/>
          <w:szCs w:val="20"/>
        </w:rPr>
        <w:t>。“</w:t>
      </w:r>
      <w:r>
        <w:rPr>
          <w:rFonts w:ascii="宋体" w:hAnsi="宋体" w:eastAsia="宋体" w:cs="宋体"/>
          <w:spacing w:val="8"/>
          <w:sz w:val="20"/>
          <w:szCs w:val="20"/>
        </w:rPr>
        <w:t>建立健全高校教师教 学学术评价制度应充分体现教学的中心地位</w:t>
      </w:r>
      <w:r>
        <w:rPr>
          <w:rFonts w:ascii="宋体" w:hAnsi="宋体" w:eastAsia="宋体" w:cs="宋体"/>
          <w:spacing w:val="8"/>
          <w:position w:val="1"/>
          <w:sz w:val="20"/>
          <w:szCs w:val="20"/>
        </w:rPr>
        <w:t>，</w:t>
      </w:r>
      <w:r>
        <w:rPr>
          <w:rFonts w:ascii="宋体" w:hAnsi="宋体" w:eastAsia="宋体" w:cs="宋体"/>
          <w:spacing w:val="8"/>
          <w:sz w:val="20"/>
          <w:szCs w:val="20"/>
        </w:rPr>
        <w:t xml:space="preserve">促 </w:t>
      </w:r>
      <w:r>
        <w:rPr>
          <w:rFonts w:ascii="宋体" w:hAnsi="宋体" w:eastAsia="宋体" w:cs="宋体"/>
          <w:spacing w:val="-1"/>
          <w:sz w:val="20"/>
          <w:szCs w:val="20"/>
        </w:rPr>
        <w:t>进高校资源向教学一线倾斜</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保障教学工作</w:t>
      </w:r>
      <w:r>
        <w:rPr>
          <w:rFonts w:ascii="宋体" w:hAnsi="宋体" w:eastAsia="宋体" w:cs="宋体"/>
          <w:spacing w:val="-1"/>
          <w:position w:val="1"/>
          <w:sz w:val="20"/>
          <w:szCs w:val="20"/>
        </w:rPr>
        <w:t>，</w:t>
      </w:r>
      <w:r>
        <w:rPr>
          <w:rFonts w:ascii="宋体" w:hAnsi="宋体" w:eastAsia="宋体" w:cs="宋体"/>
          <w:spacing w:val="-1"/>
          <w:sz w:val="20"/>
          <w:szCs w:val="20"/>
        </w:rPr>
        <w:t xml:space="preserve">高校 </w:t>
      </w:r>
      <w:r>
        <w:rPr>
          <w:rFonts w:ascii="宋体" w:hAnsi="宋体" w:eastAsia="宋体" w:cs="宋体"/>
          <w:spacing w:val="8"/>
          <w:sz w:val="20"/>
          <w:szCs w:val="20"/>
        </w:rPr>
        <w:t>教师自觉研究与改善教学</w:t>
      </w:r>
      <w:r>
        <w:rPr>
          <w:rFonts w:ascii="微软雅黑" w:hAnsi="微软雅黑" w:eastAsia="微软雅黑" w:cs="微软雅黑"/>
          <w:spacing w:val="8"/>
          <w:position w:val="1"/>
          <w:sz w:val="20"/>
          <w:szCs w:val="20"/>
        </w:rPr>
        <w:t>、</w:t>
      </w:r>
      <w:r>
        <w:rPr>
          <w:rFonts w:ascii="宋体" w:hAnsi="宋体" w:eastAsia="宋体" w:cs="宋体"/>
          <w:spacing w:val="8"/>
          <w:sz w:val="20"/>
          <w:szCs w:val="20"/>
        </w:rPr>
        <w:t xml:space="preserve">积极努力提升教学质 </w:t>
      </w:r>
      <w:r>
        <w:rPr>
          <w:rFonts w:ascii="宋体" w:hAnsi="宋体" w:eastAsia="宋体" w:cs="宋体"/>
          <w:spacing w:val="-19"/>
          <w:w w:val="96"/>
          <w:sz w:val="20"/>
          <w:szCs w:val="20"/>
        </w:rPr>
        <w:t>量</w:t>
      </w:r>
      <w:r>
        <w:rPr>
          <w:rFonts w:ascii="微软雅黑" w:hAnsi="微软雅黑" w:eastAsia="微软雅黑" w:cs="微软雅黑"/>
          <w:spacing w:val="-19"/>
          <w:w w:val="96"/>
          <w:sz w:val="20"/>
          <w:szCs w:val="20"/>
        </w:rPr>
        <w:t>。</w:t>
      </w:r>
      <w:r>
        <w:rPr>
          <w:rFonts w:ascii="宋体" w:hAnsi="宋体" w:eastAsia="宋体" w:cs="宋体"/>
          <w:spacing w:val="-5"/>
          <w:position w:val="9"/>
          <w:sz w:val="11"/>
          <w:szCs w:val="11"/>
        </w:rPr>
        <w:t>［</w:t>
      </w:r>
      <w:r>
        <w:rPr>
          <w:rFonts w:ascii="微软雅黑" w:hAnsi="微软雅黑" w:eastAsia="微软雅黑" w:cs="微软雅黑"/>
          <w:spacing w:val="-5"/>
          <w:position w:val="9"/>
          <w:sz w:val="11"/>
          <w:szCs w:val="11"/>
        </w:rPr>
        <w:t>17</w:t>
      </w:r>
      <w:r>
        <w:rPr>
          <w:rFonts w:ascii="宋体" w:hAnsi="宋体" w:eastAsia="宋体" w:cs="宋体"/>
          <w:spacing w:val="-5"/>
          <w:position w:val="9"/>
          <w:sz w:val="11"/>
          <w:szCs w:val="11"/>
        </w:rPr>
        <w:t>］</w:t>
      </w:r>
      <w:r>
        <w:rPr>
          <w:rFonts w:ascii="微软雅黑" w:hAnsi="微软雅黑" w:eastAsia="微软雅黑" w:cs="微软雅黑"/>
          <w:spacing w:val="-5"/>
          <w:sz w:val="20"/>
          <w:szCs w:val="20"/>
        </w:rPr>
        <w:t>”“</w:t>
      </w:r>
      <w:r>
        <w:rPr>
          <w:rFonts w:ascii="宋体" w:hAnsi="宋体" w:eastAsia="宋体" w:cs="宋体"/>
          <w:spacing w:val="-5"/>
          <w:sz w:val="20"/>
          <w:szCs w:val="20"/>
        </w:rPr>
        <w:t xml:space="preserve">人的机会主义倾向需要经由制度来提高 </w:t>
      </w:r>
      <w:r>
        <w:rPr>
          <w:rFonts w:ascii="宋体" w:hAnsi="宋体" w:eastAsia="宋体" w:cs="宋体"/>
          <w:spacing w:val="3"/>
          <w:sz w:val="20"/>
          <w:szCs w:val="20"/>
        </w:rPr>
        <w:t>人的行为的可预测性</w:t>
      </w:r>
      <w:r>
        <w:rPr>
          <w:rFonts w:ascii="宋体" w:hAnsi="宋体" w:eastAsia="宋体" w:cs="宋体"/>
          <w:spacing w:val="3"/>
          <w:position w:val="1"/>
          <w:sz w:val="20"/>
          <w:szCs w:val="20"/>
        </w:rPr>
        <w:t>，</w:t>
      </w:r>
      <w:r>
        <w:rPr>
          <w:rFonts w:ascii="宋体" w:hAnsi="宋体" w:eastAsia="宋体" w:cs="宋体"/>
          <w:spacing w:val="3"/>
          <w:sz w:val="20"/>
          <w:szCs w:val="20"/>
        </w:rPr>
        <w:t>为人际互动提供制度环境</w:t>
      </w:r>
      <w:r>
        <w:rPr>
          <w:rFonts w:ascii="微软雅黑" w:hAnsi="微软雅黑" w:eastAsia="微软雅黑" w:cs="微软雅黑"/>
          <w:spacing w:val="3"/>
          <w:position w:val="1"/>
          <w:sz w:val="20"/>
          <w:szCs w:val="20"/>
        </w:rPr>
        <w:t>。</w:t>
      </w:r>
      <w:r>
        <w:rPr>
          <w:rFonts w:ascii="微软雅黑" w:hAnsi="微软雅黑" w:eastAsia="微软雅黑" w:cs="微软雅黑"/>
          <w:spacing w:val="6"/>
          <w:position w:val="1"/>
          <w:sz w:val="20"/>
          <w:szCs w:val="20"/>
        </w:rPr>
        <w:t xml:space="preserve"> </w:t>
      </w:r>
      <w:r>
        <w:rPr>
          <w:rFonts w:ascii="宋体" w:hAnsi="宋体" w:eastAsia="宋体" w:cs="宋体"/>
          <w:spacing w:val="20"/>
          <w:sz w:val="20"/>
          <w:szCs w:val="20"/>
        </w:rPr>
        <w:t>人的利益选择和行为需要制度进</w:t>
      </w:r>
      <w:r>
        <w:rPr>
          <w:rFonts w:ascii="宋体" w:hAnsi="宋体" w:eastAsia="宋体" w:cs="宋体"/>
          <w:spacing w:val="-49"/>
          <w:sz w:val="20"/>
          <w:szCs w:val="20"/>
        </w:rPr>
        <w:t xml:space="preserve"> </w:t>
      </w:r>
      <w:r>
        <w:rPr>
          <w:rFonts w:ascii="宋体" w:hAnsi="宋体" w:eastAsia="宋体" w:cs="宋体"/>
          <w:spacing w:val="20"/>
          <w:sz w:val="20"/>
          <w:szCs w:val="20"/>
        </w:rPr>
        <w:t>行</w:t>
      </w:r>
      <w:r>
        <w:rPr>
          <w:rFonts w:ascii="宋体" w:hAnsi="宋体" w:eastAsia="宋体" w:cs="宋体"/>
          <w:spacing w:val="-56"/>
          <w:sz w:val="20"/>
          <w:szCs w:val="20"/>
        </w:rPr>
        <w:t xml:space="preserve"> </w:t>
      </w:r>
      <w:r>
        <w:rPr>
          <w:rFonts w:ascii="宋体" w:hAnsi="宋体" w:eastAsia="宋体" w:cs="宋体"/>
          <w:spacing w:val="20"/>
          <w:sz w:val="20"/>
          <w:szCs w:val="20"/>
        </w:rPr>
        <w:t>约束</w:t>
      </w:r>
      <w:r>
        <w:rPr>
          <w:rFonts w:ascii="宋体" w:hAnsi="宋体" w:eastAsia="宋体" w:cs="宋体"/>
          <w:spacing w:val="-57"/>
          <w:sz w:val="20"/>
          <w:szCs w:val="20"/>
        </w:rPr>
        <w:t xml:space="preserve"> </w:t>
      </w:r>
      <w:r>
        <w:rPr>
          <w:rFonts w:ascii="宋体" w:hAnsi="宋体" w:eastAsia="宋体" w:cs="宋体"/>
          <w:spacing w:val="20"/>
          <w:sz w:val="20"/>
          <w:szCs w:val="20"/>
        </w:rPr>
        <w:t>与</w:t>
      </w:r>
      <w:r>
        <w:rPr>
          <w:rFonts w:ascii="宋体" w:hAnsi="宋体" w:eastAsia="宋体" w:cs="宋体"/>
          <w:spacing w:val="-46"/>
          <w:sz w:val="20"/>
          <w:szCs w:val="20"/>
        </w:rPr>
        <w:t xml:space="preserve"> </w:t>
      </w:r>
      <w:r>
        <w:rPr>
          <w:rFonts w:ascii="宋体" w:hAnsi="宋体" w:eastAsia="宋体" w:cs="宋体"/>
          <w:spacing w:val="20"/>
          <w:sz w:val="20"/>
          <w:szCs w:val="20"/>
        </w:rPr>
        <w:t xml:space="preserve">引 </w:t>
      </w:r>
      <w:r>
        <w:rPr>
          <w:rFonts w:ascii="宋体" w:hAnsi="宋体" w:eastAsia="宋体" w:cs="宋体"/>
          <w:spacing w:val="-26"/>
          <w:position w:val="-4"/>
          <w:sz w:val="20"/>
          <w:szCs w:val="20"/>
        </w:rPr>
        <w:t>导</w:t>
      </w:r>
      <w:r>
        <w:rPr>
          <w:rFonts w:ascii="微软雅黑" w:hAnsi="微软雅黑" w:eastAsia="微软雅黑" w:cs="微软雅黑"/>
          <w:spacing w:val="-26"/>
          <w:position w:val="-3"/>
          <w:sz w:val="20"/>
          <w:szCs w:val="20"/>
        </w:rPr>
        <w:t>。</w:t>
      </w:r>
      <w:r>
        <w:rPr>
          <w:rFonts w:ascii="宋体" w:hAnsi="宋体" w:eastAsia="宋体" w:cs="宋体"/>
          <w:spacing w:val="-21"/>
          <w:w w:val="91"/>
          <w:position w:val="5"/>
          <w:sz w:val="11"/>
          <w:szCs w:val="11"/>
        </w:rPr>
        <w:t>［</w:t>
      </w:r>
      <w:r>
        <w:rPr>
          <w:rFonts w:ascii="微软雅黑" w:hAnsi="微软雅黑" w:eastAsia="微软雅黑" w:cs="微软雅黑"/>
          <w:spacing w:val="-21"/>
          <w:w w:val="91"/>
          <w:position w:val="5"/>
          <w:sz w:val="11"/>
          <w:szCs w:val="11"/>
        </w:rPr>
        <w:t>18</w:t>
      </w:r>
      <w:r>
        <w:rPr>
          <w:rFonts w:ascii="宋体" w:hAnsi="宋体" w:eastAsia="宋体" w:cs="宋体"/>
          <w:spacing w:val="-21"/>
          <w:w w:val="91"/>
          <w:position w:val="5"/>
          <w:sz w:val="11"/>
          <w:szCs w:val="11"/>
        </w:rPr>
        <w:t>］</w:t>
      </w:r>
      <w:r>
        <w:rPr>
          <w:rFonts w:ascii="宋体" w:hAnsi="宋体" w:eastAsia="宋体" w:cs="宋体"/>
          <w:spacing w:val="-23"/>
          <w:position w:val="5"/>
          <w:sz w:val="11"/>
          <w:szCs w:val="11"/>
        </w:rPr>
        <w:t xml:space="preserve"> </w:t>
      </w:r>
      <w:r>
        <w:rPr>
          <w:rFonts w:ascii="微软雅黑" w:hAnsi="微软雅黑" w:eastAsia="微软雅黑" w:cs="微软雅黑"/>
          <w:spacing w:val="2"/>
          <w:position w:val="-3"/>
          <w:sz w:val="20"/>
          <w:szCs w:val="20"/>
        </w:rPr>
        <w:t>”</w:t>
      </w:r>
    </w:p>
    <w:p>
      <w:pPr>
        <w:spacing w:before="75" w:line="264" w:lineRule="auto"/>
        <w:ind w:left="4" w:right="73" w:firstLine="453"/>
        <w:rPr>
          <w:rFonts w:ascii="黑体" w:hAnsi="黑体" w:eastAsia="黑体" w:cs="黑体"/>
          <w:sz w:val="20"/>
          <w:szCs w:val="20"/>
        </w:rPr>
      </w:pPr>
      <w:r>
        <w:rPr>
          <w:rFonts w:ascii="黑体" w:hAnsi="黑体" w:eastAsia="黑体" w:cs="黑体"/>
          <w:spacing w:val="1"/>
          <w:sz w:val="20"/>
          <w:szCs w:val="20"/>
        </w:rPr>
        <w:t>(</w:t>
      </w:r>
      <w:r>
        <w:rPr>
          <w:rFonts w:ascii="黑体" w:hAnsi="黑体" w:eastAsia="黑体" w:cs="黑体"/>
          <w:spacing w:val="-46"/>
          <w:sz w:val="20"/>
          <w:szCs w:val="20"/>
        </w:rPr>
        <w:t xml:space="preserve"> </w:t>
      </w:r>
      <w:r>
        <w:rPr>
          <w:rFonts w:ascii="黑体" w:hAnsi="黑体" w:eastAsia="黑体" w:cs="黑体"/>
          <w:spacing w:val="1"/>
          <w:sz w:val="20"/>
          <w:szCs w:val="20"/>
        </w:rPr>
        <w:t>三)</w:t>
      </w:r>
      <w:r>
        <w:rPr>
          <w:rFonts w:ascii="黑体" w:hAnsi="黑体" w:eastAsia="黑体" w:cs="黑体"/>
          <w:spacing w:val="-32"/>
          <w:sz w:val="20"/>
          <w:szCs w:val="20"/>
        </w:rPr>
        <w:t xml:space="preserve"> </w:t>
      </w:r>
      <w:r>
        <w:rPr>
          <w:rFonts w:ascii="黑体" w:hAnsi="黑体" w:eastAsia="黑体" w:cs="黑体"/>
          <w:spacing w:val="1"/>
          <w:sz w:val="20"/>
          <w:szCs w:val="20"/>
        </w:rPr>
        <w:t>开展教学学术活动，落实高校教学质量</w:t>
      </w:r>
      <w:r>
        <w:rPr>
          <w:rFonts w:ascii="黑体" w:hAnsi="黑体" w:eastAsia="黑体" w:cs="黑体"/>
          <w:sz w:val="20"/>
          <w:szCs w:val="20"/>
        </w:rPr>
        <w:t xml:space="preserve"> </w:t>
      </w:r>
      <w:r>
        <w:rPr>
          <w:rFonts w:ascii="黑体" w:hAnsi="黑体" w:eastAsia="黑体" w:cs="黑体"/>
          <w:spacing w:val="5"/>
          <w:sz w:val="20"/>
          <w:szCs w:val="20"/>
        </w:rPr>
        <w:t>文化建设</w:t>
      </w:r>
    </w:p>
    <w:p>
      <w:pPr>
        <w:spacing w:before="110" w:line="265" w:lineRule="auto"/>
        <w:ind w:left="2" w:right="72" w:firstLine="420"/>
        <w:rPr>
          <w:rFonts w:ascii="宋体" w:hAnsi="宋体" w:eastAsia="宋体" w:cs="宋体"/>
          <w:sz w:val="20"/>
          <w:szCs w:val="20"/>
        </w:rPr>
      </w:pPr>
      <w:r>
        <w:rPr>
          <w:rFonts w:ascii="宋体" w:hAnsi="宋体" w:eastAsia="宋体" w:cs="宋体"/>
          <w:spacing w:val="9"/>
          <w:sz w:val="20"/>
          <w:szCs w:val="20"/>
        </w:rPr>
        <w:t>先进的理念和完善的制度只有转化为组织成</w:t>
      </w:r>
      <w:r>
        <w:rPr>
          <w:rFonts w:ascii="宋体" w:hAnsi="宋体" w:eastAsia="宋体" w:cs="宋体"/>
          <w:spacing w:val="2"/>
          <w:sz w:val="20"/>
          <w:szCs w:val="20"/>
        </w:rPr>
        <w:t xml:space="preserve"> </w:t>
      </w:r>
      <w:r>
        <w:rPr>
          <w:rFonts w:ascii="宋体" w:hAnsi="宋体" w:eastAsia="宋体" w:cs="宋体"/>
          <w:spacing w:val="9"/>
          <w:sz w:val="20"/>
          <w:szCs w:val="20"/>
        </w:rPr>
        <w:t>员共同的行动</w:t>
      </w:r>
      <w:r>
        <w:rPr>
          <w:rFonts w:ascii="宋体" w:hAnsi="宋体" w:eastAsia="宋体" w:cs="宋体"/>
          <w:spacing w:val="9"/>
          <w:position w:val="1"/>
          <w:sz w:val="20"/>
          <w:szCs w:val="20"/>
        </w:rPr>
        <w:t>，</w:t>
      </w:r>
      <w:r>
        <w:rPr>
          <w:rFonts w:ascii="宋体" w:hAnsi="宋体" w:eastAsia="宋体" w:cs="宋体"/>
          <w:spacing w:val="9"/>
          <w:sz w:val="20"/>
          <w:szCs w:val="20"/>
        </w:rPr>
        <w:t>才能发挥应用的作用和体现自身</w:t>
      </w:r>
      <w:r>
        <w:rPr>
          <w:rFonts w:ascii="宋体" w:hAnsi="宋体" w:eastAsia="宋体" w:cs="宋体"/>
          <w:spacing w:val="7"/>
          <w:sz w:val="20"/>
          <w:szCs w:val="20"/>
        </w:rPr>
        <w:t xml:space="preserve"> </w:t>
      </w:r>
      <w:r>
        <w:rPr>
          <w:rFonts w:ascii="宋体" w:hAnsi="宋体" w:eastAsia="宋体" w:cs="宋体"/>
          <w:spacing w:val="9"/>
          <w:sz w:val="20"/>
          <w:szCs w:val="20"/>
        </w:rPr>
        <w:t>的价值</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教学学术理论只有变成广大教师与学生</w:t>
      </w:r>
      <w:r>
        <w:rPr>
          <w:rFonts w:ascii="宋体" w:hAnsi="宋体" w:eastAsia="宋体" w:cs="宋体"/>
          <w:spacing w:val="5"/>
          <w:sz w:val="20"/>
          <w:szCs w:val="20"/>
        </w:rPr>
        <w:t xml:space="preserve"> </w:t>
      </w:r>
      <w:r>
        <w:rPr>
          <w:rFonts w:ascii="宋体" w:hAnsi="宋体" w:eastAsia="宋体" w:cs="宋体"/>
          <w:sz w:val="20"/>
          <w:szCs w:val="20"/>
        </w:rPr>
        <w:t>的共同行为时</w:t>
      </w:r>
      <w:r>
        <w:rPr>
          <w:rFonts w:ascii="宋体" w:hAnsi="宋体" w:eastAsia="宋体" w:cs="宋体"/>
          <w:position w:val="1"/>
          <w:sz w:val="20"/>
          <w:szCs w:val="20"/>
        </w:rPr>
        <w:t>，</w:t>
      </w:r>
      <w:r>
        <w:rPr>
          <w:rFonts w:ascii="宋体" w:hAnsi="宋体" w:eastAsia="宋体" w:cs="宋体"/>
          <w:sz w:val="20"/>
          <w:szCs w:val="20"/>
        </w:rPr>
        <w:t>才能实现由理念走向实践</w:t>
      </w:r>
      <w:r>
        <w:rPr>
          <w:rFonts w:ascii="宋体" w:hAnsi="宋体" w:eastAsia="宋体" w:cs="宋体"/>
          <w:position w:val="1"/>
          <w:sz w:val="20"/>
          <w:szCs w:val="20"/>
        </w:rPr>
        <w:t>，</w:t>
      </w:r>
      <w:r>
        <w:rPr>
          <w:rFonts w:ascii="宋体" w:hAnsi="宋体" w:eastAsia="宋体" w:cs="宋体"/>
          <w:spacing w:val="-1"/>
          <w:sz w:val="20"/>
          <w:szCs w:val="20"/>
        </w:rPr>
        <w:t>才能全</w:t>
      </w:r>
      <w:r>
        <w:rPr>
          <w:rFonts w:ascii="宋体" w:hAnsi="宋体" w:eastAsia="宋体" w:cs="宋体"/>
          <w:sz w:val="20"/>
          <w:szCs w:val="20"/>
        </w:rPr>
        <w:t xml:space="preserve"> </w:t>
      </w:r>
      <w:r>
        <w:rPr>
          <w:rFonts w:ascii="宋体" w:hAnsi="宋体" w:eastAsia="宋体" w:cs="宋体"/>
          <w:spacing w:val="9"/>
          <w:sz w:val="20"/>
          <w:szCs w:val="20"/>
        </w:rPr>
        <w:t>面充分地彰显自身的价值和焕发出生命活力</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开</w:t>
      </w:r>
      <w:r>
        <w:rPr>
          <w:rFonts w:ascii="宋体" w:hAnsi="宋体" w:eastAsia="宋体" w:cs="宋体"/>
          <w:spacing w:val="8"/>
          <w:sz w:val="20"/>
          <w:szCs w:val="20"/>
        </w:rPr>
        <w:t xml:space="preserve"> </w:t>
      </w:r>
      <w:r>
        <w:rPr>
          <w:rFonts w:ascii="宋体" w:hAnsi="宋体" w:eastAsia="宋体" w:cs="宋体"/>
          <w:spacing w:val="9"/>
          <w:sz w:val="20"/>
          <w:szCs w:val="20"/>
        </w:rPr>
        <w:t>展教学学术活动是教学学术从理念走向实践的必</w:t>
      </w:r>
      <w:r>
        <w:rPr>
          <w:rFonts w:ascii="宋体" w:hAnsi="宋体" w:eastAsia="宋体" w:cs="宋体"/>
          <w:spacing w:val="5"/>
          <w:sz w:val="20"/>
          <w:szCs w:val="20"/>
        </w:rPr>
        <w:t xml:space="preserve"> </w:t>
      </w:r>
      <w:r>
        <w:rPr>
          <w:rFonts w:ascii="宋体" w:hAnsi="宋体" w:eastAsia="宋体" w:cs="宋体"/>
          <w:spacing w:val="9"/>
          <w:sz w:val="20"/>
          <w:szCs w:val="20"/>
        </w:rPr>
        <w:t>然选择</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教学学术是基于教学实践问题</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为了改</w:t>
      </w:r>
      <w:r>
        <w:rPr>
          <w:rFonts w:ascii="宋体" w:hAnsi="宋体" w:eastAsia="宋体" w:cs="宋体"/>
          <w:spacing w:val="8"/>
          <w:sz w:val="20"/>
          <w:szCs w:val="20"/>
        </w:rPr>
        <w:t xml:space="preserve"> </w:t>
      </w:r>
      <w:r>
        <w:rPr>
          <w:rFonts w:ascii="宋体" w:hAnsi="宋体" w:eastAsia="宋体" w:cs="宋体"/>
          <w:spacing w:val="9"/>
          <w:sz w:val="20"/>
          <w:szCs w:val="20"/>
        </w:rPr>
        <w:t>善教学实践而开展的一种学术活动</w:t>
      </w:r>
      <w:r>
        <w:rPr>
          <w:rFonts w:ascii="宋体" w:hAnsi="宋体" w:eastAsia="宋体" w:cs="宋体"/>
          <w:spacing w:val="9"/>
          <w:position w:val="1"/>
          <w:sz w:val="20"/>
          <w:szCs w:val="20"/>
        </w:rPr>
        <w:t>，</w:t>
      </w:r>
      <w:r>
        <w:rPr>
          <w:rFonts w:ascii="宋体" w:hAnsi="宋体" w:eastAsia="宋体" w:cs="宋体"/>
          <w:spacing w:val="9"/>
          <w:sz w:val="20"/>
          <w:szCs w:val="20"/>
        </w:rPr>
        <w:t>实践性是教</w:t>
      </w:r>
      <w:r>
        <w:rPr>
          <w:rFonts w:ascii="宋体" w:hAnsi="宋体" w:eastAsia="宋体" w:cs="宋体"/>
          <w:spacing w:val="8"/>
          <w:sz w:val="20"/>
          <w:szCs w:val="20"/>
        </w:rPr>
        <w:t xml:space="preserve"> </w:t>
      </w:r>
      <w:r>
        <w:rPr>
          <w:rFonts w:ascii="宋体" w:hAnsi="宋体" w:eastAsia="宋体" w:cs="宋体"/>
          <w:spacing w:val="9"/>
          <w:sz w:val="20"/>
          <w:szCs w:val="20"/>
        </w:rPr>
        <w:t>学学术的重要特征</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开展教学学术活动主要包括</w:t>
      </w:r>
      <w:r>
        <w:rPr>
          <w:rFonts w:ascii="宋体" w:hAnsi="宋体" w:eastAsia="宋体" w:cs="宋体"/>
          <w:spacing w:val="6"/>
          <w:sz w:val="20"/>
          <w:szCs w:val="20"/>
        </w:rPr>
        <w:t xml:space="preserve"> 两个层面的内容</w:t>
      </w:r>
      <w:r>
        <w:rPr>
          <w:rFonts w:ascii="宋体" w:hAnsi="宋体" w:eastAsia="宋体" w:cs="宋体"/>
          <w:spacing w:val="-53"/>
          <w:sz w:val="20"/>
          <w:szCs w:val="20"/>
        </w:rPr>
        <w:t xml:space="preserve"> </w:t>
      </w:r>
      <w:r>
        <w:rPr>
          <w:rFonts w:ascii="宋体" w:hAnsi="宋体" w:eastAsia="宋体" w:cs="宋体"/>
          <w:spacing w:val="6"/>
          <w:sz w:val="20"/>
          <w:szCs w:val="20"/>
        </w:rPr>
        <w:t>:</w:t>
      </w:r>
    </w:p>
    <w:p>
      <w:pPr>
        <w:spacing w:before="109" w:line="185" w:lineRule="auto"/>
        <w:ind w:left="424"/>
        <w:rPr>
          <w:rFonts w:ascii="宋体" w:hAnsi="宋体" w:eastAsia="宋体" w:cs="宋体"/>
          <w:sz w:val="20"/>
          <w:szCs w:val="20"/>
        </w:rPr>
      </w:pPr>
      <w:r>
        <w:rPr>
          <w:rFonts w:ascii="微软雅黑" w:hAnsi="微软雅黑" w:eastAsia="微软雅黑" w:cs="微软雅黑"/>
          <w:sz w:val="20"/>
          <w:szCs w:val="20"/>
        </w:rPr>
        <w:t>1．</w:t>
      </w:r>
      <w:r>
        <w:rPr>
          <w:rFonts w:ascii="宋体" w:hAnsi="宋体" w:eastAsia="宋体" w:cs="宋体"/>
          <w:sz w:val="20"/>
          <w:szCs w:val="20"/>
        </w:rPr>
        <w:t>高校开展多种多样的教学学术活动</w:t>
      </w:r>
    </w:p>
    <w:p>
      <w:pPr>
        <w:spacing w:before="70" w:line="258" w:lineRule="auto"/>
        <w:ind w:right="16" w:firstLine="422"/>
        <w:rPr>
          <w:rFonts w:ascii="宋体" w:hAnsi="宋体" w:eastAsia="宋体" w:cs="宋体"/>
          <w:sz w:val="20"/>
          <w:szCs w:val="20"/>
        </w:rPr>
      </w:pPr>
      <w:r>
        <w:rPr>
          <w:rFonts w:ascii="宋体" w:hAnsi="宋体" w:eastAsia="宋体" w:cs="宋体"/>
          <w:spacing w:val="9"/>
          <w:sz w:val="20"/>
          <w:szCs w:val="20"/>
        </w:rPr>
        <w:t>教学学术能力与水平不是生而有之的</w:t>
      </w:r>
      <w:r>
        <w:rPr>
          <w:rFonts w:ascii="宋体" w:hAnsi="宋体" w:eastAsia="宋体" w:cs="宋体"/>
          <w:spacing w:val="9"/>
          <w:position w:val="1"/>
          <w:sz w:val="20"/>
          <w:szCs w:val="20"/>
        </w:rPr>
        <w:t>，</w:t>
      </w:r>
      <w:r>
        <w:rPr>
          <w:rFonts w:ascii="宋体" w:hAnsi="宋体" w:eastAsia="宋体" w:cs="宋体"/>
          <w:spacing w:val="9"/>
          <w:sz w:val="20"/>
          <w:szCs w:val="20"/>
        </w:rPr>
        <w:t>而是</w:t>
      </w:r>
      <w:r>
        <w:rPr>
          <w:rFonts w:ascii="宋体" w:hAnsi="宋体" w:eastAsia="宋体" w:cs="宋体"/>
          <w:spacing w:val="5"/>
          <w:sz w:val="20"/>
          <w:szCs w:val="20"/>
        </w:rPr>
        <w:t xml:space="preserve"> </w:t>
      </w:r>
      <w:r>
        <w:rPr>
          <w:rFonts w:ascii="宋体" w:hAnsi="宋体" w:eastAsia="宋体" w:cs="宋体"/>
          <w:spacing w:val="9"/>
          <w:sz w:val="20"/>
          <w:szCs w:val="20"/>
        </w:rPr>
        <w:t>在学习与实践中获得的</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一是开展教学学术项目</w:t>
      </w:r>
      <w:r>
        <w:rPr>
          <w:rFonts w:ascii="宋体" w:hAnsi="宋体" w:eastAsia="宋体" w:cs="宋体"/>
          <w:spacing w:val="8"/>
          <w:sz w:val="20"/>
          <w:szCs w:val="20"/>
        </w:rPr>
        <w:t xml:space="preserve"> </w:t>
      </w:r>
      <w:r>
        <w:rPr>
          <w:rFonts w:ascii="宋体" w:hAnsi="宋体" w:eastAsia="宋体" w:cs="宋体"/>
          <w:spacing w:val="9"/>
          <w:sz w:val="20"/>
          <w:szCs w:val="20"/>
        </w:rPr>
        <w:t>立项与建设</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把教学学术项目摆在同学科专业学</w:t>
      </w:r>
      <w:r>
        <w:rPr>
          <w:rFonts w:ascii="宋体" w:hAnsi="宋体" w:eastAsia="宋体" w:cs="宋体"/>
          <w:spacing w:val="7"/>
          <w:sz w:val="20"/>
          <w:szCs w:val="20"/>
        </w:rPr>
        <w:t xml:space="preserve"> </w:t>
      </w:r>
      <w:r>
        <w:rPr>
          <w:rFonts w:ascii="宋体" w:hAnsi="宋体" w:eastAsia="宋体" w:cs="宋体"/>
          <w:spacing w:val="9"/>
          <w:sz w:val="20"/>
          <w:szCs w:val="20"/>
        </w:rPr>
        <w:t>术项目同等重要的地位</w:t>
      </w:r>
      <w:r>
        <w:rPr>
          <w:rFonts w:ascii="宋体" w:hAnsi="宋体" w:eastAsia="宋体" w:cs="宋体"/>
          <w:spacing w:val="9"/>
          <w:position w:val="1"/>
          <w:sz w:val="20"/>
          <w:szCs w:val="20"/>
        </w:rPr>
        <w:t>，</w:t>
      </w:r>
      <w:r>
        <w:rPr>
          <w:rFonts w:ascii="宋体" w:hAnsi="宋体" w:eastAsia="宋体" w:cs="宋体"/>
          <w:spacing w:val="9"/>
          <w:sz w:val="20"/>
          <w:szCs w:val="20"/>
        </w:rPr>
        <w:t>纳入到职称职务晋升的 评价体系之中</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学校开展教学学术项目立项</w:t>
      </w:r>
      <w:r>
        <w:rPr>
          <w:rFonts w:ascii="宋体" w:hAnsi="宋体" w:eastAsia="宋体" w:cs="宋体"/>
          <w:spacing w:val="9"/>
          <w:position w:val="1"/>
          <w:sz w:val="20"/>
          <w:szCs w:val="20"/>
        </w:rPr>
        <w:t>，</w:t>
      </w:r>
      <w:r>
        <w:rPr>
          <w:rFonts w:ascii="宋体" w:hAnsi="宋体" w:eastAsia="宋体" w:cs="宋体"/>
          <w:spacing w:val="9"/>
          <w:sz w:val="20"/>
          <w:szCs w:val="20"/>
        </w:rPr>
        <w:t>利</w:t>
      </w:r>
      <w:r>
        <w:rPr>
          <w:rFonts w:ascii="宋体" w:hAnsi="宋体" w:eastAsia="宋体" w:cs="宋体"/>
          <w:spacing w:val="10"/>
          <w:sz w:val="20"/>
          <w:szCs w:val="20"/>
        </w:rPr>
        <w:t xml:space="preserve"> </w:t>
      </w:r>
      <w:r>
        <w:rPr>
          <w:rFonts w:ascii="宋体" w:hAnsi="宋体" w:eastAsia="宋体" w:cs="宋体"/>
          <w:spacing w:val="19"/>
          <w:sz w:val="20"/>
          <w:szCs w:val="20"/>
        </w:rPr>
        <w:t>于引导高校教师与管理者重视教学学术项目研</w:t>
      </w:r>
      <w:r>
        <w:rPr>
          <w:rFonts w:ascii="宋体" w:hAnsi="宋体" w:eastAsia="宋体" w:cs="宋体"/>
          <w:spacing w:val="15"/>
          <w:sz w:val="20"/>
          <w:szCs w:val="20"/>
        </w:rPr>
        <w:t xml:space="preserve"> </w:t>
      </w:r>
      <w:r>
        <w:rPr>
          <w:rFonts w:ascii="宋体" w:hAnsi="宋体" w:eastAsia="宋体" w:cs="宋体"/>
          <w:spacing w:val="2"/>
          <w:sz w:val="20"/>
          <w:szCs w:val="20"/>
        </w:rPr>
        <w:t>究</w:t>
      </w:r>
      <w:r>
        <w:rPr>
          <w:rFonts w:ascii="宋体" w:hAnsi="宋体" w:eastAsia="宋体" w:cs="宋体"/>
          <w:spacing w:val="2"/>
          <w:position w:val="1"/>
          <w:sz w:val="20"/>
          <w:szCs w:val="20"/>
        </w:rPr>
        <w:t>，</w:t>
      </w:r>
      <w:r>
        <w:rPr>
          <w:rFonts w:ascii="宋体" w:hAnsi="宋体" w:eastAsia="宋体" w:cs="宋体"/>
          <w:spacing w:val="2"/>
          <w:sz w:val="20"/>
          <w:szCs w:val="20"/>
        </w:rPr>
        <w:t>关心和重视自身的教学问题与教学管理问题</w:t>
      </w:r>
      <w:r>
        <w:rPr>
          <w:rFonts w:ascii="宋体" w:hAnsi="宋体" w:eastAsia="宋体" w:cs="宋体"/>
          <w:spacing w:val="2"/>
          <w:position w:val="1"/>
          <w:sz w:val="20"/>
          <w:szCs w:val="20"/>
        </w:rPr>
        <w:t>，</w:t>
      </w:r>
      <w:r>
        <w:rPr>
          <w:rFonts w:ascii="宋体" w:hAnsi="宋体" w:eastAsia="宋体" w:cs="宋体"/>
          <w:spacing w:val="11"/>
          <w:position w:val="1"/>
          <w:sz w:val="20"/>
          <w:szCs w:val="20"/>
        </w:rPr>
        <w:t xml:space="preserve"> </w:t>
      </w:r>
      <w:r>
        <w:rPr>
          <w:rFonts w:ascii="宋体" w:hAnsi="宋体" w:eastAsia="宋体" w:cs="宋体"/>
          <w:spacing w:val="9"/>
          <w:sz w:val="20"/>
          <w:szCs w:val="20"/>
        </w:rPr>
        <w:t>不断增强研究意识和教学学术能力</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二是开展教</w:t>
      </w:r>
    </w:p>
    <w:p>
      <w:pPr>
        <w:spacing w:line="258" w:lineRule="auto"/>
        <w:rPr>
          <w:rFonts w:ascii="宋体" w:hAnsi="宋体" w:eastAsia="宋体" w:cs="宋体"/>
          <w:sz w:val="20"/>
          <w:szCs w:val="20"/>
        </w:rPr>
        <w:sectPr>
          <w:type w:val="continuous"/>
          <w:pgSz w:w="11905" w:h="16836"/>
          <w:pgMar w:top="400" w:right="1262" w:bottom="547" w:left="407" w:header="0" w:footer="354" w:gutter="0"/>
          <w:cols w:equalWidth="0" w:num="2">
            <w:col w:w="5660" w:space="100"/>
            <w:col w:w="4474"/>
          </w:cols>
        </w:sectPr>
      </w:pPr>
    </w:p>
    <w:p>
      <w:pPr>
        <w:spacing w:line="433" w:lineRule="auto"/>
        <w:rPr>
          <w:rFonts w:ascii="Arial"/>
          <w:sz w:val="21"/>
        </w:rPr>
      </w:pPr>
    </w:p>
    <w:p>
      <w:pPr>
        <w:spacing w:before="56" w:line="214" w:lineRule="auto"/>
        <w:ind w:left="6539"/>
        <w:rPr>
          <w:rFonts w:ascii="宋体" w:hAnsi="宋体" w:eastAsia="宋体" w:cs="宋体"/>
          <w:sz w:val="17"/>
          <w:szCs w:val="17"/>
        </w:rPr>
      </w:pPr>
      <w:r>
        <w:rPr>
          <w:rFonts w:ascii="宋体" w:hAnsi="宋体" w:eastAsia="宋体" w:cs="宋体"/>
          <w:color w:val="0166B3"/>
          <w:spacing w:val="9"/>
          <w:sz w:val="17"/>
          <w:szCs w:val="17"/>
        </w:rPr>
        <w:t>教学学术视角下高校教学质量文化建设的思考</w:t>
      </w:r>
    </w:p>
    <w:p>
      <w:pPr>
        <w:spacing w:before="49" w:line="56" w:lineRule="exact"/>
        <w:ind w:firstLine="5603"/>
      </w:pPr>
      <w:r>
        <w:rPr>
          <w:position w:val="-1"/>
        </w:rPr>
        <w:drawing>
          <wp:inline distT="0" distB="0" distL="0" distR="0">
            <wp:extent cx="2879090" cy="3556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2"/>
                    <a:stretch>
                      <a:fillRect/>
                    </a:stretch>
                  </pic:blipFill>
                  <pic:spPr>
                    <a:xfrm>
                      <a:off x="0" y="0"/>
                      <a:ext cx="2879090" cy="35560"/>
                    </a:xfrm>
                    <a:prstGeom prst="rect">
                      <a:avLst/>
                    </a:prstGeom>
                  </pic:spPr>
                </pic:pic>
              </a:graphicData>
            </a:graphic>
          </wp:inline>
        </w:drawing>
      </w:r>
    </w:p>
    <w:p>
      <w:pPr>
        <w:spacing w:before="29"/>
      </w:pPr>
    </w:p>
    <w:p>
      <w:pPr>
        <w:sectPr>
          <w:footerReference r:id="rId57" w:type="default"/>
          <w:pgSz w:w="11905" w:h="16836"/>
          <w:pgMar w:top="400" w:right="1287" w:bottom="547" w:left="407" w:header="0" w:footer="354" w:gutter="0"/>
          <w:cols w:equalWidth="0" w:num="1">
            <w:col w:w="10209"/>
          </w:cols>
        </w:sectPr>
      </w:pPr>
    </w:p>
    <w:p>
      <w:pPr>
        <w:spacing w:before="113" w:line="255" w:lineRule="auto"/>
        <w:ind w:left="931" w:right="306" w:firstLine="4"/>
        <w:jc w:val="both"/>
        <w:rPr>
          <w:rFonts w:ascii="微软雅黑" w:hAnsi="微软雅黑" w:eastAsia="微软雅黑" w:cs="微软雅黑"/>
          <w:sz w:val="20"/>
          <w:szCs w:val="20"/>
        </w:rPr>
      </w:pPr>
      <w:r>
        <w:rPr>
          <w:rFonts w:ascii="宋体" w:hAnsi="宋体" w:eastAsia="宋体" w:cs="宋体"/>
          <w:spacing w:val="19"/>
          <w:sz w:val="20"/>
          <w:szCs w:val="20"/>
        </w:rPr>
        <w:t>学学术成果交流与展示</w:t>
      </w:r>
      <w:r>
        <w:rPr>
          <w:rFonts w:ascii="微软雅黑" w:hAnsi="微软雅黑" w:eastAsia="微软雅黑" w:cs="微软雅黑"/>
          <w:spacing w:val="19"/>
          <w:position w:val="1"/>
          <w:sz w:val="20"/>
          <w:szCs w:val="20"/>
        </w:rPr>
        <w:t>。</w:t>
      </w:r>
      <w:r>
        <w:rPr>
          <w:rFonts w:ascii="宋体" w:hAnsi="宋体" w:eastAsia="宋体" w:cs="宋体"/>
          <w:spacing w:val="19"/>
          <w:sz w:val="20"/>
          <w:szCs w:val="20"/>
        </w:rPr>
        <w:t>教学学术具有可交流</w:t>
      </w:r>
      <w:r>
        <w:rPr>
          <w:rFonts w:ascii="宋体" w:hAnsi="宋体" w:eastAsia="宋体" w:cs="宋体"/>
          <w:spacing w:val="11"/>
          <w:sz w:val="20"/>
          <w:szCs w:val="20"/>
        </w:rPr>
        <w:t xml:space="preserve"> </w:t>
      </w:r>
      <w:r>
        <w:rPr>
          <w:rFonts w:ascii="宋体" w:hAnsi="宋体" w:eastAsia="宋体" w:cs="宋体"/>
          <w:spacing w:val="-1"/>
          <w:sz w:val="20"/>
          <w:szCs w:val="20"/>
        </w:rPr>
        <w:t>性</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传播性和可发表性等特点</w:t>
      </w:r>
      <w:r>
        <w:rPr>
          <w:rFonts w:ascii="宋体" w:hAnsi="宋体" w:eastAsia="宋体" w:cs="宋体"/>
          <w:spacing w:val="-1"/>
          <w:position w:val="1"/>
          <w:sz w:val="20"/>
          <w:szCs w:val="20"/>
        </w:rPr>
        <w:t>，</w:t>
      </w:r>
      <w:r>
        <w:rPr>
          <w:rFonts w:ascii="宋体" w:hAnsi="宋体" w:eastAsia="宋体" w:cs="宋体"/>
          <w:spacing w:val="-1"/>
          <w:sz w:val="20"/>
          <w:szCs w:val="20"/>
        </w:rPr>
        <w:t>它在交流与传播过</w:t>
      </w:r>
      <w:r>
        <w:rPr>
          <w:rFonts w:ascii="宋体" w:hAnsi="宋体" w:eastAsia="宋体" w:cs="宋体"/>
          <w:spacing w:val="17"/>
          <w:sz w:val="20"/>
          <w:szCs w:val="20"/>
        </w:rPr>
        <w:t xml:space="preserve"> </w:t>
      </w:r>
      <w:r>
        <w:rPr>
          <w:rFonts w:ascii="宋体" w:hAnsi="宋体" w:eastAsia="宋体" w:cs="宋体"/>
          <w:spacing w:val="19"/>
          <w:sz w:val="20"/>
          <w:szCs w:val="20"/>
        </w:rPr>
        <w:t>程中才能更好地实现自身的价值增值和扩大影</w:t>
      </w:r>
      <w:r>
        <w:rPr>
          <w:rFonts w:ascii="宋体" w:hAnsi="宋体" w:eastAsia="宋体" w:cs="宋体"/>
          <w:spacing w:val="13"/>
          <w:sz w:val="20"/>
          <w:szCs w:val="20"/>
        </w:rPr>
        <w:t xml:space="preserve"> </w:t>
      </w:r>
      <w:r>
        <w:rPr>
          <w:rFonts w:ascii="宋体" w:hAnsi="宋体" w:eastAsia="宋体" w:cs="宋体"/>
          <w:spacing w:val="9"/>
          <w:sz w:val="20"/>
          <w:szCs w:val="20"/>
        </w:rPr>
        <w:t>响</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高校应举办形式多样的教学学术成果交流与</w:t>
      </w:r>
      <w:r>
        <w:rPr>
          <w:rFonts w:ascii="宋体" w:hAnsi="宋体" w:eastAsia="宋体" w:cs="宋体"/>
          <w:spacing w:val="5"/>
          <w:sz w:val="20"/>
          <w:szCs w:val="20"/>
        </w:rPr>
        <w:t xml:space="preserve"> </w:t>
      </w:r>
      <w:r>
        <w:rPr>
          <w:rFonts w:ascii="宋体" w:hAnsi="宋体" w:eastAsia="宋体" w:cs="宋体"/>
          <w:spacing w:val="-1"/>
          <w:sz w:val="20"/>
          <w:szCs w:val="20"/>
        </w:rPr>
        <w:t>展示活动</w:t>
      </w:r>
      <w:r>
        <w:rPr>
          <w:rFonts w:ascii="宋体" w:hAnsi="宋体" w:eastAsia="宋体" w:cs="宋体"/>
          <w:spacing w:val="-1"/>
          <w:position w:val="1"/>
          <w:sz w:val="20"/>
          <w:szCs w:val="20"/>
        </w:rPr>
        <w:t>，</w:t>
      </w:r>
      <w:r>
        <w:rPr>
          <w:rFonts w:ascii="宋体" w:hAnsi="宋体" w:eastAsia="宋体" w:cs="宋体"/>
          <w:spacing w:val="-1"/>
          <w:sz w:val="20"/>
          <w:szCs w:val="20"/>
        </w:rPr>
        <w:t>使教学学术成果在交流</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传播与展示中</w:t>
      </w:r>
      <w:r>
        <w:rPr>
          <w:rFonts w:ascii="宋体" w:hAnsi="宋体" w:eastAsia="宋体" w:cs="宋体"/>
          <w:spacing w:val="18"/>
          <w:sz w:val="20"/>
          <w:szCs w:val="20"/>
        </w:rPr>
        <w:t xml:space="preserve"> </w:t>
      </w:r>
      <w:r>
        <w:rPr>
          <w:rFonts w:ascii="宋体" w:hAnsi="宋体" w:eastAsia="宋体" w:cs="宋体"/>
          <w:spacing w:val="9"/>
          <w:sz w:val="20"/>
          <w:szCs w:val="20"/>
        </w:rPr>
        <w:t>彰显自身的生命力</w:t>
      </w:r>
      <w:r>
        <w:rPr>
          <w:rFonts w:ascii="宋体" w:hAnsi="宋体" w:eastAsia="宋体" w:cs="宋体"/>
          <w:spacing w:val="9"/>
          <w:position w:val="1"/>
          <w:sz w:val="20"/>
          <w:szCs w:val="20"/>
        </w:rPr>
        <w:t>，</w:t>
      </w:r>
      <w:r>
        <w:rPr>
          <w:rFonts w:ascii="宋体" w:hAnsi="宋体" w:eastAsia="宋体" w:cs="宋体"/>
          <w:spacing w:val="9"/>
          <w:sz w:val="20"/>
          <w:szCs w:val="20"/>
        </w:rPr>
        <w:t>也使广大教师和教学管理者</w:t>
      </w:r>
      <w:r>
        <w:rPr>
          <w:rFonts w:ascii="宋体" w:hAnsi="宋体" w:eastAsia="宋体" w:cs="宋体"/>
          <w:spacing w:val="6"/>
          <w:sz w:val="20"/>
          <w:szCs w:val="20"/>
        </w:rPr>
        <w:t xml:space="preserve"> </w:t>
      </w:r>
      <w:r>
        <w:rPr>
          <w:rFonts w:ascii="宋体" w:hAnsi="宋体" w:eastAsia="宋体" w:cs="宋体"/>
          <w:spacing w:val="9"/>
          <w:sz w:val="20"/>
          <w:szCs w:val="20"/>
        </w:rPr>
        <w:t>在交流中扩大自己的教学学术视野与提升自己的</w:t>
      </w:r>
      <w:r>
        <w:rPr>
          <w:rFonts w:ascii="宋体" w:hAnsi="宋体" w:eastAsia="宋体" w:cs="宋体"/>
          <w:spacing w:val="4"/>
          <w:sz w:val="20"/>
          <w:szCs w:val="20"/>
        </w:rPr>
        <w:t xml:space="preserve"> </w:t>
      </w:r>
      <w:r>
        <w:rPr>
          <w:rFonts w:ascii="宋体" w:hAnsi="宋体" w:eastAsia="宋体" w:cs="宋体"/>
          <w:spacing w:val="17"/>
          <w:sz w:val="20"/>
          <w:szCs w:val="20"/>
        </w:rPr>
        <w:t>教学学术情怀</w:t>
      </w:r>
      <w:r>
        <w:rPr>
          <w:rFonts w:ascii="微软雅黑" w:hAnsi="微软雅黑" w:eastAsia="微软雅黑" w:cs="微软雅黑"/>
          <w:spacing w:val="17"/>
          <w:position w:val="1"/>
          <w:sz w:val="20"/>
          <w:szCs w:val="20"/>
        </w:rPr>
        <w:t>。</w:t>
      </w:r>
      <w:r>
        <w:rPr>
          <w:rFonts w:ascii="宋体" w:hAnsi="宋体" w:eastAsia="宋体" w:cs="宋体"/>
          <w:spacing w:val="17"/>
          <w:sz w:val="20"/>
          <w:szCs w:val="20"/>
        </w:rPr>
        <w:t>三是落实对教学学术成果</w:t>
      </w:r>
      <w:r>
        <w:rPr>
          <w:rFonts w:ascii="宋体" w:hAnsi="宋体" w:eastAsia="宋体" w:cs="宋体"/>
          <w:spacing w:val="-45"/>
          <w:sz w:val="20"/>
          <w:szCs w:val="20"/>
        </w:rPr>
        <w:t xml:space="preserve"> </w:t>
      </w:r>
      <w:r>
        <w:rPr>
          <w:rFonts w:ascii="宋体" w:hAnsi="宋体" w:eastAsia="宋体" w:cs="宋体"/>
          <w:spacing w:val="17"/>
          <w:sz w:val="20"/>
          <w:szCs w:val="20"/>
        </w:rPr>
        <w:t>的奖</w:t>
      </w:r>
      <w:r>
        <w:rPr>
          <w:rFonts w:ascii="宋体" w:hAnsi="宋体" w:eastAsia="宋体" w:cs="宋体"/>
          <w:sz w:val="20"/>
          <w:szCs w:val="20"/>
        </w:rPr>
        <w:t xml:space="preserve"> </w:t>
      </w:r>
      <w:r>
        <w:rPr>
          <w:rFonts w:ascii="宋体" w:hAnsi="宋体" w:eastAsia="宋体" w:cs="宋体"/>
          <w:spacing w:val="9"/>
          <w:sz w:val="20"/>
          <w:szCs w:val="20"/>
        </w:rPr>
        <w:t>励</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当前高校中存在着重学科专业学术成果忽视</w:t>
      </w:r>
      <w:r>
        <w:rPr>
          <w:rFonts w:ascii="宋体" w:hAnsi="宋体" w:eastAsia="宋体" w:cs="宋体"/>
          <w:spacing w:val="5"/>
          <w:sz w:val="20"/>
          <w:szCs w:val="20"/>
        </w:rPr>
        <w:t xml:space="preserve"> </w:t>
      </w:r>
      <w:r>
        <w:rPr>
          <w:rFonts w:ascii="宋体" w:hAnsi="宋体" w:eastAsia="宋体" w:cs="宋体"/>
          <w:spacing w:val="9"/>
          <w:sz w:val="20"/>
          <w:szCs w:val="20"/>
        </w:rPr>
        <w:t>教学学术成果的现象</w:t>
      </w:r>
      <w:r>
        <w:rPr>
          <w:rFonts w:ascii="宋体" w:hAnsi="宋体" w:eastAsia="宋体" w:cs="宋体"/>
          <w:spacing w:val="9"/>
          <w:position w:val="1"/>
          <w:sz w:val="20"/>
          <w:szCs w:val="20"/>
        </w:rPr>
        <w:t>，</w:t>
      </w:r>
      <w:r>
        <w:rPr>
          <w:rFonts w:ascii="宋体" w:hAnsi="宋体" w:eastAsia="宋体" w:cs="宋体"/>
          <w:spacing w:val="9"/>
          <w:sz w:val="20"/>
          <w:szCs w:val="20"/>
        </w:rPr>
        <w:t>不利于引导高校教师重视</w:t>
      </w:r>
      <w:r>
        <w:rPr>
          <w:rFonts w:ascii="宋体" w:hAnsi="宋体" w:eastAsia="宋体" w:cs="宋体"/>
          <w:spacing w:val="7"/>
          <w:sz w:val="20"/>
          <w:szCs w:val="20"/>
        </w:rPr>
        <w:t xml:space="preserve"> </w:t>
      </w:r>
      <w:r>
        <w:rPr>
          <w:rFonts w:ascii="宋体" w:hAnsi="宋体" w:eastAsia="宋体" w:cs="宋体"/>
          <w:spacing w:val="9"/>
          <w:sz w:val="20"/>
          <w:szCs w:val="20"/>
        </w:rPr>
        <w:t>教学</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高校应公开举办全校性的教学学术成果奖</w:t>
      </w:r>
      <w:r>
        <w:rPr>
          <w:rFonts w:ascii="宋体" w:hAnsi="宋体" w:eastAsia="宋体" w:cs="宋体"/>
          <w:spacing w:val="5"/>
          <w:sz w:val="20"/>
          <w:szCs w:val="20"/>
        </w:rPr>
        <w:t xml:space="preserve"> </w:t>
      </w:r>
      <w:r>
        <w:rPr>
          <w:rFonts w:ascii="宋体" w:hAnsi="宋体" w:eastAsia="宋体" w:cs="宋体"/>
          <w:sz w:val="20"/>
          <w:szCs w:val="20"/>
        </w:rPr>
        <w:t>励活动</w:t>
      </w:r>
      <w:r>
        <w:rPr>
          <w:rFonts w:ascii="宋体" w:hAnsi="宋体" w:eastAsia="宋体" w:cs="宋体"/>
          <w:position w:val="1"/>
          <w:sz w:val="20"/>
          <w:szCs w:val="20"/>
        </w:rPr>
        <w:t>，</w:t>
      </w:r>
      <w:r>
        <w:rPr>
          <w:rFonts w:ascii="宋体" w:hAnsi="宋体" w:eastAsia="宋体" w:cs="宋体"/>
          <w:sz w:val="20"/>
          <w:szCs w:val="20"/>
        </w:rPr>
        <w:t>以彰显教学学术成果的价值与地位</w:t>
      </w:r>
      <w:r>
        <w:rPr>
          <w:rFonts w:ascii="宋体" w:hAnsi="宋体" w:eastAsia="宋体" w:cs="宋体"/>
          <w:spacing w:val="-1"/>
          <w:position w:val="1"/>
          <w:sz w:val="20"/>
          <w:szCs w:val="20"/>
        </w:rPr>
        <w:t>，</w:t>
      </w:r>
      <w:r>
        <w:rPr>
          <w:rFonts w:ascii="宋体" w:hAnsi="宋体" w:eastAsia="宋体" w:cs="宋体"/>
          <w:spacing w:val="-1"/>
          <w:sz w:val="20"/>
          <w:szCs w:val="20"/>
        </w:rPr>
        <w:t>引导</w:t>
      </w:r>
      <w:r>
        <w:rPr>
          <w:rFonts w:ascii="宋体" w:hAnsi="宋体" w:eastAsia="宋体" w:cs="宋体"/>
          <w:sz w:val="20"/>
          <w:szCs w:val="20"/>
        </w:rPr>
        <w:t xml:space="preserve"> </w:t>
      </w:r>
      <w:r>
        <w:rPr>
          <w:rFonts w:ascii="宋体" w:hAnsi="宋体" w:eastAsia="宋体" w:cs="宋体"/>
          <w:spacing w:val="9"/>
          <w:sz w:val="20"/>
          <w:szCs w:val="20"/>
        </w:rPr>
        <w:t>和促进高校教师对教学学术的价值认同</w:t>
      </w:r>
      <w:r>
        <w:rPr>
          <w:rFonts w:ascii="微软雅黑" w:hAnsi="微软雅黑" w:eastAsia="微软雅黑" w:cs="微软雅黑"/>
          <w:spacing w:val="9"/>
          <w:position w:val="1"/>
          <w:sz w:val="20"/>
          <w:szCs w:val="20"/>
        </w:rPr>
        <w:t>。</w:t>
      </w:r>
    </w:p>
    <w:p>
      <w:pPr>
        <w:spacing w:before="85" w:line="185" w:lineRule="auto"/>
        <w:ind w:left="1338"/>
        <w:rPr>
          <w:rFonts w:ascii="宋体" w:hAnsi="宋体" w:eastAsia="宋体" w:cs="宋体"/>
          <w:sz w:val="20"/>
          <w:szCs w:val="20"/>
        </w:rPr>
      </w:pPr>
      <w:r>
        <w:rPr>
          <w:rFonts w:ascii="微软雅黑" w:hAnsi="微软雅黑" w:eastAsia="微软雅黑" w:cs="微软雅黑"/>
          <w:spacing w:val="3"/>
          <w:sz w:val="20"/>
          <w:szCs w:val="20"/>
        </w:rPr>
        <w:t>2．</w:t>
      </w:r>
      <w:r>
        <w:rPr>
          <w:rFonts w:ascii="宋体" w:hAnsi="宋体" w:eastAsia="宋体" w:cs="宋体"/>
          <w:spacing w:val="3"/>
          <w:sz w:val="20"/>
          <w:szCs w:val="20"/>
        </w:rPr>
        <w:t>积极开展扎根于工作实践的教学学术研究</w:t>
      </w:r>
    </w:p>
    <w:p>
      <w:pPr>
        <w:spacing w:before="81" w:line="275" w:lineRule="auto"/>
        <w:ind w:left="932" w:right="250" w:firstLine="421"/>
        <w:rPr>
          <w:rFonts w:ascii="微软雅黑" w:hAnsi="微软雅黑" w:eastAsia="微软雅黑" w:cs="微软雅黑"/>
          <w:sz w:val="20"/>
          <w:szCs w:val="20"/>
        </w:rPr>
      </w:pPr>
      <w:r>
        <w:rPr>
          <w:rFonts w:ascii="宋体" w:hAnsi="宋体" w:eastAsia="宋体" w:cs="宋体"/>
          <w:spacing w:val="9"/>
          <w:sz w:val="20"/>
          <w:szCs w:val="20"/>
        </w:rPr>
        <w:t>教学学术化解了教学与科研的矛盾</w:t>
      </w:r>
      <w:r>
        <w:rPr>
          <w:rFonts w:ascii="宋体" w:hAnsi="宋体" w:eastAsia="宋体" w:cs="宋体"/>
          <w:spacing w:val="9"/>
          <w:position w:val="1"/>
          <w:sz w:val="20"/>
          <w:szCs w:val="20"/>
        </w:rPr>
        <w:t>，</w:t>
      </w:r>
      <w:r>
        <w:rPr>
          <w:rFonts w:ascii="宋体" w:hAnsi="宋体" w:eastAsia="宋体" w:cs="宋体"/>
          <w:spacing w:val="9"/>
          <w:sz w:val="20"/>
          <w:szCs w:val="20"/>
        </w:rPr>
        <w:t>教学不</w:t>
      </w:r>
      <w:r>
        <w:rPr>
          <w:rFonts w:ascii="宋体" w:hAnsi="宋体" w:eastAsia="宋体" w:cs="宋体"/>
          <w:spacing w:val="3"/>
          <w:sz w:val="20"/>
          <w:szCs w:val="20"/>
        </w:rPr>
        <w:t xml:space="preserve"> </w:t>
      </w:r>
      <w:r>
        <w:rPr>
          <w:rFonts w:ascii="宋体" w:hAnsi="宋体" w:eastAsia="宋体" w:cs="宋体"/>
          <w:spacing w:val="2"/>
          <w:sz w:val="20"/>
          <w:szCs w:val="20"/>
        </w:rPr>
        <w:t>再是高校教师</w:t>
      </w:r>
      <w:r>
        <w:rPr>
          <w:rFonts w:ascii="微软雅黑" w:hAnsi="微软雅黑" w:eastAsia="微软雅黑" w:cs="微软雅黑"/>
          <w:spacing w:val="2"/>
          <w:sz w:val="20"/>
          <w:szCs w:val="20"/>
        </w:rPr>
        <w:t>“</w:t>
      </w:r>
      <w:r>
        <w:rPr>
          <w:rFonts w:ascii="宋体" w:hAnsi="宋体" w:eastAsia="宋体" w:cs="宋体"/>
          <w:spacing w:val="2"/>
          <w:sz w:val="20"/>
          <w:szCs w:val="20"/>
        </w:rPr>
        <w:t>不想做又不得不做的外在任务</w:t>
      </w:r>
      <w:r>
        <w:rPr>
          <w:rFonts w:ascii="微软雅黑" w:hAnsi="微软雅黑" w:eastAsia="微软雅黑" w:cs="微软雅黑"/>
          <w:spacing w:val="2"/>
          <w:sz w:val="20"/>
          <w:szCs w:val="20"/>
        </w:rPr>
        <w:t>”</w:t>
      </w:r>
      <w:r>
        <w:rPr>
          <w:rFonts w:ascii="宋体" w:hAnsi="宋体" w:eastAsia="宋体" w:cs="宋体"/>
          <w:spacing w:val="2"/>
          <w:sz w:val="20"/>
          <w:szCs w:val="20"/>
        </w:rPr>
        <w:t>，</w:t>
      </w:r>
      <w:r>
        <w:rPr>
          <w:rFonts w:ascii="宋体" w:hAnsi="宋体" w:eastAsia="宋体" w:cs="宋体"/>
          <w:spacing w:val="8"/>
          <w:sz w:val="20"/>
          <w:szCs w:val="20"/>
        </w:rPr>
        <w:t xml:space="preserve"> </w:t>
      </w:r>
      <w:r>
        <w:rPr>
          <w:rFonts w:ascii="宋体" w:hAnsi="宋体" w:eastAsia="宋体" w:cs="宋体"/>
          <w:spacing w:val="19"/>
          <w:sz w:val="20"/>
          <w:szCs w:val="20"/>
        </w:rPr>
        <w:t>是高校教师生命完善与生命价值提升的重要方</w:t>
      </w:r>
      <w:r>
        <w:rPr>
          <w:rFonts w:ascii="宋体" w:hAnsi="宋体" w:eastAsia="宋体" w:cs="宋体"/>
          <w:spacing w:val="12"/>
          <w:sz w:val="20"/>
          <w:szCs w:val="20"/>
        </w:rPr>
        <w:t xml:space="preserve"> </w:t>
      </w:r>
      <w:r>
        <w:rPr>
          <w:rFonts w:ascii="宋体" w:hAnsi="宋体" w:eastAsia="宋体" w:cs="宋体"/>
          <w:spacing w:val="9"/>
          <w:sz w:val="20"/>
          <w:szCs w:val="20"/>
        </w:rPr>
        <w:t>式</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健全的教学学术管理机制不仅为高校的教学</w:t>
      </w:r>
      <w:r>
        <w:rPr>
          <w:rFonts w:ascii="宋体" w:hAnsi="宋体" w:eastAsia="宋体" w:cs="宋体"/>
          <w:spacing w:val="4"/>
          <w:sz w:val="20"/>
          <w:szCs w:val="20"/>
        </w:rPr>
        <w:t xml:space="preserve"> </w:t>
      </w:r>
      <w:r>
        <w:rPr>
          <w:rFonts w:ascii="宋体" w:hAnsi="宋体" w:eastAsia="宋体" w:cs="宋体"/>
          <w:spacing w:val="9"/>
          <w:sz w:val="20"/>
          <w:szCs w:val="20"/>
        </w:rPr>
        <w:t>型教师提供了现实的职业发展通道</w:t>
      </w:r>
      <w:r>
        <w:rPr>
          <w:rFonts w:ascii="宋体" w:hAnsi="宋体" w:eastAsia="宋体" w:cs="宋体"/>
          <w:spacing w:val="9"/>
          <w:position w:val="1"/>
          <w:sz w:val="20"/>
          <w:szCs w:val="20"/>
        </w:rPr>
        <w:t>，</w:t>
      </w:r>
      <w:r>
        <w:rPr>
          <w:rFonts w:ascii="宋体" w:hAnsi="宋体" w:eastAsia="宋体" w:cs="宋体"/>
          <w:spacing w:val="9"/>
          <w:sz w:val="20"/>
          <w:szCs w:val="20"/>
        </w:rPr>
        <w:t>还体现了对</w:t>
      </w:r>
      <w:r>
        <w:rPr>
          <w:rFonts w:ascii="宋体" w:hAnsi="宋体" w:eastAsia="宋体" w:cs="宋体"/>
          <w:spacing w:val="6"/>
          <w:sz w:val="20"/>
          <w:szCs w:val="20"/>
        </w:rPr>
        <w:t xml:space="preserve"> </w:t>
      </w:r>
      <w:r>
        <w:rPr>
          <w:rFonts w:ascii="宋体" w:hAnsi="宋体" w:eastAsia="宋体" w:cs="宋体"/>
          <w:spacing w:val="9"/>
          <w:sz w:val="20"/>
          <w:szCs w:val="20"/>
        </w:rPr>
        <w:t>高校教师提高教学质量的职业价值认可</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高校教</w:t>
      </w:r>
      <w:r>
        <w:rPr>
          <w:rFonts w:ascii="宋体" w:hAnsi="宋体" w:eastAsia="宋体" w:cs="宋体"/>
          <w:spacing w:val="7"/>
          <w:sz w:val="20"/>
          <w:szCs w:val="20"/>
        </w:rPr>
        <w:t xml:space="preserve"> </w:t>
      </w:r>
      <w:r>
        <w:rPr>
          <w:rFonts w:ascii="宋体" w:hAnsi="宋体" w:eastAsia="宋体" w:cs="宋体"/>
          <w:spacing w:val="9"/>
          <w:sz w:val="20"/>
          <w:szCs w:val="20"/>
        </w:rPr>
        <w:t>师应积极主动开展教学学术活动</w:t>
      </w:r>
      <w:r>
        <w:rPr>
          <w:rFonts w:ascii="宋体" w:hAnsi="宋体" w:eastAsia="宋体" w:cs="宋体"/>
          <w:spacing w:val="9"/>
          <w:position w:val="1"/>
          <w:sz w:val="20"/>
          <w:szCs w:val="20"/>
        </w:rPr>
        <w:t>，</w:t>
      </w:r>
      <w:r>
        <w:rPr>
          <w:rFonts w:ascii="宋体" w:hAnsi="宋体" w:eastAsia="宋体" w:cs="宋体"/>
          <w:spacing w:val="9"/>
          <w:sz w:val="20"/>
          <w:szCs w:val="20"/>
        </w:rPr>
        <w:t>以敏锐的眼光</w:t>
      </w:r>
      <w:r>
        <w:rPr>
          <w:rFonts w:ascii="宋体" w:hAnsi="宋体" w:eastAsia="宋体" w:cs="宋体"/>
          <w:spacing w:val="6"/>
          <w:sz w:val="20"/>
          <w:szCs w:val="20"/>
        </w:rPr>
        <w:t xml:space="preserve"> </w:t>
      </w:r>
      <w:r>
        <w:rPr>
          <w:rFonts w:ascii="宋体" w:hAnsi="宋体" w:eastAsia="宋体" w:cs="宋体"/>
          <w:spacing w:val="9"/>
          <w:sz w:val="20"/>
          <w:szCs w:val="20"/>
        </w:rPr>
        <w:t>精准地发现教学实践问题</w:t>
      </w:r>
      <w:r>
        <w:rPr>
          <w:rFonts w:ascii="宋体" w:hAnsi="宋体" w:eastAsia="宋体" w:cs="宋体"/>
          <w:spacing w:val="9"/>
          <w:position w:val="1"/>
          <w:sz w:val="20"/>
          <w:szCs w:val="20"/>
        </w:rPr>
        <w:t>，</w:t>
      </w:r>
      <w:r>
        <w:rPr>
          <w:rFonts w:ascii="宋体" w:hAnsi="宋体" w:eastAsia="宋体" w:cs="宋体"/>
          <w:spacing w:val="9"/>
          <w:sz w:val="20"/>
          <w:szCs w:val="20"/>
        </w:rPr>
        <w:t>以批判的精神客观地</w:t>
      </w:r>
      <w:r>
        <w:rPr>
          <w:rFonts w:ascii="宋体" w:hAnsi="宋体" w:eastAsia="宋体" w:cs="宋体"/>
          <w:spacing w:val="6"/>
          <w:sz w:val="20"/>
          <w:szCs w:val="20"/>
        </w:rPr>
        <w:t xml:space="preserve"> </w:t>
      </w:r>
      <w:r>
        <w:rPr>
          <w:rFonts w:ascii="宋体" w:hAnsi="宋体" w:eastAsia="宋体" w:cs="宋体"/>
          <w:spacing w:val="9"/>
          <w:sz w:val="20"/>
          <w:szCs w:val="20"/>
        </w:rPr>
        <w:t>审视教学实践问题</w:t>
      </w:r>
      <w:r>
        <w:rPr>
          <w:rFonts w:ascii="宋体" w:hAnsi="宋体" w:eastAsia="宋体" w:cs="宋体"/>
          <w:spacing w:val="9"/>
          <w:position w:val="1"/>
          <w:sz w:val="20"/>
          <w:szCs w:val="20"/>
        </w:rPr>
        <w:t>，</w:t>
      </w:r>
      <w:r>
        <w:rPr>
          <w:rFonts w:ascii="宋体" w:hAnsi="宋体" w:eastAsia="宋体" w:cs="宋体"/>
          <w:spacing w:val="9"/>
          <w:sz w:val="20"/>
          <w:szCs w:val="20"/>
        </w:rPr>
        <w:t>以科学的方法理性地探究教</w:t>
      </w:r>
      <w:r>
        <w:rPr>
          <w:rFonts w:ascii="宋体" w:hAnsi="宋体" w:eastAsia="宋体" w:cs="宋体"/>
          <w:spacing w:val="6"/>
          <w:sz w:val="20"/>
          <w:szCs w:val="20"/>
        </w:rPr>
        <w:t xml:space="preserve"> </w:t>
      </w:r>
      <w:r>
        <w:rPr>
          <w:rFonts w:ascii="宋体" w:hAnsi="宋体" w:eastAsia="宋体" w:cs="宋体"/>
          <w:spacing w:val="2"/>
          <w:sz w:val="20"/>
          <w:szCs w:val="20"/>
        </w:rPr>
        <w:t>学实践问题</w:t>
      </w:r>
      <w:r>
        <w:rPr>
          <w:rFonts w:ascii="宋体" w:hAnsi="宋体" w:eastAsia="宋体" w:cs="宋体"/>
          <w:spacing w:val="2"/>
          <w:position w:val="1"/>
          <w:sz w:val="20"/>
          <w:szCs w:val="20"/>
        </w:rPr>
        <w:t>，</w:t>
      </w:r>
      <w:r>
        <w:rPr>
          <w:rFonts w:ascii="宋体" w:hAnsi="宋体" w:eastAsia="宋体" w:cs="宋体"/>
          <w:spacing w:val="2"/>
          <w:sz w:val="20"/>
          <w:szCs w:val="20"/>
        </w:rPr>
        <w:t>主动凝练与表达教学学术研究成果</w:t>
      </w:r>
      <w:r>
        <w:rPr>
          <w:rFonts w:ascii="宋体" w:hAnsi="宋体" w:eastAsia="宋体" w:cs="宋体"/>
          <w:spacing w:val="2"/>
          <w:position w:val="1"/>
          <w:sz w:val="20"/>
          <w:szCs w:val="20"/>
        </w:rPr>
        <w:t>，</w:t>
      </w:r>
      <w:r>
        <w:rPr>
          <w:rFonts w:ascii="宋体" w:hAnsi="宋体" w:eastAsia="宋体" w:cs="宋体"/>
          <w:spacing w:val="8"/>
          <w:position w:val="1"/>
          <w:sz w:val="20"/>
          <w:szCs w:val="20"/>
        </w:rPr>
        <w:t xml:space="preserve"> </w:t>
      </w:r>
      <w:r>
        <w:rPr>
          <w:rFonts w:ascii="宋体" w:hAnsi="宋体" w:eastAsia="宋体" w:cs="宋体"/>
          <w:spacing w:val="9"/>
          <w:sz w:val="20"/>
          <w:szCs w:val="20"/>
        </w:rPr>
        <w:t>创造性的应用研究成果以改善教学实践活动</w:t>
      </w:r>
      <w:r>
        <w:rPr>
          <w:rFonts w:ascii="宋体" w:hAnsi="宋体" w:eastAsia="宋体" w:cs="宋体"/>
          <w:spacing w:val="9"/>
          <w:position w:val="1"/>
          <w:sz w:val="20"/>
          <w:szCs w:val="20"/>
        </w:rPr>
        <w:t>，</w:t>
      </w:r>
      <w:r>
        <w:rPr>
          <w:rFonts w:ascii="宋体" w:hAnsi="宋体" w:eastAsia="宋体" w:cs="宋体"/>
          <w:spacing w:val="9"/>
          <w:sz w:val="20"/>
          <w:szCs w:val="20"/>
        </w:rPr>
        <w:t>把</w:t>
      </w:r>
      <w:r>
        <w:rPr>
          <w:rFonts w:ascii="宋体" w:hAnsi="宋体" w:eastAsia="宋体" w:cs="宋体"/>
          <w:spacing w:val="7"/>
          <w:sz w:val="20"/>
          <w:szCs w:val="20"/>
        </w:rPr>
        <w:t xml:space="preserve"> </w:t>
      </w:r>
      <w:r>
        <w:rPr>
          <w:rFonts w:ascii="宋体" w:hAnsi="宋体" w:eastAsia="宋体" w:cs="宋体"/>
          <w:spacing w:val="9"/>
          <w:sz w:val="20"/>
          <w:szCs w:val="20"/>
        </w:rPr>
        <w:t>教学学术活动转化为提高教学质量和实现自身教</w:t>
      </w:r>
      <w:r>
        <w:rPr>
          <w:rFonts w:ascii="宋体" w:hAnsi="宋体" w:eastAsia="宋体" w:cs="宋体"/>
          <w:spacing w:val="3"/>
          <w:sz w:val="20"/>
          <w:szCs w:val="20"/>
        </w:rPr>
        <w:t xml:space="preserve"> </w:t>
      </w:r>
      <w:r>
        <w:rPr>
          <w:rFonts w:ascii="宋体" w:hAnsi="宋体" w:eastAsia="宋体" w:cs="宋体"/>
          <w:spacing w:val="9"/>
          <w:sz w:val="20"/>
          <w:szCs w:val="20"/>
        </w:rPr>
        <w:t>学专业成长的现实途径和根本方式</w:t>
      </w:r>
      <w:r>
        <w:rPr>
          <w:rFonts w:ascii="微软雅黑" w:hAnsi="微软雅黑" w:eastAsia="微软雅黑" w:cs="微软雅黑"/>
          <w:spacing w:val="9"/>
          <w:position w:val="1"/>
          <w:sz w:val="20"/>
          <w:szCs w:val="20"/>
        </w:rPr>
        <w:t>。</w:t>
      </w:r>
    </w:p>
    <w:p>
      <w:pPr>
        <w:spacing w:before="86" w:line="251" w:lineRule="auto"/>
        <w:ind w:left="933" w:right="307" w:firstLine="420"/>
        <w:rPr>
          <w:rFonts w:ascii="微软雅黑" w:hAnsi="微软雅黑" w:eastAsia="微软雅黑" w:cs="微软雅黑"/>
          <w:sz w:val="20"/>
          <w:szCs w:val="20"/>
        </w:rPr>
      </w:pPr>
      <w:r>
        <w:rPr>
          <w:rFonts w:ascii="宋体" w:hAnsi="宋体" w:eastAsia="宋体" w:cs="宋体"/>
          <w:spacing w:val="9"/>
          <w:sz w:val="20"/>
          <w:szCs w:val="20"/>
        </w:rPr>
        <w:t>教学学术使高校教师成为教学质量文化建设</w:t>
      </w:r>
      <w:r>
        <w:rPr>
          <w:rFonts w:ascii="宋体" w:hAnsi="宋体" w:eastAsia="宋体" w:cs="宋体"/>
          <w:sz w:val="20"/>
          <w:szCs w:val="20"/>
        </w:rPr>
        <w:t xml:space="preserve"> </w:t>
      </w:r>
      <w:r>
        <w:rPr>
          <w:rFonts w:ascii="宋体" w:hAnsi="宋体" w:eastAsia="宋体" w:cs="宋体"/>
          <w:spacing w:val="9"/>
          <w:sz w:val="20"/>
          <w:szCs w:val="20"/>
        </w:rPr>
        <w:t>的主体</w:t>
      </w:r>
      <w:r>
        <w:rPr>
          <w:rFonts w:ascii="宋体" w:hAnsi="宋体" w:eastAsia="宋体" w:cs="宋体"/>
          <w:spacing w:val="9"/>
          <w:position w:val="1"/>
          <w:sz w:val="20"/>
          <w:szCs w:val="20"/>
        </w:rPr>
        <w:t>，</w:t>
      </w:r>
      <w:r>
        <w:rPr>
          <w:rFonts w:ascii="宋体" w:hAnsi="宋体" w:eastAsia="宋体" w:cs="宋体"/>
          <w:spacing w:val="9"/>
          <w:sz w:val="20"/>
          <w:szCs w:val="20"/>
        </w:rPr>
        <w:t>促使高校教师自觉参与教学质量文化建</w:t>
      </w:r>
      <w:r>
        <w:rPr>
          <w:rFonts w:ascii="宋体" w:hAnsi="宋体" w:eastAsia="宋体" w:cs="宋体"/>
          <w:spacing w:val="4"/>
          <w:sz w:val="20"/>
          <w:szCs w:val="20"/>
        </w:rPr>
        <w:t xml:space="preserve"> </w:t>
      </w:r>
      <w:r>
        <w:rPr>
          <w:rFonts w:ascii="宋体" w:hAnsi="宋体" w:eastAsia="宋体" w:cs="宋体"/>
          <w:spacing w:val="9"/>
          <w:sz w:val="20"/>
          <w:szCs w:val="20"/>
        </w:rPr>
        <w:t>设</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高校开展教学质量文化建设应建立健全教学</w:t>
      </w:r>
      <w:r>
        <w:rPr>
          <w:rFonts w:ascii="宋体" w:hAnsi="宋体" w:eastAsia="宋体" w:cs="宋体"/>
          <w:spacing w:val="3"/>
          <w:sz w:val="20"/>
          <w:szCs w:val="20"/>
        </w:rPr>
        <w:t xml:space="preserve"> </w:t>
      </w:r>
      <w:r>
        <w:rPr>
          <w:rFonts w:ascii="宋体" w:hAnsi="宋体" w:eastAsia="宋体" w:cs="宋体"/>
          <w:spacing w:val="9"/>
          <w:sz w:val="20"/>
          <w:szCs w:val="20"/>
        </w:rPr>
        <w:t>学术管理机制</w:t>
      </w:r>
      <w:r>
        <w:rPr>
          <w:rFonts w:ascii="微软雅黑" w:hAnsi="微软雅黑" w:eastAsia="微软雅黑" w:cs="微软雅黑"/>
          <w:spacing w:val="9"/>
          <w:position w:val="1"/>
          <w:sz w:val="20"/>
          <w:szCs w:val="20"/>
        </w:rPr>
        <w:t>、</w:t>
      </w:r>
      <w:r>
        <w:rPr>
          <w:rFonts w:ascii="宋体" w:hAnsi="宋体" w:eastAsia="宋体" w:cs="宋体"/>
          <w:spacing w:val="9"/>
          <w:sz w:val="20"/>
          <w:szCs w:val="20"/>
        </w:rPr>
        <w:t>引导高校教师自觉树立教学学术</w:t>
      </w:r>
      <w:r>
        <w:rPr>
          <w:rFonts w:ascii="宋体" w:hAnsi="宋体" w:eastAsia="宋体" w:cs="宋体"/>
          <w:spacing w:val="5"/>
          <w:sz w:val="20"/>
          <w:szCs w:val="20"/>
        </w:rPr>
        <w:t xml:space="preserve"> </w:t>
      </w:r>
      <w:r>
        <w:rPr>
          <w:rFonts w:ascii="宋体" w:hAnsi="宋体" w:eastAsia="宋体" w:cs="宋体"/>
          <w:spacing w:val="-1"/>
          <w:sz w:val="20"/>
          <w:szCs w:val="20"/>
        </w:rPr>
        <w:t>理念</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积极开展教学学术活动</w:t>
      </w:r>
      <w:r>
        <w:rPr>
          <w:rFonts w:ascii="宋体" w:hAnsi="宋体" w:eastAsia="宋体" w:cs="宋体"/>
          <w:spacing w:val="-1"/>
          <w:position w:val="1"/>
          <w:sz w:val="20"/>
          <w:szCs w:val="20"/>
        </w:rPr>
        <w:t>，</w:t>
      </w:r>
      <w:r>
        <w:rPr>
          <w:rFonts w:ascii="宋体" w:hAnsi="宋体" w:eastAsia="宋体" w:cs="宋体"/>
          <w:spacing w:val="-1"/>
          <w:sz w:val="20"/>
          <w:szCs w:val="20"/>
        </w:rPr>
        <w:t>不断增强教学质量</w:t>
      </w:r>
      <w:r>
        <w:rPr>
          <w:rFonts w:ascii="宋体" w:hAnsi="宋体" w:eastAsia="宋体" w:cs="宋体"/>
          <w:spacing w:val="16"/>
          <w:sz w:val="20"/>
          <w:szCs w:val="20"/>
        </w:rPr>
        <w:t xml:space="preserve"> </w:t>
      </w:r>
      <w:r>
        <w:rPr>
          <w:rFonts w:ascii="宋体" w:hAnsi="宋体" w:eastAsia="宋体" w:cs="宋体"/>
          <w:spacing w:val="9"/>
          <w:sz w:val="20"/>
          <w:szCs w:val="20"/>
        </w:rPr>
        <w:t>文化建设意识与能力</w:t>
      </w:r>
      <w:r>
        <w:rPr>
          <w:rFonts w:ascii="宋体" w:hAnsi="宋体" w:eastAsia="宋体" w:cs="宋体"/>
          <w:spacing w:val="9"/>
          <w:position w:val="1"/>
          <w:sz w:val="20"/>
          <w:szCs w:val="20"/>
        </w:rPr>
        <w:t>，</w:t>
      </w:r>
      <w:r>
        <w:rPr>
          <w:rFonts w:ascii="宋体" w:hAnsi="宋体" w:eastAsia="宋体" w:cs="宋体"/>
          <w:spacing w:val="9"/>
          <w:sz w:val="20"/>
          <w:szCs w:val="20"/>
        </w:rPr>
        <w:t>推动高校教学质量文化的</w:t>
      </w:r>
      <w:r>
        <w:rPr>
          <w:rFonts w:ascii="宋体" w:hAnsi="宋体" w:eastAsia="宋体" w:cs="宋体"/>
          <w:spacing w:val="5"/>
          <w:sz w:val="20"/>
          <w:szCs w:val="20"/>
        </w:rPr>
        <w:t xml:space="preserve"> </w:t>
      </w:r>
      <w:r>
        <w:rPr>
          <w:rFonts w:ascii="宋体" w:hAnsi="宋体" w:eastAsia="宋体" w:cs="宋体"/>
          <w:spacing w:val="-1"/>
          <w:sz w:val="20"/>
          <w:szCs w:val="20"/>
        </w:rPr>
        <w:t>高水平</w:t>
      </w:r>
      <w:r>
        <w:rPr>
          <w:rFonts w:ascii="微软雅黑" w:hAnsi="微软雅黑" w:eastAsia="微软雅黑" w:cs="微软雅黑"/>
          <w:spacing w:val="-1"/>
          <w:position w:val="1"/>
          <w:sz w:val="20"/>
          <w:szCs w:val="20"/>
        </w:rPr>
        <w:t>、</w:t>
      </w:r>
      <w:r>
        <w:rPr>
          <w:rFonts w:ascii="宋体" w:hAnsi="宋体" w:eastAsia="宋体" w:cs="宋体"/>
          <w:spacing w:val="-1"/>
          <w:sz w:val="20"/>
          <w:szCs w:val="20"/>
        </w:rPr>
        <w:t>高质量发展</w:t>
      </w:r>
      <w:r>
        <w:rPr>
          <w:rFonts w:ascii="宋体" w:hAnsi="宋体" w:eastAsia="宋体" w:cs="宋体"/>
          <w:spacing w:val="-1"/>
          <w:position w:val="1"/>
          <w:sz w:val="20"/>
          <w:szCs w:val="20"/>
        </w:rPr>
        <w:t>，</w:t>
      </w:r>
      <w:r>
        <w:rPr>
          <w:rFonts w:ascii="宋体" w:hAnsi="宋体" w:eastAsia="宋体" w:cs="宋体"/>
          <w:spacing w:val="-1"/>
          <w:sz w:val="20"/>
          <w:szCs w:val="20"/>
        </w:rPr>
        <w:t>进而引领和促进高等教育高</w:t>
      </w:r>
      <w:r>
        <w:rPr>
          <w:rFonts w:ascii="宋体" w:hAnsi="宋体" w:eastAsia="宋体" w:cs="宋体"/>
          <w:spacing w:val="15"/>
          <w:sz w:val="20"/>
          <w:szCs w:val="20"/>
        </w:rPr>
        <w:t xml:space="preserve"> </w:t>
      </w:r>
      <w:r>
        <w:rPr>
          <w:rFonts w:ascii="宋体" w:hAnsi="宋体" w:eastAsia="宋体" w:cs="宋体"/>
          <w:spacing w:val="5"/>
          <w:sz w:val="20"/>
          <w:szCs w:val="20"/>
        </w:rPr>
        <w:t>质量发展</w:t>
      </w:r>
      <w:r>
        <w:rPr>
          <w:rFonts w:ascii="微软雅黑" w:hAnsi="微软雅黑" w:eastAsia="微软雅黑" w:cs="微软雅黑"/>
          <w:spacing w:val="5"/>
          <w:position w:val="1"/>
          <w:sz w:val="20"/>
          <w:szCs w:val="20"/>
        </w:rPr>
        <w:t>。</w:t>
      </w:r>
    </w:p>
    <w:p>
      <w:pPr>
        <w:spacing w:line="358" w:lineRule="auto"/>
        <w:rPr>
          <w:rFonts w:ascii="Arial"/>
          <w:sz w:val="21"/>
        </w:rPr>
      </w:pPr>
    </w:p>
    <w:p>
      <w:pPr>
        <w:spacing w:before="65" w:line="212" w:lineRule="auto"/>
        <w:ind w:left="932"/>
        <w:rPr>
          <w:rFonts w:ascii="黑体" w:hAnsi="黑体" w:eastAsia="黑体" w:cs="黑体"/>
          <w:sz w:val="20"/>
          <w:szCs w:val="20"/>
        </w:rPr>
      </w:pPr>
      <w:r>
        <w:rPr>
          <w:rFonts w:ascii="黑体" w:hAnsi="黑体" w:eastAsia="黑体" w:cs="黑体"/>
          <w:spacing w:val="5"/>
          <w:sz w:val="20"/>
          <w:szCs w:val="20"/>
        </w:rPr>
        <w:t>参考文献</w:t>
      </w:r>
      <w:r>
        <w:rPr>
          <w:rFonts w:ascii="黑体" w:hAnsi="黑体" w:eastAsia="黑体" w:cs="黑体"/>
          <w:spacing w:val="-56"/>
          <w:sz w:val="20"/>
          <w:szCs w:val="20"/>
        </w:rPr>
        <w:t xml:space="preserve"> </w:t>
      </w:r>
      <w:r>
        <w:rPr>
          <w:rFonts w:ascii="黑体" w:hAnsi="黑体" w:eastAsia="黑体" w:cs="黑体"/>
          <w:spacing w:val="5"/>
          <w:sz w:val="20"/>
          <w:szCs w:val="20"/>
        </w:rPr>
        <w:t>:</w:t>
      </w:r>
    </w:p>
    <w:p>
      <w:pPr>
        <w:spacing w:before="43" w:line="237" w:lineRule="auto"/>
        <w:ind w:left="1232" w:right="307" w:hanging="325"/>
        <w:rPr>
          <w:rFonts w:ascii="微软雅黑" w:hAnsi="微软雅黑" w:eastAsia="微软雅黑" w:cs="微软雅黑"/>
          <w:sz w:val="17"/>
          <w:szCs w:val="17"/>
        </w:rPr>
      </w:pPr>
      <w:r>
        <w:rPr>
          <w:rFonts w:ascii="宋体" w:hAnsi="宋体" w:eastAsia="宋体" w:cs="宋体"/>
          <w:spacing w:val="1"/>
          <w:sz w:val="17"/>
          <w:szCs w:val="17"/>
        </w:rPr>
        <w:t>［</w:t>
      </w:r>
      <w:r>
        <w:rPr>
          <w:rFonts w:ascii="微软雅黑" w:hAnsi="微软雅黑" w:eastAsia="微软雅黑" w:cs="微软雅黑"/>
          <w:spacing w:val="1"/>
          <w:sz w:val="17"/>
          <w:szCs w:val="17"/>
        </w:rPr>
        <w:t>1</w:t>
      </w:r>
      <w:r>
        <w:rPr>
          <w:rFonts w:ascii="宋体" w:hAnsi="宋体" w:eastAsia="宋体" w:cs="宋体"/>
          <w:spacing w:val="1"/>
          <w:sz w:val="17"/>
          <w:szCs w:val="17"/>
        </w:rPr>
        <w:t>］周慢生，褚艾晶</w:t>
      </w:r>
      <w:r>
        <w:rPr>
          <w:rFonts w:ascii="微软雅黑" w:hAnsi="微软雅黑" w:eastAsia="微软雅黑" w:cs="微软雅黑"/>
          <w:spacing w:val="1"/>
          <w:sz w:val="17"/>
          <w:szCs w:val="17"/>
        </w:rPr>
        <w:t>．</w:t>
      </w:r>
      <w:r>
        <w:rPr>
          <w:rFonts w:ascii="宋体" w:hAnsi="宋体" w:eastAsia="宋体" w:cs="宋体"/>
          <w:spacing w:val="1"/>
          <w:sz w:val="17"/>
          <w:szCs w:val="17"/>
        </w:rPr>
        <w:t>挑战与展望</w:t>
      </w:r>
      <w:r>
        <w:rPr>
          <w:rFonts w:ascii="微软雅黑" w:hAnsi="微软雅黑" w:eastAsia="微软雅黑" w:cs="微软雅黑"/>
          <w:spacing w:val="1"/>
          <w:sz w:val="17"/>
          <w:szCs w:val="17"/>
        </w:rPr>
        <w:t>—</w:t>
      </w:r>
      <w:r>
        <w:rPr>
          <w:rFonts w:ascii="微软雅黑" w:hAnsi="微软雅黑" w:eastAsia="微软雅黑" w:cs="微软雅黑"/>
          <w:spacing w:val="-30"/>
          <w:w w:val="65"/>
          <w:sz w:val="17"/>
          <w:szCs w:val="17"/>
        </w:rPr>
        <w:t>——</w:t>
      </w:r>
      <w:r>
        <w:rPr>
          <w:rFonts w:ascii="微软雅黑" w:hAnsi="微软雅黑" w:eastAsia="微软雅黑" w:cs="微软雅黑"/>
          <w:spacing w:val="-28"/>
          <w:sz w:val="17"/>
          <w:szCs w:val="17"/>
        </w:rPr>
        <w:t xml:space="preserve"> </w:t>
      </w:r>
      <w:r>
        <w:rPr>
          <w:rFonts w:ascii="宋体" w:hAnsi="宋体" w:eastAsia="宋体" w:cs="宋体"/>
          <w:spacing w:val="1"/>
          <w:sz w:val="17"/>
          <w:szCs w:val="17"/>
        </w:rPr>
        <w:t>欧洲高等教育质量</w:t>
      </w:r>
      <w:r>
        <w:rPr>
          <w:rFonts w:ascii="宋体" w:hAnsi="宋体" w:eastAsia="宋体" w:cs="宋体"/>
          <w:sz w:val="17"/>
          <w:szCs w:val="17"/>
        </w:rPr>
        <w:t xml:space="preserve"> </w:t>
      </w:r>
      <w:r>
        <w:rPr>
          <w:rFonts w:ascii="宋体" w:hAnsi="宋体" w:eastAsia="宋体" w:cs="宋体"/>
          <w:spacing w:val="-4"/>
          <w:sz w:val="17"/>
          <w:szCs w:val="17"/>
        </w:rPr>
        <w:t>保证十年发展回顾［</w:t>
      </w:r>
      <w:r>
        <w:rPr>
          <w:rFonts w:ascii="微软雅黑" w:hAnsi="微软雅黑" w:eastAsia="微软雅黑" w:cs="微软雅黑"/>
          <w:spacing w:val="-4"/>
          <w:sz w:val="17"/>
          <w:szCs w:val="17"/>
        </w:rPr>
        <w:t>J</w:t>
      </w:r>
      <w:r>
        <w:rPr>
          <w:rFonts w:ascii="宋体" w:hAnsi="宋体" w:eastAsia="宋体" w:cs="宋体"/>
          <w:spacing w:val="-50"/>
          <w:w w:val="91"/>
          <w:sz w:val="17"/>
          <w:szCs w:val="17"/>
        </w:rPr>
        <w:t>］</w:t>
      </w:r>
      <w:r>
        <w:rPr>
          <w:rFonts w:ascii="微软雅黑" w:hAnsi="微软雅黑" w:eastAsia="微软雅黑" w:cs="微软雅黑"/>
          <w:spacing w:val="-50"/>
          <w:w w:val="91"/>
          <w:sz w:val="17"/>
          <w:szCs w:val="17"/>
        </w:rPr>
        <w:t>．</w:t>
      </w:r>
      <w:r>
        <w:rPr>
          <w:rFonts w:ascii="宋体" w:hAnsi="宋体" w:eastAsia="宋体" w:cs="宋体"/>
          <w:spacing w:val="-4"/>
          <w:sz w:val="17"/>
          <w:szCs w:val="17"/>
        </w:rPr>
        <w:t>北京大学教育评论，</w:t>
      </w:r>
      <w:r>
        <w:rPr>
          <w:rFonts w:ascii="微软雅黑" w:hAnsi="微软雅黑" w:eastAsia="微软雅黑" w:cs="微软雅黑"/>
          <w:spacing w:val="-4"/>
          <w:sz w:val="17"/>
          <w:szCs w:val="17"/>
        </w:rPr>
        <w:t>2011</w:t>
      </w:r>
      <w:r>
        <w:rPr>
          <w:rFonts w:ascii="宋体" w:hAnsi="宋体" w:eastAsia="宋体" w:cs="宋体"/>
          <w:spacing w:val="-4"/>
          <w:sz w:val="17"/>
          <w:szCs w:val="17"/>
        </w:rPr>
        <w:t>(</w:t>
      </w:r>
      <w:r>
        <w:rPr>
          <w:rFonts w:ascii="微软雅黑" w:hAnsi="微软雅黑" w:eastAsia="微软雅黑" w:cs="微软雅黑"/>
          <w:spacing w:val="-4"/>
          <w:sz w:val="17"/>
          <w:szCs w:val="17"/>
        </w:rPr>
        <w:t>2</w:t>
      </w:r>
      <w:r>
        <w:rPr>
          <w:rFonts w:ascii="宋体" w:hAnsi="宋体" w:eastAsia="宋体" w:cs="宋体"/>
          <w:spacing w:val="-5"/>
          <w:sz w:val="17"/>
          <w:szCs w:val="17"/>
        </w:rPr>
        <w:t>) :</w:t>
      </w:r>
      <w:r>
        <w:rPr>
          <w:rFonts w:ascii="宋体" w:hAnsi="宋体" w:eastAsia="宋体" w:cs="宋体"/>
          <w:sz w:val="17"/>
          <w:szCs w:val="17"/>
        </w:rPr>
        <w:t xml:space="preserve"> </w:t>
      </w:r>
      <w:r>
        <w:rPr>
          <w:rFonts w:ascii="微软雅黑" w:hAnsi="微软雅黑" w:eastAsia="微软雅黑" w:cs="微软雅黑"/>
          <w:spacing w:val="-14"/>
          <w:sz w:val="17"/>
          <w:szCs w:val="17"/>
        </w:rPr>
        <w:t>118</w:t>
      </w:r>
      <w:r>
        <w:rPr>
          <w:rFonts w:ascii="微软雅黑" w:hAnsi="微软雅黑" w:eastAsia="微软雅黑" w:cs="微软雅黑"/>
          <w:spacing w:val="-20"/>
          <w:sz w:val="17"/>
          <w:szCs w:val="17"/>
        </w:rPr>
        <w:t xml:space="preserve"> </w:t>
      </w:r>
      <w:r>
        <w:rPr>
          <w:rFonts w:ascii="微软雅黑" w:hAnsi="微软雅黑" w:eastAsia="微软雅黑" w:cs="微软雅黑"/>
          <w:spacing w:val="-14"/>
          <w:sz w:val="17"/>
          <w:szCs w:val="17"/>
        </w:rPr>
        <w:t>－130</w:t>
      </w:r>
      <w:r>
        <w:rPr>
          <w:rFonts w:ascii="微软雅黑" w:hAnsi="微软雅黑" w:eastAsia="微软雅黑" w:cs="微软雅黑"/>
          <w:spacing w:val="-30"/>
          <w:sz w:val="17"/>
          <w:szCs w:val="17"/>
        </w:rPr>
        <w:t xml:space="preserve"> </w:t>
      </w:r>
      <w:r>
        <w:rPr>
          <w:rFonts w:ascii="微软雅黑" w:hAnsi="微软雅黑" w:eastAsia="微软雅黑" w:cs="微软雅黑"/>
          <w:spacing w:val="-14"/>
          <w:sz w:val="17"/>
          <w:szCs w:val="17"/>
        </w:rPr>
        <w:t>.</w:t>
      </w:r>
    </w:p>
    <w:p>
      <w:pPr>
        <w:spacing w:line="14" w:lineRule="auto"/>
        <w:rPr>
          <w:rFonts w:ascii="Arial"/>
          <w:sz w:val="2"/>
        </w:rPr>
      </w:pPr>
      <w:r>
        <w:rPr>
          <w:rFonts w:ascii="Arial" w:hAnsi="Arial" w:eastAsia="Arial" w:cs="Arial"/>
          <w:sz w:val="2"/>
          <w:szCs w:val="2"/>
        </w:rPr>
        <w:br w:type="column"/>
      </w:r>
    </w:p>
    <w:p>
      <w:pPr>
        <w:spacing w:before="45" w:line="252" w:lineRule="auto"/>
        <w:ind w:left="300" w:right="53" w:hanging="300"/>
        <w:rPr>
          <w:rFonts w:ascii="微软雅黑" w:hAnsi="微软雅黑" w:eastAsia="微软雅黑" w:cs="微软雅黑"/>
          <w:sz w:val="17"/>
          <w:szCs w:val="17"/>
        </w:rPr>
      </w:pPr>
      <w:r>
        <w:rPr>
          <w:rFonts w:ascii="宋体" w:hAnsi="宋体" w:eastAsia="宋体" w:cs="宋体"/>
          <w:spacing w:val="8"/>
          <w:sz w:val="17"/>
          <w:szCs w:val="17"/>
        </w:rPr>
        <w:t>［</w:t>
      </w:r>
      <w:r>
        <w:rPr>
          <w:rFonts w:ascii="微软雅黑" w:hAnsi="微软雅黑" w:eastAsia="微软雅黑" w:cs="微软雅黑"/>
          <w:spacing w:val="8"/>
          <w:sz w:val="17"/>
          <w:szCs w:val="17"/>
        </w:rPr>
        <w:t>2</w:t>
      </w:r>
      <w:r>
        <w:rPr>
          <w:rFonts w:ascii="宋体" w:hAnsi="宋体" w:eastAsia="宋体" w:cs="宋体"/>
          <w:spacing w:val="8"/>
          <w:sz w:val="17"/>
          <w:szCs w:val="17"/>
        </w:rPr>
        <w:t>］王建华</w:t>
      </w:r>
      <w:r>
        <w:rPr>
          <w:rFonts w:ascii="微软雅黑" w:hAnsi="微软雅黑" w:eastAsia="微软雅黑" w:cs="微软雅黑"/>
          <w:spacing w:val="8"/>
          <w:sz w:val="17"/>
          <w:szCs w:val="17"/>
        </w:rPr>
        <w:t>．</w:t>
      </w:r>
      <w:r>
        <w:rPr>
          <w:rFonts w:ascii="宋体" w:hAnsi="宋体" w:eastAsia="宋体" w:cs="宋体"/>
          <w:spacing w:val="8"/>
          <w:sz w:val="17"/>
          <w:szCs w:val="17"/>
        </w:rPr>
        <w:t>高等教育质量管理的新趋势及我国</w:t>
      </w:r>
      <w:r>
        <w:rPr>
          <w:rFonts w:ascii="宋体" w:hAnsi="宋体" w:eastAsia="宋体" w:cs="宋体"/>
          <w:spacing w:val="-47"/>
          <w:sz w:val="17"/>
          <w:szCs w:val="17"/>
        </w:rPr>
        <w:t xml:space="preserve"> </w:t>
      </w:r>
      <w:r>
        <w:rPr>
          <w:rFonts w:ascii="宋体" w:hAnsi="宋体" w:eastAsia="宋体" w:cs="宋体"/>
          <w:spacing w:val="8"/>
          <w:sz w:val="17"/>
          <w:szCs w:val="17"/>
        </w:rPr>
        <w:t>的选择</w:t>
      </w:r>
      <w:r>
        <w:rPr>
          <w:rFonts w:ascii="宋体" w:hAnsi="宋体" w:eastAsia="宋体" w:cs="宋体"/>
          <w:sz w:val="17"/>
          <w:szCs w:val="17"/>
        </w:rPr>
        <w:t xml:space="preserve"> </w:t>
      </w:r>
      <w:r>
        <w:rPr>
          <w:rFonts w:ascii="宋体" w:hAnsi="宋体" w:eastAsia="宋体" w:cs="宋体"/>
          <w:spacing w:val="-12"/>
          <w:sz w:val="17"/>
          <w:szCs w:val="17"/>
        </w:rPr>
        <w:t>［</w:t>
      </w:r>
      <w:r>
        <w:rPr>
          <w:rFonts w:ascii="微软雅黑" w:hAnsi="微软雅黑" w:eastAsia="微软雅黑" w:cs="微软雅黑"/>
          <w:spacing w:val="-12"/>
          <w:sz w:val="17"/>
          <w:szCs w:val="17"/>
        </w:rPr>
        <w:t>J</w:t>
      </w:r>
      <w:r>
        <w:rPr>
          <w:rFonts w:ascii="宋体" w:hAnsi="宋体" w:eastAsia="宋体" w:cs="宋体"/>
          <w:spacing w:val="-50"/>
          <w:sz w:val="17"/>
          <w:szCs w:val="17"/>
        </w:rPr>
        <w:t>］</w:t>
      </w:r>
      <w:r>
        <w:rPr>
          <w:rFonts w:ascii="微软雅黑" w:hAnsi="微软雅黑" w:eastAsia="微软雅黑" w:cs="微软雅黑"/>
          <w:spacing w:val="-50"/>
          <w:sz w:val="17"/>
          <w:szCs w:val="17"/>
        </w:rPr>
        <w:t>．</w:t>
      </w:r>
      <w:r>
        <w:rPr>
          <w:rFonts w:ascii="宋体" w:hAnsi="宋体" w:eastAsia="宋体" w:cs="宋体"/>
          <w:spacing w:val="-12"/>
          <w:sz w:val="17"/>
          <w:szCs w:val="17"/>
        </w:rPr>
        <w:t>中国高教研究，</w:t>
      </w:r>
      <w:r>
        <w:rPr>
          <w:rFonts w:ascii="微软雅黑" w:hAnsi="微软雅黑" w:eastAsia="微软雅黑" w:cs="微软雅黑"/>
          <w:spacing w:val="-12"/>
          <w:sz w:val="17"/>
          <w:szCs w:val="17"/>
        </w:rPr>
        <w:t>2008</w:t>
      </w:r>
      <w:r>
        <w:rPr>
          <w:rFonts w:ascii="宋体" w:hAnsi="宋体" w:eastAsia="宋体" w:cs="宋体"/>
          <w:spacing w:val="-12"/>
          <w:sz w:val="17"/>
          <w:szCs w:val="17"/>
        </w:rPr>
        <w:t>(</w:t>
      </w:r>
      <w:r>
        <w:rPr>
          <w:rFonts w:ascii="微软雅黑" w:hAnsi="微软雅黑" w:eastAsia="微软雅黑" w:cs="微软雅黑"/>
          <w:spacing w:val="-12"/>
          <w:sz w:val="17"/>
          <w:szCs w:val="17"/>
        </w:rPr>
        <w:t>8</w:t>
      </w:r>
      <w:r>
        <w:rPr>
          <w:rFonts w:ascii="宋体" w:hAnsi="宋体" w:eastAsia="宋体" w:cs="宋体"/>
          <w:spacing w:val="-12"/>
          <w:sz w:val="17"/>
          <w:szCs w:val="17"/>
        </w:rPr>
        <w:t>) :</w:t>
      </w:r>
      <w:r>
        <w:rPr>
          <w:rFonts w:ascii="宋体" w:hAnsi="宋体" w:eastAsia="宋体" w:cs="宋体"/>
          <w:spacing w:val="-49"/>
          <w:sz w:val="17"/>
          <w:szCs w:val="17"/>
        </w:rPr>
        <w:t xml:space="preserve"> </w:t>
      </w:r>
      <w:r>
        <w:rPr>
          <w:rFonts w:ascii="微软雅黑" w:hAnsi="微软雅黑" w:eastAsia="微软雅黑" w:cs="微软雅黑"/>
          <w:spacing w:val="-12"/>
          <w:sz w:val="17"/>
          <w:szCs w:val="17"/>
        </w:rPr>
        <w:t>21－25</w:t>
      </w:r>
      <w:r>
        <w:rPr>
          <w:rFonts w:ascii="微软雅黑" w:hAnsi="微软雅黑" w:eastAsia="微软雅黑" w:cs="微软雅黑"/>
          <w:spacing w:val="-30"/>
          <w:sz w:val="17"/>
          <w:szCs w:val="17"/>
        </w:rPr>
        <w:t xml:space="preserve"> </w:t>
      </w:r>
      <w:r>
        <w:rPr>
          <w:rFonts w:ascii="微软雅黑" w:hAnsi="微软雅黑" w:eastAsia="微软雅黑" w:cs="微软雅黑"/>
          <w:spacing w:val="-12"/>
          <w:sz w:val="17"/>
          <w:szCs w:val="17"/>
        </w:rPr>
        <w:t>.</w:t>
      </w:r>
    </w:p>
    <w:p>
      <w:pPr>
        <w:spacing w:before="6" w:line="229" w:lineRule="auto"/>
        <w:rPr>
          <w:rFonts w:ascii="微软雅黑" w:hAnsi="微软雅黑" w:eastAsia="微软雅黑" w:cs="微软雅黑"/>
          <w:sz w:val="17"/>
          <w:szCs w:val="17"/>
        </w:rPr>
      </w:pPr>
      <w:r>
        <w:rPr>
          <w:rFonts w:ascii="宋体" w:hAnsi="宋体" w:eastAsia="宋体" w:cs="宋体"/>
          <w:spacing w:val="-14"/>
          <w:sz w:val="17"/>
          <w:szCs w:val="17"/>
        </w:rPr>
        <w:t>［</w:t>
      </w:r>
      <w:r>
        <w:rPr>
          <w:rFonts w:ascii="微软雅黑" w:hAnsi="微软雅黑" w:eastAsia="微软雅黑" w:cs="微软雅黑"/>
          <w:spacing w:val="-14"/>
          <w:sz w:val="17"/>
          <w:szCs w:val="17"/>
        </w:rPr>
        <w:t>3</w:t>
      </w:r>
      <w:r>
        <w:rPr>
          <w:rFonts w:ascii="宋体" w:hAnsi="宋体" w:eastAsia="宋体" w:cs="宋体"/>
          <w:spacing w:val="-14"/>
          <w:sz w:val="17"/>
          <w:szCs w:val="17"/>
        </w:rPr>
        <w:t>］</w:t>
      </w:r>
      <w:r>
        <w:rPr>
          <w:rFonts w:ascii="微软雅黑" w:hAnsi="微软雅黑" w:eastAsia="微软雅黑" w:cs="微软雅黑"/>
          <w:spacing w:val="-14"/>
          <w:sz w:val="17"/>
          <w:szCs w:val="17"/>
        </w:rPr>
        <w:t>Keith</w:t>
      </w:r>
      <w:r>
        <w:rPr>
          <w:rFonts w:ascii="微软雅黑" w:hAnsi="微软雅黑" w:eastAsia="微软雅黑" w:cs="微软雅黑"/>
          <w:spacing w:val="17"/>
          <w:sz w:val="17"/>
          <w:szCs w:val="17"/>
        </w:rPr>
        <w:t xml:space="preserve"> </w:t>
      </w:r>
      <w:r>
        <w:rPr>
          <w:rFonts w:ascii="微软雅黑" w:hAnsi="微软雅黑" w:eastAsia="微软雅黑" w:cs="微软雅黑"/>
          <w:spacing w:val="-14"/>
          <w:sz w:val="17"/>
          <w:szCs w:val="17"/>
        </w:rPr>
        <w:t>Trigwell．Scholarship</w:t>
      </w:r>
      <w:r>
        <w:rPr>
          <w:rFonts w:ascii="微软雅黑" w:hAnsi="微软雅黑" w:eastAsia="微软雅黑" w:cs="微软雅黑"/>
          <w:spacing w:val="22"/>
          <w:sz w:val="17"/>
          <w:szCs w:val="17"/>
        </w:rPr>
        <w:t xml:space="preserve"> </w:t>
      </w:r>
      <w:r>
        <w:rPr>
          <w:rFonts w:ascii="微软雅黑" w:hAnsi="微软雅黑" w:eastAsia="微软雅黑" w:cs="微软雅黑"/>
          <w:spacing w:val="-14"/>
          <w:sz w:val="17"/>
          <w:szCs w:val="17"/>
        </w:rPr>
        <w:t>of</w:t>
      </w:r>
      <w:r>
        <w:rPr>
          <w:rFonts w:ascii="微软雅黑" w:hAnsi="微软雅黑" w:eastAsia="微软雅黑" w:cs="微软雅黑"/>
          <w:spacing w:val="9"/>
          <w:sz w:val="17"/>
          <w:szCs w:val="17"/>
        </w:rPr>
        <w:t xml:space="preserve"> </w:t>
      </w:r>
      <w:r>
        <w:rPr>
          <w:rFonts w:ascii="微软雅黑" w:hAnsi="微软雅黑" w:eastAsia="微软雅黑" w:cs="微软雅黑"/>
          <w:spacing w:val="-14"/>
          <w:sz w:val="17"/>
          <w:szCs w:val="17"/>
        </w:rPr>
        <w:t>Teaching</w:t>
      </w:r>
      <w:r>
        <w:rPr>
          <w:rFonts w:ascii="宋体" w:hAnsi="宋体" w:eastAsia="宋体" w:cs="宋体"/>
          <w:spacing w:val="-14"/>
          <w:sz w:val="17"/>
          <w:szCs w:val="17"/>
        </w:rPr>
        <w:t>［</w:t>
      </w:r>
      <w:r>
        <w:rPr>
          <w:rFonts w:ascii="微软雅黑" w:hAnsi="微软雅黑" w:eastAsia="微软雅黑" w:cs="微软雅黑"/>
          <w:spacing w:val="-14"/>
          <w:sz w:val="17"/>
          <w:szCs w:val="17"/>
        </w:rPr>
        <w:t>J</w:t>
      </w:r>
      <w:r>
        <w:rPr>
          <w:rFonts w:ascii="宋体" w:hAnsi="宋体" w:eastAsia="宋体" w:cs="宋体"/>
          <w:spacing w:val="-51"/>
          <w:w w:val="92"/>
          <w:sz w:val="17"/>
          <w:szCs w:val="17"/>
        </w:rPr>
        <w:t>］</w:t>
      </w:r>
      <w:r>
        <w:rPr>
          <w:rFonts w:ascii="微软雅黑" w:hAnsi="微软雅黑" w:eastAsia="微软雅黑" w:cs="微软雅黑"/>
          <w:spacing w:val="-51"/>
          <w:w w:val="92"/>
          <w:sz w:val="17"/>
          <w:szCs w:val="17"/>
        </w:rPr>
        <w:t>．</w:t>
      </w:r>
      <w:r>
        <w:rPr>
          <w:rFonts w:ascii="微软雅黑" w:hAnsi="微软雅黑" w:eastAsia="微软雅黑" w:cs="微软雅黑"/>
          <w:spacing w:val="-14"/>
          <w:sz w:val="17"/>
          <w:szCs w:val="17"/>
        </w:rPr>
        <w:t>Hinger</w:t>
      </w:r>
      <w:r>
        <w:rPr>
          <w:rFonts w:ascii="微软雅黑" w:hAnsi="微软雅黑" w:eastAsia="微软雅黑" w:cs="微软雅黑"/>
          <w:spacing w:val="21"/>
          <w:w w:val="101"/>
          <w:sz w:val="17"/>
          <w:szCs w:val="17"/>
        </w:rPr>
        <w:t xml:space="preserve"> </w:t>
      </w:r>
      <w:r>
        <w:rPr>
          <w:rFonts w:ascii="微软雅黑" w:hAnsi="微软雅黑" w:eastAsia="微软雅黑" w:cs="微软雅黑"/>
          <w:spacing w:val="-15"/>
          <w:sz w:val="17"/>
          <w:szCs w:val="17"/>
        </w:rPr>
        <w:t>edu-</w:t>
      </w:r>
    </w:p>
    <w:p>
      <w:pPr>
        <w:spacing w:before="91" w:line="181" w:lineRule="auto"/>
        <w:ind w:left="321"/>
        <w:rPr>
          <w:rFonts w:ascii="微软雅黑" w:hAnsi="微软雅黑" w:eastAsia="微软雅黑" w:cs="微软雅黑"/>
          <w:sz w:val="17"/>
          <w:szCs w:val="17"/>
        </w:rPr>
      </w:pPr>
      <w:r>
        <w:rPr>
          <w:rFonts w:ascii="微软雅黑" w:hAnsi="微软雅黑" w:eastAsia="微软雅黑" w:cs="微软雅黑"/>
          <w:spacing w:val="-18"/>
          <w:sz w:val="17"/>
          <w:szCs w:val="17"/>
        </w:rPr>
        <w:t>cation</w:t>
      </w:r>
      <w:r>
        <w:rPr>
          <w:rFonts w:ascii="微软雅黑" w:hAnsi="微软雅黑" w:eastAsia="微软雅黑" w:cs="微软雅黑"/>
          <w:spacing w:val="22"/>
          <w:w w:val="101"/>
          <w:sz w:val="17"/>
          <w:szCs w:val="17"/>
        </w:rPr>
        <w:t xml:space="preserve"> </w:t>
      </w:r>
      <w:r>
        <w:rPr>
          <w:rFonts w:ascii="微软雅黑" w:hAnsi="微软雅黑" w:eastAsia="微软雅黑" w:cs="微软雅黑"/>
          <w:spacing w:val="-18"/>
          <w:sz w:val="17"/>
          <w:szCs w:val="17"/>
        </w:rPr>
        <w:t>research</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18"/>
          <w:sz w:val="17"/>
          <w:szCs w:val="17"/>
        </w:rPr>
        <w:t>and</w:t>
      </w:r>
      <w:r>
        <w:rPr>
          <w:rFonts w:ascii="微软雅黑" w:hAnsi="微软雅黑" w:eastAsia="微软雅黑" w:cs="微软雅黑"/>
          <w:spacing w:val="19"/>
          <w:sz w:val="17"/>
          <w:szCs w:val="17"/>
        </w:rPr>
        <w:t xml:space="preserve"> </w:t>
      </w:r>
      <w:r>
        <w:rPr>
          <w:rFonts w:ascii="微软雅黑" w:hAnsi="微软雅黑" w:eastAsia="微软雅黑" w:cs="微软雅黑"/>
          <w:spacing w:val="-18"/>
          <w:sz w:val="17"/>
          <w:szCs w:val="17"/>
        </w:rPr>
        <w:t>development</w:t>
      </w:r>
      <w:r>
        <w:rPr>
          <w:rFonts w:ascii="宋体" w:hAnsi="宋体" w:eastAsia="宋体" w:cs="宋体"/>
          <w:spacing w:val="-18"/>
          <w:sz w:val="17"/>
          <w:szCs w:val="17"/>
        </w:rPr>
        <w:t>，</w:t>
      </w:r>
      <w:r>
        <w:rPr>
          <w:rFonts w:ascii="微软雅黑" w:hAnsi="微软雅黑" w:eastAsia="微软雅黑" w:cs="微软雅黑"/>
          <w:spacing w:val="-18"/>
          <w:sz w:val="17"/>
          <w:szCs w:val="17"/>
        </w:rPr>
        <w:t>2002</w:t>
      </w:r>
      <w:r>
        <w:rPr>
          <w:rFonts w:ascii="宋体" w:hAnsi="宋体" w:eastAsia="宋体" w:cs="宋体"/>
          <w:spacing w:val="-18"/>
          <w:sz w:val="17"/>
          <w:szCs w:val="17"/>
        </w:rPr>
        <w:t>(</w:t>
      </w:r>
      <w:r>
        <w:rPr>
          <w:rFonts w:ascii="微软雅黑" w:hAnsi="微软雅黑" w:eastAsia="微软雅黑" w:cs="微软雅黑"/>
          <w:spacing w:val="-18"/>
          <w:sz w:val="17"/>
          <w:szCs w:val="17"/>
        </w:rPr>
        <w:t>2</w:t>
      </w:r>
      <w:r>
        <w:rPr>
          <w:rFonts w:ascii="宋体" w:hAnsi="宋体" w:eastAsia="宋体" w:cs="宋体"/>
          <w:spacing w:val="-18"/>
          <w:sz w:val="17"/>
          <w:szCs w:val="17"/>
        </w:rPr>
        <w:t>)</w:t>
      </w:r>
      <w:r>
        <w:rPr>
          <w:rFonts w:ascii="宋体" w:hAnsi="宋体" w:eastAsia="宋体" w:cs="宋体"/>
          <w:spacing w:val="2"/>
          <w:sz w:val="17"/>
          <w:szCs w:val="17"/>
        </w:rPr>
        <w:t xml:space="preserve"> </w:t>
      </w:r>
      <w:r>
        <w:rPr>
          <w:rFonts w:ascii="宋体" w:hAnsi="宋体" w:eastAsia="宋体" w:cs="宋体"/>
          <w:spacing w:val="-18"/>
          <w:sz w:val="17"/>
          <w:szCs w:val="17"/>
        </w:rPr>
        <w:t>:</w:t>
      </w:r>
      <w:r>
        <w:rPr>
          <w:rFonts w:ascii="宋体" w:hAnsi="宋体" w:eastAsia="宋体" w:cs="宋体"/>
          <w:spacing w:val="-47"/>
          <w:sz w:val="17"/>
          <w:szCs w:val="17"/>
        </w:rPr>
        <w:t xml:space="preserve"> </w:t>
      </w:r>
      <w:r>
        <w:rPr>
          <w:rFonts w:ascii="微软雅黑" w:hAnsi="微软雅黑" w:eastAsia="微软雅黑" w:cs="微软雅黑"/>
          <w:spacing w:val="-18"/>
          <w:sz w:val="17"/>
          <w:szCs w:val="17"/>
        </w:rPr>
        <w:t>36</w:t>
      </w:r>
      <w:r>
        <w:rPr>
          <w:rFonts w:ascii="微软雅黑" w:hAnsi="微软雅黑" w:eastAsia="微软雅黑" w:cs="微软雅黑"/>
          <w:spacing w:val="-30"/>
          <w:sz w:val="17"/>
          <w:szCs w:val="17"/>
        </w:rPr>
        <w:t xml:space="preserve"> </w:t>
      </w:r>
      <w:r>
        <w:rPr>
          <w:rFonts w:ascii="微软雅黑" w:hAnsi="微软雅黑" w:eastAsia="微软雅黑" w:cs="微软雅黑"/>
          <w:spacing w:val="-18"/>
          <w:sz w:val="17"/>
          <w:szCs w:val="17"/>
        </w:rPr>
        <w:t>.</w:t>
      </w:r>
    </w:p>
    <w:p>
      <w:pPr>
        <w:spacing w:before="32" w:line="242" w:lineRule="auto"/>
        <w:ind w:left="322" w:right="47" w:hanging="322"/>
        <w:rPr>
          <w:rFonts w:ascii="微软雅黑" w:hAnsi="微软雅黑" w:eastAsia="微软雅黑" w:cs="微软雅黑"/>
          <w:sz w:val="17"/>
          <w:szCs w:val="17"/>
        </w:rPr>
      </w:pPr>
      <w:r>
        <w:rPr>
          <w:rFonts w:ascii="宋体" w:hAnsi="宋体" w:eastAsia="宋体" w:cs="宋体"/>
          <w:spacing w:val="-13"/>
          <w:sz w:val="17"/>
          <w:szCs w:val="17"/>
        </w:rPr>
        <w:t>［</w:t>
      </w:r>
      <w:r>
        <w:rPr>
          <w:rFonts w:ascii="微软雅黑" w:hAnsi="微软雅黑" w:eastAsia="微软雅黑" w:cs="微软雅黑"/>
          <w:spacing w:val="-13"/>
          <w:sz w:val="17"/>
          <w:szCs w:val="17"/>
        </w:rPr>
        <w:t>4</w:t>
      </w:r>
      <w:r>
        <w:rPr>
          <w:rFonts w:ascii="宋体" w:hAnsi="宋体" w:eastAsia="宋体" w:cs="宋体"/>
          <w:spacing w:val="-13"/>
          <w:sz w:val="17"/>
          <w:szCs w:val="17"/>
        </w:rPr>
        <w:t>］</w:t>
      </w:r>
      <w:r>
        <w:rPr>
          <w:rFonts w:ascii="微软雅黑" w:hAnsi="微软雅黑" w:eastAsia="微软雅黑" w:cs="微软雅黑"/>
          <w:spacing w:val="-13"/>
          <w:sz w:val="17"/>
          <w:szCs w:val="17"/>
        </w:rPr>
        <w:t>Boyer  E  L．Scholarship</w:t>
      </w:r>
      <w:r>
        <w:rPr>
          <w:rFonts w:ascii="微软雅黑" w:hAnsi="微软雅黑" w:eastAsia="微软雅黑" w:cs="微软雅黑"/>
          <w:spacing w:val="2"/>
          <w:sz w:val="17"/>
          <w:szCs w:val="17"/>
        </w:rPr>
        <w:t xml:space="preserve">  </w:t>
      </w:r>
      <w:r>
        <w:rPr>
          <w:rFonts w:ascii="微软雅黑" w:hAnsi="微软雅黑" w:eastAsia="微软雅黑" w:cs="微软雅黑"/>
          <w:spacing w:val="-13"/>
          <w:sz w:val="17"/>
          <w:szCs w:val="17"/>
        </w:rPr>
        <w:t xml:space="preserve">Reconsidered </w:t>
      </w:r>
      <w:r>
        <w:rPr>
          <w:rFonts w:ascii="宋体" w:hAnsi="宋体" w:eastAsia="宋体" w:cs="宋体"/>
          <w:spacing w:val="-13"/>
          <w:sz w:val="17"/>
          <w:szCs w:val="17"/>
        </w:rPr>
        <w:t xml:space="preserve">: </w:t>
      </w:r>
      <w:r>
        <w:rPr>
          <w:rFonts w:ascii="微软雅黑" w:hAnsi="微软雅黑" w:eastAsia="微软雅黑" w:cs="微软雅黑"/>
          <w:spacing w:val="-13"/>
          <w:sz w:val="17"/>
          <w:szCs w:val="17"/>
        </w:rPr>
        <w:t>Priorities</w:t>
      </w:r>
      <w:r>
        <w:rPr>
          <w:rFonts w:ascii="微软雅黑" w:hAnsi="微软雅黑" w:eastAsia="微软雅黑" w:cs="微软雅黑"/>
          <w:spacing w:val="2"/>
          <w:sz w:val="17"/>
          <w:szCs w:val="17"/>
        </w:rPr>
        <w:t xml:space="preserve">  </w:t>
      </w:r>
      <w:r>
        <w:rPr>
          <w:rFonts w:ascii="微软雅黑" w:hAnsi="微软雅黑" w:eastAsia="微软雅黑" w:cs="微软雅黑"/>
          <w:spacing w:val="-13"/>
          <w:sz w:val="17"/>
          <w:szCs w:val="17"/>
        </w:rPr>
        <w:t>of  the</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Professoriate</w:t>
      </w:r>
      <w:r>
        <w:rPr>
          <w:rFonts w:ascii="宋体" w:hAnsi="宋体" w:eastAsia="宋体" w:cs="宋体"/>
          <w:spacing w:val="-13"/>
          <w:sz w:val="17"/>
          <w:szCs w:val="17"/>
        </w:rPr>
        <w:t>［</w:t>
      </w:r>
      <w:r>
        <w:rPr>
          <w:rFonts w:ascii="微软雅黑" w:hAnsi="微软雅黑" w:eastAsia="微软雅黑" w:cs="微软雅黑"/>
          <w:spacing w:val="-13"/>
          <w:sz w:val="17"/>
          <w:szCs w:val="17"/>
        </w:rPr>
        <w:t>M</w:t>
      </w:r>
      <w:r>
        <w:rPr>
          <w:rFonts w:ascii="宋体" w:hAnsi="宋体" w:eastAsia="宋体" w:cs="宋体"/>
          <w:spacing w:val="-45"/>
          <w:sz w:val="17"/>
          <w:szCs w:val="17"/>
        </w:rPr>
        <w:t>］</w:t>
      </w:r>
      <w:r>
        <w:rPr>
          <w:rFonts w:ascii="微软雅黑" w:hAnsi="微软雅黑" w:eastAsia="微软雅黑" w:cs="微软雅黑"/>
          <w:spacing w:val="-45"/>
          <w:sz w:val="17"/>
          <w:szCs w:val="17"/>
        </w:rPr>
        <w:t>．</w:t>
      </w:r>
      <w:r>
        <w:rPr>
          <w:rFonts w:ascii="微软雅黑" w:hAnsi="微软雅黑" w:eastAsia="微软雅黑" w:cs="微软雅黑"/>
          <w:spacing w:val="-13"/>
          <w:sz w:val="17"/>
          <w:szCs w:val="17"/>
        </w:rPr>
        <w:t>Princeton  Unive</w:t>
      </w:r>
      <w:r>
        <w:rPr>
          <w:rFonts w:ascii="微软雅黑" w:hAnsi="微软雅黑" w:eastAsia="微软雅黑" w:cs="微软雅黑"/>
          <w:spacing w:val="-14"/>
          <w:sz w:val="17"/>
          <w:szCs w:val="17"/>
        </w:rPr>
        <w:t>rsity  Press</w:t>
      </w:r>
      <w:r>
        <w:rPr>
          <w:rFonts w:ascii="宋体" w:hAnsi="宋体" w:eastAsia="宋体" w:cs="宋体"/>
          <w:spacing w:val="-14"/>
          <w:sz w:val="17"/>
          <w:szCs w:val="17"/>
        </w:rPr>
        <w:t>，</w:t>
      </w:r>
      <w:r>
        <w:rPr>
          <w:rFonts w:ascii="微软雅黑" w:hAnsi="微软雅黑" w:eastAsia="微软雅黑" w:cs="微软雅黑"/>
          <w:spacing w:val="-14"/>
          <w:sz w:val="17"/>
          <w:szCs w:val="17"/>
        </w:rPr>
        <w:t>1990</w:t>
      </w:r>
      <w:r>
        <w:rPr>
          <w:rFonts w:ascii="宋体" w:hAnsi="宋体" w:eastAsia="宋体" w:cs="宋体"/>
          <w:spacing w:val="-14"/>
          <w:sz w:val="17"/>
          <w:szCs w:val="17"/>
        </w:rPr>
        <w:t xml:space="preserve">: </w:t>
      </w:r>
      <w:r>
        <w:rPr>
          <w:rFonts w:ascii="微软雅黑" w:hAnsi="微软雅黑" w:eastAsia="微软雅黑" w:cs="微软雅黑"/>
          <w:spacing w:val="-14"/>
          <w:sz w:val="17"/>
          <w:szCs w:val="17"/>
        </w:rPr>
        <w:t>31</w:t>
      </w:r>
    </w:p>
    <w:p>
      <w:pPr>
        <w:spacing w:before="112" w:line="190" w:lineRule="auto"/>
        <w:ind w:left="369"/>
        <w:rPr>
          <w:rFonts w:ascii="微软雅黑" w:hAnsi="微软雅黑" w:eastAsia="微软雅黑" w:cs="微软雅黑"/>
          <w:sz w:val="17"/>
          <w:szCs w:val="17"/>
        </w:rPr>
      </w:pPr>
      <w:r>
        <w:rPr>
          <w:rFonts w:ascii="微软雅黑" w:hAnsi="微软雅黑" w:eastAsia="微软雅黑" w:cs="微软雅黑"/>
          <w:spacing w:val="-5"/>
          <w:sz w:val="17"/>
          <w:szCs w:val="17"/>
        </w:rPr>
        <w:t>-</w:t>
      </w:r>
      <w:r>
        <w:rPr>
          <w:rFonts w:ascii="微软雅黑" w:hAnsi="微软雅黑" w:eastAsia="微软雅黑" w:cs="微软雅黑"/>
          <w:spacing w:val="-11"/>
          <w:sz w:val="17"/>
          <w:szCs w:val="17"/>
        </w:rPr>
        <w:t xml:space="preserve"> </w:t>
      </w:r>
      <w:r>
        <w:rPr>
          <w:rFonts w:ascii="微软雅黑" w:hAnsi="微软雅黑" w:eastAsia="微软雅黑" w:cs="微软雅黑"/>
          <w:spacing w:val="-5"/>
          <w:sz w:val="17"/>
          <w:szCs w:val="17"/>
        </w:rPr>
        <w:t>75</w:t>
      </w:r>
      <w:r>
        <w:rPr>
          <w:rFonts w:ascii="微软雅黑" w:hAnsi="微软雅黑" w:eastAsia="微软雅黑" w:cs="微软雅黑"/>
          <w:spacing w:val="-29"/>
          <w:sz w:val="17"/>
          <w:szCs w:val="17"/>
        </w:rPr>
        <w:t xml:space="preserve"> </w:t>
      </w:r>
      <w:r>
        <w:rPr>
          <w:rFonts w:ascii="微软雅黑" w:hAnsi="微软雅黑" w:eastAsia="微软雅黑" w:cs="微软雅黑"/>
          <w:spacing w:val="-5"/>
          <w:sz w:val="17"/>
          <w:szCs w:val="17"/>
        </w:rPr>
        <w:t>.</w:t>
      </w:r>
    </w:p>
    <w:p>
      <w:pPr>
        <w:spacing w:before="2" w:line="246" w:lineRule="auto"/>
        <w:ind w:left="318" w:right="16" w:hanging="319"/>
        <w:rPr>
          <w:rFonts w:ascii="微软雅黑" w:hAnsi="微软雅黑" w:eastAsia="微软雅黑" w:cs="微软雅黑"/>
          <w:sz w:val="17"/>
          <w:szCs w:val="17"/>
        </w:rPr>
      </w:pPr>
      <w:r>
        <w:rPr>
          <w:rFonts w:ascii="宋体" w:hAnsi="宋体" w:eastAsia="宋体" w:cs="宋体"/>
          <w:spacing w:val="-14"/>
          <w:sz w:val="17"/>
          <w:szCs w:val="17"/>
        </w:rPr>
        <w:t>［</w:t>
      </w:r>
      <w:r>
        <w:rPr>
          <w:rFonts w:ascii="微软雅黑" w:hAnsi="微软雅黑" w:eastAsia="微软雅黑" w:cs="微软雅黑"/>
          <w:spacing w:val="-14"/>
          <w:sz w:val="17"/>
          <w:szCs w:val="17"/>
        </w:rPr>
        <w:t>5</w:t>
      </w:r>
      <w:r>
        <w:rPr>
          <w:rFonts w:ascii="微软雅黑" w:hAnsi="微软雅黑" w:eastAsia="微软雅黑" w:cs="微软雅黑"/>
          <w:spacing w:val="-21"/>
          <w:sz w:val="17"/>
          <w:szCs w:val="17"/>
        </w:rPr>
        <w:t xml:space="preserve"> </w:t>
      </w:r>
      <w:r>
        <w:rPr>
          <w:rFonts w:ascii="宋体" w:hAnsi="宋体" w:eastAsia="宋体" w:cs="宋体"/>
          <w:spacing w:val="-14"/>
          <w:sz w:val="17"/>
          <w:szCs w:val="17"/>
        </w:rPr>
        <w:t>］</w:t>
      </w:r>
      <w:r>
        <w:rPr>
          <w:rFonts w:ascii="微软雅黑" w:hAnsi="微软雅黑" w:eastAsia="微软雅黑" w:cs="微软雅黑"/>
          <w:spacing w:val="-14"/>
          <w:sz w:val="17"/>
          <w:szCs w:val="17"/>
        </w:rPr>
        <w:t>Pat</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Hutchings</w:t>
      </w:r>
      <w:r>
        <w:rPr>
          <w:rFonts w:ascii="宋体" w:hAnsi="宋体" w:eastAsia="宋体" w:cs="宋体"/>
          <w:spacing w:val="-14"/>
          <w:sz w:val="17"/>
          <w:szCs w:val="17"/>
        </w:rPr>
        <w:t>，</w:t>
      </w:r>
      <w:r>
        <w:rPr>
          <w:rFonts w:ascii="微软雅黑" w:hAnsi="微软雅黑" w:eastAsia="微软雅黑" w:cs="微软雅黑"/>
          <w:spacing w:val="-14"/>
          <w:sz w:val="17"/>
          <w:szCs w:val="17"/>
        </w:rPr>
        <w:t>Lee</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S．Shulman．The</w:t>
      </w:r>
      <w:r>
        <w:rPr>
          <w:rFonts w:ascii="微软雅黑" w:hAnsi="微软雅黑" w:eastAsia="微软雅黑" w:cs="微软雅黑"/>
          <w:spacing w:val="11"/>
          <w:sz w:val="17"/>
          <w:szCs w:val="17"/>
        </w:rPr>
        <w:t xml:space="preserve">  </w:t>
      </w:r>
      <w:r>
        <w:rPr>
          <w:rFonts w:ascii="微软雅黑" w:hAnsi="微软雅黑" w:eastAsia="微软雅黑" w:cs="微软雅黑"/>
          <w:spacing w:val="-15"/>
          <w:sz w:val="17"/>
          <w:szCs w:val="17"/>
        </w:rPr>
        <w:t>Scholarship</w:t>
      </w:r>
      <w:r>
        <w:rPr>
          <w:rFonts w:ascii="微软雅黑" w:hAnsi="微软雅黑" w:eastAsia="微软雅黑" w:cs="微软雅黑"/>
          <w:spacing w:val="12"/>
          <w:sz w:val="17"/>
          <w:szCs w:val="17"/>
        </w:rPr>
        <w:t xml:space="preserve">  </w:t>
      </w:r>
      <w:r>
        <w:rPr>
          <w:rFonts w:ascii="微软雅黑" w:hAnsi="微软雅黑" w:eastAsia="微软雅黑" w:cs="微软雅黑"/>
          <w:spacing w:val="-15"/>
          <w:sz w:val="17"/>
          <w:szCs w:val="17"/>
        </w:rPr>
        <w:t xml:space="preserve">Of </w:t>
      </w:r>
      <w:r>
        <w:rPr>
          <w:rFonts w:ascii="微软雅黑" w:hAnsi="微软雅黑" w:eastAsia="微软雅黑" w:cs="微软雅黑"/>
          <w:spacing w:val="-14"/>
          <w:sz w:val="17"/>
          <w:szCs w:val="17"/>
        </w:rPr>
        <w:t xml:space="preserve">Teaching </w:t>
      </w:r>
      <w:r>
        <w:rPr>
          <w:rFonts w:ascii="宋体" w:hAnsi="宋体" w:eastAsia="宋体" w:cs="宋体"/>
          <w:spacing w:val="-14"/>
          <w:sz w:val="17"/>
          <w:szCs w:val="17"/>
        </w:rPr>
        <w:t>:</w:t>
      </w:r>
      <w:r>
        <w:rPr>
          <w:rFonts w:ascii="宋体" w:hAnsi="宋体" w:eastAsia="宋体" w:cs="宋体"/>
          <w:spacing w:val="20"/>
          <w:sz w:val="17"/>
          <w:szCs w:val="17"/>
        </w:rPr>
        <w:t xml:space="preserve"> </w:t>
      </w:r>
      <w:r>
        <w:rPr>
          <w:rFonts w:ascii="微软雅黑" w:hAnsi="微软雅黑" w:eastAsia="微软雅黑" w:cs="微软雅黑"/>
          <w:spacing w:val="-14"/>
          <w:sz w:val="17"/>
          <w:szCs w:val="17"/>
        </w:rPr>
        <w:t>New   Elaboratio</w:t>
      </w:r>
      <w:r>
        <w:rPr>
          <w:rFonts w:ascii="微软雅黑" w:hAnsi="微软雅黑" w:eastAsia="微软雅黑" w:cs="微软雅黑"/>
          <w:spacing w:val="-15"/>
          <w:sz w:val="17"/>
          <w:szCs w:val="17"/>
        </w:rPr>
        <w:t>ns</w:t>
      </w:r>
      <w:r>
        <w:rPr>
          <w:rFonts w:ascii="微软雅黑" w:hAnsi="微软雅黑" w:eastAsia="微软雅黑" w:cs="微软雅黑"/>
          <w:spacing w:val="-25"/>
          <w:sz w:val="17"/>
          <w:szCs w:val="17"/>
        </w:rPr>
        <w:t xml:space="preserve"> </w:t>
      </w:r>
      <w:r>
        <w:rPr>
          <w:rFonts w:ascii="宋体" w:hAnsi="宋体" w:eastAsia="宋体" w:cs="宋体"/>
          <w:spacing w:val="-15"/>
          <w:sz w:val="17"/>
          <w:szCs w:val="17"/>
        </w:rPr>
        <w:t>，</w:t>
      </w:r>
      <w:r>
        <w:rPr>
          <w:rFonts w:ascii="微软雅黑" w:hAnsi="微软雅黑" w:eastAsia="微软雅黑" w:cs="微软雅黑"/>
          <w:spacing w:val="-15"/>
          <w:sz w:val="17"/>
          <w:szCs w:val="17"/>
        </w:rPr>
        <w:t>New   Developments</w:t>
      </w:r>
      <w:r>
        <w:rPr>
          <w:rFonts w:ascii="微软雅黑" w:hAnsi="微软雅黑" w:eastAsia="微软雅黑" w:cs="微软雅黑"/>
          <w:spacing w:val="5"/>
          <w:sz w:val="17"/>
          <w:szCs w:val="17"/>
        </w:rPr>
        <w:t xml:space="preserve"> </w:t>
      </w:r>
      <w:r>
        <w:rPr>
          <w:rFonts w:ascii="宋体" w:hAnsi="宋体" w:eastAsia="宋体" w:cs="宋体"/>
          <w:spacing w:val="-15"/>
          <w:sz w:val="17"/>
          <w:szCs w:val="17"/>
        </w:rPr>
        <w:t>［</w:t>
      </w:r>
      <w:r>
        <w:rPr>
          <w:rFonts w:ascii="微软雅黑" w:hAnsi="微软雅黑" w:eastAsia="微软雅黑" w:cs="微软雅黑"/>
          <w:spacing w:val="-15"/>
          <w:sz w:val="17"/>
          <w:szCs w:val="17"/>
        </w:rPr>
        <w:t>J</w:t>
      </w:r>
      <w:r>
        <w:rPr>
          <w:rFonts w:ascii="宋体" w:hAnsi="宋体" w:eastAsia="宋体" w:cs="宋体"/>
          <w:spacing w:val="-15"/>
          <w:sz w:val="17"/>
          <w:szCs w:val="17"/>
        </w:rPr>
        <w:t>］</w:t>
      </w:r>
      <w:r>
        <w:rPr>
          <w:rFonts w:ascii="宋体" w:hAnsi="宋体" w:eastAsia="宋体" w:cs="宋体"/>
          <w:sz w:val="17"/>
          <w:szCs w:val="17"/>
        </w:rPr>
        <w:t xml:space="preserve"> </w:t>
      </w:r>
      <w:r>
        <w:rPr>
          <w:rFonts w:ascii="微软雅黑" w:hAnsi="微软雅黑" w:eastAsia="微软雅黑" w:cs="微软雅黑"/>
          <w:spacing w:val="-16"/>
          <w:sz w:val="17"/>
          <w:szCs w:val="17"/>
        </w:rPr>
        <w:t>Change－the</w:t>
      </w:r>
      <w:r>
        <w:rPr>
          <w:rFonts w:ascii="微软雅黑" w:hAnsi="微软雅黑" w:eastAsia="微软雅黑" w:cs="微软雅黑"/>
          <w:spacing w:val="34"/>
          <w:sz w:val="17"/>
          <w:szCs w:val="17"/>
        </w:rPr>
        <w:t xml:space="preserve"> </w:t>
      </w:r>
      <w:r>
        <w:rPr>
          <w:rFonts w:ascii="微软雅黑" w:hAnsi="微软雅黑" w:eastAsia="微软雅黑" w:cs="微软雅黑"/>
          <w:spacing w:val="-16"/>
          <w:sz w:val="17"/>
          <w:szCs w:val="17"/>
        </w:rPr>
        <w:t>Magazine</w:t>
      </w:r>
      <w:r>
        <w:rPr>
          <w:rFonts w:ascii="微软雅黑" w:hAnsi="微软雅黑" w:eastAsia="微软雅黑" w:cs="微软雅黑"/>
          <w:spacing w:val="26"/>
          <w:w w:val="101"/>
          <w:sz w:val="17"/>
          <w:szCs w:val="17"/>
        </w:rPr>
        <w:t xml:space="preserve"> </w:t>
      </w:r>
      <w:r>
        <w:rPr>
          <w:rFonts w:ascii="微软雅黑" w:hAnsi="微软雅黑" w:eastAsia="微软雅黑" w:cs="微软雅黑"/>
          <w:spacing w:val="-16"/>
          <w:sz w:val="17"/>
          <w:szCs w:val="17"/>
        </w:rPr>
        <w:t>of</w:t>
      </w:r>
      <w:r>
        <w:rPr>
          <w:rFonts w:ascii="微软雅黑" w:hAnsi="微软雅黑" w:eastAsia="微软雅黑" w:cs="微软雅黑"/>
          <w:spacing w:val="18"/>
          <w:sz w:val="17"/>
          <w:szCs w:val="17"/>
        </w:rPr>
        <w:t xml:space="preserve"> </w:t>
      </w:r>
      <w:r>
        <w:rPr>
          <w:rFonts w:ascii="微软雅黑" w:hAnsi="微软雅黑" w:eastAsia="微软雅黑" w:cs="微软雅黑"/>
          <w:spacing w:val="-16"/>
          <w:sz w:val="17"/>
          <w:szCs w:val="17"/>
        </w:rPr>
        <w:t>Higher</w:t>
      </w:r>
      <w:r>
        <w:rPr>
          <w:rFonts w:ascii="微软雅黑" w:hAnsi="微软雅黑" w:eastAsia="微软雅黑" w:cs="微软雅黑"/>
          <w:spacing w:val="26"/>
          <w:sz w:val="17"/>
          <w:szCs w:val="17"/>
        </w:rPr>
        <w:t xml:space="preserve"> </w:t>
      </w:r>
      <w:r>
        <w:rPr>
          <w:rFonts w:ascii="微软雅黑" w:hAnsi="微软雅黑" w:eastAsia="微软雅黑" w:cs="微软雅黑"/>
          <w:spacing w:val="-16"/>
          <w:sz w:val="17"/>
          <w:szCs w:val="17"/>
        </w:rPr>
        <w:t>Learning</w:t>
      </w:r>
      <w:r>
        <w:rPr>
          <w:rFonts w:ascii="宋体" w:hAnsi="宋体" w:eastAsia="宋体" w:cs="宋体"/>
          <w:spacing w:val="-16"/>
          <w:sz w:val="17"/>
          <w:szCs w:val="17"/>
        </w:rPr>
        <w:t>，</w:t>
      </w:r>
      <w:r>
        <w:rPr>
          <w:rFonts w:ascii="微软雅黑" w:hAnsi="微软雅黑" w:eastAsia="微软雅黑" w:cs="微软雅黑"/>
          <w:spacing w:val="-16"/>
          <w:sz w:val="17"/>
          <w:szCs w:val="17"/>
        </w:rPr>
        <w:t>1999</w:t>
      </w:r>
      <w:r>
        <w:rPr>
          <w:rFonts w:ascii="宋体" w:hAnsi="宋体" w:eastAsia="宋体" w:cs="宋体"/>
          <w:spacing w:val="-16"/>
          <w:sz w:val="17"/>
          <w:szCs w:val="17"/>
        </w:rPr>
        <w:t>(</w:t>
      </w:r>
      <w:r>
        <w:rPr>
          <w:rFonts w:ascii="微软雅黑" w:hAnsi="微软雅黑" w:eastAsia="微软雅黑" w:cs="微软雅黑"/>
          <w:spacing w:val="-16"/>
          <w:sz w:val="17"/>
          <w:szCs w:val="17"/>
        </w:rPr>
        <w:t>5</w:t>
      </w:r>
      <w:r>
        <w:rPr>
          <w:rFonts w:ascii="宋体" w:hAnsi="宋体" w:eastAsia="宋体" w:cs="宋体"/>
          <w:spacing w:val="-16"/>
          <w:sz w:val="17"/>
          <w:szCs w:val="17"/>
        </w:rPr>
        <w:t>) :</w:t>
      </w:r>
      <w:r>
        <w:rPr>
          <w:rFonts w:ascii="宋体" w:hAnsi="宋体" w:eastAsia="宋体" w:cs="宋体"/>
          <w:spacing w:val="-26"/>
          <w:sz w:val="17"/>
          <w:szCs w:val="17"/>
        </w:rPr>
        <w:t xml:space="preserve"> </w:t>
      </w:r>
      <w:r>
        <w:rPr>
          <w:rFonts w:ascii="微软雅黑" w:hAnsi="微软雅黑" w:eastAsia="微软雅黑" w:cs="微软雅黑"/>
          <w:spacing w:val="-16"/>
          <w:sz w:val="17"/>
          <w:szCs w:val="17"/>
        </w:rPr>
        <w:t>10</w:t>
      </w:r>
    </w:p>
    <w:p>
      <w:pPr>
        <w:spacing w:before="112" w:line="190" w:lineRule="auto"/>
        <w:ind w:left="369"/>
        <w:rPr>
          <w:rFonts w:ascii="微软雅黑" w:hAnsi="微软雅黑" w:eastAsia="微软雅黑" w:cs="微软雅黑"/>
          <w:sz w:val="17"/>
          <w:szCs w:val="17"/>
        </w:rPr>
      </w:pPr>
      <w:r>
        <w:rPr>
          <w:rFonts w:ascii="微软雅黑" w:hAnsi="微软雅黑" w:eastAsia="微软雅黑" w:cs="微软雅黑"/>
          <w:spacing w:val="-9"/>
          <w:sz w:val="17"/>
          <w:szCs w:val="17"/>
        </w:rPr>
        <w:t>-</w:t>
      </w:r>
      <w:r>
        <w:rPr>
          <w:rFonts w:ascii="微软雅黑" w:hAnsi="微软雅黑" w:eastAsia="微软雅黑" w:cs="微软雅黑"/>
          <w:spacing w:val="5"/>
          <w:sz w:val="17"/>
          <w:szCs w:val="17"/>
        </w:rPr>
        <w:t xml:space="preserve"> </w:t>
      </w:r>
      <w:r>
        <w:rPr>
          <w:rFonts w:ascii="微软雅黑" w:hAnsi="微软雅黑" w:eastAsia="微软雅黑" w:cs="微软雅黑"/>
          <w:spacing w:val="-9"/>
          <w:sz w:val="17"/>
          <w:szCs w:val="17"/>
        </w:rPr>
        <w:t>15</w:t>
      </w:r>
      <w:r>
        <w:rPr>
          <w:rFonts w:ascii="微软雅黑" w:hAnsi="微软雅黑" w:eastAsia="微软雅黑" w:cs="微软雅黑"/>
          <w:spacing w:val="-29"/>
          <w:sz w:val="17"/>
          <w:szCs w:val="17"/>
        </w:rPr>
        <w:t xml:space="preserve"> </w:t>
      </w:r>
      <w:r>
        <w:rPr>
          <w:rFonts w:ascii="微软雅黑" w:hAnsi="微软雅黑" w:eastAsia="微软雅黑" w:cs="微软雅黑"/>
          <w:spacing w:val="-9"/>
          <w:sz w:val="17"/>
          <w:szCs w:val="17"/>
        </w:rPr>
        <w:t>.</w:t>
      </w:r>
    </w:p>
    <w:p>
      <w:pPr>
        <w:spacing w:before="1" w:line="252" w:lineRule="auto"/>
        <w:ind w:left="324" w:right="51" w:hanging="324"/>
        <w:rPr>
          <w:rFonts w:ascii="宋体" w:hAnsi="宋体" w:eastAsia="宋体" w:cs="宋体"/>
          <w:sz w:val="17"/>
          <w:szCs w:val="17"/>
        </w:rPr>
      </w:pPr>
      <w:r>
        <w:rPr>
          <w:rFonts w:ascii="宋体" w:hAnsi="宋体" w:eastAsia="宋体" w:cs="宋体"/>
          <w:spacing w:val="2"/>
          <w:sz w:val="17"/>
          <w:szCs w:val="17"/>
        </w:rPr>
        <w:t>［</w:t>
      </w:r>
      <w:r>
        <w:rPr>
          <w:rFonts w:ascii="微软雅黑" w:hAnsi="微软雅黑" w:eastAsia="微软雅黑" w:cs="微软雅黑"/>
          <w:spacing w:val="2"/>
          <w:sz w:val="17"/>
          <w:szCs w:val="17"/>
        </w:rPr>
        <w:t>6</w:t>
      </w:r>
      <w:r>
        <w:rPr>
          <w:rFonts w:ascii="宋体" w:hAnsi="宋体" w:eastAsia="宋体" w:cs="宋体"/>
          <w:spacing w:val="2"/>
          <w:sz w:val="17"/>
          <w:szCs w:val="17"/>
        </w:rPr>
        <w:t>］黄培森</w:t>
      </w:r>
      <w:r>
        <w:rPr>
          <w:rFonts w:ascii="微软雅黑" w:hAnsi="微软雅黑" w:eastAsia="微软雅黑" w:cs="微软雅黑"/>
          <w:spacing w:val="2"/>
          <w:sz w:val="17"/>
          <w:szCs w:val="17"/>
        </w:rPr>
        <w:t>．</w:t>
      </w:r>
      <w:r>
        <w:rPr>
          <w:rFonts w:ascii="宋体" w:hAnsi="宋体" w:eastAsia="宋体" w:cs="宋体"/>
          <w:spacing w:val="2"/>
          <w:sz w:val="17"/>
          <w:szCs w:val="17"/>
        </w:rPr>
        <w:t>教学学术视角下大学初任教师专业发展的逻</w:t>
      </w:r>
      <w:r>
        <w:rPr>
          <w:rFonts w:ascii="宋体" w:hAnsi="宋体" w:eastAsia="宋体" w:cs="宋体"/>
          <w:spacing w:val="18"/>
          <w:sz w:val="17"/>
          <w:szCs w:val="17"/>
        </w:rPr>
        <w:t xml:space="preserve"> </w:t>
      </w:r>
      <w:r>
        <w:rPr>
          <w:rFonts w:ascii="宋体" w:hAnsi="宋体" w:eastAsia="宋体" w:cs="宋体"/>
          <w:spacing w:val="-3"/>
          <w:sz w:val="17"/>
          <w:szCs w:val="17"/>
        </w:rPr>
        <w:t>辑［</w:t>
      </w:r>
      <w:r>
        <w:rPr>
          <w:rFonts w:ascii="微软雅黑" w:hAnsi="微软雅黑" w:eastAsia="微软雅黑" w:cs="微软雅黑"/>
          <w:spacing w:val="-3"/>
          <w:sz w:val="17"/>
          <w:szCs w:val="17"/>
        </w:rPr>
        <w:t>J</w:t>
      </w:r>
      <w:r>
        <w:rPr>
          <w:rFonts w:ascii="宋体" w:hAnsi="宋体" w:eastAsia="宋体" w:cs="宋体"/>
          <w:spacing w:val="-50"/>
          <w:w w:val="91"/>
          <w:sz w:val="17"/>
          <w:szCs w:val="17"/>
        </w:rPr>
        <w:t>］</w:t>
      </w:r>
      <w:r>
        <w:rPr>
          <w:rFonts w:ascii="微软雅黑" w:hAnsi="微软雅黑" w:eastAsia="微软雅黑" w:cs="微软雅黑"/>
          <w:spacing w:val="-50"/>
          <w:w w:val="91"/>
          <w:sz w:val="17"/>
          <w:szCs w:val="17"/>
        </w:rPr>
        <w:t>．</w:t>
      </w:r>
      <w:r>
        <w:rPr>
          <w:rFonts w:ascii="宋体" w:hAnsi="宋体" w:eastAsia="宋体" w:cs="宋体"/>
          <w:spacing w:val="-3"/>
          <w:sz w:val="17"/>
          <w:szCs w:val="17"/>
        </w:rPr>
        <w:t>首都师范大学学报(</w:t>
      </w:r>
      <w:r>
        <w:rPr>
          <w:rFonts w:ascii="宋体" w:hAnsi="宋体" w:eastAsia="宋体" w:cs="宋体"/>
          <w:spacing w:val="-43"/>
          <w:sz w:val="17"/>
          <w:szCs w:val="17"/>
        </w:rPr>
        <w:t xml:space="preserve"> </w:t>
      </w:r>
      <w:r>
        <w:rPr>
          <w:rFonts w:ascii="宋体" w:hAnsi="宋体" w:eastAsia="宋体" w:cs="宋体"/>
          <w:spacing w:val="-3"/>
          <w:sz w:val="17"/>
          <w:szCs w:val="17"/>
        </w:rPr>
        <w:t>社会科学报)</w:t>
      </w:r>
      <w:r>
        <w:rPr>
          <w:rFonts w:ascii="宋体" w:hAnsi="宋体" w:eastAsia="宋体" w:cs="宋体"/>
          <w:spacing w:val="-27"/>
          <w:sz w:val="17"/>
          <w:szCs w:val="17"/>
        </w:rPr>
        <w:t xml:space="preserve"> </w:t>
      </w:r>
      <w:r>
        <w:rPr>
          <w:rFonts w:ascii="宋体" w:hAnsi="宋体" w:eastAsia="宋体" w:cs="宋体"/>
          <w:spacing w:val="-3"/>
          <w:sz w:val="17"/>
          <w:szCs w:val="17"/>
        </w:rPr>
        <w:t>，</w:t>
      </w:r>
      <w:r>
        <w:rPr>
          <w:rFonts w:ascii="微软雅黑" w:hAnsi="微软雅黑" w:eastAsia="微软雅黑" w:cs="微软雅黑"/>
          <w:spacing w:val="-3"/>
          <w:sz w:val="17"/>
          <w:szCs w:val="17"/>
        </w:rPr>
        <w:t>2014</w:t>
      </w:r>
      <w:r>
        <w:rPr>
          <w:rFonts w:ascii="微软雅黑" w:hAnsi="微软雅黑" w:eastAsia="微软雅黑" w:cs="微软雅黑"/>
          <w:spacing w:val="-4"/>
          <w:sz w:val="17"/>
          <w:szCs w:val="17"/>
        </w:rPr>
        <w:t xml:space="preserve"> </w:t>
      </w:r>
      <w:r>
        <w:rPr>
          <w:rFonts w:ascii="宋体" w:hAnsi="宋体" w:eastAsia="宋体" w:cs="宋体"/>
          <w:spacing w:val="-4"/>
          <w:sz w:val="17"/>
          <w:szCs w:val="17"/>
        </w:rPr>
        <w:t>(</w:t>
      </w:r>
      <w:r>
        <w:rPr>
          <w:rFonts w:ascii="微软雅黑" w:hAnsi="微软雅黑" w:eastAsia="微软雅黑" w:cs="微软雅黑"/>
          <w:spacing w:val="-4"/>
          <w:sz w:val="17"/>
          <w:szCs w:val="17"/>
        </w:rPr>
        <w:t>3</w:t>
      </w:r>
      <w:r>
        <w:rPr>
          <w:rFonts w:ascii="宋体" w:hAnsi="宋体" w:eastAsia="宋体" w:cs="宋体"/>
          <w:spacing w:val="-4"/>
          <w:sz w:val="17"/>
          <w:szCs w:val="17"/>
        </w:rPr>
        <w:t>) :</w:t>
      </w:r>
    </w:p>
    <w:p>
      <w:pPr>
        <w:spacing w:before="87" w:line="190" w:lineRule="auto"/>
        <w:ind w:left="327"/>
        <w:rPr>
          <w:rFonts w:ascii="微软雅黑" w:hAnsi="微软雅黑" w:eastAsia="微软雅黑" w:cs="微软雅黑"/>
          <w:sz w:val="17"/>
          <w:szCs w:val="17"/>
        </w:rPr>
      </w:pPr>
      <w:r>
        <w:rPr>
          <w:rFonts w:ascii="微软雅黑" w:hAnsi="微软雅黑" w:eastAsia="微软雅黑" w:cs="微软雅黑"/>
          <w:spacing w:val="-14"/>
          <w:sz w:val="17"/>
          <w:szCs w:val="17"/>
        </w:rPr>
        <w:t>137</w:t>
      </w:r>
      <w:r>
        <w:rPr>
          <w:rFonts w:ascii="微软雅黑" w:hAnsi="微软雅黑" w:eastAsia="微软雅黑" w:cs="微软雅黑"/>
          <w:spacing w:val="-22"/>
          <w:sz w:val="17"/>
          <w:szCs w:val="17"/>
        </w:rPr>
        <w:t xml:space="preserve"> </w:t>
      </w:r>
      <w:r>
        <w:rPr>
          <w:rFonts w:ascii="微软雅黑" w:hAnsi="微软雅黑" w:eastAsia="微软雅黑" w:cs="微软雅黑"/>
          <w:spacing w:val="-14"/>
          <w:sz w:val="17"/>
          <w:szCs w:val="17"/>
        </w:rPr>
        <w:t>－138</w:t>
      </w:r>
      <w:r>
        <w:rPr>
          <w:rFonts w:ascii="微软雅黑" w:hAnsi="微软雅黑" w:eastAsia="微软雅黑" w:cs="微软雅黑"/>
          <w:spacing w:val="-30"/>
          <w:sz w:val="17"/>
          <w:szCs w:val="17"/>
        </w:rPr>
        <w:t xml:space="preserve"> </w:t>
      </w:r>
      <w:r>
        <w:rPr>
          <w:rFonts w:ascii="微软雅黑" w:hAnsi="微软雅黑" w:eastAsia="微软雅黑" w:cs="微软雅黑"/>
          <w:spacing w:val="-14"/>
          <w:sz w:val="17"/>
          <w:szCs w:val="17"/>
        </w:rPr>
        <w:t>.</w:t>
      </w:r>
    </w:p>
    <w:p>
      <w:pPr>
        <w:spacing w:before="1" w:line="242" w:lineRule="auto"/>
        <w:ind w:left="322" w:hanging="322"/>
        <w:rPr>
          <w:rFonts w:ascii="宋体" w:hAnsi="宋体" w:eastAsia="宋体" w:cs="宋体"/>
          <w:sz w:val="17"/>
          <w:szCs w:val="17"/>
        </w:rPr>
      </w:pPr>
      <w:r>
        <w:rPr>
          <w:rFonts w:ascii="宋体" w:hAnsi="宋体" w:eastAsia="宋体" w:cs="宋体"/>
          <w:spacing w:val="-14"/>
          <w:sz w:val="17"/>
          <w:szCs w:val="17"/>
        </w:rPr>
        <w:t>［</w:t>
      </w:r>
      <w:r>
        <w:rPr>
          <w:rFonts w:ascii="微软雅黑" w:hAnsi="微软雅黑" w:eastAsia="微软雅黑" w:cs="微软雅黑"/>
          <w:spacing w:val="-14"/>
          <w:sz w:val="17"/>
          <w:szCs w:val="17"/>
        </w:rPr>
        <w:t>7</w:t>
      </w:r>
      <w:r>
        <w:rPr>
          <w:rFonts w:ascii="宋体" w:hAnsi="宋体" w:eastAsia="宋体" w:cs="宋体"/>
          <w:spacing w:val="-14"/>
          <w:sz w:val="17"/>
          <w:szCs w:val="17"/>
        </w:rPr>
        <w:t>］</w:t>
      </w:r>
      <w:r>
        <w:rPr>
          <w:rFonts w:ascii="微软雅黑" w:hAnsi="微软雅黑" w:eastAsia="微软雅黑" w:cs="微软雅黑"/>
          <w:spacing w:val="-14"/>
          <w:sz w:val="17"/>
          <w:szCs w:val="17"/>
        </w:rPr>
        <w:t>Caralin</w:t>
      </w:r>
      <w:r>
        <w:rPr>
          <w:rFonts w:ascii="微软雅黑" w:hAnsi="微软雅黑" w:eastAsia="微软雅黑" w:cs="微软雅黑"/>
          <w:spacing w:val="26"/>
          <w:w w:val="101"/>
          <w:sz w:val="17"/>
          <w:szCs w:val="17"/>
        </w:rPr>
        <w:t xml:space="preserve"> </w:t>
      </w:r>
      <w:r>
        <w:rPr>
          <w:rFonts w:ascii="微软雅黑" w:hAnsi="微软雅黑" w:eastAsia="微软雅黑" w:cs="微软雅黑"/>
          <w:spacing w:val="-14"/>
          <w:sz w:val="17"/>
          <w:szCs w:val="17"/>
        </w:rPr>
        <w:t>Kreber</w:t>
      </w:r>
      <w:r>
        <w:rPr>
          <w:rFonts w:ascii="宋体" w:hAnsi="宋体" w:eastAsia="宋体" w:cs="宋体"/>
          <w:spacing w:val="-14"/>
          <w:sz w:val="17"/>
          <w:szCs w:val="17"/>
        </w:rPr>
        <w:t>，</w:t>
      </w:r>
      <w:r>
        <w:rPr>
          <w:rFonts w:ascii="微软雅黑" w:hAnsi="微软雅黑" w:eastAsia="微软雅黑" w:cs="微软雅黑"/>
          <w:spacing w:val="-14"/>
          <w:sz w:val="17"/>
          <w:szCs w:val="17"/>
        </w:rPr>
        <w:t>Patricia</w:t>
      </w:r>
      <w:r>
        <w:rPr>
          <w:rFonts w:ascii="微软雅黑" w:hAnsi="微软雅黑" w:eastAsia="微软雅黑" w:cs="微软雅黑"/>
          <w:spacing w:val="17"/>
          <w:sz w:val="17"/>
          <w:szCs w:val="17"/>
        </w:rPr>
        <w:t xml:space="preserve"> </w:t>
      </w:r>
      <w:r>
        <w:rPr>
          <w:rFonts w:ascii="微软雅黑" w:hAnsi="微软雅黑" w:eastAsia="微软雅黑" w:cs="微软雅黑"/>
          <w:spacing w:val="-14"/>
          <w:sz w:val="17"/>
          <w:szCs w:val="17"/>
        </w:rPr>
        <w:t>A</w:t>
      </w:r>
      <w:r>
        <w:rPr>
          <w:rFonts w:ascii="微软雅黑" w:hAnsi="微软雅黑" w:eastAsia="微软雅黑" w:cs="微软雅黑"/>
          <w:spacing w:val="20"/>
          <w:w w:val="101"/>
          <w:sz w:val="17"/>
          <w:szCs w:val="17"/>
        </w:rPr>
        <w:t xml:space="preserve"> </w:t>
      </w:r>
      <w:r>
        <w:rPr>
          <w:rFonts w:ascii="微软雅黑" w:hAnsi="微软雅黑" w:eastAsia="微软雅黑" w:cs="微软雅黑"/>
          <w:spacing w:val="-14"/>
          <w:sz w:val="17"/>
          <w:szCs w:val="17"/>
        </w:rPr>
        <w:t>Cranton</w:t>
      </w:r>
      <w:r>
        <w:rPr>
          <w:rFonts w:ascii="微软雅黑" w:hAnsi="微软雅黑" w:eastAsia="微软雅黑" w:cs="微软雅黑"/>
          <w:spacing w:val="16"/>
          <w:w w:val="101"/>
          <w:sz w:val="17"/>
          <w:szCs w:val="17"/>
        </w:rPr>
        <w:t xml:space="preserve"> </w:t>
      </w:r>
      <w:r>
        <w:rPr>
          <w:rFonts w:ascii="微软雅黑" w:hAnsi="微软雅黑" w:eastAsia="微软雅黑" w:cs="微软雅黑"/>
          <w:spacing w:val="-14"/>
          <w:sz w:val="17"/>
          <w:szCs w:val="17"/>
        </w:rPr>
        <w:t>Exploring</w:t>
      </w:r>
      <w:r>
        <w:rPr>
          <w:rFonts w:ascii="微软雅黑" w:hAnsi="微软雅黑" w:eastAsia="微软雅黑" w:cs="微软雅黑"/>
          <w:spacing w:val="14"/>
          <w:sz w:val="17"/>
          <w:szCs w:val="17"/>
        </w:rPr>
        <w:t xml:space="preserve"> </w:t>
      </w:r>
      <w:r>
        <w:rPr>
          <w:rFonts w:ascii="微软雅黑" w:hAnsi="微软雅黑" w:eastAsia="微软雅黑" w:cs="微软雅黑"/>
          <w:spacing w:val="-14"/>
          <w:sz w:val="17"/>
          <w:szCs w:val="17"/>
        </w:rPr>
        <w:t>the</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14"/>
          <w:sz w:val="17"/>
          <w:szCs w:val="17"/>
        </w:rPr>
        <w:t>Scholar-</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ship</w:t>
      </w:r>
      <w:r>
        <w:rPr>
          <w:rFonts w:ascii="微软雅黑" w:hAnsi="微软雅黑" w:eastAsia="微软雅黑" w:cs="微软雅黑"/>
          <w:spacing w:val="19"/>
          <w:sz w:val="17"/>
          <w:szCs w:val="17"/>
        </w:rPr>
        <w:t xml:space="preserve"> </w:t>
      </w:r>
      <w:r>
        <w:rPr>
          <w:rFonts w:ascii="微软雅黑" w:hAnsi="微软雅黑" w:eastAsia="微软雅黑" w:cs="微软雅黑"/>
          <w:spacing w:val="-13"/>
          <w:sz w:val="17"/>
          <w:szCs w:val="17"/>
        </w:rPr>
        <w:t>of</w:t>
      </w:r>
      <w:r>
        <w:rPr>
          <w:rFonts w:ascii="微软雅黑" w:hAnsi="微软雅黑" w:eastAsia="微软雅黑" w:cs="微软雅黑"/>
          <w:spacing w:val="21"/>
          <w:sz w:val="17"/>
          <w:szCs w:val="17"/>
        </w:rPr>
        <w:t xml:space="preserve"> </w:t>
      </w:r>
      <w:r>
        <w:rPr>
          <w:rFonts w:ascii="微软雅黑" w:hAnsi="微软雅黑" w:eastAsia="微软雅黑" w:cs="微软雅黑"/>
          <w:spacing w:val="-13"/>
          <w:sz w:val="17"/>
          <w:szCs w:val="17"/>
        </w:rPr>
        <w:t>Teaching</w:t>
      </w:r>
      <w:r>
        <w:rPr>
          <w:rFonts w:ascii="宋体" w:hAnsi="宋体" w:eastAsia="宋体" w:cs="宋体"/>
          <w:spacing w:val="-13"/>
          <w:sz w:val="17"/>
          <w:szCs w:val="17"/>
        </w:rPr>
        <w:t>［</w:t>
      </w:r>
      <w:r>
        <w:rPr>
          <w:rFonts w:ascii="微软雅黑" w:hAnsi="微软雅黑" w:eastAsia="微软雅黑" w:cs="微软雅黑"/>
          <w:spacing w:val="-13"/>
          <w:sz w:val="17"/>
          <w:szCs w:val="17"/>
        </w:rPr>
        <w:t>J</w:t>
      </w:r>
      <w:r>
        <w:rPr>
          <w:rFonts w:ascii="宋体" w:hAnsi="宋体" w:eastAsia="宋体" w:cs="宋体"/>
          <w:spacing w:val="-54"/>
          <w:w w:val="98"/>
          <w:sz w:val="17"/>
          <w:szCs w:val="17"/>
        </w:rPr>
        <w:t>］</w:t>
      </w:r>
      <w:r>
        <w:rPr>
          <w:rFonts w:ascii="微软雅黑" w:hAnsi="微软雅黑" w:eastAsia="微软雅黑" w:cs="微软雅黑"/>
          <w:spacing w:val="-54"/>
          <w:w w:val="98"/>
          <w:sz w:val="17"/>
          <w:szCs w:val="17"/>
        </w:rPr>
        <w:t>．</w:t>
      </w:r>
      <w:r>
        <w:rPr>
          <w:rFonts w:ascii="微软雅黑" w:hAnsi="微软雅黑" w:eastAsia="微软雅黑" w:cs="微软雅黑"/>
          <w:spacing w:val="-13"/>
          <w:sz w:val="17"/>
          <w:szCs w:val="17"/>
        </w:rPr>
        <w:t>The</w:t>
      </w:r>
      <w:r>
        <w:rPr>
          <w:rFonts w:ascii="微软雅黑" w:hAnsi="微软雅黑" w:eastAsia="微软雅黑" w:cs="微软雅黑"/>
          <w:spacing w:val="31"/>
          <w:sz w:val="17"/>
          <w:szCs w:val="17"/>
        </w:rPr>
        <w:t xml:space="preserve"> </w:t>
      </w:r>
      <w:r>
        <w:rPr>
          <w:rFonts w:ascii="微软雅黑" w:hAnsi="微软雅黑" w:eastAsia="微软雅黑" w:cs="微软雅黑"/>
          <w:spacing w:val="-13"/>
          <w:sz w:val="17"/>
          <w:szCs w:val="17"/>
        </w:rPr>
        <w:t>Journal  of</w:t>
      </w:r>
      <w:r>
        <w:rPr>
          <w:rFonts w:ascii="微软雅黑" w:hAnsi="微软雅黑" w:eastAsia="微软雅黑" w:cs="微软雅黑"/>
          <w:spacing w:val="30"/>
          <w:sz w:val="17"/>
          <w:szCs w:val="17"/>
        </w:rPr>
        <w:t xml:space="preserve"> </w:t>
      </w:r>
      <w:r>
        <w:rPr>
          <w:rFonts w:ascii="微软雅黑" w:hAnsi="微软雅黑" w:eastAsia="微软雅黑" w:cs="微软雅黑"/>
          <w:spacing w:val="-14"/>
          <w:sz w:val="17"/>
          <w:szCs w:val="17"/>
        </w:rPr>
        <w:t>Higher  Education</w:t>
      </w:r>
      <w:r>
        <w:rPr>
          <w:rFonts w:ascii="宋体" w:hAnsi="宋体" w:eastAsia="宋体" w:cs="宋体"/>
          <w:spacing w:val="-14"/>
          <w:sz w:val="17"/>
          <w:szCs w:val="17"/>
        </w:rPr>
        <w:t>，</w:t>
      </w:r>
    </w:p>
    <w:p>
      <w:pPr>
        <w:spacing w:before="91" w:line="204" w:lineRule="auto"/>
        <w:ind w:left="313"/>
        <w:rPr>
          <w:rFonts w:ascii="微软雅黑" w:hAnsi="微软雅黑" w:eastAsia="微软雅黑" w:cs="微软雅黑"/>
          <w:sz w:val="17"/>
          <w:szCs w:val="17"/>
        </w:rPr>
      </w:pPr>
      <w:r>
        <w:rPr>
          <w:rFonts w:ascii="微软雅黑" w:hAnsi="微软雅黑" w:eastAsia="微软雅黑" w:cs="微软雅黑"/>
          <w:spacing w:val="-13"/>
          <w:sz w:val="17"/>
          <w:szCs w:val="17"/>
        </w:rPr>
        <w:t>2000</w:t>
      </w:r>
      <w:r>
        <w:rPr>
          <w:rFonts w:ascii="宋体" w:hAnsi="宋体" w:eastAsia="宋体" w:cs="宋体"/>
          <w:spacing w:val="-13"/>
          <w:sz w:val="17"/>
          <w:szCs w:val="17"/>
        </w:rPr>
        <w:t>(</w:t>
      </w:r>
      <w:r>
        <w:rPr>
          <w:rFonts w:ascii="微软雅黑" w:hAnsi="微软雅黑" w:eastAsia="微软雅黑" w:cs="微软雅黑"/>
          <w:spacing w:val="-13"/>
          <w:sz w:val="17"/>
          <w:szCs w:val="17"/>
        </w:rPr>
        <w:t>4</w:t>
      </w:r>
      <w:r>
        <w:rPr>
          <w:rFonts w:ascii="宋体" w:hAnsi="宋体" w:eastAsia="宋体" w:cs="宋体"/>
          <w:spacing w:val="-13"/>
          <w:sz w:val="17"/>
          <w:szCs w:val="17"/>
        </w:rPr>
        <w:t>)</w:t>
      </w:r>
      <w:r>
        <w:rPr>
          <w:rFonts w:ascii="宋体" w:hAnsi="宋体" w:eastAsia="宋体" w:cs="宋体"/>
          <w:spacing w:val="3"/>
          <w:sz w:val="17"/>
          <w:szCs w:val="17"/>
        </w:rPr>
        <w:t xml:space="preserve"> </w:t>
      </w:r>
      <w:r>
        <w:rPr>
          <w:rFonts w:ascii="宋体" w:hAnsi="宋体" w:eastAsia="宋体" w:cs="宋体"/>
          <w:spacing w:val="-13"/>
          <w:sz w:val="17"/>
          <w:szCs w:val="17"/>
        </w:rPr>
        <w:t>:</w:t>
      </w:r>
      <w:r>
        <w:rPr>
          <w:rFonts w:ascii="宋体" w:hAnsi="宋体" w:eastAsia="宋体" w:cs="宋体"/>
          <w:spacing w:val="-50"/>
          <w:sz w:val="17"/>
          <w:szCs w:val="17"/>
        </w:rPr>
        <w:t xml:space="preserve"> </w:t>
      </w:r>
      <w:r>
        <w:rPr>
          <w:rFonts w:ascii="微软雅黑" w:hAnsi="微软雅黑" w:eastAsia="微软雅黑" w:cs="微软雅黑"/>
          <w:spacing w:val="-13"/>
          <w:sz w:val="17"/>
          <w:szCs w:val="17"/>
        </w:rPr>
        <w:t>23－26</w:t>
      </w:r>
      <w:r>
        <w:rPr>
          <w:rFonts w:ascii="微软雅黑" w:hAnsi="微软雅黑" w:eastAsia="微软雅黑" w:cs="微软雅黑"/>
          <w:spacing w:val="-30"/>
          <w:sz w:val="17"/>
          <w:szCs w:val="17"/>
        </w:rPr>
        <w:t xml:space="preserve"> </w:t>
      </w:r>
      <w:r>
        <w:rPr>
          <w:rFonts w:ascii="微软雅黑" w:hAnsi="微软雅黑" w:eastAsia="微软雅黑" w:cs="微软雅黑"/>
          <w:spacing w:val="-13"/>
          <w:sz w:val="17"/>
          <w:szCs w:val="17"/>
        </w:rPr>
        <w:t>.</w:t>
      </w:r>
    </w:p>
    <w:p>
      <w:pPr>
        <w:spacing w:before="4" w:line="304" w:lineRule="exact"/>
        <w:rPr>
          <w:rFonts w:ascii="宋体" w:hAnsi="宋体" w:eastAsia="宋体" w:cs="宋体"/>
          <w:sz w:val="17"/>
          <w:szCs w:val="17"/>
        </w:rPr>
      </w:pPr>
      <w:r>
        <w:rPr>
          <w:rFonts w:ascii="宋体" w:hAnsi="宋体" w:eastAsia="宋体" w:cs="宋体"/>
          <w:spacing w:val="-9"/>
          <w:position w:val="3"/>
          <w:sz w:val="17"/>
          <w:szCs w:val="17"/>
        </w:rPr>
        <w:t>［</w:t>
      </w:r>
      <w:r>
        <w:rPr>
          <w:rFonts w:ascii="微软雅黑" w:hAnsi="微软雅黑" w:eastAsia="微软雅黑" w:cs="微软雅黑"/>
          <w:spacing w:val="-9"/>
          <w:position w:val="3"/>
          <w:sz w:val="17"/>
          <w:szCs w:val="17"/>
        </w:rPr>
        <w:t>8</w:t>
      </w:r>
      <w:r>
        <w:rPr>
          <w:rFonts w:ascii="宋体" w:hAnsi="宋体" w:eastAsia="宋体" w:cs="宋体"/>
          <w:spacing w:val="-9"/>
          <w:position w:val="3"/>
          <w:sz w:val="17"/>
          <w:szCs w:val="17"/>
        </w:rPr>
        <w:t>］王建华</w:t>
      </w:r>
      <w:r>
        <w:rPr>
          <w:rFonts w:ascii="微软雅黑" w:hAnsi="微软雅黑" w:eastAsia="微软雅黑" w:cs="微软雅黑"/>
          <w:spacing w:val="-9"/>
          <w:position w:val="3"/>
          <w:sz w:val="17"/>
          <w:szCs w:val="17"/>
        </w:rPr>
        <w:t>．</w:t>
      </w:r>
      <w:r>
        <w:rPr>
          <w:rFonts w:ascii="宋体" w:hAnsi="宋体" w:eastAsia="宋体" w:cs="宋体"/>
          <w:spacing w:val="-9"/>
          <w:position w:val="3"/>
          <w:sz w:val="17"/>
          <w:szCs w:val="17"/>
        </w:rPr>
        <w:t>大学教师发展</w:t>
      </w:r>
      <w:r>
        <w:rPr>
          <w:rFonts w:ascii="微软雅黑" w:hAnsi="微软雅黑" w:eastAsia="微软雅黑" w:cs="微软雅黑"/>
          <w:spacing w:val="-9"/>
          <w:position w:val="3"/>
          <w:sz w:val="17"/>
          <w:szCs w:val="17"/>
        </w:rPr>
        <w:t>—</w:t>
      </w:r>
      <w:r>
        <w:rPr>
          <w:rFonts w:ascii="微软雅黑" w:hAnsi="微软雅黑" w:eastAsia="微软雅黑" w:cs="微软雅黑"/>
          <w:spacing w:val="-30"/>
          <w:w w:val="65"/>
          <w:position w:val="3"/>
          <w:sz w:val="17"/>
          <w:szCs w:val="17"/>
        </w:rPr>
        <w:t>——</w:t>
      </w:r>
      <w:r>
        <w:rPr>
          <w:rFonts w:ascii="微软雅黑" w:hAnsi="微软雅黑" w:eastAsia="微软雅黑" w:cs="微软雅黑"/>
          <w:spacing w:val="-9"/>
          <w:position w:val="3"/>
          <w:sz w:val="17"/>
          <w:szCs w:val="17"/>
        </w:rPr>
        <w:t>“</w:t>
      </w:r>
      <w:r>
        <w:rPr>
          <w:rFonts w:ascii="宋体" w:hAnsi="宋体" w:eastAsia="宋体" w:cs="宋体"/>
          <w:spacing w:val="-9"/>
          <w:position w:val="3"/>
          <w:sz w:val="17"/>
          <w:szCs w:val="17"/>
        </w:rPr>
        <w:t>教学学术</w:t>
      </w:r>
      <w:r>
        <w:rPr>
          <w:rFonts w:ascii="微软雅黑" w:hAnsi="微软雅黑" w:eastAsia="微软雅黑" w:cs="微软雅黑"/>
          <w:spacing w:val="-9"/>
          <w:position w:val="3"/>
          <w:sz w:val="17"/>
          <w:szCs w:val="17"/>
        </w:rPr>
        <w:t>”</w:t>
      </w:r>
      <w:r>
        <w:rPr>
          <w:rFonts w:ascii="宋体" w:hAnsi="宋体" w:eastAsia="宋体" w:cs="宋体"/>
          <w:spacing w:val="-9"/>
          <w:position w:val="3"/>
          <w:sz w:val="17"/>
          <w:szCs w:val="17"/>
        </w:rPr>
        <w:t>的维度［</w:t>
      </w:r>
      <w:r>
        <w:rPr>
          <w:rFonts w:ascii="微软雅黑" w:hAnsi="微软雅黑" w:eastAsia="微软雅黑" w:cs="微软雅黑"/>
          <w:spacing w:val="-9"/>
          <w:position w:val="3"/>
          <w:sz w:val="17"/>
          <w:szCs w:val="17"/>
        </w:rPr>
        <w:t>J</w:t>
      </w:r>
      <w:r>
        <w:rPr>
          <w:rFonts w:ascii="宋体" w:hAnsi="宋体" w:eastAsia="宋体" w:cs="宋体"/>
          <w:spacing w:val="-53"/>
          <w:position w:val="3"/>
          <w:sz w:val="17"/>
          <w:szCs w:val="17"/>
        </w:rPr>
        <w:t>］</w:t>
      </w:r>
      <w:r>
        <w:rPr>
          <w:rFonts w:ascii="微软雅黑" w:hAnsi="微软雅黑" w:eastAsia="微软雅黑" w:cs="微软雅黑"/>
          <w:spacing w:val="-53"/>
          <w:position w:val="3"/>
          <w:sz w:val="17"/>
          <w:szCs w:val="17"/>
        </w:rPr>
        <w:t>．</w:t>
      </w:r>
      <w:r>
        <w:rPr>
          <w:rFonts w:ascii="宋体" w:hAnsi="宋体" w:eastAsia="宋体" w:cs="宋体"/>
          <w:spacing w:val="-9"/>
          <w:position w:val="3"/>
          <w:sz w:val="17"/>
          <w:szCs w:val="17"/>
        </w:rPr>
        <w:t>民</w:t>
      </w:r>
    </w:p>
    <w:p>
      <w:pPr>
        <w:spacing w:before="65" w:line="201" w:lineRule="auto"/>
        <w:ind w:left="328"/>
        <w:rPr>
          <w:rFonts w:ascii="微软雅黑" w:hAnsi="微软雅黑" w:eastAsia="微软雅黑" w:cs="微软雅黑"/>
          <w:sz w:val="17"/>
          <w:szCs w:val="17"/>
        </w:rPr>
      </w:pPr>
      <w:r>
        <w:rPr>
          <w:rFonts w:ascii="宋体" w:hAnsi="宋体" w:eastAsia="宋体" w:cs="宋体"/>
          <w:spacing w:val="-13"/>
          <w:sz w:val="17"/>
          <w:szCs w:val="17"/>
        </w:rPr>
        <w:t>办教育研究，</w:t>
      </w:r>
      <w:r>
        <w:rPr>
          <w:rFonts w:ascii="微软雅黑" w:hAnsi="微软雅黑" w:eastAsia="微软雅黑" w:cs="微软雅黑"/>
          <w:spacing w:val="-13"/>
          <w:sz w:val="17"/>
          <w:szCs w:val="17"/>
        </w:rPr>
        <w:t>2007</w:t>
      </w:r>
      <w:r>
        <w:rPr>
          <w:rFonts w:ascii="宋体" w:hAnsi="宋体" w:eastAsia="宋体" w:cs="宋体"/>
          <w:spacing w:val="-13"/>
          <w:sz w:val="17"/>
          <w:szCs w:val="17"/>
        </w:rPr>
        <w:t>(</w:t>
      </w:r>
      <w:r>
        <w:rPr>
          <w:rFonts w:ascii="宋体" w:hAnsi="宋体" w:eastAsia="宋体" w:cs="宋体"/>
          <w:spacing w:val="-35"/>
          <w:sz w:val="17"/>
          <w:szCs w:val="17"/>
        </w:rPr>
        <w:t xml:space="preserve"> </w:t>
      </w:r>
      <w:r>
        <w:rPr>
          <w:rFonts w:ascii="微软雅黑" w:hAnsi="微软雅黑" w:eastAsia="微软雅黑" w:cs="微软雅黑"/>
          <w:spacing w:val="-13"/>
          <w:sz w:val="17"/>
          <w:szCs w:val="17"/>
        </w:rPr>
        <w:t>1</w:t>
      </w:r>
      <w:r>
        <w:rPr>
          <w:rFonts w:ascii="宋体" w:hAnsi="宋体" w:eastAsia="宋体" w:cs="宋体"/>
          <w:spacing w:val="-13"/>
          <w:sz w:val="17"/>
          <w:szCs w:val="17"/>
        </w:rPr>
        <w:t>) :</w:t>
      </w:r>
      <w:r>
        <w:rPr>
          <w:rFonts w:ascii="宋体" w:hAnsi="宋体" w:eastAsia="宋体" w:cs="宋体"/>
          <w:spacing w:val="-49"/>
          <w:sz w:val="17"/>
          <w:szCs w:val="17"/>
        </w:rPr>
        <w:t xml:space="preserve"> </w:t>
      </w:r>
      <w:r>
        <w:rPr>
          <w:rFonts w:ascii="微软雅黑" w:hAnsi="微软雅黑" w:eastAsia="微软雅黑" w:cs="微软雅黑"/>
          <w:spacing w:val="-13"/>
          <w:sz w:val="17"/>
          <w:szCs w:val="17"/>
        </w:rPr>
        <w:t>68－72</w:t>
      </w:r>
      <w:r>
        <w:rPr>
          <w:rFonts w:ascii="微软雅黑" w:hAnsi="微软雅黑" w:eastAsia="微软雅黑" w:cs="微软雅黑"/>
          <w:spacing w:val="-30"/>
          <w:sz w:val="17"/>
          <w:szCs w:val="17"/>
        </w:rPr>
        <w:t xml:space="preserve"> </w:t>
      </w:r>
      <w:r>
        <w:rPr>
          <w:rFonts w:ascii="微软雅黑" w:hAnsi="微软雅黑" w:eastAsia="微软雅黑" w:cs="微软雅黑"/>
          <w:spacing w:val="-13"/>
          <w:sz w:val="17"/>
          <w:szCs w:val="17"/>
        </w:rPr>
        <w:t>.</w:t>
      </w:r>
    </w:p>
    <w:p>
      <w:pPr>
        <w:spacing w:before="8" w:line="303" w:lineRule="exact"/>
        <w:jc w:val="right"/>
        <w:rPr>
          <w:rFonts w:ascii="宋体" w:hAnsi="宋体" w:eastAsia="宋体" w:cs="宋体"/>
          <w:sz w:val="17"/>
          <w:szCs w:val="17"/>
        </w:rPr>
      </w:pPr>
      <w:r>
        <w:rPr>
          <w:rFonts w:ascii="宋体" w:hAnsi="宋体" w:eastAsia="宋体" w:cs="宋体"/>
          <w:position w:val="3"/>
          <w:sz w:val="17"/>
          <w:szCs w:val="17"/>
        </w:rPr>
        <w:t>［</w:t>
      </w:r>
      <w:r>
        <w:rPr>
          <w:rFonts w:ascii="微软雅黑" w:hAnsi="微软雅黑" w:eastAsia="微软雅黑" w:cs="微软雅黑"/>
          <w:position w:val="3"/>
          <w:sz w:val="17"/>
          <w:szCs w:val="17"/>
        </w:rPr>
        <w:t>9</w:t>
      </w:r>
      <w:r>
        <w:rPr>
          <w:rFonts w:ascii="宋体" w:hAnsi="宋体" w:eastAsia="宋体" w:cs="宋体"/>
          <w:position w:val="3"/>
          <w:sz w:val="17"/>
          <w:szCs w:val="17"/>
        </w:rPr>
        <w:t>］姚本先</w:t>
      </w:r>
      <w:r>
        <w:rPr>
          <w:rFonts w:ascii="微软雅黑" w:hAnsi="微软雅黑" w:eastAsia="微软雅黑" w:cs="微软雅黑"/>
          <w:position w:val="3"/>
          <w:sz w:val="17"/>
          <w:szCs w:val="17"/>
        </w:rPr>
        <w:t>．</w:t>
      </w:r>
      <w:r>
        <w:rPr>
          <w:rFonts w:ascii="宋体" w:hAnsi="宋体" w:eastAsia="宋体" w:cs="宋体"/>
          <w:position w:val="3"/>
          <w:sz w:val="17"/>
          <w:szCs w:val="17"/>
        </w:rPr>
        <w:t>高等教育心理学［</w:t>
      </w:r>
      <w:r>
        <w:rPr>
          <w:rFonts w:ascii="微软雅黑" w:hAnsi="微软雅黑" w:eastAsia="微软雅黑" w:cs="微软雅黑"/>
          <w:position w:val="3"/>
          <w:sz w:val="17"/>
          <w:szCs w:val="17"/>
        </w:rPr>
        <w:t>J</w:t>
      </w:r>
      <w:r>
        <w:rPr>
          <w:rFonts w:ascii="宋体" w:hAnsi="宋体" w:eastAsia="宋体" w:cs="宋体"/>
          <w:spacing w:val="-53"/>
          <w:w w:val="97"/>
          <w:position w:val="3"/>
          <w:sz w:val="17"/>
          <w:szCs w:val="17"/>
        </w:rPr>
        <w:t>］</w:t>
      </w:r>
      <w:r>
        <w:rPr>
          <w:rFonts w:ascii="微软雅黑" w:hAnsi="微软雅黑" w:eastAsia="微软雅黑" w:cs="微软雅黑"/>
          <w:spacing w:val="-53"/>
          <w:w w:val="97"/>
          <w:position w:val="3"/>
          <w:sz w:val="17"/>
          <w:szCs w:val="17"/>
        </w:rPr>
        <w:t>．</w:t>
      </w:r>
      <w:r>
        <w:rPr>
          <w:rFonts w:ascii="宋体" w:hAnsi="宋体" w:eastAsia="宋体" w:cs="宋体"/>
          <w:position w:val="3"/>
          <w:sz w:val="17"/>
          <w:szCs w:val="17"/>
        </w:rPr>
        <w:t>合肥工业大学出版社，</w:t>
      </w:r>
    </w:p>
    <w:p>
      <w:pPr>
        <w:spacing w:before="90" w:line="164" w:lineRule="auto"/>
        <w:ind w:left="313"/>
        <w:rPr>
          <w:rFonts w:ascii="微软雅黑" w:hAnsi="微软雅黑" w:eastAsia="微软雅黑" w:cs="微软雅黑"/>
          <w:sz w:val="17"/>
          <w:szCs w:val="17"/>
        </w:rPr>
      </w:pPr>
      <w:r>
        <w:rPr>
          <w:rFonts w:ascii="微软雅黑" w:hAnsi="微软雅黑" w:eastAsia="微软雅黑" w:cs="微软雅黑"/>
          <w:spacing w:val="-14"/>
          <w:sz w:val="17"/>
          <w:szCs w:val="17"/>
        </w:rPr>
        <w:t>2009</w:t>
      </w:r>
      <w:r>
        <w:rPr>
          <w:rFonts w:ascii="宋体" w:hAnsi="宋体" w:eastAsia="宋体" w:cs="宋体"/>
          <w:spacing w:val="-14"/>
          <w:sz w:val="17"/>
          <w:szCs w:val="17"/>
        </w:rPr>
        <w:t>:</w:t>
      </w:r>
      <w:r>
        <w:rPr>
          <w:rFonts w:ascii="宋体" w:hAnsi="宋体" w:eastAsia="宋体" w:cs="宋体"/>
          <w:spacing w:val="-48"/>
          <w:sz w:val="17"/>
          <w:szCs w:val="17"/>
        </w:rPr>
        <w:t xml:space="preserve"> </w:t>
      </w:r>
      <w:r>
        <w:rPr>
          <w:rFonts w:ascii="微软雅黑" w:hAnsi="微软雅黑" w:eastAsia="微软雅黑" w:cs="微软雅黑"/>
          <w:spacing w:val="-14"/>
          <w:sz w:val="17"/>
          <w:szCs w:val="17"/>
        </w:rPr>
        <w:t>82</w:t>
      </w:r>
      <w:r>
        <w:rPr>
          <w:rFonts w:ascii="微软雅黑" w:hAnsi="微软雅黑" w:eastAsia="微软雅黑" w:cs="微软雅黑"/>
          <w:spacing w:val="-30"/>
          <w:sz w:val="17"/>
          <w:szCs w:val="17"/>
        </w:rPr>
        <w:t xml:space="preserve"> </w:t>
      </w:r>
      <w:r>
        <w:rPr>
          <w:rFonts w:ascii="微软雅黑" w:hAnsi="微软雅黑" w:eastAsia="微软雅黑" w:cs="微软雅黑"/>
          <w:spacing w:val="-14"/>
          <w:sz w:val="17"/>
          <w:szCs w:val="17"/>
        </w:rPr>
        <w:t>.</w:t>
      </w:r>
    </w:p>
    <w:p>
      <w:pPr>
        <w:spacing w:before="28" w:line="253" w:lineRule="auto"/>
        <w:ind w:left="412" w:right="50" w:hanging="413"/>
        <w:rPr>
          <w:rFonts w:ascii="微软雅黑" w:hAnsi="微软雅黑" w:eastAsia="微软雅黑" w:cs="微软雅黑"/>
          <w:sz w:val="17"/>
          <w:szCs w:val="17"/>
        </w:rPr>
      </w:pPr>
      <w:r>
        <w:rPr>
          <w:rFonts w:ascii="宋体" w:hAnsi="宋体" w:eastAsia="宋体" w:cs="宋体"/>
          <w:spacing w:val="-1"/>
          <w:sz w:val="17"/>
          <w:szCs w:val="17"/>
        </w:rPr>
        <w:t>［</w:t>
      </w:r>
      <w:r>
        <w:rPr>
          <w:rFonts w:ascii="微软雅黑" w:hAnsi="微软雅黑" w:eastAsia="微软雅黑" w:cs="微软雅黑"/>
          <w:spacing w:val="-1"/>
          <w:sz w:val="17"/>
          <w:szCs w:val="17"/>
        </w:rPr>
        <w:t>10</w:t>
      </w:r>
      <w:r>
        <w:rPr>
          <w:rFonts w:ascii="宋体" w:hAnsi="宋体" w:eastAsia="宋体" w:cs="宋体"/>
          <w:spacing w:val="-1"/>
          <w:sz w:val="17"/>
          <w:szCs w:val="17"/>
        </w:rPr>
        <w:t>］张连红，陈德良，王丽萍</w:t>
      </w:r>
      <w:r>
        <w:rPr>
          <w:rFonts w:ascii="微软雅黑" w:hAnsi="微软雅黑" w:eastAsia="微软雅黑" w:cs="微软雅黑"/>
          <w:spacing w:val="-1"/>
          <w:sz w:val="17"/>
          <w:szCs w:val="17"/>
        </w:rPr>
        <w:t>．</w:t>
      </w:r>
      <w:r>
        <w:rPr>
          <w:rFonts w:ascii="宋体" w:hAnsi="宋体" w:eastAsia="宋体" w:cs="宋体"/>
          <w:spacing w:val="-1"/>
          <w:sz w:val="17"/>
          <w:szCs w:val="17"/>
        </w:rPr>
        <w:t>高校教学文化建设与教师</w:t>
      </w:r>
      <w:r>
        <w:rPr>
          <w:rFonts w:ascii="宋体" w:hAnsi="宋体" w:eastAsia="宋体" w:cs="宋体"/>
          <w:sz w:val="17"/>
          <w:szCs w:val="17"/>
        </w:rPr>
        <w:t xml:space="preserve"> </w:t>
      </w:r>
      <w:r>
        <w:rPr>
          <w:rFonts w:ascii="宋体" w:hAnsi="宋体" w:eastAsia="宋体" w:cs="宋体"/>
          <w:spacing w:val="-8"/>
          <w:sz w:val="17"/>
          <w:szCs w:val="17"/>
        </w:rPr>
        <w:t>教学发展［</w:t>
      </w:r>
      <w:r>
        <w:rPr>
          <w:rFonts w:ascii="微软雅黑" w:hAnsi="微软雅黑" w:eastAsia="微软雅黑" w:cs="微软雅黑"/>
          <w:spacing w:val="-8"/>
          <w:sz w:val="17"/>
          <w:szCs w:val="17"/>
        </w:rPr>
        <w:t>J</w:t>
      </w:r>
      <w:r>
        <w:rPr>
          <w:rFonts w:ascii="宋体" w:hAnsi="宋体" w:eastAsia="宋体" w:cs="宋体"/>
          <w:spacing w:val="-55"/>
          <w:w w:val="99"/>
          <w:sz w:val="17"/>
          <w:szCs w:val="17"/>
        </w:rPr>
        <w:t>］</w:t>
      </w:r>
      <w:r>
        <w:rPr>
          <w:rFonts w:ascii="微软雅黑" w:hAnsi="微软雅黑" w:eastAsia="微软雅黑" w:cs="微软雅黑"/>
          <w:spacing w:val="-55"/>
          <w:w w:val="99"/>
          <w:sz w:val="17"/>
          <w:szCs w:val="17"/>
        </w:rPr>
        <w:t>．</w:t>
      </w:r>
      <w:r>
        <w:rPr>
          <w:rFonts w:ascii="宋体" w:hAnsi="宋体" w:eastAsia="宋体" w:cs="宋体"/>
          <w:spacing w:val="-8"/>
          <w:sz w:val="17"/>
          <w:szCs w:val="17"/>
        </w:rPr>
        <w:t>中国高等教育，</w:t>
      </w:r>
      <w:r>
        <w:rPr>
          <w:rFonts w:ascii="微软雅黑" w:hAnsi="微软雅黑" w:eastAsia="微软雅黑" w:cs="微软雅黑"/>
          <w:spacing w:val="-8"/>
          <w:sz w:val="17"/>
          <w:szCs w:val="17"/>
        </w:rPr>
        <w:t>2014</w:t>
      </w:r>
      <w:r>
        <w:rPr>
          <w:rFonts w:ascii="宋体" w:hAnsi="宋体" w:eastAsia="宋体" w:cs="宋体"/>
          <w:spacing w:val="-8"/>
          <w:sz w:val="17"/>
          <w:szCs w:val="17"/>
        </w:rPr>
        <w:t>(</w:t>
      </w:r>
      <w:r>
        <w:rPr>
          <w:rFonts w:ascii="微软雅黑" w:hAnsi="微软雅黑" w:eastAsia="微软雅黑" w:cs="微软雅黑"/>
          <w:spacing w:val="-8"/>
          <w:sz w:val="17"/>
          <w:szCs w:val="17"/>
        </w:rPr>
        <w:t>8</w:t>
      </w:r>
      <w:r>
        <w:rPr>
          <w:rFonts w:ascii="宋体" w:hAnsi="宋体" w:eastAsia="宋体" w:cs="宋体"/>
          <w:spacing w:val="-8"/>
          <w:sz w:val="17"/>
          <w:szCs w:val="17"/>
        </w:rPr>
        <w:t>) :</w:t>
      </w:r>
      <w:r>
        <w:rPr>
          <w:rFonts w:ascii="微软雅黑" w:hAnsi="微软雅黑" w:eastAsia="微软雅黑" w:cs="微软雅黑"/>
          <w:spacing w:val="-8"/>
          <w:sz w:val="17"/>
          <w:szCs w:val="17"/>
        </w:rPr>
        <w:t>47－49</w:t>
      </w:r>
      <w:r>
        <w:rPr>
          <w:rFonts w:ascii="微软雅黑" w:hAnsi="微软雅黑" w:eastAsia="微软雅黑" w:cs="微软雅黑"/>
          <w:spacing w:val="-28"/>
          <w:sz w:val="17"/>
          <w:szCs w:val="17"/>
        </w:rPr>
        <w:t xml:space="preserve"> </w:t>
      </w:r>
      <w:r>
        <w:rPr>
          <w:rFonts w:ascii="微软雅黑" w:hAnsi="微软雅黑" w:eastAsia="微软雅黑" w:cs="微软雅黑"/>
          <w:spacing w:val="-8"/>
          <w:sz w:val="17"/>
          <w:szCs w:val="17"/>
        </w:rPr>
        <w:t>.</w:t>
      </w:r>
    </w:p>
    <w:p>
      <w:pPr>
        <w:spacing w:before="7" w:line="252" w:lineRule="auto"/>
        <w:ind w:left="412" w:right="48" w:hanging="413"/>
        <w:rPr>
          <w:rFonts w:ascii="宋体" w:hAnsi="宋体" w:eastAsia="宋体" w:cs="宋体"/>
          <w:sz w:val="17"/>
          <w:szCs w:val="17"/>
        </w:rPr>
      </w:pPr>
      <w:r>
        <w:rPr>
          <w:rFonts w:ascii="宋体" w:hAnsi="宋体" w:eastAsia="宋体" w:cs="宋体"/>
          <w:spacing w:val="-1"/>
          <w:sz w:val="17"/>
          <w:szCs w:val="17"/>
        </w:rPr>
        <w:t>［</w:t>
      </w:r>
      <w:r>
        <w:rPr>
          <w:rFonts w:ascii="微软雅黑" w:hAnsi="微软雅黑" w:eastAsia="微软雅黑" w:cs="微软雅黑"/>
          <w:spacing w:val="-1"/>
          <w:sz w:val="17"/>
          <w:szCs w:val="17"/>
        </w:rPr>
        <w:t>11</w:t>
      </w:r>
      <w:r>
        <w:rPr>
          <w:rFonts w:ascii="宋体" w:hAnsi="宋体" w:eastAsia="宋体" w:cs="宋体"/>
          <w:spacing w:val="-1"/>
          <w:sz w:val="17"/>
          <w:szCs w:val="17"/>
        </w:rPr>
        <w:t>］周波，任登波</w:t>
      </w:r>
      <w:r>
        <w:rPr>
          <w:rFonts w:ascii="微软雅黑" w:hAnsi="微软雅黑" w:eastAsia="微软雅黑" w:cs="微软雅黑"/>
          <w:spacing w:val="-1"/>
          <w:sz w:val="17"/>
          <w:szCs w:val="17"/>
        </w:rPr>
        <w:t>．</w:t>
      </w:r>
      <w:r>
        <w:rPr>
          <w:rFonts w:ascii="宋体" w:hAnsi="宋体" w:eastAsia="宋体" w:cs="宋体"/>
          <w:spacing w:val="-1"/>
          <w:sz w:val="17"/>
          <w:szCs w:val="17"/>
        </w:rPr>
        <w:t>教学学术视角下大学初任教师专</w:t>
      </w:r>
      <w:r>
        <w:rPr>
          <w:rFonts w:ascii="宋体" w:hAnsi="宋体" w:eastAsia="宋体" w:cs="宋体"/>
          <w:spacing w:val="-2"/>
          <w:sz w:val="17"/>
          <w:szCs w:val="17"/>
        </w:rPr>
        <w:t>业发</w:t>
      </w:r>
      <w:r>
        <w:rPr>
          <w:rFonts w:ascii="宋体" w:hAnsi="宋体" w:eastAsia="宋体" w:cs="宋体"/>
          <w:sz w:val="17"/>
          <w:szCs w:val="17"/>
        </w:rPr>
        <w:t xml:space="preserve"> </w:t>
      </w:r>
      <w:r>
        <w:rPr>
          <w:rFonts w:ascii="宋体" w:hAnsi="宋体" w:eastAsia="宋体" w:cs="宋体"/>
          <w:spacing w:val="14"/>
          <w:sz w:val="17"/>
          <w:szCs w:val="17"/>
        </w:rPr>
        <w:t>展研究的</w:t>
      </w:r>
      <w:r>
        <w:rPr>
          <w:rFonts w:ascii="宋体" w:hAnsi="宋体" w:eastAsia="宋体" w:cs="宋体"/>
          <w:spacing w:val="-49"/>
          <w:sz w:val="17"/>
          <w:szCs w:val="17"/>
        </w:rPr>
        <w:t xml:space="preserve"> </w:t>
      </w:r>
      <w:r>
        <w:rPr>
          <w:rFonts w:ascii="宋体" w:hAnsi="宋体" w:eastAsia="宋体" w:cs="宋体"/>
          <w:spacing w:val="14"/>
          <w:sz w:val="17"/>
          <w:szCs w:val="17"/>
        </w:rPr>
        <w:t>审视［</w:t>
      </w:r>
      <w:r>
        <w:rPr>
          <w:rFonts w:ascii="微软雅黑" w:hAnsi="微软雅黑" w:eastAsia="微软雅黑" w:cs="微软雅黑"/>
          <w:spacing w:val="14"/>
          <w:sz w:val="17"/>
          <w:szCs w:val="17"/>
        </w:rPr>
        <w:t>J</w:t>
      </w:r>
      <w:r>
        <w:rPr>
          <w:rFonts w:ascii="宋体" w:hAnsi="宋体" w:eastAsia="宋体" w:cs="宋体"/>
          <w:spacing w:val="-45"/>
          <w:sz w:val="17"/>
          <w:szCs w:val="17"/>
        </w:rPr>
        <w:t>］</w:t>
      </w:r>
      <w:r>
        <w:rPr>
          <w:rFonts w:ascii="微软雅黑" w:hAnsi="微软雅黑" w:eastAsia="微软雅黑" w:cs="微软雅黑"/>
          <w:spacing w:val="-45"/>
          <w:sz w:val="17"/>
          <w:szCs w:val="17"/>
        </w:rPr>
        <w:t>．</w:t>
      </w:r>
      <w:r>
        <w:rPr>
          <w:rFonts w:ascii="宋体" w:hAnsi="宋体" w:eastAsia="宋体" w:cs="宋体"/>
          <w:spacing w:val="14"/>
          <w:sz w:val="17"/>
          <w:szCs w:val="17"/>
        </w:rPr>
        <w:t>首都师范大学学报(</w:t>
      </w:r>
      <w:r>
        <w:rPr>
          <w:rFonts w:ascii="宋体" w:hAnsi="宋体" w:eastAsia="宋体" w:cs="宋体"/>
          <w:spacing w:val="-38"/>
          <w:sz w:val="17"/>
          <w:szCs w:val="17"/>
        </w:rPr>
        <w:t xml:space="preserve"> </w:t>
      </w:r>
      <w:r>
        <w:rPr>
          <w:rFonts w:ascii="宋体" w:hAnsi="宋体" w:eastAsia="宋体" w:cs="宋体"/>
          <w:spacing w:val="14"/>
          <w:sz w:val="17"/>
          <w:szCs w:val="17"/>
        </w:rPr>
        <w:t>社会科学</w:t>
      </w:r>
    </w:p>
    <w:p>
      <w:pPr>
        <w:spacing w:before="67" w:line="202" w:lineRule="auto"/>
        <w:ind w:left="412"/>
        <w:rPr>
          <w:rFonts w:ascii="微软雅黑" w:hAnsi="微软雅黑" w:eastAsia="微软雅黑" w:cs="微软雅黑"/>
          <w:sz w:val="17"/>
          <w:szCs w:val="17"/>
        </w:rPr>
      </w:pPr>
      <w:r>
        <w:rPr>
          <w:rFonts w:ascii="宋体" w:hAnsi="宋体" w:eastAsia="宋体" w:cs="宋体"/>
          <w:spacing w:val="-15"/>
          <w:sz w:val="17"/>
          <w:szCs w:val="17"/>
        </w:rPr>
        <w:t>版)</w:t>
      </w:r>
      <w:r>
        <w:rPr>
          <w:rFonts w:ascii="宋体" w:hAnsi="宋体" w:eastAsia="宋体" w:cs="宋体"/>
          <w:spacing w:val="-19"/>
          <w:sz w:val="17"/>
          <w:szCs w:val="17"/>
        </w:rPr>
        <w:t xml:space="preserve"> </w:t>
      </w:r>
      <w:r>
        <w:rPr>
          <w:rFonts w:ascii="宋体" w:hAnsi="宋体" w:eastAsia="宋体" w:cs="宋体"/>
          <w:spacing w:val="-15"/>
          <w:sz w:val="17"/>
          <w:szCs w:val="17"/>
        </w:rPr>
        <w:t>，</w:t>
      </w:r>
      <w:r>
        <w:rPr>
          <w:rFonts w:ascii="微软雅黑" w:hAnsi="微软雅黑" w:eastAsia="微软雅黑" w:cs="微软雅黑"/>
          <w:spacing w:val="-15"/>
          <w:sz w:val="17"/>
          <w:szCs w:val="17"/>
        </w:rPr>
        <w:t>2012</w:t>
      </w:r>
      <w:r>
        <w:rPr>
          <w:rFonts w:ascii="宋体" w:hAnsi="宋体" w:eastAsia="宋体" w:cs="宋体"/>
          <w:spacing w:val="-15"/>
          <w:sz w:val="17"/>
          <w:szCs w:val="17"/>
        </w:rPr>
        <w:t>(</w:t>
      </w:r>
      <w:r>
        <w:rPr>
          <w:rFonts w:ascii="微软雅黑" w:hAnsi="微软雅黑" w:eastAsia="微软雅黑" w:cs="微软雅黑"/>
          <w:spacing w:val="-15"/>
          <w:sz w:val="17"/>
          <w:szCs w:val="17"/>
        </w:rPr>
        <w:t>2</w:t>
      </w:r>
      <w:r>
        <w:rPr>
          <w:rFonts w:ascii="宋体" w:hAnsi="宋体" w:eastAsia="宋体" w:cs="宋体"/>
          <w:spacing w:val="-15"/>
          <w:sz w:val="17"/>
          <w:szCs w:val="17"/>
        </w:rPr>
        <w:t>) :</w:t>
      </w:r>
      <w:r>
        <w:rPr>
          <w:rFonts w:ascii="微软雅黑" w:hAnsi="微软雅黑" w:eastAsia="微软雅黑" w:cs="微软雅黑"/>
          <w:spacing w:val="-15"/>
          <w:sz w:val="17"/>
          <w:szCs w:val="17"/>
        </w:rPr>
        <w:t>76－81</w:t>
      </w:r>
      <w:r>
        <w:rPr>
          <w:rFonts w:ascii="微软雅黑" w:hAnsi="微软雅黑" w:eastAsia="微软雅黑" w:cs="微软雅黑"/>
          <w:spacing w:val="-30"/>
          <w:sz w:val="17"/>
          <w:szCs w:val="17"/>
        </w:rPr>
        <w:t xml:space="preserve"> </w:t>
      </w:r>
      <w:r>
        <w:rPr>
          <w:rFonts w:ascii="微软雅黑" w:hAnsi="微软雅黑" w:eastAsia="微软雅黑" w:cs="微软雅黑"/>
          <w:spacing w:val="-15"/>
          <w:sz w:val="17"/>
          <w:szCs w:val="17"/>
        </w:rPr>
        <w:t>.</w:t>
      </w:r>
    </w:p>
    <w:p>
      <w:pPr>
        <w:spacing w:before="5" w:line="253" w:lineRule="auto"/>
        <w:ind w:left="387" w:right="49" w:hanging="388"/>
        <w:rPr>
          <w:rFonts w:ascii="微软雅黑" w:hAnsi="微软雅黑" w:eastAsia="微软雅黑" w:cs="微软雅黑"/>
          <w:sz w:val="17"/>
          <w:szCs w:val="17"/>
        </w:rPr>
      </w:pPr>
      <w:r>
        <w:rPr>
          <w:rFonts w:ascii="宋体" w:hAnsi="宋体" w:eastAsia="宋体" w:cs="宋体"/>
          <w:spacing w:val="-1"/>
          <w:sz w:val="17"/>
          <w:szCs w:val="17"/>
        </w:rPr>
        <w:t>［</w:t>
      </w:r>
      <w:r>
        <w:rPr>
          <w:rFonts w:ascii="微软雅黑" w:hAnsi="微软雅黑" w:eastAsia="微软雅黑" w:cs="微软雅黑"/>
          <w:spacing w:val="-1"/>
          <w:sz w:val="17"/>
          <w:szCs w:val="17"/>
        </w:rPr>
        <w:t>12</w:t>
      </w:r>
      <w:r>
        <w:rPr>
          <w:rFonts w:ascii="宋体" w:hAnsi="宋体" w:eastAsia="宋体" w:cs="宋体"/>
          <w:spacing w:val="-1"/>
          <w:sz w:val="17"/>
          <w:szCs w:val="17"/>
        </w:rPr>
        <w:t>］朱欣</w:t>
      </w:r>
      <w:r>
        <w:rPr>
          <w:rFonts w:ascii="微软雅黑" w:hAnsi="微软雅黑" w:eastAsia="微软雅黑" w:cs="微软雅黑"/>
          <w:spacing w:val="-1"/>
          <w:sz w:val="17"/>
          <w:szCs w:val="17"/>
        </w:rPr>
        <w:t>．</w:t>
      </w:r>
      <w:r>
        <w:rPr>
          <w:rFonts w:ascii="宋体" w:hAnsi="宋体" w:eastAsia="宋体" w:cs="宋体"/>
          <w:spacing w:val="-1"/>
          <w:sz w:val="17"/>
          <w:szCs w:val="17"/>
        </w:rPr>
        <w:t>高校本科教学质量保障之省思</w:t>
      </w:r>
      <w:r>
        <w:rPr>
          <w:rFonts w:ascii="宋体" w:hAnsi="宋体" w:eastAsia="宋体" w:cs="宋体"/>
          <w:spacing w:val="-46"/>
          <w:sz w:val="17"/>
          <w:szCs w:val="17"/>
        </w:rPr>
        <w:t xml:space="preserve"> </w:t>
      </w:r>
      <w:r>
        <w:rPr>
          <w:rFonts w:ascii="宋体" w:hAnsi="宋体" w:eastAsia="宋体" w:cs="宋体"/>
          <w:spacing w:val="-1"/>
          <w:sz w:val="17"/>
          <w:szCs w:val="17"/>
        </w:rPr>
        <w:t>:</w:t>
      </w:r>
      <w:r>
        <w:rPr>
          <w:rFonts w:ascii="宋体" w:hAnsi="宋体" w:eastAsia="宋体" w:cs="宋体"/>
          <w:spacing w:val="-36"/>
          <w:sz w:val="17"/>
          <w:szCs w:val="17"/>
        </w:rPr>
        <w:t xml:space="preserve"> </w:t>
      </w:r>
      <w:r>
        <w:rPr>
          <w:rFonts w:ascii="宋体" w:hAnsi="宋体" w:eastAsia="宋体" w:cs="宋体"/>
          <w:spacing w:val="-1"/>
          <w:sz w:val="17"/>
          <w:szCs w:val="17"/>
        </w:rPr>
        <w:t>从制</w:t>
      </w:r>
      <w:r>
        <w:rPr>
          <w:rFonts w:ascii="宋体" w:hAnsi="宋体" w:eastAsia="宋体" w:cs="宋体"/>
          <w:spacing w:val="-2"/>
          <w:sz w:val="17"/>
          <w:szCs w:val="17"/>
        </w:rPr>
        <w:t>度到文化</w:t>
      </w:r>
      <w:r>
        <w:rPr>
          <w:rFonts w:ascii="宋体" w:hAnsi="宋体" w:eastAsia="宋体" w:cs="宋体"/>
          <w:sz w:val="17"/>
          <w:szCs w:val="17"/>
        </w:rPr>
        <w:t xml:space="preserve"> </w:t>
      </w:r>
      <w:r>
        <w:rPr>
          <w:rFonts w:ascii="宋体" w:hAnsi="宋体" w:eastAsia="宋体" w:cs="宋体"/>
          <w:spacing w:val="-11"/>
          <w:sz w:val="17"/>
          <w:szCs w:val="17"/>
        </w:rPr>
        <w:t>［</w:t>
      </w:r>
      <w:r>
        <w:rPr>
          <w:rFonts w:ascii="微软雅黑" w:hAnsi="微软雅黑" w:eastAsia="微软雅黑" w:cs="微软雅黑"/>
          <w:spacing w:val="-11"/>
          <w:sz w:val="17"/>
          <w:szCs w:val="17"/>
        </w:rPr>
        <w:t>J</w:t>
      </w:r>
      <w:r>
        <w:rPr>
          <w:rFonts w:ascii="宋体" w:hAnsi="宋体" w:eastAsia="宋体" w:cs="宋体"/>
          <w:spacing w:val="-50"/>
          <w:w w:val="91"/>
          <w:sz w:val="17"/>
          <w:szCs w:val="17"/>
        </w:rPr>
        <w:t>］</w:t>
      </w:r>
      <w:r>
        <w:rPr>
          <w:rFonts w:ascii="微软雅黑" w:hAnsi="微软雅黑" w:eastAsia="微软雅黑" w:cs="微软雅黑"/>
          <w:spacing w:val="-50"/>
          <w:w w:val="91"/>
          <w:sz w:val="17"/>
          <w:szCs w:val="17"/>
        </w:rPr>
        <w:t>．</w:t>
      </w:r>
      <w:r>
        <w:rPr>
          <w:rFonts w:ascii="宋体" w:hAnsi="宋体" w:eastAsia="宋体" w:cs="宋体"/>
          <w:spacing w:val="-11"/>
          <w:sz w:val="17"/>
          <w:szCs w:val="17"/>
        </w:rPr>
        <w:t>高教探索，</w:t>
      </w:r>
      <w:r>
        <w:rPr>
          <w:rFonts w:ascii="微软雅黑" w:hAnsi="微软雅黑" w:eastAsia="微软雅黑" w:cs="微软雅黑"/>
          <w:spacing w:val="-11"/>
          <w:sz w:val="17"/>
          <w:szCs w:val="17"/>
        </w:rPr>
        <w:t>2015</w:t>
      </w:r>
      <w:r>
        <w:rPr>
          <w:rFonts w:ascii="宋体" w:hAnsi="宋体" w:eastAsia="宋体" w:cs="宋体"/>
          <w:spacing w:val="-11"/>
          <w:sz w:val="17"/>
          <w:szCs w:val="17"/>
        </w:rPr>
        <w:t>(</w:t>
      </w:r>
      <w:r>
        <w:rPr>
          <w:rFonts w:ascii="微软雅黑" w:hAnsi="微软雅黑" w:eastAsia="微软雅黑" w:cs="微软雅黑"/>
          <w:spacing w:val="-11"/>
          <w:sz w:val="17"/>
          <w:szCs w:val="17"/>
        </w:rPr>
        <w:t>7</w:t>
      </w:r>
      <w:r>
        <w:rPr>
          <w:rFonts w:ascii="宋体" w:hAnsi="宋体" w:eastAsia="宋体" w:cs="宋体"/>
          <w:spacing w:val="-11"/>
          <w:sz w:val="17"/>
          <w:szCs w:val="17"/>
        </w:rPr>
        <w:t>) :</w:t>
      </w:r>
      <w:r>
        <w:rPr>
          <w:rFonts w:ascii="微软雅黑" w:hAnsi="微软雅黑" w:eastAsia="微软雅黑" w:cs="微软雅黑"/>
          <w:spacing w:val="-11"/>
          <w:sz w:val="17"/>
          <w:szCs w:val="17"/>
        </w:rPr>
        <w:t>73－7</w:t>
      </w:r>
      <w:r>
        <w:rPr>
          <w:rFonts w:ascii="微软雅黑" w:hAnsi="微软雅黑" w:eastAsia="微软雅黑" w:cs="微软雅黑"/>
          <w:spacing w:val="-12"/>
          <w:sz w:val="17"/>
          <w:szCs w:val="17"/>
        </w:rPr>
        <w:t>7</w:t>
      </w:r>
      <w:r>
        <w:rPr>
          <w:rFonts w:ascii="微软雅黑" w:hAnsi="微软雅黑" w:eastAsia="微软雅黑" w:cs="微软雅黑"/>
          <w:spacing w:val="-28"/>
          <w:sz w:val="17"/>
          <w:szCs w:val="17"/>
        </w:rPr>
        <w:t xml:space="preserve"> </w:t>
      </w:r>
      <w:r>
        <w:rPr>
          <w:rFonts w:ascii="微软雅黑" w:hAnsi="微软雅黑" w:eastAsia="微软雅黑" w:cs="微软雅黑"/>
          <w:spacing w:val="-12"/>
          <w:sz w:val="17"/>
          <w:szCs w:val="17"/>
        </w:rPr>
        <w:t>.</w:t>
      </w:r>
    </w:p>
    <w:p>
      <w:pPr>
        <w:spacing w:before="7" w:line="303" w:lineRule="exact"/>
        <w:rPr>
          <w:rFonts w:ascii="微软雅黑" w:hAnsi="微软雅黑" w:eastAsia="微软雅黑" w:cs="微软雅黑"/>
          <w:sz w:val="17"/>
          <w:szCs w:val="17"/>
        </w:rPr>
      </w:pPr>
      <w:r>
        <w:rPr>
          <w:rFonts w:ascii="宋体" w:hAnsi="宋体" w:eastAsia="宋体" w:cs="宋体"/>
          <w:spacing w:val="-6"/>
          <w:position w:val="3"/>
          <w:sz w:val="17"/>
          <w:szCs w:val="17"/>
        </w:rPr>
        <w:t>［</w:t>
      </w:r>
      <w:r>
        <w:rPr>
          <w:rFonts w:ascii="微软雅黑" w:hAnsi="微软雅黑" w:eastAsia="微软雅黑" w:cs="微软雅黑"/>
          <w:spacing w:val="-6"/>
          <w:position w:val="3"/>
          <w:sz w:val="17"/>
          <w:szCs w:val="17"/>
        </w:rPr>
        <w:t>13</w:t>
      </w:r>
      <w:r>
        <w:rPr>
          <w:rFonts w:ascii="宋体" w:hAnsi="宋体" w:eastAsia="宋体" w:cs="宋体"/>
          <w:spacing w:val="-6"/>
          <w:position w:val="3"/>
          <w:sz w:val="17"/>
          <w:szCs w:val="17"/>
        </w:rPr>
        <w:t>］陈锡坚</w:t>
      </w:r>
      <w:r>
        <w:rPr>
          <w:rFonts w:ascii="微软雅黑" w:hAnsi="微软雅黑" w:eastAsia="微软雅黑" w:cs="微软雅黑"/>
          <w:spacing w:val="-6"/>
          <w:position w:val="3"/>
          <w:sz w:val="17"/>
          <w:szCs w:val="17"/>
        </w:rPr>
        <w:t>．</w:t>
      </w:r>
      <w:r>
        <w:rPr>
          <w:rFonts w:ascii="宋体" w:hAnsi="宋体" w:eastAsia="宋体" w:cs="宋体"/>
          <w:spacing w:val="-6"/>
          <w:position w:val="3"/>
          <w:sz w:val="17"/>
          <w:szCs w:val="17"/>
        </w:rPr>
        <w:t>培育教学学术文化，提高教育教学质量［</w:t>
      </w:r>
      <w:r>
        <w:rPr>
          <w:rFonts w:ascii="微软雅黑" w:hAnsi="微软雅黑" w:eastAsia="微软雅黑" w:cs="微软雅黑"/>
          <w:spacing w:val="-6"/>
          <w:position w:val="3"/>
          <w:sz w:val="17"/>
          <w:szCs w:val="17"/>
        </w:rPr>
        <w:t>J</w:t>
      </w:r>
      <w:r>
        <w:rPr>
          <w:rFonts w:ascii="宋体" w:hAnsi="宋体" w:eastAsia="宋体" w:cs="宋体"/>
          <w:spacing w:val="-6"/>
          <w:position w:val="3"/>
          <w:sz w:val="17"/>
          <w:szCs w:val="17"/>
        </w:rPr>
        <w:t>］</w:t>
      </w:r>
      <w:r>
        <w:rPr>
          <w:rFonts w:ascii="微软雅黑" w:hAnsi="微软雅黑" w:eastAsia="微软雅黑" w:cs="微软雅黑"/>
          <w:spacing w:val="-6"/>
          <w:position w:val="3"/>
          <w:sz w:val="17"/>
          <w:szCs w:val="17"/>
        </w:rPr>
        <w:t>.</w:t>
      </w:r>
    </w:p>
    <w:p>
      <w:pPr>
        <w:spacing w:before="66" w:line="202" w:lineRule="auto"/>
        <w:ind w:left="428"/>
        <w:rPr>
          <w:rFonts w:ascii="微软雅黑" w:hAnsi="微软雅黑" w:eastAsia="微软雅黑" w:cs="微软雅黑"/>
          <w:sz w:val="17"/>
          <w:szCs w:val="17"/>
        </w:rPr>
      </w:pPr>
      <w:r>
        <w:rPr>
          <w:rFonts w:ascii="宋体" w:hAnsi="宋体" w:eastAsia="宋体" w:cs="宋体"/>
          <w:spacing w:val="-9"/>
          <w:sz w:val="17"/>
          <w:szCs w:val="17"/>
        </w:rPr>
        <w:t>中国大学教学，</w:t>
      </w:r>
      <w:r>
        <w:rPr>
          <w:rFonts w:ascii="微软雅黑" w:hAnsi="微软雅黑" w:eastAsia="微软雅黑" w:cs="微软雅黑"/>
          <w:spacing w:val="-9"/>
          <w:sz w:val="17"/>
          <w:szCs w:val="17"/>
        </w:rPr>
        <w:t>2010</w:t>
      </w:r>
      <w:r>
        <w:rPr>
          <w:rFonts w:ascii="宋体" w:hAnsi="宋体" w:eastAsia="宋体" w:cs="宋体"/>
          <w:spacing w:val="-9"/>
          <w:sz w:val="17"/>
          <w:szCs w:val="17"/>
        </w:rPr>
        <w:t>(</w:t>
      </w:r>
      <w:r>
        <w:rPr>
          <w:rFonts w:ascii="微软雅黑" w:hAnsi="微软雅黑" w:eastAsia="微软雅黑" w:cs="微软雅黑"/>
          <w:spacing w:val="-9"/>
          <w:sz w:val="17"/>
          <w:szCs w:val="17"/>
        </w:rPr>
        <w:t>7</w:t>
      </w:r>
      <w:r>
        <w:rPr>
          <w:rFonts w:ascii="宋体" w:hAnsi="宋体" w:eastAsia="宋体" w:cs="宋体"/>
          <w:spacing w:val="-9"/>
          <w:sz w:val="17"/>
          <w:szCs w:val="17"/>
        </w:rPr>
        <w:t>) :</w:t>
      </w:r>
      <w:r>
        <w:rPr>
          <w:rFonts w:ascii="微软雅黑" w:hAnsi="微软雅黑" w:eastAsia="微软雅黑" w:cs="微软雅黑"/>
          <w:spacing w:val="-9"/>
          <w:sz w:val="17"/>
          <w:szCs w:val="17"/>
        </w:rPr>
        <w:t>74－76</w:t>
      </w:r>
      <w:r>
        <w:rPr>
          <w:rFonts w:ascii="微软雅黑" w:hAnsi="微软雅黑" w:eastAsia="微软雅黑" w:cs="微软雅黑"/>
          <w:spacing w:val="-21"/>
          <w:sz w:val="17"/>
          <w:szCs w:val="17"/>
        </w:rPr>
        <w:t xml:space="preserve"> </w:t>
      </w:r>
      <w:r>
        <w:rPr>
          <w:rFonts w:ascii="微软雅黑" w:hAnsi="微软雅黑" w:eastAsia="微软雅黑" w:cs="微软雅黑"/>
          <w:spacing w:val="-9"/>
          <w:sz w:val="17"/>
          <w:szCs w:val="17"/>
        </w:rPr>
        <w:t>.</w:t>
      </w:r>
    </w:p>
    <w:p>
      <w:pPr>
        <w:spacing w:before="6" w:line="304" w:lineRule="exact"/>
        <w:rPr>
          <w:rFonts w:ascii="宋体" w:hAnsi="宋体" w:eastAsia="宋体" w:cs="宋体"/>
          <w:sz w:val="17"/>
          <w:szCs w:val="17"/>
        </w:rPr>
      </w:pPr>
      <w:r>
        <w:rPr>
          <w:rFonts w:ascii="宋体" w:hAnsi="宋体" w:eastAsia="宋体" w:cs="宋体"/>
          <w:spacing w:val="-5"/>
          <w:position w:val="3"/>
          <w:sz w:val="17"/>
          <w:szCs w:val="17"/>
        </w:rPr>
        <w:t>［</w:t>
      </w:r>
      <w:r>
        <w:rPr>
          <w:rFonts w:ascii="微软雅黑" w:hAnsi="微软雅黑" w:eastAsia="微软雅黑" w:cs="微软雅黑"/>
          <w:spacing w:val="-5"/>
          <w:position w:val="3"/>
          <w:sz w:val="17"/>
          <w:szCs w:val="17"/>
        </w:rPr>
        <w:t>14</w:t>
      </w:r>
      <w:r>
        <w:rPr>
          <w:rFonts w:ascii="宋体" w:hAnsi="宋体" w:eastAsia="宋体" w:cs="宋体"/>
          <w:spacing w:val="-5"/>
          <w:position w:val="3"/>
          <w:sz w:val="17"/>
          <w:szCs w:val="17"/>
        </w:rPr>
        <w:t>］余承海，曹安照</w:t>
      </w:r>
      <w:r>
        <w:rPr>
          <w:rFonts w:ascii="微软雅黑" w:hAnsi="微软雅黑" w:eastAsia="微软雅黑" w:cs="微软雅黑"/>
          <w:spacing w:val="-5"/>
          <w:position w:val="3"/>
          <w:sz w:val="17"/>
          <w:szCs w:val="17"/>
        </w:rPr>
        <w:t>．</w:t>
      </w:r>
      <w:r>
        <w:rPr>
          <w:rFonts w:ascii="宋体" w:hAnsi="宋体" w:eastAsia="宋体" w:cs="宋体"/>
          <w:spacing w:val="-5"/>
          <w:position w:val="3"/>
          <w:sz w:val="17"/>
          <w:szCs w:val="17"/>
        </w:rPr>
        <w:t>论高校教学质量的文化</w:t>
      </w:r>
      <w:r>
        <w:rPr>
          <w:rFonts w:ascii="宋体" w:hAnsi="宋体" w:eastAsia="宋体" w:cs="宋体"/>
          <w:spacing w:val="-6"/>
          <w:position w:val="3"/>
          <w:sz w:val="17"/>
          <w:szCs w:val="17"/>
        </w:rPr>
        <w:t>保障［</w:t>
      </w:r>
      <w:r>
        <w:rPr>
          <w:rFonts w:ascii="微软雅黑" w:hAnsi="微软雅黑" w:eastAsia="微软雅黑" w:cs="微软雅黑"/>
          <w:spacing w:val="-6"/>
          <w:position w:val="3"/>
          <w:sz w:val="17"/>
          <w:szCs w:val="17"/>
        </w:rPr>
        <w:t>J</w:t>
      </w:r>
      <w:r>
        <w:rPr>
          <w:rFonts w:ascii="宋体" w:hAnsi="宋体" w:eastAsia="宋体" w:cs="宋体"/>
          <w:spacing w:val="-52"/>
          <w:w w:val="94"/>
          <w:position w:val="3"/>
          <w:sz w:val="17"/>
          <w:szCs w:val="17"/>
        </w:rPr>
        <w:t>］</w:t>
      </w:r>
      <w:r>
        <w:rPr>
          <w:rFonts w:ascii="微软雅黑" w:hAnsi="微软雅黑" w:eastAsia="微软雅黑" w:cs="微软雅黑"/>
          <w:spacing w:val="-52"/>
          <w:w w:val="94"/>
          <w:position w:val="3"/>
          <w:sz w:val="17"/>
          <w:szCs w:val="17"/>
        </w:rPr>
        <w:t>．</w:t>
      </w:r>
      <w:r>
        <w:rPr>
          <w:rFonts w:ascii="宋体" w:hAnsi="宋体" w:eastAsia="宋体" w:cs="宋体"/>
          <w:spacing w:val="-6"/>
          <w:position w:val="3"/>
          <w:sz w:val="17"/>
          <w:szCs w:val="17"/>
        </w:rPr>
        <w:t>江</w:t>
      </w:r>
    </w:p>
    <w:p>
      <w:pPr>
        <w:spacing w:before="65" w:line="202" w:lineRule="auto"/>
        <w:ind w:left="415"/>
        <w:rPr>
          <w:rFonts w:ascii="微软雅黑" w:hAnsi="微软雅黑" w:eastAsia="微软雅黑" w:cs="微软雅黑"/>
          <w:sz w:val="17"/>
          <w:szCs w:val="17"/>
        </w:rPr>
      </w:pPr>
      <w:r>
        <w:rPr>
          <w:rFonts w:ascii="宋体" w:hAnsi="宋体" w:eastAsia="宋体" w:cs="宋体"/>
          <w:spacing w:val="-15"/>
          <w:sz w:val="17"/>
          <w:szCs w:val="17"/>
        </w:rPr>
        <w:t>苏高教，</w:t>
      </w:r>
      <w:r>
        <w:rPr>
          <w:rFonts w:ascii="微软雅黑" w:hAnsi="微软雅黑" w:eastAsia="微软雅黑" w:cs="微软雅黑"/>
          <w:spacing w:val="-15"/>
          <w:sz w:val="17"/>
          <w:szCs w:val="17"/>
        </w:rPr>
        <w:t>2014</w:t>
      </w:r>
      <w:r>
        <w:rPr>
          <w:rFonts w:ascii="宋体" w:hAnsi="宋体" w:eastAsia="宋体" w:cs="宋体"/>
          <w:spacing w:val="-15"/>
          <w:sz w:val="17"/>
          <w:szCs w:val="17"/>
        </w:rPr>
        <w:t>(</w:t>
      </w:r>
      <w:r>
        <w:rPr>
          <w:rFonts w:ascii="宋体" w:hAnsi="宋体" w:eastAsia="宋体" w:cs="宋体"/>
          <w:spacing w:val="-47"/>
          <w:sz w:val="17"/>
          <w:szCs w:val="17"/>
        </w:rPr>
        <w:t xml:space="preserve"> </w:t>
      </w:r>
      <w:r>
        <w:rPr>
          <w:rFonts w:ascii="微软雅黑" w:hAnsi="微软雅黑" w:eastAsia="微软雅黑" w:cs="微软雅黑"/>
          <w:spacing w:val="-15"/>
          <w:sz w:val="17"/>
          <w:szCs w:val="17"/>
        </w:rPr>
        <w:t>1</w:t>
      </w:r>
      <w:r>
        <w:rPr>
          <w:rFonts w:ascii="宋体" w:hAnsi="宋体" w:eastAsia="宋体" w:cs="宋体"/>
          <w:spacing w:val="-15"/>
          <w:sz w:val="17"/>
          <w:szCs w:val="17"/>
        </w:rPr>
        <w:t>) :</w:t>
      </w:r>
      <w:r>
        <w:rPr>
          <w:rFonts w:ascii="宋体" w:hAnsi="宋体" w:eastAsia="宋体" w:cs="宋体"/>
          <w:spacing w:val="-46"/>
          <w:sz w:val="17"/>
          <w:szCs w:val="17"/>
        </w:rPr>
        <w:t xml:space="preserve"> </w:t>
      </w:r>
      <w:r>
        <w:rPr>
          <w:rFonts w:ascii="微软雅黑" w:hAnsi="微软雅黑" w:eastAsia="微软雅黑" w:cs="微软雅黑"/>
          <w:spacing w:val="-15"/>
          <w:sz w:val="17"/>
          <w:szCs w:val="17"/>
        </w:rPr>
        <w:t>87－90</w:t>
      </w:r>
      <w:r>
        <w:rPr>
          <w:rFonts w:ascii="微软雅黑" w:hAnsi="微软雅黑" w:eastAsia="微软雅黑" w:cs="微软雅黑"/>
          <w:spacing w:val="-30"/>
          <w:sz w:val="17"/>
          <w:szCs w:val="17"/>
        </w:rPr>
        <w:t xml:space="preserve"> </w:t>
      </w:r>
      <w:r>
        <w:rPr>
          <w:rFonts w:ascii="微软雅黑" w:hAnsi="微软雅黑" w:eastAsia="微软雅黑" w:cs="微软雅黑"/>
          <w:spacing w:val="-15"/>
          <w:sz w:val="17"/>
          <w:szCs w:val="17"/>
        </w:rPr>
        <w:t>.</w:t>
      </w:r>
    </w:p>
    <w:p>
      <w:pPr>
        <w:spacing w:before="8" w:line="253" w:lineRule="auto"/>
        <w:ind w:left="387" w:right="49" w:hanging="388"/>
        <w:rPr>
          <w:rFonts w:ascii="微软雅黑" w:hAnsi="微软雅黑" w:eastAsia="微软雅黑" w:cs="微软雅黑"/>
          <w:sz w:val="17"/>
          <w:szCs w:val="17"/>
        </w:rPr>
      </w:pPr>
      <w:r>
        <w:rPr>
          <w:rFonts w:ascii="宋体" w:hAnsi="宋体" w:eastAsia="宋体" w:cs="宋体"/>
          <w:spacing w:val="1"/>
          <w:sz w:val="17"/>
          <w:szCs w:val="17"/>
        </w:rPr>
        <w:t>［</w:t>
      </w:r>
      <w:r>
        <w:rPr>
          <w:rFonts w:ascii="微软雅黑" w:hAnsi="微软雅黑" w:eastAsia="微软雅黑" w:cs="微软雅黑"/>
          <w:spacing w:val="1"/>
          <w:sz w:val="17"/>
          <w:szCs w:val="17"/>
        </w:rPr>
        <w:t>15</w:t>
      </w:r>
      <w:r>
        <w:rPr>
          <w:rFonts w:ascii="宋体" w:hAnsi="宋体" w:eastAsia="宋体" w:cs="宋体"/>
          <w:spacing w:val="1"/>
          <w:sz w:val="17"/>
          <w:szCs w:val="17"/>
        </w:rPr>
        <w:t>］马廷奇</w:t>
      </w:r>
      <w:r>
        <w:rPr>
          <w:rFonts w:ascii="微软雅黑" w:hAnsi="微软雅黑" w:eastAsia="微软雅黑" w:cs="微软雅黑"/>
          <w:spacing w:val="1"/>
          <w:sz w:val="17"/>
          <w:szCs w:val="17"/>
        </w:rPr>
        <w:t>．</w:t>
      </w:r>
      <w:r>
        <w:rPr>
          <w:rFonts w:ascii="宋体" w:hAnsi="宋体" w:eastAsia="宋体" w:cs="宋体"/>
          <w:spacing w:val="1"/>
          <w:sz w:val="17"/>
          <w:szCs w:val="17"/>
        </w:rPr>
        <w:t>论大学教师的教学责任［</w:t>
      </w:r>
      <w:r>
        <w:rPr>
          <w:rFonts w:ascii="微软雅黑" w:hAnsi="微软雅黑" w:eastAsia="微软雅黑" w:cs="微软雅黑"/>
          <w:sz w:val="17"/>
          <w:szCs w:val="17"/>
        </w:rPr>
        <w:t>J</w:t>
      </w:r>
      <w:r>
        <w:rPr>
          <w:rFonts w:ascii="宋体" w:hAnsi="宋体" w:eastAsia="宋体" w:cs="宋体"/>
          <w:spacing w:val="-54"/>
          <w:w w:val="98"/>
          <w:sz w:val="17"/>
          <w:szCs w:val="17"/>
        </w:rPr>
        <w:t>］</w:t>
      </w:r>
      <w:r>
        <w:rPr>
          <w:rFonts w:ascii="微软雅黑" w:hAnsi="微软雅黑" w:eastAsia="微软雅黑" w:cs="微软雅黑"/>
          <w:spacing w:val="-54"/>
          <w:w w:val="98"/>
          <w:sz w:val="17"/>
          <w:szCs w:val="17"/>
        </w:rPr>
        <w:t>．</w:t>
      </w:r>
      <w:r>
        <w:rPr>
          <w:rFonts w:ascii="宋体" w:hAnsi="宋体" w:eastAsia="宋体" w:cs="宋体"/>
          <w:sz w:val="17"/>
          <w:szCs w:val="17"/>
        </w:rPr>
        <w:t>高等教育研究</w:t>
      </w:r>
      <w:r>
        <w:rPr>
          <w:rFonts w:ascii="宋体" w:hAnsi="宋体" w:eastAsia="宋体" w:cs="宋体"/>
          <w:spacing w:val="1"/>
          <w:sz w:val="17"/>
          <w:szCs w:val="17"/>
        </w:rPr>
        <w:t xml:space="preserve"> </w:t>
      </w:r>
      <w:r>
        <w:rPr>
          <w:rFonts w:ascii="宋体" w:hAnsi="宋体" w:eastAsia="宋体" w:cs="宋体"/>
          <w:spacing w:val="-14"/>
          <w:sz w:val="17"/>
          <w:szCs w:val="17"/>
        </w:rPr>
        <w:t>［</w:t>
      </w:r>
      <w:r>
        <w:rPr>
          <w:rFonts w:ascii="微软雅黑" w:hAnsi="微软雅黑" w:eastAsia="微软雅黑" w:cs="微软雅黑"/>
          <w:spacing w:val="-14"/>
          <w:sz w:val="17"/>
          <w:szCs w:val="17"/>
        </w:rPr>
        <w:t>J</w:t>
      </w:r>
      <w:r>
        <w:rPr>
          <w:rFonts w:ascii="宋体" w:hAnsi="宋体" w:eastAsia="宋体" w:cs="宋体"/>
          <w:spacing w:val="-50"/>
          <w:w w:val="91"/>
          <w:sz w:val="17"/>
          <w:szCs w:val="17"/>
        </w:rPr>
        <w:t>］</w:t>
      </w:r>
      <w:r>
        <w:rPr>
          <w:rFonts w:ascii="微软雅黑" w:hAnsi="微软雅黑" w:eastAsia="微软雅黑" w:cs="微软雅黑"/>
          <w:spacing w:val="-50"/>
          <w:w w:val="91"/>
          <w:sz w:val="17"/>
          <w:szCs w:val="17"/>
        </w:rPr>
        <w:t>．</w:t>
      </w:r>
      <w:r>
        <w:rPr>
          <w:rFonts w:ascii="微软雅黑" w:hAnsi="微软雅黑" w:eastAsia="微软雅黑" w:cs="微软雅黑"/>
          <w:spacing w:val="-14"/>
          <w:sz w:val="17"/>
          <w:szCs w:val="17"/>
        </w:rPr>
        <w:t>2008</w:t>
      </w:r>
      <w:r>
        <w:rPr>
          <w:rFonts w:ascii="宋体" w:hAnsi="宋体" w:eastAsia="宋体" w:cs="宋体"/>
          <w:spacing w:val="-14"/>
          <w:sz w:val="17"/>
          <w:szCs w:val="17"/>
        </w:rPr>
        <w:t>(</w:t>
      </w:r>
      <w:r>
        <w:rPr>
          <w:rFonts w:ascii="微软雅黑" w:hAnsi="微软雅黑" w:eastAsia="微软雅黑" w:cs="微软雅黑"/>
          <w:spacing w:val="-14"/>
          <w:sz w:val="17"/>
          <w:szCs w:val="17"/>
        </w:rPr>
        <w:t>5</w:t>
      </w:r>
      <w:r>
        <w:rPr>
          <w:rFonts w:ascii="宋体" w:hAnsi="宋体" w:eastAsia="宋体" w:cs="宋体"/>
          <w:spacing w:val="-14"/>
          <w:sz w:val="17"/>
          <w:szCs w:val="17"/>
        </w:rPr>
        <w:t>) :</w:t>
      </w:r>
      <w:r>
        <w:rPr>
          <w:rFonts w:ascii="宋体" w:hAnsi="宋体" w:eastAsia="宋体" w:cs="宋体"/>
          <w:spacing w:val="-51"/>
          <w:sz w:val="17"/>
          <w:szCs w:val="17"/>
        </w:rPr>
        <w:t xml:space="preserve"> </w:t>
      </w:r>
      <w:r>
        <w:rPr>
          <w:rFonts w:ascii="微软雅黑" w:hAnsi="微软雅黑" w:eastAsia="微软雅黑" w:cs="微软雅黑"/>
          <w:spacing w:val="-14"/>
          <w:sz w:val="17"/>
          <w:szCs w:val="17"/>
        </w:rPr>
        <w:t>20－25</w:t>
      </w:r>
      <w:r>
        <w:rPr>
          <w:rFonts w:ascii="微软雅黑" w:hAnsi="微软雅黑" w:eastAsia="微软雅黑" w:cs="微软雅黑"/>
          <w:spacing w:val="-30"/>
          <w:sz w:val="17"/>
          <w:szCs w:val="17"/>
        </w:rPr>
        <w:t xml:space="preserve"> </w:t>
      </w:r>
      <w:r>
        <w:rPr>
          <w:rFonts w:ascii="微软雅黑" w:hAnsi="微软雅黑" w:eastAsia="微软雅黑" w:cs="微软雅黑"/>
          <w:spacing w:val="-14"/>
          <w:sz w:val="17"/>
          <w:szCs w:val="17"/>
        </w:rPr>
        <w:t>.</w:t>
      </w:r>
    </w:p>
    <w:p>
      <w:pPr>
        <w:spacing w:before="5" w:line="247" w:lineRule="auto"/>
        <w:ind w:left="410" w:right="49" w:hanging="411"/>
        <w:rPr>
          <w:rFonts w:ascii="宋体" w:hAnsi="宋体" w:eastAsia="宋体" w:cs="宋体"/>
          <w:sz w:val="17"/>
          <w:szCs w:val="17"/>
        </w:rPr>
      </w:pPr>
      <w:r>
        <w:rPr>
          <w:rFonts w:ascii="宋体" w:hAnsi="宋体" w:eastAsia="宋体" w:cs="宋体"/>
          <w:spacing w:val="17"/>
          <w:sz w:val="17"/>
          <w:szCs w:val="17"/>
        </w:rPr>
        <w:t>［</w:t>
      </w:r>
      <w:r>
        <w:rPr>
          <w:rFonts w:ascii="微软雅黑" w:hAnsi="微软雅黑" w:eastAsia="微软雅黑" w:cs="微软雅黑"/>
          <w:spacing w:val="17"/>
          <w:sz w:val="17"/>
          <w:szCs w:val="17"/>
        </w:rPr>
        <w:t>16</w:t>
      </w:r>
      <w:r>
        <w:rPr>
          <w:rFonts w:ascii="宋体" w:hAnsi="宋体" w:eastAsia="宋体" w:cs="宋体"/>
          <w:spacing w:val="17"/>
          <w:sz w:val="17"/>
          <w:szCs w:val="17"/>
        </w:rPr>
        <w:t>］约瑟夫</w:t>
      </w:r>
      <w:r>
        <w:rPr>
          <w:rFonts w:ascii="微软雅黑" w:hAnsi="微软雅黑" w:eastAsia="微软雅黑" w:cs="微软雅黑"/>
          <w:spacing w:val="17"/>
          <w:sz w:val="17"/>
          <w:szCs w:val="17"/>
        </w:rPr>
        <w:t>·M·</w:t>
      </w:r>
      <w:r>
        <w:rPr>
          <w:rFonts w:ascii="宋体" w:hAnsi="宋体" w:eastAsia="宋体" w:cs="宋体"/>
          <w:spacing w:val="17"/>
          <w:sz w:val="17"/>
          <w:szCs w:val="17"/>
        </w:rPr>
        <w:t>朱兰，</w:t>
      </w:r>
      <w:r>
        <w:rPr>
          <w:rFonts w:ascii="微软雅黑" w:hAnsi="微软雅黑" w:eastAsia="微软雅黑" w:cs="微软雅黑"/>
          <w:spacing w:val="17"/>
          <w:sz w:val="17"/>
          <w:szCs w:val="17"/>
        </w:rPr>
        <w:t>A·</w:t>
      </w:r>
      <w:r>
        <w:rPr>
          <w:rFonts w:ascii="宋体" w:hAnsi="宋体" w:eastAsia="宋体" w:cs="宋体"/>
          <w:spacing w:val="17"/>
          <w:sz w:val="17"/>
          <w:szCs w:val="17"/>
        </w:rPr>
        <w:t>布兰顿</w:t>
      </w:r>
      <w:r>
        <w:rPr>
          <w:rFonts w:ascii="微软雅黑" w:hAnsi="微软雅黑" w:eastAsia="微软雅黑" w:cs="微软雅黑"/>
          <w:spacing w:val="17"/>
          <w:sz w:val="17"/>
          <w:szCs w:val="17"/>
        </w:rPr>
        <w:t>·</w:t>
      </w:r>
      <w:r>
        <w:rPr>
          <w:rFonts w:ascii="微软雅黑" w:hAnsi="微软雅黑" w:eastAsia="微软雅黑" w:cs="微软雅黑"/>
          <w:spacing w:val="38"/>
          <w:w w:val="101"/>
          <w:sz w:val="17"/>
          <w:szCs w:val="17"/>
        </w:rPr>
        <w:t xml:space="preserve"> </w:t>
      </w:r>
      <w:r>
        <w:rPr>
          <w:rFonts w:ascii="宋体" w:hAnsi="宋体" w:eastAsia="宋体" w:cs="宋体"/>
          <w:spacing w:val="17"/>
          <w:sz w:val="17"/>
          <w:szCs w:val="17"/>
        </w:rPr>
        <w:t>戈弗类</w:t>
      </w:r>
      <w:r>
        <w:rPr>
          <w:rFonts w:ascii="微软雅黑" w:hAnsi="微软雅黑" w:eastAsia="微软雅黑" w:cs="微软雅黑"/>
          <w:spacing w:val="17"/>
          <w:sz w:val="17"/>
          <w:szCs w:val="17"/>
        </w:rPr>
        <w:t>．</w:t>
      </w:r>
      <w:r>
        <w:rPr>
          <w:rFonts w:ascii="宋体" w:hAnsi="宋体" w:eastAsia="宋体" w:cs="宋体"/>
          <w:spacing w:val="16"/>
          <w:sz w:val="17"/>
          <w:szCs w:val="17"/>
        </w:rPr>
        <w:t>朱兰质量</w:t>
      </w:r>
      <w:r>
        <w:rPr>
          <w:rFonts w:ascii="宋体" w:hAnsi="宋体" w:eastAsia="宋体" w:cs="宋体"/>
          <w:sz w:val="17"/>
          <w:szCs w:val="17"/>
        </w:rPr>
        <w:t xml:space="preserve"> </w:t>
      </w:r>
      <w:r>
        <w:rPr>
          <w:rFonts w:ascii="宋体" w:hAnsi="宋体" w:eastAsia="宋体" w:cs="宋体"/>
          <w:spacing w:val="-7"/>
          <w:sz w:val="17"/>
          <w:szCs w:val="17"/>
        </w:rPr>
        <w:t>手册［</w:t>
      </w:r>
      <w:r>
        <w:rPr>
          <w:rFonts w:ascii="微软雅黑" w:hAnsi="微软雅黑" w:eastAsia="微软雅黑" w:cs="微软雅黑"/>
          <w:spacing w:val="-7"/>
          <w:sz w:val="17"/>
          <w:szCs w:val="17"/>
        </w:rPr>
        <w:t>M</w:t>
      </w:r>
      <w:r>
        <w:rPr>
          <w:rFonts w:ascii="宋体" w:hAnsi="宋体" w:eastAsia="宋体" w:cs="宋体"/>
          <w:spacing w:val="-53"/>
          <w:sz w:val="17"/>
          <w:szCs w:val="17"/>
        </w:rPr>
        <w:t>］</w:t>
      </w:r>
      <w:r>
        <w:rPr>
          <w:rFonts w:ascii="微软雅黑" w:hAnsi="微软雅黑" w:eastAsia="微软雅黑" w:cs="微软雅黑"/>
          <w:spacing w:val="-53"/>
          <w:sz w:val="17"/>
          <w:szCs w:val="17"/>
        </w:rPr>
        <w:t>．</w:t>
      </w:r>
      <w:r>
        <w:rPr>
          <w:rFonts w:ascii="宋体" w:hAnsi="宋体" w:eastAsia="宋体" w:cs="宋体"/>
          <w:spacing w:val="-7"/>
          <w:sz w:val="17"/>
          <w:szCs w:val="17"/>
        </w:rPr>
        <w:t>焦叔斌，等，译，北京</w:t>
      </w:r>
      <w:r>
        <w:rPr>
          <w:rFonts w:ascii="宋体" w:hAnsi="宋体" w:eastAsia="宋体" w:cs="宋体"/>
          <w:spacing w:val="-47"/>
          <w:sz w:val="17"/>
          <w:szCs w:val="17"/>
        </w:rPr>
        <w:t xml:space="preserve"> </w:t>
      </w:r>
      <w:r>
        <w:rPr>
          <w:rFonts w:ascii="宋体" w:hAnsi="宋体" w:eastAsia="宋体" w:cs="宋体"/>
          <w:spacing w:val="-7"/>
          <w:sz w:val="17"/>
          <w:szCs w:val="17"/>
        </w:rPr>
        <w:t>: 中国人民大学出版</w:t>
      </w:r>
    </w:p>
    <w:p>
      <w:pPr>
        <w:spacing w:before="89" w:line="183" w:lineRule="auto"/>
        <w:ind w:left="413"/>
        <w:rPr>
          <w:rFonts w:ascii="微软雅黑" w:hAnsi="微软雅黑" w:eastAsia="微软雅黑" w:cs="微软雅黑"/>
          <w:sz w:val="17"/>
          <w:szCs w:val="17"/>
        </w:rPr>
      </w:pPr>
      <w:r>
        <w:rPr>
          <w:rFonts w:ascii="宋体" w:hAnsi="宋体" w:eastAsia="宋体" w:cs="宋体"/>
          <w:spacing w:val="-16"/>
          <w:sz w:val="17"/>
          <w:szCs w:val="17"/>
        </w:rPr>
        <w:t>社，</w:t>
      </w:r>
      <w:r>
        <w:rPr>
          <w:rFonts w:ascii="微软雅黑" w:hAnsi="微软雅黑" w:eastAsia="微软雅黑" w:cs="微软雅黑"/>
          <w:spacing w:val="-16"/>
          <w:sz w:val="17"/>
          <w:szCs w:val="17"/>
        </w:rPr>
        <w:t>2003</w:t>
      </w:r>
      <w:r>
        <w:rPr>
          <w:rFonts w:ascii="宋体" w:hAnsi="宋体" w:eastAsia="宋体" w:cs="宋体"/>
          <w:spacing w:val="-16"/>
          <w:sz w:val="17"/>
          <w:szCs w:val="17"/>
        </w:rPr>
        <w:t>:</w:t>
      </w:r>
      <w:r>
        <w:rPr>
          <w:rFonts w:ascii="微软雅黑" w:hAnsi="微软雅黑" w:eastAsia="微软雅黑" w:cs="微软雅黑"/>
          <w:spacing w:val="-16"/>
          <w:sz w:val="17"/>
          <w:szCs w:val="17"/>
        </w:rPr>
        <w:t>79</w:t>
      </w:r>
      <w:r>
        <w:rPr>
          <w:rFonts w:ascii="微软雅黑" w:hAnsi="微软雅黑" w:eastAsia="微软雅黑" w:cs="微软雅黑"/>
          <w:spacing w:val="-29"/>
          <w:sz w:val="17"/>
          <w:szCs w:val="17"/>
        </w:rPr>
        <w:t xml:space="preserve"> </w:t>
      </w:r>
      <w:r>
        <w:rPr>
          <w:rFonts w:ascii="微软雅黑" w:hAnsi="微软雅黑" w:eastAsia="微软雅黑" w:cs="微软雅黑"/>
          <w:spacing w:val="-16"/>
          <w:sz w:val="17"/>
          <w:szCs w:val="17"/>
        </w:rPr>
        <w:t>.</w:t>
      </w:r>
    </w:p>
    <w:p>
      <w:pPr>
        <w:spacing w:before="20" w:line="239" w:lineRule="auto"/>
        <w:rPr>
          <w:rFonts w:ascii="宋体" w:hAnsi="宋体" w:eastAsia="宋体" w:cs="宋体"/>
          <w:sz w:val="17"/>
          <w:szCs w:val="17"/>
        </w:rPr>
      </w:pPr>
      <w:r>
        <w:rPr>
          <w:rFonts w:ascii="宋体" w:hAnsi="宋体" w:eastAsia="宋体" w:cs="宋体"/>
          <w:spacing w:val="5"/>
          <w:sz w:val="17"/>
          <w:szCs w:val="17"/>
        </w:rPr>
        <w:t>［</w:t>
      </w:r>
      <w:r>
        <w:rPr>
          <w:rFonts w:ascii="微软雅黑" w:hAnsi="微软雅黑" w:eastAsia="微软雅黑" w:cs="微软雅黑"/>
          <w:spacing w:val="5"/>
          <w:sz w:val="17"/>
          <w:szCs w:val="17"/>
        </w:rPr>
        <w:t>17</w:t>
      </w:r>
      <w:r>
        <w:rPr>
          <w:rFonts w:ascii="宋体" w:hAnsi="宋体" w:eastAsia="宋体" w:cs="宋体"/>
          <w:spacing w:val="5"/>
          <w:sz w:val="17"/>
          <w:szCs w:val="17"/>
        </w:rPr>
        <w:t>］周波</w:t>
      </w:r>
      <w:r>
        <w:rPr>
          <w:rFonts w:ascii="微软雅黑" w:hAnsi="微软雅黑" w:eastAsia="微软雅黑" w:cs="微软雅黑"/>
          <w:spacing w:val="5"/>
          <w:sz w:val="17"/>
          <w:szCs w:val="17"/>
        </w:rPr>
        <w:t>．</w:t>
      </w:r>
      <w:r>
        <w:rPr>
          <w:rFonts w:ascii="宋体" w:hAnsi="宋体" w:eastAsia="宋体" w:cs="宋体"/>
          <w:spacing w:val="5"/>
          <w:sz w:val="17"/>
          <w:szCs w:val="17"/>
        </w:rPr>
        <w:t>教学学术</w:t>
      </w:r>
      <w:r>
        <w:rPr>
          <w:rFonts w:ascii="宋体" w:hAnsi="宋体" w:eastAsia="宋体" w:cs="宋体"/>
          <w:spacing w:val="-48"/>
          <w:sz w:val="17"/>
          <w:szCs w:val="17"/>
        </w:rPr>
        <w:t xml:space="preserve"> </w:t>
      </w:r>
      <w:r>
        <w:rPr>
          <w:rFonts w:ascii="宋体" w:hAnsi="宋体" w:eastAsia="宋体" w:cs="宋体"/>
          <w:spacing w:val="5"/>
          <w:sz w:val="17"/>
          <w:szCs w:val="17"/>
        </w:rPr>
        <w:t>:</w:t>
      </w:r>
      <w:r>
        <w:rPr>
          <w:rFonts w:ascii="宋体" w:hAnsi="宋体" w:eastAsia="宋体" w:cs="宋体"/>
          <w:spacing w:val="-23"/>
          <w:sz w:val="17"/>
          <w:szCs w:val="17"/>
        </w:rPr>
        <w:t xml:space="preserve"> </w:t>
      </w:r>
      <w:r>
        <w:rPr>
          <w:rFonts w:ascii="宋体" w:hAnsi="宋体" w:eastAsia="宋体" w:cs="宋体"/>
          <w:spacing w:val="5"/>
          <w:sz w:val="17"/>
          <w:szCs w:val="17"/>
        </w:rPr>
        <w:t>高校教师教学专业发展的</w:t>
      </w:r>
      <w:r>
        <w:rPr>
          <w:rFonts w:ascii="宋体" w:hAnsi="宋体" w:eastAsia="宋体" w:cs="宋体"/>
          <w:spacing w:val="4"/>
          <w:sz w:val="17"/>
          <w:szCs w:val="17"/>
        </w:rPr>
        <w:t>内生点</w:t>
      </w:r>
    </w:p>
    <w:p>
      <w:pPr>
        <w:spacing w:before="20" w:line="304" w:lineRule="exact"/>
        <w:ind w:left="388"/>
        <w:rPr>
          <w:rFonts w:ascii="微软雅黑" w:hAnsi="微软雅黑" w:eastAsia="微软雅黑" w:cs="微软雅黑"/>
          <w:sz w:val="17"/>
          <w:szCs w:val="17"/>
        </w:rPr>
      </w:pPr>
      <w:r>
        <w:rPr>
          <w:rFonts w:ascii="宋体" w:hAnsi="宋体" w:eastAsia="宋体" w:cs="宋体"/>
          <w:spacing w:val="-7"/>
          <w:position w:val="3"/>
          <w:sz w:val="17"/>
          <w:szCs w:val="17"/>
        </w:rPr>
        <w:t>［</w:t>
      </w:r>
      <w:r>
        <w:rPr>
          <w:rFonts w:ascii="微软雅黑" w:hAnsi="微软雅黑" w:eastAsia="微软雅黑" w:cs="微软雅黑"/>
          <w:spacing w:val="-7"/>
          <w:position w:val="3"/>
          <w:sz w:val="17"/>
          <w:szCs w:val="17"/>
        </w:rPr>
        <w:t>J</w:t>
      </w:r>
      <w:r>
        <w:rPr>
          <w:rFonts w:ascii="宋体" w:hAnsi="宋体" w:eastAsia="宋体" w:cs="宋体"/>
          <w:spacing w:val="-53"/>
          <w:w w:val="97"/>
          <w:position w:val="3"/>
          <w:sz w:val="17"/>
          <w:szCs w:val="17"/>
        </w:rPr>
        <w:t>］</w:t>
      </w:r>
      <w:r>
        <w:rPr>
          <w:rFonts w:ascii="微软雅黑" w:hAnsi="微软雅黑" w:eastAsia="微软雅黑" w:cs="微软雅黑"/>
          <w:spacing w:val="-53"/>
          <w:w w:val="97"/>
          <w:position w:val="3"/>
          <w:sz w:val="17"/>
          <w:szCs w:val="17"/>
        </w:rPr>
        <w:t>．</w:t>
      </w:r>
      <w:r>
        <w:rPr>
          <w:rFonts w:ascii="宋体" w:hAnsi="宋体" w:eastAsia="宋体" w:cs="宋体"/>
          <w:spacing w:val="-7"/>
          <w:position w:val="3"/>
          <w:sz w:val="17"/>
          <w:szCs w:val="17"/>
        </w:rPr>
        <w:t>国家教育行政学院学报，</w:t>
      </w:r>
      <w:r>
        <w:rPr>
          <w:rFonts w:ascii="微软雅黑" w:hAnsi="微软雅黑" w:eastAsia="微软雅黑" w:cs="微软雅黑"/>
          <w:spacing w:val="-7"/>
          <w:position w:val="3"/>
          <w:sz w:val="17"/>
          <w:szCs w:val="17"/>
        </w:rPr>
        <w:t>2016</w:t>
      </w:r>
      <w:r>
        <w:rPr>
          <w:rFonts w:ascii="宋体" w:hAnsi="宋体" w:eastAsia="宋体" w:cs="宋体"/>
          <w:spacing w:val="-7"/>
          <w:position w:val="3"/>
          <w:sz w:val="17"/>
          <w:szCs w:val="17"/>
        </w:rPr>
        <w:t>(</w:t>
      </w:r>
      <w:r>
        <w:rPr>
          <w:rFonts w:ascii="微软雅黑" w:hAnsi="微软雅黑" w:eastAsia="微软雅黑" w:cs="微软雅黑"/>
          <w:spacing w:val="-7"/>
          <w:position w:val="3"/>
          <w:sz w:val="17"/>
          <w:szCs w:val="17"/>
        </w:rPr>
        <w:t>4</w:t>
      </w:r>
      <w:r>
        <w:rPr>
          <w:rFonts w:ascii="宋体" w:hAnsi="宋体" w:eastAsia="宋体" w:cs="宋体"/>
          <w:spacing w:val="-7"/>
          <w:position w:val="3"/>
          <w:sz w:val="17"/>
          <w:szCs w:val="17"/>
        </w:rPr>
        <w:t>) :</w:t>
      </w:r>
      <w:r>
        <w:rPr>
          <w:rFonts w:ascii="微软雅黑" w:hAnsi="微软雅黑" w:eastAsia="微软雅黑" w:cs="微软雅黑"/>
          <w:spacing w:val="-7"/>
          <w:position w:val="3"/>
          <w:sz w:val="17"/>
          <w:szCs w:val="17"/>
        </w:rPr>
        <w:t>47－52</w:t>
      </w:r>
      <w:r>
        <w:rPr>
          <w:rFonts w:ascii="微软雅黑" w:hAnsi="微软雅黑" w:eastAsia="微软雅黑" w:cs="微软雅黑"/>
          <w:spacing w:val="-28"/>
          <w:position w:val="3"/>
          <w:sz w:val="17"/>
          <w:szCs w:val="17"/>
        </w:rPr>
        <w:t xml:space="preserve"> </w:t>
      </w:r>
      <w:r>
        <w:rPr>
          <w:rFonts w:ascii="微软雅黑" w:hAnsi="微软雅黑" w:eastAsia="微软雅黑" w:cs="微软雅黑"/>
          <w:spacing w:val="-7"/>
          <w:position w:val="3"/>
          <w:sz w:val="17"/>
          <w:szCs w:val="17"/>
        </w:rPr>
        <w:t>.</w:t>
      </w:r>
    </w:p>
    <w:p>
      <w:pPr>
        <w:spacing w:before="7" w:line="247" w:lineRule="auto"/>
        <w:ind w:left="415" w:right="48" w:hanging="415"/>
        <w:rPr>
          <w:rFonts w:ascii="微软雅黑" w:hAnsi="微软雅黑" w:eastAsia="微软雅黑" w:cs="微软雅黑"/>
          <w:sz w:val="17"/>
          <w:szCs w:val="17"/>
        </w:rPr>
      </w:pPr>
      <w:r>
        <w:rPr>
          <w:rFonts w:ascii="宋体" w:hAnsi="宋体" w:eastAsia="宋体" w:cs="宋体"/>
          <w:spacing w:val="-4"/>
          <w:sz w:val="17"/>
          <w:szCs w:val="17"/>
        </w:rPr>
        <w:t>［</w:t>
      </w:r>
      <w:r>
        <w:rPr>
          <w:rFonts w:ascii="微软雅黑" w:hAnsi="微软雅黑" w:eastAsia="微软雅黑" w:cs="微软雅黑"/>
          <w:spacing w:val="-4"/>
          <w:sz w:val="17"/>
          <w:szCs w:val="17"/>
        </w:rPr>
        <w:t>18</w:t>
      </w:r>
      <w:r>
        <w:rPr>
          <w:rFonts w:ascii="宋体" w:hAnsi="宋体" w:eastAsia="宋体" w:cs="宋体"/>
          <w:spacing w:val="-4"/>
          <w:sz w:val="17"/>
          <w:szCs w:val="17"/>
        </w:rPr>
        <w:t>］康永久</w:t>
      </w:r>
      <w:r>
        <w:rPr>
          <w:rFonts w:ascii="微软雅黑" w:hAnsi="微软雅黑" w:eastAsia="微软雅黑" w:cs="微软雅黑"/>
          <w:spacing w:val="-4"/>
          <w:sz w:val="17"/>
          <w:szCs w:val="17"/>
        </w:rPr>
        <w:t>．</w:t>
      </w:r>
      <w:r>
        <w:rPr>
          <w:rFonts w:ascii="宋体" w:hAnsi="宋体" w:eastAsia="宋体" w:cs="宋体"/>
          <w:spacing w:val="-4"/>
          <w:sz w:val="17"/>
          <w:szCs w:val="17"/>
        </w:rPr>
        <w:t>教育制度的生成与变革［</w:t>
      </w:r>
      <w:r>
        <w:rPr>
          <w:rFonts w:ascii="微软雅黑" w:hAnsi="微软雅黑" w:eastAsia="微软雅黑" w:cs="微软雅黑"/>
          <w:spacing w:val="-4"/>
          <w:sz w:val="17"/>
          <w:szCs w:val="17"/>
        </w:rPr>
        <w:t>M</w:t>
      </w:r>
      <w:r>
        <w:rPr>
          <w:rFonts w:ascii="宋体" w:hAnsi="宋体" w:eastAsia="宋体" w:cs="宋体"/>
          <w:spacing w:val="-50"/>
          <w:sz w:val="17"/>
          <w:szCs w:val="17"/>
        </w:rPr>
        <w:t>］</w:t>
      </w:r>
      <w:r>
        <w:rPr>
          <w:rFonts w:ascii="微软雅黑" w:hAnsi="微软雅黑" w:eastAsia="微软雅黑" w:cs="微软雅黑"/>
          <w:spacing w:val="-50"/>
          <w:sz w:val="17"/>
          <w:szCs w:val="17"/>
        </w:rPr>
        <w:t>．</w:t>
      </w:r>
      <w:r>
        <w:rPr>
          <w:rFonts w:ascii="宋体" w:hAnsi="宋体" w:eastAsia="宋体" w:cs="宋体"/>
          <w:spacing w:val="-4"/>
          <w:sz w:val="17"/>
          <w:szCs w:val="17"/>
        </w:rPr>
        <w:t>北京</w:t>
      </w:r>
      <w:r>
        <w:rPr>
          <w:rFonts w:ascii="宋体" w:hAnsi="宋体" w:eastAsia="宋体" w:cs="宋体"/>
          <w:spacing w:val="-47"/>
          <w:sz w:val="17"/>
          <w:szCs w:val="17"/>
        </w:rPr>
        <w:t xml:space="preserve"> </w:t>
      </w:r>
      <w:r>
        <w:rPr>
          <w:rFonts w:ascii="宋体" w:hAnsi="宋体" w:eastAsia="宋体" w:cs="宋体"/>
          <w:spacing w:val="-4"/>
          <w:sz w:val="17"/>
          <w:szCs w:val="17"/>
        </w:rPr>
        <w:t>:</w:t>
      </w:r>
      <w:r>
        <w:rPr>
          <w:rFonts w:ascii="宋体" w:hAnsi="宋体" w:eastAsia="宋体" w:cs="宋体"/>
          <w:spacing w:val="-27"/>
          <w:sz w:val="17"/>
          <w:szCs w:val="17"/>
        </w:rPr>
        <w:t xml:space="preserve"> </w:t>
      </w:r>
      <w:r>
        <w:rPr>
          <w:rFonts w:ascii="宋体" w:hAnsi="宋体" w:eastAsia="宋体" w:cs="宋体"/>
          <w:spacing w:val="-4"/>
          <w:sz w:val="17"/>
          <w:szCs w:val="17"/>
        </w:rPr>
        <w:t>教育科</w:t>
      </w:r>
      <w:r>
        <w:rPr>
          <w:rFonts w:ascii="宋体" w:hAnsi="宋体" w:eastAsia="宋体" w:cs="宋体"/>
          <w:sz w:val="17"/>
          <w:szCs w:val="17"/>
        </w:rPr>
        <w:t xml:space="preserve"> </w:t>
      </w:r>
      <w:r>
        <w:rPr>
          <w:rFonts w:ascii="宋体" w:hAnsi="宋体" w:eastAsia="宋体" w:cs="宋体"/>
          <w:spacing w:val="-10"/>
          <w:sz w:val="17"/>
          <w:szCs w:val="17"/>
        </w:rPr>
        <w:t>学出版社，</w:t>
      </w:r>
      <w:r>
        <w:rPr>
          <w:rFonts w:ascii="微软雅黑" w:hAnsi="微软雅黑" w:eastAsia="微软雅黑" w:cs="微软雅黑"/>
          <w:spacing w:val="-10"/>
          <w:sz w:val="17"/>
          <w:szCs w:val="17"/>
        </w:rPr>
        <w:t>2003</w:t>
      </w:r>
      <w:r>
        <w:rPr>
          <w:rFonts w:ascii="宋体" w:hAnsi="宋体" w:eastAsia="宋体" w:cs="宋体"/>
          <w:spacing w:val="-10"/>
          <w:sz w:val="17"/>
          <w:szCs w:val="17"/>
        </w:rPr>
        <w:t>:</w:t>
      </w:r>
      <w:r>
        <w:rPr>
          <w:rFonts w:ascii="微软雅黑" w:hAnsi="微软雅黑" w:eastAsia="微软雅黑" w:cs="微软雅黑"/>
          <w:spacing w:val="-10"/>
          <w:sz w:val="17"/>
          <w:szCs w:val="17"/>
        </w:rPr>
        <w:t>58</w:t>
      </w:r>
      <w:r>
        <w:rPr>
          <w:rFonts w:ascii="微软雅黑" w:hAnsi="微软雅黑" w:eastAsia="微软雅黑" w:cs="微软雅黑"/>
          <w:spacing w:val="-29"/>
          <w:sz w:val="17"/>
          <w:szCs w:val="17"/>
        </w:rPr>
        <w:t xml:space="preserve"> </w:t>
      </w:r>
      <w:r>
        <w:rPr>
          <w:rFonts w:ascii="微软雅黑" w:hAnsi="微软雅黑" w:eastAsia="微软雅黑" w:cs="微软雅黑"/>
          <w:spacing w:val="-10"/>
          <w:sz w:val="17"/>
          <w:szCs w:val="17"/>
        </w:rPr>
        <w:t>.</w:t>
      </w:r>
    </w:p>
    <w:p>
      <w:pPr>
        <w:spacing w:line="268" w:lineRule="auto"/>
        <w:rPr>
          <w:rFonts w:ascii="Arial"/>
          <w:sz w:val="21"/>
        </w:rPr>
      </w:pPr>
    </w:p>
    <w:p>
      <w:pPr>
        <w:spacing w:before="65" w:line="295" w:lineRule="exact"/>
        <w:ind w:left="1959"/>
        <w:rPr>
          <w:rFonts w:ascii="新宋体" w:hAnsi="新宋体" w:eastAsia="新宋体" w:cs="新宋体"/>
          <w:sz w:val="20"/>
          <w:szCs w:val="20"/>
        </w:rPr>
      </w:pPr>
      <w:r>
        <w:rPr>
          <w:rFonts w:ascii="新宋体" w:hAnsi="新宋体" w:eastAsia="新宋体" w:cs="新宋体"/>
          <w:spacing w:val="-6"/>
          <w:position w:val="2"/>
          <w:sz w:val="20"/>
          <w:szCs w:val="20"/>
        </w:rPr>
        <w:t>［责任编辑:</w:t>
      </w:r>
      <w:r>
        <w:rPr>
          <w:rFonts w:ascii="新宋体" w:hAnsi="新宋体" w:eastAsia="新宋体" w:cs="新宋体"/>
          <w:spacing w:val="-31"/>
          <w:position w:val="2"/>
          <w:sz w:val="20"/>
          <w:szCs w:val="20"/>
        </w:rPr>
        <w:t xml:space="preserve"> </w:t>
      </w:r>
      <w:r>
        <w:rPr>
          <w:rFonts w:ascii="新宋体" w:hAnsi="新宋体" w:eastAsia="新宋体" w:cs="新宋体"/>
          <w:spacing w:val="-6"/>
          <w:position w:val="2"/>
          <w:sz w:val="20"/>
          <w:szCs w:val="20"/>
        </w:rPr>
        <w:t>张金富］</w:t>
      </w:r>
    </w:p>
    <w:p>
      <w:pPr>
        <w:spacing w:line="295" w:lineRule="exact"/>
        <w:rPr>
          <w:rFonts w:ascii="新宋体" w:hAnsi="新宋体" w:eastAsia="新宋体" w:cs="新宋体"/>
          <w:sz w:val="20"/>
          <w:szCs w:val="20"/>
        </w:rPr>
        <w:sectPr>
          <w:type w:val="continuous"/>
          <w:pgSz w:w="11905" w:h="16836"/>
          <w:pgMar w:top="400" w:right="1287" w:bottom="547" w:left="407" w:header="0" w:footer="354" w:gutter="0"/>
          <w:cols w:equalWidth="0" w:num="2">
            <w:col w:w="5636" w:space="100"/>
            <w:col w:w="4473"/>
          </w:cols>
        </w:sectPr>
      </w:pPr>
    </w:p>
    <w:p>
      <w:pPr>
        <w:rPr>
          <w:rFonts w:ascii="Arial"/>
          <w:sz w:val="21"/>
        </w:rPr>
      </w:pPr>
    </w:p>
    <w:p>
      <w:pPr>
        <w:rPr>
          <w:rFonts w:ascii="Arial"/>
          <w:sz w:val="21"/>
        </w:rPr>
      </w:pPr>
    </w:p>
    <w:p>
      <w:pPr>
        <w:spacing w:before="1" w:line="193" w:lineRule="exact"/>
        <w:ind w:firstLine="9707"/>
      </w:pPr>
      <w:r>
        <w:rPr>
          <w:position w:val="-3"/>
        </w:rPr>
        <w:pict>
          <v:shape id="_x0000_s1058" o:spid="_x0000_s1058" o:spt="202" type="#_x0000_t202" style="height:9.7pt;width:22.3pt;" fillcolor="#0064B2" filled="t" stroked="f" coordsize="21600,21600">
            <v:path/>
            <v:fill on="t" focussize="0,0"/>
            <v:stroke on="f"/>
            <v:imagedata o:title=""/>
            <o:lock v:ext="edit" aspectratio="f"/>
            <v:textbox inset="0mm,0mm,0mm,0mm">
              <w:txbxContent>
                <w:p>
                  <w:pPr>
                    <w:spacing w:before="25" w:line="168" w:lineRule="auto"/>
                    <w:ind w:left="123"/>
                    <w:rPr>
                      <w:rFonts w:ascii="微软雅黑" w:hAnsi="微软雅黑" w:eastAsia="微软雅黑" w:cs="微软雅黑"/>
                      <w:sz w:val="19"/>
                      <w:szCs w:val="19"/>
                    </w:rPr>
                  </w:pPr>
                  <w:r>
                    <w:rPr>
                      <w:rFonts w:ascii="微软雅黑" w:hAnsi="微软雅黑" w:eastAsia="微软雅黑" w:cs="微软雅黑"/>
                      <w:color w:val="FFFFFF"/>
                      <w:spacing w:val="-5"/>
                      <w:sz w:val="19"/>
                      <w:szCs w:val="19"/>
                    </w:rPr>
                    <w:t>27</w:t>
                  </w:r>
                </w:p>
              </w:txbxContent>
            </v:textbox>
            <w10:wrap type="none"/>
            <w10:anchorlock/>
          </v:shape>
        </w:pict>
      </w:r>
    </w:p>
    <w:p>
      <w:pPr>
        <w:spacing w:line="193" w:lineRule="exact"/>
        <w:sectPr>
          <w:type w:val="continuous"/>
          <w:pgSz w:w="11905" w:h="16836"/>
          <w:pgMar w:top="400" w:right="1287" w:bottom="547" w:left="407" w:header="0" w:footer="354" w:gutter="0"/>
          <w:cols w:equalWidth="0" w:num="1">
            <w:col w:w="10209"/>
          </w:cols>
        </w:sectPr>
      </w:pPr>
    </w:p>
    <w:p>
      <w:pPr>
        <w:spacing w:before="22"/>
      </w:pPr>
      <w:r>
        <w:pict>
          <v:shape id="_x0000_s1059" o:spid="_x0000_s1059" style="position:absolute;left:0pt;margin-left:65.55pt;margin-top:95.45pt;height:0.8pt;width:481.3pt;mso-position-horizontal-relative:page;mso-position-vertical-relative:page;z-index:251707392;mso-width-relative:page;mso-height-relative:page;" filled="f" stroked="t" coordsize="9625,16" o:allowincell="f" path="m0,7l9625,7e">
            <v:fill on="f" focussize="0,0"/>
            <v:stroke weight="0.76pt" color="#000000" miterlimit="10" joinstyle="miter"/>
            <v:imagedata o:title=""/>
            <o:lock v:ext="edit"/>
          </v:shape>
        </w:pict>
      </w:r>
    </w:p>
    <w:p>
      <w:pPr>
        <w:spacing w:before="22"/>
      </w:pPr>
    </w:p>
    <w:p>
      <w:pPr>
        <w:spacing w:before="21"/>
      </w:pPr>
    </w:p>
    <w:p>
      <w:pPr>
        <w:sectPr>
          <w:footerReference r:id="rId58" w:type="default"/>
          <w:pgSz w:w="12246" w:h="16498"/>
          <w:pgMar w:top="400" w:right="1249" w:bottom="547" w:left="407" w:header="0" w:footer="354" w:gutter="0"/>
          <w:cols w:equalWidth="0" w:num="1">
            <w:col w:w="10589"/>
          </w:cols>
        </w:sectPr>
      </w:pPr>
    </w:p>
    <w:p>
      <w:pPr>
        <w:spacing w:before="233" w:line="192" w:lineRule="auto"/>
        <w:ind w:left="909"/>
        <w:rPr>
          <w:rFonts w:ascii="微软雅黑" w:hAnsi="微软雅黑" w:eastAsia="微软雅黑" w:cs="微软雅黑"/>
          <w:sz w:val="19"/>
          <w:szCs w:val="19"/>
        </w:rPr>
      </w:pPr>
      <w:r>
        <w:rPr>
          <w:rFonts w:ascii="Arial" w:hAnsi="Arial" w:eastAsia="Arial" w:cs="Arial"/>
          <w:spacing w:val="15"/>
          <w:sz w:val="19"/>
          <w:szCs w:val="19"/>
        </w:rPr>
        <w:t>2022</w:t>
      </w:r>
      <w:r>
        <w:rPr>
          <w:rFonts w:ascii="微软雅黑" w:hAnsi="微软雅黑" w:eastAsia="微软雅黑" w:cs="微软雅黑"/>
          <w:spacing w:val="15"/>
          <w:sz w:val="19"/>
          <w:szCs w:val="19"/>
        </w:rPr>
        <w:t>年</w:t>
      </w:r>
      <w:r>
        <w:rPr>
          <w:rFonts w:ascii="微软雅黑" w:hAnsi="微软雅黑" w:eastAsia="微软雅黑" w:cs="微软雅黑"/>
          <w:spacing w:val="29"/>
          <w:sz w:val="19"/>
          <w:szCs w:val="19"/>
        </w:rPr>
        <w:t xml:space="preserve"> </w:t>
      </w:r>
      <w:r>
        <w:rPr>
          <w:rFonts w:ascii="Arial" w:hAnsi="Arial" w:eastAsia="Arial" w:cs="Arial"/>
          <w:spacing w:val="15"/>
          <w:sz w:val="19"/>
          <w:szCs w:val="19"/>
        </w:rPr>
        <w:t>9</w:t>
      </w:r>
      <w:r>
        <w:rPr>
          <w:rFonts w:ascii="微软雅黑" w:hAnsi="微软雅黑" w:eastAsia="微软雅黑" w:cs="微软雅黑"/>
          <w:spacing w:val="15"/>
          <w:sz w:val="19"/>
          <w:szCs w:val="19"/>
        </w:rPr>
        <w:t>月第</w:t>
      </w:r>
      <w:r>
        <w:rPr>
          <w:rFonts w:ascii="微软雅黑" w:hAnsi="微软雅黑" w:eastAsia="微软雅黑" w:cs="微软雅黑"/>
          <w:spacing w:val="20"/>
          <w:w w:val="101"/>
          <w:sz w:val="19"/>
          <w:szCs w:val="19"/>
        </w:rPr>
        <w:t xml:space="preserve"> </w:t>
      </w:r>
      <w:r>
        <w:rPr>
          <w:rFonts w:ascii="Arial" w:hAnsi="Arial" w:eastAsia="Arial" w:cs="Arial"/>
          <w:spacing w:val="15"/>
          <w:sz w:val="19"/>
          <w:szCs w:val="19"/>
        </w:rPr>
        <w:t>9</w:t>
      </w:r>
      <w:r>
        <w:rPr>
          <w:rFonts w:ascii="微软雅黑" w:hAnsi="微软雅黑" w:eastAsia="微软雅黑" w:cs="微软雅黑"/>
          <w:spacing w:val="15"/>
          <w:sz w:val="19"/>
          <w:szCs w:val="19"/>
        </w:rPr>
        <w:t>期</w:t>
      </w:r>
    </w:p>
    <w:p>
      <w:pPr>
        <w:spacing w:line="14" w:lineRule="auto"/>
        <w:rPr>
          <w:rFonts w:ascii="Arial"/>
          <w:sz w:val="2"/>
        </w:rPr>
      </w:pPr>
      <w:r>
        <w:rPr>
          <w:rFonts w:ascii="Arial" w:hAnsi="Arial" w:eastAsia="Arial" w:cs="Arial"/>
          <w:sz w:val="2"/>
          <w:szCs w:val="2"/>
        </w:rPr>
        <w:br w:type="column"/>
      </w:r>
    </w:p>
    <w:p>
      <w:pPr>
        <w:spacing w:before="42" w:line="193" w:lineRule="auto"/>
        <w:ind w:left="621"/>
        <w:rPr>
          <w:rFonts w:ascii="微软雅黑" w:hAnsi="微软雅黑" w:eastAsia="微软雅黑" w:cs="微软雅黑"/>
          <w:sz w:val="19"/>
          <w:szCs w:val="19"/>
        </w:rPr>
      </w:pPr>
      <w:r>
        <w:rPr>
          <w:rFonts w:ascii="微软雅黑" w:hAnsi="微软雅黑" w:eastAsia="微软雅黑" w:cs="微软雅黑"/>
          <w:spacing w:val="13"/>
          <w:sz w:val="19"/>
          <w:szCs w:val="19"/>
        </w:rPr>
        <w:t>高教论坛</w:t>
      </w:r>
    </w:p>
    <w:p>
      <w:pPr>
        <w:spacing w:before="127" w:line="230" w:lineRule="exact"/>
        <w:rPr>
          <w:rFonts w:ascii="Arial" w:hAnsi="Arial" w:eastAsia="Arial" w:cs="Arial"/>
          <w:sz w:val="19"/>
          <w:szCs w:val="19"/>
        </w:rPr>
      </w:pPr>
      <w:r>
        <w:rPr>
          <w:rFonts w:ascii="Arial" w:hAnsi="Arial" w:eastAsia="Arial" w:cs="Arial"/>
          <w:spacing w:val="14"/>
          <w:position w:val="2"/>
          <w:sz w:val="19"/>
          <w:szCs w:val="19"/>
        </w:rPr>
        <w:t>HigherEducationForum</w:t>
      </w:r>
    </w:p>
    <w:p>
      <w:pPr>
        <w:spacing w:line="14" w:lineRule="auto"/>
        <w:rPr>
          <w:rFonts w:ascii="Arial"/>
          <w:sz w:val="2"/>
        </w:rPr>
      </w:pPr>
      <w:r>
        <w:rPr>
          <w:rFonts w:ascii="Arial" w:hAnsi="Arial" w:eastAsia="Arial" w:cs="Arial"/>
          <w:sz w:val="2"/>
          <w:szCs w:val="2"/>
        </w:rPr>
        <w:br w:type="column"/>
      </w:r>
    </w:p>
    <w:p>
      <w:pPr>
        <w:spacing w:before="248" w:line="224" w:lineRule="exact"/>
        <w:rPr>
          <w:rFonts w:ascii="Arial" w:hAnsi="Arial" w:eastAsia="Arial" w:cs="Arial"/>
          <w:sz w:val="19"/>
          <w:szCs w:val="19"/>
        </w:rPr>
      </w:pPr>
      <w:r>
        <w:rPr>
          <w:rFonts w:ascii="Arial" w:hAnsi="Arial" w:eastAsia="Arial" w:cs="Arial"/>
          <w:spacing w:val="-10"/>
          <w:position w:val="2"/>
          <w:sz w:val="19"/>
          <w:szCs w:val="19"/>
        </w:rPr>
        <w:t>Sep</w:t>
      </w:r>
      <w:r>
        <w:rPr>
          <w:rFonts w:ascii="Arial" w:hAnsi="Arial" w:eastAsia="Arial" w:cs="Arial"/>
          <w:spacing w:val="-30"/>
          <w:position w:val="2"/>
          <w:sz w:val="19"/>
          <w:szCs w:val="19"/>
        </w:rPr>
        <w:t xml:space="preserve"> </w:t>
      </w:r>
      <w:r>
        <w:rPr>
          <w:rFonts w:ascii="Arial" w:hAnsi="Arial" w:eastAsia="Arial" w:cs="Arial"/>
          <w:spacing w:val="-10"/>
          <w:position w:val="2"/>
          <w:sz w:val="19"/>
          <w:szCs w:val="19"/>
        </w:rPr>
        <w:t>.</w:t>
      </w:r>
      <w:r>
        <w:rPr>
          <w:rFonts w:ascii="Arial" w:hAnsi="Arial" w:eastAsia="Arial" w:cs="Arial"/>
          <w:spacing w:val="24"/>
          <w:position w:val="2"/>
          <w:sz w:val="19"/>
          <w:szCs w:val="19"/>
        </w:rPr>
        <w:t xml:space="preserve"> </w:t>
      </w:r>
      <w:r>
        <w:rPr>
          <w:rFonts w:ascii="Arial" w:hAnsi="Arial" w:eastAsia="Arial" w:cs="Arial"/>
          <w:spacing w:val="-10"/>
          <w:position w:val="2"/>
          <w:sz w:val="19"/>
          <w:szCs w:val="19"/>
        </w:rPr>
        <w:t>2022</w:t>
      </w:r>
      <w:r>
        <w:rPr>
          <w:rFonts w:ascii="Arial" w:hAnsi="Arial" w:eastAsia="Arial" w:cs="Arial"/>
          <w:spacing w:val="-25"/>
          <w:position w:val="2"/>
          <w:sz w:val="19"/>
          <w:szCs w:val="19"/>
        </w:rPr>
        <w:t xml:space="preserve"> </w:t>
      </w:r>
      <w:r>
        <w:rPr>
          <w:rFonts w:ascii="Arial" w:hAnsi="Arial" w:eastAsia="Arial" w:cs="Arial"/>
          <w:spacing w:val="-10"/>
          <w:position w:val="2"/>
          <w:sz w:val="19"/>
          <w:szCs w:val="19"/>
        </w:rPr>
        <w:t>.</w:t>
      </w:r>
      <w:r>
        <w:rPr>
          <w:rFonts w:ascii="Arial" w:hAnsi="Arial" w:eastAsia="Arial" w:cs="Arial"/>
          <w:spacing w:val="26"/>
          <w:w w:val="101"/>
          <w:position w:val="2"/>
          <w:sz w:val="19"/>
          <w:szCs w:val="19"/>
        </w:rPr>
        <w:t xml:space="preserve"> </w:t>
      </w:r>
      <w:r>
        <w:rPr>
          <w:rFonts w:ascii="Arial" w:hAnsi="Arial" w:eastAsia="Arial" w:cs="Arial"/>
          <w:spacing w:val="-10"/>
          <w:position w:val="2"/>
          <w:sz w:val="19"/>
          <w:szCs w:val="19"/>
        </w:rPr>
        <w:t>No.</w:t>
      </w:r>
      <w:r>
        <w:rPr>
          <w:rFonts w:ascii="Arial" w:hAnsi="Arial" w:eastAsia="Arial" w:cs="Arial"/>
          <w:spacing w:val="30"/>
          <w:position w:val="2"/>
          <w:sz w:val="19"/>
          <w:szCs w:val="19"/>
        </w:rPr>
        <w:t xml:space="preserve"> </w:t>
      </w:r>
      <w:r>
        <w:rPr>
          <w:rFonts w:ascii="Arial" w:hAnsi="Arial" w:eastAsia="Arial" w:cs="Arial"/>
          <w:spacing w:val="-10"/>
          <w:position w:val="2"/>
          <w:sz w:val="19"/>
          <w:szCs w:val="19"/>
        </w:rPr>
        <w:t>9</w:t>
      </w:r>
    </w:p>
    <w:p>
      <w:pPr>
        <w:spacing w:line="224" w:lineRule="exact"/>
        <w:rPr>
          <w:rFonts w:ascii="Arial" w:hAnsi="Arial" w:eastAsia="Arial" w:cs="Arial"/>
          <w:sz w:val="19"/>
          <w:szCs w:val="19"/>
        </w:rPr>
        <w:sectPr>
          <w:type w:val="continuous"/>
          <w:pgSz w:w="12246" w:h="16498"/>
          <w:pgMar w:top="400" w:right="1249" w:bottom="547" w:left="407" w:header="0" w:footer="354" w:gutter="0"/>
          <w:cols w:equalWidth="0" w:num="3">
            <w:col w:w="4506" w:space="100"/>
            <w:col w:w="4421" w:space="100"/>
            <w:col w:w="1463"/>
          </w:cols>
        </w:sectPr>
      </w:pPr>
    </w:p>
    <w:p>
      <w:pPr>
        <w:spacing w:before="218" w:line="740" w:lineRule="exact"/>
        <w:ind w:left="1121"/>
        <w:rPr>
          <w:rFonts w:ascii="微软雅黑" w:hAnsi="微软雅黑" w:eastAsia="微软雅黑" w:cs="微软雅黑"/>
          <w:sz w:val="39"/>
          <w:szCs w:val="39"/>
        </w:rPr>
      </w:pPr>
      <w:r>
        <w:rPr>
          <w:rFonts w:ascii="微软雅黑" w:hAnsi="微软雅黑" w:eastAsia="微软雅黑" w:cs="微软雅黑"/>
          <w:spacing w:val="27"/>
          <w:position w:val="24"/>
          <w:sz w:val="39"/>
          <w:szCs w:val="39"/>
        </w:rPr>
        <w:t>基于战略规划导向的高校质量文化建设实践与思考</w:t>
      </w:r>
    </w:p>
    <w:p>
      <w:pPr>
        <w:spacing w:before="1" w:line="185" w:lineRule="auto"/>
        <w:ind w:left="4847"/>
        <w:rPr>
          <w:rFonts w:ascii="微软雅黑" w:hAnsi="微软雅黑" w:eastAsia="微软雅黑" w:cs="微软雅黑"/>
          <w:sz w:val="26"/>
          <w:szCs w:val="26"/>
        </w:rPr>
      </w:pPr>
      <w:r>
        <w:rPr>
          <w:rFonts w:ascii="微软雅黑" w:hAnsi="微软雅黑" w:eastAsia="微软雅黑" w:cs="微软雅黑"/>
          <w:spacing w:val="-8"/>
          <w:sz w:val="26"/>
          <w:szCs w:val="26"/>
        </w:rPr>
        <w:t>罗俊艳，许燕燕</w:t>
      </w:r>
    </w:p>
    <w:p>
      <w:pPr>
        <w:spacing w:before="164" w:line="183" w:lineRule="auto"/>
        <w:ind w:left="2942"/>
        <w:rPr>
          <w:rFonts w:ascii="微软雅黑" w:hAnsi="微软雅黑" w:eastAsia="微软雅黑" w:cs="微软雅黑"/>
          <w:sz w:val="19"/>
          <w:szCs w:val="19"/>
        </w:rPr>
      </w:pPr>
      <w:r>
        <w:rPr>
          <w:rFonts w:ascii="微软雅黑" w:hAnsi="微软雅黑" w:eastAsia="微软雅黑" w:cs="微软雅黑"/>
          <w:spacing w:val="9"/>
          <w:sz w:val="19"/>
          <w:szCs w:val="19"/>
        </w:rPr>
        <w:t>（西安欧亚学院</w:t>
      </w:r>
      <w:r>
        <w:rPr>
          <w:rFonts w:ascii="微软雅黑" w:hAnsi="微软雅黑" w:eastAsia="微软雅黑" w:cs="微软雅黑"/>
          <w:spacing w:val="5"/>
          <w:sz w:val="19"/>
          <w:szCs w:val="19"/>
        </w:rPr>
        <w:t xml:space="preserve">    </w:t>
      </w:r>
      <w:r>
        <w:rPr>
          <w:rFonts w:ascii="微软雅黑" w:hAnsi="微软雅黑" w:eastAsia="微软雅黑" w:cs="微软雅黑"/>
          <w:spacing w:val="9"/>
          <w:sz w:val="19"/>
          <w:szCs w:val="19"/>
        </w:rPr>
        <w:t>教学质量评估中心，陕西</w:t>
      </w:r>
      <w:r>
        <w:rPr>
          <w:rFonts w:ascii="微软雅黑" w:hAnsi="微软雅黑" w:eastAsia="微软雅黑" w:cs="微软雅黑"/>
          <w:spacing w:val="1"/>
          <w:sz w:val="19"/>
          <w:szCs w:val="19"/>
        </w:rPr>
        <w:t xml:space="preserve">    </w:t>
      </w:r>
      <w:r>
        <w:rPr>
          <w:rFonts w:ascii="微软雅黑" w:hAnsi="微软雅黑" w:eastAsia="微软雅黑" w:cs="微软雅黑"/>
          <w:spacing w:val="9"/>
          <w:sz w:val="19"/>
          <w:szCs w:val="19"/>
        </w:rPr>
        <w:t>西安</w:t>
      </w:r>
      <w:r>
        <w:rPr>
          <w:rFonts w:ascii="微软雅黑" w:hAnsi="微软雅黑" w:eastAsia="微软雅黑" w:cs="微软雅黑"/>
          <w:spacing w:val="2"/>
          <w:sz w:val="19"/>
          <w:szCs w:val="19"/>
        </w:rPr>
        <w:t xml:space="preserve">    </w:t>
      </w:r>
      <w:r>
        <w:rPr>
          <w:rFonts w:ascii="Arial" w:hAnsi="Arial" w:eastAsia="Arial" w:cs="Arial"/>
          <w:spacing w:val="9"/>
          <w:position w:val="-1"/>
          <w:sz w:val="19"/>
          <w:szCs w:val="19"/>
        </w:rPr>
        <w:t>710065</w:t>
      </w:r>
      <w:r>
        <w:rPr>
          <w:rFonts w:ascii="微软雅黑" w:hAnsi="微软雅黑" w:eastAsia="微软雅黑" w:cs="微软雅黑"/>
          <w:spacing w:val="9"/>
          <w:position w:val="-1"/>
          <w:sz w:val="19"/>
          <w:szCs w:val="19"/>
        </w:rPr>
        <w:t>)</w:t>
      </w:r>
    </w:p>
    <w:p>
      <w:pPr>
        <w:spacing w:before="163" w:line="232" w:lineRule="auto"/>
        <w:ind w:left="904" w:right="52" w:firstLine="4"/>
        <w:jc w:val="both"/>
        <w:rPr>
          <w:rFonts w:ascii="微软雅黑" w:hAnsi="微软雅黑" w:eastAsia="微软雅黑" w:cs="微软雅黑"/>
          <w:sz w:val="16"/>
          <w:szCs w:val="16"/>
        </w:rPr>
      </w:pPr>
      <w:r>
        <w:rPr>
          <w:rFonts w:ascii="微软雅黑" w:hAnsi="微软雅黑" w:eastAsia="微软雅黑" w:cs="微软雅黑"/>
          <w:spacing w:val="4"/>
          <w:sz w:val="16"/>
          <w:szCs w:val="16"/>
        </w:rPr>
        <w:t>摘要：通过学习借鉴欧洲大学协会(</w:t>
      </w:r>
      <w:r>
        <w:rPr>
          <w:rFonts w:ascii="Arial" w:hAnsi="Arial" w:eastAsia="Arial" w:cs="Arial"/>
          <w:sz w:val="16"/>
          <w:szCs w:val="16"/>
        </w:rPr>
        <w:t>EUA</w:t>
      </w:r>
      <w:r>
        <w:rPr>
          <w:rFonts w:ascii="微软雅黑" w:hAnsi="微软雅黑" w:eastAsia="微软雅黑" w:cs="微软雅黑"/>
          <w:spacing w:val="4"/>
          <w:sz w:val="16"/>
          <w:szCs w:val="16"/>
        </w:rPr>
        <w:t>)</w:t>
      </w:r>
      <w:r>
        <w:rPr>
          <w:rFonts w:ascii="微软雅黑" w:hAnsi="微软雅黑" w:eastAsia="微软雅黑" w:cs="微软雅黑"/>
          <w:spacing w:val="5"/>
          <w:sz w:val="16"/>
          <w:szCs w:val="16"/>
        </w:rPr>
        <w:t xml:space="preserve"> </w:t>
      </w:r>
      <w:r>
        <w:rPr>
          <w:rFonts w:ascii="微软雅黑" w:hAnsi="微软雅黑" w:eastAsia="微软雅黑" w:cs="微软雅黑"/>
          <w:spacing w:val="4"/>
          <w:sz w:val="16"/>
          <w:szCs w:val="16"/>
        </w:rPr>
        <w:t>质</w:t>
      </w:r>
      <w:r>
        <w:rPr>
          <w:rFonts w:ascii="微软雅黑" w:hAnsi="微软雅黑" w:eastAsia="微软雅黑" w:cs="微软雅黑"/>
          <w:spacing w:val="-23"/>
          <w:sz w:val="16"/>
          <w:szCs w:val="16"/>
        </w:rPr>
        <w:t xml:space="preserve"> </w:t>
      </w:r>
      <w:r>
        <w:rPr>
          <w:rFonts w:ascii="微软雅黑" w:hAnsi="微软雅黑" w:eastAsia="微软雅黑" w:cs="微软雅黑"/>
          <w:spacing w:val="4"/>
          <w:sz w:val="16"/>
          <w:szCs w:val="16"/>
        </w:rPr>
        <w:t>量</w:t>
      </w:r>
      <w:r>
        <w:rPr>
          <w:rFonts w:ascii="微软雅黑" w:hAnsi="微软雅黑" w:eastAsia="微软雅黑" w:cs="微软雅黑"/>
          <w:spacing w:val="-15"/>
          <w:sz w:val="16"/>
          <w:szCs w:val="16"/>
        </w:rPr>
        <w:t xml:space="preserve"> </w:t>
      </w:r>
      <w:r>
        <w:rPr>
          <w:rFonts w:ascii="微软雅黑" w:hAnsi="微软雅黑" w:eastAsia="微软雅黑" w:cs="微软雅黑"/>
          <w:spacing w:val="4"/>
          <w:sz w:val="16"/>
          <w:szCs w:val="16"/>
        </w:rPr>
        <w:t>文</w:t>
      </w:r>
      <w:r>
        <w:rPr>
          <w:rFonts w:ascii="微软雅黑" w:hAnsi="微软雅黑" w:eastAsia="微软雅黑" w:cs="微软雅黑"/>
          <w:spacing w:val="-22"/>
          <w:sz w:val="16"/>
          <w:szCs w:val="16"/>
        </w:rPr>
        <w:t xml:space="preserve"> </w:t>
      </w:r>
      <w:r>
        <w:rPr>
          <w:rFonts w:ascii="微软雅黑" w:hAnsi="微软雅黑" w:eastAsia="微软雅黑" w:cs="微软雅黑"/>
          <w:spacing w:val="4"/>
          <w:sz w:val="16"/>
          <w:szCs w:val="16"/>
        </w:rPr>
        <w:t>化</w:t>
      </w:r>
      <w:r>
        <w:rPr>
          <w:rFonts w:ascii="微软雅黑" w:hAnsi="微软雅黑" w:eastAsia="微软雅黑" w:cs="微软雅黑"/>
          <w:spacing w:val="-23"/>
          <w:sz w:val="16"/>
          <w:szCs w:val="16"/>
        </w:rPr>
        <w:t xml:space="preserve"> </w:t>
      </w:r>
      <w:r>
        <w:rPr>
          <w:rFonts w:ascii="微软雅黑" w:hAnsi="微软雅黑" w:eastAsia="微软雅黑" w:cs="微软雅黑"/>
          <w:spacing w:val="4"/>
          <w:sz w:val="16"/>
          <w:szCs w:val="16"/>
        </w:rPr>
        <w:t>计</w:t>
      </w:r>
      <w:r>
        <w:rPr>
          <w:rFonts w:ascii="微软雅黑" w:hAnsi="微软雅黑" w:eastAsia="微软雅黑" w:cs="微软雅黑"/>
          <w:spacing w:val="-16"/>
          <w:sz w:val="16"/>
          <w:szCs w:val="16"/>
        </w:rPr>
        <w:t xml:space="preserve"> </w:t>
      </w:r>
      <w:r>
        <w:rPr>
          <w:rFonts w:ascii="微软雅黑" w:hAnsi="微软雅黑" w:eastAsia="微软雅黑" w:cs="微软雅黑"/>
          <w:spacing w:val="4"/>
          <w:sz w:val="16"/>
          <w:szCs w:val="16"/>
        </w:rPr>
        <w:t>划</w:t>
      </w:r>
      <w:r>
        <w:rPr>
          <w:rFonts w:ascii="微软雅黑" w:hAnsi="微软雅黑" w:eastAsia="微软雅黑" w:cs="微软雅黑"/>
          <w:spacing w:val="-11"/>
          <w:sz w:val="16"/>
          <w:szCs w:val="16"/>
        </w:rPr>
        <w:t xml:space="preserve"> </w:t>
      </w:r>
      <w:r>
        <w:rPr>
          <w:rFonts w:ascii="微软雅黑" w:hAnsi="微软雅黑" w:eastAsia="微软雅黑" w:cs="微软雅黑"/>
          <w:spacing w:val="4"/>
          <w:sz w:val="16"/>
          <w:szCs w:val="16"/>
        </w:rPr>
        <w:t>的</w:t>
      </w:r>
      <w:r>
        <w:rPr>
          <w:rFonts w:ascii="微软雅黑" w:hAnsi="微软雅黑" w:eastAsia="微软雅黑" w:cs="微软雅黑"/>
          <w:spacing w:val="-14"/>
          <w:sz w:val="16"/>
          <w:szCs w:val="16"/>
        </w:rPr>
        <w:t xml:space="preserve"> </w:t>
      </w:r>
      <w:r>
        <w:rPr>
          <w:rFonts w:ascii="微软雅黑" w:hAnsi="微软雅黑" w:eastAsia="微软雅黑" w:cs="微软雅黑"/>
          <w:spacing w:val="4"/>
          <w:sz w:val="16"/>
          <w:szCs w:val="16"/>
        </w:rPr>
        <w:t>经</w:t>
      </w:r>
      <w:r>
        <w:rPr>
          <w:rFonts w:ascii="微软雅黑" w:hAnsi="微软雅黑" w:eastAsia="微软雅黑" w:cs="微软雅黑"/>
          <w:spacing w:val="-22"/>
          <w:sz w:val="16"/>
          <w:szCs w:val="16"/>
        </w:rPr>
        <w:t xml:space="preserve"> </w:t>
      </w:r>
      <w:r>
        <w:rPr>
          <w:rFonts w:ascii="微软雅黑" w:hAnsi="微软雅黑" w:eastAsia="微软雅黑" w:cs="微软雅黑"/>
          <w:spacing w:val="4"/>
          <w:sz w:val="16"/>
          <w:szCs w:val="16"/>
        </w:rPr>
        <w:t>验</w:t>
      </w:r>
      <w:r>
        <w:rPr>
          <w:rFonts w:ascii="微软雅黑" w:hAnsi="微软雅黑" w:eastAsia="微软雅黑" w:cs="微软雅黑"/>
          <w:spacing w:val="-24"/>
          <w:sz w:val="16"/>
          <w:szCs w:val="16"/>
        </w:rPr>
        <w:t xml:space="preserve"> </w:t>
      </w:r>
      <w:r>
        <w:rPr>
          <w:rFonts w:ascii="微软雅黑" w:hAnsi="微软雅黑" w:eastAsia="微软雅黑" w:cs="微软雅黑"/>
          <w:spacing w:val="4"/>
          <w:sz w:val="16"/>
          <w:szCs w:val="16"/>
        </w:rPr>
        <w:t>及</w:t>
      </w:r>
      <w:r>
        <w:rPr>
          <w:rFonts w:ascii="微软雅黑" w:hAnsi="微软雅黑" w:eastAsia="微软雅黑" w:cs="微软雅黑"/>
          <w:spacing w:val="-20"/>
          <w:sz w:val="16"/>
          <w:szCs w:val="16"/>
        </w:rPr>
        <w:t xml:space="preserve"> </w:t>
      </w:r>
      <w:r>
        <w:rPr>
          <w:rFonts w:ascii="微软雅黑" w:hAnsi="微软雅黑" w:eastAsia="微软雅黑" w:cs="微软雅黑"/>
          <w:spacing w:val="4"/>
          <w:sz w:val="16"/>
          <w:szCs w:val="16"/>
        </w:rPr>
        <w:t>成</w:t>
      </w:r>
      <w:r>
        <w:rPr>
          <w:rFonts w:ascii="微软雅黑" w:hAnsi="微软雅黑" w:eastAsia="微软雅黑" w:cs="微软雅黑"/>
          <w:spacing w:val="-20"/>
          <w:sz w:val="16"/>
          <w:szCs w:val="16"/>
        </w:rPr>
        <w:t xml:space="preserve"> </w:t>
      </w:r>
      <w:r>
        <w:rPr>
          <w:rFonts w:ascii="微软雅黑" w:hAnsi="微软雅黑" w:eastAsia="微软雅黑" w:cs="微软雅黑"/>
          <w:spacing w:val="4"/>
          <w:sz w:val="16"/>
          <w:szCs w:val="16"/>
        </w:rPr>
        <w:t>果，将</w:t>
      </w:r>
      <w:r>
        <w:rPr>
          <w:rFonts w:ascii="微软雅黑" w:hAnsi="微软雅黑" w:eastAsia="微软雅黑" w:cs="微软雅黑"/>
          <w:spacing w:val="-21"/>
          <w:sz w:val="16"/>
          <w:szCs w:val="16"/>
        </w:rPr>
        <w:t xml:space="preserve"> </w:t>
      </w:r>
      <w:r>
        <w:rPr>
          <w:rFonts w:ascii="微软雅黑" w:hAnsi="微软雅黑" w:eastAsia="微软雅黑" w:cs="微软雅黑"/>
          <w:spacing w:val="4"/>
          <w:sz w:val="16"/>
          <w:szCs w:val="16"/>
        </w:rPr>
        <w:t>质</w:t>
      </w:r>
      <w:r>
        <w:rPr>
          <w:rFonts w:ascii="微软雅黑" w:hAnsi="微软雅黑" w:eastAsia="微软雅黑" w:cs="微软雅黑"/>
          <w:spacing w:val="-23"/>
          <w:sz w:val="16"/>
          <w:szCs w:val="16"/>
        </w:rPr>
        <w:t xml:space="preserve"> </w:t>
      </w:r>
      <w:r>
        <w:rPr>
          <w:rFonts w:ascii="微软雅黑" w:hAnsi="微软雅黑" w:eastAsia="微软雅黑" w:cs="微软雅黑"/>
          <w:spacing w:val="4"/>
          <w:sz w:val="16"/>
          <w:szCs w:val="16"/>
        </w:rPr>
        <w:t>量</w:t>
      </w:r>
      <w:r>
        <w:rPr>
          <w:rFonts w:ascii="微软雅黑" w:hAnsi="微软雅黑" w:eastAsia="微软雅黑" w:cs="微软雅黑"/>
          <w:spacing w:val="-15"/>
          <w:sz w:val="16"/>
          <w:szCs w:val="16"/>
        </w:rPr>
        <w:t xml:space="preserve"> </w:t>
      </w:r>
      <w:r>
        <w:rPr>
          <w:rFonts w:ascii="微软雅黑" w:hAnsi="微软雅黑" w:eastAsia="微软雅黑" w:cs="微软雅黑"/>
          <w:spacing w:val="4"/>
          <w:sz w:val="16"/>
          <w:szCs w:val="16"/>
        </w:rPr>
        <w:t>文</w:t>
      </w:r>
      <w:r>
        <w:rPr>
          <w:rFonts w:ascii="微软雅黑" w:hAnsi="微软雅黑" w:eastAsia="微软雅黑" w:cs="微软雅黑"/>
          <w:spacing w:val="-22"/>
          <w:sz w:val="16"/>
          <w:szCs w:val="16"/>
        </w:rPr>
        <w:t xml:space="preserve"> </w:t>
      </w:r>
      <w:r>
        <w:rPr>
          <w:rFonts w:ascii="微软雅黑" w:hAnsi="微软雅黑" w:eastAsia="微软雅黑" w:cs="微软雅黑"/>
          <w:spacing w:val="4"/>
          <w:sz w:val="16"/>
          <w:szCs w:val="16"/>
        </w:rPr>
        <w:t>化</w:t>
      </w:r>
      <w:r>
        <w:rPr>
          <w:rFonts w:ascii="微软雅黑" w:hAnsi="微软雅黑" w:eastAsia="微软雅黑" w:cs="微软雅黑"/>
          <w:spacing w:val="-14"/>
          <w:sz w:val="16"/>
          <w:szCs w:val="16"/>
        </w:rPr>
        <w:t xml:space="preserve"> </w:t>
      </w:r>
      <w:r>
        <w:rPr>
          <w:rFonts w:ascii="微软雅黑" w:hAnsi="微软雅黑" w:eastAsia="微软雅黑" w:cs="微软雅黑"/>
          <w:spacing w:val="4"/>
          <w:sz w:val="16"/>
          <w:szCs w:val="16"/>
        </w:rPr>
        <w:t>定</w:t>
      </w:r>
      <w:r>
        <w:rPr>
          <w:rFonts w:ascii="微软雅黑" w:hAnsi="微软雅黑" w:eastAsia="微软雅黑" w:cs="微软雅黑"/>
          <w:spacing w:val="-17"/>
          <w:sz w:val="16"/>
          <w:szCs w:val="16"/>
        </w:rPr>
        <w:t xml:space="preserve"> </w:t>
      </w:r>
      <w:r>
        <w:rPr>
          <w:rFonts w:ascii="微软雅黑" w:hAnsi="微软雅黑" w:eastAsia="微软雅黑" w:cs="微软雅黑"/>
          <w:spacing w:val="4"/>
          <w:sz w:val="16"/>
          <w:szCs w:val="16"/>
        </w:rPr>
        <w:t>义</w:t>
      </w:r>
      <w:r>
        <w:rPr>
          <w:rFonts w:ascii="微软雅黑" w:hAnsi="微软雅黑" w:eastAsia="微软雅黑" w:cs="微软雅黑"/>
          <w:spacing w:val="-13"/>
          <w:sz w:val="16"/>
          <w:szCs w:val="16"/>
        </w:rPr>
        <w:t xml:space="preserve"> </w:t>
      </w:r>
      <w:r>
        <w:rPr>
          <w:rFonts w:ascii="微软雅黑" w:hAnsi="微软雅黑" w:eastAsia="微软雅黑" w:cs="微软雅黑"/>
          <w:spacing w:val="4"/>
          <w:sz w:val="16"/>
          <w:szCs w:val="16"/>
        </w:rPr>
        <w:t>为</w:t>
      </w:r>
      <w:r>
        <w:rPr>
          <w:rFonts w:ascii="微软雅黑" w:hAnsi="微软雅黑" w:eastAsia="微软雅黑" w:cs="微软雅黑"/>
          <w:spacing w:val="-19"/>
          <w:sz w:val="16"/>
          <w:szCs w:val="16"/>
        </w:rPr>
        <w:t xml:space="preserve"> </w:t>
      </w:r>
      <w:r>
        <w:rPr>
          <w:rFonts w:ascii="微软雅黑" w:hAnsi="微软雅黑" w:eastAsia="微软雅黑" w:cs="微软雅黑"/>
          <w:spacing w:val="4"/>
          <w:sz w:val="16"/>
          <w:szCs w:val="16"/>
        </w:rPr>
        <w:t>质</w:t>
      </w:r>
      <w:r>
        <w:rPr>
          <w:rFonts w:ascii="微软雅黑" w:hAnsi="微软雅黑" w:eastAsia="微软雅黑" w:cs="微软雅黑"/>
          <w:spacing w:val="-21"/>
          <w:sz w:val="16"/>
          <w:szCs w:val="16"/>
        </w:rPr>
        <w:t xml:space="preserve"> </w:t>
      </w:r>
      <w:r>
        <w:rPr>
          <w:rFonts w:ascii="微软雅黑" w:hAnsi="微软雅黑" w:eastAsia="微软雅黑" w:cs="微软雅黑"/>
          <w:spacing w:val="4"/>
          <w:sz w:val="16"/>
          <w:szCs w:val="16"/>
        </w:rPr>
        <w:t>量</w:t>
      </w:r>
      <w:r>
        <w:rPr>
          <w:rFonts w:ascii="微软雅黑" w:hAnsi="微软雅黑" w:eastAsia="微软雅黑" w:cs="微软雅黑"/>
          <w:spacing w:val="-19"/>
          <w:sz w:val="16"/>
          <w:szCs w:val="16"/>
        </w:rPr>
        <w:t xml:space="preserve"> </w:t>
      </w:r>
      <w:r>
        <w:rPr>
          <w:rFonts w:ascii="微软雅黑" w:hAnsi="微软雅黑" w:eastAsia="微软雅黑" w:cs="微软雅黑"/>
          <w:spacing w:val="4"/>
          <w:sz w:val="16"/>
          <w:szCs w:val="16"/>
        </w:rPr>
        <w:t>承</w:t>
      </w:r>
      <w:r>
        <w:rPr>
          <w:rFonts w:ascii="微软雅黑" w:hAnsi="微软雅黑" w:eastAsia="微软雅黑" w:cs="微软雅黑"/>
          <w:spacing w:val="-23"/>
          <w:sz w:val="16"/>
          <w:szCs w:val="16"/>
        </w:rPr>
        <w:t xml:space="preserve"> </w:t>
      </w:r>
      <w:r>
        <w:rPr>
          <w:rFonts w:ascii="微软雅黑" w:hAnsi="微软雅黑" w:eastAsia="微软雅黑" w:cs="微软雅黑"/>
          <w:spacing w:val="4"/>
          <w:sz w:val="16"/>
          <w:szCs w:val="16"/>
        </w:rPr>
        <w:t>诺</w:t>
      </w:r>
      <w:r>
        <w:rPr>
          <w:rFonts w:ascii="微软雅黑" w:hAnsi="微软雅黑" w:eastAsia="微软雅黑" w:cs="微软雅黑"/>
          <w:spacing w:val="-22"/>
          <w:sz w:val="16"/>
          <w:szCs w:val="16"/>
        </w:rPr>
        <w:t xml:space="preserve"> </w:t>
      </w:r>
      <w:r>
        <w:rPr>
          <w:rFonts w:ascii="微软雅黑" w:hAnsi="微软雅黑" w:eastAsia="微软雅黑" w:cs="微软雅黑"/>
          <w:spacing w:val="4"/>
          <w:sz w:val="16"/>
          <w:szCs w:val="16"/>
        </w:rPr>
        <w:t>和</w:t>
      </w:r>
      <w:r>
        <w:rPr>
          <w:rFonts w:ascii="微软雅黑" w:hAnsi="微软雅黑" w:eastAsia="微软雅黑" w:cs="微软雅黑"/>
          <w:spacing w:val="-19"/>
          <w:sz w:val="16"/>
          <w:szCs w:val="16"/>
        </w:rPr>
        <w:t xml:space="preserve"> </w:t>
      </w:r>
      <w:r>
        <w:rPr>
          <w:rFonts w:ascii="微软雅黑" w:hAnsi="微软雅黑" w:eastAsia="微软雅黑" w:cs="微软雅黑"/>
          <w:spacing w:val="4"/>
          <w:sz w:val="16"/>
          <w:szCs w:val="16"/>
        </w:rPr>
        <w:t>质</w:t>
      </w:r>
      <w:r>
        <w:rPr>
          <w:rFonts w:ascii="微软雅黑" w:hAnsi="微软雅黑" w:eastAsia="微软雅黑" w:cs="微软雅黑"/>
          <w:spacing w:val="-21"/>
          <w:sz w:val="16"/>
          <w:szCs w:val="16"/>
        </w:rPr>
        <w:t xml:space="preserve"> </w:t>
      </w:r>
      <w:r>
        <w:rPr>
          <w:rFonts w:ascii="微软雅黑" w:hAnsi="微软雅黑" w:eastAsia="微软雅黑" w:cs="微软雅黑"/>
          <w:spacing w:val="4"/>
          <w:sz w:val="16"/>
          <w:szCs w:val="16"/>
        </w:rPr>
        <w:t>量</w:t>
      </w:r>
      <w:r>
        <w:rPr>
          <w:rFonts w:ascii="微软雅黑" w:hAnsi="微软雅黑" w:eastAsia="微软雅黑" w:cs="微软雅黑"/>
          <w:spacing w:val="-9"/>
          <w:sz w:val="16"/>
          <w:szCs w:val="16"/>
        </w:rPr>
        <w:t xml:space="preserve"> </w:t>
      </w:r>
      <w:r>
        <w:rPr>
          <w:rFonts w:ascii="微软雅黑" w:hAnsi="微软雅黑" w:eastAsia="微软雅黑" w:cs="微软雅黑"/>
          <w:spacing w:val="4"/>
          <w:sz w:val="16"/>
          <w:szCs w:val="16"/>
        </w:rPr>
        <w:t>管</w:t>
      </w:r>
      <w:r>
        <w:rPr>
          <w:rFonts w:ascii="微软雅黑" w:hAnsi="微软雅黑" w:eastAsia="微软雅黑" w:cs="微软雅黑"/>
          <w:spacing w:val="-19"/>
          <w:sz w:val="16"/>
          <w:szCs w:val="16"/>
        </w:rPr>
        <w:t xml:space="preserve"> </w:t>
      </w:r>
      <w:r>
        <w:rPr>
          <w:rFonts w:ascii="微软雅黑" w:hAnsi="微软雅黑" w:eastAsia="微软雅黑" w:cs="微软雅黑"/>
          <w:spacing w:val="4"/>
          <w:sz w:val="16"/>
          <w:szCs w:val="16"/>
        </w:rPr>
        <w:t>理</w:t>
      </w:r>
      <w:r>
        <w:rPr>
          <w:rFonts w:ascii="微软雅黑" w:hAnsi="微软雅黑" w:eastAsia="微软雅黑" w:cs="微软雅黑"/>
          <w:spacing w:val="-8"/>
          <w:sz w:val="16"/>
          <w:szCs w:val="16"/>
        </w:rPr>
        <w:t xml:space="preserve"> </w:t>
      </w:r>
      <w:r>
        <w:rPr>
          <w:rFonts w:ascii="微软雅黑" w:hAnsi="微软雅黑" w:eastAsia="微软雅黑" w:cs="微软雅黑"/>
          <w:spacing w:val="4"/>
          <w:sz w:val="16"/>
          <w:szCs w:val="16"/>
        </w:rPr>
        <w:t>两</w:t>
      </w:r>
      <w:r>
        <w:rPr>
          <w:rFonts w:ascii="微软雅黑" w:hAnsi="微软雅黑" w:eastAsia="微软雅黑" w:cs="微软雅黑"/>
          <w:spacing w:val="-14"/>
          <w:sz w:val="16"/>
          <w:szCs w:val="16"/>
        </w:rPr>
        <w:t xml:space="preserve"> </w:t>
      </w:r>
      <w:r>
        <w:rPr>
          <w:rFonts w:ascii="微软雅黑" w:hAnsi="微软雅黑" w:eastAsia="微软雅黑" w:cs="微软雅黑"/>
          <w:spacing w:val="4"/>
          <w:sz w:val="16"/>
          <w:szCs w:val="16"/>
        </w:rPr>
        <w:t>个</w:t>
      </w:r>
      <w:r>
        <w:rPr>
          <w:rFonts w:ascii="微软雅黑" w:hAnsi="微软雅黑" w:eastAsia="微软雅黑" w:cs="微软雅黑"/>
          <w:spacing w:val="-16"/>
          <w:sz w:val="16"/>
          <w:szCs w:val="16"/>
        </w:rPr>
        <w:t xml:space="preserve"> </w:t>
      </w:r>
      <w:r>
        <w:rPr>
          <w:rFonts w:ascii="微软雅黑" w:hAnsi="微软雅黑" w:eastAsia="微软雅黑" w:cs="微软雅黑"/>
          <w:spacing w:val="4"/>
          <w:sz w:val="16"/>
          <w:szCs w:val="16"/>
        </w:rPr>
        <w:t>组</w:t>
      </w:r>
      <w:r>
        <w:rPr>
          <w:rFonts w:ascii="微软雅黑" w:hAnsi="微软雅黑" w:eastAsia="微软雅黑" w:cs="微软雅黑"/>
          <w:spacing w:val="-18"/>
          <w:sz w:val="16"/>
          <w:szCs w:val="16"/>
        </w:rPr>
        <w:t xml:space="preserve"> </w:t>
      </w:r>
      <w:r>
        <w:rPr>
          <w:rFonts w:ascii="微软雅黑" w:hAnsi="微软雅黑" w:eastAsia="微软雅黑" w:cs="微软雅黑"/>
          <w:spacing w:val="4"/>
          <w:sz w:val="16"/>
          <w:szCs w:val="16"/>
        </w:rPr>
        <w:t>成</w:t>
      </w:r>
      <w:r>
        <w:rPr>
          <w:rFonts w:ascii="微软雅黑" w:hAnsi="微软雅黑" w:eastAsia="微软雅黑" w:cs="微软雅黑"/>
          <w:spacing w:val="-23"/>
          <w:sz w:val="16"/>
          <w:szCs w:val="16"/>
        </w:rPr>
        <w:t xml:space="preserve"> </w:t>
      </w:r>
      <w:r>
        <w:rPr>
          <w:rFonts w:ascii="微软雅黑" w:hAnsi="微软雅黑" w:eastAsia="微软雅黑" w:cs="微软雅黑"/>
          <w:spacing w:val="4"/>
          <w:sz w:val="16"/>
          <w:szCs w:val="16"/>
        </w:rPr>
        <w:t>要</w:t>
      </w:r>
      <w:r>
        <w:rPr>
          <w:rFonts w:ascii="微软雅黑" w:hAnsi="微软雅黑" w:eastAsia="微软雅黑" w:cs="微软雅黑"/>
          <w:sz w:val="16"/>
          <w:szCs w:val="16"/>
        </w:rPr>
        <w:t xml:space="preserve"> </w:t>
      </w:r>
      <w:r>
        <w:rPr>
          <w:rFonts w:ascii="微软雅黑" w:hAnsi="微软雅黑" w:eastAsia="微软雅黑" w:cs="微软雅黑"/>
          <w:spacing w:val="4"/>
          <w:sz w:val="16"/>
          <w:szCs w:val="16"/>
        </w:rPr>
        <w:t>素</w:t>
      </w:r>
      <w:r>
        <w:rPr>
          <w:rFonts w:ascii="微软雅黑" w:hAnsi="微软雅黑" w:eastAsia="微软雅黑" w:cs="微软雅黑"/>
          <w:spacing w:val="5"/>
          <w:sz w:val="16"/>
          <w:szCs w:val="16"/>
        </w:rPr>
        <w:t xml:space="preserve"> </w:t>
      </w:r>
      <w:r>
        <w:rPr>
          <w:rFonts w:ascii="微软雅黑" w:hAnsi="微软雅黑" w:eastAsia="微软雅黑" w:cs="微软雅黑"/>
          <w:spacing w:val="4"/>
          <w:sz w:val="16"/>
          <w:szCs w:val="16"/>
        </w:rPr>
        <w:t>。通过对学校某</w:t>
      </w:r>
      <w:r>
        <w:rPr>
          <w:rFonts w:ascii="微软雅黑" w:hAnsi="微软雅黑" w:eastAsia="微软雅黑" w:cs="微软雅黑"/>
          <w:spacing w:val="-27"/>
          <w:sz w:val="16"/>
          <w:szCs w:val="16"/>
        </w:rPr>
        <w:t xml:space="preserve"> </w:t>
      </w:r>
      <w:r>
        <w:rPr>
          <w:rFonts w:ascii="微软雅黑" w:hAnsi="微软雅黑" w:eastAsia="微软雅黑" w:cs="微软雅黑"/>
          <w:spacing w:val="4"/>
          <w:sz w:val="16"/>
          <w:szCs w:val="16"/>
        </w:rPr>
        <w:t>一</w:t>
      </w:r>
      <w:r>
        <w:rPr>
          <w:rFonts w:ascii="微软雅黑" w:hAnsi="微软雅黑" w:eastAsia="微软雅黑" w:cs="微软雅黑"/>
          <w:spacing w:val="-21"/>
          <w:sz w:val="16"/>
          <w:szCs w:val="16"/>
        </w:rPr>
        <w:t xml:space="preserve"> </w:t>
      </w:r>
      <w:r>
        <w:rPr>
          <w:rFonts w:ascii="微软雅黑" w:hAnsi="微软雅黑" w:eastAsia="微软雅黑" w:cs="微软雅黑"/>
          <w:spacing w:val="4"/>
          <w:sz w:val="16"/>
          <w:szCs w:val="16"/>
        </w:rPr>
        <w:t>战略阶段的质量文化的建设情况</w:t>
      </w:r>
      <w:r>
        <w:rPr>
          <w:rFonts w:ascii="微软雅黑" w:hAnsi="微软雅黑" w:eastAsia="微软雅黑" w:cs="微软雅黑"/>
          <w:spacing w:val="-22"/>
          <w:sz w:val="16"/>
          <w:szCs w:val="16"/>
        </w:rPr>
        <w:t xml:space="preserve"> </w:t>
      </w:r>
      <w:r>
        <w:rPr>
          <w:rFonts w:ascii="微软雅黑" w:hAnsi="微软雅黑" w:eastAsia="微软雅黑" w:cs="微软雅黑"/>
          <w:spacing w:val="4"/>
          <w:sz w:val="16"/>
          <w:szCs w:val="16"/>
        </w:rPr>
        <w:t>进</w:t>
      </w:r>
      <w:r>
        <w:rPr>
          <w:rFonts w:ascii="微软雅黑" w:hAnsi="微软雅黑" w:eastAsia="微软雅黑" w:cs="微软雅黑"/>
          <w:spacing w:val="-24"/>
          <w:sz w:val="16"/>
          <w:szCs w:val="16"/>
        </w:rPr>
        <w:t xml:space="preserve"> </w:t>
      </w:r>
      <w:r>
        <w:rPr>
          <w:rFonts w:ascii="微软雅黑" w:hAnsi="微软雅黑" w:eastAsia="微软雅黑" w:cs="微软雅黑"/>
          <w:spacing w:val="4"/>
          <w:sz w:val="16"/>
          <w:szCs w:val="16"/>
        </w:rPr>
        <w:t>行</w:t>
      </w:r>
      <w:r>
        <w:rPr>
          <w:rFonts w:ascii="微软雅黑" w:hAnsi="微软雅黑" w:eastAsia="微软雅黑" w:cs="微软雅黑"/>
          <w:spacing w:val="-20"/>
          <w:sz w:val="16"/>
          <w:szCs w:val="16"/>
        </w:rPr>
        <w:t xml:space="preserve"> </w:t>
      </w:r>
      <w:r>
        <w:rPr>
          <w:rFonts w:ascii="微软雅黑" w:hAnsi="微软雅黑" w:eastAsia="微软雅黑" w:cs="微软雅黑"/>
          <w:spacing w:val="4"/>
          <w:sz w:val="16"/>
          <w:szCs w:val="16"/>
        </w:rPr>
        <w:t>分</w:t>
      </w:r>
      <w:r>
        <w:rPr>
          <w:rFonts w:ascii="微软雅黑" w:hAnsi="微软雅黑" w:eastAsia="微软雅黑" w:cs="微软雅黑"/>
          <w:spacing w:val="-23"/>
          <w:sz w:val="16"/>
          <w:szCs w:val="16"/>
        </w:rPr>
        <w:t xml:space="preserve"> </w:t>
      </w:r>
      <w:r>
        <w:rPr>
          <w:rFonts w:ascii="微软雅黑" w:hAnsi="微软雅黑" w:eastAsia="微软雅黑" w:cs="微软雅黑"/>
          <w:spacing w:val="4"/>
          <w:sz w:val="16"/>
          <w:szCs w:val="16"/>
        </w:rPr>
        <w:t>析，从</w:t>
      </w:r>
      <w:r>
        <w:rPr>
          <w:rFonts w:ascii="微软雅黑" w:hAnsi="微软雅黑" w:eastAsia="微软雅黑" w:cs="微软雅黑"/>
          <w:spacing w:val="-8"/>
          <w:sz w:val="16"/>
          <w:szCs w:val="16"/>
        </w:rPr>
        <w:t xml:space="preserve"> </w:t>
      </w:r>
      <w:r>
        <w:rPr>
          <w:rFonts w:ascii="微软雅黑" w:hAnsi="微软雅黑" w:eastAsia="微软雅黑" w:cs="微软雅黑"/>
          <w:spacing w:val="4"/>
          <w:sz w:val="16"/>
          <w:szCs w:val="16"/>
        </w:rPr>
        <w:t>高</w:t>
      </w:r>
      <w:r>
        <w:rPr>
          <w:rFonts w:ascii="微软雅黑" w:hAnsi="微软雅黑" w:eastAsia="微软雅黑" w:cs="微软雅黑"/>
          <w:spacing w:val="-24"/>
          <w:sz w:val="16"/>
          <w:szCs w:val="16"/>
        </w:rPr>
        <w:t xml:space="preserve"> </w:t>
      </w:r>
      <w:r>
        <w:rPr>
          <w:rFonts w:ascii="微软雅黑" w:hAnsi="微软雅黑" w:eastAsia="微软雅黑" w:cs="微软雅黑"/>
          <w:spacing w:val="4"/>
          <w:sz w:val="16"/>
          <w:szCs w:val="16"/>
        </w:rPr>
        <w:t>校</w:t>
      </w:r>
      <w:r>
        <w:rPr>
          <w:rFonts w:ascii="微软雅黑" w:hAnsi="微软雅黑" w:eastAsia="微软雅黑" w:cs="微软雅黑"/>
          <w:spacing w:val="-15"/>
          <w:sz w:val="16"/>
          <w:szCs w:val="16"/>
        </w:rPr>
        <w:t xml:space="preserve"> </w:t>
      </w:r>
      <w:r>
        <w:rPr>
          <w:rFonts w:ascii="微软雅黑" w:hAnsi="微软雅黑" w:eastAsia="微软雅黑" w:cs="微软雅黑"/>
          <w:spacing w:val="4"/>
          <w:sz w:val="16"/>
          <w:szCs w:val="16"/>
        </w:rPr>
        <w:t>战</w:t>
      </w:r>
      <w:r>
        <w:rPr>
          <w:rFonts w:ascii="微软雅黑" w:hAnsi="微软雅黑" w:eastAsia="微软雅黑" w:cs="微软雅黑"/>
          <w:spacing w:val="-22"/>
          <w:sz w:val="16"/>
          <w:szCs w:val="16"/>
        </w:rPr>
        <w:t xml:space="preserve"> </w:t>
      </w:r>
      <w:r>
        <w:rPr>
          <w:rFonts w:ascii="微软雅黑" w:hAnsi="微软雅黑" w:eastAsia="微软雅黑" w:cs="微软雅黑"/>
          <w:spacing w:val="4"/>
          <w:sz w:val="16"/>
          <w:szCs w:val="16"/>
        </w:rPr>
        <w:t>略</w:t>
      </w:r>
      <w:r>
        <w:rPr>
          <w:rFonts w:ascii="微软雅黑" w:hAnsi="微软雅黑" w:eastAsia="微软雅黑" w:cs="微软雅黑"/>
          <w:spacing w:val="-26"/>
          <w:sz w:val="16"/>
          <w:szCs w:val="16"/>
        </w:rPr>
        <w:t xml:space="preserve"> </w:t>
      </w:r>
      <w:r>
        <w:rPr>
          <w:rFonts w:ascii="微软雅黑" w:hAnsi="微软雅黑" w:eastAsia="微软雅黑" w:cs="微软雅黑"/>
          <w:spacing w:val="4"/>
          <w:sz w:val="16"/>
          <w:szCs w:val="16"/>
        </w:rPr>
        <w:t>规</w:t>
      </w:r>
      <w:r>
        <w:rPr>
          <w:rFonts w:ascii="微软雅黑" w:hAnsi="微软雅黑" w:eastAsia="微软雅黑" w:cs="微软雅黑"/>
          <w:spacing w:val="-16"/>
          <w:sz w:val="16"/>
          <w:szCs w:val="16"/>
        </w:rPr>
        <w:t xml:space="preserve"> </w:t>
      </w:r>
      <w:r>
        <w:rPr>
          <w:rFonts w:ascii="微软雅黑" w:hAnsi="微软雅黑" w:eastAsia="微软雅黑" w:cs="微软雅黑"/>
          <w:spacing w:val="4"/>
          <w:sz w:val="16"/>
          <w:szCs w:val="16"/>
        </w:rPr>
        <w:t>划</w:t>
      </w:r>
      <w:r>
        <w:rPr>
          <w:rFonts w:ascii="微软雅黑" w:hAnsi="微软雅黑" w:eastAsia="微软雅黑" w:cs="微软雅黑"/>
          <w:spacing w:val="-11"/>
          <w:sz w:val="16"/>
          <w:szCs w:val="16"/>
        </w:rPr>
        <w:t xml:space="preserve"> </w:t>
      </w:r>
      <w:r>
        <w:rPr>
          <w:rFonts w:ascii="微软雅黑" w:hAnsi="微软雅黑" w:eastAsia="微软雅黑" w:cs="微软雅黑"/>
          <w:spacing w:val="4"/>
          <w:sz w:val="16"/>
          <w:szCs w:val="16"/>
        </w:rPr>
        <w:t>的</w:t>
      </w:r>
      <w:r>
        <w:rPr>
          <w:rFonts w:ascii="微软雅黑" w:hAnsi="微软雅黑" w:eastAsia="微软雅黑" w:cs="微软雅黑"/>
          <w:spacing w:val="-8"/>
          <w:sz w:val="16"/>
          <w:szCs w:val="16"/>
        </w:rPr>
        <w:t xml:space="preserve"> </w:t>
      </w:r>
      <w:r>
        <w:rPr>
          <w:rFonts w:ascii="微软雅黑" w:hAnsi="微软雅黑" w:eastAsia="微软雅黑" w:cs="微软雅黑"/>
          <w:spacing w:val="4"/>
          <w:sz w:val="16"/>
          <w:szCs w:val="16"/>
        </w:rPr>
        <w:t>角</w:t>
      </w:r>
      <w:r>
        <w:rPr>
          <w:rFonts w:ascii="微软雅黑" w:hAnsi="微软雅黑" w:eastAsia="微软雅黑" w:cs="微软雅黑"/>
          <w:spacing w:val="-23"/>
          <w:sz w:val="16"/>
          <w:szCs w:val="16"/>
        </w:rPr>
        <w:t xml:space="preserve"> </w:t>
      </w:r>
      <w:r>
        <w:rPr>
          <w:rFonts w:ascii="微软雅黑" w:hAnsi="微软雅黑" w:eastAsia="微软雅黑" w:cs="微软雅黑"/>
          <w:spacing w:val="4"/>
          <w:sz w:val="16"/>
          <w:szCs w:val="16"/>
        </w:rPr>
        <w:t>度</w:t>
      </w:r>
      <w:r>
        <w:rPr>
          <w:rFonts w:ascii="微软雅黑" w:hAnsi="微软雅黑" w:eastAsia="微软雅黑" w:cs="微软雅黑"/>
          <w:spacing w:val="-26"/>
          <w:sz w:val="16"/>
          <w:szCs w:val="16"/>
        </w:rPr>
        <w:t xml:space="preserve"> </w:t>
      </w:r>
      <w:r>
        <w:rPr>
          <w:rFonts w:ascii="微软雅黑" w:hAnsi="微软雅黑" w:eastAsia="微软雅黑" w:cs="微软雅黑"/>
          <w:spacing w:val="4"/>
          <w:sz w:val="16"/>
          <w:szCs w:val="16"/>
        </w:rPr>
        <w:t>提 出 当</w:t>
      </w:r>
      <w:r>
        <w:rPr>
          <w:rFonts w:ascii="微软雅黑" w:hAnsi="微软雅黑" w:eastAsia="微软雅黑" w:cs="微软雅黑"/>
          <w:spacing w:val="-23"/>
          <w:sz w:val="16"/>
          <w:szCs w:val="16"/>
        </w:rPr>
        <w:t xml:space="preserve"> </w:t>
      </w:r>
      <w:r>
        <w:rPr>
          <w:rFonts w:ascii="微软雅黑" w:hAnsi="微软雅黑" w:eastAsia="微软雅黑" w:cs="微软雅黑"/>
          <w:spacing w:val="4"/>
          <w:sz w:val="16"/>
          <w:szCs w:val="16"/>
        </w:rPr>
        <w:t>前</w:t>
      </w:r>
      <w:r>
        <w:rPr>
          <w:rFonts w:ascii="微软雅黑" w:hAnsi="微软雅黑" w:eastAsia="微软雅黑" w:cs="微软雅黑"/>
          <w:spacing w:val="-8"/>
          <w:sz w:val="16"/>
          <w:szCs w:val="16"/>
        </w:rPr>
        <w:t xml:space="preserve"> </w:t>
      </w:r>
      <w:r>
        <w:rPr>
          <w:rFonts w:ascii="微软雅黑" w:hAnsi="微软雅黑" w:eastAsia="微软雅黑" w:cs="微软雅黑"/>
          <w:spacing w:val="4"/>
          <w:sz w:val="16"/>
          <w:szCs w:val="16"/>
        </w:rPr>
        <w:t>高</w:t>
      </w:r>
      <w:r>
        <w:rPr>
          <w:rFonts w:ascii="微软雅黑" w:hAnsi="微软雅黑" w:eastAsia="微软雅黑" w:cs="微软雅黑"/>
          <w:spacing w:val="-24"/>
          <w:sz w:val="16"/>
          <w:szCs w:val="16"/>
        </w:rPr>
        <w:t xml:space="preserve"> </w:t>
      </w:r>
      <w:r>
        <w:rPr>
          <w:rFonts w:ascii="微软雅黑" w:hAnsi="微软雅黑" w:eastAsia="微软雅黑" w:cs="微软雅黑"/>
          <w:spacing w:val="4"/>
          <w:sz w:val="16"/>
          <w:szCs w:val="16"/>
        </w:rPr>
        <w:t>校</w:t>
      </w:r>
      <w:r>
        <w:rPr>
          <w:rFonts w:ascii="微软雅黑" w:hAnsi="微软雅黑" w:eastAsia="微软雅黑" w:cs="微软雅黑"/>
          <w:spacing w:val="-21"/>
          <w:sz w:val="16"/>
          <w:szCs w:val="16"/>
        </w:rPr>
        <w:t xml:space="preserve"> </w:t>
      </w:r>
      <w:r>
        <w:rPr>
          <w:rFonts w:ascii="微软雅黑" w:hAnsi="微软雅黑" w:eastAsia="微软雅黑" w:cs="微软雅黑"/>
          <w:spacing w:val="4"/>
          <w:sz w:val="16"/>
          <w:szCs w:val="16"/>
        </w:rPr>
        <w:t>质</w:t>
      </w:r>
      <w:r>
        <w:rPr>
          <w:rFonts w:ascii="微软雅黑" w:hAnsi="微软雅黑" w:eastAsia="微软雅黑" w:cs="微软雅黑"/>
          <w:spacing w:val="-23"/>
          <w:sz w:val="16"/>
          <w:szCs w:val="16"/>
        </w:rPr>
        <w:t xml:space="preserve"> </w:t>
      </w:r>
      <w:r>
        <w:rPr>
          <w:rFonts w:ascii="微软雅黑" w:hAnsi="微软雅黑" w:eastAsia="微软雅黑" w:cs="微软雅黑"/>
          <w:spacing w:val="4"/>
          <w:sz w:val="16"/>
          <w:szCs w:val="16"/>
        </w:rPr>
        <w:t>量</w:t>
      </w:r>
      <w:r>
        <w:rPr>
          <w:rFonts w:ascii="微软雅黑" w:hAnsi="微软雅黑" w:eastAsia="微软雅黑" w:cs="微软雅黑"/>
          <w:spacing w:val="-15"/>
          <w:sz w:val="16"/>
          <w:szCs w:val="16"/>
        </w:rPr>
        <w:t xml:space="preserve"> </w:t>
      </w:r>
      <w:r>
        <w:rPr>
          <w:rFonts w:ascii="微软雅黑" w:hAnsi="微软雅黑" w:eastAsia="微软雅黑" w:cs="微软雅黑"/>
          <w:spacing w:val="4"/>
          <w:sz w:val="16"/>
          <w:szCs w:val="16"/>
        </w:rPr>
        <w:t>文</w:t>
      </w:r>
      <w:r>
        <w:rPr>
          <w:rFonts w:ascii="微软雅黑" w:hAnsi="微软雅黑" w:eastAsia="微软雅黑" w:cs="微软雅黑"/>
          <w:spacing w:val="-22"/>
          <w:sz w:val="16"/>
          <w:szCs w:val="16"/>
        </w:rPr>
        <w:t xml:space="preserve"> </w:t>
      </w:r>
      <w:r>
        <w:rPr>
          <w:rFonts w:ascii="微软雅黑" w:hAnsi="微软雅黑" w:eastAsia="微软雅黑" w:cs="微软雅黑"/>
          <w:spacing w:val="4"/>
          <w:sz w:val="16"/>
          <w:szCs w:val="16"/>
        </w:rPr>
        <w:t>化</w:t>
      </w:r>
      <w:r>
        <w:rPr>
          <w:rFonts w:ascii="微软雅黑" w:hAnsi="微软雅黑" w:eastAsia="微软雅黑" w:cs="微软雅黑"/>
          <w:spacing w:val="-21"/>
          <w:sz w:val="16"/>
          <w:szCs w:val="16"/>
        </w:rPr>
        <w:t xml:space="preserve"> </w:t>
      </w:r>
      <w:r>
        <w:rPr>
          <w:rFonts w:ascii="微软雅黑" w:hAnsi="微软雅黑" w:eastAsia="微软雅黑" w:cs="微软雅黑"/>
          <w:spacing w:val="4"/>
          <w:sz w:val="16"/>
          <w:szCs w:val="16"/>
        </w:rPr>
        <w:t>建</w:t>
      </w:r>
      <w:r>
        <w:rPr>
          <w:rFonts w:ascii="微软雅黑" w:hAnsi="微软雅黑" w:eastAsia="微软雅黑" w:cs="微软雅黑"/>
          <w:spacing w:val="-24"/>
          <w:sz w:val="16"/>
          <w:szCs w:val="16"/>
        </w:rPr>
        <w:t xml:space="preserve"> </w:t>
      </w:r>
      <w:r>
        <w:rPr>
          <w:rFonts w:ascii="微软雅黑" w:hAnsi="微软雅黑" w:eastAsia="微软雅黑" w:cs="微软雅黑"/>
          <w:spacing w:val="4"/>
          <w:sz w:val="16"/>
          <w:szCs w:val="16"/>
        </w:rPr>
        <w:t>设</w:t>
      </w:r>
      <w:r>
        <w:rPr>
          <w:rFonts w:ascii="微软雅黑" w:hAnsi="微软雅黑" w:eastAsia="微软雅黑" w:cs="微软雅黑"/>
          <w:spacing w:val="-22"/>
          <w:sz w:val="16"/>
          <w:szCs w:val="16"/>
        </w:rPr>
        <w:t xml:space="preserve"> </w:t>
      </w:r>
      <w:r>
        <w:rPr>
          <w:rFonts w:ascii="微软雅黑" w:hAnsi="微软雅黑" w:eastAsia="微软雅黑" w:cs="微软雅黑"/>
          <w:spacing w:val="4"/>
          <w:sz w:val="16"/>
          <w:szCs w:val="16"/>
        </w:rPr>
        <w:t>应</w:t>
      </w:r>
      <w:r>
        <w:rPr>
          <w:rFonts w:ascii="微软雅黑" w:hAnsi="微软雅黑" w:eastAsia="微软雅黑" w:cs="微软雅黑"/>
          <w:spacing w:val="-19"/>
          <w:sz w:val="16"/>
          <w:szCs w:val="16"/>
        </w:rPr>
        <w:t xml:space="preserve"> </w:t>
      </w:r>
      <w:r>
        <w:rPr>
          <w:rFonts w:ascii="微软雅黑" w:hAnsi="微软雅黑" w:eastAsia="微软雅黑" w:cs="微软雅黑"/>
          <w:spacing w:val="4"/>
          <w:sz w:val="16"/>
          <w:szCs w:val="16"/>
        </w:rPr>
        <w:t>关</w:t>
      </w:r>
      <w:r>
        <w:rPr>
          <w:rFonts w:ascii="微软雅黑" w:hAnsi="微软雅黑" w:eastAsia="微软雅黑" w:cs="微软雅黑"/>
          <w:spacing w:val="-11"/>
          <w:sz w:val="16"/>
          <w:szCs w:val="16"/>
        </w:rPr>
        <w:t xml:space="preserve"> </w:t>
      </w:r>
      <w:r>
        <w:rPr>
          <w:rFonts w:ascii="微软雅黑" w:hAnsi="微软雅黑" w:eastAsia="微软雅黑" w:cs="微软雅黑"/>
          <w:spacing w:val="4"/>
          <w:sz w:val="16"/>
          <w:szCs w:val="16"/>
        </w:rPr>
        <w:t>注</w:t>
      </w:r>
      <w:r>
        <w:rPr>
          <w:rFonts w:ascii="微软雅黑" w:hAnsi="微软雅黑" w:eastAsia="微软雅黑" w:cs="微软雅黑"/>
          <w:sz w:val="16"/>
          <w:szCs w:val="16"/>
        </w:rPr>
        <w:t xml:space="preserve"> </w:t>
      </w:r>
      <w:r>
        <w:rPr>
          <w:rFonts w:ascii="微软雅黑" w:hAnsi="微软雅黑" w:eastAsia="微软雅黑" w:cs="微软雅黑"/>
          <w:spacing w:val="15"/>
          <w:sz w:val="16"/>
          <w:szCs w:val="16"/>
        </w:rPr>
        <w:t>的问题，主要包括：在战略规划中明确学校质量文化的发展目标，提升学校战略领导对质量文化的重视，在战略实施中关</w:t>
      </w:r>
      <w:r>
        <w:rPr>
          <w:rFonts w:ascii="微软雅黑" w:hAnsi="微软雅黑" w:eastAsia="微软雅黑" w:cs="微软雅黑"/>
          <w:spacing w:val="14"/>
          <w:sz w:val="16"/>
          <w:szCs w:val="16"/>
        </w:rPr>
        <w:t>注调</w:t>
      </w:r>
      <w:r>
        <w:rPr>
          <w:rFonts w:ascii="微软雅黑" w:hAnsi="微软雅黑" w:eastAsia="微软雅黑" w:cs="微软雅黑"/>
          <w:sz w:val="16"/>
          <w:szCs w:val="16"/>
        </w:rPr>
        <w:t xml:space="preserve"> </w:t>
      </w:r>
      <w:r>
        <w:rPr>
          <w:rFonts w:ascii="微软雅黑" w:hAnsi="微软雅黑" w:eastAsia="微软雅黑" w:cs="微软雅黑"/>
          <w:spacing w:val="16"/>
          <w:sz w:val="16"/>
          <w:szCs w:val="16"/>
        </w:rPr>
        <w:t>动各方主体的参与</w:t>
      </w:r>
      <w:r>
        <w:rPr>
          <w:rFonts w:ascii="微软雅黑" w:hAnsi="微软雅黑" w:eastAsia="微软雅黑" w:cs="微软雅黑"/>
          <w:spacing w:val="-18"/>
          <w:sz w:val="16"/>
          <w:szCs w:val="16"/>
        </w:rPr>
        <w:t xml:space="preserve"> </w:t>
      </w:r>
      <w:r>
        <w:rPr>
          <w:rFonts w:ascii="微软雅黑" w:hAnsi="微软雅黑" w:eastAsia="微软雅黑" w:cs="微软雅黑"/>
          <w:spacing w:val="16"/>
          <w:sz w:val="16"/>
          <w:szCs w:val="16"/>
        </w:rPr>
        <w:t>。</w:t>
      </w:r>
    </w:p>
    <w:p>
      <w:pPr>
        <w:spacing w:before="61" w:line="193" w:lineRule="auto"/>
        <w:ind w:left="909"/>
        <w:rPr>
          <w:rFonts w:ascii="微软雅黑" w:hAnsi="微软雅黑" w:eastAsia="微软雅黑" w:cs="微软雅黑"/>
          <w:sz w:val="16"/>
          <w:szCs w:val="16"/>
        </w:rPr>
      </w:pPr>
      <w:r>
        <w:rPr>
          <w:rFonts w:ascii="微软雅黑" w:hAnsi="微软雅黑" w:eastAsia="微软雅黑" w:cs="微软雅黑"/>
          <w:spacing w:val="3"/>
          <w:sz w:val="16"/>
          <w:szCs w:val="16"/>
        </w:rPr>
        <w:t>关键词：战略规划；质量文化；质量承诺；质量管理</w:t>
      </w:r>
    </w:p>
    <w:p>
      <w:pPr>
        <w:spacing w:before="61" w:line="207" w:lineRule="auto"/>
        <w:ind w:left="923"/>
        <w:rPr>
          <w:rFonts w:ascii="Arial" w:hAnsi="Arial" w:eastAsia="Arial" w:cs="Arial"/>
          <w:sz w:val="16"/>
          <w:szCs w:val="16"/>
        </w:rPr>
      </w:pPr>
      <w:r>
        <w:rPr>
          <w:rFonts w:ascii="微软雅黑" w:hAnsi="微软雅黑" w:eastAsia="微软雅黑" w:cs="微软雅黑"/>
          <w:spacing w:val="9"/>
          <w:sz w:val="16"/>
          <w:szCs w:val="16"/>
        </w:rPr>
        <w:t>中图分类号：</w:t>
      </w:r>
      <w:r>
        <w:rPr>
          <w:rFonts w:ascii="Arial" w:hAnsi="Arial" w:eastAsia="Arial" w:cs="Arial"/>
          <w:spacing w:val="9"/>
          <w:sz w:val="16"/>
          <w:szCs w:val="16"/>
        </w:rPr>
        <w:t xml:space="preserve">G647               </w:t>
      </w:r>
      <w:r>
        <w:rPr>
          <w:rFonts w:ascii="微软雅黑" w:hAnsi="微软雅黑" w:eastAsia="微软雅黑" w:cs="微软雅黑"/>
          <w:spacing w:val="9"/>
          <w:sz w:val="16"/>
          <w:szCs w:val="16"/>
        </w:rPr>
        <w:t>文献标识码</w:t>
      </w:r>
      <w:r>
        <w:rPr>
          <w:rFonts w:ascii="微软雅黑" w:hAnsi="微软雅黑" w:eastAsia="微软雅黑" w:cs="微软雅黑"/>
          <w:spacing w:val="8"/>
          <w:sz w:val="16"/>
          <w:szCs w:val="16"/>
        </w:rPr>
        <w:t>：</w:t>
      </w:r>
      <w:r>
        <w:rPr>
          <w:rFonts w:ascii="Arial" w:hAnsi="Arial" w:eastAsia="Arial" w:cs="Arial"/>
          <w:spacing w:val="8"/>
          <w:sz w:val="16"/>
          <w:szCs w:val="16"/>
        </w:rPr>
        <w:t xml:space="preserve">A               </w:t>
      </w:r>
      <w:r>
        <w:rPr>
          <w:rFonts w:ascii="微软雅黑" w:hAnsi="微软雅黑" w:eastAsia="微软雅黑" w:cs="微软雅黑"/>
          <w:spacing w:val="8"/>
          <w:sz w:val="16"/>
          <w:szCs w:val="16"/>
        </w:rPr>
        <w:t>文章编号：</w:t>
      </w:r>
      <w:r>
        <w:rPr>
          <w:rFonts w:ascii="Arial" w:hAnsi="Arial" w:eastAsia="Arial" w:cs="Arial"/>
          <w:spacing w:val="8"/>
          <w:sz w:val="16"/>
          <w:szCs w:val="16"/>
        </w:rPr>
        <w:t>1671-9719</w:t>
      </w:r>
      <w:r>
        <w:rPr>
          <w:rFonts w:ascii="微软雅黑" w:hAnsi="微软雅黑" w:eastAsia="微软雅黑" w:cs="微软雅黑"/>
          <w:spacing w:val="8"/>
          <w:sz w:val="16"/>
          <w:szCs w:val="16"/>
        </w:rPr>
        <w:t>(</w:t>
      </w:r>
      <w:r>
        <w:rPr>
          <w:rFonts w:ascii="Arial" w:hAnsi="Arial" w:eastAsia="Arial" w:cs="Arial"/>
          <w:spacing w:val="8"/>
          <w:sz w:val="16"/>
          <w:szCs w:val="16"/>
        </w:rPr>
        <w:t>2022</w:t>
      </w:r>
      <w:r>
        <w:rPr>
          <w:rFonts w:ascii="微软雅黑" w:hAnsi="微软雅黑" w:eastAsia="微软雅黑" w:cs="微软雅黑"/>
          <w:spacing w:val="8"/>
          <w:sz w:val="16"/>
          <w:szCs w:val="16"/>
        </w:rPr>
        <w:t>)</w:t>
      </w:r>
      <w:r>
        <w:rPr>
          <w:rFonts w:ascii="Arial" w:hAnsi="Arial" w:eastAsia="Arial" w:cs="Arial"/>
          <w:spacing w:val="8"/>
          <w:sz w:val="16"/>
          <w:szCs w:val="16"/>
        </w:rPr>
        <w:t>9-0069-04</w:t>
      </w:r>
    </w:p>
    <w:p>
      <w:pPr>
        <w:spacing w:before="44" w:line="219" w:lineRule="auto"/>
        <w:ind w:left="923" w:right="59" w:hanging="13"/>
        <w:rPr>
          <w:rFonts w:ascii="微软雅黑" w:hAnsi="微软雅黑" w:eastAsia="微软雅黑" w:cs="微软雅黑"/>
          <w:sz w:val="16"/>
          <w:szCs w:val="16"/>
        </w:rPr>
      </w:pPr>
      <w:r>
        <w:rPr>
          <w:rFonts w:ascii="微软雅黑" w:hAnsi="微软雅黑" w:eastAsia="微软雅黑" w:cs="微软雅黑"/>
          <w:spacing w:val="10"/>
          <w:sz w:val="16"/>
          <w:szCs w:val="16"/>
        </w:rPr>
        <w:t>作者简介：罗俊艳(</w:t>
      </w:r>
      <w:r>
        <w:rPr>
          <w:rFonts w:ascii="Arial" w:hAnsi="Arial" w:eastAsia="Arial" w:cs="Arial"/>
          <w:spacing w:val="10"/>
          <w:sz w:val="16"/>
          <w:szCs w:val="16"/>
        </w:rPr>
        <w:t>1989-</w:t>
      </w:r>
      <w:r>
        <w:rPr>
          <w:rFonts w:ascii="微软雅黑" w:hAnsi="微软雅黑" w:eastAsia="微软雅黑" w:cs="微软雅黑"/>
          <w:spacing w:val="10"/>
          <w:sz w:val="16"/>
          <w:szCs w:val="16"/>
        </w:rPr>
        <w:t>) ,</w:t>
      </w:r>
      <w:r>
        <w:rPr>
          <w:rFonts w:ascii="微软雅黑" w:hAnsi="微软雅黑" w:eastAsia="微软雅黑" w:cs="微软雅黑"/>
          <w:spacing w:val="-12"/>
          <w:sz w:val="16"/>
          <w:szCs w:val="16"/>
        </w:rPr>
        <w:t xml:space="preserve"> </w:t>
      </w:r>
      <w:r>
        <w:rPr>
          <w:rFonts w:ascii="微软雅黑" w:hAnsi="微软雅黑" w:eastAsia="微软雅黑" w:cs="微软雅黑"/>
          <w:spacing w:val="10"/>
          <w:sz w:val="16"/>
          <w:szCs w:val="16"/>
        </w:rPr>
        <w:t>女，山西晋中人，助教，研究方向为高等教育质量</w:t>
      </w:r>
      <w:r>
        <w:rPr>
          <w:rFonts w:ascii="微软雅黑" w:hAnsi="微软雅黑" w:eastAsia="微软雅黑" w:cs="微软雅黑"/>
          <w:spacing w:val="9"/>
          <w:sz w:val="16"/>
          <w:szCs w:val="16"/>
        </w:rPr>
        <w:t>管理</w:t>
      </w:r>
      <w:r>
        <w:rPr>
          <w:rFonts w:ascii="微软雅黑" w:hAnsi="微软雅黑" w:eastAsia="微软雅黑" w:cs="微软雅黑"/>
          <w:spacing w:val="-21"/>
          <w:sz w:val="16"/>
          <w:szCs w:val="16"/>
        </w:rPr>
        <w:t xml:space="preserve"> </w:t>
      </w:r>
      <w:r>
        <w:rPr>
          <w:rFonts w:ascii="微软雅黑" w:hAnsi="微软雅黑" w:eastAsia="微软雅黑" w:cs="微软雅黑"/>
          <w:spacing w:val="9"/>
          <w:sz w:val="16"/>
          <w:szCs w:val="16"/>
        </w:rPr>
        <w:t>、大学课程教学改革；许燕燕(</w:t>
      </w:r>
      <w:r>
        <w:rPr>
          <w:rFonts w:ascii="Arial" w:hAnsi="Arial" w:eastAsia="Arial" w:cs="Arial"/>
          <w:spacing w:val="9"/>
          <w:sz w:val="16"/>
          <w:szCs w:val="16"/>
        </w:rPr>
        <w:t>1981-</w:t>
      </w:r>
      <w:r>
        <w:rPr>
          <w:rFonts w:ascii="微软雅黑" w:hAnsi="微软雅黑" w:eastAsia="微软雅黑" w:cs="微软雅黑"/>
          <w:spacing w:val="9"/>
          <w:sz w:val="16"/>
          <w:szCs w:val="16"/>
        </w:rPr>
        <w:t>) ,</w:t>
      </w:r>
      <w:r>
        <w:rPr>
          <w:rFonts w:ascii="微软雅黑" w:hAnsi="微软雅黑" w:eastAsia="微软雅黑" w:cs="微软雅黑"/>
          <w:spacing w:val="-8"/>
          <w:sz w:val="16"/>
          <w:szCs w:val="16"/>
        </w:rPr>
        <w:t xml:space="preserve"> </w:t>
      </w:r>
      <w:r>
        <w:rPr>
          <w:rFonts w:ascii="微软雅黑" w:hAnsi="微软雅黑" w:eastAsia="微软雅黑" w:cs="微软雅黑"/>
          <w:spacing w:val="9"/>
          <w:sz w:val="16"/>
          <w:szCs w:val="16"/>
        </w:rPr>
        <w:t>女，河</w:t>
      </w:r>
      <w:r>
        <w:rPr>
          <w:rFonts w:ascii="微软雅黑" w:hAnsi="微软雅黑" w:eastAsia="微软雅黑" w:cs="微软雅黑"/>
          <w:sz w:val="16"/>
          <w:szCs w:val="16"/>
        </w:rPr>
        <w:t xml:space="preserve"> </w:t>
      </w:r>
      <w:r>
        <w:rPr>
          <w:rFonts w:ascii="微软雅黑" w:hAnsi="微软雅黑" w:eastAsia="微软雅黑" w:cs="微软雅黑"/>
          <w:spacing w:val="6"/>
          <w:sz w:val="16"/>
          <w:szCs w:val="16"/>
        </w:rPr>
        <w:t>南周 口人，讲师，研究方向为高等教育教学管理</w:t>
      </w:r>
      <w:r>
        <w:rPr>
          <w:rFonts w:ascii="微软雅黑" w:hAnsi="微软雅黑" w:eastAsia="微软雅黑" w:cs="微软雅黑"/>
          <w:spacing w:val="-12"/>
          <w:sz w:val="16"/>
          <w:szCs w:val="16"/>
        </w:rPr>
        <w:t xml:space="preserve"> </w:t>
      </w:r>
      <w:r>
        <w:rPr>
          <w:rFonts w:ascii="微软雅黑" w:hAnsi="微软雅黑" w:eastAsia="微软雅黑" w:cs="微软雅黑"/>
          <w:spacing w:val="6"/>
          <w:sz w:val="16"/>
          <w:szCs w:val="16"/>
        </w:rPr>
        <w:t>、课程与教学论</w:t>
      </w:r>
      <w:r>
        <w:rPr>
          <w:rFonts w:ascii="微软雅黑" w:hAnsi="微软雅黑" w:eastAsia="微软雅黑" w:cs="微软雅黑"/>
          <w:spacing w:val="-19"/>
          <w:sz w:val="16"/>
          <w:szCs w:val="16"/>
        </w:rPr>
        <w:t xml:space="preserve"> </w:t>
      </w:r>
      <w:r>
        <w:rPr>
          <w:rFonts w:ascii="微软雅黑" w:hAnsi="微软雅黑" w:eastAsia="微软雅黑" w:cs="微软雅黑"/>
          <w:spacing w:val="6"/>
          <w:sz w:val="16"/>
          <w:szCs w:val="16"/>
        </w:rPr>
        <w:t>。</w:t>
      </w:r>
    </w:p>
    <w:p>
      <w:pPr>
        <w:spacing w:before="62" w:line="212" w:lineRule="auto"/>
        <w:ind w:left="910"/>
        <w:rPr>
          <w:rFonts w:ascii="Arial" w:hAnsi="Arial" w:eastAsia="Arial" w:cs="Arial"/>
          <w:sz w:val="16"/>
          <w:szCs w:val="16"/>
        </w:rPr>
      </w:pPr>
      <w:r>
        <w:rPr>
          <w:rFonts w:ascii="微软雅黑" w:hAnsi="微软雅黑" w:eastAsia="微软雅黑" w:cs="微软雅黑"/>
          <w:spacing w:val="15"/>
          <w:sz w:val="16"/>
          <w:szCs w:val="16"/>
        </w:rPr>
        <w:t>收稿日期：</w:t>
      </w:r>
      <w:r>
        <w:rPr>
          <w:rFonts w:ascii="Arial" w:hAnsi="Arial" w:eastAsia="Arial" w:cs="Arial"/>
          <w:spacing w:val="15"/>
          <w:sz w:val="16"/>
          <w:szCs w:val="16"/>
        </w:rPr>
        <w:t xml:space="preserve">2021-12-11    </w:t>
      </w:r>
      <w:r>
        <w:rPr>
          <w:rFonts w:ascii="微软雅黑" w:hAnsi="微软雅黑" w:eastAsia="微软雅黑" w:cs="微软雅黑"/>
          <w:spacing w:val="15"/>
          <w:sz w:val="16"/>
          <w:szCs w:val="16"/>
        </w:rPr>
        <w:t>修稿日期：</w:t>
      </w:r>
      <w:r>
        <w:rPr>
          <w:rFonts w:ascii="Arial" w:hAnsi="Arial" w:eastAsia="Arial" w:cs="Arial"/>
          <w:spacing w:val="15"/>
          <w:sz w:val="16"/>
          <w:szCs w:val="16"/>
        </w:rPr>
        <w:t>2022-01-13</w:t>
      </w:r>
    </w:p>
    <w:p>
      <w:pPr>
        <w:spacing w:before="41"/>
      </w:pPr>
    </w:p>
    <w:p>
      <w:pPr>
        <w:sectPr>
          <w:type w:val="continuous"/>
          <w:pgSz w:w="12246" w:h="16498"/>
          <w:pgMar w:top="400" w:right="1249" w:bottom="547" w:left="407" w:header="0" w:footer="354" w:gutter="0"/>
          <w:cols w:equalWidth="0" w:num="1">
            <w:col w:w="10589"/>
          </w:cols>
        </w:sectPr>
      </w:pPr>
    </w:p>
    <w:p>
      <w:pPr>
        <w:spacing w:before="36" w:line="245" w:lineRule="auto"/>
        <w:ind w:left="906" w:right="149" w:firstLine="420"/>
        <w:jc w:val="both"/>
        <w:rPr>
          <w:rFonts w:ascii="微软雅黑" w:hAnsi="微软雅黑" w:eastAsia="微软雅黑" w:cs="微软雅黑"/>
          <w:sz w:val="16"/>
          <w:szCs w:val="16"/>
        </w:rPr>
      </w:pPr>
      <w:r>
        <w:rPr>
          <w:rFonts w:ascii="微软雅黑" w:hAnsi="微软雅黑" w:eastAsia="微软雅黑" w:cs="微软雅黑"/>
          <w:spacing w:val="12"/>
          <w:w w:val="120"/>
          <w:sz w:val="16"/>
          <w:szCs w:val="16"/>
        </w:rPr>
        <w:t xml:space="preserve">我国高等教育自 </w:t>
      </w:r>
      <w:r>
        <w:rPr>
          <w:rFonts w:ascii="Arial" w:hAnsi="Arial" w:eastAsia="Arial" w:cs="Arial"/>
          <w:spacing w:val="12"/>
          <w:w w:val="120"/>
          <w:sz w:val="16"/>
          <w:szCs w:val="16"/>
        </w:rPr>
        <w:t>2002</w:t>
      </w:r>
      <w:r>
        <w:rPr>
          <w:rFonts w:ascii="微软雅黑" w:hAnsi="微软雅黑" w:eastAsia="微软雅黑" w:cs="微软雅黑"/>
          <w:spacing w:val="12"/>
          <w:w w:val="120"/>
          <w:sz w:val="16"/>
          <w:szCs w:val="16"/>
        </w:rPr>
        <w:t>年进入大众化阶段以来</w:t>
      </w:r>
      <w:r>
        <w:rPr>
          <w:rFonts w:ascii="微软雅黑" w:hAnsi="微软雅黑" w:eastAsia="微软雅黑" w:cs="微软雅黑"/>
          <w:spacing w:val="-9"/>
          <w:sz w:val="16"/>
          <w:szCs w:val="16"/>
        </w:rPr>
        <w:t xml:space="preserve"> </w:t>
      </w:r>
      <w:r>
        <w:rPr>
          <w:rFonts w:ascii="微软雅黑" w:hAnsi="微软雅黑" w:eastAsia="微软雅黑" w:cs="微软雅黑"/>
          <w:spacing w:val="12"/>
          <w:w w:val="120"/>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规模迅速扩张</w:t>
      </w:r>
      <w:r>
        <w:rPr>
          <w:rFonts w:ascii="微软雅黑" w:hAnsi="微软雅黑" w:eastAsia="微软雅黑" w:cs="微软雅黑"/>
          <w:spacing w:val="-23"/>
          <w:sz w:val="16"/>
          <w:szCs w:val="16"/>
        </w:rPr>
        <w:t xml:space="preserve"> </w:t>
      </w:r>
      <w:r>
        <w:rPr>
          <w:rFonts w:ascii="微软雅黑" w:hAnsi="微软雅黑" w:eastAsia="微软雅黑" w:cs="微软雅黑"/>
          <w:spacing w:val="39"/>
          <w:sz w:val="16"/>
          <w:szCs w:val="16"/>
        </w:rPr>
        <w:t>，各种类型的高校纷纷涌现</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w:t>
      </w:r>
      <w:r>
        <w:rPr>
          <w:rFonts w:ascii="微软雅黑" w:hAnsi="微软雅黑" w:eastAsia="微软雅黑" w:cs="微软雅黑"/>
          <w:spacing w:val="38"/>
          <w:sz w:val="16"/>
          <w:szCs w:val="16"/>
        </w:rPr>
        <w:t>高等教育</w:t>
      </w:r>
      <w:r>
        <w:rPr>
          <w:rFonts w:ascii="微软雅黑" w:hAnsi="微软雅黑" w:eastAsia="微软雅黑" w:cs="微软雅黑"/>
          <w:sz w:val="16"/>
          <w:szCs w:val="16"/>
        </w:rPr>
        <w:t xml:space="preserve">  </w:t>
      </w:r>
      <w:r>
        <w:rPr>
          <w:rFonts w:ascii="微软雅黑" w:hAnsi="微软雅黑" w:eastAsia="微软雅黑" w:cs="微软雅黑"/>
          <w:spacing w:val="29"/>
          <w:sz w:val="16"/>
          <w:szCs w:val="16"/>
        </w:rPr>
        <w:t>质量也出现了参差</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不</w:t>
      </w:r>
      <w:r>
        <w:rPr>
          <w:rFonts w:ascii="微软雅黑" w:hAnsi="微软雅黑" w:eastAsia="微软雅黑" w:cs="微软雅黑"/>
          <w:spacing w:val="-16"/>
          <w:sz w:val="16"/>
          <w:szCs w:val="16"/>
        </w:rPr>
        <w:t xml:space="preserve"> </w:t>
      </w:r>
      <w:r>
        <w:rPr>
          <w:rFonts w:ascii="微软雅黑" w:hAnsi="微软雅黑" w:eastAsia="微软雅黑" w:cs="微软雅黑"/>
          <w:spacing w:val="29"/>
          <w:sz w:val="16"/>
          <w:szCs w:val="16"/>
        </w:rPr>
        <w:t>齐</w:t>
      </w:r>
      <w:r>
        <w:rPr>
          <w:rFonts w:ascii="微软雅黑" w:hAnsi="微软雅黑" w:eastAsia="微软雅黑" w:cs="微软雅黑"/>
          <w:spacing w:val="-2"/>
          <w:sz w:val="16"/>
          <w:szCs w:val="16"/>
        </w:rPr>
        <w:t xml:space="preserve"> </w:t>
      </w:r>
      <w:r>
        <w:rPr>
          <w:rFonts w:ascii="微软雅黑" w:hAnsi="微软雅黑" w:eastAsia="微软雅黑" w:cs="微软雅黑"/>
          <w:spacing w:val="29"/>
          <w:sz w:val="16"/>
          <w:szCs w:val="16"/>
        </w:rPr>
        <w:t>的</w:t>
      </w:r>
      <w:r>
        <w:rPr>
          <w:rFonts w:ascii="微软雅黑" w:hAnsi="微软雅黑" w:eastAsia="微软雅黑" w:cs="微软雅黑"/>
          <w:spacing w:val="-19"/>
          <w:sz w:val="16"/>
          <w:szCs w:val="16"/>
        </w:rPr>
        <w:t xml:space="preserve"> </w:t>
      </w:r>
      <w:r>
        <w:rPr>
          <w:rFonts w:ascii="微软雅黑" w:hAnsi="微软雅黑" w:eastAsia="微软雅黑" w:cs="微软雅黑"/>
          <w:spacing w:val="29"/>
          <w:sz w:val="16"/>
          <w:szCs w:val="16"/>
        </w:rPr>
        <w:t>状</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况</w:t>
      </w:r>
      <w:r>
        <w:rPr>
          <w:rFonts w:ascii="微软雅黑" w:hAnsi="微软雅黑" w:eastAsia="微软雅黑" w:cs="微软雅黑"/>
          <w:spacing w:val="-5"/>
          <w:sz w:val="16"/>
          <w:szCs w:val="16"/>
        </w:rPr>
        <w:t xml:space="preserve"> </w:t>
      </w:r>
      <w:r>
        <w:rPr>
          <w:rFonts w:ascii="微软雅黑" w:hAnsi="微软雅黑" w:eastAsia="微软雅黑" w:cs="微软雅黑"/>
          <w:spacing w:val="29"/>
          <w:sz w:val="16"/>
          <w:szCs w:val="16"/>
        </w:rPr>
        <w:t>。 因</w:t>
      </w:r>
      <w:r>
        <w:rPr>
          <w:rFonts w:ascii="微软雅黑" w:hAnsi="微软雅黑" w:eastAsia="微软雅黑" w:cs="微软雅黑"/>
          <w:spacing w:val="-17"/>
          <w:sz w:val="16"/>
          <w:szCs w:val="16"/>
        </w:rPr>
        <w:t xml:space="preserve"> </w:t>
      </w:r>
      <w:r>
        <w:rPr>
          <w:rFonts w:ascii="微软雅黑" w:hAnsi="微软雅黑" w:eastAsia="微软雅黑" w:cs="微软雅黑"/>
          <w:spacing w:val="29"/>
          <w:sz w:val="16"/>
          <w:szCs w:val="16"/>
        </w:rPr>
        <w:t>此</w:t>
      </w:r>
      <w:r>
        <w:rPr>
          <w:rFonts w:ascii="微软雅黑" w:hAnsi="微软雅黑" w:eastAsia="微软雅黑" w:cs="微软雅黑"/>
          <w:spacing w:val="-24"/>
          <w:sz w:val="16"/>
          <w:szCs w:val="16"/>
        </w:rPr>
        <w:t xml:space="preserve"> </w:t>
      </w:r>
      <w:r>
        <w:rPr>
          <w:rFonts w:ascii="微软雅黑" w:hAnsi="微软雅黑" w:eastAsia="微软雅黑" w:cs="微软雅黑"/>
          <w:spacing w:val="29"/>
          <w:sz w:val="16"/>
          <w:szCs w:val="16"/>
        </w:rPr>
        <w:t>，提</w:t>
      </w:r>
      <w:r>
        <w:rPr>
          <w:rFonts w:ascii="微软雅黑" w:hAnsi="微软雅黑" w:eastAsia="微软雅黑" w:cs="微软雅黑"/>
          <w:spacing w:val="-15"/>
          <w:sz w:val="16"/>
          <w:szCs w:val="16"/>
        </w:rPr>
        <w:t xml:space="preserve"> </w:t>
      </w:r>
      <w:r>
        <w:rPr>
          <w:rFonts w:ascii="微软雅黑" w:hAnsi="微软雅黑" w:eastAsia="微软雅黑" w:cs="微软雅黑"/>
          <w:spacing w:val="29"/>
          <w:sz w:val="16"/>
          <w:szCs w:val="16"/>
        </w:rPr>
        <w:t>升</w:t>
      </w:r>
      <w:r>
        <w:rPr>
          <w:rFonts w:ascii="微软雅黑" w:hAnsi="微软雅黑" w:eastAsia="微软雅黑" w:cs="微软雅黑"/>
          <w:spacing w:val="-15"/>
          <w:sz w:val="16"/>
          <w:szCs w:val="16"/>
        </w:rPr>
        <w:t xml:space="preserve"> </w:t>
      </w:r>
      <w:r>
        <w:rPr>
          <w:rFonts w:ascii="微软雅黑" w:hAnsi="微软雅黑" w:eastAsia="微软雅黑" w:cs="微软雅黑"/>
          <w:spacing w:val="29"/>
          <w:sz w:val="16"/>
          <w:szCs w:val="16"/>
        </w:rPr>
        <w:t>高</w:t>
      </w:r>
      <w:r>
        <w:rPr>
          <w:rFonts w:ascii="微软雅黑" w:hAnsi="微软雅黑" w:eastAsia="微软雅黑" w:cs="微软雅黑"/>
          <w:spacing w:val="-15"/>
          <w:sz w:val="16"/>
          <w:szCs w:val="16"/>
        </w:rPr>
        <w:t xml:space="preserve"> </w:t>
      </w:r>
      <w:r>
        <w:rPr>
          <w:rFonts w:ascii="微软雅黑" w:hAnsi="微软雅黑" w:eastAsia="微软雅黑" w:cs="微软雅黑"/>
          <w:spacing w:val="29"/>
          <w:sz w:val="16"/>
          <w:szCs w:val="16"/>
        </w:rPr>
        <w:t>等</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教</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育质量成为政府</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、高校以及社</w:t>
      </w:r>
      <w:r>
        <w:rPr>
          <w:rFonts w:ascii="微软雅黑" w:hAnsi="微软雅黑" w:eastAsia="微软雅黑" w:cs="微软雅黑"/>
          <w:spacing w:val="-21"/>
          <w:sz w:val="16"/>
          <w:szCs w:val="16"/>
        </w:rPr>
        <w:t xml:space="preserve"> </w:t>
      </w:r>
      <w:r>
        <w:rPr>
          <w:rFonts w:ascii="微软雅黑" w:hAnsi="微软雅黑" w:eastAsia="微软雅黑" w:cs="微软雅黑"/>
          <w:spacing w:val="36"/>
          <w:sz w:val="16"/>
          <w:szCs w:val="16"/>
        </w:rPr>
        <w:t>会</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各</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界</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重</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点</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关</w:t>
      </w:r>
      <w:r>
        <w:rPr>
          <w:rFonts w:ascii="微软雅黑" w:hAnsi="微软雅黑" w:eastAsia="微软雅黑" w:cs="微软雅黑"/>
          <w:spacing w:val="-14"/>
          <w:sz w:val="16"/>
          <w:szCs w:val="16"/>
        </w:rPr>
        <w:t xml:space="preserve"> </w:t>
      </w:r>
      <w:r>
        <w:rPr>
          <w:rFonts w:ascii="微软雅黑" w:hAnsi="微软雅黑" w:eastAsia="微软雅黑" w:cs="微软雅黑"/>
          <w:spacing w:val="36"/>
          <w:sz w:val="16"/>
          <w:szCs w:val="16"/>
        </w:rPr>
        <w:t>注</w:t>
      </w:r>
      <w:r>
        <w:rPr>
          <w:rFonts w:ascii="微软雅黑" w:hAnsi="微软雅黑" w:eastAsia="微软雅黑" w:cs="微软雅黑"/>
          <w:spacing w:val="-2"/>
          <w:sz w:val="16"/>
          <w:szCs w:val="16"/>
        </w:rPr>
        <w:t xml:space="preserve"> </w:t>
      </w:r>
      <w:r>
        <w:rPr>
          <w:rFonts w:ascii="微软雅黑" w:hAnsi="微软雅黑" w:eastAsia="微软雅黑" w:cs="微软雅黑"/>
          <w:spacing w:val="36"/>
          <w:sz w:val="16"/>
          <w:szCs w:val="16"/>
        </w:rPr>
        <w:t>的</w:t>
      </w:r>
      <w:r>
        <w:rPr>
          <w:rFonts w:ascii="微软雅黑" w:hAnsi="微软雅黑" w:eastAsia="微软雅黑" w:cs="微软雅黑"/>
          <w:spacing w:val="-21"/>
          <w:sz w:val="16"/>
          <w:szCs w:val="16"/>
        </w:rPr>
        <w:t xml:space="preserve"> </w:t>
      </w:r>
      <w:r>
        <w:rPr>
          <w:rFonts w:ascii="微软雅黑" w:hAnsi="微软雅黑" w:eastAsia="微软雅黑" w:cs="微软雅黑"/>
          <w:spacing w:val="36"/>
          <w:sz w:val="16"/>
          <w:szCs w:val="16"/>
        </w:rPr>
        <w:t>议</w:t>
      </w:r>
      <w:r>
        <w:rPr>
          <w:rFonts w:ascii="微软雅黑" w:hAnsi="微软雅黑" w:eastAsia="微软雅黑" w:cs="微软雅黑"/>
          <w:sz w:val="16"/>
          <w:szCs w:val="16"/>
        </w:rPr>
        <w:t xml:space="preserve">  </w:t>
      </w:r>
      <w:r>
        <w:rPr>
          <w:rFonts w:ascii="微软雅黑" w:hAnsi="微软雅黑" w:eastAsia="微软雅黑" w:cs="微软雅黑"/>
          <w:spacing w:val="27"/>
          <w:sz w:val="16"/>
          <w:szCs w:val="16"/>
        </w:rPr>
        <w:t>题</w:t>
      </w:r>
      <w:r>
        <w:rPr>
          <w:rFonts w:ascii="微软雅黑" w:hAnsi="微软雅黑" w:eastAsia="微软雅黑" w:cs="微软雅黑"/>
          <w:spacing w:val="5"/>
          <w:sz w:val="16"/>
          <w:szCs w:val="16"/>
        </w:rPr>
        <w:t xml:space="preserve"> </w:t>
      </w:r>
      <w:r>
        <w:rPr>
          <w:rFonts w:ascii="微软雅黑" w:hAnsi="微软雅黑" w:eastAsia="微软雅黑" w:cs="微软雅黑"/>
          <w:spacing w:val="27"/>
          <w:sz w:val="16"/>
          <w:szCs w:val="16"/>
        </w:rPr>
        <w:t>。</w:t>
      </w:r>
      <w:r>
        <w:rPr>
          <w:rFonts w:ascii="微软雅黑" w:hAnsi="微软雅黑" w:eastAsia="微软雅黑" w:cs="微软雅黑"/>
          <w:spacing w:val="-8"/>
          <w:sz w:val="16"/>
          <w:szCs w:val="16"/>
        </w:rPr>
        <w:t xml:space="preserve"> </w:t>
      </w:r>
      <w:r>
        <w:rPr>
          <w:rFonts w:ascii="微软雅黑" w:hAnsi="微软雅黑" w:eastAsia="微软雅黑" w:cs="微软雅黑"/>
          <w:spacing w:val="27"/>
          <w:sz w:val="16"/>
          <w:szCs w:val="16"/>
        </w:rPr>
        <w:t>为了促使高等教</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育</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27"/>
          <w:sz w:val="16"/>
          <w:szCs w:val="16"/>
        </w:rPr>
        <w:t>量</w:t>
      </w:r>
      <w:r>
        <w:rPr>
          <w:rFonts w:ascii="微软雅黑" w:hAnsi="微软雅黑" w:eastAsia="微软雅黑" w:cs="微软雅黑"/>
          <w:spacing w:val="-2"/>
          <w:sz w:val="16"/>
          <w:szCs w:val="16"/>
        </w:rPr>
        <w:t xml:space="preserve"> </w:t>
      </w:r>
      <w:r>
        <w:rPr>
          <w:rFonts w:ascii="微软雅黑" w:hAnsi="微软雅黑" w:eastAsia="微软雅黑" w:cs="微软雅黑"/>
          <w:spacing w:val="27"/>
          <w:sz w:val="16"/>
          <w:szCs w:val="16"/>
        </w:rPr>
        <w:t>的</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提</w:t>
      </w:r>
      <w:r>
        <w:rPr>
          <w:rFonts w:ascii="微软雅黑" w:hAnsi="微软雅黑" w:eastAsia="微软雅黑" w:cs="微软雅黑"/>
          <w:spacing w:val="-15"/>
          <w:sz w:val="16"/>
          <w:szCs w:val="16"/>
        </w:rPr>
        <w:t xml:space="preserve"> </w:t>
      </w:r>
      <w:r>
        <w:rPr>
          <w:rFonts w:ascii="微软雅黑" w:hAnsi="微软雅黑" w:eastAsia="微软雅黑" w:cs="微软雅黑"/>
          <w:spacing w:val="27"/>
          <w:sz w:val="16"/>
          <w:szCs w:val="16"/>
        </w:rPr>
        <w:t>升</w:t>
      </w:r>
      <w:r>
        <w:rPr>
          <w:rFonts w:ascii="微软雅黑" w:hAnsi="微软雅黑" w:eastAsia="微软雅黑" w:cs="微软雅黑"/>
          <w:spacing w:val="-24"/>
          <w:sz w:val="16"/>
          <w:szCs w:val="16"/>
        </w:rPr>
        <w:t xml:space="preserve"> </w:t>
      </w:r>
      <w:r>
        <w:rPr>
          <w:rFonts w:ascii="微软雅黑" w:hAnsi="微软雅黑" w:eastAsia="微软雅黑" w:cs="微软雅黑"/>
          <w:spacing w:val="27"/>
          <w:sz w:val="16"/>
          <w:szCs w:val="16"/>
        </w:rPr>
        <w:t>，教</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育</w:t>
      </w:r>
      <w:r>
        <w:rPr>
          <w:rFonts w:ascii="微软雅黑" w:hAnsi="微软雅黑" w:eastAsia="微软雅黑" w:cs="微软雅黑"/>
          <w:spacing w:val="-19"/>
          <w:sz w:val="16"/>
          <w:szCs w:val="16"/>
        </w:rPr>
        <w:t xml:space="preserve"> </w:t>
      </w:r>
      <w:r>
        <w:rPr>
          <w:rFonts w:ascii="微软雅黑" w:hAnsi="微软雅黑" w:eastAsia="微软雅黑" w:cs="微软雅黑"/>
          <w:spacing w:val="27"/>
          <w:sz w:val="16"/>
          <w:szCs w:val="16"/>
        </w:rPr>
        <w:t>部</w:t>
      </w:r>
      <w:r>
        <w:rPr>
          <w:rFonts w:ascii="微软雅黑" w:hAnsi="微软雅黑" w:eastAsia="微软雅黑" w:cs="微软雅黑"/>
          <w:spacing w:val="-4"/>
          <w:sz w:val="16"/>
          <w:szCs w:val="16"/>
        </w:rPr>
        <w:t xml:space="preserve"> </w:t>
      </w:r>
      <w:r>
        <w:rPr>
          <w:rFonts w:ascii="微软雅黑" w:hAnsi="微软雅黑" w:eastAsia="微软雅黑" w:cs="微软雅黑"/>
          <w:spacing w:val="27"/>
          <w:sz w:val="16"/>
          <w:szCs w:val="16"/>
        </w:rPr>
        <w:t>出</w:t>
      </w:r>
      <w:r>
        <w:rPr>
          <w:rFonts w:ascii="微软雅黑" w:hAnsi="微软雅黑" w:eastAsia="微软雅黑" w:cs="微软雅黑"/>
          <w:spacing w:val="-3"/>
          <w:sz w:val="16"/>
          <w:szCs w:val="16"/>
        </w:rPr>
        <w:t xml:space="preserve"> </w:t>
      </w:r>
      <w:r>
        <w:rPr>
          <w:rFonts w:ascii="微软雅黑" w:hAnsi="微软雅黑" w:eastAsia="微软雅黑" w:cs="微软雅黑"/>
          <w:spacing w:val="27"/>
          <w:sz w:val="16"/>
          <w:szCs w:val="16"/>
        </w:rPr>
        <w:t>台</w:t>
      </w:r>
      <w:r>
        <w:rPr>
          <w:rFonts w:ascii="微软雅黑" w:hAnsi="微软雅黑" w:eastAsia="微软雅黑" w:cs="微软雅黑"/>
          <w:spacing w:val="-2"/>
          <w:sz w:val="16"/>
          <w:szCs w:val="16"/>
        </w:rPr>
        <w:t xml:space="preserve"> </w:t>
      </w:r>
      <w:r>
        <w:rPr>
          <w:rFonts w:ascii="微软雅黑" w:hAnsi="微软雅黑" w:eastAsia="微软雅黑" w:cs="微软雅黑"/>
          <w:spacing w:val="27"/>
          <w:sz w:val="16"/>
          <w:szCs w:val="16"/>
        </w:rPr>
        <w:t>了</w:t>
      </w:r>
      <w:r>
        <w:rPr>
          <w:rFonts w:ascii="微软雅黑" w:hAnsi="微软雅黑" w:eastAsia="微软雅黑" w:cs="微软雅黑"/>
          <w:sz w:val="16"/>
          <w:szCs w:val="16"/>
        </w:rPr>
        <w:t xml:space="preserve">  </w:t>
      </w:r>
      <w:r>
        <w:rPr>
          <w:rFonts w:ascii="微软雅黑" w:hAnsi="微软雅黑" w:eastAsia="微软雅黑" w:cs="微软雅黑"/>
          <w:spacing w:val="37"/>
          <w:sz w:val="16"/>
          <w:szCs w:val="16"/>
        </w:rPr>
        <w:t>相关政策</w:t>
      </w:r>
      <w:r>
        <w:rPr>
          <w:rFonts w:ascii="微软雅黑" w:hAnsi="微软雅黑" w:eastAsia="微软雅黑" w:cs="微软雅黑"/>
          <w:spacing w:val="-21"/>
          <w:sz w:val="16"/>
          <w:szCs w:val="16"/>
        </w:rPr>
        <w:t xml:space="preserve"> </w:t>
      </w:r>
      <w:r>
        <w:rPr>
          <w:rFonts w:ascii="微软雅黑" w:hAnsi="微软雅黑" w:eastAsia="微软雅黑" w:cs="微软雅黑"/>
          <w:spacing w:val="37"/>
          <w:sz w:val="16"/>
          <w:szCs w:val="16"/>
        </w:rPr>
        <w:t>，构建了五位</w:t>
      </w:r>
      <w:r>
        <w:rPr>
          <w:rFonts w:ascii="微软雅黑" w:hAnsi="微软雅黑" w:eastAsia="微软雅黑" w:cs="微软雅黑"/>
          <w:spacing w:val="-27"/>
          <w:sz w:val="16"/>
          <w:szCs w:val="16"/>
        </w:rPr>
        <w:t xml:space="preserve"> </w:t>
      </w:r>
      <w:r>
        <w:rPr>
          <w:rFonts w:ascii="微软雅黑" w:hAnsi="微软雅黑" w:eastAsia="微软雅黑" w:cs="微软雅黑"/>
          <w:spacing w:val="37"/>
          <w:sz w:val="16"/>
          <w:szCs w:val="16"/>
        </w:rPr>
        <w:t>一</w:t>
      </w:r>
      <w:r>
        <w:rPr>
          <w:rFonts w:ascii="微软雅黑" w:hAnsi="微软雅黑" w:eastAsia="微软雅黑" w:cs="微软雅黑"/>
          <w:spacing w:val="-28"/>
          <w:sz w:val="16"/>
          <w:szCs w:val="16"/>
        </w:rPr>
        <w:t xml:space="preserve"> </w:t>
      </w:r>
      <w:r>
        <w:rPr>
          <w:rFonts w:ascii="微软雅黑" w:hAnsi="微软雅黑" w:eastAsia="微软雅黑" w:cs="微软雅黑"/>
          <w:spacing w:val="37"/>
          <w:sz w:val="16"/>
          <w:szCs w:val="16"/>
        </w:rPr>
        <w:t>体的教育评估体系</w:t>
      </w:r>
      <w:r>
        <w:rPr>
          <w:rFonts w:ascii="微软雅黑" w:hAnsi="微软雅黑" w:eastAsia="微软雅黑" w:cs="微软雅黑"/>
          <w:spacing w:val="-24"/>
          <w:sz w:val="16"/>
          <w:szCs w:val="16"/>
        </w:rPr>
        <w:t xml:space="preserve"> </w:t>
      </w:r>
      <w:r>
        <w:rPr>
          <w:rFonts w:ascii="微软雅黑" w:hAnsi="微软雅黑" w:eastAsia="微软雅黑" w:cs="微软雅黑"/>
          <w:spacing w:val="37"/>
          <w:sz w:val="16"/>
          <w:szCs w:val="16"/>
        </w:rPr>
        <w:t>，促使高</w:t>
      </w:r>
      <w:r>
        <w:rPr>
          <w:rFonts w:ascii="微软雅黑" w:hAnsi="微软雅黑" w:eastAsia="微软雅黑" w:cs="微软雅黑"/>
          <w:sz w:val="16"/>
          <w:szCs w:val="16"/>
        </w:rPr>
        <w:t xml:space="preserve">  </w:t>
      </w:r>
      <w:r>
        <w:rPr>
          <w:rFonts w:ascii="微软雅黑" w:hAnsi="微软雅黑" w:eastAsia="微软雅黑" w:cs="微软雅黑"/>
          <w:spacing w:val="18"/>
          <w:sz w:val="16"/>
          <w:szCs w:val="16"/>
        </w:rPr>
        <w:t>校不断向</w:t>
      </w:r>
      <w:r>
        <w:rPr>
          <w:rFonts w:ascii="微软雅黑" w:hAnsi="微软雅黑" w:eastAsia="微软雅黑" w:cs="微软雅黑"/>
          <w:spacing w:val="-12"/>
          <w:sz w:val="16"/>
          <w:szCs w:val="16"/>
        </w:rPr>
        <w:t xml:space="preserve"> </w:t>
      </w:r>
      <w:r>
        <w:rPr>
          <w:rFonts w:ascii="微软雅黑" w:hAnsi="微软雅黑" w:eastAsia="微软雅黑" w:cs="微软雅黑"/>
          <w:spacing w:val="18"/>
          <w:sz w:val="16"/>
          <w:szCs w:val="16"/>
        </w:rPr>
        <w:t>规</w:t>
      </w:r>
      <w:r>
        <w:rPr>
          <w:rFonts w:ascii="微软雅黑" w:hAnsi="微软雅黑" w:eastAsia="微软雅黑" w:cs="微软雅黑"/>
          <w:spacing w:val="-9"/>
          <w:sz w:val="16"/>
          <w:szCs w:val="16"/>
        </w:rPr>
        <w:t xml:space="preserve"> </w:t>
      </w:r>
      <w:r>
        <w:rPr>
          <w:rFonts w:ascii="微软雅黑" w:hAnsi="微软雅黑" w:eastAsia="微软雅黑" w:cs="微软雅黑"/>
          <w:spacing w:val="18"/>
          <w:sz w:val="16"/>
          <w:szCs w:val="16"/>
        </w:rPr>
        <w:t>范</w:t>
      </w:r>
      <w:r>
        <w:rPr>
          <w:rFonts w:ascii="微软雅黑" w:hAnsi="微软雅黑" w:eastAsia="微软雅黑" w:cs="微软雅黑"/>
          <w:spacing w:val="-12"/>
          <w:sz w:val="16"/>
          <w:szCs w:val="16"/>
        </w:rPr>
        <w:t xml:space="preserve"> </w:t>
      </w:r>
      <w:r>
        <w:rPr>
          <w:rFonts w:ascii="微软雅黑" w:hAnsi="微软雅黑" w:eastAsia="微软雅黑" w:cs="微软雅黑"/>
          <w:spacing w:val="18"/>
          <w:sz w:val="16"/>
          <w:szCs w:val="16"/>
        </w:rPr>
        <w:t>化</w:t>
      </w:r>
      <w:r>
        <w:rPr>
          <w:rFonts w:ascii="微软雅黑" w:hAnsi="微软雅黑" w:eastAsia="微软雅黑" w:cs="微软雅黑"/>
          <w:spacing w:val="-17"/>
          <w:sz w:val="16"/>
          <w:szCs w:val="16"/>
        </w:rPr>
        <w:t xml:space="preserve"> </w:t>
      </w:r>
      <w:r>
        <w:rPr>
          <w:rFonts w:ascii="微软雅黑" w:hAnsi="微软雅黑" w:eastAsia="微软雅黑" w:cs="微软雅黑"/>
          <w:spacing w:val="18"/>
          <w:sz w:val="16"/>
          <w:szCs w:val="16"/>
        </w:rPr>
        <w:t>、高</w:t>
      </w:r>
      <w:r>
        <w:rPr>
          <w:rFonts w:ascii="微软雅黑" w:hAnsi="微软雅黑" w:eastAsia="微软雅黑" w:cs="微软雅黑"/>
          <w:spacing w:val="-11"/>
          <w:sz w:val="16"/>
          <w:szCs w:val="16"/>
        </w:rPr>
        <w:t xml:space="preserve"> </w:t>
      </w:r>
      <w:r>
        <w:rPr>
          <w:rFonts w:ascii="微软雅黑" w:hAnsi="微软雅黑" w:eastAsia="微软雅黑" w:cs="微软雅黑"/>
          <w:spacing w:val="18"/>
          <w:sz w:val="16"/>
          <w:szCs w:val="16"/>
        </w:rPr>
        <w:t>质</w:t>
      </w:r>
      <w:r>
        <w:rPr>
          <w:rFonts w:ascii="微软雅黑" w:hAnsi="微软雅黑" w:eastAsia="微软雅黑" w:cs="微软雅黑"/>
          <w:spacing w:val="-13"/>
          <w:sz w:val="16"/>
          <w:szCs w:val="16"/>
        </w:rPr>
        <w:t xml:space="preserve"> </w:t>
      </w:r>
      <w:r>
        <w:rPr>
          <w:rFonts w:ascii="微软雅黑" w:hAnsi="微软雅黑" w:eastAsia="微软雅黑" w:cs="微软雅黑"/>
          <w:spacing w:val="18"/>
          <w:sz w:val="16"/>
          <w:szCs w:val="16"/>
        </w:rPr>
        <w:t>量 的</w:t>
      </w:r>
      <w:r>
        <w:rPr>
          <w:rFonts w:ascii="微软雅黑" w:hAnsi="微软雅黑" w:eastAsia="微软雅黑" w:cs="微软雅黑"/>
          <w:spacing w:val="-12"/>
          <w:sz w:val="16"/>
          <w:szCs w:val="16"/>
        </w:rPr>
        <w:t xml:space="preserve"> </w:t>
      </w:r>
      <w:r>
        <w:rPr>
          <w:rFonts w:ascii="微软雅黑" w:hAnsi="微软雅黑" w:eastAsia="微软雅黑" w:cs="微软雅黑"/>
          <w:spacing w:val="18"/>
          <w:sz w:val="16"/>
          <w:szCs w:val="16"/>
        </w:rPr>
        <w:t>方 向</w:t>
      </w:r>
      <w:r>
        <w:rPr>
          <w:rFonts w:ascii="微软雅黑" w:hAnsi="微软雅黑" w:eastAsia="微软雅黑" w:cs="微软雅黑"/>
          <w:spacing w:val="-11"/>
          <w:sz w:val="16"/>
          <w:szCs w:val="16"/>
        </w:rPr>
        <w:t xml:space="preserve"> </w:t>
      </w:r>
      <w:r>
        <w:rPr>
          <w:rFonts w:ascii="微软雅黑" w:hAnsi="微软雅黑" w:eastAsia="微软雅黑" w:cs="微软雅黑"/>
          <w:spacing w:val="18"/>
          <w:sz w:val="16"/>
          <w:szCs w:val="16"/>
        </w:rPr>
        <w:t>发</w:t>
      </w:r>
      <w:r>
        <w:rPr>
          <w:rFonts w:ascii="微软雅黑" w:hAnsi="微软雅黑" w:eastAsia="微软雅黑" w:cs="微软雅黑"/>
          <w:spacing w:val="-12"/>
          <w:sz w:val="16"/>
          <w:szCs w:val="16"/>
        </w:rPr>
        <w:t xml:space="preserve"> </w:t>
      </w:r>
      <w:r>
        <w:rPr>
          <w:rFonts w:ascii="微软雅黑" w:hAnsi="微软雅黑" w:eastAsia="微软雅黑" w:cs="微软雅黑"/>
          <w:spacing w:val="18"/>
          <w:sz w:val="16"/>
          <w:szCs w:val="16"/>
        </w:rPr>
        <w:t>展</w:t>
      </w:r>
      <w:r>
        <w:rPr>
          <w:rFonts w:ascii="微软雅黑" w:hAnsi="微软雅黑" w:eastAsia="微软雅黑" w:cs="微软雅黑"/>
          <w:spacing w:val="-5"/>
          <w:sz w:val="16"/>
          <w:szCs w:val="16"/>
        </w:rPr>
        <w:t xml:space="preserve"> </w:t>
      </w:r>
      <w:r>
        <w:rPr>
          <w:rFonts w:ascii="微软雅黑" w:hAnsi="微软雅黑" w:eastAsia="微软雅黑" w:cs="微软雅黑"/>
          <w:spacing w:val="18"/>
          <w:sz w:val="16"/>
          <w:szCs w:val="16"/>
        </w:rPr>
        <w:t xml:space="preserve">。 </w:t>
      </w:r>
      <w:r>
        <w:rPr>
          <w:rFonts w:ascii="微软雅黑" w:hAnsi="微软雅黑" w:eastAsia="微软雅黑" w:cs="微软雅黑"/>
          <w:spacing w:val="17"/>
          <w:sz w:val="16"/>
          <w:szCs w:val="16"/>
        </w:rPr>
        <w:t>根</w:t>
      </w:r>
      <w:r>
        <w:rPr>
          <w:rFonts w:ascii="微软雅黑" w:hAnsi="微软雅黑" w:eastAsia="微软雅黑" w:cs="微软雅黑"/>
          <w:spacing w:val="-11"/>
          <w:sz w:val="16"/>
          <w:szCs w:val="16"/>
        </w:rPr>
        <w:t xml:space="preserve"> </w:t>
      </w:r>
      <w:r>
        <w:rPr>
          <w:rFonts w:ascii="微软雅黑" w:hAnsi="微软雅黑" w:eastAsia="微软雅黑" w:cs="微软雅黑"/>
          <w:spacing w:val="17"/>
          <w:sz w:val="16"/>
          <w:szCs w:val="16"/>
        </w:rPr>
        <w:t>据《</w:t>
      </w:r>
      <w:r>
        <w:rPr>
          <w:rFonts w:ascii="Arial" w:hAnsi="Arial" w:eastAsia="Arial" w:cs="Arial"/>
          <w:spacing w:val="17"/>
          <w:sz w:val="16"/>
          <w:szCs w:val="16"/>
        </w:rPr>
        <w:t xml:space="preserve">2019  </w:t>
      </w:r>
      <w:r>
        <w:rPr>
          <w:rFonts w:ascii="微软雅黑" w:hAnsi="微软雅黑" w:eastAsia="微软雅黑" w:cs="微软雅黑"/>
          <w:spacing w:val="19"/>
          <w:sz w:val="16"/>
          <w:szCs w:val="16"/>
        </w:rPr>
        <w:t>年全 国</w:t>
      </w:r>
      <w:r>
        <w:rPr>
          <w:rFonts w:ascii="微软雅黑" w:hAnsi="微软雅黑" w:eastAsia="微软雅黑" w:cs="微软雅黑"/>
          <w:spacing w:val="-15"/>
          <w:sz w:val="16"/>
          <w:szCs w:val="16"/>
        </w:rPr>
        <w:t xml:space="preserve"> </w:t>
      </w:r>
      <w:r>
        <w:rPr>
          <w:rFonts w:ascii="微软雅黑" w:hAnsi="微软雅黑" w:eastAsia="微软雅黑" w:cs="微软雅黑"/>
          <w:spacing w:val="19"/>
          <w:sz w:val="16"/>
          <w:szCs w:val="16"/>
        </w:rPr>
        <w:t>教</w:t>
      </w:r>
      <w:r>
        <w:rPr>
          <w:rFonts w:ascii="微软雅黑" w:hAnsi="微软雅黑" w:eastAsia="微软雅黑" w:cs="微软雅黑"/>
          <w:spacing w:val="-16"/>
          <w:sz w:val="16"/>
          <w:szCs w:val="16"/>
        </w:rPr>
        <w:t xml:space="preserve"> </w:t>
      </w:r>
      <w:r>
        <w:rPr>
          <w:rFonts w:ascii="微软雅黑" w:hAnsi="微软雅黑" w:eastAsia="微软雅黑" w:cs="微软雅黑"/>
          <w:spacing w:val="19"/>
          <w:sz w:val="16"/>
          <w:szCs w:val="16"/>
        </w:rPr>
        <w:t>育</w:t>
      </w:r>
      <w:r>
        <w:rPr>
          <w:rFonts w:ascii="微软雅黑" w:hAnsi="微软雅黑" w:eastAsia="微软雅黑" w:cs="微软雅黑"/>
          <w:spacing w:val="-18"/>
          <w:sz w:val="16"/>
          <w:szCs w:val="16"/>
        </w:rPr>
        <w:t xml:space="preserve"> </w:t>
      </w:r>
      <w:r>
        <w:rPr>
          <w:rFonts w:ascii="微软雅黑" w:hAnsi="微软雅黑" w:eastAsia="微软雅黑" w:cs="微软雅黑"/>
          <w:spacing w:val="19"/>
          <w:sz w:val="16"/>
          <w:szCs w:val="16"/>
        </w:rPr>
        <w:t>事</w:t>
      </w:r>
      <w:r>
        <w:rPr>
          <w:rFonts w:ascii="微软雅黑" w:hAnsi="微软雅黑" w:eastAsia="微软雅黑" w:cs="微软雅黑"/>
          <w:spacing w:val="-20"/>
          <w:sz w:val="16"/>
          <w:szCs w:val="16"/>
        </w:rPr>
        <w:t xml:space="preserve"> </w:t>
      </w:r>
      <w:r>
        <w:rPr>
          <w:rFonts w:ascii="微软雅黑" w:hAnsi="微软雅黑" w:eastAsia="微软雅黑" w:cs="微软雅黑"/>
          <w:spacing w:val="19"/>
          <w:sz w:val="16"/>
          <w:szCs w:val="16"/>
        </w:rPr>
        <w:t>业</w:t>
      </w:r>
      <w:r>
        <w:rPr>
          <w:rFonts w:ascii="微软雅黑" w:hAnsi="微软雅黑" w:eastAsia="微软雅黑" w:cs="微软雅黑"/>
          <w:spacing w:val="-17"/>
          <w:sz w:val="16"/>
          <w:szCs w:val="16"/>
        </w:rPr>
        <w:t xml:space="preserve"> </w:t>
      </w:r>
      <w:r>
        <w:rPr>
          <w:rFonts w:ascii="微软雅黑" w:hAnsi="微软雅黑" w:eastAsia="微软雅黑" w:cs="微软雅黑"/>
          <w:spacing w:val="19"/>
          <w:sz w:val="16"/>
          <w:szCs w:val="16"/>
        </w:rPr>
        <w:t>发</w:t>
      </w:r>
      <w:r>
        <w:rPr>
          <w:rFonts w:ascii="微软雅黑" w:hAnsi="微软雅黑" w:eastAsia="微软雅黑" w:cs="微软雅黑"/>
          <w:spacing w:val="-18"/>
          <w:sz w:val="16"/>
          <w:szCs w:val="16"/>
        </w:rPr>
        <w:t xml:space="preserve"> </w:t>
      </w:r>
      <w:r>
        <w:rPr>
          <w:rFonts w:ascii="微软雅黑" w:hAnsi="微软雅黑" w:eastAsia="微软雅黑" w:cs="微软雅黑"/>
          <w:spacing w:val="19"/>
          <w:sz w:val="16"/>
          <w:szCs w:val="16"/>
        </w:rPr>
        <w:t>展</w:t>
      </w:r>
      <w:r>
        <w:rPr>
          <w:rFonts w:ascii="微软雅黑" w:hAnsi="微软雅黑" w:eastAsia="微软雅黑" w:cs="微软雅黑"/>
          <w:spacing w:val="-17"/>
          <w:sz w:val="16"/>
          <w:szCs w:val="16"/>
        </w:rPr>
        <w:t xml:space="preserve"> </w:t>
      </w:r>
      <w:r>
        <w:rPr>
          <w:rFonts w:ascii="微软雅黑" w:hAnsi="微软雅黑" w:eastAsia="微软雅黑" w:cs="微软雅黑"/>
          <w:spacing w:val="19"/>
          <w:sz w:val="16"/>
          <w:szCs w:val="16"/>
        </w:rPr>
        <w:t>统</w:t>
      </w:r>
      <w:r>
        <w:rPr>
          <w:rFonts w:ascii="微软雅黑" w:hAnsi="微软雅黑" w:eastAsia="微软雅黑" w:cs="微软雅黑"/>
          <w:spacing w:val="-20"/>
          <w:sz w:val="16"/>
          <w:szCs w:val="16"/>
        </w:rPr>
        <w:t xml:space="preserve"> </w:t>
      </w:r>
      <w:r>
        <w:rPr>
          <w:rFonts w:ascii="微软雅黑" w:hAnsi="微软雅黑" w:eastAsia="微软雅黑" w:cs="微软雅黑"/>
          <w:spacing w:val="19"/>
          <w:sz w:val="16"/>
          <w:szCs w:val="16"/>
        </w:rPr>
        <w:t>计</w:t>
      </w:r>
      <w:r>
        <w:rPr>
          <w:rFonts w:ascii="微软雅黑" w:hAnsi="微软雅黑" w:eastAsia="微软雅黑" w:cs="微软雅黑"/>
          <w:spacing w:val="-20"/>
          <w:sz w:val="16"/>
          <w:szCs w:val="16"/>
        </w:rPr>
        <w:t xml:space="preserve"> </w:t>
      </w:r>
      <w:r>
        <w:rPr>
          <w:rFonts w:ascii="微软雅黑" w:hAnsi="微软雅黑" w:eastAsia="微软雅黑" w:cs="微软雅黑"/>
          <w:spacing w:val="19"/>
          <w:sz w:val="16"/>
          <w:szCs w:val="16"/>
        </w:rPr>
        <w:t>公</w:t>
      </w:r>
      <w:r>
        <w:rPr>
          <w:rFonts w:ascii="微软雅黑" w:hAnsi="微软雅黑" w:eastAsia="微软雅黑" w:cs="微软雅黑"/>
          <w:spacing w:val="-17"/>
          <w:sz w:val="16"/>
          <w:szCs w:val="16"/>
        </w:rPr>
        <w:t xml:space="preserve"> </w:t>
      </w:r>
      <w:r>
        <w:rPr>
          <w:rFonts w:ascii="微软雅黑" w:hAnsi="微软雅黑" w:eastAsia="微软雅黑" w:cs="微软雅黑"/>
          <w:spacing w:val="19"/>
          <w:sz w:val="16"/>
          <w:szCs w:val="16"/>
        </w:rPr>
        <w:t>报》显</w:t>
      </w:r>
      <w:r>
        <w:rPr>
          <w:rFonts w:ascii="微软雅黑" w:hAnsi="微软雅黑" w:eastAsia="微软雅黑" w:cs="微软雅黑"/>
          <w:spacing w:val="-20"/>
          <w:sz w:val="16"/>
          <w:szCs w:val="16"/>
        </w:rPr>
        <w:t xml:space="preserve"> </w:t>
      </w:r>
      <w:r>
        <w:rPr>
          <w:rFonts w:ascii="微软雅黑" w:hAnsi="微软雅黑" w:eastAsia="微软雅黑" w:cs="微软雅黑"/>
          <w:spacing w:val="19"/>
          <w:sz w:val="16"/>
          <w:szCs w:val="16"/>
        </w:rPr>
        <w:t>示</w:t>
      </w:r>
      <w:r>
        <w:rPr>
          <w:rFonts w:ascii="微软雅黑" w:hAnsi="微软雅黑" w:eastAsia="微软雅黑" w:cs="微软雅黑"/>
          <w:spacing w:val="-23"/>
          <w:sz w:val="16"/>
          <w:szCs w:val="16"/>
        </w:rPr>
        <w:t xml:space="preserve"> </w:t>
      </w:r>
      <w:r>
        <w:rPr>
          <w:rFonts w:ascii="微软雅黑" w:hAnsi="微软雅黑" w:eastAsia="微软雅黑" w:cs="微软雅黑"/>
          <w:spacing w:val="19"/>
          <w:sz w:val="16"/>
          <w:szCs w:val="16"/>
        </w:rPr>
        <w:t>，</w:t>
      </w:r>
      <w:r>
        <w:rPr>
          <w:rFonts w:ascii="Arial" w:hAnsi="Arial" w:eastAsia="Arial" w:cs="Arial"/>
          <w:spacing w:val="19"/>
          <w:position w:val="-2"/>
          <w:sz w:val="16"/>
          <w:szCs w:val="16"/>
        </w:rPr>
        <w:t>2019</w:t>
      </w:r>
      <w:r>
        <w:rPr>
          <w:rFonts w:ascii="Arial" w:hAnsi="Arial" w:eastAsia="Arial" w:cs="Arial"/>
          <w:spacing w:val="4"/>
          <w:position w:val="-2"/>
          <w:sz w:val="16"/>
          <w:szCs w:val="16"/>
        </w:rPr>
        <w:t xml:space="preserve">  </w:t>
      </w:r>
      <w:r>
        <w:rPr>
          <w:rFonts w:ascii="微软雅黑" w:hAnsi="微软雅黑" w:eastAsia="微软雅黑" w:cs="微软雅黑"/>
          <w:spacing w:val="19"/>
          <w:sz w:val="16"/>
          <w:szCs w:val="16"/>
        </w:rPr>
        <w:t>年</w:t>
      </w:r>
      <w:r>
        <w:rPr>
          <w:rFonts w:ascii="微软雅黑" w:hAnsi="微软雅黑" w:eastAsia="微软雅黑" w:cs="微软雅黑"/>
          <w:spacing w:val="-16"/>
          <w:sz w:val="16"/>
          <w:szCs w:val="16"/>
        </w:rPr>
        <w:t xml:space="preserve"> </w:t>
      </w:r>
      <w:r>
        <w:rPr>
          <w:rFonts w:ascii="微软雅黑" w:hAnsi="微软雅黑" w:eastAsia="微软雅黑" w:cs="微软雅黑"/>
          <w:spacing w:val="19"/>
          <w:sz w:val="16"/>
          <w:szCs w:val="16"/>
        </w:rPr>
        <w:t>我 国</w:t>
      </w:r>
      <w:r>
        <w:rPr>
          <w:rFonts w:ascii="微软雅黑" w:hAnsi="微软雅黑" w:eastAsia="微软雅黑" w:cs="微软雅黑"/>
          <w:sz w:val="16"/>
          <w:szCs w:val="16"/>
        </w:rPr>
        <w:t xml:space="preserve">  </w:t>
      </w:r>
      <w:r>
        <w:rPr>
          <w:rFonts w:ascii="微软雅黑" w:hAnsi="微软雅黑" w:eastAsia="微软雅黑" w:cs="微软雅黑"/>
          <w:spacing w:val="9"/>
          <w:w w:val="121"/>
          <w:sz w:val="16"/>
          <w:szCs w:val="16"/>
        </w:rPr>
        <w:t xml:space="preserve">高等教育在学总规模达 </w:t>
      </w:r>
      <w:r>
        <w:rPr>
          <w:rFonts w:ascii="Arial" w:hAnsi="Arial" w:eastAsia="Arial" w:cs="Arial"/>
          <w:spacing w:val="9"/>
          <w:w w:val="121"/>
          <w:sz w:val="16"/>
          <w:szCs w:val="16"/>
        </w:rPr>
        <w:t>4002</w:t>
      </w:r>
      <w:r>
        <w:rPr>
          <w:rFonts w:ascii="微软雅黑" w:hAnsi="微软雅黑" w:eastAsia="微软雅黑" w:cs="微软雅黑"/>
          <w:spacing w:val="9"/>
          <w:w w:val="121"/>
          <w:sz w:val="16"/>
          <w:szCs w:val="16"/>
        </w:rPr>
        <w:t>万人</w:t>
      </w:r>
      <w:r>
        <w:rPr>
          <w:rFonts w:ascii="微软雅黑" w:hAnsi="微软雅黑" w:eastAsia="微软雅黑" w:cs="微软雅黑"/>
          <w:spacing w:val="-12"/>
          <w:sz w:val="16"/>
          <w:szCs w:val="16"/>
        </w:rPr>
        <w:t xml:space="preserve"> </w:t>
      </w:r>
      <w:r>
        <w:rPr>
          <w:rFonts w:ascii="微软雅黑" w:hAnsi="微软雅黑" w:eastAsia="微软雅黑" w:cs="微软雅黑"/>
          <w:spacing w:val="9"/>
          <w:w w:val="121"/>
          <w:sz w:val="16"/>
          <w:szCs w:val="16"/>
        </w:rPr>
        <w:t>，高等教育毛入学</w:t>
      </w:r>
      <w:r>
        <w:rPr>
          <w:rFonts w:ascii="微软雅黑" w:hAnsi="微软雅黑" w:eastAsia="微软雅黑" w:cs="微软雅黑"/>
          <w:sz w:val="16"/>
          <w:szCs w:val="16"/>
        </w:rPr>
        <w:t xml:space="preserve">  </w:t>
      </w:r>
      <w:r>
        <w:rPr>
          <w:rFonts w:ascii="微软雅黑" w:hAnsi="微软雅黑" w:eastAsia="微软雅黑" w:cs="微软雅黑"/>
          <w:spacing w:val="10"/>
          <w:w w:val="118"/>
          <w:sz w:val="16"/>
          <w:szCs w:val="16"/>
        </w:rPr>
        <w:t>率达</w:t>
      </w:r>
      <w:r>
        <w:rPr>
          <w:rFonts w:ascii="微软雅黑" w:hAnsi="微软雅黑" w:eastAsia="微软雅黑" w:cs="微软雅黑"/>
          <w:spacing w:val="42"/>
          <w:sz w:val="16"/>
          <w:szCs w:val="16"/>
        </w:rPr>
        <w:t xml:space="preserve"> </w:t>
      </w:r>
      <w:r>
        <w:rPr>
          <w:rFonts w:ascii="Arial" w:hAnsi="Arial" w:eastAsia="Arial" w:cs="Arial"/>
          <w:spacing w:val="10"/>
          <w:w w:val="118"/>
          <w:sz w:val="16"/>
          <w:szCs w:val="16"/>
        </w:rPr>
        <w:t>51</w:t>
      </w:r>
      <w:r>
        <w:rPr>
          <w:rFonts w:ascii="Arial" w:hAnsi="Arial" w:eastAsia="Arial" w:cs="Arial"/>
          <w:spacing w:val="-9"/>
          <w:sz w:val="16"/>
          <w:szCs w:val="16"/>
        </w:rPr>
        <w:t xml:space="preserve"> </w:t>
      </w:r>
      <w:r>
        <w:rPr>
          <w:rFonts w:ascii="Arial" w:hAnsi="Arial" w:eastAsia="Arial" w:cs="Arial"/>
          <w:spacing w:val="10"/>
          <w:w w:val="118"/>
          <w:position w:val="-2"/>
          <w:sz w:val="16"/>
          <w:szCs w:val="16"/>
        </w:rPr>
        <w:t>.</w:t>
      </w:r>
      <w:r>
        <w:rPr>
          <w:rFonts w:ascii="Arial" w:hAnsi="Arial" w:eastAsia="Arial" w:cs="Arial"/>
          <w:spacing w:val="35"/>
          <w:w w:val="101"/>
          <w:position w:val="-2"/>
          <w:sz w:val="16"/>
          <w:szCs w:val="16"/>
        </w:rPr>
        <w:t xml:space="preserve"> </w:t>
      </w:r>
      <w:r>
        <w:rPr>
          <w:rFonts w:ascii="Arial" w:hAnsi="Arial" w:eastAsia="Arial" w:cs="Arial"/>
          <w:spacing w:val="10"/>
          <w:w w:val="118"/>
          <w:position w:val="-2"/>
          <w:sz w:val="16"/>
          <w:szCs w:val="16"/>
        </w:rPr>
        <w:t xml:space="preserve">6% </w:t>
      </w:r>
      <w:r>
        <w:rPr>
          <w:rFonts w:ascii="微软雅黑" w:hAnsi="微软雅黑" w:eastAsia="微软雅黑" w:cs="微软雅黑"/>
          <w:spacing w:val="10"/>
          <w:w w:val="118"/>
          <w:sz w:val="16"/>
          <w:szCs w:val="16"/>
        </w:rPr>
        <w:t>,</w:t>
      </w:r>
      <w:r>
        <w:rPr>
          <w:rFonts w:ascii="微软雅黑" w:hAnsi="微软雅黑" w:eastAsia="微软雅黑" w:cs="微软雅黑"/>
          <w:spacing w:val="1"/>
          <w:sz w:val="16"/>
          <w:szCs w:val="16"/>
        </w:rPr>
        <w:t xml:space="preserve"> </w:t>
      </w:r>
      <w:r>
        <w:rPr>
          <w:rFonts w:ascii="微软雅黑" w:hAnsi="微软雅黑" w:eastAsia="微软雅黑" w:cs="微软雅黑"/>
          <w:spacing w:val="10"/>
          <w:w w:val="118"/>
          <w:sz w:val="16"/>
          <w:szCs w:val="16"/>
        </w:rPr>
        <w:t>高等教育进入普及化阶段</w:t>
      </w:r>
      <w:r>
        <w:rPr>
          <w:rFonts w:ascii="微软雅黑" w:hAnsi="微软雅黑" w:eastAsia="微软雅黑" w:cs="微软雅黑"/>
          <w:spacing w:val="-6"/>
          <w:sz w:val="16"/>
          <w:szCs w:val="16"/>
        </w:rPr>
        <w:t xml:space="preserve"> </w:t>
      </w:r>
      <w:r>
        <w:rPr>
          <w:rFonts w:ascii="微软雅黑" w:hAnsi="微软雅黑" w:eastAsia="微软雅黑" w:cs="微软雅黑"/>
          <w:spacing w:val="10"/>
          <w:w w:val="118"/>
          <w:sz w:val="16"/>
          <w:szCs w:val="16"/>
        </w:rPr>
        <w:t>。</w:t>
      </w:r>
      <w:r>
        <w:rPr>
          <w:rFonts w:ascii="微软雅黑" w:hAnsi="微软雅黑" w:eastAsia="微软雅黑" w:cs="微软雅黑"/>
          <w:spacing w:val="-3"/>
          <w:sz w:val="16"/>
          <w:szCs w:val="16"/>
        </w:rPr>
        <w:t xml:space="preserve"> </w:t>
      </w:r>
      <w:r>
        <w:rPr>
          <w:rFonts w:ascii="微软雅黑" w:hAnsi="微软雅黑" w:eastAsia="微软雅黑" w:cs="微软雅黑"/>
          <w:spacing w:val="10"/>
          <w:w w:val="118"/>
          <w:sz w:val="16"/>
          <w:szCs w:val="16"/>
        </w:rPr>
        <w:t>高等教育</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质量得到愈发的重视</w:t>
      </w:r>
      <w:r>
        <w:rPr>
          <w:rFonts w:ascii="微软雅黑" w:hAnsi="微软雅黑" w:eastAsia="微软雅黑" w:cs="微软雅黑"/>
          <w:spacing w:val="5"/>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11"/>
          <w:sz w:val="16"/>
          <w:szCs w:val="16"/>
        </w:rPr>
        <w:t xml:space="preserve"> </w:t>
      </w:r>
      <w:r>
        <w:rPr>
          <w:rFonts w:ascii="微软雅黑" w:hAnsi="微软雅黑" w:eastAsia="微软雅黑" w:cs="微软雅黑"/>
          <w:spacing w:val="6"/>
          <w:w w:val="125"/>
          <w:sz w:val="16"/>
          <w:szCs w:val="16"/>
        </w:rPr>
        <w:t>针对我国高等教育新的发展</w:t>
      </w:r>
      <w:r>
        <w:rPr>
          <w:rFonts w:ascii="微软雅黑" w:hAnsi="微软雅黑" w:eastAsia="微软雅黑" w:cs="微软雅黑"/>
          <w:sz w:val="16"/>
          <w:szCs w:val="16"/>
        </w:rPr>
        <w:t xml:space="preserve">  </w:t>
      </w:r>
      <w:r>
        <w:rPr>
          <w:rFonts w:ascii="微软雅黑" w:hAnsi="微软雅黑" w:eastAsia="微软雅黑" w:cs="微软雅黑"/>
          <w:spacing w:val="14"/>
          <w:sz w:val="16"/>
          <w:szCs w:val="16"/>
        </w:rPr>
        <w:t>阶段</w:t>
      </w:r>
      <w:r>
        <w:rPr>
          <w:rFonts w:ascii="微软雅黑" w:hAnsi="微软雅黑" w:eastAsia="微软雅黑" w:cs="微软雅黑"/>
          <w:spacing w:val="-24"/>
          <w:sz w:val="16"/>
          <w:szCs w:val="16"/>
        </w:rPr>
        <w:t xml:space="preserve"> </w:t>
      </w:r>
      <w:r>
        <w:rPr>
          <w:rFonts w:ascii="微软雅黑" w:hAnsi="微软雅黑" w:eastAsia="微软雅黑" w:cs="微软雅黑"/>
          <w:spacing w:val="14"/>
          <w:sz w:val="16"/>
          <w:szCs w:val="16"/>
        </w:rPr>
        <w:t>，国</w:t>
      </w:r>
      <w:r>
        <w:rPr>
          <w:rFonts w:ascii="微软雅黑" w:hAnsi="微软雅黑" w:eastAsia="微软雅黑" w:cs="微软雅黑"/>
          <w:spacing w:val="-18"/>
          <w:sz w:val="16"/>
          <w:szCs w:val="16"/>
        </w:rPr>
        <w:t xml:space="preserve"> </w:t>
      </w:r>
      <w:r>
        <w:rPr>
          <w:rFonts w:ascii="微软雅黑" w:hAnsi="微软雅黑" w:eastAsia="微软雅黑" w:cs="微软雅黑"/>
          <w:spacing w:val="14"/>
          <w:sz w:val="16"/>
          <w:szCs w:val="16"/>
        </w:rPr>
        <w:t>务</w:t>
      </w:r>
      <w:r>
        <w:rPr>
          <w:rFonts w:ascii="微软雅黑" w:hAnsi="微软雅黑" w:eastAsia="微软雅黑" w:cs="微软雅黑"/>
          <w:spacing w:val="-5"/>
          <w:sz w:val="16"/>
          <w:szCs w:val="16"/>
        </w:rPr>
        <w:t xml:space="preserve"> </w:t>
      </w:r>
      <w:r>
        <w:rPr>
          <w:rFonts w:ascii="微软雅黑" w:hAnsi="微软雅黑" w:eastAsia="微软雅黑" w:cs="微软雅黑"/>
          <w:spacing w:val="14"/>
          <w:sz w:val="16"/>
          <w:szCs w:val="16"/>
        </w:rPr>
        <w:t>院</w:t>
      </w:r>
      <w:r>
        <w:rPr>
          <w:rFonts w:ascii="微软雅黑" w:hAnsi="微软雅黑" w:eastAsia="微软雅黑" w:cs="微软雅黑"/>
          <w:spacing w:val="-6"/>
          <w:sz w:val="16"/>
          <w:szCs w:val="16"/>
        </w:rPr>
        <w:t xml:space="preserve"> </w:t>
      </w:r>
      <w:r>
        <w:rPr>
          <w:rFonts w:ascii="微软雅黑" w:hAnsi="微软雅黑" w:eastAsia="微软雅黑" w:cs="微软雅黑"/>
          <w:spacing w:val="14"/>
          <w:sz w:val="16"/>
          <w:szCs w:val="16"/>
        </w:rPr>
        <w:t>印</w:t>
      </w:r>
      <w:r>
        <w:rPr>
          <w:rFonts w:ascii="微软雅黑" w:hAnsi="微软雅黑" w:eastAsia="微软雅黑" w:cs="微软雅黑"/>
          <w:spacing w:val="-17"/>
          <w:sz w:val="16"/>
          <w:szCs w:val="16"/>
        </w:rPr>
        <w:t xml:space="preserve"> </w:t>
      </w:r>
      <w:r>
        <w:rPr>
          <w:rFonts w:ascii="微软雅黑" w:hAnsi="微软雅黑" w:eastAsia="微软雅黑" w:cs="微软雅黑"/>
          <w:spacing w:val="14"/>
          <w:sz w:val="16"/>
          <w:szCs w:val="16"/>
        </w:rPr>
        <w:t>发 了《中 国</w:t>
      </w:r>
      <w:r>
        <w:rPr>
          <w:rFonts w:ascii="微软雅黑" w:hAnsi="微软雅黑" w:eastAsia="微软雅黑" w:cs="微软雅黑"/>
          <w:spacing w:val="-18"/>
          <w:sz w:val="16"/>
          <w:szCs w:val="16"/>
        </w:rPr>
        <w:t xml:space="preserve"> </w:t>
      </w:r>
      <w:r>
        <w:rPr>
          <w:rFonts w:ascii="微软雅黑" w:hAnsi="微软雅黑" w:eastAsia="微软雅黑" w:cs="微软雅黑"/>
          <w:spacing w:val="14"/>
          <w:sz w:val="16"/>
          <w:szCs w:val="16"/>
        </w:rPr>
        <w:t>教</w:t>
      </w:r>
      <w:r>
        <w:rPr>
          <w:rFonts w:ascii="微软雅黑" w:hAnsi="微软雅黑" w:eastAsia="微软雅黑" w:cs="微软雅黑"/>
          <w:spacing w:val="-16"/>
          <w:sz w:val="16"/>
          <w:szCs w:val="16"/>
        </w:rPr>
        <w:t xml:space="preserve"> </w:t>
      </w:r>
      <w:r>
        <w:rPr>
          <w:rFonts w:ascii="微软雅黑" w:hAnsi="微软雅黑" w:eastAsia="微软雅黑" w:cs="微软雅黑"/>
          <w:spacing w:val="14"/>
          <w:sz w:val="16"/>
          <w:szCs w:val="16"/>
        </w:rPr>
        <w:t>育</w:t>
      </w:r>
      <w:r>
        <w:rPr>
          <w:rFonts w:ascii="微软雅黑" w:hAnsi="微软雅黑" w:eastAsia="微软雅黑" w:cs="微软雅黑"/>
          <w:spacing w:val="-16"/>
          <w:sz w:val="16"/>
          <w:szCs w:val="16"/>
        </w:rPr>
        <w:t xml:space="preserve"> </w:t>
      </w:r>
      <w:r>
        <w:rPr>
          <w:rFonts w:ascii="微软雅黑" w:hAnsi="微软雅黑" w:eastAsia="微软雅黑" w:cs="微软雅黑"/>
          <w:spacing w:val="14"/>
          <w:sz w:val="16"/>
          <w:szCs w:val="16"/>
        </w:rPr>
        <w:t>现</w:t>
      </w:r>
      <w:r>
        <w:rPr>
          <w:rFonts w:ascii="微软雅黑" w:hAnsi="微软雅黑" w:eastAsia="微软雅黑" w:cs="微软雅黑"/>
          <w:spacing w:val="-18"/>
          <w:sz w:val="16"/>
          <w:szCs w:val="16"/>
        </w:rPr>
        <w:t xml:space="preserve"> </w:t>
      </w:r>
      <w:r>
        <w:rPr>
          <w:rFonts w:ascii="微软雅黑" w:hAnsi="微软雅黑" w:eastAsia="微软雅黑" w:cs="微软雅黑"/>
          <w:spacing w:val="14"/>
          <w:sz w:val="16"/>
          <w:szCs w:val="16"/>
        </w:rPr>
        <w:t>代</w:t>
      </w:r>
      <w:r>
        <w:rPr>
          <w:rFonts w:ascii="微软雅黑" w:hAnsi="微软雅黑" w:eastAsia="微软雅黑" w:cs="微软雅黑"/>
          <w:spacing w:val="-18"/>
          <w:sz w:val="16"/>
          <w:szCs w:val="16"/>
        </w:rPr>
        <w:t xml:space="preserve"> </w:t>
      </w:r>
      <w:r>
        <w:rPr>
          <w:rFonts w:ascii="微软雅黑" w:hAnsi="微软雅黑" w:eastAsia="微软雅黑" w:cs="微软雅黑"/>
          <w:spacing w:val="14"/>
          <w:sz w:val="16"/>
          <w:szCs w:val="16"/>
        </w:rPr>
        <w:t>化</w:t>
      </w:r>
      <w:r>
        <w:rPr>
          <w:rFonts w:ascii="微软雅黑" w:hAnsi="微软雅黑" w:eastAsia="微软雅黑" w:cs="微软雅黑"/>
          <w:spacing w:val="40"/>
          <w:w w:val="101"/>
          <w:sz w:val="16"/>
          <w:szCs w:val="16"/>
        </w:rPr>
        <w:t xml:space="preserve"> </w:t>
      </w:r>
      <w:r>
        <w:rPr>
          <w:rFonts w:ascii="Arial" w:hAnsi="Arial" w:eastAsia="Arial" w:cs="Arial"/>
          <w:spacing w:val="14"/>
          <w:sz w:val="16"/>
          <w:szCs w:val="16"/>
        </w:rPr>
        <w:t>20</w:t>
      </w:r>
      <w:r>
        <w:rPr>
          <w:rFonts w:ascii="Arial" w:hAnsi="Arial" w:eastAsia="Arial" w:cs="Arial"/>
          <w:spacing w:val="13"/>
          <w:sz w:val="16"/>
          <w:szCs w:val="16"/>
        </w:rPr>
        <w:t>35</w:t>
      </w:r>
      <w:r>
        <w:rPr>
          <w:rFonts w:ascii="微软雅黑" w:hAnsi="微软雅黑" w:eastAsia="微软雅黑" w:cs="微软雅黑"/>
          <w:spacing w:val="13"/>
          <w:sz w:val="16"/>
          <w:szCs w:val="16"/>
        </w:rPr>
        <w:t>》，明</w:t>
      </w:r>
      <w:r>
        <w:rPr>
          <w:rFonts w:ascii="微软雅黑" w:hAnsi="微软雅黑" w:eastAsia="微软雅黑" w:cs="微软雅黑"/>
          <w:spacing w:val="-15"/>
          <w:sz w:val="16"/>
          <w:szCs w:val="16"/>
        </w:rPr>
        <w:t xml:space="preserve"> </w:t>
      </w:r>
      <w:r>
        <w:rPr>
          <w:rFonts w:ascii="微软雅黑" w:hAnsi="微软雅黑" w:eastAsia="微软雅黑" w:cs="微软雅黑"/>
          <w:spacing w:val="13"/>
          <w:sz w:val="16"/>
          <w:szCs w:val="16"/>
        </w:rPr>
        <w:t>确</w:t>
      </w:r>
      <w:r>
        <w:rPr>
          <w:rFonts w:ascii="微软雅黑" w:hAnsi="微软雅黑" w:eastAsia="微软雅黑" w:cs="微软雅黑"/>
          <w:sz w:val="16"/>
          <w:szCs w:val="16"/>
        </w:rPr>
        <w:t xml:space="preserve">  </w:t>
      </w:r>
      <w:r>
        <w:rPr>
          <w:rFonts w:ascii="微软雅黑" w:hAnsi="微软雅黑" w:eastAsia="微软雅黑" w:cs="微软雅黑"/>
          <w:spacing w:val="31"/>
          <w:sz w:val="16"/>
          <w:szCs w:val="16"/>
        </w:rPr>
        <w:t>提出到</w:t>
      </w:r>
      <w:r>
        <w:rPr>
          <w:rFonts w:ascii="微软雅黑" w:hAnsi="微软雅黑" w:eastAsia="微软雅黑" w:cs="微软雅黑"/>
          <w:spacing w:val="27"/>
          <w:sz w:val="16"/>
          <w:szCs w:val="16"/>
        </w:rPr>
        <w:t xml:space="preserve"> </w:t>
      </w:r>
      <w:r>
        <w:rPr>
          <w:rFonts w:ascii="Arial" w:hAnsi="Arial" w:eastAsia="Arial" w:cs="Arial"/>
          <w:spacing w:val="31"/>
          <w:sz w:val="16"/>
          <w:szCs w:val="16"/>
        </w:rPr>
        <w:t>2035</w:t>
      </w:r>
      <w:r>
        <w:rPr>
          <w:rFonts w:ascii="微软雅黑" w:hAnsi="微软雅黑" w:eastAsia="微软雅黑" w:cs="微软雅黑"/>
          <w:spacing w:val="31"/>
          <w:sz w:val="16"/>
          <w:szCs w:val="16"/>
        </w:rPr>
        <w:t>年高等教</w:t>
      </w:r>
      <w:r>
        <w:rPr>
          <w:rFonts w:ascii="微软雅黑" w:hAnsi="微软雅黑" w:eastAsia="微软雅黑" w:cs="微软雅黑"/>
          <w:spacing w:val="-17"/>
          <w:sz w:val="16"/>
          <w:szCs w:val="16"/>
        </w:rPr>
        <w:t xml:space="preserve"> </w:t>
      </w:r>
      <w:r>
        <w:rPr>
          <w:rFonts w:ascii="微软雅黑" w:hAnsi="微软雅黑" w:eastAsia="微软雅黑" w:cs="微软雅黑"/>
          <w:spacing w:val="31"/>
          <w:sz w:val="16"/>
          <w:szCs w:val="16"/>
        </w:rPr>
        <w:t>育</w:t>
      </w:r>
      <w:r>
        <w:rPr>
          <w:rFonts w:ascii="微软雅黑" w:hAnsi="微软雅黑" w:eastAsia="微软雅黑" w:cs="微软雅黑"/>
          <w:spacing w:val="-19"/>
          <w:sz w:val="16"/>
          <w:szCs w:val="16"/>
        </w:rPr>
        <w:t xml:space="preserve"> </w:t>
      </w:r>
      <w:r>
        <w:rPr>
          <w:rFonts w:ascii="微软雅黑" w:hAnsi="微软雅黑" w:eastAsia="微软雅黑" w:cs="微软雅黑"/>
          <w:spacing w:val="31"/>
          <w:sz w:val="16"/>
          <w:szCs w:val="16"/>
        </w:rPr>
        <w:t>竞</w:t>
      </w:r>
      <w:r>
        <w:rPr>
          <w:rFonts w:ascii="微软雅黑" w:hAnsi="微软雅黑" w:eastAsia="微软雅黑" w:cs="微软雅黑"/>
          <w:spacing w:val="-17"/>
          <w:sz w:val="16"/>
          <w:szCs w:val="16"/>
        </w:rPr>
        <w:t xml:space="preserve"> </w:t>
      </w:r>
      <w:r>
        <w:rPr>
          <w:rFonts w:ascii="微软雅黑" w:hAnsi="微软雅黑" w:eastAsia="微软雅黑" w:cs="微软雅黑"/>
          <w:spacing w:val="31"/>
          <w:sz w:val="16"/>
          <w:szCs w:val="16"/>
        </w:rPr>
        <w:t>争</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力</w:t>
      </w:r>
      <w:r>
        <w:rPr>
          <w:rFonts w:ascii="微软雅黑" w:hAnsi="微软雅黑" w:eastAsia="微软雅黑" w:cs="微软雅黑"/>
          <w:spacing w:val="-2"/>
          <w:sz w:val="16"/>
          <w:szCs w:val="16"/>
        </w:rPr>
        <w:t xml:space="preserve"> </w:t>
      </w:r>
      <w:r>
        <w:rPr>
          <w:rFonts w:ascii="微软雅黑" w:hAnsi="微软雅黑" w:eastAsia="微软雅黑" w:cs="微软雅黑"/>
          <w:spacing w:val="31"/>
          <w:sz w:val="16"/>
          <w:szCs w:val="16"/>
        </w:rPr>
        <w:t>明</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显</w:t>
      </w:r>
      <w:r>
        <w:rPr>
          <w:rFonts w:ascii="微软雅黑" w:hAnsi="微软雅黑" w:eastAsia="微软雅黑" w:cs="微软雅黑"/>
          <w:spacing w:val="-17"/>
          <w:sz w:val="16"/>
          <w:szCs w:val="16"/>
        </w:rPr>
        <w:t xml:space="preserve"> </w:t>
      </w:r>
      <w:r>
        <w:rPr>
          <w:rFonts w:ascii="微软雅黑" w:hAnsi="微软雅黑" w:eastAsia="微软雅黑" w:cs="微软雅黑"/>
          <w:spacing w:val="31"/>
          <w:sz w:val="16"/>
          <w:szCs w:val="16"/>
        </w:rPr>
        <w:t>提</w:t>
      </w:r>
      <w:r>
        <w:rPr>
          <w:rFonts w:ascii="微软雅黑" w:hAnsi="微软雅黑" w:eastAsia="微软雅黑" w:cs="微软雅黑"/>
          <w:spacing w:val="-15"/>
          <w:sz w:val="16"/>
          <w:szCs w:val="16"/>
        </w:rPr>
        <w:t xml:space="preserve"> </w:t>
      </w:r>
      <w:r>
        <w:rPr>
          <w:rFonts w:ascii="微软雅黑" w:hAnsi="微软雅黑" w:eastAsia="微软雅黑" w:cs="微软雅黑"/>
          <w:spacing w:val="31"/>
          <w:sz w:val="16"/>
          <w:szCs w:val="16"/>
        </w:rPr>
        <w:t>升</w:t>
      </w:r>
      <w:r>
        <w:rPr>
          <w:rFonts w:ascii="微软雅黑" w:hAnsi="微软雅黑" w:eastAsia="微软雅黑" w:cs="微软雅黑"/>
          <w:spacing w:val="-2"/>
          <w:sz w:val="16"/>
          <w:szCs w:val="16"/>
        </w:rPr>
        <w:t xml:space="preserve"> </w:t>
      </w:r>
      <w:r>
        <w:rPr>
          <w:rFonts w:ascii="微软雅黑" w:hAnsi="微软雅黑" w:eastAsia="微软雅黑" w:cs="微软雅黑"/>
          <w:spacing w:val="31"/>
          <w:sz w:val="16"/>
          <w:szCs w:val="16"/>
        </w:rPr>
        <w:t>的</w:t>
      </w:r>
      <w:r>
        <w:rPr>
          <w:rFonts w:ascii="微软雅黑" w:hAnsi="微软雅黑" w:eastAsia="微软雅黑" w:cs="微软雅黑"/>
          <w:spacing w:val="-17"/>
          <w:sz w:val="16"/>
          <w:szCs w:val="16"/>
        </w:rPr>
        <w:t xml:space="preserve"> </w:t>
      </w:r>
      <w:r>
        <w:rPr>
          <w:rFonts w:ascii="微软雅黑" w:hAnsi="微软雅黑" w:eastAsia="微软雅黑" w:cs="微软雅黑"/>
          <w:spacing w:val="31"/>
          <w:sz w:val="16"/>
          <w:szCs w:val="16"/>
        </w:rPr>
        <w:t>发</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展</w:t>
      </w:r>
      <w:r>
        <w:rPr>
          <w:rFonts w:ascii="微软雅黑" w:hAnsi="微软雅黑" w:eastAsia="微软雅黑" w:cs="微软雅黑"/>
          <w:spacing w:val="30"/>
          <w:sz w:val="16"/>
          <w:szCs w:val="16"/>
        </w:rPr>
        <w:t xml:space="preserve"> 目</w:t>
      </w:r>
      <w:r>
        <w:rPr>
          <w:rFonts w:ascii="微软雅黑" w:hAnsi="微软雅黑" w:eastAsia="微软雅黑" w:cs="微软雅黑"/>
          <w:sz w:val="16"/>
          <w:szCs w:val="16"/>
        </w:rPr>
        <w:t xml:space="preserve">  </w:t>
      </w:r>
      <w:r>
        <w:rPr>
          <w:rFonts w:ascii="微软雅黑" w:hAnsi="微软雅黑" w:eastAsia="微软雅黑" w:cs="微软雅黑"/>
          <w:spacing w:val="35"/>
          <w:sz w:val="16"/>
          <w:szCs w:val="16"/>
        </w:rPr>
        <w:t>标</w:t>
      </w:r>
      <w:r>
        <w:rPr>
          <w:rFonts w:ascii="微软雅黑" w:hAnsi="微软雅黑" w:eastAsia="微软雅黑" w:cs="微软雅黑"/>
          <w:spacing w:val="2"/>
          <w:sz w:val="16"/>
          <w:szCs w:val="16"/>
        </w:rPr>
        <w:t xml:space="preserve"> </w:t>
      </w:r>
      <w:r>
        <w:rPr>
          <w:rFonts w:ascii="微软雅黑" w:hAnsi="微软雅黑" w:eastAsia="微软雅黑" w:cs="微软雅黑"/>
          <w:spacing w:val="35"/>
          <w:sz w:val="16"/>
          <w:szCs w:val="16"/>
        </w:rPr>
        <w:t>。《教育部关于深化本科教</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育</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教</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学</w:t>
      </w:r>
      <w:r>
        <w:rPr>
          <w:rFonts w:ascii="微软雅黑" w:hAnsi="微软雅黑" w:eastAsia="微软雅黑" w:cs="微软雅黑"/>
          <w:spacing w:val="-16"/>
          <w:sz w:val="16"/>
          <w:szCs w:val="16"/>
        </w:rPr>
        <w:t xml:space="preserve"> </w:t>
      </w:r>
      <w:r>
        <w:rPr>
          <w:rFonts w:ascii="微软雅黑" w:hAnsi="微软雅黑" w:eastAsia="微软雅黑" w:cs="微软雅黑"/>
          <w:spacing w:val="35"/>
          <w:sz w:val="16"/>
          <w:szCs w:val="16"/>
        </w:rPr>
        <w:t>改</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革</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全</w:t>
      </w:r>
      <w:r>
        <w:rPr>
          <w:rFonts w:ascii="微软雅黑" w:hAnsi="微软雅黑" w:eastAsia="微软雅黑" w:cs="微软雅黑"/>
          <w:spacing w:val="-11"/>
          <w:sz w:val="16"/>
          <w:szCs w:val="16"/>
        </w:rPr>
        <w:t xml:space="preserve"> </w:t>
      </w:r>
      <w:r>
        <w:rPr>
          <w:rFonts w:ascii="微软雅黑" w:hAnsi="微软雅黑" w:eastAsia="微软雅黑" w:cs="微软雅黑"/>
          <w:spacing w:val="35"/>
          <w:sz w:val="16"/>
          <w:szCs w:val="16"/>
        </w:rPr>
        <w:t>面</w:t>
      </w:r>
      <w:r>
        <w:rPr>
          <w:rFonts w:ascii="微软雅黑" w:hAnsi="微软雅黑" w:eastAsia="微软雅黑" w:cs="微软雅黑"/>
          <w:spacing w:val="-16"/>
          <w:sz w:val="16"/>
          <w:szCs w:val="16"/>
        </w:rPr>
        <w:t xml:space="preserve"> </w:t>
      </w:r>
      <w:r>
        <w:rPr>
          <w:rFonts w:ascii="微软雅黑" w:hAnsi="微软雅黑" w:eastAsia="微软雅黑" w:cs="微软雅黑"/>
          <w:spacing w:val="35"/>
          <w:sz w:val="16"/>
          <w:szCs w:val="16"/>
        </w:rPr>
        <w:t>提</w:t>
      </w:r>
      <w:r>
        <w:rPr>
          <w:rFonts w:ascii="微软雅黑" w:hAnsi="微软雅黑" w:eastAsia="微软雅黑" w:cs="微软雅黑"/>
          <w:spacing w:val="-15"/>
          <w:sz w:val="16"/>
          <w:szCs w:val="16"/>
        </w:rPr>
        <w:t xml:space="preserve"> </w:t>
      </w:r>
      <w:r>
        <w:rPr>
          <w:rFonts w:ascii="微软雅黑" w:hAnsi="微软雅黑" w:eastAsia="微软雅黑" w:cs="微软雅黑"/>
          <w:spacing w:val="35"/>
          <w:sz w:val="16"/>
          <w:szCs w:val="16"/>
        </w:rPr>
        <w:t>高</w:t>
      </w:r>
      <w:r>
        <w:rPr>
          <w:rFonts w:ascii="微软雅黑" w:hAnsi="微软雅黑" w:eastAsia="微软雅黑" w:cs="微软雅黑"/>
          <w:sz w:val="16"/>
          <w:szCs w:val="16"/>
        </w:rPr>
        <w:t xml:space="preserve">  </w:t>
      </w:r>
      <w:r>
        <w:rPr>
          <w:rFonts w:ascii="微软雅黑" w:hAnsi="微软雅黑" w:eastAsia="微软雅黑" w:cs="微软雅黑"/>
          <w:spacing w:val="21"/>
          <w:sz w:val="16"/>
          <w:szCs w:val="16"/>
        </w:rPr>
        <w:t>人才培养质</w:t>
      </w:r>
      <w:r>
        <w:rPr>
          <w:rFonts w:ascii="微软雅黑" w:hAnsi="微软雅黑" w:eastAsia="微软雅黑" w:cs="微软雅黑"/>
          <w:spacing w:val="-14"/>
          <w:sz w:val="16"/>
          <w:szCs w:val="16"/>
        </w:rPr>
        <w:t xml:space="preserve"> </w:t>
      </w:r>
      <w:r>
        <w:rPr>
          <w:rFonts w:ascii="微软雅黑" w:hAnsi="微软雅黑" w:eastAsia="微软雅黑" w:cs="微软雅黑"/>
          <w:spacing w:val="21"/>
          <w:sz w:val="16"/>
          <w:szCs w:val="16"/>
        </w:rPr>
        <w:t>量</w:t>
      </w:r>
      <w:r>
        <w:rPr>
          <w:rFonts w:ascii="微软雅黑" w:hAnsi="微软雅黑" w:eastAsia="微软雅黑" w:cs="微软雅黑"/>
          <w:spacing w:val="-3"/>
          <w:sz w:val="16"/>
          <w:szCs w:val="16"/>
        </w:rPr>
        <w:t xml:space="preserve"> </w:t>
      </w:r>
      <w:r>
        <w:rPr>
          <w:rFonts w:ascii="微软雅黑" w:hAnsi="微软雅黑" w:eastAsia="微软雅黑" w:cs="微软雅黑"/>
          <w:spacing w:val="21"/>
          <w:sz w:val="16"/>
          <w:szCs w:val="16"/>
        </w:rPr>
        <w:t>的</w:t>
      </w:r>
      <w:r>
        <w:rPr>
          <w:rFonts w:ascii="微软雅黑" w:hAnsi="微软雅黑" w:eastAsia="微软雅黑" w:cs="微软雅黑"/>
          <w:spacing w:val="-15"/>
          <w:sz w:val="16"/>
          <w:szCs w:val="16"/>
        </w:rPr>
        <w:t xml:space="preserve"> </w:t>
      </w:r>
      <w:r>
        <w:rPr>
          <w:rFonts w:ascii="微软雅黑" w:hAnsi="微软雅黑" w:eastAsia="微软雅黑" w:cs="微软雅黑"/>
          <w:spacing w:val="21"/>
          <w:sz w:val="16"/>
          <w:szCs w:val="16"/>
        </w:rPr>
        <w:t>意</w:t>
      </w:r>
      <w:r>
        <w:rPr>
          <w:rFonts w:ascii="微软雅黑" w:hAnsi="微软雅黑" w:eastAsia="微软雅黑" w:cs="微软雅黑"/>
          <w:spacing w:val="-18"/>
          <w:sz w:val="16"/>
          <w:szCs w:val="16"/>
        </w:rPr>
        <w:t xml:space="preserve"> </w:t>
      </w:r>
      <w:r>
        <w:rPr>
          <w:rFonts w:ascii="微软雅黑" w:hAnsi="微软雅黑" w:eastAsia="微软雅黑" w:cs="微软雅黑"/>
          <w:spacing w:val="21"/>
          <w:sz w:val="16"/>
          <w:szCs w:val="16"/>
        </w:rPr>
        <w:t>见》（教</w:t>
      </w:r>
      <w:r>
        <w:rPr>
          <w:rFonts w:ascii="微软雅黑" w:hAnsi="微软雅黑" w:eastAsia="微软雅黑" w:cs="微软雅黑"/>
          <w:spacing w:val="-15"/>
          <w:sz w:val="16"/>
          <w:szCs w:val="16"/>
        </w:rPr>
        <w:t xml:space="preserve"> </w:t>
      </w:r>
      <w:r>
        <w:rPr>
          <w:rFonts w:ascii="微软雅黑" w:hAnsi="微软雅黑" w:eastAsia="微软雅黑" w:cs="微软雅黑"/>
          <w:spacing w:val="21"/>
          <w:sz w:val="16"/>
          <w:szCs w:val="16"/>
        </w:rPr>
        <w:t>高〔</w:t>
      </w:r>
      <w:r>
        <w:rPr>
          <w:rFonts w:ascii="Arial" w:hAnsi="Arial" w:eastAsia="Arial" w:cs="Arial"/>
          <w:spacing w:val="21"/>
          <w:sz w:val="16"/>
          <w:szCs w:val="16"/>
        </w:rPr>
        <w:t>2019</w:t>
      </w:r>
      <w:r>
        <w:rPr>
          <w:rFonts w:ascii="微软雅黑" w:hAnsi="微软雅黑" w:eastAsia="微软雅黑" w:cs="微软雅黑"/>
          <w:spacing w:val="21"/>
          <w:sz w:val="16"/>
          <w:szCs w:val="16"/>
        </w:rPr>
        <w:t>〕</w:t>
      </w:r>
      <w:r>
        <w:rPr>
          <w:rFonts w:ascii="Arial" w:hAnsi="Arial" w:eastAsia="Arial" w:cs="Arial"/>
          <w:spacing w:val="21"/>
          <w:sz w:val="16"/>
          <w:szCs w:val="16"/>
        </w:rPr>
        <w:t>6</w:t>
      </w:r>
      <w:r>
        <w:rPr>
          <w:rFonts w:ascii="微软雅黑" w:hAnsi="微软雅黑" w:eastAsia="微软雅黑" w:cs="微软雅黑"/>
          <w:spacing w:val="21"/>
          <w:sz w:val="16"/>
          <w:szCs w:val="16"/>
        </w:rPr>
        <w:t>号）也</w:t>
      </w:r>
      <w:r>
        <w:rPr>
          <w:rFonts w:ascii="微软雅黑" w:hAnsi="微软雅黑" w:eastAsia="微软雅黑" w:cs="微软雅黑"/>
          <w:spacing w:val="-15"/>
          <w:sz w:val="16"/>
          <w:szCs w:val="16"/>
        </w:rPr>
        <w:t xml:space="preserve"> </w:t>
      </w:r>
      <w:r>
        <w:rPr>
          <w:rFonts w:ascii="微软雅黑" w:hAnsi="微软雅黑" w:eastAsia="微软雅黑" w:cs="微软雅黑"/>
          <w:spacing w:val="21"/>
          <w:sz w:val="16"/>
          <w:szCs w:val="16"/>
        </w:rPr>
        <w:t>针</w:t>
      </w:r>
      <w:r>
        <w:rPr>
          <w:rFonts w:ascii="微软雅黑" w:hAnsi="微软雅黑" w:eastAsia="微软雅黑" w:cs="微软雅黑"/>
          <w:spacing w:val="-17"/>
          <w:sz w:val="16"/>
          <w:szCs w:val="16"/>
        </w:rPr>
        <w:t xml:space="preserve"> </w:t>
      </w:r>
      <w:r>
        <w:rPr>
          <w:rFonts w:ascii="微软雅黑" w:hAnsi="微软雅黑" w:eastAsia="微软雅黑" w:cs="微软雅黑"/>
          <w:spacing w:val="21"/>
          <w:sz w:val="16"/>
          <w:szCs w:val="16"/>
        </w:rPr>
        <w:t>对</w:t>
      </w:r>
      <w:r>
        <w:rPr>
          <w:rFonts w:ascii="微软雅黑" w:hAnsi="微软雅黑" w:eastAsia="微软雅黑" w:cs="微软雅黑"/>
          <w:spacing w:val="-12"/>
          <w:sz w:val="16"/>
          <w:szCs w:val="16"/>
        </w:rPr>
        <w:t xml:space="preserve"> </w:t>
      </w:r>
      <w:r>
        <w:rPr>
          <w:rFonts w:ascii="微软雅黑" w:hAnsi="微软雅黑" w:eastAsia="微软雅黑" w:cs="微软雅黑"/>
          <w:spacing w:val="21"/>
          <w:sz w:val="16"/>
          <w:szCs w:val="16"/>
        </w:rPr>
        <w:t>高</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校提高人才培养质量提出各项意见</w:t>
      </w:r>
      <w:r>
        <w:rPr>
          <w:rFonts w:ascii="微软雅黑" w:hAnsi="微软雅黑" w:eastAsia="微软雅黑" w:cs="微软雅黑"/>
          <w:spacing w:val="-1"/>
          <w:sz w:val="16"/>
          <w:szCs w:val="16"/>
        </w:rPr>
        <w:t xml:space="preserve"> </w:t>
      </w:r>
      <w:r>
        <w:rPr>
          <w:rFonts w:ascii="微软雅黑" w:hAnsi="微软雅黑" w:eastAsia="微软雅黑" w:cs="微软雅黑"/>
          <w:spacing w:val="36"/>
          <w:sz w:val="16"/>
          <w:szCs w:val="16"/>
        </w:rPr>
        <w:t>。</w:t>
      </w:r>
      <w:r>
        <w:rPr>
          <w:rFonts w:ascii="微软雅黑" w:hAnsi="微软雅黑" w:eastAsia="微软雅黑" w:cs="微软雅黑"/>
          <w:spacing w:val="-5"/>
          <w:sz w:val="16"/>
          <w:szCs w:val="16"/>
        </w:rPr>
        <w:t xml:space="preserve"> </w:t>
      </w:r>
      <w:r>
        <w:rPr>
          <w:rFonts w:ascii="微软雅黑" w:hAnsi="微软雅黑" w:eastAsia="微软雅黑" w:cs="微软雅黑"/>
          <w:spacing w:val="36"/>
          <w:sz w:val="16"/>
          <w:szCs w:val="16"/>
        </w:rPr>
        <w:t>“质量</w:t>
      </w:r>
      <w:r>
        <w:rPr>
          <w:rFonts w:ascii="微软雅黑" w:hAnsi="微软雅黑" w:eastAsia="微软雅黑" w:cs="微软雅黑"/>
          <w:spacing w:val="-24"/>
          <w:sz w:val="16"/>
          <w:szCs w:val="16"/>
        </w:rPr>
        <w:t xml:space="preserve"> </w:t>
      </w:r>
      <w:r>
        <w:rPr>
          <w:rFonts w:ascii="微软雅黑" w:hAnsi="微软雅黑" w:eastAsia="微软雅黑" w:cs="微软雅黑"/>
          <w:spacing w:val="36"/>
          <w:sz w:val="16"/>
          <w:szCs w:val="16"/>
        </w:rPr>
        <w:t>”已经成</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为当前高等教育发展的重要主题</w:t>
      </w:r>
      <w:r>
        <w:rPr>
          <w:rFonts w:ascii="微软雅黑" w:hAnsi="微软雅黑" w:eastAsia="微软雅黑" w:cs="微软雅黑"/>
          <w:spacing w:val="1"/>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7"/>
          <w:sz w:val="16"/>
          <w:szCs w:val="16"/>
        </w:rPr>
        <w:t xml:space="preserve"> </w:t>
      </w:r>
      <w:r>
        <w:rPr>
          <w:rFonts w:ascii="微软雅黑" w:hAnsi="微软雅黑" w:eastAsia="微软雅黑" w:cs="微软雅黑"/>
          <w:spacing w:val="6"/>
          <w:w w:val="125"/>
          <w:sz w:val="16"/>
          <w:szCs w:val="16"/>
        </w:rPr>
        <w:t>如何提高高等教</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育质量也成为高等教育领域的重要研究命题</w:t>
      </w:r>
      <w:r>
        <w:rPr>
          <w:rFonts w:ascii="微软雅黑" w:hAnsi="微软雅黑" w:eastAsia="微软雅黑" w:cs="微软雅黑"/>
          <w:spacing w:val="-13"/>
          <w:sz w:val="16"/>
          <w:szCs w:val="16"/>
        </w:rPr>
        <w:t xml:space="preserve"> </w:t>
      </w:r>
      <w:r>
        <w:rPr>
          <w:rFonts w:ascii="微软雅黑" w:hAnsi="微软雅黑" w:eastAsia="微软雅黑" w:cs="微软雅黑"/>
          <w:spacing w:val="6"/>
          <w:w w:val="125"/>
          <w:sz w:val="16"/>
          <w:szCs w:val="16"/>
        </w:rPr>
        <w:t>。</w:t>
      </w:r>
    </w:p>
    <w:p>
      <w:pPr>
        <w:spacing w:before="59"/>
        <w:ind w:left="905" w:right="204" w:firstLine="419"/>
        <w:jc w:val="both"/>
        <w:rPr>
          <w:rFonts w:ascii="微软雅黑" w:hAnsi="微软雅黑" w:eastAsia="微软雅黑" w:cs="微软雅黑"/>
          <w:sz w:val="16"/>
          <w:szCs w:val="16"/>
        </w:rPr>
      </w:pPr>
      <w:r>
        <w:rPr>
          <w:rFonts w:ascii="微软雅黑" w:hAnsi="微软雅黑" w:eastAsia="微软雅黑" w:cs="微软雅黑"/>
          <w:spacing w:val="22"/>
          <w:sz w:val="16"/>
          <w:szCs w:val="16"/>
        </w:rPr>
        <w:t>综观以</w:t>
      </w:r>
      <w:r>
        <w:rPr>
          <w:rFonts w:ascii="微软雅黑" w:hAnsi="微软雅黑" w:eastAsia="微软雅黑" w:cs="微软雅黑"/>
          <w:spacing w:val="-3"/>
          <w:sz w:val="16"/>
          <w:szCs w:val="16"/>
        </w:rPr>
        <w:t xml:space="preserve"> </w:t>
      </w:r>
      <w:r>
        <w:rPr>
          <w:rFonts w:ascii="微软雅黑" w:hAnsi="微软雅黑" w:eastAsia="微软雅黑" w:cs="微软雅黑"/>
          <w:spacing w:val="22"/>
          <w:sz w:val="16"/>
          <w:szCs w:val="16"/>
        </w:rPr>
        <w:t>“高</w:t>
      </w:r>
      <w:r>
        <w:rPr>
          <w:rFonts w:ascii="微软雅黑" w:hAnsi="微软雅黑" w:eastAsia="微软雅黑" w:cs="微软雅黑"/>
          <w:spacing w:val="-12"/>
          <w:sz w:val="16"/>
          <w:szCs w:val="16"/>
        </w:rPr>
        <w:t xml:space="preserve"> </w:t>
      </w:r>
      <w:r>
        <w:rPr>
          <w:rFonts w:ascii="微软雅黑" w:hAnsi="微软雅黑" w:eastAsia="微软雅黑" w:cs="微软雅黑"/>
          <w:spacing w:val="22"/>
          <w:sz w:val="16"/>
          <w:szCs w:val="16"/>
        </w:rPr>
        <w:t>等</w:t>
      </w:r>
      <w:r>
        <w:rPr>
          <w:rFonts w:ascii="微软雅黑" w:hAnsi="微软雅黑" w:eastAsia="微软雅黑" w:cs="微软雅黑"/>
          <w:spacing w:val="-14"/>
          <w:sz w:val="16"/>
          <w:szCs w:val="16"/>
        </w:rPr>
        <w:t xml:space="preserve"> </w:t>
      </w:r>
      <w:r>
        <w:rPr>
          <w:rFonts w:ascii="微软雅黑" w:hAnsi="微软雅黑" w:eastAsia="微软雅黑" w:cs="微软雅黑"/>
          <w:spacing w:val="22"/>
          <w:sz w:val="16"/>
          <w:szCs w:val="16"/>
        </w:rPr>
        <w:t>教</w:t>
      </w:r>
      <w:r>
        <w:rPr>
          <w:rFonts w:ascii="微软雅黑" w:hAnsi="微软雅黑" w:eastAsia="微软雅黑" w:cs="微软雅黑"/>
          <w:spacing w:val="-13"/>
          <w:sz w:val="16"/>
          <w:szCs w:val="16"/>
        </w:rPr>
        <w:t xml:space="preserve"> </w:t>
      </w:r>
      <w:r>
        <w:rPr>
          <w:rFonts w:ascii="微软雅黑" w:hAnsi="微软雅黑" w:eastAsia="微软雅黑" w:cs="微软雅黑"/>
          <w:spacing w:val="22"/>
          <w:sz w:val="16"/>
          <w:szCs w:val="16"/>
        </w:rPr>
        <w:t>育</w:t>
      </w:r>
      <w:r>
        <w:rPr>
          <w:rFonts w:ascii="微软雅黑" w:hAnsi="微软雅黑" w:eastAsia="微软雅黑" w:cs="微软雅黑"/>
          <w:spacing w:val="-13"/>
          <w:sz w:val="16"/>
          <w:szCs w:val="16"/>
        </w:rPr>
        <w:t xml:space="preserve"> </w:t>
      </w:r>
      <w:r>
        <w:rPr>
          <w:rFonts w:ascii="微软雅黑" w:hAnsi="微软雅黑" w:eastAsia="微软雅黑" w:cs="微软雅黑"/>
          <w:spacing w:val="22"/>
          <w:sz w:val="16"/>
          <w:szCs w:val="16"/>
        </w:rPr>
        <w:t>质</w:t>
      </w:r>
      <w:r>
        <w:rPr>
          <w:rFonts w:ascii="微软雅黑" w:hAnsi="微软雅黑" w:eastAsia="微软雅黑" w:cs="微软雅黑"/>
          <w:spacing w:val="-14"/>
          <w:sz w:val="16"/>
          <w:szCs w:val="16"/>
        </w:rPr>
        <w:t xml:space="preserve"> </w:t>
      </w:r>
      <w:r>
        <w:rPr>
          <w:rFonts w:ascii="微软雅黑" w:hAnsi="微软雅黑" w:eastAsia="微软雅黑" w:cs="微软雅黑"/>
          <w:spacing w:val="22"/>
          <w:sz w:val="16"/>
          <w:szCs w:val="16"/>
        </w:rPr>
        <w:t>量</w:t>
      </w:r>
      <w:r>
        <w:rPr>
          <w:rFonts w:ascii="微软雅黑" w:hAnsi="微软雅黑" w:eastAsia="微软雅黑" w:cs="微软雅黑"/>
          <w:spacing w:val="-19"/>
          <w:sz w:val="16"/>
          <w:szCs w:val="16"/>
        </w:rPr>
        <w:t xml:space="preserve"> </w:t>
      </w:r>
      <w:r>
        <w:rPr>
          <w:rFonts w:ascii="微软雅黑" w:hAnsi="微软雅黑" w:eastAsia="微软雅黑" w:cs="微软雅黑"/>
          <w:spacing w:val="22"/>
          <w:sz w:val="16"/>
          <w:szCs w:val="16"/>
        </w:rPr>
        <w:t>”为</w:t>
      </w:r>
      <w:r>
        <w:rPr>
          <w:rFonts w:ascii="微软雅黑" w:hAnsi="微软雅黑" w:eastAsia="微软雅黑" w:cs="微软雅黑"/>
          <w:spacing w:val="-5"/>
          <w:sz w:val="16"/>
          <w:szCs w:val="16"/>
        </w:rPr>
        <w:t xml:space="preserve"> </w:t>
      </w:r>
      <w:r>
        <w:rPr>
          <w:rFonts w:ascii="微软雅黑" w:hAnsi="微软雅黑" w:eastAsia="微软雅黑" w:cs="微软雅黑"/>
          <w:spacing w:val="22"/>
          <w:sz w:val="16"/>
          <w:szCs w:val="16"/>
        </w:rPr>
        <w:t>主</w:t>
      </w:r>
      <w:r>
        <w:rPr>
          <w:rFonts w:ascii="微软雅黑" w:hAnsi="微软雅黑" w:eastAsia="微软雅黑" w:cs="微软雅黑"/>
          <w:spacing w:val="-13"/>
          <w:sz w:val="16"/>
          <w:szCs w:val="16"/>
        </w:rPr>
        <w:t xml:space="preserve"> </w:t>
      </w:r>
      <w:r>
        <w:rPr>
          <w:rFonts w:ascii="微软雅黑" w:hAnsi="微软雅黑" w:eastAsia="微软雅黑" w:cs="微软雅黑"/>
          <w:spacing w:val="22"/>
          <w:sz w:val="16"/>
          <w:szCs w:val="16"/>
        </w:rPr>
        <w:t>题 的</w:t>
      </w:r>
      <w:r>
        <w:rPr>
          <w:rFonts w:ascii="微软雅黑" w:hAnsi="微软雅黑" w:eastAsia="微软雅黑" w:cs="微软雅黑"/>
          <w:spacing w:val="-12"/>
          <w:sz w:val="16"/>
          <w:szCs w:val="16"/>
        </w:rPr>
        <w:t xml:space="preserve"> </w:t>
      </w:r>
      <w:r>
        <w:rPr>
          <w:rFonts w:ascii="微软雅黑" w:hAnsi="微软雅黑" w:eastAsia="微软雅黑" w:cs="微软雅黑"/>
          <w:spacing w:val="22"/>
          <w:sz w:val="16"/>
          <w:szCs w:val="16"/>
        </w:rPr>
        <w:t>相</w:t>
      </w:r>
      <w:r>
        <w:rPr>
          <w:rFonts w:ascii="微软雅黑" w:hAnsi="微软雅黑" w:eastAsia="微软雅黑" w:cs="微软雅黑"/>
          <w:spacing w:val="-14"/>
          <w:sz w:val="16"/>
          <w:szCs w:val="16"/>
        </w:rPr>
        <w:t xml:space="preserve"> </w:t>
      </w:r>
      <w:r>
        <w:rPr>
          <w:rFonts w:ascii="微软雅黑" w:hAnsi="微软雅黑" w:eastAsia="微软雅黑" w:cs="微软雅黑"/>
          <w:spacing w:val="22"/>
          <w:sz w:val="16"/>
          <w:szCs w:val="16"/>
        </w:rPr>
        <w:t>关</w:t>
      </w:r>
      <w:r>
        <w:rPr>
          <w:rFonts w:ascii="微软雅黑" w:hAnsi="微软雅黑" w:eastAsia="微软雅黑" w:cs="微软雅黑"/>
          <w:spacing w:val="-14"/>
          <w:sz w:val="16"/>
          <w:szCs w:val="16"/>
        </w:rPr>
        <w:t xml:space="preserve"> </w:t>
      </w:r>
      <w:r>
        <w:rPr>
          <w:rFonts w:ascii="微软雅黑" w:hAnsi="微软雅黑" w:eastAsia="微软雅黑" w:cs="微软雅黑"/>
          <w:spacing w:val="22"/>
          <w:sz w:val="16"/>
          <w:szCs w:val="16"/>
        </w:rPr>
        <w:t>研</w:t>
      </w:r>
      <w:r>
        <w:rPr>
          <w:rFonts w:ascii="微软雅黑" w:hAnsi="微软雅黑" w:eastAsia="微软雅黑" w:cs="微软雅黑"/>
          <w:spacing w:val="-13"/>
          <w:sz w:val="16"/>
          <w:szCs w:val="16"/>
        </w:rPr>
        <w:t xml:space="preserve"> </w:t>
      </w:r>
      <w:r>
        <w:rPr>
          <w:rFonts w:ascii="微软雅黑" w:hAnsi="微软雅黑" w:eastAsia="微软雅黑" w:cs="微软雅黑"/>
          <w:spacing w:val="22"/>
          <w:sz w:val="16"/>
          <w:szCs w:val="16"/>
        </w:rPr>
        <w:t>究</w:t>
      </w:r>
      <w:r>
        <w:rPr>
          <w:rFonts w:ascii="微软雅黑" w:hAnsi="微软雅黑" w:eastAsia="微软雅黑" w:cs="微软雅黑"/>
          <w:spacing w:val="-11"/>
          <w:sz w:val="16"/>
          <w:szCs w:val="16"/>
        </w:rPr>
        <w:t xml:space="preserve"> </w:t>
      </w:r>
      <w:r>
        <w:rPr>
          <w:rFonts w:ascii="微软雅黑" w:hAnsi="微软雅黑" w:eastAsia="微软雅黑" w:cs="微软雅黑"/>
          <w:spacing w:val="22"/>
          <w:sz w:val="16"/>
          <w:szCs w:val="16"/>
        </w:rPr>
        <w:t>发</w:t>
      </w:r>
      <w:r>
        <w:rPr>
          <w:rFonts w:ascii="微软雅黑" w:hAnsi="微软雅黑" w:eastAsia="微软雅黑" w:cs="微软雅黑"/>
          <w:sz w:val="16"/>
          <w:szCs w:val="16"/>
        </w:rPr>
        <w:t xml:space="preserve"> </w:t>
      </w:r>
      <w:r>
        <w:rPr>
          <w:rFonts w:ascii="微软雅黑" w:hAnsi="微软雅黑" w:eastAsia="微软雅黑" w:cs="微软雅黑"/>
          <w:spacing w:val="32"/>
          <w:sz w:val="16"/>
          <w:szCs w:val="16"/>
        </w:rPr>
        <w:t>现</w:t>
      </w:r>
      <w:r>
        <w:rPr>
          <w:rFonts w:ascii="微软雅黑" w:hAnsi="微软雅黑" w:eastAsia="微软雅黑" w:cs="微软雅黑"/>
          <w:spacing w:val="-24"/>
          <w:sz w:val="16"/>
          <w:szCs w:val="16"/>
        </w:rPr>
        <w:t xml:space="preserve"> </w:t>
      </w:r>
      <w:r>
        <w:rPr>
          <w:rFonts w:ascii="微软雅黑" w:hAnsi="微软雅黑" w:eastAsia="微软雅黑" w:cs="微软雅黑"/>
          <w:spacing w:val="32"/>
          <w:sz w:val="16"/>
          <w:szCs w:val="16"/>
        </w:rPr>
        <w:t>，我国学者关于这</w:t>
      </w:r>
      <w:r>
        <w:rPr>
          <w:rFonts w:ascii="微软雅黑" w:hAnsi="微软雅黑" w:eastAsia="微软雅黑" w:cs="微软雅黑"/>
          <w:spacing w:val="-19"/>
          <w:sz w:val="16"/>
          <w:szCs w:val="16"/>
        </w:rPr>
        <w:t xml:space="preserve"> </w:t>
      </w:r>
      <w:r>
        <w:rPr>
          <w:rFonts w:ascii="微软雅黑" w:hAnsi="微软雅黑" w:eastAsia="微软雅黑" w:cs="微软雅黑"/>
          <w:spacing w:val="32"/>
          <w:sz w:val="16"/>
          <w:szCs w:val="16"/>
        </w:rPr>
        <w:t>一</w:t>
      </w:r>
      <w:r>
        <w:rPr>
          <w:rFonts w:ascii="微软雅黑" w:hAnsi="微软雅黑" w:eastAsia="微软雅黑" w:cs="微软雅黑"/>
          <w:spacing w:val="-20"/>
          <w:sz w:val="16"/>
          <w:szCs w:val="16"/>
        </w:rPr>
        <w:t xml:space="preserve"> </w:t>
      </w:r>
      <w:r>
        <w:rPr>
          <w:rFonts w:ascii="微软雅黑" w:hAnsi="微软雅黑" w:eastAsia="微软雅黑" w:cs="微软雅黑"/>
          <w:spacing w:val="32"/>
          <w:sz w:val="16"/>
          <w:szCs w:val="16"/>
        </w:rPr>
        <w:t>方面的</w:t>
      </w:r>
      <w:r>
        <w:rPr>
          <w:rFonts w:ascii="微软雅黑" w:hAnsi="微软雅黑" w:eastAsia="微软雅黑" w:cs="微软雅黑"/>
          <w:spacing w:val="-20"/>
          <w:sz w:val="16"/>
          <w:szCs w:val="16"/>
        </w:rPr>
        <w:t xml:space="preserve"> </w:t>
      </w:r>
      <w:r>
        <w:rPr>
          <w:rFonts w:ascii="微软雅黑" w:hAnsi="微软雅黑" w:eastAsia="微软雅黑" w:cs="微软雅黑"/>
          <w:spacing w:val="32"/>
          <w:sz w:val="16"/>
          <w:szCs w:val="16"/>
        </w:rPr>
        <w:t>研</w:t>
      </w:r>
      <w:r>
        <w:rPr>
          <w:rFonts w:ascii="微软雅黑" w:hAnsi="微软雅黑" w:eastAsia="微软雅黑" w:cs="微软雅黑"/>
          <w:spacing w:val="-20"/>
          <w:sz w:val="16"/>
          <w:szCs w:val="16"/>
        </w:rPr>
        <w:t xml:space="preserve"> </w:t>
      </w:r>
      <w:r>
        <w:rPr>
          <w:rFonts w:ascii="微软雅黑" w:hAnsi="微软雅黑" w:eastAsia="微软雅黑" w:cs="微软雅黑"/>
          <w:spacing w:val="32"/>
          <w:sz w:val="16"/>
          <w:szCs w:val="16"/>
        </w:rPr>
        <w:t>究</w:t>
      </w:r>
      <w:r>
        <w:rPr>
          <w:rFonts w:ascii="微软雅黑" w:hAnsi="微软雅黑" w:eastAsia="微软雅黑" w:cs="微软雅黑"/>
          <w:spacing w:val="-19"/>
          <w:sz w:val="16"/>
          <w:szCs w:val="16"/>
        </w:rPr>
        <w:t xml:space="preserve"> </w:t>
      </w:r>
      <w:r>
        <w:rPr>
          <w:rFonts w:ascii="微软雅黑" w:hAnsi="微软雅黑" w:eastAsia="微软雅黑" w:cs="微软雅黑"/>
          <w:spacing w:val="32"/>
          <w:sz w:val="16"/>
          <w:szCs w:val="16"/>
        </w:rPr>
        <w:t>集 中</w:t>
      </w:r>
      <w:r>
        <w:rPr>
          <w:rFonts w:ascii="微软雅黑" w:hAnsi="微软雅黑" w:eastAsia="微软雅黑" w:cs="微软雅黑"/>
          <w:spacing w:val="-17"/>
          <w:sz w:val="16"/>
          <w:szCs w:val="16"/>
        </w:rPr>
        <w:t xml:space="preserve"> </w:t>
      </w:r>
      <w:r>
        <w:rPr>
          <w:rFonts w:ascii="微软雅黑" w:hAnsi="微软雅黑" w:eastAsia="微软雅黑" w:cs="微软雅黑"/>
          <w:spacing w:val="32"/>
          <w:sz w:val="16"/>
          <w:szCs w:val="16"/>
        </w:rPr>
        <w:t>在</w:t>
      </w:r>
      <w:r>
        <w:rPr>
          <w:rFonts w:ascii="微软雅黑" w:hAnsi="微软雅黑" w:eastAsia="微软雅黑" w:cs="微软雅黑"/>
          <w:spacing w:val="-14"/>
          <w:sz w:val="16"/>
          <w:szCs w:val="16"/>
        </w:rPr>
        <w:t xml:space="preserve"> </w:t>
      </w:r>
      <w:r>
        <w:rPr>
          <w:rFonts w:ascii="微软雅黑" w:hAnsi="微软雅黑" w:eastAsia="微软雅黑" w:cs="微软雅黑"/>
          <w:spacing w:val="32"/>
          <w:sz w:val="16"/>
          <w:szCs w:val="16"/>
        </w:rPr>
        <w:t>高</w:t>
      </w:r>
      <w:r>
        <w:rPr>
          <w:rFonts w:ascii="微软雅黑" w:hAnsi="微软雅黑" w:eastAsia="微软雅黑" w:cs="微软雅黑"/>
          <w:spacing w:val="-16"/>
          <w:sz w:val="16"/>
          <w:szCs w:val="16"/>
        </w:rPr>
        <w:t xml:space="preserve"> </w:t>
      </w:r>
      <w:r>
        <w:rPr>
          <w:rFonts w:ascii="微软雅黑" w:hAnsi="微软雅黑" w:eastAsia="微软雅黑" w:cs="微软雅黑"/>
          <w:spacing w:val="32"/>
          <w:sz w:val="16"/>
          <w:szCs w:val="16"/>
        </w:rPr>
        <w:t>等</w:t>
      </w:r>
      <w:r>
        <w:rPr>
          <w:rFonts w:ascii="微软雅黑" w:hAnsi="微软雅黑" w:eastAsia="微软雅黑" w:cs="微软雅黑"/>
          <w:spacing w:val="-18"/>
          <w:sz w:val="16"/>
          <w:szCs w:val="16"/>
        </w:rPr>
        <w:t xml:space="preserve"> </w:t>
      </w:r>
      <w:r>
        <w:rPr>
          <w:rFonts w:ascii="微软雅黑" w:hAnsi="微软雅黑" w:eastAsia="微软雅黑" w:cs="微软雅黑"/>
          <w:spacing w:val="32"/>
          <w:sz w:val="16"/>
          <w:szCs w:val="16"/>
        </w:rPr>
        <w:t>教</w:t>
      </w:r>
      <w:r>
        <w:rPr>
          <w:rFonts w:ascii="微软雅黑" w:hAnsi="微软雅黑" w:eastAsia="微软雅黑" w:cs="微软雅黑"/>
          <w:spacing w:val="-16"/>
          <w:sz w:val="16"/>
          <w:szCs w:val="16"/>
        </w:rPr>
        <w:t xml:space="preserve"> </w:t>
      </w:r>
      <w:r>
        <w:rPr>
          <w:rFonts w:ascii="微软雅黑" w:hAnsi="微软雅黑" w:eastAsia="微软雅黑" w:cs="微软雅黑"/>
          <w:spacing w:val="32"/>
          <w:sz w:val="16"/>
          <w:szCs w:val="16"/>
        </w:rPr>
        <w:t>育</w:t>
      </w:r>
      <w:r>
        <w:rPr>
          <w:rFonts w:ascii="微软雅黑" w:hAnsi="微软雅黑" w:eastAsia="微软雅黑" w:cs="微软雅黑"/>
          <w:sz w:val="16"/>
          <w:szCs w:val="16"/>
        </w:rPr>
        <w:t xml:space="preserve"> </w:t>
      </w:r>
      <w:r>
        <w:rPr>
          <w:rFonts w:ascii="微软雅黑" w:hAnsi="微软雅黑" w:eastAsia="微软雅黑" w:cs="微软雅黑"/>
          <w:spacing w:val="23"/>
          <w:sz w:val="16"/>
          <w:szCs w:val="16"/>
        </w:rPr>
        <w:t>质量管理</w:t>
      </w:r>
      <w:r>
        <w:rPr>
          <w:rFonts w:ascii="微软雅黑" w:hAnsi="微软雅黑" w:eastAsia="微软雅黑" w:cs="微软雅黑"/>
          <w:spacing w:val="-10"/>
          <w:sz w:val="16"/>
          <w:szCs w:val="16"/>
        </w:rPr>
        <w:t xml:space="preserve"> </w:t>
      </w:r>
      <w:r>
        <w:rPr>
          <w:rFonts w:ascii="微软雅黑" w:hAnsi="微软雅黑" w:eastAsia="微软雅黑" w:cs="微软雅黑"/>
          <w:spacing w:val="23"/>
          <w:sz w:val="16"/>
          <w:szCs w:val="16"/>
        </w:rPr>
        <w:t>、质量保证</w:t>
      </w:r>
      <w:r>
        <w:rPr>
          <w:rFonts w:ascii="微软雅黑" w:hAnsi="微软雅黑" w:eastAsia="微软雅黑" w:cs="微软雅黑"/>
          <w:spacing w:val="-18"/>
          <w:sz w:val="16"/>
          <w:szCs w:val="16"/>
        </w:rPr>
        <w:t xml:space="preserve"> </w:t>
      </w:r>
      <w:r>
        <w:rPr>
          <w:rFonts w:ascii="微软雅黑" w:hAnsi="微软雅黑" w:eastAsia="微软雅黑" w:cs="微软雅黑"/>
          <w:spacing w:val="23"/>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23"/>
          <w:sz w:val="16"/>
          <w:szCs w:val="16"/>
        </w:rPr>
        <w:t>量</w:t>
      </w:r>
      <w:r>
        <w:rPr>
          <w:rFonts w:ascii="微软雅黑" w:hAnsi="微软雅黑" w:eastAsia="微软雅黑" w:cs="微软雅黑"/>
          <w:spacing w:val="-20"/>
          <w:sz w:val="16"/>
          <w:szCs w:val="16"/>
        </w:rPr>
        <w:t xml:space="preserve"> </w:t>
      </w:r>
      <w:r>
        <w:rPr>
          <w:rFonts w:ascii="微软雅黑" w:hAnsi="微软雅黑" w:eastAsia="微软雅黑" w:cs="微软雅黑"/>
          <w:spacing w:val="23"/>
          <w:sz w:val="16"/>
          <w:szCs w:val="16"/>
        </w:rPr>
        <w:t>保</w:t>
      </w:r>
      <w:r>
        <w:rPr>
          <w:rFonts w:ascii="微软雅黑" w:hAnsi="微软雅黑" w:eastAsia="微软雅黑" w:cs="微软雅黑"/>
          <w:spacing w:val="-6"/>
          <w:sz w:val="16"/>
          <w:szCs w:val="16"/>
        </w:rPr>
        <w:t xml:space="preserve"> </w:t>
      </w:r>
      <w:r>
        <w:rPr>
          <w:rFonts w:ascii="微软雅黑" w:hAnsi="微软雅黑" w:eastAsia="微软雅黑" w:cs="微软雅黑"/>
          <w:spacing w:val="23"/>
          <w:sz w:val="16"/>
          <w:szCs w:val="16"/>
        </w:rPr>
        <w:t>障</w:t>
      </w:r>
      <w:r>
        <w:rPr>
          <w:rFonts w:ascii="微软雅黑" w:hAnsi="微软雅黑" w:eastAsia="微软雅黑" w:cs="微软雅黑"/>
          <w:spacing w:val="-18"/>
          <w:sz w:val="16"/>
          <w:szCs w:val="16"/>
        </w:rPr>
        <w:t xml:space="preserve"> </w:t>
      </w:r>
      <w:r>
        <w:rPr>
          <w:rFonts w:ascii="微软雅黑" w:hAnsi="微软雅黑" w:eastAsia="微软雅黑" w:cs="微软雅黑"/>
          <w:spacing w:val="23"/>
          <w:sz w:val="16"/>
          <w:szCs w:val="16"/>
        </w:rPr>
        <w:t>体</w:t>
      </w:r>
      <w:r>
        <w:rPr>
          <w:rFonts w:ascii="微软雅黑" w:hAnsi="微软雅黑" w:eastAsia="微软雅黑" w:cs="微软雅黑"/>
          <w:spacing w:val="-11"/>
          <w:sz w:val="16"/>
          <w:szCs w:val="16"/>
        </w:rPr>
        <w:t xml:space="preserve"> </w:t>
      </w:r>
      <w:r>
        <w:rPr>
          <w:rFonts w:ascii="微软雅黑" w:hAnsi="微软雅黑" w:eastAsia="微软雅黑" w:cs="微软雅黑"/>
          <w:spacing w:val="23"/>
          <w:sz w:val="16"/>
          <w:szCs w:val="16"/>
        </w:rPr>
        <w:t>系</w:t>
      </w:r>
      <w:r>
        <w:rPr>
          <w:rFonts w:ascii="微软雅黑" w:hAnsi="微软雅黑" w:eastAsia="微软雅黑" w:cs="微软雅黑"/>
          <w:spacing w:val="-17"/>
          <w:sz w:val="16"/>
          <w:szCs w:val="16"/>
        </w:rPr>
        <w:t xml:space="preserve"> </w:t>
      </w:r>
      <w:r>
        <w:rPr>
          <w:rFonts w:ascii="微软雅黑" w:hAnsi="微软雅黑" w:eastAsia="微软雅黑" w:cs="微软雅黑"/>
          <w:spacing w:val="23"/>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23"/>
          <w:sz w:val="16"/>
          <w:szCs w:val="16"/>
        </w:rPr>
        <w:t>量</w:t>
      </w:r>
      <w:r>
        <w:rPr>
          <w:rFonts w:ascii="微软雅黑" w:hAnsi="微软雅黑" w:eastAsia="微软雅黑" w:cs="微软雅黑"/>
          <w:spacing w:val="-20"/>
          <w:sz w:val="16"/>
          <w:szCs w:val="16"/>
        </w:rPr>
        <w:t xml:space="preserve"> </w:t>
      </w:r>
      <w:r>
        <w:rPr>
          <w:rFonts w:ascii="微软雅黑" w:hAnsi="微软雅黑" w:eastAsia="微软雅黑" w:cs="微软雅黑"/>
          <w:spacing w:val="23"/>
          <w:sz w:val="16"/>
          <w:szCs w:val="16"/>
        </w:rPr>
        <w:t>评</w:t>
      </w:r>
      <w:r>
        <w:rPr>
          <w:rFonts w:ascii="微软雅黑" w:hAnsi="微软雅黑" w:eastAsia="微软雅黑" w:cs="微软雅黑"/>
          <w:spacing w:val="-21"/>
          <w:sz w:val="16"/>
          <w:szCs w:val="16"/>
        </w:rPr>
        <w:t xml:space="preserve"> </w:t>
      </w:r>
      <w:r>
        <w:rPr>
          <w:rFonts w:ascii="微软雅黑" w:hAnsi="微软雅黑" w:eastAsia="微软雅黑" w:cs="微软雅黑"/>
          <w:spacing w:val="23"/>
          <w:sz w:val="16"/>
          <w:szCs w:val="16"/>
        </w:rPr>
        <w:t>估</w:t>
      </w:r>
      <w:r>
        <w:rPr>
          <w:rFonts w:ascii="微软雅黑" w:hAnsi="微软雅黑" w:eastAsia="微软雅黑" w:cs="微软雅黑"/>
          <w:spacing w:val="-16"/>
          <w:sz w:val="16"/>
          <w:szCs w:val="16"/>
        </w:rPr>
        <w:t xml:space="preserve"> </w:t>
      </w:r>
      <w:r>
        <w:rPr>
          <w:rFonts w:ascii="微软雅黑" w:hAnsi="微软雅黑" w:eastAsia="微软雅黑" w:cs="微软雅黑"/>
          <w:spacing w:val="23"/>
          <w:sz w:val="16"/>
          <w:szCs w:val="16"/>
        </w:rPr>
        <w:t>等</w:t>
      </w:r>
      <w:r>
        <w:rPr>
          <w:rFonts w:ascii="微软雅黑" w:hAnsi="微软雅黑" w:eastAsia="微软雅黑" w:cs="微软雅黑"/>
          <w:spacing w:val="-11"/>
          <w:sz w:val="16"/>
          <w:szCs w:val="16"/>
        </w:rPr>
        <w:t xml:space="preserve"> </w:t>
      </w:r>
      <w:r>
        <w:rPr>
          <w:rFonts w:ascii="微软雅黑" w:hAnsi="微软雅黑" w:eastAsia="微软雅黑" w:cs="微软雅黑"/>
          <w:spacing w:val="23"/>
          <w:sz w:val="16"/>
          <w:szCs w:val="16"/>
        </w:rPr>
        <w:t>主</w:t>
      </w:r>
      <w:r>
        <w:rPr>
          <w:rFonts w:ascii="微软雅黑" w:hAnsi="微软雅黑" w:eastAsia="微软雅黑" w:cs="微软雅黑"/>
          <w:sz w:val="16"/>
          <w:szCs w:val="16"/>
        </w:rPr>
        <w:t xml:space="preserve"> </w:t>
      </w:r>
      <w:r>
        <w:rPr>
          <w:rFonts w:ascii="微软雅黑" w:hAnsi="微软雅黑" w:eastAsia="微软雅黑" w:cs="微软雅黑"/>
          <w:spacing w:val="26"/>
          <w:sz w:val="16"/>
          <w:szCs w:val="16"/>
        </w:rPr>
        <w:t>题</w:t>
      </w:r>
      <w:r>
        <w:rPr>
          <w:rFonts w:ascii="微软雅黑" w:hAnsi="微软雅黑" w:eastAsia="微软雅黑" w:cs="微软雅黑"/>
          <w:spacing w:val="12"/>
          <w:sz w:val="16"/>
          <w:szCs w:val="16"/>
        </w:rPr>
        <w:t xml:space="preserve"> </w:t>
      </w:r>
      <w:r>
        <w:rPr>
          <w:rFonts w:ascii="微软雅黑" w:hAnsi="微软雅黑" w:eastAsia="微软雅黑" w:cs="微软雅黑"/>
          <w:spacing w:val="26"/>
          <w:sz w:val="16"/>
          <w:szCs w:val="16"/>
        </w:rPr>
        <w:t>。</w:t>
      </w:r>
      <w:r>
        <w:rPr>
          <w:rFonts w:ascii="微软雅黑" w:hAnsi="微软雅黑" w:eastAsia="微软雅黑" w:cs="微软雅黑"/>
          <w:spacing w:val="-16"/>
          <w:sz w:val="16"/>
          <w:szCs w:val="16"/>
        </w:rPr>
        <w:t xml:space="preserve"> </w:t>
      </w:r>
      <w:r>
        <w:rPr>
          <w:rFonts w:ascii="微软雅黑" w:hAnsi="微软雅黑" w:eastAsia="微软雅黑" w:cs="微软雅黑"/>
          <w:spacing w:val="26"/>
          <w:sz w:val="16"/>
          <w:szCs w:val="16"/>
        </w:rPr>
        <w:t>从相关研究中可</w:t>
      </w:r>
      <w:r>
        <w:rPr>
          <w:rFonts w:ascii="微软雅黑" w:hAnsi="微软雅黑" w:eastAsia="微软雅黑" w:cs="微软雅黑"/>
          <w:spacing w:val="-2"/>
          <w:sz w:val="16"/>
          <w:szCs w:val="16"/>
        </w:rPr>
        <w:t xml:space="preserve"> </w:t>
      </w:r>
      <w:r>
        <w:rPr>
          <w:rFonts w:ascii="微软雅黑" w:hAnsi="微软雅黑" w:eastAsia="微软雅黑" w:cs="微软雅黑"/>
          <w:spacing w:val="26"/>
          <w:sz w:val="16"/>
          <w:szCs w:val="16"/>
        </w:rPr>
        <w:t>以</w:t>
      </w:r>
      <w:r>
        <w:rPr>
          <w:rFonts w:ascii="微软雅黑" w:hAnsi="微软雅黑" w:eastAsia="微软雅黑" w:cs="微软雅黑"/>
          <w:spacing w:val="-17"/>
          <w:sz w:val="16"/>
          <w:szCs w:val="16"/>
        </w:rPr>
        <w:t xml:space="preserve"> </w:t>
      </w:r>
      <w:r>
        <w:rPr>
          <w:rFonts w:ascii="微软雅黑" w:hAnsi="微软雅黑" w:eastAsia="微软雅黑" w:cs="微软雅黑"/>
          <w:spacing w:val="26"/>
          <w:sz w:val="16"/>
          <w:szCs w:val="16"/>
        </w:rPr>
        <w:t>发</w:t>
      </w:r>
      <w:r>
        <w:rPr>
          <w:rFonts w:ascii="微软雅黑" w:hAnsi="微软雅黑" w:eastAsia="微软雅黑" w:cs="微软雅黑"/>
          <w:spacing w:val="-15"/>
          <w:sz w:val="16"/>
          <w:szCs w:val="16"/>
        </w:rPr>
        <w:t xml:space="preserve"> </w:t>
      </w:r>
      <w:r>
        <w:rPr>
          <w:rFonts w:ascii="微软雅黑" w:hAnsi="微软雅黑" w:eastAsia="微软雅黑" w:cs="微软雅黑"/>
          <w:spacing w:val="26"/>
          <w:sz w:val="16"/>
          <w:szCs w:val="16"/>
        </w:rPr>
        <w:t>现</w:t>
      </w:r>
      <w:r>
        <w:rPr>
          <w:rFonts w:ascii="微软雅黑" w:hAnsi="微软雅黑" w:eastAsia="微软雅黑" w:cs="微软雅黑"/>
          <w:spacing w:val="-24"/>
          <w:sz w:val="16"/>
          <w:szCs w:val="16"/>
        </w:rPr>
        <w:t xml:space="preserve"> </w:t>
      </w:r>
      <w:r>
        <w:rPr>
          <w:rFonts w:ascii="微软雅黑" w:hAnsi="微软雅黑" w:eastAsia="微软雅黑" w:cs="微软雅黑"/>
          <w:spacing w:val="26"/>
          <w:sz w:val="16"/>
          <w:szCs w:val="16"/>
        </w:rPr>
        <w:t>，我 国</w:t>
      </w:r>
      <w:r>
        <w:rPr>
          <w:rFonts w:ascii="微软雅黑" w:hAnsi="微软雅黑" w:eastAsia="微软雅黑" w:cs="微软雅黑"/>
          <w:spacing w:val="-15"/>
          <w:sz w:val="16"/>
          <w:szCs w:val="16"/>
        </w:rPr>
        <w:t xml:space="preserve"> </w:t>
      </w:r>
      <w:r>
        <w:rPr>
          <w:rFonts w:ascii="微软雅黑" w:hAnsi="微软雅黑" w:eastAsia="微软雅黑" w:cs="微软雅黑"/>
          <w:spacing w:val="26"/>
          <w:sz w:val="16"/>
          <w:szCs w:val="16"/>
        </w:rPr>
        <w:t>高</w:t>
      </w:r>
      <w:r>
        <w:rPr>
          <w:rFonts w:ascii="微软雅黑" w:hAnsi="微软雅黑" w:eastAsia="微软雅黑" w:cs="微软雅黑"/>
          <w:spacing w:val="-15"/>
          <w:sz w:val="16"/>
          <w:szCs w:val="16"/>
        </w:rPr>
        <w:t xml:space="preserve"> </w:t>
      </w:r>
      <w:r>
        <w:rPr>
          <w:rFonts w:ascii="微软雅黑" w:hAnsi="微软雅黑" w:eastAsia="微软雅黑" w:cs="微软雅黑"/>
          <w:spacing w:val="26"/>
          <w:sz w:val="16"/>
          <w:szCs w:val="16"/>
        </w:rPr>
        <w:t>等</w:t>
      </w:r>
      <w:r>
        <w:rPr>
          <w:rFonts w:ascii="微软雅黑" w:hAnsi="微软雅黑" w:eastAsia="微软雅黑" w:cs="微软雅黑"/>
          <w:spacing w:val="-18"/>
          <w:sz w:val="16"/>
          <w:szCs w:val="16"/>
        </w:rPr>
        <w:t xml:space="preserve"> </w:t>
      </w:r>
      <w:r>
        <w:rPr>
          <w:rFonts w:ascii="微软雅黑" w:hAnsi="微软雅黑" w:eastAsia="微软雅黑" w:cs="微软雅黑"/>
          <w:spacing w:val="26"/>
          <w:sz w:val="16"/>
          <w:szCs w:val="16"/>
        </w:rPr>
        <w:t>教</w:t>
      </w:r>
      <w:r>
        <w:rPr>
          <w:rFonts w:ascii="微软雅黑" w:hAnsi="微软雅黑" w:eastAsia="微软雅黑" w:cs="微软雅黑"/>
          <w:spacing w:val="-16"/>
          <w:sz w:val="16"/>
          <w:szCs w:val="16"/>
        </w:rPr>
        <w:t xml:space="preserve"> </w:t>
      </w:r>
      <w:r>
        <w:rPr>
          <w:rFonts w:ascii="微软雅黑" w:hAnsi="微软雅黑" w:eastAsia="微软雅黑" w:cs="微软雅黑"/>
          <w:spacing w:val="26"/>
          <w:sz w:val="16"/>
          <w:szCs w:val="16"/>
        </w:rPr>
        <w:t>育</w:t>
      </w:r>
      <w:r>
        <w:rPr>
          <w:rFonts w:ascii="微软雅黑" w:hAnsi="微软雅黑" w:eastAsia="微软雅黑" w:cs="微软雅黑"/>
          <w:spacing w:val="-17"/>
          <w:sz w:val="16"/>
          <w:szCs w:val="16"/>
        </w:rPr>
        <w:t xml:space="preserve"> </w:t>
      </w:r>
      <w:r>
        <w:rPr>
          <w:rFonts w:ascii="微软雅黑" w:hAnsi="微软雅黑" w:eastAsia="微软雅黑" w:cs="微软雅黑"/>
          <w:spacing w:val="26"/>
          <w:sz w:val="16"/>
          <w:szCs w:val="16"/>
        </w:rPr>
        <w:t>提</w:t>
      </w:r>
      <w:r>
        <w:rPr>
          <w:rFonts w:ascii="微软雅黑" w:hAnsi="微软雅黑" w:eastAsia="微软雅黑" w:cs="微软雅黑"/>
          <w:spacing w:val="-14"/>
          <w:sz w:val="16"/>
          <w:szCs w:val="16"/>
        </w:rPr>
        <w:t xml:space="preserve"> </w:t>
      </w:r>
      <w:r>
        <w:rPr>
          <w:rFonts w:ascii="微软雅黑" w:hAnsi="微软雅黑" w:eastAsia="微软雅黑" w:cs="微软雅黑"/>
          <w:spacing w:val="26"/>
          <w:sz w:val="16"/>
          <w:szCs w:val="16"/>
        </w:rPr>
        <w:t>升</w:t>
      </w:r>
      <w:r>
        <w:rPr>
          <w:rFonts w:ascii="微软雅黑" w:hAnsi="微软雅黑" w:eastAsia="微软雅黑" w:cs="微软雅黑"/>
          <w:spacing w:val="-3"/>
          <w:sz w:val="16"/>
          <w:szCs w:val="16"/>
        </w:rPr>
        <w:t xml:space="preserve"> </w:t>
      </w:r>
      <w:r>
        <w:rPr>
          <w:rFonts w:ascii="微软雅黑" w:hAnsi="微软雅黑" w:eastAsia="微软雅黑" w:cs="微软雅黑"/>
          <w:spacing w:val="26"/>
          <w:sz w:val="16"/>
          <w:szCs w:val="16"/>
        </w:rPr>
        <w:t>的</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侧重点主要集中在高等教育结构和管理上</w:t>
      </w:r>
      <w:r>
        <w:rPr>
          <w:rFonts w:ascii="微软雅黑" w:hAnsi="微软雅黑" w:eastAsia="微软雅黑" w:cs="微软雅黑"/>
          <w:spacing w:val="-5"/>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2"/>
          <w:sz w:val="16"/>
          <w:szCs w:val="16"/>
        </w:rPr>
        <w:t xml:space="preserve"> </w:t>
      </w:r>
      <w:r>
        <w:rPr>
          <w:rFonts w:ascii="微软雅黑" w:hAnsi="微软雅黑" w:eastAsia="微软雅黑" w:cs="微软雅黑"/>
          <w:spacing w:val="5"/>
          <w:w w:val="125"/>
          <w:sz w:val="16"/>
          <w:szCs w:val="16"/>
        </w:rPr>
        <w:t>随着研</w:t>
      </w:r>
      <w:r>
        <w:rPr>
          <w:rFonts w:ascii="微软雅黑" w:hAnsi="微软雅黑" w:eastAsia="微软雅黑" w:cs="微软雅黑"/>
          <w:sz w:val="16"/>
          <w:szCs w:val="16"/>
        </w:rPr>
        <w:t xml:space="preserve"> </w:t>
      </w:r>
      <w:r>
        <w:rPr>
          <w:rFonts w:ascii="微软雅黑" w:hAnsi="微软雅黑" w:eastAsia="微软雅黑" w:cs="微软雅黑"/>
          <w:spacing w:val="35"/>
          <w:sz w:val="16"/>
          <w:szCs w:val="16"/>
        </w:rPr>
        <w:t>究的不断深入</w:t>
      </w:r>
      <w:r>
        <w:rPr>
          <w:rFonts w:ascii="微软雅黑" w:hAnsi="微软雅黑" w:eastAsia="微软雅黑" w:cs="微软雅黑"/>
          <w:spacing w:val="-24"/>
          <w:sz w:val="16"/>
          <w:szCs w:val="16"/>
        </w:rPr>
        <w:t xml:space="preserve"> </w:t>
      </w:r>
      <w:r>
        <w:rPr>
          <w:rFonts w:ascii="微软雅黑" w:hAnsi="微软雅黑" w:eastAsia="微软雅黑" w:cs="微软雅黑"/>
          <w:spacing w:val="35"/>
          <w:sz w:val="16"/>
          <w:szCs w:val="16"/>
        </w:rPr>
        <w:t>，一</w:t>
      </w:r>
      <w:r>
        <w:rPr>
          <w:rFonts w:ascii="微软雅黑" w:hAnsi="微软雅黑" w:eastAsia="微软雅黑" w:cs="微软雅黑"/>
          <w:spacing w:val="-22"/>
          <w:sz w:val="16"/>
          <w:szCs w:val="16"/>
        </w:rPr>
        <w:t xml:space="preserve"> </w:t>
      </w:r>
      <w:r>
        <w:rPr>
          <w:rFonts w:ascii="微软雅黑" w:hAnsi="微软雅黑" w:eastAsia="微软雅黑" w:cs="微软雅黑"/>
          <w:spacing w:val="35"/>
          <w:sz w:val="16"/>
          <w:szCs w:val="16"/>
        </w:rPr>
        <w:t>些研究发现</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教</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育</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量</w:t>
      </w:r>
      <w:r>
        <w:rPr>
          <w:rFonts w:ascii="微软雅黑" w:hAnsi="微软雅黑" w:eastAsia="微软雅黑" w:cs="微软雅黑"/>
          <w:spacing w:val="-20"/>
          <w:sz w:val="16"/>
          <w:szCs w:val="16"/>
        </w:rPr>
        <w:t xml:space="preserve"> </w:t>
      </w:r>
      <w:r>
        <w:rPr>
          <w:rFonts w:ascii="微软雅黑" w:hAnsi="微软雅黑" w:eastAsia="微软雅黑" w:cs="微软雅黑"/>
          <w:spacing w:val="35"/>
          <w:sz w:val="16"/>
          <w:szCs w:val="16"/>
        </w:rPr>
        <w:t>保</w:t>
      </w:r>
      <w:r>
        <w:rPr>
          <w:rFonts w:ascii="微软雅黑" w:hAnsi="微软雅黑" w:eastAsia="微软雅黑" w:cs="微软雅黑"/>
          <w:spacing w:val="-6"/>
          <w:sz w:val="16"/>
          <w:szCs w:val="16"/>
        </w:rPr>
        <w:t xml:space="preserve"> </w:t>
      </w:r>
      <w:r>
        <w:rPr>
          <w:rFonts w:ascii="微软雅黑" w:hAnsi="微软雅黑" w:eastAsia="微软雅黑" w:cs="微软雅黑"/>
          <w:spacing w:val="35"/>
          <w:sz w:val="16"/>
          <w:szCs w:val="16"/>
        </w:rPr>
        <w:t>障</w:t>
      </w:r>
      <w:r>
        <w:rPr>
          <w:rFonts w:ascii="微软雅黑" w:hAnsi="微软雅黑" w:eastAsia="微软雅黑" w:cs="微软雅黑"/>
          <w:spacing w:val="-18"/>
          <w:sz w:val="16"/>
          <w:szCs w:val="16"/>
        </w:rPr>
        <w:t xml:space="preserve"> </w:t>
      </w:r>
      <w:r>
        <w:rPr>
          <w:rFonts w:ascii="微软雅黑" w:hAnsi="微软雅黑" w:eastAsia="微软雅黑" w:cs="微软雅黑"/>
          <w:spacing w:val="34"/>
          <w:sz w:val="16"/>
          <w:szCs w:val="16"/>
        </w:rPr>
        <w:t>体</w:t>
      </w:r>
      <w:r>
        <w:rPr>
          <w:rFonts w:ascii="微软雅黑" w:hAnsi="微软雅黑" w:eastAsia="微软雅黑" w:cs="微软雅黑"/>
          <w:spacing w:val="-11"/>
          <w:sz w:val="16"/>
          <w:szCs w:val="16"/>
        </w:rPr>
        <w:t xml:space="preserve"> </w:t>
      </w:r>
      <w:r>
        <w:rPr>
          <w:rFonts w:ascii="微软雅黑" w:hAnsi="微软雅黑" w:eastAsia="微软雅黑" w:cs="微软雅黑"/>
          <w:spacing w:val="34"/>
          <w:sz w:val="16"/>
          <w:szCs w:val="16"/>
        </w:rPr>
        <w:t>系</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不</w:t>
      </w:r>
      <w:r>
        <w:rPr>
          <w:rFonts w:ascii="微软雅黑" w:hAnsi="微软雅黑" w:eastAsia="微软雅黑" w:cs="微软雅黑"/>
          <w:sz w:val="16"/>
          <w:szCs w:val="16"/>
        </w:rPr>
        <w:t xml:space="preserve"> </w:t>
      </w:r>
      <w:r>
        <w:rPr>
          <w:rFonts w:ascii="微软雅黑" w:hAnsi="微软雅黑" w:eastAsia="微软雅黑" w:cs="微软雅黑"/>
          <w:spacing w:val="37"/>
          <w:sz w:val="16"/>
          <w:szCs w:val="16"/>
        </w:rPr>
        <w:t>能完全解决教育质量改进的</w:t>
      </w:r>
      <w:r>
        <w:rPr>
          <w:rFonts w:ascii="微软雅黑" w:hAnsi="微软雅黑" w:eastAsia="微软雅黑" w:cs="微软雅黑"/>
          <w:spacing w:val="7"/>
          <w:sz w:val="16"/>
          <w:szCs w:val="16"/>
        </w:rPr>
        <w:t xml:space="preserve"> </w:t>
      </w:r>
      <w:r>
        <w:rPr>
          <w:rFonts w:ascii="微软雅黑" w:hAnsi="微软雅黑" w:eastAsia="微软雅黑" w:cs="微软雅黑"/>
          <w:spacing w:val="37"/>
          <w:sz w:val="16"/>
          <w:szCs w:val="16"/>
        </w:rPr>
        <w:t>问</w:t>
      </w:r>
      <w:r>
        <w:rPr>
          <w:rFonts w:ascii="微软雅黑" w:hAnsi="微软雅黑" w:eastAsia="微软雅黑" w:cs="微软雅黑"/>
          <w:spacing w:val="-19"/>
          <w:sz w:val="16"/>
          <w:szCs w:val="16"/>
        </w:rPr>
        <w:t xml:space="preserve"> </w:t>
      </w:r>
      <w:r>
        <w:rPr>
          <w:rFonts w:ascii="微软雅黑" w:hAnsi="微软雅黑" w:eastAsia="微软雅黑" w:cs="微软雅黑"/>
          <w:spacing w:val="37"/>
          <w:sz w:val="16"/>
          <w:szCs w:val="16"/>
        </w:rPr>
        <w:t>题</w:t>
      </w:r>
      <w:r>
        <w:rPr>
          <w:rFonts w:ascii="微软雅黑" w:hAnsi="微软雅黑" w:eastAsia="微软雅黑" w:cs="微软雅黑"/>
          <w:spacing w:val="-24"/>
          <w:sz w:val="16"/>
          <w:szCs w:val="16"/>
        </w:rPr>
        <w:t xml:space="preserve"> </w:t>
      </w:r>
      <w:r>
        <w:rPr>
          <w:rFonts w:ascii="微软雅黑" w:hAnsi="微软雅黑" w:eastAsia="微软雅黑" w:cs="微软雅黑"/>
          <w:spacing w:val="37"/>
          <w:sz w:val="16"/>
          <w:szCs w:val="16"/>
        </w:rPr>
        <w:t>，于</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是</w:t>
      </w:r>
      <w:r>
        <w:rPr>
          <w:rFonts w:ascii="微软雅黑" w:hAnsi="微软雅黑" w:eastAsia="微软雅黑" w:cs="微软雅黑"/>
          <w:spacing w:val="-19"/>
          <w:sz w:val="16"/>
          <w:szCs w:val="16"/>
        </w:rPr>
        <w:t xml:space="preserve"> </w:t>
      </w:r>
      <w:r>
        <w:rPr>
          <w:rFonts w:ascii="微软雅黑" w:hAnsi="微软雅黑" w:eastAsia="微软雅黑" w:cs="微软雅黑"/>
          <w:spacing w:val="37"/>
          <w:sz w:val="16"/>
          <w:szCs w:val="16"/>
        </w:rPr>
        <w:t>逐</w:t>
      </w:r>
      <w:r>
        <w:rPr>
          <w:rFonts w:ascii="微软雅黑" w:hAnsi="微软雅黑" w:eastAsia="微软雅黑" w:cs="微软雅黑"/>
          <w:spacing w:val="-14"/>
          <w:sz w:val="16"/>
          <w:szCs w:val="16"/>
        </w:rPr>
        <w:t xml:space="preserve"> </w:t>
      </w:r>
      <w:r>
        <w:rPr>
          <w:rFonts w:ascii="微软雅黑" w:hAnsi="微软雅黑" w:eastAsia="微软雅黑" w:cs="微软雅黑"/>
          <w:spacing w:val="37"/>
          <w:sz w:val="16"/>
          <w:szCs w:val="16"/>
        </w:rPr>
        <w:t>步</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重</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视</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质</w:t>
      </w:r>
      <w:r>
        <w:rPr>
          <w:rFonts w:ascii="微软雅黑" w:hAnsi="微软雅黑" w:eastAsia="微软雅黑" w:cs="微软雅黑"/>
          <w:sz w:val="16"/>
          <w:szCs w:val="16"/>
        </w:rPr>
        <w:t xml:space="preserve"> </w:t>
      </w:r>
      <w:r>
        <w:rPr>
          <w:rFonts w:ascii="微软雅黑" w:hAnsi="微软雅黑" w:eastAsia="微软雅黑" w:cs="微软雅黑"/>
          <w:spacing w:val="28"/>
          <w:sz w:val="16"/>
          <w:szCs w:val="16"/>
        </w:rPr>
        <w:t>量文化对</w:t>
      </w:r>
      <w:r>
        <w:rPr>
          <w:rFonts w:ascii="微软雅黑" w:hAnsi="微软雅黑" w:eastAsia="微软雅黑" w:cs="微软雅黑"/>
          <w:spacing w:val="4"/>
          <w:sz w:val="16"/>
          <w:szCs w:val="16"/>
        </w:rPr>
        <w:t xml:space="preserve"> </w:t>
      </w:r>
      <w:r>
        <w:rPr>
          <w:rFonts w:ascii="微软雅黑" w:hAnsi="微软雅黑" w:eastAsia="微软雅黑" w:cs="微软雅黑"/>
          <w:spacing w:val="28"/>
          <w:sz w:val="16"/>
          <w:szCs w:val="16"/>
        </w:rPr>
        <w:t>高</w:t>
      </w:r>
      <w:r>
        <w:rPr>
          <w:rFonts w:ascii="微软雅黑" w:hAnsi="微软雅黑" w:eastAsia="微软雅黑" w:cs="微软雅黑"/>
          <w:spacing w:val="-11"/>
          <w:sz w:val="16"/>
          <w:szCs w:val="16"/>
        </w:rPr>
        <w:t xml:space="preserve"> </w:t>
      </w:r>
      <w:r>
        <w:rPr>
          <w:rFonts w:ascii="微软雅黑" w:hAnsi="微软雅黑" w:eastAsia="微软雅黑" w:cs="微软雅黑"/>
          <w:spacing w:val="28"/>
          <w:sz w:val="16"/>
          <w:szCs w:val="16"/>
        </w:rPr>
        <w:t>等</w:t>
      </w:r>
      <w:r>
        <w:rPr>
          <w:rFonts w:ascii="微软雅黑" w:hAnsi="微软雅黑" w:eastAsia="微软雅黑" w:cs="微软雅黑"/>
          <w:spacing w:val="-14"/>
          <w:sz w:val="16"/>
          <w:szCs w:val="16"/>
        </w:rPr>
        <w:t xml:space="preserve"> </w:t>
      </w:r>
      <w:r>
        <w:rPr>
          <w:rFonts w:ascii="微软雅黑" w:hAnsi="微软雅黑" w:eastAsia="微软雅黑" w:cs="微软雅黑"/>
          <w:spacing w:val="28"/>
          <w:sz w:val="16"/>
          <w:szCs w:val="16"/>
        </w:rPr>
        <w:t>教</w:t>
      </w:r>
      <w:r>
        <w:rPr>
          <w:rFonts w:ascii="微软雅黑" w:hAnsi="微软雅黑" w:eastAsia="微软雅黑" w:cs="微软雅黑"/>
          <w:spacing w:val="-13"/>
          <w:sz w:val="16"/>
          <w:szCs w:val="16"/>
        </w:rPr>
        <w:t xml:space="preserve"> </w:t>
      </w:r>
      <w:r>
        <w:rPr>
          <w:rFonts w:ascii="微软雅黑" w:hAnsi="微软雅黑" w:eastAsia="微软雅黑" w:cs="微软雅黑"/>
          <w:spacing w:val="28"/>
          <w:sz w:val="16"/>
          <w:szCs w:val="16"/>
        </w:rPr>
        <w:t>育</w:t>
      </w:r>
      <w:r>
        <w:rPr>
          <w:rFonts w:ascii="微软雅黑" w:hAnsi="微软雅黑" w:eastAsia="微软雅黑" w:cs="微软雅黑"/>
          <w:spacing w:val="-13"/>
          <w:sz w:val="16"/>
          <w:szCs w:val="16"/>
        </w:rPr>
        <w:t xml:space="preserve"> </w:t>
      </w:r>
      <w:r>
        <w:rPr>
          <w:rFonts w:ascii="微软雅黑" w:hAnsi="微软雅黑" w:eastAsia="微软雅黑" w:cs="微软雅黑"/>
          <w:spacing w:val="28"/>
          <w:sz w:val="16"/>
          <w:szCs w:val="16"/>
        </w:rPr>
        <w:t>质</w:t>
      </w:r>
      <w:r>
        <w:rPr>
          <w:rFonts w:ascii="微软雅黑" w:hAnsi="微软雅黑" w:eastAsia="微软雅黑" w:cs="微软雅黑"/>
          <w:spacing w:val="-14"/>
          <w:sz w:val="16"/>
          <w:szCs w:val="16"/>
        </w:rPr>
        <w:t xml:space="preserve"> </w:t>
      </w:r>
      <w:r>
        <w:rPr>
          <w:rFonts w:ascii="微软雅黑" w:hAnsi="微软雅黑" w:eastAsia="微软雅黑" w:cs="微软雅黑"/>
          <w:spacing w:val="28"/>
          <w:sz w:val="16"/>
          <w:szCs w:val="16"/>
        </w:rPr>
        <w:t>量</w:t>
      </w:r>
      <w:r>
        <w:rPr>
          <w:rFonts w:ascii="微软雅黑" w:hAnsi="微软雅黑" w:eastAsia="微软雅黑" w:cs="微软雅黑"/>
          <w:spacing w:val="-14"/>
          <w:sz w:val="16"/>
          <w:szCs w:val="16"/>
        </w:rPr>
        <w:t xml:space="preserve"> </w:t>
      </w:r>
      <w:r>
        <w:rPr>
          <w:rFonts w:ascii="微软雅黑" w:hAnsi="微软雅黑" w:eastAsia="微软雅黑" w:cs="微软雅黑"/>
          <w:spacing w:val="28"/>
          <w:sz w:val="16"/>
          <w:szCs w:val="16"/>
        </w:rPr>
        <w:t>建</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设 以</w:t>
      </w:r>
      <w:r>
        <w:rPr>
          <w:rFonts w:ascii="微软雅黑" w:hAnsi="微软雅黑" w:eastAsia="微软雅黑" w:cs="微软雅黑"/>
          <w:spacing w:val="-16"/>
          <w:sz w:val="16"/>
          <w:szCs w:val="16"/>
        </w:rPr>
        <w:t xml:space="preserve"> </w:t>
      </w:r>
      <w:r>
        <w:rPr>
          <w:rFonts w:ascii="微软雅黑" w:hAnsi="微软雅黑" w:eastAsia="微软雅黑" w:cs="微软雅黑"/>
          <w:spacing w:val="28"/>
          <w:sz w:val="16"/>
          <w:szCs w:val="16"/>
        </w:rPr>
        <w:t>及</w:t>
      </w:r>
      <w:r>
        <w:rPr>
          <w:rFonts w:ascii="微软雅黑" w:hAnsi="微软雅黑" w:eastAsia="微软雅黑" w:cs="微软雅黑"/>
          <w:spacing w:val="-15"/>
          <w:sz w:val="16"/>
          <w:szCs w:val="16"/>
        </w:rPr>
        <w:t xml:space="preserve"> </w:t>
      </w:r>
      <w:r>
        <w:rPr>
          <w:rFonts w:ascii="微软雅黑" w:hAnsi="微软雅黑" w:eastAsia="微软雅黑" w:cs="微软雅黑"/>
          <w:spacing w:val="28"/>
          <w:sz w:val="16"/>
          <w:szCs w:val="16"/>
        </w:rPr>
        <w:t>人</w:t>
      </w:r>
      <w:r>
        <w:rPr>
          <w:rFonts w:ascii="微软雅黑" w:hAnsi="微软雅黑" w:eastAsia="微软雅黑" w:cs="微软雅黑"/>
          <w:spacing w:val="-13"/>
          <w:sz w:val="16"/>
          <w:szCs w:val="16"/>
        </w:rPr>
        <w:t xml:space="preserve"> </w:t>
      </w:r>
      <w:r>
        <w:rPr>
          <w:rFonts w:ascii="微软雅黑" w:hAnsi="微软雅黑" w:eastAsia="微软雅黑" w:cs="微软雅黑"/>
          <w:spacing w:val="28"/>
          <w:sz w:val="16"/>
          <w:szCs w:val="16"/>
        </w:rPr>
        <w:t>才</w:t>
      </w:r>
      <w:r>
        <w:rPr>
          <w:rFonts w:ascii="微软雅黑" w:hAnsi="微软雅黑" w:eastAsia="微软雅黑" w:cs="微软雅黑"/>
          <w:spacing w:val="-12"/>
          <w:sz w:val="16"/>
          <w:szCs w:val="16"/>
        </w:rPr>
        <w:t xml:space="preserve"> </w:t>
      </w:r>
      <w:r>
        <w:rPr>
          <w:rFonts w:ascii="微软雅黑" w:hAnsi="微软雅黑" w:eastAsia="微软雅黑" w:cs="微软雅黑"/>
          <w:spacing w:val="28"/>
          <w:sz w:val="16"/>
          <w:szCs w:val="16"/>
        </w:rPr>
        <w:t>培</w:t>
      </w:r>
      <w:r>
        <w:rPr>
          <w:rFonts w:ascii="微软雅黑" w:hAnsi="微软雅黑" w:eastAsia="微软雅黑" w:cs="微软雅黑"/>
          <w:spacing w:val="-14"/>
          <w:sz w:val="16"/>
          <w:szCs w:val="16"/>
        </w:rPr>
        <w:t xml:space="preserve"> </w:t>
      </w:r>
      <w:r>
        <w:rPr>
          <w:rFonts w:ascii="微软雅黑" w:hAnsi="微软雅黑" w:eastAsia="微软雅黑" w:cs="微软雅黑"/>
          <w:spacing w:val="28"/>
          <w:sz w:val="16"/>
          <w:szCs w:val="16"/>
        </w:rPr>
        <w:t>养 的</w:t>
      </w:r>
      <w:r>
        <w:rPr>
          <w:rFonts w:ascii="微软雅黑" w:hAnsi="微软雅黑" w:eastAsia="微软雅黑" w:cs="微软雅黑"/>
          <w:spacing w:val="-11"/>
          <w:sz w:val="16"/>
          <w:szCs w:val="16"/>
        </w:rPr>
        <w:t xml:space="preserve"> </w:t>
      </w:r>
      <w:r>
        <w:rPr>
          <w:rFonts w:ascii="微软雅黑" w:hAnsi="微软雅黑" w:eastAsia="微软雅黑" w:cs="微软雅黑"/>
          <w:spacing w:val="28"/>
          <w:sz w:val="16"/>
          <w:szCs w:val="16"/>
        </w:rPr>
        <w:t>重</w:t>
      </w:r>
      <w:r>
        <w:rPr>
          <w:rFonts w:ascii="微软雅黑" w:hAnsi="微软雅黑" w:eastAsia="微软雅黑" w:cs="微软雅黑"/>
          <w:spacing w:val="-14"/>
          <w:sz w:val="16"/>
          <w:szCs w:val="16"/>
        </w:rPr>
        <w:t xml:space="preserve"> </w:t>
      </w:r>
      <w:r>
        <w:rPr>
          <w:rFonts w:ascii="微软雅黑" w:hAnsi="微软雅黑" w:eastAsia="微软雅黑" w:cs="微软雅黑"/>
          <w:spacing w:val="28"/>
          <w:sz w:val="16"/>
          <w:szCs w:val="16"/>
        </w:rPr>
        <w:t>要</w:t>
      </w:r>
      <w:r>
        <w:rPr>
          <w:rFonts w:ascii="微软雅黑" w:hAnsi="微软雅黑" w:eastAsia="微软雅黑" w:cs="微软雅黑"/>
          <w:sz w:val="16"/>
          <w:szCs w:val="16"/>
        </w:rPr>
        <w:t xml:space="preserve"> </w:t>
      </w:r>
      <w:r>
        <w:rPr>
          <w:rFonts w:ascii="微软雅黑" w:hAnsi="微软雅黑" w:eastAsia="微软雅黑" w:cs="微软雅黑"/>
          <w:spacing w:val="25"/>
          <w:sz w:val="16"/>
          <w:szCs w:val="16"/>
        </w:rPr>
        <w:t>性</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，认为高校</w:t>
      </w:r>
      <w:r>
        <w:rPr>
          <w:rFonts w:ascii="微软雅黑" w:hAnsi="微软雅黑" w:eastAsia="微软雅黑" w:cs="微软雅黑"/>
          <w:spacing w:val="-19"/>
          <w:sz w:val="16"/>
          <w:szCs w:val="16"/>
        </w:rPr>
        <w:t xml:space="preserve"> </w:t>
      </w:r>
      <w:r>
        <w:rPr>
          <w:rFonts w:ascii="微软雅黑" w:hAnsi="微软雅黑" w:eastAsia="微软雅黑" w:cs="微软雅黑"/>
          <w:spacing w:val="25"/>
          <w:sz w:val="16"/>
          <w:szCs w:val="16"/>
        </w:rPr>
        <w:t>应</w:t>
      </w:r>
      <w:r>
        <w:rPr>
          <w:rFonts w:ascii="微软雅黑" w:hAnsi="微软雅黑" w:eastAsia="微软雅黑" w:cs="微软雅黑"/>
          <w:spacing w:val="-19"/>
          <w:sz w:val="16"/>
          <w:szCs w:val="16"/>
        </w:rPr>
        <w:t xml:space="preserve"> </w:t>
      </w:r>
      <w:r>
        <w:rPr>
          <w:rFonts w:ascii="微软雅黑" w:hAnsi="微软雅黑" w:eastAsia="微软雅黑" w:cs="微软雅黑"/>
          <w:spacing w:val="25"/>
          <w:sz w:val="16"/>
          <w:szCs w:val="16"/>
        </w:rPr>
        <w:t>该</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培</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育</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一</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种</w:t>
      </w:r>
      <w:r>
        <w:rPr>
          <w:rFonts w:ascii="微软雅黑" w:hAnsi="微软雅黑" w:eastAsia="微软雅黑" w:cs="微软雅黑"/>
          <w:spacing w:val="-15"/>
          <w:sz w:val="16"/>
          <w:szCs w:val="16"/>
        </w:rPr>
        <w:t xml:space="preserve"> </w:t>
      </w:r>
      <w:r>
        <w:rPr>
          <w:rFonts w:ascii="微软雅黑" w:hAnsi="微软雅黑" w:eastAsia="微软雅黑" w:cs="微软雅黑"/>
          <w:spacing w:val="25"/>
          <w:sz w:val="16"/>
          <w:szCs w:val="16"/>
        </w:rPr>
        <w:t>质</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量</w:t>
      </w:r>
      <w:r>
        <w:rPr>
          <w:rFonts w:ascii="微软雅黑" w:hAnsi="微软雅黑" w:eastAsia="微软雅黑" w:cs="微软雅黑"/>
          <w:spacing w:val="-14"/>
          <w:sz w:val="16"/>
          <w:szCs w:val="16"/>
        </w:rPr>
        <w:t xml:space="preserve"> </w:t>
      </w:r>
      <w:r>
        <w:rPr>
          <w:rFonts w:ascii="微软雅黑" w:hAnsi="微软雅黑" w:eastAsia="微软雅黑" w:cs="微软雅黑"/>
          <w:spacing w:val="25"/>
          <w:sz w:val="16"/>
          <w:szCs w:val="16"/>
        </w:rPr>
        <w:t>文</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化</w:t>
      </w:r>
      <w:r>
        <w:rPr>
          <w:rFonts w:ascii="微软雅黑" w:hAnsi="微软雅黑" w:eastAsia="微软雅黑" w:cs="微软雅黑"/>
          <w:spacing w:val="-5"/>
          <w:sz w:val="16"/>
          <w:szCs w:val="16"/>
        </w:rPr>
        <w:t xml:space="preserve"> </w:t>
      </w:r>
      <w:r>
        <w:rPr>
          <w:rFonts w:ascii="微软雅黑" w:hAnsi="微软雅黑" w:eastAsia="微软雅黑" w:cs="微软雅黑"/>
          <w:spacing w:val="25"/>
          <w:sz w:val="16"/>
          <w:szCs w:val="16"/>
        </w:rPr>
        <w:t>。最</w:t>
      </w:r>
      <w:r>
        <w:rPr>
          <w:rFonts w:ascii="微软雅黑" w:hAnsi="微软雅黑" w:eastAsia="微软雅黑" w:cs="微软雅黑"/>
          <w:spacing w:val="-17"/>
          <w:sz w:val="16"/>
          <w:szCs w:val="16"/>
        </w:rPr>
        <w:t xml:space="preserve"> </w:t>
      </w:r>
      <w:r>
        <w:rPr>
          <w:rFonts w:ascii="微软雅黑" w:hAnsi="微软雅黑" w:eastAsia="微软雅黑" w:cs="微软雅黑"/>
          <w:spacing w:val="25"/>
          <w:sz w:val="16"/>
          <w:szCs w:val="16"/>
        </w:rPr>
        <w:t>初 的</w:t>
      </w:r>
      <w:r>
        <w:rPr>
          <w:rFonts w:ascii="微软雅黑" w:hAnsi="微软雅黑" w:eastAsia="微软雅黑" w:cs="微软雅黑"/>
          <w:spacing w:val="-15"/>
          <w:sz w:val="16"/>
          <w:szCs w:val="16"/>
        </w:rPr>
        <w:t xml:space="preserve"> </w:t>
      </w:r>
      <w:r>
        <w:rPr>
          <w:rFonts w:ascii="微软雅黑" w:hAnsi="微软雅黑" w:eastAsia="微软雅黑" w:cs="微软雅黑"/>
          <w:spacing w:val="25"/>
          <w:sz w:val="16"/>
          <w:szCs w:val="16"/>
        </w:rPr>
        <w:t>质</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量</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文化研究仅限于企业管理当 中</w:t>
      </w:r>
      <w:r>
        <w:rPr>
          <w:rFonts w:ascii="微软雅黑" w:hAnsi="微软雅黑" w:eastAsia="微软雅黑" w:cs="微软雅黑"/>
          <w:spacing w:val="-24"/>
          <w:sz w:val="16"/>
          <w:szCs w:val="16"/>
        </w:rPr>
        <w:t xml:space="preserve"> </w:t>
      </w:r>
      <w:r>
        <w:rPr>
          <w:rFonts w:ascii="微软雅黑" w:hAnsi="微软雅黑" w:eastAsia="微软雅黑" w:cs="微软雅黑"/>
          <w:spacing w:val="36"/>
          <w:sz w:val="16"/>
          <w:szCs w:val="16"/>
        </w:rPr>
        <w:t>，主</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要</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针</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对</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企</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业</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量</w:t>
      </w:r>
      <w:r>
        <w:rPr>
          <w:rFonts w:ascii="微软雅黑" w:hAnsi="微软雅黑" w:eastAsia="微软雅黑" w:cs="微软雅黑"/>
          <w:sz w:val="16"/>
          <w:szCs w:val="16"/>
        </w:rPr>
        <w:t xml:space="preserve"> </w:t>
      </w:r>
      <w:r>
        <w:rPr>
          <w:rFonts w:ascii="微软雅黑" w:hAnsi="微软雅黑" w:eastAsia="微软雅黑" w:cs="微软雅黑"/>
          <w:spacing w:val="30"/>
          <w:sz w:val="16"/>
          <w:szCs w:val="16"/>
        </w:rPr>
        <w:t>方面的</w:t>
      </w:r>
      <w:r>
        <w:rPr>
          <w:rFonts w:ascii="微软雅黑" w:hAnsi="微软雅黑" w:eastAsia="微软雅黑" w:cs="微软雅黑"/>
          <w:sz w:val="16"/>
          <w:szCs w:val="16"/>
        </w:rPr>
        <w:t xml:space="preserve"> </w:t>
      </w:r>
      <w:r>
        <w:rPr>
          <w:rFonts w:ascii="微软雅黑" w:hAnsi="微软雅黑" w:eastAsia="微软雅黑" w:cs="微软雅黑"/>
          <w:spacing w:val="30"/>
          <w:sz w:val="16"/>
          <w:szCs w:val="16"/>
        </w:rPr>
        <w:t>问</w:t>
      </w:r>
      <w:r>
        <w:rPr>
          <w:rFonts w:ascii="微软雅黑" w:hAnsi="微软雅黑" w:eastAsia="微软雅黑" w:cs="微软雅黑"/>
          <w:spacing w:val="-19"/>
          <w:sz w:val="16"/>
          <w:szCs w:val="16"/>
        </w:rPr>
        <w:t xml:space="preserve"> </w:t>
      </w:r>
      <w:r>
        <w:rPr>
          <w:rFonts w:ascii="微软雅黑" w:hAnsi="微软雅黑" w:eastAsia="微软雅黑" w:cs="微软雅黑"/>
          <w:spacing w:val="30"/>
          <w:sz w:val="16"/>
          <w:szCs w:val="16"/>
        </w:rPr>
        <w:t>题</w:t>
      </w:r>
      <w:r>
        <w:rPr>
          <w:rFonts w:ascii="微软雅黑" w:hAnsi="微软雅黑" w:eastAsia="微软雅黑" w:cs="微软雅黑"/>
          <w:spacing w:val="-24"/>
          <w:sz w:val="16"/>
          <w:szCs w:val="16"/>
        </w:rPr>
        <w:t xml:space="preserve"> </w:t>
      </w:r>
      <w:r>
        <w:rPr>
          <w:rFonts w:ascii="微软雅黑" w:hAnsi="微软雅黑" w:eastAsia="微软雅黑" w:cs="微软雅黑"/>
          <w:spacing w:val="30"/>
          <w:sz w:val="16"/>
          <w:szCs w:val="16"/>
        </w:rPr>
        <w:t>，</w:t>
      </w:r>
      <w:r>
        <w:rPr>
          <w:rFonts w:ascii="Arial" w:hAnsi="Arial" w:eastAsia="Arial" w:cs="Arial"/>
          <w:spacing w:val="30"/>
          <w:sz w:val="16"/>
          <w:szCs w:val="16"/>
        </w:rPr>
        <w:t>20</w:t>
      </w:r>
      <w:r>
        <w:rPr>
          <w:rFonts w:ascii="微软雅黑" w:hAnsi="微软雅黑" w:eastAsia="微软雅黑" w:cs="微软雅黑"/>
          <w:spacing w:val="30"/>
          <w:sz w:val="16"/>
          <w:szCs w:val="16"/>
        </w:rPr>
        <w:t>世</w:t>
      </w:r>
      <w:r>
        <w:rPr>
          <w:rFonts w:ascii="微软雅黑" w:hAnsi="微软雅黑" w:eastAsia="微软雅黑" w:cs="微软雅黑"/>
          <w:spacing w:val="-14"/>
          <w:sz w:val="16"/>
          <w:szCs w:val="16"/>
        </w:rPr>
        <w:t xml:space="preserve"> </w:t>
      </w:r>
      <w:r>
        <w:rPr>
          <w:rFonts w:ascii="微软雅黑" w:hAnsi="微软雅黑" w:eastAsia="微软雅黑" w:cs="微软雅黑"/>
          <w:spacing w:val="30"/>
          <w:sz w:val="16"/>
          <w:szCs w:val="16"/>
        </w:rPr>
        <w:t>纪</w:t>
      </w:r>
      <w:r>
        <w:rPr>
          <w:rFonts w:ascii="微软雅黑" w:hAnsi="微软雅黑" w:eastAsia="微软雅黑" w:cs="微软雅黑"/>
          <w:spacing w:val="43"/>
          <w:sz w:val="16"/>
          <w:szCs w:val="16"/>
        </w:rPr>
        <w:t xml:space="preserve"> </w:t>
      </w:r>
      <w:r>
        <w:rPr>
          <w:rFonts w:ascii="Arial" w:hAnsi="Arial" w:eastAsia="Arial" w:cs="Arial"/>
          <w:spacing w:val="30"/>
          <w:sz w:val="16"/>
          <w:szCs w:val="16"/>
        </w:rPr>
        <w:t>90</w:t>
      </w:r>
      <w:r>
        <w:rPr>
          <w:rFonts w:ascii="微软雅黑" w:hAnsi="微软雅黑" w:eastAsia="微软雅黑" w:cs="微软雅黑"/>
          <w:spacing w:val="30"/>
          <w:sz w:val="16"/>
          <w:szCs w:val="16"/>
        </w:rPr>
        <w:t>年</w:t>
      </w:r>
      <w:r>
        <w:rPr>
          <w:rFonts w:ascii="微软雅黑" w:hAnsi="微软雅黑" w:eastAsia="微软雅黑" w:cs="微软雅黑"/>
          <w:spacing w:val="-19"/>
          <w:sz w:val="16"/>
          <w:szCs w:val="16"/>
        </w:rPr>
        <w:t xml:space="preserve"> </w:t>
      </w:r>
      <w:r>
        <w:rPr>
          <w:rFonts w:ascii="微软雅黑" w:hAnsi="微软雅黑" w:eastAsia="微软雅黑" w:cs="微软雅黑"/>
          <w:spacing w:val="30"/>
          <w:sz w:val="16"/>
          <w:szCs w:val="16"/>
        </w:rPr>
        <w:t>代</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逐</w:t>
      </w:r>
      <w:r>
        <w:rPr>
          <w:rFonts w:ascii="微软雅黑" w:hAnsi="微软雅黑" w:eastAsia="微软雅黑" w:cs="微软雅黑"/>
          <w:spacing w:val="-15"/>
          <w:sz w:val="16"/>
          <w:szCs w:val="16"/>
        </w:rPr>
        <w:t xml:space="preserve"> </w:t>
      </w:r>
      <w:r>
        <w:rPr>
          <w:rFonts w:ascii="微软雅黑" w:hAnsi="微软雅黑" w:eastAsia="微软雅黑" w:cs="微软雅黑"/>
          <w:spacing w:val="30"/>
          <w:sz w:val="16"/>
          <w:szCs w:val="16"/>
        </w:rPr>
        <w:t>步</w:t>
      </w:r>
      <w:r>
        <w:rPr>
          <w:rFonts w:ascii="微软雅黑" w:hAnsi="微软雅黑" w:eastAsia="微软雅黑" w:cs="微软雅黑"/>
          <w:spacing w:val="-11"/>
          <w:sz w:val="16"/>
          <w:szCs w:val="16"/>
        </w:rPr>
        <w:t xml:space="preserve"> </w:t>
      </w:r>
      <w:r>
        <w:rPr>
          <w:rFonts w:ascii="微软雅黑" w:hAnsi="微软雅黑" w:eastAsia="微软雅黑" w:cs="微软雅黑"/>
          <w:spacing w:val="30"/>
          <w:sz w:val="16"/>
          <w:szCs w:val="16"/>
        </w:rPr>
        <w:t>引</w:t>
      </w:r>
      <w:r>
        <w:rPr>
          <w:rFonts w:ascii="微软雅黑" w:hAnsi="微软雅黑" w:eastAsia="微软雅黑" w:cs="微软雅黑"/>
          <w:spacing w:val="-19"/>
          <w:sz w:val="16"/>
          <w:szCs w:val="16"/>
        </w:rPr>
        <w:t xml:space="preserve"> </w:t>
      </w:r>
      <w:r>
        <w:rPr>
          <w:rFonts w:ascii="微软雅黑" w:hAnsi="微软雅黑" w:eastAsia="微软雅黑" w:cs="微软雅黑"/>
          <w:spacing w:val="30"/>
          <w:sz w:val="16"/>
          <w:szCs w:val="16"/>
        </w:rPr>
        <w:t>入</w:t>
      </w:r>
      <w:r>
        <w:rPr>
          <w:rFonts w:ascii="微软雅黑" w:hAnsi="微软雅黑" w:eastAsia="微软雅黑" w:cs="微软雅黑"/>
          <w:spacing w:val="-14"/>
          <w:sz w:val="16"/>
          <w:szCs w:val="16"/>
        </w:rPr>
        <w:t xml:space="preserve"> </w:t>
      </w:r>
      <w:r>
        <w:rPr>
          <w:rFonts w:ascii="微软雅黑" w:hAnsi="微软雅黑" w:eastAsia="微软雅黑" w:cs="微软雅黑"/>
          <w:spacing w:val="30"/>
          <w:sz w:val="16"/>
          <w:szCs w:val="16"/>
        </w:rPr>
        <w:t>高</w:t>
      </w:r>
      <w:r>
        <w:rPr>
          <w:rFonts w:ascii="微软雅黑" w:hAnsi="微软雅黑" w:eastAsia="微软雅黑" w:cs="微软雅黑"/>
          <w:spacing w:val="-16"/>
          <w:sz w:val="16"/>
          <w:szCs w:val="16"/>
        </w:rPr>
        <w:t xml:space="preserve"> </w:t>
      </w:r>
      <w:r>
        <w:rPr>
          <w:rFonts w:ascii="微软雅黑" w:hAnsi="微软雅黑" w:eastAsia="微软雅黑" w:cs="微软雅黑"/>
          <w:spacing w:val="30"/>
          <w:sz w:val="16"/>
          <w:szCs w:val="16"/>
        </w:rPr>
        <w:t>等</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教</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育</w:t>
      </w:r>
      <w:r>
        <w:rPr>
          <w:rFonts w:ascii="微软雅黑" w:hAnsi="微软雅黑" w:eastAsia="微软雅黑" w:cs="微软雅黑"/>
          <w:spacing w:val="-15"/>
          <w:sz w:val="16"/>
          <w:szCs w:val="16"/>
        </w:rPr>
        <w:t xml:space="preserve"> </w:t>
      </w:r>
      <w:r>
        <w:rPr>
          <w:rFonts w:ascii="微软雅黑" w:hAnsi="微软雅黑" w:eastAsia="微软雅黑" w:cs="微软雅黑"/>
          <w:spacing w:val="30"/>
          <w:sz w:val="16"/>
          <w:szCs w:val="16"/>
        </w:rPr>
        <w:t>领</w:t>
      </w:r>
      <w:r>
        <w:rPr>
          <w:rFonts w:ascii="微软雅黑" w:hAnsi="微软雅黑" w:eastAsia="微软雅黑" w:cs="微软雅黑"/>
          <w:sz w:val="16"/>
          <w:szCs w:val="16"/>
        </w:rPr>
        <w:t xml:space="preserve"> </w:t>
      </w:r>
      <w:r>
        <w:rPr>
          <w:rFonts w:ascii="微软雅黑" w:hAnsi="微软雅黑" w:eastAsia="微软雅黑" w:cs="微软雅黑"/>
          <w:spacing w:val="30"/>
          <w:sz w:val="16"/>
          <w:szCs w:val="16"/>
        </w:rPr>
        <w:t>域</w:t>
      </w:r>
      <w:r>
        <w:rPr>
          <w:rFonts w:ascii="微软雅黑" w:hAnsi="微软雅黑" w:eastAsia="微软雅黑" w:cs="微软雅黑"/>
          <w:spacing w:val="4"/>
          <w:sz w:val="16"/>
          <w:szCs w:val="16"/>
        </w:rPr>
        <w:t xml:space="preserve"> </w:t>
      </w:r>
      <w:r>
        <w:rPr>
          <w:rFonts w:ascii="微软雅黑" w:hAnsi="微软雅黑" w:eastAsia="微软雅黑" w:cs="微软雅黑"/>
          <w:spacing w:val="30"/>
          <w:sz w:val="16"/>
          <w:szCs w:val="16"/>
        </w:rPr>
        <w:t>。</w:t>
      </w:r>
      <w:r>
        <w:rPr>
          <w:rFonts w:ascii="微软雅黑" w:hAnsi="微软雅黑" w:eastAsia="微软雅黑" w:cs="微软雅黑"/>
          <w:spacing w:val="-10"/>
          <w:sz w:val="16"/>
          <w:szCs w:val="16"/>
        </w:rPr>
        <w:t xml:space="preserve"> </w:t>
      </w:r>
      <w:r>
        <w:rPr>
          <w:rFonts w:ascii="微软雅黑" w:hAnsi="微软雅黑" w:eastAsia="微软雅黑" w:cs="微软雅黑"/>
          <w:spacing w:val="30"/>
          <w:sz w:val="16"/>
          <w:szCs w:val="16"/>
        </w:rPr>
        <w:t>我国质量文化的</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相</w:t>
      </w:r>
      <w:r>
        <w:rPr>
          <w:rFonts w:ascii="微软雅黑" w:hAnsi="微软雅黑" w:eastAsia="微软雅黑" w:cs="微软雅黑"/>
          <w:spacing w:val="-20"/>
          <w:sz w:val="16"/>
          <w:szCs w:val="16"/>
        </w:rPr>
        <w:t xml:space="preserve"> </w:t>
      </w:r>
      <w:r>
        <w:rPr>
          <w:rFonts w:ascii="微软雅黑" w:hAnsi="微软雅黑" w:eastAsia="微软雅黑" w:cs="微软雅黑"/>
          <w:spacing w:val="30"/>
          <w:sz w:val="16"/>
          <w:szCs w:val="16"/>
        </w:rPr>
        <w:t>关</w:t>
      </w:r>
      <w:r>
        <w:rPr>
          <w:rFonts w:ascii="微软雅黑" w:hAnsi="微软雅黑" w:eastAsia="微软雅黑" w:cs="微软雅黑"/>
          <w:spacing w:val="-20"/>
          <w:sz w:val="16"/>
          <w:szCs w:val="16"/>
        </w:rPr>
        <w:t xml:space="preserve"> </w:t>
      </w:r>
      <w:r>
        <w:rPr>
          <w:rFonts w:ascii="微软雅黑" w:hAnsi="微软雅黑" w:eastAsia="微软雅黑" w:cs="微软雅黑"/>
          <w:spacing w:val="30"/>
          <w:sz w:val="16"/>
          <w:szCs w:val="16"/>
        </w:rPr>
        <w:t>研</w:t>
      </w:r>
      <w:r>
        <w:rPr>
          <w:rFonts w:ascii="微软雅黑" w:hAnsi="微软雅黑" w:eastAsia="微软雅黑" w:cs="微软雅黑"/>
          <w:spacing w:val="-19"/>
          <w:sz w:val="16"/>
          <w:szCs w:val="16"/>
        </w:rPr>
        <w:t xml:space="preserve"> </w:t>
      </w:r>
      <w:r>
        <w:rPr>
          <w:rFonts w:ascii="微软雅黑" w:hAnsi="微软雅黑" w:eastAsia="微软雅黑" w:cs="微软雅黑"/>
          <w:spacing w:val="30"/>
          <w:sz w:val="16"/>
          <w:szCs w:val="16"/>
        </w:rPr>
        <w:t>究</w:t>
      </w:r>
      <w:r>
        <w:rPr>
          <w:rFonts w:ascii="微软雅黑" w:hAnsi="微软雅黑" w:eastAsia="微软雅黑" w:cs="微软雅黑"/>
          <w:spacing w:val="-21"/>
          <w:sz w:val="16"/>
          <w:szCs w:val="16"/>
        </w:rPr>
        <w:t xml:space="preserve"> </w:t>
      </w:r>
      <w:r>
        <w:rPr>
          <w:rFonts w:ascii="微软雅黑" w:hAnsi="微软雅黑" w:eastAsia="微软雅黑" w:cs="微软雅黑"/>
          <w:spacing w:val="30"/>
          <w:sz w:val="16"/>
          <w:szCs w:val="16"/>
        </w:rPr>
        <w:t>起</w:t>
      </w:r>
      <w:r>
        <w:rPr>
          <w:rFonts w:ascii="微软雅黑" w:hAnsi="微软雅黑" w:eastAsia="微软雅黑" w:cs="微软雅黑"/>
          <w:spacing w:val="-15"/>
          <w:sz w:val="16"/>
          <w:szCs w:val="16"/>
        </w:rPr>
        <w:t xml:space="preserve"> </w:t>
      </w:r>
      <w:r>
        <w:rPr>
          <w:rFonts w:ascii="微软雅黑" w:hAnsi="微软雅黑" w:eastAsia="微软雅黑" w:cs="微软雅黑"/>
          <w:spacing w:val="30"/>
          <w:sz w:val="16"/>
          <w:szCs w:val="16"/>
        </w:rPr>
        <w:t>步</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较</w:t>
      </w:r>
      <w:r>
        <w:rPr>
          <w:rFonts w:ascii="微软雅黑" w:hAnsi="微软雅黑" w:eastAsia="微软雅黑" w:cs="微软雅黑"/>
          <w:spacing w:val="-8"/>
          <w:sz w:val="16"/>
          <w:szCs w:val="16"/>
        </w:rPr>
        <w:t xml:space="preserve"> </w:t>
      </w:r>
      <w:r>
        <w:rPr>
          <w:rFonts w:ascii="微软雅黑" w:hAnsi="微软雅黑" w:eastAsia="微软雅黑" w:cs="微软雅黑"/>
          <w:spacing w:val="30"/>
          <w:sz w:val="16"/>
          <w:szCs w:val="16"/>
        </w:rPr>
        <w:t>晚</w:t>
      </w:r>
      <w:r>
        <w:rPr>
          <w:rFonts w:ascii="微软雅黑" w:hAnsi="微软雅黑" w:eastAsia="微软雅黑" w:cs="微软雅黑"/>
          <w:spacing w:val="-23"/>
          <w:sz w:val="16"/>
          <w:szCs w:val="16"/>
        </w:rPr>
        <w:t xml:space="preserve"> </w:t>
      </w:r>
      <w:r>
        <w:rPr>
          <w:rFonts w:ascii="微软雅黑" w:hAnsi="微软雅黑" w:eastAsia="微软雅黑" w:cs="微软雅黑"/>
          <w:spacing w:val="30"/>
          <w:sz w:val="16"/>
          <w:szCs w:val="16"/>
        </w:rPr>
        <w:t>，前</w:t>
      </w:r>
      <w:r>
        <w:rPr>
          <w:rFonts w:ascii="微软雅黑" w:hAnsi="微软雅黑" w:eastAsia="微软雅黑" w:cs="微软雅黑"/>
          <w:spacing w:val="-20"/>
          <w:sz w:val="16"/>
          <w:szCs w:val="16"/>
        </w:rPr>
        <w:t xml:space="preserve"> </w:t>
      </w:r>
      <w:r>
        <w:rPr>
          <w:rFonts w:ascii="微软雅黑" w:hAnsi="微软雅黑" w:eastAsia="微软雅黑" w:cs="微软雅黑"/>
          <w:spacing w:val="30"/>
          <w:sz w:val="16"/>
          <w:szCs w:val="16"/>
        </w:rPr>
        <w:t>期</w:t>
      </w:r>
      <w:r>
        <w:rPr>
          <w:rFonts w:ascii="微软雅黑" w:hAnsi="微软雅黑" w:eastAsia="微软雅黑" w:cs="微软雅黑"/>
          <w:spacing w:val="-19"/>
          <w:sz w:val="16"/>
          <w:szCs w:val="16"/>
        </w:rPr>
        <w:t xml:space="preserve"> </w:t>
      </w:r>
      <w:r>
        <w:rPr>
          <w:rFonts w:ascii="微软雅黑" w:hAnsi="微软雅黑" w:eastAsia="微软雅黑" w:cs="微软雅黑"/>
          <w:spacing w:val="30"/>
          <w:sz w:val="16"/>
          <w:szCs w:val="16"/>
        </w:rPr>
        <w:t>介</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绍</w:t>
      </w:r>
    </w:p>
    <w:p>
      <w:pPr>
        <w:spacing w:line="14" w:lineRule="auto"/>
        <w:rPr>
          <w:rFonts w:ascii="Arial"/>
          <w:sz w:val="2"/>
        </w:rPr>
      </w:pPr>
      <w:r>
        <w:rPr>
          <w:rFonts w:ascii="Arial" w:hAnsi="Arial" w:eastAsia="Arial" w:cs="Arial"/>
          <w:sz w:val="2"/>
          <w:szCs w:val="2"/>
        </w:rPr>
        <w:br w:type="column"/>
      </w:r>
    </w:p>
    <w:p>
      <w:pPr>
        <w:spacing w:before="47" w:line="239" w:lineRule="auto"/>
        <w:ind w:left="73" w:firstLine="1"/>
        <w:jc w:val="both"/>
        <w:rPr>
          <w:rFonts w:ascii="微软雅黑" w:hAnsi="微软雅黑" w:eastAsia="微软雅黑" w:cs="微软雅黑"/>
          <w:sz w:val="16"/>
          <w:szCs w:val="16"/>
        </w:rPr>
      </w:pPr>
      <w:r>
        <w:rPr>
          <w:rFonts w:ascii="微软雅黑" w:hAnsi="微软雅黑" w:eastAsia="微软雅黑" w:cs="微软雅黑"/>
          <w:spacing w:val="36"/>
          <w:sz w:val="16"/>
          <w:szCs w:val="16"/>
        </w:rPr>
        <w:t>性的理论研究较多</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，随后有学</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者</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将</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企</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业</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量</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文</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化</w:t>
      </w:r>
      <w:r>
        <w:rPr>
          <w:rFonts w:ascii="微软雅黑" w:hAnsi="微软雅黑" w:eastAsia="微软雅黑" w:cs="微软雅黑"/>
          <w:spacing w:val="-3"/>
          <w:sz w:val="16"/>
          <w:szCs w:val="16"/>
        </w:rPr>
        <w:t xml:space="preserve"> </w:t>
      </w:r>
      <w:r>
        <w:rPr>
          <w:rFonts w:ascii="微软雅黑" w:hAnsi="微软雅黑" w:eastAsia="微软雅黑" w:cs="微软雅黑"/>
          <w:spacing w:val="36"/>
          <w:sz w:val="16"/>
          <w:szCs w:val="16"/>
        </w:rPr>
        <w:t>的</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理念直接移植到高等教育领</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域</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进</w:t>
      </w:r>
      <w:r>
        <w:rPr>
          <w:rFonts w:ascii="微软雅黑" w:hAnsi="微软雅黑" w:eastAsia="微软雅黑" w:cs="微软雅黑"/>
          <w:spacing w:val="-19"/>
          <w:sz w:val="16"/>
          <w:szCs w:val="16"/>
        </w:rPr>
        <w:t xml:space="preserve"> </w:t>
      </w:r>
      <w:r>
        <w:rPr>
          <w:rFonts w:ascii="微软雅黑" w:hAnsi="微软雅黑" w:eastAsia="微软雅黑" w:cs="微软雅黑"/>
          <w:spacing w:val="38"/>
          <w:sz w:val="16"/>
          <w:szCs w:val="16"/>
        </w:rPr>
        <w:t>行</w:t>
      </w:r>
      <w:r>
        <w:rPr>
          <w:rFonts w:ascii="微软雅黑" w:hAnsi="微软雅黑" w:eastAsia="微软雅黑" w:cs="微软雅黑"/>
          <w:spacing w:val="-3"/>
          <w:sz w:val="16"/>
          <w:szCs w:val="16"/>
        </w:rPr>
        <w:t xml:space="preserve"> </w:t>
      </w:r>
      <w:r>
        <w:rPr>
          <w:rFonts w:ascii="微软雅黑" w:hAnsi="微软雅黑" w:eastAsia="微软雅黑" w:cs="微软雅黑"/>
          <w:spacing w:val="38"/>
          <w:sz w:val="16"/>
          <w:szCs w:val="16"/>
        </w:rPr>
        <w:t>了</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相</w:t>
      </w:r>
      <w:r>
        <w:rPr>
          <w:rFonts w:ascii="微软雅黑" w:hAnsi="微软雅黑" w:eastAsia="微软雅黑" w:cs="微软雅黑"/>
          <w:spacing w:val="-20"/>
          <w:sz w:val="16"/>
          <w:szCs w:val="16"/>
        </w:rPr>
        <w:t xml:space="preserve"> </w:t>
      </w:r>
      <w:r>
        <w:rPr>
          <w:rFonts w:ascii="微软雅黑" w:hAnsi="微软雅黑" w:eastAsia="微软雅黑" w:cs="微软雅黑"/>
          <w:spacing w:val="38"/>
          <w:sz w:val="16"/>
          <w:szCs w:val="16"/>
        </w:rPr>
        <w:t>关</w:t>
      </w:r>
      <w:r>
        <w:rPr>
          <w:rFonts w:ascii="微软雅黑" w:hAnsi="微软雅黑" w:eastAsia="微软雅黑" w:cs="微软雅黑"/>
          <w:spacing w:val="-20"/>
          <w:sz w:val="16"/>
          <w:szCs w:val="16"/>
        </w:rPr>
        <w:t xml:space="preserve"> </w:t>
      </w:r>
      <w:r>
        <w:rPr>
          <w:rFonts w:ascii="微软雅黑" w:hAnsi="微软雅黑" w:eastAsia="微软雅黑" w:cs="微软雅黑"/>
          <w:spacing w:val="38"/>
          <w:sz w:val="16"/>
          <w:szCs w:val="16"/>
        </w:rPr>
        <w:t>研</w:t>
      </w:r>
      <w:r>
        <w:rPr>
          <w:rFonts w:ascii="微软雅黑" w:hAnsi="微软雅黑" w:eastAsia="微软雅黑" w:cs="微软雅黑"/>
          <w:spacing w:val="-19"/>
          <w:sz w:val="16"/>
          <w:szCs w:val="16"/>
        </w:rPr>
        <w:t xml:space="preserve"> </w:t>
      </w:r>
      <w:r>
        <w:rPr>
          <w:rFonts w:ascii="微软雅黑" w:hAnsi="微软雅黑" w:eastAsia="微软雅黑" w:cs="微软雅黑"/>
          <w:spacing w:val="38"/>
          <w:sz w:val="16"/>
          <w:szCs w:val="16"/>
        </w:rPr>
        <w:t>究</w:t>
      </w:r>
      <w:r>
        <w:rPr>
          <w:rFonts w:ascii="微软雅黑" w:hAnsi="微软雅黑" w:eastAsia="微软雅黑" w:cs="微软雅黑"/>
          <w:spacing w:val="-24"/>
          <w:sz w:val="16"/>
          <w:szCs w:val="16"/>
        </w:rPr>
        <w:t xml:space="preserve"> </w:t>
      </w:r>
      <w:r>
        <w:rPr>
          <w:rFonts w:ascii="微软雅黑" w:hAnsi="微软雅黑" w:eastAsia="微软雅黑" w:cs="微软雅黑"/>
          <w:spacing w:val="37"/>
          <w:sz w:val="16"/>
          <w:szCs w:val="16"/>
        </w:rPr>
        <w:t>，也</w:t>
      </w:r>
      <w:r>
        <w:rPr>
          <w:rFonts w:ascii="微软雅黑" w:hAnsi="微软雅黑" w:eastAsia="微软雅黑" w:cs="微软雅黑"/>
          <w:sz w:val="16"/>
          <w:szCs w:val="16"/>
        </w:rPr>
        <w:t xml:space="preserve">  </w:t>
      </w:r>
      <w:r>
        <w:rPr>
          <w:rFonts w:ascii="微软雅黑" w:hAnsi="微软雅黑" w:eastAsia="微软雅黑" w:cs="微软雅黑"/>
          <w:spacing w:val="10"/>
          <w:w w:val="125"/>
          <w:sz w:val="16"/>
          <w:szCs w:val="16"/>
        </w:rPr>
        <w:t>有学者将质量文化当做高等教育质量保障体系的组</w:t>
      </w:r>
      <w:r>
        <w:rPr>
          <w:rFonts w:ascii="微软雅黑" w:hAnsi="微软雅黑" w:eastAsia="微软雅黑" w:cs="微软雅黑"/>
          <w:spacing w:val="1"/>
          <w:sz w:val="16"/>
          <w:szCs w:val="16"/>
        </w:rPr>
        <w:t xml:space="preserve">  </w:t>
      </w:r>
      <w:r>
        <w:rPr>
          <w:rFonts w:ascii="微软雅黑" w:hAnsi="微软雅黑" w:eastAsia="微软雅黑" w:cs="微软雅黑"/>
          <w:spacing w:val="6"/>
          <w:w w:val="125"/>
          <w:sz w:val="16"/>
          <w:szCs w:val="16"/>
        </w:rPr>
        <w:t>成部分</w:t>
      </w:r>
      <w:r>
        <w:rPr>
          <w:rFonts w:ascii="微软雅黑" w:hAnsi="微软雅黑" w:eastAsia="微软雅黑" w:cs="微软雅黑"/>
          <w:spacing w:val="10"/>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14"/>
          <w:sz w:val="16"/>
          <w:szCs w:val="16"/>
        </w:rPr>
        <w:t xml:space="preserve"> </w:t>
      </w:r>
      <w:r>
        <w:rPr>
          <w:rFonts w:ascii="微软雅黑" w:hAnsi="微软雅黑" w:eastAsia="微软雅黑" w:cs="微软雅黑"/>
          <w:spacing w:val="6"/>
          <w:w w:val="125"/>
          <w:sz w:val="16"/>
          <w:szCs w:val="16"/>
        </w:rPr>
        <w:t>但从研究整体来看并未真正形成适合高校</w:t>
      </w:r>
      <w:r>
        <w:rPr>
          <w:rFonts w:ascii="微软雅黑" w:hAnsi="微软雅黑" w:eastAsia="微软雅黑" w:cs="微软雅黑"/>
          <w:sz w:val="16"/>
          <w:szCs w:val="16"/>
        </w:rPr>
        <w:t xml:space="preserve">  </w:t>
      </w:r>
      <w:r>
        <w:rPr>
          <w:rFonts w:ascii="微软雅黑" w:hAnsi="微软雅黑" w:eastAsia="微软雅黑" w:cs="微软雅黑"/>
          <w:spacing w:val="25"/>
          <w:sz w:val="16"/>
          <w:szCs w:val="16"/>
        </w:rPr>
        <w:t>的质量文</w:t>
      </w:r>
      <w:r>
        <w:rPr>
          <w:rFonts w:ascii="微软雅黑" w:hAnsi="微软雅黑" w:eastAsia="微软雅黑" w:cs="微软雅黑"/>
          <w:spacing w:val="-14"/>
          <w:sz w:val="16"/>
          <w:szCs w:val="16"/>
        </w:rPr>
        <w:t xml:space="preserve"> </w:t>
      </w:r>
      <w:r>
        <w:rPr>
          <w:rFonts w:ascii="微软雅黑" w:hAnsi="微软雅黑" w:eastAsia="微软雅黑" w:cs="微软雅黑"/>
          <w:spacing w:val="25"/>
          <w:sz w:val="16"/>
          <w:szCs w:val="16"/>
        </w:rPr>
        <w:t>化</w:t>
      </w:r>
      <w:r>
        <w:rPr>
          <w:rFonts w:ascii="微软雅黑" w:hAnsi="微软雅黑" w:eastAsia="微软雅黑" w:cs="微软雅黑"/>
          <w:spacing w:val="-24"/>
          <w:sz w:val="16"/>
          <w:szCs w:val="16"/>
        </w:rPr>
        <w:t xml:space="preserve"> </w:t>
      </w:r>
      <w:r>
        <w:rPr>
          <w:rFonts w:ascii="微软雅黑" w:hAnsi="微软雅黑" w:eastAsia="微软雅黑" w:cs="微软雅黑"/>
          <w:spacing w:val="25"/>
          <w:sz w:val="16"/>
          <w:szCs w:val="16"/>
        </w:rPr>
        <w:t>，且</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研</w:t>
      </w:r>
      <w:r>
        <w:rPr>
          <w:rFonts w:ascii="微软雅黑" w:hAnsi="微软雅黑" w:eastAsia="微软雅黑" w:cs="微软雅黑"/>
          <w:spacing w:val="-15"/>
          <w:sz w:val="16"/>
          <w:szCs w:val="16"/>
        </w:rPr>
        <w:t xml:space="preserve"> </w:t>
      </w:r>
      <w:r>
        <w:rPr>
          <w:rFonts w:ascii="微软雅黑" w:hAnsi="微软雅黑" w:eastAsia="微软雅黑" w:cs="微软雅黑"/>
          <w:spacing w:val="25"/>
          <w:sz w:val="16"/>
          <w:szCs w:val="16"/>
        </w:rPr>
        <w:t>究</w:t>
      </w:r>
      <w:r>
        <w:rPr>
          <w:rFonts w:ascii="微软雅黑" w:hAnsi="微软雅黑" w:eastAsia="微软雅黑" w:cs="微软雅黑"/>
          <w:spacing w:val="-13"/>
          <w:sz w:val="16"/>
          <w:szCs w:val="16"/>
        </w:rPr>
        <w:t xml:space="preserve"> </w:t>
      </w:r>
      <w:r>
        <w:rPr>
          <w:rFonts w:ascii="微软雅黑" w:hAnsi="微软雅黑" w:eastAsia="微软雅黑" w:cs="微软雅黑"/>
          <w:spacing w:val="25"/>
          <w:sz w:val="16"/>
          <w:szCs w:val="16"/>
        </w:rPr>
        <w:t>缺</w:t>
      </w:r>
      <w:r>
        <w:rPr>
          <w:rFonts w:ascii="微软雅黑" w:hAnsi="微软雅黑" w:eastAsia="微软雅黑" w:cs="微软雅黑"/>
          <w:spacing w:val="-11"/>
          <w:sz w:val="16"/>
          <w:szCs w:val="16"/>
        </w:rPr>
        <w:t xml:space="preserve"> </w:t>
      </w:r>
      <w:r>
        <w:rPr>
          <w:rFonts w:ascii="微软雅黑" w:hAnsi="微软雅黑" w:eastAsia="微软雅黑" w:cs="微软雅黑"/>
          <w:spacing w:val="25"/>
          <w:sz w:val="16"/>
          <w:szCs w:val="16"/>
        </w:rPr>
        <w:t>乏</w:t>
      </w:r>
      <w:r>
        <w:rPr>
          <w:rFonts w:ascii="微软雅黑" w:hAnsi="微软雅黑" w:eastAsia="微软雅黑" w:cs="微软雅黑"/>
          <w:spacing w:val="-14"/>
          <w:sz w:val="16"/>
          <w:szCs w:val="16"/>
        </w:rPr>
        <w:t xml:space="preserve"> </w:t>
      </w:r>
      <w:r>
        <w:rPr>
          <w:rFonts w:ascii="微软雅黑" w:hAnsi="微软雅黑" w:eastAsia="微软雅黑" w:cs="微软雅黑"/>
          <w:spacing w:val="25"/>
          <w:sz w:val="16"/>
          <w:szCs w:val="16"/>
        </w:rPr>
        <w:t>一</w:t>
      </w:r>
      <w:r>
        <w:rPr>
          <w:rFonts w:ascii="微软雅黑" w:hAnsi="微软雅黑" w:eastAsia="微软雅黑" w:cs="微软雅黑"/>
          <w:spacing w:val="-14"/>
          <w:sz w:val="16"/>
          <w:szCs w:val="16"/>
        </w:rPr>
        <w:t xml:space="preserve"> </w:t>
      </w:r>
      <w:r>
        <w:rPr>
          <w:rFonts w:ascii="微软雅黑" w:hAnsi="微软雅黑" w:eastAsia="微软雅黑" w:cs="微软雅黑"/>
          <w:spacing w:val="25"/>
          <w:sz w:val="16"/>
          <w:szCs w:val="16"/>
        </w:rPr>
        <w:t>定 的</w:t>
      </w:r>
      <w:r>
        <w:rPr>
          <w:rFonts w:ascii="微软雅黑" w:hAnsi="微软雅黑" w:eastAsia="微软雅黑" w:cs="微软雅黑"/>
          <w:spacing w:val="-10"/>
          <w:sz w:val="16"/>
          <w:szCs w:val="16"/>
        </w:rPr>
        <w:t xml:space="preserve"> </w:t>
      </w:r>
      <w:r>
        <w:rPr>
          <w:rFonts w:ascii="微软雅黑" w:hAnsi="微软雅黑" w:eastAsia="微软雅黑" w:cs="微软雅黑"/>
          <w:spacing w:val="25"/>
          <w:sz w:val="16"/>
          <w:szCs w:val="16"/>
        </w:rPr>
        <w:t>实</w:t>
      </w:r>
      <w:r>
        <w:rPr>
          <w:rFonts w:ascii="微软雅黑" w:hAnsi="微软雅黑" w:eastAsia="微软雅黑" w:cs="微软雅黑"/>
          <w:spacing w:val="-12"/>
          <w:sz w:val="16"/>
          <w:szCs w:val="16"/>
        </w:rPr>
        <w:t xml:space="preserve"> </w:t>
      </w:r>
      <w:r>
        <w:rPr>
          <w:rFonts w:ascii="微软雅黑" w:hAnsi="微软雅黑" w:eastAsia="微软雅黑" w:cs="微软雅黑"/>
          <w:spacing w:val="25"/>
          <w:sz w:val="16"/>
          <w:szCs w:val="16"/>
        </w:rPr>
        <w:t>践</w:t>
      </w:r>
      <w:r>
        <w:rPr>
          <w:rFonts w:ascii="微软雅黑" w:hAnsi="微软雅黑" w:eastAsia="微软雅黑" w:cs="微软雅黑"/>
          <w:spacing w:val="-14"/>
          <w:sz w:val="16"/>
          <w:szCs w:val="16"/>
        </w:rPr>
        <w:t xml:space="preserve"> </w:t>
      </w:r>
      <w:r>
        <w:rPr>
          <w:rFonts w:ascii="微软雅黑" w:hAnsi="微软雅黑" w:eastAsia="微软雅黑" w:cs="微软雅黑"/>
          <w:spacing w:val="25"/>
          <w:sz w:val="16"/>
          <w:szCs w:val="16"/>
        </w:rPr>
        <w:t>性</w:t>
      </w:r>
      <w:r>
        <w:rPr>
          <w:rFonts w:ascii="微软雅黑" w:hAnsi="微软雅黑" w:eastAsia="微软雅黑" w:cs="微软雅黑"/>
          <w:spacing w:val="-6"/>
          <w:sz w:val="16"/>
          <w:szCs w:val="16"/>
        </w:rPr>
        <w:t xml:space="preserve"> </w:t>
      </w:r>
      <w:r>
        <w:rPr>
          <w:rFonts w:ascii="微软雅黑" w:hAnsi="微软雅黑" w:eastAsia="微软雅黑" w:cs="微软雅黑"/>
          <w:spacing w:val="25"/>
          <w:sz w:val="16"/>
          <w:szCs w:val="16"/>
        </w:rPr>
        <w:t>和</w:t>
      </w:r>
      <w:r>
        <w:rPr>
          <w:rFonts w:ascii="微软雅黑" w:hAnsi="微软雅黑" w:eastAsia="微软雅黑" w:cs="微软雅黑"/>
          <w:spacing w:val="-10"/>
          <w:sz w:val="16"/>
          <w:szCs w:val="16"/>
        </w:rPr>
        <w:t xml:space="preserve"> </w:t>
      </w:r>
      <w:r>
        <w:rPr>
          <w:rFonts w:ascii="微软雅黑" w:hAnsi="微软雅黑" w:eastAsia="微软雅黑" w:cs="微软雅黑"/>
          <w:spacing w:val="25"/>
          <w:sz w:val="16"/>
          <w:szCs w:val="16"/>
        </w:rPr>
        <w:t>实</w:t>
      </w:r>
      <w:r>
        <w:rPr>
          <w:rFonts w:ascii="微软雅黑" w:hAnsi="微软雅黑" w:eastAsia="微软雅黑" w:cs="微软雅黑"/>
          <w:spacing w:val="-14"/>
          <w:sz w:val="16"/>
          <w:szCs w:val="16"/>
        </w:rPr>
        <w:t xml:space="preserve"> </w:t>
      </w:r>
      <w:r>
        <w:rPr>
          <w:rFonts w:ascii="微软雅黑" w:hAnsi="微软雅黑" w:eastAsia="微软雅黑" w:cs="微软雅黑"/>
          <w:spacing w:val="25"/>
          <w:sz w:val="16"/>
          <w:szCs w:val="16"/>
        </w:rPr>
        <w:t>证</w:t>
      </w:r>
      <w:r>
        <w:rPr>
          <w:rFonts w:ascii="微软雅黑" w:hAnsi="微软雅黑" w:eastAsia="微软雅黑" w:cs="微软雅黑"/>
          <w:spacing w:val="-14"/>
          <w:sz w:val="16"/>
          <w:szCs w:val="16"/>
        </w:rPr>
        <w:t xml:space="preserve"> </w:t>
      </w:r>
      <w:r>
        <w:rPr>
          <w:rFonts w:ascii="微软雅黑" w:hAnsi="微软雅黑" w:eastAsia="微软雅黑" w:cs="微软雅黑"/>
          <w:spacing w:val="24"/>
          <w:sz w:val="16"/>
          <w:szCs w:val="16"/>
        </w:rPr>
        <w:t>性</w:t>
      </w:r>
      <w:r>
        <w:rPr>
          <w:rFonts w:ascii="微软雅黑" w:hAnsi="微软雅黑" w:eastAsia="微软雅黑" w:cs="微软雅黑"/>
          <w:spacing w:val="-15"/>
          <w:sz w:val="16"/>
          <w:szCs w:val="16"/>
        </w:rPr>
        <w:t xml:space="preserve"> </w:t>
      </w:r>
      <w:r>
        <w:rPr>
          <w:rFonts w:ascii="微软雅黑" w:hAnsi="微软雅黑" w:eastAsia="微软雅黑" w:cs="微软雅黑"/>
          <w:spacing w:val="24"/>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因此</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，本研究将借鉴国外质量文化实践成果</w:t>
      </w:r>
      <w:r>
        <w:rPr>
          <w:rFonts w:ascii="微软雅黑" w:hAnsi="微软雅黑" w:eastAsia="微软雅黑" w:cs="微软雅黑"/>
          <w:spacing w:val="-23"/>
          <w:sz w:val="16"/>
          <w:szCs w:val="16"/>
        </w:rPr>
        <w:t xml:space="preserve"> </w:t>
      </w:r>
      <w:r>
        <w:rPr>
          <w:rFonts w:ascii="微软雅黑" w:hAnsi="微软雅黑" w:eastAsia="微软雅黑" w:cs="微软雅黑"/>
          <w:spacing w:val="39"/>
          <w:sz w:val="16"/>
          <w:szCs w:val="16"/>
        </w:rPr>
        <w:t>，从</w:t>
      </w:r>
      <w:r>
        <w:rPr>
          <w:rFonts w:ascii="微软雅黑" w:hAnsi="微软雅黑" w:eastAsia="微软雅黑" w:cs="微软雅黑"/>
          <w:spacing w:val="38"/>
          <w:sz w:val="16"/>
          <w:szCs w:val="16"/>
        </w:rPr>
        <w:t>高校</w:t>
      </w:r>
      <w:r>
        <w:rPr>
          <w:rFonts w:ascii="微软雅黑" w:hAnsi="微软雅黑" w:eastAsia="微软雅黑" w:cs="微软雅黑"/>
          <w:sz w:val="16"/>
          <w:szCs w:val="16"/>
        </w:rPr>
        <w:t xml:space="preserve">  </w:t>
      </w:r>
      <w:r>
        <w:rPr>
          <w:rFonts w:ascii="微软雅黑" w:hAnsi="微软雅黑" w:eastAsia="微软雅黑" w:cs="微软雅黑"/>
          <w:spacing w:val="10"/>
          <w:w w:val="125"/>
          <w:sz w:val="16"/>
          <w:szCs w:val="16"/>
        </w:rPr>
        <w:t>战略规划的角度来探讨当前我国高校在质量文化建</w:t>
      </w:r>
      <w:r>
        <w:rPr>
          <w:rFonts w:ascii="微软雅黑" w:hAnsi="微软雅黑" w:eastAsia="微软雅黑" w:cs="微软雅黑"/>
          <w:spacing w:val="1"/>
          <w:sz w:val="16"/>
          <w:szCs w:val="16"/>
        </w:rPr>
        <w:t xml:space="preserve">  </w:t>
      </w:r>
      <w:r>
        <w:rPr>
          <w:rFonts w:ascii="微软雅黑" w:hAnsi="微软雅黑" w:eastAsia="微软雅黑" w:cs="微软雅黑"/>
          <w:spacing w:val="8"/>
          <w:w w:val="120"/>
          <w:sz w:val="16"/>
          <w:szCs w:val="16"/>
        </w:rPr>
        <w:t>设方面的</w:t>
      </w:r>
      <w:r>
        <w:rPr>
          <w:rFonts w:ascii="微软雅黑" w:hAnsi="微软雅黑" w:eastAsia="微软雅黑" w:cs="微软雅黑"/>
          <w:spacing w:val="-28"/>
          <w:sz w:val="16"/>
          <w:szCs w:val="16"/>
        </w:rPr>
        <w:t xml:space="preserve"> </w:t>
      </w:r>
      <w:r>
        <w:rPr>
          <w:rFonts w:ascii="微软雅黑" w:hAnsi="微软雅黑" w:eastAsia="微软雅黑" w:cs="微软雅黑"/>
          <w:spacing w:val="8"/>
          <w:w w:val="120"/>
          <w:sz w:val="16"/>
          <w:szCs w:val="16"/>
        </w:rPr>
        <w:t>一些实践</w:t>
      </w:r>
      <w:r>
        <w:rPr>
          <w:rFonts w:ascii="微软雅黑" w:hAnsi="微软雅黑" w:eastAsia="微软雅黑" w:cs="微软雅黑"/>
          <w:spacing w:val="-16"/>
          <w:sz w:val="16"/>
          <w:szCs w:val="16"/>
        </w:rPr>
        <w:t xml:space="preserve"> </w:t>
      </w:r>
      <w:r>
        <w:rPr>
          <w:rFonts w:ascii="微软雅黑" w:hAnsi="微软雅黑" w:eastAsia="微软雅黑" w:cs="微软雅黑"/>
          <w:spacing w:val="8"/>
          <w:w w:val="120"/>
          <w:sz w:val="16"/>
          <w:szCs w:val="16"/>
        </w:rPr>
        <w:t>。</w:t>
      </w:r>
    </w:p>
    <w:p>
      <w:pPr>
        <w:spacing w:before="195" w:line="189" w:lineRule="auto"/>
        <w:ind w:left="505"/>
        <w:rPr>
          <w:rFonts w:ascii="微软雅黑" w:hAnsi="微软雅黑" w:eastAsia="微软雅黑" w:cs="微软雅黑"/>
          <w:sz w:val="19"/>
          <w:szCs w:val="19"/>
        </w:rPr>
      </w:pPr>
      <w:r>
        <w:rPr>
          <w:rFonts w:ascii="微软雅黑" w:hAnsi="微软雅黑" w:eastAsia="微软雅黑" w:cs="微软雅黑"/>
          <w:spacing w:val="20"/>
          <w:sz w:val="19"/>
          <w:szCs w:val="19"/>
        </w:rPr>
        <w:t>一</w:t>
      </w:r>
      <w:r>
        <w:rPr>
          <w:rFonts w:ascii="微软雅黑" w:hAnsi="微软雅黑" w:eastAsia="微软雅黑" w:cs="微软雅黑"/>
          <w:spacing w:val="-25"/>
          <w:sz w:val="19"/>
          <w:szCs w:val="19"/>
        </w:rPr>
        <w:t xml:space="preserve"> </w:t>
      </w:r>
      <w:r>
        <w:rPr>
          <w:rFonts w:ascii="微软雅黑" w:hAnsi="微软雅黑" w:eastAsia="微软雅黑" w:cs="微软雅黑"/>
          <w:spacing w:val="20"/>
          <w:sz w:val="19"/>
          <w:szCs w:val="19"/>
        </w:rPr>
        <w:t>、概念界定</w:t>
      </w:r>
    </w:p>
    <w:p>
      <w:pPr>
        <w:spacing w:before="177" w:line="187" w:lineRule="auto"/>
        <w:ind w:left="418"/>
        <w:rPr>
          <w:rFonts w:ascii="微软雅黑" w:hAnsi="微软雅黑" w:eastAsia="微软雅黑" w:cs="微软雅黑"/>
          <w:sz w:val="19"/>
          <w:szCs w:val="19"/>
        </w:rPr>
      </w:pPr>
      <w:r>
        <w:rPr>
          <w:rFonts w:ascii="微软雅黑" w:hAnsi="微软雅黑" w:eastAsia="微软雅黑" w:cs="微软雅黑"/>
          <w:spacing w:val="20"/>
          <w:sz w:val="19"/>
          <w:szCs w:val="19"/>
        </w:rPr>
        <w:t>（</w:t>
      </w:r>
      <w:r>
        <w:rPr>
          <w:rFonts w:ascii="微软雅黑" w:hAnsi="微软雅黑" w:eastAsia="微软雅黑" w:cs="微软雅黑"/>
          <w:spacing w:val="-28"/>
          <w:sz w:val="19"/>
          <w:szCs w:val="19"/>
        </w:rPr>
        <w:t xml:space="preserve"> </w:t>
      </w:r>
      <w:r>
        <w:rPr>
          <w:rFonts w:ascii="微软雅黑" w:hAnsi="微软雅黑" w:eastAsia="微软雅黑" w:cs="微软雅黑"/>
          <w:spacing w:val="20"/>
          <w:sz w:val="19"/>
          <w:szCs w:val="19"/>
        </w:rPr>
        <w:t>一）质量文化</w:t>
      </w:r>
    </w:p>
    <w:p>
      <w:pPr>
        <w:spacing w:before="47" w:line="244" w:lineRule="auto"/>
        <w:ind w:right="4" w:firstLine="498"/>
        <w:rPr>
          <w:rFonts w:ascii="微软雅黑" w:hAnsi="微软雅黑" w:eastAsia="微软雅黑" w:cs="微软雅黑"/>
          <w:sz w:val="16"/>
          <w:szCs w:val="16"/>
        </w:rPr>
      </w:pPr>
      <w:r>
        <w:rPr>
          <w:rFonts w:ascii="微软雅黑" w:hAnsi="微软雅黑" w:eastAsia="微软雅黑" w:cs="微软雅黑"/>
          <w:spacing w:val="30"/>
          <w:sz w:val="16"/>
          <w:szCs w:val="16"/>
        </w:rPr>
        <w:t>我国学者</w:t>
      </w:r>
      <w:r>
        <w:rPr>
          <w:rFonts w:ascii="微软雅黑" w:hAnsi="微软雅黑" w:eastAsia="微软雅黑" w:cs="微软雅黑"/>
          <w:spacing w:val="-10"/>
          <w:sz w:val="16"/>
          <w:szCs w:val="16"/>
        </w:rPr>
        <w:t xml:space="preserve"> </w:t>
      </w:r>
      <w:r>
        <w:rPr>
          <w:rFonts w:ascii="微软雅黑" w:hAnsi="微软雅黑" w:eastAsia="微软雅黑" w:cs="微软雅黑"/>
          <w:spacing w:val="30"/>
          <w:sz w:val="16"/>
          <w:szCs w:val="16"/>
        </w:rPr>
        <w:t>对</w:t>
      </w:r>
      <w:r>
        <w:rPr>
          <w:rFonts w:ascii="微软雅黑" w:hAnsi="微软雅黑" w:eastAsia="微软雅黑" w:cs="微软雅黑"/>
          <w:spacing w:val="-9"/>
          <w:sz w:val="16"/>
          <w:szCs w:val="16"/>
        </w:rPr>
        <w:t xml:space="preserve"> </w:t>
      </w:r>
      <w:r>
        <w:rPr>
          <w:rFonts w:ascii="微软雅黑" w:hAnsi="微软雅黑" w:eastAsia="微软雅黑" w:cs="微软雅黑"/>
          <w:spacing w:val="30"/>
          <w:sz w:val="16"/>
          <w:szCs w:val="16"/>
        </w:rPr>
        <w:t>高</w:t>
      </w:r>
      <w:r>
        <w:rPr>
          <w:rFonts w:ascii="微软雅黑" w:hAnsi="微软雅黑" w:eastAsia="微软雅黑" w:cs="微软雅黑"/>
          <w:spacing w:val="-11"/>
          <w:sz w:val="16"/>
          <w:szCs w:val="16"/>
        </w:rPr>
        <w:t xml:space="preserve"> </w:t>
      </w:r>
      <w:r>
        <w:rPr>
          <w:rFonts w:ascii="微软雅黑" w:hAnsi="微软雅黑" w:eastAsia="微软雅黑" w:cs="微软雅黑"/>
          <w:spacing w:val="30"/>
          <w:sz w:val="16"/>
          <w:szCs w:val="16"/>
        </w:rPr>
        <w:t>校</w:t>
      </w:r>
      <w:r>
        <w:rPr>
          <w:rFonts w:ascii="微软雅黑" w:hAnsi="微软雅黑" w:eastAsia="微软雅黑" w:cs="微软雅黑"/>
          <w:spacing w:val="-11"/>
          <w:sz w:val="16"/>
          <w:szCs w:val="16"/>
        </w:rPr>
        <w:t xml:space="preserve"> </w:t>
      </w:r>
      <w:r>
        <w:rPr>
          <w:rFonts w:ascii="微软雅黑" w:hAnsi="微软雅黑" w:eastAsia="微软雅黑" w:cs="微软雅黑"/>
          <w:spacing w:val="30"/>
          <w:sz w:val="16"/>
          <w:szCs w:val="16"/>
        </w:rPr>
        <w:t>质</w:t>
      </w:r>
      <w:r>
        <w:rPr>
          <w:rFonts w:ascii="微软雅黑" w:hAnsi="微软雅黑" w:eastAsia="微软雅黑" w:cs="微软雅黑"/>
          <w:spacing w:val="-12"/>
          <w:sz w:val="16"/>
          <w:szCs w:val="16"/>
        </w:rPr>
        <w:t xml:space="preserve"> </w:t>
      </w:r>
      <w:r>
        <w:rPr>
          <w:rFonts w:ascii="微软雅黑" w:hAnsi="微软雅黑" w:eastAsia="微软雅黑" w:cs="微软雅黑"/>
          <w:spacing w:val="30"/>
          <w:sz w:val="16"/>
          <w:szCs w:val="16"/>
        </w:rPr>
        <w:t>量</w:t>
      </w:r>
      <w:r>
        <w:rPr>
          <w:rFonts w:ascii="微软雅黑" w:hAnsi="微软雅黑" w:eastAsia="微软雅黑" w:cs="微软雅黑"/>
          <w:spacing w:val="-11"/>
          <w:sz w:val="16"/>
          <w:szCs w:val="16"/>
        </w:rPr>
        <w:t xml:space="preserve"> </w:t>
      </w:r>
      <w:r>
        <w:rPr>
          <w:rFonts w:ascii="微软雅黑" w:hAnsi="微软雅黑" w:eastAsia="微软雅黑" w:cs="微软雅黑"/>
          <w:spacing w:val="30"/>
          <w:sz w:val="16"/>
          <w:szCs w:val="16"/>
        </w:rPr>
        <w:t>文</w:t>
      </w:r>
      <w:r>
        <w:rPr>
          <w:rFonts w:ascii="微软雅黑" w:hAnsi="微软雅黑" w:eastAsia="微软雅黑" w:cs="微软雅黑"/>
          <w:spacing w:val="-11"/>
          <w:sz w:val="16"/>
          <w:szCs w:val="16"/>
        </w:rPr>
        <w:t xml:space="preserve"> </w:t>
      </w:r>
      <w:r>
        <w:rPr>
          <w:rFonts w:ascii="微软雅黑" w:hAnsi="微软雅黑" w:eastAsia="微软雅黑" w:cs="微软雅黑"/>
          <w:spacing w:val="30"/>
          <w:sz w:val="16"/>
          <w:szCs w:val="16"/>
        </w:rPr>
        <w:t>化</w:t>
      </w:r>
      <w:r>
        <w:rPr>
          <w:rFonts w:ascii="微软雅黑" w:hAnsi="微软雅黑" w:eastAsia="微软雅黑" w:cs="微软雅黑"/>
          <w:spacing w:val="-14"/>
          <w:sz w:val="16"/>
          <w:szCs w:val="16"/>
        </w:rPr>
        <w:t xml:space="preserve"> </w:t>
      </w:r>
      <w:r>
        <w:rPr>
          <w:rFonts w:ascii="微软雅黑" w:hAnsi="微软雅黑" w:eastAsia="微软雅黑" w:cs="微软雅黑"/>
          <w:spacing w:val="30"/>
          <w:sz w:val="16"/>
          <w:szCs w:val="16"/>
        </w:rPr>
        <w:t>定</w:t>
      </w:r>
      <w:r>
        <w:rPr>
          <w:rFonts w:ascii="微软雅黑" w:hAnsi="微软雅黑" w:eastAsia="微软雅黑" w:cs="微软雅黑"/>
          <w:spacing w:val="-11"/>
          <w:sz w:val="16"/>
          <w:szCs w:val="16"/>
        </w:rPr>
        <w:t xml:space="preserve"> </w:t>
      </w:r>
      <w:r>
        <w:rPr>
          <w:rFonts w:ascii="微软雅黑" w:hAnsi="微软雅黑" w:eastAsia="微软雅黑" w:cs="微软雅黑"/>
          <w:spacing w:val="30"/>
          <w:sz w:val="16"/>
          <w:szCs w:val="16"/>
        </w:rPr>
        <w:t>义 的</w:t>
      </w:r>
      <w:r>
        <w:rPr>
          <w:rFonts w:ascii="微软雅黑" w:hAnsi="微软雅黑" w:eastAsia="微软雅黑" w:cs="微软雅黑"/>
          <w:spacing w:val="-5"/>
          <w:sz w:val="16"/>
          <w:szCs w:val="16"/>
        </w:rPr>
        <w:t xml:space="preserve"> </w:t>
      </w:r>
      <w:r>
        <w:rPr>
          <w:rFonts w:ascii="微软雅黑" w:hAnsi="微软雅黑" w:eastAsia="微软雅黑" w:cs="微软雅黑"/>
          <w:spacing w:val="30"/>
          <w:sz w:val="16"/>
          <w:szCs w:val="16"/>
        </w:rPr>
        <w:t>主</w:t>
      </w:r>
      <w:r>
        <w:rPr>
          <w:rFonts w:ascii="微软雅黑" w:hAnsi="微软雅黑" w:eastAsia="微软雅黑" w:cs="微软雅黑"/>
          <w:spacing w:val="-14"/>
          <w:sz w:val="16"/>
          <w:szCs w:val="16"/>
        </w:rPr>
        <w:t xml:space="preserve"> </w:t>
      </w:r>
      <w:r>
        <w:rPr>
          <w:rFonts w:ascii="微软雅黑" w:hAnsi="微软雅黑" w:eastAsia="微软雅黑" w:cs="微软雅黑"/>
          <w:spacing w:val="30"/>
          <w:sz w:val="16"/>
          <w:szCs w:val="16"/>
        </w:rPr>
        <w:t>要</w:t>
      </w:r>
      <w:r>
        <w:rPr>
          <w:rFonts w:ascii="微软雅黑" w:hAnsi="微软雅黑" w:eastAsia="微软雅黑" w:cs="微软雅黑"/>
          <w:spacing w:val="-9"/>
          <w:sz w:val="16"/>
          <w:szCs w:val="16"/>
        </w:rPr>
        <w:t xml:space="preserve"> </w:t>
      </w:r>
      <w:r>
        <w:rPr>
          <w:rFonts w:ascii="微软雅黑" w:hAnsi="微软雅黑" w:eastAsia="微软雅黑" w:cs="微软雅黑"/>
          <w:spacing w:val="30"/>
          <w:sz w:val="16"/>
          <w:szCs w:val="16"/>
        </w:rPr>
        <w:t>观</w:t>
      </w:r>
      <w:r>
        <w:rPr>
          <w:rFonts w:ascii="微软雅黑" w:hAnsi="微软雅黑" w:eastAsia="微软雅黑" w:cs="微软雅黑"/>
          <w:spacing w:val="-12"/>
          <w:sz w:val="16"/>
          <w:szCs w:val="16"/>
        </w:rPr>
        <w:t xml:space="preserve"> </w:t>
      </w:r>
      <w:r>
        <w:rPr>
          <w:rFonts w:ascii="微软雅黑" w:hAnsi="微软雅黑" w:eastAsia="微软雅黑" w:cs="微软雅黑"/>
          <w:spacing w:val="30"/>
          <w:sz w:val="16"/>
          <w:szCs w:val="16"/>
        </w:rPr>
        <w:t>点</w:t>
      </w:r>
      <w:r>
        <w:rPr>
          <w:rFonts w:ascii="微软雅黑" w:hAnsi="微软雅黑" w:eastAsia="微软雅黑" w:cs="微软雅黑"/>
          <w:spacing w:val="-13"/>
          <w:sz w:val="16"/>
          <w:szCs w:val="16"/>
        </w:rPr>
        <w:t xml:space="preserve"> </w:t>
      </w:r>
      <w:r>
        <w:rPr>
          <w:rFonts w:ascii="微软雅黑" w:hAnsi="微软雅黑" w:eastAsia="微软雅黑" w:cs="微软雅黑"/>
          <w:spacing w:val="30"/>
          <w:sz w:val="16"/>
          <w:szCs w:val="16"/>
        </w:rPr>
        <w:t>包</w:t>
      </w:r>
      <w:r>
        <w:rPr>
          <w:rFonts w:ascii="微软雅黑" w:hAnsi="微软雅黑" w:eastAsia="微软雅黑" w:cs="微软雅黑"/>
          <w:sz w:val="16"/>
          <w:szCs w:val="16"/>
        </w:rPr>
        <w:t xml:space="preserve">  </w:t>
      </w:r>
      <w:r>
        <w:rPr>
          <w:rFonts w:ascii="微软雅黑" w:hAnsi="微软雅黑" w:eastAsia="微软雅黑" w:cs="微软雅黑"/>
          <w:spacing w:val="19"/>
          <w:sz w:val="16"/>
          <w:szCs w:val="16"/>
        </w:rPr>
        <w:t>括：一</w:t>
      </w:r>
      <w:r>
        <w:rPr>
          <w:rFonts w:ascii="微软雅黑" w:hAnsi="微软雅黑" w:eastAsia="微软雅黑" w:cs="微软雅黑"/>
          <w:spacing w:val="-15"/>
          <w:sz w:val="16"/>
          <w:szCs w:val="16"/>
        </w:rPr>
        <w:t xml:space="preserve"> </w:t>
      </w:r>
      <w:r>
        <w:rPr>
          <w:rFonts w:ascii="微软雅黑" w:hAnsi="微软雅黑" w:eastAsia="微软雅黑" w:cs="微软雅黑"/>
          <w:spacing w:val="19"/>
          <w:sz w:val="16"/>
          <w:szCs w:val="16"/>
        </w:rPr>
        <w:t>是</w:t>
      </w:r>
      <w:r>
        <w:rPr>
          <w:rFonts w:ascii="微软雅黑" w:hAnsi="微软雅黑" w:eastAsia="微软雅黑" w:cs="微软雅黑"/>
          <w:spacing w:val="-21"/>
          <w:sz w:val="16"/>
          <w:szCs w:val="16"/>
        </w:rPr>
        <w:t xml:space="preserve"> </w:t>
      </w:r>
      <w:r>
        <w:rPr>
          <w:rFonts w:ascii="微软雅黑" w:hAnsi="微软雅黑" w:eastAsia="微软雅黑" w:cs="微软雅黑"/>
          <w:spacing w:val="19"/>
          <w:sz w:val="16"/>
          <w:szCs w:val="16"/>
        </w:rPr>
        <w:t>认</w:t>
      </w:r>
      <w:r>
        <w:rPr>
          <w:rFonts w:ascii="微软雅黑" w:hAnsi="微软雅黑" w:eastAsia="微软雅黑" w:cs="微软雅黑"/>
          <w:spacing w:val="-9"/>
          <w:sz w:val="16"/>
          <w:szCs w:val="16"/>
        </w:rPr>
        <w:t xml:space="preserve"> </w:t>
      </w:r>
      <w:r>
        <w:rPr>
          <w:rFonts w:ascii="微软雅黑" w:hAnsi="微软雅黑" w:eastAsia="微软雅黑" w:cs="微软雅黑"/>
          <w:spacing w:val="19"/>
          <w:sz w:val="16"/>
          <w:szCs w:val="16"/>
        </w:rPr>
        <w:t>为</w:t>
      </w:r>
      <w:r>
        <w:rPr>
          <w:rFonts w:ascii="微软雅黑" w:hAnsi="微软雅黑" w:eastAsia="微软雅黑" w:cs="微软雅黑"/>
          <w:spacing w:val="-11"/>
          <w:sz w:val="16"/>
          <w:szCs w:val="16"/>
        </w:rPr>
        <w:t xml:space="preserve"> </w:t>
      </w:r>
      <w:r>
        <w:rPr>
          <w:rFonts w:ascii="微软雅黑" w:hAnsi="微软雅黑" w:eastAsia="微软雅黑" w:cs="微软雅黑"/>
          <w:spacing w:val="19"/>
          <w:sz w:val="16"/>
          <w:szCs w:val="16"/>
        </w:rPr>
        <w:t>高</w:t>
      </w:r>
      <w:r>
        <w:rPr>
          <w:rFonts w:ascii="微软雅黑" w:hAnsi="微软雅黑" w:eastAsia="微软雅黑" w:cs="微软雅黑"/>
          <w:spacing w:val="-13"/>
          <w:sz w:val="16"/>
          <w:szCs w:val="16"/>
        </w:rPr>
        <w:t xml:space="preserve"> </w:t>
      </w:r>
      <w:r>
        <w:rPr>
          <w:rFonts w:ascii="微软雅黑" w:hAnsi="微软雅黑" w:eastAsia="微软雅黑" w:cs="微软雅黑"/>
          <w:spacing w:val="19"/>
          <w:sz w:val="16"/>
          <w:szCs w:val="16"/>
        </w:rPr>
        <w:t>校</w:t>
      </w:r>
      <w:r>
        <w:rPr>
          <w:rFonts w:ascii="微软雅黑" w:hAnsi="微软雅黑" w:eastAsia="微软雅黑" w:cs="微软雅黑"/>
          <w:spacing w:val="-13"/>
          <w:sz w:val="16"/>
          <w:szCs w:val="16"/>
        </w:rPr>
        <w:t xml:space="preserve"> </w:t>
      </w:r>
      <w:r>
        <w:rPr>
          <w:rFonts w:ascii="微软雅黑" w:hAnsi="微软雅黑" w:eastAsia="微软雅黑" w:cs="微软雅黑"/>
          <w:spacing w:val="19"/>
          <w:sz w:val="16"/>
          <w:szCs w:val="16"/>
        </w:rPr>
        <w:t>质</w:t>
      </w:r>
      <w:r>
        <w:rPr>
          <w:rFonts w:ascii="微软雅黑" w:hAnsi="微软雅黑" w:eastAsia="微软雅黑" w:cs="微软雅黑"/>
          <w:spacing w:val="-14"/>
          <w:sz w:val="16"/>
          <w:szCs w:val="16"/>
        </w:rPr>
        <w:t xml:space="preserve"> </w:t>
      </w:r>
      <w:r>
        <w:rPr>
          <w:rFonts w:ascii="微软雅黑" w:hAnsi="微软雅黑" w:eastAsia="微软雅黑" w:cs="微软雅黑"/>
          <w:spacing w:val="19"/>
          <w:sz w:val="16"/>
          <w:szCs w:val="16"/>
        </w:rPr>
        <w:t>量</w:t>
      </w:r>
      <w:r>
        <w:rPr>
          <w:rFonts w:ascii="微软雅黑" w:hAnsi="微软雅黑" w:eastAsia="微软雅黑" w:cs="微软雅黑"/>
          <w:spacing w:val="-13"/>
          <w:sz w:val="16"/>
          <w:szCs w:val="16"/>
        </w:rPr>
        <w:t xml:space="preserve"> </w:t>
      </w:r>
      <w:r>
        <w:rPr>
          <w:rFonts w:ascii="微软雅黑" w:hAnsi="微软雅黑" w:eastAsia="微软雅黑" w:cs="微软雅黑"/>
          <w:spacing w:val="19"/>
          <w:sz w:val="16"/>
          <w:szCs w:val="16"/>
        </w:rPr>
        <w:t>文</w:t>
      </w:r>
      <w:r>
        <w:rPr>
          <w:rFonts w:ascii="微软雅黑" w:hAnsi="微软雅黑" w:eastAsia="微软雅黑" w:cs="微软雅黑"/>
          <w:spacing w:val="-13"/>
          <w:sz w:val="16"/>
          <w:szCs w:val="16"/>
        </w:rPr>
        <w:t xml:space="preserve"> </w:t>
      </w:r>
      <w:r>
        <w:rPr>
          <w:rFonts w:ascii="微软雅黑" w:hAnsi="微软雅黑" w:eastAsia="微软雅黑" w:cs="微软雅黑"/>
          <w:spacing w:val="19"/>
          <w:sz w:val="16"/>
          <w:szCs w:val="16"/>
        </w:rPr>
        <w:t>化</w:t>
      </w:r>
      <w:r>
        <w:rPr>
          <w:rFonts w:ascii="微软雅黑" w:hAnsi="微软雅黑" w:eastAsia="微软雅黑" w:cs="微软雅黑"/>
          <w:spacing w:val="-14"/>
          <w:sz w:val="16"/>
          <w:szCs w:val="16"/>
        </w:rPr>
        <w:t xml:space="preserve"> </w:t>
      </w:r>
      <w:r>
        <w:rPr>
          <w:rFonts w:ascii="微软雅黑" w:hAnsi="微软雅黑" w:eastAsia="微软雅黑" w:cs="微软雅黑"/>
          <w:spacing w:val="19"/>
          <w:sz w:val="16"/>
          <w:szCs w:val="16"/>
        </w:rPr>
        <w:t>是</w:t>
      </w:r>
      <w:r>
        <w:rPr>
          <w:rFonts w:ascii="微软雅黑" w:hAnsi="微软雅黑" w:eastAsia="微软雅黑" w:cs="微软雅黑"/>
          <w:spacing w:val="-14"/>
          <w:sz w:val="16"/>
          <w:szCs w:val="16"/>
        </w:rPr>
        <w:t xml:space="preserve"> </w:t>
      </w:r>
      <w:r>
        <w:rPr>
          <w:rFonts w:ascii="微软雅黑" w:hAnsi="微软雅黑" w:eastAsia="微软雅黑" w:cs="微软雅黑"/>
          <w:spacing w:val="19"/>
          <w:sz w:val="16"/>
          <w:szCs w:val="16"/>
        </w:rPr>
        <w:t>一</w:t>
      </w:r>
      <w:r>
        <w:rPr>
          <w:rFonts w:ascii="微软雅黑" w:hAnsi="微软雅黑" w:eastAsia="微软雅黑" w:cs="微软雅黑"/>
          <w:spacing w:val="-14"/>
          <w:sz w:val="16"/>
          <w:szCs w:val="16"/>
        </w:rPr>
        <w:t xml:space="preserve"> </w:t>
      </w:r>
      <w:r>
        <w:rPr>
          <w:rFonts w:ascii="微软雅黑" w:hAnsi="微软雅黑" w:eastAsia="微软雅黑" w:cs="微软雅黑"/>
          <w:spacing w:val="19"/>
          <w:sz w:val="16"/>
          <w:szCs w:val="16"/>
        </w:rPr>
        <w:t>种</w:t>
      </w:r>
      <w:r>
        <w:rPr>
          <w:rFonts w:ascii="微软雅黑" w:hAnsi="微软雅黑" w:eastAsia="微软雅黑" w:cs="微软雅黑"/>
          <w:spacing w:val="-9"/>
          <w:sz w:val="16"/>
          <w:szCs w:val="16"/>
        </w:rPr>
        <w:t xml:space="preserve"> </w:t>
      </w:r>
      <w:r>
        <w:rPr>
          <w:rFonts w:ascii="微软雅黑" w:hAnsi="微软雅黑" w:eastAsia="微软雅黑" w:cs="微软雅黑"/>
          <w:spacing w:val="19"/>
          <w:sz w:val="16"/>
          <w:szCs w:val="16"/>
        </w:rPr>
        <w:t>“软</w:t>
      </w:r>
      <w:r>
        <w:rPr>
          <w:rFonts w:ascii="微软雅黑" w:hAnsi="微软雅黑" w:eastAsia="微软雅黑" w:cs="微软雅黑"/>
          <w:spacing w:val="-12"/>
          <w:sz w:val="16"/>
          <w:szCs w:val="16"/>
        </w:rPr>
        <w:t xml:space="preserve"> </w:t>
      </w:r>
      <w:r>
        <w:rPr>
          <w:rFonts w:ascii="微软雅黑" w:hAnsi="微软雅黑" w:eastAsia="微软雅黑" w:cs="微软雅黑"/>
          <w:spacing w:val="19"/>
          <w:sz w:val="16"/>
          <w:szCs w:val="16"/>
        </w:rPr>
        <w:t>文</w:t>
      </w:r>
      <w:r>
        <w:rPr>
          <w:rFonts w:ascii="微软雅黑" w:hAnsi="微软雅黑" w:eastAsia="微软雅黑" w:cs="微软雅黑"/>
          <w:spacing w:val="-14"/>
          <w:sz w:val="16"/>
          <w:szCs w:val="16"/>
        </w:rPr>
        <w:t xml:space="preserve"> </w:t>
      </w:r>
      <w:r>
        <w:rPr>
          <w:rFonts w:ascii="微软雅黑" w:hAnsi="微软雅黑" w:eastAsia="微软雅黑" w:cs="微软雅黑"/>
          <w:spacing w:val="19"/>
          <w:sz w:val="16"/>
          <w:szCs w:val="16"/>
        </w:rPr>
        <w:t>化</w:t>
      </w:r>
      <w:r>
        <w:rPr>
          <w:rFonts w:ascii="微软雅黑" w:hAnsi="微软雅黑" w:eastAsia="微软雅黑" w:cs="微软雅黑"/>
          <w:spacing w:val="-17"/>
          <w:sz w:val="16"/>
          <w:szCs w:val="16"/>
        </w:rPr>
        <w:t xml:space="preserve"> </w:t>
      </w:r>
      <w:r>
        <w:rPr>
          <w:rFonts w:ascii="微软雅黑" w:hAnsi="微软雅黑" w:eastAsia="微软雅黑" w:cs="微软雅黑"/>
          <w:spacing w:val="19"/>
          <w:sz w:val="16"/>
          <w:szCs w:val="16"/>
        </w:rPr>
        <w:t>”，是</w:t>
      </w:r>
      <w:r>
        <w:rPr>
          <w:rFonts w:ascii="微软雅黑" w:hAnsi="微软雅黑" w:eastAsia="微软雅黑" w:cs="微软雅黑"/>
          <w:spacing w:val="-10"/>
          <w:sz w:val="16"/>
          <w:szCs w:val="16"/>
        </w:rPr>
        <w:t xml:space="preserve"> </w:t>
      </w:r>
      <w:r>
        <w:rPr>
          <w:rFonts w:ascii="微软雅黑" w:hAnsi="微软雅黑" w:eastAsia="微软雅黑" w:cs="微软雅黑"/>
          <w:spacing w:val="19"/>
          <w:sz w:val="16"/>
          <w:szCs w:val="16"/>
        </w:rPr>
        <w:t>指</w:t>
      </w:r>
      <w:r>
        <w:rPr>
          <w:rFonts w:ascii="微软雅黑" w:hAnsi="微软雅黑" w:eastAsia="微软雅黑" w:cs="微软雅黑"/>
          <w:sz w:val="16"/>
          <w:szCs w:val="16"/>
        </w:rPr>
        <w:t xml:space="preserve">  </w:t>
      </w:r>
      <w:r>
        <w:rPr>
          <w:rFonts w:ascii="微软雅黑" w:hAnsi="微软雅黑" w:eastAsia="微软雅黑" w:cs="微软雅黑"/>
          <w:spacing w:val="11"/>
          <w:w w:val="120"/>
          <w:sz w:val="16"/>
          <w:szCs w:val="16"/>
        </w:rPr>
        <w:t>“高等学校在长期教育教学过程中</w:t>
      </w:r>
      <w:r>
        <w:rPr>
          <w:rFonts w:ascii="微软雅黑" w:hAnsi="微软雅黑" w:eastAsia="微软雅黑" w:cs="微软雅黑"/>
          <w:spacing w:val="-21"/>
          <w:sz w:val="16"/>
          <w:szCs w:val="16"/>
        </w:rPr>
        <w:t xml:space="preserve"> </w:t>
      </w:r>
      <w:r>
        <w:rPr>
          <w:rFonts w:ascii="微软雅黑" w:hAnsi="微软雅黑" w:eastAsia="微软雅黑" w:cs="微软雅黑"/>
          <w:spacing w:val="11"/>
          <w:w w:val="120"/>
          <w:sz w:val="16"/>
          <w:szCs w:val="16"/>
        </w:rPr>
        <w:t>，自觉形成的涉及</w:t>
      </w:r>
      <w:r>
        <w:rPr>
          <w:rFonts w:ascii="微软雅黑" w:hAnsi="微软雅黑" w:eastAsia="微软雅黑" w:cs="微软雅黑"/>
          <w:sz w:val="16"/>
          <w:szCs w:val="16"/>
        </w:rPr>
        <w:t xml:space="preserve">  </w:t>
      </w:r>
      <w:r>
        <w:rPr>
          <w:rFonts w:ascii="微软雅黑" w:hAnsi="微软雅黑" w:eastAsia="微软雅黑" w:cs="微软雅黑"/>
          <w:spacing w:val="28"/>
          <w:sz w:val="16"/>
          <w:szCs w:val="16"/>
        </w:rPr>
        <w:t>质量空间的价值观</w:t>
      </w:r>
      <w:r>
        <w:rPr>
          <w:rFonts w:ascii="微软雅黑" w:hAnsi="微软雅黑" w:eastAsia="微软雅黑" w:cs="微软雅黑"/>
          <w:spacing w:val="-8"/>
          <w:sz w:val="16"/>
          <w:szCs w:val="16"/>
        </w:rPr>
        <w:t xml:space="preserve"> </w:t>
      </w:r>
      <w:r>
        <w:rPr>
          <w:rFonts w:ascii="微软雅黑" w:hAnsi="微软雅黑" w:eastAsia="微软雅黑" w:cs="微软雅黑"/>
          <w:spacing w:val="28"/>
          <w:sz w:val="16"/>
          <w:szCs w:val="16"/>
        </w:rPr>
        <w:t>念</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、规</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章</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制</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度</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、道</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德</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规</w:t>
      </w:r>
      <w:r>
        <w:rPr>
          <w:rFonts w:ascii="微软雅黑" w:hAnsi="微软雅黑" w:eastAsia="微软雅黑" w:cs="微软雅黑"/>
          <w:spacing w:val="-15"/>
          <w:sz w:val="16"/>
          <w:szCs w:val="16"/>
        </w:rPr>
        <w:t xml:space="preserve"> </w:t>
      </w:r>
      <w:r>
        <w:rPr>
          <w:rFonts w:ascii="微软雅黑" w:hAnsi="微软雅黑" w:eastAsia="微软雅黑" w:cs="微软雅黑"/>
          <w:spacing w:val="28"/>
          <w:sz w:val="16"/>
          <w:szCs w:val="16"/>
        </w:rPr>
        <w:t>范</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、环</w:t>
      </w:r>
      <w:r>
        <w:rPr>
          <w:rFonts w:ascii="微软雅黑" w:hAnsi="微软雅黑" w:eastAsia="微软雅黑" w:cs="微软雅黑"/>
          <w:spacing w:val="-19"/>
          <w:sz w:val="16"/>
          <w:szCs w:val="16"/>
        </w:rPr>
        <w:t xml:space="preserve"> </w:t>
      </w:r>
      <w:r>
        <w:rPr>
          <w:rFonts w:ascii="微软雅黑" w:hAnsi="微软雅黑" w:eastAsia="微软雅黑" w:cs="微软雅黑"/>
          <w:spacing w:val="28"/>
          <w:sz w:val="16"/>
          <w:szCs w:val="16"/>
        </w:rPr>
        <w:t>境</w:t>
      </w:r>
      <w:r>
        <w:rPr>
          <w:rFonts w:ascii="微软雅黑" w:hAnsi="微软雅黑" w:eastAsia="微软雅黑" w:cs="微软雅黑"/>
          <w:spacing w:val="-15"/>
          <w:sz w:val="16"/>
          <w:szCs w:val="16"/>
        </w:rPr>
        <w:t xml:space="preserve"> </w:t>
      </w:r>
      <w:r>
        <w:rPr>
          <w:rFonts w:ascii="微软雅黑" w:hAnsi="微软雅黑" w:eastAsia="微软雅黑" w:cs="微软雅黑"/>
          <w:spacing w:val="28"/>
          <w:sz w:val="16"/>
          <w:szCs w:val="16"/>
        </w:rPr>
        <w:t>意</w:t>
      </w:r>
      <w:r>
        <w:rPr>
          <w:rFonts w:ascii="微软雅黑" w:hAnsi="微软雅黑" w:eastAsia="微软雅黑" w:cs="微软雅黑"/>
          <w:sz w:val="16"/>
          <w:szCs w:val="16"/>
        </w:rPr>
        <w:t xml:space="preserve">  </w:t>
      </w:r>
      <w:r>
        <w:rPr>
          <w:rFonts w:ascii="微软雅黑" w:hAnsi="微软雅黑" w:eastAsia="微软雅黑" w:cs="微软雅黑"/>
          <w:spacing w:val="24"/>
          <w:sz w:val="16"/>
          <w:szCs w:val="16"/>
        </w:rPr>
        <w:t>识及传统</w:t>
      </w:r>
      <w:r>
        <w:rPr>
          <w:rFonts w:ascii="微软雅黑" w:hAnsi="微软雅黑" w:eastAsia="微软雅黑" w:cs="微软雅黑"/>
          <w:spacing w:val="-12"/>
          <w:sz w:val="16"/>
          <w:szCs w:val="16"/>
        </w:rPr>
        <w:t xml:space="preserve"> </w:t>
      </w:r>
      <w:r>
        <w:rPr>
          <w:rFonts w:ascii="微软雅黑" w:hAnsi="微软雅黑" w:eastAsia="微软雅黑" w:cs="微软雅黑"/>
          <w:spacing w:val="24"/>
          <w:sz w:val="16"/>
          <w:szCs w:val="16"/>
        </w:rPr>
        <w:t>、习惯等</w:t>
      </w:r>
      <w:r>
        <w:rPr>
          <w:rFonts w:ascii="微软雅黑" w:hAnsi="微软雅黑" w:eastAsia="微软雅黑" w:cs="微软雅黑"/>
          <w:spacing w:val="-6"/>
          <w:sz w:val="16"/>
          <w:szCs w:val="16"/>
        </w:rPr>
        <w:t xml:space="preserve"> </w:t>
      </w:r>
      <w:r>
        <w:rPr>
          <w:rFonts w:ascii="微软雅黑" w:hAnsi="微软雅黑" w:eastAsia="微软雅黑" w:cs="微软雅黑"/>
          <w:spacing w:val="24"/>
          <w:sz w:val="16"/>
          <w:szCs w:val="16"/>
        </w:rPr>
        <w:t>‘软件</w:t>
      </w:r>
      <w:r>
        <w:rPr>
          <w:rFonts w:ascii="微软雅黑" w:hAnsi="微软雅黑" w:eastAsia="微软雅黑" w:cs="微软雅黑"/>
          <w:spacing w:val="-7"/>
          <w:sz w:val="16"/>
          <w:szCs w:val="16"/>
        </w:rPr>
        <w:t xml:space="preserve"> </w:t>
      </w:r>
      <w:r>
        <w:rPr>
          <w:rFonts w:ascii="微软雅黑" w:hAnsi="微软雅黑" w:eastAsia="微软雅黑" w:cs="微软雅黑"/>
          <w:spacing w:val="24"/>
          <w:sz w:val="16"/>
          <w:szCs w:val="16"/>
        </w:rPr>
        <w:t>’的总和</w:t>
      </w:r>
      <w:r>
        <w:rPr>
          <w:rFonts w:ascii="微软雅黑" w:hAnsi="微软雅黑" w:eastAsia="微软雅黑" w:cs="微软雅黑"/>
          <w:spacing w:val="-23"/>
          <w:sz w:val="16"/>
          <w:szCs w:val="16"/>
        </w:rPr>
        <w:t xml:space="preserve"> </w:t>
      </w:r>
      <w:r>
        <w:rPr>
          <w:rFonts w:ascii="微软雅黑" w:hAnsi="微软雅黑" w:eastAsia="微软雅黑" w:cs="微软雅黑"/>
          <w:spacing w:val="24"/>
          <w:sz w:val="16"/>
          <w:szCs w:val="16"/>
        </w:rPr>
        <w:t>”</w:t>
      </w:r>
      <w:r>
        <w:rPr>
          <w:rFonts w:ascii="微软雅黑" w:hAnsi="微软雅黑" w:eastAsia="微软雅黑" w:cs="微软雅黑"/>
          <w:spacing w:val="24"/>
          <w:position w:val="5"/>
          <w:sz w:val="9"/>
          <w:szCs w:val="9"/>
        </w:rPr>
        <w:t>[</w:t>
      </w:r>
      <w:r>
        <w:rPr>
          <w:rFonts w:ascii="Arial" w:hAnsi="Arial" w:eastAsia="Arial" w:cs="Arial"/>
          <w:spacing w:val="24"/>
          <w:position w:val="5"/>
          <w:sz w:val="9"/>
          <w:szCs w:val="9"/>
        </w:rPr>
        <w:t>1</w:t>
      </w:r>
      <w:r>
        <w:rPr>
          <w:rFonts w:ascii="微软雅黑" w:hAnsi="微软雅黑" w:eastAsia="微软雅黑" w:cs="微软雅黑"/>
          <w:spacing w:val="24"/>
          <w:position w:val="5"/>
          <w:sz w:val="9"/>
          <w:szCs w:val="9"/>
        </w:rPr>
        <w:t xml:space="preserve">]  </w:t>
      </w:r>
      <w:r>
        <w:rPr>
          <w:rFonts w:ascii="微软雅黑" w:hAnsi="微软雅黑" w:eastAsia="微软雅黑" w:cs="微软雅黑"/>
          <w:spacing w:val="24"/>
          <w:sz w:val="16"/>
          <w:szCs w:val="16"/>
        </w:rPr>
        <w:t>。</w:t>
      </w:r>
      <w:r>
        <w:rPr>
          <w:rFonts w:ascii="微软雅黑" w:hAnsi="微软雅黑" w:eastAsia="微软雅黑" w:cs="微软雅黑"/>
          <w:spacing w:val="-9"/>
          <w:sz w:val="16"/>
          <w:szCs w:val="16"/>
        </w:rPr>
        <w:t xml:space="preserve"> </w:t>
      </w:r>
      <w:r>
        <w:rPr>
          <w:rFonts w:ascii="微软雅黑" w:hAnsi="微软雅黑" w:eastAsia="微软雅黑" w:cs="微软雅黑"/>
          <w:spacing w:val="24"/>
          <w:sz w:val="16"/>
          <w:szCs w:val="16"/>
        </w:rPr>
        <w:t>二是认为高校</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质量文化是</w:t>
      </w:r>
      <w:r>
        <w:rPr>
          <w:rFonts w:ascii="微软雅黑" w:hAnsi="微软雅黑" w:eastAsia="微软雅黑" w:cs="微软雅黑"/>
          <w:spacing w:val="-16"/>
          <w:sz w:val="16"/>
          <w:szCs w:val="16"/>
        </w:rPr>
        <w:t xml:space="preserve"> </w:t>
      </w:r>
      <w:r>
        <w:rPr>
          <w:rFonts w:ascii="微软雅黑" w:hAnsi="微软雅黑" w:eastAsia="微软雅黑" w:cs="微软雅黑"/>
          <w:spacing w:val="38"/>
          <w:sz w:val="16"/>
          <w:szCs w:val="16"/>
        </w:rPr>
        <w:t>一</w:t>
      </w:r>
      <w:r>
        <w:rPr>
          <w:rFonts w:ascii="微软雅黑" w:hAnsi="微软雅黑" w:eastAsia="微软雅黑" w:cs="微软雅黑"/>
          <w:spacing w:val="-21"/>
          <w:sz w:val="16"/>
          <w:szCs w:val="16"/>
        </w:rPr>
        <w:t xml:space="preserve"> </w:t>
      </w:r>
      <w:r>
        <w:rPr>
          <w:rFonts w:ascii="微软雅黑" w:hAnsi="微软雅黑" w:eastAsia="微软雅黑" w:cs="微软雅黑"/>
          <w:spacing w:val="38"/>
          <w:sz w:val="16"/>
          <w:szCs w:val="16"/>
        </w:rPr>
        <w:t>种多种层次结</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构</w:t>
      </w:r>
      <w:r>
        <w:rPr>
          <w:rFonts w:ascii="微软雅黑" w:hAnsi="微软雅黑" w:eastAsia="微软雅黑" w:cs="微软雅黑"/>
          <w:spacing w:val="-3"/>
          <w:sz w:val="16"/>
          <w:szCs w:val="16"/>
        </w:rPr>
        <w:t xml:space="preserve"> </w:t>
      </w:r>
      <w:r>
        <w:rPr>
          <w:rFonts w:ascii="微软雅黑" w:hAnsi="微软雅黑" w:eastAsia="微软雅黑" w:cs="微软雅黑"/>
          <w:spacing w:val="38"/>
          <w:sz w:val="16"/>
          <w:szCs w:val="16"/>
        </w:rPr>
        <w:t>的</w:t>
      </w:r>
      <w:r>
        <w:rPr>
          <w:rFonts w:ascii="微软雅黑" w:hAnsi="微软雅黑" w:eastAsia="微软雅黑" w:cs="微软雅黑"/>
          <w:spacing w:val="-16"/>
          <w:sz w:val="16"/>
          <w:szCs w:val="16"/>
        </w:rPr>
        <w:t xml:space="preserve"> </w:t>
      </w:r>
      <w:r>
        <w:rPr>
          <w:rFonts w:ascii="微软雅黑" w:hAnsi="微软雅黑" w:eastAsia="微软雅黑" w:cs="微软雅黑"/>
          <w:spacing w:val="38"/>
          <w:sz w:val="16"/>
          <w:szCs w:val="16"/>
        </w:rPr>
        <w:t>文</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化</w:t>
      </w:r>
      <w:r>
        <w:rPr>
          <w:rFonts w:ascii="微软雅黑" w:hAnsi="微软雅黑" w:eastAsia="微软雅黑" w:cs="微软雅黑"/>
          <w:spacing w:val="-24"/>
          <w:sz w:val="16"/>
          <w:szCs w:val="16"/>
        </w:rPr>
        <w:t xml:space="preserve"> </w:t>
      </w:r>
      <w:r>
        <w:rPr>
          <w:rFonts w:ascii="微软雅黑" w:hAnsi="微软雅黑" w:eastAsia="微软雅黑" w:cs="微软雅黑"/>
          <w:spacing w:val="38"/>
          <w:sz w:val="16"/>
          <w:szCs w:val="16"/>
        </w:rPr>
        <w:t>，包</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括</w:t>
      </w:r>
      <w:r>
        <w:rPr>
          <w:rFonts w:ascii="微软雅黑" w:hAnsi="微软雅黑" w:eastAsia="微软雅黑" w:cs="微软雅黑"/>
          <w:spacing w:val="-16"/>
          <w:sz w:val="16"/>
          <w:szCs w:val="16"/>
        </w:rPr>
        <w:t xml:space="preserve"> </w:t>
      </w:r>
      <w:r>
        <w:rPr>
          <w:rFonts w:ascii="微软雅黑" w:hAnsi="微软雅黑" w:eastAsia="微软雅黑" w:cs="微软雅黑"/>
          <w:spacing w:val="38"/>
          <w:sz w:val="16"/>
          <w:szCs w:val="16"/>
        </w:rPr>
        <w:t>物</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质</w:t>
      </w:r>
      <w:r>
        <w:rPr>
          <w:rFonts w:ascii="微软雅黑" w:hAnsi="微软雅黑" w:eastAsia="微软雅黑" w:cs="微软雅黑"/>
          <w:spacing w:val="-16"/>
          <w:sz w:val="16"/>
          <w:szCs w:val="16"/>
        </w:rPr>
        <w:t xml:space="preserve"> </w:t>
      </w:r>
      <w:r>
        <w:rPr>
          <w:rFonts w:ascii="微软雅黑" w:hAnsi="微软雅黑" w:eastAsia="微软雅黑" w:cs="微软雅黑"/>
          <w:spacing w:val="38"/>
          <w:sz w:val="16"/>
          <w:szCs w:val="16"/>
        </w:rPr>
        <w:t>文</w:t>
      </w:r>
      <w:r>
        <w:rPr>
          <w:rFonts w:ascii="微软雅黑" w:hAnsi="微软雅黑" w:eastAsia="微软雅黑" w:cs="微软雅黑"/>
          <w:sz w:val="16"/>
          <w:szCs w:val="16"/>
        </w:rPr>
        <w:t xml:space="preserve">  </w:t>
      </w:r>
      <w:r>
        <w:rPr>
          <w:rFonts w:ascii="微软雅黑" w:hAnsi="微软雅黑" w:eastAsia="微软雅黑" w:cs="微软雅黑"/>
          <w:spacing w:val="8"/>
          <w:w w:val="121"/>
          <w:sz w:val="16"/>
          <w:szCs w:val="16"/>
        </w:rPr>
        <w:t>化</w:t>
      </w:r>
      <w:r>
        <w:rPr>
          <w:rFonts w:ascii="微软雅黑" w:hAnsi="微软雅黑" w:eastAsia="微软雅黑" w:cs="微软雅黑"/>
          <w:spacing w:val="-18"/>
          <w:sz w:val="16"/>
          <w:szCs w:val="16"/>
        </w:rPr>
        <w:t xml:space="preserve"> </w:t>
      </w:r>
      <w:r>
        <w:rPr>
          <w:rFonts w:ascii="微软雅黑" w:hAnsi="微软雅黑" w:eastAsia="微软雅黑" w:cs="微软雅黑"/>
          <w:spacing w:val="8"/>
          <w:w w:val="121"/>
          <w:sz w:val="16"/>
          <w:szCs w:val="16"/>
        </w:rPr>
        <w:t>、制度文化</w:t>
      </w:r>
      <w:r>
        <w:rPr>
          <w:rFonts w:ascii="微软雅黑" w:hAnsi="微软雅黑" w:eastAsia="微软雅黑" w:cs="微软雅黑"/>
          <w:spacing w:val="-18"/>
          <w:sz w:val="16"/>
          <w:szCs w:val="16"/>
        </w:rPr>
        <w:t xml:space="preserve"> </w:t>
      </w:r>
      <w:r>
        <w:rPr>
          <w:rFonts w:ascii="微软雅黑" w:hAnsi="微软雅黑" w:eastAsia="微软雅黑" w:cs="微软雅黑"/>
          <w:spacing w:val="8"/>
          <w:w w:val="121"/>
          <w:sz w:val="16"/>
          <w:szCs w:val="16"/>
        </w:rPr>
        <w:t>、行为文化和道德文化在内的涉及质量</w:t>
      </w:r>
      <w:r>
        <w:rPr>
          <w:rFonts w:ascii="微软雅黑" w:hAnsi="微软雅黑" w:eastAsia="微软雅黑" w:cs="微软雅黑"/>
          <w:sz w:val="16"/>
          <w:szCs w:val="16"/>
        </w:rPr>
        <w:t xml:space="preserve">  </w:t>
      </w:r>
      <w:r>
        <w:rPr>
          <w:rFonts w:ascii="微软雅黑" w:hAnsi="微软雅黑" w:eastAsia="微软雅黑" w:cs="微软雅黑"/>
          <w:spacing w:val="8"/>
          <w:w w:val="125"/>
          <w:sz w:val="16"/>
          <w:szCs w:val="16"/>
        </w:rPr>
        <w:t>各要素的总和</w:t>
      </w:r>
      <w:r>
        <w:rPr>
          <w:rFonts w:ascii="微软雅黑" w:hAnsi="微软雅黑" w:eastAsia="微软雅黑" w:cs="微软雅黑"/>
          <w:spacing w:val="8"/>
          <w:w w:val="125"/>
          <w:position w:val="5"/>
          <w:sz w:val="9"/>
          <w:szCs w:val="9"/>
        </w:rPr>
        <w:t>[</w:t>
      </w:r>
      <w:r>
        <w:rPr>
          <w:rFonts w:ascii="Arial" w:hAnsi="Arial" w:eastAsia="Arial" w:cs="Arial"/>
          <w:spacing w:val="8"/>
          <w:w w:val="125"/>
          <w:position w:val="5"/>
          <w:sz w:val="9"/>
          <w:szCs w:val="9"/>
        </w:rPr>
        <w:t>2</w:t>
      </w:r>
      <w:r>
        <w:rPr>
          <w:rFonts w:ascii="微软雅黑" w:hAnsi="微软雅黑" w:eastAsia="微软雅黑" w:cs="微软雅黑"/>
          <w:spacing w:val="8"/>
          <w:w w:val="125"/>
          <w:position w:val="5"/>
          <w:sz w:val="9"/>
          <w:szCs w:val="9"/>
        </w:rPr>
        <w:t>]</w:t>
      </w:r>
      <w:r>
        <w:rPr>
          <w:rFonts w:ascii="微软雅黑" w:hAnsi="微软雅黑" w:eastAsia="微软雅黑" w:cs="微软雅黑"/>
          <w:spacing w:val="11"/>
          <w:w w:val="103"/>
          <w:position w:val="5"/>
          <w:sz w:val="9"/>
          <w:szCs w:val="9"/>
        </w:rPr>
        <w:t xml:space="preserve">  </w:t>
      </w:r>
      <w:r>
        <w:rPr>
          <w:rFonts w:ascii="微软雅黑" w:hAnsi="微软雅黑" w:eastAsia="微软雅黑" w:cs="微软雅黑"/>
          <w:spacing w:val="8"/>
          <w:w w:val="125"/>
          <w:sz w:val="16"/>
          <w:szCs w:val="16"/>
        </w:rPr>
        <w:t>。</w:t>
      </w:r>
      <w:r>
        <w:rPr>
          <w:rFonts w:ascii="微软雅黑" w:hAnsi="微软雅黑" w:eastAsia="微软雅黑" w:cs="微软雅黑"/>
          <w:spacing w:val="-10"/>
          <w:sz w:val="16"/>
          <w:szCs w:val="16"/>
        </w:rPr>
        <w:t xml:space="preserve"> </w:t>
      </w:r>
      <w:r>
        <w:rPr>
          <w:rFonts w:ascii="微软雅黑" w:hAnsi="微软雅黑" w:eastAsia="微软雅黑" w:cs="微软雅黑"/>
          <w:spacing w:val="8"/>
          <w:w w:val="125"/>
          <w:sz w:val="16"/>
          <w:szCs w:val="16"/>
        </w:rPr>
        <w:t>三是认为高校质量文化是</w:t>
      </w:r>
      <w:r>
        <w:rPr>
          <w:rFonts w:ascii="微软雅黑" w:hAnsi="微软雅黑" w:eastAsia="微软雅黑" w:cs="微软雅黑"/>
          <w:spacing w:val="-21"/>
          <w:sz w:val="16"/>
          <w:szCs w:val="16"/>
        </w:rPr>
        <w:t xml:space="preserve"> </w:t>
      </w:r>
      <w:r>
        <w:rPr>
          <w:rFonts w:ascii="微软雅黑" w:hAnsi="微软雅黑" w:eastAsia="微软雅黑" w:cs="微软雅黑"/>
          <w:spacing w:val="8"/>
          <w:w w:val="125"/>
          <w:sz w:val="16"/>
          <w:szCs w:val="16"/>
        </w:rPr>
        <w:t>一</w:t>
      </w:r>
      <w:r>
        <w:rPr>
          <w:rFonts w:ascii="微软雅黑" w:hAnsi="微软雅黑" w:eastAsia="微软雅黑" w:cs="微软雅黑"/>
          <w:spacing w:val="-22"/>
          <w:sz w:val="16"/>
          <w:szCs w:val="16"/>
        </w:rPr>
        <w:t xml:space="preserve"> </w:t>
      </w:r>
      <w:r>
        <w:rPr>
          <w:rFonts w:ascii="微软雅黑" w:hAnsi="微软雅黑" w:eastAsia="微软雅黑" w:cs="微软雅黑"/>
          <w:spacing w:val="8"/>
          <w:w w:val="125"/>
          <w:sz w:val="16"/>
          <w:szCs w:val="16"/>
        </w:rPr>
        <w:t>种质</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量管理实践的文化</w:t>
      </w:r>
      <w:r>
        <w:rPr>
          <w:rFonts w:ascii="微软雅黑" w:hAnsi="微软雅黑" w:eastAsia="微软雅黑" w:cs="微软雅黑"/>
          <w:spacing w:val="-19"/>
          <w:sz w:val="16"/>
          <w:szCs w:val="16"/>
        </w:rPr>
        <w:t xml:space="preserve"> </w:t>
      </w:r>
      <w:r>
        <w:rPr>
          <w:rFonts w:ascii="微软雅黑" w:hAnsi="微软雅黑" w:eastAsia="微软雅黑" w:cs="微软雅黑"/>
          <w:spacing w:val="39"/>
          <w:sz w:val="16"/>
          <w:szCs w:val="16"/>
        </w:rPr>
        <w:t>，真正高质</w:t>
      </w:r>
      <w:r>
        <w:rPr>
          <w:rFonts w:ascii="微软雅黑" w:hAnsi="微软雅黑" w:eastAsia="微软雅黑" w:cs="微软雅黑"/>
          <w:spacing w:val="-18"/>
          <w:sz w:val="16"/>
          <w:szCs w:val="16"/>
        </w:rPr>
        <w:t xml:space="preserve"> </w:t>
      </w:r>
      <w:r>
        <w:rPr>
          <w:rFonts w:ascii="微软雅黑" w:hAnsi="微软雅黑" w:eastAsia="微软雅黑" w:cs="微软雅黑"/>
          <w:spacing w:val="39"/>
          <w:sz w:val="16"/>
          <w:szCs w:val="16"/>
        </w:rPr>
        <w:t>量</w:t>
      </w:r>
      <w:r>
        <w:rPr>
          <w:rFonts w:ascii="微软雅黑" w:hAnsi="微软雅黑" w:eastAsia="微软雅黑" w:cs="微软雅黑"/>
          <w:spacing w:val="-2"/>
          <w:sz w:val="16"/>
          <w:szCs w:val="16"/>
        </w:rPr>
        <w:t xml:space="preserve"> </w:t>
      </w:r>
      <w:r>
        <w:rPr>
          <w:rFonts w:ascii="微软雅黑" w:hAnsi="微软雅黑" w:eastAsia="微软雅黑" w:cs="微软雅黑"/>
          <w:spacing w:val="39"/>
          <w:sz w:val="16"/>
          <w:szCs w:val="16"/>
        </w:rPr>
        <w:t>的</w:t>
      </w:r>
      <w:r>
        <w:rPr>
          <w:rFonts w:ascii="微软雅黑" w:hAnsi="微软雅黑" w:eastAsia="微软雅黑" w:cs="微软雅黑"/>
          <w:spacing w:val="-18"/>
          <w:sz w:val="16"/>
          <w:szCs w:val="16"/>
        </w:rPr>
        <w:t xml:space="preserve"> </w:t>
      </w:r>
      <w:r>
        <w:rPr>
          <w:rFonts w:ascii="微软雅黑" w:hAnsi="微软雅黑" w:eastAsia="微软雅黑" w:cs="微软雅黑"/>
          <w:spacing w:val="39"/>
          <w:sz w:val="16"/>
          <w:szCs w:val="16"/>
        </w:rPr>
        <w:t>教</w:t>
      </w:r>
      <w:r>
        <w:rPr>
          <w:rFonts w:ascii="微软雅黑" w:hAnsi="微软雅黑" w:eastAsia="微软雅黑" w:cs="微软雅黑"/>
          <w:spacing w:val="-16"/>
          <w:sz w:val="16"/>
          <w:szCs w:val="16"/>
        </w:rPr>
        <w:t xml:space="preserve"> </w:t>
      </w:r>
      <w:r>
        <w:rPr>
          <w:rFonts w:ascii="微软雅黑" w:hAnsi="微软雅黑" w:eastAsia="微软雅黑" w:cs="微软雅黑"/>
          <w:spacing w:val="39"/>
          <w:sz w:val="16"/>
          <w:szCs w:val="16"/>
        </w:rPr>
        <w:t>育</w:t>
      </w:r>
      <w:r>
        <w:rPr>
          <w:rFonts w:ascii="微软雅黑" w:hAnsi="微软雅黑" w:eastAsia="微软雅黑" w:cs="微软雅黑"/>
          <w:spacing w:val="-18"/>
          <w:sz w:val="16"/>
          <w:szCs w:val="16"/>
        </w:rPr>
        <w:t xml:space="preserve"> </w:t>
      </w:r>
      <w:r>
        <w:rPr>
          <w:rFonts w:ascii="微软雅黑" w:hAnsi="微软雅黑" w:eastAsia="微软雅黑" w:cs="微软雅黑"/>
          <w:spacing w:val="39"/>
          <w:sz w:val="16"/>
          <w:szCs w:val="16"/>
        </w:rPr>
        <w:t>是</w:t>
      </w:r>
      <w:r>
        <w:rPr>
          <w:rFonts w:ascii="微软雅黑" w:hAnsi="微软雅黑" w:eastAsia="微软雅黑" w:cs="微软雅黑"/>
          <w:spacing w:val="-15"/>
          <w:sz w:val="16"/>
          <w:szCs w:val="16"/>
        </w:rPr>
        <w:t xml:space="preserve"> </w:t>
      </w:r>
      <w:r>
        <w:rPr>
          <w:rFonts w:ascii="微软雅黑" w:hAnsi="微软雅黑" w:eastAsia="微软雅黑" w:cs="微软雅黑"/>
          <w:spacing w:val="39"/>
          <w:sz w:val="16"/>
          <w:szCs w:val="16"/>
        </w:rPr>
        <w:t>高</w:t>
      </w:r>
      <w:r>
        <w:rPr>
          <w:rFonts w:ascii="微软雅黑" w:hAnsi="微软雅黑" w:eastAsia="微软雅黑" w:cs="微软雅黑"/>
          <w:spacing w:val="-16"/>
          <w:sz w:val="16"/>
          <w:szCs w:val="16"/>
        </w:rPr>
        <w:t xml:space="preserve"> </w:t>
      </w:r>
      <w:r>
        <w:rPr>
          <w:rFonts w:ascii="微软雅黑" w:hAnsi="微软雅黑" w:eastAsia="微软雅黑" w:cs="微软雅黑"/>
          <w:spacing w:val="39"/>
          <w:sz w:val="16"/>
          <w:szCs w:val="16"/>
        </w:rPr>
        <w:t>等</w:t>
      </w:r>
      <w:r>
        <w:rPr>
          <w:rFonts w:ascii="微软雅黑" w:hAnsi="微软雅黑" w:eastAsia="微软雅黑" w:cs="微软雅黑"/>
          <w:spacing w:val="-17"/>
          <w:sz w:val="16"/>
          <w:szCs w:val="16"/>
        </w:rPr>
        <w:t xml:space="preserve"> </w:t>
      </w:r>
      <w:r>
        <w:rPr>
          <w:rFonts w:ascii="微软雅黑" w:hAnsi="微软雅黑" w:eastAsia="微软雅黑" w:cs="微软雅黑"/>
          <w:spacing w:val="39"/>
          <w:sz w:val="16"/>
          <w:szCs w:val="16"/>
        </w:rPr>
        <w:t>教</w:t>
      </w:r>
      <w:r>
        <w:rPr>
          <w:rFonts w:ascii="微软雅黑" w:hAnsi="微软雅黑" w:eastAsia="微软雅黑" w:cs="微软雅黑"/>
          <w:spacing w:val="-17"/>
          <w:sz w:val="16"/>
          <w:szCs w:val="16"/>
        </w:rPr>
        <w:t xml:space="preserve"> </w:t>
      </w:r>
      <w:r>
        <w:rPr>
          <w:rFonts w:ascii="微软雅黑" w:hAnsi="微软雅黑" w:eastAsia="微软雅黑" w:cs="微软雅黑"/>
          <w:spacing w:val="39"/>
          <w:sz w:val="16"/>
          <w:szCs w:val="16"/>
        </w:rPr>
        <w:t>育</w:t>
      </w:r>
      <w:r>
        <w:rPr>
          <w:rFonts w:ascii="微软雅黑" w:hAnsi="微软雅黑" w:eastAsia="微软雅黑" w:cs="微软雅黑"/>
          <w:sz w:val="16"/>
          <w:szCs w:val="16"/>
        </w:rPr>
        <w:t xml:space="preserve">  </w:t>
      </w:r>
      <w:r>
        <w:rPr>
          <w:rFonts w:ascii="微软雅黑" w:hAnsi="微软雅黑" w:eastAsia="微软雅黑" w:cs="微软雅黑"/>
          <w:spacing w:val="9"/>
          <w:w w:val="125"/>
          <w:sz w:val="16"/>
          <w:szCs w:val="16"/>
        </w:rPr>
        <w:t>社区里所有成员共享的质量文化发生的结果</w:t>
      </w:r>
      <w:r>
        <w:rPr>
          <w:rFonts w:ascii="微软雅黑" w:hAnsi="微软雅黑" w:eastAsia="微软雅黑" w:cs="微软雅黑"/>
          <w:spacing w:val="9"/>
          <w:w w:val="125"/>
          <w:position w:val="6"/>
          <w:sz w:val="9"/>
          <w:szCs w:val="9"/>
        </w:rPr>
        <w:t>[</w:t>
      </w:r>
      <w:r>
        <w:rPr>
          <w:rFonts w:ascii="Arial" w:hAnsi="Arial" w:eastAsia="Arial" w:cs="Arial"/>
          <w:spacing w:val="9"/>
          <w:w w:val="125"/>
          <w:position w:val="6"/>
          <w:sz w:val="9"/>
          <w:szCs w:val="9"/>
        </w:rPr>
        <w:t>3</w:t>
      </w:r>
      <w:r>
        <w:rPr>
          <w:rFonts w:ascii="微软雅黑" w:hAnsi="微软雅黑" w:eastAsia="微软雅黑" w:cs="微软雅黑"/>
          <w:spacing w:val="9"/>
          <w:w w:val="125"/>
          <w:position w:val="6"/>
          <w:sz w:val="9"/>
          <w:szCs w:val="9"/>
        </w:rPr>
        <w:t>]</w:t>
      </w:r>
      <w:r>
        <w:rPr>
          <w:rFonts w:ascii="微软雅黑" w:hAnsi="微软雅黑" w:eastAsia="微软雅黑" w:cs="微软雅黑"/>
          <w:spacing w:val="10"/>
          <w:w w:val="101"/>
          <w:position w:val="6"/>
          <w:sz w:val="9"/>
          <w:szCs w:val="9"/>
        </w:rPr>
        <w:t xml:space="preserve">  </w:t>
      </w:r>
      <w:r>
        <w:rPr>
          <w:rFonts w:ascii="微软雅黑" w:hAnsi="微软雅黑" w:eastAsia="微软雅黑" w:cs="微软雅黑"/>
          <w:spacing w:val="9"/>
          <w:w w:val="125"/>
          <w:sz w:val="16"/>
          <w:szCs w:val="16"/>
        </w:rPr>
        <w:t>。 四</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是认为高校质量文化是</w:t>
      </w:r>
      <w:r>
        <w:rPr>
          <w:rFonts w:ascii="微软雅黑" w:hAnsi="微软雅黑" w:eastAsia="微软雅黑" w:cs="微软雅黑"/>
          <w:spacing w:val="-9"/>
          <w:sz w:val="16"/>
          <w:szCs w:val="16"/>
        </w:rPr>
        <w:t xml:space="preserve"> </w:t>
      </w:r>
      <w:r>
        <w:rPr>
          <w:rFonts w:ascii="微软雅黑" w:hAnsi="微软雅黑" w:eastAsia="微软雅黑" w:cs="微软雅黑"/>
          <w:spacing w:val="39"/>
          <w:sz w:val="16"/>
          <w:szCs w:val="16"/>
        </w:rPr>
        <w:t>一</w:t>
      </w:r>
      <w:r>
        <w:rPr>
          <w:rFonts w:ascii="微软雅黑" w:hAnsi="微软雅黑" w:eastAsia="微软雅黑" w:cs="微软雅黑"/>
          <w:spacing w:val="-20"/>
          <w:sz w:val="16"/>
          <w:szCs w:val="16"/>
        </w:rPr>
        <w:t xml:space="preserve"> </w:t>
      </w:r>
      <w:r>
        <w:rPr>
          <w:rFonts w:ascii="微软雅黑" w:hAnsi="微软雅黑" w:eastAsia="微软雅黑" w:cs="微软雅黑"/>
          <w:spacing w:val="39"/>
          <w:sz w:val="16"/>
          <w:szCs w:val="16"/>
        </w:rPr>
        <w:t>种</w:t>
      </w:r>
      <w:r>
        <w:rPr>
          <w:rFonts w:ascii="微软雅黑" w:hAnsi="微软雅黑" w:eastAsia="微软雅黑" w:cs="微软雅黑"/>
          <w:spacing w:val="-18"/>
          <w:sz w:val="16"/>
          <w:szCs w:val="16"/>
        </w:rPr>
        <w:t xml:space="preserve"> </w:t>
      </w:r>
      <w:r>
        <w:rPr>
          <w:rFonts w:ascii="微软雅黑" w:hAnsi="微软雅黑" w:eastAsia="微软雅黑" w:cs="微软雅黑"/>
          <w:spacing w:val="39"/>
          <w:sz w:val="16"/>
          <w:szCs w:val="16"/>
        </w:rPr>
        <w:t>践</w:t>
      </w:r>
      <w:r>
        <w:rPr>
          <w:rFonts w:ascii="微软雅黑" w:hAnsi="微软雅黑" w:eastAsia="微软雅黑" w:cs="微软雅黑"/>
          <w:spacing w:val="-19"/>
          <w:sz w:val="16"/>
          <w:szCs w:val="16"/>
        </w:rPr>
        <w:t xml:space="preserve"> </w:t>
      </w:r>
      <w:r>
        <w:rPr>
          <w:rFonts w:ascii="微软雅黑" w:hAnsi="微软雅黑" w:eastAsia="微软雅黑" w:cs="微软雅黑"/>
          <w:spacing w:val="39"/>
          <w:sz w:val="16"/>
          <w:szCs w:val="16"/>
        </w:rPr>
        <w:t>行</w:t>
      </w:r>
      <w:r>
        <w:rPr>
          <w:rFonts w:ascii="微软雅黑" w:hAnsi="微软雅黑" w:eastAsia="微软雅黑" w:cs="微软雅黑"/>
          <w:spacing w:val="-19"/>
          <w:sz w:val="16"/>
          <w:szCs w:val="16"/>
        </w:rPr>
        <w:t xml:space="preserve"> </w:t>
      </w:r>
      <w:r>
        <w:rPr>
          <w:rFonts w:ascii="微软雅黑" w:hAnsi="微软雅黑" w:eastAsia="微软雅黑" w:cs="微软雅黑"/>
          <w:spacing w:val="39"/>
          <w:sz w:val="16"/>
          <w:szCs w:val="16"/>
        </w:rPr>
        <w:t>人</w:t>
      </w:r>
      <w:r>
        <w:rPr>
          <w:rFonts w:ascii="微软雅黑" w:hAnsi="微软雅黑" w:eastAsia="微软雅黑" w:cs="微软雅黑"/>
          <w:spacing w:val="-17"/>
          <w:sz w:val="16"/>
          <w:szCs w:val="16"/>
        </w:rPr>
        <w:t xml:space="preserve"> </w:t>
      </w:r>
      <w:r>
        <w:rPr>
          <w:rFonts w:ascii="微软雅黑" w:hAnsi="微软雅黑" w:eastAsia="微软雅黑" w:cs="微软雅黑"/>
          <w:spacing w:val="39"/>
          <w:sz w:val="16"/>
          <w:szCs w:val="16"/>
        </w:rPr>
        <w:t>才</w:t>
      </w:r>
      <w:r>
        <w:rPr>
          <w:rFonts w:ascii="微软雅黑" w:hAnsi="微软雅黑" w:eastAsia="微软雅黑" w:cs="微软雅黑"/>
          <w:spacing w:val="-15"/>
          <w:sz w:val="16"/>
          <w:szCs w:val="16"/>
        </w:rPr>
        <w:t xml:space="preserve"> </w:t>
      </w:r>
      <w:r>
        <w:rPr>
          <w:rFonts w:ascii="微软雅黑" w:hAnsi="微软雅黑" w:eastAsia="微软雅黑" w:cs="微软雅黑"/>
          <w:spacing w:val="39"/>
          <w:sz w:val="16"/>
          <w:szCs w:val="16"/>
        </w:rPr>
        <w:t>培</w:t>
      </w:r>
      <w:r>
        <w:rPr>
          <w:rFonts w:ascii="微软雅黑" w:hAnsi="微软雅黑" w:eastAsia="微软雅黑" w:cs="微软雅黑"/>
          <w:spacing w:val="-19"/>
          <w:sz w:val="16"/>
          <w:szCs w:val="16"/>
        </w:rPr>
        <w:t xml:space="preserve"> </w:t>
      </w:r>
      <w:r>
        <w:rPr>
          <w:rFonts w:ascii="微软雅黑" w:hAnsi="微软雅黑" w:eastAsia="微软雅黑" w:cs="微软雅黑"/>
          <w:spacing w:val="39"/>
          <w:sz w:val="16"/>
          <w:szCs w:val="16"/>
        </w:rPr>
        <w:t>养</w:t>
      </w:r>
      <w:r>
        <w:rPr>
          <w:rFonts w:ascii="微软雅黑" w:hAnsi="微软雅黑" w:eastAsia="微软雅黑" w:cs="微软雅黑"/>
          <w:spacing w:val="-2"/>
          <w:sz w:val="16"/>
          <w:szCs w:val="16"/>
        </w:rPr>
        <w:t xml:space="preserve"> </w:t>
      </w:r>
      <w:r>
        <w:rPr>
          <w:rFonts w:ascii="微软雅黑" w:hAnsi="微软雅黑" w:eastAsia="微软雅黑" w:cs="微软雅黑"/>
          <w:spacing w:val="39"/>
          <w:sz w:val="16"/>
          <w:szCs w:val="16"/>
        </w:rPr>
        <w:t>的</w:t>
      </w:r>
      <w:r>
        <w:rPr>
          <w:rFonts w:ascii="微软雅黑" w:hAnsi="微软雅黑" w:eastAsia="微软雅黑" w:cs="微软雅黑"/>
          <w:spacing w:val="-16"/>
          <w:sz w:val="16"/>
          <w:szCs w:val="16"/>
        </w:rPr>
        <w:t xml:space="preserve"> </w:t>
      </w:r>
      <w:r>
        <w:rPr>
          <w:rFonts w:ascii="微软雅黑" w:hAnsi="微软雅黑" w:eastAsia="微软雅黑" w:cs="微软雅黑"/>
          <w:spacing w:val="39"/>
          <w:sz w:val="16"/>
          <w:szCs w:val="16"/>
        </w:rPr>
        <w:t>文</w:t>
      </w:r>
      <w:r>
        <w:rPr>
          <w:rFonts w:ascii="微软雅黑" w:hAnsi="微软雅黑" w:eastAsia="微软雅黑" w:cs="微软雅黑"/>
          <w:spacing w:val="-18"/>
          <w:sz w:val="16"/>
          <w:szCs w:val="16"/>
        </w:rPr>
        <w:t xml:space="preserve"> </w:t>
      </w:r>
      <w:r>
        <w:rPr>
          <w:rFonts w:ascii="微软雅黑" w:hAnsi="微软雅黑" w:eastAsia="微软雅黑" w:cs="微软雅黑"/>
          <w:spacing w:val="39"/>
          <w:sz w:val="16"/>
          <w:szCs w:val="16"/>
        </w:rPr>
        <w:t>化</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24"/>
          <w:sz w:val="16"/>
          <w:szCs w:val="16"/>
        </w:rPr>
        <w:t>是</w:t>
      </w:r>
      <w:r>
        <w:rPr>
          <w:rFonts w:ascii="微软雅黑" w:hAnsi="微软雅黑" w:eastAsia="微软雅黑" w:cs="微软雅黑"/>
          <w:spacing w:val="-24"/>
          <w:sz w:val="16"/>
          <w:szCs w:val="16"/>
        </w:rPr>
        <w:t xml:space="preserve"> </w:t>
      </w:r>
      <w:r>
        <w:rPr>
          <w:rFonts w:ascii="微软雅黑" w:hAnsi="微软雅黑" w:eastAsia="微软雅黑" w:cs="微软雅黑"/>
          <w:spacing w:val="24"/>
          <w:sz w:val="16"/>
          <w:szCs w:val="16"/>
        </w:rPr>
        <w:t>“以人</w:t>
      </w:r>
      <w:r>
        <w:rPr>
          <w:rFonts w:ascii="微软雅黑" w:hAnsi="微软雅黑" w:eastAsia="微软雅黑" w:cs="微软雅黑"/>
          <w:spacing w:val="-13"/>
          <w:sz w:val="16"/>
          <w:szCs w:val="16"/>
        </w:rPr>
        <w:t xml:space="preserve"> </w:t>
      </w:r>
      <w:r>
        <w:rPr>
          <w:rFonts w:ascii="微软雅黑" w:hAnsi="微软雅黑" w:eastAsia="微软雅黑" w:cs="微软雅黑"/>
          <w:spacing w:val="24"/>
          <w:sz w:val="16"/>
          <w:szCs w:val="16"/>
        </w:rPr>
        <w:t>才</w:t>
      </w:r>
      <w:r>
        <w:rPr>
          <w:rFonts w:ascii="微软雅黑" w:hAnsi="微软雅黑" w:eastAsia="微软雅黑" w:cs="微软雅黑"/>
          <w:spacing w:val="-12"/>
          <w:sz w:val="16"/>
          <w:szCs w:val="16"/>
        </w:rPr>
        <w:t xml:space="preserve"> </w:t>
      </w:r>
      <w:r>
        <w:rPr>
          <w:rFonts w:ascii="微软雅黑" w:hAnsi="微软雅黑" w:eastAsia="微软雅黑" w:cs="微软雅黑"/>
          <w:spacing w:val="24"/>
          <w:sz w:val="16"/>
          <w:szCs w:val="16"/>
        </w:rPr>
        <w:t>培</w:t>
      </w:r>
      <w:r>
        <w:rPr>
          <w:rFonts w:ascii="微软雅黑" w:hAnsi="微软雅黑" w:eastAsia="微软雅黑" w:cs="微软雅黑"/>
          <w:spacing w:val="-14"/>
          <w:sz w:val="16"/>
          <w:szCs w:val="16"/>
        </w:rPr>
        <w:t xml:space="preserve"> </w:t>
      </w:r>
      <w:r>
        <w:rPr>
          <w:rFonts w:ascii="微软雅黑" w:hAnsi="微软雅黑" w:eastAsia="微软雅黑" w:cs="微软雅黑"/>
          <w:spacing w:val="24"/>
          <w:sz w:val="16"/>
          <w:szCs w:val="16"/>
        </w:rPr>
        <w:t>养</w:t>
      </w:r>
      <w:r>
        <w:rPr>
          <w:rFonts w:ascii="微软雅黑" w:hAnsi="微软雅黑" w:eastAsia="微软雅黑" w:cs="微软雅黑"/>
          <w:spacing w:val="-13"/>
          <w:sz w:val="16"/>
          <w:szCs w:val="16"/>
        </w:rPr>
        <w:t xml:space="preserve"> </w:t>
      </w:r>
      <w:r>
        <w:rPr>
          <w:rFonts w:ascii="微软雅黑" w:hAnsi="微软雅黑" w:eastAsia="微软雅黑" w:cs="微软雅黑"/>
          <w:spacing w:val="24"/>
          <w:sz w:val="16"/>
          <w:szCs w:val="16"/>
        </w:rPr>
        <w:t>质</w:t>
      </w:r>
      <w:r>
        <w:rPr>
          <w:rFonts w:ascii="微软雅黑" w:hAnsi="微软雅黑" w:eastAsia="微软雅黑" w:cs="微软雅黑"/>
          <w:spacing w:val="-14"/>
          <w:sz w:val="16"/>
          <w:szCs w:val="16"/>
        </w:rPr>
        <w:t xml:space="preserve"> </w:t>
      </w:r>
      <w:r>
        <w:rPr>
          <w:rFonts w:ascii="微软雅黑" w:hAnsi="微软雅黑" w:eastAsia="微软雅黑" w:cs="微软雅黑"/>
          <w:spacing w:val="24"/>
          <w:sz w:val="16"/>
          <w:szCs w:val="16"/>
        </w:rPr>
        <w:t>量</w:t>
      </w:r>
      <w:r>
        <w:rPr>
          <w:rFonts w:ascii="微软雅黑" w:hAnsi="微软雅黑" w:eastAsia="微软雅黑" w:cs="微软雅黑"/>
          <w:spacing w:val="-10"/>
          <w:sz w:val="16"/>
          <w:szCs w:val="16"/>
        </w:rPr>
        <w:t xml:space="preserve"> </w:t>
      </w:r>
      <w:r>
        <w:rPr>
          <w:rFonts w:ascii="微软雅黑" w:hAnsi="微软雅黑" w:eastAsia="微软雅黑" w:cs="微软雅黑"/>
          <w:spacing w:val="24"/>
          <w:sz w:val="16"/>
          <w:szCs w:val="16"/>
        </w:rPr>
        <w:t>为 中</w:t>
      </w:r>
      <w:r>
        <w:rPr>
          <w:rFonts w:ascii="微软雅黑" w:hAnsi="微软雅黑" w:eastAsia="微软雅黑" w:cs="微软雅黑"/>
          <w:spacing w:val="-14"/>
          <w:sz w:val="16"/>
          <w:szCs w:val="16"/>
        </w:rPr>
        <w:t xml:space="preserve"> </w:t>
      </w:r>
      <w:r>
        <w:rPr>
          <w:rFonts w:ascii="微软雅黑" w:hAnsi="微软雅黑" w:eastAsia="微软雅黑" w:cs="微软雅黑"/>
          <w:spacing w:val="24"/>
          <w:sz w:val="16"/>
          <w:szCs w:val="16"/>
        </w:rPr>
        <w:t>心</w:t>
      </w:r>
      <w:r>
        <w:rPr>
          <w:rFonts w:ascii="微软雅黑" w:hAnsi="微软雅黑" w:eastAsia="微软雅黑" w:cs="微软雅黑"/>
          <w:spacing w:val="-24"/>
          <w:sz w:val="16"/>
          <w:szCs w:val="16"/>
        </w:rPr>
        <w:t xml:space="preserve"> </w:t>
      </w:r>
      <w:r>
        <w:rPr>
          <w:rFonts w:ascii="微软雅黑" w:hAnsi="微软雅黑" w:eastAsia="微软雅黑" w:cs="微软雅黑"/>
          <w:spacing w:val="24"/>
          <w:sz w:val="16"/>
          <w:szCs w:val="16"/>
        </w:rPr>
        <w:t>，以</w:t>
      </w:r>
      <w:r>
        <w:rPr>
          <w:rFonts w:ascii="微软雅黑" w:hAnsi="微软雅黑" w:eastAsia="微软雅黑" w:cs="微软雅黑"/>
          <w:spacing w:val="-14"/>
          <w:sz w:val="16"/>
          <w:szCs w:val="16"/>
        </w:rPr>
        <w:t xml:space="preserve"> </w:t>
      </w:r>
      <w:r>
        <w:rPr>
          <w:rFonts w:ascii="微软雅黑" w:hAnsi="微软雅黑" w:eastAsia="微软雅黑" w:cs="微软雅黑"/>
          <w:spacing w:val="24"/>
          <w:sz w:val="16"/>
          <w:szCs w:val="16"/>
        </w:rPr>
        <w:t>教</w:t>
      </w:r>
      <w:r>
        <w:rPr>
          <w:rFonts w:ascii="微软雅黑" w:hAnsi="微软雅黑" w:eastAsia="微软雅黑" w:cs="微软雅黑"/>
          <w:spacing w:val="-12"/>
          <w:sz w:val="16"/>
          <w:szCs w:val="16"/>
        </w:rPr>
        <w:t xml:space="preserve"> </w:t>
      </w:r>
      <w:r>
        <w:rPr>
          <w:rFonts w:ascii="微软雅黑" w:hAnsi="微软雅黑" w:eastAsia="微软雅黑" w:cs="微软雅黑"/>
          <w:spacing w:val="24"/>
          <w:sz w:val="16"/>
          <w:szCs w:val="16"/>
        </w:rPr>
        <w:t>育</w:t>
      </w:r>
      <w:r>
        <w:rPr>
          <w:rFonts w:ascii="微软雅黑" w:hAnsi="微软雅黑" w:eastAsia="微软雅黑" w:cs="微软雅黑"/>
          <w:spacing w:val="-14"/>
          <w:sz w:val="16"/>
          <w:szCs w:val="16"/>
        </w:rPr>
        <w:t xml:space="preserve"> </w:t>
      </w:r>
      <w:r>
        <w:rPr>
          <w:rFonts w:ascii="微软雅黑" w:hAnsi="微软雅黑" w:eastAsia="微软雅黑" w:cs="微软雅黑"/>
          <w:spacing w:val="24"/>
          <w:sz w:val="16"/>
          <w:szCs w:val="16"/>
        </w:rPr>
        <w:t>教</w:t>
      </w:r>
      <w:r>
        <w:rPr>
          <w:rFonts w:ascii="微软雅黑" w:hAnsi="微软雅黑" w:eastAsia="微软雅黑" w:cs="微软雅黑"/>
          <w:spacing w:val="-13"/>
          <w:sz w:val="16"/>
          <w:szCs w:val="16"/>
        </w:rPr>
        <w:t xml:space="preserve"> </w:t>
      </w:r>
      <w:r>
        <w:rPr>
          <w:rFonts w:ascii="微软雅黑" w:hAnsi="微软雅黑" w:eastAsia="微软雅黑" w:cs="微软雅黑"/>
          <w:spacing w:val="24"/>
          <w:sz w:val="16"/>
          <w:szCs w:val="16"/>
        </w:rPr>
        <w:t>学</w:t>
      </w:r>
      <w:r>
        <w:rPr>
          <w:rFonts w:ascii="微软雅黑" w:hAnsi="微软雅黑" w:eastAsia="微软雅黑" w:cs="微软雅黑"/>
          <w:spacing w:val="-13"/>
          <w:sz w:val="16"/>
          <w:szCs w:val="16"/>
        </w:rPr>
        <w:t xml:space="preserve"> </w:t>
      </w:r>
      <w:r>
        <w:rPr>
          <w:rFonts w:ascii="微软雅黑" w:hAnsi="微软雅黑" w:eastAsia="微软雅黑" w:cs="微软雅黑"/>
          <w:spacing w:val="24"/>
          <w:sz w:val="16"/>
          <w:szCs w:val="16"/>
        </w:rPr>
        <w:t>质</w:t>
      </w:r>
      <w:r>
        <w:rPr>
          <w:rFonts w:ascii="微软雅黑" w:hAnsi="微软雅黑" w:eastAsia="微软雅黑" w:cs="微软雅黑"/>
          <w:spacing w:val="-12"/>
          <w:sz w:val="16"/>
          <w:szCs w:val="16"/>
        </w:rPr>
        <w:t xml:space="preserve"> </w:t>
      </w:r>
      <w:r>
        <w:rPr>
          <w:rFonts w:ascii="微软雅黑" w:hAnsi="微软雅黑" w:eastAsia="微软雅黑" w:cs="微软雅黑"/>
          <w:spacing w:val="24"/>
          <w:sz w:val="16"/>
          <w:szCs w:val="16"/>
        </w:rPr>
        <w:t>量</w:t>
      </w:r>
      <w:r>
        <w:rPr>
          <w:rFonts w:ascii="微软雅黑" w:hAnsi="微软雅黑" w:eastAsia="微软雅黑" w:cs="微软雅黑"/>
          <w:spacing w:val="-8"/>
          <w:sz w:val="16"/>
          <w:szCs w:val="16"/>
        </w:rPr>
        <w:t xml:space="preserve"> </w:t>
      </w:r>
      <w:r>
        <w:rPr>
          <w:rFonts w:ascii="微软雅黑" w:hAnsi="微软雅黑" w:eastAsia="微软雅黑" w:cs="微软雅黑"/>
          <w:spacing w:val="24"/>
          <w:sz w:val="16"/>
          <w:szCs w:val="16"/>
        </w:rPr>
        <w:t>为</w:t>
      </w:r>
      <w:r>
        <w:rPr>
          <w:rFonts w:ascii="微软雅黑" w:hAnsi="微软雅黑" w:eastAsia="微软雅黑" w:cs="微软雅黑"/>
          <w:spacing w:val="-5"/>
          <w:sz w:val="16"/>
          <w:szCs w:val="16"/>
        </w:rPr>
        <w:t xml:space="preserve"> </w:t>
      </w:r>
      <w:r>
        <w:rPr>
          <w:rFonts w:ascii="微软雅黑" w:hAnsi="微软雅黑" w:eastAsia="微软雅黑" w:cs="微软雅黑"/>
          <w:spacing w:val="24"/>
          <w:sz w:val="16"/>
          <w:szCs w:val="16"/>
        </w:rPr>
        <w:t>主</w:t>
      </w:r>
      <w:r>
        <w:rPr>
          <w:rFonts w:ascii="微软雅黑" w:hAnsi="微软雅黑" w:eastAsia="微软雅黑" w:cs="微软雅黑"/>
          <w:sz w:val="16"/>
          <w:szCs w:val="16"/>
        </w:rPr>
        <w:t xml:space="preserve">  </w:t>
      </w:r>
      <w:r>
        <w:rPr>
          <w:rFonts w:ascii="微软雅黑" w:hAnsi="微软雅黑" w:eastAsia="微软雅黑" w:cs="微软雅黑"/>
          <w:spacing w:val="10"/>
          <w:w w:val="120"/>
          <w:sz w:val="16"/>
          <w:szCs w:val="16"/>
        </w:rPr>
        <w:t>题</w:t>
      </w:r>
      <w:r>
        <w:rPr>
          <w:rFonts w:ascii="微软雅黑" w:hAnsi="微软雅黑" w:eastAsia="微软雅黑" w:cs="微软雅黑"/>
          <w:spacing w:val="-21"/>
          <w:sz w:val="16"/>
          <w:szCs w:val="16"/>
        </w:rPr>
        <w:t xml:space="preserve"> </w:t>
      </w:r>
      <w:r>
        <w:rPr>
          <w:rFonts w:ascii="微软雅黑" w:hAnsi="微软雅黑" w:eastAsia="微软雅黑" w:cs="微软雅黑"/>
          <w:spacing w:val="10"/>
          <w:w w:val="120"/>
          <w:sz w:val="16"/>
          <w:szCs w:val="16"/>
        </w:rPr>
        <w:t>，以全体师生员工为主体</w:t>
      </w:r>
      <w:r>
        <w:rPr>
          <w:rFonts w:ascii="微软雅黑" w:hAnsi="微软雅黑" w:eastAsia="微软雅黑" w:cs="微软雅黑"/>
          <w:spacing w:val="-24"/>
          <w:sz w:val="16"/>
          <w:szCs w:val="16"/>
        </w:rPr>
        <w:t xml:space="preserve"> </w:t>
      </w:r>
      <w:r>
        <w:rPr>
          <w:rFonts w:ascii="微软雅黑" w:hAnsi="微软雅黑" w:eastAsia="微软雅黑" w:cs="微软雅黑"/>
          <w:spacing w:val="10"/>
          <w:w w:val="120"/>
          <w:sz w:val="16"/>
          <w:szCs w:val="16"/>
        </w:rPr>
        <w:t>，以教育教学过程为主线</w:t>
      </w:r>
      <w:r>
        <w:rPr>
          <w:rFonts w:ascii="微软雅黑" w:hAnsi="微软雅黑" w:eastAsia="微软雅黑" w:cs="微软雅黑"/>
          <w:sz w:val="16"/>
          <w:szCs w:val="16"/>
        </w:rPr>
        <w:t xml:space="preserve">  </w:t>
      </w:r>
      <w:r>
        <w:rPr>
          <w:rFonts w:ascii="微软雅黑" w:hAnsi="微软雅黑" w:eastAsia="微软雅黑" w:cs="微软雅黑"/>
          <w:spacing w:val="23"/>
          <w:position w:val="-1"/>
          <w:sz w:val="16"/>
          <w:szCs w:val="16"/>
        </w:rPr>
        <w:t>的</w:t>
      </w:r>
      <w:r>
        <w:rPr>
          <w:rFonts w:ascii="微软雅黑" w:hAnsi="微软雅黑" w:eastAsia="微软雅黑" w:cs="微软雅黑"/>
          <w:spacing w:val="-25"/>
          <w:position w:val="-1"/>
          <w:sz w:val="16"/>
          <w:szCs w:val="16"/>
        </w:rPr>
        <w:t xml:space="preserve"> </w:t>
      </w:r>
      <w:r>
        <w:rPr>
          <w:rFonts w:ascii="微软雅黑" w:hAnsi="微软雅黑" w:eastAsia="微软雅黑" w:cs="微软雅黑"/>
          <w:spacing w:val="23"/>
          <w:position w:val="-1"/>
          <w:sz w:val="16"/>
          <w:szCs w:val="16"/>
        </w:rPr>
        <w:t>一</w:t>
      </w:r>
      <w:r>
        <w:rPr>
          <w:rFonts w:ascii="微软雅黑" w:hAnsi="微软雅黑" w:eastAsia="微软雅黑" w:cs="微软雅黑"/>
          <w:spacing w:val="-28"/>
          <w:position w:val="-1"/>
          <w:sz w:val="16"/>
          <w:szCs w:val="16"/>
        </w:rPr>
        <w:t xml:space="preserve"> </w:t>
      </w:r>
      <w:r>
        <w:rPr>
          <w:rFonts w:ascii="微软雅黑" w:hAnsi="微软雅黑" w:eastAsia="微软雅黑" w:cs="微软雅黑"/>
          <w:spacing w:val="23"/>
          <w:position w:val="-1"/>
          <w:sz w:val="16"/>
          <w:szCs w:val="16"/>
        </w:rPr>
        <w:t>种文化</w:t>
      </w:r>
      <w:r>
        <w:rPr>
          <w:rFonts w:ascii="微软雅黑" w:hAnsi="微软雅黑" w:eastAsia="微软雅黑" w:cs="微软雅黑"/>
          <w:spacing w:val="-27"/>
          <w:position w:val="-1"/>
          <w:sz w:val="16"/>
          <w:szCs w:val="16"/>
        </w:rPr>
        <w:t xml:space="preserve"> </w:t>
      </w:r>
      <w:r>
        <w:rPr>
          <w:rFonts w:ascii="微软雅黑" w:hAnsi="微软雅黑" w:eastAsia="微软雅黑" w:cs="微软雅黑"/>
          <w:spacing w:val="23"/>
          <w:position w:val="-1"/>
          <w:sz w:val="16"/>
          <w:szCs w:val="16"/>
        </w:rPr>
        <w:t>”</w:t>
      </w:r>
      <w:r>
        <w:rPr>
          <w:rFonts w:ascii="微软雅黑" w:hAnsi="微软雅黑" w:eastAsia="微软雅黑" w:cs="微软雅黑"/>
          <w:spacing w:val="23"/>
          <w:position w:val="5"/>
          <w:sz w:val="9"/>
          <w:szCs w:val="9"/>
        </w:rPr>
        <w:t>[</w:t>
      </w:r>
      <w:r>
        <w:rPr>
          <w:rFonts w:ascii="Arial" w:hAnsi="Arial" w:eastAsia="Arial" w:cs="Arial"/>
          <w:spacing w:val="23"/>
          <w:position w:val="5"/>
          <w:sz w:val="9"/>
          <w:szCs w:val="9"/>
        </w:rPr>
        <w:t>4</w:t>
      </w:r>
      <w:r>
        <w:rPr>
          <w:rFonts w:ascii="微软雅黑" w:hAnsi="微软雅黑" w:eastAsia="微软雅黑" w:cs="微软雅黑"/>
          <w:spacing w:val="23"/>
          <w:position w:val="5"/>
          <w:sz w:val="9"/>
          <w:szCs w:val="9"/>
        </w:rPr>
        <w:t>]</w:t>
      </w:r>
      <w:r>
        <w:rPr>
          <w:rFonts w:ascii="微软雅黑" w:hAnsi="微软雅黑" w:eastAsia="微软雅黑" w:cs="微软雅黑"/>
          <w:spacing w:val="2"/>
          <w:position w:val="5"/>
          <w:sz w:val="9"/>
          <w:szCs w:val="9"/>
        </w:rPr>
        <w:t xml:space="preserve">  </w:t>
      </w:r>
      <w:r>
        <w:rPr>
          <w:rFonts w:ascii="微软雅黑" w:hAnsi="微软雅黑" w:eastAsia="微软雅黑" w:cs="微软雅黑"/>
          <w:spacing w:val="23"/>
          <w:position w:val="-1"/>
          <w:sz w:val="16"/>
          <w:szCs w:val="16"/>
        </w:rPr>
        <w:t>。</w:t>
      </w:r>
    </w:p>
    <w:p>
      <w:pPr>
        <w:spacing w:before="61" w:line="222" w:lineRule="auto"/>
        <w:ind w:left="73" w:right="59" w:firstLine="423"/>
        <w:rPr>
          <w:rFonts w:ascii="微软雅黑" w:hAnsi="微软雅黑" w:eastAsia="微软雅黑" w:cs="微软雅黑"/>
          <w:sz w:val="16"/>
          <w:szCs w:val="16"/>
        </w:rPr>
      </w:pPr>
      <w:r>
        <w:rPr>
          <w:rFonts w:ascii="微软雅黑" w:hAnsi="微软雅黑" w:eastAsia="微软雅黑" w:cs="微软雅黑"/>
          <w:spacing w:val="28"/>
          <w:sz w:val="16"/>
          <w:szCs w:val="16"/>
        </w:rPr>
        <w:t>在国外的相关</w:t>
      </w:r>
      <w:r>
        <w:rPr>
          <w:rFonts w:ascii="微软雅黑" w:hAnsi="微软雅黑" w:eastAsia="微软雅黑" w:cs="微软雅黑"/>
          <w:spacing w:val="-20"/>
          <w:sz w:val="16"/>
          <w:szCs w:val="16"/>
        </w:rPr>
        <w:t xml:space="preserve"> </w:t>
      </w:r>
      <w:r>
        <w:rPr>
          <w:rFonts w:ascii="微软雅黑" w:hAnsi="微软雅黑" w:eastAsia="微软雅黑" w:cs="微软雅黑"/>
          <w:spacing w:val="28"/>
          <w:sz w:val="16"/>
          <w:szCs w:val="16"/>
        </w:rPr>
        <w:t>研</w:t>
      </w:r>
      <w:r>
        <w:rPr>
          <w:rFonts w:ascii="微软雅黑" w:hAnsi="微软雅黑" w:eastAsia="微软雅黑" w:cs="微软雅黑"/>
          <w:spacing w:val="-19"/>
          <w:sz w:val="16"/>
          <w:szCs w:val="16"/>
        </w:rPr>
        <w:t xml:space="preserve"> </w:t>
      </w:r>
      <w:r>
        <w:rPr>
          <w:rFonts w:ascii="微软雅黑" w:hAnsi="微软雅黑" w:eastAsia="微软雅黑" w:cs="微软雅黑"/>
          <w:spacing w:val="28"/>
          <w:sz w:val="16"/>
          <w:szCs w:val="16"/>
        </w:rPr>
        <w:t>究 中</w:t>
      </w:r>
      <w:r>
        <w:rPr>
          <w:rFonts w:ascii="微软雅黑" w:hAnsi="微软雅黑" w:eastAsia="微软雅黑" w:cs="微软雅黑"/>
          <w:spacing w:val="-24"/>
          <w:sz w:val="16"/>
          <w:szCs w:val="16"/>
        </w:rPr>
        <w:t xml:space="preserve"> </w:t>
      </w:r>
      <w:r>
        <w:rPr>
          <w:rFonts w:ascii="微软雅黑" w:hAnsi="微软雅黑" w:eastAsia="微软雅黑" w:cs="微软雅黑"/>
          <w:spacing w:val="28"/>
          <w:sz w:val="16"/>
          <w:szCs w:val="16"/>
        </w:rPr>
        <w:t>，基</w:t>
      </w:r>
      <w:r>
        <w:rPr>
          <w:rFonts w:ascii="微软雅黑" w:hAnsi="微软雅黑" w:eastAsia="微软雅黑" w:cs="微软雅黑"/>
          <w:spacing w:val="-11"/>
          <w:sz w:val="16"/>
          <w:szCs w:val="16"/>
        </w:rPr>
        <w:t xml:space="preserve"> </w:t>
      </w:r>
      <w:r>
        <w:rPr>
          <w:rFonts w:ascii="微软雅黑" w:hAnsi="微软雅黑" w:eastAsia="微软雅黑" w:cs="微软雅黑"/>
          <w:spacing w:val="28"/>
          <w:sz w:val="16"/>
          <w:szCs w:val="16"/>
        </w:rPr>
        <w:t>于</w:t>
      </w:r>
      <w:r>
        <w:rPr>
          <w:rFonts w:ascii="微软雅黑" w:hAnsi="微软雅黑" w:eastAsia="微软雅黑" w:cs="微软雅黑"/>
          <w:spacing w:val="-13"/>
          <w:sz w:val="16"/>
          <w:szCs w:val="16"/>
        </w:rPr>
        <w:t xml:space="preserve"> </w:t>
      </w:r>
      <w:r>
        <w:rPr>
          <w:rFonts w:ascii="微软雅黑" w:hAnsi="微软雅黑" w:eastAsia="微软雅黑" w:cs="微软雅黑"/>
          <w:spacing w:val="28"/>
          <w:sz w:val="16"/>
          <w:szCs w:val="16"/>
        </w:rPr>
        <w:t>欧</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洲</w:t>
      </w:r>
      <w:r>
        <w:rPr>
          <w:rFonts w:ascii="微软雅黑" w:hAnsi="微软雅黑" w:eastAsia="微软雅黑" w:cs="微软雅黑"/>
          <w:spacing w:val="-15"/>
          <w:sz w:val="16"/>
          <w:szCs w:val="16"/>
        </w:rPr>
        <w:t xml:space="preserve"> </w:t>
      </w:r>
      <w:r>
        <w:rPr>
          <w:rFonts w:ascii="微软雅黑" w:hAnsi="微软雅黑" w:eastAsia="微软雅黑" w:cs="微软雅黑"/>
          <w:spacing w:val="28"/>
          <w:sz w:val="16"/>
          <w:szCs w:val="16"/>
        </w:rPr>
        <w:t>高</w:t>
      </w:r>
      <w:r>
        <w:rPr>
          <w:rFonts w:ascii="微软雅黑" w:hAnsi="微软雅黑" w:eastAsia="微软雅黑" w:cs="微软雅黑"/>
          <w:spacing w:val="-15"/>
          <w:sz w:val="16"/>
          <w:szCs w:val="16"/>
        </w:rPr>
        <w:t xml:space="preserve"> </w:t>
      </w:r>
      <w:r>
        <w:rPr>
          <w:rFonts w:ascii="微软雅黑" w:hAnsi="微软雅黑" w:eastAsia="微软雅黑" w:cs="微软雅黑"/>
          <w:spacing w:val="28"/>
          <w:sz w:val="16"/>
          <w:szCs w:val="16"/>
        </w:rPr>
        <w:t>等</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教</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育</w:t>
      </w:r>
      <w:r>
        <w:rPr>
          <w:rFonts w:ascii="微软雅黑" w:hAnsi="微软雅黑" w:eastAsia="微软雅黑" w:cs="微软雅黑"/>
          <w:spacing w:val="-15"/>
          <w:sz w:val="16"/>
          <w:szCs w:val="16"/>
        </w:rPr>
        <w:t xml:space="preserve"> </w:t>
      </w:r>
      <w:r>
        <w:rPr>
          <w:rFonts w:ascii="微软雅黑" w:hAnsi="微软雅黑" w:eastAsia="微软雅黑" w:cs="微软雅黑"/>
          <w:spacing w:val="27"/>
          <w:sz w:val="16"/>
          <w:szCs w:val="16"/>
        </w:rPr>
        <w:t>改</w:t>
      </w:r>
      <w:r>
        <w:rPr>
          <w:rFonts w:ascii="微软雅黑" w:hAnsi="微软雅黑" w:eastAsia="微软雅黑" w:cs="微软雅黑"/>
          <w:spacing w:val="-19"/>
          <w:sz w:val="16"/>
          <w:szCs w:val="16"/>
        </w:rPr>
        <w:t xml:space="preserve"> </w:t>
      </w:r>
      <w:r>
        <w:rPr>
          <w:rFonts w:ascii="微软雅黑" w:hAnsi="微软雅黑" w:eastAsia="微软雅黑" w:cs="微软雅黑"/>
          <w:spacing w:val="27"/>
          <w:sz w:val="16"/>
          <w:szCs w:val="16"/>
        </w:rPr>
        <w:t>革</w:t>
      </w:r>
      <w:r>
        <w:rPr>
          <w:rFonts w:ascii="微软雅黑" w:hAnsi="微软雅黑" w:eastAsia="微软雅黑" w:cs="微软雅黑"/>
          <w:sz w:val="16"/>
          <w:szCs w:val="16"/>
        </w:rPr>
        <w:t xml:space="preserve"> </w:t>
      </w:r>
      <w:r>
        <w:rPr>
          <w:rFonts w:ascii="微软雅黑" w:hAnsi="微软雅黑" w:eastAsia="微软雅黑" w:cs="微软雅黑"/>
          <w:spacing w:val="25"/>
          <w:sz w:val="16"/>
          <w:szCs w:val="16"/>
        </w:rPr>
        <w:t>计划博洛尼</w:t>
      </w:r>
      <w:r>
        <w:rPr>
          <w:rFonts w:ascii="微软雅黑" w:hAnsi="微软雅黑" w:eastAsia="微软雅黑" w:cs="微软雅黑"/>
          <w:spacing w:val="-14"/>
          <w:sz w:val="16"/>
          <w:szCs w:val="16"/>
        </w:rPr>
        <w:t xml:space="preserve"> </w:t>
      </w:r>
      <w:r>
        <w:rPr>
          <w:rFonts w:ascii="微软雅黑" w:hAnsi="微软雅黑" w:eastAsia="微软雅黑" w:cs="微软雅黑"/>
          <w:spacing w:val="25"/>
          <w:sz w:val="16"/>
          <w:szCs w:val="16"/>
        </w:rPr>
        <w:t>亚</w:t>
      </w:r>
      <w:r>
        <w:rPr>
          <w:rFonts w:ascii="微软雅黑" w:hAnsi="微软雅黑" w:eastAsia="微软雅黑" w:cs="微软雅黑"/>
          <w:spacing w:val="-18"/>
          <w:sz w:val="16"/>
          <w:szCs w:val="16"/>
        </w:rPr>
        <w:t xml:space="preserve"> </w:t>
      </w:r>
      <w:r>
        <w:rPr>
          <w:rFonts w:ascii="微软雅黑" w:hAnsi="微软雅黑" w:eastAsia="微软雅黑" w:cs="微软雅黑"/>
          <w:spacing w:val="25"/>
          <w:sz w:val="16"/>
          <w:szCs w:val="16"/>
        </w:rPr>
        <w:t>进</w:t>
      </w:r>
      <w:r>
        <w:rPr>
          <w:rFonts w:ascii="微软雅黑" w:hAnsi="微软雅黑" w:eastAsia="微软雅黑" w:cs="微软雅黑"/>
          <w:spacing w:val="-18"/>
          <w:sz w:val="16"/>
          <w:szCs w:val="16"/>
        </w:rPr>
        <w:t xml:space="preserve"> </w:t>
      </w:r>
      <w:r>
        <w:rPr>
          <w:rFonts w:ascii="微软雅黑" w:hAnsi="微软雅黑" w:eastAsia="微软雅黑" w:cs="微软雅黑"/>
          <w:spacing w:val="25"/>
          <w:sz w:val="16"/>
          <w:szCs w:val="16"/>
        </w:rPr>
        <w:t>程(</w:t>
      </w:r>
      <w:r>
        <w:rPr>
          <w:rFonts w:ascii="Arial" w:hAnsi="Arial" w:eastAsia="Arial" w:cs="Arial"/>
          <w:spacing w:val="25"/>
          <w:sz w:val="16"/>
          <w:szCs w:val="16"/>
        </w:rPr>
        <w:t>Bo</w:t>
      </w:r>
      <w:r>
        <w:rPr>
          <w:rFonts w:ascii="Arial" w:hAnsi="Arial" w:eastAsia="Arial" w:cs="Arial"/>
          <w:spacing w:val="25"/>
          <w:position w:val="-1"/>
          <w:sz w:val="16"/>
          <w:szCs w:val="16"/>
        </w:rPr>
        <w:t>l</w:t>
      </w:r>
      <w:r>
        <w:rPr>
          <w:rFonts w:ascii="Arial" w:hAnsi="Arial" w:eastAsia="Arial" w:cs="Arial"/>
          <w:spacing w:val="-26"/>
          <w:position w:val="-1"/>
          <w:sz w:val="16"/>
          <w:szCs w:val="16"/>
        </w:rPr>
        <w:t xml:space="preserve"> </w:t>
      </w:r>
      <w:r>
        <w:rPr>
          <w:rFonts w:ascii="Arial" w:hAnsi="Arial" w:eastAsia="Arial" w:cs="Arial"/>
          <w:spacing w:val="25"/>
          <w:position w:val="-1"/>
          <w:sz w:val="16"/>
          <w:szCs w:val="16"/>
        </w:rPr>
        <w:t>o</w:t>
      </w:r>
      <w:r>
        <w:rPr>
          <w:rFonts w:ascii="Arial" w:hAnsi="Arial" w:eastAsia="Arial" w:cs="Arial"/>
          <w:spacing w:val="-24"/>
          <w:position w:val="-1"/>
          <w:sz w:val="16"/>
          <w:szCs w:val="16"/>
        </w:rPr>
        <w:t xml:space="preserve"> </w:t>
      </w:r>
      <w:r>
        <w:rPr>
          <w:rFonts w:ascii="Arial" w:hAnsi="Arial" w:eastAsia="Arial" w:cs="Arial"/>
          <w:spacing w:val="25"/>
          <w:position w:val="-1"/>
          <w:sz w:val="16"/>
          <w:szCs w:val="16"/>
        </w:rPr>
        <w:t>gnaPro</w:t>
      </w:r>
      <w:r>
        <w:rPr>
          <w:rFonts w:ascii="Arial" w:hAnsi="Arial" w:eastAsia="Arial" w:cs="Arial"/>
          <w:spacing w:val="-23"/>
          <w:position w:val="-1"/>
          <w:sz w:val="16"/>
          <w:szCs w:val="16"/>
        </w:rPr>
        <w:t xml:space="preserve"> </w:t>
      </w:r>
      <w:r>
        <w:rPr>
          <w:rFonts w:ascii="Arial" w:hAnsi="Arial" w:eastAsia="Arial" w:cs="Arial"/>
          <w:spacing w:val="25"/>
          <w:sz w:val="16"/>
          <w:szCs w:val="16"/>
        </w:rPr>
        <w:t>cess</w:t>
      </w:r>
      <w:r>
        <w:rPr>
          <w:rFonts w:ascii="微软雅黑" w:hAnsi="微软雅黑" w:eastAsia="微软雅黑" w:cs="微软雅黑"/>
          <w:spacing w:val="25"/>
          <w:sz w:val="16"/>
          <w:szCs w:val="16"/>
        </w:rPr>
        <w:t>) 的</w:t>
      </w:r>
      <w:r>
        <w:rPr>
          <w:rFonts w:ascii="微软雅黑" w:hAnsi="微软雅黑" w:eastAsia="微软雅黑" w:cs="微软雅黑"/>
          <w:spacing w:val="-14"/>
          <w:sz w:val="16"/>
          <w:szCs w:val="16"/>
        </w:rPr>
        <w:t xml:space="preserve"> </w:t>
      </w:r>
      <w:r>
        <w:rPr>
          <w:rFonts w:ascii="微软雅黑" w:hAnsi="微软雅黑" w:eastAsia="微软雅黑" w:cs="微软雅黑"/>
          <w:spacing w:val="25"/>
          <w:sz w:val="16"/>
          <w:szCs w:val="16"/>
        </w:rPr>
        <w:t>提</w:t>
      </w:r>
      <w:r>
        <w:rPr>
          <w:rFonts w:ascii="微软雅黑" w:hAnsi="微软雅黑" w:eastAsia="微软雅黑" w:cs="微软雅黑"/>
          <w:spacing w:val="-1"/>
          <w:sz w:val="16"/>
          <w:szCs w:val="16"/>
        </w:rPr>
        <w:t xml:space="preserve"> </w:t>
      </w:r>
      <w:r>
        <w:rPr>
          <w:rFonts w:ascii="微软雅黑" w:hAnsi="微软雅黑" w:eastAsia="微软雅黑" w:cs="微软雅黑"/>
          <w:spacing w:val="25"/>
          <w:sz w:val="16"/>
          <w:szCs w:val="16"/>
        </w:rPr>
        <w:t>出</w:t>
      </w:r>
      <w:r>
        <w:rPr>
          <w:rFonts w:ascii="微软雅黑" w:hAnsi="微软雅黑" w:eastAsia="微软雅黑" w:cs="微软雅黑"/>
          <w:spacing w:val="-24"/>
          <w:sz w:val="16"/>
          <w:szCs w:val="16"/>
        </w:rPr>
        <w:t xml:space="preserve"> </w:t>
      </w:r>
      <w:r>
        <w:rPr>
          <w:rFonts w:ascii="微软雅黑" w:hAnsi="微软雅黑" w:eastAsia="微软雅黑" w:cs="微软雅黑"/>
          <w:spacing w:val="25"/>
          <w:position w:val="1"/>
          <w:sz w:val="16"/>
          <w:szCs w:val="16"/>
        </w:rPr>
        <w:t>，欧</w:t>
      </w:r>
      <w:r>
        <w:rPr>
          <w:rFonts w:ascii="微软雅黑" w:hAnsi="微软雅黑" w:eastAsia="微软雅黑" w:cs="微软雅黑"/>
          <w:spacing w:val="-15"/>
          <w:position w:val="1"/>
          <w:sz w:val="16"/>
          <w:szCs w:val="16"/>
        </w:rPr>
        <w:t xml:space="preserve"> </w:t>
      </w:r>
      <w:r>
        <w:rPr>
          <w:rFonts w:ascii="微软雅黑" w:hAnsi="微软雅黑" w:eastAsia="微软雅黑" w:cs="微软雅黑"/>
          <w:spacing w:val="25"/>
          <w:position w:val="1"/>
          <w:sz w:val="16"/>
          <w:szCs w:val="16"/>
        </w:rPr>
        <w:t>洲</w:t>
      </w:r>
      <w:r>
        <w:rPr>
          <w:rFonts w:ascii="微软雅黑" w:hAnsi="微软雅黑" w:eastAsia="微软雅黑" w:cs="微软雅黑"/>
          <w:position w:val="1"/>
          <w:sz w:val="16"/>
          <w:szCs w:val="16"/>
        </w:rPr>
        <w:t xml:space="preserve"> </w:t>
      </w:r>
      <w:r>
        <w:rPr>
          <w:rFonts w:ascii="微软雅黑" w:hAnsi="微软雅黑" w:eastAsia="微软雅黑" w:cs="微软雅黑"/>
          <w:spacing w:val="13"/>
          <w:w w:val="115"/>
          <w:position w:val="1"/>
          <w:sz w:val="16"/>
          <w:szCs w:val="16"/>
        </w:rPr>
        <w:t>大学协会(</w:t>
      </w:r>
      <w:r>
        <w:rPr>
          <w:rFonts w:ascii="Arial" w:hAnsi="Arial" w:eastAsia="Arial" w:cs="Arial"/>
          <w:spacing w:val="13"/>
          <w:w w:val="115"/>
          <w:position w:val="1"/>
          <w:sz w:val="16"/>
          <w:szCs w:val="16"/>
        </w:rPr>
        <w:t>Eur</w:t>
      </w:r>
      <w:r>
        <w:rPr>
          <w:rFonts w:ascii="Arial" w:hAnsi="Arial" w:eastAsia="Arial" w:cs="Arial"/>
          <w:spacing w:val="13"/>
          <w:w w:val="115"/>
          <w:sz w:val="16"/>
          <w:szCs w:val="16"/>
        </w:rPr>
        <w:t>o</w:t>
      </w:r>
      <w:r>
        <w:rPr>
          <w:rFonts w:ascii="Arial" w:hAnsi="Arial" w:eastAsia="Arial" w:cs="Arial"/>
          <w:spacing w:val="-8"/>
          <w:sz w:val="16"/>
          <w:szCs w:val="16"/>
        </w:rPr>
        <w:t xml:space="preserve"> </w:t>
      </w:r>
      <w:r>
        <w:rPr>
          <w:rFonts w:ascii="Arial" w:hAnsi="Arial" w:eastAsia="Arial" w:cs="Arial"/>
          <w:spacing w:val="13"/>
          <w:w w:val="115"/>
          <w:sz w:val="16"/>
          <w:szCs w:val="16"/>
        </w:rPr>
        <w:t>pean</w:t>
      </w:r>
      <w:r>
        <w:rPr>
          <w:rFonts w:ascii="Arial" w:hAnsi="Arial" w:eastAsia="Arial" w:cs="Arial"/>
          <w:spacing w:val="4"/>
          <w:sz w:val="16"/>
          <w:szCs w:val="16"/>
        </w:rPr>
        <w:t xml:space="preserve">  </w:t>
      </w:r>
      <w:r>
        <w:rPr>
          <w:rFonts w:ascii="Arial" w:hAnsi="Arial" w:eastAsia="Arial" w:cs="Arial"/>
          <w:spacing w:val="13"/>
          <w:w w:val="115"/>
          <w:sz w:val="16"/>
          <w:szCs w:val="16"/>
        </w:rPr>
        <w:t>UniversityAsso</w:t>
      </w:r>
      <w:r>
        <w:rPr>
          <w:rFonts w:ascii="Arial" w:hAnsi="Arial" w:eastAsia="Arial" w:cs="Arial"/>
          <w:spacing w:val="-23"/>
          <w:sz w:val="16"/>
          <w:szCs w:val="16"/>
        </w:rPr>
        <w:t xml:space="preserve"> </w:t>
      </w:r>
      <w:r>
        <w:rPr>
          <w:rFonts w:ascii="Arial" w:hAnsi="Arial" w:eastAsia="Arial" w:cs="Arial"/>
          <w:spacing w:val="13"/>
          <w:w w:val="115"/>
          <w:sz w:val="16"/>
          <w:szCs w:val="16"/>
        </w:rPr>
        <w:t>ciation</w:t>
      </w:r>
      <w:r>
        <w:rPr>
          <w:rFonts w:ascii="Arial" w:hAnsi="Arial" w:eastAsia="Arial" w:cs="Arial"/>
          <w:spacing w:val="-2"/>
          <w:sz w:val="16"/>
          <w:szCs w:val="16"/>
        </w:rPr>
        <w:t xml:space="preserve"> </w:t>
      </w:r>
      <w:r>
        <w:rPr>
          <w:rFonts w:ascii="微软雅黑" w:hAnsi="微软雅黑" w:eastAsia="微软雅黑" w:cs="微软雅黑"/>
          <w:spacing w:val="13"/>
          <w:w w:val="115"/>
          <w:position w:val="2"/>
          <w:sz w:val="16"/>
          <w:szCs w:val="16"/>
        </w:rPr>
        <w:t xml:space="preserve">, </w:t>
      </w:r>
      <w:r>
        <w:rPr>
          <w:rFonts w:ascii="Arial" w:hAnsi="Arial" w:eastAsia="Arial" w:cs="Arial"/>
          <w:spacing w:val="13"/>
          <w:w w:val="115"/>
          <w:sz w:val="16"/>
          <w:szCs w:val="16"/>
        </w:rPr>
        <w:t>EUA</w:t>
      </w:r>
      <w:r>
        <w:rPr>
          <w:rFonts w:ascii="微软雅黑" w:hAnsi="微软雅黑" w:eastAsia="微软雅黑" w:cs="微软雅黑"/>
          <w:spacing w:val="13"/>
          <w:w w:val="115"/>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27"/>
          <w:sz w:val="16"/>
          <w:szCs w:val="16"/>
        </w:rPr>
        <w:t>从</w:t>
      </w:r>
      <w:r>
        <w:rPr>
          <w:rFonts w:ascii="微软雅黑" w:hAnsi="微软雅黑" w:eastAsia="微软雅黑" w:cs="微软雅黑"/>
          <w:spacing w:val="31"/>
          <w:w w:val="101"/>
          <w:sz w:val="16"/>
          <w:szCs w:val="16"/>
        </w:rPr>
        <w:t xml:space="preserve"> </w:t>
      </w:r>
      <w:r>
        <w:rPr>
          <w:rFonts w:ascii="Arial" w:hAnsi="Arial" w:eastAsia="Arial" w:cs="Arial"/>
          <w:spacing w:val="27"/>
          <w:sz w:val="16"/>
          <w:szCs w:val="16"/>
        </w:rPr>
        <w:t>2002</w:t>
      </w:r>
      <w:r>
        <w:rPr>
          <w:rFonts w:ascii="微软雅黑" w:hAnsi="微软雅黑" w:eastAsia="微软雅黑" w:cs="微软雅黑"/>
          <w:spacing w:val="27"/>
          <w:sz w:val="16"/>
          <w:szCs w:val="16"/>
        </w:rPr>
        <w:t>年</w:t>
      </w:r>
      <w:r>
        <w:rPr>
          <w:rFonts w:ascii="微软雅黑" w:hAnsi="微软雅黑" w:eastAsia="微软雅黑" w:cs="微软雅黑"/>
          <w:spacing w:val="-9"/>
          <w:sz w:val="16"/>
          <w:szCs w:val="16"/>
        </w:rPr>
        <w:t xml:space="preserve"> </w:t>
      </w:r>
      <w:r>
        <w:rPr>
          <w:rFonts w:ascii="微软雅黑" w:hAnsi="微软雅黑" w:eastAsia="微软雅黑" w:cs="微软雅黑"/>
          <w:spacing w:val="27"/>
          <w:sz w:val="16"/>
          <w:szCs w:val="16"/>
        </w:rPr>
        <w:t>到</w:t>
      </w:r>
      <w:r>
        <w:rPr>
          <w:rFonts w:ascii="微软雅黑" w:hAnsi="微软雅黑" w:eastAsia="微软雅黑" w:cs="微软雅黑"/>
          <w:spacing w:val="44"/>
          <w:w w:val="101"/>
          <w:sz w:val="16"/>
          <w:szCs w:val="16"/>
        </w:rPr>
        <w:t xml:space="preserve"> </w:t>
      </w:r>
      <w:r>
        <w:rPr>
          <w:rFonts w:ascii="Arial" w:hAnsi="Arial" w:eastAsia="Arial" w:cs="Arial"/>
          <w:spacing w:val="27"/>
          <w:sz w:val="16"/>
          <w:szCs w:val="16"/>
        </w:rPr>
        <w:t>2006</w:t>
      </w:r>
      <w:r>
        <w:rPr>
          <w:rFonts w:ascii="微软雅黑" w:hAnsi="微软雅黑" w:eastAsia="微软雅黑" w:cs="微软雅黑"/>
          <w:spacing w:val="27"/>
          <w:sz w:val="16"/>
          <w:szCs w:val="16"/>
        </w:rPr>
        <w:t>年</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共</w:t>
      </w:r>
      <w:r>
        <w:rPr>
          <w:rFonts w:ascii="微软雅黑" w:hAnsi="微软雅黑" w:eastAsia="微软雅黑" w:cs="微软雅黑"/>
          <w:spacing w:val="-14"/>
          <w:sz w:val="16"/>
          <w:szCs w:val="16"/>
        </w:rPr>
        <w:t xml:space="preserve"> </w:t>
      </w:r>
      <w:r>
        <w:rPr>
          <w:rFonts w:ascii="微软雅黑" w:hAnsi="微软雅黑" w:eastAsia="微软雅黑" w:cs="微软雅黑"/>
          <w:spacing w:val="27"/>
          <w:sz w:val="16"/>
          <w:szCs w:val="16"/>
        </w:rPr>
        <w:t>进</w:t>
      </w:r>
      <w:r>
        <w:rPr>
          <w:rFonts w:ascii="微软雅黑" w:hAnsi="微软雅黑" w:eastAsia="微软雅黑" w:cs="微软雅黑"/>
          <w:spacing w:val="-15"/>
          <w:sz w:val="16"/>
          <w:szCs w:val="16"/>
        </w:rPr>
        <w:t xml:space="preserve"> </w:t>
      </w:r>
      <w:r>
        <w:rPr>
          <w:rFonts w:ascii="微软雅黑" w:hAnsi="微软雅黑" w:eastAsia="微软雅黑" w:cs="微软雅黑"/>
          <w:spacing w:val="27"/>
          <w:sz w:val="16"/>
          <w:szCs w:val="16"/>
        </w:rPr>
        <w:t>行 了</w:t>
      </w:r>
      <w:r>
        <w:rPr>
          <w:rFonts w:ascii="微软雅黑" w:hAnsi="微软雅黑" w:eastAsia="微软雅黑" w:cs="微软雅黑"/>
          <w:spacing w:val="-11"/>
          <w:sz w:val="16"/>
          <w:szCs w:val="16"/>
        </w:rPr>
        <w:t xml:space="preserve"> </w:t>
      </w:r>
      <w:r>
        <w:rPr>
          <w:rFonts w:ascii="微软雅黑" w:hAnsi="微软雅黑" w:eastAsia="微软雅黑" w:cs="微软雅黑"/>
          <w:spacing w:val="27"/>
          <w:sz w:val="16"/>
          <w:szCs w:val="16"/>
        </w:rPr>
        <w:t>三</w:t>
      </w:r>
      <w:r>
        <w:rPr>
          <w:rFonts w:ascii="微软雅黑" w:hAnsi="微软雅黑" w:eastAsia="微软雅黑" w:cs="微软雅黑"/>
          <w:spacing w:val="-12"/>
          <w:sz w:val="16"/>
          <w:szCs w:val="16"/>
        </w:rPr>
        <w:t xml:space="preserve"> </w:t>
      </w:r>
      <w:r>
        <w:rPr>
          <w:rFonts w:ascii="微软雅黑" w:hAnsi="微软雅黑" w:eastAsia="微软雅黑" w:cs="微软雅黑"/>
          <w:spacing w:val="27"/>
          <w:sz w:val="16"/>
          <w:szCs w:val="16"/>
        </w:rPr>
        <w:t>轮 的</w:t>
      </w:r>
      <w:r>
        <w:rPr>
          <w:rFonts w:ascii="微软雅黑" w:hAnsi="微软雅黑" w:eastAsia="微软雅黑" w:cs="微软雅黑"/>
          <w:spacing w:val="-13"/>
          <w:sz w:val="16"/>
          <w:szCs w:val="16"/>
        </w:rPr>
        <w:t xml:space="preserve"> </w:t>
      </w:r>
      <w:r>
        <w:rPr>
          <w:rFonts w:ascii="微软雅黑" w:hAnsi="微软雅黑" w:eastAsia="微软雅黑" w:cs="微软雅黑"/>
          <w:spacing w:val="27"/>
          <w:sz w:val="16"/>
          <w:szCs w:val="16"/>
        </w:rPr>
        <w:t>质</w:t>
      </w:r>
      <w:r>
        <w:rPr>
          <w:rFonts w:ascii="微软雅黑" w:hAnsi="微软雅黑" w:eastAsia="微软雅黑" w:cs="微软雅黑"/>
          <w:spacing w:val="-12"/>
          <w:sz w:val="16"/>
          <w:szCs w:val="16"/>
        </w:rPr>
        <w:t xml:space="preserve"> </w:t>
      </w:r>
      <w:r>
        <w:rPr>
          <w:rFonts w:ascii="微软雅黑" w:hAnsi="微软雅黑" w:eastAsia="微软雅黑" w:cs="微软雅黑"/>
          <w:spacing w:val="27"/>
          <w:sz w:val="16"/>
          <w:szCs w:val="16"/>
        </w:rPr>
        <w:t>量</w:t>
      </w:r>
      <w:r>
        <w:rPr>
          <w:rFonts w:ascii="微软雅黑" w:hAnsi="微软雅黑" w:eastAsia="微软雅黑" w:cs="微软雅黑"/>
          <w:spacing w:val="-11"/>
          <w:sz w:val="16"/>
          <w:szCs w:val="16"/>
        </w:rPr>
        <w:t xml:space="preserve"> </w:t>
      </w:r>
      <w:r>
        <w:rPr>
          <w:rFonts w:ascii="微软雅黑" w:hAnsi="微软雅黑" w:eastAsia="微软雅黑" w:cs="微软雅黑"/>
          <w:spacing w:val="27"/>
          <w:sz w:val="16"/>
          <w:szCs w:val="16"/>
        </w:rPr>
        <w:t>文</w:t>
      </w:r>
      <w:r>
        <w:rPr>
          <w:rFonts w:ascii="微软雅黑" w:hAnsi="微软雅黑" w:eastAsia="微软雅黑" w:cs="微软雅黑"/>
          <w:spacing w:val="-11"/>
          <w:sz w:val="16"/>
          <w:szCs w:val="16"/>
        </w:rPr>
        <w:t xml:space="preserve"> </w:t>
      </w:r>
      <w:r>
        <w:rPr>
          <w:rFonts w:ascii="微软雅黑" w:hAnsi="微软雅黑" w:eastAsia="微软雅黑" w:cs="微软雅黑"/>
          <w:spacing w:val="27"/>
          <w:sz w:val="16"/>
          <w:szCs w:val="16"/>
        </w:rPr>
        <w:t>化</w:t>
      </w:r>
      <w:r>
        <w:rPr>
          <w:rFonts w:ascii="微软雅黑" w:hAnsi="微软雅黑" w:eastAsia="微软雅黑" w:cs="微软雅黑"/>
          <w:spacing w:val="-14"/>
          <w:sz w:val="16"/>
          <w:szCs w:val="16"/>
        </w:rPr>
        <w:t xml:space="preserve"> </w:t>
      </w:r>
      <w:r>
        <w:rPr>
          <w:rFonts w:ascii="微软雅黑" w:hAnsi="微软雅黑" w:eastAsia="微软雅黑" w:cs="微软雅黑"/>
          <w:spacing w:val="27"/>
          <w:sz w:val="16"/>
          <w:szCs w:val="16"/>
        </w:rPr>
        <w:t>项</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目</w:t>
      </w:r>
      <w:r>
        <w:rPr>
          <w:rFonts w:ascii="微软雅黑" w:hAnsi="微软雅黑" w:eastAsia="微软雅黑" w:cs="微软雅黑"/>
          <w:spacing w:val="-23"/>
          <w:sz w:val="16"/>
          <w:szCs w:val="16"/>
        </w:rPr>
        <w:t xml:space="preserve"> </w:t>
      </w:r>
      <w:r>
        <w:rPr>
          <w:rFonts w:ascii="微软雅黑" w:hAnsi="微软雅黑" w:eastAsia="微软雅黑" w:cs="微软雅黑"/>
          <w:spacing w:val="39"/>
          <w:sz w:val="16"/>
          <w:szCs w:val="16"/>
        </w:rPr>
        <w:t>，主要目的是</w:t>
      </w:r>
      <w:r>
        <w:rPr>
          <w:rFonts w:ascii="微软雅黑" w:hAnsi="微软雅黑" w:eastAsia="微软雅黑" w:cs="微软雅黑"/>
          <w:spacing w:val="-25"/>
          <w:sz w:val="16"/>
          <w:szCs w:val="16"/>
        </w:rPr>
        <w:t xml:space="preserve"> </w:t>
      </w:r>
      <w:r>
        <w:rPr>
          <w:rFonts w:ascii="微软雅黑" w:hAnsi="微软雅黑" w:eastAsia="微软雅黑" w:cs="微软雅黑"/>
          <w:spacing w:val="39"/>
          <w:sz w:val="16"/>
          <w:szCs w:val="16"/>
        </w:rPr>
        <w:t>“提高人们对在机构中建立内部</w:t>
      </w:r>
      <w:r>
        <w:rPr>
          <w:rFonts w:ascii="微软雅黑" w:hAnsi="微软雅黑" w:eastAsia="微软雅黑" w:cs="微软雅黑"/>
          <w:spacing w:val="38"/>
          <w:sz w:val="16"/>
          <w:szCs w:val="16"/>
        </w:rPr>
        <w:t>质量</w:t>
      </w:r>
    </w:p>
    <w:p>
      <w:pPr>
        <w:spacing w:line="222" w:lineRule="auto"/>
        <w:rPr>
          <w:rFonts w:ascii="微软雅黑" w:hAnsi="微软雅黑" w:eastAsia="微软雅黑" w:cs="微软雅黑"/>
          <w:sz w:val="16"/>
          <w:szCs w:val="16"/>
        </w:rPr>
        <w:sectPr>
          <w:type w:val="continuous"/>
          <w:pgSz w:w="12246" w:h="16498"/>
          <w:pgMar w:top="400" w:right="1249" w:bottom="547" w:left="407" w:header="0" w:footer="354" w:gutter="0"/>
          <w:cols w:equalWidth="0" w:num="2">
            <w:col w:w="5733" w:space="100"/>
            <w:col w:w="4757"/>
          </w:cols>
        </w:sectPr>
      </w:pPr>
    </w:p>
    <w:p>
      <w:pPr>
        <w:spacing w:before="151" w:line="136" w:lineRule="exact"/>
        <w:ind w:left="10179"/>
        <w:rPr>
          <w:rFonts w:ascii="Arial" w:hAnsi="Arial" w:eastAsia="Arial" w:cs="Arial"/>
          <w:sz w:val="19"/>
          <w:szCs w:val="19"/>
        </w:rPr>
      </w:pPr>
      <w:r>
        <w:rPr>
          <w:rFonts w:ascii="Arial" w:hAnsi="Arial" w:eastAsia="Arial" w:cs="Arial"/>
          <w:spacing w:val="-14"/>
          <w:w w:val="96"/>
          <w:position w:val="-3"/>
          <w:sz w:val="19"/>
          <w:szCs w:val="19"/>
        </w:rPr>
        <w:t>69</w:t>
      </w:r>
    </w:p>
    <w:p>
      <w:pPr>
        <w:spacing w:line="136" w:lineRule="exact"/>
        <w:rPr>
          <w:rFonts w:ascii="Arial" w:hAnsi="Arial" w:eastAsia="Arial" w:cs="Arial"/>
          <w:sz w:val="19"/>
          <w:szCs w:val="19"/>
        </w:rPr>
        <w:sectPr>
          <w:type w:val="continuous"/>
          <w:pgSz w:w="12246" w:h="16498"/>
          <w:pgMar w:top="400" w:right="1249" w:bottom="547" w:left="407" w:header="0" w:footer="354" w:gutter="0"/>
          <w:cols w:equalWidth="0" w:num="1">
            <w:col w:w="10589"/>
          </w:cols>
        </w:sectPr>
      </w:pPr>
    </w:p>
    <w:p>
      <w:pPr>
        <w:spacing w:before="25"/>
      </w:pPr>
      <w:r>
        <w:drawing>
          <wp:anchor distT="0" distB="0" distL="0" distR="0" simplePos="0" relativeHeight="251708416" behindDoc="0" locked="0" layoutInCell="0" allowOverlap="1">
            <wp:simplePos x="0" y="0"/>
            <wp:positionH relativeFrom="page">
              <wp:posOffset>3998595</wp:posOffset>
            </wp:positionH>
            <wp:positionV relativeFrom="page">
              <wp:posOffset>3457575</wp:posOffset>
            </wp:positionV>
            <wp:extent cx="2956560" cy="36957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4"/>
                    <a:stretch>
                      <a:fillRect/>
                    </a:stretch>
                  </pic:blipFill>
                  <pic:spPr>
                    <a:xfrm>
                      <a:off x="0" y="0"/>
                      <a:ext cx="2956394" cy="369430"/>
                    </a:xfrm>
                    <a:prstGeom prst="rect">
                      <a:avLst/>
                    </a:prstGeom>
                  </pic:spPr>
                </pic:pic>
              </a:graphicData>
            </a:graphic>
          </wp:anchor>
        </w:drawing>
      </w:r>
    </w:p>
    <w:p>
      <w:pPr>
        <w:spacing w:before="25"/>
      </w:pPr>
    </w:p>
    <w:p>
      <w:pPr>
        <w:spacing w:before="24"/>
      </w:pPr>
    </w:p>
    <w:p>
      <w:pPr>
        <w:sectPr>
          <w:footerReference r:id="rId59" w:type="default"/>
          <w:pgSz w:w="12246" w:h="16498"/>
          <w:pgMar w:top="400" w:right="1245" w:bottom="547" w:left="407" w:header="0" w:footer="354" w:gutter="0"/>
          <w:cols w:equalWidth="0" w:num="1">
            <w:col w:w="10592"/>
          </w:cols>
        </w:sectPr>
      </w:pPr>
    </w:p>
    <w:p>
      <w:pPr>
        <w:spacing w:before="30"/>
        <w:ind w:left="905" w:right="256" w:firstLine="3"/>
        <w:jc w:val="both"/>
        <w:rPr>
          <w:rFonts w:ascii="微软雅黑" w:hAnsi="微软雅黑" w:eastAsia="微软雅黑" w:cs="微软雅黑"/>
          <w:sz w:val="16"/>
          <w:szCs w:val="16"/>
        </w:rPr>
      </w:pPr>
      <w:r>
        <w:rPr>
          <w:rFonts w:ascii="微软雅黑" w:hAnsi="微软雅黑" w:eastAsia="微软雅黑" w:cs="微软雅黑"/>
          <w:spacing w:val="35"/>
          <w:sz w:val="16"/>
          <w:szCs w:val="16"/>
        </w:rPr>
        <w:t>文化的必要性</w:t>
      </w:r>
      <w:r>
        <w:rPr>
          <w:rFonts w:ascii="微软雅黑" w:hAnsi="微软雅黑" w:eastAsia="微软雅黑" w:cs="微软雅黑"/>
          <w:spacing w:val="-11"/>
          <w:sz w:val="16"/>
          <w:szCs w:val="16"/>
        </w:rPr>
        <w:t xml:space="preserve"> </w:t>
      </w:r>
      <w:r>
        <w:rPr>
          <w:rFonts w:ascii="微软雅黑" w:hAnsi="微软雅黑" w:eastAsia="微软雅黑" w:cs="微软雅黑"/>
          <w:spacing w:val="35"/>
          <w:sz w:val="16"/>
          <w:szCs w:val="16"/>
        </w:rPr>
        <w:t>，并促进引入内</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部</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量</w:t>
      </w:r>
      <w:r>
        <w:rPr>
          <w:rFonts w:ascii="微软雅黑" w:hAnsi="微软雅黑" w:eastAsia="微软雅黑" w:cs="微软雅黑"/>
          <w:spacing w:val="-16"/>
          <w:sz w:val="16"/>
          <w:szCs w:val="16"/>
        </w:rPr>
        <w:t xml:space="preserve"> </w:t>
      </w:r>
      <w:r>
        <w:rPr>
          <w:rFonts w:ascii="微软雅黑" w:hAnsi="微软雅黑" w:eastAsia="微软雅黑" w:cs="微软雅黑"/>
          <w:spacing w:val="35"/>
          <w:sz w:val="16"/>
          <w:szCs w:val="16"/>
        </w:rPr>
        <w:t>管</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理</w:t>
      </w:r>
      <w:r>
        <w:rPr>
          <w:rFonts w:ascii="微软雅黑" w:hAnsi="微软雅黑" w:eastAsia="微软雅黑" w:cs="微软雅黑"/>
          <w:spacing w:val="-2"/>
          <w:sz w:val="16"/>
          <w:szCs w:val="16"/>
        </w:rPr>
        <w:t xml:space="preserve"> </w:t>
      </w:r>
      <w:r>
        <w:rPr>
          <w:rFonts w:ascii="微软雅黑" w:hAnsi="微软雅黑" w:eastAsia="微软雅黑" w:cs="微软雅黑"/>
          <w:spacing w:val="35"/>
          <w:sz w:val="16"/>
          <w:szCs w:val="16"/>
        </w:rPr>
        <w:t>以</w:t>
      </w:r>
      <w:r>
        <w:rPr>
          <w:rFonts w:ascii="微软雅黑" w:hAnsi="微软雅黑" w:eastAsia="微软雅黑" w:cs="微软雅黑"/>
          <w:spacing w:val="-16"/>
          <w:sz w:val="16"/>
          <w:szCs w:val="16"/>
        </w:rPr>
        <w:t xml:space="preserve"> </w:t>
      </w:r>
      <w:r>
        <w:rPr>
          <w:rFonts w:ascii="微软雅黑" w:hAnsi="微软雅黑" w:eastAsia="微软雅黑" w:cs="微软雅黑"/>
          <w:spacing w:val="35"/>
          <w:sz w:val="16"/>
          <w:szCs w:val="16"/>
        </w:rPr>
        <w:t>提</w:t>
      </w:r>
      <w:r>
        <w:rPr>
          <w:rFonts w:ascii="微软雅黑" w:hAnsi="微软雅黑" w:eastAsia="微软雅黑" w:cs="微软雅黑"/>
          <w:spacing w:val="-14"/>
          <w:sz w:val="16"/>
          <w:szCs w:val="16"/>
        </w:rPr>
        <w:t xml:space="preserve"> </w:t>
      </w:r>
      <w:r>
        <w:rPr>
          <w:rFonts w:ascii="微软雅黑" w:hAnsi="微软雅黑" w:eastAsia="微软雅黑" w:cs="微软雅黑"/>
          <w:spacing w:val="35"/>
          <w:sz w:val="16"/>
          <w:szCs w:val="16"/>
        </w:rPr>
        <w:t>高</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质</w:t>
      </w:r>
      <w:r>
        <w:rPr>
          <w:rFonts w:ascii="微软雅黑" w:hAnsi="微软雅黑" w:eastAsia="微软雅黑" w:cs="微软雅黑"/>
          <w:sz w:val="16"/>
          <w:szCs w:val="16"/>
        </w:rPr>
        <w:t xml:space="preserve"> </w:t>
      </w:r>
      <w:r>
        <w:rPr>
          <w:rFonts w:ascii="微软雅黑" w:hAnsi="微软雅黑" w:eastAsia="微软雅黑" w:cs="微软雅黑"/>
          <w:spacing w:val="32"/>
          <w:sz w:val="16"/>
          <w:szCs w:val="16"/>
        </w:rPr>
        <w:t>量水平的认识</w:t>
      </w:r>
      <w:r>
        <w:rPr>
          <w:rFonts w:ascii="微软雅黑" w:hAnsi="微软雅黑" w:eastAsia="微软雅黑" w:cs="微软雅黑"/>
          <w:spacing w:val="-27"/>
          <w:sz w:val="16"/>
          <w:szCs w:val="16"/>
        </w:rPr>
        <w:t xml:space="preserve"> </w:t>
      </w:r>
      <w:r>
        <w:rPr>
          <w:rFonts w:ascii="微软雅黑" w:hAnsi="微软雅黑" w:eastAsia="微软雅黑" w:cs="微软雅黑"/>
          <w:spacing w:val="32"/>
          <w:sz w:val="16"/>
          <w:szCs w:val="16"/>
        </w:rPr>
        <w:t>”</w:t>
      </w:r>
      <w:r>
        <w:rPr>
          <w:rFonts w:ascii="微软雅黑" w:hAnsi="微软雅黑" w:eastAsia="微软雅黑" w:cs="微软雅黑"/>
          <w:spacing w:val="32"/>
          <w:position w:val="5"/>
          <w:sz w:val="9"/>
          <w:szCs w:val="9"/>
        </w:rPr>
        <w:t>[</w:t>
      </w:r>
      <w:r>
        <w:rPr>
          <w:rFonts w:ascii="Arial" w:hAnsi="Arial" w:eastAsia="Arial" w:cs="Arial"/>
          <w:spacing w:val="32"/>
          <w:position w:val="5"/>
          <w:sz w:val="9"/>
          <w:szCs w:val="9"/>
        </w:rPr>
        <w:t>5</w:t>
      </w:r>
      <w:r>
        <w:rPr>
          <w:rFonts w:ascii="微软雅黑" w:hAnsi="微软雅黑" w:eastAsia="微软雅黑" w:cs="微软雅黑"/>
          <w:spacing w:val="32"/>
          <w:position w:val="5"/>
          <w:sz w:val="9"/>
          <w:szCs w:val="9"/>
        </w:rPr>
        <w:t xml:space="preserve">]  </w:t>
      </w:r>
      <w:r>
        <w:rPr>
          <w:rFonts w:ascii="微软雅黑" w:hAnsi="微软雅黑" w:eastAsia="微软雅黑" w:cs="微软雅黑"/>
          <w:spacing w:val="32"/>
          <w:sz w:val="16"/>
          <w:szCs w:val="16"/>
        </w:rPr>
        <w:t>。</w:t>
      </w:r>
      <w:r>
        <w:rPr>
          <w:rFonts w:ascii="微软雅黑" w:hAnsi="微软雅黑" w:eastAsia="微软雅黑" w:cs="微软雅黑"/>
          <w:spacing w:val="-12"/>
          <w:sz w:val="16"/>
          <w:szCs w:val="16"/>
        </w:rPr>
        <w:t xml:space="preserve"> </w:t>
      </w:r>
      <w:r>
        <w:rPr>
          <w:rFonts w:ascii="微软雅黑" w:hAnsi="微软雅黑" w:eastAsia="微软雅黑" w:cs="微软雅黑"/>
          <w:spacing w:val="32"/>
          <w:sz w:val="16"/>
          <w:szCs w:val="16"/>
        </w:rPr>
        <w:t>在本项目的基础上</w:t>
      </w:r>
      <w:r>
        <w:rPr>
          <w:rFonts w:ascii="微软雅黑" w:hAnsi="微软雅黑" w:eastAsia="微软雅黑" w:cs="微软雅黑"/>
          <w:spacing w:val="-24"/>
          <w:sz w:val="16"/>
          <w:szCs w:val="16"/>
        </w:rPr>
        <w:t xml:space="preserve"> </w:t>
      </w:r>
      <w:r>
        <w:rPr>
          <w:rFonts w:ascii="微软雅黑" w:hAnsi="微软雅黑" w:eastAsia="微软雅黑" w:cs="微软雅黑"/>
          <w:spacing w:val="31"/>
          <w:sz w:val="16"/>
          <w:szCs w:val="16"/>
        </w:rPr>
        <w:t>，给出了质量</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文化的定义</w:t>
      </w:r>
      <w:r>
        <w:rPr>
          <w:rFonts w:ascii="微软雅黑" w:hAnsi="微软雅黑" w:eastAsia="微软雅黑" w:cs="微软雅黑"/>
          <w:spacing w:val="-20"/>
          <w:sz w:val="16"/>
          <w:szCs w:val="16"/>
        </w:rPr>
        <w:t xml:space="preserve"> </w:t>
      </w:r>
      <w:r>
        <w:rPr>
          <w:rFonts w:ascii="微软雅黑" w:hAnsi="微软雅黑" w:eastAsia="微软雅黑" w:cs="微软雅黑"/>
          <w:spacing w:val="38"/>
          <w:sz w:val="16"/>
          <w:szCs w:val="16"/>
        </w:rPr>
        <w:t>，“质量文化是</w:t>
      </w:r>
      <w:r>
        <w:rPr>
          <w:rFonts w:ascii="微软雅黑" w:hAnsi="微软雅黑" w:eastAsia="微软雅黑" w:cs="微软雅黑"/>
          <w:spacing w:val="-28"/>
          <w:sz w:val="16"/>
          <w:szCs w:val="16"/>
        </w:rPr>
        <w:t xml:space="preserve"> </w:t>
      </w:r>
      <w:r>
        <w:rPr>
          <w:rFonts w:ascii="微软雅黑" w:hAnsi="微软雅黑" w:eastAsia="微软雅黑" w:cs="微软雅黑"/>
          <w:spacing w:val="38"/>
          <w:sz w:val="16"/>
          <w:szCs w:val="16"/>
        </w:rPr>
        <w:t>一</w:t>
      </w:r>
      <w:r>
        <w:rPr>
          <w:rFonts w:ascii="微软雅黑" w:hAnsi="微软雅黑" w:eastAsia="微软雅黑" w:cs="微软雅黑"/>
          <w:spacing w:val="-27"/>
          <w:sz w:val="16"/>
          <w:szCs w:val="16"/>
        </w:rPr>
        <w:t xml:space="preserve"> </w:t>
      </w:r>
      <w:r>
        <w:rPr>
          <w:rFonts w:ascii="微软雅黑" w:hAnsi="微软雅黑" w:eastAsia="微软雅黑" w:cs="微软雅黑"/>
          <w:spacing w:val="38"/>
          <w:sz w:val="16"/>
          <w:szCs w:val="16"/>
        </w:rPr>
        <w:t>种旨在永久提高质量的</w:t>
      </w:r>
      <w:r>
        <w:rPr>
          <w:rFonts w:ascii="微软雅黑" w:hAnsi="微软雅黑" w:eastAsia="微软雅黑" w:cs="微软雅黑"/>
          <w:sz w:val="16"/>
          <w:szCs w:val="16"/>
        </w:rPr>
        <w:t xml:space="preserve"> </w:t>
      </w:r>
      <w:r>
        <w:rPr>
          <w:rFonts w:ascii="微软雅黑" w:hAnsi="微软雅黑" w:eastAsia="微软雅黑" w:cs="微软雅黑"/>
          <w:spacing w:val="23"/>
          <w:sz w:val="16"/>
          <w:szCs w:val="16"/>
        </w:rPr>
        <w:t>组织文化</w:t>
      </w:r>
      <w:r>
        <w:rPr>
          <w:rFonts w:ascii="微软雅黑" w:hAnsi="微软雅黑" w:eastAsia="微软雅黑" w:cs="微软雅黑"/>
          <w:spacing w:val="-7"/>
          <w:sz w:val="16"/>
          <w:szCs w:val="16"/>
        </w:rPr>
        <w:t xml:space="preserve"> </w:t>
      </w:r>
      <w:r>
        <w:rPr>
          <w:rFonts w:ascii="微软雅黑" w:hAnsi="微软雅黑" w:eastAsia="微软雅黑" w:cs="微软雅黑"/>
          <w:spacing w:val="23"/>
          <w:sz w:val="16"/>
          <w:szCs w:val="16"/>
        </w:rPr>
        <w:t>，具有</w:t>
      </w:r>
      <w:r>
        <w:rPr>
          <w:rFonts w:ascii="微软雅黑" w:hAnsi="微软雅黑" w:eastAsia="微软雅黑" w:cs="微软雅黑"/>
          <w:spacing w:val="-17"/>
          <w:sz w:val="16"/>
          <w:szCs w:val="16"/>
        </w:rPr>
        <w:t xml:space="preserve"> </w:t>
      </w:r>
      <w:r>
        <w:rPr>
          <w:rFonts w:ascii="微软雅黑" w:hAnsi="微软雅黑" w:eastAsia="微软雅黑" w:cs="微软雅黑"/>
          <w:spacing w:val="23"/>
          <w:sz w:val="16"/>
          <w:szCs w:val="16"/>
        </w:rPr>
        <w:t>两</w:t>
      </w:r>
      <w:r>
        <w:rPr>
          <w:rFonts w:ascii="微软雅黑" w:hAnsi="微软雅黑" w:eastAsia="微软雅黑" w:cs="微软雅黑"/>
          <w:spacing w:val="-20"/>
          <w:sz w:val="16"/>
          <w:szCs w:val="16"/>
        </w:rPr>
        <w:t xml:space="preserve"> </w:t>
      </w:r>
      <w:r>
        <w:rPr>
          <w:rFonts w:ascii="微软雅黑" w:hAnsi="微软雅黑" w:eastAsia="微软雅黑" w:cs="微软雅黑"/>
          <w:spacing w:val="23"/>
          <w:sz w:val="16"/>
          <w:szCs w:val="16"/>
        </w:rPr>
        <w:t>个</w:t>
      </w:r>
      <w:r>
        <w:rPr>
          <w:rFonts w:ascii="微软雅黑" w:hAnsi="微软雅黑" w:eastAsia="微软雅黑" w:cs="微软雅黑"/>
          <w:spacing w:val="-16"/>
          <w:sz w:val="16"/>
          <w:szCs w:val="16"/>
        </w:rPr>
        <w:t xml:space="preserve"> </w:t>
      </w:r>
      <w:r>
        <w:rPr>
          <w:rFonts w:ascii="微软雅黑" w:hAnsi="微软雅黑" w:eastAsia="微软雅黑" w:cs="微软雅黑"/>
          <w:spacing w:val="23"/>
          <w:sz w:val="16"/>
          <w:szCs w:val="16"/>
        </w:rPr>
        <w:t>特</w:t>
      </w:r>
      <w:r>
        <w:rPr>
          <w:rFonts w:ascii="微软雅黑" w:hAnsi="微软雅黑" w:eastAsia="微软雅黑" w:cs="微软雅黑"/>
          <w:spacing w:val="-18"/>
          <w:sz w:val="16"/>
          <w:szCs w:val="16"/>
        </w:rPr>
        <w:t xml:space="preserve"> </w:t>
      </w:r>
      <w:r>
        <w:rPr>
          <w:rFonts w:ascii="微软雅黑" w:hAnsi="微软雅黑" w:eastAsia="微软雅黑" w:cs="微软雅黑"/>
          <w:spacing w:val="23"/>
          <w:sz w:val="16"/>
          <w:szCs w:val="16"/>
        </w:rPr>
        <w:t>有</w:t>
      </w:r>
      <w:r>
        <w:rPr>
          <w:rFonts w:ascii="微软雅黑" w:hAnsi="微软雅黑" w:eastAsia="微软雅黑" w:cs="微软雅黑"/>
          <w:spacing w:val="-2"/>
          <w:sz w:val="16"/>
          <w:szCs w:val="16"/>
        </w:rPr>
        <w:t xml:space="preserve"> </w:t>
      </w:r>
      <w:r>
        <w:rPr>
          <w:rFonts w:ascii="微软雅黑" w:hAnsi="微软雅黑" w:eastAsia="微软雅黑" w:cs="微软雅黑"/>
          <w:spacing w:val="23"/>
          <w:sz w:val="16"/>
          <w:szCs w:val="16"/>
        </w:rPr>
        <w:t>的</w:t>
      </w:r>
      <w:r>
        <w:rPr>
          <w:rFonts w:ascii="微软雅黑" w:hAnsi="微软雅黑" w:eastAsia="微软雅黑" w:cs="微软雅黑"/>
          <w:spacing w:val="-20"/>
          <w:sz w:val="16"/>
          <w:szCs w:val="16"/>
        </w:rPr>
        <w:t xml:space="preserve"> </w:t>
      </w:r>
      <w:r>
        <w:rPr>
          <w:rFonts w:ascii="微软雅黑" w:hAnsi="微软雅黑" w:eastAsia="微软雅黑" w:cs="微软雅黑"/>
          <w:spacing w:val="23"/>
          <w:sz w:val="16"/>
          <w:szCs w:val="16"/>
        </w:rPr>
        <w:t>元</w:t>
      </w:r>
      <w:r>
        <w:rPr>
          <w:rFonts w:ascii="微软雅黑" w:hAnsi="微软雅黑" w:eastAsia="微软雅黑" w:cs="微软雅黑"/>
          <w:spacing w:val="-15"/>
          <w:sz w:val="16"/>
          <w:szCs w:val="16"/>
        </w:rPr>
        <w:t xml:space="preserve"> </w:t>
      </w:r>
      <w:r>
        <w:rPr>
          <w:rFonts w:ascii="微软雅黑" w:hAnsi="微软雅黑" w:eastAsia="微软雅黑" w:cs="微软雅黑"/>
          <w:spacing w:val="23"/>
          <w:sz w:val="16"/>
          <w:szCs w:val="16"/>
        </w:rPr>
        <w:t>素：一</w:t>
      </w:r>
      <w:r>
        <w:rPr>
          <w:rFonts w:ascii="微软雅黑" w:hAnsi="微软雅黑" w:eastAsia="微软雅黑" w:cs="微软雅黑"/>
          <w:spacing w:val="-20"/>
          <w:sz w:val="16"/>
          <w:szCs w:val="16"/>
        </w:rPr>
        <w:t xml:space="preserve"> </w:t>
      </w:r>
      <w:r>
        <w:rPr>
          <w:rFonts w:ascii="微软雅黑" w:hAnsi="微软雅黑" w:eastAsia="微软雅黑" w:cs="微软雅黑"/>
          <w:spacing w:val="23"/>
          <w:sz w:val="16"/>
          <w:szCs w:val="16"/>
        </w:rPr>
        <w:t>个</w:t>
      </w:r>
      <w:r>
        <w:rPr>
          <w:rFonts w:ascii="微软雅黑" w:hAnsi="微软雅黑" w:eastAsia="微软雅黑" w:cs="微软雅黑"/>
          <w:spacing w:val="-18"/>
          <w:sz w:val="16"/>
          <w:szCs w:val="16"/>
        </w:rPr>
        <w:t xml:space="preserve"> </w:t>
      </w:r>
      <w:r>
        <w:rPr>
          <w:rFonts w:ascii="微软雅黑" w:hAnsi="微软雅黑" w:eastAsia="微软雅黑" w:cs="微软雅黑"/>
          <w:spacing w:val="23"/>
          <w:sz w:val="16"/>
          <w:szCs w:val="16"/>
        </w:rPr>
        <w:t>是</w:t>
      </w:r>
      <w:r>
        <w:rPr>
          <w:rFonts w:ascii="微软雅黑" w:hAnsi="微软雅黑" w:eastAsia="微软雅黑" w:cs="微软雅黑"/>
          <w:spacing w:val="-16"/>
          <w:sz w:val="16"/>
          <w:szCs w:val="16"/>
        </w:rPr>
        <w:t xml:space="preserve"> </w:t>
      </w:r>
      <w:r>
        <w:rPr>
          <w:rFonts w:ascii="微软雅黑" w:hAnsi="微软雅黑" w:eastAsia="微软雅黑" w:cs="微软雅黑"/>
          <w:spacing w:val="23"/>
          <w:sz w:val="16"/>
          <w:szCs w:val="16"/>
        </w:rPr>
        <w:t>文</w:t>
      </w:r>
      <w:r>
        <w:rPr>
          <w:rFonts w:ascii="微软雅黑" w:hAnsi="微软雅黑" w:eastAsia="微软雅黑" w:cs="微软雅黑"/>
          <w:spacing w:val="-18"/>
          <w:sz w:val="16"/>
          <w:szCs w:val="16"/>
        </w:rPr>
        <w:t xml:space="preserve"> </w:t>
      </w:r>
      <w:r>
        <w:rPr>
          <w:rFonts w:ascii="微软雅黑" w:hAnsi="微软雅黑" w:eastAsia="微软雅黑" w:cs="微软雅黑"/>
          <w:spacing w:val="23"/>
          <w:sz w:val="16"/>
          <w:szCs w:val="16"/>
        </w:rPr>
        <w:t>化／心</w:t>
      </w:r>
      <w:r>
        <w:rPr>
          <w:rFonts w:ascii="微软雅黑" w:hAnsi="微软雅黑" w:eastAsia="微软雅黑" w:cs="微软雅黑"/>
          <w:spacing w:val="-17"/>
          <w:sz w:val="16"/>
          <w:szCs w:val="16"/>
        </w:rPr>
        <w:t xml:space="preserve"> </w:t>
      </w:r>
      <w:r>
        <w:rPr>
          <w:rFonts w:ascii="微软雅黑" w:hAnsi="微软雅黑" w:eastAsia="微软雅黑" w:cs="微软雅黑"/>
          <w:spacing w:val="23"/>
          <w:sz w:val="16"/>
          <w:szCs w:val="16"/>
        </w:rPr>
        <w:t>理</w:t>
      </w:r>
      <w:r>
        <w:rPr>
          <w:rFonts w:ascii="微软雅黑" w:hAnsi="微软雅黑" w:eastAsia="微软雅黑" w:cs="微软雅黑"/>
          <w:sz w:val="16"/>
          <w:szCs w:val="16"/>
        </w:rPr>
        <w:t xml:space="preserve"> </w:t>
      </w:r>
      <w:r>
        <w:rPr>
          <w:rFonts w:ascii="微软雅黑" w:hAnsi="微软雅黑" w:eastAsia="微软雅黑" w:cs="微软雅黑"/>
          <w:spacing w:val="17"/>
          <w:sz w:val="16"/>
          <w:szCs w:val="16"/>
        </w:rPr>
        <w:t>元素</w:t>
      </w:r>
      <w:r>
        <w:rPr>
          <w:rFonts w:ascii="微软雅黑" w:hAnsi="微软雅黑" w:eastAsia="微软雅黑" w:cs="微软雅黑"/>
          <w:spacing w:val="-24"/>
          <w:sz w:val="16"/>
          <w:szCs w:val="16"/>
        </w:rPr>
        <w:t xml:space="preserve"> </w:t>
      </w:r>
      <w:r>
        <w:rPr>
          <w:rFonts w:ascii="微软雅黑" w:hAnsi="微软雅黑" w:eastAsia="微软雅黑" w:cs="微软雅黑"/>
          <w:spacing w:val="17"/>
          <w:sz w:val="16"/>
          <w:szCs w:val="16"/>
        </w:rPr>
        <w:t>，即具</w:t>
      </w:r>
      <w:r>
        <w:rPr>
          <w:rFonts w:ascii="微软雅黑" w:hAnsi="微软雅黑" w:eastAsia="微软雅黑" w:cs="微软雅黑"/>
          <w:spacing w:val="-19"/>
          <w:sz w:val="16"/>
          <w:szCs w:val="16"/>
        </w:rPr>
        <w:t xml:space="preserve"> </w:t>
      </w:r>
      <w:r>
        <w:rPr>
          <w:rFonts w:ascii="微软雅黑" w:hAnsi="微软雅黑" w:eastAsia="微软雅黑" w:cs="微软雅黑"/>
          <w:spacing w:val="17"/>
          <w:sz w:val="16"/>
          <w:szCs w:val="16"/>
        </w:rPr>
        <w:t>有</w:t>
      </w:r>
      <w:r>
        <w:rPr>
          <w:rFonts w:ascii="微软雅黑" w:hAnsi="微软雅黑" w:eastAsia="微软雅黑" w:cs="微软雅黑"/>
          <w:spacing w:val="-14"/>
          <w:sz w:val="16"/>
          <w:szCs w:val="16"/>
        </w:rPr>
        <w:t xml:space="preserve"> </w:t>
      </w:r>
      <w:r>
        <w:rPr>
          <w:rFonts w:ascii="微软雅黑" w:hAnsi="微软雅黑" w:eastAsia="微软雅黑" w:cs="微软雅黑"/>
          <w:spacing w:val="17"/>
          <w:sz w:val="16"/>
          <w:szCs w:val="16"/>
        </w:rPr>
        <w:t>共 同</w:t>
      </w:r>
      <w:r>
        <w:rPr>
          <w:rFonts w:ascii="微软雅黑" w:hAnsi="微软雅黑" w:eastAsia="微软雅黑" w:cs="微软雅黑"/>
          <w:spacing w:val="-10"/>
          <w:sz w:val="16"/>
          <w:szCs w:val="16"/>
        </w:rPr>
        <w:t xml:space="preserve"> </w:t>
      </w:r>
      <w:r>
        <w:rPr>
          <w:rFonts w:ascii="微软雅黑" w:hAnsi="微软雅黑" w:eastAsia="微软雅黑" w:cs="微软雅黑"/>
          <w:spacing w:val="17"/>
          <w:sz w:val="16"/>
          <w:szCs w:val="16"/>
        </w:rPr>
        <w:t>价</w:t>
      </w:r>
      <w:r>
        <w:rPr>
          <w:rFonts w:ascii="微软雅黑" w:hAnsi="微软雅黑" w:eastAsia="微软雅黑" w:cs="微软雅黑"/>
          <w:spacing w:val="-15"/>
          <w:sz w:val="16"/>
          <w:szCs w:val="16"/>
        </w:rPr>
        <w:t xml:space="preserve"> </w:t>
      </w:r>
      <w:r>
        <w:rPr>
          <w:rFonts w:ascii="微软雅黑" w:hAnsi="微软雅黑" w:eastAsia="微软雅黑" w:cs="微软雅黑"/>
          <w:spacing w:val="17"/>
          <w:sz w:val="16"/>
          <w:szCs w:val="16"/>
        </w:rPr>
        <w:t>值</w:t>
      </w:r>
      <w:r>
        <w:rPr>
          <w:rFonts w:ascii="微软雅黑" w:hAnsi="微软雅黑" w:eastAsia="微软雅黑" w:cs="微软雅黑"/>
          <w:spacing w:val="-9"/>
          <w:sz w:val="16"/>
          <w:szCs w:val="16"/>
        </w:rPr>
        <w:t xml:space="preserve"> </w:t>
      </w:r>
      <w:r>
        <w:rPr>
          <w:rFonts w:ascii="微软雅黑" w:hAnsi="微软雅黑" w:eastAsia="微软雅黑" w:cs="微软雅黑"/>
          <w:spacing w:val="17"/>
          <w:sz w:val="16"/>
          <w:szCs w:val="16"/>
        </w:rPr>
        <w:t>观</w:t>
      </w:r>
      <w:r>
        <w:rPr>
          <w:rFonts w:ascii="微软雅黑" w:hAnsi="微软雅黑" w:eastAsia="微软雅黑" w:cs="微软雅黑"/>
          <w:spacing w:val="-17"/>
          <w:sz w:val="16"/>
          <w:szCs w:val="16"/>
        </w:rPr>
        <w:t xml:space="preserve"> </w:t>
      </w:r>
      <w:r>
        <w:rPr>
          <w:rFonts w:ascii="微软雅黑" w:hAnsi="微软雅黑" w:eastAsia="微软雅黑" w:cs="微软雅黑"/>
          <w:spacing w:val="17"/>
          <w:sz w:val="16"/>
          <w:szCs w:val="16"/>
        </w:rPr>
        <w:t>、信</w:t>
      </w:r>
      <w:r>
        <w:rPr>
          <w:rFonts w:ascii="微软雅黑" w:hAnsi="微软雅黑" w:eastAsia="微软雅黑" w:cs="微软雅黑"/>
          <w:spacing w:val="-13"/>
          <w:sz w:val="16"/>
          <w:szCs w:val="16"/>
        </w:rPr>
        <w:t xml:space="preserve"> </w:t>
      </w:r>
      <w:r>
        <w:rPr>
          <w:rFonts w:ascii="微软雅黑" w:hAnsi="微软雅黑" w:eastAsia="微软雅黑" w:cs="微软雅黑"/>
          <w:spacing w:val="17"/>
          <w:sz w:val="16"/>
          <w:szCs w:val="16"/>
        </w:rPr>
        <w:t>念</w:t>
      </w:r>
      <w:r>
        <w:rPr>
          <w:rFonts w:ascii="微软雅黑" w:hAnsi="微软雅黑" w:eastAsia="微软雅黑" w:cs="微软雅黑"/>
          <w:spacing w:val="-17"/>
          <w:sz w:val="16"/>
          <w:szCs w:val="16"/>
        </w:rPr>
        <w:t xml:space="preserve"> </w:t>
      </w:r>
      <w:r>
        <w:rPr>
          <w:rFonts w:ascii="微软雅黑" w:hAnsi="微软雅黑" w:eastAsia="微软雅黑" w:cs="微软雅黑"/>
          <w:spacing w:val="17"/>
          <w:sz w:val="16"/>
          <w:szCs w:val="16"/>
        </w:rPr>
        <w:t>、期</w:t>
      </w:r>
      <w:r>
        <w:rPr>
          <w:rFonts w:ascii="微软雅黑" w:hAnsi="微软雅黑" w:eastAsia="微软雅黑" w:cs="微软雅黑"/>
          <w:spacing w:val="-12"/>
          <w:sz w:val="16"/>
          <w:szCs w:val="16"/>
        </w:rPr>
        <w:t xml:space="preserve"> </w:t>
      </w:r>
      <w:r>
        <w:rPr>
          <w:rFonts w:ascii="微软雅黑" w:hAnsi="微软雅黑" w:eastAsia="微软雅黑" w:cs="微软雅黑"/>
          <w:spacing w:val="17"/>
          <w:sz w:val="16"/>
          <w:szCs w:val="16"/>
        </w:rPr>
        <w:t>望</w:t>
      </w:r>
      <w:r>
        <w:rPr>
          <w:rFonts w:ascii="微软雅黑" w:hAnsi="微软雅黑" w:eastAsia="微软雅黑" w:cs="微软雅黑"/>
          <w:spacing w:val="-24"/>
          <w:sz w:val="16"/>
          <w:szCs w:val="16"/>
        </w:rPr>
        <w:t xml:space="preserve"> </w:t>
      </w:r>
      <w:r>
        <w:rPr>
          <w:rFonts w:ascii="微软雅黑" w:hAnsi="微软雅黑" w:eastAsia="微软雅黑" w:cs="微软雅黑"/>
          <w:spacing w:val="17"/>
          <w:sz w:val="16"/>
          <w:szCs w:val="16"/>
        </w:rPr>
        <w:t>；另</w:t>
      </w:r>
      <w:r>
        <w:rPr>
          <w:rFonts w:ascii="微软雅黑" w:hAnsi="微软雅黑" w:eastAsia="微软雅黑" w:cs="微软雅黑"/>
          <w:spacing w:val="-11"/>
          <w:sz w:val="16"/>
          <w:szCs w:val="16"/>
        </w:rPr>
        <w:t xml:space="preserve"> </w:t>
      </w:r>
      <w:r>
        <w:rPr>
          <w:rFonts w:ascii="微软雅黑" w:hAnsi="微软雅黑" w:eastAsia="微软雅黑" w:cs="微软雅黑"/>
          <w:spacing w:val="17"/>
          <w:sz w:val="16"/>
          <w:szCs w:val="16"/>
        </w:rPr>
        <w:t>一</w:t>
      </w:r>
      <w:r>
        <w:rPr>
          <w:rFonts w:ascii="微软雅黑" w:hAnsi="微软雅黑" w:eastAsia="微软雅黑" w:cs="微软雅黑"/>
          <w:spacing w:val="-15"/>
          <w:sz w:val="16"/>
          <w:szCs w:val="16"/>
        </w:rPr>
        <w:t xml:space="preserve"> </w:t>
      </w:r>
      <w:r>
        <w:rPr>
          <w:rFonts w:ascii="微软雅黑" w:hAnsi="微软雅黑" w:eastAsia="微软雅黑" w:cs="微软雅黑"/>
          <w:spacing w:val="17"/>
          <w:sz w:val="16"/>
          <w:szCs w:val="16"/>
        </w:rPr>
        <w:t>个</w:t>
      </w:r>
      <w:r>
        <w:rPr>
          <w:rFonts w:ascii="微软雅黑" w:hAnsi="微软雅黑" w:eastAsia="微软雅黑" w:cs="微软雅黑"/>
          <w:spacing w:val="-12"/>
          <w:sz w:val="16"/>
          <w:szCs w:val="16"/>
        </w:rPr>
        <w:t xml:space="preserve"> </w:t>
      </w:r>
      <w:r>
        <w:rPr>
          <w:rFonts w:ascii="微软雅黑" w:hAnsi="微软雅黑" w:eastAsia="微软雅黑" w:cs="微软雅黑"/>
          <w:spacing w:val="17"/>
          <w:sz w:val="16"/>
          <w:szCs w:val="16"/>
        </w:rPr>
        <w:t>是</w:t>
      </w:r>
      <w:r>
        <w:rPr>
          <w:rFonts w:ascii="微软雅黑" w:hAnsi="微软雅黑" w:eastAsia="微软雅黑" w:cs="微软雅黑"/>
          <w:spacing w:val="-13"/>
          <w:sz w:val="16"/>
          <w:szCs w:val="16"/>
        </w:rPr>
        <w:t xml:space="preserve"> </w:t>
      </w:r>
      <w:r>
        <w:rPr>
          <w:rFonts w:ascii="微软雅黑" w:hAnsi="微软雅黑" w:eastAsia="微软雅黑" w:cs="微软雅黑"/>
          <w:spacing w:val="17"/>
          <w:sz w:val="16"/>
          <w:szCs w:val="16"/>
        </w:rPr>
        <w:t>结</w:t>
      </w:r>
      <w:r>
        <w:rPr>
          <w:rFonts w:ascii="微软雅黑" w:hAnsi="微软雅黑" w:eastAsia="微软雅黑" w:cs="微软雅黑"/>
          <w:sz w:val="16"/>
          <w:szCs w:val="16"/>
        </w:rPr>
        <w:t xml:space="preserve"> </w:t>
      </w:r>
      <w:r>
        <w:rPr>
          <w:rFonts w:ascii="微软雅黑" w:hAnsi="微软雅黑" w:eastAsia="微软雅黑" w:cs="微软雅黑"/>
          <w:spacing w:val="40"/>
          <w:sz w:val="16"/>
          <w:szCs w:val="16"/>
        </w:rPr>
        <w:t>构／管理元素</w:t>
      </w:r>
      <w:r>
        <w:rPr>
          <w:rFonts w:ascii="微软雅黑" w:hAnsi="微软雅黑" w:eastAsia="微软雅黑" w:cs="微软雅黑"/>
          <w:spacing w:val="-23"/>
          <w:sz w:val="16"/>
          <w:szCs w:val="16"/>
        </w:rPr>
        <w:t xml:space="preserve"> </w:t>
      </w:r>
      <w:r>
        <w:rPr>
          <w:rFonts w:ascii="微软雅黑" w:hAnsi="微软雅黑" w:eastAsia="微软雅黑" w:cs="微软雅黑"/>
          <w:spacing w:val="40"/>
          <w:sz w:val="16"/>
          <w:szCs w:val="16"/>
        </w:rPr>
        <w:t>，即提高质量和协调机构工作人</w:t>
      </w:r>
      <w:r>
        <w:rPr>
          <w:rFonts w:ascii="微软雅黑" w:hAnsi="微软雅黑" w:eastAsia="微软雅黑" w:cs="微软雅黑"/>
          <w:spacing w:val="39"/>
          <w:sz w:val="16"/>
          <w:szCs w:val="16"/>
        </w:rPr>
        <w:t>员努力</w:t>
      </w:r>
      <w:r>
        <w:rPr>
          <w:rFonts w:ascii="微软雅黑" w:hAnsi="微软雅黑" w:eastAsia="微软雅黑" w:cs="微软雅黑"/>
          <w:sz w:val="16"/>
          <w:szCs w:val="16"/>
        </w:rPr>
        <w:t xml:space="preserve"> </w:t>
      </w:r>
      <w:r>
        <w:rPr>
          <w:rFonts w:ascii="微软雅黑" w:hAnsi="微软雅黑" w:eastAsia="微软雅黑" w:cs="微软雅黑"/>
          <w:spacing w:val="10"/>
          <w:w w:val="120"/>
          <w:sz w:val="16"/>
          <w:szCs w:val="16"/>
        </w:rPr>
        <w:t>而制定的质量管理程序</w:t>
      </w:r>
      <w:r>
        <w:rPr>
          <w:rFonts w:ascii="微软雅黑" w:hAnsi="微软雅黑" w:eastAsia="微软雅黑" w:cs="微软雅黑"/>
          <w:spacing w:val="-21"/>
          <w:sz w:val="16"/>
          <w:szCs w:val="16"/>
        </w:rPr>
        <w:t xml:space="preserve"> </w:t>
      </w:r>
      <w:r>
        <w:rPr>
          <w:rFonts w:ascii="微软雅黑" w:hAnsi="微软雅黑" w:eastAsia="微软雅黑" w:cs="微软雅黑"/>
          <w:spacing w:val="10"/>
          <w:w w:val="120"/>
          <w:sz w:val="16"/>
          <w:szCs w:val="16"/>
        </w:rPr>
        <w:t>”</w:t>
      </w:r>
      <w:r>
        <w:rPr>
          <w:rFonts w:ascii="微软雅黑" w:hAnsi="微软雅黑" w:eastAsia="微软雅黑" w:cs="微软雅黑"/>
          <w:spacing w:val="10"/>
          <w:w w:val="120"/>
          <w:position w:val="6"/>
          <w:sz w:val="9"/>
          <w:szCs w:val="9"/>
        </w:rPr>
        <w:t>[</w:t>
      </w:r>
      <w:r>
        <w:rPr>
          <w:rFonts w:ascii="Arial" w:hAnsi="Arial" w:eastAsia="Arial" w:cs="Arial"/>
          <w:spacing w:val="10"/>
          <w:w w:val="120"/>
          <w:position w:val="6"/>
          <w:sz w:val="9"/>
          <w:szCs w:val="9"/>
        </w:rPr>
        <w:t>5</w:t>
      </w:r>
      <w:r>
        <w:rPr>
          <w:rFonts w:ascii="微软雅黑" w:hAnsi="微软雅黑" w:eastAsia="微软雅黑" w:cs="微软雅黑"/>
          <w:spacing w:val="10"/>
          <w:w w:val="120"/>
          <w:position w:val="6"/>
          <w:sz w:val="9"/>
          <w:szCs w:val="9"/>
        </w:rPr>
        <w:t xml:space="preserve">]  </w:t>
      </w:r>
      <w:r>
        <w:rPr>
          <w:rFonts w:ascii="微软雅黑" w:hAnsi="微软雅黑" w:eastAsia="微软雅黑" w:cs="微软雅黑"/>
          <w:spacing w:val="10"/>
          <w:w w:val="120"/>
          <w:sz w:val="16"/>
          <w:szCs w:val="16"/>
        </w:rPr>
        <w:t>。</w:t>
      </w:r>
      <w:r>
        <w:rPr>
          <w:rFonts w:ascii="微软雅黑" w:hAnsi="微软雅黑" w:eastAsia="微软雅黑" w:cs="微软雅黑"/>
          <w:spacing w:val="-8"/>
          <w:sz w:val="16"/>
          <w:szCs w:val="16"/>
        </w:rPr>
        <w:t xml:space="preserve"> </w:t>
      </w:r>
      <w:r>
        <w:rPr>
          <w:rFonts w:ascii="微软雅黑" w:hAnsi="微软雅黑" w:eastAsia="微软雅黑" w:cs="微软雅黑"/>
          <w:spacing w:val="10"/>
          <w:w w:val="120"/>
          <w:sz w:val="16"/>
          <w:szCs w:val="16"/>
        </w:rPr>
        <w:t>本研究主要采用</w:t>
      </w:r>
      <w:r>
        <w:rPr>
          <w:rFonts w:ascii="微软雅黑" w:hAnsi="微软雅黑" w:eastAsia="微软雅黑" w:cs="微软雅黑"/>
          <w:spacing w:val="34"/>
          <w:sz w:val="16"/>
          <w:szCs w:val="16"/>
        </w:rPr>
        <w:t xml:space="preserve"> </w:t>
      </w:r>
      <w:r>
        <w:rPr>
          <w:rFonts w:ascii="Arial" w:hAnsi="Arial" w:eastAsia="Arial" w:cs="Arial"/>
          <w:position w:val="-2"/>
          <w:sz w:val="16"/>
          <w:szCs w:val="16"/>
        </w:rPr>
        <w:t xml:space="preserve">EUA </w:t>
      </w:r>
      <w:r>
        <w:rPr>
          <w:rFonts w:ascii="微软雅黑" w:hAnsi="微软雅黑" w:eastAsia="微软雅黑" w:cs="微软雅黑"/>
          <w:spacing w:val="7"/>
          <w:w w:val="124"/>
          <w:sz w:val="16"/>
          <w:szCs w:val="16"/>
        </w:rPr>
        <w:t>对质量文化的界定开展相关主题的探讨</w:t>
      </w:r>
      <w:r>
        <w:rPr>
          <w:rFonts w:ascii="微软雅黑" w:hAnsi="微软雅黑" w:eastAsia="微软雅黑" w:cs="微软雅黑"/>
          <w:spacing w:val="-9"/>
          <w:sz w:val="16"/>
          <w:szCs w:val="16"/>
        </w:rPr>
        <w:t xml:space="preserve"> </w:t>
      </w:r>
      <w:r>
        <w:rPr>
          <w:rFonts w:ascii="微软雅黑" w:hAnsi="微软雅黑" w:eastAsia="微软雅黑" w:cs="微软雅黑"/>
          <w:spacing w:val="7"/>
          <w:w w:val="124"/>
          <w:sz w:val="16"/>
          <w:szCs w:val="16"/>
        </w:rPr>
        <w:t>。</w:t>
      </w:r>
    </w:p>
    <w:p>
      <w:pPr>
        <w:spacing w:before="63" w:line="187" w:lineRule="auto"/>
        <w:ind w:left="1249"/>
        <w:rPr>
          <w:rFonts w:ascii="微软雅黑" w:hAnsi="微软雅黑" w:eastAsia="微软雅黑" w:cs="微软雅黑"/>
          <w:sz w:val="19"/>
          <w:szCs w:val="19"/>
        </w:rPr>
      </w:pPr>
      <w:r>
        <w:rPr>
          <w:rFonts w:ascii="微软雅黑" w:hAnsi="微软雅黑" w:eastAsia="微软雅黑" w:cs="微软雅黑"/>
          <w:spacing w:val="24"/>
          <w:sz w:val="19"/>
          <w:szCs w:val="19"/>
        </w:rPr>
        <w:t>（二）战略规划</w:t>
      </w:r>
    </w:p>
    <w:p>
      <w:pPr>
        <w:spacing w:before="47" w:line="244" w:lineRule="auto"/>
        <w:ind w:left="905" w:right="206" w:firstLine="422"/>
        <w:rPr>
          <w:rFonts w:ascii="微软雅黑" w:hAnsi="微软雅黑" w:eastAsia="微软雅黑" w:cs="微软雅黑"/>
          <w:sz w:val="16"/>
          <w:szCs w:val="16"/>
        </w:rPr>
      </w:pPr>
      <w:r>
        <w:rPr>
          <w:rFonts w:ascii="微软雅黑" w:hAnsi="微软雅黑" w:eastAsia="微软雅黑" w:cs="微软雅黑"/>
          <w:spacing w:val="35"/>
          <w:sz w:val="16"/>
          <w:szCs w:val="16"/>
        </w:rPr>
        <w:t>最早将战略规</w:t>
      </w:r>
      <w:r>
        <w:rPr>
          <w:rFonts w:ascii="微软雅黑" w:hAnsi="微软雅黑" w:eastAsia="微软雅黑" w:cs="微软雅黑"/>
          <w:spacing w:val="-10"/>
          <w:sz w:val="16"/>
          <w:szCs w:val="16"/>
        </w:rPr>
        <w:t xml:space="preserve"> </w:t>
      </w:r>
      <w:r>
        <w:rPr>
          <w:rFonts w:ascii="微软雅黑" w:hAnsi="微软雅黑" w:eastAsia="微软雅黑" w:cs="微软雅黑"/>
          <w:spacing w:val="35"/>
          <w:sz w:val="16"/>
          <w:szCs w:val="16"/>
        </w:rPr>
        <w:t>划</w:t>
      </w:r>
      <w:r>
        <w:rPr>
          <w:rFonts w:ascii="微软雅黑" w:hAnsi="微软雅黑" w:eastAsia="微软雅黑" w:cs="微软雅黑"/>
          <w:spacing w:val="-11"/>
          <w:sz w:val="16"/>
          <w:szCs w:val="16"/>
        </w:rPr>
        <w:t xml:space="preserve"> </w:t>
      </w:r>
      <w:r>
        <w:rPr>
          <w:rFonts w:ascii="微软雅黑" w:hAnsi="微软雅黑" w:eastAsia="微软雅黑" w:cs="微软雅黑"/>
          <w:spacing w:val="35"/>
          <w:sz w:val="16"/>
          <w:szCs w:val="16"/>
        </w:rPr>
        <w:t>引</w:t>
      </w:r>
      <w:r>
        <w:rPr>
          <w:rFonts w:ascii="微软雅黑" w:hAnsi="微软雅黑" w:eastAsia="微软雅黑" w:cs="微软雅黑"/>
          <w:spacing w:val="-19"/>
          <w:sz w:val="16"/>
          <w:szCs w:val="16"/>
        </w:rPr>
        <w:t xml:space="preserve"> </w:t>
      </w:r>
      <w:r>
        <w:rPr>
          <w:rFonts w:ascii="微软雅黑" w:hAnsi="微软雅黑" w:eastAsia="微软雅黑" w:cs="微软雅黑"/>
          <w:spacing w:val="35"/>
          <w:sz w:val="16"/>
          <w:szCs w:val="16"/>
        </w:rPr>
        <w:t>入</w:t>
      </w:r>
      <w:r>
        <w:rPr>
          <w:rFonts w:ascii="微软雅黑" w:hAnsi="微软雅黑" w:eastAsia="微软雅黑" w:cs="微软雅黑"/>
          <w:spacing w:val="-14"/>
          <w:sz w:val="16"/>
          <w:szCs w:val="16"/>
        </w:rPr>
        <w:t xml:space="preserve"> </w:t>
      </w:r>
      <w:r>
        <w:rPr>
          <w:rFonts w:ascii="微软雅黑" w:hAnsi="微软雅黑" w:eastAsia="微软雅黑" w:cs="微软雅黑"/>
          <w:spacing w:val="35"/>
          <w:sz w:val="16"/>
          <w:szCs w:val="16"/>
        </w:rPr>
        <w:t>高</w:t>
      </w:r>
      <w:r>
        <w:rPr>
          <w:rFonts w:ascii="微软雅黑" w:hAnsi="微软雅黑" w:eastAsia="微软雅黑" w:cs="微软雅黑"/>
          <w:spacing w:val="-16"/>
          <w:sz w:val="16"/>
          <w:szCs w:val="16"/>
        </w:rPr>
        <w:t xml:space="preserve"> </w:t>
      </w:r>
      <w:r>
        <w:rPr>
          <w:rFonts w:ascii="微软雅黑" w:hAnsi="微软雅黑" w:eastAsia="微软雅黑" w:cs="微软雅黑"/>
          <w:spacing w:val="35"/>
          <w:sz w:val="16"/>
          <w:szCs w:val="16"/>
        </w:rPr>
        <w:t>等</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教</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育</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领</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域</w:t>
      </w:r>
      <w:r>
        <w:rPr>
          <w:rFonts w:ascii="微软雅黑" w:hAnsi="微软雅黑" w:eastAsia="微软雅黑" w:cs="微软雅黑"/>
          <w:spacing w:val="-15"/>
          <w:sz w:val="16"/>
          <w:szCs w:val="16"/>
        </w:rPr>
        <w:t xml:space="preserve"> </w:t>
      </w:r>
      <w:r>
        <w:rPr>
          <w:rFonts w:ascii="微软雅黑" w:hAnsi="微软雅黑" w:eastAsia="微软雅黑" w:cs="微软雅黑"/>
          <w:spacing w:val="35"/>
          <w:sz w:val="16"/>
          <w:szCs w:val="16"/>
        </w:rPr>
        <w:t>源</w:t>
      </w:r>
      <w:r>
        <w:rPr>
          <w:rFonts w:ascii="微软雅黑" w:hAnsi="微软雅黑" w:eastAsia="微软雅黑" w:cs="微软雅黑"/>
          <w:spacing w:val="-11"/>
          <w:sz w:val="16"/>
          <w:szCs w:val="16"/>
        </w:rPr>
        <w:t xml:space="preserve"> </w:t>
      </w:r>
      <w:r>
        <w:rPr>
          <w:rFonts w:ascii="微软雅黑" w:hAnsi="微软雅黑" w:eastAsia="微软雅黑" w:cs="微软雅黑"/>
          <w:spacing w:val="35"/>
          <w:sz w:val="16"/>
          <w:szCs w:val="16"/>
        </w:rPr>
        <w:t>于</w:t>
      </w:r>
      <w:r>
        <w:rPr>
          <w:rFonts w:ascii="微软雅黑" w:hAnsi="微软雅黑" w:eastAsia="微软雅黑" w:cs="微软雅黑"/>
          <w:spacing w:val="38"/>
          <w:w w:val="101"/>
          <w:sz w:val="16"/>
          <w:szCs w:val="16"/>
        </w:rPr>
        <w:t xml:space="preserve"> </w:t>
      </w:r>
      <w:r>
        <w:rPr>
          <w:rFonts w:ascii="Arial" w:hAnsi="Arial" w:eastAsia="Arial" w:cs="Arial"/>
          <w:spacing w:val="35"/>
          <w:sz w:val="16"/>
          <w:szCs w:val="16"/>
        </w:rPr>
        <w:t>20</w:t>
      </w:r>
      <w:r>
        <w:rPr>
          <w:rFonts w:ascii="微软雅黑" w:hAnsi="微软雅黑" w:eastAsia="微软雅黑" w:cs="微软雅黑"/>
          <w:spacing w:val="35"/>
          <w:sz w:val="16"/>
          <w:szCs w:val="16"/>
        </w:rPr>
        <w:t>世</w:t>
      </w:r>
      <w:r>
        <w:rPr>
          <w:rFonts w:ascii="微软雅黑" w:hAnsi="微软雅黑" w:eastAsia="微软雅黑" w:cs="微软雅黑"/>
          <w:sz w:val="16"/>
          <w:szCs w:val="16"/>
        </w:rPr>
        <w:t xml:space="preserve">  </w:t>
      </w:r>
      <w:r>
        <w:rPr>
          <w:rFonts w:ascii="微软雅黑" w:hAnsi="微软雅黑" w:eastAsia="微软雅黑" w:cs="微软雅黑"/>
          <w:spacing w:val="11"/>
          <w:w w:val="121"/>
          <w:sz w:val="16"/>
          <w:szCs w:val="16"/>
        </w:rPr>
        <w:t xml:space="preserve">纪 </w:t>
      </w:r>
      <w:r>
        <w:rPr>
          <w:rFonts w:ascii="Arial" w:hAnsi="Arial" w:eastAsia="Arial" w:cs="Arial"/>
          <w:spacing w:val="11"/>
          <w:w w:val="121"/>
          <w:sz w:val="16"/>
          <w:szCs w:val="16"/>
        </w:rPr>
        <w:t>80</w:t>
      </w:r>
      <w:r>
        <w:rPr>
          <w:rFonts w:ascii="微软雅黑" w:hAnsi="微软雅黑" w:eastAsia="微软雅黑" w:cs="微软雅黑"/>
          <w:spacing w:val="11"/>
          <w:w w:val="121"/>
          <w:sz w:val="16"/>
          <w:szCs w:val="16"/>
        </w:rPr>
        <w:t>年代</w:t>
      </w:r>
      <w:r>
        <w:rPr>
          <w:rFonts w:ascii="微软雅黑" w:hAnsi="微软雅黑" w:eastAsia="微软雅黑" w:cs="微软雅黑"/>
          <w:spacing w:val="-24"/>
          <w:sz w:val="16"/>
          <w:szCs w:val="16"/>
        </w:rPr>
        <w:t xml:space="preserve"> </w:t>
      </w:r>
      <w:r>
        <w:rPr>
          <w:rFonts w:ascii="微软雅黑" w:hAnsi="微软雅黑" w:eastAsia="微软雅黑" w:cs="微软雅黑"/>
          <w:spacing w:val="11"/>
          <w:w w:val="121"/>
          <w:sz w:val="16"/>
          <w:szCs w:val="16"/>
        </w:rPr>
        <w:t>，联合国教科文组织国际教育规</w:t>
      </w:r>
      <w:r>
        <w:rPr>
          <w:rFonts w:ascii="微软雅黑" w:hAnsi="微软雅黑" w:eastAsia="微软雅黑" w:cs="微软雅黑"/>
          <w:spacing w:val="10"/>
          <w:w w:val="121"/>
          <w:sz w:val="16"/>
          <w:szCs w:val="16"/>
        </w:rPr>
        <w:t>划研究所</w:t>
      </w:r>
      <w:r>
        <w:rPr>
          <w:rFonts w:ascii="微软雅黑" w:hAnsi="微软雅黑" w:eastAsia="微软雅黑" w:cs="微软雅黑"/>
          <w:sz w:val="16"/>
          <w:szCs w:val="16"/>
        </w:rPr>
        <w:t xml:space="preserve">  </w:t>
      </w:r>
      <w:r>
        <w:rPr>
          <w:rFonts w:ascii="微软雅黑" w:hAnsi="微软雅黑" w:eastAsia="微软雅黑" w:cs="微软雅黑"/>
          <w:spacing w:val="11"/>
          <w:w w:val="120"/>
          <w:sz w:val="16"/>
          <w:szCs w:val="16"/>
        </w:rPr>
        <w:t>在</w:t>
      </w:r>
      <w:r>
        <w:rPr>
          <w:rFonts w:ascii="微软雅黑" w:hAnsi="微软雅黑" w:eastAsia="微软雅黑" w:cs="微软雅黑"/>
          <w:spacing w:val="34"/>
          <w:sz w:val="16"/>
          <w:szCs w:val="16"/>
        </w:rPr>
        <w:t xml:space="preserve"> </w:t>
      </w:r>
      <w:r>
        <w:rPr>
          <w:rFonts w:ascii="Arial" w:hAnsi="Arial" w:eastAsia="Arial" w:cs="Arial"/>
          <w:spacing w:val="11"/>
          <w:w w:val="120"/>
          <w:sz w:val="16"/>
          <w:szCs w:val="16"/>
        </w:rPr>
        <w:t>1984</w:t>
      </w:r>
      <w:r>
        <w:rPr>
          <w:rFonts w:ascii="微软雅黑" w:hAnsi="微软雅黑" w:eastAsia="微软雅黑" w:cs="微软雅黑"/>
          <w:spacing w:val="11"/>
          <w:w w:val="120"/>
          <w:sz w:val="16"/>
          <w:szCs w:val="16"/>
        </w:rPr>
        <w:t>年的</w:t>
      </w:r>
      <w:r>
        <w:rPr>
          <w:rFonts w:ascii="微软雅黑" w:hAnsi="微软雅黑" w:eastAsia="微软雅黑" w:cs="微软雅黑"/>
          <w:spacing w:val="-27"/>
          <w:sz w:val="16"/>
          <w:szCs w:val="16"/>
        </w:rPr>
        <w:t xml:space="preserve"> </w:t>
      </w:r>
      <w:r>
        <w:rPr>
          <w:rFonts w:ascii="微软雅黑" w:hAnsi="微软雅黑" w:eastAsia="微软雅黑" w:cs="微软雅黑"/>
          <w:spacing w:val="11"/>
          <w:w w:val="120"/>
          <w:sz w:val="16"/>
          <w:szCs w:val="16"/>
        </w:rPr>
        <w:t>一</w:t>
      </w:r>
      <w:r>
        <w:rPr>
          <w:rFonts w:ascii="微软雅黑" w:hAnsi="微软雅黑" w:eastAsia="微软雅黑" w:cs="微软雅黑"/>
          <w:spacing w:val="-27"/>
          <w:sz w:val="16"/>
          <w:szCs w:val="16"/>
        </w:rPr>
        <w:t xml:space="preserve"> </w:t>
      </w:r>
      <w:r>
        <w:rPr>
          <w:rFonts w:ascii="微软雅黑" w:hAnsi="微软雅黑" w:eastAsia="微软雅黑" w:cs="微软雅黑"/>
          <w:spacing w:val="11"/>
          <w:w w:val="120"/>
          <w:sz w:val="16"/>
          <w:szCs w:val="16"/>
        </w:rPr>
        <w:t>份报告中提出教育发展战略的概念</w:t>
      </w:r>
      <w:r>
        <w:rPr>
          <w:rFonts w:ascii="微软雅黑" w:hAnsi="微软雅黑" w:eastAsia="微软雅黑" w:cs="微软雅黑"/>
          <w:spacing w:val="-24"/>
          <w:sz w:val="16"/>
          <w:szCs w:val="16"/>
        </w:rPr>
        <w:t xml:space="preserve"> </w:t>
      </w:r>
      <w:r>
        <w:rPr>
          <w:rFonts w:ascii="微软雅黑" w:hAnsi="微软雅黑" w:eastAsia="微软雅黑" w:cs="微软雅黑"/>
          <w:spacing w:val="11"/>
          <w:w w:val="120"/>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37"/>
          <w:sz w:val="16"/>
          <w:szCs w:val="16"/>
        </w:rPr>
        <w:t>主要是指对教育发展起重大</w:t>
      </w:r>
      <w:r>
        <w:rPr>
          <w:rFonts w:ascii="微软雅黑" w:hAnsi="微软雅黑" w:eastAsia="微软雅黑" w:cs="微软雅黑"/>
          <w:spacing w:val="-10"/>
          <w:sz w:val="16"/>
          <w:szCs w:val="16"/>
        </w:rPr>
        <w:t xml:space="preserve"> </w:t>
      </w:r>
      <w:r>
        <w:rPr>
          <w:rFonts w:ascii="微软雅黑" w:hAnsi="微软雅黑" w:eastAsia="微软雅黑" w:cs="微软雅黑"/>
          <w:spacing w:val="37"/>
          <w:sz w:val="16"/>
          <w:szCs w:val="16"/>
        </w:rPr>
        <w:t>作</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用</w:t>
      </w:r>
      <w:r>
        <w:rPr>
          <w:rFonts w:ascii="微软雅黑" w:hAnsi="微软雅黑" w:eastAsia="微软雅黑" w:cs="微软雅黑"/>
          <w:spacing w:val="-3"/>
          <w:sz w:val="16"/>
          <w:szCs w:val="16"/>
        </w:rPr>
        <w:t xml:space="preserve"> </w:t>
      </w:r>
      <w:r>
        <w:rPr>
          <w:rFonts w:ascii="微软雅黑" w:hAnsi="微软雅黑" w:eastAsia="微软雅黑" w:cs="微软雅黑"/>
          <w:spacing w:val="37"/>
          <w:sz w:val="16"/>
          <w:szCs w:val="16"/>
        </w:rPr>
        <w:t>的</w:t>
      </w:r>
      <w:r>
        <w:rPr>
          <w:rFonts w:ascii="微软雅黑" w:hAnsi="微软雅黑" w:eastAsia="微软雅黑" w:cs="微软雅黑"/>
          <w:spacing w:val="-15"/>
          <w:sz w:val="16"/>
          <w:szCs w:val="16"/>
        </w:rPr>
        <w:t xml:space="preserve"> </w:t>
      </w:r>
      <w:r>
        <w:rPr>
          <w:rFonts w:ascii="微软雅黑" w:hAnsi="微软雅黑" w:eastAsia="微软雅黑" w:cs="微软雅黑"/>
          <w:spacing w:val="37"/>
          <w:sz w:val="16"/>
          <w:szCs w:val="16"/>
        </w:rPr>
        <w:t>长</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远</w:t>
      </w:r>
      <w:r>
        <w:rPr>
          <w:rFonts w:ascii="微软雅黑" w:hAnsi="微软雅黑" w:eastAsia="微软雅黑" w:cs="微软雅黑"/>
          <w:spacing w:val="-20"/>
          <w:sz w:val="16"/>
          <w:szCs w:val="16"/>
        </w:rPr>
        <w:t xml:space="preserve"> </w:t>
      </w:r>
      <w:r>
        <w:rPr>
          <w:rFonts w:ascii="微软雅黑" w:hAnsi="微软雅黑" w:eastAsia="微软雅黑" w:cs="微软雅黑"/>
          <w:spacing w:val="37"/>
          <w:sz w:val="16"/>
          <w:szCs w:val="16"/>
        </w:rPr>
        <w:t>性</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、整</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体</w:t>
      </w:r>
      <w:r>
        <w:rPr>
          <w:rFonts w:ascii="微软雅黑" w:hAnsi="微软雅黑" w:eastAsia="微软雅黑" w:cs="微软雅黑"/>
          <w:spacing w:val="-19"/>
          <w:sz w:val="16"/>
          <w:szCs w:val="16"/>
        </w:rPr>
        <w:t xml:space="preserve"> </w:t>
      </w:r>
      <w:r>
        <w:rPr>
          <w:rFonts w:ascii="微软雅黑" w:hAnsi="微软雅黑" w:eastAsia="微软雅黑" w:cs="微软雅黑"/>
          <w:spacing w:val="37"/>
          <w:sz w:val="16"/>
          <w:szCs w:val="16"/>
        </w:rPr>
        <w:t>性</w:t>
      </w:r>
      <w:r>
        <w:rPr>
          <w:rFonts w:ascii="微软雅黑" w:hAnsi="微软雅黑" w:eastAsia="微软雅黑" w:cs="微软雅黑"/>
          <w:sz w:val="16"/>
          <w:szCs w:val="16"/>
        </w:rPr>
        <w:t xml:space="preserve">  </w:t>
      </w:r>
      <w:r>
        <w:rPr>
          <w:rFonts w:ascii="微软雅黑" w:hAnsi="微软雅黑" w:eastAsia="微软雅黑" w:cs="微软雅黑"/>
          <w:spacing w:val="20"/>
          <w:sz w:val="16"/>
          <w:szCs w:val="16"/>
        </w:rPr>
        <w:t>的决策行为</w:t>
      </w:r>
      <w:r>
        <w:rPr>
          <w:rFonts w:ascii="微软雅黑" w:hAnsi="微软雅黑" w:eastAsia="微软雅黑" w:cs="微软雅黑"/>
          <w:spacing w:val="20"/>
          <w:position w:val="5"/>
          <w:sz w:val="9"/>
          <w:szCs w:val="9"/>
        </w:rPr>
        <w:t>[</w:t>
      </w:r>
      <w:r>
        <w:rPr>
          <w:rFonts w:ascii="Arial" w:hAnsi="Arial" w:eastAsia="Arial" w:cs="Arial"/>
          <w:spacing w:val="20"/>
          <w:position w:val="5"/>
          <w:sz w:val="9"/>
          <w:szCs w:val="9"/>
        </w:rPr>
        <w:t>6</w:t>
      </w:r>
      <w:r>
        <w:rPr>
          <w:rFonts w:ascii="微软雅黑" w:hAnsi="微软雅黑" w:eastAsia="微软雅黑" w:cs="微软雅黑"/>
          <w:spacing w:val="20"/>
          <w:position w:val="5"/>
          <w:sz w:val="9"/>
          <w:szCs w:val="9"/>
        </w:rPr>
        <w:t xml:space="preserve">]  </w:t>
      </w:r>
      <w:r>
        <w:rPr>
          <w:rFonts w:ascii="微软雅黑" w:hAnsi="微软雅黑" w:eastAsia="微软雅黑" w:cs="微软雅黑"/>
          <w:spacing w:val="20"/>
          <w:sz w:val="16"/>
          <w:szCs w:val="16"/>
        </w:rPr>
        <w:t>。 随</w:t>
      </w:r>
      <w:r>
        <w:rPr>
          <w:rFonts w:ascii="微软雅黑" w:hAnsi="微软雅黑" w:eastAsia="微软雅黑" w:cs="微软雅黑"/>
          <w:spacing w:val="-18"/>
          <w:sz w:val="16"/>
          <w:szCs w:val="16"/>
        </w:rPr>
        <w:t xml:space="preserve"> </w:t>
      </w:r>
      <w:r>
        <w:rPr>
          <w:rFonts w:ascii="微软雅黑" w:hAnsi="微软雅黑" w:eastAsia="微软雅黑" w:cs="微软雅黑"/>
          <w:spacing w:val="20"/>
          <w:sz w:val="16"/>
          <w:szCs w:val="16"/>
        </w:rPr>
        <w:t>着</w:t>
      </w:r>
      <w:r>
        <w:rPr>
          <w:rFonts w:ascii="微软雅黑" w:hAnsi="微软雅黑" w:eastAsia="微软雅黑" w:cs="微软雅黑"/>
          <w:spacing w:val="-14"/>
          <w:sz w:val="16"/>
          <w:szCs w:val="16"/>
        </w:rPr>
        <w:t xml:space="preserve"> </w:t>
      </w:r>
      <w:r>
        <w:rPr>
          <w:rFonts w:ascii="微软雅黑" w:hAnsi="微软雅黑" w:eastAsia="微软雅黑" w:cs="微软雅黑"/>
          <w:spacing w:val="20"/>
          <w:sz w:val="16"/>
          <w:szCs w:val="16"/>
        </w:rPr>
        <w:t>我 国</w:t>
      </w:r>
      <w:r>
        <w:rPr>
          <w:rFonts w:ascii="微软雅黑" w:hAnsi="微软雅黑" w:eastAsia="微软雅黑" w:cs="微软雅黑"/>
          <w:spacing w:val="-12"/>
          <w:sz w:val="16"/>
          <w:szCs w:val="16"/>
        </w:rPr>
        <w:t xml:space="preserve"> </w:t>
      </w:r>
      <w:r>
        <w:rPr>
          <w:rFonts w:ascii="微软雅黑" w:hAnsi="微软雅黑" w:eastAsia="微软雅黑" w:cs="微软雅黑"/>
          <w:spacing w:val="20"/>
          <w:sz w:val="16"/>
          <w:szCs w:val="16"/>
        </w:rPr>
        <w:t>高</w:t>
      </w:r>
      <w:r>
        <w:rPr>
          <w:rFonts w:ascii="微软雅黑" w:hAnsi="微软雅黑" w:eastAsia="微软雅黑" w:cs="微软雅黑"/>
          <w:spacing w:val="-14"/>
          <w:sz w:val="16"/>
          <w:szCs w:val="16"/>
        </w:rPr>
        <w:t xml:space="preserve"> </w:t>
      </w:r>
      <w:r>
        <w:rPr>
          <w:rFonts w:ascii="微软雅黑" w:hAnsi="微软雅黑" w:eastAsia="微软雅黑" w:cs="微软雅黑"/>
          <w:spacing w:val="20"/>
          <w:sz w:val="16"/>
          <w:szCs w:val="16"/>
        </w:rPr>
        <w:t>等</w:t>
      </w:r>
      <w:r>
        <w:rPr>
          <w:rFonts w:ascii="微软雅黑" w:hAnsi="微软雅黑" w:eastAsia="微软雅黑" w:cs="微软雅黑"/>
          <w:spacing w:val="-16"/>
          <w:sz w:val="16"/>
          <w:szCs w:val="16"/>
        </w:rPr>
        <w:t xml:space="preserve"> </w:t>
      </w:r>
      <w:r>
        <w:rPr>
          <w:rFonts w:ascii="微软雅黑" w:hAnsi="微软雅黑" w:eastAsia="微软雅黑" w:cs="微软雅黑"/>
          <w:spacing w:val="20"/>
          <w:sz w:val="16"/>
          <w:szCs w:val="16"/>
        </w:rPr>
        <w:t>教</w:t>
      </w:r>
      <w:r>
        <w:rPr>
          <w:rFonts w:ascii="微软雅黑" w:hAnsi="微软雅黑" w:eastAsia="微软雅黑" w:cs="微软雅黑"/>
          <w:spacing w:val="-14"/>
          <w:sz w:val="16"/>
          <w:szCs w:val="16"/>
        </w:rPr>
        <w:t xml:space="preserve"> </w:t>
      </w:r>
      <w:r>
        <w:rPr>
          <w:rFonts w:ascii="微软雅黑" w:hAnsi="微软雅黑" w:eastAsia="微软雅黑" w:cs="微软雅黑"/>
          <w:spacing w:val="20"/>
          <w:sz w:val="16"/>
          <w:szCs w:val="16"/>
        </w:rPr>
        <w:t>育 的</w:t>
      </w:r>
      <w:r>
        <w:rPr>
          <w:rFonts w:ascii="微软雅黑" w:hAnsi="微软雅黑" w:eastAsia="微软雅黑" w:cs="微软雅黑"/>
          <w:spacing w:val="-15"/>
          <w:sz w:val="16"/>
          <w:szCs w:val="16"/>
        </w:rPr>
        <w:t xml:space="preserve"> </w:t>
      </w:r>
      <w:r>
        <w:rPr>
          <w:rFonts w:ascii="微软雅黑" w:hAnsi="微软雅黑" w:eastAsia="微软雅黑" w:cs="微软雅黑"/>
          <w:spacing w:val="19"/>
          <w:sz w:val="16"/>
          <w:szCs w:val="16"/>
        </w:rPr>
        <w:t>发</w:t>
      </w:r>
      <w:r>
        <w:rPr>
          <w:rFonts w:ascii="微软雅黑" w:hAnsi="微软雅黑" w:eastAsia="微软雅黑" w:cs="微软雅黑"/>
          <w:spacing w:val="-16"/>
          <w:sz w:val="16"/>
          <w:szCs w:val="16"/>
        </w:rPr>
        <w:t xml:space="preserve"> </w:t>
      </w:r>
      <w:r>
        <w:rPr>
          <w:rFonts w:ascii="微软雅黑" w:hAnsi="微软雅黑" w:eastAsia="微软雅黑" w:cs="微软雅黑"/>
          <w:spacing w:val="19"/>
          <w:sz w:val="16"/>
          <w:szCs w:val="16"/>
        </w:rPr>
        <w:t>展</w:t>
      </w:r>
      <w:r>
        <w:rPr>
          <w:rFonts w:ascii="微软雅黑" w:hAnsi="微软雅黑" w:eastAsia="微软雅黑" w:cs="微软雅黑"/>
          <w:spacing w:val="-24"/>
          <w:sz w:val="16"/>
          <w:szCs w:val="16"/>
        </w:rPr>
        <w:t xml:space="preserve"> </w:t>
      </w:r>
      <w:r>
        <w:rPr>
          <w:rFonts w:ascii="微软雅黑" w:hAnsi="微软雅黑" w:eastAsia="微软雅黑" w:cs="微软雅黑"/>
          <w:spacing w:val="19"/>
          <w:sz w:val="16"/>
          <w:szCs w:val="16"/>
        </w:rPr>
        <w:t>，国 内</w:t>
      </w:r>
      <w:r>
        <w:rPr>
          <w:rFonts w:ascii="微软雅黑" w:hAnsi="微软雅黑" w:eastAsia="微软雅黑" w:cs="微软雅黑"/>
          <w:spacing w:val="-15"/>
          <w:sz w:val="16"/>
          <w:szCs w:val="16"/>
        </w:rPr>
        <w:t xml:space="preserve"> </w:t>
      </w:r>
      <w:r>
        <w:rPr>
          <w:rFonts w:ascii="微软雅黑" w:hAnsi="微软雅黑" w:eastAsia="微软雅黑" w:cs="微软雅黑"/>
          <w:spacing w:val="19"/>
          <w:sz w:val="16"/>
          <w:szCs w:val="16"/>
        </w:rPr>
        <w:t>学</w:t>
      </w:r>
      <w:r>
        <w:rPr>
          <w:rFonts w:ascii="微软雅黑" w:hAnsi="微软雅黑" w:eastAsia="微软雅黑" w:cs="微软雅黑"/>
          <w:sz w:val="16"/>
          <w:szCs w:val="16"/>
        </w:rPr>
        <w:t xml:space="preserve">  </w:t>
      </w:r>
      <w:r>
        <w:rPr>
          <w:rFonts w:ascii="微软雅黑" w:hAnsi="微软雅黑" w:eastAsia="微软雅黑" w:cs="微软雅黑"/>
          <w:spacing w:val="8"/>
          <w:w w:val="126"/>
          <w:sz w:val="16"/>
          <w:szCs w:val="16"/>
        </w:rPr>
        <w:t>者结合研究与实践经验从不同角度对高校战略规划</w:t>
      </w:r>
      <w:r>
        <w:rPr>
          <w:rFonts w:ascii="微软雅黑" w:hAnsi="微软雅黑" w:eastAsia="微软雅黑" w:cs="微软雅黑"/>
          <w:spacing w:val="5"/>
          <w:sz w:val="16"/>
          <w:szCs w:val="16"/>
        </w:rPr>
        <w:t xml:space="preserve">  </w:t>
      </w:r>
      <w:r>
        <w:rPr>
          <w:rFonts w:ascii="微软雅黑" w:hAnsi="微软雅黑" w:eastAsia="微软雅黑" w:cs="微软雅黑"/>
          <w:spacing w:val="27"/>
          <w:sz w:val="16"/>
          <w:szCs w:val="16"/>
        </w:rPr>
        <w:t>内涵进行了界定</w:t>
      </w:r>
      <w:r>
        <w:rPr>
          <w:rFonts w:ascii="微软雅黑" w:hAnsi="微软雅黑" w:eastAsia="微软雅黑" w:cs="微软雅黑"/>
          <w:spacing w:val="10"/>
          <w:sz w:val="16"/>
          <w:szCs w:val="16"/>
        </w:rPr>
        <w:t xml:space="preserve"> </w:t>
      </w:r>
      <w:r>
        <w:rPr>
          <w:rFonts w:ascii="微软雅黑" w:hAnsi="微软雅黑" w:eastAsia="微软雅黑" w:cs="微软雅黑"/>
          <w:spacing w:val="27"/>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27"/>
          <w:sz w:val="16"/>
          <w:szCs w:val="16"/>
        </w:rPr>
        <w:t>例</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如</w:t>
      </w:r>
      <w:r>
        <w:rPr>
          <w:rFonts w:ascii="微软雅黑" w:hAnsi="微软雅黑" w:eastAsia="微软雅黑" w:cs="微软雅黑"/>
          <w:spacing w:val="-24"/>
          <w:sz w:val="16"/>
          <w:szCs w:val="16"/>
        </w:rPr>
        <w:t xml:space="preserve"> </w:t>
      </w:r>
      <w:r>
        <w:rPr>
          <w:rFonts w:ascii="微软雅黑" w:hAnsi="微软雅黑" w:eastAsia="微软雅黑" w:cs="微软雅黑"/>
          <w:spacing w:val="27"/>
          <w:sz w:val="16"/>
          <w:szCs w:val="16"/>
        </w:rPr>
        <w:t>，有</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学</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者</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提</w:t>
      </w:r>
      <w:r>
        <w:rPr>
          <w:rFonts w:ascii="微软雅黑" w:hAnsi="微软雅黑" w:eastAsia="微软雅黑" w:cs="微软雅黑"/>
          <w:spacing w:val="-4"/>
          <w:sz w:val="16"/>
          <w:szCs w:val="16"/>
        </w:rPr>
        <w:t xml:space="preserve"> </w:t>
      </w:r>
      <w:r>
        <w:rPr>
          <w:rFonts w:ascii="微软雅黑" w:hAnsi="微软雅黑" w:eastAsia="微软雅黑" w:cs="微软雅黑"/>
          <w:spacing w:val="27"/>
          <w:sz w:val="16"/>
          <w:szCs w:val="16"/>
        </w:rPr>
        <w:t>出</w:t>
      </w:r>
      <w:r>
        <w:rPr>
          <w:rFonts w:ascii="微软雅黑" w:hAnsi="微软雅黑" w:eastAsia="微软雅黑" w:cs="微软雅黑"/>
          <w:spacing w:val="-14"/>
          <w:sz w:val="16"/>
          <w:szCs w:val="16"/>
        </w:rPr>
        <w:t xml:space="preserve"> </w:t>
      </w:r>
      <w:r>
        <w:rPr>
          <w:rFonts w:ascii="微软雅黑" w:hAnsi="微软雅黑" w:eastAsia="微软雅黑" w:cs="微软雅黑"/>
          <w:spacing w:val="27"/>
          <w:sz w:val="16"/>
          <w:szCs w:val="16"/>
        </w:rPr>
        <w:t>大</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学</w:t>
      </w:r>
      <w:r>
        <w:rPr>
          <w:rFonts w:ascii="微软雅黑" w:hAnsi="微软雅黑" w:eastAsia="微软雅黑" w:cs="微软雅黑"/>
          <w:spacing w:val="-3"/>
          <w:sz w:val="16"/>
          <w:szCs w:val="16"/>
        </w:rPr>
        <w:t xml:space="preserve"> </w:t>
      </w:r>
      <w:r>
        <w:rPr>
          <w:rFonts w:ascii="微软雅黑" w:hAnsi="微软雅黑" w:eastAsia="微软雅黑" w:cs="微软雅黑"/>
          <w:spacing w:val="27"/>
          <w:sz w:val="16"/>
          <w:szCs w:val="16"/>
        </w:rPr>
        <w:t>的</w:t>
      </w:r>
      <w:r>
        <w:rPr>
          <w:rFonts w:ascii="微软雅黑" w:hAnsi="微软雅黑" w:eastAsia="微软雅黑" w:cs="微软雅黑"/>
          <w:spacing w:val="-7"/>
          <w:sz w:val="16"/>
          <w:szCs w:val="16"/>
        </w:rPr>
        <w:t xml:space="preserve"> </w:t>
      </w:r>
      <w:r>
        <w:rPr>
          <w:rFonts w:ascii="微软雅黑" w:hAnsi="微软雅黑" w:eastAsia="微软雅黑" w:cs="微软雅黑"/>
          <w:spacing w:val="27"/>
          <w:sz w:val="16"/>
          <w:szCs w:val="16"/>
        </w:rPr>
        <w:t>战</w:t>
      </w:r>
      <w:r>
        <w:rPr>
          <w:rFonts w:ascii="微软雅黑" w:hAnsi="微软雅黑" w:eastAsia="微软雅黑" w:cs="微软雅黑"/>
          <w:spacing w:val="-9"/>
          <w:sz w:val="16"/>
          <w:szCs w:val="16"/>
        </w:rPr>
        <w:t xml:space="preserve"> </w:t>
      </w:r>
      <w:r>
        <w:rPr>
          <w:rFonts w:ascii="微软雅黑" w:hAnsi="微软雅黑" w:eastAsia="微软雅黑" w:cs="微软雅黑"/>
          <w:spacing w:val="27"/>
          <w:sz w:val="16"/>
          <w:szCs w:val="16"/>
        </w:rPr>
        <w:t>略</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规</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划即大学的行动纲领</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，它是将</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办</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学</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理</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念</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转</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化</w:t>
      </w:r>
      <w:r>
        <w:rPr>
          <w:rFonts w:ascii="微软雅黑" w:hAnsi="微软雅黑" w:eastAsia="微软雅黑" w:cs="微软雅黑"/>
          <w:spacing w:val="-13"/>
          <w:sz w:val="16"/>
          <w:szCs w:val="16"/>
        </w:rPr>
        <w:t xml:space="preserve"> </w:t>
      </w:r>
      <w:r>
        <w:rPr>
          <w:rFonts w:ascii="微软雅黑" w:hAnsi="微软雅黑" w:eastAsia="微软雅黑" w:cs="微软雅黑"/>
          <w:spacing w:val="36"/>
          <w:sz w:val="16"/>
          <w:szCs w:val="16"/>
        </w:rPr>
        <w:t>为</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办</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学</w:t>
      </w:r>
      <w:r>
        <w:rPr>
          <w:rFonts w:ascii="微软雅黑" w:hAnsi="微软雅黑" w:eastAsia="微软雅黑" w:cs="微软雅黑"/>
          <w:sz w:val="16"/>
          <w:szCs w:val="16"/>
        </w:rPr>
        <w:t xml:space="preserve">  </w:t>
      </w:r>
      <w:r>
        <w:rPr>
          <w:rFonts w:ascii="微软雅黑" w:hAnsi="微软雅黑" w:eastAsia="微软雅黑" w:cs="微软雅黑"/>
          <w:spacing w:val="28"/>
          <w:sz w:val="16"/>
          <w:szCs w:val="16"/>
        </w:rPr>
        <w:t>实践</w:t>
      </w:r>
      <w:r>
        <w:rPr>
          <w:rFonts w:ascii="微软雅黑" w:hAnsi="微软雅黑" w:eastAsia="微软雅黑" w:cs="微软雅黑"/>
          <w:spacing w:val="-24"/>
          <w:sz w:val="16"/>
          <w:szCs w:val="16"/>
        </w:rPr>
        <w:t xml:space="preserve"> </w:t>
      </w:r>
      <w:r>
        <w:rPr>
          <w:rFonts w:ascii="微软雅黑" w:hAnsi="微软雅黑" w:eastAsia="微软雅黑" w:cs="微软雅黑"/>
          <w:spacing w:val="28"/>
          <w:sz w:val="16"/>
          <w:szCs w:val="16"/>
        </w:rPr>
        <w:t>，从而推动自身</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发</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展</w:t>
      </w:r>
      <w:r>
        <w:rPr>
          <w:rFonts w:ascii="微软雅黑" w:hAnsi="微软雅黑" w:eastAsia="微软雅黑" w:cs="微软雅黑"/>
          <w:spacing w:val="-3"/>
          <w:sz w:val="16"/>
          <w:szCs w:val="16"/>
        </w:rPr>
        <w:t xml:space="preserve"> </w:t>
      </w:r>
      <w:r>
        <w:rPr>
          <w:rFonts w:ascii="微软雅黑" w:hAnsi="微软雅黑" w:eastAsia="微软雅黑" w:cs="微软雅黑"/>
          <w:spacing w:val="28"/>
          <w:sz w:val="16"/>
          <w:szCs w:val="16"/>
        </w:rPr>
        <w:t>的</w:t>
      </w:r>
      <w:r>
        <w:rPr>
          <w:rFonts w:ascii="微软雅黑" w:hAnsi="微软雅黑" w:eastAsia="微软雅黑" w:cs="微软雅黑"/>
          <w:spacing w:val="-15"/>
          <w:sz w:val="16"/>
          <w:szCs w:val="16"/>
        </w:rPr>
        <w:t xml:space="preserve"> </w:t>
      </w:r>
      <w:r>
        <w:rPr>
          <w:rFonts w:ascii="微软雅黑" w:hAnsi="微软雅黑" w:eastAsia="微软雅黑" w:cs="微软雅黑"/>
          <w:spacing w:val="28"/>
          <w:sz w:val="16"/>
          <w:szCs w:val="16"/>
        </w:rPr>
        <w:t>纲</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领</w:t>
      </w:r>
      <w:r>
        <w:rPr>
          <w:rFonts w:ascii="微软雅黑" w:hAnsi="微软雅黑" w:eastAsia="微软雅黑" w:cs="微软雅黑"/>
          <w:spacing w:val="-19"/>
          <w:sz w:val="16"/>
          <w:szCs w:val="16"/>
        </w:rPr>
        <w:t xml:space="preserve"> </w:t>
      </w:r>
      <w:r>
        <w:rPr>
          <w:rFonts w:ascii="微软雅黑" w:hAnsi="微软雅黑" w:eastAsia="微软雅黑" w:cs="微软雅黑"/>
          <w:spacing w:val="28"/>
          <w:sz w:val="16"/>
          <w:szCs w:val="16"/>
        </w:rPr>
        <w:t>性</w:t>
      </w:r>
      <w:r>
        <w:rPr>
          <w:rFonts w:ascii="微软雅黑" w:hAnsi="微软雅黑" w:eastAsia="微软雅黑" w:cs="微软雅黑"/>
          <w:spacing w:val="-16"/>
          <w:sz w:val="16"/>
          <w:szCs w:val="16"/>
        </w:rPr>
        <w:t xml:space="preserve"> </w:t>
      </w:r>
      <w:r>
        <w:rPr>
          <w:rFonts w:ascii="微软雅黑" w:hAnsi="微软雅黑" w:eastAsia="微软雅黑" w:cs="微软雅黑"/>
          <w:spacing w:val="28"/>
          <w:sz w:val="16"/>
          <w:szCs w:val="16"/>
        </w:rPr>
        <w:t>文</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件</w:t>
      </w:r>
      <w:r>
        <w:rPr>
          <w:rFonts w:ascii="微软雅黑" w:hAnsi="微软雅黑" w:eastAsia="微软雅黑" w:cs="微软雅黑"/>
          <w:spacing w:val="-5"/>
          <w:sz w:val="16"/>
          <w:szCs w:val="16"/>
        </w:rPr>
        <w:t xml:space="preserve"> </w:t>
      </w:r>
      <w:r>
        <w:rPr>
          <w:rFonts w:ascii="微软雅黑" w:hAnsi="微软雅黑" w:eastAsia="微软雅黑" w:cs="微软雅黑"/>
          <w:spacing w:val="28"/>
          <w:sz w:val="16"/>
          <w:szCs w:val="16"/>
        </w:rPr>
        <w:t xml:space="preserve">。 </w:t>
      </w:r>
      <w:r>
        <w:rPr>
          <w:rFonts w:ascii="微软雅黑" w:hAnsi="微软雅黑" w:eastAsia="微软雅黑" w:cs="微软雅黑"/>
          <w:spacing w:val="27"/>
          <w:sz w:val="16"/>
          <w:szCs w:val="16"/>
        </w:rPr>
        <w:t>围</w:t>
      </w:r>
      <w:r>
        <w:rPr>
          <w:rFonts w:ascii="微软雅黑" w:hAnsi="微软雅黑" w:eastAsia="微软雅黑" w:cs="微软雅黑"/>
          <w:spacing w:val="-18"/>
          <w:sz w:val="16"/>
          <w:szCs w:val="16"/>
        </w:rPr>
        <w:t xml:space="preserve"> </w:t>
      </w:r>
      <w:r>
        <w:rPr>
          <w:rFonts w:ascii="微软雅黑" w:hAnsi="微软雅黑" w:eastAsia="微软雅黑" w:cs="微软雅黑"/>
          <w:spacing w:val="27"/>
          <w:sz w:val="16"/>
          <w:szCs w:val="16"/>
        </w:rPr>
        <w:t>绕</w:t>
      </w:r>
      <w:r>
        <w:rPr>
          <w:rFonts w:ascii="微软雅黑" w:hAnsi="微软雅黑" w:eastAsia="微软雅黑" w:cs="微软雅黑"/>
          <w:spacing w:val="-14"/>
          <w:sz w:val="16"/>
          <w:szCs w:val="16"/>
        </w:rPr>
        <w:t xml:space="preserve"> </w:t>
      </w:r>
      <w:r>
        <w:rPr>
          <w:rFonts w:ascii="微软雅黑" w:hAnsi="微软雅黑" w:eastAsia="微软雅黑" w:cs="微软雅黑"/>
          <w:spacing w:val="27"/>
          <w:sz w:val="16"/>
          <w:szCs w:val="16"/>
        </w:rPr>
        <w:t>大</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学</w:t>
      </w:r>
      <w:r>
        <w:rPr>
          <w:rFonts w:ascii="微软雅黑" w:hAnsi="微软雅黑" w:eastAsia="微软雅黑" w:cs="微软雅黑"/>
          <w:sz w:val="16"/>
          <w:szCs w:val="16"/>
        </w:rPr>
        <w:t xml:space="preserve">  </w:t>
      </w:r>
      <w:r>
        <w:rPr>
          <w:rFonts w:ascii="微软雅黑" w:hAnsi="微软雅黑" w:eastAsia="微软雅黑" w:cs="微软雅黑"/>
          <w:spacing w:val="32"/>
          <w:sz w:val="16"/>
          <w:szCs w:val="16"/>
        </w:rPr>
        <w:t>组织的发展这</w:t>
      </w:r>
      <w:r>
        <w:rPr>
          <w:rFonts w:ascii="微软雅黑" w:hAnsi="微软雅黑" w:eastAsia="微软雅黑" w:cs="微软雅黑"/>
          <w:spacing w:val="-6"/>
          <w:sz w:val="16"/>
          <w:szCs w:val="16"/>
        </w:rPr>
        <w:t xml:space="preserve"> </w:t>
      </w:r>
      <w:r>
        <w:rPr>
          <w:rFonts w:ascii="微软雅黑" w:hAnsi="微软雅黑" w:eastAsia="微软雅黑" w:cs="微软雅黑"/>
          <w:spacing w:val="32"/>
          <w:sz w:val="16"/>
          <w:szCs w:val="16"/>
        </w:rPr>
        <w:t>一</w:t>
      </w:r>
      <w:r>
        <w:rPr>
          <w:rFonts w:ascii="微软雅黑" w:hAnsi="微软雅黑" w:eastAsia="微软雅黑" w:cs="微软雅黑"/>
          <w:spacing w:val="-12"/>
          <w:sz w:val="16"/>
          <w:szCs w:val="16"/>
        </w:rPr>
        <w:t xml:space="preserve"> </w:t>
      </w:r>
      <w:r>
        <w:rPr>
          <w:rFonts w:ascii="微软雅黑" w:hAnsi="微软雅黑" w:eastAsia="微软雅黑" w:cs="微软雅黑"/>
          <w:spacing w:val="32"/>
          <w:sz w:val="16"/>
          <w:szCs w:val="16"/>
        </w:rPr>
        <w:t>主线</w:t>
      </w:r>
      <w:r>
        <w:rPr>
          <w:rFonts w:ascii="微软雅黑" w:hAnsi="微软雅黑" w:eastAsia="微软雅黑" w:cs="微软雅黑"/>
          <w:spacing w:val="-24"/>
          <w:sz w:val="16"/>
          <w:szCs w:val="16"/>
        </w:rPr>
        <w:t xml:space="preserve"> </w:t>
      </w:r>
      <w:r>
        <w:rPr>
          <w:rFonts w:ascii="微软雅黑" w:hAnsi="微软雅黑" w:eastAsia="微软雅黑" w:cs="微软雅黑"/>
          <w:spacing w:val="32"/>
          <w:sz w:val="16"/>
          <w:szCs w:val="16"/>
        </w:rPr>
        <w:t>，大学战</w:t>
      </w:r>
      <w:r>
        <w:rPr>
          <w:rFonts w:ascii="微软雅黑" w:hAnsi="微软雅黑" w:eastAsia="微软雅黑" w:cs="微软雅黑"/>
          <w:spacing w:val="-9"/>
          <w:sz w:val="16"/>
          <w:szCs w:val="16"/>
        </w:rPr>
        <w:t xml:space="preserve"> </w:t>
      </w:r>
      <w:r>
        <w:rPr>
          <w:rFonts w:ascii="微软雅黑" w:hAnsi="微软雅黑" w:eastAsia="微软雅黑" w:cs="微软雅黑"/>
          <w:spacing w:val="32"/>
          <w:sz w:val="16"/>
          <w:szCs w:val="16"/>
        </w:rPr>
        <w:t>略</w:t>
      </w:r>
      <w:r>
        <w:rPr>
          <w:rFonts w:ascii="微软雅黑" w:hAnsi="微软雅黑" w:eastAsia="微软雅黑" w:cs="微软雅黑"/>
          <w:spacing w:val="-17"/>
          <w:sz w:val="16"/>
          <w:szCs w:val="16"/>
        </w:rPr>
        <w:t xml:space="preserve"> </w:t>
      </w:r>
      <w:r>
        <w:rPr>
          <w:rFonts w:ascii="微软雅黑" w:hAnsi="微软雅黑" w:eastAsia="微软雅黑" w:cs="微软雅黑"/>
          <w:spacing w:val="32"/>
          <w:sz w:val="16"/>
          <w:szCs w:val="16"/>
        </w:rPr>
        <w:t>规</w:t>
      </w:r>
      <w:r>
        <w:rPr>
          <w:rFonts w:ascii="微软雅黑" w:hAnsi="微软雅黑" w:eastAsia="微软雅黑" w:cs="微软雅黑"/>
          <w:spacing w:val="-19"/>
          <w:sz w:val="16"/>
          <w:szCs w:val="16"/>
        </w:rPr>
        <w:t xml:space="preserve"> </w:t>
      </w:r>
      <w:r>
        <w:rPr>
          <w:rFonts w:ascii="微软雅黑" w:hAnsi="微软雅黑" w:eastAsia="微软雅黑" w:cs="微软雅黑"/>
          <w:spacing w:val="32"/>
          <w:sz w:val="16"/>
          <w:szCs w:val="16"/>
        </w:rPr>
        <w:t>划</w:t>
      </w:r>
      <w:r>
        <w:rPr>
          <w:rFonts w:ascii="微软雅黑" w:hAnsi="微软雅黑" w:eastAsia="微软雅黑" w:cs="微软雅黑"/>
          <w:spacing w:val="-15"/>
          <w:sz w:val="16"/>
          <w:szCs w:val="16"/>
        </w:rPr>
        <w:t xml:space="preserve"> </w:t>
      </w:r>
      <w:r>
        <w:rPr>
          <w:rFonts w:ascii="微软雅黑" w:hAnsi="微软雅黑" w:eastAsia="微软雅黑" w:cs="微软雅黑"/>
          <w:spacing w:val="32"/>
          <w:sz w:val="16"/>
          <w:szCs w:val="16"/>
        </w:rPr>
        <w:t>可</w:t>
      </w:r>
      <w:r>
        <w:rPr>
          <w:rFonts w:ascii="微软雅黑" w:hAnsi="微软雅黑" w:eastAsia="微软雅黑" w:cs="微软雅黑"/>
          <w:spacing w:val="-2"/>
          <w:sz w:val="16"/>
          <w:szCs w:val="16"/>
        </w:rPr>
        <w:t xml:space="preserve"> </w:t>
      </w:r>
      <w:r>
        <w:rPr>
          <w:rFonts w:ascii="微软雅黑" w:hAnsi="微软雅黑" w:eastAsia="微软雅黑" w:cs="微软雅黑"/>
          <w:spacing w:val="32"/>
          <w:sz w:val="16"/>
          <w:szCs w:val="16"/>
        </w:rPr>
        <w:t>以</w:t>
      </w:r>
      <w:r>
        <w:rPr>
          <w:rFonts w:ascii="微软雅黑" w:hAnsi="微软雅黑" w:eastAsia="微软雅黑" w:cs="微软雅黑"/>
          <w:spacing w:val="-19"/>
          <w:sz w:val="16"/>
          <w:szCs w:val="16"/>
        </w:rPr>
        <w:t xml:space="preserve"> </w:t>
      </w:r>
      <w:r>
        <w:rPr>
          <w:rFonts w:ascii="微软雅黑" w:hAnsi="微软雅黑" w:eastAsia="微软雅黑" w:cs="微软雅黑"/>
          <w:spacing w:val="32"/>
          <w:sz w:val="16"/>
          <w:szCs w:val="16"/>
        </w:rPr>
        <w:t>划</w:t>
      </w:r>
      <w:r>
        <w:rPr>
          <w:rFonts w:ascii="微软雅黑" w:hAnsi="微软雅黑" w:eastAsia="微软雅黑" w:cs="微软雅黑"/>
          <w:spacing w:val="-17"/>
          <w:sz w:val="16"/>
          <w:szCs w:val="16"/>
        </w:rPr>
        <w:t xml:space="preserve"> </w:t>
      </w:r>
      <w:r>
        <w:rPr>
          <w:rFonts w:ascii="微软雅黑" w:hAnsi="微软雅黑" w:eastAsia="微软雅黑" w:cs="微软雅黑"/>
          <w:spacing w:val="32"/>
          <w:sz w:val="16"/>
          <w:szCs w:val="16"/>
        </w:rPr>
        <w:t>分</w:t>
      </w:r>
      <w:r>
        <w:rPr>
          <w:rFonts w:ascii="微软雅黑" w:hAnsi="微软雅黑" w:eastAsia="微软雅黑" w:cs="微软雅黑"/>
          <w:spacing w:val="-14"/>
          <w:sz w:val="16"/>
          <w:szCs w:val="16"/>
        </w:rPr>
        <w:t xml:space="preserve"> </w:t>
      </w:r>
      <w:r>
        <w:rPr>
          <w:rFonts w:ascii="微软雅黑" w:hAnsi="微软雅黑" w:eastAsia="微软雅黑" w:cs="微软雅黑"/>
          <w:spacing w:val="32"/>
          <w:sz w:val="16"/>
          <w:szCs w:val="16"/>
        </w:rPr>
        <w:t>为</w:t>
      </w:r>
      <w:r>
        <w:rPr>
          <w:rFonts w:ascii="微软雅黑" w:hAnsi="微软雅黑" w:eastAsia="微软雅黑" w:cs="微软雅黑"/>
          <w:spacing w:val="-16"/>
          <w:sz w:val="16"/>
          <w:szCs w:val="16"/>
        </w:rPr>
        <w:t xml:space="preserve"> </w:t>
      </w:r>
      <w:r>
        <w:rPr>
          <w:rFonts w:ascii="微软雅黑" w:hAnsi="微软雅黑" w:eastAsia="微软雅黑" w:cs="微软雅黑"/>
          <w:spacing w:val="32"/>
          <w:sz w:val="16"/>
          <w:szCs w:val="16"/>
        </w:rPr>
        <w:t>发</w:t>
      </w:r>
      <w:r>
        <w:rPr>
          <w:rFonts w:ascii="微软雅黑" w:hAnsi="微软雅黑" w:eastAsia="微软雅黑" w:cs="微软雅黑"/>
          <w:sz w:val="16"/>
          <w:szCs w:val="16"/>
        </w:rPr>
        <w:t xml:space="preserve">  </w:t>
      </w:r>
      <w:r>
        <w:rPr>
          <w:rFonts w:ascii="微软雅黑" w:hAnsi="微软雅黑" w:eastAsia="微软雅黑" w:cs="微软雅黑"/>
          <w:spacing w:val="31"/>
          <w:sz w:val="16"/>
          <w:szCs w:val="16"/>
        </w:rPr>
        <w:t>展环境</w:t>
      </w:r>
      <w:r>
        <w:rPr>
          <w:rFonts w:ascii="微软雅黑" w:hAnsi="微软雅黑" w:eastAsia="微软雅黑" w:cs="微软雅黑"/>
          <w:spacing w:val="-16"/>
          <w:sz w:val="16"/>
          <w:szCs w:val="16"/>
        </w:rPr>
        <w:t xml:space="preserve"> </w:t>
      </w:r>
      <w:r>
        <w:rPr>
          <w:rFonts w:ascii="微软雅黑" w:hAnsi="微软雅黑" w:eastAsia="微软雅黑" w:cs="微软雅黑"/>
          <w:spacing w:val="31"/>
          <w:sz w:val="16"/>
          <w:szCs w:val="16"/>
        </w:rPr>
        <w:t>、发展目标</w:t>
      </w:r>
      <w:r>
        <w:rPr>
          <w:rFonts w:ascii="微软雅黑" w:hAnsi="微软雅黑" w:eastAsia="微软雅黑" w:cs="微软雅黑"/>
          <w:spacing w:val="-17"/>
          <w:sz w:val="16"/>
          <w:szCs w:val="16"/>
        </w:rPr>
        <w:t xml:space="preserve"> </w:t>
      </w:r>
      <w:r>
        <w:rPr>
          <w:rFonts w:ascii="微软雅黑" w:hAnsi="微软雅黑" w:eastAsia="微软雅黑" w:cs="微软雅黑"/>
          <w:spacing w:val="31"/>
          <w:sz w:val="16"/>
          <w:szCs w:val="16"/>
        </w:rPr>
        <w:t>、发展要素和发展保障</w:t>
      </w:r>
      <w:r>
        <w:rPr>
          <w:rFonts w:ascii="微软雅黑" w:hAnsi="微软雅黑" w:eastAsia="微软雅黑" w:cs="微软雅黑"/>
          <w:spacing w:val="31"/>
          <w:position w:val="5"/>
          <w:sz w:val="9"/>
          <w:szCs w:val="9"/>
        </w:rPr>
        <w:t>[</w:t>
      </w:r>
      <w:r>
        <w:rPr>
          <w:rFonts w:ascii="Arial" w:hAnsi="Arial" w:eastAsia="Arial" w:cs="Arial"/>
          <w:spacing w:val="31"/>
          <w:position w:val="5"/>
          <w:sz w:val="9"/>
          <w:szCs w:val="9"/>
        </w:rPr>
        <w:t>7</w:t>
      </w:r>
      <w:r>
        <w:rPr>
          <w:rFonts w:ascii="微软雅黑" w:hAnsi="微软雅黑" w:eastAsia="微软雅黑" w:cs="微软雅黑"/>
          <w:spacing w:val="31"/>
          <w:position w:val="5"/>
          <w:sz w:val="9"/>
          <w:szCs w:val="9"/>
        </w:rPr>
        <w:t xml:space="preserve">]  </w:t>
      </w:r>
      <w:r>
        <w:rPr>
          <w:rFonts w:ascii="微软雅黑" w:hAnsi="微软雅黑" w:eastAsia="微软雅黑" w:cs="微软雅黑"/>
          <w:spacing w:val="31"/>
          <w:sz w:val="16"/>
          <w:szCs w:val="16"/>
        </w:rPr>
        <w:t>。</w:t>
      </w:r>
      <w:r>
        <w:rPr>
          <w:rFonts w:ascii="微软雅黑" w:hAnsi="微软雅黑" w:eastAsia="微软雅黑" w:cs="微软雅黑"/>
          <w:spacing w:val="-8"/>
          <w:sz w:val="16"/>
          <w:szCs w:val="16"/>
        </w:rPr>
        <w:t xml:space="preserve"> </w:t>
      </w:r>
      <w:r>
        <w:rPr>
          <w:rFonts w:ascii="微软雅黑" w:hAnsi="微软雅黑" w:eastAsia="微软雅黑" w:cs="微软雅黑"/>
          <w:spacing w:val="31"/>
          <w:sz w:val="16"/>
          <w:szCs w:val="16"/>
        </w:rPr>
        <w:t>在针对</w:t>
      </w:r>
      <w:r>
        <w:rPr>
          <w:rFonts w:ascii="微软雅黑" w:hAnsi="微软雅黑" w:eastAsia="微软雅黑" w:cs="微软雅黑"/>
          <w:sz w:val="16"/>
          <w:szCs w:val="16"/>
        </w:rPr>
        <w:t xml:space="preserve">  </w:t>
      </w:r>
      <w:r>
        <w:rPr>
          <w:rFonts w:ascii="微软雅黑" w:hAnsi="微软雅黑" w:eastAsia="微软雅黑" w:cs="微软雅黑"/>
          <w:spacing w:val="34"/>
          <w:sz w:val="16"/>
          <w:szCs w:val="16"/>
        </w:rPr>
        <w:t>世界</w:t>
      </w:r>
      <w:r>
        <w:rPr>
          <w:rFonts w:ascii="微软雅黑" w:hAnsi="微软雅黑" w:eastAsia="微软雅黑" w:cs="微软雅黑"/>
          <w:spacing w:val="-22"/>
          <w:sz w:val="16"/>
          <w:szCs w:val="16"/>
        </w:rPr>
        <w:t xml:space="preserve"> </w:t>
      </w:r>
      <w:r>
        <w:rPr>
          <w:rFonts w:ascii="微软雅黑" w:hAnsi="微软雅黑" w:eastAsia="微软雅黑" w:cs="微软雅黑"/>
          <w:spacing w:val="34"/>
          <w:sz w:val="16"/>
          <w:szCs w:val="16"/>
        </w:rPr>
        <w:t>一</w:t>
      </w:r>
      <w:r>
        <w:rPr>
          <w:rFonts w:ascii="微软雅黑" w:hAnsi="微软雅黑" w:eastAsia="微软雅黑" w:cs="微软雅黑"/>
          <w:spacing w:val="-24"/>
          <w:sz w:val="16"/>
          <w:szCs w:val="16"/>
        </w:rPr>
        <w:t xml:space="preserve"> </w:t>
      </w:r>
      <w:r>
        <w:rPr>
          <w:rFonts w:ascii="微软雅黑" w:hAnsi="微软雅黑" w:eastAsia="微软雅黑" w:cs="微软雅黑"/>
          <w:spacing w:val="34"/>
          <w:sz w:val="16"/>
          <w:szCs w:val="16"/>
        </w:rPr>
        <w:t>流大学战略规划的相</w:t>
      </w:r>
      <w:r>
        <w:rPr>
          <w:rFonts w:ascii="微软雅黑" w:hAnsi="微软雅黑" w:eastAsia="微软雅黑" w:cs="微软雅黑"/>
          <w:spacing w:val="-19"/>
          <w:sz w:val="16"/>
          <w:szCs w:val="16"/>
        </w:rPr>
        <w:t xml:space="preserve"> </w:t>
      </w:r>
      <w:r>
        <w:rPr>
          <w:rFonts w:ascii="微软雅黑" w:hAnsi="微软雅黑" w:eastAsia="微软雅黑" w:cs="微软雅黑"/>
          <w:spacing w:val="34"/>
          <w:sz w:val="16"/>
          <w:szCs w:val="16"/>
        </w:rPr>
        <w:t>关</w:t>
      </w:r>
      <w:r>
        <w:rPr>
          <w:rFonts w:ascii="微软雅黑" w:hAnsi="微软雅黑" w:eastAsia="微软雅黑" w:cs="微软雅黑"/>
          <w:spacing w:val="-20"/>
          <w:sz w:val="16"/>
          <w:szCs w:val="16"/>
        </w:rPr>
        <w:t xml:space="preserve"> </w:t>
      </w:r>
      <w:r>
        <w:rPr>
          <w:rFonts w:ascii="微软雅黑" w:hAnsi="微软雅黑" w:eastAsia="微软雅黑" w:cs="微软雅黑"/>
          <w:spacing w:val="34"/>
          <w:sz w:val="16"/>
          <w:szCs w:val="16"/>
        </w:rPr>
        <w:t>研</w:t>
      </w:r>
      <w:r>
        <w:rPr>
          <w:rFonts w:ascii="微软雅黑" w:hAnsi="微软雅黑" w:eastAsia="微软雅黑" w:cs="微软雅黑"/>
          <w:spacing w:val="-20"/>
          <w:sz w:val="16"/>
          <w:szCs w:val="16"/>
        </w:rPr>
        <w:t xml:space="preserve"> </w:t>
      </w:r>
      <w:r>
        <w:rPr>
          <w:rFonts w:ascii="微软雅黑" w:hAnsi="微软雅黑" w:eastAsia="微软雅黑" w:cs="微软雅黑"/>
          <w:spacing w:val="34"/>
          <w:sz w:val="16"/>
          <w:szCs w:val="16"/>
        </w:rPr>
        <w:t>究 中</w:t>
      </w:r>
      <w:r>
        <w:rPr>
          <w:rFonts w:ascii="微软雅黑" w:hAnsi="微软雅黑" w:eastAsia="微软雅黑" w:cs="微软雅黑"/>
          <w:spacing w:val="-23"/>
          <w:sz w:val="16"/>
          <w:szCs w:val="16"/>
        </w:rPr>
        <w:t xml:space="preserve"> </w:t>
      </w:r>
      <w:r>
        <w:rPr>
          <w:rFonts w:ascii="微软雅黑" w:hAnsi="微软雅黑" w:eastAsia="微软雅黑" w:cs="微软雅黑"/>
          <w:spacing w:val="34"/>
          <w:sz w:val="16"/>
          <w:szCs w:val="16"/>
        </w:rPr>
        <w:t>，也</w:t>
      </w:r>
      <w:r>
        <w:rPr>
          <w:rFonts w:ascii="微软雅黑" w:hAnsi="微软雅黑" w:eastAsia="微软雅黑" w:cs="微软雅黑"/>
          <w:spacing w:val="-18"/>
          <w:sz w:val="16"/>
          <w:szCs w:val="16"/>
        </w:rPr>
        <w:t xml:space="preserve"> </w:t>
      </w:r>
      <w:r>
        <w:rPr>
          <w:rFonts w:ascii="微软雅黑" w:hAnsi="微软雅黑" w:eastAsia="微软雅黑" w:cs="微软雅黑"/>
          <w:spacing w:val="34"/>
          <w:sz w:val="16"/>
          <w:szCs w:val="16"/>
        </w:rPr>
        <w:t>有</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学</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者</w:t>
      </w:r>
      <w:r>
        <w:rPr>
          <w:rFonts w:ascii="微软雅黑" w:hAnsi="微软雅黑" w:eastAsia="微软雅黑" w:cs="微软雅黑"/>
          <w:spacing w:val="-21"/>
          <w:sz w:val="16"/>
          <w:szCs w:val="16"/>
        </w:rPr>
        <w:t xml:space="preserve"> </w:t>
      </w:r>
      <w:r>
        <w:rPr>
          <w:rFonts w:ascii="微软雅黑" w:hAnsi="微软雅黑" w:eastAsia="微软雅黑" w:cs="微软雅黑"/>
          <w:spacing w:val="34"/>
          <w:sz w:val="16"/>
          <w:szCs w:val="16"/>
        </w:rPr>
        <w:t>认</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为</w:t>
      </w:r>
      <w:r>
        <w:rPr>
          <w:rFonts w:ascii="微软雅黑" w:hAnsi="微软雅黑" w:eastAsia="微软雅黑" w:cs="微软雅黑"/>
          <w:spacing w:val="-10"/>
          <w:sz w:val="16"/>
          <w:szCs w:val="16"/>
        </w:rPr>
        <w:t xml:space="preserve"> </w:t>
      </w:r>
      <w:r>
        <w:rPr>
          <w:rFonts w:ascii="微软雅黑" w:hAnsi="微软雅黑" w:eastAsia="微软雅黑" w:cs="微软雅黑"/>
          <w:spacing w:val="38"/>
          <w:sz w:val="16"/>
          <w:szCs w:val="16"/>
        </w:rPr>
        <w:t>，当代高校战略规划的分析包含战略承诺</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、战略选</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择和战略行动</w:t>
      </w:r>
      <w:r>
        <w:rPr>
          <w:rFonts w:ascii="微软雅黑" w:hAnsi="微软雅黑" w:eastAsia="微软雅黑" w:cs="微软雅黑"/>
          <w:spacing w:val="-3"/>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2"/>
          <w:sz w:val="16"/>
          <w:szCs w:val="16"/>
        </w:rPr>
        <w:t xml:space="preserve"> </w:t>
      </w:r>
      <w:r>
        <w:rPr>
          <w:rFonts w:ascii="微软雅黑" w:hAnsi="微软雅黑" w:eastAsia="微软雅黑" w:cs="微软雅黑"/>
          <w:spacing w:val="6"/>
          <w:w w:val="125"/>
          <w:sz w:val="16"/>
          <w:szCs w:val="16"/>
        </w:rPr>
        <w:t>战略承诺是高校组织长期坚守的价</w:t>
      </w:r>
      <w:r>
        <w:rPr>
          <w:rFonts w:ascii="微软雅黑" w:hAnsi="微软雅黑" w:eastAsia="微软雅黑" w:cs="微软雅黑"/>
          <w:sz w:val="16"/>
          <w:szCs w:val="16"/>
        </w:rPr>
        <w:t xml:space="preserve">  </w:t>
      </w:r>
      <w:r>
        <w:rPr>
          <w:rFonts w:ascii="微软雅黑" w:hAnsi="微软雅黑" w:eastAsia="微软雅黑" w:cs="微软雅黑"/>
          <w:spacing w:val="7"/>
          <w:w w:val="124"/>
          <w:sz w:val="16"/>
          <w:szCs w:val="16"/>
        </w:rPr>
        <w:t>值取向</w:t>
      </w:r>
      <w:r>
        <w:rPr>
          <w:rFonts w:ascii="微软雅黑" w:hAnsi="微软雅黑" w:eastAsia="微软雅黑" w:cs="微软雅黑"/>
          <w:spacing w:val="10"/>
          <w:sz w:val="16"/>
          <w:szCs w:val="16"/>
        </w:rPr>
        <w:t xml:space="preserve"> </w:t>
      </w:r>
      <w:r>
        <w:rPr>
          <w:rFonts w:ascii="微软雅黑" w:hAnsi="微软雅黑" w:eastAsia="微软雅黑" w:cs="微软雅黑"/>
          <w:spacing w:val="7"/>
          <w:w w:val="124"/>
          <w:sz w:val="16"/>
          <w:szCs w:val="16"/>
        </w:rPr>
        <w:t>。</w:t>
      </w:r>
      <w:r>
        <w:rPr>
          <w:rFonts w:ascii="微软雅黑" w:hAnsi="微软雅黑" w:eastAsia="微软雅黑" w:cs="微软雅黑"/>
          <w:spacing w:val="-2"/>
          <w:sz w:val="16"/>
          <w:szCs w:val="16"/>
        </w:rPr>
        <w:t xml:space="preserve"> </w:t>
      </w:r>
      <w:r>
        <w:rPr>
          <w:rFonts w:ascii="微软雅黑" w:hAnsi="微软雅黑" w:eastAsia="微软雅黑" w:cs="微软雅黑"/>
          <w:spacing w:val="7"/>
          <w:w w:val="124"/>
          <w:sz w:val="16"/>
          <w:szCs w:val="16"/>
        </w:rPr>
        <w:t>战略选择是高校组织选定的中短期重点发</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展方向</w:t>
      </w:r>
      <w:r>
        <w:rPr>
          <w:rFonts w:ascii="微软雅黑" w:hAnsi="微软雅黑" w:eastAsia="微软雅黑" w:cs="微软雅黑"/>
          <w:spacing w:val="-3"/>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2"/>
          <w:sz w:val="16"/>
          <w:szCs w:val="16"/>
        </w:rPr>
        <w:t xml:space="preserve"> </w:t>
      </w:r>
      <w:r>
        <w:rPr>
          <w:rFonts w:ascii="微软雅黑" w:hAnsi="微软雅黑" w:eastAsia="微软雅黑" w:cs="微软雅黑"/>
          <w:spacing w:val="6"/>
          <w:w w:val="125"/>
          <w:sz w:val="16"/>
          <w:szCs w:val="16"/>
        </w:rPr>
        <w:t>战略行动是高校组织所制定与采取的具体</w:t>
      </w:r>
      <w:r>
        <w:rPr>
          <w:rFonts w:ascii="微软雅黑" w:hAnsi="微软雅黑" w:eastAsia="微软雅黑" w:cs="微软雅黑"/>
          <w:sz w:val="16"/>
          <w:szCs w:val="16"/>
        </w:rPr>
        <w:t xml:space="preserve">  </w:t>
      </w:r>
      <w:r>
        <w:rPr>
          <w:rFonts w:ascii="微软雅黑" w:hAnsi="微软雅黑" w:eastAsia="微软雅黑" w:cs="微软雅黑"/>
          <w:spacing w:val="7"/>
          <w:w w:val="125"/>
          <w:sz w:val="16"/>
          <w:szCs w:val="16"/>
        </w:rPr>
        <w:t>行动方案与发展手段</w:t>
      </w:r>
      <w:r>
        <w:rPr>
          <w:rFonts w:ascii="微软雅黑" w:hAnsi="微软雅黑" w:eastAsia="微软雅黑" w:cs="微软雅黑"/>
          <w:spacing w:val="7"/>
          <w:w w:val="125"/>
          <w:position w:val="5"/>
          <w:sz w:val="9"/>
          <w:szCs w:val="9"/>
        </w:rPr>
        <w:t>[</w:t>
      </w:r>
      <w:r>
        <w:rPr>
          <w:rFonts w:ascii="Arial" w:hAnsi="Arial" w:eastAsia="Arial" w:cs="Arial"/>
          <w:spacing w:val="7"/>
          <w:w w:val="125"/>
          <w:position w:val="5"/>
          <w:sz w:val="9"/>
          <w:szCs w:val="9"/>
        </w:rPr>
        <w:t>8</w:t>
      </w:r>
      <w:r>
        <w:rPr>
          <w:rFonts w:ascii="微软雅黑" w:hAnsi="微软雅黑" w:eastAsia="微软雅黑" w:cs="微软雅黑"/>
          <w:spacing w:val="7"/>
          <w:w w:val="125"/>
          <w:position w:val="5"/>
          <w:sz w:val="9"/>
          <w:szCs w:val="9"/>
        </w:rPr>
        <w:t>]</w:t>
      </w:r>
      <w:r>
        <w:rPr>
          <w:rFonts w:ascii="微软雅黑" w:hAnsi="微软雅黑" w:eastAsia="微软雅黑" w:cs="微软雅黑"/>
          <w:spacing w:val="14"/>
          <w:position w:val="5"/>
          <w:sz w:val="9"/>
          <w:szCs w:val="9"/>
        </w:rPr>
        <w:t xml:space="preserve">  </w:t>
      </w:r>
      <w:r>
        <w:rPr>
          <w:rFonts w:ascii="微软雅黑" w:hAnsi="微软雅黑" w:eastAsia="微软雅黑" w:cs="微软雅黑"/>
          <w:spacing w:val="7"/>
          <w:w w:val="125"/>
          <w:sz w:val="16"/>
          <w:szCs w:val="16"/>
        </w:rPr>
        <w:t>。</w:t>
      </w:r>
      <w:r>
        <w:rPr>
          <w:rFonts w:ascii="微软雅黑" w:hAnsi="微软雅黑" w:eastAsia="微软雅黑" w:cs="微软雅黑"/>
          <w:spacing w:val="-13"/>
          <w:sz w:val="16"/>
          <w:szCs w:val="16"/>
        </w:rPr>
        <w:t xml:space="preserve"> </w:t>
      </w:r>
      <w:r>
        <w:rPr>
          <w:rFonts w:ascii="微软雅黑" w:hAnsi="微软雅黑" w:eastAsia="微软雅黑" w:cs="微软雅黑"/>
          <w:spacing w:val="7"/>
          <w:w w:val="125"/>
          <w:sz w:val="16"/>
          <w:szCs w:val="16"/>
        </w:rPr>
        <w:t>也有学者则认为高校战略</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规划基本可分为两种模式</w:t>
      </w:r>
      <w:r>
        <w:rPr>
          <w:rFonts w:ascii="微软雅黑" w:hAnsi="微软雅黑" w:eastAsia="微软雅黑" w:cs="微软雅黑"/>
          <w:spacing w:val="-9"/>
          <w:sz w:val="16"/>
          <w:szCs w:val="16"/>
        </w:rPr>
        <w:t xml:space="preserve"> </w:t>
      </w:r>
      <w:r>
        <w:rPr>
          <w:rFonts w:ascii="微软雅黑" w:hAnsi="微软雅黑" w:eastAsia="微软雅黑" w:cs="微软雅黑"/>
          <w:spacing w:val="36"/>
          <w:sz w:val="16"/>
          <w:szCs w:val="16"/>
        </w:rPr>
        <w:t>，即</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文</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本</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模</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式</w:t>
      </w:r>
      <w:r>
        <w:rPr>
          <w:rFonts w:ascii="微软雅黑" w:hAnsi="微软雅黑" w:eastAsia="微软雅黑" w:cs="微软雅黑"/>
          <w:spacing w:val="-12"/>
          <w:sz w:val="16"/>
          <w:szCs w:val="16"/>
        </w:rPr>
        <w:t xml:space="preserve"> </w:t>
      </w:r>
      <w:r>
        <w:rPr>
          <w:rFonts w:ascii="微软雅黑" w:hAnsi="微软雅黑" w:eastAsia="微软雅黑" w:cs="微软雅黑"/>
          <w:spacing w:val="36"/>
          <w:sz w:val="16"/>
          <w:szCs w:val="16"/>
        </w:rPr>
        <w:t>和</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行</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动</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反</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思</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模式</w:t>
      </w:r>
      <w:r>
        <w:rPr>
          <w:rFonts w:ascii="微软雅黑" w:hAnsi="微软雅黑" w:eastAsia="微软雅黑" w:cs="微软雅黑"/>
          <w:spacing w:val="6"/>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11"/>
          <w:sz w:val="16"/>
          <w:szCs w:val="16"/>
        </w:rPr>
        <w:t xml:space="preserve"> </w:t>
      </w:r>
      <w:r>
        <w:rPr>
          <w:rFonts w:ascii="微软雅黑" w:hAnsi="微软雅黑" w:eastAsia="微软雅黑" w:cs="微软雅黑"/>
          <w:spacing w:val="6"/>
          <w:w w:val="125"/>
          <w:sz w:val="16"/>
          <w:szCs w:val="16"/>
        </w:rPr>
        <w:t>文本模式战略规划是指以撰写和生成战略规</w:t>
      </w:r>
      <w:r>
        <w:rPr>
          <w:rFonts w:ascii="微软雅黑" w:hAnsi="微软雅黑" w:eastAsia="微软雅黑" w:cs="微软雅黑"/>
          <w:sz w:val="16"/>
          <w:szCs w:val="16"/>
        </w:rPr>
        <w:t xml:space="preserve">  </w:t>
      </w:r>
      <w:r>
        <w:rPr>
          <w:rFonts w:ascii="微软雅黑" w:hAnsi="微软雅黑" w:eastAsia="微软雅黑" w:cs="微软雅黑"/>
          <w:spacing w:val="33"/>
          <w:sz w:val="16"/>
          <w:szCs w:val="16"/>
        </w:rPr>
        <w:t>划文本为目的</w:t>
      </w:r>
      <w:r>
        <w:rPr>
          <w:rFonts w:ascii="微软雅黑" w:hAnsi="微软雅黑" w:eastAsia="微软雅黑" w:cs="微软雅黑"/>
          <w:spacing w:val="-17"/>
          <w:sz w:val="16"/>
          <w:szCs w:val="16"/>
        </w:rPr>
        <w:t xml:space="preserve"> </w:t>
      </w:r>
      <w:r>
        <w:rPr>
          <w:rFonts w:ascii="微软雅黑" w:hAnsi="微软雅黑" w:eastAsia="微软雅黑" w:cs="微软雅黑"/>
          <w:spacing w:val="33"/>
          <w:sz w:val="16"/>
          <w:szCs w:val="16"/>
        </w:rPr>
        <w:t>，在制定规划过</w:t>
      </w:r>
      <w:r>
        <w:rPr>
          <w:rFonts w:ascii="微软雅黑" w:hAnsi="微软雅黑" w:eastAsia="微软雅黑" w:cs="微软雅黑"/>
          <w:spacing w:val="-17"/>
          <w:sz w:val="16"/>
          <w:szCs w:val="16"/>
        </w:rPr>
        <w:t xml:space="preserve"> </w:t>
      </w:r>
      <w:r>
        <w:rPr>
          <w:rFonts w:ascii="微软雅黑" w:hAnsi="微软雅黑" w:eastAsia="微软雅黑" w:cs="微软雅黑"/>
          <w:spacing w:val="33"/>
          <w:sz w:val="16"/>
          <w:szCs w:val="16"/>
        </w:rPr>
        <w:t>程 中</w:t>
      </w:r>
      <w:r>
        <w:rPr>
          <w:rFonts w:ascii="微软雅黑" w:hAnsi="微软雅黑" w:eastAsia="微软雅黑" w:cs="微软雅黑"/>
          <w:spacing w:val="-19"/>
          <w:sz w:val="16"/>
          <w:szCs w:val="16"/>
        </w:rPr>
        <w:t xml:space="preserve"> </w:t>
      </w:r>
      <w:r>
        <w:rPr>
          <w:rFonts w:ascii="微软雅黑" w:hAnsi="微软雅黑" w:eastAsia="微软雅黑" w:cs="微软雅黑"/>
          <w:spacing w:val="33"/>
          <w:sz w:val="16"/>
          <w:szCs w:val="16"/>
        </w:rPr>
        <w:t>对</w:t>
      </w:r>
      <w:r>
        <w:rPr>
          <w:rFonts w:ascii="微软雅黑" w:hAnsi="微软雅黑" w:eastAsia="微软雅黑" w:cs="微软雅黑"/>
          <w:spacing w:val="-14"/>
          <w:sz w:val="16"/>
          <w:szCs w:val="16"/>
        </w:rPr>
        <w:t xml:space="preserve"> </w:t>
      </w:r>
      <w:r>
        <w:rPr>
          <w:rFonts w:ascii="微软雅黑" w:hAnsi="微软雅黑" w:eastAsia="微软雅黑" w:cs="微软雅黑"/>
          <w:spacing w:val="33"/>
          <w:sz w:val="16"/>
          <w:szCs w:val="16"/>
        </w:rPr>
        <w:t>大</w:t>
      </w:r>
      <w:r>
        <w:rPr>
          <w:rFonts w:ascii="微软雅黑" w:hAnsi="微软雅黑" w:eastAsia="微软雅黑" w:cs="微软雅黑"/>
          <w:spacing w:val="-18"/>
          <w:sz w:val="16"/>
          <w:szCs w:val="16"/>
        </w:rPr>
        <w:t xml:space="preserve"> </w:t>
      </w:r>
      <w:r>
        <w:rPr>
          <w:rFonts w:ascii="微软雅黑" w:hAnsi="微软雅黑" w:eastAsia="微软雅黑" w:cs="微软雅黑"/>
          <w:spacing w:val="33"/>
          <w:sz w:val="16"/>
          <w:szCs w:val="16"/>
        </w:rPr>
        <w:t>量</w:t>
      </w:r>
      <w:r>
        <w:rPr>
          <w:rFonts w:ascii="微软雅黑" w:hAnsi="微软雅黑" w:eastAsia="微软雅黑" w:cs="微软雅黑"/>
          <w:spacing w:val="-2"/>
          <w:sz w:val="16"/>
          <w:szCs w:val="16"/>
        </w:rPr>
        <w:t xml:space="preserve"> </w:t>
      </w:r>
      <w:r>
        <w:rPr>
          <w:rFonts w:ascii="微软雅黑" w:hAnsi="微软雅黑" w:eastAsia="微软雅黑" w:cs="微软雅黑"/>
          <w:spacing w:val="33"/>
          <w:sz w:val="16"/>
          <w:szCs w:val="16"/>
        </w:rPr>
        <w:t>的</w:t>
      </w:r>
      <w:r>
        <w:rPr>
          <w:rFonts w:ascii="微软雅黑" w:hAnsi="微软雅黑" w:eastAsia="微软雅黑" w:cs="微软雅黑"/>
          <w:spacing w:val="-14"/>
          <w:sz w:val="16"/>
          <w:szCs w:val="16"/>
        </w:rPr>
        <w:t xml:space="preserve"> </w:t>
      </w:r>
      <w:r>
        <w:rPr>
          <w:rFonts w:ascii="微软雅黑" w:hAnsi="微软雅黑" w:eastAsia="微软雅黑" w:cs="微软雅黑"/>
          <w:spacing w:val="33"/>
          <w:sz w:val="16"/>
          <w:szCs w:val="16"/>
        </w:rPr>
        <w:t>资</w:t>
      </w:r>
      <w:r>
        <w:rPr>
          <w:rFonts w:ascii="微软雅黑" w:hAnsi="微软雅黑" w:eastAsia="微软雅黑" w:cs="微软雅黑"/>
          <w:spacing w:val="-18"/>
          <w:sz w:val="16"/>
          <w:szCs w:val="16"/>
        </w:rPr>
        <w:t xml:space="preserve"> </w:t>
      </w:r>
      <w:r>
        <w:rPr>
          <w:rFonts w:ascii="微软雅黑" w:hAnsi="微软雅黑" w:eastAsia="微软雅黑" w:cs="微软雅黑"/>
          <w:spacing w:val="33"/>
          <w:sz w:val="16"/>
          <w:szCs w:val="16"/>
        </w:rPr>
        <w:t>料</w:t>
      </w:r>
      <w:r>
        <w:rPr>
          <w:rFonts w:ascii="微软雅黑" w:hAnsi="微软雅黑" w:eastAsia="微软雅黑" w:cs="微软雅黑"/>
          <w:spacing w:val="-12"/>
          <w:sz w:val="16"/>
          <w:szCs w:val="16"/>
        </w:rPr>
        <w:t xml:space="preserve"> </w:t>
      </w:r>
      <w:r>
        <w:rPr>
          <w:rFonts w:ascii="微软雅黑" w:hAnsi="微软雅黑" w:eastAsia="微软雅黑" w:cs="微软雅黑"/>
          <w:spacing w:val="33"/>
          <w:sz w:val="16"/>
          <w:szCs w:val="16"/>
        </w:rPr>
        <w:t>和</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数据进行理性分析</w:t>
      </w:r>
      <w:r>
        <w:rPr>
          <w:rFonts w:ascii="微软雅黑" w:hAnsi="微软雅黑" w:eastAsia="微软雅黑" w:cs="微软雅黑"/>
          <w:spacing w:val="-13"/>
          <w:sz w:val="16"/>
          <w:szCs w:val="16"/>
        </w:rPr>
        <w:t xml:space="preserve"> </w:t>
      </w:r>
      <w:r>
        <w:rPr>
          <w:rFonts w:ascii="微软雅黑" w:hAnsi="微软雅黑" w:eastAsia="微软雅黑" w:cs="微软雅黑"/>
          <w:spacing w:val="36"/>
          <w:sz w:val="16"/>
          <w:szCs w:val="16"/>
        </w:rPr>
        <w:t>，规划制定</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完</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成</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后</w:t>
      </w:r>
      <w:r>
        <w:rPr>
          <w:rFonts w:ascii="微软雅黑" w:hAnsi="微软雅黑" w:eastAsia="微软雅黑" w:cs="微软雅黑"/>
          <w:spacing w:val="-2"/>
          <w:sz w:val="16"/>
          <w:szCs w:val="16"/>
        </w:rPr>
        <w:t xml:space="preserve"> </w:t>
      </w:r>
      <w:r>
        <w:rPr>
          <w:rFonts w:ascii="微软雅黑" w:hAnsi="微软雅黑" w:eastAsia="微软雅黑" w:cs="微软雅黑"/>
          <w:spacing w:val="36"/>
          <w:sz w:val="16"/>
          <w:szCs w:val="16"/>
        </w:rPr>
        <w:t>的</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具</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体</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实</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施</w:t>
      </w:r>
      <w:r>
        <w:rPr>
          <w:rFonts w:ascii="微软雅黑" w:hAnsi="微软雅黑" w:eastAsia="微软雅黑" w:cs="微软雅黑"/>
          <w:spacing w:val="-21"/>
          <w:sz w:val="16"/>
          <w:szCs w:val="16"/>
        </w:rPr>
        <w:t xml:space="preserve"> </w:t>
      </w:r>
      <w:r>
        <w:rPr>
          <w:rFonts w:ascii="微软雅黑" w:hAnsi="微软雅黑" w:eastAsia="微软雅黑" w:cs="微软雅黑"/>
          <w:spacing w:val="36"/>
          <w:sz w:val="16"/>
          <w:szCs w:val="16"/>
        </w:rPr>
        <w:t>情</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况则较少受到关注</w:t>
      </w:r>
      <w:r>
        <w:rPr>
          <w:rFonts w:ascii="微软雅黑" w:hAnsi="微软雅黑" w:eastAsia="微软雅黑" w:cs="微软雅黑"/>
          <w:spacing w:val="8"/>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13"/>
          <w:sz w:val="16"/>
          <w:szCs w:val="16"/>
        </w:rPr>
        <w:t xml:space="preserve"> </w:t>
      </w:r>
      <w:r>
        <w:rPr>
          <w:rFonts w:ascii="微软雅黑" w:hAnsi="微软雅黑" w:eastAsia="微软雅黑" w:cs="微软雅黑"/>
          <w:spacing w:val="6"/>
          <w:w w:val="125"/>
          <w:sz w:val="16"/>
          <w:szCs w:val="16"/>
        </w:rPr>
        <w:t>行动反思模式战略规划强调高</w:t>
      </w:r>
      <w:r>
        <w:rPr>
          <w:rFonts w:ascii="微软雅黑" w:hAnsi="微软雅黑" w:eastAsia="微软雅黑" w:cs="微软雅黑"/>
          <w:sz w:val="16"/>
          <w:szCs w:val="16"/>
        </w:rPr>
        <w:t xml:space="preserve">  </w:t>
      </w:r>
      <w:r>
        <w:rPr>
          <w:rFonts w:ascii="微软雅黑" w:hAnsi="微软雅黑" w:eastAsia="微软雅黑" w:cs="微软雅黑"/>
          <w:spacing w:val="35"/>
          <w:sz w:val="16"/>
          <w:szCs w:val="16"/>
        </w:rPr>
        <w:t>校战略规划是</w:t>
      </w:r>
      <w:r>
        <w:rPr>
          <w:rFonts w:ascii="微软雅黑" w:hAnsi="微软雅黑" w:eastAsia="微软雅黑" w:cs="微软雅黑"/>
          <w:spacing w:val="-21"/>
          <w:sz w:val="16"/>
          <w:szCs w:val="16"/>
        </w:rPr>
        <w:t xml:space="preserve"> </w:t>
      </w:r>
      <w:r>
        <w:rPr>
          <w:rFonts w:ascii="微软雅黑" w:hAnsi="微软雅黑" w:eastAsia="微软雅黑" w:cs="微软雅黑"/>
          <w:spacing w:val="35"/>
          <w:sz w:val="16"/>
          <w:szCs w:val="16"/>
        </w:rPr>
        <w:t>一</w:t>
      </w:r>
      <w:r>
        <w:rPr>
          <w:rFonts w:ascii="微软雅黑" w:hAnsi="微软雅黑" w:eastAsia="微软雅黑" w:cs="微软雅黑"/>
          <w:spacing w:val="-23"/>
          <w:sz w:val="16"/>
          <w:szCs w:val="16"/>
        </w:rPr>
        <w:t xml:space="preserve"> </w:t>
      </w:r>
      <w:r>
        <w:rPr>
          <w:rFonts w:ascii="微软雅黑" w:hAnsi="微软雅黑" w:eastAsia="微软雅黑" w:cs="微软雅黑"/>
          <w:spacing w:val="35"/>
          <w:sz w:val="16"/>
          <w:szCs w:val="16"/>
        </w:rPr>
        <w:t>个动态的实</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践</w:t>
      </w:r>
      <w:r>
        <w:rPr>
          <w:rFonts w:ascii="微软雅黑" w:hAnsi="微软雅黑" w:eastAsia="微软雅黑" w:cs="微软雅黑"/>
          <w:spacing w:val="-16"/>
          <w:sz w:val="16"/>
          <w:szCs w:val="16"/>
        </w:rPr>
        <w:t xml:space="preserve"> </w:t>
      </w:r>
      <w:r>
        <w:rPr>
          <w:rFonts w:ascii="微软雅黑" w:hAnsi="微软雅黑" w:eastAsia="微软雅黑" w:cs="微软雅黑"/>
          <w:spacing w:val="35"/>
          <w:sz w:val="16"/>
          <w:szCs w:val="16"/>
        </w:rPr>
        <w:t>过</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程</w:t>
      </w:r>
      <w:r>
        <w:rPr>
          <w:rFonts w:ascii="微软雅黑" w:hAnsi="微软雅黑" w:eastAsia="微软雅黑" w:cs="微软雅黑"/>
          <w:spacing w:val="-23"/>
          <w:sz w:val="16"/>
          <w:szCs w:val="16"/>
        </w:rPr>
        <w:t xml:space="preserve"> </w:t>
      </w:r>
      <w:r>
        <w:rPr>
          <w:rFonts w:ascii="微软雅黑" w:hAnsi="微软雅黑" w:eastAsia="微软雅黑" w:cs="微软雅黑"/>
          <w:spacing w:val="35"/>
          <w:sz w:val="16"/>
          <w:szCs w:val="16"/>
        </w:rPr>
        <w:t>，高</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校</w:t>
      </w:r>
      <w:r>
        <w:rPr>
          <w:rFonts w:ascii="微软雅黑" w:hAnsi="微软雅黑" w:eastAsia="微软雅黑" w:cs="微软雅黑"/>
          <w:spacing w:val="-8"/>
          <w:sz w:val="16"/>
          <w:szCs w:val="16"/>
        </w:rPr>
        <w:t xml:space="preserve"> </w:t>
      </w:r>
      <w:r>
        <w:rPr>
          <w:rFonts w:ascii="微软雅黑" w:hAnsi="微软雅黑" w:eastAsia="微软雅黑" w:cs="微软雅黑"/>
          <w:spacing w:val="35"/>
          <w:sz w:val="16"/>
          <w:szCs w:val="16"/>
        </w:rPr>
        <w:t>战</w:t>
      </w:r>
      <w:r>
        <w:rPr>
          <w:rFonts w:ascii="微软雅黑" w:hAnsi="微软雅黑" w:eastAsia="微软雅黑" w:cs="微软雅黑"/>
          <w:spacing w:val="-8"/>
          <w:sz w:val="16"/>
          <w:szCs w:val="16"/>
        </w:rPr>
        <w:t xml:space="preserve"> </w:t>
      </w:r>
      <w:r>
        <w:rPr>
          <w:rFonts w:ascii="微软雅黑" w:hAnsi="微软雅黑" w:eastAsia="微软雅黑" w:cs="微软雅黑"/>
          <w:spacing w:val="35"/>
          <w:sz w:val="16"/>
          <w:szCs w:val="16"/>
        </w:rPr>
        <w:t>略</w:t>
      </w:r>
      <w:r>
        <w:rPr>
          <w:rFonts w:ascii="微软雅黑" w:hAnsi="微软雅黑" w:eastAsia="微软雅黑" w:cs="微软雅黑"/>
          <w:spacing w:val="-18"/>
          <w:sz w:val="16"/>
          <w:szCs w:val="16"/>
        </w:rPr>
        <w:t xml:space="preserve"> </w:t>
      </w:r>
      <w:r>
        <w:rPr>
          <w:rFonts w:ascii="微软雅黑" w:hAnsi="微软雅黑" w:eastAsia="微软雅黑" w:cs="微软雅黑"/>
          <w:spacing w:val="34"/>
          <w:sz w:val="16"/>
          <w:szCs w:val="16"/>
        </w:rPr>
        <w:t>是</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在</w:t>
      </w:r>
      <w:r>
        <w:rPr>
          <w:rFonts w:ascii="微软雅黑" w:hAnsi="微软雅黑" w:eastAsia="微软雅黑" w:cs="微软雅黑"/>
          <w:sz w:val="16"/>
          <w:szCs w:val="16"/>
        </w:rPr>
        <w:t xml:space="preserve">  </w:t>
      </w:r>
      <w:r>
        <w:rPr>
          <w:rFonts w:ascii="微软雅黑" w:hAnsi="微软雅黑" w:eastAsia="微软雅黑" w:cs="微软雅黑"/>
          <w:spacing w:val="7"/>
          <w:w w:val="123"/>
          <w:sz w:val="16"/>
          <w:szCs w:val="16"/>
        </w:rPr>
        <w:t>行动中不断摸索和反思形成的</w:t>
      </w:r>
      <w:r>
        <w:rPr>
          <w:rFonts w:ascii="微软雅黑" w:hAnsi="微软雅黑" w:eastAsia="微软雅黑" w:cs="微软雅黑"/>
          <w:spacing w:val="7"/>
          <w:w w:val="123"/>
          <w:position w:val="5"/>
          <w:sz w:val="9"/>
          <w:szCs w:val="9"/>
        </w:rPr>
        <w:t>[</w:t>
      </w:r>
      <w:r>
        <w:rPr>
          <w:rFonts w:ascii="Arial" w:hAnsi="Arial" w:eastAsia="Arial" w:cs="Arial"/>
          <w:spacing w:val="7"/>
          <w:w w:val="123"/>
          <w:position w:val="5"/>
          <w:sz w:val="9"/>
          <w:szCs w:val="9"/>
        </w:rPr>
        <w:t>9</w:t>
      </w:r>
      <w:r>
        <w:rPr>
          <w:rFonts w:ascii="微软雅黑" w:hAnsi="微软雅黑" w:eastAsia="微软雅黑" w:cs="微软雅黑"/>
          <w:spacing w:val="7"/>
          <w:w w:val="123"/>
          <w:position w:val="5"/>
          <w:sz w:val="9"/>
          <w:szCs w:val="9"/>
        </w:rPr>
        <w:t>]</w:t>
      </w:r>
      <w:r>
        <w:rPr>
          <w:rFonts w:ascii="微软雅黑" w:hAnsi="微软雅黑" w:eastAsia="微软雅黑" w:cs="微软雅黑"/>
          <w:spacing w:val="8"/>
          <w:position w:val="5"/>
          <w:sz w:val="9"/>
          <w:szCs w:val="9"/>
        </w:rPr>
        <w:t xml:space="preserve">  </w:t>
      </w:r>
      <w:r>
        <w:rPr>
          <w:rFonts w:ascii="微软雅黑" w:hAnsi="微软雅黑" w:eastAsia="微软雅黑" w:cs="微软雅黑"/>
          <w:spacing w:val="7"/>
          <w:w w:val="123"/>
          <w:sz w:val="16"/>
          <w:szCs w:val="16"/>
        </w:rPr>
        <w:t>。</w:t>
      </w:r>
    </w:p>
    <w:p>
      <w:pPr>
        <w:spacing w:before="58" w:line="236" w:lineRule="auto"/>
        <w:ind w:left="906" w:right="260" w:firstLine="418"/>
        <w:rPr>
          <w:rFonts w:ascii="微软雅黑" w:hAnsi="微软雅黑" w:eastAsia="微软雅黑" w:cs="微软雅黑"/>
          <w:sz w:val="16"/>
          <w:szCs w:val="16"/>
        </w:rPr>
      </w:pPr>
      <w:r>
        <w:rPr>
          <w:rFonts w:ascii="微软雅黑" w:hAnsi="微软雅黑" w:eastAsia="微软雅黑" w:cs="微软雅黑"/>
          <w:spacing w:val="24"/>
          <w:sz w:val="16"/>
          <w:szCs w:val="16"/>
        </w:rPr>
        <w:t>综合分析当前</w:t>
      </w:r>
      <w:r>
        <w:rPr>
          <w:rFonts w:ascii="微软雅黑" w:hAnsi="微软雅黑" w:eastAsia="微软雅黑" w:cs="微软雅黑"/>
          <w:sz w:val="16"/>
          <w:szCs w:val="16"/>
        </w:rPr>
        <w:t xml:space="preserve"> </w:t>
      </w:r>
      <w:r>
        <w:rPr>
          <w:rFonts w:ascii="微软雅黑" w:hAnsi="微软雅黑" w:eastAsia="微软雅黑" w:cs="微软雅黑"/>
          <w:spacing w:val="24"/>
          <w:sz w:val="16"/>
          <w:szCs w:val="16"/>
        </w:rPr>
        <w:t>的</w:t>
      </w:r>
      <w:r>
        <w:rPr>
          <w:rFonts w:ascii="微软雅黑" w:hAnsi="微软雅黑" w:eastAsia="微软雅黑" w:cs="微软雅黑"/>
          <w:spacing w:val="-8"/>
          <w:sz w:val="16"/>
          <w:szCs w:val="16"/>
        </w:rPr>
        <w:t xml:space="preserve"> </w:t>
      </w:r>
      <w:r>
        <w:rPr>
          <w:rFonts w:ascii="微软雅黑" w:hAnsi="微软雅黑" w:eastAsia="微软雅黑" w:cs="微软雅黑"/>
          <w:spacing w:val="24"/>
          <w:sz w:val="16"/>
          <w:szCs w:val="16"/>
        </w:rPr>
        <w:t>战</w:t>
      </w:r>
      <w:r>
        <w:rPr>
          <w:rFonts w:ascii="微软雅黑" w:hAnsi="微软雅黑" w:eastAsia="微软雅黑" w:cs="微软雅黑"/>
          <w:spacing w:val="-8"/>
          <w:sz w:val="16"/>
          <w:szCs w:val="16"/>
        </w:rPr>
        <w:t xml:space="preserve"> </w:t>
      </w:r>
      <w:r>
        <w:rPr>
          <w:rFonts w:ascii="微软雅黑" w:hAnsi="微软雅黑" w:eastAsia="微软雅黑" w:cs="微软雅黑"/>
          <w:spacing w:val="24"/>
          <w:sz w:val="16"/>
          <w:szCs w:val="16"/>
        </w:rPr>
        <w:t>略</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规</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划 内</w:t>
      </w:r>
      <w:r>
        <w:rPr>
          <w:rFonts w:ascii="微软雅黑" w:hAnsi="微软雅黑" w:eastAsia="微软雅黑" w:cs="微软雅黑"/>
          <w:spacing w:val="-16"/>
          <w:sz w:val="16"/>
          <w:szCs w:val="16"/>
        </w:rPr>
        <w:t xml:space="preserve"> </w:t>
      </w:r>
      <w:r>
        <w:rPr>
          <w:rFonts w:ascii="微软雅黑" w:hAnsi="微软雅黑" w:eastAsia="微软雅黑" w:cs="微软雅黑"/>
          <w:spacing w:val="24"/>
          <w:sz w:val="16"/>
          <w:szCs w:val="16"/>
        </w:rPr>
        <w:t>涵</w:t>
      </w:r>
      <w:r>
        <w:rPr>
          <w:rFonts w:ascii="微软雅黑" w:hAnsi="微软雅黑" w:eastAsia="微软雅黑" w:cs="微软雅黑"/>
          <w:spacing w:val="-16"/>
          <w:sz w:val="16"/>
          <w:szCs w:val="16"/>
        </w:rPr>
        <w:t xml:space="preserve"> </w:t>
      </w:r>
      <w:r>
        <w:rPr>
          <w:rFonts w:ascii="微软雅黑" w:hAnsi="微软雅黑" w:eastAsia="微软雅黑" w:cs="微软雅黑"/>
          <w:spacing w:val="24"/>
          <w:sz w:val="16"/>
          <w:szCs w:val="16"/>
        </w:rPr>
        <w:t>可</w:t>
      </w:r>
      <w:r>
        <w:rPr>
          <w:rFonts w:ascii="微软雅黑" w:hAnsi="微软雅黑" w:eastAsia="微软雅黑" w:cs="微软雅黑"/>
          <w:spacing w:val="-2"/>
          <w:sz w:val="16"/>
          <w:szCs w:val="16"/>
        </w:rPr>
        <w:t xml:space="preserve"> </w:t>
      </w:r>
      <w:r>
        <w:rPr>
          <w:rFonts w:ascii="微软雅黑" w:hAnsi="微软雅黑" w:eastAsia="微软雅黑" w:cs="微软雅黑"/>
          <w:spacing w:val="24"/>
          <w:sz w:val="16"/>
          <w:szCs w:val="16"/>
        </w:rPr>
        <w:t>以</w:t>
      </w:r>
      <w:r>
        <w:rPr>
          <w:rFonts w:ascii="微软雅黑" w:hAnsi="微软雅黑" w:eastAsia="微软雅黑" w:cs="微软雅黑"/>
          <w:spacing w:val="-17"/>
          <w:sz w:val="16"/>
          <w:szCs w:val="16"/>
        </w:rPr>
        <w:t xml:space="preserve"> </w:t>
      </w:r>
      <w:r>
        <w:rPr>
          <w:rFonts w:ascii="微软雅黑" w:hAnsi="微软雅黑" w:eastAsia="微软雅黑" w:cs="微软雅黑"/>
          <w:spacing w:val="24"/>
          <w:sz w:val="16"/>
          <w:szCs w:val="16"/>
        </w:rPr>
        <w:t>发</w:t>
      </w:r>
      <w:r>
        <w:rPr>
          <w:rFonts w:ascii="微软雅黑" w:hAnsi="微软雅黑" w:eastAsia="微软雅黑" w:cs="微软雅黑"/>
          <w:spacing w:val="-15"/>
          <w:sz w:val="16"/>
          <w:szCs w:val="16"/>
        </w:rPr>
        <w:t xml:space="preserve"> </w:t>
      </w:r>
      <w:r>
        <w:rPr>
          <w:rFonts w:ascii="微软雅黑" w:hAnsi="微软雅黑" w:eastAsia="微软雅黑" w:cs="微软雅黑"/>
          <w:spacing w:val="24"/>
          <w:sz w:val="16"/>
          <w:szCs w:val="16"/>
        </w:rPr>
        <w:t>现</w:t>
      </w:r>
      <w:r>
        <w:rPr>
          <w:rFonts w:ascii="微软雅黑" w:hAnsi="微软雅黑" w:eastAsia="微软雅黑" w:cs="微软雅黑"/>
          <w:spacing w:val="-24"/>
          <w:sz w:val="16"/>
          <w:szCs w:val="16"/>
        </w:rPr>
        <w:t xml:space="preserve"> </w:t>
      </w:r>
      <w:r>
        <w:rPr>
          <w:rFonts w:ascii="微软雅黑" w:hAnsi="微软雅黑" w:eastAsia="微软雅黑" w:cs="微软雅黑"/>
          <w:spacing w:val="24"/>
          <w:sz w:val="16"/>
          <w:szCs w:val="16"/>
        </w:rPr>
        <w:t>，我 国</w:t>
      </w:r>
      <w:r>
        <w:rPr>
          <w:rFonts w:ascii="微软雅黑" w:hAnsi="微软雅黑" w:eastAsia="微软雅黑" w:cs="微软雅黑"/>
          <w:sz w:val="16"/>
          <w:szCs w:val="16"/>
        </w:rPr>
        <w:t xml:space="preserve"> </w:t>
      </w:r>
      <w:r>
        <w:rPr>
          <w:rFonts w:ascii="微软雅黑" w:hAnsi="微软雅黑" w:eastAsia="微软雅黑" w:cs="微软雅黑"/>
          <w:spacing w:val="8"/>
          <w:w w:val="126"/>
          <w:sz w:val="16"/>
          <w:szCs w:val="16"/>
        </w:rPr>
        <w:t>高校战略规划已逐步从原先注重原则性与纲要性要</w:t>
      </w:r>
      <w:r>
        <w:rPr>
          <w:rFonts w:ascii="微软雅黑" w:hAnsi="微软雅黑" w:eastAsia="微软雅黑" w:cs="微软雅黑"/>
          <w:spacing w:val="9"/>
          <w:sz w:val="16"/>
          <w:szCs w:val="16"/>
        </w:rPr>
        <w:t xml:space="preserve"> </w:t>
      </w:r>
      <w:r>
        <w:rPr>
          <w:rFonts w:ascii="微软雅黑" w:hAnsi="微软雅黑" w:eastAsia="微软雅黑" w:cs="微软雅黑"/>
          <w:spacing w:val="38"/>
          <w:sz w:val="16"/>
          <w:szCs w:val="16"/>
        </w:rPr>
        <w:t>求</w:t>
      </w:r>
      <w:r>
        <w:rPr>
          <w:rFonts w:ascii="微软雅黑" w:hAnsi="微软雅黑" w:eastAsia="微软雅黑" w:cs="微软雅黑"/>
          <w:spacing w:val="-4"/>
          <w:sz w:val="16"/>
          <w:szCs w:val="16"/>
        </w:rPr>
        <w:t xml:space="preserve"> </w:t>
      </w:r>
      <w:r>
        <w:rPr>
          <w:rFonts w:ascii="微软雅黑" w:hAnsi="微软雅黑" w:eastAsia="微软雅黑" w:cs="微软雅黑"/>
          <w:spacing w:val="38"/>
          <w:sz w:val="16"/>
          <w:szCs w:val="16"/>
        </w:rPr>
        <w:t>、缺乏可操作性开始转向</w:t>
      </w:r>
      <w:r>
        <w:rPr>
          <w:rFonts w:ascii="微软雅黑" w:hAnsi="微软雅黑" w:eastAsia="微软雅黑" w:cs="微软雅黑"/>
          <w:spacing w:val="-24"/>
          <w:sz w:val="16"/>
          <w:szCs w:val="16"/>
        </w:rPr>
        <w:t xml:space="preserve"> </w:t>
      </w:r>
      <w:r>
        <w:rPr>
          <w:rFonts w:ascii="微软雅黑" w:hAnsi="微软雅黑" w:eastAsia="微软雅黑" w:cs="微软雅黑"/>
          <w:spacing w:val="38"/>
          <w:sz w:val="16"/>
          <w:szCs w:val="16"/>
        </w:rPr>
        <w:t>“科学谋划高质量发展蓝</w:t>
      </w:r>
      <w:r>
        <w:rPr>
          <w:rFonts w:ascii="微软雅黑" w:hAnsi="微软雅黑" w:eastAsia="微软雅黑" w:cs="微软雅黑"/>
          <w:sz w:val="16"/>
          <w:szCs w:val="16"/>
        </w:rPr>
        <w:t xml:space="preserve"> </w:t>
      </w:r>
      <w:r>
        <w:rPr>
          <w:rFonts w:ascii="微软雅黑" w:hAnsi="微软雅黑" w:eastAsia="微软雅黑" w:cs="微软雅黑"/>
          <w:spacing w:val="19"/>
          <w:sz w:val="16"/>
          <w:szCs w:val="16"/>
        </w:rPr>
        <w:t>图</w:t>
      </w:r>
      <w:r>
        <w:rPr>
          <w:rFonts w:ascii="微软雅黑" w:hAnsi="微软雅黑" w:eastAsia="微软雅黑" w:cs="微软雅黑"/>
          <w:spacing w:val="-7"/>
          <w:sz w:val="16"/>
          <w:szCs w:val="16"/>
        </w:rPr>
        <w:t xml:space="preserve"> </w:t>
      </w:r>
      <w:r>
        <w:rPr>
          <w:rFonts w:ascii="微软雅黑" w:hAnsi="微软雅黑" w:eastAsia="微软雅黑" w:cs="微软雅黑"/>
          <w:spacing w:val="19"/>
          <w:sz w:val="16"/>
          <w:szCs w:val="16"/>
        </w:rPr>
        <w:t>，在发展愿景</w:t>
      </w:r>
      <w:r>
        <w:rPr>
          <w:rFonts w:ascii="微软雅黑" w:hAnsi="微软雅黑" w:eastAsia="微软雅黑" w:cs="微软雅黑"/>
          <w:spacing w:val="-17"/>
          <w:sz w:val="16"/>
          <w:szCs w:val="16"/>
        </w:rPr>
        <w:t xml:space="preserve"> </w:t>
      </w:r>
      <w:r>
        <w:rPr>
          <w:rFonts w:ascii="微软雅黑" w:hAnsi="微软雅黑" w:eastAsia="微软雅黑" w:cs="微软雅黑"/>
          <w:spacing w:val="19"/>
          <w:sz w:val="16"/>
          <w:szCs w:val="16"/>
        </w:rPr>
        <w:t>、路线 图</w:t>
      </w:r>
      <w:r>
        <w:rPr>
          <w:rFonts w:ascii="微软雅黑" w:hAnsi="微软雅黑" w:eastAsia="微软雅黑" w:cs="微软雅黑"/>
          <w:spacing w:val="-12"/>
          <w:sz w:val="16"/>
          <w:szCs w:val="16"/>
        </w:rPr>
        <w:t xml:space="preserve"> </w:t>
      </w:r>
      <w:r>
        <w:rPr>
          <w:rFonts w:ascii="微软雅黑" w:hAnsi="微软雅黑" w:eastAsia="微软雅黑" w:cs="微软雅黑"/>
          <w:spacing w:val="19"/>
          <w:sz w:val="16"/>
          <w:szCs w:val="16"/>
        </w:rPr>
        <w:t>和</w:t>
      </w:r>
      <w:r>
        <w:rPr>
          <w:rFonts w:ascii="微软雅黑" w:hAnsi="微软雅黑" w:eastAsia="微软雅黑" w:cs="微软雅黑"/>
          <w:spacing w:val="-20"/>
          <w:sz w:val="16"/>
          <w:szCs w:val="16"/>
        </w:rPr>
        <w:t xml:space="preserve"> </w:t>
      </w:r>
      <w:r>
        <w:rPr>
          <w:rFonts w:ascii="微软雅黑" w:hAnsi="微软雅黑" w:eastAsia="微软雅黑" w:cs="微软雅黑"/>
          <w:spacing w:val="19"/>
          <w:sz w:val="16"/>
          <w:szCs w:val="16"/>
        </w:rPr>
        <w:t>施</w:t>
      </w:r>
      <w:r>
        <w:rPr>
          <w:rFonts w:ascii="微软雅黑" w:hAnsi="微软雅黑" w:eastAsia="微软雅黑" w:cs="微软雅黑"/>
          <w:spacing w:val="-17"/>
          <w:sz w:val="16"/>
          <w:szCs w:val="16"/>
        </w:rPr>
        <w:t xml:space="preserve"> </w:t>
      </w:r>
      <w:r>
        <w:rPr>
          <w:rFonts w:ascii="微软雅黑" w:hAnsi="微软雅黑" w:eastAsia="微软雅黑" w:cs="微软雅黑"/>
          <w:spacing w:val="19"/>
          <w:sz w:val="16"/>
          <w:szCs w:val="16"/>
        </w:rPr>
        <w:t>工 图</w:t>
      </w:r>
      <w:r>
        <w:rPr>
          <w:rFonts w:ascii="微软雅黑" w:hAnsi="微软雅黑" w:eastAsia="微软雅黑" w:cs="微软雅黑"/>
          <w:spacing w:val="-17"/>
          <w:sz w:val="16"/>
          <w:szCs w:val="16"/>
        </w:rPr>
        <w:t xml:space="preserve"> </w:t>
      </w:r>
      <w:r>
        <w:rPr>
          <w:rFonts w:ascii="微软雅黑" w:hAnsi="微软雅黑" w:eastAsia="微软雅黑" w:cs="微软雅黑"/>
          <w:spacing w:val="19"/>
          <w:sz w:val="16"/>
          <w:szCs w:val="16"/>
        </w:rPr>
        <w:t>上</w:t>
      </w:r>
      <w:r>
        <w:rPr>
          <w:rFonts w:ascii="微软雅黑" w:hAnsi="微软雅黑" w:eastAsia="微软雅黑" w:cs="微软雅黑"/>
          <w:spacing w:val="-18"/>
          <w:sz w:val="16"/>
          <w:szCs w:val="16"/>
        </w:rPr>
        <w:t xml:space="preserve"> </w:t>
      </w:r>
      <w:r>
        <w:rPr>
          <w:rFonts w:ascii="微软雅黑" w:hAnsi="微软雅黑" w:eastAsia="微软雅黑" w:cs="微软雅黑"/>
          <w:spacing w:val="19"/>
          <w:sz w:val="16"/>
          <w:szCs w:val="16"/>
        </w:rPr>
        <w:t>下</w:t>
      </w:r>
      <w:r>
        <w:rPr>
          <w:rFonts w:ascii="微软雅黑" w:hAnsi="微软雅黑" w:eastAsia="微软雅黑" w:cs="微软雅黑"/>
          <w:spacing w:val="-16"/>
          <w:sz w:val="16"/>
          <w:szCs w:val="16"/>
        </w:rPr>
        <w:t xml:space="preserve"> </w:t>
      </w:r>
      <w:r>
        <w:rPr>
          <w:rFonts w:ascii="微软雅黑" w:hAnsi="微软雅黑" w:eastAsia="微软雅黑" w:cs="微软雅黑"/>
          <w:spacing w:val="19"/>
          <w:sz w:val="16"/>
          <w:szCs w:val="16"/>
        </w:rPr>
        <w:t>功</w:t>
      </w:r>
      <w:r>
        <w:rPr>
          <w:rFonts w:ascii="微软雅黑" w:hAnsi="微软雅黑" w:eastAsia="微软雅黑" w:cs="微软雅黑"/>
          <w:spacing w:val="-17"/>
          <w:sz w:val="16"/>
          <w:szCs w:val="16"/>
        </w:rPr>
        <w:t xml:space="preserve"> </w:t>
      </w:r>
      <w:r>
        <w:rPr>
          <w:rFonts w:ascii="微软雅黑" w:hAnsi="微软雅黑" w:eastAsia="微软雅黑" w:cs="微软雅黑"/>
          <w:spacing w:val="19"/>
          <w:sz w:val="16"/>
          <w:szCs w:val="16"/>
        </w:rPr>
        <w:t>夫</w:t>
      </w:r>
      <w:r>
        <w:rPr>
          <w:rFonts w:ascii="微软雅黑" w:hAnsi="微软雅黑" w:eastAsia="微软雅黑" w:cs="微软雅黑"/>
          <w:spacing w:val="-24"/>
          <w:sz w:val="16"/>
          <w:szCs w:val="16"/>
        </w:rPr>
        <w:t xml:space="preserve"> </w:t>
      </w:r>
      <w:r>
        <w:rPr>
          <w:rFonts w:ascii="微软雅黑" w:hAnsi="微软雅黑" w:eastAsia="微软雅黑" w:cs="微软雅黑"/>
          <w:spacing w:val="19"/>
          <w:sz w:val="16"/>
          <w:szCs w:val="16"/>
        </w:rPr>
        <w:t>，提</w:t>
      </w:r>
      <w:r>
        <w:rPr>
          <w:rFonts w:ascii="微软雅黑" w:hAnsi="微软雅黑" w:eastAsia="微软雅黑" w:cs="微软雅黑"/>
          <w:spacing w:val="-15"/>
          <w:sz w:val="16"/>
          <w:szCs w:val="16"/>
        </w:rPr>
        <w:t xml:space="preserve"> </w:t>
      </w:r>
      <w:r>
        <w:rPr>
          <w:rFonts w:ascii="微软雅黑" w:hAnsi="微软雅黑" w:eastAsia="微软雅黑" w:cs="微软雅黑"/>
          <w:spacing w:val="19"/>
          <w:sz w:val="16"/>
          <w:szCs w:val="16"/>
        </w:rPr>
        <w:t>高</w:t>
      </w:r>
      <w:r>
        <w:rPr>
          <w:rFonts w:ascii="微软雅黑" w:hAnsi="微软雅黑" w:eastAsia="微软雅黑" w:cs="微软雅黑"/>
          <w:spacing w:val="-17"/>
          <w:sz w:val="16"/>
          <w:szCs w:val="16"/>
        </w:rPr>
        <w:t xml:space="preserve"> </w:t>
      </w:r>
      <w:r>
        <w:rPr>
          <w:rFonts w:ascii="微软雅黑" w:hAnsi="微软雅黑" w:eastAsia="微软雅黑" w:cs="微软雅黑"/>
          <w:spacing w:val="19"/>
          <w:sz w:val="16"/>
          <w:szCs w:val="16"/>
        </w:rPr>
        <w:t>规</w:t>
      </w:r>
      <w:r>
        <w:rPr>
          <w:rFonts w:ascii="微软雅黑" w:hAnsi="微软雅黑" w:eastAsia="微软雅黑" w:cs="微软雅黑"/>
          <w:sz w:val="16"/>
          <w:szCs w:val="16"/>
        </w:rPr>
        <w:t xml:space="preserve"> </w:t>
      </w:r>
      <w:r>
        <w:rPr>
          <w:rFonts w:ascii="微软雅黑" w:hAnsi="微软雅黑" w:eastAsia="微软雅黑" w:cs="微软雅黑"/>
          <w:spacing w:val="15"/>
          <w:position w:val="-1"/>
          <w:sz w:val="16"/>
          <w:szCs w:val="16"/>
        </w:rPr>
        <w:t>划的质量</w:t>
      </w:r>
      <w:r>
        <w:rPr>
          <w:rFonts w:ascii="微软雅黑" w:hAnsi="微软雅黑" w:eastAsia="微软雅黑" w:cs="微软雅黑"/>
          <w:spacing w:val="-27"/>
          <w:position w:val="-1"/>
          <w:sz w:val="16"/>
          <w:szCs w:val="16"/>
        </w:rPr>
        <w:t xml:space="preserve"> </w:t>
      </w:r>
      <w:r>
        <w:rPr>
          <w:rFonts w:ascii="微软雅黑" w:hAnsi="微软雅黑" w:eastAsia="微软雅黑" w:cs="微软雅黑"/>
          <w:spacing w:val="15"/>
          <w:position w:val="-1"/>
          <w:sz w:val="16"/>
          <w:szCs w:val="16"/>
        </w:rPr>
        <w:t>”</w:t>
      </w:r>
      <w:r>
        <w:rPr>
          <w:rFonts w:ascii="微软雅黑" w:hAnsi="微软雅黑" w:eastAsia="微软雅黑" w:cs="微软雅黑"/>
          <w:spacing w:val="15"/>
          <w:position w:val="4"/>
          <w:sz w:val="9"/>
          <w:szCs w:val="9"/>
        </w:rPr>
        <w:t>[</w:t>
      </w:r>
      <w:r>
        <w:rPr>
          <w:rFonts w:ascii="Arial" w:hAnsi="Arial" w:eastAsia="Arial" w:cs="Arial"/>
          <w:spacing w:val="15"/>
          <w:position w:val="4"/>
          <w:sz w:val="9"/>
          <w:szCs w:val="9"/>
        </w:rPr>
        <w:t>10</w:t>
      </w:r>
      <w:r>
        <w:rPr>
          <w:rFonts w:ascii="微软雅黑" w:hAnsi="微软雅黑" w:eastAsia="微软雅黑" w:cs="微软雅黑"/>
          <w:spacing w:val="15"/>
          <w:position w:val="4"/>
          <w:sz w:val="9"/>
          <w:szCs w:val="9"/>
        </w:rPr>
        <w:t>]</w:t>
      </w:r>
      <w:r>
        <w:rPr>
          <w:rFonts w:ascii="微软雅黑" w:hAnsi="微软雅黑" w:eastAsia="微软雅黑" w:cs="微软雅黑"/>
          <w:spacing w:val="2"/>
          <w:position w:val="4"/>
          <w:sz w:val="9"/>
          <w:szCs w:val="9"/>
        </w:rPr>
        <w:t xml:space="preserve">  </w:t>
      </w:r>
      <w:r>
        <w:rPr>
          <w:rFonts w:ascii="微软雅黑" w:hAnsi="微软雅黑" w:eastAsia="微软雅黑" w:cs="微软雅黑"/>
          <w:spacing w:val="15"/>
          <w:position w:val="-1"/>
          <w:sz w:val="16"/>
          <w:szCs w:val="16"/>
        </w:rPr>
        <w:t>。</w:t>
      </w:r>
    </w:p>
    <w:p>
      <w:pPr>
        <w:spacing w:before="59" w:line="190" w:lineRule="auto"/>
        <w:ind w:left="1249"/>
        <w:rPr>
          <w:rFonts w:ascii="微软雅黑" w:hAnsi="微软雅黑" w:eastAsia="微软雅黑" w:cs="微软雅黑"/>
          <w:sz w:val="19"/>
          <w:szCs w:val="19"/>
        </w:rPr>
      </w:pPr>
      <w:r>
        <w:rPr>
          <w:rFonts w:ascii="微软雅黑" w:hAnsi="微软雅黑" w:eastAsia="微软雅黑" w:cs="微软雅黑"/>
          <w:spacing w:val="28"/>
          <w:sz w:val="19"/>
          <w:szCs w:val="19"/>
        </w:rPr>
        <w:t>（三）高校质量文化与战略规划的内在联系</w:t>
      </w:r>
    </w:p>
    <w:p>
      <w:pPr>
        <w:spacing w:before="56" w:line="236" w:lineRule="auto"/>
        <w:ind w:left="905" w:right="260" w:firstLine="423"/>
        <w:rPr>
          <w:rFonts w:ascii="微软雅黑" w:hAnsi="微软雅黑" w:eastAsia="微软雅黑" w:cs="微软雅黑"/>
          <w:sz w:val="16"/>
          <w:szCs w:val="16"/>
        </w:rPr>
      </w:pPr>
      <w:r>
        <w:rPr>
          <w:rFonts w:ascii="微软雅黑" w:hAnsi="微软雅黑" w:eastAsia="微软雅黑" w:cs="微软雅黑"/>
          <w:spacing w:val="9"/>
          <w:w w:val="123"/>
          <w:sz w:val="16"/>
          <w:szCs w:val="16"/>
        </w:rPr>
        <w:t>文化是高校内在属性</w:t>
      </w:r>
      <w:r>
        <w:rPr>
          <w:rFonts w:ascii="微软雅黑" w:hAnsi="微软雅黑" w:eastAsia="微软雅黑" w:cs="微软雅黑"/>
          <w:spacing w:val="-4"/>
          <w:sz w:val="16"/>
          <w:szCs w:val="16"/>
        </w:rPr>
        <w:t xml:space="preserve"> </w:t>
      </w:r>
      <w:r>
        <w:rPr>
          <w:rFonts w:ascii="微软雅黑" w:hAnsi="微软雅黑" w:eastAsia="微软雅黑" w:cs="微软雅黑"/>
          <w:spacing w:val="9"/>
          <w:w w:val="123"/>
          <w:sz w:val="16"/>
          <w:szCs w:val="16"/>
        </w:rPr>
        <w:t>。</w:t>
      </w:r>
      <w:r>
        <w:rPr>
          <w:rFonts w:ascii="微软雅黑" w:hAnsi="微软雅黑" w:eastAsia="微软雅黑" w:cs="微软雅黑"/>
          <w:spacing w:val="-9"/>
          <w:sz w:val="16"/>
          <w:szCs w:val="16"/>
        </w:rPr>
        <w:t xml:space="preserve"> </w:t>
      </w:r>
      <w:r>
        <w:rPr>
          <w:rFonts w:ascii="微软雅黑" w:hAnsi="微软雅黑" w:eastAsia="微软雅黑" w:cs="微软雅黑"/>
          <w:spacing w:val="9"/>
          <w:w w:val="123"/>
          <w:sz w:val="16"/>
          <w:szCs w:val="16"/>
        </w:rPr>
        <w:t>高校本身具有自身的文</w:t>
      </w:r>
      <w:r>
        <w:rPr>
          <w:rFonts w:ascii="微软雅黑" w:hAnsi="微软雅黑" w:eastAsia="微软雅黑" w:cs="微软雅黑"/>
          <w:sz w:val="16"/>
          <w:szCs w:val="16"/>
        </w:rPr>
        <w:t xml:space="preserve"> </w:t>
      </w:r>
      <w:r>
        <w:rPr>
          <w:rFonts w:ascii="微软雅黑" w:hAnsi="微软雅黑" w:eastAsia="微软雅黑" w:cs="微软雅黑"/>
          <w:spacing w:val="23"/>
          <w:sz w:val="16"/>
          <w:szCs w:val="16"/>
        </w:rPr>
        <w:t>化</w:t>
      </w:r>
      <w:r>
        <w:rPr>
          <w:rFonts w:ascii="微软雅黑" w:hAnsi="微软雅黑" w:eastAsia="微软雅黑" w:cs="微软雅黑"/>
          <w:spacing w:val="-20"/>
          <w:sz w:val="16"/>
          <w:szCs w:val="16"/>
        </w:rPr>
        <w:t xml:space="preserve"> </w:t>
      </w:r>
      <w:r>
        <w:rPr>
          <w:rFonts w:ascii="微软雅黑" w:hAnsi="微软雅黑" w:eastAsia="微软雅黑" w:cs="微软雅黑"/>
          <w:spacing w:val="23"/>
          <w:sz w:val="16"/>
          <w:szCs w:val="16"/>
        </w:rPr>
        <w:t>，包括价值观</w:t>
      </w:r>
      <w:r>
        <w:rPr>
          <w:rFonts w:ascii="微软雅黑" w:hAnsi="微软雅黑" w:eastAsia="微软雅黑" w:cs="微软雅黑"/>
          <w:spacing w:val="-18"/>
          <w:sz w:val="16"/>
          <w:szCs w:val="16"/>
        </w:rPr>
        <w:t xml:space="preserve"> </w:t>
      </w:r>
      <w:r>
        <w:rPr>
          <w:rFonts w:ascii="微软雅黑" w:hAnsi="微软雅黑" w:eastAsia="微软雅黑" w:cs="微软雅黑"/>
          <w:spacing w:val="23"/>
          <w:sz w:val="16"/>
          <w:szCs w:val="16"/>
        </w:rPr>
        <w:t>、理念</w:t>
      </w:r>
      <w:r>
        <w:rPr>
          <w:rFonts w:ascii="微软雅黑" w:hAnsi="微软雅黑" w:eastAsia="微软雅黑" w:cs="微软雅黑"/>
          <w:spacing w:val="-17"/>
          <w:sz w:val="16"/>
          <w:szCs w:val="16"/>
        </w:rPr>
        <w:t xml:space="preserve"> </w:t>
      </w:r>
      <w:r>
        <w:rPr>
          <w:rFonts w:ascii="微软雅黑" w:hAnsi="微软雅黑" w:eastAsia="微软雅黑" w:cs="微软雅黑"/>
          <w:spacing w:val="23"/>
          <w:sz w:val="16"/>
          <w:szCs w:val="16"/>
        </w:rPr>
        <w:t>、制度</w:t>
      </w:r>
      <w:r>
        <w:rPr>
          <w:rFonts w:ascii="微软雅黑" w:hAnsi="微软雅黑" w:eastAsia="微软雅黑" w:cs="微软雅黑"/>
          <w:spacing w:val="-18"/>
          <w:sz w:val="16"/>
          <w:szCs w:val="16"/>
        </w:rPr>
        <w:t xml:space="preserve"> </w:t>
      </w:r>
      <w:r>
        <w:rPr>
          <w:rFonts w:ascii="微软雅黑" w:hAnsi="微软雅黑" w:eastAsia="微软雅黑" w:cs="微软雅黑"/>
          <w:spacing w:val="23"/>
          <w:sz w:val="16"/>
          <w:szCs w:val="16"/>
        </w:rPr>
        <w:t>、传统等</w:t>
      </w:r>
      <w:r>
        <w:rPr>
          <w:rFonts w:ascii="微软雅黑" w:hAnsi="微软雅黑" w:eastAsia="微软雅黑" w:cs="微软雅黑"/>
          <w:spacing w:val="-5"/>
          <w:sz w:val="16"/>
          <w:szCs w:val="16"/>
        </w:rPr>
        <w:t xml:space="preserve"> </w:t>
      </w:r>
      <w:r>
        <w:rPr>
          <w:rFonts w:ascii="微软雅黑" w:hAnsi="微软雅黑" w:eastAsia="微软雅黑" w:cs="微软雅黑"/>
          <w:spacing w:val="23"/>
          <w:sz w:val="16"/>
          <w:szCs w:val="16"/>
        </w:rPr>
        <w:t>。 战略规划不能</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回避高校文化问题</w:t>
      </w:r>
      <w:r>
        <w:rPr>
          <w:rFonts w:ascii="微软雅黑" w:hAnsi="微软雅黑" w:eastAsia="微软雅黑" w:cs="微软雅黑"/>
          <w:spacing w:val="-23"/>
          <w:sz w:val="16"/>
          <w:szCs w:val="16"/>
        </w:rPr>
        <w:t xml:space="preserve"> </w:t>
      </w:r>
      <w:r>
        <w:rPr>
          <w:rFonts w:ascii="微软雅黑" w:hAnsi="微软雅黑" w:eastAsia="微软雅黑" w:cs="微软雅黑"/>
          <w:spacing w:val="36"/>
          <w:sz w:val="16"/>
          <w:szCs w:val="16"/>
        </w:rPr>
        <w:t>，在设计高</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校</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改</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革</w:t>
      </w:r>
      <w:r>
        <w:rPr>
          <w:rFonts w:ascii="微软雅黑" w:hAnsi="微软雅黑" w:eastAsia="微软雅黑" w:cs="微软雅黑"/>
          <w:spacing w:val="-14"/>
          <w:sz w:val="16"/>
          <w:szCs w:val="16"/>
        </w:rPr>
        <w:t xml:space="preserve"> </w:t>
      </w:r>
      <w:r>
        <w:rPr>
          <w:rFonts w:ascii="微软雅黑" w:hAnsi="微软雅黑" w:eastAsia="微软雅黑" w:cs="微软雅黑"/>
          <w:spacing w:val="36"/>
          <w:sz w:val="16"/>
          <w:szCs w:val="16"/>
        </w:rPr>
        <w:t>与</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发</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展</w:t>
      </w:r>
      <w:r>
        <w:rPr>
          <w:rFonts w:ascii="微软雅黑" w:hAnsi="微软雅黑" w:eastAsia="微软雅黑" w:cs="微软雅黑"/>
          <w:spacing w:val="-2"/>
          <w:sz w:val="16"/>
          <w:szCs w:val="16"/>
        </w:rPr>
        <w:t xml:space="preserve"> </w:t>
      </w:r>
      <w:r>
        <w:rPr>
          <w:rFonts w:ascii="微软雅黑" w:hAnsi="微软雅黑" w:eastAsia="微软雅黑" w:cs="微软雅黑"/>
          <w:spacing w:val="35"/>
          <w:sz w:val="16"/>
          <w:szCs w:val="16"/>
        </w:rPr>
        <w:t>的</w:t>
      </w:r>
      <w:r>
        <w:rPr>
          <w:rFonts w:ascii="微软雅黑" w:hAnsi="微软雅黑" w:eastAsia="微软雅黑" w:cs="微软雅黑"/>
          <w:spacing w:val="-19"/>
          <w:sz w:val="16"/>
          <w:szCs w:val="16"/>
        </w:rPr>
        <w:t xml:space="preserve"> </w:t>
      </w:r>
      <w:r>
        <w:rPr>
          <w:rFonts w:ascii="微软雅黑" w:hAnsi="微软雅黑" w:eastAsia="微软雅黑" w:cs="微软雅黑"/>
          <w:spacing w:val="35"/>
          <w:sz w:val="16"/>
          <w:szCs w:val="16"/>
        </w:rPr>
        <w:t>各</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种</w:t>
      </w:r>
      <w:r>
        <w:rPr>
          <w:rFonts w:ascii="微软雅黑" w:hAnsi="微软雅黑" w:eastAsia="微软雅黑" w:cs="微软雅黑"/>
          <w:sz w:val="16"/>
          <w:szCs w:val="16"/>
        </w:rPr>
        <w:t xml:space="preserve"> </w:t>
      </w:r>
      <w:r>
        <w:rPr>
          <w:rFonts w:ascii="微软雅黑" w:hAnsi="微软雅黑" w:eastAsia="微软雅黑" w:cs="微软雅黑"/>
          <w:spacing w:val="35"/>
          <w:sz w:val="16"/>
          <w:szCs w:val="16"/>
        </w:rPr>
        <w:t>重大显性问题解决方案的过</w:t>
      </w:r>
      <w:r>
        <w:rPr>
          <w:rFonts w:ascii="微软雅黑" w:hAnsi="微软雅黑" w:eastAsia="微软雅黑" w:cs="微软雅黑"/>
          <w:spacing w:val="-11"/>
          <w:sz w:val="16"/>
          <w:szCs w:val="16"/>
        </w:rPr>
        <w:t xml:space="preserve"> </w:t>
      </w:r>
      <w:r>
        <w:rPr>
          <w:rFonts w:ascii="微软雅黑" w:hAnsi="微软雅黑" w:eastAsia="微软雅黑" w:cs="微软雅黑"/>
          <w:spacing w:val="35"/>
          <w:sz w:val="16"/>
          <w:szCs w:val="16"/>
        </w:rPr>
        <w:t>程 中</w:t>
      </w:r>
      <w:r>
        <w:rPr>
          <w:rFonts w:ascii="微软雅黑" w:hAnsi="微软雅黑" w:eastAsia="微软雅黑" w:cs="微软雅黑"/>
          <w:spacing w:val="-23"/>
          <w:sz w:val="16"/>
          <w:szCs w:val="16"/>
        </w:rPr>
        <w:t xml:space="preserve"> </w:t>
      </w:r>
      <w:r>
        <w:rPr>
          <w:rFonts w:ascii="微软雅黑" w:hAnsi="微软雅黑" w:eastAsia="微软雅黑" w:cs="微软雅黑"/>
          <w:spacing w:val="35"/>
          <w:sz w:val="16"/>
          <w:szCs w:val="16"/>
        </w:rPr>
        <w:t>，还</w:t>
      </w:r>
      <w:r>
        <w:rPr>
          <w:rFonts w:ascii="微软雅黑" w:hAnsi="微软雅黑" w:eastAsia="微软雅黑" w:cs="微软雅黑"/>
          <w:spacing w:val="-20"/>
          <w:sz w:val="16"/>
          <w:szCs w:val="16"/>
        </w:rPr>
        <w:t xml:space="preserve"> </w:t>
      </w:r>
      <w:r>
        <w:rPr>
          <w:rFonts w:ascii="微软雅黑" w:hAnsi="微软雅黑" w:eastAsia="微软雅黑" w:cs="微软雅黑"/>
          <w:spacing w:val="35"/>
          <w:sz w:val="16"/>
          <w:szCs w:val="16"/>
        </w:rPr>
        <w:t>要</w:t>
      </w:r>
      <w:r>
        <w:rPr>
          <w:rFonts w:ascii="微软雅黑" w:hAnsi="微软雅黑" w:eastAsia="微软雅黑" w:cs="微软雅黑"/>
          <w:spacing w:val="-19"/>
          <w:sz w:val="16"/>
          <w:szCs w:val="16"/>
        </w:rPr>
        <w:t xml:space="preserve"> </w:t>
      </w:r>
      <w:r>
        <w:rPr>
          <w:rFonts w:ascii="微软雅黑" w:hAnsi="微软雅黑" w:eastAsia="微软雅黑" w:cs="微软雅黑"/>
          <w:spacing w:val="35"/>
          <w:sz w:val="16"/>
          <w:szCs w:val="16"/>
        </w:rPr>
        <w:t>对</w:t>
      </w:r>
      <w:r>
        <w:rPr>
          <w:rFonts w:ascii="微软雅黑" w:hAnsi="微软雅黑" w:eastAsia="微软雅黑" w:cs="微软雅黑"/>
          <w:spacing w:val="-16"/>
          <w:sz w:val="16"/>
          <w:szCs w:val="16"/>
        </w:rPr>
        <w:t xml:space="preserve"> </w:t>
      </w:r>
      <w:r>
        <w:rPr>
          <w:rFonts w:ascii="微软雅黑" w:hAnsi="微软雅黑" w:eastAsia="微软雅黑" w:cs="微软雅黑"/>
          <w:spacing w:val="35"/>
          <w:sz w:val="16"/>
          <w:szCs w:val="16"/>
        </w:rPr>
        <w:t>文</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化</w:t>
      </w:r>
      <w:r>
        <w:rPr>
          <w:rFonts w:ascii="微软雅黑" w:hAnsi="微软雅黑" w:eastAsia="微软雅黑" w:cs="微软雅黑"/>
          <w:spacing w:val="-3"/>
          <w:sz w:val="16"/>
          <w:szCs w:val="16"/>
        </w:rPr>
        <w:t xml:space="preserve"> </w:t>
      </w:r>
      <w:r>
        <w:rPr>
          <w:rFonts w:ascii="微软雅黑" w:hAnsi="微软雅黑" w:eastAsia="微软雅黑" w:cs="微软雅黑"/>
          <w:spacing w:val="35"/>
          <w:sz w:val="16"/>
          <w:szCs w:val="16"/>
        </w:rPr>
        <w:t>问</w:t>
      </w:r>
      <w:r>
        <w:rPr>
          <w:rFonts w:ascii="微软雅黑" w:hAnsi="微软雅黑" w:eastAsia="微软雅黑" w:cs="微软雅黑"/>
          <w:spacing w:val="-20"/>
          <w:sz w:val="16"/>
          <w:szCs w:val="16"/>
        </w:rPr>
        <w:t xml:space="preserve"> </w:t>
      </w:r>
      <w:r>
        <w:rPr>
          <w:rFonts w:ascii="微软雅黑" w:hAnsi="微软雅黑" w:eastAsia="微软雅黑" w:cs="微软雅黑"/>
          <w:spacing w:val="35"/>
          <w:sz w:val="16"/>
          <w:szCs w:val="16"/>
        </w:rPr>
        <w:t>题</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给予重视</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，通过各种文化创新战略行动</w:t>
      </w:r>
      <w:r>
        <w:rPr>
          <w:rFonts w:ascii="微软雅黑" w:hAnsi="微软雅黑" w:eastAsia="微软雅黑" w:cs="微软雅黑"/>
          <w:spacing w:val="-23"/>
          <w:sz w:val="16"/>
          <w:szCs w:val="16"/>
        </w:rPr>
        <w:t xml:space="preserve"> </w:t>
      </w:r>
      <w:r>
        <w:rPr>
          <w:rFonts w:ascii="微软雅黑" w:hAnsi="微软雅黑" w:eastAsia="微软雅黑" w:cs="微软雅黑"/>
          <w:spacing w:val="39"/>
          <w:sz w:val="16"/>
          <w:szCs w:val="16"/>
        </w:rPr>
        <w:t>，促进</w:t>
      </w:r>
      <w:r>
        <w:rPr>
          <w:rFonts w:ascii="微软雅黑" w:hAnsi="微软雅黑" w:eastAsia="微软雅黑" w:cs="微软雅黑"/>
          <w:spacing w:val="38"/>
          <w:sz w:val="16"/>
          <w:szCs w:val="16"/>
        </w:rPr>
        <w:t>高校遵</w:t>
      </w:r>
      <w:r>
        <w:rPr>
          <w:rFonts w:ascii="微软雅黑" w:hAnsi="微软雅黑" w:eastAsia="微软雅黑" w:cs="微软雅黑"/>
          <w:sz w:val="16"/>
          <w:szCs w:val="16"/>
        </w:rPr>
        <w:t xml:space="preserve"> </w:t>
      </w:r>
      <w:r>
        <w:rPr>
          <w:rFonts w:ascii="微软雅黑" w:hAnsi="微软雅黑" w:eastAsia="微软雅黑" w:cs="微软雅黑"/>
          <w:spacing w:val="7"/>
          <w:w w:val="123"/>
          <w:sz w:val="16"/>
          <w:szCs w:val="16"/>
        </w:rPr>
        <w:t>循高等教育规律办学</w:t>
      </w:r>
      <w:r>
        <w:rPr>
          <w:rFonts w:ascii="微软雅黑" w:hAnsi="微软雅黑" w:eastAsia="微软雅黑" w:cs="微软雅黑"/>
          <w:spacing w:val="7"/>
          <w:w w:val="123"/>
          <w:position w:val="5"/>
          <w:sz w:val="9"/>
          <w:szCs w:val="9"/>
        </w:rPr>
        <w:t>[</w:t>
      </w:r>
      <w:r>
        <w:rPr>
          <w:rFonts w:ascii="Arial" w:hAnsi="Arial" w:eastAsia="Arial" w:cs="Arial"/>
          <w:spacing w:val="7"/>
          <w:w w:val="123"/>
          <w:position w:val="5"/>
          <w:sz w:val="9"/>
          <w:szCs w:val="9"/>
        </w:rPr>
        <w:t>11</w:t>
      </w:r>
      <w:r>
        <w:rPr>
          <w:rFonts w:ascii="微软雅黑" w:hAnsi="微软雅黑" w:eastAsia="微软雅黑" w:cs="微软雅黑"/>
          <w:spacing w:val="7"/>
          <w:w w:val="123"/>
          <w:position w:val="5"/>
          <w:sz w:val="9"/>
          <w:szCs w:val="9"/>
        </w:rPr>
        <w:t>]</w:t>
      </w:r>
      <w:r>
        <w:rPr>
          <w:rFonts w:ascii="微软雅黑" w:hAnsi="微软雅黑" w:eastAsia="微软雅黑" w:cs="微软雅黑"/>
          <w:spacing w:val="15"/>
          <w:position w:val="5"/>
          <w:sz w:val="9"/>
          <w:szCs w:val="9"/>
        </w:rPr>
        <w:t xml:space="preserve">  </w:t>
      </w:r>
      <w:r>
        <w:rPr>
          <w:rFonts w:ascii="微软雅黑" w:hAnsi="微软雅黑" w:eastAsia="微软雅黑" w:cs="微软雅黑"/>
          <w:spacing w:val="7"/>
          <w:w w:val="123"/>
          <w:sz w:val="16"/>
          <w:szCs w:val="16"/>
        </w:rPr>
        <w:t>。</w:t>
      </w:r>
      <w:r>
        <w:rPr>
          <w:rFonts w:ascii="微软雅黑" w:hAnsi="微软雅黑" w:eastAsia="微软雅黑" w:cs="微软雅黑"/>
          <w:spacing w:val="-14"/>
          <w:sz w:val="16"/>
          <w:szCs w:val="16"/>
        </w:rPr>
        <w:t xml:space="preserve"> </w:t>
      </w:r>
      <w:r>
        <w:rPr>
          <w:rFonts w:ascii="微软雅黑" w:hAnsi="微软雅黑" w:eastAsia="微软雅黑" w:cs="微软雅黑"/>
          <w:spacing w:val="7"/>
          <w:w w:val="123"/>
          <w:sz w:val="16"/>
          <w:szCs w:val="16"/>
        </w:rPr>
        <w:t>人才培养是高校最基本的</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职能</w:t>
      </w:r>
      <w:r>
        <w:rPr>
          <w:rFonts w:ascii="微软雅黑" w:hAnsi="微软雅黑" w:eastAsia="微软雅黑" w:cs="微软雅黑"/>
          <w:spacing w:val="-11"/>
          <w:sz w:val="16"/>
          <w:szCs w:val="16"/>
        </w:rPr>
        <w:t xml:space="preserve"> </w:t>
      </w:r>
      <w:r>
        <w:rPr>
          <w:rFonts w:ascii="微软雅黑" w:hAnsi="微软雅黑" w:eastAsia="微软雅黑" w:cs="微软雅黑"/>
          <w:spacing w:val="36"/>
          <w:sz w:val="16"/>
          <w:szCs w:val="16"/>
        </w:rPr>
        <w:t>，而高校质量文化集中代</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表</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着</w:t>
      </w:r>
      <w:r>
        <w:rPr>
          <w:rFonts w:ascii="微软雅黑" w:hAnsi="微软雅黑" w:eastAsia="微软雅黑" w:cs="微软雅黑"/>
          <w:spacing w:val="-14"/>
          <w:sz w:val="16"/>
          <w:szCs w:val="16"/>
        </w:rPr>
        <w:t xml:space="preserve"> </w:t>
      </w:r>
      <w:r>
        <w:rPr>
          <w:rFonts w:ascii="微软雅黑" w:hAnsi="微软雅黑" w:eastAsia="微软雅黑" w:cs="微软雅黑"/>
          <w:spacing w:val="36"/>
          <w:sz w:val="16"/>
          <w:szCs w:val="16"/>
        </w:rPr>
        <w:t>高</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校</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人</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才</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培</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养</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质</w:t>
      </w:r>
      <w:r>
        <w:rPr>
          <w:rFonts w:ascii="微软雅黑" w:hAnsi="微软雅黑" w:eastAsia="微软雅黑" w:cs="微软雅黑"/>
          <w:sz w:val="16"/>
          <w:szCs w:val="16"/>
        </w:rPr>
        <w:t xml:space="preserve"> </w:t>
      </w:r>
      <w:r>
        <w:rPr>
          <w:rFonts w:ascii="微软雅黑" w:hAnsi="微软雅黑" w:eastAsia="微软雅黑" w:cs="微软雅黑"/>
          <w:spacing w:val="27"/>
          <w:sz w:val="16"/>
          <w:szCs w:val="16"/>
        </w:rPr>
        <w:t>量的价值观与理念</w:t>
      </w:r>
      <w:r>
        <w:rPr>
          <w:rFonts w:ascii="微软雅黑" w:hAnsi="微软雅黑" w:eastAsia="微软雅黑" w:cs="微软雅黑"/>
          <w:spacing w:val="13"/>
          <w:w w:val="101"/>
          <w:sz w:val="16"/>
          <w:szCs w:val="16"/>
        </w:rPr>
        <w:t xml:space="preserve"> </w:t>
      </w:r>
      <w:r>
        <w:rPr>
          <w:rFonts w:ascii="微软雅黑" w:hAnsi="微软雅黑" w:eastAsia="微软雅黑" w:cs="微软雅黑"/>
          <w:spacing w:val="27"/>
          <w:sz w:val="16"/>
          <w:szCs w:val="16"/>
        </w:rPr>
        <w:t>。 随</w:t>
      </w:r>
      <w:r>
        <w:rPr>
          <w:rFonts w:ascii="微软雅黑" w:hAnsi="微软雅黑" w:eastAsia="微软雅黑" w:cs="微软雅黑"/>
          <w:spacing w:val="-19"/>
          <w:sz w:val="16"/>
          <w:szCs w:val="16"/>
        </w:rPr>
        <w:t xml:space="preserve"> </w:t>
      </w:r>
      <w:r>
        <w:rPr>
          <w:rFonts w:ascii="微软雅黑" w:hAnsi="微软雅黑" w:eastAsia="微软雅黑" w:cs="微软雅黑"/>
          <w:spacing w:val="27"/>
          <w:sz w:val="16"/>
          <w:szCs w:val="16"/>
        </w:rPr>
        <w:t>着</w:t>
      </w:r>
      <w:r>
        <w:rPr>
          <w:rFonts w:ascii="微软雅黑" w:hAnsi="微软雅黑" w:eastAsia="微软雅黑" w:cs="微软雅黑"/>
          <w:spacing w:val="-14"/>
          <w:sz w:val="16"/>
          <w:szCs w:val="16"/>
        </w:rPr>
        <w:t xml:space="preserve"> </w:t>
      </w:r>
      <w:r>
        <w:rPr>
          <w:rFonts w:ascii="微软雅黑" w:hAnsi="微软雅黑" w:eastAsia="微软雅黑" w:cs="微软雅黑"/>
          <w:spacing w:val="27"/>
          <w:sz w:val="16"/>
          <w:szCs w:val="16"/>
        </w:rPr>
        <w:t>高</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等</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教</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育 内</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涵</w:t>
      </w:r>
      <w:r>
        <w:rPr>
          <w:rFonts w:ascii="微软雅黑" w:hAnsi="微软雅黑" w:eastAsia="微软雅黑" w:cs="微软雅黑"/>
          <w:spacing w:val="-18"/>
          <w:sz w:val="16"/>
          <w:szCs w:val="16"/>
        </w:rPr>
        <w:t xml:space="preserve"> </w:t>
      </w:r>
      <w:r>
        <w:rPr>
          <w:rFonts w:ascii="微软雅黑" w:hAnsi="微软雅黑" w:eastAsia="微软雅黑" w:cs="微软雅黑"/>
          <w:spacing w:val="27"/>
          <w:sz w:val="16"/>
          <w:szCs w:val="16"/>
        </w:rPr>
        <w:t>式</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发</w:t>
      </w:r>
      <w:r>
        <w:rPr>
          <w:rFonts w:ascii="微软雅黑" w:hAnsi="微软雅黑" w:eastAsia="微软雅黑" w:cs="微软雅黑"/>
          <w:spacing w:val="-18"/>
          <w:sz w:val="16"/>
          <w:szCs w:val="16"/>
        </w:rPr>
        <w:t xml:space="preserve"> </w:t>
      </w:r>
      <w:r>
        <w:rPr>
          <w:rFonts w:ascii="微软雅黑" w:hAnsi="微软雅黑" w:eastAsia="微软雅黑" w:cs="微软雅黑"/>
          <w:spacing w:val="27"/>
          <w:sz w:val="16"/>
          <w:szCs w:val="16"/>
        </w:rPr>
        <w:t>展</w:t>
      </w:r>
      <w:r>
        <w:rPr>
          <w:rFonts w:ascii="微软雅黑" w:hAnsi="微软雅黑" w:eastAsia="微软雅黑" w:cs="微软雅黑"/>
          <w:spacing w:val="-24"/>
          <w:sz w:val="16"/>
          <w:szCs w:val="16"/>
        </w:rPr>
        <w:t xml:space="preserve"> </w:t>
      </w:r>
      <w:r>
        <w:rPr>
          <w:rFonts w:ascii="微软雅黑" w:hAnsi="微软雅黑" w:eastAsia="微软雅黑" w:cs="微软雅黑"/>
          <w:spacing w:val="27"/>
          <w:sz w:val="16"/>
          <w:szCs w:val="16"/>
        </w:rPr>
        <w:t>，质</w:t>
      </w:r>
      <w:r>
        <w:rPr>
          <w:rFonts w:ascii="微软雅黑" w:hAnsi="微软雅黑" w:eastAsia="微软雅黑" w:cs="微软雅黑"/>
          <w:sz w:val="16"/>
          <w:szCs w:val="16"/>
        </w:rPr>
        <w:t xml:space="preserve"> </w:t>
      </w:r>
      <w:r>
        <w:rPr>
          <w:rFonts w:ascii="微软雅黑" w:hAnsi="微软雅黑" w:eastAsia="微软雅黑" w:cs="微软雅黑"/>
          <w:spacing w:val="7"/>
          <w:w w:val="123"/>
          <w:sz w:val="16"/>
          <w:szCs w:val="16"/>
        </w:rPr>
        <w:t>量文化愈发凸显出其重要作用</w:t>
      </w:r>
      <w:r>
        <w:rPr>
          <w:rFonts w:ascii="微软雅黑" w:hAnsi="微软雅黑" w:eastAsia="微软雅黑" w:cs="微软雅黑"/>
          <w:spacing w:val="1"/>
          <w:sz w:val="16"/>
          <w:szCs w:val="16"/>
        </w:rPr>
        <w:t xml:space="preserve"> </w:t>
      </w:r>
      <w:r>
        <w:rPr>
          <w:rFonts w:ascii="微软雅黑" w:hAnsi="微软雅黑" w:eastAsia="微软雅黑" w:cs="微软雅黑"/>
          <w:spacing w:val="7"/>
          <w:w w:val="123"/>
          <w:sz w:val="16"/>
          <w:szCs w:val="16"/>
        </w:rPr>
        <w:t>。</w:t>
      </w:r>
      <w:r>
        <w:rPr>
          <w:rFonts w:ascii="微软雅黑" w:hAnsi="微软雅黑" w:eastAsia="微软雅黑" w:cs="微软雅黑"/>
          <w:spacing w:val="-8"/>
          <w:sz w:val="16"/>
          <w:szCs w:val="16"/>
        </w:rPr>
        <w:t xml:space="preserve"> </w:t>
      </w:r>
      <w:r>
        <w:rPr>
          <w:rFonts w:ascii="微软雅黑" w:hAnsi="微软雅黑" w:eastAsia="微软雅黑" w:cs="微软雅黑"/>
          <w:spacing w:val="7"/>
          <w:w w:val="123"/>
          <w:sz w:val="16"/>
          <w:szCs w:val="16"/>
        </w:rPr>
        <w:t>例如在新</w:t>
      </w:r>
      <w:r>
        <w:rPr>
          <w:rFonts w:ascii="微软雅黑" w:hAnsi="微软雅黑" w:eastAsia="微软雅黑" w:cs="微软雅黑"/>
          <w:spacing w:val="-23"/>
          <w:sz w:val="16"/>
          <w:szCs w:val="16"/>
        </w:rPr>
        <w:t xml:space="preserve"> </w:t>
      </w:r>
      <w:r>
        <w:rPr>
          <w:rFonts w:ascii="微软雅黑" w:hAnsi="微软雅黑" w:eastAsia="微软雅黑" w:cs="微软雅黑"/>
          <w:spacing w:val="7"/>
          <w:w w:val="123"/>
          <w:sz w:val="16"/>
          <w:szCs w:val="16"/>
        </w:rPr>
        <w:t>一</w:t>
      </w:r>
      <w:r>
        <w:rPr>
          <w:rFonts w:ascii="微软雅黑" w:hAnsi="微软雅黑" w:eastAsia="微软雅黑" w:cs="微软雅黑"/>
          <w:spacing w:val="-22"/>
          <w:sz w:val="16"/>
          <w:szCs w:val="16"/>
        </w:rPr>
        <w:t xml:space="preserve"> </w:t>
      </w:r>
      <w:r>
        <w:rPr>
          <w:rFonts w:ascii="微软雅黑" w:hAnsi="微软雅黑" w:eastAsia="微软雅黑" w:cs="微软雅黑"/>
          <w:spacing w:val="7"/>
          <w:w w:val="123"/>
          <w:sz w:val="16"/>
          <w:szCs w:val="16"/>
        </w:rPr>
        <w:t>轮普通</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高等学校审核评估指标中</w:t>
      </w:r>
      <w:r>
        <w:rPr>
          <w:rFonts w:ascii="微软雅黑" w:hAnsi="微软雅黑" w:eastAsia="微软雅黑" w:cs="微软雅黑"/>
          <w:spacing w:val="-10"/>
          <w:sz w:val="16"/>
          <w:szCs w:val="16"/>
        </w:rPr>
        <w:t xml:space="preserve"> </w:t>
      </w:r>
      <w:r>
        <w:rPr>
          <w:rFonts w:ascii="微软雅黑" w:hAnsi="微软雅黑" w:eastAsia="微软雅黑" w:cs="微软雅黑"/>
          <w:spacing w:val="36"/>
          <w:sz w:val="16"/>
          <w:szCs w:val="16"/>
        </w:rPr>
        <w:t>，就</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新</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增</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量</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文</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化</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作</w:t>
      </w:r>
      <w:r>
        <w:rPr>
          <w:rFonts w:ascii="微软雅黑" w:hAnsi="微软雅黑" w:eastAsia="微软雅黑" w:cs="微软雅黑"/>
          <w:spacing w:val="-14"/>
          <w:sz w:val="16"/>
          <w:szCs w:val="16"/>
        </w:rPr>
        <w:t xml:space="preserve"> </w:t>
      </w:r>
      <w:r>
        <w:rPr>
          <w:rFonts w:ascii="微软雅黑" w:hAnsi="微软雅黑" w:eastAsia="微软雅黑" w:cs="微软雅黑"/>
          <w:spacing w:val="36"/>
          <w:sz w:val="16"/>
          <w:szCs w:val="16"/>
        </w:rPr>
        <w:t>为</w:t>
      </w:r>
      <w:r>
        <w:rPr>
          <w:rFonts w:ascii="微软雅黑" w:hAnsi="微软雅黑" w:eastAsia="微软雅黑" w:cs="微软雅黑"/>
          <w:spacing w:val="-14"/>
          <w:sz w:val="16"/>
          <w:szCs w:val="16"/>
        </w:rPr>
        <w:t xml:space="preserve"> </w:t>
      </w:r>
      <w:r>
        <w:rPr>
          <w:rFonts w:ascii="微软雅黑" w:hAnsi="微软雅黑" w:eastAsia="微软雅黑" w:cs="微软雅黑"/>
          <w:spacing w:val="36"/>
          <w:sz w:val="16"/>
          <w:szCs w:val="16"/>
        </w:rPr>
        <w:t>高</w:t>
      </w:r>
    </w:p>
    <w:p>
      <w:pPr>
        <w:spacing w:line="14" w:lineRule="auto"/>
        <w:rPr>
          <w:rFonts w:ascii="Arial"/>
          <w:sz w:val="2"/>
        </w:rPr>
      </w:pPr>
      <w:r>
        <w:rPr>
          <w:rFonts w:ascii="Arial" w:hAnsi="Arial" w:eastAsia="Arial" w:cs="Arial"/>
          <w:sz w:val="2"/>
          <w:szCs w:val="2"/>
        </w:rPr>
        <w:br w:type="column"/>
      </w:r>
    </w:p>
    <w:p>
      <w:pPr>
        <w:spacing w:before="31" w:line="236" w:lineRule="auto"/>
        <w:ind w:left="17" w:firstLine="2"/>
        <w:jc w:val="both"/>
        <w:rPr>
          <w:rFonts w:ascii="微软雅黑" w:hAnsi="微软雅黑" w:eastAsia="微软雅黑" w:cs="微软雅黑"/>
          <w:sz w:val="16"/>
          <w:szCs w:val="16"/>
        </w:rPr>
      </w:pPr>
      <w:r>
        <w:rPr>
          <w:rFonts w:ascii="微软雅黑" w:hAnsi="微软雅黑" w:eastAsia="微软雅黑" w:cs="微软雅黑"/>
          <w:spacing w:val="24"/>
          <w:sz w:val="16"/>
          <w:szCs w:val="16"/>
        </w:rPr>
        <w:t>校质量保障能力</w:t>
      </w:r>
      <w:r>
        <w:rPr>
          <w:rFonts w:ascii="微软雅黑" w:hAnsi="微软雅黑" w:eastAsia="微软雅黑" w:cs="微软雅黑"/>
          <w:spacing w:val="-23"/>
          <w:sz w:val="16"/>
          <w:szCs w:val="16"/>
        </w:rPr>
        <w:t xml:space="preserve"> </w:t>
      </w:r>
      <w:r>
        <w:rPr>
          <w:rFonts w:ascii="微软雅黑" w:hAnsi="微软雅黑" w:eastAsia="微软雅黑" w:cs="微软雅黑"/>
          <w:spacing w:val="24"/>
          <w:sz w:val="16"/>
          <w:szCs w:val="16"/>
        </w:rPr>
        <w:t>，要</w:t>
      </w:r>
      <w:r>
        <w:rPr>
          <w:rFonts w:ascii="微软雅黑" w:hAnsi="微软雅黑" w:eastAsia="微软雅黑" w:cs="微软雅黑"/>
          <w:spacing w:val="-19"/>
          <w:sz w:val="16"/>
          <w:szCs w:val="16"/>
        </w:rPr>
        <w:t xml:space="preserve"> </w:t>
      </w:r>
      <w:r>
        <w:rPr>
          <w:rFonts w:ascii="微软雅黑" w:hAnsi="微软雅黑" w:eastAsia="微软雅黑" w:cs="微软雅黑"/>
          <w:spacing w:val="24"/>
          <w:sz w:val="16"/>
          <w:szCs w:val="16"/>
        </w:rPr>
        <w:t>求</w:t>
      </w:r>
      <w:r>
        <w:rPr>
          <w:rFonts w:ascii="微软雅黑" w:hAnsi="微软雅黑" w:eastAsia="微软雅黑" w:cs="微软雅黑"/>
          <w:spacing w:val="-15"/>
          <w:sz w:val="16"/>
          <w:szCs w:val="16"/>
        </w:rPr>
        <w:t xml:space="preserve"> </w:t>
      </w:r>
      <w:r>
        <w:rPr>
          <w:rFonts w:ascii="微软雅黑" w:hAnsi="微软雅黑" w:eastAsia="微软雅黑" w:cs="微软雅黑"/>
          <w:spacing w:val="24"/>
          <w:sz w:val="16"/>
          <w:szCs w:val="16"/>
        </w:rPr>
        <w:t>高</w:t>
      </w:r>
      <w:r>
        <w:rPr>
          <w:rFonts w:ascii="微软雅黑" w:hAnsi="微软雅黑" w:eastAsia="微软雅黑" w:cs="微软雅黑"/>
          <w:spacing w:val="-16"/>
          <w:sz w:val="16"/>
          <w:szCs w:val="16"/>
        </w:rPr>
        <w:t xml:space="preserve"> </w:t>
      </w:r>
      <w:r>
        <w:rPr>
          <w:rFonts w:ascii="微软雅黑" w:hAnsi="微软雅黑" w:eastAsia="微软雅黑" w:cs="微软雅黑"/>
          <w:spacing w:val="24"/>
          <w:sz w:val="16"/>
          <w:szCs w:val="16"/>
        </w:rPr>
        <w:t>校</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不</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仅</w:t>
      </w:r>
      <w:r>
        <w:rPr>
          <w:rFonts w:ascii="微软雅黑" w:hAnsi="微软雅黑" w:eastAsia="微软雅黑" w:cs="微软雅黑"/>
          <w:spacing w:val="-20"/>
          <w:sz w:val="16"/>
          <w:szCs w:val="16"/>
        </w:rPr>
        <w:t xml:space="preserve"> </w:t>
      </w:r>
      <w:r>
        <w:rPr>
          <w:rFonts w:ascii="微软雅黑" w:hAnsi="微软雅黑" w:eastAsia="微软雅黑" w:cs="微软雅黑"/>
          <w:spacing w:val="24"/>
          <w:sz w:val="16"/>
          <w:szCs w:val="16"/>
        </w:rPr>
        <w:t>要</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建</w:t>
      </w:r>
      <w:r>
        <w:rPr>
          <w:rFonts w:ascii="微软雅黑" w:hAnsi="微软雅黑" w:eastAsia="微软雅黑" w:cs="微软雅黑"/>
          <w:spacing w:val="-22"/>
          <w:sz w:val="16"/>
          <w:szCs w:val="16"/>
        </w:rPr>
        <w:t xml:space="preserve"> </w:t>
      </w:r>
      <w:r>
        <w:rPr>
          <w:rFonts w:ascii="微软雅黑" w:hAnsi="微软雅黑" w:eastAsia="微软雅黑" w:cs="微软雅黑"/>
          <w:spacing w:val="24"/>
          <w:sz w:val="16"/>
          <w:szCs w:val="16"/>
        </w:rPr>
        <w:t>设 自</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觉</w:t>
      </w:r>
      <w:r>
        <w:rPr>
          <w:rFonts w:ascii="微软雅黑" w:hAnsi="微软雅黑" w:eastAsia="微软雅黑" w:cs="微软雅黑"/>
          <w:spacing w:val="-17"/>
          <w:sz w:val="16"/>
          <w:szCs w:val="16"/>
        </w:rPr>
        <w:t xml:space="preserve"> </w:t>
      </w:r>
      <w:r>
        <w:rPr>
          <w:rFonts w:ascii="微软雅黑" w:hAnsi="微软雅黑" w:eastAsia="微软雅黑" w:cs="微软雅黑"/>
          <w:spacing w:val="24"/>
          <w:sz w:val="16"/>
          <w:szCs w:val="16"/>
        </w:rPr>
        <w:t>、自</w:t>
      </w:r>
      <w:r>
        <w:rPr>
          <w:rFonts w:ascii="微软雅黑" w:hAnsi="微软雅黑" w:eastAsia="微软雅黑" w:cs="微软雅黑"/>
          <w:spacing w:val="-17"/>
          <w:sz w:val="16"/>
          <w:szCs w:val="16"/>
        </w:rPr>
        <w:t xml:space="preserve"> </w:t>
      </w:r>
      <w:r>
        <w:rPr>
          <w:rFonts w:ascii="微软雅黑" w:hAnsi="微软雅黑" w:eastAsia="微软雅黑" w:cs="微软雅黑"/>
          <w:spacing w:val="24"/>
          <w:sz w:val="16"/>
          <w:szCs w:val="16"/>
        </w:rPr>
        <w:t>省</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28"/>
          <w:sz w:val="16"/>
          <w:szCs w:val="16"/>
        </w:rPr>
        <w:t>自律</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、自查</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、自纠的质量文化</w:t>
      </w:r>
      <w:r>
        <w:rPr>
          <w:rFonts w:ascii="微软雅黑" w:hAnsi="微软雅黑" w:eastAsia="微软雅黑" w:cs="微软雅黑"/>
          <w:spacing w:val="-24"/>
          <w:sz w:val="16"/>
          <w:szCs w:val="16"/>
        </w:rPr>
        <w:t xml:space="preserve"> </w:t>
      </w:r>
      <w:r>
        <w:rPr>
          <w:rFonts w:ascii="微软雅黑" w:hAnsi="微软雅黑" w:eastAsia="微软雅黑" w:cs="微软雅黑"/>
          <w:spacing w:val="28"/>
          <w:sz w:val="16"/>
          <w:szCs w:val="16"/>
        </w:rPr>
        <w:t>，还要</w:t>
      </w:r>
      <w:r>
        <w:rPr>
          <w:rFonts w:ascii="微软雅黑" w:hAnsi="微软雅黑" w:eastAsia="微软雅黑" w:cs="微软雅黑"/>
          <w:spacing w:val="-21"/>
          <w:sz w:val="16"/>
          <w:szCs w:val="16"/>
        </w:rPr>
        <w:t xml:space="preserve"> </w:t>
      </w:r>
      <w:r>
        <w:rPr>
          <w:rFonts w:ascii="微软雅黑" w:hAnsi="微软雅黑" w:eastAsia="微软雅黑" w:cs="微软雅黑"/>
          <w:spacing w:val="28"/>
          <w:sz w:val="16"/>
          <w:szCs w:val="16"/>
        </w:rPr>
        <w:t>“将质量价值观落</w:t>
      </w:r>
      <w:r>
        <w:rPr>
          <w:rFonts w:ascii="微软雅黑" w:hAnsi="微软雅黑" w:eastAsia="微软雅黑" w:cs="微软雅黑"/>
          <w:sz w:val="16"/>
          <w:szCs w:val="16"/>
        </w:rPr>
        <w:t xml:space="preserve">  </w:t>
      </w:r>
      <w:r>
        <w:rPr>
          <w:rFonts w:ascii="微软雅黑" w:hAnsi="微软雅黑" w:eastAsia="微软雅黑" w:cs="微软雅黑"/>
          <w:spacing w:val="34"/>
          <w:sz w:val="16"/>
          <w:szCs w:val="16"/>
        </w:rPr>
        <w:t>实到教育教学各环节</w:t>
      </w:r>
      <w:r>
        <w:rPr>
          <w:rFonts w:ascii="微软雅黑" w:hAnsi="微软雅黑" w:eastAsia="微软雅黑" w:cs="微软雅黑"/>
          <w:spacing w:val="-18"/>
          <w:sz w:val="16"/>
          <w:szCs w:val="16"/>
        </w:rPr>
        <w:t xml:space="preserve"> </w:t>
      </w:r>
      <w:r>
        <w:rPr>
          <w:rFonts w:ascii="微软雅黑" w:hAnsi="微软雅黑" w:eastAsia="微软雅黑" w:cs="微软雅黑"/>
          <w:spacing w:val="34"/>
          <w:sz w:val="16"/>
          <w:szCs w:val="16"/>
        </w:rPr>
        <w:t>、将质量</w:t>
      </w:r>
      <w:r>
        <w:rPr>
          <w:rFonts w:ascii="微软雅黑" w:hAnsi="微软雅黑" w:eastAsia="微软雅黑" w:cs="微软雅黑"/>
          <w:spacing w:val="-20"/>
          <w:sz w:val="16"/>
          <w:szCs w:val="16"/>
        </w:rPr>
        <w:t xml:space="preserve"> </w:t>
      </w:r>
      <w:r>
        <w:rPr>
          <w:rFonts w:ascii="微软雅黑" w:hAnsi="微软雅黑" w:eastAsia="微软雅黑" w:cs="微软雅黑"/>
          <w:spacing w:val="34"/>
          <w:sz w:val="16"/>
          <w:szCs w:val="16"/>
        </w:rPr>
        <w:t>要</w:t>
      </w:r>
      <w:r>
        <w:rPr>
          <w:rFonts w:ascii="微软雅黑" w:hAnsi="微软雅黑" w:eastAsia="微软雅黑" w:cs="微软雅黑"/>
          <w:spacing w:val="-20"/>
          <w:sz w:val="16"/>
          <w:szCs w:val="16"/>
        </w:rPr>
        <w:t xml:space="preserve"> </w:t>
      </w:r>
      <w:r>
        <w:rPr>
          <w:rFonts w:ascii="微软雅黑" w:hAnsi="微软雅黑" w:eastAsia="微软雅黑" w:cs="微软雅黑"/>
          <w:spacing w:val="34"/>
          <w:sz w:val="16"/>
          <w:szCs w:val="16"/>
        </w:rPr>
        <w:t>求 内</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化</w:t>
      </w:r>
      <w:r>
        <w:rPr>
          <w:rFonts w:ascii="微软雅黑" w:hAnsi="微软雅黑" w:eastAsia="微软雅黑" w:cs="微软雅黑"/>
          <w:spacing w:val="-14"/>
          <w:sz w:val="16"/>
          <w:szCs w:val="16"/>
        </w:rPr>
        <w:t xml:space="preserve"> </w:t>
      </w:r>
      <w:r>
        <w:rPr>
          <w:rFonts w:ascii="微软雅黑" w:hAnsi="微软雅黑" w:eastAsia="微软雅黑" w:cs="微软雅黑"/>
          <w:spacing w:val="34"/>
          <w:sz w:val="16"/>
          <w:szCs w:val="16"/>
        </w:rPr>
        <w:t>为</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全</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校</w:t>
      </w:r>
      <w:r>
        <w:rPr>
          <w:rFonts w:ascii="微软雅黑" w:hAnsi="微软雅黑" w:eastAsia="微软雅黑" w:cs="微软雅黑"/>
          <w:spacing w:val="-15"/>
          <w:sz w:val="16"/>
          <w:szCs w:val="16"/>
        </w:rPr>
        <w:t xml:space="preserve"> </w:t>
      </w:r>
      <w:r>
        <w:rPr>
          <w:rFonts w:ascii="微软雅黑" w:hAnsi="微软雅黑" w:eastAsia="微软雅黑" w:cs="微软雅黑"/>
          <w:spacing w:val="34"/>
          <w:sz w:val="16"/>
          <w:szCs w:val="16"/>
        </w:rPr>
        <w:t>师</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生</w:t>
      </w:r>
      <w:r>
        <w:rPr>
          <w:rFonts w:ascii="微软雅黑" w:hAnsi="微软雅黑" w:eastAsia="微软雅黑" w:cs="微软雅黑"/>
          <w:sz w:val="16"/>
          <w:szCs w:val="16"/>
        </w:rPr>
        <w:t xml:space="preserve">  </w:t>
      </w:r>
      <w:r>
        <w:rPr>
          <w:rFonts w:ascii="微软雅黑" w:hAnsi="微软雅黑" w:eastAsia="微软雅黑" w:cs="微软雅黑"/>
          <w:spacing w:val="27"/>
          <w:sz w:val="16"/>
          <w:szCs w:val="16"/>
        </w:rPr>
        <w:t>的共同价值追求</w:t>
      </w:r>
      <w:r>
        <w:rPr>
          <w:rFonts w:ascii="微软雅黑" w:hAnsi="微软雅黑" w:eastAsia="微软雅黑" w:cs="微软雅黑"/>
          <w:spacing w:val="-14"/>
          <w:sz w:val="16"/>
          <w:szCs w:val="16"/>
        </w:rPr>
        <w:t xml:space="preserve"> </w:t>
      </w:r>
      <w:r>
        <w:rPr>
          <w:rFonts w:ascii="微软雅黑" w:hAnsi="微软雅黑" w:eastAsia="微软雅黑" w:cs="微软雅黑"/>
          <w:spacing w:val="27"/>
          <w:sz w:val="16"/>
          <w:szCs w:val="16"/>
        </w:rPr>
        <w:t>”</w:t>
      </w:r>
      <w:r>
        <w:rPr>
          <w:rFonts w:ascii="微软雅黑" w:hAnsi="微软雅黑" w:eastAsia="微软雅黑" w:cs="微软雅黑"/>
          <w:spacing w:val="27"/>
          <w:position w:val="5"/>
          <w:sz w:val="9"/>
          <w:szCs w:val="9"/>
        </w:rPr>
        <w:t>[</w:t>
      </w:r>
      <w:r>
        <w:rPr>
          <w:rFonts w:ascii="Arial" w:hAnsi="Arial" w:eastAsia="Arial" w:cs="Arial"/>
          <w:spacing w:val="27"/>
          <w:position w:val="5"/>
          <w:sz w:val="9"/>
          <w:szCs w:val="9"/>
        </w:rPr>
        <w:t>12</w:t>
      </w:r>
      <w:r>
        <w:rPr>
          <w:rFonts w:ascii="微软雅黑" w:hAnsi="微软雅黑" w:eastAsia="微软雅黑" w:cs="微软雅黑"/>
          <w:spacing w:val="27"/>
          <w:position w:val="5"/>
          <w:sz w:val="9"/>
          <w:szCs w:val="9"/>
        </w:rPr>
        <w:t xml:space="preserve">]  </w:t>
      </w:r>
      <w:r>
        <w:rPr>
          <w:rFonts w:ascii="微软雅黑" w:hAnsi="微软雅黑" w:eastAsia="微软雅黑" w:cs="微软雅黑"/>
          <w:spacing w:val="27"/>
          <w:sz w:val="16"/>
          <w:szCs w:val="16"/>
        </w:rPr>
        <w:t>。 因此</w:t>
      </w:r>
      <w:r>
        <w:rPr>
          <w:rFonts w:ascii="微软雅黑" w:hAnsi="微软雅黑" w:eastAsia="微软雅黑" w:cs="微软雅黑"/>
          <w:spacing w:val="-24"/>
          <w:sz w:val="16"/>
          <w:szCs w:val="16"/>
        </w:rPr>
        <w:t xml:space="preserve"> </w:t>
      </w:r>
      <w:r>
        <w:rPr>
          <w:rFonts w:ascii="微软雅黑" w:hAnsi="微软雅黑" w:eastAsia="微软雅黑" w:cs="微软雅黑"/>
          <w:spacing w:val="27"/>
          <w:sz w:val="16"/>
          <w:szCs w:val="16"/>
        </w:rPr>
        <w:t>，高校在制定战略规划中</w:t>
      </w:r>
      <w:r>
        <w:rPr>
          <w:rFonts w:ascii="微软雅黑" w:hAnsi="微软雅黑" w:eastAsia="微软雅黑" w:cs="微软雅黑"/>
          <w:sz w:val="16"/>
          <w:szCs w:val="16"/>
        </w:rPr>
        <w:t xml:space="preserve">  </w:t>
      </w:r>
      <w:r>
        <w:rPr>
          <w:rFonts w:ascii="微软雅黑" w:hAnsi="微软雅黑" w:eastAsia="微软雅黑" w:cs="微软雅黑"/>
          <w:spacing w:val="7"/>
          <w:w w:val="123"/>
          <w:sz w:val="16"/>
          <w:szCs w:val="16"/>
        </w:rPr>
        <w:t>更需要将质量文化这</w:t>
      </w:r>
      <w:r>
        <w:rPr>
          <w:rFonts w:ascii="微软雅黑" w:hAnsi="微软雅黑" w:eastAsia="微软雅黑" w:cs="微软雅黑"/>
          <w:spacing w:val="-27"/>
          <w:sz w:val="16"/>
          <w:szCs w:val="16"/>
        </w:rPr>
        <w:t xml:space="preserve"> </w:t>
      </w:r>
      <w:r>
        <w:rPr>
          <w:rFonts w:ascii="微软雅黑" w:hAnsi="微软雅黑" w:eastAsia="微软雅黑" w:cs="微软雅黑"/>
          <w:spacing w:val="7"/>
          <w:w w:val="123"/>
          <w:sz w:val="16"/>
          <w:szCs w:val="16"/>
        </w:rPr>
        <w:t>一</w:t>
      </w:r>
      <w:r>
        <w:rPr>
          <w:rFonts w:ascii="微软雅黑" w:hAnsi="微软雅黑" w:eastAsia="微软雅黑" w:cs="微软雅黑"/>
          <w:spacing w:val="-27"/>
          <w:sz w:val="16"/>
          <w:szCs w:val="16"/>
        </w:rPr>
        <w:t xml:space="preserve"> </w:t>
      </w:r>
      <w:r>
        <w:rPr>
          <w:rFonts w:ascii="微软雅黑" w:hAnsi="微软雅黑" w:eastAsia="微软雅黑" w:cs="微软雅黑"/>
          <w:spacing w:val="7"/>
          <w:w w:val="123"/>
          <w:sz w:val="16"/>
          <w:szCs w:val="16"/>
        </w:rPr>
        <w:t>重要因素考虑进去</w:t>
      </w:r>
      <w:r>
        <w:rPr>
          <w:rFonts w:ascii="微软雅黑" w:hAnsi="微软雅黑" w:eastAsia="微软雅黑" w:cs="微软雅黑"/>
          <w:spacing w:val="-15"/>
          <w:sz w:val="16"/>
          <w:szCs w:val="16"/>
        </w:rPr>
        <w:t xml:space="preserve"> </w:t>
      </w:r>
      <w:r>
        <w:rPr>
          <w:rFonts w:ascii="微软雅黑" w:hAnsi="微软雅黑" w:eastAsia="微软雅黑" w:cs="微软雅黑"/>
          <w:spacing w:val="7"/>
          <w:w w:val="123"/>
          <w:sz w:val="16"/>
          <w:szCs w:val="16"/>
        </w:rPr>
        <w:t>。</w:t>
      </w:r>
    </w:p>
    <w:p>
      <w:pPr>
        <w:spacing w:before="192" w:line="189" w:lineRule="auto"/>
        <w:ind w:left="447"/>
        <w:rPr>
          <w:rFonts w:ascii="微软雅黑" w:hAnsi="微软雅黑" w:eastAsia="微软雅黑" w:cs="微软雅黑"/>
          <w:sz w:val="19"/>
          <w:szCs w:val="19"/>
        </w:rPr>
      </w:pPr>
      <w:r>
        <w:rPr>
          <w:rFonts w:ascii="微软雅黑" w:hAnsi="微软雅黑" w:eastAsia="微软雅黑" w:cs="微软雅黑"/>
          <w:spacing w:val="34"/>
          <w:sz w:val="19"/>
          <w:szCs w:val="19"/>
        </w:rPr>
        <w:t>二</w:t>
      </w:r>
      <w:r>
        <w:rPr>
          <w:rFonts w:ascii="微软雅黑" w:hAnsi="微软雅黑" w:eastAsia="微软雅黑" w:cs="微软雅黑"/>
          <w:spacing w:val="-25"/>
          <w:sz w:val="19"/>
          <w:szCs w:val="19"/>
        </w:rPr>
        <w:t xml:space="preserve"> </w:t>
      </w:r>
      <w:r>
        <w:rPr>
          <w:rFonts w:ascii="微软雅黑" w:hAnsi="微软雅黑" w:eastAsia="微软雅黑" w:cs="微软雅黑"/>
          <w:spacing w:val="34"/>
          <w:sz w:val="19"/>
          <w:szCs w:val="19"/>
        </w:rPr>
        <w:t>、质量文化的建设路径</w:t>
      </w:r>
    </w:p>
    <w:p>
      <w:pPr>
        <w:spacing w:before="174" w:line="239" w:lineRule="auto"/>
        <w:ind w:left="18" w:right="62" w:firstLine="419"/>
        <w:jc w:val="both"/>
        <w:rPr>
          <w:rFonts w:ascii="微软雅黑" w:hAnsi="微软雅黑" w:eastAsia="微软雅黑" w:cs="微软雅黑"/>
          <w:sz w:val="16"/>
          <w:szCs w:val="16"/>
        </w:rPr>
      </w:pPr>
      <w:r>
        <w:rPr>
          <w:rFonts w:ascii="微软雅黑" w:hAnsi="微软雅黑" w:eastAsia="微软雅黑" w:cs="微软雅黑"/>
          <w:spacing w:val="27"/>
          <w:sz w:val="16"/>
          <w:szCs w:val="16"/>
        </w:rPr>
        <w:t>依据</w:t>
      </w:r>
      <w:r>
        <w:rPr>
          <w:rFonts w:ascii="微软雅黑" w:hAnsi="微软雅黑" w:eastAsia="微软雅黑" w:cs="微软雅黑"/>
          <w:spacing w:val="51"/>
          <w:w w:val="101"/>
          <w:sz w:val="16"/>
          <w:szCs w:val="16"/>
        </w:rPr>
        <w:t xml:space="preserve"> </w:t>
      </w:r>
      <w:r>
        <w:rPr>
          <w:rFonts w:ascii="Arial" w:hAnsi="Arial" w:eastAsia="Arial" w:cs="Arial"/>
          <w:sz w:val="16"/>
          <w:szCs w:val="16"/>
        </w:rPr>
        <w:t>EUA</w:t>
      </w:r>
      <w:r>
        <w:rPr>
          <w:rFonts w:ascii="Arial" w:hAnsi="Arial" w:eastAsia="Arial" w:cs="Arial"/>
          <w:spacing w:val="44"/>
          <w:sz w:val="16"/>
          <w:szCs w:val="16"/>
        </w:rPr>
        <w:t xml:space="preserve"> </w:t>
      </w:r>
      <w:r>
        <w:rPr>
          <w:rFonts w:ascii="微软雅黑" w:hAnsi="微软雅黑" w:eastAsia="微软雅黑" w:cs="微软雅黑"/>
          <w:spacing w:val="27"/>
          <w:sz w:val="16"/>
          <w:szCs w:val="16"/>
        </w:rPr>
        <w:t>给</w:t>
      </w:r>
      <w:r>
        <w:rPr>
          <w:rFonts w:ascii="微软雅黑" w:hAnsi="微软雅黑" w:eastAsia="微软雅黑" w:cs="微软雅黑"/>
          <w:spacing w:val="-2"/>
          <w:sz w:val="16"/>
          <w:szCs w:val="16"/>
        </w:rPr>
        <w:t xml:space="preserve"> </w:t>
      </w:r>
      <w:r>
        <w:rPr>
          <w:rFonts w:ascii="微软雅黑" w:hAnsi="微软雅黑" w:eastAsia="微软雅黑" w:cs="微软雅黑"/>
          <w:spacing w:val="27"/>
          <w:sz w:val="16"/>
          <w:szCs w:val="16"/>
        </w:rPr>
        <w:t>出 的</w:t>
      </w:r>
      <w:r>
        <w:rPr>
          <w:rFonts w:ascii="微软雅黑" w:hAnsi="微软雅黑" w:eastAsia="微软雅黑" w:cs="微软雅黑"/>
          <w:spacing w:val="-15"/>
          <w:sz w:val="16"/>
          <w:szCs w:val="16"/>
        </w:rPr>
        <w:t xml:space="preserve"> </w:t>
      </w:r>
      <w:r>
        <w:rPr>
          <w:rFonts w:ascii="微软雅黑" w:hAnsi="微软雅黑" w:eastAsia="微软雅黑" w:cs="微软雅黑"/>
          <w:spacing w:val="27"/>
          <w:sz w:val="16"/>
          <w:szCs w:val="16"/>
        </w:rPr>
        <w:t>概</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念</w:t>
      </w:r>
      <w:r>
        <w:rPr>
          <w:rFonts w:ascii="微软雅黑" w:hAnsi="微软雅黑" w:eastAsia="微软雅黑" w:cs="微软雅黑"/>
          <w:spacing w:val="-15"/>
          <w:sz w:val="16"/>
          <w:szCs w:val="16"/>
        </w:rPr>
        <w:t xml:space="preserve"> </w:t>
      </w:r>
      <w:r>
        <w:rPr>
          <w:rFonts w:ascii="微软雅黑" w:hAnsi="微软雅黑" w:eastAsia="微软雅黑" w:cs="微软雅黑"/>
          <w:spacing w:val="27"/>
          <w:sz w:val="16"/>
          <w:szCs w:val="16"/>
        </w:rPr>
        <w:t>界</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定</w:t>
      </w:r>
      <w:r>
        <w:rPr>
          <w:rFonts w:ascii="微软雅黑" w:hAnsi="微软雅黑" w:eastAsia="微软雅黑" w:cs="微软雅黑"/>
          <w:spacing w:val="-24"/>
          <w:sz w:val="16"/>
          <w:szCs w:val="16"/>
        </w:rPr>
        <w:t xml:space="preserve"> </w:t>
      </w:r>
      <w:r>
        <w:rPr>
          <w:rFonts w:ascii="微软雅黑" w:hAnsi="微软雅黑" w:eastAsia="微软雅黑" w:cs="微软雅黑"/>
          <w:spacing w:val="27"/>
          <w:sz w:val="16"/>
          <w:szCs w:val="16"/>
        </w:rPr>
        <w:t>，质</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量</w:t>
      </w:r>
      <w:r>
        <w:rPr>
          <w:rFonts w:ascii="微软雅黑" w:hAnsi="微软雅黑" w:eastAsia="微软雅黑" w:cs="微软雅黑"/>
          <w:spacing w:val="-14"/>
          <w:sz w:val="16"/>
          <w:szCs w:val="16"/>
        </w:rPr>
        <w:t xml:space="preserve"> </w:t>
      </w:r>
      <w:r>
        <w:rPr>
          <w:rFonts w:ascii="微软雅黑" w:hAnsi="微软雅黑" w:eastAsia="微软雅黑" w:cs="微软雅黑"/>
          <w:spacing w:val="27"/>
          <w:sz w:val="16"/>
          <w:szCs w:val="16"/>
        </w:rPr>
        <w:t>文</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化</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是 由</w:t>
      </w:r>
      <w:r>
        <w:rPr>
          <w:rFonts w:ascii="微软雅黑" w:hAnsi="微软雅黑" w:eastAsia="微软雅黑" w:cs="微软雅黑"/>
          <w:spacing w:val="-13"/>
          <w:sz w:val="16"/>
          <w:szCs w:val="16"/>
        </w:rPr>
        <w:t xml:space="preserve"> </w:t>
      </w:r>
      <w:r>
        <w:rPr>
          <w:rFonts w:ascii="微软雅黑" w:hAnsi="微软雅黑" w:eastAsia="微软雅黑" w:cs="微软雅黑"/>
          <w:spacing w:val="27"/>
          <w:sz w:val="16"/>
          <w:szCs w:val="16"/>
        </w:rPr>
        <w:t>质</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量管理和质量承诺共同构成的</w:t>
      </w:r>
      <w:r>
        <w:rPr>
          <w:rFonts w:ascii="微软雅黑" w:hAnsi="微软雅黑" w:eastAsia="微软雅黑" w:cs="微软雅黑"/>
          <w:spacing w:val="1"/>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7"/>
          <w:sz w:val="16"/>
          <w:szCs w:val="16"/>
        </w:rPr>
        <w:t xml:space="preserve"> </w:t>
      </w:r>
      <w:r>
        <w:rPr>
          <w:rFonts w:ascii="微软雅黑" w:hAnsi="微软雅黑" w:eastAsia="微软雅黑" w:cs="微软雅黑"/>
          <w:spacing w:val="6"/>
          <w:w w:val="125"/>
          <w:sz w:val="16"/>
          <w:szCs w:val="16"/>
        </w:rPr>
        <w:t>质量承诺旨在引起</w:t>
      </w:r>
      <w:r>
        <w:rPr>
          <w:rFonts w:ascii="微软雅黑" w:hAnsi="微软雅黑" w:eastAsia="微软雅黑" w:cs="微软雅黑"/>
          <w:sz w:val="16"/>
          <w:szCs w:val="16"/>
        </w:rPr>
        <w:t xml:space="preserve"> </w:t>
      </w:r>
      <w:r>
        <w:rPr>
          <w:rFonts w:ascii="微软雅黑" w:hAnsi="微软雅黑" w:eastAsia="微软雅黑" w:cs="微软雅黑"/>
          <w:spacing w:val="34"/>
          <w:sz w:val="16"/>
          <w:szCs w:val="16"/>
        </w:rPr>
        <w:t>社区的参与</w:t>
      </w:r>
      <w:r>
        <w:rPr>
          <w:rFonts w:ascii="微软雅黑" w:hAnsi="微软雅黑" w:eastAsia="微软雅黑" w:cs="微软雅黑"/>
          <w:spacing w:val="-24"/>
          <w:sz w:val="16"/>
          <w:szCs w:val="16"/>
        </w:rPr>
        <w:t xml:space="preserve"> </w:t>
      </w:r>
      <w:r>
        <w:rPr>
          <w:rFonts w:ascii="微软雅黑" w:hAnsi="微软雅黑" w:eastAsia="微软雅黑" w:cs="微软雅黑"/>
          <w:spacing w:val="34"/>
          <w:sz w:val="16"/>
          <w:szCs w:val="16"/>
        </w:rPr>
        <w:t>，以实现和改善目</w:t>
      </w:r>
      <w:r>
        <w:rPr>
          <w:rFonts w:ascii="微软雅黑" w:hAnsi="微软雅黑" w:eastAsia="微软雅黑" w:cs="微软雅黑"/>
          <w:spacing w:val="-19"/>
          <w:sz w:val="16"/>
          <w:szCs w:val="16"/>
        </w:rPr>
        <w:t xml:space="preserve"> </w:t>
      </w:r>
      <w:r>
        <w:rPr>
          <w:rFonts w:ascii="微软雅黑" w:hAnsi="微软雅黑" w:eastAsia="微软雅黑" w:cs="微软雅黑"/>
          <w:spacing w:val="34"/>
          <w:sz w:val="16"/>
          <w:szCs w:val="16"/>
        </w:rPr>
        <w:t>标</w:t>
      </w:r>
      <w:r>
        <w:rPr>
          <w:rFonts w:ascii="微软雅黑" w:hAnsi="微软雅黑" w:eastAsia="微软雅黑" w:cs="微软雅黑"/>
          <w:spacing w:val="-20"/>
          <w:sz w:val="16"/>
          <w:szCs w:val="16"/>
        </w:rPr>
        <w:t xml:space="preserve"> </w:t>
      </w:r>
      <w:r>
        <w:rPr>
          <w:rFonts w:ascii="微软雅黑" w:hAnsi="微软雅黑" w:eastAsia="微软雅黑" w:cs="微软雅黑"/>
          <w:spacing w:val="34"/>
          <w:sz w:val="16"/>
          <w:szCs w:val="16"/>
        </w:rPr>
        <w:t>并</w:t>
      </w:r>
      <w:r>
        <w:rPr>
          <w:rFonts w:ascii="微软雅黑" w:hAnsi="微软雅黑" w:eastAsia="微软雅黑" w:cs="微软雅黑"/>
          <w:spacing w:val="-16"/>
          <w:sz w:val="16"/>
          <w:szCs w:val="16"/>
        </w:rPr>
        <w:t xml:space="preserve"> </w:t>
      </w:r>
      <w:r>
        <w:rPr>
          <w:rFonts w:ascii="微软雅黑" w:hAnsi="微软雅黑" w:eastAsia="微软雅黑" w:cs="微软雅黑"/>
          <w:spacing w:val="34"/>
          <w:sz w:val="16"/>
          <w:szCs w:val="16"/>
        </w:rPr>
        <w:t>确</w:t>
      </w:r>
      <w:r>
        <w:rPr>
          <w:rFonts w:ascii="微软雅黑" w:hAnsi="微软雅黑" w:eastAsia="微软雅黑" w:cs="微软雅黑"/>
          <w:spacing w:val="-20"/>
          <w:sz w:val="16"/>
          <w:szCs w:val="16"/>
        </w:rPr>
        <w:t xml:space="preserve"> </w:t>
      </w:r>
      <w:r>
        <w:rPr>
          <w:rFonts w:ascii="微软雅黑" w:hAnsi="微软雅黑" w:eastAsia="微软雅黑" w:cs="微软雅黑"/>
          <w:spacing w:val="34"/>
          <w:sz w:val="16"/>
          <w:szCs w:val="16"/>
        </w:rPr>
        <w:t>保 自</w:t>
      </w:r>
      <w:r>
        <w:rPr>
          <w:rFonts w:ascii="微软雅黑" w:hAnsi="微软雅黑" w:eastAsia="微软雅黑" w:cs="微软雅黑"/>
          <w:spacing w:val="-18"/>
          <w:sz w:val="16"/>
          <w:szCs w:val="16"/>
        </w:rPr>
        <w:t xml:space="preserve"> </w:t>
      </w:r>
      <w:r>
        <w:rPr>
          <w:rFonts w:ascii="微软雅黑" w:hAnsi="微软雅黑" w:eastAsia="微软雅黑" w:cs="微软雅黑"/>
          <w:spacing w:val="33"/>
          <w:sz w:val="16"/>
          <w:szCs w:val="16"/>
        </w:rPr>
        <w:t>下</w:t>
      </w:r>
      <w:r>
        <w:rPr>
          <w:rFonts w:ascii="微软雅黑" w:hAnsi="微软雅黑" w:eastAsia="微软雅黑" w:cs="微软雅黑"/>
          <w:spacing w:val="-14"/>
          <w:sz w:val="16"/>
          <w:szCs w:val="16"/>
        </w:rPr>
        <w:t xml:space="preserve"> </w:t>
      </w:r>
      <w:r>
        <w:rPr>
          <w:rFonts w:ascii="微软雅黑" w:hAnsi="微软雅黑" w:eastAsia="微软雅黑" w:cs="微软雅黑"/>
          <w:spacing w:val="33"/>
          <w:sz w:val="16"/>
          <w:szCs w:val="16"/>
        </w:rPr>
        <w:t>而</w:t>
      </w:r>
      <w:r>
        <w:rPr>
          <w:rFonts w:ascii="微软雅黑" w:hAnsi="微软雅黑" w:eastAsia="微软雅黑" w:cs="微软雅黑"/>
          <w:spacing w:val="-17"/>
          <w:sz w:val="16"/>
          <w:szCs w:val="16"/>
        </w:rPr>
        <w:t xml:space="preserve"> </w:t>
      </w:r>
      <w:r>
        <w:rPr>
          <w:rFonts w:ascii="微软雅黑" w:hAnsi="微软雅黑" w:eastAsia="微软雅黑" w:cs="微软雅黑"/>
          <w:spacing w:val="33"/>
          <w:sz w:val="16"/>
          <w:szCs w:val="16"/>
        </w:rPr>
        <w:t>上</w:t>
      </w:r>
      <w:r>
        <w:rPr>
          <w:rFonts w:ascii="微软雅黑" w:hAnsi="微软雅黑" w:eastAsia="微软雅黑" w:cs="微软雅黑"/>
          <w:spacing w:val="-3"/>
          <w:sz w:val="16"/>
          <w:szCs w:val="16"/>
        </w:rPr>
        <w:t xml:space="preserve"> </w:t>
      </w:r>
      <w:r>
        <w:rPr>
          <w:rFonts w:ascii="微软雅黑" w:hAnsi="微软雅黑" w:eastAsia="微软雅黑" w:cs="微软雅黑"/>
          <w:spacing w:val="33"/>
          <w:sz w:val="16"/>
          <w:szCs w:val="16"/>
        </w:rPr>
        <w:t>的</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质量方针</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；质量管理是质量文化的技术因素</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w:t>
      </w:r>
      <w:r>
        <w:rPr>
          <w:rFonts w:ascii="微软雅黑" w:hAnsi="微软雅黑" w:eastAsia="微软雅黑" w:cs="微软雅黑"/>
          <w:spacing w:val="38"/>
          <w:sz w:val="16"/>
          <w:szCs w:val="16"/>
        </w:rPr>
        <w:t>指的是</w:t>
      </w:r>
      <w:r>
        <w:rPr>
          <w:rFonts w:ascii="微软雅黑" w:hAnsi="微软雅黑" w:eastAsia="微软雅黑" w:cs="微软雅黑"/>
          <w:sz w:val="16"/>
          <w:szCs w:val="16"/>
        </w:rPr>
        <w:t xml:space="preserve"> </w:t>
      </w:r>
      <w:r>
        <w:rPr>
          <w:rFonts w:ascii="微软雅黑" w:hAnsi="微软雅黑" w:eastAsia="微软雅黑" w:cs="微软雅黑"/>
          <w:spacing w:val="34"/>
          <w:sz w:val="16"/>
          <w:szCs w:val="16"/>
        </w:rPr>
        <w:t>测量</w:t>
      </w:r>
      <w:r>
        <w:rPr>
          <w:rFonts w:ascii="微软雅黑" w:hAnsi="微软雅黑" w:eastAsia="微软雅黑" w:cs="微软雅黑"/>
          <w:spacing w:val="-1"/>
          <w:sz w:val="16"/>
          <w:szCs w:val="16"/>
        </w:rPr>
        <w:t xml:space="preserve"> </w:t>
      </w:r>
      <w:r>
        <w:rPr>
          <w:rFonts w:ascii="微软雅黑" w:hAnsi="微软雅黑" w:eastAsia="微软雅黑" w:cs="微软雅黑"/>
          <w:spacing w:val="34"/>
          <w:sz w:val="16"/>
          <w:szCs w:val="16"/>
        </w:rPr>
        <w:t>、评估</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、确保和提高质量的工具和机制</w:t>
      </w:r>
      <w:r>
        <w:rPr>
          <w:rFonts w:ascii="微软雅黑" w:hAnsi="微软雅黑" w:eastAsia="微软雅黑" w:cs="微软雅黑"/>
          <w:spacing w:val="-5"/>
          <w:sz w:val="16"/>
          <w:szCs w:val="16"/>
        </w:rPr>
        <w:t xml:space="preserve"> </w:t>
      </w:r>
      <w:r>
        <w:rPr>
          <w:rFonts w:ascii="微软雅黑" w:hAnsi="微软雅黑" w:eastAsia="微软雅黑" w:cs="微软雅黑"/>
          <w:spacing w:val="34"/>
          <w:sz w:val="16"/>
          <w:szCs w:val="16"/>
        </w:rPr>
        <w:t>。</w:t>
      </w:r>
      <w:r>
        <w:rPr>
          <w:rFonts w:ascii="微软雅黑" w:hAnsi="微软雅黑" w:eastAsia="微软雅黑" w:cs="微软雅黑"/>
          <w:spacing w:val="-8"/>
          <w:sz w:val="16"/>
          <w:szCs w:val="16"/>
        </w:rPr>
        <w:t xml:space="preserve"> </w:t>
      </w:r>
      <w:r>
        <w:rPr>
          <w:rFonts w:ascii="微软雅黑" w:hAnsi="微软雅黑" w:eastAsia="微软雅黑" w:cs="微软雅黑"/>
          <w:spacing w:val="34"/>
          <w:sz w:val="16"/>
          <w:szCs w:val="16"/>
        </w:rPr>
        <w:t>在实际</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操作中</w:t>
      </w:r>
      <w:r>
        <w:rPr>
          <w:rFonts w:ascii="微软雅黑" w:hAnsi="微软雅黑" w:eastAsia="微软雅黑" w:cs="微软雅黑"/>
          <w:spacing w:val="-23"/>
          <w:sz w:val="16"/>
          <w:szCs w:val="16"/>
        </w:rPr>
        <w:t xml:space="preserve"> </w:t>
      </w:r>
      <w:r>
        <w:rPr>
          <w:rFonts w:ascii="微软雅黑" w:hAnsi="微软雅黑" w:eastAsia="微软雅黑" w:cs="微软雅黑"/>
          <w:spacing w:val="39"/>
          <w:sz w:val="16"/>
          <w:szCs w:val="16"/>
        </w:rPr>
        <w:t>，质量承诺必须与质量管理区分开来</w:t>
      </w:r>
      <w:r>
        <w:rPr>
          <w:rFonts w:ascii="微软雅黑" w:hAnsi="微软雅黑" w:eastAsia="微软雅黑" w:cs="微软雅黑"/>
          <w:spacing w:val="-24"/>
          <w:sz w:val="16"/>
          <w:szCs w:val="16"/>
        </w:rPr>
        <w:t xml:space="preserve"> </w:t>
      </w:r>
      <w:r>
        <w:rPr>
          <w:rFonts w:ascii="微软雅黑" w:hAnsi="微软雅黑" w:eastAsia="微软雅黑" w:cs="微软雅黑"/>
          <w:spacing w:val="38"/>
          <w:sz w:val="16"/>
          <w:szCs w:val="16"/>
        </w:rPr>
        <w:t>，但两者</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必须通过沟通</w:t>
      </w:r>
      <w:r>
        <w:rPr>
          <w:rFonts w:ascii="微软雅黑" w:hAnsi="微软雅黑" w:eastAsia="微软雅黑" w:cs="微软雅黑"/>
          <w:spacing w:val="-6"/>
          <w:sz w:val="16"/>
          <w:szCs w:val="16"/>
        </w:rPr>
        <w:t xml:space="preserve"> </w:t>
      </w:r>
      <w:r>
        <w:rPr>
          <w:rFonts w:ascii="微软雅黑" w:hAnsi="微软雅黑" w:eastAsia="微软雅黑" w:cs="微软雅黑"/>
          <w:spacing w:val="38"/>
          <w:sz w:val="16"/>
          <w:szCs w:val="16"/>
        </w:rPr>
        <w:t>，参与和信任等要素联系起来（如图</w:t>
      </w:r>
      <w:r>
        <w:rPr>
          <w:rFonts w:ascii="微软雅黑" w:hAnsi="微软雅黑" w:eastAsia="微软雅黑" w:cs="微软雅黑"/>
          <w:spacing w:val="37"/>
          <w:sz w:val="16"/>
          <w:szCs w:val="16"/>
        </w:rPr>
        <w:t xml:space="preserve"> </w:t>
      </w:r>
      <w:r>
        <w:rPr>
          <w:rFonts w:ascii="Arial" w:hAnsi="Arial" w:eastAsia="Arial" w:cs="Arial"/>
          <w:spacing w:val="38"/>
          <w:position w:val="-2"/>
          <w:sz w:val="16"/>
          <w:szCs w:val="16"/>
        </w:rPr>
        <w:t>1</w:t>
      </w:r>
      <w:r>
        <w:rPr>
          <w:rFonts w:ascii="Arial" w:hAnsi="Arial" w:eastAsia="Arial" w:cs="Arial"/>
          <w:position w:val="-2"/>
          <w:sz w:val="16"/>
          <w:szCs w:val="16"/>
        </w:rPr>
        <w:t xml:space="preserve"> </w:t>
      </w:r>
      <w:r>
        <w:rPr>
          <w:rFonts w:ascii="微软雅黑" w:hAnsi="微软雅黑" w:eastAsia="微软雅黑" w:cs="微软雅黑"/>
          <w:spacing w:val="16"/>
          <w:sz w:val="16"/>
          <w:szCs w:val="16"/>
        </w:rPr>
        <w:t>所示）。</w:t>
      </w:r>
    </w:p>
    <w:p>
      <w:pPr>
        <w:spacing w:line="315" w:lineRule="auto"/>
        <w:rPr>
          <w:rFonts w:ascii="Arial"/>
          <w:sz w:val="21"/>
        </w:rPr>
      </w:pPr>
    </w:p>
    <w:p>
      <w:pPr>
        <w:spacing w:line="316" w:lineRule="auto"/>
        <w:rPr>
          <w:rFonts w:ascii="Arial"/>
          <w:sz w:val="21"/>
        </w:rPr>
      </w:pPr>
    </w:p>
    <w:p>
      <w:pPr>
        <w:spacing w:line="1678" w:lineRule="exact"/>
      </w:pPr>
      <w:r>
        <w:rPr>
          <w:position w:val="-34"/>
        </w:rPr>
        <w:drawing>
          <wp:inline distT="0" distB="0" distL="0" distR="0">
            <wp:extent cx="2955925" cy="106489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5"/>
                    <a:stretch>
                      <a:fillRect/>
                    </a:stretch>
                  </pic:blipFill>
                  <pic:spPr>
                    <a:xfrm>
                      <a:off x="0" y="0"/>
                      <a:ext cx="2956394" cy="1065440"/>
                    </a:xfrm>
                    <a:prstGeom prst="rect">
                      <a:avLst/>
                    </a:prstGeom>
                  </pic:spPr>
                </pic:pic>
              </a:graphicData>
            </a:graphic>
          </wp:inline>
        </w:drawing>
      </w:r>
    </w:p>
    <w:p>
      <w:pPr>
        <w:spacing w:before="18" w:line="190" w:lineRule="auto"/>
        <w:ind w:left="1472"/>
        <w:rPr>
          <w:rFonts w:ascii="微软雅黑" w:hAnsi="微软雅黑" w:eastAsia="微软雅黑" w:cs="微软雅黑"/>
          <w:sz w:val="16"/>
          <w:szCs w:val="16"/>
        </w:rPr>
      </w:pPr>
      <w:r>
        <w:rPr>
          <w:rFonts w:ascii="微软雅黑" w:hAnsi="微软雅黑" w:eastAsia="微软雅黑" w:cs="微软雅黑"/>
          <w:spacing w:val="8"/>
          <w:sz w:val="16"/>
          <w:szCs w:val="16"/>
        </w:rPr>
        <w:t>图</w:t>
      </w:r>
      <w:r>
        <w:rPr>
          <w:rFonts w:ascii="微软雅黑" w:hAnsi="微软雅黑" w:eastAsia="微软雅黑" w:cs="微软雅黑"/>
          <w:spacing w:val="27"/>
          <w:sz w:val="16"/>
          <w:szCs w:val="16"/>
        </w:rPr>
        <w:t xml:space="preserve"> </w:t>
      </w:r>
      <w:r>
        <w:rPr>
          <w:rFonts w:ascii="Arial" w:hAnsi="Arial" w:eastAsia="Arial" w:cs="Arial"/>
          <w:spacing w:val="8"/>
          <w:sz w:val="16"/>
          <w:szCs w:val="16"/>
        </w:rPr>
        <w:t>1</w:t>
      </w:r>
      <w:r>
        <w:rPr>
          <w:rFonts w:ascii="Arial" w:hAnsi="Arial" w:eastAsia="Arial" w:cs="Arial"/>
          <w:spacing w:val="7"/>
          <w:sz w:val="16"/>
          <w:szCs w:val="16"/>
        </w:rPr>
        <w:t xml:space="preserve">    </w:t>
      </w:r>
      <w:r>
        <w:rPr>
          <w:rFonts w:ascii="微软雅黑" w:hAnsi="微软雅黑" w:eastAsia="微软雅黑" w:cs="微软雅黑"/>
          <w:spacing w:val="8"/>
          <w:sz w:val="16"/>
          <w:szCs w:val="16"/>
        </w:rPr>
        <w:t>质量文化构成图</w:t>
      </w:r>
    </w:p>
    <w:p>
      <w:pPr>
        <w:spacing w:before="70" w:line="230" w:lineRule="auto"/>
        <w:ind w:left="18" w:right="7" w:firstLine="421"/>
        <w:jc w:val="both"/>
        <w:rPr>
          <w:rFonts w:ascii="微软雅黑" w:hAnsi="微软雅黑" w:eastAsia="微软雅黑" w:cs="微软雅黑"/>
          <w:sz w:val="16"/>
          <w:szCs w:val="16"/>
        </w:rPr>
      </w:pPr>
      <w:r>
        <w:rPr>
          <w:rFonts w:ascii="微软雅黑" w:hAnsi="微软雅黑" w:eastAsia="微软雅黑" w:cs="微软雅黑"/>
          <w:spacing w:val="10"/>
          <w:w w:val="125"/>
          <w:sz w:val="16"/>
          <w:szCs w:val="16"/>
        </w:rPr>
        <w:t>质量文化的建设需要自上而下和自下而上的适</w:t>
      </w:r>
      <w:r>
        <w:rPr>
          <w:rFonts w:ascii="微软雅黑" w:hAnsi="微软雅黑" w:eastAsia="微软雅黑" w:cs="微软雅黑"/>
          <w:sz w:val="16"/>
          <w:szCs w:val="16"/>
        </w:rPr>
        <w:t xml:space="preserve">  </w:t>
      </w:r>
      <w:r>
        <w:rPr>
          <w:rFonts w:ascii="微软雅黑" w:hAnsi="微软雅黑" w:eastAsia="微软雅黑" w:cs="微软雅黑"/>
          <w:spacing w:val="31"/>
          <w:sz w:val="16"/>
          <w:szCs w:val="16"/>
        </w:rPr>
        <w:t>当平衡</w:t>
      </w:r>
      <w:r>
        <w:rPr>
          <w:rFonts w:ascii="微软雅黑" w:hAnsi="微软雅黑" w:eastAsia="微软雅黑" w:cs="微软雅黑"/>
          <w:sz w:val="16"/>
          <w:szCs w:val="16"/>
        </w:rPr>
        <w:t xml:space="preserve"> </w:t>
      </w:r>
      <w:r>
        <w:rPr>
          <w:rFonts w:ascii="微软雅黑" w:hAnsi="微软雅黑" w:eastAsia="微软雅黑" w:cs="微软雅黑"/>
          <w:spacing w:val="31"/>
          <w:sz w:val="16"/>
          <w:szCs w:val="16"/>
        </w:rPr>
        <w:t>。</w:t>
      </w:r>
      <w:r>
        <w:rPr>
          <w:rFonts w:ascii="微软雅黑" w:hAnsi="微软雅黑" w:eastAsia="微软雅黑" w:cs="微软雅黑"/>
          <w:spacing w:val="-8"/>
          <w:sz w:val="16"/>
          <w:szCs w:val="16"/>
        </w:rPr>
        <w:t xml:space="preserve"> </w:t>
      </w:r>
      <w:r>
        <w:rPr>
          <w:rFonts w:ascii="微软雅黑" w:hAnsi="微软雅黑" w:eastAsia="微软雅黑" w:cs="微软雅黑"/>
          <w:spacing w:val="31"/>
          <w:sz w:val="16"/>
          <w:szCs w:val="16"/>
        </w:rPr>
        <w:t>欧洲大学协</w:t>
      </w:r>
      <w:r>
        <w:rPr>
          <w:rFonts w:ascii="微软雅黑" w:hAnsi="微软雅黑" w:eastAsia="微软雅黑" w:cs="微软雅黑"/>
          <w:spacing w:val="-21"/>
          <w:sz w:val="16"/>
          <w:szCs w:val="16"/>
        </w:rPr>
        <w:t xml:space="preserve"> </w:t>
      </w:r>
      <w:r>
        <w:rPr>
          <w:rFonts w:ascii="微软雅黑" w:hAnsi="微软雅黑" w:eastAsia="微软雅黑" w:cs="微软雅黑"/>
          <w:spacing w:val="31"/>
          <w:sz w:val="16"/>
          <w:szCs w:val="16"/>
        </w:rPr>
        <w:t>会</w:t>
      </w:r>
      <w:r>
        <w:rPr>
          <w:rFonts w:ascii="微软雅黑" w:hAnsi="微软雅黑" w:eastAsia="微软雅黑" w:cs="微软雅黑"/>
          <w:spacing w:val="-17"/>
          <w:sz w:val="16"/>
          <w:szCs w:val="16"/>
        </w:rPr>
        <w:t xml:space="preserve"> </w:t>
      </w:r>
      <w:r>
        <w:rPr>
          <w:rFonts w:ascii="微软雅黑" w:hAnsi="微软雅黑" w:eastAsia="微软雅黑" w:cs="微软雅黑"/>
          <w:spacing w:val="31"/>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量</w:t>
      </w:r>
      <w:r>
        <w:rPr>
          <w:rFonts w:ascii="微软雅黑" w:hAnsi="微软雅黑" w:eastAsia="微软雅黑" w:cs="微软雅黑"/>
          <w:spacing w:val="-16"/>
          <w:sz w:val="16"/>
          <w:szCs w:val="16"/>
        </w:rPr>
        <w:t xml:space="preserve"> </w:t>
      </w:r>
      <w:r>
        <w:rPr>
          <w:rFonts w:ascii="微软雅黑" w:hAnsi="微软雅黑" w:eastAsia="微软雅黑" w:cs="微软雅黑"/>
          <w:spacing w:val="31"/>
          <w:sz w:val="16"/>
          <w:szCs w:val="16"/>
        </w:rPr>
        <w:t>文</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化</w:t>
      </w:r>
      <w:r>
        <w:rPr>
          <w:rFonts w:ascii="微软雅黑" w:hAnsi="微软雅黑" w:eastAsia="微软雅黑" w:cs="微软雅黑"/>
          <w:spacing w:val="-20"/>
          <w:sz w:val="16"/>
          <w:szCs w:val="16"/>
        </w:rPr>
        <w:t xml:space="preserve"> </w:t>
      </w:r>
      <w:r>
        <w:rPr>
          <w:rFonts w:ascii="微软雅黑" w:hAnsi="微软雅黑" w:eastAsia="微软雅黑" w:cs="微软雅黑"/>
          <w:spacing w:val="31"/>
          <w:sz w:val="16"/>
          <w:szCs w:val="16"/>
        </w:rPr>
        <w:t>计</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划</w:t>
      </w:r>
      <w:r>
        <w:rPr>
          <w:rFonts w:ascii="微软雅黑" w:hAnsi="微软雅黑" w:eastAsia="微软雅黑" w:cs="微软雅黑"/>
          <w:spacing w:val="-3"/>
          <w:sz w:val="16"/>
          <w:szCs w:val="16"/>
        </w:rPr>
        <w:t xml:space="preserve"> </w:t>
      </w:r>
      <w:r>
        <w:rPr>
          <w:rFonts w:ascii="微软雅黑" w:hAnsi="微软雅黑" w:eastAsia="微软雅黑" w:cs="微软雅黑"/>
          <w:spacing w:val="31"/>
          <w:sz w:val="16"/>
          <w:szCs w:val="16"/>
        </w:rPr>
        <w:t>的</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结</w:t>
      </w:r>
      <w:r>
        <w:rPr>
          <w:rFonts w:ascii="微软雅黑" w:hAnsi="微软雅黑" w:eastAsia="微软雅黑" w:cs="微软雅黑"/>
          <w:spacing w:val="-19"/>
          <w:sz w:val="16"/>
          <w:szCs w:val="16"/>
        </w:rPr>
        <w:t xml:space="preserve"> </w:t>
      </w:r>
      <w:r>
        <w:rPr>
          <w:rFonts w:ascii="微软雅黑" w:hAnsi="微软雅黑" w:eastAsia="微软雅黑" w:cs="微软雅黑"/>
          <w:spacing w:val="31"/>
          <w:sz w:val="16"/>
          <w:szCs w:val="16"/>
        </w:rPr>
        <w:t>果</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显</w:t>
      </w:r>
      <w:r>
        <w:rPr>
          <w:rFonts w:ascii="微软雅黑" w:hAnsi="微软雅黑" w:eastAsia="微软雅黑" w:cs="微软雅黑"/>
          <w:spacing w:val="-20"/>
          <w:sz w:val="16"/>
          <w:szCs w:val="16"/>
        </w:rPr>
        <w:t xml:space="preserve"> </w:t>
      </w:r>
      <w:r>
        <w:rPr>
          <w:rFonts w:ascii="微软雅黑" w:hAnsi="微软雅黑" w:eastAsia="微软雅黑" w:cs="微软雅黑"/>
          <w:spacing w:val="31"/>
          <w:sz w:val="16"/>
          <w:szCs w:val="16"/>
        </w:rPr>
        <w:t>示</w:t>
      </w:r>
      <w:r>
        <w:rPr>
          <w:rFonts w:ascii="微软雅黑" w:hAnsi="微软雅黑" w:eastAsia="微软雅黑" w:cs="微软雅黑"/>
          <w:spacing w:val="-23"/>
          <w:sz w:val="16"/>
          <w:szCs w:val="16"/>
        </w:rPr>
        <w:t xml:space="preserve"> </w:t>
      </w:r>
      <w:r>
        <w:rPr>
          <w:rFonts w:ascii="微软雅黑" w:hAnsi="微软雅黑" w:eastAsia="微软雅黑" w:cs="微软雅黑"/>
          <w:spacing w:val="31"/>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10"/>
          <w:w w:val="125"/>
          <w:sz w:val="16"/>
          <w:szCs w:val="16"/>
        </w:rPr>
        <w:t>高等教育机构在建设质量文化方面所采取的发展阶</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段有以下内容</w:t>
      </w:r>
      <w:r>
        <w:rPr>
          <w:rFonts w:ascii="微软雅黑" w:hAnsi="微软雅黑" w:eastAsia="微软雅黑" w:cs="微软雅黑"/>
          <w:spacing w:val="-11"/>
          <w:sz w:val="16"/>
          <w:szCs w:val="16"/>
        </w:rPr>
        <w:t xml:space="preserve"> </w:t>
      </w:r>
      <w:r>
        <w:rPr>
          <w:rFonts w:ascii="微软雅黑" w:hAnsi="微软雅黑" w:eastAsia="微软雅黑" w:cs="微软雅黑"/>
          <w:spacing w:val="39"/>
          <w:sz w:val="16"/>
          <w:szCs w:val="16"/>
        </w:rPr>
        <w:t>。</w:t>
      </w:r>
    </w:p>
    <w:p>
      <w:pPr>
        <w:spacing w:before="56" w:line="242" w:lineRule="auto"/>
        <w:ind w:left="18" w:right="62" w:firstLine="418"/>
        <w:jc w:val="both"/>
        <w:rPr>
          <w:rFonts w:ascii="微软雅黑" w:hAnsi="微软雅黑" w:eastAsia="微软雅黑" w:cs="微软雅黑"/>
          <w:sz w:val="16"/>
          <w:szCs w:val="16"/>
        </w:rPr>
      </w:pPr>
      <w:r>
        <w:rPr>
          <w:rFonts w:ascii="微软雅黑" w:hAnsi="微软雅黑" w:eastAsia="微软雅黑" w:cs="微软雅黑"/>
          <w:spacing w:val="21"/>
          <w:sz w:val="16"/>
          <w:szCs w:val="16"/>
        </w:rPr>
        <w:t>第</w:t>
      </w:r>
      <w:r>
        <w:rPr>
          <w:rFonts w:ascii="微软雅黑" w:hAnsi="微软雅黑" w:eastAsia="微软雅黑" w:cs="微软雅黑"/>
          <w:spacing w:val="-28"/>
          <w:sz w:val="16"/>
          <w:szCs w:val="16"/>
        </w:rPr>
        <w:t xml:space="preserve"> </w:t>
      </w:r>
      <w:r>
        <w:rPr>
          <w:rFonts w:ascii="微软雅黑" w:hAnsi="微软雅黑" w:eastAsia="微软雅黑" w:cs="微软雅黑"/>
          <w:spacing w:val="21"/>
          <w:sz w:val="16"/>
          <w:szCs w:val="16"/>
        </w:rPr>
        <w:t>一</w:t>
      </w:r>
      <w:r>
        <w:rPr>
          <w:rFonts w:ascii="微软雅黑" w:hAnsi="微软雅黑" w:eastAsia="微软雅黑" w:cs="微软雅黑"/>
          <w:spacing w:val="-14"/>
          <w:sz w:val="16"/>
          <w:szCs w:val="16"/>
        </w:rPr>
        <w:t xml:space="preserve"> </w:t>
      </w:r>
      <w:r>
        <w:rPr>
          <w:rFonts w:ascii="微软雅黑" w:hAnsi="微软雅黑" w:eastAsia="微软雅黑" w:cs="微软雅黑"/>
          <w:spacing w:val="21"/>
          <w:sz w:val="16"/>
          <w:szCs w:val="16"/>
        </w:rPr>
        <w:t>阶段：机构通常 以</w:t>
      </w:r>
      <w:r>
        <w:rPr>
          <w:rFonts w:ascii="微软雅黑" w:hAnsi="微软雅黑" w:eastAsia="微软雅黑" w:cs="微软雅黑"/>
          <w:spacing w:val="-12"/>
          <w:sz w:val="16"/>
          <w:szCs w:val="16"/>
        </w:rPr>
        <w:t xml:space="preserve"> </w:t>
      </w:r>
      <w:r>
        <w:rPr>
          <w:rFonts w:ascii="微软雅黑" w:hAnsi="微软雅黑" w:eastAsia="微软雅黑" w:cs="微软雅黑"/>
          <w:spacing w:val="21"/>
          <w:sz w:val="16"/>
          <w:szCs w:val="16"/>
        </w:rPr>
        <w:t>“促</w:t>
      </w:r>
      <w:r>
        <w:rPr>
          <w:rFonts w:ascii="微软雅黑" w:hAnsi="微软雅黑" w:eastAsia="微软雅黑" w:cs="微软雅黑"/>
          <w:spacing w:val="-19"/>
          <w:sz w:val="16"/>
          <w:szCs w:val="16"/>
        </w:rPr>
        <w:t xml:space="preserve"> </w:t>
      </w:r>
      <w:r>
        <w:rPr>
          <w:rFonts w:ascii="微软雅黑" w:hAnsi="微软雅黑" w:eastAsia="微软雅黑" w:cs="微软雅黑"/>
          <w:spacing w:val="21"/>
          <w:sz w:val="16"/>
          <w:szCs w:val="16"/>
        </w:rPr>
        <w:t>进</w:t>
      </w:r>
      <w:r>
        <w:rPr>
          <w:rFonts w:ascii="微软雅黑" w:hAnsi="微软雅黑" w:eastAsia="微软雅黑" w:cs="微软雅黑"/>
          <w:spacing w:val="-17"/>
          <w:sz w:val="16"/>
          <w:szCs w:val="16"/>
        </w:rPr>
        <w:t xml:space="preserve"> </w:t>
      </w:r>
      <w:r>
        <w:rPr>
          <w:rFonts w:ascii="微软雅黑" w:hAnsi="微软雅黑" w:eastAsia="微软雅黑" w:cs="微软雅黑"/>
          <w:spacing w:val="21"/>
          <w:sz w:val="16"/>
          <w:szCs w:val="16"/>
        </w:rPr>
        <w:t>者</w:t>
      </w:r>
      <w:r>
        <w:rPr>
          <w:rFonts w:ascii="微软雅黑" w:hAnsi="微软雅黑" w:eastAsia="微软雅黑" w:cs="微软雅黑"/>
          <w:spacing w:val="-19"/>
          <w:sz w:val="16"/>
          <w:szCs w:val="16"/>
        </w:rPr>
        <w:t xml:space="preserve"> </w:t>
      </w:r>
      <w:r>
        <w:rPr>
          <w:rFonts w:ascii="微软雅黑" w:hAnsi="微软雅黑" w:eastAsia="微软雅黑" w:cs="微软雅黑"/>
          <w:spacing w:val="21"/>
          <w:sz w:val="16"/>
          <w:szCs w:val="16"/>
        </w:rPr>
        <w:t>”的</w:t>
      </w:r>
      <w:r>
        <w:rPr>
          <w:rFonts w:ascii="微软雅黑" w:hAnsi="微软雅黑" w:eastAsia="微软雅黑" w:cs="微软雅黑"/>
          <w:spacing w:val="-14"/>
          <w:sz w:val="16"/>
          <w:szCs w:val="16"/>
        </w:rPr>
        <w:t xml:space="preserve"> </w:t>
      </w:r>
      <w:r>
        <w:rPr>
          <w:rFonts w:ascii="微软雅黑" w:hAnsi="微软雅黑" w:eastAsia="微软雅黑" w:cs="微软雅黑"/>
          <w:spacing w:val="21"/>
          <w:sz w:val="16"/>
          <w:szCs w:val="16"/>
        </w:rPr>
        <w:t>角</w:t>
      </w:r>
      <w:r>
        <w:rPr>
          <w:rFonts w:ascii="微软雅黑" w:hAnsi="微软雅黑" w:eastAsia="微软雅黑" w:cs="微软雅黑"/>
          <w:spacing w:val="-15"/>
          <w:sz w:val="16"/>
          <w:szCs w:val="16"/>
        </w:rPr>
        <w:t xml:space="preserve"> </w:t>
      </w:r>
      <w:r>
        <w:rPr>
          <w:rFonts w:ascii="微软雅黑" w:hAnsi="微软雅黑" w:eastAsia="微软雅黑" w:cs="微软雅黑"/>
          <w:spacing w:val="21"/>
          <w:sz w:val="16"/>
          <w:szCs w:val="16"/>
        </w:rPr>
        <w:t>色</w:t>
      </w:r>
      <w:r>
        <w:rPr>
          <w:rFonts w:ascii="微软雅黑" w:hAnsi="微软雅黑" w:eastAsia="微软雅黑" w:cs="微软雅黑"/>
          <w:spacing w:val="-17"/>
          <w:sz w:val="16"/>
          <w:szCs w:val="16"/>
        </w:rPr>
        <w:t xml:space="preserve"> </w:t>
      </w:r>
      <w:r>
        <w:rPr>
          <w:rFonts w:ascii="微软雅黑" w:hAnsi="微软雅黑" w:eastAsia="微软雅黑" w:cs="微软雅黑"/>
          <w:spacing w:val="21"/>
          <w:sz w:val="16"/>
          <w:szCs w:val="16"/>
        </w:rPr>
        <w:t>在</w:t>
      </w:r>
      <w:r>
        <w:rPr>
          <w:rFonts w:ascii="微软雅黑" w:hAnsi="微软雅黑" w:eastAsia="微软雅黑" w:cs="微软雅黑"/>
          <w:spacing w:val="-17"/>
          <w:sz w:val="16"/>
          <w:szCs w:val="16"/>
        </w:rPr>
        <w:t xml:space="preserve"> </w:t>
      </w:r>
      <w:r>
        <w:rPr>
          <w:rFonts w:ascii="微软雅黑" w:hAnsi="微软雅黑" w:eastAsia="微软雅黑" w:cs="微软雅黑"/>
          <w:spacing w:val="21"/>
          <w:sz w:val="16"/>
          <w:szCs w:val="16"/>
        </w:rPr>
        <w:t>机</w:t>
      </w:r>
      <w:r>
        <w:rPr>
          <w:rFonts w:ascii="微软雅黑" w:hAnsi="微软雅黑" w:eastAsia="微软雅黑" w:cs="微软雅黑"/>
          <w:spacing w:val="-16"/>
          <w:sz w:val="16"/>
          <w:szCs w:val="16"/>
        </w:rPr>
        <w:t xml:space="preserve"> </w:t>
      </w:r>
      <w:r>
        <w:rPr>
          <w:rFonts w:ascii="微软雅黑" w:hAnsi="微软雅黑" w:eastAsia="微软雅黑" w:cs="微软雅黑"/>
          <w:spacing w:val="21"/>
          <w:sz w:val="16"/>
          <w:szCs w:val="16"/>
        </w:rPr>
        <w:t>构</w:t>
      </w:r>
      <w:r>
        <w:rPr>
          <w:rFonts w:ascii="微软雅黑" w:hAnsi="微软雅黑" w:eastAsia="微软雅黑" w:cs="微软雅黑"/>
          <w:sz w:val="16"/>
          <w:szCs w:val="16"/>
        </w:rPr>
        <w:t xml:space="preserve"> </w:t>
      </w:r>
      <w:r>
        <w:rPr>
          <w:rFonts w:ascii="微软雅黑" w:hAnsi="微软雅黑" w:eastAsia="微软雅黑" w:cs="微软雅黑"/>
          <w:spacing w:val="5"/>
          <w:w w:val="123"/>
          <w:sz w:val="16"/>
          <w:szCs w:val="16"/>
        </w:rPr>
        <w:t>领导下开始这</w:t>
      </w:r>
      <w:r>
        <w:rPr>
          <w:rFonts w:ascii="微软雅黑" w:hAnsi="微软雅黑" w:eastAsia="微软雅黑" w:cs="微软雅黑"/>
          <w:spacing w:val="-20"/>
          <w:sz w:val="16"/>
          <w:szCs w:val="16"/>
        </w:rPr>
        <w:t xml:space="preserve"> </w:t>
      </w:r>
      <w:r>
        <w:rPr>
          <w:rFonts w:ascii="微软雅黑" w:hAnsi="微软雅黑" w:eastAsia="微软雅黑" w:cs="微软雅黑"/>
          <w:spacing w:val="5"/>
          <w:w w:val="123"/>
          <w:sz w:val="16"/>
          <w:szCs w:val="16"/>
        </w:rPr>
        <w:t>一</w:t>
      </w:r>
      <w:r>
        <w:rPr>
          <w:rFonts w:ascii="微软雅黑" w:hAnsi="微软雅黑" w:eastAsia="微软雅黑" w:cs="微软雅黑"/>
          <w:spacing w:val="-26"/>
          <w:sz w:val="16"/>
          <w:szCs w:val="16"/>
        </w:rPr>
        <w:t xml:space="preserve"> </w:t>
      </w:r>
      <w:r>
        <w:rPr>
          <w:rFonts w:ascii="微软雅黑" w:hAnsi="微软雅黑" w:eastAsia="微软雅黑" w:cs="微软雅黑"/>
          <w:spacing w:val="5"/>
          <w:w w:val="123"/>
          <w:sz w:val="16"/>
          <w:szCs w:val="16"/>
        </w:rPr>
        <w:t>过程</w:t>
      </w:r>
      <w:r>
        <w:rPr>
          <w:rFonts w:ascii="微软雅黑" w:hAnsi="微软雅黑" w:eastAsia="微软雅黑" w:cs="微软雅黑"/>
          <w:spacing w:val="-5"/>
          <w:sz w:val="16"/>
          <w:szCs w:val="16"/>
        </w:rPr>
        <w:t xml:space="preserve"> </w:t>
      </w:r>
      <w:r>
        <w:rPr>
          <w:rFonts w:ascii="微软雅黑" w:hAnsi="微软雅黑" w:eastAsia="微软雅黑" w:cs="微软雅黑"/>
          <w:spacing w:val="5"/>
          <w:w w:val="123"/>
          <w:sz w:val="16"/>
          <w:szCs w:val="16"/>
        </w:rPr>
        <w:t>。</w:t>
      </w:r>
      <w:r>
        <w:rPr>
          <w:rFonts w:ascii="微软雅黑" w:hAnsi="微软雅黑" w:eastAsia="微软雅黑" w:cs="微软雅黑"/>
          <w:spacing w:val="-12"/>
          <w:sz w:val="16"/>
          <w:szCs w:val="16"/>
        </w:rPr>
        <w:t xml:space="preserve"> </w:t>
      </w:r>
      <w:r>
        <w:rPr>
          <w:rFonts w:ascii="微软雅黑" w:hAnsi="微软雅黑" w:eastAsia="微软雅黑" w:cs="微软雅黑"/>
          <w:spacing w:val="5"/>
          <w:w w:val="123"/>
          <w:sz w:val="16"/>
          <w:szCs w:val="16"/>
        </w:rPr>
        <w:t>这</w:t>
      </w:r>
      <w:r>
        <w:rPr>
          <w:rFonts w:ascii="微软雅黑" w:hAnsi="微软雅黑" w:eastAsia="微软雅黑" w:cs="微软雅黑"/>
          <w:spacing w:val="-27"/>
          <w:sz w:val="16"/>
          <w:szCs w:val="16"/>
        </w:rPr>
        <w:t xml:space="preserve"> </w:t>
      </w:r>
      <w:r>
        <w:rPr>
          <w:rFonts w:ascii="微软雅黑" w:hAnsi="微软雅黑" w:eastAsia="微软雅黑" w:cs="微软雅黑"/>
          <w:spacing w:val="5"/>
          <w:w w:val="123"/>
          <w:sz w:val="16"/>
          <w:szCs w:val="16"/>
        </w:rPr>
        <w:t>一</w:t>
      </w:r>
      <w:r>
        <w:rPr>
          <w:rFonts w:ascii="微软雅黑" w:hAnsi="微软雅黑" w:eastAsia="微软雅黑" w:cs="微软雅黑"/>
          <w:spacing w:val="-14"/>
          <w:sz w:val="16"/>
          <w:szCs w:val="16"/>
        </w:rPr>
        <w:t xml:space="preserve"> </w:t>
      </w:r>
      <w:r>
        <w:rPr>
          <w:rFonts w:ascii="微软雅黑" w:hAnsi="微软雅黑" w:eastAsia="微软雅黑" w:cs="微软雅黑"/>
          <w:spacing w:val="5"/>
          <w:w w:val="123"/>
          <w:sz w:val="16"/>
          <w:szCs w:val="16"/>
        </w:rPr>
        <w:t>阶段的关键特征是战略</w:t>
      </w:r>
      <w:r>
        <w:rPr>
          <w:rFonts w:ascii="微软雅黑" w:hAnsi="微软雅黑" w:eastAsia="微软雅黑" w:cs="微软雅黑"/>
          <w:sz w:val="16"/>
          <w:szCs w:val="16"/>
        </w:rPr>
        <w:t xml:space="preserve"> </w:t>
      </w:r>
      <w:r>
        <w:rPr>
          <w:rFonts w:ascii="微软雅黑" w:hAnsi="微软雅黑" w:eastAsia="微软雅黑" w:cs="微软雅黑"/>
          <w:spacing w:val="27"/>
          <w:sz w:val="16"/>
          <w:szCs w:val="16"/>
        </w:rPr>
        <w:t>和领导力</w:t>
      </w:r>
      <w:r>
        <w:rPr>
          <w:rFonts w:ascii="微软雅黑" w:hAnsi="微软雅黑" w:eastAsia="微软雅黑" w:cs="微软雅黑"/>
          <w:spacing w:val="8"/>
          <w:sz w:val="16"/>
          <w:szCs w:val="16"/>
        </w:rPr>
        <w:t xml:space="preserve"> </w:t>
      </w:r>
      <w:r>
        <w:rPr>
          <w:rFonts w:ascii="微软雅黑" w:hAnsi="微软雅黑" w:eastAsia="微软雅黑" w:cs="微软雅黑"/>
          <w:spacing w:val="27"/>
          <w:sz w:val="16"/>
          <w:szCs w:val="16"/>
        </w:rPr>
        <w:t>。</w:t>
      </w:r>
      <w:r>
        <w:rPr>
          <w:rFonts w:ascii="微软雅黑" w:hAnsi="微软雅黑" w:eastAsia="微软雅黑" w:cs="微软雅黑"/>
          <w:spacing w:val="-12"/>
          <w:sz w:val="16"/>
          <w:szCs w:val="16"/>
        </w:rPr>
        <w:t xml:space="preserve"> </w:t>
      </w:r>
      <w:r>
        <w:rPr>
          <w:rFonts w:ascii="微软雅黑" w:hAnsi="微软雅黑" w:eastAsia="微软雅黑" w:cs="微软雅黑"/>
          <w:spacing w:val="27"/>
          <w:sz w:val="16"/>
          <w:szCs w:val="16"/>
        </w:rPr>
        <w:t>一</w:t>
      </w:r>
      <w:r>
        <w:rPr>
          <w:rFonts w:ascii="微软雅黑" w:hAnsi="微软雅黑" w:eastAsia="微软雅黑" w:cs="微软雅黑"/>
          <w:spacing w:val="-28"/>
          <w:sz w:val="16"/>
          <w:szCs w:val="16"/>
        </w:rPr>
        <w:t xml:space="preserve"> </w:t>
      </w:r>
      <w:r>
        <w:rPr>
          <w:rFonts w:ascii="微软雅黑" w:hAnsi="微软雅黑" w:eastAsia="微软雅黑" w:cs="微软雅黑"/>
          <w:spacing w:val="27"/>
          <w:sz w:val="16"/>
          <w:szCs w:val="16"/>
        </w:rPr>
        <w:t>方面</w:t>
      </w:r>
      <w:r>
        <w:rPr>
          <w:rFonts w:ascii="微软雅黑" w:hAnsi="微软雅黑" w:eastAsia="微软雅黑" w:cs="微软雅黑"/>
          <w:spacing w:val="-24"/>
          <w:sz w:val="16"/>
          <w:szCs w:val="16"/>
        </w:rPr>
        <w:t xml:space="preserve"> </w:t>
      </w:r>
      <w:r>
        <w:rPr>
          <w:rFonts w:ascii="微软雅黑" w:hAnsi="微软雅黑" w:eastAsia="微软雅黑" w:cs="微软雅黑"/>
          <w:spacing w:val="27"/>
          <w:sz w:val="16"/>
          <w:szCs w:val="16"/>
        </w:rPr>
        <w:t>，高</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等</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教</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育</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机</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构</w:t>
      </w:r>
      <w:r>
        <w:rPr>
          <w:rFonts w:ascii="微软雅黑" w:hAnsi="微软雅黑" w:eastAsia="微软雅黑" w:cs="微软雅黑"/>
          <w:spacing w:val="-3"/>
          <w:sz w:val="16"/>
          <w:szCs w:val="16"/>
        </w:rPr>
        <w:t xml:space="preserve"> </w:t>
      </w:r>
      <w:r>
        <w:rPr>
          <w:rFonts w:ascii="微软雅黑" w:hAnsi="微软雅黑" w:eastAsia="微软雅黑" w:cs="微软雅黑"/>
          <w:spacing w:val="27"/>
          <w:sz w:val="16"/>
          <w:szCs w:val="16"/>
        </w:rPr>
        <w:t>的</w:t>
      </w:r>
      <w:r>
        <w:rPr>
          <w:rFonts w:ascii="微软雅黑" w:hAnsi="微软雅黑" w:eastAsia="微软雅黑" w:cs="微软雅黑"/>
          <w:spacing w:val="-18"/>
          <w:sz w:val="16"/>
          <w:szCs w:val="16"/>
        </w:rPr>
        <w:t xml:space="preserve"> </w:t>
      </w:r>
      <w:r>
        <w:rPr>
          <w:rFonts w:ascii="微软雅黑" w:hAnsi="微软雅黑" w:eastAsia="微软雅黑" w:cs="微软雅黑"/>
          <w:spacing w:val="27"/>
          <w:sz w:val="16"/>
          <w:szCs w:val="16"/>
        </w:rPr>
        <w:t>使</w:t>
      </w:r>
      <w:r>
        <w:rPr>
          <w:rFonts w:ascii="微软雅黑" w:hAnsi="微软雅黑" w:eastAsia="微软雅黑" w:cs="微软雅黑"/>
          <w:spacing w:val="-22"/>
          <w:sz w:val="16"/>
          <w:szCs w:val="16"/>
        </w:rPr>
        <w:t xml:space="preserve"> </w:t>
      </w:r>
      <w:r>
        <w:rPr>
          <w:rFonts w:ascii="微软雅黑" w:hAnsi="微软雅黑" w:eastAsia="微软雅黑" w:cs="微软雅黑"/>
          <w:spacing w:val="27"/>
          <w:sz w:val="16"/>
          <w:szCs w:val="16"/>
        </w:rPr>
        <w:t>命</w:t>
      </w:r>
      <w:r>
        <w:rPr>
          <w:rFonts w:ascii="微软雅黑" w:hAnsi="微软雅黑" w:eastAsia="微软雅黑" w:cs="微软雅黑"/>
          <w:spacing w:val="-18"/>
          <w:sz w:val="16"/>
          <w:szCs w:val="16"/>
        </w:rPr>
        <w:t xml:space="preserve"> </w:t>
      </w:r>
      <w:r>
        <w:rPr>
          <w:rFonts w:ascii="微软雅黑" w:hAnsi="微软雅黑" w:eastAsia="微软雅黑" w:cs="微软雅黑"/>
          <w:spacing w:val="27"/>
          <w:sz w:val="16"/>
          <w:szCs w:val="16"/>
        </w:rPr>
        <w:t>是</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发</w:t>
      </w:r>
      <w:r>
        <w:rPr>
          <w:rFonts w:ascii="微软雅黑" w:hAnsi="微软雅黑" w:eastAsia="微软雅黑" w:cs="微软雅黑"/>
          <w:spacing w:val="-18"/>
          <w:sz w:val="16"/>
          <w:szCs w:val="16"/>
        </w:rPr>
        <w:t xml:space="preserve"> </w:t>
      </w:r>
      <w:r>
        <w:rPr>
          <w:rFonts w:ascii="微软雅黑" w:hAnsi="微软雅黑" w:eastAsia="微软雅黑" w:cs="微软雅黑"/>
          <w:spacing w:val="27"/>
          <w:sz w:val="16"/>
          <w:szCs w:val="16"/>
        </w:rPr>
        <w:t>展</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质</w:t>
      </w:r>
      <w:r>
        <w:rPr>
          <w:rFonts w:ascii="微软雅黑" w:hAnsi="微软雅黑" w:eastAsia="微软雅黑" w:cs="微软雅黑"/>
          <w:sz w:val="16"/>
          <w:szCs w:val="16"/>
        </w:rPr>
        <w:t xml:space="preserve"> </w:t>
      </w:r>
      <w:r>
        <w:rPr>
          <w:rFonts w:ascii="微软雅黑" w:hAnsi="微软雅黑" w:eastAsia="微软雅黑" w:cs="微软雅黑"/>
          <w:spacing w:val="37"/>
          <w:sz w:val="16"/>
          <w:szCs w:val="16"/>
        </w:rPr>
        <w:t>量文化的起点</w:t>
      </w:r>
      <w:r>
        <w:rPr>
          <w:rFonts w:ascii="微软雅黑" w:hAnsi="微软雅黑" w:eastAsia="微软雅黑" w:cs="微软雅黑"/>
          <w:spacing w:val="-21"/>
          <w:sz w:val="16"/>
          <w:szCs w:val="16"/>
        </w:rPr>
        <w:t xml:space="preserve"> </w:t>
      </w:r>
      <w:r>
        <w:rPr>
          <w:rFonts w:ascii="微软雅黑" w:hAnsi="微软雅黑" w:eastAsia="微软雅黑" w:cs="微软雅黑"/>
          <w:spacing w:val="37"/>
          <w:sz w:val="16"/>
          <w:szCs w:val="16"/>
        </w:rPr>
        <w:t>，制定质量文化</w:t>
      </w:r>
      <w:r>
        <w:rPr>
          <w:rFonts w:ascii="微软雅黑" w:hAnsi="微软雅黑" w:eastAsia="微软雅黑" w:cs="微软雅黑"/>
          <w:spacing w:val="-20"/>
          <w:sz w:val="16"/>
          <w:szCs w:val="16"/>
        </w:rPr>
        <w:t xml:space="preserve"> </w:t>
      </w:r>
      <w:r>
        <w:rPr>
          <w:rFonts w:ascii="微软雅黑" w:hAnsi="微软雅黑" w:eastAsia="微软雅黑" w:cs="微软雅黑"/>
          <w:spacing w:val="37"/>
          <w:sz w:val="16"/>
          <w:szCs w:val="16"/>
        </w:rPr>
        <w:t>并</w:t>
      </w:r>
      <w:r>
        <w:rPr>
          <w:rFonts w:ascii="微软雅黑" w:hAnsi="微软雅黑" w:eastAsia="微软雅黑" w:cs="微软雅黑"/>
          <w:spacing w:val="-20"/>
          <w:sz w:val="16"/>
          <w:szCs w:val="16"/>
        </w:rPr>
        <w:t xml:space="preserve"> </w:t>
      </w:r>
      <w:r>
        <w:rPr>
          <w:rFonts w:ascii="微软雅黑" w:hAnsi="微软雅黑" w:eastAsia="微软雅黑" w:cs="微软雅黑"/>
          <w:spacing w:val="37"/>
          <w:sz w:val="16"/>
          <w:szCs w:val="16"/>
        </w:rPr>
        <w:t>将</w:t>
      </w:r>
      <w:r>
        <w:rPr>
          <w:rFonts w:ascii="微软雅黑" w:hAnsi="微软雅黑" w:eastAsia="微软雅黑" w:cs="微软雅黑"/>
          <w:spacing w:val="-20"/>
          <w:sz w:val="16"/>
          <w:szCs w:val="16"/>
        </w:rPr>
        <w:t xml:space="preserve"> </w:t>
      </w:r>
      <w:r>
        <w:rPr>
          <w:rFonts w:ascii="微软雅黑" w:hAnsi="微软雅黑" w:eastAsia="微软雅黑" w:cs="微软雅黑"/>
          <w:spacing w:val="37"/>
          <w:sz w:val="16"/>
          <w:szCs w:val="16"/>
        </w:rPr>
        <w:t>其</w:t>
      </w:r>
      <w:r>
        <w:rPr>
          <w:rFonts w:ascii="微软雅黑" w:hAnsi="微软雅黑" w:eastAsia="微软雅黑" w:cs="微软雅黑"/>
          <w:spacing w:val="-21"/>
          <w:sz w:val="16"/>
          <w:szCs w:val="16"/>
        </w:rPr>
        <w:t xml:space="preserve"> </w:t>
      </w:r>
      <w:r>
        <w:rPr>
          <w:rFonts w:ascii="微软雅黑" w:hAnsi="微软雅黑" w:eastAsia="微软雅黑" w:cs="微软雅黑"/>
          <w:spacing w:val="37"/>
          <w:sz w:val="16"/>
          <w:szCs w:val="16"/>
        </w:rPr>
        <w:t>嵌</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入</w:t>
      </w:r>
      <w:r>
        <w:rPr>
          <w:rFonts w:ascii="微软雅黑" w:hAnsi="微软雅黑" w:eastAsia="微软雅黑" w:cs="微软雅黑"/>
          <w:spacing w:val="-16"/>
          <w:sz w:val="16"/>
          <w:szCs w:val="16"/>
        </w:rPr>
        <w:t xml:space="preserve"> </w:t>
      </w:r>
      <w:r>
        <w:rPr>
          <w:rFonts w:ascii="微软雅黑" w:hAnsi="微软雅黑" w:eastAsia="微软雅黑" w:cs="微软雅黑"/>
          <w:spacing w:val="37"/>
          <w:sz w:val="16"/>
          <w:szCs w:val="16"/>
        </w:rPr>
        <w:t>机</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构</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整</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体</w:t>
      </w:r>
      <w:r>
        <w:rPr>
          <w:rFonts w:ascii="微软雅黑" w:hAnsi="微软雅黑" w:eastAsia="微软雅黑" w:cs="微软雅黑"/>
          <w:sz w:val="16"/>
          <w:szCs w:val="16"/>
        </w:rPr>
        <w:t xml:space="preserve"> </w:t>
      </w:r>
      <w:r>
        <w:rPr>
          <w:rFonts w:ascii="微软雅黑" w:hAnsi="微软雅黑" w:eastAsia="微软雅黑" w:cs="微软雅黑"/>
          <w:spacing w:val="29"/>
          <w:sz w:val="16"/>
          <w:szCs w:val="16"/>
        </w:rPr>
        <w:t>战略是建设质量文</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化</w:t>
      </w:r>
      <w:r>
        <w:rPr>
          <w:rFonts w:ascii="微软雅黑" w:hAnsi="微软雅黑" w:eastAsia="微软雅黑" w:cs="微软雅黑"/>
          <w:spacing w:val="-2"/>
          <w:sz w:val="16"/>
          <w:szCs w:val="16"/>
        </w:rPr>
        <w:t xml:space="preserve"> </w:t>
      </w:r>
      <w:r>
        <w:rPr>
          <w:rFonts w:ascii="微软雅黑" w:hAnsi="微软雅黑" w:eastAsia="微软雅黑" w:cs="微软雅黑"/>
          <w:spacing w:val="29"/>
          <w:sz w:val="16"/>
          <w:szCs w:val="16"/>
        </w:rPr>
        <w:t>的</w:t>
      </w:r>
      <w:r>
        <w:rPr>
          <w:rFonts w:ascii="微软雅黑" w:hAnsi="微软雅黑" w:eastAsia="微软雅黑" w:cs="微软雅黑"/>
          <w:spacing w:val="-20"/>
          <w:sz w:val="16"/>
          <w:szCs w:val="16"/>
        </w:rPr>
        <w:t xml:space="preserve"> </w:t>
      </w:r>
      <w:r>
        <w:rPr>
          <w:rFonts w:ascii="微软雅黑" w:hAnsi="微软雅黑" w:eastAsia="微软雅黑" w:cs="微软雅黑"/>
          <w:spacing w:val="29"/>
          <w:sz w:val="16"/>
          <w:szCs w:val="16"/>
        </w:rPr>
        <w:t>关</w:t>
      </w:r>
      <w:r>
        <w:rPr>
          <w:rFonts w:ascii="微软雅黑" w:hAnsi="微软雅黑" w:eastAsia="微软雅黑" w:cs="微软雅黑"/>
          <w:spacing w:val="-19"/>
          <w:sz w:val="16"/>
          <w:szCs w:val="16"/>
        </w:rPr>
        <w:t xml:space="preserve"> </w:t>
      </w:r>
      <w:r>
        <w:rPr>
          <w:rFonts w:ascii="微软雅黑" w:hAnsi="微软雅黑" w:eastAsia="微软雅黑" w:cs="微软雅黑"/>
          <w:spacing w:val="29"/>
          <w:sz w:val="16"/>
          <w:szCs w:val="16"/>
        </w:rPr>
        <w:t>键</w:t>
      </w:r>
      <w:r>
        <w:rPr>
          <w:rFonts w:ascii="微软雅黑" w:hAnsi="微软雅黑" w:eastAsia="微软雅黑" w:cs="微软雅黑"/>
          <w:spacing w:val="-15"/>
          <w:sz w:val="16"/>
          <w:szCs w:val="16"/>
        </w:rPr>
        <w:t xml:space="preserve"> </w:t>
      </w:r>
      <w:r>
        <w:rPr>
          <w:rFonts w:ascii="微软雅黑" w:hAnsi="微软雅黑" w:eastAsia="微软雅黑" w:cs="微软雅黑"/>
          <w:spacing w:val="29"/>
          <w:sz w:val="16"/>
          <w:szCs w:val="16"/>
        </w:rPr>
        <w:t>步</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骤</w:t>
      </w:r>
      <w:r>
        <w:rPr>
          <w:rFonts w:ascii="微软雅黑" w:hAnsi="微软雅黑" w:eastAsia="微软雅黑" w:cs="微软雅黑"/>
          <w:spacing w:val="-5"/>
          <w:sz w:val="16"/>
          <w:szCs w:val="16"/>
        </w:rPr>
        <w:t xml:space="preserve"> </w:t>
      </w:r>
      <w:r>
        <w:rPr>
          <w:rFonts w:ascii="微软雅黑" w:hAnsi="微软雅黑" w:eastAsia="微软雅黑" w:cs="微软雅黑"/>
          <w:spacing w:val="29"/>
          <w:sz w:val="16"/>
          <w:szCs w:val="16"/>
        </w:rPr>
        <w:t>。 同</w:t>
      </w:r>
      <w:r>
        <w:rPr>
          <w:rFonts w:ascii="微软雅黑" w:hAnsi="微软雅黑" w:eastAsia="微软雅黑" w:cs="微软雅黑"/>
          <w:spacing w:val="-8"/>
          <w:sz w:val="16"/>
          <w:szCs w:val="16"/>
        </w:rPr>
        <w:t xml:space="preserve"> </w:t>
      </w:r>
      <w:r>
        <w:rPr>
          <w:rFonts w:ascii="微软雅黑" w:hAnsi="微软雅黑" w:eastAsia="微软雅黑" w:cs="微软雅黑"/>
          <w:spacing w:val="29"/>
          <w:sz w:val="16"/>
          <w:szCs w:val="16"/>
        </w:rPr>
        <w:t>时</w:t>
      </w:r>
      <w:r>
        <w:rPr>
          <w:rFonts w:ascii="微软雅黑" w:hAnsi="微软雅黑" w:eastAsia="微软雅黑" w:cs="微软雅黑"/>
          <w:spacing w:val="-24"/>
          <w:sz w:val="16"/>
          <w:szCs w:val="16"/>
        </w:rPr>
        <w:t xml:space="preserve"> </w:t>
      </w:r>
      <w:r>
        <w:rPr>
          <w:rFonts w:ascii="微软雅黑" w:hAnsi="微软雅黑" w:eastAsia="微软雅黑" w:cs="微软雅黑"/>
          <w:spacing w:val="29"/>
          <w:sz w:val="16"/>
          <w:szCs w:val="16"/>
        </w:rPr>
        <w:t>，在</w:t>
      </w:r>
      <w:r>
        <w:rPr>
          <w:rFonts w:ascii="微软雅黑" w:hAnsi="微软雅黑" w:eastAsia="微软雅黑" w:cs="微软雅黑"/>
          <w:spacing w:val="-17"/>
          <w:sz w:val="16"/>
          <w:szCs w:val="16"/>
        </w:rPr>
        <w:t xml:space="preserve"> </w:t>
      </w:r>
      <w:r>
        <w:rPr>
          <w:rFonts w:ascii="微软雅黑" w:hAnsi="微软雅黑" w:eastAsia="微软雅黑" w:cs="微软雅黑"/>
          <w:spacing w:val="29"/>
          <w:sz w:val="16"/>
          <w:szCs w:val="16"/>
        </w:rPr>
        <w:t>制</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度</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策</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略中嵌入质量文化来为其提</w:t>
      </w:r>
      <w:r>
        <w:rPr>
          <w:rFonts w:ascii="微软雅黑" w:hAnsi="微软雅黑" w:eastAsia="微软雅黑" w:cs="微软雅黑"/>
          <w:spacing w:val="-10"/>
          <w:sz w:val="16"/>
          <w:szCs w:val="16"/>
        </w:rPr>
        <w:t xml:space="preserve"> </w:t>
      </w:r>
      <w:r>
        <w:rPr>
          <w:rFonts w:ascii="微软雅黑" w:hAnsi="微软雅黑" w:eastAsia="微软雅黑" w:cs="微软雅黑"/>
          <w:spacing w:val="36"/>
          <w:sz w:val="16"/>
          <w:szCs w:val="16"/>
        </w:rPr>
        <w:t>供</w:t>
      </w:r>
      <w:r>
        <w:rPr>
          <w:rFonts w:ascii="微软雅黑" w:hAnsi="微软雅黑" w:eastAsia="微软雅黑" w:cs="微软雅黑"/>
          <w:spacing w:val="-7"/>
          <w:sz w:val="16"/>
          <w:szCs w:val="16"/>
        </w:rPr>
        <w:t xml:space="preserve"> </w:t>
      </w:r>
      <w:r>
        <w:rPr>
          <w:rFonts w:ascii="微软雅黑" w:hAnsi="微软雅黑" w:eastAsia="微软雅黑" w:cs="微软雅黑"/>
          <w:spacing w:val="36"/>
          <w:sz w:val="16"/>
          <w:szCs w:val="16"/>
        </w:rPr>
        <w:t>战</w:t>
      </w:r>
      <w:r>
        <w:rPr>
          <w:rFonts w:ascii="微软雅黑" w:hAnsi="微软雅黑" w:eastAsia="微软雅黑" w:cs="微软雅黑"/>
          <w:spacing w:val="-8"/>
          <w:sz w:val="16"/>
          <w:szCs w:val="16"/>
        </w:rPr>
        <w:t xml:space="preserve"> </w:t>
      </w:r>
      <w:r>
        <w:rPr>
          <w:rFonts w:ascii="微软雅黑" w:hAnsi="微软雅黑" w:eastAsia="微软雅黑" w:cs="微软雅黑"/>
          <w:spacing w:val="36"/>
          <w:sz w:val="16"/>
          <w:szCs w:val="16"/>
        </w:rPr>
        <w:t>略</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指</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导</w:t>
      </w:r>
      <w:r>
        <w:rPr>
          <w:rFonts w:ascii="微软雅黑" w:hAnsi="微软雅黑" w:eastAsia="微软雅黑" w:cs="微软雅黑"/>
          <w:spacing w:val="-23"/>
          <w:sz w:val="16"/>
          <w:szCs w:val="16"/>
        </w:rPr>
        <w:t xml:space="preserve"> </w:t>
      </w:r>
      <w:r>
        <w:rPr>
          <w:rFonts w:ascii="微软雅黑" w:hAnsi="微软雅黑" w:eastAsia="微软雅黑" w:cs="微软雅黑"/>
          <w:spacing w:val="36"/>
          <w:sz w:val="16"/>
          <w:szCs w:val="16"/>
        </w:rPr>
        <w:t>，这</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样</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可</w:t>
      </w:r>
      <w:r>
        <w:rPr>
          <w:rFonts w:ascii="微软雅黑" w:hAnsi="微软雅黑" w:eastAsia="微软雅黑" w:cs="微软雅黑"/>
          <w:spacing w:val="-2"/>
          <w:sz w:val="16"/>
          <w:szCs w:val="16"/>
        </w:rPr>
        <w:t xml:space="preserve"> </w:t>
      </w:r>
      <w:r>
        <w:rPr>
          <w:rFonts w:ascii="微软雅黑" w:hAnsi="微软雅黑" w:eastAsia="微软雅黑" w:cs="微软雅黑"/>
          <w:spacing w:val="36"/>
          <w:sz w:val="16"/>
          <w:szCs w:val="16"/>
        </w:rPr>
        <w:t>以</w:t>
      </w:r>
      <w:r>
        <w:rPr>
          <w:rFonts w:ascii="微软雅黑" w:hAnsi="微软雅黑" w:eastAsia="微软雅黑" w:cs="微软雅黑"/>
          <w:sz w:val="16"/>
          <w:szCs w:val="16"/>
        </w:rPr>
        <w:t xml:space="preserve"> </w:t>
      </w:r>
      <w:r>
        <w:rPr>
          <w:rFonts w:ascii="微软雅黑" w:hAnsi="微软雅黑" w:eastAsia="微软雅黑" w:cs="微软雅黑"/>
          <w:spacing w:val="9"/>
          <w:w w:val="125"/>
          <w:sz w:val="16"/>
          <w:szCs w:val="16"/>
        </w:rPr>
        <w:t>确保机构的质量理念及其实现方式与机构使命</w:t>
      </w:r>
      <w:r>
        <w:rPr>
          <w:rFonts w:ascii="微软雅黑" w:hAnsi="微软雅黑" w:eastAsia="微软雅黑" w:cs="微软雅黑"/>
          <w:spacing w:val="8"/>
          <w:w w:val="125"/>
          <w:sz w:val="16"/>
          <w:szCs w:val="16"/>
        </w:rPr>
        <w:t>相</w:t>
      </w:r>
      <w:r>
        <w:rPr>
          <w:rFonts w:ascii="微软雅黑" w:hAnsi="微软雅黑" w:eastAsia="微软雅黑" w:cs="微软雅黑"/>
          <w:spacing w:val="-23"/>
          <w:sz w:val="16"/>
          <w:szCs w:val="16"/>
        </w:rPr>
        <w:t xml:space="preserve"> </w:t>
      </w:r>
      <w:r>
        <w:rPr>
          <w:rFonts w:ascii="微软雅黑" w:hAnsi="微软雅黑" w:eastAsia="微软雅黑" w:cs="微软雅黑"/>
          <w:spacing w:val="8"/>
          <w:w w:val="125"/>
          <w:sz w:val="16"/>
          <w:szCs w:val="16"/>
        </w:rPr>
        <w:t>一</w:t>
      </w:r>
      <w:r>
        <w:rPr>
          <w:rFonts w:ascii="微软雅黑" w:hAnsi="微软雅黑" w:eastAsia="微软雅黑" w:cs="微软雅黑"/>
          <w:sz w:val="16"/>
          <w:szCs w:val="16"/>
        </w:rPr>
        <w:t xml:space="preserve"> </w:t>
      </w:r>
      <w:r>
        <w:rPr>
          <w:rFonts w:ascii="微软雅黑" w:hAnsi="微软雅黑" w:eastAsia="微软雅黑" w:cs="微软雅黑"/>
          <w:spacing w:val="25"/>
          <w:sz w:val="16"/>
          <w:szCs w:val="16"/>
        </w:rPr>
        <w:t>致</w:t>
      </w:r>
      <w:r>
        <w:rPr>
          <w:rFonts w:ascii="微软雅黑" w:hAnsi="微软雅黑" w:eastAsia="微软雅黑" w:cs="微软雅黑"/>
          <w:spacing w:val="13"/>
          <w:w w:val="101"/>
          <w:sz w:val="16"/>
          <w:szCs w:val="16"/>
        </w:rPr>
        <w:t xml:space="preserve"> </w:t>
      </w:r>
      <w:r>
        <w:rPr>
          <w:rFonts w:ascii="微软雅黑" w:hAnsi="微软雅黑" w:eastAsia="微软雅黑" w:cs="微软雅黑"/>
          <w:spacing w:val="25"/>
          <w:sz w:val="16"/>
          <w:szCs w:val="16"/>
        </w:rPr>
        <w:t>。</w:t>
      </w:r>
      <w:r>
        <w:rPr>
          <w:rFonts w:ascii="微软雅黑" w:hAnsi="微软雅黑" w:eastAsia="微软雅黑" w:cs="微软雅黑"/>
          <w:spacing w:val="-11"/>
          <w:sz w:val="16"/>
          <w:szCs w:val="16"/>
        </w:rPr>
        <w:t xml:space="preserve"> </w:t>
      </w:r>
      <w:r>
        <w:rPr>
          <w:rFonts w:ascii="微软雅黑" w:hAnsi="微软雅黑" w:eastAsia="微软雅黑" w:cs="微软雅黑"/>
          <w:spacing w:val="25"/>
          <w:sz w:val="16"/>
          <w:szCs w:val="16"/>
        </w:rPr>
        <w:t>另</w:t>
      </w:r>
      <w:r>
        <w:rPr>
          <w:rFonts w:ascii="微软雅黑" w:hAnsi="微软雅黑" w:eastAsia="微软雅黑" w:cs="微软雅黑"/>
          <w:spacing w:val="-27"/>
          <w:sz w:val="16"/>
          <w:szCs w:val="16"/>
        </w:rPr>
        <w:t xml:space="preserve"> </w:t>
      </w:r>
      <w:r>
        <w:rPr>
          <w:rFonts w:ascii="微软雅黑" w:hAnsi="微软雅黑" w:eastAsia="微软雅黑" w:cs="微软雅黑"/>
          <w:spacing w:val="25"/>
          <w:sz w:val="16"/>
          <w:szCs w:val="16"/>
        </w:rPr>
        <w:t>一</w:t>
      </w:r>
      <w:r>
        <w:rPr>
          <w:rFonts w:ascii="微软雅黑" w:hAnsi="微软雅黑" w:eastAsia="微软雅黑" w:cs="微软雅黑"/>
          <w:spacing w:val="-28"/>
          <w:sz w:val="16"/>
          <w:szCs w:val="16"/>
        </w:rPr>
        <w:t xml:space="preserve"> </w:t>
      </w:r>
      <w:r>
        <w:rPr>
          <w:rFonts w:ascii="微软雅黑" w:hAnsi="微软雅黑" w:eastAsia="微软雅黑" w:cs="微软雅黑"/>
          <w:spacing w:val="25"/>
          <w:sz w:val="16"/>
          <w:szCs w:val="16"/>
        </w:rPr>
        <w:t>方面</w:t>
      </w:r>
      <w:r>
        <w:rPr>
          <w:rFonts w:ascii="微软雅黑" w:hAnsi="微软雅黑" w:eastAsia="微软雅黑" w:cs="微软雅黑"/>
          <w:spacing w:val="-23"/>
          <w:sz w:val="16"/>
          <w:szCs w:val="16"/>
        </w:rPr>
        <w:t xml:space="preserve"> </w:t>
      </w:r>
      <w:r>
        <w:rPr>
          <w:rFonts w:ascii="微软雅黑" w:hAnsi="微软雅黑" w:eastAsia="微软雅黑" w:cs="微软雅黑"/>
          <w:spacing w:val="25"/>
          <w:sz w:val="16"/>
          <w:szCs w:val="16"/>
        </w:rPr>
        <w:t>，机构领</w:t>
      </w:r>
      <w:r>
        <w:rPr>
          <w:rFonts w:ascii="微软雅黑" w:hAnsi="微软雅黑" w:eastAsia="微软雅黑" w:cs="微软雅黑"/>
          <w:spacing w:val="-17"/>
          <w:sz w:val="16"/>
          <w:szCs w:val="16"/>
        </w:rPr>
        <w:t xml:space="preserve"> </w:t>
      </w:r>
      <w:r>
        <w:rPr>
          <w:rFonts w:ascii="微软雅黑" w:hAnsi="微软雅黑" w:eastAsia="微软雅黑" w:cs="微软雅黑"/>
          <w:spacing w:val="25"/>
          <w:sz w:val="16"/>
          <w:szCs w:val="16"/>
        </w:rPr>
        <w:t>导</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在</w:t>
      </w:r>
      <w:r>
        <w:rPr>
          <w:rFonts w:ascii="微软雅黑" w:hAnsi="微软雅黑" w:eastAsia="微软雅黑" w:cs="微软雅黑"/>
          <w:spacing w:val="-17"/>
          <w:sz w:val="16"/>
          <w:szCs w:val="16"/>
        </w:rPr>
        <w:t xml:space="preserve"> </w:t>
      </w:r>
      <w:r>
        <w:rPr>
          <w:rFonts w:ascii="微软雅黑" w:hAnsi="微软雅黑" w:eastAsia="微软雅黑" w:cs="微软雅黑"/>
          <w:spacing w:val="25"/>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25"/>
          <w:sz w:val="16"/>
          <w:szCs w:val="16"/>
        </w:rPr>
        <w:t>量</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文</w:t>
      </w:r>
      <w:r>
        <w:rPr>
          <w:rFonts w:ascii="微软雅黑" w:hAnsi="微软雅黑" w:eastAsia="微软雅黑" w:cs="微软雅黑"/>
          <w:spacing w:val="-18"/>
          <w:sz w:val="16"/>
          <w:szCs w:val="16"/>
        </w:rPr>
        <w:t xml:space="preserve"> </w:t>
      </w:r>
      <w:r>
        <w:rPr>
          <w:rFonts w:ascii="微软雅黑" w:hAnsi="微软雅黑" w:eastAsia="微软雅黑" w:cs="微软雅黑"/>
          <w:spacing w:val="25"/>
          <w:sz w:val="16"/>
          <w:szCs w:val="16"/>
        </w:rPr>
        <w:t>化</w:t>
      </w:r>
      <w:r>
        <w:rPr>
          <w:rFonts w:ascii="微软雅黑" w:hAnsi="微软雅黑" w:eastAsia="微软雅黑" w:cs="微软雅黑"/>
          <w:spacing w:val="-3"/>
          <w:sz w:val="16"/>
          <w:szCs w:val="16"/>
        </w:rPr>
        <w:t xml:space="preserve"> </w:t>
      </w:r>
      <w:r>
        <w:rPr>
          <w:rFonts w:ascii="微软雅黑" w:hAnsi="微软雅黑" w:eastAsia="微软雅黑" w:cs="微软雅黑"/>
          <w:spacing w:val="25"/>
          <w:sz w:val="16"/>
          <w:szCs w:val="16"/>
        </w:rPr>
        <w:t>的</w:t>
      </w:r>
      <w:r>
        <w:rPr>
          <w:rFonts w:ascii="微软雅黑" w:hAnsi="微软雅黑" w:eastAsia="微软雅黑" w:cs="微软雅黑"/>
          <w:spacing w:val="-15"/>
          <w:sz w:val="16"/>
          <w:szCs w:val="16"/>
        </w:rPr>
        <w:t xml:space="preserve"> </w:t>
      </w:r>
      <w:r>
        <w:rPr>
          <w:rFonts w:ascii="微软雅黑" w:hAnsi="微软雅黑" w:eastAsia="微软雅黑" w:cs="微软雅黑"/>
          <w:spacing w:val="25"/>
          <w:sz w:val="16"/>
          <w:szCs w:val="16"/>
        </w:rPr>
        <w:t>实</w:t>
      </w:r>
      <w:r>
        <w:rPr>
          <w:rFonts w:ascii="微软雅黑" w:hAnsi="微软雅黑" w:eastAsia="微软雅黑" w:cs="微软雅黑"/>
          <w:spacing w:val="-20"/>
          <w:sz w:val="16"/>
          <w:szCs w:val="16"/>
        </w:rPr>
        <w:t xml:space="preserve"> </w:t>
      </w:r>
      <w:r>
        <w:rPr>
          <w:rFonts w:ascii="微软雅黑" w:hAnsi="微软雅黑" w:eastAsia="微软雅黑" w:cs="微软雅黑"/>
          <w:spacing w:val="25"/>
          <w:sz w:val="16"/>
          <w:szCs w:val="16"/>
        </w:rPr>
        <w:t>施</w:t>
      </w:r>
      <w:r>
        <w:rPr>
          <w:rFonts w:ascii="微软雅黑" w:hAnsi="微软雅黑" w:eastAsia="微软雅黑" w:cs="微软雅黑"/>
          <w:spacing w:val="-12"/>
          <w:sz w:val="16"/>
          <w:szCs w:val="16"/>
        </w:rPr>
        <w:t xml:space="preserve"> </w:t>
      </w:r>
      <w:r>
        <w:rPr>
          <w:rFonts w:ascii="微软雅黑" w:hAnsi="微软雅黑" w:eastAsia="微软雅黑" w:cs="微软雅黑"/>
          <w:spacing w:val="25"/>
          <w:sz w:val="16"/>
          <w:szCs w:val="16"/>
        </w:rPr>
        <w:t>和</w:t>
      </w:r>
      <w:r>
        <w:rPr>
          <w:rFonts w:ascii="微软雅黑" w:hAnsi="微软雅黑" w:eastAsia="微软雅黑" w:cs="微软雅黑"/>
          <w:spacing w:val="-17"/>
          <w:sz w:val="16"/>
          <w:szCs w:val="16"/>
        </w:rPr>
        <w:t xml:space="preserve"> </w:t>
      </w:r>
      <w:r>
        <w:rPr>
          <w:rFonts w:ascii="微软雅黑" w:hAnsi="微软雅黑" w:eastAsia="微软雅黑" w:cs="微软雅黑"/>
          <w:spacing w:val="25"/>
          <w:sz w:val="16"/>
          <w:szCs w:val="16"/>
        </w:rPr>
        <w:t>运</w:t>
      </w:r>
      <w:r>
        <w:rPr>
          <w:rFonts w:ascii="微软雅黑" w:hAnsi="微软雅黑" w:eastAsia="微软雅黑" w:cs="微软雅黑"/>
          <w:spacing w:val="-10"/>
          <w:sz w:val="16"/>
          <w:szCs w:val="16"/>
        </w:rPr>
        <w:t xml:space="preserve"> </w:t>
      </w:r>
      <w:r>
        <w:rPr>
          <w:rFonts w:ascii="微软雅黑" w:hAnsi="微软雅黑" w:eastAsia="微软雅黑" w:cs="微软雅黑"/>
          <w:spacing w:val="25"/>
          <w:sz w:val="16"/>
          <w:szCs w:val="16"/>
        </w:rPr>
        <w:t>营</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中具有核心作用</w:t>
      </w:r>
      <w:r>
        <w:rPr>
          <w:rFonts w:ascii="微软雅黑" w:hAnsi="微软雅黑" w:eastAsia="微软雅黑" w:cs="微软雅黑"/>
          <w:spacing w:val="5"/>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12"/>
          <w:sz w:val="16"/>
          <w:szCs w:val="16"/>
        </w:rPr>
        <w:t xml:space="preserve"> </w:t>
      </w:r>
      <w:r>
        <w:rPr>
          <w:rFonts w:ascii="微软雅黑" w:hAnsi="微软雅黑" w:eastAsia="微软雅黑" w:cs="微软雅黑"/>
          <w:spacing w:val="6"/>
          <w:w w:val="125"/>
          <w:sz w:val="16"/>
          <w:szCs w:val="16"/>
        </w:rPr>
        <w:t>领导层需要创造有利于质量文化</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的条件</w:t>
      </w:r>
      <w:r>
        <w:rPr>
          <w:rFonts w:ascii="微软雅黑" w:hAnsi="微软雅黑" w:eastAsia="微软雅黑" w:cs="微软雅黑"/>
          <w:spacing w:val="-22"/>
          <w:sz w:val="16"/>
          <w:szCs w:val="16"/>
        </w:rPr>
        <w:t xml:space="preserve"> </w:t>
      </w:r>
      <w:r>
        <w:rPr>
          <w:rFonts w:ascii="微软雅黑" w:hAnsi="微软雅黑" w:eastAsia="微软雅黑" w:cs="微软雅黑"/>
          <w:spacing w:val="36"/>
          <w:sz w:val="16"/>
          <w:szCs w:val="16"/>
        </w:rPr>
        <w:t>，并确保员工能够以与</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组</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织</w:t>
      </w:r>
      <w:r>
        <w:rPr>
          <w:rFonts w:ascii="微软雅黑" w:hAnsi="微软雅黑" w:eastAsia="微软雅黑" w:cs="微软雅黑"/>
          <w:spacing w:val="-2"/>
          <w:sz w:val="16"/>
          <w:szCs w:val="16"/>
        </w:rPr>
        <w:t xml:space="preserve"> </w:t>
      </w:r>
      <w:r>
        <w:rPr>
          <w:rFonts w:ascii="微软雅黑" w:hAnsi="微软雅黑" w:eastAsia="微软雅黑" w:cs="微软雅黑"/>
          <w:spacing w:val="36"/>
          <w:sz w:val="16"/>
          <w:szCs w:val="16"/>
        </w:rPr>
        <w:t>的</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价</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值</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观</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相</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一</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致</w:t>
      </w:r>
      <w:r>
        <w:rPr>
          <w:rFonts w:ascii="微软雅黑" w:hAnsi="微软雅黑" w:eastAsia="微软雅黑" w:cs="微软雅黑"/>
          <w:sz w:val="16"/>
          <w:szCs w:val="16"/>
        </w:rPr>
        <w:t xml:space="preserve"> </w:t>
      </w:r>
      <w:r>
        <w:rPr>
          <w:rFonts w:ascii="微软雅黑" w:hAnsi="微软雅黑" w:eastAsia="微软雅黑" w:cs="微软雅黑"/>
          <w:spacing w:val="31"/>
          <w:sz w:val="16"/>
          <w:szCs w:val="16"/>
        </w:rPr>
        <w:t>的方式尽最大努力</w:t>
      </w:r>
      <w:r>
        <w:rPr>
          <w:rFonts w:ascii="微软雅黑" w:hAnsi="微软雅黑" w:eastAsia="微软雅黑" w:cs="微软雅黑"/>
          <w:spacing w:val="10"/>
          <w:sz w:val="16"/>
          <w:szCs w:val="16"/>
        </w:rPr>
        <w:t xml:space="preserve"> </w:t>
      </w:r>
      <w:r>
        <w:rPr>
          <w:rFonts w:ascii="微软雅黑" w:hAnsi="微软雅黑" w:eastAsia="微软雅黑" w:cs="微软雅黑"/>
          <w:spacing w:val="31"/>
          <w:sz w:val="16"/>
          <w:szCs w:val="16"/>
        </w:rPr>
        <w:t>。</w:t>
      </w:r>
      <w:r>
        <w:rPr>
          <w:rFonts w:ascii="微软雅黑" w:hAnsi="微软雅黑" w:eastAsia="微软雅黑" w:cs="微软雅黑"/>
          <w:spacing w:val="-3"/>
          <w:sz w:val="16"/>
          <w:szCs w:val="16"/>
        </w:rPr>
        <w:t xml:space="preserve"> </w:t>
      </w:r>
      <w:r>
        <w:rPr>
          <w:rFonts w:ascii="微软雅黑" w:hAnsi="微软雅黑" w:eastAsia="微软雅黑" w:cs="微软雅黑"/>
          <w:spacing w:val="31"/>
          <w:sz w:val="16"/>
          <w:szCs w:val="16"/>
        </w:rPr>
        <w:t>这</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一</w:t>
      </w:r>
      <w:r>
        <w:rPr>
          <w:rFonts w:ascii="微软雅黑" w:hAnsi="微软雅黑" w:eastAsia="微软雅黑" w:cs="微软雅黑"/>
          <w:spacing w:val="-19"/>
          <w:sz w:val="16"/>
          <w:szCs w:val="16"/>
        </w:rPr>
        <w:t xml:space="preserve"> </w:t>
      </w:r>
      <w:r>
        <w:rPr>
          <w:rFonts w:ascii="微软雅黑" w:hAnsi="微软雅黑" w:eastAsia="微软雅黑" w:cs="微软雅黑"/>
          <w:spacing w:val="31"/>
          <w:sz w:val="16"/>
          <w:szCs w:val="16"/>
        </w:rPr>
        <w:t>部</w:t>
      </w:r>
      <w:r>
        <w:rPr>
          <w:rFonts w:ascii="微软雅黑" w:hAnsi="微软雅黑" w:eastAsia="微软雅黑" w:cs="微软雅黑"/>
          <w:spacing w:val="-17"/>
          <w:sz w:val="16"/>
          <w:szCs w:val="16"/>
        </w:rPr>
        <w:t xml:space="preserve"> </w:t>
      </w:r>
      <w:r>
        <w:rPr>
          <w:rFonts w:ascii="微软雅黑" w:hAnsi="微软雅黑" w:eastAsia="微软雅黑" w:cs="微软雅黑"/>
          <w:spacing w:val="31"/>
          <w:sz w:val="16"/>
          <w:szCs w:val="16"/>
        </w:rPr>
        <w:t>分</w:t>
      </w:r>
      <w:r>
        <w:rPr>
          <w:rFonts w:ascii="微软雅黑" w:hAnsi="微软雅黑" w:eastAsia="微软雅黑" w:cs="微软雅黑"/>
          <w:spacing w:val="-16"/>
          <w:sz w:val="16"/>
          <w:szCs w:val="16"/>
        </w:rPr>
        <w:t xml:space="preserve"> </w:t>
      </w:r>
      <w:r>
        <w:rPr>
          <w:rFonts w:ascii="微软雅黑" w:hAnsi="微软雅黑" w:eastAsia="微软雅黑" w:cs="微软雅黑"/>
          <w:spacing w:val="31"/>
          <w:sz w:val="16"/>
          <w:szCs w:val="16"/>
        </w:rPr>
        <w:t>涉</w:t>
      </w:r>
      <w:r>
        <w:rPr>
          <w:rFonts w:ascii="微软雅黑" w:hAnsi="微软雅黑" w:eastAsia="微软雅黑" w:cs="微软雅黑"/>
          <w:spacing w:val="-20"/>
          <w:sz w:val="16"/>
          <w:szCs w:val="16"/>
        </w:rPr>
        <w:t xml:space="preserve"> </w:t>
      </w:r>
      <w:r>
        <w:rPr>
          <w:rFonts w:ascii="微软雅黑" w:hAnsi="微软雅黑" w:eastAsia="微软雅黑" w:cs="微软雅黑"/>
          <w:spacing w:val="31"/>
          <w:sz w:val="16"/>
          <w:szCs w:val="16"/>
        </w:rPr>
        <w:t>及</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对</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员</w:t>
      </w:r>
      <w:r>
        <w:rPr>
          <w:rFonts w:ascii="微软雅黑" w:hAnsi="微软雅黑" w:eastAsia="微软雅黑" w:cs="微软雅黑"/>
          <w:spacing w:val="-17"/>
          <w:sz w:val="16"/>
          <w:szCs w:val="16"/>
        </w:rPr>
        <w:t xml:space="preserve"> </w:t>
      </w:r>
      <w:r>
        <w:rPr>
          <w:rFonts w:ascii="微软雅黑" w:hAnsi="微软雅黑" w:eastAsia="微软雅黑" w:cs="微软雅黑"/>
          <w:spacing w:val="31"/>
          <w:sz w:val="16"/>
          <w:szCs w:val="16"/>
        </w:rPr>
        <w:t>工</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授</w:t>
      </w:r>
      <w:r>
        <w:rPr>
          <w:rFonts w:ascii="微软雅黑" w:hAnsi="微软雅黑" w:eastAsia="微软雅黑" w:cs="微软雅黑"/>
          <w:spacing w:val="-20"/>
          <w:sz w:val="16"/>
          <w:szCs w:val="16"/>
        </w:rPr>
        <w:t xml:space="preserve"> </w:t>
      </w:r>
      <w:r>
        <w:rPr>
          <w:rFonts w:ascii="微软雅黑" w:hAnsi="微软雅黑" w:eastAsia="微软雅黑" w:cs="微软雅黑"/>
          <w:spacing w:val="31"/>
          <w:sz w:val="16"/>
          <w:szCs w:val="16"/>
        </w:rPr>
        <w:t>权</w:t>
      </w:r>
      <w:r>
        <w:rPr>
          <w:rFonts w:ascii="微软雅黑" w:hAnsi="微软雅黑" w:eastAsia="微软雅黑" w:cs="微软雅黑"/>
          <w:spacing w:val="-24"/>
          <w:sz w:val="16"/>
          <w:szCs w:val="16"/>
        </w:rPr>
        <w:t xml:space="preserve"> </w:t>
      </w:r>
      <w:r>
        <w:rPr>
          <w:rFonts w:ascii="微软雅黑" w:hAnsi="微软雅黑" w:eastAsia="微软雅黑" w:cs="微软雅黑"/>
          <w:spacing w:val="31"/>
          <w:sz w:val="16"/>
          <w:szCs w:val="16"/>
        </w:rPr>
        <w:t>，要</w:t>
      </w:r>
      <w:r>
        <w:rPr>
          <w:rFonts w:ascii="微软雅黑" w:hAnsi="微软雅黑" w:eastAsia="微软雅黑" w:cs="微软雅黑"/>
          <w:sz w:val="16"/>
          <w:szCs w:val="16"/>
        </w:rPr>
        <w:t xml:space="preserve"> </w:t>
      </w:r>
      <w:r>
        <w:rPr>
          <w:rFonts w:ascii="微软雅黑" w:hAnsi="微软雅黑" w:eastAsia="微软雅黑" w:cs="微软雅黑"/>
          <w:spacing w:val="10"/>
          <w:w w:val="125"/>
          <w:sz w:val="16"/>
          <w:szCs w:val="16"/>
        </w:rPr>
        <w:t>依靠员工自身在机构的投入和支持下发展和改善其</w:t>
      </w:r>
      <w:r>
        <w:rPr>
          <w:rFonts w:ascii="微软雅黑" w:hAnsi="微软雅黑" w:eastAsia="微软雅黑" w:cs="微软雅黑"/>
          <w:sz w:val="16"/>
          <w:szCs w:val="16"/>
        </w:rPr>
        <w:t xml:space="preserve"> </w:t>
      </w:r>
      <w:r>
        <w:rPr>
          <w:rFonts w:ascii="微软雅黑" w:hAnsi="微软雅黑" w:eastAsia="微软雅黑" w:cs="微软雅黑"/>
          <w:spacing w:val="20"/>
          <w:position w:val="-1"/>
          <w:sz w:val="16"/>
          <w:szCs w:val="16"/>
        </w:rPr>
        <w:t>活动</w:t>
      </w:r>
      <w:r>
        <w:rPr>
          <w:rFonts w:ascii="微软雅黑" w:hAnsi="微软雅黑" w:eastAsia="微软雅黑" w:cs="微软雅黑"/>
          <w:spacing w:val="20"/>
          <w:position w:val="4"/>
          <w:sz w:val="9"/>
          <w:szCs w:val="9"/>
        </w:rPr>
        <w:t>[</w:t>
      </w:r>
      <w:r>
        <w:rPr>
          <w:rFonts w:ascii="Arial" w:hAnsi="Arial" w:eastAsia="Arial" w:cs="Arial"/>
          <w:spacing w:val="20"/>
          <w:position w:val="4"/>
          <w:sz w:val="9"/>
          <w:szCs w:val="9"/>
        </w:rPr>
        <w:t>5</w:t>
      </w:r>
      <w:r>
        <w:rPr>
          <w:rFonts w:ascii="微软雅黑" w:hAnsi="微软雅黑" w:eastAsia="微软雅黑" w:cs="微软雅黑"/>
          <w:spacing w:val="20"/>
          <w:position w:val="4"/>
          <w:sz w:val="9"/>
          <w:szCs w:val="9"/>
        </w:rPr>
        <w:t>]</w:t>
      </w:r>
      <w:r>
        <w:rPr>
          <w:rFonts w:ascii="微软雅黑" w:hAnsi="微软雅黑" w:eastAsia="微软雅黑" w:cs="微软雅黑"/>
          <w:spacing w:val="4"/>
          <w:position w:val="4"/>
          <w:sz w:val="9"/>
          <w:szCs w:val="9"/>
        </w:rPr>
        <w:t xml:space="preserve">  </w:t>
      </w:r>
      <w:r>
        <w:rPr>
          <w:rFonts w:ascii="微软雅黑" w:hAnsi="微软雅黑" w:eastAsia="微软雅黑" w:cs="微软雅黑"/>
          <w:spacing w:val="20"/>
          <w:position w:val="-1"/>
          <w:sz w:val="16"/>
          <w:szCs w:val="16"/>
        </w:rPr>
        <w:t>。</w:t>
      </w:r>
    </w:p>
    <w:p>
      <w:pPr>
        <w:spacing w:before="62" w:line="239" w:lineRule="auto"/>
        <w:ind w:left="19" w:right="62" w:firstLine="417"/>
        <w:jc w:val="both"/>
        <w:rPr>
          <w:rFonts w:ascii="微软雅黑" w:hAnsi="微软雅黑" w:eastAsia="微软雅黑" w:cs="微软雅黑"/>
          <w:sz w:val="16"/>
          <w:szCs w:val="16"/>
        </w:rPr>
      </w:pPr>
      <w:r>
        <w:rPr>
          <w:rFonts w:ascii="微软雅黑" w:hAnsi="微软雅黑" w:eastAsia="微软雅黑" w:cs="微软雅黑"/>
          <w:spacing w:val="39"/>
          <w:sz w:val="16"/>
          <w:szCs w:val="16"/>
        </w:rPr>
        <w:t>第二阶段：领导通过更加结构化的协调作用</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，建</w:t>
      </w:r>
      <w:r>
        <w:rPr>
          <w:rFonts w:ascii="微软雅黑" w:hAnsi="微软雅黑" w:eastAsia="微软雅黑" w:cs="微软雅黑"/>
          <w:sz w:val="16"/>
          <w:szCs w:val="16"/>
        </w:rPr>
        <w:t xml:space="preserve"> </w:t>
      </w:r>
      <w:r>
        <w:rPr>
          <w:rFonts w:ascii="微软雅黑" w:hAnsi="微软雅黑" w:eastAsia="微软雅黑" w:cs="微软雅黑"/>
          <w:spacing w:val="31"/>
          <w:sz w:val="16"/>
          <w:szCs w:val="16"/>
        </w:rPr>
        <w:t>立了质量的规范框</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架</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、通</w:t>
      </w:r>
      <w:r>
        <w:rPr>
          <w:rFonts w:ascii="微软雅黑" w:hAnsi="微软雅黑" w:eastAsia="微软雅黑" w:cs="微软雅黑"/>
          <w:spacing w:val="-17"/>
          <w:sz w:val="16"/>
          <w:szCs w:val="16"/>
        </w:rPr>
        <w:t xml:space="preserve"> </w:t>
      </w:r>
      <w:r>
        <w:rPr>
          <w:rFonts w:ascii="微软雅黑" w:hAnsi="微软雅黑" w:eastAsia="微软雅黑" w:cs="微软雅黑"/>
          <w:spacing w:val="31"/>
          <w:sz w:val="16"/>
          <w:szCs w:val="16"/>
        </w:rPr>
        <w:t>用</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程</w:t>
      </w:r>
      <w:r>
        <w:rPr>
          <w:rFonts w:ascii="微软雅黑" w:hAnsi="微软雅黑" w:eastAsia="微软雅黑" w:cs="微软雅黑"/>
          <w:spacing w:val="-17"/>
          <w:sz w:val="16"/>
          <w:szCs w:val="16"/>
        </w:rPr>
        <w:t xml:space="preserve"> </w:t>
      </w:r>
      <w:r>
        <w:rPr>
          <w:rFonts w:ascii="微软雅黑" w:hAnsi="微软雅黑" w:eastAsia="微软雅黑" w:cs="微软雅黑"/>
          <w:spacing w:val="31"/>
          <w:sz w:val="16"/>
          <w:szCs w:val="16"/>
        </w:rPr>
        <w:t>序</w:t>
      </w:r>
      <w:r>
        <w:rPr>
          <w:rFonts w:ascii="微软雅黑" w:hAnsi="微软雅黑" w:eastAsia="微软雅黑" w:cs="微软雅黑"/>
          <w:spacing w:val="-12"/>
          <w:sz w:val="16"/>
          <w:szCs w:val="16"/>
        </w:rPr>
        <w:t xml:space="preserve"> </w:t>
      </w:r>
      <w:r>
        <w:rPr>
          <w:rFonts w:ascii="微软雅黑" w:hAnsi="微软雅黑" w:eastAsia="微软雅黑" w:cs="微软雅黑"/>
          <w:spacing w:val="31"/>
          <w:sz w:val="16"/>
          <w:szCs w:val="16"/>
        </w:rPr>
        <w:t>和</w:t>
      </w:r>
      <w:r>
        <w:rPr>
          <w:rFonts w:ascii="微软雅黑" w:hAnsi="微软雅黑" w:eastAsia="微软雅黑" w:cs="微软雅黑"/>
          <w:spacing w:val="-19"/>
          <w:sz w:val="16"/>
          <w:szCs w:val="16"/>
        </w:rPr>
        <w:t xml:space="preserve"> </w:t>
      </w:r>
      <w:r>
        <w:rPr>
          <w:rFonts w:ascii="微软雅黑" w:hAnsi="微软雅黑" w:eastAsia="微软雅黑" w:cs="微软雅黑"/>
          <w:spacing w:val="31"/>
          <w:sz w:val="16"/>
          <w:szCs w:val="16"/>
        </w:rPr>
        <w:t>标</w:t>
      </w:r>
      <w:r>
        <w:rPr>
          <w:rFonts w:ascii="微软雅黑" w:hAnsi="微软雅黑" w:eastAsia="微软雅黑" w:cs="微软雅黑"/>
          <w:spacing w:val="-15"/>
          <w:sz w:val="16"/>
          <w:szCs w:val="16"/>
        </w:rPr>
        <w:t xml:space="preserve"> </w:t>
      </w:r>
      <w:r>
        <w:rPr>
          <w:rFonts w:ascii="微软雅黑" w:hAnsi="微软雅黑" w:eastAsia="微软雅黑" w:cs="微软雅黑"/>
          <w:spacing w:val="31"/>
          <w:sz w:val="16"/>
          <w:szCs w:val="16"/>
        </w:rPr>
        <w:t>准</w:t>
      </w:r>
      <w:r>
        <w:rPr>
          <w:rFonts w:ascii="微软雅黑" w:hAnsi="微软雅黑" w:eastAsia="微软雅黑" w:cs="微软雅黑"/>
          <w:spacing w:val="-5"/>
          <w:sz w:val="16"/>
          <w:szCs w:val="16"/>
        </w:rPr>
        <w:t xml:space="preserve"> </w:t>
      </w:r>
      <w:r>
        <w:rPr>
          <w:rFonts w:ascii="微软雅黑" w:hAnsi="微软雅黑" w:eastAsia="微软雅黑" w:cs="微软雅黑"/>
          <w:spacing w:val="31"/>
          <w:sz w:val="16"/>
          <w:szCs w:val="16"/>
        </w:rPr>
        <w:t>。</w:t>
      </w:r>
      <w:r>
        <w:rPr>
          <w:rFonts w:ascii="微软雅黑" w:hAnsi="微软雅黑" w:eastAsia="微软雅黑" w:cs="微软雅黑"/>
          <w:spacing w:val="-3"/>
          <w:sz w:val="16"/>
          <w:szCs w:val="16"/>
        </w:rPr>
        <w:t xml:space="preserve"> </w:t>
      </w:r>
      <w:r>
        <w:rPr>
          <w:rFonts w:ascii="微软雅黑" w:hAnsi="微软雅黑" w:eastAsia="微软雅黑" w:cs="微软雅黑"/>
          <w:spacing w:val="31"/>
          <w:sz w:val="16"/>
          <w:szCs w:val="16"/>
        </w:rPr>
        <w:t>这</w:t>
      </w:r>
      <w:r>
        <w:rPr>
          <w:rFonts w:ascii="微软雅黑" w:hAnsi="微软雅黑" w:eastAsia="微软雅黑" w:cs="微软雅黑"/>
          <w:spacing w:val="-17"/>
          <w:sz w:val="16"/>
          <w:szCs w:val="16"/>
        </w:rPr>
        <w:t xml:space="preserve"> </w:t>
      </w:r>
      <w:r>
        <w:rPr>
          <w:rFonts w:ascii="微软雅黑" w:hAnsi="微软雅黑" w:eastAsia="微软雅黑" w:cs="微软雅黑"/>
          <w:spacing w:val="31"/>
          <w:sz w:val="16"/>
          <w:szCs w:val="16"/>
        </w:rPr>
        <w:t>就</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是</w:t>
      </w:r>
      <w:r>
        <w:rPr>
          <w:rFonts w:ascii="微软雅黑" w:hAnsi="微软雅黑" w:eastAsia="微软雅黑" w:cs="微软雅黑"/>
          <w:spacing w:val="-19"/>
          <w:sz w:val="16"/>
          <w:szCs w:val="16"/>
        </w:rPr>
        <w:t xml:space="preserve"> </w:t>
      </w:r>
      <w:r>
        <w:rPr>
          <w:rFonts w:ascii="微软雅黑" w:hAnsi="微软雅黑" w:eastAsia="微软雅黑" w:cs="微软雅黑"/>
          <w:spacing w:val="30"/>
          <w:sz w:val="16"/>
          <w:szCs w:val="16"/>
        </w:rPr>
        <w:t>说</w:t>
      </w:r>
      <w:r>
        <w:rPr>
          <w:rFonts w:ascii="微软雅黑" w:hAnsi="微软雅黑" w:eastAsia="微软雅黑" w:cs="微软雅黑"/>
          <w:sz w:val="16"/>
          <w:szCs w:val="16"/>
        </w:rPr>
        <w:t xml:space="preserve"> </w:t>
      </w:r>
      <w:r>
        <w:rPr>
          <w:rFonts w:ascii="微软雅黑" w:hAnsi="微软雅黑" w:eastAsia="微软雅黑" w:cs="微软雅黑"/>
          <w:spacing w:val="10"/>
          <w:w w:val="125"/>
          <w:sz w:val="16"/>
          <w:szCs w:val="16"/>
        </w:rPr>
        <w:t>高等教育机构通过在组织内提供适当的结构来支持</w:t>
      </w:r>
      <w:r>
        <w:rPr>
          <w:rFonts w:ascii="微软雅黑" w:hAnsi="微软雅黑" w:eastAsia="微软雅黑" w:cs="微软雅黑"/>
          <w:sz w:val="16"/>
          <w:szCs w:val="16"/>
        </w:rPr>
        <w:t xml:space="preserve"> </w:t>
      </w:r>
      <w:r>
        <w:rPr>
          <w:rFonts w:ascii="微软雅黑" w:hAnsi="微软雅黑" w:eastAsia="微软雅黑" w:cs="微软雅黑"/>
          <w:spacing w:val="29"/>
          <w:sz w:val="16"/>
          <w:szCs w:val="16"/>
        </w:rPr>
        <w:t>质量文化</w:t>
      </w:r>
      <w:r>
        <w:rPr>
          <w:rFonts w:ascii="微软雅黑" w:hAnsi="微软雅黑" w:eastAsia="微软雅黑" w:cs="微软雅黑"/>
          <w:spacing w:val="-12"/>
          <w:sz w:val="16"/>
          <w:szCs w:val="16"/>
        </w:rPr>
        <w:t xml:space="preserve"> </w:t>
      </w:r>
      <w:r>
        <w:rPr>
          <w:rFonts w:ascii="微软雅黑" w:hAnsi="微软雅黑" w:eastAsia="微软雅黑" w:cs="微软雅黑"/>
          <w:spacing w:val="29"/>
          <w:sz w:val="16"/>
          <w:szCs w:val="16"/>
        </w:rPr>
        <w:t>，以促进和</w:t>
      </w:r>
      <w:r>
        <w:rPr>
          <w:rFonts w:ascii="微软雅黑" w:hAnsi="微软雅黑" w:eastAsia="微软雅黑" w:cs="微软雅黑"/>
          <w:spacing w:val="-17"/>
          <w:sz w:val="16"/>
          <w:szCs w:val="16"/>
        </w:rPr>
        <w:t xml:space="preserve"> </w:t>
      </w:r>
      <w:r>
        <w:rPr>
          <w:rFonts w:ascii="微软雅黑" w:hAnsi="微软雅黑" w:eastAsia="微软雅黑" w:cs="微软雅黑"/>
          <w:spacing w:val="29"/>
          <w:sz w:val="16"/>
          <w:szCs w:val="16"/>
        </w:rPr>
        <w:t>维</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持</w:t>
      </w:r>
      <w:r>
        <w:rPr>
          <w:rFonts w:ascii="微软雅黑" w:hAnsi="微软雅黑" w:eastAsia="微软雅黑" w:cs="微软雅黑"/>
          <w:spacing w:val="-19"/>
          <w:sz w:val="16"/>
          <w:szCs w:val="16"/>
        </w:rPr>
        <w:t xml:space="preserve"> </w:t>
      </w:r>
      <w:r>
        <w:rPr>
          <w:rFonts w:ascii="微软雅黑" w:hAnsi="微软雅黑" w:eastAsia="微软雅黑" w:cs="微软雅黑"/>
          <w:spacing w:val="29"/>
          <w:sz w:val="16"/>
          <w:szCs w:val="16"/>
        </w:rPr>
        <w:t>其</w:t>
      </w:r>
      <w:r>
        <w:rPr>
          <w:rFonts w:ascii="微软雅黑" w:hAnsi="微软雅黑" w:eastAsia="微软雅黑" w:cs="微软雅黑"/>
          <w:spacing w:val="-19"/>
          <w:sz w:val="16"/>
          <w:szCs w:val="16"/>
        </w:rPr>
        <w:t xml:space="preserve"> </w:t>
      </w:r>
      <w:r>
        <w:rPr>
          <w:rFonts w:ascii="微软雅黑" w:hAnsi="微软雅黑" w:eastAsia="微软雅黑" w:cs="微软雅黑"/>
          <w:spacing w:val="29"/>
          <w:sz w:val="16"/>
          <w:szCs w:val="16"/>
        </w:rPr>
        <w:t>成</w:t>
      </w:r>
      <w:r>
        <w:rPr>
          <w:rFonts w:ascii="微软雅黑" w:hAnsi="微软雅黑" w:eastAsia="微软雅黑" w:cs="微软雅黑"/>
          <w:spacing w:val="-17"/>
          <w:sz w:val="16"/>
          <w:szCs w:val="16"/>
        </w:rPr>
        <w:t xml:space="preserve"> </w:t>
      </w:r>
      <w:r>
        <w:rPr>
          <w:rFonts w:ascii="微软雅黑" w:hAnsi="微软雅黑" w:eastAsia="微软雅黑" w:cs="微软雅黑"/>
          <w:spacing w:val="29"/>
          <w:sz w:val="16"/>
          <w:szCs w:val="16"/>
        </w:rPr>
        <w:t>员</w:t>
      </w:r>
      <w:r>
        <w:rPr>
          <w:rFonts w:ascii="微软雅黑" w:hAnsi="微软雅黑" w:eastAsia="微软雅黑" w:cs="微软雅黑"/>
          <w:spacing w:val="-3"/>
          <w:sz w:val="16"/>
          <w:szCs w:val="16"/>
        </w:rPr>
        <w:t xml:space="preserve"> </w:t>
      </w:r>
      <w:r>
        <w:rPr>
          <w:rFonts w:ascii="微软雅黑" w:hAnsi="微软雅黑" w:eastAsia="微软雅黑" w:cs="微软雅黑"/>
          <w:spacing w:val="29"/>
          <w:sz w:val="16"/>
          <w:szCs w:val="16"/>
        </w:rPr>
        <w:t>的</w:t>
      </w:r>
      <w:r>
        <w:rPr>
          <w:rFonts w:ascii="微软雅黑" w:hAnsi="微软雅黑" w:eastAsia="微软雅黑" w:cs="微软雅黑"/>
          <w:spacing w:val="-17"/>
          <w:sz w:val="16"/>
          <w:szCs w:val="16"/>
        </w:rPr>
        <w:t xml:space="preserve"> </w:t>
      </w:r>
      <w:r>
        <w:rPr>
          <w:rFonts w:ascii="微软雅黑" w:hAnsi="微软雅黑" w:eastAsia="微软雅黑" w:cs="微软雅黑"/>
          <w:spacing w:val="29"/>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量</w:t>
      </w:r>
      <w:r>
        <w:rPr>
          <w:rFonts w:ascii="微软雅黑" w:hAnsi="微软雅黑" w:eastAsia="微软雅黑" w:cs="微软雅黑"/>
          <w:spacing w:val="-14"/>
          <w:sz w:val="16"/>
          <w:szCs w:val="16"/>
        </w:rPr>
        <w:t xml:space="preserve"> </w:t>
      </w:r>
      <w:r>
        <w:rPr>
          <w:rFonts w:ascii="微软雅黑" w:hAnsi="微软雅黑" w:eastAsia="微软雅黑" w:cs="微软雅黑"/>
          <w:spacing w:val="29"/>
          <w:sz w:val="16"/>
          <w:szCs w:val="16"/>
        </w:rPr>
        <w:t>承</w:t>
      </w:r>
      <w:r>
        <w:rPr>
          <w:rFonts w:ascii="微软雅黑" w:hAnsi="微软雅黑" w:eastAsia="微软雅黑" w:cs="微软雅黑"/>
          <w:spacing w:val="-21"/>
          <w:sz w:val="16"/>
          <w:szCs w:val="16"/>
        </w:rPr>
        <w:t xml:space="preserve"> </w:t>
      </w:r>
      <w:r>
        <w:rPr>
          <w:rFonts w:ascii="微软雅黑" w:hAnsi="微软雅黑" w:eastAsia="微软雅黑" w:cs="微软雅黑"/>
          <w:spacing w:val="29"/>
          <w:sz w:val="16"/>
          <w:szCs w:val="16"/>
        </w:rPr>
        <w:t>诺</w:t>
      </w:r>
      <w:r>
        <w:rPr>
          <w:rFonts w:ascii="微软雅黑" w:hAnsi="微软雅黑" w:eastAsia="微软雅黑" w:cs="微软雅黑"/>
          <w:spacing w:val="-5"/>
          <w:sz w:val="16"/>
          <w:szCs w:val="16"/>
        </w:rPr>
        <w:t xml:space="preserve"> </w:t>
      </w:r>
      <w:r>
        <w:rPr>
          <w:rFonts w:ascii="微软雅黑" w:hAnsi="微软雅黑" w:eastAsia="微软雅黑" w:cs="微软雅黑"/>
          <w:spacing w:val="29"/>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29"/>
          <w:sz w:val="16"/>
          <w:szCs w:val="16"/>
        </w:rPr>
        <w:t>这</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一</w:t>
      </w:r>
      <w:r>
        <w:rPr>
          <w:rFonts w:ascii="微软雅黑" w:hAnsi="微软雅黑" w:eastAsia="微软雅黑" w:cs="微软雅黑"/>
          <w:sz w:val="16"/>
          <w:szCs w:val="16"/>
        </w:rPr>
        <w:t xml:space="preserve"> </w:t>
      </w:r>
      <w:r>
        <w:rPr>
          <w:rFonts w:ascii="微软雅黑" w:hAnsi="微软雅黑" w:eastAsia="微软雅黑" w:cs="微软雅黑"/>
          <w:spacing w:val="34"/>
          <w:sz w:val="16"/>
          <w:szCs w:val="16"/>
        </w:rPr>
        <w:t>阶段主要面临两个挑战</w:t>
      </w:r>
      <w:r>
        <w:rPr>
          <w:rFonts w:ascii="微软雅黑" w:hAnsi="微软雅黑" w:eastAsia="微软雅黑" w:cs="微软雅黑"/>
          <w:spacing w:val="-7"/>
          <w:sz w:val="16"/>
          <w:szCs w:val="16"/>
        </w:rPr>
        <w:t xml:space="preserve"> </w:t>
      </w:r>
      <w:r>
        <w:rPr>
          <w:rFonts w:ascii="微软雅黑" w:hAnsi="微软雅黑" w:eastAsia="微软雅黑" w:cs="微软雅黑"/>
          <w:spacing w:val="34"/>
          <w:sz w:val="16"/>
          <w:szCs w:val="16"/>
        </w:rPr>
        <w:t>，一</w:t>
      </w:r>
      <w:r>
        <w:rPr>
          <w:rFonts w:ascii="微软雅黑" w:hAnsi="微软雅黑" w:eastAsia="微软雅黑" w:cs="微软雅黑"/>
          <w:spacing w:val="-20"/>
          <w:sz w:val="16"/>
          <w:szCs w:val="16"/>
        </w:rPr>
        <w:t xml:space="preserve"> </w:t>
      </w:r>
      <w:r>
        <w:rPr>
          <w:rFonts w:ascii="微软雅黑" w:hAnsi="微软雅黑" w:eastAsia="微软雅黑" w:cs="微软雅黑"/>
          <w:spacing w:val="34"/>
          <w:sz w:val="16"/>
          <w:szCs w:val="16"/>
        </w:rPr>
        <w:t>是</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考</w:t>
      </w:r>
      <w:r>
        <w:rPr>
          <w:rFonts w:ascii="微软雅黑" w:hAnsi="微软雅黑" w:eastAsia="微软雅黑" w:cs="微软雅黑"/>
          <w:spacing w:val="-16"/>
          <w:sz w:val="16"/>
          <w:szCs w:val="16"/>
        </w:rPr>
        <w:t xml:space="preserve"> </w:t>
      </w:r>
      <w:r>
        <w:rPr>
          <w:rFonts w:ascii="微软雅黑" w:hAnsi="微软雅黑" w:eastAsia="微软雅黑" w:cs="微软雅黑"/>
          <w:spacing w:val="34"/>
          <w:sz w:val="16"/>
          <w:szCs w:val="16"/>
        </w:rPr>
        <w:t>虑</w:t>
      </w:r>
      <w:r>
        <w:rPr>
          <w:rFonts w:ascii="微软雅黑" w:hAnsi="微软雅黑" w:eastAsia="微软雅黑" w:cs="微软雅黑"/>
          <w:spacing w:val="-16"/>
          <w:sz w:val="16"/>
          <w:szCs w:val="16"/>
        </w:rPr>
        <w:t xml:space="preserve"> </w:t>
      </w:r>
      <w:r>
        <w:rPr>
          <w:rFonts w:ascii="微软雅黑" w:hAnsi="微软雅黑" w:eastAsia="微软雅黑" w:cs="微软雅黑"/>
          <w:spacing w:val="34"/>
          <w:sz w:val="16"/>
          <w:szCs w:val="16"/>
        </w:rPr>
        <w:t>学</w:t>
      </w:r>
      <w:r>
        <w:rPr>
          <w:rFonts w:ascii="微软雅黑" w:hAnsi="微软雅黑" w:eastAsia="微软雅黑" w:cs="微软雅黑"/>
          <w:spacing w:val="-21"/>
          <w:sz w:val="16"/>
          <w:szCs w:val="16"/>
        </w:rPr>
        <w:t xml:space="preserve"> </w:t>
      </w:r>
      <w:r>
        <w:rPr>
          <w:rFonts w:ascii="微软雅黑" w:hAnsi="微软雅黑" w:eastAsia="微软雅黑" w:cs="微软雅黑"/>
          <w:spacing w:val="34"/>
          <w:sz w:val="16"/>
          <w:szCs w:val="16"/>
        </w:rPr>
        <w:t>科</w:t>
      </w:r>
      <w:r>
        <w:rPr>
          <w:rFonts w:ascii="微软雅黑" w:hAnsi="微软雅黑" w:eastAsia="微软雅黑" w:cs="微软雅黑"/>
          <w:spacing w:val="-16"/>
          <w:sz w:val="16"/>
          <w:szCs w:val="16"/>
        </w:rPr>
        <w:t xml:space="preserve"> </w:t>
      </w:r>
      <w:r>
        <w:rPr>
          <w:rFonts w:ascii="微软雅黑" w:hAnsi="微软雅黑" w:eastAsia="微软雅黑" w:cs="微软雅黑"/>
          <w:spacing w:val="34"/>
          <w:sz w:val="16"/>
          <w:szCs w:val="16"/>
        </w:rPr>
        <w:t>之</w:t>
      </w:r>
      <w:r>
        <w:rPr>
          <w:rFonts w:ascii="微软雅黑" w:hAnsi="微软雅黑" w:eastAsia="微软雅黑" w:cs="微软雅黑"/>
          <w:spacing w:val="-4"/>
          <w:sz w:val="16"/>
          <w:szCs w:val="16"/>
        </w:rPr>
        <w:t xml:space="preserve"> </w:t>
      </w:r>
      <w:r>
        <w:rPr>
          <w:rFonts w:ascii="微软雅黑" w:hAnsi="微软雅黑" w:eastAsia="微软雅黑" w:cs="微软雅黑"/>
          <w:spacing w:val="34"/>
          <w:sz w:val="16"/>
          <w:szCs w:val="16"/>
        </w:rPr>
        <w:t>间</w:t>
      </w:r>
      <w:r>
        <w:rPr>
          <w:rFonts w:ascii="微软雅黑" w:hAnsi="微软雅黑" w:eastAsia="微软雅黑" w:cs="微软雅黑"/>
          <w:spacing w:val="-15"/>
          <w:sz w:val="16"/>
          <w:szCs w:val="16"/>
        </w:rPr>
        <w:t xml:space="preserve"> </w:t>
      </w:r>
      <w:r>
        <w:rPr>
          <w:rFonts w:ascii="微软雅黑" w:hAnsi="微软雅黑" w:eastAsia="微软雅黑" w:cs="微软雅黑"/>
          <w:spacing w:val="34"/>
          <w:sz w:val="16"/>
          <w:szCs w:val="16"/>
        </w:rPr>
        <w:t>或</w:t>
      </w:r>
      <w:r>
        <w:rPr>
          <w:rFonts w:ascii="微软雅黑" w:hAnsi="微软雅黑" w:eastAsia="微软雅黑" w:cs="微软雅黑"/>
          <w:spacing w:val="-19"/>
          <w:sz w:val="16"/>
          <w:szCs w:val="16"/>
        </w:rPr>
        <w:t xml:space="preserve"> </w:t>
      </w:r>
      <w:r>
        <w:rPr>
          <w:rFonts w:ascii="微软雅黑" w:hAnsi="微软雅黑" w:eastAsia="微软雅黑" w:cs="微软雅黑"/>
          <w:spacing w:val="34"/>
          <w:sz w:val="16"/>
          <w:szCs w:val="16"/>
        </w:rPr>
        <w:t>行</w:t>
      </w:r>
      <w:r>
        <w:rPr>
          <w:rFonts w:ascii="微软雅黑" w:hAnsi="微软雅黑" w:eastAsia="微软雅黑" w:cs="微软雅黑"/>
          <w:spacing w:val="-19"/>
          <w:sz w:val="16"/>
          <w:szCs w:val="16"/>
        </w:rPr>
        <w:t xml:space="preserve"> </w:t>
      </w:r>
      <w:r>
        <w:rPr>
          <w:rFonts w:ascii="微软雅黑" w:hAnsi="微软雅黑" w:eastAsia="微软雅黑" w:cs="微软雅黑"/>
          <w:spacing w:val="34"/>
          <w:sz w:val="16"/>
          <w:szCs w:val="16"/>
        </w:rPr>
        <w:t>政</w:t>
      </w:r>
      <w:r>
        <w:rPr>
          <w:rFonts w:ascii="微软雅黑" w:hAnsi="微软雅黑" w:eastAsia="微软雅黑" w:cs="微软雅黑"/>
          <w:sz w:val="16"/>
          <w:szCs w:val="16"/>
        </w:rPr>
        <w:t xml:space="preserve"> </w:t>
      </w:r>
      <w:r>
        <w:rPr>
          <w:rFonts w:ascii="微软雅黑" w:hAnsi="微软雅黑" w:eastAsia="微软雅黑" w:cs="微软雅黑"/>
          <w:spacing w:val="35"/>
          <w:sz w:val="16"/>
          <w:szCs w:val="16"/>
        </w:rPr>
        <w:t>与学术单位之间的差异</w:t>
      </w:r>
      <w:r>
        <w:rPr>
          <w:rFonts w:ascii="微软雅黑" w:hAnsi="微软雅黑" w:eastAsia="微软雅黑" w:cs="微软雅黑"/>
          <w:spacing w:val="-7"/>
          <w:sz w:val="16"/>
          <w:szCs w:val="16"/>
        </w:rPr>
        <w:t xml:space="preserve"> </w:t>
      </w:r>
      <w:r>
        <w:rPr>
          <w:rFonts w:ascii="微软雅黑" w:hAnsi="微软雅黑" w:eastAsia="微软雅黑" w:cs="微软雅黑"/>
          <w:spacing w:val="35"/>
          <w:sz w:val="16"/>
          <w:szCs w:val="16"/>
        </w:rPr>
        <w:t>，将整</w:t>
      </w:r>
      <w:r>
        <w:rPr>
          <w:rFonts w:ascii="微软雅黑" w:hAnsi="微软雅黑" w:eastAsia="微软雅黑" w:cs="微软雅黑"/>
          <w:spacing w:val="-20"/>
          <w:sz w:val="16"/>
          <w:szCs w:val="16"/>
        </w:rPr>
        <w:t xml:space="preserve"> </w:t>
      </w:r>
      <w:r>
        <w:rPr>
          <w:rFonts w:ascii="微软雅黑" w:hAnsi="微软雅黑" w:eastAsia="微软雅黑" w:cs="微软雅黑"/>
          <w:spacing w:val="35"/>
          <w:sz w:val="16"/>
          <w:szCs w:val="16"/>
        </w:rPr>
        <w:t>个</w:t>
      </w:r>
      <w:r>
        <w:rPr>
          <w:rFonts w:ascii="微软雅黑" w:hAnsi="微软雅黑" w:eastAsia="微软雅黑" w:cs="微软雅黑"/>
          <w:spacing w:val="-16"/>
          <w:sz w:val="16"/>
          <w:szCs w:val="16"/>
        </w:rPr>
        <w:t xml:space="preserve"> </w:t>
      </w:r>
      <w:r>
        <w:rPr>
          <w:rFonts w:ascii="微软雅黑" w:hAnsi="微软雅黑" w:eastAsia="微软雅黑" w:cs="微软雅黑"/>
          <w:spacing w:val="35"/>
          <w:sz w:val="16"/>
          <w:szCs w:val="16"/>
        </w:rPr>
        <w:t>机</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构</w:t>
      </w:r>
      <w:r>
        <w:rPr>
          <w:rFonts w:ascii="微软雅黑" w:hAnsi="微软雅黑" w:eastAsia="微软雅黑" w:cs="微软雅黑"/>
          <w:spacing w:val="-3"/>
          <w:sz w:val="16"/>
          <w:szCs w:val="16"/>
        </w:rPr>
        <w:t xml:space="preserve"> </w:t>
      </w:r>
      <w:r>
        <w:rPr>
          <w:rFonts w:ascii="微软雅黑" w:hAnsi="微软雅黑" w:eastAsia="微软雅黑" w:cs="微软雅黑"/>
          <w:spacing w:val="35"/>
          <w:sz w:val="16"/>
          <w:szCs w:val="16"/>
        </w:rPr>
        <w:t>的</w:t>
      </w:r>
      <w:r>
        <w:rPr>
          <w:rFonts w:ascii="微软雅黑" w:hAnsi="微软雅黑" w:eastAsia="微软雅黑" w:cs="微软雅黑"/>
          <w:spacing w:val="-19"/>
          <w:sz w:val="16"/>
          <w:szCs w:val="16"/>
        </w:rPr>
        <w:t xml:space="preserve"> </w:t>
      </w:r>
      <w:r>
        <w:rPr>
          <w:rFonts w:ascii="微软雅黑" w:hAnsi="微软雅黑" w:eastAsia="微软雅黑" w:cs="微软雅黑"/>
          <w:spacing w:val="35"/>
          <w:sz w:val="16"/>
          <w:szCs w:val="16"/>
        </w:rPr>
        <w:t>标</w:t>
      </w:r>
      <w:r>
        <w:rPr>
          <w:rFonts w:ascii="微软雅黑" w:hAnsi="微软雅黑" w:eastAsia="微软雅黑" w:cs="微软雅黑"/>
          <w:spacing w:val="-15"/>
          <w:sz w:val="16"/>
          <w:szCs w:val="16"/>
        </w:rPr>
        <w:t xml:space="preserve"> </w:t>
      </w:r>
      <w:r>
        <w:rPr>
          <w:rFonts w:ascii="微软雅黑" w:hAnsi="微软雅黑" w:eastAsia="微软雅黑" w:cs="微软雅黑"/>
          <w:spacing w:val="35"/>
          <w:sz w:val="16"/>
          <w:szCs w:val="16"/>
        </w:rPr>
        <w:t>准</w:t>
      </w:r>
      <w:r>
        <w:rPr>
          <w:rFonts w:ascii="微软雅黑" w:hAnsi="微软雅黑" w:eastAsia="微软雅黑" w:cs="微软雅黑"/>
          <w:spacing w:val="-11"/>
          <w:sz w:val="16"/>
          <w:szCs w:val="16"/>
        </w:rPr>
        <w:t xml:space="preserve"> </w:t>
      </w:r>
      <w:r>
        <w:rPr>
          <w:rFonts w:ascii="微软雅黑" w:hAnsi="微软雅黑" w:eastAsia="微软雅黑" w:cs="微软雅黑"/>
          <w:spacing w:val="35"/>
          <w:sz w:val="16"/>
          <w:szCs w:val="16"/>
        </w:rPr>
        <w:t>和</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运</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作</w:t>
      </w:r>
      <w:r>
        <w:rPr>
          <w:rFonts w:ascii="微软雅黑" w:hAnsi="微软雅黑" w:eastAsia="微软雅黑" w:cs="微软雅黑"/>
          <w:sz w:val="16"/>
          <w:szCs w:val="16"/>
        </w:rPr>
        <w:t xml:space="preserve"> </w:t>
      </w:r>
      <w:r>
        <w:rPr>
          <w:rFonts w:ascii="微软雅黑" w:hAnsi="微软雅黑" w:eastAsia="微软雅黑" w:cs="微软雅黑"/>
          <w:spacing w:val="37"/>
          <w:sz w:val="16"/>
          <w:szCs w:val="16"/>
        </w:rPr>
        <w:t>系统化；二是以建设性和透明</w:t>
      </w:r>
      <w:r>
        <w:rPr>
          <w:rFonts w:ascii="微软雅黑" w:hAnsi="微软雅黑" w:eastAsia="微软雅黑" w:cs="微软雅黑"/>
          <w:spacing w:val="3"/>
          <w:sz w:val="16"/>
          <w:szCs w:val="16"/>
        </w:rPr>
        <w:t xml:space="preserve"> </w:t>
      </w:r>
      <w:r>
        <w:rPr>
          <w:rFonts w:ascii="微软雅黑" w:hAnsi="微软雅黑" w:eastAsia="微软雅黑" w:cs="微软雅黑"/>
          <w:spacing w:val="37"/>
          <w:sz w:val="16"/>
          <w:szCs w:val="16"/>
        </w:rPr>
        <w:t>的</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方</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式</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制</w:t>
      </w:r>
      <w:r>
        <w:rPr>
          <w:rFonts w:ascii="微软雅黑" w:hAnsi="微软雅黑" w:eastAsia="微软雅黑" w:cs="微软雅黑"/>
          <w:spacing w:val="-19"/>
          <w:sz w:val="16"/>
          <w:szCs w:val="16"/>
        </w:rPr>
        <w:t xml:space="preserve"> </w:t>
      </w:r>
      <w:r>
        <w:rPr>
          <w:rFonts w:ascii="微软雅黑" w:hAnsi="微软雅黑" w:eastAsia="微软雅黑" w:cs="微软雅黑"/>
          <w:spacing w:val="37"/>
          <w:sz w:val="16"/>
          <w:szCs w:val="16"/>
        </w:rPr>
        <w:t>定</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一</w:t>
      </w:r>
      <w:r>
        <w:rPr>
          <w:rFonts w:ascii="微软雅黑" w:hAnsi="微软雅黑" w:eastAsia="微软雅黑" w:cs="微软雅黑"/>
          <w:spacing w:val="-20"/>
          <w:sz w:val="16"/>
          <w:szCs w:val="16"/>
        </w:rPr>
        <w:t xml:space="preserve"> </w:t>
      </w:r>
      <w:r>
        <w:rPr>
          <w:rFonts w:ascii="微软雅黑" w:hAnsi="微软雅黑" w:eastAsia="微软雅黑" w:cs="微软雅黑"/>
          <w:spacing w:val="37"/>
          <w:sz w:val="16"/>
          <w:szCs w:val="16"/>
        </w:rPr>
        <w:t>套</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成</w:t>
      </w:r>
      <w:r>
        <w:rPr>
          <w:rFonts w:ascii="微软雅黑" w:hAnsi="微软雅黑" w:eastAsia="微软雅黑" w:cs="微软雅黑"/>
          <w:spacing w:val="-16"/>
          <w:sz w:val="16"/>
          <w:szCs w:val="16"/>
        </w:rPr>
        <w:t xml:space="preserve"> </w:t>
      </w:r>
      <w:r>
        <w:rPr>
          <w:rFonts w:ascii="微软雅黑" w:hAnsi="微软雅黑" w:eastAsia="微软雅黑" w:cs="微软雅黑"/>
          <w:spacing w:val="37"/>
          <w:sz w:val="16"/>
          <w:szCs w:val="16"/>
        </w:rPr>
        <w:t>功</w:t>
      </w:r>
      <w:r>
        <w:rPr>
          <w:rFonts w:ascii="微软雅黑" w:hAnsi="微软雅黑" w:eastAsia="微软雅黑" w:cs="微软雅黑"/>
          <w:sz w:val="16"/>
          <w:szCs w:val="16"/>
        </w:rPr>
        <w:t xml:space="preserve"> </w:t>
      </w:r>
      <w:r>
        <w:rPr>
          <w:rFonts w:ascii="微软雅黑" w:hAnsi="微软雅黑" w:eastAsia="微软雅黑" w:cs="微软雅黑"/>
          <w:spacing w:val="7"/>
          <w:w w:val="122"/>
          <w:sz w:val="16"/>
          <w:szCs w:val="16"/>
        </w:rPr>
        <w:t>和失败的标准和措施</w:t>
      </w:r>
      <w:r>
        <w:rPr>
          <w:rFonts w:ascii="微软雅黑" w:hAnsi="微软雅黑" w:eastAsia="微软雅黑" w:cs="微软雅黑"/>
          <w:spacing w:val="7"/>
          <w:w w:val="122"/>
          <w:position w:val="5"/>
          <w:sz w:val="9"/>
          <w:szCs w:val="9"/>
        </w:rPr>
        <w:t>[</w:t>
      </w:r>
      <w:r>
        <w:rPr>
          <w:rFonts w:ascii="Arial" w:hAnsi="Arial" w:eastAsia="Arial" w:cs="Arial"/>
          <w:spacing w:val="7"/>
          <w:w w:val="122"/>
          <w:position w:val="5"/>
          <w:sz w:val="9"/>
          <w:szCs w:val="9"/>
        </w:rPr>
        <w:t>5</w:t>
      </w:r>
      <w:r>
        <w:rPr>
          <w:rFonts w:ascii="微软雅黑" w:hAnsi="微软雅黑" w:eastAsia="微软雅黑" w:cs="微软雅黑"/>
          <w:spacing w:val="7"/>
          <w:w w:val="122"/>
          <w:position w:val="5"/>
          <w:sz w:val="9"/>
          <w:szCs w:val="9"/>
        </w:rPr>
        <w:t>]</w:t>
      </w:r>
      <w:r>
        <w:rPr>
          <w:rFonts w:ascii="微软雅黑" w:hAnsi="微软雅黑" w:eastAsia="微软雅黑" w:cs="微软雅黑"/>
          <w:spacing w:val="3"/>
          <w:position w:val="5"/>
          <w:sz w:val="9"/>
          <w:szCs w:val="9"/>
        </w:rPr>
        <w:t xml:space="preserve">  </w:t>
      </w:r>
      <w:r>
        <w:rPr>
          <w:rFonts w:ascii="微软雅黑" w:hAnsi="微软雅黑" w:eastAsia="微软雅黑" w:cs="微软雅黑"/>
          <w:spacing w:val="7"/>
          <w:w w:val="122"/>
          <w:sz w:val="16"/>
          <w:szCs w:val="16"/>
        </w:rPr>
        <w:t>。</w:t>
      </w:r>
    </w:p>
    <w:p>
      <w:pPr>
        <w:spacing w:line="239" w:lineRule="auto"/>
        <w:rPr>
          <w:rFonts w:ascii="微软雅黑" w:hAnsi="微软雅黑" w:eastAsia="微软雅黑" w:cs="微软雅黑"/>
          <w:sz w:val="16"/>
          <w:szCs w:val="16"/>
        </w:rPr>
        <w:sectPr>
          <w:type w:val="continuous"/>
          <w:pgSz w:w="12246" w:h="16498"/>
          <w:pgMar w:top="400" w:right="1245" w:bottom="547" w:left="407" w:header="0" w:footer="354" w:gutter="0"/>
          <w:cols w:equalWidth="0" w:num="2">
            <w:col w:w="5790" w:space="100"/>
            <w:col w:w="4703"/>
          </w:cols>
        </w:sectPr>
      </w:pPr>
    </w:p>
    <w:p>
      <w:pPr>
        <w:spacing w:before="132" w:line="136" w:lineRule="exact"/>
        <w:ind w:left="1061"/>
        <w:rPr>
          <w:rFonts w:ascii="Arial" w:hAnsi="Arial" w:eastAsia="Arial" w:cs="Arial"/>
          <w:sz w:val="19"/>
          <w:szCs w:val="19"/>
        </w:rPr>
      </w:pPr>
      <w:r>
        <w:rPr>
          <w:rFonts w:ascii="Arial" w:hAnsi="Arial" w:eastAsia="Arial" w:cs="Arial"/>
          <w:spacing w:val="-16"/>
          <w:position w:val="-3"/>
          <w:sz w:val="19"/>
          <w:szCs w:val="19"/>
        </w:rPr>
        <w:t>70</w:t>
      </w:r>
    </w:p>
    <w:p>
      <w:pPr>
        <w:spacing w:line="136" w:lineRule="exact"/>
        <w:rPr>
          <w:rFonts w:ascii="Arial" w:hAnsi="Arial" w:eastAsia="Arial" w:cs="Arial"/>
          <w:sz w:val="19"/>
          <w:szCs w:val="19"/>
        </w:rPr>
        <w:sectPr>
          <w:type w:val="continuous"/>
          <w:pgSz w:w="12246" w:h="16498"/>
          <w:pgMar w:top="400" w:right="1245" w:bottom="547" w:left="407" w:header="0" w:footer="354" w:gutter="0"/>
          <w:cols w:equalWidth="0" w:num="1">
            <w:col w:w="10592"/>
          </w:cols>
        </w:sectPr>
      </w:pPr>
    </w:p>
    <w:p>
      <w:pPr>
        <w:spacing w:before="25"/>
      </w:pPr>
    </w:p>
    <w:p>
      <w:pPr>
        <w:spacing w:before="25"/>
      </w:pPr>
    </w:p>
    <w:p>
      <w:pPr>
        <w:spacing w:before="24"/>
      </w:pPr>
    </w:p>
    <w:p>
      <w:pPr>
        <w:sectPr>
          <w:pgSz w:w="12246" w:h="16498"/>
          <w:pgMar w:top="400" w:right="1245" w:bottom="547" w:left="407" w:header="0" w:footer="354" w:gutter="0"/>
          <w:cols w:equalWidth="0" w:num="1">
            <w:col w:w="10592"/>
          </w:cols>
        </w:sectPr>
      </w:pPr>
    </w:p>
    <w:p>
      <w:pPr>
        <w:spacing w:before="35" w:line="239" w:lineRule="auto"/>
        <w:ind w:left="905" w:right="216" w:firstLine="419"/>
        <w:jc w:val="both"/>
        <w:rPr>
          <w:rFonts w:ascii="微软雅黑" w:hAnsi="微软雅黑" w:eastAsia="微软雅黑" w:cs="微软雅黑"/>
          <w:sz w:val="16"/>
          <w:szCs w:val="16"/>
        </w:rPr>
      </w:pPr>
      <w:r>
        <w:rPr>
          <w:rFonts w:ascii="微软雅黑" w:hAnsi="微软雅黑" w:eastAsia="微软雅黑" w:cs="微软雅黑"/>
          <w:spacing w:val="25"/>
          <w:sz w:val="16"/>
          <w:szCs w:val="16"/>
        </w:rPr>
        <w:t>第三阶段：反</w:t>
      </w:r>
      <w:r>
        <w:rPr>
          <w:rFonts w:ascii="微软雅黑" w:hAnsi="微软雅黑" w:eastAsia="微软雅黑" w:cs="微软雅黑"/>
          <w:spacing w:val="-6"/>
          <w:sz w:val="16"/>
          <w:szCs w:val="16"/>
        </w:rPr>
        <w:t xml:space="preserve"> </w:t>
      </w:r>
      <w:r>
        <w:rPr>
          <w:rFonts w:ascii="微软雅黑" w:hAnsi="微软雅黑" w:eastAsia="微软雅黑" w:cs="微软雅黑"/>
          <w:spacing w:val="25"/>
          <w:sz w:val="16"/>
          <w:szCs w:val="16"/>
        </w:rPr>
        <w:t>馈</w:t>
      </w:r>
      <w:r>
        <w:rPr>
          <w:rFonts w:ascii="微软雅黑" w:hAnsi="微软雅黑" w:eastAsia="微软雅黑" w:cs="微软雅黑"/>
          <w:spacing w:val="-20"/>
          <w:sz w:val="16"/>
          <w:szCs w:val="16"/>
        </w:rPr>
        <w:t xml:space="preserve"> </w:t>
      </w:r>
      <w:r>
        <w:rPr>
          <w:rFonts w:ascii="微软雅黑" w:hAnsi="微软雅黑" w:eastAsia="微软雅黑" w:cs="微软雅黑"/>
          <w:spacing w:val="25"/>
          <w:sz w:val="16"/>
          <w:szCs w:val="16"/>
        </w:rPr>
        <w:t>循</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环</w:t>
      </w:r>
      <w:r>
        <w:rPr>
          <w:rFonts w:ascii="微软雅黑" w:hAnsi="微软雅黑" w:eastAsia="微软雅黑" w:cs="微软雅黑"/>
          <w:spacing w:val="-2"/>
          <w:sz w:val="16"/>
          <w:szCs w:val="16"/>
        </w:rPr>
        <w:t xml:space="preserve"> </w:t>
      </w:r>
      <w:r>
        <w:rPr>
          <w:rFonts w:ascii="微软雅黑" w:hAnsi="微软雅黑" w:eastAsia="微软雅黑" w:cs="微软雅黑"/>
          <w:spacing w:val="25"/>
          <w:sz w:val="16"/>
          <w:szCs w:val="16"/>
        </w:rPr>
        <w:t>以</w:t>
      </w:r>
      <w:r>
        <w:rPr>
          <w:rFonts w:ascii="微软雅黑" w:hAnsi="微软雅黑" w:eastAsia="微软雅黑" w:cs="微软雅黑"/>
          <w:spacing w:val="-20"/>
          <w:sz w:val="16"/>
          <w:szCs w:val="16"/>
        </w:rPr>
        <w:t xml:space="preserve"> </w:t>
      </w:r>
      <w:r>
        <w:rPr>
          <w:rFonts w:ascii="微软雅黑" w:hAnsi="微软雅黑" w:eastAsia="微软雅黑" w:cs="微软雅黑"/>
          <w:spacing w:val="25"/>
          <w:sz w:val="16"/>
          <w:szCs w:val="16"/>
        </w:rPr>
        <w:t>及</w:t>
      </w:r>
      <w:r>
        <w:rPr>
          <w:rFonts w:ascii="微软雅黑" w:hAnsi="微软雅黑" w:eastAsia="微软雅黑" w:cs="微软雅黑"/>
          <w:spacing w:val="-19"/>
          <w:sz w:val="16"/>
          <w:szCs w:val="16"/>
        </w:rPr>
        <w:t xml:space="preserve"> </w:t>
      </w:r>
      <w:r>
        <w:rPr>
          <w:rFonts w:ascii="微软雅黑" w:hAnsi="微软雅黑" w:eastAsia="微软雅黑" w:cs="微软雅黑"/>
          <w:spacing w:val="25"/>
          <w:sz w:val="16"/>
          <w:szCs w:val="16"/>
        </w:rPr>
        <w:t>对 目</w:t>
      </w:r>
      <w:r>
        <w:rPr>
          <w:rFonts w:ascii="微软雅黑" w:hAnsi="微软雅黑" w:eastAsia="微软雅黑" w:cs="微软雅黑"/>
          <w:spacing w:val="-19"/>
          <w:sz w:val="16"/>
          <w:szCs w:val="16"/>
        </w:rPr>
        <w:t xml:space="preserve"> </w:t>
      </w:r>
      <w:r>
        <w:rPr>
          <w:rFonts w:ascii="微软雅黑" w:hAnsi="微软雅黑" w:eastAsia="微软雅黑" w:cs="微软雅黑"/>
          <w:spacing w:val="25"/>
          <w:sz w:val="16"/>
          <w:szCs w:val="16"/>
        </w:rPr>
        <w:t>标</w:t>
      </w:r>
      <w:r>
        <w:rPr>
          <w:rFonts w:ascii="微软雅黑" w:hAnsi="微软雅黑" w:eastAsia="微软雅黑" w:cs="微软雅黑"/>
          <w:spacing w:val="-11"/>
          <w:sz w:val="16"/>
          <w:szCs w:val="16"/>
        </w:rPr>
        <w:t xml:space="preserve"> </w:t>
      </w:r>
      <w:r>
        <w:rPr>
          <w:rFonts w:ascii="微软雅黑" w:hAnsi="微软雅黑" w:eastAsia="微软雅黑" w:cs="微软雅黑"/>
          <w:spacing w:val="25"/>
          <w:sz w:val="16"/>
          <w:szCs w:val="16"/>
        </w:rPr>
        <w:t>和</w:t>
      </w:r>
      <w:r>
        <w:rPr>
          <w:rFonts w:ascii="微软雅黑" w:hAnsi="微软雅黑" w:eastAsia="微软雅黑" w:cs="微软雅黑"/>
          <w:spacing w:val="-17"/>
          <w:sz w:val="16"/>
          <w:szCs w:val="16"/>
        </w:rPr>
        <w:t xml:space="preserve"> </w:t>
      </w:r>
      <w:r>
        <w:rPr>
          <w:rFonts w:ascii="微软雅黑" w:hAnsi="微软雅黑" w:eastAsia="微软雅黑" w:cs="微软雅黑"/>
          <w:spacing w:val="25"/>
          <w:sz w:val="16"/>
          <w:szCs w:val="16"/>
        </w:rPr>
        <w:t>过</w:t>
      </w:r>
      <w:r>
        <w:rPr>
          <w:rFonts w:ascii="微软雅黑" w:hAnsi="微软雅黑" w:eastAsia="微软雅黑" w:cs="微软雅黑"/>
          <w:spacing w:val="-18"/>
          <w:sz w:val="16"/>
          <w:szCs w:val="16"/>
        </w:rPr>
        <w:t xml:space="preserve"> </w:t>
      </w:r>
      <w:r>
        <w:rPr>
          <w:rFonts w:ascii="微软雅黑" w:hAnsi="微软雅黑" w:eastAsia="微软雅黑" w:cs="微软雅黑"/>
          <w:spacing w:val="25"/>
          <w:sz w:val="16"/>
          <w:szCs w:val="16"/>
        </w:rPr>
        <w:t>程</w:t>
      </w:r>
      <w:r>
        <w:rPr>
          <w:rFonts w:ascii="微软雅黑" w:hAnsi="微软雅黑" w:eastAsia="微软雅黑" w:cs="微软雅黑"/>
          <w:spacing w:val="-2"/>
          <w:sz w:val="16"/>
          <w:szCs w:val="16"/>
        </w:rPr>
        <w:t xml:space="preserve"> </w:t>
      </w:r>
      <w:r>
        <w:rPr>
          <w:rFonts w:ascii="微软雅黑" w:hAnsi="微软雅黑" w:eastAsia="微软雅黑" w:cs="微软雅黑"/>
          <w:spacing w:val="25"/>
          <w:sz w:val="16"/>
          <w:szCs w:val="16"/>
        </w:rPr>
        <w:t>的</w:t>
      </w:r>
      <w:r>
        <w:rPr>
          <w:rFonts w:ascii="微软雅黑" w:hAnsi="微软雅黑" w:eastAsia="微软雅黑" w:cs="微软雅黑"/>
          <w:spacing w:val="-17"/>
          <w:sz w:val="16"/>
          <w:szCs w:val="16"/>
        </w:rPr>
        <w:t xml:space="preserve"> </w:t>
      </w:r>
      <w:r>
        <w:rPr>
          <w:rFonts w:ascii="微软雅黑" w:hAnsi="微软雅黑" w:eastAsia="微软雅黑" w:cs="微软雅黑"/>
          <w:spacing w:val="25"/>
          <w:sz w:val="16"/>
          <w:szCs w:val="16"/>
        </w:rPr>
        <w:t>持</w:t>
      </w:r>
      <w:r>
        <w:rPr>
          <w:rFonts w:ascii="微软雅黑" w:hAnsi="微软雅黑" w:eastAsia="微软雅黑" w:cs="微软雅黑"/>
          <w:spacing w:val="-19"/>
          <w:sz w:val="16"/>
          <w:szCs w:val="16"/>
        </w:rPr>
        <w:t xml:space="preserve"> </w:t>
      </w:r>
      <w:r>
        <w:rPr>
          <w:rFonts w:ascii="微软雅黑" w:hAnsi="微软雅黑" w:eastAsia="微软雅黑" w:cs="微软雅黑"/>
          <w:spacing w:val="25"/>
          <w:sz w:val="16"/>
          <w:szCs w:val="16"/>
        </w:rPr>
        <w:t>续</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评估是质量文化的</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重要特征</w:t>
      </w:r>
      <w:r>
        <w:rPr>
          <w:rFonts w:ascii="微软雅黑" w:hAnsi="微软雅黑" w:eastAsia="微软雅黑" w:cs="微软雅黑"/>
          <w:spacing w:val="-24"/>
          <w:sz w:val="16"/>
          <w:szCs w:val="16"/>
        </w:rPr>
        <w:t xml:space="preserve"> </w:t>
      </w:r>
      <w:r>
        <w:rPr>
          <w:rFonts w:ascii="微软雅黑" w:hAnsi="微软雅黑" w:eastAsia="微软雅黑" w:cs="微软雅黑"/>
          <w:spacing w:val="36"/>
          <w:sz w:val="16"/>
          <w:szCs w:val="16"/>
        </w:rPr>
        <w:t>，也</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是</w:t>
      </w:r>
      <w:r>
        <w:rPr>
          <w:rFonts w:ascii="微软雅黑" w:hAnsi="微软雅黑" w:eastAsia="微软雅黑" w:cs="微软雅黑"/>
          <w:spacing w:val="-7"/>
          <w:sz w:val="16"/>
          <w:szCs w:val="16"/>
        </w:rPr>
        <w:t xml:space="preserve"> </w:t>
      </w:r>
      <w:r>
        <w:rPr>
          <w:rFonts w:ascii="微软雅黑" w:hAnsi="微软雅黑" w:eastAsia="微软雅黑" w:cs="微软雅黑"/>
          <w:spacing w:val="36"/>
          <w:sz w:val="16"/>
          <w:szCs w:val="16"/>
        </w:rPr>
        <w:t>战</w:t>
      </w:r>
      <w:r>
        <w:rPr>
          <w:rFonts w:ascii="微软雅黑" w:hAnsi="微软雅黑" w:eastAsia="微软雅黑" w:cs="微软雅黑"/>
          <w:spacing w:val="-9"/>
          <w:sz w:val="16"/>
          <w:szCs w:val="16"/>
        </w:rPr>
        <w:t xml:space="preserve"> </w:t>
      </w:r>
      <w:r>
        <w:rPr>
          <w:rFonts w:ascii="微软雅黑" w:hAnsi="微软雅黑" w:eastAsia="微软雅黑" w:cs="微软雅黑"/>
          <w:spacing w:val="36"/>
          <w:sz w:val="16"/>
          <w:szCs w:val="16"/>
        </w:rPr>
        <w:t>略</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规</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划</w:t>
      </w:r>
      <w:r>
        <w:rPr>
          <w:rFonts w:ascii="微软雅黑" w:hAnsi="微软雅黑" w:eastAsia="微软雅黑" w:cs="微软雅黑"/>
          <w:spacing w:val="-16"/>
          <w:sz w:val="16"/>
          <w:szCs w:val="16"/>
        </w:rPr>
        <w:t xml:space="preserve"> </w:t>
      </w:r>
      <w:r>
        <w:rPr>
          <w:rFonts w:ascii="微软雅黑" w:hAnsi="微软雅黑" w:eastAsia="微软雅黑" w:cs="微软雅黑"/>
          <w:spacing w:val="35"/>
          <w:sz w:val="16"/>
          <w:szCs w:val="16"/>
        </w:rPr>
        <w:t>过</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程</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不</w:t>
      </w:r>
      <w:r>
        <w:rPr>
          <w:rFonts w:ascii="微软雅黑" w:hAnsi="微软雅黑" w:eastAsia="微软雅黑" w:cs="微软雅黑"/>
          <w:sz w:val="16"/>
          <w:szCs w:val="16"/>
        </w:rPr>
        <w:t xml:space="preserve"> </w:t>
      </w:r>
      <w:r>
        <w:rPr>
          <w:rFonts w:ascii="微软雅黑" w:hAnsi="微软雅黑" w:eastAsia="微软雅黑" w:cs="微软雅黑"/>
          <w:spacing w:val="6"/>
          <w:w w:val="124"/>
          <w:sz w:val="16"/>
          <w:szCs w:val="16"/>
        </w:rPr>
        <w:t>可或缺的</w:t>
      </w:r>
      <w:r>
        <w:rPr>
          <w:rFonts w:ascii="微软雅黑" w:hAnsi="微软雅黑" w:eastAsia="微软雅黑" w:cs="微软雅黑"/>
          <w:spacing w:val="-20"/>
          <w:sz w:val="16"/>
          <w:szCs w:val="16"/>
        </w:rPr>
        <w:t xml:space="preserve"> </w:t>
      </w:r>
      <w:r>
        <w:rPr>
          <w:rFonts w:ascii="微软雅黑" w:hAnsi="微软雅黑" w:eastAsia="微软雅黑" w:cs="微软雅黑"/>
          <w:spacing w:val="6"/>
          <w:w w:val="124"/>
          <w:sz w:val="16"/>
          <w:szCs w:val="16"/>
        </w:rPr>
        <w:t>一</w:t>
      </w:r>
      <w:r>
        <w:rPr>
          <w:rFonts w:ascii="微软雅黑" w:hAnsi="微软雅黑" w:eastAsia="微软雅黑" w:cs="微软雅黑"/>
          <w:spacing w:val="-28"/>
          <w:sz w:val="16"/>
          <w:szCs w:val="16"/>
        </w:rPr>
        <w:t xml:space="preserve"> </w:t>
      </w:r>
      <w:r>
        <w:rPr>
          <w:rFonts w:ascii="微软雅黑" w:hAnsi="微软雅黑" w:eastAsia="微软雅黑" w:cs="微软雅黑"/>
          <w:spacing w:val="6"/>
          <w:w w:val="124"/>
          <w:sz w:val="16"/>
          <w:szCs w:val="16"/>
        </w:rPr>
        <w:t>部分</w:t>
      </w:r>
      <w:r>
        <w:rPr>
          <w:rFonts w:ascii="微软雅黑" w:hAnsi="微软雅黑" w:eastAsia="微软雅黑" w:cs="微软雅黑"/>
          <w:spacing w:val="-5"/>
          <w:sz w:val="16"/>
          <w:szCs w:val="16"/>
        </w:rPr>
        <w:t xml:space="preserve"> </w:t>
      </w:r>
      <w:r>
        <w:rPr>
          <w:rFonts w:ascii="微软雅黑" w:hAnsi="微软雅黑" w:eastAsia="微软雅黑" w:cs="微软雅黑"/>
          <w:spacing w:val="6"/>
          <w:w w:val="124"/>
          <w:sz w:val="16"/>
          <w:szCs w:val="16"/>
        </w:rPr>
        <w:t>。</w:t>
      </w:r>
      <w:r>
        <w:rPr>
          <w:rFonts w:ascii="微软雅黑" w:hAnsi="微软雅黑" w:eastAsia="微软雅黑" w:cs="微软雅黑"/>
          <w:spacing w:val="-12"/>
          <w:sz w:val="16"/>
          <w:szCs w:val="16"/>
        </w:rPr>
        <w:t xml:space="preserve"> </w:t>
      </w:r>
      <w:r>
        <w:rPr>
          <w:rFonts w:ascii="微软雅黑" w:hAnsi="微软雅黑" w:eastAsia="微软雅黑" w:cs="微软雅黑"/>
          <w:spacing w:val="6"/>
          <w:w w:val="124"/>
          <w:sz w:val="16"/>
          <w:szCs w:val="16"/>
        </w:rPr>
        <w:t>这些过程使机构可以从经验中学</w:t>
      </w:r>
      <w:r>
        <w:rPr>
          <w:rFonts w:ascii="微软雅黑" w:hAnsi="微软雅黑" w:eastAsia="微软雅黑" w:cs="微软雅黑"/>
          <w:sz w:val="16"/>
          <w:szCs w:val="16"/>
        </w:rPr>
        <w:t xml:space="preserve"> </w:t>
      </w:r>
      <w:r>
        <w:rPr>
          <w:rFonts w:ascii="微软雅黑" w:hAnsi="微软雅黑" w:eastAsia="微软雅黑" w:cs="微软雅黑"/>
          <w:spacing w:val="37"/>
          <w:sz w:val="16"/>
          <w:szCs w:val="16"/>
        </w:rPr>
        <w:t>习</w:t>
      </w:r>
      <w:r>
        <w:rPr>
          <w:rFonts w:ascii="微软雅黑" w:hAnsi="微软雅黑" w:eastAsia="微软雅黑" w:cs="微软雅黑"/>
          <w:spacing w:val="-23"/>
          <w:sz w:val="16"/>
          <w:szCs w:val="16"/>
        </w:rPr>
        <w:t xml:space="preserve"> </w:t>
      </w:r>
      <w:r>
        <w:rPr>
          <w:rFonts w:ascii="微软雅黑" w:hAnsi="微软雅黑" w:eastAsia="微软雅黑" w:cs="微软雅黑"/>
          <w:spacing w:val="37"/>
          <w:sz w:val="16"/>
          <w:szCs w:val="16"/>
        </w:rPr>
        <w:t>，在各部门之间共享良好实</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践</w:t>
      </w:r>
      <w:r>
        <w:rPr>
          <w:rFonts w:ascii="微软雅黑" w:hAnsi="微软雅黑" w:eastAsia="微软雅黑" w:cs="微软雅黑"/>
          <w:spacing w:val="-20"/>
          <w:sz w:val="16"/>
          <w:szCs w:val="16"/>
        </w:rPr>
        <w:t xml:space="preserve"> </w:t>
      </w:r>
      <w:r>
        <w:rPr>
          <w:rFonts w:ascii="微软雅黑" w:hAnsi="微软雅黑" w:eastAsia="微软雅黑" w:cs="微软雅黑"/>
          <w:spacing w:val="37"/>
          <w:sz w:val="16"/>
          <w:szCs w:val="16"/>
        </w:rPr>
        <w:t>并</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最</w:t>
      </w:r>
      <w:r>
        <w:rPr>
          <w:rFonts w:ascii="微软雅黑" w:hAnsi="微软雅黑" w:eastAsia="微软雅黑" w:cs="微软雅黑"/>
          <w:spacing w:val="-14"/>
          <w:sz w:val="16"/>
          <w:szCs w:val="16"/>
        </w:rPr>
        <w:t xml:space="preserve"> </w:t>
      </w:r>
      <w:r>
        <w:rPr>
          <w:rFonts w:ascii="微软雅黑" w:hAnsi="微软雅黑" w:eastAsia="微软雅黑" w:cs="微软雅黑"/>
          <w:spacing w:val="37"/>
          <w:sz w:val="16"/>
          <w:szCs w:val="16"/>
        </w:rPr>
        <w:t>大</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程</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度</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地</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减</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少</w:t>
      </w:r>
      <w:r>
        <w:rPr>
          <w:rFonts w:ascii="微软雅黑" w:hAnsi="微软雅黑" w:eastAsia="微软雅黑" w:cs="微软雅黑"/>
          <w:sz w:val="16"/>
          <w:szCs w:val="16"/>
        </w:rPr>
        <w:t xml:space="preserve"> </w:t>
      </w:r>
      <w:r>
        <w:rPr>
          <w:rFonts w:ascii="微软雅黑" w:hAnsi="微软雅黑" w:eastAsia="微软雅黑" w:cs="微软雅黑"/>
          <w:spacing w:val="6"/>
          <w:w w:val="120"/>
          <w:sz w:val="16"/>
          <w:szCs w:val="16"/>
        </w:rPr>
        <w:t>和纠正错误</w:t>
      </w:r>
      <w:r>
        <w:rPr>
          <w:rFonts w:ascii="微软雅黑" w:hAnsi="微软雅黑" w:eastAsia="微软雅黑" w:cs="微软雅黑"/>
          <w:spacing w:val="6"/>
          <w:w w:val="120"/>
          <w:position w:val="5"/>
          <w:sz w:val="9"/>
          <w:szCs w:val="9"/>
        </w:rPr>
        <w:t>[</w:t>
      </w:r>
      <w:r>
        <w:rPr>
          <w:rFonts w:ascii="Arial" w:hAnsi="Arial" w:eastAsia="Arial" w:cs="Arial"/>
          <w:spacing w:val="6"/>
          <w:w w:val="120"/>
          <w:position w:val="5"/>
          <w:sz w:val="9"/>
          <w:szCs w:val="9"/>
        </w:rPr>
        <w:t>5</w:t>
      </w:r>
      <w:r>
        <w:rPr>
          <w:rFonts w:ascii="微软雅黑" w:hAnsi="微软雅黑" w:eastAsia="微软雅黑" w:cs="微软雅黑"/>
          <w:spacing w:val="6"/>
          <w:w w:val="120"/>
          <w:position w:val="5"/>
          <w:sz w:val="9"/>
          <w:szCs w:val="9"/>
        </w:rPr>
        <w:t>]</w:t>
      </w:r>
      <w:r>
        <w:rPr>
          <w:rFonts w:ascii="微软雅黑" w:hAnsi="微软雅黑" w:eastAsia="微软雅黑" w:cs="微软雅黑"/>
          <w:spacing w:val="5"/>
          <w:position w:val="5"/>
          <w:sz w:val="9"/>
          <w:szCs w:val="9"/>
        </w:rPr>
        <w:t xml:space="preserve">  </w:t>
      </w:r>
      <w:r>
        <w:rPr>
          <w:rFonts w:ascii="微软雅黑" w:hAnsi="微软雅黑" w:eastAsia="微软雅黑" w:cs="微软雅黑"/>
          <w:spacing w:val="6"/>
          <w:w w:val="120"/>
          <w:sz w:val="16"/>
          <w:szCs w:val="16"/>
        </w:rPr>
        <w:t>。</w:t>
      </w:r>
    </w:p>
    <w:p>
      <w:pPr>
        <w:spacing w:before="200" w:line="189" w:lineRule="auto"/>
        <w:ind w:left="1339"/>
        <w:rPr>
          <w:rFonts w:ascii="微软雅黑" w:hAnsi="微软雅黑" w:eastAsia="微软雅黑" w:cs="微软雅黑"/>
          <w:sz w:val="19"/>
          <w:szCs w:val="19"/>
        </w:rPr>
      </w:pPr>
      <w:r>
        <w:rPr>
          <w:rFonts w:ascii="微软雅黑" w:hAnsi="微软雅黑" w:eastAsia="微软雅黑" w:cs="微软雅黑"/>
          <w:spacing w:val="35"/>
          <w:sz w:val="19"/>
          <w:szCs w:val="19"/>
        </w:rPr>
        <w:t>三</w:t>
      </w:r>
      <w:r>
        <w:rPr>
          <w:rFonts w:ascii="微软雅黑" w:hAnsi="微软雅黑" w:eastAsia="微软雅黑" w:cs="微软雅黑"/>
          <w:spacing w:val="-24"/>
          <w:sz w:val="19"/>
          <w:szCs w:val="19"/>
        </w:rPr>
        <w:t xml:space="preserve"> </w:t>
      </w:r>
      <w:r>
        <w:rPr>
          <w:rFonts w:ascii="微软雅黑" w:hAnsi="微软雅黑" w:eastAsia="微软雅黑" w:cs="微软雅黑"/>
          <w:spacing w:val="35"/>
          <w:sz w:val="19"/>
          <w:szCs w:val="19"/>
        </w:rPr>
        <w:t>、高校质量文化建设实践</w:t>
      </w:r>
    </w:p>
    <w:p>
      <w:pPr>
        <w:spacing w:before="200" w:line="247" w:lineRule="auto"/>
        <w:ind w:left="906" w:right="199" w:firstLine="421"/>
        <w:rPr>
          <w:rFonts w:ascii="微软雅黑" w:hAnsi="微软雅黑" w:eastAsia="微软雅黑" w:cs="微软雅黑"/>
          <w:sz w:val="16"/>
          <w:szCs w:val="16"/>
        </w:rPr>
      </w:pPr>
      <w:r>
        <w:rPr>
          <w:rFonts w:ascii="微软雅黑" w:hAnsi="微软雅黑" w:eastAsia="微软雅黑" w:cs="微软雅黑"/>
          <w:spacing w:val="9"/>
          <w:w w:val="125"/>
          <w:sz w:val="16"/>
          <w:szCs w:val="16"/>
        </w:rPr>
        <w:t>西安欧亚学院注重战略规划对学校发展的指导</w:t>
      </w:r>
      <w:r>
        <w:rPr>
          <w:rFonts w:ascii="微软雅黑" w:hAnsi="微软雅黑" w:eastAsia="微软雅黑" w:cs="微软雅黑"/>
          <w:spacing w:val="18"/>
          <w:w w:val="101"/>
          <w:sz w:val="16"/>
          <w:szCs w:val="16"/>
        </w:rPr>
        <w:t xml:space="preserve"> </w:t>
      </w:r>
      <w:r>
        <w:rPr>
          <w:rFonts w:ascii="微软雅黑" w:hAnsi="微软雅黑" w:eastAsia="微软雅黑" w:cs="微软雅黑"/>
          <w:spacing w:val="35"/>
          <w:sz w:val="16"/>
          <w:szCs w:val="16"/>
        </w:rPr>
        <w:t>作用</w:t>
      </w:r>
      <w:r>
        <w:rPr>
          <w:rFonts w:ascii="微软雅黑" w:hAnsi="微软雅黑" w:eastAsia="微软雅黑" w:cs="微软雅黑"/>
          <w:spacing w:val="-22"/>
          <w:sz w:val="16"/>
          <w:szCs w:val="16"/>
        </w:rPr>
        <w:t xml:space="preserve"> </w:t>
      </w:r>
      <w:r>
        <w:rPr>
          <w:rFonts w:ascii="微软雅黑" w:hAnsi="微软雅黑" w:eastAsia="微软雅黑" w:cs="微软雅黑"/>
          <w:spacing w:val="35"/>
          <w:sz w:val="16"/>
          <w:szCs w:val="16"/>
        </w:rPr>
        <w:t>，在长期实践过程中总结</w:t>
      </w:r>
      <w:r>
        <w:rPr>
          <w:rFonts w:ascii="微软雅黑" w:hAnsi="微软雅黑" w:eastAsia="微软雅黑" w:cs="微软雅黑"/>
          <w:spacing w:val="-4"/>
          <w:sz w:val="16"/>
          <w:szCs w:val="16"/>
        </w:rPr>
        <w:t xml:space="preserve"> </w:t>
      </w:r>
      <w:r>
        <w:rPr>
          <w:rFonts w:ascii="微软雅黑" w:hAnsi="微软雅黑" w:eastAsia="微软雅黑" w:cs="微软雅黑"/>
          <w:spacing w:val="35"/>
          <w:sz w:val="16"/>
          <w:szCs w:val="16"/>
        </w:rPr>
        <w:t>出</w:t>
      </w:r>
      <w:r>
        <w:rPr>
          <w:rFonts w:ascii="微软雅黑" w:hAnsi="微软雅黑" w:eastAsia="微软雅黑" w:cs="微软雅黑"/>
          <w:spacing w:val="-19"/>
          <w:sz w:val="16"/>
          <w:szCs w:val="16"/>
        </w:rPr>
        <w:t xml:space="preserve"> </w:t>
      </w:r>
      <w:r>
        <w:rPr>
          <w:rFonts w:ascii="微软雅黑" w:hAnsi="微软雅黑" w:eastAsia="微软雅黑" w:cs="微软雅黑"/>
          <w:spacing w:val="35"/>
          <w:sz w:val="16"/>
          <w:szCs w:val="16"/>
        </w:rPr>
        <w:t>行</w:t>
      </w:r>
      <w:r>
        <w:rPr>
          <w:rFonts w:ascii="微软雅黑" w:hAnsi="微软雅黑" w:eastAsia="微软雅黑" w:cs="微软雅黑"/>
          <w:spacing w:val="-15"/>
          <w:sz w:val="16"/>
          <w:szCs w:val="16"/>
        </w:rPr>
        <w:t xml:space="preserve"> </w:t>
      </w:r>
      <w:r>
        <w:rPr>
          <w:rFonts w:ascii="微软雅黑" w:hAnsi="微软雅黑" w:eastAsia="微软雅黑" w:cs="微软雅黑"/>
          <w:spacing w:val="35"/>
          <w:sz w:val="16"/>
          <w:szCs w:val="16"/>
        </w:rPr>
        <w:t>动</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反</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思</w:t>
      </w:r>
      <w:r>
        <w:rPr>
          <w:rFonts w:ascii="微软雅黑" w:hAnsi="微软雅黑" w:eastAsia="微软雅黑" w:cs="微软雅黑"/>
          <w:spacing w:val="-21"/>
          <w:sz w:val="16"/>
          <w:szCs w:val="16"/>
        </w:rPr>
        <w:t xml:space="preserve"> </w:t>
      </w:r>
      <w:r>
        <w:rPr>
          <w:rFonts w:ascii="微软雅黑" w:hAnsi="微软雅黑" w:eastAsia="微软雅黑" w:cs="微软雅黑"/>
          <w:spacing w:val="35"/>
          <w:sz w:val="16"/>
          <w:szCs w:val="16"/>
        </w:rPr>
        <w:t>模</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式</w:t>
      </w:r>
      <w:r>
        <w:rPr>
          <w:rFonts w:ascii="微软雅黑" w:hAnsi="微软雅黑" w:eastAsia="微软雅黑" w:cs="微软雅黑"/>
          <w:spacing w:val="-2"/>
          <w:sz w:val="16"/>
          <w:szCs w:val="16"/>
        </w:rPr>
        <w:t xml:space="preserve"> </w:t>
      </w:r>
      <w:r>
        <w:rPr>
          <w:rFonts w:ascii="微软雅黑" w:hAnsi="微软雅黑" w:eastAsia="微软雅黑" w:cs="微软雅黑"/>
          <w:spacing w:val="35"/>
          <w:sz w:val="16"/>
          <w:szCs w:val="16"/>
        </w:rPr>
        <w:t>的</w:t>
      </w:r>
      <w:r>
        <w:rPr>
          <w:rFonts w:ascii="微软雅黑" w:hAnsi="微软雅黑" w:eastAsia="微软雅黑" w:cs="微软雅黑"/>
          <w:spacing w:val="-8"/>
          <w:sz w:val="16"/>
          <w:szCs w:val="16"/>
        </w:rPr>
        <w:t xml:space="preserve"> </w:t>
      </w:r>
      <w:r>
        <w:rPr>
          <w:rFonts w:ascii="微软雅黑" w:hAnsi="微软雅黑" w:eastAsia="微软雅黑" w:cs="微软雅黑"/>
          <w:spacing w:val="35"/>
          <w:sz w:val="16"/>
          <w:szCs w:val="16"/>
        </w:rPr>
        <w:t>战</w:t>
      </w:r>
      <w:r>
        <w:rPr>
          <w:rFonts w:ascii="微软雅黑" w:hAnsi="微软雅黑" w:eastAsia="微软雅黑" w:cs="微软雅黑"/>
          <w:sz w:val="16"/>
          <w:szCs w:val="16"/>
        </w:rPr>
        <w:t xml:space="preserve"> </w:t>
      </w:r>
      <w:r>
        <w:rPr>
          <w:rFonts w:ascii="微软雅黑" w:hAnsi="微软雅黑" w:eastAsia="微软雅黑" w:cs="微软雅黑"/>
          <w:spacing w:val="8"/>
          <w:w w:val="121"/>
          <w:sz w:val="16"/>
          <w:szCs w:val="16"/>
        </w:rPr>
        <w:t>略规划模式</w:t>
      </w:r>
      <w:r>
        <w:rPr>
          <w:rFonts w:ascii="微软雅黑" w:hAnsi="微软雅黑" w:eastAsia="微软雅黑" w:cs="微软雅黑"/>
          <w:spacing w:val="2"/>
          <w:sz w:val="16"/>
          <w:szCs w:val="16"/>
        </w:rPr>
        <w:t xml:space="preserve"> </w:t>
      </w:r>
      <w:r>
        <w:rPr>
          <w:rFonts w:ascii="微软雅黑" w:hAnsi="微软雅黑" w:eastAsia="微软雅黑" w:cs="微软雅黑"/>
          <w:spacing w:val="8"/>
          <w:w w:val="121"/>
          <w:sz w:val="16"/>
          <w:szCs w:val="16"/>
        </w:rPr>
        <w:t>。</w:t>
      </w:r>
      <w:r>
        <w:rPr>
          <w:rFonts w:ascii="微软雅黑" w:hAnsi="微软雅黑" w:eastAsia="微软雅黑" w:cs="微软雅黑"/>
          <w:spacing w:val="-2"/>
          <w:sz w:val="16"/>
          <w:szCs w:val="16"/>
        </w:rPr>
        <w:t xml:space="preserve"> </w:t>
      </w:r>
      <w:r>
        <w:rPr>
          <w:rFonts w:ascii="Arial" w:hAnsi="Arial" w:eastAsia="Arial" w:cs="Arial"/>
          <w:spacing w:val="8"/>
          <w:w w:val="121"/>
          <w:sz w:val="16"/>
          <w:szCs w:val="16"/>
        </w:rPr>
        <w:t>2009-2018</w:t>
      </w:r>
      <w:r>
        <w:rPr>
          <w:rFonts w:ascii="微软雅黑" w:hAnsi="微软雅黑" w:eastAsia="微软雅黑" w:cs="微软雅黑"/>
          <w:spacing w:val="8"/>
          <w:w w:val="121"/>
          <w:sz w:val="16"/>
          <w:szCs w:val="16"/>
        </w:rPr>
        <w:t>年</w:t>
      </w:r>
      <w:r>
        <w:rPr>
          <w:rFonts w:ascii="微软雅黑" w:hAnsi="微软雅黑" w:eastAsia="微软雅黑" w:cs="微软雅黑"/>
          <w:spacing w:val="-15"/>
          <w:sz w:val="16"/>
          <w:szCs w:val="16"/>
        </w:rPr>
        <w:t xml:space="preserve"> </w:t>
      </w:r>
      <w:r>
        <w:rPr>
          <w:rFonts w:ascii="微软雅黑" w:hAnsi="微软雅黑" w:eastAsia="微软雅黑" w:cs="微软雅黑"/>
          <w:spacing w:val="8"/>
          <w:w w:val="121"/>
          <w:sz w:val="16"/>
          <w:szCs w:val="16"/>
        </w:rPr>
        <w:t>是</w:t>
      </w:r>
      <w:r>
        <w:rPr>
          <w:rFonts w:ascii="微软雅黑" w:hAnsi="微软雅黑" w:eastAsia="微软雅黑" w:cs="微软雅黑"/>
          <w:spacing w:val="-12"/>
          <w:sz w:val="16"/>
          <w:szCs w:val="16"/>
        </w:rPr>
        <w:t xml:space="preserve"> </w:t>
      </w:r>
      <w:r>
        <w:rPr>
          <w:rFonts w:ascii="微软雅黑" w:hAnsi="微软雅黑" w:eastAsia="微软雅黑" w:cs="微软雅黑"/>
          <w:spacing w:val="8"/>
          <w:w w:val="121"/>
          <w:sz w:val="16"/>
          <w:szCs w:val="16"/>
        </w:rPr>
        <w:t>学</w:t>
      </w:r>
      <w:r>
        <w:rPr>
          <w:rFonts w:ascii="微软雅黑" w:hAnsi="微软雅黑" w:eastAsia="微软雅黑" w:cs="微软雅黑"/>
          <w:spacing w:val="-13"/>
          <w:sz w:val="16"/>
          <w:szCs w:val="16"/>
        </w:rPr>
        <w:t xml:space="preserve"> </w:t>
      </w:r>
      <w:r>
        <w:rPr>
          <w:rFonts w:ascii="微软雅黑" w:hAnsi="微软雅黑" w:eastAsia="微软雅黑" w:cs="微软雅黑"/>
          <w:spacing w:val="8"/>
          <w:w w:val="121"/>
          <w:sz w:val="16"/>
          <w:szCs w:val="16"/>
        </w:rPr>
        <w:t>校</w:t>
      </w:r>
      <w:r>
        <w:rPr>
          <w:rFonts w:ascii="微软雅黑" w:hAnsi="微软雅黑" w:eastAsia="微软雅黑" w:cs="微软雅黑"/>
          <w:spacing w:val="-14"/>
          <w:sz w:val="16"/>
          <w:szCs w:val="16"/>
        </w:rPr>
        <w:t xml:space="preserve"> </w:t>
      </w:r>
      <w:r>
        <w:rPr>
          <w:rFonts w:ascii="微软雅黑" w:hAnsi="微软雅黑" w:eastAsia="微软雅黑" w:cs="微软雅黑"/>
          <w:spacing w:val="8"/>
          <w:w w:val="121"/>
          <w:sz w:val="16"/>
          <w:szCs w:val="16"/>
        </w:rPr>
        <w:t>切</w:t>
      </w:r>
      <w:r>
        <w:rPr>
          <w:rFonts w:ascii="微软雅黑" w:hAnsi="微软雅黑" w:eastAsia="微软雅黑" w:cs="微软雅黑"/>
          <w:spacing w:val="-12"/>
          <w:sz w:val="16"/>
          <w:szCs w:val="16"/>
        </w:rPr>
        <w:t xml:space="preserve"> </w:t>
      </w:r>
      <w:r>
        <w:rPr>
          <w:rFonts w:ascii="微软雅黑" w:hAnsi="微软雅黑" w:eastAsia="微软雅黑" w:cs="微软雅黑"/>
          <w:spacing w:val="8"/>
          <w:w w:val="121"/>
          <w:sz w:val="16"/>
          <w:szCs w:val="16"/>
        </w:rPr>
        <w:t>实</w:t>
      </w:r>
      <w:r>
        <w:rPr>
          <w:rFonts w:ascii="微软雅黑" w:hAnsi="微软雅黑" w:eastAsia="微软雅黑" w:cs="微软雅黑"/>
          <w:spacing w:val="-14"/>
          <w:sz w:val="16"/>
          <w:szCs w:val="16"/>
        </w:rPr>
        <w:t xml:space="preserve"> </w:t>
      </w:r>
      <w:r>
        <w:rPr>
          <w:rFonts w:ascii="微软雅黑" w:hAnsi="微软雅黑" w:eastAsia="微软雅黑" w:cs="微软雅黑"/>
          <w:spacing w:val="8"/>
          <w:w w:val="121"/>
          <w:sz w:val="16"/>
          <w:szCs w:val="16"/>
        </w:rPr>
        <w:t>制</w:t>
      </w:r>
      <w:r>
        <w:rPr>
          <w:rFonts w:ascii="微软雅黑" w:hAnsi="微软雅黑" w:eastAsia="微软雅黑" w:cs="微软雅黑"/>
          <w:spacing w:val="-15"/>
          <w:sz w:val="16"/>
          <w:szCs w:val="16"/>
        </w:rPr>
        <w:t xml:space="preserve"> </w:t>
      </w:r>
      <w:r>
        <w:rPr>
          <w:rFonts w:ascii="微软雅黑" w:hAnsi="微软雅黑" w:eastAsia="微软雅黑" w:cs="微软雅黑"/>
          <w:spacing w:val="8"/>
          <w:w w:val="121"/>
          <w:sz w:val="16"/>
          <w:szCs w:val="16"/>
        </w:rPr>
        <w:t>定</w:t>
      </w:r>
      <w:r>
        <w:rPr>
          <w:rFonts w:ascii="微软雅黑" w:hAnsi="微软雅黑" w:eastAsia="微软雅黑" w:cs="微软雅黑"/>
          <w:spacing w:val="-16"/>
          <w:sz w:val="16"/>
          <w:szCs w:val="16"/>
        </w:rPr>
        <w:t xml:space="preserve"> </w:t>
      </w:r>
      <w:r>
        <w:rPr>
          <w:rFonts w:ascii="微软雅黑" w:hAnsi="微软雅黑" w:eastAsia="微软雅黑" w:cs="微软雅黑"/>
          <w:spacing w:val="8"/>
          <w:w w:val="121"/>
          <w:sz w:val="16"/>
          <w:szCs w:val="16"/>
        </w:rPr>
        <w:t>并</w:t>
      </w:r>
      <w:r>
        <w:rPr>
          <w:rFonts w:ascii="微软雅黑" w:hAnsi="微软雅黑" w:eastAsia="微软雅黑" w:cs="微软雅黑"/>
          <w:spacing w:val="-13"/>
          <w:sz w:val="16"/>
          <w:szCs w:val="16"/>
        </w:rPr>
        <w:t xml:space="preserve"> </w:t>
      </w:r>
      <w:r>
        <w:rPr>
          <w:rFonts w:ascii="微软雅黑" w:hAnsi="微软雅黑" w:eastAsia="微软雅黑" w:cs="微软雅黑"/>
          <w:spacing w:val="8"/>
          <w:w w:val="121"/>
          <w:sz w:val="16"/>
          <w:szCs w:val="16"/>
        </w:rPr>
        <w:t>执</w:t>
      </w:r>
      <w:r>
        <w:rPr>
          <w:rFonts w:ascii="微软雅黑" w:hAnsi="微软雅黑" w:eastAsia="微软雅黑" w:cs="微软雅黑"/>
          <w:sz w:val="16"/>
          <w:szCs w:val="16"/>
        </w:rPr>
        <w:t xml:space="preserve"> </w:t>
      </w:r>
      <w:r>
        <w:rPr>
          <w:rFonts w:ascii="微软雅黑" w:hAnsi="微软雅黑" w:eastAsia="微软雅黑" w:cs="微软雅黑"/>
          <w:spacing w:val="13"/>
          <w:sz w:val="16"/>
          <w:szCs w:val="16"/>
        </w:rPr>
        <w:t>行的第</w:t>
      </w:r>
      <w:r>
        <w:rPr>
          <w:rFonts w:ascii="微软雅黑" w:hAnsi="微软雅黑" w:eastAsia="微软雅黑" w:cs="微软雅黑"/>
          <w:spacing w:val="-13"/>
          <w:sz w:val="16"/>
          <w:szCs w:val="16"/>
        </w:rPr>
        <w:t xml:space="preserve"> </w:t>
      </w:r>
      <w:r>
        <w:rPr>
          <w:rFonts w:ascii="微软雅黑" w:hAnsi="微软雅黑" w:eastAsia="微软雅黑" w:cs="微软雅黑"/>
          <w:spacing w:val="13"/>
          <w:sz w:val="16"/>
          <w:szCs w:val="16"/>
        </w:rPr>
        <w:t>一</w:t>
      </w:r>
      <w:r>
        <w:rPr>
          <w:rFonts w:ascii="微软雅黑" w:hAnsi="微软雅黑" w:eastAsia="微软雅黑" w:cs="微软雅黑"/>
          <w:spacing w:val="-24"/>
          <w:sz w:val="16"/>
          <w:szCs w:val="16"/>
        </w:rPr>
        <w:t xml:space="preserve"> </w:t>
      </w:r>
      <w:r>
        <w:rPr>
          <w:rFonts w:ascii="微软雅黑" w:hAnsi="微软雅黑" w:eastAsia="微软雅黑" w:cs="微软雅黑"/>
          <w:spacing w:val="13"/>
          <w:sz w:val="16"/>
          <w:szCs w:val="16"/>
        </w:rPr>
        <w:t>个</w:t>
      </w:r>
      <w:r>
        <w:rPr>
          <w:rFonts w:ascii="微软雅黑" w:hAnsi="微软雅黑" w:eastAsia="微软雅黑" w:cs="微软雅黑"/>
          <w:spacing w:val="-12"/>
          <w:sz w:val="16"/>
          <w:szCs w:val="16"/>
        </w:rPr>
        <w:t xml:space="preserve"> </w:t>
      </w:r>
      <w:r>
        <w:rPr>
          <w:rFonts w:ascii="微软雅黑" w:hAnsi="微软雅黑" w:eastAsia="微软雅黑" w:cs="微软雅黑"/>
          <w:spacing w:val="13"/>
          <w:sz w:val="16"/>
          <w:szCs w:val="16"/>
        </w:rPr>
        <w:t>十</w:t>
      </w:r>
      <w:r>
        <w:rPr>
          <w:rFonts w:ascii="微软雅黑" w:hAnsi="微软雅黑" w:eastAsia="微软雅黑" w:cs="微软雅黑"/>
          <w:spacing w:val="-15"/>
          <w:sz w:val="16"/>
          <w:szCs w:val="16"/>
        </w:rPr>
        <w:t xml:space="preserve"> </w:t>
      </w:r>
      <w:r>
        <w:rPr>
          <w:rFonts w:ascii="微软雅黑" w:hAnsi="微软雅黑" w:eastAsia="微软雅黑" w:cs="微软雅黑"/>
          <w:spacing w:val="13"/>
          <w:sz w:val="16"/>
          <w:szCs w:val="16"/>
        </w:rPr>
        <w:t>年</w:t>
      </w:r>
      <w:r>
        <w:rPr>
          <w:rFonts w:ascii="微软雅黑" w:hAnsi="微软雅黑" w:eastAsia="微软雅黑" w:cs="微软雅黑"/>
          <w:spacing w:val="-18"/>
          <w:sz w:val="16"/>
          <w:szCs w:val="16"/>
        </w:rPr>
        <w:t xml:space="preserve"> </w:t>
      </w:r>
      <w:r>
        <w:rPr>
          <w:rFonts w:ascii="微软雅黑" w:hAnsi="微软雅黑" w:eastAsia="微软雅黑" w:cs="微软雅黑"/>
          <w:spacing w:val="13"/>
          <w:sz w:val="16"/>
          <w:szCs w:val="16"/>
        </w:rPr>
        <w:t>规</w:t>
      </w:r>
      <w:r>
        <w:rPr>
          <w:rFonts w:ascii="微软雅黑" w:hAnsi="微软雅黑" w:eastAsia="微软雅黑" w:cs="微软雅黑"/>
          <w:spacing w:val="-18"/>
          <w:sz w:val="16"/>
          <w:szCs w:val="16"/>
        </w:rPr>
        <w:t xml:space="preserve"> </w:t>
      </w:r>
      <w:r>
        <w:rPr>
          <w:rFonts w:ascii="微软雅黑" w:hAnsi="微软雅黑" w:eastAsia="微软雅黑" w:cs="微软雅黑"/>
          <w:spacing w:val="13"/>
          <w:sz w:val="16"/>
          <w:szCs w:val="16"/>
        </w:rPr>
        <w:t>划</w:t>
      </w:r>
      <w:r>
        <w:rPr>
          <w:rFonts w:ascii="微软雅黑" w:hAnsi="微软雅黑" w:eastAsia="微软雅黑" w:cs="微软雅黑"/>
          <w:spacing w:val="-24"/>
          <w:sz w:val="16"/>
          <w:szCs w:val="16"/>
        </w:rPr>
        <w:t xml:space="preserve"> </w:t>
      </w:r>
      <w:r>
        <w:rPr>
          <w:rFonts w:ascii="微软雅黑" w:hAnsi="微软雅黑" w:eastAsia="微软雅黑" w:cs="微软雅黑"/>
          <w:spacing w:val="13"/>
          <w:sz w:val="16"/>
          <w:szCs w:val="16"/>
        </w:rPr>
        <w:t>，也</w:t>
      </w:r>
      <w:r>
        <w:rPr>
          <w:rFonts w:ascii="微软雅黑" w:hAnsi="微软雅黑" w:eastAsia="微软雅黑" w:cs="微软雅黑"/>
          <w:spacing w:val="-19"/>
          <w:sz w:val="16"/>
          <w:szCs w:val="16"/>
        </w:rPr>
        <w:t xml:space="preserve"> </w:t>
      </w:r>
      <w:r>
        <w:rPr>
          <w:rFonts w:ascii="微软雅黑" w:hAnsi="微软雅黑" w:eastAsia="微软雅黑" w:cs="微软雅黑"/>
          <w:spacing w:val="13"/>
          <w:sz w:val="16"/>
          <w:szCs w:val="16"/>
        </w:rPr>
        <w:t>称</w:t>
      </w:r>
      <w:r>
        <w:rPr>
          <w:rFonts w:ascii="微软雅黑" w:hAnsi="微软雅黑" w:eastAsia="微软雅黑" w:cs="微软雅黑"/>
          <w:spacing w:val="-13"/>
          <w:sz w:val="16"/>
          <w:szCs w:val="16"/>
        </w:rPr>
        <w:t xml:space="preserve"> </w:t>
      </w:r>
      <w:r>
        <w:rPr>
          <w:rFonts w:ascii="微软雅黑" w:hAnsi="微软雅黑" w:eastAsia="微软雅黑" w:cs="微软雅黑"/>
          <w:spacing w:val="13"/>
          <w:sz w:val="16"/>
          <w:szCs w:val="16"/>
        </w:rPr>
        <w:t>为</w:t>
      </w:r>
      <w:r>
        <w:rPr>
          <w:rFonts w:ascii="微软雅黑" w:hAnsi="微软雅黑" w:eastAsia="微软雅黑" w:cs="微软雅黑"/>
          <w:spacing w:val="-13"/>
          <w:sz w:val="16"/>
          <w:szCs w:val="16"/>
        </w:rPr>
        <w:t xml:space="preserve"> </w:t>
      </w:r>
      <w:r>
        <w:rPr>
          <w:rFonts w:ascii="微软雅黑" w:hAnsi="微软雅黑" w:eastAsia="微软雅黑" w:cs="微软雅黑"/>
          <w:spacing w:val="13"/>
          <w:sz w:val="16"/>
          <w:szCs w:val="16"/>
        </w:rPr>
        <w:t>“四 四</w:t>
      </w:r>
      <w:r>
        <w:rPr>
          <w:rFonts w:ascii="微软雅黑" w:hAnsi="微软雅黑" w:eastAsia="微软雅黑" w:cs="微软雅黑"/>
          <w:spacing w:val="-17"/>
          <w:sz w:val="16"/>
          <w:szCs w:val="16"/>
        </w:rPr>
        <w:t xml:space="preserve"> </w:t>
      </w:r>
      <w:r>
        <w:rPr>
          <w:rFonts w:ascii="微软雅黑" w:hAnsi="微软雅黑" w:eastAsia="微软雅黑" w:cs="微软雅黑"/>
          <w:spacing w:val="13"/>
          <w:sz w:val="16"/>
          <w:szCs w:val="16"/>
        </w:rPr>
        <w:t>二</w:t>
      </w:r>
      <w:r>
        <w:rPr>
          <w:rFonts w:ascii="微软雅黑" w:hAnsi="微软雅黑" w:eastAsia="微软雅黑" w:cs="微软雅黑"/>
          <w:spacing w:val="-21"/>
          <w:sz w:val="16"/>
          <w:szCs w:val="16"/>
        </w:rPr>
        <w:t xml:space="preserve"> </w:t>
      </w:r>
      <w:r>
        <w:rPr>
          <w:rFonts w:ascii="微软雅黑" w:hAnsi="微软雅黑" w:eastAsia="微软雅黑" w:cs="微软雅黑"/>
          <w:spacing w:val="13"/>
          <w:sz w:val="16"/>
          <w:szCs w:val="16"/>
        </w:rPr>
        <w:t>”战</w:t>
      </w:r>
      <w:r>
        <w:rPr>
          <w:rFonts w:ascii="微软雅黑" w:hAnsi="微软雅黑" w:eastAsia="微软雅黑" w:cs="微软雅黑"/>
          <w:spacing w:val="-9"/>
          <w:sz w:val="16"/>
          <w:szCs w:val="16"/>
        </w:rPr>
        <w:t xml:space="preserve"> </w:t>
      </w:r>
      <w:r>
        <w:rPr>
          <w:rFonts w:ascii="微软雅黑" w:hAnsi="微软雅黑" w:eastAsia="微软雅黑" w:cs="微软雅黑"/>
          <w:spacing w:val="13"/>
          <w:sz w:val="16"/>
          <w:szCs w:val="16"/>
        </w:rPr>
        <w:t>略  。 “四</w:t>
      </w:r>
      <w:r>
        <w:rPr>
          <w:rFonts w:ascii="微软雅黑" w:hAnsi="微软雅黑" w:eastAsia="微软雅黑" w:cs="微软雅黑"/>
          <w:sz w:val="16"/>
          <w:szCs w:val="16"/>
        </w:rPr>
        <w:t xml:space="preserve"> </w:t>
      </w:r>
      <w:r>
        <w:rPr>
          <w:rFonts w:ascii="微软雅黑" w:hAnsi="微软雅黑" w:eastAsia="微软雅黑" w:cs="微软雅黑"/>
          <w:spacing w:val="13"/>
          <w:w w:val="118"/>
          <w:sz w:val="16"/>
          <w:szCs w:val="16"/>
        </w:rPr>
        <w:t>四二</w:t>
      </w:r>
      <w:r>
        <w:rPr>
          <w:rFonts w:ascii="微软雅黑" w:hAnsi="微软雅黑" w:eastAsia="微软雅黑" w:cs="微软雅黑"/>
          <w:spacing w:val="-27"/>
          <w:sz w:val="16"/>
          <w:szCs w:val="16"/>
        </w:rPr>
        <w:t xml:space="preserve"> </w:t>
      </w:r>
      <w:r>
        <w:rPr>
          <w:rFonts w:ascii="微软雅黑" w:hAnsi="微软雅黑" w:eastAsia="微软雅黑" w:cs="微软雅黑"/>
          <w:spacing w:val="13"/>
          <w:w w:val="118"/>
          <w:sz w:val="16"/>
          <w:szCs w:val="16"/>
        </w:rPr>
        <w:t>”战略总目标是</w:t>
      </w:r>
      <w:r>
        <w:rPr>
          <w:rFonts w:ascii="微软雅黑" w:hAnsi="微软雅黑" w:eastAsia="微软雅黑" w:cs="微软雅黑"/>
          <w:spacing w:val="31"/>
          <w:sz w:val="16"/>
          <w:szCs w:val="16"/>
        </w:rPr>
        <w:t xml:space="preserve"> </w:t>
      </w:r>
      <w:r>
        <w:rPr>
          <w:rFonts w:ascii="Arial" w:hAnsi="Arial" w:eastAsia="Arial" w:cs="Arial"/>
          <w:spacing w:val="13"/>
          <w:w w:val="118"/>
          <w:sz w:val="16"/>
          <w:szCs w:val="16"/>
        </w:rPr>
        <w:t>10</w:t>
      </w:r>
      <w:r>
        <w:rPr>
          <w:rFonts w:ascii="微软雅黑" w:hAnsi="微软雅黑" w:eastAsia="微软雅黑" w:cs="微软雅黑"/>
          <w:spacing w:val="13"/>
          <w:w w:val="118"/>
          <w:sz w:val="16"/>
          <w:szCs w:val="16"/>
        </w:rPr>
        <w:t>年时间成为中国</w:t>
      </w:r>
      <w:r>
        <w:rPr>
          <w:rFonts w:ascii="微软雅黑" w:hAnsi="微软雅黑" w:eastAsia="微软雅黑" w:cs="微软雅黑"/>
          <w:spacing w:val="-24"/>
          <w:sz w:val="16"/>
          <w:szCs w:val="16"/>
        </w:rPr>
        <w:t xml:space="preserve"> </w:t>
      </w:r>
      <w:r>
        <w:rPr>
          <w:rFonts w:ascii="微软雅黑" w:hAnsi="微软雅黑" w:eastAsia="微软雅黑" w:cs="微软雅黑"/>
          <w:spacing w:val="13"/>
          <w:w w:val="118"/>
          <w:sz w:val="16"/>
          <w:szCs w:val="16"/>
        </w:rPr>
        <w:t>一</w:t>
      </w:r>
      <w:r>
        <w:rPr>
          <w:rFonts w:ascii="微软雅黑" w:hAnsi="微软雅黑" w:eastAsia="微软雅黑" w:cs="微软雅黑"/>
          <w:spacing w:val="-19"/>
          <w:sz w:val="16"/>
          <w:szCs w:val="16"/>
        </w:rPr>
        <w:t xml:space="preserve"> </w:t>
      </w:r>
      <w:r>
        <w:rPr>
          <w:rFonts w:ascii="微软雅黑" w:hAnsi="微软雅黑" w:eastAsia="微软雅黑" w:cs="微软雅黑"/>
          <w:spacing w:val="12"/>
          <w:w w:val="118"/>
          <w:sz w:val="16"/>
          <w:szCs w:val="16"/>
        </w:rPr>
        <w:t>流的应用</w:t>
      </w:r>
      <w:r>
        <w:rPr>
          <w:rFonts w:ascii="微软雅黑" w:hAnsi="微软雅黑" w:eastAsia="微软雅黑" w:cs="微软雅黑"/>
          <w:sz w:val="16"/>
          <w:szCs w:val="16"/>
        </w:rPr>
        <w:t xml:space="preserve"> </w:t>
      </w:r>
      <w:r>
        <w:rPr>
          <w:rFonts w:ascii="微软雅黑" w:hAnsi="微软雅黑" w:eastAsia="微软雅黑" w:cs="微软雅黑"/>
          <w:spacing w:val="28"/>
          <w:sz w:val="16"/>
          <w:szCs w:val="16"/>
        </w:rPr>
        <w:t>型本科院校</w:t>
      </w:r>
      <w:r>
        <w:rPr>
          <w:rFonts w:ascii="微软雅黑" w:hAnsi="微软雅黑" w:eastAsia="微软雅黑" w:cs="微软雅黑"/>
          <w:spacing w:val="-24"/>
          <w:sz w:val="16"/>
          <w:szCs w:val="16"/>
        </w:rPr>
        <w:t xml:space="preserve"> </w:t>
      </w:r>
      <w:r>
        <w:rPr>
          <w:rFonts w:ascii="微软雅黑" w:hAnsi="微软雅黑" w:eastAsia="微软雅黑" w:cs="微软雅黑"/>
          <w:spacing w:val="28"/>
          <w:sz w:val="16"/>
          <w:szCs w:val="16"/>
        </w:rPr>
        <w:t>，分为三</w:t>
      </w:r>
      <w:r>
        <w:rPr>
          <w:rFonts w:ascii="微软雅黑" w:hAnsi="微软雅黑" w:eastAsia="微软雅黑" w:cs="微软雅黑"/>
          <w:spacing w:val="-20"/>
          <w:sz w:val="16"/>
          <w:szCs w:val="16"/>
        </w:rPr>
        <w:t xml:space="preserve"> </w:t>
      </w:r>
      <w:r>
        <w:rPr>
          <w:rFonts w:ascii="微软雅黑" w:hAnsi="微软雅黑" w:eastAsia="微软雅黑" w:cs="微软雅黑"/>
          <w:spacing w:val="28"/>
          <w:sz w:val="16"/>
          <w:szCs w:val="16"/>
        </w:rPr>
        <w:t>个</w:t>
      </w:r>
      <w:r>
        <w:rPr>
          <w:rFonts w:ascii="微软雅黑" w:hAnsi="微软雅黑" w:eastAsia="微软雅黑" w:cs="微软雅黑"/>
          <w:spacing w:val="-4"/>
          <w:sz w:val="16"/>
          <w:szCs w:val="16"/>
        </w:rPr>
        <w:t xml:space="preserve"> </w:t>
      </w:r>
      <w:r>
        <w:rPr>
          <w:rFonts w:ascii="微软雅黑" w:hAnsi="微软雅黑" w:eastAsia="微软雅黑" w:cs="微软雅黑"/>
          <w:spacing w:val="28"/>
          <w:sz w:val="16"/>
          <w:szCs w:val="16"/>
        </w:rPr>
        <w:t>阶</w:t>
      </w:r>
      <w:r>
        <w:rPr>
          <w:rFonts w:ascii="微软雅黑" w:hAnsi="微软雅黑" w:eastAsia="微软雅黑" w:cs="微软雅黑"/>
          <w:spacing w:val="-19"/>
          <w:sz w:val="16"/>
          <w:szCs w:val="16"/>
        </w:rPr>
        <w:t xml:space="preserve"> </w:t>
      </w:r>
      <w:r>
        <w:rPr>
          <w:rFonts w:ascii="微软雅黑" w:hAnsi="微软雅黑" w:eastAsia="微软雅黑" w:cs="微软雅黑"/>
          <w:spacing w:val="28"/>
          <w:sz w:val="16"/>
          <w:szCs w:val="16"/>
        </w:rPr>
        <w:t>段 目</w:t>
      </w:r>
      <w:r>
        <w:rPr>
          <w:rFonts w:ascii="微软雅黑" w:hAnsi="微软雅黑" w:eastAsia="微软雅黑" w:cs="微软雅黑"/>
          <w:spacing w:val="-19"/>
          <w:sz w:val="16"/>
          <w:szCs w:val="16"/>
        </w:rPr>
        <w:t xml:space="preserve"> </w:t>
      </w:r>
      <w:r>
        <w:rPr>
          <w:rFonts w:ascii="微软雅黑" w:hAnsi="微软雅黑" w:eastAsia="微软雅黑" w:cs="微软雅黑"/>
          <w:spacing w:val="28"/>
          <w:sz w:val="16"/>
          <w:szCs w:val="16"/>
        </w:rPr>
        <w:t>标：第</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一</w:t>
      </w:r>
      <w:r>
        <w:rPr>
          <w:rFonts w:ascii="微软雅黑" w:hAnsi="微软雅黑" w:eastAsia="微软雅黑" w:cs="微软雅黑"/>
          <w:spacing w:val="-4"/>
          <w:sz w:val="16"/>
          <w:szCs w:val="16"/>
        </w:rPr>
        <w:t xml:space="preserve"> </w:t>
      </w:r>
      <w:r>
        <w:rPr>
          <w:rFonts w:ascii="微软雅黑" w:hAnsi="微软雅黑" w:eastAsia="微软雅黑" w:cs="微软雅黑"/>
          <w:spacing w:val="28"/>
          <w:sz w:val="16"/>
          <w:szCs w:val="16"/>
        </w:rPr>
        <w:t>阶</w:t>
      </w:r>
      <w:r>
        <w:rPr>
          <w:rFonts w:ascii="微软雅黑" w:hAnsi="微软雅黑" w:eastAsia="微软雅黑" w:cs="微软雅黑"/>
          <w:spacing w:val="-19"/>
          <w:sz w:val="16"/>
          <w:szCs w:val="16"/>
        </w:rPr>
        <w:t xml:space="preserve"> </w:t>
      </w:r>
      <w:r>
        <w:rPr>
          <w:rFonts w:ascii="微软雅黑" w:hAnsi="微软雅黑" w:eastAsia="微软雅黑" w:cs="微软雅黑"/>
          <w:spacing w:val="28"/>
          <w:sz w:val="16"/>
          <w:szCs w:val="16"/>
        </w:rPr>
        <w:t>段(</w:t>
      </w:r>
      <w:r>
        <w:rPr>
          <w:rFonts w:ascii="Arial" w:hAnsi="Arial" w:eastAsia="Arial" w:cs="Arial"/>
          <w:spacing w:val="28"/>
          <w:sz w:val="16"/>
          <w:szCs w:val="16"/>
        </w:rPr>
        <w:t>2</w:t>
      </w:r>
      <w:r>
        <w:rPr>
          <w:rFonts w:ascii="Arial" w:hAnsi="Arial" w:eastAsia="Arial" w:cs="Arial"/>
          <w:spacing w:val="27"/>
          <w:sz w:val="16"/>
          <w:szCs w:val="16"/>
        </w:rPr>
        <w:t xml:space="preserve">009 </w:t>
      </w:r>
      <w:r>
        <w:rPr>
          <w:rFonts w:ascii="Arial" w:hAnsi="Arial" w:eastAsia="Arial" w:cs="Arial"/>
          <w:spacing w:val="27"/>
          <w:position w:val="-2"/>
          <w:sz w:val="16"/>
          <w:szCs w:val="16"/>
        </w:rPr>
        <w:t>-</w:t>
      </w:r>
      <w:r>
        <w:rPr>
          <w:rFonts w:ascii="Arial" w:hAnsi="Arial" w:eastAsia="Arial" w:cs="Arial"/>
          <w:position w:val="-2"/>
          <w:sz w:val="16"/>
          <w:szCs w:val="16"/>
        </w:rPr>
        <w:t xml:space="preserve">  </w:t>
      </w:r>
      <w:r>
        <w:rPr>
          <w:rFonts w:ascii="Arial" w:hAnsi="Arial" w:eastAsia="Arial" w:cs="Arial"/>
          <w:spacing w:val="26"/>
          <w:sz w:val="16"/>
          <w:szCs w:val="16"/>
        </w:rPr>
        <w:t>2012</w:t>
      </w:r>
      <w:r>
        <w:rPr>
          <w:rFonts w:ascii="微软雅黑" w:hAnsi="微软雅黑" w:eastAsia="微软雅黑" w:cs="微软雅黑"/>
          <w:spacing w:val="26"/>
          <w:sz w:val="16"/>
          <w:szCs w:val="16"/>
        </w:rPr>
        <w:t>年）经</w:t>
      </w:r>
      <w:r>
        <w:rPr>
          <w:rFonts w:ascii="微软雅黑" w:hAnsi="微软雅黑" w:eastAsia="微软雅黑" w:cs="微软雅黑"/>
          <w:spacing w:val="-11"/>
          <w:sz w:val="16"/>
          <w:szCs w:val="16"/>
        </w:rPr>
        <w:t xml:space="preserve"> </w:t>
      </w:r>
      <w:r>
        <w:rPr>
          <w:rFonts w:ascii="微软雅黑" w:hAnsi="微软雅黑" w:eastAsia="微软雅黑" w:cs="微软雅黑"/>
          <w:spacing w:val="26"/>
          <w:sz w:val="16"/>
          <w:szCs w:val="16"/>
        </w:rPr>
        <w:t>过</w:t>
      </w:r>
      <w:r>
        <w:rPr>
          <w:rFonts w:ascii="微软雅黑" w:hAnsi="微软雅黑" w:eastAsia="微软雅黑" w:cs="微软雅黑"/>
          <w:spacing w:val="39"/>
          <w:sz w:val="16"/>
          <w:szCs w:val="16"/>
        </w:rPr>
        <w:t xml:space="preserve"> </w:t>
      </w:r>
      <w:r>
        <w:rPr>
          <w:rFonts w:ascii="Arial" w:hAnsi="Arial" w:eastAsia="Arial" w:cs="Arial"/>
          <w:spacing w:val="26"/>
          <w:sz w:val="16"/>
          <w:szCs w:val="16"/>
        </w:rPr>
        <w:t>4</w:t>
      </w:r>
      <w:r>
        <w:rPr>
          <w:rFonts w:ascii="微软雅黑" w:hAnsi="微软雅黑" w:eastAsia="微软雅黑" w:cs="微软雅黑"/>
          <w:spacing w:val="26"/>
          <w:sz w:val="16"/>
          <w:szCs w:val="16"/>
        </w:rPr>
        <w:t>年</w:t>
      </w:r>
      <w:r>
        <w:rPr>
          <w:rFonts w:ascii="微软雅黑" w:hAnsi="微软雅黑" w:eastAsia="微软雅黑" w:cs="微软雅黑"/>
          <w:spacing w:val="-18"/>
          <w:sz w:val="16"/>
          <w:szCs w:val="16"/>
        </w:rPr>
        <w:t xml:space="preserve"> </w:t>
      </w:r>
      <w:r>
        <w:rPr>
          <w:rFonts w:ascii="微软雅黑" w:hAnsi="微软雅黑" w:eastAsia="微软雅黑" w:cs="微软雅黑"/>
          <w:spacing w:val="26"/>
          <w:sz w:val="16"/>
          <w:szCs w:val="16"/>
        </w:rPr>
        <w:t>努</w:t>
      </w:r>
      <w:r>
        <w:rPr>
          <w:rFonts w:ascii="微软雅黑" w:hAnsi="微软雅黑" w:eastAsia="微软雅黑" w:cs="微软雅黑"/>
          <w:spacing w:val="-18"/>
          <w:sz w:val="16"/>
          <w:szCs w:val="16"/>
        </w:rPr>
        <w:t xml:space="preserve"> </w:t>
      </w:r>
      <w:r>
        <w:rPr>
          <w:rFonts w:ascii="微软雅黑" w:hAnsi="微软雅黑" w:eastAsia="微软雅黑" w:cs="微软雅黑"/>
          <w:spacing w:val="26"/>
          <w:sz w:val="16"/>
          <w:szCs w:val="16"/>
        </w:rPr>
        <w:t>力</w:t>
      </w:r>
      <w:r>
        <w:rPr>
          <w:rFonts w:ascii="微软雅黑" w:hAnsi="微软雅黑" w:eastAsia="微软雅黑" w:cs="微软雅黑"/>
          <w:spacing w:val="-24"/>
          <w:sz w:val="16"/>
          <w:szCs w:val="16"/>
        </w:rPr>
        <w:t xml:space="preserve"> </w:t>
      </w:r>
      <w:r>
        <w:rPr>
          <w:rFonts w:ascii="微软雅黑" w:hAnsi="微软雅黑" w:eastAsia="微软雅黑" w:cs="微软雅黑"/>
          <w:spacing w:val="26"/>
          <w:sz w:val="16"/>
          <w:szCs w:val="16"/>
        </w:rPr>
        <w:t>，部</w:t>
      </w:r>
      <w:r>
        <w:rPr>
          <w:rFonts w:ascii="微软雅黑" w:hAnsi="微软雅黑" w:eastAsia="微软雅黑" w:cs="微软雅黑"/>
          <w:spacing w:val="-17"/>
          <w:sz w:val="16"/>
          <w:szCs w:val="16"/>
        </w:rPr>
        <w:t xml:space="preserve"> </w:t>
      </w:r>
      <w:r>
        <w:rPr>
          <w:rFonts w:ascii="微软雅黑" w:hAnsi="微软雅黑" w:eastAsia="微软雅黑" w:cs="微软雅黑"/>
          <w:spacing w:val="26"/>
          <w:sz w:val="16"/>
          <w:szCs w:val="16"/>
        </w:rPr>
        <w:t>分</w:t>
      </w:r>
      <w:r>
        <w:rPr>
          <w:rFonts w:ascii="微软雅黑" w:hAnsi="微软雅黑" w:eastAsia="微软雅黑" w:cs="微软雅黑"/>
          <w:spacing w:val="-17"/>
          <w:sz w:val="16"/>
          <w:szCs w:val="16"/>
        </w:rPr>
        <w:t xml:space="preserve"> </w:t>
      </w:r>
      <w:r>
        <w:rPr>
          <w:rFonts w:ascii="微软雅黑" w:hAnsi="微软雅黑" w:eastAsia="微软雅黑" w:cs="微软雅黑"/>
          <w:spacing w:val="26"/>
          <w:sz w:val="16"/>
          <w:szCs w:val="16"/>
        </w:rPr>
        <w:t>重</w:t>
      </w:r>
      <w:r>
        <w:rPr>
          <w:rFonts w:ascii="微软雅黑" w:hAnsi="微软雅黑" w:eastAsia="微软雅黑" w:cs="微软雅黑"/>
          <w:spacing w:val="-17"/>
          <w:sz w:val="16"/>
          <w:szCs w:val="16"/>
        </w:rPr>
        <w:t xml:space="preserve"> </w:t>
      </w:r>
      <w:r>
        <w:rPr>
          <w:rFonts w:ascii="微软雅黑" w:hAnsi="微软雅黑" w:eastAsia="微软雅黑" w:cs="微软雅黑"/>
          <w:spacing w:val="26"/>
          <w:sz w:val="16"/>
          <w:szCs w:val="16"/>
        </w:rPr>
        <w:t>点</w:t>
      </w:r>
      <w:r>
        <w:rPr>
          <w:rFonts w:ascii="微软雅黑" w:hAnsi="微软雅黑" w:eastAsia="微软雅黑" w:cs="微软雅黑"/>
          <w:spacing w:val="-16"/>
          <w:sz w:val="16"/>
          <w:szCs w:val="16"/>
        </w:rPr>
        <w:t xml:space="preserve"> </w:t>
      </w:r>
      <w:r>
        <w:rPr>
          <w:rFonts w:ascii="微软雅黑" w:hAnsi="微软雅黑" w:eastAsia="微软雅黑" w:cs="微软雅黑"/>
          <w:spacing w:val="26"/>
          <w:sz w:val="16"/>
          <w:szCs w:val="16"/>
        </w:rPr>
        <w:t>学</w:t>
      </w:r>
      <w:r>
        <w:rPr>
          <w:rFonts w:ascii="微软雅黑" w:hAnsi="微软雅黑" w:eastAsia="微软雅黑" w:cs="微软雅黑"/>
          <w:spacing w:val="-21"/>
          <w:sz w:val="16"/>
          <w:szCs w:val="16"/>
        </w:rPr>
        <w:t xml:space="preserve"> </w:t>
      </w:r>
      <w:r>
        <w:rPr>
          <w:rFonts w:ascii="微软雅黑" w:hAnsi="微软雅黑" w:eastAsia="微软雅黑" w:cs="微软雅黑"/>
          <w:spacing w:val="26"/>
          <w:sz w:val="16"/>
          <w:szCs w:val="16"/>
        </w:rPr>
        <w:t>科</w:t>
      </w:r>
      <w:r>
        <w:rPr>
          <w:rFonts w:ascii="微软雅黑" w:hAnsi="微软雅黑" w:eastAsia="微软雅黑" w:cs="微软雅黑"/>
          <w:spacing w:val="-16"/>
          <w:sz w:val="16"/>
          <w:szCs w:val="16"/>
        </w:rPr>
        <w:t xml:space="preserve"> </w:t>
      </w:r>
      <w:r>
        <w:rPr>
          <w:rFonts w:ascii="微软雅黑" w:hAnsi="微软雅黑" w:eastAsia="微软雅黑" w:cs="微软雅黑"/>
          <w:spacing w:val="26"/>
          <w:sz w:val="16"/>
          <w:szCs w:val="16"/>
        </w:rPr>
        <w:t>达</w:t>
      </w:r>
      <w:r>
        <w:rPr>
          <w:rFonts w:ascii="微软雅黑" w:hAnsi="微软雅黑" w:eastAsia="微软雅黑" w:cs="微软雅黑"/>
          <w:spacing w:val="-13"/>
          <w:sz w:val="16"/>
          <w:szCs w:val="16"/>
        </w:rPr>
        <w:t xml:space="preserve"> </w:t>
      </w:r>
      <w:r>
        <w:rPr>
          <w:rFonts w:ascii="微软雅黑" w:hAnsi="微软雅黑" w:eastAsia="微软雅黑" w:cs="微软雅黑"/>
          <w:spacing w:val="26"/>
          <w:sz w:val="16"/>
          <w:szCs w:val="16"/>
        </w:rPr>
        <w:t>到</w:t>
      </w:r>
      <w:r>
        <w:rPr>
          <w:rFonts w:ascii="微软雅黑" w:hAnsi="微软雅黑" w:eastAsia="微软雅黑" w:cs="微软雅黑"/>
          <w:spacing w:val="-16"/>
          <w:sz w:val="16"/>
          <w:szCs w:val="16"/>
        </w:rPr>
        <w:t xml:space="preserve"> </w:t>
      </w:r>
      <w:r>
        <w:rPr>
          <w:rFonts w:ascii="微软雅黑" w:hAnsi="微软雅黑" w:eastAsia="微软雅黑" w:cs="微软雅黑"/>
          <w:spacing w:val="26"/>
          <w:sz w:val="16"/>
          <w:szCs w:val="16"/>
        </w:rPr>
        <w:t>西</w:t>
      </w:r>
      <w:r>
        <w:rPr>
          <w:rFonts w:ascii="微软雅黑" w:hAnsi="微软雅黑" w:eastAsia="微软雅黑" w:cs="微软雅黑"/>
          <w:spacing w:val="-18"/>
          <w:sz w:val="16"/>
          <w:szCs w:val="16"/>
        </w:rPr>
        <w:t xml:space="preserve"> </w:t>
      </w:r>
      <w:r>
        <w:rPr>
          <w:rFonts w:ascii="微软雅黑" w:hAnsi="微软雅黑" w:eastAsia="微软雅黑" w:cs="微软雅黑"/>
          <w:spacing w:val="26"/>
          <w:sz w:val="16"/>
          <w:szCs w:val="16"/>
        </w:rPr>
        <w:t>安</w:t>
      </w:r>
      <w:r>
        <w:rPr>
          <w:rFonts w:ascii="微软雅黑" w:hAnsi="微软雅黑" w:eastAsia="微软雅黑" w:cs="微软雅黑"/>
          <w:spacing w:val="-16"/>
          <w:sz w:val="16"/>
          <w:szCs w:val="16"/>
        </w:rPr>
        <w:t xml:space="preserve"> </w:t>
      </w:r>
      <w:r>
        <w:rPr>
          <w:rFonts w:ascii="微软雅黑" w:hAnsi="微软雅黑" w:eastAsia="微软雅黑" w:cs="微软雅黑"/>
          <w:spacing w:val="26"/>
          <w:sz w:val="16"/>
          <w:szCs w:val="16"/>
        </w:rPr>
        <w:t>地</w:t>
      </w:r>
      <w:r>
        <w:rPr>
          <w:rFonts w:ascii="微软雅黑" w:hAnsi="微软雅黑" w:eastAsia="微软雅黑" w:cs="微软雅黑"/>
          <w:sz w:val="16"/>
          <w:szCs w:val="16"/>
        </w:rPr>
        <w:t xml:space="preserve"> </w:t>
      </w:r>
      <w:r>
        <w:rPr>
          <w:rFonts w:ascii="微软雅黑" w:hAnsi="微软雅黑" w:eastAsia="微软雅黑" w:cs="微软雅黑"/>
          <w:spacing w:val="12"/>
          <w:w w:val="120"/>
          <w:sz w:val="16"/>
          <w:szCs w:val="16"/>
        </w:rPr>
        <w:t>区应用型本科院校中上教学水平</w:t>
      </w:r>
      <w:r>
        <w:rPr>
          <w:rFonts w:ascii="微软雅黑" w:hAnsi="微软雅黑" w:eastAsia="微软雅黑" w:cs="微软雅黑"/>
          <w:spacing w:val="-18"/>
          <w:sz w:val="16"/>
          <w:szCs w:val="16"/>
        </w:rPr>
        <w:t xml:space="preserve"> </w:t>
      </w:r>
      <w:r>
        <w:rPr>
          <w:rFonts w:ascii="微软雅黑" w:hAnsi="微软雅黑" w:eastAsia="微软雅黑" w:cs="微软雅黑"/>
          <w:spacing w:val="12"/>
          <w:w w:val="120"/>
          <w:sz w:val="16"/>
          <w:szCs w:val="16"/>
        </w:rPr>
        <w:t>；第二阶段(</w:t>
      </w:r>
      <w:r>
        <w:rPr>
          <w:rFonts w:ascii="Arial" w:hAnsi="Arial" w:eastAsia="Arial" w:cs="Arial"/>
          <w:spacing w:val="12"/>
          <w:w w:val="120"/>
          <w:sz w:val="16"/>
          <w:szCs w:val="16"/>
        </w:rPr>
        <w:t xml:space="preserve">2013 </w:t>
      </w:r>
      <w:r>
        <w:rPr>
          <w:rFonts w:ascii="Arial" w:hAnsi="Arial" w:eastAsia="Arial" w:cs="Arial"/>
          <w:spacing w:val="12"/>
          <w:w w:val="120"/>
          <w:position w:val="-2"/>
          <w:sz w:val="16"/>
          <w:szCs w:val="16"/>
        </w:rPr>
        <w:t>-</w:t>
      </w:r>
      <w:r>
        <w:rPr>
          <w:rFonts w:ascii="Arial" w:hAnsi="Arial" w:eastAsia="Arial" w:cs="Arial"/>
          <w:position w:val="-2"/>
          <w:sz w:val="16"/>
          <w:szCs w:val="16"/>
        </w:rPr>
        <w:t xml:space="preserve">  </w:t>
      </w:r>
      <w:r>
        <w:rPr>
          <w:rFonts w:ascii="Arial" w:hAnsi="Arial" w:eastAsia="Arial" w:cs="Arial"/>
          <w:spacing w:val="7"/>
          <w:w w:val="125"/>
          <w:sz w:val="16"/>
          <w:szCs w:val="16"/>
        </w:rPr>
        <w:t>2016</w:t>
      </w:r>
      <w:r>
        <w:rPr>
          <w:rFonts w:ascii="微软雅黑" w:hAnsi="微软雅黑" w:eastAsia="微软雅黑" w:cs="微软雅黑"/>
          <w:spacing w:val="7"/>
          <w:w w:val="125"/>
          <w:sz w:val="16"/>
          <w:szCs w:val="16"/>
        </w:rPr>
        <w:t>年）整体达到西安地区应用型本科院校先进教</w:t>
      </w:r>
      <w:r>
        <w:rPr>
          <w:rFonts w:ascii="微软雅黑" w:hAnsi="微软雅黑" w:eastAsia="微软雅黑" w:cs="微软雅黑"/>
          <w:spacing w:val="7"/>
          <w:sz w:val="16"/>
          <w:szCs w:val="16"/>
        </w:rPr>
        <w:t xml:space="preserve"> </w:t>
      </w:r>
      <w:r>
        <w:rPr>
          <w:rFonts w:ascii="微软雅黑" w:hAnsi="微软雅黑" w:eastAsia="微软雅黑" w:cs="微软雅黑"/>
          <w:spacing w:val="13"/>
          <w:w w:val="118"/>
          <w:sz w:val="16"/>
          <w:szCs w:val="16"/>
        </w:rPr>
        <w:t>学水平</w:t>
      </w:r>
      <w:r>
        <w:rPr>
          <w:rFonts w:ascii="微软雅黑" w:hAnsi="微软雅黑" w:eastAsia="微软雅黑" w:cs="微软雅黑"/>
          <w:spacing w:val="-13"/>
          <w:sz w:val="16"/>
          <w:szCs w:val="16"/>
        </w:rPr>
        <w:t xml:space="preserve"> </w:t>
      </w:r>
      <w:r>
        <w:rPr>
          <w:rFonts w:ascii="微软雅黑" w:hAnsi="微软雅黑" w:eastAsia="微软雅黑" w:cs="微软雅黑"/>
          <w:spacing w:val="13"/>
          <w:w w:val="118"/>
          <w:sz w:val="16"/>
          <w:szCs w:val="16"/>
        </w:rPr>
        <w:t>；第三阶段(</w:t>
      </w:r>
      <w:r>
        <w:rPr>
          <w:rFonts w:ascii="Arial" w:hAnsi="Arial" w:eastAsia="Arial" w:cs="Arial"/>
          <w:spacing w:val="13"/>
          <w:w w:val="118"/>
          <w:sz w:val="16"/>
          <w:szCs w:val="16"/>
        </w:rPr>
        <w:t>2017-2018</w:t>
      </w:r>
      <w:r>
        <w:rPr>
          <w:rFonts w:ascii="微软雅黑" w:hAnsi="微软雅黑" w:eastAsia="微软雅黑" w:cs="微软雅黑"/>
          <w:spacing w:val="13"/>
          <w:w w:val="118"/>
          <w:sz w:val="16"/>
          <w:szCs w:val="16"/>
        </w:rPr>
        <w:t>年）成为中国</w:t>
      </w:r>
      <w:r>
        <w:rPr>
          <w:rFonts w:ascii="微软雅黑" w:hAnsi="微软雅黑" w:eastAsia="微软雅黑" w:cs="微软雅黑"/>
          <w:spacing w:val="-20"/>
          <w:sz w:val="16"/>
          <w:szCs w:val="16"/>
        </w:rPr>
        <w:t xml:space="preserve"> </w:t>
      </w:r>
      <w:r>
        <w:rPr>
          <w:rFonts w:ascii="微软雅黑" w:hAnsi="微软雅黑" w:eastAsia="微软雅黑" w:cs="微软雅黑"/>
          <w:spacing w:val="13"/>
          <w:w w:val="118"/>
          <w:sz w:val="16"/>
          <w:szCs w:val="16"/>
        </w:rPr>
        <w:t>一</w:t>
      </w:r>
      <w:r>
        <w:rPr>
          <w:rFonts w:ascii="微软雅黑" w:hAnsi="微软雅黑" w:eastAsia="微软雅黑" w:cs="微软雅黑"/>
          <w:spacing w:val="-16"/>
          <w:sz w:val="16"/>
          <w:szCs w:val="16"/>
        </w:rPr>
        <w:t xml:space="preserve"> </w:t>
      </w:r>
      <w:r>
        <w:rPr>
          <w:rFonts w:ascii="微软雅黑" w:hAnsi="微软雅黑" w:eastAsia="微软雅黑" w:cs="微软雅黑"/>
          <w:spacing w:val="13"/>
          <w:w w:val="118"/>
          <w:sz w:val="16"/>
          <w:szCs w:val="16"/>
        </w:rPr>
        <w:t>流的</w:t>
      </w:r>
      <w:r>
        <w:rPr>
          <w:rFonts w:ascii="微软雅黑" w:hAnsi="微软雅黑" w:eastAsia="微软雅黑" w:cs="微软雅黑"/>
          <w:sz w:val="16"/>
          <w:szCs w:val="16"/>
        </w:rPr>
        <w:t xml:space="preserve"> </w:t>
      </w:r>
      <w:r>
        <w:rPr>
          <w:rFonts w:ascii="微软雅黑" w:hAnsi="微软雅黑" w:eastAsia="微软雅黑" w:cs="微软雅黑"/>
          <w:spacing w:val="26"/>
          <w:sz w:val="16"/>
          <w:szCs w:val="16"/>
        </w:rPr>
        <w:t>应用型本科院校</w:t>
      </w:r>
      <w:r>
        <w:rPr>
          <w:rFonts w:ascii="微软雅黑" w:hAnsi="微软雅黑" w:eastAsia="微软雅黑" w:cs="微软雅黑"/>
          <w:spacing w:val="-5"/>
          <w:sz w:val="16"/>
          <w:szCs w:val="16"/>
        </w:rPr>
        <w:t xml:space="preserve"> </w:t>
      </w:r>
      <w:r>
        <w:rPr>
          <w:rFonts w:ascii="微软雅黑" w:hAnsi="微软雅黑" w:eastAsia="微软雅黑" w:cs="微软雅黑"/>
          <w:spacing w:val="26"/>
          <w:sz w:val="16"/>
          <w:szCs w:val="16"/>
        </w:rPr>
        <w:t>。</w:t>
      </w:r>
      <w:r>
        <w:rPr>
          <w:rFonts w:ascii="微软雅黑" w:hAnsi="微软雅黑" w:eastAsia="微软雅黑" w:cs="微软雅黑"/>
          <w:spacing w:val="-9"/>
          <w:sz w:val="16"/>
          <w:szCs w:val="16"/>
        </w:rPr>
        <w:t xml:space="preserve"> </w:t>
      </w:r>
      <w:r>
        <w:rPr>
          <w:rFonts w:ascii="微软雅黑" w:hAnsi="微软雅黑" w:eastAsia="微软雅黑" w:cs="微软雅黑"/>
          <w:spacing w:val="26"/>
          <w:sz w:val="16"/>
          <w:szCs w:val="16"/>
        </w:rPr>
        <w:t>“四四二</w:t>
      </w:r>
      <w:r>
        <w:rPr>
          <w:rFonts w:ascii="微软雅黑" w:hAnsi="微软雅黑" w:eastAsia="微软雅黑" w:cs="微软雅黑"/>
          <w:spacing w:val="-27"/>
          <w:sz w:val="16"/>
          <w:szCs w:val="16"/>
        </w:rPr>
        <w:t xml:space="preserve"> </w:t>
      </w:r>
      <w:r>
        <w:rPr>
          <w:rFonts w:ascii="微软雅黑" w:hAnsi="微软雅黑" w:eastAsia="微软雅黑" w:cs="微软雅黑"/>
          <w:spacing w:val="26"/>
          <w:sz w:val="16"/>
          <w:szCs w:val="16"/>
        </w:rPr>
        <w:t>”战略确定了</w:t>
      </w:r>
      <w:r>
        <w:rPr>
          <w:rFonts w:ascii="微软雅黑" w:hAnsi="微软雅黑" w:eastAsia="微软雅黑" w:cs="微软雅黑"/>
          <w:spacing w:val="-20"/>
          <w:sz w:val="16"/>
          <w:szCs w:val="16"/>
        </w:rPr>
        <w:t xml:space="preserve"> </w:t>
      </w:r>
      <w:r>
        <w:rPr>
          <w:rFonts w:ascii="微软雅黑" w:hAnsi="微软雅黑" w:eastAsia="微软雅黑" w:cs="微软雅黑"/>
          <w:spacing w:val="26"/>
          <w:sz w:val="16"/>
          <w:szCs w:val="16"/>
        </w:rPr>
        <w:t>“质量</w:t>
      </w:r>
      <w:r>
        <w:rPr>
          <w:rFonts w:ascii="微软雅黑" w:hAnsi="微软雅黑" w:eastAsia="微软雅黑" w:cs="微软雅黑"/>
          <w:spacing w:val="-18"/>
          <w:sz w:val="16"/>
          <w:szCs w:val="16"/>
        </w:rPr>
        <w:t xml:space="preserve"> </w:t>
      </w:r>
      <w:r>
        <w:rPr>
          <w:rFonts w:ascii="微软雅黑" w:hAnsi="微软雅黑" w:eastAsia="微软雅黑" w:cs="微软雅黑"/>
          <w:spacing w:val="26"/>
          <w:sz w:val="16"/>
          <w:szCs w:val="16"/>
        </w:rPr>
        <w:t>、</w:t>
      </w:r>
      <w:r>
        <w:rPr>
          <w:rFonts w:ascii="微软雅黑" w:hAnsi="微软雅黑" w:eastAsia="微软雅黑" w:cs="微软雅黑"/>
          <w:spacing w:val="25"/>
          <w:sz w:val="16"/>
          <w:szCs w:val="16"/>
        </w:rPr>
        <w:t>经营</w:t>
      </w:r>
      <w:r>
        <w:rPr>
          <w:rFonts w:ascii="微软雅黑" w:hAnsi="微软雅黑" w:eastAsia="微软雅黑" w:cs="微软雅黑"/>
          <w:sz w:val="16"/>
          <w:szCs w:val="16"/>
        </w:rPr>
        <w:t xml:space="preserve"> </w:t>
      </w:r>
      <w:r>
        <w:rPr>
          <w:rFonts w:ascii="微软雅黑" w:hAnsi="微软雅黑" w:eastAsia="微软雅黑" w:cs="微软雅黑"/>
          <w:spacing w:val="29"/>
          <w:sz w:val="16"/>
          <w:szCs w:val="16"/>
        </w:rPr>
        <w:t>和声望</w:t>
      </w:r>
      <w:r>
        <w:rPr>
          <w:rFonts w:ascii="微软雅黑" w:hAnsi="微软雅黑" w:eastAsia="微软雅黑" w:cs="微软雅黑"/>
          <w:spacing w:val="-26"/>
          <w:sz w:val="16"/>
          <w:szCs w:val="16"/>
        </w:rPr>
        <w:t xml:space="preserve"> </w:t>
      </w:r>
      <w:r>
        <w:rPr>
          <w:rFonts w:ascii="微软雅黑" w:hAnsi="微软雅黑" w:eastAsia="微软雅黑" w:cs="微软雅黑"/>
          <w:spacing w:val="29"/>
          <w:sz w:val="16"/>
          <w:szCs w:val="16"/>
        </w:rPr>
        <w:t>”三大战略主题</w:t>
      </w:r>
      <w:r>
        <w:rPr>
          <w:rFonts w:ascii="微软雅黑" w:hAnsi="微软雅黑" w:eastAsia="微软雅黑" w:cs="微软雅黑"/>
          <w:spacing w:val="-24"/>
          <w:sz w:val="16"/>
          <w:szCs w:val="16"/>
        </w:rPr>
        <w:t xml:space="preserve"> </w:t>
      </w:r>
      <w:r>
        <w:rPr>
          <w:rFonts w:ascii="微软雅黑" w:hAnsi="微软雅黑" w:eastAsia="微软雅黑" w:cs="微软雅黑"/>
          <w:spacing w:val="29"/>
          <w:sz w:val="16"/>
          <w:szCs w:val="16"/>
        </w:rPr>
        <w:t>，将</w:t>
      </w:r>
      <w:r>
        <w:rPr>
          <w:rFonts w:ascii="微软雅黑" w:hAnsi="微软雅黑" w:eastAsia="微软雅黑" w:cs="微软雅黑"/>
          <w:spacing w:val="-15"/>
          <w:sz w:val="16"/>
          <w:szCs w:val="16"/>
        </w:rPr>
        <w:t xml:space="preserve"> </w:t>
      </w:r>
      <w:r>
        <w:rPr>
          <w:rFonts w:ascii="微软雅黑" w:hAnsi="微软雅黑" w:eastAsia="微软雅黑" w:cs="微软雅黑"/>
          <w:spacing w:val="29"/>
          <w:sz w:val="16"/>
          <w:szCs w:val="16"/>
        </w:rPr>
        <w:t>“为学生提</w:t>
      </w:r>
      <w:r>
        <w:rPr>
          <w:rFonts w:ascii="微软雅黑" w:hAnsi="微软雅黑" w:eastAsia="微软雅黑" w:cs="微软雅黑"/>
          <w:spacing w:val="-19"/>
          <w:sz w:val="16"/>
          <w:szCs w:val="16"/>
        </w:rPr>
        <w:t xml:space="preserve"> </w:t>
      </w:r>
      <w:r>
        <w:rPr>
          <w:rFonts w:ascii="微软雅黑" w:hAnsi="微软雅黑" w:eastAsia="微软雅黑" w:cs="微软雅黑"/>
          <w:spacing w:val="29"/>
          <w:sz w:val="16"/>
          <w:szCs w:val="16"/>
        </w:rPr>
        <w:t>供</w:t>
      </w:r>
      <w:r>
        <w:rPr>
          <w:rFonts w:ascii="微软雅黑" w:hAnsi="微软雅黑" w:eastAsia="微软雅黑" w:cs="微软雅黑"/>
          <w:spacing w:val="-14"/>
          <w:sz w:val="16"/>
          <w:szCs w:val="16"/>
        </w:rPr>
        <w:t xml:space="preserve"> </w:t>
      </w:r>
      <w:r>
        <w:rPr>
          <w:rFonts w:ascii="微软雅黑" w:hAnsi="微软雅黑" w:eastAsia="微软雅黑" w:cs="微软雅黑"/>
          <w:spacing w:val="29"/>
          <w:sz w:val="16"/>
          <w:szCs w:val="16"/>
        </w:rPr>
        <w:t>高</w:t>
      </w:r>
      <w:r>
        <w:rPr>
          <w:rFonts w:ascii="微软雅黑" w:hAnsi="微软雅黑" w:eastAsia="微软雅黑" w:cs="微软雅黑"/>
          <w:spacing w:val="-17"/>
          <w:sz w:val="16"/>
          <w:szCs w:val="16"/>
        </w:rPr>
        <w:t xml:space="preserve"> </w:t>
      </w:r>
      <w:r>
        <w:rPr>
          <w:rFonts w:ascii="微软雅黑" w:hAnsi="微软雅黑" w:eastAsia="微软雅黑" w:cs="微软雅黑"/>
          <w:spacing w:val="29"/>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量</w:t>
      </w:r>
      <w:r>
        <w:rPr>
          <w:rFonts w:ascii="微软雅黑" w:hAnsi="微软雅黑" w:eastAsia="微软雅黑" w:cs="微软雅黑"/>
          <w:spacing w:val="-3"/>
          <w:sz w:val="16"/>
          <w:szCs w:val="16"/>
        </w:rPr>
        <w:t xml:space="preserve"> </w:t>
      </w:r>
      <w:r>
        <w:rPr>
          <w:rFonts w:ascii="微软雅黑" w:hAnsi="微软雅黑" w:eastAsia="微软雅黑" w:cs="微软雅黑"/>
          <w:spacing w:val="29"/>
          <w:sz w:val="16"/>
          <w:szCs w:val="16"/>
        </w:rPr>
        <w:t>的</w:t>
      </w:r>
      <w:r>
        <w:rPr>
          <w:rFonts w:ascii="微软雅黑" w:hAnsi="微软雅黑" w:eastAsia="微软雅黑" w:cs="微软雅黑"/>
          <w:spacing w:val="-17"/>
          <w:sz w:val="16"/>
          <w:szCs w:val="16"/>
        </w:rPr>
        <w:t xml:space="preserve"> </w:t>
      </w:r>
      <w:r>
        <w:rPr>
          <w:rFonts w:ascii="微软雅黑" w:hAnsi="微软雅黑" w:eastAsia="微软雅黑" w:cs="微软雅黑"/>
          <w:spacing w:val="29"/>
          <w:sz w:val="16"/>
          <w:szCs w:val="16"/>
        </w:rPr>
        <w:t>教</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育服务</w:t>
      </w:r>
      <w:r>
        <w:rPr>
          <w:rFonts w:ascii="微软雅黑" w:hAnsi="微软雅黑" w:eastAsia="微软雅黑" w:cs="微软雅黑"/>
          <w:spacing w:val="-27"/>
          <w:sz w:val="16"/>
          <w:szCs w:val="16"/>
        </w:rPr>
        <w:t xml:space="preserve"> </w:t>
      </w:r>
      <w:r>
        <w:rPr>
          <w:rFonts w:ascii="微软雅黑" w:hAnsi="微软雅黑" w:eastAsia="微软雅黑" w:cs="微软雅黑"/>
          <w:spacing w:val="39"/>
          <w:sz w:val="16"/>
          <w:szCs w:val="16"/>
        </w:rPr>
        <w:t>”确立为学校的使命</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，明确了学校的愿景是成</w:t>
      </w:r>
      <w:r>
        <w:rPr>
          <w:rFonts w:ascii="微软雅黑" w:hAnsi="微软雅黑" w:eastAsia="微软雅黑" w:cs="微软雅黑"/>
          <w:sz w:val="16"/>
          <w:szCs w:val="16"/>
        </w:rPr>
        <w:t xml:space="preserve"> </w:t>
      </w:r>
      <w:r>
        <w:rPr>
          <w:rFonts w:ascii="微软雅黑" w:hAnsi="微软雅黑" w:eastAsia="微软雅黑" w:cs="微软雅黑"/>
          <w:spacing w:val="8"/>
          <w:w w:val="124"/>
          <w:sz w:val="16"/>
          <w:szCs w:val="16"/>
        </w:rPr>
        <w:t>为中国最受尊重的私立大学</w:t>
      </w:r>
      <w:r>
        <w:rPr>
          <w:rFonts w:ascii="微软雅黑" w:hAnsi="微软雅黑" w:eastAsia="微软雅黑" w:cs="微软雅黑"/>
          <w:spacing w:val="-4"/>
          <w:sz w:val="16"/>
          <w:szCs w:val="16"/>
        </w:rPr>
        <w:t xml:space="preserve"> </w:t>
      </w:r>
      <w:r>
        <w:rPr>
          <w:rFonts w:ascii="微软雅黑" w:hAnsi="微软雅黑" w:eastAsia="微软雅黑" w:cs="微软雅黑"/>
          <w:spacing w:val="8"/>
          <w:w w:val="124"/>
          <w:sz w:val="16"/>
          <w:szCs w:val="16"/>
        </w:rPr>
        <w:t>。</w:t>
      </w:r>
      <w:r>
        <w:rPr>
          <w:rFonts w:ascii="微软雅黑" w:hAnsi="微软雅黑" w:eastAsia="微软雅黑" w:cs="微软雅黑"/>
          <w:spacing w:val="-12"/>
          <w:sz w:val="16"/>
          <w:szCs w:val="16"/>
        </w:rPr>
        <w:t xml:space="preserve"> </w:t>
      </w:r>
      <w:r>
        <w:rPr>
          <w:rFonts w:ascii="微软雅黑" w:hAnsi="微软雅黑" w:eastAsia="微软雅黑" w:cs="微软雅黑"/>
          <w:spacing w:val="8"/>
          <w:w w:val="124"/>
          <w:sz w:val="16"/>
          <w:szCs w:val="16"/>
        </w:rPr>
        <w:t>质量正式提高到战略</w:t>
      </w:r>
      <w:r>
        <w:rPr>
          <w:rFonts w:ascii="微软雅黑" w:hAnsi="微软雅黑" w:eastAsia="微软雅黑" w:cs="微软雅黑"/>
          <w:sz w:val="16"/>
          <w:szCs w:val="16"/>
        </w:rPr>
        <w:t xml:space="preserve"> </w:t>
      </w:r>
      <w:r>
        <w:rPr>
          <w:rFonts w:ascii="微软雅黑" w:hAnsi="微软雅黑" w:eastAsia="微软雅黑" w:cs="微软雅黑"/>
          <w:spacing w:val="37"/>
          <w:sz w:val="16"/>
          <w:szCs w:val="16"/>
        </w:rPr>
        <w:t>地位</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，成为学校战略发展的重要驱动因素</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w:t>
      </w:r>
      <w:r>
        <w:rPr>
          <w:rFonts w:ascii="微软雅黑" w:hAnsi="微软雅黑" w:eastAsia="微软雅黑" w:cs="微软雅黑"/>
          <w:spacing w:val="-23"/>
          <w:sz w:val="16"/>
          <w:szCs w:val="16"/>
        </w:rPr>
        <w:t xml:space="preserve"> </w:t>
      </w:r>
      <w:r>
        <w:rPr>
          <w:rFonts w:ascii="微软雅黑" w:hAnsi="微软雅黑" w:eastAsia="微软雅黑" w:cs="微软雅黑"/>
          <w:spacing w:val="37"/>
          <w:sz w:val="16"/>
          <w:szCs w:val="16"/>
        </w:rPr>
        <w:t>这一</w:t>
      </w:r>
      <w:r>
        <w:rPr>
          <w:rFonts w:ascii="微软雅黑" w:hAnsi="微软雅黑" w:eastAsia="微软雅黑" w:cs="微软雅黑"/>
          <w:spacing w:val="-25"/>
          <w:sz w:val="16"/>
          <w:szCs w:val="16"/>
        </w:rPr>
        <w:t xml:space="preserve"> </w:t>
      </w:r>
      <w:r>
        <w:rPr>
          <w:rFonts w:ascii="微软雅黑" w:hAnsi="微软雅黑" w:eastAsia="微软雅黑" w:cs="微软雅黑"/>
          <w:spacing w:val="37"/>
          <w:sz w:val="16"/>
          <w:szCs w:val="16"/>
        </w:rPr>
        <w:t>阶段</w:t>
      </w:r>
      <w:r>
        <w:rPr>
          <w:rFonts w:ascii="微软雅黑" w:hAnsi="微软雅黑" w:eastAsia="微软雅黑" w:cs="微软雅黑"/>
          <w:sz w:val="16"/>
          <w:szCs w:val="16"/>
        </w:rPr>
        <w:t xml:space="preserve"> </w:t>
      </w:r>
      <w:r>
        <w:rPr>
          <w:rFonts w:ascii="微软雅黑" w:hAnsi="微软雅黑" w:eastAsia="微软雅黑" w:cs="微软雅黑"/>
          <w:spacing w:val="35"/>
          <w:sz w:val="16"/>
          <w:szCs w:val="16"/>
        </w:rPr>
        <w:t>学校的质量文化建设得到了较大的发展</w:t>
      </w:r>
      <w:r>
        <w:rPr>
          <w:rFonts w:ascii="微软雅黑" w:hAnsi="微软雅黑" w:eastAsia="微软雅黑" w:cs="微软雅黑"/>
          <w:spacing w:val="-21"/>
          <w:sz w:val="16"/>
          <w:szCs w:val="16"/>
        </w:rPr>
        <w:t xml:space="preserve"> </w:t>
      </w:r>
      <w:r>
        <w:rPr>
          <w:rFonts w:ascii="微软雅黑" w:hAnsi="微软雅黑" w:eastAsia="微软雅黑" w:cs="微软雅黑"/>
          <w:spacing w:val="35"/>
          <w:sz w:val="16"/>
          <w:szCs w:val="16"/>
        </w:rPr>
        <w:t>。</w:t>
      </w:r>
    </w:p>
    <w:p>
      <w:pPr>
        <w:spacing w:before="71" w:line="187" w:lineRule="auto"/>
        <w:ind w:left="1249"/>
        <w:rPr>
          <w:rFonts w:ascii="微软雅黑" w:hAnsi="微软雅黑" w:eastAsia="微软雅黑" w:cs="微软雅黑"/>
          <w:sz w:val="19"/>
          <w:szCs w:val="19"/>
        </w:rPr>
      </w:pPr>
      <w:r>
        <w:rPr>
          <w:rFonts w:ascii="微软雅黑" w:hAnsi="微软雅黑" w:eastAsia="微软雅黑" w:cs="微软雅黑"/>
          <w:spacing w:val="33"/>
          <w:sz w:val="19"/>
          <w:szCs w:val="19"/>
        </w:rPr>
        <w:t>（</w:t>
      </w:r>
      <w:r>
        <w:rPr>
          <w:rFonts w:ascii="微软雅黑" w:hAnsi="微软雅黑" w:eastAsia="微软雅黑" w:cs="微软雅黑"/>
          <w:spacing w:val="-31"/>
          <w:sz w:val="19"/>
          <w:szCs w:val="19"/>
        </w:rPr>
        <w:t xml:space="preserve"> </w:t>
      </w:r>
      <w:r>
        <w:rPr>
          <w:rFonts w:ascii="微软雅黑" w:hAnsi="微软雅黑" w:eastAsia="微软雅黑" w:cs="微软雅黑"/>
          <w:spacing w:val="33"/>
          <w:sz w:val="19"/>
          <w:szCs w:val="19"/>
        </w:rPr>
        <w:t>一）质量承诺方面的实践</w:t>
      </w:r>
    </w:p>
    <w:p>
      <w:pPr>
        <w:spacing w:before="63" w:line="248" w:lineRule="auto"/>
        <w:ind w:left="905" w:right="152" w:firstLine="422"/>
        <w:rPr>
          <w:rFonts w:ascii="微软雅黑" w:hAnsi="微软雅黑" w:eastAsia="微软雅黑" w:cs="微软雅黑"/>
          <w:sz w:val="16"/>
          <w:szCs w:val="16"/>
        </w:rPr>
      </w:pPr>
      <w:r>
        <w:rPr>
          <w:rFonts w:ascii="微软雅黑" w:hAnsi="微软雅黑" w:eastAsia="微软雅黑" w:cs="微软雅黑"/>
          <w:spacing w:val="28"/>
          <w:sz w:val="16"/>
          <w:szCs w:val="16"/>
        </w:rPr>
        <w:t>质量承诺方面</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，学</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校</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正</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式</w:t>
      </w:r>
      <w:r>
        <w:rPr>
          <w:rFonts w:ascii="微软雅黑" w:hAnsi="微软雅黑" w:eastAsia="微软雅黑" w:cs="微软雅黑"/>
          <w:spacing w:val="-21"/>
          <w:sz w:val="16"/>
          <w:szCs w:val="16"/>
        </w:rPr>
        <w:t xml:space="preserve"> </w:t>
      </w:r>
      <w:r>
        <w:rPr>
          <w:rFonts w:ascii="微软雅黑" w:hAnsi="微软雅黑" w:eastAsia="微软雅黑" w:cs="微软雅黑"/>
          <w:spacing w:val="28"/>
          <w:sz w:val="16"/>
          <w:szCs w:val="16"/>
        </w:rPr>
        <w:t>从</w:t>
      </w:r>
      <w:r>
        <w:rPr>
          <w:rFonts w:ascii="微软雅黑" w:hAnsi="微软雅黑" w:eastAsia="微软雅黑" w:cs="微软雅黑"/>
          <w:spacing w:val="-7"/>
          <w:sz w:val="16"/>
          <w:szCs w:val="16"/>
        </w:rPr>
        <w:t xml:space="preserve"> </w:t>
      </w:r>
      <w:r>
        <w:rPr>
          <w:rFonts w:ascii="微软雅黑" w:hAnsi="微软雅黑" w:eastAsia="微软雅黑" w:cs="微软雅黑"/>
          <w:spacing w:val="28"/>
          <w:sz w:val="16"/>
          <w:szCs w:val="16"/>
        </w:rPr>
        <w:t>战</w:t>
      </w:r>
      <w:r>
        <w:rPr>
          <w:rFonts w:ascii="微软雅黑" w:hAnsi="微软雅黑" w:eastAsia="微软雅黑" w:cs="微软雅黑"/>
          <w:spacing w:val="-9"/>
          <w:sz w:val="16"/>
          <w:szCs w:val="16"/>
        </w:rPr>
        <w:t xml:space="preserve"> </w:t>
      </w:r>
      <w:r>
        <w:rPr>
          <w:rFonts w:ascii="微软雅黑" w:hAnsi="微软雅黑" w:eastAsia="微软雅黑" w:cs="微软雅黑"/>
          <w:spacing w:val="28"/>
          <w:sz w:val="16"/>
          <w:szCs w:val="16"/>
        </w:rPr>
        <w:t>略</w:t>
      </w:r>
      <w:r>
        <w:rPr>
          <w:rFonts w:ascii="微软雅黑" w:hAnsi="微软雅黑" w:eastAsia="微软雅黑" w:cs="微软雅黑"/>
          <w:spacing w:val="-14"/>
          <w:sz w:val="16"/>
          <w:szCs w:val="16"/>
        </w:rPr>
        <w:t xml:space="preserve"> </w:t>
      </w:r>
      <w:r>
        <w:rPr>
          <w:rFonts w:ascii="微软雅黑" w:hAnsi="微软雅黑" w:eastAsia="微软雅黑" w:cs="微软雅黑"/>
          <w:spacing w:val="28"/>
          <w:sz w:val="16"/>
          <w:szCs w:val="16"/>
        </w:rPr>
        <w:t>高</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度</w:t>
      </w:r>
      <w:r>
        <w:rPr>
          <w:rFonts w:ascii="微软雅黑" w:hAnsi="微软雅黑" w:eastAsia="微软雅黑" w:cs="微软雅黑"/>
          <w:spacing w:val="-3"/>
          <w:sz w:val="16"/>
          <w:szCs w:val="16"/>
        </w:rPr>
        <w:t xml:space="preserve"> </w:t>
      </w:r>
      <w:r>
        <w:rPr>
          <w:rFonts w:ascii="微软雅黑" w:hAnsi="微软雅黑" w:eastAsia="微软雅黑" w:cs="微软雅黑"/>
          <w:spacing w:val="28"/>
          <w:sz w:val="16"/>
          <w:szCs w:val="16"/>
        </w:rPr>
        <w:t>明</w:t>
      </w:r>
      <w:r>
        <w:rPr>
          <w:rFonts w:ascii="微软雅黑" w:hAnsi="微软雅黑" w:eastAsia="微软雅黑" w:cs="微软雅黑"/>
          <w:spacing w:val="-16"/>
          <w:sz w:val="16"/>
          <w:szCs w:val="16"/>
        </w:rPr>
        <w:t xml:space="preserve"> </w:t>
      </w:r>
      <w:r>
        <w:rPr>
          <w:rFonts w:ascii="微软雅黑" w:hAnsi="微软雅黑" w:eastAsia="微软雅黑" w:cs="微软雅黑"/>
          <w:spacing w:val="28"/>
          <w:sz w:val="16"/>
          <w:szCs w:val="16"/>
        </w:rPr>
        <w:t>确</w:t>
      </w:r>
      <w:r>
        <w:rPr>
          <w:rFonts w:ascii="微软雅黑" w:hAnsi="微软雅黑" w:eastAsia="微软雅黑" w:cs="微软雅黑"/>
          <w:spacing w:val="-3"/>
          <w:sz w:val="16"/>
          <w:szCs w:val="16"/>
        </w:rPr>
        <w:t xml:space="preserve"> </w:t>
      </w:r>
      <w:r>
        <w:rPr>
          <w:rFonts w:ascii="微软雅黑" w:hAnsi="微软雅黑" w:eastAsia="微软雅黑" w:cs="微软雅黑"/>
          <w:spacing w:val="28"/>
          <w:sz w:val="16"/>
          <w:szCs w:val="16"/>
        </w:rPr>
        <w:t>了</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质</w:t>
      </w:r>
      <w:r>
        <w:rPr>
          <w:rFonts w:ascii="微软雅黑" w:hAnsi="微软雅黑" w:eastAsia="微软雅黑" w:cs="微软雅黑"/>
          <w:sz w:val="16"/>
          <w:szCs w:val="16"/>
        </w:rPr>
        <w:t xml:space="preserve">  </w:t>
      </w:r>
      <w:r>
        <w:rPr>
          <w:rFonts w:ascii="微软雅黑" w:hAnsi="微软雅黑" w:eastAsia="微软雅黑" w:cs="微软雅黑"/>
          <w:spacing w:val="18"/>
          <w:sz w:val="16"/>
          <w:szCs w:val="16"/>
        </w:rPr>
        <w:t>量战略的内涵</w:t>
      </w:r>
      <w:r>
        <w:rPr>
          <w:rFonts w:ascii="微软雅黑" w:hAnsi="微软雅黑" w:eastAsia="微软雅黑" w:cs="微软雅黑"/>
          <w:spacing w:val="-18"/>
          <w:sz w:val="16"/>
          <w:szCs w:val="16"/>
        </w:rPr>
        <w:t xml:space="preserve"> </w:t>
      </w:r>
      <w:r>
        <w:rPr>
          <w:rFonts w:ascii="微软雅黑" w:hAnsi="微软雅黑" w:eastAsia="微软雅黑" w:cs="微软雅黑"/>
          <w:spacing w:val="18"/>
          <w:sz w:val="16"/>
          <w:szCs w:val="16"/>
        </w:rPr>
        <w:t>，包</w:t>
      </w:r>
      <w:r>
        <w:rPr>
          <w:rFonts w:ascii="微软雅黑" w:hAnsi="微软雅黑" w:eastAsia="微软雅黑" w:cs="微软雅黑"/>
          <w:spacing w:val="-17"/>
          <w:sz w:val="16"/>
          <w:szCs w:val="16"/>
        </w:rPr>
        <w:t xml:space="preserve"> </w:t>
      </w:r>
      <w:r>
        <w:rPr>
          <w:rFonts w:ascii="微软雅黑" w:hAnsi="微软雅黑" w:eastAsia="微软雅黑" w:cs="微软雅黑"/>
          <w:spacing w:val="18"/>
          <w:sz w:val="16"/>
          <w:szCs w:val="16"/>
        </w:rPr>
        <w:t>括 国</w:t>
      </w:r>
      <w:r>
        <w:rPr>
          <w:rFonts w:ascii="微软雅黑" w:hAnsi="微软雅黑" w:eastAsia="微软雅黑" w:cs="微软雅黑"/>
          <w:spacing w:val="-7"/>
          <w:sz w:val="16"/>
          <w:szCs w:val="16"/>
        </w:rPr>
        <w:t xml:space="preserve"> </w:t>
      </w:r>
      <w:r>
        <w:rPr>
          <w:rFonts w:ascii="微软雅黑" w:hAnsi="微软雅黑" w:eastAsia="微软雅黑" w:cs="微软雅黑"/>
          <w:spacing w:val="18"/>
          <w:sz w:val="16"/>
          <w:szCs w:val="16"/>
        </w:rPr>
        <w:t>际</w:t>
      </w:r>
      <w:r>
        <w:rPr>
          <w:rFonts w:ascii="微软雅黑" w:hAnsi="微软雅黑" w:eastAsia="微软雅黑" w:cs="微软雅黑"/>
          <w:spacing w:val="-18"/>
          <w:sz w:val="16"/>
          <w:szCs w:val="16"/>
        </w:rPr>
        <w:t xml:space="preserve"> </w:t>
      </w:r>
      <w:r>
        <w:rPr>
          <w:rFonts w:ascii="微软雅黑" w:hAnsi="微软雅黑" w:eastAsia="微软雅黑" w:cs="微软雅黑"/>
          <w:spacing w:val="18"/>
          <w:sz w:val="16"/>
          <w:szCs w:val="16"/>
        </w:rPr>
        <w:t>化</w:t>
      </w:r>
      <w:r>
        <w:rPr>
          <w:rFonts w:ascii="微软雅黑" w:hAnsi="微软雅黑" w:eastAsia="微软雅黑" w:cs="微软雅黑"/>
          <w:spacing w:val="-17"/>
          <w:sz w:val="16"/>
          <w:szCs w:val="16"/>
        </w:rPr>
        <w:t xml:space="preserve"> </w:t>
      </w:r>
      <w:r>
        <w:rPr>
          <w:rFonts w:ascii="微软雅黑" w:hAnsi="微软雅黑" w:eastAsia="微软雅黑" w:cs="微软雅黑"/>
          <w:spacing w:val="18"/>
          <w:sz w:val="16"/>
          <w:szCs w:val="16"/>
        </w:rPr>
        <w:t>、应</w:t>
      </w:r>
      <w:r>
        <w:rPr>
          <w:rFonts w:ascii="微软雅黑" w:hAnsi="微软雅黑" w:eastAsia="微软雅黑" w:cs="微软雅黑"/>
          <w:spacing w:val="-17"/>
          <w:sz w:val="16"/>
          <w:szCs w:val="16"/>
        </w:rPr>
        <w:t xml:space="preserve"> </w:t>
      </w:r>
      <w:r>
        <w:rPr>
          <w:rFonts w:ascii="微软雅黑" w:hAnsi="微软雅黑" w:eastAsia="微软雅黑" w:cs="微软雅黑"/>
          <w:spacing w:val="18"/>
          <w:sz w:val="16"/>
          <w:szCs w:val="16"/>
        </w:rPr>
        <w:t>用</w:t>
      </w:r>
      <w:r>
        <w:rPr>
          <w:rFonts w:ascii="微软雅黑" w:hAnsi="微软雅黑" w:eastAsia="微软雅黑" w:cs="微软雅黑"/>
          <w:spacing w:val="-13"/>
          <w:sz w:val="16"/>
          <w:szCs w:val="16"/>
        </w:rPr>
        <w:t xml:space="preserve"> </w:t>
      </w:r>
      <w:r>
        <w:rPr>
          <w:rFonts w:ascii="微软雅黑" w:hAnsi="微软雅黑" w:eastAsia="微软雅黑" w:cs="微软雅黑"/>
          <w:spacing w:val="18"/>
          <w:sz w:val="16"/>
          <w:szCs w:val="16"/>
        </w:rPr>
        <w:t>型</w:t>
      </w:r>
      <w:r>
        <w:rPr>
          <w:rFonts w:ascii="微软雅黑" w:hAnsi="微软雅黑" w:eastAsia="微软雅黑" w:cs="微软雅黑"/>
          <w:spacing w:val="-17"/>
          <w:sz w:val="16"/>
          <w:szCs w:val="16"/>
        </w:rPr>
        <w:t xml:space="preserve"> </w:t>
      </w:r>
      <w:r>
        <w:rPr>
          <w:rFonts w:ascii="微软雅黑" w:hAnsi="微软雅黑" w:eastAsia="微软雅黑" w:cs="微软雅黑"/>
          <w:spacing w:val="18"/>
          <w:sz w:val="16"/>
          <w:szCs w:val="16"/>
        </w:rPr>
        <w:t>、新</w:t>
      </w:r>
      <w:r>
        <w:rPr>
          <w:rFonts w:ascii="微软雅黑" w:hAnsi="微软雅黑" w:eastAsia="微软雅黑" w:cs="微软雅黑"/>
          <w:spacing w:val="-18"/>
          <w:sz w:val="16"/>
          <w:szCs w:val="16"/>
        </w:rPr>
        <w:t xml:space="preserve"> </w:t>
      </w:r>
      <w:r>
        <w:rPr>
          <w:rFonts w:ascii="微软雅黑" w:hAnsi="微软雅黑" w:eastAsia="微软雅黑" w:cs="微软雅黑"/>
          <w:spacing w:val="18"/>
          <w:sz w:val="16"/>
          <w:szCs w:val="16"/>
        </w:rPr>
        <w:t>体</w:t>
      </w:r>
      <w:r>
        <w:rPr>
          <w:rFonts w:ascii="微软雅黑" w:hAnsi="微软雅黑" w:eastAsia="微软雅黑" w:cs="微软雅黑"/>
          <w:spacing w:val="-18"/>
          <w:sz w:val="16"/>
          <w:szCs w:val="16"/>
        </w:rPr>
        <w:t xml:space="preserve"> </w:t>
      </w:r>
      <w:r>
        <w:rPr>
          <w:rFonts w:ascii="微软雅黑" w:hAnsi="微软雅黑" w:eastAsia="微软雅黑" w:cs="微软雅黑"/>
          <w:spacing w:val="18"/>
          <w:sz w:val="16"/>
          <w:szCs w:val="16"/>
        </w:rPr>
        <w:t>验</w:t>
      </w:r>
      <w:r>
        <w:rPr>
          <w:rFonts w:ascii="微软雅黑" w:hAnsi="微软雅黑" w:eastAsia="微软雅黑" w:cs="微软雅黑"/>
          <w:spacing w:val="-5"/>
          <w:sz w:val="16"/>
          <w:szCs w:val="16"/>
        </w:rPr>
        <w:t xml:space="preserve"> </w:t>
      </w:r>
      <w:r>
        <w:rPr>
          <w:rFonts w:ascii="微软雅黑" w:hAnsi="微软雅黑" w:eastAsia="微软雅黑" w:cs="微软雅黑"/>
          <w:spacing w:val="18"/>
          <w:sz w:val="16"/>
          <w:szCs w:val="16"/>
        </w:rPr>
        <w:t>。 国</w:t>
      </w:r>
      <w:r>
        <w:rPr>
          <w:rFonts w:ascii="微软雅黑" w:hAnsi="微软雅黑" w:eastAsia="微软雅黑" w:cs="微软雅黑"/>
          <w:spacing w:val="-7"/>
          <w:sz w:val="16"/>
          <w:szCs w:val="16"/>
        </w:rPr>
        <w:t xml:space="preserve"> </w:t>
      </w:r>
      <w:r>
        <w:rPr>
          <w:rFonts w:ascii="微软雅黑" w:hAnsi="微软雅黑" w:eastAsia="微软雅黑" w:cs="微软雅黑"/>
          <w:spacing w:val="18"/>
          <w:sz w:val="16"/>
          <w:szCs w:val="16"/>
        </w:rPr>
        <w:t>际</w:t>
      </w:r>
      <w:r>
        <w:rPr>
          <w:rFonts w:ascii="微软雅黑" w:hAnsi="微软雅黑" w:eastAsia="微软雅黑" w:cs="微软雅黑"/>
          <w:sz w:val="16"/>
          <w:szCs w:val="16"/>
        </w:rPr>
        <w:t xml:space="preserve">  </w:t>
      </w:r>
      <w:r>
        <w:rPr>
          <w:rFonts w:ascii="微软雅黑" w:hAnsi="微软雅黑" w:eastAsia="微软雅黑" w:cs="微软雅黑"/>
          <w:spacing w:val="10"/>
          <w:w w:val="125"/>
          <w:sz w:val="16"/>
          <w:szCs w:val="16"/>
        </w:rPr>
        <w:t>化指教师个人和组织不断学习国际先进经验形成国</w:t>
      </w:r>
      <w:r>
        <w:rPr>
          <w:rFonts w:ascii="微软雅黑" w:hAnsi="微软雅黑" w:eastAsia="微软雅黑" w:cs="微软雅黑"/>
          <w:sz w:val="16"/>
          <w:szCs w:val="16"/>
        </w:rPr>
        <w:t xml:space="preserve">  </w:t>
      </w:r>
      <w:r>
        <w:rPr>
          <w:rFonts w:ascii="微软雅黑" w:hAnsi="微软雅黑" w:eastAsia="微软雅黑" w:cs="微软雅黑"/>
          <w:spacing w:val="33"/>
          <w:sz w:val="16"/>
          <w:szCs w:val="16"/>
        </w:rPr>
        <w:t>际化的视野</w:t>
      </w:r>
      <w:r>
        <w:rPr>
          <w:rFonts w:ascii="微软雅黑" w:hAnsi="微软雅黑" w:eastAsia="微软雅黑" w:cs="微软雅黑"/>
          <w:spacing w:val="-11"/>
          <w:sz w:val="16"/>
          <w:szCs w:val="16"/>
        </w:rPr>
        <w:t xml:space="preserve"> </w:t>
      </w:r>
      <w:r>
        <w:rPr>
          <w:rFonts w:ascii="微软雅黑" w:hAnsi="微软雅黑" w:eastAsia="微软雅黑" w:cs="微软雅黑"/>
          <w:spacing w:val="33"/>
          <w:sz w:val="16"/>
          <w:szCs w:val="16"/>
        </w:rPr>
        <w:t>，根据自身规划和</w:t>
      </w:r>
      <w:r>
        <w:rPr>
          <w:rFonts w:ascii="微软雅黑" w:hAnsi="微软雅黑" w:eastAsia="微软雅黑" w:cs="微软雅黑"/>
          <w:spacing w:val="-15"/>
          <w:sz w:val="16"/>
          <w:szCs w:val="16"/>
        </w:rPr>
        <w:t xml:space="preserve"> </w:t>
      </w:r>
      <w:r>
        <w:rPr>
          <w:rFonts w:ascii="微软雅黑" w:hAnsi="微软雅黑" w:eastAsia="微软雅黑" w:cs="微软雅黑"/>
          <w:spacing w:val="33"/>
          <w:sz w:val="16"/>
          <w:szCs w:val="16"/>
        </w:rPr>
        <w:t>实</w:t>
      </w:r>
      <w:r>
        <w:rPr>
          <w:rFonts w:ascii="微软雅黑" w:hAnsi="微软雅黑" w:eastAsia="微软雅黑" w:cs="微软雅黑"/>
          <w:spacing w:val="-7"/>
          <w:sz w:val="16"/>
          <w:szCs w:val="16"/>
        </w:rPr>
        <w:t xml:space="preserve"> </w:t>
      </w:r>
      <w:r>
        <w:rPr>
          <w:rFonts w:ascii="微软雅黑" w:hAnsi="微软雅黑" w:eastAsia="微软雅黑" w:cs="微软雅黑"/>
          <w:spacing w:val="33"/>
          <w:sz w:val="16"/>
          <w:szCs w:val="16"/>
        </w:rPr>
        <w:t>际</w:t>
      </w:r>
      <w:r>
        <w:rPr>
          <w:rFonts w:ascii="微软雅黑" w:hAnsi="微软雅黑" w:eastAsia="微软雅黑" w:cs="微软雅黑"/>
          <w:spacing w:val="-18"/>
          <w:sz w:val="16"/>
          <w:szCs w:val="16"/>
        </w:rPr>
        <w:t xml:space="preserve"> </w:t>
      </w:r>
      <w:r>
        <w:rPr>
          <w:rFonts w:ascii="微软雅黑" w:hAnsi="微软雅黑" w:eastAsia="微软雅黑" w:cs="微软雅黑"/>
          <w:spacing w:val="33"/>
          <w:sz w:val="16"/>
          <w:szCs w:val="16"/>
        </w:rPr>
        <w:t>条</w:t>
      </w:r>
      <w:r>
        <w:rPr>
          <w:rFonts w:ascii="微软雅黑" w:hAnsi="微软雅黑" w:eastAsia="微软雅黑" w:cs="微软雅黑"/>
          <w:spacing w:val="-18"/>
          <w:sz w:val="16"/>
          <w:szCs w:val="16"/>
        </w:rPr>
        <w:t xml:space="preserve"> </w:t>
      </w:r>
      <w:r>
        <w:rPr>
          <w:rFonts w:ascii="微软雅黑" w:hAnsi="微软雅黑" w:eastAsia="微软雅黑" w:cs="微软雅黑"/>
          <w:spacing w:val="33"/>
          <w:sz w:val="16"/>
          <w:szCs w:val="16"/>
        </w:rPr>
        <w:t>件</w:t>
      </w:r>
      <w:r>
        <w:rPr>
          <w:rFonts w:ascii="微软雅黑" w:hAnsi="微软雅黑" w:eastAsia="微软雅黑" w:cs="微软雅黑"/>
          <w:spacing w:val="-19"/>
          <w:sz w:val="16"/>
          <w:szCs w:val="16"/>
        </w:rPr>
        <w:t xml:space="preserve"> </w:t>
      </w:r>
      <w:r>
        <w:rPr>
          <w:rFonts w:ascii="微软雅黑" w:hAnsi="微软雅黑" w:eastAsia="微软雅黑" w:cs="微软雅黑"/>
          <w:spacing w:val="33"/>
          <w:sz w:val="16"/>
          <w:szCs w:val="16"/>
        </w:rPr>
        <w:t>选</w:t>
      </w:r>
      <w:r>
        <w:rPr>
          <w:rFonts w:ascii="微软雅黑" w:hAnsi="微软雅黑" w:eastAsia="微软雅黑" w:cs="微软雅黑"/>
          <w:spacing w:val="-18"/>
          <w:sz w:val="16"/>
          <w:szCs w:val="16"/>
        </w:rPr>
        <w:t xml:space="preserve"> </w:t>
      </w:r>
      <w:r>
        <w:rPr>
          <w:rFonts w:ascii="微软雅黑" w:hAnsi="微软雅黑" w:eastAsia="微软雅黑" w:cs="微软雅黑"/>
          <w:spacing w:val="33"/>
          <w:sz w:val="16"/>
          <w:szCs w:val="16"/>
        </w:rPr>
        <w:t>择 国</w:t>
      </w:r>
      <w:r>
        <w:rPr>
          <w:rFonts w:ascii="微软雅黑" w:hAnsi="微软雅黑" w:eastAsia="微软雅黑" w:cs="微软雅黑"/>
          <w:spacing w:val="-7"/>
          <w:sz w:val="16"/>
          <w:szCs w:val="16"/>
        </w:rPr>
        <w:t xml:space="preserve"> </w:t>
      </w:r>
      <w:r>
        <w:rPr>
          <w:rFonts w:ascii="微软雅黑" w:hAnsi="微软雅黑" w:eastAsia="微软雅黑" w:cs="微软雅黑"/>
          <w:spacing w:val="33"/>
          <w:sz w:val="16"/>
          <w:szCs w:val="16"/>
        </w:rPr>
        <w:t>际</w:t>
      </w:r>
      <w:r>
        <w:rPr>
          <w:rFonts w:ascii="微软雅黑" w:hAnsi="微软雅黑" w:eastAsia="微软雅黑" w:cs="微软雅黑"/>
          <w:spacing w:val="-19"/>
          <w:sz w:val="16"/>
          <w:szCs w:val="16"/>
        </w:rPr>
        <w:t xml:space="preserve"> </w:t>
      </w:r>
      <w:r>
        <w:rPr>
          <w:rFonts w:ascii="微软雅黑" w:hAnsi="微软雅黑" w:eastAsia="微软雅黑" w:cs="微软雅黑"/>
          <w:spacing w:val="33"/>
          <w:sz w:val="16"/>
          <w:szCs w:val="16"/>
        </w:rPr>
        <w:t>标</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杆与合作院校</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，并以国际化标</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准</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开</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展</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各</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类</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教</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学</w:t>
      </w:r>
      <w:r>
        <w:rPr>
          <w:rFonts w:ascii="微软雅黑" w:hAnsi="微软雅黑" w:eastAsia="微软雅黑" w:cs="微软雅黑"/>
          <w:spacing w:val="-12"/>
          <w:sz w:val="16"/>
          <w:szCs w:val="16"/>
        </w:rPr>
        <w:t xml:space="preserve"> </w:t>
      </w:r>
      <w:r>
        <w:rPr>
          <w:rFonts w:ascii="微软雅黑" w:hAnsi="微软雅黑" w:eastAsia="微软雅黑" w:cs="微软雅黑"/>
          <w:spacing w:val="36"/>
          <w:sz w:val="16"/>
          <w:szCs w:val="16"/>
        </w:rPr>
        <w:t>和</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管</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理活动</w:t>
      </w:r>
      <w:r>
        <w:rPr>
          <w:rFonts w:ascii="微软雅黑" w:hAnsi="微软雅黑" w:eastAsia="微软雅黑" w:cs="微软雅黑"/>
          <w:spacing w:val="8"/>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14"/>
          <w:sz w:val="16"/>
          <w:szCs w:val="16"/>
        </w:rPr>
        <w:t xml:space="preserve"> </w:t>
      </w:r>
      <w:r>
        <w:rPr>
          <w:rFonts w:ascii="微软雅黑" w:hAnsi="微软雅黑" w:eastAsia="微软雅黑" w:cs="微软雅黑"/>
          <w:spacing w:val="6"/>
          <w:w w:val="125"/>
          <w:sz w:val="16"/>
          <w:szCs w:val="16"/>
        </w:rPr>
        <w:t>应用型指学校通过与行业企业开展深度合</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作</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，以学生的持续成长和职业发展为导向</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，切</w:t>
      </w:r>
      <w:r>
        <w:rPr>
          <w:rFonts w:ascii="微软雅黑" w:hAnsi="微软雅黑" w:eastAsia="微软雅黑" w:cs="微软雅黑"/>
          <w:spacing w:val="38"/>
          <w:sz w:val="16"/>
          <w:szCs w:val="16"/>
        </w:rPr>
        <w:t>实将产</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学合作和实践学习贯穿人才</w:t>
      </w:r>
      <w:r>
        <w:rPr>
          <w:rFonts w:ascii="微软雅黑" w:hAnsi="微软雅黑" w:eastAsia="微软雅黑" w:cs="微软雅黑"/>
          <w:spacing w:val="-8"/>
          <w:sz w:val="16"/>
          <w:szCs w:val="16"/>
        </w:rPr>
        <w:t xml:space="preserve"> </w:t>
      </w:r>
      <w:r>
        <w:rPr>
          <w:rFonts w:ascii="微软雅黑" w:hAnsi="微软雅黑" w:eastAsia="微软雅黑" w:cs="微软雅黑"/>
          <w:spacing w:val="38"/>
          <w:sz w:val="16"/>
          <w:szCs w:val="16"/>
        </w:rPr>
        <w:t>培</w:t>
      </w:r>
      <w:r>
        <w:rPr>
          <w:rFonts w:ascii="微软雅黑" w:hAnsi="微软雅黑" w:eastAsia="微软雅黑" w:cs="微软雅黑"/>
          <w:spacing w:val="-19"/>
          <w:sz w:val="16"/>
          <w:szCs w:val="16"/>
        </w:rPr>
        <w:t xml:space="preserve"> </w:t>
      </w:r>
      <w:r>
        <w:rPr>
          <w:rFonts w:ascii="微软雅黑" w:hAnsi="微软雅黑" w:eastAsia="微软雅黑" w:cs="微软雅黑"/>
          <w:spacing w:val="38"/>
          <w:sz w:val="16"/>
          <w:szCs w:val="16"/>
        </w:rPr>
        <w:t>养</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全</w:t>
      </w:r>
      <w:r>
        <w:rPr>
          <w:rFonts w:ascii="微软雅黑" w:hAnsi="微软雅黑" w:eastAsia="微软雅黑" w:cs="微软雅黑"/>
          <w:spacing w:val="-16"/>
          <w:sz w:val="16"/>
          <w:szCs w:val="16"/>
        </w:rPr>
        <w:t xml:space="preserve"> </w:t>
      </w:r>
      <w:r>
        <w:rPr>
          <w:rFonts w:ascii="微软雅黑" w:hAnsi="微软雅黑" w:eastAsia="微软雅黑" w:cs="微软雅黑"/>
          <w:spacing w:val="38"/>
          <w:sz w:val="16"/>
          <w:szCs w:val="16"/>
        </w:rPr>
        <w:t>过</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程</w:t>
      </w:r>
      <w:r>
        <w:rPr>
          <w:rFonts w:ascii="微软雅黑" w:hAnsi="微软雅黑" w:eastAsia="微软雅黑" w:cs="微软雅黑"/>
          <w:spacing w:val="-23"/>
          <w:sz w:val="16"/>
          <w:szCs w:val="16"/>
        </w:rPr>
        <w:t xml:space="preserve"> </w:t>
      </w:r>
      <w:r>
        <w:rPr>
          <w:rFonts w:ascii="微软雅黑" w:hAnsi="微软雅黑" w:eastAsia="微软雅黑" w:cs="微软雅黑"/>
          <w:spacing w:val="38"/>
          <w:sz w:val="16"/>
          <w:szCs w:val="16"/>
        </w:rPr>
        <w:t>，聘</w:t>
      </w:r>
      <w:r>
        <w:rPr>
          <w:rFonts w:ascii="微软雅黑" w:hAnsi="微软雅黑" w:eastAsia="微软雅黑" w:cs="微软雅黑"/>
          <w:spacing w:val="-22"/>
          <w:sz w:val="16"/>
          <w:szCs w:val="16"/>
        </w:rPr>
        <w:t xml:space="preserve"> </w:t>
      </w:r>
      <w:r>
        <w:rPr>
          <w:rFonts w:ascii="微软雅黑" w:hAnsi="微软雅黑" w:eastAsia="微软雅黑" w:cs="微软雅黑"/>
          <w:spacing w:val="38"/>
          <w:sz w:val="16"/>
          <w:szCs w:val="16"/>
        </w:rPr>
        <w:t>请</w:t>
      </w:r>
      <w:r>
        <w:rPr>
          <w:rFonts w:ascii="微软雅黑" w:hAnsi="微软雅黑" w:eastAsia="微软雅黑" w:cs="微软雅黑"/>
          <w:spacing w:val="-19"/>
          <w:sz w:val="16"/>
          <w:szCs w:val="16"/>
        </w:rPr>
        <w:t xml:space="preserve"> </w:t>
      </w:r>
      <w:r>
        <w:rPr>
          <w:rFonts w:ascii="微软雅黑" w:hAnsi="微软雅黑" w:eastAsia="微软雅黑" w:cs="微软雅黑"/>
          <w:spacing w:val="38"/>
          <w:sz w:val="16"/>
          <w:szCs w:val="16"/>
        </w:rPr>
        <w:t>具</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有</w:t>
      </w:r>
      <w:r>
        <w:rPr>
          <w:rFonts w:ascii="微软雅黑" w:hAnsi="微软雅黑" w:eastAsia="微软雅黑" w:cs="微软雅黑"/>
          <w:sz w:val="16"/>
          <w:szCs w:val="16"/>
        </w:rPr>
        <w:t xml:space="preserve">  </w:t>
      </w:r>
      <w:r>
        <w:rPr>
          <w:rFonts w:ascii="微软雅黑" w:hAnsi="微软雅黑" w:eastAsia="微软雅黑" w:cs="微软雅黑"/>
          <w:spacing w:val="10"/>
          <w:w w:val="125"/>
          <w:sz w:val="16"/>
          <w:szCs w:val="16"/>
        </w:rPr>
        <w:t>行业背景和丰富实践经验的师资成为教师队伍的主</w:t>
      </w:r>
      <w:r>
        <w:rPr>
          <w:rFonts w:ascii="微软雅黑" w:hAnsi="微软雅黑" w:eastAsia="微软雅黑" w:cs="微软雅黑"/>
          <w:sz w:val="16"/>
          <w:szCs w:val="16"/>
        </w:rPr>
        <w:t xml:space="preserve">  </w:t>
      </w:r>
      <w:r>
        <w:rPr>
          <w:rFonts w:ascii="微软雅黑" w:hAnsi="微软雅黑" w:eastAsia="微软雅黑" w:cs="微软雅黑"/>
          <w:spacing w:val="30"/>
          <w:sz w:val="16"/>
          <w:szCs w:val="16"/>
        </w:rPr>
        <w:t>体</w:t>
      </w:r>
      <w:r>
        <w:rPr>
          <w:rFonts w:ascii="微软雅黑" w:hAnsi="微软雅黑" w:eastAsia="微软雅黑" w:cs="微软雅黑"/>
          <w:spacing w:val="5"/>
          <w:sz w:val="16"/>
          <w:szCs w:val="16"/>
        </w:rPr>
        <w:t xml:space="preserve"> </w:t>
      </w:r>
      <w:r>
        <w:rPr>
          <w:rFonts w:ascii="微软雅黑" w:hAnsi="微软雅黑" w:eastAsia="微软雅黑" w:cs="微软雅黑"/>
          <w:spacing w:val="30"/>
          <w:sz w:val="16"/>
          <w:szCs w:val="16"/>
        </w:rPr>
        <w:t>。</w:t>
      </w:r>
      <w:r>
        <w:rPr>
          <w:rFonts w:ascii="微软雅黑" w:hAnsi="微软雅黑" w:eastAsia="微软雅黑" w:cs="微软雅黑"/>
          <w:spacing w:val="-14"/>
          <w:sz w:val="16"/>
          <w:szCs w:val="16"/>
        </w:rPr>
        <w:t xml:space="preserve"> </w:t>
      </w:r>
      <w:r>
        <w:rPr>
          <w:rFonts w:ascii="微软雅黑" w:hAnsi="微软雅黑" w:eastAsia="微软雅黑" w:cs="微软雅黑"/>
          <w:spacing w:val="30"/>
          <w:sz w:val="16"/>
          <w:szCs w:val="16"/>
        </w:rPr>
        <w:t>新体验指学校通</w:t>
      </w:r>
      <w:r>
        <w:rPr>
          <w:rFonts w:ascii="微软雅黑" w:hAnsi="微软雅黑" w:eastAsia="微软雅黑" w:cs="微软雅黑"/>
          <w:spacing w:val="-16"/>
          <w:sz w:val="16"/>
          <w:szCs w:val="16"/>
        </w:rPr>
        <w:t xml:space="preserve"> </w:t>
      </w:r>
      <w:r>
        <w:rPr>
          <w:rFonts w:ascii="微软雅黑" w:hAnsi="微软雅黑" w:eastAsia="微软雅黑" w:cs="微软雅黑"/>
          <w:spacing w:val="30"/>
          <w:sz w:val="16"/>
          <w:szCs w:val="16"/>
        </w:rPr>
        <w:t>过</w:t>
      </w:r>
      <w:r>
        <w:rPr>
          <w:rFonts w:ascii="微软雅黑" w:hAnsi="微软雅黑" w:eastAsia="微软雅黑" w:cs="微软雅黑"/>
          <w:spacing w:val="-15"/>
          <w:sz w:val="16"/>
          <w:szCs w:val="16"/>
        </w:rPr>
        <w:t xml:space="preserve"> </w:t>
      </w:r>
      <w:r>
        <w:rPr>
          <w:rFonts w:ascii="微软雅黑" w:hAnsi="微软雅黑" w:eastAsia="微软雅黑" w:cs="微软雅黑"/>
          <w:spacing w:val="30"/>
          <w:sz w:val="16"/>
          <w:szCs w:val="16"/>
        </w:rPr>
        <w:t>软</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硬</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件</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建</w:t>
      </w:r>
      <w:r>
        <w:rPr>
          <w:rFonts w:ascii="微软雅黑" w:hAnsi="微软雅黑" w:eastAsia="微软雅黑" w:cs="微软雅黑"/>
          <w:spacing w:val="-22"/>
          <w:sz w:val="16"/>
          <w:szCs w:val="16"/>
        </w:rPr>
        <w:t xml:space="preserve"> </w:t>
      </w:r>
      <w:r>
        <w:rPr>
          <w:rFonts w:ascii="微软雅黑" w:hAnsi="微软雅黑" w:eastAsia="微软雅黑" w:cs="微软雅黑"/>
          <w:spacing w:val="30"/>
          <w:sz w:val="16"/>
          <w:szCs w:val="16"/>
        </w:rPr>
        <w:t>设</w:t>
      </w:r>
      <w:r>
        <w:rPr>
          <w:rFonts w:ascii="微软雅黑" w:hAnsi="微软雅黑" w:eastAsia="微软雅黑" w:cs="微软雅黑"/>
          <w:spacing w:val="-23"/>
          <w:sz w:val="16"/>
          <w:szCs w:val="16"/>
        </w:rPr>
        <w:t xml:space="preserve"> </w:t>
      </w:r>
      <w:r>
        <w:rPr>
          <w:rFonts w:ascii="微软雅黑" w:hAnsi="微软雅黑" w:eastAsia="微软雅黑" w:cs="微软雅黑"/>
          <w:spacing w:val="30"/>
          <w:sz w:val="16"/>
          <w:szCs w:val="16"/>
        </w:rPr>
        <w:t>，为</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学</w:t>
      </w:r>
      <w:r>
        <w:rPr>
          <w:rFonts w:ascii="微软雅黑" w:hAnsi="微软雅黑" w:eastAsia="微软雅黑" w:cs="微软雅黑"/>
          <w:spacing w:val="-16"/>
          <w:sz w:val="16"/>
          <w:szCs w:val="16"/>
        </w:rPr>
        <w:t xml:space="preserve"> </w:t>
      </w:r>
      <w:r>
        <w:rPr>
          <w:rFonts w:ascii="微软雅黑" w:hAnsi="微软雅黑" w:eastAsia="微软雅黑" w:cs="微软雅黑"/>
          <w:spacing w:val="30"/>
          <w:sz w:val="16"/>
          <w:szCs w:val="16"/>
        </w:rPr>
        <w:t>生</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在</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教</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学</w:t>
      </w:r>
      <w:r>
        <w:rPr>
          <w:rFonts w:ascii="微软雅黑" w:hAnsi="微软雅黑" w:eastAsia="微软雅黑" w:cs="微软雅黑"/>
          <w:sz w:val="16"/>
          <w:szCs w:val="16"/>
        </w:rPr>
        <w:t xml:space="preserve">  </w:t>
      </w:r>
      <w:r>
        <w:rPr>
          <w:rFonts w:ascii="微软雅黑" w:hAnsi="微软雅黑" w:eastAsia="微软雅黑" w:cs="微软雅黑"/>
          <w:spacing w:val="20"/>
          <w:sz w:val="16"/>
          <w:szCs w:val="16"/>
        </w:rPr>
        <w:t>环境</w:t>
      </w:r>
      <w:r>
        <w:rPr>
          <w:rFonts w:ascii="微软雅黑" w:hAnsi="微软雅黑" w:eastAsia="微软雅黑" w:cs="微软雅黑"/>
          <w:spacing w:val="-1"/>
          <w:sz w:val="16"/>
          <w:szCs w:val="16"/>
        </w:rPr>
        <w:t xml:space="preserve"> </w:t>
      </w:r>
      <w:r>
        <w:rPr>
          <w:rFonts w:ascii="微软雅黑" w:hAnsi="微软雅黑" w:eastAsia="微软雅黑" w:cs="微软雅黑"/>
          <w:spacing w:val="20"/>
          <w:sz w:val="16"/>
          <w:szCs w:val="16"/>
        </w:rPr>
        <w:t>、信息服务</w:t>
      </w:r>
      <w:r>
        <w:rPr>
          <w:rFonts w:ascii="微软雅黑" w:hAnsi="微软雅黑" w:eastAsia="微软雅黑" w:cs="微软雅黑"/>
          <w:spacing w:val="-18"/>
          <w:sz w:val="16"/>
          <w:szCs w:val="16"/>
        </w:rPr>
        <w:t xml:space="preserve"> </w:t>
      </w:r>
      <w:r>
        <w:rPr>
          <w:rFonts w:ascii="微软雅黑" w:hAnsi="微软雅黑" w:eastAsia="微软雅黑" w:cs="微软雅黑"/>
          <w:spacing w:val="20"/>
          <w:sz w:val="16"/>
          <w:szCs w:val="16"/>
        </w:rPr>
        <w:t>、教</w:t>
      </w:r>
      <w:r>
        <w:rPr>
          <w:rFonts w:ascii="微软雅黑" w:hAnsi="微软雅黑" w:eastAsia="微软雅黑" w:cs="微软雅黑"/>
          <w:spacing w:val="-17"/>
          <w:sz w:val="16"/>
          <w:szCs w:val="16"/>
        </w:rPr>
        <w:t xml:space="preserve"> </w:t>
      </w:r>
      <w:r>
        <w:rPr>
          <w:rFonts w:ascii="微软雅黑" w:hAnsi="微软雅黑" w:eastAsia="微软雅黑" w:cs="微软雅黑"/>
          <w:spacing w:val="20"/>
          <w:sz w:val="16"/>
          <w:szCs w:val="16"/>
        </w:rPr>
        <w:t>、学</w:t>
      </w:r>
      <w:r>
        <w:rPr>
          <w:rFonts w:ascii="微软雅黑" w:hAnsi="微软雅黑" w:eastAsia="微软雅黑" w:cs="微软雅黑"/>
          <w:spacing w:val="-13"/>
          <w:sz w:val="16"/>
          <w:szCs w:val="16"/>
        </w:rPr>
        <w:t xml:space="preserve"> </w:t>
      </w:r>
      <w:r>
        <w:rPr>
          <w:rFonts w:ascii="微软雅黑" w:hAnsi="微软雅黑" w:eastAsia="微软雅黑" w:cs="微软雅黑"/>
          <w:spacing w:val="20"/>
          <w:sz w:val="16"/>
          <w:szCs w:val="16"/>
        </w:rPr>
        <w:t>与</w:t>
      </w:r>
      <w:r>
        <w:rPr>
          <w:rFonts w:ascii="微软雅黑" w:hAnsi="微软雅黑" w:eastAsia="微软雅黑" w:cs="微软雅黑"/>
          <w:spacing w:val="-18"/>
          <w:sz w:val="16"/>
          <w:szCs w:val="16"/>
        </w:rPr>
        <w:t xml:space="preserve"> </w:t>
      </w:r>
      <w:r>
        <w:rPr>
          <w:rFonts w:ascii="微软雅黑" w:hAnsi="微软雅黑" w:eastAsia="微软雅黑" w:cs="微软雅黑"/>
          <w:spacing w:val="20"/>
          <w:sz w:val="16"/>
          <w:szCs w:val="16"/>
        </w:rPr>
        <w:t>考</w:t>
      </w:r>
      <w:r>
        <w:rPr>
          <w:rFonts w:ascii="微软雅黑" w:hAnsi="微软雅黑" w:eastAsia="微软雅黑" w:cs="微软雅黑"/>
          <w:spacing w:val="-16"/>
          <w:sz w:val="16"/>
          <w:szCs w:val="16"/>
        </w:rPr>
        <w:t xml:space="preserve"> </w:t>
      </w:r>
      <w:r>
        <w:rPr>
          <w:rFonts w:ascii="微软雅黑" w:hAnsi="微软雅黑" w:eastAsia="微软雅黑" w:cs="微软雅黑"/>
          <w:spacing w:val="20"/>
          <w:sz w:val="16"/>
          <w:szCs w:val="16"/>
        </w:rPr>
        <w:t>核</w:t>
      </w:r>
      <w:r>
        <w:rPr>
          <w:rFonts w:ascii="微软雅黑" w:hAnsi="微软雅黑" w:eastAsia="微软雅黑" w:cs="微软雅黑"/>
          <w:spacing w:val="-18"/>
          <w:sz w:val="16"/>
          <w:szCs w:val="16"/>
        </w:rPr>
        <w:t xml:space="preserve"> </w:t>
      </w:r>
      <w:r>
        <w:rPr>
          <w:rFonts w:ascii="微软雅黑" w:hAnsi="微软雅黑" w:eastAsia="微软雅黑" w:cs="微软雅黑"/>
          <w:spacing w:val="20"/>
          <w:sz w:val="16"/>
          <w:szCs w:val="16"/>
        </w:rPr>
        <w:t>方</w:t>
      </w:r>
      <w:r>
        <w:rPr>
          <w:rFonts w:ascii="微软雅黑" w:hAnsi="微软雅黑" w:eastAsia="微软雅黑" w:cs="微软雅黑"/>
          <w:spacing w:val="-18"/>
          <w:sz w:val="16"/>
          <w:szCs w:val="16"/>
        </w:rPr>
        <w:t xml:space="preserve"> </w:t>
      </w:r>
      <w:r>
        <w:rPr>
          <w:rFonts w:ascii="微软雅黑" w:hAnsi="微软雅黑" w:eastAsia="微软雅黑" w:cs="微软雅黑"/>
          <w:spacing w:val="20"/>
          <w:sz w:val="16"/>
          <w:szCs w:val="16"/>
        </w:rPr>
        <w:t>式</w:t>
      </w:r>
      <w:r>
        <w:rPr>
          <w:rFonts w:ascii="微软雅黑" w:hAnsi="微软雅黑" w:eastAsia="微软雅黑" w:cs="微软雅黑"/>
          <w:spacing w:val="-16"/>
          <w:sz w:val="16"/>
          <w:szCs w:val="16"/>
        </w:rPr>
        <w:t xml:space="preserve"> </w:t>
      </w:r>
      <w:r>
        <w:rPr>
          <w:rFonts w:ascii="微软雅黑" w:hAnsi="微软雅黑" w:eastAsia="微软雅黑" w:cs="微软雅黑"/>
          <w:spacing w:val="20"/>
          <w:sz w:val="16"/>
          <w:szCs w:val="16"/>
        </w:rPr>
        <w:t>等</w:t>
      </w:r>
      <w:r>
        <w:rPr>
          <w:rFonts w:ascii="微软雅黑" w:hAnsi="微软雅黑" w:eastAsia="微软雅黑" w:cs="微软雅黑"/>
          <w:spacing w:val="-18"/>
          <w:sz w:val="16"/>
          <w:szCs w:val="16"/>
        </w:rPr>
        <w:t xml:space="preserve"> </w:t>
      </w:r>
      <w:r>
        <w:rPr>
          <w:rFonts w:ascii="微软雅黑" w:hAnsi="微软雅黑" w:eastAsia="微软雅黑" w:cs="微软雅黑"/>
          <w:spacing w:val="20"/>
          <w:sz w:val="16"/>
          <w:szCs w:val="16"/>
        </w:rPr>
        <w:t>方</w:t>
      </w:r>
      <w:r>
        <w:rPr>
          <w:rFonts w:ascii="微软雅黑" w:hAnsi="微软雅黑" w:eastAsia="微软雅黑" w:cs="微软雅黑"/>
          <w:spacing w:val="-11"/>
          <w:sz w:val="16"/>
          <w:szCs w:val="16"/>
        </w:rPr>
        <w:t xml:space="preserve"> </w:t>
      </w:r>
      <w:r>
        <w:rPr>
          <w:rFonts w:ascii="微软雅黑" w:hAnsi="微软雅黑" w:eastAsia="微软雅黑" w:cs="微软雅黑"/>
          <w:spacing w:val="20"/>
          <w:sz w:val="16"/>
          <w:szCs w:val="16"/>
        </w:rPr>
        <w:t>面</w:t>
      </w:r>
      <w:r>
        <w:rPr>
          <w:rFonts w:ascii="微软雅黑" w:hAnsi="微软雅黑" w:eastAsia="微软雅黑" w:cs="微软雅黑"/>
          <w:spacing w:val="-18"/>
          <w:sz w:val="16"/>
          <w:szCs w:val="16"/>
        </w:rPr>
        <w:t xml:space="preserve"> </w:t>
      </w:r>
      <w:r>
        <w:rPr>
          <w:rFonts w:ascii="微软雅黑" w:hAnsi="微软雅黑" w:eastAsia="微软雅黑" w:cs="微软雅黑"/>
          <w:spacing w:val="20"/>
          <w:sz w:val="16"/>
          <w:szCs w:val="16"/>
        </w:rPr>
        <w:t>不</w:t>
      </w:r>
      <w:r>
        <w:rPr>
          <w:rFonts w:ascii="微软雅黑" w:hAnsi="微软雅黑" w:eastAsia="微软雅黑" w:cs="微软雅黑"/>
          <w:spacing w:val="-12"/>
          <w:sz w:val="16"/>
          <w:szCs w:val="16"/>
        </w:rPr>
        <w:t xml:space="preserve"> </w:t>
      </w:r>
      <w:r>
        <w:rPr>
          <w:rFonts w:ascii="微软雅黑" w:hAnsi="微软雅黑" w:eastAsia="微软雅黑" w:cs="微软雅黑"/>
          <w:spacing w:val="20"/>
          <w:sz w:val="16"/>
          <w:szCs w:val="16"/>
        </w:rPr>
        <w:t>断</w:t>
      </w:r>
      <w:r>
        <w:rPr>
          <w:rFonts w:ascii="微软雅黑" w:hAnsi="微软雅黑" w:eastAsia="微软雅黑" w:cs="微软雅黑"/>
          <w:spacing w:val="-16"/>
          <w:sz w:val="16"/>
          <w:szCs w:val="16"/>
        </w:rPr>
        <w:t xml:space="preserve"> </w:t>
      </w:r>
      <w:r>
        <w:rPr>
          <w:rFonts w:ascii="微软雅黑" w:hAnsi="微软雅黑" w:eastAsia="微软雅黑" w:cs="微软雅黑"/>
          <w:spacing w:val="20"/>
          <w:sz w:val="16"/>
          <w:szCs w:val="16"/>
        </w:rPr>
        <w:t>提</w:t>
      </w:r>
      <w:r>
        <w:rPr>
          <w:rFonts w:ascii="微软雅黑" w:hAnsi="微软雅黑" w:eastAsia="微软雅黑" w:cs="微软雅黑"/>
          <w:spacing w:val="-19"/>
          <w:sz w:val="16"/>
          <w:szCs w:val="16"/>
        </w:rPr>
        <w:t xml:space="preserve"> </w:t>
      </w:r>
      <w:r>
        <w:rPr>
          <w:rFonts w:ascii="微软雅黑" w:hAnsi="微软雅黑" w:eastAsia="微软雅黑" w:cs="微软雅黑"/>
          <w:spacing w:val="20"/>
          <w:sz w:val="16"/>
          <w:szCs w:val="16"/>
        </w:rPr>
        <w:t>供</w:t>
      </w:r>
      <w:r>
        <w:rPr>
          <w:rFonts w:ascii="微软雅黑" w:hAnsi="微软雅黑" w:eastAsia="微软雅黑" w:cs="微软雅黑"/>
          <w:sz w:val="16"/>
          <w:szCs w:val="16"/>
        </w:rPr>
        <w:t xml:space="preserve">  </w:t>
      </w:r>
      <w:r>
        <w:rPr>
          <w:rFonts w:ascii="微软雅黑" w:hAnsi="微软雅黑" w:eastAsia="微软雅黑" w:cs="微软雅黑"/>
          <w:spacing w:val="25"/>
          <w:sz w:val="16"/>
          <w:szCs w:val="16"/>
        </w:rPr>
        <w:t>新体验</w:t>
      </w:r>
      <w:r>
        <w:rPr>
          <w:rFonts w:ascii="微软雅黑" w:hAnsi="微软雅黑" w:eastAsia="微软雅黑" w:cs="微软雅黑"/>
          <w:spacing w:val="-21"/>
          <w:sz w:val="16"/>
          <w:szCs w:val="16"/>
        </w:rPr>
        <w:t xml:space="preserve"> </w:t>
      </w:r>
      <w:r>
        <w:rPr>
          <w:rFonts w:ascii="微软雅黑" w:hAnsi="微软雅黑" w:eastAsia="微软雅黑" w:cs="微软雅黑"/>
          <w:spacing w:val="25"/>
          <w:sz w:val="16"/>
          <w:szCs w:val="16"/>
        </w:rPr>
        <w:t>，助力学生发</w:t>
      </w:r>
      <w:r>
        <w:rPr>
          <w:rFonts w:ascii="微软雅黑" w:hAnsi="微软雅黑" w:eastAsia="微软雅黑" w:cs="微软雅黑"/>
          <w:spacing w:val="-18"/>
          <w:sz w:val="16"/>
          <w:szCs w:val="16"/>
        </w:rPr>
        <w:t xml:space="preserve"> </w:t>
      </w:r>
      <w:r>
        <w:rPr>
          <w:rFonts w:ascii="微软雅黑" w:hAnsi="微软雅黑" w:eastAsia="微软雅黑" w:cs="微软雅黑"/>
          <w:spacing w:val="25"/>
          <w:sz w:val="16"/>
          <w:szCs w:val="16"/>
        </w:rPr>
        <w:t>展</w:t>
      </w:r>
      <w:r>
        <w:rPr>
          <w:rFonts w:ascii="微软雅黑" w:hAnsi="微软雅黑" w:eastAsia="微软雅黑" w:cs="微软雅黑"/>
          <w:spacing w:val="-6"/>
          <w:sz w:val="16"/>
          <w:szCs w:val="16"/>
        </w:rPr>
        <w:t xml:space="preserve"> </w:t>
      </w:r>
      <w:r>
        <w:rPr>
          <w:rFonts w:ascii="微软雅黑" w:hAnsi="微软雅黑" w:eastAsia="微软雅黑" w:cs="微软雅黑"/>
          <w:spacing w:val="25"/>
          <w:sz w:val="16"/>
          <w:szCs w:val="16"/>
        </w:rPr>
        <w:t>。</w:t>
      </w:r>
      <w:r>
        <w:rPr>
          <w:rFonts w:ascii="微软雅黑" w:hAnsi="微软雅黑" w:eastAsia="微软雅黑" w:cs="微软雅黑"/>
          <w:spacing w:val="-3"/>
          <w:sz w:val="16"/>
          <w:szCs w:val="16"/>
        </w:rPr>
        <w:t xml:space="preserve"> </w:t>
      </w:r>
      <w:r>
        <w:rPr>
          <w:rFonts w:ascii="微软雅黑" w:hAnsi="微软雅黑" w:eastAsia="微软雅黑" w:cs="微软雅黑"/>
          <w:spacing w:val="25"/>
          <w:sz w:val="16"/>
          <w:szCs w:val="16"/>
        </w:rPr>
        <w:t>这</w:t>
      </w:r>
      <w:r>
        <w:rPr>
          <w:rFonts w:ascii="微软雅黑" w:hAnsi="微软雅黑" w:eastAsia="微软雅黑" w:cs="微软雅黑"/>
          <w:spacing w:val="-20"/>
          <w:sz w:val="16"/>
          <w:szCs w:val="16"/>
        </w:rPr>
        <w:t xml:space="preserve"> </w:t>
      </w:r>
      <w:r>
        <w:rPr>
          <w:rFonts w:ascii="微软雅黑" w:hAnsi="微软雅黑" w:eastAsia="微软雅黑" w:cs="微软雅黑"/>
          <w:spacing w:val="25"/>
          <w:sz w:val="16"/>
          <w:szCs w:val="16"/>
        </w:rPr>
        <w:t>些 内</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涵</w:t>
      </w:r>
      <w:r>
        <w:rPr>
          <w:rFonts w:ascii="微软雅黑" w:hAnsi="微软雅黑" w:eastAsia="微软雅黑" w:cs="微软雅黑"/>
          <w:spacing w:val="-17"/>
          <w:sz w:val="16"/>
          <w:szCs w:val="16"/>
        </w:rPr>
        <w:t xml:space="preserve"> </w:t>
      </w:r>
      <w:r>
        <w:rPr>
          <w:rFonts w:ascii="微软雅黑" w:hAnsi="微软雅黑" w:eastAsia="微软雅黑" w:cs="微软雅黑"/>
          <w:spacing w:val="25"/>
          <w:sz w:val="16"/>
          <w:szCs w:val="16"/>
        </w:rPr>
        <w:t>在</w:t>
      </w:r>
      <w:r>
        <w:rPr>
          <w:rFonts w:ascii="微软雅黑" w:hAnsi="微软雅黑" w:eastAsia="微软雅黑" w:cs="微软雅黑"/>
          <w:spacing w:val="-11"/>
          <w:sz w:val="16"/>
          <w:szCs w:val="16"/>
        </w:rPr>
        <w:t xml:space="preserve"> </w:t>
      </w:r>
      <w:r>
        <w:rPr>
          <w:rFonts w:ascii="微软雅黑" w:hAnsi="微软雅黑" w:eastAsia="微软雅黑" w:cs="微软雅黑"/>
          <w:spacing w:val="25"/>
          <w:sz w:val="16"/>
          <w:szCs w:val="16"/>
        </w:rPr>
        <w:t>十</w:t>
      </w:r>
      <w:r>
        <w:rPr>
          <w:rFonts w:ascii="微软雅黑" w:hAnsi="微软雅黑" w:eastAsia="微软雅黑" w:cs="微软雅黑"/>
          <w:spacing w:val="-16"/>
          <w:sz w:val="16"/>
          <w:szCs w:val="16"/>
        </w:rPr>
        <w:t xml:space="preserve"> </w:t>
      </w:r>
      <w:r>
        <w:rPr>
          <w:rFonts w:ascii="微软雅黑" w:hAnsi="微软雅黑" w:eastAsia="微软雅黑" w:cs="微软雅黑"/>
          <w:spacing w:val="25"/>
          <w:sz w:val="16"/>
          <w:szCs w:val="16"/>
        </w:rPr>
        <w:t>年</w:t>
      </w:r>
      <w:r>
        <w:rPr>
          <w:rFonts w:ascii="微软雅黑" w:hAnsi="微软雅黑" w:eastAsia="微软雅黑" w:cs="微软雅黑"/>
          <w:spacing w:val="-7"/>
          <w:sz w:val="16"/>
          <w:szCs w:val="16"/>
        </w:rPr>
        <w:t xml:space="preserve"> </w:t>
      </w:r>
      <w:r>
        <w:rPr>
          <w:rFonts w:ascii="微软雅黑" w:hAnsi="微软雅黑" w:eastAsia="微软雅黑" w:cs="微软雅黑"/>
          <w:spacing w:val="25"/>
          <w:sz w:val="16"/>
          <w:szCs w:val="16"/>
        </w:rPr>
        <w:t>战</w:t>
      </w:r>
      <w:r>
        <w:rPr>
          <w:rFonts w:ascii="微软雅黑" w:hAnsi="微软雅黑" w:eastAsia="微软雅黑" w:cs="微软雅黑"/>
          <w:spacing w:val="-9"/>
          <w:sz w:val="16"/>
          <w:szCs w:val="16"/>
        </w:rPr>
        <w:t xml:space="preserve"> </w:t>
      </w:r>
      <w:r>
        <w:rPr>
          <w:rFonts w:ascii="微软雅黑" w:hAnsi="微软雅黑" w:eastAsia="微软雅黑" w:cs="微软雅黑"/>
          <w:spacing w:val="25"/>
          <w:sz w:val="16"/>
          <w:szCs w:val="16"/>
        </w:rPr>
        <w:t>略 中</w:t>
      </w:r>
      <w:r>
        <w:rPr>
          <w:rFonts w:ascii="微软雅黑" w:hAnsi="微软雅黑" w:eastAsia="微软雅黑" w:cs="微软雅黑"/>
          <w:spacing w:val="-18"/>
          <w:sz w:val="16"/>
          <w:szCs w:val="16"/>
        </w:rPr>
        <w:t xml:space="preserve"> </w:t>
      </w:r>
      <w:r>
        <w:rPr>
          <w:rFonts w:ascii="微软雅黑" w:hAnsi="微软雅黑" w:eastAsia="微软雅黑" w:cs="微软雅黑"/>
          <w:spacing w:val="25"/>
          <w:sz w:val="16"/>
          <w:szCs w:val="16"/>
        </w:rPr>
        <w:t>都</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融入与细化到学校各项实施计划和行动中</w:t>
      </w:r>
      <w:r>
        <w:rPr>
          <w:rFonts w:ascii="微软雅黑" w:hAnsi="微软雅黑" w:eastAsia="微软雅黑" w:cs="微软雅黑"/>
          <w:spacing w:val="-2"/>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6"/>
          <w:w w:val="125"/>
          <w:sz w:val="16"/>
          <w:szCs w:val="16"/>
        </w:rPr>
        <w:t>为使质</w:t>
      </w:r>
      <w:r>
        <w:rPr>
          <w:rFonts w:ascii="微软雅黑" w:hAnsi="微软雅黑" w:eastAsia="微软雅黑" w:cs="微软雅黑"/>
          <w:sz w:val="16"/>
          <w:szCs w:val="16"/>
        </w:rPr>
        <w:t xml:space="preserve">  </w:t>
      </w:r>
      <w:r>
        <w:rPr>
          <w:rFonts w:ascii="微软雅黑" w:hAnsi="微软雅黑" w:eastAsia="微软雅黑" w:cs="微软雅黑"/>
          <w:spacing w:val="35"/>
          <w:sz w:val="16"/>
          <w:szCs w:val="16"/>
        </w:rPr>
        <w:t>量理念落实到基层的每</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一</w:t>
      </w:r>
      <w:r>
        <w:rPr>
          <w:rFonts w:ascii="微软雅黑" w:hAnsi="微软雅黑" w:eastAsia="微软雅黑" w:cs="微软雅黑"/>
          <w:spacing w:val="-20"/>
          <w:sz w:val="16"/>
          <w:szCs w:val="16"/>
        </w:rPr>
        <w:t xml:space="preserve"> </w:t>
      </w:r>
      <w:r>
        <w:rPr>
          <w:rFonts w:ascii="微软雅黑" w:hAnsi="微软雅黑" w:eastAsia="微软雅黑" w:cs="微软雅黑"/>
          <w:spacing w:val="35"/>
          <w:sz w:val="16"/>
          <w:szCs w:val="16"/>
        </w:rPr>
        <w:t>位</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教</w:t>
      </w:r>
      <w:r>
        <w:rPr>
          <w:rFonts w:ascii="微软雅黑" w:hAnsi="微软雅黑" w:eastAsia="微软雅黑" w:cs="微软雅黑"/>
          <w:spacing w:val="-15"/>
          <w:sz w:val="16"/>
          <w:szCs w:val="16"/>
        </w:rPr>
        <w:t xml:space="preserve"> </w:t>
      </w:r>
      <w:r>
        <w:rPr>
          <w:rFonts w:ascii="微软雅黑" w:hAnsi="微软雅黑" w:eastAsia="微软雅黑" w:cs="微软雅黑"/>
          <w:spacing w:val="35"/>
          <w:sz w:val="16"/>
          <w:szCs w:val="16"/>
        </w:rPr>
        <w:t>师</w:t>
      </w:r>
      <w:r>
        <w:rPr>
          <w:rFonts w:ascii="微软雅黑" w:hAnsi="微软雅黑" w:eastAsia="微软雅黑" w:cs="微软雅黑"/>
          <w:spacing w:val="-12"/>
          <w:sz w:val="16"/>
          <w:szCs w:val="16"/>
        </w:rPr>
        <w:t xml:space="preserve"> </w:t>
      </w:r>
      <w:r>
        <w:rPr>
          <w:rFonts w:ascii="微软雅黑" w:hAnsi="微软雅黑" w:eastAsia="微软雅黑" w:cs="微软雅黑"/>
          <w:spacing w:val="35"/>
          <w:sz w:val="16"/>
          <w:szCs w:val="16"/>
        </w:rPr>
        <w:t>和</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员</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工</w:t>
      </w:r>
      <w:r>
        <w:rPr>
          <w:rFonts w:ascii="微软雅黑" w:hAnsi="微软雅黑" w:eastAsia="微软雅黑" w:cs="微软雅黑"/>
          <w:spacing w:val="-15"/>
          <w:sz w:val="16"/>
          <w:szCs w:val="16"/>
        </w:rPr>
        <w:t xml:space="preserve"> </w:t>
      </w:r>
      <w:r>
        <w:rPr>
          <w:rFonts w:ascii="微软雅黑" w:hAnsi="微软雅黑" w:eastAsia="微软雅黑" w:cs="微软雅黑"/>
          <w:spacing w:val="35"/>
          <w:sz w:val="16"/>
          <w:szCs w:val="16"/>
        </w:rPr>
        <w:t>身</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上</w:t>
      </w:r>
      <w:r>
        <w:rPr>
          <w:rFonts w:ascii="微软雅黑" w:hAnsi="微软雅黑" w:eastAsia="微软雅黑" w:cs="微软雅黑"/>
          <w:spacing w:val="-24"/>
          <w:sz w:val="16"/>
          <w:szCs w:val="16"/>
        </w:rPr>
        <w:t xml:space="preserve"> </w:t>
      </w:r>
      <w:r>
        <w:rPr>
          <w:rFonts w:ascii="微软雅黑" w:hAnsi="微软雅黑" w:eastAsia="微软雅黑" w:cs="微软雅黑"/>
          <w:spacing w:val="35"/>
          <w:sz w:val="16"/>
          <w:szCs w:val="16"/>
        </w:rPr>
        <w:t>，学</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校</w:t>
      </w:r>
      <w:r>
        <w:rPr>
          <w:rFonts w:ascii="微软雅黑" w:hAnsi="微软雅黑" w:eastAsia="微软雅黑" w:cs="微软雅黑"/>
          <w:sz w:val="16"/>
          <w:szCs w:val="16"/>
        </w:rPr>
        <w:t xml:space="preserve">  </w:t>
      </w:r>
      <w:r>
        <w:rPr>
          <w:rFonts w:ascii="微软雅黑" w:hAnsi="微软雅黑" w:eastAsia="微软雅黑" w:cs="微软雅黑"/>
          <w:spacing w:val="13"/>
          <w:w w:val="125"/>
          <w:sz w:val="16"/>
          <w:szCs w:val="16"/>
        </w:rPr>
        <w:t>与美国杜肯大学合作设立卓越教学中心(</w:t>
      </w:r>
      <w:r>
        <w:rPr>
          <w:rFonts w:ascii="Arial" w:hAnsi="Arial" w:eastAsia="Arial" w:cs="Arial"/>
          <w:spacing w:val="13"/>
          <w:w w:val="125"/>
          <w:sz w:val="16"/>
          <w:szCs w:val="16"/>
        </w:rPr>
        <w:t>CTE</w:t>
      </w:r>
      <w:r>
        <w:rPr>
          <w:rFonts w:ascii="微软雅黑" w:hAnsi="微软雅黑" w:eastAsia="微软雅黑" w:cs="微软雅黑"/>
          <w:spacing w:val="13"/>
          <w:w w:val="125"/>
          <w:sz w:val="16"/>
          <w:szCs w:val="16"/>
        </w:rPr>
        <w:t>:</w:t>
      </w:r>
      <w:r>
        <w:rPr>
          <w:rFonts w:ascii="Arial" w:hAnsi="Arial" w:eastAsia="Arial" w:cs="Arial"/>
          <w:spacing w:val="13"/>
          <w:w w:val="125"/>
          <w:sz w:val="16"/>
          <w:szCs w:val="16"/>
        </w:rPr>
        <w:t>Ce</w:t>
      </w:r>
      <w:r>
        <w:rPr>
          <w:rFonts w:ascii="Arial" w:hAnsi="Arial" w:eastAsia="Arial" w:cs="Arial"/>
          <w:spacing w:val="12"/>
          <w:w w:val="125"/>
          <w:sz w:val="16"/>
          <w:szCs w:val="16"/>
        </w:rPr>
        <w:t>n</w:t>
      </w:r>
      <w:r>
        <w:rPr>
          <w:rFonts w:ascii="Arial" w:hAnsi="Arial" w:eastAsia="Arial" w:cs="Arial"/>
          <w:spacing w:val="12"/>
          <w:w w:val="125"/>
          <w:position w:val="-2"/>
          <w:sz w:val="16"/>
          <w:szCs w:val="16"/>
        </w:rPr>
        <w:t>-</w:t>
      </w:r>
      <w:r>
        <w:rPr>
          <w:rFonts w:ascii="Arial" w:hAnsi="Arial" w:eastAsia="Arial" w:cs="Arial"/>
          <w:position w:val="-2"/>
          <w:sz w:val="16"/>
          <w:szCs w:val="16"/>
        </w:rPr>
        <w:t xml:space="preserve"> </w:t>
      </w:r>
      <w:r>
        <w:rPr>
          <w:rFonts w:ascii="Arial" w:hAnsi="Arial" w:eastAsia="Arial" w:cs="Arial"/>
          <w:spacing w:val="13"/>
          <w:w w:val="119"/>
          <w:sz w:val="16"/>
          <w:szCs w:val="16"/>
        </w:rPr>
        <w:t>t</w:t>
      </w:r>
      <w:r>
        <w:rPr>
          <w:rFonts w:ascii="Arial" w:hAnsi="Arial" w:eastAsia="Arial" w:cs="Arial"/>
          <w:spacing w:val="-9"/>
          <w:sz w:val="16"/>
          <w:szCs w:val="16"/>
        </w:rPr>
        <w:t xml:space="preserve"> </w:t>
      </w:r>
      <w:r>
        <w:rPr>
          <w:rFonts w:ascii="Arial" w:hAnsi="Arial" w:eastAsia="Arial" w:cs="Arial"/>
          <w:spacing w:val="13"/>
          <w:w w:val="119"/>
          <w:sz w:val="16"/>
          <w:szCs w:val="16"/>
        </w:rPr>
        <w:t>erfo</w:t>
      </w:r>
      <w:r>
        <w:rPr>
          <w:rFonts w:ascii="Arial" w:hAnsi="Arial" w:eastAsia="Arial" w:cs="Arial"/>
          <w:spacing w:val="-24"/>
          <w:sz w:val="16"/>
          <w:szCs w:val="16"/>
        </w:rPr>
        <w:t xml:space="preserve"> </w:t>
      </w:r>
      <w:r>
        <w:rPr>
          <w:rFonts w:ascii="Arial" w:hAnsi="Arial" w:eastAsia="Arial" w:cs="Arial"/>
          <w:spacing w:val="13"/>
          <w:w w:val="119"/>
          <w:sz w:val="16"/>
          <w:szCs w:val="16"/>
        </w:rPr>
        <w:t>rTeachingExcellence</w:t>
      </w:r>
      <w:r>
        <w:rPr>
          <w:rFonts w:ascii="微软雅黑" w:hAnsi="微软雅黑" w:eastAsia="微软雅黑" w:cs="微软雅黑"/>
          <w:spacing w:val="13"/>
          <w:w w:val="119"/>
          <w:sz w:val="16"/>
          <w:szCs w:val="16"/>
        </w:rPr>
        <w:t xml:space="preserve">) </w:t>
      </w:r>
      <w:r>
        <w:rPr>
          <w:rFonts w:ascii="微软雅黑" w:hAnsi="微软雅黑" w:eastAsia="微软雅黑" w:cs="微软雅黑"/>
          <w:spacing w:val="13"/>
          <w:w w:val="119"/>
          <w:position w:val="1"/>
          <w:sz w:val="16"/>
          <w:szCs w:val="16"/>
        </w:rPr>
        <w:t>, 围绕学校的质量理念</w:t>
      </w:r>
      <w:r>
        <w:rPr>
          <w:rFonts w:ascii="微软雅黑" w:hAnsi="微软雅黑" w:eastAsia="微软雅黑" w:cs="微软雅黑"/>
          <w:position w:val="1"/>
          <w:sz w:val="16"/>
          <w:szCs w:val="16"/>
        </w:rPr>
        <w:t xml:space="preserve">  </w:t>
      </w:r>
      <w:r>
        <w:rPr>
          <w:rFonts w:ascii="微软雅黑" w:hAnsi="微软雅黑" w:eastAsia="微软雅黑" w:cs="微软雅黑"/>
          <w:spacing w:val="28"/>
          <w:sz w:val="16"/>
          <w:szCs w:val="16"/>
        </w:rPr>
        <w:t>和承诺</w:t>
      </w:r>
      <w:r>
        <w:rPr>
          <w:rFonts w:ascii="微软雅黑" w:hAnsi="微软雅黑" w:eastAsia="微软雅黑" w:cs="微软雅黑"/>
          <w:spacing w:val="-22"/>
          <w:sz w:val="16"/>
          <w:szCs w:val="16"/>
        </w:rPr>
        <w:t xml:space="preserve"> </w:t>
      </w:r>
      <w:r>
        <w:rPr>
          <w:rFonts w:ascii="微软雅黑" w:hAnsi="微软雅黑" w:eastAsia="微软雅黑" w:cs="微软雅黑"/>
          <w:spacing w:val="28"/>
          <w:sz w:val="16"/>
          <w:szCs w:val="16"/>
        </w:rPr>
        <w:t>，开展各项培训</w:t>
      </w:r>
      <w:r>
        <w:rPr>
          <w:rFonts w:ascii="微软雅黑" w:hAnsi="微软雅黑" w:eastAsia="微软雅黑" w:cs="微软雅黑"/>
          <w:spacing w:val="-24"/>
          <w:sz w:val="16"/>
          <w:szCs w:val="16"/>
        </w:rPr>
        <w:t xml:space="preserve"> </w:t>
      </w:r>
      <w:r>
        <w:rPr>
          <w:rFonts w:ascii="微软雅黑" w:hAnsi="微软雅黑" w:eastAsia="微软雅黑" w:cs="微软雅黑"/>
          <w:spacing w:val="28"/>
          <w:sz w:val="16"/>
          <w:szCs w:val="16"/>
        </w:rPr>
        <w:t>，用以支持</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、提高</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、改进学校的</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教与学</w:t>
      </w:r>
      <w:r>
        <w:rPr>
          <w:rFonts w:ascii="微软雅黑" w:hAnsi="微软雅黑" w:eastAsia="微软雅黑" w:cs="微软雅黑"/>
          <w:spacing w:val="-10"/>
          <w:sz w:val="16"/>
          <w:szCs w:val="16"/>
        </w:rPr>
        <w:t xml:space="preserve"> </w:t>
      </w:r>
      <w:r>
        <w:rPr>
          <w:rFonts w:ascii="微软雅黑" w:hAnsi="微软雅黑" w:eastAsia="微软雅黑" w:cs="微软雅黑"/>
          <w:spacing w:val="38"/>
          <w:sz w:val="16"/>
          <w:szCs w:val="16"/>
        </w:rPr>
        <w:t>，帮助教师转变课堂教学模式</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、提升课堂授课</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水平</w:t>
      </w:r>
      <w:r>
        <w:rPr>
          <w:rFonts w:ascii="微软雅黑" w:hAnsi="微软雅黑" w:eastAsia="微软雅黑" w:cs="微软雅黑"/>
          <w:spacing w:val="-10"/>
          <w:sz w:val="16"/>
          <w:szCs w:val="16"/>
        </w:rPr>
        <w:t xml:space="preserve"> </w:t>
      </w:r>
      <w:r>
        <w:rPr>
          <w:rFonts w:ascii="微软雅黑" w:hAnsi="微软雅黑" w:eastAsia="微软雅黑" w:cs="微软雅黑"/>
          <w:spacing w:val="38"/>
          <w:sz w:val="16"/>
          <w:szCs w:val="16"/>
        </w:rPr>
        <w:t>，最终将学校的质量承诺</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、质量文化体现在高校</w:t>
      </w:r>
      <w:r>
        <w:rPr>
          <w:rFonts w:ascii="微软雅黑" w:hAnsi="微软雅黑" w:eastAsia="微软雅黑" w:cs="微软雅黑"/>
          <w:sz w:val="16"/>
          <w:szCs w:val="16"/>
        </w:rPr>
        <w:t xml:space="preserve">  </w:t>
      </w:r>
      <w:r>
        <w:rPr>
          <w:rFonts w:ascii="微软雅黑" w:hAnsi="微软雅黑" w:eastAsia="微软雅黑" w:cs="微软雅黑"/>
          <w:spacing w:val="7"/>
          <w:w w:val="121"/>
          <w:sz w:val="16"/>
          <w:szCs w:val="16"/>
        </w:rPr>
        <w:t>教育教学质量上</w:t>
      </w:r>
      <w:r>
        <w:rPr>
          <w:rFonts w:ascii="微软雅黑" w:hAnsi="微软雅黑" w:eastAsia="微软雅黑" w:cs="微软雅黑"/>
          <w:spacing w:val="-12"/>
          <w:sz w:val="16"/>
          <w:szCs w:val="16"/>
        </w:rPr>
        <w:t xml:space="preserve"> </w:t>
      </w:r>
      <w:r>
        <w:rPr>
          <w:rFonts w:ascii="微软雅黑" w:hAnsi="微软雅黑" w:eastAsia="微软雅黑" w:cs="微软雅黑"/>
          <w:spacing w:val="7"/>
          <w:w w:val="121"/>
          <w:sz w:val="16"/>
          <w:szCs w:val="16"/>
        </w:rPr>
        <w:t>。</w:t>
      </w:r>
    </w:p>
    <w:p>
      <w:pPr>
        <w:spacing w:before="76" w:line="224" w:lineRule="auto"/>
        <w:ind w:left="906" w:right="216" w:firstLine="422"/>
        <w:rPr>
          <w:rFonts w:ascii="微软雅黑" w:hAnsi="微软雅黑" w:eastAsia="微软雅黑" w:cs="微软雅黑"/>
          <w:sz w:val="16"/>
          <w:szCs w:val="16"/>
        </w:rPr>
      </w:pPr>
      <w:r>
        <w:rPr>
          <w:rFonts w:ascii="Arial" w:hAnsi="Arial" w:eastAsia="Arial" w:cs="Arial"/>
          <w:spacing w:val="25"/>
          <w:sz w:val="16"/>
          <w:szCs w:val="16"/>
        </w:rPr>
        <w:t>2020</w:t>
      </w:r>
      <w:r>
        <w:rPr>
          <w:rFonts w:ascii="微软雅黑" w:hAnsi="微软雅黑" w:eastAsia="微软雅黑" w:cs="微软雅黑"/>
          <w:spacing w:val="25"/>
          <w:sz w:val="16"/>
          <w:szCs w:val="16"/>
        </w:rPr>
        <w:t>年学校</w:t>
      </w:r>
      <w:r>
        <w:rPr>
          <w:rFonts w:ascii="微软雅黑" w:hAnsi="微软雅黑" w:eastAsia="微软雅黑" w:cs="微软雅黑"/>
          <w:spacing w:val="-15"/>
          <w:sz w:val="16"/>
          <w:szCs w:val="16"/>
        </w:rPr>
        <w:t xml:space="preserve"> </w:t>
      </w:r>
      <w:r>
        <w:rPr>
          <w:rFonts w:ascii="微软雅黑" w:hAnsi="微软雅黑" w:eastAsia="微软雅黑" w:cs="微软雅黑"/>
          <w:spacing w:val="25"/>
          <w:sz w:val="16"/>
          <w:szCs w:val="16"/>
        </w:rPr>
        <w:t>针</w:t>
      </w:r>
      <w:r>
        <w:rPr>
          <w:rFonts w:ascii="微软雅黑" w:hAnsi="微软雅黑" w:eastAsia="微软雅黑" w:cs="微软雅黑"/>
          <w:spacing w:val="-17"/>
          <w:sz w:val="16"/>
          <w:szCs w:val="16"/>
        </w:rPr>
        <w:t xml:space="preserve"> </w:t>
      </w:r>
      <w:r>
        <w:rPr>
          <w:rFonts w:ascii="微软雅黑" w:hAnsi="微软雅黑" w:eastAsia="微软雅黑" w:cs="微软雅黑"/>
          <w:spacing w:val="25"/>
          <w:sz w:val="16"/>
          <w:szCs w:val="16"/>
        </w:rPr>
        <w:t>对</w:t>
      </w:r>
      <w:r>
        <w:rPr>
          <w:rFonts w:ascii="微软雅黑" w:hAnsi="微软雅黑" w:eastAsia="微软雅黑" w:cs="微软雅黑"/>
          <w:spacing w:val="-15"/>
          <w:sz w:val="16"/>
          <w:szCs w:val="16"/>
        </w:rPr>
        <w:t xml:space="preserve"> </w:t>
      </w:r>
      <w:r>
        <w:rPr>
          <w:rFonts w:ascii="微软雅黑" w:hAnsi="微软雅黑" w:eastAsia="微软雅黑" w:cs="微软雅黑"/>
          <w:spacing w:val="25"/>
          <w:sz w:val="16"/>
          <w:szCs w:val="16"/>
        </w:rPr>
        <w:t>这</w:t>
      </w:r>
      <w:r>
        <w:rPr>
          <w:rFonts w:ascii="微软雅黑" w:hAnsi="微软雅黑" w:eastAsia="微软雅黑" w:cs="微软雅黑"/>
          <w:spacing w:val="-14"/>
          <w:sz w:val="16"/>
          <w:szCs w:val="16"/>
        </w:rPr>
        <w:t xml:space="preserve"> </w:t>
      </w:r>
      <w:r>
        <w:rPr>
          <w:rFonts w:ascii="微软雅黑" w:hAnsi="微软雅黑" w:eastAsia="微软雅黑" w:cs="微软雅黑"/>
          <w:spacing w:val="25"/>
          <w:sz w:val="16"/>
          <w:szCs w:val="16"/>
        </w:rPr>
        <w:t>一</w:t>
      </w:r>
      <w:r>
        <w:rPr>
          <w:rFonts w:ascii="微软雅黑" w:hAnsi="微软雅黑" w:eastAsia="微软雅黑" w:cs="微软雅黑"/>
          <w:spacing w:val="-3"/>
          <w:sz w:val="16"/>
          <w:szCs w:val="16"/>
        </w:rPr>
        <w:t xml:space="preserve"> </w:t>
      </w:r>
      <w:r>
        <w:rPr>
          <w:rFonts w:ascii="微软雅黑" w:hAnsi="微软雅黑" w:eastAsia="微软雅黑" w:cs="微软雅黑"/>
          <w:spacing w:val="25"/>
          <w:sz w:val="16"/>
          <w:szCs w:val="16"/>
        </w:rPr>
        <w:t>战</w:t>
      </w:r>
      <w:r>
        <w:rPr>
          <w:rFonts w:ascii="微软雅黑" w:hAnsi="微软雅黑" w:eastAsia="微软雅黑" w:cs="微软雅黑"/>
          <w:spacing w:val="-5"/>
          <w:sz w:val="16"/>
          <w:szCs w:val="16"/>
        </w:rPr>
        <w:t xml:space="preserve"> </w:t>
      </w:r>
      <w:r>
        <w:rPr>
          <w:rFonts w:ascii="微软雅黑" w:hAnsi="微软雅黑" w:eastAsia="微软雅黑" w:cs="微软雅黑"/>
          <w:spacing w:val="25"/>
          <w:sz w:val="16"/>
          <w:szCs w:val="16"/>
        </w:rPr>
        <w:t>略 阶</w:t>
      </w:r>
      <w:r>
        <w:rPr>
          <w:rFonts w:ascii="微软雅黑" w:hAnsi="微软雅黑" w:eastAsia="微软雅黑" w:cs="微软雅黑"/>
          <w:spacing w:val="-15"/>
          <w:sz w:val="16"/>
          <w:szCs w:val="16"/>
        </w:rPr>
        <w:t xml:space="preserve"> </w:t>
      </w:r>
      <w:r>
        <w:rPr>
          <w:rFonts w:ascii="微软雅黑" w:hAnsi="微软雅黑" w:eastAsia="微软雅黑" w:cs="微软雅黑"/>
          <w:spacing w:val="25"/>
          <w:sz w:val="16"/>
          <w:szCs w:val="16"/>
        </w:rPr>
        <w:t>段 中</w:t>
      </w:r>
      <w:r>
        <w:rPr>
          <w:rFonts w:ascii="微软雅黑" w:hAnsi="微软雅黑" w:eastAsia="微软雅黑" w:cs="微软雅黑"/>
          <w:spacing w:val="-13"/>
          <w:sz w:val="16"/>
          <w:szCs w:val="16"/>
        </w:rPr>
        <w:t xml:space="preserve"> </w:t>
      </w:r>
      <w:r>
        <w:rPr>
          <w:rFonts w:ascii="微软雅黑" w:hAnsi="微软雅黑" w:eastAsia="微软雅黑" w:cs="微软雅黑"/>
          <w:spacing w:val="25"/>
          <w:sz w:val="16"/>
          <w:szCs w:val="16"/>
        </w:rPr>
        <w:t>质</w:t>
      </w:r>
      <w:r>
        <w:rPr>
          <w:rFonts w:ascii="微软雅黑" w:hAnsi="微软雅黑" w:eastAsia="微软雅黑" w:cs="微软雅黑"/>
          <w:spacing w:val="-14"/>
          <w:sz w:val="16"/>
          <w:szCs w:val="16"/>
        </w:rPr>
        <w:t xml:space="preserve"> </w:t>
      </w:r>
      <w:r>
        <w:rPr>
          <w:rFonts w:ascii="微软雅黑" w:hAnsi="微软雅黑" w:eastAsia="微软雅黑" w:cs="微软雅黑"/>
          <w:spacing w:val="25"/>
          <w:sz w:val="16"/>
          <w:szCs w:val="16"/>
        </w:rPr>
        <w:t>量 问</w:t>
      </w:r>
      <w:r>
        <w:rPr>
          <w:rFonts w:ascii="微软雅黑" w:hAnsi="微软雅黑" w:eastAsia="微软雅黑" w:cs="微软雅黑"/>
          <w:spacing w:val="-15"/>
          <w:sz w:val="16"/>
          <w:szCs w:val="16"/>
        </w:rPr>
        <w:t xml:space="preserve"> </w:t>
      </w:r>
      <w:r>
        <w:rPr>
          <w:rFonts w:ascii="微软雅黑" w:hAnsi="微软雅黑" w:eastAsia="微软雅黑" w:cs="微软雅黑"/>
          <w:spacing w:val="25"/>
          <w:sz w:val="16"/>
          <w:szCs w:val="16"/>
        </w:rPr>
        <w:t>题</w:t>
      </w:r>
      <w:r>
        <w:rPr>
          <w:rFonts w:ascii="微软雅黑" w:hAnsi="微软雅黑" w:eastAsia="微软雅黑" w:cs="微软雅黑"/>
          <w:spacing w:val="-15"/>
          <w:sz w:val="16"/>
          <w:szCs w:val="16"/>
        </w:rPr>
        <w:t xml:space="preserve"> </w:t>
      </w:r>
      <w:r>
        <w:rPr>
          <w:rFonts w:ascii="微软雅黑" w:hAnsi="微软雅黑" w:eastAsia="微软雅黑" w:cs="微软雅黑"/>
          <w:spacing w:val="25"/>
          <w:sz w:val="16"/>
          <w:szCs w:val="16"/>
        </w:rPr>
        <w:t>进</w:t>
      </w:r>
      <w:r>
        <w:rPr>
          <w:rFonts w:ascii="微软雅黑" w:hAnsi="微软雅黑" w:eastAsia="微软雅黑" w:cs="微软雅黑"/>
          <w:sz w:val="16"/>
          <w:szCs w:val="16"/>
        </w:rPr>
        <w:t xml:space="preserve"> </w:t>
      </w:r>
      <w:r>
        <w:rPr>
          <w:rFonts w:ascii="微软雅黑" w:hAnsi="微软雅黑" w:eastAsia="微软雅黑" w:cs="微软雅黑"/>
          <w:spacing w:val="33"/>
          <w:sz w:val="16"/>
          <w:szCs w:val="16"/>
        </w:rPr>
        <w:t>行调研</w:t>
      </w:r>
      <w:r>
        <w:rPr>
          <w:rFonts w:ascii="微软雅黑" w:hAnsi="微软雅黑" w:eastAsia="微软雅黑" w:cs="微软雅黑"/>
          <w:spacing w:val="-24"/>
          <w:sz w:val="16"/>
          <w:szCs w:val="16"/>
        </w:rPr>
        <w:t xml:space="preserve"> </w:t>
      </w:r>
      <w:r>
        <w:rPr>
          <w:rFonts w:ascii="微软雅黑" w:hAnsi="微软雅黑" w:eastAsia="微软雅黑" w:cs="微软雅黑"/>
          <w:spacing w:val="33"/>
          <w:sz w:val="16"/>
          <w:szCs w:val="16"/>
        </w:rPr>
        <w:t>，共有</w:t>
      </w:r>
      <w:r>
        <w:rPr>
          <w:rFonts w:ascii="微软雅黑" w:hAnsi="微软雅黑" w:eastAsia="微软雅黑" w:cs="微软雅黑"/>
          <w:spacing w:val="29"/>
          <w:w w:val="101"/>
          <w:sz w:val="16"/>
          <w:szCs w:val="16"/>
        </w:rPr>
        <w:t xml:space="preserve"> </w:t>
      </w:r>
      <w:r>
        <w:rPr>
          <w:rFonts w:ascii="Arial" w:hAnsi="Arial" w:eastAsia="Arial" w:cs="Arial"/>
          <w:spacing w:val="33"/>
          <w:sz w:val="16"/>
          <w:szCs w:val="16"/>
        </w:rPr>
        <w:t>750</w:t>
      </w:r>
      <w:r>
        <w:rPr>
          <w:rFonts w:ascii="微软雅黑" w:hAnsi="微软雅黑" w:eastAsia="微软雅黑" w:cs="微软雅黑"/>
          <w:spacing w:val="33"/>
          <w:sz w:val="16"/>
          <w:szCs w:val="16"/>
        </w:rPr>
        <w:t>名教职工参与</w:t>
      </w:r>
      <w:r>
        <w:rPr>
          <w:rFonts w:ascii="微软雅黑" w:hAnsi="微软雅黑" w:eastAsia="微软雅黑" w:cs="微软雅黑"/>
          <w:spacing w:val="-6"/>
          <w:sz w:val="16"/>
          <w:szCs w:val="16"/>
        </w:rPr>
        <w:t xml:space="preserve"> </w:t>
      </w:r>
      <w:r>
        <w:rPr>
          <w:rFonts w:ascii="微软雅黑" w:hAnsi="微软雅黑" w:eastAsia="微软雅黑" w:cs="微软雅黑"/>
          <w:spacing w:val="33"/>
          <w:sz w:val="16"/>
          <w:szCs w:val="16"/>
        </w:rPr>
        <w:t>。</w:t>
      </w:r>
      <w:r>
        <w:rPr>
          <w:rFonts w:ascii="微软雅黑" w:hAnsi="微软雅黑" w:eastAsia="微软雅黑" w:cs="微软雅黑"/>
          <w:spacing w:val="-8"/>
          <w:sz w:val="16"/>
          <w:szCs w:val="16"/>
        </w:rPr>
        <w:t xml:space="preserve"> </w:t>
      </w:r>
      <w:r>
        <w:rPr>
          <w:rFonts w:ascii="微软雅黑" w:hAnsi="微软雅黑" w:eastAsia="微软雅黑" w:cs="微软雅黑"/>
          <w:spacing w:val="33"/>
          <w:sz w:val="16"/>
          <w:szCs w:val="16"/>
        </w:rPr>
        <w:t>调研结果</w:t>
      </w:r>
      <w:r>
        <w:rPr>
          <w:rFonts w:ascii="微软雅黑" w:hAnsi="微软雅黑" w:eastAsia="微软雅黑" w:cs="微软雅黑"/>
          <w:spacing w:val="32"/>
          <w:sz w:val="16"/>
          <w:szCs w:val="16"/>
        </w:rPr>
        <w:t>发现</w:t>
      </w:r>
      <w:r>
        <w:rPr>
          <w:rFonts w:ascii="微软雅黑" w:hAnsi="微软雅黑" w:eastAsia="微软雅黑" w:cs="微软雅黑"/>
          <w:spacing w:val="-23"/>
          <w:sz w:val="16"/>
          <w:szCs w:val="16"/>
        </w:rPr>
        <w:t xml:space="preserve"> </w:t>
      </w:r>
      <w:r>
        <w:rPr>
          <w:rFonts w:ascii="微软雅黑" w:hAnsi="微软雅黑" w:eastAsia="微软雅黑" w:cs="微软雅黑"/>
          <w:spacing w:val="32"/>
          <w:sz w:val="16"/>
          <w:szCs w:val="16"/>
        </w:rPr>
        <w:t>，在</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办学实践过程中</w:t>
      </w:r>
      <w:r>
        <w:rPr>
          <w:rFonts w:ascii="微软雅黑" w:hAnsi="微软雅黑" w:eastAsia="微软雅黑" w:cs="微软雅黑"/>
          <w:spacing w:val="-11"/>
          <w:sz w:val="16"/>
          <w:szCs w:val="16"/>
        </w:rPr>
        <w:t xml:space="preserve"> </w:t>
      </w:r>
      <w:r>
        <w:rPr>
          <w:rFonts w:ascii="微软雅黑" w:hAnsi="微软雅黑" w:eastAsia="微软雅黑" w:cs="微软雅黑"/>
          <w:spacing w:val="38"/>
          <w:sz w:val="16"/>
          <w:szCs w:val="16"/>
        </w:rPr>
        <w:t>，教职工对学校的办学定位</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、战略目</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标</w:t>
      </w:r>
      <w:r>
        <w:rPr>
          <w:rFonts w:ascii="微软雅黑" w:hAnsi="微软雅黑" w:eastAsia="微软雅黑" w:cs="微软雅黑"/>
          <w:spacing w:val="-5"/>
          <w:sz w:val="16"/>
          <w:szCs w:val="16"/>
        </w:rPr>
        <w:t xml:space="preserve"> </w:t>
      </w:r>
      <w:r>
        <w:rPr>
          <w:rFonts w:ascii="微软雅黑" w:hAnsi="微软雅黑" w:eastAsia="微软雅黑" w:cs="微软雅黑"/>
          <w:spacing w:val="38"/>
          <w:sz w:val="16"/>
          <w:szCs w:val="16"/>
        </w:rPr>
        <w:t>、办学理念三个方面的内容都有较好的了解</w:t>
      </w:r>
      <w:r>
        <w:rPr>
          <w:rFonts w:ascii="微软雅黑" w:hAnsi="微软雅黑" w:eastAsia="微软雅黑" w:cs="微软雅黑"/>
          <w:spacing w:val="-24"/>
          <w:sz w:val="16"/>
          <w:szCs w:val="16"/>
        </w:rPr>
        <w:t xml:space="preserve"> </w:t>
      </w:r>
      <w:r>
        <w:rPr>
          <w:rFonts w:ascii="微软雅黑" w:hAnsi="微软雅黑" w:eastAsia="微软雅黑" w:cs="微软雅黑"/>
          <w:spacing w:val="38"/>
          <w:sz w:val="16"/>
          <w:szCs w:val="16"/>
        </w:rPr>
        <w:t>，但是</w:t>
      </w:r>
    </w:p>
    <w:p>
      <w:pPr>
        <w:spacing w:line="14" w:lineRule="auto"/>
        <w:rPr>
          <w:rFonts w:ascii="Arial"/>
          <w:sz w:val="2"/>
        </w:rPr>
      </w:pPr>
      <w:r>
        <w:rPr>
          <w:rFonts w:ascii="Arial" w:hAnsi="Arial" w:eastAsia="Arial" w:cs="Arial"/>
          <w:sz w:val="2"/>
          <w:szCs w:val="2"/>
        </w:rPr>
        <w:br w:type="column"/>
      </w:r>
    </w:p>
    <w:p>
      <w:pPr>
        <w:spacing w:before="36" w:line="238" w:lineRule="auto"/>
        <w:ind w:left="62" w:right="62" w:firstLine="2"/>
        <w:jc w:val="both"/>
        <w:rPr>
          <w:rFonts w:ascii="微软雅黑" w:hAnsi="微软雅黑" w:eastAsia="微软雅黑" w:cs="微软雅黑"/>
          <w:sz w:val="16"/>
          <w:szCs w:val="16"/>
        </w:rPr>
      </w:pPr>
      <w:r>
        <w:rPr>
          <w:rFonts w:ascii="微软雅黑" w:hAnsi="微软雅黑" w:eastAsia="微软雅黑" w:cs="微软雅黑"/>
          <w:spacing w:val="27"/>
          <w:sz w:val="16"/>
          <w:szCs w:val="16"/>
        </w:rPr>
        <w:t>针对学校质量</w:t>
      </w:r>
      <w:r>
        <w:rPr>
          <w:rFonts w:ascii="微软雅黑" w:hAnsi="微软雅黑" w:eastAsia="微软雅黑" w:cs="微软雅黑"/>
          <w:spacing w:val="-18"/>
          <w:sz w:val="16"/>
          <w:szCs w:val="16"/>
        </w:rPr>
        <w:t xml:space="preserve"> </w:t>
      </w:r>
      <w:r>
        <w:rPr>
          <w:rFonts w:ascii="微软雅黑" w:hAnsi="微软雅黑" w:eastAsia="微软雅黑" w:cs="微软雅黑"/>
          <w:spacing w:val="27"/>
          <w:sz w:val="16"/>
          <w:szCs w:val="16"/>
        </w:rPr>
        <w:t>宣</w:t>
      </w:r>
      <w:r>
        <w:rPr>
          <w:rFonts w:ascii="微软雅黑" w:hAnsi="微软雅黑" w:eastAsia="微软雅黑" w:cs="微软雅黑"/>
          <w:spacing w:val="-14"/>
          <w:sz w:val="16"/>
          <w:szCs w:val="16"/>
        </w:rPr>
        <w:t xml:space="preserve"> </w:t>
      </w:r>
      <w:r>
        <w:rPr>
          <w:rFonts w:ascii="微软雅黑" w:hAnsi="微软雅黑" w:eastAsia="微软雅黑" w:cs="微软雅黑"/>
          <w:spacing w:val="27"/>
          <w:sz w:val="16"/>
          <w:szCs w:val="16"/>
        </w:rPr>
        <w:t>言</w:t>
      </w:r>
      <w:r>
        <w:rPr>
          <w:rFonts w:ascii="微软雅黑" w:hAnsi="微软雅黑" w:eastAsia="微软雅黑" w:cs="微软雅黑"/>
          <w:spacing w:val="-2"/>
          <w:sz w:val="16"/>
          <w:szCs w:val="16"/>
        </w:rPr>
        <w:t xml:space="preserve"> </w:t>
      </w:r>
      <w:r>
        <w:rPr>
          <w:rFonts w:ascii="微软雅黑" w:hAnsi="微软雅黑" w:eastAsia="微软雅黑" w:cs="微软雅黑"/>
          <w:spacing w:val="27"/>
          <w:sz w:val="16"/>
          <w:szCs w:val="16"/>
        </w:rPr>
        <w:t>的</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理</w:t>
      </w:r>
      <w:r>
        <w:rPr>
          <w:rFonts w:ascii="微软雅黑" w:hAnsi="微软雅黑" w:eastAsia="微软雅黑" w:cs="微软雅黑"/>
          <w:spacing w:val="-18"/>
          <w:sz w:val="16"/>
          <w:szCs w:val="16"/>
        </w:rPr>
        <w:t xml:space="preserve"> </w:t>
      </w:r>
      <w:r>
        <w:rPr>
          <w:rFonts w:ascii="微软雅黑" w:hAnsi="微软雅黑" w:eastAsia="微软雅黑" w:cs="微软雅黑"/>
          <w:spacing w:val="27"/>
          <w:sz w:val="16"/>
          <w:szCs w:val="16"/>
        </w:rPr>
        <w:t>解 明</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显</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低</w:t>
      </w:r>
      <w:r>
        <w:rPr>
          <w:rFonts w:ascii="微软雅黑" w:hAnsi="微软雅黑" w:eastAsia="微软雅黑" w:cs="微软雅黑"/>
          <w:spacing w:val="-10"/>
          <w:sz w:val="16"/>
          <w:szCs w:val="16"/>
        </w:rPr>
        <w:t xml:space="preserve"> </w:t>
      </w:r>
      <w:r>
        <w:rPr>
          <w:rFonts w:ascii="微软雅黑" w:hAnsi="微软雅黑" w:eastAsia="微软雅黑" w:cs="微软雅黑"/>
          <w:spacing w:val="27"/>
          <w:sz w:val="16"/>
          <w:szCs w:val="16"/>
        </w:rPr>
        <w:t>于</w:t>
      </w:r>
      <w:r>
        <w:rPr>
          <w:rFonts w:ascii="微软雅黑" w:hAnsi="微软雅黑" w:eastAsia="微软雅黑" w:cs="微软雅黑"/>
          <w:spacing w:val="-17"/>
          <w:sz w:val="16"/>
          <w:szCs w:val="16"/>
        </w:rPr>
        <w:t xml:space="preserve"> </w:t>
      </w:r>
      <w:r>
        <w:rPr>
          <w:rFonts w:ascii="微软雅黑" w:hAnsi="微软雅黑" w:eastAsia="微软雅黑" w:cs="微软雅黑"/>
          <w:spacing w:val="27"/>
          <w:sz w:val="16"/>
          <w:szCs w:val="16"/>
        </w:rPr>
        <w:t>前</w:t>
      </w:r>
      <w:r>
        <w:rPr>
          <w:rFonts w:ascii="微软雅黑" w:hAnsi="微软雅黑" w:eastAsia="微软雅黑" w:cs="微软雅黑"/>
          <w:spacing w:val="-13"/>
          <w:sz w:val="16"/>
          <w:szCs w:val="16"/>
        </w:rPr>
        <w:t xml:space="preserve"> </w:t>
      </w:r>
      <w:r>
        <w:rPr>
          <w:rFonts w:ascii="微软雅黑" w:hAnsi="微软雅黑" w:eastAsia="微软雅黑" w:cs="微软雅黑"/>
          <w:spacing w:val="27"/>
          <w:sz w:val="16"/>
          <w:szCs w:val="16"/>
        </w:rPr>
        <w:t>三</w:t>
      </w:r>
      <w:r>
        <w:rPr>
          <w:rFonts w:ascii="微软雅黑" w:hAnsi="微软雅黑" w:eastAsia="微软雅黑" w:cs="微软雅黑"/>
          <w:spacing w:val="-15"/>
          <w:sz w:val="16"/>
          <w:szCs w:val="16"/>
        </w:rPr>
        <w:t xml:space="preserve"> </w:t>
      </w:r>
      <w:r>
        <w:rPr>
          <w:rFonts w:ascii="微软雅黑" w:hAnsi="微软雅黑" w:eastAsia="微软雅黑" w:cs="微软雅黑"/>
          <w:spacing w:val="27"/>
          <w:sz w:val="16"/>
          <w:szCs w:val="16"/>
        </w:rPr>
        <w:t>者（如</w:t>
      </w:r>
      <w:r>
        <w:rPr>
          <w:rFonts w:ascii="微软雅黑" w:hAnsi="微软雅黑" w:eastAsia="微软雅黑" w:cs="微软雅黑"/>
          <w:spacing w:val="-15"/>
          <w:sz w:val="16"/>
          <w:szCs w:val="16"/>
        </w:rPr>
        <w:t xml:space="preserve"> </w:t>
      </w:r>
      <w:r>
        <w:rPr>
          <w:rFonts w:ascii="微软雅黑" w:hAnsi="微软雅黑" w:eastAsia="微软雅黑" w:cs="微软雅黑"/>
          <w:spacing w:val="27"/>
          <w:sz w:val="16"/>
          <w:szCs w:val="16"/>
        </w:rPr>
        <w:t>表</w:t>
      </w:r>
      <w:r>
        <w:rPr>
          <w:rFonts w:ascii="微软雅黑" w:hAnsi="微软雅黑" w:eastAsia="微软雅黑" w:cs="微软雅黑"/>
          <w:spacing w:val="45"/>
          <w:sz w:val="16"/>
          <w:szCs w:val="16"/>
        </w:rPr>
        <w:t xml:space="preserve"> </w:t>
      </w:r>
      <w:r>
        <w:rPr>
          <w:rFonts w:ascii="Arial" w:hAnsi="Arial" w:eastAsia="Arial" w:cs="Arial"/>
          <w:spacing w:val="27"/>
          <w:position w:val="-2"/>
          <w:sz w:val="16"/>
          <w:szCs w:val="16"/>
        </w:rPr>
        <w:t>1</w:t>
      </w:r>
      <w:r>
        <w:rPr>
          <w:rFonts w:ascii="Arial" w:hAnsi="Arial" w:eastAsia="Arial" w:cs="Arial"/>
          <w:position w:val="-2"/>
          <w:sz w:val="16"/>
          <w:szCs w:val="16"/>
        </w:rPr>
        <w:t xml:space="preserve"> </w:t>
      </w:r>
      <w:r>
        <w:rPr>
          <w:rFonts w:ascii="微软雅黑" w:hAnsi="微软雅黑" w:eastAsia="微软雅黑" w:cs="微软雅黑"/>
          <w:spacing w:val="33"/>
          <w:sz w:val="16"/>
          <w:szCs w:val="16"/>
        </w:rPr>
        <w:t>所示）。</w:t>
      </w:r>
      <w:r>
        <w:rPr>
          <w:rFonts w:ascii="微软雅黑" w:hAnsi="微软雅黑" w:eastAsia="微软雅黑" w:cs="微软雅黑"/>
          <w:spacing w:val="-3"/>
          <w:sz w:val="16"/>
          <w:szCs w:val="16"/>
        </w:rPr>
        <w:t xml:space="preserve"> </w:t>
      </w:r>
      <w:r>
        <w:rPr>
          <w:rFonts w:ascii="微软雅黑" w:hAnsi="微软雅黑" w:eastAsia="微软雅黑" w:cs="微软雅黑"/>
          <w:spacing w:val="33"/>
          <w:sz w:val="16"/>
          <w:szCs w:val="16"/>
        </w:rPr>
        <w:t>在进</w:t>
      </w:r>
      <w:r>
        <w:rPr>
          <w:rFonts w:ascii="微软雅黑" w:hAnsi="微软雅黑" w:eastAsia="微软雅黑" w:cs="微软雅黑"/>
          <w:spacing w:val="-28"/>
          <w:sz w:val="16"/>
          <w:szCs w:val="16"/>
        </w:rPr>
        <w:t xml:space="preserve"> </w:t>
      </w:r>
      <w:r>
        <w:rPr>
          <w:rFonts w:ascii="微软雅黑" w:hAnsi="微软雅黑" w:eastAsia="微软雅黑" w:cs="微软雅黑"/>
          <w:spacing w:val="33"/>
          <w:sz w:val="16"/>
          <w:szCs w:val="16"/>
        </w:rPr>
        <w:t>一</w:t>
      </w:r>
      <w:r>
        <w:rPr>
          <w:rFonts w:ascii="微软雅黑" w:hAnsi="微软雅黑" w:eastAsia="微软雅黑" w:cs="微软雅黑"/>
          <w:spacing w:val="-17"/>
          <w:sz w:val="16"/>
          <w:szCs w:val="16"/>
        </w:rPr>
        <w:t xml:space="preserve"> </w:t>
      </w:r>
      <w:r>
        <w:rPr>
          <w:rFonts w:ascii="微软雅黑" w:hAnsi="微软雅黑" w:eastAsia="微软雅黑" w:cs="微软雅黑"/>
          <w:spacing w:val="33"/>
          <w:sz w:val="16"/>
          <w:szCs w:val="16"/>
        </w:rPr>
        <w:t>步针对质量价</w:t>
      </w:r>
      <w:r>
        <w:rPr>
          <w:rFonts w:ascii="微软雅黑" w:hAnsi="微软雅黑" w:eastAsia="微软雅黑" w:cs="微软雅黑"/>
          <w:spacing w:val="-20"/>
          <w:sz w:val="16"/>
          <w:szCs w:val="16"/>
        </w:rPr>
        <w:t xml:space="preserve"> </w:t>
      </w:r>
      <w:r>
        <w:rPr>
          <w:rFonts w:ascii="微软雅黑" w:hAnsi="微软雅黑" w:eastAsia="微软雅黑" w:cs="微软雅黑"/>
          <w:spacing w:val="33"/>
          <w:sz w:val="16"/>
          <w:szCs w:val="16"/>
        </w:rPr>
        <w:t>值</w:t>
      </w:r>
      <w:r>
        <w:rPr>
          <w:rFonts w:ascii="微软雅黑" w:hAnsi="微软雅黑" w:eastAsia="微软雅黑" w:cs="微软雅黑"/>
          <w:spacing w:val="-15"/>
          <w:sz w:val="16"/>
          <w:szCs w:val="16"/>
        </w:rPr>
        <w:t xml:space="preserve"> </w:t>
      </w:r>
      <w:r>
        <w:rPr>
          <w:rFonts w:ascii="微软雅黑" w:hAnsi="微软雅黑" w:eastAsia="微软雅黑" w:cs="微软雅黑"/>
          <w:spacing w:val="33"/>
          <w:sz w:val="16"/>
          <w:szCs w:val="16"/>
        </w:rPr>
        <w:t>观</w:t>
      </w:r>
      <w:r>
        <w:rPr>
          <w:rFonts w:ascii="微软雅黑" w:hAnsi="微软雅黑" w:eastAsia="微软雅黑" w:cs="微软雅黑"/>
          <w:spacing w:val="-18"/>
          <w:sz w:val="16"/>
          <w:szCs w:val="16"/>
        </w:rPr>
        <w:t xml:space="preserve"> </w:t>
      </w:r>
      <w:r>
        <w:rPr>
          <w:rFonts w:ascii="微软雅黑" w:hAnsi="微软雅黑" w:eastAsia="微软雅黑" w:cs="微软雅黑"/>
          <w:spacing w:val="33"/>
          <w:sz w:val="16"/>
          <w:szCs w:val="16"/>
        </w:rPr>
        <w:t>进</w:t>
      </w:r>
      <w:r>
        <w:rPr>
          <w:rFonts w:ascii="微软雅黑" w:hAnsi="微软雅黑" w:eastAsia="微软雅黑" w:cs="微软雅黑"/>
          <w:spacing w:val="-19"/>
          <w:sz w:val="16"/>
          <w:szCs w:val="16"/>
        </w:rPr>
        <w:t xml:space="preserve"> </w:t>
      </w:r>
      <w:r>
        <w:rPr>
          <w:rFonts w:ascii="微软雅黑" w:hAnsi="微软雅黑" w:eastAsia="微软雅黑" w:cs="微软雅黑"/>
          <w:spacing w:val="33"/>
          <w:sz w:val="16"/>
          <w:szCs w:val="16"/>
        </w:rPr>
        <w:t>行</w:t>
      </w:r>
      <w:r>
        <w:rPr>
          <w:rFonts w:ascii="微软雅黑" w:hAnsi="微软雅黑" w:eastAsia="微软雅黑" w:cs="微软雅黑"/>
          <w:spacing w:val="-17"/>
          <w:sz w:val="16"/>
          <w:szCs w:val="16"/>
        </w:rPr>
        <w:t xml:space="preserve"> </w:t>
      </w:r>
      <w:r>
        <w:rPr>
          <w:rFonts w:ascii="微软雅黑" w:hAnsi="微软雅黑" w:eastAsia="微软雅黑" w:cs="微软雅黑"/>
          <w:spacing w:val="33"/>
          <w:sz w:val="16"/>
          <w:szCs w:val="16"/>
        </w:rPr>
        <w:t>调</w:t>
      </w:r>
      <w:r>
        <w:rPr>
          <w:rFonts w:ascii="微软雅黑" w:hAnsi="微软雅黑" w:eastAsia="微软雅黑" w:cs="微软雅黑"/>
          <w:spacing w:val="-20"/>
          <w:sz w:val="16"/>
          <w:szCs w:val="16"/>
        </w:rPr>
        <w:t xml:space="preserve"> </w:t>
      </w:r>
      <w:r>
        <w:rPr>
          <w:rFonts w:ascii="微软雅黑" w:hAnsi="微软雅黑" w:eastAsia="微软雅黑" w:cs="微软雅黑"/>
          <w:spacing w:val="33"/>
          <w:sz w:val="16"/>
          <w:szCs w:val="16"/>
        </w:rPr>
        <w:t>查</w:t>
      </w:r>
      <w:r>
        <w:rPr>
          <w:rFonts w:ascii="微软雅黑" w:hAnsi="微软雅黑" w:eastAsia="微软雅黑" w:cs="微软雅黑"/>
          <w:spacing w:val="-3"/>
          <w:sz w:val="16"/>
          <w:szCs w:val="16"/>
        </w:rPr>
        <w:t xml:space="preserve"> </w:t>
      </w:r>
      <w:r>
        <w:rPr>
          <w:rFonts w:ascii="微软雅黑" w:hAnsi="微软雅黑" w:eastAsia="微软雅黑" w:cs="微软雅黑"/>
          <w:spacing w:val="33"/>
          <w:sz w:val="16"/>
          <w:szCs w:val="16"/>
        </w:rPr>
        <w:t>的</w:t>
      </w:r>
      <w:r>
        <w:rPr>
          <w:rFonts w:ascii="微软雅黑" w:hAnsi="微软雅黑" w:eastAsia="微软雅黑" w:cs="微软雅黑"/>
          <w:spacing w:val="-16"/>
          <w:sz w:val="16"/>
          <w:szCs w:val="16"/>
        </w:rPr>
        <w:t xml:space="preserve"> </w:t>
      </w:r>
      <w:r>
        <w:rPr>
          <w:rFonts w:ascii="微软雅黑" w:hAnsi="微软雅黑" w:eastAsia="微软雅黑" w:cs="微软雅黑"/>
          <w:spacing w:val="33"/>
          <w:sz w:val="16"/>
          <w:szCs w:val="16"/>
        </w:rPr>
        <w:t>过</w:t>
      </w:r>
      <w:r>
        <w:rPr>
          <w:rFonts w:ascii="微软雅黑" w:hAnsi="微软雅黑" w:eastAsia="微软雅黑" w:cs="微软雅黑"/>
          <w:spacing w:val="-18"/>
          <w:sz w:val="16"/>
          <w:szCs w:val="16"/>
        </w:rPr>
        <w:t xml:space="preserve"> </w:t>
      </w:r>
      <w:r>
        <w:rPr>
          <w:rFonts w:ascii="微软雅黑" w:hAnsi="微软雅黑" w:eastAsia="微软雅黑" w:cs="微软雅黑"/>
          <w:spacing w:val="33"/>
          <w:sz w:val="16"/>
          <w:szCs w:val="16"/>
        </w:rPr>
        <w:t>程</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中发现</w:t>
      </w:r>
      <w:r>
        <w:rPr>
          <w:rFonts w:ascii="微软雅黑" w:hAnsi="微软雅黑" w:eastAsia="微软雅黑" w:cs="微软雅黑"/>
          <w:spacing w:val="-9"/>
          <w:sz w:val="16"/>
          <w:szCs w:val="16"/>
        </w:rPr>
        <w:t xml:space="preserve"> </w:t>
      </w:r>
      <w:r>
        <w:rPr>
          <w:rFonts w:ascii="微软雅黑" w:hAnsi="微软雅黑" w:eastAsia="微软雅黑" w:cs="微软雅黑"/>
          <w:spacing w:val="36"/>
          <w:sz w:val="16"/>
          <w:szCs w:val="16"/>
        </w:rPr>
        <w:t>，学校教职工在质量价</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值</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观</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方</w:t>
      </w:r>
      <w:r>
        <w:rPr>
          <w:rFonts w:ascii="微软雅黑" w:hAnsi="微软雅黑" w:eastAsia="微软雅黑" w:cs="微软雅黑"/>
          <w:spacing w:val="-12"/>
          <w:sz w:val="16"/>
          <w:szCs w:val="16"/>
        </w:rPr>
        <w:t xml:space="preserve"> </w:t>
      </w:r>
      <w:r>
        <w:rPr>
          <w:rFonts w:ascii="微软雅黑" w:hAnsi="微软雅黑" w:eastAsia="微软雅黑" w:cs="微软雅黑"/>
          <w:spacing w:val="36"/>
          <w:sz w:val="16"/>
          <w:szCs w:val="16"/>
        </w:rPr>
        <w:t>面</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并</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没</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有</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形</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成</w:t>
      </w:r>
      <w:r>
        <w:rPr>
          <w:rFonts w:ascii="微软雅黑" w:hAnsi="微软雅黑" w:eastAsia="微软雅黑" w:cs="微软雅黑"/>
          <w:sz w:val="16"/>
          <w:szCs w:val="16"/>
        </w:rPr>
        <w:t xml:space="preserve"> </w:t>
      </w:r>
      <w:r>
        <w:rPr>
          <w:rFonts w:ascii="微软雅黑" w:hAnsi="微软雅黑" w:eastAsia="微软雅黑" w:cs="微软雅黑"/>
          <w:spacing w:val="30"/>
          <w:sz w:val="16"/>
          <w:szCs w:val="16"/>
        </w:rPr>
        <w:t>高度统</w:t>
      </w:r>
      <w:r>
        <w:rPr>
          <w:rFonts w:ascii="微软雅黑" w:hAnsi="微软雅黑" w:eastAsia="微软雅黑" w:cs="微软雅黑"/>
          <w:spacing w:val="-28"/>
          <w:sz w:val="16"/>
          <w:szCs w:val="16"/>
        </w:rPr>
        <w:t xml:space="preserve"> </w:t>
      </w:r>
      <w:r>
        <w:rPr>
          <w:rFonts w:ascii="微软雅黑" w:hAnsi="微软雅黑" w:eastAsia="微软雅黑" w:cs="微软雅黑"/>
          <w:spacing w:val="30"/>
          <w:sz w:val="16"/>
          <w:szCs w:val="16"/>
        </w:rPr>
        <w:t>一</w:t>
      </w:r>
      <w:r>
        <w:rPr>
          <w:rFonts w:ascii="微软雅黑" w:hAnsi="微软雅黑" w:eastAsia="微软雅黑" w:cs="微软雅黑"/>
          <w:spacing w:val="-13"/>
          <w:sz w:val="16"/>
          <w:szCs w:val="16"/>
        </w:rPr>
        <w:t xml:space="preserve"> </w:t>
      </w:r>
      <w:r>
        <w:rPr>
          <w:rFonts w:ascii="微软雅黑" w:hAnsi="微软雅黑" w:eastAsia="微软雅黑" w:cs="微软雅黑"/>
          <w:spacing w:val="30"/>
          <w:sz w:val="16"/>
          <w:szCs w:val="16"/>
        </w:rPr>
        <w:t>的认识（如表</w:t>
      </w:r>
      <w:r>
        <w:rPr>
          <w:rFonts w:ascii="微软雅黑" w:hAnsi="微软雅黑" w:eastAsia="微软雅黑" w:cs="微软雅黑"/>
          <w:spacing w:val="27"/>
          <w:w w:val="101"/>
          <w:sz w:val="16"/>
          <w:szCs w:val="16"/>
        </w:rPr>
        <w:t xml:space="preserve"> </w:t>
      </w:r>
      <w:r>
        <w:rPr>
          <w:rFonts w:ascii="Arial" w:hAnsi="Arial" w:eastAsia="Arial" w:cs="Arial"/>
          <w:spacing w:val="30"/>
          <w:sz w:val="16"/>
          <w:szCs w:val="16"/>
        </w:rPr>
        <w:t>2</w:t>
      </w:r>
      <w:r>
        <w:rPr>
          <w:rFonts w:ascii="微软雅黑" w:hAnsi="微软雅黑" w:eastAsia="微软雅黑" w:cs="微软雅黑"/>
          <w:spacing w:val="30"/>
          <w:sz w:val="16"/>
          <w:szCs w:val="16"/>
        </w:rPr>
        <w:t>所示）。</w:t>
      </w:r>
    </w:p>
    <w:p>
      <w:pPr>
        <w:spacing w:before="76" w:line="207" w:lineRule="auto"/>
        <w:ind w:left="108"/>
        <w:rPr>
          <w:rFonts w:ascii="微软雅黑" w:hAnsi="微软雅黑" w:eastAsia="微软雅黑" w:cs="微软雅黑"/>
          <w:sz w:val="16"/>
          <w:szCs w:val="16"/>
        </w:rPr>
      </w:pPr>
      <w:r>
        <w:rPr>
          <w:rFonts w:ascii="微软雅黑" w:hAnsi="微软雅黑" w:eastAsia="微软雅黑" w:cs="微软雅黑"/>
          <w:spacing w:val="7"/>
          <w:sz w:val="16"/>
          <w:szCs w:val="16"/>
        </w:rPr>
        <w:t xml:space="preserve">表 </w:t>
      </w:r>
      <w:r>
        <w:rPr>
          <w:rFonts w:ascii="Arial" w:hAnsi="Arial" w:eastAsia="Arial" w:cs="Arial"/>
          <w:spacing w:val="7"/>
          <w:sz w:val="16"/>
          <w:szCs w:val="16"/>
        </w:rPr>
        <w:t xml:space="preserve">1    </w:t>
      </w:r>
      <w:r>
        <w:rPr>
          <w:rFonts w:ascii="微软雅黑" w:hAnsi="微软雅黑" w:eastAsia="微软雅黑" w:cs="微软雅黑"/>
          <w:spacing w:val="7"/>
          <w:sz w:val="16"/>
          <w:szCs w:val="16"/>
        </w:rPr>
        <w:t xml:space="preserve">学校教职工对学校战略定位及质量观念的了解程度( </w:t>
      </w:r>
      <w:r>
        <w:rPr>
          <w:rFonts w:ascii="Arial" w:hAnsi="Arial" w:eastAsia="Arial" w:cs="Arial"/>
          <w:spacing w:val="6"/>
          <w:sz w:val="16"/>
          <w:szCs w:val="16"/>
        </w:rPr>
        <w:t>%</w:t>
      </w:r>
      <w:r>
        <w:rPr>
          <w:rFonts w:ascii="微软雅黑" w:hAnsi="微软雅黑" w:eastAsia="微软雅黑" w:cs="微软雅黑"/>
          <w:spacing w:val="6"/>
          <w:sz w:val="16"/>
          <w:szCs w:val="16"/>
        </w:rPr>
        <w:t>)</w:t>
      </w:r>
    </w:p>
    <w:p>
      <w:pPr>
        <w:spacing w:line="33" w:lineRule="exact"/>
      </w:pPr>
    </w:p>
    <w:tbl>
      <w:tblPr>
        <w:tblStyle w:val="5"/>
        <w:tblW w:w="4640" w:type="dxa"/>
        <w:tblInd w:w="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7"/>
        <w:gridCol w:w="899"/>
        <w:gridCol w:w="988"/>
        <w:gridCol w:w="9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807" w:type="dxa"/>
            <w:tcBorders>
              <w:top w:val="single" w:color="000000" w:sz="6" w:space="0"/>
              <w:left w:val="single" w:color="000000" w:sz="6" w:space="0"/>
            </w:tcBorders>
            <w:vAlign w:val="top"/>
          </w:tcPr>
          <w:p>
            <w:pPr>
              <w:rPr>
                <w:rFonts w:ascii="Arial"/>
                <w:sz w:val="21"/>
              </w:rPr>
            </w:pPr>
          </w:p>
        </w:tc>
        <w:tc>
          <w:tcPr>
            <w:tcW w:w="899" w:type="dxa"/>
            <w:tcBorders>
              <w:top w:val="single" w:color="000000" w:sz="6" w:space="0"/>
            </w:tcBorders>
            <w:vAlign w:val="top"/>
          </w:tcPr>
          <w:p>
            <w:pPr>
              <w:pStyle w:val="6"/>
              <w:spacing w:before="52" w:line="172" w:lineRule="auto"/>
              <w:ind w:left="274"/>
              <w:rPr>
                <w:sz w:val="16"/>
                <w:szCs w:val="16"/>
              </w:rPr>
            </w:pPr>
            <w:r>
              <w:rPr>
                <w:spacing w:val="11"/>
                <w:sz w:val="16"/>
                <w:szCs w:val="16"/>
              </w:rPr>
              <w:t>知道</w:t>
            </w:r>
          </w:p>
        </w:tc>
        <w:tc>
          <w:tcPr>
            <w:tcW w:w="988" w:type="dxa"/>
            <w:tcBorders>
              <w:top w:val="single" w:color="000000" w:sz="6" w:space="0"/>
            </w:tcBorders>
            <w:vAlign w:val="top"/>
          </w:tcPr>
          <w:p>
            <w:pPr>
              <w:pStyle w:val="6"/>
              <w:spacing w:before="52" w:line="172" w:lineRule="auto"/>
              <w:ind w:left="242"/>
              <w:rPr>
                <w:sz w:val="16"/>
                <w:szCs w:val="16"/>
              </w:rPr>
            </w:pPr>
            <w:r>
              <w:rPr>
                <w:spacing w:val="11"/>
                <w:sz w:val="16"/>
                <w:szCs w:val="16"/>
              </w:rPr>
              <w:t>不知道</w:t>
            </w:r>
          </w:p>
        </w:tc>
        <w:tc>
          <w:tcPr>
            <w:tcW w:w="946" w:type="dxa"/>
            <w:tcBorders>
              <w:top w:val="single" w:color="000000" w:sz="6" w:space="0"/>
              <w:right w:val="single" w:color="000000" w:sz="6" w:space="0"/>
            </w:tcBorders>
            <w:vAlign w:val="top"/>
          </w:tcPr>
          <w:p>
            <w:pPr>
              <w:pStyle w:val="6"/>
              <w:spacing w:before="52" w:line="172" w:lineRule="auto"/>
              <w:ind w:left="220"/>
              <w:rPr>
                <w:sz w:val="16"/>
                <w:szCs w:val="16"/>
              </w:rPr>
            </w:pPr>
            <w:r>
              <w:rPr>
                <w:spacing w:val="11"/>
                <w:sz w:val="16"/>
                <w:szCs w:val="16"/>
              </w:rPr>
              <w:t>不确定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807" w:type="dxa"/>
            <w:tcBorders>
              <w:left w:val="single" w:color="000000" w:sz="6" w:space="0"/>
            </w:tcBorders>
            <w:vAlign w:val="top"/>
          </w:tcPr>
          <w:p>
            <w:pPr>
              <w:pStyle w:val="6"/>
              <w:spacing w:before="58" w:line="170" w:lineRule="auto"/>
              <w:ind w:left="188"/>
              <w:rPr>
                <w:sz w:val="16"/>
                <w:szCs w:val="16"/>
              </w:rPr>
            </w:pPr>
            <w:r>
              <w:rPr>
                <w:spacing w:val="17"/>
                <w:sz w:val="16"/>
                <w:szCs w:val="16"/>
              </w:rPr>
              <w:t>对办学定位的了解</w:t>
            </w:r>
          </w:p>
        </w:tc>
        <w:tc>
          <w:tcPr>
            <w:tcW w:w="899" w:type="dxa"/>
            <w:vAlign w:val="top"/>
          </w:tcPr>
          <w:p>
            <w:pPr>
              <w:spacing w:before="71" w:line="199" w:lineRule="auto"/>
              <w:ind w:left="282"/>
              <w:rPr>
                <w:rFonts w:ascii="Arial" w:hAnsi="Arial" w:eastAsia="Arial" w:cs="Arial"/>
                <w:sz w:val="16"/>
                <w:szCs w:val="16"/>
              </w:rPr>
            </w:pPr>
            <w:r>
              <w:rPr>
                <w:rFonts w:ascii="Arial" w:hAnsi="Arial" w:eastAsia="Arial" w:cs="Arial"/>
                <w:spacing w:val="-13"/>
                <w:sz w:val="16"/>
                <w:szCs w:val="16"/>
              </w:rPr>
              <w:t>96</w:t>
            </w:r>
            <w:r>
              <w:rPr>
                <w:rFonts w:ascii="Arial" w:hAnsi="Arial" w:eastAsia="Arial" w:cs="Arial"/>
                <w:spacing w:val="-17"/>
                <w:sz w:val="16"/>
                <w:szCs w:val="16"/>
              </w:rPr>
              <w:t xml:space="preserve"> </w:t>
            </w:r>
            <w:r>
              <w:rPr>
                <w:rFonts w:ascii="Arial" w:hAnsi="Arial" w:eastAsia="Arial" w:cs="Arial"/>
                <w:spacing w:val="-13"/>
                <w:sz w:val="16"/>
                <w:szCs w:val="16"/>
              </w:rPr>
              <w:t>.</w:t>
            </w:r>
            <w:r>
              <w:rPr>
                <w:rFonts w:ascii="Arial" w:hAnsi="Arial" w:eastAsia="Arial" w:cs="Arial"/>
                <w:spacing w:val="23"/>
                <w:w w:val="101"/>
                <w:sz w:val="16"/>
                <w:szCs w:val="16"/>
              </w:rPr>
              <w:t xml:space="preserve"> </w:t>
            </w:r>
            <w:r>
              <w:rPr>
                <w:rFonts w:ascii="Arial" w:hAnsi="Arial" w:eastAsia="Arial" w:cs="Arial"/>
                <w:spacing w:val="-13"/>
                <w:sz w:val="16"/>
                <w:szCs w:val="16"/>
              </w:rPr>
              <w:t>7</w:t>
            </w:r>
          </w:p>
        </w:tc>
        <w:tc>
          <w:tcPr>
            <w:tcW w:w="988" w:type="dxa"/>
            <w:vAlign w:val="top"/>
          </w:tcPr>
          <w:p>
            <w:pPr>
              <w:spacing w:before="70" w:line="201" w:lineRule="auto"/>
              <w:ind w:left="376"/>
              <w:rPr>
                <w:rFonts w:ascii="Arial" w:hAnsi="Arial" w:eastAsia="Arial" w:cs="Arial"/>
                <w:sz w:val="16"/>
                <w:szCs w:val="16"/>
              </w:rPr>
            </w:pPr>
            <w:r>
              <w:rPr>
                <w:rFonts w:ascii="Arial" w:hAnsi="Arial" w:eastAsia="Arial" w:cs="Arial"/>
                <w:spacing w:val="-19"/>
                <w:sz w:val="16"/>
                <w:szCs w:val="16"/>
              </w:rPr>
              <w:t>1</w:t>
            </w:r>
            <w:r>
              <w:rPr>
                <w:rFonts w:ascii="Arial" w:hAnsi="Arial" w:eastAsia="Arial" w:cs="Arial"/>
                <w:spacing w:val="-13"/>
                <w:sz w:val="16"/>
                <w:szCs w:val="16"/>
              </w:rPr>
              <w:t xml:space="preserve"> </w:t>
            </w:r>
            <w:r>
              <w:rPr>
                <w:rFonts w:ascii="Arial" w:hAnsi="Arial" w:eastAsia="Arial" w:cs="Arial"/>
                <w:spacing w:val="-19"/>
                <w:sz w:val="16"/>
                <w:szCs w:val="16"/>
              </w:rPr>
              <w:t>.</w:t>
            </w:r>
            <w:r>
              <w:rPr>
                <w:rFonts w:ascii="Arial" w:hAnsi="Arial" w:eastAsia="Arial" w:cs="Arial"/>
                <w:spacing w:val="22"/>
                <w:w w:val="101"/>
                <w:sz w:val="16"/>
                <w:szCs w:val="16"/>
              </w:rPr>
              <w:t xml:space="preserve"> </w:t>
            </w:r>
            <w:r>
              <w:rPr>
                <w:rFonts w:ascii="Arial" w:hAnsi="Arial" w:eastAsia="Arial" w:cs="Arial"/>
                <w:spacing w:val="-19"/>
                <w:sz w:val="16"/>
                <w:szCs w:val="16"/>
              </w:rPr>
              <w:t>3</w:t>
            </w:r>
          </w:p>
        </w:tc>
        <w:tc>
          <w:tcPr>
            <w:tcW w:w="946" w:type="dxa"/>
            <w:tcBorders>
              <w:right w:val="single" w:color="000000" w:sz="6" w:space="0"/>
            </w:tcBorders>
            <w:vAlign w:val="top"/>
          </w:tcPr>
          <w:p>
            <w:pPr>
              <w:spacing w:before="69" w:line="202" w:lineRule="auto"/>
              <w:ind w:left="351"/>
              <w:rPr>
                <w:rFonts w:ascii="Arial" w:hAnsi="Arial" w:eastAsia="Arial" w:cs="Arial"/>
                <w:sz w:val="16"/>
                <w:szCs w:val="16"/>
              </w:rPr>
            </w:pPr>
            <w:r>
              <w:rPr>
                <w:rFonts w:ascii="Arial" w:hAnsi="Arial" w:eastAsia="Arial" w:cs="Arial"/>
                <w:spacing w:val="-16"/>
                <w:sz w:val="16"/>
                <w:szCs w:val="16"/>
              </w:rPr>
              <w:t>2</w:t>
            </w:r>
            <w:r>
              <w:rPr>
                <w:rFonts w:ascii="Arial" w:hAnsi="Arial" w:eastAsia="Arial" w:cs="Arial"/>
                <w:spacing w:val="-18"/>
                <w:sz w:val="16"/>
                <w:szCs w:val="16"/>
              </w:rPr>
              <w:t xml:space="preserve"> </w:t>
            </w:r>
            <w:r>
              <w:rPr>
                <w:rFonts w:ascii="Arial" w:hAnsi="Arial" w:eastAsia="Arial" w:cs="Arial"/>
                <w:spacing w:val="-16"/>
                <w:sz w:val="16"/>
                <w:szCs w:val="16"/>
              </w:rPr>
              <w:t>.</w:t>
            </w:r>
            <w:r>
              <w:rPr>
                <w:rFonts w:ascii="Arial" w:hAnsi="Arial" w:eastAsia="Arial" w:cs="Arial"/>
                <w:spacing w:val="19"/>
                <w:w w:val="101"/>
                <w:sz w:val="16"/>
                <w:szCs w:val="16"/>
              </w:rPr>
              <w:t xml:space="preserve"> </w:t>
            </w:r>
            <w:r>
              <w:rPr>
                <w:rFonts w:ascii="Arial" w:hAnsi="Arial" w:eastAsia="Arial" w:cs="Arial"/>
                <w:spacing w:val="-16"/>
                <w:sz w:val="16"/>
                <w:szCs w:val="16"/>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1807" w:type="dxa"/>
            <w:tcBorders>
              <w:left w:val="single" w:color="000000" w:sz="6" w:space="0"/>
            </w:tcBorders>
            <w:vAlign w:val="top"/>
          </w:tcPr>
          <w:p>
            <w:pPr>
              <w:pStyle w:val="6"/>
              <w:spacing w:before="62" w:line="166" w:lineRule="auto"/>
              <w:ind w:left="188"/>
              <w:rPr>
                <w:sz w:val="16"/>
                <w:szCs w:val="16"/>
              </w:rPr>
            </w:pPr>
            <w:r>
              <w:rPr>
                <w:spacing w:val="17"/>
                <w:sz w:val="16"/>
                <w:szCs w:val="16"/>
              </w:rPr>
              <w:t>对战略目标的了解</w:t>
            </w:r>
          </w:p>
        </w:tc>
        <w:tc>
          <w:tcPr>
            <w:tcW w:w="899" w:type="dxa"/>
            <w:vAlign w:val="top"/>
          </w:tcPr>
          <w:p>
            <w:pPr>
              <w:spacing w:before="75" w:line="199" w:lineRule="auto"/>
              <w:ind w:left="282"/>
              <w:rPr>
                <w:rFonts w:ascii="Arial" w:hAnsi="Arial" w:eastAsia="Arial" w:cs="Arial"/>
                <w:sz w:val="16"/>
                <w:szCs w:val="16"/>
              </w:rPr>
            </w:pPr>
            <w:r>
              <w:rPr>
                <w:rFonts w:ascii="Arial" w:hAnsi="Arial" w:eastAsia="Arial" w:cs="Arial"/>
                <w:spacing w:val="-12"/>
                <w:sz w:val="16"/>
                <w:szCs w:val="16"/>
              </w:rPr>
              <w:t>94</w:t>
            </w:r>
            <w:r>
              <w:rPr>
                <w:rFonts w:ascii="Arial" w:hAnsi="Arial" w:eastAsia="Arial" w:cs="Arial"/>
                <w:spacing w:val="-21"/>
                <w:sz w:val="16"/>
                <w:szCs w:val="16"/>
              </w:rPr>
              <w:t xml:space="preserve"> </w:t>
            </w:r>
            <w:r>
              <w:rPr>
                <w:rFonts w:ascii="Arial" w:hAnsi="Arial" w:eastAsia="Arial" w:cs="Arial"/>
                <w:spacing w:val="-12"/>
                <w:sz w:val="16"/>
                <w:szCs w:val="16"/>
              </w:rPr>
              <w:t>.</w:t>
            </w:r>
            <w:r>
              <w:rPr>
                <w:rFonts w:ascii="Arial" w:hAnsi="Arial" w:eastAsia="Arial" w:cs="Arial"/>
                <w:spacing w:val="23"/>
                <w:w w:val="101"/>
                <w:sz w:val="16"/>
                <w:szCs w:val="16"/>
              </w:rPr>
              <w:t xml:space="preserve"> </w:t>
            </w:r>
            <w:r>
              <w:rPr>
                <w:rFonts w:ascii="Arial" w:hAnsi="Arial" w:eastAsia="Arial" w:cs="Arial"/>
                <w:spacing w:val="-12"/>
                <w:sz w:val="16"/>
                <w:szCs w:val="16"/>
              </w:rPr>
              <w:t>5</w:t>
            </w:r>
          </w:p>
        </w:tc>
        <w:tc>
          <w:tcPr>
            <w:tcW w:w="988" w:type="dxa"/>
            <w:vAlign w:val="top"/>
          </w:tcPr>
          <w:p>
            <w:pPr>
              <w:spacing w:before="73" w:line="202" w:lineRule="auto"/>
              <w:ind w:left="376"/>
              <w:rPr>
                <w:rFonts w:ascii="Arial" w:hAnsi="Arial" w:eastAsia="Arial" w:cs="Arial"/>
                <w:sz w:val="16"/>
                <w:szCs w:val="16"/>
              </w:rPr>
            </w:pPr>
            <w:r>
              <w:rPr>
                <w:rFonts w:ascii="Arial" w:hAnsi="Arial" w:eastAsia="Arial" w:cs="Arial"/>
                <w:spacing w:val="-16"/>
                <w:sz w:val="16"/>
                <w:szCs w:val="16"/>
              </w:rPr>
              <w:t>1</w:t>
            </w:r>
            <w:r>
              <w:rPr>
                <w:rFonts w:ascii="Arial" w:hAnsi="Arial" w:eastAsia="Arial" w:cs="Arial"/>
                <w:spacing w:val="-11"/>
                <w:sz w:val="16"/>
                <w:szCs w:val="16"/>
              </w:rPr>
              <w:t xml:space="preserve"> </w:t>
            </w:r>
            <w:r>
              <w:rPr>
                <w:rFonts w:ascii="Arial" w:hAnsi="Arial" w:eastAsia="Arial" w:cs="Arial"/>
                <w:spacing w:val="-16"/>
                <w:sz w:val="16"/>
                <w:szCs w:val="16"/>
              </w:rPr>
              <w:t>.  9</w:t>
            </w:r>
          </w:p>
        </w:tc>
        <w:tc>
          <w:tcPr>
            <w:tcW w:w="946" w:type="dxa"/>
            <w:tcBorders>
              <w:right w:val="single" w:color="000000" w:sz="6" w:space="0"/>
            </w:tcBorders>
            <w:vAlign w:val="top"/>
          </w:tcPr>
          <w:p>
            <w:pPr>
              <w:spacing w:before="75" w:line="199" w:lineRule="auto"/>
              <w:ind w:left="352"/>
              <w:rPr>
                <w:rFonts w:ascii="Arial" w:hAnsi="Arial" w:eastAsia="Arial" w:cs="Arial"/>
                <w:sz w:val="16"/>
                <w:szCs w:val="16"/>
              </w:rPr>
            </w:pPr>
            <w:r>
              <w:rPr>
                <w:rFonts w:ascii="Arial" w:hAnsi="Arial" w:eastAsia="Arial" w:cs="Arial"/>
                <w:spacing w:val="-17"/>
                <w:sz w:val="16"/>
                <w:szCs w:val="16"/>
              </w:rPr>
              <w:t>3</w:t>
            </w:r>
            <w:r>
              <w:rPr>
                <w:rFonts w:ascii="Arial" w:hAnsi="Arial" w:eastAsia="Arial" w:cs="Arial"/>
                <w:spacing w:val="-16"/>
                <w:sz w:val="16"/>
                <w:szCs w:val="16"/>
              </w:rPr>
              <w:t xml:space="preserve"> </w:t>
            </w:r>
            <w:r>
              <w:rPr>
                <w:rFonts w:ascii="Arial" w:hAnsi="Arial" w:eastAsia="Arial" w:cs="Arial"/>
                <w:spacing w:val="-17"/>
                <w:sz w:val="16"/>
                <w:szCs w:val="16"/>
              </w:rPr>
              <w:t>.</w:t>
            </w:r>
            <w:r>
              <w:rPr>
                <w:rFonts w:ascii="Arial" w:hAnsi="Arial" w:eastAsia="Arial" w:cs="Arial"/>
                <w:spacing w:val="23"/>
                <w:w w:val="101"/>
                <w:sz w:val="16"/>
                <w:szCs w:val="16"/>
              </w:rPr>
              <w:t xml:space="preserve"> </w:t>
            </w:r>
            <w:r>
              <w:rPr>
                <w:rFonts w:ascii="Arial" w:hAnsi="Arial" w:eastAsia="Arial" w:cs="Arial"/>
                <w:spacing w:val="-17"/>
                <w:sz w:val="16"/>
                <w:szCs w:val="16"/>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807" w:type="dxa"/>
            <w:tcBorders>
              <w:left w:val="single" w:color="000000" w:sz="6" w:space="0"/>
            </w:tcBorders>
            <w:vAlign w:val="top"/>
          </w:tcPr>
          <w:p>
            <w:pPr>
              <w:pStyle w:val="6"/>
              <w:spacing w:before="64" w:line="166" w:lineRule="auto"/>
              <w:ind w:left="188"/>
              <w:rPr>
                <w:sz w:val="16"/>
                <w:szCs w:val="16"/>
              </w:rPr>
            </w:pPr>
            <w:r>
              <w:rPr>
                <w:spacing w:val="17"/>
                <w:sz w:val="16"/>
                <w:szCs w:val="16"/>
              </w:rPr>
              <w:t>对办学理念的了解</w:t>
            </w:r>
          </w:p>
        </w:tc>
        <w:tc>
          <w:tcPr>
            <w:tcW w:w="899" w:type="dxa"/>
            <w:vAlign w:val="top"/>
          </w:tcPr>
          <w:p>
            <w:pPr>
              <w:spacing w:before="78" w:line="199" w:lineRule="auto"/>
              <w:ind w:left="282"/>
              <w:rPr>
                <w:rFonts w:ascii="Arial" w:hAnsi="Arial" w:eastAsia="Arial" w:cs="Arial"/>
                <w:sz w:val="16"/>
                <w:szCs w:val="16"/>
              </w:rPr>
            </w:pPr>
            <w:r>
              <w:rPr>
                <w:rFonts w:ascii="Arial" w:hAnsi="Arial" w:eastAsia="Arial" w:cs="Arial"/>
                <w:spacing w:val="-13"/>
                <w:sz w:val="16"/>
                <w:szCs w:val="16"/>
              </w:rPr>
              <w:t>96</w:t>
            </w:r>
            <w:r>
              <w:rPr>
                <w:rFonts w:ascii="Arial" w:hAnsi="Arial" w:eastAsia="Arial" w:cs="Arial"/>
                <w:spacing w:val="-17"/>
                <w:sz w:val="16"/>
                <w:szCs w:val="16"/>
              </w:rPr>
              <w:t xml:space="preserve"> </w:t>
            </w:r>
            <w:r>
              <w:rPr>
                <w:rFonts w:ascii="Arial" w:hAnsi="Arial" w:eastAsia="Arial" w:cs="Arial"/>
                <w:spacing w:val="-13"/>
                <w:sz w:val="16"/>
                <w:szCs w:val="16"/>
              </w:rPr>
              <w:t>.</w:t>
            </w:r>
            <w:r>
              <w:rPr>
                <w:rFonts w:ascii="Arial" w:hAnsi="Arial" w:eastAsia="Arial" w:cs="Arial"/>
                <w:spacing w:val="23"/>
                <w:sz w:val="16"/>
                <w:szCs w:val="16"/>
              </w:rPr>
              <w:t xml:space="preserve"> </w:t>
            </w:r>
            <w:r>
              <w:rPr>
                <w:rFonts w:ascii="Arial" w:hAnsi="Arial" w:eastAsia="Arial" w:cs="Arial"/>
                <w:spacing w:val="-13"/>
                <w:sz w:val="16"/>
                <w:szCs w:val="16"/>
              </w:rPr>
              <w:t>3</w:t>
            </w:r>
          </w:p>
        </w:tc>
        <w:tc>
          <w:tcPr>
            <w:tcW w:w="988" w:type="dxa"/>
            <w:vAlign w:val="top"/>
          </w:tcPr>
          <w:p>
            <w:pPr>
              <w:spacing w:before="76" w:line="204" w:lineRule="auto"/>
              <w:ind w:left="376"/>
              <w:rPr>
                <w:rFonts w:ascii="Arial" w:hAnsi="Arial" w:eastAsia="Arial" w:cs="Arial"/>
                <w:sz w:val="16"/>
                <w:szCs w:val="16"/>
              </w:rPr>
            </w:pPr>
            <w:r>
              <w:rPr>
                <w:rFonts w:ascii="Arial" w:hAnsi="Arial" w:eastAsia="Arial" w:cs="Arial"/>
                <w:spacing w:val="-15"/>
                <w:sz w:val="16"/>
                <w:szCs w:val="16"/>
              </w:rPr>
              <w:t>1</w:t>
            </w:r>
            <w:r>
              <w:rPr>
                <w:rFonts w:ascii="Arial" w:hAnsi="Arial" w:eastAsia="Arial" w:cs="Arial"/>
                <w:spacing w:val="-14"/>
                <w:sz w:val="16"/>
                <w:szCs w:val="16"/>
              </w:rPr>
              <w:t xml:space="preserve"> </w:t>
            </w:r>
            <w:r>
              <w:rPr>
                <w:rFonts w:ascii="Arial" w:hAnsi="Arial" w:eastAsia="Arial" w:cs="Arial"/>
                <w:spacing w:val="-15"/>
                <w:sz w:val="16"/>
                <w:szCs w:val="16"/>
              </w:rPr>
              <w:t>.  1</w:t>
            </w:r>
          </w:p>
        </w:tc>
        <w:tc>
          <w:tcPr>
            <w:tcW w:w="946" w:type="dxa"/>
            <w:tcBorders>
              <w:right w:val="single" w:color="000000" w:sz="6" w:space="0"/>
            </w:tcBorders>
            <w:vAlign w:val="top"/>
          </w:tcPr>
          <w:p>
            <w:pPr>
              <w:spacing w:before="76" w:line="204" w:lineRule="auto"/>
              <w:ind w:left="351"/>
              <w:rPr>
                <w:rFonts w:ascii="Arial" w:hAnsi="Arial" w:eastAsia="Arial" w:cs="Arial"/>
                <w:sz w:val="16"/>
                <w:szCs w:val="16"/>
              </w:rPr>
            </w:pPr>
            <w:r>
              <w:rPr>
                <w:rFonts w:ascii="Arial" w:hAnsi="Arial" w:eastAsia="Arial" w:cs="Arial"/>
                <w:spacing w:val="-16"/>
                <w:sz w:val="16"/>
                <w:szCs w:val="16"/>
              </w:rPr>
              <w:t>2</w:t>
            </w:r>
            <w:r>
              <w:rPr>
                <w:rFonts w:ascii="Arial" w:hAnsi="Arial" w:eastAsia="Arial" w:cs="Arial"/>
                <w:spacing w:val="-18"/>
                <w:sz w:val="16"/>
                <w:szCs w:val="16"/>
              </w:rPr>
              <w:t xml:space="preserve"> </w:t>
            </w:r>
            <w:r>
              <w:rPr>
                <w:rFonts w:ascii="Arial" w:hAnsi="Arial" w:eastAsia="Arial" w:cs="Arial"/>
                <w:spacing w:val="-16"/>
                <w:sz w:val="16"/>
                <w:szCs w:val="16"/>
              </w:rPr>
              <w:t>.</w:t>
            </w:r>
            <w:r>
              <w:rPr>
                <w:rFonts w:ascii="Arial" w:hAnsi="Arial" w:eastAsia="Arial" w:cs="Arial"/>
                <w:spacing w:val="22"/>
                <w:w w:val="101"/>
                <w:sz w:val="16"/>
                <w:szCs w:val="16"/>
              </w:rPr>
              <w:t xml:space="preserve"> </w:t>
            </w:r>
            <w:r>
              <w:rPr>
                <w:rFonts w:ascii="Arial" w:hAnsi="Arial" w:eastAsia="Arial" w:cs="Arial"/>
                <w:spacing w:val="-16"/>
                <w:sz w:val="16"/>
                <w:szCs w:val="16"/>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807" w:type="dxa"/>
            <w:tcBorders>
              <w:left w:val="single" w:color="000000" w:sz="6" w:space="0"/>
              <w:bottom w:val="single" w:color="000000" w:sz="6" w:space="0"/>
            </w:tcBorders>
            <w:vAlign w:val="top"/>
          </w:tcPr>
          <w:p>
            <w:pPr>
              <w:pStyle w:val="6"/>
              <w:spacing w:before="66" w:line="168" w:lineRule="auto"/>
              <w:ind w:left="188"/>
              <w:rPr>
                <w:sz w:val="16"/>
                <w:szCs w:val="16"/>
              </w:rPr>
            </w:pPr>
            <w:r>
              <w:rPr>
                <w:spacing w:val="17"/>
                <w:sz w:val="16"/>
                <w:szCs w:val="16"/>
              </w:rPr>
              <w:t>对质量宣言的了解</w:t>
            </w:r>
          </w:p>
        </w:tc>
        <w:tc>
          <w:tcPr>
            <w:tcW w:w="899" w:type="dxa"/>
            <w:tcBorders>
              <w:bottom w:val="single" w:color="000000" w:sz="6" w:space="0"/>
            </w:tcBorders>
            <w:vAlign w:val="top"/>
          </w:tcPr>
          <w:p>
            <w:pPr>
              <w:spacing w:before="80" w:line="199" w:lineRule="auto"/>
              <w:ind w:left="282"/>
              <w:rPr>
                <w:rFonts w:ascii="Arial" w:hAnsi="Arial" w:eastAsia="Arial" w:cs="Arial"/>
                <w:sz w:val="16"/>
                <w:szCs w:val="16"/>
              </w:rPr>
            </w:pPr>
            <w:r>
              <w:rPr>
                <w:rFonts w:ascii="Arial" w:hAnsi="Arial" w:eastAsia="Arial" w:cs="Arial"/>
                <w:spacing w:val="-13"/>
                <w:sz w:val="16"/>
                <w:szCs w:val="16"/>
              </w:rPr>
              <w:t>63</w:t>
            </w:r>
            <w:r>
              <w:rPr>
                <w:rFonts w:ascii="Arial" w:hAnsi="Arial" w:eastAsia="Arial" w:cs="Arial"/>
                <w:spacing w:val="-17"/>
                <w:sz w:val="16"/>
                <w:szCs w:val="16"/>
              </w:rPr>
              <w:t xml:space="preserve"> </w:t>
            </w:r>
            <w:r>
              <w:rPr>
                <w:rFonts w:ascii="Arial" w:hAnsi="Arial" w:eastAsia="Arial" w:cs="Arial"/>
                <w:spacing w:val="-13"/>
                <w:sz w:val="16"/>
                <w:szCs w:val="16"/>
              </w:rPr>
              <w:t>.</w:t>
            </w:r>
            <w:r>
              <w:rPr>
                <w:rFonts w:ascii="Arial" w:hAnsi="Arial" w:eastAsia="Arial" w:cs="Arial"/>
                <w:spacing w:val="23"/>
                <w:sz w:val="16"/>
                <w:szCs w:val="16"/>
              </w:rPr>
              <w:t xml:space="preserve"> </w:t>
            </w:r>
            <w:r>
              <w:rPr>
                <w:rFonts w:ascii="Arial" w:hAnsi="Arial" w:eastAsia="Arial" w:cs="Arial"/>
                <w:spacing w:val="-13"/>
                <w:sz w:val="16"/>
                <w:szCs w:val="16"/>
              </w:rPr>
              <w:t>3</w:t>
            </w:r>
          </w:p>
        </w:tc>
        <w:tc>
          <w:tcPr>
            <w:tcW w:w="988" w:type="dxa"/>
            <w:tcBorders>
              <w:bottom w:val="single" w:color="000000" w:sz="6" w:space="0"/>
            </w:tcBorders>
            <w:vAlign w:val="top"/>
          </w:tcPr>
          <w:p>
            <w:pPr>
              <w:spacing w:before="78" w:line="202" w:lineRule="auto"/>
              <w:ind w:left="331"/>
              <w:rPr>
                <w:rFonts w:ascii="Arial" w:hAnsi="Arial" w:eastAsia="Arial" w:cs="Arial"/>
                <w:sz w:val="16"/>
                <w:szCs w:val="16"/>
              </w:rPr>
            </w:pPr>
            <w:r>
              <w:rPr>
                <w:rFonts w:ascii="Arial" w:hAnsi="Arial" w:eastAsia="Arial" w:cs="Arial"/>
                <w:spacing w:val="-13"/>
                <w:sz w:val="16"/>
                <w:szCs w:val="16"/>
              </w:rPr>
              <w:t>10</w:t>
            </w:r>
            <w:r>
              <w:rPr>
                <w:rFonts w:ascii="Arial" w:hAnsi="Arial" w:eastAsia="Arial" w:cs="Arial"/>
                <w:spacing w:val="-18"/>
                <w:sz w:val="16"/>
                <w:szCs w:val="16"/>
              </w:rPr>
              <w:t xml:space="preserve"> </w:t>
            </w:r>
            <w:r>
              <w:rPr>
                <w:rFonts w:ascii="Arial" w:hAnsi="Arial" w:eastAsia="Arial" w:cs="Arial"/>
                <w:spacing w:val="-13"/>
                <w:sz w:val="16"/>
                <w:szCs w:val="16"/>
              </w:rPr>
              <w:t>.</w:t>
            </w:r>
            <w:r>
              <w:rPr>
                <w:rFonts w:ascii="Arial" w:hAnsi="Arial" w:eastAsia="Arial" w:cs="Arial"/>
                <w:spacing w:val="25"/>
                <w:w w:val="101"/>
                <w:sz w:val="16"/>
                <w:szCs w:val="16"/>
              </w:rPr>
              <w:t xml:space="preserve"> </w:t>
            </w:r>
            <w:r>
              <w:rPr>
                <w:rFonts w:ascii="Arial" w:hAnsi="Arial" w:eastAsia="Arial" w:cs="Arial"/>
                <w:spacing w:val="-13"/>
                <w:sz w:val="16"/>
                <w:szCs w:val="16"/>
              </w:rPr>
              <w:t>1</w:t>
            </w:r>
          </w:p>
        </w:tc>
        <w:tc>
          <w:tcPr>
            <w:tcW w:w="946" w:type="dxa"/>
            <w:tcBorders>
              <w:bottom w:val="single" w:color="000000" w:sz="6" w:space="0"/>
              <w:right w:val="single" w:color="000000" w:sz="6" w:space="0"/>
            </w:tcBorders>
            <w:vAlign w:val="top"/>
          </w:tcPr>
          <w:p>
            <w:pPr>
              <w:spacing w:before="78" w:line="202" w:lineRule="auto"/>
              <w:ind w:left="306"/>
              <w:rPr>
                <w:rFonts w:ascii="Arial" w:hAnsi="Arial" w:eastAsia="Arial" w:cs="Arial"/>
                <w:sz w:val="16"/>
                <w:szCs w:val="16"/>
              </w:rPr>
            </w:pPr>
            <w:r>
              <w:rPr>
                <w:rFonts w:ascii="Arial" w:hAnsi="Arial" w:eastAsia="Arial" w:cs="Arial"/>
                <w:spacing w:val="-13"/>
                <w:sz w:val="16"/>
                <w:szCs w:val="16"/>
              </w:rPr>
              <w:t>26</w:t>
            </w:r>
            <w:r>
              <w:rPr>
                <w:rFonts w:ascii="Arial" w:hAnsi="Arial" w:eastAsia="Arial" w:cs="Arial"/>
                <w:spacing w:val="-14"/>
                <w:sz w:val="16"/>
                <w:szCs w:val="16"/>
              </w:rPr>
              <w:t xml:space="preserve"> </w:t>
            </w:r>
            <w:r>
              <w:rPr>
                <w:rFonts w:ascii="Arial" w:hAnsi="Arial" w:eastAsia="Arial" w:cs="Arial"/>
                <w:spacing w:val="-13"/>
                <w:sz w:val="16"/>
                <w:szCs w:val="16"/>
              </w:rPr>
              <w:t>.</w:t>
            </w:r>
            <w:r>
              <w:rPr>
                <w:rFonts w:ascii="Arial" w:hAnsi="Arial" w:eastAsia="Arial" w:cs="Arial"/>
                <w:spacing w:val="23"/>
                <w:sz w:val="16"/>
                <w:szCs w:val="16"/>
              </w:rPr>
              <w:t xml:space="preserve"> </w:t>
            </w:r>
            <w:r>
              <w:rPr>
                <w:rFonts w:ascii="Arial" w:hAnsi="Arial" w:eastAsia="Arial" w:cs="Arial"/>
                <w:spacing w:val="-13"/>
                <w:sz w:val="16"/>
                <w:szCs w:val="16"/>
              </w:rPr>
              <w:t>5</w:t>
            </w:r>
          </w:p>
        </w:tc>
      </w:tr>
    </w:tbl>
    <w:p>
      <w:pPr>
        <w:spacing w:before="116" w:line="207" w:lineRule="auto"/>
        <w:ind w:left="513"/>
        <w:rPr>
          <w:rFonts w:ascii="微软雅黑" w:hAnsi="微软雅黑" w:eastAsia="微软雅黑" w:cs="微软雅黑"/>
          <w:sz w:val="16"/>
          <w:szCs w:val="16"/>
        </w:rPr>
      </w:pPr>
      <w:r>
        <w:rPr>
          <w:rFonts w:ascii="微软雅黑" w:hAnsi="微软雅黑" w:eastAsia="微软雅黑" w:cs="微软雅黑"/>
          <w:spacing w:val="14"/>
          <w:sz w:val="16"/>
          <w:szCs w:val="16"/>
        </w:rPr>
        <w:t xml:space="preserve">表 </w:t>
      </w:r>
      <w:r>
        <w:rPr>
          <w:rFonts w:ascii="Arial" w:hAnsi="Arial" w:eastAsia="Arial" w:cs="Arial"/>
          <w:spacing w:val="14"/>
          <w:sz w:val="16"/>
          <w:szCs w:val="16"/>
        </w:rPr>
        <w:t xml:space="preserve">2    </w:t>
      </w:r>
      <w:r>
        <w:rPr>
          <w:rFonts w:ascii="微软雅黑" w:hAnsi="微软雅黑" w:eastAsia="微软雅黑" w:cs="微软雅黑"/>
          <w:spacing w:val="14"/>
          <w:sz w:val="16"/>
          <w:szCs w:val="16"/>
        </w:rPr>
        <w:t>学校教职工质量价值取向的调研分</w:t>
      </w:r>
      <w:r>
        <w:rPr>
          <w:rFonts w:ascii="微软雅黑" w:hAnsi="微软雅黑" w:eastAsia="微软雅黑" w:cs="微软雅黑"/>
          <w:spacing w:val="13"/>
          <w:sz w:val="16"/>
          <w:szCs w:val="16"/>
        </w:rPr>
        <w:t>析(</w:t>
      </w:r>
      <w:r>
        <w:rPr>
          <w:rFonts w:ascii="微软雅黑" w:hAnsi="微软雅黑" w:eastAsia="微软雅黑" w:cs="微软雅黑"/>
          <w:spacing w:val="8"/>
          <w:sz w:val="16"/>
          <w:szCs w:val="16"/>
        </w:rPr>
        <w:t xml:space="preserve"> </w:t>
      </w:r>
      <w:r>
        <w:rPr>
          <w:rFonts w:ascii="Arial" w:hAnsi="Arial" w:eastAsia="Arial" w:cs="Arial"/>
          <w:spacing w:val="13"/>
          <w:sz w:val="16"/>
          <w:szCs w:val="16"/>
        </w:rPr>
        <w:t>%</w:t>
      </w:r>
      <w:r>
        <w:rPr>
          <w:rFonts w:ascii="微软雅黑" w:hAnsi="微软雅黑" w:eastAsia="微软雅黑" w:cs="微软雅黑"/>
          <w:spacing w:val="13"/>
          <w:sz w:val="16"/>
          <w:szCs w:val="16"/>
        </w:rPr>
        <w:t>)</w:t>
      </w:r>
    </w:p>
    <w:p>
      <w:pPr>
        <w:spacing w:line="33" w:lineRule="exact"/>
      </w:pPr>
    </w:p>
    <w:tbl>
      <w:tblPr>
        <w:tblStyle w:val="5"/>
        <w:tblW w:w="4640" w:type="dxa"/>
        <w:tblInd w:w="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7"/>
        <w:gridCol w:w="629"/>
        <w:gridCol w:w="630"/>
        <w:gridCol w:w="629"/>
        <w:gridCol w:w="630"/>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447" w:type="dxa"/>
            <w:tcBorders>
              <w:top w:val="single" w:color="000000" w:sz="6" w:space="0"/>
              <w:left w:val="single" w:color="000000" w:sz="6" w:space="0"/>
            </w:tcBorders>
            <w:vAlign w:val="top"/>
          </w:tcPr>
          <w:p>
            <w:pPr>
              <w:rPr>
                <w:rFonts w:ascii="Arial"/>
                <w:sz w:val="21"/>
              </w:rPr>
            </w:pPr>
          </w:p>
        </w:tc>
        <w:tc>
          <w:tcPr>
            <w:tcW w:w="629" w:type="dxa"/>
            <w:tcBorders>
              <w:top w:val="single" w:color="000000" w:sz="6" w:space="0"/>
            </w:tcBorders>
            <w:vAlign w:val="top"/>
          </w:tcPr>
          <w:p>
            <w:pPr>
              <w:pStyle w:val="6"/>
              <w:spacing w:before="69" w:line="207" w:lineRule="auto"/>
              <w:ind w:left="140"/>
              <w:rPr>
                <w:sz w:val="16"/>
                <w:szCs w:val="16"/>
              </w:rPr>
            </w:pPr>
            <w:r>
              <w:rPr>
                <w:spacing w:val="10"/>
                <w:sz w:val="16"/>
                <w:szCs w:val="16"/>
              </w:rPr>
              <w:t>非常</w:t>
            </w:r>
          </w:p>
          <w:p>
            <w:pPr>
              <w:pStyle w:val="6"/>
              <w:spacing w:line="186" w:lineRule="auto"/>
              <w:ind w:left="161"/>
              <w:rPr>
                <w:sz w:val="16"/>
                <w:szCs w:val="16"/>
              </w:rPr>
            </w:pPr>
            <w:r>
              <w:rPr>
                <w:spacing w:val="-1"/>
                <w:sz w:val="16"/>
                <w:szCs w:val="16"/>
              </w:rPr>
              <w:t>同意</w:t>
            </w:r>
          </w:p>
        </w:tc>
        <w:tc>
          <w:tcPr>
            <w:tcW w:w="630" w:type="dxa"/>
            <w:tcBorders>
              <w:top w:val="single" w:color="000000" w:sz="6" w:space="0"/>
            </w:tcBorders>
            <w:vAlign w:val="top"/>
          </w:tcPr>
          <w:p>
            <w:pPr>
              <w:pStyle w:val="6"/>
              <w:spacing w:before="69" w:line="207" w:lineRule="auto"/>
              <w:ind w:left="159"/>
              <w:rPr>
                <w:sz w:val="16"/>
                <w:szCs w:val="16"/>
              </w:rPr>
            </w:pPr>
            <w:r>
              <w:rPr>
                <w:spacing w:val="3"/>
                <w:sz w:val="16"/>
                <w:szCs w:val="16"/>
              </w:rPr>
              <w:t>比较</w:t>
            </w:r>
          </w:p>
          <w:p>
            <w:pPr>
              <w:pStyle w:val="6"/>
              <w:spacing w:line="186" w:lineRule="auto"/>
              <w:ind w:left="165"/>
              <w:rPr>
                <w:sz w:val="16"/>
                <w:szCs w:val="16"/>
              </w:rPr>
            </w:pPr>
            <w:r>
              <w:rPr>
                <w:spacing w:val="-1"/>
                <w:sz w:val="16"/>
                <w:szCs w:val="16"/>
              </w:rPr>
              <w:t>同意</w:t>
            </w:r>
          </w:p>
        </w:tc>
        <w:tc>
          <w:tcPr>
            <w:tcW w:w="629" w:type="dxa"/>
            <w:tcBorders>
              <w:top w:val="single" w:color="000000" w:sz="6" w:space="0"/>
            </w:tcBorders>
            <w:vAlign w:val="top"/>
          </w:tcPr>
          <w:p>
            <w:pPr>
              <w:pStyle w:val="6"/>
              <w:spacing w:before="188" w:line="191" w:lineRule="auto"/>
              <w:ind w:left="145"/>
              <w:rPr>
                <w:sz w:val="16"/>
                <w:szCs w:val="16"/>
              </w:rPr>
            </w:pPr>
            <w:r>
              <w:rPr>
                <w:spacing w:val="12"/>
                <w:sz w:val="16"/>
                <w:szCs w:val="16"/>
              </w:rPr>
              <w:t>一般</w:t>
            </w:r>
          </w:p>
        </w:tc>
        <w:tc>
          <w:tcPr>
            <w:tcW w:w="630" w:type="dxa"/>
            <w:tcBorders>
              <w:top w:val="single" w:color="000000" w:sz="6" w:space="0"/>
            </w:tcBorders>
            <w:vAlign w:val="top"/>
          </w:tcPr>
          <w:p>
            <w:pPr>
              <w:pStyle w:val="6"/>
              <w:spacing w:before="69" w:line="207" w:lineRule="auto"/>
              <w:ind w:left="154"/>
              <w:rPr>
                <w:sz w:val="16"/>
                <w:szCs w:val="16"/>
              </w:rPr>
            </w:pPr>
            <w:r>
              <w:rPr>
                <w:spacing w:val="7"/>
                <w:sz w:val="16"/>
                <w:szCs w:val="16"/>
              </w:rPr>
              <w:t>不太</w:t>
            </w:r>
          </w:p>
          <w:p>
            <w:pPr>
              <w:pStyle w:val="6"/>
              <w:spacing w:line="186" w:lineRule="auto"/>
              <w:ind w:left="169"/>
              <w:rPr>
                <w:sz w:val="16"/>
                <w:szCs w:val="16"/>
              </w:rPr>
            </w:pPr>
            <w:r>
              <w:rPr>
                <w:spacing w:val="-1"/>
                <w:sz w:val="16"/>
                <w:szCs w:val="16"/>
              </w:rPr>
              <w:t>同意</w:t>
            </w:r>
          </w:p>
        </w:tc>
        <w:tc>
          <w:tcPr>
            <w:tcW w:w="675" w:type="dxa"/>
            <w:tcBorders>
              <w:top w:val="single" w:color="000000" w:sz="6" w:space="0"/>
              <w:right w:val="single" w:color="000000" w:sz="6" w:space="0"/>
            </w:tcBorders>
            <w:vAlign w:val="top"/>
          </w:tcPr>
          <w:p>
            <w:pPr>
              <w:pStyle w:val="6"/>
              <w:spacing w:before="69" w:line="197" w:lineRule="auto"/>
              <w:ind w:left="85" w:right="63" w:firstLine="85"/>
              <w:rPr>
                <w:sz w:val="16"/>
                <w:szCs w:val="16"/>
              </w:rPr>
            </w:pPr>
            <w:r>
              <w:rPr>
                <w:spacing w:val="9"/>
                <w:sz w:val="16"/>
                <w:szCs w:val="16"/>
              </w:rPr>
              <w:t>完全</w:t>
            </w:r>
            <w:r>
              <w:rPr>
                <w:sz w:val="16"/>
                <w:szCs w:val="16"/>
              </w:rPr>
              <w:t xml:space="preserve">   </w:t>
            </w:r>
            <w:r>
              <w:rPr>
                <w:spacing w:val="11"/>
                <w:sz w:val="16"/>
                <w:szCs w:val="16"/>
              </w:rPr>
              <w:t>不同意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447" w:type="dxa"/>
            <w:tcBorders>
              <w:left w:val="single" w:color="000000" w:sz="6" w:space="0"/>
            </w:tcBorders>
            <w:vAlign w:val="top"/>
          </w:tcPr>
          <w:p>
            <w:pPr>
              <w:pStyle w:val="6"/>
              <w:spacing w:before="87" w:line="203" w:lineRule="auto"/>
              <w:ind w:left="107" w:right="111" w:firstLine="5"/>
              <w:jc w:val="both"/>
              <w:rPr>
                <w:sz w:val="16"/>
                <w:szCs w:val="16"/>
              </w:rPr>
            </w:pPr>
            <w:r>
              <w:rPr>
                <w:spacing w:val="9"/>
                <w:sz w:val="16"/>
                <w:szCs w:val="16"/>
              </w:rPr>
              <w:t>对</w:t>
            </w:r>
            <w:r>
              <w:rPr>
                <w:spacing w:val="-20"/>
                <w:sz w:val="16"/>
                <w:szCs w:val="16"/>
              </w:rPr>
              <w:t xml:space="preserve"> </w:t>
            </w:r>
            <w:r>
              <w:rPr>
                <w:spacing w:val="9"/>
                <w:sz w:val="16"/>
                <w:szCs w:val="16"/>
              </w:rPr>
              <w:t>“只注重结果</w:t>
            </w:r>
            <w:r>
              <w:rPr>
                <w:sz w:val="16"/>
                <w:szCs w:val="16"/>
              </w:rPr>
              <w:t xml:space="preserve"> </w:t>
            </w:r>
            <w:r>
              <w:rPr>
                <w:spacing w:val="-1"/>
                <w:sz w:val="16"/>
                <w:szCs w:val="16"/>
              </w:rPr>
              <w:t>质量，不</w:t>
            </w:r>
            <w:r>
              <w:rPr>
                <w:spacing w:val="-10"/>
                <w:sz w:val="16"/>
                <w:szCs w:val="16"/>
              </w:rPr>
              <w:t xml:space="preserve"> </w:t>
            </w:r>
            <w:r>
              <w:rPr>
                <w:spacing w:val="-1"/>
                <w:sz w:val="16"/>
                <w:szCs w:val="16"/>
              </w:rPr>
              <w:t>考</w:t>
            </w:r>
            <w:r>
              <w:rPr>
                <w:spacing w:val="-11"/>
                <w:sz w:val="16"/>
                <w:szCs w:val="16"/>
              </w:rPr>
              <w:t xml:space="preserve"> </w:t>
            </w:r>
            <w:r>
              <w:rPr>
                <w:spacing w:val="-1"/>
                <w:sz w:val="16"/>
                <w:szCs w:val="16"/>
              </w:rPr>
              <w:t>虑</w:t>
            </w:r>
            <w:r>
              <w:rPr>
                <w:spacing w:val="-17"/>
                <w:sz w:val="16"/>
                <w:szCs w:val="16"/>
              </w:rPr>
              <w:t xml:space="preserve"> </w:t>
            </w:r>
            <w:r>
              <w:rPr>
                <w:spacing w:val="-1"/>
                <w:sz w:val="16"/>
                <w:szCs w:val="16"/>
              </w:rPr>
              <w:t>过</w:t>
            </w:r>
            <w:r>
              <w:rPr>
                <w:sz w:val="16"/>
                <w:szCs w:val="16"/>
              </w:rPr>
              <w:t xml:space="preserve"> </w:t>
            </w:r>
            <w:r>
              <w:rPr>
                <w:spacing w:val="1"/>
                <w:sz w:val="16"/>
                <w:szCs w:val="16"/>
              </w:rPr>
              <w:t>程管理</w:t>
            </w:r>
            <w:r>
              <w:rPr>
                <w:spacing w:val="-21"/>
                <w:sz w:val="16"/>
                <w:szCs w:val="16"/>
              </w:rPr>
              <w:t xml:space="preserve"> </w:t>
            </w:r>
            <w:r>
              <w:rPr>
                <w:spacing w:val="1"/>
                <w:sz w:val="16"/>
                <w:szCs w:val="16"/>
              </w:rPr>
              <w:t>“的看法</w:t>
            </w:r>
          </w:p>
        </w:tc>
        <w:tc>
          <w:tcPr>
            <w:tcW w:w="629" w:type="dxa"/>
            <w:vAlign w:val="top"/>
          </w:tcPr>
          <w:p>
            <w:pPr>
              <w:spacing w:line="294" w:lineRule="auto"/>
              <w:rPr>
                <w:rFonts w:ascii="Arial"/>
                <w:sz w:val="21"/>
              </w:rPr>
            </w:pPr>
          </w:p>
          <w:p>
            <w:pPr>
              <w:spacing w:before="46" w:line="201" w:lineRule="auto"/>
              <w:ind w:left="186"/>
              <w:rPr>
                <w:rFonts w:ascii="Arial" w:hAnsi="Arial" w:eastAsia="Arial" w:cs="Arial"/>
                <w:sz w:val="16"/>
                <w:szCs w:val="16"/>
              </w:rPr>
            </w:pPr>
            <w:r>
              <w:rPr>
                <w:rFonts w:ascii="Arial" w:hAnsi="Arial" w:eastAsia="Arial" w:cs="Arial"/>
                <w:spacing w:val="-11"/>
                <w:w w:val="95"/>
                <w:sz w:val="16"/>
                <w:szCs w:val="16"/>
              </w:rPr>
              <w:t>4</w:t>
            </w:r>
            <w:r>
              <w:rPr>
                <w:rFonts w:ascii="Arial" w:hAnsi="Arial" w:eastAsia="Arial" w:cs="Arial"/>
                <w:spacing w:val="-21"/>
                <w:sz w:val="16"/>
                <w:szCs w:val="16"/>
              </w:rPr>
              <w:t xml:space="preserve"> </w:t>
            </w:r>
            <w:r>
              <w:rPr>
                <w:rFonts w:ascii="Arial" w:hAnsi="Arial" w:eastAsia="Arial" w:cs="Arial"/>
                <w:spacing w:val="-11"/>
                <w:w w:val="95"/>
                <w:sz w:val="16"/>
                <w:szCs w:val="16"/>
              </w:rPr>
              <w:t>.</w:t>
            </w:r>
            <w:r>
              <w:rPr>
                <w:rFonts w:ascii="Arial" w:hAnsi="Arial" w:eastAsia="Arial" w:cs="Arial"/>
                <w:spacing w:val="20"/>
                <w:sz w:val="16"/>
                <w:szCs w:val="16"/>
              </w:rPr>
              <w:t xml:space="preserve"> </w:t>
            </w:r>
            <w:r>
              <w:rPr>
                <w:rFonts w:ascii="Arial" w:hAnsi="Arial" w:eastAsia="Arial" w:cs="Arial"/>
                <w:spacing w:val="-11"/>
                <w:w w:val="95"/>
                <w:sz w:val="16"/>
                <w:szCs w:val="16"/>
              </w:rPr>
              <w:t>4</w:t>
            </w:r>
          </w:p>
        </w:tc>
        <w:tc>
          <w:tcPr>
            <w:tcW w:w="630" w:type="dxa"/>
            <w:vAlign w:val="top"/>
          </w:tcPr>
          <w:p>
            <w:pPr>
              <w:spacing w:line="292" w:lineRule="auto"/>
              <w:rPr>
                <w:rFonts w:ascii="Arial"/>
                <w:sz w:val="21"/>
              </w:rPr>
            </w:pPr>
          </w:p>
          <w:p>
            <w:pPr>
              <w:spacing w:before="46" w:line="202" w:lineRule="auto"/>
              <w:ind w:left="191"/>
              <w:rPr>
                <w:rFonts w:ascii="Arial" w:hAnsi="Arial" w:eastAsia="Arial" w:cs="Arial"/>
                <w:sz w:val="16"/>
                <w:szCs w:val="16"/>
              </w:rPr>
            </w:pPr>
            <w:r>
              <w:rPr>
                <w:rFonts w:ascii="Arial" w:hAnsi="Arial" w:eastAsia="Arial" w:cs="Arial"/>
                <w:spacing w:val="-16"/>
                <w:sz w:val="16"/>
                <w:szCs w:val="16"/>
              </w:rPr>
              <w:t>8</w:t>
            </w:r>
            <w:r>
              <w:rPr>
                <w:rFonts w:ascii="Arial" w:hAnsi="Arial" w:eastAsia="Arial" w:cs="Arial"/>
                <w:spacing w:val="-18"/>
                <w:sz w:val="16"/>
                <w:szCs w:val="16"/>
              </w:rPr>
              <w:t xml:space="preserve"> </w:t>
            </w:r>
            <w:r>
              <w:rPr>
                <w:rFonts w:ascii="Arial" w:hAnsi="Arial" w:eastAsia="Arial" w:cs="Arial"/>
                <w:spacing w:val="-16"/>
                <w:sz w:val="16"/>
                <w:szCs w:val="16"/>
              </w:rPr>
              <w:t>.</w:t>
            </w:r>
            <w:r>
              <w:rPr>
                <w:rFonts w:ascii="Arial" w:hAnsi="Arial" w:eastAsia="Arial" w:cs="Arial"/>
                <w:spacing w:val="24"/>
                <w:w w:val="101"/>
                <w:sz w:val="16"/>
                <w:szCs w:val="16"/>
              </w:rPr>
              <w:t xml:space="preserve"> </w:t>
            </w:r>
            <w:r>
              <w:rPr>
                <w:rFonts w:ascii="Arial" w:hAnsi="Arial" w:eastAsia="Arial" w:cs="Arial"/>
                <w:spacing w:val="-16"/>
                <w:sz w:val="16"/>
                <w:szCs w:val="16"/>
              </w:rPr>
              <w:t>1</w:t>
            </w:r>
          </w:p>
        </w:tc>
        <w:tc>
          <w:tcPr>
            <w:tcW w:w="629" w:type="dxa"/>
            <w:vAlign w:val="top"/>
          </w:tcPr>
          <w:p>
            <w:pPr>
              <w:spacing w:line="292" w:lineRule="auto"/>
              <w:rPr>
                <w:rFonts w:ascii="Arial"/>
                <w:sz w:val="21"/>
              </w:rPr>
            </w:pPr>
          </w:p>
          <w:p>
            <w:pPr>
              <w:spacing w:before="46" w:line="201" w:lineRule="auto"/>
              <w:ind w:left="151"/>
              <w:rPr>
                <w:rFonts w:ascii="Arial" w:hAnsi="Arial" w:eastAsia="Arial" w:cs="Arial"/>
                <w:sz w:val="16"/>
                <w:szCs w:val="16"/>
              </w:rPr>
            </w:pPr>
            <w:r>
              <w:rPr>
                <w:rFonts w:ascii="Arial" w:hAnsi="Arial" w:eastAsia="Arial" w:cs="Arial"/>
                <w:spacing w:val="-12"/>
                <w:sz w:val="16"/>
                <w:szCs w:val="16"/>
              </w:rPr>
              <w:t>14</w:t>
            </w:r>
            <w:r>
              <w:rPr>
                <w:rFonts w:ascii="Arial" w:hAnsi="Arial" w:eastAsia="Arial" w:cs="Arial"/>
                <w:spacing w:val="-21"/>
                <w:sz w:val="16"/>
                <w:szCs w:val="16"/>
              </w:rPr>
              <w:t xml:space="preserve"> </w:t>
            </w:r>
            <w:r>
              <w:rPr>
                <w:rFonts w:ascii="Arial" w:hAnsi="Arial" w:eastAsia="Arial" w:cs="Arial"/>
                <w:spacing w:val="-12"/>
                <w:sz w:val="16"/>
                <w:szCs w:val="16"/>
              </w:rPr>
              <w:t>.</w:t>
            </w:r>
            <w:r>
              <w:rPr>
                <w:rFonts w:ascii="Arial" w:hAnsi="Arial" w:eastAsia="Arial" w:cs="Arial"/>
                <w:spacing w:val="22"/>
                <w:sz w:val="16"/>
                <w:szCs w:val="16"/>
              </w:rPr>
              <w:t xml:space="preserve"> </w:t>
            </w:r>
            <w:r>
              <w:rPr>
                <w:rFonts w:ascii="Arial" w:hAnsi="Arial" w:eastAsia="Arial" w:cs="Arial"/>
                <w:spacing w:val="-12"/>
                <w:sz w:val="16"/>
                <w:szCs w:val="16"/>
              </w:rPr>
              <w:t>3</w:t>
            </w:r>
          </w:p>
        </w:tc>
        <w:tc>
          <w:tcPr>
            <w:tcW w:w="630" w:type="dxa"/>
            <w:vAlign w:val="top"/>
          </w:tcPr>
          <w:p>
            <w:pPr>
              <w:spacing w:line="292" w:lineRule="auto"/>
              <w:rPr>
                <w:rFonts w:ascii="Arial"/>
                <w:sz w:val="21"/>
              </w:rPr>
            </w:pPr>
          </w:p>
          <w:p>
            <w:pPr>
              <w:spacing w:before="46" w:line="201" w:lineRule="auto"/>
              <w:ind w:left="149"/>
              <w:rPr>
                <w:rFonts w:ascii="Arial" w:hAnsi="Arial" w:eastAsia="Arial" w:cs="Arial"/>
                <w:sz w:val="16"/>
                <w:szCs w:val="16"/>
              </w:rPr>
            </w:pPr>
            <w:r>
              <w:rPr>
                <w:rFonts w:ascii="Arial" w:hAnsi="Arial" w:eastAsia="Arial" w:cs="Arial"/>
                <w:spacing w:val="-11"/>
                <w:sz w:val="16"/>
                <w:szCs w:val="16"/>
              </w:rPr>
              <w:t>48</w:t>
            </w:r>
            <w:r>
              <w:rPr>
                <w:rFonts w:ascii="Arial" w:hAnsi="Arial" w:eastAsia="Arial" w:cs="Arial"/>
                <w:spacing w:val="-20"/>
                <w:sz w:val="16"/>
                <w:szCs w:val="16"/>
              </w:rPr>
              <w:t xml:space="preserve"> </w:t>
            </w:r>
            <w:r>
              <w:rPr>
                <w:rFonts w:ascii="Arial" w:hAnsi="Arial" w:eastAsia="Arial" w:cs="Arial"/>
                <w:spacing w:val="-11"/>
                <w:sz w:val="16"/>
                <w:szCs w:val="16"/>
              </w:rPr>
              <w:t>.</w:t>
            </w:r>
            <w:r>
              <w:rPr>
                <w:rFonts w:ascii="Arial" w:hAnsi="Arial" w:eastAsia="Arial" w:cs="Arial"/>
                <w:spacing w:val="19"/>
                <w:w w:val="101"/>
                <w:sz w:val="16"/>
                <w:szCs w:val="16"/>
              </w:rPr>
              <w:t xml:space="preserve"> </w:t>
            </w:r>
            <w:r>
              <w:rPr>
                <w:rFonts w:ascii="Arial" w:hAnsi="Arial" w:eastAsia="Arial" w:cs="Arial"/>
                <w:spacing w:val="-11"/>
                <w:sz w:val="16"/>
                <w:szCs w:val="16"/>
              </w:rPr>
              <w:t>0</w:t>
            </w:r>
          </w:p>
        </w:tc>
        <w:tc>
          <w:tcPr>
            <w:tcW w:w="675" w:type="dxa"/>
            <w:tcBorders>
              <w:right w:val="single" w:color="000000" w:sz="6" w:space="0"/>
            </w:tcBorders>
            <w:vAlign w:val="top"/>
          </w:tcPr>
          <w:p>
            <w:pPr>
              <w:spacing w:line="292" w:lineRule="auto"/>
              <w:rPr>
                <w:rFonts w:ascii="Arial"/>
                <w:sz w:val="21"/>
              </w:rPr>
            </w:pPr>
          </w:p>
          <w:p>
            <w:pPr>
              <w:spacing w:before="46" w:line="202" w:lineRule="auto"/>
              <w:ind w:left="171"/>
              <w:rPr>
                <w:rFonts w:ascii="Arial" w:hAnsi="Arial" w:eastAsia="Arial" w:cs="Arial"/>
                <w:sz w:val="16"/>
                <w:szCs w:val="16"/>
              </w:rPr>
            </w:pPr>
            <w:r>
              <w:rPr>
                <w:rFonts w:ascii="Arial" w:hAnsi="Arial" w:eastAsia="Arial" w:cs="Arial"/>
                <w:spacing w:val="-13"/>
                <w:sz w:val="16"/>
                <w:szCs w:val="16"/>
              </w:rPr>
              <w:t>25</w:t>
            </w:r>
            <w:r>
              <w:rPr>
                <w:rFonts w:ascii="Arial" w:hAnsi="Arial" w:eastAsia="Arial" w:cs="Arial"/>
                <w:spacing w:val="-14"/>
                <w:sz w:val="16"/>
                <w:szCs w:val="16"/>
              </w:rPr>
              <w:t xml:space="preserve"> </w:t>
            </w:r>
            <w:r>
              <w:rPr>
                <w:rFonts w:ascii="Arial" w:hAnsi="Arial" w:eastAsia="Arial" w:cs="Arial"/>
                <w:spacing w:val="-13"/>
                <w:sz w:val="16"/>
                <w:szCs w:val="16"/>
              </w:rPr>
              <w:t>.</w:t>
            </w:r>
            <w:r>
              <w:rPr>
                <w:rFonts w:ascii="Arial" w:hAnsi="Arial" w:eastAsia="Arial" w:cs="Arial"/>
                <w:spacing w:val="21"/>
                <w:w w:val="101"/>
                <w:sz w:val="16"/>
                <w:szCs w:val="16"/>
              </w:rPr>
              <w:t xml:space="preserve"> </w:t>
            </w:r>
            <w:r>
              <w:rPr>
                <w:rFonts w:ascii="Arial" w:hAnsi="Arial" w:eastAsia="Arial" w:cs="Arial"/>
                <w:spacing w:val="-13"/>
                <w:sz w:val="16"/>
                <w:szCs w:val="16"/>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447" w:type="dxa"/>
            <w:tcBorders>
              <w:left w:val="single" w:color="000000" w:sz="6" w:space="0"/>
              <w:bottom w:val="single" w:color="000000" w:sz="6" w:space="0"/>
            </w:tcBorders>
            <w:vAlign w:val="top"/>
          </w:tcPr>
          <w:p>
            <w:pPr>
              <w:pStyle w:val="6"/>
              <w:spacing w:before="99" w:line="201" w:lineRule="auto"/>
              <w:ind w:left="107" w:right="103" w:firstLine="3"/>
              <w:jc w:val="both"/>
              <w:rPr>
                <w:sz w:val="16"/>
                <w:szCs w:val="16"/>
              </w:rPr>
            </w:pPr>
            <w:r>
              <w:rPr>
                <w:spacing w:val="14"/>
                <w:sz w:val="16"/>
                <w:szCs w:val="16"/>
              </w:rPr>
              <w:t>有意识搜集数据</w:t>
            </w:r>
            <w:r>
              <w:rPr>
                <w:spacing w:val="3"/>
                <w:sz w:val="16"/>
                <w:szCs w:val="16"/>
              </w:rPr>
              <w:t xml:space="preserve"> </w:t>
            </w:r>
            <w:r>
              <w:rPr>
                <w:spacing w:val="15"/>
                <w:sz w:val="16"/>
                <w:szCs w:val="16"/>
              </w:rPr>
              <w:t>与信息进行问题</w:t>
            </w:r>
            <w:r>
              <w:rPr>
                <w:sz w:val="16"/>
                <w:szCs w:val="16"/>
              </w:rPr>
              <w:t xml:space="preserve"> </w:t>
            </w:r>
            <w:r>
              <w:rPr>
                <w:spacing w:val="11"/>
                <w:sz w:val="16"/>
                <w:szCs w:val="16"/>
              </w:rPr>
              <w:t>改进的做法</w:t>
            </w:r>
          </w:p>
        </w:tc>
        <w:tc>
          <w:tcPr>
            <w:tcW w:w="629" w:type="dxa"/>
            <w:tcBorders>
              <w:bottom w:val="single" w:color="000000" w:sz="6" w:space="0"/>
            </w:tcBorders>
            <w:vAlign w:val="top"/>
          </w:tcPr>
          <w:p>
            <w:pPr>
              <w:spacing w:line="299" w:lineRule="auto"/>
              <w:rPr>
                <w:rFonts w:ascii="Arial"/>
                <w:sz w:val="21"/>
              </w:rPr>
            </w:pPr>
          </w:p>
          <w:p>
            <w:pPr>
              <w:spacing w:before="46" w:line="204" w:lineRule="auto"/>
              <w:ind w:left="141"/>
              <w:rPr>
                <w:rFonts w:ascii="Arial" w:hAnsi="Arial" w:eastAsia="Arial" w:cs="Arial"/>
                <w:sz w:val="16"/>
                <w:szCs w:val="16"/>
              </w:rPr>
            </w:pPr>
            <w:r>
              <w:rPr>
                <w:rFonts w:ascii="Arial" w:hAnsi="Arial" w:eastAsia="Arial" w:cs="Arial"/>
                <w:spacing w:val="-11"/>
                <w:w w:val="99"/>
                <w:sz w:val="16"/>
                <w:szCs w:val="16"/>
              </w:rPr>
              <w:t>42</w:t>
            </w:r>
            <w:r>
              <w:rPr>
                <w:rFonts w:ascii="Arial" w:hAnsi="Arial" w:eastAsia="Arial" w:cs="Arial"/>
                <w:spacing w:val="-17"/>
                <w:sz w:val="16"/>
                <w:szCs w:val="16"/>
              </w:rPr>
              <w:t xml:space="preserve"> </w:t>
            </w:r>
            <w:r>
              <w:rPr>
                <w:rFonts w:ascii="Arial" w:hAnsi="Arial" w:eastAsia="Arial" w:cs="Arial"/>
                <w:spacing w:val="-11"/>
                <w:w w:val="99"/>
                <w:sz w:val="16"/>
                <w:szCs w:val="16"/>
              </w:rPr>
              <w:t>.</w:t>
            </w:r>
            <w:r>
              <w:rPr>
                <w:rFonts w:ascii="Arial" w:hAnsi="Arial" w:eastAsia="Arial" w:cs="Arial"/>
                <w:spacing w:val="19"/>
                <w:w w:val="101"/>
                <w:sz w:val="16"/>
                <w:szCs w:val="16"/>
              </w:rPr>
              <w:t xml:space="preserve"> </w:t>
            </w:r>
            <w:r>
              <w:rPr>
                <w:rFonts w:ascii="Arial" w:hAnsi="Arial" w:eastAsia="Arial" w:cs="Arial"/>
                <w:spacing w:val="-11"/>
                <w:w w:val="99"/>
                <w:sz w:val="16"/>
                <w:szCs w:val="16"/>
              </w:rPr>
              <w:t>4</w:t>
            </w:r>
          </w:p>
        </w:tc>
        <w:tc>
          <w:tcPr>
            <w:tcW w:w="630" w:type="dxa"/>
            <w:tcBorders>
              <w:bottom w:val="single" w:color="000000" w:sz="6" w:space="0"/>
            </w:tcBorders>
            <w:vAlign w:val="top"/>
          </w:tcPr>
          <w:p>
            <w:pPr>
              <w:spacing w:line="299" w:lineRule="auto"/>
              <w:rPr>
                <w:rFonts w:ascii="Arial"/>
                <w:sz w:val="21"/>
              </w:rPr>
            </w:pPr>
          </w:p>
          <w:p>
            <w:pPr>
              <w:spacing w:before="46" w:line="201" w:lineRule="auto"/>
              <w:ind w:left="145"/>
              <w:rPr>
                <w:rFonts w:ascii="Arial" w:hAnsi="Arial" w:eastAsia="Arial" w:cs="Arial"/>
                <w:sz w:val="16"/>
                <w:szCs w:val="16"/>
              </w:rPr>
            </w:pPr>
            <w:r>
              <w:rPr>
                <w:rFonts w:ascii="Arial" w:hAnsi="Arial" w:eastAsia="Arial" w:cs="Arial"/>
                <w:spacing w:val="-11"/>
                <w:sz w:val="16"/>
                <w:szCs w:val="16"/>
              </w:rPr>
              <w:t>48</w:t>
            </w:r>
            <w:r>
              <w:rPr>
                <w:rFonts w:ascii="Arial" w:hAnsi="Arial" w:eastAsia="Arial" w:cs="Arial"/>
                <w:spacing w:val="-20"/>
                <w:sz w:val="16"/>
                <w:szCs w:val="16"/>
              </w:rPr>
              <w:t xml:space="preserve"> </w:t>
            </w:r>
            <w:r>
              <w:rPr>
                <w:rFonts w:ascii="Arial" w:hAnsi="Arial" w:eastAsia="Arial" w:cs="Arial"/>
                <w:spacing w:val="-11"/>
                <w:sz w:val="16"/>
                <w:szCs w:val="16"/>
              </w:rPr>
              <w:t>.</w:t>
            </w:r>
            <w:r>
              <w:rPr>
                <w:rFonts w:ascii="Arial" w:hAnsi="Arial" w:eastAsia="Arial" w:cs="Arial"/>
                <w:spacing w:val="22"/>
                <w:w w:val="101"/>
                <w:sz w:val="16"/>
                <w:szCs w:val="16"/>
              </w:rPr>
              <w:t xml:space="preserve"> </w:t>
            </w:r>
            <w:r>
              <w:rPr>
                <w:rFonts w:ascii="Arial" w:hAnsi="Arial" w:eastAsia="Arial" w:cs="Arial"/>
                <w:spacing w:val="-11"/>
                <w:sz w:val="16"/>
                <w:szCs w:val="16"/>
              </w:rPr>
              <w:t>5</w:t>
            </w:r>
          </w:p>
        </w:tc>
        <w:tc>
          <w:tcPr>
            <w:tcW w:w="629" w:type="dxa"/>
            <w:tcBorders>
              <w:bottom w:val="single" w:color="000000" w:sz="6" w:space="0"/>
            </w:tcBorders>
            <w:vAlign w:val="top"/>
          </w:tcPr>
          <w:p>
            <w:pPr>
              <w:spacing w:line="301" w:lineRule="auto"/>
              <w:rPr>
                <w:rFonts w:ascii="Arial"/>
                <w:sz w:val="21"/>
              </w:rPr>
            </w:pPr>
          </w:p>
          <w:p>
            <w:pPr>
              <w:spacing w:before="46" w:line="201" w:lineRule="auto"/>
              <w:ind w:left="193"/>
              <w:rPr>
                <w:rFonts w:ascii="Arial" w:hAnsi="Arial" w:eastAsia="Arial" w:cs="Arial"/>
                <w:sz w:val="16"/>
                <w:szCs w:val="16"/>
              </w:rPr>
            </w:pPr>
            <w:r>
              <w:rPr>
                <w:rFonts w:ascii="Arial" w:hAnsi="Arial" w:eastAsia="Arial" w:cs="Arial"/>
                <w:spacing w:val="-17"/>
                <w:sz w:val="16"/>
                <w:szCs w:val="16"/>
              </w:rPr>
              <w:t>7 .</w:t>
            </w:r>
            <w:r>
              <w:rPr>
                <w:rFonts w:ascii="Arial" w:hAnsi="Arial" w:eastAsia="Arial" w:cs="Arial"/>
                <w:spacing w:val="23"/>
                <w:sz w:val="16"/>
                <w:szCs w:val="16"/>
              </w:rPr>
              <w:t xml:space="preserve"> </w:t>
            </w:r>
            <w:r>
              <w:rPr>
                <w:rFonts w:ascii="Arial" w:hAnsi="Arial" w:eastAsia="Arial" w:cs="Arial"/>
                <w:spacing w:val="-17"/>
                <w:sz w:val="16"/>
                <w:szCs w:val="16"/>
              </w:rPr>
              <w:t>7</w:t>
            </w:r>
          </w:p>
        </w:tc>
        <w:tc>
          <w:tcPr>
            <w:tcW w:w="630" w:type="dxa"/>
            <w:tcBorders>
              <w:bottom w:val="single" w:color="000000" w:sz="6" w:space="0"/>
            </w:tcBorders>
            <w:vAlign w:val="top"/>
          </w:tcPr>
          <w:p>
            <w:pPr>
              <w:spacing w:line="301" w:lineRule="auto"/>
              <w:rPr>
                <w:rFonts w:ascii="Arial"/>
                <w:sz w:val="21"/>
              </w:rPr>
            </w:pPr>
          </w:p>
          <w:p>
            <w:pPr>
              <w:spacing w:before="46" w:line="199" w:lineRule="auto"/>
              <w:ind w:left="194"/>
              <w:rPr>
                <w:rFonts w:ascii="Arial" w:hAnsi="Arial" w:eastAsia="Arial" w:cs="Arial"/>
                <w:sz w:val="16"/>
                <w:szCs w:val="16"/>
              </w:rPr>
            </w:pPr>
            <w:r>
              <w:rPr>
                <w:rFonts w:ascii="Arial" w:hAnsi="Arial" w:eastAsia="Arial" w:cs="Arial"/>
                <w:spacing w:val="-15"/>
                <w:sz w:val="16"/>
                <w:szCs w:val="16"/>
              </w:rPr>
              <w:t>0</w:t>
            </w:r>
            <w:r>
              <w:rPr>
                <w:rFonts w:ascii="Arial" w:hAnsi="Arial" w:eastAsia="Arial" w:cs="Arial"/>
                <w:spacing w:val="-20"/>
                <w:sz w:val="16"/>
                <w:szCs w:val="16"/>
              </w:rPr>
              <w:t xml:space="preserve"> </w:t>
            </w:r>
            <w:r>
              <w:rPr>
                <w:rFonts w:ascii="Arial" w:hAnsi="Arial" w:eastAsia="Arial" w:cs="Arial"/>
                <w:spacing w:val="-15"/>
                <w:sz w:val="16"/>
                <w:szCs w:val="16"/>
              </w:rPr>
              <w:t>.</w:t>
            </w:r>
            <w:r>
              <w:rPr>
                <w:rFonts w:ascii="Arial" w:hAnsi="Arial" w:eastAsia="Arial" w:cs="Arial"/>
                <w:spacing w:val="23"/>
                <w:w w:val="101"/>
                <w:sz w:val="16"/>
                <w:szCs w:val="16"/>
              </w:rPr>
              <w:t xml:space="preserve"> </w:t>
            </w:r>
            <w:r>
              <w:rPr>
                <w:rFonts w:ascii="Arial" w:hAnsi="Arial" w:eastAsia="Arial" w:cs="Arial"/>
                <w:spacing w:val="-15"/>
                <w:sz w:val="16"/>
                <w:szCs w:val="16"/>
              </w:rPr>
              <w:t>5</w:t>
            </w:r>
          </w:p>
        </w:tc>
        <w:tc>
          <w:tcPr>
            <w:tcW w:w="675" w:type="dxa"/>
            <w:tcBorders>
              <w:bottom w:val="single" w:color="000000" w:sz="6" w:space="0"/>
              <w:right w:val="single" w:color="000000" w:sz="6" w:space="0"/>
            </w:tcBorders>
            <w:vAlign w:val="top"/>
          </w:tcPr>
          <w:p>
            <w:pPr>
              <w:spacing w:line="299" w:lineRule="auto"/>
              <w:rPr>
                <w:rFonts w:ascii="Arial"/>
                <w:sz w:val="21"/>
              </w:rPr>
            </w:pPr>
          </w:p>
          <w:p>
            <w:pPr>
              <w:spacing w:before="46" w:line="201" w:lineRule="auto"/>
              <w:ind w:left="214"/>
              <w:rPr>
                <w:rFonts w:ascii="Arial" w:hAnsi="Arial" w:eastAsia="Arial" w:cs="Arial"/>
                <w:sz w:val="16"/>
                <w:szCs w:val="16"/>
              </w:rPr>
            </w:pPr>
            <w:r>
              <w:rPr>
                <w:rFonts w:ascii="Arial" w:hAnsi="Arial" w:eastAsia="Arial" w:cs="Arial"/>
                <w:spacing w:val="-15"/>
                <w:sz w:val="16"/>
                <w:szCs w:val="16"/>
              </w:rPr>
              <w:t>0</w:t>
            </w:r>
            <w:r>
              <w:rPr>
                <w:rFonts w:ascii="Arial" w:hAnsi="Arial" w:eastAsia="Arial" w:cs="Arial"/>
                <w:spacing w:val="-20"/>
                <w:sz w:val="16"/>
                <w:szCs w:val="16"/>
              </w:rPr>
              <w:t xml:space="preserve"> </w:t>
            </w:r>
            <w:r>
              <w:rPr>
                <w:rFonts w:ascii="Arial" w:hAnsi="Arial" w:eastAsia="Arial" w:cs="Arial"/>
                <w:spacing w:val="-15"/>
                <w:sz w:val="16"/>
                <w:szCs w:val="16"/>
              </w:rPr>
              <w:t>.</w:t>
            </w:r>
            <w:r>
              <w:rPr>
                <w:rFonts w:ascii="Arial" w:hAnsi="Arial" w:eastAsia="Arial" w:cs="Arial"/>
                <w:spacing w:val="21"/>
                <w:w w:val="101"/>
                <w:sz w:val="16"/>
                <w:szCs w:val="16"/>
              </w:rPr>
              <w:t xml:space="preserve"> </w:t>
            </w:r>
            <w:r>
              <w:rPr>
                <w:rFonts w:ascii="Arial" w:hAnsi="Arial" w:eastAsia="Arial" w:cs="Arial"/>
                <w:spacing w:val="-15"/>
                <w:sz w:val="16"/>
                <w:szCs w:val="16"/>
              </w:rPr>
              <w:t>8</w:t>
            </w:r>
          </w:p>
        </w:tc>
      </w:tr>
    </w:tbl>
    <w:p>
      <w:pPr>
        <w:spacing w:before="120" w:line="187" w:lineRule="auto"/>
        <w:ind w:left="405"/>
        <w:rPr>
          <w:rFonts w:ascii="微软雅黑" w:hAnsi="微软雅黑" w:eastAsia="微软雅黑" w:cs="微软雅黑"/>
          <w:sz w:val="19"/>
          <w:szCs w:val="19"/>
        </w:rPr>
      </w:pPr>
      <w:r>
        <w:rPr>
          <w:rFonts w:ascii="微软雅黑" w:hAnsi="微软雅黑" w:eastAsia="微软雅黑" w:cs="微软雅黑"/>
          <w:spacing w:val="30"/>
          <w:sz w:val="19"/>
          <w:szCs w:val="19"/>
        </w:rPr>
        <w:t>（二）质量管理层面</w:t>
      </w:r>
    </w:p>
    <w:p>
      <w:pPr>
        <w:spacing w:before="66" w:line="257" w:lineRule="auto"/>
        <w:ind w:left="61" w:firstLine="422"/>
        <w:rPr>
          <w:rFonts w:ascii="微软雅黑" w:hAnsi="微软雅黑" w:eastAsia="微软雅黑" w:cs="微软雅黑"/>
          <w:sz w:val="16"/>
          <w:szCs w:val="16"/>
        </w:rPr>
      </w:pPr>
      <w:r>
        <w:rPr>
          <w:rFonts w:ascii="微软雅黑" w:hAnsi="微软雅黑" w:eastAsia="微软雅黑" w:cs="微软雅黑"/>
          <w:spacing w:val="8"/>
          <w:w w:val="120"/>
          <w:sz w:val="16"/>
          <w:szCs w:val="16"/>
        </w:rPr>
        <w:t>质量管理层面</w:t>
      </w:r>
      <w:r>
        <w:rPr>
          <w:rFonts w:ascii="微软雅黑" w:hAnsi="微软雅黑" w:eastAsia="微软雅黑" w:cs="微软雅黑"/>
          <w:spacing w:val="-18"/>
          <w:sz w:val="16"/>
          <w:szCs w:val="16"/>
        </w:rPr>
        <w:t xml:space="preserve"> </w:t>
      </w:r>
      <w:r>
        <w:rPr>
          <w:rFonts w:ascii="微软雅黑" w:hAnsi="微软雅黑" w:eastAsia="微软雅黑" w:cs="微软雅黑"/>
          <w:spacing w:val="8"/>
          <w:w w:val="120"/>
          <w:sz w:val="16"/>
          <w:szCs w:val="16"/>
        </w:rPr>
        <w:t>，学校开展了多项管理实践工作</w:t>
      </w:r>
      <w:r>
        <w:rPr>
          <w:rFonts w:ascii="微软雅黑" w:hAnsi="微软雅黑" w:eastAsia="微软雅黑" w:cs="微软雅黑"/>
          <w:spacing w:val="-16"/>
          <w:sz w:val="16"/>
          <w:szCs w:val="16"/>
        </w:rPr>
        <w:t xml:space="preserve"> </w:t>
      </w:r>
      <w:r>
        <w:rPr>
          <w:rFonts w:ascii="微软雅黑" w:hAnsi="微软雅黑" w:eastAsia="微软雅黑" w:cs="微软雅黑"/>
          <w:spacing w:val="8"/>
          <w:w w:val="120"/>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34"/>
          <w:sz w:val="16"/>
          <w:szCs w:val="16"/>
        </w:rPr>
        <w:t>第</w:t>
      </w:r>
      <w:r>
        <w:rPr>
          <w:rFonts w:ascii="微软雅黑" w:hAnsi="微软雅黑" w:eastAsia="微软雅黑" w:cs="微软雅黑"/>
          <w:spacing w:val="-24"/>
          <w:sz w:val="16"/>
          <w:szCs w:val="16"/>
        </w:rPr>
        <w:t xml:space="preserve"> </w:t>
      </w:r>
      <w:r>
        <w:rPr>
          <w:rFonts w:ascii="微软雅黑" w:hAnsi="微软雅黑" w:eastAsia="微软雅黑" w:cs="微软雅黑"/>
          <w:spacing w:val="34"/>
          <w:sz w:val="16"/>
          <w:szCs w:val="16"/>
        </w:rPr>
        <w:t>一</w:t>
      </w:r>
      <w:r>
        <w:rPr>
          <w:rFonts w:ascii="微软雅黑" w:hAnsi="微软雅黑" w:eastAsia="微软雅黑" w:cs="微软雅黑"/>
          <w:spacing w:val="-24"/>
          <w:sz w:val="16"/>
          <w:szCs w:val="16"/>
        </w:rPr>
        <w:t xml:space="preserve"> </w:t>
      </w:r>
      <w:r>
        <w:rPr>
          <w:rFonts w:ascii="微软雅黑" w:hAnsi="微软雅黑" w:eastAsia="微软雅黑" w:cs="微软雅黑"/>
          <w:spacing w:val="34"/>
          <w:sz w:val="16"/>
          <w:szCs w:val="16"/>
        </w:rPr>
        <w:t>，持续开展大学的科学化管理</w:t>
      </w:r>
      <w:r>
        <w:rPr>
          <w:rFonts w:ascii="微软雅黑" w:hAnsi="微软雅黑" w:eastAsia="微软雅黑" w:cs="微软雅黑"/>
          <w:spacing w:val="-5"/>
          <w:sz w:val="16"/>
          <w:szCs w:val="16"/>
        </w:rPr>
        <w:t xml:space="preserve"> </w:t>
      </w:r>
      <w:r>
        <w:rPr>
          <w:rFonts w:ascii="微软雅黑" w:hAnsi="微软雅黑" w:eastAsia="微软雅黑" w:cs="微软雅黑"/>
          <w:spacing w:val="34"/>
          <w:sz w:val="16"/>
          <w:szCs w:val="16"/>
        </w:rPr>
        <w:t>。</w:t>
      </w:r>
      <w:r>
        <w:rPr>
          <w:rFonts w:ascii="微软雅黑" w:hAnsi="微软雅黑" w:eastAsia="微软雅黑" w:cs="微软雅黑"/>
          <w:spacing w:val="-7"/>
          <w:sz w:val="16"/>
          <w:szCs w:val="16"/>
        </w:rPr>
        <w:t xml:space="preserve"> </w:t>
      </w:r>
      <w:r>
        <w:rPr>
          <w:rFonts w:ascii="微软雅黑" w:hAnsi="微软雅黑" w:eastAsia="微软雅黑" w:cs="微软雅黑"/>
          <w:spacing w:val="34"/>
          <w:sz w:val="16"/>
          <w:szCs w:val="16"/>
        </w:rPr>
        <w:t>学习</w:t>
      </w:r>
      <w:r>
        <w:rPr>
          <w:rFonts w:ascii="微软雅黑" w:hAnsi="微软雅黑" w:eastAsia="微软雅黑" w:cs="微软雅黑"/>
          <w:spacing w:val="-18"/>
          <w:sz w:val="16"/>
          <w:szCs w:val="16"/>
        </w:rPr>
        <w:t xml:space="preserve"> </w:t>
      </w:r>
      <w:r>
        <w:rPr>
          <w:rFonts w:ascii="微软雅黑" w:hAnsi="微软雅黑" w:eastAsia="微软雅黑" w:cs="微软雅黑"/>
          <w:spacing w:val="34"/>
          <w:sz w:val="16"/>
          <w:szCs w:val="16"/>
        </w:rPr>
        <w:t>、借鉴和引</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入企业成熟的管理思想和工</w:t>
      </w:r>
      <w:r>
        <w:rPr>
          <w:rFonts w:ascii="微软雅黑" w:hAnsi="微软雅黑" w:eastAsia="微软雅黑" w:cs="微软雅黑"/>
          <w:spacing w:val="-19"/>
          <w:sz w:val="16"/>
          <w:szCs w:val="16"/>
        </w:rPr>
        <w:t xml:space="preserve"> </w:t>
      </w:r>
      <w:r>
        <w:rPr>
          <w:rFonts w:ascii="微软雅黑" w:hAnsi="微软雅黑" w:eastAsia="微软雅黑" w:cs="微软雅黑"/>
          <w:spacing w:val="38"/>
          <w:sz w:val="16"/>
          <w:szCs w:val="16"/>
        </w:rPr>
        <w:t>具</w:t>
      </w:r>
      <w:r>
        <w:rPr>
          <w:rFonts w:ascii="微软雅黑" w:hAnsi="微软雅黑" w:eastAsia="微软雅黑" w:cs="微软雅黑"/>
          <w:spacing w:val="-24"/>
          <w:sz w:val="16"/>
          <w:szCs w:val="16"/>
        </w:rPr>
        <w:t xml:space="preserve"> </w:t>
      </w:r>
      <w:r>
        <w:rPr>
          <w:rFonts w:ascii="微软雅黑" w:hAnsi="微软雅黑" w:eastAsia="微软雅黑" w:cs="微软雅黑"/>
          <w:spacing w:val="38"/>
          <w:sz w:val="16"/>
          <w:szCs w:val="16"/>
        </w:rPr>
        <w:t>，不</w:t>
      </w:r>
      <w:r>
        <w:rPr>
          <w:rFonts w:ascii="微软雅黑" w:hAnsi="微软雅黑" w:eastAsia="微软雅黑" w:cs="微软雅黑"/>
          <w:spacing w:val="-12"/>
          <w:sz w:val="16"/>
          <w:szCs w:val="16"/>
        </w:rPr>
        <w:t xml:space="preserve"> </w:t>
      </w:r>
      <w:r>
        <w:rPr>
          <w:rFonts w:ascii="微软雅黑" w:hAnsi="微软雅黑" w:eastAsia="微软雅黑" w:cs="微软雅黑"/>
          <w:spacing w:val="38"/>
          <w:sz w:val="16"/>
          <w:szCs w:val="16"/>
        </w:rPr>
        <w:t>断</w:t>
      </w:r>
      <w:r>
        <w:rPr>
          <w:rFonts w:ascii="微软雅黑" w:hAnsi="微软雅黑" w:eastAsia="微软雅黑" w:cs="微软雅黑"/>
          <w:spacing w:val="-19"/>
          <w:sz w:val="16"/>
          <w:szCs w:val="16"/>
        </w:rPr>
        <w:t xml:space="preserve"> </w:t>
      </w:r>
      <w:r>
        <w:rPr>
          <w:rFonts w:ascii="微软雅黑" w:hAnsi="微软雅黑" w:eastAsia="微软雅黑" w:cs="微软雅黑"/>
          <w:spacing w:val="38"/>
          <w:sz w:val="16"/>
          <w:szCs w:val="16"/>
        </w:rPr>
        <w:t>进</w:t>
      </w:r>
      <w:r>
        <w:rPr>
          <w:rFonts w:ascii="微软雅黑" w:hAnsi="微软雅黑" w:eastAsia="微软雅黑" w:cs="微软雅黑"/>
          <w:spacing w:val="-19"/>
          <w:sz w:val="16"/>
          <w:szCs w:val="16"/>
        </w:rPr>
        <w:t xml:space="preserve"> </w:t>
      </w:r>
      <w:r>
        <w:rPr>
          <w:rFonts w:ascii="微软雅黑" w:hAnsi="微软雅黑" w:eastAsia="微软雅黑" w:cs="微软雅黑"/>
          <w:spacing w:val="38"/>
          <w:sz w:val="16"/>
          <w:szCs w:val="16"/>
        </w:rPr>
        <w:t>行</w:t>
      </w:r>
      <w:r>
        <w:rPr>
          <w:rFonts w:ascii="微软雅黑" w:hAnsi="微软雅黑" w:eastAsia="微软雅黑" w:cs="微软雅黑"/>
          <w:spacing w:val="-16"/>
          <w:sz w:val="16"/>
          <w:szCs w:val="16"/>
        </w:rPr>
        <w:t xml:space="preserve"> </w:t>
      </w:r>
      <w:r>
        <w:rPr>
          <w:rFonts w:ascii="微软雅黑" w:hAnsi="微软雅黑" w:eastAsia="微软雅黑" w:cs="微软雅黑"/>
          <w:spacing w:val="38"/>
          <w:sz w:val="16"/>
          <w:szCs w:val="16"/>
        </w:rPr>
        <w:t>在</w:t>
      </w:r>
      <w:r>
        <w:rPr>
          <w:rFonts w:ascii="微软雅黑" w:hAnsi="微软雅黑" w:eastAsia="微软雅黑" w:cs="微软雅黑"/>
          <w:spacing w:val="-19"/>
          <w:sz w:val="16"/>
          <w:szCs w:val="16"/>
        </w:rPr>
        <w:t xml:space="preserve"> </w:t>
      </w:r>
      <w:r>
        <w:rPr>
          <w:rFonts w:ascii="微软雅黑" w:hAnsi="微软雅黑" w:eastAsia="微软雅黑" w:cs="微软雅黑"/>
          <w:spacing w:val="38"/>
          <w:sz w:val="16"/>
          <w:szCs w:val="16"/>
        </w:rPr>
        <w:t>地</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化</w:t>
      </w:r>
      <w:r>
        <w:rPr>
          <w:rFonts w:ascii="微软雅黑" w:hAnsi="微软雅黑" w:eastAsia="微软雅黑" w:cs="微软雅黑"/>
          <w:spacing w:val="-15"/>
          <w:sz w:val="16"/>
          <w:szCs w:val="16"/>
        </w:rPr>
        <w:t xml:space="preserve"> </w:t>
      </w:r>
      <w:r>
        <w:rPr>
          <w:rFonts w:ascii="微软雅黑" w:hAnsi="微软雅黑" w:eastAsia="微软雅黑" w:cs="微软雅黑"/>
          <w:spacing w:val="38"/>
          <w:sz w:val="16"/>
          <w:szCs w:val="16"/>
        </w:rPr>
        <w:t>改</w:t>
      </w:r>
      <w:r>
        <w:rPr>
          <w:rFonts w:ascii="微软雅黑" w:hAnsi="微软雅黑" w:eastAsia="微软雅黑" w:cs="微软雅黑"/>
          <w:sz w:val="16"/>
          <w:szCs w:val="16"/>
        </w:rPr>
        <w:t xml:space="preserve">  </w:t>
      </w:r>
      <w:r>
        <w:rPr>
          <w:rFonts w:ascii="微软雅黑" w:hAnsi="微软雅黑" w:eastAsia="微软雅黑" w:cs="微软雅黑"/>
          <w:spacing w:val="19"/>
          <w:sz w:val="16"/>
          <w:szCs w:val="16"/>
        </w:rPr>
        <w:t>革</w:t>
      </w:r>
      <w:r>
        <w:rPr>
          <w:rFonts w:ascii="微软雅黑" w:hAnsi="微软雅黑" w:eastAsia="微软雅黑" w:cs="微软雅黑"/>
          <w:spacing w:val="-6"/>
          <w:sz w:val="16"/>
          <w:szCs w:val="16"/>
        </w:rPr>
        <w:t xml:space="preserve"> </w:t>
      </w:r>
      <w:r>
        <w:rPr>
          <w:rFonts w:ascii="微软雅黑" w:hAnsi="微软雅黑" w:eastAsia="微软雅黑" w:cs="微软雅黑"/>
          <w:spacing w:val="19"/>
          <w:sz w:val="16"/>
          <w:szCs w:val="16"/>
        </w:rPr>
        <w:t>，使其为高</w:t>
      </w:r>
      <w:r>
        <w:rPr>
          <w:rFonts w:ascii="微软雅黑" w:hAnsi="微软雅黑" w:eastAsia="微软雅黑" w:cs="微软雅黑"/>
          <w:spacing w:val="-17"/>
          <w:sz w:val="16"/>
          <w:szCs w:val="16"/>
        </w:rPr>
        <w:t xml:space="preserve"> </w:t>
      </w:r>
      <w:r>
        <w:rPr>
          <w:rFonts w:ascii="微软雅黑" w:hAnsi="微软雅黑" w:eastAsia="微软雅黑" w:cs="微软雅黑"/>
          <w:spacing w:val="19"/>
          <w:sz w:val="16"/>
          <w:szCs w:val="16"/>
        </w:rPr>
        <w:t>校</w:t>
      </w:r>
      <w:r>
        <w:rPr>
          <w:rFonts w:ascii="微软雅黑" w:hAnsi="微软雅黑" w:eastAsia="微软雅黑" w:cs="微软雅黑"/>
          <w:spacing w:val="-19"/>
          <w:sz w:val="16"/>
          <w:szCs w:val="16"/>
        </w:rPr>
        <w:t xml:space="preserve"> </w:t>
      </w:r>
      <w:r>
        <w:rPr>
          <w:rFonts w:ascii="微软雅黑" w:hAnsi="微软雅黑" w:eastAsia="微软雅黑" w:cs="微软雅黑"/>
          <w:spacing w:val="19"/>
          <w:sz w:val="16"/>
          <w:szCs w:val="16"/>
        </w:rPr>
        <w:t>所</w:t>
      </w:r>
      <w:r>
        <w:rPr>
          <w:rFonts w:ascii="微软雅黑" w:hAnsi="微软雅黑" w:eastAsia="微软雅黑" w:cs="微软雅黑"/>
          <w:spacing w:val="-20"/>
          <w:sz w:val="16"/>
          <w:szCs w:val="16"/>
        </w:rPr>
        <w:t xml:space="preserve"> </w:t>
      </w:r>
      <w:r>
        <w:rPr>
          <w:rFonts w:ascii="微软雅黑" w:hAnsi="微软雅黑" w:eastAsia="微软雅黑" w:cs="微软雅黑"/>
          <w:spacing w:val="19"/>
          <w:sz w:val="16"/>
          <w:szCs w:val="16"/>
        </w:rPr>
        <w:t>适</w:t>
      </w:r>
      <w:r>
        <w:rPr>
          <w:rFonts w:ascii="微软雅黑" w:hAnsi="微软雅黑" w:eastAsia="微软雅黑" w:cs="微软雅黑"/>
          <w:spacing w:val="-17"/>
          <w:sz w:val="16"/>
          <w:szCs w:val="16"/>
        </w:rPr>
        <w:t xml:space="preserve"> </w:t>
      </w:r>
      <w:r>
        <w:rPr>
          <w:rFonts w:ascii="微软雅黑" w:hAnsi="微软雅黑" w:eastAsia="微软雅黑" w:cs="微软雅黑"/>
          <w:spacing w:val="19"/>
          <w:sz w:val="16"/>
          <w:szCs w:val="16"/>
        </w:rPr>
        <w:t>用</w:t>
      </w:r>
      <w:r>
        <w:rPr>
          <w:rFonts w:ascii="微软雅黑" w:hAnsi="微软雅黑" w:eastAsia="微软雅黑" w:cs="微软雅黑"/>
          <w:spacing w:val="-5"/>
          <w:sz w:val="16"/>
          <w:szCs w:val="16"/>
        </w:rPr>
        <w:t xml:space="preserve"> </w:t>
      </w:r>
      <w:r>
        <w:rPr>
          <w:rFonts w:ascii="微软雅黑" w:hAnsi="微软雅黑" w:eastAsia="微软雅黑" w:cs="微软雅黑"/>
          <w:spacing w:val="19"/>
          <w:sz w:val="16"/>
          <w:szCs w:val="16"/>
        </w:rPr>
        <w:t>。</w:t>
      </w:r>
      <w:r>
        <w:rPr>
          <w:rFonts w:ascii="微软雅黑" w:hAnsi="微软雅黑" w:eastAsia="微软雅黑" w:cs="微软雅黑"/>
          <w:spacing w:val="-3"/>
          <w:sz w:val="16"/>
          <w:szCs w:val="16"/>
        </w:rPr>
        <w:t xml:space="preserve"> </w:t>
      </w:r>
      <w:r>
        <w:rPr>
          <w:rFonts w:ascii="微软雅黑" w:hAnsi="微软雅黑" w:eastAsia="微软雅黑" w:cs="微软雅黑"/>
          <w:spacing w:val="19"/>
          <w:sz w:val="16"/>
          <w:szCs w:val="16"/>
        </w:rPr>
        <w:t>首</w:t>
      </w:r>
      <w:r>
        <w:rPr>
          <w:rFonts w:ascii="微软雅黑" w:hAnsi="微软雅黑" w:eastAsia="微软雅黑" w:cs="微软雅黑"/>
          <w:spacing w:val="-18"/>
          <w:sz w:val="16"/>
          <w:szCs w:val="16"/>
        </w:rPr>
        <w:t xml:space="preserve"> </w:t>
      </w:r>
      <w:r>
        <w:rPr>
          <w:rFonts w:ascii="微软雅黑" w:hAnsi="微软雅黑" w:eastAsia="微软雅黑" w:cs="微软雅黑"/>
          <w:spacing w:val="19"/>
          <w:sz w:val="16"/>
          <w:szCs w:val="16"/>
        </w:rPr>
        <w:t>先</w:t>
      </w:r>
      <w:r>
        <w:rPr>
          <w:rFonts w:ascii="微软雅黑" w:hAnsi="微软雅黑" w:eastAsia="微软雅黑" w:cs="微软雅黑"/>
          <w:spacing w:val="-24"/>
          <w:sz w:val="16"/>
          <w:szCs w:val="16"/>
        </w:rPr>
        <w:t xml:space="preserve"> </w:t>
      </w:r>
      <w:r>
        <w:rPr>
          <w:rFonts w:ascii="微软雅黑" w:hAnsi="微软雅黑" w:eastAsia="微软雅黑" w:cs="微软雅黑"/>
          <w:spacing w:val="19"/>
          <w:sz w:val="16"/>
          <w:szCs w:val="16"/>
        </w:rPr>
        <w:t>，改</w:t>
      </w:r>
      <w:r>
        <w:rPr>
          <w:rFonts w:ascii="微软雅黑" w:hAnsi="微软雅黑" w:eastAsia="微软雅黑" w:cs="微软雅黑"/>
          <w:spacing w:val="-19"/>
          <w:sz w:val="16"/>
          <w:szCs w:val="16"/>
        </w:rPr>
        <w:t xml:space="preserve"> </w:t>
      </w:r>
      <w:r>
        <w:rPr>
          <w:rFonts w:ascii="微软雅黑" w:hAnsi="微软雅黑" w:eastAsia="微软雅黑" w:cs="微软雅黑"/>
          <w:spacing w:val="19"/>
          <w:sz w:val="16"/>
          <w:szCs w:val="16"/>
        </w:rPr>
        <w:t>革 内</w:t>
      </w:r>
      <w:r>
        <w:rPr>
          <w:rFonts w:ascii="微软雅黑" w:hAnsi="微软雅黑" w:eastAsia="微软雅黑" w:cs="微软雅黑"/>
          <w:spacing w:val="-18"/>
          <w:sz w:val="16"/>
          <w:szCs w:val="16"/>
        </w:rPr>
        <w:t xml:space="preserve"> </w:t>
      </w:r>
      <w:r>
        <w:rPr>
          <w:rFonts w:ascii="微软雅黑" w:hAnsi="微软雅黑" w:eastAsia="微软雅黑" w:cs="微软雅黑"/>
          <w:spacing w:val="19"/>
          <w:sz w:val="16"/>
          <w:szCs w:val="16"/>
        </w:rPr>
        <w:t>部</w:t>
      </w:r>
      <w:r>
        <w:rPr>
          <w:rFonts w:ascii="微软雅黑" w:hAnsi="微软雅黑" w:eastAsia="微软雅黑" w:cs="微软雅黑"/>
          <w:spacing w:val="-16"/>
          <w:sz w:val="16"/>
          <w:szCs w:val="16"/>
        </w:rPr>
        <w:t xml:space="preserve"> </w:t>
      </w:r>
      <w:r>
        <w:rPr>
          <w:rFonts w:ascii="微软雅黑" w:hAnsi="微软雅黑" w:eastAsia="微软雅黑" w:cs="微软雅黑"/>
          <w:spacing w:val="19"/>
          <w:sz w:val="16"/>
          <w:szCs w:val="16"/>
        </w:rPr>
        <w:t>管</w:t>
      </w:r>
      <w:r>
        <w:rPr>
          <w:rFonts w:ascii="微软雅黑" w:hAnsi="微软雅黑" w:eastAsia="微软雅黑" w:cs="微软雅黑"/>
          <w:spacing w:val="-17"/>
          <w:sz w:val="16"/>
          <w:szCs w:val="16"/>
        </w:rPr>
        <w:t xml:space="preserve"> </w:t>
      </w:r>
      <w:r>
        <w:rPr>
          <w:rFonts w:ascii="微软雅黑" w:hAnsi="微软雅黑" w:eastAsia="微软雅黑" w:cs="微软雅黑"/>
          <w:spacing w:val="19"/>
          <w:sz w:val="16"/>
          <w:szCs w:val="16"/>
        </w:rPr>
        <w:t>理</w:t>
      </w:r>
      <w:r>
        <w:rPr>
          <w:rFonts w:ascii="微软雅黑" w:hAnsi="微软雅黑" w:eastAsia="微软雅黑" w:cs="微软雅黑"/>
          <w:spacing w:val="-18"/>
          <w:sz w:val="16"/>
          <w:szCs w:val="16"/>
        </w:rPr>
        <w:t xml:space="preserve"> </w:t>
      </w:r>
      <w:r>
        <w:rPr>
          <w:rFonts w:ascii="微软雅黑" w:hAnsi="微软雅黑" w:eastAsia="微软雅黑" w:cs="微软雅黑"/>
          <w:spacing w:val="19"/>
          <w:sz w:val="16"/>
          <w:szCs w:val="16"/>
        </w:rPr>
        <w:t>体</w:t>
      </w:r>
      <w:r>
        <w:rPr>
          <w:rFonts w:ascii="微软雅黑" w:hAnsi="微软雅黑" w:eastAsia="微软雅黑" w:cs="微软雅黑"/>
          <w:spacing w:val="-17"/>
          <w:sz w:val="16"/>
          <w:szCs w:val="16"/>
        </w:rPr>
        <w:t xml:space="preserve"> </w:t>
      </w:r>
      <w:r>
        <w:rPr>
          <w:rFonts w:ascii="微软雅黑" w:hAnsi="微软雅黑" w:eastAsia="微软雅黑" w:cs="微软雅黑"/>
          <w:spacing w:val="19"/>
          <w:sz w:val="16"/>
          <w:szCs w:val="16"/>
        </w:rPr>
        <w:t>制</w:t>
      </w:r>
      <w:r>
        <w:rPr>
          <w:rFonts w:ascii="微软雅黑" w:hAnsi="微软雅黑" w:eastAsia="微软雅黑" w:cs="微软雅黑"/>
          <w:spacing w:val="-24"/>
          <w:sz w:val="16"/>
          <w:szCs w:val="16"/>
        </w:rPr>
        <w:t xml:space="preserve"> </w:t>
      </w:r>
      <w:r>
        <w:rPr>
          <w:rFonts w:ascii="微软雅黑" w:hAnsi="微软雅黑" w:eastAsia="微软雅黑" w:cs="微软雅黑"/>
          <w:spacing w:val="19"/>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针对二级学院开展以授权为</w:t>
      </w:r>
      <w:r>
        <w:rPr>
          <w:rFonts w:ascii="微软雅黑" w:hAnsi="微软雅黑" w:eastAsia="微软雅黑" w:cs="微软雅黑"/>
          <w:spacing w:val="-7"/>
          <w:sz w:val="16"/>
          <w:szCs w:val="16"/>
        </w:rPr>
        <w:t xml:space="preserve"> </w:t>
      </w:r>
      <w:r>
        <w:rPr>
          <w:rFonts w:ascii="微软雅黑" w:hAnsi="微软雅黑" w:eastAsia="微软雅黑" w:cs="微软雅黑"/>
          <w:spacing w:val="36"/>
          <w:sz w:val="16"/>
          <w:szCs w:val="16"/>
        </w:rPr>
        <w:t>核</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心</w:t>
      </w:r>
      <w:r>
        <w:rPr>
          <w:rFonts w:ascii="微软雅黑" w:hAnsi="微软雅黑" w:eastAsia="微软雅黑" w:cs="微软雅黑"/>
          <w:spacing w:val="-2"/>
          <w:sz w:val="16"/>
          <w:szCs w:val="16"/>
        </w:rPr>
        <w:t xml:space="preserve"> </w:t>
      </w:r>
      <w:r>
        <w:rPr>
          <w:rFonts w:ascii="微软雅黑" w:hAnsi="微软雅黑" w:eastAsia="微软雅黑" w:cs="微软雅黑"/>
          <w:spacing w:val="36"/>
          <w:sz w:val="16"/>
          <w:szCs w:val="16"/>
        </w:rPr>
        <w:t>的 内</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部</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管</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理</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体</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制</w:t>
      </w:r>
      <w:r>
        <w:rPr>
          <w:rFonts w:ascii="微软雅黑" w:hAnsi="微软雅黑" w:eastAsia="微软雅黑" w:cs="微软雅黑"/>
          <w:spacing w:val="-24"/>
          <w:sz w:val="16"/>
          <w:szCs w:val="16"/>
        </w:rPr>
        <w:t xml:space="preserve"> </w:t>
      </w:r>
      <w:r>
        <w:rPr>
          <w:rFonts w:ascii="微软雅黑" w:hAnsi="微软雅黑" w:eastAsia="微软雅黑" w:cs="微软雅黑"/>
          <w:spacing w:val="36"/>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彻底下放业务权</w:t>
      </w:r>
      <w:r>
        <w:rPr>
          <w:rFonts w:ascii="微软雅黑" w:hAnsi="微软雅黑" w:eastAsia="微软雅黑" w:cs="微软雅黑"/>
          <w:spacing w:val="-4"/>
          <w:sz w:val="16"/>
          <w:szCs w:val="16"/>
        </w:rPr>
        <w:t xml:space="preserve"> </w:t>
      </w:r>
      <w:r>
        <w:rPr>
          <w:rFonts w:ascii="微软雅黑" w:hAnsi="微软雅黑" w:eastAsia="微软雅黑" w:cs="微软雅黑"/>
          <w:spacing w:val="38"/>
          <w:sz w:val="16"/>
          <w:szCs w:val="16"/>
        </w:rPr>
        <w:t>、人事权和财务权</w:t>
      </w:r>
      <w:r>
        <w:rPr>
          <w:rFonts w:ascii="微软雅黑" w:hAnsi="微软雅黑" w:eastAsia="微软雅黑" w:cs="微软雅黑"/>
          <w:spacing w:val="-24"/>
          <w:sz w:val="16"/>
          <w:szCs w:val="16"/>
        </w:rPr>
        <w:t xml:space="preserve"> </w:t>
      </w:r>
      <w:r>
        <w:rPr>
          <w:rFonts w:ascii="微软雅黑" w:hAnsi="微软雅黑" w:eastAsia="微软雅黑" w:cs="微软雅黑"/>
          <w:spacing w:val="38"/>
          <w:sz w:val="16"/>
          <w:szCs w:val="16"/>
        </w:rPr>
        <w:t>，使二级学院成为</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办学主体</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；针对学校职能部门</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，精简并重新定</w:t>
      </w:r>
      <w:r>
        <w:rPr>
          <w:rFonts w:ascii="微软雅黑" w:hAnsi="微软雅黑" w:eastAsia="微软雅黑" w:cs="微软雅黑"/>
          <w:spacing w:val="38"/>
          <w:sz w:val="16"/>
          <w:szCs w:val="16"/>
        </w:rPr>
        <w:t>义其职</w:t>
      </w:r>
      <w:r>
        <w:rPr>
          <w:rFonts w:ascii="微软雅黑" w:hAnsi="微软雅黑" w:eastAsia="微软雅黑" w:cs="微软雅黑"/>
          <w:sz w:val="16"/>
          <w:szCs w:val="16"/>
        </w:rPr>
        <w:t xml:space="preserve">  </w:t>
      </w:r>
      <w:r>
        <w:rPr>
          <w:rFonts w:ascii="微软雅黑" w:hAnsi="微软雅黑" w:eastAsia="微软雅黑" w:cs="微软雅黑"/>
          <w:spacing w:val="35"/>
          <w:sz w:val="16"/>
          <w:szCs w:val="16"/>
        </w:rPr>
        <w:t>能</w:t>
      </w:r>
      <w:r>
        <w:rPr>
          <w:rFonts w:ascii="微软雅黑" w:hAnsi="微软雅黑" w:eastAsia="微软雅黑" w:cs="微软雅黑"/>
          <w:spacing w:val="-14"/>
          <w:sz w:val="16"/>
          <w:szCs w:val="16"/>
        </w:rPr>
        <w:t xml:space="preserve"> </w:t>
      </w:r>
      <w:r>
        <w:rPr>
          <w:rFonts w:ascii="微软雅黑" w:hAnsi="微软雅黑" w:eastAsia="微软雅黑" w:cs="微软雅黑"/>
          <w:spacing w:val="35"/>
          <w:sz w:val="16"/>
          <w:szCs w:val="16"/>
        </w:rPr>
        <w:t>，增强其对二级学院的服务和支持意识</w:t>
      </w:r>
      <w:r>
        <w:rPr>
          <w:rFonts w:ascii="微软雅黑" w:hAnsi="微软雅黑" w:eastAsia="微软雅黑" w:cs="微软雅黑"/>
          <w:spacing w:val="-6"/>
          <w:sz w:val="16"/>
          <w:szCs w:val="16"/>
        </w:rPr>
        <w:t xml:space="preserve"> </w:t>
      </w:r>
      <w:r>
        <w:rPr>
          <w:rFonts w:ascii="微软雅黑" w:hAnsi="微软雅黑" w:eastAsia="微软雅黑" w:cs="微软雅黑"/>
          <w:spacing w:val="35"/>
          <w:sz w:val="16"/>
          <w:szCs w:val="16"/>
        </w:rPr>
        <w:t>。</w:t>
      </w:r>
      <w:r>
        <w:rPr>
          <w:rFonts w:ascii="微软雅黑" w:hAnsi="微软雅黑" w:eastAsia="微软雅黑" w:cs="微软雅黑"/>
          <w:spacing w:val="-10"/>
          <w:sz w:val="16"/>
          <w:szCs w:val="16"/>
        </w:rPr>
        <w:t xml:space="preserve"> </w:t>
      </w:r>
      <w:r>
        <w:rPr>
          <w:rFonts w:ascii="微软雅黑" w:hAnsi="微软雅黑" w:eastAsia="微软雅黑" w:cs="微软雅黑"/>
          <w:spacing w:val="35"/>
          <w:sz w:val="16"/>
          <w:szCs w:val="16"/>
        </w:rPr>
        <w:t>其次</w:t>
      </w:r>
      <w:r>
        <w:rPr>
          <w:rFonts w:ascii="微软雅黑" w:hAnsi="微软雅黑" w:eastAsia="微软雅黑" w:cs="微软雅黑"/>
          <w:spacing w:val="-24"/>
          <w:sz w:val="16"/>
          <w:szCs w:val="16"/>
        </w:rPr>
        <w:t xml:space="preserve"> </w:t>
      </w:r>
      <w:r>
        <w:rPr>
          <w:rFonts w:ascii="微软雅黑" w:hAnsi="微软雅黑" w:eastAsia="微软雅黑" w:cs="微软雅黑"/>
          <w:spacing w:val="35"/>
          <w:sz w:val="16"/>
          <w:szCs w:val="16"/>
        </w:rPr>
        <w:t>，创</w:t>
      </w:r>
      <w:r>
        <w:rPr>
          <w:rFonts w:ascii="微软雅黑" w:hAnsi="微软雅黑" w:eastAsia="微软雅黑" w:cs="微软雅黑"/>
          <w:sz w:val="16"/>
          <w:szCs w:val="16"/>
        </w:rPr>
        <w:t xml:space="preserve">  </w:t>
      </w:r>
      <w:r>
        <w:rPr>
          <w:rFonts w:ascii="微软雅黑" w:hAnsi="微软雅黑" w:eastAsia="微软雅黑" w:cs="微软雅黑"/>
          <w:spacing w:val="32"/>
          <w:sz w:val="16"/>
          <w:szCs w:val="16"/>
        </w:rPr>
        <w:t>新绩效管理体系</w:t>
      </w:r>
      <w:r>
        <w:rPr>
          <w:rFonts w:ascii="微软雅黑" w:hAnsi="微软雅黑" w:eastAsia="微软雅黑" w:cs="微软雅黑"/>
          <w:spacing w:val="-22"/>
          <w:sz w:val="16"/>
          <w:szCs w:val="16"/>
        </w:rPr>
        <w:t xml:space="preserve"> </w:t>
      </w:r>
      <w:r>
        <w:rPr>
          <w:rFonts w:ascii="微软雅黑" w:hAnsi="微软雅黑" w:eastAsia="微软雅黑" w:cs="微软雅黑"/>
          <w:spacing w:val="32"/>
          <w:sz w:val="16"/>
          <w:szCs w:val="16"/>
        </w:rPr>
        <w:t>，将质量战略 目</w:t>
      </w:r>
      <w:r>
        <w:rPr>
          <w:rFonts w:ascii="微软雅黑" w:hAnsi="微软雅黑" w:eastAsia="微软雅黑" w:cs="微软雅黑"/>
          <w:spacing w:val="-19"/>
          <w:sz w:val="16"/>
          <w:szCs w:val="16"/>
        </w:rPr>
        <w:t xml:space="preserve"> </w:t>
      </w:r>
      <w:r>
        <w:rPr>
          <w:rFonts w:ascii="微软雅黑" w:hAnsi="微软雅黑" w:eastAsia="微软雅黑" w:cs="微软雅黑"/>
          <w:spacing w:val="32"/>
          <w:sz w:val="16"/>
          <w:szCs w:val="16"/>
        </w:rPr>
        <w:t>标</w:t>
      </w:r>
      <w:r>
        <w:rPr>
          <w:rFonts w:ascii="微软雅黑" w:hAnsi="微软雅黑" w:eastAsia="微软雅黑" w:cs="微软雅黑"/>
          <w:spacing w:val="-19"/>
          <w:sz w:val="16"/>
          <w:szCs w:val="16"/>
        </w:rPr>
        <w:t xml:space="preserve"> </w:t>
      </w:r>
      <w:r>
        <w:rPr>
          <w:rFonts w:ascii="微软雅黑" w:hAnsi="微软雅黑" w:eastAsia="微软雅黑" w:cs="微软雅黑"/>
          <w:spacing w:val="32"/>
          <w:sz w:val="16"/>
          <w:szCs w:val="16"/>
        </w:rPr>
        <w:t>解</w:t>
      </w:r>
      <w:r>
        <w:rPr>
          <w:rFonts w:ascii="微软雅黑" w:hAnsi="微软雅黑" w:eastAsia="微软雅黑" w:cs="微软雅黑"/>
          <w:spacing w:val="-19"/>
          <w:sz w:val="16"/>
          <w:szCs w:val="16"/>
        </w:rPr>
        <w:t xml:space="preserve"> </w:t>
      </w:r>
      <w:r>
        <w:rPr>
          <w:rFonts w:ascii="微软雅黑" w:hAnsi="微软雅黑" w:eastAsia="微软雅黑" w:cs="微软雅黑"/>
          <w:spacing w:val="32"/>
          <w:sz w:val="16"/>
          <w:szCs w:val="16"/>
        </w:rPr>
        <w:t>码</w:t>
      </w:r>
      <w:r>
        <w:rPr>
          <w:rFonts w:ascii="微软雅黑" w:hAnsi="微软雅黑" w:eastAsia="微软雅黑" w:cs="微软雅黑"/>
          <w:spacing w:val="-13"/>
          <w:sz w:val="16"/>
          <w:szCs w:val="16"/>
        </w:rPr>
        <w:t xml:space="preserve"> </w:t>
      </w:r>
      <w:r>
        <w:rPr>
          <w:rFonts w:ascii="微软雅黑" w:hAnsi="微软雅黑" w:eastAsia="微软雅黑" w:cs="微软雅黑"/>
          <w:spacing w:val="32"/>
          <w:sz w:val="16"/>
          <w:szCs w:val="16"/>
        </w:rPr>
        <w:t>到 日</w:t>
      </w:r>
      <w:r>
        <w:rPr>
          <w:rFonts w:ascii="微软雅黑" w:hAnsi="微软雅黑" w:eastAsia="微软雅黑" w:cs="微软雅黑"/>
          <w:spacing w:val="-12"/>
          <w:sz w:val="16"/>
          <w:szCs w:val="16"/>
        </w:rPr>
        <w:t xml:space="preserve"> </w:t>
      </w:r>
      <w:r>
        <w:rPr>
          <w:rFonts w:ascii="微软雅黑" w:hAnsi="微软雅黑" w:eastAsia="微软雅黑" w:cs="微软雅黑"/>
          <w:spacing w:val="32"/>
          <w:sz w:val="16"/>
          <w:szCs w:val="16"/>
        </w:rPr>
        <w:t>常</w:t>
      </w:r>
      <w:r>
        <w:rPr>
          <w:rFonts w:ascii="微软雅黑" w:hAnsi="微软雅黑" w:eastAsia="微软雅黑" w:cs="微软雅黑"/>
          <w:spacing w:val="-18"/>
          <w:sz w:val="16"/>
          <w:szCs w:val="16"/>
        </w:rPr>
        <w:t xml:space="preserve"> </w:t>
      </w:r>
      <w:r>
        <w:rPr>
          <w:rFonts w:ascii="微软雅黑" w:hAnsi="微软雅黑" w:eastAsia="微软雅黑" w:cs="微软雅黑"/>
          <w:spacing w:val="32"/>
          <w:sz w:val="16"/>
          <w:szCs w:val="16"/>
        </w:rPr>
        <w:t>工</w:t>
      </w:r>
      <w:r>
        <w:rPr>
          <w:rFonts w:ascii="微软雅黑" w:hAnsi="微软雅黑" w:eastAsia="微软雅黑" w:cs="微软雅黑"/>
          <w:spacing w:val="-19"/>
          <w:sz w:val="16"/>
          <w:szCs w:val="16"/>
        </w:rPr>
        <w:t xml:space="preserve"> </w:t>
      </w:r>
      <w:r>
        <w:rPr>
          <w:rFonts w:ascii="微软雅黑" w:hAnsi="微软雅黑" w:eastAsia="微软雅黑" w:cs="微软雅黑"/>
          <w:spacing w:val="32"/>
          <w:sz w:val="16"/>
          <w:szCs w:val="16"/>
        </w:rPr>
        <w:t>作</w:t>
      </w:r>
      <w:r>
        <w:rPr>
          <w:rFonts w:ascii="微软雅黑" w:hAnsi="微软雅黑" w:eastAsia="微软雅黑" w:cs="微软雅黑"/>
          <w:sz w:val="16"/>
          <w:szCs w:val="16"/>
        </w:rPr>
        <w:t xml:space="preserve">  </w:t>
      </w:r>
      <w:r>
        <w:rPr>
          <w:rFonts w:ascii="微软雅黑" w:hAnsi="微软雅黑" w:eastAsia="微软雅黑" w:cs="微软雅黑"/>
          <w:spacing w:val="29"/>
          <w:sz w:val="16"/>
          <w:szCs w:val="16"/>
        </w:rPr>
        <w:t>和业务中</w:t>
      </w:r>
      <w:r>
        <w:rPr>
          <w:rFonts w:ascii="微软雅黑" w:hAnsi="微软雅黑" w:eastAsia="微软雅黑" w:cs="微软雅黑"/>
          <w:spacing w:val="-6"/>
          <w:sz w:val="16"/>
          <w:szCs w:val="16"/>
        </w:rPr>
        <w:t xml:space="preserve"> </w:t>
      </w:r>
      <w:r>
        <w:rPr>
          <w:rFonts w:ascii="微软雅黑" w:hAnsi="微软雅黑" w:eastAsia="微软雅黑" w:cs="微软雅黑"/>
          <w:spacing w:val="29"/>
          <w:sz w:val="16"/>
          <w:szCs w:val="16"/>
        </w:rPr>
        <w:t>。</w:t>
      </w:r>
      <w:r>
        <w:rPr>
          <w:rFonts w:ascii="微软雅黑" w:hAnsi="微软雅黑" w:eastAsia="微软雅黑" w:cs="微软雅黑"/>
          <w:spacing w:val="-12"/>
          <w:sz w:val="16"/>
          <w:szCs w:val="16"/>
        </w:rPr>
        <w:t xml:space="preserve"> </w:t>
      </w:r>
      <w:r>
        <w:rPr>
          <w:rFonts w:ascii="微软雅黑" w:hAnsi="微软雅黑" w:eastAsia="微软雅黑" w:cs="微软雅黑"/>
          <w:spacing w:val="29"/>
          <w:sz w:val="16"/>
          <w:szCs w:val="16"/>
        </w:rPr>
        <w:t>针对二级</w:t>
      </w:r>
      <w:r>
        <w:rPr>
          <w:rFonts w:ascii="微软雅黑" w:hAnsi="微软雅黑" w:eastAsia="微软雅黑" w:cs="微软雅黑"/>
          <w:spacing w:val="-16"/>
          <w:sz w:val="16"/>
          <w:szCs w:val="16"/>
        </w:rPr>
        <w:t xml:space="preserve"> </w:t>
      </w:r>
      <w:r>
        <w:rPr>
          <w:rFonts w:ascii="微软雅黑" w:hAnsi="微软雅黑" w:eastAsia="微软雅黑" w:cs="微软雅黑"/>
          <w:spacing w:val="29"/>
          <w:sz w:val="16"/>
          <w:szCs w:val="16"/>
        </w:rPr>
        <w:t>学</w:t>
      </w:r>
      <w:r>
        <w:rPr>
          <w:rFonts w:ascii="微软雅黑" w:hAnsi="微软雅黑" w:eastAsia="微软雅黑" w:cs="微软雅黑"/>
          <w:spacing w:val="-5"/>
          <w:sz w:val="16"/>
          <w:szCs w:val="16"/>
        </w:rPr>
        <w:t xml:space="preserve"> </w:t>
      </w:r>
      <w:r>
        <w:rPr>
          <w:rFonts w:ascii="微软雅黑" w:hAnsi="微软雅黑" w:eastAsia="微软雅黑" w:cs="微软雅黑"/>
          <w:spacing w:val="29"/>
          <w:sz w:val="16"/>
          <w:szCs w:val="16"/>
        </w:rPr>
        <w:t>院</w:t>
      </w:r>
      <w:r>
        <w:rPr>
          <w:rFonts w:ascii="微软雅黑" w:hAnsi="微软雅黑" w:eastAsia="微软雅黑" w:cs="微软雅黑"/>
          <w:spacing w:val="-23"/>
          <w:sz w:val="16"/>
          <w:szCs w:val="16"/>
        </w:rPr>
        <w:t xml:space="preserve"> </w:t>
      </w:r>
      <w:r>
        <w:rPr>
          <w:rFonts w:ascii="微软雅黑" w:hAnsi="微软雅黑" w:eastAsia="微软雅黑" w:cs="微软雅黑"/>
          <w:spacing w:val="29"/>
          <w:sz w:val="16"/>
          <w:szCs w:val="16"/>
        </w:rPr>
        <w:t>，引</w:t>
      </w:r>
      <w:r>
        <w:rPr>
          <w:rFonts w:ascii="微软雅黑" w:hAnsi="微软雅黑" w:eastAsia="微软雅黑" w:cs="微软雅黑"/>
          <w:spacing w:val="-19"/>
          <w:sz w:val="16"/>
          <w:szCs w:val="16"/>
        </w:rPr>
        <w:t xml:space="preserve"> </w:t>
      </w:r>
      <w:r>
        <w:rPr>
          <w:rFonts w:ascii="微软雅黑" w:hAnsi="微软雅黑" w:eastAsia="微软雅黑" w:cs="微软雅黑"/>
          <w:spacing w:val="29"/>
          <w:sz w:val="16"/>
          <w:szCs w:val="16"/>
        </w:rPr>
        <w:t>进</w:t>
      </w:r>
      <w:r>
        <w:rPr>
          <w:rFonts w:ascii="微软雅黑" w:hAnsi="微软雅黑" w:eastAsia="微软雅黑" w:cs="微软雅黑"/>
          <w:spacing w:val="-16"/>
          <w:sz w:val="16"/>
          <w:szCs w:val="16"/>
        </w:rPr>
        <w:t xml:space="preserve"> </w:t>
      </w:r>
      <w:r>
        <w:rPr>
          <w:rFonts w:ascii="微软雅黑" w:hAnsi="微软雅黑" w:eastAsia="微软雅黑" w:cs="微软雅黑"/>
          <w:spacing w:val="29"/>
          <w:sz w:val="16"/>
          <w:szCs w:val="16"/>
        </w:rPr>
        <w:t>整</w:t>
      </w:r>
      <w:r>
        <w:rPr>
          <w:rFonts w:ascii="微软雅黑" w:hAnsi="微软雅黑" w:eastAsia="微软雅黑" w:cs="微软雅黑"/>
          <w:spacing w:val="-19"/>
          <w:sz w:val="16"/>
          <w:szCs w:val="16"/>
        </w:rPr>
        <w:t xml:space="preserve"> </w:t>
      </w:r>
      <w:r>
        <w:rPr>
          <w:rFonts w:ascii="微软雅黑" w:hAnsi="微软雅黑" w:eastAsia="微软雅黑" w:cs="微软雅黑"/>
          <w:spacing w:val="29"/>
          <w:sz w:val="16"/>
          <w:szCs w:val="16"/>
        </w:rPr>
        <w:t>合</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全</w:t>
      </w:r>
      <w:r>
        <w:rPr>
          <w:rFonts w:ascii="微软雅黑" w:hAnsi="微软雅黑" w:eastAsia="微软雅黑" w:cs="微软雅黑"/>
          <w:spacing w:val="-11"/>
          <w:sz w:val="16"/>
          <w:szCs w:val="16"/>
        </w:rPr>
        <w:t xml:space="preserve"> </w:t>
      </w:r>
      <w:r>
        <w:rPr>
          <w:rFonts w:ascii="微软雅黑" w:hAnsi="微软雅黑" w:eastAsia="微软雅黑" w:cs="微软雅黑"/>
          <w:spacing w:val="29"/>
          <w:sz w:val="16"/>
          <w:szCs w:val="16"/>
        </w:rPr>
        <w:t>面</w:t>
      </w:r>
      <w:r>
        <w:rPr>
          <w:rFonts w:ascii="微软雅黑" w:hAnsi="微软雅黑" w:eastAsia="微软雅黑" w:cs="微软雅黑"/>
          <w:spacing w:val="-17"/>
          <w:sz w:val="16"/>
          <w:szCs w:val="16"/>
        </w:rPr>
        <w:t xml:space="preserve"> </w:t>
      </w:r>
      <w:r>
        <w:rPr>
          <w:rFonts w:ascii="微软雅黑" w:hAnsi="微软雅黑" w:eastAsia="微软雅黑" w:cs="微软雅黑"/>
          <w:spacing w:val="29"/>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量</w:t>
      </w:r>
      <w:r>
        <w:rPr>
          <w:rFonts w:ascii="微软雅黑" w:hAnsi="微软雅黑" w:eastAsia="微软雅黑" w:cs="微软雅黑"/>
          <w:spacing w:val="-3"/>
          <w:sz w:val="16"/>
          <w:szCs w:val="16"/>
        </w:rPr>
        <w:t xml:space="preserve"> </w:t>
      </w:r>
      <w:r>
        <w:rPr>
          <w:rFonts w:ascii="微软雅黑" w:hAnsi="微软雅黑" w:eastAsia="微软雅黑" w:cs="微软雅黑"/>
          <w:spacing w:val="29"/>
          <w:sz w:val="16"/>
          <w:szCs w:val="16"/>
        </w:rPr>
        <w:t>的</w:t>
      </w:r>
      <w:r>
        <w:rPr>
          <w:rFonts w:ascii="微软雅黑" w:hAnsi="微软雅黑" w:eastAsia="微软雅黑" w:cs="微软雅黑"/>
          <w:spacing w:val="-17"/>
          <w:sz w:val="16"/>
          <w:szCs w:val="16"/>
        </w:rPr>
        <w:t xml:space="preserve"> </w:t>
      </w:r>
      <w:r>
        <w:rPr>
          <w:rFonts w:ascii="微软雅黑" w:hAnsi="微软雅黑" w:eastAsia="微软雅黑" w:cs="微软雅黑"/>
          <w:spacing w:val="29"/>
          <w:sz w:val="16"/>
          <w:szCs w:val="16"/>
        </w:rPr>
        <w:t>原</w:t>
      </w:r>
      <w:r>
        <w:rPr>
          <w:rFonts w:ascii="微软雅黑" w:hAnsi="微软雅黑" w:eastAsia="微软雅黑" w:cs="微软雅黑"/>
          <w:sz w:val="16"/>
          <w:szCs w:val="16"/>
        </w:rPr>
        <w:t xml:space="preserve">  </w:t>
      </w:r>
      <w:r>
        <w:rPr>
          <w:rFonts w:ascii="微软雅黑" w:hAnsi="微软雅黑" w:eastAsia="微软雅黑" w:cs="微软雅黑"/>
          <w:spacing w:val="24"/>
          <w:sz w:val="16"/>
          <w:szCs w:val="16"/>
        </w:rPr>
        <w:t>则和波多</w:t>
      </w:r>
      <w:r>
        <w:rPr>
          <w:rFonts w:ascii="微软雅黑" w:hAnsi="微软雅黑" w:eastAsia="微软雅黑" w:cs="微软雅黑"/>
          <w:spacing w:val="-5"/>
          <w:sz w:val="16"/>
          <w:szCs w:val="16"/>
        </w:rPr>
        <w:t xml:space="preserve"> </w:t>
      </w:r>
      <w:r>
        <w:rPr>
          <w:rFonts w:ascii="微软雅黑" w:hAnsi="微软雅黑" w:eastAsia="微软雅黑" w:cs="微软雅黑"/>
          <w:spacing w:val="24"/>
          <w:sz w:val="16"/>
          <w:szCs w:val="16"/>
        </w:rPr>
        <w:t>里</w:t>
      </w:r>
      <w:r>
        <w:rPr>
          <w:rFonts w:ascii="微软雅黑" w:hAnsi="微软雅黑" w:eastAsia="微软雅黑" w:cs="微软雅黑"/>
          <w:spacing w:val="-13"/>
          <w:sz w:val="16"/>
          <w:szCs w:val="16"/>
        </w:rPr>
        <w:t xml:space="preserve"> </w:t>
      </w:r>
      <w:r>
        <w:rPr>
          <w:rFonts w:ascii="微软雅黑" w:hAnsi="微软雅黑" w:eastAsia="微软雅黑" w:cs="微软雅黑"/>
          <w:spacing w:val="24"/>
          <w:sz w:val="16"/>
          <w:szCs w:val="16"/>
        </w:rPr>
        <w:t>奇</w:t>
      </w:r>
      <w:r>
        <w:rPr>
          <w:rFonts w:ascii="微软雅黑" w:hAnsi="微软雅黑" w:eastAsia="微软雅黑" w:cs="微软雅黑"/>
          <w:spacing w:val="-13"/>
          <w:sz w:val="16"/>
          <w:szCs w:val="16"/>
        </w:rPr>
        <w:t xml:space="preserve"> </w:t>
      </w:r>
      <w:r>
        <w:rPr>
          <w:rFonts w:ascii="微软雅黑" w:hAnsi="微软雅黑" w:eastAsia="微软雅黑" w:cs="微软雅黑"/>
          <w:spacing w:val="24"/>
          <w:sz w:val="16"/>
          <w:szCs w:val="16"/>
        </w:rPr>
        <w:t>质</w:t>
      </w:r>
      <w:r>
        <w:rPr>
          <w:rFonts w:ascii="微软雅黑" w:hAnsi="微软雅黑" w:eastAsia="微软雅黑" w:cs="微软雅黑"/>
          <w:spacing w:val="-15"/>
          <w:sz w:val="16"/>
          <w:szCs w:val="16"/>
        </w:rPr>
        <w:t xml:space="preserve"> </w:t>
      </w:r>
      <w:r>
        <w:rPr>
          <w:rFonts w:ascii="微软雅黑" w:hAnsi="微软雅黑" w:eastAsia="微软雅黑" w:cs="微软雅黑"/>
          <w:spacing w:val="24"/>
          <w:sz w:val="16"/>
          <w:szCs w:val="16"/>
        </w:rPr>
        <w:t>量</w:t>
      </w:r>
      <w:r>
        <w:rPr>
          <w:rFonts w:ascii="微软雅黑" w:hAnsi="微软雅黑" w:eastAsia="微软雅黑" w:cs="微软雅黑"/>
          <w:spacing w:val="-16"/>
          <w:sz w:val="16"/>
          <w:szCs w:val="16"/>
        </w:rPr>
        <w:t xml:space="preserve"> </w:t>
      </w:r>
      <w:r>
        <w:rPr>
          <w:rFonts w:ascii="微软雅黑" w:hAnsi="微软雅黑" w:eastAsia="微软雅黑" w:cs="微软雅黑"/>
          <w:spacing w:val="24"/>
          <w:sz w:val="16"/>
          <w:szCs w:val="16"/>
        </w:rPr>
        <w:t>保</w:t>
      </w:r>
      <w:r>
        <w:rPr>
          <w:rFonts w:ascii="微软雅黑" w:hAnsi="微软雅黑" w:eastAsia="微软雅黑" w:cs="微软雅黑"/>
          <w:spacing w:val="-2"/>
          <w:sz w:val="16"/>
          <w:szCs w:val="16"/>
        </w:rPr>
        <w:t xml:space="preserve"> </w:t>
      </w:r>
      <w:r>
        <w:rPr>
          <w:rFonts w:ascii="微软雅黑" w:hAnsi="微软雅黑" w:eastAsia="微软雅黑" w:cs="微软雅黑"/>
          <w:spacing w:val="24"/>
          <w:sz w:val="16"/>
          <w:szCs w:val="16"/>
        </w:rPr>
        <w:t>障</w:t>
      </w:r>
      <w:r>
        <w:rPr>
          <w:rFonts w:ascii="微软雅黑" w:hAnsi="微软雅黑" w:eastAsia="微软雅黑" w:cs="微软雅黑"/>
          <w:spacing w:val="-14"/>
          <w:sz w:val="16"/>
          <w:szCs w:val="16"/>
        </w:rPr>
        <w:t xml:space="preserve"> </w:t>
      </w:r>
      <w:r>
        <w:rPr>
          <w:rFonts w:ascii="微软雅黑" w:hAnsi="微软雅黑" w:eastAsia="微软雅黑" w:cs="微软雅黑"/>
          <w:spacing w:val="24"/>
          <w:sz w:val="16"/>
          <w:szCs w:val="16"/>
        </w:rPr>
        <w:t>体</w:t>
      </w:r>
      <w:r>
        <w:rPr>
          <w:rFonts w:ascii="微软雅黑" w:hAnsi="微软雅黑" w:eastAsia="微软雅黑" w:cs="微软雅黑"/>
          <w:spacing w:val="-5"/>
          <w:sz w:val="16"/>
          <w:szCs w:val="16"/>
        </w:rPr>
        <w:t xml:space="preserve"> </w:t>
      </w:r>
      <w:r>
        <w:rPr>
          <w:rFonts w:ascii="微软雅黑" w:hAnsi="微软雅黑" w:eastAsia="微软雅黑" w:cs="微软雅黑"/>
          <w:spacing w:val="24"/>
          <w:sz w:val="16"/>
          <w:szCs w:val="16"/>
        </w:rPr>
        <w:t>系</w:t>
      </w:r>
      <w:r>
        <w:rPr>
          <w:rFonts w:ascii="微软雅黑" w:hAnsi="微软雅黑" w:eastAsia="微软雅黑" w:cs="微软雅黑"/>
          <w:spacing w:val="-24"/>
          <w:sz w:val="16"/>
          <w:szCs w:val="16"/>
        </w:rPr>
        <w:t xml:space="preserve"> </w:t>
      </w:r>
      <w:r>
        <w:rPr>
          <w:rFonts w:ascii="微软雅黑" w:hAnsi="微软雅黑" w:eastAsia="微软雅黑" w:cs="微软雅黑"/>
          <w:spacing w:val="24"/>
          <w:sz w:val="16"/>
          <w:szCs w:val="16"/>
        </w:rPr>
        <w:t>，围</w:t>
      </w:r>
      <w:r>
        <w:rPr>
          <w:rFonts w:ascii="微软雅黑" w:hAnsi="微软雅黑" w:eastAsia="微软雅黑" w:cs="微软雅黑"/>
          <w:spacing w:val="-12"/>
          <w:sz w:val="16"/>
          <w:szCs w:val="16"/>
        </w:rPr>
        <w:t xml:space="preserve"> </w:t>
      </w:r>
      <w:r>
        <w:rPr>
          <w:rFonts w:ascii="微软雅黑" w:hAnsi="微软雅黑" w:eastAsia="微软雅黑" w:cs="微软雅黑"/>
          <w:spacing w:val="24"/>
          <w:sz w:val="16"/>
          <w:szCs w:val="16"/>
        </w:rPr>
        <w:t>绕</w:t>
      </w:r>
      <w:r>
        <w:rPr>
          <w:rFonts w:ascii="微软雅黑" w:hAnsi="微软雅黑" w:eastAsia="微软雅黑" w:cs="微软雅黑"/>
          <w:spacing w:val="-11"/>
          <w:sz w:val="16"/>
          <w:szCs w:val="16"/>
        </w:rPr>
        <w:t xml:space="preserve"> </w:t>
      </w:r>
      <w:r>
        <w:rPr>
          <w:rFonts w:ascii="微软雅黑" w:hAnsi="微软雅黑" w:eastAsia="微软雅黑" w:cs="微软雅黑"/>
          <w:spacing w:val="24"/>
          <w:sz w:val="16"/>
          <w:szCs w:val="16"/>
        </w:rPr>
        <w:t>领</w:t>
      </w:r>
      <w:r>
        <w:rPr>
          <w:rFonts w:ascii="微软雅黑" w:hAnsi="微软雅黑" w:eastAsia="微软雅黑" w:cs="微软雅黑"/>
          <w:spacing w:val="-10"/>
          <w:sz w:val="16"/>
          <w:szCs w:val="16"/>
        </w:rPr>
        <w:t xml:space="preserve"> </w:t>
      </w:r>
      <w:r>
        <w:rPr>
          <w:rFonts w:ascii="微软雅黑" w:hAnsi="微软雅黑" w:eastAsia="微软雅黑" w:cs="微软雅黑"/>
          <w:spacing w:val="24"/>
          <w:sz w:val="16"/>
          <w:szCs w:val="16"/>
        </w:rPr>
        <w:t>导</w:t>
      </w:r>
      <w:r>
        <w:rPr>
          <w:rFonts w:ascii="微软雅黑" w:hAnsi="微软雅黑" w:eastAsia="微软雅黑" w:cs="微软雅黑"/>
          <w:spacing w:val="-13"/>
          <w:sz w:val="16"/>
          <w:szCs w:val="16"/>
        </w:rPr>
        <w:t xml:space="preserve"> </w:t>
      </w:r>
      <w:r>
        <w:rPr>
          <w:rFonts w:ascii="微软雅黑" w:hAnsi="微软雅黑" w:eastAsia="微软雅黑" w:cs="微软雅黑"/>
          <w:spacing w:val="24"/>
          <w:sz w:val="16"/>
          <w:szCs w:val="16"/>
        </w:rPr>
        <w:t>力</w:t>
      </w:r>
      <w:r>
        <w:rPr>
          <w:rFonts w:ascii="微软雅黑" w:hAnsi="微软雅黑" w:eastAsia="微软雅黑" w:cs="微软雅黑"/>
          <w:spacing w:val="-17"/>
          <w:sz w:val="16"/>
          <w:szCs w:val="16"/>
        </w:rPr>
        <w:t xml:space="preserve"> </w:t>
      </w:r>
      <w:r>
        <w:rPr>
          <w:rFonts w:ascii="微软雅黑" w:hAnsi="微软雅黑" w:eastAsia="微软雅黑" w:cs="微软雅黑"/>
          <w:spacing w:val="24"/>
          <w:sz w:val="16"/>
          <w:szCs w:val="16"/>
        </w:rPr>
        <w:t>、战</w:t>
      </w:r>
      <w:r>
        <w:rPr>
          <w:rFonts w:ascii="微软雅黑" w:hAnsi="微软雅黑" w:eastAsia="微软雅黑" w:cs="微软雅黑"/>
          <w:spacing w:val="-3"/>
          <w:sz w:val="16"/>
          <w:szCs w:val="16"/>
        </w:rPr>
        <w:t xml:space="preserve"> </w:t>
      </w:r>
      <w:r>
        <w:rPr>
          <w:rFonts w:ascii="微软雅黑" w:hAnsi="微软雅黑" w:eastAsia="微软雅黑" w:cs="微软雅黑"/>
          <w:spacing w:val="24"/>
          <w:sz w:val="16"/>
          <w:szCs w:val="16"/>
        </w:rPr>
        <w:t>略</w:t>
      </w:r>
      <w:r>
        <w:rPr>
          <w:rFonts w:ascii="微软雅黑" w:hAnsi="微软雅黑" w:eastAsia="微软雅黑" w:cs="微软雅黑"/>
          <w:spacing w:val="-12"/>
          <w:sz w:val="16"/>
          <w:szCs w:val="16"/>
        </w:rPr>
        <w:t xml:space="preserve"> </w:t>
      </w:r>
      <w:r>
        <w:rPr>
          <w:rFonts w:ascii="微软雅黑" w:hAnsi="微软雅黑" w:eastAsia="微软雅黑" w:cs="微软雅黑"/>
          <w:spacing w:val="24"/>
          <w:sz w:val="16"/>
          <w:szCs w:val="16"/>
        </w:rPr>
        <w:t>规</w:t>
      </w:r>
      <w:r>
        <w:rPr>
          <w:rFonts w:ascii="微软雅黑" w:hAnsi="微软雅黑" w:eastAsia="微软雅黑" w:cs="微软雅黑"/>
          <w:sz w:val="16"/>
          <w:szCs w:val="16"/>
        </w:rPr>
        <w:t xml:space="preserve">  </w:t>
      </w:r>
      <w:r>
        <w:rPr>
          <w:rFonts w:ascii="微软雅黑" w:hAnsi="微软雅黑" w:eastAsia="微软雅黑" w:cs="微软雅黑"/>
          <w:spacing w:val="24"/>
          <w:sz w:val="16"/>
          <w:szCs w:val="16"/>
        </w:rPr>
        <w:t>划</w:t>
      </w:r>
      <w:r>
        <w:rPr>
          <w:rFonts w:ascii="微软雅黑" w:hAnsi="微软雅黑" w:eastAsia="微软雅黑" w:cs="微软雅黑"/>
          <w:spacing w:val="-8"/>
          <w:sz w:val="16"/>
          <w:szCs w:val="16"/>
        </w:rPr>
        <w:t xml:space="preserve"> </w:t>
      </w:r>
      <w:r>
        <w:rPr>
          <w:rFonts w:ascii="微软雅黑" w:hAnsi="微软雅黑" w:eastAsia="微软雅黑" w:cs="微软雅黑"/>
          <w:spacing w:val="24"/>
          <w:sz w:val="16"/>
          <w:szCs w:val="16"/>
        </w:rPr>
        <w:t>、对消费者和市场</w:t>
      </w:r>
      <w:r>
        <w:rPr>
          <w:rFonts w:ascii="微软雅黑" w:hAnsi="微软雅黑" w:eastAsia="微软雅黑" w:cs="微软雅黑"/>
          <w:spacing w:val="-3"/>
          <w:sz w:val="16"/>
          <w:szCs w:val="16"/>
        </w:rPr>
        <w:t xml:space="preserve"> </w:t>
      </w:r>
      <w:r>
        <w:rPr>
          <w:rFonts w:ascii="微软雅黑" w:hAnsi="微软雅黑" w:eastAsia="微软雅黑" w:cs="微软雅黑"/>
          <w:spacing w:val="24"/>
          <w:sz w:val="16"/>
          <w:szCs w:val="16"/>
        </w:rPr>
        <w:t>的</w:t>
      </w:r>
      <w:r>
        <w:rPr>
          <w:rFonts w:ascii="微软雅黑" w:hAnsi="微软雅黑" w:eastAsia="微软雅黑" w:cs="微软雅黑"/>
          <w:spacing w:val="-20"/>
          <w:sz w:val="16"/>
          <w:szCs w:val="16"/>
        </w:rPr>
        <w:t xml:space="preserve"> </w:t>
      </w:r>
      <w:r>
        <w:rPr>
          <w:rFonts w:ascii="微软雅黑" w:hAnsi="微软雅黑" w:eastAsia="微软雅黑" w:cs="微软雅黑"/>
          <w:spacing w:val="24"/>
          <w:sz w:val="16"/>
          <w:szCs w:val="16"/>
        </w:rPr>
        <w:t>关</w:t>
      </w:r>
      <w:r>
        <w:rPr>
          <w:rFonts w:ascii="微软雅黑" w:hAnsi="微软雅黑" w:eastAsia="微软雅黑" w:cs="微软雅黑"/>
          <w:spacing w:val="-14"/>
          <w:sz w:val="16"/>
          <w:szCs w:val="16"/>
        </w:rPr>
        <w:t xml:space="preserve"> </w:t>
      </w:r>
      <w:r>
        <w:rPr>
          <w:rFonts w:ascii="微软雅黑" w:hAnsi="微软雅黑" w:eastAsia="微软雅黑" w:cs="微软雅黑"/>
          <w:spacing w:val="24"/>
          <w:sz w:val="16"/>
          <w:szCs w:val="16"/>
        </w:rPr>
        <w:t>注</w:t>
      </w:r>
      <w:r>
        <w:rPr>
          <w:rFonts w:ascii="微软雅黑" w:hAnsi="微软雅黑" w:eastAsia="微软雅黑" w:cs="微软雅黑"/>
          <w:spacing w:val="-17"/>
          <w:sz w:val="16"/>
          <w:szCs w:val="16"/>
        </w:rPr>
        <w:t xml:space="preserve"> </w:t>
      </w:r>
      <w:r>
        <w:rPr>
          <w:rFonts w:ascii="微软雅黑" w:hAnsi="微软雅黑" w:eastAsia="微软雅黑" w:cs="微软雅黑"/>
          <w:spacing w:val="24"/>
          <w:sz w:val="16"/>
          <w:szCs w:val="16"/>
        </w:rPr>
        <w:t>、测</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量</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分</w:t>
      </w:r>
      <w:r>
        <w:rPr>
          <w:rFonts w:ascii="微软雅黑" w:hAnsi="微软雅黑" w:eastAsia="微软雅黑" w:cs="微软雅黑"/>
          <w:spacing w:val="-16"/>
          <w:sz w:val="16"/>
          <w:szCs w:val="16"/>
        </w:rPr>
        <w:t xml:space="preserve"> </w:t>
      </w:r>
      <w:r>
        <w:rPr>
          <w:rFonts w:ascii="微软雅黑" w:hAnsi="微软雅黑" w:eastAsia="微软雅黑" w:cs="微软雅黑"/>
          <w:spacing w:val="24"/>
          <w:sz w:val="16"/>
          <w:szCs w:val="16"/>
        </w:rPr>
        <w:t>析</w:t>
      </w:r>
      <w:r>
        <w:rPr>
          <w:rFonts w:ascii="微软雅黑" w:hAnsi="微软雅黑" w:eastAsia="微软雅黑" w:cs="微软雅黑"/>
          <w:spacing w:val="-12"/>
          <w:sz w:val="16"/>
          <w:szCs w:val="16"/>
        </w:rPr>
        <w:t xml:space="preserve"> </w:t>
      </w:r>
      <w:r>
        <w:rPr>
          <w:rFonts w:ascii="微软雅黑" w:hAnsi="微软雅黑" w:eastAsia="微软雅黑" w:cs="微软雅黑"/>
          <w:spacing w:val="24"/>
          <w:sz w:val="16"/>
          <w:szCs w:val="16"/>
        </w:rPr>
        <w:t>和</w:t>
      </w:r>
      <w:r>
        <w:rPr>
          <w:rFonts w:ascii="微软雅黑" w:hAnsi="微软雅黑" w:eastAsia="微软雅黑" w:cs="微软雅黑"/>
          <w:spacing w:val="-15"/>
          <w:sz w:val="16"/>
          <w:szCs w:val="16"/>
        </w:rPr>
        <w:t xml:space="preserve"> </w:t>
      </w:r>
      <w:r>
        <w:rPr>
          <w:rFonts w:ascii="微软雅黑" w:hAnsi="微软雅黑" w:eastAsia="微软雅黑" w:cs="微软雅黑"/>
          <w:spacing w:val="24"/>
          <w:sz w:val="16"/>
          <w:szCs w:val="16"/>
        </w:rPr>
        <w:t>知</w:t>
      </w:r>
      <w:r>
        <w:rPr>
          <w:rFonts w:ascii="微软雅黑" w:hAnsi="微软雅黑" w:eastAsia="微软雅黑" w:cs="微软雅黑"/>
          <w:spacing w:val="-21"/>
          <w:sz w:val="16"/>
          <w:szCs w:val="16"/>
        </w:rPr>
        <w:t xml:space="preserve"> </w:t>
      </w:r>
      <w:r>
        <w:rPr>
          <w:rFonts w:ascii="微软雅黑" w:hAnsi="微软雅黑" w:eastAsia="微软雅黑" w:cs="微软雅黑"/>
          <w:spacing w:val="24"/>
          <w:sz w:val="16"/>
          <w:szCs w:val="16"/>
        </w:rPr>
        <w:t>识</w:t>
      </w:r>
      <w:r>
        <w:rPr>
          <w:rFonts w:ascii="微软雅黑" w:hAnsi="微软雅黑" w:eastAsia="微软雅黑" w:cs="微软雅黑"/>
          <w:spacing w:val="-15"/>
          <w:sz w:val="16"/>
          <w:szCs w:val="16"/>
        </w:rPr>
        <w:t xml:space="preserve"> </w:t>
      </w:r>
      <w:r>
        <w:rPr>
          <w:rFonts w:ascii="微软雅黑" w:hAnsi="微软雅黑" w:eastAsia="微软雅黑" w:cs="微软雅黑"/>
          <w:spacing w:val="24"/>
          <w:sz w:val="16"/>
          <w:szCs w:val="16"/>
        </w:rPr>
        <w:t>管</w:t>
      </w:r>
      <w:r>
        <w:rPr>
          <w:rFonts w:ascii="微软雅黑" w:hAnsi="微软雅黑" w:eastAsia="微软雅黑" w:cs="微软雅黑"/>
          <w:spacing w:val="-17"/>
          <w:sz w:val="16"/>
          <w:szCs w:val="16"/>
        </w:rPr>
        <w:t xml:space="preserve"> </w:t>
      </w:r>
      <w:r>
        <w:rPr>
          <w:rFonts w:ascii="微软雅黑" w:hAnsi="微软雅黑" w:eastAsia="微软雅黑" w:cs="微软雅黑"/>
          <w:spacing w:val="24"/>
          <w:sz w:val="16"/>
          <w:szCs w:val="16"/>
        </w:rPr>
        <w:t>理</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以教师和员工为本</w:t>
      </w:r>
      <w:r>
        <w:rPr>
          <w:rFonts w:ascii="微软雅黑" w:hAnsi="微软雅黑" w:eastAsia="微软雅黑" w:cs="微软雅黑"/>
          <w:spacing w:val="-10"/>
          <w:sz w:val="16"/>
          <w:szCs w:val="16"/>
        </w:rPr>
        <w:t xml:space="preserve"> </w:t>
      </w:r>
      <w:r>
        <w:rPr>
          <w:rFonts w:ascii="微软雅黑" w:hAnsi="微软雅黑" w:eastAsia="微软雅黑" w:cs="微软雅黑"/>
          <w:spacing w:val="38"/>
          <w:sz w:val="16"/>
          <w:szCs w:val="16"/>
        </w:rPr>
        <w:t>、过程管理</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、结果七个维度制定和</w:t>
      </w:r>
      <w:r>
        <w:rPr>
          <w:rFonts w:ascii="微软雅黑" w:hAnsi="微软雅黑" w:eastAsia="微软雅黑" w:cs="微软雅黑"/>
          <w:sz w:val="16"/>
          <w:szCs w:val="16"/>
        </w:rPr>
        <w:t xml:space="preserve">  </w:t>
      </w:r>
      <w:r>
        <w:rPr>
          <w:rFonts w:ascii="微软雅黑" w:hAnsi="微软雅黑" w:eastAsia="微软雅黑" w:cs="微软雅黑"/>
          <w:spacing w:val="26"/>
          <w:sz w:val="16"/>
          <w:szCs w:val="16"/>
        </w:rPr>
        <w:t>考核二</w:t>
      </w:r>
      <w:r>
        <w:rPr>
          <w:rFonts w:ascii="微软雅黑" w:hAnsi="微软雅黑" w:eastAsia="微软雅黑" w:cs="微软雅黑"/>
          <w:spacing w:val="-10"/>
          <w:sz w:val="16"/>
          <w:szCs w:val="16"/>
        </w:rPr>
        <w:t xml:space="preserve"> </w:t>
      </w:r>
      <w:r>
        <w:rPr>
          <w:rFonts w:ascii="微软雅黑" w:hAnsi="微软雅黑" w:eastAsia="微软雅黑" w:cs="微软雅黑"/>
          <w:spacing w:val="26"/>
          <w:sz w:val="16"/>
          <w:szCs w:val="16"/>
        </w:rPr>
        <w:t>级</w:t>
      </w:r>
      <w:r>
        <w:rPr>
          <w:rFonts w:ascii="微软雅黑" w:hAnsi="微软雅黑" w:eastAsia="微软雅黑" w:cs="微软雅黑"/>
          <w:spacing w:val="-12"/>
          <w:sz w:val="16"/>
          <w:szCs w:val="16"/>
        </w:rPr>
        <w:t xml:space="preserve"> </w:t>
      </w:r>
      <w:r>
        <w:rPr>
          <w:rFonts w:ascii="微软雅黑" w:hAnsi="微软雅黑" w:eastAsia="微软雅黑" w:cs="微软雅黑"/>
          <w:spacing w:val="26"/>
          <w:sz w:val="16"/>
          <w:szCs w:val="16"/>
        </w:rPr>
        <w:t>学 院 的</w:t>
      </w:r>
      <w:r>
        <w:rPr>
          <w:rFonts w:ascii="微软雅黑" w:hAnsi="微软雅黑" w:eastAsia="微软雅黑" w:cs="微软雅黑"/>
          <w:spacing w:val="-12"/>
          <w:sz w:val="16"/>
          <w:szCs w:val="16"/>
        </w:rPr>
        <w:t xml:space="preserve"> </w:t>
      </w:r>
      <w:r>
        <w:rPr>
          <w:rFonts w:ascii="微软雅黑" w:hAnsi="微软雅黑" w:eastAsia="微软雅黑" w:cs="微软雅黑"/>
          <w:spacing w:val="26"/>
          <w:sz w:val="16"/>
          <w:szCs w:val="16"/>
        </w:rPr>
        <w:t>年</w:t>
      </w:r>
      <w:r>
        <w:rPr>
          <w:rFonts w:ascii="微软雅黑" w:hAnsi="微软雅黑" w:eastAsia="微软雅黑" w:cs="微软雅黑"/>
          <w:spacing w:val="-14"/>
          <w:sz w:val="16"/>
          <w:szCs w:val="16"/>
        </w:rPr>
        <w:t xml:space="preserve"> </w:t>
      </w:r>
      <w:r>
        <w:rPr>
          <w:rFonts w:ascii="微软雅黑" w:hAnsi="微软雅黑" w:eastAsia="微软雅黑" w:cs="微软雅黑"/>
          <w:spacing w:val="26"/>
          <w:sz w:val="16"/>
          <w:szCs w:val="16"/>
        </w:rPr>
        <w:t>度</w:t>
      </w:r>
      <w:r>
        <w:rPr>
          <w:rFonts w:ascii="微软雅黑" w:hAnsi="微软雅黑" w:eastAsia="微软雅黑" w:cs="微软雅黑"/>
          <w:spacing w:val="-16"/>
          <w:sz w:val="16"/>
          <w:szCs w:val="16"/>
        </w:rPr>
        <w:t xml:space="preserve"> </w:t>
      </w:r>
      <w:r>
        <w:rPr>
          <w:rFonts w:ascii="微软雅黑" w:hAnsi="微软雅黑" w:eastAsia="微软雅黑" w:cs="微软雅黑"/>
          <w:spacing w:val="26"/>
          <w:sz w:val="16"/>
          <w:szCs w:val="16"/>
        </w:rPr>
        <w:t>绩</w:t>
      </w:r>
      <w:r>
        <w:rPr>
          <w:rFonts w:ascii="微软雅黑" w:hAnsi="微软雅黑" w:eastAsia="微软雅黑" w:cs="微软雅黑"/>
          <w:spacing w:val="-14"/>
          <w:sz w:val="16"/>
          <w:szCs w:val="16"/>
        </w:rPr>
        <w:t xml:space="preserve"> </w:t>
      </w:r>
      <w:r>
        <w:rPr>
          <w:rFonts w:ascii="微软雅黑" w:hAnsi="微软雅黑" w:eastAsia="微软雅黑" w:cs="微软雅黑"/>
          <w:spacing w:val="26"/>
          <w:sz w:val="16"/>
          <w:szCs w:val="16"/>
        </w:rPr>
        <w:t>效</w:t>
      </w:r>
      <w:r>
        <w:rPr>
          <w:rFonts w:ascii="微软雅黑" w:hAnsi="微软雅黑" w:eastAsia="微软雅黑" w:cs="微软雅黑"/>
          <w:spacing w:val="-10"/>
          <w:sz w:val="16"/>
          <w:szCs w:val="16"/>
        </w:rPr>
        <w:t xml:space="preserve"> </w:t>
      </w:r>
      <w:r>
        <w:rPr>
          <w:rFonts w:ascii="微软雅黑" w:hAnsi="微软雅黑" w:eastAsia="微软雅黑" w:cs="微软雅黑"/>
          <w:spacing w:val="26"/>
          <w:sz w:val="16"/>
          <w:szCs w:val="16"/>
        </w:rPr>
        <w:t>指</w:t>
      </w:r>
      <w:r>
        <w:rPr>
          <w:rFonts w:ascii="微软雅黑" w:hAnsi="微软雅黑" w:eastAsia="微软雅黑" w:cs="微软雅黑"/>
          <w:spacing w:val="-13"/>
          <w:sz w:val="16"/>
          <w:szCs w:val="16"/>
        </w:rPr>
        <w:t xml:space="preserve"> </w:t>
      </w:r>
      <w:r>
        <w:rPr>
          <w:rFonts w:ascii="微软雅黑" w:hAnsi="微软雅黑" w:eastAsia="微软雅黑" w:cs="微软雅黑"/>
          <w:spacing w:val="26"/>
          <w:sz w:val="16"/>
          <w:szCs w:val="16"/>
        </w:rPr>
        <w:t>标</w:t>
      </w:r>
      <w:r>
        <w:rPr>
          <w:rFonts w:ascii="微软雅黑" w:hAnsi="微软雅黑" w:eastAsia="微软雅黑" w:cs="微软雅黑"/>
          <w:spacing w:val="-14"/>
          <w:sz w:val="16"/>
          <w:szCs w:val="16"/>
        </w:rPr>
        <w:t xml:space="preserve"> </w:t>
      </w:r>
      <w:r>
        <w:rPr>
          <w:rFonts w:ascii="微软雅黑" w:hAnsi="微软雅黑" w:eastAsia="微软雅黑" w:cs="微软雅黑"/>
          <w:spacing w:val="26"/>
          <w:sz w:val="16"/>
          <w:szCs w:val="16"/>
        </w:rPr>
        <w:t>及</w:t>
      </w:r>
      <w:r>
        <w:rPr>
          <w:rFonts w:ascii="微软雅黑" w:hAnsi="微软雅黑" w:eastAsia="微软雅黑" w:cs="微软雅黑"/>
          <w:spacing w:val="-14"/>
          <w:sz w:val="16"/>
          <w:szCs w:val="16"/>
        </w:rPr>
        <w:t xml:space="preserve"> </w:t>
      </w:r>
      <w:r>
        <w:rPr>
          <w:rFonts w:ascii="微软雅黑" w:hAnsi="微软雅黑" w:eastAsia="微软雅黑" w:cs="微软雅黑"/>
          <w:spacing w:val="26"/>
          <w:sz w:val="16"/>
          <w:szCs w:val="16"/>
        </w:rPr>
        <w:t>其</w:t>
      </w:r>
      <w:r>
        <w:rPr>
          <w:rFonts w:ascii="微软雅黑" w:hAnsi="微软雅黑" w:eastAsia="微软雅黑" w:cs="微软雅黑"/>
          <w:spacing w:val="-12"/>
          <w:sz w:val="16"/>
          <w:szCs w:val="16"/>
        </w:rPr>
        <w:t xml:space="preserve"> </w:t>
      </w:r>
      <w:r>
        <w:rPr>
          <w:rFonts w:ascii="微软雅黑" w:hAnsi="微软雅黑" w:eastAsia="微软雅黑" w:cs="微软雅黑"/>
          <w:spacing w:val="26"/>
          <w:sz w:val="16"/>
          <w:szCs w:val="16"/>
        </w:rPr>
        <w:t>完</w:t>
      </w:r>
      <w:r>
        <w:rPr>
          <w:rFonts w:ascii="微软雅黑" w:hAnsi="微软雅黑" w:eastAsia="微软雅黑" w:cs="微软雅黑"/>
          <w:spacing w:val="-12"/>
          <w:sz w:val="16"/>
          <w:szCs w:val="16"/>
        </w:rPr>
        <w:t xml:space="preserve"> </w:t>
      </w:r>
      <w:r>
        <w:rPr>
          <w:rFonts w:ascii="微软雅黑" w:hAnsi="微软雅黑" w:eastAsia="微软雅黑" w:cs="微软雅黑"/>
          <w:spacing w:val="26"/>
          <w:sz w:val="16"/>
          <w:szCs w:val="16"/>
        </w:rPr>
        <w:t>成</w:t>
      </w:r>
      <w:r>
        <w:rPr>
          <w:rFonts w:ascii="微软雅黑" w:hAnsi="微软雅黑" w:eastAsia="微软雅黑" w:cs="微软雅黑"/>
          <w:spacing w:val="-15"/>
          <w:sz w:val="16"/>
          <w:szCs w:val="16"/>
        </w:rPr>
        <w:t xml:space="preserve"> </w:t>
      </w:r>
      <w:r>
        <w:rPr>
          <w:rFonts w:ascii="微软雅黑" w:hAnsi="微软雅黑" w:eastAsia="微软雅黑" w:cs="微软雅黑"/>
          <w:spacing w:val="26"/>
          <w:sz w:val="16"/>
          <w:szCs w:val="16"/>
        </w:rPr>
        <w:t>情</w:t>
      </w:r>
      <w:r>
        <w:rPr>
          <w:rFonts w:ascii="微软雅黑" w:hAnsi="微软雅黑" w:eastAsia="微软雅黑" w:cs="微软雅黑"/>
          <w:spacing w:val="-11"/>
          <w:sz w:val="16"/>
          <w:szCs w:val="16"/>
        </w:rPr>
        <w:t xml:space="preserve"> </w:t>
      </w:r>
      <w:r>
        <w:rPr>
          <w:rFonts w:ascii="微软雅黑" w:hAnsi="微软雅黑" w:eastAsia="微软雅黑" w:cs="微软雅黑"/>
          <w:spacing w:val="26"/>
          <w:sz w:val="16"/>
          <w:szCs w:val="16"/>
        </w:rPr>
        <w:t>况</w:t>
      </w:r>
      <w:r>
        <w:rPr>
          <w:rFonts w:ascii="微软雅黑" w:hAnsi="微软雅黑" w:eastAsia="微软雅黑" w:cs="微软雅黑"/>
          <w:spacing w:val="-6"/>
          <w:sz w:val="16"/>
          <w:szCs w:val="16"/>
        </w:rPr>
        <w:t xml:space="preserve"> </w:t>
      </w:r>
      <w:r>
        <w:rPr>
          <w:rFonts w:ascii="微软雅黑" w:hAnsi="微软雅黑" w:eastAsia="微软雅黑" w:cs="微软雅黑"/>
          <w:spacing w:val="26"/>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26"/>
          <w:sz w:val="16"/>
          <w:szCs w:val="16"/>
        </w:rPr>
        <w:t>第</w:t>
      </w:r>
      <w:r>
        <w:rPr>
          <w:rFonts w:ascii="微软雅黑" w:hAnsi="微软雅黑" w:eastAsia="微软雅黑" w:cs="微软雅黑"/>
          <w:sz w:val="16"/>
          <w:szCs w:val="16"/>
        </w:rPr>
        <w:t xml:space="preserve">  </w:t>
      </w:r>
      <w:r>
        <w:rPr>
          <w:rFonts w:ascii="微软雅黑" w:hAnsi="微软雅黑" w:eastAsia="微软雅黑" w:cs="微软雅黑"/>
          <w:spacing w:val="34"/>
          <w:sz w:val="16"/>
          <w:szCs w:val="16"/>
        </w:rPr>
        <w:t>二</w:t>
      </w:r>
      <w:r>
        <w:rPr>
          <w:rFonts w:ascii="微软雅黑" w:hAnsi="微软雅黑" w:eastAsia="微软雅黑" w:cs="微软雅黑"/>
          <w:spacing w:val="-13"/>
          <w:sz w:val="16"/>
          <w:szCs w:val="16"/>
        </w:rPr>
        <w:t xml:space="preserve"> </w:t>
      </w:r>
      <w:r>
        <w:rPr>
          <w:rFonts w:ascii="微软雅黑" w:hAnsi="微软雅黑" w:eastAsia="微软雅黑" w:cs="微软雅黑"/>
          <w:spacing w:val="34"/>
          <w:sz w:val="16"/>
          <w:szCs w:val="16"/>
        </w:rPr>
        <w:t>，不断深化学习型组织建设</w:t>
      </w:r>
      <w:r>
        <w:rPr>
          <w:rFonts w:ascii="微软雅黑" w:hAnsi="微软雅黑" w:eastAsia="微软雅黑" w:cs="微软雅黑"/>
          <w:spacing w:val="-5"/>
          <w:sz w:val="16"/>
          <w:szCs w:val="16"/>
        </w:rPr>
        <w:t xml:space="preserve"> </w:t>
      </w:r>
      <w:r>
        <w:rPr>
          <w:rFonts w:ascii="微软雅黑" w:hAnsi="微软雅黑" w:eastAsia="微软雅黑" w:cs="微软雅黑"/>
          <w:spacing w:val="34"/>
          <w:sz w:val="16"/>
          <w:szCs w:val="16"/>
        </w:rPr>
        <w:t>。</w:t>
      </w:r>
      <w:r>
        <w:rPr>
          <w:rFonts w:ascii="微软雅黑" w:hAnsi="微软雅黑" w:eastAsia="微软雅黑" w:cs="微软雅黑"/>
          <w:spacing w:val="-12"/>
          <w:sz w:val="16"/>
          <w:szCs w:val="16"/>
        </w:rPr>
        <w:t xml:space="preserve"> </w:t>
      </w:r>
      <w:r>
        <w:rPr>
          <w:rFonts w:ascii="微软雅黑" w:hAnsi="微软雅黑" w:eastAsia="微软雅黑" w:cs="微软雅黑"/>
          <w:spacing w:val="34"/>
          <w:sz w:val="16"/>
          <w:szCs w:val="16"/>
        </w:rPr>
        <w:t>一</w:t>
      </w:r>
      <w:r>
        <w:rPr>
          <w:rFonts w:ascii="微软雅黑" w:hAnsi="微软雅黑" w:eastAsia="微软雅黑" w:cs="微软雅黑"/>
          <w:spacing w:val="-24"/>
          <w:sz w:val="16"/>
          <w:szCs w:val="16"/>
        </w:rPr>
        <w:t xml:space="preserve"> </w:t>
      </w:r>
      <w:r>
        <w:rPr>
          <w:rFonts w:ascii="微软雅黑" w:hAnsi="微软雅黑" w:eastAsia="微软雅黑" w:cs="微软雅黑"/>
          <w:spacing w:val="34"/>
          <w:sz w:val="16"/>
          <w:szCs w:val="16"/>
        </w:rPr>
        <w:t>方面</w:t>
      </w:r>
      <w:r>
        <w:rPr>
          <w:rFonts w:ascii="微软雅黑" w:hAnsi="微软雅黑" w:eastAsia="微软雅黑" w:cs="微软雅黑"/>
          <w:spacing w:val="-24"/>
          <w:sz w:val="16"/>
          <w:szCs w:val="16"/>
        </w:rPr>
        <w:t xml:space="preserve"> </w:t>
      </w:r>
      <w:r>
        <w:rPr>
          <w:rFonts w:ascii="微软雅黑" w:hAnsi="微软雅黑" w:eastAsia="微软雅黑" w:cs="微软雅黑"/>
          <w:spacing w:val="34"/>
          <w:sz w:val="16"/>
          <w:szCs w:val="16"/>
        </w:rPr>
        <w:t>，提升学术部</w:t>
      </w:r>
      <w:r>
        <w:rPr>
          <w:rFonts w:ascii="微软雅黑" w:hAnsi="微软雅黑" w:eastAsia="微软雅黑" w:cs="微软雅黑"/>
          <w:sz w:val="16"/>
          <w:szCs w:val="16"/>
        </w:rPr>
        <w:t xml:space="preserve">  </w:t>
      </w:r>
      <w:r>
        <w:rPr>
          <w:rFonts w:ascii="微软雅黑" w:hAnsi="微软雅黑" w:eastAsia="微软雅黑" w:cs="微软雅黑"/>
          <w:spacing w:val="29"/>
          <w:sz w:val="16"/>
          <w:szCs w:val="16"/>
        </w:rPr>
        <w:t>门领导力</w:t>
      </w:r>
      <w:r>
        <w:rPr>
          <w:rFonts w:ascii="微软雅黑" w:hAnsi="微软雅黑" w:eastAsia="微软雅黑" w:cs="微软雅黑"/>
          <w:spacing w:val="7"/>
          <w:sz w:val="16"/>
          <w:szCs w:val="16"/>
        </w:rPr>
        <w:t xml:space="preserve"> </w:t>
      </w:r>
      <w:r>
        <w:rPr>
          <w:rFonts w:ascii="微软雅黑" w:hAnsi="微软雅黑" w:eastAsia="微软雅黑" w:cs="微软雅黑"/>
          <w:spacing w:val="29"/>
          <w:sz w:val="16"/>
          <w:szCs w:val="16"/>
        </w:rPr>
        <w:t>。</w:t>
      </w:r>
      <w:r>
        <w:rPr>
          <w:rFonts w:ascii="微软雅黑" w:hAnsi="微软雅黑" w:eastAsia="微软雅黑" w:cs="微软雅黑"/>
          <w:spacing w:val="-12"/>
          <w:sz w:val="16"/>
          <w:szCs w:val="16"/>
        </w:rPr>
        <w:t xml:space="preserve"> </w:t>
      </w:r>
      <w:r>
        <w:rPr>
          <w:rFonts w:ascii="微软雅黑" w:hAnsi="微软雅黑" w:eastAsia="微软雅黑" w:cs="微软雅黑"/>
          <w:spacing w:val="29"/>
          <w:sz w:val="16"/>
          <w:szCs w:val="16"/>
        </w:rPr>
        <w:t>根据新的</w:t>
      </w:r>
      <w:r>
        <w:rPr>
          <w:rFonts w:ascii="微软雅黑" w:hAnsi="微软雅黑" w:eastAsia="微软雅黑" w:cs="微软雅黑"/>
          <w:spacing w:val="-7"/>
          <w:sz w:val="16"/>
          <w:szCs w:val="16"/>
        </w:rPr>
        <w:t xml:space="preserve"> </w:t>
      </w:r>
      <w:r>
        <w:rPr>
          <w:rFonts w:ascii="微软雅黑" w:hAnsi="微软雅黑" w:eastAsia="微软雅黑" w:cs="微软雅黑"/>
          <w:spacing w:val="29"/>
          <w:sz w:val="16"/>
          <w:szCs w:val="16"/>
        </w:rPr>
        <w:t>战</w:t>
      </w:r>
      <w:r>
        <w:rPr>
          <w:rFonts w:ascii="微软雅黑" w:hAnsi="微软雅黑" w:eastAsia="微软雅黑" w:cs="微软雅黑"/>
          <w:spacing w:val="-9"/>
          <w:sz w:val="16"/>
          <w:szCs w:val="16"/>
        </w:rPr>
        <w:t xml:space="preserve"> </w:t>
      </w:r>
      <w:r>
        <w:rPr>
          <w:rFonts w:ascii="微软雅黑" w:hAnsi="微软雅黑" w:eastAsia="微软雅黑" w:cs="微软雅黑"/>
          <w:spacing w:val="29"/>
          <w:sz w:val="16"/>
          <w:szCs w:val="16"/>
        </w:rPr>
        <w:t>略</w:t>
      </w:r>
      <w:r>
        <w:rPr>
          <w:rFonts w:ascii="微软雅黑" w:hAnsi="微软雅黑" w:eastAsia="微软雅黑" w:cs="微软雅黑"/>
          <w:spacing w:val="-19"/>
          <w:sz w:val="16"/>
          <w:szCs w:val="16"/>
        </w:rPr>
        <w:t xml:space="preserve"> </w:t>
      </w:r>
      <w:r>
        <w:rPr>
          <w:rFonts w:ascii="微软雅黑" w:hAnsi="微软雅黑" w:eastAsia="微软雅黑" w:cs="微软雅黑"/>
          <w:spacing w:val="29"/>
          <w:sz w:val="16"/>
          <w:szCs w:val="16"/>
        </w:rPr>
        <w:t>要</w:t>
      </w:r>
      <w:r>
        <w:rPr>
          <w:rFonts w:ascii="微软雅黑" w:hAnsi="微软雅黑" w:eastAsia="微软雅黑" w:cs="微软雅黑"/>
          <w:spacing w:val="-20"/>
          <w:sz w:val="16"/>
          <w:szCs w:val="16"/>
        </w:rPr>
        <w:t xml:space="preserve"> </w:t>
      </w:r>
      <w:r>
        <w:rPr>
          <w:rFonts w:ascii="微软雅黑" w:hAnsi="微软雅黑" w:eastAsia="微软雅黑" w:cs="微软雅黑"/>
          <w:spacing w:val="29"/>
          <w:sz w:val="16"/>
          <w:szCs w:val="16"/>
        </w:rPr>
        <w:t>求</w:t>
      </w:r>
      <w:r>
        <w:rPr>
          <w:rFonts w:ascii="微软雅黑" w:hAnsi="微软雅黑" w:eastAsia="微软雅黑" w:cs="微软雅黑"/>
          <w:spacing w:val="-24"/>
          <w:sz w:val="16"/>
          <w:szCs w:val="16"/>
        </w:rPr>
        <w:t xml:space="preserve"> </w:t>
      </w:r>
      <w:r>
        <w:rPr>
          <w:rFonts w:ascii="微软雅黑" w:hAnsi="微软雅黑" w:eastAsia="微软雅黑" w:cs="微软雅黑"/>
          <w:spacing w:val="29"/>
          <w:sz w:val="16"/>
          <w:szCs w:val="16"/>
        </w:rPr>
        <w:t>，学</w:t>
      </w:r>
      <w:r>
        <w:rPr>
          <w:rFonts w:ascii="微软雅黑" w:hAnsi="微软雅黑" w:eastAsia="微软雅黑" w:cs="微软雅黑"/>
          <w:spacing w:val="-16"/>
          <w:sz w:val="16"/>
          <w:szCs w:val="16"/>
        </w:rPr>
        <w:t xml:space="preserve"> </w:t>
      </w:r>
      <w:r>
        <w:rPr>
          <w:rFonts w:ascii="微软雅黑" w:hAnsi="微软雅黑" w:eastAsia="微软雅黑" w:cs="微软雅黑"/>
          <w:spacing w:val="29"/>
          <w:sz w:val="16"/>
          <w:szCs w:val="16"/>
        </w:rPr>
        <w:t>校</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调</w:t>
      </w:r>
      <w:r>
        <w:rPr>
          <w:rFonts w:ascii="微软雅黑" w:hAnsi="微软雅黑" w:eastAsia="微软雅黑" w:cs="微软雅黑"/>
          <w:spacing w:val="-16"/>
          <w:sz w:val="16"/>
          <w:szCs w:val="16"/>
        </w:rPr>
        <w:t xml:space="preserve"> </w:t>
      </w:r>
      <w:r>
        <w:rPr>
          <w:rFonts w:ascii="微软雅黑" w:hAnsi="微软雅黑" w:eastAsia="微软雅黑" w:cs="微软雅黑"/>
          <w:spacing w:val="29"/>
          <w:sz w:val="16"/>
          <w:szCs w:val="16"/>
        </w:rPr>
        <w:t>整</w:t>
      </w:r>
      <w:r>
        <w:rPr>
          <w:rFonts w:ascii="微软雅黑" w:hAnsi="微软雅黑" w:eastAsia="微软雅黑" w:cs="微软雅黑"/>
          <w:spacing w:val="-20"/>
          <w:sz w:val="16"/>
          <w:szCs w:val="16"/>
        </w:rPr>
        <w:t xml:space="preserve"> </w:t>
      </w:r>
      <w:r>
        <w:rPr>
          <w:rFonts w:ascii="微软雅黑" w:hAnsi="微软雅黑" w:eastAsia="微软雅黑" w:cs="微软雅黑"/>
          <w:spacing w:val="29"/>
          <w:sz w:val="16"/>
          <w:szCs w:val="16"/>
        </w:rPr>
        <w:t>人</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力</w:t>
      </w:r>
      <w:r>
        <w:rPr>
          <w:rFonts w:ascii="微软雅黑" w:hAnsi="微软雅黑" w:eastAsia="微软雅黑" w:cs="微软雅黑"/>
          <w:spacing w:val="-13"/>
          <w:sz w:val="16"/>
          <w:szCs w:val="16"/>
        </w:rPr>
        <w:t xml:space="preserve"> </w:t>
      </w:r>
      <w:r>
        <w:rPr>
          <w:rFonts w:ascii="微软雅黑" w:hAnsi="微软雅黑" w:eastAsia="微软雅黑" w:cs="微软雅黑"/>
          <w:spacing w:val="29"/>
          <w:sz w:val="16"/>
          <w:szCs w:val="16"/>
        </w:rPr>
        <w:t>资</w:t>
      </w:r>
      <w:r>
        <w:rPr>
          <w:rFonts w:ascii="微软雅黑" w:hAnsi="微软雅黑" w:eastAsia="微软雅黑" w:cs="微软雅黑"/>
          <w:spacing w:val="-15"/>
          <w:sz w:val="16"/>
          <w:szCs w:val="16"/>
        </w:rPr>
        <w:t xml:space="preserve"> </w:t>
      </w:r>
      <w:r>
        <w:rPr>
          <w:rFonts w:ascii="微软雅黑" w:hAnsi="微软雅黑" w:eastAsia="微软雅黑" w:cs="微软雅黑"/>
          <w:spacing w:val="29"/>
          <w:sz w:val="16"/>
          <w:szCs w:val="16"/>
        </w:rPr>
        <w:t>源</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策略</w:t>
      </w:r>
      <w:r>
        <w:rPr>
          <w:rFonts w:ascii="微软雅黑" w:hAnsi="微软雅黑" w:eastAsia="微软雅黑" w:cs="微软雅黑"/>
          <w:spacing w:val="-10"/>
          <w:sz w:val="16"/>
          <w:szCs w:val="16"/>
        </w:rPr>
        <w:t xml:space="preserve"> </w:t>
      </w:r>
      <w:r>
        <w:rPr>
          <w:rFonts w:ascii="微软雅黑" w:hAnsi="微软雅黑" w:eastAsia="微软雅黑" w:cs="微软雅黑"/>
          <w:spacing w:val="38"/>
          <w:sz w:val="16"/>
          <w:szCs w:val="16"/>
        </w:rPr>
        <w:t>，启用认同学校使命和战略目标</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、熟悉学校工作</w:t>
      </w:r>
      <w:r>
        <w:rPr>
          <w:rFonts w:ascii="微软雅黑" w:hAnsi="微软雅黑" w:eastAsia="微软雅黑" w:cs="微软雅黑"/>
          <w:sz w:val="16"/>
          <w:szCs w:val="16"/>
        </w:rPr>
        <w:t xml:space="preserve">  </w:t>
      </w:r>
      <w:r>
        <w:rPr>
          <w:rFonts w:ascii="微软雅黑" w:hAnsi="微软雅黑" w:eastAsia="微软雅黑" w:cs="微软雅黑"/>
          <w:spacing w:val="34"/>
          <w:sz w:val="16"/>
          <w:szCs w:val="16"/>
        </w:rPr>
        <w:t>的年轻人担任二级学院负责</w:t>
      </w:r>
      <w:r>
        <w:rPr>
          <w:rFonts w:ascii="微软雅黑" w:hAnsi="微软雅黑" w:eastAsia="微软雅黑" w:cs="微软雅黑"/>
          <w:spacing w:val="-6"/>
          <w:sz w:val="16"/>
          <w:szCs w:val="16"/>
        </w:rPr>
        <w:t xml:space="preserve"> </w:t>
      </w:r>
      <w:r>
        <w:rPr>
          <w:rFonts w:ascii="微软雅黑" w:hAnsi="微软雅黑" w:eastAsia="微软雅黑" w:cs="微软雅黑"/>
          <w:spacing w:val="34"/>
          <w:sz w:val="16"/>
          <w:szCs w:val="16"/>
        </w:rPr>
        <w:t>人</w:t>
      </w:r>
      <w:r>
        <w:rPr>
          <w:rFonts w:ascii="微软雅黑" w:hAnsi="微软雅黑" w:eastAsia="微软雅黑" w:cs="微软雅黑"/>
          <w:spacing w:val="-23"/>
          <w:sz w:val="16"/>
          <w:szCs w:val="16"/>
        </w:rPr>
        <w:t xml:space="preserve"> </w:t>
      </w:r>
      <w:r>
        <w:rPr>
          <w:rFonts w:ascii="微软雅黑" w:hAnsi="微软雅黑" w:eastAsia="微软雅黑" w:cs="微软雅黑"/>
          <w:spacing w:val="34"/>
          <w:sz w:val="16"/>
          <w:szCs w:val="16"/>
        </w:rPr>
        <w:t>，保</w:t>
      </w:r>
      <w:r>
        <w:rPr>
          <w:rFonts w:ascii="微软雅黑" w:hAnsi="微软雅黑" w:eastAsia="微软雅黑" w:cs="微软雅黑"/>
          <w:spacing w:val="-21"/>
          <w:sz w:val="16"/>
          <w:szCs w:val="16"/>
        </w:rPr>
        <w:t xml:space="preserve"> </w:t>
      </w:r>
      <w:r>
        <w:rPr>
          <w:rFonts w:ascii="微软雅黑" w:hAnsi="微软雅黑" w:eastAsia="微软雅黑" w:cs="微软雅黑"/>
          <w:spacing w:val="34"/>
          <w:sz w:val="16"/>
          <w:szCs w:val="16"/>
        </w:rPr>
        <w:t>证</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二</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级</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学</w:t>
      </w:r>
      <w:r>
        <w:rPr>
          <w:rFonts w:ascii="微软雅黑" w:hAnsi="微软雅黑" w:eastAsia="微软雅黑" w:cs="微软雅黑"/>
          <w:spacing w:val="-4"/>
          <w:sz w:val="16"/>
          <w:szCs w:val="16"/>
        </w:rPr>
        <w:t xml:space="preserve"> </w:t>
      </w:r>
      <w:r>
        <w:rPr>
          <w:rFonts w:ascii="微软雅黑" w:hAnsi="微软雅黑" w:eastAsia="微软雅黑" w:cs="微软雅黑"/>
          <w:spacing w:val="34"/>
          <w:sz w:val="16"/>
          <w:szCs w:val="16"/>
        </w:rPr>
        <w:t>院</w:t>
      </w:r>
      <w:r>
        <w:rPr>
          <w:rFonts w:ascii="微软雅黑" w:hAnsi="微软雅黑" w:eastAsia="微软雅黑" w:cs="微软雅黑"/>
          <w:spacing w:val="-2"/>
          <w:sz w:val="16"/>
          <w:szCs w:val="16"/>
        </w:rPr>
        <w:t xml:space="preserve"> </w:t>
      </w:r>
      <w:r>
        <w:rPr>
          <w:rFonts w:ascii="微软雅黑" w:hAnsi="微软雅黑" w:eastAsia="微软雅黑" w:cs="微软雅黑"/>
          <w:spacing w:val="34"/>
          <w:sz w:val="16"/>
          <w:szCs w:val="16"/>
        </w:rPr>
        <w:t>的 目</w:t>
      </w:r>
      <w:r>
        <w:rPr>
          <w:rFonts w:ascii="微软雅黑" w:hAnsi="微软雅黑" w:eastAsia="微软雅黑" w:cs="微软雅黑"/>
          <w:sz w:val="16"/>
          <w:szCs w:val="16"/>
        </w:rPr>
        <w:t xml:space="preserve">  </w:t>
      </w:r>
      <w:r>
        <w:rPr>
          <w:rFonts w:ascii="微软雅黑" w:hAnsi="微软雅黑" w:eastAsia="微软雅黑" w:cs="微软雅黑"/>
          <w:spacing w:val="28"/>
          <w:sz w:val="16"/>
          <w:szCs w:val="16"/>
        </w:rPr>
        <w:t>标</w:t>
      </w:r>
      <w:r>
        <w:rPr>
          <w:rFonts w:ascii="微软雅黑" w:hAnsi="微软雅黑" w:eastAsia="微软雅黑" w:cs="微软雅黑"/>
          <w:spacing w:val="-6"/>
          <w:sz w:val="16"/>
          <w:szCs w:val="16"/>
        </w:rPr>
        <w:t xml:space="preserve"> </w:t>
      </w:r>
      <w:r>
        <w:rPr>
          <w:rFonts w:ascii="微软雅黑" w:hAnsi="微软雅黑" w:eastAsia="微软雅黑" w:cs="微软雅黑"/>
          <w:spacing w:val="28"/>
          <w:sz w:val="16"/>
          <w:szCs w:val="16"/>
        </w:rPr>
        <w:t>、定位和计划能够</w:t>
      </w:r>
      <w:r>
        <w:rPr>
          <w:rFonts w:ascii="微软雅黑" w:hAnsi="微软雅黑" w:eastAsia="微软雅黑" w:cs="微软雅黑"/>
          <w:spacing w:val="-9"/>
          <w:sz w:val="16"/>
          <w:szCs w:val="16"/>
        </w:rPr>
        <w:t xml:space="preserve"> </w:t>
      </w:r>
      <w:r>
        <w:rPr>
          <w:rFonts w:ascii="微软雅黑" w:hAnsi="微软雅黑" w:eastAsia="微软雅黑" w:cs="微软雅黑"/>
          <w:spacing w:val="28"/>
          <w:sz w:val="16"/>
          <w:szCs w:val="16"/>
        </w:rPr>
        <w:t>匹</w:t>
      </w:r>
      <w:r>
        <w:rPr>
          <w:rFonts w:ascii="微软雅黑" w:hAnsi="微软雅黑" w:eastAsia="微软雅黑" w:cs="微软雅黑"/>
          <w:spacing w:val="-16"/>
          <w:sz w:val="16"/>
          <w:szCs w:val="16"/>
        </w:rPr>
        <w:t xml:space="preserve"> </w:t>
      </w:r>
      <w:r>
        <w:rPr>
          <w:rFonts w:ascii="微软雅黑" w:hAnsi="微软雅黑" w:eastAsia="微软雅黑" w:cs="微软雅黑"/>
          <w:spacing w:val="28"/>
          <w:sz w:val="16"/>
          <w:szCs w:val="16"/>
        </w:rPr>
        <w:t>配</w:t>
      </w:r>
      <w:r>
        <w:rPr>
          <w:rFonts w:ascii="微软雅黑" w:hAnsi="微软雅黑" w:eastAsia="微软雅黑" w:cs="微软雅黑"/>
          <w:spacing w:val="-16"/>
          <w:sz w:val="16"/>
          <w:szCs w:val="16"/>
        </w:rPr>
        <w:t xml:space="preserve"> </w:t>
      </w:r>
      <w:r>
        <w:rPr>
          <w:rFonts w:ascii="微软雅黑" w:hAnsi="微软雅黑" w:eastAsia="微软雅黑" w:cs="微软雅黑"/>
          <w:spacing w:val="28"/>
          <w:sz w:val="16"/>
          <w:szCs w:val="16"/>
        </w:rPr>
        <w:t>学</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校</w:t>
      </w:r>
      <w:r>
        <w:rPr>
          <w:rFonts w:ascii="微软雅黑" w:hAnsi="微软雅黑" w:eastAsia="微软雅黑" w:cs="微软雅黑"/>
          <w:spacing w:val="-16"/>
          <w:sz w:val="16"/>
          <w:szCs w:val="16"/>
        </w:rPr>
        <w:t xml:space="preserve"> </w:t>
      </w:r>
      <w:r>
        <w:rPr>
          <w:rFonts w:ascii="微软雅黑" w:hAnsi="微软雅黑" w:eastAsia="微软雅黑" w:cs="微软雅黑"/>
          <w:spacing w:val="28"/>
          <w:sz w:val="16"/>
          <w:szCs w:val="16"/>
        </w:rPr>
        <w:t>整</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体</w:t>
      </w:r>
      <w:r>
        <w:rPr>
          <w:rFonts w:ascii="微软雅黑" w:hAnsi="微软雅黑" w:eastAsia="微软雅黑" w:cs="微软雅黑"/>
          <w:spacing w:val="-8"/>
          <w:sz w:val="16"/>
          <w:szCs w:val="16"/>
        </w:rPr>
        <w:t xml:space="preserve"> </w:t>
      </w:r>
      <w:r>
        <w:rPr>
          <w:rFonts w:ascii="微软雅黑" w:hAnsi="微软雅黑" w:eastAsia="微软雅黑" w:cs="微软雅黑"/>
          <w:spacing w:val="28"/>
          <w:sz w:val="16"/>
          <w:szCs w:val="16"/>
        </w:rPr>
        <w:t>战</w:t>
      </w:r>
      <w:r>
        <w:rPr>
          <w:rFonts w:ascii="微软雅黑" w:hAnsi="微软雅黑" w:eastAsia="微软雅黑" w:cs="微软雅黑"/>
          <w:spacing w:val="-8"/>
          <w:sz w:val="16"/>
          <w:szCs w:val="16"/>
        </w:rPr>
        <w:t xml:space="preserve"> </w:t>
      </w:r>
      <w:r>
        <w:rPr>
          <w:rFonts w:ascii="微软雅黑" w:hAnsi="微软雅黑" w:eastAsia="微软雅黑" w:cs="微软雅黑"/>
          <w:spacing w:val="28"/>
          <w:sz w:val="16"/>
          <w:szCs w:val="16"/>
        </w:rPr>
        <w:t>略</w:t>
      </w:r>
      <w:r>
        <w:rPr>
          <w:rFonts w:ascii="微软雅黑" w:hAnsi="微软雅黑" w:eastAsia="微软雅黑" w:cs="微软雅黑"/>
          <w:spacing w:val="-19"/>
          <w:sz w:val="16"/>
          <w:szCs w:val="16"/>
        </w:rPr>
        <w:t xml:space="preserve"> </w:t>
      </w:r>
      <w:r>
        <w:rPr>
          <w:rFonts w:ascii="微软雅黑" w:hAnsi="微软雅黑" w:eastAsia="微软雅黑" w:cs="微软雅黑"/>
          <w:spacing w:val="28"/>
          <w:sz w:val="16"/>
          <w:szCs w:val="16"/>
        </w:rPr>
        <w:t>部</w:t>
      </w:r>
      <w:r>
        <w:rPr>
          <w:rFonts w:ascii="微软雅黑" w:hAnsi="微软雅黑" w:eastAsia="微软雅黑" w:cs="微软雅黑"/>
          <w:spacing w:val="-20"/>
          <w:sz w:val="16"/>
          <w:szCs w:val="16"/>
        </w:rPr>
        <w:t xml:space="preserve"> </w:t>
      </w:r>
      <w:r>
        <w:rPr>
          <w:rFonts w:ascii="微软雅黑" w:hAnsi="微软雅黑" w:eastAsia="微软雅黑" w:cs="微软雅黑"/>
          <w:spacing w:val="28"/>
          <w:sz w:val="16"/>
          <w:szCs w:val="16"/>
        </w:rPr>
        <w:t>署</w:t>
      </w:r>
      <w:r>
        <w:rPr>
          <w:rFonts w:ascii="微软雅黑" w:hAnsi="微软雅黑" w:eastAsia="微软雅黑" w:cs="微软雅黑"/>
          <w:spacing w:val="-5"/>
          <w:sz w:val="16"/>
          <w:szCs w:val="16"/>
        </w:rPr>
        <w:t xml:space="preserve"> </w:t>
      </w:r>
      <w:r>
        <w:rPr>
          <w:rFonts w:ascii="微软雅黑" w:hAnsi="微软雅黑" w:eastAsia="微软雅黑" w:cs="微软雅黑"/>
          <w:spacing w:val="28"/>
          <w:sz w:val="16"/>
          <w:szCs w:val="16"/>
        </w:rPr>
        <w:t>。</w:t>
      </w:r>
      <w:r>
        <w:rPr>
          <w:rFonts w:ascii="微软雅黑" w:hAnsi="微软雅黑" w:eastAsia="微软雅黑" w:cs="微软雅黑"/>
          <w:spacing w:val="-2"/>
          <w:sz w:val="16"/>
          <w:szCs w:val="16"/>
        </w:rPr>
        <w:t xml:space="preserve"> </w:t>
      </w:r>
      <w:r>
        <w:rPr>
          <w:rFonts w:ascii="微软雅黑" w:hAnsi="微软雅黑" w:eastAsia="微软雅黑" w:cs="微软雅黑"/>
          <w:spacing w:val="28"/>
          <w:sz w:val="16"/>
          <w:szCs w:val="16"/>
        </w:rPr>
        <w:t>另</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一</w:t>
      </w:r>
      <w:r>
        <w:rPr>
          <w:rFonts w:ascii="微软雅黑" w:hAnsi="微软雅黑" w:eastAsia="微软雅黑" w:cs="微软雅黑"/>
          <w:sz w:val="16"/>
          <w:szCs w:val="16"/>
        </w:rPr>
        <w:t xml:space="preserve">  </w:t>
      </w:r>
      <w:r>
        <w:rPr>
          <w:rFonts w:ascii="微软雅黑" w:hAnsi="微软雅黑" w:eastAsia="微软雅黑" w:cs="微软雅黑"/>
          <w:spacing w:val="22"/>
          <w:sz w:val="16"/>
          <w:szCs w:val="16"/>
        </w:rPr>
        <w:t>方面</w:t>
      </w:r>
      <w:r>
        <w:rPr>
          <w:rFonts w:ascii="微软雅黑" w:hAnsi="微软雅黑" w:eastAsia="微软雅黑" w:cs="微软雅黑"/>
          <w:spacing w:val="-15"/>
          <w:sz w:val="16"/>
          <w:szCs w:val="16"/>
        </w:rPr>
        <w:t xml:space="preserve"> </w:t>
      </w:r>
      <w:r>
        <w:rPr>
          <w:rFonts w:ascii="微软雅黑" w:hAnsi="微软雅黑" w:eastAsia="微软雅黑" w:cs="微软雅黑"/>
          <w:spacing w:val="22"/>
          <w:sz w:val="16"/>
          <w:szCs w:val="16"/>
        </w:rPr>
        <w:t>，推动</w:t>
      </w:r>
      <w:r>
        <w:rPr>
          <w:rFonts w:ascii="微软雅黑" w:hAnsi="微软雅黑" w:eastAsia="微软雅黑" w:cs="微软雅黑"/>
          <w:spacing w:val="-13"/>
          <w:sz w:val="16"/>
          <w:szCs w:val="16"/>
        </w:rPr>
        <w:t xml:space="preserve"> </w:t>
      </w:r>
      <w:r>
        <w:rPr>
          <w:rFonts w:ascii="微软雅黑" w:hAnsi="微软雅黑" w:eastAsia="微软雅黑" w:cs="微软雅黑"/>
          <w:spacing w:val="22"/>
          <w:sz w:val="16"/>
          <w:szCs w:val="16"/>
        </w:rPr>
        <w:t>二</w:t>
      </w:r>
      <w:r>
        <w:rPr>
          <w:rFonts w:ascii="微软雅黑" w:hAnsi="微软雅黑" w:eastAsia="微软雅黑" w:cs="微软雅黑"/>
          <w:spacing w:val="-13"/>
          <w:sz w:val="16"/>
          <w:szCs w:val="16"/>
        </w:rPr>
        <w:t xml:space="preserve"> </w:t>
      </w:r>
      <w:r>
        <w:rPr>
          <w:rFonts w:ascii="微软雅黑" w:hAnsi="微软雅黑" w:eastAsia="微软雅黑" w:cs="微软雅黑"/>
          <w:spacing w:val="22"/>
          <w:sz w:val="16"/>
          <w:szCs w:val="16"/>
        </w:rPr>
        <w:t>级</w:t>
      </w:r>
      <w:r>
        <w:rPr>
          <w:rFonts w:ascii="微软雅黑" w:hAnsi="微软雅黑" w:eastAsia="微软雅黑" w:cs="微软雅黑"/>
          <w:spacing w:val="-13"/>
          <w:sz w:val="16"/>
          <w:szCs w:val="16"/>
        </w:rPr>
        <w:t xml:space="preserve"> </w:t>
      </w:r>
      <w:r>
        <w:rPr>
          <w:rFonts w:ascii="微软雅黑" w:hAnsi="微软雅黑" w:eastAsia="微软雅黑" w:cs="微软雅黑"/>
          <w:spacing w:val="22"/>
          <w:sz w:val="16"/>
          <w:szCs w:val="16"/>
        </w:rPr>
        <w:t>学 院</w:t>
      </w:r>
      <w:r>
        <w:rPr>
          <w:rFonts w:ascii="微软雅黑" w:hAnsi="微软雅黑" w:eastAsia="微软雅黑" w:cs="微软雅黑"/>
          <w:spacing w:val="-15"/>
          <w:sz w:val="16"/>
          <w:szCs w:val="16"/>
        </w:rPr>
        <w:t xml:space="preserve"> </w:t>
      </w:r>
      <w:r>
        <w:rPr>
          <w:rFonts w:ascii="微软雅黑" w:hAnsi="微软雅黑" w:eastAsia="微软雅黑" w:cs="微软雅黑"/>
          <w:spacing w:val="22"/>
          <w:sz w:val="16"/>
          <w:szCs w:val="16"/>
        </w:rPr>
        <w:t>成</w:t>
      </w:r>
      <w:r>
        <w:rPr>
          <w:rFonts w:ascii="微软雅黑" w:hAnsi="微软雅黑" w:eastAsia="微软雅黑" w:cs="微软雅黑"/>
          <w:spacing w:val="-14"/>
          <w:sz w:val="16"/>
          <w:szCs w:val="16"/>
        </w:rPr>
        <w:t xml:space="preserve"> </w:t>
      </w:r>
      <w:r>
        <w:rPr>
          <w:rFonts w:ascii="微软雅黑" w:hAnsi="微软雅黑" w:eastAsia="微软雅黑" w:cs="微软雅黑"/>
          <w:spacing w:val="22"/>
          <w:sz w:val="16"/>
          <w:szCs w:val="16"/>
        </w:rPr>
        <w:t>立</w:t>
      </w:r>
      <w:r>
        <w:rPr>
          <w:rFonts w:ascii="微软雅黑" w:hAnsi="微软雅黑" w:eastAsia="微软雅黑" w:cs="微软雅黑"/>
          <w:spacing w:val="-14"/>
          <w:sz w:val="16"/>
          <w:szCs w:val="16"/>
        </w:rPr>
        <w:t xml:space="preserve"> </w:t>
      </w:r>
      <w:r>
        <w:rPr>
          <w:rFonts w:ascii="微软雅黑" w:hAnsi="微软雅黑" w:eastAsia="微软雅黑" w:cs="微软雅黑"/>
          <w:spacing w:val="22"/>
          <w:sz w:val="16"/>
          <w:szCs w:val="16"/>
        </w:rPr>
        <w:t>专</w:t>
      </w:r>
      <w:r>
        <w:rPr>
          <w:rFonts w:ascii="微软雅黑" w:hAnsi="微软雅黑" w:eastAsia="微软雅黑" w:cs="微软雅黑"/>
          <w:spacing w:val="-9"/>
          <w:sz w:val="16"/>
          <w:szCs w:val="16"/>
        </w:rPr>
        <w:t xml:space="preserve"> </w:t>
      </w:r>
      <w:r>
        <w:rPr>
          <w:rFonts w:ascii="微软雅黑" w:hAnsi="微软雅黑" w:eastAsia="微软雅黑" w:cs="微软雅黑"/>
          <w:spacing w:val="22"/>
          <w:sz w:val="16"/>
          <w:szCs w:val="16"/>
        </w:rPr>
        <w:t>家</w:t>
      </w:r>
      <w:r>
        <w:rPr>
          <w:rFonts w:ascii="微软雅黑" w:hAnsi="微软雅黑" w:eastAsia="微软雅黑" w:cs="微软雅黑"/>
          <w:spacing w:val="-10"/>
          <w:sz w:val="16"/>
          <w:szCs w:val="16"/>
        </w:rPr>
        <w:t xml:space="preserve"> </w:t>
      </w:r>
      <w:r>
        <w:rPr>
          <w:rFonts w:ascii="微软雅黑" w:hAnsi="微软雅黑" w:eastAsia="微软雅黑" w:cs="微软雅黑"/>
          <w:spacing w:val="22"/>
          <w:sz w:val="16"/>
          <w:szCs w:val="16"/>
        </w:rPr>
        <w:t>委</w:t>
      </w:r>
      <w:r>
        <w:rPr>
          <w:rFonts w:ascii="微软雅黑" w:hAnsi="微软雅黑" w:eastAsia="微软雅黑" w:cs="微软雅黑"/>
          <w:spacing w:val="-12"/>
          <w:sz w:val="16"/>
          <w:szCs w:val="16"/>
        </w:rPr>
        <w:t xml:space="preserve"> </w:t>
      </w:r>
      <w:r>
        <w:rPr>
          <w:rFonts w:ascii="微软雅黑" w:hAnsi="微软雅黑" w:eastAsia="微软雅黑" w:cs="微软雅黑"/>
          <w:spacing w:val="22"/>
          <w:sz w:val="16"/>
          <w:szCs w:val="16"/>
        </w:rPr>
        <w:t>员</w:t>
      </w:r>
      <w:r>
        <w:rPr>
          <w:rFonts w:ascii="微软雅黑" w:hAnsi="微软雅黑" w:eastAsia="微软雅黑" w:cs="微软雅黑"/>
          <w:spacing w:val="-15"/>
          <w:sz w:val="16"/>
          <w:szCs w:val="16"/>
        </w:rPr>
        <w:t xml:space="preserve"> </w:t>
      </w:r>
      <w:r>
        <w:rPr>
          <w:rFonts w:ascii="微软雅黑" w:hAnsi="微软雅黑" w:eastAsia="微软雅黑" w:cs="微软雅黑"/>
          <w:spacing w:val="22"/>
          <w:sz w:val="16"/>
          <w:szCs w:val="16"/>
        </w:rPr>
        <w:t>会</w:t>
      </w:r>
      <w:r>
        <w:rPr>
          <w:rFonts w:ascii="微软雅黑" w:hAnsi="微软雅黑" w:eastAsia="微软雅黑" w:cs="微软雅黑"/>
          <w:spacing w:val="-24"/>
          <w:sz w:val="16"/>
          <w:szCs w:val="16"/>
        </w:rPr>
        <w:t xml:space="preserve"> </w:t>
      </w:r>
      <w:r>
        <w:rPr>
          <w:rFonts w:ascii="微软雅黑" w:hAnsi="微软雅黑" w:eastAsia="微软雅黑" w:cs="微软雅黑"/>
          <w:spacing w:val="22"/>
          <w:sz w:val="16"/>
          <w:szCs w:val="16"/>
        </w:rPr>
        <w:t>，引</w:t>
      </w:r>
      <w:r>
        <w:rPr>
          <w:rFonts w:ascii="微软雅黑" w:hAnsi="微软雅黑" w:eastAsia="微软雅黑" w:cs="微软雅黑"/>
          <w:spacing w:val="-12"/>
          <w:sz w:val="16"/>
          <w:szCs w:val="16"/>
        </w:rPr>
        <w:t xml:space="preserve"> </w:t>
      </w:r>
      <w:r>
        <w:rPr>
          <w:rFonts w:ascii="微软雅黑" w:hAnsi="微软雅黑" w:eastAsia="微软雅黑" w:cs="微软雅黑"/>
          <w:spacing w:val="22"/>
          <w:sz w:val="16"/>
          <w:szCs w:val="16"/>
        </w:rPr>
        <w:t>进</w:t>
      </w:r>
      <w:r>
        <w:rPr>
          <w:rFonts w:ascii="微软雅黑" w:hAnsi="微软雅黑" w:eastAsia="微软雅黑" w:cs="微软雅黑"/>
          <w:spacing w:val="-10"/>
          <w:sz w:val="16"/>
          <w:szCs w:val="16"/>
        </w:rPr>
        <w:t xml:space="preserve"> </w:t>
      </w:r>
      <w:r>
        <w:rPr>
          <w:rFonts w:ascii="微软雅黑" w:hAnsi="微软雅黑" w:eastAsia="微软雅黑" w:cs="微软雅黑"/>
          <w:spacing w:val="22"/>
          <w:sz w:val="16"/>
          <w:szCs w:val="16"/>
        </w:rPr>
        <w:t>知</w:t>
      </w:r>
      <w:r>
        <w:rPr>
          <w:rFonts w:ascii="微软雅黑" w:hAnsi="微软雅黑" w:eastAsia="微软雅黑" w:cs="微软雅黑"/>
          <w:spacing w:val="-10"/>
          <w:sz w:val="16"/>
          <w:szCs w:val="16"/>
        </w:rPr>
        <w:t xml:space="preserve"> </w:t>
      </w:r>
      <w:r>
        <w:rPr>
          <w:rFonts w:ascii="微软雅黑" w:hAnsi="微软雅黑" w:eastAsia="微软雅黑" w:cs="微软雅黑"/>
          <w:spacing w:val="22"/>
          <w:sz w:val="16"/>
          <w:szCs w:val="16"/>
        </w:rPr>
        <w:t>名</w:t>
      </w:r>
      <w:r>
        <w:rPr>
          <w:rFonts w:ascii="微软雅黑" w:hAnsi="微软雅黑" w:eastAsia="微软雅黑" w:cs="微软雅黑"/>
          <w:spacing w:val="-11"/>
          <w:sz w:val="16"/>
          <w:szCs w:val="16"/>
        </w:rPr>
        <w:t xml:space="preserve"> </w:t>
      </w:r>
      <w:r>
        <w:rPr>
          <w:rFonts w:ascii="微软雅黑" w:hAnsi="微软雅黑" w:eastAsia="微软雅黑" w:cs="微软雅黑"/>
          <w:spacing w:val="22"/>
          <w:sz w:val="16"/>
          <w:szCs w:val="16"/>
        </w:rPr>
        <w:t>学</w:t>
      </w:r>
      <w:r>
        <w:rPr>
          <w:rFonts w:ascii="微软雅黑" w:hAnsi="微软雅黑" w:eastAsia="微软雅黑" w:cs="微软雅黑"/>
          <w:sz w:val="16"/>
          <w:szCs w:val="16"/>
        </w:rPr>
        <w:t xml:space="preserve">  </w:t>
      </w:r>
      <w:r>
        <w:rPr>
          <w:rFonts w:ascii="微软雅黑" w:hAnsi="微软雅黑" w:eastAsia="微软雅黑" w:cs="微软雅黑"/>
          <w:spacing w:val="23"/>
          <w:sz w:val="16"/>
          <w:szCs w:val="16"/>
        </w:rPr>
        <w:t>者</w:t>
      </w:r>
      <w:r>
        <w:rPr>
          <w:rFonts w:ascii="微软雅黑" w:hAnsi="微软雅黑" w:eastAsia="微软雅黑" w:cs="微软雅黑"/>
          <w:spacing w:val="-5"/>
          <w:sz w:val="16"/>
          <w:szCs w:val="16"/>
        </w:rPr>
        <w:t xml:space="preserve"> </w:t>
      </w:r>
      <w:r>
        <w:rPr>
          <w:rFonts w:ascii="微软雅黑" w:hAnsi="微软雅黑" w:eastAsia="微软雅黑" w:cs="微软雅黑"/>
          <w:spacing w:val="23"/>
          <w:sz w:val="16"/>
          <w:szCs w:val="16"/>
        </w:rPr>
        <w:t>、专家</w:t>
      </w:r>
      <w:r>
        <w:rPr>
          <w:rFonts w:ascii="微软雅黑" w:hAnsi="微软雅黑" w:eastAsia="微软雅黑" w:cs="微软雅黑"/>
          <w:spacing w:val="-24"/>
          <w:sz w:val="16"/>
          <w:szCs w:val="16"/>
        </w:rPr>
        <w:t xml:space="preserve"> </w:t>
      </w:r>
      <w:r>
        <w:rPr>
          <w:rFonts w:ascii="微软雅黑" w:hAnsi="微软雅黑" w:eastAsia="微软雅黑" w:cs="微软雅黑"/>
          <w:spacing w:val="23"/>
          <w:sz w:val="16"/>
          <w:szCs w:val="16"/>
        </w:rPr>
        <w:t>，通过委员会</w:t>
      </w:r>
      <w:r>
        <w:rPr>
          <w:rFonts w:ascii="微软雅黑" w:hAnsi="微软雅黑" w:eastAsia="微软雅黑" w:cs="微软雅黑"/>
          <w:spacing w:val="-18"/>
          <w:sz w:val="16"/>
          <w:szCs w:val="16"/>
        </w:rPr>
        <w:t xml:space="preserve"> </w:t>
      </w:r>
      <w:r>
        <w:rPr>
          <w:rFonts w:ascii="微软雅黑" w:hAnsi="微软雅黑" w:eastAsia="微软雅黑" w:cs="微软雅黑"/>
          <w:spacing w:val="23"/>
          <w:sz w:val="16"/>
          <w:szCs w:val="16"/>
        </w:rPr>
        <w:t>合</w:t>
      </w:r>
      <w:r>
        <w:rPr>
          <w:rFonts w:ascii="微软雅黑" w:hAnsi="微软雅黑" w:eastAsia="微软雅黑" w:cs="微软雅黑"/>
          <w:spacing w:val="-21"/>
          <w:sz w:val="16"/>
          <w:szCs w:val="16"/>
        </w:rPr>
        <w:t xml:space="preserve"> </w:t>
      </w:r>
      <w:r>
        <w:rPr>
          <w:rFonts w:ascii="微软雅黑" w:hAnsi="微软雅黑" w:eastAsia="微软雅黑" w:cs="微软雅黑"/>
          <w:spacing w:val="23"/>
          <w:sz w:val="16"/>
          <w:szCs w:val="16"/>
        </w:rPr>
        <w:t>议</w:t>
      </w:r>
      <w:r>
        <w:rPr>
          <w:rFonts w:ascii="微软雅黑" w:hAnsi="微软雅黑" w:eastAsia="微软雅黑" w:cs="微软雅黑"/>
          <w:spacing w:val="-17"/>
          <w:sz w:val="16"/>
          <w:szCs w:val="16"/>
        </w:rPr>
        <w:t xml:space="preserve"> </w:t>
      </w:r>
      <w:r>
        <w:rPr>
          <w:rFonts w:ascii="微软雅黑" w:hAnsi="微软雅黑" w:eastAsia="微软雅黑" w:cs="微软雅黑"/>
          <w:spacing w:val="23"/>
          <w:sz w:val="16"/>
          <w:szCs w:val="16"/>
        </w:rPr>
        <w:t>制</w:t>
      </w:r>
      <w:r>
        <w:rPr>
          <w:rFonts w:ascii="微软雅黑" w:hAnsi="微软雅黑" w:eastAsia="微软雅黑" w:cs="微软雅黑"/>
          <w:spacing w:val="-19"/>
          <w:sz w:val="16"/>
          <w:szCs w:val="16"/>
        </w:rPr>
        <w:t xml:space="preserve"> </w:t>
      </w:r>
      <w:r>
        <w:rPr>
          <w:rFonts w:ascii="微软雅黑" w:hAnsi="微软雅黑" w:eastAsia="微软雅黑" w:cs="微软雅黑"/>
          <w:spacing w:val="23"/>
          <w:sz w:val="16"/>
          <w:szCs w:val="16"/>
        </w:rPr>
        <w:t>决</w:t>
      </w:r>
      <w:r>
        <w:rPr>
          <w:rFonts w:ascii="微软雅黑" w:hAnsi="微软雅黑" w:eastAsia="微软雅黑" w:cs="微软雅黑"/>
          <w:spacing w:val="-19"/>
          <w:sz w:val="16"/>
          <w:szCs w:val="16"/>
        </w:rPr>
        <w:t xml:space="preserve"> </w:t>
      </w:r>
      <w:r>
        <w:rPr>
          <w:rFonts w:ascii="微软雅黑" w:hAnsi="微软雅黑" w:eastAsia="微软雅黑" w:cs="微软雅黑"/>
          <w:spacing w:val="23"/>
          <w:sz w:val="16"/>
          <w:szCs w:val="16"/>
        </w:rPr>
        <w:t>定</w:t>
      </w:r>
      <w:r>
        <w:rPr>
          <w:rFonts w:ascii="微软雅黑" w:hAnsi="微软雅黑" w:eastAsia="微软雅黑" w:cs="微软雅黑"/>
          <w:spacing w:val="-17"/>
          <w:sz w:val="16"/>
          <w:szCs w:val="16"/>
        </w:rPr>
        <w:t xml:space="preserve"> </w:t>
      </w:r>
      <w:r>
        <w:rPr>
          <w:rFonts w:ascii="微软雅黑" w:hAnsi="微软雅黑" w:eastAsia="微软雅黑" w:cs="微软雅黑"/>
          <w:spacing w:val="23"/>
          <w:sz w:val="16"/>
          <w:szCs w:val="16"/>
        </w:rPr>
        <w:t>学</w:t>
      </w:r>
      <w:r>
        <w:rPr>
          <w:rFonts w:ascii="微软雅黑" w:hAnsi="微软雅黑" w:eastAsia="微软雅黑" w:cs="微软雅黑"/>
          <w:spacing w:val="-4"/>
          <w:sz w:val="16"/>
          <w:szCs w:val="16"/>
        </w:rPr>
        <w:t xml:space="preserve"> </w:t>
      </w:r>
      <w:r>
        <w:rPr>
          <w:rFonts w:ascii="微软雅黑" w:hAnsi="微软雅黑" w:eastAsia="微软雅黑" w:cs="微软雅黑"/>
          <w:spacing w:val="23"/>
          <w:sz w:val="16"/>
          <w:szCs w:val="16"/>
        </w:rPr>
        <w:t>院</w:t>
      </w:r>
      <w:r>
        <w:rPr>
          <w:rFonts w:ascii="微软雅黑" w:hAnsi="微软雅黑" w:eastAsia="微软雅黑" w:cs="微软雅黑"/>
          <w:spacing w:val="-3"/>
          <w:sz w:val="16"/>
          <w:szCs w:val="16"/>
        </w:rPr>
        <w:t xml:space="preserve"> </w:t>
      </w:r>
      <w:r>
        <w:rPr>
          <w:rFonts w:ascii="微软雅黑" w:hAnsi="微软雅黑" w:eastAsia="微软雅黑" w:cs="微软雅黑"/>
          <w:spacing w:val="23"/>
          <w:sz w:val="16"/>
          <w:szCs w:val="16"/>
        </w:rPr>
        <w:t>的</w:t>
      </w:r>
      <w:r>
        <w:rPr>
          <w:rFonts w:ascii="微软雅黑" w:hAnsi="微软雅黑" w:eastAsia="微软雅黑" w:cs="微软雅黑"/>
          <w:spacing w:val="-16"/>
          <w:sz w:val="16"/>
          <w:szCs w:val="16"/>
        </w:rPr>
        <w:t xml:space="preserve"> </w:t>
      </w:r>
      <w:r>
        <w:rPr>
          <w:rFonts w:ascii="微软雅黑" w:hAnsi="微软雅黑" w:eastAsia="微软雅黑" w:cs="微软雅黑"/>
          <w:spacing w:val="23"/>
          <w:sz w:val="16"/>
          <w:szCs w:val="16"/>
        </w:rPr>
        <w:t>学</w:t>
      </w:r>
      <w:r>
        <w:rPr>
          <w:rFonts w:ascii="微软雅黑" w:hAnsi="微软雅黑" w:eastAsia="微软雅黑" w:cs="微软雅黑"/>
          <w:spacing w:val="-19"/>
          <w:sz w:val="16"/>
          <w:szCs w:val="16"/>
        </w:rPr>
        <w:t xml:space="preserve"> </w:t>
      </w:r>
      <w:r>
        <w:rPr>
          <w:rFonts w:ascii="微软雅黑" w:hAnsi="微软雅黑" w:eastAsia="微软雅黑" w:cs="微软雅黑"/>
          <w:spacing w:val="23"/>
          <w:sz w:val="16"/>
          <w:szCs w:val="16"/>
        </w:rPr>
        <w:t>术</w:t>
      </w:r>
      <w:r>
        <w:rPr>
          <w:rFonts w:ascii="微软雅黑" w:hAnsi="微软雅黑" w:eastAsia="微软雅黑" w:cs="微软雅黑"/>
          <w:spacing w:val="-18"/>
          <w:sz w:val="16"/>
          <w:szCs w:val="16"/>
        </w:rPr>
        <w:t xml:space="preserve"> </w:t>
      </w:r>
      <w:r>
        <w:rPr>
          <w:rFonts w:ascii="微软雅黑" w:hAnsi="微软雅黑" w:eastAsia="微软雅黑" w:cs="微软雅黑"/>
          <w:spacing w:val="23"/>
          <w:sz w:val="16"/>
          <w:szCs w:val="16"/>
        </w:rPr>
        <w:t>规</w:t>
      </w:r>
      <w:r>
        <w:rPr>
          <w:rFonts w:ascii="微软雅黑" w:hAnsi="微软雅黑" w:eastAsia="微软雅黑" w:cs="微软雅黑"/>
          <w:spacing w:val="-18"/>
          <w:sz w:val="16"/>
          <w:szCs w:val="16"/>
        </w:rPr>
        <w:t xml:space="preserve"> </w:t>
      </w:r>
      <w:r>
        <w:rPr>
          <w:rFonts w:ascii="微软雅黑" w:hAnsi="微软雅黑" w:eastAsia="微软雅黑" w:cs="微软雅黑"/>
          <w:spacing w:val="23"/>
          <w:sz w:val="16"/>
          <w:szCs w:val="16"/>
        </w:rPr>
        <w:t>划</w:t>
      </w:r>
      <w:r>
        <w:rPr>
          <w:rFonts w:ascii="微软雅黑" w:hAnsi="微软雅黑" w:eastAsia="微软雅黑" w:cs="微软雅黑"/>
          <w:spacing w:val="-18"/>
          <w:sz w:val="16"/>
          <w:szCs w:val="16"/>
        </w:rPr>
        <w:t xml:space="preserve"> </w:t>
      </w:r>
      <w:r>
        <w:rPr>
          <w:rFonts w:ascii="微软雅黑" w:hAnsi="微软雅黑" w:eastAsia="微软雅黑" w:cs="微软雅黑"/>
          <w:spacing w:val="23"/>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30"/>
          <w:sz w:val="16"/>
          <w:szCs w:val="16"/>
        </w:rPr>
        <w:t>专业建设</w:t>
      </w:r>
      <w:r>
        <w:rPr>
          <w:rFonts w:ascii="微软雅黑" w:hAnsi="微软雅黑" w:eastAsia="微软雅黑" w:cs="微软雅黑"/>
          <w:spacing w:val="-3"/>
          <w:sz w:val="16"/>
          <w:szCs w:val="16"/>
        </w:rPr>
        <w:t xml:space="preserve"> </w:t>
      </w:r>
      <w:r>
        <w:rPr>
          <w:rFonts w:ascii="微软雅黑" w:hAnsi="微软雅黑" w:eastAsia="微软雅黑" w:cs="微软雅黑"/>
          <w:spacing w:val="30"/>
          <w:sz w:val="16"/>
          <w:szCs w:val="16"/>
        </w:rPr>
        <w:t>、教师发展</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、教学科研等工作</w:t>
      </w:r>
      <w:r>
        <w:rPr>
          <w:rFonts w:ascii="微软雅黑" w:hAnsi="微软雅黑" w:eastAsia="微软雅黑" w:cs="微软雅黑"/>
          <w:spacing w:val="-15"/>
          <w:sz w:val="16"/>
          <w:szCs w:val="16"/>
        </w:rPr>
        <w:t xml:space="preserve"> </w:t>
      </w:r>
      <w:r>
        <w:rPr>
          <w:rFonts w:ascii="微软雅黑" w:hAnsi="微软雅黑" w:eastAsia="微软雅黑" w:cs="微软雅黑"/>
          <w:spacing w:val="30"/>
          <w:sz w:val="16"/>
          <w:szCs w:val="16"/>
        </w:rPr>
        <w:t>。</w:t>
      </w:r>
    </w:p>
    <w:p>
      <w:pPr>
        <w:spacing w:before="88" w:line="236" w:lineRule="auto"/>
        <w:ind w:right="62" w:firstLine="484"/>
        <w:rPr>
          <w:rFonts w:ascii="微软雅黑" w:hAnsi="微软雅黑" w:eastAsia="微软雅黑" w:cs="微软雅黑"/>
          <w:sz w:val="16"/>
          <w:szCs w:val="16"/>
        </w:rPr>
      </w:pPr>
      <w:r>
        <w:rPr>
          <w:rFonts w:ascii="微软雅黑" w:hAnsi="微软雅黑" w:eastAsia="微软雅黑" w:cs="微软雅黑"/>
          <w:spacing w:val="28"/>
          <w:sz w:val="16"/>
          <w:szCs w:val="16"/>
        </w:rPr>
        <w:t>在质量管理实</w:t>
      </w:r>
      <w:r>
        <w:rPr>
          <w:rFonts w:ascii="微软雅黑" w:hAnsi="微软雅黑" w:eastAsia="微软雅黑" w:cs="微软雅黑"/>
          <w:spacing w:val="-15"/>
          <w:sz w:val="16"/>
          <w:szCs w:val="16"/>
        </w:rPr>
        <w:t xml:space="preserve"> </w:t>
      </w:r>
      <w:r>
        <w:rPr>
          <w:rFonts w:ascii="微软雅黑" w:hAnsi="微软雅黑" w:eastAsia="微软雅黑" w:cs="微软雅黑"/>
          <w:spacing w:val="28"/>
          <w:sz w:val="16"/>
          <w:szCs w:val="16"/>
        </w:rPr>
        <w:t>践 中</w:t>
      </w:r>
      <w:r>
        <w:rPr>
          <w:rFonts w:ascii="微软雅黑" w:hAnsi="微软雅黑" w:eastAsia="微软雅黑" w:cs="微软雅黑"/>
          <w:spacing w:val="-24"/>
          <w:sz w:val="16"/>
          <w:szCs w:val="16"/>
        </w:rPr>
        <w:t xml:space="preserve"> </w:t>
      </w:r>
      <w:r>
        <w:rPr>
          <w:rFonts w:ascii="微软雅黑" w:hAnsi="微软雅黑" w:eastAsia="微软雅黑" w:cs="微软雅黑"/>
          <w:spacing w:val="28"/>
          <w:sz w:val="16"/>
          <w:szCs w:val="16"/>
        </w:rPr>
        <w:t>，学</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校</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形</w:t>
      </w:r>
      <w:r>
        <w:rPr>
          <w:rFonts w:ascii="微软雅黑" w:hAnsi="微软雅黑" w:eastAsia="微软雅黑" w:cs="微软雅黑"/>
          <w:spacing w:val="-19"/>
          <w:sz w:val="16"/>
          <w:szCs w:val="16"/>
        </w:rPr>
        <w:t xml:space="preserve"> </w:t>
      </w:r>
      <w:r>
        <w:rPr>
          <w:rFonts w:ascii="微软雅黑" w:hAnsi="微软雅黑" w:eastAsia="微软雅黑" w:cs="微软雅黑"/>
          <w:spacing w:val="28"/>
          <w:sz w:val="16"/>
          <w:szCs w:val="16"/>
        </w:rPr>
        <w:t>成</w:t>
      </w:r>
      <w:r>
        <w:rPr>
          <w:rFonts w:ascii="微软雅黑" w:hAnsi="微软雅黑" w:eastAsia="微软雅黑" w:cs="微软雅黑"/>
          <w:spacing w:val="-2"/>
          <w:sz w:val="16"/>
          <w:szCs w:val="16"/>
        </w:rPr>
        <w:t xml:space="preserve"> </w:t>
      </w:r>
      <w:r>
        <w:rPr>
          <w:rFonts w:ascii="微软雅黑" w:hAnsi="微软雅黑" w:eastAsia="微软雅黑" w:cs="微软雅黑"/>
          <w:spacing w:val="28"/>
          <w:sz w:val="16"/>
          <w:szCs w:val="16"/>
        </w:rPr>
        <w:t>了</w:t>
      </w:r>
      <w:r>
        <w:rPr>
          <w:rFonts w:ascii="微软雅黑" w:hAnsi="微软雅黑" w:eastAsia="微软雅黑" w:cs="微软雅黑"/>
          <w:spacing w:val="-20"/>
          <w:sz w:val="16"/>
          <w:szCs w:val="16"/>
        </w:rPr>
        <w:t xml:space="preserve"> </w:t>
      </w:r>
      <w:r>
        <w:rPr>
          <w:rFonts w:ascii="微软雅黑" w:hAnsi="微软雅黑" w:eastAsia="微软雅黑" w:cs="微软雅黑"/>
          <w:spacing w:val="28"/>
          <w:sz w:val="16"/>
          <w:szCs w:val="16"/>
        </w:rPr>
        <w:t>具</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有</w:t>
      </w:r>
      <w:r>
        <w:rPr>
          <w:rFonts w:ascii="微软雅黑" w:hAnsi="微软雅黑" w:eastAsia="微软雅黑" w:cs="微软雅黑"/>
          <w:spacing w:val="-16"/>
          <w:sz w:val="16"/>
          <w:szCs w:val="16"/>
        </w:rPr>
        <w:t xml:space="preserve"> </w:t>
      </w:r>
      <w:r>
        <w:rPr>
          <w:rFonts w:ascii="微软雅黑" w:hAnsi="微软雅黑" w:eastAsia="微软雅黑" w:cs="微软雅黑"/>
          <w:spacing w:val="28"/>
          <w:sz w:val="16"/>
          <w:szCs w:val="16"/>
        </w:rPr>
        <w:t>学</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校</w:t>
      </w:r>
      <w:r>
        <w:rPr>
          <w:rFonts w:ascii="微软雅黑" w:hAnsi="微软雅黑" w:eastAsia="微软雅黑" w:cs="微软雅黑"/>
          <w:spacing w:val="-19"/>
          <w:sz w:val="16"/>
          <w:szCs w:val="16"/>
        </w:rPr>
        <w:t xml:space="preserve"> </w:t>
      </w:r>
      <w:r>
        <w:rPr>
          <w:rFonts w:ascii="微软雅黑" w:hAnsi="微软雅黑" w:eastAsia="微软雅黑" w:cs="微软雅黑"/>
          <w:spacing w:val="28"/>
          <w:sz w:val="16"/>
          <w:szCs w:val="16"/>
        </w:rPr>
        <w:t>创</w:t>
      </w:r>
      <w:r>
        <w:rPr>
          <w:rFonts w:ascii="微软雅黑" w:hAnsi="微软雅黑" w:eastAsia="微软雅黑" w:cs="微软雅黑"/>
          <w:spacing w:val="-20"/>
          <w:sz w:val="16"/>
          <w:szCs w:val="16"/>
        </w:rPr>
        <w:t xml:space="preserve"> </w:t>
      </w:r>
      <w:r>
        <w:rPr>
          <w:rFonts w:ascii="微软雅黑" w:hAnsi="微软雅黑" w:eastAsia="微软雅黑" w:cs="微软雅黑"/>
          <w:spacing w:val="28"/>
          <w:sz w:val="16"/>
          <w:szCs w:val="16"/>
        </w:rPr>
        <w:t>新</w:t>
      </w:r>
      <w:r>
        <w:rPr>
          <w:rFonts w:ascii="微软雅黑" w:hAnsi="微软雅黑" w:eastAsia="微软雅黑" w:cs="微软雅黑"/>
          <w:sz w:val="16"/>
          <w:szCs w:val="16"/>
        </w:rPr>
        <w:t xml:space="preserve"> </w:t>
      </w:r>
      <w:r>
        <w:rPr>
          <w:rFonts w:ascii="微软雅黑" w:hAnsi="微软雅黑" w:eastAsia="微软雅黑" w:cs="微软雅黑"/>
          <w:spacing w:val="9"/>
          <w:w w:val="125"/>
          <w:sz w:val="16"/>
          <w:szCs w:val="16"/>
        </w:rPr>
        <w:t>特色和文化基因的质量管理体系</w:t>
      </w:r>
      <w:r>
        <w:rPr>
          <w:rFonts w:ascii="微软雅黑" w:hAnsi="微软雅黑" w:eastAsia="微软雅黑" w:cs="微软雅黑"/>
          <w:spacing w:val="1"/>
          <w:sz w:val="16"/>
          <w:szCs w:val="16"/>
        </w:rPr>
        <w:t xml:space="preserve"> </w:t>
      </w:r>
      <w:r>
        <w:rPr>
          <w:rFonts w:ascii="微软雅黑" w:hAnsi="微软雅黑" w:eastAsia="微软雅黑" w:cs="微软雅黑"/>
          <w:spacing w:val="9"/>
          <w:w w:val="125"/>
          <w:sz w:val="16"/>
          <w:szCs w:val="16"/>
        </w:rPr>
        <w:t>。</w:t>
      </w:r>
      <w:r>
        <w:rPr>
          <w:rFonts w:ascii="微软雅黑" w:hAnsi="微软雅黑" w:eastAsia="微软雅黑" w:cs="微软雅黑"/>
          <w:spacing w:val="-11"/>
          <w:sz w:val="16"/>
          <w:szCs w:val="16"/>
        </w:rPr>
        <w:t xml:space="preserve"> </w:t>
      </w:r>
      <w:r>
        <w:rPr>
          <w:rFonts w:ascii="微软雅黑" w:hAnsi="微软雅黑" w:eastAsia="微软雅黑" w:cs="微软雅黑"/>
          <w:spacing w:val="9"/>
          <w:w w:val="125"/>
          <w:sz w:val="16"/>
          <w:szCs w:val="16"/>
        </w:rPr>
        <w:t>但是在质量管理</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实践的调研中发现</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，学校质量 目</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标</w:t>
      </w:r>
      <w:r>
        <w:rPr>
          <w:rFonts w:ascii="微软雅黑" w:hAnsi="微软雅黑" w:eastAsia="微软雅黑" w:cs="微软雅黑"/>
          <w:spacing w:val="-12"/>
          <w:sz w:val="16"/>
          <w:szCs w:val="16"/>
        </w:rPr>
        <w:t xml:space="preserve"> </w:t>
      </w:r>
      <w:r>
        <w:rPr>
          <w:rFonts w:ascii="微软雅黑" w:hAnsi="微软雅黑" w:eastAsia="微软雅黑" w:cs="微软雅黑"/>
          <w:spacing w:val="36"/>
          <w:sz w:val="16"/>
          <w:szCs w:val="16"/>
        </w:rPr>
        <w:t>和</w:t>
      </w:r>
      <w:r>
        <w:rPr>
          <w:rFonts w:ascii="微软雅黑" w:hAnsi="微软雅黑" w:eastAsia="微软雅黑" w:cs="微软雅黑"/>
          <w:spacing w:val="-11"/>
          <w:sz w:val="16"/>
          <w:szCs w:val="16"/>
        </w:rPr>
        <w:t xml:space="preserve"> </w:t>
      </w:r>
      <w:r>
        <w:rPr>
          <w:rFonts w:ascii="微软雅黑" w:hAnsi="微软雅黑" w:eastAsia="微软雅黑" w:cs="微软雅黑"/>
          <w:spacing w:val="36"/>
          <w:sz w:val="16"/>
          <w:szCs w:val="16"/>
        </w:rPr>
        <w:t>和</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标</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准</w:t>
      </w:r>
      <w:r>
        <w:rPr>
          <w:rFonts w:ascii="微软雅黑" w:hAnsi="微软雅黑" w:eastAsia="微软雅黑" w:cs="微软雅黑"/>
          <w:spacing w:val="-8"/>
          <w:sz w:val="16"/>
          <w:szCs w:val="16"/>
        </w:rPr>
        <w:t xml:space="preserve"> </w:t>
      </w:r>
      <w:r>
        <w:rPr>
          <w:rFonts w:ascii="微软雅黑" w:hAnsi="微软雅黑" w:eastAsia="微软雅黑" w:cs="微软雅黑"/>
          <w:spacing w:val="36"/>
          <w:sz w:val="16"/>
          <w:szCs w:val="16"/>
        </w:rPr>
        <w:t>刚</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性</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不</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够</w:t>
      </w:r>
      <w:r>
        <w:rPr>
          <w:rFonts w:ascii="微软雅黑" w:hAnsi="微软雅黑" w:eastAsia="微软雅黑" w:cs="微软雅黑"/>
          <w:spacing w:val="-13"/>
          <w:sz w:val="16"/>
          <w:szCs w:val="16"/>
        </w:rPr>
        <w:t xml:space="preserve"> </w:t>
      </w:r>
      <w:r>
        <w:rPr>
          <w:rFonts w:ascii="微软雅黑" w:hAnsi="微软雅黑" w:eastAsia="微软雅黑" w:cs="微软雅黑"/>
          <w:spacing w:val="39"/>
          <w:sz w:val="16"/>
          <w:szCs w:val="16"/>
        </w:rPr>
        <w:t>，进而导致实践工作的落地</w:t>
      </w:r>
      <w:r>
        <w:rPr>
          <w:rFonts w:ascii="微软雅黑" w:hAnsi="微软雅黑" w:eastAsia="微软雅黑" w:cs="微软雅黑"/>
          <w:spacing w:val="-18"/>
          <w:sz w:val="16"/>
          <w:szCs w:val="16"/>
        </w:rPr>
        <w:t xml:space="preserve"> </w:t>
      </w:r>
      <w:r>
        <w:rPr>
          <w:rFonts w:ascii="微软雅黑" w:hAnsi="微软雅黑" w:eastAsia="微软雅黑" w:cs="微软雅黑"/>
          <w:spacing w:val="39"/>
          <w:sz w:val="16"/>
          <w:szCs w:val="16"/>
        </w:rPr>
        <w:t>标</w:t>
      </w:r>
      <w:r>
        <w:rPr>
          <w:rFonts w:ascii="微软雅黑" w:hAnsi="微软雅黑" w:eastAsia="微软雅黑" w:cs="微软雅黑"/>
          <w:spacing w:val="-15"/>
          <w:sz w:val="16"/>
          <w:szCs w:val="16"/>
        </w:rPr>
        <w:t xml:space="preserve"> </w:t>
      </w:r>
      <w:r>
        <w:rPr>
          <w:rFonts w:ascii="微软雅黑" w:hAnsi="微软雅黑" w:eastAsia="微软雅黑" w:cs="微软雅黑"/>
          <w:spacing w:val="39"/>
          <w:sz w:val="16"/>
          <w:szCs w:val="16"/>
        </w:rPr>
        <w:t>准</w:t>
      </w:r>
      <w:r>
        <w:rPr>
          <w:rFonts w:ascii="微软雅黑" w:hAnsi="微软雅黑" w:eastAsia="微软雅黑" w:cs="微软雅黑"/>
          <w:spacing w:val="-12"/>
          <w:sz w:val="16"/>
          <w:szCs w:val="16"/>
        </w:rPr>
        <w:t xml:space="preserve"> </w:t>
      </w:r>
      <w:r>
        <w:rPr>
          <w:rFonts w:ascii="微软雅黑" w:hAnsi="微软雅黑" w:eastAsia="微软雅黑" w:cs="微软雅黑"/>
          <w:spacing w:val="39"/>
          <w:sz w:val="16"/>
          <w:szCs w:val="16"/>
        </w:rPr>
        <w:t>和</w:t>
      </w:r>
      <w:r>
        <w:rPr>
          <w:rFonts w:ascii="微软雅黑" w:hAnsi="微软雅黑" w:eastAsia="微软雅黑" w:cs="微软雅黑"/>
          <w:spacing w:val="-18"/>
          <w:sz w:val="16"/>
          <w:szCs w:val="16"/>
        </w:rPr>
        <w:t xml:space="preserve"> </w:t>
      </w:r>
      <w:r>
        <w:rPr>
          <w:rFonts w:ascii="微软雅黑" w:hAnsi="微软雅黑" w:eastAsia="微软雅黑" w:cs="微软雅黑"/>
          <w:spacing w:val="39"/>
          <w:sz w:val="16"/>
          <w:szCs w:val="16"/>
        </w:rPr>
        <w:t>成</w:t>
      </w:r>
      <w:r>
        <w:rPr>
          <w:rFonts w:ascii="微软雅黑" w:hAnsi="微软雅黑" w:eastAsia="微软雅黑" w:cs="微软雅黑"/>
          <w:spacing w:val="-19"/>
          <w:sz w:val="16"/>
          <w:szCs w:val="16"/>
        </w:rPr>
        <w:t xml:space="preserve"> </w:t>
      </w:r>
      <w:r>
        <w:rPr>
          <w:rFonts w:ascii="微软雅黑" w:hAnsi="微软雅黑" w:eastAsia="微软雅黑" w:cs="微软雅黑"/>
          <w:spacing w:val="39"/>
          <w:sz w:val="16"/>
          <w:szCs w:val="16"/>
        </w:rPr>
        <w:t>果</w:t>
      </w:r>
      <w:r>
        <w:rPr>
          <w:rFonts w:ascii="微软雅黑" w:hAnsi="微软雅黑" w:eastAsia="微软雅黑" w:cs="微软雅黑"/>
          <w:spacing w:val="-20"/>
          <w:sz w:val="16"/>
          <w:szCs w:val="16"/>
        </w:rPr>
        <w:t xml:space="preserve"> </w:t>
      </w:r>
      <w:r>
        <w:rPr>
          <w:rFonts w:ascii="微软雅黑" w:hAnsi="微软雅黑" w:eastAsia="微软雅黑" w:cs="微软雅黑"/>
          <w:spacing w:val="39"/>
          <w:sz w:val="16"/>
          <w:szCs w:val="16"/>
        </w:rPr>
        <w:t>要</w:t>
      </w:r>
      <w:r>
        <w:rPr>
          <w:rFonts w:ascii="微软雅黑" w:hAnsi="微软雅黑" w:eastAsia="微软雅黑" w:cs="微软雅黑"/>
          <w:spacing w:val="-19"/>
          <w:sz w:val="16"/>
          <w:szCs w:val="16"/>
        </w:rPr>
        <w:t xml:space="preserve"> </w:t>
      </w:r>
      <w:r>
        <w:rPr>
          <w:rFonts w:ascii="微软雅黑" w:hAnsi="微软雅黑" w:eastAsia="微软雅黑" w:cs="微软雅黑"/>
          <w:spacing w:val="39"/>
          <w:sz w:val="16"/>
          <w:szCs w:val="16"/>
        </w:rPr>
        <w:t>求</w:t>
      </w:r>
      <w:r>
        <w:rPr>
          <w:rFonts w:ascii="微软雅黑" w:hAnsi="微软雅黑" w:eastAsia="微软雅黑" w:cs="微软雅黑"/>
          <w:spacing w:val="-18"/>
          <w:sz w:val="16"/>
          <w:szCs w:val="16"/>
        </w:rPr>
        <w:t xml:space="preserve"> </w:t>
      </w:r>
      <w:r>
        <w:rPr>
          <w:rFonts w:ascii="微软雅黑" w:hAnsi="微软雅黑" w:eastAsia="微软雅黑" w:cs="微软雅黑"/>
          <w:spacing w:val="39"/>
          <w:sz w:val="16"/>
          <w:szCs w:val="16"/>
        </w:rPr>
        <w:t>不</w:t>
      </w:r>
      <w:r>
        <w:rPr>
          <w:rFonts w:ascii="微软雅黑" w:hAnsi="微软雅黑" w:eastAsia="微软雅黑" w:cs="微软雅黑"/>
          <w:spacing w:val="-17"/>
          <w:sz w:val="16"/>
          <w:szCs w:val="16"/>
        </w:rPr>
        <w:t xml:space="preserve"> </w:t>
      </w:r>
      <w:r>
        <w:rPr>
          <w:rFonts w:ascii="微软雅黑" w:hAnsi="微软雅黑" w:eastAsia="微软雅黑" w:cs="微软雅黑"/>
          <w:spacing w:val="39"/>
          <w:sz w:val="16"/>
          <w:szCs w:val="16"/>
        </w:rPr>
        <w:t>够</w:t>
      </w:r>
      <w:r>
        <w:rPr>
          <w:rFonts w:ascii="微软雅黑" w:hAnsi="微软雅黑" w:eastAsia="微软雅黑" w:cs="微软雅黑"/>
          <w:sz w:val="16"/>
          <w:szCs w:val="16"/>
        </w:rPr>
        <w:t xml:space="preserve"> </w:t>
      </w:r>
      <w:r>
        <w:rPr>
          <w:rFonts w:ascii="微软雅黑" w:hAnsi="微软雅黑" w:eastAsia="微软雅黑" w:cs="微软雅黑"/>
          <w:spacing w:val="27"/>
          <w:sz w:val="16"/>
          <w:szCs w:val="16"/>
        </w:rPr>
        <w:t>（如表</w:t>
      </w:r>
      <w:r>
        <w:rPr>
          <w:rFonts w:ascii="微软雅黑" w:hAnsi="微软雅黑" w:eastAsia="微软雅黑" w:cs="微软雅黑"/>
          <w:spacing w:val="30"/>
          <w:sz w:val="16"/>
          <w:szCs w:val="16"/>
        </w:rPr>
        <w:t xml:space="preserve"> </w:t>
      </w:r>
      <w:r>
        <w:rPr>
          <w:rFonts w:ascii="Arial" w:hAnsi="Arial" w:eastAsia="Arial" w:cs="Arial"/>
          <w:spacing w:val="27"/>
          <w:sz w:val="16"/>
          <w:szCs w:val="16"/>
        </w:rPr>
        <w:t>3</w:t>
      </w:r>
      <w:r>
        <w:rPr>
          <w:rFonts w:ascii="微软雅黑" w:hAnsi="微软雅黑" w:eastAsia="微软雅黑" w:cs="微软雅黑"/>
          <w:spacing w:val="27"/>
          <w:sz w:val="16"/>
          <w:szCs w:val="16"/>
        </w:rPr>
        <w:t>所示）。</w:t>
      </w:r>
    </w:p>
    <w:p>
      <w:pPr>
        <w:spacing w:line="236" w:lineRule="auto"/>
        <w:rPr>
          <w:rFonts w:ascii="微软雅黑" w:hAnsi="微软雅黑" w:eastAsia="微软雅黑" w:cs="微软雅黑"/>
          <w:sz w:val="16"/>
          <w:szCs w:val="16"/>
        </w:rPr>
        <w:sectPr>
          <w:type w:val="continuous"/>
          <w:pgSz w:w="12246" w:h="16498"/>
          <w:pgMar w:top="400" w:right="1245" w:bottom="547" w:left="407" w:header="0" w:footer="354" w:gutter="0"/>
          <w:cols w:equalWidth="0" w:num="2">
            <w:col w:w="5746" w:space="100"/>
            <w:col w:w="4747"/>
          </w:cols>
        </w:sectPr>
      </w:pPr>
    </w:p>
    <w:p>
      <w:pPr>
        <w:spacing w:before="147" w:line="136" w:lineRule="exact"/>
        <w:ind w:left="10178"/>
        <w:rPr>
          <w:rFonts w:ascii="Arial" w:hAnsi="Arial" w:eastAsia="Arial" w:cs="Arial"/>
          <w:sz w:val="19"/>
          <w:szCs w:val="19"/>
        </w:rPr>
      </w:pPr>
      <w:r>
        <w:rPr>
          <w:rFonts w:ascii="Arial" w:hAnsi="Arial" w:eastAsia="Arial" w:cs="Arial"/>
          <w:spacing w:val="-17"/>
          <w:position w:val="-3"/>
          <w:sz w:val="19"/>
          <w:szCs w:val="19"/>
        </w:rPr>
        <w:t>71</w:t>
      </w:r>
    </w:p>
    <w:p>
      <w:pPr>
        <w:spacing w:line="136" w:lineRule="exact"/>
        <w:rPr>
          <w:rFonts w:ascii="Arial" w:hAnsi="Arial" w:eastAsia="Arial" w:cs="Arial"/>
          <w:sz w:val="19"/>
          <w:szCs w:val="19"/>
        </w:rPr>
        <w:sectPr>
          <w:type w:val="continuous"/>
          <w:pgSz w:w="12246" w:h="16498"/>
          <w:pgMar w:top="400" w:right="1245" w:bottom="547" w:left="407" w:header="0" w:footer="354" w:gutter="0"/>
          <w:cols w:equalWidth="0" w:num="1">
            <w:col w:w="10592"/>
          </w:cols>
        </w:sectPr>
      </w:pPr>
    </w:p>
    <w:p>
      <w:pPr>
        <w:spacing w:before="25"/>
      </w:pPr>
    </w:p>
    <w:p>
      <w:pPr>
        <w:spacing w:before="25"/>
      </w:pPr>
    </w:p>
    <w:p>
      <w:pPr>
        <w:spacing w:before="25"/>
      </w:pPr>
    </w:p>
    <w:p>
      <w:pPr>
        <w:sectPr>
          <w:footerReference r:id="rId60" w:type="default"/>
          <w:pgSz w:w="12246" w:h="16498"/>
          <w:pgMar w:top="400" w:right="1245" w:bottom="547" w:left="407" w:header="0" w:footer="354" w:gutter="0"/>
          <w:cols w:equalWidth="0" w:num="1">
            <w:col w:w="10593"/>
          </w:cols>
        </w:sectPr>
      </w:pPr>
    </w:p>
    <w:p>
      <w:pPr>
        <w:spacing w:before="38" w:line="207" w:lineRule="auto"/>
        <w:ind w:left="1357"/>
        <w:rPr>
          <w:rFonts w:ascii="微软雅黑" w:hAnsi="微软雅黑" w:eastAsia="微软雅黑" w:cs="微软雅黑"/>
          <w:sz w:val="16"/>
          <w:szCs w:val="16"/>
        </w:rPr>
      </w:pPr>
      <w:r>
        <w:rPr>
          <w:rFonts w:ascii="微软雅黑" w:hAnsi="微软雅黑" w:eastAsia="微软雅黑" w:cs="微软雅黑"/>
          <w:spacing w:val="13"/>
          <w:sz w:val="16"/>
          <w:szCs w:val="16"/>
        </w:rPr>
        <w:t>表</w:t>
      </w:r>
      <w:r>
        <w:rPr>
          <w:rFonts w:ascii="微软雅黑" w:hAnsi="微软雅黑" w:eastAsia="微软雅黑" w:cs="微软雅黑"/>
          <w:spacing w:val="19"/>
          <w:w w:val="101"/>
          <w:sz w:val="16"/>
          <w:szCs w:val="16"/>
        </w:rPr>
        <w:t xml:space="preserve"> </w:t>
      </w:r>
      <w:r>
        <w:rPr>
          <w:rFonts w:ascii="微软雅黑" w:hAnsi="微软雅黑" w:eastAsia="微软雅黑" w:cs="微软雅黑"/>
          <w:spacing w:val="13"/>
          <w:sz w:val="16"/>
          <w:szCs w:val="16"/>
        </w:rPr>
        <w:t>3    学校质量管理中存在问题的调研</w:t>
      </w:r>
      <w:r>
        <w:rPr>
          <w:rFonts w:ascii="微软雅黑" w:hAnsi="微软雅黑" w:eastAsia="微软雅黑" w:cs="微软雅黑"/>
          <w:spacing w:val="12"/>
          <w:sz w:val="16"/>
          <w:szCs w:val="16"/>
        </w:rPr>
        <w:t>分析( %)</w:t>
      </w:r>
    </w:p>
    <w:p>
      <w:pPr>
        <w:spacing w:line="35" w:lineRule="exact"/>
      </w:pPr>
    </w:p>
    <w:tbl>
      <w:tblPr>
        <w:tblStyle w:val="5"/>
        <w:tblW w:w="4640" w:type="dxa"/>
        <w:tblInd w:w="8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26"/>
        <w:gridCol w:w="629"/>
        <w:gridCol w:w="719"/>
        <w:gridCol w:w="7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2526" w:type="dxa"/>
            <w:tcBorders>
              <w:top w:val="single" w:color="000000" w:sz="6" w:space="0"/>
              <w:left w:val="single" w:color="000000" w:sz="6" w:space="0"/>
            </w:tcBorders>
            <w:vAlign w:val="top"/>
          </w:tcPr>
          <w:p>
            <w:pPr>
              <w:rPr>
                <w:rFonts w:ascii="Arial"/>
                <w:sz w:val="21"/>
              </w:rPr>
            </w:pPr>
          </w:p>
        </w:tc>
        <w:tc>
          <w:tcPr>
            <w:tcW w:w="629" w:type="dxa"/>
            <w:tcBorders>
              <w:top w:val="single" w:color="000000" w:sz="6" w:space="0"/>
            </w:tcBorders>
            <w:vAlign w:val="top"/>
          </w:tcPr>
          <w:p>
            <w:pPr>
              <w:pStyle w:val="6"/>
              <w:spacing w:before="52" w:line="173" w:lineRule="auto"/>
              <w:ind w:left="231"/>
              <w:rPr>
                <w:sz w:val="16"/>
                <w:szCs w:val="16"/>
              </w:rPr>
            </w:pPr>
            <w:r>
              <w:rPr>
                <w:spacing w:val="4"/>
                <w:sz w:val="16"/>
                <w:szCs w:val="16"/>
              </w:rPr>
              <w:t>是</w:t>
            </w:r>
          </w:p>
        </w:tc>
        <w:tc>
          <w:tcPr>
            <w:tcW w:w="719" w:type="dxa"/>
            <w:tcBorders>
              <w:top w:val="single" w:color="000000" w:sz="6" w:space="0"/>
            </w:tcBorders>
            <w:vAlign w:val="top"/>
          </w:tcPr>
          <w:p>
            <w:pPr>
              <w:pStyle w:val="6"/>
              <w:spacing w:before="52" w:line="173" w:lineRule="auto"/>
              <w:ind w:left="282"/>
              <w:rPr>
                <w:sz w:val="16"/>
                <w:szCs w:val="16"/>
              </w:rPr>
            </w:pPr>
            <w:r>
              <w:rPr>
                <w:sz w:val="16"/>
                <w:szCs w:val="16"/>
              </w:rPr>
              <w:t>否</w:t>
            </w:r>
          </w:p>
        </w:tc>
        <w:tc>
          <w:tcPr>
            <w:tcW w:w="766" w:type="dxa"/>
            <w:tcBorders>
              <w:top w:val="single" w:color="000000" w:sz="6" w:space="0"/>
              <w:right w:val="single" w:color="000000" w:sz="6" w:space="0"/>
            </w:tcBorders>
            <w:vAlign w:val="top"/>
          </w:tcPr>
          <w:p>
            <w:pPr>
              <w:pStyle w:val="6"/>
              <w:spacing w:before="52" w:line="173" w:lineRule="auto"/>
              <w:ind w:left="129"/>
              <w:rPr>
                <w:sz w:val="16"/>
                <w:szCs w:val="16"/>
              </w:rPr>
            </w:pPr>
            <w:r>
              <w:rPr>
                <w:spacing w:val="11"/>
                <w:sz w:val="16"/>
                <w:szCs w:val="16"/>
              </w:rPr>
              <w:t>不确定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2526" w:type="dxa"/>
            <w:tcBorders>
              <w:left w:val="single" w:color="000000" w:sz="6" w:space="0"/>
            </w:tcBorders>
            <w:vAlign w:val="top"/>
          </w:tcPr>
          <w:p>
            <w:pPr>
              <w:pStyle w:val="6"/>
              <w:spacing w:before="74" w:line="196" w:lineRule="auto"/>
              <w:ind w:left="121" w:right="109" w:hanging="15"/>
              <w:rPr>
                <w:sz w:val="16"/>
                <w:szCs w:val="16"/>
              </w:rPr>
            </w:pPr>
            <w:r>
              <w:rPr>
                <w:spacing w:val="4"/>
                <w:sz w:val="16"/>
                <w:szCs w:val="16"/>
              </w:rPr>
              <w:t>例</w:t>
            </w:r>
            <w:r>
              <w:rPr>
                <w:spacing w:val="-25"/>
                <w:sz w:val="16"/>
                <w:szCs w:val="16"/>
              </w:rPr>
              <w:t xml:space="preserve"> </w:t>
            </w:r>
            <w:r>
              <w:rPr>
                <w:spacing w:val="4"/>
                <w:sz w:val="16"/>
                <w:szCs w:val="16"/>
              </w:rPr>
              <w:t>行</w:t>
            </w:r>
            <w:r>
              <w:rPr>
                <w:spacing w:val="-13"/>
                <w:sz w:val="16"/>
                <w:szCs w:val="16"/>
              </w:rPr>
              <w:t xml:space="preserve"> </w:t>
            </w:r>
            <w:r>
              <w:rPr>
                <w:spacing w:val="4"/>
                <w:sz w:val="16"/>
                <w:szCs w:val="16"/>
              </w:rPr>
              <w:t>工</w:t>
            </w:r>
            <w:r>
              <w:rPr>
                <w:spacing w:val="-14"/>
                <w:sz w:val="16"/>
                <w:szCs w:val="16"/>
              </w:rPr>
              <w:t xml:space="preserve"> </w:t>
            </w:r>
            <w:r>
              <w:rPr>
                <w:spacing w:val="4"/>
                <w:sz w:val="16"/>
                <w:szCs w:val="16"/>
              </w:rPr>
              <w:t>作</w:t>
            </w:r>
            <w:r>
              <w:rPr>
                <w:spacing w:val="-12"/>
                <w:sz w:val="16"/>
                <w:szCs w:val="16"/>
              </w:rPr>
              <w:t xml:space="preserve"> </w:t>
            </w:r>
            <w:r>
              <w:rPr>
                <w:spacing w:val="4"/>
                <w:sz w:val="16"/>
                <w:szCs w:val="16"/>
              </w:rPr>
              <w:t>有</w:t>
            </w:r>
            <w:r>
              <w:rPr>
                <w:spacing w:val="-13"/>
                <w:sz w:val="16"/>
                <w:szCs w:val="16"/>
              </w:rPr>
              <w:t xml:space="preserve"> </w:t>
            </w:r>
            <w:r>
              <w:rPr>
                <w:spacing w:val="4"/>
                <w:sz w:val="16"/>
                <w:szCs w:val="16"/>
              </w:rPr>
              <w:t>近</w:t>
            </w:r>
            <w:r>
              <w:rPr>
                <w:spacing w:val="36"/>
                <w:w w:val="101"/>
                <w:sz w:val="16"/>
                <w:szCs w:val="16"/>
              </w:rPr>
              <w:t xml:space="preserve"> </w:t>
            </w:r>
            <w:r>
              <w:rPr>
                <w:spacing w:val="4"/>
                <w:sz w:val="16"/>
                <w:szCs w:val="16"/>
              </w:rPr>
              <w:t>3年 的</w:t>
            </w:r>
            <w:r>
              <w:rPr>
                <w:spacing w:val="-17"/>
                <w:sz w:val="16"/>
                <w:szCs w:val="16"/>
              </w:rPr>
              <w:t xml:space="preserve"> </w:t>
            </w:r>
            <w:r>
              <w:rPr>
                <w:spacing w:val="4"/>
                <w:sz w:val="16"/>
                <w:szCs w:val="16"/>
              </w:rPr>
              <w:t>数</w:t>
            </w:r>
            <w:r>
              <w:rPr>
                <w:spacing w:val="-9"/>
                <w:sz w:val="16"/>
                <w:szCs w:val="16"/>
              </w:rPr>
              <w:t xml:space="preserve"> </w:t>
            </w:r>
            <w:r>
              <w:rPr>
                <w:spacing w:val="4"/>
                <w:sz w:val="16"/>
                <w:szCs w:val="16"/>
              </w:rPr>
              <w:t>据</w:t>
            </w:r>
            <w:r>
              <w:rPr>
                <w:spacing w:val="-14"/>
                <w:sz w:val="16"/>
                <w:szCs w:val="16"/>
              </w:rPr>
              <w:t xml:space="preserve"> </w:t>
            </w:r>
            <w:r>
              <w:rPr>
                <w:spacing w:val="4"/>
                <w:sz w:val="16"/>
                <w:szCs w:val="16"/>
              </w:rPr>
              <w:t>或</w:t>
            </w:r>
            <w:r>
              <w:rPr>
                <w:sz w:val="16"/>
                <w:szCs w:val="16"/>
              </w:rPr>
              <w:t xml:space="preserve"> </w:t>
            </w:r>
            <w:r>
              <w:rPr>
                <w:spacing w:val="4"/>
                <w:sz w:val="16"/>
                <w:szCs w:val="16"/>
              </w:rPr>
              <w:t>资料</w:t>
            </w:r>
          </w:p>
        </w:tc>
        <w:tc>
          <w:tcPr>
            <w:tcW w:w="629" w:type="dxa"/>
            <w:vAlign w:val="top"/>
          </w:tcPr>
          <w:p>
            <w:pPr>
              <w:pStyle w:val="6"/>
              <w:spacing w:before="204" w:line="170" w:lineRule="auto"/>
              <w:ind w:left="148"/>
              <w:rPr>
                <w:sz w:val="16"/>
                <w:szCs w:val="16"/>
              </w:rPr>
            </w:pPr>
            <w:r>
              <w:rPr>
                <w:spacing w:val="-13"/>
                <w:sz w:val="16"/>
                <w:szCs w:val="16"/>
              </w:rPr>
              <w:t>78</w:t>
            </w:r>
            <w:r>
              <w:rPr>
                <w:spacing w:val="-22"/>
                <w:sz w:val="16"/>
                <w:szCs w:val="16"/>
              </w:rPr>
              <w:t xml:space="preserve"> </w:t>
            </w:r>
            <w:r>
              <w:rPr>
                <w:spacing w:val="-13"/>
                <w:sz w:val="16"/>
                <w:szCs w:val="16"/>
              </w:rPr>
              <w:t>.</w:t>
            </w:r>
            <w:r>
              <w:rPr>
                <w:spacing w:val="21"/>
                <w:w w:val="101"/>
                <w:sz w:val="16"/>
                <w:szCs w:val="16"/>
              </w:rPr>
              <w:t xml:space="preserve"> </w:t>
            </w:r>
            <w:r>
              <w:rPr>
                <w:spacing w:val="-13"/>
                <w:sz w:val="16"/>
                <w:szCs w:val="16"/>
              </w:rPr>
              <w:t>1</w:t>
            </w:r>
          </w:p>
        </w:tc>
        <w:tc>
          <w:tcPr>
            <w:tcW w:w="719" w:type="dxa"/>
            <w:vAlign w:val="top"/>
          </w:tcPr>
          <w:p>
            <w:pPr>
              <w:pStyle w:val="6"/>
              <w:spacing w:before="205" w:line="169" w:lineRule="auto"/>
              <w:ind w:left="240"/>
              <w:rPr>
                <w:sz w:val="16"/>
                <w:szCs w:val="16"/>
              </w:rPr>
            </w:pPr>
            <w:r>
              <w:rPr>
                <w:spacing w:val="-15"/>
                <w:sz w:val="16"/>
                <w:szCs w:val="16"/>
              </w:rPr>
              <w:t>8</w:t>
            </w:r>
            <w:r>
              <w:rPr>
                <w:spacing w:val="-22"/>
                <w:sz w:val="16"/>
                <w:szCs w:val="16"/>
              </w:rPr>
              <w:t xml:space="preserve"> </w:t>
            </w:r>
            <w:r>
              <w:rPr>
                <w:spacing w:val="-15"/>
                <w:sz w:val="16"/>
                <w:szCs w:val="16"/>
              </w:rPr>
              <w:t>.</w:t>
            </w:r>
            <w:r>
              <w:rPr>
                <w:spacing w:val="19"/>
                <w:w w:val="101"/>
                <w:sz w:val="16"/>
                <w:szCs w:val="16"/>
              </w:rPr>
              <w:t xml:space="preserve"> </w:t>
            </w:r>
            <w:r>
              <w:rPr>
                <w:spacing w:val="-15"/>
                <w:sz w:val="16"/>
                <w:szCs w:val="16"/>
              </w:rPr>
              <w:t>5</w:t>
            </w:r>
          </w:p>
        </w:tc>
        <w:tc>
          <w:tcPr>
            <w:tcW w:w="766" w:type="dxa"/>
            <w:tcBorders>
              <w:right w:val="single" w:color="000000" w:sz="6" w:space="0"/>
            </w:tcBorders>
            <w:vAlign w:val="top"/>
          </w:tcPr>
          <w:p>
            <w:pPr>
              <w:pStyle w:val="6"/>
              <w:spacing w:before="204" w:line="170" w:lineRule="auto"/>
              <w:ind w:left="221"/>
              <w:rPr>
                <w:sz w:val="16"/>
                <w:szCs w:val="16"/>
              </w:rPr>
            </w:pPr>
            <w:r>
              <w:rPr>
                <w:spacing w:val="-14"/>
                <w:sz w:val="16"/>
                <w:szCs w:val="16"/>
              </w:rPr>
              <w:t>13</w:t>
            </w:r>
            <w:r>
              <w:rPr>
                <w:spacing w:val="-20"/>
                <w:sz w:val="16"/>
                <w:szCs w:val="16"/>
              </w:rPr>
              <w:t xml:space="preserve"> </w:t>
            </w:r>
            <w:r>
              <w:rPr>
                <w:spacing w:val="-14"/>
                <w:sz w:val="16"/>
                <w:szCs w:val="16"/>
              </w:rPr>
              <w:t>.</w:t>
            </w:r>
            <w:r>
              <w:rPr>
                <w:spacing w:val="19"/>
                <w:w w:val="101"/>
                <w:sz w:val="16"/>
                <w:szCs w:val="16"/>
              </w:rPr>
              <w:t xml:space="preserve"> </w:t>
            </w:r>
            <w:r>
              <w:rPr>
                <w:spacing w:val="-14"/>
                <w:sz w:val="16"/>
                <w:szCs w:val="16"/>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2526" w:type="dxa"/>
            <w:tcBorders>
              <w:left w:val="single" w:color="000000" w:sz="6" w:space="0"/>
            </w:tcBorders>
            <w:vAlign w:val="top"/>
          </w:tcPr>
          <w:p>
            <w:pPr>
              <w:pStyle w:val="6"/>
              <w:spacing w:before="76" w:line="195" w:lineRule="auto"/>
              <w:ind w:left="119" w:right="109" w:hanging="13"/>
              <w:rPr>
                <w:sz w:val="16"/>
                <w:szCs w:val="16"/>
              </w:rPr>
            </w:pPr>
            <w:r>
              <w:rPr>
                <w:spacing w:val="-3"/>
                <w:sz w:val="16"/>
                <w:szCs w:val="16"/>
              </w:rPr>
              <w:t>例</w:t>
            </w:r>
            <w:r>
              <w:rPr>
                <w:spacing w:val="-21"/>
                <w:sz w:val="16"/>
                <w:szCs w:val="16"/>
              </w:rPr>
              <w:t xml:space="preserve"> </w:t>
            </w:r>
            <w:r>
              <w:rPr>
                <w:spacing w:val="-3"/>
                <w:sz w:val="16"/>
                <w:szCs w:val="16"/>
              </w:rPr>
              <w:t>行 工 作 有</w:t>
            </w:r>
            <w:r>
              <w:rPr>
                <w:spacing w:val="16"/>
                <w:sz w:val="16"/>
                <w:szCs w:val="16"/>
              </w:rPr>
              <w:t xml:space="preserve"> </w:t>
            </w:r>
            <w:r>
              <w:rPr>
                <w:spacing w:val="-3"/>
                <w:sz w:val="16"/>
                <w:szCs w:val="16"/>
              </w:rPr>
              <w:t>明 确</w:t>
            </w:r>
            <w:r>
              <w:rPr>
                <w:spacing w:val="12"/>
                <w:w w:val="101"/>
                <w:sz w:val="16"/>
                <w:szCs w:val="16"/>
              </w:rPr>
              <w:t xml:space="preserve"> </w:t>
            </w:r>
            <w:r>
              <w:rPr>
                <w:spacing w:val="-3"/>
                <w:sz w:val="16"/>
                <w:szCs w:val="16"/>
              </w:rPr>
              <w:t>的 制 度／标</w:t>
            </w:r>
            <w:r>
              <w:rPr>
                <w:sz w:val="16"/>
                <w:szCs w:val="16"/>
              </w:rPr>
              <w:t xml:space="preserve"> </w:t>
            </w:r>
            <w:r>
              <w:rPr>
                <w:spacing w:val="-10"/>
                <w:sz w:val="16"/>
                <w:szCs w:val="16"/>
              </w:rPr>
              <w:t>准／要求</w:t>
            </w:r>
          </w:p>
        </w:tc>
        <w:tc>
          <w:tcPr>
            <w:tcW w:w="629" w:type="dxa"/>
            <w:vAlign w:val="top"/>
          </w:tcPr>
          <w:p>
            <w:pPr>
              <w:pStyle w:val="6"/>
              <w:spacing w:before="207" w:line="170" w:lineRule="auto"/>
              <w:ind w:left="148"/>
              <w:rPr>
                <w:sz w:val="16"/>
                <w:szCs w:val="16"/>
              </w:rPr>
            </w:pPr>
            <w:r>
              <w:rPr>
                <w:spacing w:val="-14"/>
                <w:sz w:val="16"/>
                <w:szCs w:val="16"/>
              </w:rPr>
              <w:t>79</w:t>
            </w:r>
            <w:r>
              <w:rPr>
                <w:spacing w:val="-18"/>
                <w:sz w:val="16"/>
                <w:szCs w:val="16"/>
              </w:rPr>
              <w:t xml:space="preserve"> </w:t>
            </w:r>
            <w:r>
              <w:rPr>
                <w:spacing w:val="-14"/>
                <w:sz w:val="16"/>
                <w:szCs w:val="16"/>
              </w:rPr>
              <w:t>.</w:t>
            </w:r>
            <w:r>
              <w:rPr>
                <w:spacing w:val="21"/>
                <w:w w:val="101"/>
                <w:sz w:val="16"/>
                <w:szCs w:val="16"/>
              </w:rPr>
              <w:t xml:space="preserve"> </w:t>
            </w:r>
            <w:r>
              <w:rPr>
                <w:spacing w:val="-14"/>
                <w:sz w:val="16"/>
                <w:szCs w:val="16"/>
              </w:rPr>
              <w:t>1</w:t>
            </w:r>
          </w:p>
        </w:tc>
        <w:tc>
          <w:tcPr>
            <w:tcW w:w="719" w:type="dxa"/>
            <w:vAlign w:val="top"/>
          </w:tcPr>
          <w:p>
            <w:pPr>
              <w:pStyle w:val="6"/>
              <w:spacing w:before="210" w:line="168" w:lineRule="auto"/>
              <w:ind w:left="242"/>
              <w:rPr>
                <w:sz w:val="16"/>
                <w:szCs w:val="16"/>
              </w:rPr>
            </w:pPr>
            <w:r>
              <w:rPr>
                <w:spacing w:val="-16"/>
                <w:w w:val="99"/>
                <w:sz w:val="16"/>
                <w:szCs w:val="16"/>
              </w:rPr>
              <w:t>6</w:t>
            </w:r>
            <w:r>
              <w:rPr>
                <w:spacing w:val="-20"/>
                <w:sz w:val="16"/>
                <w:szCs w:val="16"/>
              </w:rPr>
              <w:t xml:space="preserve"> </w:t>
            </w:r>
            <w:r>
              <w:rPr>
                <w:spacing w:val="-16"/>
                <w:w w:val="99"/>
                <w:sz w:val="16"/>
                <w:szCs w:val="16"/>
              </w:rPr>
              <w:t>.</w:t>
            </w:r>
            <w:r>
              <w:rPr>
                <w:spacing w:val="19"/>
                <w:w w:val="102"/>
                <w:sz w:val="16"/>
                <w:szCs w:val="16"/>
              </w:rPr>
              <w:t xml:space="preserve"> </w:t>
            </w:r>
            <w:r>
              <w:rPr>
                <w:spacing w:val="-16"/>
                <w:w w:val="99"/>
                <w:sz w:val="16"/>
                <w:szCs w:val="16"/>
              </w:rPr>
              <w:t>7</w:t>
            </w:r>
          </w:p>
        </w:tc>
        <w:tc>
          <w:tcPr>
            <w:tcW w:w="766" w:type="dxa"/>
            <w:tcBorders>
              <w:right w:val="single" w:color="000000" w:sz="6" w:space="0"/>
            </w:tcBorders>
            <w:vAlign w:val="top"/>
          </w:tcPr>
          <w:p>
            <w:pPr>
              <w:pStyle w:val="6"/>
              <w:spacing w:before="207" w:line="170" w:lineRule="auto"/>
              <w:ind w:left="221"/>
              <w:rPr>
                <w:sz w:val="16"/>
                <w:szCs w:val="16"/>
              </w:rPr>
            </w:pPr>
            <w:r>
              <w:rPr>
                <w:spacing w:val="-13"/>
                <w:sz w:val="16"/>
                <w:szCs w:val="16"/>
              </w:rPr>
              <w:t>14</w:t>
            </w:r>
            <w:r>
              <w:rPr>
                <w:spacing w:val="-24"/>
                <w:sz w:val="16"/>
                <w:szCs w:val="16"/>
              </w:rPr>
              <w:t xml:space="preserve"> </w:t>
            </w:r>
            <w:r>
              <w:rPr>
                <w:spacing w:val="-13"/>
                <w:sz w:val="16"/>
                <w:szCs w:val="16"/>
              </w:rPr>
              <w:t>.</w:t>
            </w:r>
            <w:r>
              <w:rPr>
                <w:spacing w:val="19"/>
                <w:w w:val="101"/>
                <w:sz w:val="16"/>
                <w:szCs w:val="16"/>
              </w:rPr>
              <w:t xml:space="preserve"> </w:t>
            </w:r>
            <w:r>
              <w:rPr>
                <w:spacing w:val="-13"/>
                <w:sz w:val="16"/>
                <w:szCs w:val="16"/>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2526" w:type="dxa"/>
            <w:tcBorders>
              <w:left w:val="single" w:color="000000" w:sz="6" w:space="0"/>
            </w:tcBorders>
            <w:vAlign w:val="top"/>
          </w:tcPr>
          <w:p>
            <w:pPr>
              <w:pStyle w:val="6"/>
              <w:spacing w:before="79" w:line="194" w:lineRule="auto"/>
              <w:ind w:left="117" w:right="102" w:firstLine="1"/>
              <w:rPr>
                <w:sz w:val="16"/>
                <w:szCs w:val="16"/>
              </w:rPr>
            </w:pPr>
            <w:r>
              <w:rPr>
                <w:spacing w:val="-6"/>
                <w:sz w:val="16"/>
                <w:szCs w:val="16"/>
              </w:rPr>
              <w:t>能及 时</w:t>
            </w:r>
            <w:r>
              <w:rPr>
                <w:spacing w:val="-3"/>
                <w:sz w:val="16"/>
                <w:szCs w:val="16"/>
              </w:rPr>
              <w:t xml:space="preserve"> </w:t>
            </w:r>
            <w:r>
              <w:rPr>
                <w:spacing w:val="-6"/>
                <w:sz w:val="16"/>
                <w:szCs w:val="16"/>
              </w:rPr>
              <w:t>获 得 新 制</w:t>
            </w:r>
            <w:r>
              <w:rPr>
                <w:spacing w:val="-8"/>
                <w:sz w:val="16"/>
                <w:szCs w:val="16"/>
              </w:rPr>
              <w:t xml:space="preserve"> </w:t>
            </w:r>
            <w:r>
              <w:rPr>
                <w:spacing w:val="-6"/>
                <w:sz w:val="16"/>
                <w:szCs w:val="16"/>
              </w:rPr>
              <w:t>度／标 准／要</w:t>
            </w:r>
            <w:r>
              <w:rPr>
                <w:sz w:val="16"/>
                <w:szCs w:val="16"/>
              </w:rPr>
              <w:t xml:space="preserve"> </w:t>
            </w:r>
            <w:r>
              <w:rPr>
                <w:spacing w:val="13"/>
                <w:sz w:val="16"/>
                <w:szCs w:val="16"/>
              </w:rPr>
              <w:t>求的培训</w:t>
            </w:r>
          </w:p>
        </w:tc>
        <w:tc>
          <w:tcPr>
            <w:tcW w:w="629" w:type="dxa"/>
            <w:vAlign w:val="top"/>
          </w:tcPr>
          <w:p>
            <w:pPr>
              <w:pStyle w:val="6"/>
              <w:spacing w:before="213" w:line="168" w:lineRule="auto"/>
              <w:ind w:left="149"/>
              <w:rPr>
                <w:sz w:val="16"/>
                <w:szCs w:val="16"/>
              </w:rPr>
            </w:pPr>
            <w:r>
              <w:rPr>
                <w:spacing w:val="-13"/>
                <w:sz w:val="16"/>
                <w:szCs w:val="16"/>
              </w:rPr>
              <w:t>60</w:t>
            </w:r>
            <w:r>
              <w:rPr>
                <w:spacing w:val="-22"/>
                <w:sz w:val="16"/>
                <w:szCs w:val="16"/>
              </w:rPr>
              <w:t xml:space="preserve"> </w:t>
            </w:r>
            <w:r>
              <w:rPr>
                <w:spacing w:val="-13"/>
                <w:sz w:val="16"/>
                <w:szCs w:val="16"/>
              </w:rPr>
              <w:t>.</w:t>
            </w:r>
            <w:r>
              <w:rPr>
                <w:spacing w:val="20"/>
                <w:w w:val="101"/>
                <w:sz w:val="16"/>
                <w:szCs w:val="16"/>
              </w:rPr>
              <w:t xml:space="preserve"> </w:t>
            </w:r>
            <w:r>
              <w:rPr>
                <w:spacing w:val="-13"/>
                <w:sz w:val="16"/>
                <w:szCs w:val="16"/>
              </w:rPr>
              <w:t>9</w:t>
            </w:r>
          </w:p>
        </w:tc>
        <w:tc>
          <w:tcPr>
            <w:tcW w:w="719" w:type="dxa"/>
            <w:vAlign w:val="top"/>
          </w:tcPr>
          <w:p>
            <w:pPr>
              <w:pStyle w:val="6"/>
              <w:spacing w:before="211" w:line="170" w:lineRule="auto"/>
              <w:ind w:left="198"/>
              <w:rPr>
                <w:sz w:val="16"/>
                <w:szCs w:val="16"/>
              </w:rPr>
            </w:pPr>
            <w:r>
              <w:rPr>
                <w:spacing w:val="-13"/>
                <w:sz w:val="16"/>
                <w:szCs w:val="16"/>
              </w:rPr>
              <w:t>14</w:t>
            </w:r>
            <w:r>
              <w:rPr>
                <w:spacing w:val="-24"/>
                <w:sz w:val="16"/>
                <w:szCs w:val="16"/>
              </w:rPr>
              <w:t xml:space="preserve"> </w:t>
            </w:r>
            <w:r>
              <w:rPr>
                <w:spacing w:val="-13"/>
                <w:sz w:val="16"/>
                <w:szCs w:val="16"/>
              </w:rPr>
              <w:t>.</w:t>
            </w:r>
            <w:r>
              <w:rPr>
                <w:spacing w:val="16"/>
                <w:w w:val="101"/>
                <w:sz w:val="16"/>
                <w:szCs w:val="16"/>
              </w:rPr>
              <w:t xml:space="preserve"> </w:t>
            </w:r>
            <w:r>
              <w:rPr>
                <w:spacing w:val="-13"/>
                <w:sz w:val="16"/>
                <w:szCs w:val="16"/>
              </w:rPr>
              <w:t>0</w:t>
            </w:r>
          </w:p>
        </w:tc>
        <w:tc>
          <w:tcPr>
            <w:tcW w:w="766" w:type="dxa"/>
            <w:tcBorders>
              <w:right w:val="single" w:color="000000" w:sz="6" w:space="0"/>
            </w:tcBorders>
            <w:vAlign w:val="top"/>
          </w:tcPr>
          <w:p>
            <w:pPr>
              <w:pStyle w:val="6"/>
              <w:spacing w:before="211" w:line="170" w:lineRule="auto"/>
              <w:ind w:left="217"/>
              <w:rPr>
                <w:sz w:val="16"/>
                <w:szCs w:val="16"/>
              </w:rPr>
            </w:pPr>
            <w:r>
              <w:rPr>
                <w:spacing w:val="-14"/>
                <w:sz w:val="16"/>
                <w:szCs w:val="16"/>
              </w:rPr>
              <w:t>25</w:t>
            </w:r>
            <w:r>
              <w:rPr>
                <w:spacing w:val="-17"/>
                <w:sz w:val="16"/>
                <w:szCs w:val="16"/>
              </w:rPr>
              <w:t xml:space="preserve"> </w:t>
            </w:r>
            <w:r>
              <w:rPr>
                <w:spacing w:val="-14"/>
                <w:sz w:val="16"/>
                <w:szCs w:val="16"/>
              </w:rPr>
              <w:t>.</w:t>
            </w:r>
            <w:r>
              <w:rPr>
                <w:spacing w:val="22"/>
                <w:sz w:val="16"/>
                <w:szCs w:val="16"/>
              </w:rPr>
              <w:t xml:space="preserve"> </w:t>
            </w:r>
            <w:r>
              <w:rPr>
                <w:spacing w:val="-14"/>
                <w:sz w:val="16"/>
                <w:szCs w:val="16"/>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2526" w:type="dxa"/>
            <w:tcBorders>
              <w:left w:val="single" w:color="000000" w:sz="6" w:space="0"/>
              <w:bottom w:val="single" w:color="000000" w:sz="6" w:space="0"/>
            </w:tcBorders>
            <w:vAlign w:val="top"/>
          </w:tcPr>
          <w:p>
            <w:pPr>
              <w:pStyle w:val="6"/>
              <w:spacing w:before="82" w:line="196" w:lineRule="auto"/>
              <w:ind w:left="106" w:right="109"/>
              <w:rPr>
                <w:sz w:val="16"/>
                <w:szCs w:val="16"/>
              </w:rPr>
            </w:pPr>
            <w:r>
              <w:rPr>
                <w:spacing w:val="-8"/>
                <w:sz w:val="16"/>
                <w:szCs w:val="16"/>
              </w:rPr>
              <w:t>制度／标 准／要 求</w:t>
            </w:r>
            <w:r>
              <w:rPr>
                <w:spacing w:val="17"/>
                <w:w w:val="101"/>
                <w:sz w:val="16"/>
                <w:szCs w:val="16"/>
              </w:rPr>
              <w:t xml:space="preserve"> </w:t>
            </w:r>
            <w:r>
              <w:rPr>
                <w:spacing w:val="-8"/>
                <w:sz w:val="16"/>
                <w:szCs w:val="16"/>
              </w:rPr>
              <w:t>中 反 馈 的</w:t>
            </w:r>
            <w:r>
              <w:rPr>
                <w:spacing w:val="13"/>
                <w:sz w:val="16"/>
                <w:szCs w:val="16"/>
              </w:rPr>
              <w:t xml:space="preserve"> </w:t>
            </w:r>
            <w:r>
              <w:rPr>
                <w:spacing w:val="-8"/>
                <w:sz w:val="16"/>
                <w:szCs w:val="16"/>
              </w:rPr>
              <w:t>问</w:t>
            </w:r>
            <w:r>
              <w:rPr>
                <w:sz w:val="16"/>
                <w:szCs w:val="16"/>
              </w:rPr>
              <w:t xml:space="preserve"> </w:t>
            </w:r>
            <w:r>
              <w:rPr>
                <w:spacing w:val="18"/>
                <w:sz w:val="16"/>
                <w:szCs w:val="16"/>
              </w:rPr>
              <w:t>题能得到及时解决</w:t>
            </w:r>
          </w:p>
        </w:tc>
        <w:tc>
          <w:tcPr>
            <w:tcW w:w="629" w:type="dxa"/>
            <w:tcBorders>
              <w:bottom w:val="single" w:color="000000" w:sz="6" w:space="0"/>
            </w:tcBorders>
            <w:vAlign w:val="top"/>
          </w:tcPr>
          <w:p>
            <w:pPr>
              <w:pStyle w:val="6"/>
              <w:spacing w:before="214" w:line="170" w:lineRule="auto"/>
              <w:ind w:left="148"/>
              <w:rPr>
                <w:sz w:val="16"/>
                <w:szCs w:val="16"/>
              </w:rPr>
            </w:pPr>
            <w:r>
              <w:rPr>
                <w:spacing w:val="-15"/>
                <w:sz w:val="16"/>
                <w:szCs w:val="16"/>
              </w:rPr>
              <w:t>51</w:t>
            </w:r>
            <w:r>
              <w:rPr>
                <w:spacing w:val="-14"/>
                <w:sz w:val="16"/>
                <w:szCs w:val="16"/>
              </w:rPr>
              <w:t xml:space="preserve"> </w:t>
            </w:r>
            <w:r>
              <w:rPr>
                <w:spacing w:val="-15"/>
                <w:sz w:val="16"/>
                <w:szCs w:val="16"/>
              </w:rPr>
              <w:t>.</w:t>
            </w:r>
            <w:r>
              <w:rPr>
                <w:spacing w:val="19"/>
                <w:w w:val="102"/>
                <w:sz w:val="16"/>
                <w:szCs w:val="16"/>
              </w:rPr>
              <w:t xml:space="preserve"> </w:t>
            </w:r>
            <w:r>
              <w:rPr>
                <w:spacing w:val="-15"/>
                <w:sz w:val="16"/>
                <w:szCs w:val="16"/>
              </w:rPr>
              <w:t>7</w:t>
            </w:r>
          </w:p>
        </w:tc>
        <w:tc>
          <w:tcPr>
            <w:tcW w:w="719" w:type="dxa"/>
            <w:tcBorders>
              <w:bottom w:val="single" w:color="000000" w:sz="6" w:space="0"/>
            </w:tcBorders>
            <w:vAlign w:val="top"/>
          </w:tcPr>
          <w:p>
            <w:pPr>
              <w:pStyle w:val="6"/>
              <w:spacing w:before="216" w:line="168" w:lineRule="auto"/>
              <w:ind w:left="242"/>
              <w:rPr>
                <w:sz w:val="16"/>
                <w:szCs w:val="16"/>
              </w:rPr>
            </w:pPr>
            <w:r>
              <w:rPr>
                <w:spacing w:val="-17"/>
                <w:sz w:val="16"/>
                <w:szCs w:val="16"/>
              </w:rPr>
              <w:t>9</w:t>
            </w:r>
            <w:r>
              <w:rPr>
                <w:spacing w:val="-20"/>
                <w:sz w:val="16"/>
                <w:szCs w:val="16"/>
              </w:rPr>
              <w:t xml:space="preserve"> </w:t>
            </w:r>
            <w:r>
              <w:rPr>
                <w:spacing w:val="-17"/>
                <w:sz w:val="16"/>
                <w:szCs w:val="16"/>
              </w:rPr>
              <w:t>.</w:t>
            </w:r>
            <w:r>
              <w:rPr>
                <w:spacing w:val="20"/>
                <w:w w:val="101"/>
                <w:sz w:val="16"/>
                <w:szCs w:val="16"/>
              </w:rPr>
              <w:t xml:space="preserve"> </w:t>
            </w:r>
            <w:r>
              <w:rPr>
                <w:spacing w:val="-17"/>
                <w:sz w:val="16"/>
                <w:szCs w:val="16"/>
              </w:rPr>
              <w:t>5</w:t>
            </w:r>
          </w:p>
        </w:tc>
        <w:tc>
          <w:tcPr>
            <w:tcW w:w="766" w:type="dxa"/>
            <w:tcBorders>
              <w:bottom w:val="single" w:color="000000" w:sz="6" w:space="0"/>
              <w:right w:val="single" w:color="000000" w:sz="6" w:space="0"/>
            </w:tcBorders>
            <w:vAlign w:val="top"/>
          </w:tcPr>
          <w:p>
            <w:pPr>
              <w:pStyle w:val="6"/>
              <w:spacing w:before="215" w:line="169" w:lineRule="auto"/>
              <w:ind w:left="218"/>
              <w:rPr>
                <w:sz w:val="16"/>
                <w:szCs w:val="16"/>
              </w:rPr>
            </w:pPr>
            <w:r>
              <w:rPr>
                <w:spacing w:val="-13"/>
                <w:sz w:val="16"/>
                <w:szCs w:val="16"/>
              </w:rPr>
              <w:t>38</w:t>
            </w:r>
            <w:r>
              <w:rPr>
                <w:spacing w:val="-22"/>
                <w:sz w:val="16"/>
                <w:szCs w:val="16"/>
              </w:rPr>
              <w:t xml:space="preserve"> </w:t>
            </w:r>
            <w:r>
              <w:rPr>
                <w:spacing w:val="-13"/>
                <w:sz w:val="16"/>
                <w:szCs w:val="16"/>
              </w:rPr>
              <w:t>.</w:t>
            </w:r>
            <w:r>
              <w:rPr>
                <w:spacing w:val="18"/>
                <w:w w:val="102"/>
                <w:sz w:val="16"/>
                <w:szCs w:val="16"/>
              </w:rPr>
              <w:t xml:space="preserve"> </w:t>
            </w:r>
            <w:r>
              <w:rPr>
                <w:spacing w:val="-13"/>
                <w:sz w:val="16"/>
                <w:szCs w:val="16"/>
              </w:rPr>
              <w:t>8</w:t>
            </w:r>
          </w:p>
        </w:tc>
      </w:tr>
    </w:tbl>
    <w:p>
      <w:pPr>
        <w:spacing w:before="235" w:line="189" w:lineRule="auto"/>
        <w:ind w:left="1290"/>
        <w:rPr>
          <w:rFonts w:ascii="微软雅黑" w:hAnsi="微软雅黑" w:eastAsia="微软雅黑" w:cs="微软雅黑"/>
          <w:sz w:val="19"/>
          <w:szCs w:val="19"/>
        </w:rPr>
      </w:pPr>
      <w:r>
        <w:rPr>
          <w:rFonts w:ascii="微软雅黑" w:hAnsi="微软雅黑" w:eastAsia="微软雅黑" w:cs="微软雅黑"/>
          <w:spacing w:val="29"/>
          <w:sz w:val="19"/>
          <w:szCs w:val="19"/>
        </w:rPr>
        <w:t>四、西安欧亚学院质量文化建设实践的反思</w:t>
      </w:r>
    </w:p>
    <w:p>
      <w:pPr>
        <w:spacing w:before="171" w:line="243" w:lineRule="auto"/>
        <w:ind w:left="904" w:right="278" w:firstLine="420"/>
        <w:jc w:val="both"/>
        <w:rPr>
          <w:rFonts w:ascii="微软雅黑" w:hAnsi="微软雅黑" w:eastAsia="微软雅黑" w:cs="微软雅黑"/>
          <w:sz w:val="16"/>
          <w:szCs w:val="16"/>
        </w:rPr>
      </w:pPr>
      <w:r>
        <w:rPr>
          <w:rFonts w:ascii="微软雅黑" w:hAnsi="微软雅黑" w:eastAsia="微软雅黑" w:cs="微软雅黑"/>
          <w:spacing w:val="7"/>
          <w:w w:val="125"/>
          <w:sz w:val="16"/>
          <w:szCs w:val="16"/>
        </w:rPr>
        <w:t>综合西安欧亚学院这</w:t>
      </w:r>
      <w:r>
        <w:rPr>
          <w:rFonts w:ascii="微软雅黑" w:hAnsi="微软雅黑" w:eastAsia="微软雅黑" w:cs="微软雅黑"/>
          <w:spacing w:val="-16"/>
          <w:sz w:val="16"/>
          <w:szCs w:val="16"/>
        </w:rPr>
        <w:t xml:space="preserve"> </w:t>
      </w:r>
      <w:r>
        <w:rPr>
          <w:rFonts w:ascii="微软雅黑" w:hAnsi="微软雅黑" w:eastAsia="微软雅黑" w:cs="微软雅黑"/>
          <w:spacing w:val="7"/>
          <w:w w:val="125"/>
          <w:sz w:val="16"/>
          <w:szCs w:val="16"/>
        </w:rPr>
        <w:t>一</w:t>
      </w:r>
      <w:r>
        <w:rPr>
          <w:rFonts w:ascii="微软雅黑" w:hAnsi="微软雅黑" w:eastAsia="微软雅黑" w:cs="微软雅黑"/>
          <w:spacing w:val="-17"/>
          <w:sz w:val="16"/>
          <w:szCs w:val="16"/>
        </w:rPr>
        <w:t xml:space="preserve"> </w:t>
      </w:r>
      <w:r>
        <w:rPr>
          <w:rFonts w:ascii="微软雅黑" w:hAnsi="微软雅黑" w:eastAsia="微软雅黑" w:cs="微软雅黑"/>
          <w:spacing w:val="7"/>
          <w:w w:val="125"/>
          <w:sz w:val="16"/>
          <w:szCs w:val="16"/>
        </w:rPr>
        <w:t>战略时期的质量文化建</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设实践过程</w:t>
      </w:r>
      <w:r>
        <w:rPr>
          <w:rFonts w:ascii="微软雅黑" w:hAnsi="微软雅黑" w:eastAsia="微软雅黑" w:cs="微软雅黑"/>
          <w:spacing w:val="-13"/>
          <w:sz w:val="16"/>
          <w:szCs w:val="16"/>
        </w:rPr>
        <w:t xml:space="preserve"> </w:t>
      </w:r>
      <w:r>
        <w:rPr>
          <w:rFonts w:ascii="微软雅黑" w:hAnsi="微软雅黑" w:eastAsia="微软雅黑" w:cs="微软雅黑"/>
          <w:spacing w:val="36"/>
          <w:sz w:val="16"/>
          <w:szCs w:val="16"/>
        </w:rPr>
        <w:t>，研究者发现学校</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在</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量</w:t>
      </w:r>
      <w:r>
        <w:rPr>
          <w:rFonts w:ascii="微软雅黑" w:hAnsi="微软雅黑" w:eastAsia="微软雅黑" w:cs="微软雅黑"/>
          <w:spacing w:val="-14"/>
          <w:sz w:val="16"/>
          <w:szCs w:val="16"/>
        </w:rPr>
        <w:t xml:space="preserve"> </w:t>
      </w:r>
      <w:r>
        <w:rPr>
          <w:rFonts w:ascii="微软雅黑" w:hAnsi="微软雅黑" w:eastAsia="微软雅黑" w:cs="微软雅黑"/>
          <w:spacing w:val="36"/>
          <w:sz w:val="16"/>
          <w:szCs w:val="16"/>
        </w:rPr>
        <w:t>承</w:t>
      </w:r>
      <w:r>
        <w:rPr>
          <w:rFonts w:ascii="微软雅黑" w:hAnsi="微软雅黑" w:eastAsia="微软雅黑" w:cs="微软雅黑"/>
          <w:spacing w:val="-21"/>
          <w:sz w:val="16"/>
          <w:szCs w:val="16"/>
        </w:rPr>
        <w:t xml:space="preserve"> </w:t>
      </w:r>
      <w:r>
        <w:rPr>
          <w:rFonts w:ascii="微软雅黑" w:hAnsi="微软雅黑" w:eastAsia="微软雅黑" w:cs="微软雅黑"/>
          <w:spacing w:val="36"/>
          <w:sz w:val="16"/>
          <w:szCs w:val="16"/>
        </w:rPr>
        <w:t>诺</w:t>
      </w:r>
      <w:r>
        <w:rPr>
          <w:rFonts w:ascii="微软雅黑" w:hAnsi="微软雅黑" w:eastAsia="微软雅黑" w:cs="微软雅黑"/>
          <w:spacing w:val="-12"/>
          <w:sz w:val="16"/>
          <w:szCs w:val="16"/>
        </w:rPr>
        <w:t xml:space="preserve"> </w:t>
      </w:r>
      <w:r>
        <w:rPr>
          <w:rFonts w:ascii="微软雅黑" w:hAnsi="微软雅黑" w:eastAsia="微软雅黑" w:cs="微软雅黑"/>
          <w:spacing w:val="36"/>
          <w:sz w:val="16"/>
          <w:szCs w:val="16"/>
        </w:rPr>
        <w:t>和</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量</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文</w:t>
      </w:r>
      <w:r>
        <w:rPr>
          <w:rFonts w:ascii="微软雅黑" w:hAnsi="微软雅黑" w:eastAsia="微软雅黑" w:cs="微软雅黑"/>
          <w:sz w:val="16"/>
          <w:szCs w:val="16"/>
        </w:rPr>
        <w:t xml:space="preserve"> </w:t>
      </w:r>
      <w:r>
        <w:rPr>
          <w:rFonts w:ascii="微软雅黑" w:hAnsi="微软雅黑" w:eastAsia="微软雅黑" w:cs="微软雅黑"/>
          <w:spacing w:val="30"/>
          <w:sz w:val="16"/>
          <w:szCs w:val="16"/>
        </w:rPr>
        <w:t>化方面都有不同程</w:t>
      </w:r>
      <w:r>
        <w:rPr>
          <w:rFonts w:ascii="微软雅黑" w:hAnsi="微软雅黑" w:eastAsia="微软雅黑" w:cs="微软雅黑"/>
          <w:spacing w:val="-3"/>
          <w:sz w:val="16"/>
          <w:szCs w:val="16"/>
        </w:rPr>
        <w:t xml:space="preserve"> </w:t>
      </w:r>
      <w:r>
        <w:rPr>
          <w:rFonts w:ascii="微软雅黑" w:hAnsi="微软雅黑" w:eastAsia="微软雅黑" w:cs="微软雅黑"/>
          <w:spacing w:val="30"/>
          <w:sz w:val="16"/>
          <w:szCs w:val="16"/>
        </w:rPr>
        <w:t>度</w:t>
      </w:r>
      <w:r>
        <w:rPr>
          <w:rFonts w:ascii="微软雅黑" w:hAnsi="微软雅黑" w:eastAsia="微软雅黑" w:cs="微软雅黑"/>
          <w:spacing w:val="-2"/>
          <w:sz w:val="16"/>
          <w:szCs w:val="16"/>
        </w:rPr>
        <w:t xml:space="preserve"> </w:t>
      </w:r>
      <w:r>
        <w:rPr>
          <w:rFonts w:ascii="微软雅黑" w:hAnsi="微软雅黑" w:eastAsia="微软雅黑" w:cs="微软雅黑"/>
          <w:spacing w:val="30"/>
          <w:sz w:val="16"/>
          <w:szCs w:val="16"/>
        </w:rPr>
        <w:t>的</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发</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展</w:t>
      </w:r>
      <w:r>
        <w:rPr>
          <w:rFonts w:ascii="微软雅黑" w:hAnsi="微软雅黑" w:eastAsia="微软雅黑" w:cs="微软雅黑"/>
          <w:spacing w:val="-6"/>
          <w:sz w:val="16"/>
          <w:szCs w:val="16"/>
        </w:rPr>
        <w:t xml:space="preserve"> </w:t>
      </w:r>
      <w:r>
        <w:rPr>
          <w:rFonts w:ascii="微软雅黑" w:hAnsi="微软雅黑" w:eastAsia="微软雅黑" w:cs="微软雅黑"/>
          <w:spacing w:val="30"/>
          <w:sz w:val="16"/>
          <w:szCs w:val="16"/>
        </w:rPr>
        <w:t>。</w:t>
      </w:r>
      <w:r>
        <w:rPr>
          <w:rFonts w:ascii="微软雅黑" w:hAnsi="微软雅黑" w:eastAsia="微软雅黑" w:cs="微软雅黑"/>
          <w:spacing w:val="-3"/>
          <w:sz w:val="16"/>
          <w:szCs w:val="16"/>
        </w:rPr>
        <w:t xml:space="preserve"> </w:t>
      </w:r>
      <w:r>
        <w:rPr>
          <w:rFonts w:ascii="微软雅黑" w:hAnsi="微软雅黑" w:eastAsia="微软雅黑" w:cs="微软雅黑"/>
          <w:spacing w:val="30"/>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量</w:t>
      </w:r>
      <w:r>
        <w:rPr>
          <w:rFonts w:ascii="微软雅黑" w:hAnsi="微软雅黑" w:eastAsia="微软雅黑" w:cs="微软雅黑"/>
          <w:spacing w:val="-14"/>
          <w:sz w:val="16"/>
          <w:szCs w:val="16"/>
        </w:rPr>
        <w:t xml:space="preserve"> </w:t>
      </w:r>
      <w:r>
        <w:rPr>
          <w:rFonts w:ascii="微软雅黑" w:hAnsi="微软雅黑" w:eastAsia="微软雅黑" w:cs="微软雅黑"/>
          <w:spacing w:val="30"/>
          <w:sz w:val="16"/>
          <w:szCs w:val="16"/>
        </w:rPr>
        <w:t>承</w:t>
      </w:r>
      <w:r>
        <w:rPr>
          <w:rFonts w:ascii="微软雅黑" w:hAnsi="微软雅黑" w:eastAsia="微软雅黑" w:cs="微软雅黑"/>
          <w:spacing w:val="-22"/>
          <w:sz w:val="16"/>
          <w:szCs w:val="16"/>
        </w:rPr>
        <w:t xml:space="preserve"> </w:t>
      </w:r>
      <w:r>
        <w:rPr>
          <w:rFonts w:ascii="微软雅黑" w:hAnsi="微软雅黑" w:eastAsia="微软雅黑" w:cs="微软雅黑"/>
          <w:spacing w:val="30"/>
          <w:sz w:val="16"/>
          <w:szCs w:val="16"/>
        </w:rPr>
        <w:t>诺</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方</w:t>
      </w:r>
      <w:r>
        <w:rPr>
          <w:rFonts w:ascii="微软雅黑" w:hAnsi="微软雅黑" w:eastAsia="微软雅黑" w:cs="微软雅黑"/>
          <w:spacing w:val="-11"/>
          <w:sz w:val="16"/>
          <w:szCs w:val="16"/>
        </w:rPr>
        <w:t xml:space="preserve"> </w:t>
      </w:r>
      <w:r>
        <w:rPr>
          <w:rFonts w:ascii="微软雅黑" w:hAnsi="微软雅黑" w:eastAsia="微软雅黑" w:cs="微软雅黑"/>
          <w:spacing w:val="30"/>
          <w:sz w:val="16"/>
          <w:szCs w:val="16"/>
        </w:rPr>
        <w:t>面</w:t>
      </w:r>
      <w:r>
        <w:rPr>
          <w:rFonts w:ascii="微软雅黑" w:hAnsi="微软雅黑" w:eastAsia="微软雅黑" w:cs="微软雅黑"/>
          <w:spacing w:val="-24"/>
          <w:sz w:val="16"/>
          <w:szCs w:val="16"/>
        </w:rPr>
        <w:t xml:space="preserve"> </w:t>
      </w:r>
      <w:r>
        <w:rPr>
          <w:rFonts w:ascii="微软雅黑" w:hAnsi="微软雅黑" w:eastAsia="微软雅黑" w:cs="微软雅黑"/>
          <w:spacing w:val="30"/>
          <w:sz w:val="16"/>
          <w:szCs w:val="16"/>
        </w:rPr>
        <w:t>，学</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校</w:t>
      </w:r>
      <w:r>
        <w:rPr>
          <w:rFonts w:ascii="微软雅黑" w:hAnsi="微软雅黑" w:eastAsia="微软雅黑" w:cs="微软雅黑"/>
          <w:sz w:val="16"/>
          <w:szCs w:val="16"/>
        </w:rPr>
        <w:t xml:space="preserve"> </w:t>
      </w:r>
      <w:r>
        <w:rPr>
          <w:rFonts w:ascii="微软雅黑" w:hAnsi="微软雅黑" w:eastAsia="微软雅黑" w:cs="微软雅黑"/>
          <w:spacing w:val="10"/>
          <w:w w:val="125"/>
          <w:sz w:val="16"/>
          <w:szCs w:val="16"/>
        </w:rPr>
        <w:t>确定了使命和以学生为中心的质量观并细化了质量</w:t>
      </w:r>
      <w:r>
        <w:rPr>
          <w:rFonts w:ascii="微软雅黑" w:hAnsi="微软雅黑" w:eastAsia="微软雅黑" w:cs="微软雅黑"/>
          <w:spacing w:val="2"/>
          <w:sz w:val="16"/>
          <w:szCs w:val="16"/>
        </w:rPr>
        <w:t xml:space="preserve"> </w:t>
      </w:r>
      <w:r>
        <w:rPr>
          <w:rFonts w:ascii="微软雅黑" w:hAnsi="微软雅黑" w:eastAsia="微软雅黑" w:cs="微软雅黑"/>
          <w:spacing w:val="36"/>
          <w:sz w:val="16"/>
          <w:szCs w:val="16"/>
        </w:rPr>
        <w:t>内涵</w:t>
      </w:r>
      <w:r>
        <w:rPr>
          <w:rFonts w:ascii="微软雅黑" w:hAnsi="微软雅黑" w:eastAsia="微软雅黑" w:cs="微软雅黑"/>
          <w:spacing w:val="-9"/>
          <w:sz w:val="16"/>
          <w:szCs w:val="16"/>
        </w:rPr>
        <w:t xml:space="preserve"> </w:t>
      </w:r>
      <w:r>
        <w:rPr>
          <w:rFonts w:ascii="微软雅黑" w:hAnsi="微软雅黑" w:eastAsia="微软雅黑" w:cs="微软雅黑"/>
          <w:spacing w:val="36"/>
          <w:sz w:val="16"/>
          <w:szCs w:val="16"/>
        </w:rPr>
        <w:t>，同时还通过培训等多种</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手</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段</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将</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量</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观</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传</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递</w:t>
      </w:r>
      <w:r>
        <w:rPr>
          <w:rFonts w:ascii="微软雅黑" w:hAnsi="微软雅黑" w:eastAsia="微软雅黑" w:cs="微软雅黑"/>
          <w:spacing w:val="-12"/>
          <w:sz w:val="16"/>
          <w:szCs w:val="16"/>
        </w:rPr>
        <w:t xml:space="preserve"> </w:t>
      </w:r>
      <w:r>
        <w:rPr>
          <w:rFonts w:ascii="微软雅黑" w:hAnsi="微软雅黑" w:eastAsia="微软雅黑" w:cs="微软雅黑"/>
          <w:spacing w:val="36"/>
          <w:sz w:val="16"/>
          <w:szCs w:val="16"/>
        </w:rPr>
        <w:t>给</w:t>
      </w:r>
      <w:r>
        <w:rPr>
          <w:rFonts w:ascii="微软雅黑" w:hAnsi="微软雅黑" w:eastAsia="微软雅黑" w:cs="微软雅黑"/>
          <w:sz w:val="16"/>
          <w:szCs w:val="16"/>
        </w:rPr>
        <w:t xml:space="preserve"> </w:t>
      </w:r>
      <w:r>
        <w:rPr>
          <w:rFonts w:ascii="微软雅黑" w:hAnsi="微软雅黑" w:eastAsia="微软雅黑" w:cs="微软雅黑"/>
          <w:spacing w:val="30"/>
          <w:sz w:val="16"/>
          <w:szCs w:val="16"/>
        </w:rPr>
        <w:t>教师</w:t>
      </w:r>
      <w:r>
        <w:rPr>
          <w:rFonts w:ascii="微软雅黑" w:hAnsi="微软雅黑" w:eastAsia="微软雅黑" w:cs="微软雅黑"/>
          <w:spacing w:val="-6"/>
          <w:sz w:val="16"/>
          <w:szCs w:val="16"/>
        </w:rPr>
        <w:t xml:space="preserve"> </w:t>
      </w:r>
      <w:r>
        <w:rPr>
          <w:rFonts w:ascii="微软雅黑" w:hAnsi="微软雅黑" w:eastAsia="微软雅黑" w:cs="微软雅黑"/>
          <w:spacing w:val="30"/>
          <w:sz w:val="16"/>
          <w:szCs w:val="16"/>
        </w:rPr>
        <w:t>。</w:t>
      </w:r>
      <w:r>
        <w:rPr>
          <w:rFonts w:ascii="微软雅黑" w:hAnsi="微软雅黑" w:eastAsia="微软雅黑" w:cs="微软雅黑"/>
          <w:spacing w:val="-11"/>
          <w:sz w:val="16"/>
          <w:szCs w:val="16"/>
        </w:rPr>
        <w:t xml:space="preserve"> </w:t>
      </w:r>
      <w:r>
        <w:rPr>
          <w:rFonts w:ascii="微软雅黑" w:hAnsi="微软雅黑" w:eastAsia="微软雅黑" w:cs="微软雅黑"/>
          <w:spacing w:val="30"/>
          <w:sz w:val="16"/>
          <w:szCs w:val="16"/>
        </w:rPr>
        <w:t>相对于质量承</w:t>
      </w:r>
      <w:r>
        <w:rPr>
          <w:rFonts w:ascii="微软雅黑" w:hAnsi="微软雅黑" w:eastAsia="微软雅黑" w:cs="微软雅黑"/>
          <w:spacing w:val="-22"/>
          <w:sz w:val="16"/>
          <w:szCs w:val="16"/>
        </w:rPr>
        <w:t xml:space="preserve"> </w:t>
      </w:r>
      <w:r>
        <w:rPr>
          <w:rFonts w:ascii="微软雅黑" w:hAnsi="微软雅黑" w:eastAsia="微软雅黑" w:cs="微软雅黑"/>
          <w:spacing w:val="30"/>
          <w:sz w:val="16"/>
          <w:szCs w:val="16"/>
        </w:rPr>
        <w:t>诺</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方</w:t>
      </w:r>
      <w:r>
        <w:rPr>
          <w:rFonts w:ascii="微软雅黑" w:hAnsi="微软雅黑" w:eastAsia="微软雅黑" w:cs="微软雅黑"/>
          <w:spacing w:val="-11"/>
          <w:sz w:val="16"/>
          <w:szCs w:val="16"/>
        </w:rPr>
        <w:t xml:space="preserve"> </w:t>
      </w:r>
      <w:r>
        <w:rPr>
          <w:rFonts w:ascii="微软雅黑" w:hAnsi="微软雅黑" w:eastAsia="微软雅黑" w:cs="微软雅黑"/>
          <w:spacing w:val="30"/>
          <w:sz w:val="16"/>
          <w:szCs w:val="16"/>
        </w:rPr>
        <w:t>面</w:t>
      </w:r>
      <w:r>
        <w:rPr>
          <w:rFonts w:ascii="微软雅黑" w:hAnsi="微软雅黑" w:eastAsia="微软雅黑" w:cs="微软雅黑"/>
          <w:spacing w:val="-24"/>
          <w:sz w:val="16"/>
          <w:szCs w:val="16"/>
        </w:rPr>
        <w:t xml:space="preserve"> </w:t>
      </w:r>
      <w:r>
        <w:rPr>
          <w:rFonts w:ascii="微软雅黑" w:hAnsi="微软雅黑" w:eastAsia="微软雅黑" w:cs="微软雅黑"/>
          <w:spacing w:val="30"/>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量</w:t>
      </w:r>
      <w:r>
        <w:rPr>
          <w:rFonts w:ascii="微软雅黑" w:hAnsi="微软雅黑" w:eastAsia="微软雅黑" w:cs="微软雅黑"/>
          <w:spacing w:val="-16"/>
          <w:sz w:val="16"/>
          <w:szCs w:val="16"/>
        </w:rPr>
        <w:t xml:space="preserve"> </w:t>
      </w:r>
      <w:r>
        <w:rPr>
          <w:rFonts w:ascii="微软雅黑" w:hAnsi="微软雅黑" w:eastAsia="微软雅黑" w:cs="微软雅黑"/>
          <w:spacing w:val="30"/>
          <w:sz w:val="16"/>
          <w:szCs w:val="16"/>
        </w:rPr>
        <w:t>管</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理</w:t>
      </w:r>
      <w:r>
        <w:rPr>
          <w:rFonts w:ascii="微软雅黑" w:hAnsi="微软雅黑" w:eastAsia="微软雅黑" w:cs="微软雅黑"/>
          <w:spacing w:val="-16"/>
          <w:sz w:val="16"/>
          <w:szCs w:val="16"/>
        </w:rPr>
        <w:t xml:space="preserve"> </w:t>
      </w:r>
      <w:r>
        <w:rPr>
          <w:rFonts w:ascii="微软雅黑" w:hAnsi="微软雅黑" w:eastAsia="微软雅黑" w:cs="微软雅黑"/>
          <w:spacing w:val="30"/>
          <w:sz w:val="16"/>
          <w:szCs w:val="16"/>
        </w:rPr>
        <w:t>实</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践</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较</w:t>
      </w:r>
      <w:r>
        <w:rPr>
          <w:rFonts w:ascii="微软雅黑" w:hAnsi="微软雅黑" w:eastAsia="微软雅黑" w:cs="微软雅黑"/>
          <w:spacing w:val="-14"/>
          <w:sz w:val="16"/>
          <w:szCs w:val="16"/>
        </w:rPr>
        <w:t xml:space="preserve"> </w:t>
      </w:r>
      <w:r>
        <w:rPr>
          <w:rFonts w:ascii="微软雅黑" w:hAnsi="微软雅黑" w:eastAsia="微软雅黑" w:cs="微软雅黑"/>
          <w:spacing w:val="30"/>
          <w:sz w:val="16"/>
          <w:szCs w:val="16"/>
        </w:rPr>
        <w:t>为</w:t>
      </w:r>
      <w:r>
        <w:rPr>
          <w:rFonts w:ascii="微软雅黑" w:hAnsi="微软雅黑" w:eastAsia="微软雅黑" w:cs="微软雅黑"/>
          <w:spacing w:val="-12"/>
          <w:sz w:val="16"/>
          <w:szCs w:val="16"/>
        </w:rPr>
        <w:t xml:space="preserve"> </w:t>
      </w:r>
      <w:r>
        <w:rPr>
          <w:rFonts w:ascii="微软雅黑" w:hAnsi="微软雅黑" w:eastAsia="微软雅黑" w:cs="微软雅黑"/>
          <w:spacing w:val="30"/>
          <w:sz w:val="16"/>
          <w:szCs w:val="16"/>
        </w:rPr>
        <w:t>丰</w:t>
      </w:r>
      <w:r>
        <w:rPr>
          <w:rFonts w:ascii="微软雅黑" w:hAnsi="微软雅黑" w:eastAsia="微软雅黑" w:cs="微软雅黑"/>
          <w:sz w:val="16"/>
          <w:szCs w:val="16"/>
        </w:rPr>
        <w:t xml:space="preserve"> </w:t>
      </w:r>
      <w:r>
        <w:rPr>
          <w:rFonts w:ascii="微软雅黑" w:hAnsi="微软雅黑" w:eastAsia="微软雅黑" w:cs="微软雅黑"/>
          <w:spacing w:val="37"/>
          <w:sz w:val="16"/>
          <w:szCs w:val="16"/>
        </w:rPr>
        <w:t>富</w:t>
      </w:r>
      <w:r>
        <w:rPr>
          <w:rFonts w:ascii="微软雅黑" w:hAnsi="微软雅黑" w:eastAsia="微软雅黑" w:cs="微软雅黑"/>
          <w:spacing w:val="-19"/>
          <w:sz w:val="16"/>
          <w:szCs w:val="16"/>
        </w:rPr>
        <w:t xml:space="preserve"> </w:t>
      </w:r>
      <w:r>
        <w:rPr>
          <w:rFonts w:ascii="微软雅黑" w:hAnsi="微软雅黑" w:eastAsia="微软雅黑" w:cs="微软雅黑"/>
          <w:spacing w:val="37"/>
          <w:sz w:val="16"/>
          <w:szCs w:val="16"/>
        </w:rPr>
        <w:t>，最为明显的</w:t>
      </w:r>
      <w:r>
        <w:rPr>
          <w:rFonts w:ascii="微软雅黑" w:hAnsi="微软雅黑" w:eastAsia="微软雅黑" w:cs="微软雅黑"/>
          <w:spacing w:val="-27"/>
          <w:sz w:val="16"/>
          <w:szCs w:val="16"/>
        </w:rPr>
        <w:t xml:space="preserve"> </w:t>
      </w:r>
      <w:r>
        <w:rPr>
          <w:rFonts w:ascii="微软雅黑" w:hAnsi="微软雅黑" w:eastAsia="微软雅黑" w:cs="微软雅黑"/>
          <w:spacing w:val="37"/>
          <w:sz w:val="16"/>
          <w:szCs w:val="16"/>
        </w:rPr>
        <w:t>一</w:t>
      </w:r>
      <w:r>
        <w:rPr>
          <w:rFonts w:ascii="微软雅黑" w:hAnsi="微软雅黑" w:eastAsia="微软雅黑" w:cs="微软雅黑"/>
          <w:spacing w:val="-28"/>
          <w:sz w:val="16"/>
          <w:szCs w:val="16"/>
        </w:rPr>
        <w:t xml:space="preserve"> </w:t>
      </w:r>
      <w:r>
        <w:rPr>
          <w:rFonts w:ascii="微软雅黑" w:hAnsi="微软雅黑" w:eastAsia="微软雅黑" w:cs="微软雅黑"/>
          <w:spacing w:val="37"/>
          <w:sz w:val="16"/>
          <w:szCs w:val="16"/>
        </w:rPr>
        <w:t>是大学科学化的管理</w:t>
      </w:r>
      <w:r>
        <w:rPr>
          <w:rFonts w:ascii="微软雅黑" w:hAnsi="微软雅黑" w:eastAsia="微软雅黑" w:cs="微软雅黑"/>
          <w:spacing w:val="-24"/>
          <w:sz w:val="16"/>
          <w:szCs w:val="16"/>
        </w:rPr>
        <w:t xml:space="preserve"> </w:t>
      </w:r>
      <w:r>
        <w:rPr>
          <w:rFonts w:ascii="微软雅黑" w:hAnsi="微软雅黑" w:eastAsia="微软雅黑" w:cs="微软雅黑"/>
          <w:spacing w:val="37"/>
          <w:sz w:val="16"/>
          <w:szCs w:val="16"/>
        </w:rPr>
        <w:t>，包括先进管</w:t>
      </w:r>
      <w:r>
        <w:rPr>
          <w:rFonts w:ascii="微软雅黑" w:hAnsi="微软雅黑" w:eastAsia="微软雅黑" w:cs="微软雅黑"/>
          <w:sz w:val="16"/>
          <w:szCs w:val="16"/>
        </w:rPr>
        <w:t xml:space="preserve"> </w:t>
      </w:r>
      <w:r>
        <w:rPr>
          <w:rFonts w:ascii="微软雅黑" w:hAnsi="微软雅黑" w:eastAsia="微软雅黑" w:cs="微软雅黑"/>
          <w:spacing w:val="20"/>
          <w:sz w:val="16"/>
          <w:szCs w:val="16"/>
        </w:rPr>
        <w:t>理理念</w:t>
      </w:r>
      <w:r>
        <w:rPr>
          <w:rFonts w:ascii="微软雅黑" w:hAnsi="微软雅黑" w:eastAsia="微软雅黑" w:cs="微软雅黑"/>
          <w:spacing w:val="-15"/>
          <w:sz w:val="16"/>
          <w:szCs w:val="16"/>
        </w:rPr>
        <w:t xml:space="preserve"> </w:t>
      </w:r>
      <w:r>
        <w:rPr>
          <w:rFonts w:ascii="微软雅黑" w:hAnsi="微软雅黑" w:eastAsia="微软雅黑" w:cs="微软雅黑"/>
          <w:spacing w:val="20"/>
          <w:sz w:val="16"/>
          <w:szCs w:val="16"/>
        </w:rPr>
        <w:t>、准</w:t>
      </w:r>
      <w:r>
        <w:rPr>
          <w:rFonts w:ascii="微软雅黑" w:hAnsi="微软雅黑" w:eastAsia="微软雅黑" w:cs="微软雅黑"/>
          <w:spacing w:val="-15"/>
          <w:sz w:val="16"/>
          <w:szCs w:val="16"/>
        </w:rPr>
        <w:t xml:space="preserve"> </w:t>
      </w:r>
      <w:r>
        <w:rPr>
          <w:rFonts w:ascii="微软雅黑" w:hAnsi="微软雅黑" w:eastAsia="微软雅黑" w:cs="微软雅黑"/>
          <w:spacing w:val="20"/>
          <w:sz w:val="16"/>
          <w:szCs w:val="16"/>
        </w:rPr>
        <w:t>则</w:t>
      </w:r>
      <w:r>
        <w:rPr>
          <w:rFonts w:ascii="微软雅黑" w:hAnsi="微软雅黑" w:eastAsia="微软雅黑" w:cs="微软雅黑"/>
          <w:spacing w:val="-8"/>
          <w:sz w:val="16"/>
          <w:szCs w:val="16"/>
        </w:rPr>
        <w:t xml:space="preserve"> </w:t>
      </w:r>
      <w:r>
        <w:rPr>
          <w:rFonts w:ascii="微软雅黑" w:hAnsi="微软雅黑" w:eastAsia="微软雅黑" w:cs="微软雅黑"/>
          <w:spacing w:val="20"/>
          <w:sz w:val="16"/>
          <w:szCs w:val="16"/>
        </w:rPr>
        <w:t>和</w:t>
      </w:r>
      <w:r>
        <w:rPr>
          <w:rFonts w:ascii="微软雅黑" w:hAnsi="微软雅黑" w:eastAsia="微软雅黑" w:cs="微软雅黑"/>
          <w:spacing w:val="-14"/>
          <w:sz w:val="16"/>
          <w:szCs w:val="16"/>
        </w:rPr>
        <w:t xml:space="preserve"> </w:t>
      </w:r>
      <w:r>
        <w:rPr>
          <w:rFonts w:ascii="微软雅黑" w:hAnsi="微软雅黑" w:eastAsia="微软雅黑" w:cs="微软雅黑"/>
          <w:spacing w:val="20"/>
          <w:sz w:val="16"/>
          <w:szCs w:val="16"/>
        </w:rPr>
        <w:t>工</w:t>
      </w:r>
      <w:r>
        <w:rPr>
          <w:rFonts w:ascii="微软雅黑" w:hAnsi="微软雅黑" w:eastAsia="微软雅黑" w:cs="微软雅黑"/>
          <w:spacing w:val="-15"/>
          <w:sz w:val="16"/>
          <w:szCs w:val="16"/>
        </w:rPr>
        <w:t xml:space="preserve"> </w:t>
      </w:r>
      <w:r>
        <w:rPr>
          <w:rFonts w:ascii="微软雅黑" w:hAnsi="微软雅黑" w:eastAsia="微软雅黑" w:cs="微软雅黑"/>
          <w:spacing w:val="20"/>
          <w:sz w:val="16"/>
          <w:szCs w:val="16"/>
        </w:rPr>
        <w:t>具 的</w:t>
      </w:r>
      <w:r>
        <w:rPr>
          <w:rFonts w:ascii="微软雅黑" w:hAnsi="微软雅黑" w:eastAsia="微软雅黑" w:cs="微软雅黑"/>
          <w:spacing w:val="-7"/>
          <w:sz w:val="16"/>
          <w:szCs w:val="16"/>
        </w:rPr>
        <w:t xml:space="preserve"> </w:t>
      </w:r>
      <w:r>
        <w:rPr>
          <w:rFonts w:ascii="微软雅黑" w:hAnsi="微软雅黑" w:eastAsia="微软雅黑" w:cs="微软雅黑"/>
          <w:spacing w:val="20"/>
          <w:sz w:val="16"/>
          <w:szCs w:val="16"/>
        </w:rPr>
        <w:t>引</w:t>
      </w:r>
      <w:r>
        <w:rPr>
          <w:rFonts w:ascii="微软雅黑" w:hAnsi="微软雅黑" w:eastAsia="微软雅黑" w:cs="微软雅黑"/>
          <w:spacing w:val="-15"/>
          <w:sz w:val="16"/>
          <w:szCs w:val="16"/>
        </w:rPr>
        <w:t xml:space="preserve"> </w:t>
      </w:r>
      <w:r>
        <w:rPr>
          <w:rFonts w:ascii="微软雅黑" w:hAnsi="微软雅黑" w:eastAsia="微软雅黑" w:cs="微软雅黑"/>
          <w:spacing w:val="20"/>
          <w:sz w:val="16"/>
          <w:szCs w:val="16"/>
        </w:rPr>
        <w:t>入；二</w:t>
      </w:r>
      <w:r>
        <w:rPr>
          <w:rFonts w:ascii="微软雅黑" w:hAnsi="微软雅黑" w:eastAsia="微软雅黑" w:cs="微软雅黑"/>
          <w:spacing w:val="-12"/>
          <w:sz w:val="16"/>
          <w:szCs w:val="16"/>
        </w:rPr>
        <w:t xml:space="preserve"> </w:t>
      </w:r>
      <w:r>
        <w:rPr>
          <w:rFonts w:ascii="微软雅黑" w:hAnsi="微软雅黑" w:eastAsia="微软雅黑" w:cs="微软雅黑"/>
          <w:spacing w:val="20"/>
          <w:sz w:val="16"/>
          <w:szCs w:val="16"/>
        </w:rPr>
        <w:t>是</w:t>
      </w:r>
      <w:r>
        <w:rPr>
          <w:rFonts w:ascii="微软雅黑" w:hAnsi="微软雅黑" w:eastAsia="微软雅黑" w:cs="微软雅黑"/>
          <w:spacing w:val="-10"/>
          <w:sz w:val="16"/>
          <w:szCs w:val="16"/>
        </w:rPr>
        <w:t xml:space="preserve"> </w:t>
      </w:r>
      <w:r>
        <w:rPr>
          <w:rFonts w:ascii="微软雅黑" w:hAnsi="微软雅黑" w:eastAsia="微软雅黑" w:cs="微软雅黑"/>
          <w:spacing w:val="20"/>
          <w:sz w:val="16"/>
          <w:szCs w:val="16"/>
        </w:rPr>
        <w:t>学 习</w:t>
      </w:r>
      <w:r>
        <w:rPr>
          <w:rFonts w:ascii="微软雅黑" w:hAnsi="微软雅黑" w:eastAsia="微软雅黑" w:cs="微软雅黑"/>
          <w:spacing w:val="-7"/>
          <w:sz w:val="16"/>
          <w:szCs w:val="16"/>
        </w:rPr>
        <w:t xml:space="preserve"> </w:t>
      </w:r>
      <w:r>
        <w:rPr>
          <w:rFonts w:ascii="微软雅黑" w:hAnsi="微软雅黑" w:eastAsia="微软雅黑" w:cs="微软雅黑"/>
          <w:spacing w:val="20"/>
          <w:sz w:val="16"/>
          <w:szCs w:val="16"/>
        </w:rPr>
        <w:t>型</w:t>
      </w:r>
      <w:r>
        <w:rPr>
          <w:rFonts w:ascii="微软雅黑" w:hAnsi="微软雅黑" w:eastAsia="微软雅黑" w:cs="微软雅黑"/>
          <w:spacing w:val="-13"/>
          <w:sz w:val="16"/>
          <w:szCs w:val="16"/>
        </w:rPr>
        <w:t xml:space="preserve"> </w:t>
      </w:r>
      <w:r>
        <w:rPr>
          <w:rFonts w:ascii="微软雅黑" w:hAnsi="微软雅黑" w:eastAsia="微软雅黑" w:cs="微软雅黑"/>
          <w:spacing w:val="20"/>
          <w:sz w:val="16"/>
          <w:szCs w:val="16"/>
        </w:rPr>
        <w:t>组</w:t>
      </w:r>
      <w:r>
        <w:rPr>
          <w:rFonts w:ascii="微软雅黑" w:hAnsi="微软雅黑" w:eastAsia="微软雅黑" w:cs="微软雅黑"/>
          <w:spacing w:val="-11"/>
          <w:sz w:val="16"/>
          <w:szCs w:val="16"/>
        </w:rPr>
        <w:t xml:space="preserve"> </w:t>
      </w:r>
      <w:r>
        <w:rPr>
          <w:rFonts w:ascii="微软雅黑" w:hAnsi="微软雅黑" w:eastAsia="微软雅黑" w:cs="微软雅黑"/>
          <w:spacing w:val="20"/>
          <w:sz w:val="16"/>
          <w:szCs w:val="16"/>
        </w:rPr>
        <w:t>织 的</w:t>
      </w:r>
      <w:r>
        <w:rPr>
          <w:rFonts w:ascii="微软雅黑" w:hAnsi="微软雅黑" w:eastAsia="微软雅黑" w:cs="微软雅黑"/>
          <w:spacing w:val="-13"/>
          <w:sz w:val="16"/>
          <w:szCs w:val="16"/>
        </w:rPr>
        <w:t xml:space="preserve"> </w:t>
      </w:r>
      <w:r>
        <w:rPr>
          <w:rFonts w:ascii="微软雅黑" w:hAnsi="微软雅黑" w:eastAsia="微软雅黑" w:cs="微软雅黑"/>
          <w:spacing w:val="20"/>
          <w:sz w:val="16"/>
          <w:szCs w:val="16"/>
        </w:rPr>
        <w:t>建</w:t>
      </w:r>
      <w:r>
        <w:rPr>
          <w:rFonts w:ascii="微软雅黑" w:hAnsi="微软雅黑" w:eastAsia="微软雅黑" w:cs="微软雅黑"/>
          <w:sz w:val="16"/>
          <w:szCs w:val="16"/>
        </w:rPr>
        <w:t xml:space="preserve"> </w:t>
      </w:r>
      <w:r>
        <w:rPr>
          <w:rFonts w:ascii="微软雅黑" w:hAnsi="微软雅黑" w:eastAsia="微软雅黑" w:cs="微软雅黑"/>
          <w:spacing w:val="29"/>
          <w:sz w:val="16"/>
          <w:szCs w:val="16"/>
        </w:rPr>
        <w:t>设</w:t>
      </w:r>
      <w:r>
        <w:rPr>
          <w:rFonts w:ascii="微软雅黑" w:hAnsi="微软雅黑" w:eastAsia="微软雅黑" w:cs="微软雅黑"/>
          <w:spacing w:val="-14"/>
          <w:sz w:val="16"/>
          <w:szCs w:val="16"/>
        </w:rPr>
        <w:t xml:space="preserve"> </w:t>
      </w:r>
      <w:r>
        <w:rPr>
          <w:rFonts w:ascii="微软雅黑" w:hAnsi="微软雅黑" w:eastAsia="微软雅黑" w:cs="微软雅黑"/>
          <w:spacing w:val="29"/>
          <w:sz w:val="16"/>
          <w:szCs w:val="16"/>
        </w:rPr>
        <w:t>，包括中层管理和</w:t>
      </w:r>
      <w:r>
        <w:rPr>
          <w:rFonts w:ascii="微软雅黑" w:hAnsi="微软雅黑" w:eastAsia="微软雅黑" w:cs="微软雅黑"/>
          <w:spacing w:val="-15"/>
          <w:sz w:val="16"/>
          <w:szCs w:val="16"/>
        </w:rPr>
        <w:t xml:space="preserve"> </w:t>
      </w:r>
      <w:r>
        <w:rPr>
          <w:rFonts w:ascii="微软雅黑" w:hAnsi="微软雅黑" w:eastAsia="微软雅黑" w:cs="微软雅黑"/>
          <w:spacing w:val="29"/>
          <w:sz w:val="16"/>
          <w:szCs w:val="16"/>
        </w:rPr>
        <w:t>骨</w:t>
      </w:r>
      <w:r>
        <w:rPr>
          <w:rFonts w:ascii="微软雅黑" w:hAnsi="微软雅黑" w:eastAsia="微软雅黑" w:cs="微软雅黑"/>
          <w:spacing w:val="-14"/>
          <w:sz w:val="16"/>
          <w:szCs w:val="16"/>
        </w:rPr>
        <w:t xml:space="preserve"> </w:t>
      </w:r>
      <w:r>
        <w:rPr>
          <w:rFonts w:ascii="微软雅黑" w:hAnsi="微软雅黑" w:eastAsia="微软雅黑" w:cs="微软雅黑"/>
          <w:spacing w:val="29"/>
          <w:sz w:val="16"/>
          <w:szCs w:val="16"/>
        </w:rPr>
        <w:t>干</w:t>
      </w:r>
      <w:r>
        <w:rPr>
          <w:rFonts w:ascii="微软雅黑" w:hAnsi="微软雅黑" w:eastAsia="微软雅黑" w:cs="微软雅黑"/>
          <w:spacing w:val="-3"/>
          <w:sz w:val="16"/>
          <w:szCs w:val="16"/>
        </w:rPr>
        <w:t xml:space="preserve"> </w:t>
      </w:r>
      <w:r>
        <w:rPr>
          <w:rFonts w:ascii="微软雅黑" w:hAnsi="微软雅黑" w:eastAsia="微软雅黑" w:cs="微软雅黑"/>
          <w:spacing w:val="29"/>
          <w:sz w:val="16"/>
          <w:szCs w:val="16"/>
        </w:rPr>
        <w:t>队</w:t>
      </w:r>
      <w:r>
        <w:rPr>
          <w:rFonts w:ascii="微软雅黑" w:hAnsi="微软雅黑" w:eastAsia="微软雅黑" w:cs="微软雅黑"/>
          <w:spacing w:val="-19"/>
          <w:sz w:val="16"/>
          <w:szCs w:val="16"/>
        </w:rPr>
        <w:t xml:space="preserve"> </w:t>
      </w:r>
      <w:r>
        <w:rPr>
          <w:rFonts w:ascii="微软雅黑" w:hAnsi="微软雅黑" w:eastAsia="微软雅黑" w:cs="微软雅黑"/>
          <w:spacing w:val="29"/>
          <w:sz w:val="16"/>
          <w:szCs w:val="16"/>
        </w:rPr>
        <w:t>伍</w:t>
      </w:r>
      <w:r>
        <w:rPr>
          <w:rFonts w:ascii="微软雅黑" w:hAnsi="微软雅黑" w:eastAsia="微软雅黑" w:cs="微软雅黑"/>
          <w:spacing w:val="-19"/>
          <w:sz w:val="16"/>
          <w:szCs w:val="16"/>
        </w:rPr>
        <w:t xml:space="preserve"> </w:t>
      </w:r>
      <w:r>
        <w:rPr>
          <w:rFonts w:ascii="微软雅黑" w:hAnsi="微软雅黑" w:eastAsia="微软雅黑" w:cs="微软雅黑"/>
          <w:spacing w:val="29"/>
          <w:sz w:val="16"/>
          <w:szCs w:val="16"/>
        </w:rPr>
        <w:t>建</w:t>
      </w:r>
      <w:r>
        <w:rPr>
          <w:rFonts w:ascii="微软雅黑" w:hAnsi="微软雅黑" w:eastAsia="微软雅黑" w:cs="微软雅黑"/>
          <w:spacing w:val="-21"/>
          <w:sz w:val="16"/>
          <w:szCs w:val="16"/>
        </w:rPr>
        <w:t xml:space="preserve"> </w:t>
      </w:r>
      <w:r>
        <w:rPr>
          <w:rFonts w:ascii="微软雅黑" w:hAnsi="微软雅黑" w:eastAsia="微软雅黑" w:cs="微软雅黑"/>
          <w:spacing w:val="29"/>
          <w:sz w:val="16"/>
          <w:szCs w:val="16"/>
        </w:rPr>
        <w:t>设</w:t>
      </w:r>
      <w:r>
        <w:rPr>
          <w:rFonts w:ascii="微软雅黑" w:hAnsi="微软雅黑" w:eastAsia="微软雅黑" w:cs="微软雅黑"/>
          <w:spacing w:val="-16"/>
          <w:sz w:val="16"/>
          <w:szCs w:val="16"/>
        </w:rPr>
        <w:t xml:space="preserve"> </w:t>
      </w:r>
      <w:r>
        <w:rPr>
          <w:rFonts w:ascii="微软雅黑" w:hAnsi="微软雅黑" w:eastAsia="微软雅黑" w:cs="微软雅黑"/>
          <w:spacing w:val="29"/>
          <w:sz w:val="16"/>
          <w:szCs w:val="16"/>
        </w:rPr>
        <w:t>等</w:t>
      </w:r>
      <w:r>
        <w:rPr>
          <w:rFonts w:ascii="微软雅黑" w:hAnsi="微软雅黑" w:eastAsia="微软雅黑" w:cs="微软雅黑"/>
          <w:spacing w:val="-5"/>
          <w:sz w:val="16"/>
          <w:szCs w:val="16"/>
        </w:rPr>
        <w:t xml:space="preserve"> </w:t>
      </w:r>
      <w:r>
        <w:rPr>
          <w:rFonts w:ascii="微软雅黑" w:hAnsi="微软雅黑" w:eastAsia="微软雅黑" w:cs="微软雅黑"/>
          <w:spacing w:val="29"/>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29"/>
          <w:sz w:val="16"/>
          <w:szCs w:val="16"/>
        </w:rPr>
        <w:t>在</w:t>
      </w:r>
      <w:r>
        <w:rPr>
          <w:rFonts w:ascii="微软雅黑" w:hAnsi="微软雅黑" w:eastAsia="微软雅黑" w:cs="微软雅黑"/>
          <w:spacing w:val="-17"/>
          <w:sz w:val="16"/>
          <w:szCs w:val="16"/>
        </w:rPr>
        <w:t xml:space="preserve"> </w:t>
      </w:r>
      <w:r>
        <w:rPr>
          <w:rFonts w:ascii="微软雅黑" w:hAnsi="微软雅黑" w:eastAsia="微软雅黑" w:cs="微软雅黑"/>
          <w:spacing w:val="29"/>
          <w:sz w:val="16"/>
          <w:szCs w:val="16"/>
        </w:rPr>
        <w:t>这</w:t>
      </w:r>
      <w:r>
        <w:rPr>
          <w:rFonts w:ascii="微软雅黑" w:hAnsi="微软雅黑" w:eastAsia="微软雅黑" w:cs="微软雅黑"/>
          <w:spacing w:val="-17"/>
          <w:sz w:val="16"/>
          <w:szCs w:val="16"/>
        </w:rPr>
        <w:t xml:space="preserve"> </w:t>
      </w:r>
      <w:r>
        <w:rPr>
          <w:rFonts w:ascii="微软雅黑" w:hAnsi="微软雅黑" w:eastAsia="微软雅黑" w:cs="微软雅黑"/>
          <w:spacing w:val="29"/>
          <w:sz w:val="16"/>
          <w:szCs w:val="16"/>
        </w:rPr>
        <w:t>一</w:t>
      </w:r>
      <w:r>
        <w:rPr>
          <w:rFonts w:ascii="微软雅黑" w:hAnsi="微软雅黑" w:eastAsia="微软雅黑" w:cs="微软雅黑"/>
          <w:spacing w:val="-17"/>
          <w:sz w:val="16"/>
          <w:szCs w:val="16"/>
        </w:rPr>
        <w:t xml:space="preserve"> </w:t>
      </w:r>
      <w:r>
        <w:rPr>
          <w:rFonts w:ascii="微软雅黑" w:hAnsi="微软雅黑" w:eastAsia="微软雅黑" w:cs="微软雅黑"/>
          <w:spacing w:val="29"/>
          <w:sz w:val="16"/>
          <w:szCs w:val="16"/>
        </w:rPr>
        <w:t>过</w:t>
      </w:r>
      <w:r>
        <w:rPr>
          <w:rFonts w:ascii="微软雅黑" w:hAnsi="微软雅黑" w:eastAsia="微软雅黑" w:cs="微软雅黑"/>
          <w:spacing w:val="-17"/>
          <w:sz w:val="16"/>
          <w:szCs w:val="16"/>
        </w:rPr>
        <w:t xml:space="preserve"> </w:t>
      </w:r>
      <w:r>
        <w:rPr>
          <w:rFonts w:ascii="微软雅黑" w:hAnsi="微软雅黑" w:eastAsia="微软雅黑" w:cs="微软雅黑"/>
          <w:spacing w:val="29"/>
          <w:sz w:val="16"/>
          <w:szCs w:val="16"/>
        </w:rPr>
        <w:t>程</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中</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，学校战略和领导发挥了非常关键的作用</w:t>
      </w:r>
      <w:r>
        <w:rPr>
          <w:rFonts w:ascii="微软雅黑" w:hAnsi="微软雅黑" w:eastAsia="微软雅黑" w:cs="微软雅黑"/>
          <w:spacing w:val="-23"/>
          <w:sz w:val="16"/>
          <w:szCs w:val="16"/>
        </w:rPr>
        <w:t xml:space="preserve"> </w:t>
      </w:r>
      <w:r>
        <w:rPr>
          <w:rFonts w:ascii="微软雅黑" w:hAnsi="微软雅黑" w:eastAsia="微软雅黑" w:cs="微软雅黑"/>
          <w:spacing w:val="39"/>
          <w:sz w:val="16"/>
          <w:szCs w:val="16"/>
        </w:rPr>
        <w:t>，主</w:t>
      </w:r>
      <w:r>
        <w:rPr>
          <w:rFonts w:ascii="微软雅黑" w:hAnsi="微软雅黑" w:eastAsia="微软雅黑" w:cs="微软雅黑"/>
          <w:spacing w:val="38"/>
          <w:sz w:val="16"/>
          <w:szCs w:val="16"/>
        </w:rPr>
        <w:t>导形</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成了以质量为核心的战略规</w:t>
      </w:r>
      <w:r>
        <w:rPr>
          <w:rFonts w:ascii="微软雅黑" w:hAnsi="微软雅黑" w:eastAsia="微软雅黑" w:cs="微软雅黑"/>
          <w:spacing w:val="-16"/>
          <w:sz w:val="16"/>
          <w:szCs w:val="16"/>
        </w:rPr>
        <w:t xml:space="preserve"> </w:t>
      </w:r>
      <w:r>
        <w:rPr>
          <w:rFonts w:ascii="微软雅黑" w:hAnsi="微软雅黑" w:eastAsia="微软雅黑" w:cs="微软雅黑"/>
          <w:spacing w:val="38"/>
          <w:sz w:val="16"/>
          <w:szCs w:val="16"/>
        </w:rPr>
        <w:t>划</w:t>
      </w:r>
      <w:r>
        <w:rPr>
          <w:rFonts w:ascii="微软雅黑" w:hAnsi="微软雅黑" w:eastAsia="微软雅黑" w:cs="微软雅黑"/>
          <w:spacing w:val="-24"/>
          <w:sz w:val="16"/>
          <w:szCs w:val="16"/>
        </w:rPr>
        <w:t xml:space="preserve"> </w:t>
      </w:r>
      <w:r>
        <w:rPr>
          <w:rFonts w:ascii="微软雅黑" w:hAnsi="微软雅黑" w:eastAsia="微软雅黑" w:cs="微软雅黑"/>
          <w:spacing w:val="38"/>
          <w:sz w:val="16"/>
          <w:szCs w:val="16"/>
        </w:rPr>
        <w:t>，将</w:t>
      </w:r>
      <w:r>
        <w:rPr>
          <w:rFonts w:ascii="微软雅黑" w:hAnsi="微软雅黑" w:eastAsia="微软雅黑" w:cs="微软雅黑"/>
          <w:spacing w:val="-16"/>
          <w:sz w:val="16"/>
          <w:szCs w:val="16"/>
        </w:rPr>
        <w:t xml:space="preserve"> </w:t>
      </w:r>
      <w:r>
        <w:rPr>
          <w:rFonts w:ascii="微软雅黑" w:hAnsi="微软雅黑" w:eastAsia="微软雅黑" w:cs="微软雅黑"/>
          <w:spacing w:val="38"/>
          <w:sz w:val="16"/>
          <w:szCs w:val="16"/>
        </w:rPr>
        <w:t>学</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校</w:t>
      </w:r>
      <w:r>
        <w:rPr>
          <w:rFonts w:ascii="微软雅黑" w:hAnsi="微软雅黑" w:eastAsia="微软雅黑" w:cs="微软雅黑"/>
          <w:spacing w:val="-19"/>
          <w:sz w:val="16"/>
          <w:szCs w:val="16"/>
        </w:rPr>
        <w:t xml:space="preserve"> </w:t>
      </w:r>
      <w:r>
        <w:rPr>
          <w:rFonts w:ascii="微软雅黑" w:hAnsi="微软雅黑" w:eastAsia="微软雅黑" w:cs="微软雅黑"/>
          <w:spacing w:val="38"/>
          <w:sz w:val="16"/>
          <w:szCs w:val="16"/>
        </w:rPr>
        <w:t>使</w:t>
      </w:r>
      <w:r>
        <w:rPr>
          <w:rFonts w:ascii="微软雅黑" w:hAnsi="微软雅黑" w:eastAsia="微软雅黑" w:cs="微软雅黑"/>
          <w:spacing w:val="-21"/>
          <w:sz w:val="16"/>
          <w:szCs w:val="16"/>
        </w:rPr>
        <w:t xml:space="preserve"> </w:t>
      </w:r>
      <w:r>
        <w:rPr>
          <w:rFonts w:ascii="微软雅黑" w:hAnsi="微软雅黑" w:eastAsia="微软雅黑" w:cs="微软雅黑"/>
          <w:spacing w:val="38"/>
          <w:sz w:val="16"/>
          <w:szCs w:val="16"/>
        </w:rPr>
        <w:t>命</w:t>
      </w:r>
      <w:r>
        <w:rPr>
          <w:rFonts w:ascii="微软雅黑" w:hAnsi="微软雅黑" w:eastAsia="微软雅黑" w:cs="微软雅黑"/>
          <w:spacing w:val="-12"/>
          <w:sz w:val="16"/>
          <w:szCs w:val="16"/>
        </w:rPr>
        <w:t xml:space="preserve"> </w:t>
      </w:r>
      <w:r>
        <w:rPr>
          <w:rFonts w:ascii="微软雅黑" w:hAnsi="微软雅黑" w:eastAsia="微软雅黑" w:cs="微软雅黑"/>
          <w:spacing w:val="38"/>
          <w:sz w:val="16"/>
          <w:szCs w:val="16"/>
        </w:rPr>
        <w:t>和</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量</w:t>
      </w:r>
      <w:r>
        <w:rPr>
          <w:rFonts w:ascii="微软雅黑" w:hAnsi="微软雅黑" w:eastAsia="微软雅黑" w:cs="微软雅黑"/>
          <w:sz w:val="16"/>
          <w:szCs w:val="16"/>
        </w:rPr>
        <w:t xml:space="preserve"> </w:t>
      </w:r>
      <w:r>
        <w:rPr>
          <w:rFonts w:ascii="微软雅黑" w:hAnsi="微软雅黑" w:eastAsia="微软雅黑" w:cs="微软雅黑"/>
          <w:spacing w:val="28"/>
          <w:sz w:val="16"/>
          <w:szCs w:val="16"/>
        </w:rPr>
        <w:t>观贯彻落实到质量</w:t>
      </w:r>
      <w:r>
        <w:rPr>
          <w:rFonts w:ascii="微软雅黑" w:hAnsi="微软雅黑" w:eastAsia="微软雅黑" w:cs="微软雅黑"/>
          <w:spacing w:val="-15"/>
          <w:sz w:val="16"/>
          <w:szCs w:val="16"/>
        </w:rPr>
        <w:t xml:space="preserve"> </w:t>
      </w:r>
      <w:r>
        <w:rPr>
          <w:rFonts w:ascii="微软雅黑" w:hAnsi="微软雅黑" w:eastAsia="微软雅黑" w:cs="微软雅黑"/>
          <w:spacing w:val="28"/>
          <w:sz w:val="16"/>
          <w:szCs w:val="16"/>
        </w:rPr>
        <w:t>管</w:t>
      </w:r>
      <w:r>
        <w:rPr>
          <w:rFonts w:ascii="微软雅黑" w:hAnsi="微软雅黑" w:eastAsia="微软雅黑" w:cs="微软雅黑"/>
          <w:spacing w:val="-17"/>
          <w:sz w:val="16"/>
          <w:szCs w:val="16"/>
        </w:rPr>
        <w:t xml:space="preserve"> </w:t>
      </w:r>
      <w:r>
        <w:rPr>
          <w:rFonts w:ascii="微软雅黑" w:hAnsi="微软雅黑" w:eastAsia="微软雅黑" w:cs="微软雅黑"/>
          <w:spacing w:val="28"/>
          <w:sz w:val="16"/>
          <w:szCs w:val="16"/>
        </w:rPr>
        <w:t>理</w:t>
      </w:r>
      <w:r>
        <w:rPr>
          <w:rFonts w:ascii="微软雅黑" w:hAnsi="微软雅黑" w:eastAsia="微软雅黑" w:cs="微软雅黑"/>
          <w:spacing w:val="-16"/>
          <w:sz w:val="16"/>
          <w:szCs w:val="16"/>
        </w:rPr>
        <w:t xml:space="preserve"> </w:t>
      </w:r>
      <w:r>
        <w:rPr>
          <w:rFonts w:ascii="微软雅黑" w:hAnsi="微软雅黑" w:eastAsia="微软雅黑" w:cs="微软雅黑"/>
          <w:spacing w:val="28"/>
          <w:sz w:val="16"/>
          <w:szCs w:val="16"/>
        </w:rPr>
        <w:t>实</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践</w:t>
      </w:r>
      <w:r>
        <w:rPr>
          <w:rFonts w:ascii="微软雅黑" w:hAnsi="微软雅黑" w:eastAsia="微软雅黑" w:cs="微软雅黑"/>
          <w:spacing w:val="-4"/>
          <w:sz w:val="16"/>
          <w:szCs w:val="16"/>
        </w:rPr>
        <w:t xml:space="preserve"> </w:t>
      </w:r>
      <w:r>
        <w:rPr>
          <w:rFonts w:ascii="微软雅黑" w:hAnsi="微软雅黑" w:eastAsia="微软雅黑" w:cs="微软雅黑"/>
          <w:spacing w:val="28"/>
          <w:sz w:val="16"/>
          <w:szCs w:val="16"/>
        </w:rPr>
        <w:t>当 中</w:t>
      </w:r>
      <w:r>
        <w:rPr>
          <w:rFonts w:ascii="微软雅黑" w:hAnsi="微软雅黑" w:eastAsia="微软雅黑" w:cs="微软雅黑"/>
          <w:spacing w:val="-5"/>
          <w:sz w:val="16"/>
          <w:szCs w:val="16"/>
        </w:rPr>
        <w:t xml:space="preserve"> </w:t>
      </w:r>
      <w:r>
        <w:rPr>
          <w:rFonts w:ascii="微软雅黑" w:hAnsi="微软雅黑" w:eastAsia="微软雅黑" w:cs="微软雅黑"/>
          <w:spacing w:val="28"/>
          <w:sz w:val="16"/>
          <w:szCs w:val="16"/>
        </w:rPr>
        <w:t>。</w:t>
      </w:r>
      <w:r>
        <w:rPr>
          <w:rFonts w:ascii="微软雅黑" w:hAnsi="微软雅黑" w:eastAsia="微软雅黑" w:cs="微软雅黑"/>
          <w:spacing w:val="-7"/>
          <w:sz w:val="16"/>
          <w:szCs w:val="16"/>
        </w:rPr>
        <w:t xml:space="preserve"> </w:t>
      </w:r>
      <w:r>
        <w:rPr>
          <w:rFonts w:ascii="微软雅黑" w:hAnsi="微软雅黑" w:eastAsia="微软雅黑" w:cs="微软雅黑"/>
          <w:spacing w:val="28"/>
          <w:sz w:val="16"/>
          <w:szCs w:val="16"/>
        </w:rPr>
        <w:t>但</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是</w:t>
      </w:r>
      <w:r>
        <w:rPr>
          <w:rFonts w:ascii="微软雅黑" w:hAnsi="微软雅黑" w:eastAsia="微软雅黑" w:cs="微软雅黑"/>
          <w:spacing w:val="-24"/>
          <w:sz w:val="16"/>
          <w:szCs w:val="16"/>
        </w:rPr>
        <w:t xml:space="preserve"> </w:t>
      </w:r>
      <w:r>
        <w:rPr>
          <w:rFonts w:ascii="微软雅黑" w:hAnsi="微软雅黑" w:eastAsia="微软雅黑" w:cs="微软雅黑"/>
          <w:spacing w:val="28"/>
          <w:sz w:val="16"/>
          <w:szCs w:val="16"/>
        </w:rPr>
        <w:t>，从</w:t>
      </w:r>
      <w:r>
        <w:rPr>
          <w:rFonts w:ascii="微软雅黑" w:hAnsi="微软雅黑" w:eastAsia="微软雅黑" w:cs="微软雅黑"/>
          <w:spacing w:val="-7"/>
          <w:sz w:val="16"/>
          <w:szCs w:val="16"/>
        </w:rPr>
        <w:t xml:space="preserve"> </w:t>
      </w:r>
      <w:r>
        <w:rPr>
          <w:rFonts w:ascii="微软雅黑" w:hAnsi="微软雅黑" w:eastAsia="微软雅黑" w:cs="微软雅黑"/>
          <w:spacing w:val="28"/>
          <w:sz w:val="16"/>
          <w:szCs w:val="16"/>
        </w:rPr>
        <w:t>战</w:t>
      </w:r>
      <w:r>
        <w:rPr>
          <w:rFonts w:ascii="微软雅黑" w:hAnsi="微软雅黑" w:eastAsia="微软雅黑" w:cs="微软雅黑"/>
          <w:spacing w:val="-8"/>
          <w:sz w:val="16"/>
          <w:szCs w:val="16"/>
        </w:rPr>
        <w:t xml:space="preserve"> </w:t>
      </w:r>
      <w:r>
        <w:rPr>
          <w:rFonts w:ascii="微软雅黑" w:hAnsi="微软雅黑" w:eastAsia="微软雅黑" w:cs="微软雅黑"/>
          <w:spacing w:val="28"/>
          <w:sz w:val="16"/>
          <w:szCs w:val="16"/>
        </w:rPr>
        <w:t>略</w:t>
      </w:r>
      <w:r>
        <w:rPr>
          <w:rFonts w:ascii="微软雅黑" w:hAnsi="微软雅黑" w:eastAsia="微软雅黑" w:cs="微软雅黑"/>
          <w:spacing w:val="-18"/>
          <w:sz w:val="16"/>
          <w:szCs w:val="16"/>
        </w:rPr>
        <w:t xml:space="preserve"> </w:t>
      </w:r>
      <w:r>
        <w:rPr>
          <w:rFonts w:ascii="微软雅黑" w:hAnsi="微软雅黑" w:eastAsia="微软雅黑" w:cs="微软雅黑"/>
          <w:spacing w:val="28"/>
          <w:sz w:val="16"/>
          <w:szCs w:val="16"/>
        </w:rPr>
        <w:t>规</w:t>
      </w:r>
      <w:r>
        <w:rPr>
          <w:rFonts w:ascii="微软雅黑" w:hAnsi="微软雅黑" w:eastAsia="微软雅黑" w:cs="微软雅黑"/>
          <w:sz w:val="16"/>
          <w:szCs w:val="16"/>
        </w:rPr>
        <w:t xml:space="preserve"> </w:t>
      </w:r>
      <w:r>
        <w:rPr>
          <w:rFonts w:ascii="微软雅黑" w:hAnsi="微软雅黑" w:eastAsia="微软雅黑" w:cs="微软雅黑"/>
          <w:spacing w:val="37"/>
          <w:sz w:val="16"/>
          <w:szCs w:val="16"/>
        </w:rPr>
        <w:t>划的角度来看</w:t>
      </w:r>
      <w:r>
        <w:rPr>
          <w:rFonts w:ascii="微软雅黑" w:hAnsi="微软雅黑" w:eastAsia="微软雅黑" w:cs="微软雅黑"/>
          <w:spacing w:val="-23"/>
          <w:sz w:val="16"/>
          <w:szCs w:val="16"/>
        </w:rPr>
        <w:t xml:space="preserve"> </w:t>
      </w:r>
      <w:r>
        <w:rPr>
          <w:rFonts w:ascii="微软雅黑" w:hAnsi="微软雅黑" w:eastAsia="微软雅黑" w:cs="微软雅黑"/>
          <w:spacing w:val="37"/>
          <w:sz w:val="16"/>
          <w:szCs w:val="16"/>
        </w:rPr>
        <w:t>，学校在质量文</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化</w:t>
      </w:r>
      <w:r>
        <w:rPr>
          <w:rFonts w:ascii="微软雅黑" w:hAnsi="微软雅黑" w:eastAsia="微软雅黑" w:cs="微软雅黑"/>
          <w:spacing w:val="-19"/>
          <w:sz w:val="16"/>
          <w:szCs w:val="16"/>
        </w:rPr>
        <w:t xml:space="preserve"> </w:t>
      </w:r>
      <w:r>
        <w:rPr>
          <w:rFonts w:ascii="微软雅黑" w:hAnsi="微软雅黑" w:eastAsia="微软雅黑" w:cs="微软雅黑"/>
          <w:spacing w:val="37"/>
          <w:sz w:val="16"/>
          <w:szCs w:val="16"/>
        </w:rPr>
        <w:t>建</w:t>
      </w:r>
      <w:r>
        <w:rPr>
          <w:rFonts w:ascii="微软雅黑" w:hAnsi="微软雅黑" w:eastAsia="微软雅黑" w:cs="微软雅黑"/>
          <w:spacing w:val="-21"/>
          <w:sz w:val="16"/>
          <w:szCs w:val="16"/>
        </w:rPr>
        <w:t xml:space="preserve"> </w:t>
      </w:r>
      <w:r>
        <w:rPr>
          <w:rFonts w:ascii="微软雅黑" w:hAnsi="微软雅黑" w:eastAsia="微软雅黑" w:cs="微软雅黑"/>
          <w:spacing w:val="37"/>
          <w:sz w:val="16"/>
          <w:szCs w:val="16"/>
        </w:rPr>
        <w:t>设</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方</w:t>
      </w:r>
      <w:r>
        <w:rPr>
          <w:rFonts w:ascii="微软雅黑" w:hAnsi="微软雅黑" w:eastAsia="微软雅黑" w:cs="微软雅黑"/>
          <w:spacing w:val="-12"/>
          <w:sz w:val="16"/>
          <w:szCs w:val="16"/>
        </w:rPr>
        <w:t xml:space="preserve"> </w:t>
      </w:r>
      <w:r>
        <w:rPr>
          <w:rFonts w:ascii="微软雅黑" w:hAnsi="微软雅黑" w:eastAsia="微软雅黑" w:cs="微软雅黑"/>
          <w:spacing w:val="37"/>
          <w:sz w:val="16"/>
          <w:szCs w:val="16"/>
        </w:rPr>
        <w:t>面</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还</w:t>
      </w:r>
      <w:r>
        <w:rPr>
          <w:rFonts w:ascii="微软雅黑" w:hAnsi="微软雅黑" w:eastAsia="微软雅黑" w:cs="微软雅黑"/>
          <w:spacing w:val="-20"/>
          <w:sz w:val="16"/>
          <w:szCs w:val="16"/>
        </w:rPr>
        <w:t xml:space="preserve"> </w:t>
      </w:r>
      <w:r>
        <w:rPr>
          <w:rFonts w:ascii="微软雅黑" w:hAnsi="微软雅黑" w:eastAsia="微软雅黑" w:cs="微软雅黑"/>
          <w:spacing w:val="37"/>
          <w:sz w:val="16"/>
          <w:szCs w:val="16"/>
        </w:rPr>
        <w:t>需</w:t>
      </w:r>
      <w:r>
        <w:rPr>
          <w:rFonts w:ascii="微软雅黑" w:hAnsi="微软雅黑" w:eastAsia="微软雅黑" w:cs="微软雅黑"/>
          <w:spacing w:val="-19"/>
          <w:sz w:val="16"/>
          <w:szCs w:val="16"/>
        </w:rPr>
        <w:t xml:space="preserve"> </w:t>
      </w:r>
      <w:r>
        <w:rPr>
          <w:rFonts w:ascii="微软雅黑" w:hAnsi="微软雅黑" w:eastAsia="微软雅黑" w:cs="微软雅黑"/>
          <w:spacing w:val="37"/>
          <w:sz w:val="16"/>
          <w:szCs w:val="16"/>
        </w:rPr>
        <w:t>要</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加</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强以下工作</w:t>
      </w:r>
      <w:r>
        <w:rPr>
          <w:rFonts w:ascii="微软雅黑" w:hAnsi="微软雅黑" w:eastAsia="微软雅黑" w:cs="微软雅黑"/>
          <w:spacing w:val="-13"/>
          <w:sz w:val="16"/>
          <w:szCs w:val="16"/>
        </w:rPr>
        <w:t xml:space="preserve"> </w:t>
      </w:r>
      <w:r>
        <w:rPr>
          <w:rFonts w:ascii="微软雅黑" w:hAnsi="微软雅黑" w:eastAsia="微软雅黑" w:cs="微软雅黑"/>
          <w:spacing w:val="38"/>
          <w:sz w:val="16"/>
          <w:szCs w:val="16"/>
        </w:rPr>
        <w:t>。</w:t>
      </w:r>
    </w:p>
    <w:p>
      <w:pPr>
        <w:spacing w:before="52" w:line="243" w:lineRule="auto"/>
        <w:ind w:left="906" w:right="223" w:firstLine="418"/>
        <w:jc w:val="both"/>
        <w:rPr>
          <w:rFonts w:ascii="微软雅黑" w:hAnsi="微软雅黑" w:eastAsia="微软雅黑" w:cs="微软雅黑"/>
          <w:sz w:val="16"/>
          <w:szCs w:val="16"/>
        </w:rPr>
      </w:pPr>
      <w:r>
        <w:rPr>
          <w:rFonts w:ascii="微软雅黑" w:hAnsi="微软雅黑" w:eastAsia="微软雅黑" w:cs="微软雅黑"/>
          <w:spacing w:val="24"/>
          <w:sz w:val="16"/>
          <w:szCs w:val="16"/>
        </w:rPr>
        <w:t>第一</w:t>
      </w:r>
      <w:r>
        <w:rPr>
          <w:rFonts w:ascii="微软雅黑" w:hAnsi="微软雅黑" w:eastAsia="微软雅黑" w:cs="微软雅黑"/>
          <w:spacing w:val="-16"/>
          <w:sz w:val="16"/>
          <w:szCs w:val="16"/>
        </w:rPr>
        <w:t xml:space="preserve"> </w:t>
      </w:r>
      <w:r>
        <w:rPr>
          <w:rFonts w:ascii="微软雅黑" w:hAnsi="微软雅黑" w:eastAsia="微软雅黑" w:cs="微软雅黑"/>
          <w:spacing w:val="24"/>
          <w:sz w:val="16"/>
          <w:szCs w:val="16"/>
        </w:rPr>
        <w:t>，在战略</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规</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划 中</w:t>
      </w:r>
      <w:r>
        <w:rPr>
          <w:rFonts w:ascii="微软雅黑" w:hAnsi="微软雅黑" w:eastAsia="微软雅黑" w:cs="微软雅黑"/>
          <w:spacing w:val="-20"/>
          <w:sz w:val="16"/>
          <w:szCs w:val="16"/>
        </w:rPr>
        <w:t xml:space="preserve"> </w:t>
      </w:r>
      <w:r>
        <w:rPr>
          <w:rFonts w:ascii="微软雅黑" w:hAnsi="微软雅黑" w:eastAsia="微软雅黑" w:cs="微软雅黑"/>
          <w:spacing w:val="24"/>
          <w:sz w:val="16"/>
          <w:szCs w:val="16"/>
        </w:rPr>
        <w:t>要</w:t>
      </w:r>
      <w:r>
        <w:rPr>
          <w:rFonts w:ascii="微软雅黑" w:hAnsi="微软雅黑" w:eastAsia="微软雅黑" w:cs="微软雅黑"/>
          <w:spacing w:val="-3"/>
          <w:sz w:val="16"/>
          <w:szCs w:val="16"/>
        </w:rPr>
        <w:t xml:space="preserve"> </w:t>
      </w:r>
      <w:r>
        <w:rPr>
          <w:rFonts w:ascii="微软雅黑" w:hAnsi="微软雅黑" w:eastAsia="微软雅黑" w:cs="微软雅黑"/>
          <w:spacing w:val="24"/>
          <w:sz w:val="16"/>
          <w:szCs w:val="16"/>
        </w:rPr>
        <w:t>明</w:t>
      </w:r>
      <w:r>
        <w:rPr>
          <w:rFonts w:ascii="微软雅黑" w:hAnsi="微软雅黑" w:eastAsia="微软雅黑" w:cs="微软雅黑"/>
          <w:spacing w:val="-16"/>
          <w:sz w:val="16"/>
          <w:szCs w:val="16"/>
        </w:rPr>
        <w:t xml:space="preserve"> </w:t>
      </w:r>
      <w:r>
        <w:rPr>
          <w:rFonts w:ascii="微软雅黑" w:hAnsi="微软雅黑" w:eastAsia="微软雅黑" w:cs="微软雅黑"/>
          <w:spacing w:val="24"/>
          <w:sz w:val="16"/>
          <w:szCs w:val="16"/>
        </w:rPr>
        <w:t>确</w:t>
      </w:r>
      <w:r>
        <w:rPr>
          <w:rFonts w:ascii="微软雅黑" w:hAnsi="微软雅黑" w:eastAsia="微软雅黑" w:cs="微软雅黑"/>
          <w:spacing w:val="-17"/>
          <w:sz w:val="16"/>
          <w:szCs w:val="16"/>
        </w:rPr>
        <w:t xml:space="preserve"> </w:t>
      </w:r>
      <w:r>
        <w:rPr>
          <w:rFonts w:ascii="微软雅黑" w:hAnsi="微软雅黑" w:eastAsia="微软雅黑" w:cs="微软雅黑"/>
          <w:spacing w:val="24"/>
          <w:sz w:val="16"/>
          <w:szCs w:val="16"/>
        </w:rPr>
        <w:t>学</w:t>
      </w:r>
      <w:r>
        <w:rPr>
          <w:rFonts w:ascii="微软雅黑" w:hAnsi="微软雅黑" w:eastAsia="微软雅黑" w:cs="微软雅黑"/>
          <w:spacing w:val="-16"/>
          <w:sz w:val="16"/>
          <w:szCs w:val="16"/>
        </w:rPr>
        <w:t xml:space="preserve"> </w:t>
      </w:r>
      <w:r>
        <w:rPr>
          <w:rFonts w:ascii="微软雅黑" w:hAnsi="微软雅黑" w:eastAsia="微软雅黑" w:cs="微软雅黑"/>
          <w:spacing w:val="24"/>
          <w:sz w:val="16"/>
          <w:szCs w:val="16"/>
        </w:rPr>
        <w:t>校</w:t>
      </w:r>
      <w:r>
        <w:rPr>
          <w:rFonts w:ascii="微软雅黑" w:hAnsi="微软雅黑" w:eastAsia="微软雅黑" w:cs="微软雅黑"/>
          <w:spacing w:val="-17"/>
          <w:sz w:val="16"/>
          <w:szCs w:val="16"/>
        </w:rPr>
        <w:t xml:space="preserve"> </w:t>
      </w:r>
      <w:r>
        <w:rPr>
          <w:rFonts w:ascii="微软雅黑" w:hAnsi="微软雅黑" w:eastAsia="微软雅黑" w:cs="微软雅黑"/>
          <w:spacing w:val="24"/>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量</w:t>
      </w:r>
      <w:r>
        <w:rPr>
          <w:rFonts w:ascii="微软雅黑" w:hAnsi="微软雅黑" w:eastAsia="微软雅黑" w:cs="微软雅黑"/>
          <w:spacing w:val="-16"/>
          <w:sz w:val="16"/>
          <w:szCs w:val="16"/>
        </w:rPr>
        <w:t xml:space="preserve"> </w:t>
      </w:r>
      <w:r>
        <w:rPr>
          <w:rFonts w:ascii="微软雅黑" w:hAnsi="微软雅黑" w:eastAsia="微软雅黑" w:cs="微软雅黑"/>
          <w:spacing w:val="24"/>
          <w:sz w:val="16"/>
          <w:szCs w:val="16"/>
        </w:rPr>
        <w:t>文</w:t>
      </w:r>
      <w:r>
        <w:rPr>
          <w:rFonts w:ascii="微软雅黑" w:hAnsi="微软雅黑" w:eastAsia="微软雅黑" w:cs="微软雅黑"/>
          <w:spacing w:val="-18"/>
          <w:sz w:val="16"/>
          <w:szCs w:val="16"/>
        </w:rPr>
        <w:t xml:space="preserve"> </w:t>
      </w:r>
      <w:r>
        <w:rPr>
          <w:rFonts w:ascii="微软雅黑" w:hAnsi="微软雅黑" w:eastAsia="微软雅黑" w:cs="微软雅黑"/>
          <w:spacing w:val="24"/>
          <w:sz w:val="16"/>
          <w:szCs w:val="16"/>
        </w:rPr>
        <w:t>化</w:t>
      </w:r>
      <w:r>
        <w:rPr>
          <w:rFonts w:ascii="微软雅黑" w:hAnsi="微软雅黑" w:eastAsia="微软雅黑" w:cs="微软雅黑"/>
          <w:spacing w:val="-3"/>
          <w:sz w:val="16"/>
          <w:szCs w:val="16"/>
        </w:rPr>
        <w:t xml:space="preserve"> </w:t>
      </w:r>
      <w:r>
        <w:rPr>
          <w:rFonts w:ascii="微软雅黑" w:hAnsi="微软雅黑" w:eastAsia="微软雅黑" w:cs="微软雅黑"/>
          <w:spacing w:val="24"/>
          <w:sz w:val="16"/>
          <w:szCs w:val="16"/>
        </w:rPr>
        <w:t>的</w:t>
      </w:r>
      <w:r>
        <w:rPr>
          <w:rFonts w:ascii="微软雅黑" w:hAnsi="微软雅黑" w:eastAsia="微软雅黑" w:cs="微软雅黑"/>
          <w:spacing w:val="-16"/>
          <w:sz w:val="16"/>
          <w:szCs w:val="16"/>
        </w:rPr>
        <w:t xml:space="preserve"> </w:t>
      </w:r>
      <w:r>
        <w:rPr>
          <w:rFonts w:ascii="微软雅黑" w:hAnsi="微软雅黑" w:eastAsia="微软雅黑" w:cs="微软雅黑"/>
          <w:spacing w:val="24"/>
          <w:sz w:val="16"/>
          <w:szCs w:val="16"/>
        </w:rPr>
        <w:t>发</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展目标</w:t>
      </w:r>
      <w:r>
        <w:rPr>
          <w:rFonts w:ascii="微软雅黑" w:hAnsi="微软雅黑" w:eastAsia="微软雅黑" w:cs="微软雅黑"/>
          <w:spacing w:val="-5"/>
          <w:sz w:val="16"/>
          <w:szCs w:val="16"/>
        </w:rPr>
        <w:t xml:space="preserve"> </w:t>
      </w:r>
      <w:r>
        <w:rPr>
          <w:rFonts w:ascii="微软雅黑" w:hAnsi="微软雅黑" w:eastAsia="微软雅黑" w:cs="微软雅黑"/>
          <w:spacing w:val="36"/>
          <w:sz w:val="16"/>
          <w:szCs w:val="16"/>
        </w:rPr>
        <w:t>。</w:t>
      </w:r>
      <w:r>
        <w:rPr>
          <w:rFonts w:ascii="微软雅黑" w:hAnsi="微软雅黑" w:eastAsia="微软雅黑" w:cs="微软雅黑"/>
          <w:spacing w:val="-12"/>
          <w:sz w:val="16"/>
          <w:szCs w:val="16"/>
        </w:rPr>
        <w:t xml:space="preserve"> </w:t>
      </w:r>
      <w:r>
        <w:rPr>
          <w:rFonts w:ascii="微软雅黑" w:hAnsi="微软雅黑" w:eastAsia="微软雅黑" w:cs="微软雅黑"/>
          <w:spacing w:val="36"/>
          <w:sz w:val="16"/>
          <w:szCs w:val="16"/>
        </w:rPr>
        <w:t>质量文化是</w:t>
      </w:r>
      <w:r>
        <w:rPr>
          <w:rFonts w:ascii="微软雅黑" w:hAnsi="微软雅黑" w:eastAsia="微软雅黑" w:cs="微软雅黑"/>
          <w:spacing w:val="-27"/>
          <w:sz w:val="16"/>
          <w:szCs w:val="16"/>
        </w:rPr>
        <w:t xml:space="preserve"> </w:t>
      </w:r>
      <w:r>
        <w:rPr>
          <w:rFonts w:ascii="微软雅黑" w:hAnsi="微软雅黑" w:eastAsia="微软雅黑" w:cs="微软雅黑"/>
          <w:spacing w:val="36"/>
          <w:sz w:val="16"/>
          <w:szCs w:val="16"/>
        </w:rPr>
        <w:t>一</w:t>
      </w:r>
      <w:r>
        <w:rPr>
          <w:rFonts w:ascii="微软雅黑" w:hAnsi="微软雅黑" w:eastAsia="微软雅黑" w:cs="微软雅黑"/>
          <w:spacing w:val="-28"/>
          <w:sz w:val="16"/>
          <w:szCs w:val="16"/>
        </w:rPr>
        <w:t xml:space="preserve"> </w:t>
      </w:r>
      <w:r>
        <w:rPr>
          <w:rFonts w:ascii="微软雅黑" w:hAnsi="微软雅黑" w:eastAsia="微软雅黑" w:cs="微软雅黑"/>
          <w:spacing w:val="36"/>
          <w:sz w:val="16"/>
          <w:szCs w:val="16"/>
        </w:rPr>
        <w:t>种复杂的</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、社会建构</w:t>
      </w:r>
      <w:r>
        <w:rPr>
          <w:rFonts w:ascii="微软雅黑" w:hAnsi="微软雅黑" w:eastAsia="微软雅黑" w:cs="微软雅黑"/>
          <w:spacing w:val="35"/>
          <w:sz w:val="16"/>
          <w:szCs w:val="16"/>
        </w:rPr>
        <w:t>的现象</w:t>
      </w:r>
      <w:r>
        <w:rPr>
          <w:rFonts w:ascii="微软雅黑" w:hAnsi="微软雅黑" w:eastAsia="微软雅黑" w:cs="微软雅黑"/>
          <w:spacing w:val="-24"/>
          <w:sz w:val="16"/>
          <w:szCs w:val="16"/>
        </w:rPr>
        <w:t xml:space="preserve"> </w:t>
      </w:r>
      <w:r>
        <w:rPr>
          <w:rFonts w:ascii="微软雅黑" w:hAnsi="微软雅黑" w:eastAsia="微软雅黑" w:cs="微软雅黑"/>
          <w:spacing w:val="35"/>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其特点是组织和个人对质量</w:t>
      </w:r>
      <w:r>
        <w:rPr>
          <w:rFonts w:ascii="微软雅黑" w:hAnsi="微软雅黑" w:eastAsia="微软雅黑" w:cs="微软雅黑"/>
          <w:spacing w:val="-8"/>
          <w:sz w:val="16"/>
          <w:szCs w:val="16"/>
        </w:rPr>
        <w:t xml:space="preserve"> </w:t>
      </w:r>
      <w:r>
        <w:rPr>
          <w:rFonts w:ascii="微软雅黑" w:hAnsi="微软雅黑" w:eastAsia="微软雅黑" w:cs="微软雅黑"/>
          <w:spacing w:val="36"/>
          <w:sz w:val="16"/>
          <w:szCs w:val="16"/>
        </w:rPr>
        <w:t>具</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有</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共</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同</w:t>
      </w:r>
      <w:r>
        <w:rPr>
          <w:rFonts w:ascii="微软雅黑" w:hAnsi="微软雅黑" w:eastAsia="微软雅黑" w:cs="微软雅黑"/>
          <w:spacing w:val="-3"/>
          <w:sz w:val="16"/>
          <w:szCs w:val="16"/>
        </w:rPr>
        <w:t xml:space="preserve"> </w:t>
      </w:r>
      <w:r>
        <w:rPr>
          <w:rFonts w:ascii="微软雅黑" w:hAnsi="微软雅黑" w:eastAsia="微软雅黑" w:cs="微软雅黑"/>
          <w:spacing w:val="36"/>
          <w:sz w:val="16"/>
          <w:szCs w:val="16"/>
        </w:rPr>
        <w:t>的</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价</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值</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观</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、信</w:t>
      </w:r>
      <w:r>
        <w:rPr>
          <w:rFonts w:ascii="微软雅黑" w:hAnsi="微软雅黑" w:eastAsia="微软雅黑" w:cs="微软雅黑"/>
          <w:sz w:val="16"/>
          <w:szCs w:val="16"/>
        </w:rPr>
        <w:t xml:space="preserve">  </w:t>
      </w:r>
      <w:r>
        <w:rPr>
          <w:rFonts w:ascii="微软雅黑" w:hAnsi="微软雅黑" w:eastAsia="微软雅黑" w:cs="微软雅黑"/>
          <w:spacing w:val="30"/>
          <w:sz w:val="16"/>
          <w:szCs w:val="16"/>
        </w:rPr>
        <w:t>念和期望</w:t>
      </w:r>
      <w:r>
        <w:rPr>
          <w:rFonts w:ascii="微软雅黑" w:hAnsi="微软雅黑" w:eastAsia="微软雅黑" w:cs="微软雅黑"/>
          <w:spacing w:val="-5"/>
          <w:sz w:val="16"/>
          <w:szCs w:val="16"/>
        </w:rPr>
        <w:t xml:space="preserve"> </w:t>
      </w:r>
      <w:r>
        <w:rPr>
          <w:rFonts w:ascii="微软雅黑" w:hAnsi="微软雅黑" w:eastAsia="微软雅黑" w:cs="微软雅黑"/>
          <w:spacing w:val="30"/>
          <w:sz w:val="16"/>
          <w:szCs w:val="16"/>
        </w:rPr>
        <w:t>。</w:t>
      </w:r>
      <w:r>
        <w:rPr>
          <w:rFonts w:ascii="微软雅黑" w:hAnsi="微软雅黑" w:eastAsia="微软雅黑" w:cs="微软雅黑"/>
          <w:spacing w:val="-11"/>
          <w:sz w:val="16"/>
          <w:szCs w:val="16"/>
        </w:rPr>
        <w:t xml:space="preserve"> </w:t>
      </w:r>
      <w:r>
        <w:rPr>
          <w:rFonts w:ascii="微软雅黑" w:hAnsi="微软雅黑" w:eastAsia="微软雅黑" w:cs="微软雅黑"/>
          <w:spacing w:val="30"/>
          <w:sz w:val="16"/>
          <w:szCs w:val="16"/>
        </w:rPr>
        <w:t>正如教育</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部</w:t>
      </w:r>
      <w:r>
        <w:rPr>
          <w:rFonts w:ascii="微软雅黑" w:hAnsi="微软雅黑" w:eastAsia="微软雅黑" w:cs="微软雅黑"/>
          <w:spacing w:val="-20"/>
          <w:sz w:val="16"/>
          <w:szCs w:val="16"/>
        </w:rPr>
        <w:t xml:space="preserve"> </w:t>
      </w:r>
      <w:r>
        <w:rPr>
          <w:rFonts w:ascii="微软雅黑" w:hAnsi="微软雅黑" w:eastAsia="微软雅黑" w:cs="微软雅黑"/>
          <w:spacing w:val="30"/>
          <w:sz w:val="16"/>
          <w:szCs w:val="16"/>
        </w:rPr>
        <w:t>所</w:t>
      </w:r>
      <w:r>
        <w:rPr>
          <w:rFonts w:ascii="微软雅黑" w:hAnsi="微软雅黑" w:eastAsia="微软雅黑" w:cs="微软雅黑"/>
          <w:spacing w:val="-20"/>
          <w:sz w:val="16"/>
          <w:szCs w:val="16"/>
        </w:rPr>
        <w:t xml:space="preserve"> </w:t>
      </w:r>
      <w:r>
        <w:rPr>
          <w:rFonts w:ascii="微软雅黑" w:hAnsi="微软雅黑" w:eastAsia="微软雅黑" w:cs="微软雅黑"/>
          <w:spacing w:val="30"/>
          <w:sz w:val="16"/>
          <w:szCs w:val="16"/>
        </w:rPr>
        <w:t>要</w:t>
      </w:r>
      <w:r>
        <w:rPr>
          <w:rFonts w:ascii="微软雅黑" w:hAnsi="微软雅黑" w:eastAsia="微软雅黑" w:cs="微软雅黑"/>
          <w:spacing w:val="-19"/>
          <w:sz w:val="16"/>
          <w:szCs w:val="16"/>
        </w:rPr>
        <w:t xml:space="preserve"> </w:t>
      </w:r>
      <w:r>
        <w:rPr>
          <w:rFonts w:ascii="微软雅黑" w:hAnsi="微软雅黑" w:eastAsia="微软雅黑" w:cs="微软雅黑"/>
          <w:spacing w:val="30"/>
          <w:sz w:val="16"/>
          <w:szCs w:val="16"/>
        </w:rPr>
        <w:t>求</w:t>
      </w:r>
      <w:r>
        <w:rPr>
          <w:rFonts w:ascii="微软雅黑" w:hAnsi="微软雅黑" w:eastAsia="微软雅黑" w:cs="微软雅黑"/>
          <w:spacing w:val="-3"/>
          <w:sz w:val="16"/>
          <w:szCs w:val="16"/>
        </w:rPr>
        <w:t xml:space="preserve"> </w:t>
      </w:r>
      <w:r>
        <w:rPr>
          <w:rFonts w:ascii="微软雅黑" w:hAnsi="微软雅黑" w:eastAsia="微软雅黑" w:cs="微软雅黑"/>
          <w:spacing w:val="30"/>
          <w:sz w:val="16"/>
          <w:szCs w:val="16"/>
        </w:rPr>
        <w:t>的</w:t>
      </w:r>
      <w:r>
        <w:rPr>
          <w:rFonts w:ascii="微软雅黑" w:hAnsi="微软雅黑" w:eastAsia="微软雅黑" w:cs="微软雅黑"/>
          <w:spacing w:val="-23"/>
          <w:sz w:val="16"/>
          <w:szCs w:val="16"/>
        </w:rPr>
        <w:t xml:space="preserve"> </w:t>
      </w:r>
      <w:r>
        <w:rPr>
          <w:rFonts w:ascii="微软雅黑" w:hAnsi="微软雅黑" w:eastAsia="微软雅黑" w:cs="微软雅黑"/>
          <w:spacing w:val="30"/>
          <w:sz w:val="16"/>
          <w:szCs w:val="16"/>
        </w:rPr>
        <w:t>，高</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校</w:t>
      </w:r>
      <w:r>
        <w:rPr>
          <w:rFonts w:ascii="微软雅黑" w:hAnsi="微软雅黑" w:eastAsia="微软雅黑" w:cs="微软雅黑"/>
          <w:spacing w:val="-20"/>
          <w:sz w:val="16"/>
          <w:szCs w:val="16"/>
        </w:rPr>
        <w:t xml:space="preserve"> </w:t>
      </w:r>
      <w:r>
        <w:rPr>
          <w:rFonts w:ascii="微软雅黑" w:hAnsi="微软雅黑" w:eastAsia="微软雅黑" w:cs="微软雅黑"/>
          <w:spacing w:val="30"/>
          <w:sz w:val="16"/>
          <w:szCs w:val="16"/>
        </w:rPr>
        <w:t>要</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全</w:t>
      </w:r>
      <w:r>
        <w:rPr>
          <w:rFonts w:ascii="微软雅黑" w:hAnsi="微软雅黑" w:eastAsia="微软雅黑" w:cs="微软雅黑"/>
          <w:spacing w:val="-11"/>
          <w:sz w:val="16"/>
          <w:szCs w:val="16"/>
        </w:rPr>
        <w:t xml:space="preserve"> </w:t>
      </w:r>
      <w:r>
        <w:rPr>
          <w:rFonts w:ascii="微软雅黑" w:hAnsi="微软雅黑" w:eastAsia="微软雅黑" w:cs="微软雅黑"/>
          <w:spacing w:val="29"/>
          <w:sz w:val="16"/>
          <w:szCs w:val="16"/>
        </w:rPr>
        <w:t>面</w:t>
      </w:r>
      <w:r>
        <w:rPr>
          <w:rFonts w:ascii="微软雅黑" w:hAnsi="微软雅黑" w:eastAsia="微软雅黑" w:cs="微软雅黑"/>
          <w:spacing w:val="-16"/>
          <w:sz w:val="16"/>
          <w:szCs w:val="16"/>
        </w:rPr>
        <w:t xml:space="preserve"> </w:t>
      </w:r>
      <w:r>
        <w:rPr>
          <w:rFonts w:ascii="微软雅黑" w:hAnsi="微软雅黑" w:eastAsia="微软雅黑" w:cs="微软雅黑"/>
          <w:spacing w:val="29"/>
          <w:sz w:val="16"/>
          <w:szCs w:val="16"/>
        </w:rPr>
        <w:t>推</w:t>
      </w:r>
      <w:r>
        <w:rPr>
          <w:rFonts w:ascii="微软雅黑" w:hAnsi="微软雅黑" w:eastAsia="微软雅黑" w:cs="微软雅黑"/>
          <w:spacing w:val="-18"/>
          <w:sz w:val="16"/>
          <w:szCs w:val="16"/>
        </w:rPr>
        <w:t xml:space="preserve"> </w:t>
      </w:r>
      <w:r>
        <w:rPr>
          <w:rFonts w:ascii="微软雅黑" w:hAnsi="微软雅黑" w:eastAsia="微软雅黑" w:cs="微软雅黑"/>
          <w:spacing w:val="29"/>
          <w:sz w:val="16"/>
          <w:szCs w:val="16"/>
        </w:rPr>
        <w:t>进</w:t>
      </w:r>
      <w:r>
        <w:rPr>
          <w:rFonts w:ascii="微软雅黑" w:hAnsi="微软雅黑" w:eastAsia="微软雅黑" w:cs="微软雅黑"/>
          <w:sz w:val="16"/>
          <w:szCs w:val="16"/>
        </w:rPr>
        <w:t xml:space="preserve">  </w:t>
      </w:r>
      <w:r>
        <w:rPr>
          <w:rFonts w:ascii="微软雅黑" w:hAnsi="微软雅黑" w:eastAsia="微软雅黑" w:cs="微软雅黑"/>
          <w:spacing w:val="13"/>
          <w:sz w:val="16"/>
          <w:szCs w:val="16"/>
        </w:rPr>
        <w:t>质量文化建设</w:t>
      </w:r>
      <w:r>
        <w:rPr>
          <w:rFonts w:ascii="微软雅黑" w:hAnsi="微软雅黑" w:eastAsia="微软雅黑" w:cs="微软雅黑"/>
          <w:spacing w:val="-7"/>
          <w:sz w:val="16"/>
          <w:szCs w:val="16"/>
        </w:rPr>
        <w:t xml:space="preserve"> </w:t>
      </w:r>
      <w:r>
        <w:rPr>
          <w:rFonts w:ascii="微软雅黑" w:hAnsi="微软雅黑" w:eastAsia="微软雅黑" w:cs="微软雅黑"/>
          <w:spacing w:val="13"/>
          <w:sz w:val="16"/>
          <w:szCs w:val="16"/>
        </w:rPr>
        <w:t>，构</w:t>
      </w:r>
      <w:r>
        <w:rPr>
          <w:rFonts w:ascii="微软雅黑" w:hAnsi="微软雅黑" w:eastAsia="微软雅黑" w:cs="微软雅黑"/>
          <w:spacing w:val="-19"/>
          <w:sz w:val="16"/>
          <w:szCs w:val="16"/>
        </w:rPr>
        <w:t xml:space="preserve"> </w:t>
      </w:r>
      <w:r>
        <w:rPr>
          <w:rFonts w:ascii="微软雅黑" w:hAnsi="微软雅黑" w:eastAsia="微软雅黑" w:cs="微软雅黑"/>
          <w:spacing w:val="13"/>
          <w:sz w:val="16"/>
          <w:szCs w:val="16"/>
        </w:rPr>
        <w:t>建</w:t>
      </w:r>
      <w:r>
        <w:rPr>
          <w:rFonts w:ascii="微软雅黑" w:hAnsi="微软雅黑" w:eastAsia="微软雅黑" w:cs="微软雅黑"/>
          <w:spacing w:val="19"/>
          <w:w w:val="101"/>
          <w:sz w:val="16"/>
          <w:szCs w:val="16"/>
        </w:rPr>
        <w:t xml:space="preserve"> </w:t>
      </w:r>
      <w:r>
        <w:rPr>
          <w:rFonts w:ascii="微软雅黑" w:hAnsi="微软雅黑" w:eastAsia="微软雅黑" w:cs="微软雅黑"/>
          <w:spacing w:val="13"/>
          <w:sz w:val="16"/>
          <w:szCs w:val="16"/>
        </w:rPr>
        <w:t>自</w:t>
      </w:r>
      <w:r>
        <w:rPr>
          <w:rFonts w:ascii="微软雅黑" w:hAnsi="微软雅黑" w:eastAsia="微软雅黑" w:cs="微软雅黑"/>
          <w:spacing w:val="-18"/>
          <w:sz w:val="16"/>
          <w:szCs w:val="16"/>
        </w:rPr>
        <w:t xml:space="preserve"> </w:t>
      </w:r>
      <w:r>
        <w:rPr>
          <w:rFonts w:ascii="微软雅黑" w:hAnsi="微软雅黑" w:eastAsia="微软雅黑" w:cs="微软雅黑"/>
          <w:spacing w:val="13"/>
          <w:sz w:val="16"/>
          <w:szCs w:val="16"/>
        </w:rPr>
        <w:t>觉</w:t>
      </w:r>
      <w:r>
        <w:rPr>
          <w:rFonts w:ascii="微软雅黑" w:hAnsi="微软雅黑" w:eastAsia="微软雅黑" w:cs="微软雅黑"/>
          <w:spacing w:val="-18"/>
          <w:sz w:val="16"/>
          <w:szCs w:val="16"/>
        </w:rPr>
        <w:t xml:space="preserve"> </w:t>
      </w:r>
      <w:r>
        <w:rPr>
          <w:rFonts w:ascii="微软雅黑" w:hAnsi="微软雅黑" w:eastAsia="微软雅黑" w:cs="微软雅黑"/>
          <w:spacing w:val="13"/>
          <w:sz w:val="16"/>
          <w:szCs w:val="16"/>
        </w:rPr>
        <w:t>、自</w:t>
      </w:r>
      <w:r>
        <w:rPr>
          <w:rFonts w:ascii="微软雅黑" w:hAnsi="微软雅黑" w:eastAsia="微软雅黑" w:cs="微软雅黑"/>
          <w:spacing w:val="-17"/>
          <w:sz w:val="16"/>
          <w:szCs w:val="16"/>
        </w:rPr>
        <w:t xml:space="preserve"> </w:t>
      </w:r>
      <w:r>
        <w:rPr>
          <w:rFonts w:ascii="微软雅黑" w:hAnsi="微软雅黑" w:eastAsia="微软雅黑" w:cs="微软雅黑"/>
          <w:spacing w:val="13"/>
          <w:sz w:val="16"/>
          <w:szCs w:val="16"/>
        </w:rPr>
        <w:t>省</w:t>
      </w:r>
      <w:r>
        <w:rPr>
          <w:rFonts w:ascii="微软雅黑" w:hAnsi="微软雅黑" w:eastAsia="微软雅黑" w:cs="微软雅黑"/>
          <w:spacing w:val="-17"/>
          <w:sz w:val="16"/>
          <w:szCs w:val="16"/>
        </w:rPr>
        <w:t xml:space="preserve"> </w:t>
      </w:r>
      <w:r>
        <w:rPr>
          <w:rFonts w:ascii="微软雅黑" w:hAnsi="微软雅黑" w:eastAsia="微软雅黑" w:cs="微软雅黑"/>
          <w:spacing w:val="13"/>
          <w:sz w:val="16"/>
          <w:szCs w:val="16"/>
        </w:rPr>
        <w:t>、自</w:t>
      </w:r>
      <w:r>
        <w:rPr>
          <w:rFonts w:ascii="微软雅黑" w:hAnsi="微软雅黑" w:eastAsia="微软雅黑" w:cs="微软雅黑"/>
          <w:spacing w:val="-17"/>
          <w:sz w:val="16"/>
          <w:szCs w:val="16"/>
        </w:rPr>
        <w:t xml:space="preserve"> </w:t>
      </w:r>
      <w:r>
        <w:rPr>
          <w:rFonts w:ascii="微软雅黑" w:hAnsi="微软雅黑" w:eastAsia="微软雅黑" w:cs="微软雅黑"/>
          <w:spacing w:val="13"/>
          <w:sz w:val="16"/>
          <w:szCs w:val="16"/>
        </w:rPr>
        <w:t>律</w:t>
      </w:r>
      <w:r>
        <w:rPr>
          <w:rFonts w:ascii="微软雅黑" w:hAnsi="微软雅黑" w:eastAsia="微软雅黑" w:cs="微软雅黑"/>
          <w:spacing w:val="-18"/>
          <w:sz w:val="16"/>
          <w:szCs w:val="16"/>
        </w:rPr>
        <w:t xml:space="preserve"> </w:t>
      </w:r>
      <w:r>
        <w:rPr>
          <w:rFonts w:ascii="微软雅黑" w:hAnsi="微软雅黑" w:eastAsia="微软雅黑" w:cs="微软雅黑"/>
          <w:spacing w:val="13"/>
          <w:sz w:val="16"/>
          <w:szCs w:val="16"/>
        </w:rPr>
        <w:t>、自</w:t>
      </w:r>
      <w:r>
        <w:rPr>
          <w:rFonts w:ascii="微软雅黑" w:hAnsi="微软雅黑" w:eastAsia="微软雅黑" w:cs="微软雅黑"/>
          <w:spacing w:val="-20"/>
          <w:sz w:val="16"/>
          <w:szCs w:val="16"/>
        </w:rPr>
        <w:t xml:space="preserve"> </w:t>
      </w:r>
      <w:r>
        <w:rPr>
          <w:rFonts w:ascii="微软雅黑" w:hAnsi="微软雅黑" w:eastAsia="微软雅黑" w:cs="微软雅黑"/>
          <w:spacing w:val="13"/>
          <w:sz w:val="16"/>
          <w:szCs w:val="16"/>
        </w:rPr>
        <w:t>查</w:t>
      </w:r>
      <w:r>
        <w:rPr>
          <w:rFonts w:ascii="微软雅黑" w:hAnsi="微软雅黑" w:eastAsia="微软雅黑" w:cs="微软雅黑"/>
          <w:spacing w:val="-17"/>
          <w:sz w:val="16"/>
          <w:szCs w:val="16"/>
        </w:rPr>
        <w:t xml:space="preserve"> </w:t>
      </w:r>
      <w:r>
        <w:rPr>
          <w:rFonts w:ascii="微软雅黑" w:hAnsi="微软雅黑" w:eastAsia="微软雅黑" w:cs="微软雅黑"/>
          <w:spacing w:val="13"/>
          <w:sz w:val="16"/>
          <w:szCs w:val="16"/>
        </w:rPr>
        <w:t>、自</w:t>
      </w:r>
      <w:r>
        <w:rPr>
          <w:rFonts w:ascii="微软雅黑" w:hAnsi="微软雅黑" w:eastAsia="微软雅黑" w:cs="微软雅黑"/>
          <w:spacing w:val="-11"/>
          <w:sz w:val="16"/>
          <w:szCs w:val="16"/>
        </w:rPr>
        <w:t xml:space="preserve"> </w:t>
      </w:r>
      <w:r>
        <w:rPr>
          <w:rFonts w:ascii="微软雅黑" w:hAnsi="微软雅黑" w:eastAsia="微软雅黑" w:cs="微软雅黑"/>
          <w:spacing w:val="13"/>
          <w:sz w:val="16"/>
          <w:szCs w:val="16"/>
        </w:rPr>
        <w:t>纠 的</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大学质量文化</w:t>
      </w:r>
      <w:r>
        <w:rPr>
          <w:rFonts w:ascii="微软雅黑" w:hAnsi="微软雅黑" w:eastAsia="微软雅黑" w:cs="微软雅黑"/>
          <w:spacing w:val="-11"/>
          <w:sz w:val="16"/>
          <w:szCs w:val="16"/>
        </w:rPr>
        <w:t xml:space="preserve"> </w:t>
      </w:r>
      <w:r>
        <w:rPr>
          <w:rFonts w:ascii="微软雅黑" w:hAnsi="微软雅黑" w:eastAsia="微软雅黑" w:cs="微软雅黑"/>
          <w:spacing w:val="38"/>
          <w:sz w:val="16"/>
          <w:szCs w:val="16"/>
        </w:rPr>
        <w:t>，把其作为推动大学不断前行</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、不断超</w:t>
      </w:r>
      <w:r>
        <w:rPr>
          <w:rFonts w:ascii="微软雅黑" w:hAnsi="微软雅黑" w:eastAsia="微软雅黑" w:cs="微软雅黑"/>
          <w:sz w:val="16"/>
          <w:szCs w:val="16"/>
        </w:rPr>
        <w:t xml:space="preserve">  </w:t>
      </w:r>
      <w:r>
        <w:rPr>
          <w:rFonts w:ascii="微软雅黑" w:hAnsi="微软雅黑" w:eastAsia="微软雅黑" w:cs="微软雅黑"/>
          <w:spacing w:val="21"/>
          <w:sz w:val="16"/>
          <w:szCs w:val="16"/>
        </w:rPr>
        <w:t>越的内</w:t>
      </w:r>
      <w:r>
        <w:rPr>
          <w:rFonts w:ascii="微软雅黑" w:hAnsi="微软雅黑" w:eastAsia="微软雅黑" w:cs="微软雅黑"/>
          <w:spacing w:val="-14"/>
          <w:sz w:val="16"/>
          <w:szCs w:val="16"/>
        </w:rPr>
        <w:t xml:space="preserve"> </w:t>
      </w:r>
      <w:r>
        <w:rPr>
          <w:rFonts w:ascii="微软雅黑" w:hAnsi="微软雅黑" w:eastAsia="微软雅黑" w:cs="微软雅黑"/>
          <w:spacing w:val="21"/>
          <w:sz w:val="16"/>
          <w:szCs w:val="16"/>
        </w:rPr>
        <w:t>生</w:t>
      </w:r>
      <w:r>
        <w:rPr>
          <w:rFonts w:ascii="微软雅黑" w:hAnsi="微软雅黑" w:eastAsia="微软雅黑" w:cs="微软雅黑"/>
          <w:spacing w:val="-12"/>
          <w:sz w:val="16"/>
          <w:szCs w:val="16"/>
        </w:rPr>
        <w:t xml:space="preserve"> </w:t>
      </w:r>
      <w:r>
        <w:rPr>
          <w:rFonts w:ascii="微软雅黑" w:hAnsi="微软雅黑" w:eastAsia="微软雅黑" w:cs="微软雅黑"/>
          <w:spacing w:val="21"/>
          <w:sz w:val="16"/>
          <w:szCs w:val="16"/>
        </w:rPr>
        <w:t>动</w:t>
      </w:r>
      <w:r>
        <w:rPr>
          <w:rFonts w:ascii="微软雅黑" w:hAnsi="微软雅黑" w:eastAsia="微软雅黑" w:cs="微软雅黑"/>
          <w:spacing w:val="-14"/>
          <w:sz w:val="16"/>
          <w:szCs w:val="16"/>
        </w:rPr>
        <w:t xml:space="preserve"> </w:t>
      </w:r>
      <w:r>
        <w:rPr>
          <w:rFonts w:ascii="微软雅黑" w:hAnsi="微软雅黑" w:eastAsia="微软雅黑" w:cs="微软雅黑"/>
          <w:spacing w:val="21"/>
          <w:sz w:val="16"/>
          <w:szCs w:val="16"/>
        </w:rPr>
        <w:t>力</w:t>
      </w:r>
      <w:r>
        <w:rPr>
          <w:rFonts w:ascii="微软雅黑" w:hAnsi="微软雅黑" w:eastAsia="微软雅黑" w:cs="微软雅黑"/>
          <w:spacing w:val="-5"/>
          <w:sz w:val="16"/>
          <w:szCs w:val="16"/>
        </w:rPr>
        <w:t xml:space="preserve"> </w:t>
      </w:r>
      <w:r>
        <w:rPr>
          <w:rFonts w:ascii="微软雅黑" w:hAnsi="微软雅黑" w:eastAsia="微软雅黑" w:cs="微软雅黑"/>
          <w:spacing w:val="21"/>
          <w:sz w:val="16"/>
          <w:szCs w:val="16"/>
        </w:rPr>
        <w:t>。</w:t>
      </w:r>
      <w:r>
        <w:rPr>
          <w:rFonts w:ascii="微软雅黑" w:hAnsi="微软雅黑" w:eastAsia="微软雅黑" w:cs="微软雅黑"/>
          <w:spacing w:val="-7"/>
          <w:sz w:val="16"/>
          <w:szCs w:val="16"/>
        </w:rPr>
        <w:t xml:space="preserve"> </w:t>
      </w:r>
      <w:r>
        <w:rPr>
          <w:rFonts w:ascii="微软雅黑" w:hAnsi="微软雅黑" w:eastAsia="微软雅黑" w:cs="微软雅黑"/>
          <w:spacing w:val="21"/>
          <w:sz w:val="16"/>
          <w:szCs w:val="16"/>
        </w:rPr>
        <w:t>但</w:t>
      </w:r>
      <w:r>
        <w:rPr>
          <w:rFonts w:ascii="微软雅黑" w:hAnsi="微软雅黑" w:eastAsia="微软雅黑" w:cs="微软雅黑"/>
          <w:spacing w:val="-14"/>
          <w:sz w:val="16"/>
          <w:szCs w:val="16"/>
        </w:rPr>
        <w:t xml:space="preserve"> </w:t>
      </w:r>
      <w:r>
        <w:rPr>
          <w:rFonts w:ascii="微软雅黑" w:hAnsi="微软雅黑" w:eastAsia="微软雅黑" w:cs="微软雅黑"/>
          <w:spacing w:val="21"/>
          <w:sz w:val="16"/>
          <w:szCs w:val="16"/>
        </w:rPr>
        <w:t>是 回</w:t>
      </w:r>
      <w:r>
        <w:rPr>
          <w:rFonts w:ascii="微软雅黑" w:hAnsi="微软雅黑" w:eastAsia="微软雅黑" w:cs="微软雅黑"/>
          <w:spacing w:val="-16"/>
          <w:sz w:val="16"/>
          <w:szCs w:val="16"/>
        </w:rPr>
        <w:t xml:space="preserve"> </w:t>
      </w:r>
      <w:r>
        <w:rPr>
          <w:rFonts w:ascii="微软雅黑" w:hAnsi="微软雅黑" w:eastAsia="微软雅黑" w:cs="微软雅黑"/>
          <w:spacing w:val="21"/>
          <w:sz w:val="16"/>
          <w:szCs w:val="16"/>
        </w:rPr>
        <w:t>顾 国 内</w:t>
      </w:r>
      <w:r>
        <w:rPr>
          <w:rFonts w:ascii="微软雅黑" w:hAnsi="微软雅黑" w:eastAsia="微软雅黑" w:cs="微软雅黑"/>
          <w:spacing w:val="-14"/>
          <w:sz w:val="16"/>
          <w:szCs w:val="16"/>
        </w:rPr>
        <w:t xml:space="preserve"> </w:t>
      </w:r>
      <w:r>
        <w:rPr>
          <w:rFonts w:ascii="微软雅黑" w:hAnsi="微软雅黑" w:eastAsia="微软雅黑" w:cs="微软雅黑"/>
          <w:spacing w:val="21"/>
          <w:sz w:val="16"/>
          <w:szCs w:val="16"/>
        </w:rPr>
        <w:t>诸</w:t>
      </w:r>
      <w:r>
        <w:rPr>
          <w:rFonts w:ascii="微软雅黑" w:hAnsi="微软雅黑" w:eastAsia="微软雅黑" w:cs="微软雅黑"/>
          <w:spacing w:val="-7"/>
          <w:sz w:val="16"/>
          <w:szCs w:val="16"/>
        </w:rPr>
        <w:t xml:space="preserve"> </w:t>
      </w:r>
      <w:r>
        <w:rPr>
          <w:rFonts w:ascii="微软雅黑" w:hAnsi="微软雅黑" w:eastAsia="微软雅黑" w:cs="微软雅黑"/>
          <w:spacing w:val="21"/>
          <w:sz w:val="16"/>
          <w:szCs w:val="16"/>
        </w:rPr>
        <w:t>多</w:t>
      </w:r>
      <w:r>
        <w:rPr>
          <w:rFonts w:ascii="微软雅黑" w:hAnsi="微软雅黑" w:eastAsia="微软雅黑" w:cs="微软雅黑"/>
          <w:spacing w:val="-9"/>
          <w:sz w:val="16"/>
          <w:szCs w:val="16"/>
        </w:rPr>
        <w:t xml:space="preserve"> </w:t>
      </w:r>
      <w:r>
        <w:rPr>
          <w:rFonts w:ascii="微软雅黑" w:hAnsi="微软雅黑" w:eastAsia="微软雅黑" w:cs="微软雅黑"/>
          <w:spacing w:val="21"/>
          <w:sz w:val="16"/>
          <w:szCs w:val="16"/>
        </w:rPr>
        <w:t>高</w:t>
      </w:r>
      <w:r>
        <w:rPr>
          <w:rFonts w:ascii="微软雅黑" w:hAnsi="微软雅黑" w:eastAsia="微软雅黑" w:cs="微软雅黑"/>
          <w:spacing w:val="-11"/>
          <w:sz w:val="16"/>
          <w:szCs w:val="16"/>
        </w:rPr>
        <w:t xml:space="preserve"> </w:t>
      </w:r>
      <w:r>
        <w:rPr>
          <w:rFonts w:ascii="微软雅黑" w:hAnsi="微软雅黑" w:eastAsia="微软雅黑" w:cs="微软雅黑"/>
          <w:spacing w:val="21"/>
          <w:sz w:val="16"/>
          <w:szCs w:val="16"/>
        </w:rPr>
        <w:t>校 的 战</w:t>
      </w:r>
      <w:r>
        <w:rPr>
          <w:rFonts w:ascii="微软雅黑" w:hAnsi="微软雅黑" w:eastAsia="微软雅黑" w:cs="微软雅黑"/>
          <w:spacing w:val="-3"/>
          <w:sz w:val="16"/>
          <w:szCs w:val="16"/>
        </w:rPr>
        <w:t xml:space="preserve"> </w:t>
      </w:r>
      <w:r>
        <w:rPr>
          <w:rFonts w:ascii="微软雅黑" w:hAnsi="微软雅黑" w:eastAsia="微软雅黑" w:cs="微软雅黑"/>
          <w:spacing w:val="21"/>
          <w:sz w:val="16"/>
          <w:szCs w:val="16"/>
        </w:rPr>
        <w:t>略</w:t>
      </w:r>
      <w:r>
        <w:rPr>
          <w:rFonts w:ascii="微软雅黑" w:hAnsi="微软雅黑" w:eastAsia="微软雅黑" w:cs="微软雅黑"/>
          <w:spacing w:val="-12"/>
          <w:sz w:val="16"/>
          <w:szCs w:val="16"/>
        </w:rPr>
        <w:t xml:space="preserve"> </w:t>
      </w:r>
      <w:r>
        <w:rPr>
          <w:rFonts w:ascii="微软雅黑" w:hAnsi="微软雅黑" w:eastAsia="微软雅黑" w:cs="微软雅黑"/>
          <w:spacing w:val="21"/>
          <w:sz w:val="16"/>
          <w:szCs w:val="16"/>
        </w:rPr>
        <w:t>规</w:t>
      </w:r>
      <w:r>
        <w:rPr>
          <w:rFonts w:ascii="微软雅黑" w:hAnsi="微软雅黑" w:eastAsia="微软雅黑" w:cs="微软雅黑"/>
          <w:sz w:val="16"/>
          <w:szCs w:val="16"/>
        </w:rPr>
        <w:t xml:space="preserve">  </w:t>
      </w:r>
      <w:r>
        <w:rPr>
          <w:rFonts w:ascii="微软雅黑" w:hAnsi="微软雅黑" w:eastAsia="微软雅黑" w:cs="微软雅黑"/>
          <w:spacing w:val="37"/>
          <w:sz w:val="16"/>
          <w:szCs w:val="16"/>
        </w:rPr>
        <w:t>划</w:t>
      </w:r>
      <w:r>
        <w:rPr>
          <w:rFonts w:ascii="微软雅黑" w:hAnsi="微软雅黑" w:eastAsia="微软雅黑" w:cs="微软雅黑"/>
          <w:spacing w:val="-24"/>
          <w:sz w:val="16"/>
          <w:szCs w:val="16"/>
        </w:rPr>
        <w:t xml:space="preserve"> </w:t>
      </w:r>
      <w:r>
        <w:rPr>
          <w:rFonts w:ascii="微软雅黑" w:hAnsi="微软雅黑" w:eastAsia="微软雅黑" w:cs="微软雅黑"/>
          <w:spacing w:val="37"/>
          <w:sz w:val="16"/>
          <w:szCs w:val="16"/>
        </w:rPr>
        <w:t>，质量文化还未能在战略规划中有</w:t>
      </w:r>
      <w:r>
        <w:rPr>
          <w:rFonts w:ascii="微软雅黑" w:hAnsi="微软雅黑" w:eastAsia="微软雅黑" w:cs="微软雅黑"/>
          <w:spacing w:val="-24"/>
          <w:sz w:val="16"/>
          <w:szCs w:val="16"/>
        </w:rPr>
        <w:t xml:space="preserve"> </w:t>
      </w:r>
      <w:r>
        <w:rPr>
          <w:rFonts w:ascii="微软雅黑" w:hAnsi="微软雅黑" w:eastAsia="微软雅黑" w:cs="微软雅黑"/>
          <w:spacing w:val="37"/>
          <w:sz w:val="16"/>
          <w:szCs w:val="16"/>
        </w:rPr>
        <w:t>一</w:t>
      </w:r>
      <w:r>
        <w:rPr>
          <w:rFonts w:ascii="微软雅黑" w:hAnsi="微软雅黑" w:eastAsia="微软雅黑" w:cs="微软雅黑"/>
          <w:spacing w:val="-24"/>
          <w:sz w:val="16"/>
          <w:szCs w:val="16"/>
        </w:rPr>
        <w:t xml:space="preserve"> </w:t>
      </w:r>
      <w:r>
        <w:rPr>
          <w:rFonts w:ascii="微软雅黑" w:hAnsi="微软雅黑" w:eastAsia="微软雅黑" w:cs="微软雅黑"/>
          <w:spacing w:val="37"/>
          <w:sz w:val="16"/>
          <w:szCs w:val="16"/>
        </w:rPr>
        <w:t>席之</w:t>
      </w:r>
      <w:r>
        <w:rPr>
          <w:rFonts w:ascii="微软雅黑" w:hAnsi="微软雅黑" w:eastAsia="微软雅黑" w:cs="微软雅黑"/>
          <w:spacing w:val="36"/>
          <w:sz w:val="16"/>
          <w:szCs w:val="16"/>
        </w:rPr>
        <w:t>地</w:t>
      </w:r>
      <w:r>
        <w:rPr>
          <w:rFonts w:ascii="微软雅黑" w:hAnsi="微软雅黑" w:eastAsia="微软雅黑" w:cs="微软雅黑"/>
          <w:spacing w:val="-24"/>
          <w:sz w:val="16"/>
          <w:szCs w:val="16"/>
        </w:rPr>
        <w:t xml:space="preserve"> </w:t>
      </w:r>
      <w:r>
        <w:rPr>
          <w:rFonts w:ascii="微软雅黑" w:hAnsi="微软雅黑" w:eastAsia="微软雅黑" w:cs="微软雅黑"/>
          <w:spacing w:val="36"/>
          <w:sz w:val="16"/>
          <w:szCs w:val="16"/>
        </w:rPr>
        <w:t>，也未</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能受到高校的普遍重视</w:t>
      </w:r>
      <w:r>
        <w:rPr>
          <w:rFonts w:ascii="微软雅黑" w:hAnsi="微软雅黑" w:eastAsia="微软雅黑" w:cs="微软雅黑"/>
          <w:spacing w:val="9"/>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15"/>
          <w:sz w:val="16"/>
          <w:szCs w:val="16"/>
        </w:rPr>
        <w:t xml:space="preserve"> </w:t>
      </w:r>
      <w:r>
        <w:rPr>
          <w:rFonts w:ascii="微软雅黑" w:hAnsi="微软雅黑" w:eastAsia="微软雅黑" w:cs="微软雅黑"/>
          <w:spacing w:val="6"/>
          <w:w w:val="125"/>
          <w:sz w:val="16"/>
          <w:szCs w:val="16"/>
        </w:rPr>
        <w:t>但从质量文化建设路径来</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看</w:t>
      </w:r>
      <w:r>
        <w:rPr>
          <w:rFonts w:ascii="微软雅黑" w:hAnsi="微软雅黑" w:eastAsia="微软雅黑" w:cs="微软雅黑"/>
          <w:spacing w:val="-23"/>
          <w:sz w:val="16"/>
          <w:szCs w:val="16"/>
        </w:rPr>
        <w:t xml:space="preserve"> </w:t>
      </w:r>
      <w:r>
        <w:rPr>
          <w:rFonts w:ascii="微软雅黑" w:hAnsi="微软雅黑" w:eastAsia="微软雅黑" w:cs="微软雅黑"/>
          <w:spacing w:val="36"/>
          <w:sz w:val="16"/>
          <w:szCs w:val="16"/>
        </w:rPr>
        <w:t>，将质量文化嵌入高校整体</w:t>
      </w:r>
      <w:r>
        <w:rPr>
          <w:rFonts w:ascii="微软雅黑" w:hAnsi="微软雅黑" w:eastAsia="微软雅黑" w:cs="微软雅黑"/>
          <w:spacing w:val="-7"/>
          <w:sz w:val="16"/>
          <w:szCs w:val="16"/>
        </w:rPr>
        <w:t xml:space="preserve"> </w:t>
      </w:r>
      <w:r>
        <w:rPr>
          <w:rFonts w:ascii="微软雅黑" w:hAnsi="微软雅黑" w:eastAsia="微软雅黑" w:cs="微软雅黑"/>
          <w:spacing w:val="36"/>
          <w:sz w:val="16"/>
          <w:szCs w:val="16"/>
        </w:rPr>
        <w:t>战</w:t>
      </w:r>
      <w:r>
        <w:rPr>
          <w:rFonts w:ascii="微软雅黑" w:hAnsi="微软雅黑" w:eastAsia="微软雅黑" w:cs="微软雅黑"/>
          <w:spacing w:val="-8"/>
          <w:sz w:val="16"/>
          <w:szCs w:val="16"/>
        </w:rPr>
        <w:t xml:space="preserve"> </w:t>
      </w:r>
      <w:r>
        <w:rPr>
          <w:rFonts w:ascii="微软雅黑" w:hAnsi="微软雅黑" w:eastAsia="微软雅黑" w:cs="微软雅黑"/>
          <w:spacing w:val="36"/>
          <w:sz w:val="16"/>
          <w:szCs w:val="16"/>
        </w:rPr>
        <w:t>略</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是</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建</w:t>
      </w:r>
      <w:r>
        <w:rPr>
          <w:rFonts w:ascii="微软雅黑" w:hAnsi="微软雅黑" w:eastAsia="微软雅黑" w:cs="微软雅黑"/>
          <w:spacing w:val="-21"/>
          <w:sz w:val="16"/>
          <w:szCs w:val="16"/>
        </w:rPr>
        <w:t xml:space="preserve"> </w:t>
      </w:r>
      <w:r>
        <w:rPr>
          <w:rFonts w:ascii="微软雅黑" w:hAnsi="微软雅黑" w:eastAsia="微软雅黑" w:cs="微软雅黑"/>
          <w:spacing w:val="36"/>
          <w:sz w:val="16"/>
          <w:szCs w:val="16"/>
        </w:rPr>
        <w:t>设</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量</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文</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化</w:t>
      </w:r>
      <w:r>
        <w:rPr>
          <w:rFonts w:ascii="微软雅黑" w:hAnsi="微软雅黑" w:eastAsia="微软雅黑" w:cs="微软雅黑"/>
          <w:sz w:val="16"/>
          <w:szCs w:val="16"/>
        </w:rPr>
        <w:t xml:space="preserve">  </w:t>
      </w:r>
      <w:r>
        <w:rPr>
          <w:rFonts w:ascii="微软雅黑" w:hAnsi="微软雅黑" w:eastAsia="微软雅黑" w:cs="微软雅黑"/>
          <w:spacing w:val="25"/>
          <w:sz w:val="16"/>
          <w:szCs w:val="16"/>
        </w:rPr>
        <w:t>的关键步骤</w:t>
      </w:r>
      <w:r>
        <w:rPr>
          <w:rFonts w:ascii="微软雅黑" w:hAnsi="微软雅黑" w:eastAsia="微软雅黑" w:cs="微软雅黑"/>
          <w:spacing w:val="6"/>
          <w:sz w:val="16"/>
          <w:szCs w:val="16"/>
        </w:rPr>
        <w:t xml:space="preserve"> </w:t>
      </w:r>
      <w:r>
        <w:rPr>
          <w:rFonts w:ascii="微软雅黑" w:hAnsi="微软雅黑" w:eastAsia="微软雅黑" w:cs="微软雅黑"/>
          <w:spacing w:val="25"/>
          <w:sz w:val="16"/>
          <w:szCs w:val="16"/>
        </w:rPr>
        <w:t>。 因而从</w:t>
      </w:r>
      <w:r>
        <w:rPr>
          <w:rFonts w:ascii="微软雅黑" w:hAnsi="微软雅黑" w:eastAsia="微软雅黑" w:cs="微软雅黑"/>
          <w:spacing w:val="-14"/>
          <w:sz w:val="16"/>
          <w:szCs w:val="16"/>
        </w:rPr>
        <w:t xml:space="preserve"> </w:t>
      </w:r>
      <w:r>
        <w:rPr>
          <w:rFonts w:ascii="微软雅黑" w:hAnsi="微软雅黑" w:eastAsia="微软雅黑" w:cs="微软雅黑"/>
          <w:spacing w:val="25"/>
          <w:sz w:val="16"/>
          <w:szCs w:val="16"/>
        </w:rPr>
        <w:t>高</w:t>
      </w:r>
      <w:r>
        <w:rPr>
          <w:rFonts w:ascii="微软雅黑" w:hAnsi="微软雅黑" w:eastAsia="微软雅黑" w:cs="微软雅黑"/>
          <w:spacing w:val="-17"/>
          <w:sz w:val="16"/>
          <w:szCs w:val="16"/>
        </w:rPr>
        <w:t xml:space="preserve"> </w:t>
      </w:r>
      <w:r>
        <w:rPr>
          <w:rFonts w:ascii="微软雅黑" w:hAnsi="微软雅黑" w:eastAsia="微软雅黑" w:cs="微软雅黑"/>
          <w:spacing w:val="25"/>
          <w:sz w:val="16"/>
          <w:szCs w:val="16"/>
        </w:rPr>
        <w:t>校 自</w:t>
      </w:r>
      <w:r>
        <w:rPr>
          <w:rFonts w:ascii="微软雅黑" w:hAnsi="微软雅黑" w:eastAsia="微软雅黑" w:cs="微软雅黑"/>
          <w:spacing w:val="-15"/>
          <w:sz w:val="16"/>
          <w:szCs w:val="16"/>
        </w:rPr>
        <w:t xml:space="preserve"> </w:t>
      </w:r>
      <w:r>
        <w:rPr>
          <w:rFonts w:ascii="微软雅黑" w:hAnsi="微软雅黑" w:eastAsia="微软雅黑" w:cs="微软雅黑"/>
          <w:spacing w:val="25"/>
          <w:sz w:val="16"/>
          <w:szCs w:val="16"/>
        </w:rPr>
        <w:t>身</w:t>
      </w:r>
      <w:r>
        <w:rPr>
          <w:rFonts w:ascii="微软雅黑" w:hAnsi="微软雅黑" w:eastAsia="微软雅黑" w:cs="微软雅黑"/>
          <w:spacing w:val="-15"/>
          <w:sz w:val="16"/>
          <w:szCs w:val="16"/>
        </w:rPr>
        <w:t xml:space="preserve"> </w:t>
      </w:r>
      <w:r>
        <w:rPr>
          <w:rFonts w:ascii="微软雅黑" w:hAnsi="微软雅黑" w:eastAsia="微软雅黑" w:cs="微软雅黑"/>
          <w:spacing w:val="25"/>
          <w:sz w:val="16"/>
          <w:szCs w:val="16"/>
        </w:rPr>
        <w:t>而</w:t>
      </w:r>
      <w:r>
        <w:rPr>
          <w:rFonts w:ascii="微软雅黑" w:hAnsi="微软雅黑" w:eastAsia="微软雅黑" w:cs="微软雅黑"/>
          <w:spacing w:val="-13"/>
          <w:sz w:val="16"/>
          <w:szCs w:val="16"/>
        </w:rPr>
        <w:t xml:space="preserve"> </w:t>
      </w:r>
      <w:r>
        <w:rPr>
          <w:rFonts w:ascii="微软雅黑" w:hAnsi="微软雅黑" w:eastAsia="微软雅黑" w:cs="微软雅黑"/>
          <w:spacing w:val="25"/>
          <w:sz w:val="16"/>
          <w:szCs w:val="16"/>
        </w:rPr>
        <w:t>言</w:t>
      </w:r>
      <w:r>
        <w:rPr>
          <w:rFonts w:ascii="微软雅黑" w:hAnsi="微软雅黑" w:eastAsia="微软雅黑" w:cs="微软雅黑"/>
          <w:spacing w:val="-24"/>
          <w:sz w:val="16"/>
          <w:szCs w:val="16"/>
        </w:rPr>
        <w:t xml:space="preserve"> </w:t>
      </w:r>
      <w:r>
        <w:rPr>
          <w:rFonts w:ascii="微软雅黑" w:hAnsi="微软雅黑" w:eastAsia="微软雅黑" w:cs="微软雅黑"/>
          <w:spacing w:val="25"/>
          <w:sz w:val="16"/>
          <w:szCs w:val="16"/>
        </w:rPr>
        <w:t>，需</w:t>
      </w:r>
      <w:r>
        <w:rPr>
          <w:rFonts w:ascii="微软雅黑" w:hAnsi="微软雅黑" w:eastAsia="微软雅黑" w:cs="微软雅黑"/>
          <w:spacing w:val="-20"/>
          <w:sz w:val="16"/>
          <w:szCs w:val="16"/>
        </w:rPr>
        <w:t xml:space="preserve"> </w:t>
      </w:r>
      <w:r>
        <w:rPr>
          <w:rFonts w:ascii="微软雅黑" w:hAnsi="微软雅黑" w:eastAsia="微软雅黑" w:cs="微软雅黑"/>
          <w:spacing w:val="25"/>
          <w:sz w:val="16"/>
          <w:szCs w:val="16"/>
        </w:rPr>
        <w:t>要</w:t>
      </w:r>
      <w:r>
        <w:rPr>
          <w:rFonts w:ascii="微软雅黑" w:hAnsi="微软雅黑" w:eastAsia="微软雅黑" w:cs="微软雅黑"/>
          <w:spacing w:val="-17"/>
          <w:sz w:val="16"/>
          <w:szCs w:val="16"/>
        </w:rPr>
        <w:t xml:space="preserve"> </w:t>
      </w:r>
      <w:r>
        <w:rPr>
          <w:rFonts w:ascii="微软雅黑" w:hAnsi="微软雅黑" w:eastAsia="微软雅黑" w:cs="微软雅黑"/>
          <w:spacing w:val="25"/>
          <w:sz w:val="16"/>
          <w:szCs w:val="16"/>
        </w:rPr>
        <w:t>在</w:t>
      </w:r>
      <w:r>
        <w:rPr>
          <w:rFonts w:ascii="微软雅黑" w:hAnsi="微软雅黑" w:eastAsia="微软雅黑" w:cs="微软雅黑"/>
          <w:spacing w:val="-7"/>
          <w:sz w:val="16"/>
          <w:szCs w:val="16"/>
        </w:rPr>
        <w:t xml:space="preserve"> </w:t>
      </w:r>
      <w:r>
        <w:rPr>
          <w:rFonts w:ascii="微软雅黑" w:hAnsi="微软雅黑" w:eastAsia="微软雅黑" w:cs="微软雅黑"/>
          <w:spacing w:val="25"/>
          <w:sz w:val="16"/>
          <w:szCs w:val="16"/>
        </w:rPr>
        <w:t>战</w:t>
      </w:r>
      <w:r>
        <w:rPr>
          <w:rFonts w:ascii="微软雅黑" w:hAnsi="微软雅黑" w:eastAsia="微软雅黑" w:cs="微软雅黑"/>
          <w:spacing w:val="-9"/>
          <w:sz w:val="16"/>
          <w:szCs w:val="16"/>
        </w:rPr>
        <w:t xml:space="preserve"> </w:t>
      </w:r>
      <w:r>
        <w:rPr>
          <w:rFonts w:ascii="微软雅黑" w:hAnsi="微软雅黑" w:eastAsia="微软雅黑" w:cs="微软雅黑"/>
          <w:spacing w:val="25"/>
          <w:sz w:val="16"/>
          <w:szCs w:val="16"/>
        </w:rPr>
        <w:t>略</w:t>
      </w:r>
      <w:r>
        <w:rPr>
          <w:rFonts w:ascii="微软雅黑" w:hAnsi="微软雅黑" w:eastAsia="微软雅黑" w:cs="微软雅黑"/>
          <w:spacing w:val="-17"/>
          <w:sz w:val="16"/>
          <w:szCs w:val="16"/>
        </w:rPr>
        <w:t xml:space="preserve"> </w:t>
      </w:r>
      <w:r>
        <w:rPr>
          <w:rFonts w:ascii="微软雅黑" w:hAnsi="微软雅黑" w:eastAsia="微软雅黑" w:cs="微软雅黑"/>
          <w:spacing w:val="25"/>
          <w:sz w:val="16"/>
          <w:szCs w:val="16"/>
        </w:rPr>
        <w:t>规</w:t>
      </w:r>
      <w:r>
        <w:rPr>
          <w:rFonts w:ascii="微软雅黑" w:hAnsi="微软雅黑" w:eastAsia="微软雅黑" w:cs="微软雅黑"/>
          <w:sz w:val="16"/>
          <w:szCs w:val="16"/>
        </w:rPr>
        <w:t xml:space="preserve">  </w:t>
      </w:r>
      <w:r>
        <w:rPr>
          <w:rFonts w:ascii="微软雅黑" w:hAnsi="微软雅黑" w:eastAsia="微软雅黑" w:cs="微软雅黑"/>
          <w:spacing w:val="37"/>
          <w:sz w:val="16"/>
          <w:szCs w:val="16"/>
        </w:rPr>
        <w:t>划中明确如何在满足国家要</w:t>
      </w:r>
      <w:r>
        <w:rPr>
          <w:rFonts w:ascii="微软雅黑" w:hAnsi="微软雅黑" w:eastAsia="微软雅黑" w:cs="微软雅黑"/>
          <w:spacing w:val="-5"/>
          <w:sz w:val="16"/>
          <w:szCs w:val="16"/>
        </w:rPr>
        <w:t xml:space="preserve"> </w:t>
      </w:r>
      <w:r>
        <w:rPr>
          <w:rFonts w:ascii="微软雅黑" w:hAnsi="微软雅黑" w:eastAsia="微软雅黑" w:cs="微软雅黑"/>
          <w:spacing w:val="37"/>
          <w:sz w:val="16"/>
          <w:szCs w:val="16"/>
        </w:rPr>
        <w:t>求</w:t>
      </w:r>
      <w:r>
        <w:rPr>
          <w:rFonts w:ascii="微软雅黑" w:hAnsi="微软雅黑" w:eastAsia="微软雅黑" w:cs="微软雅黑"/>
          <w:spacing w:val="-2"/>
          <w:sz w:val="16"/>
          <w:szCs w:val="16"/>
        </w:rPr>
        <w:t xml:space="preserve"> </w:t>
      </w:r>
      <w:r>
        <w:rPr>
          <w:rFonts w:ascii="微软雅黑" w:hAnsi="微软雅黑" w:eastAsia="微软雅黑" w:cs="微软雅黑"/>
          <w:spacing w:val="37"/>
          <w:sz w:val="16"/>
          <w:szCs w:val="16"/>
        </w:rPr>
        <w:t>的</w:t>
      </w:r>
      <w:r>
        <w:rPr>
          <w:rFonts w:ascii="微软雅黑" w:hAnsi="微软雅黑" w:eastAsia="微软雅黑" w:cs="微软雅黑"/>
          <w:spacing w:val="-19"/>
          <w:sz w:val="16"/>
          <w:szCs w:val="16"/>
        </w:rPr>
        <w:t xml:space="preserve"> </w:t>
      </w:r>
      <w:r>
        <w:rPr>
          <w:rFonts w:ascii="微软雅黑" w:hAnsi="微软雅黑" w:eastAsia="微软雅黑" w:cs="微软雅黑"/>
          <w:spacing w:val="37"/>
          <w:sz w:val="16"/>
          <w:szCs w:val="16"/>
        </w:rPr>
        <w:t>基</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础</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上</w:t>
      </w:r>
      <w:r>
        <w:rPr>
          <w:rFonts w:ascii="微软雅黑" w:hAnsi="微软雅黑" w:eastAsia="微软雅黑" w:cs="微软雅黑"/>
          <w:spacing w:val="-24"/>
          <w:sz w:val="16"/>
          <w:szCs w:val="16"/>
        </w:rPr>
        <w:t xml:space="preserve"> </w:t>
      </w:r>
      <w:r>
        <w:rPr>
          <w:rFonts w:ascii="微软雅黑" w:hAnsi="微软雅黑" w:eastAsia="微软雅黑" w:cs="微软雅黑"/>
          <w:spacing w:val="37"/>
          <w:sz w:val="16"/>
          <w:szCs w:val="16"/>
        </w:rPr>
        <w:t>，形</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成</w:t>
      </w:r>
      <w:r>
        <w:rPr>
          <w:rFonts w:ascii="微软雅黑" w:hAnsi="微软雅黑" w:eastAsia="微软雅黑" w:cs="微软雅黑"/>
          <w:spacing w:val="-19"/>
          <w:sz w:val="16"/>
          <w:szCs w:val="16"/>
        </w:rPr>
        <w:t xml:space="preserve"> </w:t>
      </w:r>
      <w:r>
        <w:rPr>
          <w:rFonts w:ascii="微软雅黑" w:hAnsi="微软雅黑" w:eastAsia="微软雅黑" w:cs="微软雅黑"/>
          <w:spacing w:val="37"/>
          <w:sz w:val="16"/>
          <w:szCs w:val="16"/>
        </w:rPr>
        <w:t>符</w:t>
      </w:r>
      <w:r>
        <w:rPr>
          <w:rFonts w:ascii="微软雅黑" w:hAnsi="微软雅黑" w:eastAsia="微软雅黑" w:cs="微软雅黑"/>
          <w:spacing w:val="-19"/>
          <w:sz w:val="16"/>
          <w:szCs w:val="16"/>
        </w:rPr>
        <w:t xml:space="preserve"> </w:t>
      </w:r>
      <w:r>
        <w:rPr>
          <w:rFonts w:ascii="微软雅黑" w:hAnsi="微软雅黑" w:eastAsia="微软雅黑" w:cs="微软雅黑"/>
          <w:spacing w:val="37"/>
          <w:sz w:val="16"/>
          <w:szCs w:val="16"/>
        </w:rPr>
        <w:t>合</w:t>
      </w:r>
      <w:r>
        <w:rPr>
          <w:rFonts w:ascii="微软雅黑" w:hAnsi="微软雅黑" w:eastAsia="微软雅黑" w:cs="微软雅黑"/>
          <w:sz w:val="16"/>
          <w:szCs w:val="16"/>
        </w:rPr>
        <w:t xml:space="preserve">  </w:t>
      </w:r>
      <w:r>
        <w:rPr>
          <w:rFonts w:ascii="微软雅黑" w:hAnsi="微软雅黑" w:eastAsia="微软雅黑" w:cs="微软雅黑"/>
          <w:spacing w:val="8"/>
          <w:w w:val="123"/>
          <w:sz w:val="16"/>
          <w:szCs w:val="16"/>
        </w:rPr>
        <w:t>自身办学定位与学校特色的质量文化</w:t>
      </w:r>
      <w:r>
        <w:rPr>
          <w:rFonts w:ascii="微软雅黑" w:hAnsi="微软雅黑" w:eastAsia="微软雅黑" w:cs="微软雅黑"/>
          <w:spacing w:val="-3"/>
          <w:sz w:val="16"/>
          <w:szCs w:val="16"/>
        </w:rPr>
        <w:t xml:space="preserve"> </w:t>
      </w:r>
      <w:r>
        <w:rPr>
          <w:rFonts w:ascii="微软雅黑" w:hAnsi="微软雅黑" w:eastAsia="微软雅黑" w:cs="微软雅黑"/>
          <w:spacing w:val="8"/>
          <w:w w:val="123"/>
          <w:sz w:val="16"/>
          <w:szCs w:val="16"/>
        </w:rPr>
        <w:t>。</w:t>
      </w:r>
    </w:p>
    <w:p>
      <w:pPr>
        <w:spacing w:before="60" w:line="237" w:lineRule="auto"/>
        <w:ind w:left="906" w:right="216" w:firstLine="418"/>
        <w:jc w:val="both"/>
        <w:rPr>
          <w:rFonts w:ascii="微软雅黑" w:hAnsi="微软雅黑" w:eastAsia="微软雅黑" w:cs="微软雅黑"/>
          <w:sz w:val="16"/>
          <w:szCs w:val="16"/>
        </w:rPr>
      </w:pPr>
      <w:r>
        <w:rPr>
          <w:rFonts w:ascii="微软雅黑" w:hAnsi="微软雅黑" w:eastAsia="微软雅黑" w:cs="微软雅黑"/>
          <w:spacing w:val="18"/>
          <w:sz w:val="16"/>
          <w:szCs w:val="16"/>
        </w:rPr>
        <w:t>第二</w:t>
      </w:r>
      <w:r>
        <w:rPr>
          <w:rFonts w:ascii="微软雅黑" w:hAnsi="微软雅黑" w:eastAsia="微软雅黑" w:cs="微软雅黑"/>
          <w:spacing w:val="-9"/>
          <w:sz w:val="16"/>
          <w:szCs w:val="16"/>
        </w:rPr>
        <w:t xml:space="preserve"> </w:t>
      </w:r>
      <w:r>
        <w:rPr>
          <w:rFonts w:ascii="微软雅黑" w:hAnsi="微软雅黑" w:eastAsia="微软雅黑" w:cs="微软雅黑"/>
          <w:spacing w:val="18"/>
          <w:sz w:val="16"/>
          <w:szCs w:val="16"/>
        </w:rPr>
        <w:t>，提</w:t>
      </w:r>
      <w:r>
        <w:rPr>
          <w:rFonts w:ascii="微软雅黑" w:hAnsi="微软雅黑" w:eastAsia="微软雅黑" w:cs="微软雅黑"/>
          <w:spacing w:val="-11"/>
          <w:sz w:val="16"/>
          <w:szCs w:val="16"/>
        </w:rPr>
        <w:t xml:space="preserve"> </w:t>
      </w:r>
      <w:r>
        <w:rPr>
          <w:rFonts w:ascii="微软雅黑" w:hAnsi="微软雅黑" w:eastAsia="微软雅黑" w:cs="微软雅黑"/>
          <w:spacing w:val="18"/>
          <w:sz w:val="16"/>
          <w:szCs w:val="16"/>
        </w:rPr>
        <w:t>升</w:t>
      </w:r>
      <w:r>
        <w:rPr>
          <w:rFonts w:ascii="微软雅黑" w:hAnsi="微软雅黑" w:eastAsia="微软雅黑" w:cs="微软雅黑"/>
          <w:spacing w:val="-11"/>
          <w:sz w:val="16"/>
          <w:szCs w:val="16"/>
        </w:rPr>
        <w:t xml:space="preserve"> </w:t>
      </w:r>
      <w:r>
        <w:rPr>
          <w:rFonts w:ascii="微软雅黑" w:hAnsi="微软雅黑" w:eastAsia="微软雅黑" w:cs="微软雅黑"/>
          <w:spacing w:val="18"/>
          <w:sz w:val="16"/>
          <w:szCs w:val="16"/>
        </w:rPr>
        <w:t>学</w:t>
      </w:r>
      <w:r>
        <w:rPr>
          <w:rFonts w:ascii="微软雅黑" w:hAnsi="微软雅黑" w:eastAsia="微软雅黑" w:cs="微软雅黑"/>
          <w:spacing w:val="-11"/>
          <w:sz w:val="16"/>
          <w:szCs w:val="16"/>
        </w:rPr>
        <w:t xml:space="preserve"> </w:t>
      </w:r>
      <w:r>
        <w:rPr>
          <w:rFonts w:ascii="微软雅黑" w:hAnsi="微软雅黑" w:eastAsia="微软雅黑" w:cs="微软雅黑"/>
          <w:spacing w:val="18"/>
          <w:sz w:val="16"/>
          <w:szCs w:val="16"/>
        </w:rPr>
        <w:t>校 战 略</w:t>
      </w:r>
      <w:r>
        <w:rPr>
          <w:rFonts w:ascii="微软雅黑" w:hAnsi="微软雅黑" w:eastAsia="微软雅黑" w:cs="微软雅黑"/>
          <w:spacing w:val="-11"/>
          <w:sz w:val="16"/>
          <w:szCs w:val="16"/>
        </w:rPr>
        <w:t xml:space="preserve"> </w:t>
      </w:r>
      <w:r>
        <w:rPr>
          <w:rFonts w:ascii="微软雅黑" w:hAnsi="微软雅黑" w:eastAsia="微软雅黑" w:cs="微软雅黑"/>
          <w:spacing w:val="18"/>
          <w:sz w:val="16"/>
          <w:szCs w:val="16"/>
        </w:rPr>
        <w:t>领</w:t>
      </w:r>
      <w:r>
        <w:rPr>
          <w:rFonts w:ascii="微软雅黑" w:hAnsi="微软雅黑" w:eastAsia="微软雅黑" w:cs="微软雅黑"/>
          <w:spacing w:val="-11"/>
          <w:sz w:val="16"/>
          <w:szCs w:val="16"/>
        </w:rPr>
        <w:t xml:space="preserve"> </w:t>
      </w:r>
      <w:r>
        <w:rPr>
          <w:rFonts w:ascii="微软雅黑" w:hAnsi="微软雅黑" w:eastAsia="微软雅黑" w:cs="微软雅黑"/>
          <w:spacing w:val="18"/>
          <w:sz w:val="16"/>
          <w:szCs w:val="16"/>
        </w:rPr>
        <w:t>导</w:t>
      </w:r>
      <w:r>
        <w:rPr>
          <w:rFonts w:ascii="微软雅黑" w:hAnsi="微软雅黑" w:eastAsia="微软雅黑" w:cs="微软雅黑"/>
          <w:spacing w:val="-13"/>
          <w:sz w:val="16"/>
          <w:szCs w:val="16"/>
        </w:rPr>
        <w:t xml:space="preserve"> </w:t>
      </w:r>
      <w:r>
        <w:rPr>
          <w:rFonts w:ascii="微软雅黑" w:hAnsi="微软雅黑" w:eastAsia="微软雅黑" w:cs="微软雅黑"/>
          <w:spacing w:val="18"/>
          <w:sz w:val="16"/>
          <w:szCs w:val="16"/>
        </w:rPr>
        <w:t>对</w:t>
      </w:r>
      <w:r>
        <w:rPr>
          <w:rFonts w:ascii="微软雅黑" w:hAnsi="微软雅黑" w:eastAsia="微软雅黑" w:cs="微软雅黑"/>
          <w:spacing w:val="-11"/>
          <w:sz w:val="16"/>
          <w:szCs w:val="16"/>
        </w:rPr>
        <w:t xml:space="preserve"> </w:t>
      </w:r>
      <w:r>
        <w:rPr>
          <w:rFonts w:ascii="微软雅黑" w:hAnsi="微软雅黑" w:eastAsia="微软雅黑" w:cs="微软雅黑"/>
          <w:spacing w:val="18"/>
          <w:sz w:val="16"/>
          <w:szCs w:val="16"/>
        </w:rPr>
        <w:t>质</w:t>
      </w:r>
      <w:r>
        <w:rPr>
          <w:rFonts w:ascii="微软雅黑" w:hAnsi="微软雅黑" w:eastAsia="微软雅黑" w:cs="微软雅黑"/>
          <w:spacing w:val="-12"/>
          <w:sz w:val="16"/>
          <w:szCs w:val="16"/>
        </w:rPr>
        <w:t xml:space="preserve"> </w:t>
      </w:r>
      <w:r>
        <w:rPr>
          <w:rFonts w:ascii="微软雅黑" w:hAnsi="微软雅黑" w:eastAsia="微软雅黑" w:cs="微软雅黑"/>
          <w:spacing w:val="18"/>
          <w:sz w:val="16"/>
          <w:szCs w:val="16"/>
        </w:rPr>
        <w:t>量</w:t>
      </w:r>
      <w:r>
        <w:rPr>
          <w:rFonts w:ascii="微软雅黑" w:hAnsi="微软雅黑" w:eastAsia="微软雅黑" w:cs="微软雅黑"/>
          <w:spacing w:val="-10"/>
          <w:sz w:val="16"/>
          <w:szCs w:val="16"/>
        </w:rPr>
        <w:t xml:space="preserve"> </w:t>
      </w:r>
      <w:r>
        <w:rPr>
          <w:rFonts w:ascii="微软雅黑" w:hAnsi="微软雅黑" w:eastAsia="微软雅黑" w:cs="微软雅黑"/>
          <w:spacing w:val="18"/>
          <w:sz w:val="16"/>
          <w:szCs w:val="16"/>
        </w:rPr>
        <w:t>文</w:t>
      </w:r>
      <w:r>
        <w:rPr>
          <w:rFonts w:ascii="微软雅黑" w:hAnsi="微软雅黑" w:eastAsia="微软雅黑" w:cs="微软雅黑"/>
          <w:spacing w:val="-10"/>
          <w:sz w:val="16"/>
          <w:szCs w:val="16"/>
        </w:rPr>
        <w:t xml:space="preserve"> </w:t>
      </w:r>
      <w:r>
        <w:rPr>
          <w:rFonts w:ascii="微软雅黑" w:hAnsi="微软雅黑" w:eastAsia="微软雅黑" w:cs="微软雅黑"/>
          <w:spacing w:val="18"/>
          <w:sz w:val="16"/>
          <w:szCs w:val="16"/>
        </w:rPr>
        <w:t>化 的</w:t>
      </w:r>
      <w:r>
        <w:rPr>
          <w:rFonts w:ascii="微软雅黑" w:hAnsi="微软雅黑" w:eastAsia="微软雅黑" w:cs="微软雅黑"/>
          <w:spacing w:val="-9"/>
          <w:sz w:val="16"/>
          <w:szCs w:val="16"/>
        </w:rPr>
        <w:t xml:space="preserve"> </w:t>
      </w:r>
      <w:r>
        <w:rPr>
          <w:rFonts w:ascii="微软雅黑" w:hAnsi="微软雅黑" w:eastAsia="微软雅黑" w:cs="微软雅黑"/>
          <w:spacing w:val="18"/>
          <w:sz w:val="16"/>
          <w:szCs w:val="16"/>
        </w:rPr>
        <w:t>重</w:t>
      </w:r>
      <w:r>
        <w:rPr>
          <w:rFonts w:ascii="微软雅黑" w:hAnsi="微软雅黑" w:eastAsia="微软雅黑" w:cs="微软雅黑"/>
          <w:spacing w:val="-10"/>
          <w:sz w:val="16"/>
          <w:szCs w:val="16"/>
        </w:rPr>
        <w:t xml:space="preserve"> </w:t>
      </w:r>
      <w:r>
        <w:rPr>
          <w:rFonts w:ascii="微软雅黑" w:hAnsi="微软雅黑" w:eastAsia="微软雅黑" w:cs="微软雅黑"/>
          <w:spacing w:val="18"/>
          <w:sz w:val="16"/>
          <w:szCs w:val="16"/>
        </w:rPr>
        <w:t>视</w:t>
      </w:r>
      <w:r>
        <w:rPr>
          <w:rFonts w:ascii="微软雅黑" w:hAnsi="微软雅黑" w:eastAsia="微软雅黑" w:cs="微软雅黑"/>
          <w:spacing w:val="-16"/>
          <w:sz w:val="16"/>
          <w:szCs w:val="16"/>
        </w:rPr>
        <w:t xml:space="preserve"> </w:t>
      </w:r>
      <w:r>
        <w:rPr>
          <w:rFonts w:ascii="微软雅黑" w:hAnsi="微软雅黑" w:eastAsia="微软雅黑" w:cs="微软雅黑"/>
          <w:spacing w:val="18"/>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10"/>
          <w:w w:val="125"/>
          <w:sz w:val="16"/>
          <w:szCs w:val="16"/>
        </w:rPr>
        <w:t>高校战略领导力是学校战略管理团队领导能力的具</w:t>
      </w:r>
      <w:r>
        <w:rPr>
          <w:rFonts w:ascii="微软雅黑" w:hAnsi="微软雅黑" w:eastAsia="微软雅黑" w:cs="微软雅黑"/>
          <w:sz w:val="16"/>
          <w:szCs w:val="16"/>
        </w:rPr>
        <w:t xml:space="preserve">  </w:t>
      </w:r>
      <w:r>
        <w:rPr>
          <w:rFonts w:ascii="微软雅黑" w:hAnsi="微软雅黑" w:eastAsia="微软雅黑" w:cs="微软雅黑"/>
          <w:spacing w:val="40"/>
          <w:sz w:val="16"/>
          <w:szCs w:val="16"/>
        </w:rPr>
        <w:t>体体现</w:t>
      </w:r>
      <w:r>
        <w:rPr>
          <w:rFonts w:ascii="微软雅黑" w:hAnsi="微软雅黑" w:eastAsia="微软雅黑" w:cs="微软雅黑"/>
          <w:spacing w:val="-24"/>
          <w:sz w:val="16"/>
          <w:szCs w:val="16"/>
        </w:rPr>
        <w:t xml:space="preserve"> </w:t>
      </w:r>
      <w:r>
        <w:rPr>
          <w:rFonts w:ascii="微软雅黑" w:hAnsi="微软雅黑" w:eastAsia="微软雅黑" w:cs="微软雅黑"/>
          <w:spacing w:val="40"/>
          <w:sz w:val="16"/>
          <w:szCs w:val="16"/>
        </w:rPr>
        <w:t>，包括构建和传播学校战略愿景的能力</w:t>
      </w:r>
      <w:r>
        <w:rPr>
          <w:rFonts w:ascii="微软雅黑" w:hAnsi="微软雅黑" w:eastAsia="微软雅黑" w:cs="微软雅黑"/>
          <w:spacing w:val="39"/>
          <w:sz w:val="16"/>
          <w:szCs w:val="16"/>
        </w:rPr>
        <w:t>（愿景</w:t>
      </w:r>
      <w:r>
        <w:rPr>
          <w:rFonts w:ascii="微软雅黑" w:hAnsi="微软雅黑" w:eastAsia="微软雅黑" w:cs="微软雅黑"/>
          <w:sz w:val="16"/>
          <w:szCs w:val="16"/>
        </w:rPr>
        <w:t xml:space="preserve">  </w:t>
      </w:r>
      <w:r>
        <w:rPr>
          <w:rFonts w:ascii="微软雅黑" w:hAnsi="微软雅黑" w:eastAsia="微软雅黑" w:cs="微软雅黑"/>
          <w:spacing w:val="30"/>
          <w:sz w:val="16"/>
          <w:szCs w:val="16"/>
        </w:rPr>
        <w:t>领导力）、整合学校发展资源的能力（结</w:t>
      </w:r>
      <w:r>
        <w:rPr>
          <w:rFonts w:ascii="微软雅黑" w:hAnsi="微软雅黑" w:eastAsia="微软雅黑" w:cs="微软雅黑"/>
          <w:spacing w:val="-15"/>
          <w:sz w:val="16"/>
          <w:szCs w:val="16"/>
        </w:rPr>
        <w:t xml:space="preserve"> </w:t>
      </w:r>
      <w:r>
        <w:rPr>
          <w:rFonts w:ascii="微软雅黑" w:hAnsi="微软雅黑" w:eastAsia="微软雅黑" w:cs="微软雅黑"/>
          <w:spacing w:val="30"/>
          <w:sz w:val="16"/>
          <w:szCs w:val="16"/>
        </w:rPr>
        <w:t>构</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领</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导</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力）、</w:t>
      </w:r>
      <w:r>
        <w:rPr>
          <w:rFonts w:ascii="微软雅黑" w:hAnsi="微软雅黑" w:eastAsia="微软雅黑" w:cs="微软雅黑"/>
          <w:sz w:val="16"/>
          <w:szCs w:val="16"/>
        </w:rPr>
        <w:t xml:space="preserve"> </w:t>
      </w:r>
      <w:r>
        <w:rPr>
          <w:rFonts w:ascii="微软雅黑" w:hAnsi="微软雅黑" w:eastAsia="微软雅黑" w:cs="微软雅黑"/>
          <w:spacing w:val="25"/>
          <w:sz w:val="16"/>
          <w:szCs w:val="16"/>
        </w:rPr>
        <w:t>规划和</w:t>
      </w:r>
      <w:r>
        <w:rPr>
          <w:rFonts w:ascii="微软雅黑" w:hAnsi="微软雅黑" w:eastAsia="微软雅黑" w:cs="微软雅黑"/>
          <w:spacing w:val="-5"/>
          <w:sz w:val="16"/>
          <w:szCs w:val="16"/>
        </w:rPr>
        <w:t xml:space="preserve"> </w:t>
      </w:r>
      <w:r>
        <w:rPr>
          <w:rFonts w:ascii="微软雅黑" w:hAnsi="微软雅黑" w:eastAsia="微软雅黑" w:cs="微软雅黑"/>
          <w:spacing w:val="25"/>
          <w:sz w:val="16"/>
          <w:szCs w:val="16"/>
        </w:rPr>
        <w:t>实</w:t>
      </w:r>
      <w:r>
        <w:rPr>
          <w:rFonts w:ascii="微软雅黑" w:hAnsi="微软雅黑" w:eastAsia="微软雅黑" w:cs="微软雅黑"/>
          <w:spacing w:val="-10"/>
          <w:sz w:val="16"/>
          <w:szCs w:val="16"/>
        </w:rPr>
        <w:t xml:space="preserve"> </w:t>
      </w:r>
      <w:r>
        <w:rPr>
          <w:rFonts w:ascii="微软雅黑" w:hAnsi="微软雅黑" w:eastAsia="微软雅黑" w:cs="微软雅黑"/>
          <w:spacing w:val="25"/>
          <w:sz w:val="16"/>
          <w:szCs w:val="16"/>
        </w:rPr>
        <w:t>施</w:t>
      </w:r>
      <w:r>
        <w:rPr>
          <w:rFonts w:ascii="微软雅黑" w:hAnsi="微软雅黑" w:eastAsia="微软雅黑" w:cs="微软雅黑"/>
          <w:spacing w:val="-7"/>
          <w:sz w:val="16"/>
          <w:szCs w:val="16"/>
        </w:rPr>
        <w:t xml:space="preserve"> </w:t>
      </w:r>
      <w:r>
        <w:rPr>
          <w:rFonts w:ascii="微软雅黑" w:hAnsi="微软雅黑" w:eastAsia="微软雅黑" w:cs="微软雅黑"/>
          <w:spacing w:val="25"/>
          <w:sz w:val="16"/>
          <w:szCs w:val="16"/>
        </w:rPr>
        <w:t>学</w:t>
      </w:r>
      <w:r>
        <w:rPr>
          <w:rFonts w:ascii="微软雅黑" w:hAnsi="微软雅黑" w:eastAsia="微软雅黑" w:cs="微软雅黑"/>
          <w:spacing w:val="-7"/>
          <w:sz w:val="16"/>
          <w:szCs w:val="16"/>
        </w:rPr>
        <w:t xml:space="preserve"> </w:t>
      </w:r>
      <w:r>
        <w:rPr>
          <w:rFonts w:ascii="微软雅黑" w:hAnsi="微软雅黑" w:eastAsia="微软雅黑" w:cs="微软雅黑"/>
          <w:spacing w:val="25"/>
          <w:sz w:val="16"/>
          <w:szCs w:val="16"/>
        </w:rPr>
        <w:t>校</w:t>
      </w:r>
      <w:r>
        <w:rPr>
          <w:rFonts w:ascii="微软雅黑" w:hAnsi="微软雅黑" w:eastAsia="微软雅黑" w:cs="微软雅黑"/>
          <w:spacing w:val="-7"/>
          <w:sz w:val="16"/>
          <w:szCs w:val="16"/>
        </w:rPr>
        <w:t xml:space="preserve"> </w:t>
      </w:r>
      <w:r>
        <w:rPr>
          <w:rFonts w:ascii="微软雅黑" w:hAnsi="微软雅黑" w:eastAsia="微软雅黑" w:cs="微软雅黑"/>
          <w:spacing w:val="25"/>
          <w:sz w:val="16"/>
          <w:szCs w:val="16"/>
        </w:rPr>
        <w:t>发</w:t>
      </w:r>
      <w:r>
        <w:rPr>
          <w:rFonts w:ascii="微软雅黑" w:hAnsi="微软雅黑" w:eastAsia="微软雅黑" w:cs="微软雅黑"/>
          <w:spacing w:val="-9"/>
          <w:sz w:val="16"/>
          <w:szCs w:val="16"/>
        </w:rPr>
        <w:t xml:space="preserve"> </w:t>
      </w:r>
      <w:r>
        <w:rPr>
          <w:rFonts w:ascii="微软雅黑" w:hAnsi="微软雅黑" w:eastAsia="微软雅黑" w:cs="微软雅黑"/>
          <w:spacing w:val="25"/>
          <w:sz w:val="16"/>
          <w:szCs w:val="16"/>
        </w:rPr>
        <w:t>展 战 略</w:t>
      </w:r>
      <w:r>
        <w:rPr>
          <w:rFonts w:ascii="微软雅黑" w:hAnsi="微软雅黑" w:eastAsia="微软雅黑" w:cs="微软雅黑"/>
          <w:spacing w:val="-8"/>
          <w:sz w:val="16"/>
          <w:szCs w:val="16"/>
        </w:rPr>
        <w:t xml:space="preserve"> </w:t>
      </w:r>
      <w:r>
        <w:rPr>
          <w:rFonts w:ascii="微软雅黑" w:hAnsi="微软雅黑" w:eastAsia="微软雅黑" w:cs="微软雅黑"/>
          <w:spacing w:val="25"/>
          <w:sz w:val="16"/>
          <w:szCs w:val="16"/>
        </w:rPr>
        <w:t>路</w:t>
      </w:r>
      <w:r>
        <w:rPr>
          <w:rFonts w:ascii="微软雅黑" w:hAnsi="微软雅黑" w:eastAsia="微软雅黑" w:cs="微软雅黑"/>
          <w:spacing w:val="-9"/>
          <w:sz w:val="16"/>
          <w:szCs w:val="16"/>
        </w:rPr>
        <w:t xml:space="preserve"> </w:t>
      </w:r>
      <w:r>
        <w:rPr>
          <w:rFonts w:ascii="微软雅黑" w:hAnsi="微软雅黑" w:eastAsia="微软雅黑" w:cs="微软雅黑"/>
          <w:spacing w:val="25"/>
          <w:sz w:val="16"/>
          <w:szCs w:val="16"/>
        </w:rPr>
        <w:t>径 的</w:t>
      </w:r>
      <w:r>
        <w:rPr>
          <w:rFonts w:ascii="微软雅黑" w:hAnsi="微软雅黑" w:eastAsia="微软雅黑" w:cs="微软雅黑"/>
          <w:spacing w:val="-4"/>
          <w:sz w:val="16"/>
          <w:szCs w:val="16"/>
        </w:rPr>
        <w:t xml:space="preserve"> </w:t>
      </w:r>
      <w:r>
        <w:rPr>
          <w:rFonts w:ascii="微软雅黑" w:hAnsi="微软雅黑" w:eastAsia="微软雅黑" w:cs="微软雅黑"/>
          <w:spacing w:val="25"/>
          <w:sz w:val="16"/>
          <w:szCs w:val="16"/>
        </w:rPr>
        <w:t>能</w:t>
      </w:r>
      <w:r>
        <w:rPr>
          <w:rFonts w:ascii="微软雅黑" w:hAnsi="微软雅黑" w:eastAsia="微软雅黑" w:cs="微软雅黑"/>
          <w:spacing w:val="-8"/>
          <w:sz w:val="16"/>
          <w:szCs w:val="16"/>
        </w:rPr>
        <w:t xml:space="preserve"> </w:t>
      </w:r>
      <w:r>
        <w:rPr>
          <w:rFonts w:ascii="微软雅黑" w:hAnsi="微软雅黑" w:eastAsia="微软雅黑" w:cs="微软雅黑"/>
          <w:spacing w:val="25"/>
          <w:sz w:val="16"/>
          <w:szCs w:val="16"/>
        </w:rPr>
        <w:t>力（路</w:t>
      </w:r>
      <w:r>
        <w:rPr>
          <w:rFonts w:ascii="微软雅黑" w:hAnsi="微软雅黑" w:eastAsia="微软雅黑" w:cs="微软雅黑"/>
          <w:spacing w:val="-9"/>
          <w:sz w:val="16"/>
          <w:szCs w:val="16"/>
        </w:rPr>
        <w:t xml:space="preserve"> </w:t>
      </w:r>
      <w:r>
        <w:rPr>
          <w:rFonts w:ascii="微软雅黑" w:hAnsi="微软雅黑" w:eastAsia="微软雅黑" w:cs="微软雅黑"/>
          <w:spacing w:val="25"/>
          <w:sz w:val="16"/>
          <w:szCs w:val="16"/>
        </w:rPr>
        <w:t>径</w:t>
      </w:r>
      <w:r>
        <w:rPr>
          <w:rFonts w:ascii="微软雅黑" w:hAnsi="微软雅黑" w:eastAsia="微软雅黑" w:cs="微软雅黑"/>
          <w:spacing w:val="-8"/>
          <w:sz w:val="16"/>
          <w:szCs w:val="16"/>
        </w:rPr>
        <w:t xml:space="preserve"> </w:t>
      </w:r>
      <w:r>
        <w:rPr>
          <w:rFonts w:ascii="微软雅黑" w:hAnsi="微软雅黑" w:eastAsia="微软雅黑" w:cs="微软雅黑"/>
          <w:spacing w:val="25"/>
          <w:sz w:val="16"/>
          <w:szCs w:val="16"/>
        </w:rPr>
        <w:t>领</w:t>
      </w:r>
      <w:r>
        <w:rPr>
          <w:rFonts w:ascii="微软雅黑" w:hAnsi="微软雅黑" w:eastAsia="微软雅黑" w:cs="微软雅黑"/>
          <w:spacing w:val="-6"/>
          <w:sz w:val="16"/>
          <w:szCs w:val="16"/>
        </w:rPr>
        <w:t xml:space="preserve"> </w:t>
      </w:r>
      <w:r>
        <w:rPr>
          <w:rFonts w:ascii="微软雅黑" w:hAnsi="微软雅黑" w:eastAsia="微软雅黑" w:cs="微软雅黑"/>
          <w:spacing w:val="25"/>
          <w:sz w:val="16"/>
          <w:szCs w:val="16"/>
        </w:rPr>
        <w:t>导</w:t>
      </w:r>
      <w:r>
        <w:rPr>
          <w:rFonts w:ascii="微软雅黑" w:hAnsi="微软雅黑" w:eastAsia="微软雅黑" w:cs="微软雅黑"/>
          <w:sz w:val="16"/>
          <w:szCs w:val="16"/>
        </w:rPr>
        <w:t xml:space="preserve">  </w:t>
      </w:r>
      <w:r>
        <w:rPr>
          <w:rFonts w:ascii="微软雅黑" w:hAnsi="微软雅黑" w:eastAsia="微软雅黑" w:cs="微软雅黑"/>
          <w:spacing w:val="27"/>
          <w:sz w:val="16"/>
          <w:szCs w:val="16"/>
        </w:rPr>
        <w:t>力）、领导学校组织变革的能力（均衡</w:t>
      </w:r>
      <w:r>
        <w:rPr>
          <w:rFonts w:ascii="微软雅黑" w:hAnsi="微软雅黑" w:eastAsia="微软雅黑" w:cs="微软雅黑"/>
          <w:spacing w:val="-5"/>
          <w:sz w:val="16"/>
          <w:szCs w:val="16"/>
        </w:rPr>
        <w:t xml:space="preserve"> </w:t>
      </w:r>
      <w:r>
        <w:rPr>
          <w:rFonts w:ascii="微软雅黑" w:hAnsi="微软雅黑" w:eastAsia="微软雅黑" w:cs="微软雅黑"/>
          <w:spacing w:val="27"/>
          <w:sz w:val="16"/>
          <w:szCs w:val="16"/>
        </w:rPr>
        <w:t>领</w:t>
      </w:r>
      <w:r>
        <w:rPr>
          <w:rFonts w:ascii="微软雅黑" w:hAnsi="微软雅黑" w:eastAsia="微软雅黑" w:cs="微软雅黑"/>
          <w:spacing w:val="-16"/>
          <w:sz w:val="16"/>
          <w:szCs w:val="16"/>
        </w:rPr>
        <w:t xml:space="preserve"> </w:t>
      </w:r>
      <w:r>
        <w:rPr>
          <w:rFonts w:ascii="微软雅黑" w:hAnsi="微软雅黑" w:eastAsia="微软雅黑" w:cs="微软雅黑"/>
          <w:spacing w:val="27"/>
          <w:sz w:val="16"/>
          <w:szCs w:val="16"/>
        </w:rPr>
        <w:t>导</w:t>
      </w:r>
      <w:r>
        <w:rPr>
          <w:rFonts w:ascii="微软雅黑" w:hAnsi="微软雅黑" w:eastAsia="微软雅黑" w:cs="微软雅黑"/>
          <w:spacing w:val="-18"/>
          <w:sz w:val="16"/>
          <w:szCs w:val="16"/>
        </w:rPr>
        <w:t xml:space="preserve"> </w:t>
      </w:r>
      <w:r>
        <w:rPr>
          <w:rFonts w:ascii="微软雅黑" w:hAnsi="微软雅黑" w:eastAsia="微软雅黑" w:cs="微软雅黑"/>
          <w:spacing w:val="27"/>
          <w:sz w:val="16"/>
          <w:szCs w:val="16"/>
        </w:rPr>
        <w:t>力）、动</w:t>
      </w:r>
      <w:r>
        <w:rPr>
          <w:rFonts w:ascii="微软雅黑" w:hAnsi="微软雅黑" w:eastAsia="微软雅黑" w:cs="微软雅黑"/>
          <w:spacing w:val="-18"/>
          <w:sz w:val="16"/>
          <w:szCs w:val="16"/>
        </w:rPr>
        <w:t xml:space="preserve"> </w:t>
      </w:r>
      <w:r>
        <w:rPr>
          <w:rFonts w:ascii="微软雅黑" w:hAnsi="微软雅黑" w:eastAsia="微软雅黑" w:cs="微软雅黑"/>
          <w:spacing w:val="27"/>
          <w:sz w:val="16"/>
          <w:szCs w:val="16"/>
        </w:rPr>
        <w:t>员</w:t>
      </w:r>
      <w:r>
        <w:rPr>
          <w:rFonts w:ascii="微软雅黑" w:hAnsi="微软雅黑" w:eastAsia="微软雅黑" w:cs="微软雅黑"/>
          <w:sz w:val="16"/>
          <w:szCs w:val="16"/>
        </w:rPr>
        <w:t xml:space="preserve">  </w:t>
      </w:r>
      <w:r>
        <w:rPr>
          <w:rFonts w:ascii="微软雅黑" w:hAnsi="微软雅黑" w:eastAsia="微软雅黑" w:cs="微软雅黑"/>
          <w:spacing w:val="35"/>
          <w:sz w:val="16"/>
          <w:szCs w:val="16"/>
        </w:rPr>
        <w:t>鼓舞师生参与学校发展的能力（动员</w:t>
      </w:r>
      <w:r>
        <w:rPr>
          <w:rFonts w:ascii="微软雅黑" w:hAnsi="微软雅黑" w:eastAsia="微软雅黑" w:cs="微软雅黑"/>
          <w:sz w:val="16"/>
          <w:szCs w:val="16"/>
        </w:rPr>
        <w:t xml:space="preserve"> </w:t>
      </w:r>
      <w:r>
        <w:rPr>
          <w:rFonts w:ascii="微软雅黑" w:hAnsi="微软雅黑" w:eastAsia="微软雅黑" w:cs="微软雅黑"/>
          <w:spacing w:val="35"/>
          <w:sz w:val="16"/>
          <w:szCs w:val="16"/>
        </w:rPr>
        <w:t>领</w:t>
      </w:r>
      <w:r>
        <w:rPr>
          <w:rFonts w:ascii="微软雅黑" w:hAnsi="微软雅黑" w:eastAsia="微软雅黑" w:cs="微软雅黑"/>
          <w:spacing w:val="-16"/>
          <w:sz w:val="16"/>
          <w:szCs w:val="16"/>
        </w:rPr>
        <w:t xml:space="preserve"> </w:t>
      </w:r>
      <w:r>
        <w:rPr>
          <w:rFonts w:ascii="微软雅黑" w:hAnsi="微软雅黑" w:eastAsia="微软雅黑" w:cs="微软雅黑"/>
          <w:spacing w:val="35"/>
          <w:sz w:val="16"/>
          <w:szCs w:val="16"/>
        </w:rPr>
        <w:t>导</w:t>
      </w:r>
      <w:r>
        <w:rPr>
          <w:rFonts w:ascii="微软雅黑" w:hAnsi="微软雅黑" w:eastAsia="微软雅黑" w:cs="微软雅黑"/>
          <w:spacing w:val="-19"/>
          <w:sz w:val="16"/>
          <w:szCs w:val="16"/>
        </w:rPr>
        <w:t xml:space="preserve"> </w:t>
      </w:r>
      <w:r>
        <w:rPr>
          <w:rFonts w:ascii="微软雅黑" w:hAnsi="微软雅黑" w:eastAsia="微软雅黑" w:cs="微软雅黑"/>
          <w:spacing w:val="35"/>
          <w:sz w:val="16"/>
          <w:szCs w:val="16"/>
        </w:rPr>
        <w:t>力）、谋</w:t>
      </w:r>
      <w:r>
        <w:rPr>
          <w:rFonts w:ascii="微软雅黑" w:hAnsi="微软雅黑" w:eastAsia="微软雅黑" w:cs="微软雅黑"/>
          <w:spacing w:val="-19"/>
          <w:sz w:val="16"/>
          <w:szCs w:val="16"/>
        </w:rPr>
        <w:t xml:space="preserve"> </w:t>
      </w:r>
      <w:r>
        <w:rPr>
          <w:rFonts w:ascii="微软雅黑" w:hAnsi="微软雅黑" w:eastAsia="微软雅黑" w:cs="微软雅黑"/>
          <w:spacing w:val="35"/>
          <w:sz w:val="16"/>
          <w:szCs w:val="16"/>
        </w:rPr>
        <w:t>求</w:t>
      </w:r>
      <w:r>
        <w:rPr>
          <w:rFonts w:ascii="微软雅黑" w:hAnsi="微软雅黑" w:eastAsia="微软雅黑" w:cs="微软雅黑"/>
          <w:sz w:val="16"/>
          <w:szCs w:val="16"/>
        </w:rPr>
        <w:t xml:space="preserve">  </w:t>
      </w:r>
      <w:r>
        <w:rPr>
          <w:rFonts w:ascii="微软雅黑" w:hAnsi="微软雅黑" w:eastAsia="微软雅黑" w:cs="微软雅黑"/>
          <w:spacing w:val="31"/>
          <w:sz w:val="16"/>
          <w:szCs w:val="16"/>
        </w:rPr>
        <w:t>学校可持续发展的能力（持续领导力）等</w:t>
      </w:r>
      <w:r>
        <w:rPr>
          <w:rFonts w:ascii="微软雅黑" w:hAnsi="微软雅黑" w:eastAsia="微软雅黑" w:cs="微软雅黑"/>
          <w:spacing w:val="31"/>
          <w:position w:val="5"/>
          <w:sz w:val="9"/>
          <w:szCs w:val="9"/>
        </w:rPr>
        <w:t xml:space="preserve">[13]  </w:t>
      </w:r>
      <w:r>
        <w:rPr>
          <w:rFonts w:ascii="微软雅黑" w:hAnsi="微软雅黑" w:eastAsia="微软雅黑" w:cs="微软雅黑"/>
          <w:spacing w:val="31"/>
          <w:sz w:val="16"/>
          <w:szCs w:val="16"/>
        </w:rPr>
        <w:t>。在质量</w:t>
      </w:r>
      <w:r>
        <w:rPr>
          <w:rFonts w:ascii="微软雅黑" w:hAnsi="微软雅黑" w:eastAsia="微软雅黑" w:cs="微软雅黑"/>
          <w:spacing w:val="7"/>
          <w:sz w:val="16"/>
          <w:szCs w:val="16"/>
        </w:rPr>
        <w:t xml:space="preserve">  </w:t>
      </w:r>
      <w:r>
        <w:rPr>
          <w:rFonts w:ascii="微软雅黑" w:hAnsi="微软雅黑" w:eastAsia="微软雅黑" w:cs="微软雅黑"/>
          <w:spacing w:val="36"/>
          <w:sz w:val="16"/>
          <w:szCs w:val="16"/>
        </w:rPr>
        <w:t>文化建设路径中</w:t>
      </w:r>
      <w:r>
        <w:rPr>
          <w:rFonts w:ascii="微软雅黑" w:hAnsi="微软雅黑" w:eastAsia="微软雅黑" w:cs="微软雅黑"/>
          <w:spacing w:val="-10"/>
          <w:sz w:val="16"/>
          <w:szCs w:val="16"/>
        </w:rPr>
        <w:t xml:space="preserve"> </w:t>
      </w:r>
      <w:r>
        <w:rPr>
          <w:rFonts w:ascii="微软雅黑" w:hAnsi="微软雅黑" w:eastAsia="微软雅黑" w:cs="微软雅黑"/>
          <w:spacing w:val="36"/>
          <w:sz w:val="16"/>
          <w:szCs w:val="16"/>
        </w:rPr>
        <w:t>，学校领导需</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要</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创</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造</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有</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利</w:t>
      </w:r>
      <w:r>
        <w:rPr>
          <w:rFonts w:ascii="微软雅黑" w:hAnsi="微软雅黑" w:eastAsia="微软雅黑" w:cs="微软雅黑"/>
          <w:spacing w:val="-11"/>
          <w:sz w:val="16"/>
          <w:szCs w:val="16"/>
        </w:rPr>
        <w:t xml:space="preserve"> </w:t>
      </w:r>
      <w:r>
        <w:rPr>
          <w:rFonts w:ascii="微软雅黑" w:hAnsi="微软雅黑" w:eastAsia="微软雅黑" w:cs="微软雅黑"/>
          <w:spacing w:val="36"/>
          <w:sz w:val="16"/>
          <w:szCs w:val="16"/>
        </w:rPr>
        <w:t>于</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量</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文</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化的条件</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，并能够将质量文化</w:t>
      </w:r>
      <w:r>
        <w:rPr>
          <w:rFonts w:ascii="微软雅黑" w:hAnsi="微软雅黑" w:eastAsia="微软雅黑" w:cs="微软雅黑"/>
          <w:spacing w:val="-3"/>
          <w:sz w:val="16"/>
          <w:szCs w:val="16"/>
        </w:rPr>
        <w:t xml:space="preserve"> </w:t>
      </w:r>
      <w:r>
        <w:rPr>
          <w:rFonts w:ascii="微软雅黑" w:hAnsi="微软雅黑" w:eastAsia="微软雅黑" w:cs="微软雅黑"/>
          <w:spacing w:val="36"/>
          <w:sz w:val="16"/>
          <w:szCs w:val="16"/>
        </w:rPr>
        <w:t>的</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价</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值</w:t>
      </w:r>
      <w:r>
        <w:rPr>
          <w:rFonts w:ascii="微软雅黑" w:hAnsi="微软雅黑" w:eastAsia="微软雅黑" w:cs="微软雅黑"/>
          <w:spacing w:val="-15"/>
          <w:sz w:val="16"/>
          <w:szCs w:val="16"/>
        </w:rPr>
        <w:t xml:space="preserve"> </w:t>
      </w:r>
      <w:r>
        <w:rPr>
          <w:rFonts w:ascii="微软雅黑" w:hAnsi="微软雅黑" w:eastAsia="微软雅黑" w:cs="微软雅黑"/>
          <w:spacing w:val="36"/>
          <w:sz w:val="16"/>
          <w:szCs w:val="16"/>
        </w:rPr>
        <w:t>观</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很</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好</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地</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传</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递</w:t>
      </w:r>
    </w:p>
    <w:p>
      <w:pPr>
        <w:spacing w:line="14" w:lineRule="auto"/>
        <w:rPr>
          <w:rFonts w:ascii="Arial"/>
          <w:sz w:val="2"/>
        </w:rPr>
      </w:pPr>
      <w:r>
        <w:rPr>
          <w:rFonts w:ascii="Arial" w:hAnsi="Arial" w:eastAsia="Arial" w:cs="Arial"/>
          <w:sz w:val="2"/>
          <w:szCs w:val="2"/>
        </w:rPr>
        <w:br w:type="column"/>
      </w:r>
    </w:p>
    <w:p>
      <w:pPr>
        <w:spacing w:before="46" w:line="236" w:lineRule="auto"/>
        <w:ind w:left="2" w:right="62" w:firstLine="6"/>
        <w:jc w:val="both"/>
        <w:rPr>
          <w:rFonts w:ascii="微软雅黑" w:hAnsi="微软雅黑" w:eastAsia="微软雅黑" w:cs="微软雅黑"/>
          <w:sz w:val="16"/>
          <w:szCs w:val="16"/>
        </w:rPr>
      </w:pPr>
      <w:r>
        <w:rPr>
          <w:rFonts w:ascii="微软雅黑" w:hAnsi="微软雅黑" w:eastAsia="微软雅黑" w:cs="微软雅黑"/>
          <w:spacing w:val="28"/>
          <w:sz w:val="16"/>
          <w:szCs w:val="16"/>
        </w:rPr>
        <w:t>给教职</w:t>
      </w:r>
      <w:r>
        <w:rPr>
          <w:rFonts w:ascii="微软雅黑" w:hAnsi="微软雅黑" w:eastAsia="微软雅黑" w:cs="微软雅黑"/>
          <w:spacing w:val="-5"/>
          <w:sz w:val="16"/>
          <w:szCs w:val="16"/>
        </w:rPr>
        <w:t xml:space="preserve"> </w:t>
      </w:r>
      <w:r>
        <w:rPr>
          <w:rFonts w:ascii="微软雅黑" w:hAnsi="微软雅黑" w:eastAsia="微软雅黑" w:cs="微软雅黑"/>
          <w:spacing w:val="28"/>
          <w:sz w:val="16"/>
          <w:szCs w:val="16"/>
        </w:rPr>
        <w:t>工</w:t>
      </w:r>
      <w:r>
        <w:rPr>
          <w:rFonts w:ascii="微软雅黑" w:hAnsi="微软雅黑" w:eastAsia="微软雅黑" w:cs="微软雅黑"/>
          <w:spacing w:val="-5"/>
          <w:sz w:val="16"/>
          <w:szCs w:val="16"/>
        </w:rPr>
        <w:t xml:space="preserve"> </w:t>
      </w:r>
      <w:r>
        <w:rPr>
          <w:rFonts w:ascii="微软雅黑" w:hAnsi="微软雅黑" w:eastAsia="微软雅黑" w:cs="微软雅黑"/>
          <w:spacing w:val="28"/>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28"/>
          <w:sz w:val="16"/>
          <w:szCs w:val="16"/>
        </w:rPr>
        <w:t>这</w:t>
      </w:r>
      <w:r>
        <w:rPr>
          <w:rFonts w:ascii="微软雅黑" w:hAnsi="微软雅黑" w:eastAsia="微软雅黑" w:cs="微软雅黑"/>
          <w:spacing w:val="-12"/>
          <w:sz w:val="16"/>
          <w:szCs w:val="16"/>
        </w:rPr>
        <w:t xml:space="preserve"> </w:t>
      </w:r>
      <w:r>
        <w:rPr>
          <w:rFonts w:ascii="微软雅黑" w:hAnsi="微软雅黑" w:eastAsia="微软雅黑" w:cs="微软雅黑"/>
          <w:spacing w:val="28"/>
          <w:sz w:val="16"/>
          <w:szCs w:val="16"/>
        </w:rPr>
        <w:t>就</w:t>
      </w:r>
      <w:r>
        <w:rPr>
          <w:rFonts w:ascii="微软雅黑" w:hAnsi="微软雅黑" w:eastAsia="微软雅黑" w:cs="微软雅黑"/>
          <w:spacing w:val="-12"/>
          <w:sz w:val="16"/>
          <w:szCs w:val="16"/>
        </w:rPr>
        <w:t xml:space="preserve"> </w:t>
      </w:r>
      <w:r>
        <w:rPr>
          <w:rFonts w:ascii="微软雅黑" w:hAnsi="微软雅黑" w:eastAsia="微软雅黑" w:cs="微软雅黑"/>
          <w:spacing w:val="28"/>
          <w:sz w:val="16"/>
          <w:szCs w:val="16"/>
        </w:rPr>
        <w:t>涉</w:t>
      </w:r>
      <w:r>
        <w:rPr>
          <w:rFonts w:ascii="微软雅黑" w:hAnsi="微软雅黑" w:eastAsia="微软雅黑" w:cs="微软雅黑"/>
          <w:spacing w:val="-16"/>
          <w:sz w:val="16"/>
          <w:szCs w:val="16"/>
        </w:rPr>
        <w:t xml:space="preserve"> </w:t>
      </w:r>
      <w:r>
        <w:rPr>
          <w:rFonts w:ascii="微软雅黑" w:hAnsi="微软雅黑" w:eastAsia="微软雅黑" w:cs="微软雅黑"/>
          <w:spacing w:val="28"/>
          <w:sz w:val="16"/>
          <w:szCs w:val="16"/>
        </w:rPr>
        <w:t>及</w:t>
      </w:r>
      <w:r>
        <w:rPr>
          <w:rFonts w:ascii="微软雅黑" w:hAnsi="微软雅黑" w:eastAsia="微软雅黑" w:cs="微软雅黑"/>
          <w:spacing w:val="-13"/>
          <w:sz w:val="16"/>
          <w:szCs w:val="16"/>
        </w:rPr>
        <w:t xml:space="preserve"> </w:t>
      </w:r>
      <w:r>
        <w:rPr>
          <w:rFonts w:ascii="微软雅黑" w:hAnsi="微软雅黑" w:eastAsia="微软雅黑" w:cs="微软雅黑"/>
          <w:spacing w:val="28"/>
          <w:sz w:val="16"/>
          <w:szCs w:val="16"/>
        </w:rPr>
        <w:t>领</w:t>
      </w:r>
      <w:r>
        <w:rPr>
          <w:rFonts w:ascii="微软雅黑" w:hAnsi="微软雅黑" w:eastAsia="微软雅黑" w:cs="微软雅黑"/>
          <w:spacing w:val="-12"/>
          <w:sz w:val="16"/>
          <w:szCs w:val="16"/>
        </w:rPr>
        <w:t xml:space="preserve"> </w:t>
      </w:r>
      <w:r>
        <w:rPr>
          <w:rFonts w:ascii="微软雅黑" w:hAnsi="微软雅黑" w:eastAsia="微软雅黑" w:cs="微软雅黑"/>
          <w:spacing w:val="28"/>
          <w:sz w:val="16"/>
          <w:szCs w:val="16"/>
        </w:rPr>
        <w:t>导</w:t>
      </w:r>
      <w:r>
        <w:rPr>
          <w:rFonts w:ascii="微软雅黑" w:hAnsi="微软雅黑" w:eastAsia="微软雅黑" w:cs="微软雅黑"/>
          <w:spacing w:val="-15"/>
          <w:sz w:val="16"/>
          <w:szCs w:val="16"/>
        </w:rPr>
        <w:t xml:space="preserve"> </w:t>
      </w:r>
      <w:r>
        <w:rPr>
          <w:rFonts w:ascii="微软雅黑" w:hAnsi="微软雅黑" w:eastAsia="微软雅黑" w:cs="微软雅黑"/>
          <w:spacing w:val="28"/>
          <w:sz w:val="16"/>
          <w:szCs w:val="16"/>
        </w:rPr>
        <w:t>愿</w:t>
      </w:r>
      <w:r>
        <w:rPr>
          <w:rFonts w:ascii="微软雅黑" w:hAnsi="微软雅黑" w:eastAsia="微软雅黑" w:cs="微软雅黑"/>
          <w:spacing w:val="-10"/>
          <w:sz w:val="16"/>
          <w:szCs w:val="16"/>
        </w:rPr>
        <w:t xml:space="preserve"> </w:t>
      </w:r>
      <w:r>
        <w:rPr>
          <w:rFonts w:ascii="微软雅黑" w:hAnsi="微软雅黑" w:eastAsia="微软雅黑" w:cs="微软雅黑"/>
          <w:spacing w:val="28"/>
          <w:sz w:val="16"/>
          <w:szCs w:val="16"/>
        </w:rPr>
        <w:t>景</w:t>
      </w:r>
      <w:r>
        <w:rPr>
          <w:rFonts w:ascii="微软雅黑" w:hAnsi="微软雅黑" w:eastAsia="微软雅黑" w:cs="微软雅黑"/>
          <w:spacing w:val="-12"/>
          <w:sz w:val="16"/>
          <w:szCs w:val="16"/>
        </w:rPr>
        <w:t xml:space="preserve"> </w:t>
      </w:r>
      <w:r>
        <w:rPr>
          <w:rFonts w:ascii="微软雅黑" w:hAnsi="微软雅黑" w:eastAsia="微软雅黑" w:cs="微软雅黑"/>
          <w:spacing w:val="28"/>
          <w:sz w:val="16"/>
          <w:szCs w:val="16"/>
        </w:rPr>
        <w:t>领</w:t>
      </w:r>
      <w:r>
        <w:rPr>
          <w:rFonts w:ascii="微软雅黑" w:hAnsi="微软雅黑" w:eastAsia="微软雅黑" w:cs="微软雅黑"/>
          <w:spacing w:val="-10"/>
          <w:sz w:val="16"/>
          <w:szCs w:val="16"/>
        </w:rPr>
        <w:t xml:space="preserve"> </w:t>
      </w:r>
      <w:r>
        <w:rPr>
          <w:rFonts w:ascii="微软雅黑" w:hAnsi="微软雅黑" w:eastAsia="微软雅黑" w:cs="微软雅黑"/>
          <w:spacing w:val="28"/>
          <w:sz w:val="16"/>
          <w:szCs w:val="16"/>
        </w:rPr>
        <w:t>导</w:t>
      </w:r>
      <w:r>
        <w:rPr>
          <w:rFonts w:ascii="微软雅黑" w:hAnsi="微软雅黑" w:eastAsia="微软雅黑" w:cs="微软雅黑"/>
          <w:spacing w:val="-12"/>
          <w:sz w:val="16"/>
          <w:szCs w:val="16"/>
        </w:rPr>
        <w:t xml:space="preserve"> </w:t>
      </w:r>
      <w:r>
        <w:rPr>
          <w:rFonts w:ascii="微软雅黑" w:hAnsi="微软雅黑" w:eastAsia="微软雅黑" w:cs="微软雅黑"/>
          <w:spacing w:val="28"/>
          <w:sz w:val="16"/>
          <w:szCs w:val="16"/>
        </w:rPr>
        <w:t>力</w:t>
      </w:r>
      <w:r>
        <w:rPr>
          <w:rFonts w:ascii="微软雅黑" w:hAnsi="微软雅黑" w:eastAsia="微软雅黑" w:cs="微软雅黑"/>
          <w:spacing w:val="-6"/>
          <w:sz w:val="16"/>
          <w:szCs w:val="16"/>
        </w:rPr>
        <w:t xml:space="preserve"> </w:t>
      </w:r>
      <w:r>
        <w:rPr>
          <w:rFonts w:ascii="微软雅黑" w:hAnsi="微软雅黑" w:eastAsia="微软雅黑" w:cs="微软雅黑"/>
          <w:spacing w:val="28"/>
          <w:sz w:val="16"/>
          <w:szCs w:val="16"/>
        </w:rPr>
        <w:t>和</w:t>
      </w:r>
      <w:r>
        <w:rPr>
          <w:rFonts w:ascii="微软雅黑" w:hAnsi="微软雅黑" w:eastAsia="微软雅黑" w:cs="微软雅黑"/>
          <w:spacing w:val="-10"/>
          <w:sz w:val="16"/>
          <w:szCs w:val="16"/>
        </w:rPr>
        <w:t xml:space="preserve"> </w:t>
      </w:r>
      <w:r>
        <w:rPr>
          <w:rFonts w:ascii="微软雅黑" w:hAnsi="微软雅黑" w:eastAsia="微软雅黑" w:cs="微软雅黑"/>
          <w:spacing w:val="28"/>
          <w:sz w:val="16"/>
          <w:szCs w:val="16"/>
        </w:rPr>
        <w:t>动</w:t>
      </w:r>
      <w:r>
        <w:rPr>
          <w:rFonts w:ascii="微软雅黑" w:hAnsi="微软雅黑" w:eastAsia="微软雅黑" w:cs="微软雅黑"/>
          <w:spacing w:val="-11"/>
          <w:sz w:val="16"/>
          <w:szCs w:val="16"/>
        </w:rPr>
        <w:t xml:space="preserve"> </w:t>
      </w:r>
      <w:r>
        <w:rPr>
          <w:rFonts w:ascii="微软雅黑" w:hAnsi="微软雅黑" w:eastAsia="微软雅黑" w:cs="微软雅黑"/>
          <w:spacing w:val="28"/>
          <w:sz w:val="16"/>
          <w:szCs w:val="16"/>
        </w:rPr>
        <w:t>员</w:t>
      </w:r>
      <w:r>
        <w:rPr>
          <w:rFonts w:ascii="微软雅黑" w:hAnsi="微软雅黑" w:eastAsia="微软雅黑" w:cs="微软雅黑"/>
          <w:spacing w:val="-12"/>
          <w:sz w:val="16"/>
          <w:szCs w:val="16"/>
        </w:rPr>
        <w:t xml:space="preserve"> </w:t>
      </w:r>
      <w:r>
        <w:rPr>
          <w:rFonts w:ascii="微软雅黑" w:hAnsi="微软雅黑" w:eastAsia="微软雅黑" w:cs="微软雅黑"/>
          <w:spacing w:val="28"/>
          <w:sz w:val="16"/>
          <w:szCs w:val="16"/>
        </w:rPr>
        <w:t>领</w:t>
      </w:r>
      <w:r>
        <w:rPr>
          <w:rFonts w:ascii="微软雅黑" w:hAnsi="微软雅黑" w:eastAsia="微软雅黑" w:cs="微软雅黑"/>
          <w:spacing w:val="-10"/>
          <w:sz w:val="16"/>
          <w:szCs w:val="16"/>
        </w:rPr>
        <w:t xml:space="preserve"> </w:t>
      </w:r>
      <w:r>
        <w:rPr>
          <w:rFonts w:ascii="微软雅黑" w:hAnsi="微软雅黑" w:eastAsia="微软雅黑" w:cs="微软雅黑"/>
          <w:spacing w:val="28"/>
          <w:sz w:val="16"/>
          <w:szCs w:val="16"/>
        </w:rPr>
        <w:t>导</w:t>
      </w:r>
      <w:r>
        <w:rPr>
          <w:rFonts w:ascii="微软雅黑" w:hAnsi="微软雅黑" w:eastAsia="微软雅黑" w:cs="微软雅黑"/>
          <w:sz w:val="16"/>
          <w:szCs w:val="16"/>
        </w:rPr>
        <w:t xml:space="preserve"> </w:t>
      </w:r>
      <w:r>
        <w:rPr>
          <w:rFonts w:ascii="微软雅黑" w:hAnsi="微软雅黑" w:eastAsia="微软雅黑" w:cs="微软雅黑"/>
          <w:spacing w:val="35"/>
          <w:sz w:val="16"/>
          <w:szCs w:val="16"/>
        </w:rPr>
        <w:t>力</w:t>
      </w:r>
      <w:r>
        <w:rPr>
          <w:rFonts w:ascii="微软雅黑" w:hAnsi="微软雅黑" w:eastAsia="微软雅黑" w:cs="微软雅黑"/>
          <w:spacing w:val="-5"/>
          <w:sz w:val="16"/>
          <w:szCs w:val="16"/>
        </w:rPr>
        <w:t xml:space="preserve"> </w:t>
      </w:r>
      <w:r>
        <w:rPr>
          <w:rFonts w:ascii="微软雅黑" w:hAnsi="微软雅黑" w:eastAsia="微软雅黑" w:cs="微软雅黑"/>
          <w:spacing w:val="35"/>
          <w:sz w:val="16"/>
          <w:szCs w:val="16"/>
        </w:rPr>
        <w:t>，而学校领导力很好执行的</w:t>
      </w:r>
      <w:r>
        <w:rPr>
          <w:rFonts w:ascii="微软雅黑" w:hAnsi="微软雅黑" w:eastAsia="微软雅黑" w:cs="微软雅黑"/>
          <w:spacing w:val="-19"/>
          <w:sz w:val="16"/>
          <w:szCs w:val="16"/>
        </w:rPr>
        <w:t xml:space="preserve"> </w:t>
      </w:r>
      <w:r>
        <w:rPr>
          <w:rFonts w:ascii="微软雅黑" w:hAnsi="微软雅黑" w:eastAsia="微软雅黑" w:cs="微软雅黑"/>
          <w:spacing w:val="35"/>
          <w:sz w:val="16"/>
          <w:szCs w:val="16"/>
        </w:rPr>
        <w:t>前</w:t>
      </w:r>
      <w:r>
        <w:rPr>
          <w:rFonts w:ascii="微软雅黑" w:hAnsi="微软雅黑" w:eastAsia="微软雅黑" w:cs="微软雅黑"/>
          <w:spacing w:val="-16"/>
          <w:sz w:val="16"/>
          <w:szCs w:val="16"/>
        </w:rPr>
        <w:t xml:space="preserve"> </w:t>
      </w:r>
      <w:r>
        <w:rPr>
          <w:rFonts w:ascii="微软雅黑" w:hAnsi="微软雅黑" w:eastAsia="微软雅黑" w:cs="微软雅黑"/>
          <w:spacing w:val="35"/>
          <w:sz w:val="16"/>
          <w:szCs w:val="16"/>
        </w:rPr>
        <w:t>提</w:t>
      </w:r>
      <w:r>
        <w:rPr>
          <w:rFonts w:ascii="微软雅黑" w:hAnsi="微软雅黑" w:eastAsia="微软雅黑" w:cs="微软雅黑"/>
          <w:spacing w:val="-20"/>
          <w:sz w:val="16"/>
          <w:szCs w:val="16"/>
        </w:rPr>
        <w:t xml:space="preserve"> </w:t>
      </w:r>
      <w:r>
        <w:rPr>
          <w:rFonts w:ascii="微软雅黑" w:hAnsi="微软雅黑" w:eastAsia="微软雅黑" w:cs="微软雅黑"/>
          <w:spacing w:val="35"/>
          <w:sz w:val="16"/>
          <w:szCs w:val="16"/>
        </w:rPr>
        <w:t>则</w:t>
      </w:r>
      <w:r>
        <w:rPr>
          <w:rFonts w:ascii="微软雅黑" w:hAnsi="微软雅黑" w:eastAsia="微软雅黑" w:cs="微软雅黑"/>
          <w:spacing w:val="-18"/>
          <w:sz w:val="16"/>
          <w:szCs w:val="16"/>
        </w:rPr>
        <w:t xml:space="preserve"> </w:t>
      </w:r>
      <w:r>
        <w:rPr>
          <w:rFonts w:ascii="微软雅黑" w:hAnsi="微软雅黑" w:eastAsia="微软雅黑" w:cs="微软雅黑"/>
          <w:spacing w:val="35"/>
          <w:sz w:val="16"/>
          <w:szCs w:val="16"/>
        </w:rPr>
        <w:t>是</w:t>
      </w:r>
      <w:r>
        <w:rPr>
          <w:rFonts w:ascii="微软雅黑" w:hAnsi="微软雅黑" w:eastAsia="微软雅黑" w:cs="微软雅黑"/>
          <w:spacing w:val="-16"/>
          <w:sz w:val="16"/>
          <w:szCs w:val="16"/>
        </w:rPr>
        <w:t xml:space="preserve"> </w:t>
      </w:r>
      <w:r>
        <w:rPr>
          <w:rFonts w:ascii="微软雅黑" w:hAnsi="微软雅黑" w:eastAsia="微软雅黑" w:cs="微软雅黑"/>
          <w:spacing w:val="35"/>
          <w:sz w:val="16"/>
          <w:szCs w:val="16"/>
        </w:rPr>
        <w:t>学</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校</w:t>
      </w:r>
      <w:r>
        <w:rPr>
          <w:rFonts w:ascii="微软雅黑" w:hAnsi="微软雅黑" w:eastAsia="微软雅黑" w:cs="微软雅黑"/>
          <w:spacing w:val="-8"/>
          <w:sz w:val="16"/>
          <w:szCs w:val="16"/>
        </w:rPr>
        <w:t xml:space="preserve"> </w:t>
      </w:r>
      <w:r>
        <w:rPr>
          <w:rFonts w:ascii="微软雅黑" w:hAnsi="微软雅黑" w:eastAsia="微软雅黑" w:cs="微软雅黑"/>
          <w:spacing w:val="35"/>
          <w:sz w:val="16"/>
          <w:szCs w:val="16"/>
        </w:rPr>
        <w:t>战</w:t>
      </w:r>
      <w:r>
        <w:rPr>
          <w:rFonts w:ascii="微软雅黑" w:hAnsi="微软雅黑" w:eastAsia="微软雅黑" w:cs="微软雅黑"/>
          <w:spacing w:val="-8"/>
          <w:sz w:val="16"/>
          <w:szCs w:val="16"/>
        </w:rPr>
        <w:t xml:space="preserve"> </w:t>
      </w:r>
      <w:r>
        <w:rPr>
          <w:rFonts w:ascii="微软雅黑" w:hAnsi="微软雅黑" w:eastAsia="微软雅黑" w:cs="微软雅黑"/>
          <w:spacing w:val="35"/>
          <w:sz w:val="16"/>
          <w:szCs w:val="16"/>
        </w:rPr>
        <w:t>略</w:t>
      </w:r>
      <w:r>
        <w:rPr>
          <w:rFonts w:ascii="微软雅黑" w:hAnsi="微软雅黑" w:eastAsia="微软雅黑" w:cs="微软雅黑"/>
          <w:spacing w:val="-17"/>
          <w:sz w:val="16"/>
          <w:szCs w:val="16"/>
        </w:rPr>
        <w:t xml:space="preserve"> </w:t>
      </w:r>
      <w:r>
        <w:rPr>
          <w:rFonts w:ascii="微软雅黑" w:hAnsi="微软雅黑" w:eastAsia="微软雅黑" w:cs="微软雅黑"/>
          <w:spacing w:val="35"/>
          <w:sz w:val="16"/>
          <w:szCs w:val="16"/>
        </w:rPr>
        <w:t>领</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导团队对质量文化建设的高度关注和认可</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8"/>
          <w:sz w:val="16"/>
          <w:szCs w:val="16"/>
        </w:rPr>
        <w:t xml:space="preserve"> </w:t>
      </w:r>
      <w:r>
        <w:rPr>
          <w:rFonts w:ascii="微软雅黑" w:hAnsi="微软雅黑" w:eastAsia="微软雅黑" w:cs="微软雅黑"/>
          <w:spacing w:val="6"/>
          <w:w w:val="125"/>
          <w:sz w:val="16"/>
          <w:szCs w:val="16"/>
        </w:rPr>
        <w:t>在高校</w:t>
      </w:r>
      <w:r>
        <w:rPr>
          <w:rFonts w:ascii="微软雅黑" w:hAnsi="微软雅黑" w:eastAsia="微软雅黑" w:cs="微软雅黑"/>
          <w:sz w:val="16"/>
          <w:szCs w:val="16"/>
        </w:rPr>
        <w:t xml:space="preserve"> </w:t>
      </w:r>
      <w:r>
        <w:rPr>
          <w:rFonts w:ascii="微软雅黑" w:hAnsi="微软雅黑" w:eastAsia="微软雅黑" w:cs="微软雅黑"/>
          <w:spacing w:val="34"/>
          <w:sz w:val="16"/>
          <w:szCs w:val="16"/>
        </w:rPr>
        <w:t>内涵式发展过程中</w:t>
      </w:r>
      <w:r>
        <w:rPr>
          <w:rFonts w:ascii="微软雅黑" w:hAnsi="微软雅黑" w:eastAsia="微软雅黑" w:cs="微软雅黑"/>
          <w:spacing w:val="-18"/>
          <w:sz w:val="16"/>
          <w:szCs w:val="16"/>
        </w:rPr>
        <w:t xml:space="preserve"> </w:t>
      </w:r>
      <w:r>
        <w:rPr>
          <w:rFonts w:ascii="微软雅黑" w:hAnsi="微软雅黑" w:eastAsia="微软雅黑" w:cs="微软雅黑"/>
          <w:spacing w:val="34"/>
          <w:sz w:val="16"/>
          <w:szCs w:val="16"/>
        </w:rPr>
        <w:t>，如何在价</w:t>
      </w:r>
      <w:r>
        <w:rPr>
          <w:rFonts w:ascii="微软雅黑" w:hAnsi="微软雅黑" w:eastAsia="微软雅黑" w:cs="微软雅黑"/>
          <w:spacing w:val="-20"/>
          <w:sz w:val="16"/>
          <w:szCs w:val="16"/>
        </w:rPr>
        <w:t xml:space="preserve"> </w:t>
      </w:r>
      <w:r>
        <w:rPr>
          <w:rFonts w:ascii="微软雅黑" w:hAnsi="微软雅黑" w:eastAsia="微软雅黑" w:cs="微软雅黑"/>
          <w:spacing w:val="34"/>
          <w:sz w:val="16"/>
          <w:szCs w:val="16"/>
        </w:rPr>
        <w:t>值</w:t>
      </w:r>
      <w:r>
        <w:rPr>
          <w:rFonts w:ascii="微软雅黑" w:hAnsi="微软雅黑" w:eastAsia="微软雅黑" w:cs="微软雅黑"/>
          <w:spacing w:val="-15"/>
          <w:sz w:val="16"/>
          <w:szCs w:val="16"/>
        </w:rPr>
        <w:t xml:space="preserve"> </w:t>
      </w:r>
      <w:r>
        <w:rPr>
          <w:rFonts w:ascii="微软雅黑" w:hAnsi="微软雅黑" w:eastAsia="微软雅黑" w:cs="微软雅黑"/>
          <w:spacing w:val="34"/>
          <w:sz w:val="16"/>
          <w:szCs w:val="16"/>
        </w:rPr>
        <w:t>观</w:t>
      </w:r>
      <w:r>
        <w:rPr>
          <w:rFonts w:ascii="微软雅黑" w:hAnsi="微软雅黑" w:eastAsia="微软雅黑" w:cs="微软雅黑"/>
          <w:spacing w:val="-16"/>
          <w:sz w:val="16"/>
          <w:szCs w:val="16"/>
        </w:rPr>
        <w:t xml:space="preserve"> </w:t>
      </w:r>
      <w:r>
        <w:rPr>
          <w:rFonts w:ascii="微软雅黑" w:hAnsi="微软雅黑" w:eastAsia="微软雅黑" w:cs="微软雅黑"/>
          <w:spacing w:val="34"/>
          <w:sz w:val="16"/>
          <w:szCs w:val="16"/>
        </w:rPr>
        <w:t>办</w:t>
      </w:r>
      <w:r>
        <w:rPr>
          <w:rFonts w:ascii="微软雅黑" w:hAnsi="微软雅黑" w:eastAsia="微软雅黑" w:cs="微软雅黑"/>
          <w:spacing w:val="-16"/>
          <w:sz w:val="16"/>
          <w:szCs w:val="16"/>
        </w:rPr>
        <w:t xml:space="preserve"> </w:t>
      </w:r>
      <w:r>
        <w:rPr>
          <w:rFonts w:ascii="微软雅黑" w:hAnsi="微软雅黑" w:eastAsia="微软雅黑" w:cs="微软雅黑"/>
          <w:spacing w:val="34"/>
          <w:sz w:val="16"/>
          <w:szCs w:val="16"/>
        </w:rPr>
        <w:t>学 中</w:t>
      </w:r>
      <w:r>
        <w:rPr>
          <w:rFonts w:ascii="微软雅黑" w:hAnsi="微软雅黑" w:eastAsia="微软雅黑" w:cs="微软雅黑"/>
          <w:spacing w:val="-20"/>
          <w:sz w:val="16"/>
          <w:szCs w:val="16"/>
        </w:rPr>
        <w:t xml:space="preserve"> </w:t>
      </w:r>
      <w:r>
        <w:rPr>
          <w:rFonts w:ascii="微软雅黑" w:hAnsi="微软雅黑" w:eastAsia="微软雅黑" w:cs="微软雅黑"/>
          <w:spacing w:val="34"/>
          <w:sz w:val="16"/>
          <w:szCs w:val="16"/>
        </w:rPr>
        <w:t>将</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4"/>
          <w:sz w:val="16"/>
          <w:szCs w:val="16"/>
        </w:rPr>
        <w:t>量</w:t>
      </w:r>
      <w:r>
        <w:rPr>
          <w:rFonts w:ascii="微软雅黑" w:hAnsi="微软雅黑" w:eastAsia="微软雅黑" w:cs="微软雅黑"/>
          <w:spacing w:val="-16"/>
          <w:sz w:val="16"/>
          <w:szCs w:val="16"/>
        </w:rPr>
        <w:t xml:space="preserve"> </w:t>
      </w:r>
      <w:r>
        <w:rPr>
          <w:rFonts w:ascii="微软雅黑" w:hAnsi="微软雅黑" w:eastAsia="微软雅黑" w:cs="微软雅黑"/>
          <w:spacing w:val="34"/>
          <w:sz w:val="16"/>
          <w:szCs w:val="16"/>
        </w:rPr>
        <w:t>文</w:t>
      </w:r>
      <w:r>
        <w:rPr>
          <w:rFonts w:ascii="微软雅黑" w:hAnsi="微软雅黑" w:eastAsia="微软雅黑" w:cs="微软雅黑"/>
          <w:sz w:val="16"/>
          <w:szCs w:val="16"/>
        </w:rPr>
        <w:t xml:space="preserve"> </w:t>
      </w:r>
      <w:r>
        <w:rPr>
          <w:rFonts w:ascii="微软雅黑" w:hAnsi="微软雅黑" w:eastAsia="微软雅黑" w:cs="微软雅黑"/>
          <w:spacing w:val="34"/>
          <w:sz w:val="16"/>
          <w:szCs w:val="16"/>
        </w:rPr>
        <w:t>化融入其中</w:t>
      </w:r>
      <w:r>
        <w:rPr>
          <w:rFonts w:ascii="微软雅黑" w:hAnsi="微软雅黑" w:eastAsia="微软雅黑" w:cs="微软雅黑"/>
          <w:spacing w:val="-15"/>
          <w:sz w:val="16"/>
          <w:szCs w:val="16"/>
        </w:rPr>
        <w:t xml:space="preserve"> </w:t>
      </w:r>
      <w:r>
        <w:rPr>
          <w:rFonts w:ascii="微软雅黑" w:hAnsi="微软雅黑" w:eastAsia="微软雅黑" w:cs="微软雅黑"/>
          <w:spacing w:val="34"/>
          <w:sz w:val="16"/>
          <w:szCs w:val="16"/>
        </w:rPr>
        <w:t>，是高校在质量文</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化</w:t>
      </w:r>
      <w:r>
        <w:rPr>
          <w:rFonts w:ascii="微软雅黑" w:hAnsi="微软雅黑" w:eastAsia="微软雅黑" w:cs="微软雅黑"/>
          <w:spacing w:val="-19"/>
          <w:sz w:val="16"/>
          <w:szCs w:val="16"/>
        </w:rPr>
        <w:t xml:space="preserve"> </w:t>
      </w:r>
      <w:r>
        <w:rPr>
          <w:rFonts w:ascii="微软雅黑" w:hAnsi="微软雅黑" w:eastAsia="微软雅黑" w:cs="微软雅黑"/>
          <w:spacing w:val="34"/>
          <w:sz w:val="16"/>
          <w:szCs w:val="16"/>
        </w:rPr>
        <w:t>建</w:t>
      </w:r>
      <w:r>
        <w:rPr>
          <w:rFonts w:ascii="微软雅黑" w:hAnsi="微软雅黑" w:eastAsia="微软雅黑" w:cs="微软雅黑"/>
          <w:spacing w:val="-21"/>
          <w:sz w:val="16"/>
          <w:szCs w:val="16"/>
        </w:rPr>
        <w:t xml:space="preserve"> </w:t>
      </w:r>
      <w:r>
        <w:rPr>
          <w:rFonts w:ascii="微软雅黑" w:hAnsi="微软雅黑" w:eastAsia="微软雅黑" w:cs="微软雅黑"/>
          <w:spacing w:val="34"/>
          <w:sz w:val="16"/>
          <w:szCs w:val="16"/>
        </w:rPr>
        <w:t>设 中</w:t>
      </w:r>
      <w:r>
        <w:rPr>
          <w:rFonts w:ascii="微软雅黑" w:hAnsi="微软雅黑" w:eastAsia="微软雅黑" w:cs="微软雅黑"/>
          <w:spacing w:val="-20"/>
          <w:sz w:val="16"/>
          <w:szCs w:val="16"/>
        </w:rPr>
        <w:t xml:space="preserve"> </w:t>
      </w:r>
      <w:r>
        <w:rPr>
          <w:rFonts w:ascii="微软雅黑" w:hAnsi="微软雅黑" w:eastAsia="微软雅黑" w:cs="微软雅黑"/>
          <w:spacing w:val="34"/>
          <w:sz w:val="16"/>
          <w:szCs w:val="16"/>
        </w:rPr>
        <w:t>需</w:t>
      </w:r>
      <w:r>
        <w:rPr>
          <w:rFonts w:ascii="微软雅黑" w:hAnsi="微软雅黑" w:eastAsia="微软雅黑" w:cs="微软雅黑"/>
          <w:spacing w:val="-19"/>
          <w:sz w:val="16"/>
          <w:szCs w:val="16"/>
        </w:rPr>
        <w:t xml:space="preserve"> </w:t>
      </w:r>
      <w:r>
        <w:rPr>
          <w:rFonts w:ascii="微软雅黑" w:hAnsi="微软雅黑" w:eastAsia="微软雅黑" w:cs="微软雅黑"/>
          <w:spacing w:val="34"/>
          <w:sz w:val="16"/>
          <w:szCs w:val="16"/>
        </w:rPr>
        <w:t>要</w:t>
      </w:r>
      <w:r>
        <w:rPr>
          <w:rFonts w:ascii="微软雅黑" w:hAnsi="微软雅黑" w:eastAsia="微软雅黑" w:cs="微软雅黑"/>
          <w:spacing w:val="-11"/>
          <w:sz w:val="16"/>
          <w:szCs w:val="16"/>
        </w:rPr>
        <w:t xml:space="preserve"> </w:t>
      </w:r>
      <w:r>
        <w:rPr>
          <w:rFonts w:ascii="微软雅黑" w:hAnsi="微软雅黑" w:eastAsia="微软雅黑" w:cs="微软雅黑"/>
          <w:spacing w:val="34"/>
          <w:sz w:val="16"/>
          <w:szCs w:val="16"/>
        </w:rPr>
        <w:t>系</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统</w:t>
      </w:r>
      <w:r>
        <w:rPr>
          <w:rFonts w:ascii="微软雅黑" w:hAnsi="微软雅黑" w:eastAsia="微软雅黑" w:cs="微软雅黑"/>
          <w:spacing w:val="-17"/>
          <w:sz w:val="16"/>
          <w:szCs w:val="16"/>
        </w:rPr>
        <w:t xml:space="preserve"> </w:t>
      </w:r>
      <w:r>
        <w:rPr>
          <w:rFonts w:ascii="微软雅黑" w:hAnsi="微软雅黑" w:eastAsia="微软雅黑" w:cs="微软雅黑"/>
          <w:spacing w:val="34"/>
          <w:sz w:val="16"/>
          <w:szCs w:val="16"/>
        </w:rPr>
        <w:t>思</w:t>
      </w:r>
      <w:r>
        <w:rPr>
          <w:rFonts w:ascii="微软雅黑" w:hAnsi="微软雅黑" w:eastAsia="微软雅黑" w:cs="微软雅黑"/>
          <w:sz w:val="16"/>
          <w:szCs w:val="16"/>
        </w:rPr>
        <w:t xml:space="preserve"> </w:t>
      </w:r>
      <w:r>
        <w:rPr>
          <w:rFonts w:ascii="微软雅黑" w:hAnsi="微软雅黑" w:eastAsia="微软雅黑" w:cs="微软雅黑"/>
          <w:spacing w:val="35"/>
          <w:sz w:val="16"/>
          <w:szCs w:val="16"/>
        </w:rPr>
        <w:t>考的问题</w:t>
      </w:r>
      <w:r>
        <w:rPr>
          <w:rFonts w:ascii="微软雅黑" w:hAnsi="微软雅黑" w:eastAsia="微软雅黑" w:cs="微软雅黑"/>
          <w:spacing w:val="-13"/>
          <w:sz w:val="16"/>
          <w:szCs w:val="16"/>
        </w:rPr>
        <w:t xml:space="preserve"> </w:t>
      </w:r>
      <w:r>
        <w:rPr>
          <w:rFonts w:ascii="微软雅黑" w:hAnsi="微软雅黑" w:eastAsia="微软雅黑" w:cs="微软雅黑"/>
          <w:spacing w:val="35"/>
          <w:sz w:val="16"/>
          <w:szCs w:val="16"/>
        </w:rPr>
        <w:t>。</w:t>
      </w:r>
    </w:p>
    <w:p>
      <w:pPr>
        <w:spacing w:before="58" w:line="244" w:lineRule="auto"/>
        <w:ind w:firstLine="419"/>
        <w:jc w:val="both"/>
        <w:rPr>
          <w:rFonts w:ascii="微软雅黑" w:hAnsi="微软雅黑" w:eastAsia="微软雅黑" w:cs="微软雅黑"/>
          <w:sz w:val="16"/>
          <w:szCs w:val="16"/>
        </w:rPr>
      </w:pPr>
      <w:r>
        <w:rPr>
          <w:rFonts w:ascii="微软雅黑" w:hAnsi="微软雅黑" w:eastAsia="微软雅黑" w:cs="微软雅黑"/>
          <w:spacing w:val="8"/>
          <w:w w:val="120"/>
          <w:sz w:val="16"/>
          <w:szCs w:val="16"/>
        </w:rPr>
        <w:t>第三</w:t>
      </w:r>
      <w:r>
        <w:rPr>
          <w:rFonts w:ascii="微软雅黑" w:hAnsi="微软雅黑" w:eastAsia="微软雅黑" w:cs="微软雅黑"/>
          <w:spacing w:val="-15"/>
          <w:sz w:val="16"/>
          <w:szCs w:val="16"/>
        </w:rPr>
        <w:t xml:space="preserve"> </w:t>
      </w:r>
      <w:r>
        <w:rPr>
          <w:rFonts w:ascii="微软雅黑" w:hAnsi="微软雅黑" w:eastAsia="微软雅黑" w:cs="微软雅黑"/>
          <w:spacing w:val="8"/>
          <w:w w:val="120"/>
          <w:sz w:val="16"/>
          <w:szCs w:val="16"/>
        </w:rPr>
        <w:t>，在战略实施中关注调动各方主体的参与</w:t>
      </w:r>
      <w:r>
        <w:rPr>
          <w:rFonts w:ascii="微软雅黑" w:hAnsi="微软雅黑" w:eastAsia="微软雅黑" w:cs="微软雅黑"/>
          <w:spacing w:val="-16"/>
          <w:sz w:val="16"/>
          <w:szCs w:val="16"/>
        </w:rPr>
        <w:t xml:space="preserve"> </w:t>
      </w:r>
      <w:r>
        <w:rPr>
          <w:rFonts w:ascii="微软雅黑" w:hAnsi="微软雅黑" w:eastAsia="微软雅黑" w:cs="微软雅黑"/>
          <w:spacing w:val="8"/>
          <w:w w:val="120"/>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26"/>
          <w:sz w:val="16"/>
          <w:szCs w:val="16"/>
        </w:rPr>
        <w:t>高校战略实施涉及</w:t>
      </w:r>
      <w:r>
        <w:rPr>
          <w:rFonts w:ascii="微软雅黑" w:hAnsi="微软雅黑" w:eastAsia="微软雅黑" w:cs="微软雅黑"/>
          <w:spacing w:val="-7"/>
          <w:sz w:val="16"/>
          <w:szCs w:val="16"/>
        </w:rPr>
        <w:t xml:space="preserve"> </w:t>
      </w:r>
      <w:r>
        <w:rPr>
          <w:rFonts w:ascii="微软雅黑" w:hAnsi="微软雅黑" w:eastAsia="微软雅黑" w:cs="微软雅黑"/>
          <w:spacing w:val="26"/>
          <w:sz w:val="16"/>
          <w:szCs w:val="16"/>
        </w:rPr>
        <w:t>战</w:t>
      </w:r>
      <w:r>
        <w:rPr>
          <w:rFonts w:ascii="微软雅黑" w:hAnsi="微软雅黑" w:eastAsia="微软雅黑" w:cs="微软雅黑"/>
          <w:spacing w:val="-8"/>
          <w:sz w:val="16"/>
          <w:szCs w:val="16"/>
        </w:rPr>
        <w:t xml:space="preserve"> </w:t>
      </w:r>
      <w:r>
        <w:rPr>
          <w:rFonts w:ascii="微软雅黑" w:hAnsi="微软雅黑" w:eastAsia="微软雅黑" w:cs="微软雅黑"/>
          <w:spacing w:val="26"/>
          <w:sz w:val="16"/>
          <w:szCs w:val="16"/>
        </w:rPr>
        <w:t>略</w:t>
      </w:r>
      <w:r>
        <w:rPr>
          <w:rFonts w:ascii="微软雅黑" w:hAnsi="微软雅黑" w:eastAsia="微软雅黑" w:cs="微软雅黑"/>
          <w:spacing w:val="-20"/>
          <w:sz w:val="16"/>
          <w:szCs w:val="16"/>
        </w:rPr>
        <w:t xml:space="preserve"> </w:t>
      </w:r>
      <w:r>
        <w:rPr>
          <w:rFonts w:ascii="微软雅黑" w:hAnsi="微软雅黑" w:eastAsia="微软雅黑" w:cs="微软雅黑"/>
          <w:spacing w:val="26"/>
          <w:sz w:val="16"/>
          <w:szCs w:val="16"/>
        </w:rPr>
        <w:t>选</w:t>
      </w:r>
      <w:r>
        <w:rPr>
          <w:rFonts w:ascii="微软雅黑" w:hAnsi="微软雅黑" w:eastAsia="微软雅黑" w:cs="微软雅黑"/>
          <w:spacing w:val="-18"/>
          <w:sz w:val="16"/>
          <w:szCs w:val="16"/>
        </w:rPr>
        <w:t xml:space="preserve"> </w:t>
      </w:r>
      <w:r>
        <w:rPr>
          <w:rFonts w:ascii="微软雅黑" w:hAnsi="微软雅黑" w:eastAsia="微软雅黑" w:cs="微软雅黑"/>
          <w:spacing w:val="26"/>
          <w:sz w:val="16"/>
          <w:szCs w:val="16"/>
        </w:rPr>
        <w:t>择</w:t>
      </w:r>
      <w:r>
        <w:rPr>
          <w:rFonts w:ascii="微软雅黑" w:hAnsi="微软雅黑" w:eastAsia="微软雅黑" w:cs="微软雅黑"/>
          <w:spacing w:val="-17"/>
          <w:sz w:val="16"/>
          <w:szCs w:val="16"/>
        </w:rPr>
        <w:t xml:space="preserve"> </w:t>
      </w:r>
      <w:r>
        <w:rPr>
          <w:rFonts w:ascii="微软雅黑" w:hAnsi="微软雅黑" w:eastAsia="微软雅黑" w:cs="微软雅黑"/>
          <w:spacing w:val="26"/>
          <w:sz w:val="16"/>
          <w:szCs w:val="16"/>
        </w:rPr>
        <w:t>、目</w:t>
      </w:r>
      <w:r>
        <w:rPr>
          <w:rFonts w:ascii="微软雅黑" w:hAnsi="微软雅黑" w:eastAsia="微软雅黑" w:cs="微软雅黑"/>
          <w:spacing w:val="-19"/>
          <w:sz w:val="16"/>
          <w:szCs w:val="16"/>
        </w:rPr>
        <w:t xml:space="preserve"> </w:t>
      </w:r>
      <w:r>
        <w:rPr>
          <w:rFonts w:ascii="微软雅黑" w:hAnsi="微软雅黑" w:eastAsia="微软雅黑" w:cs="微软雅黑"/>
          <w:spacing w:val="26"/>
          <w:sz w:val="16"/>
          <w:szCs w:val="16"/>
        </w:rPr>
        <w:t>标</w:t>
      </w:r>
      <w:r>
        <w:rPr>
          <w:rFonts w:ascii="微软雅黑" w:hAnsi="微软雅黑" w:eastAsia="微软雅黑" w:cs="微软雅黑"/>
          <w:spacing w:val="-18"/>
          <w:sz w:val="16"/>
          <w:szCs w:val="16"/>
        </w:rPr>
        <w:t xml:space="preserve"> </w:t>
      </w:r>
      <w:r>
        <w:rPr>
          <w:rFonts w:ascii="微软雅黑" w:hAnsi="微软雅黑" w:eastAsia="微软雅黑" w:cs="微软雅黑"/>
          <w:spacing w:val="26"/>
          <w:sz w:val="16"/>
          <w:szCs w:val="16"/>
        </w:rPr>
        <w:t>分</w:t>
      </w:r>
      <w:r>
        <w:rPr>
          <w:rFonts w:ascii="微软雅黑" w:hAnsi="微软雅黑" w:eastAsia="微软雅黑" w:cs="微软雅黑"/>
          <w:spacing w:val="-20"/>
          <w:sz w:val="16"/>
          <w:szCs w:val="16"/>
        </w:rPr>
        <w:t xml:space="preserve"> </w:t>
      </w:r>
      <w:r>
        <w:rPr>
          <w:rFonts w:ascii="微软雅黑" w:hAnsi="微软雅黑" w:eastAsia="微软雅黑" w:cs="微软雅黑"/>
          <w:spacing w:val="26"/>
          <w:sz w:val="16"/>
          <w:szCs w:val="16"/>
        </w:rPr>
        <w:t>解</w:t>
      </w:r>
      <w:r>
        <w:rPr>
          <w:rFonts w:ascii="微软雅黑" w:hAnsi="微软雅黑" w:eastAsia="微软雅黑" w:cs="微软雅黑"/>
          <w:spacing w:val="-17"/>
          <w:sz w:val="16"/>
          <w:szCs w:val="16"/>
        </w:rPr>
        <w:t xml:space="preserve"> </w:t>
      </w:r>
      <w:r>
        <w:rPr>
          <w:rFonts w:ascii="微软雅黑" w:hAnsi="微软雅黑" w:eastAsia="微软雅黑" w:cs="微软雅黑"/>
          <w:spacing w:val="26"/>
          <w:sz w:val="16"/>
          <w:szCs w:val="16"/>
        </w:rPr>
        <w:t>、权</w:t>
      </w:r>
      <w:r>
        <w:rPr>
          <w:rFonts w:ascii="微软雅黑" w:hAnsi="微软雅黑" w:eastAsia="微软雅黑" w:cs="微软雅黑"/>
          <w:spacing w:val="-15"/>
          <w:sz w:val="16"/>
          <w:szCs w:val="16"/>
        </w:rPr>
        <w:t xml:space="preserve"> </w:t>
      </w:r>
      <w:r>
        <w:rPr>
          <w:rFonts w:ascii="微软雅黑" w:hAnsi="微软雅黑" w:eastAsia="微软雅黑" w:cs="微软雅黑"/>
          <w:spacing w:val="26"/>
          <w:sz w:val="16"/>
          <w:szCs w:val="16"/>
        </w:rPr>
        <w:t>责</w:t>
      </w:r>
      <w:r>
        <w:rPr>
          <w:rFonts w:ascii="微软雅黑" w:hAnsi="微软雅黑" w:eastAsia="微软雅黑" w:cs="微软雅黑"/>
          <w:spacing w:val="-18"/>
          <w:sz w:val="16"/>
          <w:szCs w:val="16"/>
        </w:rPr>
        <w:t xml:space="preserve"> </w:t>
      </w:r>
      <w:r>
        <w:rPr>
          <w:rFonts w:ascii="微软雅黑" w:hAnsi="微软雅黑" w:eastAsia="微软雅黑" w:cs="微软雅黑"/>
          <w:spacing w:val="26"/>
          <w:sz w:val="16"/>
          <w:szCs w:val="16"/>
        </w:rPr>
        <w:t>分</w:t>
      </w:r>
      <w:r>
        <w:rPr>
          <w:rFonts w:ascii="微软雅黑" w:hAnsi="微软雅黑" w:eastAsia="微软雅黑" w:cs="微软雅黑"/>
          <w:spacing w:val="-15"/>
          <w:sz w:val="16"/>
          <w:szCs w:val="16"/>
        </w:rPr>
        <w:t xml:space="preserve"> </w:t>
      </w:r>
      <w:r>
        <w:rPr>
          <w:rFonts w:ascii="微软雅黑" w:hAnsi="微软雅黑" w:eastAsia="微软雅黑" w:cs="微软雅黑"/>
          <w:spacing w:val="26"/>
          <w:sz w:val="16"/>
          <w:szCs w:val="16"/>
        </w:rPr>
        <w:t>配</w:t>
      </w:r>
      <w:r>
        <w:rPr>
          <w:rFonts w:ascii="微软雅黑" w:hAnsi="微软雅黑" w:eastAsia="微软雅黑" w:cs="微软雅黑"/>
          <w:spacing w:val="-18"/>
          <w:sz w:val="16"/>
          <w:szCs w:val="16"/>
        </w:rPr>
        <w:t xml:space="preserve"> </w:t>
      </w:r>
      <w:r>
        <w:rPr>
          <w:rFonts w:ascii="微软雅黑" w:hAnsi="微软雅黑" w:eastAsia="微软雅黑" w:cs="微软雅黑"/>
          <w:spacing w:val="26"/>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资源配置和绩效考核等诸多</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过</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程</w:t>
      </w:r>
      <w:r>
        <w:rPr>
          <w:rFonts w:ascii="微软雅黑" w:hAnsi="微软雅黑" w:eastAsia="微软雅黑" w:cs="微软雅黑"/>
          <w:spacing w:val="-23"/>
          <w:sz w:val="16"/>
          <w:szCs w:val="16"/>
        </w:rPr>
        <w:t xml:space="preserve"> </w:t>
      </w:r>
      <w:r>
        <w:rPr>
          <w:rFonts w:ascii="微软雅黑" w:hAnsi="微软雅黑" w:eastAsia="微软雅黑" w:cs="微软雅黑"/>
          <w:spacing w:val="38"/>
          <w:sz w:val="16"/>
          <w:szCs w:val="16"/>
        </w:rPr>
        <w:t>，需</w:t>
      </w:r>
      <w:r>
        <w:rPr>
          <w:rFonts w:ascii="微软雅黑" w:hAnsi="微软雅黑" w:eastAsia="微软雅黑" w:cs="微软雅黑"/>
          <w:spacing w:val="-20"/>
          <w:sz w:val="16"/>
          <w:szCs w:val="16"/>
        </w:rPr>
        <w:t xml:space="preserve"> </w:t>
      </w:r>
      <w:r>
        <w:rPr>
          <w:rFonts w:ascii="微软雅黑" w:hAnsi="微软雅黑" w:eastAsia="微软雅黑" w:cs="微软雅黑"/>
          <w:spacing w:val="38"/>
          <w:sz w:val="16"/>
          <w:szCs w:val="16"/>
        </w:rPr>
        <w:t>要</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学</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校</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各</w:t>
      </w:r>
      <w:r>
        <w:rPr>
          <w:rFonts w:ascii="微软雅黑" w:hAnsi="微软雅黑" w:eastAsia="微软雅黑" w:cs="微软雅黑"/>
          <w:spacing w:val="-11"/>
          <w:sz w:val="16"/>
          <w:szCs w:val="16"/>
        </w:rPr>
        <w:t xml:space="preserve"> </w:t>
      </w:r>
      <w:r>
        <w:rPr>
          <w:rFonts w:ascii="微软雅黑" w:hAnsi="微软雅黑" w:eastAsia="微软雅黑" w:cs="微软雅黑"/>
          <w:spacing w:val="37"/>
          <w:sz w:val="16"/>
          <w:szCs w:val="16"/>
        </w:rPr>
        <w:t>主</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体</w:t>
      </w:r>
      <w:r>
        <w:rPr>
          <w:rFonts w:ascii="微软雅黑" w:hAnsi="微软雅黑" w:eastAsia="微软雅黑" w:cs="微软雅黑"/>
          <w:sz w:val="16"/>
          <w:szCs w:val="16"/>
        </w:rPr>
        <w:t xml:space="preserve">  </w:t>
      </w:r>
      <w:r>
        <w:rPr>
          <w:rFonts w:ascii="微软雅黑" w:hAnsi="微软雅黑" w:eastAsia="微软雅黑" w:cs="微软雅黑"/>
          <w:spacing w:val="21"/>
          <w:sz w:val="16"/>
          <w:szCs w:val="16"/>
        </w:rPr>
        <w:t>齐心协力</w:t>
      </w:r>
      <w:r>
        <w:rPr>
          <w:rFonts w:ascii="微软雅黑" w:hAnsi="微软雅黑" w:eastAsia="微软雅黑" w:cs="微软雅黑"/>
          <w:spacing w:val="-6"/>
          <w:sz w:val="16"/>
          <w:szCs w:val="16"/>
        </w:rPr>
        <w:t xml:space="preserve"> </w:t>
      </w:r>
      <w:r>
        <w:rPr>
          <w:rFonts w:ascii="微软雅黑" w:hAnsi="微软雅黑" w:eastAsia="微软雅黑" w:cs="微软雅黑"/>
          <w:spacing w:val="21"/>
          <w:sz w:val="16"/>
          <w:szCs w:val="16"/>
        </w:rPr>
        <w:t>、通</w:t>
      </w:r>
      <w:r>
        <w:rPr>
          <w:rFonts w:ascii="微软雅黑" w:hAnsi="微软雅黑" w:eastAsia="微软雅黑" w:cs="微软雅黑"/>
          <w:spacing w:val="-14"/>
          <w:sz w:val="16"/>
          <w:szCs w:val="16"/>
        </w:rPr>
        <w:t xml:space="preserve"> </w:t>
      </w:r>
      <w:r>
        <w:rPr>
          <w:rFonts w:ascii="微软雅黑" w:hAnsi="微软雅黑" w:eastAsia="微软雅黑" w:cs="微软雅黑"/>
          <w:spacing w:val="21"/>
          <w:sz w:val="16"/>
          <w:szCs w:val="16"/>
        </w:rPr>
        <w:t>力</w:t>
      </w:r>
      <w:r>
        <w:rPr>
          <w:rFonts w:ascii="微软雅黑" w:hAnsi="微软雅黑" w:eastAsia="微软雅黑" w:cs="微软雅黑"/>
          <w:spacing w:val="-11"/>
          <w:sz w:val="16"/>
          <w:szCs w:val="16"/>
        </w:rPr>
        <w:t xml:space="preserve"> </w:t>
      </w:r>
      <w:r>
        <w:rPr>
          <w:rFonts w:ascii="微软雅黑" w:hAnsi="微软雅黑" w:eastAsia="微软雅黑" w:cs="微软雅黑"/>
          <w:spacing w:val="21"/>
          <w:sz w:val="16"/>
          <w:szCs w:val="16"/>
        </w:rPr>
        <w:t>配</w:t>
      </w:r>
      <w:r>
        <w:rPr>
          <w:rFonts w:ascii="微软雅黑" w:hAnsi="微软雅黑" w:eastAsia="微软雅黑" w:cs="微软雅黑"/>
          <w:spacing w:val="-15"/>
          <w:sz w:val="16"/>
          <w:szCs w:val="16"/>
        </w:rPr>
        <w:t xml:space="preserve"> </w:t>
      </w:r>
      <w:r>
        <w:rPr>
          <w:rFonts w:ascii="微软雅黑" w:hAnsi="微软雅黑" w:eastAsia="微软雅黑" w:cs="微软雅黑"/>
          <w:spacing w:val="21"/>
          <w:sz w:val="16"/>
          <w:szCs w:val="16"/>
        </w:rPr>
        <w:t>合</w:t>
      </w:r>
      <w:r>
        <w:rPr>
          <w:rFonts w:ascii="微软雅黑" w:hAnsi="微软雅黑" w:eastAsia="微软雅黑" w:cs="微软雅黑"/>
          <w:spacing w:val="-24"/>
          <w:sz w:val="16"/>
          <w:szCs w:val="16"/>
        </w:rPr>
        <w:t xml:space="preserve"> </w:t>
      </w:r>
      <w:r>
        <w:rPr>
          <w:rFonts w:ascii="微软雅黑" w:hAnsi="微软雅黑" w:eastAsia="微软雅黑" w:cs="微软雅黑"/>
          <w:spacing w:val="21"/>
          <w:sz w:val="16"/>
          <w:szCs w:val="16"/>
        </w:rPr>
        <w:t>，方</w:t>
      </w:r>
      <w:r>
        <w:rPr>
          <w:rFonts w:ascii="微软雅黑" w:hAnsi="微软雅黑" w:eastAsia="微软雅黑" w:cs="微软雅黑"/>
          <w:spacing w:val="-10"/>
          <w:sz w:val="16"/>
          <w:szCs w:val="16"/>
        </w:rPr>
        <w:t xml:space="preserve"> </w:t>
      </w:r>
      <w:r>
        <w:rPr>
          <w:rFonts w:ascii="微软雅黑" w:hAnsi="微软雅黑" w:eastAsia="微软雅黑" w:cs="微软雅黑"/>
          <w:spacing w:val="21"/>
          <w:sz w:val="16"/>
          <w:szCs w:val="16"/>
        </w:rPr>
        <w:t>能</w:t>
      </w:r>
      <w:r>
        <w:rPr>
          <w:rFonts w:ascii="微软雅黑" w:hAnsi="微软雅黑" w:eastAsia="微软雅黑" w:cs="微软雅黑"/>
          <w:spacing w:val="-12"/>
          <w:sz w:val="16"/>
          <w:szCs w:val="16"/>
        </w:rPr>
        <w:t xml:space="preserve"> </w:t>
      </w:r>
      <w:r>
        <w:rPr>
          <w:rFonts w:ascii="微软雅黑" w:hAnsi="微软雅黑" w:eastAsia="微软雅黑" w:cs="微软雅黑"/>
          <w:spacing w:val="21"/>
          <w:sz w:val="16"/>
          <w:szCs w:val="16"/>
        </w:rPr>
        <w:t>推</w:t>
      </w:r>
      <w:r>
        <w:rPr>
          <w:rFonts w:ascii="微软雅黑" w:hAnsi="微软雅黑" w:eastAsia="微软雅黑" w:cs="微软雅黑"/>
          <w:spacing w:val="-10"/>
          <w:sz w:val="16"/>
          <w:szCs w:val="16"/>
        </w:rPr>
        <w:t xml:space="preserve"> </w:t>
      </w:r>
      <w:r>
        <w:rPr>
          <w:rFonts w:ascii="微软雅黑" w:hAnsi="微软雅黑" w:eastAsia="微软雅黑" w:cs="微软雅黑"/>
          <w:spacing w:val="21"/>
          <w:sz w:val="16"/>
          <w:szCs w:val="16"/>
        </w:rPr>
        <w:t>动</w:t>
      </w:r>
      <w:r>
        <w:rPr>
          <w:rFonts w:ascii="微软雅黑" w:hAnsi="微软雅黑" w:eastAsia="微软雅黑" w:cs="微软雅黑"/>
          <w:spacing w:val="-10"/>
          <w:sz w:val="16"/>
          <w:szCs w:val="16"/>
        </w:rPr>
        <w:t xml:space="preserve"> </w:t>
      </w:r>
      <w:r>
        <w:rPr>
          <w:rFonts w:ascii="微软雅黑" w:hAnsi="微软雅黑" w:eastAsia="微软雅黑" w:cs="微软雅黑"/>
          <w:spacing w:val="21"/>
          <w:sz w:val="16"/>
          <w:szCs w:val="16"/>
        </w:rPr>
        <w:t>学</w:t>
      </w:r>
      <w:r>
        <w:rPr>
          <w:rFonts w:ascii="微软雅黑" w:hAnsi="微软雅黑" w:eastAsia="微软雅黑" w:cs="微软雅黑"/>
          <w:spacing w:val="-11"/>
          <w:sz w:val="16"/>
          <w:szCs w:val="16"/>
        </w:rPr>
        <w:t xml:space="preserve"> </w:t>
      </w:r>
      <w:r>
        <w:rPr>
          <w:rFonts w:ascii="微软雅黑" w:hAnsi="微软雅黑" w:eastAsia="微软雅黑" w:cs="微软雅黑"/>
          <w:spacing w:val="21"/>
          <w:sz w:val="16"/>
          <w:szCs w:val="16"/>
        </w:rPr>
        <w:t>校 战</w:t>
      </w:r>
      <w:r>
        <w:rPr>
          <w:rFonts w:ascii="微软雅黑" w:hAnsi="微软雅黑" w:eastAsia="微软雅黑" w:cs="微软雅黑"/>
          <w:spacing w:val="-3"/>
          <w:sz w:val="16"/>
          <w:szCs w:val="16"/>
        </w:rPr>
        <w:t xml:space="preserve"> </w:t>
      </w:r>
      <w:r>
        <w:rPr>
          <w:rFonts w:ascii="微软雅黑" w:hAnsi="微软雅黑" w:eastAsia="微软雅黑" w:cs="微软雅黑"/>
          <w:spacing w:val="21"/>
          <w:sz w:val="16"/>
          <w:szCs w:val="16"/>
        </w:rPr>
        <w:t>略 的</w:t>
      </w:r>
      <w:r>
        <w:rPr>
          <w:rFonts w:ascii="微软雅黑" w:hAnsi="微软雅黑" w:eastAsia="微软雅黑" w:cs="微软雅黑"/>
          <w:spacing w:val="-12"/>
          <w:sz w:val="16"/>
          <w:szCs w:val="16"/>
        </w:rPr>
        <w:t xml:space="preserve"> </w:t>
      </w:r>
      <w:r>
        <w:rPr>
          <w:rFonts w:ascii="微软雅黑" w:hAnsi="微软雅黑" w:eastAsia="微软雅黑" w:cs="微软雅黑"/>
          <w:spacing w:val="21"/>
          <w:sz w:val="16"/>
          <w:szCs w:val="16"/>
        </w:rPr>
        <w:t>有</w:t>
      </w:r>
      <w:r>
        <w:rPr>
          <w:rFonts w:ascii="微软雅黑" w:hAnsi="微软雅黑" w:eastAsia="微软雅黑" w:cs="微软雅黑"/>
          <w:spacing w:val="-12"/>
          <w:sz w:val="16"/>
          <w:szCs w:val="16"/>
        </w:rPr>
        <w:t xml:space="preserve"> </w:t>
      </w:r>
      <w:r>
        <w:rPr>
          <w:rFonts w:ascii="微软雅黑" w:hAnsi="微软雅黑" w:eastAsia="微软雅黑" w:cs="微软雅黑"/>
          <w:spacing w:val="21"/>
          <w:sz w:val="16"/>
          <w:szCs w:val="16"/>
        </w:rPr>
        <w:t>效</w:t>
      </w:r>
      <w:r>
        <w:rPr>
          <w:rFonts w:ascii="微软雅黑" w:hAnsi="微软雅黑" w:eastAsia="微软雅黑" w:cs="微软雅黑"/>
          <w:spacing w:val="-10"/>
          <w:sz w:val="16"/>
          <w:szCs w:val="16"/>
        </w:rPr>
        <w:t xml:space="preserve"> </w:t>
      </w:r>
      <w:r>
        <w:rPr>
          <w:rFonts w:ascii="微软雅黑" w:hAnsi="微软雅黑" w:eastAsia="微软雅黑" w:cs="微软雅黑"/>
          <w:spacing w:val="21"/>
          <w:sz w:val="16"/>
          <w:szCs w:val="16"/>
        </w:rPr>
        <w:t>实</w:t>
      </w:r>
      <w:r>
        <w:rPr>
          <w:rFonts w:ascii="微软雅黑" w:hAnsi="微软雅黑" w:eastAsia="微软雅黑" w:cs="微软雅黑"/>
          <w:sz w:val="16"/>
          <w:szCs w:val="16"/>
        </w:rPr>
        <w:t xml:space="preserve">  </w:t>
      </w:r>
      <w:r>
        <w:rPr>
          <w:rFonts w:ascii="微软雅黑" w:hAnsi="微软雅黑" w:eastAsia="微软雅黑" w:cs="微软雅黑"/>
          <w:spacing w:val="31"/>
          <w:sz w:val="16"/>
          <w:szCs w:val="16"/>
        </w:rPr>
        <w:t>施</w:t>
      </w:r>
      <w:r>
        <w:rPr>
          <w:rFonts w:ascii="微软雅黑" w:hAnsi="微软雅黑" w:eastAsia="微软雅黑" w:cs="微软雅黑"/>
          <w:spacing w:val="-27"/>
          <w:sz w:val="16"/>
          <w:szCs w:val="16"/>
        </w:rPr>
        <w:t xml:space="preserve"> </w:t>
      </w:r>
      <w:r>
        <w:rPr>
          <w:rFonts w:ascii="微软雅黑" w:hAnsi="微软雅黑" w:eastAsia="微软雅黑" w:cs="微软雅黑"/>
          <w:spacing w:val="31"/>
          <w:position w:val="5"/>
          <w:sz w:val="9"/>
          <w:szCs w:val="9"/>
        </w:rPr>
        <w:t xml:space="preserve">[14]  </w:t>
      </w:r>
      <w:r>
        <w:rPr>
          <w:rFonts w:ascii="微软雅黑" w:hAnsi="微软雅黑" w:eastAsia="微软雅黑" w:cs="微软雅黑"/>
          <w:spacing w:val="31"/>
          <w:sz w:val="16"/>
          <w:szCs w:val="16"/>
        </w:rPr>
        <w:t>。 因此</w:t>
      </w:r>
      <w:r>
        <w:rPr>
          <w:rFonts w:ascii="微软雅黑" w:hAnsi="微软雅黑" w:eastAsia="微软雅黑" w:cs="微软雅黑"/>
          <w:spacing w:val="-24"/>
          <w:sz w:val="16"/>
          <w:szCs w:val="16"/>
        </w:rPr>
        <w:t xml:space="preserve"> </w:t>
      </w:r>
      <w:r>
        <w:rPr>
          <w:rFonts w:ascii="微软雅黑" w:hAnsi="微软雅黑" w:eastAsia="微软雅黑" w:cs="微软雅黑"/>
          <w:spacing w:val="31"/>
          <w:sz w:val="16"/>
          <w:szCs w:val="16"/>
        </w:rPr>
        <w:t>，学校各主体对学校的</w:t>
      </w:r>
      <w:r>
        <w:rPr>
          <w:rFonts w:ascii="微软雅黑" w:hAnsi="微软雅黑" w:eastAsia="微软雅黑" w:cs="微软雅黑"/>
          <w:spacing w:val="30"/>
          <w:sz w:val="16"/>
          <w:szCs w:val="16"/>
        </w:rPr>
        <w:t>归属感和</w:t>
      </w:r>
      <w:r>
        <w:rPr>
          <w:rFonts w:ascii="微软雅黑" w:hAnsi="微软雅黑" w:eastAsia="微软雅黑" w:cs="微软雅黑"/>
          <w:spacing w:val="-18"/>
          <w:sz w:val="16"/>
          <w:szCs w:val="16"/>
        </w:rPr>
        <w:t xml:space="preserve"> </w:t>
      </w:r>
      <w:r>
        <w:rPr>
          <w:rFonts w:ascii="微软雅黑" w:hAnsi="微软雅黑" w:eastAsia="微软雅黑" w:cs="微软雅黑"/>
          <w:spacing w:val="30"/>
          <w:sz w:val="16"/>
          <w:szCs w:val="16"/>
        </w:rPr>
        <w:t>对</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学</w:t>
      </w:r>
      <w:r>
        <w:rPr>
          <w:rFonts w:ascii="微软雅黑" w:hAnsi="微软雅黑" w:eastAsia="微软雅黑" w:cs="微软雅黑"/>
          <w:spacing w:val="-17"/>
          <w:sz w:val="16"/>
          <w:szCs w:val="16"/>
        </w:rPr>
        <w:t xml:space="preserve"> </w:t>
      </w:r>
      <w:r>
        <w:rPr>
          <w:rFonts w:ascii="微软雅黑" w:hAnsi="微软雅黑" w:eastAsia="微软雅黑" w:cs="微软雅黑"/>
          <w:spacing w:val="30"/>
          <w:sz w:val="16"/>
          <w:szCs w:val="16"/>
        </w:rPr>
        <w:t>校</w:t>
      </w:r>
      <w:r>
        <w:rPr>
          <w:rFonts w:ascii="微软雅黑" w:hAnsi="微软雅黑" w:eastAsia="微软雅黑" w:cs="微软雅黑"/>
          <w:sz w:val="16"/>
          <w:szCs w:val="16"/>
        </w:rPr>
        <w:t xml:space="preserve">  </w:t>
      </w:r>
      <w:r>
        <w:rPr>
          <w:rFonts w:ascii="微软雅黑" w:hAnsi="微软雅黑" w:eastAsia="微软雅黑" w:cs="微软雅黑"/>
          <w:spacing w:val="6"/>
          <w:w w:val="125"/>
          <w:sz w:val="16"/>
          <w:szCs w:val="16"/>
        </w:rPr>
        <w:t>战略的认同感便显得尤为重要</w:t>
      </w:r>
      <w:r>
        <w:rPr>
          <w:rFonts w:ascii="微软雅黑" w:hAnsi="微软雅黑" w:eastAsia="微软雅黑" w:cs="微软雅黑"/>
          <w:spacing w:val="5"/>
          <w:sz w:val="16"/>
          <w:szCs w:val="16"/>
        </w:rPr>
        <w:t xml:space="preserve"> </w:t>
      </w:r>
      <w:r>
        <w:rPr>
          <w:rFonts w:ascii="微软雅黑" w:hAnsi="微软雅黑" w:eastAsia="微软雅黑" w:cs="微软雅黑"/>
          <w:spacing w:val="6"/>
          <w:w w:val="125"/>
          <w:sz w:val="16"/>
          <w:szCs w:val="16"/>
        </w:rPr>
        <w:t>。</w:t>
      </w:r>
      <w:r>
        <w:rPr>
          <w:rFonts w:ascii="微软雅黑" w:hAnsi="微软雅黑" w:eastAsia="微软雅黑" w:cs="微软雅黑"/>
          <w:spacing w:val="-10"/>
          <w:sz w:val="16"/>
          <w:szCs w:val="16"/>
        </w:rPr>
        <w:t xml:space="preserve"> </w:t>
      </w:r>
      <w:r>
        <w:rPr>
          <w:rFonts w:ascii="微软雅黑" w:hAnsi="微软雅黑" w:eastAsia="微软雅黑" w:cs="微软雅黑"/>
          <w:spacing w:val="6"/>
          <w:w w:val="125"/>
          <w:sz w:val="16"/>
          <w:szCs w:val="16"/>
        </w:rPr>
        <w:t>但是质量文化建设</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是基于战略规划开展的</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，这就</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决</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定</w:t>
      </w:r>
      <w:r>
        <w:rPr>
          <w:rFonts w:ascii="微软雅黑" w:hAnsi="微软雅黑" w:eastAsia="微软雅黑" w:cs="微软雅黑"/>
          <w:spacing w:val="-2"/>
          <w:sz w:val="16"/>
          <w:szCs w:val="16"/>
        </w:rPr>
        <w:t xml:space="preserve"> </w:t>
      </w:r>
      <w:r>
        <w:rPr>
          <w:rFonts w:ascii="微软雅黑" w:hAnsi="微软雅黑" w:eastAsia="微软雅黑" w:cs="微软雅黑"/>
          <w:spacing w:val="36"/>
          <w:sz w:val="16"/>
          <w:szCs w:val="16"/>
        </w:rPr>
        <w:t>了</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前</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期</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量</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文</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化</w:t>
      </w:r>
      <w:r>
        <w:rPr>
          <w:rFonts w:ascii="微软雅黑" w:hAnsi="微软雅黑" w:eastAsia="微软雅黑" w:cs="微软雅黑"/>
          <w:sz w:val="16"/>
          <w:szCs w:val="16"/>
        </w:rPr>
        <w:t xml:space="preserve">  </w:t>
      </w:r>
      <w:r>
        <w:rPr>
          <w:rFonts w:ascii="微软雅黑" w:hAnsi="微软雅黑" w:eastAsia="微软雅黑" w:cs="微软雅黑"/>
          <w:spacing w:val="8"/>
          <w:w w:val="124"/>
          <w:sz w:val="16"/>
          <w:szCs w:val="16"/>
        </w:rPr>
        <w:t>建设的方式是自上而下开展的</w:t>
      </w:r>
      <w:r>
        <w:rPr>
          <w:rFonts w:ascii="微软雅黑" w:hAnsi="微软雅黑" w:eastAsia="微软雅黑" w:cs="微软雅黑"/>
          <w:spacing w:val="-6"/>
          <w:sz w:val="16"/>
          <w:szCs w:val="16"/>
        </w:rPr>
        <w:t xml:space="preserve"> </w:t>
      </w:r>
      <w:r>
        <w:rPr>
          <w:rFonts w:ascii="微软雅黑" w:hAnsi="微软雅黑" w:eastAsia="微软雅黑" w:cs="微软雅黑"/>
          <w:spacing w:val="8"/>
          <w:w w:val="124"/>
          <w:sz w:val="16"/>
          <w:szCs w:val="16"/>
        </w:rPr>
        <w:t>。</w:t>
      </w:r>
      <w:r>
        <w:rPr>
          <w:rFonts w:ascii="微软雅黑" w:hAnsi="微软雅黑" w:eastAsia="微软雅黑" w:cs="微软雅黑"/>
          <w:spacing w:val="-8"/>
          <w:sz w:val="16"/>
          <w:szCs w:val="16"/>
        </w:rPr>
        <w:t xml:space="preserve"> </w:t>
      </w:r>
      <w:r>
        <w:rPr>
          <w:rFonts w:ascii="微软雅黑" w:hAnsi="微软雅黑" w:eastAsia="微软雅黑" w:cs="微软雅黑"/>
          <w:spacing w:val="8"/>
          <w:w w:val="124"/>
          <w:sz w:val="16"/>
          <w:szCs w:val="16"/>
        </w:rPr>
        <w:t>虽然学校通过波多</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里奇质量准则和内部评估程</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序</w:t>
      </w:r>
      <w:r>
        <w:rPr>
          <w:rFonts w:ascii="微软雅黑" w:hAnsi="微软雅黑" w:eastAsia="微软雅黑" w:cs="微软雅黑"/>
          <w:spacing w:val="-16"/>
          <w:sz w:val="16"/>
          <w:szCs w:val="16"/>
        </w:rPr>
        <w:t xml:space="preserve"> </w:t>
      </w:r>
      <w:r>
        <w:rPr>
          <w:rFonts w:ascii="微软雅黑" w:hAnsi="微软雅黑" w:eastAsia="微软雅黑" w:cs="微软雅黑"/>
          <w:spacing w:val="38"/>
          <w:sz w:val="16"/>
          <w:szCs w:val="16"/>
        </w:rPr>
        <w:t>等</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结</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构</w:t>
      </w:r>
      <w:r>
        <w:rPr>
          <w:rFonts w:ascii="微软雅黑" w:hAnsi="微软雅黑" w:eastAsia="微软雅黑" w:cs="微软雅黑"/>
          <w:spacing w:val="-17"/>
          <w:sz w:val="16"/>
          <w:szCs w:val="16"/>
        </w:rPr>
        <w:t xml:space="preserve"> </w:t>
      </w:r>
      <w:r>
        <w:rPr>
          <w:rFonts w:ascii="微软雅黑" w:hAnsi="微软雅黑" w:eastAsia="微软雅黑" w:cs="微软雅黑"/>
          <w:spacing w:val="38"/>
          <w:sz w:val="16"/>
          <w:szCs w:val="16"/>
        </w:rPr>
        <w:t>、方</w:t>
      </w:r>
      <w:r>
        <w:rPr>
          <w:rFonts w:ascii="微软雅黑" w:hAnsi="微软雅黑" w:eastAsia="微软雅黑" w:cs="微软雅黑"/>
          <w:spacing w:val="-19"/>
          <w:sz w:val="16"/>
          <w:szCs w:val="16"/>
        </w:rPr>
        <w:t xml:space="preserve"> </w:t>
      </w:r>
      <w:r>
        <w:rPr>
          <w:rFonts w:ascii="微软雅黑" w:hAnsi="微软雅黑" w:eastAsia="微软雅黑" w:cs="微软雅黑"/>
          <w:spacing w:val="38"/>
          <w:sz w:val="16"/>
          <w:szCs w:val="16"/>
        </w:rPr>
        <w:t>式</w:t>
      </w:r>
      <w:r>
        <w:rPr>
          <w:rFonts w:ascii="微软雅黑" w:hAnsi="微软雅黑" w:eastAsia="微软雅黑" w:cs="微软雅黑"/>
          <w:spacing w:val="-20"/>
          <w:sz w:val="16"/>
          <w:szCs w:val="16"/>
        </w:rPr>
        <w:t xml:space="preserve"> </w:t>
      </w:r>
      <w:r>
        <w:rPr>
          <w:rFonts w:ascii="微软雅黑" w:hAnsi="微软雅黑" w:eastAsia="微软雅黑" w:cs="微软雅黑"/>
          <w:spacing w:val="37"/>
          <w:sz w:val="16"/>
          <w:szCs w:val="16"/>
        </w:rPr>
        <w:t>来</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支</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持</w:t>
      </w:r>
      <w:r>
        <w:rPr>
          <w:rFonts w:ascii="微软雅黑" w:hAnsi="微软雅黑" w:eastAsia="微软雅黑" w:cs="微软雅黑"/>
          <w:sz w:val="16"/>
          <w:szCs w:val="16"/>
        </w:rPr>
        <w:t xml:space="preserve">  </w:t>
      </w:r>
      <w:r>
        <w:rPr>
          <w:rFonts w:ascii="微软雅黑" w:hAnsi="微软雅黑" w:eastAsia="微软雅黑" w:cs="微软雅黑"/>
          <w:spacing w:val="39"/>
          <w:sz w:val="16"/>
          <w:szCs w:val="16"/>
        </w:rPr>
        <w:t>质量文化</w:t>
      </w:r>
      <w:r>
        <w:rPr>
          <w:rFonts w:ascii="微软雅黑" w:hAnsi="微软雅黑" w:eastAsia="微软雅黑" w:cs="微软雅黑"/>
          <w:spacing w:val="-24"/>
          <w:sz w:val="16"/>
          <w:szCs w:val="16"/>
        </w:rPr>
        <w:t xml:space="preserve"> </w:t>
      </w:r>
      <w:r>
        <w:rPr>
          <w:rFonts w:ascii="微软雅黑" w:hAnsi="微软雅黑" w:eastAsia="微软雅黑" w:cs="微软雅黑"/>
          <w:spacing w:val="39"/>
          <w:sz w:val="16"/>
          <w:szCs w:val="16"/>
        </w:rPr>
        <w:t>，以促进和维持其质量承诺</w:t>
      </w:r>
      <w:r>
        <w:rPr>
          <w:rFonts w:ascii="微软雅黑" w:hAnsi="微软雅黑" w:eastAsia="微软雅黑" w:cs="微软雅黑"/>
          <w:spacing w:val="-23"/>
          <w:sz w:val="16"/>
          <w:szCs w:val="16"/>
        </w:rPr>
        <w:t xml:space="preserve"> </w:t>
      </w:r>
      <w:r>
        <w:rPr>
          <w:rFonts w:ascii="微软雅黑" w:hAnsi="微软雅黑" w:eastAsia="微软雅黑" w:cs="微软雅黑"/>
          <w:spacing w:val="39"/>
          <w:sz w:val="16"/>
          <w:szCs w:val="16"/>
        </w:rPr>
        <w:t>，但是质</w:t>
      </w:r>
      <w:r>
        <w:rPr>
          <w:rFonts w:ascii="微软雅黑" w:hAnsi="微软雅黑" w:eastAsia="微软雅黑" w:cs="微软雅黑"/>
          <w:spacing w:val="38"/>
          <w:sz w:val="16"/>
          <w:szCs w:val="16"/>
        </w:rPr>
        <w:t>量承诺</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目前只在学校领导层</w:t>
      </w:r>
      <w:r>
        <w:rPr>
          <w:rFonts w:ascii="微软雅黑" w:hAnsi="微软雅黑" w:eastAsia="微软雅黑" w:cs="微软雅黑"/>
          <w:spacing w:val="-4"/>
          <w:sz w:val="16"/>
          <w:szCs w:val="16"/>
        </w:rPr>
        <w:t xml:space="preserve"> </w:t>
      </w:r>
      <w:r>
        <w:rPr>
          <w:rFonts w:ascii="微软雅黑" w:hAnsi="微软雅黑" w:eastAsia="微软雅黑" w:cs="微软雅黑"/>
          <w:spacing w:val="38"/>
          <w:sz w:val="16"/>
          <w:szCs w:val="16"/>
        </w:rPr>
        <w:t>、骨干教师层面达成了共识</w:t>
      </w:r>
      <w:r>
        <w:rPr>
          <w:rFonts w:ascii="微软雅黑" w:hAnsi="微软雅黑" w:eastAsia="微软雅黑" w:cs="微软雅黑"/>
          <w:spacing w:val="-23"/>
          <w:sz w:val="16"/>
          <w:szCs w:val="16"/>
        </w:rPr>
        <w:t xml:space="preserve"> </w:t>
      </w:r>
      <w:r>
        <w:rPr>
          <w:rFonts w:ascii="微软雅黑" w:hAnsi="微软雅黑" w:eastAsia="微软雅黑" w:cs="微软雅黑"/>
          <w:spacing w:val="38"/>
          <w:sz w:val="16"/>
          <w:szCs w:val="16"/>
        </w:rPr>
        <w:t>，基</w:t>
      </w:r>
      <w:r>
        <w:rPr>
          <w:rFonts w:ascii="微软雅黑" w:hAnsi="微软雅黑" w:eastAsia="微软雅黑" w:cs="微软雅黑"/>
          <w:sz w:val="16"/>
          <w:szCs w:val="16"/>
        </w:rPr>
        <w:t xml:space="preserve">  </w:t>
      </w:r>
      <w:r>
        <w:rPr>
          <w:rFonts w:ascii="微软雅黑" w:hAnsi="微软雅黑" w:eastAsia="微软雅黑" w:cs="微软雅黑"/>
          <w:spacing w:val="6"/>
          <w:w w:val="121"/>
          <w:sz w:val="16"/>
          <w:szCs w:val="16"/>
        </w:rPr>
        <w:t>层教师还未与学校形成</w:t>
      </w:r>
      <w:r>
        <w:rPr>
          <w:rFonts w:ascii="微软雅黑" w:hAnsi="微软雅黑" w:eastAsia="微软雅黑" w:cs="微软雅黑"/>
          <w:spacing w:val="-16"/>
          <w:sz w:val="16"/>
          <w:szCs w:val="16"/>
        </w:rPr>
        <w:t xml:space="preserve"> </w:t>
      </w:r>
      <w:r>
        <w:rPr>
          <w:rFonts w:ascii="微软雅黑" w:hAnsi="微软雅黑" w:eastAsia="微软雅黑" w:cs="微软雅黑"/>
          <w:spacing w:val="6"/>
          <w:w w:val="121"/>
          <w:sz w:val="16"/>
          <w:szCs w:val="16"/>
        </w:rPr>
        <w:t>一致的质量观</w:t>
      </w:r>
      <w:r>
        <w:rPr>
          <w:rFonts w:ascii="微软雅黑" w:hAnsi="微软雅黑" w:eastAsia="微软雅黑" w:cs="微软雅黑"/>
          <w:spacing w:val="-18"/>
          <w:sz w:val="16"/>
          <w:szCs w:val="16"/>
        </w:rPr>
        <w:t xml:space="preserve"> </w:t>
      </w:r>
      <w:r>
        <w:rPr>
          <w:rFonts w:ascii="微软雅黑" w:hAnsi="微软雅黑" w:eastAsia="微软雅黑" w:cs="微软雅黑"/>
          <w:spacing w:val="6"/>
          <w:w w:val="121"/>
          <w:sz w:val="16"/>
          <w:szCs w:val="16"/>
        </w:rPr>
        <w:t>、信念和期望</w:t>
      </w:r>
      <w:r>
        <w:rPr>
          <w:rFonts w:ascii="微软雅黑" w:hAnsi="微软雅黑" w:eastAsia="微软雅黑" w:cs="微软雅黑"/>
          <w:spacing w:val="-15"/>
          <w:sz w:val="16"/>
          <w:szCs w:val="16"/>
        </w:rPr>
        <w:t xml:space="preserve"> </w:t>
      </w:r>
      <w:r>
        <w:rPr>
          <w:rFonts w:ascii="微软雅黑" w:hAnsi="微软雅黑" w:eastAsia="微软雅黑" w:cs="微软雅黑"/>
          <w:spacing w:val="6"/>
          <w:w w:val="121"/>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38"/>
          <w:sz w:val="16"/>
          <w:szCs w:val="16"/>
        </w:rPr>
        <w:t>学校有必要提高教师对质量</w:t>
      </w:r>
      <w:r>
        <w:rPr>
          <w:rFonts w:ascii="微软雅黑" w:hAnsi="微软雅黑" w:eastAsia="微软雅黑" w:cs="微软雅黑"/>
          <w:spacing w:val="-16"/>
          <w:sz w:val="16"/>
          <w:szCs w:val="16"/>
        </w:rPr>
        <w:t xml:space="preserve"> </w:t>
      </w:r>
      <w:r>
        <w:rPr>
          <w:rFonts w:ascii="微软雅黑" w:hAnsi="微软雅黑" w:eastAsia="微软雅黑" w:cs="微软雅黑"/>
          <w:spacing w:val="38"/>
          <w:sz w:val="16"/>
          <w:szCs w:val="16"/>
        </w:rPr>
        <w:t>文</w:t>
      </w:r>
      <w:r>
        <w:rPr>
          <w:rFonts w:ascii="微软雅黑" w:hAnsi="微软雅黑" w:eastAsia="微软雅黑" w:cs="微软雅黑"/>
          <w:spacing w:val="-18"/>
          <w:sz w:val="16"/>
          <w:szCs w:val="16"/>
        </w:rPr>
        <w:t xml:space="preserve"> </w:t>
      </w:r>
      <w:r>
        <w:rPr>
          <w:rFonts w:ascii="微软雅黑" w:hAnsi="微软雅黑" w:eastAsia="微软雅黑" w:cs="微软雅黑"/>
          <w:spacing w:val="38"/>
          <w:sz w:val="16"/>
          <w:szCs w:val="16"/>
        </w:rPr>
        <w:t>化</w:t>
      </w:r>
      <w:r>
        <w:rPr>
          <w:rFonts w:ascii="微软雅黑" w:hAnsi="微软雅黑" w:eastAsia="微软雅黑" w:cs="微软雅黑"/>
          <w:spacing w:val="-2"/>
          <w:sz w:val="16"/>
          <w:szCs w:val="16"/>
        </w:rPr>
        <w:t xml:space="preserve"> </w:t>
      </w:r>
      <w:r>
        <w:rPr>
          <w:rFonts w:ascii="微软雅黑" w:hAnsi="微软雅黑" w:eastAsia="微软雅黑" w:cs="微软雅黑"/>
          <w:spacing w:val="38"/>
          <w:sz w:val="16"/>
          <w:szCs w:val="16"/>
        </w:rPr>
        <w:t>的</w:t>
      </w:r>
      <w:r>
        <w:rPr>
          <w:rFonts w:ascii="微软雅黑" w:hAnsi="微软雅黑" w:eastAsia="微软雅黑" w:cs="微软雅黑"/>
          <w:spacing w:val="-22"/>
          <w:sz w:val="16"/>
          <w:szCs w:val="16"/>
        </w:rPr>
        <w:t xml:space="preserve"> </w:t>
      </w:r>
      <w:r>
        <w:rPr>
          <w:rFonts w:ascii="微软雅黑" w:hAnsi="微软雅黑" w:eastAsia="微软雅黑" w:cs="微软雅黑"/>
          <w:spacing w:val="38"/>
          <w:sz w:val="16"/>
          <w:szCs w:val="16"/>
        </w:rPr>
        <w:t>认</w:t>
      </w:r>
      <w:r>
        <w:rPr>
          <w:rFonts w:ascii="微软雅黑" w:hAnsi="微软雅黑" w:eastAsia="微软雅黑" w:cs="微软雅黑"/>
          <w:spacing w:val="-20"/>
          <w:sz w:val="16"/>
          <w:szCs w:val="16"/>
        </w:rPr>
        <w:t xml:space="preserve"> </w:t>
      </w:r>
      <w:r>
        <w:rPr>
          <w:rFonts w:ascii="微软雅黑" w:hAnsi="微软雅黑" w:eastAsia="微软雅黑" w:cs="微软雅黑"/>
          <w:spacing w:val="38"/>
          <w:sz w:val="16"/>
          <w:szCs w:val="16"/>
        </w:rPr>
        <w:t>识</w:t>
      </w:r>
      <w:r>
        <w:rPr>
          <w:rFonts w:ascii="微软雅黑" w:hAnsi="微软雅黑" w:eastAsia="微软雅黑" w:cs="微软雅黑"/>
          <w:spacing w:val="-24"/>
          <w:sz w:val="16"/>
          <w:szCs w:val="16"/>
        </w:rPr>
        <w:t xml:space="preserve"> </w:t>
      </w:r>
      <w:r>
        <w:rPr>
          <w:rFonts w:ascii="微软雅黑" w:hAnsi="微软雅黑" w:eastAsia="微软雅黑" w:cs="微软雅黑"/>
          <w:spacing w:val="38"/>
          <w:sz w:val="16"/>
          <w:szCs w:val="16"/>
        </w:rPr>
        <w:t>，开</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展</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各</w:t>
      </w:r>
      <w:r>
        <w:rPr>
          <w:rFonts w:ascii="微软雅黑" w:hAnsi="微软雅黑" w:eastAsia="微软雅黑" w:cs="微软雅黑"/>
          <w:spacing w:val="-20"/>
          <w:sz w:val="16"/>
          <w:szCs w:val="16"/>
        </w:rPr>
        <w:t xml:space="preserve"> </w:t>
      </w:r>
      <w:r>
        <w:rPr>
          <w:rFonts w:ascii="微软雅黑" w:hAnsi="微软雅黑" w:eastAsia="微软雅黑" w:cs="微软雅黑"/>
          <w:spacing w:val="37"/>
          <w:sz w:val="16"/>
          <w:szCs w:val="16"/>
        </w:rPr>
        <w:t>项</w:t>
      </w:r>
      <w:r>
        <w:rPr>
          <w:rFonts w:ascii="微软雅黑" w:hAnsi="微软雅黑" w:eastAsia="微软雅黑" w:cs="微软雅黑"/>
          <w:sz w:val="16"/>
          <w:szCs w:val="16"/>
        </w:rPr>
        <w:t xml:space="preserve">  </w:t>
      </w:r>
      <w:r>
        <w:rPr>
          <w:rFonts w:ascii="微软雅黑" w:hAnsi="微软雅黑" w:eastAsia="微软雅黑" w:cs="微软雅黑"/>
          <w:spacing w:val="31"/>
          <w:sz w:val="16"/>
          <w:szCs w:val="16"/>
        </w:rPr>
        <w:t>活动提升全员的质</w:t>
      </w:r>
      <w:r>
        <w:rPr>
          <w:rFonts w:ascii="微软雅黑" w:hAnsi="微软雅黑" w:eastAsia="微软雅黑" w:cs="微软雅黑"/>
          <w:spacing w:val="-9"/>
          <w:sz w:val="16"/>
          <w:szCs w:val="16"/>
        </w:rPr>
        <w:t xml:space="preserve"> </w:t>
      </w:r>
      <w:r>
        <w:rPr>
          <w:rFonts w:ascii="微软雅黑" w:hAnsi="微软雅黑" w:eastAsia="微软雅黑" w:cs="微软雅黑"/>
          <w:spacing w:val="31"/>
          <w:sz w:val="16"/>
          <w:szCs w:val="16"/>
        </w:rPr>
        <w:t>量</w:t>
      </w:r>
      <w:r>
        <w:rPr>
          <w:rFonts w:ascii="微软雅黑" w:hAnsi="微软雅黑" w:eastAsia="微软雅黑" w:cs="微软雅黑"/>
          <w:spacing w:val="-15"/>
          <w:sz w:val="16"/>
          <w:szCs w:val="16"/>
        </w:rPr>
        <w:t xml:space="preserve"> </w:t>
      </w:r>
      <w:r>
        <w:rPr>
          <w:rFonts w:ascii="微软雅黑" w:hAnsi="微软雅黑" w:eastAsia="微软雅黑" w:cs="微软雅黑"/>
          <w:spacing w:val="31"/>
          <w:sz w:val="16"/>
          <w:szCs w:val="16"/>
        </w:rPr>
        <w:t>意</w:t>
      </w:r>
      <w:r>
        <w:rPr>
          <w:rFonts w:ascii="微软雅黑" w:hAnsi="微软雅黑" w:eastAsia="微软雅黑" w:cs="微软雅黑"/>
          <w:spacing w:val="-21"/>
          <w:sz w:val="16"/>
          <w:szCs w:val="16"/>
        </w:rPr>
        <w:t xml:space="preserve"> </w:t>
      </w:r>
      <w:r>
        <w:rPr>
          <w:rFonts w:ascii="微软雅黑" w:hAnsi="微软雅黑" w:eastAsia="微软雅黑" w:cs="微软雅黑"/>
          <w:spacing w:val="31"/>
          <w:sz w:val="16"/>
          <w:szCs w:val="16"/>
        </w:rPr>
        <w:t>识</w:t>
      </w:r>
      <w:r>
        <w:rPr>
          <w:rFonts w:ascii="微软雅黑" w:hAnsi="微软雅黑" w:eastAsia="微软雅黑" w:cs="微软雅黑"/>
          <w:spacing w:val="-5"/>
          <w:sz w:val="16"/>
          <w:szCs w:val="16"/>
        </w:rPr>
        <w:t xml:space="preserve"> </w:t>
      </w:r>
      <w:r>
        <w:rPr>
          <w:rFonts w:ascii="微软雅黑" w:hAnsi="微软雅黑" w:eastAsia="微软雅黑" w:cs="微软雅黑"/>
          <w:spacing w:val="31"/>
          <w:sz w:val="16"/>
          <w:szCs w:val="16"/>
        </w:rPr>
        <w:t>。</w:t>
      </w:r>
      <w:r>
        <w:rPr>
          <w:rFonts w:ascii="微软雅黑" w:hAnsi="微软雅黑" w:eastAsia="微软雅黑" w:cs="微软雅黑"/>
          <w:spacing w:val="-5"/>
          <w:sz w:val="16"/>
          <w:szCs w:val="16"/>
        </w:rPr>
        <w:t xml:space="preserve"> </w:t>
      </w:r>
      <w:r>
        <w:rPr>
          <w:rFonts w:ascii="微软雅黑" w:hAnsi="微软雅黑" w:eastAsia="微软雅黑" w:cs="微软雅黑"/>
          <w:spacing w:val="31"/>
          <w:sz w:val="16"/>
          <w:szCs w:val="16"/>
        </w:rPr>
        <w:t>此</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外</w:t>
      </w:r>
      <w:r>
        <w:rPr>
          <w:rFonts w:ascii="微软雅黑" w:hAnsi="微软雅黑" w:eastAsia="微软雅黑" w:cs="微软雅黑"/>
          <w:spacing w:val="-24"/>
          <w:sz w:val="16"/>
          <w:szCs w:val="16"/>
        </w:rPr>
        <w:t xml:space="preserve"> </w:t>
      </w:r>
      <w:r>
        <w:rPr>
          <w:rFonts w:ascii="微软雅黑" w:hAnsi="微软雅黑" w:eastAsia="微软雅黑" w:cs="微软雅黑"/>
          <w:spacing w:val="31"/>
          <w:sz w:val="16"/>
          <w:szCs w:val="16"/>
        </w:rPr>
        <w:t>，学</w:t>
      </w:r>
      <w:r>
        <w:rPr>
          <w:rFonts w:ascii="微软雅黑" w:hAnsi="微软雅黑" w:eastAsia="微软雅黑" w:cs="微软雅黑"/>
          <w:spacing w:val="-16"/>
          <w:sz w:val="16"/>
          <w:szCs w:val="16"/>
        </w:rPr>
        <w:t xml:space="preserve"> </w:t>
      </w:r>
      <w:r>
        <w:rPr>
          <w:rFonts w:ascii="微软雅黑" w:hAnsi="微软雅黑" w:eastAsia="微软雅黑" w:cs="微软雅黑"/>
          <w:spacing w:val="31"/>
          <w:sz w:val="16"/>
          <w:szCs w:val="16"/>
        </w:rPr>
        <w:t>生</w:t>
      </w:r>
      <w:r>
        <w:rPr>
          <w:rFonts w:ascii="微软雅黑" w:hAnsi="微软雅黑" w:eastAsia="微软雅黑" w:cs="微软雅黑"/>
          <w:spacing w:val="-19"/>
          <w:sz w:val="16"/>
          <w:szCs w:val="16"/>
        </w:rPr>
        <w:t xml:space="preserve"> </w:t>
      </w:r>
      <w:r>
        <w:rPr>
          <w:rFonts w:ascii="微软雅黑" w:hAnsi="微软雅黑" w:eastAsia="微软雅黑" w:cs="微软雅黑"/>
          <w:spacing w:val="31"/>
          <w:sz w:val="16"/>
          <w:szCs w:val="16"/>
        </w:rPr>
        <w:t>作</w:t>
      </w:r>
      <w:r>
        <w:rPr>
          <w:rFonts w:ascii="微软雅黑" w:hAnsi="微软雅黑" w:eastAsia="微软雅黑" w:cs="微软雅黑"/>
          <w:spacing w:val="-13"/>
          <w:sz w:val="16"/>
          <w:szCs w:val="16"/>
        </w:rPr>
        <w:t xml:space="preserve"> </w:t>
      </w:r>
      <w:r>
        <w:rPr>
          <w:rFonts w:ascii="微软雅黑" w:hAnsi="微软雅黑" w:eastAsia="微软雅黑" w:cs="微软雅黑"/>
          <w:spacing w:val="31"/>
          <w:sz w:val="16"/>
          <w:szCs w:val="16"/>
        </w:rPr>
        <w:t>为</w:t>
      </w:r>
      <w:r>
        <w:rPr>
          <w:rFonts w:ascii="微软雅黑" w:hAnsi="微软雅黑" w:eastAsia="微软雅黑" w:cs="微软雅黑"/>
          <w:spacing w:val="-15"/>
          <w:sz w:val="16"/>
          <w:szCs w:val="16"/>
        </w:rPr>
        <w:t xml:space="preserve"> </w:t>
      </w:r>
      <w:r>
        <w:rPr>
          <w:rFonts w:ascii="微软雅黑" w:hAnsi="微软雅黑" w:eastAsia="微软雅黑" w:cs="微软雅黑"/>
          <w:spacing w:val="31"/>
          <w:sz w:val="16"/>
          <w:szCs w:val="16"/>
        </w:rPr>
        <w:t>高</w:t>
      </w:r>
      <w:r>
        <w:rPr>
          <w:rFonts w:ascii="微软雅黑" w:hAnsi="微软雅黑" w:eastAsia="微软雅黑" w:cs="微软雅黑"/>
          <w:spacing w:val="-17"/>
          <w:sz w:val="16"/>
          <w:szCs w:val="16"/>
        </w:rPr>
        <w:t xml:space="preserve"> </w:t>
      </w:r>
      <w:r>
        <w:rPr>
          <w:rFonts w:ascii="微软雅黑" w:hAnsi="微软雅黑" w:eastAsia="微软雅黑" w:cs="微软雅黑"/>
          <w:spacing w:val="31"/>
          <w:sz w:val="16"/>
          <w:szCs w:val="16"/>
        </w:rPr>
        <w:t>校</w:t>
      </w:r>
      <w:r>
        <w:rPr>
          <w:rFonts w:ascii="微软雅黑" w:hAnsi="微软雅黑" w:eastAsia="微软雅黑" w:cs="微软雅黑"/>
          <w:spacing w:val="-19"/>
          <w:sz w:val="16"/>
          <w:szCs w:val="16"/>
        </w:rPr>
        <w:t xml:space="preserve"> </w:t>
      </w:r>
      <w:r>
        <w:rPr>
          <w:rFonts w:ascii="微软雅黑" w:hAnsi="微软雅黑" w:eastAsia="微软雅黑" w:cs="微软雅黑"/>
          <w:spacing w:val="31"/>
          <w:sz w:val="16"/>
          <w:szCs w:val="16"/>
        </w:rPr>
        <w:t>人</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才培养的主体</w:t>
      </w:r>
      <w:r>
        <w:rPr>
          <w:rFonts w:ascii="微软雅黑" w:hAnsi="微软雅黑" w:eastAsia="微软雅黑" w:cs="微软雅黑"/>
          <w:spacing w:val="-24"/>
          <w:sz w:val="16"/>
          <w:szCs w:val="16"/>
        </w:rPr>
        <w:t xml:space="preserve"> </w:t>
      </w:r>
      <w:r>
        <w:rPr>
          <w:rFonts w:ascii="微软雅黑" w:hAnsi="微软雅黑" w:eastAsia="微软雅黑" w:cs="微软雅黑"/>
          <w:spacing w:val="36"/>
          <w:sz w:val="16"/>
          <w:szCs w:val="16"/>
        </w:rPr>
        <w:t>，既没有很好地</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形</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成</w:t>
      </w:r>
      <w:r>
        <w:rPr>
          <w:rFonts w:ascii="微软雅黑" w:hAnsi="微软雅黑" w:eastAsia="微软雅黑" w:cs="微软雅黑"/>
          <w:spacing w:val="-13"/>
          <w:sz w:val="16"/>
          <w:szCs w:val="16"/>
        </w:rPr>
        <w:t xml:space="preserve"> </w:t>
      </w:r>
      <w:r>
        <w:rPr>
          <w:rFonts w:ascii="微软雅黑" w:hAnsi="微软雅黑" w:eastAsia="微软雅黑" w:cs="微软雅黑"/>
          <w:spacing w:val="36"/>
          <w:sz w:val="16"/>
          <w:szCs w:val="16"/>
        </w:rPr>
        <w:t>与</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学</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校</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一</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致</w:t>
      </w:r>
      <w:r>
        <w:rPr>
          <w:rFonts w:ascii="微软雅黑" w:hAnsi="微软雅黑" w:eastAsia="微软雅黑" w:cs="微软雅黑"/>
          <w:spacing w:val="-2"/>
          <w:sz w:val="16"/>
          <w:szCs w:val="16"/>
        </w:rPr>
        <w:t xml:space="preserve"> </w:t>
      </w:r>
      <w:r>
        <w:rPr>
          <w:rFonts w:ascii="微软雅黑" w:hAnsi="微软雅黑" w:eastAsia="微软雅黑" w:cs="微软雅黑"/>
          <w:spacing w:val="36"/>
          <w:sz w:val="16"/>
          <w:szCs w:val="16"/>
        </w:rPr>
        <w:t>的</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质</w:t>
      </w:r>
      <w:r>
        <w:rPr>
          <w:rFonts w:ascii="微软雅黑" w:hAnsi="微软雅黑" w:eastAsia="微软雅黑" w:cs="微软雅黑"/>
          <w:sz w:val="16"/>
          <w:szCs w:val="16"/>
        </w:rPr>
        <w:t xml:space="preserve">  </w:t>
      </w:r>
      <w:r>
        <w:rPr>
          <w:rFonts w:ascii="微软雅黑" w:hAnsi="微软雅黑" w:eastAsia="微软雅黑" w:cs="微软雅黑"/>
          <w:spacing w:val="33"/>
          <w:sz w:val="16"/>
          <w:szCs w:val="16"/>
        </w:rPr>
        <w:t>量承诺</w:t>
      </w:r>
      <w:r>
        <w:rPr>
          <w:rFonts w:ascii="微软雅黑" w:hAnsi="微软雅黑" w:eastAsia="微软雅黑" w:cs="微软雅黑"/>
          <w:spacing w:val="-11"/>
          <w:sz w:val="16"/>
          <w:szCs w:val="16"/>
        </w:rPr>
        <w:t xml:space="preserve"> </w:t>
      </w:r>
      <w:r>
        <w:rPr>
          <w:rFonts w:ascii="微软雅黑" w:hAnsi="微软雅黑" w:eastAsia="微软雅黑" w:cs="微软雅黑"/>
          <w:spacing w:val="33"/>
          <w:sz w:val="16"/>
          <w:szCs w:val="16"/>
        </w:rPr>
        <w:t>，也未真正地参与到质量管理中来</w:t>
      </w:r>
      <w:r>
        <w:rPr>
          <w:rFonts w:ascii="微软雅黑" w:hAnsi="微软雅黑" w:eastAsia="微软雅黑" w:cs="微软雅黑"/>
          <w:spacing w:val="-5"/>
          <w:sz w:val="16"/>
          <w:szCs w:val="16"/>
        </w:rPr>
        <w:t xml:space="preserve"> </w:t>
      </w:r>
      <w:r>
        <w:rPr>
          <w:rFonts w:ascii="微软雅黑" w:hAnsi="微软雅黑" w:eastAsia="微软雅黑" w:cs="微软雅黑"/>
          <w:spacing w:val="33"/>
          <w:sz w:val="16"/>
          <w:szCs w:val="16"/>
        </w:rPr>
        <w:t>。 因此</w:t>
      </w:r>
      <w:r>
        <w:rPr>
          <w:rFonts w:ascii="微软雅黑" w:hAnsi="微软雅黑" w:eastAsia="微软雅黑" w:cs="微软雅黑"/>
          <w:spacing w:val="-24"/>
          <w:sz w:val="16"/>
          <w:szCs w:val="16"/>
        </w:rPr>
        <w:t xml:space="preserve"> </w:t>
      </w:r>
      <w:r>
        <w:rPr>
          <w:rFonts w:ascii="微软雅黑" w:hAnsi="微软雅黑" w:eastAsia="微软雅黑" w:cs="微软雅黑"/>
          <w:spacing w:val="33"/>
          <w:sz w:val="16"/>
          <w:szCs w:val="16"/>
        </w:rPr>
        <w:t>，如</w:t>
      </w:r>
      <w:r>
        <w:rPr>
          <w:rFonts w:ascii="微软雅黑" w:hAnsi="微软雅黑" w:eastAsia="微软雅黑" w:cs="微软雅黑"/>
          <w:sz w:val="16"/>
          <w:szCs w:val="16"/>
        </w:rPr>
        <w:t xml:space="preserve">  </w:t>
      </w:r>
      <w:r>
        <w:rPr>
          <w:rFonts w:ascii="微软雅黑" w:hAnsi="微软雅黑" w:eastAsia="微软雅黑" w:cs="微软雅黑"/>
          <w:spacing w:val="10"/>
          <w:w w:val="125"/>
          <w:sz w:val="16"/>
          <w:szCs w:val="16"/>
        </w:rPr>
        <w:t>何在战略实施中让学校各利益相关者主动且有效地</w:t>
      </w:r>
      <w:r>
        <w:rPr>
          <w:rFonts w:ascii="微软雅黑" w:hAnsi="微软雅黑" w:eastAsia="微软雅黑" w:cs="微软雅黑"/>
          <w:sz w:val="16"/>
          <w:szCs w:val="16"/>
        </w:rPr>
        <w:t xml:space="preserve">  </w:t>
      </w:r>
      <w:r>
        <w:rPr>
          <w:rFonts w:ascii="微软雅黑" w:hAnsi="微软雅黑" w:eastAsia="微软雅黑" w:cs="微软雅黑"/>
          <w:spacing w:val="37"/>
          <w:sz w:val="16"/>
          <w:szCs w:val="16"/>
        </w:rPr>
        <w:t>参与质量文化建设</w:t>
      </w:r>
      <w:r>
        <w:rPr>
          <w:rFonts w:ascii="微软雅黑" w:hAnsi="微软雅黑" w:eastAsia="微软雅黑" w:cs="微软雅黑"/>
          <w:spacing w:val="-16"/>
          <w:sz w:val="16"/>
          <w:szCs w:val="16"/>
        </w:rPr>
        <w:t xml:space="preserve"> </w:t>
      </w:r>
      <w:r>
        <w:rPr>
          <w:rFonts w:ascii="微软雅黑" w:hAnsi="微软雅黑" w:eastAsia="微软雅黑" w:cs="微软雅黑"/>
          <w:spacing w:val="37"/>
          <w:sz w:val="16"/>
          <w:szCs w:val="16"/>
        </w:rPr>
        <w:t>，需要学校</w:t>
      </w:r>
      <w:r>
        <w:rPr>
          <w:rFonts w:ascii="微软雅黑" w:hAnsi="微软雅黑" w:eastAsia="微软雅黑" w:cs="微软雅黑"/>
          <w:spacing w:val="-17"/>
          <w:sz w:val="16"/>
          <w:szCs w:val="16"/>
        </w:rPr>
        <w:t xml:space="preserve"> </w:t>
      </w:r>
      <w:r>
        <w:rPr>
          <w:rFonts w:ascii="微软雅黑" w:hAnsi="微软雅黑" w:eastAsia="微软雅黑" w:cs="微软雅黑"/>
          <w:spacing w:val="37"/>
          <w:sz w:val="16"/>
          <w:szCs w:val="16"/>
        </w:rPr>
        <w:t>制</w:t>
      </w:r>
      <w:r>
        <w:rPr>
          <w:rFonts w:ascii="微软雅黑" w:hAnsi="微软雅黑" w:eastAsia="微软雅黑" w:cs="微软雅黑"/>
          <w:spacing w:val="-20"/>
          <w:sz w:val="16"/>
          <w:szCs w:val="16"/>
        </w:rPr>
        <w:t xml:space="preserve"> </w:t>
      </w:r>
      <w:r>
        <w:rPr>
          <w:rFonts w:ascii="微软雅黑" w:hAnsi="微软雅黑" w:eastAsia="微软雅黑" w:cs="微软雅黑"/>
          <w:spacing w:val="37"/>
          <w:sz w:val="16"/>
          <w:szCs w:val="16"/>
        </w:rPr>
        <w:t>定</w:t>
      </w:r>
      <w:r>
        <w:rPr>
          <w:rFonts w:ascii="微软雅黑" w:hAnsi="微软雅黑" w:eastAsia="微软雅黑" w:cs="微软雅黑"/>
          <w:spacing w:val="-19"/>
          <w:sz w:val="16"/>
          <w:szCs w:val="16"/>
        </w:rPr>
        <w:t xml:space="preserve"> </w:t>
      </w:r>
      <w:r>
        <w:rPr>
          <w:rFonts w:ascii="微软雅黑" w:hAnsi="微软雅黑" w:eastAsia="微软雅黑" w:cs="微软雅黑"/>
          <w:spacing w:val="37"/>
          <w:sz w:val="16"/>
          <w:szCs w:val="16"/>
        </w:rPr>
        <w:t>具</w:t>
      </w:r>
      <w:r>
        <w:rPr>
          <w:rFonts w:ascii="微软雅黑" w:hAnsi="微软雅黑" w:eastAsia="微软雅黑" w:cs="微软雅黑"/>
          <w:spacing w:val="-18"/>
          <w:sz w:val="16"/>
          <w:szCs w:val="16"/>
        </w:rPr>
        <w:t xml:space="preserve"> </w:t>
      </w:r>
      <w:r>
        <w:rPr>
          <w:rFonts w:ascii="微软雅黑" w:hAnsi="微软雅黑" w:eastAsia="微软雅黑" w:cs="微软雅黑"/>
          <w:spacing w:val="37"/>
          <w:sz w:val="16"/>
          <w:szCs w:val="16"/>
        </w:rPr>
        <w:t>体</w:t>
      </w:r>
      <w:r>
        <w:rPr>
          <w:rFonts w:ascii="微软雅黑" w:hAnsi="微软雅黑" w:eastAsia="微软雅黑" w:cs="微软雅黑"/>
          <w:spacing w:val="-16"/>
          <w:sz w:val="16"/>
          <w:szCs w:val="16"/>
        </w:rPr>
        <w:t xml:space="preserve"> </w:t>
      </w:r>
      <w:r>
        <w:rPr>
          <w:rFonts w:ascii="微软雅黑" w:hAnsi="微软雅黑" w:eastAsia="微软雅黑" w:cs="微软雅黑"/>
          <w:spacing w:val="37"/>
          <w:sz w:val="16"/>
          <w:szCs w:val="16"/>
        </w:rPr>
        <w:t>实</w:t>
      </w:r>
      <w:r>
        <w:rPr>
          <w:rFonts w:ascii="微软雅黑" w:hAnsi="微软雅黑" w:eastAsia="微软雅黑" w:cs="微软雅黑"/>
          <w:spacing w:val="-20"/>
          <w:sz w:val="16"/>
          <w:szCs w:val="16"/>
        </w:rPr>
        <w:t xml:space="preserve"> </w:t>
      </w:r>
      <w:r>
        <w:rPr>
          <w:rFonts w:ascii="微软雅黑" w:hAnsi="微软雅黑" w:eastAsia="微软雅黑" w:cs="微软雅黑"/>
          <w:spacing w:val="37"/>
          <w:sz w:val="16"/>
          <w:szCs w:val="16"/>
        </w:rPr>
        <w:t>施</w:t>
      </w:r>
      <w:r>
        <w:rPr>
          <w:rFonts w:ascii="微软雅黑" w:hAnsi="微软雅黑" w:eastAsia="微软雅黑" w:cs="微软雅黑"/>
          <w:spacing w:val="-21"/>
          <w:sz w:val="16"/>
          <w:szCs w:val="16"/>
        </w:rPr>
        <w:t xml:space="preserve"> </w:t>
      </w:r>
      <w:r>
        <w:rPr>
          <w:rFonts w:ascii="微软雅黑" w:hAnsi="微软雅黑" w:eastAsia="微软雅黑" w:cs="微软雅黑"/>
          <w:spacing w:val="37"/>
          <w:sz w:val="16"/>
          <w:szCs w:val="16"/>
        </w:rPr>
        <w:t>举</w:t>
      </w:r>
      <w:r>
        <w:rPr>
          <w:rFonts w:ascii="微软雅黑" w:hAnsi="微软雅黑" w:eastAsia="微软雅黑" w:cs="微软雅黑"/>
          <w:spacing w:val="-19"/>
          <w:sz w:val="16"/>
          <w:szCs w:val="16"/>
        </w:rPr>
        <w:t xml:space="preserve"> </w:t>
      </w:r>
      <w:r>
        <w:rPr>
          <w:rFonts w:ascii="微软雅黑" w:hAnsi="微软雅黑" w:eastAsia="微软雅黑" w:cs="微软雅黑"/>
          <w:spacing w:val="37"/>
          <w:sz w:val="16"/>
          <w:szCs w:val="16"/>
        </w:rPr>
        <w:t>措</w:t>
      </w:r>
      <w:r>
        <w:rPr>
          <w:rFonts w:ascii="微软雅黑" w:hAnsi="微软雅黑" w:eastAsia="微软雅黑" w:cs="微软雅黑"/>
          <w:spacing w:val="-20"/>
          <w:sz w:val="16"/>
          <w:szCs w:val="16"/>
        </w:rPr>
        <w:t xml:space="preserve"> </w:t>
      </w:r>
      <w:r>
        <w:rPr>
          <w:rFonts w:ascii="微软雅黑" w:hAnsi="微软雅黑" w:eastAsia="微软雅黑" w:cs="微软雅黑"/>
          <w:spacing w:val="37"/>
          <w:sz w:val="16"/>
          <w:szCs w:val="16"/>
        </w:rPr>
        <w:t>并</w:t>
      </w:r>
      <w:r>
        <w:rPr>
          <w:rFonts w:ascii="微软雅黑" w:hAnsi="微软雅黑" w:eastAsia="微软雅黑" w:cs="微软雅黑"/>
          <w:sz w:val="16"/>
          <w:szCs w:val="16"/>
        </w:rPr>
        <w:t xml:space="preserve">  </w:t>
      </w:r>
      <w:r>
        <w:rPr>
          <w:rFonts w:ascii="微软雅黑" w:hAnsi="微软雅黑" w:eastAsia="微软雅黑" w:cs="微软雅黑"/>
          <w:spacing w:val="31"/>
          <w:sz w:val="16"/>
          <w:szCs w:val="16"/>
        </w:rPr>
        <w:t>在制度</w:t>
      </w:r>
      <w:r>
        <w:rPr>
          <w:rFonts w:ascii="微软雅黑" w:hAnsi="微软雅黑" w:eastAsia="微软雅黑" w:cs="微软雅黑"/>
          <w:spacing w:val="-2"/>
          <w:sz w:val="16"/>
          <w:szCs w:val="16"/>
        </w:rPr>
        <w:t xml:space="preserve"> </w:t>
      </w:r>
      <w:r>
        <w:rPr>
          <w:rFonts w:ascii="微软雅黑" w:hAnsi="微软雅黑" w:eastAsia="微软雅黑" w:cs="微软雅黑"/>
          <w:spacing w:val="31"/>
          <w:sz w:val="16"/>
          <w:szCs w:val="16"/>
        </w:rPr>
        <w:t>、资源</w:t>
      </w:r>
      <w:r>
        <w:rPr>
          <w:rFonts w:ascii="微软雅黑" w:hAnsi="微软雅黑" w:eastAsia="微软雅黑" w:cs="微软雅黑"/>
          <w:spacing w:val="-18"/>
          <w:sz w:val="16"/>
          <w:szCs w:val="16"/>
        </w:rPr>
        <w:t xml:space="preserve"> </w:t>
      </w:r>
      <w:r>
        <w:rPr>
          <w:rFonts w:ascii="微软雅黑" w:hAnsi="微软雅黑" w:eastAsia="微软雅黑" w:cs="微软雅黑"/>
          <w:spacing w:val="31"/>
          <w:sz w:val="16"/>
          <w:szCs w:val="16"/>
        </w:rPr>
        <w:t>、绩效等多方面有明确保障</w:t>
      </w:r>
      <w:r>
        <w:rPr>
          <w:rFonts w:ascii="微软雅黑" w:hAnsi="微软雅黑" w:eastAsia="微软雅黑" w:cs="微软雅黑"/>
          <w:spacing w:val="-15"/>
          <w:sz w:val="16"/>
          <w:szCs w:val="16"/>
        </w:rPr>
        <w:t xml:space="preserve"> </w:t>
      </w:r>
      <w:r>
        <w:rPr>
          <w:rFonts w:ascii="微软雅黑" w:hAnsi="微软雅黑" w:eastAsia="微软雅黑" w:cs="微软雅黑"/>
          <w:spacing w:val="31"/>
          <w:sz w:val="16"/>
          <w:szCs w:val="16"/>
        </w:rPr>
        <w:t>。</w:t>
      </w:r>
    </w:p>
    <w:p>
      <w:pPr>
        <w:spacing w:before="59" w:line="239" w:lineRule="auto"/>
        <w:ind w:right="62" w:firstLine="420"/>
        <w:jc w:val="both"/>
        <w:rPr>
          <w:rFonts w:ascii="微软雅黑" w:hAnsi="微软雅黑" w:eastAsia="微软雅黑" w:cs="微软雅黑"/>
          <w:sz w:val="16"/>
          <w:szCs w:val="16"/>
        </w:rPr>
      </w:pPr>
      <w:r>
        <w:rPr>
          <w:rFonts w:ascii="微软雅黑" w:hAnsi="微软雅黑" w:eastAsia="微软雅黑" w:cs="微软雅黑"/>
          <w:spacing w:val="12"/>
          <w:w w:val="122"/>
          <w:sz w:val="16"/>
          <w:szCs w:val="16"/>
        </w:rPr>
        <w:t>伯顿·克拉克(Bur</w:t>
      </w:r>
      <w:r>
        <w:rPr>
          <w:rFonts w:ascii="微软雅黑" w:hAnsi="微软雅黑" w:eastAsia="微软雅黑" w:cs="微软雅黑"/>
          <w:spacing w:val="12"/>
          <w:w w:val="122"/>
          <w:position w:val="-1"/>
          <w:sz w:val="16"/>
          <w:szCs w:val="16"/>
        </w:rPr>
        <w:t>to</w:t>
      </w:r>
      <w:r>
        <w:rPr>
          <w:rFonts w:ascii="微软雅黑" w:hAnsi="微软雅黑" w:eastAsia="微软雅黑" w:cs="微软雅黑"/>
          <w:spacing w:val="12"/>
          <w:w w:val="122"/>
          <w:sz w:val="16"/>
          <w:szCs w:val="16"/>
        </w:rPr>
        <w:t>nClark) 在</w:t>
      </w:r>
      <w:r>
        <w:rPr>
          <w:rFonts w:ascii="微软雅黑" w:hAnsi="微软雅黑" w:eastAsia="微软雅黑" w:cs="微软雅黑"/>
          <w:spacing w:val="-16"/>
          <w:sz w:val="16"/>
          <w:szCs w:val="16"/>
        </w:rPr>
        <w:t xml:space="preserve"> </w:t>
      </w:r>
      <w:r>
        <w:rPr>
          <w:rFonts w:ascii="微软雅黑" w:hAnsi="微软雅黑" w:eastAsia="微软雅黑" w:cs="微软雅黑"/>
          <w:spacing w:val="12"/>
          <w:w w:val="122"/>
          <w:sz w:val="16"/>
          <w:szCs w:val="16"/>
        </w:rPr>
        <w:t>关</w:t>
      </w:r>
      <w:r>
        <w:rPr>
          <w:rFonts w:ascii="微软雅黑" w:hAnsi="微软雅黑" w:eastAsia="微软雅黑" w:cs="微软雅黑"/>
          <w:spacing w:val="-11"/>
          <w:sz w:val="16"/>
          <w:szCs w:val="16"/>
        </w:rPr>
        <w:t xml:space="preserve"> </w:t>
      </w:r>
      <w:r>
        <w:rPr>
          <w:rFonts w:ascii="微软雅黑" w:hAnsi="微软雅黑" w:eastAsia="微软雅黑" w:cs="微软雅黑"/>
          <w:spacing w:val="12"/>
          <w:w w:val="122"/>
          <w:sz w:val="16"/>
          <w:szCs w:val="16"/>
        </w:rPr>
        <w:t>于</w:t>
      </w:r>
      <w:r>
        <w:rPr>
          <w:rFonts w:ascii="微软雅黑" w:hAnsi="微软雅黑" w:eastAsia="微软雅黑" w:cs="微软雅黑"/>
          <w:spacing w:val="-15"/>
          <w:sz w:val="16"/>
          <w:szCs w:val="16"/>
        </w:rPr>
        <w:t xml:space="preserve"> </w:t>
      </w:r>
      <w:r>
        <w:rPr>
          <w:rFonts w:ascii="微软雅黑" w:hAnsi="微软雅黑" w:eastAsia="微软雅黑" w:cs="微软雅黑"/>
          <w:spacing w:val="12"/>
          <w:w w:val="122"/>
          <w:sz w:val="16"/>
          <w:szCs w:val="16"/>
        </w:rPr>
        <w:t>高</w:t>
      </w:r>
      <w:r>
        <w:rPr>
          <w:rFonts w:ascii="微软雅黑" w:hAnsi="微软雅黑" w:eastAsia="微软雅黑" w:cs="微软雅黑"/>
          <w:spacing w:val="-16"/>
          <w:sz w:val="16"/>
          <w:szCs w:val="16"/>
        </w:rPr>
        <w:t xml:space="preserve"> </w:t>
      </w:r>
      <w:r>
        <w:rPr>
          <w:rFonts w:ascii="微软雅黑" w:hAnsi="微软雅黑" w:eastAsia="微软雅黑" w:cs="微软雅黑"/>
          <w:spacing w:val="12"/>
          <w:w w:val="122"/>
          <w:sz w:val="16"/>
          <w:szCs w:val="16"/>
        </w:rPr>
        <w:t>等</w:t>
      </w:r>
      <w:r>
        <w:rPr>
          <w:rFonts w:ascii="微软雅黑" w:hAnsi="微软雅黑" w:eastAsia="微软雅黑" w:cs="微软雅黑"/>
          <w:spacing w:val="-17"/>
          <w:sz w:val="16"/>
          <w:szCs w:val="16"/>
        </w:rPr>
        <w:t xml:space="preserve"> </w:t>
      </w:r>
      <w:r>
        <w:rPr>
          <w:rFonts w:ascii="微软雅黑" w:hAnsi="微软雅黑" w:eastAsia="微软雅黑" w:cs="微软雅黑"/>
          <w:spacing w:val="12"/>
          <w:w w:val="122"/>
          <w:sz w:val="16"/>
          <w:szCs w:val="16"/>
        </w:rPr>
        <w:t>教</w:t>
      </w:r>
      <w:r>
        <w:rPr>
          <w:rFonts w:ascii="微软雅黑" w:hAnsi="微软雅黑" w:eastAsia="微软雅黑" w:cs="微软雅黑"/>
          <w:spacing w:val="-17"/>
          <w:sz w:val="16"/>
          <w:szCs w:val="16"/>
        </w:rPr>
        <w:t xml:space="preserve"> </w:t>
      </w:r>
      <w:r>
        <w:rPr>
          <w:rFonts w:ascii="微软雅黑" w:hAnsi="微软雅黑" w:eastAsia="微软雅黑" w:cs="微软雅黑"/>
          <w:spacing w:val="12"/>
          <w:w w:val="122"/>
          <w:sz w:val="16"/>
          <w:szCs w:val="16"/>
        </w:rPr>
        <w:t>育</w:t>
      </w:r>
      <w:r>
        <w:rPr>
          <w:rFonts w:ascii="微软雅黑" w:hAnsi="微软雅黑" w:eastAsia="微软雅黑" w:cs="微软雅黑"/>
          <w:sz w:val="16"/>
          <w:szCs w:val="16"/>
        </w:rPr>
        <w:t xml:space="preserve"> </w:t>
      </w:r>
      <w:r>
        <w:rPr>
          <w:rFonts w:ascii="微软雅黑" w:hAnsi="微软雅黑" w:eastAsia="微软雅黑" w:cs="微软雅黑"/>
          <w:spacing w:val="10"/>
          <w:w w:val="119"/>
          <w:sz w:val="16"/>
          <w:szCs w:val="16"/>
        </w:rPr>
        <w:t>系统的经典著作中写道：“所有主要的社会实体都具</w:t>
      </w:r>
      <w:r>
        <w:rPr>
          <w:rFonts w:ascii="微软雅黑" w:hAnsi="微软雅黑" w:eastAsia="微软雅黑" w:cs="微软雅黑"/>
          <w:spacing w:val="11"/>
          <w:sz w:val="16"/>
          <w:szCs w:val="16"/>
        </w:rPr>
        <w:t xml:space="preserve"> </w:t>
      </w:r>
      <w:r>
        <w:rPr>
          <w:rFonts w:ascii="微软雅黑" w:hAnsi="微软雅黑" w:eastAsia="微软雅黑" w:cs="微软雅黑"/>
          <w:spacing w:val="33"/>
          <w:sz w:val="16"/>
          <w:szCs w:val="16"/>
        </w:rPr>
        <w:t>有象征性的</w:t>
      </w:r>
      <w:r>
        <w:rPr>
          <w:rFonts w:ascii="微软雅黑" w:hAnsi="微软雅黑" w:eastAsia="微软雅黑" w:cs="微软雅黑"/>
          <w:spacing w:val="-27"/>
          <w:sz w:val="16"/>
          <w:szCs w:val="16"/>
        </w:rPr>
        <w:t xml:space="preserve"> </w:t>
      </w:r>
      <w:r>
        <w:rPr>
          <w:rFonts w:ascii="微软雅黑" w:hAnsi="微软雅黑" w:eastAsia="微软雅黑" w:cs="微软雅黑"/>
          <w:spacing w:val="33"/>
          <w:sz w:val="16"/>
          <w:szCs w:val="16"/>
        </w:rPr>
        <w:t>一</w:t>
      </w:r>
      <w:r>
        <w:rPr>
          <w:rFonts w:ascii="微软雅黑" w:hAnsi="微软雅黑" w:eastAsia="微软雅黑" w:cs="微软雅黑"/>
          <w:spacing w:val="-21"/>
          <w:sz w:val="16"/>
          <w:szCs w:val="16"/>
        </w:rPr>
        <w:t xml:space="preserve"> </w:t>
      </w:r>
      <w:r>
        <w:rPr>
          <w:rFonts w:ascii="微软雅黑" w:hAnsi="微软雅黑" w:eastAsia="微软雅黑" w:cs="微软雅黑"/>
          <w:spacing w:val="33"/>
          <w:sz w:val="16"/>
          <w:szCs w:val="16"/>
        </w:rPr>
        <w:t>面</w:t>
      </w:r>
      <w:r>
        <w:rPr>
          <w:rFonts w:ascii="微软雅黑" w:hAnsi="微软雅黑" w:eastAsia="微软雅黑" w:cs="微软雅黑"/>
          <w:spacing w:val="-24"/>
          <w:sz w:val="16"/>
          <w:szCs w:val="16"/>
        </w:rPr>
        <w:t xml:space="preserve"> </w:t>
      </w:r>
      <w:r>
        <w:rPr>
          <w:rFonts w:ascii="微软雅黑" w:hAnsi="微软雅黑" w:eastAsia="微软雅黑" w:cs="微软雅黑"/>
          <w:spacing w:val="33"/>
          <w:sz w:val="16"/>
          <w:szCs w:val="16"/>
        </w:rPr>
        <w:t>，一</w:t>
      </w:r>
      <w:r>
        <w:rPr>
          <w:rFonts w:ascii="微软雅黑" w:hAnsi="微软雅黑" w:eastAsia="微软雅黑" w:cs="微软雅黑"/>
          <w:spacing w:val="-27"/>
          <w:sz w:val="16"/>
          <w:szCs w:val="16"/>
        </w:rPr>
        <w:t xml:space="preserve"> </w:t>
      </w:r>
      <w:r>
        <w:rPr>
          <w:rFonts w:ascii="微软雅黑" w:hAnsi="微软雅黑" w:eastAsia="微软雅黑" w:cs="微软雅黑"/>
          <w:spacing w:val="33"/>
          <w:sz w:val="16"/>
          <w:szCs w:val="16"/>
        </w:rPr>
        <w:t>种文化以及</w:t>
      </w:r>
      <w:r>
        <w:rPr>
          <w:rFonts w:ascii="微软雅黑" w:hAnsi="微软雅黑" w:eastAsia="微软雅黑" w:cs="微软雅黑"/>
          <w:spacing w:val="-24"/>
          <w:sz w:val="16"/>
          <w:szCs w:val="16"/>
        </w:rPr>
        <w:t xml:space="preserve"> </w:t>
      </w:r>
      <w:r>
        <w:rPr>
          <w:rFonts w:ascii="微软雅黑" w:hAnsi="微软雅黑" w:eastAsia="微软雅黑" w:cs="微软雅黑"/>
          <w:spacing w:val="33"/>
          <w:sz w:val="16"/>
          <w:szCs w:val="16"/>
        </w:rPr>
        <w:t>一</w:t>
      </w:r>
      <w:r>
        <w:rPr>
          <w:rFonts w:ascii="微软雅黑" w:hAnsi="微软雅黑" w:eastAsia="微软雅黑" w:cs="微软雅黑"/>
          <w:spacing w:val="-23"/>
          <w:sz w:val="16"/>
          <w:szCs w:val="16"/>
        </w:rPr>
        <w:t xml:space="preserve"> </w:t>
      </w:r>
      <w:r>
        <w:rPr>
          <w:rFonts w:ascii="微软雅黑" w:hAnsi="微软雅黑" w:eastAsia="微软雅黑" w:cs="微软雅黑"/>
          <w:spacing w:val="33"/>
          <w:sz w:val="16"/>
          <w:szCs w:val="16"/>
        </w:rPr>
        <w:t>种社会结构</w:t>
      </w:r>
      <w:r>
        <w:rPr>
          <w:rFonts w:ascii="微软雅黑" w:hAnsi="微软雅黑" w:eastAsia="微软雅黑" w:cs="微软雅黑"/>
          <w:spacing w:val="-24"/>
          <w:sz w:val="16"/>
          <w:szCs w:val="16"/>
        </w:rPr>
        <w:t xml:space="preserve"> </w:t>
      </w:r>
      <w:r>
        <w:rPr>
          <w:rFonts w:ascii="微软雅黑" w:hAnsi="微软雅黑" w:eastAsia="微软雅黑" w:cs="微软雅黑"/>
          <w:spacing w:val="33"/>
          <w:sz w:val="16"/>
          <w:szCs w:val="16"/>
        </w:rPr>
        <w:t>，</w:t>
      </w:r>
      <w:r>
        <w:rPr>
          <w:rFonts w:ascii="微软雅黑" w:hAnsi="微软雅黑" w:eastAsia="微软雅黑" w:cs="微软雅黑"/>
          <w:spacing w:val="32"/>
          <w:sz w:val="16"/>
          <w:szCs w:val="16"/>
        </w:rPr>
        <w:t>一</w:t>
      </w:r>
      <w:r>
        <w:rPr>
          <w:rFonts w:ascii="微软雅黑" w:hAnsi="微软雅黑" w:eastAsia="微软雅黑" w:cs="微软雅黑"/>
          <w:spacing w:val="-25"/>
          <w:sz w:val="16"/>
          <w:szCs w:val="16"/>
        </w:rPr>
        <w:t xml:space="preserve"> </w:t>
      </w:r>
      <w:r>
        <w:rPr>
          <w:rFonts w:ascii="微软雅黑" w:hAnsi="微软雅黑" w:eastAsia="微软雅黑" w:cs="微软雅黑"/>
          <w:spacing w:val="32"/>
          <w:sz w:val="16"/>
          <w:szCs w:val="16"/>
        </w:rPr>
        <w:t>些</w:t>
      </w:r>
      <w:r>
        <w:rPr>
          <w:rFonts w:ascii="微软雅黑" w:hAnsi="微软雅黑" w:eastAsia="微软雅黑" w:cs="微软雅黑"/>
          <w:sz w:val="16"/>
          <w:szCs w:val="16"/>
        </w:rPr>
        <w:t xml:space="preserve"> </w:t>
      </w:r>
      <w:r>
        <w:rPr>
          <w:rFonts w:ascii="微软雅黑" w:hAnsi="微软雅黑" w:eastAsia="微软雅黑" w:cs="微软雅黑"/>
          <w:spacing w:val="36"/>
          <w:sz w:val="16"/>
          <w:szCs w:val="16"/>
        </w:rPr>
        <w:t>共同的见解和共同的信念</w:t>
      </w:r>
      <w:r>
        <w:rPr>
          <w:rFonts w:ascii="微软雅黑" w:hAnsi="微软雅黑" w:eastAsia="微软雅黑" w:cs="微软雅黑"/>
          <w:spacing w:val="-19"/>
          <w:sz w:val="16"/>
          <w:szCs w:val="16"/>
        </w:rPr>
        <w:t xml:space="preserve"> </w:t>
      </w:r>
      <w:r>
        <w:rPr>
          <w:rFonts w:ascii="微软雅黑" w:hAnsi="微软雅黑" w:eastAsia="微软雅黑" w:cs="微软雅黑"/>
          <w:spacing w:val="36"/>
          <w:sz w:val="16"/>
          <w:szCs w:val="16"/>
        </w:rPr>
        <w:t>，有</w:t>
      </w:r>
      <w:r>
        <w:rPr>
          <w:rFonts w:ascii="微软雅黑" w:hAnsi="微软雅黑" w:eastAsia="微软雅黑" w:cs="微软雅黑"/>
          <w:spacing w:val="-16"/>
          <w:sz w:val="16"/>
          <w:szCs w:val="16"/>
        </w:rPr>
        <w:t xml:space="preserve"> </w:t>
      </w:r>
      <w:r>
        <w:rPr>
          <w:rFonts w:ascii="微软雅黑" w:hAnsi="微软雅黑" w:eastAsia="微软雅黑" w:cs="微软雅黑"/>
          <w:spacing w:val="36"/>
          <w:sz w:val="16"/>
          <w:szCs w:val="16"/>
        </w:rPr>
        <w:t>助</w:t>
      </w:r>
      <w:r>
        <w:rPr>
          <w:rFonts w:ascii="微软雅黑" w:hAnsi="微软雅黑" w:eastAsia="微软雅黑" w:cs="微软雅黑"/>
          <w:spacing w:val="-11"/>
          <w:sz w:val="16"/>
          <w:szCs w:val="16"/>
        </w:rPr>
        <w:t xml:space="preserve"> </w:t>
      </w:r>
      <w:r>
        <w:rPr>
          <w:rFonts w:ascii="微软雅黑" w:hAnsi="微软雅黑" w:eastAsia="微软雅黑" w:cs="微软雅黑"/>
          <w:spacing w:val="36"/>
          <w:sz w:val="16"/>
          <w:szCs w:val="16"/>
        </w:rPr>
        <w:t>于</w:t>
      </w:r>
      <w:r>
        <w:rPr>
          <w:rFonts w:ascii="微软雅黑" w:hAnsi="微软雅黑" w:eastAsia="微软雅黑" w:cs="微软雅黑"/>
          <w:spacing w:val="-14"/>
          <w:sz w:val="16"/>
          <w:szCs w:val="16"/>
        </w:rPr>
        <w:t xml:space="preserve"> </w:t>
      </w:r>
      <w:r>
        <w:rPr>
          <w:rFonts w:ascii="微软雅黑" w:hAnsi="微软雅黑" w:eastAsia="微软雅黑" w:cs="微软雅黑"/>
          <w:spacing w:val="36"/>
          <w:sz w:val="16"/>
          <w:szCs w:val="16"/>
        </w:rPr>
        <w:t>为</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参</w:t>
      </w:r>
      <w:r>
        <w:rPr>
          <w:rFonts w:ascii="微软雅黑" w:hAnsi="微软雅黑" w:eastAsia="微软雅黑" w:cs="微软雅黑"/>
          <w:spacing w:val="-13"/>
          <w:sz w:val="16"/>
          <w:szCs w:val="16"/>
        </w:rPr>
        <w:t xml:space="preserve"> </w:t>
      </w:r>
      <w:r>
        <w:rPr>
          <w:rFonts w:ascii="微软雅黑" w:hAnsi="微软雅黑" w:eastAsia="微软雅黑" w:cs="微软雅黑"/>
          <w:spacing w:val="36"/>
          <w:sz w:val="16"/>
          <w:szCs w:val="16"/>
        </w:rPr>
        <w:t>与</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者</w:t>
      </w:r>
      <w:r>
        <w:rPr>
          <w:rFonts w:ascii="微软雅黑" w:hAnsi="微软雅黑" w:eastAsia="微软雅黑" w:cs="微软雅黑"/>
          <w:spacing w:val="-20"/>
          <w:sz w:val="16"/>
          <w:szCs w:val="16"/>
        </w:rPr>
        <w:t xml:space="preserve"> </w:t>
      </w:r>
      <w:r>
        <w:rPr>
          <w:rFonts w:ascii="微软雅黑" w:hAnsi="微软雅黑" w:eastAsia="微软雅黑" w:cs="微软雅黑"/>
          <w:spacing w:val="36"/>
          <w:sz w:val="16"/>
          <w:szCs w:val="16"/>
        </w:rPr>
        <w:t>定</w:t>
      </w:r>
      <w:r>
        <w:rPr>
          <w:rFonts w:ascii="微软雅黑" w:hAnsi="微软雅黑" w:eastAsia="微软雅黑" w:cs="微软雅黑"/>
          <w:spacing w:val="-17"/>
          <w:sz w:val="16"/>
          <w:szCs w:val="16"/>
        </w:rPr>
        <w:t xml:space="preserve"> </w:t>
      </w:r>
      <w:r>
        <w:rPr>
          <w:rFonts w:ascii="微软雅黑" w:hAnsi="微软雅黑" w:eastAsia="微软雅黑" w:cs="微软雅黑"/>
          <w:spacing w:val="36"/>
          <w:sz w:val="16"/>
          <w:szCs w:val="16"/>
        </w:rPr>
        <w:t>义</w:t>
      </w:r>
      <w:r>
        <w:rPr>
          <w:rFonts w:ascii="微软雅黑" w:hAnsi="微软雅黑" w:eastAsia="微软雅黑" w:cs="微软雅黑"/>
          <w:spacing w:val="-18"/>
          <w:sz w:val="16"/>
          <w:szCs w:val="16"/>
        </w:rPr>
        <w:t xml:space="preserve"> </w:t>
      </w:r>
      <w:r>
        <w:rPr>
          <w:rFonts w:ascii="微软雅黑" w:hAnsi="微软雅黑" w:eastAsia="微软雅黑" w:cs="微软雅黑"/>
          <w:spacing w:val="36"/>
          <w:sz w:val="16"/>
          <w:szCs w:val="16"/>
        </w:rPr>
        <w:t>他</w:t>
      </w:r>
      <w:r>
        <w:rPr>
          <w:rFonts w:ascii="微软雅黑" w:hAnsi="微软雅黑" w:eastAsia="微软雅黑" w:cs="微软雅黑"/>
          <w:sz w:val="16"/>
          <w:szCs w:val="16"/>
        </w:rPr>
        <w:t xml:space="preserve"> </w:t>
      </w:r>
      <w:r>
        <w:rPr>
          <w:rFonts w:ascii="微软雅黑" w:hAnsi="微软雅黑" w:eastAsia="微软雅黑" w:cs="微软雅黑"/>
          <w:spacing w:val="20"/>
          <w:sz w:val="16"/>
          <w:szCs w:val="16"/>
        </w:rPr>
        <w:t>们的身份</w:t>
      </w:r>
      <w:r>
        <w:rPr>
          <w:rFonts w:ascii="微软雅黑" w:hAnsi="微软雅黑" w:eastAsia="微软雅黑" w:cs="微软雅黑"/>
          <w:spacing w:val="-7"/>
          <w:sz w:val="16"/>
          <w:szCs w:val="16"/>
        </w:rPr>
        <w:t xml:space="preserve"> </w:t>
      </w:r>
      <w:r>
        <w:rPr>
          <w:rFonts w:ascii="微软雅黑" w:hAnsi="微软雅黑" w:eastAsia="微软雅黑" w:cs="微软雅黑"/>
          <w:spacing w:val="20"/>
          <w:sz w:val="16"/>
          <w:szCs w:val="16"/>
        </w:rPr>
        <w:t>。”质量文化</w:t>
      </w:r>
      <w:r>
        <w:rPr>
          <w:rFonts w:ascii="微软雅黑" w:hAnsi="微软雅黑" w:eastAsia="微软雅黑" w:cs="微软雅黑"/>
          <w:spacing w:val="-15"/>
          <w:sz w:val="16"/>
          <w:szCs w:val="16"/>
        </w:rPr>
        <w:t xml:space="preserve"> </w:t>
      </w:r>
      <w:r>
        <w:rPr>
          <w:rFonts w:ascii="微软雅黑" w:hAnsi="微软雅黑" w:eastAsia="微软雅黑" w:cs="微软雅黑"/>
          <w:spacing w:val="20"/>
          <w:sz w:val="16"/>
          <w:szCs w:val="16"/>
        </w:rPr>
        <w:t>可 以</w:t>
      </w:r>
      <w:r>
        <w:rPr>
          <w:rFonts w:ascii="微软雅黑" w:hAnsi="微软雅黑" w:eastAsia="微软雅黑" w:cs="微软雅黑"/>
          <w:spacing w:val="-19"/>
          <w:sz w:val="16"/>
          <w:szCs w:val="16"/>
        </w:rPr>
        <w:t xml:space="preserve"> </w:t>
      </w:r>
      <w:r>
        <w:rPr>
          <w:rFonts w:ascii="微软雅黑" w:hAnsi="微软雅黑" w:eastAsia="微软雅黑" w:cs="微软雅黑"/>
          <w:spacing w:val="20"/>
          <w:sz w:val="16"/>
          <w:szCs w:val="16"/>
        </w:rPr>
        <w:t>成</w:t>
      </w:r>
      <w:r>
        <w:rPr>
          <w:rFonts w:ascii="微软雅黑" w:hAnsi="微软雅黑" w:eastAsia="微软雅黑" w:cs="微软雅黑"/>
          <w:spacing w:val="-13"/>
          <w:sz w:val="16"/>
          <w:szCs w:val="16"/>
        </w:rPr>
        <w:t xml:space="preserve"> </w:t>
      </w:r>
      <w:r>
        <w:rPr>
          <w:rFonts w:ascii="微软雅黑" w:hAnsi="微软雅黑" w:eastAsia="微软雅黑" w:cs="微软雅黑"/>
          <w:spacing w:val="20"/>
          <w:sz w:val="16"/>
          <w:szCs w:val="16"/>
        </w:rPr>
        <w:t>为</w:t>
      </w:r>
      <w:r>
        <w:rPr>
          <w:rFonts w:ascii="微软雅黑" w:hAnsi="微软雅黑" w:eastAsia="微软雅黑" w:cs="微软雅黑"/>
          <w:spacing w:val="-16"/>
          <w:sz w:val="16"/>
          <w:szCs w:val="16"/>
        </w:rPr>
        <w:t xml:space="preserve"> </w:t>
      </w:r>
      <w:r>
        <w:rPr>
          <w:rFonts w:ascii="微软雅黑" w:hAnsi="微软雅黑" w:eastAsia="微软雅黑" w:cs="微软雅黑"/>
          <w:spacing w:val="20"/>
          <w:sz w:val="16"/>
          <w:szCs w:val="16"/>
        </w:rPr>
        <w:t>变</w:t>
      </w:r>
      <w:r>
        <w:rPr>
          <w:rFonts w:ascii="微软雅黑" w:hAnsi="微软雅黑" w:eastAsia="微软雅黑" w:cs="微软雅黑"/>
          <w:spacing w:val="-18"/>
          <w:sz w:val="16"/>
          <w:szCs w:val="16"/>
        </w:rPr>
        <w:t xml:space="preserve"> </w:t>
      </w:r>
      <w:r>
        <w:rPr>
          <w:rFonts w:ascii="微软雅黑" w:hAnsi="微软雅黑" w:eastAsia="微软雅黑" w:cs="微软雅黑"/>
          <w:spacing w:val="20"/>
          <w:sz w:val="16"/>
          <w:szCs w:val="16"/>
        </w:rPr>
        <w:t>革 的</w:t>
      </w:r>
      <w:r>
        <w:rPr>
          <w:rFonts w:ascii="微软雅黑" w:hAnsi="微软雅黑" w:eastAsia="微软雅黑" w:cs="微软雅黑"/>
          <w:spacing w:val="-16"/>
          <w:sz w:val="16"/>
          <w:szCs w:val="16"/>
        </w:rPr>
        <w:t xml:space="preserve"> </w:t>
      </w:r>
      <w:r>
        <w:rPr>
          <w:rFonts w:ascii="微软雅黑" w:hAnsi="微软雅黑" w:eastAsia="微软雅黑" w:cs="微软雅黑"/>
          <w:spacing w:val="20"/>
          <w:sz w:val="16"/>
          <w:szCs w:val="16"/>
        </w:rPr>
        <w:t>动</w:t>
      </w:r>
      <w:r>
        <w:rPr>
          <w:rFonts w:ascii="微软雅黑" w:hAnsi="微软雅黑" w:eastAsia="微软雅黑" w:cs="微软雅黑"/>
          <w:spacing w:val="-18"/>
          <w:sz w:val="16"/>
          <w:szCs w:val="16"/>
        </w:rPr>
        <w:t xml:space="preserve"> </w:t>
      </w:r>
      <w:r>
        <w:rPr>
          <w:rFonts w:ascii="微软雅黑" w:hAnsi="微软雅黑" w:eastAsia="微软雅黑" w:cs="微软雅黑"/>
          <w:spacing w:val="20"/>
          <w:sz w:val="16"/>
          <w:szCs w:val="16"/>
        </w:rPr>
        <w:t>力</w:t>
      </w:r>
      <w:r>
        <w:rPr>
          <w:rFonts w:ascii="微软雅黑" w:hAnsi="微软雅黑" w:eastAsia="微软雅黑" w:cs="微软雅黑"/>
          <w:spacing w:val="-24"/>
          <w:sz w:val="16"/>
          <w:szCs w:val="16"/>
        </w:rPr>
        <w:t xml:space="preserve"> </w:t>
      </w:r>
      <w:r>
        <w:rPr>
          <w:rFonts w:ascii="微软雅黑" w:hAnsi="微软雅黑" w:eastAsia="微软雅黑" w:cs="微软雅黑"/>
          <w:spacing w:val="20"/>
          <w:sz w:val="16"/>
          <w:szCs w:val="16"/>
        </w:rPr>
        <w:t>，也</w:t>
      </w:r>
      <w:r>
        <w:rPr>
          <w:rFonts w:ascii="微软雅黑" w:hAnsi="微软雅黑" w:eastAsia="微软雅黑" w:cs="微软雅黑"/>
          <w:spacing w:val="-15"/>
          <w:sz w:val="16"/>
          <w:szCs w:val="16"/>
        </w:rPr>
        <w:t xml:space="preserve"> </w:t>
      </w:r>
      <w:r>
        <w:rPr>
          <w:rFonts w:ascii="微软雅黑" w:hAnsi="微软雅黑" w:eastAsia="微软雅黑" w:cs="微软雅黑"/>
          <w:spacing w:val="20"/>
          <w:sz w:val="16"/>
          <w:szCs w:val="16"/>
        </w:rPr>
        <w:t>可</w:t>
      </w:r>
      <w:r>
        <w:rPr>
          <w:rFonts w:ascii="微软雅黑" w:hAnsi="微软雅黑" w:eastAsia="微软雅黑" w:cs="微软雅黑"/>
          <w:spacing w:val="-14"/>
          <w:sz w:val="16"/>
          <w:szCs w:val="16"/>
        </w:rPr>
        <w:t xml:space="preserve"> </w:t>
      </w:r>
      <w:r>
        <w:rPr>
          <w:rFonts w:ascii="微软雅黑" w:hAnsi="微软雅黑" w:eastAsia="微软雅黑" w:cs="微软雅黑"/>
          <w:spacing w:val="20"/>
          <w:sz w:val="16"/>
          <w:szCs w:val="16"/>
        </w:rPr>
        <w:t>能</w:t>
      </w:r>
      <w:r>
        <w:rPr>
          <w:rFonts w:ascii="微软雅黑" w:hAnsi="微软雅黑" w:eastAsia="微软雅黑" w:cs="微软雅黑"/>
          <w:sz w:val="16"/>
          <w:szCs w:val="16"/>
        </w:rPr>
        <w:t xml:space="preserve"> </w:t>
      </w:r>
      <w:r>
        <w:rPr>
          <w:rFonts w:ascii="微软雅黑" w:hAnsi="微软雅黑" w:eastAsia="微软雅黑" w:cs="微软雅黑"/>
          <w:spacing w:val="8"/>
          <w:w w:val="124"/>
          <w:sz w:val="16"/>
          <w:szCs w:val="16"/>
        </w:rPr>
        <w:t>成为变革的障碍</w:t>
      </w:r>
      <w:r>
        <w:rPr>
          <w:rFonts w:ascii="微软雅黑" w:hAnsi="微软雅黑" w:eastAsia="微软雅黑" w:cs="微软雅黑"/>
          <w:spacing w:val="-4"/>
          <w:sz w:val="16"/>
          <w:szCs w:val="16"/>
        </w:rPr>
        <w:t xml:space="preserve"> </w:t>
      </w:r>
      <w:r>
        <w:rPr>
          <w:rFonts w:ascii="微软雅黑" w:hAnsi="微软雅黑" w:eastAsia="微软雅黑" w:cs="微软雅黑"/>
          <w:spacing w:val="8"/>
          <w:w w:val="124"/>
          <w:sz w:val="16"/>
          <w:szCs w:val="16"/>
        </w:rPr>
        <w:t>。</w:t>
      </w:r>
      <w:r>
        <w:rPr>
          <w:rFonts w:ascii="微软雅黑" w:hAnsi="微软雅黑" w:eastAsia="微软雅黑" w:cs="微软雅黑"/>
          <w:spacing w:val="-11"/>
          <w:sz w:val="16"/>
          <w:szCs w:val="16"/>
        </w:rPr>
        <w:t xml:space="preserve"> </w:t>
      </w:r>
      <w:r>
        <w:rPr>
          <w:rFonts w:ascii="微软雅黑" w:hAnsi="微软雅黑" w:eastAsia="微软雅黑" w:cs="微软雅黑"/>
          <w:spacing w:val="8"/>
          <w:w w:val="124"/>
          <w:sz w:val="16"/>
          <w:szCs w:val="16"/>
        </w:rPr>
        <w:t>如何构建属于高校自身的质量文</w:t>
      </w:r>
      <w:r>
        <w:rPr>
          <w:rFonts w:ascii="微软雅黑" w:hAnsi="微软雅黑" w:eastAsia="微软雅黑" w:cs="微软雅黑"/>
          <w:sz w:val="16"/>
          <w:szCs w:val="16"/>
        </w:rPr>
        <w:t xml:space="preserve"> </w:t>
      </w:r>
      <w:r>
        <w:rPr>
          <w:rFonts w:ascii="微软雅黑" w:hAnsi="微软雅黑" w:eastAsia="微软雅黑" w:cs="微软雅黑"/>
          <w:spacing w:val="8"/>
          <w:w w:val="125"/>
          <w:sz w:val="16"/>
          <w:szCs w:val="16"/>
        </w:rPr>
        <w:t>化并使其促进高校开展教育教学改革还是</w:t>
      </w:r>
      <w:r>
        <w:rPr>
          <w:rFonts w:ascii="微软雅黑" w:hAnsi="微软雅黑" w:eastAsia="微软雅黑" w:cs="微软雅黑"/>
          <w:spacing w:val="-23"/>
          <w:sz w:val="16"/>
          <w:szCs w:val="16"/>
        </w:rPr>
        <w:t xml:space="preserve"> </w:t>
      </w:r>
      <w:r>
        <w:rPr>
          <w:rFonts w:ascii="微软雅黑" w:hAnsi="微软雅黑" w:eastAsia="微软雅黑" w:cs="微软雅黑"/>
          <w:spacing w:val="8"/>
          <w:w w:val="125"/>
          <w:sz w:val="16"/>
          <w:szCs w:val="16"/>
        </w:rPr>
        <w:t>一</w:t>
      </w:r>
      <w:r>
        <w:rPr>
          <w:rFonts w:ascii="微软雅黑" w:hAnsi="微软雅黑" w:eastAsia="微软雅黑" w:cs="微软雅黑"/>
          <w:spacing w:val="-25"/>
          <w:sz w:val="16"/>
          <w:szCs w:val="16"/>
        </w:rPr>
        <w:t xml:space="preserve"> </w:t>
      </w:r>
      <w:r>
        <w:rPr>
          <w:rFonts w:ascii="微软雅黑" w:hAnsi="微软雅黑" w:eastAsia="微软雅黑" w:cs="微软雅黑"/>
          <w:spacing w:val="8"/>
          <w:w w:val="125"/>
          <w:sz w:val="16"/>
          <w:szCs w:val="16"/>
        </w:rPr>
        <w:t>项</w:t>
      </w:r>
      <w:r>
        <w:rPr>
          <w:rFonts w:ascii="微软雅黑" w:hAnsi="微软雅黑" w:eastAsia="微软雅黑" w:cs="微软雅黑"/>
          <w:spacing w:val="7"/>
          <w:w w:val="125"/>
          <w:sz w:val="16"/>
          <w:szCs w:val="16"/>
        </w:rPr>
        <w:t>需要</w:t>
      </w:r>
      <w:r>
        <w:rPr>
          <w:rFonts w:ascii="微软雅黑" w:hAnsi="微软雅黑" w:eastAsia="微软雅黑" w:cs="微软雅黑"/>
          <w:sz w:val="16"/>
          <w:szCs w:val="16"/>
        </w:rPr>
        <w:t xml:space="preserve"> </w:t>
      </w:r>
      <w:r>
        <w:rPr>
          <w:rFonts w:ascii="微软雅黑" w:hAnsi="微软雅黑" w:eastAsia="微软雅黑" w:cs="微软雅黑"/>
          <w:spacing w:val="8"/>
          <w:w w:val="122"/>
          <w:sz w:val="16"/>
          <w:szCs w:val="16"/>
        </w:rPr>
        <w:t>长期探索和坚持的工作</w:t>
      </w:r>
      <w:r>
        <w:rPr>
          <w:rFonts w:ascii="微软雅黑" w:hAnsi="微软雅黑" w:eastAsia="微软雅黑" w:cs="微软雅黑"/>
          <w:spacing w:val="-14"/>
          <w:sz w:val="16"/>
          <w:szCs w:val="16"/>
        </w:rPr>
        <w:t xml:space="preserve"> </w:t>
      </w:r>
      <w:r>
        <w:rPr>
          <w:rFonts w:ascii="微软雅黑" w:hAnsi="微软雅黑" w:eastAsia="微软雅黑" w:cs="微软雅黑"/>
          <w:spacing w:val="8"/>
          <w:w w:val="122"/>
          <w:sz w:val="16"/>
          <w:szCs w:val="16"/>
        </w:rPr>
        <w:t>。</w:t>
      </w:r>
    </w:p>
    <w:p>
      <w:pPr>
        <w:spacing w:before="65" w:line="193" w:lineRule="auto"/>
        <w:ind w:left="4"/>
        <w:rPr>
          <w:rFonts w:ascii="微软雅黑" w:hAnsi="微软雅黑" w:eastAsia="微软雅黑" w:cs="微软雅黑"/>
          <w:sz w:val="16"/>
          <w:szCs w:val="16"/>
        </w:rPr>
      </w:pPr>
      <w:r>
        <w:rPr>
          <w:rFonts w:ascii="微软雅黑" w:hAnsi="微软雅黑" w:eastAsia="微软雅黑" w:cs="微软雅黑"/>
          <w:spacing w:val="11"/>
          <w:sz w:val="16"/>
          <w:szCs w:val="16"/>
        </w:rPr>
        <w:t>参考文献：</w:t>
      </w:r>
    </w:p>
    <w:p>
      <w:pPr>
        <w:spacing w:before="60" w:line="219" w:lineRule="auto"/>
        <w:ind w:left="266" w:right="62" w:hanging="257"/>
        <w:rPr>
          <w:rFonts w:ascii="微软雅黑" w:hAnsi="微软雅黑" w:eastAsia="微软雅黑" w:cs="微软雅黑"/>
          <w:sz w:val="16"/>
          <w:szCs w:val="16"/>
        </w:rPr>
      </w:pPr>
      <w:r>
        <w:rPr>
          <w:rFonts w:ascii="微软雅黑" w:hAnsi="微软雅黑" w:eastAsia="微软雅黑" w:cs="微软雅黑"/>
          <w:spacing w:val="15"/>
          <w:sz w:val="16"/>
          <w:szCs w:val="16"/>
        </w:rPr>
        <w:t>[1]韩映雄，梁亦菡</w:t>
      </w:r>
      <w:r>
        <w:rPr>
          <w:rFonts w:ascii="微软雅黑" w:hAnsi="微软雅黑" w:eastAsia="微软雅黑" w:cs="微软雅黑"/>
          <w:spacing w:val="15"/>
          <w:position w:val="-2"/>
          <w:sz w:val="16"/>
          <w:szCs w:val="16"/>
        </w:rPr>
        <w:t>．</w:t>
      </w:r>
      <w:r>
        <w:rPr>
          <w:rFonts w:ascii="微软雅黑" w:hAnsi="微软雅黑" w:eastAsia="微软雅黑" w:cs="微软雅黑"/>
          <w:spacing w:val="15"/>
          <w:sz w:val="16"/>
          <w:szCs w:val="16"/>
        </w:rPr>
        <w:t>高等教育质量保障</w:t>
      </w:r>
      <w:r>
        <w:rPr>
          <w:rFonts w:ascii="微软雅黑" w:hAnsi="微软雅黑" w:eastAsia="微软雅黑" w:cs="微软雅黑"/>
          <w:spacing w:val="14"/>
          <w:sz w:val="16"/>
          <w:szCs w:val="16"/>
        </w:rPr>
        <w:t>体系中的质量文化建</w:t>
      </w:r>
      <w:r>
        <w:rPr>
          <w:rFonts w:ascii="微软雅黑" w:hAnsi="微软雅黑" w:eastAsia="微软雅黑" w:cs="微软雅黑"/>
          <w:sz w:val="16"/>
          <w:szCs w:val="16"/>
        </w:rPr>
        <w:t xml:space="preserve"> </w:t>
      </w:r>
      <w:r>
        <w:rPr>
          <w:rFonts w:ascii="微软雅黑" w:hAnsi="微软雅黑" w:eastAsia="微软雅黑" w:cs="微软雅黑"/>
          <w:spacing w:val="6"/>
          <w:sz w:val="16"/>
          <w:szCs w:val="16"/>
        </w:rPr>
        <w:t>设[J]</w:t>
      </w:r>
      <w:r>
        <w:rPr>
          <w:rFonts w:ascii="微软雅黑" w:hAnsi="微软雅黑" w:eastAsia="微软雅黑" w:cs="微软雅黑"/>
          <w:spacing w:val="-10"/>
          <w:sz w:val="16"/>
          <w:szCs w:val="16"/>
        </w:rPr>
        <w:t xml:space="preserve"> </w:t>
      </w:r>
      <w:r>
        <w:rPr>
          <w:rFonts w:ascii="微软雅黑" w:hAnsi="微软雅黑" w:eastAsia="微软雅黑" w:cs="微软雅黑"/>
          <w:spacing w:val="6"/>
          <w:position w:val="-1"/>
          <w:sz w:val="16"/>
          <w:szCs w:val="16"/>
        </w:rPr>
        <w:t>.</w:t>
      </w:r>
      <w:r>
        <w:rPr>
          <w:rFonts w:ascii="微软雅黑" w:hAnsi="微软雅黑" w:eastAsia="微软雅黑" w:cs="微软雅黑"/>
          <w:spacing w:val="40"/>
          <w:w w:val="102"/>
          <w:position w:val="-1"/>
          <w:sz w:val="16"/>
          <w:szCs w:val="16"/>
        </w:rPr>
        <w:t xml:space="preserve"> </w:t>
      </w:r>
      <w:r>
        <w:rPr>
          <w:rFonts w:ascii="微软雅黑" w:hAnsi="微软雅黑" w:eastAsia="微软雅黑" w:cs="微软雅黑"/>
          <w:spacing w:val="6"/>
          <w:sz w:val="16"/>
          <w:szCs w:val="16"/>
        </w:rPr>
        <w:t>中国高等教育评估，2006(4) :28-29 ,</w:t>
      </w:r>
      <w:r>
        <w:rPr>
          <w:rFonts w:ascii="微软雅黑" w:hAnsi="微软雅黑" w:eastAsia="微软雅黑" w:cs="微软雅黑"/>
          <w:spacing w:val="-7"/>
          <w:sz w:val="16"/>
          <w:szCs w:val="16"/>
        </w:rPr>
        <w:t xml:space="preserve"> </w:t>
      </w:r>
      <w:r>
        <w:rPr>
          <w:rFonts w:ascii="微软雅黑" w:hAnsi="微软雅黑" w:eastAsia="微软雅黑" w:cs="微软雅黑"/>
          <w:spacing w:val="6"/>
          <w:position w:val="-1"/>
          <w:sz w:val="16"/>
          <w:szCs w:val="16"/>
        </w:rPr>
        <w:t>38</w:t>
      </w:r>
      <w:r>
        <w:rPr>
          <w:rFonts w:ascii="微软雅黑" w:hAnsi="微软雅黑" w:eastAsia="微软雅黑" w:cs="微软雅黑"/>
          <w:spacing w:val="-22"/>
          <w:position w:val="-1"/>
          <w:sz w:val="16"/>
          <w:szCs w:val="16"/>
        </w:rPr>
        <w:t xml:space="preserve"> </w:t>
      </w:r>
      <w:r>
        <w:rPr>
          <w:rFonts w:ascii="微软雅黑" w:hAnsi="微软雅黑" w:eastAsia="微软雅黑" w:cs="微软雅黑"/>
          <w:spacing w:val="6"/>
          <w:position w:val="-1"/>
          <w:sz w:val="16"/>
          <w:szCs w:val="16"/>
        </w:rPr>
        <w:t>.</w:t>
      </w:r>
    </w:p>
    <w:p>
      <w:pPr>
        <w:spacing w:before="34" w:line="219" w:lineRule="auto"/>
        <w:ind w:left="269" w:right="62" w:hanging="260"/>
        <w:rPr>
          <w:rFonts w:ascii="微软雅黑" w:hAnsi="微软雅黑" w:eastAsia="微软雅黑" w:cs="微软雅黑"/>
          <w:sz w:val="16"/>
          <w:szCs w:val="16"/>
        </w:rPr>
      </w:pPr>
      <w:r>
        <w:rPr>
          <w:rFonts w:ascii="微软雅黑" w:hAnsi="微软雅黑" w:eastAsia="微软雅黑" w:cs="微软雅黑"/>
          <w:spacing w:val="12"/>
          <w:sz w:val="16"/>
          <w:szCs w:val="16"/>
        </w:rPr>
        <w:t>[2]王朝兵，王章豹</w:t>
      </w:r>
      <w:r>
        <w:rPr>
          <w:rFonts w:ascii="微软雅黑" w:hAnsi="微软雅黑" w:eastAsia="微软雅黑" w:cs="微软雅黑"/>
          <w:spacing w:val="12"/>
          <w:position w:val="-2"/>
          <w:sz w:val="16"/>
          <w:szCs w:val="16"/>
        </w:rPr>
        <w:t>．</w:t>
      </w:r>
      <w:r>
        <w:rPr>
          <w:rFonts w:ascii="微软雅黑" w:hAnsi="微软雅黑" w:eastAsia="微软雅黑" w:cs="微软雅黑"/>
          <w:spacing w:val="12"/>
          <w:sz w:val="16"/>
          <w:szCs w:val="16"/>
        </w:rPr>
        <w:t>高校教学质量文化建设初论[J]</w:t>
      </w:r>
      <w:r>
        <w:rPr>
          <w:rFonts w:ascii="微软雅黑" w:hAnsi="微软雅黑" w:eastAsia="微软雅黑" w:cs="微软雅黑"/>
          <w:spacing w:val="-8"/>
          <w:sz w:val="16"/>
          <w:szCs w:val="16"/>
        </w:rPr>
        <w:t xml:space="preserve"> </w:t>
      </w:r>
      <w:r>
        <w:rPr>
          <w:rFonts w:ascii="微软雅黑" w:hAnsi="微软雅黑" w:eastAsia="微软雅黑" w:cs="微软雅黑"/>
          <w:spacing w:val="12"/>
          <w:position w:val="-2"/>
          <w:sz w:val="16"/>
          <w:szCs w:val="16"/>
        </w:rPr>
        <w:t>.</w:t>
      </w:r>
      <w:r>
        <w:rPr>
          <w:rFonts w:ascii="微软雅黑" w:hAnsi="微软雅黑" w:eastAsia="微软雅黑" w:cs="微软雅黑"/>
          <w:spacing w:val="22"/>
          <w:position w:val="-2"/>
          <w:sz w:val="16"/>
          <w:szCs w:val="16"/>
        </w:rPr>
        <w:t xml:space="preserve"> </w:t>
      </w:r>
      <w:r>
        <w:rPr>
          <w:rFonts w:ascii="微软雅黑" w:hAnsi="微软雅黑" w:eastAsia="微软雅黑" w:cs="微软雅黑"/>
          <w:spacing w:val="12"/>
          <w:sz w:val="16"/>
          <w:szCs w:val="16"/>
        </w:rPr>
        <w:t>合</w:t>
      </w:r>
      <w:r>
        <w:rPr>
          <w:rFonts w:ascii="微软雅黑" w:hAnsi="微软雅黑" w:eastAsia="微软雅黑" w:cs="微软雅黑"/>
          <w:spacing w:val="-23"/>
          <w:sz w:val="16"/>
          <w:szCs w:val="16"/>
        </w:rPr>
        <w:t xml:space="preserve"> </w:t>
      </w:r>
      <w:r>
        <w:rPr>
          <w:rFonts w:ascii="微软雅黑" w:hAnsi="微软雅黑" w:eastAsia="微软雅黑" w:cs="微软雅黑"/>
          <w:spacing w:val="12"/>
          <w:sz w:val="16"/>
          <w:szCs w:val="16"/>
        </w:rPr>
        <w:t>肥</w:t>
      </w:r>
      <w:r>
        <w:rPr>
          <w:rFonts w:ascii="微软雅黑" w:hAnsi="微软雅黑" w:eastAsia="微软雅黑" w:cs="微软雅黑"/>
          <w:spacing w:val="-18"/>
          <w:sz w:val="16"/>
          <w:szCs w:val="16"/>
        </w:rPr>
        <w:t xml:space="preserve"> </w:t>
      </w:r>
      <w:r>
        <w:rPr>
          <w:rFonts w:ascii="微软雅黑" w:hAnsi="微软雅黑" w:eastAsia="微软雅黑" w:cs="微软雅黑"/>
          <w:spacing w:val="12"/>
          <w:sz w:val="16"/>
          <w:szCs w:val="16"/>
        </w:rPr>
        <w:t>工</w:t>
      </w:r>
      <w:r>
        <w:rPr>
          <w:rFonts w:ascii="微软雅黑" w:hAnsi="微软雅黑" w:eastAsia="微软雅黑" w:cs="微软雅黑"/>
          <w:sz w:val="16"/>
          <w:szCs w:val="16"/>
        </w:rPr>
        <w:t xml:space="preserve"> </w:t>
      </w:r>
      <w:r>
        <w:rPr>
          <w:rFonts w:ascii="微软雅黑" w:hAnsi="微软雅黑" w:eastAsia="微软雅黑" w:cs="微软雅黑"/>
          <w:spacing w:val="9"/>
          <w:sz w:val="16"/>
          <w:szCs w:val="16"/>
        </w:rPr>
        <w:t>业大学学报（社会科学版</w:t>
      </w:r>
      <w:r>
        <w:rPr>
          <w:rFonts w:ascii="微软雅黑" w:hAnsi="微软雅黑" w:eastAsia="微软雅黑" w:cs="微软雅黑"/>
          <w:spacing w:val="-31"/>
          <w:w w:val="82"/>
          <w:sz w:val="16"/>
          <w:szCs w:val="16"/>
        </w:rPr>
        <w:t>），</w:t>
      </w:r>
      <w:r>
        <w:rPr>
          <w:rFonts w:ascii="微软雅黑" w:hAnsi="微软雅黑" w:eastAsia="微软雅黑" w:cs="微软雅黑"/>
          <w:spacing w:val="9"/>
          <w:sz w:val="16"/>
          <w:szCs w:val="16"/>
        </w:rPr>
        <w:t>2009(5) :81-84</w:t>
      </w:r>
      <w:r>
        <w:rPr>
          <w:rFonts w:ascii="微软雅黑" w:hAnsi="微软雅黑" w:eastAsia="微软雅黑" w:cs="微软雅黑"/>
          <w:spacing w:val="-23"/>
          <w:sz w:val="16"/>
          <w:szCs w:val="16"/>
        </w:rPr>
        <w:t xml:space="preserve"> </w:t>
      </w:r>
      <w:r>
        <w:rPr>
          <w:rFonts w:ascii="微软雅黑" w:hAnsi="微软雅黑" w:eastAsia="微软雅黑" w:cs="微软雅黑"/>
          <w:spacing w:val="9"/>
          <w:position w:val="-1"/>
          <w:sz w:val="16"/>
          <w:szCs w:val="16"/>
        </w:rPr>
        <w:t>.</w:t>
      </w:r>
    </w:p>
    <w:p>
      <w:pPr>
        <w:spacing w:before="34" w:line="219" w:lineRule="auto"/>
        <w:ind w:left="270" w:right="1" w:hanging="261"/>
        <w:rPr>
          <w:rFonts w:ascii="微软雅黑" w:hAnsi="微软雅黑" w:eastAsia="微软雅黑" w:cs="微软雅黑"/>
          <w:sz w:val="16"/>
          <w:szCs w:val="16"/>
        </w:rPr>
      </w:pPr>
      <w:r>
        <w:rPr>
          <w:rFonts w:ascii="微软雅黑" w:hAnsi="微软雅黑" w:eastAsia="微软雅黑" w:cs="微软雅黑"/>
          <w:spacing w:val="1"/>
          <w:sz w:val="16"/>
          <w:szCs w:val="16"/>
        </w:rPr>
        <w:t>[3]王建华</w:t>
      </w:r>
      <w:r>
        <w:rPr>
          <w:rFonts w:ascii="微软雅黑" w:hAnsi="微软雅黑" w:eastAsia="微软雅黑" w:cs="微软雅黑"/>
          <w:spacing w:val="1"/>
          <w:position w:val="-2"/>
          <w:sz w:val="16"/>
          <w:szCs w:val="16"/>
        </w:rPr>
        <w:t>．</w:t>
      </w:r>
      <w:r>
        <w:rPr>
          <w:rFonts w:ascii="微软雅黑" w:hAnsi="微软雅黑" w:eastAsia="微软雅黑" w:cs="微软雅黑"/>
          <w:spacing w:val="1"/>
          <w:sz w:val="16"/>
          <w:szCs w:val="16"/>
        </w:rPr>
        <w:t>高</w:t>
      </w:r>
      <w:r>
        <w:rPr>
          <w:rFonts w:ascii="微软雅黑" w:hAnsi="微软雅黑" w:eastAsia="微软雅黑" w:cs="微软雅黑"/>
          <w:spacing w:val="-6"/>
          <w:sz w:val="16"/>
          <w:szCs w:val="16"/>
        </w:rPr>
        <w:t xml:space="preserve"> </w:t>
      </w:r>
      <w:r>
        <w:rPr>
          <w:rFonts w:ascii="微软雅黑" w:hAnsi="微软雅黑" w:eastAsia="微软雅黑" w:cs="微软雅黑"/>
          <w:spacing w:val="1"/>
          <w:sz w:val="16"/>
          <w:szCs w:val="16"/>
        </w:rPr>
        <w:t>等</w:t>
      </w:r>
      <w:r>
        <w:rPr>
          <w:rFonts w:ascii="微软雅黑" w:hAnsi="微软雅黑" w:eastAsia="微软雅黑" w:cs="微软雅黑"/>
          <w:spacing w:val="-23"/>
          <w:sz w:val="16"/>
          <w:szCs w:val="16"/>
        </w:rPr>
        <w:t xml:space="preserve"> </w:t>
      </w:r>
      <w:r>
        <w:rPr>
          <w:rFonts w:ascii="微软雅黑" w:hAnsi="微软雅黑" w:eastAsia="微软雅黑" w:cs="微软雅黑"/>
          <w:spacing w:val="1"/>
          <w:sz w:val="16"/>
          <w:szCs w:val="16"/>
        </w:rPr>
        <w:t>教</w:t>
      </w:r>
      <w:r>
        <w:rPr>
          <w:rFonts w:ascii="微软雅黑" w:hAnsi="微软雅黑" w:eastAsia="微软雅黑" w:cs="微软雅黑"/>
          <w:spacing w:val="-17"/>
          <w:sz w:val="16"/>
          <w:szCs w:val="16"/>
        </w:rPr>
        <w:t xml:space="preserve"> </w:t>
      </w:r>
      <w:r>
        <w:rPr>
          <w:rFonts w:ascii="微软雅黑" w:hAnsi="微软雅黑" w:eastAsia="微软雅黑" w:cs="微软雅黑"/>
          <w:spacing w:val="1"/>
          <w:sz w:val="16"/>
          <w:szCs w:val="16"/>
        </w:rPr>
        <w:t>育</w:t>
      </w:r>
      <w:r>
        <w:rPr>
          <w:rFonts w:ascii="微软雅黑" w:hAnsi="微软雅黑" w:eastAsia="微软雅黑" w:cs="微软雅黑"/>
          <w:spacing w:val="-19"/>
          <w:sz w:val="16"/>
          <w:szCs w:val="16"/>
        </w:rPr>
        <w:t xml:space="preserve"> </w:t>
      </w:r>
      <w:r>
        <w:rPr>
          <w:rFonts w:ascii="微软雅黑" w:hAnsi="微软雅黑" w:eastAsia="微软雅黑" w:cs="微软雅黑"/>
          <w:spacing w:val="1"/>
          <w:sz w:val="16"/>
          <w:szCs w:val="16"/>
        </w:rPr>
        <w:t>质</w:t>
      </w:r>
      <w:r>
        <w:rPr>
          <w:rFonts w:ascii="微软雅黑" w:hAnsi="微软雅黑" w:eastAsia="微软雅黑" w:cs="微软雅黑"/>
          <w:spacing w:val="-21"/>
          <w:sz w:val="16"/>
          <w:szCs w:val="16"/>
        </w:rPr>
        <w:t xml:space="preserve"> </w:t>
      </w:r>
      <w:r>
        <w:rPr>
          <w:rFonts w:ascii="微软雅黑" w:hAnsi="微软雅黑" w:eastAsia="微软雅黑" w:cs="微软雅黑"/>
          <w:spacing w:val="1"/>
          <w:sz w:val="16"/>
          <w:szCs w:val="16"/>
        </w:rPr>
        <w:t>量</w:t>
      </w:r>
      <w:r>
        <w:rPr>
          <w:rFonts w:ascii="微软雅黑" w:hAnsi="微软雅黑" w:eastAsia="微软雅黑" w:cs="微软雅黑"/>
          <w:spacing w:val="-9"/>
          <w:sz w:val="16"/>
          <w:szCs w:val="16"/>
        </w:rPr>
        <w:t xml:space="preserve"> </w:t>
      </w:r>
      <w:r>
        <w:rPr>
          <w:rFonts w:ascii="微软雅黑" w:hAnsi="微软雅黑" w:eastAsia="微软雅黑" w:cs="微软雅黑"/>
          <w:spacing w:val="1"/>
          <w:sz w:val="16"/>
          <w:szCs w:val="16"/>
        </w:rPr>
        <w:t>管</w:t>
      </w:r>
      <w:r>
        <w:rPr>
          <w:rFonts w:ascii="微软雅黑" w:hAnsi="微软雅黑" w:eastAsia="微软雅黑" w:cs="微软雅黑"/>
          <w:spacing w:val="-19"/>
          <w:sz w:val="16"/>
          <w:szCs w:val="16"/>
        </w:rPr>
        <w:t xml:space="preserve"> </w:t>
      </w:r>
      <w:r>
        <w:rPr>
          <w:rFonts w:ascii="微软雅黑" w:hAnsi="微软雅黑" w:eastAsia="微软雅黑" w:cs="微软雅黑"/>
          <w:spacing w:val="1"/>
          <w:sz w:val="16"/>
          <w:szCs w:val="16"/>
        </w:rPr>
        <w:t>理：文</w:t>
      </w:r>
      <w:r>
        <w:rPr>
          <w:rFonts w:ascii="微软雅黑" w:hAnsi="微软雅黑" w:eastAsia="微软雅黑" w:cs="微软雅黑"/>
          <w:spacing w:val="-20"/>
          <w:sz w:val="16"/>
          <w:szCs w:val="16"/>
        </w:rPr>
        <w:t xml:space="preserve"> </w:t>
      </w:r>
      <w:r>
        <w:rPr>
          <w:rFonts w:ascii="微软雅黑" w:hAnsi="微软雅黑" w:eastAsia="微软雅黑" w:cs="微软雅黑"/>
          <w:spacing w:val="1"/>
          <w:sz w:val="16"/>
          <w:szCs w:val="16"/>
        </w:rPr>
        <w:t>化</w:t>
      </w:r>
      <w:r>
        <w:rPr>
          <w:rFonts w:ascii="微软雅黑" w:hAnsi="微软雅黑" w:eastAsia="微软雅黑" w:cs="微软雅黑"/>
          <w:spacing w:val="-9"/>
          <w:sz w:val="16"/>
          <w:szCs w:val="16"/>
        </w:rPr>
        <w:t xml:space="preserve"> </w:t>
      </w:r>
      <w:r>
        <w:rPr>
          <w:rFonts w:ascii="微软雅黑" w:hAnsi="微软雅黑" w:eastAsia="微软雅黑" w:cs="微软雅黑"/>
          <w:spacing w:val="1"/>
          <w:sz w:val="16"/>
          <w:szCs w:val="16"/>
        </w:rPr>
        <w:t>的</w:t>
      </w:r>
      <w:r>
        <w:rPr>
          <w:rFonts w:ascii="微软雅黑" w:hAnsi="微软雅黑" w:eastAsia="微软雅黑" w:cs="微软雅黑"/>
          <w:spacing w:val="-23"/>
          <w:sz w:val="16"/>
          <w:szCs w:val="16"/>
        </w:rPr>
        <w:t xml:space="preserve"> </w:t>
      </w:r>
      <w:r>
        <w:rPr>
          <w:rFonts w:ascii="微软雅黑" w:hAnsi="微软雅黑" w:eastAsia="微软雅黑" w:cs="微软雅黑"/>
          <w:spacing w:val="1"/>
          <w:sz w:val="16"/>
          <w:szCs w:val="16"/>
        </w:rPr>
        <w:t>视 角[J]</w:t>
      </w:r>
      <w:r>
        <w:rPr>
          <w:rFonts w:ascii="微软雅黑" w:hAnsi="微软雅黑" w:eastAsia="微软雅黑" w:cs="微软雅黑"/>
          <w:spacing w:val="-15"/>
          <w:sz w:val="16"/>
          <w:szCs w:val="16"/>
        </w:rPr>
        <w:t xml:space="preserve"> </w:t>
      </w:r>
      <w:r>
        <w:rPr>
          <w:rFonts w:ascii="微软雅黑" w:hAnsi="微软雅黑" w:eastAsia="微软雅黑" w:cs="微软雅黑"/>
          <w:spacing w:val="1"/>
          <w:position w:val="-2"/>
          <w:sz w:val="16"/>
          <w:szCs w:val="16"/>
        </w:rPr>
        <w:t>.</w:t>
      </w:r>
      <w:r>
        <w:rPr>
          <w:rFonts w:ascii="微软雅黑" w:hAnsi="微软雅黑" w:eastAsia="微软雅黑" w:cs="微软雅黑"/>
          <w:spacing w:val="24"/>
          <w:w w:val="101"/>
          <w:position w:val="-2"/>
          <w:sz w:val="16"/>
          <w:szCs w:val="16"/>
        </w:rPr>
        <w:t xml:space="preserve"> </w:t>
      </w:r>
      <w:r>
        <w:rPr>
          <w:rFonts w:ascii="微软雅黑" w:hAnsi="微软雅黑" w:eastAsia="微软雅黑" w:cs="微软雅黑"/>
          <w:spacing w:val="1"/>
          <w:sz w:val="16"/>
          <w:szCs w:val="16"/>
        </w:rPr>
        <w:t>教</w:t>
      </w:r>
      <w:r>
        <w:rPr>
          <w:rFonts w:ascii="微软雅黑" w:hAnsi="微软雅黑" w:eastAsia="微软雅黑" w:cs="微软雅黑"/>
          <w:spacing w:val="-15"/>
          <w:sz w:val="16"/>
          <w:szCs w:val="16"/>
        </w:rPr>
        <w:t xml:space="preserve"> </w:t>
      </w:r>
      <w:r>
        <w:rPr>
          <w:rFonts w:ascii="微软雅黑" w:hAnsi="微软雅黑" w:eastAsia="微软雅黑" w:cs="微软雅黑"/>
          <w:spacing w:val="1"/>
          <w:sz w:val="16"/>
          <w:szCs w:val="16"/>
        </w:rPr>
        <w:t>育</w:t>
      </w:r>
      <w:r>
        <w:rPr>
          <w:rFonts w:ascii="微软雅黑" w:hAnsi="微软雅黑" w:eastAsia="微软雅黑" w:cs="微软雅黑"/>
          <w:spacing w:val="-22"/>
          <w:sz w:val="16"/>
          <w:szCs w:val="16"/>
        </w:rPr>
        <w:t xml:space="preserve"> </w:t>
      </w:r>
      <w:r>
        <w:rPr>
          <w:rFonts w:ascii="微软雅黑" w:hAnsi="微软雅黑" w:eastAsia="微软雅黑" w:cs="微软雅黑"/>
          <w:spacing w:val="1"/>
          <w:sz w:val="16"/>
          <w:szCs w:val="16"/>
        </w:rPr>
        <w:t>研</w:t>
      </w:r>
      <w:r>
        <w:rPr>
          <w:rFonts w:ascii="微软雅黑" w:hAnsi="微软雅黑" w:eastAsia="微软雅黑" w:cs="微软雅黑"/>
          <w:spacing w:val="-12"/>
          <w:sz w:val="16"/>
          <w:szCs w:val="16"/>
        </w:rPr>
        <w:t xml:space="preserve"> </w:t>
      </w:r>
      <w:r>
        <w:rPr>
          <w:rFonts w:ascii="微软雅黑" w:hAnsi="微软雅黑" w:eastAsia="微软雅黑" w:cs="微软雅黑"/>
          <w:spacing w:val="1"/>
          <w:sz w:val="16"/>
          <w:szCs w:val="16"/>
        </w:rPr>
        <w:t>究，</w:t>
      </w:r>
      <w:r>
        <w:rPr>
          <w:rFonts w:ascii="微软雅黑" w:hAnsi="微软雅黑" w:eastAsia="微软雅黑" w:cs="微软雅黑"/>
          <w:sz w:val="16"/>
          <w:szCs w:val="16"/>
        </w:rPr>
        <w:t xml:space="preserve"> </w:t>
      </w:r>
      <w:r>
        <w:rPr>
          <w:rFonts w:ascii="微软雅黑" w:hAnsi="微软雅黑" w:eastAsia="微软雅黑" w:cs="微软雅黑"/>
          <w:spacing w:val="7"/>
          <w:sz w:val="16"/>
          <w:szCs w:val="16"/>
        </w:rPr>
        <w:t>2010(2)</w:t>
      </w:r>
      <w:r>
        <w:rPr>
          <w:rFonts w:ascii="微软雅黑" w:hAnsi="微软雅黑" w:eastAsia="微软雅黑" w:cs="微软雅黑"/>
          <w:spacing w:val="20"/>
          <w:w w:val="101"/>
          <w:sz w:val="16"/>
          <w:szCs w:val="16"/>
        </w:rPr>
        <w:t xml:space="preserve"> </w:t>
      </w:r>
      <w:r>
        <w:rPr>
          <w:rFonts w:ascii="微软雅黑" w:hAnsi="微软雅黑" w:eastAsia="微软雅黑" w:cs="微软雅黑"/>
          <w:spacing w:val="7"/>
          <w:sz w:val="16"/>
          <w:szCs w:val="16"/>
        </w:rPr>
        <w:t>:57-62</w:t>
      </w:r>
      <w:r>
        <w:rPr>
          <w:rFonts w:ascii="微软雅黑" w:hAnsi="微软雅黑" w:eastAsia="微软雅黑" w:cs="微软雅黑"/>
          <w:spacing w:val="-21"/>
          <w:sz w:val="16"/>
          <w:szCs w:val="16"/>
        </w:rPr>
        <w:t xml:space="preserve"> </w:t>
      </w:r>
      <w:r>
        <w:rPr>
          <w:rFonts w:ascii="微软雅黑" w:hAnsi="微软雅黑" w:eastAsia="微软雅黑" w:cs="微软雅黑"/>
          <w:spacing w:val="7"/>
          <w:sz w:val="16"/>
          <w:szCs w:val="16"/>
        </w:rPr>
        <w:t>.</w:t>
      </w:r>
    </w:p>
    <w:p>
      <w:pPr>
        <w:spacing w:before="45" w:line="208" w:lineRule="auto"/>
        <w:ind w:left="270" w:right="1" w:hanging="261"/>
        <w:rPr>
          <w:rFonts w:ascii="微软雅黑" w:hAnsi="微软雅黑" w:eastAsia="微软雅黑" w:cs="微软雅黑"/>
          <w:sz w:val="16"/>
          <w:szCs w:val="16"/>
        </w:rPr>
      </w:pPr>
      <w:r>
        <w:rPr>
          <w:rFonts w:ascii="微软雅黑" w:hAnsi="微软雅黑" w:eastAsia="微软雅黑" w:cs="微软雅黑"/>
          <w:spacing w:val="2"/>
          <w:sz w:val="16"/>
          <w:szCs w:val="16"/>
        </w:rPr>
        <w:t>[4]刘丹</w:t>
      </w:r>
      <w:r>
        <w:rPr>
          <w:rFonts w:ascii="微软雅黑" w:hAnsi="微软雅黑" w:eastAsia="微软雅黑" w:cs="微软雅黑"/>
          <w:spacing w:val="-16"/>
          <w:sz w:val="16"/>
          <w:szCs w:val="16"/>
        </w:rPr>
        <w:t xml:space="preserve"> </w:t>
      </w:r>
      <w:r>
        <w:rPr>
          <w:rFonts w:ascii="微软雅黑" w:hAnsi="微软雅黑" w:eastAsia="微软雅黑" w:cs="微软雅黑"/>
          <w:spacing w:val="2"/>
          <w:sz w:val="16"/>
          <w:szCs w:val="16"/>
        </w:rPr>
        <w:t>平</w:t>
      </w:r>
      <w:r>
        <w:rPr>
          <w:rFonts w:ascii="微软雅黑" w:hAnsi="微软雅黑" w:eastAsia="微软雅黑" w:cs="微软雅黑"/>
          <w:spacing w:val="2"/>
          <w:position w:val="-2"/>
          <w:sz w:val="16"/>
          <w:szCs w:val="16"/>
        </w:rPr>
        <w:t>．</w:t>
      </w:r>
      <w:r>
        <w:rPr>
          <w:rFonts w:ascii="微软雅黑" w:hAnsi="微软雅黑" w:eastAsia="微软雅黑" w:cs="微软雅黑"/>
          <w:spacing w:val="2"/>
          <w:sz w:val="16"/>
          <w:szCs w:val="16"/>
        </w:rPr>
        <w:t>高</w:t>
      </w:r>
      <w:r>
        <w:rPr>
          <w:rFonts w:ascii="微软雅黑" w:hAnsi="微软雅黑" w:eastAsia="微软雅黑" w:cs="微软雅黑"/>
          <w:spacing w:val="-18"/>
          <w:sz w:val="16"/>
          <w:szCs w:val="16"/>
        </w:rPr>
        <w:t xml:space="preserve"> </w:t>
      </w:r>
      <w:r>
        <w:rPr>
          <w:rFonts w:ascii="微软雅黑" w:hAnsi="微软雅黑" w:eastAsia="微软雅黑" w:cs="微软雅黑"/>
          <w:spacing w:val="2"/>
          <w:sz w:val="16"/>
          <w:szCs w:val="16"/>
        </w:rPr>
        <w:t>校</w:t>
      </w:r>
      <w:r>
        <w:rPr>
          <w:rFonts w:ascii="微软雅黑" w:hAnsi="微软雅黑" w:eastAsia="微软雅黑" w:cs="微软雅黑"/>
          <w:spacing w:val="-15"/>
          <w:sz w:val="16"/>
          <w:szCs w:val="16"/>
        </w:rPr>
        <w:t xml:space="preserve"> </w:t>
      </w:r>
      <w:r>
        <w:rPr>
          <w:rFonts w:ascii="微软雅黑" w:hAnsi="微软雅黑" w:eastAsia="微软雅黑" w:cs="微软雅黑"/>
          <w:spacing w:val="2"/>
          <w:sz w:val="16"/>
          <w:szCs w:val="16"/>
        </w:rPr>
        <w:t>质</w:t>
      </w:r>
      <w:r>
        <w:rPr>
          <w:rFonts w:ascii="微软雅黑" w:hAnsi="微软雅黑" w:eastAsia="微软雅黑" w:cs="微软雅黑"/>
          <w:spacing w:val="-18"/>
          <w:sz w:val="16"/>
          <w:szCs w:val="16"/>
        </w:rPr>
        <w:t xml:space="preserve"> </w:t>
      </w:r>
      <w:r>
        <w:rPr>
          <w:rFonts w:ascii="微软雅黑" w:hAnsi="微软雅黑" w:eastAsia="微软雅黑" w:cs="微软雅黑"/>
          <w:spacing w:val="2"/>
          <w:sz w:val="16"/>
          <w:szCs w:val="16"/>
        </w:rPr>
        <w:t>量</w:t>
      </w:r>
      <w:r>
        <w:rPr>
          <w:rFonts w:ascii="微软雅黑" w:hAnsi="微软雅黑" w:eastAsia="微软雅黑" w:cs="微软雅黑"/>
          <w:spacing w:val="-9"/>
          <w:sz w:val="16"/>
          <w:szCs w:val="16"/>
        </w:rPr>
        <w:t xml:space="preserve"> </w:t>
      </w:r>
      <w:r>
        <w:rPr>
          <w:rFonts w:ascii="微软雅黑" w:hAnsi="微软雅黑" w:eastAsia="微软雅黑" w:cs="微软雅黑"/>
          <w:spacing w:val="2"/>
          <w:sz w:val="16"/>
          <w:szCs w:val="16"/>
        </w:rPr>
        <w:t>文</w:t>
      </w:r>
      <w:r>
        <w:rPr>
          <w:rFonts w:ascii="微软雅黑" w:hAnsi="微软雅黑" w:eastAsia="微软雅黑" w:cs="微软雅黑"/>
          <w:spacing w:val="-16"/>
          <w:sz w:val="16"/>
          <w:szCs w:val="16"/>
        </w:rPr>
        <w:t xml:space="preserve"> </w:t>
      </w:r>
      <w:r>
        <w:rPr>
          <w:rFonts w:ascii="微软雅黑" w:hAnsi="微软雅黑" w:eastAsia="微软雅黑" w:cs="微软雅黑"/>
          <w:spacing w:val="2"/>
          <w:sz w:val="16"/>
          <w:szCs w:val="16"/>
        </w:rPr>
        <w:t>化</w:t>
      </w:r>
      <w:r>
        <w:rPr>
          <w:rFonts w:ascii="微软雅黑" w:hAnsi="微软雅黑" w:eastAsia="微软雅黑" w:cs="微软雅黑"/>
          <w:spacing w:val="-15"/>
          <w:sz w:val="16"/>
          <w:szCs w:val="16"/>
        </w:rPr>
        <w:t xml:space="preserve"> </w:t>
      </w:r>
      <w:r>
        <w:rPr>
          <w:rFonts w:ascii="微软雅黑" w:hAnsi="微软雅黑" w:eastAsia="微软雅黑" w:cs="微软雅黑"/>
          <w:spacing w:val="2"/>
          <w:sz w:val="16"/>
          <w:szCs w:val="16"/>
        </w:rPr>
        <w:t>特</w:t>
      </w:r>
      <w:r>
        <w:rPr>
          <w:rFonts w:ascii="微软雅黑" w:hAnsi="微软雅黑" w:eastAsia="微软雅黑" w:cs="微软雅黑"/>
          <w:spacing w:val="-19"/>
          <w:sz w:val="16"/>
          <w:szCs w:val="16"/>
        </w:rPr>
        <w:t xml:space="preserve"> </w:t>
      </w:r>
      <w:r>
        <w:rPr>
          <w:rFonts w:ascii="微软雅黑" w:hAnsi="微软雅黑" w:eastAsia="微软雅黑" w:cs="微软雅黑"/>
          <w:spacing w:val="2"/>
          <w:sz w:val="16"/>
          <w:szCs w:val="16"/>
        </w:rPr>
        <w:t>征</w:t>
      </w:r>
      <w:r>
        <w:rPr>
          <w:rFonts w:ascii="微软雅黑" w:hAnsi="微软雅黑" w:eastAsia="微软雅黑" w:cs="微软雅黑"/>
          <w:spacing w:val="-22"/>
          <w:sz w:val="16"/>
          <w:szCs w:val="16"/>
        </w:rPr>
        <w:t xml:space="preserve"> </w:t>
      </w:r>
      <w:r>
        <w:rPr>
          <w:rFonts w:ascii="微软雅黑" w:hAnsi="微软雅黑" w:eastAsia="微软雅黑" w:cs="微软雅黑"/>
          <w:spacing w:val="2"/>
          <w:sz w:val="16"/>
          <w:szCs w:val="16"/>
        </w:rPr>
        <w:t>及</w:t>
      </w:r>
      <w:r>
        <w:rPr>
          <w:rFonts w:ascii="微软雅黑" w:hAnsi="微软雅黑" w:eastAsia="微软雅黑" w:cs="微软雅黑"/>
          <w:spacing w:val="-15"/>
          <w:sz w:val="16"/>
          <w:szCs w:val="16"/>
        </w:rPr>
        <w:t xml:space="preserve"> </w:t>
      </w:r>
      <w:r>
        <w:rPr>
          <w:rFonts w:ascii="微软雅黑" w:hAnsi="微软雅黑" w:eastAsia="微软雅黑" w:cs="微软雅黑"/>
          <w:spacing w:val="2"/>
          <w:sz w:val="16"/>
          <w:szCs w:val="16"/>
        </w:rPr>
        <w:t>建</w:t>
      </w:r>
      <w:r>
        <w:rPr>
          <w:rFonts w:ascii="微软雅黑" w:hAnsi="微软雅黑" w:eastAsia="微软雅黑" w:cs="微软雅黑"/>
          <w:spacing w:val="-18"/>
          <w:sz w:val="16"/>
          <w:szCs w:val="16"/>
        </w:rPr>
        <w:t xml:space="preserve"> </w:t>
      </w:r>
      <w:r>
        <w:rPr>
          <w:rFonts w:ascii="微软雅黑" w:hAnsi="微软雅黑" w:eastAsia="微软雅黑" w:cs="微软雅黑"/>
          <w:spacing w:val="2"/>
          <w:sz w:val="16"/>
          <w:szCs w:val="16"/>
        </w:rPr>
        <w:t>设</w:t>
      </w:r>
      <w:r>
        <w:rPr>
          <w:rFonts w:ascii="微软雅黑" w:hAnsi="微软雅黑" w:eastAsia="微软雅黑" w:cs="微软雅黑"/>
          <w:spacing w:val="-12"/>
          <w:sz w:val="16"/>
          <w:szCs w:val="16"/>
        </w:rPr>
        <w:t xml:space="preserve"> </w:t>
      </w:r>
      <w:r>
        <w:rPr>
          <w:rFonts w:ascii="微软雅黑" w:hAnsi="微软雅黑" w:eastAsia="微软雅黑" w:cs="微软雅黑"/>
          <w:spacing w:val="2"/>
          <w:sz w:val="16"/>
          <w:szCs w:val="16"/>
        </w:rPr>
        <w:t>策</w:t>
      </w:r>
      <w:r>
        <w:rPr>
          <w:rFonts w:ascii="微软雅黑" w:hAnsi="微软雅黑" w:eastAsia="微软雅黑" w:cs="微软雅黑"/>
          <w:spacing w:val="-16"/>
          <w:sz w:val="16"/>
          <w:szCs w:val="16"/>
        </w:rPr>
        <w:t xml:space="preserve"> </w:t>
      </w:r>
      <w:r>
        <w:rPr>
          <w:rFonts w:ascii="微软雅黑" w:hAnsi="微软雅黑" w:eastAsia="微软雅黑" w:cs="微软雅黑"/>
          <w:spacing w:val="2"/>
          <w:sz w:val="16"/>
          <w:szCs w:val="16"/>
        </w:rPr>
        <w:t>略 [J]</w:t>
      </w:r>
      <w:r>
        <w:rPr>
          <w:rFonts w:ascii="微软雅黑" w:hAnsi="微软雅黑" w:eastAsia="微软雅黑" w:cs="微软雅黑"/>
          <w:spacing w:val="-15"/>
          <w:sz w:val="16"/>
          <w:szCs w:val="16"/>
        </w:rPr>
        <w:t xml:space="preserve"> </w:t>
      </w:r>
      <w:r>
        <w:rPr>
          <w:rFonts w:ascii="微软雅黑" w:hAnsi="微软雅黑" w:eastAsia="微软雅黑" w:cs="微软雅黑"/>
          <w:spacing w:val="1"/>
          <w:position w:val="-2"/>
          <w:sz w:val="16"/>
          <w:szCs w:val="16"/>
        </w:rPr>
        <w:t>.</w:t>
      </w:r>
      <w:r>
        <w:rPr>
          <w:rFonts w:ascii="微软雅黑" w:hAnsi="微软雅黑" w:eastAsia="微软雅黑" w:cs="微软雅黑"/>
          <w:spacing w:val="40"/>
          <w:position w:val="-2"/>
          <w:sz w:val="16"/>
          <w:szCs w:val="16"/>
        </w:rPr>
        <w:t xml:space="preserve"> </w:t>
      </w:r>
      <w:r>
        <w:rPr>
          <w:rFonts w:ascii="微软雅黑" w:hAnsi="微软雅黑" w:eastAsia="微软雅黑" w:cs="微软雅黑"/>
          <w:spacing w:val="1"/>
          <w:sz w:val="16"/>
          <w:szCs w:val="16"/>
        </w:rPr>
        <w:t>江</w:t>
      </w:r>
      <w:r>
        <w:rPr>
          <w:rFonts w:ascii="微软雅黑" w:hAnsi="微软雅黑" w:eastAsia="微软雅黑" w:cs="微软雅黑"/>
          <w:spacing w:val="-9"/>
          <w:sz w:val="16"/>
          <w:szCs w:val="16"/>
        </w:rPr>
        <w:t xml:space="preserve"> </w:t>
      </w:r>
      <w:r>
        <w:rPr>
          <w:rFonts w:ascii="微软雅黑" w:hAnsi="微软雅黑" w:eastAsia="微软雅黑" w:cs="微软雅黑"/>
          <w:spacing w:val="1"/>
          <w:sz w:val="16"/>
          <w:szCs w:val="16"/>
        </w:rPr>
        <w:t>苏 高</w:t>
      </w:r>
      <w:r>
        <w:rPr>
          <w:rFonts w:ascii="微软雅黑" w:hAnsi="微软雅黑" w:eastAsia="微软雅黑" w:cs="微软雅黑"/>
          <w:spacing w:val="-19"/>
          <w:sz w:val="16"/>
          <w:szCs w:val="16"/>
        </w:rPr>
        <w:t xml:space="preserve"> </w:t>
      </w:r>
      <w:r>
        <w:rPr>
          <w:rFonts w:ascii="微软雅黑" w:hAnsi="微软雅黑" w:eastAsia="微软雅黑" w:cs="微软雅黑"/>
          <w:spacing w:val="1"/>
          <w:sz w:val="16"/>
          <w:szCs w:val="16"/>
        </w:rPr>
        <w:t>教，</w:t>
      </w:r>
      <w:r>
        <w:rPr>
          <w:rFonts w:ascii="微软雅黑" w:hAnsi="微软雅黑" w:eastAsia="微软雅黑" w:cs="微软雅黑"/>
          <w:sz w:val="16"/>
          <w:szCs w:val="16"/>
        </w:rPr>
        <w:t xml:space="preserve"> </w:t>
      </w:r>
      <w:r>
        <w:rPr>
          <w:rFonts w:ascii="微软雅黑" w:hAnsi="微软雅黑" w:eastAsia="微软雅黑" w:cs="微软雅黑"/>
          <w:spacing w:val="-1"/>
          <w:sz w:val="16"/>
          <w:szCs w:val="16"/>
        </w:rPr>
        <w:t>2010(6)</w:t>
      </w:r>
      <w:r>
        <w:rPr>
          <w:rFonts w:ascii="微软雅黑" w:hAnsi="微软雅黑" w:eastAsia="微软雅黑" w:cs="微软雅黑"/>
          <w:spacing w:val="23"/>
          <w:w w:val="101"/>
          <w:sz w:val="16"/>
          <w:szCs w:val="16"/>
        </w:rPr>
        <w:t xml:space="preserve"> </w:t>
      </w:r>
      <w:r>
        <w:rPr>
          <w:rFonts w:ascii="微软雅黑" w:hAnsi="微软雅黑" w:eastAsia="微软雅黑" w:cs="微软雅黑"/>
          <w:spacing w:val="-1"/>
          <w:sz w:val="16"/>
          <w:szCs w:val="16"/>
        </w:rPr>
        <w:t>:152</w:t>
      </w:r>
      <w:r>
        <w:rPr>
          <w:rFonts w:ascii="微软雅黑" w:hAnsi="微软雅黑" w:eastAsia="微软雅黑" w:cs="微软雅黑"/>
          <w:spacing w:val="-20"/>
          <w:sz w:val="16"/>
          <w:szCs w:val="16"/>
        </w:rPr>
        <w:t xml:space="preserve"> </w:t>
      </w:r>
      <w:r>
        <w:rPr>
          <w:rFonts w:ascii="微软雅黑" w:hAnsi="微软雅黑" w:eastAsia="微软雅黑" w:cs="微软雅黑"/>
          <w:spacing w:val="-1"/>
          <w:position w:val="-1"/>
          <w:sz w:val="16"/>
          <w:szCs w:val="16"/>
        </w:rPr>
        <w:t>.</w:t>
      </w:r>
    </w:p>
    <w:p>
      <w:pPr>
        <w:spacing w:before="60" w:line="229" w:lineRule="auto"/>
        <w:ind w:left="332" w:right="6" w:hanging="323"/>
        <w:rPr>
          <w:rFonts w:ascii="微软雅黑" w:hAnsi="微软雅黑" w:eastAsia="微软雅黑" w:cs="微软雅黑"/>
          <w:sz w:val="16"/>
          <w:szCs w:val="16"/>
        </w:rPr>
      </w:pPr>
      <w:r>
        <w:rPr>
          <w:rFonts w:ascii="微软雅黑" w:hAnsi="微软雅黑" w:eastAsia="微软雅黑" w:cs="微软雅黑"/>
          <w:spacing w:val="12"/>
          <w:sz w:val="16"/>
          <w:szCs w:val="16"/>
        </w:rPr>
        <w:t>[5]</w:t>
      </w:r>
      <w:r>
        <w:rPr>
          <w:rFonts w:ascii="微软雅黑" w:hAnsi="微软雅黑" w:eastAsia="微软雅黑" w:cs="微软雅黑"/>
          <w:spacing w:val="21"/>
          <w:w w:val="101"/>
          <w:sz w:val="16"/>
          <w:szCs w:val="16"/>
        </w:rPr>
        <w:t xml:space="preserve"> </w:t>
      </w:r>
      <w:r>
        <w:rPr>
          <w:rFonts w:ascii="微软雅黑" w:hAnsi="微软雅黑" w:eastAsia="微软雅黑" w:cs="微软雅黑"/>
          <w:spacing w:val="12"/>
          <w:sz w:val="16"/>
          <w:szCs w:val="16"/>
        </w:rPr>
        <w:t>EUROPEAN  UNIVERSITY  ASSO</w:t>
      </w:r>
      <w:r>
        <w:rPr>
          <w:rFonts w:ascii="微软雅黑" w:hAnsi="微软雅黑" w:eastAsia="微软雅黑" w:cs="微软雅黑"/>
          <w:spacing w:val="11"/>
          <w:sz w:val="16"/>
          <w:szCs w:val="16"/>
        </w:rPr>
        <w:t>CIATION.   Qualit</w:t>
      </w:r>
      <w:r>
        <w:rPr>
          <w:rFonts w:ascii="微软雅黑" w:hAnsi="微软雅黑" w:eastAsia="微软雅黑" w:cs="微软雅黑"/>
          <w:spacing w:val="11"/>
          <w:position w:val="-1"/>
          <w:sz w:val="16"/>
          <w:szCs w:val="16"/>
        </w:rPr>
        <w:t>y</w:t>
      </w:r>
      <w:r>
        <w:rPr>
          <w:rFonts w:ascii="微软雅黑" w:hAnsi="微软雅黑" w:eastAsia="微软雅黑" w:cs="微软雅黑"/>
          <w:position w:val="-1"/>
          <w:sz w:val="16"/>
          <w:szCs w:val="16"/>
        </w:rPr>
        <w:t xml:space="preserve">  </w:t>
      </w:r>
      <w:r>
        <w:rPr>
          <w:rFonts w:ascii="微软雅黑" w:hAnsi="微软雅黑" w:eastAsia="微软雅黑" w:cs="微软雅黑"/>
          <w:sz w:val="16"/>
          <w:szCs w:val="16"/>
        </w:rPr>
        <w:t>Culturein</w:t>
      </w:r>
      <w:r>
        <w:rPr>
          <w:rFonts w:ascii="微软雅黑" w:hAnsi="微软雅黑" w:eastAsia="微软雅黑" w:cs="微软雅黑"/>
          <w:spacing w:val="13"/>
          <w:sz w:val="16"/>
          <w:szCs w:val="16"/>
        </w:rPr>
        <w:t xml:space="preserve">  </w:t>
      </w:r>
      <w:r>
        <w:rPr>
          <w:rFonts w:ascii="微软雅黑" w:hAnsi="微软雅黑" w:eastAsia="微软雅黑" w:cs="微软雅黑"/>
          <w:sz w:val="16"/>
          <w:szCs w:val="16"/>
        </w:rPr>
        <w:t>Euro</w:t>
      </w:r>
      <w:r>
        <w:rPr>
          <w:rFonts w:ascii="微软雅黑" w:hAnsi="微软雅黑" w:eastAsia="微软雅黑" w:cs="微软雅黑"/>
          <w:spacing w:val="-23"/>
          <w:sz w:val="16"/>
          <w:szCs w:val="16"/>
        </w:rPr>
        <w:t xml:space="preserve"> </w:t>
      </w:r>
      <w:r>
        <w:rPr>
          <w:rFonts w:ascii="微软雅黑" w:hAnsi="微软雅黑" w:eastAsia="微软雅黑" w:cs="微软雅黑"/>
          <w:sz w:val="16"/>
          <w:szCs w:val="16"/>
        </w:rPr>
        <w:t>pean</w:t>
      </w:r>
      <w:r>
        <w:rPr>
          <w:rFonts w:ascii="微软雅黑" w:hAnsi="微软雅黑" w:eastAsia="微软雅黑" w:cs="微软雅黑"/>
          <w:spacing w:val="13"/>
          <w:sz w:val="16"/>
          <w:szCs w:val="16"/>
        </w:rPr>
        <w:t xml:space="preserve">  </w:t>
      </w:r>
      <w:r>
        <w:rPr>
          <w:rFonts w:ascii="微软雅黑" w:hAnsi="微软雅黑" w:eastAsia="微软雅黑" w:cs="微软雅黑"/>
          <w:sz w:val="16"/>
          <w:szCs w:val="16"/>
        </w:rPr>
        <w:t>Universities</w:t>
      </w:r>
      <w:r>
        <w:rPr>
          <w:rFonts w:ascii="微软雅黑" w:hAnsi="微软雅黑" w:eastAsia="微软雅黑" w:cs="微软雅黑"/>
          <w:spacing w:val="13"/>
          <w:sz w:val="16"/>
          <w:szCs w:val="16"/>
        </w:rPr>
        <w:t xml:space="preserve">:   </w:t>
      </w:r>
      <w:r>
        <w:rPr>
          <w:rFonts w:ascii="微软雅黑" w:hAnsi="微软雅黑" w:eastAsia="微软雅黑" w:cs="微软雅黑"/>
          <w:sz w:val="16"/>
          <w:szCs w:val="16"/>
        </w:rPr>
        <w:t>A</w:t>
      </w:r>
      <w:r>
        <w:rPr>
          <w:rFonts w:ascii="微软雅黑" w:hAnsi="微软雅黑" w:eastAsia="微软雅黑" w:cs="微软雅黑"/>
          <w:spacing w:val="13"/>
          <w:sz w:val="16"/>
          <w:szCs w:val="16"/>
        </w:rPr>
        <w:t xml:space="preserve">  </w:t>
      </w:r>
      <w:r>
        <w:rPr>
          <w:rFonts w:ascii="微软雅黑" w:hAnsi="微软雅黑" w:eastAsia="微软雅黑" w:cs="微软雅黑"/>
          <w:sz w:val="16"/>
          <w:szCs w:val="16"/>
        </w:rPr>
        <w:t>bottom</w:t>
      </w:r>
      <w:r>
        <w:rPr>
          <w:rFonts w:ascii="微软雅黑" w:hAnsi="微软雅黑" w:eastAsia="微软雅黑" w:cs="微软雅黑"/>
          <w:spacing w:val="13"/>
          <w:sz w:val="16"/>
          <w:szCs w:val="16"/>
        </w:rPr>
        <w:t xml:space="preserve"> -</w:t>
      </w:r>
      <w:r>
        <w:rPr>
          <w:rFonts w:ascii="微软雅黑" w:hAnsi="微软雅黑" w:eastAsia="微软雅黑" w:cs="微软雅黑"/>
          <w:sz w:val="16"/>
          <w:szCs w:val="16"/>
        </w:rPr>
        <w:t>up</w:t>
      </w:r>
      <w:r>
        <w:rPr>
          <w:rFonts w:ascii="微软雅黑" w:hAnsi="微软雅黑" w:eastAsia="微软雅黑" w:cs="微软雅黑"/>
          <w:spacing w:val="9"/>
          <w:sz w:val="16"/>
          <w:szCs w:val="16"/>
        </w:rPr>
        <w:t xml:space="preserve">  </w:t>
      </w:r>
      <w:r>
        <w:rPr>
          <w:rFonts w:ascii="微软雅黑" w:hAnsi="微软雅黑" w:eastAsia="微软雅黑" w:cs="微软雅黑"/>
          <w:sz w:val="16"/>
          <w:szCs w:val="16"/>
        </w:rPr>
        <w:t>ap</w:t>
      </w:r>
      <w:r>
        <w:rPr>
          <w:rFonts w:ascii="微软雅黑" w:hAnsi="微软雅黑" w:eastAsia="微软雅黑" w:cs="微软雅黑"/>
          <w:spacing w:val="13"/>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3"/>
          <w:sz w:val="16"/>
          <w:szCs w:val="16"/>
        </w:rPr>
        <w:t>pro</w:t>
      </w:r>
      <w:r>
        <w:rPr>
          <w:rFonts w:ascii="微软雅黑" w:hAnsi="微软雅黑" w:eastAsia="微软雅黑" w:cs="微软雅黑"/>
          <w:spacing w:val="-20"/>
          <w:sz w:val="16"/>
          <w:szCs w:val="16"/>
        </w:rPr>
        <w:t xml:space="preserve"> </w:t>
      </w:r>
      <w:r>
        <w:rPr>
          <w:rFonts w:ascii="微软雅黑" w:hAnsi="微软雅黑" w:eastAsia="微软雅黑" w:cs="微软雅黑"/>
          <w:spacing w:val="3"/>
          <w:sz w:val="16"/>
          <w:szCs w:val="16"/>
        </w:rPr>
        <w:t>ach</w:t>
      </w:r>
      <w:r>
        <w:rPr>
          <w:rFonts w:ascii="Arial" w:hAnsi="Arial" w:eastAsia="Arial" w:cs="Arial"/>
          <w:b/>
          <w:bCs/>
          <w:spacing w:val="3"/>
          <w:position w:val="2"/>
          <w:sz w:val="16"/>
          <w:szCs w:val="16"/>
        </w:rPr>
        <w:t>—</w:t>
      </w:r>
      <w:r>
        <w:rPr>
          <w:rFonts w:ascii="Arial" w:hAnsi="Arial" w:eastAsia="Arial" w:cs="Arial"/>
          <w:b/>
          <w:bCs/>
          <w:spacing w:val="-24"/>
          <w:position w:val="2"/>
          <w:sz w:val="16"/>
          <w:szCs w:val="16"/>
        </w:rPr>
        <w:t xml:space="preserve"> </w:t>
      </w:r>
      <w:r>
        <w:rPr>
          <w:rFonts w:ascii="微软雅黑" w:hAnsi="微软雅黑" w:eastAsia="微软雅黑" w:cs="微软雅黑"/>
          <w:spacing w:val="3"/>
          <w:sz w:val="16"/>
          <w:szCs w:val="16"/>
        </w:rPr>
        <w:t>Repo</w:t>
      </w:r>
      <w:r>
        <w:rPr>
          <w:rFonts w:ascii="微软雅黑" w:hAnsi="微软雅黑" w:eastAsia="微软雅黑" w:cs="微软雅黑"/>
          <w:spacing w:val="-30"/>
          <w:sz w:val="16"/>
          <w:szCs w:val="16"/>
        </w:rPr>
        <w:t xml:space="preserve"> </w:t>
      </w:r>
      <w:r>
        <w:rPr>
          <w:rFonts w:ascii="微软雅黑" w:hAnsi="微软雅黑" w:eastAsia="微软雅黑" w:cs="微软雅黑"/>
          <w:spacing w:val="3"/>
          <w:sz w:val="16"/>
          <w:szCs w:val="16"/>
        </w:rPr>
        <w:t>rt</w:t>
      </w:r>
      <w:r>
        <w:rPr>
          <w:rFonts w:ascii="微软雅黑" w:hAnsi="微软雅黑" w:eastAsia="微软雅黑" w:cs="微软雅黑"/>
          <w:spacing w:val="23"/>
          <w:w w:val="101"/>
          <w:sz w:val="16"/>
          <w:szCs w:val="16"/>
        </w:rPr>
        <w:t xml:space="preserve"> </w:t>
      </w:r>
      <w:r>
        <w:rPr>
          <w:rFonts w:ascii="微软雅黑" w:hAnsi="微软雅黑" w:eastAsia="微软雅黑" w:cs="微软雅黑"/>
          <w:spacing w:val="3"/>
          <w:sz w:val="16"/>
          <w:szCs w:val="16"/>
        </w:rPr>
        <w:t>o</w:t>
      </w:r>
      <w:r>
        <w:rPr>
          <w:rFonts w:ascii="微软雅黑" w:hAnsi="微软雅黑" w:eastAsia="微软雅黑" w:cs="微软雅黑"/>
          <w:spacing w:val="-32"/>
          <w:sz w:val="16"/>
          <w:szCs w:val="16"/>
        </w:rPr>
        <w:t xml:space="preserve"> </w:t>
      </w:r>
      <w:r>
        <w:rPr>
          <w:rFonts w:ascii="微软雅黑" w:hAnsi="微软雅黑" w:eastAsia="微软雅黑" w:cs="微软雅黑"/>
          <w:spacing w:val="3"/>
          <w:sz w:val="16"/>
          <w:szCs w:val="16"/>
        </w:rPr>
        <w:t>n</w:t>
      </w:r>
      <w:r>
        <w:rPr>
          <w:rFonts w:ascii="微软雅黑" w:hAnsi="微软雅黑" w:eastAsia="微软雅黑" w:cs="微软雅黑"/>
          <w:spacing w:val="21"/>
          <w:w w:val="101"/>
          <w:sz w:val="16"/>
          <w:szCs w:val="16"/>
        </w:rPr>
        <w:t xml:space="preserve"> </w:t>
      </w:r>
      <w:r>
        <w:rPr>
          <w:rFonts w:ascii="微软雅黑" w:hAnsi="微软雅黑" w:eastAsia="微软雅黑" w:cs="微软雅黑"/>
          <w:spacing w:val="3"/>
          <w:sz w:val="16"/>
          <w:szCs w:val="16"/>
        </w:rPr>
        <w:t>the</w:t>
      </w:r>
      <w:r>
        <w:rPr>
          <w:rFonts w:ascii="微软雅黑" w:hAnsi="微软雅黑" w:eastAsia="微软雅黑" w:cs="微软雅黑"/>
          <w:spacing w:val="22"/>
          <w:w w:val="101"/>
          <w:sz w:val="16"/>
          <w:szCs w:val="16"/>
        </w:rPr>
        <w:t xml:space="preserve"> </w:t>
      </w:r>
      <w:r>
        <w:rPr>
          <w:rFonts w:ascii="微软雅黑" w:hAnsi="微软雅黑" w:eastAsia="微软雅黑" w:cs="微软雅黑"/>
          <w:spacing w:val="3"/>
          <w:sz w:val="16"/>
          <w:szCs w:val="16"/>
        </w:rPr>
        <w:t>threero</w:t>
      </w:r>
      <w:r>
        <w:rPr>
          <w:rFonts w:ascii="微软雅黑" w:hAnsi="微软雅黑" w:eastAsia="微软雅黑" w:cs="微软雅黑"/>
          <w:spacing w:val="-30"/>
          <w:sz w:val="16"/>
          <w:szCs w:val="16"/>
        </w:rPr>
        <w:t xml:space="preserve"> </w:t>
      </w:r>
      <w:r>
        <w:rPr>
          <w:rFonts w:ascii="微软雅黑" w:hAnsi="微软雅黑" w:eastAsia="微软雅黑" w:cs="微软雅黑"/>
          <w:spacing w:val="3"/>
          <w:sz w:val="16"/>
          <w:szCs w:val="16"/>
        </w:rPr>
        <w:t>unds</w:t>
      </w:r>
      <w:r>
        <w:rPr>
          <w:rFonts w:ascii="微软雅黑" w:hAnsi="微软雅黑" w:eastAsia="微软雅黑" w:cs="微软雅黑"/>
          <w:spacing w:val="25"/>
          <w:sz w:val="16"/>
          <w:szCs w:val="16"/>
        </w:rPr>
        <w:t xml:space="preserve"> </w:t>
      </w:r>
      <w:r>
        <w:rPr>
          <w:rFonts w:ascii="微软雅黑" w:hAnsi="微软雅黑" w:eastAsia="微软雅黑" w:cs="微软雅黑"/>
          <w:spacing w:val="3"/>
          <w:sz w:val="16"/>
          <w:szCs w:val="16"/>
        </w:rPr>
        <w:t>o</w:t>
      </w:r>
      <w:r>
        <w:rPr>
          <w:rFonts w:ascii="微软雅黑" w:hAnsi="微软雅黑" w:eastAsia="微软雅黑" w:cs="微软雅黑"/>
          <w:spacing w:val="-32"/>
          <w:sz w:val="16"/>
          <w:szCs w:val="16"/>
        </w:rPr>
        <w:t xml:space="preserve"> </w:t>
      </w:r>
      <w:r>
        <w:rPr>
          <w:rFonts w:ascii="微软雅黑" w:hAnsi="微软雅黑" w:eastAsia="微软雅黑" w:cs="微软雅黑"/>
          <w:spacing w:val="3"/>
          <w:sz w:val="16"/>
          <w:szCs w:val="16"/>
        </w:rPr>
        <w:t>fthequalitycul-</w:t>
      </w:r>
      <w:r>
        <w:rPr>
          <w:rFonts w:ascii="微软雅黑" w:hAnsi="微软雅黑" w:eastAsia="微软雅黑" w:cs="微软雅黑"/>
          <w:sz w:val="16"/>
          <w:szCs w:val="16"/>
        </w:rPr>
        <w:t xml:space="preserve"> tureproject</w:t>
      </w:r>
      <w:r>
        <w:rPr>
          <w:rFonts w:ascii="微软雅黑" w:hAnsi="微软雅黑" w:eastAsia="微软雅黑" w:cs="微软雅黑"/>
          <w:spacing w:val="5"/>
          <w:sz w:val="16"/>
          <w:szCs w:val="16"/>
        </w:rPr>
        <w:t xml:space="preserve">2002  </w:t>
      </w:r>
      <w:r>
        <w:rPr>
          <w:rFonts w:ascii="Arial" w:hAnsi="Arial" w:eastAsia="Arial" w:cs="Arial"/>
          <w:spacing w:val="5"/>
          <w:position w:val="1"/>
          <w:sz w:val="4"/>
          <w:szCs w:val="4"/>
        </w:rPr>
        <w:t xml:space="preserve">-          </w:t>
      </w:r>
      <w:r>
        <w:rPr>
          <w:rFonts w:ascii="微软雅黑" w:hAnsi="微软雅黑" w:eastAsia="微软雅黑" w:cs="微软雅黑"/>
          <w:spacing w:val="5"/>
          <w:sz w:val="16"/>
          <w:szCs w:val="16"/>
        </w:rPr>
        <w:t>2006[R]</w:t>
      </w:r>
      <w:r>
        <w:rPr>
          <w:rFonts w:ascii="微软雅黑" w:hAnsi="微软雅黑" w:eastAsia="微软雅黑" w:cs="微软雅黑"/>
          <w:spacing w:val="-19"/>
          <w:sz w:val="16"/>
          <w:szCs w:val="16"/>
        </w:rPr>
        <w:t xml:space="preserve"> </w:t>
      </w:r>
      <w:r>
        <w:rPr>
          <w:rFonts w:ascii="微软雅黑" w:hAnsi="微软雅黑" w:eastAsia="微软雅黑" w:cs="微软雅黑"/>
          <w:spacing w:val="5"/>
          <w:sz w:val="16"/>
          <w:szCs w:val="16"/>
        </w:rPr>
        <w:t xml:space="preserve">. </w:t>
      </w:r>
      <w:r>
        <w:rPr>
          <w:rFonts w:ascii="微软雅黑" w:hAnsi="微软雅黑" w:eastAsia="微软雅黑" w:cs="微软雅黑"/>
          <w:sz w:val="16"/>
          <w:szCs w:val="16"/>
        </w:rPr>
        <w:t>Brussels</w:t>
      </w:r>
      <w:r>
        <w:rPr>
          <w:rFonts w:ascii="微软雅黑" w:hAnsi="微软雅黑" w:eastAsia="微软雅黑" w:cs="微软雅黑"/>
          <w:spacing w:val="5"/>
          <w:sz w:val="16"/>
          <w:szCs w:val="16"/>
        </w:rPr>
        <w:t>:</w:t>
      </w:r>
      <w:r>
        <w:rPr>
          <w:rFonts w:ascii="微软雅黑" w:hAnsi="微软雅黑" w:eastAsia="微软雅黑" w:cs="微软雅黑"/>
          <w:sz w:val="16"/>
          <w:szCs w:val="16"/>
        </w:rPr>
        <w:t>EUA</w:t>
      </w:r>
      <w:r>
        <w:rPr>
          <w:rFonts w:ascii="微软雅黑" w:hAnsi="微软雅黑" w:eastAsia="微软雅黑" w:cs="微软雅黑"/>
          <w:spacing w:val="-20"/>
          <w:sz w:val="16"/>
          <w:szCs w:val="16"/>
        </w:rPr>
        <w:t xml:space="preserve"> </w:t>
      </w:r>
      <w:r>
        <w:rPr>
          <w:rFonts w:ascii="微软雅黑" w:hAnsi="微软雅黑" w:eastAsia="微软雅黑" w:cs="微软雅黑"/>
          <w:spacing w:val="5"/>
          <w:position w:val="2"/>
          <w:sz w:val="16"/>
          <w:szCs w:val="16"/>
        </w:rPr>
        <w:t>,</w:t>
      </w:r>
      <w:r>
        <w:rPr>
          <w:rFonts w:ascii="微软雅黑" w:hAnsi="微软雅黑" w:eastAsia="微软雅黑" w:cs="微软雅黑"/>
          <w:spacing w:val="-12"/>
          <w:position w:val="2"/>
          <w:sz w:val="16"/>
          <w:szCs w:val="16"/>
        </w:rPr>
        <w:t xml:space="preserve"> </w:t>
      </w:r>
      <w:r>
        <w:rPr>
          <w:rFonts w:ascii="微软雅黑" w:hAnsi="微软雅黑" w:eastAsia="微软雅黑" w:cs="微软雅黑"/>
          <w:spacing w:val="5"/>
          <w:sz w:val="16"/>
          <w:szCs w:val="16"/>
        </w:rPr>
        <w:t>2006</w:t>
      </w:r>
      <w:r>
        <w:rPr>
          <w:rFonts w:ascii="微软雅黑" w:hAnsi="微软雅黑" w:eastAsia="微软雅黑" w:cs="微软雅黑"/>
          <w:spacing w:val="4"/>
          <w:sz w:val="16"/>
          <w:szCs w:val="16"/>
        </w:rPr>
        <w:t>:6-18</w:t>
      </w:r>
      <w:r>
        <w:rPr>
          <w:rFonts w:ascii="微软雅黑" w:hAnsi="微软雅黑" w:eastAsia="微软雅黑" w:cs="微软雅黑"/>
          <w:spacing w:val="-25"/>
          <w:sz w:val="16"/>
          <w:szCs w:val="16"/>
        </w:rPr>
        <w:t xml:space="preserve"> </w:t>
      </w:r>
      <w:r>
        <w:rPr>
          <w:rFonts w:ascii="微软雅黑" w:hAnsi="微软雅黑" w:eastAsia="微软雅黑" w:cs="微软雅黑"/>
          <w:spacing w:val="4"/>
          <w:sz w:val="16"/>
          <w:szCs w:val="16"/>
        </w:rPr>
        <w:t>.</w:t>
      </w:r>
    </w:p>
    <w:p>
      <w:pPr>
        <w:spacing w:before="50" w:line="218" w:lineRule="auto"/>
        <w:ind w:left="281" w:right="107" w:hanging="272"/>
        <w:rPr>
          <w:rFonts w:ascii="微软雅黑" w:hAnsi="微软雅黑" w:eastAsia="微软雅黑" w:cs="微软雅黑"/>
          <w:sz w:val="16"/>
          <w:szCs w:val="16"/>
        </w:rPr>
      </w:pPr>
      <w:r>
        <w:rPr>
          <w:rFonts w:ascii="微软雅黑" w:hAnsi="微软雅黑" w:eastAsia="微软雅黑" w:cs="微软雅黑"/>
          <w:spacing w:val="-1"/>
          <w:sz w:val="16"/>
          <w:szCs w:val="16"/>
        </w:rPr>
        <w:t>[6]赵鑫全</w:t>
      </w:r>
      <w:r>
        <w:rPr>
          <w:rFonts w:ascii="微软雅黑" w:hAnsi="微软雅黑" w:eastAsia="微软雅黑" w:cs="微软雅黑"/>
          <w:spacing w:val="-1"/>
          <w:position w:val="-2"/>
          <w:sz w:val="16"/>
          <w:szCs w:val="16"/>
        </w:rPr>
        <w:t>．</w:t>
      </w:r>
      <w:r>
        <w:rPr>
          <w:rFonts w:ascii="微软雅黑" w:hAnsi="微软雅黑" w:eastAsia="微软雅黑" w:cs="微软雅黑"/>
          <w:spacing w:val="-1"/>
          <w:sz w:val="16"/>
          <w:szCs w:val="16"/>
        </w:rPr>
        <w:t>试</w:t>
      </w:r>
      <w:r>
        <w:rPr>
          <w:rFonts w:ascii="微软雅黑" w:hAnsi="微软雅黑" w:eastAsia="微软雅黑" w:cs="微软雅黑"/>
          <w:spacing w:val="-23"/>
          <w:sz w:val="16"/>
          <w:szCs w:val="16"/>
        </w:rPr>
        <w:t xml:space="preserve"> </w:t>
      </w:r>
      <w:r>
        <w:rPr>
          <w:rFonts w:ascii="微软雅黑" w:hAnsi="微软雅黑" w:eastAsia="微软雅黑" w:cs="微软雅黑"/>
          <w:spacing w:val="-1"/>
          <w:sz w:val="16"/>
          <w:szCs w:val="16"/>
        </w:rPr>
        <w:t>论 高</w:t>
      </w:r>
      <w:r>
        <w:rPr>
          <w:rFonts w:ascii="微软雅黑" w:hAnsi="微软雅黑" w:eastAsia="微软雅黑" w:cs="微软雅黑"/>
          <w:spacing w:val="-22"/>
          <w:sz w:val="16"/>
          <w:szCs w:val="16"/>
        </w:rPr>
        <w:t xml:space="preserve"> </w:t>
      </w:r>
      <w:r>
        <w:rPr>
          <w:rFonts w:ascii="微软雅黑" w:hAnsi="微软雅黑" w:eastAsia="微软雅黑" w:cs="微软雅黑"/>
          <w:spacing w:val="-1"/>
          <w:sz w:val="16"/>
          <w:szCs w:val="16"/>
        </w:rPr>
        <w:t>校</w:t>
      </w:r>
      <w:r>
        <w:rPr>
          <w:rFonts w:ascii="微软雅黑" w:hAnsi="微软雅黑" w:eastAsia="微软雅黑" w:cs="微软雅黑"/>
          <w:spacing w:val="-21"/>
          <w:sz w:val="16"/>
          <w:szCs w:val="16"/>
        </w:rPr>
        <w:t xml:space="preserve"> </w:t>
      </w:r>
      <w:r>
        <w:rPr>
          <w:rFonts w:ascii="微软雅黑" w:hAnsi="微软雅黑" w:eastAsia="微软雅黑" w:cs="微软雅黑"/>
          <w:spacing w:val="-1"/>
          <w:sz w:val="16"/>
          <w:szCs w:val="16"/>
        </w:rPr>
        <w:t>发</w:t>
      </w:r>
      <w:r>
        <w:rPr>
          <w:rFonts w:ascii="微软雅黑" w:hAnsi="微软雅黑" w:eastAsia="微软雅黑" w:cs="微软雅黑"/>
          <w:spacing w:val="-24"/>
          <w:sz w:val="16"/>
          <w:szCs w:val="16"/>
        </w:rPr>
        <w:t xml:space="preserve"> </w:t>
      </w:r>
      <w:r>
        <w:rPr>
          <w:rFonts w:ascii="微软雅黑" w:hAnsi="微软雅黑" w:eastAsia="微软雅黑" w:cs="微软雅黑"/>
          <w:spacing w:val="-1"/>
          <w:sz w:val="16"/>
          <w:szCs w:val="16"/>
        </w:rPr>
        <w:t>展</w:t>
      </w:r>
      <w:r>
        <w:rPr>
          <w:rFonts w:ascii="微软雅黑" w:hAnsi="微软雅黑" w:eastAsia="微软雅黑" w:cs="微软雅黑"/>
          <w:spacing w:val="-13"/>
          <w:sz w:val="16"/>
          <w:szCs w:val="16"/>
        </w:rPr>
        <w:t xml:space="preserve"> </w:t>
      </w:r>
      <w:r>
        <w:rPr>
          <w:rFonts w:ascii="微软雅黑" w:hAnsi="微软雅黑" w:eastAsia="微软雅黑" w:cs="微软雅黑"/>
          <w:spacing w:val="-1"/>
          <w:sz w:val="16"/>
          <w:szCs w:val="16"/>
        </w:rPr>
        <w:t>战</w:t>
      </w:r>
      <w:r>
        <w:rPr>
          <w:rFonts w:ascii="微软雅黑" w:hAnsi="微软雅黑" w:eastAsia="微软雅黑" w:cs="微软雅黑"/>
          <w:spacing w:val="-20"/>
          <w:sz w:val="16"/>
          <w:szCs w:val="16"/>
        </w:rPr>
        <w:t xml:space="preserve"> </w:t>
      </w:r>
      <w:r>
        <w:rPr>
          <w:rFonts w:ascii="微软雅黑" w:hAnsi="微软雅黑" w:eastAsia="微软雅黑" w:cs="微软雅黑"/>
          <w:spacing w:val="-1"/>
          <w:sz w:val="16"/>
          <w:szCs w:val="16"/>
        </w:rPr>
        <w:t>略</w:t>
      </w:r>
      <w:r>
        <w:rPr>
          <w:rFonts w:ascii="微软雅黑" w:hAnsi="微软雅黑" w:eastAsia="微软雅黑" w:cs="微软雅黑"/>
          <w:spacing w:val="-24"/>
          <w:sz w:val="16"/>
          <w:szCs w:val="16"/>
        </w:rPr>
        <w:t xml:space="preserve"> </w:t>
      </w:r>
      <w:r>
        <w:rPr>
          <w:rFonts w:ascii="微软雅黑" w:hAnsi="微软雅黑" w:eastAsia="微软雅黑" w:cs="微软雅黑"/>
          <w:spacing w:val="-1"/>
          <w:sz w:val="16"/>
          <w:szCs w:val="16"/>
        </w:rPr>
        <w:t>规</w:t>
      </w:r>
      <w:r>
        <w:rPr>
          <w:rFonts w:ascii="微软雅黑" w:hAnsi="微软雅黑" w:eastAsia="微软雅黑" w:cs="微软雅黑"/>
          <w:spacing w:val="-15"/>
          <w:sz w:val="16"/>
          <w:szCs w:val="16"/>
        </w:rPr>
        <w:t xml:space="preserve"> </w:t>
      </w:r>
      <w:r>
        <w:rPr>
          <w:rFonts w:ascii="微软雅黑" w:hAnsi="微软雅黑" w:eastAsia="微软雅黑" w:cs="微软雅黑"/>
          <w:spacing w:val="-1"/>
          <w:sz w:val="16"/>
          <w:szCs w:val="16"/>
        </w:rPr>
        <w:t>划：作</w:t>
      </w:r>
      <w:r>
        <w:rPr>
          <w:rFonts w:ascii="微软雅黑" w:hAnsi="微软雅黑" w:eastAsia="微软雅黑" w:cs="微软雅黑"/>
          <w:spacing w:val="-10"/>
          <w:sz w:val="16"/>
          <w:szCs w:val="16"/>
        </w:rPr>
        <w:t xml:space="preserve"> </w:t>
      </w:r>
      <w:r>
        <w:rPr>
          <w:rFonts w:ascii="微软雅黑" w:hAnsi="微软雅黑" w:eastAsia="微软雅黑" w:cs="微软雅黑"/>
          <w:spacing w:val="-1"/>
          <w:sz w:val="16"/>
          <w:szCs w:val="16"/>
        </w:rPr>
        <w:t>用</w:t>
      </w:r>
      <w:r>
        <w:rPr>
          <w:rFonts w:ascii="微软雅黑" w:hAnsi="微软雅黑" w:eastAsia="微软雅黑" w:cs="微软雅黑"/>
          <w:spacing w:val="-21"/>
          <w:sz w:val="16"/>
          <w:szCs w:val="16"/>
        </w:rPr>
        <w:t xml:space="preserve"> </w:t>
      </w:r>
      <w:r>
        <w:rPr>
          <w:rFonts w:ascii="微软雅黑" w:hAnsi="微软雅黑" w:eastAsia="微软雅黑" w:cs="微软雅黑"/>
          <w:spacing w:val="-1"/>
          <w:sz w:val="16"/>
          <w:szCs w:val="16"/>
        </w:rPr>
        <w:t>、问</w:t>
      </w:r>
      <w:r>
        <w:rPr>
          <w:rFonts w:ascii="微软雅黑" w:hAnsi="微软雅黑" w:eastAsia="微软雅黑" w:cs="微软雅黑"/>
          <w:spacing w:val="-22"/>
          <w:sz w:val="16"/>
          <w:szCs w:val="16"/>
        </w:rPr>
        <w:t xml:space="preserve"> </w:t>
      </w:r>
      <w:r>
        <w:rPr>
          <w:rFonts w:ascii="微软雅黑" w:hAnsi="微软雅黑" w:eastAsia="微软雅黑" w:cs="微软雅黑"/>
          <w:spacing w:val="-1"/>
          <w:sz w:val="16"/>
          <w:szCs w:val="16"/>
        </w:rPr>
        <w:t>题</w:t>
      </w:r>
      <w:r>
        <w:rPr>
          <w:rFonts w:ascii="微软雅黑" w:hAnsi="微软雅黑" w:eastAsia="微软雅黑" w:cs="微软雅黑"/>
          <w:spacing w:val="-22"/>
          <w:sz w:val="16"/>
          <w:szCs w:val="16"/>
        </w:rPr>
        <w:t xml:space="preserve"> </w:t>
      </w:r>
      <w:r>
        <w:rPr>
          <w:rFonts w:ascii="微软雅黑" w:hAnsi="微软雅黑" w:eastAsia="微软雅黑" w:cs="微软雅黑"/>
          <w:spacing w:val="-1"/>
          <w:sz w:val="16"/>
          <w:szCs w:val="16"/>
        </w:rPr>
        <w:t>与</w:t>
      </w:r>
      <w:r>
        <w:rPr>
          <w:rFonts w:ascii="微软雅黑" w:hAnsi="微软雅黑" w:eastAsia="微软雅黑" w:cs="微软雅黑"/>
          <w:spacing w:val="-17"/>
          <w:sz w:val="16"/>
          <w:szCs w:val="16"/>
        </w:rPr>
        <w:t xml:space="preserve"> </w:t>
      </w:r>
      <w:r>
        <w:rPr>
          <w:rFonts w:ascii="微软雅黑" w:hAnsi="微软雅黑" w:eastAsia="微软雅黑" w:cs="微软雅黑"/>
          <w:spacing w:val="-1"/>
          <w:sz w:val="16"/>
          <w:szCs w:val="16"/>
        </w:rPr>
        <w:t>对</w:t>
      </w:r>
      <w:r>
        <w:rPr>
          <w:rFonts w:ascii="微软雅黑" w:hAnsi="微软雅黑" w:eastAsia="微软雅黑" w:cs="微软雅黑"/>
          <w:spacing w:val="-15"/>
          <w:sz w:val="16"/>
          <w:szCs w:val="16"/>
        </w:rPr>
        <w:t xml:space="preserve"> </w:t>
      </w:r>
      <w:r>
        <w:rPr>
          <w:rFonts w:ascii="微软雅黑" w:hAnsi="微软雅黑" w:eastAsia="微软雅黑" w:cs="微软雅黑"/>
          <w:spacing w:val="-1"/>
          <w:sz w:val="16"/>
          <w:szCs w:val="16"/>
        </w:rPr>
        <w:t>策</w:t>
      </w:r>
      <w:r>
        <w:rPr>
          <w:rFonts w:ascii="微软雅黑" w:hAnsi="微软雅黑" w:eastAsia="微软雅黑" w:cs="微软雅黑"/>
          <w:spacing w:val="-10"/>
          <w:sz w:val="16"/>
          <w:szCs w:val="16"/>
        </w:rPr>
        <w:t xml:space="preserve"> </w:t>
      </w:r>
      <w:r>
        <w:rPr>
          <w:rFonts w:ascii="微软雅黑" w:hAnsi="微软雅黑" w:eastAsia="微软雅黑" w:cs="微软雅黑"/>
          <w:spacing w:val="-1"/>
          <w:sz w:val="16"/>
          <w:szCs w:val="16"/>
        </w:rPr>
        <w:t>[</w:t>
      </w:r>
      <w:r>
        <w:rPr>
          <w:rFonts w:ascii="微软雅黑" w:hAnsi="微软雅黑" w:eastAsia="微软雅黑" w:cs="微软雅黑"/>
          <w:spacing w:val="-2"/>
          <w:sz w:val="16"/>
          <w:szCs w:val="16"/>
        </w:rPr>
        <w:t>J]</w:t>
      </w:r>
      <w:r>
        <w:rPr>
          <w:rFonts w:ascii="微软雅黑" w:hAnsi="微软雅黑" w:eastAsia="微软雅黑" w:cs="微软雅黑"/>
          <w:spacing w:val="-15"/>
          <w:sz w:val="16"/>
          <w:szCs w:val="16"/>
        </w:rPr>
        <w:t xml:space="preserve"> </w:t>
      </w:r>
      <w:r>
        <w:rPr>
          <w:rFonts w:ascii="微软雅黑" w:hAnsi="微软雅黑" w:eastAsia="微软雅黑" w:cs="微软雅黑"/>
          <w:spacing w:val="-2"/>
          <w:position w:val="-2"/>
          <w:sz w:val="16"/>
          <w:szCs w:val="16"/>
        </w:rPr>
        <w:t>.</w:t>
      </w:r>
      <w:r>
        <w:rPr>
          <w:rFonts w:ascii="微软雅黑" w:hAnsi="微软雅黑" w:eastAsia="微软雅黑" w:cs="微软雅黑"/>
          <w:position w:val="-2"/>
          <w:sz w:val="16"/>
          <w:szCs w:val="16"/>
        </w:rPr>
        <w:t xml:space="preserve"> </w:t>
      </w:r>
      <w:r>
        <w:rPr>
          <w:rFonts w:ascii="微软雅黑" w:hAnsi="微软雅黑" w:eastAsia="微软雅黑" w:cs="微软雅黑"/>
          <w:spacing w:val="7"/>
          <w:sz w:val="16"/>
          <w:szCs w:val="16"/>
        </w:rPr>
        <w:t>黑龙江高教研究，2017(12) :75-78</w:t>
      </w:r>
      <w:r>
        <w:rPr>
          <w:rFonts w:ascii="微软雅黑" w:hAnsi="微软雅黑" w:eastAsia="微软雅黑" w:cs="微软雅黑"/>
          <w:spacing w:val="-13"/>
          <w:sz w:val="16"/>
          <w:szCs w:val="16"/>
        </w:rPr>
        <w:t xml:space="preserve"> </w:t>
      </w:r>
      <w:r>
        <w:rPr>
          <w:rFonts w:ascii="微软雅黑" w:hAnsi="微软雅黑" w:eastAsia="微软雅黑" w:cs="微软雅黑"/>
          <w:spacing w:val="7"/>
          <w:position w:val="-1"/>
          <w:sz w:val="16"/>
          <w:szCs w:val="16"/>
        </w:rPr>
        <w:t>.</w:t>
      </w:r>
    </w:p>
    <w:p>
      <w:pPr>
        <w:spacing w:before="34" w:line="169" w:lineRule="exact"/>
        <w:jc w:val="right"/>
        <w:rPr>
          <w:rFonts w:ascii="微软雅黑" w:hAnsi="微软雅黑" w:eastAsia="微软雅黑" w:cs="微软雅黑"/>
          <w:sz w:val="16"/>
          <w:szCs w:val="16"/>
        </w:rPr>
      </w:pPr>
      <w:r>
        <w:rPr>
          <w:rFonts w:ascii="微软雅黑" w:hAnsi="微软雅黑" w:eastAsia="微软雅黑" w:cs="微软雅黑"/>
          <w:spacing w:val="8"/>
          <w:sz w:val="16"/>
          <w:szCs w:val="16"/>
        </w:rPr>
        <w:t>（下转第</w:t>
      </w:r>
      <w:r>
        <w:rPr>
          <w:rFonts w:ascii="微软雅黑" w:hAnsi="微软雅黑" w:eastAsia="微软雅黑" w:cs="微软雅黑"/>
          <w:spacing w:val="18"/>
          <w:w w:val="101"/>
          <w:sz w:val="16"/>
          <w:szCs w:val="16"/>
        </w:rPr>
        <w:t xml:space="preserve"> </w:t>
      </w:r>
      <w:r>
        <w:rPr>
          <w:rFonts w:ascii="微软雅黑" w:hAnsi="微软雅黑" w:eastAsia="微软雅黑" w:cs="微软雅黑"/>
          <w:spacing w:val="8"/>
          <w:sz w:val="16"/>
          <w:szCs w:val="16"/>
        </w:rPr>
        <w:t>89页）</w:t>
      </w:r>
    </w:p>
    <w:p>
      <w:pPr>
        <w:spacing w:line="169" w:lineRule="exact"/>
        <w:rPr>
          <w:rFonts w:ascii="微软雅黑" w:hAnsi="微软雅黑" w:eastAsia="微软雅黑" w:cs="微软雅黑"/>
          <w:sz w:val="16"/>
          <w:szCs w:val="16"/>
        </w:rPr>
        <w:sectPr>
          <w:type w:val="continuous"/>
          <w:pgSz w:w="12246" w:h="16498"/>
          <w:pgMar w:top="400" w:right="1245" w:bottom="547" w:left="407" w:header="0" w:footer="354" w:gutter="0"/>
          <w:cols w:equalWidth="0" w:num="2">
            <w:col w:w="5807" w:space="100"/>
            <w:col w:w="4686"/>
          </w:cols>
        </w:sectPr>
      </w:pPr>
    </w:p>
    <w:p>
      <w:pPr>
        <w:spacing w:before="147" w:line="136" w:lineRule="exact"/>
        <w:ind w:left="1061"/>
        <w:rPr>
          <w:rFonts w:ascii="微软雅黑" w:hAnsi="微软雅黑" w:eastAsia="微软雅黑" w:cs="微软雅黑"/>
          <w:sz w:val="19"/>
          <w:szCs w:val="19"/>
        </w:rPr>
      </w:pPr>
      <w:r>
        <w:rPr>
          <w:rFonts w:ascii="微软雅黑" w:hAnsi="微软雅黑" w:eastAsia="微软雅黑" w:cs="微软雅黑"/>
          <w:spacing w:val="-20"/>
          <w:position w:val="-3"/>
          <w:sz w:val="19"/>
          <w:szCs w:val="19"/>
        </w:rPr>
        <w:t>72</w:t>
      </w:r>
    </w:p>
    <w:p>
      <w:pPr>
        <w:spacing w:line="136" w:lineRule="exact"/>
        <w:rPr>
          <w:rFonts w:ascii="微软雅黑" w:hAnsi="微软雅黑" w:eastAsia="微软雅黑" w:cs="微软雅黑"/>
          <w:sz w:val="19"/>
          <w:szCs w:val="19"/>
        </w:rPr>
        <w:sectPr>
          <w:type w:val="continuous"/>
          <w:pgSz w:w="12246" w:h="16498"/>
          <w:pgMar w:top="400" w:right="1245" w:bottom="547" w:left="407" w:header="0" w:footer="354" w:gutter="0"/>
          <w:cols w:equalWidth="0" w:num="1">
            <w:col w:w="10593"/>
          </w:cols>
        </w:sectPr>
      </w:pPr>
    </w:p>
    <w:p>
      <w:pPr>
        <w:spacing w:before="301" w:line="177" w:lineRule="auto"/>
        <w:ind w:left="1781"/>
        <w:rPr>
          <w:rFonts w:ascii="微软雅黑" w:hAnsi="微软雅黑" w:eastAsia="微软雅黑" w:cs="微软雅黑"/>
          <w:sz w:val="40"/>
          <w:szCs w:val="40"/>
        </w:rPr>
      </w:pPr>
      <w:r>
        <w:rPr>
          <w:rFonts w:ascii="微软雅黑" w:hAnsi="微软雅黑" w:eastAsia="微软雅黑" w:cs="微软雅黑"/>
          <w:color w:val="231F20"/>
          <w:spacing w:val="-3"/>
          <w:sz w:val="40"/>
          <w:szCs w:val="40"/>
        </w:rPr>
        <w:t>以学生为中心教育质量文化建设研究与实践</w:t>
      </w:r>
    </w:p>
    <w:p>
      <w:pPr>
        <w:pStyle w:val="2"/>
        <w:spacing w:before="154" w:line="218" w:lineRule="auto"/>
        <w:ind w:left="4230"/>
        <w:rPr>
          <w:sz w:val="13"/>
          <w:szCs w:val="13"/>
        </w:rPr>
      </w:pPr>
      <w:r>
        <w:rPr>
          <w:color w:val="231F20"/>
          <w:spacing w:val="-8"/>
          <w:sz w:val="24"/>
          <w:szCs w:val="24"/>
        </w:rPr>
        <w:t>周树堂</w:t>
      </w:r>
      <w:r>
        <w:rPr>
          <w:color w:val="231F20"/>
          <w:spacing w:val="-39"/>
          <w:sz w:val="24"/>
          <w:szCs w:val="24"/>
        </w:rPr>
        <w:t xml:space="preserve"> </w:t>
      </w:r>
      <w:r>
        <w:rPr>
          <w:color w:val="231F20"/>
          <w:spacing w:val="-8"/>
          <w:position w:val="10"/>
          <w:sz w:val="13"/>
          <w:szCs w:val="13"/>
        </w:rPr>
        <w:t>1</w:t>
      </w:r>
      <w:r>
        <w:rPr>
          <w:color w:val="231F20"/>
          <w:spacing w:val="20"/>
          <w:position w:val="10"/>
          <w:sz w:val="13"/>
          <w:szCs w:val="13"/>
        </w:rPr>
        <w:t xml:space="preserve"> </w:t>
      </w:r>
      <w:r>
        <w:rPr>
          <w:color w:val="231F20"/>
          <w:spacing w:val="-8"/>
          <w:sz w:val="24"/>
          <w:szCs w:val="24"/>
        </w:rPr>
        <w:t>颉潭成</w:t>
      </w:r>
      <w:r>
        <w:rPr>
          <w:color w:val="231F20"/>
          <w:spacing w:val="-57"/>
          <w:sz w:val="24"/>
          <w:szCs w:val="24"/>
        </w:rPr>
        <w:t xml:space="preserve"> </w:t>
      </w:r>
      <w:r>
        <w:rPr>
          <w:color w:val="231F20"/>
          <w:spacing w:val="-8"/>
          <w:position w:val="10"/>
          <w:sz w:val="13"/>
          <w:szCs w:val="13"/>
        </w:rPr>
        <w:t>2</w:t>
      </w:r>
      <w:r>
        <w:rPr>
          <w:color w:val="231F20"/>
          <w:spacing w:val="24"/>
          <w:position w:val="10"/>
          <w:sz w:val="13"/>
          <w:szCs w:val="13"/>
        </w:rPr>
        <w:t xml:space="preserve"> </w:t>
      </w:r>
      <w:r>
        <w:rPr>
          <w:color w:val="231F20"/>
          <w:spacing w:val="-8"/>
          <w:sz w:val="24"/>
          <w:szCs w:val="24"/>
        </w:rPr>
        <w:t>王淑敏</w:t>
      </w:r>
      <w:r>
        <w:rPr>
          <w:color w:val="231F20"/>
          <w:spacing w:val="-51"/>
          <w:sz w:val="24"/>
          <w:szCs w:val="24"/>
        </w:rPr>
        <w:t xml:space="preserve"> </w:t>
      </w:r>
      <w:r>
        <w:rPr>
          <w:color w:val="231F20"/>
          <w:spacing w:val="-8"/>
          <w:position w:val="10"/>
          <w:sz w:val="13"/>
          <w:szCs w:val="13"/>
        </w:rPr>
        <w:t>1</w:t>
      </w:r>
    </w:p>
    <w:p>
      <w:pPr>
        <w:spacing w:before="173" w:line="242" w:lineRule="exact"/>
        <w:ind w:left="2899"/>
        <w:rPr>
          <w:rFonts w:ascii="宋体" w:hAnsi="宋体" w:eastAsia="宋体" w:cs="宋体"/>
          <w:sz w:val="18"/>
          <w:szCs w:val="18"/>
        </w:rPr>
      </w:pPr>
      <w:r>
        <w:rPr>
          <w:rFonts w:ascii="宋体" w:hAnsi="宋体" w:eastAsia="宋体" w:cs="宋体"/>
          <w:color w:val="231F20"/>
          <w:spacing w:val="-6"/>
          <w:position w:val="1"/>
          <w:sz w:val="18"/>
          <w:szCs w:val="18"/>
        </w:rPr>
        <w:t>（1.</w:t>
      </w:r>
      <w:r>
        <w:rPr>
          <w:rFonts w:ascii="宋体" w:hAnsi="宋体" w:eastAsia="宋体" w:cs="宋体"/>
          <w:color w:val="231F20"/>
          <w:spacing w:val="-25"/>
          <w:position w:val="1"/>
          <w:sz w:val="18"/>
          <w:szCs w:val="18"/>
        </w:rPr>
        <w:t xml:space="preserve"> </w:t>
      </w:r>
      <w:r>
        <w:rPr>
          <w:rFonts w:ascii="宋体" w:hAnsi="宋体" w:eastAsia="宋体" w:cs="宋体"/>
          <w:color w:val="231F20"/>
          <w:spacing w:val="-6"/>
          <w:position w:val="1"/>
          <w:sz w:val="18"/>
          <w:szCs w:val="18"/>
        </w:rPr>
        <w:t>河南科技大学；2.</w:t>
      </w:r>
      <w:r>
        <w:rPr>
          <w:rFonts w:ascii="宋体" w:hAnsi="宋体" w:eastAsia="宋体" w:cs="宋体"/>
          <w:color w:val="231F20"/>
          <w:spacing w:val="-36"/>
          <w:position w:val="1"/>
          <w:sz w:val="18"/>
          <w:szCs w:val="18"/>
        </w:rPr>
        <w:t xml:space="preserve"> </w:t>
      </w:r>
      <w:r>
        <w:rPr>
          <w:rFonts w:ascii="宋体" w:hAnsi="宋体" w:eastAsia="宋体" w:cs="宋体"/>
          <w:color w:val="231F20"/>
          <w:spacing w:val="-6"/>
          <w:position w:val="1"/>
          <w:sz w:val="18"/>
          <w:szCs w:val="18"/>
        </w:rPr>
        <w:t>三门峡职业技术学院  河南  洛阳  471000）</w:t>
      </w:r>
    </w:p>
    <w:p>
      <w:pPr>
        <w:spacing w:line="252" w:lineRule="auto"/>
        <w:rPr>
          <w:rFonts w:ascii="Arial"/>
          <w:sz w:val="21"/>
        </w:rPr>
      </w:pPr>
    </w:p>
    <w:p>
      <w:pPr>
        <w:pStyle w:val="2"/>
        <w:spacing w:before="65" w:line="256" w:lineRule="auto"/>
        <w:ind w:left="972" w:right="489" w:firstLine="378"/>
        <w:jc w:val="both"/>
        <w:rPr>
          <w:sz w:val="19"/>
          <w:szCs w:val="19"/>
        </w:rPr>
      </w:pPr>
      <w:r>
        <w:rPr>
          <w:rFonts w:ascii="黑体" w:hAnsi="黑体" w:eastAsia="黑体" w:cs="黑体"/>
          <w:color w:val="231F20"/>
          <w:spacing w:val="5"/>
          <w:position w:val="-1"/>
          <w:sz w:val="20"/>
          <w:szCs w:val="20"/>
        </w:rPr>
        <w:t>摘</w:t>
      </w:r>
      <w:r>
        <w:rPr>
          <w:rFonts w:ascii="黑体" w:hAnsi="黑体" w:eastAsia="黑体" w:cs="黑体"/>
          <w:color w:val="231F20"/>
          <w:spacing w:val="-9"/>
          <w:position w:val="-1"/>
          <w:sz w:val="20"/>
          <w:szCs w:val="20"/>
        </w:rPr>
        <w:t xml:space="preserve"> </w:t>
      </w:r>
      <w:r>
        <w:rPr>
          <w:rFonts w:ascii="黑体" w:hAnsi="黑体" w:eastAsia="黑体" w:cs="黑体"/>
          <w:color w:val="231F20"/>
          <w:spacing w:val="5"/>
          <w:position w:val="-1"/>
          <w:sz w:val="20"/>
          <w:szCs w:val="20"/>
        </w:rPr>
        <w:t>要：</w:t>
      </w:r>
      <w:r>
        <w:rPr>
          <w:rFonts w:ascii="黑体" w:hAnsi="黑体" w:eastAsia="黑体" w:cs="黑体"/>
          <w:color w:val="231F20"/>
          <w:spacing w:val="-22"/>
          <w:position w:val="-1"/>
          <w:sz w:val="20"/>
          <w:szCs w:val="20"/>
        </w:rPr>
        <w:t xml:space="preserve"> </w:t>
      </w:r>
      <w:r>
        <w:rPr>
          <w:color w:val="231F20"/>
          <w:spacing w:val="5"/>
          <w:sz w:val="19"/>
          <w:szCs w:val="19"/>
        </w:rPr>
        <w:t>新时代背景下，随着高等教育的内涵式发展，高等教育的质量标准、发展类型也要从同质化转</w:t>
      </w:r>
      <w:r>
        <w:rPr>
          <w:color w:val="231F20"/>
          <w:sz w:val="19"/>
          <w:szCs w:val="19"/>
        </w:rPr>
        <w:t xml:space="preserve"> 向多元化。各高校要因地制宜、因材施教，</w:t>
      </w:r>
      <w:r>
        <w:rPr>
          <w:color w:val="231F20"/>
          <w:spacing w:val="57"/>
          <w:sz w:val="19"/>
          <w:szCs w:val="19"/>
        </w:rPr>
        <w:t xml:space="preserve"> </w:t>
      </w:r>
      <w:r>
        <w:rPr>
          <w:color w:val="231F20"/>
          <w:sz w:val="19"/>
          <w:szCs w:val="19"/>
        </w:rPr>
        <w:t>结合自己的办学背景，</w:t>
      </w:r>
      <w:r>
        <w:rPr>
          <w:color w:val="231F20"/>
          <w:spacing w:val="52"/>
          <w:sz w:val="19"/>
          <w:szCs w:val="19"/>
        </w:rPr>
        <w:t xml:space="preserve"> </w:t>
      </w:r>
      <w:r>
        <w:rPr>
          <w:color w:val="231F20"/>
          <w:sz w:val="19"/>
          <w:szCs w:val="19"/>
        </w:rPr>
        <w:t>通过制度标准</w:t>
      </w:r>
      <w:r>
        <w:rPr>
          <w:color w:val="231F20"/>
          <w:spacing w:val="-1"/>
          <w:sz w:val="19"/>
          <w:szCs w:val="19"/>
        </w:rPr>
        <w:t>先行、实施学风建设工程、</w:t>
      </w:r>
      <w:r>
        <w:rPr>
          <w:color w:val="231F20"/>
          <w:sz w:val="19"/>
          <w:szCs w:val="19"/>
        </w:rPr>
        <w:t xml:space="preserve"> </w:t>
      </w:r>
      <w:r>
        <w:rPr>
          <w:color w:val="231F20"/>
          <w:spacing w:val="-1"/>
          <w:sz w:val="19"/>
          <w:szCs w:val="19"/>
        </w:rPr>
        <w:t>完善质量保障体系， 以适切机遇为抓手，</w:t>
      </w:r>
      <w:r>
        <w:rPr>
          <w:color w:val="231F20"/>
          <w:spacing w:val="-20"/>
          <w:sz w:val="19"/>
          <w:szCs w:val="19"/>
        </w:rPr>
        <w:t xml:space="preserve"> </w:t>
      </w:r>
      <w:r>
        <w:rPr>
          <w:color w:val="231F20"/>
          <w:spacing w:val="-1"/>
          <w:sz w:val="19"/>
          <w:szCs w:val="19"/>
        </w:rPr>
        <w:t>探索适合自身发展</w:t>
      </w:r>
      <w:r>
        <w:rPr>
          <w:color w:val="231F20"/>
          <w:spacing w:val="-2"/>
          <w:sz w:val="19"/>
          <w:szCs w:val="19"/>
        </w:rPr>
        <w:t>的方法和路径。河南科技大学在长期办学实践中，</w:t>
      </w:r>
      <w:r>
        <w:rPr>
          <w:color w:val="231F20"/>
          <w:sz w:val="19"/>
          <w:szCs w:val="19"/>
        </w:rPr>
        <w:t xml:space="preserve"> </w:t>
      </w:r>
      <w:r>
        <w:rPr>
          <w:color w:val="231F20"/>
          <w:spacing w:val="7"/>
          <w:sz w:val="19"/>
          <w:szCs w:val="19"/>
        </w:rPr>
        <w:t>以审核评估和专业认证为契机，推进学校质量保障体系建</w:t>
      </w:r>
      <w:r>
        <w:rPr>
          <w:color w:val="231F20"/>
          <w:spacing w:val="6"/>
          <w:sz w:val="19"/>
          <w:szCs w:val="19"/>
        </w:rPr>
        <w:t>设和质量文化建设，学校办学质量持续跃升。</w:t>
      </w:r>
    </w:p>
    <w:p>
      <w:pPr>
        <w:pStyle w:val="2"/>
        <w:spacing w:before="66" w:line="223" w:lineRule="auto"/>
        <w:ind w:left="1359"/>
        <w:rPr>
          <w:sz w:val="19"/>
          <w:szCs w:val="19"/>
        </w:rPr>
      </w:pPr>
      <w:r>
        <w:rPr>
          <w:rFonts w:ascii="黑体" w:hAnsi="黑体" w:eastAsia="黑体" w:cs="黑体"/>
          <w:color w:val="231F20"/>
          <w:spacing w:val="-3"/>
          <w:position w:val="-1"/>
          <w:sz w:val="20"/>
          <w:szCs w:val="20"/>
        </w:rPr>
        <w:t xml:space="preserve">关键词： </w:t>
      </w:r>
      <w:r>
        <w:rPr>
          <w:color w:val="231F20"/>
          <w:spacing w:val="-3"/>
          <w:sz w:val="19"/>
          <w:szCs w:val="19"/>
        </w:rPr>
        <w:t>新时代</w:t>
      </w:r>
      <w:r>
        <w:rPr>
          <w:color w:val="231F20"/>
          <w:spacing w:val="91"/>
          <w:sz w:val="19"/>
          <w:szCs w:val="19"/>
        </w:rPr>
        <w:t xml:space="preserve"> </w:t>
      </w:r>
      <w:r>
        <w:rPr>
          <w:color w:val="231F20"/>
          <w:spacing w:val="-3"/>
          <w:sz w:val="19"/>
          <w:szCs w:val="19"/>
        </w:rPr>
        <w:t>背景</w:t>
      </w:r>
      <w:r>
        <w:rPr>
          <w:color w:val="231F20"/>
          <w:spacing w:val="71"/>
          <w:sz w:val="19"/>
          <w:szCs w:val="19"/>
        </w:rPr>
        <w:t xml:space="preserve"> </w:t>
      </w:r>
      <w:r>
        <w:rPr>
          <w:color w:val="231F20"/>
          <w:spacing w:val="-3"/>
          <w:sz w:val="19"/>
          <w:szCs w:val="19"/>
        </w:rPr>
        <w:t>学生为本</w:t>
      </w:r>
      <w:r>
        <w:rPr>
          <w:color w:val="231F20"/>
          <w:spacing w:val="53"/>
          <w:sz w:val="19"/>
          <w:szCs w:val="19"/>
        </w:rPr>
        <w:t xml:space="preserve"> </w:t>
      </w:r>
      <w:r>
        <w:rPr>
          <w:color w:val="231F20"/>
          <w:spacing w:val="-3"/>
          <w:sz w:val="19"/>
          <w:szCs w:val="19"/>
        </w:rPr>
        <w:t>质量文化</w:t>
      </w:r>
      <w:r>
        <w:rPr>
          <w:color w:val="231F20"/>
          <w:spacing w:val="62"/>
          <w:sz w:val="19"/>
          <w:szCs w:val="19"/>
        </w:rPr>
        <w:t xml:space="preserve"> </w:t>
      </w:r>
      <w:r>
        <w:rPr>
          <w:color w:val="231F20"/>
          <w:spacing w:val="-3"/>
          <w:sz w:val="19"/>
          <w:szCs w:val="19"/>
        </w:rPr>
        <w:t>建设策略</w:t>
      </w:r>
    </w:p>
    <w:p>
      <w:pPr>
        <w:spacing w:before="41" w:line="221" w:lineRule="auto"/>
        <w:ind w:left="1367"/>
        <w:rPr>
          <w:rFonts w:ascii="黑体" w:hAnsi="黑体" w:eastAsia="黑体" w:cs="黑体"/>
          <w:sz w:val="20"/>
          <w:szCs w:val="20"/>
        </w:rPr>
      </w:pPr>
      <w:r>
        <w:rPr>
          <w:rFonts w:ascii="黑体" w:hAnsi="黑体" w:eastAsia="黑体" w:cs="黑体"/>
          <w:color w:val="231F20"/>
          <w:sz w:val="20"/>
          <w:szCs w:val="20"/>
        </w:rPr>
        <w:t>中图分类号：G647 文献标识码：A  文章编号：</w:t>
      </w:r>
      <w:r>
        <w:rPr>
          <w:rFonts w:ascii="黑体" w:hAnsi="黑体" w:eastAsia="黑体" w:cs="黑体"/>
          <w:color w:val="231F20"/>
          <w:spacing w:val="-1"/>
          <w:sz w:val="20"/>
          <w:szCs w:val="20"/>
        </w:rPr>
        <w:t>1009-5349（2021）22-0033-04</w:t>
      </w:r>
    </w:p>
    <w:p>
      <w:pPr>
        <w:spacing w:line="215" w:lineRule="exact"/>
      </w:pPr>
    </w:p>
    <w:p>
      <w:pPr>
        <w:spacing w:line="215" w:lineRule="exact"/>
        <w:sectPr>
          <w:headerReference r:id="rId61" w:type="default"/>
          <w:footerReference r:id="rId62" w:type="default"/>
          <w:pgSz w:w="11906" w:h="16158"/>
          <w:pgMar w:top="1037" w:right="815" w:bottom="547" w:left="407" w:header="820" w:footer="354" w:gutter="0"/>
          <w:cols w:equalWidth="0" w:num="1">
            <w:col w:w="10682"/>
          </w:cols>
        </w:sectPr>
      </w:pPr>
    </w:p>
    <w:p>
      <w:pPr>
        <w:spacing w:before="45" w:line="266" w:lineRule="auto"/>
        <w:ind w:left="502" w:right="293" w:firstLine="448"/>
        <w:rPr>
          <w:rFonts w:ascii="宋体" w:hAnsi="宋体" w:eastAsia="宋体" w:cs="宋体"/>
          <w:sz w:val="20"/>
          <w:szCs w:val="20"/>
        </w:rPr>
      </w:pPr>
      <w:r>
        <w:rPr>
          <w:rFonts w:ascii="宋体" w:hAnsi="宋体" w:eastAsia="宋体" w:cs="宋体"/>
          <w:color w:val="231F20"/>
          <w:spacing w:val="17"/>
          <w:sz w:val="20"/>
          <w:szCs w:val="20"/>
        </w:rPr>
        <w:t xml:space="preserve">随着高等教育的普及化，高等教育的内涵式发 </w:t>
      </w:r>
      <w:r>
        <w:rPr>
          <w:rFonts w:ascii="宋体" w:hAnsi="宋体" w:eastAsia="宋体" w:cs="宋体"/>
          <w:color w:val="231F20"/>
          <w:spacing w:val="18"/>
          <w:sz w:val="20"/>
          <w:szCs w:val="20"/>
        </w:rPr>
        <w:t>展不仅需要外部质量制度约束，更要靠深层次的质</w:t>
      </w:r>
      <w:r>
        <w:rPr>
          <w:rFonts w:ascii="宋体" w:hAnsi="宋体" w:eastAsia="宋体" w:cs="宋体"/>
          <w:color w:val="231F20"/>
          <w:spacing w:val="11"/>
          <w:sz w:val="20"/>
          <w:szCs w:val="20"/>
        </w:rPr>
        <w:t xml:space="preserve"> </w:t>
      </w:r>
      <w:r>
        <w:rPr>
          <w:rFonts w:ascii="宋体" w:hAnsi="宋体" w:eastAsia="宋体" w:cs="宋体"/>
          <w:color w:val="231F20"/>
          <w:spacing w:val="18"/>
          <w:sz w:val="20"/>
          <w:szCs w:val="20"/>
        </w:rPr>
        <w:t>量文化，唤起广大师生的积极性、主动性，形成凝</w:t>
      </w:r>
      <w:r>
        <w:rPr>
          <w:rFonts w:ascii="宋体" w:hAnsi="宋体" w:eastAsia="宋体" w:cs="宋体"/>
          <w:color w:val="231F20"/>
          <w:spacing w:val="11"/>
          <w:sz w:val="20"/>
          <w:szCs w:val="20"/>
        </w:rPr>
        <w:t xml:space="preserve"> </w:t>
      </w:r>
      <w:r>
        <w:rPr>
          <w:rFonts w:ascii="宋体" w:hAnsi="宋体" w:eastAsia="宋体" w:cs="宋体"/>
          <w:color w:val="231F20"/>
          <w:spacing w:val="18"/>
          <w:sz w:val="20"/>
          <w:szCs w:val="20"/>
        </w:rPr>
        <w:t>聚力和推动力，以内生的质量文化推动教育内涵式</w:t>
      </w:r>
      <w:r>
        <w:rPr>
          <w:rFonts w:ascii="宋体" w:hAnsi="宋体" w:eastAsia="宋体" w:cs="宋体"/>
          <w:color w:val="231F20"/>
          <w:spacing w:val="11"/>
          <w:sz w:val="20"/>
          <w:szCs w:val="20"/>
        </w:rPr>
        <w:t xml:space="preserve"> </w:t>
      </w:r>
      <w:r>
        <w:rPr>
          <w:rFonts w:ascii="宋体" w:hAnsi="宋体" w:eastAsia="宋体" w:cs="宋体"/>
          <w:color w:val="231F20"/>
          <w:spacing w:val="-21"/>
          <w:sz w:val="20"/>
          <w:szCs w:val="20"/>
        </w:rPr>
        <w:t>发展。</w:t>
      </w:r>
      <w:r>
        <w:rPr>
          <w:rFonts w:ascii="宋体" w:hAnsi="宋体" w:eastAsia="宋体" w:cs="宋体"/>
          <w:color w:val="231F20"/>
          <w:spacing w:val="54"/>
          <w:sz w:val="20"/>
          <w:szCs w:val="20"/>
        </w:rPr>
        <w:t xml:space="preserve"> </w:t>
      </w:r>
      <w:r>
        <w:rPr>
          <w:rFonts w:ascii="宋体" w:hAnsi="宋体" w:eastAsia="宋体" w:cs="宋体"/>
          <w:color w:val="231F20"/>
          <w:spacing w:val="16"/>
          <w:position w:val="13"/>
          <w:sz w:val="12"/>
          <w:szCs w:val="12"/>
        </w:rPr>
        <w:t>[1]</w:t>
      </w:r>
      <w:r>
        <w:rPr>
          <w:rFonts w:ascii="宋体" w:hAnsi="宋体" w:eastAsia="宋体" w:cs="宋体"/>
          <w:color w:val="231F20"/>
          <w:spacing w:val="16"/>
          <w:sz w:val="20"/>
          <w:szCs w:val="20"/>
        </w:rPr>
        <w:t>高等院校教育质量文化建设作为高等教育</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保障体系的基础与命脉，对教育事业的未来具有重</w:t>
      </w:r>
      <w:r>
        <w:rPr>
          <w:rFonts w:ascii="宋体" w:hAnsi="宋体" w:eastAsia="宋体" w:cs="宋体"/>
          <w:color w:val="231F20"/>
          <w:spacing w:val="11"/>
          <w:sz w:val="20"/>
          <w:szCs w:val="20"/>
        </w:rPr>
        <w:t xml:space="preserve"> 要的促进作用。</w:t>
      </w:r>
      <w:r>
        <w:rPr>
          <w:rFonts w:ascii="宋体" w:hAnsi="宋体" w:eastAsia="宋体" w:cs="宋体"/>
          <w:color w:val="231F20"/>
          <w:spacing w:val="67"/>
          <w:sz w:val="20"/>
          <w:szCs w:val="20"/>
        </w:rPr>
        <w:t xml:space="preserve"> </w:t>
      </w:r>
      <w:r>
        <w:rPr>
          <w:rFonts w:ascii="宋体" w:hAnsi="宋体" w:eastAsia="宋体" w:cs="宋体"/>
          <w:color w:val="231F20"/>
          <w:spacing w:val="11"/>
          <w:position w:val="13"/>
          <w:sz w:val="12"/>
          <w:szCs w:val="12"/>
        </w:rPr>
        <w:t>[2]</w:t>
      </w:r>
      <w:r>
        <w:rPr>
          <w:rFonts w:ascii="宋体" w:hAnsi="宋体" w:eastAsia="宋体" w:cs="宋体"/>
          <w:color w:val="231F20"/>
          <w:spacing w:val="11"/>
          <w:sz w:val="20"/>
          <w:szCs w:val="20"/>
        </w:rPr>
        <w:t>河南科技大学在办学理</w:t>
      </w:r>
      <w:r>
        <w:rPr>
          <w:rFonts w:ascii="宋体" w:hAnsi="宋体" w:eastAsia="宋体" w:cs="宋体"/>
          <w:color w:val="231F20"/>
          <w:spacing w:val="10"/>
          <w:sz w:val="20"/>
          <w:szCs w:val="20"/>
        </w:rPr>
        <w:t>念中融入</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了以学生为中心的质量文化精神，在顶层规划中满</w:t>
      </w:r>
      <w:r>
        <w:rPr>
          <w:rFonts w:ascii="宋体" w:hAnsi="宋体" w:eastAsia="宋体" w:cs="宋体"/>
          <w:color w:val="231F20"/>
          <w:spacing w:val="11"/>
          <w:sz w:val="20"/>
          <w:szCs w:val="20"/>
        </w:rPr>
        <w:t xml:space="preserve"> </w:t>
      </w:r>
      <w:r>
        <w:rPr>
          <w:rFonts w:ascii="宋体" w:hAnsi="宋体" w:eastAsia="宋体" w:cs="宋体"/>
          <w:color w:val="231F20"/>
          <w:spacing w:val="18"/>
          <w:sz w:val="20"/>
          <w:szCs w:val="20"/>
        </w:rPr>
        <w:t>足了学生学习发展需求，在制度建设上体现了学生</w:t>
      </w:r>
      <w:r>
        <w:rPr>
          <w:rFonts w:ascii="宋体" w:hAnsi="宋体" w:eastAsia="宋体" w:cs="宋体"/>
          <w:color w:val="231F20"/>
          <w:spacing w:val="11"/>
          <w:sz w:val="20"/>
          <w:szCs w:val="20"/>
        </w:rPr>
        <w:t xml:space="preserve"> </w:t>
      </w:r>
      <w:r>
        <w:rPr>
          <w:rFonts w:ascii="宋体" w:hAnsi="宋体" w:eastAsia="宋体" w:cs="宋体"/>
          <w:color w:val="231F20"/>
          <w:spacing w:val="18"/>
          <w:sz w:val="20"/>
          <w:szCs w:val="20"/>
        </w:rPr>
        <w:t>参与主动权，在人才培养模式改革和教学方法手段</w:t>
      </w:r>
      <w:r>
        <w:rPr>
          <w:rFonts w:ascii="宋体" w:hAnsi="宋体" w:eastAsia="宋体" w:cs="宋体"/>
          <w:color w:val="231F20"/>
          <w:spacing w:val="11"/>
          <w:sz w:val="20"/>
          <w:szCs w:val="20"/>
        </w:rPr>
        <w:t xml:space="preserve"> </w:t>
      </w:r>
      <w:r>
        <w:rPr>
          <w:rFonts w:ascii="宋体" w:hAnsi="宋体" w:eastAsia="宋体" w:cs="宋体"/>
          <w:color w:val="231F20"/>
          <w:spacing w:val="18"/>
          <w:sz w:val="20"/>
          <w:szCs w:val="20"/>
        </w:rPr>
        <w:t>改革上注重学生学习效果，在质量保障体系中彰显</w:t>
      </w:r>
      <w:r>
        <w:rPr>
          <w:rFonts w:ascii="宋体" w:hAnsi="宋体" w:eastAsia="宋体" w:cs="宋体"/>
          <w:color w:val="231F20"/>
          <w:spacing w:val="11"/>
          <w:sz w:val="20"/>
          <w:szCs w:val="20"/>
        </w:rPr>
        <w:t xml:space="preserve"> </w:t>
      </w:r>
      <w:r>
        <w:rPr>
          <w:rFonts w:ascii="宋体" w:hAnsi="宋体" w:eastAsia="宋体" w:cs="宋体"/>
          <w:color w:val="231F20"/>
          <w:spacing w:val="4"/>
          <w:sz w:val="20"/>
          <w:szCs w:val="20"/>
        </w:rPr>
        <w:t>了质量文化特点，</w:t>
      </w:r>
      <w:r>
        <w:rPr>
          <w:rFonts w:ascii="宋体" w:hAnsi="宋体" w:eastAsia="宋体" w:cs="宋体"/>
          <w:color w:val="231F20"/>
          <w:spacing w:val="83"/>
          <w:sz w:val="20"/>
          <w:szCs w:val="20"/>
        </w:rPr>
        <w:t xml:space="preserve"> </w:t>
      </w:r>
      <w:r>
        <w:rPr>
          <w:rFonts w:ascii="宋体" w:hAnsi="宋体" w:eastAsia="宋体" w:cs="宋体"/>
          <w:color w:val="231F20"/>
          <w:spacing w:val="4"/>
          <w:sz w:val="20"/>
          <w:szCs w:val="20"/>
        </w:rPr>
        <w:t>自上而下、由点及面、全员参与、</w:t>
      </w:r>
      <w:r>
        <w:rPr>
          <w:rFonts w:ascii="宋体" w:hAnsi="宋体" w:eastAsia="宋体" w:cs="宋体"/>
          <w:color w:val="231F20"/>
          <w:sz w:val="20"/>
          <w:szCs w:val="20"/>
        </w:rPr>
        <w:t xml:space="preserve"> </w:t>
      </w:r>
      <w:r>
        <w:rPr>
          <w:rFonts w:ascii="宋体" w:hAnsi="宋体" w:eastAsia="宋体" w:cs="宋体"/>
          <w:color w:val="231F20"/>
          <w:spacing w:val="12"/>
          <w:sz w:val="20"/>
          <w:szCs w:val="20"/>
        </w:rPr>
        <w:t>营造氛围，形成特色。</w:t>
      </w:r>
    </w:p>
    <w:p>
      <w:pPr>
        <w:spacing w:before="61" w:line="178" w:lineRule="auto"/>
        <w:ind w:left="965"/>
        <w:rPr>
          <w:rFonts w:ascii="微软雅黑" w:hAnsi="微软雅黑" w:eastAsia="微软雅黑" w:cs="微软雅黑"/>
          <w:sz w:val="22"/>
          <w:szCs w:val="22"/>
        </w:rPr>
      </w:pPr>
      <w:r>
        <w:rPr>
          <w:rFonts w:ascii="微软雅黑" w:hAnsi="微软雅黑" w:eastAsia="微软雅黑" w:cs="微软雅黑"/>
          <w:color w:val="231F20"/>
          <w:spacing w:val="18"/>
          <w:sz w:val="22"/>
          <w:szCs w:val="22"/>
        </w:rPr>
        <w:t>一、坚持立德树人，健全教学质量标准</w:t>
      </w:r>
    </w:p>
    <w:p>
      <w:pPr>
        <w:spacing w:before="5" w:line="271" w:lineRule="auto"/>
        <w:ind w:left="502" w:right="293" w:firstLine="441"/>
        <w:rPr>
          <w:rFonts w:ascii="宋体" w:hAnsi="宋体" w:eastAsia="宋体" w:cs="宋体"/>
          <w:sz w:val="20"/>
          <w:szCs w:val="20"/>
        </w:rPr>
      </w:pPr>
      <w:r>
        <w:rPr>
          <w:rFonts w:ascii="宋体" w:hAnsi="宋体" w:eastAsia="宋体" w:cs="宋体"/>
          <w:color w:val="231F20"/>
          <w:spacing w:val="18"/>
          <w:sz w:val="20"/>
          <w:szCs w:val="20"/>
        </w:rPr>
        <w:t>学校坚持立德树人根本任务，坚持以“学生中</w:t>
      </w:r>
      <w:r>
        <w:rPr>
          <w:rFonts w:ascii="宋体" w:hAnsi="宋体" w:eastAsia="宋体" w:cs="宋体"/>
          <w:color w:val="231F20"/>
          <w:spacing w:val="5"/>
          <w:sz w:val="20"/>
          <w:szCs w:val="20"/>
        </w:rPr>
        <w:t xml:space="preserve"> </w:t>
      </w:r>
      <w:r>
        <w:rPr>
          <w:rFonts w:ascii="宋体" w:hAnsi="宋体" w:eastAsia="宋体" w:cs="宋体"/>
          <w:color w:val="231F20"/>
          <w:spacing w:val="18"/>
          <w:sz w:val="20"/>
          <w:szCs w:val="20"/>
        </w:rPr>
        <w:t>心、产出导向、持续改进”工作理念，将教育质量</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文化建设和推进“四个回归”相结合，制定了《创</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新创业教育改革引领工程实施方案》《卓越人才培</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养专业创优工程实施方案》《一流课程创优培育工</w:t>
      </w:r>
      <w:r>
        <w:rPr>
          <w:rFonts w:ascii="宋体" w:hAnsi="宋体" w:eastAsia="宋体" w:cs="宋体"/>
          <w:color w:val="231F20"/>
          <w:spacing w:val="12"/>
          <w:sz w:val="20"/>
          <w:szCs w:val="20"/>
        </w:rPr>
        <w:t xml:space="preserve"> </w:t>
      </w:r>
      <w:r>
        <w:rPr>
          <w:rFonts w:ascii="宋体" w:hAnsi="宋体" w:eastAsia="宋体" w:cs="宋体"/>
          <w:color w:val="231F20"/>
          <w:spacing w:val="5"/>
          <w:sz w:val="20"/>
          <w:szCs w:val="20"/>
        </w:rPr>
        <w:t>程实施方案》等切实可行的工作方案，</w:t>
      </w:r>
      <w:r>
        <w:rPr>
          <w:rFonts w:ascii="宋体" w:hAnsi="宋体" w:eastAsia="宋体" w:cs="宋体"/>
          <w:color w:val="231F20"/>
          <w:spacing w:val="-24"/>
          <w:sz w:val="20"/>
          <w:szCs w:val="20"/>
        </w:rPr>
        <w:t xml:space="preserve"> </w:t>
      </w:r>
      <w:r>
        <w:rPr>
          <w:rFonts w:ascii="宋体" w:hAnsi="宋体" w:eastAsia="宋体" w:cs="宋体"/>
          <w:color w:val="231F20"/>
          <w:spacing w:val="5"/>
          <w:sz w:val="20"/>
          <w:szCs w:val="20"/>
        </w:rPr>
        <w:t>着力实施“六 大工程”。一是围绕教学效果，</w:t>
      </w:r>
      <w:r>
        <w:rPr>
          <w:rFonts w:ascii="宋体" w:hAnsi="宋体" w:eastAsia="宋体" w:cs="宋体"/>
          <w:color w:val="231F20"/>
          <w:spacing w:val="61"/>
          <w:sz w:val="20"/>
          <w:szCs w:val="20"/>
        </w:rPr>
        <w:t xml:space="preserve"> </w:t>
      </w:r>
      <w:r>
        <w:rPr>
          <w:rFonts w:ascii="宋体" w:hAnsi="宋体" w:eastAsia="宋体" w:cs="宋体"/>
          <w:color w:val="231F20"/>
          <w:spacing w:val="5"/>
          <w:sz w:val="20"/>
          <w:szCs w:val="20"/>
        </w:rPr>
        <w:t>强化顶层政策导向。</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修订了《学校内绩效津贴分配实施方案》《教学优</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秀奖评审与管理办法》等，把教学质量和学生学习</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结果作为教师绩效考核、职称晋升、评优评奖、津</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贴分配的第一标准，充分激发教师教学积极性，营</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造教师热爱教学、倾心教学的教风。二是围绕培养</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目标，建立健全质量标准。制定和完善了《一流专</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业建设质量标准》《优质课程建设质量标准》《实</w:t>
      </w:r>
      <w:r>
        <w:rPr>
          <w:rFonts w:ascii="宋体" w:hAnsi="宋体" w:eastAsia="宋体" w:cs="宋体"/>
          <w:color w:val="231F20"/>
          <w:spacing w:val="12"/>
          <w:sz w:val="20"/>
          <w:szCs w:val="20"/>
        </w:rPr>
        <w:t xml:space="preserve"> </w:t>
      </w:r>
      <w:r>
        <w:rPr>
          <w:rFonts w:ascii="宋体" w:hAnsi="宋体" w:eastAsia="宋体" w:cs="宋体"/>
          <w:color w:val="231F20"/>
          <w:spacing w:val="29"/>
          <w:sz w:val="20"/>
          <w:szCs w:val="20"/>
          <w:u w:val="single" w:color="auto"/>
        </w:rPr>
        <w:t>践教学质量标准》《课</w:t>
      </w:r>
      <w:r>
        <w:rPr>
          <w:rFonts w:ascii="宋体" w:hAnsi="宋体" w:eastAsia="宋体" w:cs="宋体"/>
          <w:color w:val="231F20"/>
          <w:spacing w:val="29"/>
          <w:sz w:val="20"/>
          <w:szCs w:val="20"/>
        </w:rPr>
        <w:t>外培养建设质量标准》等</w:t>
      </w:r>
    </w:p>
    <w:p>
      <w:pPr>
        <w:spacing w:line="14" w:lineRule="auto"/>
        <w:rPr>
          <w:rFonts w:ascii="Arial"/>
          <w:sz w:val="2"/>
        </w:rPr>
      </w:pPr>
      <w:r>
        <w:rPr>
          <w:rFonts w:ascii="Arial" w:hAnsi="Arial" w:eastAsia="Arial" w:cs="Arial"/>
          <w:sz w:val="2"/>
          <w:szCs w:val="2"/>
        </w:rPr>
        <w:br w:type="column"/>
      </w:r>
    </w:p>
    <w:p>
      <w:pPr>
        <w:spacing w:before="43" w:line="271" w:lineRule="auto"/>
        <w:ind w:left="1" w:right="6" w:firstLine="15"/>
        <w:jc w:val="both"/>
        <w:rPr>
          <w:rFonts w:ascii="宋体" w:hAnsi="宋体" w:eastAsia="宋体" w:cs="宋体"/>
          <w:sz w:val="20"/>
          <w:szCs w:val="20"/>
        </w:rPr>
      </w:pPr>
      <w:r>
        <w:rPr>
          <w:rFonts w:ascii="宋体" w:hAnsi="宋体" w:eastAsia="宋体" w:cs="宋体"/>
          <w:color w:val="231F20"/>
          <w:spacing w:val="17"/>
          <w:sz w:val="20"/>
          <w:szCs w:val="20"/>
        </w:rPr>
        <w:t>14个文件，实现了教育教学全过程、全环节质量标</w:t>
      </w:r>
      <w:r>
        <w:rPr>
          <w:rFonts w:ascii="宋体" w:hAnsi="宋体" w:eastAsia="宋体" w:cs="宋体"/>
          <w:color w:val="231F20"/>
          <w:spacing w:val="1"/>
          <w:sz w:val="20"/>
          <w:szCs w:val="20"/>
        </w:rPr>
        <w:t xml:space="preserve">  </w:t>
      </w:r>
      <w:r>
        <w:rPr>
          <w:rFonts w:ascii="宋体" w:hAnsi="宋体" w:eastAsia="宋体" w:cs="宋体"/>
          <w:color w:val="231F20"/>
          <w:spacing w:val="18"/>
          <w:sz w:val="20"/>
          <w:szCs w:val="20"/>
        </w:rPr>
        <w:t>准的全覆盖。三是围绕教学改革，全面规范教学管</w:t>
      </w:r>
      <w:r>
        <w:rPr>
          <w:rFonts w:ascii="宋体" w:hAnsi="宋体" w:eastAsia="宋体" w:cs="宋体"/>
          <w:color w:val="231F20"/>
          <w:spacing w:val="5"/>
          <w:sz w:val="20"/>
          <w:szCs w:val="20"/>
        </w:rPr>
        <w:t xml:space="preserve">  </w:t>
      </w:r>
      <w:r>
        <w:rPr>
          <w:rFonts w:ascii="宋体" w:hAnsi="宋体" w:eastAsia="宋体" w:cs="宋体"/>
          <w:color w:val="231F20"/>
          <w:spacing w:val="13"/>
          <w:sz w:val="20"/>
          <w:szCs w:val="20"/>
        </w:rPr>
        <w:t>理。制定了《“课程思政”教育教学改革实施意见》</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《教学名师、河洛名师评选实施意见》《干部听课</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制度》等文件，加大教学方式改革和学生考核评价</w:t>
      </w:r>
      <w:r>
        <w:rPr>
          <w:rFonts w:ascii="宋体" w:hAnsi="宋体" w:eastAsia="宋体" w:cs="宋体"/>
          <w:color w:val="231F20"/>
          <w:spacing w:val="5"/>
          <w:sz w:val="20"/>
          <w:szCs w:val="20"/>
        </w:rPr>
        <w:t xml:space="preserve">  </w:t>
      </w:r>
      <w:r>
        <w:rPr>
          <w:rFonts w:ascii="宋体" w:hAnsi="宋体" w:eastAsia="宋体" w:cs="宋体"/>
          <w:color w:val="231F20"/>
          <w:spacing w:val="18"/>
          <w:sz w:val="20"/>
          <w:szCs w:val="20"/>
        </w:rPr>
        <w:t>方式改革力度。通过建立健全各类规章制度，强化</w:t>
      </w:r>
      <w:r>
        <w:rPr>
          <w:rFonts w:ascii="宋体" w:hAnsi="宋体" w:eastAsia="宋体" w:cs="宋体"/>
          <w:color w:val="231F20"/>
          <w:spacing w:val="5"/>
          <w:sz w:val="20"/>
          <w:szCs w:val="20"/>
        </w:rPr>
        <w:t xml:space="preserve">  </w:t>
      </w:r>
      <w:r>
        <w:rPr>
          <w:rFonts w:ascii="宋体" w:hAnsi="宋体" w:eastAsia="宋体" w:cs="宋体"/>
          <w:color w:val="231F20"/>
          <w:spacing w:val="18"/>
          <w:sz w:val="20"/>
          <w:szCs w:val="20"/>
        </w:rPr>
        <w:t>制度保障，切实让学生忙起来，教师活起来，管理</w:t>
      </w:r>
      <w:r>
        <w:rPr>
          <w:rFonts w:ascii="宋体" w:hAnsi="宋体" w:eastAsia="宋体" w:cs="宋体"/>
          <w:color w:val="231F20"/>
          <w:spacing w:val="5"/>
          <w:sz w:val="20"/>
          <w:szCs w:val="20"/>
        </w:rPr>
        <w:t xml:space="preserve">  </w:t>
      </w:r>
      <w:r>
        <w:rPr>
          <w:rFonts w:ascii="宋体" w:hAnsi="宋体" w:eastAsia="宋体" w:cs="宋体"/>
          <w:color w:val="231F20"/>
          <w:spacing w:val="18"/>
          <w:sz w:val="20"/>
          <w:szCs w:val="20"/>
        </w:rPr>
        <w:t>严起来，让“以学生为中心”教育质量文化内化成</w:t>
      </w:r>
      <w:r>
        <w:rPr>
          <w:rFonts w:ascii="宋体" w:hAnsi="宋体" w:eastAsia="宋体" w:cs="宋体"/>
          <w:color w:val="231F20"/>
          <w:spacing w:val="5"/>
          <w:sz w:val="20"/>
          <w:szCs w:val="20"/>
        </w:rPr>
        <w:t xml:space="preserve">  </w:t>
      </w:r>
      <w:r>
        <w:rPr>
          <w:rFonts w:ascii="宋体" w:hAnsi="宋体" w:eastAsia="宋体" w:cs="宋体"/>
          <w:color w:val="231F20"/>
          <w:spacing w:val="14"/>
          <w:sz w:val="20"/>
          <w:szCs w:val="20"/>
        </w:rPr>
        <w:t>为全校师生的共同价值追求和自觉行为。</w:t>
      </w:r>
    </w:p>
    <w:p>
      <w:pPr>
        <w:spacing w:before="66" w:line="180" w:lineRule="auto"/>
        <w:ind w:left="3" w:right="103" w:firstLine="463"/>
        <w:rPr>
          <w:rFonts w:ascii="微软雅黑" w:hAnsi="微软雅黑" w:eastAsia="微软雅黑" w:cs="微软雅黑"/>
          <w:sz w:val="22"/>
          <w:szCs w:val="22"/>
        </w:rPr>
      </w:pPr>
      <w:r>
        <w:rPr>
          <w:rFonts w:ascii="微软雅黑" w:hAnsi="微软雅黑" w:eastAsia="微软雅黑" w:cs="微软雅黑"/>
          <w:color w:val="231F20"/>
          <w:spacing w:val="20"/>
          <w:sz w:val="22"/>
          <w:szCs w:val="22"/>
        </w:rPr>
        <w:t>二、注重学风建设工程，夯实教育质量文</w:t>
      </w:r>
      <w:r>
        <w:rPr>
          <w:rFonts w:ascii="微软雅黑" w:hAnsi="微软雅黑" w:eastAsia="微软雅黑" w:cs="微软雅黑"/>
          <w:color w:val="231F20"/>
          <w:spacing w:val="16"/>
          <w:w w:val="101"/>
          <w:sz w:val="22"/>
          <w:szCs w:val="22"/>
        </w:rPr>
        <w:t xml:space="preserve"> </w:t>
      </w:r>
      <w:r>
        <w:rPr>
          <w:rFonts w:ascii="微软雅黑" w:hAnsi="微软雅黑" w:eastAsia="微软雅黑" w:cs="微软雅黑"/>
          <w:color w:val="231F20"/>
          <w:spacing w:val="17"/>
          <w:sz w:val="22"/>
          <w:szCs w:val="22"/>
        </w:rPr>
        <w:t>化坚实基础</w:t>
      </w:r>
    </w:p>
    <w:p>
      <w:pPr>
        <w:spacing w:before="16" w:line="272" w:lineRule="auto"/>
        <w:ind w:firstLine="441"/>
        <w:rPr>
          <w:rFonts w:ascii="宋体" w:hAnsi="宋体" w:eastAsia="宋体" w:cs="宋体"/>
          <w:sz w:val="20"/>
          <w:szCs w:val="20"/>
        </w:rPr>
      </w:pPr>
      <w:r>
        <w:rPr>
          <w:rFonts w:ascii="宋体" w:hAnsi="宋体" w:eastAsia="宋体" w:cs="宋体"/>
          <w:color w:val="231F20"/>
          <w:spacing w:val="18"/>
          <w:sz w:val="20"/>
          <w:szCs w:val="20"/>
        </w:rPr>
        <w:t>学风建设是教育质量文化建设一部分，优良学</w:t>
      </w:r>
      <w:r>
        <w:rPr>
          <w:rFonts w:ascii="宋体" w:hAnsi="宋体" w:eastAsia="宋体" w:cs="宋体"/>
          <w:color w:val="231F20"/>
          <w:spacing w:val="4"/>
          <w:sz w:val="20"/>
          <w:szCs w:val="20"/>
        </w:rPr>
        <w:t xml:space="preserve">  </w:t>
      </w:r>
      <w:r>
        <w:rPr>
          <w:rFonts w:ascii="宋体" w:hAnsi="宋体" w:eastAsia="宋体" w:cs="宋体"/>
          <w:color w:val="231F20"/>
          <w:spacing w:val="16"/>
          <w:sz w:val="20"/>
          <w:szCs w:val="20"/>
        </w:rPr>
        <w:t>风的形成过程也是教育质量文化逐步深化的过程。</w:t>
      </w:r>
      <w:r>
        <w:rPr>
          <w:rFonts w:ascii="宋体" w:hAnsi="宋体" w:eastAsia="宋体" w:cs="宋体"/>
          <w:color w:val="231F20"/>
          <w:spacing w:val="8"/>
          <w:sz w:val="20"/>
          <w:szCs w:val="20"/>
        </w:rPr>
        <w:t xml:space="preserve">  </w:t>
      </w:r>
      <w:r>
        <w:rPr>
          <w:rFonts w:ascii="宋体" w:hAnsi="宋体" w:eastAsia="宋体" w:cs="宋体"/>
          <w:color w:val="231F20"/>
          <w:spacing w:val="18"/>
          <w:sz w:val="20"/>
          <w:szCs w:val="20"/>
        </w:rPr>
        <w:t>学校成立了校院两级学风建设工作指导委员会，通</w:t>
      </w:r>
      <w:r>
        <w:rPr>
          <w:rFonts w:ascii="宋体" w:hAnsi="宋体" w:eastAsia="宋体" w:cs="宋体"/>
          <w:color w:val="231F20"/>
          <w:spacing w:val="6"/>
          <w:sz w:val="20"/>
          <w:szCs w:val="20"/>
        </w:rPr>
        <w:t xml:space="preserve">  </w:t>
      </w:r>
      <w:r>
        <w:rPr>
          <w:rFonts w:ascii="宋体" w:hAnsi="宋体" w:eastAsia="宋体" w:cs="宋体"/>
          <w:color w:val="231F20"/>
          <w:spacing w:val="18"/>
          <w:sz w:val="20"/>
          <w:szCs w:val="20"/>
        </w:rPr>
        <w:t>过组织制度夯实学风建设基础。设计了课外培养六</w:t>
      </w:r>
      <w:r>
        <w:rPr>
          <w:rFonts w:ascii="宋体" w:hAnsi="宋体" w:eastAsia="宋体" w:cs="宋体"/>
          <w:color w:val="231F20"/>
          <w:spacing w:val="6"/>
          <w:sz w:val="20"/>
          <w:szCs w:val="20"/>
        </w:rPr>
        <w:t xml:space="preserve">  </w:t>
      </w:r>
      <w:r>
        <w:rPr>
          <w:rFonts w:ascii="宋体" w:hAnsi="宋体" w:eastAsia="宋体" w:cs="宋体"/>
          <w:color w:val="231F20"/>
          <w:spacing w:val="18"/>
          <w:sz w:val="20"/>
          <w:szCs w:val="20"/>
        </w:rPr>
        <w:t>大模块，规划了课外培养十二条路径，提出了四种</w:t>
      </w:r>
      <w:r>
        <w:rPr>
          <w:rFonts w:ascii="宋体" w:hAnsi="宋体" w:eastAsia="宋体" w:cs="宋体"/>
          <w:color w:val="231F20"/>
          <w:spacing w:val="6"/>
          <w:sz w:val="20"/>
          <w:szCs w:val="20"/>
        </w:rPr>
        <w:t xml:space="preserve">  </w:t>
      </w:r>
      <w:r>
        <w:rPr>
          <w:rFonts w:ascii="宋体" w:hAnsi="宋体" w:eastAsia="宋体" w:cs="宋体"/>
          <w:color w:val="231F20"/>
          <w:spacing w:val="18"/>
          <w:sz w:val="20"/>
          <w:szCs w:val="20"/>
        </w:rPr>
        <w:t>素质培养目标和十种能力培养目标，系统构建了课</w:t>
      </w:r>
      <w:r>
        <w:rPr>
          <w:rFonts w:ascii="宋体" w:hAnsi="宋体" w:eastAsia="宋体" w:cs="宋体"/>
          <w:color w:val="231F20"/>
          <w:spacing w:val="6"/>
          <w:sz w:val="20"/>
          <w:szCs w:val="20"/>
        </w:rPr>
        <w:t xml:space="preserve">  </w:t>
      </w:r>
      <w:r>
        <w:rPr>
          <w:rFonts w:ascii="宋体" w:hAnsi="宋体" w:eastAsia="宋体" w:cs="宋体"/>
          <w:color w:val="231F20"/>
          <w:spacing w:val="13"/>
          <w:sz w:val="20"/>
          <w:szCs w:val="20"/>
        </w:rPr>
        <w:t>外培养新方案。修订了《学生德智体综合测评办法》</w:t>
      </w:r>
      <w:r>
        <w:rPr>
          <w:rFonts w:ascii="宋体" w:hAnsi="宋体" w:eastAsia="宋体" w:cs="宋体"/>
          <w:color w:val="231F20"/>
          <w:spacing w:val="2"/>
          <w:sz w:val="20"/>
          <w:szCs w:val="20"/>
        </w:rPr>
        <w:t xml:space="preserve"> </w:t>
      </w:r>
      <w:r>
        <w:rPr>
          <w:rFonts w:ascii="宋体" w:hAnsi="宋体" w:eastAsia="宋体" w:cs="宋体"/>
          <w:color w:val="231F20"/>
          <w:spacing w:val="18"/>
          <w:sz w:val="20"/>
          <w:szCs w:val="20"/>
        </w:rPr>
        <w:t>《“科大之星”评选办法》《“免监考荣誉班级”</w:t>
      </w:r>
      <w:r>
        <w:rPr>
          <w:rFonts w:ascii="宋体" w:hAnsi="宋体" w:eastAsia="宋体" w:cs="宋体"/>
          <w:color w:val="231F20"/>
          <w:spacing w:val="2"/>
          <w:sz w:val="20"/>
          <w:szCs w:val="20"/>
        </w:rPr>
        <w:t xml:space="preserve">  </w:t>
      </w:r>
      <w:r>
        <w:rPr>
          <w:rFonts w:ascii="宋体" w:hAnsi="宋体" w:eastAsia="宋体" w:cs="宋体"/>
          <w:color w:val="231F20"/>
          <w:spacing w:val="18"/>
          <w:sz w:val="20"/>
          <w:szCs w:val="20"/>
        </w:rPr>
        <w:t>管理实施办法》等争先创优文件，引导、规范、激</w:t>
      </w:r>
      <w:r>
        <w:rPr>
          <w:rFonts w:ascii="宋体" w:hAnsi="宋体" w:eastAsia="宋体" w:cs="宋体"/>
          <w:color w:val="231F20"/>
          <w:spacing w:val="6"/>
          <w:sz w:val="20"/>
          <w:szCs w:val="20"/>
        </w:rPr>
        <w:t xml:space="preserve">  </w:t>
      </w:r>
      <w:r>
        <w:rPr>
          <w:rFonts w:ascii="宋体" w:hAnsi="宋体" w:eastAsia="宋体" w:cs="宋体"/>
          <w:color w:val="231F20"/>
          <w:spacing w:val="23"/>
          <w:sz w:val="20"/>
          <w:szCs w:val="20"/>
        </w:rPr>
        <w:t>励学风建设。鼓励教师开展翻转课堂、“雨课堂”</w:t>
      </w:r>
      <w:r>
        <w:rPr>
          <w:rFonts w:ascii="宋体" w:hAnsi="宋体" w:eastAsia="宋体" w:cs="宋体"/>
          <w:color w:val="231F20"/>
          <w:spacing w:val="2"/>
          <w:sz w:val="20"/>
          <w:szCs w:val="20"/>
        </w:rPr>
        <w:t xml:space="preserve"> </w:t>
      </w:r>
      <w:r>
        <w:rPr>
          <w:rFonts w:ascii="宋体" w:hAnsi="宋体" w:eastAsia="宋体" w:cs="宋体"/>
          <w:color w:val="231F20"/>
          <w:spacing w:val="18"/>
          <w:sz w:val="20"/>
          <w:szCs w:val="20"/>
        </w:rPr>
        <w:t>等教学方法改革，吸引学生回归课堂，提高了“到</w:t>
      </w:r>
      <w:r>
        <w:rPr>
          <w:rFonts w:ascii="宋体" w:hAnsi="宋体" w:eastAsia="宋体" w:cs="宋体"/>
          <w:color w:val="231F20"/>
          <w:spacing w:val="6"/>
          <w:sz w:val="20"/>
          <w:szCs w:val="20"/>
        </w:rPr>
        <w:t xml:space="preserve">  </w:t>
      </w:r>
      <w:r>
        <w:rPr>
          <w:rFonts w:ascii="宋体" w:hAnsi="宋体" w:eastAsia="宋体" w:cs="宋体"/>
          <w:color w:val="231F20"/>
          <w:spacing w:val="12"/>
          <w:sz w:val="20"/>
          <w:szCs w:val="20"/>
        </w:rPr>
        <w:t>课率”和“抬头率”，以优良教风带动了优良学风。</w:t>
      </w:r>
      <w:r>
        <w:rPr>
          <w:rFonts w:ascii="宋体" w:hAnsi="宋体" w:eastAsia="宋体" w:cs="宋体"/>
          <w:color w:val="231F20"/>
          <w:spacing w:val="2"/>
          <w:sz w:val="20"/>
          <w:szCs w:val="20"/>
        </w:rPr>
        <w:t xml:space="preserve"> </w:t>
      </w:r>
      <w:r>
        <w:rPr>
          <w:rFonts w:ascii="宋体" w:hAnsi="宋体" w:eastAsia="宋体" w:cs="宋体"/>
          <w:color w:val="231F20"/>
          <w:spacing w:val="18"/>
          <w:sz w:val="20"/>
          <w:szCs w:val="20"/>
        </w:rPr>
        <w:t>建立学籍预警机制，要求学业导师和辅导员及时掌</w:t>
      </w:r>
      <w:r>
        <w:rPr>
          <w:rFonts w:ascii="宋体" w:hAnsi="宋体" w:eastAsia="宋体" w:cs="宋体"/>
          <w:color w:val="231F20"/>
          <w:spacing w:val="6"/>
          <w:sz w:val="20"/>
          <w:szCs w:val="20"/>
        </w:rPr>
        <w:t xml:space="preserve">  </w:t>
      </w:r>
      <w:r>
        <w:rPr>
          <w:rFonts w:ascii="宋体" w:hAnsi="宋体" w:eastAsia="宋体" w:cs="宋体"/>
          <w:color w:val="231F20"/>
          <w:spacing w:val="18"/>
          <w:sz w:val="20"/>
          <w:szCs w:val="20"/>
        </w:rPr>
        <w:t>握学生学习困难程度并分析原因，精准分类、制定</w:t>
      </w:r>
      <w:r>
        <w:rPr>
          <w:rFonts w:ascii="宋体" w:hAnsi="宋体" w:eastAsia="宋体" w:cs="宋体"/>
          <w:color w:val="231F20"/>
          <w:spacing w:val="6"/>
          <w:sz w:val="20"/>
          <w:szCs w:val="20"/>
        </w:rPr>
        <w:t xml:space="preserve">  </w:t>
      </w:r>
      <w:r>
        <w:rPr>
          <w:rFonts w:ascii="宋体" w:hAnsi="宋体" w:eastAsia="宋体" w:cs="宋体"/>
          <w:color w:val="231F20"/>
          <w:spacing w:val="18"/>
          <w:sz w:val="20"/>
          <w:szCs w:val="20"/>
        </w:rPr>
        <w:t>计划、联系家长、建立档案，采取学业导师、学习</w:t>
      </w:r>
      <w:r>
        <w:rPr>
          <w:rFonts w:ascii="宋体" w:hAnsi="宋体" w:eastAsia="宋体" w:cs="宋体"/>
          <w:color w:val="231F20"/>
          <w:spacing w:val="6"/>
          <w:sz w:val="20"/>
          <w:szCs w:val="20"/>
        </w:rPr>
        <w:t xml:space="preserve">  </w:t>
      </w:r>
      <w:r>
        <w:rPr>
          <w:rFonts w:ascii="宋体" w:hAnsi="宋体" w:eastAsia="宋体" w:cs="宋体"/>
          <w:color w:val="231F20"/>
          <w:spacing w:val="18"/>
          <w:sz w:val="20"/>
          <w:szCs w:val="20"/>
        </w:rPr>
        <w:t>小组和学困生“一对一”“多对一”等方式开展针</w:t>
      </w:r>
      <w:r>
        <w:rPr>
          <w:rFonts w:ascii="宋体" w:hAnsi="宋体" w:eastAsia="宋体" w:cs="宋体"/>
          <w:color w:val="231F20"/>
          <w:spacing w:val="7"/>
          <w:sz w:val="20"/>
          <w:szCs w:val="20"/>
        </w:rPr>
        <w:t xml:space="preserve">  </w:t>
      </w:r>
      <w:r>
        <w:rPr>
          <w:rFonts w:ascii="宋体" w:hAnsi="宋体" w:eastAsia="宋体" w:cs="宋体"/>
          <w:color w:val="231F20"/>
          <w:spacing w:val="18"/>
          <w:sz w:val="20"/>
          <w:szCs w:val="20"/>
        </w:rPr>
        <w:t>对性帮扶，通过精准帮扶激发了学生学习动力。开</w:t>
      </w:r>
      <w:r>
        <w:rPr>
          <w:rFonts w:ascii="宋体" w:hAnsi="宋体" w:eastAsia="宋体" w:cs="宋体"/>
          <w:color w:val="231F20"/>
          <w:spacing w:val="6"/>
          <w:sz w:val="20"/>
          <w:szCs w:val="20"/>
        </w:rPr>
        <w:t xml:space="preserve">  </w:t>
      </w:r>
      <w:r>
        <w:rPr>
          <w:rFonts w:ascii="宋体" w:hAnsi="宋体" w:eastAsia="宋体" w:cs="宋体"/>
          <w:color w:val="231F20"/>
          <w:spacing w:val="18"/>
          <w:sz w:val="20"/>
          <w:szCs w:val="20"/>
        </w:rPr>
        <w:t>展了“乐学工作坊”“学风建设月”主题活动，推</w:t>
      </w:r>
    </w:p>
    <w:p>
      <w:pPr>
        <w:spacing w:line="272" w:lineRule="auto"/>
        <w:rPr>
          <w:rFonts w:ascii="宋体" w:hAnsi="宋体" w:eastAsia="宋体" w:cs="宋体"/>
          <w:sz w:val="20"/>
          <w:szCs w:val="20"/>
        </w:rPr>
        <w:sectPr>
          <w:type w:val="continuous"/>
          <w:pgSz w:w="11906" w:h="16158"/>
          <w:pgMar w:top="1037" w:right="815" w:bottom="547" w:left="407" w:header="820" w:footer="354" w:gutter="0"/>
          <w:cols w:equalWidth="0" w:num="2">
            <w:col w:w="5673" w:space="100"/>
            <w:col w:w="4910"/>
          </w:cols>
        </w:sectPr>
      </w:pPr>
    </w:p>
    <w:p>
      <w:pPr>
        <w:spacing w:before="173" w:line="222" w:lineRule="auto"/>
        <w:ind w:left="774" w:right="33" w:firstLine="23"/>
        <w:jc w:val="both"/>
        <w:rPr>
          <w:rFonts w:ascii="新宋体" w:hAnsi="新宋体" w:eastAsia="新宋体" w:cs="新宋体"/>
          <w:sz w:val="18"/>
          <w:szCs w:val="18"/>
        </w:rPr>
      </w:pPr>
      <w:r>
        <w:rPr>
          <w:rFonts w:ascii="黑体" w:hAnsi="黑体" w:eastAsia="黑体" w:cs="黑体"/>
          <w:color w:val="231F20"/>
          <w:spacing w:val="3"/>
          <w:sz w:val="18"/>
          <w:szCs w:val="18"/>
        </w:rPr>
        <w:t>[</w:t>
      </w:r>
      <w:r>
        <w:rPr>
          <w:rFonts w:ascii="黑体" w:hAnsi="黑体" w:eastAsia="黑体" w:cs="黑体"/>
          <w:color w:val="231F20"/>
          <w:spacing w:val="-36"/>
          <w:sz w:val="18"/>
          <w:szCs w:val="18"/>
        </w:rPr>
        <w:t xml:space="preserve"> </w:t>
      </w:r>
      <w:r>
        <w:rPr>
          <w:rFonts w:ascii="黑体" w:hAnsi="黑体" w:eastAsia="黑体" w:cs="黑体"/>
          <w:color w:val="231F20"/>
          <w:spacing w:val="3"/>
          <w:sz w:val="18"/>
          <w:szCs w:val="18"/>
        </w:rPr>
        <w:t>基金项目</w:t>
      </w:r>
      <w:r>
        <w:rPr>
          <w:rFonts w:ascii="黑体" w:hAnsi="黑体" w:eastAsia="黑体" w:cs="黑体"/>
          <w:color w:val="231F20"/>
          <w:spacing w:val="-36"/>
          <w:sz w:val="18"/>
          <w:szCs w:val="18"/>
        </w:rPr>
        <w:t xml:space="preserve"> </w:t>
      </w:r>
      <w:r>
        <w:rPr>
          <w:rFonts w:ascii="黑体" w:hAnsi="黑体" w:eastAsia="黑体" w:cs="黑体"/>
          <w:color w:val="231F20"/>
          <w:spacing w:val="3"/>
          <w:sz w:val="18"/>
          <w:szCs w:val="18"/>
        </w:rPr>
        <w:t>]</w:t>
      </w:r>
      <w:r>
        <w:rPr>
          <w:rFonts w:ascii="黑体" w:hAnsi="黑体" w:eastAsia="黑体" w:cs="黑体"/>
          <w:color w:val="231F20"/>
          <w:spacing w:val="-39"/>
          <w:sz w:val="18"/>
          <w:szCs w:val="18"/>
        </w:rPr>
        <w:t xml:space="preserve"> </w:t>
      </w:r>
      <w:r>
        <w:rPr>
          <w:rFonts w:ascii="新宋体" w:hAnsi="新宋体" w:eastAsia="新宋体" w:cs="新宋体"/>
          <w:color w:val="231F20"/>
          <w:spacing w:val="3"/>
          <w:sz w:val="18"/>
          <w:szCs w:val="18"/>
        </w:rPr>
        <w:t>河南省高等教育教学改革研究与实践重大项目</w:t>
      </w:r>
      <w:r>
        <w:rPr>
          <w:rFonts w:ascii="新宋体" w:hAnsi="新宋体" w:eastAsia="新宋体" w:cs="新宋体"/>
          <w:color w:val="231F20"/>
          <w:spacing w:val="-41"/>
          <w:sz w:val="18"/>
          <w:szCs w:val="18"/>
        </w:rPr>
        <w:t xml:space="preserve"> </w:t>
      </w:r>
      <w:r>
        <w:rPr>
          <w:rFonts w:ascii="新宋体" w:hAnsi="新宋体" w:eastAsia="新宋体" w:cs="新宋体"/>
          <w:color w:val="231F20"/>
          <w:spacing w:val="3"/>
          <w:sz w:val="18"/>
          <w:szCs w:val="18"/>
        </w:rPr>
        <w:t>B</w:t>
      </w:r>
      <w:r>
        <w:rPr>
          <w:rFonts w:ascii="新宋体" w:hAnsi="新宋体" w:eastAsia="新宋体" w:cs="新宋体"/>
          <w:color w:val="231F20"/>
          <w:spacing w:val="-37"/>
          <w:sz w:val="18"/>
          <w:szCs w:val="18"/>
        </w:rPr>
        <w:t xml:space="preserve"> </w:t>
      </w:r>
      <w:r>
        <w:rPr>
          <w:rFonts w:ascii="新宋体" w:hAnsi="新宋体" w:eastAsia="新宋体" w:cs="新宋体"/>
          <w:color w:val="231F20"/>
          <w:spacing w:val="3"/>
          <w:sz w:val="18"/>
          <w:szCs w:val="18"/>
        </w:rPr>
        <w:t>类“地</w:t>
      </w:r>
      <w:r>
        <w:rPr>
          <w:rFonts w:ascii="新宋体" w:hAnsi="新宋体" w:eastAsia="新宋体" w:cs="新宋体"/>
          <w:color w:val="231F20"/>
          <w:spacing w:val="2"/>
          <w:sz w:val="18"/>
          <w:szCs w:val="18"/>
        </w:rPr>
        <w:t>方高校以学生为中心教育质量文化建设的研究与实践”</w:t>
      </w:r>
      <w:r>
        <w:rPr>
          <w:rFonts w:ascii="新宋体" w:hAnsi="新宋体" w:eastAsia="新宋体" w:cs="新宋体"/>
          <w:color w:val="231F20"/>
          <w:sz w:val="18"/>
          <w:szCs w:val="18"/>
        </w:rPr>
        <w:t xml:space="preserve"> </w:t>
      </w:r>
      <w:r>
        <w:rPr>
          <w:rFonts w:ascii="新宋体" w:hAnsi="新宋体" w:eastAsia="新宋体" w:cs="新宋体"/>
          <w:color w:val="231F20"/>
          <w:spacing w:val="3"/>
          <w:sz w:val="18"/>
          <w:szCs w:val="18"/>
        </w:rPr>
        <w:t>（2019</w:t>
      </w:r>
      <w:r>
        <w:rPr>
          <w:rFonts w:ascii="新宋体" w:hAnsi="新宋体" w:eastAsia="新宋体" w:cs="新宋体"/>
          <w:color w:val="231F20"/>
          <w:sz w:val="18"/>
          <w:szCs w:val="18"/>
        </w:rPr>
        <w:t>SJGLX</w:t>
      </w:r>
      <w:r>
        <w:rPr>
          <w:rFonts w:ascii="新宋体" w:hAnsi="新宋体" w:eastAsia="新宋体" w:cs="新宋体"/>
          <w:color w:val="231F20"/>
          <w:spacing w:val="3"/>
          <w:sz w:val="18"/>
          <w:szCs w:val="18"/>
        </w:rPr>
        <w:t>011</w:t>
      </w:r>
      <w:r>
        <w:rPr>
          <w:rFonts w:ascii="新宋体" w:hAnsi="新宋体" w:eastAsia="新宋体" w:cs="新宋体"/>
          <w:color w:val="231F20"/>
          <w:spacing w:val="9"/>
          <w:sz w:val="18"/>
          <w:szCs w:val="18"/>
        </w:rPr>
        <w:t>）；</w:t>
      </w:r>
      <w:r>
        <w:rPr>
          <w:rFonts w:ascii="新宋体" w:hAnsi="新宋体" w:eastAsia="新宋体" w:cs="新宋体"/>
          <w:color w:val="231F20"/>
          <w:spacing w:val="3"/>
          <w:sz w:val="18"/>
          <w:szCs w:val="18"/>
        </w:rPr>
        <w:t>河南科技大学教改项目“基于大数据的‘以</w:t>
      </w:r>
      <w:r>
        <w:rPr>
          <w:rFonts w:ascii="新宋体" w:hAnsi="新宋体" w:eastAsia="新宋体" w:cs="新宋体"/>
          <w:color w:val="231F20"/>
          <w:spacing w:val="2"/>
          <w:sz w:val="18"/>
          <w:szCs w:val="18"/>
        </w:rPr>
        <w:t>学生为中心’的综合性高校教学评价体系创新研究与实践”</w:t>
      </w:r>
      <w:r>
        <w:rPr>
          <w:rFonts w:ascii="新宋体" w:hAnsi="新宋体" w:eastAsia="新宋体" w:cs="新宋体"/>
          <w:color w:val="231F20"/>
          <w:spacing w:val="1"/>
          <w:sz w:val="18"/>
          <w:szCs w:val="18"/>
        </w:rPr>
        <w:t xml:space="preserve"> </w:t>
      </w:r>
      <w:r>
        <w:rPr>
          <w:rFonts w:ascii="新宋体" w:hAnsi="新宋体" w:eastAsia="新宋体" w:cs="新宋体"/>
          <w:color w:val="231F20"/>
          <w:spacing w:val="-3"/>
          <w:sz w:val="18"/>
          <w:szCs w:val="18"/>
        </w:rPr>
        <w:t>（2019YB-001）。</w:t>
      </w:r>
    </w:p>
    <w:p>
      <w:pPr>
        <w:spacing w:before="1" w:line="209" w:lineRule="auto"/>
        <w:ind w:left="769" w:right="75" w:firstLine="28"/>
        <w:jc w:val="both"/>
        <w:rPr>
          <w:rFonts w:ascii="新宋体" w:hAnsi="新宋体" w:eastAsia="新宋体" w:cs="新宋体"/>
          <w:sz w:val="18"/>
          <w:szCs w:val="18"/>
        </w:rPr>
      </w:pPr>
      <w:r>
        <w:rPr>
          <w:rFonts w:ascii="黑体" w:hAnsi="黑体" w:eastAsia="黑体" w:cs="黑体"/>
          <w:color w:val="231F20"/>
          <w:spacing w:val="1"/>
          <w:sz w:val="18"/>
          <w:szCs w:val="18"/>
        </w:rPr>
        <w:t>[</w:t>
      </w:r>
      <w:r>
        <w:rPr>
          <w:rFonts w:ascii="黑体" w:hAnsi="黑体" w:eastAsia="黑体" w:cs="黑体"/>
          <w:color w:val="231F20"/>
          <w:spacing w:val="-38"/>
          <w:sz w:val="18"/>
          <w:szCs w:val="18"/>
        </w:rPr>
        <w:t xml:space="preserve"> </w:t>
      </w:r>
      <w:r>
        <w:rPr>
          <w:rFonts w:ascii="黑体" w:hAnsi="黑体" w:eastAsia="黑体" w:cs="黑体"/>
          <w:color w:val="231F20"/>
          <w:spacing w:val="1"/>
          <w:sz w:val="18"/>
          <w:szCs w:val="18"/>
        </w:rPr>
        <w:t>作者简介</w:t>
      </w:r>
      <w:r>
        <w:rPr>
          <w:rFonts w:ascii="黑体" w:hAnsi="黑体" w:eastAsia="黑体" w:cs="黑体"/>
          <w:color w:val="231F20"/>
          <w:spacing w:val="-36"/>
          <w:sz w:val="18"/>
          <w:szCs w:val="18"/>
        </w:rPr>
        <w:t xml:space="preserve"> </w:t>
      </w:r>
      <w:r>
        <w:rPr>
          <w:rFonts w:ascii="黑体" w:hAnsi="黑体" w:eastAsia="黑体" w:cs="黑体"/>
          <w:color w:val="231F20"/>
          <w:spacing w:val="1"/>
          <w:sz w:val="18"/>
          <w:szCs w:val="18"/>
        </w:rPr>
        <w:t>]</w:t>
      </w:r>
      <w:r>
        <w:rPr>
          <w:rFonts w:ascii="黑体" w:hAnsi="黑体" w:eastAsia="黑体" w:cs="黑体"/>
          <w:color w:val="231F20"/>
          <w:spacing w:val="-37"/>
          <w:sz w:val="18"/>
          <w:szCs w:val="18"/>
        </w:rPr>
        <w:t xml:space="preserve"> </w:t>
      </w:r>
      <w:r>
        <w:rPr>
          <w:rFonts w:ascii="新宋体" w:hAnsi="新宋体" w:eastAsia="新宋体" w:cs="新宋体"/>
          <w:color w:val="231F20"/>
          <w:spacing w:val="1"/>
          <w:sz w:val="18"/>
          <w:szCs w:val="18"/>
        </w:rPr>
        <w:t>周树堂，河南科技大学数学与统计学院办公室副主任，硕士，研究方向：</w:t>
      </w:r>
      <w:r>
        <w:rPr>
          <w:rFonts w:ascii="新宋体" w:hAnsi="新宋体" w:eastAsia="新宋体" w:cs="新宋体"/>
          <w:color w:val="231F20"/>
          <w:sz w:val="18"/>
          <w:szCs w:val="18"/>
        </w:rPr>
        <w:t xml:space="preserve">高校质量保障研究；颉潭成，三门峡 </w:t>
      </w:r>
      <w:r>
        <w:rPr>
          <w:rFonts w:ascii="新宋体" w:hAnsi="新宋体" w:eastAsia="新宋体" w:cs="新宋体"/>
          <w:color w:val="231F20"/>
          <w:spacing w:val="-8"/>
          <w:sz w:val="18"/>
          <w:szCs w:val="18"/>
        </w:rPr>
        <w:t>职业技术学院院长，</w:t>
      </w:r>
      <w:r>
        <w:rPr>
          <w:rFonts w:ascii="新宋体" w:hAnsi="新宋体" w:eastAsia="新宋体" w:cs="新宋体"/>
          <w:color w:val="231F20"/>
          <w:spacing w:val="47"/>
          <w:sz w:val="18"/>
          <w:szCs w:val="18"/>
        </w:rPr>
        <w:t xml:space="preserve"> </w:t>
      </w:r>
      <w:r>
        <w:rPr>
          <w:rFonts w:ascii="新宋体" w:hAnsi="新宋体" w:eastAsia="新宋体" w:cs="新宋体"/>
          <w:color w:val="231F20"/>
          <w:spacing w:val="-8"/>
          <w:sz w:val="18"/>
          <w:szCs w:val="18"/>
        </w:rPr>
        <w:t>教授， 硕士， 研究方向：计算机辅助设计与制造、数控单元技术；王淑敏， 河南科技大</w:t>
      </w:r>
      <w:r>
        <w:rPr>
          <w:rFonts w:ascii="新宋体" w:hAnsi="新宋体" w:eastAsia="新宋体" w:cs="新宋体"/>
          <w:color w:val="231F20"/>
          <w:spacing w:val="-9"/>
          <w:sz w:val="18"/>
          <w:szCs w:val="18"/>
        </w:rPr>
        <w:t>学组织部副部长，</w:t>
      </w:r>
      <w:r>
        <w:rPr>
          <w:rFonts w:ascii="新宋体" w:hAnsi="新宋体" w:eastAsia="新宋体" w:cs="新宋体"/>
          <w:color w:val="231F20"/>
          <w:sz w:val="18"/>
          <w:szCs w:val="18"/>
        </w:rPr>
        <w:t xml:space="preserve"> </w:t>
      </w:r>
      <w:r>
        <w:rPr>
          <w:rFonts w:ascii="新宋体" w:hAnsi="新宋体" w:eastAsia="新宋体" w:cs="新宋体"/>
          <w:color w:val="231F20"/>
          <w:spacing w:val="-2"/>
          <w:sz w:val="18"/>
          <w:szCs w:val="18"/>
        </w:rPr>
        <w:t>讲师，硕士，研究方向：高等教育教学。</w:t>
      </w:r>
    </w:p>
    <w:p>
      <w:pPr>
        <w:spacing w:line="209" w:lineRule="auto"/>
        <w:rPr>
          <w:rFonts w:ascii="新宋体" w:hAnsi="新宋体" w:eastAsia="新宋体" w:cs="新宋体"/>
          <w:sz w:val="18"/>
          <w:szCs w:val="18"/>
        </w:rPr>
        <w:sectPr>
          <w:type w:val="continuous"/>
          <w:pgSz w:w="11906" w:h="16158"/>
          <w:pgMar w:top="1037" w:right="815" w:bottom="547" w:left="407" w:header="820" w:footer="354" w:gutter="0"/>
          <w:cols w:equalWidth="0" w:num="1">
            <w:col w:w="10682"/>
          </w:cols>
        </w:sectPr>
      </w:pPr>
    </w:p>
    <w:p>
      <w:pPr>
        <w:spacing w:before="4"/>
      </w:pPr>
    </w:p>
    <w:p>
      <w:pPr>
        <w:sectPr>
          <w:headerReference r:id="rId63" w:type="default"/>
          <w:footerReference r:id="rId64" w:type="default"/>
          <w:pgSz w:w="11906" w:h="16158"/>
          <w:pgMar w:top="1039" w:right="856" w:bottom="547" w:left="407" w:header="819" w:footer="354" w:gutter="0"/>
          <w:cols w:equalWidth="0" w:num="1">
            <w:col w:w="10642"/>
          </w:cols>
        </w:sectPr>
      </w:pPr>
    </w:p>
    <w:p>
      <w:pPr>
        <w:spacing w:before="40" w:line="261" w:lineRule="auto"/>
        <w:ind w:left="508" w:right="355"/>
        <w:jc w:val="both"/>
        <w:rPr>
          <w:rFonts w:ascii="宋体" w:hAnsi="宋体" w:eastAsia="宋体" w:cs="宋体"/>
          <w:sz w:val="20"/>
          <w:szCs w:val="20"/>
        </w:rPr>
      </w:pPr>
      <w:r>
        <w:rPr>
          <w:rFonts w:ascii="宋体" w:hAnsi="宋体" w:eastAsia="宋体" w:cs="宋体"/>
          <w:color w:val="231F20"/>
          <w:spacing w:val="18"/>
          <w:sz w:val="20"/>
          <w:szCs w:val="20"/>
        </w:rPr>
        <w:t>动学风建设工作常态化、品牌化；发挥前期“导师</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来了”“农创书院”等一大批学院特色品牌引领示</w:t>
      </w:r>
      <w:r>
        <w:rPr>
          <w:rFonts w:ascii="宋体" w:hAnsi="宋体" w:eastAsia="宋体" w:cs="宋体"/>
          <w:color w:val="231F20"/>
          <w:spacing w:val="11"/>
          <w:sz w:val="20"/>
          <w:szCs w:val="20"/>
        </w:rPr>
        <w:t xml:space="preserve"> </w:t>
      </w:r>
      <w:r>
        <w:rPr>
          <w:rFonts w:ascii="宋体" w:hAnsi="宋体" w:eastAsia="宋体" w:cs="宋体"/>
          <w:color w:val="231F20"/>
          <w:spacing w:val="14"/>
          <w:sz w:val="20"/>
          <w:szCs w:val="20"/>
        </w:rPr>
        <w:t>范作用，营造了浓厚的学风氛围。</w:t>
      </w:r>
    </w:p>
    <w:p>
      <w:pPr>
        <w:spacing w:before="64" w:line="180" w:lineRule="auto"/>
        <w:ind w:left="510" w:right="362" w:firstLine="462"/>
        <w:rPr>
          <w:rFonts w:ascii="微软雅黑" w:hAnsi="微软雅黑" w:eastAsia="微软雅黑" w:cs="微软雅黑"/>
          <w:sz w:val="22"/>
          <w:szCs w:val="22"/>
        </w:rPr>
      </w:pPr>
      <w:r>
        <w:rPr>
          <w:rFonts w:ascii="微软雅黑" w:hAnsi="微软雅黑" w:eastAsia="微软雅黑" w:cs="微软雅黑"/>
          <w:color w:val="231F20"/>
          <w:spacing w:val="21"/>
          <w:sz w:val="22"/>
          <w:szCs w:val="22"/>
        </w:rPr>
        <w:t>三、实施质量保障体系，助推教育质量文</w:t>
      </w:r>
      <w:r>
        <w:rPr>
          <w:rFonts w:ascii="微软雅黑" w:hAnsi="微软雅黑" w:eastAsia="微软雅黑" w:cs="微软雅黑"/>
          <w:color w:val="231F20"/>
          <w:sz w:val="22"/>
          <w:szCs w:val="22"/>
        </w:rPr>
        <w:t xml:space="preserve"> </w:t>
      </w:r>
      <w:r>
        <w:rPr>
          <w:rFonts w:ascii="微软雅黑" w:hAnsi="微软雅黑" w:eastAsia="微软雅黑" w:cs="微软雅黑"/>
          <w:color w:val="231F20"/>
          <w:spacing w:val="17"/>
          <w:sz w:val="22"/>
          <w:szCs w:val="22"/>
        </w:rPr>
        <w:t>化内涵建设</w:t>
      </w:r>
    </w:p>
    <w:p>
      <w:pPr>
        <w:spacing w:before="2" w:line="251" w:lineRule="auto"/>
        <w:ind w:left="510" w:right="366" w:firstLine="472"/>
        <w:rPr>
          <w:rFonts w:ascii="宋体" w:hAnsi="宋体" w:eastAsia="宋体" w:cs="宋体"/>
          <w:sz w:val="20"/>
          <w:szCs w:val="20"/>
        </w:rPr>
      </w:pPr>
      <w:r>
        <w:rPr>
          <w:rFonts w:ascii="宋体" w:hAnsi="宋体" w:eastAsia="宋体" w:cs="宋体"/>
          <w:color w:val="231F20"/>
          <w:spacing w:val="21"/>
          <w:sz w:val="20"/>
          <w:szCs w:val="20"/>
        </w:rPr>
        <w:t>(一）构建科学的工作机制，为教育质量文化</w:t>
      </w:r>
      <w:r>
        <w:rPr>
          <w:rFonts w:ascii="宋体" w:hAnsi="宋体" w:eastAsia="宋体" w:cs="宋体"/>
          <w:color w:val="231F20"/>
          <w:spacing w:val="4"/>
          <w:sz w:val="20"/>
          <w:szCs w:val="20"/>
        </w:rPr>
        <w:t xml:space="preserve"> </w:t>
      </w:r>
      <w:r>
        <w:rPr>
          <w:rFonts w:ascii="宋体" w:hAnsi="宋体" w:eastAsia="宋体" w:cs="宋体"/>
          <w:color w:val="231F20"/>
          <w:spacing w:val="16"/>
          <w:sz w:val="20"/>
          <w:szCs w:val="20"/>
        </w:rPr>
        <w:t>建设提供组织保障</w:t>
      </w:r>
    </w:p>
    <w:p>
      <w:pPr>
        <w:spacing w:before="58" w:line="268" w:lineRule="auto"/>
        <w:ind w:left="508" w:right="305" w:firstLine="439"/>
        <w:rPr>
          <w:rFonts w:ascii="宋体" w:hAnsi="宋体" w:eastAsia="宋体" w:cs="宋体"/>
          <w:sz w:val="20"/>
          <w:szCs w:val="20"/>
        </w:rPr>
      </w:pPr>
      <w:r>
        <w:rPr>
          <w:rFonts w:ascii="宋体" w:hAnsi="宋体" w:eastAsia="宋体" w:cs="宋体"/>
          <w:color w:val="231F20"/>
          <w:spacing w:val="18"/>
          <w:sz w:val="20"/>
          <w:szCs w:val="20"/>
        </w:rPr>
        <w:t>知识是高等教育的根基，高等教育质量管理不</w:t>
      </w:r>
      <w:r>
        <w:rPr>
          <w:rFonts w:ascii="宋体" w:hAnsi="宋体" w:eastAsia="宋体" w:cs="宋体"/>
          <w:color w:val="231F20"/>
          <w:spacing w:val="9"/>
          <w:sz w:val="20"/>
          <w:szCs w:val="20"/>
        </w:rPr>
        <w:t xml:space="preserve"> </w:t>
      </w:r>
      <w:r>
        <w:rPr>
          <w:rFonts w:ascii="宋体" w:hAnsi="宋体" w:eastAsia="宋体" w:cs="宋体"/>
          <w:color w:val="231F20"/>
          <w:spacing w:val="18"/>
          <w:sz w:val="20"/>
          <w:szCs w:val="20"/>
        </w:rPr>
        <w:t>能简单地以技术问题来看待，也需要一些制度和体</w:t>
      </w:r>
      <w:r>
        <w:rPr>
          <w:rFonts w:ascii="宋体" w:hAnsi="宋体" w:eastAsia="宋体" w:cs="宋体"/>
          <w:color w:val="231F20"/>
          <w:spacing w:val="10"/>
          <w:sz w:val="20"/>
          <w:szCs w:val="20"/>
        </w:rPr>
        <w:t xml:space="preserve"> </w:t>
      </w:r>
      <w:r>
        <w:rPr>
          <w:rFonts w:ascii="宋体" w:hAnsi="宋体" w:eastAsia="宋体" w:cs="宋体"/>
          <w:color w:val="231F20"/>
          <w:spacing w:val="-18"/>
          <w:sz w:val="20"/>
          <w:szCs w:val="20"/>
        </w:rPr>
        <w:t>系保障。</w:t>
      </w:r>
      <w:r>
        <w:rPr>
          <w:rFonts w:ascii="宋体" w:hAnsi="宋体" w:eastAsia="宋体" w:cs="宋体"/>
          <w:color w:val="231F20"/>
          <w:spacing w:val="79"/>
          <w:sz w:val="20"/>
          <w:szCs w:val="20"/>
        </w:rPr>
        <w:t xml:space="preserve"> </w:t>
      </w:r>
      <w:r>
        <w:rPr>
          <w:rFonts w:ascii="宋体" w:hAnsi="宋体" w:eastAsia="宋体" w:cs="宋体"/>
          <w:color w:val="231F20"/>
          <w:spacing w:val="16"/>
          <w:position w:val="13"/>
          <w:sz w:val="12"/>
          <w:szCs w:val="12"/>
        </w:rPr>
        <w:t>[3]</w:t>
      </w:r>
      <w:r>
        <w:rPr>
          <w:rFonts w:ascii="宋体" w:hAnsi="宋体" w:eastAsia="宋体" w:cs="宋体"/>
          <w:color w:val="231F20"/>
          <w:spacing w:val="16"/>
          <w:sz w:val="20"/>
          <w:szCs w:val="20"/>
        </w:rPr>
        <w:t>学校实施质量保障“一把手”工程，强</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化组织保障。横向层面构建了教学质量保障联席会</w:t>
      </w:r>
      <w:r>
        <w:rPr>
          <w:rFonts w:ascii="宋体" w:hAnsi="宋体" w:eastAsia="宋体" w:cs="宋体"/>
          <w:color w:val="231F20"/>
          <w:spacing w:val="10"/>
          <w:sz w:val="20"/>
          <w:szCs w:val="20"/>
        </w:rPr>
        <w:t xml:space="preserve"> </w:t>
      </w:r>
      <w:r>
        <w:rPr>
          <w:rFonts w:ascii="宋体" w:hAnsi="宋体" w:eastAsia="宋体" w:cs="宋体"/>
          <w:color w:val="231F20"/>
          <w:spacing w:val="16"/>
          <w:sz w:val="20"/>
          <w:szCs w:val="20"/>
        </w:rPr>
        <w:t>议机制，定期组织教务处、学生处、招生就业处、</w:t>
      </w:r>
      <w:r>
        <w:rPr>
          <w:rFonts w:ascii="宋体" w:hAnsi="宋体" w:eastAsia="宋体" w:cs="宋体"/>
          <w:color w:val="231F20"/>
          <w:spacing w:val="6"/>
          <w:sz w:val="20"/>
          <w:szCs w:val="20"/>
        </w:rPr>
        <w:t xml:space="preserve">  </w:t>
      </w:r>
      <w:r>
        <w:rPr>
          <w:rFonts w:ascii="宋体" w:hAnsi="宋体" w:eastAsia="宋体" w:cs="宋体"/>
          <w:color w:val="231F20"/>
          <w:spacing w:val="18"/>
          <w:sz w:val="20"/>
          <w:szCs w:val="20"/>
        </w:rPr>
        <w:t>校团委、后勤管理处等职能部门召开联席会议，协</w:t>
      </w:r>
      <w:r>
        <w:rPr>
          <w:rFonts w:ascii="宋体" w:hAnsi="宋体" w:eastAsia="宋体" w:cs="宋体"/>
          <w:color w:val="231F20"/>
          <w:spacing w:val="10"/>
          <w:sz w:val="20"/>
          <w:szCs w:val="20"/>
        </w:rPr>
        <w:t xml:space="preserve"> </w:t>
      </w:r>
      <w:r>
        <w:rPr>
          <w:rFonts w:ascii="宋体" w:hAnsi="宋体" w:eastAsia="宋体" w:cs="宋体"/>
          <w:color w:val="231F20"/>
          <w:spacing w:val="18"/>
          <w:sz w:val="20"/>
          <w:szCs w:val="20"/>
        </w:rPr>
        <w:t>调解决教学过程中存在的突出问题；纵向层面建立</w:t>
      </w:r>
      <w:r>
        <w:rPr>
          <w:rFonts w:ascii="宋体" w:hAnsi="宋体" w:eastAsia="宋体" w:cs="宋体"/>
          <w:color w:val="231F20"/>
          <w:spacing w:val="10"/>
          <w:sz w:val="20"/>
          <w:szCs w:val="20"/>
        </w:rPr>
        <w:t xml:space="preserve"> </w:t>
      </w:r>
      <w:r>
        <w:rPr>
          <w:rFonts w:ascii="宋体" w:hAnsi="宋体" w:eastAsia="宋体" w:cs="宋体"/>
          <w:color w:val="231F20"/>
          <w:spacing w:val="18"/>
          <w:sz w:val="20"/>
          <w:szCs w:val="20"/>
        </w:rPr>
        <w:t>了学校、学院、基层教学组织、教师、学生等微观</w:t>
      </w:r>
      <w:r>
        <w:rPr>
          <w:rFonts w:ascii="宋体" w:hAnsi="宋体" w:eastAsia="宋体" w:cs="宋体"/>
          <w:color w:val="231F20"/>
          <w:spacing w:val="10"/>
          <w:sz w:val="20"/>
          <w:szCs w:val="20"/>
        </w:rPr>
        <w:t xml:space="preserve"> </w:t>
      </w:r>
      <w:r>
        <w:rPr>
          <w:rFonts w:ascii="宋体" w:hAnsi="宋体" w:eastAsia="宋体" w:cs="宋体"/>
          <w:color w:val="231F20"/>
          <w:spacing w:val="6"/>
          <w:sz w:val="20"/>
          <w:szCs w:val="20"/>
        </w:rPr>
        <w:t>质量监督与评价机构， 执行“五级联动”工作机制，</w:t>
      </w:r>
      <w:r>
        <w:rPr>
          <w:rFonts w:ascii="宋体" w:hAnsi="宋体" w:eastAsia="宋体" w:cs="宋体"/>
          <w:color w:val="231F20"/>
          <w:spacing w:val="15"/>
          <w:sz w:val="20"/>
          <w:szCs w:val="20"/>
        </w:rPr>
        <w:t xml:space="preserve"> </w:t>
      </w:r>
      <w:r>
        <w:rPr>
          <w:rFonts w:ascii="宋体" w:hAnsi="宋体" w:eastAsia="宋体" w:cs="宋体"/>
          <w:color w:val="231F20"/>
          <w:spacing w:val="18"/>
          <w:sz w:val="20"/>
          <w:szCs w:val="20"/>
        </w:rPr>
        <w:t>促进了教育质量文化建设的公开性、全员性、参与</w:t>
      </w:r>
      <w:r>
        <w:rPr>
          <w:rFonts w:ascii="宋体" w:hAnsi="宋体" w:eastAsia="宋体" w:cs="宋体"/>
          <w:color w:val="231F20"/>
          <w:spacing w:val="10"/>
          <w:sz w:val="20"/>
          <w:szCs w:val="20"/>
        </w:rPr>
        <w:t xml:space="preserve"> </w:t>
      </w:r>
      <w:r>
        <w:rPr>
          <w:rFonts w:ascii="宋体" w:hAnsi="宋体" w:eastAsia="宋体" w:cs="宋体"/>
          <w:color w:val="231F20"/>
          <w:spacing w:val="9"/>
          <w:sz w:val="20"/>
          <w:szCs w:val="20"/>
        </w:rPr>
        <w:t>性、积极性。</w:t>
      </w:r>
    </w:p>
    <w:p>
      <w:pPr>
        <w:spacing w:before="53" w:line="252" w:lineRule="auto"/>
        <w:ind w:left="508" w:right="367" w:firstLine="451"/>
        <w:rPr>
          <w:rFonts w:ascii="宋体" w:hAnsi="宋体" w:eastAsia="宋体" w:cs="宋体"/>
          <w:sz w:val="20"/>
          <w:szCs w:val="20"/>
        </w:rPr>
      </w:pPr>
      <w:r>
        <w:rPr>
          <w:rFonts w:ascii="宋体" w:hAnsi="宋体" w:eastAsia="宋体" w:cs="宋体"/>
          <w:color w:val="231F20"/>
          <w:spacing w:val="17"/>
          <w:sz w:val="20"/>
          <w:szCs w:val="20"/>
        </w:rPr>
        <w:t>（二）改进质量保障体系运行模式，完善教学</w:t>
      </w:r>
      <w:r>
        <w:rPr>
          <w:rFonts w:ascii="宋体" w:hAnsi="宋体" w:eastAsia="宋体" w:cs="宋体"/>
          <w:color w:val="231F20"/>
          <w:spacing w:val="5"/>
          <w:sz w:val="20"/>
          <w:szCs w:val="20"/>
        </w:rPr>
        <w:t xml:space="preserve"> </w:t>
      </w:r>
      <w:r>
        <w:rPr>
          <w:rFonts w:ascii="宋体" w:hAnsi="宋体" w:eastAsia="宋体" w:cs="宋体"/>
          <w:color w:val="231F20"/>
          <w:spacing w:val="16"/>
          <w:sz w:val="20"/>
          <w:szCs w:val="20"/>
        </w:rPr>
        <w:t>质量保障体系薄弱环节</w:t>
      </w:r>
    </w:p>
    <w:p>
      <w:pPr>
        <w:spacing w:before="52" w:line="261" w:lineRule="auto"/>
        <w:ind w:left="506" w:right="271" w:firstLine="441"/>
        <w:rPr>
          <w:rFonts w:ascii="宋体" w:hAnsi="宋体" w:eastAsia="宋体" w:cs="宋体"/>
          <w:sz w:val="20"/>
          <w:szCs w:val="20"/>
        </w:rPr>
      </w:pPr>
      <w:r>
        <w:rPr>
          <w:rFonts w:ascii="宋体" w:hAnsi="宋体" w:eastAsia="宋体" w:cs="宋体"/>
          <w:color w:val="231F20"/>
          <w:spacing w:val="12"/>
          <w:sz w:val="20"/>
          <w:szCs w:val="20"/>
        </w:rPr>
        <w:t>学校在“立体式双闭环”质量保障体系（如图）</w:t>
      </w:r>
      <w:r>
        <w:rPr>
          <w:rFonts w:ascii="宋体" w:hAnsi="宋体" w:eastAsia="宋体" w:cs="宋体"/>
          <w:color w:val="231F20"/>
          <w:spacing w:val="1"/>
          <w:sz w:val="20"/>
          <w:szCs w:val="20"/>
        </w:rPr>
        <w:t xml:space="preserve"> </w:t>
      </w:r>
      <w:r>
        <w:rPr>
          <w:rFonts w:ascii="宋体" w:hAnsi="宋体" w:eastAsia="宋体" w:cs="宋体"/>
          <w:color w:val="231F20"/>
          <w:spacing w:val="18"/>
          <w:sz w:val="20"/>
          <w:szCs w:val="20"/>
        </w:rPr>
        <w:t xml:space="preserve">运行的基础上，深入贯彻落实“以学生为中心”理 </w:t>
      </w:r>
      <w:r>
        <w:rPr>
          <w:rFonts w:ascii="宋体" w:hAnsi="宋体" w:eastAsia="宋体" w:cs="宋体"/>
          <w:color w:val="231F20"/>
          <w:spacing w:val="14"/>
          <w:sz w:val="20"/>
          <w:szCs w:val="20"/>
        </w:rPr>
        <w:t>念，对部分关键信息点进行了改进。</w:t>
      </w:r>
    </w:p>
    <w:p>
      <w:pPr>
        <w:spacing w:before="52" w:line="253" w:lineRule="auto"/>
        <w:ind w:left="509" w:right="357" w:firstLine="451"/>
        <w:rPr>
          <w:rFonts w:ascii="宋体" w:hAnsi="宋体" w:eastAsia="宋体" w:cs="宋体"/>
          <w:sz w:val="20"/>
          <w:szCs w:val="20"/>
        </w:rPr>
      </w:pPr>
      <w:r>
        <w:rPr>
          <w:rFonts w:ascii="宋体" w:hAnsi="宋体" w:eastAsia="宋体" w:cs="宋体"/>
          <w:color w:val="231F20"/>
          <w:spacing w:val="23"/>
          <w:sz w:val="20"/>
          <w:szCs w:val="20"/>
        </w:rPr>
        <w:t>1.</w:t>
      </w:r>
      <w:r>
        <w:rPr>
          <w:rFonts w:ascii="宋体" w:hAnsi="宋体" w:eastAsia="宋体" w:cs="宋体"/>
          <w:color w:val="231F20"/>
          <w:spacing w:val="-5"/>
          <w:sz w:val="20"/>
          <w:szCs w:val="20"/>
        </w:rPr>
        <w:t xml:space="preserve"> </w:t>
      </w:r>
      <w:r>
        <w:rPr>
          <w:rFonts w:ascii="宋体" w:hAnsi="宋体" w:eastAsia="宋体" w:cs="宋体"/>
          <w:color w:val="231F20"/>
          <w:spacing w:val="23"/>
          <w:sz w:val="20"/>
          <w:szCs w:val="20"/>
        </w:rPr>
        <w:t>教学督导完成“两个循环”，集中关注学</w:t>
      </w:r>
      <w:r>
        <w:rPr>
          <w:rFonts w:ascii="宋体" w:hAnsi="宋体" w:eastAsia="宋体" w:cs="宋体"/>
          <w:color w:val="231F20"/>
          <w:sz w:val="20"/>
          <w:szCs w:val="20"/>
        </w:rPr>
        <w:t xml:space="preserve"> </w:t>
      </w:r>
      <w:r>
        <w:rPr>
          <w:rFonts w:ascii="宋体" w:hAnsi="宋体" w:eastAsia="宋体" w:cs="宋体"/>
          <w:color w:val="231F20"/>
          <w:spacing w:val="16"/>
          <w:sz w:val="20"/>
          <w:szCs w:val="20"/>
        </w:rPr>
        <w:t>生学学习效果</w:t>
      </w:r>
    </w:p>
    <w:p>
      <w:pPr>
        <w:spacing w:before="53" w:line="214" w:lineRule="auto"/>
        <w:ind w:left="946"/>
        <w:rPr>
          <w:rFonts w:ascii="宋体" w:hAnsi="宋体" w:eastAsia="宋体" w:cs="宋体"/>
          <w:sz w:val="20"/>
          <w:szCs w:val="20"/>
        </w:rPr>
      </w:pPr>
      <w:r>
        <w:rPr>
          <w:rFonts w:ascii="宋体" w:hAnsi="宋体" w:eastAsia="宋体" w:cs="宋体"/>
          <w:color w:val="231F20"/>
          <w:spacing w:val="18"/>
          <w:sz w:val="20"/>
          <w:szCs w:val="20"/>
        </w:rPr>
        <w:t>教学督导从过去单纯的听课、教学资料检查等</w:t>
      </w:r>
    </w:p>
    <w:p>
      <w:pPr>
        <w:spacing w:line="14" w:lineRule="auto"/>
        <w:rPr>
          <w:rFonts w:ascii="Arial"/>
          <w:sz w:val="2"/>
        </w:rPr>
      </w:pPr>
      <w:r>
        <w:rPr>
          <w:rFonts w:ascii="Arial" w:hAnsi="Arial" w:eastAsia="Arial" w:cs="Arial"/>
          <w:sz w:val="2"/>
          <w:szCs w:val="2"/>
        </w:rPr>
        <w:br w:type="column"/>
      </w:r>
    </w:p>
    <w:p>
      <w:pPr>
        <w:spacing w:before="47" w:line="271" w:lineRule="auto"/>
        <w:ind w:left="5"/>
        <w:jc w:val="both"/>
        <w:rPr>
          <w:rFonts w:ascii="宋体" w:hAnsi="宋体" w:eastAsia="宋体" w:cs="宋体"/>
          <w:sz w:val="20"/>
          <w:szCs w:val="20"/>
        </w:rPr>
      </w:pPr>
      <w:r>
        <w:rPr>
          <w:rFonts w:ascii="宋体" w:hAnsi="宋体" w:eastAsia="宋体" w:cs="宋体"/>
          <w:color w:val="231F20"/>
          <w:spacing w:val="18"/>
          <w:sz w:val="20"/>
          <w:szCs w:val="20"/>
        </w:rPr>
        <w:t>转变为面向教学全过程，从人才培养方案、教学大</w:t>
      </w:r>
      <w:r>
        <w:rPr>
          <w:rFonts w:ascii="宋体" w:hAnsi="宋体" w:eastAsia="宋体" w:cs="宋体"/>
          <w:color w:val="231F20"/>
          <w:spacing w:val="10"/>
          <w:sz w:val="20"/>
          <w:szCs w:val="20"/>
        </w:rPr>
        <w:t xml:space="preserve"> </w:t>
      </w:r>
      <w:r>
        <w:rPr>
          <w:rFonts w:ascii="宋体" w:hAnsi="宋体" w:eastAsia="宋体" w:cs="宋体"/>
          <w:color w:val="231F20"/>
          <w:spacing w:val="18"/>
          <w:sz w:val="20"/>
          <w:szCs w:val="20"/>
        </w:rPr>
        <w:t>纲、课堂教学、实践教学等多环节进行督导。第一</w:t>
      </w:r>
      <w:r>
        <w:rPr>
          <w:rFonts w:ascii="宋体" w:hAnsi="宋体" w:eastAsia="宋体" w:cs="宋体"/>
          <w:color w:val="231F20"/>
          <w:spacing w:val="11"/>
          <w:sz w:val="20"/>
          <w:szCs w:val="20"/>
        </w:rPr>
        <w:t xml:space="preserve"> </w:t>
      </w:r>
      <w:r>
        <w:rPr>
          <w:rFonts w:ascii="宋体" w:hAnsi="宋体" w:eastAsia="宋体" w:cs="宋体"/>
          <w:color w:val="231F20"/>
          <w:spacing w:val="18"/>
          <w:sz w:val="20"/>
          <w:szCs w:val="20"/>
        </w:rPr>
        <w:t>个循环是从培养目标入手，倒推毕业要求、培养方</w:t>
      </w:r>
      <w:r>
        <w:rPr>
          <w:rFonts w:ascii="宋体" w:hAnsi="宋体" w:eastAsia="宋体" w:cs="宋体"/>
          <w:color w:val="231F20"/>
          <w:spacing w:val="11"/>
          <w:sz w:val="20"/>
          <w:szCs w:val="20"/>
        </w:rPr>
        <w:t xml:space="preserve"> </w:t>
      </w:r>
      <w:r>
        <w:rPr>
          <w:rFonts w:ascii="宋体" w:hAnsi="宋体" w:eastAsia="宋体" w:cs="宋体"/>
          <w:color w:val="231F20"/>
          <w:spacing w:val="18"/>
          <w:sz w:val="20"/>
          <w:szCs w:val="20"/>
        </w:rPr>
        <w:t>案、教学大纲、课程建设，即教学反向设计是否合</w:t>
      </w:r>
      <w:r>
        <w:rPr>
          <w:rFonts w:ascii="宋体" w:hAnsi="宋体" w:eastAsia="宋体" w:cs="宋体"/>
          <w:color w:val="231F20"/>
          <w:spacing w:val="11"/>
          <w:sz w:val="20"/>
          <w:szCs w:val="20"/>
        </w:rPr>
        <w:t xml:space="preserve"> </w:t>
      </w:r>
      <w:r>
        <w:rPr>
          <w:rFonts w:ascii="宋体" w:hAnsi="宋体" w:eastAsia="宋体" w:cs="宋体"/>
          <w:color w:val="231F20"/>
          <w:spacing w:val="18"/>
          <w:sz w:val="20"/>
          <w:szCs w:val="20"/>
        </w:rPr>
        <w:t>理；第二个循环是从课程评价入手，看每个课程是</w:t>
      </w:r>
      <w:r>
        <w:rPr>
          <w:rFonts w:ascii="宋体" w:hAnsi="宋体" w:eastAsia="宋体" w:cs="宋体"/>
          <w:color w:val="231F20"/>
          <w:spacing w:val="11"/>
          <w:sz w:val="20"/>
          <w:szCs w:val="20"/>
        </w:rPr>
        <w:t xml:space="preserve"> </w:t>
      </w:r>
      <w:r>
        <w:rPr>
          <w:rFonts w:ascii="宋体" w:hAnsi="宋体" w:eastAsia="宋体" w:cs="宋体"/>
          <w:color w:val="231F20"/>
          <w:spacing w:val="18"/>
          <w:sz w:val="20"/>
          <w:szCs w:val="20"/>
        </w:rPr>
        <w:t>否达到课程所要求的教学目标，包括知识目标和能</w:t>
      </w:r>
      <w:r>
        <w:rPr>
          <w:rFonts w:ascii="宋体" w:hAnsi="宋体" w:eastAsia="宋体" w:cs="宋体"/>
          <w:color w:val="231F20"/>
          <w:spacing w:val="11"/>
          <w:sz w:val="20"/>
          <w:szCs w:val="20"/>
        </w:rPr>
        <w:t xml:space="preserve"> </w:t>
      </w:r>
      <w:r>
        <w:rPr>
          <w:rFonts w:ascii="宋体" w:hAnsi="宋体" w:eastAsia="宋体" w:cs="宋体"/>
          <w:color w:val="231F20"/>
          <w:spacing w:val="6"/>
          <w:sz w:val="20"/>
          <w:szCs w:val="20"/>
        </w:rPr>
        <w:t>力目标， 逐步到课程体系能否达到毕业要求的目标，</w:t>
      </w:r>
      <w:r>
        <w:rPr>
          <w:rFonts w:ascii="宋体" w:hAnsi="宋体" w:eastAsia="宋体" w:cs="宋体"/>
          <w:color w:val="231F20"/>
          <w:spacing w:val="16"/>
          <w:sz w:val="20"/>
          <w:szCs w:val="20"/>
        </w:rPr>
        <w:t xml:space="preserve"> </w:t>
      </w:r>
      <w:r>
        <w:rPr>
          <w:rFonts w:ascii="宋体" w:hAnsi="宋体" w:eastAsia="宋体" w:cs="宋体"/>
          <w:color w:val="231F20"/>
          <w:spacing w:val="18"/>
          <w:sz w:val="20"/>
          <w:szCs w:val="20"/>
        </w:rPr>
        <w:t>毕业要求与培养目标达成度是否科学合理，即正向</w:t>
      </w:r>
      <w:r>
        <w:rPr>
          <w:rFonts w:ascii="宋体" w:hAnsi="宋体" w:eastAsia="宋体" w:cs="宋体"/>
          <w:color w:val="231F20"/>
          <w:spacing w:val="11"/>
          <w:sz w:val="20"/>
          <w:szCs w:val="20"/>
        </w:rPr>
        <w:t xml:space="preserve"> </w:t>
      </w:r>
      <w:r>
        <w:rPr>
          <w:rFonts w:ascii="宋体" w:hAnsi="宋体" w:eastAsia="宋体" w:cs="宋体"/>
          <w:color w:val="231F20"/>
          <w:spacing w:val="12"/>
          <w:sz w:val="20"/>
          <w:szCs w:val="20"/>
        </w:rPr>
        <w:t>目标达成是否有效。</w:t>
      </w:r>
    </w:p>
    <w:p>
      <w:pPr>
        <w:spacing w:before="52" w:line="226" w:lineRule="auto"/>
        <w:ind w:left="444"/>
        <w:rPr>
          <w:rFonts w:ascii="宋体" w:hAnsi="宋体" w:eastAsia="宋体" w:cs="宋体"/>
          <w:sz w:val="20"/>
          <w:szCs w:val="20"/>
        </w:rPr>
      </w:pPr>
      <w:r>
        <w:rPr>
          <w:rFonts w:ascii="宋体" w:hAnsi="宋体" w:eastAsia="宋体" w:cs="宋体"/>
          <w:color w:val="231F20"/>
          <w:spacing w:val="11"/>
          <w:sz w:val="20"/>
          <w:szCs w:val="20"/>
        </w:rPr>
        <w:t>2.</w:t>
      </w:r>
      <w:r>
        <w:rPr>
          <w:rFonts w:ascii="宋体" w:hAnsi="宋体" w:eastAsia="宋体" w:cs="宋体"/>
          <w:color w:val="231F20"/>
          <w:spacing w:val="-3"/>
          <w:sz w:val="20"/>
          <w:szCs w:val="20"/>
        </w:rPr>
        <w:t xml:space="preserve"> </w:t>
      </w:r>
      <w:r>
        <w:rPr>
          <w:rFonts w:ascii="宋体" w:hAnsi="宋体" w:eastAsia="宋体" w:cs="宋体"/>
          <w:color w:val="231F20"/>
          <w:spacing w:val="11"/>
          <w:sz w:val="20"/>
          <w:szCs w:val="20"/>
        </w:rPr>
        <w:t>构建可持续改进的专业评估、课程评估体系</w:t>
      </w:r>
    </w:p>
    <w:p>
      <w:pPr>
        <w:spacing w:before="59" w:line="273" w:lineRule="auto"/>
        <w:ind w:firstLine="444"/>
        <w:rPr>
          <w:rFonts w:ascii="宋体" w:hAnsi="宋体" w:eastAsia="宋体" w:cs="宋体"/>
          <w:sz w:val="20"/>
          <w:szCs w:val="20"/>
        </w:rPr>
      </w:pPr>
      <w:r>
        <w:rPr>
          <w:rFonts w:ascii="宋体" w:hAnsi="宋体" w:eastAsia="宋体" w:cs="宋体"/>
          <w:color w:val="231F20"/>
          <w:spacing w:val="1"/>
          <w:sz w:val="20"/>
          <w:szCs w:val="20"/>
        </w:rPr>
        <w:t>为落实教育部“建金专”“建金课”“建高地”，</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打造“金课”，淘汰“水课”要求，根据一流本科</w:t>
      </w:r>
      <w:r>
        <w:rPr>
          <w:rFonts w:ascii="宋体" w:hAnsi="宋体" w:eastAsia="宋体" w:cs="宋体"/>
          <w:color w:val="231F20"/>
          <w:spacing w:val="16"/>
          <w:sz w:val="20"/>
          <w:szCs w:val="20"/>
        </w:rPr>
        <w:t xml:space="preserve"> </w:t>
      </w:r>
      <w:r>
        <w:rPr>
          <w:rFonts w:ascii="宋体" w:hAnsi="宋体" w:eastAsia="宋体" w:cs="宋体"/>
          <w:color w:val="231F20"/>
          <w:spacing w:val="18"/>
          <w:sz w:val="20"/>
          <w:szCs w:val="20"/>
        </w:rPr>
        <w:t>专业建设“双万计划”专业评估体系和省教育厅专</w:t>
      </w:r>
      <w:r>
        <w:rPr>
          <w:rFonts w:ascii="宋体" w:hAnsi="宋体" w:eastAsia="宋体" w:cs="宋体"/>
          <w:color w:val="231F20"/>
          <w:spacing w:val="16"/>
          <w:sz w:val="20"/>
          <w:szCs w:val="20"/>
        </w:rPr>
        <w:t xml:space="preserve"> 业评估体系，建立了河南科技大学专业评估体系，</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定期评估，推动专业内涵建设。根据一流课程建设</w:t>
      </w:r>
      <w:r>
        <w:rPr>
          <w:rFonts w:ascii="宋体" w:hAnsi="宋体" w:eastAsia="宋体" w:cs="宋体"/>
          <w:color w:val="231F20"/>
          <w:spacing w:val="16"/>
          <w:sz w:val="20"/>
          <w:szCs w:val="20"/>
        </w:rPr>
        <w:t xml:space="preserve"> </w:t>
      </w:r>
      <w:r>
        <w:rPr>
          <w:rFonts w:ascii="宋体" w:hAnsi="宋体" w:eastAsia="宋体" w:cs="宋体"/>
          <w:color w:val="231F20"/>
          <w:spacing w:val="18"/>
          <w:sz w:val="20"/>
          <w:szCs w:val="20"/>
        </w:rPr>
        <w:t>“双万计划”课程评估体系，以质量为导向建立课</w:t>
      </w:r>
      <w:r>
        <w:rPr>
          <w:rFonts w:ascii="宋体" w:hAnsi="宋体" w:eastAsia="宋体" w:cs="宋体"/>
          <w:color w:val="231F20"/>
          <w:spacing w:val="16"/>
          <w:sz w:val="20"/>
          <w:szCs w:val="20"/>
        </w:rPr>
        <w:t xml:space="preserve"> </w:t>
      </w:r>
      <w:r>
        <w:rPr>
          <w:rFonts w:ascii="宋体" w:hAnsi="宋体" w:eastAsia="宋体" w:cs="宋体"/>
          <w:color w:val="231F20"/>
          <w:spacing w:val="18"/>
          <w:sz w:val="20"/>
          <w:szCs w:val="20"/>
        </w:rPr>
        <w:t>程建设激励机制，以课程考核改革为导向强化师生</w:t>
      </w:r>
      <w:r>
        <w:rPr>
          <w:rFonts w:ascii="宋体" w:hAnsi="宋体" w:eastAsia="宋体" w:cs="宋体"/>
          <w:color w:val="231F20"/>
          <w:spacing w:val="16"/>
          <w:sz w:val="20"/>
          <w:szCs w:val="20"/>
        </w:rPr>
        <w:t xml:space="preserve"> </w:t>
      </w:r>
      <w:r>
        <w:rPr>
          <w:rFonts w:ascii="宋体" w:hAnsi="宋体" w:eastAsia="宋体" w:cs="宋体"/>
          <w:color w:val="231F20"/>
          <w:spacing w:val="18"/>
          <w:sz w:val="20"/>
          <w:szCs w:val="20"/>
        </w:rPr>
        <w:t>互动、生生互动，以激发学习动力和专业志趣为着</w:t>
      </w:r>
      <w:r>
        <w:rPr>
          <w:rFonts w:ascii="宋体" w:hAnsi="宋体" w:eastAsia="宋体" w:cs="宋体"/>
          <w:color w:val="231F20"/>
          <w:spacing w:val="16"/>
          <w:sz w:val="20"/>
          <w:szCs w:val="20"/>
        </w:rPr>
        <w:t xml:space="preserve"> </w:t>
      </w:r>
      <w:r>
        <w:rPr>
          <w:rFonts w:ascii="宋体" w:hAnsi="宋体" w:eastAsia="宋体" w:cs="宋体"/>
          <w:color w:val="231F20"/>
          <w:spacing w:val="29"/>
          <w:sz w:val="20"/>
          <w:szCs w:val="20"/>
        </w:rPr>
        <w:t>力点完善过程评价制度，建立河南科技大学课程</w:t>
      </w:r>
      <w:r>
        <w:rPr>
          <w:rFonts w:ascii="宋体" w:hAnsi="宋体" w:eastAsia="宋体" w:cs="宋体"/>
          <w:color w:val="231F20"/>
          <w:spacing w:val="5"/>
          <w:sz w:val="20"/>
          <w:szCs w:val="20"/>
        </w:rPr>
        <w:t xml:space="preserve"> </w:t>
      </w:r>
      <w:r>
        <w:rPr>
          <w:rFonts w:ascii="宋体" w:hAnsi="宋体" w:eastAsia="宋体" w:cs="宋体"/>
          <w:color w:val="231F20"/>
          <w:spacing w:val="26"/>
          <w:sz w:val="20"/>
          <w:szCs w:val="20"/>
        </w:rPr>
        <w:t>评估体系。现已形成了多样化人才培养新模式，</w:t>
      </w:r>
      <w:r>
        <w:rPr>
          <w:rFonts w:ascii="宋体" w:hAnsi="宋体" w:eastAsia="宋体" w:cs="宋体"/>
          <w:color w:val="231F20"/>
          <w:spacing w:val="4"/>
          <w:sz w:val="20"/>
          <w:szCs w:val="20"/>
        </w:rPr>
        <w:t xml:space="preserve">  </w:t>
      </w:r>
      <w:r>
        <w:rPr>
          <w:rFonts w:ascii="宋体" w:hAnsi="宋体" w:eastAsia="宋体" w:cs="宋体"/>
          <w:color w:val="231F20"/>
          <w:spacing w:val="22"/>
          <w:sz w:val="20"/>
          <w:szCs w:val="20"/>
        </w:rPr>
        <w:t>如机电工程学院的“全面贯彻</w:t>
      </w:r>
      <w:r>
        <w:rPr>
          <w:rFonts w:ascii="宋体" w:hAnsi="宋体" w:eastAsia="宋体" w:cs="宋体"/>
          <w:color w:val="231F20"/>
          <w:spacing w:val="-26"/>
          <w:sz w:val="20"/>
          <w:szCs w:val="20"/>
        </w:rPr>
        <w:t xml:space="preserve"> </w:t>
      </w:r>
      <w:r>
        <w:rPr>
          <w:rFonts w:ascii="宋体" w:hAnsi="宋体" w:eastAsia="宋体" w:cs="宋体"/>
          <w:color w:val="231F20"/>
          <w:sz w:val="20"/>
          <w:szCs w:val="20"/>
        </w:rPr>
        <w:t>OBE</w:t>
      </w:r>
      <w:r>
        <w:rPr>
          <w:rFonts w:ascii="宋体" w:hAnsi="宋体" w:eastAsia="宋体" w:cs="宋体"/>
          <w:color w:val="231F20"/>
          <w:spacing w:val="22"/>
          <w:sz w:val="20"/>
          <w:szCs w:val="20"/>
        </w:rPr>
        <w:t>理念，持续推进</w:t>
      </w:r>
      <w:r>
        <w:rPr>
          <w:rFonts w:ascii="宋体" w:hAnsi="宋体" w:eastAsia="宋体" w:cs="宋体"/>
          <w:color w:val="231F20"/>
          <w:sz w:val="20"/>
          <w:szCs w:val="20"/>
        </w:rPr>
        <w:t xml:space="preserve"> CDIO</w:t>
      </w:r>
      <w:r>
        <w:rPr>
          <w:rFonts w:ascii="宋体" w:hAnsi="宋体" w:eastAsia="宋体" w:cs="宋体"/>
          <w:color w:val="231F20"/>
          <w:spacing w:val="20"/>
          <w:sz w:val="20"/>
          <w:szCs w:val="20"/>
        </w:rPr>
        <w:t>三级项目教学体系”，车辆与交通工程学院的</w:t>
      </w:r>
      <w:r>
        <w:rPr>
          <w:rFonts w:ascii="宋体" w:hAnsi="宋体" w:eastAsia="宋体" w:cs="宋体"/>
          <w:color w:val="231F20"/>
          <w:spacing w:val="15"/>
          <w:sz w:val="20"/>
          <w:szCs w:val="20"/>
        </w:rPr>
        <w:t xml:space="preserve"> </w:t>
      </w:r>
      <w:r>
        <w:rPr>
          <w:rFonts w:ascii="宋体" w:hAnsi="宋体" w:eastAsia="宋体" w:cs="宋体"/>
          <w:color w:val="231F20"/>
          <w:spacing w:val="18"/>
          <w:sz w:val="20"/>
          <w:szCs w:val="20"/>
        </w:rPr>
        <w:t>“基于大学生方程式汽车大赛的卓越工程师人才培</w:t>
      </w:r>
      <w:r>
        <w:rPr>
          <w:rFonts w:ascii="宋体" w:hAnsi="宋体" w:eastAsia="宋体" w:cs="宋体"/>
          <w:color w:val="231F20"/>
          <w:spacing w:val="16"/>
          <w:sz w:val="20"/>
          <w:szCs w:val="20"/>
        </w:rPr>
        <w:t xml:space="preserve"> </w:t>
      </w:r>
      <w:r>
        <w:rPr>
          <w:rFonts w:ascii="宋体" w:hAnsi="宋体" w:eastAsia="宋体" w:cs="宋体"/>
          <w:color w:val="231F20"/>
          <w:spacing w:val="15"/>
          <w:sz w:val="20"/>
          <w:szCs w:val="20"/>
        </w:rPr>
        <w:t>养”，马克思学院的“大思政教学理念”等。</w:t>
      </w:r>
    </w:p>
    <w:p>
      <w:pPr>
        <w:spacing w:before="53" w:line="235" w:lineRule="auto"/>
        <w:ind w:left="5" w:right="49" w:firstLine="435"/>
        <w:rPr>
          <w:rFonts w:ascii="宋体" w:hAnsi="宋体" w:eastAsia="宋体" w:cs="宋体"/>
          <w:sz w:val="20"/>
          <w:szCs w:val="20"/>
        </w:rPr>
      </w:pPr>
      <w:r>
        <w:rPr>
          <w:rFonts w:ascii="宋体" w:hAnsi="宋体" w:eastAsia="宋体" w:cs="宋体"/>
          <w:color w:val="231F20"/>
          <w:spacing w:val="18"/>
          <w:sz w:val="20"/>
          <w:szCs w:val="20"/>
        </w:rPr>
        <w:t>河南科技大学“立体式双闭环”教学质量保障</w:t>
      </w:r>
      <w:r>
        <w:rPr>
          <w:rFonts w:ascii="宋体" w:hAnsi="宋体" w:eastAsia="宋体" w:cs="宋体"/>
          <w:color w:val="231F20"/>
          <w:spacing w:val="14"/>
          <w:sz w:val="20"/>
          <w:szCs w:val="20"/>
        </w:rPr>
        <w:t xml:space="preserve"> </w:t>
      </w:r>
      <w:r>
        <w:rPr>
          <w:rFonts w:ascii="宋体" w:hAnsi="宋体" w:eastAsia="宋体" w:cs="宋体"/>
          <w:color w:val="231F20"/>
          <w:spacing w:val="7"/>
          <w:sz w:val="20"/>
          <w:szCs w:val="20"/>
        </w:rPr>
        <w:t>体系如图</w:t>
      </w:r>
      <w:r>
        <w:rPr>
          <w:rFonts w:ascii="宋体" w:hAnsi="宋体" w:eastAsia="宋体" w:cs="宋体"/>
          <w:color w:val="231F20"/>
          <w:spacing w:val="-19"/>
          <w:sz w:val="20"/>
          <w:szCs w:val="20"/>
        </w:rPr>
        <w:t xml:space="preserve"> </w:t>
      </w:r>
      <w:r>
        <w:rPr>
          <w:rFonts w:ascii="宋体" w:hAnsi="宋体" w:eastAsia="宋体" w:cs="宋体"/>
          <w:color w:val="231F20"/>
          <w:spacing w:val="7"/>
          <w:sz w:val="20"/>
          <w:szCs w:val="20"/>
        </w:rPr>
        <w:t>1所示。</w:t>
      </w:r>
    </w:p>
    <w:p>
      <w:pPr>
        <w:spacing w:line="235" w:lineRule="auto"/>
        <w:rPr>
          <w:rFonts w:ascii="宋体" w:hAnsi="宋体" w:eastAsia="宋体" w:cs="宋体"/>
          <w:sz w:val="20"/>
          <w:szCs w:val="20"/>
        </w:rPr>
        <w:sectPr>
          <w:type w:val="continuous"/>
          <w:pgSz w:w="11906" w:h="16158"/>
          <w:pgMar w:top="1039" w:right="856" w:bottom="547" w:left="407" w:header="819" w:footer="354" w:gutter="0"/>
          <w:cols w:equalWidth="0" w:num="2">
            <w:col w:w="5675" w:space="100"/>
            <w:col w:w="4867"/>
          </w:cols>
        </w:sectPr>
      </w:pPr>
    </w:p>
    <w:p>
      <w:pPr>
        <w:spacing w:before="110" w:line="5442" w:lineRule="exact"/>
        <w:ind w:firstLine="1576"/>
      </w:pPr>
      <w:r>
        <w:rPr>
          <w:position w:val="-108"/>
        </w:rPr>
        <w:drawing>
          <wp:inline distT="0" distB="0" distL="0" distR="0">
            <wp:extent cx="5139690" cy="345567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6"/>
                    <a:stretch>
                      <a:fillRect/>
                    </a:stretch>
                  </pic:blipFill>
                  <pic:spPr>
                    <a:xfrm>
                      <a:off x="0" y="0"/>
                      <a:ext cx="5140140" cy="3456000"/>
                    </a:xfrm>
                    <a:prstGeom prst="rect">
                      <a:avLst/>
                    </a:prstGeom>
                  </pic:spPr>
                </pic:pic>
              </a:graphicData>
            </a:graphic>
          </wp:inline>
        </w:drawing>
      </w:r>
    </w:p>
    <w:p>
      <w:pPr>
        <w:spacing w:before="1" w:line="187" w:lineRule="auto"/>
        <w:ind w:left="3605"/>
        <w:rPr>
          <w:rFonts w:ascii="黑体" w:hAnsi="黑体" w:eastAsia="黑体" w:cs="黑体"/>
          <w:sz w:val="19"/>
          <w:szCs w:val="19"/>
        </w:rPr>
      </w:pPr>
      <w:r>
        <w:rPr>
          <w:rFonts w:ascii="黑体" w:hAnsi="黑体" w:eastAsia="黑体" w:cs="黑体"/>
          <w:color w:val="231F20"/>
          <w:sz w:val="19"/>
          <w:szCs w:val="19"/>
        </w:rPr>
        <w:t>图</w:t>
      </w:r>
      <w:r>
        <w:rPr>
          <w:rFonts w:ascii="黑体" w:hAnsi="黑体" w:eastAsia="黑体" w:cs="黑体"/>
          <w:color w:val="231F20"/>
          <w:spacing w:val="-21"/>
          <w:sz w:val="19"/>
          <w:szCs w:val="19"/>
        </w:rPr>
        <w:t xml:space="preserve"> </w:t>
      </w:r>
      <w:r>
        <w:rPr>
          <w:rFonts w:ascii="黑体" w:hAnsi="黑体" w:eastAsia="黑体" w:cs="黑体"/>
          <w:color w:val="231F20"/>
          <w:sz w:val="19"/>
          <w:szCs w:val="19"/>
        </w:rPr>
        <w:t>1  “立体式双闭环”教学质量保障体系</w:t>
      </w:r>
    </w:p>
    <w:p>
      <w:pPr>
        <w:spacing w:line="187" w:lineRule="auto"/>
        <w:rPr>
          <w:rFonts w:ascii="黑体" w:hAnsi="黑体" w:eastAsia="黑体" w:cs="黑体"/>
          <w:sz w:val="19"/>
          <w:szCs w:val="19"/>
        </w:rPr>
        <w:sectPr>
          <w:type w:val="continuous"/>
          <w:pgSz w:w="11906" w:h="16158"/>
          <w:pgMar w:top="1039" w:right="856" w:bottom="547" w:left="407" w:header="819" w:footer="354" w:gutter="0"/>
          <w:cols w:equalWidth="0" w:num="1">
            <w:col w:w="10642"/>
          </w:cols>
        </w:sectPr>
      </w:pPr>
    </w:p>
    <w:p>
      <w:pPr>
        <w:spacing w:before="4"/>
      </w:pPr>
    </w:p>
    <w:p>
      <w:pPr>
        <w:sectPr>
          <w:headerReference r:id="rId65" w:type="default"/>
          <w:footerReference r:id="rId66" w:type="default"/>
          <w:pgSz w:w="11906" w:h="16158"/>
          <w:pgMar w:top="1037" w:right="838" w:bottom="547" w:left="407" w:header="820" w:footer="354" w:gutter="0"/>
          <w:cols w:equalWidth="0" w:num="1">
            <w:col w:w="10659"/>
          </w:cols>
        </w:sectPr>
      </w:pPr>
    </w:p>
    <w:p>
      <w:pPr>
        <w:spacing w:before="41" w:line="253" w:lineRule="auto"/>
        <w:ind w:left="512" w:right="359" w:firstLine="448"/>
        <w:rPr>
          <w:rFonts w:ascii="宋体" w:hAnsi="宋体" w:eastAsia="宋体" w:cs="宋体"/>
          <w:sz w:val="20"/>
          <w:szCs w:val="20"/>
        </w:rPr>
      </w:pPr>
      <w:r>
        <w:rPr>
          <w:rFonts w:ascii="宋体" w:hAnsi="宋体" w:eastAsia="宋体" w:cs="宋体"/>
          <w:color w:val="231F20"/>
          <w:spacing w:val="17"/>
          <w:sz w:val="20"/>
          <w:szCs w:val="20"/>
        </w:rPr>
        <w:t xml:space="preserve">（三）实现“三大平台”信息一体化，优化教 </w:t>
      </w:r>
      <w:r>
        <w:rPr>
          <w:rFonts w:ascii="宋体" w:hAnsi="宋体" w:eastAsia="宋体" w:cs="宋体"/>
          <w:color w:val="231F20"/>
          <w:spacing w:val="15"/>
          <w:sz w:val="20"/>
          <w:szCs w:val="20"/>
        </w:rPr>
        <w:t>与学生态结构</w:t>
      </w:r>
    </w:p>
    <w:p>
      <w:pPr>
        <w:spacing w:before="52" w:line="273" w:lineRule="auto"/>
        <w:ind w:left="506" w:right="292" w:firstLine="463"/>
        <w:rPr>
          <w:rFonts w:ascii="宋体" w:hAnsi="宋体" w:eastAsia="宋体" w:cs="宋体"/>
          <w:sz w:val="20"/>
          <w:szCs w:val="20"/>
        </w:rPr>
      </w:pPr>
      <w:r>
        <w:rPr>
          <w:rFonts w:ascii="宋体" w:hAnsi="宋体" w:eastAsia="宋体" w:cs="宋体"/>
          <w:color w:val="231F20"/>
          <w:spacing w:val="17"/>
          <w:sz w:val="20"/>
          <w:szCs w:val="20"/>
        </w:rPr>
        <w:t>以提高教学质量为目的，改善教学管理系统平</w:t>
      </w:r>
      <w:r>
        <w:rPr>
          <w:rFonts w:ascii="宋体" w:hAnsi="宋体" w:eastAsia="宋体" w:cs="宋体"/>
          <w:color w:val="231F20"/>
          <w:spacing w:val="8"/>
          <w:sz w:val="20"/>
          <w:szCs w:val="20"/>
        </w:rPr>
        <w:t xml:space="preserve"> </w:t>
      </w:r>
      <w:r>
        <w:rPr>
          <w:rFonts w:ascii="宋体" w:hAnsi="宋体" w:eastAsia="宋体" w:cs="宋体"/>
          <w:color w:val="231F20"/>
          <w:spacing w:val="18"/>
          <w:sz w:val="20"/>
          <w:szCs w:val="20"/>
        </w:rPr>
        <w:t>台、学生管理系统平台、教学资源管理系统平台等</w:t>
      </w:r>
      <w:r>
        <w:rPr>
          <w:rFonts w:ascii="宋体" w:hAnsi="宋体" w:eastAsia="宋体" w:cs="宋体"/>
          <w:color w:val="231F20"/>
          <w:spacing w:val="13"/>
          <w:sz w:val="20"/>
          <w:szCs w:val="20"/>
        </w:rPr>
        <w:t xml:space="preserve"> </w:t>
      </w:r>
      <w:r>
        <w:rPr>
          <w:rFonts w:ascii="宋体" w:hAnsi="宋体" w:eastAsia="宋体" w:cs="宋体"/>
          <w:color w:val="231F20"/>
          <w:spacing w:val="6"/>
          <w:sz w:val="20"/>
          <w:szCs w:val="20"/>
        </w:rPr>
        <w:t>信息化硬条件；</w:t>
      </w:r>
      <w:r>
        <w:rPr>
          <w:rFonts w:ascii="宋体" w:hAnsi="宋体" w:eastAsia="宋体" w:cs="宋体"/>
          <w:color w:val="231F20"/>
          <w:spacing w:val="43"/>
          <w:sz w:val="20"/>
          <w:szCs w:val="20"/>
        </w:rPr>
        <w:t xml:space="preserve"> </w:t>
      </w:r>
      <w:r>
        <w:rPr>
          <w:rFonts w:ascii="宋体" w:hAnsi="宋体" w:eastAsia="宋体" w:cs="宋体"/>
          <w:color w:val="231F20"/>
          <w:spacing w:val="6"/>
          <w:sz w:val="20"/>
          <w:szCs w:val="20"/>
        </w:rPr>
        <w:t>搭建了信息化教学大赛、微课大</w:t>
      </w:r>
      <w:r>
        <w:rPr>
          <w:rFonts w:ascii="宋体" w:hAnsi="宋体" w:eastAsia="宋体" w:cs="宋体"/>
          <w:color w:val="231F20"/>
          <w:spacing w:val="5"/>
          <w:sz w:val="20"/>
          <w:szCs w:val="20"/>
        </w:rPr>
        <w:t>赛、</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课堂创新工作坊等学习交流平台，激发了教师提升</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信息化水平的热情，提升了教师信息化软实力；依</w:t>
      </w:r>
      <w:r>
        <w:rPr>
          <w:rFonts w:ascii="宋体" w:hAnsi="宋体" w:eastAsia="宋体" w:cs="宋体"/>
          <w:color w:val="231F20"/>
          <w:spacing w:val="13"/>
          <w:sz w:val="20"/>
          <w:szCs w:val="20"/>
        </w:rPr>
        <w:t xml:space="preserve"> </w:t>
      </w:r>
      <w:r>
        <w:rPr>
          <w:rFonts w:ascii="宋体" w:hAnsi="宋体" w:eastAsia="宋体" w:cs="宋体"/>
          <w:color w:val="231F20"/>
          <w:spacing w:val="9"/>
          <w:sz w:val="20"/>
          <w:szCs w:val="20"/>
        </w:rPr>
        <w:t>托“我</w:t>
      </w:r>
      <w:r>
        <w:rPr>
          <w:rFonts w:ascii="宋体" w:hAnsi="宋体" w:eastAsia="宋体" w:cs="宋体"/>
          <w:color w:val="231F20"/>
          <w:spacing w:val="-17"/>
          <w:sz w:val="20"/>
          <w:szCs w:val="20"/>
        </w:rPr>
        <w:t xml:space="preserve"> </w:t>
      </w:r>
      <w:r>
        <w:rPr>
          <w:rFonts w:ascii="宋体" w:hAnsi="宋体" w:eastAsia="宋体" w:cs="宋体"/>
          <w:color w:val="231F20"/>
          <w:spacing w:val="9"/>
          <w:sz w:val="20"/>
          <w:szCs w:val="20"/>
        </w:rPr>
        <w:t xml:space="preserve">i科大”，推进“三大平台”信息深度融合； </w:t>
      </w:r>
      <w:r>
        <w:rPr>
          <w:rFonts w:ascii="宋体" w:hAnsi="宋体" w:eastAsia="宋体" w:cs="宋体"/>
          <w:color w:val="231F20"/>
          <w:spacing w:val="18"/>
          <w:sz w:val="20"/>
          <w:szCs w:val="20"/>
        </w:rPr>
        <w:t>充分发挥本科教学基本状态数据报告、本科教学质</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量报告、毕业生就业质量报告、各类督导检查结果</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的作用，实现了对质量信息的及时统计汇总和有效</w:t>
      </w:r>
      <w:r>
        <w:rPr>
          <w:rFonts w:ascii="宋体" w:hAnsi="宋体" w:eastAsia="宋体" w:cs="宋体"/>
          <w:color w:val="231F20"/>
          <w:spacing w:val="13"/>
          <w:sz w:val="20"/>
          <w:szCs w:val="20"/>
        </w:rPr>
        <w:t xml:space="preserve"> </w:t>
      </w:r>
      <w:r>
        <w:rPr>
          <w:rFonts w:ascii="宋体" w:hAnsi="宋体" w:eastAsia="宋体" w:cs="宋体"/>
          <w:color w:val="231F20"/>
          <w:spacing w:val="16"/>
          <w:sz w:val="20"/>
          <w:szCs w:val="20"/>
        </w:rPr>
        <w:t>分析。通过多元化质量信息反馈，以学生为中</w:t>
      </w:r>
      <w:r>
        <w:rPr>
          <w:rFonts w:ascii="宋体" w:hAnsi="宋体" w:eastAsia="宋体" w:cs="宋体"/>
          <w:color w:val="231F20"/>
          <w:spacing w:val="15"/>
          <w:sz w:val="20"/>
          <w:szCs w:val="20"/>
        </w:rPr>
        <w:t>心，</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持续改进的人才培养方案和人才培养模式，持续改</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进教学方法手段，持续完善制度建设，持续推进质</w:t>
      </w:r>
      <w:r>
        <w:rPr>
          <w:rFonts w:ascii="宋体" w:hAnsi="宋体" w:eastAsia="宋体" w:cs="宋体"/>
          <w:color w:val="231F20"/>
          <w:spacing w:val="13"/>
          <w:sz w:val="20"/>
          <w:szCs w:val="20"/>
        </w:rPr>
        <w:t xml:space="preserve"> </w:t>
      </w:r>
      <w:r>
        <w:rPr>
          <w:rFonts w:ascii="宋体" w:hAnsi="宋体" w:eastAsia="宋体" w:cs="宋体"/>
          <w:color w:val="231F20"/>
          <w:spacing w:val="14"/>
          <w:sz w:val="20"/>
          <w:szCs w:val="20"/>
        </w:rPr>
        <w:t>量文化理念，优化了教、学生态机构。</w:t>
      </w:r>
    </w:p>
    <w:p>
      <w:pPr>
        <w:spacing w:before="68" w:line="180" w:lineRule="auto"/>
        <w:ind w:left="510" w:right="365" w:firstLine="471"/>
        <w:rPr>
          <w:rFonts w:ascii="微软雅黑" w:hAnsi="微软雅黑" w:eastAsia="微软雅黑" w:cs="微软雅黑"/>
          <w:sz w:val="22"/>
          <w:szCs w:val="22"/>
        </w:rPr>
      </w:pPr>
      <w:r>
        <w:rPr>
          <w:rFonts w:ascii="微软雅黑" w:hAnsi="微软雅黑" w:eastAsia="微软雅黑" w:cs="微软雅黑"/>
          <w:color w:val="231F20"/>
          <w:spacing w:val="20"/>
          <w:sz w:val="22"/>
          <w:szCs w:val="22"/>
        </w:rPr>
        <w:t>四、完善体系建设策略，紧扣教育质量文</w:t>
      </w:r>
      <w:r>
        <w:rPr>
          <w:rFonts w:ascii="微软雅黑" w:hAnsi="微软雅黑" w:eastAsia="微软雅黑" w:cs="微软雅黑"/>
          <w:color w:val="231F20"/>
          <w:spacing w:val="9"/>
          <w:sz w:val="22"/>
          <w:szCs w:val="22"/>
        </w:rPr>
        <w:t xml:space="preserve"> </w:t>
      </w:r>
      <w:r>
        <w:rPr>
          <w:rFonts w:ascii="微软雅黑" w:hAnsi="微软雅黑" w:eastAsia="微软雅黑" w:cs="微软雅黑"/>
          <w:color w:val="231F20"/>
          <w:spacing w:val="17"/>
          <w:sz w:val="22"/>
          <w:szCs w:val="22"/>
        </w:rPr>
        <w:t>化时代脉搏</w:t>
      </w:r>
    </w:p>
    <w:p>
      <w:pPr>
        <w:spacing w:line="227" w:lineRule="auto"/>
        <w:ind w:left="960"/>
        <w:rPr>
          <w:rFonts w:ascii="宋体" w:hAnsi="宋体" w:eastAsia="宋体" w:cs="宋体"/>
          <w:sz w:val="20"/>
          <w:szCs w:val="20"/>
        </w:rPr>
      </w:pPr>
      <w:r>
        <w:rPr>
          <w:rFonts w:ascii="宋体" w:hAnsi="宋体" w:eastAsia="宋体" w:cs="宋体"/>
          <w:color w:val="231F20"/>
          <w:spacing w:val="14"/>
          <w:sz w:val="20"/>
          <w:szCs w:val="20"/>
        </w:rPr>
        <w:t>（一）精准施策网上教学</w:t>
      </w:r>
    </w:p>
    <w:p>
      <w:pPr>
        <w:spacing w:before="54" w:line="252" w:lineRule="auto"/>
        <w:ind w:left="508" w:right="292" w:firstLine="438"/>
        <w:rPr>
          <w:rFonts w:ascii="宋体" w:hAnsi="宋体" w:eastAsia="宋体" w:cs="宋体"/>
          <w:sz w:val="20"/>
          <w:szCs w:val="20"/>
        </w:rPr>
      </w:pPr>
      <w:r>
        <w:rPr>
          <w:rFonts w:ascii="宋体" w:hAnsi="宋体" w:eastAsia="宋体" w:cs="宋体"/>
          <w:color w:val="231F20"/>
          <w:spacing w:val="18"/>
          <w:sz w:val="20"/>
          <w:szCs w:val="20"/>
        </w:rPr>
        <w:t>为应对疫情对教学带来的新挑战，学校多部门</w:t>
      </w:r>
      <w:r>
        <w:rPr>
          <w:rFonts w:ascii="宋体" w:hAnsi="宋体" w:eastAsia="宋体" w:cs="宋体"/>
          <w:color w:val="231F20"/>
          <w:spacing w:val="11"/>
          <w:sz w:val="20"/>
          <w:szCs w:val="20"/>
        </w:rPr>
        <w:t xml:space="preserve"> </w:t>
      </w:r>
      <w:r>
        <w:rPr>
          <w:rFonts w:ascii="宋体" w:hAnsi="宋体" w:eastAsia="宋体" w:cs="宋体"/>
          <w:color w:val="231F20"/>
          <w:sz w:val="20"/>
          <w:szCs w:val="20"/>
        </w:rPr>
        <w:t>联合联动，</w:t>
      </w:r>
      <w:r>
        <w:rPr>
          <w:rFonts w:ascii="宋体" w:hAnsi="宋体" w:eastAsia="宋体" w:cs="宋体"/>
          <w:color w:val="231F20"/>
          <w:spacing w:val="48"/>
          <w:sz w:val="20"/>
          <w:szCs w:val="20"/>
        </w:rPr>
        <w:t xml:space="preserve"> </w:t>
      </w:r>
      <w:r>
        <w:rPr>
          <w:rFonts w:ascii="宋体" w:hAnsi="宋体" w:eastAsia="宋体" w:cs="宋体"/>
          <w:color w:val="231F20"/>
          <w:sz w:val="20"/>
          <w:szCs w:val="20"/>
        </w:rPr>
        <w:t>形成“三早、三重、</w:t>
      </w:r>
      <w:r>
        <w:rPr>
          <w:rFonts w:ascii="宋体" w:hAnsi="宋体" w:eastAsia="宋体" w:cs="宋体"/>
          <w:color w:val="231F20"/>
          <w:spacing w:val="32"/>
          <w:sz w:val="20"/>
          <w:szCs w:val="20"/>
        </w:rPr>
        <w:t xml:space="preserve"> </w:t>
      </w:r>
      <w:r>
        <w:rPr>
          <w:rFonts w:ascii="宋体" w:hAnsi="宋体" w:eastAsia="宋体" w:cs="宋体"/>
          <w:color w:val="231F20"/>
          <w:sz w:val="20"/>
          <w:szCs w:val="20"/>
        </w:rPr>
        <w:t>一确保”工</w:t>
      </w:r>
      <w:r>
        <w:rPr>
          <w:rFonts w:ascii="宋体" w:hAnsi="宋体" w:eastAsia="宋体" w:cs="宋体"/>
          <w:color w:val="231F20"/>
          <w:spacing w:val="-1"/>
          <w:sz w:val="20"/>
          <w:szCs w:val="20"/>
        </w:rPr>
        <w:t>作思路。</w:t>
      </w:r>
    </w:p>
    <w:p>
      <w:pPr>
        <w:spacing w:before="53" w:line="228" w:lineRule="auto"/>
        <w:ind w:left="960"/>
        <w:rPr>
          <w:rFonts w:ascii="宋体" w:hAnsi="宋体" w:eastAsia="宋体" w:cs="宋体"/>
          <w:sz w:val="20"/>
          <w:szCs w:val="20"/>
        </w:rPr>
      </w:pPr>
      <w:r>
        <w:rPr>
          <w:rFonts w:ascii="宋体" w:hAnsi="宋体" w:eastAsia="宋体" w:cs="宋体"/>
          <w:color w:val="231F20"/>
          <w:spacing w:val="15"/>
          <w:sz w:val="20"/>
          <w:szCs w:val="20"/>
        </w:rPr>
        <w:t>1.“三早”，即早谋划、早组织、早演练</w:t>
      </w:r>
    </w:p>
    <w:p>
      <w:pPr>
        <w:spacing w:before="58" w:line="273" w:lineRule="auto"/>
        <w:ind w:left="505" w:right="358" w:firstLine="441"/>
        <w:rPr>
          <w:rFonts w:ascii="宋体" w:hAnsi="宋体" w:eastAsia="宋体" w:cs="宋体"/>
          <w:sz w:val="20"/>
          <w:szCs w:val="20"/>
        </w:rPr>
      </w:pPr>
      <w:r>
        <w:rPr>
          <w:rFonts w:ascii="宋体" w:hAnsi="宋体" w:eastAsia="宋体" w:cs="宋体"/>
          <w:color w:val="231F20"/>
          <w:spacing w:val="18"/>
          <w:sz w:val="20"/>
          <w:szCs w:val="20"/>
        </w:rPr>
        <w:t>一是早谋划，科学制定预案。学校召开疫情防</w:t>
      </w:r>
      <w:r>
        <w:rPr>
          <w:rFonts w:ascii="宋体" w:hAnsi="宋体" w:eastAsia="宋体" w:cs="宋体"/>
          <w:color w:val="231F20"/>
          <w:spacing w:val="10"/>
          <w:sz w:val="20"/>
          <w:szCs w:val="20"/>
        </w:rPr>
        <w:t xml:space="preserve"> </w:t>
      </w:r>
      <w:r>
        <w:rPr>
          <w:rFonts w:ascii="宋体" w:hAnsi="宋体" w:eastAsia="宋体" w:cs="宋体"/>
          <w:color w:val="231F20"/>
          <w:spacing w:val="22"/>
          <w:sz w:val="20"/>
          <w:szCs w:val="20"/>
        </w:rPr>
        <w:t>控、教学工作等网络视频专题会议 20余次，全力</w:t>
      </w:r>
      <w:r>
        <w:rPr>
          <w:rFonts w:ascii="宋体" w:hAnsi="宋体" w:eastAsia="宋体" w:cs="宋体"/>
          <w:color w:val="231F20"/>
          <w:spacing w:val="4"/>
          <w:sz w:val="20"/>
          <w:szCs w:val="20"/>
        </w:rPr>
        <w:t xml:space="preserve"> </w:t>
      </w:r>
      <w:r>
        <w:rPr>
          <w:rFonts w:ascii="宋体" w:hAnsi="宋体" w:eastAsia="宋体" w:cs="宋体"/>
          <w:color w:val="231F20"/>
          <w:spacing w:val="18"/>
          <w:sz w:val="20"/>
          <w:szCs w:val="20"/>
        </w:rPr>
        <w:t>确保本科教育教学工作。二是早组织，协同联动护</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航。教务处联合网络信息中心、现代教育技术中心</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等坚守责任、周密部署、联动响应，组织了多场信</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息化教学和远程直播教学培训，全面支持师生利用</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信息技术手段推进线上授课、学习，组织教师在学</w:t>
      </w:r>
      <w:r>
        <w:rPr>
          <w:rFonts w:ascii="宋体" w:hAnsi="宋体" w:eastAsia="宋体" w:cs="宋体"/>
          <w:color w:val="231F20"/>
          <w:spacing w:val="13"/>
          <w:sz w:val="20"/>
          <w:szCs w:val="20"/>
        </w:rPr>
        <w:t xml:space="preserve"> </w:t>
      </w:r>
      <w:r>
        <w:rPr>
          <w:rFonts w:ascii="宋体" w:hAnsi="宋体" w:eastAsia="宋体" w:cs="宋体"/>
          <w:color w:val="231F20"/>
          <w:spacing w:val="17"/>
          <w:sz w:val="20"/>
          <w:szCs w:val="20"/>
        </w:rPr>
        <w:t>校在线开放课程平台新建课程 670门，全力护航网</w:t>
      </w:r>
      <w:r>
        <w:rPr>
          <w:rFonts w:ascii="宋体" w:hAnsi="宋体" w:eastAsia="宋体" w:cs="宋体"/>
          <w:color w:val="231F20"/>
          <w:spacing w:val="4"/>
          <w:sz w:val="20"/>
          <w:szCs w:val="20"/>
        </w:rPr>
        <w:t xml:space="preserve"> </w:t>
      </w:r>
      <w:r>
        <w:rPr>
          <w:rFonts w:ascii="宋体" w:hAnsi="宋体" w:eastAsia="宋体" w:cs="宋体"/>
          <w:color w:val="231F20"/>
          <w:spacing w:val="18"/>
          <w:sz w:val="20"/>
          <w:szCs w:val="20"/>
        </w:rPr>
        <w:t>络教学工作。三是早演练，尽心尽责保障。鼓励授</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课教师选择在线课程教学、混合式教学、互联网指</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导学生自主学习等方式开展教学，并要求每位任课</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教师课前建立师生联系。教师积极准备课程应急预</w:t>
      </w:r>
      <w:r>
        <w:rPr>
          <w:rFonts w:ascii="宋体" w:hAnsi="宋体" w:eastAsia="宋体" w:cs="宋体"/>
          <w:color w:val="231F20"/>
          <w:spacing w:val="13"/>
          <w:sz w:val="20"/>
          <w:szCs w:val="20"/>
        </w:rPr>
        <w:t xml:space="preserve"> </w:t>
      </w:r>
      <w:r>
        <w:rPr>
          <w:rFonts w:ascii="宋体" w:hAnsi="宋体" w:eastAsia="宋体" w:cs="宋体"/>
          <w:color w:val="231F20"/>
          <w:spacing w:val="16"/>
          <w:sz w:val="20"/>
          <w:szCs w:val="20"/>
        </w:rPr>
        <w:t>案，提前进行课堂演练，并通过学习平台、微信、</w:t>
      </w:r>
      <w:r>
        <w:rPr>
          <w:rFonts w:ascii="宋体" w:hAnsi="宋体" w:eastAsia="宋体" w:cs="宋体"/>
          <w:color w:val="231F20"/>
          <w:spacing w:val="15"/>
          <w:sz w:val="20"/>
          <w:szCs w:val="20"/>
        </w:rPr>
        <w:t xml:space="preserve"> </w:t>
      </w:r>
      <w:r>
        <w:rPr>
          <w:rFonts w:ascii="宋体" w:hAnsi="宋体" w:eastAsia="宋体" w:cs="宋体"/>
          <w:color w:val="231F20"/>
          <w:sz w:val="20"/>
          <w:szCs w:val="20"/>
        </w:rPr>
        <w:t>QQ</w:t>
      </w:r>
      <w:r>
        <w:rPr>
          <w:rFonts w:ascii="宋体" w:hAnsi="宋体" w:eastAsia="宋体" w:cs="宋体"/>
          <w:color w:val="231F20"/>
          <w:spacing w:val="15"/>
          <w:sz w:val="20"/>
          <w:szCs w:val="20"/>
        </w:rPr>
        <w:t>群等联系学生，确保了每一位学生进课堂。</w:t>
      </w:r>
    </w:p>
    <w:p>
      <w:pPr>
        <w:spacing w:before="53" w:line="228" w:lineRule="auto"/>
        <w:ind w:left="946"/>
        <w:rPr>
          <w:rFonts w:ascii="宋体" w:hAnsi="宋体" w:eastAsia="宋体" w:cs="宋体"/>
          <w:sz w:val="20"/>
          <w:szCs w:val="20"/>
        </w:rPr>
      </w:pPr>
      <w:r>
        <w:rPr>
          <w:rFonts w:ascii="宋体" w:hAnsi="宋体" w:eastAsia="宋体" w:cs="宋体"/>
          <w:color w:val="231F20"/>
          <w:spacing w:val="16"/>
          <w:sz w:val="20"/>
          <w:szCs w:val="20"/>
        </w:rPr>
        <w:t>2.“三重”，即重过程，重质量，重提高</w:t>
      </w:r>
    </w:p>
    <w:p>
      <w:pPr>
        <w:spacing w:before="56" w:line="269" w:lineRule="auto"/>
        <w:ind w:left="506" w:right="359" w:firstLine="440"/>
        <w:rPr>
          <w:rFonts w:ascii="宋体" w:hAnsi="宋体" w:eastAsia="宋体" w:cs="宋体"/>
          <w:sz w:val="20"/>
          <w:szCs w:val="20"/>
        </w:rPr>
      </w:pPr>
      <w:r>
        <w:rPr>
          <w:rFonts w:ascii="宋体" w:hAnsi="宋体" w:eastAsia="宋体" w:cs="宋体"/>
          <w:color w:val="231F20"/>
          <w:spacing w:val="4"/>
          <w:sz w:val="20"/>
          <w:szCs w:val="20"/>
        </w:rPr>
        <w:t>一是重过程，</w:t>
      </w:r>
      <w:r>
        <w:rPr>
          <w:rFonts w:ascii="宋体" w:hAnsi="宋体" w:eastAsia="宋体" w:cs="宋体"/>
          <w:color w:val="231F20"/>
          <w:spacing w:val="-15"/>
          <w:sz w:val="20"/>
          <w:szCs w:val="20"/>
        </w:rPr>
        <w:t xml:space="preserve"> </w:t>
      </w:r>
      <w:r>
        <w:rPr>
          <w:rFonts w:ascii="宋体" w:hAnsi="宋体" w:eastAsia="宋体" w:cs="宋体"/>
          <w:color w:val="231F20"/>
          <w:spacing w:val="4"/>
          <w:sz w:val="20"/>
          <w:szCs w:val="20"/>
        </w:rPr>
        <w:t>确保线上线下等效。积极打造“开</w:t>
      </w:r>
      <w:r>
        <w:rPr>
          <w:rFonts w:ascii="宋体" w:hAnsi="宋体" w:eastAsia="宋体" w:cs="宋体"/>
          <w:color w:val="231F20"/>
          <w:sz w:val="20"/>
          <w:szCs w:val="20"/>
        </w:rPr>
        <w:t xml:space="preserve"> </w:t>
      </w:r>
      <w:r>
        <w:rPr>
          <w:rFonts w:ascii="宋体" w:hAnsi="宋体" w:eastAsia="宋体" w:cs="宋体"/>
          <w:color w:val="231F20"/>
          <w:spacing w:val="16"/>
          <w:sz w:val="20"/>
          <w:szCs w:val="20"/>
        </w:rPr>
        <w:t>学第一课”，全校共有 12799名师生通过学校在线</w:t>
      </w:r>
      <w:r>
        <w:rPr>
          <w:rFonts w:ascii="宋体" w:hAnsi="宋体" w:eastAsia="宋体" w:cs="宋体"/>
          <w:color w:val="231F20"/>
          <w:spacing w:val="11"/>
          <w:sz w:val="20"/>
          <w:szCs w:val="20"/>
        </w:rPr>
        <w:t xml:space="preserve"> </w:t>
      </w:r>
      <w:r>
        <w:rPr>
          <w:rFonts w:ascii="宋体" w:hAnsi="宋体" w:eastAsia="宋体" w:cs="宋体"/>
          <w:color w:val="231F20"/>
          <w:spacing w:val="21"/>
          <w:sz w:val="20"/>
          <w:szCs w:val="20"/>
        </w:rPr>
        <w:t>开放课程平台、24800余名师生通过视频点播系统</w:t>
      </w:r>
      <w:r>
        <w:rPr>
          <w:rFonts w:ascii="宋体" w:hAnsi="宋体" w:eastAsia="宋体" w:cs="宋体"/>
          <w:color w:val="231F20"/>
          <w:spacing w:val="7"/>
          <w:sz w:val="20"/>
          <w:szCs w:val="20"/>
        </w:rPr>
        <w:t xml:space="preserve"> </w:t>
      </w:r>
      <w:r>
        <w:rPr>
          <w:rFonts w:ascii="宋体" w:hAnsi="宋体" w:eastAsia="宋体" w:cs="宋体"/>
          <w:color w:val="231F20"/>
          <w:spacing w:val="18"/>
          <w:sz w:val="20"/>
          <w:szCs w:val="20"/>
        </w:rPr>
        <w:t>收看了教育厅制作的必修课和选修课。广大任课教</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师通过采用精心安排教学内容、有效利用各种授课</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平台、灵活设计教学任务点、实行错峰上课、强化</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师生互动、引导学生进行自主学习、及时布置作业</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并限时提交等手段和方式确保线上教学效果。二是</w:t>
      </w:r>
    </w:p>
    <w:p>
      <w:pPr>
        <w:spacing w:line="14" w:lineRule="auto"/>
        <w:rPr>
          <w:rFonts w:ascii="Arial"/>
          <w:sz w:val="2"/>
        </w:rPr>
      </w:pPr>
      <w:r>
        <w:rPr>
          <w:rFonts w:ascii="Arial" w:hAnsi="Arial" w:eastAsia="Arial" w:cs="Arial"/>
          <w:sz w:val="2"/>
          <w:szCs w:val="2"/>
        </w:rPr>
        <w:br w:type="column"/>
      </w:r>
    </w:p>
    <w:p>
      <w:pPr>
        <w:spacing w:before="39" w:line="274" w:lineRule="auto"/>
        <w:ind w:right="17" w:firstLine="2"/>
        <w:rPr>
          <w:rFonts w:ascii="宋体" w:hAnsi="宋体" w:eastAsia="宋体" w:cs="宋体"/>
          <w:sz w:val="20"/>
          <w:szCs w:val="20"/>
        </w:rPr>
      </w:pPr>
      <w:r>
        <w:rPr>
          <w:rFonts w:ascii="宋体" w:hAnsi="宋体" w:eastAsia="宋体" w:cs="宋体"/>
          <w:color w:val="231F20"/>
          <w:spacing w:val="15"/>
          <w:sz w:val="20"/>
          <w:szCs w:val="20"/>
        </w:rPr>
        <w:t>重质量，实现全线多方位质量监控。实行日报制，</w:t>
      </w:r>
      <w:r>
        <w:rPr>
          <w:rFonts w:ascii="宋体" w:hAnsi="宋体" w:eastAsia="宋体" w:cs="宋体"/>
          <w:color w:val="231F20"/>
          <w:spacing w:val="8"/>
          <w:sz w:val="20"/>
          <w:szCs w:val="20"/>
        </w:rPr>
        <w:t xml:space="preserve">  </w:t>
      </w:r>
      <w:r>
        <w:rPr>
          <w:rFonts w:ascii="宋体" w:hAnsi="宋体" w:eastAsia="宋体" w:cs="宋体"/>
          <w:color w:val="231F20"/>
          <w:spacing w:val="18"/>
          <w:sz w:val="20"/>
          <w:szCs w:val="20"/>
        </w:rPr>
        <w:t>每日汇总在线教学运行数据，形成《在线教学情况</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数据统计表》日报制和周报制。开展调查问卷，开</w:t>
      </w:r>
      <w:r>
        <w:rPr>
          <w:rFonts w:ascii="宋体" w:hAnsi="宋体" w:eastAsia="宋体" w:cs="宋体"/>
          <w:color w:val="231F20"/>
          <w:spacing w:val="13"/>
          <w:sz w:val="20"/>
          <w:szCs w:val="20"/>
        </w:rPr>
        <w:t xml:space="preserve"> </w:t>
      </w:r>
      <w:r>
        <w:rPr>
          <w:rFonts w:ascii="宋体" w:hAnsi="宋体" w:eastAsia="宋体" w:cs="宋体"/>
          <w:color w:val="231F20"/>
          <w:spacing w:val="23"/>
          <w:sz w:val="20"/>
          <w:szCs w:val="20"/>
        </w:rPr>
        <w:t>展了《疫情期间在线教学问卷调查表》6次，其中</w:t>
      </w:r>
      <w:r>
        <w:rPr>
          <w:rFonts w:ascii="宋体" w:hAnsi="宋体" w:eastAsia="宋体" w:cs="宋体"/>
          <w:color w:val="231F20"/>
          <w:spacing w:val="3"/>
          <w:sz w:val="20"/>
          <w:szCs w:val="20"/>
        </w:rPr>
        <w:t xml:space="preserve"> </w:t>
      </w:r>
      <w:r>
        <w:rPr>
          <w:rFonts w:ascii="宋体" w:hAnsi="宋体" w:eastAsia="宋体" w:cs="宋体"/>
          <w:color w:val="231F20"/>
          <w:spacing w:val="14"/>
          <w:sz w:val="20"/>
          <w:szCs w:val="20"/>
        </w:rPr>
        <w:t>面向全体学生</w:t>
      </w:r>
      <w:r>
        <w:rPr>
          <w:rFonts w:ascii="宋体" w:hAnsi="宋体" w:eastAsia="宋体" w:cs="宋体"/>
          <w:color w:val="231F20"/>
          <w:spacing w:val="-16"/>
          <w:sz w:val="20"/>
          <w:szCs w:val="20"/>
        </w:rPr>
        <w:t xml:space="preserve"> </w:t>
      </w:r>
      <w:r>
        <w:rPr>
          <w:rFonts w:ascii="宋体" w:hAnsi="宋体" w:eastAsia="宋体" w:cs="宋体"/>
          <w:color w:val="231F20"/>
          <w:spacing w:val="14"/>
          <w:sz w:val="20"/>
          <w:szCs w:val="20"/>
        </w:rPr>
        <w:t>3次（39256人次）、全</w:t>
      </w:r>
      <w:r>
        <w:rPr>
          <w:rFonts w:ascii="宋体" w:hAnsi="宋体" w:eastAsia="宋体" w:cs="宋体"/>
          <w:color w:val="231F20"/>
          <w:spacing w:val="13"/>
          <w:sz w:val="20"/>
          <w:szCs w:val="20"/>
        </w:rPr>
        <w:t>体开课教师</w:t>
      </w:r>
      <w:r>
        <w:rPr>
          <w:rFonts w:ascii="宋体" w:hAnsi="宋体" w:eastAsia="宋体" w:cs="宋体"/>
          <w:color w:val="231F20"/>
          <w:spacing w:val="-17"/>
          <w:sz w:val="20"/>
          <w:szCs w:val="20"/>
        </w:rPr>
        <w:t xml:space="preserve"> </w:t>
      </w:r>
      <w:r>
        <w:rPr>
          <w:rFonts w:ascii="宋体" w:hAnsi="宋体" w:eastAsia="宋体" w:cs="宋体"/>
          <w:color w:val="231F20"/>
          <w:spacing w:val="13"/>
          <w:sz w:val="20"/>
          <w:szCs w:val="20"/>
        </w:rPr>
        <w:t>2</w:t>
      </w:r>
      <w:r>
        <w:rPr>
          <w:rFonts w:ascii="宋体" w:hAnsi="宋体" w:eastAsia="宋体" w:cs="宋体"/>
          <w:color w:val="231F20"/>
          <w:sz w:val="20"/>
          <w:szCs w:val="20"/>
        </w:rPr>
        <w:t xml:space="preserve"> </w:t>
      </w:r>
      <w:r>
        <w:rPr>
          <w:rFonts w:ascii="宋体" w:hAnsi="宋体" w:eastAsia="宋体" w:cs="宋体"/>
          <w:color w:val="231F20"/>
          <w:spacing w:val="16"/>
          <w:sz w:val="20"/>
          <w:szCs w:val="20"/>
        </w:rPr>
        <w:t>次（1106人次）、全体信息员 1次。形成《在线教</w:t>
      </w:r>
      <w:r>
        <w:rPr>
          <w:rFonts w:ascii="宋体" w:hAnsi="宋体" w:eastAsia="宋体" w:cs="宋体"/>
          <w:color w:val="231F20"/>
          <w:spacing w:val="11"/>
          <w:sz w:val="20"/>
          <w:szCs w:val="20"/>
        </w:rPr>
        <w:t xml:space="preserve"> </w:t>
      </w:r>
      <w:r>
        <w:rPr>
          <w:rFonts w:ascii="宋体" w:hAnsi="宋体" w:eastAsia="宋体" w:cs="宋体"/>
          <w:color w:val="231F20"/>
          <w:spacing w:val="18"/>
          <w:sz w:val="20"/>
          <w:szCs w:val="20"/>
        </w:rPr>
        <w:t>学质量周报》，综合分析日报表、周报表、调查问</w:t>
      </w:r>
      <w:r>
        <w:rPr>
          <w:rFonts w:ascii="宋体" w:hAnsi="宋体" w:eastAsia="宋体" w:cs="宋体"/>
          <w:color w:val="231F20"/>
          <w:spacing w:val="13"/>
          <w:sz w:val="20"/>
          <w:szCs w:val="20"/>
        </w:rPr>
        <w:t xml:space="preserve"> </w:t>
      </w:r>
      <w:r>
        <w:rPr>
          <w:rFonts w:ascii="宋体" w:hAnsi="宋体" w:eastAsia="宋体" w:cs="宋体"/>
          <w:color w:val="231F20"/>
          <w:spacing w:val="29"/>
          <w:sz w:val="20"/>
          <w:szCs w:val="20"/>
        </w:rPr>
        <w:t>卷结果和学院总结，每周撰写《在线教学质量周</w:t>
      </w:r>
      <w:r>
        <w:rPr>
          <w:rFonts w:ascii="宋体" w:hAnsi="宋体" w:eastAsia="宋体" w:cs="宋体"/>
          <w:color w:val="231F20"/>
          <w:spacing w:val="1"/>
          <w:sz w:val="20"/>
          <w:szCs w:val="20"/>
        </w:rPr>
        <w:t xml:space="preserve"> </w:t>
      </w:r>
      <w:r>
        <w:rPr>
          <w:rFonts w:ascii="宋体" w:hAnsi="宋体" w:eastAsia="宋体" w:cs="宋体"/>
          <w:color w:val="231F20"/>
          <w:spacing w:val="18"/>
          <w:sz w:val="20"/>
          <w:szCs w:val="20"/>
        </w:rPr>
        <w:t>报》。三是重提高，持续改进措施。目前主要存在</w:t>
      </w:r>
      <w:r>
        <w:rPr>
          <w:rFonts w:ascii="宋体" w:hAnsi="宋体" w:eastAsia="宋体" w:cs="宋体"/>
          <w:color w:val="231F20"/>
          <w:spacing w:val="13"/>
          <w:sz w:val="20"/>
          <w:szCs w:val="20"/>
        </w:rPr>
        <w:t xml:space="preserve"> </w:t>
      </w:r>
      <w:r>
        <w:rPr>
          <w:rFonts w:ascii="宋体" w:hAnsi="宋体" w:eastAsia="宋体" w:cs="宋体"/>
          <w:color w:val="231F20"/>
          <w:spacing w:val="16"/>
          <w:sz w:val="20"/>
          <w:szCs w:val="20"/>
        </w:rPr>
        <w:t>教学平台网络拥堵问题突出、师生互动效果欠佳、</w:t>
      </w:r>
      <w:r>
        <w:rPr>
          <w:rFonts w:ascii="宋体" w:hAnsi="宋体" w:eastAsia="宋体" w:cs="宋体"/>
          <w:color w:val="231F20"/>
          <w:spacing w:val="7"/>
          <w:sz w:val="20"/>
          <w:szCs w:val="20"/>
        </w:rPr>
        <w:t xml:space="preserve">  </w:t>
      </w:r>
      <w:r>
        <w:rPr>
          <w:rFonts w:ascii="宋体" w:hAnsi="宋体" w:eastAsia="宋体" w:cs="宋体"/>
          <w:color w:val="231F20"/>
          <w:spacing w:val="18"/>
          <w:sz w:val="20"/>
          <w:szCs w:val="20"/>
        </w:rPr>
        <w:t>学生学习状态难以监控、平台服务水平有待提升等</w:t>
      </w:r>
      <w:r>
        <w:rPr>
          <w:rFonts w:ascii="宋体" w:hAnsi="宋体" w:eastAsia="宋体" w:cs="宋体"/>
          <w:color w:val="231F20"/>
          <w:spacing w:val="13"/>
          <w:sz w:val="20"/>
          <w:szCs w:val="20"/>
        </w:rPr>
        <w:t xml:space="preserve"> </w:t>
      </w:r>
      <w:r>
        <w:rPr>
          <w:rFonts w:ascii="宋体" w:hAnsi="宋体" w:eastAsia="宋体" w:cs="宋体"/>
          <w:color w:val="231F20"/>
          <w:spacing w:val="6"/>
          <w:sz w:val="20"/>
          <w:szCs w:val="20"/>
        </w:rPr>
        <w:t>问题。学校坚持问题导向， 依据问题开展专项调查，</w:t>
      </w:r>
      <w:r>
        <w:rPr>
          <w:rFonts w:ascii="宋体" w:hAnsi="宋体" w:eastAsia="宋体" w:cs="宋体"/>
          <w:color w:val="231F20"/>
          <w:spacing w:val="18"/>
          <w:sz w:val="20"/>
          <w:szCs w:val="20"/>
        </w:rPr>
        <w:t xml:space="preserve"> 引导教师“教”和学生“学”，以学生为中心紧紧</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围绕“质量”，多措并举提升在线教学平台各项性</w:t>
      </w:r>
      <w:r>
        <w:rPr>
          <w:rFonts w:ascii="宋体" w:hAnsi="宋体" w:eastAsia="宋体" w:cs="宋体"/>
          <w:color w:val="231F20"/>
          <w:spacing w:val="13"/>
          <w:sz w:val="20"/>
          <w:szCs w:val="20"/>
        </w:rPr>
        <w:t xml:space="preserve"> 能，保证线上教学质量。</w:t>
      </w:r>
    </w:p>
    <w:p>
      <w:pPr>
        <w:spacing w:before="52" w:line="229" w:lineRule="auto"/>
        <w:ind w:left="442"/>
        <w:rPr>
          <w:rFonts w:ascii="宋体" w:hAnsi="宋体" w:eastAsia="宋体" w:cs="宋体"/>
          <w:sz w:val="20"/>
          <w:szCs w:val="20"/>
        </w:rPr>
      </w:pPr>
      <w:r>
        <w:rPr>
          <w:rFonts w:ascii="宋体" w:hAnsi="宋体" w:eastAsia="宋体" w:cs="宋体"/>
          <w:color w:val="231F20"/>
          <w:spacing w:val="15"/>
          <w:sz w:val="20"/>
          <w:szCs w:val="20"/>
        </w:rPr>
        <w:t>3.“一确保”，即确保学生学习成效</w:t>
      </w:r>
    </w:p>
    <w:p>
      <w:pPr>
        <w:spacing w:before="50" w:line="265" w:lineRule="auto"/>
        <w:ind w:left="2" w:right="67" w:firstLine="440"/>
        <w:rPr>
          <w:rFonts w:ascii="宋体" w:hAnsi="宋体" w:eastAsia="宋体" w:cs="宋体"/>
          <w:sz w:val="20"/>
          <w:szCs w:val="20"/>
        </w:rPr>
      </w:pPr>
      <w:r>
        <w:rPr>
          <w:rFonts w:ascii="宋体" w:hAnsi="宋体" w:eastAsia="宋体" w:cs="宋体"/>
          <w:color w:val="231F20"/>
          <w:spacing w:val="18"/>
          <w:sz w:val="20"/>
          <w:szCs w:val="20"/>
        </w:rPr>
        <w:t>学校牢牢树立“以学生为中心”理念，各项工</w:t>
      </w:r>
      <w:r>
        <w:rPr>
          <w:rFonts w:ascii="宋体" w:hAnsi="宋体" w:eastAsia="宋体" w:cs="宋体"/>
          <w:color w:val="231F20"/>
          <w:spacing w:val="9"/>
          <w:sz w:val="20"/>
          <w:szCs w:val="20"/>
        </w:rPr>
        <w:t xml:space="preserve"> </w:t>
      </w:r>
      <w:r>
        <w:rPr>
          <w:rFonts w:ascii="宋体" w:hAnsi="宋体" w:eastAsia="宋体" w:cs="宋体"/>
          <w:color w:val="231F20"/>
          <w:spacing w:val="18"/>
          <w:sz w:val="20"/>
          <w:szCs w:val="20"/>
        </w:rPr>
        <w:t>作围绕“以学生为中心”展开，不断加强“以学生</w:t>
      </w:r>
      <w:r>
        <w:rPr>
          <w:rFonts w:ascii="宋体" w:hAnsi="宋体" w:eastAsia="宋体" w:cs="宋体"/>
          <w:color w:val="231F20"/>
          <w:spacing w:val="10"/>
          <w:sz w:val="20"/>
          <w:szCs w:val="20"/>
        </w:rPr>
        <w:t xml:space="preserve"> </w:t>
      </w:r>
      <w:r>
        <w:rPr>
          <w:rFonts w:ascii="宋体" w:hAnsi="宋体" w:eastAsia="宋体" w:cs="宋体"/>
          <w:color w:val="231F20"/>
          <w:spacing w:val="18"/>
          <w:sz w:val="20"/>
          <w:szCs w:val="20"/>
        </w:rPr>
        <w:t>为中心”教育质量文化建设，确保学生网络在线学</w:t>
      </w:r>
      <w:r>
        <w:rPr>
          <w:rFonts w:ascii="宋体" w:hAnsi="宋体" w:eastAsia="宋体" w:cs="宋体"/>
          <w:color w:val="231F20"/>
          <w:spacing w:val="10"/>
          <w:sz w:val="20"/>
          <w:szCs w:val="20"/>
        </w:rPr>
        <w:t xml:space="preserve"> </w:t>
      </w:r>
      <w:r>
        <w:rPr>
          <w:rFonts w:ascii="宋体" w:hAnsi="宋体" w:eastAsia="宋体" w:cs="宋体"/>
          <w:color w:val="231F20"/>
          <w:spacing w:val="9"/>
          <w:sz w:val="20"/>
          <w:szCs w:val="20"/>
        </w:rPr>
        <w:t>习实质等效。</w:t>
      </w:r>
    </w:p>
    <w:p>
      <w:pPr>
        <w:spacing w:before="53" w:line="227" w:lineRule="auto"/>
        <w:ind w:left="454"/>
        <w:rPr>
          <w:rFonts w:ascii="宋体" w:hAnsi="宋体" w:eastAsia="宋体" w:cs="宋体"/>
          <w:sz w:val="20"/>
          <w:szCs w:val="20"/>
        </w:rPr>
      </w:pPr>
      <w:r>
        <w:rPr>
          <w:rFonts w:ascii="宋体" w:hAnsi="宋体" w:eastAsia="宋体" w:cs="宋体"/>
          <w:color w:val="231F20"/>
          <w:spacing w:val="14"/>
          <w:sz w:val="20"/>
          <w:szCs w:val="20"/>
        </w:rPr>
        <w:t>（二）科学谋划工作方案</w:t>
      </w:r>
    </w:p>
    <w:p>
      <w:pPr>
        <w:spacing w:before="54" w:line="253" w:lineRule="auto"/>
        <w:ind w:left="2" w:right="68" w:firstLine="451"/>
        <w:rPr>
          <w:rFonts w:ascii="宋体" w:hAnsi="宋体" w:eastAsia="宋体" w:cs="宋体"/>
          <w:sz w:val="20"/>
          <w:szCs w:val="20"/>
        </w:rPr>
      </w:pPr>
      <w:r>
        <w:rPr>
          <w:rFonts w:ascii="宋体" w:hAnsi="宋体" w:eastAsia="宋体" w:cs="宋体"/>
          <w:color w:val="231F20"/>
          <w:spacing w:val="17"/>
          <w:sz w:val="20"/>
          <w:szCs w:val="20"/>
        </w:rPr>
        <w:t>1.理论教学实现错峰式、小班化，交替式、混</w:t>
      </w:r>
      <w:r>
        <w:rPr>
          <w:rFonts w:ascii="宋体" w:hAnsi="宋体" w:eastAsia="宋体" w:cs="宋体"/>
          <w:color w:val="231F20"/>
          <w:sz w:val="20"/>
          <w:szCs w:val="20"/>
        </w:rPr>
        <w:t xml:space="preserve"> </w:t>
      </w:r>
      <w:r>
        <w:rPr>
          <w:rFonts w:ascii="宋体" w:hAnsi="宋体" w:eastAsia="宋体" w:cs="宋体"/>
          <w:color w:val="231F20"/>
          <w:spacing w:val="15"/>
          <w:sz w:val="20"/>
          <w:szCs w:val="20"/>
        </w:rPr>
        <w:t>合式授课</w:t>
      </w:r>
    </w:p>
    <w:p>
      <w:pPr>
        <w:spacing w:before="57" w:line="272" w:lineRule="auto"/>
        <w:ind w:firstLine="439"/>
        <w:rPr>
          <w:rFonts w:ascii="宋体" w:hAnsi="宋体" w:eastAsia="宋体" w:cs="宋体"/>
          <w:sz w:val="20"/>
          <w:szCs w:val="20"/>
        </w:rPr>
      </w:pPr>
      <w:r>
        <w:rPr>
          <w:rFonts w:ascii="宋体" w:hAnsi="宋体" w:eastAsia="宋体" w:cs="宋体"/>
          <w:color w:val="231F20"/>
          <w:spacing w:val="18"/>
          <w:sz w:val="20"/>
          <w:szCs w:val="20"/>
        </w:rPr>
        <w:t>疫情特殊时期，为降低人员密集度，学校统筹</w:t>
      </w:r>
      <w:r>
        <w:rPr>
          <w:rFonts w:ascii="宋体" w:hAnsi="宋体" w:eastAsia="宋体" w:cs="宋体"/>
          <w:color w:val="231F20"/>
          <w:spacing w:val="12"/>
          <w:sz w:val="20"/>
          <w:szCs w:val="20"/>
        </w:rPr>
        <w:t xml:space="preserve"> </w:t>
      </w:r>
      <w:r>
        <w:rPr>
          <w:rFonts w:ascii="宋体" w:hAnsi="宋体" w:eastAsia="宋体" w:cs="宋体"/>
          <w:color w:val="231F20"/>
          <w:spacing w:val="3"/>
          <w:sz w:val="20"/>
          <w:szCs w:val="20"/>
        </w:rPr>
        <w:t>安排学生上课、饮食、体育活动等。按照医学类学生、</w:t>
      </w:r>
      <w:r>
        <w:rPr>
          <w:rFonts w:ascii="宋体" w:hAnsi="宋体" w:eastAsia="宋体" w:cs="宋体"/>
          <w:color w:val="231F20"/>
          <w:spacing w:val="7"/>
          <w:sz w:val="20"/>
          <w:szCs w:val="20"/>
        </w:rPr>
        <w:t xml:space="preserve"> </w:t>
      </w:r>
      <w:r>
        <w:rPr>
          <w:rFonts w:ascii="宋体" w:hAnsi="宋体" w:eastAsia="宋体" w:cs="宋体"/>
          <w:color w:val="231F20"/>
          <w:spacing w:val="18"/>
          <w:sz w:val="20"/>
          <w:szCs w:val="20"/>
        </w:rPr>
        <w:t>毕业生、非重点疫区学生、疫区学生分批返校，实</w:t>
      </w:r>
      <w:r>
        <w:rPr>
          <w:rFonts w:ascii="宋体" w:hAnsi="宋体" w:eastAsia="宋体" w:cs="宋体"/>
          <w:color w:val="231F20"/>
          <w:spacing w:val="13"/>
          <w:sz w:val="20"/>
          <w:szCs w:val="20"/>
        </w:rPr>
        <w:t xml:space="preserve"> </w:t>
      </w:r>
      <w:r>
        <w:rPr>
          <w:rFonts w:ascii="宋体" w:hAnsi="宋体" w:eastAsia="宋体" w:cs="宋体"/>
          <w:color w:val="231F20"/>
          <w:spacing w:val="12"/>
          <w:sz w:val="20"/>
          <w:szCs w:val="20"/>
        </w:rPr>
        <w:t>现错峰式开学。按照每个教学班不超过</w:t>
      </w:r>
      <w:r>
        <w:rPr>
          <w:rFonts w:ascii="宋体" w:hAnsi="宋体" w:eastAsia="宋体" w:cs="宋体"/>
          <w:color w:val="231F20"/>
          <w:spacing w:val="-24"/>
          <w:sz w:val="20"/>
          <w:szCs w:val="20"/>
        </w:rPr>
        <w:t xml:space="preserve"> </w:t>
      </w:r>
      <w:r>
        <w:rPr>
          <w:rFonts w:ascii="宋体" w:hAnsi="宋体" w:eastAsia="宋体" w:cs="宋体"/>
          <w:color w:val="231F20"/>
          <w:spacing w:val="12"/>
          <w:sz w:val="20"/>
          <w:szCs w:val="20"/>
        </w:rPr>
        <w:t>80人原则，</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实现小班化上课，降低学生聚集度。按照教学进度</w:t>
      </w:r>
      <w:r>
        <w:rPr>
          <w:rFonts w:ascii="宋体" w:hAnsi="宋体" w:eastAsia="宋体" w:cs="宋体"/>
          <w:color w:val="231F20"/>
          <w:spacing w:val="13"/>
          <w:sz w:val="20"/>
          <w:szCs w:val="20"/>
        </w:rPr>
        <w:t xml:space="preserve"> </w:t>
      </w:r>
      <w:r>
        <w:rPr>
          <w:rFonts w:ascii="宋体" w:hAnsi="宋体" w:eastAsia="宋体" w:cs="宋体"/>
          <w:color w:val="231F20"/>
          <w:spacing w:val="16"/>
          <w:sz w:val="20"/>
          <w:szCs w:val="20"/>
        </w:rPr>
        <w:t>统一管理，拆分后的小班学生一半教室集中授</w:t>
      </w:r>
      <w:r>
        <w:rPr>
          <w:rFonts w:ascii="宋体" w:hAnsi="宋体" w:eastAsia="宋体" w:cs="宋体"/>
          <w:color w:val="231F20"/>
          <w:spacing w:val="15"/>
          <w:sz w:val="20"/>
          <w:szCs w:val="20"/>
        </w:rPr>
        <w:t>课，</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另一半在宿舍网络在线听课交替进行，实现交替式</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上课。按照疫情防控尽量不集中原则，在线下面授</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开课的同时，仍要求教师使用混合式网上授课模式</w:t>
      </w:r>
      <w:r>
        <w:rPr>
          <w:rFonts w:ascii="宋体" w:hAnsi="宋体" w:eastAsia="宋体" w:cs="宋体"/>
          <w:color w:val="231F20"/>
          <w:spacing w:val="13"/>
          <w:sz w:val="20"/>
          <w:szCs w:val="20"/>
        </w:rPr>
        <w:t xml:space="preserve"> </w:t>
      </w:r>
      <w:r>
        <w:rPr>
          <w:rFonts w:ascii="宋体" w:hAnsi="宋体" w:eastAsia="宋体" w:cs="宋体"/>
          <w:color w:val="231F20"/>
          <w:spacing w:val="18"/>
          <w:sz w:val="20"/>
          <w:szCs w:val="20"/>
        </w:rPr>
        <w:t>进行课堂讨论、答疑、作业布置等环节，引导学生</w:t>
      </w:r>
      <w:r>
        <w:rPr>
          <w:rFonts w:ascii="宋体" w:hAnsi="宋体" w:eastAsia="宋体" w:cs="宋体"/>
          <w:color w:val="231F20"/>
          <w:spacing w:val="13"/>
          <w:sz w:val="20"/>
          <w:szCs w:val="20"/>
        </w:rPr>
        <w:t xml:space="preserve"> </w:t>
      </w:r>
      <w:r>
        <w:rPr>
          <w:rFonts w:ascii="宋体" w:hAnsi="宋体" w:eastAsia="宋体" w:cs="宋体"/>
          <w:color w:val="231F20"/>
          <w:spacing w:val="14"/>
          <w:sz w:val="20"/>
          <w:szCs w:val="20"/>
        </w:rPr>
        <w:t>自主学习，减少课堂面授学时。</w:t>
      </w:r>
    </w:p>
    <w:p>
      <w:pPr>
        <w:spacing w:before="53" w:line="228" w:lineRule="auto"/>
        <w:ind w:left="440"/>
        <w:rPr>
          <w:rFonts w:ascii="宋体" w:hAnsi="宋体" w:eastAsia="宋体" w:cs="宋体"/>
          <w:sz w:val="20"/>
          <w:szCs w:val="20"/>
        </w:rPr>
      </w:pPr>
      <w:r>
        <w:rPr>
          <w:rFonts w:ascii="宋体" w:hAnsi="宋体" w:eastAsia="宋体" w:cs="宋体"/>
          <w:color w:val="231F20"/>
          <w:spacing w:val="15"/>
          <w:sz w:val="20"/>
          <w:szCs w:val="20"/>
        </w:rPr>
        <w:t>2.考试方法实现创新式改革</w:t>
      </w:r>
    </w:p>
    <w:p>
      <w:pPr>
        <w:spacing w:before="53" w:line="267" w:lineRule="auto"/>
        <w:ind w:left="2" w:right="67" w:firstLine="436"/>
        <w:rPr>
          <w:rFonts w:ascii="宋体" w:hAnsi="宋体" w:eastAsia="宋体" w:cs="宋体"/>
          <w:sz w:val="20"/>
          <w:szCs w:val="20"/>
        </w:rPr>
      </w:pPr>
      <w:r>
        <w:rPr>
          <w:rFonts w:ascii="宋体" w:hAnsi="宋体" w:eastAsia="宋体" w:cs="宋体"/>
          <w:color w:val="231F20"/>
          <w:spacing w:val="18"/>
          <w:sz w:val="20"/>
          <w:szCs w:val="20"/>
        </w:rPr>
        <w:t>疫情特殊时期，学校更加深入地推进考试方法</w:t>
      </w:r>
      <w:r>
        <w:rPr>
          <w:rFonts w:ascii="宋体" w:hAnsi="宋体" w:eastAsia="宋体" w:cs="宋体"/>
          <w:color w:val="231F20"/>
          <w:spacing w:val="12"/>
          <w:sz w:val="20"/>
          <w:szCs w:val="20"/>
        </w:rPr>
        <w:t xml:space="preserve"> </w:t>
      </w:r>
      <w:r>
        <w:rPr>
          <w:rFonts w:ascii="宋体" w:hAnsi="宋体" w:eastAsia="宋体" w:cs="宋体"/>
          <w:color w:val="231F20"/>
          <w:spacing w:val="17"/>
          <w:sz w:val="20"/>
          <w:szCs w:val="20"/>
        </w:rPr>
        <w:t>改革，特别是针对部分 8周结课的课程考试进行创</w:t>
      </w:r>
      <w:r>
        <w:rPr>
          <w:rFonts w:ascii="宋体" w:hAnsi="宋体" w:eastAsia="宋体" w:cs="宋体"/>
          <w:color w:val="231F20"/>
          <w:spacing w:val="15"/>
          <w:sz w:val="20"/>
          <w:szCs w:val="20"/>
        </w:rPr>
        <w:t xml:space="preserve"> </w:t>
      </w:r>
      <w:r>
        <w:rPr>
          <w:rFonts w:ascii="宋体" w:hAnsi="宋体" w:eastAsia="宋体" w:cs="宋体"/>
          <w:color w:val="231F20"/>
          <w:spacing w:val="18"/>
          <w:sz w:val="20"/>
          <w:szCs w:val="20"/>
        </w:rPr>
        <w:t>新，加大过程化考核比例，以大作业、课程报告或</w:t>
      </w:r>
      <w:r>
        <w:rPr>
          <w:rFonts w:ascii="宋体" w:hAnsi="宋体" w:eastAsia="宋体" w:cs="宋体"/>
          <w:color w:val="231F20"/>
          <w:spacing w:val="10"/>
          <w:sz w:val="20"/>
          <w:szCs w:val="20"/>
        </w:rPr>
        <w:t xml:space="preserve"> </w:t>
      </w:r>
      <w:r>
        <w:rPr>
          <w:rFonts w:ascii="宋体" w:hAnsi="宋体" w:eastAsia="宋体" w:cs="宋体"/>
          <w:color w:val="231F20"/>
          <w:spacing w:val="18"/>
          <w:sz w:val="20"/>
          <w:szCs w:val="20"/>
        </w:rPr>
        <w:t>网络小组讨论等非标准化考试形式进行，以减少人</w:t>
      </w:r>
      <w:r>
        <w:rPr>
          <w:rFonts w:ascii="宋体" w:hAnsi="宋体" w:eastAsia="宋体" w:cs="宋体"/>
          <w:color w:val="231F20"/>
          <w:spacing w:val="10"/>
          <w:sz w:val="20"/>
          <w:szCs w:val="20"/>
        </w:rPr>
        <w:t xml:space="preserve"> </w:t>
      </w:r>
      <w:r>
        <w:rPr>
          <w:rFonts w:ascii="宋体" w:hAnsi="宋体" w:eastAsia="宋体" w:cs="宋体"/>
          <w:color w:val="231F20"/>
          <w:spacing w:val="14"/>
          <w:sz w:val="20"/>
          <w:szCs w:val="20"/>
        </w:rPr>
        <w:t>员密集，确保课程考试正常进行。</w:t>
      </w:r>
    </w:p>
    <w:p>
      <w:pPr>
        <w:spacing w:before="53" w:line="228" w:lineRule="auto"/>
        <w:ind w:left="442"/>
        <w:rPr>
          <w:rFonts w:ascii="宋体" w:hAnsi="宋体" w:eastAsia="宋体" w:cs="宋体"/>
          <w:sz w:val="20"/>
          <w:szCs w:val="20"/>
        </w:rPr>
      </w:pPr>
      <w:r>
        <w:rPr>
          <w:rFonts w:ascii="宋体" w:hAnsi="宋体" w:eastAsia="宋体" w:cs="宋体"/>
          <w:color w:val="231F20"/>
          <w:spacing w:val="15"/>
          <w:sz w:val="20"/>
          <w:szCs w:val="20"/>
        </w:rPr>
        <w:t>3.毕业设计（论文）实现网络信息化管理</w:t>
      </w:r>
    </w:p>
    <w:p>
      <w:pPr>
        <w:spacing w:before="52" w:line="249" w:lineRule="auto"/>
        <w:ind w:right="67" w:firstLine="440"/>
        <w:rPr>
          <w:rFonts w:ascii="宋体" w:hAnsi="宋体" w:eastAsia="宋体" w:cs="宋体"/>
          <w:sz w:val="20"/>
          <w:szCs w:val="20"/>
        </w:rPr>
      </w:pPr>
      <w:r>
        <w:rPr>
          <w:rFonts w:ascii="宋体" w:hAnsi="宋体" w:eastAsia="宋体" w:cs="宋体"/>
          <w:color w:val="231F20"/>
          <w:spacing w:val="18"/>
          <w:sz w:val="20"/>
          <w:szCs w:val="20"/>
        </w:rPr>
        <w:t>坚持既严格规范又灵活实施的原则，加强全过</w:t>
      </w:r>
      <w:r>
        <w:rPr>
          <w:rFonts w:ascii="宋体" w:hAnsi="宋体" w:eastAsia="宋体" w:cs="宋体"/>
          <w:color w:val="231F20"/>
          <w:spacing w:val="10"/>
          <w:sz w:val="20"/>
          <w:szCs w:val="20"/>
        </w:rPr>
        <w:t xml:space="preserve"> </w:t>
      </w:r>
      <w:r>
        <w:rPr>
          <w:rFonts w:ascii="宋体" w:hAnsi="宋体" w:eastAsia="宋体" w:cs="宋体"/>
          <w:color w:val="231F20"/>
          <w:spacing w:val="18"/>
          <w:sz w:val="20"/>
          <w:szCs w:val="20"/>
        </w:rPr>
        <w:t>程管理。指导教师利用网络、电话等现代网络信息</w:t>
      </w:r>
      <w:r>
        <w:rPr>
          <w:rFonts w:ascii="宋体" w:hAnsi="宋体" w:eastAsia="宋体" w:cs="宋体"/>
          <w:color w:val="231F20"/>
          <w:spacing w:val="12"/>
          <w:sz w:val="20"/>
          <w:szCs w:val="20"/>
        </w:rPr>
        <w:t xml:space="preserve"> </w:t>
      </w:r>
      <w:r>
        <w:rPr>
          <w:rFonts w:ascii="宋体" w:hAnsi="宋体" w:eastAsia="宋体" w:cs="宋体"/>
          <w:color w:val="231F20"/>
          <w:spacing w:val="21"/>
          <w:sz w:val="20"/>
          <w:szCs w:val="20"/>
        </w:rPr>
        <w:t>化工具强化对学生的远程线上指（下转第 32页）</w:t>
      </w:r>
    </w:p>
    <w:p>
      <w:pPr>
        <w:spacing w:line="249" w:lineRule="auto"/>
        <w:rPr>
          <w:rFonts w:ascii="宋体" w:hAnsi="宋体" w:eastAsia="宋体" w:cs="宋体"/>
          <w:sz w:val="20"/>
          <w:szCs w:val="20"/>
        </w:rPr>
        <w:sectPr>
          <w:type w:val="continuous"/>
          <w:pgSz w:w="11906" w:h="16158"/>
          <w:pgMar w:top="1037" w:right="838" w:bottom="547" w:left="407" w:header="820" w:footer="354" w:gutter="0"/>
          <w:cols w:equalWidth="0" w:num="2">
            <w:col w:w="5679" w:space="100"/>
            <w:col w:w="4881"/>
          </w:cols>
        </w:sectPr>
      </w:pPr>
    </w:p>
    <w:p>
      <w:pPr>
        <w:spacing w:before="6"/>
      </w:pPr>
    </w:p>
    <w:p>
      <w:pPr>
        <w:sectPr>
          <w:headerReference r:id="rId67" w:type="default"/>
          <w:footerReference r:id="rId68" w:type="default"/>
          <w:pgSz w:w="11906" w:h="16158"/>
          <w:pgMar w:top="1039" w:right="830" w:bottom="547" w:left="407" w:header="819" w:footer="354" w:gutter="0"/>
          <w:cols w:equalWidth="0" w:num="1">
            <w:col w:w="10668"/>
          </w:cols>
        </w:sectPr>
      </w:pPr>
    </w:p>
    <w:p>
      <w:pPr>
        <w:spacing w:before="41" w:line="255" w:lineRule="auto"/>
        <w:ind w:left="515" w:right="362" w:firstLine="5"/>
        <w:rPr>
          <w:rFonts w:ascii="宋体" w:hAnsi="宋体" w:eastAsia="宋体" w:cs="宋体"/>
          <w:sz w:val="20"/>
          <w:szCs w:val="20"/>
        </w:rPr>
      </w:pPr>
      <w:r>
        <w:rPr>
          <w:rFonts w:ascii="宋体" w:hAnsi="宋体" w:eastAsia="宋体" w:cs="宋体"/>
          <w:color w:val="231F20"/>
          <w:spacing w:val="10"/>
          <w:sz w:val="20"/>
          <w:szCs w:val="20"/>
        </w:rPr>
        <w:t>处厚植爱国主义情怀，</w:t>
      </w:r>
      <w:r>
        <w:rPr>
          <w:rFonts w:ascii="宋体" w:hAnsi="宋体" w:eastAsia="宋体" w:cs="宋体"/>
          <w:color w:val="231F20"/>
          <w:spacing w:val="82"/>
          <w:sz w:val="20"/>
          <w:szCs w:val="20"/>
        </w:rPr>
        <w:t xml:space="preserve"> </w:t>
      </w:r>
      <w:r>
        <w:rPr>
          <w:rFonts w:ascii="宋体" w:hAnsi="宋体" w:eastAsia="宋体" w:cs="宋体"/>
          <w:color w:val="231F20"/>
          <w:spacing w:val="10"/>
          <w:sz w:val="20"/>
          <w:szCs w:val="20"/>
        </w:rPr>
        <w:t>坚定理想信念，做符合新时</w:t>
      </w:r>
      <w:r>
        <w:rPr>
          <w:rFonts w:ascii="宋体" w:hAnsi="宋体" w:eastAsia="宋体" w:cs="宋体"/>
          <w:color w:val="231F20"/>
          <w:sz w:val="20"/>
          <w:szCs w:val="20"/>
        </w:rPr>
        <w:t xml:space="preserve"> </w:t>
      </w:r>
      <w:r>
        <w:rPr>
          <w:rFonts w:ascii="宋体" w:hAnsi="宋体" w:eastAsia="宋体" w:cs="宋体"/>
          <w:color w:val="231F20"/>
          <w:spacing w:val="15"/>
          <w:sz w:val="20"/>
          <w:szCs w:val="20"/>
        </w:rPr>
        <w:t>代要求的“四有”青年。</w:t>
      </w:r>
    </w:p>
    <w:p>
      <w:pPr>
        <w:spacing w:before="268" w:line="223" w:lineRule="auto"/>
        <w:ind w:left="967"/>
        <w:rPr>
          <w:rFonts w:ascii="黑体" w:hAnsi="黑体" w:eastAsia="黑体" w:cs="黑体"/>
          <w:sz w:val="16"/>
          <w:szCs w:val="16"/>
        </w:rPr>
      </w:pPr>
      <w:r>
        <w:rPr>
          <w:rFonts w:ascii="黑体" w:hAnsi="黑体" w:eastAsia="黑体" w:cs="黑体"/>
          <w:color w:val="231F20"/>
          <w:spacing w:val="1"/>
          <w:sz w:val="16"/>
          <w:szCs w:val="16"/>
        </w:rPr>
        <w:t>参考文献：</w:t>
      </w:r>
    </w:p>
    <w:p>
      <w:pPr>
        <w:spacing w:before="11" w:line="181" w:lineRule="auto"/>
        <w:ind w:left="515" w:right="367" w:firstLine="460"/>
        <w:rPr>
          <w:rFonts w:ascii="微软雅黑" w:hAnsi="微软雅黑" w:eastAsia="微软雅黑" w:cs="微软雅黑"/>
          <w:sz w:val="16"/>
          <w:szCs w:val="16"/>
        </w:rPr>
      </w:pPr>
      <w:r>
        <w:rPr>
          <w:rFonts w:ascii="微软雅黑" w:hAnsi="微软雅黑" w:eastAsia="微软雅黑" w:cs="微软雅黑"/>
          <w:color w:val="231F20"/>
          <w:spacing w:val="9"/>
          <w:sz w:val="16"/>
          <w:szCs w:val="16"/>
        </w:rPr>
        <w:t>[1]</w:t>
      </w:r>
      <w:r>
        <w:rPr>
          <w:rFonts w:ascii="微软雅黑" w:hAnsi="微软雅黑" w:eastAsia="微软雅黑" w:cs="微软雅黑"/>
          <w:color w:val="231F20"/>
          <w:spacing w:val="20"/>
          <w:sz w:val="16"/>
          <w:szCs w:val="16"/>
        </w:rPr>
        <w:t xml:space="preserve"> </w:t>
      </w:r>
      <w:r>
        <w:rPr>
          <w:rFonts w:ascii="微软雅黑" w:hAnsi="微软雅黑" w:eastAsia="微软雅黑" w:cs="微软雅黑"/>
          <w:color w:val="231F20"/>
          <w:spacing w:val="9"/>
          <w:sz w:val="16"/>
          <w:szCs w:val="16"/>
        </w:rPr>
        <w:t>习近平 . 坚持中国特色社会主义教育发展道路，培养德</w:t>
      </w:r>
      <w:r>
        <w:rPr>
          <w:rFonts w:ascii="微软雅黑" w:hAnsi="微软雅黑" w:eastAsia="微软雅黑" w:cs="微软雅黑"/>
          <w:color w:val="231F20"/>
          <w:sz w:val="16"/>
          <w:szCs w:val="16"/>
        </w:rPr>
        <w:t xml:space="preserve"> </w:t>
      </w:r>
      <w:r>
        <w:rPr>
          <w:rFonts w:ascii="微软雅黑" w:hAnsi="微软雅黑" w:eastAsia="微软雅黑" w:cs="微软雅黑"/>
          <w:color w:val="231F20"/>
          <w:spacing w:val="14"/>
          <w:sz w:val="16"/>
          <w:szCs w:val="16"/>
        </w:rPr>
        <w:t>智体美劳全面发展的社会主义建设者和接班人 [N]. 人</w:t>
      </w:r>
      <w:r>
        <w:rPr>
          <w:rFonts w:ascii="微软雅黑" w:hAnsi="微软雅黑" w:eastAsia="微软雅黑" w:cs="微软雅黑"/>
          <w:color w:val="231F20"/>
          <w:spacing w:val="13"/>
          <w:sz w:val="16"/>
          <w:szCs w:val="16"/>
        </w:rPr>
        <w:t>民日报，</w:t>
      </w:r>
      <w:r>
        <w:rPr>
          <w:rFonts w:ascii="微软雅黑" w:hAnsi="微软雅黑" w:eastAsia="微软雅黑" w:cs="微软雅黑"/>
          <w:color w:val="231F20"/>
          <w:sz w:val="16"/>
          <w:szCs w:val="16"/>
        </w:rPr>
        <w:t xml:space="preserve"> </w:t>
      </w:r>
      <w:r>
        <w:rPr>
          <w:rFonts w:ascii="微软雅黑" w:hAnsi="微软雅黑" w:eastAsia="微软雅黑" w:cs="微软雅黑"/>
          <w:color w:val="231F20"/>
          <w:spacing w:val="-7"/>
          <w:sz w:val="16"/>
          <w:szCs w:val="16"/>
        </w:rPr>
        <w:t>2018-09-11（1）</w:t>
      </w:r>
      <w:r>
        <w:rPr>
          <w:rFonts w:ascii="微软雅黑" w:hAnsi="微软雅黑" w:eastAsia="微软雅黑" w:cs="微软雅黑"/>
          <w:color w:val="231F20"/>
          <w:spacing w:val="8"/>
          <w:sz w:val="16"/>
          <w:szCs w:val="16"/>
        </w:rPr>
        <w:t xml:space="preserve">  </w:t>
      </w:r>
      <w:r>
        <w:rPr>
          <w:rFonts w:ascii="微软雅黑" w:hAnsi="微软雅黑" w:eastAsia="微软雅黑" w:cs="微软雅黑"/>
          <w:color w:val="231F20"/>
          <w:spacing w:val="-7"/>
          <w:sz w:val="16"/>
          <w:szCs w:val="16"/>
        </w:rPr>
        <w:t>.</w:t>
      </w:r>
    </w:p>
    <w:p>
      <w:pPr>
        <w:spacing w:before="11" w:line="179" w:lineRule="auto"/>
        <w:ind w:left="518" w:right="360" w:firstLine="457"/>
        <w:rPr>
          <w:rFonts w:ascii="微软雅黑" w:hAnsi="微软雅黑" w:eastAsia="微软雅黑" w:cs="微软雅黑"/>
          <w:sz w:val="16"/>
          <w:szCs w:val="16"/>
        </w:rPr>
      </w:pPr>
      <w:r>
        <w:rPr>
          <w:rFonts w:ascii="微软雅黑" w:hAnsi="微软雅黑" w:eastAsia="微软雅黑" w:cs="微软雅黑"/>
          <w:color w:val="231F20"/>
          <w:spacing w:val="5"/>
          <w:sz w:val="16"/>
          <w:szCs w:val="16"/>
        </w:rPr>
        <w:t>[2]</w:t>
      </w:r>
      <w:r>
        <w:rPr>
          <w:rFonts w:ascii="微软雅黑" w:hAnsi="微软雅黑" w:eastAsia="微软雅黑" w:cs="微软雅黑"/>
          <w:color w:val="231F20"/>
          <w:spacing w:val="-1"/>
          <w:sz w:val="16"/>
          <w:szCs w:val="16"/>
        </w:rPr>
        <w:t xml:space="preserve"> </w:t>
      </w:r>
      <w:r>
        <w:rPr>
          <w:rFonts w:ascii="微软雅黑" w:hAnsi="微软雅黑" w:eastAsia="微软雅黑" w:cs="微软雅黑"/>
          <w:color w:val="231F20"/>
          <w:spacing w:val="5"/>
          <w:sz w:val="16"/>
          <w:szCs w:val="16"/>
        </w:rPr>
        <w:t>邱伟光 .</w:t>
      </w:r>
      <w:r>
        <w:rPr>
          <w:rFonts w:ascii="微软雅黑" w:hAnsi="微软雅黑" w:eastAsia="微软雅黑" w:cs="微软雅黑"/>
          <w:color w:val="231F20"/>
          <w:spacing w:val="-7"/>
          <w:sz w:val="16"/>
          <w:szCs w:val="16"/>
        </w:rPr>
        <w:t xml:space="preserve"> </w:t>
      </w:r>
      <w:r>
        <w:rPr>
          <w:rFonts w:ascii="微软雅黑" w:hAnsi="微软雅黑" w:eastAsia="微软雅黑" w:cs="微软雅黑"/>
          <w:color w:val="231F20"/>
          <w:spacing w:val="5"/>
          <w:sz w:val="16"/>
          <w:szCs w:val="16"/>
        </w:rPr>
        <w:t>课程思政的价值意蕴与生成路径 [J].</w:t>
      </w:r>
      <w:r>
        <w:rPr>
          <w:rFonts w:ascii="微软雅黑" w:hAnsi="微软雅黑" w:eastAsia="微软雅黑" w:cs="微软雅黑"/>
          <w:color w:val="231F20"/>
          <w:spacing w:val="-7"/>
          <w:sz w:val="16"/>
          <w:szCs w:val="16"/>
        </w:rPr>
        <w:t xml:space="preserve"> </w:t>
      </w:r>
      <w:r>
        <w:rPr>
          <w:rFonts w:ascii="微软雅黑" w:hAnsi="微软雅黑" w:eastAsia="微软雅黑" w:cs="微软雅黑"/>
          <w:color w:val="231F20"/>
          <w:spacing w:val="5"/>
          <w:sz w:val="16"/>
          <w:szCs w:val="16"/>
        </w:rPr>
        <w:t>思想理论教</w:t>
      </w:r>
      <w:r>
        <w:rPr>
          <w:rFonts w:ascii="微软雅黑" w:hAnsi="微软雅黑" w:eastAsia="微软雅黑" w:cs="微软雅黑"/>
          <w:color w:val="231F20"/>
          <w:sz w:val="16"/>
          <w:szCs w:val="16"/>
        </w:rPr>
        <w:t xml:space="preserve"> </w:t>
      </w:r>
      <w:r>
        <w:rPr>
          <w:rFonts w:ascii="微软雅黑" w:hAnsi="微软雅黑" w:eastAsia="微软雅黑" w:cs="微软雅黑"/>
          <w:color w:val="231F20"/>
          <w:spacing w:val="2"/>
          <w:sz w:val="16"/>
          <w:szCs w:val="16"/>
        </w:rPr>
        <w:t>育，2017，4（7</w:t>
      </w:r>
      <w:r>
        <w:rPr>
          <w:rFonts w:ascii="微软雅黑" w:hAnsi="微软雅黑" w:eastAsia="微软雅黑" w:cs="微软雅黑"/>
          <w:color w:val="231F20"/>
          <w:spacing w:val="12"/>
          <w:sz w:val="16"/>
          <w:szCs w:val="16"/>
        </w:rPr>
        <w:t>）：</w:t>
      </w:r>
      <w:r>
        <w:rPr>
          <w:rFonts w:ascii="微软雅黑" w:hAnsi="微软雅黑" w:eastAsia="微软雅黑" w:cs="微软雅黑"/>
          <w:color w:val="231F20"/>
          <w:spacing w:val="2"/>
          <w:sz w:val="16"/>
          <w:szCs w:val="16"/>
        </w:rPr>
        <w:t>10-14.</w:t>
      </w:r>
    </w:p>
    <w:p>
      <w:pPr>
        <w:spacing w:before="9" w:line="180" w:lineRule="auto"/>
        <w:ind w:left="514" w:right="351" w:firstLine="461"/>
        <w:rPr>
          <w:rFonts w:ascii="微软雅黑" w:hAnsi="微软雅黑" w:eastAsia="微软雅黑" w:cs="微软雅黑"/>
          <w:sz w:val="16"/>
          <w:szCs w:val="16"/>
        </w:rPr>
      </w:pPr>
      <w:r>
        <w:rPr>
          <w:rFonts w:ascii="微软雅黑" w:hAnsi="微软雅黑" w:eastAsia="微软雅黑" w:cs="微软雅黑"/>
          <w:color w:val="231F20"/>
          <w:spacing w:val="9"/>
          <w:sz w:val="16"/>
          <w:szCs w:val="16"/>
        </w:rPr>
        <w:t>[3] 曹慧平 . 高校教工党支部建设与课程思政教学协同育人</w:t>
      </w:r>
      <w:r>
        <w:rPr>
          <w:rFonts w:ascii="微软雅黑" w:hAnsi="微软雅黑" w:eastAsia="微软雅黑" w:cs="微软雅黑"/>
          <w:color w:val="231F20"/>
          <w:spacing w:val="18"/>
          <w:w w:val="101"/>
          <w:sz w:val="16"/>
          <w:szCs w:val="16"/>
        </w:rPr>
        <w:t xml:space="preserve"> </w:t>
      </w:r>
      <w:r>
        <w:rPr>
          <w:rFonts w:ascii="微软雅黑" w:hAnsi="微软雅黑" w:eastAsia="微软雅黑" w:cs="微软雅黑"/>
          <w:color w:val="231F20"/>
          <w:spacing w:val="-1"/>
          <w:sz w:val="16"/>
          <w:szCs w:val="16"/>
        </w:rPr>
        <w:t>机制研究 [J]. 齐齐哈尔大学学报（哲学社会科学版</w:t>
      </w:r>
      <w:r>
        <w:rPr>
          <w:rFonts w:ascii="微软雅黑" w:hAnsi="微软雅黑" w:eastAsia="微软雅黑" w:cs="微软雅黑"/>
          <w:color w:val="231F20"/>
          <w:spacing w:val="-13"/>
          <w:sz w:val="16"/>
          <w:szCs w:val="16"/>
        </w:rPr>
        <w:t>）</w:t>
      </w:r>
      <w:r>
        <w:rPr>
          <w:rFonts w:ascii="微软雅黑" w:hAnsi="微软雅黑" w:eastAsia="微软雅黑" w:cs="微软雅黑"/>
          <w:color w:val="231F20"/>
          <w:spacing w:val="5"/>
          <w:sz w:val="16"/>
          <w:szCs w:val="16"/>
        </w:rPr>
        <w:t xml:space="preserve">  </w:t>
      </w:r>
      <w:r>
        <w:rPr>
          <w:rFonts w:ascii="微软雅黑" w:hAnsi="微软雅黑" w:eastAsia="微软雅黑" w:cs="微软雅黑"/>
          <w:color w:val="231F20"/>
          <w:spacing w:val="-13"/>
          <w:sz w:val="16"/>
          <w:szCs w:val="16"/>
        </w:rPr>
        <w:t>，</w:t>
      </w:r>
      <w:r>
        <w:rPr>
          <w:rFonts w:ascii="微软雅黑" w:hAnsi="微软雅黑" w:eastAsia="微软雅黑" w:cs="微软雅黑"/>
          <w:color w:val="231F20"/>
          <w:spacing w:val="-1"/>
          <w:sz w:val="16"/>
          <w:szCs w:val="16"/>
        </w:rPr>
        <w:t>2021（3</w:t>
      </w:r>
      <w:r>
        <w:rPr>
          <w:rFonts w:ascii="微软雅黑" w:hAnsi="微软雅黑" w:eastAsia="微软雅黑" w:cs="微软雅黑"/>
          <w:color w:val="231F20"/>
          <w:spacing w:val="-13"/>
          <w:sz w:val="16"/>
          <w:szCs w:val="16"/>
        </w:rPr>
        <w:t>）</w:t>
      </w:r>
      <w:r>
        <w:rPr>
          <w:rFonts w:ascii="微软雅黑" w:hAnsi="微软雅黑" w:eastAsia="微软雅黑" w:cs="微软雅黑"/>
          <w:color w:val="231F20"/>
          <w:spacing w:val="-21"/>
          <w:sz w:val="16"/>
          <w:szCs w:val="16"/>
        </w:rPr>
        <w:t xml:space="preserve"> </w:t>
      </w:r>
      <w:r>
        <w:rPr>
          <w:rFonts w:ascii="微软雅黑" w:hAnsi="微软雅黑" w:eastAsia="微软雅黑" w:cs="微软雅黑"/>
          <w:color w:val="231F20"/>
          <w:spacing w:val="-13"/>
          <w:sz w:val="16"/>
          <w:szCs w:val="16"/>
        </w:rPr>
        <w:t>：</w:t>
      </w:r>
    </w:p>
    <w:p>
      <w:pPr>
        <w:spacing w:line="14" w:lineRule="auto"/>
        <w:rPr>
          <w:rFonts w:ascii="Arial"/>
          <w:sz w:val="2"/>
        </w:rPr>
      </w:pPr>
      <w:r>
        <w:rPr>
          <w:rFonts w:ascii="Arial" w:hAnsi="Arial" w:eastAsia="Arial" w:cs="Arial"/>
          <w:sz w:val="2"/>
          <w:szCs w:val="2"/>
        </w:rPr>
        <w:br w:type="column"/>
      </w:r>
    </w:p>
    <w:p>
      <w:pPr>
        <w:spacing w:before="62" w:line="165" w:lineRule="auto"/>
        <w:ind w:left="10"/>
        <w:rPr>
          <w:rFonts w:ascii="微软雅黑" w:hAnsi="微软雅黑" w:eastAsia="微软雅黑" w:cs="微软雅黑"/>
          <w:sz w:val="16"/>
          <w:szCs w:val="16"/>
        </w:rPr>
      </w:pPr>
      <w:r>
        <w:rPr>
          <w:rFonts w:ascii="微软雅黑" w:hAnsi="微软雅黑" w:eastAsia="微软雅黑" w:cs="微软雅黑"/>
          <w:color w:val="231F20"/>
          <w:spacing w:val="-2"/>
          <w:sz w:val="16"/>
          <w:szCs w:val="16"/>
        </w:rPr>
        <w:t>181-184.</w:t>
      </w:r>
    </w:p>
    <w:p>
      <w:pPr>
        <w:spacing w:before="1" w:line="177" w:lineRule="auto"/>
        <w:ind w:left="5" w:right="67" w:firstLine="455"/>
        <w:rPr>
          <w:rFonts w:ascii="微软雅黑" w:hAnsi="微软雅黑" w:eastAsia="微软雅黑" w:cs="微软雅黑"/>
          <w:sz w:val="16"/>
          <w:szCs w:val="16"/>
        </w:rPr>
      </w:pPr>
      <w:r>
        <w:rPr>
          <w:rFonts w:ascii="微软雅黑" w:hAnsi="微软雅黑" w:eastAsia="微软雅黑" w:cs="微软雅黑"/>
          <w:color w:val="231F20"/>
          <w:spacing w:val="15"/>
          <w:sz w:val="16"/>
          <w:szCs w:val="16"/>
        </w:rPr>
        <w:t>[4]</w:t>
      </w:r>
      <w:r>
        <w:rPr>
          <w:rFonts w:ascii="微软雅黑" w:hAnsi="微软雅黑" w:eastAsia="微软雅黑" w:cs="微软雅黑"/>
          <w:color w:val="231F20"/>
          <w:spacing w:val="32"/>
          <w:sz w:val="16"/>
          <w:szCs w:val="16"/>
        </w:rPr>
        <w:t xml:space="preserve"> </w:t>
      </w:r>
      <w:r>
        <w:rPr>
          <w:rFonts w:ascii="微软雅黑" w:hAnsi="微软雅黑" w:eastAsia="微软雅黑" w:cs="微软雅黑"/>
          <w:color w:val="231F20"/>
          <w:spacing w:val="15"/>
          <w:sz w:val="16"/>
          <w:szCs w:val="16"/>
        </w:rPr>
        <w:t>习近平在中国共产党第十九次全国代表大会上的报告</w:t>
      </w:r>
      <w:r>
        <w:rPr>
          <w:rFonts w:ascii="微软雅黑" w:hAnsi="微软雅黑" w:eastAsia="微软雅黑" w:cs="微软雅黑"/>
          <w:color w:val="231F20"/>
          <w:sz w:val="16"/>
          <w:szCs w:val="16"/>
        </w:rPr>
        <w:t xml:space="preserve"> </w:t>
      </w:r>
      <w:r>
        <w:rPr>
          <w:rFonts w:ascii="微软雅黑" w:hAnsi="微软雅黑" w:eastAsia="微软雅黑" w:cs="微软雅黑"/>
          <w:color w:val="231F20"/>
          <w:spacing w:val="-1"/>
          <w:sz w:val="16"/>
          <w:szCs w:val="16"/>
        </w:rPr>
        <w:t xml:space="preserve">[EB/OL].（2017-12-03） </w:t>
      </w:r>
      <w:r>
        <w:rPr>
          <w:rFonts w:ascii="微软雅黑" w:hAnsi="微软雅黑" w:eastAsia="微软雅黑" w:cs="微软雅黑"/>
          <w:color w:val="231F20"/>
          <w:spacing w:val="-2"/>
          <w:sz w:val="16"/>
          <w:szCs w:val="16"/>
        </w:rPr>
        <w:t>[2021-08-25].http：//www.qstheory.cn/</w:t>
      </w:r>
      <w:r>
        <w:rPr>
          <w:rFonts w:ascii="微软雅黑" w:hAnsi="微软雅黑" w:eastAsia="微软雅黑" w:cs="微软雅黑"/>
          <w:color w:val="231F20"/>
          <w:sz w:val="16"/>
          <w:szCs w:val="16"/>
        </w:rPr>
        <w:t xml:space="preserve"> </w:t>
      </w:r>
      <w:r>
        <w:rPr>
          <w:rFonts w:ascii="微软雅黑" w:hAnsi="微软雅黑" w:eastAsia="微软雅黑" w:cs="微软雅黑"/>
          <w:color w:val="231F20"/>
          <w:spacing w:val="-1"/>
          <w:sz w:val="16"/>
          <w:szCs w:val="16"/>
        </w:rPr>
        <w:t>llqikan/2017-12/03/c__1122049424.htm.</w:t>
      </w:r>
    </w:p>
    <w:p>
      <w:pPr>
        <w:spacing w:before="1" w:line="176" w:lineRule="auto"/>
        <w:ind w:right="68" w:firstLine="460"/>
        <w:rPr>
          <w:rFonts w:ascii="微软雅黑" w:hAnsi="微软雅黑" w:eastAsia="微软雅黑" w:cs="微软雅黑"/>
          <w:sz w:val="16"/>
          <w:szCs w:val="16"/>
        </w:rPr>
      </w:pPr>
      <w:r>
        <w:rPr>
          <w:rFonts w:ascii="微软雅黑" w:hAnsi="微软雅黑" w:eastAsia="微软雅黑" w:cs="微软雅黑"/>
          <w:color w:val="231F20"/>
          <w:spacing w:val="4"/>
          <w:sz w:val="16"/>
          <w:szCs w:val="16"/>
        </w:rPr>
        <w:t>[5] 肖玥瑢 . 高校外语专业课程思政的探索实践 [J]. 中国高等</w:t>
      </w:r>
      <w:r>
        <w:rPr>
          <w:rFonts w:ascii="微软雅黑" w:hAnsi="微软雅黑" w:eastAsia="微软雅黑" w:cs="微软雅黑"/>
          <w:color w:val="231F20"/>
          <w:spacing w:val="5"/>
          <w:sz w:val="16"/>
          <w:szCs w:val="16"/>
        </w:rPr>
        <w:t xml:space="preserve"> </w:t>
      </w:r>
      <w:r>
        <w:rPr>
          <w:rFonts w:ascii="微软雅黑" w:hAnsi="微软雅黑" w:eastAsia="微软雅黑" w:cs="微软雅黑"/>
          <w:color w:val="231F20"/>
          <w:spacing w:val="3"/>
          <w:sz w:val="16"/>
          <w:szCs w:val="16"/>
        </w:rPr>
        <w:t>教育，2020（23</w:t>
      </w:r>
      <w:r>
        <w:rPr>
          <w:rFonts w:ascii="微软雅黑" w:hAnsi="微软雅黑" w:eastAsia="微软雅黑" w:cs="微软雅黑"/>
          <w:color w:val="231F20"/>
          <w:spacing w:val="6"/>
          <w:sz w:val="16"/>
          <w:szCs w:val="16"/>
        </w:rPr>
        <w:t>）：</w:t>
      </w:r>
      <w:r>
        <w:rPr>
          <w:rFonts w:ascii="微软雅黑" w:hAnsi="微软雅黑" w:eastAsia="微软雅黑" w:cs="微软雅黑"/>
          <w:color w:val="231F20"/>
          <w:spacing w:val="3"/>
          <w:sz w:val="16"/>
          <w:szCs w:val="16"/>
        </w:rPr>
        <w:t>42-43.</w:t>
      </w:r>
    </w:p>
    <w:p>
      <w:pPr>
        <w:spacing w:before="1" w:line="179" w:lineRule="auto"/>
        <w:ind w:right="68" w:firstLine="461"/>
        <w:rPr>
          <w:rFonts w:ascii="微软雅黑" w:hAnsi="微软雅黑" w:eastAsia="微软雅黑" w:cs="微软雅黑"/>
          <w:sz w:val="16"/>
          <w:szCs w:val="16"/>
        </w:rPr>
      </w:pPr>
      <w:r>
        <w:rPr>
          <w:rFonts w:ascii="微软雅黑" w:hAnsi="微软雅黑" w:eastAsia="微软雅黑" w:cs="微软雅黑"/>
          <w:color w:val="231F20"/>
          <w:spacing w:val="9"/>
          <w:sz w:val="16"/>
          <w:szCs w:val="16"/>
        </w:rPr>
        <w:t>[6]</w:t>
      </w:r>
      <w:r>
        <w:rPr>
          <w:rFonts w:ascii="微软雅黑" w:hAnsi="微软雅黑" w:eastAsia="微软雅黑" w:cs="微软雅黑"/>
          <w:color w:val="231F20"/>
          <w:spacing w:val="18"/>
          <w:sz w:val="16"/>
          <w:szCs w:val="16"/>
        </w:rPr>
        <w:t xml:space="preserve"> </w:t>
      </w:r>
      <w:r>
        <w:rPr>
          <w:rFonts w:ascii="微软雅黑" w:hAnsi="微软雅黑" w:eastAsia="微软雅黑" w:cs="微软雅黑"/>
          <w:color w:val="231F20"/>
          <w:spacing w:val="9"/>
          <w:sz w:val="16"/>
          <w:szCs w:val="16"/>
        </w:rPr>
        <w:t>习近平 . 推动媒体融合向纵深发展，巩固全党全国人民</w:t>
      </w:r>
      <w:r>
        <w:rPr>
          <w:rFonts w:ascii="微软雅黑" w:hAnsi="微软雅黑" w:eastAsia="微软雅黑" w:cs="微软雅黑"/>
          <w:color w:val="231F20"/>
          <w:sz w:val="16"/>
          <w:szCs w:val="16"/>
        </w:rPr>
        <w:t xml:space="preserve"> </w:t>
      </w:r>
      <w:r>
        <w:rPr>
          <w:rFonts w:ascii="微软雅黑" w:hAnsi="微软雅黑" w:eastAsia="微软雅黑" w:cs="微软雅黑"/>
          <w:color w:val="231F20"/>
          <w:spacing w:val="-5"/>
          <w:sz w:val="16"/>
          <w:szCs w:val="16"/>
        </w:rPr>
        <w:t>共同思想基础</w:t>
      </w:r>
      <w:r>
        <w:rPr>
          <w:rFonts w:ascii="微软雅黑" w:hAnsi="微软雅黑" w:eastAsia="微软雅黑" w:cs="微软雅黑"/>
          <w:color w:val="231F20"/>
          <w:spacing w:val="-16"/>
          <w:sz w:val="16"/>
          <w:szCs w:val="16"/>
        </w:rPr>
        <w:t xml:space="preserve"> </w:t>
      </w:r>
      <w:r>
        <w:rPr>
          <w:rFonts w:ascii="微软雅黑" w:hAnsi="微软雅黑" w:eastAsia="微软雅黑" w:cs="微软雅黑"/>
          <w:color w:val="231F20"/>
          <w:spacing w:val="-5"/>
          <w:sz w:val="16"/>
          <w:szCs w:val="16"/>
        </w:rPr>
        <w:t>[EB/OL].（2019-01-15）[2021-08-08].</w:t>
      </w:r>
      <w:r>
        <w:fldChar w:fldCharType="begin"/>
      </w:r>
      <w:r>
        <w:instrText xml:space="preserve"> HYPERLINK "http://www.gov" </w:instrText>
      </w:r>
      <w:r>
        <w:fldChar w:fldCharType="separate"/>
      </w:r>
      <w:r>
        <w:rPr>
          <w:rFonts w:ascii="微软雅黑" w:hAnsi="微软雅黑" w:eastAsia="微软雅黑" w:cs="微软雅黑"/>
          <w:color w:val="231F20"/>
          <w:spacing w:val="-5"/>
          <w:sz w:val="16"/>
          <w:szCs w:val="16"/>
        </w:rPr>
        <w:t>http:/</w:t>
      </w:r>
      <w:r>
        <w:rPr>
          <w:rFonts w:ascii="微软雅黑" w:hAnsi="微软雅黑" w:eastAsia="微软雅黑" w:cs="微软雅黑"/>
          <w:color w:val="231F20"/>
          <w:spacing w:val="-6"/>
          <w:sz w:val="16"/>
          <w:szCs w:val="16"/>
        </w:rPr>
        <w:t>/www.gov</w:t>
      </w:r>
      <w:r>
        <w:rPr>
          <w:rFonts w:ascii="微软雅黑" w:hAnsi="微软雅黑" w:eastAsia="微软雅黑" w:cs="微软雅黑"/>
          <w:color w:val="231F20"/>
          <w:spacing w:val="-6"/>
          <w:sz w:val="16"/>
          <w:szCs w:val="16"/>
        </w:rPr>
        <w:fldChar w:fldCharType="end"/>
      </w:r>
      <w:r>
        <w:rPr>
          <w:rFonts w:ascii="微软雅黑" w:hAnsi="微软雅黑" w:eastAsia="微软雅黑" w:cs="微软雅黑"/>
          <w:color w:val="231F20"/>
          <w:spacing w:val="-6"/>
          <w:sz w:val="16"/>
          <w:szCs w:val="16"/>
        </w:rPr>
        <w:t>.</w:t>
      </w:r>
      <w:r>
        <w:rPr>
          <w:rFonts w:ascii="微软雅黑" w:hAnsi="微软雅黑" w:eastAsia="微软雅黑" w:cs="微软雅黑"/>
          <w:color w:val="231F20"/>
          <w:sz w:val="16"/>
          <w:szCs w:val="16"/>
        </w:rPr>
        <w:t xml:space="preserve"> cn</w:t>
      </w:r>
      <w:r>
        <w:rPr>
          <w:rFonts w:ascii="微软雅黑" w:hAnsi="微软雅黑" w:eastAsia="微软雅黑" w:cs="微软雅黑"/>
          <w:color w:val="231F20"/>
          <w:spacing w:val="3"/>
          <w:sz w:val="16"/>
          <w:szCs w:val="16"/>
        </w:rPr>
        <w:t>/</w:t>
      </w:r>
      <w:r>
        <w:rPr>
          <w:rFonts w:ascii="微软雅黑" w:hAnsi="微软雅黑" w:eastAsia="微软雅黑" w:cs="微软雅黑"/>
          <w:color w:val="231F20"/>
          <w:sz w:val="16"/>
          <w:szCs w:val="16"/>
        </w:rPr>
        <w:t>xinwen</w:t>
      </w:r>
      <w:r>
        <w:rPr>
          <w:rFonts w:ascii="微软雅黑" w:hAnsi="微软雅黑" w:eastAsia="微软雅黑" w:cs="微软雅黑"/>
          <w:color w:val="231F20"/>
          <w:spacing w:val="3"/>
          <w:sz w:val="16"/>
          <w:szCs w:val="16"/>
        </w:rPr>
        <w:t>/2019-01/25/</w:t>
      </w:r>
      <w:r>
        <w:rPr>
          <w:rFonts w:ascii="微软雅黑" w:hAnsi="微软雅黑" w:eastAsia="微软雅黑" w:cs="微软雅黑"/>
          <w:color w:val="231F20"/>
          <w:sz w:val="16"/>
          <w:szCs w:val="16"/>
        </w:rPr>
        <w:t>content</w:t>
      </w:r>
      <w:r>
        <w:rPr>
          <w:rFonts w:ascii="微软雅黑" w:hAnsi="微软雅黑" w:eastAsia="微软雅黑" w:cs="微软雅黑"/>
          <w:color w:val="231F20"/>
          <w:spacing w:val="3"/>
          <w:sz w:val="16"/>
          <w:szCs w:val="16"/>
        </w:rPr>
        <w:t>_5361196.</w:t>
      </w:r>
      <w:r>
        <w:rPr>
          <w:rFonts w:ascii="微软雅黑" w:hAnsi="微软雅黑" w:eastAsia="微软雅黑" w:cs="微软雅黑"/>
          <w:color w:val="231F20"/>
          <w:sz w:val="16"/>
          <w:szCs w:val="16"/>
        </w:rPr>
        <w:t>htm</w:t>
      </w:r>
      <w:r>
        <w:rPr>
          <w:rFonts w:ascii="微软雅黑" w:hAnsi="微软雅黑" w:eastAsia="微软雅黑" w:cs="微软雅黑"/>
          <w:color w:val="231F20"/>
          <w:spacing w:val="3"/>
          <w:sz w:val="16"/>
          <w:szCs w:val="16"/>
        </w:rPr>
        <w:t>.</w:t>
      </w:r>
    </w:p>
    <w:p>
      <w:pPr>
        <w:spacing w:before="2" w:line="176" w:lineRule="auto"/>
        <w:ind w:right="68" w:firstLine="460"/>
        <w:rPr>
          <w:rFonts w:ascii="微软雅黑" w:hAnsi="微软雅黑" w:eastAsia="微软雅黑" w:cs="微软雅黑"/>
          <w:sz w:val="16"/>
          <w:szCs w:val="16"/>
        </w:rPr>
      </w:pPr>
      <w:r>
        <w:rPr>
          <w:rFonts w:ascii="微软雅黑" w:hAnsi="微软雅黑" w:eastAsia="微软雅黑" w:cs="微软雅黑"/>
          <w:color w:val="231F20"/>
          <w:spacing w:val="5"/>
          <w:sz w:val="16"/>
          <w:szCs w:val="16"/>
        </w:rPr>
        <w:t>[7]</w:t>
      </w:r>
      <w:r>
        <w:rPr>
          <w:rFonts w:ascii="微软雅黑" w:hAnsi="微软雅黑" w:eastAsia="微软雅黑" w:cs="微软雅黑"/>
          <w:color w:val="231F20"/>
          <w:spacing w:val="1"/>
          <w:sz w:val="16"/>
          <w:szCs w:val="16"/>
        </w:rPr>
        <w:t xml:space="preserve"> </w:t>
      </w:r>
      <w:r>
        <w:rPr>
          <w:rFonts w:ascii="微软雅黑" w:hAnsi="微软雅黑" w:eastAsia="微软雅黑" w:cs="微软雅黑"/>
          <w:color w:val="231F20"/>
          <w:spacing w:val="5"/>
          <w:sz w:val="16"/>
          <w:szCs w:val="16"/>
        </w:rPr>
        <w:t>杨金才 .</w:t>
      </w:r>
      <w:r>
        <w:rPr>
          <w:rFonts w:ascii="微软雅黑" w:hAnsi="微软雅黑" w:eastAsia="微软雅黑" w:cs="微软雅黑"/>
          <w:color w:val="231F20"/>
          <w:spacing w:val="-9"/>
          <w:sz w:val="16"/>
          <w:szCs w:val="16"/>
        </w:rPr>
        <w:t xml:space="preserve"> </w:t>
      </w:r>
      <w:r>
        <w:rPr>
          <w:rFonts w:ascii="微软雅黑" w:hAnsi="微软雅黑" w:eastAsia="微软雅黑" w:cs="微软雅黑"/>
          <w:color w:val="231F20"/>
          <w:spacing w:val="5"/>
          <w:sz w:val="16"/>
          <w:szCs w:val="16"/>
        </w:rPr>
        <w:t>新时代外语教育课程思政建设的几点思考 [J].</w:t>
      </w:r>
      <w:r>
        <w:rPr>
          <w:rFonts w:ascii="微软雅黑" w:hAnsi="微软雅黑" w:eastAsia="微软雅黑" w:cs="微软雅黑"/>
          <w:color w:val="231F20"/>
          <w:spacing w:val="-7"/>
          <w:sz w:val="16"/>
          <w:szCs w:val="16"/>
        </w:rPr>
        <w:t xml:space="preserve"> </w:t>
      </w:r>
      <w:r>
        <w:rPr>
          <w:rFonts w:ascii="微软雅黑" w:hAnsi="微软雅黑" w:eastAsia="微软雅黑" w:cs="微软雅黑"/>
          <w:color w:val="231F20"/>
          <w:spacing w:val="5"/>
          <w:sz w:val="16"/>
          <w:szCs w:val="16"/>
        </w:rPr>
        <w:t>外</w:t>
      </w:r>
      <w:r>
        <w:rPr>
          <w:rFonts w:ascii="微软雅黑" w:hAnsi="微软雅黑" w:eastAsia="微软雅黑" w:cs="微软雅黑"/>
          <w:color w:val="231F20"/>
          <w:sz w:val="16"/>
          <w:szCs w:val="16"/>
        </w:rPr>
        <w:t xml:space="preserve"> </w:t>
      </w:r>
      <w:r>
        <w:rPr>
          <w:rFonts w:ascii="微软雅黑" w:hAnsi="微软雅黑" w:eastAsia="微软雅黑" w:cs="微软雅黑"/>
          <w:color w:val="231F20"/>
          <w:spacing w:val="-3"/>
          <w:sz w:val="16"/>
          <w:szCs w:val="16"/>
        </w:rPr>
        <w:t>语教学，2020，41（6</w:t>
      </w:r>
      <w:r>
        <w:rPr>
          <w:rFonts w:ascii="微软雅黑" w:hAnsi="微软雅黑" w:eastAsia="微软雅黑" w:cs="微软雅黑"/>
          <w:color w:val="231F20"/>
          <w:spacing w:val="4"/>
          <w:sz w:val="16"/>
          <w:szCs w:val="16"/>
        </w:rPr>
        <w:t>）：</w:t>
      </w:r>
      <w:r>
        <w:rPr>
          <w:rFonts w:ascii="微软雅黑" w:hAnsi="微软雅黑" w:eastAsia="微软雅黑" w:cs="微软雅黑"/>
          <w:color w:val="231F20"/>
          <w:spacing w:val="18"/>
          <w:w w:val="101"/>
          <w:sz w:val="16"/>
          <w:szCs w:val="16"/>
        </w:rPr>
        <w:t xml:space="preserve">  </w:t>
      </w:r>
      <w:r>
        <w:rPr>
          <w:rFonts w:ascii="微软雅黑" w:hAnsi="微软雅黑" w:eastAsia="微软雅黑" w:cs="微软雅黑"/>
          <w:color w:val="231F20"/>
          <w:spacing w:val="-3"/>
          <w:sz w:val="16"/>
          <w:szCs w:val="16"/>
        </w:rPr>
        <w:t>11-14.</w:t>
      </w:r>
    </w:p>
    <w:p>
      <w:pPr>
        <w:spacing w:before="81" w:line="189" w:lineRule="auto"/>
        <w:ind w:left="3632"/>
        <w:rPr>
          <w:rFonts w:ascii="黑体" w:hAnsi="黑体" w:eastAsia="黑体" w:cs="黑体"/>
          <w:sz w:val="16"/>
          <w:szCs w:val="16"/>
        </w:rPr>
      </w:pPr>
      <w:r>
        <w:rPr>
          <w:rFonts w:ascii="黑体" w:hAnsi="黑体" w:eastAsia="黑体" w:cs="黑体"/>
          <w:color w:val="231F20"/>
          <w:spacing w:val="-9"/>
          <w:sz w:val="16"/>
          <w:szCs w:val="16"/>
        </w:rPr>
        <w:t>责任编辑：</w:t>
      </w:r>
      <w:r>
        <w:rPr>
          <w:rFonts w:ascii="黑体" w:hAnsi="黑体" w:eastAsia="黑体" w:cs="黑体"/>
          <w:color w:val="231F20"/>
          <w:spacing w:val="42"/>
          <w:w w:val="101"/>
          <w:sz w:val="16"/>
          <w:szCs w:val="16"/>
        </w:rPr>
        <w:t xml:space="preserve"> </w:t>
      </w:r>
      <w:r>
        <w:rPr>
          <w:rFonts w:ascii="黑体" w:hAnsi="黑体" w:eastAsia="黑体" w:cs="黑体"/>
          <w:color w:val="231F20"/>
          <w:spacing w:val="-9"/>
          <w:sz w:val="16"/>
          <w:szCs w:val="16"/>
        </w:rPr>
        <w:t>孙瑶</w:t>
      </w:r>
    </w:p>
    <w:p>
      <w:pPr>
        <w:spacing w:line="189" w:lineRule="auto"/>
        <w:rPr>
          <w:rFonts w:ascii="黑体" w:hAnsi="黑体" w:eastAsia="黑体" w:cs="黑体"/>
          <w:sz w:val="16"/>
          <w:szCs w:val="16"/>
        </w:rPr>
        <w:sectPr>
          <w:type w:val="continuous"/>
          <w:pgSz w:w="11906" w:h="16158"/>
          <w:pgMar w:top="1039" w:right="830" w:bottom="547" w:left="407" w:header="819" w:footer="354" w:gutter="0"/>
          <w:cols w:equalWidth="0" w:num="2">
            <w:col w:w="5687" w:space="100"/>
            <w:col w:w="4881"/>
          </w:cols>
        </w:sectPr>
      </w:pPr>
    </w:p>
    <w:p>
      <w:pPr>
        <w:spacing w:before="165" w:line="36" w:lineRule="exact"/>
        <w:ind w:firstLine="501"/>
      </w:pPr>
      <w:r>
        <w:pict>
          <v:shape id="_x0000_s1060" o:spid="_x0000_s1060" style="height:1.85pt;width:505.15pt;" filled="f" stroked="t" coordsize="10102,37" path="m0,9l10102,27e">
            <v:fill on="f" focussize="0,0"/>
            <v:stroke weight="0.9pt" color="#231F20" miterlimit="4" joinstyle="miter"/>
            <v:imagedata o:title=""/>
            <o:lock v:ext="edit"/>
            <w10:wrap type="none"/>
            <w10:anchorlock/>
          </v:shape>
        </w:pict>
      </w:r>
    </w:p>
    <w:p>
      <w:pPr>
        <w:spacing w:line="79" w:lineRule="exact"/>
      </w:pPr>
    </w:p>
    <w:p>
      <w:pPr>
        <w:spacing w:line="79" w:lineRule="exact"/>
        <w:sectPr>
          <w:type w:val="continuous"/>
          <w:pgSz w:w="11906" w:h="16158"/>
          <w:pgMar w:top="1039" w:right="830" w:bottom="547" w:left="407" w:header="819" w:footer="354" w:gutter="0"/>
          <w:cols w:equalWidth="0" w:num="1">
            <w:col w:w="10668"/>
          </w:cols>
        </w:sectPr>
      </w:pPr>
    </w:p>
    <w:p>
      <w:pPr>
        <w:spacing w:before="43" w:line="260" w:lineRule="auto"/>
        <w:ind w:left="514" w:right="305" w:firstLine="17"/>
        <w:jc w:val="both"/>
        <w:rPr>
          <w:rFonts w:ascii="宋体" w:hAnsi="宋体" w:eastAsia="宋体" w:cs="宋体"/>
          <w:sz w:val="20"/>
          <w:szCs w:val="20"/>
        </w:rPr>
      </w:pPr>
      <w:r>
        <w:rPr>
          <w:rFonts w:ascii="宋体" w:hAnsi="宋体" w:eastAsia="宋体" w:cs="宋体"/>
          <w:color w:val="231F20"/>
          <w:spacing w:val="-2"/>
          <w:sz w:val="20"/>
          <w:szCs w:val="20"/>
        </w:rPr>
        <w:t>（上接第</w:t>
      </w:r>
      <w:r>
        <w:rPr>
          <w:rFonts w:ascii="宋体" w:hAnsi="宋体" w:eastAsia="宋体" w:cs="宋体"/>
          <w:color w:val="231F20"/>
          <w:spacing w:val="-36"/>
          <w:sz w:val="20"/>
          <w:szCs w:val="20"/>
        </w:rPr>
        <w:t xml:space="preserve"> </w:t>
      </w:r>
      <w:r>
        <w:rPr>
          <w:rFonts w:ascii="宋体" w:hAnsi="宋体" w:eastAsia="宋体" w:cs="宋体"/>
          <w:color w:val="231F20"/>
          <w:spacing w:val="-2"/>
          <w:sz w:val="20"/>
          <w:szCs w:val="20"/>
        </w:rPr>
        <w:t>35页）</w:t>
      </w:r>
      <w:r>
        <w:rPr>
          <w:rFonts w:ascii="宋体" w:hAnsi="宋体" w:eastAsia="宋体" w:cs="宋体"/>
          <w:color w:val="231F20"/>
          <w:spacing w:val="-26"/>
          <w:sz w:val="20"/>
          <w:szCs w:val="20"/>
        </w:rPr>
        <w:t xml:space="preserve"> </w:t>
      </w:r>
      <w:r>
        <w:rPr>
          <w:rFonts w:ascii="宋体" w:hAnsi="宋体" w:eastAsia="宋体" w:cs="宋体"/>
          <w:color w:val="231F20"/>
          <w:spacing w:val="-2"/>
          <w:sz w:val="20"/>
          <w:szCs w:val="20"/>
        </w:rPr>
        <w:t>导，每周不少于</w:t>
      </w:r>
      <w:r>
        <w:rPr>
          <w:rFonts w:ascii="宋体" w:hAnsi="宋体" w:eastAsia="宋体" w:cs="宋体"/>
          <w:color w:val="231F20"/>
          <w:spacing w:val="-52"/>
          <w:sz w:val="20"/>
          <w:szCs w:val="20"/>
        </w:rPr>
        <w:t xml:space="preserve"> </w:t>
      </w:r>
      <w:r>
        <w:rPr>
          <w:rFonts w:ascii="宋体" w:hAnsi="宋体" w:eastAsia="宋体" w:cs="宋体"/>
          <w:color w:val="231F20"/>
          <w:spacing w:val="-2"/>
          <w:sz w:val="20"/>
          <w:szCs w:val="20"/>
        </w:rPr>
        <w:t>2次，</w:t>
      </w:r>
      <w:r>
        <w:rPr>
          <w:rFonts w:ascii="宋体" w:hAnsi="宋体" w:eastAsia="宋体" w:cs="宋体"/>
          <w:color w:val="231F20"/>
          <w:spacing w:val="-49"/>
          <w:sz w:val="20"/>
          <w:szCs w:val="20"/>
        </w:rPr>
        <w:t xml:space="preserve"> </w:t>
      </w:r>
      <w:r>
        <w:rPr>
          <w:rFonts w:ascii="宋体" w:hAnsi="宋体" w:eastAsia="宋体" w:cs="宋体"/>
          <w:color w:val="231F20"/>
          <w:spacing w:val="-2"/>
          <w:sz w:val="20"/>
          <w:szCs w:val="20"/>
        </w:rPr>
        <w:t>每次</w:t>
      </w:r>
      <w:r>
        <w:rPr>
          <w:rFonts w:ascii="宋体" w:hAnsi="宋体" w:eastAsia="宋体" w:cs="宋体"/>
          <w:color w:val="231F20"/>
          <w:spacing w:val="-38"/>
          <w:sz w:val="20"/>
          <w:szCs w:val="20"/>
        </w:rPr>
        <w:t xml:space="preserve"> </w:t>
      </w:r>
      <w:r>
        <w:rPr>
          <w:rFonts w:ascii="宋体" w:hAnsi="宋体" w:eastAsia="宋体" w:cs="宋体"/>
          <w:color w:val="231F20"/>
          <w:spacing w:val="-3"/>
          <w:sz w:val="20"/>
          <w:szCs w:val="20"/>
        </w:rPr>
        <w:t>1个小时，</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答辩形式采用了网络视频与现场答辩相结合的方式</w:t>
      </w:r>
      <w:r>
        <w:rPr>
          <w:rFonts w:ascii="宋体" w:hAnsi="宋体" w:eastAsia="宋体" w:cs="宋体"/>
          <w:color w:val="231F20"/>
          <w:spacing w:val="13"/>
          <w:sz w:val="20"/>
          <w:szCs w:val="20"/>
        </w:rPr>
        <w:t xml:space="preserve"> </w:t>
      </w:r>
      <w:r>
        <w:rPr>
          <w:rFonts w:ascii="宋体" w:hAnsi="宋体" w:eastAsia="宋体" w:cs="宋体"/>
          <w:color w:val="231F20"/>
          <w:spacing w:val="15"/>
          <w:sz w:val="20"/>
          <w:szCs w:val="20"/>
        </w:rPr>
        <w:t>进行，答辩要求、程序与会议现场答辩实质等效。</w:t>
      </w:r>
    </w:p>
    <w:p>
      <w:pPr>
        <w:spacing w:before="54" w:line="228" w:lineRule="auto"/>
        <w:ind w:left="968"/>
        <w:rPr>
          <w:rFonts w:ascii="宋体" w:hAnsi="宋体" w:eastAsia="宋体" w:cs="宋体"/>
          <w:sz w:val="20"/>
          <w:szCs w:val="20"/>
        </w:rPr>
      </w:pPr>
      <w:r>
        <w:rPr>
          <w:rFonts w:ascii="宋体" w:hAnsi="宋体" w:eastAsia="宋体" w:cs="宋体"/>
          <w:color w:val="231F20"/>
          <w:spacing w:val="14"/>
          <w:sz w:val="20"/>
          <w:szCs w:val="20"/>
        </w:rPr>
        <w:t>（三）全力发挥榜样引领</w:t>
      </w:r>
    </w:p>
    <w:p>
      <w:pPr>
        <w:spacing w:before="53" w:line="227" w:lineRule="auto"/>
        <w:ind w:left="968"/>
        <w:rPr>
          <w:rFonts w:ascii="宋体" w:hAnsi="宋体" w:eastAsia="宋体" w:cs="宋体"/>
          <w:sz w:val="20"/>
          <w:szCs w:val="20"/>
        </w:rPr>
      </w:pPr>
      <w:r>
        <w:rPr>
          <w:rFonts w:ascii="宋体" w:hAnsi="宋体" w:eastAsia="宋体" w:cs="宋体"/>
          <w:color w:val="231F20"/>
          <w:spacing w:val="7"/>
          <w:sz w:val="20"/>
          <w:szCs w:val="20"/>
        </w:rPr>
        <w:t>1.开展精彩无“线”线上教学经验交流直播活动</w:t>
      </w:r>
    </w:p>
    <w:p>
      <w:pPr>
        <w:spacing w:before="52" w:line="265" w:lineRule="auto"/>
        <w:ind w:left="515" w:right="355" w:firstLine="441"/>
        <w:rPr>
          <w:rFonts w:ascii="宋体" w:hAnsi="宋体" w:eastAsia="宋体" w:cs="宋体"/>
          <w:sz w:val="20"/>
          <w:szCs w:val="20"/>
        </w:rPr>
      </w:pPr>
      <w:r>
        <w:rPr>
          <w:rFonts w:ascii="宋体" w:hAnsi="宋体" w:eastAsia="宋体" w:cs="宋体"/>
          <w:color w:val="231F20"/>
          <w:spacing w:val="18"/>
          <w:sz w:val="20"/>
          <w:szCs w:val="20"/>
        </w:rPr>
        <w:t>学校定期开展了精彩无“线”线上教学经验交</w:t>
      </w:r>
      <w:r>
        <w:rPr>
          <w:rFonts w:ascii="宋体" w:hAnsi="宋体" w:eastAsia="宋体" w:cs="宋体"/>
          <w:color w:val="231F20"/>
          <w:spacing w:val="9"/>
          <w:sz w:val="20"/>
          <w:szCs w:val="20"/>
        </w:rPr>
        <w:t xml:space="preserve"> </w:t>
      </w:r>
      <w:r>
        <w:rPr>
          <w:rFonts w:ascii="宋体" w:hAnsi="宋体" w:eastAsia="宋体" w:cs="宋体"/>
          <w:color w:val="231F20"/>
          <w:spacing w:val="18"/>
          <w:sz w:val="20"/>
          <w:szCs w:val="20"/>
        </w:rPr>
        <w:t>流直播活动，全面落实了省委高校工委“把灾难当</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教材，与祖国共成长”主题教育活动，强化课程思</w:t>
      </w:r>
      <w:r>
        <w:rPr>
          <w:rFonts w:ascii="宋体" w:hAnsi="宋体" w:eastAsia="宋体" w:cs="宋体"/>
          <w:color w:val="231F20"/>
          <w:spacing w:val="12"/>
          <w:sz w:val="20"/>
          <w:szCs w:val="20"/>
        </w:rPr>
        <w:t xml:space="preserve"> </w:t>
      </w:r>
      <w:r>
        <w:rPr>
          <w:rFonts w:ascii="宋体" w:hAnsi="宋体" w:eastAsia="宋体" w:cs="宋体"/>
          <w:color w:val="231F20"/>
          <w:spacing w:val="14"/>
          <w:sz w:val="20"/>
          <w:szCs w:val="20"/>
        </w:rPr>
        <w:t>政，积极推广线上教学优秀经验。</w:t>
      </w:r>
    </w:p>
    <w:p>
      <w:pPr>
        <w:spacing w:before="53" w:line="228" w:lineRule="auto"/>
        <w:ind w:left="955"/>
        <w:rPr>
          <w:rFonts w:ascii="宋体" w:hAnsi="宋体" w:eastAsia="宋体" w:cs="宋体"/>
          <w:sz w:val="20"/>
          <w:szCs w:val="20"/>
        </w:rPr>
      </w:pPr>
      <w:r>
        <w:rPr>
          <w:rFonts w:ascii="宋体" w:hAnsi="宋体" w:eastAsia="宋体" w:cs="宋体"/>
          <w:color w:val="231F20"/>
          <w:spacing w:val="15"/>
          <w:sz w:val="20"/>
          <w:szCs w:val="20"/>
        </w:rPr>
        <w:t>2.组织抗疫期间优秀教学案例征集</w:t>
      </w:r>
    </w:p>
    <w:p>
      <w:pPr>
        <w:spacing w:before="51" w:line="265" w:lineRule="auto"/>
        <w:ind w:left="517" w:right="355" w:firstLine="435"/>
        <w:rPr>
          <w:rFonts w:ascii="宋体" w:hAnsi="宋体" w:eastAsia="宋体" w:cs="宋体"/>
          <w:sz w:val="20"/>
          <w:szCs w:val="20"/>
        </w:rPr>
      </w:pPr>
      <w:r>
        <w:rPr>
          <w:rFonts w:ascii="宋体" w:hAnsi="宋体" w:eastAsia="宋体" w:cs="宋体"/>
          <w:color w:val="231F20"/>
          <w:spacing w:val="18"/>
          <w:sz w:val="20"/>
          <w:szCs w:val="20"/>
        </w:rPr>
        <w:t>积极组织了优秀教师、优秀课程团队、优秀学</w:t>
      </w:r>
      <w:r>
        <w:rPr>
          <w:rFonts w:ascii="宋体" w:hAnsi="宋体" w:eastAsia="宋体" w:cs="宋体"/>
          <w:color w:val="231F20"/>
          <w:spacing w:val="13"/>
          <w:sz w:val="20"/>
          <w:szCs w:val="20"/>
        </w:rPr>
        <w:t xml:space="preserve"> </w:t>
      </w:r>
      <w:r>
        <w:rPr>
          <w:rFonts w:ascii="宋体" w:hAnsi="宋体" w:eastAsia="宋体" w:cs="宋体"/>
          <w:color w:val="231F20"/>
          <w:spacing w:val="9"/>
          <w:sz w:val="20"/>
          <w:szCs w:val="20"/>
        </w:rPr>
        <w:t>子、优秀管理团队等案例征集，组织编印《河南科技</w:t>
      </w:r>
      <w:r>
        <w:rPr>
          <w:rFonts w:ascii="宋体" w:hAnsi="宋体" w:eastAsia="宋体" w:cs="宋体"/>
          <w:color w:val="231F20"/>
          <w:sz w:val="20"/>
          <w:szCs w:val="20"/>
        </w:rPr>
        <w:t xml:space="preserve"> </w:t>
      </w:r>
      <w:r>
        <w:rPr>
          <w:rFonts w:ascii="宋体" w:hAnsi="宋体" w:eastAsia="宋体" w:cs="宋体"/>
          <w:color w:val="231F20"/>
          <w:spacing w:val="9"/>
          <w:sz w:val="20"/>
          <w:szCs w:val="20"/>
        </w:rPr>
        <w:t>大学抗疫教学风采录》，并推荐河南省教育厅十类优</w:t>
      </w:r>
      <w:r>
        <w:rPr>
          <w:rFonts w:ascii="宋体" w:hAnsi="宋体" w:eastAsia="宋体" w:cs="宋体"/>
          <w:color w:val="231F20"/>
          <w:sz w:val="20"/>
          <w:szCs w:val="20"/>
        </w:rPr>
        <w:t xml:space="preserve"> </w:t>
      </w:r>
      <w:r>
        <w:rPr>
          <w:rFonts w:ascii="宋体" w:hAnsi="宋体" w:eastAsia="宋体" w:cs="宋体"/>
          <w:color w:val="231F20"/>
          <w:spacing w:val="15"/>
          <w:sz w:val="20"/>
          <w:szCs w:val="20"/>
        </w:rPr>
        <w:t>秀抗疫典型案例，全面选树典型，发挥榜样力量。</w:t>
      </w:r>
    </w:p>
    <w:p>
      <w:pPr>
        <w:spacing w:before="54" w:line="227" w:lineRule="auto"/>
        <w:ind w:left="957"/>
        <w:rPr>
          <w:rFonts w:ascii="宋体" w:hAnsi="宋体" w:eastAsia="宋体" w:cs="宋体"/>
          <w:sz w:val="20"/>
          <w:szCs w:val="20"/>
        </w:rPr>
      </w:pPr>
      <w:r>
        <w:rPr>
          <w:rFonts w:ascii="宋体" w:hAnsi="宋体" w:eastAsia="宋体" w:cs="宋体"/>
          <w:color w:val="231F20"/>
          <w:spacing w:val="13"/>
          <w:sz w:val="20"/>
          <w:szCs w:val="20"/>
        </w:rPr>
        <w:t>3.全面宣传引导</w:t>
      </w:r>
    </w:p>
    <w:p>
      <w:pPr>
        <w:spacing w:before="54" w:line="267" w:lineRule="auto"/>
        <w:ind w:left="517" w:right="146" w:firstLine="436"/>
        <w:rPr>
          <w:rFonts w:ascii="宋体" w:hAnsi="宋体" w:eastAsia="宋体" w:cs="宋体"/>
          <w:sz w:val="20"/>
          <w:szCs w:val="20"/>
        </w:rPr>
      </w:pPr>
      <w:r>
        <w:rPr>
          <w:rFonts w:ascii="宋体" w:hAnsi="宋体" w:eastAsia="宋体" w:cs="宋体"/>
          <w:color w:val="231F20"/>
          <w:spacing w:val="4"/>
          <w:sz w:val="20"/>
          <w:szCs w:val="20"/>
        </w:rPr>
        <w:t>开展全面宣传，</w:t>
      </w:r>
      <w:r>
        <w:rPr>
          <w:rFonts w:ascii="宋体" w:hAnsi="宋体" w:eastAsia="宋体" w:cs="宋体"/>
          <w:color w:val="231F20"/>
          <w:spacing w:val="-13"/>
          <w:sz w:val="20"/>
          <w:szCs w:val="20"/>
        </w:rPr>
        <w:t xml:space="preserve"> </w:t>
      </w:r>
      <w:r>
        <w:rPr>
          <w:rFonts w:ascii="宋体" w:hAnsi="宋体" w:eastAsia="宋体" w:cs="宋体"/>
          <w:color w:val="231F20"/>
          <w:spacing w:val="4"/>
          <w:sz w:val="20"/>
          <w:szCs w:val="20"/>
        </w:rPr>
        <w:t>如“‘停课不停教不停学’——</w:t>
      </w:r>
      <w:r>
        <w:rPr>
          <w:rFonts w:ascii="宋体" w:hAnsi="宋体" w:eastAsia="宋体" w:cs="宋体"/>
          <w:color w:val="231F20"/>
          <w:sz w:val="20"/>
          <w:szCs w:val="20"/>
        </w:rPr>
        <w:t xml:space="preserve">   </w:t>
      </w:r>
      <w:r>
        <w:rPr>
          <w:rFonts w:ascii="宋体" w:hAnsi="宋体" w:eastAsia="宋体" w:cs="宋体"/>
          <w:color w:val="231F20"/>
          <w:spacing w:val="18"/>
          <w:sz w:val="20"/>
          <w:szCs w:val="20"/>
        </w:rPr>
        <w:t>我校线上教学纪实”“我校精彩无‘线’在线教学</w:t>
      </w:r>
      <w:r>
        <w:rPr>
          <w:rFonts w:ascii="宋体" w:hAnsi="宋体" w:eastAsia="宋体" w:cs="宋体"/>
          <w:color w:val="231F20"/>
          <w:spacing w:val="3"/>
          <w:sz w:val="20"/>
          <w:szCs w:val="20"/>
        </w:rPr>
        <w:t xml:space="preserve">   </w:t>
      </w:r>
      <w:r>
        <w:rPr>
          <w:rFonts w:ascii="宋体" w:hAnsi="宋体" w:eastAsia="宋体" w:cs="宋体"/>
          <w:color w:val="231F20"/>
          <w:spacing w:val="18"/>
          <w:sz w:val="20"/>
          <w:szCs w:val="20"/>
        </w:rPr>
        <w:t>经验交流会开播”“大数据点赞我校线上教学成效”</w:t>
      </w:r>
      <w:r>
        <w:rPr>
          <w:rFonts w:ascii="宋体" w:hAnsi="宋体" w:eastAsia="宋体" w:cs="宋体"/>
          <w:color w:val="231F20"/>
          <w:spacing w:val="4"/>
          <w:sz w:val="20"/>
          <w:szCs w:val="20"/>
        </w:rPr>
        <w:t xml:space="preserve"> </w:t>
      </w:r>
      <w:r>
        <w:rPr>
          <w:rFonts w:ascii="宋体" w:hAnsi="宋体" w:eastAsia="宋体" w:cs="宋体"/>
          <w:color w:val="231F20"/>
          <w:spacing w:val="18"/>
          <w:sz w:val="20"/>
          <w:szCs w:val="20"/>
        </w:rPr>
        <w:t>（网易新闻报道）等，积极传播正能量，发挥榜样</w:t>
      </w:r>
      <w:r>
        <w:rPr>
          <w:rFonts w:ascii="宋体" w:hAnsi="宋体" w:eastAsia="宋体" w:cs="宋体"/>
          <w:color w:val="231F20"/>
          <w:sz w:val="20"/>
          <w:szCs w:val="20"/>
        </w:rPr>
        <w:t xml:space="preserve">   </w:t>
      </w:r>
      <w:r>
        <w:rPr>
          <w:rFonts w:ascii="宋体" w:hAnsi="宋体" w:eastAsia="宋体" w:cs="宋体"/>
          <w:color w:val="231F20"/>
          <w:spacing w:val="12"/>
          <w:sz w:val="20"/>
          <w:szCs w:val="20"/>
        </w:rPr>
        <w:t>作用，引领教学工作。</w:t>
      </w:r>
    </w:p>
    <w:p>
      <w:pPr>
        <w:spacing w:before="53" w:line="260" w:lineRule="auto"/>
        <w:ind w:left="516" w:right="356" w:firstLine="436"/>
        <w:rPr>
          <w:rFonts w:ascii="宋体" w:hAnsi="宋体" w:eastAsia="宋体" w:cs="宋体"/>
          <w:sz w:val="20"/>
          <w:szCs w:val="20"/>
        </w:rPr>
      </w:pPr>
      <w:r>
        <w:rPr>
          <w:rFonts w:ascii="宋体" w:hAnsi="宋体" w:eastAsia="宋体" w:cs="宋体"/>
          <w:color w:val="231F20"/>
          <w:spacing w:val="30"/>
          <w:sz w:val="20"/>
          <w:szCs w:val="20"/>
        </w:rPr>
        <w:t>通过线上线下结合，课堂内外结合，软硬建</w:t>
      </w:r>
      <w:r>
        <w:rPr>
          <w:rFonts w:ascii="宋体" w:hAnsi="宋体" w:eastAsia="宋体" w:cs="宋体"/>
          <w:color w:val="231F20"/>
          <w:spacing w:val="2"/>
          <w:sz w:val="20"/>
          <w:szCs w:val="20"/>
        </w:rPr>
        <w:t xml:space="preserve"> </w:t>
      </w:r>
      <w:r>
        <w:rPr>
          <w:rFonts w:ascii="宋体" w:hAnsi="宋体" w:eastAsia="宋体" w:cs="宋体"/>
          <w:color w:val="231F20"/>
          <w:spacing w:val="29"/>
          <w:sz w:val="20"/>
          <w:szCs w:val="20"/>
        </w:rPr>
        <w:t>设结合，河南科技大学“以学生为中心”教育质</w:t>
      </w:r>
      <w:r>
        <w:rPr>
          <w:rFonts w:ascii="宋体" w:hAnsi="宋体" w:eastAsia="宋体" w:cs="宋体"/>
          <w:color w:val="231F20"/>
          <w:sz w:val="20"/>
          <w:szCs w:val="20"/>
        </w:rPr>
        <w:t xml:space="preserve"> </w:t>
      </w:r>
      <w:r>
        <w:rPr>
          <w:rFonts w:ascii="宋体" w:hAnsi="宋体" w:eastAsia="宋体" w:cs="宋体"/>
          <w:color w:val="231F20"/>
          <w:spacing w:val="29"/>
          <w:sz w:val="20"/>
          <w:szCs w:val="20"/>
        </w:rPr>
        <w:t>量文化建设初显成效，在推动学校建设和发展中</w:t>
      </w:r>
      <w:r>
        <w:rPr>
          <w:rFonts w:ascii="宋体" w:hAnsi="宋体" w:eastAsia="宋体" w:cs="宋体"/>
          <w:color w:val="231F20"/>
          <w:sz w:val="20"/>
          <w:szCs w:val="20"/>
        </w:rPr>
        <w:t xml:space="preserve"> </w:t>
      </w:r>
      <w:r>
        <w:rPr>
          <w:rFonts w:ascii="宋体" w:hAnsi="宋体" w:eastAsia="宋体" w:cs="宋体"/>
          <w:color w:val="231F20"/>
          <w:spacing w:val="29"/>
          <w:sz w:val="20"/>
          <w:szCs w:val="20"/>
        </w:rPr>
        <w:t>发挥了重要作用。学校顺利通过教育部本科教学</w:t>
      </w:r>
      <w:r>
        <w:rPr>
          <w:rFonts w:ascii="宋体" w:hAnsi="宋体" w:eastAsia="宋体" w:cs="宋体"/>
          <w:color w:val="231F20"/>
          <w:sz w:val="20"/>
          <w:szCs w:val="20"/>
        </w:rPr>
        <w:t xml:space="preserve"> </w:t>
      </w:r>
      <w:r>
        <w:rPr>
          <w:rFonts w:ascii="宋体" w:hAnsi="宋体" w:eastAsia="宋体" w:cs="宋体"/>
          <w:color w:val="231F20"/>
          <w:spacing w:val="27"/>
          <w:sz w:val="20"/>
          <w:szCs w:val="20"/>
        </w:rPr>
        <w:t>审核评估，12个专业通过专业认证。学校被授予</w:t>
      </w:r>
    </w:p>
    <w:p>
      <w:pPr>
        <w:spacing w:line="14" w:lineRule="auto"/>
        <w:rPr>
          <w:rFonts w:ascii="Arial"/>
          <w:sz w:val="2"/>
        </w:rPr>
      </w:pPr>
      <w:r>
        <w:rPr>
          <w:rFonts w:ascii="Arial" w:hAnsi="Arial" w:eastAsia="Arial" w:cs="Arial"/>
          <w:sz w:val="2"/>
          <w:szCs w:val="2"/>
        </w:rPr>
        <w:br w:type="column"/>
      </w:r>
    </w:p>
    <w:p>
      <w:pPr>
        <w:spacing w:before="41" w:line="270" w:lineRule="auto"/>
        <w:ind w:left="3" w:hanging="3"/>
        <w:jc w:val="both"/>
        <w:rPr>
          <w:rFonts w:ascii="宋体" w:hAnsi="宋体" w:eastAsia="宋体" w:cs="宋体"/>
          <w:sz w:val="20"/>
          <w:szCs w:val="20"/>
        </w:rPr>
      </w:pPr>
      <w:r>
        <w:rPr>
          <w:rFonts w:ascii="宋体" w:hAnsi="宋体" w:eastAsia="宋体" w:cs="宋体"/>
          <w:color w:val="231F20"/>
          <w:spacing w:val="19"/>
          <w:sz w:val="20"/>
          <w:szCs w:val="20"/>
        </w:rPr>
        <w:t>“全国创业教育示范高校”“全国青年创业</w:t>
      </w:r>
      <w:r>
        <w:rPr>
          <w:rFonts w:ascii="宋体" w:hAnsi="宋体" w:eastAsia="宋体" w:cs="宋体"/>
          <w:color w:val="231F20"/>
          <w:spacing w:val="18"/>
          <w:sz w:val="20"/>
          <w:szCs w:val="20"/>
        </w:rPr>
        <w:t>教育先</w:t>
      </w:r>
      <w:r>
        <w:rPr>
          <w:rFonts w:ascii="宋体" w:hAnsi="宋体" w:eastAsia="宋体" w:cs="宋体"/>
          <w:color w:val="231F20"/>
          <w:sz w:val="20"/>
          <w:szCs w:val="20"/>
        </w:rPr>
        <w:t xml:space="preserve"> </w:t>
      </w:r>
      <w:r>
        <w:rPr>
          <w:rFonts w:ascii="宋体" w:hAnsi="宋体" w:eastAsia="宋体" w:cs="宋体"/>
          <w:color w:val="231F20"/>
          <w:spacing w:val="29"/>
          <w:sz w:val="20"/>
          <w:szCs w:val="20"/>
        </w:rPr>
        <w:t>进集体”“全国高校创业教育研究与实践先进单</w:t>
      </w:r>
      <w:r>
        <w:rPr>
          <w:rFonts w:ascii="宋体" w:hAnsi="宋体" w:eastAsia="宋体" w:cs="宋体"/>
          <w:color w:val="231F20"/>
          <w:spacing w:val="1"/>
          <w:sz w:val="20"/>
          <w:szCs w:val="20"/>
        </w:rPr>
        <w:t xml:space="preserve"> </w:t>
      </w:r>
      <w:r>
        <w:rPr>
          <w:rFonts w:ascii="宋体" w:hAnsi="宋体" w:eastAsia="宋体" w:cs="宋体"/>
          <w:color w:val="231F20"/>
          <w:spacing w:val="19"/>
          <w:sz w:val="20"/>
          <w:szCs w:val="20"/>
        </w:rPr>
        <w:t xml:space="preserve">位”“全国大学生 </w:t>
      </w:r>
      <w:r>
        <w:rPr>
          <w:rFonts w:ascii="宋体" w:hAnsi="宋体" w:eastAsia="宋体" w:cs="宋体"/>
          <w:color w:val="231F20"/>
          <w:sz w:val="20"/>
          <w:szCs w:val="20"/>
        </w:rPr>
        <w:t>KAB</w:t>
      </w:r>
      <w:r>
        <w:rPr>
          <w:rFonts w:ascii="宋体" w:hAnsi="宋体" w:eastAsia="宋体" w:cs="宋体"/>
          <w:color w:val="231F20"/>
          <w:spacing w:val="19"/>
          <w:sz w:val="20"/>
          <w:szCs w:val="20"/>
        </w:rPr>
        <w:t>创业教育基地”“河南省首</w:t>
      </w:r>
      <w:r>
        <w:rPr>
          <w:rFonts w:ascii="宋体" w:hAnsi="宋体" w:eastAsia="宋体" w:cs="宋体"/>
          <w:color w:val="231F20"/>
          <w:spacing w:val="13"/>
          <w:sz w:val="20"/>
          <w:szCs w:val="20"/>
        </w:rPr>
        <w:t xml:space="preserve"> </w:t>
      </w:r>
      <w:r>
        <w:rPr>
          <w:rFonts w:ascii="宋体" w:hAnsi="宋体" w:eastAsia="宋体" w:cs="宋体"/>
          <w:color w:val="231F20"/>
          <w:spacing w:val="21"/>
          <w:sz w:val="20"/>
          <w:szCs w:val="20"/>
        </w:rPr>
        <w:t>批双创基地”等称号。在第四届中国“互联网＋”</w:t>
      </w:r>
      <w:r>
        <w:rPr>
          <w:rFonts w:ascii="宋体" w:hAnsi="宋体" w:eastAsia="宋体" w:cs="宋体"/>
          <w:color w:val="231F20"/>
          <w:spacing w:val="17"/>
          <w:sz w:val="20"/>
          <w:szCs w:val="20"/>
        </w:rPr>
        <w:t xml:space="preserve"> </w:t>
      </w:r>
      <w:r>
        <w:rPr>
          <w:rFonts w:ascii="宋体" w:hAnsi="宋体" w:eastAsia="宋体" w:cs="宋体"/>
          <w:color w:val="231F20"/>
          <w:spacing w:val="3"/>
          <w:sz w:val="20"/>
          <w:szCs w:val="20"/>
        </w:rPr>
        <w:t>大学生创新创业大赛国赛中， 获金奖</w:t>
      </w:r>
      <w:r>
        <w:rPr>
          <w:rFonts w:ascii="宋体" w:hAnsi="宋体" w:eastAsia="宋体" w:cs="宋体"/>
          <w:color w:val="231F20"/>
          <w:spacing w:val="-43"/>
          <w:sz w:val="20"/>
          <w:szCs w:val="20"/>
        </w:rPr>
        <w:t xml:space="preserve"> </w:t>
      </w:r>
      <w:r>
        <w:rPr>
          <w:rFonts w:ascii="宋体" w:hAnsi="宋体" w:eastAsia="宋体" w:cs="宋体"/>
          <w:color w:val="231F20"/>
          <w:spacing w:val="3"/>
          <w:sz w:val="20"/>
          <w:szCs w:val="20"/>
        </w:rPr>
        <w:t>1项、银奖</w:t>
      </w:r>
      <w:r>
        <w:rPr>
          <w:rFonts w:ascii="宋体" w:hAnsi="宋体" w:eastAsia="宋体" w:cs="宋体"/>
          <w:color w:val="231F20"/>
          <w:spacing w:val="-51"/>
          <w:sz w:val="20"/>
          <w:szCs w:val="20"/>
        </w:rPr>
        <w:t xml:space="preserve"> </w:t>
      </w:r>
      <w:r>
        <w:rPr>
          <w:rFonts w:ascii="宋体" w:hAnsi="宋体" w:eastAsia="宋体" w:cs="宋体"/>
          <w:color w:val="231F20"/>
          <w:spacing w:val="3"/>
          <w:sz w:val="20"/>
          <w:szCs w:val="20"/>
        </w:rPr>
        <w:t>2</w:t>
      </w:r>
      <w:r>
        <w:rPr>
          <w:rFonts w:ascii="宋体" w:hAnsi="宋体" w:eastAsia="宋体" w:cs="宋体"/>
          <w:color w:val="231F20"/>
          <w:spacing w:val="2"/>
          <w:sz w:val="20"/>
          <w:szCs w:val="20"/>
        </w:rPr>
        <w:t>项、</w:t>
      </w:r>
      <w:r>
        <w:rPr>
          <w:rFonts w:ascii="宋体" w:hAnsi="宋体" w:eastAsia="宋体" w:cs="宋体"/>
          <w:color w:val="231F20"/>
          <w:sz w:val="20"/>
          <w:szCs w:val="20"/>
        </w:rPr>
        <w:t xml:space="preserve"> </w:t>
      </w:r>
      <w:r>
        <w:rPr>
          <w:rFonts w:ascii="宋体" w:hAnsi="宋体" w:eastAsia="宋体" w:cs="宋体"/>
          <w:color w:val="231F20"/>
          <w:spacing w:val="20"/>
          <w:sz w:val="20"/>
          <w:szCs w:val="20"/>
        </w:rPr>
        <w:t>铜奖</w:t>
      </w:r>
      <w:r>
        <w:rPr>
          <w:rFonts w:ascii="宋体" w:hAnsi="宋体" w:eastAsia="宋体" w:cs="宋体"/>
          <w:color w:val="231F20"/>
          <w:spacing w:val="-29"/>
          <w:sz w:val="20"/>
          <w:szCs w:val="20"/>
        </w:rPr>
        <w:t xml:space="preserve"> </w:t>
      </w:r>
      <w:r>
        <w:rPr>
          <w:rFonts w:ascii="宋体" w:hAnsi="宋体" w:eastAsia="宋体" w:cs="宋体"/>
          <w:color w:val="231F20"/>
          <w:spacing w:val="20"/>
          <w:sz w:val="20"/>
          <w:szCs w:val="20"/>
        </w:rPr>
        <w:t>3项，获奖级别和数量位居全国高校前列、河</w:t>
      </w:r>
      <w:r>
        <w:rPr>
          <w:rFonts w:ascii="宋体" w:hAnsi="宋体" w:eastAsia="宋体" w:cs="宋体"/>
          <w:color w:val="231F20"/>
          <w:sz w:val="20"/>
          <w:szCs w:val="20"/>
        </w:rPr>
        <w:t xml:space="preserve"> </w:t>
      </w:r>
      <w:r>
        <w:rPr>
          <w:rFonts w:ascii="宋体" w:hAnsi="宋体" w:eastAsia="宋体" w:cs="宋体"/>
          <w:color w:val="231F20"/>
          <w:spacing w:val="8"/>
          <w:sz w:val="20"/>
          <w:szCs w:val="20"/>
        </w:rPr>
        <w:t>南省首位。</w:t>
      </w:r>
    </w:p>
    <w:p>
      <w:pPr>
        <w:spacing w:before="57" w:line="267" w:lineRule="auto"/>
        <w:ind w:left="5" w:right="17" w:firstLine="437"/>
        <w:rPr>
          <w:rFonts w:ascii="宋体" w:hAnsi="宋体" w:eastAsia="宋体" w:cs="宋体"/>
          <w:sz w:val="12"/>
          <w:szCs w:val="12"/>
        </w:rPr>
      </w:pPr>
      <w:r>
        <w:rPr>
          <w:rFonts w:ascii="宋体" w:hAnsi="宋体" w:eastAsia="宋体" w:cs="宋体"/>
          <w:color w:val="231F20"/>
          <w:spacing w:val="18"/>
          <w:sz w:val="20"/>
          <w:szCs w:val="20"/>
        </w:rPr>
        <w:t>新时代背景下，我国高等教育快速发展，高校</w:t>
      </w:r>
      <w:r>
        <w:rPr>
          <w:rFonts w:ascii="宋体" w:hAnsi="宋体" w:eastAsia="宋体" w:cs="宋体"/>
          <w:color w:val="231F20"/>
          <w:spacing w:val="12"/>
          <w:sz w:val="20"/>
          <w:szCs w:val="20"/>
        </w:rPr>
        <w:t xml:space="preserve"> </w:t>
      </w:r>
      <w:r>
        <w:rPr>
          <w:rFonts w:ascii="宋体" w:hAnsi="宋体" w:eastAsia="宋体" w:cs="宋体"/>
          <w:color w:val="231F20"/>
          <w:spacing w:val="18"/>
          <w:sz w:val="20"/>
          <w:szCs w:val="20"/>
        </w:rPr>
        <w:t>人才培养质量日益成为大众关注的焦点，重塑以学</w:t>
      </w:r>
      <w:r>
        <w:rPr>
          <w:rFonts w:ascii="宋体" w:hAnsi="宋体" w:eastAsia="宋体" w:cs="宋体"/>
          <w:color w:val="231F20"/>
          <w:spacing w:val="11"/>
          <w:sz w:val="20"/>
          <w:szCs w:val="20"/>
        </w:rPr>
        <w:t xml:space="preserve"> </w:t>
      </w:r>
      <w:r>
        <w:rPr>
          <w:rFonts w:ascii="宋体" w:hAnsi="宋体" w:eastAsia="宋体" w:cs="宋体"/>
          <w:color w:val="231F20"/>
          <w:spacing w:val="18"/>
          <w:sz w:val="20"/>
          <w:szCs w:val="20"/>
        </w:rPr>
        <w:t>生为中心的高等教育质量文化，从理念、制度、行</w:t>
      </w:r>
      <w:r>
        <w:rPr>
          <w:rFonts w:ascii="宋体" w:hAnsi="宋体" w:eastAsia="宋体" w:cs="宋体"/>
          <w:color w:val="231F20"/>
          <w:spacing w:val="11"/>
          <w:sz w:val="20"/>
          <w:szCs w:val="20"/>
        </w:rPr>
        <w:t xml:space="preserve"> </w:t>
      </w:r>
      <w:r>
        <w:rPr>
          <w:rFonts w:ascii="宋体" w:hAnsi="宋体" w:eastAsia="宋体" w:cs="宋体"/>
          <w:color w:val="231F20"/>
          <w:spacing w:val="18"/>
          <w:sz w:val="20"/>
          <w:szCs w:val="20"/>
        </w:rPr>
        <w:t>为和环境等各个方面出发，培育注重学生学习能力</w:t>
      </w:r>
      <w:r>
        <w:rPr>
          <w:rFonts w:ascii="宋体" w:hAnsi="宋体" w:eastAsia="宋体" w:cs="宋体"/>
          <w:color w:val="231F20"/>
          <w:spacing w:val="11"/>
          <w:sz w:val="20"/>
          <w:szCs w:val="20"/>
        </w:rPr>
        <w:t xml:space="preserve"> </w:t>
      </w:r>
      <w:r>
        <w:rPr>
          <w:rFonts w:ascii="宋体" w:hAnsi="宋体" w:eastAsia="宋体" w:cs="宋体"/>
          <w:color w:val="231F20"/>
          <w:spacing w:val="18"/>
          <w:sz w:val="20"/>
          <w:szCs w:val="20"/>
        </w:rPr>
        <w:t>培育，强调为学生全面发展服务的质量意识和质量</w:t>
      </w:r>
      <w:r>
        <w:rPr>
          <w:rFonts w:ascii="宋体" w:hAnsi="宋体" w:eastAsia="宋体" w:cs="宋体"/>
          <w:color w:val="231F20"/>
          <w:spacing w:val="11"/>
          <w:sz w:val="20"/>
          <w:szCs w:val="20"/>
        </w:rPr>
        <w:t xml:space="preserve"> </w:t>
      </w:r>
      <w:r>
        <w:rPr>
          <w:rFonts w:ascii="宋体" w:hAnsi="宋体" w:eastAsia="宋体" w:cs="宋体"/>
          <w:color w:val="231F20"/>
          <w:spacing w:val="15"/>
          <w:sz w:val="20"/>
          <w:szCs w:val="20"/>
        </w:rPr>
        <w:t>文化，并从技术层面上更新，从文化层面上开拓，</w:t>
      </w:r>
      <w:r>
        <w:rPr>
          <w:rFonts w:ascii="宋体" w:hAnsi="宋体" w:eastAsia="宋体" w:cs="宋体"/>
          <w:color w:val="231F20"/>
          <w:spacing w:val="9"/>
          <w:sz w:val="20"/>
          <w:szCs w:val="20"/>
        </w:rPr>
        <w:t xml:space="preserve">  </w:t>
      </w:r>
      <w:r>
        <w:rPr>
          <w:rFonts w:ascii="宋体" w:hAnsi="宋体" w:eastAsia="宋体" w:cs="宋体"/>
          <w:color w:val="231F20"/>
          <w:spacing w:val="18"/>
          <w:sz w:val="20"/>
          <w:szCs w:val="20"/>
        </w:rPr>
        <w:t>完整体现高等教育质量为本的丰富价值。在教育教</w:t>
      </w:r>
      <w:r>
        <w:rPr>
          <w:rFonts w:ascii="宋体" w:hAnsi="宋体" w:eastAsia="宋体" w:cs="宋体"/>
          <w:color w:val="231F20"/>
          <w:spacing w:val="11"/>
          <w:sz w:val="20"/>
          <w:szCs w:val="20"/>
        </w:rPr>
        <w:t xml:space="preserve"> </w:t>
      </w:r>
      <w:r>
        <w:rPr>
          <w:rFonts w:ascii="宋体" w:hAnsi="宋体" w:eastAsia="宋体" w:cs="宋体"/>
          <w:color w:val="231F20"/>
          <w:spacing w:val="6"/>
          <w:sz w:val="20"/>
          <w:szCs w:val="20"/>
        </w:rPr>
        <w:t>学质量保障体系建设中， 积累深厚的质量文化底蕴，</w:t>
      </w:r>
      <w:r>
        <w:rPr>
          <w:rFonts w:ascii="宋体" w:hAnsi="宋体" w:eastAsia="宋体" w:cs="宋体"/>
          <w:color w:val="231F20"/>
          <w:spacing w:val="16"/>
          <w:sz w:val="20"/>
          <w:szCs w:val="20"/>
        </w:rPr>
        <w:t xml:space="preserve"> </w:t>
      </w:r>
      <w:r>
        <w:rPr>
          <w:rFonts w:ascii="宋体" w:hAnsi="宋体" w:eastAsia="宋体" w:cs="宋体"/>
          <w:color w:val="231F20"/>
          <w:spacing w:val="18"/>
          <w:sz w:val="20"/>
          <w:szCs w:val="20"/>
        </w:rPr>
        <w:t>树立共同的质量文化追求，促进高等教育的可持续</w:t>
      </w:r>
      <w:r>
        <w:rPr>
          <w:rFonts w:ascii="宋体" w:hAnsi="宋体" w:eastAsia="宋体" w:cs="宋体"/>
          <w:color w:val="231F20"/>
          <w:spacing w:val="11"/>
          <w:sz w:val="20"/>
          <w:szCs w:val="20"/>
        </w:rPr>
        <w:t xml:space="preserve"> </w:t>
      </w:r>
      <w:r>
        <w:rPr>
          <w:rFonts w:ascii="宋体" w:hAnsi="宋体" w:eastAsia="宋体" w:cs="宋体"/>
          <w:color w:val="231F20"/>
          <w:spacing w:val="5"/>
          <w:sz w:val="20"/>
          <w:szCs w:val="20"/>
        </w:rPr>
        <w:t>发展和人才培养质量的不断提高。</w:t>
      </w:r>
      <w:r>
        <w:rPr>
          <w:rFonts w:ascii="宋体" w:hAnsi="宋体" w:eastAsia="宋体" w:cs="宋体"/>
          <w:color w:val="231F20"/>
          <w:spacing w:val="78"/>
          <w:sz w:val="20"/>
          <w:szCs w:val="20"/>
        </w:rPr>
        <w:t xml:space="preserve"> </w:t>
      </w:r>
      <w:r>
        <w:rPr>
          <w:rFonts w:ascii="宋体" w:hAnsi="宋体" w:eastAsia="宋体" w:cs="宋体"/>
          <w:color w:val="231F20"/>
          <w:spacing w:val="5"/>
          <w:position w:val="13"/>
          <w:sz w:val="12"/>
          <w:szCs w:val="12"/>
        </w:rPr>
        <w:t>[4]</w:t>
      </w:r>
    </w:p>
    <w:p>
      <w:pPr>
        <w:spacing w:before="264" w:line="223" w:lineRule="auto"/>
        <w:ind w:left="456"/>
        <w:rPr>
          <w:rFonts w:ascii="黑体" w:hAnsi="黑体" w:eastAsia="黑体" w:cs="黑体"/>
          <w:sz w:val="16"/>
          <w:szCs w:val="16"/>
        </w:rPr>
      </w:pPr>
      <w:r>
        <w:rPr>
          <w:rFonts w:ascii="黑体" w:hAnsi="黑体" w:eastAsia="黑体" w:cs="黑体"/>
          <w:color w:val="231F20"/>
          <w:spacing w:val="1"/>
          <w:sz w:val="16"/>
          <w:szCs w:val="16"/>
        </w:rPr>
        <w:t>参考文献：</w:t>
      </w:r>
    </w:p>
    <w:p>
      <w:pPr>
        <w:spacing w:before="12" w:line="177" w:lineRule="auto"/>
        <w:ind w:left="6" w:right="68" w:firstLine="458"/>
        <w:rPr>
          <w:rFonts w:ascii="微软雅黑" w:hAnsi="微软雅黑" w:eastAsia="微软雅黑" w:cs="微软雅黑"/>
          <w:sz w:val="16"/>
          <w:szCs w:val="16"/>
        </w:rPr>
      </w:pPr>
      <w:r>
        <w:rPr>
          <w:rFonts w:ascii="微软雅黑" w:hAnsi="微软雅黑" w:eastAsia="微软雅黑" w:cs="微软雅黑"/>
          <w:color w:val="231F20"/>
          <w:spacing w:val="1"/>
          <w:sz w:val="16"/>
          <w:szCs w:val="16"/>
        </w:rPr>
        <w:t>[1] 别敦荣，  易梦春 . 高等教育质量文化及其建设策略 [J]. 高</w:t>
      </w:r>
      <w:r>
        <w:rPr>
          <w:rFonts w:ascii="微软雅黑" w:hAnsi="微软雅黑" w:eastAsia="微软雅黑" w:cs="微软雅黑"/>
          <w:color w:val="231F20"/>
          <w:spacing w:val="13"/>
          <w:w w:val="101"/>
          <w:sz w:val="16"/>
          <w:szCs w:val="16"/>
        </w:rPr>
        <w:t xml:space="preserve"> </w:t>
      </w:r>
      <w:r>
        <w:rPr>
          <w:rFonts w:ascii="微软雅黑" w:hAnsi="微软雅黑" w:eastAsia="微软雅黑" w:cs="微软雅黑"/>
          <w:color w:val="231F20"/>
          <w:spacing w:val="5"/>
          <w:sz w:val="16"/>
          <w:szCs w:val="16"/>
        </w:rPr>
        <w:t>等教育研究，2021，42（3</w:t>
      </w:r>
      <w:r>
        <w:rPr>
          <w:rFonts w:ascii="微软雅黑" w:hAnsi="微软雅黑" w:eastAsia="微软雅黑" w:cs="微软雅黑"/>
          <w:color w:val="231F20"/>
          <w:spacing w:val="8"/>
          <w:sz w:val="16"/>
          <w:szCs w:val="16"/>
        </w:rPr>
        <w:t>）：</w:t>
      </w:r>
      <w:r>
        <w:rPr>
          <w:rFonts w:ascii="微软雅黑" w:hAnsi="微软雅黑" w:eastAsia="微软雅黑" w:cs="微软雅黑"/>
          <w:color w:val="231F20"/>
          <w:spacing w:val="5"/>
          <w:sz w:val="16"/>
          <w:szCs w:val="16"/>
        </w:rPr>
        <w:t>10.</w:t>
      </w:r>
    </w:p>
    <w:p>
      <w:pPr>
        <w:spacing w:before="3" w:line="177" w:lineRule="auto"/>
        <w:ind w:left="10" w:right="68" w:firstLine="454"/>
        <w:rPr>
          <w:rFonts w:ascii="微软雅黑" w:hAnsi="微软雅黑" w:eastAsia="微软雅黑" w:cs="微软雅黑"/>
          <w:sz w:val="16"/>
          <w:szCs w:val="16"/>
        </w:rPr>
      </w:pPr>
      <w:r>
        <w:rPr>
          <w:rFonts w:ascii="微软雅黑" w:hAnsi="微软雅黑" w:eastAsia="微软雅黑" w:cs="微软雅黑"/>
          <w:color w:val="231F20"/>
          <w:spacing w:val="4"/>
          <w:sz w:val="16"/>
          <w:szCs w:val="16"/>
        </w:rPr>
        <w:t>[2] 曹曦 . 高等院校教育质量文化建设的意义与策略 [J]. 黑河</w:t>
      </w:r>
      <w:r>
        <w:rPr>
          <w:rFonts w:ascii="微软雅黑" w:hAnsi="微软雅黑" w:eastAsia="微软雅黑" w:cs="微软雅黑"/>
          <w:color w:val="231F20"/>
          <w:spacing w:val="5"/>
          <w:sz w:val="16"/>
          <w:szCs w:val="16"/>
        </w:rPr>
        <w:t xml:space="preserve"> </w:t>
      </w:r>
      <w:r>
        <w:rPr>
          <w:rFonts w:ascii="微软雅黑" w:hAnsi="微软雅黑" w:eastAsia="微软雅黑" w:cs="微软雅黑"/>
          <w:color w:val="231F20"/>
          <w:spacing w:val="4"/>
          <w:sz w:val="16"/>
          <w:szCs w:val="16"/>
        </w:rPr>
        <w:t>学院学报，2019（9</w:t>
      </w:r>
      <w:r>
        <w:rPr>
          <w:rFonts w:ascii="微软雅黑" w:hAnsi="微软雅黑" w:eastAsia="微软雅黑" w:cs="微软雅黑"/>
          <w:color w:val="231F20"/>
          <w:spacing w:val="12"/>
          <w:sz w:val="16"/>
          <w:szCs w:val="16"/>
        </w:rPr>
        <w:t>）：</w:t>
      </w:r>
      <w:r>
        <w:rPr>
          <w:rFonts w:ascii="微软雅黑" w:hAnsi="微软雅黑" w:eastAsia="微软雅黑" w:cs="微软雅黑"/>
          <w:color w:val="231F20"/>
          <w:spacing w:val="4"/>
          <w:sz w:val="16"/>
          <w:szCs w:val="16"/>
        </w:rPr>
        <w:t>89.</w:t>
      </w:r>
    </w:p>
    <w:p>
      <w:pPr>
        <w:spacing w:before="4" w:line="178" w:lineRule="auto"/>
        <w:ind w:left="2" w:right="67" w:firstLine="462"/>
        <w:rPr>
          <w:rFonts w:ascii="微软雅黑" w:hAnsi="微软雅黑" w:eastAsia="微软雅黑" w:cs="微软雅黑"/>
          <w:sz w:val="16"/>
          <w:szCs w:val="16"/>
        </w:rPr>
      </w:pPr>
      <w:r>
        <w:rPr>
          <w:rFonts w:ascii="微软雅黑" w:hAnsi="微软雅黑" w:eastAsia="微软雅黑" w:cs="微软雅黑"/>
          <w:color w:val="231F20"/>
          <w:spacing w:val="9"/>
          <w:sz w:val="16"/>
          <w:szCs w:val="16"/>
        </w:rPr>
        <w:t>[3] 刘文君 . 以质量文化建设推动高校教育质量改进的路径</w:t>
      </w:r>
      <w:r>
        <w:rPr>
          <w:rFonts w:ascii="微软雅黑" w:hAnsi="微软雅黑" w:eastAsia="微软雅黑" w:cs="微软雅黑"/>
          <w:color w:val="231F20"/>
          <w:spacing w:val="18"/>
          <w:w w:val="101"/>
          <w:sz w:val="16"/>
          <w:szCs w:val="16"/>
        </w:rPr>
        <w:t xml:space="preserve"> </w:t>
      </w:r>
      <w:r>
        <w:rPr>
          <w:rFonts w:ascii="微软雅黑" w:hAnsi="微软雅黑" w:eastAsia="微软雅黑" w:cs="微软雅黑"/>
          <w:color w:val="231F20"/>
          <w:spacing w:val="5"/>
          <w:sz w:val="16"/>
          <w:szCs w:val="16"/>
        </w:rPr>
        <w:t>研究 [J]. 佳木斯职业学院学报，2021（8</w:t>
      </w:r>
      <w:r>
        <w:rPr>
          <w:rFonts w:ascii="微软雅黑" w:hAnsi="微软雅黑" w:eastAsia="微软雅黑" w:cs="微软雅黑"/>
          <w:color w:val="231F20"/>
          <w:spacing w:val="10"/>
          <w:sz w:val="16"/>
          <w:szCs w:val="16"/>
        </w:rPr>
        <w:t>）：</w:t>
      </w:r>
      <w:r>
        <w:rPr>
          <w:rFonts w:ascii="微软雅黑" w:hAnsi="微软雅黑" w:eastAsia="微软雅黑" w:cs="微软雅黑"/>
          <w:color w:val="231F20"/>
          <w:spacing w:val="5"/>
          <w:sz w:val="16"/>
          <w:szCs w:val="16"/>
        </w:rPr>
        <w:t>128.</w:t>
      </w:r>
    </w:p>
    <w:p>
      <w:pPr>
        <w:spacing w:line="177" w:lineRule="auto"/>
        <w:ind w:left="4" w:right="68" w:firstLine="460"/>
        <w:rPr>
          <w:rFonts w:ascii="微软雅黑" w:hAnsi="微软雅黑" w:eastAsia="微软雅黑" w:cs="微软雅黑"/>
          <w:sz w:val="16"/>
          <w:szCs w:val="16"/>
        </w:rPr>
      </w:pPr>
      <w:r>
        <w:rPr>
          <w:rFonts w:ascii="微软雅黑" w:hAnsi="微软雅黑" w:eastAsia="微软雅黑" w:cs="微软雅黑"/>
          <w:color w:val="231F20"/>
          <w:spacing w:val="5"/>
          <w:sz w:val="16"/>
          <w:szCs w:val="16"/>
        </w:rPr>
        <w:t>[4]</w:t>
      </w:r>
      <w:r>
        <w:rPr>
          <w:rFonts w:ascii="微软雅黑" w:hAnsi="微软雅黑" w:eastAsia="微软雅黑" w:cs="微软雅黑"/>
          <w:color w:val="231F20"/>
          <w:spacing w:val="-10"/>
          <w:sz w:val="16"/>
          <w:szCs w:val="16"/>
        </w:rPr>
        <w:t xml:space="preserve"> </w:t>
      </w:r>
      <w:r>
        <w:rPr>
          <w:rFonts w:ascii="微软雅黑" w:hAnsi="微软雅黑" w:eastAsia="微软雅黑" w:cs="微软雅黑"/>
          <w:color w:val="231F20"/>
          <w:spacing w:val="5"/>
          <w:sz w:val="16"/>
          <w:szCs w:val="16"/>
        </w:rPr>
        <w:t>唐文 .</w:t>
      </w:r>
      <w:r>
        <w:rPr>
          <w:rFonts w:ascii="微软雅黑" w:hAnsi="微软雅黑" w:eastAsia="微软雅黑" w:cs="微软雅黑"/>
          <w:color w:val="231F20"/>
          <w:spacing w:val="-7"/>
          <w:sz w:val="16"/>
          <w:szCs w:val="16"/>
        </w:rPr>
        <w:t xml:space="preserve"> </w:t>
      </w:r>
      <w:r>
        <w:rPr>
          <w:rFonts w:ascii="微软雅黑" w:hAnsi="微软雅黑" w:eastAsia="微软雅黑" w:cs="微软雅黑"/>
          <w:color w:val="231F20"/>
          <w:spacing w:val="5"/>
          <w:sz w:val="16"/>
          <w:szCs w:val="16"/>
        </w:rPr>
        <w:t xml:space="preserve">培育以学生为中心的高等教育质量文化 [J]. </w:t>
      </w:r>
      <w:r>
        <w:rPr>
          <w:rFonts w:ascii="微软雅黑" w:hAnsi="微软雅黑" w:eastAsia="微软雅黑" w:cs="微软雅黑"/>
          <w:color w:val="231F20"/>
          <w:spacing w:val="4"/>
          <w:sz w:val="16"/>
          <w:szCs w:val="16"/>
        </w:rPr>
        <w:t>江苏高</w:t>
      </w:r>
      <w:r>
        <w:rPr>
          <w:rFonts w:ascii="微软雅黑" w:hAnsi="微软雅黑" w:eastAsia="微软雅黑" w:cs="微软雅黑"/>
          <w:color w:val="231F20"/>
          <w:sz w:val="16"/>
          <w:szCs w:val="16"/>
        </w:rPr>
        <w:t xml:space="preserve"> </w:t>
      </w:r>
      <w:r>
        <w:rPr>
          <w:rFonts w:ascii="微软雅黑" w:hAnsi="微软雅黑" w:eastAsia="微软雅黑" w:cs="微软雅黑"/>
          <w:color w:val="231F20"/>
          <w:spacing w:val="2"/>
          <w:sz w:val="16"/>
          <w:szCs w:val="16"/>
        </w:rPr>
        <w:t>教，2009（6</w:t>
      </w:r>
      <w:r>
        <w:rPr>
          <w:rFonts w:ascii="微软雅黑" w:hAnsi="微软雅黑" w:eastAsia="微软雅黑" w:cs="微软雅黑"/>
          <w:color w:val="231F20"/>
          <w:spacing w:val="10"/>
          <w:sz w:val="16"/>
          <w:szCs w:val="16"/>
        </w:rPr>
        <w:t>）：</w:t>
      </w:r>
      <w:r>
        <w:rPr>
          <w:rFonts w:ascii="微软雅黑" w:hAnsi="微软雅黑" w:eastAsia="微软雅黑" w:cs="微软雅黑"/>
          <w:color w:val="231F20"/>
          <w:spacing w:val="2"/>
          <w:sz w:val="16"/>
          <w:szCs w:val="16"/>
        </w:rPr>
        <w:t>50-52.</w:t>
      </w:r>
    </w:p>
    <w:p>
      <w:pPr>
        <w:spacing w:before="81" w:line="209" w:lineRule="auto"/>
        <w:ind w:left="3465"/>
        <w:rPr>
          <w:rFonts w:ascii="黑体" w:hAnsi="黑体" w:eastAsia="黑体" w:cs="黑体"/>
          <w:sz w:val="16"/>
          <w:szCs w:val="16"/>
        </w:rPr>
      </w:pPr>
      <w:r>
        <w:rPr>
          <w:rFonts w:ascii="黑体" w:hAnsi="黑体" w:eastAsia="黑体" w:cs="黑体"/>
          <w:color w:val="231F20"/>
          <w:spacing w:val="7"/>
          <w:sz w:val="16"/>
          <w:szCs w:val="16"/>
        </w:rPr>
        <w:t>责任编辑：赵世鹏</w:t>
      </w:r>
    </w:p>
    <w:p>
      <w:pPr>
        <w:spacing w:line="209" w:lineRule="auto"/>
        <w:rPr>
          <w:rFonts w:ascii="黑体" w:hAnsi="黑体" w:eastAsia="黑体" w:cs="黑体"/>
          <w:sz w:val="16"/>
          <w:szCs w:val="16"/>
        </w:rPr>
        <w:sectPr>
          <w:type w:val="continuous"/>
          <w:pgSz w:w="11906" w:h="16158"/>
          <w:pgMar w:top="1039" w:right="830" w:bottom="547" w:left="407" w:header="819" w:footer="354" w:gutter="0"/>
          <w:cols w:equalWidth="0" w:num="2">
            <w:col w:w="5684" w:space="100"/>
            <w:col w:w="4884"/>
          </w:cols>
        </w:sectPr>
      </w:pPr>
    </w:p>
    <w:p>
      <w:pPr>
        <w:spacing w:line="253" w:lineRule="auto"/>
        <w:rPr>
          <w:rFonts w:ascii="Arial"/>
          <w:sz w:val="21"/>
        </w:rPr>
      </w:pPr>
      <w:r>
        <w:drawing>
          <wp:anchor distT="0" distB="0" distL="0" distR="0" simplePos="0" relativeHeight="251712512" behindDoc="0" locked="0" layoutInCell="0" allowOverlap="1">
            <wp:simplePos x="0" y="0"/>
            <wp:positionH relativeFrom="page">
              <wp:posOffset>718185</wp:posOffset>
            </wp:positionH>
            <wp:positionV relativeFrom="page">
              <wp:posOffset>612775</wp:posOffset>
            </wp:positionV>
            <wp:extent cx="6118860" cy="635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7"/>
                    <a:stretch>
                      <a:fillRect/>
                    </a:stretch>
                  </pic:blipFill>
                  <pic:spPr>
                    <a:xfrm>
                      <a:off x="0" y="0"/>
                      <a:ext cx="6118859" cy="6350"/>
                    </a:xfrm>
                    <a:prstGeom prst="rect">
                      <a:avLst/>
                    </a:prstGeom>
                  </pic:spPr>
                </pic:pic>
              </a:graphicData>
            </a:graphic>
          </wp:anchor>
        </w:drawing>
      </w:r>
      <w:r>
        <w:pict>
          <v:shape id="_x0000_s1061" o:spid="_x0000_s1061" style="position:absolute;left:0pt;margin-left:56.7pt;margin-top:752.3pt;height:0.35pt;width:62.75pt;mso-position-horizontal-relative:page;mso-position-vertical-relative:page;z-index:251713536;mso-width-relative:page;mso-height-relative:page;" filled="f" stroked="t" coordsize="1255,6" o:allowincell="f" path="m0,3l1254,3e">
            <v:fill on="f" focussize="0,0"/>
            <v:stroke weight="0.33pt" color="#000000" miterlimit="10" joinstyle="miter"/>
            <v:imagedata o:title=""/>
            <o:lock v:ext="edit"/>
          </v:shape>
        </w:pict>
      </w:r>
    </w:p>
    <w:p>
      <w:pPr>
        <w:spacing w:line="254" w:lineRule="auto"/>
        <w:rPr>
          <w:rFonts w:ascii="Arial"/>
          <w:sz w:val="21"/>
        </w:rPr>
      </w:pPr>
    </w:p>
    <w:p>
      <w:pPr>
        <w:spacing w:line="254" w:lineRule="auto"/>
        <w:rPr>
          <w:rFonts w:ascii="Arial"/>
          <w:sz w:val="21"/>
        </w:rPr>
      </w:pPr>
    </w:p>
    <w:p>
      <w:pPr>
        <w:spacing w:before="166" w:line="236" w:lineRule="auto"/>
        <w:ind w:left="2015"/>
        <w:rPr>
          <w:rFonts w:ascii="黑体" w:hAnsi="黑体" w:eastAsia="黑体" w:cs="黑体"/>
          <w:sz w:val="51"/>
          <w:szCs w:val="51"/>
        </w:rPr>
      </w:pPr>
      <w:r>
        <w:rPr>
          <w:rFonts w:ascii="黑体" w:hAnsi="黑体" w:eastAsia="黑体" w:cs="黑体"/>
          <w:spacing w:val="34"/>
          <w:sz w:val="51"/>
          <w:szCs w:val="51"/>
        </w:rPr>
        <w:t>一流本科教育视域中地方高校</w:t>
      </w:r>
    </w:p>
    <w:p>
      <w:pPr>
        <w:spacing w:before="1" w:line="210" w:lineRule="auto"/>
        <w:ind w:left="2829"/>
        <w:rPr>
          <w:rFonts w:ascii="黑体" w:hAnsi="黑体" w:eastAsia="黑体" w:cs="黑体"/>
          <w:sz w:val="51"/>
          <w:szCs w:val="51"/>
        </w:rPr>
      </w:pPr>
      <w:r>
        <w:rPr>
          <w:rFonts w:ascii="黑体" w:hAnsi="黑体" w:eastAsia="黑体" w:cs="黑体"/>
          <w:spacing w:val="33"/>
          <w:sz w:val="51"/>
          <w:szCs w:val="51"/>
        </w:rPr>
        <w:t>大学质量文化建设探究</w:t>
      </w:r>
    </w:p>
    <w:p>
      <w:pPr>
        <w:spacing w:line="278" w:lineRule="auto"/>
        <w:rPr>
          <w:rFonts w:ascii="Arial"/>
          <w:sz w:val="21"/>
        </w:rPr>
      </w:pPr>
    </w:p>
    <w:p>
      <w:pPr>
        <w:pStyle w:val="2"/>
        <w:spacing w:before="95" w:line="199" w:lineRule="auto"/>
        <w:ind w:left="4554"/>
        <w:rPr>
          <w:rFonts w:ascii="新宋体" w:hAnsi="新宋体" w:eastAsia="新宋体" w:cs="新宋体"/>
          <w:sz w:val="29"/>
          <w:szCs w:val="29"/>
        </w:rPr>
      </w:pPr>
      <w:r>
        <w:rPr>
          <w:rFonts w:ascii="新宋体" w:hAnsi="新宋体" w:eastAsia="新宋体" w:cs="新宋体"/>
          <w:spacing w:val="-5"/>
          <w:sz w:val="29"/>
          <w:szCs w:val="29"/>
        </w:rPr>
        <w:t>尹者金</w:t>
      </w:r>
      <w:r>
        <w:rPr>
          <w:spacing w:val="-5"/>
          <w:position w:val="1"/>
          <w:sz w:val="29"/>
          <w:szCs w:val="29"/>
        </w:rPr>
        <w:t>，</w:t>
      </w:r>
      <w:r>
        <w:rPr>
          <w:rFonts w:ascii="新宋体" w:hAnsi="新宋体" w:eastAsia="新宋体" w:cs="新宋体"/>
          <w:spacing w:val="-5"/>
          <w:sz w:val="29"/>
          <w:szCs w:val="29"/>
        </w:rPr>
        <w:t>潘成云</w:t>
      </w:r>
    </w:p>
    <w:p>
      <w:pPr>
        <w:spacing w:before="127" w:line="191" w:lineRule="auto"/>
        <w:ind w:left="4326"/>
        <w:rPr>
          <w:rFonts w:ascii="宋体" w:hAnsi="宋体" w:eastAsia="宋体" w:cs="宋体"/>
          <w:sz w:val="17"/>
          <w:szCs w:val="17"/>
        </w:rPr>
      </w:pPr>
      <w:r>
        <w:rPr>
          <w:rFonts w:ascii="宋体" w:hAnsi="宋体" w:eastAsia="宋体" w:cs="宋体"/>
          <w:spacing w:val="-6"/>
          <w:sz w:val="17"/>
          <w:szCs w:val="17"/>
        </w:rPr>
        <w:t xml:space="preserve">(扬州大学，江苏 扬州  </w:t>
      </w:r>
      <w:r>
        <w:rPr>
          <w:rFonts w:ascii="微软雅黑" w:hAnsi="微软雅黑" w:eastAsia="微软雅黑" w:cs="微软雅黑"/>
          <w:spacing w:val="-6"/>
          <w:sz w:val="17"/>
          <w:szCs w:val="17"/>
        </w:rPr>
        <w:t>225009</w:t>
      </w:r>
      <w:r>
        <w:rPr>
          <w:rFonts w:ascii="宋体" w:hAnsi="宋体" w:eastAsia="宋体" w:cs="宋体"/>
          <w:spacing w:val="-6"/>
          <w:sz w:val="17"/>
          <w:szCs w:val="17"/>
        </w:rPr>
        <w:t>)</w:t>
      </w:r>
    </w:p>
    <w:p>
      <w:pPr>
        <w:spacing w:line="315" w:lineRule="auto"/>
        <w:rPr>
          <w:rFonts w:ascii="Arial"/>
          <w:sz w:val="21"/>
        </w:rPr>
      </w:pPr>
    </w:p>
    <w:p>
      <w:pPr>
        <w:pStyle w:val="2"/>
        <w:spacing w:before="56" w:line="236" w:lineRule="auto"/>
        <w:ind w:left="737" w:right="4" w:firstLine="354"/>
        <w:jc w:val="both"/>
        <w:rPr>
          <w:rFonts w:ascii="微软雅黑" w:hAnsi="微软雅黑" w:eastAsia="微软雅黑" w:cs="微软雅黑"/>
          <w:sz w:val="17"/>
          <w:szCs w:val="17"/>
        </w:rPr>
      </w:pPr>
      <w:r>
        <w:rPr>
          <w:rFonts w:ascii="黑体" w:hAnsi="黑体" w:eastAsia="黑体" w:cs="黑体"/>
          <w:spacing w:val="8"/>
          <w:sz w:val="17"/>
          <w:szCs w:val="17"/>
        </w:rPr>
        <w:t>摘要</w:t>
      </w:r>
      <w:r>
        <w:rPr>
          <w:rFonts w:ascii="黑体" w:hAnsi="黑体" w:eastAsia="黑体" w:cs="黑体"/>
          <w:spacing w:val="-46"/>
          <w:sz w:val="17"/>
          <w:szCs w:val="17"/>
        </w:rPr>
        <w:t xml:space="preserve"> </w:t>
      </w:r>
      <w:r>
        <w:rPr>
          <w:rFonts w:ascii="新宋体" w:hAnsi="新宋体" w:eastAsia="新宋体" w:cs="新宋体"/>
          <w:spacing w:val="8"/>
          <w:sz w:val="17"/>
          <w:szCs w:val="17"/>
        </w:rPr>
        <w:t>:</w:t>
      </w:r>
      <w:r>
        <w:rPr>
          <w:rFonts w:ascii="新宋体" w:hAnsi="新宋体" w:eastAsia="新宋体" w:cs="新宋体"/>
          <w:spacing w:val="-25"/>
          <w:sz w:val="17"/>
          <w:szCs w:val="17"/>
        </w:rPr>
        <w:t xml:space="preserve"> </w:t>
      </w:r>
      <w:r>
        <w:rPr>
          <w:rFonts w:ascii="新宋体" w:hAnsi="新宋体" w:eastAsia="新宋体" w:cs="新宋体"/>
          <w:spacing w:val="8"/>
          <w:sz w:val="17"/>
          <w:szCs w:val="17"/>
        </w:rPr>
        <w:t>大学质量文化是大学文化的核心内容与重要组成部分</w:t>
      </w:r>
      <w:r>
        <w:rPr>
          <w:spacing w:val="8"/>
          <w:sz w:val="17"/>
          <w:szCs w:val="17"/>
        </w:rPr>
        <w:t>，</w:t>
      </w:r>
      <w:r>
        <w:rPr>
          <w:rFonts w:ascii="新宋体" w:hAnsi="新宋体" w:eastAsia="新宋体" w:cs="新宋体"/>
          <w:spacing w:val="8"/>
          <w:sz w:val="17"/>
          <w:szCs w:val="17"/>
        </w:rPr>
        <w:t>在一流本科教的视域中</w:t>
      </w:r>
      <w:r>
        <w:rPr>
          <w:spacing w:val="8"/>
          <w:sz w:val="17"/>
          <w:szCs w:val="17"/>
        </w:rPr>
        <w:t>，</w:t>
      </w:r>
      <w:r>
        <w:rPr>
          <w:rFonts w:ascii="新宋体" w:hAnsi="新宋体" w:eastAsia="新宋体" w:cs="新宋体"/>
          <w:spacing w:val="8"/>
          <w:sz w:val="17"/>
          <w:szCs w:val="17"/>
        </w:rPr>
        <w:t>大学质量文化也</w:t>
      </w:r>
      <w:r>
        <w:rPr>
          <w:rFonts w:ascii="新宋体" w:hAnsi="新宋体" w:eastAsia="新宋体" w:cs="新宋体"/>
          <w:spacing w:val="7"/>
          <w:sz w:val="17"/>
          <w:szCs w:val="17"/>
        </w:rPr>
        <w:t>是培养一流人才</w:t>
      </w:r>
      <w:r>
        <w:rPr>
          <w:rFonts w:ascii="新宋体" w:hAnsi="新宋体" w:eastAsia="新宋体" w:cs="新宋体"/>
          <w:sz w:val="17"/>
          <w:szCs w:val="17"/>
        </w:rPr>
        <w:t xml:space="preserve"> </w:t>
      </w:r>
      <w:r>
        <w:rPr>
          <w:rFonts w:ascii="新宋体" w:hAnsi="新宋体" w:eastAsia="新宋体" w:cs="新宋体"/>
          <w:spacing w:val="8"/>
          <w:sz w:val="17"/>
          <w:szCs w:val="17"/>
        </w:rPr>
        <w:t>的核心与基础</w:t>
      </w:r>
      <w:r>
        <w:rPr>
          <w:spacing w:val="8"/>
          <w:sz w:val="17"/>
          <w:szCs w:val="17"/>
        </w:rPr>
        <w:t>，</w:t>
      </w:r>
      <w:r>
        <w:rPr>
          <w:rFonts w:ascii="新宋体" w:hAnsi="新宋体" w:eastAsia="新宋体" w:cs="新宋体"/>
          <w:spacing w:val="8"/>
          <w:sz w:val="17"/>
          <w:szCs w:val="17"/>
        </w:rPr>
        <w:t>对于保障人才培养质量具有潜移默化的作用</w:t>
      </w:r>
      <w:r>
        <w:rPr>
          <w:rFonts w:ascii="微软雅黑" w:hAnsi="微软雅黑" w:eastAsia="微软雅黑" w:cs="微软雅黑"/>
          <w:spacing w:val="8"/>
          <w:sz w:val="17"/>
          <w:szCs w:val="17"/>
        </w:rPr>
        <w:t>。</w:t>
      </w:r>
      <w:r>
        <w:rPr>
          <w:rFonts w:ascii="新宋体" w:hAnsi="新宋体" w:eastAsia="新宋体" w:cs="新宋体"/>
          <w:spacing w:val="8"/>
          <w:sz w:val="17"/>
          <w:szCs w:val="17"/>
        </w:rPr>
        <w:t>地方高校也要加强一流本科教育</w:t>
      </w:r>
      <w:r>
        <w:rPr>
          <w:spacing w:val="8"/>
          <w:sz w:val="17"/>
          <w:szCs w:val="17"/>
        </w:rPr>
        <w:t>，</w:t>
      </w:r>
      <w:r>
        <w:rPr>
          <w:rFonts w:ascii="新宋体" w:hAnsi="新宋体" w:eastAsia="新宋体" w:cs="新宋体"/>
          <w:spacing w:val="8"/>
          <w:sz w:val="17"/>
          <w:szCs w:val="17"/>
        </w:rPr>
        <w:t>要在应用型人才培养上办出</w:t>
      </w:r>
      <w:r>
        <w:rPr>
          <w:rFonts w:ascii="新宋体" w:hAnsi="新宋体" w:eastAsia="新宋体" w:cs="新宋体"/>
          <w:spacing w:val="6"/>
          <w:sz w:val="17"/>
          <w:szCs w:val="17"/>
        </w:rPr>
        <w:t xml:space="preserve"> </w:t>
      </w:r>
      <w:r>
        <w:rPr>
          <w:rFonts w:ascii="新宋体" w:hAnsi="新宋体" w:eastAsia="新宋体" w:cs="新宋体"/>
          <w:spacing w:val="8"/>
          <w:sz w:val="17"/>
          <w:szCs w:val="17"/>
        </w:rPr>
        <w:t>特色与争创一流</w:t>
      </w:r>
      <w:r>
        <w:rPr>
          <w:spacing w:val="8"/>
          <w:sz w:val="17"/>
          <w:szCs w:val="17"/>
        </w:rPr>
        <w:t>，</w:t>
      </w:r>
      <w:r>
        <w:rPr>
          <w:rFonts w:ascii="新宋体" w:hAnsi="新宋体" w:eastAsia="新宋体" w:cs="新宋体"/>
          <w:spacing w:val="8"/>
          <w:sz w:val="17"/>
          <w:szCs w:val="17"/>
        </w:rPr>
        <w:t>大学质量文化建设的价值取向是特色培养</w:t>
      </w:r>
      <w:r>
        <w:rPr>
          <w:rFonts w:ascii="微软雅黑" w:hAnsi="微软雅黑" w:eastAsia="微软雅黑" w:cs="微软雅黑"/>
          <w:spacing w:val="8"/>
          <w:sz w:val="17"/>
          <w:szCs w:val="17"/>
        </w:rPr>
        <w:t>、</w:t>
      </w:r>
      <w:r>
        <w:rPr>
          <w:rFonts w:ascii="新宋体" w:hAnsi="新宋体" w:eastAsia="新宋体" w:cs="新宋体"/>
          <w:spacing w:val="8"/>
          <w:sz w:val="17"/>
          <w:szCs w:val="17"/>
        </w:rPr>
        <w:t>全面管理</w:t>
      </w:r>
      <w:r>
        <w:rPr>
          <w:rFonts w:ascii="微软雅黑" w:hAnsi="微软雅黑" w:eastAsia="微软雅黑" w:cs="微软雅黑"/>
          <w:spacing w:val="8"/>
          <w:sz w:val="17"/>
          <w:szCs w:val="17"/>
        </w:rPr>
        <w:t>、</w:t>
      </w:r>
      <w:r>
        <w:rPr>
          <w:rFonts w:ascii="新宋体" w:hAnsi="新宋体" w:eastAsia="新宋体" w:cs="新宋体"/>
          <w:spacing w:val="8"/>
          <w:sz w:val="17"/>
          <w:szCs w:val="17"/>
        </w:rPr>
        <w:t>学生本位和</w:t>
      </w:r>
      <w:r>
        <w:rPr>
          <w:rFonts w:ascii="新宋体" w:hAnsi="新宋体" w:eastAsia="新宋体" w:cs="新宋体"/>
          <w:spacing w:val="7"/>
          <w:sz w:val="17"/>
          <w:szCs w:val="17"/>
        </w:rPr>
        <w:t>产出导向</w:t>
      </w:r>
      <w:r>
        <w:rPr>
          <w:rFonts w:ascii="微软雅黑" w:hAnsi="微软雅黑" w:eastAsia="微软雅黑" w:cs="微软雅黑"/>
          <w:spacing w:val="7"/>
          <w:sz w:val="17"/>
          <w:szCs w:val="17"/>
        </w:rPr>
        <w:t>。</w:t>
      </w:r>
      <w:r>
        <w:rPr>
          <w:rFonts w:ascii="微软雅黑" w:hAnsi="微软雅黑" w:eastAsia="微软雅黑" w:cs="微软雅黑"/>
          <w:spacing w:val="-27"/>
          <w:sz w:val="17"/>
          <w:szCs w:val="17"/>
        </w:rPr>
        <w:t xml:space="preserve"> </w:t>
      </w:r>
      <w:r>
        <w:rPr>
          <w:rFonts w:ascii="新宋体" w:hAnsi="新宋体" w:eastAsia="新宋体" w:cs="新宋体"/>
          <w:spacing w:val="7"/>
          <w:sz w:val="17"/>
          <w:szCs w:val="17"/>
        </w:rPr>
        <w:t>大学质量文化的建设要把握</w:t>
      </w:r>
      <w:r>
        <w:rPr>
          <w:rFonts w:ascii="新宋体" w:hAnsi="新宋体" w:eastAsia="新宋体" w:cs="新宋体"/>
          <w:sz w:val="17"/>
          <w:szCs w:val="17"/>
        </w:rPr>
        <w:t xml:space="preserve"> </w:t>
      </w:r>
      <w:r>
        <w:rPr>
          <w:rFonts w:ascii="新宋体" w:hAnsi="新宋体" w:eastAsia="新宋体" w:cs="新宋体"/>
          <w:spacing w:val="8"/>
          <w:sz w:val="17"/>
          <w:szCs w:val="17"/>
        </w:rPr>
        <w:t>学校的办学思想及教学观念</w:t>
      </w:r>
      <w:r>
        <w:rPr>
          <w:rFonts w:ascii="微软雅黑" w:hAnsi="微软雅黑" w:eastAsia="微软雅黑" w:cs="微软雅黑"/>
          <w:spacing w:val="8"/>
          <w:sz w:val="17"/>
          <w:szCs w:val="17"/>
        </w:rPr>
        <w:t>、</w:t>
      </w:r>
      <w:r>
        <w:rPr>
          <w:rFonts w:ascii="新宋体" w:hAnsi="新宋体" w:eastAsia="新宋体" w:cs="新宋体"/>
          <w:spacing w:val="8"/>
          <w:sz w:val="17"/>
          <w:szCs w:val="17"/>
        </w:rPr>
        <w:t>质量管理的制度体系</w:t>
      </w:r>
      <w:r>
        <w:rPr>
          <w:rFonts w:ascii="微软雅黑" w:hAnsi="微软雅黑" w:eastAsia="微软雅黑" w:cs="微软雅黑"/>
          <w:spacing w:val="8"/>
          <w:sz w:val="17"/>
          <w:szCs w:val="17"/>
        </w:rPr>
        <w:t>、</w:t>
      </w:r>
      <w:r>
        <w:rPr>
          <w:rFonts w:ascii="新宋体" w:hAnsi="新宋体" w:eastAsia="新宋体" w:cs="新宋体"/>
          <w:spacing w:val="8"/>
          <w:sz w:val="17"/>
          <w:szCs w:val="17"/>
        </w:rPr>
        <w:t>崇尚质量的校园氛围和高校的外部评价机制等影响要素</w:t>
      </w:r>
      <w:r>
        <w:rPr>
          <w:spacing w:val="8"/>
          <w:sz w:val="17"/>
          <w:szCs w:val="17"/>
        </w:rPr>
        <w:t>，</w:t>
      </w:r>
      <w:r>
        <w:rPr>
          <w:rFonts w:ascii="新宋体" w:hAnsi="新宋体" w:eastAsia="新宋体" w:cs="新宋体"/>
          <w:spacing w:val="8"/>
          <w:sz w:val="17"/>
          <w:szCs w:val="17"/>
        </w:rPr>
        <w:t>注重激发教师</w:t>
      </w:r>
      <w:r>
        <w:rPr>
          <w:rFonts w:ascii="新宋体" w:hAnsi="新宋体" w:eastAsia="新宋体" w:cs="新宋体"/>
          <w:spacing w:val="7"/>
          <w:sz w:val="17"/>
          <w:szCs w:val="17"/>
        </w:rPr>
        <w:t xml:space="preserve"> 与学生的参与热情</w:t>
      </w:r>
      <w:r>
        <w:rPr>
          <w:spacing w:val="7"/>
          <w:sz w:val="17"/>
          <w:szCs w:val="17"/>
        </w:rPr>
        <w:t>，</w:t>
      </w:r>
      <w:r>
        <w:rPr>
          <w:rFonts w:ascii="新宋体" w:hAnsi="新宋体" w:eastAsia="新宋体" w:cs="新宋体"/>
          <w:spacing w:val="7"/>
          <w:sz w:val="17"/>
          <w:szCs w:val="17"/>
        </w:rPr>
        <w:t>从而为地方高校的内涵式发展提供持续不断的动力</w:t>
      </w:r>
      <w:r>
        <w:rPr>
          <w:rFonts w:ascii="微软雅黑" w:hAnsi="微软雅黑" w:eastAsia="微软雅黑" w:cs="微软雅黑"/>
          <w:spacing w:val="7"/>
          <w:sz w:val="17"/>
          <w:szCs w:val="17"/>
        </w:rPr>
        <w:t>。</w:t>
      </w:r>
    </w:p>
    <w:sdt>
      <w:sdtPr>
        <w:rPr>
          <w:rFonts w:ascii="黑体" w:hAnsi="黑体" w:eastAsia="黑体" w:cs="黑体"/>
          <w:sz w:val="17"/>
          <w:szCs w:val="17"/>
        </w:rPr>
        <w:id w:val="5"/>
        <w:docPartObj>
          <w:docPartGallery w:val="Table of Contents"/>
          <w:docPartUnique/>
        </w:docPartObj>
      </w:sdtPr>
      <w:sdtEndPr>
        <w:rPr>
          <w:rFonts w:ascii="微软雅黑" w:hAnsi="微软雅黑" w:eastAsia="微软雅黑" w:cs="微软雅黑"/>
          <w:sz w:val="17"/>
          <w:szCs w:val="17"/>
        </w:rPr>
      </w:sdtEndPr>
      <w:sdtContent>
        <w:p>
          <w:pPr>
            <w:pStyle w:val="2"/>
            <w:spacing w:before="62" w:line="214" w:lineRule="auto"/>
            <w:ind w:left="1100"/>
            <w:rPr>
              <w:rFonts w:ascii="新宋体" w:hAnsi="新宋体" w:eastAsia="新宋体" w:cs="新宋体"/>
              <w:sz w:val="17"/>
              <w:szCs w:val="17"/>
            </w:rPr>
          </w:pPr>
          <w:r>
            <w:rPr>
              <w:rFonts w:ascii="黑体" w:hAnsi="黑体" w:eastAsia="黑体" w:cs="黑体"/>
              <w:spacing w:val="-1"/>
              <w:sz w:val="17"/>
              <w:szCs w:val="17"/>
            </w:rPr>
            <w:t>关键词</w:t>
          </w:r>
          <w:r>
            <w:rPr>
              <w:rFonts w:ascii="黑体" w:hAnsi="黑体" w:eastAsia="黑体" w:cs="黑体"/>
              <w:spacing w:val="-32"/>
              <w:sz w:val="17"/>
              <w:szCs w:val="17"/>
            </w:rPr>
            <w:t xml:space="preserve"> </w:t>
          </w:r>
          <w:r>
            <w:rPr>
              <w:rFonts w:ascii="新宋体" w:hAnsi="新宋体" w:eastAsia="新宋体" w:cs="新宋体"/>
              <w:spacing w:val="-1"/>
              <w:sz w:val="17"/>
              <w:szCs w:val="17"/>
            </w:rPr>
            <w:t>:</w:t>
          </w:r>
          <w:r>
            <w:rPr>
              <w:rFonts w:ascii="新宋体" w:hAnsi="新宋体" w:eastAsia="新宋体" w:cs="新宋体"/>
              <w:spacing w:val="-37"/>
              <w:sz w:val="17"/>
              <w:szCs w:val="17"/>
            </w:rPr>
            <w:t xml:space="preserve"> </w:t>
          </w:r>
          <w:r>
            <w:rPr>
              <w:rFonts w:ascii="新宋体" w:hAnsi="新宋体" w:eastAsia="新宋体" w:cs="新宋体"/>
              <w:spacing w:val="-1"/>
              <w:sz w:val="17"/>
              <w:szCs w:val="17"/>
            </w:rPr>
            <w:t>一流本科教育</w:t>
          </w:r>
          <w:r>
            <w:rPr>
              <w:spacing w:val="-1"/>
              <w:sz w:val="17"/>
              <w:szCs w:val="17"/>
            </w:rPr>
            <w:t>;</w:t>
          </w:r>
          <w:r>
            <w:rPr>
              <w:spacing w:val="-28"/>
              <w:sz w:val="17"/>
              <w:szCs w:val="17"/>
            </w:rPr>
            <w:t xml:space="preserve"> </w:t>
          </w:r>
          <w:r>
            <w:rPr>
              <w:rFonts w:ascii="新宋体" w:hAnsi="新宋体" w:eastAsia="新宋体" w:cs="新宋体"/>
              <w:spacing w:val="-1"/>
              <w:sz w:val="17"/>
              <w:szCs w:val="17"/>
            </w:rPr>
            <w:t>大学质量文化</w:t>
          </w:r>
          <w:r>
            <w:rPr>
              <w:spacing w:val="-1"/>
              <w:sz w:val="17"/>
              <w:szCs w:val="17"/>
            </w:rPr>
            <w:t>;</w:t>
          </w:r>
          <w:r>
            <w:rPr>
              <w:spacing w:val="-43"/>
              <w:sz w:val="17"/>
              <w:szCs w:val="17"/>
            </w:rPr>
            <w:t xml:space="preserve"> </w:t>
          </w:r>
          <w:r>
            <w:rPr>
              <w:rFonts w:ascii="新宋体" w:hAnsi="新宋体" w:eastAsia="新宋体" w:cs="新宋体"/>
              <w:spacing w:val="-1"/>
              <w:sz w:val="17"/>
              <w:szCs w:val="17"/>
            </w:rPr>
            <w:t>地方高校</w:t>
          </w:r>
          <w:r>
            <w:rPr>
              <w:spacing w:val="-1"/>
              <w:sz w:val="17"/>
              <w:szCs w:val="17"/>
            </w:rPr>
            <w:t>;</w:t>
          </w:r>
          <w:r>
            <w:rPr>
              <w:spacing w:val="-19"/>
              <w:sz w:val="17"/>
              <w:szCs w:val="17"/>
            </w:rPr>
            <w:t xml:space="preserve"> </w:t>
          </w:r>
          <w:r>
            <w:rPr>
              <w:rFonts w:ascii="新宋体" w:hAnsi="新宋体" w:eastAsia="新宋体" w:cs="新宋体"/>
              <w:spacing w:val="-1"/>
              <w:sz w:val="17"/>
              <w:szCs w:val="17"/>
            </w:rPr>
            <w:t>以本为本</w:t>
          </w:r>
        </w:p>
        <w:p>
          <w:pPr>
            <w:spacing w:before="82" w:line="201" w:lineRule="auto"/>
            <w:ind w:left="1107"/>
            <w:rPr>
              <w:rFonts w:ascii="微软雅黑" w:hAnsi="微软雅黑" w:eastAsia="微软雅黑" w:cs="微软雅黑"/>
              <w:sz w:val="17"/>
              <w:szCs w:val="17"/>
            </w:rPr>
          </w:pPr>
          <w:r>
            <w:rPr>
              <w:rFonts w:ascii="黑体" w:hAnsi="黑体" w:eastAsia="黑体" w:cs="黑体"/>
              <w:spacing w:val="-6"/>
              <w:sz w:val="17"/>
              <w:szCs w:val="17"/>
            </w:rPr>
            <w:t>中图分类号</w:t>
          </w:r>
          <w:r>
            <w:rPr>
              <w:rFonts w:ascii="黑体" w:hAnsi="黑体" w:eastAsia="黑体" w:cs="黑体"/>
              <w:spacing w:val="-38"/>
              <w:sz w:val="17"/>
              <w:szCs w:val="17"/>
            </w:rPr>
            <w:t xml:space="preserve"> </w:t>
          </w:r>
          <w:r>
            <w:rPr>
              <w:rFonts w:ascii="新宋体" w:hAnsi="新宋体" w:eastAsia="新宋体" w:cs="新宋体"/>
              <w:spacing w:val="-6"/>
              <w:sz w:val="17"/>
              <w:szCs w:val="17"/>
            </w:rPr>
            <w:t>:</w:t>
          </w:r>
          <w:r>
            <w:rPr>
              <w:rFonts w:ascii="新宋体" w:hAnsi="新宋体" w:eastAsia="新宋体" w:cs="新宋体"/>
              <w:spacing w:val="-38"/>
              <w:sz w:val="17"/>
              <w:szCs w:val="17"/>
            </w:rPr>
            <w:t xml:space="preserve"> </w:t>
          </w:r>
          <w:r>
            <w:rPr>
              <w:rFonts w:ascii="微软雅黑" w:hAnsi="微软雅黑" w:eastAsia="微软雅黑" w:cs="微软雅黑"/>
              <w:spacing w:val="-6"/>
              <w:sz w:val="17"/>
              <w:szCs w:val="17"/>
            </w:rPr>
            <w:t xml:space="preserve">G640                       </w:t>
          </w:r>
          <w:r>
            <w:rPr>
              <w:rFonts w:ascii="黑体" w:hAnsi="黑体" w:eastAsia="黑体" w:cs="黑体"/>
              <w:spacing w:val="-6"/>
              <w:sz w:val="17"/>
              <w:szCs w:val="17"/>
            </w:rPr>
            <w:t>文献标志码</w:t>
          </w:r>
          <w:r>
            <w:rPr>
              <w:rFonts w:ascii="黑体" w:hAnsi="黑体" w:eastAsia="黑体" w:cs="黑体"/>
              <w:spacing w:val="-46"/>
              <w:sz w:val="17"/>
              <w:szCs w:val="17"/>
            </w:rPr>
            <w:t xml:space="preserve"> </w:t>
          </w:r>
          <w:r>
            <w:rPr>
              <w:rFonts w:ascii="新宋体" w:hAnsi="新宋体" w:eastAsia="新宋体" w:cs="新宋体"/>
              <w:spacing w:val="-6"/>
              <w:sz w:val="17"/>
              <w:szCs w:val="17"/>
            </w:rPr>
            <w:t>:</w:t>
          </w:r>
          <w:r>
            <w:rPr>
              <w:rFonts w:ascii="新宋体" w:hAnsi="新宋体" w:eastAsia="新宋体" w:cs="新宋体"/>
              <w:spacing w:val="-42"/>
              <w:sz w:val="17"/>
              <w:szCs w:val="17"/>
            </w:rPr>
            <w:t xml:space="preserve"> </w:t>
          </w:r>
          <w:r>
            <w:rPr>
              <w:rFonts w:ascii="微软雅黑" w:hAnsi="微软雅黑" w:eastAsia="微软雅黑" w:cs="微软雅黑"/>
              <w:spacing w:val="-6"/>
              <w:sz w:val="17"/>
              <w:szCs w:val="17"/>
            </w:rPr>
            <w:t xml:space="preserve">A                               </w:t>
          </w:r>
          <w:r>
            <w:rPr>
              <w:rFonts w:ascii="黑体" w:hAnsi="黑体" w:eastAsia="黑体" w:cs="黑体"/>
              <w:spacing w:val="-6"/>
              <w:sz w:val="17"/>
              <w:szCs w:val="17"/>
            </w:rPr>
            <w:t>文章编号</w:t>
          </w:r>
          <w:r>
            <w:rPr>
              <w:rFonts w:ascii="黑体" w:hAnsi="黑体" w:eastAsia="黑体" w:cs="黑体"/>
              <w:spacing w:val="-46"/>
              <w:sz w:val="17"/>
              <w:szCs w:val="17"/>
            </w:rPr>
            <w:t xml:space="preserve"> </w:t>
          </w:r>
          <w:r>
            <w:rPr>
              <w:rFonts w:ascii="新宋体" w:hAnsi="新宋体" w:eastAsia="新宋体" w:cs="新宋体"/>
              <w:spacing w:val="-6"/>
              <w:sz w:val="17"/>
              <w:szCs w:val="17"/>
            </w:rPr>
            <w:t>:</w:t>
          </w:r>
          <w:r>
            <w:rPr>
              <w:rFonts w:ascii="新宋体" w:hAnsi="新宋体" w:eastAsia="新宋体" w:cs="新宋体"/>
              <w:spacing w:val="-36"/>
              <w:sz w:val="17"/>
              <w:szCs w:val="17"/>
            </w:rPr>
            <w:t xml:space="preserve"> </w:t>
          </w:r>
          <w:r>
            <w:rPr>
              <w:rFonts w:ascii="微软雅黑" w:hAnsi="微软雅黑" w:eastAsia="微软雅黑" w:cs="微软雅黑"/>
              <w:spacing w:val="-6"/>
              <w:sz w:val="17"/>
              <w:szCs w:val="17"/>
            </w:rPr>
            <w:t>1003－2614</w:t>
          </w:r>
          <w:r>
            <w:rPr>
              <w:rFonts w:ascii="宋体" w:hAnsi="宋体" w:eastAsia="宋体" w:cs="宋体"/>
              <w:spacing w:val="-6"/>
              <w:sz w:val="17"/>
              <w:szCs w:val="17"/>
            </w:rPr>
            <w:t>(</w:t>
          </w:r>
          <w:r>
            <w:rPr>
              <w:rFonts w:ascii="微软雅黑" w:hAnsi="微软雅黑" w:eastAsia="微软雅黑" w:cs="微软雅黑"/>
              <w:spacing w:val="-6"/>
              <w:sz w:val="17"/>
              <w:szCs w:val="17"/>
            </w:rPr>
            <w:t>2018</w:t>
          </w:r>
          <w:r>
            <w:rPr>
              <w:rFonts w:ascii="宋体" w:hAnsi="宋体" w:eastAsia="宋体" w:cs="宋体"/>
              <w:spacing w:val="-6"/>
              <w:sz w:val="17"/>
              <w:szCs w:val="17"/>
            </w:rPr>
            <w:t xml:space="preserve">) </w:t>
          </w:r>
          <w:r>
            <w:rPr>
              <w:rFonts w:ascii="微软雅黑" w:hAnsi="微软雅黑" w:eastAsia="微软雅黑" w:cs="微软雅黑"/>
              <w:spacing w:val="-6"/>
              <w:sz w:val="17"/>
              <w:szCs w:val="17"/>
            </w:rPr>
            <w:t>12－0049－</w:t>
          </w:r>
          <w:r>
            <w:fldChar w:fldCharType="begin"/>
          </w:r>
          <w:r>
            <w:instrText xml:space="preserve"> HYPERLINK \l "bookmark3" </w:instrText>
          </w:r>
          <w:r>
            <w:fldChar w:fldCharType="separate"/>
          </w:r>
          <w:r>
            <w:rPr>
              <w:rFonts w:ascii="微软雅黑" w:hAnsi="微软雅黑" w:eastAsia="微软雅黑" w:cs="微软雅黑"/>
              <w:spacing w:val="-6"/>
              <w:sz w:val="17"/>
              <w:szCs w:val="17"/>
            </w:rPr>
            <w:t>0</w:t>
          </w:r>
          <w:r>
            <w:rPr>
              <w:rFonts w:ascii="微软雅黑" w:hAnsi="微软雅黑" w:eastAsia="微软雅黑" w:cs="微软雅黑"/>
              <w:spacing w:val="-6"/>
              <w:sz w:val="17"/>
              <w:szCs w:val="17"/>
            </w:rPr>
            <w:fldChar w:fldCharType="end"/>
          </w:r>
          <w:r>
            <w:rPr>
              <w:rFonts w:ascii="微软雅黑" w:hAnsi="微软雅黑" w:eastAsia="微软雅黑" w:cs="微软雅黑"/>
              <w:spacing w:val="-6"/>
              <w:sz w:val="17"/>
              <w:szCs w:val="17"/>
            </w:rPr>
            <w:t>4</w:t>
          </w:r>
        </w:p>
      </w:sdtContent>
    </w:sdt>
    <w:p>
      <w:pPr>
        <w:spacing w:before="57"/>
      </w:pPr>
    </w:p>
    <w:p>
      <w:pPr>
        <w:sectPr>
          <w:headerReference r:id="rId69" w:type="default"/>
          <w:footerReference r:id="rId70" w:type="default"/>
          <w:pgSz w:w="11905" w:h="16836"/>
          <w:pgMar w:top="938" w:right="1133" w:bottom="547" w:left="407" w:header="356" w:footer="354" w:gutter="0"/>
          <w:cols w:equalWidth="0" w:num="1">
            <w:col w:w="10363"/>
          </w:cols>
        </w:sectPr>
      </w:pPr>
    </w:p>
    <w:p>
      <w:pPr>
        <w:spacing w:before="122" w:line="238" w:lineRule="auto"/>
        <w:ind w:left="732" w:right="193" w:firstLine="361"/>
        <w:jc w:val="both"/>
        <w:rPr>
          <w:rFonts w:ascii="微软雅黑" w:hAnsi="微软雅黑" w:eastAsia="微软雅黑" w:cs="微软雅黑"/>
          <w:sz w:val="20"/>
          <w:szCs w:val="20"/>
        </w:rPr>
      </w:pPr>
      <w:r>
        <w:rPr>
          <w:rFonts w:ascii="宋体" w:hAnsi="宋体" w:eastAsia="宋体" w:cs="宋体"/>
          <w:spacing w:val="-19"/>
          <w:sz w:val="20"/>
          <w:szCs w:val="20"/>
        </w:rPr>
        <w:t>大学质量文化是大学文化的核心内容与重要组成部</w:t>
      </w:r>
      <w:r>
        <w:rPr>
          <w:rFonts w:ascii="宋体" w:hAnsi="宋体" w:eastAsia="宋体" w:cs="宋体"/>
          <w:spacing w:val="-20"/>
          <w:sz w:val="20"/>
          <w:szCs w:val="20"/>
        </w:rPr>
        <w:t>分</w:t>
      </w:r>
      <w:r>
        <w:rPr>
          <w:rFonts w:ascii="宋体" w:hAnsi="宋体" w:eastAsia="宋体" w:cs="宋体"/>
          <w:spacing w:val="-20"/>
          <w:position w:val="1"/>
          <w:sz w:val="20"/>
          <w:szCs w:val="20"/>
        </w:rPr>
        <w:t>，</w:t>
      </w:r>
      <w:r>
        <w:rPr>
          <w:rFonts w:ascii="宋体" w:hAnsi="宋体" w:eastAsia="宋体" w:cs="宋体"/>
          <w:position w:val="1"/>
          <w:sz w:val="20"/>
          <w:szCs w:val="20"/>
        </w:rPr>
        <w:t xml:space="preserve"> </w:t>
      </w:r>
      <w:r>
        <w:rPr>
          <w:rFonts w:ascii="宋体" w:hAnsi="宋体" w:eastAsia="宋体" w:cs="宋体"/>
          <w:spacing w:val="-15"/>
          <w:sz w:val="20"/>
          <w:szCs w:val="20"/>
        </w:rPr>
        <w:t>是推进高校内涵发展的重要支撑</w:t>
      </w:r>
      <w:r>
        <w:rPr>
          <w:rFonts w:ascii="微软雅黑" w:hAnsi="微软雅黑" w:eastAsia="微软雅黑" w:cs="微软雅黑"/>
          <w:spacing w:val="-15"/>
          <w:position w:val="1"/>
          <w:sz w:val="20"/>
          <w:szCs w:val="20"/>
        </w:rPr>
        <w:t>。</w:t>
      </w:r>
      <w:r>
        <w:rPr>
          <w:rFonts w:ascii="宋体" w:hAnsi="宋体" w:eastAsia="宋体" w:cs="宋体"/>
          <w:spacing w:val="-15"/>
          <w:sz w:val="20"/>
          <w:szCs w:val="20"/>
        </w:rPr>
        <w:t>办学质量是高校生存与</w:t>
      </w:r>
      <w:r>
        <w:rPr>
          <w:rFonts w:ascii="宋体" w:hAnsi="宋体" w:eastAsia="宋体" w:cs="宋体"/>
          <w:sz w:val="20"/>
          <w:szCs w:val="20"/>
        </w:rPr>
        <w:t xml:space="preserve"> </w:t>
      </w:r>
      <w:r>
        <w:rPr>
          <w:rFonts w:ascii="宋体" w:hAnsi="宋体" w:eastAsia="宋体" w:cs="宋体"/>
          <w:spacing w:val="-18"/>
          <w:w w:val="98"/>
          <w:sz w:val="20"/>
          <w:szCs w:val="20"/>
        </w:rPr>
        <w:t>发展的生命线</w:t>
      </w:r>
      <w:r>
        <w:rPr>
          <w:rFonts w:ascii="宋体" w:hAnsi="宋体" w:eastAsia="宋体" w:cs="宋体"/>
          <w:spacing w:val="-18"/>
          <w:w w:val="98"/>
          <w:position w:val="1"/>
          <w:sz w:val="20"/>
          <w:szCs w:val="20"/>
        </w:rPr>
        <w:t>，</w:t>
      </w:r>
      <w:r>
        <w:rPr>
          <w:rFonts w:ascii="宋体" w:hAnsi="宋体" w:eastAsia="宋体" w:cs="宋体"/>
          <w:spacing w:val="-18"/>
          <w:w w:val="98"/>
          <w:sz w:val="20"/>
          <w:szCs w:val="20"/>
        </w:rPr>
        <w:t>建设大学质量文化可以激发高校</w:t>
      </w:r>
      <w:r>
        <w:rPr>
          <w:rFonts w:ascii="宋体" w:hAnsi="宋体" w:eastAsia="宋体" w:cs="宋体"/>
          <w:spacing w:val="-19"/>
          <w:w w:val="98"/>
          <w:sz w:val="20"/>
          <w:szCs w:val="20"/>
        </w:rPr>
        <w:t>教职工的质</w:t>
      </w:r>
      <w:r>
        <w:rPr>
          <w:rFonts w:ascii="宋体" w:hAnsi="宋体" w:eastAsia="宋体" w:cs="宋体"/>
          <w:sz w:val="20"/>
          <w:szCs w:val="20"/>
        </w:rPr>
        <w:t xml:space="preserve">  </w:t>
      </w:r>
      <w:r>
        <w:rPr>
          <w:rFonts w:ascii="宋体" w:hAnsi="宋体" w:eastAsia="宋体" w:cs="宋体"/>
          <w:spacing w:val="-22"/>
          <w:sz w:val="20"/>
          <w:szCs w:val="20"/>
        </w:rPr>
        <w:t>量意识与质量责任</w:t>
      </w:r>
      <w:r>
        <w:rPr>
          <w:rFonts w:ascii="宋体" w:hAnsi="宋体" w:eastAsia="宋体" w:cs="宋体"/>
          <w:spacing w:val="-22"/>
          <w:position w:val="1"/>
          <w:sz w:val="20"/>
          <w:szCs w:val="20"/>
        </w:rPr>
        <w:t>，</w:t>
      </w:r>
      <w:r>
        <w:rPr>
          <w:rFonts w:ascii="宋体" w:hAnsi="宋体" w:eastAsia="宋体" w:cs="宋体"/>
          <w:spacing w:val="-22"/>
          <w:sz w:val="20"/>
          <w:szCs w:val="20"/>
        </w:rPr>
        <w:t>从而将质量标准内化为自身</w:t>
      </w:r>
      <w:r>
        <w:rPr>
          <w:rFonts w:ascii="宋体" w:hAnsi="宋体" w:eastAsia="宋体" w:cs="宋体"/>
          <w:spacing w:val="-23"/>
          <w:sz w:val="20"/>
          <w:szCs w:val="20"/>
        </w:rPr>
        <w:t>的价值追求</w:t>
      </w:r>
      <w:r>
        <w:rPr>
          <w:rFonts w:ascii="宋体" w:hAnsi="宋体" w:eastAsia="宋体" w:cs="宋体"/>
          <w:sz w:val="20"/>
          <w:szCs w:val="20"/>
        </w:rPr>
        <w:t xml:space="preserve">  </w:t>
      </w:r>
      <w:r>
        <w:rPr>
          <w:rFonts w:ascii="宋体" w:hAnsi="宋体" w:eastAsia="宋体" w:cs="宋体"/>
          <w:spacing w:val="-15"/>
          <w:sz w:val="20"/>
          <w:szCs w:val="20"/>
        </w:rPr>
        <w:t>与行为准则</w:t>
      </w:r>
      <w:r>
        <w:rPr>
          <w:rFonts w:ascii="微软雅黑" w:hAnsi="微软雅黑" w:eastAsia="微软雅黑" w:cs="微软雅黑"/>
          <w:spacing w:val="-15"/>
          <w:position w:val="1"/>
          <w:sz w:val="20"/>
          <w:szCs w:val="20"/>
        </w:rPr>
        <w:t>。</w:t>
      </w:r>
      <w:r>
        <w:rPr>
          <w:rFonts w:ascii="宋体" w:hAnsi="宋体" w:eastAsia="宋体" w:cs="宋体"/>
          <w:spacing w:val="-15"/>
          <w:sz w:val="20"/>
          <w:szCs w:val="20"/>
        </w:rPr>
        <w:t>教育部陈宝生部长在新时代全国高校本</w:t>
      </w:r>
      <w:r>
        <w:rPr>
          <w:rFonts w:ascii="宋体" w:hAnsi="宋体" w:eastAsia="宋体" w:cs="宋体"/>
          <w:spacing w:val="-16"/>
          <w:sz w:val="20"/>
          <w:szCs w:val="20"/>
        </w:rPr>
        <w:t>科教</w:t>
      </w:r>
      <w:r>
        <w:rPr>
          <w:rFonts w:ascii="宋体" w:hAnsi="宋体" w:eastAsia="宋体" w:cs="宋体"/>
          <w:sz w:val="20"/>
          <w:szCs w:val="20"/>
        </w:rPr>
        <w:t xml:space="preserve">  </w:t>
      </w:r>
      <w:r>
        <w:rPr>
          <w:rFonts w:ascii="宋体" w:hAnsi="宋体" w:eastAsia="宋体" w:cs="宋体"/>
          <w:spacing w:val="-15"/>
          <w:sz w:val="20"/>
          <w:szCs w:val="20"/>
        </w:rPr>
        <w:t>学工作会议上提出</w:t>
      </w:r>
      <w:r>
        <w:rPr>
          <w:rFonts w:ascii="宋体" w:hAnsi="宋体" w:eastAsia="宋体" w:cs="宋体"/>
          <w:spacing w:val="-15"/>
          <w:position w:val="1"/>
          <w:sz w:val="20"/>
          <w:szCs w:val="20"/>
        </w:rPr>
        <w:t>，</w:t>
      </w:r>
      <w:r>
        <w:rPr>
          <w:rFonts w:ascii="宋体" w:hAnsi="宋体" w:eastAsia="宋体" w:cs="宋体"/>
          <w:spacing w:val="-15"/>
          <w:sz w:val="20"/>
          <w:szCs w:val="20"/>
        </w:rPr>
        <w:t>建设一流本科要着力推进高校内涵发</w:t>
      </w:r>
      <w:r>
        <w:rPr>
          <w:rFonts w:ascii="宋体" w:hAnsi="宋体" w:eastAsia="宋体" w:cs="宋体"/>
          <w:sz w:val="20"/>
          <w:szCs w:val="20"/>
        </w:rPr>
        <w:t xml:space="preserve"> </w:t>
      </w:r>
      <w:r>
        <w:rPr>
          <w:rFonts w:ascii="宋体" w:hAnsi="宋体" w:eastAsia="宋体" w:cs="宋体"/>
          <w:spacing w:val="-26"/>
          <w:w w:val="97"/>
          <w:sz w:val="20"/>
          <w:szCs w:val="20"/>
        </w:rPr>
        <w:t>展</w:t>
      </w:r>
      <w:r>
        <w:rPr>
          <w:rFonts w:ascii="宋体" w:hAnsi="宋体" w:eastAsia="宋体" w:cs="宋体"/>
          <w:spacing w:val="-26"/>
          <w:w w:val="97"/>
          <w:position w:val="1"/>
          <w:sz w:val="20"/>
          <w:szCs w:val="20"/>
        </w:rPr>
        <w:t>，</w:t>
      </w:r>
      <w:r>
        <w:rPr>
          <w:rFonts w:ascii="宋体" w:hAnsi="宋体" w:eastAsia="宋体" w:cs="宋体"/>
          <w:spacing w:val="-26"/>
          <w:w w:val="97"/>
          <w:sz w:val="20"/>
          <w:szCs w:val="20"/>
        </w:rPr>
        <w:t>要着力建立学生中心</w:t>
      </w:r>
      <w:r>
        <w:rPr>
          <w:rFonts w:ascii="微软雅黑" w:hAnsi="微软雅黑" w:eastAsia="微软雅黑" w:cs="微软雅黑"/>
          <w:spacing w:val="-26"/>
          <w:w w:val="97"/>
          <w:position w:val="1"/>
          <w:sz w:val="20"/>
          <w:szCs w:val="20"/>
        </w:rPr>
        <w:t>、</w:t>
      </w:r>
      <w:r>
        <w:rPr>
          <w:rFonts w:ascii="宋体" w:hAnsi="宋体" w:eastAsia="宋体" w:cs="宋体"/>
          <w:spacing w:val="-26"/>
          <w:w w:val="97"/>
          <w:sz w:val="20"/>
          <w:szCs w:val="20"/>
        </w:rPr>
        <w:t>产出导向</w:t>
      </w:r>
      <w:r>
        <w:rPr>
          <w:rFonts w:ascii="微软雅黑" w:hAnsi="微软雅黑" w:eastAsia="微软雅黑" w:cs="微软雅黑"/>
          <w:spacing w:val="-26"/>
          <w:w w:val="97"/>
          <w:position w:val="1"/>
          <w:sz w:val="20"/>
          <w:szCs w:val="20"/>
        </w:rPr>
        <w:t>、</w:t>
      </w:r>
      <w:r>
        <w:rPr>
          <w:rFonts w:ascii="宋体" w:hAnsi="宋体" w:eastAsia="宋体" w:cs="宋体"/>
          <w:spacing w:val="-26"/>
          <w:w w:val="97"/>
          <w:sz w:val="20"/>
          <w:szCs w:val="20"/>
        </w:rPr>
        <w:t>持续改进的自省</w:t>
      </w:r>
      <w:r>
        <w:rPr>
          <w:rFonts w:ascii="微软雅黑" w:hAnsi="微软雅黑" w:eastAsia="微软雅黑" w:cs="微软雅黑"/>
          <w:spacing w:val="-26"/>
          <w:w w:val="97"/>
          <w:position w:val="1"/>
          <w:sz w:val="20"/>
          <w:szCs w:val="20"/>
        </w:rPr>
        <w:t>、</w:t>
      </w:r>
      <w:r>
        <w:rPr>
          <w:rFonts w:ascii="宋体" w:hAnsi="宋体" w:eastAsia="宋体" w:cs="宋体"/>
          <w:spacing w:val="-26"/>
          <w:w w:val="97"/>
          <w:sz w:val="20"/>
          <w:szCs w:val="20"/>
        </w:rPr>
        <w:t>自律</w:t>
      </w:r>
      <w:r>
        <w:rPr>
          <w:rFonts w:ascii="微软雅黑" w:hAnsi="微软雅黑" w:eastAsia="微软雅黑" w:cs="微软雅黑"/>
          <w:spacing w:val="-26"/>
          <w:w w:val="97"/>
          <w:position w:val="1"/>
          <w:sz w:val="20"/>
          <w:szCs w:val="20"/>
        </w:rPr>
        <w:t>、</w:t>
      </w:r>
      <w:r>
        <w:rPr>
          <w:rFonts w:ascii="微软雅黑" w:hAnsi="微软雅黑" w:eastAsia="微软雅黑" w:cs="微软雅黑"/>
          <w:position w:val="1"/>
          <w:sz w:val="20"/>
          <w:szCs w:val="20"/>
        </w:rPr>
        <w:t xml:space="preserve"> </w:t>
      </w:r>
      <w:r>
        <w:rPr>
          <w:rFonts w:ascii="宋体" w:hAnsi="宋体" w:eastAsia="宋体" w:cs="宋体"/>
          <w:spacing w:val="-22"/>
          <w:sz w:val="20"/>
          <w:szCs w:val="20"/>
        </w:rPr>
        <w:t>自查</w:t>
      </w:r>
      <w:r>
        <w:rPr>
          <w:rFonts w:ascii="微软雅黑" w:hAnsi="微软雅黑" w:eastAsia="微软雅黑" w:cs="微软雅黑"/>
          <w:spacing w:val="-22"/>
          <w:position w:val="1"/>
          <w:sz w:val="20"/>
          <w:szCs w:val="20"/>
        </w:rPr>
        <w:t>、</w:t>
      </w:r>
      <w:r>
        <w:rPr>
          <w:rFonts w:ascii="宋体" w:hAnsi="宋体" w:eastAsia="宋体" w:cs="宋体"/>
          <w:spacing w:val="-22"/>
          <w:sz w:val="20"/>
          <w:szCs w:val="20"/>
        </w:rPr>
        <w:t>自纠的质量文化</w:t>
      </w:r>
      <w:r>
        <w:rPr>
          <w:rFonts w:ascii="微软雅黑" w:hAnsi="微软雅黑" w:eastAsia="微软雅黑" w:cs="微软雅黑"/>
          <w:spacing w:val="-22"/>
          <w:position w:val="1"/>
          <w:sz w:val="20"/>
          <w:szCs w:val="20"/>
        </w:rPr>
        <w:t>。</w:t>
      </w:r>
      <w:r>
        <w:rPr>
          <w:rFonts w:ascii="宋体" w:hAnsi="宋体" w:eastAsia="宋体" w:cs="宋体"/>
          <w:spacing w:val="-22"/>
          <w:sz w:val="20"/>
          <w:szCs w:val="20"/>
        </w:rPr>
        <w:t>一流本科就是高质量的本科</w:t>
      </w:r>
      <w:r>
        <w:rPr>
          <w:rFonts w:ascii="宋体" w:hAnsi="宋体" w:eastAsia="宋体" w:cs="宋体"/>
          <w:spacing w:val="-22"/>
          <w:position w:val="1"/>
          <w:sz w:val="20"/>
          <w:szCs w:val="20"/>
        </w:rPr>
        <w:t>，</w:t>
      </w:r>
      <w:r>
        <w:rPr>
          <w:rFonts w:ascii="宋体" w:hAnsi="宋体" w:eastAsia="宋体" w:cs="宋体"/>
          <w:spacing w:val="-23"/>
          <w:sz w:val="20"/>
          <w:szCs w:val="20"/>
        </w:rPr>
        <w:t>而唯</w:t>
      </w:r>
      <w:r>
        <w:rPr>
          <w:rFonts w:ascii="宋体" w:hAnsi="宋体" w:eastAsia="宋体" w:cs="宋体"/>
          <w:sz w:val="20"/>
          <w:szCs w:val="20"/>
        </w:rPr>
        <w:t xml:space="preserve"> </w:t>
      </w:r>
      <w:r>
        <w:rPr>
          <w:rFonts w:ascii="宋体" w:hAnsi="宋体" w:eastAsia="宋体" w:cs="宋体"/>
          <w:spacing w:val="-17"/>
          <w:w w:val="94"/>
          <w:sz w:val="20"/>
          <w:szCs w:val="20"/>
        </w:rPr>
        <w:t>有持续改进的大学质量文化，才是</w:t>
      </w:r>
      <w:r>
        <w:rPr>
          <w:rFonts w:ascii="微软雅黑" w:hAnsi="微软雅黑" w:eastAsia="微软雅黑" w:cs="微软雅黑"/>
          <w:spacing w:val="-17"/>
          <w:w w:val="94"/>
          <w:sz w:val="20"/>
          <w:szCs w:val="20"/>
        </w:rPr>
        <w:t>“</w:t>
      </w:r>
      <w:r>
        <w:rPr>
          <w:rFonts w:ascii="宋体" w:hAnsi="宋体" w:eastAsia="宋体" w:cs="宋体"/>
          <w:spacing w:val="-17"/>
          <w:w w:val="94"/>
          <w:sz w:val="20"/>
          <w:szCs w:val="20"/>
        </w:rPr>
        <w:t>高校提高质量最持久</w:t>
      </w:r>
      <w:r>
        <w:rPr>
          <w:rFonts w:ascii="微软雅黑" w:hAnsi="微软雅黑" w:eastAsia="微软雅黑" w:cs="微软雅黑"/>
          <w:spacing w:val="-17"/>
          <w:w w:val="94"/>
          <w:sz w:val="20"/>
          <w:szCs w:val="20"/>
        </w:rPr>
        <w:t>、</w:t>
      </w:r>
      <w:r>
        <w:rPr>
          <w:rFonts w:ascii="宋体" w:hAnsi="宋体" w:eastAsia="宋体" w:cs="宋体"/>
          <w:spacing w:val="-17"/>
          <w:w w:val="94"/>
          <w:sz w:val="20"/>
          <w:szCs w:val="20"/>
        </w:rPr>
        <w:t>最</w:t>
      </w:r>
      <w:r>
        <w:rPr>
          <w:rFonts w:ascii="宋体" w:hAnsi="宋体" w:eastAsia="宋体" w:cs="宋体"/>
          <w:spacing w:val="9"/>
          <w:sz w:val="20"/>
          <w:szCs w:val="20"/>
        </w:rPr>
        <w:t xml:space="preserve"> </w:t>
      </w:r>
      <w:r>
        <w:rPr>
          <w:rFonts w:ascii="宋体" w:hAnsi="宋体" w:eastAsia="宋体" w:cs="宋体"/>
          <w:spacing w:val="-19"/>
          <w:w w:val="98"/>
          <w:sz w:val="20"/>
          <w:szCs w:val="20"/>
        </w:rPr>
        <w:t>深沉的力量</w:t>
      </w:r>
      <w:r>
        <w:rPr>
          <w:rFonts w:ascii="宋体" w:hAnsi="宋体" w:eastAsia="宋体" w:cs="宋体"/>
          <w:spacing w:val="-19"/>
          <w:w w:val="98"/>
          <w:position w:val="1"/>
          <w:sz w:val="20"/>
          <w:szCs w:val="20"/>
        </w:rPr>
        <w:t>，</w:t>
      </w:r>
      <w:r>
        <w:rPr>
          <w:rFonts w:ascii="宋体" w:hAnsi="宋体" w:eastAsia="宋体" w:cs="宋体"/>
          <w:spacing w:val="-19"/>
          <w:w w:val="98"/>
          <w:sz w:val="20"/>
          <w:szCs w:val="20"/>
        </w:rPr>
        <w:t>要将质量要求内化为高校师生的共同价值追求</w:t>
      </w:r>
      <w:r>
        <w:rPr>
          <w:rFonts w:ascii="宋体" w:hAnsi="宋体" w:eastAsia="宋体" w:cs="宋体"/>
          <w:spacing w:val="10"/>
          <w:sz w:val="20"/>
          <w:szCs w:val="20"/>
        </w:rPr>
        <w:t xml:space="preserve">  </w:t>
      </w:r>
      <w:r>
        <w:rPr>
          <w:rFonts w:ascii="宋体" w:hAnsi="宋体" w:eastAsia="宋体" w:cs="宋体"/>
          <w:spacing w:val="-26"/>
          <w:sz w:val="20"/>
          <w:szCs w:val="20"/>
        </w:rPr>
        <w:t>和自觉行为，成为高校提升质量的内驱力</w:t>
      </w:r>
      <w:r>
        <w:rPr>
          <w:rFonts w:ascii="微软雅黑" w:hAnsi="微软雅黑" w:eastAsia="微软雅黑" w:cs="微软雅黑"/>
          <w:spacing w:val="-26"/>
          <w:sz w:val="20"/>
          <w:szCs w:val="20"/>
        </w:rPr>
        <w:t>”</w:t>
      </w:r>
      <w:r>
        <w:rPr>
          <w:rFonts w:ascii="宋体" w:hAnsi="宋体" w:eastAsia="宋体" w:cs="宋体"/>
          <w:spacing w:val="-26"/>
          <w:position w:val="10"/>
          <w:sz w:val="11"/>
          <w:szCs w:val="11"/>
        </w:rPr>
        <w:t>［</w:t>
      </w:r>
      <w:r>
        <w:rPr>
          <w:rFonts w:ascii="微软雅黑" w:hAnsi="微软雅黑" w:eastAsia="微软雅黑" w:cs="微软雅黑"/>
          <w:spacing w:val="-26"/>
          <w:position w:val="10"/>
          <w:sz w:val="11"/>
          <w:szCs w:val="11"/>
        </w:rPr>
        <w:t>1</w:t>
      </w:r>
      <w:r>
        <w:rPr>
          <w:rFonts w:ascii="宋体" w:hAnsi="宋体" w:eastAsia="宋体" w:cs="宋体"/>
          <w:spacing w:val="-26"/>
          <w:position w:val="10"/>
          <w:sz w:val="11"/>
          <w:szCs w:val="11"/>
        </w:rPr>
        <w:t>］</w:t>
      </w:r>
      <w:r>
        <w:rPr>
          <w:rFonts w:ascii="微软雅黑" w:hAnsi="微软雅黑" w:eastAsia="微软雅黑" w:cs="微软雅黑"/>
          <w:spacing w:val="-15"/>
          <w:sz w:val="20"/>
          <w:szCs w:val="20"/>
        </w:rPr>
        <w:t>。</w:t>
      </w:r>
      <w:r>
        <w:rPr>
          <w:rFonts w:ascii="宋体" w:hAnsi="宋体" w:eastAsia="宋体" w:cs="宋体"/>
          <w:spacing w:val="-15"/>
          <w:sz w:val="20"/>
          <w:szCs w:val="20"/>
        </w:rPr>
        <w:t>在一流本科</w:t>
      </w:r>
      <w:r>
        <w:rPr>
          <w:rFonts w:ascii="宋体" w:hAnsi="宋体" w:eastAsia="宋体" w:cs="宋体"/>
          <w:spacing w:val="3"/>
          <w:sz w:val="20"/>
          <w:szCs w:val="20"/>
        </w:rPr>
        <w:t xml:space="preserve"> </w:t>
      </w:r>
      <w:r>
        <w:rPr>
          <w:rFonts w:ascii="宋体" w:hAnsi="宋体" w:eastAsia="宋体" w:cs="宋体"/>
          <w:spacing w:val="-19"/>
          <w:w w:val="95"/>
          <w:sz w:val="20"/>
          <w:szCs w:val="20"/>
        </w:rPr>
        <w:t>建设中，不仅</w:t>
      </w:r>
      <w:r>
        <w:rPr>
          <w:rFonts w:ascii="微软雅黑" w:hAnsi="微软雅黑" w:eastAsia="微软雅黑" w:cs="微软雅黑"/>
          <w:spacing w:val="-19"/>
          <w:w w:val="95"/>
          <w:sz w:val="20"/>
          <w:szCs w:val="20"/>
        </w:rPr>
        <w:t>“</w:t>
      </w:r>
      <w:r>
        <w:rPr>
          <w:rFonts w:ascii="宋体" w:hAnsi="宋体" w:eastAsia="宋体" w:cs="宋体"/>
          <w:spacing w:val="-19"/>
          <w:w w:val="95"/>
          <w:sz w:val="20"/>
          <w:szCs w:val="20"/>
        </w:rPr>
        <w:t>双一流</w:t>
      </w:r>
      <w:r>
        <w:rPr>
          <w:rFonts w:ascii="微软雅黑" w:hAnsi="微软雅黑" w:eastAsia="微软雅黑" w:cs="微软雅黑"/>
          <w:spacing w:val="-19"/>
          <w:w w:val="95"/>
          <w:sz w:val="20"/>
          <w:szCs w:val="20"/>
        </w:rPr>
        <w:t>”</w:t>
      </w:r>
      <w:r>
        <w:rPr>
          <w:rFonts w:ascii="宋体" w:hAnsi="宋体" w:eastAsia="宋体" w:cs="宋体"/>
          <w:spacing w:val="-19"/>
          <w:w w:val="95"/>
          <w:sz w:val="20"/>
          <w:szCs w:val="20"/>
        </w:rPr>
        <w:t>大学需要聚焦本科教育，地方高校还</w:t>
      </w:r>
      <w:r>
        <w:rPr>
          <w:rFonts w:ascii="宋体" w:hAnsi="宋体" w:eastAsia="宋体" w:cs="宋体"/>
          <w:spacing w:val="8"/>
          <w:sz w:val="20"/>
          <w:szCs w:val="20"/>
        </w:rPr>
        <w:t xml:space="preserve"> </w:t>
      </w:r>
      <w:r>
        <w:rPr>
          <w:rFonts w:ascii="宋体" w:hAnsi="宋体" w:eastAsia="宋体" w:cs="宋体"/>
          <w:spacing w:val="-18"/>
          <w:w w:val="98"/>
          <w:sz w:val="20"/>
          <w:szCs w:val="20"/>
        </w:rPr>
        <w:t>需要在人才培养上办出特色</w:t>
      </w:r>
      <w:r>
        <w:rPr>
          <w:rFonts w:ascii="微软雅黑" w:hAnsi="微软雅黑" w:eastAsia="微软雅黑" w:cs="微软雅黑"/>
          <w:spacing w:val="-18"/>
          <w:w w:val="98"/>
          <w:position w:val="1"/>
          <w:sz w:val="20"/>
          <w:szCs w:val="20"/>
        </w:rPr>
        <w:t>、</w:t>
      </w:r>
      <w:r>
        <w:rPr>
          <w:rFonts w:ascii="宋体" w:hAnsi="宋体" w:eastAsia="宋体" w:cs="宋体"/>
          <w:spacing w:val="-18"/>
          <w:w w:val="98"/>
          <w:sz w:val="20"/>
          <w:szCs w:val="20"/>
        </w:rPr>
        <w:t>争创一流</w:t>
      </w:r>
      <w:r>
        <w:rPr>
          <w:rFonts w:ascii="微软雅黑" w:hAnsi="微软雅黑" w:eastAsia="微软雅黑" w:cs="微软雅黑"/>
          <w:spacing w:val="-18"/>
          <w:w w:val="98"/>
          <w:position w:val="1"/>
          <w:sz w:val="20"/>
          <w:szCs w:val="20"/>
        </w:rPr>
        <w:t>。</w:t>
      </w:r>
      <w:r>
        <w:rPr>
          <w:rFonts w:ascii="宋体" w:hAnsi="宋体" w:eastAsia="宋体" w:cs="宋体"/>
          <w:spacing w:val="-18"/>
          <w:w w:val="98"/>
          <w:sz w:val="20"/>
          <w:szCs w:val="20"/>
        </w:rPr>
        <w:t>地方高校是</w:t>
      </w:r>
      <w:r>
        <w:rPr>
          <w:rFonts w:ascii="宋体" w:hAnsi="宋体" w:eastAsia="宋体" w:cs="宋体"/>
          <w:spacing w:val="-19"/>
          <w:w w:val="98"/>
          <w:sz w:val="20"/>
          <w:szCs w:val="20"/>
        </w:rPr>
        <w:t>我国高</w:t>
      </w:r>
      <w:r>
        <w:rPr>
          <w:rFonts w:ascii="宋体" w:hAnsi="宋体" w:eastAsia="宋体" w:cs="宋体"/>
          <w:sz w:val="20"/>
          <w:szCs w:val="20"/>
        </w:rPr>
        <w:t xml:space="preserve"> </w:t>
      </w:r>
      <w:r>
        <w:rPr>
          <w:rFonts w:ascii="宋体" w:hAnsi="宋体" w:eastAsia="宋体" w:cs="宋体"/>
          <w:spacing w:val="-22"/>
          <w:sz w:val="20"/>
          <w:szCs w:val="20"/>
        </w:rPr>
        <w:t>等教育的主体</w:t>
      </w:r>
      <w:r>
        <w:rPr>
          <w:rFonts w:ascii="宋体" w:hAnsi="宋体" w:eastAsia="宋体" w:cs="宋体"/>
          <w:spacing w:val="-22"/>
          <w:position w:val="1"/>
          <w:sz w:val="20"/>
          <w:szCs w:val="20"/>
        </w:rPr>
        <w:t>，</w:t>
      </w:r>
      <w:r>
        <w:rPr>
          <w:rFonts w:ascii="宋体" w:hAnsi="宋体" w:eastAsia="宋体" w:cs="宋体"/>
          <w:spacing w:val="-22"/>
          <w:sz w:val="20"/>
          <w:szCs w:val="20"/>
        </w:rPr>
        <w:t>在一流本科教育视域中</w:t>
      </w:r>
      <w:r>
        <w:rPr>
          <w:rFonts w:ascii="宋体" w:hAnsi="宋体" w:eastAsia="宋体" w:cs="宋体"/>
          <w:spacing w:val="-22"/>
          <w:position w:val="1"/>
          <w:sz w:val="20"/>
          <w:szCs w:val="20"/>
        </w:rPr>
        <w:t>，</w:t>
      </w:r>
      <w:r>
        <w:rPr>
          <w:rFonts w:ascii="宋体" w:hAnsi="宋体" w:eastAsia="宋体" w:cs="宋体"/>
          <w:spacing w:val="-22"/>
          <w:sz w:val="20"/>
          <w:szCs w:val="20"/>
        </w:rPr>
        <w:t>探究地方高</w:t>
      </w:r>
      <w:r>
        <w:rPr>
          <w:rFonts w:ascii="宋体" w:hAnsi="宋体" w:eastAsia="宋体" w:cs="宋体"/>
          <w:spacing w:val="-23"/>
          <w:sz w:val="20"/>
          <w:szCs w:val="20"/>
        </w:rPr>
        <w:t>校大学</w:t>
      </w:r>
      <w:r>
        <w:rPr>
          <w:rFonts w:ascii="宋体" w:hAnsi="宋体" w:eastAsia="宋体" w:cs="宋体"/>
          <w:sz w:val="20"/>
          <w:szCs w:val="20"/>
        </w:rPr>
        <w:t xml:space="preserve"> </w:t>
      </w:r>
      <w:r>
        <w:rPr>
          <w:rFonts w:ascii="宋体" w:hAnsi="宋体" w:eastAsia="宋体" w:cs="宋体"/>
          <w:spacing w:val="-19"/>
          <w:w w:val="95"/>
          <w:sz w:val="20"/>
          <w:szCs w:val="20"/>
        </w:rPr>
        <w:t>质量文化建设，对于高等教育坚持</w:t>
      </w:r>
      <w:r>
        <w:rPr>
          <w:rFonts w:ascii="微软雅黑" w:hAnsi="微软雅黑" w:eastAsia="微软雅黑" w:cs="微软雅黑"/>
          <w:spacing w:val="-19"/>
          <w:w w:val="95"/>
          <w:sz w:val="20"/>
          <w:szCs w:val="20"/>
        </w:rPr>
        <w:t>“</w:t>
      </w:r>
      <w:r>
        <w:rPr>
          <w:rFonts w:ascii="宋体" w:hAnsi="宋体" w:eastAsia="宋体" w:cs="宋体"/>
          <w:spacing w:val="-19"/>
          <w:w w:val="95"/>
          <w:sz w:val="20"/>
          <w:szCs w:val="20"/>
        </w:rPr>
        <w:t>以本为本</w:t>
      </w:r>
      <w:r>
        <w:rPr>
          <w:rFonts w:ascii="微软雅黑" w:hAnsi="微软雅黑" w:eastAsia="微软雅黑" w:cs="微软雅黑"/>
          <w:spacing w:val="-19"/>
          <w:w w:val="95"/>
          <w:sz w:val="20"/>
          <w:szCs w:val="20"/>
        </w:rPr>
        <w:t>”</w:t>
      </w:r>
      <w:r>
        <w:rPr>
          <w:rFonts w:ascii="宋体" w:hAnsi="宋体" w:eastAsia="宋体" w:cs="宋体"/>
          <w:spacing w:val="-19"/>
          <w:w w:val="95"/>
          <w:sz w:val="20"/>
          <w:szCs w:val="20"/>
        </w:rPr>
        <w:t>和推进</w:t>
      </w:r>
      <w:r>
        <w:rPr>
          <w:rFonts w:ascii="微软雅黑" w:hAnsi="微软雅黑" w:eastAsia="微软雅黑" w:cs="微软雅黑"/>
          <w:spacing w:val="-19"/>
          <w:w w:val="95"/>
          <w:sz w:val="20"/>
          <w:szCs w:val="20"/>
        </w:rPr>
        <w:t>“</w:t>
      </w:r>
      <w:r>
        <w:rPr>
          <w:rFonts w:ascii="宋体" w:hAnsi="宋体" w:eastAsia="宋体" w:cs="宋体"/>
          <w:spacing w:val="-19"/>
          <w:w w:val="95"/>
          <w:sz w:val="20"/>
          <w:szCs w:val="20"/>
        </w:rPr>
        <w:t>四个</w:t>
      </w:r>
      <w:r>
        <w:rPr>
          <w:rFonts w:ascii="宋体" w:hAnsi="宋体" w:eastAsia="宋体" w:cs="宋体"/>
          <w:spacing w:val="9"/>
          <w:sz w:val="20"/>
          <w:szCs w:val="20"/>
        </w:rPr>
        <w:t xml:space="preserve"> </w:t>
      </w:r>
      <w:r>
        <w:rPr>
          <w:rFonts w:ascii="宋体" w:hAnsi="宋体" w:eastAsia="宋体" w:cs="宋体"/>
          <w:spacing w:val="-24"/>
          <w:w w:val="96"/>
          <w:sz w:val="20"/>
          <w:szCs w:val="20"/>
        </w:rPr>
        <w:t>回归</w:t>
      </w:r>
      <w:r>
        <w:rPr>
          <w:rFonts w:ascii="微软雅黑" w:hAnsi="微软雅黑" w:eastAsia="微软雅黑" w:cs="微软雅黑"/>
          <w:spacing w:val="-24"/>
          <w:w w:val="96"/>
          <w:position w:val="1"/>
          <w:sz w:val="20"/>
          <w:szCs w:val="20"/>
        </w:rPr>
        <w:t>”</w:t>
      </w:r>
      <w:r>
        <w:rPr>
          <w:rFonts w:ascii="宋体" w:hAnsi="宋体" w:eastAsia="宋体" w:cs="宋体"/>
          <w:spacing w:val="-24"/>
          <w:w w:val="96"/>
          <w:position w:val="1"/>
          <w:sz w:val="20"/>
          <w:szCs w:val="20"/>
        </w:rPr>
        <w:t>，</w:t>
      </w:r>
      <w:r>
        <w:rPr>
          <w:rFonts w:ascii="宋体" w:hAnsi="宋体" w:eastAsia="宋体" w:cs="宋体"/>
          <w:spacing w:val="-24"/>
          <w:w w:val="96"/>
          <w:sz w:val="20"/>
          <w:szCs w:val="20"/>
        </w:rPr>
        <w:t>具有重要的现实意义</w:t>
      </w:r>
      <w:r>
        <w:rPr>
          <w:rFonts w:ascii="微软雅黑" w:hAnsi="微软雅黑" w:eastAsia="微软雅黑" w:cs="微软雅黑"/>
          <w:spacing w:val="-24"/>
          <w:w w:val="96"/>
          <w:position w:val="1"/>
          <w:sz w:val="20"/>
          <w:szCs w:val="20"/>
        </w:rPr>
        <w:t>。</w:t>
      </w:r>
    </w:p>
    <w:p>
      <w:pPr>
        <w:spacing w:before="221" w:line="178" w:lineRule="auto"/>
        <w:ind w:left="1155"/>
        <w:rPr>
          <w:rFonts w:ascii="黑体" w:hAnsi="黑体" w:eastAsia="黑体" w:cs="黑体"/>
          <w:sz w:val="20"/>
          <w:szCs w:val="20"/>
        </w:rPr>
      </w:pPr>
      <w:r>
        <w:rPr>
          <w:rFonts w:ascii="黑体" w:hAnsi="黑体" w:eastAsia="黑体" w:cs="黑体"/>
          <w:spacing w:val="3"/>
          <w:sz w:val="20"/>
          <w:szCs w:val="20"/>
        </w:rPr>
        <w:t>一</w:t>
      </w:r>
      <w:r>
        <w:rPr>
          <w:rFonts w:ascii="微软雅黑" w:hAnsi="微软雅黑" w:eastAsia="微软雅黑" w:cs="微软雅黑"/>
          <w:spacing w:val="3"/>
          <w:position w:val="1"/>
          <w:sz w:val="20"/>
          <w:szCs w:val="20"/>
        </w:rPr>
        <w:t>、</w:t>
      </w:r>
      <w:r>
        <w:rPr>
          <w:rFonts w:ascii="黑体" w:hAnsi="黑体" w:eastAsia="黑体" w:cs="黑体"/>
          <w:spacing w:val="3"/>
          <w:sz w:val="20"/>
          <w:szCs w:val="20"/>
        </w:rPr>
        <w:t>一流本科教育视域下大学质量文化的阐释</w:t>
      </w:r>
    </w:p>
    <w:p>
      <w:pPr>
        <w:spacing w:before="220" w:line="227" w:lineRule="auto"/>
        <w:ind w:left="732" w:right="271" w:firstLine="363"/>
        <w:jc w:val="both"/>
        <w:rPr>
          <w:rFonts w:ascii="宋体" w:hAnsi="宋体" w:eastAsia="宋体" w:cs="宋体"/>
          <w:sz w:val="20"/>
          <w:szCs w:val="20"/>
        </w:rPr>
      </w:pPr>
      <w:r>
        <w:rPr>
          <w:rFonts w:ascii="宋体" w:hAnsi="宋体" w:eastAsia="宋体" w:cs="宋体"/>
          <w:spacing w:val="-15"/>
          <w:sz w:val="20"/>
          <w:szCs w:val="20"/>
        </w:rPr>
        <w:t>大学质量文化源自企业质量文化</w:t>
      </w:r>
      <w:r>
        <w:rPr>
          <w:rFonts w:ascii="微软雅黑" w:hAnsi="微软雅黑" w:eastAsia="微软雅黑" w:cs="微软雅黑"/>
          <w:spacing w:val="-15"/>
          <w:position w:val="1"/>
          <w:sz w:val="20"/>
          <w:szCs w:val="20"/>
        </w:rPr>
        <w:t>。</w:t>
      </w:r>
      <w:r>
        <w:rPr>
          <w:rFonts w:ascii="宋体" w:hAnsi="宋体" w:eastAsia="宋体" w:cs="宋体"/>
          <w:spacing w:val="-15"/>
          <w:sz w:val="20"/>
          <w:szCs w:val="20"/>
        </w:rPr>
        <w:t>企业的质量文化是</w:t>
      </w:r>
      <w:r>
        <w:rPr>
          <w:rFonts w:ascii="宋体" w:hAnsi="宋体" w:eastAsia="宋体" w:cs="宋体"/>
          <w:spacing w:val="7"/>
          <w:sz w:val="20"/>
          <w:szCs w:val="20"/>
        </w:rPr>
        <w:t xml:space="preserve"> </w:t>
      </w:r>
      <w:r>
        <w:rPr>
          <w:rFonts w:ascii="宋体" w:hAnsi="宋体" w:eastAsia="宋体" w:cs="宋体"/>
          <w:spacing w:val="-17"/>
          <w:w w:val="97"/>
          <w:sz w:val="20"/>
          <w:szCs w:val="20"/>
        </w:rPr>
        <w:t>企业文化的重要组成部分</w:t>
      </w:r>
      <w:r>
        <w:rPr>
          <w:rFonts w:ascii="宋体" w:hAnsi="宋体" w:eastAsia="宋体" w:cs="宋体"/>
          <w:spacing w:val="-17"/>
          <w:w w:val="97"/>
          <w:position w:val="1"/>
          <w:sz w:val="20"/>
          <w:szCs w:val="20"/>
        </w:rPr>
        <w:t>，</w:t>
      </w:r>
      <w:r>
        <w:rPr>
          <w:rFonts w:ascii="宋体" w:hAnsi="宋体" w:eastAsia="宋体" w:cs="宋体"/>
          <w:spacing w:val="-17"/>
          <w:w w:val="97"/>
          <w:sz w:val="20"/>
          <w:szCs w:val="20"/>
        </w:rPr>
        <w:t>是企业全体员工认可并遵循的质</w:t>
      </w:r>
      <w:r>
        <w:rPr>
          <w:rFonts w:ascii="宋体" w:hAnsi="宋体" w:eastAsia="宋体" w:cs="宋体"/>
          <w:spacing w:val="22"/>
          <w:sz w:val="20"/>
          <w:szCs w:val="20"/>
        </w:rPr>
        <w:t xml:space="preserve"> </w:t>
      </w:r>
      <w:r>
        <w:rPr>
          <w:rFonts w:ascii="宋体" w:hAnsi="宋体" w:eastAsia="宋体" w:cs="宋体"/>
          <w:spacing w:val="-19"/>
          <w:w w:val="95"/>
          <w:sz w:val="20"/>
          <w:szCs w:val="20"/>
        </w:rPr>
        <w:t>量价值和行为规范，具体包括企业形成的</w:t>
      </w:r>
      <w:r>
        <w:rPr>
          <w:rFonts w:ascii="微软雅黑" w:hAnsi="微软雅黑" w:eastAsia="微软雅黑" w:cs="微软雅黑"/>
          <w:spacing w:val="-19"/>
          <w:w w:val="95"/>
          <w:sz w:val="20"/>
          <w:szCs w:val="20"/>
        </w:rPr>
        <w:t>“</w:t>
      </w:r>
      <w:r>
        <w:rPr>
          <w:rFonts w:ascii="宋体" w:hAnsi="宋体" w:eastAsia="宋体" w:cs="宋体"/>
          <w:spacing w:val="-19"/>
          <w:w w:val="95"/>
          <w:sz w:val="20"/>
          <w:szCs w:val="20"/>
        </w:rPr>
        <w:t>质量意识</w:t>
      </w:r>
      <w:r>
        <w:rPr>
          <w:rFonts w:ascii="微软雅黑" w:hAnsi="微软雅黑" w:eastAsia="微软雅黑" w:cs="微软雅黑"/>
          <w:spacing w:val="-19"/>
          <w:w w:val="95"/>
          <w:sz w:val="20"/>
          <w:szCs w:val="20"/>
        </w:rPr>
        <w:t>、</w:t>
      </w:r>
      <w:r>
        <w:rPr>
          <w:rFonts w:ascii="宋体" w:hAnsi="宋体" w:eastAsia="宋体" w:cs="宋体"/>
          <w:spacing w:val="-19"/>
          <w:w w:val="95"/>
          <w:sz w:val="20"/>
          <w:szCs w:val="20"/>
        </w:rPr>
        <w:t>质量精</w:t>
      </w:r>
      <w:r>
        <w:rPr>
          <w:rFonts w:ascii="宋体" w:hAnsi="宋体" w:eastAsia="宋体" w:cs="宋体"/>
          <w:spacing w:val="9"/>
          <w:sz w:val="20"/>
          <w:szCs w:val="20"/>
        </w:rPr>
        <w:t xml:space="preserve"> </w:t>
      </w:r>
      <w:r>
        <w:rPr>
          <w:rFonts w:ascii="宋体" w:hAnsi="宋体" w:eastAsia="宋体" w:cs="宋体"/>
          <w:spacing w:val="-17"/>
          <w:w w:val="94"/>
          <w:sz w:val="20"/>
          <w:szCs w:val="20"/>
        </w:rPr>
        <w:t>神</w:t>
      </w:r>
      <w:r>
        <w:rPr>
          <w:rFonts w:ascii="微软雅黑" w:hAnsi="微软雅黑" w:eastAsia="微软雅黑" w:cs="微软雅黑"/>
          <w:spacing w:val="-17"/>
          <w:w w:val="94"/>
          <w:sz w:val="20"/>
          <w:szCs w:val="20"/>
        </w:rPr>
        <w:t>、</w:t>
      </w:r>
      <w:r>
        <w:rPr>
          <w:rFonts w:ascii="宋体" w:hAnsi="宋体" w:eastAsia="宋体" w:cs="宋体"/>
          <w:spacing w:val="-17"/>
          <w:w w:val="94"/>
          <w:sz w:val="20"/>
          <w:szCs w:val="20"/>
        </w:rPr>
        <w:t>质量行为</w:t>
      </w:r>
      <w:r>
        <w:rPr>
          <w:rFonts w:ascii="微软雅黑" w:hAnsi="微软雅黑" w:eastAsia="微软雅黑" w:cs="微软雅黑"/>
          <w:spacing w:val="-17"/>
          <w:w w:val="94"/>
          <w:sz w:val="20"/>
          <w:szCs w:val="20"/>
        </w:rPr>
        <w:t>、</w:t>
      </w:r>
      <w:r>
        <w:rPr>
          <w:rFonts w:ascii="宋体" w:hAnsi="宋体" w:eastAsia="宋体" w:cs="宋体"/>
          <w:spacing w:val="-17"/>
          <w:w w:val="94"/>
          <w:sz w:val="20"/>
          <w:szCs w:val="20"/>
        </w:rPr>
        <w:t>质量价值观和质量形象</w:t>
      </w:r>
      <w:r>
        <w:rPr>
          <w:rFonts w:ascii="微软雅黑" w:hAnsi="微软雅黑" w:eastAsia="微软雅黑" w:cs="微软雅黑"/>
          <w:spacing w:val="-17"/>
          <w:w w:val="94"/>
          <w:sz w:val="20"/>
          <w:szCs w:val="20"/>
        </w:rPr>
        <w:t>”</w:t>
      </w:r>
      <w:r>
        <w:rPr>
          <w:rFonts w:ascii="宋体" w:hAnsi="宋体" w:eastAsia="宋体" w:cs="宋体"/>
          <w:spacing w:val="-17"/>
          <w:w w:val="94"/>
          <w:sz w:val="20"/>
          <w:szCs w:val="20"/>
        </w:rPr>
        <w:t>等</w:t>
      </w:r>
      <w:r>
        <w:rPr>
          <w:rFonts w:ascii="微软雅黑" w:hAnsi="微软雅黑" w:eastAsia="微软雅黑" w:cs="微软雅黑"/>
          <w:spacing w:val="-17"/>
          <w:w w:val="94"/>
          <w:sz w:val="20"/>
          <w:szCs w:val="20"/>
        </w:rPr>
        <w:t>“</w:t>
      </w:r>
      <w:r>
        <w:rPr>
          <w:rFonts w:ascii="宋体" w:hAnsi="宋体" w:eastAsia="宋体" w:cs="宋体"/>
          <w:spacing w:val="-17"/>
          <w:w w:val="94"/>
          <w:sz w:val="20"/>
          <w:szCs w:val="20"/>
        </w:rPr>
        <w:t>软件</w:t>
      </w:r>
      <w:r>
        <w:rPr>
          <w:rFonts w:ascii="微软雅黑" w:hAnsi="微软雅黑" w:eastAsia="微软雅黑" w:cs="微软雅黑"/>
          <w:spacing w:val="-17"/>
          <w:w w:val="94"/>
          <w:sz w:val="20"/>
          <w:szCs w:val="20"/>
        </w:rPr>
        <w:t>”</w:t>
      </w:r>
      <w:r>
        <w:rPr>
          <w:rFonts w:ascii="宋体" w:hAnsi="宋体" w:eastAsia="宋体" w:cs="宋体"/>
          <w:spacing w:val="-17"/>
          <w:w w:val="94"/>
          <w:sz w:val="20"/>
          <w:szCs w:val="20"/>
        </w:rPr>
        <w:t>以及所提</w:t>
      </w:r>
      <w:r>
        <w:rPr>
          <w:rFonts w:ascii="宋体" w:hAnsi="宋体" w:eastAsia="宋体" w:cs="宋体"/>
          <w:spacing w:val="9"/>
          <w:sz w:val="20"/>
          <w:szCs w:val="20"/>
        </w:rPr>
        <w:t xml:space="preserve"> </w:t>
      </w:r>
      <w:r>
        <w:rPr>
          <w:rFonts w:ascii="宋体" w:hAnsi="宋体" w:eastAsia="宋体" w:cs="宋体"/>
          <w:spacing w:val="-20"/>
          <w:w w:val="98"/>
          <w:sz w:val="20"/>
          <w:szCs w:val="20"/>
        </w:rPr>
        <w:t>供的产品及服务质量的</w:t>
      </w:r>
      <w:r>
        <w:rPr>
          <w:rFonts w:ascii="微软雅黑" w:hAnsi="微软雅黑" w:eastAsia="微软雅黑" w:cs="微软雅黑"/>
          <w:spacing w:val="-20"/>
          <w:w w:val="98"/>
          <w:sz w:val="20"/>
          <w:szCs w:val="20"/>
        </w:rPr>
        <w:t>“</w:t>
      </w:r>
      <w:r>
        <w:rPr>
          <w:rFonts w:ascii="宋体" w:hAnsi="宋体" w:eastAsia="宋体" w:cs="宋体"/>
          <w:spacing w:val="-20"/>
          <w:w w:val="98"/>
          <w:sz w:val="20"/>
          <w:szCs w:val="20"/>
        </w:rPr>
        <w:t>硬件</w:t>
      </w:r>
      <w:r>
        <w:rPr>
          <w:rFonts w:ascii="微软雅黑" w:hAnsi="微软雅黑" w:eastAsia="微软雅黑" w:cs="微软雅黑"/>
          <w:spacing w:val="-20"/>
          <w:w w:val="98"/>
          <w:sz w:val="20"/>
          <w:szCs w:val="20"/>
        </w:rPr>
        <w:t>”</w:t>
      </w:r>
      <w:r>
        <w:rPr>
          <w:rFonts w:ascii="宋体" w:hAnsi="宋体" w:eastAsia="宋体" w:cs="宋体"/>
          <w:spacing w:val="-20"/>
          <w:w w:val="98"/>
          <w:sz w:val="20"/>
          <w:szCs w:val="20"/>
        </w:rPr>
        <w:t>的总和</w:t>
      </w:r>
      <w:r>
        <w:rPr>
          <w:rFonts w:ascii="宋体" w:hAnsi="宋体" w:eastAsia="宋体" w:cs="宋体"/>
          <w:spacing w:val="-20"/>
          <w:w w:val="98"/>
          <w:position w:val="9"/>
          <w:sz w:val="11"/>
          <w:szCs w:val="11"/>
        </w:rPr>
        <w:t>［</w:t>
      </w:r>
      <w:r>
        <w:rPr>
          <w:rFonts w:ascii="微软雅黑" w:hAnsi="微软雅黑" w:eastAsia="微软雅黑" w:cs="微软雅黑"/>
          <w:spacing w:val="-20"/>
          <w:w w:val="98"/>
          <w:position w:val="9"/>
          <w:sz w:val="11"/>
          <w:szCs w:val="11"/>
        </w:rPr>
        <w:t>2</w:t>
      </w:r>
      <w:r>
        <w:rPr>
          <w:rFonts w:ascii="宋体" w:hAnsi="宋体" w:eastAsia="宋体" w:cs="宋体"/>
          <w:spacing w:val="-20"/>
          <w:w w:val="98"/>
          <w:position w:val="9"/>
          <w:sz w:val="11"/>
          <w:szCs w:val="11"/>
        </w:rPr>
        <w:t>］</w:t>
      </w:r>
      <w:r>
        <w:rPr>
          <w:rFonts w:ascii="宋体" w:hAnsi="宋体" w:eastAsia="宋体" w:cs="宋体"/>
          <w:spacing w:val="-16"/>
          <w:position w:val="9"/>
          <w:sz w:val="11"/>
          <w:szCs w:val="11"/>
        </w:rPr>
        <w:t xml:space="preserve"> </w:t>
      </w:r>
      <w:r>
        <w:rPr>
          <w:rFonts w:ascii="微软雅黑" w:hAnsi="微软雅黑" w:eastAsia="微软雅黑" w:cs="微软雅黑"/>
          <w:spacing w:val="-22"/>
          <w:w w:val="97"/>
          <w:sz w:val="20"/>
          <w:szCs w:val="20"/>
        </w:rPr>
        <w:t>。</w:t>
      </w:r>
      <w:r>
        <w:rPr>
          <w:rFonts w:ascii="宋体" w:hAnsi="宋体" w:eastAsia="宋体" w:cs="宋体"/>
          <w:spacing w:val="-22"/>
          <w:w w:val="97"/>
          <w:sz w:val="20"/>
          <w:szCs w:val="20"/>
        </w:rPr>
        <w:t>与企业相比，大</w:t>
      </w:r>
      <w:r>
        <w:rPr>
          <w:rFonts w:ascii="宋体" w:hAnsi="宋体" w:eastAsia="宋体" w:cs="宋体"/>
          <w:sz w:val="20"/>
          <w:szCs w:val="20"/>
        </w:rPr>
        <w:t xml:space="preserve"> </w:t>
      </w:r>
      <w:r>
        <w:rPr>
          <w:rFonts w:ascii="宋体" w:hAnsi="宋体" w:eastAsia="宋体" w:cs="宋体"/>
          <w:spacing w:val="-21"/>
          <w:w w:val="96"/>
          <w:sz w:val="20"/>
          <w:szCs w:val="20"/>
        </w:rPr>
        <w:t>学与文化的关系更加密切，质量既是文化的结晶，而</w:t>
      </w:r>
      <w:r>
        <w:rPr>
          <w:rFonts w:ascii="微软雅黑" w:hAnsi="微软雅黑" w:eastAsia="微软雅黑" w:cs="微软雅黑"/>
          <w:spacing w:val="-21"/>
          <w:w w:val="96"/>
          <w:sz w:val="20"/>
          <w:szCs w:val="20"/>
        </w:rPr>
        <w:t>“</w:t>
      </w:r>
      <w:r>
        <w:rPr>
          <w:rFonts w:ascii="宋体" w:hAnsi="宋体" w:eastAsia="宋体" w:cs="宋体"/>
          <w:spacing w:val="-21"/>
          <w:w w:val="96"/>
          <w:sz w:val="20"/>
          <w:szCs w:val="20"/>
        </w:rPr>
        <w:t>高等教</w:t>
      </w:r>
      <w:r>
        <w:rPr>
          <w:rFonts w:ascii="宋体" w:hAnsi="宋体" w:eastAsia="宋体" w:cs="宋体"/>
          <w:spacing w:val="9"/>
          <w:sz w:val="20"/>
          <w:szCs w:val="20"/>
        </w:rPr>
        <w:t xml:space="preserve"> </w:t>
      </w:r>
      <w:r>
        <w:rPr>
          <w:rFonts w:ascii="宋体" w:hAnsi="宋体" w:eastAsia="宋体" w:cs="宋体"/>
          <w:spacing w:val="-15"/>
          <w:sz w:val="20"/>
          <w:szCs w:val="20"/>
        </w:rPr>
        <w:t>育质量这一概念本身就是一种文化的建构</w:t>
      </w:r>
      <w:r>
        <w:rPr>
          <w:rFonts w:ascii="宋体" w:hAnsi="宋体" w:eastAsia="宋体" w:cs="宋体"/>
          <w:spacing w:val="-15"/>
          <w:position w:val="1"/>
          <w:sz w:val="20"/>
          <w:szCs w:val="20"/>
        </w:rPr>
        <w:t>，</w:t>
      </w:r>
      <w:r>
        <w:rPr>
          <w:rFonts w:ascii="宋体" w:hAnsi="宋体" w:eastAsia="宋体" w:cs="宋体"/>
          <w:spacing w:val="-15"/>
          <w:sz w:val="20"/>
          <w:szCs w:val="20"/>
        </w:rPr>
        <w:t>而非自然的存</w:t>
      </w:r>
    </w:p>
    <w:p>
      <w:pPr>
        <w:spacing w:before="67"/>
      </w:pPr>
    </w:p>
    <w:p>
      <w:pPr>
        <w:spacing w:line="14" w:lineRule="auto"/>
        <w:rPr>
          <w:rFonts w:ascii="Arial"/>
          <w:sz w:val="2"/>
        </w:rPr>
      </w:pPr>
      <w:r>
        <w:rPr>
          <w:rFonts w:ascii="Arial" w:hAnsi="Arial" w:eastAsia="Arial" w:cs="Arial"/>
          <w:sz w:val="2"/>
          <w:szCs w:val="2"/>
        </w:rPr>
        <w:br w:type="column"/>
      </w:r>
    </w:p>
    <w:p>
      <w:pPr>
        <w:spacing w:before="54" w:line="235" w:lineRule="auto"/>
        <w:ind w:right="4"/>
        <w:jc w:val="both"/>
        <w:rPr>
          <w:rFonts w:ascii="微软雅黑" w:hAnsi="微软雅黑" w:eastAsia="微软雅黑" w:cs="微软雅黑"/>
          <w:sz w:val="20"/>
          <w:szCs w:val="20"/>
        </w:rPr>
      </w:pPr>
      <w:r>
        <w:rPr>
          <w:rFonts w:ascii="宋体" w:hAnsi="宋体" w:eastAsia="宋体" w:cs="宋体"/>
          <w:spacing w:val="-15"/>
          <w:w w:val="87"/>
          <w:sz w:val="20"/>
          <w:szCs w:val="20"/>
        </w:rPr>
        <w:t>在</w:t>
      </w:r>
      <w:r>
        <w:rPr>
          <w:rFonts w:ascii="微软雅黑" w:hAnsi="微软雅黑" w:eastAsia="微软雅黑" w:cs="微软雅黑"/>
          <w:spacing w:val="-15"/>
          <w:w w:val="87"/>
          <w:sz w:val="20"/>
          <w:szCs w:val="20"/>
        </w:rPr>
        <w:t>”</w:t>
      </w:r>
      <w:r>
        <w:rPr>
          <w:rFonts w:ascii="宋体" w:hAnsi="宋体" w:eastAsia="宋体" w:cs="宋体"/>
          <w:spacing w:val="-21"/>
          <w:w w:val="84"/>
          <w:position w:val="10"/>
          <w:sz w:val="11"/>
          <w:szCs w:val="11"/>
        </w:rPr>
        <w:t>［</w:t>
      </w:r>
      <w:r>
        <w:rPr>
          <w:rFonts w:ascii="微软雅黑" w:hAnsi="微软雅黑" w:eastAsia="微软雅黑" w:cs="微软雅黑"/>
          <w:spacing w:val="-21"/>
          <w:w w:val="84"/>
          <w:position w:val="10"/>
          <w:sz w:val="11"/>
          <w:szCs w:val="11"/>
        </w:rPr>
        <w:t>3</w:t>
      </w:r>
      <w:r>
        <w:rPr>
          <w:rFonts w:ascii="宋体" w:hAnsi="宋体" w:eastAsia="宋体" w:cs="宋体"/>
          <w:spacing w:val="-21"/>
          <w:w w:val="84"/>
          <w:position w:val="10"/>
          <w:sz w:val="11"/>
          <w:szCs w:val="11"/>
        </w:rPr>
        <w:t>］</w:t>
      </w:r>
      <w:r>
        <w:rPr>
          <w:rFonts w:ascii="微软雅黑" w:hAnsi="微软雅黑" w:eastAsia="微软雅黑" w:cs="微软雅黑"/>
          <w:spacing w:val="-21"/>
          <w:sz w:val="20"/>
          <w:szCs w:val="20"/>
        </w:rPr>
        <w:t>。</w:t>
      </w:r>
      <w:r>
        <w:rPr>
          <w:rFonts w:ascii="宋体" w:hAnsi="宋体" w:eastAsia="宋体" w:cs="宋体"/>
          <w:spacing w:val="-21"/>
          <w:sz w:val="20"/>
          <w:szCs w:val="20"/>
        </w:rPr>
        <w:t>将企业质量文化的理念引入大学文化，建设大学质</w:t>
      </w:r>
      <w:r>
        <w:rPr>
          <w:rFonts w:ascii="宋体" w:hAnsi="宋体" w:eastAsia="宋体" w:cs="宋体"/>
          <w:spacing w:val="15"/>
          <w:sz w:val="20"/>
          <w:szCs w:val="20"/>
        </w:rPr>
        <w:t xml:space="preserve"> </w:t>
      </w:r>
      <w:r>
        <w:rPr>
          <w:rFonts w:ascii="宋体" w:hAnsi="宋体" w:eastAsia="宋体" w:cs="宋体"/>
          <w:spacing w:val="-20"/>
          <w:w w:val="98"/>
          <w:sz w:val="20"/>
          <w:szCs w:val="20"/>
        </w:rPr>
        <w:t>量文化</w:t>
      </w:r>
      <w:r>
        <w:rPr>
          <w:rFonts w:ascii="宋体" w:hAnsi="宋体" w:eastAsia="宋体" w:cs="宋体"/>
          <w:spacing w:val="-20"/>
          <w:w w:val="98"/>
          <w:position w:val="1"/>
          <w:sz w:val="20"/>
          <w:szCs w:val="20"/>
        </w:rPr>
        <w:t>，</w:t>
      </w:r>
      <w:r>
        <w:rPr>
          <w:rFonts w:ascii="宋体" w:hAnsi="宋体" w:eastAsia="宋体" w:cs="宋体"/>
          <w:spacing w:val="-19"/>
          <w:w w:val="98"/>
          <w:sz w:val="20"/>
          <w:szCs w:val="20"/>
        </w:rPr>
        <w:t>将高等教育的质量保障工作由增强质量意识</w:t>
      </w:r>
      <w:r>
        <w:rPr>
          <w:rFonts w:ascii="微软雅黑" w:hAnsi="微软雅黑" w:eastAsia="微软雅黑" w:cs="微软雅黑"/>
          <w:spacing w:val="-19"/>
          <w:w w:val="98"/>
          <w:position w:val="1"/>
          <w:sz w:val="20"/>
          <w:szCs w:val="20"/>
        </w:rPr>
        <w:t>、</w:t>
      </w:r>
      <w:r>
        <w:rPr>
          <w:rFonts w:ascii="宋体" w:hAnsi="宋体" w:eastAsia="宋体" w:cs="宋体"/>
          <w:spacing w:val="-19"/>
          <w:w w:val="98"/>
          <w:sz w:val="20"/>
          <w:szCs w:val="20"/>
        </w:rPr>
        <w:t>完</w:t>
      </w:r>
      <w:r>
        <w:rPr>
          <w:rFonts w:ascii="宋体" w:hAnsi="宋体" w:eastAsia="宋体" w:cs="宋体"/>
          <w:spacing w:val="-15"/>
          <w:w w:val="98"/>
          <w:sz w:val="20"/>
          <w:szCs w:val="20"/>
        </w:rPr>
        <w:t>善</w:t>
      </w:r>
      <w:r>
        <w:rPr>
          <w:rFonts w:ascii="宋体" w:hAnsi="宋体" w:eastAsia="宋体" w:cs="宋体"/>
          <w:spacing w:val="24"/>
          <w:sz w:val="20"/>
          <w:szCs w:val="20"/>
        </w:rPr>
        <w:t xml:space="preserve"> </w:t>
      </w:r>
      <w:r>
        <w:rPr>
          <w:rFonts w:ascii="宋体" w:hAnsi="宋体" w:eastAsia="宋体" w:cs="宋体"/>
          <w:spacing w:val="-19"/>
          <w:w w:val="98"/>
          <w:sz w:val="20"/>
          <w:szCs w:val="20"/>
        </w:rPr>
        <w:t>制度体系上升到文化建设层面</w:t>
      </w:r>
      <w:r>
        <w:rPr>
          <w:rFonts w:ascii="宋体" w:hAnsi="宋体" w:eastAsia="宋体" w:cs="宋体"/>
          <w:spacing w:val="-19"/>
          <w:w w:val="98"/>
          <w:position w:val="1"/>
          <w:sz w:val="20"/>
          <w:szCs w:val="20"/>
        </w:rPr>
        <w:t>，</w:t>
      </w:r>
      <w:r>
        <w:rPr>
          <w:rFonts w:ascii="宋体" w:hAnsi="宋体" w:eastAsia="宋体" w:cs="宋体"/>
          <w:spacing w:val="-19"/>
          <w:w w:val="98"/>
          <w:sz w:val="20"/>
          <w:szCs w:val="20"/>
        </w:rPr>
        <w:t>可以实现教育质量提升由外</w:t>
      </w:r>
      <w:r>
        <w:rPr>
          <w:rFonts w:ascii="宋体" w:hAnsi="宋体" w:eastAsia="宋体" w:cs="宋体"/>
          <w:spacing w:val="22"/>
          <w:sz w:val="20"/>
          <w:szCs w:val="20"/>
        </w:rPr>
        <w:t xml:space="preserve"> </w:t>
      </w:r>
      <w:r>
        <w:rPr>
          <w:rFonts w:ascii="宋体" w:hAnsi="宋体" w:eastAsia="宋体" w:cs="宋体"/>
          <w:spacing w:val="-19"/>
          <w:sz w:val="20"/>
          <w:szCs w:val="20"/>
        </w:rPr>
        <w:t>部的约束向内部的自觉转变</w:t>
      </w:r>
      <w:r>
        <w:rPr>
          <w:rFonts w:ascii="微软雅黑" w:hAnsi="微软雅黑" w:eastAsia="微软雅黑" w:cs="微软雅黑"/>
          <w:spacing w:val="-19"/>
          <w:position w:val="1"/>
          <w:sz w:val="20"/>
          <w:szCs w:val="20"/>
        </w:rPr>
        <w:t>。</w:t>
      </w:r>
    </w:p>
    <w:p>
      <w:pPr>
        <w:spacing w:before="64" w:line="235" w:lineRule="auto"/>
        <w:ind w:right="4" w:firstLine="390"/>
        <w:jc w:val="both"/>
        <w:rPr>
          <w:rFonts w:ascii="微软雅黑" w:hAnsi="微软雅黑" w:eastAsia="微软雅黑" w:cs="微软雅黑"/>
          <w:sz w:val="20"/>
          <w:szCs w:val="20"/>
        </w:rPr>
      </w:pPr>
      <w:r>
        <w:rPr>
          <w:rFonts w:ascii="宋体" w:hAnsi="宋体" w:eastAsia="宋体" w:cs="宋体"/>
          <w:spacing w:val="-21"/>
          <w:sz w:val="20"/>
          <w:szCs w:val="20"/>
        </w:rPr>
        <w:t>自</w:t>
      </w:r>
      <w:r>
        <w:rPr>
          <w:rFonts w:ascii="宋体" w:hAnsi="宋体" w:eastAsia="宋体" w:cs="宋体"/>
          <w:spacing w:val="-56"/>
          <w:sz w:val="20"/>
          <w:szCs w:val="20"/>
        </w:rPr>
        <w:t xml:space="preserve"> </w:t>
      </w:r>
      <w:r>
        <w:rPr>
          <w:rFonts w:ascii="微软雅黑" w:hAnsi="微软雅黑" w:eastAsia="微软雅黑" w:cs="微软雅黑"/>
          <w:spacing w:val="-21"/>
          <w:sz w:val="20"/>
          <w:szCs w:val="20"/>
        </w:rPr>
        <w:t xml:space="preserve">21 </w:t>
      </w:r>
      <w:r>
        <w:rPr>
          <w:rFonts w:ascii="宋体" w:hAnsi="宋体" w:eastAsia="宋体" w:cs="宋体"/>
          <w:spacing w:val="-21"/>
          <w:sz w:val="20"/>
          <w:szCs w:val="20"/>
        </w:rPr>
        <w:t>世</w:t>
      </w:r>
      <w:r>
        <w:rPr>
          <w:rFonts w:ascii="宋体" w:hAnsi="宋体" w:eastAsia="宋体" w:cs="宋体"/>
          <w:spacing w:val="-20"/>
          <w:sz w:val="20"/>
          <w:szCs w:val="20"/>
        </w:rPr>
        <w:t>纪以来，欧洲国家对大学质量文化建</w:t>
      </w:r>
      <w:r>
        <w:rPr>
          <w:rFonts w:ascii="宋体" w:hAnsi="宋体" w:eastAsia="宋体" w:cs="宋体"/>
          <w:spacing w:val="-21"/>
          <w:sz w:val="20"/>
          <w:szCs w:val="20"/>
        </w:rPr>
        <w:t>设高度</w:t>
      </w:r>
      <w:r>
        <w:rPr>
          <w:rFonts w:ascii="宋体" w:hAnsi="宋体" w:eastAsia="宋体" w:cs="宋体"/>
          <w:spacing w:val="-16"/>
          <w:sz w:val="20"/>
          <w:szCs w:val="20"/>
        </w:rPr>
        <w:t>重</w:t>
      </w:r>
      <w:r>
        <w:rPr>
          <w:rFonts w:ascii="宋体" w:hAnsi="宋体" w:eastAsia="宋体" w:cs="宋体"/>
          <w:sz w:val="20"/>
          <w:szCs w:val="20"/>
        </w:rPr>
        <w:t xml:space="preserve"> </w:t>
      </w:r>
      <w:r>
        <w:rPr>
          <w:rFonts w:ascii="宋体" w:hAnsi="宋体" w:eastAsia="宋体" w:cs="宋体"/>
          <w:spacing w:val="-18"/>
          <w:w w:val="97"/>
          <w:sz w:val="20"/>
          <w:szCs w:val="20"/>
        </w:rPr>
        <w:t>视，欧洲大学联合会(</w:t>
      </w:r>
      <w:r>
        <w:rPr>
          <w:rFonts w:ascii="微软雅黑" w:hAnsi="微软雅黑" w:eastAsia="微软雅黑" w:cs="微软雅黑"/>
          <w:spacing w:val="-18"/>
          <w:w w:val="97"/>
          <w:sz w:val="20"/>
          <w:szCs w:val="20"/>
        </w:rPr>
        <w:t>EUA</w:t>
      </w:r>
      <w:r>
        <w:rPr>
          <w:rFonts w:ascii="宋体" w:hAnsi="宋体" w:eastAsia="宋体" w:cs="宋体"/>
          <w:spacing w:val="-18"/>
          <w:w w:val="97"/>
          <w:sz w:val="20"/>
          <w:szCs w:val="20"/>
        </w:rPr>
        <w:t>)</w:t>
      </w:r>
      <w:r>
        <w:rPr>
          <w:rFonts w:ascii="宋体" w:hAnsi="宋体" w:eastAsia="宋体" w:cs="宋体"/>
          <w:spacing w:val="-14"/>
          <w:sz w:val="20"/>
          <w:szCs w:val="20"/>
        </w:rPr>
        <w:t xml:space="preserve"> </w:t>
      </w:r>
      <w:r>
        <w:rPr>
          <w:rFonts w:ascii="宋体" w:hAnsi="宋体" w:eastAsia="宋体" w:cs="宋体"/>
          <w:spacing w:val="-18"/>
          <w:w w:val="97"/>
          <w:sz w:val="20"/>
          <w:szCs w:val="20"/>
        </w:rPr>
        <w:t>在其</w:t>
      </w:r>
      <w:r>
        <w:rPr>
          <w:rFonts w:ascii="微软雅黑" w:hAnsi="微软雅黑" w:eastAsia="微软雅黑" w:cs="微软雅黑"/>
          <w:spacing w:val="-18"/>
          <w:w w:val="97"/>
          <w:sz w:val="20"/>
          <w:szCs w:val="20"/>
        </w:rPr>
        <w:t>“</w:t>
      </w:r>
      <w:r>
        <w:rPr>
          <w:rFonts w:ascii="宋体" w:hAnsi="宋体" w:eastAsia="宋体" w:cs="宋体"/>
          <w:spacing w:val="-18"/>
          <w:w w:val="97"/>
          <w:sz w:val="20"/>
          <w:szCs w:val="20"/>
        </w:rPr>
        <w:t>质量文化课题</w:t>
      </w:r>
      <w:r>
        <w:rPr>
          <w:rFonts w:ascii="微软雅黑" w:hAnsi="微软雅黑" w:eastAsia="微软雅黑" w:cs="微软雅黑"/>
          <w:spacing w:val="-18"/>
          <w:w w:val="97"/>
          <w:sz w:val="20"/>
          <w:szCs w:val="20"/>
        </w:rPr>
        <w:t>”</w:t>
      </w:r>
      <w:r>
        <w:rPr>
          <w:rFonts w:ascii="宋体" w:hAnsi="宋体" w:eastAsia="宋体" w:cs="宋体"/>
          <w:spacing w:val="-18"/>
          <w:w w:val="97"/>
          <w:sz w:val="20"/>
          <w:szCs w:val="20"/>
        </w:rPr>
        <w:t>研究报告</w:t>
      </w:r>
      <w:r>
        <w:rPr>
          <w:rFonts w:ascii="宋体" w:hAnsi="宋体" w:eastAsia="宋体" w:cs="宋体"/>
          <w:sz w:val="20"/>
          <w:szCs w:val="20"/>
        </w:rPr>
        <w:t xml:space="preserve"> </w:t>
      </w:r>
      <w:r>
        <w:rPr>
          <w:rFonts w:ascii="宋体" w:hAnsi="宋体" w:eastAsia="宋体" w:cs="宋体"/>
          <w:spacing w:val="-18"/>
          <w:w w:val="97"/>
          <w:sz w:val="20"/>
          <w:szCs w:val="20"/>
        </w:rPr>
        <w:t>中将大</w:t>
      </w:r>
      <w:r>
        <w:rPr>
          <w:rFonts w:ascii="宋体" w:hAnsi="宋体" w:eastAsia="宋体" w:cs="宋体"/>
          <w:spacing w:val="-17"/>
          <w:w w:val="97"/>
          <w:sz w:val="20"/>
          <w:szCs w:val="20"/>
        </w:rPr>
        <w:t>学质量文化建设定义为</w:t>
      </w:r>
      <w:r>
        <w:rPr>
          <w:rFonts w:ascii="微软雅黑" w:hAnsi="微软雅黑" w:eastAsia="微软雅黑" w:cs="微软雅黑"/>
          <w:spacing w:val="-17"/>
          <w:w w:val="97"/>
          <w:sz w:val="20"/>
          <w:szCs w:val="20"/>
        </w:rPr>
        <w:t>“</w:t>
      </w:r>
      <w:r>
        <w:rPr>
          <w:rFonts w:ascii="宋体" w:hAnsi="宋体" w:eastAsia="宋体" w:cs="宋体"/>
          <w:spacing w:val="-17"/>
          <w:w w:val="97"/>
          <w:sz w:val="20"/>
          <w:szCs w:val="20"/>
        </w:rPr>
        <w:t>一种致力于永久性提高质</w:t>
      </w:r>
      <w:r>
        <w:rPr>
          <w:rFonts w:ascii="宋体" w:hAnsi="宋体" w:eastAsia="宋体" w:cs="宋体"/>
          <w:spacing w:val="-14"/>
          <w:w w:val="97"/>
          <w:sz w:val="20"/>
          <w:szCs w:val="20"/>
        </w:rPr>
        <w:t>量</w:t>
      </w:r>
      <w:r>
        <w:rPr>
          <w:rFonts w:ascii="宋体" w:hAnsi="宋体" w:eastAsia="宋体" w:cs="宋体"/>
          <w:spacing w:val="23"/>
          <w:sz w:val="20"/>
          <w:szCs w:val="20"/>
        </w:rPr>
        <w:t xml:space="preserve"> </w:t>
      </w:r>
      <w:r>
        <w:rPr>
          <w:rFonts w:ascii="宋体" w:hAnsi="宋体" w:eastAsia="宋体" w:cs="宋体"/>
          <w:spacing w:val="-19"/>
          <w:w w:val="96"/>
          <w:sz w:val="20"/>
          <w:szCs w:val="20"/>
        </w:rPr>
        <w:t>的机构文化</w:t>
      </w:r>
      <w:r>
        <w:rPr>
          <w:rFonts w:ascii="微软雅黑" w:hAnsi="微软雅黑" w:eastAsia="微软雅黑" w:cs="微软雅黑"/>
          <w:spacing w:val="-19"/>
          <w:w w:val="96"/>
          <w:sz w:val="20"/>
          <w:szCs w:val="20"/>
        </w:rPr>
        <w:t>”</w:t>
      </w:r>
      <w:r>
        <w:rPr>
          <w:rFonts w:ascii="宋体" w:hAnsi="宋体" w:eastAsia="宋体" w:cs="宋体"/>
          <w:spacing w:val="-19"/>
          <w:w w:val="96"/>
          <w:sz w:val="20"/>
          <w:szCs w:val="20"/>
        </w:rPr>
        <w:t>，具有文化与机构两大元素</w:t>
      </w:r>
      <w:r>
        <w:rPr>
          <w:rFonts w:ascii="宋体" w:hAnsi="宋体" w:eastAsia="宋体" w:cs="宋体"/>
          <w:spacing w:val="-19"/>
          <w:w w:val="96"/>
          <w:position w:val="10"/>
          <w:sz w:val="11"/>
          <w:szCs w:val="11"/>
        </w:rPr>
        <w:t>［</w:t>
      </w:r>
      <w:r>
        <w:rPr>
          <w:rFonts w:ascii="微软雅黑" w:hAnsi="微软雅黑" w:eastAsia="微软雅黑" w:cs="微软雅黑"/>
          <w:spacing w:val="-19"/>
          <w:w w:val="96"/>
          <w:position w:val="10"/>
          <w:sz w:val="11"/>
          <w:szCs w:val="11"/>
        </w:rPr>
        <w:t>4</w:t>
      </w:r>
      <w:r>
        <w:rPr>
          <w:rFonts w:ascii="宋体" w:hAnsi="宋体" w:eastAsia="宋体" w:cs="宋体"/>
          <w:spacing w:val="-19"/>
          <w:w w:val="96"/>
          <w:position w:val="10"/>
          <w:sz w:val="11"/>
          <w:szCs w:val="11"/>
        </w:rPr>
        <w:t>］</w:t>
      </w:r>
      <w:r>
        <w:rPr>
          <w:rFonts w:ascii="微软雅黑" w:hAnsi="微软雅黑" w:eastAsia="微软雅黑" w:cs="微软雅黑"/>
          <w:spacing w:val="-15"/>
          <w:sz w:val="20"/>
          <w:szCs w:val="20"/>
        </w:rPr>
        <w:t>。</w:t>
      </w:r>
      <w:r>
        <w:rPr>
          <w:rFonts w:ascii="宋体" w:hAnsi="宋体" w:eastAsia="宋体" w:cs="宋体"/>
          <w:spacing w:val="-15"/>
          <w:sz w:val="20"/>
          <w:szCs w:val="20"/>
        </w:rPr>
        <w:t>我国对大学质</w:t>
      </w:r>
      <w:r>
        <w:rPr>
          <w:rFonts w:ascii="宋体" w:hAnsi="宋体" w:eastAsia="宋体" w:cs="宋体"/>
          <w:spacing w:val="1"/>
          <w:sz w:val="20"/>
          <w:szCs w:val="20"/>
        </w:rPr>
        <w:t xml:space="preserve"> </w:t>
      </w:r>
      <w:r>
        <w:rPr>
          <w:rFonts w:ascii="宋体" w:hAnsi="宋体" w:eastAsia="宋体" w:cs="宋体"/>
          <w:spacing w:val="-20"/>
          <w:w w:val="98"/>
          <w:sz w:val="20"/>
          <w:szCs w:val="20"/>
        </w:rPr>
        <w:t>量文化建</w:t>
      </w:r>
      <w:r>
        <w:rPr>
          <w:rFonts w:ascii="宋体" w:hAnsi="宋体" w:eastAsia="宋体" w:cs="宋体"/>
          <w:spacing w:val="-19"/>
          <w:w w:val="98"/>
          <w:sz w:val="20"/>
          <w:szCs w:val="20"/>
        </w:rPr>
        <w:t>设的重视虽然略晚于欧洲国家</w:t>
      </w:r>
      <w:r>
        <w:rPr>
          <w:rFonts w:ascii="宋体" w:hAnsi="宋体" w:eastAsia="宋体" w:cs="宋体"/>
          <w:spacing w:val="-19"/>
          <w:w w:val="98"/>
          <w:position w:val="1"/>
          <w:sz w:val="20"/>
          <w:szCs w:val="20"/>
        </w:rPr>
        <w:t>，</w:t>
      </w:r>
      <w:r>
        <w:rPr>
          <w:rFonts w:ascii="宋体" w:hAnsi="宋体" w:eastAsia="宋体" w:cs="宋体"/>
          <w:spacing w:val="-19"/>
          <w:w w:val="98"/>
          <w:sz w:val="20"/>
          <w:szCs w:val="20"/>
        </w:rPr>
        <w:t>但是随着我国高</w:t>
      </w:r>
      <w:r>
        <w:rPr>
          <w:rFonts w:ascii="宋体" w:hAnsi="宋体" w:eastAsia="宋体" w:cs="宋体"/>
          <w:spacing w:val="-15"/>
          <w:w w:val="98"/>
          <w:sz w:val="20"/>
          <w:szCs w:val="20"/>
        </w:rPr>
        <w:t>等</w:t>
      </w:r>
      <w:r>
        <w:rPr>
          <w:rFonts w:ascii="宋体" w:hAnsi="宋体" w:eastAsia="宋体" w:cs="宋体"/>
          <w:spacing w:val="24"/>
          <w:sz w:val="20"/>
          <w:szCs w:val="20"/>
        </w:rPr>
        <w:t xml:space="preserve"> </w:t>
      </w:r>
      <w:r>
        <w:rPr>
          <w:rFonts w:ascii="宋体" w:hAnsi="宋体" w:eastAsia="宋体" w:cs="宋体"/>
          <w:spacing w:val="-23"/>
          <w:sz w:val="20"/>
          <w:szCs w:val="20"/>
        </w:rPr>
        <w:t>教育教学改革的深化以</w:t>
      </w:r>
      <w:r>
        <w:rPr>
          <w:rFonts w:ascii="宋体" w:hAnsi="宋体" w:eastAsia="宋体" w:cs="宋体"/>
          <w:spacing w:val="-22"/>
          <w:sz w:val="20"/>
          <w:szCs w:val="20"/>
        </w:rPr>
        <w:t>及高校内涵式发展的不断推进</w:t>
      </w:r>
      <w:r>
        <w:rPr>
          <w:rFonts w:ascii="宋体" w:hAnsi="宋体" w:eastAsia="宋体" w:cs="宋体"/>
          <w:spacing w:val="-22"/>
          <w:position w:val="1"/>
          <w:sz w:val="20"/>
          <w:szCs w:val="20"/>
        </w:rPr>
        <w:t>，</w:t>
      </w:r>
      <w:r>
        <w:rPr>
          <w:rFonts w:ascii="宋体" w:hAnsi="宋体" w:eastAsia="宋体" w:cs="宋体"/>
          <w:spacing w:val="-22"/>
          <w:sz w:val="20"/>
          <w:szCs w:val="20"/>
        </w:rPr>
        <w:t>质</w:t>
      </w:r>
      <w:r>
        <w:rPr>
          <w:rFonts w:ascii="宋体" w:hAnsi="宋体" w:eastAsia="宋体" w:cs="宋体"/>
          <w:spacing w:val="-12"/>
          <w:sz w:val="20"/>
          <w:szCs w:val="20"/>
        </w:rPr>
        <w:t>量</w:t>
      </w:r>
      <w:r>
        <w:rPr>
          <w:rFonts w:ascii="宋体" w:hAnsi="宋体" w:eastAsia="宋体" w:cs="宋体"/>
          <w:sz w:val="20"/>
          <w:szCs w:val="20"/>
        </w:rPr>
        <w:t xml:space="preserve"> </w:t>
      </w:r>
      <w:r>
        <w:rPr>
          <w:rFonts w:ascii="宋体" w:hAnsi="宋体" w:eastAsia="宋体" w:cs="宋体"/>
          <w:spacing w:val="-17"/>
          <w:w w:val="97"/>
          <w:sz w:val="20"/>
          <w:szCs w:val="20"/>
        </w:rPr>
        <w:t>文化建设业已得到各界的关注</w:t>
      </w:r>
      <w:r>
        <w:rPr>
          <w:rFonts w:ascii="宋体" w:hAnsi="宋体" w:eastAsia="宋体" w:cs="宋体"/>
          <w:spacing w:val="-17"/>
          <w:w w:val="97"/>
          <w:position w:val="1"/>
          <w:sz w:val="20"/>
          <w:szCs w:val="20"/>
        </w:rPr>
        <w:t>，</w:t>
      </w:r>
      <w:r>
        <w:rPr>
          <w:rFonts w:ascii="宋体" w:hAnsi="宋体" w:eastAsia="宋体" w:cs="宋体"/>
          <w:spacing w:val="-17"/>
          <w:w w:val="97"/>
          <w:sz w:val="20"/>
          <w:szCs w:val="20"/>
        </w:rPr>
        <w:t>并逐渐成为高校人才培养质</w:t>
      </w:r>
      <w:r>
        <w:rPr>
          <w:rFonts w:ascii="宋体" w:hAnsi="宋体" w:eastAsia="宋体" w:cs="宋体"/>
          <w:spacing w:val="23"/>
          <w:sz w:val="20"/>
          <w:szCs w:val="20"/>
        </w:rPr>
        <w:t xml:space="preserve"> </w:t>
      </w:r>
      <w:r>
        <w:rPr>
          <w:rFonts w:ascii="宋体" w:hAnsi="宋体" w:eastAsia="宋体" w:cs="宋体"/>
          <w:spacing w:val="-19"/>
          <w:sz w:val="20"/>
          <w:szCs w:val="20"/>
        </w:rPr>
        <w:t>量保障的核心与根本</w:t>
      </w:r>
      <w:r>
        <w:rPr>
          <w:rFonts w:ascii="微软雅黑" w:hAnsi="微软雅黑" w:eastAsia="微软雅黑" w:cs="微软雅黑"/>
          <w:spacing w:val="-19"/>
          <w:position w:val="1"/>
          <w:sz w:val="20"/>
          <w:szCs w:val="20"/>
        </w:rPr>
        <w:t>。</w:t>
      </w:r>
    </w:p>
    <w:p>
      <w:pPr>
        <w:spacing w:before="55" w:line="234" w:lineRule="auto"/>
        <w:ind w:firstLine="361"/>
        <w:jc w:val="both"/>
        <w:rPr>
          <w:rFonts w:ascii="宋体" w:hAnsi="宋体" w:eastAsia="宋体" w:cs="宋体"/>
          <w:sz w:val="20"/>
          <w:szCs w:val="20"/>
        </w:rPr>
      </w:pPr>
      <w:r>
        <w:rPr>
          <w:rFonts w:ascii="宋体" w:hAnsi="宋体" w:eastAsia="宋体" w:cs="宋体"/>
          <w:spacing w:val="-18"/>
          <w:w w:val="97"/>
          <w:sz w:val="20"/>
          <w:szCs w:val="20"/>
        </w:rPr>
        <w:t>加强一流本科教</w:t>
      </w:r>
      <w:r>
        <w:rPr>
          <w:rFonts w:ascii="宋体" w:hAnsi="宋体" w:eastAsia="宋体" w:cs="宋体"/>
          <w:spacing w:val="-17"/>
          <w:w w:val="97"/>
          <w:sz w:val="20"/>
          <w:szCs w:val="20"/>
        </w:rPr>
        <w:t>育离不开大学质量文化建设</w:t>
      </w:r>
      <w:r>
        <w:rPr>
          <w:rFonts w:ascii="微软雅黑" w:hAnsi="微软雅黑" w:eastAsia="微软雅黑" w:cs="微软雅黑"/>
          <w:spacing w:val="-17"/>
          <w:w w:val="97"/>
          <w:position w:val="1"/>
          <w:sz w:val="20"/>
          <w:szCs w:val="20"/>
        </w:rPr>
        <w:t>。</w:t>
      </w:r>
      <w:r>
        <w:rPr>
          <w:rFonts w:ascii="宋体" w:hAnsi="宋体" w:eastAsia="宋体" w:cs="宋体"/>
          <w:spacing w:val="-17"/>
          <w:w w:val="97"/>
          <w:sz w:val="20"/>
          <w:szCs w:val="20"/>
        </w:rPr>
        <w:t>加强一</w:t>
      </w:r>
      <w:r>
        <w:rPr>
          <w:rFonts w:ascii="宋体" w:hAnsi="宋体" w:eastAsia="宋体" w:cs="宋体"/>
          <w:spacing w:val="-10"/>
          <w:w w:val="97"/>
          <w:sz w:val="20"/>
          <w:szCs w:val="20"/>
        </w:rPr>
        <w:t>流</w:t>
      </w:r>
      <w:r>
        <w:rPr>
          <w:rFonts w:ascii="宋体" w:hAnsi="宋体" w:eastAsia="宋体" w:cs="宋体"/>
          <w:spacing w:val="20"/>
          <w:sz w:val="20"/>
          <w:szCs w:val="20"/>
        </w:rPr>
        <w:t xml:space="preserve"> </w:t>
      </w:r>
      <w:r>
        <w:rPr>
          <w:rFonts w:ascii="宋体" w:hAnsi="宋体" w:eastAsia="宋体" w:cs="宋体"/>
          <w:spacing w:val="-23"/>
          <w:sz w:val="20"/>
          <w:szCs w:val="20"/>
        </w:rPr>
        <w:t>本科教育是我</w:t>
      </w:r>
      <w:r>
        <w:rPr>
          <w:rFonts w:ascii="宋体" w:hAnsi="宋体" w:eastAsia="宋体" w:cs="宋体"/>
          <w:spacing w:val="-22"/>
          <w:sz w:val="20"/>
          <w:szCs w:val="20"/>
        </w:rPr>
        <w:t>国当下高等教育改革与发展的重要方向</w:t>
      </w:r>
      <w:r>
        <w:rPr>
          <w:rFonts w:ascii="宋体" w:hAnsi="宋体" w:eastAsia="宋体" w:cs="宋体"/>
          <w:spacing w:val="-22"/>
          <w:position w:val="1"/>
          <w:sz w:val="20"/>
          <w:szCs w:val="20"/>
        </w:rPr>
        <w:t>，</w:t>
      </w:r>
      <w:r>
        <w:rPr>
          <w:rFonts w:ascii="宋体" w:hAnsi="宋体" w:eastAsia="宋体" w:cs="宋体"/>
          <w:spacing w:val="-22"/>
          <w:sz w:val="20"/>
          <w:szCs w:val="20"/>
        </w:rPr>
        <w:t>所</w:t>
      </w:r>
      <w:r>
        <w:rPr>
          <w:rFonts w:ascii="宋体" w:hAnsi="宋体" w:eastAsia="宋体" w:cs="宋体"/>
          <w:spacing w:val="-16"/>
          <w:sz w:val="20"/>
          <w:szCs w:val="20"/>
        </w:rPr>
        <w:t>谓</w:t>
      </w:r>
      <w:r>
        <w:rPr>
          <w:rFonts w:ascii="宋体" w:hAnsi="宋体" w:eastAsia="宋体" w:cs="宋体"/>
          <w:spacing w:val="2"/>
          <w:sz w:val="20"/>
          <w:szCs w:val="20"/>
        </w:rPr>
        <w:t xml:space="preserve"> </w:t>
      </w:r>
      <w:r>
        <w:rPr>
          <w:rFonts w:ascii="宋体" w:hAnsi="宋体" w:eastAsia="宋体" w:cs="宋体"/>
          <w:spacing w:val="-16"/>
          <w:w w:val="93"/>
          <w:sz w:val="20"/>
          <w:szCs w:val="20"/>
        </w:rPr>
        <w:t>一流本科</w:t>
      </w:r>
      <w:r>
        <w:rPr>
          <w:rFonts w:ascii="宋体" w:hAnsi="宋体" w:eastAsia="宋体" w:cs="宋体"/>
          <w:spacing w:val="-15"/>
          <w:w w:val="93"/>
          <w:sz w:val="20"/>
          <w:szCs w:val="20"/>
        </w:rPr>
        <w:t>教育至少要具备精英性</w:t>
      </w:r>
      <w:r>
        <w:rPr>
          <w:rFonts w:ascii="微软雅黑" w:hAnsi="微软雅黑" w:eastAsia="微软雅黑" w:cs="微软雅黑"/>
          <w:spacing w:val="-15"/>
          <w:w w:val="93"/>
          <w:position w:val="1"/>
          <w:sz w:val="20"/>
          <w:szCs w:val="20"/>
        </w:rPr>
        <w:t>、</w:t>
      </w:r>
      <w:r>
        <w:rPr>
          <w:rFonts w:ascii="宋体" w:hAnsi="宋体" w:eastAsia="宋体" w:cs="宋体"/>
          <w:spacing w:val="-15"/>
          <w:w w:val="93"/>
          <w:sz w:val="20"/>
          <w:szCs w:val="20"/>
        </w:rPr>
        <w:t>基础性</w:t>
      </w:r>
      <w:r>
        <w:rPr>
          <w:rFonts w:ascii="微软雅黑" w:hAnsi="微软雅黑" w:eastAsia="微软雅黑" w:cs="微软雅黑"/>
          <w:spacing w:val="-15"/>
          <w:w w:val="93"/>
          <w:position w:val="1"/>
          <w:sz w:val="20"/>
          <w:szCs w:val="20"/>
        </w:rPr>
        <w:t>、</w:t>
      </w:r>
      <w:r>
        <w:rPr>
          <w:rFonts w:ascii="宋体" w:hAnsi="宋体" w:eastAsia="宋体" w:cs="宋体"/>
          <w:spacing w:val="-15"/>
          <w:w w:val="93"/>
          <w:sz w:val="20"/>
          <w:szCs w:val="20"/>
        </w:rPr>
        <w:t>综合性和创新性</w:t>
      </w:r>
      <w:r>
        <w:rPr>
          <w:rFonts w:ascii="宋体" w:hAnsi="宋体" w:eastAsia="宋体" w:cs="宋体"/>
          <w:spacing w:val="-11"/>
          <w:w w:val="93"/>
          <w:sz w:val="20"/>
          <w:szCs w:val="20"/>
        </w:rPr>
        <w:t>等</w:t>
      </w:r>
      <w:r>
        <w:rPr>
          <w:rFonts w:ascii="宋体" w:hAnsi="宋体" w:eastAsia="宋体" w:cs="宋体"/>
          <w:spacing w:val="12"/>
          <w:sz w:val="20"/>
          <w:szCs w:val="20"/>
        </w:rPr>
        <w:t xml:space="preserve"> </w:t>
      </w:r>
      <w:r>
        <w:rPr>
          <w:rFonts w:ascii="宋体" w:hAnsi="宋体" w:eastAsia="宋体" w:cs="宋体"/>
          <w:spacing w:val="-16"/>
          <w:w w:val="93"/>
          <w:sz w:val="20"/>
          <w:szCs w:val="20"/>
        </w:rPr>
        <w:t>基本特征</w:t>
      </w:r>
      <w:r>
        <w:rPr>
          <w:rFonts w:ascii="宋体" w:hAnsi="宋体" w:eastAsia="宋体" w:cs="宋体"/>
          <w:spacing w:val="-15"/>
          <w:w w:val="93"/>
          <w:position w:val="1"/>
          <w:sz w:val="20"/>
          <w:szCs w:val="20"/>
        </w:rPr>
        <w:t>，</w:t>
      </w:r>
      <w:r>
        <w:rPr>
          <w:rFonts w:ascii="宋体" w:hAnsi="宋体" w:eastAsia="宋体" w:cs="宋体"/>
          <w:spacing w:val="-15"/>
          <w:w w:val="93"/>
          <w:sz w:val="20"/>
          <w:szCs w:val="20"/>
        </w:rPr>
        <w:t>这些基本特征要反映在高校选择性的本科招生</w:t>
      </w:r>
      <w:r>
        <w:rPr>
          <w:rFonts w:ascii="微软雅黑" w:hAnsi="微软雅黑" w:eastAsia="微软雅黑" w:cs="微软雅黑"/>
          <w:spacing w:val="-15"/>
          <w:w w:val="93"/>
          <w:position w:val="1"/>
          <w:sz w:val="20"/>
          <w:szCs w:val="20"/>
        </w:rPr>
        <w:t>、</w:t>
      </w:r>
      <w:r>
        <w:rPr>
          <w:rFonts w:ascii="宋体" w:hAnsi="宋体" w:eastAsia="宋体" w:cs="宋体"/>
          <w:spacing w:val="-11"/>
          <w:w w:val="93"/>
          <w:sz w:val="20"/>
          <w:szCs w:val="20"/>
        </w:rPr>
        <w:t>一</w:t>
      </w:r>
      <w:r>
        <w:rPr>
          <w:rFonts w:ascii="宋体" w:hAnsi="宋体" w:eastAsia="宋体" w:cs="宋体"/>
          <w:spacing w:val="14"/>
          <w:sz w:val="20"/>
          <w:szCs w:val="20"/>
        </w:rPr>
        <w:t xml:space="preserve"> </w:t>
      </w:r>
      <w:r>
        <w:rPr>
          <w:rFonts w:ascii="宋体" w:hAnsi="宋体" w:eastAsia="宋体" w:cs="宋体"/>
          <w:spacing w:val="-20"/>
          <w:w w:val="95"/>
          <w:sz w:val="20"/>
          <w:szCs w:val="20"/>
        </w:rPr>
        <w:t>流的人才培养体系</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一流的课程教学与学习能力</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一流教学</w:t>
      </w:r>
      <w:r>
        <w:rPr>
          <w:rFonts w:ascii="宋体" w:hAnsi="宋体" w:eastAsia="宋体" w:cs="宋体"/>
          <w:spacing w:val="-11"/>
          <w:w w:val="95"/>
          <w:sz w:val="20"/>
          <w:szCs w:val="20"/>
        </w:rPr>
        <w:t>设</w:t>
      </w:r>
      <w:r>
        <w:rPr>
          <w:rFonts w:ascii="宋体" w:hAnsi="宋体" w:eastAsia="宋体" w:cs="宋体"/>
          <w:spacing w:val="13"/>
          <w:sz w:val="20"/>
          <w:szCs w:val="20"/>
        </w:rPr>
        <w:t xml:space="preserve"> </w:t>
      </w:r>
      <w:r>
        <w:rPr>
          <w:rFonts w:ascii="宋体" w:hAnsi="宋体" w:eastAsia="宋体" w:cs="宋体"/>
          <w:spacing w:val="-17"/>
          <w:w w:val="97"/>
          <w:sz w:val="20"/>
          <w:szCs w:val="20"/>
        </w:rPr>
        <w:t>施条件和</w:t>
      </w:r>
      <w:r>
        <w:rPr>
          <w:rFonts w:ascii="宋体" w:hAnsi="宋体" w:eastAsia="宋体" w:cs="宋体"/>
          <w:spacing w:val="-16"/>
          <w:w w:val="97"/>
          <w:sz w:val="20"/>
          <w:szCs w:val="20"/>
        </w:rPr>
        <w:t>一流教学质量保障等各个层面</w:t>
      </w:r>
      <w:r>
        <w:rPr>
          <w:rFonts w:ascii="微软雅黑" w:hAnsi="微软雅黑" w:eastAsia="微软雅黑" w:cs="微软雅黑"/>
          <w:spacing w:val="-16"/>
          <w:w w:val="97"/>
          <w:sz w:val="20"/>
          <w:szCs w:val="20"/>
        </w:rPr>
        <w:t>。“</w:t>
      </w:r>
      <w:r>
        <w:rPr>
          <w:rFonts w:ascii="宋体" w:hAnsi="宋体" w:eastAsia="宋体" w:cs="宋体"/>
          <w:spacing w:val="-16"/>
          <w:w w:val="97"/>
          <w:sz w:val="20"/>
          <w:szCs w:val="20"/>
        </w:rPr>
        <w:t>本科教育是基</w:t>
      </w:r>
      <w:r>
        <w:rPr>
          <w:rFonts w:ascii="宋体" w:hAnsi="宋体" w:eastAsia="宋体" w:cs="宋体"/>
          <w:spacing w:val="-12"/>
          <w:w w:val="97"/>
          <w:sz w:val="20"/>
          <w:szCs w:val="20"/>
        </w:rPr>
        <w:t>础</w:t>
      </w:r>
      <w:r>
        <w:rPr>
          <w:rFonts w:ascii="宋体" w:hAnsi="宋体" w:eastAsia="宋体" w:cs="宋体"/>
          <w:spacing w:val="2"/>
          <w:sz w:val="20"/>
          <w:szCs w:val="20"/>
        </w:rPr>
        <w:t xml:space="preserve"> </w:t>
      </w:r>
      <w:r>
        <w:rPr>
          <w:rFonts w:ascii="宋体" w:hAnsi="宋体" w:eastAsia="宋体" w:cs="宋体"/>
          <w:spacing w:val="-18"/>
          <w:w w:val="98"/>
          <w:sz w:val="20"/>
          <w:szCs w:val="20"/>
        </w:rPr>
        <w:t>性和综合性特征</w:t>
      </w:r>
      <w:r>
        <w:rPr>
          <w:rFonts w:ascii="宋体" w:hAnsi="宋体" w:eastAsia="宋体" w:cs="宋体"/>
          <w:spacing w:val="-18"/>
          <w:w w:val="98"/>
          <w:position w:val="1"/>
          <w:sz w:val="20"/>
          <w:szCs w:val="20"/>
        </w:rPr>
        <w:t>，</w:t>
      </w:r>
      <w:r>
        <w:rPr>
          <w:rFonts w:ascii="宋体" w:hAnsi="宋体" w:eastAsia="宋体" w:cs="宋体"/>
          <w:spacing w:val="-18"/>
          <w:w w:val="98"/>
          <w:sz w:val="20"/>
          <w:szCs w:val="20"/>
        </w:rPr>
        <w:t>造就一流本科人才并不一定要有高精尖的</w:t>
      </w:r>
      <w:r>
        <w:rPr>
          <w:rFonts w:ascii="宋体" w:hAnsi="宋体" w:eastAsia="宋体" w:cs="宋体"/>
          <w:sz w:val="20"/>
          <w:szCs w:val="20"/>
        </w:rPr>
        <w:t xml:space="preserve"> </w:t>
      </w:r>
      <w:r>
        <w:rPr>
          <w:rFonts w:ascii="宋体" w:hAnsi="宋体" w:eastAsia="宋体" w:cs="宋体"/>
          <w:spacing w:val="-19"/>
          <w:w w:val="97"/>
          <w:sz w:val="20"/>
          <w:szCs w:val="20"/>
        </w:rPr>
        <w:t>设备和特别高水平的师资队伍</w:t>
      </w:r>
      <w:r>
        <w:rPr>
          <w:rFonts w:ascii="微软雅黑" w:hAnsi="微软雅黑" w:eastAsia="微软雅黑" w:cs="微软雅黑"/>
          <w:spacing w:val="-19"/>
          <w:w w:val="97"/>
          <w:sz w:val="20"/>
          <w:szCs w:val="20"/>
        </w:rPr>
        <w:t>”</w:t>
      </w:r>
      <w:r>
        <w:rPr>
          <w:rFonts w:ascii="宋体" w:hAnsi="宋体" w:eastAsia="宋体" w:cs="宋体"/>
          <w:spacing w:val="-19"/>
          <w:w w:val="97"/>
          <w:position w:val="9"/>
          <w:sz w:val="11"/>
          <w:szCs w:val="11"/>
        </w:rPr>
        <w:t>［</w:t>
      </w:r>
      <w:r>
        <w:rPr>
          <w:rFonts w:ascii="微软雅黑" w:hAnsi="微软雅黑" w:eastAsia="微软雅黑" w:cs="微软雅黑"/>
          <w:spacing w:val="-19"/>
          <w:w w:val="97"/>
          <w:position w:val="9"/>
          <w:sz w:val="11"/>
          <w:szCs w:val="11"/>
        </w:rPr>
        <w:t>5</w:t>
      </w:r>
      <w:r>
        <w:rPr>
          <w:rFonts w:ascii="宋体" w:hAnsi="宋体" w:eastAsia="宋体" w:cs="宋体"/>
          <w:spacing w:val="-4"/>
          <w:position w:val="9"/>
          <w:sz w:val="11"/>
          <w:szCs w:val="11"/>
        </w:rPr>
        <w:t>］</w:t>
      </w:r>
      <w:r>
        <w:rPr>
          <w:rFonts w:ascii="宋体" w:hAnsi="宋体" w:eastAsia="宋体" w:cs="宋体"/>
          <w:spacing w:val="-36"/>
          <w:w w:val="76"/>
          <w:sz w:val="20"/>
          <w:szCs w:val="20"/>
        </w:rPr>
        <w:t>，</w:t>
      </w:r>
      <w:r>
        <w:rPr>
          <w:rFonts w:ascii="宋体" w:hAnsi="宋体" w:eastAsia="宋体" w:cs="宋体"/>
          <w:spacing w:val="-19"/>
          <w:w w:val="92"/>
          <w:sz w:val="20"/>
          <w:szCs w:val="20"/>
        </w:rPr>
        <w:t>因此</w:t>
      </w:r>
      <w:r>
        <w:rPr>
          <w:rFonts w:ascii="微软雅黑" w:hAnsi="微软雅黑" w:eastAsia="微软雅黑" w:cs="微软雅黑"/>
          <w:spacing w:val="-19"/>
          <w:w w:val="92"/>
          <w:sz w:val="20"/>
          <w:szCs w:val="20"/>
        </w:rPr>
        <w:t>“</w:t>
      </w:r>
      <w:r>
        <w:rPr>
          <w:rFonts w:ascii="宋体" w:hAnsi="宋体" w:eastAsia="宋体" w:cs="宋体"/>
          <w:spacing w:val="-19"/>
          <w:w w:val="92"/>
          <w:sz w:val="20"/>
          <w:szCs w:val="20"/>
        </w:rPr>
        <w:t>双一流</w:t>
      </w:r>
      <w:r>
        <w:rPr>
          <w:rFonts w:ascii="微软雅黑" w:hAnsi="微软雅黑" w:eastAsia="微软雅黑" w:cs="微软雅黑"/>
          <w:spacing w:val="-19"/>
          <w:w w:val="92"/>
          <w:sz w:val="20"/>
          <w:szCs w:val="20"/>
        </w:rPr>
        <w:t>”</w:t>
      </w:r>
      <w:r>
        <w:rPr>
          <w:rFonts w:ascii="宋体" w:hAnsi="宋体" w:eastAsia="宋体" w:cs="宋体"/>
          <w:spacing w:val="-19"/>
          <w:w w:val="92"/>
          <w:sz w:val="20"/>
          <w:szCs w:val="20"/>
        </w:rPr>
        <w:t>建设</w:t>
      </w:r>
      <w:r>
        <w:rPr>
          <w:rFonts w:ascii="宋体" w:hAnsi="宋体" w:eastAsia="宋体" w:cs="宋体"/>
          <w:spacing w:val="-18"/>
          <w:w w:val="92"/>
          <w:sz w:val="20"/>
          <w:szCs w:val="20"/>
        </w:rPr>
        <w:t>高</w:t>
      </w:r>
      <w:r>
        <w:rPr>
          <w:rFonts w:ascii="宋体" w:hAnsi="宋体" w:eastAsia="宋体" w:cs="宋体"/>
          <w:spacing w:val="-9"/>
          <w:w w:val="92"/>
          <w:sz w:val="20"/>
          <w:szCs w:val="20"/>
        </w:rPr>
        <w:t>校</w:t>
      </w:r>
      <w:r>
        <w:rPr>
          <w:rFonts w:ascii="宋体" w:hAnsi="宋体" w:eastAsia="宋体" w:cs="宋体"/>
          <w:spacing w:val="1"/>
          <w:sz w:val="20"/>
          <w:szCs w:val="20"/>
        </w:rPr>
        <w:t xml:space="preserve"> </w:t>
      </w:r>
      <w:r>
        <w:rPr>
          <w:rFonts w:ascii="宋体" w:hAnsi="宋体" w:eastAsia="宋体" w:cs="宋体"/>
          <w:spacing w:val="-20"/>
          <w:w w:val="95"/>
          <w:sz w:val="20"/>
          <w:szCs w:val="20"/>
        </w:rPr>
        <w:t>并不一定有一流本科</w:t>
      </w:r>
      <w:r>
        <w:rPr>
          <w:rFonts w:ascii="宋体" w:hAnsi="宋体" w:eastAsia="宋体" w:cs="宋体"/>
          <w:spacing w:val="-19"/>
          <w:w w:val="95"/>
          <w:sz w:val="20"/>
          <w:szCs w:val="20"/>
        </w:rPr>
        <w:t>教育</w:t>
      </w:r>
      <w:r>
        <w:rPr>
          <w:rFonts w:ascii="宋体" w:hAnsi="宋体" w:eastAsia="宋体" w:cs="宋体"/>
          <w:spacing w:val="-19"/>
          <w:w w:val="95"/>
          <w:position w:val="1"/>
          <w:sz w:val="20"/>
          <w:szCs w:val="20"/>
        </w:rPr>
        <w:t>，</w:t>
      </w:r>
      <w:r>
        <w:rPr>
          <w:rFonts w:ascii="宋体" w:hAnsi="宋体" w:eastAsia="宋体" w:cs="宋体"/>
          <w:spacing w:val="-19"/>
          <w:w w:val="95"/>
          <w:sz w:val="20"/>
          <w:szCs w:val="20"/>
        </w:rPr>
        <w:t>同时各类高校</w:t>
      </w:r>
      <w:r>
        <w:rPr>
          <w:rFonts w:ascii="宋体" w:hAnsi="宋体" w:eastAsia="宋体" w:cs="宋体"/>
          <w:spacing w:val="-19"/>
          <w:w w:val="95"/>
          <w:position w:val="1"/>
          <w:sz w:val="20"/>
          <w:szCs w:val="20"/>
        </w:rPr>
        <w:t>，</w:t>
      </w:r>
      <w:r>
        <w:rPr>
          <w:rFonts w:ascii="宋体" w:hAnsi="宋体" w:eastAsia="宋体" w:cs="宋体"/>
          <w:spacing w:val="-19"/>
          <w:w w:val="95"/>
          <w:sz w:val="20"/>
          <w:szCs w:val="20"/>
        </w:rPr>
        <w:t>特别是地方本科</w:t>
      </w:r>
      <w:r>
        <w:rPr>
          <w:rFonts w:ascii="宋体" w:hAnsi="宋体" w:eastAsia="宋体" w:cs="宋体"/>
          <w:spacing w:val="-10"/>
          <w:w w:val="95"/>
          <w:sz w:val="20"/>
          <w:szCs w:val="20"/>
        </w:rPr>
        <w:t>高</w:t>
      </w:r>
      <w:r>
        <w:rPr>
          <w:rFonts w:ascii="宋体" w:hAnsi="宋体" w:eastAsia="宋体" w:cs="宋体"/>
          <w:spacing w:val="12"/>
          <w:sz w:val="20"/>
          <w:szCs w:val="20"/>
        </w:rPr>
        <w:t xml:space="preserve"> </w:t>
      </w:r>
      <w:r>
        <w:rPr>
          <w:rFonts w:ascii="宋体" w:hAnsi="宋体" w:eastAsia="宋体" w:cs="宋体"/>
          <w:spacing w:val="-21"/>
          <w:w w:val="99"/>
          <w:sz w:val="20"/>
          <w:szCs w:val="20"/>
        </w:rPr>
        <w:t>校</w:t>
      </w:r>
      <w:r>
        <w:rPr>
          <w:rFonts w:ascii="宋体" w:hAnsi="宋体" w:eastAsia="宋体" w:cs="宋体"/>
          <w:spacing w:val="-21"/>
          <w:w w:val="99"/>
          <w:position w:val="1"/>
          <w:sz w:val="20"/>
          <w:szCs w:val="20"/>
        </w:rPr>
        <w:t>，</w:t>
      </w:r>
      <w:r>
        <w:rPr>
          <w:rFonts w:ascii="宋体" w:hAnsi="宋体" w:eastAsia="宋体" w:cs="宋体"/>
          <w:spacing w:val="-21"/>
          <w:w w:val="99"/>
          <w:sz w:val="20"/>
          <w:szCs w:val="20"/>
        </w:rPr>
        <w:t>都可以争创一流本</w:t>
      </w:r>
      <w:r>
        <w:rPr>
          <w:rFonts w:ascii="宋体" w:hAnsi="宋体" w:eastAsia="宋体" w:cs="宋体"/>
          <w:spacing w:val="-20"/>
          <w:w w:val="99"/>
          <w:sz w:val="20"/>
          <w:szCs w:val="20"/>
        </w:rPr>
        <w:t>科教育</w:t>
      </w:r>
      <w:r>
        <w:rPr>
          <w:rFonts w:ascii="微软雅黑" w:hAnsi="微软雅黑" w:eastAsia="微软雅黑" w:cs="微软雅黑"/>
          <w:spacing w:val="-20"/>
          <w:w w:val="99"/>
          <w:position w:val="1"/>
          <w:sz w:val="20"/>
          <w:szCs w:val="20"/>
        </w:rPr>
        <w:t>。</w:t>
      </w:r>
      <w:r>
        <w:rPr>
          <w:rFonts w:ascii="宋体" w:hAnsi="宋体" w:eastAsia="宋体" w:cs="宋体"/>
          <w:spacing w:val="-20"/>
          <w:w w:val="99"/>
          <w:sz w:val="20"/>
          <w:szCs w:val="20"/>
        </w:rPr>
        <w:t>能否达到一流本科教育关</w:t>
      </w:r>
      <w:r>
        <w:rPr>
          <w:rFonts w:ascii="宋体" w:hAnsi="宋体" w:eastAsia="宋体" w:cs="宋体"/>
          <w:spacing w:val="-10"/>
          <w:w w:val="99"/>
          <w:sz w:val="20"/>
          <w:szCs w:val="20"/>
        </w:rPr>
        <w:t>键</w:t>
      </w:r>
      <w:r>
        <w:rPr>
          <w:rFonts w:ascii="宋体" w:hAnsi="宋体" w:eastAsia="宋体" w:cs="宋体"/>
          <w:spacing w:val="1"/>
          <w:sz w:val="20"/>
          <w:szCs w:val="20"/>
        </w:rPr>
        <w:t xml:space="preserve"> </w:t>
      </w:r>
      <w:r>
        <w:rPr>
          <w:rFonts w:ascii="宋体" w:hAnsi="宋体" w:eastAsia="宋体" w:cs="宋体"/>
          <w:spacing w:val="-19"/>
          <w:w w:val="98"/>
          <w:sz w:val="20"/>
          <w:szCs w:val="20"/>
        </w:rPr>
        <w:t>就看人才培养的质量</w:t>
      </w:r>
      <w:r>
        <w:rPr>
          <w:rFonts w:ascii="宋体" w:hAnsi="宋体" w:eastAsia="宋体" w:cs="宋体"/>
          <w:spacing w:val="-18"/>
          <w:w w:val="98"/>
          <w:sz w:val="20"/>
          <w:szCs w:val="20"/>
        </w:rPr>
        <w:t>与水平是否达到一流</w:t>
      </w:r>
      <w:r>
        <w:rPr>
          <w:rFonts w:ascii="微软雅黑" w:hAnsi="微软雅黑" w:eastAsia="微软雅黑" w:cs="微软雅黑"/>
          <w:spacing w:val="-18"/>
          <w:w w:val="98"/>
          <w:position w:val="1"/>
          <w:sz w:val="20"/>
          <w:szCs w:val="20"/>
        </w:rPr>
        <w:t>。</w:t>
      </w:r>
      <w:r>
        <w:rPr>
          <w:rFonts w:ascii="宋体" w:hAnsi="宋体" w:eastAsia="宋体" w:cs="宋体"/>
          <w:spacing w:val="-18"/>
          <w:w w:val="98"/>
          <w:sz w:val="20"/>
          <w:szCs w:val="20"/>
        </w:rPr>
        <w:t>加强一流本科</w:t>
      </w:r>
      <w:r>
        <w:rPr>
          <w:rFonts w:ascii="宋体" w:hAnsi="宋体" w:eastAsia="宋体" w:cs="宋体"/>
          <w:spacing w:val="-9"/>
          <w:w w:val="98"/>
          <w:sz w:val="20"/>
          <w:szCs w:val="20"/>
        </w:rPr>
        <w:t>教</w:t>
      </w:r>
      <w:r>
        <w:rPr>
          <w:rFonts w:ascii="宋体" w:hAnsi="宋体" w:eastAsia="宋体" w:cs="宋体"/>
          <w:spacing w:val="2"/>
          <w:sz w:val="20"/>
          <w:szCs w:val="20"/>
        </w:rPr>
        <w:t xml:space="preserve"> </w:t>
      </w:r>
      <w:r>
        <w:rPr>
          <w:rFonts w:ascii="宋体" w:hAnsi="宋体" w:eastAsia="宋体" w:cs="宋体"/>
          <w:spacing w:val="-19"/>
          <w:w w:val="98"/>
          <w:sz w:val="20"/>
          <w:szCs w:val="20"/>
        </w:rPr>
        <w:t>育</w:t>
      </w:r>
      <w:r>
        <w:rPr>
          <w:rFonts w:ascii="宋体" w:hAnsi="宋体" w:eastAsia="宋体" w:cs="宋体"/>
          <w:spacing w:val="-19"/>
          <w:w w:val="98"/>
          <w:position w:val="1"/>
          <w:sz w:val="20"/>
          <w:szCs w:val="20"/>
        </w:rPr>
        <w:t>，</w:t>
      </w:r>
      <w:r>
        <w:rPr>
          <w:rFonts w:ascii="宋体" w:hAnsi="宋体" w:eastAsia="宋体" w:cs="宋体"/>
          <w:spacing w:val="-19"/>
          <w:w w:val="98"/>
          <w:sz w:val="20"/>
          <w:szCs w:val="20"/>
        </w:rPr>
        <w:t>要求</w:t>
      </w:r>
      <w:r>
        <w:rPr>
          <w:rFonts w:ascii="宋体" w:hAnsi="宋体" w:eastAsia="宋体" w:cs="宋体"/>
          <w:spacing w:val="-18"/>
          <w:w w:val="98"/>
          <w:sz w:val="20"/>
          <w:szCs w:val="20"/>
        </w:rPr>
        <w:t>高校要将一流本科的质量标准落实到本科教育教</w:t>
      </w:r>
      <w:r>
        <w:rPr>
          <w:rFonts w:ascii="宋体" w:hAnsi="宋体" w:eastAsia="宋体" w:cs="宋体"/>
          <w:spacing w:val="-14"/>
          <w:w w:val="98"/>
          <w:sz w:val="20"/>
          <w:szCs w:val="20"/>
        </w:rPr>
        <w:t>学</w:t>
      </w:r>
      <w:r>
        <w:rPr>
          <w:rFonts w:ascii="宋体" w:hAnsi="宋体" w:eastAsia="宋体" w:cs="宋体"/>
          <w:sz w:val="20"/>
          <w:szCs w:val="20"/>
        </w:rPr>
        <w:t xml:space="preserve"> </w:t>
      </w:r>
      <w:r>
        <w:rPr>
          <w:rFonts w:ascii="宋体" w:hAnsi="宋体" w:eastAsia="宋体" w:cs="宋体"/>
          <w:spacing w:val="-22"/>
          <w:w w:val="96"/>
          <w:sz w:val="20"/>
          <w:szCs w:val="20"/>
        </w:rPr>
        <w:t>的各</w:t>
      </w:r>
      <w:r>
        <w:rPr>
          <w:rFonts w:ascii="宋体" w:hAnsi="宋体" w:eastAsia="宋体" w:cs="宋体"/>
          <w:spacing w:val="-21"/>
          <w:w w:val="96"/>
          <w:sz w:val="20"/>
          <w:szCs w:val="20"/>
        </w:rPr>
        <w:t>个环节</w:t>
      </w:r>
      <w:r>
        <w:rPr>
          <w:rFonts w:ascii="宋体" w:hAnsi="宋体" w:eastAsia="宋体" w:cs="宋体"/>
          <w:spacing w:val="-21"/>
          <w:w w:val="96"/>
          <w:position w:val="1"/>
          <w:sz w:val="20"/>
          <w:szCs w:val="20"/>
        </w:rPr>
        <w:t>，</w:t>
      </w:r>
      <w:r>
        <w:rPr>
          <w:rFonts w:ascii="宋体" w:hAnsi="宋体" w:eastAsia="宋体" w:cs="宋体"/>
          <w:spacing w:val="-21"/>
          <w:w w:val="96"/>
          <w:sz w:val="20"/>
          <w:szCs w:val="20"/>
        </w:rPr>
        <w:t>要将一流的本科的质量理念内化为教师</w:t>
      </w:r>
      <w:r>
        <w:rPr>
          <w:rFonts w:ascii="微软雅黑" w:hAnsi="微软雅黑" w:eastAsia="微软雅黑" w:cs="微软雅黑"/>
          <w:spacing w:val="-21"/>
          <w:w w:val="96"/>
          <w:position w:val="1"/>
          <w:sz w:val="20"/>
          <w:szCs w:val="20"/>
        </w:rPr>
        <w:t>、</w:t>
      </w:r>
      <w:r>
        <w:rPr>
          <w:rFonts w:ascii="宋体" w:hAnsi="宋体" w:eastAsia="宋体" w:cs="宋体"/>
          <w:spacing w:val="-21"/>
          <w:w w:val="96"/>
          <w:sz w:val="20"/>
          <w:szCs w:val="20"/>
        </w:rPr>
        <w:t>学生</w:t>
      </w:r>
      <w:r>
        <w:rPr>
          <w:rFonts w:ascii="宋体" w:hAnsi="宋体" w:eastAsia="宋体" w:cs="宋体"/>
          <w:spacing w:val="-19"/>
          <w:w w:val="96"/>
          <w:sz w:val="20"/>
          <w:szCs w:val="20"/>
        </w:rPr>
        <w:t>以</w:t>
      </w:r>
    </w:p>
    <w:p>
      <w:pPr>
        <w:spacing w:line="234" w:lineRule="auto"/>
        <w:rPr>
          <w:rFonts w:ascii="宋体" w:hAnsi="宋体" w:eastAsia="宋体" w:cs="宋体"/>
          <w:sz w:val="20"/>
          <w:szCs w:val="20"/>
        </w:rPr>
        <w:sectPr>
          <w:type w:val="continuous"/>
          <w:pgSz w:w="11905" w:h="16836"/>
          <w:pgMar w:top="938" w:right="1133" w:bottom="547" w:left="407" w:header="356" w:footer="354" w:gutter="0"/>
          <w:cols w:equalWidth="0" w:num="2">
            <w:col w:w="5631" w:space="100"/>
            <w:col w:w="4633"/>
          </w:cols>
        </w:sectPr>
      </w:pPr>
    </w:p>
    <w:p>
      <w:pPr>
        <w:spacing w:before="108" w:line="163" w:lineRule="exact"/>
        <w:ind w:left="730"/>
        <w:rPr>
          <w:rFonts w:ascii="微软雅黑" w:hAnsi="微软雅黑" w:eastAsia="微软雅黑" w:cs="微软雅黑"/>
          <w:sz w:val="15"/>
          <w:szCs w:val="15"/>
        </w:rPr>
      </w:pPr>
      <w:r>
        <w:rPr>
          <w:rFonts w:ascii="黑体" w:hAnsi="黑体" w:eastAsia="黑体" w:cs="黑体"/>
          <w:spacing w:val="-10"/>
          <w:position w:val="-1"/>
          <w:sz w:val="15"/>
          <w:szCs w:val="15"/>
        </w:rPr>
        <w:t>收稿日期</w:t>
      </w:r>
      <w:r>
        <w:rPr>
          <w:rFonts w:ascii="黑体" w:hAnsi="黑体" w:eastAsia="黑体" w:cs="黑体"/>
          <w:spacing w:val="-38"/>
          <w:position w:val="-1"/>
          <w:sz w:val="15"/>
          <w:szCs w:val="15"/>
        </w:rPr>
        <w:t xml:space="preserve"> </w:t>
      </w:r>
      <w:r>
        <w:rPr>
          <w:rFonts w:ascii="新宋体" w:hAnsi="新宋体" w:eastAsia="新宋体" w:cs="新宋体"/>
          <w:spacing w:val="-10"/>
          <w:position w:val="-1"/>
          <w:sz w:val="15"/>
          <w:szCs w:val="15"/>
        </w:rPr>
        <w:t>:</w:t>
      </w:r>
      <w:r>
        <w:rPr>
          <w:rFonts w:ascii="新宋体" w:hAnsi="新宋体" w:eastAsia="新宋体" w:cs="新宋体"/>
          <w:spacing w:val="-44"/>
          <w:position w:val="-1"/>
          <w:sz w:val="15"/>
          <w:szCs w:val="15"/>
        </w:rPr>
        <w:t xml:space="preserve"> </w:t>
      </w:r>
      <w:r>
        <w:rPr>
          <w:rFonts w:ascii="微软雅黑" w:hAnsi="微软雅黑" w:eastAsia="微软雅黑" w:cs="微软雅黑"/>
          <w:spacing w:val="-10"/>
          <w:position w:val="-1"/>
          <w:sz w:val="15"/>
          <w:szCs w:val="15"/>
        </w:rPr>
        <w:t>2018</w:t>
      </w:r>
      <w:r>
        <w:rPr>
          <w:rFonts w:ascii="微软雅黑" w:hAnsi="微软雅黑" w:eastAsia="微软雅黑" w:cs="微软雅黑"/>
          <w:spacing w:val="-18"/>
          <w:position w:val="-1"/>
          <w:sz w:val="15"/>
          <w:szCs w:val="15"/>
        </w:rPr>
        <w:t xml:space="preserve"> </w:t>
      </w:r>
      <w:r>
        <w:rPr>
          <w:rFonts w:ascii="微软雅黑" w:hAnsi="微软雅黑" w:eastAsia="微软雅黑" w:cs="微软雅黑"/>
          <w:spacing w:val="-10"/>
          <w:position w:val="-1"/>
          <w:sz w:val="15"/>
          <w:szCs w:val="15"/>
        </w:rPr>
        <w:t>－10</w:t>
      </w:r>
      <w:r>
        <w:rPr>
          <w:rFonts w:ascii="微软雅黑" w:hAnsi="微软雅黑" w:eastAsia="微软雅黑" w:cs="微软雅黑"/>
          <w:spacing w:val="-18"/>
          <w:position w:val="-1"/>
          <w:sz w:val="15"/>
          <w:szCs w:val="15"/>
        </w:rPr>
        <w:t xml:space="preserve"> </w:t>
      </w:r>
      <w:r>
        <w:rPr>
          <w:rFonts w:ascii="微软雅黑" w:hAnsi="微软雅黑" w:eastAsia="微软雅黑" w:cs="微软雅黑"/>
          <w:spacing w:val="-10"/>
          <w:position w:val="-1"/>
          <w:sz w:val="15"/>
          <w:szCs w:val="15"/>
        </w:rPr>
        <w:t>－14</w:t>
      </w:r>
    </w:p>
    <w:p>
      <w:pPr>
        <w:spacing w:before="1" w:line="161" w:lineRule="auto"/>
        <w:ind w:left="1449" w:hanging="719"/>
        <w:rPr>
          <w:rFonts w:ascii="微软雅黑" w:hAnsi="微软雅黑" w:eastAsia="微软雅黑" w:cs="微软雅黑"/>
          <w:sz w:val="15"/>
          <w:szCs w:val="15"/>
        </w:rPr>
      </w:pPr>
      <w:r>
        <w:rPr>
          <w:rFonts w:ascii="黑体" w:hAnsi="黑体" w:eastAsia="黑体" w:cs="黑体"/>
          <w:spacing w:val="1"/>
          <w:sz w:val="15"/>
          <w:szCs w:val="15"/>
        </w:rPr>
        <w:t>作者简介</w:t>
      </w:r>
      <w:r>
        <w:rPr>
          <w:rFonts w:ascii="黑体" w:hAnsi="黑体" w:eastAsia="黑体" w:cs="黑体"/>
          <w:spacing w:val="-41"/>
          <w:sz w:val="15"/>
          <w:szCs w:val="15"/>
        </w:rPr>
        <w:t xml:space="preserve"> </w:t>
      </w:r>
      <w:r>
        <w:rPr>
          <w:rFonts w:ascii="新宋体" w:hAnsi="新宋体" w:eastAsia="新宋体" w:cs="新宋体"/>
          <w:spacing w:val="1"/>
          <w:sz w:val="15"/>
          <w:szCs w:val="15"/>
        </w:rPr>
        <w:t>:</w:t>
      </w:r>
      <w:r>
        <w:rPr>
          <w:rFonts w:ascii="新宋体" w:hAnsi="新宋体" w:eastAsia="新宋体" w:cs="新宋体"/>
          <w:spacing w:val="-29"/>
          <w:sz w:val="15"/>
          <w:szCs w:val="15"/>
        </w:rPr>
        <w:t xml:space="preserve"> </w:t>
      </w:r>
      <w:r>
        <w:rPr>
          <w:rFonts w:ascii="宋体" w:hAnsi="宋体" w:eastAsia="宋体" w:cs="宋体"/>
          <w:spacing w:val="1"/>
          <w:sz w:val="15"/>
          <w:szCs w:val="15"/>
        </w:rPr>
        <w:t>尹者金，扬州大学资产经营公司</w:t>
      </w:r>
      <w:r>
        <w:rPr>
          <w:rFonts w:ascii="宋体" w:hAnsi="宋体" w:eastAsia="宋体" w:cs="宋体"/>
          <w:sz w:val="15"/>
          <w:szCs w:val="15"/>
        </w:rPr>
        <w:t>助理研究员，主要从事高校管理研究</w:t>
      </w:r>
      <w:r>
        <w:rPr>
          <w:rFonts w:ascii="宋体" w:hAnsi="宋体" w:eastAsia="宋体" w:cs="宋体"/>
          <w:spacing w:val="-40"/>
          <w:sz w:val="15"/>
          <w:szCs w:val="15"/>
        </w:rPr>
        <w:t xml:space="preserve"> </w:t>
      </w:r>
      <w:r>
        <w:rPr>
          <w:rFonts w:ascii="宋体" w:hAnsi="宋体" w:eastAsia="宋体" w:cs="宋体"/>
          <w:sz w:val="15"/>
          <w:szCs w:val="15"/>
        </w:rPr>
        <w:t>;</w:t>
      </w:r>
      <w:r>
        <w:rPr>
          <w:rFonts w:ascii="宋体" w:hAnsi="宋体" w:eastAsia="宋体" w:cs="宋体"/>
          <w:spacing w:val="-34"/>
          <w:sz w:val="15"/>
          <w:szCs w:val="15"/>
        </w:rPr>
        <w:t xml:space="preserve"> </w:t>
      </w:r>
      <w:r>
        <w:rPr>
          <w:rFonts w:ascii="宋体" w:hAnsi="宋体" w:eastAsia="宋体" w:cs="宋体"/>
          <w:sz w:val="15"/>
          <w:szCs w:val="15"/>
        </w:rPr>
        <w:t>潘成云，扬州大学商学院教授，管理学博士，研究方向</w:t>
      </w:r>
      <w:r>
        <w:rPr>
          <w:rFonts w:ascii="宋体" w:hAnsi="宋体" w:eastAsia="宋体" w:cs="宋体"/>
          <w:spacing w:val="-42"/>
          <w:sz w:val="15"/>
          <w:szCs w:val="15"/>
        </w:rPr>
        <w:t xml:space="preserve"> </w:t>
      </w:r>
      <w:r>
        <w:rPr>
          <w:rFonts w:ascii="宋体" w:hAnsi="宋体" w:eastAsia="宋体" w:cs="宋体"/>
          <w:sz w:val="15"/>
          <w:szCs w:val="15"/>
        </w:rPr>
        <w:t>:</w:t>
      </w:r>
      <w:r>
        <w:rPr>
          <w:rFonts w:ascii="宋体" w:hAnsi="宋体" w:eastAsia="宋体" w:cs="宋体"/>
          <w:spacing w:val="-27"/>
          <w:sz w:val="15"/>
          <w:szCs w:val="15"/>
        </w:rPr>
        <w:t xml:space="preserve"> </w:t>
      </w:r>
      <w:r>
        <w:rPr>
          <w:rFonts w:ascii="宋体" w:hAnsi="宋体" w:eastAsia="宋体" w:cs="宋体"/>
          <w:sz w:val="15"/>
          <w:szCs w:val="15"/>
        </w:rPr>
        <w:t xml:space="preserve">企业管 </w:t>
      </w:r>
      <w:r>
        <w:rPr>
          <w:rFonts w:ascii="宋体" w:hAnsi="宋体" w:eastAsia="宋体" w:cs="宋体"/>
          <w:spacing w:val="6"/>
          <w:sz w:val="15"/>
          <w:szCs w:val="15"/>
        </w:rPr>
        <w:t>理理论和教学</w:t>
      </w:r>
      <w:r>
        <w:rPr>
          <w:rFonts w:ascii="微软雅黑" w:hAnsi="微软雅黑" w:eastAsia="微软雅黑" w:cs="微软雅黑"/>
          <w:spacing w:val="6"/>
          <w:sz w:val="15"/>
          <w:szCs w:val="15"/>
        </w:rPr>
        <w:t>。</w:t>
      </w:r>
    </w:p>
    <w:p>
      <w:pPr>
        <w:spacing w:line="161" w:lineRule="auto"/>
        <w:rPr>
          <w:rFonts w:ascii="微软雅黑" w:hAnsi="微软雅黑" w:eastAsia="微软雅黑" w:cs="微软雅黑"/>
          <w:sz w:val="15"/>
          <w:szCs w:val="15"/>
        </w:rPr>
        <w:sectPr>
          <w:type w:val="continuous"/>
          <w:pgSz w:w="11905" w:h="16836"/>
          <w:pgMar w:top="938" w:right="1133" w:bottom="547" w:left="407" w:header="356" w:footer="354" w:gutter="0"/>
          <w:cols w:equalWidth="0" w:num="1">
            <w:col w:w="10363"/>
          </w:cols>
        </w:sectPr>
      </w:pPr>
    </w:p>
    <w:p>
      <w:pPr>
        <w:spacing w:line="195" w:lineRule="exact"/>
      </w:pPr>
    </w:p>
    <w:p>
      <w:pPr>
        <w:spacing w:line="195" w:lineRule="exact"/>
        <w:sectPr>
          <w:headerReference r:id="rId71" w:type="default"/>
          <w:footerReference r:id="rId72" w:type="default"/>
          <w:pgSz w:w="11905" w:h="16836"/>
          <w:pgMar w:top="974" w:right="1073" w:bottom="547" w:left="407" w:header="652" w:footer="354" w:gutter="0"/>
          <w:cols w:equalWidth="0" w:num="1">
            <w:col w:w="10423"/>
          </w:cols>
        </w:sectPr>
      </w:pPr>
    </w:p>
    <w:p>
      <w:pPr>
        <w:spacing w:before="38" w:line="223" w:lineRule="auto"/>
        <w:ind w:left="732" w:right="195" w:hanging="1"/>
        <w:rPr>
          <w:rFonts w:ascii="微软雅黑" w:hAnsi="微软雅黑" w:eastAsia="微软雅黑" w:cs="微软雅黑"/>
          <w:sz w:val="20"/>
          <w:szCs w:val="20"/>
        </w:rPr>
      </w:pPr>
      <w:r>
        <w:rPr>
          <w:rFonts w:ascii="宋体" w:hAnsi="宋体" w:eastAsia="宋体" w:cs="宋体"/>
          <w:spacing w:val="-23"/>
          <w:w w:val="97"/>
          <w:sz w:val="20"/>
          <w:szCs w:val="20"/>
        </w:rPr>
        <w:t>及教学管理人员的自觉行为</w:t>
      </w:r>
      <w:r>
        <w:rPr>
          <w:rFonts w:ascii="宋体" w:hAnsi="宋体" w:eastAsia="宋体" w:cs="宋体"/>
          <w:spacing w:val="-23"/>
          <w:w w:val="97"/>
          <w:position w:val="1"/>
          <w:sz w:val="20"/>
          <w:szCs w:val="20"/>
        </w:rPr>
        <w:t>，</w:t>
      </w:r>
      <w:r>
        <w:rPr>
          <w:rFonts w:ascii="宋体" w:hAnsi="宋体" w:eastAsia="宋体" w:cs="宋体"/>
          <w:spacing w:val="-23"/>
          <w:w w:val="97"/>
          <w:sz w:val="20"/>
          <w:szCs w:val="20"/>
        </w:rPr>
        <w:t>由此</w:t>
      </w:r>
      <w:r>
        <w:rPr>
          <w:rFonts w:ascii="宋体" w:hAnsi="宋体" w:eastAsia="宋体" w:cs="宋体"/>
          <w:spacing w:val="-23"/>
          <w:w w:val="97"/>
          <w:position w:val="1"/>
          <w:sz w:val="20"/>
          <w:szCs w:val="20"/>
        </w:rPr>
        <w:t>，</w:t>
      </w:r>
      <w:r>
        <w:rPr>
          <w:rFonts w:ascii="宋体" w:hAnsi="宋体" w:eastAsia="宋体" w:cs="宋体"/>
          <w:spacing w:val="-23"/>
          <w:w w:val="97"/>
          <w:sz w:val="20"/>
          <w:szCs w:val="20"/>
        </w:rPr>
        <w:t>基于一流本科教育的大学</w:t>
      </w:r>
      <w:r>
        <w:rPr>
          <w:rFonts w:ascii="宋体" w:hAnsi="宋体" w:eastAsia="宋体" w:cs="宋体"/>
          <w:spacing w:val="12"/>
          <w:sz w:val="20"/>
          <w:szCs w:val="20"/>
        </w:rPr>
        <w:t xml:space="preserve"> </w:t>
      </w:r>
      <w:r>
        <w:rPr>
          <w:rFonts w:ascii="宋体" w:hAnsi="宋体" w:eastAsia="宋体" w:cs="宋体"/>
          <w:spacing w:val="-19"/>
          <w:w w:val="98"/>
          <w:sz w:val="20"/>
          <w:szCs w:val="20"/>
        </w:rPr>
        <w:t>质量文化建设成为推进高校内涵发展的重要动力</w:t>
      </w:r>
      <w:r>
        <w:rPr>
          <w:rFonts w:ascii="微软雅黑" w:hAnsi="微软雅黑" w:eastAsia="微软雅黑" w:cs="微软雅黑"/>
          <w:spacing w:val="-19"/>
          <w:w w:val="98"/>
          <w:position w:val="1"/>
          <w:sz w:val="20"/>
          <w:szCs w:val="20"/>
        </w:rPr>
        <w:t>。</w:t>
      </w:r>
    </w:p>
    <w:p>
      <w:pPr>
        <w:spacing w:before="66" w:line="235" w:lineRule="auto"/>
        <w:ind w:left="731" w:right="198" w:firstLine="363"/>
        <w:jc w:val="both"/>
        <w:rPr>
          <w:rFonts w:ascii="微软雅黑" w:hAnsi="微软雅黑" w:eastAsia="微软雅黑" w:cs="微软雅黑"/>
          <w:sz w:val="20"/>
          <w:szCs w:val="20"/>
        </w:rPr>
      </w:pPr>
      <w:r>
        <w:rPr>
          <w:rFonts w:ascii="宋体" w:hAnsi="宋体" w:eastAsia="宋体" w:cs="宋体"/>
          <w:spacing w:val="-15"/>
          <w:sz w:val="20"/>
          <w:szCs w:val="20"/>
        </w:rPr>
        <w:t>大学质量文化是培养一流人才的核心与基础</w:t>
      </w:r>
      <w:r>
        <w:rPr>
          <w:rFonts w:ascii="微软雅黑" w:hAnsi="微软雅黑" w:eastAsia="微软雅黑" w:cs="微软雅黑"/>
          <w:spacing w:val="-15"/>
          <w:position w:val="1"/>
          <w:sz w:val="20"/>
          <w:szCs w:val="20"/>
        </w:rPr>
        <w:t>。</w:t>
      </w:r>
      <w:r>
        <w:rPr>
          <w:rFonts w:ascii="宋体" w:hAnsi="宋体" w:eastAsia="宋体" w:cs="宋体"/>
          <w:spacing w:val="-15"/>
          <w:sz w:val="20"/>
          <w:szCs w:val="20"/>
        </w:rPr>
        <w:t>在一流</w:t>
      </w:r>
      <w:r>
        <w:rPr>
          <w:rFonts w:ascii="宋体" w:hAnsi="宋体" w:eastAsia="宋体" w:cs="宋体"/>
          <w:spacing w:val="8"/>
          <w:sz w:val="20"/>
          <w:szCs w:val="20"/>
        </w:rPr>
        <w:t xml:space="preserve"> </w:t>
      </w:r>
      <w:r>
        <w:rPr>
          <w:rFonts w:ascii="宋体" w:hAnsi="宋体" w:eastAsia="宋体" w:cs="宋体"/>
          <w:spacing w:val="-18"/>
          <w:w w:val="98"/>
          <w:sz w:val="20"/>
          <w:szCs w:val="20"/>
        </w:rPr>
        <w:t>本科教育视域中</w:t>
      </w:r>
      <w:r>
        <w:rPr>
          <w:rFonts w:ascii="宋体" w:hAnsi="宋体" w:eastAsia="宋体" w:cs="宋体"/>
          <w:spacing w:val="-18"/>
          <w:w w:val="98"/>
          <w:position w:val="1"/>
          <w:sz w:val="20"/>
          <w:szCs w:val="20"/>
        </w:rPr>
        <w:t>，</w:t>
      </w:r>
      <w:r>
        <w:rPr>
          <w:rFonts w:ascii="宋体" w:hAnsi="宋体" w:eastAsia="宋体" w:cs="宋体"/>
          <w:spacing w:val="-18"/>
          <w:w w:val="98"/>
          <w:sz w:val="20"/>
          <w:szCs w:val="20"/>
        </w:rPr>
        <w:t>大学质量文化就其本质而言就是</w:t>
      </w:r>
      <w:r>
        <w:rPr>
          <w:rFonts w:ascii="宋体" w:hAnsi="宋体" w:eastAsia="宋体" w:cs="宋体"/>
          <w:spacing w:val="-19"/>
          <w:w w:val="98"/>
          <w:sz w:val="20"/>
          <w:szCs w:val="20"/>
        </w:rPr>
        <w:t>大学在保</w:t>
      </w:r>
      <w:r>
        <w:rPr>
          <w:rFonts w:ascii="宋体" w:hAnsi="宋体" w:eastAsia="宋体" w:cs="宋体"/>
          <w:sz w:val="20"/>
          <w:szCs w:val="20"/>
        </w:rPr>
        <w:t xml:space="preserve"> </w:t>
      </w:r>
      <w:r>
        <w:rPr>
          <w:rFonts w:ascii="宋体" w:hAnsi="宋体" w:eastAsia="宋体" w:cs="宋体"/>
          <w:spacing w:val="-15"/>
          <w:sz w:val="20"/>
          <w:szCs w:val="20"/>
        </w:rPr>
        <w:t>障办学质量过程中形成的具有学校自身特色的对于一</w:t>
      </w:r>
      <w:r>
        <w:rPr>
          <w:rFonts w:ascii="宋体" w:hAnsi="宋体" w:eastAsia="宋体" w:cs="宋体"/>
          <w:spacing w:val="-16"/>
          <w:sz w:val="20"/>
          <w:szCs w:val="20"/>
        </w:rPr>
        <w:t>流人</w:t>
      </w:r>
      <w:r>
        <w:rPr>
          <w:rFonts w:ascii="宋体" w:hAnsi="宋体" w:eastAsia="宋体" w:cs="宋体"/>
          <w:sz w:val="20"/>
          <w:szCs w:val="20"/>
        </w:rPr>
        <w:t xml:space="preserve"> </w:t>
      </w:r>
      <w:r>
        <w:rPr>
          <w:rFonts w:ascii="宋体" w:hAnsi="宋体" w:eastAsia="宋体" w:cs="宋体"/>
          <w:spacing w:val="-16"/>
          <w:w w:val="97"/>
          <w:sz w:val="20"/>
          <w:szCs w:val="20"/>
        </w:rPr>
        <w:t>才培养的主要立场</w:t>
      </w:r>
      <w:r>
        <w:rPr>
          <w:rFonts w:ascii="微软雅黑" w:hAnsi="微软雅黑" w:eastAsia="微软雅黑" w:cs="微软雅黑"/>
          <w:spacing w:val="-16"/>
          <w:w w:val="97"/>
          <w:position w:val="1"/>
          <w:sz w:val="20"/>
          <w:szCs w:val="20"/>
        </w:rPr>
        <w:t>、</w:t>
      </w:r>
      <w:r>
        <w:rPr>
          <w:rFonts w:ascii="宋体" w:hAnsi="宋体" w:eastAsia="宋体" w:cs="宋体"/>
          <w:spacing w:val="-16"/>
          <w:w w:val="97"/>
          <w:sz w:val="20"/>
          <w:szCs w:val="20"/>
        </w:rPr>
        <w:t>价值观念</w:t>
      </w:r>
      <w:r>
        <w:rPr>
          <w:rFonts w:ascii="微软雅黑" w:hAnsi="微软雅黑" w:eastAsia="微软雅黑" w:cs="微软雅黑"/>
          <w:spacing w:val="-16"/>
          <w:w w:val="97"/>
          <w:position w:val="1"/>
          <w:sz w:val="20"/>
          <w:szCs w:val="20"/>
        </w:rPr>
        <w:t>、</w:t>
      </w:r>
      <w:r>
        <w:rPr>
          <w:rFonts w:ascii="宋体" w:hAnsi="宋体" w:eastAsia="宋体" w:cs="宋体"/>
          <w:spacing w:val="-16"/>
          <w:w w:val="97"/>
          <w:sz w:val="20"/>
          <w:szCs w:val="20"/>
        </w:rPr>
        <w:t>基本承诺以及相应的</w:t>
      </w:r>
      <w:r>
        <w:rPr>
          <w:rFonts w:ascii="宋体" w:hAnsi="宋体" w:eastAsia="宋体" w:cs="宋体"/>
          <w:spacing w:val="-17"/>
          <w:w w:val="97"/>
          <w:sz w:val="20"/>
          <w:szCs w:val="20"/>
        </w:rPr>
        <w:t>制度体</w:t>
      </w:r>
      <w:r>
        <w:rPr>
          <w:rFonts w:ascii="宋体" w:hAnsi="宋体" w:eastAsia="宋体" w:cs="宋体"/>
          <w:sz w:val="20"/>
          <w:szCs w:val="20"/>
        </w:rPr>
        <w:t xml:space="preserve"> </w:t>
      </w:r>
      <w:r>
        <w:rPr>
          <w:rFonts w:ascii="宋体" w:hAnsi="宋体" w:eastAsia="宋体" w:cs="宋体"/>
          <w:spacing w:val="-18"/>
          <w:w w:val="98"/>
          <w:sz w:val="20"/>
          <w:szCs w:val="20"/>
        </w:rPr>
        <w:t>系</w:t>
      </w:r>
      <w:r>
        <w:rPr>
          <w:rFonts w:ascii="微软雅黑" w:hAnsi="微软雅黑" w:eastAsia="微软雅黑" w:cs="微软雅黑"/>
          <w:spacing w:val="-18"/>
          <w:w w:val="98"/>
          <w:position w:val="1"/>
          <w:sz w:val="20"/>
          <w:szCs w:val="20"/>
        </w:rPr>
        <w:t>、</w:t>
      </w:r>
      <w:r>
        <w:rPr>
          <w:rFonts w:ascii="宋体" w:hAnsi="宋体" w:eastAsia="宋体" w:cs="宋体"/>
          <w:spacing w:val="-18"/>
          <w:w w:val="98"/>
          <w:sz w:val="20"/>
          <w:szCs w:val="20"/>
        </w:rPr>
        <w:t>行为规范</w:t>
      </w:r>
      <w:r>
        <w:rPr>
          <w:rFonts w:ascii="微软雅黑" w:hAnsi="微软雅黑" w:eastAsia="微软雅黑" w:cs="微软雅黑"/>
          <w:spacing w:val="-18"/>
          <w:w w:val="98"/>
          <w:position w:val="1"/>
          <w:sz w:val="20"/>
          <w:szCs w:val="20"/>
        </w:rPr>
        <w:t>。</w:t>
      </w:r>
      <w:r>
        <w:rPr>
          <w:rFonts w:ascii="宋体" w:hAnsi="宋体" w:eastAsia="宋体" w:cs="宋体"/>
          <w:spacing w:val="-18"/>
          <w:w w:val="98"/>
          <w:sz w:val="20"/>
          <w:szCs w:val="20"/>
        </w:rPr>
        <w:t>大学的质量文化建设的主轴线是一</w:t>
      </w:r>
      <w:r>
        <w:rPr>
          <w:rFonts w:ascii="宋体" w:hAnsi="宋体" w:eastAsia="宋体" w:cs="宋体"/>
          <w:spacing w:val="-19"/>
          <w:w w:val="98"/>
          <w:sz w:val="20"/>
          <w:szCs w:val="20"/>
        </w:rPr>
        <w:t>流人才培</w:t>
      </w:r>
      <w:r>
        <w:rPr>
          <w:rFonts w:ascii="宋体" w:hAnsi="宋体" w:eastAsia="宋体" w:cs="宋体"/>
          <w:sz w:val="20"/>
          <w:szCs w:val="20"/>
        </w:rPr>
        <w:t xml:space="preserve"> </w:t>
      </w:r>
      <w:r>
        <w:rPr>
          <w:rFonts w:ascii="宋体" w:hAnsi="宋体" w:eastAsia="宋体" w:cs="宋体"/>
          <w:spacing w:val="-17"/>
          <w:w w:val="91"/>
          <w:sz w:val="20"/>
          <w:szCs w:val="20"/>
        </w:rPr>
        <w:t>养</w:t>
      </w:r>
      <w:r>
        <w:rPr>
          <w:rFonts w:ascii="宋体" w:hAnsi="宋体" w:eastAsia="宋体" w:cs="宋体"/>
          <w:spacing w:val="-17"/>
          <w:w w:val="91"/>
          <w:position w:val="1"/>
          <w:sz w:val="20"/>
          <w:szCs w:val="20"/>
        </w:rPr>
        <w:t>，</w:t>
      </w:r>
      <w:r>
        <w:rPr>
          <w:rFonts w:ascii="宋体" w:hAnsi="宋体" w:eastAsia="宋体" w:cs="宋体"/>
          <w:spacing w:val="-17"/>
          <w:w w:val="91"/>
          <w:sz w:val="20"/>
          <w:szCs w:val="20"/>
        </w:rPr>
        <w:t>高校的学科建设</w:t>
      </w:r>
      <w:r>
        <w:rPr>
          <w:rFonts w:ascii="微软雅黑" w:hAnsi="微软雅黑" w:eastAsia="微软雅黑" w:cs="微软雅黑"/>
          <w:spacing w:val="-17"/>
          <w:w w:val="91"/>
          <w:position w:val="1"/>
          <w:sz w:val="20"/>
          <w:szCs w:val="20"/>
        </w:rPr>
        <w:t>、</w:t>
      </w:r>
      <w:r>
        <w:rPr>
          <w:rFonts w:ascii="宋体" w:hAnsi="宋体" w:eastAsia="宋体" w:cs="宋体"/>
          <w:spacing w:val="-17"/>
          <w:w w:val="91"/>
          <w:sz w:val="20"/>
          <w:szCs w:val="20"/>
        </w:rPr>
        <w:t>教学改革</w:t>
      </w:r>
      <w:r>
        <w:rPr>
          <w:rFonts w:ascii="微软雅黑" w:hAnsi="微软雅黑" w:eastAsia="微软雅黑" w:cs="微软雅黑"/>
          <w:spacing w:val="-17"/>
          <w:w w:val="91"/>
          <w:position w:val="1"/>
          <w:sz w:val="20"/>
          <w:szCs w:val="20"/>
        </w:rPr>
        <w:t>、</w:t>
      </w:r>
      <w:r>
        <w:rPr>
          <w:rFonts w:ascii="宋体" w:hAnsi="宋体" w:eastAsia="宋体" w:cs="宋体"/>
          <w:spacing w:val="-17"/>
          <w:w w:val="91"/>
          <w:sz w:val="20"/>
          <w:szCs w:val="20"/>
        </w:rPr>
        <w:t>教材体系</w:t>
      </w:r>
      <w:r>
        <w:rPr>
          <w:rFonts w:ascii="微软雅黑" w:hAnsi="微软雅黑" w:eastAsia="微软雅黑" w:cs="微软雅黑"/>
          <w:spacing w:val="-17"/>
          <w:w w:val="91"/>
          <w:position w:val="1"/>
          <w:sz w:val="20"/>
          <w:szCs w:val="20"/>
        </w:rPr>
        <w:t>、</w:t>
      </w:r>
      <w:r>
        <w:rPr>
          <w:rFonts w:ascii="宋体" w:hAnsi="宋体" w:eastAsia="宋体" w:cs="宋体"/>
          <w:spacing w:val="-17"/>
          <w:w w:val="91"/>
          <w:sz w:val="20"/>
          <w:szCs w:val="20"/>
        </w:rPr>
        <w:t>管理机制</w:t>
      </w:r>
      <w:r>
        <w:rPr>
          <w:rFonts w:ascii="微软雅黑" w:hAnsi="微软雅黑" w:eastAsia="微软雅黑" w:cs="微软雅黑"/>
          <w:spacing w:val="-17"/>
          <w:w w:val="91"/>
          <w:position w:val="1"/>
          <w:sz w:val="20"/>
          <w:szCs w:val="20"/>
        </w:rPr>
        <w:t>、</w:t>
      </w:r>
      <w:r>
        <w:rPr>
          <w:rFonts w:ascii="宋体" w:hAnsi="宋体" w:eastAsia="宋体" w:cs="宋体"/>
          <w:spacing w:val="-17"/>
          <w:w w:val="91"/>
          <w:sz w:val="20"/>
          <w:szCs w:val="20"/>
        </w:rPr>
        <w:t>思政工</w:t>
      </w:r>
      <w:r>
        <w:rPr>
          <w:rFonts w:ascii="宋体" w:hAnsi="宋体" w:eastAsia="宋体" w:cs="宋体"/>
          <w:spacing w:val="6"/>
          <w:sz w:val="20"/>
          <w:szCs w:val="20"/>
        </w:rPr>
        <w:t xml:space="preserve"> </w:t>
      </w:r>
      <w:r>
        <w:rPr>
          <w:rFonts w:ascii="宋体" w:hAnsi="宋体" w:eastAsia="宋体" w:cs="宋体"/>
          <w:spacing w:val="-17"/>
          <w:w w:val="97"/>
          <w:sz w:val="20"/>
          <w:szCs w:val="20"/>
        </w:rPr>
        <w:t>作等质量改进效果的评判</w:t>
      </w:r>
      <w:r>
        <w:rPr>
          <w:rFonts w:ascii="宋体" w:hAnsi="宋体" w:eastAsia="宋体" w:cs="宋体"/>
          <w:spacing w:val="-17"/>
          <w:w w:val="97"/>
          <w:position w:val="1"/>
          <w:sz w:val="20"/>
          <w:szCs w:val="20"/>
        </w:rPr>
        <w:t>，</w:t>
      </w:r>
      <w:r>
        <w:rPr>
          <w:rFonts w:ascii="宋体" w:hAnsi="宋体" w:eastAsia="宋体" w:cs="宋体"/>
          <w:spacing w:val="-17"/>
          <w:w w:val="97"/>
          <w:sz w:val="20"/>
          <w:szCs w:val="20"/>
        </w:rPr>
        <w:t>最终取决服务于一流人才培养的</w:t>
      </w:r>
      <w:r>
        <w:rPr>
          <w:rFonts w:ascii="宋体" w:hAnsi="宋体" w:eastAsia="宋体" w:cs="宋体"/>
          <w:spacing w:val="23"/>
          <w:sz w:val="20"/>
          <w:szCs w:val="20"/>
        </w:rPr>
        <w:t xml:space="preserve"> </w:t>
      </w:r>
      <w:r>
        <w:rPr>
          <w:rFonts w:ascii="宋体" w:hAnsi="宋体" w:eastAsia="宋体" w:cs="宋体"/>
          <w:spacing w:val="-18"/>
          <w:sz w:val="20"/>
          <w:szCs w:val="20"/>
        </w:rPr>
        <w:t>有效性</w:t>
      </w:r>
      <w:r>
        <w:rPr>
          <w:rFonts w:ascii="微软雅黑" w:hAnsi="微软雅黑" w:eastAsia="微软雅黑" w:cs="微软雅黑"/>
          <w:spacing w:val="-18"/>
          <w:position w:val="1"/>
          <w:sz w:val="20"/>
          <w:szCs w:val="20"/>
        </w:rPr>
        <w:t>。</w:t>
      </w:r>
    </w:p>
    <w:p>
      <w:pPr>
        <w:spacing w:before="65" w:line="229" w:lineRule="auto"/>
        <w:ind w:left="731" w:right="193" w:firstLine="363"/>
        <w:jc w:val="both"/>
        <w:rPr>
          <w:rFonts w:ascii="微软雅黑" w:hAnsi="微软雅黑" w:eastAsia="微软雅黑" w:cs="微软雅黑"/>
          <w:sz w:val="20"/>
          <w:szCs w:val="20"/>
        </w:rPr>
      </w:pPr>
      <w:r>
        <w:rPr>
          <w:rFonts w:ascii="宋体" w:hAnsi="宋体" w:eastAsia="宋体" w:cs="宋体"/>
          <w:spacing w:val="-15"/>
          <w:w w:val="96"/>
          <w:sz w:val="20"/>
          <w:szCs w:val="20"/>
        </w:rPr>
        <w:t>大学质量文化对于保障人才培养质量发挥潜移默化的作</w:t>
      </w:r>
      <w:r>
        <w:rPr>
          <w:rFonts w:ascii="宋体" w:hAnsi="宋体" w:eastAsia="宋体" w:cs="宋体"/>
          <w:spacing w:val="17"/>
          <w:sz w:val="20"/>
          <w:szCs w:val="20"/>
        </w:rPr>
        <w:t xml:space="preserve"> </w:t>
      </w:r>
      <w:r>
        <w:rPr>
          <w:rFonts w:ascii="宋体" w:hAnsi="宋体" w:eastAsia="宋体" w:cs="宋体"/>
          <w:spacing w:val="-19"/>
          <w:w w:val="95"/>
          <w:sz w:val="20"/>
          <w:szCs w:val="20"/>
        </w:rPr>
        <w:t>用</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例如</w:t>
      </w:r>
      <w:r>
        <w:rPr>
          <w:rFonts w:ascii="宋体" w:hAnsi="宋体" w:eastAsia="宋体" w:cs="宋体"/>
          <w:spacing w:val="-19"/>
          <w:w w:val="95"/>
          <w:position w:val="1"/>
          <w:sz w:val="20"/>
          <w:szCs w:val="20"/>
        </w:rPr>
        <w:t>，</w:t>
      </w:r>
      <w:r>
        <w:rPr>
          <w:rFonts w:ascii="宋体" w:hAnsi="宋体" w:eastAsia="宋体" w:cs="宋体"/>
          <w:spacing w:val="-19"/>
          <w:w w:val="95"/>
          <w:sz w:val="20"/>
          <w:szCs w:val="20"/>
        </w:rPr>
        <w:t>在高等工程教育改革中</w:t>
      </w:r>
      <w:r>
        <w:rPr>
          <w:rFonts w:ascii="宋体" w:hAnsi="宋体" w:eastAsia="宋体" w:cs="宋体"/>
          <w:spacing w:val="-19"/>
          <w:w w:val="95"/>
          <w:position w:val="1"/>
          <w:sz w:val="20"/>
          <w:szCs w:val="20"/>
        </w:rPr>
        <w:t>，</w:t>
      </w:r>
      <w:r>
        <w:rPr>
          <w:rFonts w:ascii="宋体" w:hAnsi="宋体" w:eastAsia="宋体" w:cs="宋体"/>
          <w:spacing w:val="-19"/>
          <w:w w:val="95"/>
          <w:sz w:val="20"/>
          <w:szCs w:val="20"/>
        </w:rPr>
        <w:t>加强质量文化建设对卓越</w:t>
      </w:r>
      <w:r>
        <w:rPr>
          <w:rFonts w:ascii="宋体" w:hAnsi="宋体" w:eastAsia="宋体" w:cs="宋体"/>
          <w:spacing w:val="12"/>
          <w:sz w:val="20"/>
          <w:szCs w:val="20"/>
        </w:rPr>
        <w:t xml:space="preserve"> </w:t>
      </w:r>
      <w:r>
        <w:rPr>
          <w:rFonts w:ascii="宋体" w:hAnsi="宋体" w:eastAsia="宋体" w:cs="宋体"/>
          <w:spacing w:val="-19"/>
          <w:w w:val="95"/>
          <w:sz w:val="20"/>
          <w:szCs w:val="20"/>
        </w:rPr>
        <w:t>工程人才培养具有导向功能</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凝聚功能</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激励功能和约束功能</w:t>
      </w:r>
      <w:r>
        <w:rPr>
          <w:rFonts w:ascii="宋体" w:hAnsi="宋体" w:eastAsia="宋体" w:cs="宋体"/>
          <w:spacing w:val="12"/>
          <w:sz w:val="20"/>
          <w:szCs w:val="20"/>
        </w:rPr>
        <w:t xml:space="preserve"> </w:t>
      </w:r>
      <w:r>
        <w:rPr>
          <w:rFonts w:ascii="宋体" w:hAnsi="宋体" w:eastAsia="宋体" w:cs="宋体"/>
          <w:spacing w:val="-19"/>
          <w:w w:val="95"/>
          <w:sz w:val="20"/>
          <w:szCs w:val="20"/>
        </w:rPr>
        <w:t>等四个基本功能，加强质量文化建设就是要使将</w:t>
      </w:r>
      <w:r>
        <w:rPr>
          <w:rFonts w:ascii="微软雅黑" w:hAnsi="微软雅黑" w:eastAsia="微软雅黑" w:cs="微软雅黑"/>
          <w:spacing w:val="-19"/>
          <w:w w:val="95"/>
          <w:sz w:val="20"/>
          <w:szCs w:val="20"/>
        </w:rPr>
        <w:t>“</w:t>
      </w:r>
      <w:r>
        <w:rPr>
          <w:rFonts w:ascii="宋体" w:hAnsi="宋体" w:eastAsia="宋体" w:cs="宋体"/>
          <w:spacing w:val="-19"/>
          <w:w w:val="95"/>
          <w:sz w:val="20"/>
          <w:szCs w:val="20"/>
        </w:rPr>
        <w:t>质量就是生</w:t>
      </w:r>
      <w:r>
        <w:rPr>
          <w:rFonts w:ascii="宋体" w:hAnsi="宋体" w:eastAsia="宋体" w:cs="宋体"/>
          <w:spacing w:val="13"/>
          <w:sz w:val="20"/>
          <w:szCs w:val="20"/>
        </w:rPr>
        <w:t xml:space="preserve"> </w:t>
      </w:r>
      <w:r>
        <w:rPr>
          <w:rFonts w:ascii="宋体" w:hAnsi="宋体" w:eastAsia="宋体" w:cs="宋体"/>
          <w:spacing w:val="-19"/>
          <w:w w:val="95"/>
          <w:sz w:val="20"/>
          <w:szCs w:val="20"/>
        </w:rPr>
        <w:t>命</w:t>
      </w:r>
      <w:r>
        <w:rPr>
          <w:rFonts w:ascii="微软雅黑" w:hAnsi="微软雅黑" w:eastAsia="微软雅黑" w:cs="微软雅黑"/>
          <w:spacing w:val="-19"/>
          <w:w w:val="95"/>
          <w:sz w:val="20"/>
          <w:szCs w:val="20"/>
        </w:rPr>
        <w:t>”</w:t>
      </w:r>
      <w:r>
        <w:rPr>
          <w:rFonts w:ascii="宋体" w:hAnsi="宋体" w:eastAsia="宋体" w:cs="宋体"/>
          <w:spacing w:val="-19"/>
          <w:w w:val="95"/>
          <w:sz w:val="20"/>
          <w:szCs w:val="20"/>
        </w:rPr>
        <w:t>作为师生员工共同的价值追求，将持续不断的质量改革和</w:t>
      </w:r>
      <w:r>
        <w:rPr>
          <w:rFonts w:ascii="宋体" w:hAnsi="宋体" w:eastAsia="宋体" w:cs="宋体"/>
          <w:spacing w:val="12"/>
          <w:sz w:val="20"/>
          <w:szCs w:val="20"/>
        </w:rPr>
        <w:t xml:space="preserve"> </w:t>
      </w:r>
      <w:r>
        <w:rPr>
          <w:rFonts w:ascii="宋体" w:hAnsi="宋体" w:eastAsia="宋体" w:cs="宋体"/>
          <w:spacing w:val="-18"/>
          <w:w w:val="97"/>
          <w:sz w:val="20"/>
          <w:szCs w:val="20"/>
        </w:rPr>
        <w:t>提高作为常态化的工作</w:t>
      </w:r>
      <w:r>
        <w:rPr>
          <w:rFonts w:ascii="宋体" w:hAnsi="宋体" w:eastAsia="宋体" w:cs="宋体"/>
          <w:spacing w:val="-18"/>
          <w:w w:val="97"/>
          <w:position w:val="10"/>
          <w:sz w:val="11"/>
          <w:szCs w:val="11"/>
        </w:rPr>
        <w:t>［</w:t>
      </w:r>
      <w:r>
        <w:rPr>
          <w:rFonts w:ascii="微软雅黑" w:hAnsi="微软雅黑" w:eastAsia="微软雅黑" w:cs="微软雅黑"/>
          <w:spacing w:val="-18"/>
          <w:w w:val="97"/>
          <w:position w:val="10"/>
          <w:sz w:val="11"/>
          <w:szCs w:val="11"/>
        </w:rPr>
        <w:t>6</w:t>
      </w:r>
      <w:r>
        <w:rPr>
          <w:rFonts w:ascii="宋体" w:hAnsi="宋体" w:eastAsia="宋体" w:cs="宋体"/>
          <w:spacing w:val="-18"/>
          <w:w w:val="97"/>
          <w:position w:val="10"/>
          <w:sz w:val="11"/>
          <w:szCs w:val="11"/>
        </w:rPr>
        <w:t>］</w:t>
      </w:r>
      <w:r>
        <w:rPr>
          <w:rFonts w:ascii="微软雅黑" w:hAnsi="微软雅黑" w:eastAsia="微软雅黑" w:cs="微软雅黑"/>
          <w:spacing w:val="-18"/>
          <w:w w:val="97"/>
          <w:sz w:val="20"/>
          <w:szCs w:val="20"/>
        </w:rPr>
        <w:t>。</w:t>
      </w:r>
      <w:r>
        <w:rPr>
          <w:rFonts w:ascii="宋体" w:hAnsi="宋体" w:eastAsia="宋体" w:cs="宋体"/>
          <w:spacing w:val="-18"/>
          <w:w w:val="97"/>
          <w:sz w:val="20"/>
          <w:szCs w:val="20"/>
        </w:rPr>
        <w:t>地方高校加强一流本科教育，尤</w:t>
      </w:r>
      <w:r>
        <w:rPr>
          <w:rFonts w:ascii="宋体" w:hAnsi="宋体" w:eastAsia="宋体" w:cs="宋体"/>
          <w:spacing w:val="9"/>
          <w:sz w:val="20"/>
          <w:szCs w:val="20"/>
        </w:rPr>
        <w:t xml:space="preserve"> </w:t>
      </w:r>
      <w:r>
        <w:rPr>
          <w:rFonts w:ascii="宋体" w:hAnsi="宋体" w:eastAsia="宋体" w:cs="宋体"/>
          <w:spacing w:val="-18"/>
          <w:w w:val="98"/>
          <w:sz w:val="20"/>
          <w:szCs w:val="20"/>
        </w:rPr>
        <w:t>其需要在把握大学质量文化内涵的基础上</w:t>
      </w:r>
      <w:r>
        <w:rPr>
          <w:rFonts w:ascii="宋体" w:hAnsi="宋体" w:eastAsia="宋体" w:cs="宋体"/>
          <w:spacing w:val="-18"/>
          <w:w w:val="98"/>
          <w:position w:val="1"/>
          <w:sz w:val="20"/>
          <w:szCs w:val="20"/>
        </w:rPr>
        <w:t>，</w:t>
      </w:r>
      <w:r>
        <w:rPr>
          <w:rFonts w:ascii="宋体" w:hAnsi="宋体" w:eastAsia="宋体" w:cs="宋体"/>
          <w:spacing w:val="-18"/>
          <w:w w:val="98"/>
          <w:sz w:val="20"/>
          <w:szCs w:val="20"/>
        </w:rPr>
        <w:t>加强大学质量文</w:t>
      </w:r>
      <w:r>
        <w:rPr>
          <w:rFonts w:ascii="宋体" w:hAnsi="宋体" w:eastAsia="宋体" w:cs="宋体"/>
          <w:spacing w:val="2"/>
          <w:sz w:val="20"/>
          <w:szCs w:val="20"/>
        </w:rPr>
        <w:t xml:space="preserve"> </w:t>
      </w:r>
      <w:r>
        <w:rPr>
          <w:rFonts w:ascii="宋体" w:hAnsi="宋体" w:eastAsia="宋体" w:cs="宋体"/>
          <w:spacing w:val="-19"/>
          <w:w w:val="96"/>
          <w:sz w:val="20"/>
          <w:szCs w:val="20"/>
        </w:rPr>
        <w:t>化建设</w:t>
      </w:r>
      <w:r>
        <w:rPr>
          <w:rFonts w:ascii="宋体" w:hAnsi="宋体" w:eastAsia="宋体" w:cs="宋体"/>
          <w:spacing w:val="-19"/>
          <w:w w:val="96"/>
          <w:position w:val="1"/>
          <w:sz w:val="20"/>
          <w:szCs w:val="20"/>
        </w:rPr>
        <w:t>，</w:t>
      </w:r>
      <w:r>
        <w:rPr>
          <w:rFonts w:ascii="宋体" w:hAnsi="宋体" w:eastAsia="宋体" w:cs="宋体"/>
          <w:spacing w:val="-19"/>
          <w:w w:val="96"/>
          <w:sz w:val="20"/>
          <w:szCs w:val="20"/>
        </w:rPr>
        <w:t>充分发挥大学质量文化的功能与作用</w:t>
      </w:r>
      <w:r>
        <w:rPr>
          <w:rFonts w:ascii="微软雅黑" w:hAnsi="微软雅黑" w:eastAsia="微软雅黑" w:cs="微软雅黑"/>
          <w:spacing w:val="-19"/>
          <w:w w:val="96"/>
          <w:position w:val="1"/>
          <w:sz w:val="20"/>
          <w:szCs w:val="20"/>
        </w:rPr>
        <w:t>。</w:t>
      </w:r>
    </w:p>
    <w:p>
      <w:pPr>
        <w:spacing w:before="221" w:line="178" w:lineRule="auto"/>
        <w:ind w:left="1155"/>
        <w:rPr>
          <w:rFonts w:ascii="黑体" w:hAnsi="黑体" w:eastAsia="黑体" w:cs="黑体"/>
          <w:sz w:val="20"/>
          <w:szCs w:val="20"/>
        </w:rPr>
      </w:pPr>
      <w:r>
        <w:rPr>
          <w:rFonts w:ascii="黑体" w:hAnsi="黑体" w:eastAsia="黑体" w:cs="黑体"/>
          <w:spacing w:val="3"/>
          <w:sz w:val="20"/>
          <w:szCs w:val="20"/>
        </w:rPr>
        <w:t>二</w:t>
      </w:r>
      <w:r>
        <w:rPr>
          <w:rFonts w:ascii="微软雅黑" w:hAnsi="微软雅黑" w:eastAsia="微软雅黑" w:cs="微软雅黑"/>
          <w:spacing w:val="3"/>
          <w:position w:val="1"/>
          <w:sz w:val="20"/>
          <w:szCs w:val="20"/>
        </w:rPr>
        <w:t>、</w:t>
      </w:r>
      <w:r>
        <w:rPr>
          <w:rFonts w:ascii="黑体" w:hAnsi="黑体" w:eastAsia="黑体" w:cs="黑体"/>
          <w:spacing w:val="3"/>
          <w:sz w:val="20"/>
          <w:szCs w:val="20"/>
        </w:rPr>
        <w:t>地方高校大学质量文化建设的价值取向</w:t>
      </w:r>
    </w:p>
    <w:p>
      <w:pPr>
        <w:spacing w:before="218" w:line="237" w:lineRule="auto"/>
        <w:ind w:left="730" w:right="198" w:firstLine="364"/>
        <w:rPr>
          <w:rFonts w:ascii="微软雅黑" w:hAnsi="微软雅黑" w:eastAsia="微软雅黑" w:cs="微软雅黑"/>
          <w:sz w:val="20"/>
          <w:szCs w:val="20"/>
        </w:rPr>
      </w:pPr>
      <w:r>
        <w:rPr>
          <w:rFonts w:ascii="宋体" w:hAnsi="宋体" w:eastAsia="宋体" w:cs="宋体"/>
          <w:spacing w:val="-19"/>
          <w:w w:val="98"/>
          <w:sz w:val="20"/>
          <w:szCs w:val="20"/>
        </w:rPr>
        <w:t>大学质量文化建设是一项长期的系统性工程</w:t>
      </w:r>
      <w:r>
        <w:rPr>
          <w:rFonts w:ascii="宋体" w:hAnsi="宋体" w:eastAsia="宋体" w:cs="宋体"/>
          <w:spacing w:val="-19"/>
          <w:w w:val="98"/>
          <w:position w:val="1"/>
          <w:sz w:val="20"/>
          <w:szCs w:val="20"/>
        </w:rPr>
        <w:t>，</w:t>
      </w:r>
      <w:r>
        <w:rPr>
          <w:rFonts w:ascii="宋体" w:hAnsi="宋体" w:eastAsia="宋体" w:cs="宋体"/>
          <w:spacing w:val="-19"/>
          <w:w w:val="98"/>
          <w:sz w:val="20"/>
          <w:szCs w:val="20"/>
        </w:rPr>
        <w:t>质量文化</w:t>
      </w:r>
      <w:r>
        <w:rPr>
          <w:rFonts w:ascii="宋体" w:hAnsi="宋体" w:eastAsia="宋体" w:cs="宋体"/>
          <w:spacing w:val="14"/>
          <w:sz w:val="20"/>
          <w:szCs w:val="20"/>
        </w:rPr>
        <w:t xml:space="preserve"> </w:t>
      </w:r>
      <w:r>
        <w:rPr>
          <w:rFonts w:ascii="宋体" w:hAnsi="宋体" w:eastAsia="宋体" w:cs="宋体"/>
          <w:spacing w:val="-18"/>
          <w:w w:val="98"/>
          <w:sz w:val="20"/>
          <w:szCs w:val="20"/>
        </w:rPr>
        <w:t>精神层面的架构</w:t>
      </w:r>
      <w:r>
        <w:rPr>
          <w:rFonts w:ascii="微软雅黑" w:hAnsi="微软雅黑" w:eastAsia="微软雅黑" w:cs="微软雅黑"/>
          <w:spacing w:val="-18"/>
          <w:w w:val="98"/>
          <w:position w:val="1"/>
          <w:sz w:val="20"/>
          <w:szCs w:val="20"/>
        </w:rPr>
        <w:t>、</w:t>
      </w:r>
      <w:r>
        <w:rPr>
          <w:rFonts w:ascii="宋体" w:hAnsi="宋体" w:eastAsia="宋体" w:cs="宋体"/>
          <w:spacing w:val="-18"/>
          <w:w w:val="98"/>
          <w:sz w:val="20"/>
          <w:szCs w:val="20"/>
        </w:rPr>
        <w:t>制度层面的完善</w:t>
      </w:r>
      <w:r>
        <w:rPr>
          <w:rFonts w:ascii="微软雅黑" w:hAnsi="微软雅黑" w:eastAsia="微软雅黑" w:cs="微软雅黑"/>
          <w:spacing w:val="-18"/>
          <w:w w:val="98"/>
          <w:position w:val="1"/>
          <w:sz w:val="20"/>
          <w:szCs w:val="20"/>
        </w:rPr>
        <w:t>、</w:t>
      </w:r>
      <w:r>
        <w:rPr>
          <w:rFonts w:ascii="宋体" w:hAnsi="宋体" w:eastAsia="宋体" w:cs="宋体"/>
          <w:spacing w:val="-18"/>
          <w:w w:val="98"/>
          <w:sz w:val="20"/>
          <w:szCs w:val="20"/>
        </w:rPr>
        <w:t>行为层面的规范以</w:t>
      </w:r>
      <w:r>
        <w:rPr>
          <w:rFonts w:ascii="宋体" w:hAnsi="宋体" w:eastAsia="宋体" w:cs="宋体"/>
          <w:spacing w:val="-19"/>
          <w:w w:val="98"/>
          <w:sz w:val="20"/>
          <w:szCs w:val="20"/>
        </w:rPr>
        <w:t>及物</w:t>
      </w:r>
      <w:r>
        <w:rPr>
          <w:rFonts w:ascii="宋体" w:hAnsi="宋体" w:eastAsia="宋体" w:cs="宋体"/>
          <w:sz w:val="20"/>
          <w:szCs w:val="20"/>
        </w:rPr>
        <w:t xml:space="preserve"> </w:t>
      </w:r>
      <w:r>
        <w:rPr>
          <w:rFonts w:ascii="宋体" w:hAnsi="宋体" w:eastAsia="宋体" w:cs="宋体"/>
          <w:spacing w:val="-23"/>
          <w:w w:val="97"/>
          <w:sz w:val="20"/>
          <w:szCs w:val="20"/>
        </w:rPr>
        <w:t>质层面的投入</w:t>
      </w:r>
      <w:r>
        <w:rPr>
          <w:rFonts w:ascii="宋体" w:hAnsi="宋体" w:eastAsia="宋体" w:cs="宋体"/>
          <w:spacing w:val="-23"/>
          <w:w w:val="97"/>
          <w:position w:val="1"/>
          <w:sz w:val="20"/>
          <w:szCs w:val="20"/>
        </w:rPr>
        <w:t>，</w:t>
      </w:r>
      <w:r>
        <w:rPr>
          <w:rFonts w:ascii="宋体" w:hAnsi="宋体" w:eastAsia="宋体" w:cs="宋体"/>
          <w:spacing w:val="-23"/>
          <w:w w:val="97"/>
          <w:sz w:val="20"/>
          <w:szCs w:val="20"/>
        </w:rPr>
        <w:t>都需要围绕一流本科教育</w:t>
      </w:r>
      <w:r>
        <w:rPr>
          <w:rFonts w:ascii="宋体" w:hAnsi="宋体" w:eastAsia="宋体" w:cs="宋体"/>
          <w:spacing w:val="-23"/>
          <w:w w:val="97"/>
          <w:position w:val="1"/>
          <w:sz w:val="20"/>
          <w:szCs w:val="20"/>
        </w:rPr>
        <w:t>，</w:t>
      </w:r>
      <w:r>
        <w:rPr>
          <w:rFonts w:ascii="宋体" w:hAnsi="宋体" w:eastAsia="宋体" w:cs="宋体"/>
          <w:spacing w:val="-23"/>
          <w:w w:val="97"/>
          <w:sz w:val="20"/>
          <w:szCs w:val="20"/>
        </w:rPr>
        <w:t>同步展开</w:t>
      </w:r>
      <w:r>
        <w:rPr>
          <w:rFonts w:ascii="宋体" w:hAnsi="宋体" w:eastAsia="宋体" w:cs="宋体"/>
          <w:spacing w:val="-23"/>
          <w:w w:val="97"/>
          <w:position w:val="1"/>
          <w:sz w:val="20"/>
          <w:szCs w:val="20"/>
        </w:rPr>
        <w:t>，</w:t>
      </w:r>
      <w:r>
        <w:rPr>
          <w:rFonts w:ascii="宋体" w:hAnsi="宋体" w:eastAsia="宋体" w:cs="宋体"/>
          <w:spacing w:val="-23"/>
          <w:w w:val="97"/>
          <w:sz w:val="20"/>
          <w:szCs w:val="20"/>
        </w:rPr>
        <w:t>协同推</w:t>
      </w:r>
      <w:r>
        <w:rPr>
          <w:rFonts w:ascii="宋体" w:hAnsi="宋体" w:eastAsia="宋体" w:cs="宋体"/>
          <w:spacing w:val="10"/>
          <w:sz w:val="20"/>
          <w:szCs w:val="20"/>
        </w:rPr>
        <w:t xml:space="preserve"> </w:t>
      </w:r>
      <w:r>
        <w:rPr>
          <w:rFonts w:ascii="宋体" w:hAnsi="宋体" w:eastAsia="宋体" w:cs="宋体"/>
          <w:spacing w:val="-19"/>
          <w:w w:val="95"/>
          <w:sz w:val="20"/>
          <w:szCs w:val="20"/>
        </w:rPr>
        <w:t>进</w:t>
      </w:r>
      <w:r>
        <w:rPr>
          <w:rFonts w:ascii="宋体" w:hAnsi="宋体" w:eastAsia="宋体" w:cs="宋体"/>
          <w:spacing w:val="-19"/>
          <w:w w:val="95"/>
          <w:position w:val="1"/>
          <w:sz w:val="20"/>
          <w:szCs w:val="20"/>
        </w:rPr>
        <w:t>，</w:t>
      </w:r>
      <w:r>
        <w:rPr>
          <w:rFonts w:ascii="宋体" w:hAnsi="宋体" w:eastAsia="宋体" w:cs="宋体"/>
          <w:spacing w:val="-19"/>
          <w:w w:val="95"/>
          <w:sz w:val="20"/>
          <w:szCs w:val="20"/>
        </w:rPr>
        <w:t>才能做到相互协调</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相互支撑</w:t>
      </w:r>
      <w:r>
        <w:rPr>
          <w:rFonts w:ascii="宋体" w:hAnsi="宋体" w:eastAsia="宋体" w:cs="宋体"/>
          <w:spacing w:val="-19"/>
          <w:w w:val="95"/>
          <w:position w:val="1"/>
          <w:sz w:val="20"/>
          <w:szCs w:val="20"/>
        </w:rPr>
        <w:t>，</w:t>
      </w:r>
      <w:r>
        <w:rPr>
          <w:rFonts w:ascii="宋体" w:hAnsi="宋体" w:eastAsia="宋体" w:cs="宋体"/>
          <w:spacing w:val="-19"/>
          <w:w w:val="95"/>
          <w:sz w:val="20"/>
          <w:szCs w:val="20"/>
        </w:rPr>
        <w:t>也才能真正发挥质量文化</w:t>
      </w:r>
      <w:r>
        <w:rPr>
          <w:rFonts w:ascii="宋体" w:hAnsi="宋体" w:eastAsia="宋体" w:cs="宋体"/>
          <w:spacing w:val="9"/>
          <w:sz w:val="20"/>
          <w:szCs w:val="20"/>
        </w:rPr>
        <w:t xml:space="preserve"> </w:t>
      </w:r>
      <w:r>
        <w:rPr>
          <w:rFonts w:ascii="宋体" w:hAnsi="宋体" w:eastAsia="宋体" w:cs="宋体"/>
          <w:spacing w:val="-22"/>
          <w:sz w:val="20"/>
          <w:szCs w:val="20"/>
        </w:rPr>
        <w:t>的作用与功能</w:t>
      </w:r>
      <w:r>
        <w:rPr>
          <w:rFonts w:ascii="微软雅黑" w:hAnsi="微软雅黑" w:eastAsia="微软雅黑" w:cs="微软雅黑"/>
          <w:spacing w:val="-22"/>
          <w:position w:val="1"/>
          <w:sz w:val="20"/>
          <w:szCs w:val="20"/>
        </w:rPr>
        <w:t>。</w:t>
      </w:r>
      <w:r>
        <w:rPr>
          <w:rFonts w:ascii="宋体" w:hAnsi="宋体" w:eastAsia="宋体" w:cs="宋体"/>
          <w:spacing w:val="-22"/>
          <w:sz w:val="20"/>
          <w:szCs w:val="20"/>
        </w:rPr>
        <w:t>地方高校的大学质量文化建设</w:t>
      </w:r>
      <w:r>
        <w:rPr>
          <w:rFonts w:ascii="宋体" w:hAnsi="宋体" w:eastAsia="宋体" w:cs="宋体"/>
          <w:spacing w:val="-22"/>
          <w:position w:val="1"/>
          <w:sz w:val="20"/>
          <w:szCs w:val="20"/>
        </w:rPr>
        <w:t>，</w:t>
      </w:r>
      <w:r>
        <w:rPr>
          <w:rFonts w:ascii="宋体" w:hAnsi="宋体" w:eastAsia="宋体" w:cs="宋体"/>
          <w:spacing w:val="-22"/>
          <w:sz w:val="20"/>
          <w:szCs w:val="20"/>
        </w:rPr>
        <w:t>首先要明晰</w:t>
      </w:r>
      <w:r>
        <w:rPr>
          <w:rFonts w:ascii="宋体" w:hAnsi="宋体" w:eastAsia="宋体" w:cs="宋体"/>
          <w:sz w:val="20"/>
          <w:szCs w:val="20"/>
        </w:rPr>
        <w:t xml:space="preserve"> </w:t>
      </w:r>
      <w:r>
        <w:rPr>
          <w:rFonts w:ascii="宋体" w:hAnsi="宋体" w:eastAsia="宋体" w:cs="宋体"/>
          <w:spacing w:val="-18"/>
          <w:w w:val="98"/>
          <w:sz w:val="20"/>
          <w:szCs w:val="20"/>
        </w:rPr>
        <w:t>大学质量文化建设的价值取向</w:t>
      </w:r>
      <w:r>
        <w:rPr>
          <w:rFonts w:ascii="宋体" w:hAnsi="宋体" w:eastAsia="宋体" w:cs="宋体"/>
          <w:spacing w:val="-18"/>
          <w:w w:val="98"/>
          <w:position w:val="1"/>
          <w:sz w:val="20"/>
          <w:szCs w:val="20"/>
        </w:rPr>
        <w:t>，</w:t>
      </w:r>
      <w:r>
        <w:rPr>
          <w:rFonts w:ascii="宋体" w:hAnsi="宋体" w:eastAsia="宋体" w:cs="宋体"/>
          <w:spacing w:val="-18"/>
          <w:w w:val="98"/>
          <w:sz w:val="20"/>
          <w:szCs w:val="20"/>
        </w:rPr>
        <w:t>在此基础上才能分析影</w:t>
      </w:r>
      <w:r>
        <w:rPr>
          <w:rFonts w:ascii="宋体" w:hAnsi="宋体" w:eastAsia="宋体" w:cs="宋体"/>
          <w:spacing w:val="-19"/>
          <w:w w:val="98"/>
          <w:sz w:val="20"/>
          <w:szCs w:val="20"/>
        </w:rPr>
        <w:t>响大</w:t>
      </w:r>
      <w:r>
        <w:rPr>
          <w:rFonts w:ascii="宋体" w:hAnsi="宋体" w:eastAsia="宋体" w:cs="宋体"/>
          <w:sz w:val="20"/>
          <w:szCs w:val="20"/>
        </w:rPr>
        <w:t xml:space="preserve"> </w:t>
      </w:r>
      <w:r>
        <w:rPr>
          <w:rFonts w:ascii="宋体" w:hAnsi="宋体" w:eastAsia="宋体" w:cs="宋体"/>
          <w:spacing w:val="-19"/>
          <w:w w:val="98"/>
          <w:sz w:val="20"/>
          <w:szCs w:val="20"/>
        </w:rPr>
        <w:t>学质量文化建设因素</w:t>
      </w:r>
      <w:r>
        <w:rPr>
          <w:rFonts w:ascii="宋体" w:hAnsi="宋体" w:eastAsia="宋体" w:cs="宋体"/>
          <w:spacing w:val="-19"/>
          <w:w w:val="98"/>
          <w:position w:val="1"/>
          <w:sz w:val="20"/>
          <w:szCs w:val="20"/>
        </w:rPr>
        <w:t>，</w:t>
      </w:r>
      <w:r>
        <w:rPr>
          <w:rFonts w:ascii="宋体" w:hAnsi="宋体" w:eastAsia="宋体" w:cs="宋体"/>
          <w:spacing w:val="-19"/>
          <w:w w:val="98"/>
          <w:sz w:val="20"/>
          <w:szCs w:val="20"/>
        </w:rPr>
        <w:t>并进而形成系统化的建设思路</w:t>
      </w:r>
      <w:r>
        <w:rPr>
          <w:rFonts w:ascii="微软雅黑" w:hAnsi="微软雅黑" w:eastAsia="微软雅黑" w:cs="微软雅黑"/>
          <w:spacing w:val="-20"/>
          <w:w w:val="98"/>
          <w:position w:val="1"/>
          <w:sz w:val="20"/>
          <w:szCs w:val="20"/>
        </w:rPr>
        <w:t>。</w:t>
      </w:r>
    </w:p>
    <w:p>
      <w:pPr>
        <w:spacing w:before="57" w:line="235" w:lineRule="auto"/>
        <w:ind w:left="732" w:right="197" w:firstLine="360"/>
        <w:rPr>
          <w:rFonts w:ascii="微软雅黑" w:hAnsi="微软雅黑" w:eastAsia="微软雅黑" w:cs="微软雅黑"/>
          <w:sz w:val="20"/>
          <w:szCs w:val="20"/>
        </w:rPr>
      </w:pPr>
      <w:r>
        <w:rPr>
          <w:rFonts w:ascii="宋体" w:hAnsi="宋体" w:eastAsia="宋体" w:cs="宋体"/>
          <w:spacing w:val="-19"/>
          <w:w w:val="98"/>
          <w:sz w:val="20"/>
          <w:szCs w:val="20"/>
        </w:rPr>
        <w:t>地方高校大多数属应用型高校</w:t>
      </w:r>
      <w:r>
        <w:rPr>
          <w:rFonts w:ascii="宋体" w:hAnsi="宋体" w:eastAsia="宋体" w:cs="宋体"/>
          <w:spacing w:val="-19"/>
          <w:w w:val="98"/>
          <w:position w:val="1"/>
          <w:sz w:val="20"/>
          <w:szCs w:val="20"/>
        </w:rPr>
        <w:t>，</w:t>
      </w:r>
      <w:r>
        <w:rPr>
          <w:rFonts w:ascii="宋体" w:hAnsi="宋体" w:eastAsia="宋体" w:cs="宋体"/>
          <w:spacing w:val="-19"/>
          <w:w w:val="98"/>
          <w:sz w:val="20"/>
          <w:szCs w:val="20"/>
        </w:rPr>
        <w:t>人才培养面向的是服务</w:t>
      </w:r>
      <w:r>
        <w:rPr>
          <w:rFonts w:ascii="宋体" w:hAnsi="宋体" w:eastAsia="宋体" w:cs="宋体"/>
          <w:spacing w:val="16"/>
          <w:sz w:val="20"/>
          <w:szCs w:val="20"/>
        </w:rPr>
        <w:t xml:space="preserve"> </w:t>
      </w:r>
      <w:r>
        <w:rPr>
          <w:rFonts w:ascii="宋体" w:hAnsi="宋体" w:eastAsia="宋体" w:cs="宋体"/>
          <w:spacing w:val="-18"/>
          <w:w w:val="98"/>
          <w:sz w:val="20"/>
          <w:szCs w:val="20"/>
        </w:rPr>
        <w:t>地方经济社会的发展</w:t>
      </w:r>
      <w:r>
        <w:rPr>
          <w:rFonts w:ascii="宋体" w:hAnsi="宋体" w:eastAsia="宋体" w:cs="宋体"/>
          <w:spacing w:val="-18"/>
          <w:w w:val="98"/>
          <w:position w:val="1"/>
          <w:sz w:val="20"/>
          <w:szCs w:val="20"/>
        </w:rPr>
        <w:t>，</w:t>
      </w:r>
      <w:r>
        <w:rPr>
          <w:rFonts w:ascii="宋体" w:hAnsi="宋体" w:eastAsia="宋体" w:cs="宋体"/>
          <w:spacing w:val="-18"/>
          <w:w w:val="98"/>
          <w:sz w:val="20"/>
          <w:szCs w:val="20"/>
        </w:rPr>
        <w:t>一流人才的定位应该是具</w:t>
      </w:r>
      <w:r>
        <w:rPr>
          <w:rFonts w:ascii="宋体" w:hAnsi="宋体" w:eastAsia="宋体" w:cs="宋体"/>
          <w:spacing w:val="-19"/>
          <w:w w:val="98"/>
          <w:sz w:val="20"/>
          <w:szCs w:val="20"/>
        </w:rPr>
        <w:t>有社会责任</w:t>
      </w:r>
      <w:r>
        <w:rPr>
          <w:rFonts w:ascii="宋体" w:hAnsi="宋体" w:eastAsia="宋体" w:cs="宋体"/>
          <w:sz w:val="20"/>
          <w:szCs w:val="20"/>
        </w:rPr>
        <w:t xml:space="preserve"> </w:t>
      </w:r>
      <w:r>
        <w:rPr>
          <w:rFonts w:ascii="宋体" w:hAnsi="宋体" w:eastAsia="宋体" w:cs="宋体"/>
          <w:spacing w:val="-18"/>
          <w:w w:val="98"/>
          <w:sz w:val="20"/>
          <w:szCs w:val="20"/>
        </w:rPr>
        <w:t>感</w:t>
      </w:r>
      <w:r>
        <w:rPr>
          <w:rFonts w:ascii="微软雅黑" w:hAnsi="微软雅黑" w:eastAsia="微软雅黑" w:cs="微软雅黑"/>
          <w:spacing w:val="-18"/>
          <w:w w:val="98"/>
          <w:position w:val="1"/>
          <w:sz w:val="20"/>
          <w:szCs w:val="20"/>
        </w:rPr>
        <w:t>、</w:t>
      </w:r>
      <w:r>
        <w:rPr>
          <w:rFonts w:ascii="宋体" w:hAnsi="宋体" w:eastAsia="宋体" w:cs="宋体"/>
          <w:spacing w:val="-18"/>
          <w:w w:val="98"/>
          <w:sz w:val="20"/>
          <w:szCs w:val="20"/>
        </w:rPr>
        <w:t>创新精神和实践能力的</w:t>
      </w:r>
      <w:r>
        <w:rPr>
          <w:rFonts w:ascii="宋体" w:hAnsi="宋体" w:eastAsia="宋体" w:cs="宋体"/>
          <w:spacing w:val="-18"/>
          <w:w w:val="98"/>
          <w:position w:val="1"/>
          <w:sz w:val="20"/>
          <w:szCs w:val="20"/>
        </w:rPr>
        <w:t>，</w:t>
      </w:r>
      <w:r>
        <w:rPr>
          <w:rFonts w:ascii="宋体" w:hAnsi="宋体" w:eastAsia="宋体" w:cs="宋体"/>
          <w:spacing w:val="-18"/>
          <w:w w:val="98"/>
          <w:sz w:val="20"/>
          <w:szCs w:val="20"/>
        </w:rPr>
        <w:t>能够主动适应并适时</w:t>
      </w:r>
      <w:r>
        <w:rPr>
          <w:rFonts w:ascii="宋体" w:hAnsi="宋体" w:eastAsia="宋体" w:cs="宋体"/>
          <w:spacing w:val="-19"/>
          <w:w w:val="98"/>
          <w:sz w:val="20"/>
          <w:szCs w:val="20"/>
        </w:rPr>
        <w:t>引领地方</w:t>
      </w:r>
      <w:r>
        <w:rPr>
          <w:rFonts w:ascii="宋体" w:hAnsi="宋体" w:eastAsia="宋体" w:cs="宋体"/>
          <w:sz w:val="20"/>
          <w:szCs w:val="20"/>
        </w:rPr>
        <w:t xml:space="preserve"> </w:t>
      </w:r>
      <w:r>
        <w:rPr>
          <w:rFonts w:ascii="宋体" w:hAnsi="宋体" w:eastAsia="宋体" w:cs="宋体"/>
          <w:spacing w:val="-15"/>
          <w:sz w:val="20"/>
          <w:szCs w:val="20"/>
        </w:rPr>
        <w:t>经济社会发展的高级专门人才</w:t>
      </w:r>
      <w:r>
        <w:rPr>
          <w:rFonts w:ascii="微软雅黑" w:hAnsi="微软雅黑" w:eastAsia="微软雅黑" w:cs="微软雅黑"/>
          <w:spacing w:val="-15"/>
          <w:position w:val="1"/>
          <w:sz w:val="20"/>
          <w:szCs w:val="20"/>
        </w:rPr>
        <w:t>。</w:t>
      </w:r>
      <w:r>
        <w:rPr>
          <w:rFonts w:ascii="宋体" w:hAnsi="宋体" w:eastAsia="宋体" w:cs="宋体"/>
          <w:spacing w:val="-15"/>
          <w:sz w:val="20"/>
          <w:szCs w:val="20"/>
        </w:rPr>
        <w:t>结合地方高校办学理念与</w:t>
      </w:r>
      <w:r>
        <w:rPr>
          <w:rFonts w:ascii="宋体" w:hAnsi="宋体" w:eastAsia="宋体" w:cs="宋体"/>
          <w:sz w:val="20"/>
          <w:szCs w:val="20"/>
        </w:rPr>
        <w:t xml:space="preserve"> </w:t>
      </w:r>
      <w:r>
        <w:rPr>
          <w:rFonts w:ascii="宋体" w:hAnsi="宋体" w:eastAsia="宋体" w:cs="宋体"/>
          <w:spacing w:val="-22"/>
          <w:sz w:val="20"/>
          <w:szCs w:val="20"/>
        </w:rPr>
        <w:t>办学特色</w:t>
      </w:r>
      <w:r>
        <w:rPr>
          <w:rFonts w:ascii="宋体" w:hAnsi="宋体" w:eastAsia="宋体" w:cs="宋体"/>
          <w:spacing w:val="-22"/>
          <w:position w:val="1"/>
          <w:sz w:val="20"/>
          <w:szCs w:val="20"/>
        </w:rPr>
        <w:t>，</w:t>
      </w:r>
      <w:r>
        <w:rPr>
          <w:rFonts w:ascii="宋体" w:hAnsi="宋体" w:eastAsia="宋体" w:cs="宋体"/>
          <w:spacing w:val="-22"/>
          <w:sz w:val="20"/>
          <w:szCs w:val="20"/>
        </w:rPr>
        <w:t>依据一流应用型人才的培养目标</w:t>
      </w:r>
      <w:r>
        <w:rPr>
          <w:rFonts w:ascii="宋体" w:hAnsi="宋体" w:eastAsia="宋体" w:cs="宋体"/>
          <w:spacing w:val="-22"/>
          <w:position w:val="1"/>
          <w:sz w:val="20"/>
          <w:szCs w:val="20"/>
        </w:rPr>
        <w:t>，</w:t>
      </w:r>
      <w:r>
        <w:rPr>
          <w:rFonts w:ascii="宋体" w:hAnsi="宋体" w:eastAsia="宋体" w:cs="宋体"/>
          <w:spacing w:val="-22"/>
          <w:sz w:val="20"/>
          <w:szCs w:val="20"/>
        </w:rPr>
        <w:t>围绕教</w:t>
      </w:r>
      <w:r>
        <w:rPr>
          <w:rFonts w:ascii="宋体" w:hAnsi="宋体" w:eastAsia="宋体" w:cs="宋体"/>
          <w:spacing w:val="-23"/>
          <w:sz w:val="20"/>
          <w:szCs w:val="20"/>
        </w:rPr>
        <w:t>育教学</w:t>
      </w:r>
      <w:r>
        <w:rPr>
          <w:rFonts w:ascii="宋体" w:hAnsi="宋体" w:eastAsia="宋体" w:cs="宋体"/>
          <w:sz w:val="20"/>
          <w:szCs w:val="20"/>
        </w:rPr>
        <w:t xml:space="preserve"> </w:t>
      </w:r>
      <w:r>
        <w:rPr>
          <w:rFonts w:ascii="宋体" w:hAnsi="宋体" w:eastAsia="宋体" w:cs="宋体"/>
          <w:spacing w:val="-18"/>
          <w:w w:val="98"/>
          <w:sz w:val="20"/>
          <w:szCs w:val="20"/>
        </w:rPr>
        <w:t>的关键环节或者主要方面</w:t>
      </w:r>
      <w:r>
        <w:rPr>
          <w:rFonts w:ascii="宋体" w:hAnsi="宋体" w:eastAsia="宋体" w:cs="宋体"/>
          <w:spacing w:val="-18"/>
          <w:w w:val="98"/>
          <w:position w:val="1"/>
          <w:sz w:val="20"/>
          <w:szCs w:val="20"/>
        </w:rPr>
        <w:t>，</w:t>
      </w:r>
      <w:r>
        <w:rPr>
          <w:rFonts w:ascii="宋体" w:hAnsi="宋体" w:eastAsia="宋体" w:cs="宋体"/>
          <w:spacing w:val="-18"/>
          <w:w w:val="98"/>
          <w:sz w:val="20"/>
          <w:szCs w:val="20"/>
        </w:rPr>
        <w:t>包括基础知识的架构</w:t>
      </w:r>
      <w:r>
        <w:rPr>
          <w:rFonts w:ascii="微软雅黑" w:hAnsi="微软雅黑" w:eastAsia="微软雅黑" w:cs="微软雅黑"/>
          <w:spacing w:val="-18"/>
          <w:w w:val="98"/>
          <w:position w:val="1"/>
          <w:sz w:val="20"/>
          <w:szCs w:val="20"/>
        </w:rPr>
        <w:t>、</w:t>
      </w:r>
      <w:r>
        <w:rPr>
          <w:rFonts w:ascii="宋体" w:hAnsi="宋体" w:eastAsia="宋体" w:cs="宋体"/>
          <w:spacing w:val="-18"/>
          <w:w w:val="98"/>
          <w:sz w:val="20"/>
          <w:szCs w:val="20"/>
        </w:rPr>
        <w:t>学科</w:t>
      </w:r>
      <w:r>
        <w:rPr>
          <w:rFonts w:ascii="宋体" w:hAnsi="宋体" w:eastAsia="宋体" w:cs="宋体"/>
          <w:spacing w:val="-19"/>
          <w:w w:val="98"/>
          <w:sz w:val="20"/>
          <w:szCs w:val="20"/>
        </w:rPr>
        <w:t>前沿</w:t>
      </w:r>
      <w:r>
        <w:rPr>
          <w:rFonts w:ascii="宋体" w:hAnsi="宋体" w:eastAsia="宋体" w:cs="宋体"/>
          <w:sz w:val="20"/>
          <w:szCs w:val="20"/>
        </w:rPr>
        <w:t xml:space="preserve"> </w:t>
      </w:r>
      <w:r>
        <w:rPr>
          <w:rFonts w:ascii="宋体" w:hAnsi="宋体" w:eastAsia="宋体" w:cs="宋体"/>
          <w:spacing w:val="-21"/>
          <w:w w:val="96"/>
          <w:sz w:val="20"/>
          <w:szCs w:val="20"/>
        </w:rPr>
        <w:t>的把握</w:t>
      </w:r>
      <w:r>
        <w:rPr>
          <w:rFonts w:ascii="宋体" w:hAnsi="宋体" w:eastAsia="宋体" w:cs="宋体"/>
          <w:spacing w:val="-21"/>
          <w:w w:val="96"/>
          <w:position w:val="1"/>
          <w:sz w:val="20"/>
          <w:szCs w:val="20"/>
        </w:rPr>
        <w:t>，</w:t>
      </w:r>
      <w:r>
        <w:rPr>
          <w:rFonts w:ascii="宋体" w:hAnsi="宋体" w:eastAsia="宋体" w:cs="宋体"/>
          <w:spacing w:val="-21"/>
          <w:w w:val="96"/>
          <w:sz w:val="20"/>
          <w:szCs w:val="20"/>
        </w:rPr>
        <w:t>以及社会实践</w:t>
      </w:r>
      <w:r>
        <w:rPr>
          <w:rFonts w:ascii="微软雅黑" w:hAnsi="微软雅黑" w:eastAsia="微软雅黑" w:cs="微软雅黑"/>
          <w:spacing w:val="-21"/>
          <w:w w:val="96"/>
          <w:position w:val="1"/>
          <w:sz w:val="20"/>
          <w:szCs w:val="20"/>
        </w:rPr>
        <w:t>、</w:t>
      </w:r>
      <w:r>
        <w:rPr>
          <w:rFonts w:ascii="宋体" w:hAnsi="宋体" w:eastAsia="宋体" w:cs="宋体"/>
          <w:spacing w:val="-21"/>
          <w:w w:val="96"/>
          <w:sz w:val="20"/>
          <w:szCs w:val="20"/>
        </w:rPr>
        <w:t>专业训练</w:t>
      </w:r>
      <w:r>
        <w:rPr>
          <w:rFonts w:ascii="微软雅黑" w:hAnsi="微软雅黑" w:eastAsia="微软雅黑" w:cs="微软雅黑"/>
          <w:spacing w:val="-21"/>
          <w:w w:val="96"/>
          <w:position w:val="1"/>
          <w:sz w:val="20"/>
          <w:szCs w:val="20"/>
        </w:rPr>
        <w:t>、</w:t>
      </w:r>
      <w:r>
        <w:rPr>
          <w:rFonts w:ascii="宋体" w:hAnsi="宋体" w:eastAsia="宋体" w:cs="宋体"/>
          <w:spacing w:val="-21"/>
          <w:w w:val="96"/>
          <w:sz w:val="20"/>
          <w:szCs w:val="20"/>
        </w:rPr>
        <w:t>工作能力的培养等</w:t>
      </w:r>
      <w:r>
        <w:rPr>
          <w:rFonts w:ascii="宋体" w:hAnsi="宋体" w:eastAsia="宋体" w:cs="宋体"/>
          <w:spacing w:val="-21"/>
          <w:w w:val="96"/>
          <w:position w:val="1"/>
          <w:sz w:val="20"/>
          <w:szCs w:val="20"/>
        </w:rPr>
        <w:t>，</w:t>
      </w:r>
      <w:r>
        <w:rPr>
          <w:rFonts w:ascii="宋体" w:hAnsi="宋体" w:eastAsia="宋体" w:cs="宋体"/>
          <w:spacing w:val="-21"/>
          <w:w w:val="96"/>
          <w:sz w:val="20"/>
          <w:szCs w:val="20"/>
        </w:rPr>
        <w:t>大学</w:t>
      </w:r>
      <w:r>
        <w:rPr>
          <w:rFonts w:ascii="宋体" w:hAnsi="宋体" w:eastAsia="宋体" w:cs="宋体"/>
          <w:spacing w:val="9"/>
          <w:sz w:val="20"/>
          <w:szCs w:val="20"/>
        </w:rPr>
        <w:t xml:space="preserve"> </w:t>
      </w:r>
      <w:r>
        <w:rPr>
          <w:rFonts w:ascii="宋体" w:hAnsi="宋体" w:eastAsia="宋体" w:cs="宋体"/>
          <w:spacing w:val="-20"/>
          <w:sz w:val="20"/>
          <w:szCs w:val="20"/>
        </w:rPr>
        <w:t>质量文化的主要价值取向包括四个方面</w:t>
      </w:r>
      <w:r>
        <w:rPr>
          <w:rFonts w:ascii="微软雅黑" w:hAnsi="微软雅黑" w:eastAsia="微软雅黑" w:cs="微软雅黑"/>
          <w:spacing w:val="-20"/>
          <w:position w:val="1"/>
          <w:sz w:val="20"/>
          <w:szCs w:val="20"/>
        </w:rPr>
        <w:t>。</w:t>
      </w:r>
    </w:p>
    <w:p>
      <w:pPr>
        <w:spacing w:before="64" w:line="185" w:lineRule="auto"/>
        <w:ind w:left="1096"/>
        <w:rPr>
          <w:rFonts w:ascii="宋体" w:hAnsi="宋体" w:eastAsia="宋体" w:cs="宋体"/>
          <w:sz w:val="20"/>
          <w:szCs w:val="20"/>
        </w:rPr>
      </w:pPr>
      <w:r>
        <w:rPr>
          <w:rFonts w:ascii="微软雅黑" w:hAnsi="微软雅黑" w:eastAsia="微软雅黑" w:cs="微软雅黑"/>
          <w:spacing w:val="-28"/>
          <w:w w:val="95"/>
          <w:sz w:val="20"/>
          <w:szCs w:val="20"/>
        </w:rPr>
        <w:t>1．</w:t>
      </w:r>
      <w:r>
        <w:rPr>
          <w:rFonts w:ascii="宋体" w:hAnsi="宋体" w:eastAsia="宋体" w:cs="宋体"/>
          <w:spacing w:val="-28"/>
          <w:w w:val="95"/>
          <w:sz w:val="20"/>
          <w:szCs w:val="20"/>
        </w:rPr>
        <w:t>特色培养</w:t>
      </w:r>
    </w:p>
    <w:p>
      <w:pPr>
        <w:spacing w:before="56" w:line="232" w:lineRule="auto"/>
        <w:ind w:left="658" w:right="108" w:firstLine="434"/>
        <w:rPr>
          <w:rFonts w:ascii="微软雅黑" w:hAnsi="微软雅黑" w:eastAsia="微软雅黑" w:cs="微软雅黑"/>
          <w:sz w:val="20"/>
          <w:szCs w:val="20"/>
        </w:rPr>
      </w:pPr>
      <w:r>
        <w:rPr>
          <w:rFonts w:ascii="宋体" w:hAnsi="宋体" w:eastAsia="宋体" w:cs="宋体"/>
          <w:spacing w:val="-19"/>
          <w:w w:val="98"/>
          <w:sz w:val="20"/>
          <w:szCs w:val="20"/>
        </w:rPr>
        <w:t>地方高校与部属重点高校相比</w:t>
      </w:r>
      <w:r>
        <w:rPr>
          <w:rFonts w:ascii="宋体" w:hAnsi="宋体" w:eastAsia="宋体" w:cs="宋体"/>
          <w:spacing w:val="-19"/>
          <w:w w:val="98"/>
          <w:position w:val="1"/>
          <w:sz w:val="20"/>
          <w:szCs w:val="20"/>
        </w:rPr>
        <w:t>，</w:t>
      </w:r>
      <w:r>
        <w:rPr>
          <w:rFonts w:ascii="宋体" w:hAnsi="宋体" w:eastAsia="宋体" w:cs="宋体"/>
          <w:spacing w:val="-19"/>
          <w:w w:val="98"/>
          <w:sz w:val="20"/>
          <w:szCs w:val="20"/>
        </w:rPr>
        <w:t>无论是在本科生的生源</w:t>
      </w:r>
      <w:r>
        <w:rPr>
          <w:rFonts w:ascii="宋体" w:hAnsi="宋体" w:eastAsia="宋体" w:cs="宋体"/>
          <w:spacing w:val="8"/>
          <w:sz w:val="20"/>
          <w:szCs w:val="20"/>
        </w:rPr>
        <w:t xml:space="preserve">  </w:t>
      </w:r>
      <w:r>
        <w:rPr>
          <w:rFonts w:ascii="宋体" w:hAnsi="宋体" w:eastAsia="宋体" w:cs="宋体"/>
          <w:spacing w:val="-19"/>
          <w:sz w:val="20"/>
          <w:szCs w:val="20"/>
        </w:rPr>
        <w:t>质量还是教育的软硬条件上</w:t>
      </w:r>
      <w:r>
        <w:rPr>
          <w:rFonts w:ascii="宋体" w:hAnsi="宋体" w:eastAsia="宋体" w:cs="宋体"/>
          <w:spacing w:val="-19"/>
          <w:position w:val="1"/>
          <w:sz w:val="20"/>
          <w:szCs w:val="20"/>
        </w:rPr>
        <w:t>，</w:t>
      </w:r>
      <w:r>
        <w:rPr>
          <w:rFonts w:ascii="宋体" w:hAnsi="宋体" w:eastAsia="宋体" w:cs="宋体"/>
          <w:spacing w:val="-19"/>
          <w:sz w:val="20"/>
          <w:szCs w:val="20"/>
        </w:rPr>
        <w:t>都存在明显差</w:t>
      </w:r>
      <w:r>
        <w:rPr>
          <w:rFonts w:ascii="宋体" w:hAnsi="宋体" w:eastAsia="宋体" w:cs="宋体"/>
          <w:spacing w:val="-20"/>
          <w:sz w:val="20"/>
          <w:szCs w:val="20"/>
        </w:rPr>
        <w:t>距</w:t>
      </w:r>
      <w:r>
        <w:rPr>
          <w:rFonts w:ascii="宋体" w:hAnsi="宋体" w:eastAsia="宋体" w:cs="宋体"/>
          <w:spacing w:val="-20"/>
          <w:position w:val="1"/>
          <w:sz w:val="20"/>
          <w:szCs w:val="20"/>
        </w:rPr>
        <w:t>，</w:t>
      </w:r>
      <w:r>
        <w:rPr>
          <w:rFonts w:ascii="宋体" w:hAnsi="宋体" w:eastAsia="宋体" w:cs="宋体"/>
          <w:spacing w:val="-20"/>
          <w:sz w:val="20"/>
          <w:szCs w:val="20"/>
        </w:rPr>
        <w:t>但是很多地</w:t>
      </w:r>
      <w:r>
        <w:rPr>
          <w:rFonts w:ascii="宋体" w:hAnsi="宋体" w:eastAsia="宋体" w:cs="宋体"/>
          <w:sz w:val="20"/>
          <w:szCs w:val="20"/>
        </w:rPr>
        <w:t xml:space="preserve">  </w:t>
      </w:r>
      <w:r>
        <w:rPr>
          <w:rFonts w:ascii="宋体" w:hAnsi="宋体" w:eastAsia="宋体" w:cs="宋体"/>
          <w:spacing w:val="-23"/>
          <w:sz w:val="20"/>
          <w:szCs w:val="20"/>
        </w:rPr>
        <w:t>方本科院校也有其自身天然的独特优势，那就是</w:t>
      </w:r>
      <w:r>
        <w:rPr>
          <w:rFonts w:ascii="微软雅黑" w:hAnsi="微软雅黑" w:eastAsia="微软雅黑" w:cs="微软雅黑"/>
          <w:spacing w:val="-23"/>
          <w:sz w:val="20"/>
          <w:szCs w:val="20"/>
        </w:rPr>
        <w:t>“</w:t>
      </w:r>
      <w:r>
        <w:rPr>
          <w:rFonts w:ascii="宋体" w:hAnsi="宋体" w:eastAsia="宋体" w:cs="宋体"/>
          <w:spacing w:val="-23"/>
          <w:sz w:val="20"/>
          <w:szCs w:val="20"/>
        </w:rPr>
        <w:t>根深蒂固</w:t>
      </w:r>
      <w:r>
        <w:rPr>
          <w:rFonts w:ascii="微软雅黑" w:hAnsi="微软雅黑" w:eastAsia="微软雅黑" w:cs="微软雅黑"/>
          <w:spacing w:val="-23"/>
          <w:sz w:val="20"/>
          <w:szCs w:val="20"/>
        </w:rPr>
        <w:t>”</w:t>
      </w:r>
      <w:r>
        <w:rPr>
          <w:rFonts w:ascii="微软雅黑" w:hAnsi="微软雅黑" w:eastAsia="微软雅黑" w:cs="微软雅黑"/>
          <w:spacing w:val="11"/>
          <w:sz w:val="20"/>
          <w:szCs w:val="20"/>
        </w:rPr>
        <w:t xml:space="preserve"> </w:t>
      </w:r>
      <w:r>
        <w:rPr>
          <w:rFonts w:ascii="微软雅黑" w:hAnsi="微软雅黑" w:eastAsia="微软雅黑" w:cs="微软雅黑"/>
          <w:spacing w:val="-17"/>
          <w:w w:val="98"/>
          <w:sz w:val="20"/>
          <w:szCs w:val="20"/>
        </w:rPr>
        <w:t>“</w:t>
      </w:r>
      <w:r>
        <w:rPr>
          <w:rFonts w:ascii="宋体" w:hAnsi="宋体" w:eastAsia="宋体" w:cs="宋体"/>
          <w:spacing w:val="-17"/>
          <w:w w:val="98"/>
          <w:sz w:val="20"/>
          <w:szCs w:val="20"/>
        </w:rPr>
        <w:t>根系发达</w:t>
      </w:r>
      <w:r>
        <w:rPr>
          <w:rFonts w:ascii="微软雅黑" w:hAnsi="微软雅黑" w:eastAsia="微软雅黑" w:cs="微软雅黑"/>
          <w:spacing w:val="-17"/>
          <w:w w:val="98"/>
          <w:sz w:val="20"/>
          <w:szCs w:val="20"/>
        </w:rPr>
        <w:t>”—</w:t>
      </w:r>
      <w:r>
        <w:rPr>
          <w:rFonts w:ascii="微软雅黑" w:hAnsi="微软雅黑" w:eastAsia="微软雅黑" w:cs="微软雅黑"/>
          <w:spacing w:val="-30"/>
          <w:w w:val="55"/>
          <w:sz w:val="20"/>
          <w:szCs w:val="20"/>
        </w:rPr>
        <w:t>——</w:t>
      </w:r>
      <w:r>
        <w:rPr>
          <w:rFonts w:ascii="微软雅黑" w:hAnsi="微软雅黑" w:eastAsia="微软雅黑" w:cs="微软雅黑"/>
          <w:spacing w:val="-30"/>
          <w:sz w:val="20"/>
          <w:szCs w:val="20"/>
        </w:rPr>
        <w:t xml:space="preserve"> </w:t>
      </w:r>
      <w:r>
        <w:rPr>
          <w:rFonts w:ascii="宋体" w:hAnsi="宋体" w:eastAsia="宋体" w:cs="宋体"/>
          <w:spacing w:val="-17"/>
          <w:w w:val="98"/>
          <w:sz w:val="20"/>
          <w:szCs w:val="20"/>
        </w:rPr>
        <w:t>大多地方本科院校在设立之初就围绕地方</w:t>
      </w:r>
      <w:r>
        <w:rPr>
          <w:rFonts w:ascii="宋体" w:hAnsi="宋体" w:eastAsia="宋体" w:cs="宋体"/>
          <w:sz w:val="20"/>
          <w:szCs w:val="20"/>
        </w:rPr>
        <w:t xml:space="preserve">  </w:t>
      </w:r>
      <w:r>
        <w:rPr>
          <w:rFonts w:ascii="宋体" w:hAnsi="宋体" w:eastAsia="宋体" w:cs="宋体"/>
          <w:spacing w:val="-20"/>
          <w:sz w:val="20"/>
          <w:szCs w:val="20"/>
        </w:rPr>
        <w:t>发展确立自身的发展目标</w:t>
      </w:r>
      <w:r>
        <w:rPr>
          <w:rFonts w:ascii="宋体" w:hAnsi="宋体" w:eastAsia="宋体" w:cs="宋体"/>
          <w:spacing w:val="-20"/>
          <w:position w:val="1"/>
          <w:sz w:val="20"/>
          <w:szCs w:val="20"/>
        </w:rPr>
        <w:t>，</w:t>
      </w:r>
      <w:r>
        <w:rPr>
          <w:rFonts w:ascii="宋体" w:hAnsi="宋体" w:eastAsia="宋体" w:cs="宋体"/>
          <w:spacing w:val="-20"/>
          <w:sz w:val="20"/>
          <w:szCs w:val="20"/>
        </w:rPr>
        <w:t>而且相当长一段时间以来培养出</w:t>
      </w:r>
      <w:r>
        <w:rPr>
          <w:rFonts w:ascii="宋体" w:hAnsi="宋体" w:eastAsia="宋体" w:cs="宋体"/>
          <w:spacing w:val="9"/>
          <w:sz w:val="20"/>
          <w:szCs w:val="20"/>
        </w:rPr>
        <w:t xml:space="preserve">  </w:t>
      </w:r>
      <w:r>
        <w:rPr>
          <w:rFonts w:ascii="宋体" w:hAnsi="宋体" w:eastAsia="宋体" w:cs="宋体"/>
          <w:spacing w:val="-19"/>
          <w:sz w:val="20"/>
          <w:szCs w:val="20"/>
        </w:rPr>
        <w:t>来的人才也多立足本乡本土</w:t>
      </w:r>
      <w:r>
        <w:rPr>
          <w:rFonts w:ascii="微软雅黑" w:hAnsi="微软雅黑" w:eastAsia="微软雅黑" w:cs="微软雅黑"/>
          <w:spacing w:val="-19"/>
          <w:position w:val="1"/>
          <w:sz w:val="20"/>
          <w:szCs w:val="20"/>
        </w:rPr>
        <w:t>、</w:t>
      </w:r>
      <w:r>
        <w:rPr>
          <w:rFonts w:ascii="宋体" w:hAnsi="宋体" w:eastAsia="宋体" w:cs="宋体"/>
          <w:spacing w:val="-19"/>
          <w:sz w:val="20"/>
          <w:szCs w:val="20"/>
        </w:rPr>
        <w:t>服务地方建设和</w:t>
      </w:r>
      <w:r>
        <w:rPr>
          <w:rFonts w:ascii="宋体" w:hAnsi="宋体" w:eastAsia="宋体" w:cs="宋体"/>
          <w:spacing w:val="-20"/>
          <w:sz w:val="20"/>
          <w:szCs w:val="20"/>
        </w:rPr>
        <w:t>发展</w:t>
      </w:r>
      <w:r>
        <w:rPr>
          <w:rFonts w:ascii="宋体" w:hAnsi="宋体" w:eastAsia="宋体" w:cs="宋体"/>
          <w:spacing w:val="-20"/>
          <w:position w:val="1"/>
          <w:sz w:val="20"/>
          <w:szCs w:val="20"/>
        </w:rPr>
        <w:t>，</w:t>
      </w:r>
      <w:r>
        <w:rPr>
          <w:rFonts w:ascii="宋体" w:hAnsi="宋体" w:eastAsia="宋体" w:cs="宋体"/>
          <w:spacing w:val="-20"/>
          <w:sz w:val="20"/>
          <w:szCs w:val="20"/>
        </w:rPr>
        <w:t>因而地</w:t>
      </w:r>
      <w:r>
        <w:rPr>
          <w:rFonts w:ascii="宋体" w:hAnsi="宋体" w:eastAsia="宋体" w:cs="宋体"/>
          <w:sz w:val="20"/>
          <w:szCs w:val="20"/>
        </w:rPr>
        <w:t xml:space="preserve">  </w:t>
      </w:r>
      <w:r>
        <w:rPr>
          <w:rFonts w:ascii="宋体" w:hAnsi="宋体" w:eastAsia="宋体" w:cs="宋体"/>
          <w:spacing w:val="-16"/>
          <w:w w:val="98"/>
          <w:sz w:val="20"/>
          <w:szCs w:val="20"/>
        </w:rPr>
        <w:t>方本科院校能够在应用型</w:t>
      </w:r>
      <w:r>
        <w:rPr>
          <w:rFonts w:ascii="微软雅黑" w:hAnsi="微软雅黑" w:eastAsia="微软雅黑" w:cs="微软雅黑"/>
          <w:spacing w:val="-16"/>
          <w:w w:val="98"/>
          <w:position w:val="1"/>
          <w:sz w:val="20"/>
          <w:szCs w:val="20"/>
        </w:rPr>
        <w:t>、</w:t>
      </w:r>
      <w:r>
        <w:rPr>
          <w:rFonts w:ascii="宋体" w:hAnsi="宋体" w:eastAsia="宋体" w:cs="宋体"/>
          <w:spacing w:val="-16"/>
          <w:w w:val="98"/>
          <w:sz w:val="20"/>
          <w:szCs w:val="20"/>
        </w:rPr>
        <w:t>区域性</w:t>
      </w:r>
      <w:r>
        <w:rPr>
          <w:rFonts w:ascii="微软雅黑" w:hAnsi="微软雅黑" w:eastAsia="微软雅黑" w:cs="微软雅黑"/>
          <w:spacing w:val="-16"/>
          <w:w w:val="98"/>
          <w:position w:val="1"/>
          <w:sz w:val="20"/>
          <w:szCs w:val="20"/>
        </w:rPr>
        <w:t>、</w:t>
      </w:r>
      <w:r>
        <w:rPr>
          <w:rFonts w:ascii="宋体" w:hAnsi="宋体" w:eastAsia="宋体" w:cs="宋体"/>
          <w:spacing w:val="-16"/>
          <w:w w:val="98"/>
          <w:sz w:val="20"/>
          <w:szCs w:val="20"/>
        </w:rPr>
        <w:t>特色化方面发挥比较优</w:t>
      </w:r>
      <w:r>
        <w:rPr>
          <w:rFonts w:ascii="宋体" w:hAnsi="宋体" w:eastAsia="宋体" w:cs="宋体"/>
          <w:spacing w:val="9"/>
          <w:sz w:val="20"/>
          <w:szCs w:val="20"/>
        </w:rPr>
        <w:t xml:space="preserve">  </w:t>
      </w:r>
      <w:r>
        <w:rPr>
          <w:rFonts w:ascii="宋体" w:hAnsi="宋体" w:eastAsia="宋体" w:cs="宋体"/>
          <w:spacing w:val="-20"/>
          <w:sz w:val="20"/>
          <w:szCs w:val="20"/>
        </w:rPr>
        <w:t>势</w:t>
      </w:r>
      <w:r>
        <w:rPr>
          <w:rFonts w:ascii="微软雅黑" w:hAnsi="微软雅黑" w:eastAsia="微软雅黑" w:cs="微软雅黑"/>
          <w:spacing w:val="-20"/>
          <w:position w:val="1"/>
          <w:sz w:val="20"/>
          <w:szCs w:val="20"/>
        </w:rPr>
        <w:t>。</w:t>
      </w:r>
      <w:r>
        <w:rPr>
          <w:rFonts w:ascii="宋体" w:hAnsi="宋体" w:eastAsia="宋体" w:cs="宋体"/>
          <w:spacing w:val="-20"/>
          <w:sz w:val="20"/>
          <w:szCs w:val="20"/>
        </w:rPr>
        <w:t>因此</w:t>
      </w:r>
      <w:r>
        <w:rPr>
          <w:rFonts w:ascii="宋体" w:hAnsi="宋体" w:eastAsia="宋体" w:cs="宋体"/>
          <w:spacing w:val="-20"/>
          <w:position w:val="1"/>
          <w:sz w:val="20"/>
          <w:szCs w:val="20"/>
        </w:rPr>
        <w:t>，</w:t>
      </w:r>
      <w:r>
        <w:rPr>
          <w:rFonts w:ascii="宋体" w:hAnsi="宋体" w:eastAsia="宋体" w:cs="宋体"/>
          <w:spacing w:val="-20"/>
          <w:sz w:val="20"/>
          <w:szCs w:val="20"/>
        </w:rPr>
        <w:t>本科教育要注重在彰显培养特色上体现一流与呈</w:t>
      </w:r>
      <w:r>
        <w:rPr>
          <w:rFonts w:ascii="宋体" w:hAnsi="宋体" w:eastAsia="宋体" w:cs="宋体"/>
          <w:spacing w:val="8"/>
          <w:sz w:val="20"/>
          <w:szCs w:val="20"/>
        </w:rPr>
        <w:t xml:space="preserve">  </w:t>
      </w:r>
      <w:r>
        <w:rPr>
          <w:rFonts w:ascii="宋体" w:hAnsi="宋体" w:eastAsia="宋体" w:cs="宋体"/>
          <w:spacing w:val="-20"/>
          <w:sz w:val="20"/>
          <w:szCs w:val="20"/>
        </w:rPr>
        <w:t>现卓越</w:t>
      </w:r>
      <w:r>
        <w:rPr>
          <w:rFonts w:ascii="宋体" w:hAnsi="宋体" w:eastAsia="宋体" w:cs="宋体"/>
          <w:spacing w:val="-20"/>
          <w:position w:val="1"/>
          <w:sz w:val="20"/>
          <w:szCs w:val="20"/>
        </w:rPr>
        <w:t>，</w:t>
      </w:r>
      <w:r>
        <w:rPr>
          <w:rFonts w:ascii="宋体" w:hAnsi="宋体" w:eastAsia="宋体" w:cs="宋体"/>
          <w:spacing w:val="-20"/>
          <w:sz w:val="20"/>
          <w:szCs w:val="20"/>
        </w:rPr>
        <w:t>大学质量文化要体现出学校人才特色培养的价值取</w:t>
      </w:r>
      <w:r>
        <w:rPr>
          <w:rFonts w:ascii="宋体" w:hAnsi="宋体" w:eastAsia="宋体" w:cs="宋体"/>
          <w:spacing w:val="8"/>
          <w:sz w:val="20"/>
          <w:szCs w:val="20"/>
        </w:rPr>
        <w:t xml:space="preserve">  </w:t>
      </w:r>
      <w:r>
        <w:rPr>
          <w:rFonts w:ascii="宋体" w:hAnsi="宋体" w:eastAsia="宋体" w:cs="宋体"/>
          <w:spacing w:val="-21"/>
          <w:w w:val="99"/>
          <w:sz w:val="20"/>
          <w:szCs w:val="20"/>
        </w:rPr>
        <w:t>向，对于一流本科人才培养质量的理解不囿于以往</w:t>
      </w:r>
      <w:r>
        <w:rPr>
          <w:rFonts w:ascii="微软雅黑" w:hAnsi="微软雅黑" w:eastAsia="微软雅黑" w:cs="微软雅黑"/>
          <w:spacing w:val="-21"/>
          <w:w w:val="99"/>
          <w:sz w:val="20"/>
          <w:szCs w:val="20"/>
        </w:rPr>
        <w:t>“</w:t>
      </w:r>
      <w:r>
        <w:rPr>
          <w:rFonts w:ascii="宋体" w:hAnsi="宋体" w:eastAsia="宋体" w:cs="宋体"/>
          <w:spacing w:val="-21"/>
          <w:w w:val="99"/>
          <w:sz w:val="20"/>
          <w:szCs w:val="20"/>
        </w:rPr>
        <w:t>同质化</w:t>
      </w:r>
      <w:r>
        <w:rPr>
          <w:rFonts w:ascii="微软雅黑" w:hAnsi="微软雅黑" w:eastAsia="微软雅黑" w:cs="微软雅黑"/>
          <w:spacing w:val="-21"/>
          <w:w w:val="99"/>
          <w:sz w:val="20"/>
          <w:szCs w:val="20"/>
        </w:rPr>
        <w:t>”</w:t>
      </w:r>
    </w:p>
    <w:p>
      <w:pPr>
        <w:spacing w:line="14" w:lineRule="auto"/>
        <w:rPr>
          <w:rFonts w:ascii="Arial"/>
          <w:sz w:val="2"/>
        </w:rPr>
      </w:pPr>
      <w:r>
        <w:rPr>
          <w:rFonts w:ascii="Arial" w:hAnsi="Arial" w:eastAsia="Arial" w:cs="Arial"/>
          <w:sz w:val="2"/>
          <w:szCs w:val="2"/>
        </w:rPr>
        <w:br w:type="column"/>
      </w:r>
    </w:p>
    <w:p>
      <w:pPr>
        <w:spacing w:before="37" w:line="210" w:lineRule="auto"/>
        <w:ind w:left="73" w:right="63" w:firstLine="15"/>
        <w:jc w:val="both"/>
        <w:rPr>
          <w:rFonts w:ascii="微软雅黑" w:hAnsi="微软雅黑" w:eastAsia="微软雅黑" w:cs="微软雅黑"/>
          <w:sz w:val="20"/>
          <w:szCs w:val="20"/>
        </w:rPr>
      </w:pPr>
      <w:r>
        <w:rPr>
          <w:rFonts w:ascii="宋体" w:hAnsi="宋体" w:eastAsia="宋体" w:cs="宋体"/>
          <w:spacing w:val="-20"/>
          <w:w w:val="95"/>
          <w:sz w:val="20"/>
          <w:szCs w:val="20"/>
        </w:rPr>
        <w:t>的偏向理论型或者研究型的所谓</w:t>
      </w:r>
      <w:r>
        <w:rPr>
          <w:rFonts w:ascii="微软雅黑" w:hAnsi="微软雅黑" w:eastAsia="微软雅黑" w:cs="微软雅黑"/>
          <w:spacing w:val="-20"/>
          <w:w w:val="95"/>
          <w:sz w:val="20"/>
          <w:szCs w:val="20"/>
        </w:rPr>
        <w:t>“</w:t>
      </w:r>
      <w:r>
        <w:rPr>
          <w:rFonts w:ascii="宋体" w:hAnsi="宋体" w:eastAsia="宋体" w:cs="宋体"/>
          <w:spacing w:val="-20"/>
          <w:w w:val="95"/>
          <w:sz w:val="20"/>
          <w:szCs w:val="20"/>
        </w:rPr>
        <w:t>高层次</w:t>
      </w:r>
      <w:r>
        <w:rPr>
          <w:rFonts w:ascii="微软雅黑" w:hAnsi="微软雅黑" w:eastAsia="微软雅黑" w:cs="微软雅黑"/>
          <w:spacing w:val="-20"/>
          <w:w w:val="95"/>
          <w:sz w:val="20"/>
          <w:szCs w:val="20"/>
        </w:rPr>
        <w:t>”</w:t>
      </w:r>
      <w:r>
        <w:rPr>
          <w:rFonts w:ascii="宋体" w:hAnsi="宋体" w:eastAsia="宋体" w:cs="宋体"/>
          <w:spacing w:val="-20"/>
          <w:w w:val="95"/>
          <w:sz w:val="20"/>
          <w:szCs w:val="20"/>
        </w:rPr>
        <w:t>定位，而是</w:t>
      </w:r>
      <w:r>
        <w:rPr>
          <w:rFonts w:ascii="微软雅黑" w:hAnsi="微软雅黑" w:eastAsia="微软雅黑" w:cs="微软雅黑"/>
          <w:spacing w:val="-20"/>
          <w:w w:val="95"/>
          <w:sz w:val="20"/>
          <w:szCs w:val="20"/>
        </w:rPr>
        <w:t>“</w:t>
      </w:r>
      <w:r>
        <w:rPr>
          <w:rFonts w:ascii="宋体" w:hAnsi="宋体" w:eastAsia="宋体" w:cs="宋体"/>
          <w:spacing w:val="-20"/>
          <w:w w:val="95"/>
          <w:sz w:val="20"/>
          <w:szCs w:val="20"/>
        </w:rPr>
        <w:t>知行</w:t>
      </w:r>
      <w:r>
        <w:rPr>
          <w:rFonts w:ascii="宋体" w:hAnsi="宋体" w:eastAsia="宋体" w:cs="宋体"/>
          <w:spacing w:val="21"/>
          <w:sz w:val="20"/>
          <w:szCs w:val="20"/>
        </w:rPr>
        <w:t xml:space="preserve"> </w:t>
      </w:r>
      <w:r>
        <w:rPr>
          <w:rFonts w:ascii="宋体" w:hAnsi="宋体" w:eastAsia="宋体" w:cs="宋体"/>
          <w:spacing w:val="-19"/>
          <w:w w:val="95"/>
          <w:sz w:val="20"/>
          <w:szCs w:val="20"/>
        </w:rPr>
        <w:t>合一</w:t>
      </w:r>
      <w:r>
        <w:rPr>
          <w:rFonts w:ascii="微软雅黑" w:hAnsi="微软雅黑" w:eastAsia="微软雅黑" w:cs="微软雅黑"/>
          <w:spacing w:val="-19"/>
          <w:w w:val="95"/>
          <w:sz w:val="20"/>
          <w:szCs w:val="20"/>
        </w:rPr>
        <w:t>、</w:t>
      </w:r>
      <w:r>
        <w:rPr>
          <w:rFonts w:ascii="宋体" w:hAnsi="宋体" w:eastAsia="宋体" w:cs="宋体"/>
          <w:spacing w:val="-19"/>
          <w:w w:val="95"/>
          <w:sz w:val="20"/>
          <w:szCs w:val="20"/>
        </w:rPr>
        <w:t>能力本位</w:t>
      </w:r>
      <w:r>
        <w:rPr>
          <w:rFonts w:ascii="微软雅黑" w:hAnsi="微软雅黑" w:eastAsia="微软雅黑" w:cs="微软雅黑"/>
          <w:spacing w:val="-19"/>
          <w:w w:val="95"/>
          <w:sz w:val="20"/>
          <w:szCs w:val="20"/>
        </w:rPr>
        <w:t>”</w:t>
      </w:r>
      <w:r>
        <w:rPr>
          <w:rFonts w:ascii="宋体" w:hAnsi="宋体" w:eastAsia="宋体" w:cs="宋体"/>
          <w:spacing w:val="-19"/>
          <w:w w:val="95"/>
          <w:sz w:val="20"/>
          <w:szCs w:val="20"/>
        </w:rPr>
        <w:t>的实践型或应用型创新的</w:t>
      </w:r>
      <w:r>
        <w:rPr>
          <w:rFonts w:ascii="微软雅黑" w:hAnsi="微软雅黑" w:eastAsia="微软雅黑" w:cs="微软雅黑"/>
          <w:spacing w:val="-19"/>
          <w:w w:val="95"/>
          <w:sz w:val="20"/>
          <w:szCs w:val="20"/>
        </w:rPr>
        <w:t>“</w:t>
      </w:r>
      <w:r>
        <w:rPr>
          <w:rFonts w:ascii="宋体" w:hAnsi="宋体" w:eastAsia="宋体" w:cs="宋体"/>
          <w:spacing w:val="-19"/>
          <w:w w:val="95"/>
          <w:sz w:val="20"/>
          <w:szCs w:val="20"/>
        </w:rPr>
        <w:t>特色化</w:t>
      </w:r>
      <w:r>
        <w:rPr>
          <w:rFonts w:ascii="微软雅黑" w:hAnsi="微软雅黑" w:eastAsia="微软雅黑" w:cs="微软雅黑"/>
          <w:spacing w:val="-19"/>
          <w:w w:val="95"/>
          <w:sz w:val="20"/>
          <w:szCs w:val="20"/>
        </w:rPr>
        <w:t>”</w:t>
      </w:r>
      <w:r>
        <w:rPr>
          <w:rFonts w:ascii="宋体" w:hAnsi="宋体" w:eastAsia="宋体" w:cs="宋体"/>
          <w:spacing w:val="-19"/>
          <w:w w:val="95"/>
          <w:sz w:val="20"/>
          <w:szCs w:val="20"/>
        </w:rPr>
        <w:t>专门人</w:t>
      </w:r>
      <w:r>
        <w:rPr>
          <w:rFonts w:ascii="宋体" w:hAnsi="宋体" w:eastAsia="宋体" w:cs="宋体"/>
          <w:spacing w:val="9"/>
          <w:sz w:val="20"/>
          <w:szCs w:val="20"/>
        </w:rPr>
        <w:t xml:space="preserve"> </w:t>
      </w:r>
      <w:r>
        <w:rPr>
          <w:rFonts w:ascii="宋体" w:hAnsi="宋体" w:eastAsia="宋体" w:cs="宋体"/>
          <w:spacing w:val="-22"/>
          <w:sz w:val="20"/>
          <w:szCs w:val="20"/>
        </w:rPr>
        <w:t>才定位</w:t>
      </w:r>
      <w:r>
        <w:rPr>
          <w:rFonts w:ascii="微软雅黑" w:hAnsi="微软雅黑" w:eastAsia="微软雅黑" w:cs="微软雅黑"/>
          <w:spacing w:val="-22"/>
          <w:position w:val="1"/>
          <w:sz w:val="20"/>
          <w:szCs w:val="20"/>
        </w:rPr>
        <w:t>。</w:t>
      </w:r>
      <w:r>
        <w:rPr>
          <w:rFonts w:ascii="宋体" w:hAnsi="宋体" w:eastAsia="宋体" w:cs="宋体"/>
          <w:spacing w:val="-22"/>
          <w:sz w:val="20"/>
          <w:szCs w:val="20"/>
        </w:rPr>
        <w:t>唯此</w:t>
      </w:r>
      <w:r>
        <w:rPr>
          <w:rFonts w:ascii="宋体" w:hAnsi="宋体" w:eastAsia="宋体" w:cs="宋体"/>
          <w:spacing w:val="-22"/>
          <w:position w:val="1"/>
          <w:sz w:val="20"/>
          <w:szCs w:val="20"/>
        </w:rPr>
        <w:t>，</w:t>
      </w:r>
      <w:r>
        <w:rPr>
          <w:rFonts w:ascii="宋体" w:hAnsi="宋体" w:eastAsia="宋体" w:cs="宋体"/>
          <w:spacing w:val="-22"/>
          <w:sz w:val="20"/>
          <w:szCs w:val="20"/>
        </w:rPr>
        <w:t>地方高校的一流本科教育才有自身</w:t>
      </w:r>
      <w:r>
        <w:rPr>
          <w:rFonts w:ascii="宋体" w:hAnsi="宋体" w:eastAsia="宋体" w:cs="宋体"/>
          <w:spacing w:val="-23"/>
          <w:sz w:val="20"/>
          <w:szCs w:val="20"/>
        </w:rPr>
        <w:t>的发展方</w:t>
      </w:r>
      <w:r>
        <w:rPr>
          <w:rFonts w:ascii="宋体" w:hAnsi="宋体" w:eastAsia="宋体" w:cs="宋体"/>
          <w:sz w:val="20"/>
          <w:szCs w:val="20"/>
        </w:rPr>
        <w:t xml:space="preserve"> </w:t>
      </w:r>
      <w:r>
        <w:rPr>
          <w:rFonts w:ascii="宋体" w:hAnsi="宋体" w:eastAsia="宋体" w:cs="宋体"/>
          <w:spacing w:val="-19"/>
          <w:sz w:val="20"/>
          <w:szCs w:val="20"/>
        </w:rPr>
        <w:t>向和目标定位</w:t>
      </w:r>
      <w:r>
        <w:rPr>
          <w:rFonts w:ascii="微软雅黑" w:hAnsi="微软雅黑" w:eastAsia="微软雅黑" w:cs="微软雅黑"/>
          <w:spacing w:val="-19"/>
          <w:position w:val="1"/>
          <w:sz w:val="20"/>
          <w:szCs w:val="20"/>
        </w:rPr>
        <w:t>。</w:t>
      </w:r>
    </w:p>
    <w:p>
      <w:pPr>
        <w:spacing w:before="61" w:line="185" w:lineRule="auto"/>
        <w:ind w:left="423"/>
        <w:rPr>
          <w:rFonts w:ascii="宋体" w:hAnsi="宋体" w:eastAsia="宋体" w:cs="宋体"/>
          <w:sz w:val="20"/>
          <w:szCs w:val="20"/>
        </w:rPr>
      </w:pPr>
      <w:r>
        <w:rPr>
          <w:rFonts w:ascii="微软雅黑" w:hAnsi="微软雅黑" w:eastAsia="微软雅黑" w:cs="微软雅黑"/>
          <w:spacing w:val="-23"/>
          <w:w w:val="96"/>
          <w:sz w:val="20"/>
          <w:szCs w:val="20"/>
        </w:rPr>
        <w:t>2．</w:t>
      </w:r>
      <w:r>
        <w:rPr>
          <w:rFonts w:ascii="宋体" w:hAnsi="宋体" w:eastAsia="宋体" w:cs="宋体"/>
          <w:spacing w:val="-23"/>
          <w:w w:val="96"/>
          <w:sz w:val="20"/>
          <w:szCs w:val="20"/>
        </w:rPr>
        <w:t>全面质量管理</w:t>
      </w:r>
    </w:p>
    <w:p>
      <w:pPr>
        <w:spacing w:before="48" w:line="233" w:lineRule="auto"/>
        <w:ind w:left="73" w:right="61" w:firstLine="360"/>
        <w:rPr>
          <w:rFonts w:ascii="微软雅黑" w:hAnsi="微软雅黑" w:eastAsia="微软雅黑" w:cs="微软雅黑"/>
          <w:sz w:val="20"/>
          <w:szCs w:val="20"/>
        </w:rPr>
      </w:pPr>
      <w:r>
        <w:rPr>
          <w:rFonts w:ascii="宋体" w:hAnsi="宋体" w:eastAsia="宋体" w:cs="宋体"/>
          <w:spacing w:val="-21"/>
          <w:w w:val="99"/>
          <w:sz w:val="20"/>
          <w:szCs w:val="20"/>
        </w:rPr>
        <w:t>全面管理</w:t>
      </w:r>
      <w:r>
        <w:rPr>
          <w:rFonts w:ascii="宋体" w:hAnsi="宋体" w:eastAsia="宋体" w:cs="宋体"/>
          <w:spacing w:val="-21"/>
          <w:w w:val="99"/>
          <w:position w:val="1"/>
          <w:sz w:val="20"/>
          <w:szCs w:val="20"/>
        </w:rPr>
        <w:t>，</w:t>
      </w:r>
      <w:r>
        <w:rPr>
          <w:rFonts w:ascii="宋体" w:hAnsi="宋体" w:eastAsia="宋体" w:cs="宋体"/>
          <w:spacing w:val="-21"/>
          <w:w w:val="99"/>
          <w:sz w:val="20"/>
          <w:szCs w:val="20"/>
        </w:rPr>
        <w:t>就是以质量为中心的全过程管理</w:t>
      </w:r>
      <w:r>
        <w:rPr>
          <w:rFonts w:ascii="微软雅黑" w:hAnsi="微软雅黑" w:eastAsia="微软雅黑" w:cs="微软雅黑"/>
          <w:spacing w:val="-21"/>
          <w:w w:val="99"/>
          <w:position w:val="1"/>
          <w:sz w:val="20"/>
          <w:szCs w:val="20"/>
        </w:rPr>
        <w:t>、</w:t>
      </w:r>
      <w:r>
        <w:rPr>
          <w:rFonts w:ascii="宋体" w:hAnsi="宋体" w:eastAsia="宋体" w:cs="宋体"/>
          <w:spacing w:val="-21"/>
          <w:w w:val="99"/>
          <w:sz w:val="20"/>
          <w:szCs w:val="20"/>
        </w:rPr>
        <w:t>全组织管</w:t>
      </w:r>
      <w:r>
        <w:rPr>
          <w:rFonts w:ascii="宋体" w:hAnsi="宋体" w:eastAsia="宋体" w:cs="宋体"/>
          <w:spacing w:val="17"/>
          <w:sz w:val="20"/>
          <w:szCs w:val="20"/>
        </w:rPr>
        <w:t xml:space="preserve"> </w:t>
      </w:r>
      <w:r>
        <w:rPr>
          <w:rFonts w:ascii="宋体" w:hAnsi="宋体" w:eastAsia="宋体" w:cs="宋体"/>
          <w:spacing w:val="-17"/>
          <w:w w:val="97"/>
          <w:sz w:val="20"/>
          <w:szCs w:val="20"/>
        </w:rPr>
        <w:t>理</w:t>
      </w:r>
      <w:r>
        <w:rPr>
          <w:rFonts w:ascii="微软雅黑" w:hAnsi="微软雅黑" w:eastAsia="微软雅黑" w:cs="微软雅黑"/>
          <w:spacing w:val="-17"/>
          <w:w w:val="97"/>
          <w:position w:val="1"/>
          <w:sz w:val="20"/>
          <w:szCs w:val="20"/>
        </w:rPr>
        <w:t>、</w:t>
      </w:r>
      <w:r>
        <w:rPr>
          <w:rFonts w:ascii="宋体" w:hAnsi="宋体" w:eastAsia="宋体" w:cs="宋体"/>
          <w:spacing w:val="-17"/>
          <w:w w:val="97"/>
          <w:sz w:val="20"/>
          <w:szCs w:val="20"/>
        </w:rPr>
        <w:t>全员管理基础上的全覆盖管理</w:t>
      </w:r>
      <w:r>
        <w:rPr>
          <w:rFonts w:ascii="微软雅黑" w:hAnsi="微软雅黑" w:eastAsia="微软雅黑" w:cs="微软雅黑"/>
          <w:spacing w:val="-17"/>
          <w:w w:val="97"/>
          <w:position w:val="1"/>
          <w:sz w:val="20"/>
          <w:szCs w:val="20"/>
        </w:rPr>
        <w:t>。</w:t>
      </w:r>
      <w:r>
        <w:rPr>
          <w:rFonts w:ascii="宋体" w:hAnsi="宋体" w:eastAsia="宋体" w:cs="宋体"/>
          <w:spacing w:val="-17"/>
          <w:w w:val="97"/>
          <w:sz w:val="20"/>
          <w:szCs w:val="20"/>
        </w:rPr>
        <w:t>教育全面质量管理既是</w:t>
      </w:r>
      <w:r>
        <w:rPr>
          <w:rFonts w:ascii="宋体" w:hAnsi="宋体" w:eastAsia="宋体" w:cs="宋体"/>
          <w:spacing w:val="22"/>
          <w:sz w:val="20"/>
          <w:szCs w:val="20"/>
        </w:rPr>
        <w:t xml:space="preserve"> </w:t>
      </w:r>
      <w:r>
        <w:rPr>
          <w:rFonts w:ascii="宋体" w:hAnsi="宋体" w:eastAsia="宋体" w:cs="宋体"/>
          <w:spacing w:val="-17"/>
          <w:w w:val="97"/>
          <w:sz w:val="20"/>
          <w:szCs w:val="20"/>
        </w:rPr>
        <w:t>质量管理理念</w:t>
      </w:r>
      <w:r>
        <w:rPr>
          <w:rFonts w:ascii="宋体" w:hAnsi="宋体" w:eastAsia="宋体" w:cs="宋体"/>
          <w:spacing w:val="-17"/>
          <w:w w:val="97"/>
          <w:position w:val="1"/>
          <w:sz w:val="20"/>
          <w:szCs w:val="20"/>
        </w:rPr>
        <w:t>，</w:t>
      </w:r>
      <w:r>
        <w:rPr>
          <w:rFonts w:ascii="宋体" w:hAnsi="宋体" w:eastAsia="宋体" w:cs="宋体"/>
          <w:spacing w:val="-17"/>
          <w:w w:val="97"/>
          <w:sz w:val="20"/>
          <w:szCs w:val="20"/>
        </w:rPr>
        <w:t>也是质量监控手段</w:t>
      </w:r>
      <w:r>
        <w:rPr>
          <w:rFonts w:ascii="微软雅黑" w:hAnsi="微软雅黑" w:eastAsia="微软雅黑" w:cs="微软雅黑"/>
          <w:spacing w:val="-17"/>
          <w:w w:val="97"/>
          <w:position w:val="1"/>
          <w:sz w:val="20"/>
          <w:szCs w:val="20"/>
        </w:rPr>
        <w:t>。</w:t>
      </w:r>
      <w:r>
        <w:rPr>
          <w:rFonts w:ascii="宋体" w:hAnsi="宋体" w:eastAsia="宋体" w:cs="宋体"/>
          <w:spacing w:val="-17"/>
          <w:w w:val="97"/>
          <w:sz w:val="20"/>
          <w:szCs w:val="20"/>
        </w:rPr>
        <w:t>在高等教育大众化的背</w:t>
      </w:r>
      <w:r>
        <w:rPr>
          <w:rFonts w:ascii="宋体" w:hAnsi="宋体" w:eastAsia="宋体" w:cs="宋体"/>
          <w:spacing w:val="22"/>
          <w:sz w:val="20"/>
          <w:szCs w:val="20"/>
        </w:rPr>
        <w:t xml:space="preserve"> </w:t>
      </w:r>
      <w:r>
        <w:rPr>
          <w:rFonts w:ascii="宋体" w:hAnsi="宋体" w:eastAsia="宋体" w:cs="宋体"/>
          <w:spacing w:val="-19"/>
          <w:w w:val="98"/>
          <w:sz w:val="20"/>
          <w:szCs w:val="20"/>
        </w:rPr>
        <w:t>景下</w:t>
      </w:r>
      <w:r>
        <w:rPr>
          <w:rFonts w:ascii="宋体" w:hAnsi="宋体" w:eastAsia="宋体" w:cs="宋体"/>
          <w:spacing w:val="-19"/>
          <w:w w:val="98"/>
          <w:position w:val="1"/>
          <w:sz w:val="20"/>
          <w:szCs w:val="20"/>
        </w:rPr>
        <w:t>，</w:t>
      </w:r>
      <w:r>
        <w:rPr>
          <w:rFonts w:ascii="宋体" w:hAnsi="宋体" w:eastAsia="宋体" w:cs="宋体"/>
          <w:spacing w:val="-19"/>
          <w:w w:val="98"/>
          <w:sz w:val="20"/>
          <w:szCs w:val="20"/>
        </w:rPr>
        <w:t>坚持教育全面质量管理</w:t>
      </w:r>
      <w:r>
        <w:rPr>
          <w:rFonts w:ascii="宋体" w:hAnsi="宋体" w:eastAsia="宋体" w:cs="宋体"/>
          <w:spacing w:val="-19"/>
          <w:w w:val="98"/>
          <w:position w:val="1"/>
          <w:sz w:val="20"/>
          <w:szCs w:val="20"/>
        </w:rPr>
        <w:t>，</w:t>
      </w:r>
      <w:r>
        <w:rPr>
          <w:rFonts w:ascii="宋体" w:hAnsi="宋体" w:eastAsia="宋体" w:cs="宋体"/>
          <w:spacing w:val="-19"/>
          <w:w w:val="98"/>
          <w:sz w:val="20"/>
          <w:szCs w:val="20"/>
        </w:rPr>
        <w:t>地方高校可以有效地克服办</w:t>
      </w:r>
      <w:r>
        <w:rPr>
          <w:rFonts w:ascii="宋体" w:hAnsi="宋体" w:eastAsia="宋体" w:cs="宋体"/>
          <w:spacing w:val="22"/>
          <w:sz w:val="20"/>
          <w:szCs w:val="20"/>
        </w:rPr>
        <w:t xml:space="preserve"> </w:t>
      </w:r>
      <w:r>
        <w:rPr>
          <w:rFonts w:ascii="宋体" w:hAnsi="宋体" w:eastAsia="宋体" w:cs="宋体"/>
          <w:spacing w:val="-22"/>
          <w:sz w:val="20"/>
          <w:szCs w:val="20"/>
        </w:rPr>
        <w:t>学经费紧张与教育资源短缺带来的困境</w:t>
      </w:r>
      <w:r>
        <w:rPr>
          <w:rFonts w:ascii="宋体" w:hAnsi="宋体" w:eastAsia="宋体" w:cs="宋体"/>
          <w:spacing w:val="-22"/>
          <w:position w:val="1"/>
          <w:sz w:val="20"/>
          <w:szCs w:val="20"/>
        </w:rPr>
        <w:t>，</w:t>
      </w:r>
      <w:r>
        <w:rPr>
          <w:rFonts w:ascii="宋体" w:hAnsi="宋体" w:eastAsia="宋体" w:cs="宋体"/>
          <w:spacing w:val="-22"/>
          <w:sz w:val="20"/>
          <w:szCs w:val="20"/>
        </w:rPr>
        <w:t>保障办学的</w:t>
      </w:r>
      <w:r>
        <w:rPr>
          <w:rFonts w:ascii="宋体" w:hAnsi="宋体" w:eastAsia="宋体" w:cs="宋体"/>
          <w:spacing w:val="-23"/>
          <w:sz w:val="20"/>
          <w:szCs w:val="20"/>
        </w:rPr>
        <w:t>质量与</w:t>
      </w:r>
      <w:r>
        <w:rPr>
          <w:rFonts w:ascii="宋体" w:hAnsi="宋体" w:eastAsia="宋体" w:cs="宋体"/>
          <w:sz w:val="20"/>
          <w:szCs w:val="20"/>
        </w:rPr>
        <w:t xml:space="preserve"> </w:t>
      </w:r>
      <w:r>
        <w:rPr>
          <w:rFonts w:ascii="宋体" w:hAnsi="宋体" w:eastAsia="宋体" w:cs="宋体"/>
          <w:spacing w:val="-17"/>
          <w:w w:val="97"/>
          <w:sz w:val="20"/>
          <w:szCs w:val="20"/>
        </w:rPr>
        <w:t>效益</w:t>
      </w:r>
      <w:r>
        <w:rPr>
          <w:rFonts w:ascii="微软雅黑" w:hAnsi="微软雅黑" w:eastAsia="微软雅黑" w:cs="微软雅黑"/>
          <w:spacing w:val="-17"/>
          <w:w w:val="97"/>
          <w:sz w:val="20"/>
          <w:szCs w:val="20"/>
        </w:rPr>
        <w:t>。“</w:t>
      </w:r>
      <w:r>
        <w:rPr>
          <w:rFonts w:ascii="宋体" w:hAnsi="宋体" w:eastAsia="宋体" w:cs="宋体"/>
          <w:spacing w:val="-17"/>
          <w:w w:val="97"/>
          <w:sz w:val="20"/>
          <w:szCs w:val="20"/>
        </w:rPr>
        <w:t>教育全面质量管理要求培植以质量和质量服务为核</w:t>
      </w:r>
      <w:r>
        <w:rPr>
          <w:rFonts w:ascii="宋体" w:hAnsi="宋体" w:eastAsia="宋体" w:cs="宋体"/>
          <w:spacing w:val="20"/>
          <w:sz w:val="20"/>
          <w:szCs w:val="20"/>
        </w:rPr>
        <w:t xml:space="preserve"> </w:t>
      </w:r>
      <w:r>
        <w:rPr>
          <w:rFonts w:ascii="宋体" w:hAnsi="宋体" w:eastAsia="宋体" w:cs="宋体"/>
          <w:spacing w:val="-22"/>
          <w:sz w:val="20"/>
          <w:szCs w:val="20"/>
        </w:rPr>
        <w:t>心的质量文化</w:t>
      </w:r>
      <w:r>
        <w:rPr>
          <w:rFonts w:ascii="微软雅黑" w:hAnsi="微软雅黑" w:eastAsia="微软雅黑" w:cs="微软雅黑"/>
          <w:spacing w:val="-22"/>
          <w:position w:val="1"/>
          <w:sz w:val="20"/>
          <w:szCs w:val="20"/>
        </w:rPr>
        <w:t>”</w:t>
      </w:r>
      <w:r>
        <w:rPr>
          <w:rFonts w:ascii="宋体" w:hAnsi="宋体" w:eastAsia="宋体" w:cs="宋体"/>
          <w:spacing w:val="-22"/>
          <w:position w:val="1"/>
          <w:sz w:val="20"/>
          <w:szCs w:val="20"/>
        </w:rPr>
        <w:t>，</w:t>
      </w:r>
      <w:r>
        <w:rPr>
          <w:rFonts w:ascii="宋体" w:hAnsi="宋体" w:eastAsia="宋体" w:cs="宋体"/>
          <w:spacing w:val="-22"/>
          <w:sz w:val="20"/>
          <w:szCs w:val="20"/>
        </w:rPr>
        <w:t>以质量改进为前提</w:t>
      </w:r>
      <w:r>
        <w:rPr>
          <w:rFonts w:ascii="宋体" w:hAnsi="宋体" w:eastAsia="宋体" w:cs="宋体"/>
          <w:spacing w:val="-22"/>
          <w:position w:val="1"/>
          <w:sz w:val="20"/>
          <w:szCs w:val="20"/>
        </w:rPr>
        <w:t>，</w:t>
      </w:r>
      <w:r>
        <w:rPr>
          <w:rFonts w:ascii="宋体" w:hAnsi="宋体" w:eastAsia="宋体" w:cs="宋体"/>
          <w:spacing w:val="-22"/>
          <w:sz w:val="20"/>
          <w:szCs w:val="20"/>
        </w:rPr>
        <w:t>鼓励团结协作</w:t>
      </w:r>
      <w:r>
        <w:rPr>
          <w:rFonts w:ascii="宋体" w:hAnsi="宋体" w:eastAsia="宋体" w:cs="宋体"/>
          <w:spacing w:val="-23"/>
          <w:sz w:val="20"/>
          <w:szCs w:val="20"/>
        </w:rPr>
        <w:t>和团队</w:t>
      </w:r>
      <w:r>
        <w:rPr>
          <w:rFonts w:ascii="宋体" w:hAnsi="宋体" w:eastAsia="宋体" w:cs="宋体"/>
          <w:sz w:val="20"/>
          <w:szCs w:val="20"/>
        </w:rPr>
        <w:t xml:space="preserve"> </w:t>
      </w:r>
      <w:r>
        <w:rPr>
          <w:rFonts w:ascii="宋体" w:hAnsi="宋体" w:eastAsia="宋体" w:cs="宋体"/>
          <w:spacing w:val="-17"/>
          <w:w w:val="98"/>
          <w:sz w:val="20"/>
          <w:szCs w:val="20"/>
        </w:rPr>
        <w:t>精神</w:t>
      </w:r>
      <w:r>
        <w:rPr>
          <w:rFonts w:ascii="宋体" w:hAnsi="宋体" w:eastAsia="宋体" w:cs="宋体"/>
          <w:spacing w:val="-17"/>
          <w:w w:val="98"/>
          <w:position w:val="10"/>
          <w:sz w:val="11"/>
          <w:szCs w:val="11"/>
        </w:rPr>
        <w:t>［</w:t>
      </w:r>
      <w:r>
        <w:rPr>
          <w:rFonts w:ascii="微软雅黑" w:hAnsi="微软雅黑" w:eastAsia="微软雅黑" w:cs="微软雅黑"/>
          <w:spacing w:val="-17"/>
          <w:w w:val="98"/>
          <w:position w:val="10"/>
          <w:sz w:val="11"/>
          <w:szCs w:val="11"/>
        </w:rPr>
        <w:t>7</w:t>
      </w:r>
      <w:r>
        <w:rPr>
          <w:rFonts w:ascii="宋体" w:hAnsi="宋体" w:eastAsia="宋体" w:cs="宋体"/>
          <w:spacing w:val="-16"/>
          <w:position w:val="10"/>
          <w:sz w:val="11"/>
          <w:szCs w:val="11"/>
        </w:rPr>
        <w:t>］</w:t>
      </w:r>
      <w:r>
        <w:rPr>
          <w:rFonts w:ascii="宋体" w:hAnsi="宋体" w:eastAsia="宋体" w:cs="宋体"/>
          <w:spacing w:val="-32"/>
          <w:w w:val="66"/>
          <w:sz w:val="20"/>
          <w:szCs w:val="20"/>
        </w:rPr>
        <w:t>，</w:t>
      </w:r>
      <w:r>
        <w:rPr>
          <w:rFonts w:ascii="宋体" w:hAnsi="宋体" w:eastAsia="宋体" w:cs="宋体"/>
          <w:spacing w:val="-17"/>
          <w:w w:val="98"/>
          <w:sz w:val="20"/>
          <w:szCs w:val="20"/>
        </w:rPr>
        <w:t>而大学质量文化也要体现出全面质量管理的价值取</w:t>
      </w:r>
      <w:r>
        <w:rPr>
          <w:rFonts w:ascii="宋体" w:hAnsi="宋体" w:eastAsia="宋体" w:cs="宋体"/>
          <w:spacing w:val="1"/>
          <w:sz w:val="20"/>
          <w:szCs w:val="20"/>
        </w:rPr>
        <w:t xml:space="preserve"> </w:t>
      </w:r>
      <w:r>
        <w:rPr>
          <w:rFonts w:ascii="宋体" w:hAnsi="宋体" w:eastAsia="宋体" w:cs="宋体"/>
          <w:spacing w:val="-19"/>
          <w:w w:val="98"/>
          <w:sz w:val="20"/>
          <w:szCs w:val="20"/>
        </w:rPr>
        <w:t>向</w:t>
      </w:r>
      <w:r>
        <w:rPr>
          <w:rFonts w:ascii="宋体" w:hAnsi="宋体" w:eastAsia="宋体" w:cs="宋体"/>
          <w:spacing w:val="-19"/>
          <w:w w:val="98"/>
          <w:position w:val="1"/>
          <w:sz w:val="20"/>
          <w:szCs w:val="20"/>
        </w:rPr>
        <w:t>，</w:t>
      </w:r>
      <w:r>
        <w:rPr>
          <w:rFonts w:ascii="宋体" w:hAnsi="宋体" w:eastAsia="宋体" w:cs="宋体"/>
          <w:spacing w:val="-19"/>
          <w:w w:val="98"/>
          <w:sz w:val="20"/>
          <w:szCs w:val="20"/>
        </w:rPr>
        <w:t>注重以全新视角与观念来变革传统的质量观</w:t>
      </w:r>
      <w:r>
        <w:rPr>
          <w:rFonts w:ascii="宋体" w:hAnsi="宋体" w:eastAsia="宋体" w:cs="宋体"/>
          <w:spacing w:val="-19"/>
          <w:w w:val="98"/>
          <w:position w:val="1"/>
          <w:sz w:val="20"/>
          <w:szCs w:val="20"/>
        </w:rPr>
        <w:t>，</w:t>
      </w:r>
      <w:r>
        <w:rPr>
          <w:rFonts w:ascii="宋体" w:hAnsi="宋体" w:eastAsia="宋体" w:cs="宋体"/>
          <w:spacing w:val="-19"/>
          <w:w w:val="98"/>
          <w:sz w:val="20"/>
          <w:szCs w:val="20"/>
        </w:rPr>
        <w:t>构建全面</w:t>
      </w:r>
      <w:r>
        <w:rPr>
          <w:rFonts w:ascii="宋体" w:hAnsi="宋体" w:eastAsia="宋体" w:cs="宋体"/>
          <w:spacing w:val="24"/>
          <w:sz w:val="20"/>
          <w:szCs w:val="20"/>
        </w:rPr>
        <w:t xml:space="preserve"> </w:t>
      </w:r>
      <w:r>
        <w:rPr>
          <w:rFonts w:ascii="宋体" w:hAnsi="宋体" w:eastAsia="宋体" w:cs="宋体"/>
          <w:spacing w:val="-15"/>
          <w:sz w:val="20"/>
          <w:szCs w:val="20"/>
        </w:rPr>
        <w:t>保障教育质量的组织程序系统</w:t>
      </w:r>
      <w:r>
        <w:rPr>
          <w:rFonts w:ascii="微软雅黑" w:hAnsi="微软雅黑" w:eastAsia="微软雅黑" w:cs="微软雅黑"/>
          <w:spacing w:val="-15"/>
          <w:position w:val="1"/>
          <w:sz w:val="20"/>
          <w:szCs w:val="20"/>
        </w:rPr>
        <w:t>。</w:t>
      </w:r>
      <w:r>
        <w:rPr>
          <w:rFonts w:ascii="宋体" w:hAnsi="宋体" w:eastAsia="宋体" w:cs="宋体"/>
          <w:spacing w:val="-15"/>
          <w:sz w:val="20"/>
          <w:szCs w:val="20"/>
        </w:rPr>
        <w:t>围绕大学质量文化建设的</w:t>
      </w:r>
      <w:r>
        <w:rPr>
          <w:rFonts w:ascii="宋体" w:hAnsi="宋体" w:eastAsia="宋体" w:cs="宋体"/>
          <w:sz w:val="20"/>
          <w:szCs w:val="20"/>
        </w:rPr>
        <w:t xml:space="preserve"> </w:t>
      </w:r>
      <w:r>
        <w:rPr>
          <w:rFonts w:ascii="宋体" w:hAnsi="宋体" w:eastAsia="宋体" w:cs="宋体"/>
          <w:spacing w:val="-19"/>
          <w:w w:val="95"/>
          <w:sz w:val="20"/>
          <w:szCs w:val="20"/>
        </w:rPr>
        <w:t>全面质量管理</w:t>
      </w:r>
      <w:r>
        <w:rPr>
          <w:rFonts w:ascii="宋体" w:hAnsi="宋体" w:eastAsia="宋体" w:cs="宋体"/>
          <w:spacing w:val="-19"/>
          <w:w w:val="95"/>
          <w:position w:val="1"/>
          <w:sz w:val="20"/>
          <w:szCs w:val="20"/>
        </w:rPr>
        <w:t>，</w:t>
      </w:r>
      <w:r>
        <w:rPr>
          <w:rFonts w:ascii="宋体" w:hAnsi="宋体" w:eastAsia="宋体" w:cs="宋体"/>
          <w:spacing w:val="-19"/>
          <w:w w:val="95"/>
          <w:sz w:val="20"/>
          <w:szCs w:val="20"/>
        </w:rPr>
        <w:t>要逐一对照文化的物质</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制度</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行为</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精神等</w:t>
      </w:r>
      <w:r>
        <w:rPr>
          <w:rFonts w:ascii="宋体" w:hAnsi="宋体" w:eastAsia="宋体" w:cs="宋体"/>
          <w:spacing w:val="9"/>
          <w:sz w:val="20"/>
          <w:szCs w:val="20"/>
        </w:rPr>
        <w:t xml:space="preserve"> </w:t>
      </w:r>
      <w:r>
        <w:rPr>
          <w:rFonts w:ascii="宋体" w:hAnsi="宋体" w:eastAsia="宋体" w:cs="宋体"/>
          <w:spacing w:val="-22"/>
          <w:w w:val="95"/>
          <w:sz w:val="20"/>
          <w:szCs w:val="20"/>
        </w:rPr>
        <w:t>四个层次</w:t>
      </w:r>
      <w:r>
        <w:rPr>
          <w:rFonts w:ascii="宋体" w:hAnsi="宋体" w:eastAsia="宋体" w:cs="宋体"/>
          <w:spacing w:val="-22"/>
          <w:w w:val="95"/>
          <w:position w:val="1"/>
          <w:sz w:val="20"/>
          <w:szCs w:val="20"/>
        </w:rPr>
        <w:t>，</w:t>
      </w:r>
      <w:r>
        <w:rPr>
          <w:rFonts w:ascii="宋体" w:hAnsi="宋体" w:eastAsia="宋体" w:cs="宋体"/>
          <w:spacing w:val="-22"/>
          <w:w w:val="95"/>
          <w:sz w:val="20"/>
          <w:szCs w:val="20"/>
        </w:rPr>
        <w:t>面面俱到</w:t>
      </w:r>
      <w:r>
        <w:rPr>
          <w:rFonts w:ascii="宋体" w:hAnsi="宋体" w:eastAsia="宋体" w:cs="宋体"/>
          <w:spacing w:val="-22"/>
          <w:w w:val="95"/>
          <w:position w:val="1"/>
          <w:sz w:val="20"/>
          <w:szCs w:val="20"/>
        </w:rPr>
        <w:t>，</w:t>
      </w:r>
      <w:r>
        <w:rPr>
          <w:rFonts w:ascii="宋体" w:hAnsi="宋体" w:eastAsia="宋体" w:cs="宋体"/>
          <w:spacing w:val="-22"/>
          <w:w w:val="95"/>
          <w:sz w:val="20"/>
          <w:szCs w:val="20"/>
        </w:rPr>
        <w:t>不留死角</w:t>
      </w:r>
      <w:r>
        <w:rPr>
          <w:rFonts w:ascii="微软雅黑" w:hAnsi="微软雅黑" w:eastAsia="微软雅黑" w:cs="微软雅黑"/>
          <w:spacing w:val="-22"/>
          <w:w w:val="95"/>
          <w:position w:val="1"/>
          <w:sz w:val="20"/>
          <w:szCs w:val="20"/>
        </w:rPr>
        <w:t>。</w:t>
      </w:r>
    </w:p>
    <w:p>
      <w:pPr>
        <w:spacing w:before="63" w:line="184" w:lineRule="auto"/>
        <w:ind w:left="425"/>
        <w:rPr>
          <w:rFonts w:ascii="宋体" w:hAnsi="宋体" w:eastAsia="宋体" w:cs="宋体"/>
          <w:sz w:val="20"/>
          <w:szCs w:val="20"/>
        </w:rPr>
      </w:pPr>
      <w:r>
        <w:rPr>
          <w:rFonts w:ascii="微软雅黑" w:hAnsi="微软雅黑" w:eastAsia="微软雅黑" w:cs="微软雅黑"/>
          <w:spacing w:val="-28"/>
          <w:w w:val="97"/>
          <w:sz w:val="20"/>
          <w:szCs w:val="20"/>
        </w:rPr>
        <w:t>3．</w:t>
      </w:r>
      <w:r>
        <w:rPr>
          <w:rFonts w:ascii="宋体" w:hAnsi="宋体" w:eastAsia="宋体" w:cs="宋体"/>
          <w:spacing w:val="-28"/>
          <w:w w:val="97"/>
          <w:sz w:val="20"/>
          <w:szCs w:val="20"/>
        </w:rPr>
        <w:t>学生本位</w:t>
      </w:r>
    </w:p>
    <w:p>
      <w:pPr>
        <w:spacing w:before="56" w:line="233" w:lineRule="auto"/>
        <w:ind w:firstLine="434"/>
        <w:rPr>
          <w:rFonts w:ascii="微软雅黑" w:hAnsi="微软雅黑" w:eastAsia="微软雅黑" w:cs="微软雅黑"/>
          <w:sz w:val="20"/>
          <w:szCs w:val="20"/>
        </w:rPr>
      </w:pPr>
      <w:r>
        <w:rPr>
          <w:rFonts w:ascii="宋体" w:hAnsi="宋体" w:eastAsia="宋体" w:cs="宋体"/>
          <w:spacing w:val="-15"/>
          <w:sz w:val="20"/>
          <w:szCs w:val="20"/>
        </w:rPr>
        <w:t>加强一流本科教育</w:t>
      </w:r>
      <w:r>
        <w:rPr>
          <w:rFonts w:ascii="宋体" w:hAnsi="宋体" w:eastAsia="宋体" w:cs="宋体"/>
          <w:spacing w:val="-15"/>
          <w:position w:val="1"/>
          <w:sz w:val="20"/>
          <w:szCs w:val="20"/>
        </w:rPr>
        <w:t>，</w:t>
      </w:r>
      <w:r>
        <w:rPr>
          <w:rFonts w:ascii="宋体" w:hAnsi="宋体" w:eastAsia="宋体" w:cs="宋体"/>
          <w:spacing w:val="-15"/>
          <w:sz w:val="20"/>
          <w:szCs w:val="20"/>
        </w:rPr>
        <w:t xml:space="preserve">要将人才培养作为大学的本质职 </w:t>
      </w:r>
      <w:r>
        <w:rPr>
          <w:rFonts w:ascii="宋体" w:hAnsi="宋体" w:eastAsia="宋体" w:cs="宋体"/>
          <w:spacing w:val="-25"/>
          <w:w w:val="94"/>
          <w:sz w:val="20"/>
          <w:szCs w:val="20"/>
        </w:rPr>
        <w:t>能，坚持</w:t>
      </w:r>
      <w:r>
        <w:rPr>
          <w:rFonts w:ascii="微软雅黑" w:hAnsi="微软雅黑" w:eastAsia="微软雅黑" w:cs="微软雅黑"/>
          <w:spacing w:val="-25"/>
          <w:w w:val="94"/>
          <w:sz w:val="20"/>
          <w:szCs w:val="20"/>
        </w:rPr>
        <w:t>“</w:t>
      </w:r>
      <w:r>
        <w:rPr>
          <w:rFonts w:ascii="宋体" w:hAnsi="宋体" w:eastAsia="宋体" w:cs="宋体"/>
          <w:spacing w:val="-25"/>
          <w:w w:val="94"/>
          <w:sz w:val="20"/>
          <w:szCs w:val="20"/>
        </w:rPr>
        <w:t>以本为本</w:t>
      </w:r>
      <w:r>
        <w:rPr>
          <w:rFonts w:ascii="微软雅黑" w:hAnsi="微软雅黑" w:eastAsia="微软雅黑" w:cs="微软雅黑"/>
          <w:spacing w:val="-25"/>
          <w:w w:val="94"/>
          <w:sz w:val="20"/>
          <w:szCs w:val="20"/>
        </w:rPr>
        <w:t>”</w:t>
      </w:r>
      <w:r>
        <w:rPr>
          <w:rFonts w:ascii="宋体" w:hAnsi="宋体" w:eastAsia="宋体" w:cs="宋体"/>
          <w:spacing w:val="-25"/>
          <w:w w:val="94"/>
          <w:sz w:val="20"/>
          <w:szCs w:val="20"/>
        </w:rPr>
        <w:t>，推进</w:t>
      </w:r>
      <w:r>
        <w:rPr>
          <w:rFonts w:ascii="微软雅黑" w:hAnsi="微软雅黑" w:eastAsia="微软雅黑" w:cs="微软雅黑"/>
          <w:spacing w:val="-25"/>
          <w:w w:val="94"/>
          <w:sz w:val="20"/>
          <w:szCs w:val="20"/>
        </w:rPr>
        <w:t>“</w:t>
      </w:r>
      <w:r>
        <w:rPr>
          <w:rFonts w:ascii="宋体" w:hAnsi="宋体" w:eastAsia="宋体" w:cs="宋体"/>
          <w:spacing w:val="-25"/>
          <w:w w:val="94"/>
          <w:sz w:val="20"/>
          <w:szCs w:val="20"/>
        </w:rPr>
        <w:t>四个回归</w:t>
      </w:r>
      <w:r>
        <w:rPr>
          <w:rFonts w:ascii="微软雅黑" w:hAnsi="微软雅黑" w:eastAsia="微软雅黑" w:cs="微软雅黑"/>
          <w:spacing w:val="-25"/>
          <w:w w:val="94"/>
          <w:sz w:val="20"/>
          <w:szCs w:val="20"/>
        </w:rPr>
        <w:t>”</w:t>
      </w:r>
      <w:r>
        <w:rPr>
          <w:rFonts w:ascii="宋体" w:hAnsi="宋体" w:eastAsia="宋体" w:cs="宋体"/>
          <w:spacing w:val="-25"/>
          <w:w w:val="94"/>
          <w:sz w:val="20"/>
          <w:szCs w:val="20"/>
        </w:rPr>
        <w:t>;</w:t>
      </w:r>
      <w:r>
        <w:rPr>
          <w:rFonts w:ascii="宋体" w:hAnsi="宋体" w:eastAsia="宋体" w:cs="宋体"/>
          <w:spacing w:val="-33"/>
          <w:sz w:val="20"/>
          <w:szCs w:val="20"/>
        </w:rPr>
        <w:t xml:space="preserve"> </w:t>
      </w:r>
      <w:r>
        <w:rPr>
          <w:rFonts w:ascii="宋体" w:hAnsi="宋体" w:eastAsia="宋体" w:cs="宋体"/>
          <w:spacing w:val="-25"/>
          <w:w w:val="94"/>
          <w:sz w:val="20"/>
          <w:szCs w:val="20"/>
        </w:rPr>
        <w:t>要以</w:t>
      </w:r>
      <w:r>
        <w:rPr>
          <w:rFonts w:ascii="微软雅黑" w:hAnsi="微软雅黑" w:eastAsia="微软雅黑" w:cs="微软雅黑"/>
          <w:spacing w:val="-25"/>
          <w:w w:val="94"/>
          <w:sz w:val="20"/>
          <w:szCs w:val="20"/>
        </w:rPr>
        <w:t>“</w:t>
      </w:r>
      <w:r>
        <w:rPr>
          <w:rFonts w:ascii="宋体" w:hAnsi="宋体" w:eastAsia="宋体" w:cs="宋体"/>
          <w:spacing w:val="-25"/>
          <w:w w:val="94"/>
          <w:sz w:val="20"/>
          <w:szCs w:val="20"/>
        </w:rPr>
        <w:t>学生本位</w:t>
      </w:r>
      <w:r>
        <w:rPr>
          <w:rFonts w:ascii="微软雅黑" w:hAnsi="微软雅黑" w:eastAsia="微软雅黑" w:cs="微软雅黑"/>
          <w:spacing w:val="-25"/>
          <w:w w:val="94"/>
          <w:sz w:val="20"/>
          <w:szCs w:val="20"/>
        </w:rPr>
        <w:t>”</w:t>
      </w:r>
      <w:r>
        <w:rPr>
          <w:rFonts w:ascii="宋体" w:hAnsi="宋体" w:eastAsia="宋体" w:cs="宋体"/>
          <w:spacing w:val="-25"/>
          <w:w w:val="94"/>
          <w:sz w:val="20"/>
          <w:szCs w:val="20"/>
        </w:rPr>
        <w:t>替</w:t>
      </w:r>
      <w:r>
        <w:rPr>
          <w:rFonts w:ascii="宋体" w:hAnsi="宋体" w:eastAsia="宋体" w:cs="宋体"/>
          <w:sz w:val="20"/>
          <w:szCs w:val="20"/>
        </w:rPr>
        <w:t xml:space="preserve"> </w:t>
      </w:r>
      <w:r>
        <w:rPr>
          <w:rFonts w:ascii="宋体" w:hAnsi="宋体" w:eastAsia="宋体" w:cs="宋体"/>
          <w:spacing w:val="-20"/>
          <w:w w:val="97"/>
          <w:sz w:val="20"/>
          <w:szCs w:val="20"/>
        </w:rPr>
        <w:t>代传统的</w:t>
      </w:r>
      <w:r>
        <w:rPr>
          <w:rFonts w:ascii="微软雅黑" w:hAnsi="微软雅黑" w:eastAsia="微软雅黑" w:cs="微软雅黑"/>
          <w:spacing w:val="-20"/>
          <w:w w:val="97"/>
          <w:sz w:val="20"/>
          <w:szCs w:val="20"/>
        </w:rPr>
        <w:t>“</w:t>
      </w:r>
      <w:r>
        <w:rPr>
          <w:rFonts w:ascii="宋体" w:hAnsi="宋体" w:eastAsia="宋体" w:cs="宋体"/>
          <w:spacing w:val="-20"/>
          <w:w w:val="97"/>
          <w:sz w:val="20"/>
          <w:szCs w:val="20"/>
        </w:rPr>
        <w:t>学术本位</w:t>
      </w:r>
      <w:r>
        <w:rPr>
          <w:rFonts w:ascii="微软雅黑" w:hAnsi="微软雅黑" w:eastAsia="微软雅黑" w:cs="微软雅黑"/>
          <w:spacing w:val="-20"/>
          <w:w w:val="97"/>
          <w:sz w:val="20"/>
          <w:szCs w:val="20"/>
        </w:rPr>
        <w:t>”</w:t>
      </w:r>
      <w:r>
        <w:rPr>
          <w:rFonts w:ascii="宋体" w:hAnsi="宋体" w:eastAsia="宋体" w:cs="宋体"/>
          <w:spacing w:val="-20"/>
          <w:w w:val="97"/>
          <w:sz w:val="20"/>
          <w:szCs w:val="20"/>
        </w:rPr>
        <w:t xml:space="preserve">，重塑高等教育人才培养质量观，体现 </w:t>
      </w:r>
      <w:r>
        <w:rPr>
          <w:rFonts w:ascii="宋体" w:hAnsi="宋体" w:eastAsia="宋体" w:cs="宋体"/>
          <w:spacing w:val="-20"/>
          <w:sz w:val="20"/>
          <w:szCs w:val="20"/>
        </w:rPr>
        <w:t>出以学生为中心</w:t>
      </w:r>
      <w:r>
        <w:rPr>
          <w:rFonts w:ascii="微软雅黑" w:hAnsi="微软雅黑" w:eastAsia="微软雅黑" w:cs="微软雅黑"/>
          <w:spacing w:val="-20"/>
          <w:position w:val="1"/>
          <w:sz w:val="20"/>
          <w:szCs w:val="20"/>
        </w:rPr>
        <w:t>、</w:t>
      </w:r>
      <w:r>
        <w:rPr>
          <w:rFonts w:ascii="宋体" w:hAnsi="宋体" w:eastAsia="宋体" w:cs="宋体"/>
          <w:spacing w:val="-20"/>
          <w:sz w:val="20"/>
          <w:szCs w:val="20"/>
        </w:rPr>
        <w:t>以学生发展为目标的教育理念</w:t>
      </w:r>
      <w:r>
        <w:rPr>
          <w:rFonts w:ascii="宋体" w:hAnsi="宋体" w:eastAsia="宋体" w:cs="宋体"/>
          <w:spacing w:val="-42"/>
          <w:sz w:val="20"/>
          <w:szCs w:val="20"/>
        </w:rPr>
        <w:t xml:space="preserve"> </w:t>
      </w:r>
      <w:r>
        <w:rPr>
          <w:rFonts w:ascii="宋体" w:hAnsi="宋体" w:eastAsia="宋体" w:cs="宋体"/>
          <w:spacing w:val="-20"/>
          <w:position w:val="1"/>
          <w:sz w:val="20"/>
          <w:szCs w:val="20"/>
        </w:rPr>
        <w:t>;</w:t>
      </w:r>
      <w:r>
        <w:rPr>
          <w:rFonts w:ascii="宋体" w:hAnsi="宋体" w:eastAsia="宋体" w:cs="宋体"/>
          <w:spacing w:val="-34"/>
          <w:position w:val="1"/>
          <w:sz w:val="20"/>
          <w:szCs w:val="20"/>
        </w:rPr>
        <w:t xml:space="preserve"> </w:t>
      </w:r>
      <w:r>
        <w:rPr>
          <w:rFonts w:ascii="宋体" w:hAnsi="宋体" w:eastAsia="宋体" w:cs="宋体"/>
          <w:spacing w:val="-20"/>
          <w:sz w:val="20"/>
          <w:szCs w:val="20"/>
        </w:rPr>
        <w:t xml:space="preserve">既要强调 </w:t>
      </w:r>
      <w:r>
        <w:rPr>
          <w:rFonts w:ascii="宋体" w:hAnsi="宋体" w:eastAsia="宋体" w:cs="宋体"/>
          <w:spacing w:val="-17"/>
          <w:sz w:val="20"/>
          <w:szCs w:val="20"/>
        </w:rPr>
        <w:t>全面协调发展的理论素质和适应经济社会发展的实用素质</w:t>
      </w:r>
      <w:r>
        <w:rPr>
          <w:rFonts w:ascii="宋体" w:hAnsi="宋体" w:eastAsia="宋体" w:cs="宋体"/>
          <w:spacing w:val="-17"/>
          <w:position w:val="1"/>
          <w:sz w:val="20"/>
          <w:szCs w:val="20"/>
        </w:rPr>
        <w:t>，</w:t>
      </w:r>
      <w:r>
        <w:rPr>
          <w:rFonts w:ascii="宋体" w:hAnsi="宋体" w:eastAsia="宋体" w:cs="宋体"/>
          <w:spacing w:val="6"/>
          <w:position w:val="1"/>
          <w:sz w:val="20"/>
          <w:szCs w:val="20"/>
        </w:rPr>
        <w:t xml:space="preserve"> </w:t>
      </w:r>
      <w:r>
        <w:rPr>
          <w:rFonts w:ascii="微软雅黑" w:hAnsi="微软雅黑" w:eastAsia="微软雅黑" w:cs="微软雅黑"/>
          <w:spacing w:val="-19"/>
          <w:sz w:val="20"/>
          <w:szCs w:val="20"/>
        </w:rPr>
        <w:t>“</w:t>
      </w:r>
      <w:r>
        <w:rPr>
          <w:rFonts w:ascii="宋体" w:hAnsi="宋体" w:eastAsia="宋体" w:cs="宋体"/>
          <w:spacing w:val="-19"/>
          <w:sz w:val="20"/>
          <w:szCs w:val="20"/>
        </w:rPr>
        <w:t>同时强调适应未来社会发展变化所必需的自我教育</w:t>
      </w:r>
      <w:r>
        <w:rPr>
          <w:rFonts w:ascii="微软雅黑" w:hAnsi="微软雅黑" w:eastAsia="微软雅黑" w:cs="微软雅黑"/>
          <w:spacing w:val="-19"/>
          <w:sz w:val="20"/>
          <w:szCs w:val="20"/>
        </w:rPr>
        <w:t>、</w:t>
      </w:r>
      <w:r>
        <w:rPr>
          <w:rFonts w:ascii="宋体" w:hAnsi="宋体" w:eastAsia="宋体" w:cs="宋体"/>
          <w:spacing w:val="-20"/>
          <w:sz w:val="20"/>
          <w:szCs w:val="20"/>
        </w:rPr>
        <w:t xml:space="preserve">终身 </w:t>
      </w:r>
      <w:r>
        <w:rPr>
          <w:rFonts w:ascii="宋体" w:hAnsi="宋体" w:eastAsia="宋体" w:cs="宋体"/>
          <w:spacing w:val="-14"/>
          <w:sz w:val="20"/>
          <w:szCs w:val="20"/>
        </w:rPr>
        <w:t>学习和继续发展的可持续力</w:t>
      </w:r>
      <w:r>
        <w:rPr>
          <w:rFonts w:ascii="微软雅黑" w:hAnsi="微软雅黑" w:eastAsia="微软雅黑" w:cs="微软雅黑"/>
          <w:spacing w:val="-14"/>
          <w:sz w:val="20"/>
          <w:szCs w:val="20"/>
        </w:rPr>
        <w:t>”</w:t>
      </w:r>
      <w:r>
        <w:rPr>
          <w:rFonts w:ascii="宋体" w:hAnsi="宋体" w:eastAsia="宋体" w:cs="宋体"/>
          <w:spacing w:val="-14"/>
          <w:position w:val="10"/>
          <w:sz w:val="11"/>
          <w:szCs w:val="11"/>
        </w:rPr>
        <w:t>［</w:t>
      </w:r>
      <w:r>
        <w:rPr>
          <w:rFonts w:ascii="微软雅黑" w:hAnsi="微软雅黑" w:eastAsia="微软雅黑" w:cs="微软雅黑"/>
          <w:spacing w:val="-14"/>
          <w:position w:val="10"/>
          <w:sz w:val="11"/>
          <w:szCs w:val="11"/>
        </w:rPr>
        <w:t>8</w:t>
      </w:r>
      <w:r>
        <w:rPr>
          <w:rFonts w:ascii="宋体" w:hAnsi="宋体" w:eastAsia="宋体" w:cs="宋体"/>
          <w:spacing w:val="-14"/>
          <w:position w:val="10"/>
          <w:sz w:val="11"/>
          <w:szCs w:val="11"/>
        </w:rPr>
        <w:t>］</w:t>
      </w:r>
      <w:r>
        <w:rPr>
          <w:rFonts w:ascii="微软雅黑" w:hAnsi="微软雅黑" w:eastAsia="微软雅黑" w:cs="微软雅黑"/>
          <w:spacing w:val="-14"/>
          <w:sz w:val="20"/>
          <w:szCs w:val="20"/>
        </w:rPr>
        <w:t>。</w:t>
      </w:r>
      <w:r>
        <w:rPr>
          <w:rFonts w:ascii="宋体" w:hAnsi="宋体" w:eastAsia="宋体" w:cs="宋体"/>
          <w:spacing w:val="-14"/>
          <w:sz w:val="20"/>
          <w:szCs w:val="20"/>
        </w:rPr>
        <w:t>地方</w:t>
      </w:r>
      <w:r>
        <w:rPr>
          <w:rFonts w:ascii="宋体" w:hAnsi="宋体" w:eastAsia="宋体" w:cs="宋体"/>
          <w:spacing w:val="-15"/>
          <w:sz w:val="20"/>
          <w:szCs w:val="20"/>
        </w:rPr>
        <w:t xml:space="preserve">高校的质量文化尤 </w:t>
      </w:r>
      <w:r>
        <w:rPr>
          <w:rFonts w:ascii="宋体" w:hAnsi="宋体" w:eastAsia="宋体" w:cs="宋体"/>
          <w:spacing w:val="-22"/>
          <w:w w:val="98"/>
          <w:sz w:val="20"/>
          <w:szCs w:val="20"/>
        </w:rPr>
        <w:t>其坚持</w:t>
      </w:r>
      <w:r>
        <w:rPr>
          <w:rFonts w:ascii="微软雅黑" w:hAnsi="微软雅黑" w:eastAsia="微软雅黑" w:cs="微软雅黑"/>
          <w:spacing w:val="-22"/>
          <w:w w:val="98"/>
          <w:sz w:val="20"/>
          <w:szCs w:val="20"/>
        </w:rPr>
        <w:t>“</w:t>
      </w:r>
      <w:r>
        <w:rPr>
          <w:rFonts w:ascii="宋体" w:hAnsi="宋体" w:eastAsia="宋体" w:cs="宋体"/>
          <w:spacing w:val="-22"/>
          <w:w w:val="98"/>
          <w:sz w:val="20"/>
          <w:szCs w:val="20"/>
        </w:rPr>
        <w:t>学生本位</w:t>
      </w:r>
      <w:r>
        <w:rPr>
          <w:rFonts w:ascii="微软雅黑" w:hAnsi="微软雅黑" w:eastAsia="微软雅黑" w:cs="微软雅黑"/>
          <w:spacing w:val="-22"/>
          <w:w w:val="98"/>
          <w:sz w:val="20"/>
          <w:szCs w:val="20"/>
        </w:rPr>
        <w:t>”</w:t>
      </w:r>
      <w:r>
        <w:rPr>
          <w:rFonts w:ascii="宋体" w:hAnsi="宋体" w:eastAsia="宋体" w:cs="宋体"/>
          <w:spacing w:val="-22"/>
          <w:w w:val="98"/>
          <w:sz w:val="20"/>
          <w:szCs w:val="20"/>
        </w:rPr>
        <w:t xml:space="preserve">的价值取向，质量文化建设要以学生的成 </w:t>
      </w:r>
      <w:r>
        <w:rPr>
          <w:rFonts w:ascii="宋体" w:hAnsi="宋体" w:eastAsia="宋体" w:cs="宋体"/>
          <w:spacing w:val="-26"/>
          <w:sz w:val="20"/>
          <w:szCs w:val="20"/>
        </w:rPr>
        <w:t>人成才为目标</w:t>
      </w:r>
      <w:r>
        <w:rPr>
          <w:rFonts w:ascii="宋体" w:hAnsi="宋体" w:eastAsia="宋体" w:cs="宋体"/>
          <w:spacing w:val="-26"/>
          <w:position w:val="1"/>
          <w:sz w:val="20"/>
          <w:szCs w:val="20"/>
        </w:rPr>
        <w:t>，</w:t>
      </w:r>
      <w:r>
        <w:rPr>
          <w:rFonts w:ascii="宋体" w:hAnsi="宋体" w:eastAsia="宋体" w:cs="宋体"/>
          <w:spacing w:val="-26"/>
          <w:sz w:val="20"/>
          <w:szCs w:val="20"/>
        </w:rPr>
        <w:t>既要满足当下</w:t>
      </w:r>
      <w:r>
        <w:rPr>
          <w:rFonts w:ascii="宋体" w:hAnsi="宋体" w:eastAsia="宋体" w:cs="宋体"/>
          <w:spacing w:val="-26"/>
          <w:position w:val="1"/>
          <w:sz w:val="20"/>
          <w:szCs w:val="20"/>
        </w:rPr>
        <w:t>，</w:t>
      </w:r>
      <w:r>
        <w:rPr>
          <w:rFonts w:ascii="宋体" w:hAnsi="宋体" w:eastAsia="宋体" w:cs="宋体"/>
          <w:spacing w:val="-26"/>
          <w:sz w:val="20"/>
          <w:szCs w:val="20"/>
        </w:rPr>
        <w:t>也要着眼未来</w:t>
      </w:r>
      <w:r>
        <w:rPr>
          <w:rFonts w:ascii="宋体" w:hAnsi="宋体" w:eastAsia="宋体" w:cs="宋体"/>
          <w:spacing w:val="-26"/>
          <w:position w:val="1"/>
          <w:sz w:val="20"/>
          <w:szCs w:val="20"/>
        </w:rPr>
        <w:t>，</w:t>
      </w:r>
      <w:r>
        <w:rPr>
          <w:rFonts w:ascii="宋体" w:hAnsi="宋体" w:eastAsia="宋体" w:cs="宋体"/>
          <w:spacing w:val="-26"/>
          <w:sz w:val="20"/>
          <w:szCs w:val="20"/>
        </w:rPr>
        <w:t xml:space="preserve">进而定位人才 </w:t>
      </w:r>
      <w:r>
        <w:rPr>
          <w:rFonts w:ascii="宋体" w:hAnsi="宋体" w:eastAsia="宋体" w:cs="宋体"/>
          <w:spacing w:val="-12"/>
          <w:sz w:val="20"/>
          <w:szCs w:val="20"/>
        </w:rPr>
        <w:t>培养的目标和相应的质量保障体系</w:t>
      </w:r>
      <w:r>
        <w:rPr>
          <w:rFonts w:ascii="微软雅黑" w:hAnsi="微软雅黑" w:eastAsia="微软雅黑" w:cs="微软雅黑"/>
          <w:spacing w:val="-12"/>
          <w:position w:val="1"/>
          <w:sz w:val="20"/>
          <w:szCs w:val="20"/>
        </w:rPr>
        <w:t>。</w:t>
      </w:r>
      <w:r>
        <w:rPr>
          <w:rFonts w:ascii="宋体" w:hAnsi="宋体" w:eastAsia="宋体" w:cs="宋体"/>
          <w:spacing w:val="-12"/>
          <w:sz w:val="20"/>
          <w:szCs w:val="20"/>
        </w:rPr>
        <w:t>坚持学生本位</w:t>
      </w:r>
      <w:r>
        <w:rPr>
          <w:rFonts w:ascii="宋体" w:hAnsi="宋体" w:eastAsia="宋体" w:cs="宋体"/>
          <w:spacing w:val="-13"/>
          <w:sz w:val="20"/>
          <w:szCs w:val="20"/>
        </w:rPr>
        <w:t xml:space="preserve">的质量 </w:t>
      </w:r>
      <w:r>
        <w:rPr>
          <w:rFonts w:ascii="宋体" w:hAnsi="宋体" w:eastAsia="宋体" w:cs="宋体"/>
          <w:spacing w:val="-20"/>
          <w:w w:val="97"/>
          <w:sz w:val="20"/>
          <w:szCs w:val="20"/>
        </w:rPr>
        <w:t>文化观，要将</w:t>
      </w:r>
      <w:r>
        <w:rPr>
          <w:rFonts w:ascii="微软雅黑" w:hAnsi="微软雅黑" w:eastAsia="微软雅黑" w:cs="微软雅黑"/>
          <w:spacing w:val="-20"/>
          <w:w w:val="97"/>
          <w:sz w:val="20"/>
          <w:szCs w:val="20"/>
        </w:rPr>
        <w:t>“</w:t>
      </w:r>
      <w:r>
        <w:rPr>
          <w:rFonts w:ascii="宋体" w:hAnsi="宋体" w:eastAsia="宋体" w:cs="宋体"/>
          <w:spacing w:val="-20"/>
          <w:w w:val="97"/>
          <w:sz w:val="20"/>
          <w:szCs w:val="20"/>
        </w:rPr>
        <w:t>立德树人</w:t>
      </w:r>
      <w:r>
        <w:rPr>
          <w:rFonts w:ascii="微软雅黑" w:hAnsi="微软雅黑" w:eastAsia="微软雅黑" w:cs="微软雅黑"/>
          <w:spacing w:val="-20"/>
          <w:w w:val="97"/>
          <w:sz w:val="20"/>
          <w:szCs w:val="20"/>
        </w:rPr>
        <w:t>”</w:t>
      </w:r>
      <w:r>
        <w:rPr>
          <w:rFonts w:ascii="宋体" w:hAnsi="宋体" w:eastAsia="宋体" w:cs="宋体"/>
          <w:spacing w:val="-20"/>
          <w:w w:val="97"/>
          <w:sz w:val="20"/>
          <w:szCs w:val="20"/>
        </w:rPr>
        <w:t xml:space="preserve">的相关要求贯彻到学生培养的各个 </w:t>
      </w:r>
      <w:r>
        <w:rPr>
          <w:rFonts w:ascii="宋体" w:hAnsi="宋体" w:eastAsia="宋体" w:cs="宋体"/>
          <w:spacing w:val="-19"/>
          <w:sz w:val="20"/>
          <w:szCs w:val="20"/>
        </w:rPr>
        <w:t>维度</w:t>
      </w:r>
      <w:r>
        <w:rPr>
          <w:rFonts w:ascii="宋体" w:hAnsi="宋体" w:eastAsia="宋体" w:cs="宋体"/>
          <w:spacing w:val="-19"/>
          <w:position w:val="1"/>
          <w:sz w:val="20"/>
          <w:szCs w:val="20"/>
        </w:rPr>
        <w:t>，</w:t>
      </w:r>
      <w:r>
        <w:rPr>
          <w:rFonts w:ascii="宋体" w:hAnsi="宋体" w:eastAsia="宋体" w:cs="宋体"/>
          <w:spacing w:val="-19"/>
          <w:sz w:val="20"/>
          <w:szCs w:val="20"/>
        </w:rPr>
        <w:t>以优良学风的塑造为当下最紧迫的任务和质量文</w:t>
      </w:r>
      <w:r>
        <w:rPr>
          <w:rFonts w:ascii="宋体" w:hAnsi="宋体" w:eastAsia="宋体" w:cs="宋体"/>
          <w:spacing w:val="-20"/>
          <w:sz w:val="20"/>
          <w:szCs w:val="20"/>
        </w:rPr>
        <w:t>化建 设的突破口</w:t>
      </w:r>
      <w:r>
        <w:rPr>
          <w:rFonts w:ascii="宋体" w:hAnsi="宋体" w:eastAsia="宋体" w:cs="宋体"/>
          <w:spacing w:val="-20"/>
          <w:position w:val="1"/>
          <w:sz w:val="20"/>
          <w:szCs w:val="20"/>
        </w:rPr>
        <w:t>，</w:t>
      </w:r>
      <w:r>
        <w:rPr>
          <w:rFonts w:ascii="宋体" w:hAnsi="宋体" w:eastAsia="宋体" w:cs="宋体"/>
          <w:spacing w:val="-20"/>
          <w:sz w:val="20"/>
          <w:szCs w:val="20"/>
        </w:rPr>
        <w:t>将德智体美劳全面发展的目标落到实处</w:t>
      </w:r>
      <w:r>
        <w:rPr>
          <w:rFonts w:ascii="微软雅黑" w:hAnsi="微软雅黑" w:eastAsia="微软雅黑" w:cs="微软雅黑"/>
          <w:spacing w:val="-20"/>
          <w:position w:val="1"/>
          <w:sz w:val="20"/>
          <w:szCs w:val="20"/>
        </w:rPr>
        <w:t>。</w:t>
      </w:r>
    </w:p>
    <w:p>
      <w:pPr>
        <w:spacing w:before="64" w:line="184" w:lineRule="auto"/>
        <w:ind w:left="420"/>
        <w:rPr>
          <w:rFonts w:ascii="宋体" w:hAnsi="宋体" w:eastAsia="宋体" w:cs="宋体"/>
          <w:sz w:val="20"/>
          <w:szCs w:val="20"/>
        </w:rPr>
      </w:pPr>
      <w:r>
        <w:rPr>
          <w:rFonts w:ascii="微软雅黑" w:hAnsi="微软雅黑" w:eastAsia="微软雅黑" w:cs="微软雅黑"/>
          <w:spacing w:val="-33"/>
          <w:sz w:val="20"/>
          <w:szCs w:val="20"/>
        </w:rPr>
        <w:t>4．</w:t>
      </w:r>
      <w:r>
        <w:rPr>
          <w:rFonts w:ascii="宋体" w:hAnsi="宋体" w:eastAsia="宋体" w:cs="宋体"/>
          <w:spacing w:val="-33"/>
          <w:sz w:val="20"/>
          <w:szCs w:val="20"/>
        </w:rPr>
        <w:t>产出导向</w:t>
      </w:r>
    </w:p>
    <w:p>
      <w:pPr>
        <w:spacing w:before="41" w:line="228" w:lineRule="auto"/>
        <w:ind w:right="63" w:firstLine="437"/>
        <w:rPr>
          <w:rFonts w:ascii="微软雅黑" w:hAnsi="微软雅黑" w:eastAsia="微软雅黑" w:cs="微软雅黑"/>
          <w:sz w:val="20"/>
          <w:szCs w:val="20"/>
        </w:rPr>
      </w:pPr>
      <w:r>
        <w:rPr>
          <w:rFonts w:ascii="宋体" w:hAnsi="宋体" w:eastAsia="宋体" w:cs="宋体"/>
          <w:spacing w:val="-24"/>
          <w:sz w:val="20"/>
          <w:szCs w:val="20"/>
        </w:rPr>
        <w:t>教育的产出导向即</w:t>
      </w:r>
      <w:r>
        <w:rPr>
          <w:rFonts w:ascii="微软雅黑" w:hAnsi="微软雅黑" w:eastAsia="微软雅黑" w:cs="微软雅黑"/>
          <w:spacing w:val="-24"/>
          <w:sz w:val="20"/>
          <w:szCs w:val="20"/>
        </w:rPr>
        <w:t>“</w:t>
      </w:r>
      <w:r>
        <w:rPr>
          <w:rFonts w:ascii="宋体" w:hAnsi="宋体" w:eastAsia="宋体" w:cs="宋体"/>
          <w:spacing w:val="-24"/>
          <w:sz w:val="20"/>
          <w:szCs w:val="20"/>
        </w:rPr>
        <w:t>成果导向教育</w:t>
      </w:r>
      <w:r>
        <w:rPr>
          <w:rFonts w:ascii="微软雅黑" w:hAnsi="微软雅黑" w:eastAsia="微软雅黑" w:cs="微软雅黑"/>
          <w:spacing w:val="-24"/>
          <w:sz w:val="20"/>
          <w:szCs w:val="20"/>
        </w:rPr>
        <w:t>”。</w:t>
      </w:r>
      <w:r>
        <w:rPr>
          <w:rFonts w:ascii="微软雅黑" w:hAnsi="微软雅黑" w:eastAsia="微软雅黑" w:cs="微软雅黑"/>
          <w:spacing w:val="-21"/>
          <w:sz w:val="20"/>
          <w:szCs w:val="20"/>
        </w:rPr>
        <w:t xml:space="preserve"> </w:t>
      </w:r>
      <w:r>
        <w:rPr>
          <w:rFonts w:ascii="宋体" w:hAnsi="宋体" w:eastAsia="宋体" w:cs="宋体"/>
          <w:spacing w:val="-24"/>
          <w:sz w:val="20"/>
          <w:szCs w:val="20"/>
        </w:rPr>
        <w:t>作为一种教育理</w:t>
      </w:r>
      <w:r>
        <w:rPr>
          <w:rFonts w:ascii="宋体" w:hAnsi="宋体" w:eastAsia="宋体" w:cs="宋体"/>
          <w:sz w:val="20"/>
          <w:szCs w:val="20"/>
        </w:rPr>
        <w:t xml:space="preserve"> </w:t>
      </w:r>
      <w:r>
        <w:rPr>
          <w:rFonts w:ascii="宋体" w:hAnsi="宋体" w:eastAsia="宋体" w:cs="宋体"/>
          <w:spacing w:val="-18"/>
          <w:sz w:val="20"/>
          <w:szCs w:val="20"/>
        </w:rPr>
        <w:t>念，产出导向在</w:t>
      </w:r>
      <w:r>
        <w:rPr>
          <w:rFonts w:ascii="宋体" w:hAnsi="宋体" w:eastAsia="宋体" w:cs="宋体"/>
          <w:spacing w:val="-37"/>
          <w:sz w:val="20"/>
          <w:szCs w:val="20"/>
        </w:rPr>
        <w:t xml:space="preserve"> </w:t>
      </w:r>
      <w:r>
        <w:rPr>
          <w:rFonts w:ascii="微软雅黑" w:hAnsi="微软雅黑" w:eastAsia="微软雅黑" w:cs="微软雅黑"/>
          <w:spacing w:val="-18"/>
          <w:sz w:val="20"/>
          <w:szCs w:val="20"/>
        </w:rPr>
        <w:t>20</w:t>
      </w:r>
      <w:r>
        <w:rPr>
          <w:rFonts w:ascii="微软雅黑" w:hAnsi="微软雅黑" w:eastAsia="微软雅黑" w:cs="微软雅黑"/>
          <w:spacing w:val="9"/>
          <w:sz w:val="20"/>
          <w:szCs w:val="20"/>
        </w:rPr>
        <w:t xml:space="preserve"> </w:t>
      </w:r>
      <w:r>
        <w:rPr>
          <w:rFonts w:ascii="宋体" w:hAnsi="宋体" w:eastAsia="宋体" w:cs="宋体"/>
          <w:spacing w:val="-18"/>
          <w:sz w:val="20"/>
          <w:szCs w:val="20"/>
        </w:rPr>
        <w:t>世纪八九十年代被欧美国家广泛应用于</w:t>
      </w:r>
      <w:r>
        <w:rPr>
          <w:rFonts w:ascii="宋体" w:hAnsi="宋体" w:eastAsia="宋体" w:cs="宋体"/>
          <w:sz w:val="20"/>
          <w:szCs w:val="20"/>
        </w:rPr>
        <w:t xml:space="preserve"> </w:t>
      </w:r>
      <w:r>
        <w:rPr>
          <w:rFonts w:ascii="宋体" w:hAnsi="宋体" w:eastAsia="宋体" w:cs="宋体"/>
          <w:spacing w:val="-19"/>
          <w:sz w:val="20"/>
          <w:szCs w:val="20"/>
        </w:rPr>
        <w:t>教育领域</w:t>
      </w:r>
      <w:r>
        <w:rPr>
          <w:rFonts w:ascii="宋体" w:hAnsi="宋体" w:eastAsia="宋体" w:cs="宋体"/>
          <w:spacing w:val="-19"/>
          <w:position w:val="1"/>
          <w:sz w:val="20"/>
          <w:szCs w:val="20"/>
        </w:rPr>
        <w:t>，</w:t>
      </w:r>
      <w:r>
        <w:rPr>
          <w:rFonts w:ascii="宋体" w:hAnsi="宋体" w:eastAsia="宋体" w:cs="宋体"/>
          <w:spacing w:val="-19"/>
          <w:sz w:val="20"/>
          <w:szCs w:val="20"/>
        </w:rPr>
        <w:t>以促进高等教育质量的持续改进</w:t>
      </w:r>
      <w:r>
        <w:rPr>
          <w:rFonts w:ascii="微软雅黑" w:hAnsi="微软雅黑" w:eastAsia="微软雅黑" w:cs="微软雅黑"/>
          <w:spacing w:val="-19"/>
          <w:position w:val="1"/>
          <w:sz w:val="20"/>
          <w:szCs w:val="20"/>
        </w:rPr>
        <w:t>。</w:t>
      </w:r>
      <w:r>
        <w:rPr>
          <w:rFonts w:ascii="宋体" w:hAnsi="宋体" w:eastAsia="宋体" w:cs="宋体"/>
          <w:spacing w:val="-20"/>
          <w:sz w:val="20"/>
          <w:szCs w:val="20"/>
        </w:rPr>
        <w:t>近年来</w:t>
      </w:r>
      <w:r>
        <w:rPr>
          <w:rFonts w:ascii="宋体" w:hAnsi="宋体" w:eastAsia="宋体" w:cs="宋体"/>
          <w:spacing w:val="-20"/>
          <w:position w:val="1"/>
          <w:sz w:val="20"/>
          <w:szCs w:val="20"/>
        </w:rPr>
        <w:t>，</w:t>
      </w:r>
      <w:r>
        <w:rPr>
          <w:rFonts w:ascii="宋体" w:hAnsi="宋体" w:eastAsia="宋体" w:cs="宋体"/>
          <w:spacing w:val="-20"/>
          <w:sz w:val="20"/>
          <w:szCs w:val="20"/>
        </w:rPr>
        <w:t>随着</w:t>
      </w:r>
      <w:r>
        <w:rPr>
          <w:rFonts w:ascii="宋体" w:hAnsi="宋体" w:eastAsia="宋体" w:cs="宋体"/>
          <w:sz w:val="20"/>
          <w:szCs w:val="20"/>
        </w:rPr>
        <w:t xml:space="preserve"> </w:t>
      </w:r>
      <w:r>
        <w:rPr>
          <w:rFonts w:ascii="宋体" w:hAnsi="宋体" w:eastAsia="宋体" w:cs="宋体"/>
          <w:spacing w:val="-20"/>
          <w:sz w:val="20"/>
          <w:szCs w:val="20"/>
        </w:rPr>
        <w:t>我国工程教育认证的不断推进</w:t>
      </w:r>
      <w:r>
        <w:rPr>
          <w:rFonts w:ascii="宋体" w:hAnsi="宋体" w:eastAsia="宋体" w:cs="宋体"/>
          <w:spacing w:val="-20"/>
          <w:position w:val="1"/>
          <w:sz w:val="20"/>
          <w:szCs w:val="20"/>
        </w:rPr>
        <w:t>，</w:t>
      </w:r>
      <w:r>
        <w:rPr>
          <w:rFonts w:ascii="宋体" w:hAnsi="宋体" w:eastAsia="宋体" w:cs="宋体"/>
          <w:spacing w:val="-20"/>
          <w:sz w:val="20"/>
          <w:szCs w:val="20"/>
        </w:rPr>
        <w:t>本科教育广泛应用产出导向</w:t>
      </w:r>
      <w:r>
        <w:rPr>
          <w:rFonts w:ascii="宋体" w:hAnsi="宋体" w:eastAsia="宋体" w:cs="宋体"/>
          <w:spacing w:val="18"/>
          <w:sz w:val="20"/>
          <w:szCs w:val="20"/>
        </w:rPr>
        <w:t xml:space="preserve"> </w:t>
      </w:r>
      <w:r>
        <w:rPr>
          <w:rFonts w:ascii="宋体" w:hAnsi="宋体" w:eastAsia="宋体" w:cs="宋体"/>
          <w:spacing w:val="-12"/>
          <w:sz w:val="20"/>
          <w:szCs w:val="20"/>
        </w:rPr>
        <w:t>的教育理念来推动教育教学改革</w:t>
      </w:r>
      <w:r>
        <w:rPr>
          <w:rFonts w:ascii="微软雅黑" w:hAnsi="微软雅黑" w:eastAsia="微软雅黑" w:cs="微软雅黑"/>
          <w:spacing w:val="-12"/>
          <w:position w:val="1"/>
          <w:sz w:val="20"/>
          <w:szCs w:val="20"/>
        </w:rPr>
        <w:t>。</w:t>
      </w:r>
      <w:r>
        <w:rPr>
          <w:rFonts w:ascii="宋体" w:hAnsi="宋体" w:eastAsia="宋体" w:cs="宋体"/>
          <w:spacing w:val="-12"/>
          <w:sz w:val="20"/>
          <w:szCs w:val="20"/>
        </w:rPr>
        <w:t>地方高校质量文化建设</w:t>
      </w:r>
      <w:r>
        <w:rPr>
          <w:rFonts w:ascii="宋体" w:hAnsi="宋体" w:eastAsia="宋体" w:cs="宋体"/>
          <w:sz w:val="20"/>
          <w:szCs w:val="20"/>
        </w:rPr>
        <w:t xml:space="preserve"> </w:t>
      </w:r>
      <w:r>
        <w:rPr>
          <w:rFonts w:ascii="宋体" w:hAnsi="宋体" w:eastAsia="宋体" w:cs="宋体"/>
          <w:spacing w:val="-19"/>
          <w:sz w:val="20"/>
          <w:szCs w:val="20"/>
        </w:rPr>
        <w:t>要注重以产出导向理念来架构质量保障体系</w:t>
      </w:r>
      <w:r>
        <w:rPr>
          <w:rFonts w:ascii="宋体" w:hAnsi="宋体" w:eastAsia="宋体" w:cs="宋体"/>
          <w:spacing w:val="-20"/>
          <w:position w:val="1"/>
          <w:sz w:val="20"/>
          <w:szCs w:val="20"/>
        </w:rPr>
        <w:t>，</w:t>
      </w:r>
      <w:r>
        <w:rPr>
          <w:rFonts w:ascii="宋体" w:hAnsi="宋体" w:eastAsia="宋体" w:cs="宋体"/>
          <w:spacing w:val="-20"/>
          <w:sz w:val="20"/>
          <w:szCs w:val="20"/>
        </w:rPr>
        <w:t>要围绕学生学</w:t>
      </w:r>
      <w:r>
        <w:rPr>
          <w:rFonts w:ascii="宋体" w:hAnsi="宋体" w:eastAsia="宋体" w:cs="宋体"/>
          <w:sz w:val="20"/>
          <w:szCs w:val="20"/>
        </w:rPr>
        <w:t xml:space="preserve"> </w:t>
      </w:r>
      <w:r>
        <w:rPr>
          <w:rFonts w:ascii="宋体" w:hAnsi="宋体" w:eastAsia="宋体" w:cs="宋体"/>
          <w:spacing w:val="-18"/>
          <w:w w:val="93"/>
          <w:sz w:val="20"/>
          <w:szCs w:val="20"/>
        </w:rPr>
        <w:t>习产出效果</w:t>
      </w:r>
      <w:r>
        <w:rPr>
          <w:rFonts w:ascii="宋体" w:hAnsi="宋体" w:eastAsia="宋体" w:cs="宋体"/>
          <w:spacing w:val="-18"/>
          <w:w w:val="93"/>
          <w:position w:val="1"/>
          <w:sz w:val="20"/>
          <w:szCs w:val="20"/>
        </w:rPr>
        <w:t>，</w:t>
      </w:r>
      <w:r>
        <w:rPr>
          <w:rFonts w:ascii="宋体" w:hAnsi="宋体" w:eastAsia="宋体" w:cs="宋体"/>
          <w:spacing w:val="-18"/>
          <w:w w:val="93"/>
          <w:sz w:val="20"/>
          <w:szCs w:val="20"/>
        </w:rPr>
        <w:t>从责任主体</w:t>
      </w:r>
      <w:r>
        <w:rPr>
          <w:rFonts w:ascii="微软雅黑" w:hAnsi="微软雅黑" w:eastAsia="微软雅黑" w:cs="微软雅黑"/>
          <w:spacing w:val="-18"/>
          <w:w w:val="93"/>
          <w:position w:val="1"/>
          <w:sz w:val="20"/>
          <w:szCs w:val="20"/>
        </w:rPr>
        <w:t>、</w:t>
      </w:r>
      <w:r>
        <w:rPr>
          <w:rFonts w:ascii="宋体" w:hAnsi="宋体" w:eastAsia="宋体" w:cs="宋体"/>
          <w:spacing w:val="-18"/>
          <w:w w:val="93"/>
          <w:sz w:val="20"/>
          <w:szCs w:val="20"/>
        </w:rPr>
        <w:t>质量标准</w:t>
      </w:r>
      <w:r>
        <w:rPr>
          <w:rFonts w:ascii="微软雅黑" w:hAnsi="微软雅黑" w:eastAsia="微软雅黑" w:cs="微软雅黑"/>
          <w:spacing w:val="-18"/>
          <w:w w:val="93"/>
          <w:position w:val="1"/>
          <w:sz w:val="20"/>
          <w:szCs w:val="20"/>
        </w:rPr>
        <w:t>、</w:t>
      </w:r>
      <w:r>
        <w:rPr>
          <w:rFonts w:ascii="宋体" w:hAnsi="宋体" w:eastAsia="宋体" w:cs="宋体"/>
          <w:spacing w:val="-18"/>
          <w:w w:val="93"/>
          <w:sz w:val="20"/>
          <w:szCs w:val="20"/>
        </w:rPr>
        <w:t>评估制度</w:t>
      </w:r>
      <w:r>
        <w:rPr>
          <w:rFonts w:ascii="微软雅黑" w:hAnsi="微软雅黑" w:eastAsia="微软雅黑" w:cs="微软雅黑"/>
          <w:spacing w:val="-18"/>
          <w:w w:val="93"/>
          <w:position w:val="1"/>
          <w:sz w:val="20"/>
          <w:szCs w:val="20"/>
        </w:rPr>
        <w:t>、</w:t>
      </w:r>
      <w:r>
        <w:rPr>
          <w:rFonts w:ascii="宋体" w:hAnsi="宋体" w:eastAsia="宋体" w:cs="宋体"/>
          <w:spacing w:val="-18"/>
          <w:w w:val="93"/>
          <w:sz w:val="20"/>
          <w:szCs w:val="20"/>
        </w:rPr>
        <w:t>信息</w:t>
      </w:r>
      <w:r>
        <w:rPr>
          <w:rFonts w:ascii="宋体" w:hAnsi="宋体" w:eastAsia="宋体" w:cs="宋体"/>
          <w:spacing w:val="-19"/>
          <w:w w:val="93"/>
          <w:sz w:val="20"/>
          <w:szCs w:val="20"/>
        </w:rPr>
        <w:t>采集</w:t>
      </w:r>
      <w:r>
        <w:rPr>
          <w:rFonts w:ascii="微软雅黑" w:hAnsi="微软雅黑" w:eastAsia="微软雅黑" w:cs="微软雅黑"/>
          <w:spacing w:val="-19"/>
          <w:w w:val="93"/>
          <w:position w:val="1"/>
          <w:sz w:val="20"/>
          <w:szCs w:val="20"/>
        </w:rPr>
        <w:t>、</w:t>
      </w:r>
      <w:r>
        <w:rPr>
          <w:rFonts w:ascii="宋体" w:hAnsi="宋体" w:eastAsia="宋体" w:cs="宋体"/>
          <w:spacing w:val="-19"/>
          <w:w w:val="93"/>
          <w:sz w:val="20"/>
          <w:szCs w:val="20"/>
        </w:rPr>
        <w:t>激</w:t>
      </w:r>
      <w:r>
        <w:rPr>
          <w:rFonts w:ascii="宋体" w:hAnsi="宋体" w:eastAsia="宋体" w:cs="宋体"/>
          <w:sz w:val="20"/>
          <w:szCs w:val="20"/>
        </w:rPr>
        <w:t xml:space="preserve"> </w:t>
      </w:r>
      <w:r>
        <w:rPr>
          <w:rFonts w:ascii="宋体" w:hAnsi="宋体" w:eastAsia="宋体" w:cs="宋体"/>
          <w:spacing w:val="-18"/>
          <w:w w:val="96"/>
          <w:sz w:val="20"/>
          <w:szCs w:val="20"/>
        </w:rPr>
        <w:t>励制度等层面</w:t>
      </w:r>
      <w:r>
        <w:rPr>
          <w:rFonts w:ascii="微软雅黑" w:hAnsi="微软雅黑" w:eastAsia="微软雅黑" w:cs="微软雅黑"/>
          <w:spacing w:val="-18"/>
          <w:w w:val="96"/>
          <w:sz w:val="20"/>
          <w:szCs w:val="20"/>
        </w:rPr>
        <w:t>“</w:t>
      </w:r>
      <w:r>
        <w:rPr>
          <w:rFonts w:ascii="宋体" w:hAnsi="宋体" w:eastAsia="宋体" w:cs="宋体"/>
          <w:spacing w:val="-18"/>
          <w:w w:val="96"/>
          <w:sz w:val="20"/>
          <w:szCs w:val="20"/>
        </w:rPr>
        <w:t>反向</w:t>
      </w:r>
      <w:r>
        <w:rPr>
          <w:rFonts w:ascii="微软雅黑" w:hAnsi="微软雅黑" w:eastAsia="微软雅黑" w:cs="微软雅黑"/>
          <w:spacing w:val="-18"/>
          <w:w w:val="96"/>
          <w:sz w:val="20"/>
          <w:szCs w:val="20"/>
        </w:rPr>
        <w:t>”</w:t>
      </w:r>
      <w:r>
        <w:rPr>
          <w:rFonts w:ascii="宋体" w:hAnsi="宋体" w:eastAsia="宋体" w:cs="宋体"/>
          <w:spacing w:val="-18"/>
          <w:w w:val="96"/>
          <w:sz w:val="20"/>
          <w:szCs w:val="20"/>
        </w:rPr>
        <w:t>修订或者完善质量管理制度体系，形成</w:t>
      </w:r>
      <w:r>
        <w:rPr>
          <w:rFonts w:ascii="宋体" w:hAnsi="宋体" w:eastAsia="宋体" w:cs="宋体"/>
          <w:spacing w:val="2"/>
          <w:sz w:val="20"/>
          <w:szCs w:val="20"/>
        </w:rPr>
        <w:t xml:space="preserve"> </w:t>
      </w:r>
      <w:r>
        <w:rPr>
          <w:rFonts w:ascii="微软雅黑" w:hAnsi="微软雅黑" w:eastAsia="微软雅黑" w:cs="微软雅黑"/>
          <w:spacing w:val="-20"/>
          <w:w w:val="97"/>
          <w:sz w:val="20"/>
          <w:szCs w:val="20"/>
        </w:rPr>
        <w:t>“</w:t>
      </w:r>
      <w:r>
        <w:rPr>
          <w:rFonts w:ascii="宋体" w:hAnsi="宋体" w:eastAsia="宋体" w:cs="宋体"/>
          <w:spacing w:val="-20"/>
          <w:w w:val="97"/>
          <w:sz w:val="20"/>
          <w:szCs w:val="20"/>
        </w:rPr>
        <w:t>校内循环</w:t>
      </w:r>
      <w:r>
        <w:rPr>
          <w:rFonts w:ascii="微软雅黑" w:hAnsi="微软雅黑" w:eastAsia="微软雅黑" w:cs="微软雅黑"/>
          <w:spacing w:val="-20"/>
          <w:w w:val="97"/>
          <w:sz w:val="20"/>
          <w:szCs w:val="20"/>
        </w:rPr>
        <w:t>”</w:t>
      </w:r>
      <w:r>
        <w:rPr>
          <w:rFonts w:ascii="宋体" w:hAnsi="宋体" w:eastAsia="宋体" w:cs="宋体"/>
          <w:spacing w:val="-20"/>
          <w:w w:val="97"/>
          <w:sz w:val="20"/>
          <w:szCs w:val="20"/>
        </w:rPr>
        <w:t>与</w:t>
      </w:r>
      <w:r>
        <w:rPr>
          <w:rFonts w:ascii="微软雅黑" w:hAnsi="微软雅黑" w:eastAsia="微软雅黑" w:cs="微软雅黑"/>
          <w:spacing w:val="-20"/>
          <w:w w:val="97"/>
          <w:sz w:val="20"/>
          <w:szCs w:val="20"/>
        </w:rPr>
        <w:t>“</w:t>
      </w:r>
      <w:r>
        <w:rPr>
          <w:rFonts w:ascii="宋体" w:hAnsi="宋体" w:eastAsia="宋体" w:cs="宋体"/>
          <w:spacing w:val="-20"/>
          <w:w w:val="97"/>
          <w:sz w:val="20"/>
          <w:szCs w:val="20"/>
        </w:rPr>
        <w:t>校外循环</w:t>
      </w:r>
      <w:r>
        <w:rPr>
          <w:rFonts w:ascii="微软雅黑" w:hAnsi="微软雅黑" w:eastAsia="微软雅黑" w:cs="微软雅黑"/>
          <w:spacing w:val="-20"/>
          <w:w w:val="97"/>
          <w:sz w:val="20"/>
          <w:szCs w:val="20"/>
        </w:rPr>
        <w:t>”</w:t>
      </w:r>
      <w:r>
        <w:rPr>
          <w:rFonts w:ascii="宋体" w:hAnsi="宋体" w:eastAsia="宋体" w:cs="宋体"/>
          <w:spacing w:val="-20"/>
          <w:w w:val="97"/>
          <w:sz w:val="20"/>
          <w:szCs w:val="20"/>
        </w:rPr>
        <w:t>共同作用循环闭合的</w:t>
      </w:r>
      <w:r>
        <w:rPr>
          <w:rFonts w:ascii="微软雅黑" w:hAnsi="微软雅黑" w:eastAsia="微软雅黑" w:cs="微软雅黑"/>
          <w:spacing w:val="-20"/>
          <w:w w:val="97"/>
          <w:sz w:val="20"/>
          <w:szCs w:val="20"/>
        </w:rPr>
        <w:t>“</w:t>
      </w:r>
      <w:r>
        <w:rPr>
          <w:rFonts w:ascii="宋体" w:hAnsi="宋体" w:eastAsia="宋体" w:cs="宋体"/>
          <w:spacing w:val="-20"/>
          <w:w w:val="97"/>
          <w:sz w:val="20"/>
          <w:szCs w:val="20"/>
        </w:rPr>
        <w:t>多元开放</w:t>
      </w:r>
      <w:r>
        <w:rPr>
          <w:rFonts w:ascii="宋体" w:hAnsi="宋体" w:eastAsia="宋体" w:cs="宋体"/>
          <w:spacing w:val="2"/>
          <w:sz w:val="20"/>
          <w:szCs w:val="20"/>
        </w:rPr>
        <w:t xml:space="preserve"> </w:t>
      </w:r>
      <w:r>
        <w:rPr>
          <w:rFonts w:ascii="宋体" w:hAnsi="宋体" w:eastAsia="宋体" w:cs="宋体"/>
          <w:spacing w:val="-18"/>
          <w:w w:val="98"/>
          <w:sz w:val="20"/>
          <w:szCs w:val="20"/>
        </w:rPr>
        <w:t>式本科教育质量保障体系</w:t>
      </w:r>
      <w:r>
        <w:rPr>
          <w:rFonts w:ascii="微软雅黑" w:hAnsi="微软雅黑" w:eastAsia="微软雅黑" w:cs="微软雅黑"/>
          <w:spacing w:val="-18"/>
          <w:w w:val="98"/>
          <w:sz w:val="20"/>
          <w:szCs w:val="20"/>
        </w:rPr>
        <w:t>”</w:t>
      </w:r>
      <w:r>
        <w:rPr>
          <w:rFonts w:ascii="宋体" w:hAnsi="宋体" w:eastAsia="宋体" w:cs="宋体"/>
          <w:spacing w:val="-18"/>
          <w:w w:val="98"/>
          <w:position w:val="9"/>
          <w:sz w:val="11"/>
          <w:szCs w:val="11"/>
        </w:rPr>
        <w:t>［</w:t>
      </w:r>
      <w:r>
        <w:rPr>
          <w:rFonts w:ascii="微软雅黑" w:hAnsi="微软雅黑" w:eastAsia="微软雅黑" w:cs="微软雅黑"/>
          <w:spacing w:val="-18"/>
          <w:w w:val="98"/>
          <w:position w:val="9"/>
          <w:sz w:val="11"/>
          <w:szCs w:val="11"/>
        </w:rPr>
        <w:t>9</w:t>
      </w:r>
      <w:r>
        <w:rPr>
          <w:rFonts w:ascii="宋体" w:hAnsi="宋体" w:eastAsia="宋体" w:cs="宋体"/>
          <w:spacing w:val="-18"/>
          <w:w w:val="98"/>
          <w:position w:val="9"/>
          <w:sz w:val="11"/>
          <w:szCs w:val="11"/>
        </w:rPr>
        <w:t>］</w:t>
      </w:r>
      <w:r>
        <w:rPr>
          <w:rFonts w:ascii="微软雅黑" w:hAnsi="微软雅黑" w:eastAsia="微软雅黑" w:cs="微软雅黑"/>
          <w:spacing w:val="15"/>
          <w:sz w:val="20"/>
          <w:szCs w:val="20"/>
        </w:rPr>
        <w:t>。</w:t>
      </w:r>
    </w:p>
    <w:p>
      <w:pPr>
        <w:spacing w:before="217" w:line="178" w:lineRule="auto"/>
        <w:ind w:left="498"/>
        <w:rPr>
          <w:rFonts w:ascii="黑体" w:hAnsi="黑体" w:eastAsia="黑体" w:cs="黑体"/>
          <w:sz w:val="20"/>
          <w:szCs w:val="20"/>
        </w:rPr>
      </w:pPr>
      <w:r>
        <w:rPr>
          <w:rFonts w:ascii="黑体" w:hAnsi="黑体" w:eastAsia="黑体" w:cs="黑体"/>
          <w:spacing w:val="3"/>
          <w:sz w:val="20"/>
          <w:szCs w:val="20"/>
        </w:rPr>
        <w:t>三</w:t>
      </w:r>
      <w:r>
        <w:rPr>
          <w:rFonts w:ascii="微软雅黑" w:hAnsi="微软雅黑" w:eastAsia="微软雅黑" w:cs="微软雅黑"/>
          <w:spacing w:val="3"/>
          <w:position w:val="1"/>
          <w:sz w:val="20"/>
          <w:szCs w:val="20"/>
        </w:rPr>
        <w:t>、</w:t>
      </w:r>
      <w:r>
        <w:rPr>
          <w:rFonts w:ascii="黑体" w:hAnsi="黑体" w:eastAsia="黑体" w:cs="黑体"/>
          <w:spacing w:val="3"/>
          <w:sz w:val="20"/>
          <w:szCs w:val="20"/>
        </w:rPr>
        <w:t>影响地方高校大学质量文化建设的要素</w:t>
      </w:r>
    </w:p>
    <w:p>
      <w:pPr>
        <w:spacing w:before="217" w:line="227" w:lineRule="auto"/>
        <w:ind w:left="73" w:firstLine="363"/>
        <w:rPr>
          <w:rFonts w:ascii="宋体" w:hAnsi="宋体" w:eastAsia="宋体" w:cs="宋体"/>
          <w:sz w:val="20"/>
          <w:szCs w:val="20"/>
        </w:rPr>
      </w:pPr>
      <w:r>
        <w:rPr>
          <w:rFonts w:ascii="宋体" w:hAnsi="宋体" w:eastAsia="宋体" w:cs="宋体"/>
          <w:spacing w:val="-20"/>
          <w:sz w:val="20"/>
          <w:szCs w:val="20"/>
        </w:rPr>
        <w:t>从分析大学质量文化的内涵及其价值取向中可以发现</w:t>
      </w:r>
      <w:r>
        <w:rPr>
          <w:rFonts w:ascii="宋体" w:hAnsi="宋体" w:eastAsia="宋体" w:cs="宋体"/>
          <w:spacing w:val="-20"/>
          <w:position w:val="1"/>
          <w:sz w:val="20"/>
          <w:szCs w:val="20"/>
        </w:rPr>
        <w:t>，</w:t>
      </w:r>
      <w:r>
        <w:rPr>
          <w:rFonts w:ascii="宋体" w:hAnsi="宋体" w:eastAsia="宋体" w:cs="宋体"/>
          <w:spacing w:val="6"/>
          <w:position w:val="1"/>
          <w:sz w:val="20"/>
          <w:szCs w:val="20"/>
        </w:rPr>
        <w:t xml:space="preserve"> </w:t>
      </w:r>
      <w:r>
        <w:rPr>
          <w:rFonts w:ascii="宋体" w:hAnsi="宋体" w:eastAsia="宋体" w:cs="宋体"/>
          <w:spacing w:val="-18"/>
          <w:w w:val="98"/>
          <w:sz w:val="20"/>
          <w:szCs w:val="20"/>
        </w:rPr>
        <w:t>影响大学质量文化建设既有观念制度层面的因素</w:t>
      </w:r>
      <w:r>
        <w:rPr>
          <w:rFonts w:ascii="宋体" w:hAnsi="宋体" w:eastAsia="宋体" w:cs="宋体"/>
          <w:spacing w:val="-18"/>
          <w:w w:val="98"/>
          <w:position w:val="1"/>
          <w:sz w:val="20"/>
          <w:szCs w:val="20"/>
        </w:rPr>
        <w:t>，</w:t>
      </w:r>
      <w:r>
        <w:rPr>
          <w:rFonts w:ascii="宋体" w:hAnsi="宋体" w:eastAsia="宋体" w:cs="宋体"/>
          <w:spacing w:val="-18"/>
          <w:w w:val="98"/>
          <w:sz w:val="20"/>
          <w:szCs w:val="20"/>
        </w:rPr>
        <w:t>也有高校</w:t>
      </w:r>
    </w:p>
    <w:p>
      <w:pPr>
        <w:spacing w:line="227" w:lineRule="auto"/>
        <w:rPr>
          <w:rFonts w:ascii="宋体" w:hAnsi="宋体" w:eastAsia="宋体" w:cs="宋体"/>
          <w:sz w:val="20"/>
          <w:szCs w:val="20"/>
        </w:rPr>
        <w:sectPr>
          <w:type w:val="continuous"/>
          <w:pgSz w:w="11905" w:h="16836"/>
          <w:pgMar w:top="974" w:right="1073" w:bottom="547" w:left="407" w:header="652" w:footer="354" w:gutter="0"/>
          <w:cols w:equalWidth="0" w:num="2">
            <w:col w:w="5558" w:space="100"/>
            <w:col w:w="4766"/>
          </w:cols>
        </w:sectPr>
      </w:pPr>
    </w:p>
    <w:p>
      <w:pPr>
        <w:spacing w:line="195" w:lineRule="exact"/>
      </w:pPr>
    </w:p>
    <w:p>
      <w:pPr>
        <w:spacing w:line="195" w:lineRule="exact"/>
        <w:sectPr>
          <w:headerReference r:id="rId73" w:type="default"/>
          <w:footerReference r:id="rId74" w:type="default"/>
          <w:pgSz w:w="11905" w:h="16836"/>
          <w:pgMar w:top="974" w:right="1058" w:bottom="547" w:left="407" w:header="652" w:footer="354" w:gutter="0"/>
          <w:cols w:equalWidth="0" w:num="1">
            <w:col w:w="10438"/>
          </w:cols>
        </w:sectPr>
      </w:pPr>
    </w:p>
    <w:p>
      <w:pPr>
        <w:spacing w:before="39" w:line="177" w:lineRule="auto"/>
        <w:ind w:left="753"/>
        <w:rPr>
          <w:rFonts w:ascii="微软雅黑" w:hAnsi="微软雅黑" w:eastAsia="微软雅黑" w:cs="微软雅黑"/>
          <w:sz w:val="20"/>
          <w:szCs w:val="20"/>
        </w:rPr>
      </w:pPr>
      <w:r>
        <w:rPr>
          <w:rFonts w:ascii="宋体" w:hAnsi="宋体" w:eastAsia="宋体" w:cs="宋体"/>
          <w:spacing w:val="-21"/>
          <w:sz w:val="20"/>
          <w:szCs w:val="20"/>
        </w:rPr>
        <w:t>内外环境方面的原因</w:t>
      </w:r>
      <w:r>
        <w:rPr>
          <w:rFonts w:ascii="微软雅黑" w:hAnsi="微软雅黑" w:eastAsia="微软雅黑" w:cs="微软雅黑"/>
          <w:spacing w:val="-21"/>
          <w:position w:val="1"/>
          <w:sz w:val="20"/>
          <w:szCs w:val="20"/>
        </w:rPr>
        <w:t>。</w:t>
      </w:r>
    </w:p>
    <w:p>
      <w:pPr>
        <w:spacing w:before="63" w:line="184" w:lineRule="auto"/>
        <w:ind w:left="1096"/>
        <w:rPr>
          <w:rFonts w:ascii="宋体" w:hAnsi="宋体" w:eastAsia="宋体" w:cs="宋体"/>
          <w:sz w:val="20"/>
          <w:szCs w:val="20"/>
        </w:rPr>
      </w:pPr>
      <w:r>
        <w:rPr>
          <w:rFonts w:ascii="微软雅黑" w:hAnsi="微软雅黑" w:eastAsia="微软雅黑" w:cs="微软雅黑"/>
          <w:spacing w:val="-25"/>
          <w:w w:val="98"/>
          <w:sz w:val="20"/>
          <w:szCs w:val="20"/>
        </w:rPr>
        <w:t>1．</w:t>
      </w:r>
      <w:r>
        <w:rPr>
          <w:rFonts w:ascii="宋体" w:hAnsi="宋体" w:eastAsia="宋体" w:cs="宋体"/>
          <w:spacing w:val="-25"/>
          <w:w w:val="98"/>
          <w:sz w:val="20"/>
          <w:szCs w:val="20"/>
        </w:rPr>
        <w:t>办学思想及教学观念</w:t>
      </w:r>
    </w:p>
    <w:p>
      <w:pPr>
        <w:spacing w:before="43" w:line="237" w:lineRule="auto"/>
        <w:ind w:left="731" w:right="193" w:firstLine="361"/>
        <w:rPr>
          <w:rFonts w:ascii="微软雅黑" w:hAnsi="微软雅黑" w:eastAsia="微软雅黑" w:cs="微软雅黑"/>
          <w:sz w:val="20"/>
          <w:szCs w:val="20"/>
        </w:rPr>
      </w:pPr>
      <w:r>
        <w:rPr>
          <w:rFonts w:ascii="宋体" w:hAnsi="宋体" w:eastAsia="宋体" w:cs="宋体"/>
          <w:spacing w:val="-19"/>
          <w:w w:val="98"/>
          <w:sz w:val="20"/>
          <w:szCs w:val="20"/>
        </w:rPr>
        <w:t>地方高校的办学思想就是立德树人</w:t>
      </w:r>
      <w:r>
        <w:rPr>
          <w:rFonts w:ascii="宋体" w:hAnsi="宋体" w:eastAsia="宋体" w:cs="宋体"/>
          <w:spacing w:val="-19"/>
          <w:w w:val="98"/>
          <w:position w:val="1"/>
          <w:sz w:val="20"/>
          <w:szCs w:val="20"/>
        </w:rPr>
        <w:t>，</w:t>
      </w:r>
      <w:r>
        <w:rPr>
          <w:rFonts w:ascii="宋体" w:hAnsi="宋体" w:eastAsia="宋体" w:cs="宋体"/>
          <w:spacing w:val="-19"/>
          <w:w w:val="98"/>
          <w:sz w:val="20"/>
          <w:szCs w:val="20"/>
        </w:rPr>
        <w:t>面向地方经济社会</w:t>
      </w:r>
      <w:r>
        <w:rPr>
          <w:rFonts w:ascii="宋体" w:hAnsi="宋体" w:eastAsia="宋体" w:cs="宋体"/>
          <w:spacing w:val="16"/>
          <w:sz w:val="20"/>
          <w:szCs w:val="20"/>
        </w:rPr>
        <w:t xml:space="preserve"> </w:t>
      </w:r>
      <w:r>
        <w:rPr>
          <w:rFonts w:ascii="宋体" w:hAnsi="宋体" w:eastAsia="宋体" w:cs="宋体"/>
          <w:spacing w:val="-19"/>
          <w:w w:val="95"/>
          <w:sz w:val="20"/>
          <w:szCs w:val="20"/>
        </w:rPr>
        <w:t>发展培养高素质人才</w:t>
      </w:r>
      <w:r>
        <w:rPr>
          <w:rFonts w:ascii="宋体" w:hAnsi="宋体" w:eastAsia="宋体" w:cs="宋体"/>
          <w:spacing w:val="-19"/>
          <w:w w:val="95"/>
          <w:position w:val="1"/>
          <w:sz w:val="20"/>
          <w:szCs w:val="20"/>
        </w:rPr>
        <w:t>，</w:t>
      </w:r>
      <w:r>
        <w:rPr>
          <w:rFonts w:ascii="宋体" w:hAnsi="宋体" w:eastAsia="宋体" w:cs="宋体"/>
          <w:spacing w:val="-19"/>
          <w:w w:val="95"/>
          <w:sz w:val="20"/>
          <w:szCs w:val="20"/>
        </w:rPr>
        <w:t>高校的办学宗旨</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办学特色理念</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办学</w:t>
      </w:r>
      <w:r>
        <w:rPr>
          <w:rFonts w:ascii="宋体" w:hAnsi="宋体" w:eastAsia="宋体" w:cs="宋体"/>
          <w:spacing w:val="10"/>
          <w:sz w:val="20"/>
          <w:szCs w:val="20"/>
        </w:rPr>
        <w:t xml:space="preserve"> </w:t>
      </w:r>
      <w:r>
        <w:rPr>
          <w:rFonts w:ascii="宋体" w:hAnsi="宋体" w:eastAsia="宋体" w:cs="宋体"/>
          <w:spacing w:val="-22"/>
          <w:sz w:val="20"/>
          <w:szCs w:val="20"/>
        </w:rPr>
        <w:t>目标</w:t>
      </w:r>
      <w:r>
        <w:rPr>
          <w:rFonts w:ascii="微软雅黑" w:hAnsi="微软雅黑" w:eastAsia="微软雅黑" w:cs="微软雅黑"/>
          <w:spacing w:val="-22"/>
          <w:position w:val="1"/>
          <w:sz w:val="20"/>
          <w:szCs w:val="20"/>
        </w:rPr>
        <w:t>、</w:t>
      </w:r>
      <w:r>
        <w:rPr>
          <w:rFonts w:ascii="宋体" w:hAnsi="宋体" w:eastAsia="宋体" w:cs="宋体"/>
          <w:spacing w:val="-22"/>
          <w:sz w:val="20"/>
          <w:szCs w:val="20"/>
        </w:rPr>
        <w:t>发展目标和发展策略等顶层规划和系统设计</w:t>
      </w:r>
      <w:r>
        <w:rPr>
          <w:rFonts w:ascii="宋体" w:hAnsi="宋体" w:eastAsia="宋体" w:cs="宋体"/>
          <w:spacing w:val="-22"/>
          <w:position w:val="1"/>
          <w:sz w:val="20"/>
          <w:szCs w:val="20"/>
        </w:rPr>
        <w:t>，</w:t>
      </w:r>
      <w:r>
        <w:rPr>
          <w:rFonts w:ascii="宋体" w:hAnsi="宋体" w:eastAsia="宋体" w:cs="宋体"/>
          <w:spacing w:val="-22"/>
          <w:sz w:val="20"/>
          <w:szCs w:val="20"/>
        </w:rPr>
        <w:t>都</w:t>
      </w:r>
      <w:r>
        <w:rPr>
          <w:rFonts w:ascii="宋体" w:hAnsi="宋体" w:eastAsia="宋体" w:cs="宋体"/>
          <w:spacing w:val="-23"/>
          <w:sz w:val="20"/>
          <w:szCs w:val="20"/>
        </w:rPr>
        <w:t>要体</w:t>
      </w:r>
      <w:r>
        <w:rPr>
          <w:rFonts w:ascii="宋体" w:hAnsi="宋体" w:eastAsia="宋体" w:cs="宋体"/>
          <w:sz w:val="20"/>
          <w:szCs w:val="20"/>
        </w:rPr>
        <w:t xml:space="preserve"> </w:t>
      </w:r>
      <w:r>
        <w:rPr>
          <w:rFonts w:ascii="宋体" w:hAnsi="宋体" w:eastAsia="宋体" w:cs="宋体"/>
          <w:spacing w:val="-17"/>
          <w:w w:val="97"/>
          <w:sz w:val="20"/>
          <w:szCs w:val="20"/>
        </w:rPr>
        <w:t>现以立德树人</w:t>
      </w:r>
      <w:r>
        <w:rPr>
          <w:rFonts w:ascii="微软雅黑" w:hAnsi="微软雅黑" w:eastAsia="微软雅黑" w:cs="微软雅黑"/>
          <w:spacing w:val="-17"/>
          <w:w w:val="97"/>
          <w:position w:val="1"/>
          <w:sz w:val="20"/>
          <w:szCs w:val="20"/>
        </w:rPr>
        <w:t>、</w:t>
      </w:r>
      <w:r>
        <w:rPr>
          <w:rFonts w:ascii="宋体" w:hAnsi="宋体" w:eastAsia="宋体" w:cs="宋体"/>
          <w:spacing w:val="-17"/>
          <w:w w:val="97"/>
          <w:sz w:val="20"/>
          <w:szCs w:val="20"/>
        </w:rPr>
        <w:t>培养人才为根本职能的基本定位</w:t>
      </w:r>
      <w:r>
        <w:rPr>
          <w:rFonts w:ascii="微软雅黑" w:hAnsi="微软雅黑" w:eastAsia="微软雅黑" w:cs="微软雅黑"/>
          <w:spacing w:val="-17"/>
          <w:w w:val="97"/>
          <w:position w:val="1"/>
          <w:sz w:val="20"/>
          <w:szCs w:val="20"/>
        </w:rPr>
        <w:t>。</w:t>
      </w:r>
      <w:r>
        <w:rPr>
          <w:rFonts w:ascii="宋体" w:hAnsi="宋体" w:eastAsia="宋体" w:cs="宋体"/>
          <w:spacing w:val="-17"/>
          <w:w w:val="97"/>
          <w:sz w:val="20"/>
          <w:szCs w:val="20"/>
        </w:rPr>
        <w:t>教学观念</w:t>
      </w:r>
      <w:r>
        <w:rPr>
          <w:rFonts w:ascii="宋体" w:hAnsi="宋体" w:eastAsia="宋体" w:cs="宋体"/>
          <w:spacing w:val="24"/>
          <w:sz w:val="20"/>
          <w:szCs w:val="20"/>
        </w:rPr>
        <w:t xml:space="preserve"> </w:t>
      </w:r>
      <w:r>
        <w:rPr>
          <w:rFonts w:ascii="宋体" w:hAnsi="宋体" w:eastAsia="宋体" w:cs="宋体"/>
          <w:spacing w:val="-15"/>
          <w:sz w:val="20"/>
          <w:szCs w:val="20"/>
        </w:rPr>
        <w:t>是基于办学思想的教学行为的价值取向</w:t>
      </w:r>
      <w:r>
        <w:rPr>
          <w:rFonts w:ascii="微软雅黑" w:hAnsi="微软雅黑" w:eastAsia="微软雅黑" w:cs="微软雅黑"/>
          <w:spacing w:val="-15"/>
          <w:position w:val="1"/>
          <w:sz w:val="20"/>
          <w:szCs w:val="20"/>
        </w:rPr>
        <w:t>。</w:t>
      </w:r>
      <w:r>
        <w:rPr>
          <w:rFonts w:ascii="宋体" w:hAnsi="宋体" w:eastAsia="宋体" w:cs="宋体"/>
          <w:spacing w:val="-15"/>
          <w:sz w:val="20"/>
          <w:szCs w:val="20"/>
        </w:rPr>
        <w:t>传统教学观念是</w:t>
      </w:r>
      <w:r>
        <w:rPr>
          <w:rFonts w:ascii="宋体" w:hAnsi="宋体" w:eastAsia="宋体" w:cs="宋体"/>
          <w:spacing w:val="1"/>
          <w:sz w:val="20"/>
          <w:szCs w:val="20"/>
        </w:rPr>
        <w:t xml:space="preserve"> </w:t>
      </w:r>
      <w:r>
        <w:rPr>
          <w:rFonts w:ascii="宋体" w:hAnsi="宋体" w:eastAsia="宋体" w:cs="宋体"/>
          <w:spacing w:val="-20"/>
          <w:w w:val="97"/>
          <w:sz w:val="20"/>
          <w:szCs w:val="20"/>
        </w:rPr>
        <w:t>基于教育主体与客体关系认知上的误区，包括</w:t>
      </w:r>
      <w:r>
        <w:rPr>
          <w:rFonts w:ascii="微软雅黑" w:hAnsi="微软雅黑" w:eastAsia="微软雅黑" w:cs="微软雅黑"/>
          <w:spacing w:val="-20"/>
          <w:w w:val="97"/>
          <w:sz w:val="20"/>
          <w:szCs w:val="20"/>
        </w:rPr>
        <w:t>“</w:t>
      </w:r>
      <w:r>
        <w:rPr>
          <w:rFonts w:ascii="宋体" w:hAnsi="宋体" w:eastAsia="宋体" w:cs="宋体"/>
          <w:spacing w:val="-20"/>
          <w:w w:val="97"/>
          <w:sz w:val="20"/>
          <w:szCs w:val="20"/>
        </w:rPr>
        <w:t>知识本位观</w:t>
      </w:r>
      <w:r>
        <w:rPr>
          <w:rFonts w:ascii="微软雅黑" w:hAnsi="微软雅黑" w:eastAsia="微软雅黑" w:cs="微软雅黑"/>
          <w:spacing w:val="-20"/>
          <w:w w:val="97"/>
          <w:sz w:val="20"/>
          <w:szCs w:val="20"/>
        </w:rPr>
        <w:t>、</w:t>
      </w:r>
      <w:r>
        <w:rPr>
          <w:rFonts w:ascii="微软雅黑" w:hAnsi="微软雅黑" w:eastAsia="微软雅黑" w:cs="微软雅黑"/>
          <w:spacing w:val="7"/>
          <w:sz w:val="20"/>
          <w:szCs w:val="20"/>
        </w:rPr>
        <w:t xml:space="preserve"> </w:t>
      </w:r>
      <w:r>
        <w:rPr>
          <w:rFonts w:ascii="宋体" w:hAnsi="宋体" w:eastAsia="宋体" w:cs="宋体"/>
          <w:spacing w:val="-17"/>
          <w:w w:val="97"/>
          <w:sz w:val="20"/>
          <w:szCs w:val="20"/>
        </w:rPr>
        <w:t>学生客体观</w:t>
      </w:r>
      <w:r>
        <w:rPr>
          <w:rFonts w:ascii="微软雅黑" w:hAnsi="微软雅黑" w:eastAsia="微软雅黑" w:cs="微软雅黑"/>
          <w:spacing w:val="-17"/>
          <w:w w:val="97"/>
          <w:sz w:val="20"/>
          <w:szCs w:val="20"/>
        </w:rPr>
        <w:t>、</w:t>
      </w:r>
      <w:r>
        <w:rPr>
          <w:rFonts w:ascii="宋体" w:hAnsi="宋体" w:eastAsia="宋体" w:cs="宋体"/>
          <w:spacing w:val="-17"/>
          <w:w w:val="97"/>
          <w:sz w:val="20"/>
          <w:szCs w:val="20"/>
        </w:rPr>
        <w:t>学习过程观</w:t>
      </w:r>
      <w:r>
        <w:rPr>
          <w:rFonts w:ascii="微软雅黑" w:hAnsi="微软雅黑" w:eastAsia="微软雅黑" w:cs="微软雅黑"/>
          <w:spacing w:val="-17"/>
          <w:w w:val="97"/>
          <w:sz w:val="20"/>
          <w:szCs w:val="20"/>
        </w:rPr>
        <w:t>、</w:t>
      </w:r>
      <w:r>
        <w:rPr>
          <w:rFonts w:ascii="宋体" w:hAnsi="宋体" w:eastAsia="宋体" w:cs="宋体"/>
          <w:spacing w:val="-17"/>
          <w:w w:val="97"/>
          <w:sz w:val="20"/>
          <w:szCs w:val="20"/>
        </w:rPr>
        <w:t>教师权威观和交往功利观</w:t>
      </w:r>
      <w:r>
        <w:rPr>
          <w:rFonts w:ascii="微软雅黑" w:hAnsi="微软雅黑" w:eastAsia="微软雅黑" w:cs="微软雅黑"/>
          <w:spacing w:val="-17"/>
          <w:w w:val="97"/>
          <w:sz w:val="20"/>
          <w:szCs w:val="20"/>
        </w:rPr>
        <w:t>”</w:t>
      </w:r>
      <w:r>
        <w:rPr>
          <w:rFonts w:ascii="宋体" w:hAnsi="宋体" w:eastAsia="宋体" w:cs="宋体"/>
          <w:spacing w:val="-17"/>
          <w:w w:val="97"/>
          <w:position w:val="9"/>
          <w:sz w:val="11"/>
          <w:szCs w:val="11"/>
        </w:rPr>
        <w:t>［</w:t>
      </w:r>
      <w:r>
        <w:rPr>
          <w:rFonts w:ascii="微软雅黑" w:hAnsi="微软雅黑" w:eastAsia="微软雅黑" w:cs="微软雅黑"/>
          <w:spacing w:val="-17"/>
          <w:w w:val="97"/>
          <w:position w:val="9"/>
          <w:sz w:val="11"/>
          <w:szCs w:val="11"/>
        </w:rPr>
        <w:t>10</w:t>
      </w:r>
      <w:r>
        <w:rPr>
          <w:rFonts w:ascii="宋体" w:hAnsi="宋体" w:eastAsia="宋体" w:cs="宋体"/>
          <w:spacing w:val="-17"/>
          <w:w w:val="97"/>
          <w:position w:val="9"/>
          <w:sz w:val="11"/>
          <w:szCs w:val="11"/>
        </w:rPr>
        <w:t>］</w:t>
      </w:r>
      <w:r>
        <w:rPr>
          <w:rFonts w:ascii="微软雅黑" w:hAnsi="微软雅黑" w:eastAsia="微软雅黑" w:cs="微软雅黑"/>
          <w:spacing w:val="-14"/>
          <w:sz w:val="20"/>
          <w:szCs w:val="20"/>
        </w:rPr>
        <w:t>。</w:t>
      </w:r>
      <w:r>
        <w:rPr>
          <w:rFonts w:ascii="微软雅黑" w:hAnsi="微软雅黑" w:eastAsia="微软雅黑" w:cs="微软雅黑"/>
          <w:sz w:val="20"/>
          <w:szCs w:val="20"/>
        </w:rPr>
        <w:t xml:space="preserve"> </w:t>
      </w:r>
      <w:r>
        <w:rPr>
          <w:rFonts w:ascii="宋体" w:hAnsi="宋体" w:eastAsia="宋体" w:cs="宋体"/>
          <w:spacing w:val="-22"/>
          <w:sz w:val="20"/>
          <w:szCs w:val="20"/>
        </w:rPr>
        <w:t>坚持以应用型创新人才培养为目标</w:t>
      </w:r>
      <w:r>
        <w:rPr>
          <w:rFonts w:ascii="宋体" w:hAnsi="宋体" w:eastAsia="宋体" w:cs="宋体"/>
          <w:spacing w:val="-22"/>
          <w:position w:val="1"/>
          <w:sz w:val="20"/>
          <w:szCs w:val="20"/>
        </w:rPr>
        <w:t>，</w:t>
      </w:r>
      <w:r>
        <w:rPr>
          <w:rFonts w:ascii="宋体" w:hAnsi="宋体" w:eastAsia="宋体" w:cs="宋体"/>
          <w:spacing w:val="-22"/>
          <w:sz w:val="20"/>
          <w:szCs w:val="20"/>
        </w:rPr>
        <w:t>就是要转变传统</w:t>
      </w:r>
      <w:r>
        <w:rPr>
          <w:rFonts w:ascii="宋体" w:hAnsi="宋体" w:eastAsia="宋体" w:cs="宋体"/>
          <w:spacing w:val="-23"/>
          <w:sz w:val="20"/>
          <w:szCs w:val="20"/>
        </w:rPr>
        <w:t>的教学</w:t>
      </w:r>
      <w:r>
        <w:rPr>
          <w:rFonts w:ascii="宋体" w:hAnsi="宋体" w:eastAsia="宋体" w:cs="宋体"/>
          <w:sz w:val="20"/>
          <w:szCs w:val="20"/>
        </w:rPr>
        <w:t xml:space="preserve"> </w:t>
      </w:r>
      <w:r>
        <w:rPr>
          <w:rFonts w:ascii="宋体" w:hAnsi="宋体" w:eastAsia="宋体" w:cs="宋体"/>
          <w:spacing w:val="-21"/>
          <w:w w:val="96"/>
          <w:sz w:val="20"/>
          <w:szCs w:val="20"/>
        </w:rPr>
        <w:t>观念</w:t>
      </w:r>
      <w:r>
        <w:rPr>
          <w:rFonts w:ascii="宋体" w:hAnsi="宋体" w:eastAsia="宋体" w:cs="宋体"/>
          <w:spacing w:val="-21"/>
          <w:w w:val="96"/>
          <w:position w:val="1"/>
          <w:sz w:val="20"/>
          <w:szCs w:val="20"/>
        </w:rPr>
        <w:t>，</w:t>
      </w:r>
      <w:r>
        <w:rPr>
          <w:rFonts w:ascii="宋体" w:hAnsi="宋体" w:eastAsia="宋体" w:cs="宋体"/>
          <w:spacing w:val="-21"/>
          <w:w w:val="96"/>
          <w:sz w:val="20"/>
          <w:szCs w:val="20"/>
        </w:rPr>
        <w:t>要以学生为本位</w:t>
      </w:r>
      <w:r>
        <w:rPr>
          <w:rFonts w:ascii="宋体" w:hAnsi="宋体" w:eastAsia="宋体" w:cs="宋体"/>
          <w:spacing w:val="-21"/>
          <w:w w:val="96"/>
          <w:position w:val="1"/>
          <w:sz w:val="20"/>
          <w:szCs w:val="20"/>
        </w:rPr>
        <w:t>，</w:t>
      </w:r>
      <w:r>
        <w:rPr>
          <w:rFonts w:ascii="宋体" w:hAnsi="宋体" w:eastAsia="宋体" w:cs="宋体"/>
          <w:spacing w:val="-21"/>
          <w:w w:val="96"/>
          <w:sz w:val="20"/>
          <w:szCs w:val="20"/>
        </w:rPr>
        <w:t>围绕培养学生的能力与素质</w:t>
      </w:r>
      <w:r>
        <w:rPr>
          <w:rFonts w:ascii="宋体" w:hAnsi="宋体" w:eastAsia="宋体" w:cs="宋体"/>
          <w:spacing w:val="-21"/>
          <w:w w:val="96"/>
          <w:position w:val="1"/>
          <w:sz w:val="20"/>
          <w:szCs w:val="20"/>
        </w:rPr>
        <w:t>，</w:t>
      </w:r>
      <w:r>
        <w:rPr>
          <w:rFonts w:ascii="宋体" w:hAnsi="宋体" w:eastAsia="宋体" w:cs="宋体"/>
          <w:spacing w:val="-21"/>
          <w:w w:val="96"/>
          <w:sz w:val="20"/>
          <w:szCs w:val="20"/>
        </w:rPr>
        <w:t>重构人</w:t>
      </w:r>
      <w:r>
        <w:rPr>
          <w:rFonts w:ascii="宋体" w:hAnsi="宋体" w:eastAsia="宋体" w:cs="宋体"/>
          <w:spacing w:val="9"/>
          <w:sz w:val="20"/>
          <w:szCs w:val="20"/>
        </w:rPr>
        <w:t xml:space="preserve"> </w:t>
      </w:r>
      <w:r>
        <w:rPr>
          <w:rFonts w:ascii="宋体" w:hAnsi="宋体" w:eastAsia="宋体" w:cs="宋体"/>
          <w:spacing w:val="-22"/>
          <w:sz w:val="20"/>
          <w:szCs w:val="20"/>
        </w:rPr>
        <w:t>才培养体系与创新人才培养模式</w:t>
      </w:r>
      <w:r>
        <w:rPr>
          <w:rFonts w:ascii="宋体" w:hAnsi="宋体" w:eastAsia="宋体" w:cs="宋体"/>
          <w:spacing w:val="-22"/>
          <w:position w:val="1"/>
          <w:sz w:val="20"/>
          <w:szCs w:val="20"/>
        </w:rPr>
        <w:t>，</w:t>
      </w:r>
      <w:r>
        <w:rPr>
          <w:rFonts w:ascii="宋体" w:hAnsi="宋体" w:eastAsia="宋体" w:cs="宋体"/>
          <w:spacing w:val="-22"/>
          <w:sz w:val="20"/>
          <w:szCs w:val="20"/>
        </w:rPr>
        <w:t>并以此为目标取向</w:t>
      </w:r>
      <w:r>
        <w:rPr>
          <w:rFonts w:ascii="宋体" w:hAnsi="宋体" w:eastAsia="宋体" w:cs="宋体"/>
          <w:spacing w:val="-22"/>
          <w:position w:val="1"/>
          <w:sz w:val="20"/>
          <w:szCs w:val="20"/>
        </w:rPr>
        <w:t>，</w:t>
      </w:r>
      <w:r>
        <w:rPr>
          <w:rFonts w:ascii="宋体" w:hAnsi="宋体" w:eastAsia="宋体" w:cs="宋体"/>
          <w:spacing w:val="-22"/>
          <w:sz w:val="20"/>
          <w:szCs w:val="20"/>
        </w:rPr>
        <w:t>构架</w:t>
      </w:r>
      <w:r>
        <w:rPr>
          <w:rFonts w:ascii="宋体" w:hAnsi="宋体" w:eastAsia="宋体" w:cs="宋体"/>
          <w:sz w:val="20"/>
          <w:szCs w:val="20"/>
        </w:rPr>
        <w:t xml:space="preserve"> </w:t>
      </w:r>
      <w:r>
        <w:rPr>
          <w:rFonts w:ascii="宋体" w:hAnsi="宋体" w:eastAsia="宋体" w:cs="宋体"/>
          <w:spacing w:val="-15"/>
          <w:sz w:val="20"/>
          <w:szCs w:val="20"/>
        </w:rPr>
        <w:t>适应地方高校特点的大学质量文化</w:t>
      </w:r>
      <w:r>
        <w:rPr>
          <w:rFonts w:ascii="微软雅黑" w:hAnsi="微软雅黑" w:eastAsia="微软雅黑" w:cs="微软雅黑"/>
          <w:spacing w:val="-15"/>
          <w:position w:val="1"/>
          <w:sz w:val="20"/>
          <w:szCs w:val="20"/>
        </w:rPr>
        <w:t>。</w:t>
      </w:r>
      <w:r>
        <w:rPr>
          <w:rFonts w:ascii="宋体" w:hAnsi="宋体" w:eastAsia="宋体" w:cs="宋体"/>
          <w:spacing w:val="-15"/>
          <w:sz w:val="20"/>
          <w:szCs w:val="20"/>
        </w:rPr>
        <w:t>办学思想决定了教学</w:t>
      </w:r>
      <w:r>
        <w:rPr>
          <w:rFonts w:ascii="宋体" w:hAnsi="宋体" w:eastAsia="宋体" w:cs="宋体"/>
          <w:sz w:val="20"/>
          <w:szCs w:val="20"/>
        </w:rPr>
        <w:t xml:space="preserve"> </w:t>
      </w:r>
      <w:r>
        <w:rPr>
          <w:rFonts w:ascii="宋体" w:hAnsi="宋体" w:eastAsia="宋体" w:cs="宋体"/>
          <w:spacing w:val="-20"/>
          <w:w w:val="99"/>
          <w:sz w:val="20"/>
          <w:szCs w:val="20"/>
        </w:rPr>
        <w:t>观念</w:t>
      </w:r>
      <w:r>
        <w:rPr>
          <w:rFonts w:ascii="宋体" w:hAnsi="宋体" w:eastAsia="宋体" w:cs="宋体"/>
          <w:spacing w:val="-20"/>
          <w:w w:val="99"/>
          <w:position w:val="1"/>
          <w:sz w:val="20"/>
          <w:szCs w:val="20"/>
        </w:rPr>
        <w:t>，</w:t>
      </w:r>
      <w:r>
        <w:rPr>
          <w:rFonts w:ascii="宋体" w:hAnsi="宋体" w:eastAsia="宋体" w:cs="宋体"/>
          <w:spacing w:val="-20"/>
          <w:w w:val="99"/>
          <w:sz w:val="20"/>
          <w:szCs w:val="20"/>
        </w:rPr>
        <w:t>教学观念对于大学质量文化建设具有导向作用</w:t>
      </w:r>
      <w:r>
        <w:rPr>
          <w:rFonts w:ascii="宋体" w:hAnsi="宋体" w:eastAsia="宋体" w:cs="宋体"/>
          <w:spacing w:val="-20"/>
          <w:w w:val="99"/>
          <w:position w:val="1"/>
          <w:sz w:val="20"/>
          <w:szCs w:val="20"/>
        </w:rPr>
        <w:t>，</w:t>
      </w:r>
      <w:r>
        <w:rPr>
          <w:rFonts w:ascii="宋体" w:hAnsi="宋体" w:eastAsia="宋体" w:cs="宋体"/>
          <w:spacing w:val="-20"/>
          <w:w w:val="99"/>
          <w:sz w:val="20"/>
          <w:szCs w:val="20"/>
        </w:rPr>
        <w:t>具</w:t>
      </w:r>
      <w:r>
        <w:rPr>
          <w:rFonts w:ascii="宋体" w:hAnsi="宋体" w:eastAsia="宋体" w:cs="宋体"/>
          <w:spacing w:val="-21"/>
          <w:w w:val="99"/>
          <w:sz w:val="20"/>
          <w:szCs w:val="20"/>
        </w:rPr>
        <w:t>有</w:t>
      </w:r>
      <w:r>
        <w:rPr>
          <w:rFonts w:ascii="宋体" w:hAnsi="宋体" w:eastAsia="宋体" w:cs="宋体"/>
          <w:sz w:val="20"/>
          <w:szCs w:val="20"/>
        </w:rPr>
        <w:t xml:space="preserve"> </w:t>
      </w:r>
      <w:r>
        <w:rPr>
          <w:rFonts w:ascii="宋体" w:hAnsi="宋体" w:eastAsia="宋体" w:cs="宋体"/>
          <w:spacing w:val="-15"/>
          <w:sz w:val="20"/>
          <w:szCs w:val="20"/>
        </w:rPr>
        <w:t>激励和凝聚全校师生的功能</w:t>
      </w:r>
      <w:r>
        <w:rPr>
          <w:rFonts w:ascii="微软雅黑" w:hAnsi="微软雅黑" w:eastAsia="微软雅黑" w:cs="微软雅黑"/>
          <w:spacing w:val="-15"/>
          <w:position w:val="1"/>
          <w:sz w:val="20"/>
          <w:szCs w:val="20"/>
        </w:rPr>
        <w:t>。</w:t>
      </w:r>
      <w:r>
        <w:rPr>
          <w:rFonts w:ascii="宋体" w:hAnsi="宋体" w:eastAsia="宋体" w:cs="宋体"/>
          <w:spacing w:val="-15"/>
          <w:sz w:val="20"/>
          <w:szCs w:val="20"/>
        </w:rPr>
        <w:t>回归本科教育</w:t>
      </w:r>
      <w:r>
        <w:rPr>
          <w:rFonts w:ascii="宋体" w:hAnsi="宋体" w:eastAsia="宋体" w:cs="宋体"/>
          <w:spacing w:val="-15"/>
          <w:position w:val="1"/>
          <w:sz w:val="20"/>
          <w:szCs w:val="20"/>
        </w:rPr>
        <w:t>，</w:t>
      </w:r>
      <w:r>
        <w:rPr>
          <w:rFonts w:ascii="宋体" w:hAnsi="宋体" w:eastAsia="宋体" w:cs="宋体"/>
          <w:spacing w:val="-15"/>
          <w:sz w:val="20"/>
          <w:szCs w:val="20"/>
        </w:rPr>
        <w:t>培养一流人</w:t>
      </w:r>
      <w:r>
        <w:rPr>
          <w:rFonts w:ascii="宋体" w:hAnsi="宋体" w:eastAsia="宋体" w:cs="宋体"/>
          <w:spacing w:val="1"/>
          <w:sz w:val="20"/>
          <w:szCs w:val="20"/>
        </w:rPr>
        <w:t xml:space="preserve"> </w:t>
      </w:r>
      <w:r>
        <w:rPr>
          <w:rFonts w:ascii="宋体" w:hAnsi="宋体" w:eastAsia="宋体" w:cs="宋体"/>
          <w:spacing w:val="-19"/>
          <w:w w:val="92"/>
          <w:sz w:val="20"/>
          <w:szCs w:val="20"/>
        </w:rPr>
        <w:t>才，对于地方高校而言，就是要守住</w:t>
      </w:r>
      <w:r>
        <w:rPr>
          <w:rFonts w:ascii="微软雅黑" w:hAnsi="微软雅黑" w:eastAsia="微软雅黑" w:cs="微软雅黑"/>
          <w:spacing w:val="-19"/>
          <w:w w:val="92"/>
          <w:sz w:val="20"/>
          <w:szCs w:val="20"/>
        </w:rPr>
        <w:t>“</w:t>
      </w:r>
      <w:r>
        <w:rPr>
          <w:rFonts w:ascii="宋体" w:hAnsi="宋体" w:eastAsia="宋体" w:cs="宋体"/>
          <w:spacing w:val="-19"/>
          <w:w w:val="92"/>
          <w:sz w:val="20"/>
          <w:szCs w:val="20"/>
        </w:rPr>
        <w:t>初心</w:t>
      </w:r>
      <w:r>
        <w:rPr>
          <w:rFonts w:ascii="微软雅黑" w:hAnsi="微软雅黑" w:eastAsia="微软雅黑" w:cs="微软雅黑"/>
          <w:spacing w:val="-19"/>
          <w:w w:val="92"/>
          <w:sz w:val="20"/>
          <w:szCs w:val="20"/>
        </w:rPr>
        <w:t>”</w:t>
      </w:r>
      <w:r>
        <w:rPr>
          <w:rFonts w:ascii="宋体" w:hAnsi="宋体" w:eastAsia="宋体" w:cs="宋体"/>
          <w:spacing w:val="-19"/>
          <w:w w:val="92"/>
          <w:sz w:val="20"/>
          <w:szCs w:val="20"/>
        </w:rPr>
        <w:t>，摒弃功利化办学</w:t>
      </w:r>
      <w:r>
        <w:rPr>
          <w:rFonts w:ascii="宋体" w:hAnsi="宋体" w:eastAsia="宋体" w:cs="宋体"/>
          <w:spacing w:val="6"/>
          <w:sz w:val="20"/>
          <w:szCs w:val="20"/>
        </w:rPr>
        <w:t xml:space="preserve"> </w:t>
      </w:r>
      <w:r>
        <w:rPr>
          <w:rFonts w:ascii="宋体" w:hAnsi="宋体" w:eastAsia="宋体" w:cs="宋体"/>
          <w:spacing w:val="-23"/>
          <w:w w:val="97"/>
          <w:sz w:val="20"/>
          <w:szCs w:val="20"/>
        </w:rPr>
        <w:t>思路</w:t>
      </w:r>
      <w:r>
        <w:rPr>
          <w:rFonts w:ascii="宋体" w:hAnsi="宋体" w:eastAsia="宋体" w:cs="宋体"/>
          <w:spacing w:val="-23"/>
          <w:w w:val="97"/>
          <w:position w:val="1"/>
          <w:sz w:val="20"/>
          <w:szCs w:val="20"/>
        </w:rPr>
        <w:t>，</w:t>
      </w:r>
      <w:r>
        <w:rPr>
          <w:rFonts w:ascii="宋体" w:hAnsi="宋体" w:eastAsia="宋体" w:cs="宋体"/>
          <w:spacing w:val="-23"/>
          <w:w w:val="97"/>
          <w:sz w:val="20"/>
          <w:szCs w:val="20"/>
        </w:rPr>
        <w:t>不盲目攀比升格</w:t>
      </w:r>
      <w:r>
        <w:rPr>
          <w:rFonts w:ascii="宋体" w:hAnsi="宋体" w:eastAsia="宋体" w:cs="宋体"/>
          <w:spacing w:val="-23"/>
          <w:w w:val="97"/>
          <w:position w:val="1"/>
          <w:sz w:val="20"/>
          <w:szCs w:val="20"/>
        </w:rPr>
        <w:t>，</w:t>
      </w:r>
      <w:r>
        <w:rPr>
          <w:rFonts w:ascii="宋体" w:hAnsi="宋体" w:eastAsia="宋体" w:cs="宋体"/>
          <w:spacing w:val="-23"/>
          <w:w w:val="97"/>
          <w:sz w:val="20"/>
          <w:szCs w:val="20"/>
        </w:rPr>
        <w:t>发挥自身在办学传统</w:t>
      </w:r>
      <w:r>
        <w:rPr>
          <w:rFonts w:ascii="微软雅黑" w:hAnsi="微软雅黑" w:eastAsia="微软雅黑" w:cs="微软雅黑"/>
          <w:spacing w:val="-23"/>
          <w:w w:val="97"/>
          <w:position w:val="1"/>
          <w:sz w:val="20"/>
          <w:szCs w:val="20"/>
        </w:rPr>
        <w:t>、</w:t>
      </w:r>
      <w:r>
        <w:rPr>
          <w:rFonts w:ascii="宋体" w:hAnsi="宋体" w:eastAsia="宋体" w:cs="宋体"/>
          <w:spacing w:val="-23"/>
          <w:w w:val="97"/>
          <w:sz w:val="20"/>
          <w:szCs w:val="20"/>
        </w:rPr>
        <w:t>区位优势与特</w:t>
      </w:r>
      <w:r>
        <w:rPr>
          <w:rFonts w:ascii="宋体" w:hAnsi="宋体" w:eastAsia="宋体" w:cs="宋体"/>
          <w:spacing w:val="9"/>
          <w:sz w:val="20"/>
          <w:szCs w:val="20"/>
        </w:rPr>
        <w:t xml:space="preserve"> </w:t>
      </w:r>
      <w:r>
        <w:rPr>
          <w:rFonts w:ascii="宋体" w:hAnsi="宋体" w:eastAsia="宋体" w:cs="宋体"/>
          <w:spacing w:val="-19"/>
          <w:sz w:val="20"/>
          <w:szCs w:val="20"/>
        </w:rPr>
        <w:t>色发展中的比较优势</w:t>
      </w:r>
      <w:r>
        <w:rPr>
          <w:rFonts w:ascii="宋体" w:hAnsi="宋体" w:eastAsia="宋体" w:cs="宋体"/>
          <w:spacing w:val="-19"/>
          <w:position w:val="1"/>
          <w:sz w:val="20"/>
          <w:szCs w:val="20"/>
        </w:rPr>
        <w:t>，</w:t>
      </w:r>
      <w:r>
        <w:rPr>
          <w:rFonts w:ascii="宋体" w:hAnsi="宋体" w:eastAsia="宋体" w:cs="宋体"/>
          <w:spacing w:val="-19"/>
          <w:sz w:val="20"/>
          <w:szCs w:val="20"/>
        </w:rPr>
        <w:t>建设具有中国特色的大学质量文化</w:t>
      </w:r>
      <w:r>
        <w:rPr>
          <w:rFonts w:ascii="宋体" w:hAnsi="宋体" w:eastAsia="宋体" w:cs="宋体"/>
          <w:spacing w:val="-19"/>
          <w:position w:val="1"/>
          <w:sz w:val="20"/>
          <w:szCs w:val="20"/>
        </w:rPr>
        <w:t>，</w:t>
      </w:r>
      <w:r>
        <w:rPr>
          <w:rFonts w:ascii="宋体" w:hAnsi="宋体" w:eastAsia="宋体" w:cs="宋体"/>
          <w:position w:val="1"/>
          <w:sz w:val="20"/>
          <w:szCs w:val="20"/>
        </w:rPr>
        <w:t xml:space="preserve"> </w:t>
      </w:r>
      <w:r>
        <w:rPr>
          <w:rFonts w:ascii="宋体" w:hAnsi="宋体" w:eastAsia="宋体" w:cs="宋体"/>
          <w:spacing w:val="-19"/>
          <w:sz w:val="20"/>
          <w:szCs w:val="20"/>
        </w:rPr>
        <w:t>争创一流本科的建设目标</w:t>
      </w:r>
      <w:r>
        <w:rPr>
          <w:rFonts w:ascii="微软雅黑" w:hAnsi="微软雅黑" w:eastAsia="微软雅黑" w:cs="微软雅黑"/>
          <w:spacing w:val="-19"/>
          <w:position w:val="1"/>
          <w:sz w:val="20"/>
          <w:szCs w:val="20"/>
        </w:rPr>
        <w:t>。</w:t>
      </w:r>
    </w:p>
    <w:p>
      <w:pPr>
        <w:spacing w:before="61" w:line="185" w:lineRule="auto"/>
        <w:ind w:left="1081"/>
        <w:rPr>
          <w:rFonts w:ascii="宋体" w:hAnsi="宋体" w:eastAsia="宋体" w:cs="宋体"/>
          <w:sz w:val="20"/>
          <w:szCs w:val="20"/>
        </w:rPr>
      </w:pPr>
      <w:r>
        <w:rPr>
          <w:rFonts w:ascii="微软雅黑" w:hAnsi="微软雅黑" w:eastAsia="微软雅黑" w:cs="微软雅黑"/>
          <w:spacing w:val="-22"/>
          <w:w w:val="97"/>
          <w:sz w:val="20"/>
          <w:szCs w:val="20"/>
        </w:rPr>
        <w:t>2．</w:t>
      </w:r>
      <w:r>
        <w:rPr>
          <w:rFonts w:ascii="宋体" w:hAnsi="宋体" w:eastAsia="宋体" w:cs="宋体"/>
          <w:spacing w:val="-22"/>
          <w:w w:val="97"/>
          <w:sz w:val="20"/>
          <w:szCs w:val="20"/>
        </w:rPr>
        <w:t>质量管理的制度体系</w:t>
      </w:r>
    </w:p>
    <w:p>
      <w:pPr>
        <w:spacing w:before="50" w:line="236" w:lineRule="auto"/>
        <w:ind w:left="732" w:right="193" w:firstLine="361"/>
        <w:rPr>
          <w:rFonts w:ascii="微软雅黑" w:hAnsi="微软雅黑" w:eastAsia="微软雅黑" w:cs="微软雅黑"/>
          <w:sz w:val="20"/>
          <w:szCs w:val="20"/>
        </w:rPr>
      </w:pPr>
      <w:r>
        <w:rPr>
          <w:rFonts w:ascii="宋体" w:hAnsi="宋体" w:eastAsia="宋体" w:cs="宋体"/>
          <w:spacing w:val="-15"/>
          <w:sz w:val="20"/>
          <w:szCs w:val="20"/>
        </w:rPr>
        <w:t>质量管理的制度体系本身就是大学质量文化制度层面</w:t>
      </w:r>
      <w:r>
        <w:rPr>
          <w:rFonts w:ascii="宋体" w:hAnsi="宋体" w:eastAsia="宋体" w:cs="宋体"/>
          <w:spacing w:val="3"/>
          <w:sz w:val="20"/>
          <w:szCs w:val="20"/>
        </w:rPr>
        <w:t xml:space="preserve">  </w:t>
      </w:r>
      <w:r>
        <w:rPr>
          <w:rFonts w:ascii="宋体" w:hAnsi="宋体" w:eastAsia="宋体" w:cs="宋体"/>
          <w:spacing w:val="-20"/>
          <w:w w:val="97"/>
          <w:sz w:val="20"/>
          <w:szCs w:val="20"/>
        </w:rPr>
        <w:t>的内容</w:t>
      </w:r>
      <w:r>
        <w:rPr>
          <w:rFonts w:ascii="宋体" w:hAnsi="宋体" w:eastAsia="宋体" w:cs="宋体"/>
          <w:spacing w:val="-20"/>
          <w:w w:val="97"/>
          <w:position w:val="1"/>
          <w:sz w:val="20"/>
          <w:szCs w:val="20"/>
        </w:rPr>
        <w:t>，</w:t>
      </w:r>
      <w:r>
        <w:rPr>
          <w:rFonts w:ascii="宋体" w:hAnsi="宋体" w:eastAsia="宋体" w:cs="宋体"/>
          <w:spacing w:val="-20"/>
          <w:w w:val="97"/>
          <w:sz w:val="20"/>
          <w:szCs w:val="20"/>
        </w:rPr>
        <w:t>制度体系所确立的质量保障的领导体制</w:t>
      </w:r>
      <w:r>
        <w:rPr>
          <w:rFonts w:ascii="微软雅黑" w:hAnsi="微软雅黑" w:eastAsia="微软雅黑" w:cs="微软雅黑"/>
          <w:spacing w:val="-20"/>
          <w:w w:val="97"/>
          <w:position w:val="1"/>
          <w:sz w:val="20"/>
          <w:szCs w:val="20"/>
        </w:rPr>
        <w:t>、</w:t>
      </w:r>
      <w:r>
        <w:rPr>
          <w:rFonts w:ascii="宋体" w:hAnsi="宋体" w:eastAsia="宋体" w:cs="宋体"/>
          <w:spacing w:val="-20"/>
          <w:w w:val="97"/>
          <w:sz w:val="20"/>
          <w:szCs w:val="20"/>
        </w:rPr>
        <w:t>组织机构</w:t>
      </w:r>
      <w:r>
        <w:rPr>
          <w:rFonts w:ascii="微软雅黑" w:hAnsi="微软雅黑" w:eastAsia="微软雅黑" w:cs="微软雅黑"/>
          <w:spacing w:val="-20"/>
          <w:w w:val="97"/>
          <w:position w:val="1"/>
          <w:sz w:val="20"/>
          <w:szCs w:val="20"/>
        </w:rPr>
        <w:t>、</w:t>
      </w:r>
      <w:r>
        <w:rPr>
          <w:rFonts w:ascii="微软雅黑" w:hAnsi="微软雅黑" w:eastAsia="微软雅黑" w:cs="微软雅黑"/>
          <w:spacing w:val="6"/>
          <w:position w:val="1"/>
          <w:sz w:val="20"/>
          <w:szCs w:val="20"/>
        </w:rPr>
        <w:t xml:space="preserve"> </w:t>
      </w:r>
      <w:r>
        <w:rPr>
          <w:rFonts w:ascii="宋体" w:hAnsi="宋体" w:eastAsia="宋体" w:cs="宋体"/>
          <w:spacing w:val="-18"/>
          <w:w w:val="98"/>
          <w:sz w:val="20"/>
          <w:szCs w:val="20"/>
        </w:rPr>
        <w:t>管理规范以及激励制度</w:t>
      </w:r>
      <w:r>
        <w:rPr>
          <w:rFonts w:ascii="宋体" w:hAnsi="宋体" w:eastAsia="宋体" w:cs="宋体"/>
          <w:spacing w:val="-18"/>
          <w:w w:val="98"/>
          <w:position w:val="1"/>
          <w:sz w:val="20"/>
          <w:szCs w:val="20"/>
        </w:rPr>
        <w:t>，</w:t>
      </w:r>
      <w:r>
        <w:rPr>
          <w:rFonts w:ascii="宋体" w:hAnsi="宋体" w:eastAsia="宋体" w:cs="宋体"/>
          <w:spacing w:val="-18"/>
          <w:w w:val="98"/>
          <w:sz w:val="20"/>
          <w:szCs w:val="20"/>
        </w:rPr>
        <w:t>直接影响大学质量文化的</w:t>
      </w:r>
      <w:r>
        <w:rPr>
          <w:rFonts w:ascii="宋体" w:hAnsi="宋体" w:eastAsia="宋体" w:cs="宋体"/>
          <w:spacing w:val="-19"/>
          <w:w w:val="98"/>
          <w:sz w:val="20"/>
          <w:szCs w:val="20"/>
        </w:rPr>
        <w:t>功能与作</w:t>
      </w:r>
      <w:r>
        <w:rPr>
          <w:rFonts w:ascii="宋体" w:hAnsi="宋体" w:eastAsia="宋体" w:cs="宋体"/>
          <w:sz w:val="20"/>
          <w:szCs w:val="20"/>
        </w:rPr>
        <w:t xml:space="preserve">  </w:t>
      </w:r>
      <w:r>
        <w:rPr>
          <w:rFonts w:ascii="宋体" w:hAnsi="宋体" w:eastAsia="宋体" w:cs="宋体"/>
          <w:spacing w:val="-18"/>
          <w:w w:val="98"/>
          <w:sz w:val="20"/>
          <w:szCs w:val="20"/>
        </w:rPr>
        <w:t>用</w:t>
      </w:r>
      <w:r>
        <w:rPr>
          <w:rFonts w:ascii="微软雅黑" w:hAnsi="微软雅黑" w:eastAsia="微软雅黑" w:cs="微软雅黑"/>
          <w:spacing w:val="-18"/>
          <w:w w:val="98"/>
          <w:position w:val="1"/>
          <w:sz w:val="20"/>
          <w:szCs w:val="20"/>
        </w:rPr>
        <w:t>。</w:t>
      </w:r>
      <w:r>
        <w:rPr>
          <w:rFonts w:ascii="宋体" w:hAnsi="宋体" w:eastAsia="宋体" w:cs="宋体"/>
          <w:spacing w:val="-18"/>
          <w:w w:val="98"/>
          <w:sz w:val="20"/>
          <w:szCs w:val="20"/>
        </w:rPr>
        <w:t>地方高校的质量管理制度通常是参照部属重点高校</w:t>
      </w:r>
      <w:r>
        <w:rPr>
          <w:rFonts w:ascii="宋体" w:hAnsi="宋体" w:eastAsia="宋体" w:cs="宋体"/>
          <w:spacing w:val="-19"/>
          <w:w w:val="98"/>
          <w:position w:val="1"/>
          <w:sz w:val="20"/>
          <w:szCs w:val="20"/>
        </w:rPr>
        <w:t>，</w:t>
      </w:r>
      <w:r>
        <w:rPr>
          <w:rFonts w:ascii="宋体" w:hAnsi="宋体" w:eastAsia="宋体" w:cs="宋体"/>
          <w:spacing w:val="-19"/>
          <w:w w:val="98"/>
          <w:sz w:val="20"/>
          <w:szCs w:val="20"/>
        </w:rPr>
        <w:t>质</w:t>
      </w:r>
      <w:r>
        <w:rPr>
          <w:rFonts w:ascii="宋体" w:hAnsi="宋体" w:eastAsia="宋体" w:cs="宋体"/>
          <w:sz w:val="20"/>
          <w:szCs w:val="20"/>
        </w:rPr>
        <w:t xml:space="preserve"> </w:t>
      </w:r>
      <w:r>
        <w:rPr>
          <w:rFonts w:ascii="宋体" w:hAnsi="宋体" w:eastAsia="宋体" w:cs="宋体"/>
          <w:spacing w:val="-22"/>
          <w:sz w:val="20"/>
          <w:szCs w:val="20"/>
        </w:rPr>
        <w:t>量保障体系的构建也大同小异</w:t>
      </w:r>
      <w:r>
        <w:rPr>
          <w:rFonts w:ascii="宋体" w:hAnsi="宋体" w:eastAsia="宋体" w:cs="宋体"/>
          <w:spacing w:val="-22"/>
          <w:position w:val="1"/>
          <w:sz w:val="20"/>
          <w:szCs w:val="20"/>
        </w:rPr>
        <w:t>，</w:t>
      </w:r>
      <w:r>
        <w:rPr>
          <w:rFonts w:ascii="宋体" w:hAnsi="宋体" w:eastAsia="宋体" w:cs="宋体"/>
          <w:spacing w:val="-22"/>
          <w:sz w:val="20"/>
          <w:szCs w:val="20"/>
        </w:rPr>
        <w:t>缺乏针对性与有效性</w:t>
      </w:r>
      <w:r>
        <w:rPr>
          <w:rFonts w:ascii="宋体" w:hAnsi="宋体" w:eastAsia="宋体" w:cs="宋体"/>
          <w:spacing w:val="-22"/>
          <w:position w:val="1"/>
          <w:sz w:val="20"/>
          <w:szCs w:val="20"/>
        </w:rPr>
        <w:t>，</w:t>
      </w:r>
      <w:r>
        <w:rPr>
          <w:rFonts w:ascii="宋体" w:hAnsi="宋体" w:eastAsia="宋体" w:cs="宋体"/>
          <w:spacing w:val="-23"/>
          <w:sz w:val="20"/>
          <w:szCs w:val="20"/>
        </w:rPr>
        <w:t>教育</w:t>
      </w:r>
      <w:r>
        <w:rPr>
          <w:rFonts w:ascii="宋体" w:hAnsi="宋体" w:eastAsia="宋体" w:cs="宋体"/>
          <w:sz w:val="20"/>
          <w:szCs w:val="20"/>
        </w:rPr>
        <w:t xml:space="preserve"> </w:t>
      </w:r>
      <w:r>
        <w:rPr>
          <w:rFonts w:ascii="宋体" w:hAnsi="宋体" w:eastAsia="宋体" w:cs="宋体"/>
          <w:spacing w:val="-15"/>
          <w:sz w:val="20"/>
          <w:szCs w:val="20"/>
        </w:rPr>
        <w:t>质量管理的生态环境面临恶化的困境</w:t>
      </w:r>
      <w:r>
        <w:rPr>
          <w:rFonts w:ascii="微软雅黑" w:hAnsi="微软雅黑" w:eastAsia="微软雅黑" w:cs="微软雅黑"/>
          <w:spacing w:val="-15"/>
          <w:sz w:val="20"/>
          <w:szCs w:val="20"/>
        </w:rPr>
        <w:t>。</w:t>
      </w:r>
      <w:r>
        <w:rPr>
          <w:rFonts w:ascii="宋体" w:hAnsi="宋体" w:eastAsia="宋体" w:cs="宋体"/>
          <w:spacing w:val="-15"/>
          <w:sz w:val="20"/>
          <w:szCs w:val="20"/>
        </w:rPr>
        <w:t>只有坚持</w:t>
      </w:r>
      <w:r>
        <w:rPr>
          <w:rFonts w:ascii="微软雅黑" w:hAnsi="微软雅黑" w:eastAsia="微软雅黑" w:cs="微软雅黑"/>
          <w:spacing w:val="-15"/>
          <w:sz w:val="20"/>
          <w:szCs w:val="20"/>
        </w:rPr>
        <w:t>“</w:t>
      </w:r>
      <w:r>
        <w:rPr>
          <w:rFonts w:ascii="宋体" w:hAnsi="宋体" w:eastAsia="宋体" w:cs="宋体"/>
          <w:spacing w:val="-15"/>
          <w:sz w:val="20"/>
          <w:szCs w:val="20"/>
        </w:rPr>
        <w:t>以本为</w:t>
      </w:r>
      <w:r>
        <w:rPr>
          <w:rFonts w:ascii="宋体" w:hAnsi="宋体" w:eastAsia="宋体" w:cs="宋体"/>
          <w:spacing w:val="1"/>
          <w:sz w:val="20"/>
          <w:szCs w:val="20"/>
        </w:rPr>
        <w:t xml:space="preserve"> </w:t>
      </w:r>
      <w:r>
        <w:rPr>
          <w:rFonts w:ascii="宋体" w:hAnsi="宋体" w:eastAsia="宋体" w:cs="宋体"/>
          <w:spacing w:val="-21"/>
          <w:w w:val="96"/>
          <w:sz w:val="20"/>
          <w:szCs w:val="20"/>
        </w:rPr>
        <w:t>本</w:t>
      </w:r>
      <w:r>
        <w:rPr>
          <w:rFonts w:ascii="微软雅黑" w:hAnsi="微软雅黑" w:eastAsia="微软雅黑" w:cs="微软雅黑"/>
          <w:spacing w:val="-21"/>
          <w:w w:val="96"/>
          <w:position w:val="1"/>
          <w:sz w:val="20"/>
          <w:szCs w:val="20"/>
        </w:rPr>
        <w:t>”</w:t>
      </w:r>
      <w:r>
        <w:rPr>
          <w:rFonts w:ascii="宋体" w:hAnsi="宋体" w:eastAsia="宋体" w:cs="宋体"/>
          <w:spacing w:val="-21"/>
          <w:w w:val="96"/>
          <w:position w:val="1"/>
          <w:sz w:val="20"/>
          <w:szCs w:val="20"/>
        </w:rPr>
        <w:t>，</w:t>
      </w:r>
      <w:r>
        <w:rPr>
          <w:rFonts w:ascii="宋体" w:hAnsi="宋体" w:eastAsia="宋体" w:cs="宋体"/>
          <w:spacing w:val="-21"/>
          <w:w w:val="96"/>
          <w:sz w:val="20"/>
          <w:szCs w:val="20"/>
        </w:rPr>
        <w:t>按照地方高校的生态环境具体特点</w:t>
      </w:r>
      <w:r>
        <w:rPr>
          <w:rFonts w:ascii="宋体" w:hAnsi="宋体" w:eastAsia="宋体" w:cs="宋体"/>
          <w:spacing w:val="-21"/>
          <w:w w:val="96"/>
          <w:position w:val="1"/>
          <w:sz w:val="20"/>
          <w:szCs w:val="20"/>
        </w:rPr>
        <w:t>，</w:t>
      </w:r>
      <w:r>
        <w:rPr>
          <w:rFonts w:ascii="微软雅黑" w:hAnsi="微软雅黑" w:eastAsia="微软雅黑" w:cs="微软雅黑"/>
          <w:spacing w:val="-21"/>
          <w:w w:val="96"/>
          <w:position w:val="1"/>
          <w:sz w:val="20"/>
          <w:szCs w:val="20"/>
        </w:rPr>
        <w:t>“</w:t>
      </w:r>
      <w:r>
        <w:rPr>
          <w:rFonts w:ascii="宋体" w:hAnsi="宋体" w:eastAsia="宋体" w:cs="宋体"/>
          <w:spacing w:val="-21"/>
          <w:w w:val="96"/>
          <w:sz w:val="20"/>
          <w:szCs w:val="20"/>
        </w:rPr>
        <w:t>建立以教师的充</w:t>
      </w:r>
      <w:r>
        <w:rPr>
          <w:rFonts w:ascii="宋体" w:hAnsi="宋体" w:eastAsia="宋体" w:cs="宋体"/>
          <w:spacing w:val="8"/>
          <w:sz w:val="20"/>
          <w:szCs w:val="20"/>
        </w:rPr>
        <w:t xml:space="preserve"> </w:t>
      </w:r>
      <w:r>
        <w:rPr>
          <w:rFonts w:ascii="宋体" w:hAnsi="宋体" w:eastAsia="宋体" w:cs="宋体"/>
          <w:spacing w:val="-22"/>
          <w:sz w:val="20"/>
          <w:szCs w:val="20"/>
        </w:rPr>
        <w:t>分发展为中心的师资管理制度</w:t>
      </w:r>
      <w:r>
        <w:rPr>
          <w:rFonts w:ascii="微软雅黑" w:hAnsi="微软雅黑" w:eastAsia="微软雅黑" w:cs="微软雅黑"/>
          <w:spacing w:val="-22"/>
          <w:position w:val="1"/>
          <w:sz w:val="20"/>
          <w:szCs w:val="20"/>
        </w:rPr>
        <w:t>、</w:t>
      </w:r>
      <w:r>
        <w:rPr>
          <w:rFonts w:ascii="宋体" w:hAnsi="宋体" w:eastAsia="宋体" w:cs="宋体"/>
          <w:spacing w:val="-22"/>
          <w:sz w:val="20"/>
          <w:szCs w:val="20"/>
        </w:rPr>
        <w:t>以学生的全面发展</w:t>
      </w:r>
      <w:r>
        <w:rPr>
          <w:rFonts w:ascii="宋体" w:hAnsi="宋体" w:eastAsia="宋体" w:cs="宋体"/>
          <w:spacing w:val="-23"/>
          <w:sz w:val="20"/>
          <w:szCs w:val="20"/>
        </w:rPr>
        <w:t>为目标的</w:t>
      </w:r>
      <w:r>
        <w:rPr>
          <w:rFonts w:ascii="宋体" w:hAnsi="宋体" w:eastAsia="宋体" w:cs="宋体"/>
          <w:sz w:val="20"/>
          <w:szCs w:val="20"/>
        </w:rPr>
        <w:t xml:space="preserve"> </w:t>
      </w:r>
      <w:r>
        <w:rPr>
          <w:rFonts w:ascii="宋体" w:hAnsi="宋体" w:eastAsia="宋体" w:cs="宋体"/>
          <w:spacing w:val="-19"/>
          <w:w w:val="98"/>
          <w:sz w:val="20"/>
          <w:szCs w:val="20"/>
        </w:rPr>
        <w:t>学生管理制度，以及构筑生态化的和谐师生关系</w:t>
      </w:r>
      <w:r>
        <w:rPr>
          <w:rFonts w:ascii="微软雅黑" w:hAnsi="微软雅黑" w:eastAsia="微软雅黑" w:cs="微软雅黑"/>
          <w:spacing w:val="-19"/>
          <w:w w:val="98"/>
          <w:sz w:val="20"/>
          <w:szCs w:val="20"/>
        </w:rPr>
        <w:t>”</w:t>
      </w:r>
      <w:r>
        <w:rPr>
          <w:rFonts w:ascii="宋体" w:hAnsi="宋体" w:eastAsia="宋体" w:cs="宋体"/>
          <w:spacing w:val="-19"/>
          <w:w w:val="98"/>
          <w:position w:val="9"/>
          <w:sz w:val="11"/>
          <w:szCs w:val="11"/>
        </w:rPr>
        <w:t>［</w:t>
      </w:r>
      <w:r>
        <w:rPr>
          <w:rFonts w:ascii="微软雅黑" w:hAnsi="微软雅黑" w:eastAsia="微软雅黑" w:cs="微软雅黑"/>
          <w:spacing w:val="-19"/>
          <w:w w:val="98"/>
          <w:position w:val="9"/>
          <w:sz w:val="11"/>
          <w:szCs w:val="11"/>
        </w:rPr>
        <w:t>11</w:t>
      </w:r>
      <w:r>
        <w:rPr>
          <w:rFonts w:ascii="宋体" w:hAnsi="宋体" w:eastAsia="宋体" w:cs="宋体"/>
          <w:spacing w:val="-17"/>
          <w:position w:val="9"/>
          <w:sz w:val="11"/>
          <w:szCs w:val="11"/>
        </w:rPr>
        <w:t>］</w:t>
      </w:r>
      <w:r>
        <w:rPr>
          <w:rFonts w:ascii="宋体" w:hAnsi="宋体" w:eastAsia="宋体" w:cs="宋体"/>
          <w:spacing w:val="-34"/>
          <w:w w:val="71"/>
          <w:sz w:val="20"/>
          <w:szCs w:val="20"/>
        </w:rPr>
        <w:t>，</w:t>
      </w:r>
      <w:r>
        <w:rPr>
          <w:rFonts w:ascii="宋体" w:hAnsi="宋体" w:eastAsia="宋体" w:cs="宋体"/>
          <w:spacing w:val="-19"/>
          <w:w w:val="98"/>
          <w:sz w:val="20"/>
          <w:szCs w:val="20"/>
        </w:rPr>
        <w:t>优化</w:t>
      </w:r>
      <w:r>
        <w:rPr>
          <w:rFonts w:ascii="宋体" w:hAnsi="宋体" w:eastAsia="宋体" w:cs="宋体"/>
          <w:sz w:val="20"/>
          <w:szCs w:val="20"/>
        </w:rPr>
        <w:t xml:space="preserve"> </w:t>
      </w:r>
      <w:r>
        <w:rPr>
          <w:rFonts w:ascii="宋体" w:hAnsi="宋体" w:eastAsia="宋体" w:cs="宋体"/>
          <w:spacing w:val="-19"/>
          <w:sz w:val="20"/>
          <w:szCs w:val="20"/>
        </w:rPr>
        <w:t>质量管理的制度体系</w:t>
      </w:r>
      <w:r>
        <w:rPr>
          <w:rFonts w:ascii="宋体" w:hAnsi="宋体" w:eastAsia="宋体" w:cs="宋体"/>
          <w:spacing w:val="-19"/>
          <w:position w:val="1"/>
          <w:sz w:val="20"/>
          <w:szCs w:val="20"/>
        </w:rPr>
        <w:t>，</w:t>
      </w:r>
      <w:r>
        <w:rPr>
          <w:rFonts w:ascii="宋体" w:hAnsi="宋体" w:eastAsia="宋体" w:cs="宋体"/>
          <w:spacing w:val="-19"/>
          <w:sz w:val="20"/>
          <w:szCs w:val="20"/>
        </w:rPr>
        <w:t>才能促进教育质量管理效能的提</w:t>
      </w:r>
      <w:r>
        <w:rPr>
          <w:rFonts w:ascii="宋体" w:hAnsi="宋体" w:eastAsia="宋体" w:cs="宋体"/>
          <w:spacing w:val="-20"/>
          <w:sz w:val="20"/>
          <w:szCs w:val="20"/>
        </w:rPr>
        <w:t>升</w:t>
      </w:r>
      <w:r>
        <w:rPr>
          <w:rFonts w:ascii="微软雅黑" w:hAnsi="微软雅黑" w:eastAsia="微软雅黑" w:cs="微软雅黑"/>
          <w:spacing w:val="-20"/>
          <w:position w:val="1"/>
          <w:sz w:val="20"/>
          <w:szCs w:val="20"/>
        </w:rPr>
        <w:t>。</w:t>
      </w:r>
      <w:r>
        <w:rPr>
          <w:rFonts w:ascii="微软雅黑" w:hAnsi="微软雅黑" w:eastAsia="微软雅黑" w:cs="微软雅黑"/>
          <w:position w:val="1"/>
          <w:sz w:val="20"/>
          <w:szCs w:val="20"/>
        </w:rPr>
        <w:t xml:space="preserve"> </w:t>
      </w:r>
      <w:r>
        <w:rPr>
          <w:rFonts w:ascii="宋体" w:hAnsi="宋体" w:eastAsia="宋体" w:cs="宋体"/>
          <w:spacing w:val="-15"/>
          <w:sz w:val="20"/>
          <w:szCs w:val="20"/>
        </w:rPr>
        <w:t>地方高校质量文化建设要重点把握好质量管理与保</w:t>
      </w:r>
      <w:r>
        <w:rPr>
          <w:rFonts w:ascii="宋体" w:hAnsi="宋体" w:eastAsia="宋体" w:cs="宋体"/>
          <w:spacing w:val="-16"/>
          <w:sz w:val="20"/>
          <w:szCs w:val="20"/>
        </w:rPr>
        <w:t>障体系</w:t>
      </w:r>
      <w:r>
        <w:rPr>
          <w:rFonts w:ascii="宋体" w:hAnsi="宋体" w:eastAsia="宋体" w:cs="宋体"/>
          <w:sz w:val="20"/>
          <w:szCs w:val="20"/>
        </w:rPr>
        <w:t xml:space="preserve">  </w:t>
      </w:r>
      <w:r>
        <w:rPr>
          <w:rFonts w:ascii="宋体" w:hAnsi="宋体" w:eastAsia="宋体" w:cs="宋体"/>
          <w:spacing w:val="-20"/>
          <w:w w:val="97"/>
          <w:sz w:val="20"/>
          <w:szCs w:val="20"/>
        </w:rPr>
        <w:t>中的师生关系</w:t>
      </w:r>
      <w:r>
        <w:rPr>
          <w:rFonts w:ascii="宋体" w:hAnsi="宋体" w:eastAsia="宋体" w:cs="宋体"/>
          <w:spacing w:val="-20"/>
          <w:w w:val="97"/>
          <w:position w:val="1"/>
          <w:sz w:val="20"/>
          <w:szCs w:val="20"/>
        </w:rPr>
        <w:t>，</w:t>
      </w:r>
      <w:r>
        <w:rPr>
          <w:rFonts w:ascii="宋体" w:hAnsi="宋体" w:eastAsia="宋体" w:cs="宋体"/>
          <w:spacing w:val="-20"/>
          <w:w w:val="97"/>
          <w:sz w:val="20"/>
          <w:szCs w:val="20"/>
        </w:rPr>
        <w:t>以构筑质量文化建设良好</w:t>
      </w:r>
      <w:r>
        <w:rPr>
          <w:rFonts w:ascii="微软雅黑" w:hAnsi="微软雅黑" w:eastAsia="微软雅黑" w:cs="微软雅黑"/>
          <w:spacing w:val="-20"/>
          <w:w w:val="97"/>
          <w:position w:val="1"/>
          <w:sz w:val="20"/>
          <w:szCs w:val="20"/>
        </w:rPr>
        <w:t>、</w:t>
      </w:r>
      <w:r>
        <w:rPr>
          <w:rFonts w:ascii="宋体" w:hAnsi="宋体" w:eastAsia="宋体" w:cs="宋体"/>
          <w:spacing w:val="-21"/>
          <w:w w:val="97"/>
          <w:sz w:val="20"/>
          <w:szCs w:val="20"/>
        </w:rPr>
        <w:t>和谐生态环境</w:t>
      </w:r>
      <w:r>
        <w:rPr>
          <w:rFonts w:ascii="微软雅黑" w:hAnsi="微软雅黑" w:eastAsia="微软雅黑" w:cs="微软雅黑"/>
          <w:spacing w:val="-21"/>
          <w:w w:val="97"/>
          <w:position w:val="1"/>
          <w:sz w:val="20"/>
          <w:szCs w:val="20"/>
        </w:rPr>
        <w:t>。</w:t>
      </w:r>
    </w:p>
    <w:p>
      <w:pPr>
        <w:spacing w:before="63" w:line="184" w:lineRule="auto"/>
        <w:ind w:left="1084"/>
        <w:rPr>
          <w:rFonts w:ascii="宋体" w:hAnsi="宋体" w:eastAsia="宋体" w:cs="宋体"/>
          <w:sz w:val="20"/>
          <w:szCs w:val="20"/>
        </w:rPr>
      </w:pPr>
      <w:r>
        <w:rPr>
          <w:rFonts w:ascii="微软雅黑" w:hAnsi="微软雅黑" w:eastAsia="微软雅黑" w:cs="微软雅黑"/>
          <w:spacing w:val="-28"/>
          <w:sz w:val="20"/>
          <w:szCs w:val="20"/>
        </w:rPr>
        <w:t>3．</w:t>
      </w:r>
      <w:r>
        <w:rPr>
          <w:rFonts w:ascii="宋体" w:hAnsi="宋体" w:eastAsia="宋体" w:cs="宋体"/>
          <w:spacing w:val="-28"/>
          <w:sz w:val="20"/>
          <w:szCs w:val="20"/>
        </w:rPr>
        <w:t>崇尚质量的校园氛围</w:t>
      </w:r>
    </w:p>
    <w:p>
      <w:pPr>
        <w:spacing w:before="47" w:line="231" w:lineRule="auto"/>
        <w:ind w:left="731" w:right="267" w:firstLine="363"/>
        <w:rPr>
          <w:rFonts w:ascii="微软雅黑" w:hAnsi="微软雅黑" w:eastAsia="微软雅黑" w:cs="微软雅黑"/>
          <w:sz w:val="20"/>
          <w:szCs w:val="20"/>
        </w:rPr>
      </w:pPr>
      <w:r>
        <w:rPr>
          <w:rFonts w:ascii="宋体" w:hAnsi="宋体" w:eastAsia="宋体" w:cs="宋体"/>
          <w:spacing w:val="-19"/>
          <w:w w:val="98"/>
          <w:sz w:val="20"/>
          <w:szCs w:val="20"/>
        </w:rPr>
        <w:t>大学质量文化是校园文化的重要组成部分</w:t>
      </w:r>
      <w:r>
        <w:rPr>
          <w:rFonts w:ascii="宋体" w:hAnsi="宋体" w:eastAsia="宋体" w:cs="宋体"/>
          <w:spacing w:val="-19"/>
          <w:w w:val="98"/>
          <w:position w:val="1"/>
          <w:sz w:val="20"/>
          <w:szCs w:val="20"/>
        </w:rPr>
        <w:t>，</w:t>
      </w:r>
      <w:r>
        <w:rPr>
          <w:rFonts w:ascii="宋体" w:hAnsi="宋体" w:eastAsia="宋体" w:cs="宋体"/>
          <w:spacing w:val="-19"/>
          <w:w w:val="98"/>
          <w:sz w:val="20"/>
          <w:szCs w:val="20"/>
        </w:rPr>
        <w:t>质量文化建</w:t>
      </w:r>
      <w:r>
        <w:rPr>
          <w:rFonts w:ascii="宋体" w:hAnsi="宋体" w:eastAsia="宋体" w:cs="宋体"/>
          <w:spacing w:val="18"/>
          <w:sz w:val="20"/>
          <w:szCs w:val="20"/>
        </w:rPr>
        <w:t xml:space="preserve"> </w:t>
      </w:r>
      <w:r>
        <w:rPr>
          <w:rFonts w:ascii="宋体" w:hAnsi="宋体" w:eastAsia="宋体" w:cs="宋体"/>
          <w:spacing w:val="-20"/>
          <w:w w:val="99"/>
          <w:sz w:val="20"/>
          <w:szCs w:val="20"/>
        </w:rPr>
        <w:t>设离不开崇尚质量校园氛围</w:t>
      </w:r>
      <w:r>
        <w:rPr>
          <w:rFonts w:ascii="微软雅黑" w:hAnsi="微软雅黑" w:eastAsia="微软雅黑" w:cs="微软雅黑"/>
          <w:spacing w:val="-20"/>
          <w:w w:val="99"/>
          <w:position w:val="1"/>
          <w:sz w:val="20"/>
          <w:szCs w:val="20"/>
        </w:rPr>
        <w:t>。</w:t>
      </w:r>
      <w:r>
        <w:rPr>
          <w:rFonts w:ascii="宋体" w:hAnsi="宋体" w:eastAsia="宋体" w:cs="宋体"/>
          <w:spacing w:val="-20"/>
          <w:w w:val="99"/>
          <w:sz w:val="20"/>
          <w:szCs w:val="20"/>
        </w:rPr>
        <w:t>崇尚质量校园氛围体现在物质</w:t>
      </w:r>
      <w:r>
        <w:rPr>
          <w:rFonts w:ascii="宋体" w:hAnsi="宋体" w:eastAsia="宋体" w:cs="宋体"/>
          <w:spacing w:val="1"/>
          <w:sz w:val="20"/>
          <w:szCs w:val="20"/>
        </w:rPr>
        <w:t xml:space="preserve"> </w:t>
      </w:r>
      <w:r>
        <w:rPr>
          <w:rFonts w:ascii="宋体" w:hAnsi="宋体" w:eastAsia="宋体" w:cs="宋体"/>
          <w:spacing w:val="-21"/>
          <w:w w:val="96"/>
          <w:sz w:val="20"/>
          <w:szCs w:val="20"/>
        </w:rPr>
        <w:t>与精神层面</w:t>
      </w:r>
      <w:r>
        <w:rPr>
          <w:rFonts w:ascii="宋体" w:hAnsi="宋体" w:eastAsia="宋体" w:cs="宋体"/>
          <w:spacing w:val="-21"/>
          <w:w w:val="96"/>
          <w:position w:val="1"/>
          <w:sz w:val="20"/>
          <w:szCs w:val="20"/>
        </w:rPr>
        <w:t>，</w:t>
      </w:r>
      <w:r>
        <w:rPr>
          <w:rFonts w:ascii="宋体" w:hAnsi="宋体" w:eastAsia="宋体" w:cs="宋体"/>
          <w:spacing w:val="-21"/>
          <w:w w:val="96"/>
          <w:sz w:val="20"/>
          <w:szCs w:val="20"/>
        </w:rPr>
        <w:t>例如</w:t>
      </w:r>
      <w:r>
        <w:rPr>
          <w:rFonts w:ascii="宋体" w:hAnsi="宋体" w:eastAsia="宋体" w:cs="宋体"/>
          <w:spacing w:val="-21"/>
          <w:w w:val="96"/>
          <w:position w:val="1"/>
          <w:sz w:val="20"/>
          <w:szCs w:val="20"/>
        </w:rPr>
        <w:t>，</w:t>
      </w:r>
      <w:r>
        <w:rPr>
          <w:rFonts w:ascii="宋体" w:hAnsi="宋体" w:eastAsia="宋体" w:cs="宋体"/>
          <w:spacing w:val="-21"/>
          <w:w w:val="96"/>
          <w:sz w:val="20"/>
          <w:szCs w:val="20"/>
        </w:rPr>
        <w:t>崇尚教育教学质量的校园景观标识</w:t>
      </w:r>
      <w:r>
        <w:rPr>
          <w:rFonts w:ascii="微软雅黑" w:hAnsi="微软雅黑" w:eastAsia="微软雅黑" w:cs="微软雅黑"/>
          <w:spacing w:val="-21"/>
          <w:w w:val="96"/>
          <w:position w:val="1"/>
          <w:sz w:val="20"/>
          <w:szCs w:val="20"/>
        </w:rPr>
        <w:t>、</w:t>
      </w:r>
      <w:r>
        <w:rPr>
          <w:rFonts w:ascii="宋体" w:hAnsi="宋体" w:eastAsia="宋体" w:cs="宋体"/>
          <w:spacing w:val="-21"/>
          <w:w w:val="96"/>
          <w:sz w:val="20"/>
          <w:szCs w:val="20"/>
        </w:rPr>
        <w:t>宣传</w:t>
      </w:r>
      <w:r>
        <w:rPr>
          <w:rFonts w:ascii="宋体" w:hAnsi="宋体" w:eastAsia="宋体" w:cs="宋体"/>
          <w:spacing w:val="13"/>
          <w:sz w:val="20"/>
          <w:szCs w:val="20"/>
        </w:rPr>
        <w:t xml:space="preserve"> </w:t>
      </w:r>
      <w:r>
        <w:rPr>
          <w:rFonts w:ascii="宋体" w:hAnsi="宋体" w:eastAsia="宋体" w:cs="宋体"/>
          <w:spacing w:val="-21"/>
          <w:w w:val="97"/>
          <w:sz w:val="20"/>
          <w:szCs w:val="20"/>
        </w:rPr>
        <w:t>条幅</w:t>
      </w:r>
      <w:r>
        <w:rPr>
          <w:rFonts w:ascii="微软雅黑" w:hAnsi="微软雅黑" w:eastAsia="微软雅黑" w:cs="微软雅黑"/>
          <w:spacing w:val="-21"/>
          <w:w w:val="97"/>
          <w:position w:val="1"/>
          <w:sz w:val="20"/>
          <w:szCs w:val="20"/>
        </w:rPr>
        <w:t>、</w:t>
      </w:r>
      <w:r>
        <w:rPr>
          <w:rFonts w:ascii="宋体" w:hAnsi="宋体" w:eastAsia="宋体" w:cs="宋体"/>
          <w:spacing w:val="-21"/>
          <w:w w:val="97"/>
          <w:sz w:val="20"/>
          <w:szCs w:val="20"/>
        </w:rPr>
        <w:t>警示图片</w:t>
      </w:r>
      <w:r>
        <w:rPr>
          <w:rFonts w:ascii="宋体" w:hAnsi="宋体" w:eastAsia="宋体" w:cs="宋体"/>
          <w:spacing w:val="-21"/>
          <w:w w:val="97"/>
          <w:position w:val="1"/>
          <w:sz w:val="20"/>
          <w:szCs w:val="20"/>
        </w:rPr>
        <w:t>;</w:t>
      </w:r>
      <w:r>
        <w:rPr>
          <w:rFonts w:ascii="宋体" w:hAnsi="宋体" w:eastAsia="宋体" w:cs="宋体"/>
          <w:spacing w:val="-45"/>
          <w:position w:val="1"/>
          <w:sz w:val="20"/>
          <w:szCs w:val="20"/>
        </w:rPr>
        <w:t xml:space="preserve"> </w:t>
      </w:r>
      <w:r>
        <w:rPr>
          <w:rFonts w:ascii="宋体" w:hAnsi="宋体" w:eastAsia="宋体" w:cs="宋体"/>
          <w:spacing w:val="-21"/>
          <w:w w:val="97"/>
          <w:sz w:val="20"/>
          <w:szCs w:val="20"/>
        </w:rPr>
        <w:t>教职员工以及学生对教育教学质量的心理认</w:t>
      </w:r>
      <w:r>
        <w:rPr>
          <w:rFonts w:ascii="宋体" w:hAnsi="宋体" w:eastAsia="宋体" w:cs="宋体"/>
          <w:sz w:val="20"/>
          <w:szCs w:val="20"/>
        </w:rPr>
        <w:t xml:space="preserve"> </w:t>
      </w:r>
      <w:r>
        <w:rPr>
          <w:rFonts w:ascii="宋体" w:hAnsi="宋体" w:eastAsia="宋体" w:cs="宋体"/>
          <w:spacing w:val="-20"/>
          <w:sz w:val="20"/>
          <w:szCs w:val="20"/>
        </w:rPr>
        <w:t>同以及体现出来的教风与学风</w:t>
      </w:r>
      <w:r>
        <w:rPr>
          <w:rFonts w:ascii="宋体" w:hAnsi="宋体" w:eastAsia="宋体" w:cs="宋体"/>
          <w:spacing w:val="-20"/>
          <w:position w:val="1"/>
          <w:sz w:val="20"/>
          <w:szCs w:val="20"/>
        </w:rPr>
        <w:t>;</w:t>
      </w:r>
      <w:r>
        <w:rPr>
          <w:rFonts w:ascii="宋体" w:hAnsi="宋体" w:eastAsia="宋体" w:cs="宋体"/>
          <w:spacing w:val="-47"/>
          <w:position w:val="1"/>
          <w:sz w:val="20"/>
          <w:szCs w:val="20"/>
        </w:rPr>
        <w:t xml:space="preserve"> </w:t>
      </w:r>
      <w:r>
        <w:rPr>
          <w:rFonts w:ascii="宋体" w:hAnsi="宋体" w:eastAsia="宋体" w:cs="宋体"/>
          <w:spacing w:val="-20"/>
          <w:sz w:val="20"/>
          <w:szCs w:val="20"/>
        </w:rPr>
        <w:t>学校在日常活动与</w:t>
      </w:r>
      <w:r>
        <w:rPr>
          <w:rFonts w:ascii="宋体" w:hAnsi="宋体" w:eastAsia="宋体" w:cs="宋体"/>
          <w:spacing w:val="-21"/>
          <w:sz w:val="20"/>
          <w:szCs w:val="20"/>
        </w:rPr>
        <w:t>处理事务</w:t>
      </w:r>
      <w:r>
        <w:rPr>
          <w:rFonts w:ascii="宋体" w:hAnsi="宋体" w:eastAsia="宋体" w:cs="宋体"/>
          <w:sz w:val="20"/>
          <w:szCs w:val="20"/>
        </w:rPr>
        <w:t xml:space="preserve"> </w:t>
      </w:r>
      <w:r>
        <w:rPr>
          <w:rFonts w:ascii="宋体" w:hAnsi="宋体" w:eastAsia="宋体" w:cs="宋体"/>
          <w:spacing w:val="-21"/>
          <w:w w:val="96"/>
          <w:sz w:val="20"/>
          <w:szCs w:val="20"/>
        </w:rPr>
        <w:t>过程中的</w:t>
      </w:r>
      <w:r>
        <w:rPr>
          <w:rFonts w:ascii="微软雅黑" w:hAnsi="微软雅黑" w:eastAsia="微软雅黑" w:cs="微软雅黑"/>
          <w:spacing w:val="-21"/>
          <w:w w:val="96"/>
          <w:sz w:val="20"/>
          <w:szCs w:val="20"/>
        </w:rPr>
        <w:t>“</w:t>
      </w:r>
      <w:r>
        <w:rPr>
          <w:rFonts w:ascii="宋体" w:hAnsi="宋体" w:eastAsia="宋体" w:cs="宋体"/>
          <w:spacing w:val="-21"/>
          <w:w w:val="96"/>
          <w:sz w:val="20"/>
          <w:szCs w:val="20"/>
        </w:rPr>
        <w:t>以生为本</w:t>
      </w:r>
      <w:r>
        <w:rPr>
          <w:rFonts w:ascii="微软雅黑" w:hAnsi="微软雅黑" w:eastAsia="微软雅黑" w:cs="微软雅黑"/>
          <w:spacing w:val="-21"/>
          <w:w w:val="96"/>
          <w:sz w:val="20"/>
          <w:szCs w:val="20"/>
        </w:rPr>
        <w:t>”</w:t>
      </w:r>
      <w:r>
        <w:rPr>
          <w:rFonts w:ascii="宋体" w:hAnsi="宋体" w:eastAsia="宋体" w:cs="宋体"/>
          <w:spacing w:val="-21"/>
          <w:w w:val="96"/>
          <w:sz w:val="20"/>
          <w:szCs w:val="20"/>
        </w:rPr>
        <w:t>与</w:t>
      </w:r>
      <w:r>
        <w:rPr>
          <w:rFonts w:ascii="微软雅黑" w:hAnsi="微软雅黑" w:eastAsia="微软雅黑" w:cs="微软雅黑"/>
          <w:spacing w:val="-21"/>
          <w:w w:val="96"/>
          <w:sz w:val="20"/>
          <w:szCs w:val="20"/>
        </w:rPr>
        <w:t>“</w:t>
      </w:r>
      <w:r>
        <w:rPr>
          <w:rFonts w:ascii="宋体" w:hAnsi="宋体" w:eastAsia="宋体" w:cs="宋体"/>
          <w:spacing w:val="-21"/>
          <w:w w:val="96"/>
          <w:sz w:val="20"/>
          <w:szCs w:val="20"/>
        </w:rPr>
        <w:t>质量至上</w:t>
      </w:r>
      <w:r>
        <w:rPr>
          <w:rFonts w:ascii="微软雅黑" w:hAnsi="微软雅黑" w:eastAsia="微软雅黑" w:cs="微软雅黑"/>
          <w:spacing w:val="-21"/>
          <w:w w:val="96"/>
          <w:sz w:val="20"/>
          <w:szCs w:val="20"/>
        </w:rPr>
        <w:t>”</w:t>
      </w:r>
      <w:r>
        <w:rPr>
          <w:rFonts w:ascii="宋体" w:hAnsi="宋体" w:eastAsia="宋体" w:cs="宋体"/>
          <w:spacing w:val="-21"/>
          <w:w w:val="96"/>
          <w:sz w:val="20"/>
          <w:szCs w:val="20"/>
        </w:rPr>
        <w:t>理念以及体现出的对质</w:t>
      </w:r>
      <w:r>
        <w:rPr>
          <w:rFonts w:ascii="宋体" w:hAnsi="宋体" w:eastAsia="宋体" w:cs="宋体"/>
          <w:spacing w:val="12"/>
          <w:sz w:val="20"/>
          <w:szCs w:val="20"/>
        </w:rPr>
        <w:t xml:space="preserve"> </w:t>
      </w:r>
      <w:r>
        <w:rPr>
          <w:rFonts w:ascii="宋体" w:hAnsi="宋体" w:eastAsia="宋体" w:cs="宋体"/>
          <w:spacing w:val="-22"/>
          <w:sz w:val="20"/>
          <w:szCs w:val="20"/>
        </w:rPr>
        <w:t>量文化自觉维护态度</w:t>
      </w:r>
      <w:r>
        <w:rPr>
          <w:rFonts w:ascii="宋体" w:hAnsi="宋体" w:eastAsia="宋体" w:cs="宋体"/>
          <w:spacing w:val="-22"/>
          <w:position w:val="1"/>
          <w:sz w:val="20"/>
          <w:szCs w:val="20"/>
        </w:rPr>
        <w:t>，</w:t>
      </w:r>
      <w:r>
        <w:rPr>
          <w:rFonts w:ascii="宋体" w:hAnsi="宋体" w:eastAsia="宋体" w:cs="宋体"/>
          <w:spacing w:val="-22"/>
          <w:sz w:val="20"/>
          <w:szCs w:val="20"/>
        </w:rPr>
        <w:t>等等</w:t>
      </w:r>
      <w:r>
        <w:rPr>
          <w:rFonts w:ascii="微软雅黑" w:hAnsi="微软雅黑" w:eastAsia="微软雅黑" w:cs="微软雅黑"/>
          <w:spacing w:val="-22"/>
          <w:position w:val="1"/>
          <w:sz w:val="20"/>
          <w:szCs w:val="20"/>
        </w:rPr>
        <w:t>。</w:t>
      </w:r>
      <w:r>
        <w:rPr>
          <w:rFonts w:ascii="宋体" w:hAnsi="宋体" w:eastAsia="宋体" w:cs="宋体"/>
          <w:spacing w:val="-22"/>
          <w:sz w:val="20"/>
          <w:szCs w:val="20"/>
        </w:rPr>
        <w:t>崇尚质量的校园氛围不仅可以</w:t>
      </w:r>
      <w:r>
        <w:rPr>
          <w:rFonts w:ascii="宋体" w:hAnsi="宋体" w:eastAsia="宋体" w:cs="宋体"/>
          <w:spacing w:val="1"/>
          <w:sz w:val="20"/>
          <w:szCs w:val="20"/>
        </w:rPr>
        <w:t xml:space="preserve"> </w:t>
      </w:r>
      <w:r>
        <w:rPr>
          <w:rFonts w:ascii="宋体" w:hAnsi="宋体" w:eastAsia="宋体" w:cs="宋体"/>
          <w:spacing w:val="-21"/>
          <w:w w:val="96"/>
          <w:sz w:val="20"/>
          <w:szCs w:val="20"/>
        </w:rPr>
        <w:t>潜移默化地培育大学质量文化</w:t>
      </w:r>
      <w:r>
        <w:rPr>
          <w:rFonts w:ascii="宋体" w:hAnsi="宋体" w:eastAsia="宋体" w:cs="宋体"/>
          <w:spacing w:val="-21"/>
          <w:w w:val="96"/>
          <w:position w:val="1"/>
          <w:sz w:val="20"/>
          <w:szCs w:val="20"/>
        </w:rPr>
        <w:t>，</w:t>
      </w:r>
      <w:r>
        <w:rPr>
          <w:rFonts w:ascii="宋体" w:hAnsi="宋体" w:eastAsia="宋体" w:cs="宋体"/>
          <w:spacing w:val="-21"/>
          <w:w w:val="96"/>
          <w:sz w:val="20"/>
          <w:szCs w:val="20"/>
        </w:rPr>
        <w:t>还可以熏陶心灵</w:t>
      </w:r>
      <w:r>
        <w:rPr>
          <w:rFonts w:ascii="宋体" w:hAnsi="宋体" w:eastAsia="宋体" w:cs="宋体"/>
          <w:spacing w:val="-21"/>
          <w:w w:val="96"/>
          <w:position w:val="1"/>
          <w:sz w:val="20"/>
          <w:szCs w:val="20"/>
        </w:rPr>
        <w:t>，</w:t>
      </w:r>
      <w:r>
        <w:rPr>
          <w:rFonts w:ascii="宋体" w:hAnsi="宋体" w:eastAsia="宋体" w:cs="宋体"/>
          <w:spacing w:val="-21"/>
          <w:w w:val="96"/>
          <w:sz w:val="20"/>
          <w:szCs w:val="20"/>
        </w:rPr>
        <w:t>将大学质量</w:t>
      </w:r>
      <w:r>
        <w:rPr>
          <w:rFonts w:ascii="宋体" w:hAnsi="宋体" w:eastAsia="宋体" w:cs="宋体"/>
          <w:spacing w:val="13"/>
          <w:sz w:val="20"/>
          <w:szCs w:val="20"/>
        </w:rPr>
        <w:t xml:space="preserve"> </w:t>
      </w:r>
      <w:r>
        <w:rPr>
          <w:rFonts w:ascii="宋体" w:hAnsi="宋体" w:eastAsia="宋体" w:cs="宋体"/>
          <w:spacing w:val="-22"/>
          <w:sz w:val="20"/>
          <w:szCs w:val="20"/>
        </w:rPr>
        <w:t>文化的精髓内化为行为的自觉</w:t>
      </w:r>
      <w:r>
        <w:rPr>
          <w:rFonts w:ascii="宋体" w:hAnsi="宋体" w:eastAsia="宋体" w:cs="宋体"/>
          <w:spacing w:val="-22"/>
          <w:position w:val="1"/>
          <w:sz w:val="20"/>
          <w:szCs w:val="20"/>
        </w:rPr>
        <w:t>，</w:t>
      </w:r>
      <w:r>
        <w:rPr>
          <w:rFonts w:ascii="宋体" w:hAnsi="宋体" w:eastAsia="宋体" w:cs="宋体"/>
          <w:spacing w:val="-22"/>
          <w:sz w:val="20"/>
          <w:szCs w:val="20"/>
        </w:rPr>
        <w:t>产生极为深远的影响</w:t>
      </w:r>
      <w:r>
        <w:rPr>
          <w:rFonts w:ascii="微软雅黑" w:hAnsi="微软雅黑" w:eastAsia="微软雅黑" w:cs="微软雅黑"/>
          <w:spacing w:val="-22"/>
          <w:position w:val="1"/>
          <w:sz w:val="20"/>
          <w:szCs w:val="20"/>
        </w:rPr>
        <w:t>。</w:t>
      </w:r>
      <w:r>
        <w:rPr>
          <w:rFonts w:ascii="宋体" w:hAnsi="宋体" w:eastAsia="宋体" w:cs="宋体"/>
          <w:spacing w:val="-22"/>
          <w:sz w:val="20"/>
          <w:szCs w:val="20"/>
        </w:rPr>
        <w:t>地方</w:t>
      </w:r>
      <w:r>
        <w:rPr>
          <w:rFonts w:ascii="宋体" w:hAnsi="宋体" w:eastAsia="宋体" w:cs="宋体"/>
          <w:spacing w:val="2"/>
          <w:sz w:val="20"/>
          <w:szCs w:val="20"/>
        </w:rPr>
        <w:t xml:space="preserve"> </w:t>
      </w:r>
      <w:r>
        <w:rPr>
          <w:rFonts w:ascii="宋体" w:hAnsi="宋体" w:eastAsia="宋体" w:cs="宋体"/>
          <w:spacing w:val="-19"/>
          <w:w w:val="95"/>
          <w:sz w:val="20"/>
          <w:szCs w:val="20"/>
        </w:rPr>
        <w:t>高校的本科教育大多脱胎于专科</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高职教育</w:t>
      </w:r>
      <w:r>
        <w:rPr>
          <w:rFonts w:ascii="宋体" w:hAnsi="宋体" w:eastAsia="宋体" w:cs="宋体"/>
          <w:spacing w:val="-19"/>
          <w:w w:val="95"/>
          <w:position w:val="1"/>
          <w:sz w:val="20"/>
          <w:szCs w:val="20"/>
        </w:rPr>
        <w:t>，</w:t>
      </w:r>
      <w:r>
        <w:rPr>
          <w:rFonts w:ascii="宋体" w:hAnsi="宋体" w:eastAsia="宋体" w:cs="宋体"/>
          <w:spacing w:val="-19"/>
          <w:w w:val="95"/>
          <w:sz w:val="20"/>
          <w:szCs w:val="20"/>
        </w:rPr>
        <w:t>尤其需要营造深</w:t>
      </w:r>
      <w:r>
        <w:rPr>
          <w:rFonts w:ascii="宋体" w:hAnsi="宋体" w:eastAsia="宋体" w:cs="宋体"/>
          <w:spacing w:val="13"/>
          <w:sz w:val="20"/>
          <w:szCs w:val="20"/>
        </w:rPr>
        <w:t xml:space="preserve"> </w:t>
      </w:r>
      <w:r>
        <w:rPr>
          <w:rFonts w:ascii="宋体" w:hAnsi="宋体" w:eastAsia="宋体" w:cs="宋体"/>
          <w:spacing w:val="-21"/>
          <w:w w:val="97"/>
          <w:sz w:val="20"/>
          <w:szCs w:val="20"/>
        </w:rPr>
        <w:t>厚的崇尚质量的校园氛围</w:t>
      </w:r>
      <w:r>
        <w:rPr>
          <w:rFonts w:ascii="宋体" w:hAnsi="宋体" w:eastAsia="宋体" w:cs="宋体"/>
          <w:spacing w:val="-21"/>
          <w:w w:val="97"/>
          <w:position w:val="1"/>
          <w:sz w:val="20"/>
          <w:szCs w:val="20"/>
        </w:rPr>
        <w:t>，</w:t>
      </w:r>
      <w:r>
        <w:rPr>
          <w:rFonts w:ascii="宋体" w:hAnsi="宋体" w:eastAsia="宋体" w:cs="宋体"/>
          <w:spacing w:val="-21"/>
          <w:w w:val="97"/>
          <w:sz w:val="20"/>
          <w:szCs w:val="20"/>
        </w:rPr>
        <w:t>以促进大学质量文化的养成</w:t>
      </w:r>
      <w:r>
        <w:rPr>
          <w:rFonts w:ascii="微软雅黑" w:hAnsi="微软雅黑" w:eastAsia="微软雅黑" w:cs="微软雅黑"/>
          <w:spacing w:val="-21"/>
          <w:w w:val="97"/>
          <w:position w:val="1"/>
          <w:sz w:val="20"/>
          <w:szCs w:val="20"/>
        </w:rPr>
        <w:t>。</w:t>
      </w:r>
    </w:p>
    <w:p>
      <w:pPr>
        <w:spacing w:before="61" w:line="185" w:lineRule="auto"/>
        <w:ind w:left="1078"/>
        <w:rPr>
          <w:rFonts w:ascii="宋体" w:hAnsi="宋体" w:eastAsia="宋体" w:cs="宋体"/>
          <w:sz w:val="20"/>
          <w:szCs w:val="20"/>
        </w:rPr>
      </w:pPr>
      <w:r>
        <w:rPr>
          <w:rFonts w:ascii="微软雅黑" w:hAnsi="微软雅黑" w:eastAsia="微软雅黑" w:cs="微软雅黑"/>
          <w:spacing w:val="-21"/>
          <w:w w:val="97"/>
          <w:sz w:val="20"/>
          <w:szCs w:val="20"/>
        </w:rPr>
        <w:t>4．</w:t>
      </w:r>
      <w:r>
        <w:rPr>
          <w:rFonts w:ascii="宋体" w:hAnsi="宋体" w:eastAsia="宋体" w:cs="宋体"/>
          <w:spacing w:val="-21"/>
          <w:w w:val="97"/>
          <w:sz w:val="20"/>
          <w:szCs w:val="20"/>
        </w:rPr>
        <w:t>高校的外部评价机制</w:t>
      </w:r>
    </w:p>
    <w:p>
      <w:pPr>
        <w:spacing w:before="52" w:line="195" w:lineRule="exact"/>
        <w:ind w:left="1094"/>
        <w:rPr>
          <w:rFonts w:ascii="宋体" w:hAnsi="宋体" w:eastAsia="宋体" w:cs="宋体"/>
          <w:sz w:val="20"/>
          <w:szCs w:val="20"/>
        </w:rPr>
      </w:pPr>
      <w:r>
        <w:rPr>
          <w:rFonts w:ascii="宋体" w:hAnsi="宋体" w:eastAsia="宋体" w:cs="宋体"/>
          <w:spacing w:val="-19"/>
          <w:position w:val="-1"/>
          <w:sz w:val="20"/>
          <w:szCs w:val="20"/>
        </w:rPr>
        <w:t>我国的高校评价产生于</w:t>
      </w:r>
      <w:r>
        <w:rPr>
          <w:rFonts w:ascii="宋体" w:hAnsi="宋体" w:eastAsia="宋体" w:cs="宋体"/>
          <w:spacing w:val="-39"/>
          <w:position w:val="-1"/>
          <w:sz w:val="20"/>
          <w:szCs w:val="20"/>
        </w:rPr>
        <w:t xml:space="preserve"> </w:t>
      </w:r>
      <w:r>
        <w:rPr>
          <w:rFonts w:ascii="微软雅黑" w:hAnsi="微软雅黑" w:eastAsia="微软雅黑" w:cs="微软雅黑"/>
          <w:spacing w:val="-19"/>
          <w:position w:val="-1"/>
          <w:sz w:val="20"/>
          <w:szCs w:val="20"/>
        </w:rPr>
        <w:t xml:space="preserve">20 </w:t>
      </w:r>
      <w:r>
        <w:rPr>
          <w:rFonts w:ascii="宋体" w:hAnsi="宋体" w:eastAsia="宋体" w:cs="宋体"/>
          <w:spacing w:val="-19"/>
          <w:position w:val="-1"/>
          <w:sz w:val="20"/>
          <w:szCs w:val="20"/>
        </w:rPr>
        <w:t>世纪末高等教育规模扩张环</w:t>
      </w:r>
    </w:p>
    <w:p>
      <w:pPr>
        <w:spacing w:line="14" w:lineRule="auto"/>
        <w:rPr>
          <w:rFonts w:ascii="Arial"/>
          <w:sz w:val="2"/>
        </w:rPr>
      </w:pPr>
      <w:r>
        <w:rPr>
          <w:rFonts w:ascii="Arial" w:hAnsi="Arial" w:eastAsia="Arial" w:cs="Arial"/>
          <w:sz w:val="2"/>
          <w:szCs w:val="2"/>
        </w:rPr>
        <w:br w:type="column"/>
      </w:r>
    </w:p>
    <w:p>
      <w:pPr>
        <w:spacing w:before="33" w:line="226" w:lineRule="auto"/>
        <w:ind w:right="48" w:firstLine="1"/>
        <w:jc w:val="both"/>
        <w:rPr>
          <w:rFonts w:ascii="微软雅黑" w:hAnsi="微软雅黑" w:eastAsia="微软雅黑" w:cs="微软雅黑"/>
          <w:sz w:val="20"/>
          <w:szCs w:val="20"/>
        </w:rPr>
      </w:pPr>
      <w:r>
        <w:rPr>
          <w:rFonts w:ascii="宋体" w:hAnsi="宋体" w:eastAsia="宋体" w:cs="宋体"/>
          <w:spacing w:val="-21"/>
          <w:w w:val="94"/>
          <w:sz w:val="20"/>
          <w:szCs w:val="20"/>
        </w:rPr>
        <w:t>境中，经过</w:t>
      </w:r>
      <w:r>
        <w:rPr>
          <w:rFonts w:ascii="宋体" w:hAnsi="宋体" w:eastAsia="宋体" w:cs="宋体"/>
          <w:spacing w:val="-57"/>
          <w:sz w:val="20"/>
          <w:szCs w:val="20"/>
        </w:rPr>
        <w:t xml:space="preserve"> </w:t>
      </w:r>
      <w:r>
        <w:rPr>
          <w:rFonts w:ascii="微软雅黑" w:hAnsi="微软雅黑" w:eastAsia="微软雅黑" w:cs="微软雅黑"/>
          <w:spacing w:val="-21"/>
          <w:w w:val="94"/>
          <w:sz w:val="20"/>
          <w:szCs w:val="20"/>
        </w:rPr>
        <w:t>20</w:t>
      </w:r>
      <w:r>
        <w:rPr>
          <w:rFonts w:ascii="微软雅黑" w:hAnsi="微软雅黑" w:eastAsia="微软雅黑" w:cs="微软雅黑"/>
          <w:spacing w:val="5"/>
          <w:sz w:val="20"/>
          <w:szCs w:val="20"/>
        </w:rPr>
        <w:t xml:space="preserve"> </w:t>
      </w:r>
      <w:r>
        <w:rPr>
          <w:rFonts w:ascii="宋体" w:hAnsi="宋体" w:eastAsia="宋体" w:cs="宋体"/>
          <w:spacing w:val="-21"/>
          <w:w w:val="94"/>
          <w:sz w:val="20"/>
          <w:szCs w:val="20"/>
        </w:rPr>
        <w:t>多年的不断完善，已形成官方</w:t>
      </w:r>
      <w:r>
        <w:rPr>
          <w:rFonts w:ascii="微软雅黑" w:hAnsi="微软雅黑" w:eastAsia="微软雅黑" w:cs="微软雅黑"/>
          <w:spacing w:val="-21"/>
          <w:w w:val="94"/>
          <w:sz w:val="20"/>
          <w:szCs w:val="20"/>
        </w:rPr>
        <w:t>、</w:t>
      </w:r>
      <w:r>
        <w:rPr>
          <w:rFonts w:ascii="宋体" w:hAnsi="宋体" w:eastAsia="宋体" w:cs="宋体"/>
          <w:spacing w:val="-21"/>
          <w:w w:val="94"/>
          <w:sz w:val="20"/>
          <w:szCs w:val="20"/>
        </w:rPr>
        <w:t>半官方和非官方</w:t>
      </w:r>
      <w:r>
        <w:rPr>
          <w:rFonts w:ascii="宋体" w:hAnsi="宋体" w:eastAsia="宋体" w:cs="宋体"/>
          <w:sz w:val="20"/>
          <w:szCs w:val="20"/>
        </w:rPr>
        <w:t xml:space="preserve"> </w:t>
      </w:r>
      <w:r>
        <w:rPr>
          <w:rFonts w:ascii="宋体" w:hAnsi="宋体" w:eastAsia="宋体" w:cs="宋体"/>
          <w:spacing w:val="-16"/>
          <w:w w:val="97"/>
          <w:sz w:val="20"/>
          <w:szCs w:val="20"/>
        </w:rPr>
        <w:t>等多元化评价主体的评价机制</w:t>
      </w:r>
      <w:r>
        <w:rPr>
          <w:rFonts w:ascii="微软雅黑" w:hAnsi="微软雅黑" w:eastAsia="微软雅黑" w:cs="微软雅黑"/>
          <w:spacing w:val="-16"/>
          <w:w w:val="97"/>
          <w:position w:val="1"/>
          <w:sz w:val="20"/>
          <w:szCs w:val="20"/>
        </w:rPr>
        <w:t>。</w:t>
      </w:r>
      <w:r>
        <w:rPr>
          <w:rFonts w:ascii="宋体" w:hAnsi="宋体" w:eastAsia="宋体" w:cs="宋体"/>
          <w:spacing w:val="-16"/>
          <w:w w:val="97"/>
          <w:sz w:val="20"/>
          <w:szCs w:val="20"/>
        </w:rPr>
        <w:t>高校评价制度影响着高校办</w:t>
      </w:r>
      <w:r>
        <w:rPr>
          <w:rFonts w:ascii="宋体" w:hAnsi="宋体" w:eastAsia="宋体" w:cs="宋体"/>
          <w:spacing w:val="1"/>
          <w:sz w:val="20"/>
          <w:szCs w:val="20"/>
        </w:rPr>
        <w:t xml:space="preserve"> </w:t>
      </w:r>
      <w:r>
        <w:rPr>
          <w:rFonts w:ascii="宋体" w:hAnsi="宋体" w:eastAsia="宋体" w:cs="宋体"/>
          <w:spacing w:val="-22"/>
          <w:sz w:val="20"/>
          <w:szCs w:val="20"/>
        </w:rPr>
        <w:t>学的社会声誉以及办学资源的获取</w:t>
      </w:r>
      <w:r>
        <w:rPr>
          <w:rFonts w:ascii="宋体" w:hAnsi="宋体" w:eastAsia="宋体" w:cs="宋体"/>
          <w:spacing w:val="-22"/>
          <w:position w:val="1"/>
          <w:sz w:val="20"/>
          <w:szCs w:val="20"/>
        </w:rPr>
        <w:t>，</w:t>
      </w:r>
      <w:r>
        <w:rPr>
          <w:rFonts w:ascii="宋体" w:hAnsi="宋体" w:eastAsia="宋体" w:cs="宋体"/>
          <w:spacing w:val="-22"/>
          <w:sz w:val="20"/>
          <w:szCs w:val="20"/>
        </w:rPr>
        <w:t>同时对高校质量文化建</w:t>
      </w:r>
      <w:r>
        <w:rPr>
          <w:rFonts w:ascii="宋体" w:hAnsi="宋体" w:eastAsia="宋体" w:cs="宋体"/>
          <w:spacing w:val="1"/>
          <w:sz w:val="20"/>
          <w:szCs w:val="20"/>
        </w:rPr>
        <w:t xml:space="preserve"> </w:t>
      </w:r>
      <w:r>
        <w:rPr>
          <w:rFonts w:ascii="宋体" w:hAnsi="宋体" w:eastAsia="宋体" w:cs="宋体"/>
          <w:spacing w:val="-19"/>
          <w:w w:val="95"/>
          <w:sz w:val="20"/>
          <w:szCs w:val="20"/>
        </w:rPr>
        <w:t>设具有重要影响</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不同评价主体针对大学科研</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本科教育</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学</w:t>
      </w:r>
      <w:r>
        <w:rPr>
          <w:rFonts w:ascii="宋体" w:hAnsi="宋体" w:eastAsia="宋体" w:cs="宋体"/>
          <w:spacing w:val="14"/>
          <w:sz w:val="20"/>
          <w:szCs w:val="20"/>
        </w:rPr>
        <w:t xml:space="preserve"> </w:t>
      </w:r>
      <w:r>
        <w:rPr>
          <w:rFonts w:ascii="宋体" w:hAnsi="宋体" w:eastAsia="宋体" w:cs="宋体"/>
          <w:spacing w:val="-20"/>
          <w:w w:val="99"/>
          <w:sz w:val="20"/>
          <w:szCs w:val="20"/>
        </w:rPr>
        <w:t>科建设</w:t>
      </w:r>
      <w:r>
        <w:rPr>
          <w:rFonts w:ascii="微软雅黑" w:hAnsi="微软雅黑" w:eastAsia="微软雅黑" w:cs="微软雅黑"/>
          <w:spacing w:val="-20"/>
          <w:w w:val="99"/>
          <w:position w:val="1"/>
          <w:sz w:val="20"/>
          <w:szCs w:val="20"/>
        </w:rPr>
        <w:t>、</w:t>
      </w:r>
      <w:r>
        <w:rPr>
          <w:rFonts w:ascii="宋体" w:hAnsi="宋体" w:eastAsia="宋体" w:cs="宋体"/>
          <w:spacing w:val="-20"/>
          <w:w w:val="99"/>
          <w:sz w:val="20"/>
          <w:szCs w:val="20"/>
        </w:rPr>
        <w:t>学位点等不同评价客体的评价标准以及由此产生的</w:t>
      </w:r>
      <w:r>
        <w:rPr>
          <w:rFonts w:ascii="宋体" w:hAnsi="宋体" w:eastAsia="宋体" w:cs="宋体"/>
          <w:sz w:val="20"/>
          <w:szCs w:val="20"/>
        </w:rPr>
        <w:t xml:space="preserve"> </w:t>
      </w:r>
      <w:r>
        <w:rPr>
          <w:rFonts w:ascii="宋体" w:hAnsi="宋体" w:eastAsia="宋体" w:cs="宋体"/>
          <w:spacing w:val="-17"/>
          <w:w w:val="94"/>
          <w:sz w:val="20"/>
          <w:szCs w:val="20"/>
        </w:rPr>
        <w:t>评价结果</w:t>
      </w:r>
      <w:r>
        <w:rPr>
          <w:rFonts w:ascii="宋体" w:hAnsi="宋体" w:eastAsia="宋体" w:cs="宋体"/>
          <w:spacing w:val="-17"/>
          <w:w w:val="94"/>
          <w:position w:val="1"/>
          <w:sz w:val="20"/>
          <w:szCs w:val="20"/>
        </w:rPr>
        <w:t>，</w:t>
      </w:r>
      <w:r>
        <w:rPr>
          <w:rFonts w:ascii="宋体" w:hAnsi="宋体" w:eastAsia="宋体" w:cs="宋体"/>
          <w:spacing w:val="-17"/>
          <w:w w:val="94"/>
          <w:sz w:val="20"/>
          <w:szCs w:val="20"/>
        </w:rPr>
        <w:t>会促使高校在质量意识</w:t>
      </w:r>
      <w:r>
        <w:rPr>
          <w:rFonts w:ascii="微软雅黑" w:hAnsi="微软雅黑" w:eastAsia="微软雅黑" w:cs="微软雅黑"/>
          <w:spacing w:val="-17"/>
          <w:w w:val="94"/>
          <w:position w:val="1"/>
          <w:sz w:val="20"/>
          <w:szCs w:val="20"/>
        </w:rPr>
        <w:t>、</w:t>
      </w:r>
      <w:r>
        <w:rPr>
          <w:rFonts w:ascii="宋体" w:hAnsi="宋体" w:eastAsia="宋体" w:cs="宋体"/>
          <w:spacing w:val="-17"/>
          <w:w w:val="94"/>
          <w:sz w:val="20"/>
          <w:szCs w:val="20"/>
        </w:rPr>
        <w:t>质量制度</w:t>
      </w:r>
      <w:r>
        <w:rPr>
          <w:rFonts w:ascii="微软雅黑" w:hAnsi="微软雅黑" w:eastAsia="微软雅黑" w:cs="微软雅黑"/>
          <w:spacing w:val="-17"/>
          <w:w w:val="94"/>
          <w:position w:val="1"/>
          <w:sz w:val="20"/>
          <w:szCs w:val="20"/>
        </w:rPr>
        <w:t>、</w:t>
      </w:r>
      <w:r>
        <w:rPr>
          <w:rFonts w:ascii="宋体" w:hAnsi="宋体" w:eastAsia="宋体" w:cs="宋体"/>
          <w:spacing w:val="-17"/>
          <w:w w:val="94"/>
          <w:sz w:val="20"/>
          <w:szCs w:val="20"/>
        </w:rPr>
        <w:t>行为规范等方</w:t>
      </w:r>
      <w:r>
        <w:rPr>
          <w:rFonts w:ascii="宋体" w:hAnsi="宋体" w:eastAsia="宋体" w:cs="宋体"/>
          <w:spacing w:val="13"/>
          <w:sz w:val="20"/>
          <w:szCs w:val="20"/>
        </w:rPr>
        <w:t xml:space="preserve"> </w:t>
      </w:r>
      <w:r>
        <w:rPr>
          <w:rFonts w:ascii="宋体" w:hAnsi="宋体" w:eastAsia="宋体" w:cs="宋体"/>
          <w:spacing w:val="-22"/>
          <w:sz w:val="20"/>
          <w:szCs w:val="20"/>
        </w:rPr>
        <w:t>面进行相应的调整</w:t>
      </w:r>
      <w:r>
        <w:rPr>
          <w:rFonts w:ascii="宋体" w:hAnsi="宋体" w:eastAsia="宋体" w:cs="宋体"/>
          <w:spacing w:val="-22"/>
          <w:position w:val="1"/>
          <w:sz w:val="20"/>
          <w:szCs w:val="20"/>
        </w:rPr>
        <w:t>，</w:t>
      </w:r>
      <w:r>
        <w:rPr>
          <w:rFonts w:ascii="宋体" w:hAnsi="宋体" w:eastAsia="宋体" w:cs="宋体"/>
          <w:spacing w:val="-22"/>
          <w:sz w:val="20"/>
          <w:szCs w:val="20"/>
        </w:rPr>
        <w:t>以切合高等教育改革与发展的大势</w:t>
      </w:r>
      <w:r>
        <w:rPr>
          <w:rFonts w:ascii="微软雅黑" w:hAnsi="微软雅黑" w:eastAsia="微软雅黑" w:cs="微软雅黑"/>
          <w:spacing w:val="-22"/>
          <w:position w:val="1"/>
          <w:sz w:val="20"/>
          <w:szCs w:val="20"/>
        </w:rPr>
        <w:t>。</w:t>
      </w:r>
      <w:r>
        <w:rPr>
          <w:rFonts w:ascii="宋体" w:hAnsi="宋体" w:eastAsia="宋体" w:cs="宋体"/>
          <w:spacing w:val="-22"/>
          <w:sz w:val="20"/>
          <w:szCs w:val="20"/>
        </w:rPr>
        <w:t>目</w:t>
      </w:r>
      <w:r>
        <w:rPr>
          <w:rFonts w:ascii="宋体" w:hAnsi="宋体" w:eastAsia="宋体" w:cs="宋体"/>
          <w:spacing w:val="3"/>
          <w:sz w:val="20"/>
          <w:szCs w:val="20"/>
        </w:rPr>
        <w:t xml:space="preserve"> </w:t>
      </w:r>
      <w:r>
        <w:rPr>
          <w:rFonts w:ascii="宋体" w:hAnsi="宋体" w:eastAsia="宋体" w:cs="宋体"/>
          <w:spacing w:val="-19"/>
          <w:w w:val="95"/>
          <w:sz w:val="20"/>
          <w:szCs w:val="20"/>
        </w:rPr>
        <w:t>前</w:t>
      </w:r>
      <w:r>
        <w:rPr>
          <w:rFonts w:ascii="宋体" w:hAnsi="宋体" w:eastAsia="宋体" w:cs="宋体"/>
          <w:spacing w:val="-19"/>
          <w:w w:val="95"/>
          <w:position w:val="1"/>
          <w:sz w:val="20"/>
          <w:szCs w:val="20"/>
        </w:rPr>
        <w:t>，</w:t>
      </w:r>
      <w:r>
        <w:rPr>
          <w:rFonts w:ascii="宋体" w:hAnsi="宋体" w:eastAsia="宋体" w:cs="宋体"/>
          <w:spacing w:val="-19"/>
          <w:w w:val="95"/>
          <w:sz w:val="20"/>
          <w:szCs w:val="20"/>
        </w:rPr>
        <w:t>我国的高校评价机制仍存在缺陷</w:t>
      </w:r>
      <w:r>
        <w:rPr>
          <w:rFonts w:ascii="宋体" w:hAnsi="宋体" w:eastAsia="宋体" w:cs="宋体"/>
          <w:spacing w:val="-19"/>
          <w:w w:val="95"/>
          <w:position w:val="1"/>
          <w:sz w:val="20"/>
          <w:szCs w:val="20"/>
        </w:rPr>
        <w:t>，</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在指标体系构建上具</w:t>
      </w:r>
      <w:r>
        <w:rPr>
          <w:rFonts w:ascii="宋体" w:hAnsi="宋体" w:eastAsia="宋体" w:cs="宋体"/>
          <w:spacing w:val="12"/>
          <w:sz w:val="20"/>
          <w:szCs w:val="20"/>
        </w:rPr>
        <w:t xml:space="preserve"> </w:t>
      </w:r>
      <w:r>
        <w:rPr>
          <w:rFonts w:ascii="宋体" w:hAnsi="宋体" w:eastAsia="宋体" w:cs="宋体"/>
          <w:spacing w:val="-16"/>
          <w:w w:val="95"/>
          <w:sz w:val="20"/>
          <w:szCs w:val="20"/>
        </w:rPr>
        <w:t>有对所依存社会情境抽离性与碎片化特征</w:t>
      </w:r>
      <w:r>
        <w:rPr>
          <w:rFonts w:ascii="微软雅黑" w:hAnsi="微软雅黑" w:eastAsia="微软雅黑" w:cs="微软雅黑"/>
          <w:spacing w:val="-16"/>
          <w:w w:val="95"/>
          <w:sz w:val="20"/>
          <w:szCs w:val="20"/>
        </w:rPr>
        <w:t>”</w:t>
      </w:r>
      <w:r>
        <w:rPr>
          <w:rFonts w:ascii="宋体" w:hAnsi="宋体" w:eastAsia="宋体" w:cs="宋体"/>
          <w:spacing w:val="-16"/>
          <w:w w:val="95"/>
          <w:position w:val="9"/>
          <w:sz w:val="11"/>
          <w:szCs w:val="11"/>
        </w:rPr>
        <w:t>［</w:t>
      </w:r>
      <w:r>
        <w:rPr>
          <w:rFonts w:ascii="微软雅黑" w:hAnsi="微软雅黑" w:eastAsia="微软雅黑" w:cs="微软雅黑"/>
          <w:spacing w:val="-16"/>
          <w:w w:val="95"/>
          <w:position w:val="9"/>
          <w:sz w:val="11"/>
          <w:szCs w:val="11"/>
        </w:rPr>
        <w:t>12</w:t>
      </w:r>
      <w:r>
        <w:rPr>
          <w:rFonts w:ascii="宋体" w:hAnsi="宋体" w:eastAsia="宋体" w:cs="宋体"/>
          <w:spacing w:val="-16"/>
          <w:w w:val="95"/>
          <w:position w:val="9"/>
          <w:sz w:val="11"/>
          <w:szCs w:val="11"/>
        </w:rPr>
        <w:t>］</w:t>
      </w:r>
      <w:r>
        <w:rPr>
          <w:rFonts w:ascii="微软雅黑" w:hAnsi="微软雅黑" w:eastAsia="微软雅黑" w:cs="微软雅黑"/>
          <w:spacing w:val="-16"/>
          <w:w w:val="95"/>
          <w:sz w:val="20"/>
          <w:szCs w:val="20"/>
        </w:rPr>
        <w:t>。</w:t>
      </w:r>
      <w:r>
        <w:rPr>
          <w:rFonts w:ascii="宋体" w:hAnsi="宋体" w:eastAsia="宋体" w:cs="宋体"/>
          <w:spacing w:val="-16"/>
          <w:w w:val="95"/>
          <w:sz w:val="20"/>
          <w:szCs w:val="20"/>
        </w:rPr>
        <w:t>地方高校是</w:t>
      </w:r>
      <w:r>
        <w:rPr>
          <w:rFonts w:ascii="宋体" w:hAnsi="宋体" w:eastAsia="宋体" w:cs="宋体"/>
          <w:spacing w:val="12"/>
          <w:sz w:val="20"/>
          <w:szCs w:val="20"/>
        </w:rPr>
        <w:t xml:space="preserve"> </w:t>
      </w:r>
      <w:r>
        <w:rPr>
          <w:rFonts w:ascii="宋体" w:hAnsi="宋体" w:eastAsia="宋体" w:cs="宋体"/>
          <w:spacing w:val="-20"/>
          <w:w w:val="99"/>
          <w:sz w:val="20"/>
          <w:szCs w:val="20"/>
        </w:rPr>
        <w:t>要加强一流本科教育</w:t>
      </w:r>
      <w:r>
        <w:rPr>
          <w:rFonts w:ascii="宋体" w:hAnsi="宋体" w:eastAsia="宋体" w:cs="宋体"/>
          <w:spacing w:val="-20"/>
          <w:w w:val="99"/>
          <w:position w:val="1"/>
          <w:sz w:val="20"/>
          <w:szCs w:val="20"/>
        </w:rPr>
        <w:t>，</w:t>
      </w:r>
      <w:r>
        <w:rPr>
          <w:rFonts w:ascii="宋体" w:hAnsi="宋体" w:eastAsia="宋体" w:cs="宋体"/>
          <w:spacing w:val="-20"/>
          <w:w w:val="99"/>
          <w:sz w:val="20"/>
          <w:szCs w:val="20"/>
        </w:rPr>
        <w:t>最大的依仗就是地方的区位优势及其</w:t>
      </w:r>
      <w:r>
        <w:rPr>
          <w:rFonts w:ascii="宋体" w:hAnsi="宋体" w:eastAsia="宋体" w:cs="宋体"/>
          <w:sz w:val="20"/>
          <w:szCs w:val="20"/>
        </w:rPr>
        <w:t xml:space="preserve"> </w:t>
      </w:r>
      <w:r>
        <w:rPr>
          <w:rFonts w:ascii="宋体" w:hAnsi="宋体" w:eastAsia="宋体" w:cs="宋体"/>
          <w:spacing w:val="-17"/>
          <w:w w:val="94"/>
          <w:sz w:val="20"/>
          <w:szCs w:val="20"/>
        </w:rPr>
        <w:t>与地方经济社会发展</w:t>
      </w:r>
      <w:r>
        <w:rPr>
          <w:rFonts w:ascii="微软雅黑" w:hAnsi="微软雅黑" w:eastAsia="微软雅黑" w:cs="微软雅黑"/>
          <w:spacing w:val="-17"/>
          <w:w w:val="94"/>
          <w:sz w:val="20"/>
          <w:szCs w:val="20"/>
        </w:rPr>
        <w:t>“</w:t>
      </w:r>
      <w:r>
        <w:rPr>
          <w:rFonts w:ascii="宋体" w:hAnsi="宋体" w:eastAsia="宋体" w:cs="宋体"/>
          <w:spacing w:val="-17"/>
          <w:w w:val="94"/>
          <w:sz w:val="20"/>
          <w:szCs w:val="20"/>
        </w:rPr>
        <w:t>同频共振</w:t>
      </w:r>
      <w:r>
        <w:rPr>
          <w:rFonts w:ascii="微软雅黑" w:hAnsi="微软雅黑" w:eastAsia="微软雅黑" w:cs="微软雅黑"/>
          <w:spacing w:val="-17"/>
          <w:w w:val="94"/>
          <w:sz w:val="20"/>
          <w:szCs w:val="20"/>
        </w:rPr>
        <w:t>”</w:t>
      </w:r>
      <w:r>
        <w:rPr>
          <w:rFonts w:ascii="宋体" w:hAnsi="宋体" w:eastAsia="宋体" w:cs="宋体"/>
          <w:spacing w:val="-17"/>
          <w:w w:val="94"/>
          <w:sz w:val="20"/>
          <w:szCs w:val="20"/>
        </w:rPr>
        <w:t>发展战略，如何正确对待并</w:t>
      </w:r>
      <w:r>
        <w:rPr>
          <w:rFonts w:ascii="宋体" w:hAnsi="宋体" w:eastAsia="宋体" w:cs="宋体"/>
          <w:spacing w:val="13"/>
          <w:sz w:val="20"/>
          <w:szCs w:val="20"/>
        </w:rPr>
        <w:t xml:space="preserve"> </w:t>
      </w:r>
      <w:r>
        <w:rPr>
          <w:rFonts w:ascii="宋体" w:hAnsi="宋体" w:eastAsia="宋体" w:cs="宋体"/>
          <w:spacing w:val="-20"/>
          <w:w w:val="96"/>
          <w:sz w:val="20"/>
          <w:szCs w:val="20"/>
        </w:rPr>
        <w:t>适当应用外部评价结果</w:t>
      </w:r>
      <w:r>
        <w:rPr>
          <w:rFonts w:ascii="宋体" w:hAnsi="宋体" w:eastAsia="宋体" w:cs="宋体"/>
          <w:spacing w:val="-20"/>
          <w:w w:val="96"/>
          <w:position w:val="1"/>
          <w:sz w:val="20"/>
          <w:szCs w:val="20"/>
        </w:rPr>
        <w:t>，</w:t>
      </w:r>
      <w:r>
        <w:rPr>
          <w:rFonts w:ascii="宋体" w:hAnsi="宋体" w:eastAsia="宋体" w:cs="宋体"/>
          <w:spacing w:val="-20"/>
          <w:w w:val="96"/>
          <w:sz w:val="20"/>
          <w:szCs w:val="20"/>
        </w:rPr>
        <w:t>直接影响大学质量文化建设的方向</w:t>
      </w:r>
      <w:r>
        <w:rPr>
          <w:rFonts w:ascii="微软雅黑" w:hAnsi="微软雅黑" w:eastAsia="微软雅黑" w:cs="微软雅黑"/>
          <w:spacing w:val="-20"/>
          <w:w w:val="96"/>
          <w:position w:val="1"/>
          <w:sz w:val="20"/>
          <w:szCs w:val="20"/>
        </w:rPr>
        <w:t>。</w:t>
      </w:r>
    </w:p>
    <w:p>
      <w:pPr>
        <w:spacing w:before="220" w:line="178" w:lineRule="auto"/>
        <w:ind w:left="433"/>
        <w:rPr>
          <w:rFonts w:ascii="黑体" w:hAnsi="黑体" w:eastAsia="黑体" w:cs="黑体"/>
          <w:sz w:val="20"/>
          <w:szCs w:val="20"/>
        </w:rPr>
      </w:pPr>
      <w:r>
        <w:rPr>
          <w:rFonts w:ascii="黑体" w:hAnsi="黑体" w:eastAsia="黑体" w:cs="黑体"/>
          <w:spacing w:val="2"/>
          <w:sz w:val="20"/>
          <w:szCs w:val="20"/>
        </w:rPr>
        <w:t>四</w:t>
      </w:r>
      <w:r>
        <w:rPr>
          <w:rFonts w:ascii="微软雅黑" w:hAnsi="微软雅黑" w:eastAsia="微软雅黑" w:cs="微软雅黑"/>
          <w:spacing w:val="2"/>
          <w:position w:val="1"/>
          <w:sz w:val="20"/>
          <w:szCs w:val="20"/>
        </w:rPr>
        <w:t>、</w:t>
      </w:r>
      <w:r>
        <w:rPr>
          <w:rFonts w:ascii="黑体" w:hAnsi="黑体" w:eastAsia="黑体" w:cs="黑体"/>
          <w:spacing w:val="2"/>
          <w:sz w:val="20"/>
          <w:szCs w:val="20"/>
        </w:rPr>
        <w:t>地方高校大学质量文化建设的主要路径</w:t>
      </w:r>
    </w:p>
    <w:p>
      <w:pPr>
        <w:spacing w:before="219" w:line="246" w:lineRule="auto"/>
        <w:ind w:right="78" w:firstLine="360"/>
        <w:rPr>
          <w:rFonts w:ascii="微软雅黑" w:hAnsi="微软雅黑" w:eastAsia="微软雅黑" w:cs="微软雅黑"/>
          <w:sz w:val="20"/>
          <w:szCs w:val="20"/>
        </w:rPr>
      </w:pPr>
      <w:r>
        <w:rPr>
          <w:rFonts w:ascii="宋体" w:hAnsi="宋体" w:eastAsia="宋体" w:cs="宋体"/>
          <w:spacing w:val="-19"/>
          <w:w w:val="98"/>
          <w:sz w:val="20"/>
          <w:szCs w:val="20"/>
        </w:rPr>
        <w:t>基于大学质量文化建设影响要素的分析</w:t>
      </w:r>
      <w:r>
        <w:rPr>
          <w:rFonts w:ascii="宋体" w:hAnsi="宋体" w:eastAsia="宋体" w:cs="宋体"/>
          <w:spacing w:val="-19"/>
          <w:w w:val="98"/>
          <w:position w:val="1"/>
          <w:sz w:val="20"/>
          <w:szCs w:val="20"/>
        </w:rPr>
        <w:t>，</w:t>
      </w:r>
      <w:r>
        <w:rPr>
          <w:rFonts w:ascii="宋体" w:hAnsi="宋体" w:eastAsia="宋体" w:cs="宋体"/>
          <w:spacing w:val="-19"/>
          <w:w w:val="98"/>
          <w:sz w:val="20"/>
          <w:szCs w:val="20"/>
        </w:rPr>
        <w:t>在一流本科教</w:t>
      </w:r>
      <w:r>
        <w:rPr>
          <w:rFonts w:ascii="宋体" w:hAnsi="宋体" w:eastAsia="宋体" w:cs="宋体"/>
          <w:spacing w:val="16"/>
          <w:sz w:val="20"/>
          <w:szCs w:val="20"/>
        </w:rPr>
        <w:t xml:space="preserve"> </w:t>
      </w:r>
      <w:r>
        <w:rPr>
          <w:rFonts w:ascii="宋体" w:hAnsi="宋体" w:eastAsia="宋体" w:cs="宋体"/>
          <w:spacing w:val="-18"/>
          <w:w w:val="98"/>
          <w:sz w:val="20"/>
          <w:szCs w:val="20"/>
        </w:rPr>
        <w:t>育视域下</w:t>
      </w:r>
      <w:r>
        <w:rPr>
          <w:rFonts w:ascii="宋体" w:hAnsi="宋体" w:eastAsia="宋体" w:cs="宋体"/>
          <w:spacing w:val="-18"/>
          <w:w w:val="98"/>
          <w:position w:val="1"/>
          <w:sz w:val="20"/>
          <w:szCs w:val="20"/>
        </w:rPr>
        <w:t>，</w:t>
      </w:r>
      <w:r>
        <w:rPr>
          <w:rFonts w:ascii="宋体" w:hAnsi="宋体" w:eastAsia="宋体" w:cs="宋体"/>
          <w:spacing w:val="-18"/>
          <w:w w:val="98"/>
          <w:sz w:val="20"/>
          <w:szCs w:val="20"/>
        </w:rPr>
        <w:t>地方高校质量文化建设的思路首先要</w:t>
      </w:r>
      <w:r>
        <w:rPr>
          <w:rFonts w:ascii="宋体" w:hAnsi="宋体" w:eastAsia="宋体" w:cs="宋体"/>
          <w:spacing w:val="-19"/>
          <w:w w:val="98"/>
          <w:sz w:val="20"/>
          <w:szCs w:val="20"/>
        </w:rPr>
        <w:t>进行质量文</w:t>
      </w:r>
      <w:r>
        <w:rPr>
          <w:rFonts w:ascii="宋体" w:hAnsi="宋体" w:eastAsia="宋体" w:cs="宋体"/>
          <w:sz w:val="20"/>
          <w:szCs w:val="20"/>
        </w:rPr>
        <w:t xml:space="preserve"> </w:t>
      </w:r>
      <w:r>
        <w:rPr>
          <w:rFonts w:ascii="宋体" w:hAnsi="宋体" w:eastAsia="宋体" w:cs="宋体"/>
          <w:spacing w:val="-17"/>
          <w:w w:val="97"/>
          <w:sz w:val="20"/>
          <w:szCs w:val="20"/>
        </w:rPr>
        <w:t>化的基本定位</w:t>
      </w:r>
      <w:r>
        <w:rPr>
          <w:rFonts w:ascii="宋体" w:hAnsi="宋体" w:eastAsia="宋体" w:cs="宋体"/>
          <w:spacing w:val="-17"/>
          <w:w w:val="97"/>
          <w:position w:val="1"/>
          <w:sz w:val="20"/>
          <w:szCs w:val="20"/>
        </w:rPr>
        <w:t>，</w:t>
      </w:r>
      <w:r>
        <w:rPr>
          <w:rFonts w:ascii="宋体" w:hAnsi="宋体" w:eastAsia="宋体" w:cs="宋体"/>
          <w:spacing w:val="-17"/>
          <w:w w:val="97"/>
          <w:sz w:val="20"/>
          <w:szCs w:val="20"/>
        </w:rPr>
        <w:t>在此基础上进一步优化或者完善相应的质量</w:t>
      </w:r>
      <w:r>
        <w:rPr>
          <w:rFonts w:ascii="宋体" w:hAnsi="宋体" w:eastAsia="宋体" w:cs="宋体"/>
          <w:spacing w:val="21"/>
          <w:sz w:val="20"/>
          <w:szCs w:val="20"/>
        </w:rPr>
        <w:t xml:space="preserve"> </w:t>
      </w:r>
      <w:r>
        <w:rPr>
          <w:rFonts w:ascii="宋体" w:hAnsi="宋体" w:eastAsia="宋体" w:cs="宋体"/>
          <w:spacing w:val="-18"/>
          <w:w w:val="98"/>
          <w:sz w:val="20"/>
          <w:szCs w:val="20"/>
        </w:rPr>
        <w:t>制度系统</w:t>
      </w:r>
      <w:r>
        <w:rPr>
          <w:rFonts w:ascii="微软雅黑" w:hAnsi="微软雅黑" w:eastAsia="微软雅黑" w:cs="微软雅黑"/>
          <w:spacing w:val="-18"/>
          <w:w w:val="98"/>
          <w:position w:val="1"/>
          <w:sz w:val="20"/>
          <w:szCs w:val="20"/>
        </w:rPr>
        <w:t>、</w:t>
      </w:r>
      <w:r>
        <w:rPr>
          <w:rFonts w:ascii="宋体" w:hAnsi="宋体" w:eastAsia="宋体" w:cs="宋体"/>
          <w:spacing w:val="-18"/>
          <w:w w:val="98"/>
          <w:sz w:val="20"/>
          <w:szCs w:val="20"/>
        </w:rPr>
        <w:t>营造质量文化建设的良好氛围以及正</w:t>
      </w:r>
      <w:r>
        <w:rPr>
          <w:rFonts w:ascii="宋体" w:hAnsi="宋体" w:eastAsia="宋体" w:cs="宋体"/>
          <w:spacing w:val="-19"/>
          <w:w w:val="98"/>
          <w:sz w:val="20"/>
          <w:szCs w:val="20"/>
        </w:rPr>
        <w:t>确对待高校</w:t>
      </w:r>
      <w:r>
        <w:rPr>
          <w:rFonts w:ascii="宋体" w:hAnsi="宋体" w:eastAsia="宋体" w:cs="宋体"/>
          <w:sz w:val="20"/>
          <w:szCs w:val="20"/>
        </w:rPr>
        <w:t xml:space="preserve"> </w:t>
      </w:r>
      <w:r>
        <w:rPr>
          <w:rFonts w:ascii="宋体" w:hAnsi="宋体" w:eastAsia="宋体" w:cs="宋体"/>
          <w:spacing w:val="-15"/>
          <w:sz w:val="20"/>
          <w:szCs w:val="20"/>
        </w:rPr>
        <w:t>的外部评价机制</w:t>
      </w:r>
      <w:r>
        <w:rPr>
          <w:rFonts w:ascii="微软雅黑" w:hAnsi="微软雅黑" w:eastAsia="微软雅黑" w:cs="微软雅黑"/>
          <w:spacing w:val="-15"/>
          <w:position w:val="1"/>
          <w:sz w:val="20"/>
          <w:szCs w:val="20"/>
        </w:rPr>
        <w:t>。</w:t>
      </w:r>
      <w:r>
        <w:rPr>
          <w:rFonts w:ascii="宋体" w:hAnsi="宋体" w:eastAsia="宋体" w:cs="宋体"/>
          <w:spacing w:val="-15"/>
          <w:sz w:val="20"/>
          <w:szCs w:val="20"/>
        </w:rPr>
        <w:t>大学质量文化的建设取决于地方高</w:t>
      </w:r>
      <w:r>
        <w:rPr>
          <w:rFonts w:ascii="宋体" w:hAnsi="宋体" w:eastAsia="宋体" w:cs="宋体"/>
          <w:spacing w:val="-16"/>
          <w:sz w:val="20"/>
          <w:szCs w:val="20"/>
        </w:rPr>
        <w:t>校的</w:t>
      </w:r>
      <w:r>
        <w:rPr>
          <w:rFonts w:ascii="宋体" w:hAnsi="宋体" w:eastAsia="宋体" w:cs="宋体"/>
          <w:sz w:val="20"/>
          <w:szCs w:val="20"/>
        </w:rPr>
        <w:t xml:space="preserve"> </w:t>
      </w:r>
      <w:r>
        <w:rPr>
          <w:rFonts w:ascii="宋体" w:hAnsi="宋体" w:eastAsia="宋体" w:cs="宋体"/>
          <w:spacing w:val="-22"/>
          <w:sz w:val="20"/>
          <w:szCs w:val="20"/>
        </w:rPr>
        <w:t>特点</w:t>
      </w:r>
      <w:r>
        <w:rPr>
          <w:rFonts w:ascii="宋体" w:hAnsi="宋体" w:eastAsia="宋体" w:cs="宋体"/>
          <w:spacing w:val="-22"/>
          <w:position w:val="1"/>
          <w:sz w:val="20"/>
          <w:szCs w:val="20"/>
        </w:rPr>
        <w:t>，</w:t>
      </w:r>
      <w:r>
        <w:rPr>
          <w:rFonts w:ascii="宋体" w:hAnsi="宋体" w:eastAsia="宋体" w:cs="宋体"/>
          <w:spacing w:val="-22"/>
          <w:sz w:val="20"/>
          <w:szCs w:val="20"/>
        </w:rPr>
        <w:t>要以正确质量观引领质量文化建设</w:t>
      </w:r>
      <w:r>
        <w:rPr>
          <w:rFonts w:ascii="宋体" w:hAnsi="宋体" w:eastAsia="宋体" w:cs="宋体"/>
          <w:spacing w:val="-22"/>
          <w:position w:val="1"/>
          <w:sz w:val="20"/>
          <w:szCs w:val="20"/>
        </w:rPr>
        <w:t>，</w:t>
      </w:r>
      <w:r>
        <w:rPr>
          <w:rFonts w:ascii="宋体" w:hAnsi="宋体" w:eastAsia="宋体" w:cs="宋体"/>
          <w:spacing w:val="-22"/>
          <w:sz w:val="20"/>
          <w:szCs w:val="20"/>
        </w:rPr>
        <w:t>在此基础</w:t>
      </w:r>
      <w:r>
        <w:rPr>
          <w:rFonts w:ascii="宋体" w:hAnsi="宋体" w:eastAsia="宋体" w:cs="宋体"/>
          <w:spacing w:val="-23"/>
          <w:sz w:val="20"/>
          <w:szCs w:val="20"/>
        </w:rPr>
        <w:t>上从内</w:t>
      </w:r>
      <w:r>
        <w:rPr>
          <w:rFonts w:ascii="宋体" w:hAnsi="宋体" w:eastAsia="宋体" w:cs="宋体"/>
          <w:sz w:val="20"/>
          <w:szCs w:val="20"/>
        </w:rPr>
        <w:t xml:space="preserve"> </w:t>
      </w:r>
      <w:r>
        <w:rPr>
          <w:rFonts w:ascii="宋体" w:hAnsi="宋体" w:eastAsia="宋体" w:cs="宋体"/>
          <w:spacing w:val="-17"/>
          <w:w w:val="91"/>
          <w:sz w:val="20"/>
          <w:szCs w:val="20"/>
        </w:rPr>
        <w:t>部</w:t>
      </w:r>
      <w:r>
        <w:rPr>
          <w:rFonts w:ascii="微软雅黑" w:hAnsi="微软雅黑" w:eastAsia="微软雅黑" w:cs="微软雅黑"/>
          <w:spacing w:val="-17"/>
          <w:w w:val="91"/>
          <w:sz w:val="20"/>
          <w:szCs w:val="20"/>
        </w:rPr>
        <w:t>“</w:t>
      </w:r>
      <w:r>
        <w:rPr>
          <w:rFonts w:ascii="宋体" w:hAnsi="宋体" w:eastAsia="宋体" w:cs="宋体"/>
          <w:spacing w:val="-17"/>
          <w:w w:val="91"/>
          <w:sz w:val="20"/>
          <w:szCs w:val="20"/>
        </w:rPr>
        <w:t>驱动</w:t>
      </w:r>
      <w:r>
        <w:rPr>
          <w:rFonts w:ascii="微软雅黑" w:hAnsi="微软雅黑" w:eastAsia="微软雅黑" w:cs="微软雅黑"/>
          <w:spacing w:val="-17"/>
          <w:w w:val="91"/>
          <w:sz w:val="20"/>
          <w:szCs w:val="20"/>
        </w:rPr>
        <w:t>”</w:t>
      </w:r>
      <w:r>
        <w:rPr>
          <w:rFonts w:ascii="宋体" w:hAnsi="宋体" w:eastAsia="宋体" w:cs="宋体"/>
          <w:spacing w:val="-17"/>
          <w:w w:val="91"/>
          <w:sz w:val="20"/>
          <w:szCs w:val="20"/>
        </w:rPr>
        <w:t>和外部</w:t>
      </w:r>
      <w:r>
        <w:rPr>
          <w:rFonts w:ascii="微软雅黑" w:hAnsi="微软雅黑" w:eastAsia="微软雅黑" w:cs="微软雅黑"/>
          <w:spacing w:val="-17"/>
          <w:w w:val="91"/>
          <w:sz w:val="20"/>
          <w:szCs w:val="20"/>
        </w:rPr>
        <w:t>“</w:t>
      </w:r>
      <w:r>
        <w:rPr>
          <w:rFonts w:ascii="宋体" w:hAnsi="宋体" w:eastAsia="宋体" w:cs="宋体"/>
          <w:spacing w:val="-17"/>
          <w:w w:val="91"/>
          <w:sz w:val="20"/>
          <w:szCs w:val="20"/>
        </w:rPr>
        <w:t>倒逼</w:t>
      </w:r>
      <w:r>
        <w:rPr>
          <w:rFonts w:ascii="微软雅黑" w:hAnsi="微软雅黑" w:eastAsia="微软雅黑" w:cs="微软雅黑"/>
          <w:spacing w:val="-17"/>
          <w:w w:val="91"/>
          <w:sz w:val="20"/>
          <w:szCs w:val="20"/>
        </w:rPr>
        <w:t>”</w:t>
      </w:r>
      <w:r>
        <w:rPr>
          <w:rFonts w:ascii="宋体" w:hAnsi="宋体" w:eastAsia="宋体" w:cs="宋体"/>
          <w:spacing w:val="-17"/>
          <w:w w:val="91"/>
          <w:sz w:val="20"/>
          <w:szCs w:val="20"/>
        </w:rPr>
        <w:t>两个方面推进</w:t>
      </w:r>
      <w:r>
        <w:rPr>
          <w:rFonts w:ascii="微软雅黑" w:hAnsi="微软雅黑" w:eastAsia="微软雅黑" w:cs="微软雅黑"/>
          <w:spacing w:val="-17"/>
          <w:w w:val="91"/>
          <w:sz w:val="20"/>
          <w:szCs w:val="20"/>
        </w:rPr>
        <w:t>。</w:t>
      </w:r>
    </w:p>
    <w:p>
      <w:pPr>
        <w:spacing w:before="55" w:line="185" w:lineRule="auto"/>
        <w:ind w:left="364"/>
        <w:rPr>
          <w:rFonts w:ascii="宋体" w:hAnsi="宋体" w:eastAsia="宋体" w:cs="宋体"/>
          <w:sz w:val="20"/>
          <w:szCs w:val="20"/>
        </w:rPr>
      </w:pPr>
      <w:r>
        <w:rPr>
          <w:rFonts w:ascii="微软雅黑" w:hAnsi="微软雅黑" w:eastAsia="微软雅黑" w:cs="微软雅黑"/>
          <w:spacing w:val="-22"/>
          <w:w w:val="97"/>
          <w:sz w:val="20"/>
          <w:szCs w:val="20"/>
        </w:rPr>
        <w:t>1．</w:t>
      </w:r>
      <w:r>
        <w:rPr>
          <w:rFonts w:ascii="宋体" w:hAnsi="宋体" w:eastAsia="宋体" w:cs="宋体"/>
          <w:spacing w:val="-22"/>
          <w:w w:val="97"/>
          <w:sz w:val="20"/>
          <w:szCs w:val="20"/>
        </w:rPr>
        <w:t>转变教学观念，以正确质量观引领质量文化建设</w:t>
      </w:r>
    </w:p>
    <w:p>
      <w:pPr>
        <w:spacing w:before="57" w:line="244" w:lineRule="auto"/>
        <w:ind w:right="10" w:firstLine="364"/>
        <w:rPr>
          <w:rFonts w:ascii="微软雅黑" w:hAnsi="微软雅黑" w:eastAsia="微软雅黑" w:cs="微软雅黑"/>
          <w:sz w:val="20"/>
          <w:szCs w:val="20"/>
        </w:rPr>
      </w:pPr>
      <w:r>
        <w:rPr>
          <w:rFonts w:ascii="宋体" w:hAnsi="宋体" w:eastAsia="宋体" w:cs="宋体"/>
          <w:spacing w:val="-22"/>
          <w:sz w:val="20"/>
          <w:szCs w:val="20"/>
        </w:rPr>
        <w:t>如前所述</w:t>
      </w:r>
      <w:r>
        <w:rPr>
          <w:rFonts w:ascii="宋体" w:hAnsi="宋体" w:eastAsia="宋体" w:cs="宋体"/>
          <w:spacing w:val="-22"/>
          <w:position w:val="1"/>
          <w:sz w:val="20"/>
          <w:szCs w:val="20"/>
        </w:rPr>
        <w:t>，</w:t>
      </w:r>
      <w:r>
        <w:rPr>
          <w:rFonts w:ascii="宋体" w:hAnsi="宋体" w:eastAsia="宋体" w:cs="宋体"/>
          <w:spacing w:val="-22"/>
          <w:sz w:val="20"/>
          <w:szCs w:val="20"/>
        </w:rPr>
        <w:t xml:space="preserve">教学观念对于大学质量文化建设具有导向作 </w:t>
      </w:r>
      <w:r>
        <w:rPr>
          <w:rFonts w:ascii="宋体" w:hAnsi="宋体" w:eastAsia="宋体" w:cs="宋体"/>
          <w:spacing w:val="-18"/>
          <w:w w:val="98"/>
          <w:sz w:val="20"/>
          <w:szCs w:val="20"/>
        </w:rPr>
        <w:t>用</w:t>
      </w:r>
      <w:r>
        <w:rPr>
          <w:rFonts w:ascii="微软雅黑" w:hAnsi="微软雅黑" w:eastAsia="微软雅黑" w:cs="微软雅黑"/>
          <w:spacing w:val="-18"/>
          <w:w w:val="98"/>
          <w:position w:val="1"/>
          <w:sz w:val="20"/>
          <w:szCs w:val="20"/>
        </w:rPr>
        <w:t>、</w:t>
      </w:r>
      <w:r>
        <w:rPr>
          <w:rFonts w:ascii="宋体" w:hAnsi="宋体" w:eastAsia="宋体" w:cs="宋体"/>
          <w:spacing w:val="-18"/>
          <w:w w:val="98"/>
          <w:sz w:val="20"/>
          <w:szCs w:val="20"/>
        </w:rPr>
        <w:t>激励和凝聚功能</w:t>
      </w:r>
      <w:r>
        <w:rPr>
          <w:rFonts w:ascii="微软雅黑" w:hAnsi="微软雅黑" w:eastAsia="微软雅黑" w:cs="微软雅黑"/>
          <w:spacing w:val="-18"/>
          <w:w w:val="98"/>
          <w:position w:val="1"/>
          <w:sz w:val="20"/>
          <w:szCs w:val="20"/>
        </w:rPr>
        <w:t>。</w:t>
      </w:r>
      <w:r>
        <w:rPr>
          <w:rFonts w:ascii="宋体" w:hAnsi="宋体" w:eastAsia="宋体" w:cs="宋体"/>
          <w:spacing w:val="-18"/>
          <w:w w:val="98"/>
          <w:sz w:val="20"/>
          <w:szCs w:val="20"/>
        </w:rPr>
        <w:t xml:space="preserve">建设具有特色的地方高校大学质量文 </w:t>
      </w:r>
      <w:r>
        <w:rPr>
          <w:rFonts w:ascii="宋体" w:hAnsi="宋体" w:eastAsia="宋体" w:cs="宋体"/>
          <w:spacing w:val="-22"/>
          <w:sz w:val="20"/>
          <w:szCs w:val="20"/>
        </w:rPr>
        <w:t>化</w:t>
      </w:r>
      <w:r>
        <w:rPr>
          <w:rFonts w:ascii="宋体" w:hAnsi="宋体" w:eastAsia="宋体" w:cs="宋体"/>
          <w:spacing w:val="-22"/>
          <w:position w:val="1"/>
          <w:sz w:val="20"/>
          <w:szCs w:val="20"/>
        </w:rPr>
        <w:t>，</w:t>
      </w:r>
      <w:r>
        <w:rPr>
          <w:rFonts w:ascii="宋体" w:hAnsi="宋体" w:eastAsia="宋体" w:cs="宋体"/>
          <w:spacing w:val="-22"/>
          <w:sz w:val="20"/>
          <w:szCs w:val="20"/>
        </w:rPr>
        <w:t>首先需要转变教学观念</w:t>
      </w:r>
      <w:r>
        <w:rPr>
          <w:rFonts w:ascii="宋体" w:hAnsi="宋体" w:eastAsia="宋体" w:cs="宋体"/>
          <w:spacing w:val="-22"/>
          <w:position w:val="1"/>
          <w:sz w:val="20"/>
          <w:szCs w:val="20"/>
        </w:rPr>
        <w:t>，</w:t>
      </w:r>
      <w:r>
        <w:rPr>
          <w:rFonts w:ascii="宋体" w:hAnsi="宋体" w:eastAsia="宋体" w:cs="宋体"/>
          <w:spacing w:val="-22"/>
          <w:sz w:val="20"/>
          <w:szCs w:val="20"/>
        </w:rPr>
        <w:t xml:space="preserve">按照学生本位和能力导向的原 </w:t>
      </w:r>
      <w:r>
        <w:rPr>
          <w:rFonts w:ascii="宋体" w:hAnsi="宋体" w:eastAsia="宋体" w:cs="宋体"/>
          <w:spacing w:val="-21"/>
          <w:w w:val="97"/>
          <w:sz w:val="20"/>
          <w:szCs w:val="20"/>
        </w:rPr>
        <w:t>则</w:t>
      </w:r>
      <w:r>
        <w:rPr>
          <w:rFonts w:ascii="宋体" w:hAnsi="宋体" w:eastAsia="宋体" w:cs="宋体"/>
          <w:spacing w:val="-21"/>
          <w:w w:val="97"/>
          <w:position w:val="1"/>
          <w:sz w:val="20"/>
          <w:szCs w:val="20"/>
        </w:rPr>
        <w:t>，</w:t>
      </w:r>
      <w:r>
        <w:rPr>
          <w:rFonts w:ascii="宋体" w:hAnsi="宋体" w:eastAsia="宋体" w:cs="宋体"/>
          <w:spacing w:val="-21"/>
          <w:w w:val="97"/>
          <w:sz w:val="20"/>
          <w:szCs w:val="20"/>
        </w:rPr>
        <w:t>培育正确的质量观</w:t>
      </w:r>
      <w:r>
        <w:rPr>
          <w:rFonts w:ascii="微软雅黑" w:hAnsi="微软雅黑" w:eastAsia="微软雅黑" w:cs="微软雅黑"/>
          <w:spacing w:val="-21"/>
          <w:w w:val="97"/>
          <w:position w:val="1"/>
          <w:sz w:val="20"/>
          <w:szCs w:val="20"/>
        </w:rPr>
        <w:t>。</w:t>
      </w:r>
      <w:r>
        <w:rPr>
          <w:rFonts w:ascii="宋体" w:hAnsi="宋体" w:eastAsia="宋体" w:cs="宋体"/>
          <w:spacing w:val="-21"/>
          <w:w w:val="97"/>
          <w:sz w:val="20"/>
          <w:szCs w:val="20"/>
        </w:rPr>
        <w:t>质量观是大学质量文化的重要内容</w:t>
      </w:r>
      <w:r>
        <w:rPr>
          <w:rFonts w:ascii="宋体" w:hAnsi="宋体" w:eastAsia="宋体" w:cs="宋体"/>
          <w:spacing w:val="-21"/>
          <w:w w:val="97"/>
          <w:position w:val="1"/>
          <w:sz w:val="20"/>
          <w:szCs w:val="20"/>
        </w:rPr>
        <w:t>，</w:t>
      </w:r>
      <w:r>
        <w:rPr>
          <w:rFonts w:ascii="宋体" w:hAnsi="宋体" w:eastAsia="宋体" w:cs="宋体"/>
          <w:spacing w:val="23"/>
          <w:position w:val="1"/>
          <w:sz w:val="20"/>
          <w:szCs w:val="20"/>
        </w:rPr>
        <w:t xml:space="preserve"> </w:t>
      </w:r>
      <w:r>
        <w:rPr>
          <w:rFonts w:ascii="宋体" w:hAnsi="宋体" w:eastAsia="宋体" w:cs="宋体"/>
          <w:spacing w:val="-22"/>
          <w:sz w:val="20"/>
          <w:szCs w:val="20"/>
        </w:rPr>
        <w:t>在遵循教育教学规律与学科内在逻辑关系前提下</w:t>
      </w:r>
      <w:r>
        <w:rPr>
          <w:rFonts w:ascii="宋体" w:hAnsi="宋体" w:eastAsia="宋体" w:cs="宋体"/>
          <w:spacing w:val="-22"/>
          <w:position w:val="1"/>
          <w:sz w:val="20"/>
          <w:szCs w:val="20"/>
        </w:rPr>
        <w:t>，</w:t>
      </w:r>
      <w:r>
        <w:rPr>
          <w:rFonts w:ascii="宋体" w:hAnsi="宋体" w:eastAsia="宋体" w:cs="宋体"/>
          <w:spacing w:val="-22"/>
          <w:sz w:val="20"/>
          <w:szCs w:val="20"/>
        </w:rPr>
        <w:t>教育活动 实现教学目标以及达到预期效果</w:t>
      </w:r>
      <w:r>
        <w:rPr>
          <w:rFonts w:ascii="宋体" w:hAnsi="宋体" w:eastAsia="宋体" w:cs="宋体"/>
          <w:spacing w:val="-22"/>
          <w:position w:val="1"/>
          <w:sz w:val="20"/>
          <w:szCs w:val="20"/>
        </w:rPr>
        <w:t>，</w:t>
      </w:r>
      <w:r>
        <w:rPr>
          <w:rFonts w:ascii="宋体" w:hAnsi="宋体" w:eastAsia="宋体" w:cs="宋体"/>
          <w:spacing w:val="-22"/>
          <w:sz w:val="20"/>
          <w:szCs w:val="20"/>
        </w:rPr>
        <w:t>这是大学的基本教育质量 观</w:t>
      </w:r>
      <w:r>
        <w:rPr>
          <w:rFonts w:ascii="微软雅黑" w:hAnsi="微软雅黑" w:eastAsia="微软雅黑" w:cs="微软雅黑"/>
          <w:spacing w:val="-22"/>
          <w:position w:val="1"/>
          <w:sz w:val="20"/>
          <w:szCs w:val="20"/>
        </w:rPr>
        <w:t>。</w:t>
      </w:r>
      <w:r>
        <w:rPr>
          <w:rFonts w:ascii="宋体" w:hAnsi="宋体" w:eastAsia="宋体" w:cs="宋体"/>
          <w:spacing w:val="-22"/>
          <w:sz w:val="20"/>
          <w:szCs w:val="20"/>
        </w:rPr>
        <w:t>促进学生身心发展以及满足社会需要</w:t>
      </w:r>
      <w:r>
        <w:rPr>
          <w:rFonts w:ascii="宋体" w:hAnsi="宋体" w:eastAsia="宋体" w:cs="宋体"/>
          <w:spacing w:val="-22"/>
          <w:position w:val="1"/>
          <w:sz w:val="20"/>
          <w:szCs w:val="20"/>
        </w:rPr>
        <w:t>，</w:t>
      </w:r>
      <w:r>
        <w:rPr>
          <w:rFonts w:ascii="宋体" w:hAnsi="宋体" w:eastAsia="宋体" w:cs="宋体"/>
          <w:spacing w:val="-22"/>
          <w:sz w:val="20"/>
          <w:szCs w:val="20"/>
        </w:rPr>
        <w:t xml:space="preserve">是教育质量观的 </w:t>
      </w:r>
      <w:r>
        <w:rPr>
          <w:rFonts w:ascii="宋体" w:hAnsi="宋体" w:eastAsia="宋体" w:cs="宋体"/>
          <w:spacing w:val="-22"/>
          <w:w w:val="97"/>
          <w:sz w:val="20"/>
          <w:szCs w:val="20"/>
        </w:rPr>
        <w:t>核心</w:t>
      </w:r>
      <w:r>
        <w:rPr>
          <w:rFonts w:ascii="微软雅黑" w:hAnsi="微软雅黑" w:eastAsia="微软雅黑" w:cs="微软雅黑"/>
          <w:spacing w:val="-22"/>
          <w:w w:val="97"/>
          <w:position w:val="1"/>
          <w:sz w:val="20"/>
          <w:szCs w:val="20"/>
        </w:rPr>
        <w:t>。</w:t>
      </w:r>
      <w:r>
        <w:rPr>
          <w:rFonts w:ascii="宋体" w:hAnsi="宋体" w:eastAsia="宋体" w:cs="宋体"/>
          <w:spacing w:val="-22"/>
          <w:w w:val="97"/>
          <w:sz w:val="20"/>
          <w:szCs w:val="20"/>
        </w:rPr>
        <w:t>教育是特殊的社会实践活动</w:t>
      </w:r>
      <w:r>
        <w:rPr>
          <w:rFonts w:ascii="宋体" w:hAnsi="宋体" w:eastAsia="宋体" w:cs="宋体"/>
          <w:spacing w:val="-22"/>
          <w:w w:val="97"/>
          <w:position w:val="1"/>
          <w:sz w:val="20"/>
          <w:szCs w:val="20"/>
        </w:rPr>
        <w:t>，</w:t>
      </w:r>
      <w:r>
        <w:rPr>
          <w:rFonts w:ascii="宋体" w:hAnsi="宋体" w:eastAsia="宋体" w:cs="宋体"/>
          <w:spacing w:val="-22"/>
          <w:w w:val="97"/>
          <w:sz w:val="20"/>
          <w:szCs w:val="20"/>
        </w:rPr>
        <w:t>培育正确的质量</w:t>
      </w:r>
      <w:r>
        <w:rPr>
          <w:rFonts w:ascii="宋体" w:hAnsi="宋体" w:eastAsia="宋体" w:cs="宋体"/>
          <w:spacing w:val="-23"/>
          <w:w w:val="97"/>
          <w:sz w:val="20"/>
          <w:szCs w:val="20"/>
        </w:rPr>
        <w:t>观</w:t>
      </w:r>
      <w:r>
        <w:rPr>
          <w:rFonts w:ascii="宋体" w:hAnsi="宋体" w:eastAsia="宋体" w:cs="宋体"/>
          <w:spacing w:val="-23"/>
          <w:w w:val="97"/>
          <w:position w:val="1"/>
          <w:sz w:val="20"/>
          <w:szCs w:val="20"/>
        </w:rPr>
        <w:t>，</w:t>
      </w:r>
      <w:r>
        <w:rPr>
          <w:rFonts w:ascii="宋体" w:hAnsi="宋体" w:eastAsia="宋体" w:cs="宋体"/>
          <w:spacing w:val="-23"/>
          <w:w w:val="97"/>
          <w:sz w:val="20"/>
          <w:szCs w:val="20"/>
        </w:rPr>
        <w:t xml:space="preserve">不仅 </w:t>
      </w:r>
      <w:r>
        <w:rPr>
          <w:rFonts w:ascii="宋体" w:hAnsi="宋体" w:eastAsia="宋体" w:cs="宋体"/>
          <w:spacing w:val="-22"/>
          <w:sz w:val="20"/>
          <w:szCs w:val="20"/>
        </w:rPr>
        <w:t xml:space="preserve">注重教学过程中的主客体之间互动以及尊重不同学生间的差 </w:t>
      </w:r>
      <w:r>
        <w:rPr>
          <w:rFonts w:ascii="宋体" w:hAnsi="宋体" w:eastAsia="宋体" w:cs="宋体"/>
          <w:spacing w:val="-21"/>
          <w:w w:val="96"/>
          <w:sz w:val="20"/>
          <w:szCs w:val="20"/>
        </w:rPr>
        <w:t>异性</w:t>
      </w:r>
      <w:r>
        <w:rPr>
          <w:rFonts w:ascii="宋体" w:hAnsi="宋体" w:eastAsia="宋体" w:cs="宋体"/>
          <w:spacing w:val="-21"/>
          <w:w w:val="96"/>
          <w:position w:val="1"/>
          <w:sz w:val="20"/>
          <w:szCs w:val="20"/>
        </w:rPr>
        <w:t>，</w:t>
      </w:r>
      <w:r>
        <w:rPr>
          <w:rFonts w:ascii="宋体" w:hAnsi="宋体" w:eastAsia="宋体" w:cs="宋体"/>
          <w:spacing w:val="-21"/>
          <w:w w:val="96"/>
          <w:sz w:val="20"/>
          <w:szCs w:val="20"/>
        </w:rPr>
        <w:t>还要按照教育质量观测滞后性的特点</w:t>
      </w:r>
      <w:r>
        <w:rPr>
          <w:rFonts w:ascii="宋体" w:hAnsi="宋体" w:eastAsia="宋体" w:cs="宋体"/>
          <w:spacing w:val="-21"/>
          <w:w w:val="96"/>
          <w:position w:val="1"/>
          <w:sz w:val="20"/>
          <w:szCs w:val="20"/>
        </w:rPr>
        <w:t>，</w:t>
      </w:r>
      <w:r>
        <w:rPr>
          <w:rFonts w:ascii="宋体" w:hAnsi="宋体" w:eastAsia="宋体" w:cs="宋体"/>
          <w:spacing w:val="-21"/>
          <w:w w:val="96"/>
          <w:sz w:val="20"/>
          <w:szCs w:val="20"/>
        </w:rPr>
        <w:t xml:space="preserve">设定相对较长的 </w:t>
      </w:r>
      <w:r>
        <w:rPr>
          <w:rFonts w:ascii="宋体" w:hAnsi="宋体" w:eastAsia="宋体" w:cs="宋体"/>
          <w:spacing w:val="-22"/>
          <w:sz w:val="20"/>
          <w:szCs w:val="20"/>
        </w:rPr>
        <w:t>质量目标</w:t>
      </w:r>
      <w:r>
        <w:rPr>
          <w:rFonts w:ascii="微软雅黑" w:hAnsi="微软雅黑" w:eastAsia="微软雅黑" w:cs="微软雅黑"/>
          <w:spacing w:val="-22"/>
          <w:position w:val="1"/>
          <w:sz w:val="20"/>
          <w:szCs w:val="20"/>
        </w:rPr>
        <w:t>。</w:t>
      </w:r>
      <w:r>
        <w:rPr>
          <w:rFonts w:ascii="宋体" w:hAnsi="宋体" w:eastAsia="宋体" w:cs="宋体"/>
          <w:spacing w:val="-22"/>
          <w:sz w:val="20"/>
          <w:szCs w:val="20"/>
        </w:rPr>
        <w:t>例如</w:t>
      </w:r>
      <w:r>
        <w:rPr>
          <w:rFonts w:ascii="宋体" w:hAnsi="宋体" w:eastAsia="宋体" w:cs="宋体"/>
          <w:spacing w:val="-22"/>
          <w:position w:val="1"/>
          <w:sz w:val="20"/>
          <w:szCs w:val="20"/>
        </w:rPr>
        <w:t>，</w:t>
      </w:r>
      <w:r>
        <w:rPr>
          <w:rFonts w:ascii="宋体" w:hAnsi="宋体" w:eastAsia="宋体" w:cs="宋体"/>
          <w:spacing w:val="-22"/>
          <w:sz w:val="20"/>
          <w:szCs w:val="20"/>
        </w:rPr>
        <w:t xml:space="preserve">将毕业后五年的学生的发展状况纳入质量 </w:t>
      </w:r>
      <w:r>
        <w:rPr>
          <w:rFonts w:ascii="宋体" w:hAnsi="宋体" w:eastAsia="宋体" w:cs="宋体"/>
          <w:spacing w:val="-21"/>
          <w:w w:val="97"/>
          <w:sz w:val="20"/>
          <w:szCs w:val="20"/>
        </w:rPr>
        <w:t>观测目标</w:t>
      </w:r>
      <w:r>
        <w:rPr>
          <w:rFonts w:ascii="宋体" w:hAnsi="宋体" w:eastAsia="宋体" w:cs="宋体"/>
          <w:spacing w:val="-21"/>
          <w:w w:val="97"/>
          <w:position w:val="1"/>
          <w:sz w:val="20"/>
          <w:szCs w:val="20"/>
        </w:rPr>
        <w:t>，</w:t>
      </w:r>
      <w:r>
        <w:rPr>
          <w:rFonts w:ascii="宋体" w:hAnsi="宋体" w:eastAsia="宋体" w:cs="宋体"/>
          <w:spacing w:val="-21"/>
          <w:w w:val="97"/>
          <w:sz w:val="20"/>
          <w:szCs w:val="20"/>
        </w:rPr>
        <w:t>以此来推进教育教学质量的持续改进</w:t>
      </w:r>
      <w:r>
        <w:rPr>
          <w:rFonts w:ascii="微软雅黑" w:hAnsi="微软雅黑" w:eastAsia="微软雅黑" w:cs="微软雅黑"/>
          <w:spacing w:val="-21"/>
          <w:w w:val="97"/>
          <w:position w:val="1"/>
          <w:sz w:val="20"/>
          <w:szCs w:val="20"/>
        </w:rPr>
        <w:t>。</w:t>
      </w:r>
    </w:p>
    <w:p>
      <w:pPr>
        <w:spacing w:before="61" w:line="185" w:lineRule="auto"/>
        <w:ind w:left="350"/>
        <w:rPr>
          <w:rFonts w:ascii="宋体" w:hAnsi="宋体" w:eastAsia="宋体" w:cs="宋体"/>
          <w:sz w:val="20"/>
          <w:szCs w:val="20"/>
        </w:rPr>
      </w:pPr>
      <w:r>
        <w:rPr>
          <w:rFonts w:ascii="微软雅黑" w:hAnsi="微软雅黑" w:eastAsia="微软雅黑" w:cs="微软雅黑"/>
          <w:spacing w:val="-22"/>
          <w:w w:val="93"/>
          <w:sz w:val="20"/>
          <w:szCs w:val="20"/>
        </w:rPr>
        <w:t>2．</w:t>
      </w:r>
      <w:r>
        <w:rPr>
          <w:rFonts w:ascii="宋体" w:hAnsi="宋体" w:eastAsia="宋体" w:cs="宋体"/>
          <w:spacing w:val="-22"/>
          <w:w w:val="93"/>
          <w:sz w:val="20"/>
          <w:szCs w:val="20"/>
        </w:rPr>
        <w:t>激发师生活力，内部</w:t>
      </w:r>
      <w:r>
        <w:rPr>
          <w:rFonts w:ascii="微软雅黑" w:hAnsi="微软雅黑" w:eastAsia="微软雅黑" w:cs="微软雅黑"/>
          <w:spacing w:val="-22"/>
          <w:w w:val="93"/>
          <w:sz w:val="20"/>
          <w:szCs w:val="20"/>
        </w:rPr>
        <w:t>“</w:t>
      </w:r>
      <w:r>
        <w:rPr>
          <w:rFonts w:ascii="宋体" w:hAnsi="宋体" w:eastAsia="宋体" w:cs="宋体"/>
          <w:spacing w:val="-22"/>
          <w:w w:val="93"/>
          <w:sz w:val="20"/>
          <w:szCs w:val="20"/>
        </w:rPr>
        <w:t>驱动</w:t>
      </w:r>
      <w:r>
        <w:rPr>
          <w:rFonts w:ascii="微软雅黑" w:hAnsi="微软雅黑" w:eastAsia="微软雅黑" w:cs="微软雅黑"/>
          <w:spacing w:val="-22"/>
          <w:w w:val="93"/>
          <w:sz w:val="20"/>
          <w:szCs w:val="20"/>
        </w:rPr>
        <w:t>”</w:t>
      </w:r>
      <w:r>
        <w:rPr>
          <w:rFonts w:ascii="宋体" w:hAnsi="宋体" w:eastAsia="宋体" w:cs="宋体"/>
          <w:spacing w:val="-22"/>
          <w:w w:val="93"/>
          <w:sz w:val="20"/>
          <w:szCs w:val="20"/>
        </w:rPr>
        <w:t>质量文化建设</w:t>
      </w:r>
    </w:p>
    <w:p>
      <w:pPr>
        <w:spacing w:before="58" w:line="247" w:lineRule="auto"/>
        <w:ind w:firstLine="363"/>
        <w:rPr>
          <w:rFonts w:ascii="宋体" w:hAnsi="宋体" w:eastAsia="宋体" w:cs="宋体"/>
          <w:sz w:val="20"/>
          <w:szCs w:val="20"/>
        </w:rPr>
      </w:pPr>
      <w:r>
        <w:rPr>
          <w:rFonts w:ascii="宋体" w:hAnsi="宋体" w:eastAsia="宋体" w:cs="宋体"/>
          <w:spacing w:val="-19"/>
          <w:w w:val="98"/>
          <w:sz w:val="20"/>
          <w:szCs w:val="20"/>
        </w:rPr>
        <w:t>教师与学生是大学质量文化建设的主体</w:t>
      </w:r>
      <w:r>
        <w:rPr>
          <w:rFonts w:ascii="宋体" w:hAnsi="宋体" w:eastAsia="宋体" w:cs="宋体"/>
          <w:spacing w:val="-19"/>
          <w:w w:val="98"/>
          <w:position w:val="1"/>
          <w:sz w:val="20"/>
          <w:szCs w:val="20"/>
        </w:rPr>
        <w:t>，</w:t>
      </w:r>
      <w:r>
        <w:rPr>
          <w:rFonts w:ascii="宋体" w:hAnsi="宋体" w:eastAsia="宋体" w:cs="宋体"/>
          <w:spacing w:val="-19"/>
          <w:w w:val="98"/>
          <w:sz w:val="20"/>
          <w:szCs w:val="20"/>
        </w:rPr>
        <w:t>激发教师与学</w:t>
      </w:r>
      <w:r>
        <w:rPr>
          <w:rFonts w:ascii="宋体" w:hAnsi="宋体" w:eastAsia="宋体" w:cs="宋体"/>
          <w:spacing w:val="14"/>
          <w:sz w:val="20"/>
          <w:szCs w:val="20"/>
        </w:rPr>
        <w:t xml:space="preserve"> </w:t>
      </w:r>
      <w:r>
        <w:rPr>
          <w:rFonts w:ascii="宋体" w:hAnsi="宋体" w:eastAsia="宋体" w:cs="宋体"/>
          <w:spacing w:val="-19"/>
          <w:w w:val="98"/>
          <w:sz w:val="20"/>
          <w:szCs w:val="20"/>
        </w:rPr>
        <w:t>生的参与热情是质量文化建设的关键</w:t>
      </w:r>
      <w:r>
        <w:rPr>
          <w:rFonts w:ascii="微软雅黑" w:hAnsi="微软雅黑" w:eastAsia="微软雅黑" w:cs="微软雅黑"/>
          <w:spacing w:val="-19"/>
          <w:w w:val="98"/>
          <w:position w:val="1"/>
          <w:sz w:val="20"/>
          <w:szCs w:val="20"/>
        </w:rPr>
        <w:t>。</w:t>
      </w:r>
      <w:r>
        <w:rPr>
          <w:rFonts w:ascii="宋体" w:hAnsi="宋体" w:eastAsia="宋体" w:cs="宋体"/>
          <w:spacing w:val="-19"/>
          <w:w w:val="98"/>
          <w:sz w:val="20"/>
          <w:szCs w:val="20"/>
        </w:rPr>
        <w:t>研究表明</w:t>
      </w:r>
      <w:r>
        <w:rPr>
          <w:rFonts w:ascii="宋体" w:hAnsi="宋体" w:eastAsia="宋体" w:cs="宋体"/>
          <w:spacing w:val="-19"/>
          <w:w w:val="98"/>
          <w:position w:val="1"/>
          <w:sz w:val="20"/>
          <w:szCs w:val="20"/>
        </w:rPr>
        <w:t>，</w:t>
      </w:r>
      <w:r>
        <w:rPr>
          <w:rFonts w:ascii="宋体" w:hAnsi="宋体" w:eastAsia="宋体" w:cs="宋体"/>
          <w:spacing w:val="-19"/>
          <w:w w:val="98"/>
          <w:sz w:val="20"/>
          <w:szCs w:val="20"/>
        </w:rPr>
        <w:t>大学质量</w:t>
      </w:r>
      <w:r>
        <w:rPr>
          <w:rFonts w:ascii="宋体" w:hAnsi="宋体" w:eastAsia="宋体" w:cs="宋体"/>
          <w:spacing w:val="24"/>
          <w:sz w:val="20"/>
          <w:szCs w:val="20"/>
        </w:rPr>
        <w:t xml:space="preserve"> </w:t>
      </w:r>
      <w:r>
        <w:rPr>
          <w:rFonts w:ascii="宋体" w:hAnsi="宋体" w:eastAsia="宋体" w:cs="宋体"/>
          <w:spacing w:val="-19"/>
          <w:w w:val="98"/>
          <w:sz w:val="20"/>
          <w:szCs w:val="20"/>
        </w:rPr>
        <w:t>文化具有一定程度的控制性</w:t>
      </w:r>
      <w:r>
        <w:rPr>
          <w:rFonts w:ascii="宋体" w:hAnsi="宋体" w:eastAsia="宋体" w:cs="宋体"/>
          <w:spacing w:val="-19"/>
          <w:w w:val="98"/>
          <w:position w:val="1"/>
          <w:sz w:val="20"/>
          <w:szCs w:val="20"/>
        </w:rPr>
        <w:t>，</w:t>
      </w:r>
      <w:r>
        <w:rPr>
          <w:rFonts w:ascii="宋体" w:hAnsi="宋体" w:eastAsia="宋体" w:cs="宋体"/>
          <w:spacing w:val="-19"/>
          <w:w w:val="98"/>
          <w:sz w:val="20"/>
          <w:szCs w:val="20"/>
        </w:rPr>
        <w:t>这种控制性体现在对大学的自</w:t>
      </w:r>
      <w:r>
        <w:rPr>
          <w:rFonts w:ascii="宋体" w:hAnsi="宋体" w:eastAsia="宋体" w:cs="宋体"/>
          <w:spacing w:val="11"/>
          <w:sz w:val="20"/>
          <w:szCs w:val="20"/>
        </w:rPr>
        <w:t xml:space="preserve">  </w:t>
      </w:r>
      <w:r>
        <w:rPr>
          <w:rFonts w:ascii="宋体" w:hAnsi="宋体" w:eastAsia="宋体" w:cs="宋体"/>
          <w:spacing w:val="-19"/>
          <w:sz w:val="20"/>
          <w:szCs w:val="20"/>
        </w:rPr>
        <w:t>主性</w:t>
      </w:r>
      <w:r>
        <w:rPr>
          <w:rFonts w:ascii="微软雅黑" w:hAnsi="微软雅黑" w:eastAsia="微软雅黑" w:cs="微软雅黑"/>
          <w:spacing w:val="-19"/>
          <w:sz w:val="20"/>
          <w:szCs w:val="20"/>
        </w:rPr>
        <w:t>、</w:t>
      </w:r>
      <w:r>
        <w:rPr>
          <w:rFonts w:ascii="宋体" w:hAnsi="宋体" w:eastAsia="宋体" w:cs="宋体"/>
          <w:spacing w:val="-19"/>
          <w:sz w:val="20"/>
          <w:szCs w:val="20"/>
        </w:rPr>
        <w:t>完整性和创造性的控制方面</w:t>
      </w:r>
      <w:r>
        <w:rPr>
          <w:rFonts w:ascii="宋体" w:hAnsi="宋体" w:eastAsia="宋体" w:cs="宋体"/>
          <w:spacing w:val="-19"/>
          <w:position w:val="9"/>
          <w:sz w:val="11"/>
          <w:szCs w:val="11"/>
        </w:rPr>
        <w:t>［</w:t>
      </w:r>
      <w:r>
        <w:rPr>
          <w:rFonts w:ascii="微软雅黑" w:hAnsi="微软雅黑" w:eastAsia="微软雅黑" w:cs="微软雅黑"/>
          <w:spacing w:val="-19"/>
          <w:position w:val="9"/>
          <w:sz w:val="11"/>
          <w:szCs w:val="11"/>
        </w:rPr>
        <w:t>13</w:t>
      </w:r>
      <w:r>
        <w:rPr>
          <w:rFonts w:ascii="宋体" w:hAnsi="宋体" w:eastAsia="宋体" w:cs="宋体"/>
          <w:spacing w:val="-19"/>
          <w:position w:val="9"/>
          <w:sz w:val="11"/>
          <w:szCs w:val="11"/>
        </w:rPr>
        <w:t>］</w:t>
      </w:r>
      <w:r>
        <w:rPr>
          <w:rFonts w:ascii="微软雅黑" w:hAnsi="微软雅黑" w:eastAsia="微软雅黑" w:cs="微软雅黑"/>
          <w:spacing w:val="-19"/>
          <w:sz w:val="20"/>
          <w:szCs w:val="20"/>
        </w:rPr>
        <w:t>。</w:t>
      </w:r>
      <w:r>
        <w:rPr>
          <w:rFonts w:ascii="宋体" w:hAnsi="宋体" w:eastAsia="宋体" w:cs="宋体"/>
          <w:spacing w:val="-19"/>
          <w:sz w:val="20"/>
          <w:szCs w:val="20"/>
        </w:rPr>
        <w:t>在一流本科教育的</w:t>
      </w:r>
      <w:r>
        <w:rPr>
          <w:rFonts w:ascii="宋体" w:hAnsi="宋体" w:eastAsia="宋体" w:cs="宋体"/>
          <w:spacing w:val="9"/>
          <w:sz w:val="20"/>
          <w:szCs w:val="20"/>
        </w:rPr>
        <w:t xml:space="preserve"> </w:t>
      </w:r>
      <w:r>
        <w:rPr>
          <w:rFonts w:ascii="宋体" w:hAnsi="宋体" w:eastAsia="宋体" w:cs="宋体"/>
          <w:spacing w:val="-21"/>
          <w:w w:val="99"/>
          <w:sz w:val="20"/>
          <w:szCs w:val="20"/>
        </w:rPr>
        <w:t>视域下</w:t>
      </w:r>
      <w:r>
        <w:rPr>
          <w:rFonts w:ascii="宋体" w:hAnsi="宋体" w:eastAsia="宋体" w:cs="宋体"/>
          <w:spacing w:val="-21"/>
          <w:w w:val="99"/>
          <w:position w:val="1"/>
          <w:sz w:val="20"/>
          <w:szCs w:val="20"/>
        </w:rPr>
        <w:t>，</w:t>
      </w:r>
      <w:r>
        <w:rPr>
          <w:rFonts w:ascii="宋体" w:hAnsi="宋体" w:eastAsia="宋体" w:cs="宋体"/>
          <w:spacing w:val="-21"/>
          <w:w w:val="99"/>
          <w:sz w:val="20"/>
          <w:szCs w:val="20"/>
        </w:rPr>
        <w:t>高校对一流人才培养目标的定位难免不受到诸如大</w:t>
      </w:r>
      <w:r>
        <w:rPr>
          <w:rFonts w:ascii="宋体" w:hAnsi="宋体" w:eastAsia="宋体" w:cs="宋体"/>
          <w:spacing w:val="10"/>
          <w:sz w:val="20"/>
          <w:szCs w:val="20"/>
        </w:rPr>
        <w:t xml:space="preserve">  </w:t>
      </w:r>
      <w:r>
        <w:rPr>
          <w:rFonts w:ascii="宋体" w:hAnsi="宋体" w:eastAsia="宋体" w:cs="宋体"/>
          <w:spacing w:val="-19"/>
          <w:w w:val="95"/>
          <w:sz w:val="20"/>
          <w:szCs w:val="20"/>
        </w:rPr>
        <w:t>学排名</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质量论证</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教学评估等形成的规划的制约</w:t>
      </w:r>
      <w:r>
        <w:rPr>
          <w:rFonts w:ascii="宋体" w:hAnsi="宋体" w:eastAsia="宋体" w:cs="宋体"/>
          <w:spacing w:val="-19"/>
          <w:w w:val="95"/>
          <w:position w:val="1"/>
          <w:sz w:val="20"/>
          <w:szCs w:val="20"/>
        </w:rPr>
        <w:t>，</w:t>
      </w:r>
      <w:r>
        <w:rPr>
          <w:rFonts w:ascii="宋体" w:hAnsi="宋体" w:eastAsia="宋体" w:cs="宋体"/>
          <w:spacing w:val="-19"/>
          <w:w w:val="95"/>
          <w:sz w:val="20"/>
          <w:szCs w:val="20"/>
        </w:rPr>
        <w:t>没有师生</w:t>
      </w:r>
      <w:r>
        <w:rPr>
          <w:rFonts w:ascii="宋体" w:hAnsi="宋体" w:eastAsia="宋体" w:cs="宋体"/>
          <w:spacing w:val="9"/>
          <w:sz w:val="20"/>
          <w:szCs w:val="20"/>
        </w:rPr>
        <w:t xml:space="preserve"> </w:t>
      </w:r>
      <w:r>
        <w:rPr>
          <w:rFonts w:ascii="宋体" w:hAnsi="宋体" w:eastAsia="宋体" w:cs="宋体"/>
          <w:spacing w:val="-12"/>
          <w:sz w:val="20"/>
          <w:szCs w:val="20"/>
        </w:rPr>
        <w:t>广泛参与的大学教育质量文化建设缺乏正向的激励功能</w:t>
      </w:r>
      <w:r>
        <w:rPr>
          <w:rFonts w:ascii="微软雅黑" w:hAnsi="微软雅黑" w:eastAsia="微软雅黑" w:cs="微软雅黑"/>
          <w:spacing w:val="-12"/>
          <w:position w:val="1"/>
          <w:sz w:val="20"/>
          <w:szCs w:val="20"/>
        </w:rPr>
        <w:t>。</w:t>
      </w:r>
      <w:r>
        <w:rPr>
          <w:rFonts w:ascii="微软雅黑" w:hAnsi="微软雅黑" w:eastAsia="微软雅黑" w:cs="微软雅黑"/>
          <w:spacing w:val="5"/>
          <w:position w:val="1"/>
          <w:sz w:val="20"/>
          <w:szCs w:val="20"/>
        </w:rPr>
        <w:t xml:space="preserve"> </w:t>
      </w:r>
      <w:r>
        <w:rPr>
          <w:rFonts w:ascii="宋体" w:hAnsi="宋体" w:eastAsia="宋体" w:cs="宋体"/>
          <w:spacing w:val="-19"/>
          <w:w w:val="98"/>
          <w:sz w:val="20"/>
          <w:szCs w:val="20"/>
        </w:rPr>
        <w:t>要激发教师与学生的参与热情</w:t>
      </w:r>
      <w:r>
        <w:rPr>
          <w:rFonts w:ascii="宋体" w:hAnsi="宋体" w:eastAsia="宋体" w:cs="宋体"/>
          <w:spacing w:val="-19"/>
          <w:w w:val="98"/>
          <w:position w:val="1"/>
          <w:sz w:val="20"/>
          <w:szCs w:val="20"/>
        </w:rPr>
        <w:t>，</w:t>
      </w:r>
      <w:r>
        <w:rPr>
          <w:rFonts w:ascii="宋体" w:hAnsi="宋体" w:eastAsia="宋体" w:cs="宋体"/>
          <w:spacing w:val="-19"/>
          <w:w w:val="98"/>
          <w:sz w:val="20"/>
          <w:szCs w:val="20"/>
        </w:rPr>
        <w:t>一是要注重利用崇尚质量的</w:t>
      </w:r>
      <w:r>
        <w:rPr>
          <w:rFonts w:ascii="宋体" w:hAnsi="宋体" w:eastAsia="宋体" w:cs="宋体"/>
          <w:spacing w:val="23"/>
          <w:sz w:val="20"/>
          <w:szCs w:val="20"/>
        </w:rPr>
        <w:t xml:space="preserve"> </w:t>
      </w:r>
      <w:r>
        <w:rPr>
          <w:rFonts w:ascii="宋体" w:hAnsi="宋体" w:eastAsia="宋体" w:cs="宋体"/>
          <w:spacing w:val="-21"/>
          <w:w w:val="96"/>
          <w:sz w:val="20"/>
          <w:szCs w:val="20"/>
        </w:rPr>
        <w:t>校园氛围</w:t>
      </w:r>
      <w:r>
        <w:rPr>
          <w:rFonts w:ascii="宋体" w:hAnsi="宋体" w:eastAsia="宋体" w:cs="宋体"/>
          <w:spacing w:val="-21"/>
          <w:w w:val="96"/>
          <w:position w:val="1"/>
          <w:sz w:val="20"/>
          <w:szCs w:val="20"/>
        </w:rPr>
        <w:t>，</w:t>
      </w:r>
      <w:r>
        <w:rPr>
          <w:rFonts w:ascii="宋体" w:hAnsi="宋体" w:eastAsia="宋体" w:cs="宋体"/>
          <w:spacing w:val="-21"/>
          <w:w w:val="96"/>
          <w:sz w:val="20"/>
          <w:szCs w:val="20"/>
        </w:rPr>
        <w:t>加强对全校教职员工的质量文化教育</w:t>
      </w:r>
      <w:r>
        <w:rPr>
          <w:rFonts w:ascii="宋体" w:hAnsi="宋体" w:eastAsia="宋体" w:cs="宋体"/>
          <w:spacing w:val="-21"/>
          <w:w w:val="96"/>
          <w:position w:val="1"/>
          <w:sz w:val="20"/>
          <w:szCs w:val="20"/>
        </w:rPr>
        <w:t>，</w:t>
      </w:r>
      <w:r>
        <w:rPr>
          <w:rFonts w:ascii="宋体" w:hAnsi="宋体" w:eastAsia="宋体" w:cs="宋体"/>
          <w:spacing w:val="-21"/>
          <w:w w:val="96"/>
          <w:sz w:val="20"/>
          <w:szCs w:val="20"/>
        </w:rPr>
        <w:t>例如</w:t>
      </w:r>
      <w:r>
        <w:rPr>
          <w:rFonts w:ascii="宋体" w:hAnsi="宋体" w:eastAsia="宋体" w:cs="宋体"/>
          <w:spacing w:val="-21"/>
          <w:w w:val="96"/>
          <w:position w:val="1"/>
          <w:sz w:val="20"/>
          <w:szCs w:val="20"/>
        </w:rPr>
        <w:t>，</w:t>
      </w:r>
      <w:r>
        <w:rPr>
          <w:rFonts w:ascii="宋体" w:hAnsi="宋体" w:eastAsia="宋体" w:cs="宋体"/>
          <w:spacing w:val="-21"/>
          <w:w w:val="96"/>
          <w:sz w:val="20"/>
          <w:szCs w:val="20"/>
        </w:rPr>
        <w:t>邀请</w:t>
      </w:r>
      <w:r>
        <w:rPr>
          <w:rFonts w:ascii="宋体" w:hAnsi="宋体" w:eastAsia="宋体" w:cs="宋体"/>
          <w:spacing w:val="10"/>
          <w:sz w:val="20"/>
          <w:szCs w:val="20"/>
        </w:rPr>
        <w:t xml:space="preserve"> </w:t>
      </w:r>
      <w:r>
        <w:rPr>
          <w:rFonts w:ascii="宋体" w:hAnsi="宋体" w:eastAsia="宋体" w:cs="宋体"/>
          <w:spacing w:val="-20"/>
          <w:w w:val="99"/>
          <w:sz w:val="20"/>
          <w:szCs w:val="20"/>
        </w:rPr>
        <w:t>专家介绍一流大学的教育教学质量监控体系</w:t>
      </w:r>
      <w:r>
        <w:rPr>
          <w:rFonts w:ascii="宋体" w:hAnsi="宋体" w:eastAsia="宋体" w:cs="宋体"/>
          <w:spacing w:val="-51"/>
          <w:sz w:val="20"/>
          <w:szCs w:val="20"/>
        </w:rPr>
        <w:t xml:space="preserve"> </w:t>
      </w:r>
      <w:r>
        <w:rPr>
          <w:rFonts w:ascii="宋体" w:hAnsi="宋体" w:eastAsia="宋体" w:cs="宋体"/>
          <w:spacing w:val="-20"/>
          <w:w w:val="99"/>
          <w:position w:val="1"/>
          <w:sz w:val="20"/>
          <w:szCs w:val="20"/>
        </w:rPr>
        <w:t>;</w:t>
      </w:r>
      <w:r>
        <w:rPr>
          <w:rFonts w:ascii="宋体" w:hAnsi="宋体" w:eastAsia="宋体" w:cs="宋体"/>
          <w:spacing w:val="-52"/>
          <w:position w:val="1"/>
          <w:sz w:val="20"/>
          <w:szCs w:val="20"/>
        </w:rPr>
        <w:t xml:space="preserve"> </w:t>
      </w:r>
      <w:r>
        <w:rPr>
          <w:rFonts w:ascii="宋体" w:hAnsi="宋体" w:eastAsia="宋体" w:cs="宋体"/>
          <w:spacing w:val="-20"/>
          <w:w w:val="99"/>
          <w:sz w:val="20"/>
          <w:szCs w:val="20"/>
        </w:rPr>
        <w:t>表彰与奖励教</w:t>
      </w:r>
      <w:r>
        <w:rPr>
          <w:rFonts w:ascii="宋体" w:hAnsi="宋体" w:eastAsia="宋体" w:cs="宋体"/>
          <w:sz w:val="20"/>
          <w:szCs w:val="20"/>
        </w:rPr>
        <w:t xml:space="preserve"> </w:t>
      </w:r>
      <w:r>
        <w:rPr>
          <w:rFonts w:ascii="宋体" w:hAnsi="宋体" w:eastAsia="宋体" w:cs="宋体"/>
          <w:spacing w:val="-21"/>
          <w:sz w:val="20"/>
          <w:szCs w:val="20"/>
        </w:rPr>
        <w:t>育教学质量先进的个人或者单位</w:t>
      </w:r>
      <w:r>
        <w:rPr>
          <w:rFonts w:ascii="宋体" w:hAnsi="宋体" w:eastAsia="宋体" w:cs="宋体"/>
          <w:spacing w:val="-59"/>
          <w:sz w:val="20"/>
          <w:szCs w:val="20"/>
        </w:rPr>
        <w:t xml:space="preserve"> </w:t>
      </w:r>
      <w:r>
        <w:rPr>
          <w:rFonts w:ascii="宋体" w:hAnsi="宋体" w:eastAsia="宋体" w:cs="宋体"/>
          <w:spacing w:val="-21"/>
          <w:position w:val="1"/>
          <w:sz w:val="20"/>
          <w:szCs w:val="20"/>
        </w:rPr>
        <w:t>;</w:t>
      </w:r>
      <w:r>
        <w:rPr>
          <w:rFonts w:ascii="宋体" w:hAnsi="宋体" w:eastAsia="宋体" w:cs="宋体"/>
          <w:spacing w:val="-53"/>
          <w:position w:val="1"/>
          <w:sz w:val="20"/>
          <w:szCs w:val="20"/>
        </w:rPr>
        <w:t xml:space="preserve"> </w:t>
      </w:r>
      <w:r>
        <w:rPr>
          <w:rFonts w:ascii="宋体" w:hAnsi="宋体" w:eastAsia="宋体" w:cs="宋体"/>
          <w:spacing w:val="-21"/>
          <w:sz w:val="20"/>
          <w:szCs w:val="20"/>
        </w:rPr>
        <w:t>宣传杰出校友的成长事例</w:t>
      </w:r>
    </w:p>
    <w:p>
      <w:pPr>
        <w:spacing w:line="247" w:lineRule="auto"/>
        <w:rPr>
          <w:rFonts w:ascii="宋体" w:hAnsi="宋体" w:eastAsia="宋体" w:cs="宋体"/>
          <w:sz w:val="20"/>
          <w:szCs w:val="20"/>
        </w:rPr>
        <w:sectPr>
          <w:type w:val="continuous"/>
          <w:pgSz w:w="11905" w:h="16836"/>
          <w:pgMar w:top="974" w:right="1058" w:bottom="547" w:left="407" w:header="652" w:footer="354" w:gutter="0"/>
          <w:cols w:equalWidth="0" w:num="2">
            <w:col w:w="5631" w:space="100"/>
            <w:col w:w="4707"/>
          </w:cols>
        </w:sectPr>
      </w:pPr>
    </w:p>
    <w:p>
      <w:pPr>
        <w:spacing w:line="195" w:lineRule="exact"/>
      </w:pPr>
    </w:p>
    <w:p>
      <w:pPr>
        <w:spacing w:line="195" w:lineRule="exact"/>
        <w:sectPr>
          <w:headerReference r:id="rId75" w:type="default"/>
          <w:footerReference r:id="rId76" w:type="default"/>
          <w:pgSz w:w="11905" w:h="16836"/>
          <w:pgMar w:top="974" w:right="1062" w:bottom="547" w:left="407" w:header="652" w:footer="354" w:gutter="0"/>
          <w:cols w:equalWidth="0" w:num="1">
            <w:col w:w="10434"/>
          </w:cols>
        </w:sectPr>
      </w:pPr>
    </w:p>
    <w:p>
      <w:pPr>
        <w:spacing w:before="43" w:line="220" w:lineRule="auto"/>
        <w:ind w:left="732" w:right="245" w:firstLine="3"/>
        <w:jc w:val="both"/>
        <w:rPr>
          <w:rFonts w:ascii="微软雅黑" w:hAnsi="微软雅黑" w:eastAsia="微软雅黑" w:cs="微软雅黑"/>
          <w:sz w:val="20"/>
          <w:szCs w:val="20"/>
        </w:rPr>
      </w:pPr>
      <w:r>
        <w:rPr>
          <w:rFonts w:ascii="宋体" w:hAnsi="宋体" w:eastAsia="宋体" w:cs="宋体"/>
          <w:spacing w:val="-15"/>
          <w:sz w:val="20"/>
          <w:szCs w:val="20"/>
        </w:rPr>
        <w:t>与学校教育质量的关系</w:t>
      </w:r>
      <w:r>
        <w:rPr>
          <w:rFonts w:ascii="宋体" w:hAnsi="宋体" w:eastAsia="宋体" w:cs="宋体"/>
          <w:spacing w:val="-15"/>
          <w:position w:val="1"/>
          <w:sz w:val="20"/>
          <w:szCs w:val="20"/>
        </w:rPr>
        <w:t>，</w:t>
      </w:r>
      <w:r>
        <w:rPr>
          <w:rFonts w:ascii="宋体" w:hAnsi="宋体" w:eastAsia="宋体" w:cs="宋体"/>
          <w:spacing w:val="-15"/>
          <w:sz w:val="20"/>
          <w:szCs w:val="20"/>
        </w:rPr>
        <w:t>等等</w:t>
      </w:r>
      <w:r>
        <w:rPr>
          <w:rFonts w:ascii="微软雅黑" w:hAnsi="微软雅黑" w:eastAsia="微软雅黑" w:cs="微软雅黑"/>
          <w:spacing w:val="-15"/>
          <w:position w:val="1"/>
          <w:sz w:val="20"/>
          <w:szCs w:val="20"/>
        </w:rPr>
        <w:t>。</w:t>
      </w:r>
      <w:r>
        <w:rPr>
          <w:rFonts w:ascii="宋体" w:hAnsi="宋体" w:eastAsia="宋体" w:cs="宋体"/>
          <w:spacing w:val="-15"/>
          <w:sz w:val="20"/>
          <w:szCs w:val="20"/>
        </w:rPr>
        <w:t>二是要完善质量</w:t>
      </w:r>
      <w:r>
        <w:rPr>
          <w:rFonts w:ascii="宋体" w:hAnsi="宋体" w:eastAsia="宋体" w:cs="宋体"/>
          <w:spacing w:val="-16"/>
          <w:sz w:val="20"/>
          <w:szCs w:val="20"/>
        </w:rPr>
        <w:t>文化的规</w:t>
      </w:r>
      <w:r>
        <w:rPr>
          <w:rFonts w:ascii="宋体" w:hAnsi="宋体" w:eastAsia="宋体" w:cs="宋体"/>
          <w:sz w:val="20"/>
          <w:szCs w:val="20"/>
        </w:rPr>
        <w:t xml:space="preserve"> </w:t>
      </w:r>
      <w:r>
        <w:rPr>
          <w:rFonts w:ascii="宋体" w:hAnsi="宋体" w:eastAsia="宋体" w:cs="宋体"/>
          <w:spacing w:val="-19"/>
          <w:w w:val="95"/>
          <w:sz w:val="20"/>
          <w:szCs w:val="20"/>
        </w:rPr>
        <w:t>制</w:t>
      </w:r>
      <w:r>
        <w:rPr>
          <w:rFonts w:ascii="宋体" w:hAnsi="宋体" w:eastAsia="宋体" w:cs="宋体"/>
          <w:spacing w:val="-19"/>
          <w:w w:val="95"/>
          <w:position w:val="1"/>
          <w:sz w:val="20"/>
          <w:szCs w:val="20"/>
        </w:rPr>
        <w:t>，</w:t>
      </w:r>
      <w:r>
        <w:rPr>
          <w:rFonts w:ascii="宋体" w:hAnsi="宋体" w:eastAsia="宋体" w:cs="宋体"/>
          <w:spacing w:val="-19"/>
          <w:w w:val="95"/>
          <w:sz w:val="20"/>
          <w:szCs w:val="20"/>
        </w:rPr>
        <w:t>例如</w:t>
      </w:r>
      <w:r>
        <w:rPr>
          <w:rFonts w:ascii="宋体" w:hAnsi="宋体" w:eastAsia="宋体" w:cs="宋体"/>
          <w:spacing w:val="-19"/>
          <w:w w:val="95"/>
          <w:position w:val="1"/>
          <w:sz w:val="20"/>
          <w:szCs w:val="20"/>
        </w:rPr>
        <w:t>，</w:t>
      </w:r>
      <w:r>
        <w:rPr>
          <w:rFonts w:ascii="宋体" w:hAnsi="宋体" w:eastAsia="宋体" w:cs="宋体"/>
          <w:spacing w:val="-19"/>
          <w:w w:val="95"/>
          <w:sz w:val="20"/>
          <w:szCs w:val="20"/>
        </w:rPr>
        <w:t>教育教学环节的质量控制</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教师教学质量的考核要</w:t>
      </w:r>
      <w:r>
        <w:rPr>
          <w:rFonts w:ascii="宋体" w:hAnsi="宋体" w:eastAsia="宋体" w:cs="宋体"/>
          <w:spacing w:val="7"/>
          <w:sz w:val="20"/>
          <w:szCs w:val="20"/>
        </w:rPr>
        <w:t xml:space="preserve"> </w:t>
      </w:r>
      <w:r>
        <w:rPr>
          <w:rFonts w:ascii="宋体" w:hAnsi="宋体" w:eastAsia="宋体" w:cs="宋体"/>
          <w:spacing w:val="-16"/>
          <w:sz w:val="20"/>
          <w:szCs w:val="20"/>
        </w:rPr>
        <w:t>求等</w:t>
      </w:r>
      <w:r>
        <w:rPr>
          <w:rFonts w:ascii="宋体" w:hAnsi="宋体" w:eastAsia="宋体" w:cs="宋体"/>
          <w:spacing w:val="-16"/>
          <w:position w:val="1"/>
          <w:sz w:val="20"/>
          <w:szCs w:val="20"/>
        </w:rPr>
        <w:t>，</w:t>
      </w:r>
      <w:r>
        <w:rPr>
          <w:rFonts w:ascii="宋体" w:hAnsi="宋体" w:eastAsia="宋体" w:cs="宋体"/>
          <w:spacing w:val="-16"/>
          <w:sz w:val="20"/>
          <w:szCs w:val="20"/>
        </w:rPr>
        <w:t>将大学质量文化内化为教师与学生的自觉行为</w:t>
      </w:r>
      <w:r>
        <w:rPr>
          <w:rFonts w:ascii="微软雅黑" w:hAnsi="微软雅黑" w:eastAsia="微软雅黑" w:cs="微软雅黑"/>
          <w:spacing w:val="-16"/>
          <w:position w:val="1"/>
          <w:sz w:val="20"/>
          <w:szCs w:val="20"/>
        </w:rPr>
        <w:t>。</w:t>
      </w:r>
      <w:r>
        <w:rPr>
          <w:rFonts w:ascii="微软雅黑" w:hAnsi="微软雅黑" w:eastAsia="微软雅黑" w:cs="微软雅黑"/>
          <w:spacing w:val="-33"/>
          <w:position w:val="1"/>
          <w:sz w:val="20"/>
          <w:szCs w:val="20"/>
        </w:rPr>
        <w:t xml:space="preserve"> </w:t>
      </w:r>
      <w:r>
        <w:rPr>
          <w:rFonts w:ascii="宋体" w:hAnsi="宋体" w:eastAsia="宋体" w:cs="宋体"/>
          <w:spacing w:val="-16"/>
          <w:sz w:val="20"/>
          <w:szCs w:val="20"/>
        </w:rPr>
        <w:t>目</w:t>
      </w:r>
      <w:r>
        <w:rPr>
          <w:rFonts w:ascii="宋体" w:hAnsi="宋体" w:eastAsia="宋体" w:cs="宋体"/>
          <w:sz w:val="20"/>
          <w:szCs w:val="20"/>
        </w:rPr>
        <w:t xml:space="preserve"> </w:t>
      </w:r>
      <w:r>
        <w:rPr>
          <w:rFonts w:ascii="宋体" w:hAnsi="宋体" w:eastAsia="宋体" w:cs="宋体"/>
          <w:spacing w:val="-23"/>
          <w:w w:val="97"/>
          <w:sz w:val="20"/>
          <w:szCs w:val="20"/>
        </w:rPr>
        <w:t>前，高校发展中最受诟病的是</w:t>
      </w:r>
      <w:r>
        <w:rPr>
          <w:rFonts w:ascii="微软雅黑" w:hAnsi="微软雅黑" w:eastAsia="微软雅黑" w:cs="微软雅黑"/>
          <w:spacing w:val="-23"/>
          <w:w w:val="97"/>
          <w:sz w:val="20"/>
          <w:szCs w:val="20"/>
        </w:rPr>
        <w:t>“</w:t>
      </w:r>
      <w:r>
        <w:rPr>
          <w:rFonts w:ascii="宋体" w:hAnsi="宋体" w:eastAsia="宋体" w:cs="宋体"/>
          <w:spacing w:val="-23"/>
          <w:w w:val="97"/>
          <w:sz w:val="20"/>
          <w:szCs w:val="20"/>
        </w:rPr>
        <w:t>出口质量</w:t>
      </w:r>
      <w:r>
        <w:rPr>
          <w:rFonts w:ascii="微软雅黑" w:hAnsi="微软雅黑" w:eastAsia="微软雅黑" w:cs="微软雅黑"/>
          <w:spacing w:val="-23"/>
          <w:w w:val="97"/>
          <w:sz w:val="20"/>
          <w:szCs w:val="20"/>
        </w:rPr>
        <w:t>”</w:t>
      </w:r>
      <w:r>
        <w:rPr>
          <w:rFonts w:ascii="宋体" w:hAnsi="宋体" w:eastAsia="宋体" w:cs="宋体"/>
          <w:spacing w:val="-23"/>
          <w:w w:val="97"/>
          <w:sz w:val="20"/>
          <w:szCs w:val="20"/>
        </w:rPr>
        <w:t>，亦即人才培养质</w:t>
      </w:r>
      <w:r>
        <w:rPr>
          <w:rFonts w:ascii="宋体" w:hAnsi="宋体" w:eastAsia="宋体" w:cs="宋体"/>
          <w:spacing w:val="8"/>
          <w:sz w:val="20"/>
          <w:szCs w:val="20"/>
        </w:rPr>
        <w:t xml:space="preserve"> </w:t>
      </w:r>
      <w:r>
        <w:rPr>
          <w:rFonts w:ascii="宋体" w:hAnsi="宋体" w:eastAsia="宋体" w:cs="宋体"/>
          <w:spacing w:val="-21"/>
          <w:w w:val="99"/>
          <w:sz w:val="20"/>
          <w:szCs w:val="20"/>
        </w:rPr>
        <w:t>量问题</w:t>
      </w:r>
      <w:r>
        <w:rPr>
          <w:rFonts w:ascii="宋体" w:hAnsi="宋体" w:eastAsia="宋体" w:cs="宋体"/>
          <w:spacing w:val="-21"/>
          <w:w w:val="99"/>
          <w:position w:val="1"/>
          <w:sz w:val="20"/>
          <w:szCs w:val="20"/>
        </w:rPr>
        <w:t>，</w:t>
      </w:r>
      <w:r>
        <w:rPr>
          <w:rFonts w:ascii="宋体" w:hAnsi="宋体" w:eastAsia="宋体" w:cs="宋体"/>
          <w:spacing w:val="-21"/>
          <w:w w:val="99"/>
          <w:sz w:val="20"/>
          <w:szCs w:val="20"/>
        </w:rPr>
        <w:t>其病根固然有学生主体方面的</w:t>
      </w:r>
      <w:r>
        <w:rPr>
          <w:rFonts w:ascii="宋体" w:hAnsi="宋体" w:eastAsia="宋体" w:cs="宋体"/>
          <w:spacing w:val="-21"/>
          <w:w w:val="99"/>
          <w:position w:val="1"/>
          <w:sz w:val="20"/>
          <w:szCs w:val="20"/>
        </w:rPr>
        <w:t>，</w:t>
      </w:r>
      <w:r>
        <w:rPr>
          <w:rFonts w:ascii="宋体" w:hAnsi="宋体" w:eastAsia="宋体" w:cs="宋体"/>
          <w:spacing w:val="-21"/>
          <w:w w:val="99"/>
          <w:sz w:val="20"/>
          <w:szCs w:val="20"/>
        </w:rPr>
        <w:t>但还有一个毋庸讳</w:t>
      </w:r>
      <w:r>
        <w:rPr>
          <w:rFonts w:ascii="宋体" w:hAnsi="宋体" w:eastAsia="宋体" w:cs="宋体"/>
          <w:spacing w:val="23"/>
          <w:sz w:val="20"/>
          <w:szCs w:val="20"/>
        </w:rPr>
        <w:t xml:space="preserve"> </w:t>
      </w:r>
      <w:r>
        <w:rPr>
          <w:rFonts w:ascii="宋体" w:hAnsi="宋体" w:eastAsia="宋体" w:cs="宋体"/>
          <w:spacing w:val="-23"/>
          <w:w w:val="97"/>
          <w:sz w:val="20"/>
          <w:szCs w:val="20"/>
        </w:rPr>
        <w:t>言的</w:t>
      </w:r>
      <w:r>
        <w:rPr>
          <w:rFonts w:ascii="微软雅黑" w:hAnsi="微软雅黑" w:eastAsia="微软雅黑" w:cs="微软雅黑"/>
          <w:spacing w:val="-23"/>
          <w:w w:val="97"/>
          <w:sz w:val="20"/>
          <w:szCs w:val="20"/>
        </w:rPr>
        <w:t>“</w:t>
      </w:r>
      <w:r>
        <w:rPr>
          <w:rFonts w:ascii="宋体" w:hAnsi="宋体" w:eastAsia="宋体" w:cs="宋体"/>
          <w:spacing w:val="-23"/>
          <w:w w:val="97"/>
          <w:sz w:val="20"/>
          <w:szCs w:val="20"/>
        </w:rPr>
        <w:t>病灶</w:t>
      </w:r>
      <w:r>
        <w:rPr>
          <w:rFonts w:ascii="微软雅黑" w:hAnsi="微软雅黑" w:eastAsia="微软雅黑" w:cs="微软雅黑"/>
          <w:spacing w:val="-23"/>
          <w:w w:val="97"/>
          <w:sz w:val="20"/>
          <w:szCs w:val="20"/>
        </w:rPr>
        <w:t>”</w:t>
      </w:r>
      <w:r>
        <w:rPr>
          <w:rFonts w:ascii="宋体" w:hAnsi="宋体" w:eastAsia="宋体" w:cs="宋体"/>
          <w:spacing w:val="-23"/>
          <w:w w:val="97"/>
          <w:sz w:val="20"/>
          <w:szCs w:val="20"/>
        </w:rPr>
        <w:t>就是</w:t>
      </w:r>
      <w:r>
        <w:rPr>
          <w:rFonts w:ascii="微软雅黑" w:hAnsi="微软雅黑" w:eastAsia="微软雅黑" w:cs="微软雅黑"/>
          <w:spacing w:val="-23"/>
          <w:w w:val="97"/>
          <w:sz w:val="20"/>
          <w:szCs w:val="20"/>
        </w:rPr>
        <w:t>“</w:t>
      </w:r>
      <w:r>
        <w:rPr>
          <w:rFonts w:ascii="宋体" w:hAnsi="宋体" w:eastAsia="宋体" w:cs="宋体"/>
          <w:spacing w:val="-23"/>
          <w:w w:val="97"/>
          <w:sz w:val="20"/>
          <w:szCs w:val="20"/>
        </w:rPr>
        <w:t>教学问题</w:t>
      </w:r>
      <w:r>
        <w:rPr>
          <w:rFonts w:ascii="微软雅黑" w:hAnsi="微软雅黑" w:eastAsia="微软雅黑" w:cs="微软雅黑"/>
          <w:spacing w:val="-23"/>
          <w:w w:val="97"/>
          <w:sz w:val="20"/>
          <w:szCs w:val="20"/>
        </w:rPr>
        <w:t>”</w:t>
      </w:r>
      <w:r>
        <w:rPr>
          <w:rFonts w:ascii="宋体" w:hAnsi="宋体" w:eastAsia="宋体" w:cs="宋体"/>
          <w:spacing w:val="-23"/>
          <w:w w:val="97"/>
          <w:sz w:val="20"/>
          <w:szCs w:val="20"/>
        </w:rPr>
        <w:t>，其中最值得关注的是教师问</w:t>
      </w:r>
      <w:r>
        <w:rPr>
          <w:rFonts w:ascii="宋体" w:hAnsi="宋体" w:eastAsia="宋体" w:cs="宋体"/>
          <w:spacing w:val="7"/>
          <w:sz w:val="20"/>
          <w:szCs w:val="20"/>
        </w:rPr>
        <w:t xml:space="preserve"> </w:t>
      </w:r>
      <w:r>
        <w:rPr>
          <w:rFonts w:ascii="宋体" w:hAnsi="宋体" w:eastAsia="宋体" w:cs="宋体"/>
          <w:spacing w:val="-21"/>
          <w:w w:val="96"/>
          <w:sz w:val="20"/>
          <w:szCs w:val="20"/>
        </w:rPr>
        <w:t>题</w:t>
      </w:r>
      <w:r>
        <w:rPr>
          <w:rFonts w:ascii="微软雅黑" w:hAnsi="微软雅黑" w:eastAsia="微软雅黑" w:cs="微软雅黑"/>
          <w:spacing w:val="-21"/>
          <w:w w:val="96"/>
          <w:position w:val="1"/>
          <w:sz w:val="20"/>
          <w:szCs w:val="20"/>
        </w:rPr>
        <w:t>。</w:t>
      </w:r>
      <w:r>
        <w:rPr>
          <w:rFonts w:ascii="宋体" w:hAnsi="宋体" w:eastAsia="宋体" w:cs="宋体"/>
          <w:spacing w:val="-21"/>
          <w:w w:val="96"/>
          <w:sz w:val="20"/>
          <w:szCs w:val="20"/>
        </w:rPr>
        <w:t>因此</w:t>
      </w:r>
      <w:r>
        <w:rPr>
          <w:rFonts w:ascii="宋体" w:hAnsi="宋体" w:eastAsia="宋体" w:cs="宋体"/>
          <w:spacing w:val="-21"/>
          <w:w w:val="96"/>
          <w:position w:val="1"/>
          <w:sz w:val="20"/>
          <w:szCs w:val="20"/>
        </w:rPr>
        <w:t>，</w:t>
      </w:r>
      <w:r>
        <w:rPr>
          <w:rFonts w:ascii="宋体" w:hAnsi="宋体" w:eastAsia="宋体" w:cs="宋体"/>
          <w:spacing w:val="-21"/>
          <w:w w:val="96"/>
          <w:sz w:val="20"/>
          <w:szCs w:val="20"/>
        </w:rPr>
        <w:t>围绕人才培养质量</w:t>
      </w:r>
      <w:r>
        <w:rPr>
          <w:rFonts w:ascii="宋体" w:hAnsi="宋体" w:eastAsia="宋体" w:cs="宋体"/>
          <w:spacing w:val="-21"/>
          <w:w w:val="96"/>
          <w:position w:val="1"/>
          <w:sz w:val="20"/>
          <w:szCs w:val="20"/>
        </w:rPr>
        <w:t>，</w:t>
      </w:r>
      <w:r>
        <w:rPr>
          <w:rFonts w:ascii="宋体" w:hAnsi="宋体" w:eastAsia="宋体" w:cs="宋体"/>
          <w:spacing w:val="-21"/>
          <w:w w:val="96"/>
          <w:sz w:val="20"/>
          <w:szCs w:val="20"/>
        </w:rPr>
        <w:t>建设高水平的教学队伍</w:t>
      </w:r>
      <w:r>
        <w:rPr>
          <w:rFonts w:ascii="宋体" w:hAnsi="宋体" w:eastAsia="宋体" w:cs="宋体"/>
          <w:spacing w:val="-21"/>
          <w:w w:val="96"/>
          <w:position w:val="1"/>
          <w:sz w:val="20"/>
          <w:szCs w:val="20"/>
        </w:rPr>
        <w:t>，</w:t>
      </w:r>
      <w:r>
        <w:rPr>
          <w:rFonts w:ascii="宋体" w:hAnsi="宋体" w:eastAsia="宋体" w:cs="宋体"/>
          <w:spacing w:val="-21"/>
          <w:w w:val="96"/>
          <w:sz w:val="20"/>
          <w:szCs w:val="20"/>
        </w:rPr>
        <w:t>激发</w:t>
      </w:r>
      <w:r>
        <w:rPr>
          <w:rFonts w:ascii="宋体" w:hAnsi="宋体" w:eastAsia="宋体" w:cs="宋体"/>
          <w:spacing w:val="9"/>
          <w:sz w:val="20"/>
          <w:szCs w:val="20"/>
        </w:rPr>
        <w:t xml:space="preserve"> </w:t>
      </w:r>
      <w:r>
        <w:rPr>
          <w:rFonts w:ascii="宋体" w:hAnsi="宋体" w:eastAsia="宋体" w:cs="宋体"/>
          <w:spacing w:val="-19"/>
          <w:w w:val="95"/>
          <w:sz w:val="20"/>
          <w:szCs w:val="20"/>
        </w:rPr>
        <w:t>教师关注教学</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热爱教学</w:t>
      </w:r>
      <w:r>
        <w:rPr>
          <w:rFonts w:ascii="微软雅黑" w:hAnsi="微软雅黑" w:eastAsia="微软雅黑" w:cs="微软雅黑"/>
          <w:spacing w:val="-19"/>
          <w:w w:val="95"/>
          <w:position w:val="1"/>
          <w:sz w:val="20"/>
          <w:szCs w:val="20"/>
        </w:rPr>
        <w:t>、</w:t>
      </w:r>
      <w:r>
        <w:rPr>
          <w:rFonts w:ascii="宋体" w:hAnsi="宋体" w:eastAsia="宋体" w:cs="宋体"/>
          <w:spacing w:val="-19"/>
          <w:w w:val="95"/>
          <w:sz w:val="20"/>
          <w:szCs w:val="20"/>
        </w:rPr>
        <w:t>钻研教学的主动性和积极性</w:t>
      </w:r>
      <w:r>
        <w:rPr>
          <w:rFonts w:ascii="宋体" w:hAnsi="宋体" w:eastAsia="宋体" w:cs="宋体"/>
          <w:spacing w:val="-19"/>
          <w:w w:val="95"/>
          <w:position w:val="1"/>
          <w:sz w:val="20"/>
          <w:szCs w:val="20"/>
        </w:rPr>
        <w:t>，</w:t>
      </w:r>
      <w:r>
        <w:rPr>
          <w:rFonts w:ascii="宋体" w:hAnsi="宋体" w:eastAsia="宋体" w:cs="宋体"/>
          <w:spacing w:val="-19"/>
          <w:w w:val="95"/>
          <w:sz w:val="20"/>
          <w:szCs w:val="20"/>
        </w:rPr>
        <w:t>提升</w:t>
      </w:r>
      <w:r>
        <w:rPr>
          <w:rFonts w:ascii="宋体" w:hAnsi="宋体" w:eastAsia="宋体" w:cs="宋体"/>
          <w:spacing w:val="9"/>
          <w:sz w:val="20"/>
          <w:szCs w:val="20"/>
        </w:rPr>
        <w:t xml:space="preserve"> </w:t>
      </w:r>
      <w:r>
        <w:rPr>
          <w:rFonts w:ascii="宋体" w:hAnsi="宋体" w:eastAsia="宋体" w:cs="宋体"/>
          <w:spacing w:val="-17"/>
          <w:w w:val="97"/>
          <w:sz w:val="20"/>
          <w:szCs w:val="20"/>
        </w:rPr>
        <w:t>教师教学改革意愿和教学创新能力</w:t>
      </w:r>
      <w:r>
        <w:rPr>
          <w:rFonts w:ascii="宋体" w:hAnsi="宋体" w:eastAsia="宋体" w:cs="宋体"/>
          <w:spacing w:val="-17"/>
          <w:w w:val="97"/>
          <w:position w:val="1"/>
          <w:sz w:val="20"/>
          <w:szCs w:val="20"/>
        </w:rPr>
        <w:t>，</w:t>
      </w:r>
      <w:r>
        <w:rPr>
          <w:rFonts w:ascii="宋体" w:hAnsi="宋体" w:eastAsia="宋体" w:cs="宋体"/>
          <w:spacing w:val="-17"/>
          <w:w w:val="97"/>
          <w:sz w:val="20"/>
          <w:szCs w:val="20"/>
        </w:rPr>
        <w:t>抓好教风建设是根本</w:t>
      </w:r>
      <w:r>
        <w:rPr>
          <w:rFonts w:ascii="微软雅黑" w:hAnsi="微软雅黑" w:eastAsia="微软雅黑" w:cs="微软雅黑"/>
          <w:spacing w:val="-17"/>
          <w:w w:val="97"/>
          <w:position w:val="1"/>
          <w:sz w:val="20"/>
          <w:szCs w:val="20"/>
        </w:rPr>
        <w:t>。</w:t>
      </w:r>
    </w:p>
    <w:p>
      <w:pPr>
        <w:spacing w:before="59" w:line="185" w:lineRule="auto"/>
        <w:ind w:left="1084"/>
        <w:rPr>
          <w:rFonts w:ascii="宋体" w:hAnsi="宋体" w:eastAsia="宋体" w:cs="宋体"/>
          <w:sz w:val="20"/>
          <w:szCs w:val="20"/>
        </w:rPr>
      </w:pPr>
      <w:r>
        <w:rPr>
          <w:rFonts w:ascii="微软雅黑" w:hAnsi="微软雅黑" w:eastAsia="微软雅黑" w:cs="微软雅黑"/>
          <w:spacing w:val="-21"/>
          <w:w w:val="93"/>
          <w:sz w:val="20"/>
          <w:szCs w:val="20"/>
        </w:rPr>
        <w:t>3．</w:t>
      </w:r>
      <w:r>
        <w:rPr>
          <w:rFonts w:ascii="宋体" w:hAnsi="宋体" w:eastAsia="宋体" w:cs="宋体"/>
          <w:spacing w:val="-21"/>
          <w:w w:val="93"/>
          <w:sz w:val="20"/>
          <w:szCs w:val="20"/>
        </w:rPr>
        <w:t>引入第三方评估，外部</w:t>
      </w:r>
      <w:r>
        <w:rPr>
          <w:rFonts w:ascii="微软雅黑" w:hAnsi="微软雅黑" w:eastAsia="微软雅黑" w:cs="微软雅黑"/>
          <w:spacing w:val="-21"/>
          <w:w w:val="93"/>
          <w:sz w:val="20"/>
          <w:szCs w:val="20"/>
        </w:rPr>
        <w:t>“</w:t>
      </w:r>
      <w:r>
        <w:rPr>
          <w:rFonts w:ascii="宋体" w:hAnsi="宋体" w:eastAsia="宋体" w:cs="宋体"/>
          <w:spacing w:val="-21"/>
          <w:w w:val="93"/>
          <w:sz w:val="20"/>
          <w:szCs w:val="20"/>
        </w:rPr>
        <w:t>倒逼</w:t>
      </w:r>
      <w:r>
        <w:rPr>
          <w:rFonts w:ascii="微软雅黑" w:hAnsi="微软雅黑" w:eastAsia="微软雅黑" w:cs="微软雅黑"/>
          <w:spacing w:val="-21"/>
          <w:w w:val="93"/>
          <w:sz w:val="20"/>
          <w:szCs w:val="20"/>
        </w:rPr>
        <w:t>”</w:t>
      </w:r>
      <w:r>
        <w:rPr>
          <w:rFonts w:ascii="宋体" w:hAnsi="宋体" w:eastAsia="宋体" w:cs="宋体"/>
          <w:spacing w:val="-21"/>
          <w:w w:val="93"/>
          <w:sz w:val="20"/>
          <w:szCs w:val="20"/>
        </w:rPr>
        <w:t>质量文化建设</w:t>
      </w:r>
    </w:p>
    <w:p>
      <w:pPr>
        <w:spacing w:before="51" w:line="234" w:lineRule="auto"/>
        <w:ind w:left="731" w:right="181" w:firstLine="363"/>
        <w:rPr>
          <w:rFonts w:ascii="微软雅黑" w:hAnsi="微软雅黑" w:eastAsia="微软雅黑" w:cs="微软雅黑"/>
          <w:sz w:val="20"/>
          <w:szCs w:val="20"/>
        </w:rPr>
      </w:pPr>
      <w:r>
        <w:rPr>
          <w:rFonts w:ascii="宋体" w:hAnsi="宋体" w:eastAsia="宋体" w:cs="宋体"/>
          <w:spacing w:val="-22"/>
          <w:sz w:val="20"/>
          <w:szCs w:val="20"/>
        </w:rPr>
        <w:t>按照质量文化建设的目标取向</w:t>
      </w:r>
      <w:r>
        <w:rPr>
          <w:rFonts w:ascii="宋体" w:hAnsi="宋体" w:eastAsia="宋体" w:cs="宋体"/>
          <w:spacing w:val="-22"/>
          <w:position w:val="1"/>
          <w:sz w:val="20"/>
          <w:szCs w:val="20"/>
        </w:rPr>
        <w:t>，</w:t>
      </w:r>
      <w:r>
        <w:rPr>
          <w:rFonts w:ascii="宋体" w:hAnsi="宋体" w:eastAsia="宋体" w:cs="宋体"/>
          <w:spacing w:val="-22"/>
          <w:sz w:val="20"/>
          <w:szCs w:val="20"/>
        </w:rPr>
        <w:t>无论是特色培养</w:t>
      </w:r>
      <w:r>
        <w:rPr>
          <w:rFonts w:ascii="微软雅黑" w:hAnsi="微软雅黑" w:eastAsia="微软雅黑" w:cs="微软雅黑"/>
          <w:spacing w:val="-22"/>
          <w:position w:val="1"/>
          <w:sz w:val="20"/>
          <w:szCs w:val="20"/>
        </w:rPr>
        <w:t>、</w:t>
      </w:r>
      <w:r>
        <w:rPr>
          <w:rFonts w:ascii="宋体" w:hAnsi="宋体" w:eastAsia="宋体" w:cs="宋体"/>
          <w:spacing w:val="-23"/>
          <w:sz w:val="20"/>
          <w:szCs w:val="20"/>
        </w:rPr>
        <w:t xml:space="preserve">全面 </w:t>
      </w:r>
      <w:r>
        <w:rPr>
          <w:rFonts w:ascii="宋体" w:hAnsi="宋体" w:eastAsia="宋体" w:cs="宋体"/>
          <w:spacing w:val="-23"/>
          <w:w w:val="97"/>
          <w:sz w:val="20"/>
          <w:szCs w:val="20"/>
        </w:rPr>
        <w:t>质量管理</w:t>
      </w:r>
      <w:r>
        <w:rPr>
          <w:rFonts w:ascii="宋体" w:hAnsi="宋体" w:eastAsia="宋体" w:cs="宋体"/>
          <w:spacing w:val="-23"/>
          <w:w w:val="97"/>
          <w:position w:val="1"/>
          <w:sz w:val="20"/>
          <w:szCs w:val="20"/>
        </w:rPr>
        <w:t>，</w:t>
      </w:r>
      <w:r>
        <w:rPr>
          <w:rFonts w:ascii="宋体" w:hAnsi="宋体" w:eastAsia="宋体" w:cs="宋体"/>
          <w:spacing w:val="-23"/>
          <w:w w:val="97"/>
          <w:sz w:val="20"/>
          <w:szCs w:val="20"/>
        </w:rPr>
        <w:t>还是学生本位</w:t>
      </w:r>
      <w:r>
        <w:rPr>
          <w:rFonts w:ascii="微软雅黑" w:hAnsi="微软雅黑" w:eastAsia="微软雅黑" w:cs="微软雅黑"/>
          <w:spacing w:val="-23"/>
          <w:w w:val="97"/>
          <w:position w:val="1"/>
          <w:sz w:val="20"/>
          <w:szCs w:val="20"/>
        </w:rPr>
        <w:t>、</w:t>
      </w:r>
      <w:r>
        <w:rPr>
          <w:rFonts w:ascii="宋体" w:hAnsi="宋体" w:eastAsia="宋体" w:cs="宋体"/>
          <w:spacing w:val="-23"/>
          <w:w w:val="97"/>
          <w:sz w:val="20"/>
          <w:szCs w:val="20"/>
        </w:rPr>
        <w:t>产出导向</w:t>
      </w:r>
      <w:r>
        <w:rPr>
          <w:rFonts w:ascii="宋体" w:hAnsi="宋体" w:eastAsia="宋体" w:cs="宋体"/>
          <w:spacing w:val="-23"/>
          <w:w w:val="97"/>
          <w:position w:val="1"/>
          <w:sz w:val="20"/>
          <w:szCs w:val="20"/>
        </w:rPr>
        <w:t>，</w:t>
      </w:r>
      <w:r>
        <w:rPr>
          <w:rFonts w:ascii="宋体" w:hAnsi="宋体" w:eastAsia="宋体" w:cs="宋体"/>
          <w:spacing w:val="-23"/>
          <w:w w:val="97"/>
          <w:sz w:val="20"/>
          <w:szCs w:val="20"/>
        </w:rPr>
        <w:t xml:space="preserve">最终要以满足学生发展 </w:t>
      </w:r>
      <w:r>
        <w:rPr>
          <w:rFonts w:ascii="宋体" w:hAnsi="宋体" w:eastAsia="宋体" w:cs="宋体"/>
          <w:spacing w:val="-20"/>
          <w:sz w:val="20"/>
          <w:szCs w:val="20"/>
        </w:rPr>
        <w:t>与社会需求为目标</w:t>
      </w:r>
      <w:r>
        <w:rPr>
          <w:rFonts w:ascii="微软雅黑" w:hAnsi="微软雅黑" w:eastAsia="微软雅黑" w:cs="微软雅黑"/>
          <w:spacing w:val="-20"/>
          <w:position w:val="1"/>
          <w:sz w:val="20"/>
          <w:szCs w:val="20"/>
        </w:rPr>
        <w:t>。</w:t>
      </w:r>
      <w:r>
        <w:rPr>
          <w:rFonts w:ascii="宋体" w:hAnsi="宋体" w:eastAsia="宋体" w:cs="宋体"/>
          <w:spacing w:val="-20"/>
          <w:sz w:val="20"/>
          <w:szCs w:val="20"/>
        </w:rPr>
        <w:t>要准确评价满足学生发展与社会需求</w:t>
      </w:r>
      <w:r>
        <w:rPr>
          <w:rFonts w:ascii="宋体" w:hAnsi="宋体" w:eastAsia="宋体" w:cs="宋体"/>
          <w:spacing w:val="-20"/>
          <w:position w:val="1"/>
          <w:sz w:val="20"/>
          <w:szCs w:val="20"/>
        </w:rPr>
        <w:t>，</w:t>
      </w:r>
      <w:r>
        <w:rPr>
          <w:rFonts w:ascii="宋体" w:hAnsi="宋体" w:eastAsia="宋体" w:cs="宋体"/>
          <w:spacing w:val="10"/>
          <w:position w:val="1"/>
          <w:sz w:val="20"/>
          <w:szCs w:val="20"/>
        </w:rPr>
        <w:t xml:space="preserve"> </w:t>
      </w:r>
      <w:r>
        <w:rPr>
          <w:rFonts w:ascii="宋体" w:hAnsi="宋体" w:eastAsia="宋体" w:cs="宋体"/>
          <w:spacing w:val="-22"/>
          <w:sz w:val="20"/>
          <w:szCs w:val="20"/>
        </w:rPr>
        <w:t>除了加强高校内部质量评价</w:t>
      </w:r>
      <w:r>
        <w:rPr>
          <w:rFonts w:ascii="宋体" w:hAnsi="宋体" w:eastAsia="宋体" w:cs="宋体"/>
          <w:spacing w:val="-22"/>
          <w:position w:val="1"/>
          <w:sz w:val="20"/>
          <w:szCs w:val="20"/>
        </w:rPr>
        <w:t>，</w:t>
      </w:r>
      <w:r>
        <w:rPr>
          <w:rFonts w:ascii="宋体" w:hAnsi="宋体" w:eastAsia="宋体" w:cs="宋体"/>
          <w:spacing w:val="-22"/>
          <w:sz w:val="20"/>
          <w:szCs w:val="20"/>
        </w:rPr>
        <w:t>还要引进外部评价机制</w:t>
      </w:r>
      <w:r>
        <w:rPr>
          <w:rFonts w:ascii="微软雅黑" w:hAnsi="微软雅黑" w:eastAsia="微软雅黑" w:cs="微软雅黑"/>
          <w:spacing w:val="-22"/>
          <w:position w:val="1"/>
          <w:sz w:val="20"/>
          <w:szCs w:val="20"/>
        </w:rPr>
        <w:t>。</w:t>
      </w:r>
      <w:r>
        <w:rPr>
          <w:rFonts w:ascii="宋体" w:hAnsi="宋体" w:eastAsia="宋体" w:cs="宋体"/>
          <w:spacing w:val="-22"/>
          <w:sz w:val="20"/>
          <w:szCs w:val="20"/>
        </w:rPr>
        <w:t xml:space="preserve">如前 </w:t>
      </w:r>
      <w:r>
        <w:rPr>
          <w:rFonts w:ascii="宋体" w:hAnsi="宋体" w:eastAsia="宋体" w:cs="宋体"/>
          <w:spacing w:val="-20"/>
          <w:w w:val="99"/>
          <w:sz w:val="20"/>
          <w:szCs w:val="20"/>
        </w:rPr>
        <w:t>所述</w:t>
      </w:r>
      <w:r>
        <w:rPr>
          <w:rFonts w:ascii="宋体" w:hAnsi="宋体" w:eastAsia="宋体" w:cs="宋体"/>
          <w:spacing w:val="-20"/>
          <w:w w:val="99"/>
          <w:position w:val="1"/>
          <w:sz w:val="20"/>
          <w:szCs w:val="20"/>
        </w:rPr>
        <w:t>，</w:t>
      </w:r>
      <w:r>
        <w:rPr>
          <w:rFonts w:ascii="宋体" w:hAnsi="宋体" w:eastAsia="宋体" w:cs="宋体"/>
          <w:spacing w:val="-20"/>
          <w:w w:val="99"/>
          <w:sz w:val="20"/>
          <w:szCs w:val="20"/>
        </w:rPr>
        <w:t xml:space="preserve">高校的外部评价机制是影响地方高校大学质量文化建 </w:t>
      </w:r>
      <w:r>
        <w:rPr>
          <w:rFonts w:ascii="宋体" w:hAnsi="宋体" w:eastAsia="宋体" w:cs="宋体"/>
          <w:spacing w:val="-21"/>
          <w:w w:val="96"/>
          <w:sz w:val="20"/>
          <w:szCs w:val="20"/>
        </w:rPr>
        <w:t>设的要素之一，接受高校的外部评价可以</w:t>
      </w:r>
      <w:r>
        <w:rPr>
          <w:rFonts w:ascii="微软雅黑" w:hAnsi="微软雅黑" w:eastAsia="微软雅黑" w:cs="微软雅黑"/>
          <w:spacing w:val="-21"/>
          <w:w w:val="96"/>
          <w:sz w:val="20"/>
          <w:szCs w:val="20"/>
        </w:rPr>
        <w:t>“</w:t>
      </w:r>
      <w:r>
        <w:rPr>
          <w:rFonts w:ascii="宋体" w:hAnsi="宋体" w:eastAsia="宋体" w:cs="宋体"/>
          <w:spacing w:val="-21"/>
          <w:w w:val="96"/>
          <w:sz w:val="20"/>
          <w:szCs w:val="20"/>
        </w:rPr>
        <w:t>倒逼</w:t>
      </w:r>
      <w:r>
        <w:rPr>
          <w:rFonts w:ascii="微软雅黑" w:hAnsi="微软雅黑" w:eastAsia="微软雅黑" w:cs="微软雅黑"/>
          <w:spacing w:val="-21"/>
          <w:w w:val="96"/>
          <w:sz w:val="20"/>
          <w:szCs w:val="20"/>
        </w:rPr>
        <w:t>”</w:t>
      </w:r>
      <w:r>
        <w:rPr>
          <w:rFonts w:ascii="宋体" w:hAnsi="宋体" w:eastAsia="宋体" w:cs="宋体"/>
          <w:spacing w:val="-21"/>
          <w:w w:val="96"/>
          <w:sz w:val="20"/>
          <w:szCs w:val="20"/>
        </w:rPr>
        <w:t xml:space="preserve">高校质量文 </w:t>
      </w:r>
      <w:r>
        <w:rPr>
          <w:rFonts w:ascii="宋体" w:hAnsi="宋体" w:eastAsia="宋体" w:cs="宋体"/>
          <w:spacing w:val="-20"/>
          <w:w w:val="99"/>
          <w:sz w:val="20"/>
          <w:szCs w:val="20"/>
        </w:rPr>
        <w:t>化建设</w:t>
      </w:r>
      <w:r>
        <w:rPr>
          <w:rFonts w:ascii="微软雅黑" w:hAnsi="微软雅黑" w:eastAsia="微软雅黑" w:cs="微软雅黑"/>
          <w:spacing w:val="-20"/>
          <w:w w:val="99"/>
          <w:position w:val="1"/>
          <w:sz w:val="20"/>
          <w:szCs w:val="20"/>
        </w:rPr>
        <w:t>。</w:t>
      </w:r>
      <w:r>
        <w:rPr>
          <w:rFonts w:ascii="宋体" w:hAnsi="宋体" w:eastAsia="宋体" w:cs="宋体"/>
          <w:spacing w:val="-20"/>
          <w:w w:val="99"/>
          <w:sz w:val="20"/>
          <w:szCs w:val="20"/>
        </w:rPr>
        <w:t>第三方评估是指由社会独立机构进行的评估</w:t>
      </w:r>
      <w:r>
        <w:rPr>
          <w:rFonts w:ascii="宋体" w:hAnsi="宋体" w:eastAsia="宋体" w:cs="宋体"/>
          <w:spacing w:val="-20"/>
          <w:w w:val="99"/>
          <w:position w:val="1"/>
          <w:sz w:val="20"/>
          <w:szCs w:val="20"/>
        </w:rPr>
        <w:t>，</w:t>
      </w:r>
      <w:r>
        <w:rPr>
          <w:rFonts w:ascii="宋体" w:hAnsi="宋体" w:eastAsia="宋体" w:cs="宋体"/>
          <w:spacing w:val="-20"/>
          <w:w w:val="99"/>
          <w:sz w:val="20"/>
          <w:szCs w:val="20"/>
        </w:rPr>
        <w:t xml:space="preserve">是高 </w:t>
      </w:r>
      <w:r>
        <w:rPr>
          <w:rFonts w:ascii="宋体" w:hAnsi="宋体" w:eastAsia="宋体" w:cs="宋体"/>
          <w:spacing w:val="-22"/>
          <w:sz w:val="20"/>
          <w:szCs w:val="20"/>
        </w:rPr>
        <w:t>校重要的外部评估机制</w:t>
      </w:r>
      <w:r>
        <w:rPr>
          <w:rFonts w:ascii="宋体" w:hAnsi="宋体" w:eastAsia="宋体" w:cs="宋体"/>
          <w:spacing w:val="-22"/>
          <w:position w:val="1"/>
          <w:sz w:val="20"/>
          <w:szCs w:val="20"/>
        </w:rPr>
        <w:t>，</w:t>
      </w:r>
      <w:r>
        <w:rPr>
          <w:rFonts w:ascii="宋体" w:hAnsi="宋体" w:eastAsia="宋体" w:cs="宋体"/>
          <w:spacing w:val="-22"/>
          <w:sz w:val="20"/>
          <w:szCs w:val="20"/>
        </w:rPr>
        <w:t xml:space="preserve">它是教育主管部门和被评估高校之 </w:t>
      </w:r>
      <w:r>
        <w:rPr>
          <w:rFonts w:ascii="宋体" w:hAnsi="宋体" w:eastAsia="宋体" w:cs="宋体"/>
          <w:spacing w:val="-16"/>
          <w:sz w:val="20"/>
          <w:szCs w:val="20"/>
        </w:rPr>
        <w:t>外的由行业</w:t>
      </w:r>
      <w:r>
        <w:rPr>
          <w:rFonts w:ascii="微软雅黑" w:hAnsi="微软雅黑" w:eastAsia="微软雅黑" w:cs="微软雅黑"/>
          <w:spacing w:val="-16"/>
          <w:position w:val="1"/>
          <w:sz w:val="20"/>
          <w:szCs w:val="20"/>
        </w:rPr>
        <w:t>、</w:t>
      </w:r>
      <w:r>
        <w:rPr>
          <w:rFonts w:ascii="宋体" w:hAnsi="宋体" w:eastAsia="宋体" w:cs="宋体"/>
          <w:spacing w:val="-16"/>
          <w:sz w:val="20"/>
          <w:szCs w:val="20"/>
        </w:rPr>
        <w:t>企业与社会等评估机构进行的一种评估</w:t>
      </w:r>
      <w:r>
        <w:rPr>
          <w:rFonts w:ascii="微软雅黑" w:hAnsi="微软雅黑" w:eastAsia="微软雅黑" w:cs="微软雅黑"/>
          <w:spacing w:val="-16"/>
          <w:position w:val="1"/>
          <w:sz w:val="20"/>
          <w:szCs w:val="20"/>
        </w:rPr>
        <w:t>。</w:t>
      </w:r>
      <w:r>
        <w:rPr>
          <w:rFonts w:ascii="微软雅黑" w:hAnsi="微软雅黑" w:eastAsia="微软雅黑" w:cs="微软雅黑"/>
          <w:spacing w:val="-33"/>
          <w:position w:val="1"/>
          <w:sz w:val="20"/>
          <w:szCs w:val="20"/>
        </w:rPr>
        <w:t xml:space="preserve"> </w:t>
      </w:r>
      <w:r>
        <w:rPr>
          <w:rFonts w:ascii="宋体" w:hAnsi="宋体" w:eastAsia="宋体" w:cs="宋体"/>
          <w:spacing w:val="-16"/>
          <w:sz w:val="20"/>
          <w:szCs w:val="20"/>
        </w:rPr>
        <w:t xml:space="preserve">目 </w:t>
      </w:r>
      <w:r>
        <w:rPr>
          <w:rFonts w:ascii="宋体" w:hAnsi="宋体" w:eastAsia="宋体" w:cs="宋体"/>
          <w:spacing w:val="-22"/>
          <w:sz w:val="20"/>
          <w:szCs w:val="20"/>
        </w:rPr>
        <w:t>前</w:t>
      </w:r>
      <w:r>
        <w:rPr>
          <w:rFonts w:ascii="宋体" w:hAnsi="宋体" w:eastAsia="宋体" w:cs="宋体"/>
          <w:spacing w:val="-22"/>
          <w:position w:val="1"/>
          <w:sz w:val="20"/>
          <w:szCs w:val="20"/>
        </w:rPr>
        <w:t>，</w:t>
      </w:r>
      <w:r>
        <w:rPr>
          <w:rFonts w:ascii="宋体" w:hAnsi="宋体" w:eastAsia="宋体" w:cs="宋体"/>
          <w:spacing w:val="-22"/>
          <w:sz w:val="20"/>
          <w:szCs w:val="20"/>
        </w:rPr>
        <w:t>高校的第三方评估机构大多数是从外部或由高校提供获 取数据</w:t>
      </w:r>
      <w:r>
        <w:rPr>
          <w:rFonts w:ascii="宋体" w:hAnsi="宋体" w:eastAsia="宋体" w:cs="宋体"/>
          <w:spacing w:val="-22"/>
          <w:position w:val="1"/>
          <w:sz w:val="20"/>
          <w:szCs w:val="20"/>
        </w:rPr>
        <w:t>，</w:t>
      </w:r>
      <w:r>
        <w:rPr>
          <w:rFonts w:ascii="宋体" w:hAnsi="宋体" w:eastAsia="宋体" w:cs="宋体"/>
          <w:spacing w:val="-22"/>
          <w:sz w:val="20"/>
          <w:szCs w:val="20"/>
        </w:rPr>
        <w:t>从高校内部获得的第一手数据很少</w:t>
      </w:r>
      <w:r>
        <w:rPr>
          <w:rFonts w:ascii="宋体" w:hAnsi="宋体" w:eastAsia="宋体" w:cs="宋体"/>
          <w:spacing w:val="-22"/>
          <w:position w:val="1"/>
          <w:sz w:val="20"/>
          <w:szCs w:val="20"/>
        </w:rPr>
        <w:t>，</w:t>
      </w:r>
      <w:r>
        <w:rPr>
          <w:rFonts w:ascii="宋体" w:hAnsi="宋体" w:eastAsia="宋体" w:cs="宋体"/>
          <w:spacing w:val="-22"/>
          <w:sz w:val="20"/>
          <w:szCs w:val="20"/>
        </w:rPr>
        <w:t>其评估结果有 诸多不尽如人意之处</w:t>
      </w:r>
      <w:r>
        <w:rPr>
          <w:rFonts w:ascii="微软雅黑" w:hAnsi="微软雅黑" w:eastAsia="微软雅黑" w:cs="微软雅黑"/>
          <w:spacing w:val="-22"/>
          <w:position w:val="1"/>
          <w:sz w:val="20"/>
          <w:szCs w:val="20"/>
        </w:rPr>
        <w:t>。</w:t>
      </w:r>
      <w:r>
        <w:rPr>
          <w:rFonts w:ascii="宋体" w:hAnsi="宋体" w:eastAsia="宋体" w:cs="宋体"/>
          <w:spacing w:val="-22"/>
          <w:sz w:val="20"/>
          <w:szCs w:val="20"/>
        </w:rPr>
        <w:t>高校可以根据学校自身的特点</w:t>
      </w:r>
      <w:r>
        <w:rPr>
          <w:rFonts w:ascii="宋体" w:hAnsi="宋体" w:eastAsia="宋体" w:cs="宋体"/>
          <w:spacing w:val="-22"/>
          <w:position w:val="1"/>
          <w:sz w:val="20"/>
          <w:szCs w:val="20"/>
        </w:rPr>
        <w:t>，</w:t>
      </w:r>
      <w:r>
        <w:rPr>
          <w:rFonts w:ascii="宋体" w:hAnsi="宋体" w:eastAsia="宋体" w:cs="宋体"/>
          <w:spacing w:val="-22"/>
          <w:sz w:val="20"/>
          <w:szCs w:val="20"/>
        </w:rPr>
        <w:t xml:space="preserve">围绕 </w:t>
      </w:r>
      <w:r>
        <w:rPr>
          <w:rFonts w:ascii="宋体" w:hAnsi="宋体" w:eastAsia="宋体" w:cs="宋体"/>
          <w:spacing w:val="-21"/>
          <w:w w:val="96"/>
          <w:sz w:val="20"/>
          <w:szCs w:val="20"/>
        </w:rPr>
        <w:t>质量目标</w:t>
      </w:r>
      <w:r>
        <w:rPr>
          <w:rFonts w:ascii="宋体" w:hAnsi="宋体" w:eastAsia="宋体" w:cs="宋体"/>
          <w:spacing w:val="-21"/>
          <w:w w:val="96"/>
          <w:position w:val="1"/>
          <w:sz w:val="20"/>
          <w:szCs w:val="20"/>
        </w:rPr>
        <w:t>，</w:t>
      </w:r>
      <w:r>
        <w:rPr>
          <w:rFonts w:ascii="宋体" w:hAnsi="宋体" w:eastAsia="宋体" w:cs="宋体"/>
          <w:spacing w:val="-21"/>
          <w:w w:val="96"/>
          <w:sz w:val="20"/>
          <w:szCs w:val="20"/>
        </w:rPr>
        <w:t>设计评估指标</w:t>
      </w:r>
      <w:r>
        <w:rPr>
          <w:rFonts w:ascii="宋体" w:hAnsi="宋体" w:eastAsia="宋体" w:cs="宋体"/>
          <w:spacing w:val="-21"/>
          <w:w w:val="96"/>
          <w:position w:val="1"/>
          <w:sz w:val="20"/>
          <w:szCs w:val="20"/>
        </w:rPr>
        <w:t>，</w:t>
      </w:r>
      <w:r>
        <w:rPr>
          <w:rFonts w:ascii="宋体" w:hAnsi="宋体" w:eastAsia="宋体" w:cs="宋体"/>
          <w:spacing w:val="-21"/>
          <w:w w:val="96"/>
          <w:sz w:val="20"/>
          <w:szCs w:val="20"/>
        </w:rPr>
        <w:t>邀请行业</w:t>
      </w:r>
      <w:r>
        <w:rPr>
          <w:rFonts w:ascii="微软雅黑" w:hAnsi="微软雅黑" w:eastAsia="微软雅黑" w:cs="微软雅黑"/>
          <w:spacing w:val="-21"/>
          <w:w w:val="96"/>
          <w:position w:val="1"/>
          <w:sz w:val="20"/>
          <w:szCs w:val="20"/>
        </w:rPr>
        <w:t>、</w:t>
      </w:r>
      <w:r>
        <w:rPr>
          <w:rFonts w:ascii="宋体" w:hAnsi="宋体" w:eastAsia="宋体" w:cs="宋体"/>
          <w:spacing w:val="-21"/>
          <w:w w:val="96"/>
          <w:sz w:val="20"/>
          <w:szCs w:val="20"/>
        </w:rPr>
        <w:t>企业</w:t>
      </w:r>
      <w:r>
        <w:rPr>
          <w:rFonts w:ascii="微软雅黑" w:hAnsi="微软雅黑" w:eastAsia="微软雅黑" w:cs="微软雅黑"/>
          <w:spacing w:val="-21"/>
          <w:w w:val="96"/>
          <w:position w:val="1"/>
          <w:sz w:val="20"/>
          <w:szCs w:val="20"/>
        </w:rPr>
        <w:t>、</w:t>
      </w:r>
      <w:r>
        <w:rPr>
          <w:rFonts w:ascii="宋体" w:hAnsi="宋体" w:eastAsia="宋体" w:cs="宋体"/>
          <w:spacing w:val="-21"/>
          <w:w w:val="96"/>
          <w:sz w:val="20"/>
          <w:szCs w:val="20"/>
        </w:rPr>
        <w:t xml:space="preserve">地方政府和兄弟 </w:t>
      </w:r>
      <w:r>
        <w:rPr>
          <w:rFonts w:ascii="宋体" w:hAnsi="宋体" w:eastAsia="宋体" w:cs="宋体"/>
          <w:spacing w:val="-20"/>
          <w:w w:val="99"/>
          <w:sz w:val="20"/>
          <w:szCs w:val="20"/>
        </w:rPr>
        <w:t>高校共同组织相对独立的评估机构</w:t>
      </w:r>
      <w:r>
        <w:rPr>
          <w:rFonts w:ascii="宋体" w:hAnsi="宋体" w:eastAsia="宋体" w:cs="宋体"/>
          <w:spacing w:val="-20"/>
          <w:w w:val="99"/>
          <w:position w:val="1"/>
          <w:sz w:val="20"/>
          <w:szCs w:val="20"/>
        </w:rPr>
        <w:t>，</w:t>
      </w:r>
      <w:r>
        <w:rPr>
          <w:rFonts w:ascii="宋体" w:hAnsi="宋体" w:eastAsia="宋体" w:cs="宋体"/>
          <w:spacing w:val="-20"/>
          <w:w w:val="99"/>
          <w:sz w:val="20"/>
          <w:szCs w:val="20"/>
        </w:rPr>
        <w:t xml:space="preserve">以期形成切合地方高校 </w:t>
      </w:r>
      <w:r>
        <w:rPr>
          <w:rFonts w:ascii="宋体" w:hAnsi="宋体" w:eastAsia="宋体" w:cs="宋体"/>
          <w:spacing w:val="-18"/>
          <w:w w:val="94"/>
          <w:sz w:val="20"/>
          <w:szCs w:val="20"/>
        </w:rPr>
        <w:t>特点的评估机制，</w:t>
      </w:r>
      <w:r>
        <w:rPr>
          <w:rFonts w:ascii="微软雅黑" w:hAnsi="微软雅黑" w:eastAsia="微软雅黑" w:cs="微软雅黑"/>
          <w:spacing w:val="-18"/>
          <w:w w:val="94"/>
          <w:sz w:val="20"/>
          <w:szCs w:val="20"/>
        </w:rPr>
        <w:t>“</w:t>
      </w:r>
      <w:r>
        <w:rPr>
          <w:rFonts w:ascii="宋体" w:hAnsi="宋体" w:eastAsia="宋体" w:cs="宋体"/>
          <w:spacing w:val="-18"/>
          <w:w w:val="94"/>
          <w:sz w:val="20"/>
          <w:szCs w:val="20"/>
        </w:rPr>
        <w:t>倒逼</w:t>
      </w:r>
      <w:r>
        <w:rPr>
          <w:rFonts w:ascii="微软雅黑" w:hAnsi="微软雅黑" w:eastAsia="微软雅黑" w:cs="微软雅黑"/>
          <w:spacing w:val="-18"/>
          <w:w w:val="94"/>
          <w:sz w:val="20"/>
          <w:szCs w:val="20"/>
        </w:rPr>
        <w:t>”</w:t>
      </w:r>
      <w:r>
        <w:rPr>
          <w:rFonts w:ascii="宋体" w:hAnsi="宋体" w:eastAsia="宋体" w:cs="宋体"/>
          <w:spacing w:val="-18"/>
          <w:w w:val="94"/>
          <w:sz w:val="20"/>
          <w:szCs w:val="20"/>
        </w:rPr>
        <w:t>学校的质量文化建设</w:t>
      </w:r>
      <w:r>
        <w:rPr>
          <w:rFonts w:ascii="微软雅黑" w:hAnsi="微软雅黑" w:eastAsia="微软雅黑" w:cs="微软雅黑"/>
          <w:spacing w:val="-19"/>
          <w:w w:val="94"/>
          <w:sz w:val="20"/>
          <w:szCs w:val="20"/>
        </w:rPr>
        <w:t>。</w:t>
      </w:r>
    </w:p>
    <w:p>
      <w:pPr>
        <w:spacing w:before="49" w:line="247" w:lineRule="auto"/>
        <w:ind w:left="732" w:right="245" w:firstLine="365"/>
        <w:rPr>
          <w:rFonts w:ascii="宋体" w:hAnsi="宋体" w:eastAsia="宋体" w:cs="宋体"/>
          <w:sz w:val="20"/>
          <w:szCs w:val="20"/>
        </w:rPr>
      </w:pPr>
      <w:r>
        <w:rPr>
          <w:rFonts w:ascii="宋体" w:hAnsi="宋体" w:eastAsia="宋体" w:cs="宋体"/>
          <w:spacing w:val="-19"/>
          <w:w w:val="98"/>
          <w:sz w:val="20"/>
          <w:szCs w:val="20"/>
        </w:rPr>
        <w:t>总之</w:t>
      </w:r>
      <w:r>
        <w:rPr>
          <w:rFonts w:ascii="宋体" w:hAnsi="宋体" w:eastAsia="宋体" w:cs="宋体"/>
          <w:spacing w:val="-19"/>
          <w:w w:val="98"/>
          <w:position w:val="1"/>
          <w:sz w:val="20"/>
          <w:szCs w:val="20"/>
        </w:rPr>
        <w:t>，</w:t>
      </w:r>
      <w:r>
        <w:rPr>
          <w:rFonts w:ascii="宋体" w:hAnsi="宋体" w:eastAsia="宋体" w:cs="宋体"/>
          <w:spacing w:val="-19"/>
          <w:w w:val="98"/>
          <w:sz w:val="20"/>
          <w:szCs w:val="20"/>
        </w:rPr>
        <w:t>在一流本科教育视域下</w:t>
      </w:r>
      <w:r>
        <w:rPr>
          <w:rFonts w:ascii="宋体" w:hAnsi="宋体" w:eastAsia="宋体" w:cs="宋体"/>
          <w:spacing w:val="-19"/>
          <w:w w:val="98"/>
          <w:position w:val="1"/>
          <w:sz w:val="20"/>
          <w:szCs w:val="20"/>
        </w:rPr>
        <w:t>，</w:t>
      </w:r>
      <w:r>
        <w:rPr>
          <w:rFonts w:ascii="宋体" w:hAnsi="宋体" w:eastAsia="宋体" w:cs="宋体"/>
          <w:spacing w:val="-19"/>
          <w:w w:val="98"/>
          <w:sz w:val="20"/>
          <w:szCs w:val="20"/>
        </w:rPr>
        <w:t>地方高校面临改革与发</w:t>
      </w:r>
      <w:r>
        <w:rPr>
          <w:rFonts w:ascii="宋体" w:hAnsi="宋体" w:eastAsia="宋体" w:cs="宋体"/>
          <w:spacing w:val="11"/>
          <w:sz w:val="20"/>
          <w:szCs w:val="20"/>
        </w:rPr>
        <w:t xml:space="preserve"> </w:t>
      </w:r>
      <w:r>
        <w:rPr>
          <w:rFonts w:ascii="宋体" w:hAnsi="宋体" w:eastAsia="宋体" w:cs="宋体"/>
          <w:spacing w:val="-21"/>
          <w:w w:val="96"/>
          <w:sz w:val="20"/>
          <w:szCs w:val="20"/>
        </w:rPr>
        <w:t>展的重大机遇</w:t>
      </w:r>
      <w:r>
        <w:rPr>
          <w:rFonts w:ascii="宋体" w:hAnsi="宋体" w:eastAsia="宋体" w:cs="宋体"/>
          <w:spacing w:val="-21"/>
          <w:w w:val="96"/>
          <w:position w:val="1"/>
          <w:sz w:val="20"/>
          <w:szCs w:val="20"/>
        </w:rPr>
        <w:t>，</w:t>
      </w:r>
      <w:r>
        <w:rPr>
          <w:rFonts w:ascii="宋体" w:hAnsi="宋体" w:eastAsia="宋体" w:cs="宋体"/>
          <w:spacing w:val="-21"/>
          <w:w w:val="96"/>
          <w:sz w:val="20"/>
          <w:szCs w:val="20"/>
        </w:rPr>
        <w:t>全面提高人才培养能力</w:t>
      </w:r>
      <w:r>
        <w:rPr>
          <w:rFonts w:ascii="宋体" w:hAnsi="宋体" w:eastAsia="宋体" w:cs="宋体"/>
          <w:spacing w:val="-21"/>
          <w:w w:val="96"/>
          <w:position w:val="1"/>
          <w:sz w:val="20"/>
          <w:szCs w:val="20"/>
        </w:rPr>
        <w:t>，</w:t>
      </w:r>
      <w:r>
        <w:rPr>
          <w:rFonts w:ascii="宋体" w:hAnsi="宋体" w:eastAsia="宋体" w:cs="宋体"/>
          <w:spacing w:val="-21"/>
          <w:w w:val="96"/>
          <w:sz w:val="20"/>
          <w:szCs w:val="20"/>
        </w:rPr>
        <w:t>推进内涵式发展</w:t>
      </w:r>
      <w:r>
        <w:rPr>
          <w:rFonts w:ascii="宋体" w:hAnsi="宋体" w:eastAsia="宋体" w:cs="宋体"/>
          <w:spacing w:val="-21"/>
          <w:w w:val="96"/>
          <w:position w:val="1"/>
          <w:sz w:val="20"/>
          <w:szCs w:val="20"/>
        </w:rPr>
        <w:t>，</w:t>
      </w:r>
      <w:r>
        <w:rPr>
          <w:rFonts w:ascii="宋体" w:hAnsi="宋体" w:eastAsia="宋体" w:cs="宋体"/>
          <w:spacing w:val="-21"/>
          <w:w w:val="96"/>
          <w:sz w:val="20"/>
          <w:szCs w:val="20"/>
        </w:rPr>
        <w:t>尤</w:t>
      </w:r>
      <w:r>
        <w:rPr>
          <w:rFonts w:ascii="宋体" w:hAnsi="宋体" w:eastAsia="宋体" w:cs="宋体"/>
          <w:spacing w:val="8"/>
          <w:sz w:val="20"/>
          <w:szCs w:val="20"/>
        </w:rPr>
        <w:t xml:space="preserve"> </w:t>
      </w:r>
      <w:r>
        <w:rPr>
          <w:rFonts w:ascii="宋体" w:hAnsi="宋体" w:eastAsia="宋体" w:cs="宋体"/>
          <w:spacing w:val="-15"/>
          <w:sz w:val="20"/>
          <w:szCs w:val="20"/>
        </w:rPr>
        <w:t>其需要将人才培养质量作为加强一流本科教育的</w:t>
      </w:r>
      <w:r>
        <w:rPr>
          <w:rFonts w:ascii="宋体" w:hAnsi="宋体" w:eastAsia="宋体" w:cs="宋体"/>
          <w:spacing w:val="-16"/>
          <w:sz w:val="20"/>
          <w:szCs w:val="20"/>
        </w:rPr>
        <w:t>前提条件</w:t>
      </w:r>
      <w:r>
        <w:rPr>
          <w:rFonts w:ascii="宋体" w:hAnsi="宋体" w:eastAsia="宋体" w:cs="宋体"/>
          <w:sz w:val="20"/>
          <w:szCs w:val="20"/>
        </w:rPr>
        <w:t xml:space="preserve"> </w:t>
      </w:r>
      <w:r>
        <w:rPr>
          <w:rFonts w:ascii="宋体" w:hAnsi="宋体" w:eastAsia="宋体" w:cs="宋体"/>
          <w:spacing w:val="-15"/>
          <w:sz w:val="20"/>
          <w:szCs w:val="20"/>
        </w:rPr>
        <w:t>与基本内容</w:t>
      </w:r>
      <w:r>
        <w:rPr>
          <w:rFonts w:ascii="微软雅黑" w:hAnsi="微软雅黑" w:eastAsia="微软雅黑" w:cs="微软雅黑"/>
          <w:spacing w:val="-15"/>
          <w:position w:val="1"/>
          <w:sz w:val="20"/>
          <w:szCs w:val="20"/>
        </w:rPr>
        <w:t>。</w:t>
      </w:r>
      <w:r>
        <w:rPr>
          <w:rFonts w:ascii="宋体" w:hAnsi="宋体" w:eastAsia="宋体" w:cs="宋体"/>
          <w:spacing w:val="-15"/>
          <w:sz w:val="20"/>
          <w:szCs w:val="20"/>
        </w:rPr>
        <w:t>大学质量文化建设可以帮助地方高校</w:t>
      </w:r>
      <w:r>
        <w:rPr>
          <w:rFonts w:ascii="宋体" w:hAnsi="宋体" w:eastAsia="宋体" w:cs="宋体"/>
          <w:spacing w:val="-16"/>
          <w:sz w:val="20"/>
          <w:szCs w:val="20"/>
        </w:rPr>
        <w:t>深入反</w:t>
      </w:r>
      <w:r>
        <w:rPr>
          <w:rFonts w:ascii="宋体" w:hAnsi="宋体" w:eastAsia="宋体" w:cs="宋体"/>
          <w:sz w:val="20"/>
          <w:szCs w:val="20"/>
        </w:rPr>
        <w:t xml:space="preserve"> </w:t>
      </w:r>
      <w:r>
        <w:rPr>
          <w:rFonts w:ascii="宋体" w:hAnsi="宋体" w:eastAsia="宋体" w:cs="宋体"/>
          <w:spacing w:val="-22"/>
          <w:sz w:val="20"/>
          <w:szCs w:val="20"/>
        </w:rPr>
        <w:t>思与进一步明晰内部质量管理的价值取向与目标定位</w:t>
      </w:r>
      <w:r>
        <w:rPr>
          <w:rFonts w:ascii="宋体" w:hAnsi="宋体" w:eastAsia="宋体" w:cs="宋体"/>
          <w:spacing w:val="-23"/>
          <w:position w:val="1"/>
          <w:sz w:val="20"/>
          <w:szCs w:val="20"/>
        </w:rPr>
        <w:t>，</w:t>
      </w:r>
      <w:r>
        <w:rPr>
          <w:rFonts w:ascii="宋体" w:hAnsi="宋体" w:eastAsia="宋体" w:cs="宋体"/>
          <w:spacing w:val="-23"/>
          <w:sz w:val="20"/>
          <w:szCs w:val="20"/>
        </w:rPr>
        <w:t>从而</w:t>
      </w:r>
    </w:p>
    <w:p>
      <w:pPr>
        <w:spacing w:line="14" w:lineRule="auto"/>
        <w:rPr>
          <w:rFonts w:ascii="Arial"/>
          <w:sz w:val="2"/>
        </w:rPr>
      </w:pPr>
      <w:r>
        <w:rPr>
          <w:rFonts w:ascii="Arial" w:hAnsi="Arial" w:eastAsia="Arial" w:cs="Arial"/>
          <w:sz w:val="2"/>
          <w:szCs w:val="2"/>
        </w:rPr>
        <w:br w:type="column"/>
      </w:r>
    </w:p>
    <w:p>
      <w:pPr>
        <w:spacing w:before="37" w:line="178" w:lineRule="auto"/>
        <w:ind w:left="28"/>
        <w:rPr>
          <w:rFonts w:ascii="微软雅黑" w:hAnsi="微软雅黑" w:eastAsia="微软雅黑" w:cs="微软雅黑"/>
          <w:sz w:val="20"/>
          <w:szCs w:val="20"/>
        </w:rPr>
      </w:pPr>
      <w:r>
        <w:rPr>
          <w:rFonts w:ascii="宋体" w:hAnsi="宋体" w:eastAsia="宋体" w:cs="宋体"/>
          <w:spacing w:val="-20"/>
          <w:sz w:val="20"/>
          <w:szCs w:val="20"/>
        </w:rPr>
        <w:t>为地方高校的内涵式发展提供持续不断的动力</w:t>
      </w:r>
      <w:r>
        <w:rPr>
          <w:rFonts w:ascii="微软雅黑" w:hAnsi="微软雅黑" w:eastAsia="微软雅黑" w:cs="微软雅黑"/>
          <w:spacing w:val="-20"/>
          <w:position w:val="1"/>
          <w:sz w:val="20"/>
          <w:szCs w:val="20"/>
        </w:rPr>
        <w:t>。</w:t>
      </w:r>
    </w:p>
    <w:p>
      <w:pPr>
        <w:spacing w:line="315" w:lineRule="auto"/>
        <w:rPr>
          <w:rFonts w:ascii="Arial"/>
          <w:sz w:val="21"/>
        </w:rPr>
      </w:pPr>
    </w:p>
    <w:p>
      <w:pPr>
        <w:spacing w:before="56" w:line="214" w:lineRule="auto"/>
        <w:ind w:left="26"/>
        <w:rPr>
          <w:rFonts w:ascii="新宋体" w:hAnsi="新宋体" w:eastAsia="新宋体" w:cs="新宋体"/>
          <w:sz w:val="17"/>
          <w:szCs w:val="17"/>
        </w:rPr>
      </w:pPr>
      <w:r>
        <w:rPr>
          <w:rFonts w:ascii="黑体" w:hAnsi="黑体" w:eastAsia="黑体" w:cs="黑体"/>
          <w:spacing w:val="6"/>
          <w:sz w:val="17"/>
          <w:szCs w:val="17"/>
        </w:rPr>
        <w:t>参考文献</w:t>
      </w:r>
      <w:r>
        <w:rPr>
          <w:rFonts w:ascii="黑体" w:hAnsi="黑体" w:eastAsia="黑体" w:cs="黑体"/>
          <w:spacing w:val="-47"/>
          <w:sz w:val="17"/>
          <w:szCs w:val="17"/>
        </w:rPr>
        <w:t xml:space="preserve"> </w:t>
      </w:r>
      <w:r>
        <w:rPr>
          <w:rFonts w:ascii="新宋体" w:hAnsi="新宋体" w:eastAsia="新宋体" w:cs="新宋体"/>
          <w:spacing w:val="6"/>
          <w:sz w:val="17"/>
          <w:szCs w:val="17"/>
        </w:rPr>
        <w:t>:</w:t>
      </w:r>
    </w:p>
    <w:p>
      <w:pPr>
        <w:pStyle w:val="2"/>
        <w:spacing w:before="32" w:line="235" w:lineRule="auto"/>
        <w:ind w:left="324" w:right="75" w:hanging="324"/>
        <w:rPr>
          <w:rFonts w:ascii="微软雅黑" w:hAnsi="微软雅黑" w:eastAsia="微软雅黑" w:cs="微软雅黑"/>
          <w:sz w:val="17"/>
          <w:szCs w:val="17"/>
        </w:rPr>
      </w:pPr>
      <w:r>
        <w:rPr>
          <w:spacing w:val="-4"/>
          <w:sz w:val="17"/>
          <w:szCs w:val="17"/>
        </w:rPr>
        <w:t>［</w:t>
      </w:r>
      <w:r>
        <w:rPr>
          <w:rFonts w:ascii="微软雅黑" w:hAnsi="微软雅黑" w:eastAsia="微软雅黑" w:cs="微软雅黑"/>
          <w:spacing w:val="-4"/>
          <w:sz w:val="17"/>
          <w:szCs w:val="17"/>
        </w:rPr>
        <w:t>1</w:t>
      </w:r>
      <w:r>
        <w:rPr>
          <w:spacing w:val="-4"/>
          <w:sz w:val="17"/>
          <w:szCs w:val="17"/>
        </w:rPr>
        <w:t>］</w:t>
      </w:r>
      <w:r>
        <w:rPr>
          <w:rFonts w:ascii="新宋体" w:hAnsi="新宋体" w:eastAsia="新宋体" w:cs="新宋体"/>
          <w:spacing w:val="-4"/>
          <w:sz w:val="17"/>
          <w:szCs w:val="17"/>
        </w:rPr>
        <w:t>陈宝生</w:t>
      </w:r>
      <w:r>
        <w:rPr>
          <w:rFonts w:ascii="微软雅黑" w:hAnsi="微软雅黑" w:eastAsia="微软雅黑" w:cs="微软雅黑"/>
          <w:spacing w:val="-4"/>
          <w:sz w:val="17"/>
          <w:szCs w:val="17"/>
        </w:rPr>
        <w:t>．</w:t>
      </w:r>
      <w:r>
        <w:rPr>
          <w:rFonts w:ascii="新宋体" w:hAnsi="新宋体" w:eastAsia="新宋体" w:cs="新宋体"/>
          <w:spacing w:val="-4"/>
          <w:sz w:val="17"/>
          <w:szCs w:val="17"/>
        </w:rPr>
        <w:t>写好高等教育</w:t>
      </w:r>
      <w:r>
        <w:rPr>
          <w:rFonts w:ascii="微软雅黑" w:hAnsi="微软雅黑" w:eastAsia="微软雅黑" w:cs="微软雅黑"/>
          <w:spacing w:val="-4"/>
          <w:sz w:val="17"/>
          <w:szCs w:val="17"/>
        </w:rPr>
        <w:t>“</w:t>
      </w:r>
      <w:r>
        <w:rPr>
          <w:rFonts w:ascii="新宋体" w:hAnsi="新宋体" w:eastAsia="新宋体" w:cs="新宋体"/>
          <w:spacing w:val="-4"/>
          <w:sz w:val="17"/>
          <w:szCs w:val="17"/>
        </w:rPr>
        <w:t>奋进之笔</w:t>
      </w:r>
      <w:r>
        <w:rPr>
          <w:rFonts w:ascii="Arial" w:hAnsi="Arial" w:eastAsia="Arial" w:cs="Arial"/>
          <w:spacing w:val="-4"/>
          <w:sz w:val="17"/>
          <w:szCs w:val="17"/>
        </w:rPr>
        <w:t>”</w:t>
      </w:r>
      <w:r>
        <w:rPr>
          <w:rFonts w:ascii="Arial" w:hAnsi="Arial" w:eastAsia="Arial" w:cs="Arial"/>
          <w:spacing w:val="-29"/>
          <w:sz w:val="17"/>
          <w:szCs w:val="17"/>
        </w:rPr>
        <w:t xml:space="preserve"> </w:t>
      </w:r>
      <w:r>
        <w:rPr>
          <w:rFonts w:ascii="Arial" w:hAnsi="Arial" w:eastAsia="Arial" w:cs="Arial"/>
          <w:spacing w:val="-4"/>
          <w:sz w:val="17"/>
          <w:szCs w:val="17"/>
        </w:rPr>
        <w:t>———</w:t>
      </w:r>
      <w:r>
        <w:rPr>
          <w:rFonts w:ascii="Arial" w:hAnsi="Arial" w:eastAsia="Arial" w:cs="Arial"/>
          <w:spacing w:val="-39"/>
          <w:sz w:val="17"/>
          <w:szCs w:val="17"/>
        </w:rPr>
        <w:t xml:space="preserve"> </w:t>
      </w:r>
      <w:r>
        <w:rPr>
          <w:rFonts w:ascii="新宋体" w:hAnsi="新宋体" w:eastAsia="新宋体" w:cs="新宋体"/>
          <w:spacing w:val="-4"/>
          <w:sz w:val="17"/>
          <w:szCs w:val="17"/>
        </w:rPr>
        <w:t>在教</w:t>
      </w:r>
      <w:r>
        <w:rPr>
          <w:rFonts w:ascii="新宋体" w:hAnsi="新宋体" w:eastAsia="新宋体" w:cs="新宋体"/>
          <w:spacing w:val="-5"/>
          <w:sz w:val="17"/>
          <w:szCs w:val="17"/>
        </w:rPr>
        <w:t>育部直属高</w:t>
      </w:r>
      <w:r>
        <w:rPr>
          <w:rFonts w:ascii="新宋体" w:hAnsi="新宋体" w:eastAsia="新宋体" w:cs="新宋体"/>
          <w:sz w:val="17"/>
          <w:szCs w:val="17"/>
        </w:rPr>
        <w:t xml:space="preserve"> </w:t>
      </w:r>
      <w:r>
        <w:rPr>
          <w:rFonts w:ascii="新宋体" w:hAnsi="新宋体" w:eastAsia="新宋体" w:cs="新宋体"/>
          <w:spacing w:val="10"/>
          <w:sz w:val="17"/>
          <w:szCs w:val="17"/>
        </w:rPr>
        <w:t>校工作咨询委员会第二十七次全体会议上的讲话</w:t>
      </w:r>
      <w:r>
        <w:rPr>
          <w:spacing w:val="10"/>
          <w:sz w:val="17"/>
          <w:szCs w:val="17"/>
        </w:rPr>
        <w:t>［</w:t>
      </w:r>
      <w:r>
        <w:rPr>
          <w:rFonts w:ascii="微软雅黑" w:hAnsi="微软雅黑" w:eastAsia="微软雅黑" w:cs="微软雅黑"/>
          <w:spacing w:val="10"/>
          <w:sz w:val="17"/>
          <w:szCs w:val="17"/>
        </w:rPr>
        <w:t>J</w:t>
      </w:r>
      <w:r>
        <w:rPr>
          <w:spacing w:val="10"/>
          <w:sz w:val="17"/>
          <w:szCs w:val="17"/>
        </w:rPr>
        <w:t>］</w:t>
      </w:r>
      <w:r>
        <w:rPr>
          <w:rFonts w:ascii="微软雅黑" w:hAnsi="微软雅黑" w:eastAsia="微软雅黑" w:cs="微软雅黑"/>
          <w:spacing w:val="10"/>
          <w:sz w:val="17"/>
          <w:szCs w:val="17"/>
        </w:rPr>
        <w:t>.</w:t>
      </w:r>
      <w:r>
        <w:rPr>
          <w:rFonts w:ascii="微软雅黑" w:hAnsi="微软雅黑" w:eastAsia="微软雅黑" w:cs="微软雅黑"/>
          <w:spacing w:val="3"/>
          <w:sz w:val="17"/>
          <w:szCs w:val="17"/>
        </w:rPr>
        <w:t xml:space="preserve">  </w:t>
      </w:r>
      <w:r>
        <w:rPr>
          <w:rFonts w:ascii="新宋体" w:hAnsi="新宋体" w:eastAsia="新宋体" w:cs="新宋体"/>
          <w:spacing w:val="-10"/>
          <w:sz w:val="17"/>
          <w:szCs w:val="17"/>
        </w:rPr>
        <w:t>中国高等教育</w:t>
      </w:r>
      <w:r>
        <w:rPr>
          <w:spacing w:val="-10"/>
          <w:sz w:val="17"/>
          <w:szCs w:val="17"/>
        </w:rPr>
        <w:t>，</w:t>
      </w:r>
      <w:r>
        <w:rPr>
          <w:rFonts w:ascii="微软雅黑" w:hAnsi="微软雅黑" w:eastAsia="微软雅黑" w:cs="微软雅黑"/>
          <w:spacing w:val="-10"/>
          <w:sz w:val="17"/>
          <w:szCs w:val="17"/>
        </w:rPr>
        <w:t>2018</w:t>
      </w:r>
      <w:r>
        <w:rPr>
          <w:spacing w:val="-10"/>
          <w:sz w:val="17"/>
          <w:szCs w:val="17"/>
        </w:rPr>
        <w:t>(</w:t>
      </w:r>
      <w:r>
        <w:rPr>
          <w:rFonts w:ascii="微软雅黑" w:hAnsi="微软雅黑" w:eastAsia="微软雅黑" w:cs="微软雅黑"/>
          <w:spacing w:val="-10"/>
          <w:sz w:val="17"/>
          <w:szCs w:val="17"/>
        </w:rPr>
        <w:t>Z1</w:t>
      </w:r>
      <w:r>
        <w:rPr>
          <w:spacing w:val="-10"/>
          <w:sz w:val="17"/>
          <w:szCs w:val="17"/>
        </w:rPr>
        <w:t>) :</w:t>
      </w:r>
      <w:r>
        <w:rPr>
          <w:spacing w:val="-30"/>
          <w:sz w:val="17"/>
          <w:szCs w:val="17"/>
        </w:rPr>
        <w:t xml:space="preserve"> </w:t>
      </w:r>
      <w:r>
        <w:rPr>
          <w:rFonts w:ascii="微软雅黑" w:hAnsi="微软雅黑" w:eastAsia="微软雅黑" w:cs="微软雅黑"/>
          <w:spacing w:val="-10"/>
          <w:sz w:val="17"/>
          <w:szCs w:val="17"/>
        </w:rPr>
        <w:t>14－22</w:t>
      </w:r>
      <w:r>
        <w:rPr>
          <w:rFonts w:ascii="微软雅黑" w:hAnsi="微软雅黑" w:eastAsia="微软雅黑" w:cs="微软雅黑"/>
          <w:spacing w:val="-30"/>
          <w:sz w:val="17"/>
          <w:szCs w:val="17"/>
        </w:rPr>
        <w:t xml:space="preserve"> </w:t>
      </w:r>
      <w:r>
        <w:rPr>
          <w:rFonts w:ascii="微软雅黑" w:hAnsi="微软雅黑" w:eastAsia="微软雅黑" w:cs="微软雅黑"/>
          <w:spacing w:val="-10"/>
          <w:sz w:val="17"/>
          <w:szCs w:val="17"/>
        </w:rPr>
        <w:t>.</w:t>
      </w:r>
    </w:p>
    <w:p>
      <w:pPr>
        <w:pStyle w:val="2"/>
        <w:spacing w:line="229" w:lineRule="auto"/>
        <w:ind w:left="327" w:right="75" w:hanging="328"/>
        <w:rPr>
          <w:rFonts w:ascii="微软雅黑" w:hAnsi="微软雅黑" w:eastAsia="微软雅黑" w:cs="微软雅黑"/>
          <w:sz w:val="17"/>
          <w:szCs w:val="17"/>
        </w:rPr>
      </w:pPr>
      <w:r>
        <w:rPr>
          <w:spacing w:val="-10"/>
          <w:sz w:val="17"/>
          <w:szCs w:val="17"/>
        </w:rPr>
        <w:t>［</w:t>
      </w:r>
      <w:r>
        <w:rPr>
          <w:rFonts w:ascii="微软雅黑" w:hAnsi="微软雅黑" w:eastAsia="微软雅黑" w:cs="微软雅黑"/>
          <w:spacing w:val="-10"/>
          <w:sz w:val="17"/>
          <w:szCs w:val="17"/>
        </w:rPr>
        <w:t>2</w:t>
      </w:r>
      <w:r>
        <w:rPr>
          <w:spacing w:val="-10"/>
          <w:sz w:val="17"/>
          <w:szCs w:val="17"/>
        </w:rPr>
        <w:t>］</w:t>
      </w:r>
      <w:r>
        <w:rPr>
          <w:rFonts w:ascii="新宋体" w:hAnsi="新宋体" w:eastAsia="新宋体" w:cs="新宋体"/>
          <w:spacing w:val="-10"/>
          <w:sz w:val="17"/>
          <w:szCs w:val="17"/>
        </w:rPr>
        <w:t>张根保</w:t>
      </w:r>
      <w:r>
        <w:rPr>
          <w:spacing w:val="-10"/>
          <w:sz w:val="17"/>
          <w:szCs w:val="17"/>
        </w:rPr>
        <w:t>，</w:t>
      </w:r>
      <w:r>
        <w:rPr>
          <w:rFonts w:ascii="新宋体" w:hAnsi="新宋体" w:eastAsia="新宋体" w:cs="新宋体"/>
          <w:spacing w:val="-10"/>
          <w:sz w:val="17"/>
          <w:szCs w:val="17"/>
        </w:rPr>
        <w:t>刘  英</w:t>
      </w:r>
      <w:r>
        <w:rPr>
          <w:rFonts w:ascii="微软雅黑" w:hAnsi="微软雅黑" w:eastAsia="微软雅黑" w:cs="微软雅黑"/>
          <w:spacing w:val="-10"/>
          <w:sz w:val="17"/>
          <w:szCs w:val="17"/>
        </w:rPr>
        <w:t>．</w:t>
      </w:r>
      <w:r>
        <w:rPr>
          <w:rFonts w:ascii="新宋体" w:hAnsi="新宋体" w:eastAsia="新宋体" w:cs="新宋体"/>
          <w:spacing w:val="-10"/>
          <w:sz w:val="17"/>
          <w:szCs w:val="17"/>
        </w:rPr>
        <w:t>质量管理与可靠性</w:t>
      </w:r>
      <w:r>
        <w:rPr>
          <w:spacing w:val="-10"/>
          <w:sz w:val="17"/>
          <w:szCs w:val="17"/>
        </w:rPr>
        <w:t>［</w:t>
      </w:r>
      <w:r>
        <w:rPr>
          <w:rFonts w:ascii="微软雅黑" w:hAnsi="微软雅黑" w:eastAsia="微软雅黑" w:cs="微软雅黑"/>
          <w:spacing w:val="-10"/>
          <w:sz w:val="17"/>
          <w:szCs w:val="17"/>
        </w:rPr>
        <w:t>M</w:t>
      </w:r>
      <w:r>
        <w:rPr>
          <w:spacing w:val="-54"/>
          <w:sz w:val="17"/>
          <w:szCs w:val="17"/>
        </w:rPr>
        <w:t>］</w:t>
      </w:r>
      <w:r>
        <w:rPr>
          <w:rFonts w:ascii="微软雅黑" w:hAnsi="微软雅黑" w:eastAsia="微软雅黑" w:cs="微软雅黑"/>
          <w:spacing w:val="-54"/>
          <w:sz w:val="17"/>
          <w:szCs w:val="17"/>
        </w:rPr>
        <w:t>．</w:t>
      </w:r>
      <w:r>
        <w:rPr>
          <w:rFonts w:ascii="新宋体" w:hAnsi="新宋体" w:eastAsia="新宋体" w:cs="新宋体"/>
          <w:spacing w:val="-10"/>
          <w:sz w:val="17"/>
          <w:szCs w:val="17"/>
        </w:rPr>
        <w:t>北京</w:t>
      </w:r>
      <w:r>
        <w:rPr>
          <w:rFonts w:ascii="新宋体" w:hAnsi="新宋体" w:eastAsia="新宋体" w:cs="新宋体"/>
          <w:spacing w:val="-51"/>
          <w:sz w:val="17"/>
          <w:szCs w:val="17"/>
        </w:rPr>
        <w:t xml:space="preserve"> </w:t>
      </w:r>
      <w:r>
        <w:rPr>
          <w:spacing w:val="-10"/>
          <w:sz w:val="17"/>
          <w:szCs w:val="17"/>
        </w:rPr>
        <w:t xml:space="preserve">: </w:t>
      </w:r>
      <w:r>
        <w:rPr>
          <w:rFonts w:ascii="新宋体" w:hAnsi="新宋体" w:eastAsia="新宋体" w:cs="新宋体"/>
          <w:spacing w:val="-10"/>
          <w:sz w:val="17"/>
          <w:szCs w:val="17"/>
        </w:rPr>
        <w:t>中国科学</w:t>
      </w:r>
      <w:r>
        <w:rPr>
          <w:rFonts w:ascii="新宋体" w:hAnsi="新宋体" w:eastAsia="新宋体" w:cs="新宋体"/>
          <w:sz w:val="17"/>
          <w:szCs w:val="17"/>
        </w:rPr>
        <w:t xml:space="preserve"> </w:t>
      </w:r>
      <w:r>
        <w:rPr>
          <w:rFonts w:ascii="新宋体" w:hAnsi="新宋体" w:eastAsia="新宋体" w:cs="新宋体"/>
          <w:spacing w:val="-9"/>
          <w:sz w:val="17"/>
          <w:szCs w:val="17"/>
        </w:rPr>
        <w:t>技术出版社</w:t>
      </w:r>
      <w:r>
        <w:rPr>
          <w:spacing w:val="-9"/>
          <w:sz w:val="17"/>
          <w:szCs w:val="17"/>
        </w:rPr>
        <w:t>，</w:t>
      </w:r>
      <w:r>
        <w:rPr>
          <w:rFonts w:ascii="微软雅黑" w:hAnsi="微软雅黑" w:eastAsia="微软雅黑" w:cs="微软雅黑"/>
          <w:spacing w:val="-9"/>
          <w:sz w:val="17"/>
          <w:szCs w:val="17"/>
        </w:rPr>
        <w:t>2001</w:t>
      </w:r>
      <w:r>
        <w:rPr>
          <w:spacing w:val="-9"/>
          <w:sz w:val="17"/>
          <w:szCs w:val="17"/>
        </w:rPr>
        <w:t>:</w:t>
      </w:r>
      <w:r>
        <w:rPr>
          <w:rFonts w:ascii="微软雅黑" w:hAnsi="微软雅黑" w:eastAsia="微软雅黑" w:cs="微软雅黑"/>
          <w:spacing w:val="-9"/>
          <w:sz w:val="17"/>
          <w:szCs w:val="17"/>
        </w:rPr>
        <w:t>21</w:t>
      </w:r>
      <w:r>
        <w:rPr>
          <w:rFonts w:ascii="微软雅黑" w:hAnsi="微软雅黑" w:eastAsia="微软雅黑" w:cs="微软雅黑"/>
          <w:spacing w:val="-21"/>
          <w:sz w:val="17"/>
          <w:szCs w:val="17"/>
        </w:rPr>
        <w:t xml:space="preserve"> </w:t>
      </w:r>
      <w:r>
        <w:rPr>
          <w:rFonts w:ascii="微软雅黑" w:hAnsi="微软雅黑" w:eastAsia="微软雅黑" w:cs="微软雅黑"/>
          <w:spacing w:val="-9"/>
          <w:sz w:val="17"/>
          <w:szCs w:val="17"/>
        </w:rPr>
        <w:t>.</w:t>
      </w:r>
    </w:p>
    <w:p>
      <w:pPr>
        <w:pStyle w:val="2"/>
        <w:spacing w:before="12" w:line="232" w:lineRule="auto"/>
        <w:ind w:left="327" w:right="74" w:hanging="328"/>
        <w:rPr>
          <w:rFonts w:ascii="微软雅黑" w:hAnsi="微软雅黑" w:eastAsia="微软雅黑" w:cs="微软雅黑"/>
          <w:sz w:val="17"/>
          <w:szCs w:val="17"/>
        </w:rPr>
      </w:pPr>
      <w:r>
        <w:rPr>
          <w:spacing w:val="-3"/>
          <w:sz w:val="17"/>
          <w:szCs w:val="17"/>
        </w:rPr>
        <w:t>［</w:t>
      </w:r>
      <w:r>
        <w:rPr>
          <w:rFonts w:ascii="微软雅黑" w:hAnsi="微软雅黑" w:eastAsia="微软雅黑" w:cs="微软雅黑"/>
          <w:spacing w:val="-3"/>
          <w:sz w:val="17"/>
          <w:szCs w:val="17"/>
        </w:rPr>
        <w:t>3</w:t>
      </w:r>
      <w:r>
        <w:rPr>
          <w:spacing w:val="-3"/>
          <w:sz w:val="17"/>
          <w:szCs w:val="17"/>
        </w:rPr>
        <w:t>］</w:t>
      </w:r>
      <w:r>
        <w:rPr>
          <w:rFonts w:ascii="新宋体" w:hAnsi="新宋体" w:eastAsia="新宋体" w:cs="新宋体"/>
          <w:spacing w:val="-3"/>
          <w:sz w:val="17"/>
          <w:szCs w:val="17"/>
        </w:rPr>
        <w:t>王建华</w:t>
      </w:r>
      <w:r>
        <w:rPr>
          <w:rFonts w:ascii="微软雅黑" w:hAnsi="微软雅黑" w:eastAsia="微软雅黑" w:cs="微软雅黑"/>
          <w:spacing w:val="-3"/>
          <w:sz w:val="17"/>
          <w:szCs w:val="17"/>
        </w:rPr>
        <w:t>．</w:t>
      </w:r>
      <w:r>
        <w:rPr>
          <w:rFonts w:ascii="新宋体" w:hAnsi="新宋体" w:eastAsia="新宋体" w:cs="新宋体"/>
          <w:spacing w:val="-3"/>
          <w:sz w:val="17"/>
          <w:szCs w:val="17"/>
        </w:rPr>
        <w:t>多视角的高等教育质量管理</w:t>
      </w:r>
      <w:r>
        <w:rPr>
          <w:spacing w:val="-3"/>
          <w:sz w:val="17"/>
          <w:szCs w:val="17"/>
        </w:rPr>
        <w:t>［</w:t>
      </w:r>
      <w:r>
        <w:rPr>
          <w:rFonts w:ascii="微软雅黑" w:hAnsi="微软雅黑" w:eastAsia="微软雅黑" w:cs="微软雅黑"/>
          <w:spacing w:val="-3"/>
          <w:sz w:val="17"/>
          <w:szCs w:val="17"/>
        </w:rPr>
        <w:t>M</w:t>
      </w:r>
      <w:r>
        <w:rPr>
          <w:spacing w:val="-52"/>
          <w:w w:val="95"/>
          <w:sz w:val="17"/>
          <w:szCs w:val="17"/>
        </w:rPr>
        <w:t>］</w:t>
      </w:r>
      <w:r>
        <w:rPr>
          <w:rFonts w:ascii="微软雅黑" w:hAnsi="微软雅黑" w:eastAsia="微软雅黑" w:cs="微软雅黑"/>
          <w:spacing w:val="-52"/>
          <w:w w:val="95"/>
          <w:sz w:val="17"/>
          <w:szCs w:val="17"/>
        </w:rPr>
        <w:t>．</w:t>
      </w:r>
      <w:r>
        <w:rPr>
          <w:rFonts w:ascii="新宋体" w:hAnsi="新宋体" w:eastAsia="新宋体" w:cs="新宋体"/>
          <w:spacing w:val="-4"/>
          <w:sz w:val="17"/>
          <w:szCs w:val="17"/>
        </w:rPr>
        <w:t>广州</w:t>
      </w:r>
      <w:r>
        <w:rPr>
          <w:rFonts w:ascii="新宋体" w:hAnsi="新宋体" w:eastAsia="新宋体" w:cs="新宋体"/>
          <w:spacing w:val="-51"/>
          <w:sz w:val="17"/>
          <w:szCs w:val="17"/>
        </w:rPr>
        <w:t xml:space="preserve"> </w:t>
      </w:r>
      <w:r>
        <w:rPr>
          <w:spacing w:val="-4"/>
          <w:sz w:val="17"/>
          <w:szCs w:val="17"/>
        </w:rPr>
        <w:t>:</w:t>
      </w:r>
      <w:r>
        <w:rPr>
          <w:spacing w:val="-30"/>
          <w:sz w:val="17"/>
          <w:szCs w:val="17"/>
        </w:rPr>
        <w:t xml:space="preserve"> </w:t>
      </w:r>
      <w:r>
        <w:rPr>
          <w:rFonts w:ascii="新宋体" w:hAnsi="新宋体" w:eastAsia="新宋体" w:cs="新宋体"/>
          <w:spacing w:val="-4"/>
          <w:sz w:val="17"/>
          <w:szCs w:val="17"/>
        </w:rPr>
        <w:t>广东高</w:t>
      </w:r>
      <w:r>
        <w:rPr>
          <w:rFonts w:ascii="新宋体" w:hAnsi="新宋体" w:eastAsia="新宋体" w:cs="新宋体"/>
          <w:sz w:val="17"/>
          <w:szCs w:val="17"/>
        </w:rPr>
        <w:t xml:space="preserve"> </w:t>
      </w:r>
      <w:r>
        <w:rPr>
          <w:rFonts w:ascii="新宋体" w:hAnsi="新宋体" w:eastAsia="新宋体" w:cs="新宋体"/>
          <w:spacing w:val="-12"/>
          <w:sz w:val="17"/>
          <w:szCs w:val="17"/>
        </w:rPr>
        <w:t>等教育出版社</w:t>
      </w:r>
      <w:r>
        <w:rPr>
          <w:spacing w:val="-12"/>
          <w:sz w:val="17"/>
          <w:szCs w:val="17"/>
        </w:rPr>
        <w:t>，</w:t>
      </w:r>
      <w:r>
        <w:rPr>
          <w:rFonts w:ascii="微软雅黑" w:hAnsi="微软雅黑" w:eastAsia="微软雅黑" w:cs="微软雅黑"/>
          <w:spacing w:val="-12"/>
          <w:sz w:val="17"/>
          <w:szCs w:val="17"/>
        </w:rPr>
        <w:t xml:space="preserve">2010 </w:t>
      </w:r>
      <w:r>
        <w:rPr>
          <w:spacing w:val="-12"/>
          <w:sz w:val="17"/>
          <w:szCs w:val="17"/>
        </w:rPr>
        <w:t>:</w:t>
      </w:r>
      <w:r>
        <w:rPr>
          <w:spacing w:val="-49"/>
          <w:sz w:val="17"/>
          <w:szCs w:val="17"/>
        </w:rPr>
        <w:t xml:space="preserve"> </w:t>
      </w:r>
      <w:r>
        <w:rPr>
          <w:rFonts w:ascii="微软雅黑" w:hAnsi="微软雅黑" w:eastAsia="微软雅黑" w:cs="微软雅黑"/>
          <w:spacing w:val="-12"/>
          <w:sz w:val="17"/>
          <w:szCs w:val="17"/>
        </w:rPr>
        <w:t>66.</w:t>
      </w:r>
    </w:p>
    <w:p>
      <w:pPr>
        <w:pStyle w:val="2"/>
        <w:spacing w:before="6" w:line="232" w:lineRule="auto"/>
        <w:ind w:left="327" w:right="75" w:hanging="328"/>
        <w:rPr>
          <w:rFonts w:ascii="微软雅黑" w:hAnsi="微软雅黑" w:eastAsia="微软雅黑" w:cs="微软雅黑"/>
          <w:sz w:val="17"/>
          <w:szCs w:val="17"/>
        </w:rPr>
      </w:pPr>
      <w:r>
        <w:rPr>
          <w:spacing w:val="-1"/>
          <w:sz w:val="17"/>
          <w:szCs w:val="17"/>
        </w:rPr>
        <w:t>［</w:t>
      </w:r>
      <w:r>
        <w:rPr>
          <w:rFonts w:ascii="微软雅黑" w:hAnsi="微软雅黑" w:eastAsia="微软雅黑" w:cs="微软雅黑"/>
          <w:spacing w:val="-1"/>
          <w:sz w:val="17"/>
          <w:szCs w:val="17"/>
        </w:rPr>
        <w:t>4</w:t>
      </w:r>
      <w:r>
        <w:rPr>
          <w:spacing w:val="-1"/>
          <w:sz w:val="17"/>
          <w:szCs w:val="17"/>
        </w:rPr>
        <w:t>］</w:t>
      </w:r>
      <w:r>
        <w:rPr>
          <w:rFonts w:ascii="新宋体" w:hAnsi="新宋体" w:eastAsia="新宋体" w:cs="新宋体"/>
          <w:spacing w:val="-1"/>
          <w:sz w:val="17"/>
          <w:szCs w:val="17"/>
        </w:rPr>
        <w:t>范怡红</w:t>
      </w:r>
      <w:r>
        <w:rPr>
          <w:rFonts w:ascii="微软雅黑" w:hAnsi="微软雅黑" w:eastAsia="微软雅黑" w:cs="微软雅黑"/>
          <w:spacing w:val="-1"/>
          <w:sz w:val="17"/>
          <w:szCs w:val="17"/>
        </w:rPr>
        <w:t>．</w:t>
      </w:r>
      <w:r>
        <w:rPr>
          <w:rFonts w:ascii="新宋体" w:hAnsi="新宋体" w:eastAsia="新宋体" w:cs="新宋体"/>
          <w:spacing w:val="-1"/>
          <w:sz w:val="17"/>
          <w:szCs w:val="17"/>
        </w:rPr>
        <w:t>中国与欧洲大学教师发展比较研究</w:t>
      </w:r>
      <w:r>
        <w:rPr>
          <w:rFonts w:ascii="新宋体" w:hAnsi="新宋体" w:eastAsia="新宋体" w:cs="新宋体"/>
          <w:spacing w:val="-48"/>
          <w:sz w:val="17"/>
          <w:szCs w:val="17"/>
        </w:rPr>
        <w:t xml:space="preserve"> </w:t>
      </w:r>
      <w:r>
        <w:rPr>
          <w:spacing w:val="-1"/>
          <w:sz w:val="17"/>
          <w:szCs w:val="17"/>
        </w:rPr>
        <w:t>:</w:t>
      </w:r>
      <w:r>
        <w:rPr>
          <w:spacing w:val="-42"/>
          <w:sz w:val="17"/>
          <w:szCs w:val="17"/>
        </w:rPr>
        <w:t xml:space="preserve"> </w:t>
      </w:r>
      <w:r>
        <w:rPr>
          <w:rFonts w:ascii="新宋体" w:hAnsi="新宋体" w:eastAsia="新宋体" w:cs="新宋体"/>
          <w:spacing w:val="-2"/>
          <w:sz w:val="17"/>
          <w:szCs w:val="17"/>
        </w:rPr>
        <w:t>基于多维学</w:t>
      </w:r>
      <w:r>
        <w:rPr>
          <w:rFonts w:ascii="新宋体" w:hAnsi="新宋体" w:eastAsia="新宋体" w:cs="新宋体"/>
          <w:sz w:val="17"/>
          <w:szCs w:val="17"/>
        </w:rPr>
        <w:t xml:space="preserve"> </w:t>
      </w:r>
      <w:r>
        <w:rPr>
          <w:rFonts w:ascii="新宋体" w:hAnsi="新宋体" w:eastAsia="新宋体" w:cs="新宋体"/>
          <w:spacing w:val="-9"/>
          <w:sz w:val="17"/>
          <w:szCs w:val="17"/>
        </w:rPr>
        <w:t>术的视角</w:t>
      </w:r>
      <w:r>
        <w:rPr>
          <w:spacing w:val="-9"/>
          <w:sz w:val="17"/>
          <w:szCs w:val="17"/>
        </w:rPr>
        <w:t>［</w:t>
      </w:r>
      <w:r>
        <w:rPr>
          <w:rFonts w:ascii="微软雅黑" w:hAnsi="微软雅黑" w:eastAsia="微软雅黑" w:cs="微软雅黑"/>
          <w:spacing w:val="-9"/>
          <w:sz w:val="17"/>
          <w:szCs w:val="17"/>
        </w:rPr>
        <w:t>M</w:t>
      </w:r>
      <w:r>
        <w:rPr>
          <w:spacing w:val="-51"/>
          <w:w w:val="93"/>
          <w:sz w:val="17"/>
          <w:szCs w:val="17"/>
        </w:rPr>
        <w:t>］</w:t>
      </w:r>
      <w:r>
        <w:rPr>
          <w:rFonts w:ascii="微软雅黑" w:hAnsi="微软雅黑" w:eastAsia="微软雅黑" w:cs="微软雅黑"/>
          <w:spacing w:val="-51"/>
          <w:w w:val="93"/>
          <w:sz w:val="17"/>
          <w:szCs w:val="17"/>
        </w:rPr>
        <w:t>．</w:t>
      </w:r>
      <w:r>
        <w:rPr>
          <w:rFonts w:ascii="新宋体" w:hAnsi="新宋体" w:eastAsia="新宋体" w:cs="新宋体"/>
          <w:spacing w:val="-9"/>
          <w:sz w:val="17"/>
          <w:szCs w:val="17"/>
        </w:rPr>
        <w:t>成都</w:t>
      </w:r>
      <w:r>
        <w:rPr>
          <w:rFonts w:ascii="新宋体" w:hAnsi="新宋体" w:eastAsia="新宋体" w:cs="新宋体"/>
          <w:spacing w:val="-51"/>
          <w:sz w:val="17"/>
          <w:szCs w:val="17"/>
        </w:rPr>
        <w:t xml:space="preserve"> </w:t>
      </w:r>
      <w:r>
        <w:rPr>
          <w:spacing w:val="-9"/>
          <w:sz w:val="17"/>
          <w:szCs w:val="17"/>
        </w:rPr>
        <w:t>:</w:t>
      </w:r>
      <w:r>
        <w:rPr>
          <w:spacing w:val="-29"/>
          <w:sz w:val="17"/>
          <w:szCs w:val="17"/>
        </w:rPr>
        <w:t xml:space="preserve"> </w:t>
      </w:r>
      <w:r>
        <w:rPr>
          <w:rFonts w:ascii="新宋体" w:hAnsi="新宋体" w:eastAsia="新宋体" w:cs="新宋体"/>
          <w:spacing w:val="-9"/>
          <w:sz w:val="17"/>
          <w:szCs w:val="17"/>
        </w:rPr>
        <w:t>西南交通大学出版社</w:t>
      </w:r>
      <w:r>
        <w:rPr>
          <w:spacing w:val="-9"/>
          <w:sz w:val="17"/>
          <w:szCs w:val="17"/>
        </w:rPr>
        <w:t>，</w:t>
      </w:r>
      <w:r>
        <w:rPr>
          <w:rFonts w:ascii="微软雅黑" w:hAnsi="微软雅黑" w:eastAsia="微软雅黑" w:cs="微软雅黑"/>
          <w:spacing w:val="-9"/>
          <w:sz w:val="17"/>
          <w:szCs w:val="17"/>
        </w:rPr>
        <w:t>2013</w:t>
      </w:r>
      <w:r>
        <w:rPr>
          <w:rFonts w:ascii="微软雅黑" w:hAnsi="微软雅黑" w:eastAsia="微软雅黑" w:cs="微软雅黑"/>
          <w:spacing w:val="-11"/>
          <w:sz w:val="17"/>
          <w:szCs w:val="17"/>
        </w:rPr>
        <w:t xml:space="preserve"> </w:t>
      </w:r>
      <w:r>
        <w:rPr>
          <w:spacing w:val="-9"/>
          <w:sz w:val="17"/>
          <w:szCs w:val="17"/>
        </w:rPr>
        <w:t>:</w:t>
      </w:r>
      <w:r>
        <w:rPr>
          <w:rFonts w:ascii="微软雅黑" w:hAnsi="微软雅黑" w:eastAsia="微软雅黑" w:cs="微软雅黑"/>
          <w:spacing w:val="-9"/>
          <w:sz w:val="17"/>
          <w:szCs w:val="17"/>
        </w:rPr>
        <w:t>25</w:t>
      </w:r>
      <w:r>
        <w:rPr>
          <w:rFonts w:ascii="微软雅黑" w:hAnsi="微软雅黑" w:eastAsia="微软雅黑" w:cs="微软雅黑"/>
          <w:spacing w:val="-30"/>
          <w:sz w:val="17"/>
          <w:szCs w:val="17"/>
        </w:rPr>
        <w:t xml:space="preserve"> </w:t>
      </w:r>
      <w:r>
        <w:rPr>
          <w:rFonts w:ascii="微软雅黑" w:hAnsi="微软雅黑" w:eastAsia="微软雅黑" w:cs="微软雅黑"/>
          <w:spacing w:val="-9"/>
          <w:sz w:val="17"/>
          <w:szCs w:val="17"/>
        </w:rPr>
        <w:t>.</w:t>
      </w:r>
    </w:p>
    <w:p>
      <w:pPr>
        <w:pStyle w:val="2"/>
        <w:spacing w:before="7" w:line="235" w:lineRule="auto"/>
        <w:ind w:left="320" w:right="75" w:hanging="321"/>
        <w:rPr>
          <w:rFonts w:ascii="微软雅黑" w:hAnsi="微软雅黑" w:eastAsia="微软雅黑" w:cs="微软雅黑"/>
          <w:sz w:val="17"/>
          <w:szCs w:val="17"/>
        </w:rPr>
      </w:pPr>
      <w:r>
        <w:rPr>
          <w:sz w:val="17"/>
          <w:szCs w:val="17"/>
        </w:rPr>
        <w:t>［</w:t>
      </w:r>
      <w:r>
        <w:rPr>
          <w:rFonts w:ascii="微软雅黑" w:hAnsi="微软雅黑" w:eastAsia="微软雅黑" w:cs="微软雅黑"/>
          <w:sz w:val="17"/>
          <w:szCs w:val="17"/>
        </w:rPr>
        <w:t>5</w:t>
      </w:r>
      <w:r>
        <w:rPr>
          <w:sz w:val="17"/>
          <w:szCs w:val="17"/>
        </w:rPr>
        <w:t>］</w:t>
      </w:r>
      <w:r>
        <w:rPr>
          <w:rFonts w:ascii="新宋体" w:hAnsi="新宋体" w:eastAsia="新宋体" w:cs="新宋体"/>
          <w:sz w:val="17"/>
          <w:szCs w:val="17"/>
        </w:rPr>
        <w:t>别敦荣</w:t>
      </w:r>
      <w:r>
        <w:rPr>
          <w:rFonts w:ascii="微软雅黑" w:hAnsi="微软雅黑" w:eastAsia="微软雅黑" w:cs="微软雅黑"/>
          <w:sz w:val="17"/>
          <w:szCs w:val="17"/>
        </w:rPr>
        <w:t>．</w:t>
      </w:r>
      <w:r>
        <w:rPr>
          <w:rFonts w:ascii="新宋体" w:hAnsi="新宋体" w:eastAsia="新宋体" w:cs="新宋体"/>
          <w:sz w:val="17"/>
          <w:szCs w:val="17"/>
        </w:rPr>
        <w:t>一流本科教育的特征与实践走势</w:t>
      </w:r>
      <w:r>
        <w:rPr>
          <w:sz w:val="17"/>
          <w:szCs w:val="17"/>
        </w:rPr>
        <w:t>［</w:t>
      </w:r>
      <w:r>
        <w:rPr>
          <w:rFonts w:ascii="微软雅黑" w:hAnsi="微软雅黑" w:eastAsia="微软雅黑" w:cs="微软雅黑"/>
          <w:sz w:val="17"/>
          <w:szCs w:val="17"/>
        </w:rPr>
        <w:t>J</w:t>
      </w:r>
      <w:r>
        <w:rPr>
          <w:spacing w:val="-53"/>
          <w:sz w:val="17"/>
          <w:szCs w:val="17"/>
        </w:rPr>
        <w:t>］</w:t>
      </w:r>
      <w:r>
        <w:rPr>
          <w:rFonts w:ascii="微软雅黑" w:hAnsi="微软雅黑" w:eastAsia="微软雅黑" w:cs="微软雅黑"/>
          <w:spacing w:val="-53"/>
          <w:sz w:val="17"/>
          <w:szCs w:val="17"/>
        </w:rPr>
        <w:t>．</w:t>
      </w:r>
      <w:r>
        <w:rPr>
          <w:rFonts w:ascii="新宋体" w:hAnsi="新宋体" w:eastAsia="新宋体" w:cs="新宋体"/>
          <w:sz w:val="17"/>
          <w:szCs w:val="17"/>
        </w:rPr>
        <w:t>山东高等</w:t>
      </w:r>
      <w:r>
        <w:rPr>
          <w:rFonts w:ascii="新宋体" w:hAnsi="新宋体" w:eastAsia="新宋体" w:cs="新宋体"/>
          <w:spacing w:val="1"/>
          <w:sz w:val="17"/>
          <w:szCs w:val="17"/>
        </w:rPr>
        <w:t xml:space="preserve"> </w:t>
      </w:r>
      <w:r>
        <w:rPr>
          <w:rFonts w:ascii="新宋体" w:hAnsi="新宋体" w:eastAsia="新宋体" w:cs="新宋体"/>
          <w:spacing w:val="-21"/>
          <w:sz w:val="17"/>
          <w:szCs w:val="17"/>
        </w:rPr>
        <w:t>教育</w:t>
      </w:r>
      <w:r>
        <w:rPr>
          <w:spacing w:val="-21"/>
          <w:sz w:val="17"/>
          <w:szCs w:val="17"/>
        </w:rPr>
        <w:t>，</w:t>
      </w:r>
      <w:r>
        <w:rPr>
          <w:rFonts w:ascii="微软雅黑" w:hAnsi="微软雅黑" w:eastAsia="微软雅黑" w:cs="微软雅黑"/>
          <w:spacing w:val="-21"/>
          <w:sz w:val="17"/>
          <w:szCs w:val="17"/>
        </w:rPr>
        <w:t xml:space="preserve">2017 </w:t>
      </w:r>
      <w:r>
        <w:rPr>
          <w:spacing w:val="-21"/>
          <w:sz w:val="17"/>
          <w:szCs w:val="17"/>
        </w:rPr>
        <w:t>(</w:t>
      </w:r>
      <w:r>
        <w:rPr>
          <w:spacing w:val="-38"/>
          <w:sz w:val="17"/>
          <w:szCs w:val="17"/>
        </w:rPr>
        <w:t xml:space="preserve"> </w:t>
      </w:r>
      <w:r>
        <w:rPr>
          <w:rFonts w:ascii="微软雅黑" w:hAnsi="微软雅黑" w:eastAsia="微软雅黑" w:cs="微软雅黑"/>
          <w:spacing w:val="-21"/>
          <w:sz w:val="17"/>
          <w:szCs w:val="17"/>
        </w:rPr>
        <w:t>1</w:t>
      </w:r>
      <w:r>
        <w:rPr>
          <w:spacing w:val="-21"/>
          <w:sz w:val="17"/>
          <w:szCs w:val="17"/>
        </w:rPr>
        <w:t>)</w:t>
      </w:r>
      <w:r>
        <w:rPr>
          <w:spacing w:val="-5"/>
          <w:sz w:val="17"/>
          <w:szCs w:val="17"/>
        </w:rPr>
        <w:t xml:space="preserve"> </w:t>
      </w:r>
      <w:r>
        <w:rPr>
          <w:spacing w:val="-21"/>
          <w:sz w:val="17"/>
          <w:szCs w:val="17"/>
        </w:rPr>
        <w:t>:</w:t>
      </w:r>
      <w:r>
        <w:rPr>
          <w:spacing w:val="-46"/>
          <w:sz w:val="17"/>
          <w:szCs w:val="17"/>
        </w:rPr>
        <w:t xml:space="preserve"> </w:t>
      </w:r>
      <w:r>
        <w:rPr>
          <w:rFonts w:ascii="微软雅黑" w:hAnsi="微软雅黑" w:eastAsia="微软雅黑" w:cs="微软雅黑"/>
          <w:spacing w:val="-21"/>
          <w:sz w:val="17"/>
          <w:szCs w:val="17"/>
        </w:rPr>
        <w:t>6</w:t>
      </w:r>
      <w:r>
        <w:rPr>
          <w:rFonts w:ascii="微软雅黑" w:hAnsi="微软雅黑" w:eastAsia="微软雅黑" w:cs="微软雅黑"/>
          <w:spacing w:val="-22"/>
          <w:sz w:val="17"/>
          <w:szCs w:val="17"/>
        </w:rPr>
        <w:t xml:space="preserve"> </w:t>
      </w:r>
      <w:r>
        <w:rPr>
          <w:rFonts w:ascii="微软雅黑" w:hAnsi="微软雅黑" w:eastAsia="微软雅黑" w:cs="微软雅黑"/>
          <w:spacing w:val="-21"/>
          <w:sz w:val="17"/>
          <w:szCs w:val="17"/>
        </w:rPr>
        <w:t>－14</w:t>
      </w:r>
      <w:r>
        <w:rPr>
          <w:rFonts w:ascii="微软雅黑" w:hAnsi="微软雅黑" w:eastAsia="微软雅黑" w:cs="微软雅黑"/>
          <w:spacing w:val="-30"/>
          <w:sz w:val="17"/>
          <w:szCs w:val="17"/>
        </w:rPr>
        <w:t xml:space="preserve"> </w:t>
      </w:r>
      <w:r>
        <w:rPr>
          <w:rFonts w:ascii="微软雅黑" w:hAnsi="微软雅黑" w:eastAsia="微软雅黑" w:cs="微软雅黑"/>
          <w:spacing w:val="-21"/>
          <w:sz w:val="17"/>
          <w:szCs w:val="17"/>
        </w:rPr>
        <w:t>.</w:t>
      </w:r>
    </w:p>
    <w:p>
      <w:pPr>
        <w:pStyle w:val="2"/>
        <w:spacing w:before="2" w:line="231" w:lineRule="auto"/>
        <w:ind w:left="325" w:right="75" w:hanging="325"/>
        <w:rPr>
          <w:rFonts w:ascii="微软雅黑" w:hAnsi="微软雅黑" w:eastAsia="微软雅黑" w:cs="微软雅黑"/>
          <w:sz w:val="17"/>
          <w:szCs w:val="17"/>
        </w:rPr>
      </w:pPr>
      <w:r>
        <w:rPr>
          <w:spacing w:val="-2"/>
          <w:sz w:val="17"/>
          <w:szCs w:val="17"/>
        </w:rPr>
        <w:t>［</w:t>
      </w:r>
      <w:r>
        <w:rPr>
          <w:rFonts w:ascii="微软雅黑" w:hAnsi="微软雅黑" w:eastAsia="微软雅黑" w:cs="微软雅黑"/>
          <w:spacing w:val="-2"/>
          <w:sz w:val="17"/>
          <w:szCs w:val="17"/>
        </w:rPr>
        <w:t>6</w:t>
      </w:r>
      <w:r>
        <w:rPr>
          <w:spacing w:val="-2"/>
          <w:sz w:val="17"/>
          <w:szCs w:val="17"/>
        </w:rPr>
        <w:t>］</w:t>
      </w:r>
      <w:r>
        <w:rPr>
          <w:rFonts w:ascii="新宋体" w:hAnsi="新宋体" w:eastAsia="新宋体" w:cs="新宋体"/>
          <w:spacing w:val="-2"/>
          <w:sz w:val="17"/>
          <w:szCs w:val="17"/>
        </w:rPr>
        <w:t>林  健</w:t>
      </w:r>
      <w:r>
        <w:rPr>
          <w:rFonts w:ascii="微软雅黑" w:hAnsi="微软雅黑" w:eastAsia="微软雅黑" w:cs="微软雅黑"/>
          <w:spacing w:val="-2"/>
          <w:sz w:val="17"/>
          <w:szCs w:val="17"/>
        </w:rPr>
        <w:t>．</w:t>
      </w:r>
      <w:r>
        <w:rPr>
          <w:rFonts w:ascii="新宋体" w:hAnsi="新宋体" w:eastAsia="新宋体" w:cs="新宋体"/>
          <w:spacing w:val="-2"/>
          <w:sz w:val="17"/>
          <w:szCs w:val="17"/>
        </w:rPr>
        <w:t>卓越工程师培养质量保障</w:t>
      </w:r>
      <w:r>
        <w:rPr>
          <w:rFonts w:ascii="Arial" w:hAnsi="Arial" w:eastAsia="Arial" w:cs="Arial"/>
          <w:spacing w:val="-2"/>
          <w:sz w:val="17"/>
          <w:szCs w:val="17"/>
        </w:rPr>
        <w:t>———</w:t>
      </w:r>
      <w:r>
        <w:rPr>
          <w:rFonts w:ascii="Arial" w:hAnsi="Arial" w:eastAsia="Arial" w:cs="Arial"/>
          <w:spacing w:val="-27"/>
          <w:sz w:val="17"/>
          <w:szCs w:val="17"/>
        </w:rPr>
        <w:t xml:space="preserve"> </w:t>
      </w:r>
      <w:r>
        <w:rPr>
          <w:rFonts w:ascii="新宋体" w:hAnsi="新宋体" w:eastAsia="新宋体" w:cs="新宋体"/>
          <w:spacing w:val="-2"/>
          <w:sz w:val="17"/>
          <w:szCs w:val="17"/>
        </w:rPr>
        <w:t>基于工程教育认</w:t>
      </w:r>
      <w:r>
        <w:rPr>
          <w:rFonts w:ascii="新宋体" w:hAnsi="新宋体" w:eastAsia="新宋体" w:cs="新宋体"/>
          <w:sz w:val="17"/>
          <w:szCs w:val="17"/>
        </w:rPr>
        <w:t xml:space="preserve"> </w:t>
      </w:r>
      <w:r>
        <w:rPr>
          <w:rFonts w:ascii="新宋体" w:hAnsi="新宋体" w:eastAsia="新宋体" w:cs="新宋体"/>
          <w:spacing w:val="-13"/>
          <w:sz w:val="17"/>
          <w:szCs w:val="17"/>
        </w:rPr>
        <w:t>证的视角</w:t>
      </w:r>
      <w:r>
        <w:rPr>
          <w:spacing w:val="-13"/>
          <w:sz w:val="17"/>
          <w:szCs w:val="17"/>
        </w:rPr>
        <w:t>［</w:t>
      </w:r>
      <w:r>
        <w:rPr>
          <w:rFonts w:ascii="微软雅黑" w:hAnsi="微软雅黑" w:eastAsia="微软雅黑" w:cs="微软雅黑"/>
          <w:spacing w:val="-13"/>
          <w:sz w:val="17"/>
          <w:szCs w:val="17"/>
        </w:rPr>
        <w:t>M</w:t>
      </w:r>
      <w:r>
        <w:rPr>
          <w:spacing w:val="-53"/>
          <w:sz w:val="17"/>
          <w:szCs w:val="17"/>
        </w:rPr>
        <w:t>］</w:t>
      </w:r>
      <w:r>
        <w:rPr>
          <w:rFonts w:ascii="微软雅黑" w:hAnsi="微软雅黑" w:eastAsia="微软雅黑" w:cs="微软雅黑"/>
          <w:spacing w:val="-53"/>
          <w:sz w:val="17"/>
          <w:szCs w:val="17"/>
        </w:rPr>
        <w:t>．</w:t>
      </w:r>
      <w:r>
        <w:rPr>
          <w:rFonts w:ascii="新宋体" w:hAnsi="新宋体" w:eastAsia="新宋体" w:cs="新宋体"/>
          <w:spacing w:val="-13"/>
          <w:sz w:val="17"/>
          <w:szCs w:val="17"/>
        </w:rPr>
        <w:t>北京</w:t>
      </w:r>
      <w:r>
        <w:rPr>
          <w:rFonts w:ascii="新宋体" w:hAnsi="新宋体" w:eastAsia="新宋体" w:cs="新宋体"/>
          <w:spacing w:val="-51"/>
          <w:sz w:val="17"/>
          <w:szCs w:val="17"/>
        </w:rPr>
        <w:t xml:space="preserve"> </w:t>
      </w:r>
      <w:r>
        <w:rPr>
          <w:spacing w:val="-13"/>
          <w:sz w:val="17"/>
          <w:szCs w:val="17"/>
        </w:rPr>
        <w:t>:</w:t>
      </w:r>
      <w:r>
        <w:rPr>
          <w:spacing w:val="-30"/>
          <w:sz w:val="17"/>
          <w:szCs w:val="17"/>
        </w:rPr>
        <w:t xml:space="preserve"> </w:t>
      </w:r>
      <w:r>
        <w:rPr>
          <w:rFonts w:ascii="新宋体" w:hAnsi="新宋体" w:eastAsia="新宋体" w:cs="新宋体"/>
          <w:spacing w:val="-13"/>
          <w:sz w:val="17"/>
          <w:szCs w:val="17"/>
        </w:rPr>
        <w:t>清华大学出版社</w:t>
      </w:r>
      <w:r>
        <w:rPr>
          <w:spacing w:val="-13"/>
          <w:sz w:val="17"/>
          <w:szCs w:val="17"/>
        </w:rPr>
        <w:t>，</w:t>
      </w:r>
      <w:r>
        <w:rPr>
          <w:rFonts w:ascii="微软雅黑" w:hAnsi="微软雅黑" w:eastAsia="微软雅黑" w:cs="微软雅黑"/>
          <w:spacing w:val="-13"/>
          <w:sz w:val="17"/>
          <w:szCs w:val="17"/>
        </w:rPr>
        <w:t xml:space="preserve">2016 </w:t>
      </w:r>
      <w:r>
        <w:rPr>
          <w:spacing w:val="-13"/>
          <w:sz w:val="17"/>
          <w:szCs w:val="17"/>
        </w:rPr>
        <w:t>:</w:t>
      </w:r>
      <w:r>
        <w:rPr>
          <w:spacing w:val="-37"/>
          <w:sz w:val="17"/>
          <w:szCs w:val="17"/>
        </w:rPr>
        <w:t xml:space="preserve"> </w:t>
      </w:r>
      <w:r>
        <w:rPr>
          <w:rFonts w:ascii="微软雅黑" w:hAnsi="微软雅黑" w:eastAsia="微软雅黑" w:cs="微软雅黑"/>
          <w:spacing w:val="-13"/>
          <w:sz w:val="17"/>
          <w:szCs w:val="17"/>
        </w:rPr>
        <w:t>198</w:t>
      </w:r>
      <w:r>
        <w:rPr>
          <w:rFonts w:ascii="微软雅黑" w:hAnsi="微软雅黑" w:eastAsia="微软雅黑" w:cs="微软雅黑"/>
          <w:spacing w:val="-30"/>
          <w:sz w:val="17"/>
          <w:szCs w:val="17"/>
        </w:rPr>
        <w:t xml:space="preserve"> </w:t>
      </w:r>
      <w:r>
        <w:rPr>
          <w:rFonts w:ascii="微软雅黑" w:hAnsi="微软雅黑" w:eastAsia="微软雅黑" w:cs="微软雅黑"/>
          <w:spacing w:val="-13"/>
          <w:sz w:val="17"/>
          <w:szCs w:val="17"/>
        </w:rPr>
        <w:t>.</w:t>
      </w:r>
    </w:p>
    <w:p>
      <w:pPr>
        <w:pStyle w:val="2"/>
        <w:spacing w:before="7" w:line="233" w:lineRule="auto"/>
        <w:rPr>
          <w:rFonts w:ascii="新宋体" w:hAnsi="新宋体" w:eastAsia="新宋体" w:cs="新宋体"/>
          <w:sz w:val="17"/>
          <w:szCs w:val="17"/>
        </w:rPr>
      </w:pPr>
      <w:r>
        <w:rPr>
          <w:spacing w:val="-4"/>
          <w:sz w:val="17"/>
          <w:szCs w:val="17"/>
        </w:rPr>
        <w:t>［</w:t>
      </w:r>
      <w:r>
        <w:rPr>
          <w:rFonts w:ascii="微软雅黑" w:hAnsi="微软雅黑" w:eastAsia="微软雅黑" w:cs="微软雅黑"/>
          <w:spacing w:val="-4"/>
          <w:sz w:val="17"/>
          <w:szCs w:val="17"/>
        </w:rPr>
        <w:t>7</w:t>
      </w:r>
      <w:r>
        <w:rPr>
          <w:spacing w:val="-4"/>
          <w:sz w:val="17"/>
          <w:szCs w:val="17"/>
        </w:rPr>
        <w:t>］</w:t>
      </w:r>
      <w:r>
        <w:rPr>
          <w:rFonts w:ascii="新宋体" w:hAnsi="新宋体" w:eastAsia="新宋体" w:cs="新宋体"/>
          <w:spacing w:val="-4"/>
          <w:sz w:val="17"/>
          <w:szCs w:val="17"/>
        </w:rPr>
        <w:t>张彦通</w:t>
      </w:r>
      <w:r>
        <w:rPr>
          <w:rFonts w:ascii="微软雅黑" w:hAnsi="微软雅黑" w:eastAsia="微软雅黑" w:cs="微软雅黑"/>
          <w:spacing w:val="-4"/>
          <w:sz w:val="17"/>
          <w:szCs w:val="17"/>
        </w:rPr>
        <w:t>．</w:t>
      </w:r>
      <w:r>
        <w:rPr>
          <w:rFonts w:ascii="新宋体" w:hAnsi="新宋体" w:eastAsia="新宋体" w:cs="新宋体"/>
          <w:spacing w:val="-4"/>
          <w:sz w:val="17"/>
          <w:szCs w:val="17"/>
        </w:rPr>
        <w:t>高等教育评估与质量保证研究</w:t>
      </w:r>
      <w:r>
        <w:rPr>
          <w:spacing w:val="-4"/>
          <w:sz w:val="17"/>
          <w:szCs w:val="17"/>
        </w:rPr>
        <w:t>［</w:t>
      </w:r>
      <w:r>
        <w:rPr>
          <w:rFonts w:ascii="微软雅黑" w:hAnsi="微软雅黑" w:eastAsia="微软雅黑" w:cs="微软雅黑"/>
          <w:spacing w:val="-4"/>
          <w:sz w:val="17"/>
          <w:szCs w:val="17"/>
        </w:rPr>
        <w:t>M</w:t>
      </w:r>
      <w:r>
        <w:rPr>
          <w:spacing w:val="-53"/>
          <w:sz w:val="17"/>
          <w:szCs w:val="17"/>
        </w:rPr>
        <w:t>］</w:t>
      </w:r>
      <w:r>
        <w:rPr>
          <w:rFonts w:ascii="微软雅黑" w:hAnsi="微软雅黑" w:eastAsia="微软雅黑" w:cs="微软雅黑"/>
          <w:spacing w:val="-53"/>
          <w:sz w:val="17"/>
          <w:szCs w:val="17"/>
        </w:rPr>
        <w:t>．</w:t>
      </w:r>
      <w:r>
        <w:rPr>
          <w:rFonts w:ascii="新宋体" w:hAnsi="新宋体" w:eastAsia="新宋体" w:cs="新宋体"/>
          <w:spacing w:val="-4"/>
          <w:sz w:val="17"/>
          <w:szCs w:val="17"/>
        </w:rPr>
        <w:t>北京</w:t>
      </w:r>
      <w:r>
        <w:rPr>
          <w:rFonts w:ascii="新宋体" w:hAnsi="新宋体" w:eastAsia="新宋体" w:cs="新宋体"/>
          <w:spacing w:val="-51"/>
          <w:sz w:val="17"/>
          <w:szCs w:val="17"/>
        </w:rPr>
        <w:t xml:space="preserve"> </w:t>
      </w:r>
      <w:r>
        <w:rPr>
          <w:spacing w:val="-4"/>
          <w:sz w:val="17"/>
          <w:szCs w:val="17"/>
        </w:rPr>
        <w:t>:</w:t>
      </w:r>
      <w:r>
        <w:rPr>
          <w:spacing w:val="-23"/>
          <w:sz w:val="17"/>
          <w:szCs w:val="17"/>
        </w:rPr>
        <w:t xml:space="preserve"> </w:t>
      </w:r>
      <w:r>
        <w:rPr>
          <w:rFonts w:ascii="新宋体" w:hAnsi="新宋体" w:eastAsia="新宋体" w:cs="新宋体"/>
          <w:spacing w:val="-4"/>
          <w:sz w:val="17"/>
          <w:szCs w:val="17"/>
        </w:rPr>
        <w:t>北京</w:t>
      </w:r>
    </w:p>
    <w:p>
      <w:pPr>
        <w:pStyle w:val="2"/>
        <w:spacing w:before="56" w:line="183" w:lineRule="auto"/>
        <w:ind w:left="321"/>
        <w:rPr>
          <w:rFonts w:ascii="微软雅黑" w:hAnsi="微软雅黑" w:eastAsia="微软雅黑" w:cs="微软雅黑"/>
          <w:sz w:val="17"/>
          <w:szCs w:val="17"/>
        </w:rPr>
      </w:pPr>
      <w:r>
        <w:rPr>
          <w:rFonts w:ascii="新宋体" w:hAnsi="新宋体" w:eastAsia="新宋体" w:cs="新宋体"/>
          <w:spacing w:val="-4"/>
          <w:sz w:val="17"/>
          <w:szCs w:val="17"/>
        </w:rPr>
        <w:t>航空航天大学出版社</w:t>
      </w:r>
      <w:r>
        <w:rPr>
          <w:spacing w:val="-4"/>
          <w:sz w:val="17"/>
          <w:szCs w:val="17"/>
        </w:rPr>
        <w:t>，</w:t>
      </w:r>
      <w:r>
        <w:rPr>
          <w:rFonts w:ascii="微软雅黑" w:hAnsi="微软雅黑" w:eastAsia="微软雅黑" w:cs="微软雅黑"/>
          <w:spacing w:val="-4"/>
          <w:sz w:val="17"/>
          <w:szCs w:val="17"/>
        </w:rPr>
        <w:t>2011</w:t>
      </w:r>
      <w:r>
        <w:rPr>
          <w:spacing w:val="-4"/>
          <w:sz w:val="17"/>
          <w:szCs w:val="17"/>
        </w:rPr>
        <w:t>:</w:t>
      </w:r>
      <w:r>
        <w:rPr>
          <w:rFonts w:ascii="微软雅黑" w:hAnsi="微软雅黑" w:eastAsia="微软雅黑" w:cs="微软雅黑"/>
          <w:spacing w:val="-4"/>
          <w:sz w:val="17"/>
          <w:szCs w:val="17"/>
        </w:rPr>
        <w:t>22</w:t>
      </w:r>
      <w:r>
        <w:rPr>
          <w:rFonts w:ascii="微软雅黑" w:hAnsi="微软雅黑" w:eastAsia="微软雅黑" w:cs="微软雅黑"/>
          <w:spacing w:val="-26"/>
          <w:sz w:val="17"/>
          <w:szCs w:val="17"/>
        </w:rPr>
        <w:t xml:space="preserve"> </w:t>
      </w:r>
      <w:r>
        <w:rPr>
          <w:rFonts w:ascii="微软雅黑" w:hAnsi="微软雅黑" w:eastAsia="微软雅黑" w:cs="微软雅黑"/>
          <w:spacing w:val="-4"/>
          <w:sz w:val="17"/>
          <w:szCs w:val="17"/>
        </w:rPr>
        <w:t>.</w:t>
      </w:r>
    </w:p>
    <w:p>
      <w:pPr>
        <w:pStyle w:val="2"/>
        <w:spacing w:before="9" w:line="234" w:lineRule="auto"/>
        <w:rPr>
          <w:rFonts w:ascii="新宋体" w:hAnsi="新宋体" w:eastAsia="新宋体" w:cs="新宋体"/>
          <w:sz w:val="17"/>
          <w:szCs w:val="17"/>
        </w:rPr>
      </w:pPr>
      <w:r>
        <w:rPr>
          <w:spacing w:val="-4"/>
          <w:sz w:val="17"/>
          <w:szCs w:val="17"/>
        </w:rPr>
        <w:t>［</w:t>
      </w:r>
      <w:r>
        <w:rPr>
          <w:rFonts w:ascii="微软雅黑" w:hAnsi="微软雅黑" w:eastAsia="微软雅黑" w:cs="微软雅黑"/>
          <w:spacing w:val="-4"/>
          <w:sz w:val="17"/>
          <w:szCs w:val="17"/>
        </w:rPr>
        <w:t>8</w:t>
      </w:r>
      <w:r>
        <w:rPr>
          <w:spacing w:val="-4"/>
          <w:sz w:val="17"/>
          <w:szCs w:val="17"/>
        </w:rPr>
        <w:t>］</w:t>
      </w:r>
      <w:r>
        <w:rPr>
          <w:rFonts w:ascii="新宋体" w:hAnsi="新宋体" w:eastAsia="新宋体" w:cs="新宋体"/>
          <w:spacing w:val="-4"/>
          <w:sz w:val="17"/>
          <w:szCs w:val="17"/>
        </w:rPr>
        <w:t>唐仁春</w:t>
      </w:r>
      <w:r>
        <w:rPr>
          <w:rFonts w:ascii="微软雅黑" w:hAnsi="微软雅黑" w:eastAsia="微软雅黑" w:cs="微软雅黑"/>
          <w:spacing w:val="-4"/>
          <w:sz w:val="17"/>
          <w:szCs w:val="17"/>
        </w:rPr>
        <w:t>．</w:t>
      </w:r>
      <w:r>
        <w:rPr>
          <w:rFonts w:ascii="新宋体" w:hAnsi="新宋体" w:eastAsia="新宋体" w:cs="新宋体"/>
          <w:spacing w:val="-4"/>
          <w:sz w:val="17"/>
          <w:szCs w:val="17"/>
        </w:rPr>
        <w:t>高等学校全面质量管理策略研究</w:t>
      </w:r>
      <w:r>
        <w:rPr>
          <w:spacing w:val="-4"/>
          <w:sz w:val="17"/>
          <w:szCs w:val="17"/>
        </w:rPr>
        <w:t>［</w:t>
      </w:r>
      <w:r>
        <w:rPr>
          <w:rFonts w:ascii="微软雅黑" w:hAnsi="微软雅黑" w:eastAsia="微软雅黑" w:cs="微软雅黑"/>
          <w:spacing w:val="-4"/>
          <w:sz w:val="17"/>
          <w:szCs w:val="17"/>
        </w:rPr>
        <w:t>M</w:t>
      </w:r>
      <w:r>
        <w:rPr>
          <w:spacing w:val="-49"/>
          <w:sz w:val="17"/>
          <w:szCs w:val="17"/>
        </w:rPr>
        <w:t>］</w:t>
      </w:r>
      <w:r>
        <w:rPr>
          <w:rFonts w:ascii="微软雅黑" w:hAnsi="微软雅黑" w:eastAsia="微软雅黑" w:cs="微软雅黑"/>
          <w:spacing w:val="-49"/>
          <w:sz w:val="17"/>
          <w:szCs w:val="17"/>
        </w:rPr>
        <w:t>．</w:t>
      </w:r>
      <w:r>
        <w:rPr>
          <w:rFonts w:ascii="新宋体" w:hAnsi="新宋体" w:eastAsia="新宋体" w:cs="新宋体"/>
          <w:spacing w:val="-4"/>
          <w:sz w:val="17"/>
          <w:szCs w:val="17"/>
        </w:rPr>
        <w:t>长沙</w:t>
      </w:r>
      <w:r>
        <w:rPr>
          <w:rFonts w:ascii="新宋体" w:hAnsi="新宋体" w:eastAsia="新宋体" w:cs="新宋体"/>
          <w:spacing w:val="-50"/>
          <w:sz w:val="17"/>
          <w:szCs w:val="17"/>
        </w:rPr>
        <w:t xml:space="preserve"> </w:t>
      </w:r>
      <w:r>
        <w:rPr>
          <w:spacing w:val="-4"/>
          <w:sz w:val="17"/>
          <w:szCs w:val="17"/>
        </w:rPr>
        <w:t>:</w:t>
      </w:r>
      <w:r>
        <w:rPr>
          <w:spacing w:val="-27"/>
          <w:sz w:val="17"/>
          <w:szCs w:val="17"/>
        </w:rPr>
        <w:t xml:space="preserve"> </w:t>
      </w:r>
      <w:r>
        <w:rPr>
          <w:rFonts w:ascii="新宋体" w:hAnsi="新宋体" w:eastAsia="新宋体" w:cs="新宋体"/>
          <w:spacing w:val="-4"/>
          <w:sz w:val="17"/>
          <w:szCs w:val="17"/>
        </w:rPr>
        <w:t>湖</w:t>
      </w:r>
    </w:p>
    <w:p>
      <w:pPr>
        <w:pStyle w:val="2"/>
        <w:spacing w:before="58" w:line="180" w:lineRule="auto"/>
        <w:ind w:left="341"/>
        <w:rPr>
          <w:rFonts w:ascii="微软雅黑" w:hAnsi="微软雅黑" w:eastAsia="微软雅黑" w:cs="微软雅黑"/>
          <w:sz w:val="17"/>
          <w:szCs w:val="17"/>
        </w:rPr>
      </w:pPr>
      <w:r>
        <w:rPr>
          <w:rFonts w:ascii="新宋体" w:hAnsi="新宋体" w:eastAsia="新宋体" w:cs="新宋体"/>
          <w:spacing w:val="-8"/>
          <w:sz w:val="17"/>
          <w:szCs w:val="17"/>
        </w:rPr>
        <w:t>南人民出版社</w:t>
      </w:r>
      <w:r>
        <w:rPr>
          <w:spacing w:val="-8"/>
          <w:sz w:val="17"/>
          <w:szCs w:val="17"/>
        </w:rPr>
        <w:t>，</w:t>
      </w:r>
      <w:r>
        <w:rPr>
          <w:rFonts w:ascii="微软雅黑" w:hAnsi="微软雅黑" w:eastAsia="微软雅黑" w:cs="微软雅黑"/>
          <w:spacing w:val="-8"/>
          <w:sz w:val="17"/>
          <w:szCs w:val="17"/>
        </w:rPr>
        <w:t>2011</w:t>
      </w:r>
      <w:r>
        <w:rPr>
          <w:spacing w:val="-8"/>
          <w:sz w:val="17"/>
          <w:szCs w:val="17"/>
        </w:rPr>
        <w:t>:</w:t>
      </w:r>
      <w:r>
        <w:rPr>
          <w:rFonts w:ascii="微软雅黑" w:hAnsi="微软雅黑" w:eastAsia="微软雅黑" w:cs="微软雅黑"/>
          <w:spacing w:val="-8"/>
          <w:sz w:val="17"/>
          <w:szCs w:val="17"/>
        </w:rPr>
        <w:t>77</w:t>
      </w:r>
      <w:r>
        <w:rPr>
          <w:rFonts w:ascii="微软雅黑" w:hAnsi="微软雅黑" w:eastAsia="微软雅黑" w:cs="微软雅黑"/>
          <w:spacing w:val="-29"/>
          <w:sz w:val="17"/>
          <w:szCs w:val="17"/>
        </w:rPr>
        <w:t xml:space="preserve"> </w:t>
      </w:r>
      <w:r>
        <w:rPr>
          <w:rFonts w:ascii="微软雅黑" w:hAnsi="微软雅黑" w:eastAsia="微软雅黑" w:cs="微软雅黑"/>
          <w:spacing w:val="-8"/>
          <w:sz w:val="17"/>
          <w:szCs w:val="17"/>
        </w:rPr>
        <w:t>.</w:t>
      </w:r>
    </w:p>
    <w:p>
      <w:pPr>
        <w:pStyle w:val="2"/>
        <w:spacing w:before="11" w:line="255" w:lineRule="auto"/>
        <w:ind w:left="300" w:right="76" w:hanging="300"/>
        <w:rPr>
          <w:rFonts w:ascii="微软雅黑" w:hAnsi="微软雅黑" w:eastAsia="微软雅黑" w:cs="微软雅黑"/>
          <w:sz w:val="17"/>
          <w:szCs w:val="17"/>
        </w:rPr>
      </w:pPr>
      <w:r>
        <w:rPr>
          <w:spacing w:val="-1"/>
          <w:sz w:val="17"/>
          <w:szCs w:val="17"/>
        </w:rPr>
        <w:t>［</w:t>
      </w:r>
      <w:r>
        <w:rPr>
          <w:rFonts w:ascii="微软雅黑" w:hAnsi="微软雅黑" w:eastAsia="微软雅黑" w:cs="微软雅黑"/>
          <w:spacing w:val="-1"/>
          <w:sz w:val="17"/>
          <w:szCs w:val="17"/>
        </w:rPr>
        <w:t>9</w:t>
      </w:r>
      <w:r>
        <w:rPr>
          <w:spacing w:val="-1"/>
          <w:sz w:val="17"/>
          <w:szCs w:val="17"/>
        </w:rPr>
        <w:t>］</w:t>
      </w:r>
      <w:r>
        <w:rPr>
          <w:rFonts w:ascii="新宋体" w:hAnsi="新宋体" w:eastAsia="新宋体" w:cs="新宋体"/>
          <w:spacing w:val="-1"/>
          <w:sz w:val="17"/>
          <w:szCs w:val="17"/>
        </w:rPr>
        <w:t>华尔天</w:t>
      </w:r>
      <w:r>
        <w:rPr>
          <w:spacing w:val="-1"/>
          <w:sz w:val="17"/>
          <w:szCs w:val="17"/>
        </w:rPr>
        <w:t>，</w:t>
      </w:r>
      <w:r>
        <w:rPr>
          <w:rFonts w:ascii="新宋体" w:hAnsi="新宋体" w:eastAsia="新宋体" w:cs="新宋体"/>
          <w:spacing w:val="-1"/>
          <w:sz w:val="17"/>
          <w:szCs w:val="17"/>
        </w:rPr>
        <w:t>高  云</w:t>
      </w:r>
      <w:r>
        <w:rPr>
          <w:spacing w:val="-1"/>
          <w:sz w:val="17"/>
          <w:szCs w:val="17"/>
        </w:rPr>
        <w:t>，</w:t>
      </w:r>
      <w:r>
        <w:rPr>
          <w:rFonts w:ascii="新宋体" w:hAnsi="新宋体" w:eastAsia="新宋体" w:cs="新宋体"/>
          <w:spacing w:val="-1"/>
          <w:sz w:val="17"/>
          <w:szCs w:val="17"/>
        </w:rPr>
        <w:t>吴向明</w:t>
      </w:r>
      <w:r>
        <w:rPr>
          <w:rFonts w:ascii="微软雅黑" w:hAnsi="微软雅黑" w:eastAsia="微软雅黑" w:cs="微软雅黑"/>
          <w:spacing w:val="-1"/>
          <w:sz w:val="17"/>
          <w:szCs w:val="17"/>
        </w:rPr>
        <w:t>．</w:t>
      </w:r>
      <w:r>
        <w:rPr>
          <w:rFonts w:ascii="新宋体" w:hAnsi="新宋体" w:eastAsia="新宋体" w:cs="新宋体"/>
          <w:spacing w:val="-1"/>
          <w:sz w:val="17"/>
          <w:szCs w:val="17"/>
        </w:rPr>
        <w:t>构建多</w:t>
      </w:r>
      <w:r>
        <w:rPr>
          <w:rFonts w:ascii="新宋体" w:hAnsi="新宋体" w:eastAsia="新宋体" w:cs="新宋体"/>
          <w:spacing w:val="-2"/>
          <w:sz w:val="17"/>
          <w:szCs w:val="17"/>
        </w:rPr>
        <w:t>元开放式本科教学质量</w:t>
      </w:r>
      <w:r>
        <w:rPr>
          <w:rFonts w:ascii="新宋体" w:hAnsi="新宋体" w:eastAsia="新宋体" w:cs="新宋体"/>
          <w:sz w:val="17"/>
          <w:szCs w:val="17"/>
        </w:rPr>
        <w:t xml:space="preserve"> </w:t>
      </w:r>
      <w:r>
        <w:rPr>
          <w:rFonts w:ascii="新宋体" w:hAnsi="新宋体" w:eastAsia="新宋体" w:cs="新宋体"/>
          <w:spacing w:val="16"/>
          <w:sz w:val="17"/>
          <w:szCs w:val="17"/>
        </w:rPr>
        <w:t>保障体</w:t>
      </w:r>
      <w:r>
        <w:rPr>
          <w:rFonts w:ascii="新宋体" w:hAnsi="新宋体" w:eastAsia="新宋体" w:cs="新宋体"/>
          <w:spacing w:val="-13"/>
          <w:sz w:val="17"/>
          <w:szCs w:val="17"/>
        </w:rPr>
        <w:t xml:space="preserve"> </w:t>
      </w:r>
      <w:r>
        <w:rPr>
          <w:rFonts w:ascii="新宋体" w:hAnsi="新宋体" w:eastAsia="新宋体" w:cs="新宋体"/>
          <w:spacing w:val="16"/>
          <w:sz w:val="17"/>
          <w:szCs w:val="17"/>
        </w:rPr>
        <w:t>系</w:t>
      </w:r>
      <w:r>
        <w:rPr>
          <w:rFonts w:ascii="新宋体" w:hAnsi="新宋体" w:eastAsia="新宋体" w:cs="新宋体"/>
          <w:spacing w:val="-42"/>
          <w:sz w:val="17"/>
          <w:szCs w:val="17"/>
        </w:rPr>
        <w:t xml:space="preserve"> </w:t>
      </w:r>
      <w:r>
        <w:rPr>
          <w:rFonts w:ascii="新宋体" w:hAnsi="新宋体" w:eastAsia="新宋体" w:cs="新宋体"/>
          <w:spacing w:val="16"/>
          <w:sz w:val="17"/>
          <w:szCs w:val="17"/>
        </w:rPr>
        <w:t>的研</w:t>
      </w:r>
      <w:r>
        <w:rPr>
          <w:rFonts w:ascii="新宋体" w:hAnsi="新宋体" w:eastAsia="新宋体" w:cs="新宋体"/>
          <w:spacing w:val="-40"/>
          <w:sz w:val="17"/>
          <w:szCs w:val="17"/>
        </w:rPr>
        <w:t xml:space="preserve"> </w:t>
      </w:r>
      <w:r>
        <w:rPr>
          <w:rFonts w:ascii="新宋体" w:hAnsi="新宋体" w:eastAsia="新宋体" w:cs="新宋体"/>
          <w:spacing w:val="16"/>
          <w:sz w:val="17"/>
          <w:szCs w:val="17"/>
        </w:rPr>
        <w:t>究</w:t>
      </w:r>
      <w:r>
        <w:rPr>
          <w:rFonts w:ascii="Arial" w:hAnsi="Arial" w:eastAsia="Arial" w:cs="Arial"/>
          <w:spacing w:val="16"/>
          <w:sz w:val="17"/>
          <w:szCs w:val="17"/>
        </w:rPr>
        <w:t>—</w:t>
      </w:r>
      <w:r>
        <w:rPr>
          <w:rFonts w:ascii="Arial" w:hAnsi="Arial" w:eastAsia="Arial" w:cs="Arial"/>
          <w:spacing w:val="-29"/>
          <w:w w:val="70"/>
          <w:sz w:val="17"/>
          <w:szCs w:val="17"/>
        </w:rPr>
        <w:t>——</w:t>
      </w:r>
      <w:r>
        <w:rPr>
          <w:rFonts w:ascii="Arial" w:hAnsi="Arial" w:eastAsia="Arial" w:cs="Arial"/>
          <w:spacing w:val="-38"/>
          <w:sz w:val="17"/>
          <w:szCs w:val="17"/>
        </w:rPr>
        <w:t xml:space="preserve"> </w:t>
      </w:r>
      <w:r>
        <w:rPr>
          <w:rFonts w:ascii="新宋体" w:hAnsi="新宋体" w:eastAsia="新宋体" w:cs="新宋体"/>
          <w:spacing w:val="16"/>
          <w:sz w:val="17"/>
          <w:szCs w:val="17"/>
        </w:rPr>
        <w:t>基</w:t>
      </w:r>
      <w:r>
        <w:rPr>
          <w:rFonts w:ascii="新宋体" w:hAnsi="新宋体" w:eastAsia="新宋体" w:cs="新宋体"/>
          <w:spacing w:val="-44"/>
          <w:sz w:val="17"/>
          <w:szCs w:val="17"/>
        </w:rPr>
        <w:t xml:space="preserve"> </w:t>
      </w:r>
      <w:r>
        <w:rPr>
          <w:rFonts w:ascii="新宋体" w:hAnsi="新宋体" w:eastAsia="新宋体" w:cs="新宋体"/>
          <w:spacing w:val="16"/>
          <w:sz w:val="17"/>
          <w:szCs w:val="17"/>
        </w:rPr>
        <w:t>于产</w:t>
      </w:r>
      <w:r>
        <w:rPr>
          <w:rFonts w:ascii="新宋体" w:hAnsi="新宋体" w:eastAsia="新宋体" w:cs="新宋体"/>
          <w:spacing w:val="-31"/>
          <w:sz w:val="17"/>
          <w:szCs w:val="17"/>
        </w:rPr>
        <w:t xml:space="preserve"> </w:t>
      </w:r>
      <w:r>
        <w:rPr>
          <w:rFonts w:ascii="新宋体" w:hAnsi="新宋体" w:eastAsia="新宋体" w:cs="新宋体"/>
          <w:spacing w:val="16"/>
          <w:sz w:val="17"/>
          <w:szCs w:val="17"/>
        </w:rPr>
        <w:t>出导向教育理念的探索</w:t>
      </w:r>
      <w:r>
        <w:rPr>
          <w:rFonts w:ascii="新宋体" w:hAnsi="新宋体" w:eastAsia="新宋体" w:cs="新宋体"/>
          <w:sz w:val="17"/>
          <w:szCs w:val="17"/>
        </w:rPr>
        <w:t xml:space="preserve"> </w:t>
      </w:r>
      <w:r>
        <w:rPr>
          <w:spacing w:val="-12"/>
          <w:sz w:val="17"/>
          <w:szCs w:val="17"/>
        </w:rPr>
        <w:t>［</w:t>
      </w:r>
      <w:r>
        <w:rPr>
          <w:rFonts w:ascii="微软雅黑" w:hAnsi="微软雅黑" w:eastAsia="微软雅黑" w:cs="微软雅黑"/>
          <w:spacing w:val="-12"/>
          <w:sz w:val="17"/>
          <w:szCs w:val="17"/>
        </w:rPr>
        <w:t>J</w:t>
      </w:r>
      <w:r>
        <w:rPr>
          <w:spacing w:val="-50"/>
          <w:sz w:val="17"/>
          <w:szCs w:val="17"/>
        </w:rPr>
        <w:t>］</w:t>
      </w:r>
      <w:r>
        <w:rPr>
          <w:rFonts w:ascii="微软雅黑" w:hAnsi="微软雅黑" w:eastAsia="微软雅黑" w:cs="微软雅黑"/>
          <w:spacing w:val="-50"/>
          <w:sz w:val="17"/>
          <w:szCs w:val="17"/>
        </w:rPr>
        <w:t>．</w:t>
      </w:r>
      <w:r>
        <w:rPr>
          <w:rFonts w:ascii="新宋体" w:hAnsi="新宋体" w:eastAsia="新宋体" w:cs="新宋体"/>
          <w:spacing w:val="-12"/>
          <w:sz w:val="17"/>
          <w:szCs w:val="17"/>
        </w:rPr>
        <w:t>中国高教研究</w:t>
      </w:r>
      <w:r>
        <w:rPr>
          <w:spacing w:val="-12"/>
          <w:sz w:val="17"/>
          <w:szCs w:val="17"/>
        </w:rPr>
        <w:t>，</w:t>
      </w:r>
      <w:r>
        <w:rPr>
          <w:rFonts w:ascii="微软雅黑" w:hAnsi="微软雅黑" w:eastAsia="微软雅黑" w:cs="微软雅黑"/>
          <w:spacing w:val="-12"/>
          <w:sz w:val="17"/>
          <w:szCs w:val="17"/>
        </w:rPr>
        <w:t>2018</w:t>
      </w:r>
      <w:r>
        <w:rPr>
          <w:spacing w:val="-12"/>
          <w:sz w:val="17"/>
          <w:szCs w:val="17"/>
        </w:rPr>
        <w:t>(</w:t>
      </w:r>
      <w:r>
        <w:rPr>
          <w:rFonts w:ascii="微软雅黑" w:hAnsi="微软雅黑" w:eastAsia="微软雅黑" w:cs="微软雅黑"/>
          <w:spacing w:val="-12"/>
          <w:sz w:val="17"/>
          <w:szCs w:val="17"/>
        </w:rPr>
        <w:t>1</w:t>
      </w:r>
      <w:r>
        <w:rPr>
          <w:spacing w:val="-12"/>
          <w:sz w:val="17"/>
          <w:szCs w:val="17"/>
        </w:rPr>
        <w:t>) :</w:t>
      </w:r>
      <w:r>
        <w:rPr>
          <w:spacing w:val="-46"/>
          <w:sz w:val="17"/>
          <w:szCs w:val="17"/>
        </w:rPr>
        <w:t xml:space="preserve"> </w:t>
      </w:r>
      <w:r>
        <w:rPr>
          <w:rFonts w:ascii="微软雅黑" w:hAnsi="微软雅黑" w:eastAsia="微软雅黑" w:cs="微软雅黑"/>
          <w:spacing w:val="-12"/>
          <w:sz w:val="17"/>
          <w:szCs w:val="17"/>
        </w:rPr>
        <w:t>64－68</w:t>
      </w:r>
      <w:r>
        <w:rPr>
          <w:rFonts w:ascii="微软雅黑" w:hAnsi="微软雅黑" w:eastAsia="微软雅黑" w:cs="微软雅黑"/>
          <w:spacing w:val="-30"/>
          <w:sz w:val="17"/>
          <w:szCs w:val="17"/>
        </w:rPr>
        <w:t xml:space="preserve"> </w:t>
      </w:r>
      <w:r>
        <w:rPr>
          <w:rFonts w:ascii="微软雅黑" w:hAnsi="微软雅黑" w:eastAsia="微软雅黑" w:cs="微软雅黑"/>
          <w:spacing w:val="-12"/>
          <w:sz w:val="17"/>
          <w:szCs w:val="17"/>
        </w:rPr>
        <w:t>.</w:t>
      </w:r>
    </w:p>
    <w:p>
      <w:pPr>
        <w:pStyle w:val="2"/>
        <w:spacing w:line="233" w:lineRule="auto"/>
        <w:rPr>
          <w:rFonts w:ascii="新宋体" w:hAnsi="新宋体" w:eastAsia="新宋体" w:cs="新宋体"/>
          <w:sz w:val="17"/>
          <w:szCs w:val="17"/>
        </w:rPr>
      </w:pPr>
      <w:r>
        <w:rPr>
          <w:spacing w:val="-2"/>
          <w:sz w:val="17"/>
          <w:szCs w:val="17"/>
        </w:rPr>
        <w:t>［</w:t>
      </w:r>
      <w:r>
        <w:rPr>
          <w:rFonts w:ascii="微软雅黑" w:hAnsi="微软雅黑" w:eastAsia="微软雅黑" w:cs="微软雅黑"/>
          <w:spacing w:val="-2"/>
          <w:sz w:val="17"/>
          <w:szCs w:val="17"/>
        </w:rPr>
        <w:t>10</w:t>
      </w:r>
      <w:r>
        <w:rPr>
          <w:spacing w:val="-2"/>
          <w:sz w:val="17"/>
          <w:szCs w:val="17"/>
        </w:rPr>
        <w:t>］</w:t>
      </w:r>
      <w:r>
        <w:rPr>
          <w:rFonts w:ascii="新宋体" w:hAnsi="新宋体" w:eastAsia="新宋体" w:cs="新宋体"/>
          <w:spacing w:val="-2"/>
          <w:sz w:val="17"/>
          <w:szCs w:val="17"/>
        </w:rPr>
        <w:t>张俭民</w:t>
      </w:r>
      <w:r>
        <w:rPr>
          <w:rFonts w:ascii="微软雅黑" w:hAnsi="微软雅黑" w:eastAsia="微软雅黑" w:cs="微软雅黑"/>
          <w:spacing w:val="-2"/>
          <w:sz w:val="17"/>
          <w:szCs w:val="17"/>
        </w:rPr>
        <w:t>．</w:t>
      </w:r>
      <w:r>
        <w:rPr>
          <w:rFonts w:ascii="新宋体" w:hAnsi="新宋体" w:eastAsia="新宋体" w:cs="新宋体"/>
          <w:spacing w:val="-2"/>
          <w:sz w:val="17"/>
          <w:szCs w:val="17"/>
        </w:rPr>
        <w:t>虚假与真实</w:t>
      </w:r>
      <w:r>
        <w:rPr>
          <w:rFonts w:ascii="新宋体" w:hAnsi="新宋体" w:eastAsia="新宋体" w:cs="新宋体"/>
          <w:spacing w:val="-49"/>
          <w:sz w:val="17"/>
          <w:szCs w:val="17"/>
        </w:rPr>
        <w:t xml:space="preserve"> </w:t>
      </w:r>
      <w:r>
        <w:rPr>
          <w:spacing w:val="-2"/>
          <w:sz w:val="17"/>
          <w:szCs w:val="17"/>
        </w:rPr>
        <w:t xml:space="preserve">: </w:t>
      </w:r>
      <w:r>
        <w:rPr>
          <w:rFonts w:ascii="新宋体" w:hAnsi="新宋体" w:eastAsia="新宋体" w:cs="新宋体"/>
          <w:spacing w:val="-2"/>
          <w:sz w:val="17"/>
          <w:szCs w:val="17"/>
        </w:rPr>
        <w:t>大学师生交往关系研究</w:t>
      </w:r>
      <w:r>
        <w:rPr>
          <w:spacing w:val="-2"/>
          <w:sz w:val="17"/>
          <w:szCs w:val="17"/>
        </w:rPr>
        <w:t>［</w:t>
      </w:r>
      <w:r>
        <w:rPr>
          <w:rFonts w:ascii="微软雅黑" w:hAnsi="微软雅黑" w:eastAsia="微软雅黑" w:cs="微软雅黑"/>
          <w:spacing w:val="-2"/>
          <w:sz w:val="17"/>
          <w:szCs w:val="17"/>
        </w:rPr>
        <w:t>M</w:t>
      </w:r>
      <w:r>
        <w:rPr>
          <w:spacing w:val="-53"/>
          <w:sz w:val="17"/>
          <w:szCs w:val="17"/>
        </w:rPr>
        <w:t>］</w:t>
      </w:r>
      <w:r>
        <w:rPr>
          <w:rFonts w:ascii="微软雅黑" w:hAnsi="微软雅黑" w:eastAsia="微软雅黑" w:cs="微软雅黑"/>
          <w:spacing w:val="-53"/>
          <w:sz w:val="17"/>
          <w:szCs w:val="17"/>
        </w:rPr>
        <w:t>．</w:t>
      </w:r>
      <w:r>
        <w:rPr>
          <w:rFonts w:ascii="新宋体" w:hAnsi="新宋体" w:eastAsia="新宋体" w:cs="新宋体"/>
          <w:spacing w:val="-2"/>
          <w:sz w:val="17"/>
          <w:szCs w:val="17"/>
        </w:rPr>
        <w:t>长</w:t>
      </w:r>
    </w:p>
    <w:p>
      <w:pPr>
        <w:pStyle w:val="2"/>
        <w:spacing w:before="56" w:line="183" w:lineRule="auto"/>
        <w:ind w:left="338"/>
        <w:rPr>
          <w:rFonts w:ascii="微软雅黑" w:hAnsi="微软雅黑" w:eastAsia="微软雅黑" w:cs="微软雅黑"/>
          <w:sz w:val="17"/>
          <w:szCs w:val="17"/>
        </w:rPr>
      </w:pPr>
      <w:r>
        <w:rPr>
          <w:rFonts w:ascii="新宋体" w:hAnsi="新宋体" w:eastAsia="新宋体" w:cs="新宋体"/>
          <w:spacing w:val="-16"/>
          <w:sz w:val="17"/>
          <w:szCs w:val="17"/>
        </w:rPr>
        <w:t>沙</w:t>
      </w:r>
      <w:r>
        <w:rPr>
          <w:rFonts w:ascii="新宋体" w:hAnsi="新宋体" w:eastAsia="新宋体" w:cs="新宋体"/>
          <w:spacing w:val="-37"/>
          <w:sz w:val="17"/>
          <w:szCs w:val="17"/>
        </w:rPr>
        <w:t xml:space="preserve"> </w:t>
      </w:r>
      <w:r>
        <w:rPr>
          <w:spacing w:val="-16"/>
          <w:sz w:val="17"/>
          <w:szCs w:val="17"/>
        </w:rPr>
        <w:t>:</w:t>
      </w:r>
      <w:r>
        <w:rPr>
          <w:spacing w:val="-19"/>
          <w:sz w:val="17"/>
          <w:szCs w:val="17"/>
        </w:rPr>
        <w:t xml:space="preserve"> </w:t>
      </w:r>
      <w:r>
        <w:rPr>
          <w:rFonts w:ascii="新宋体" w:hAnsi="新宋体" w:eastAsia="新宋体" w:cs="新宋体"/>
          <w:spacing w:val="-16"/>
          <w:sz w:val="17"/>
          <w:szCs w:val="17"/>
        </w:rPr>
        <w:t>中南大学出版社</w:t>
      </w:r>
      <w:r>
        <w:rPr>
          <w:spacing w:val="-16"/>
          <w:sz w:val="17"/>
          <w:szCs w:val="17"/>
        </w:rPr>
        <w:t>，</w:t>
      </w:r>
      <w:r>
        <w:rPr>
          <w:rFonts w:ascii="微软雅黑" w:hAnsi="微软雅黑" w:eastAsia="微软雅黑" w:cs="微软雅黑"/>
          <w:spacing w:val="-16"/>
          <w:sz w:val="17"/>
          <w:szCs w:val="17"/>
        </w:rPr>
        <w:t>2016</w:t>
      </w:r>
      <w:r>
        <w:rPr>
          <w:rFonts w:ascii="微软雅黑" w:hAnsi="微软雅黑" w:eastAsia="微软雅黑" w:cs="微软雅黑"/>
          <w:spacing w:val="-12"/>
          <w:sz w:val="17"/>
          <w:szCs w:val="17"/>
        </w:rPr>
        <w:t xml:space="preserve"> </w:t>
      </w:r>
      <w:r>
        <w:rPr>
          <w:spacing w:val="-16"/>
          <w:sz w:val="17"/>
          <w:szCs w:val="17"/>
        </w:rPr>
        <w:t>:</w:t>
      </w:r>
      <w:r>
        <w:rPr>
          <w:spacing w:val="-36"/>
          <w:sz w:val="17"/>
          <w:szCs w:val="17"/>
        </w:rPr>
        <w:t xml:space="preserve"> </w:t>
      </w:r>
      <w:r>
        <w:rPr>
          <w:rFonts w:ascii="微软雅黑" w:hAnsi="微软雅黑" w:eastAsia="微软雅黑" w:cs="微软雅黑"/>
          <w:spacing w:val="-16"/>
          <w:sz w:val="17"/>
          <w:szCs w:val="17"/>
        </w:rPr>
        <w:t>109</w:t>
      </w:r>
      <w:r>
        <w:rPr>
          <w:rFonts w:ascii="微软雅黑" w:hAnsi="微软雅黑" w:eastAsia="微软雅黑" w:cs="微软雅黑"/>
          <w:spacing w:val="-30"/>
          <w:sz w:val="17"/>
          <w:szCs w:val="17"/>
        </w:rPr>
        <w:t xml:space="preserve"> </w:t>
      </w:r>
      <w:r>
        <w:rPr>
          <w:rFonts w:ascii="微软雅黑" w:hAnsi="微软雅黑" w:eastAsia="微软雅黑" w:cs="微软雅黑"/>
          <w:spacing w:val="-16"/>
          <w:sz w:val="17"/>
          <w:szCs w:val="17"/>
        </w:rPr>
        <w:t>.</w:t>
      </w:r>
    </w:p>
    <w:p>
      <w:pPr>
        <w:pStyle w:val="2"/>
        <w:spacing w:before="8" w:line="235" w:lineRule="auto"/>
        <w:ind w:left="300" w:right="77" w:hanging="300"/>
        <w:rPr>
          <w:rFonts w:ascii="微软雅黑" w:hAnsi="微软雅黑" w:eastAsia="微软雅黑" w:cs="微软雅黑"/>
          <w:sz w:val="17"/>
          <w:szCs w:val="17"/>
        </w:rPr>
      </w:pPr>
      <w:r>
        <w:rPr>
          <w:spacing w:val="1"/>
          <w:sz w:val="17"/>
          <w:szCs w:val="17"/>
        </w:rPr>
        <w:t>［</w:t>
      </w:r>
      <w:r>
        <w:rPr>
          <w:rFonts w:ascii="微软雅黑" w:hAnsi="微软雅黑" w:eastAsia="微软雅黑" w:cs="微软雅黑"/>
          <w:spacing w:val="1"/>
          <w:sz w:val="17"/>
          <w:szCs w:val="17"/>
        </w:rPr>
        <w:t>11</w:t>
      </w:r>
      <w:r>
        <w:rPr>
          <w:spacing w:val="1"/>
          <w:sz w:val="17"/>
          <w:szCs w:val="17"/>
        </w:rPr>
        <w:t>］</w:t>
      </w:r>
      <w:r>
        <w:rPr>
          <w:rFonts w:ascii="新宋体" w:hAnsi="新宋体" w:eastAsia="新宋体" w:cs="新宋体"/>
          <w:spacing w:val="1"/>
          <w:sz w:val="17"/>
          <w:szCs w:val="17"/>
        </w:rPr>
        <w:t>吴  舸</w:t>
      </w:r>
      <w:r>
        <w:rPr>
          <w:rFonts w:ascii="微软雅黑" w:hAnsi="微软雅黑" w:eastAsia="微软雅黑" w:cs="微软雅黑"/>
          <w:spacing w:val="1"/>
          <w:sz w:val="17"/>
          <w:szCs w:val="17"/>
        </w:rPr>
        <w:t>．</w:t>
      </w:r>
      <w:r>
        <w:rPr>
          <w:rFonts w:ascii="新宋体" w:hAnsi="新宋体" w:eastAsia="新宋体" w:cs="新宋体"/>
          <w:spacing w:val="1"/>
          <w:sz w:val="17"/>
          <w:szCs w:val="17"/>
        </w:rPr>
        <w:t xml:space="preserve">生态管理维度下高等教育质量管理的创新路径 </w:t>
      </w:r>
      <w:r>
        <w:rPr>
          <w:spacing w:val="-14"/>
          <w:sz w:val="17"/>
          <w:szCs w:val="17"/>
        </w:rPr>
        <w:t>［</w:t>
      </w:r>
      <w:r>
        <w:rPr>
          <w:rFonts w:ascii="微软雅黑" w:hAnsi="微软雅黑" w:eastAsia="微软雅黑" w:cs="微软雅黑"/>
          <w:spacing w:val="-14"/>
          <w:sz w:val="17"/>
          <w:szCs w:val="17"/>
        </w:rPr>
        <w:t>J</w:t>
      </w:r>
      <w:r>
        <w:rPr>
          <w:spacing w:val="-50"/>
          <w:sz w:val="17"/>
          <w:szCs w:val="17"/>
        </w:rPr>
        <w:t>］</w:t>
      </w:r>
      <w:r>
        <w:rPr>
          <w:rFonts w:ascii="微软雅黑" w:hAnsi="微软雅黑" w:eastAsia="微软雅黑" w:cs="微软雅黑"/>
          <w:spacing w:val="-50"/>
          <w:sz w:val="17"/>
          <w:szCs w:val="17"/>
        </w:rPr>
        <w:t>．</w:t>
      </w:r>
      <w:r>
        <w:rPr>
          <w:rFonts w:ascii="新宋体" w:hAnsi="新宋体" w:eastAsia="新宋体" w:cs="新宋体"/>
          <w:spacing w:val="-14"/>
          <w:sz w:val="17"/>
          <w:szCs w:val="17"/>
        </w:rPr>
        <w:t>高教探索</w:t>
      </w:r>
      <w:r>
        <w:rPr>
          <w:spacing w:val="-14"/>
          <w:sz w:val="17"/>
          <w:szCs w:val="17"/>
        </w:rPr>
        <w:t>，</w:t>
      </w:r>
      <w:r>
        <w:rPr>
          <w:rFonts w:ascii="微软雅黑" w:hAnsi="微软雅黑" w:eastAsia="微软雅黑" w:cs="微软雅黑"/>
          <w:spacing w:val="-14"/>
          <w:sz w:val="17"/>
          <w:szCs w:val="17"/>
        </w:rPr>
        <w:t>2016</w:t>
      </w:r>
      <w:r>
        <w:rPr>
          <w:spacing w:val="-14"/>
          <w:sz w:val="17"/>
          <w:szCs w:val="17"/>
        </w:rPr>
        <w:t>(</w:t>
      </w:r>
      <w:r>
        <w:rPr>
          <w:rFonts w:ascii="微软雅黑" w:hAnsi="微软雅黑" w:eastAsia="微软雅黑" w:cs="微软雅黑"/>
          <w:spacing w:val="-14"/>
          <w:sz w:val="17"/>
          <w:szCs w:val="17"/>
        </w:rPr>
        <w:t>7</w:t>
      </w:r>
      <w:r>
        <w:rPr>
          <w:spacing w:val="-14"/>
          <w:sz w:val="17"/>
          <w:szCs w:val="17"/>
        </w:rPr>
        <w:t>) :</w:t>
      </w:r>
      <w:r>
        <w:rPr>
          <w:spacing w:val="-47"/>
          <w:sz w:val="17"/>
          <w:szCs w:val="17"/>
        </w:rPr>
        <w:t xml:space="preserve"> </w:t>
      </w:r>
      <w:r>
        <w:rPr>
          <w:rFonts w:ascii="微软雅黑" w:hAnsi="微软雅黑" w:eastAsia="微软雅黑" w:cs="微软雅黑"/>
          <w:spacing w:val="-14"/>
          <w:sz w:val="17"/>
          <w:szCs w:val="17"/>
        </w:rPr>
        <w:t>53－56</w:t>
      </w:r>
      <w:r>
        <w:rPr>
          <w:rFonts w:ascii="微软雅黑" w:hAnsi="微软雅黑" w:eastAsia="微软雅黑" w:cs="微软雅黑"/>
          <w:spacing w:val="-30"/>
          <w:sz w:val="17"/>
          <w:szCs w:val="17"/>
        </w:rPr>
        <w:t xml:space="preserve"> </w:t>
      </w:r>
      <w:r>
        <w:rPr>
          <w:rFonts w:ascii="微软雅黑" w:hAnsi="微软雅黑" w:eastAsia="微软雅黑" w:cs="微软雅黑"/>
          <w:spacing w:val="-14"/>
          <w:sz w:val="17"/>
          <w:szCs w:val="17"/>
        </w:rPr>
        <w:t>.</w:t>
      </w:r>
    </w:p>
    <w:p>
      <w:pPr>
        <w:pStyle w:val="2"/>
        <w:spacing w:before="3" w:line="230" w:lineRule="auto"/>
        <w:ind w:left="312" w:hanging="312"/>
        <w:rPr>
          <w:rFonts w:ascii="微软雅黑" w:hAnsi="微软雅黑" w:eastAsia="微软雅黑" w:cs="微软雅黑"/>
          <w:sz w:val="17"/>
          <w:szCs w:val="17"/>
        </w:rPr>
      </w:pPr>
      <w:r>
        <w:rPr>
          <w:spacing w:val="-3"/>
          <w:sz w:val="17"/>
          <w:szCs w:val="17"/>
        </w:rPr>
        <w:t>［</w:t>
      </w:r>
      <w:r>
        <w:rPr>
          <w:rFonts w:ascii="微软雅黑" w:hAnsi="微软雅黑" w:eastAsia="微软雅黑" w:cs="微软雅黑"/>
          <w:spacing w:val="-3"/>
          <w:sz w:val="17"/>
          <w:szCs w:val="17"/>
        </w:rPr>
        <w:t>12</w:t>
      </w:r>
      <w:r>
        <w:rPr>
          <w:spacing w:val="-3"/>
          <w:sz w:val="17"/>
          <w:szCs w:val="17"/>
        </w:rPr>
        <w:t>］</w:t>
      </w:r>
      <w:r>
        <w:rPr>
          <w:rFonts w:ascii="新宋体" w:hAnsi="新宋体" w:eastAsia="新宋体" w:cs="新宋体"/>
          <w:spacing w:val="-3"/>
          <w:sz w:val="17"/>
          <w:szCs w:val="17"/>
        </w:rPr>
        <w:t>罗  燕</w:t>
      </w:r>
      <w:r>
        <w:rPr>
          <w:rFonts w:ascii="微软雅黑" w:hAnsi="微软雅黑" w:eastAsia="微软雅黑" w:cs="微软雅黑"/>
          <w:spacing w:val="-3"/>
          <w:sz w:val="17"/>
          <w:szCs w:val="17"/>
        </w:rPr>
        <w:t>．</w:t>
      </w:r>
      <w:r>
        <w:rPr>
          <w:rFonts w:ascii="新宋体" w:hAnsi="新宋体" w:eastAsia="新宋体" w:cs="新宋体"/>
          <w:spacing w:val="-3"/>
          <w:sz w:val="17"/>
          <w:szCs w:val="17"/>
        </w:rPr>
        <w:t>中国高校评价的制度分析</w:t>
      </w:r>
      <w:r>
        <w:rPr>
          <w:rFonts w:ascii="Arial" w:hAnsi="Arial" w:eastAsia="Arial" w:cs="Arial"/>
          <w:spacing w:val="-3"/>
          <w:sz w:val="17"/>
          <w:szCs w:val="17"/>
        </w:rPr>
        <w:t>———</w:t>
      </w:r>
      <w:r>
        <w:rPr>
          <w:rFonts w:ascii="Arial" w:hAnsi="Arial" w:eastAsia="Arial" w:cs="Arial"/>
          <w:spacing w:val="-20"/>
          <w:sz w:val="17"/>
          <w:szCs w:val="17"/>
        </w:rPr>
        <w:t xml:space="preserve"> </w:t>
      </w:r>
      <w:r>
        <w:rPr>
          <w:rFonts w:ascii="新宋体" w:hAnsi="新宋体" w:eastAsia="新宋体" w:cs="新宋体"/>
          <w:spacing w:val="-3"/>
          <w:sz w:val="17"/>
          <w:szCs w:val="17"/>
        </w:rPr>
        <w:t>兼论</w:t>
      </w:r>
      <w:r>
        <w:rPr>
          <w:rFonts w:ascii="微软雅黑" w:hAnsi="微软雅黑" w:eastAsia="微软雅黑" w:cs="微软雅黑"/>
          <w:spacing w:val="-3"/>
          <w:sz w:val="17"/>
          <w:szCs w:val="17"/>
        </w:rPr>
        <w:t>“</w:t>
      </w:r>
      <w:r>
        <w:rPr>
          <w:rFonts w:ascii="新宋体" w:hAnsi="新宋体" w:eastAsia="新宋体" w:cs="新宋体"/>
          <w:spacing w:val="-3"/>
          <w:sz w:val="17"/>
          <w:szCs w:val="17"/>
        </w:rPr>
        <w:t>双一流</w:t>
      </w:r>
      <w:r>
        <w:rPr>
          <w:rFonts w:ascii="微软雅黑" w:hAnsi="微软雅黑" w:eastAsia="微软雅黑" w:cs="微软雅黑"/>
          <w:spacing w:val="-3"/>
          <w:sz w:val="17"/>
          <w:szCs w:val="17"/>
        </w:rPr>
        <w:t>”</w:t>
      </w:r>
      <w:r>
        <w:rPr>
          <w:rFonts w:ascii="微软雅黑" w:hAnsi="微软雅黑" w:eastAsia="微软雅黑" w:cs="微软雅黑"/>
          <w:sz w:val="17"/>
          <w:szCs w:val="17"/>
        </w:rPr>
        <w:t xml:space="preserve"> </w:t>
      </w:r>
      <w:r>
        <w:rPr>
          <w:rFonts w:ascii="新宋体" w:hAnsi="新宋体" w:eastAsia="新宋体" w:cs="新宋体"/>
          <w:spacing w:val="-3"/>
          <w:sz w:val="17"/>
          <w:szCs w:val="17"/>
        </w:rPr>
        <w:t>建设高校评价</w:t>
      </w:r>
      <w:r>
        <w:rPr>
          <w:spacing w:val="-3"/>
          <w:sz w:val="17"/>
          <w:szCs w:val="17"/>
        </w:rPr>
        <w:t>［</w:t>
      </w:r>
      <w:r>
        <w:rPr>
          <w:rFonts w:ascii="微软雅黑" w:hAnsi="微软雅黑" w:eastAsia="微软雅黑" w:cs="微软雅黑"/>
          <w:spacing w:val="-3"/>
          <w:sz w:val="17"/>
          <w:szCs w:val="17"/>
        </w:rPr>
        <w:t>J</w:t>
      </w:r>
      <w:r>
        <w:rPr>
          <w:spacing w:val="-42"/>
          <w:sz w:val="17"/>
          <w:szCs w:val="17"/>
        </w:rPr>
        <w:t>］</w:t>
      </w:r>
      <w:r>
        <w:rPr>
          <w:rFonts w:ascii="微软雅黑" w:hAnsi="微软雅黑" w:eastAsia="微软雅黑" w:cs="微软雅黑"/>
          <w:spacing w:val="-42"/>
          <w:sz w:val="17"/>
          <w:szCs w:val="17"/>
        </w:rPr>
        <w:t>．</w:t>
      </w:r>
      <w:r>
        <w:rPr>
          <w:rFonts w:ascii="新宋体" w:hAnsi="新宋体" w:eastAsia="新宋体" w:cs="新宋体"/>
          <w:spacing w:val="-3"/>
          <w:sz w:val="17"/>
          <w:szCs w:val="17"/>
        </w:rPr>
        <w:t>清华大学教育研究</w:t>
      </w:r>
      <w:r>
        <w:rPr>
          <w:spacing w:val="-3"/>
          <w:sz w:val="17"/>
          <w:szCs w:val="17"/>
        </w:rPr>
        <w:t>，</w:t>
      </w:r>
      <w:r>
        <w:rPr>
          <w:rFonts w:ascii="微软雅黑" w:hAnsi="微软雅黑" w:eastAsia="微软雅黑" w:cs="微软雅黑"/>
          <w:spacing w:val="-3"/>
          <w:sz w:val="17"/>
          <w:szCs w:val="17"/>
        </w:rPr>
        <w:t>2017</w:t>
      </w:r>
      <w:r>
        <w:rPr>
          <w:rFonts w:ascii="微软雅黑" w:hAnsi="微软雅黑" w:eastAsia="微软雅黑" w:cs="微软雅黑"/>
          <w:spacing w:val="16"/>
          <w:sz w:val="17"/>
          <w:szCs w:val="17"/>
        </w:rPr>
        <w:t xml:space="preserve"> </w:t>
      </w:r>
      <w:r>
        <w:rPr>
          <w:spacing w:val="-3"/>
          <w:sz w:val="17"/>
          <w:szCs w:val="17"/>
        </w:rPr>
        <w:t>(</w:t>
      </w:r>
      <w:r>
        <w:rPr>
          <w:rFonts w:ascii="微软雅黑" w:hAnsi="微软雅黑" w:eastAsia="微软雅黑" w:cs="微软雅黑"/>
          <w:spacing w:val="-3"/>
          <w:sz w:val="17"/>
          <w:szCs w:val="17"/>
        </w:rPr>
        <w:t>6</w:t>
      </w:r>
      <w:r>
        <w:rPr>
          <w:rFonts w:ascii="微软雅黑" w:hAnsi="微软雅黑" w:eastAsia="微软雅黑" w:cs="微软雅黑"/>
          <w:spacing w:val="-28"/>
          <w:sz w:val="17"/>
          <w:szCs w:val="17"/>
        </w:rPr>
        <w:t xml:space="preserve"> </w:t>
      </w:r>
      <w:r>
        <w:rPr>
          <w:spacing w:val="-3"/>
          <w:sz w:val="17"/>
          <w:szCs w:val="17"/>
        </w:rPr>
        <w:t>) :</w:t>
      </w:r>
      <w:r>
        <w:rPr>
          <w:spacing w:val="-27"/>
          <w:sz w:val="17"/>
          <w:szCs w:val="17"/>
        </w:rPr>
        <w:t xml:space="preserve"> </w:t>
      </w:r>
      <w:r>
        <w:rPr>
          <w:rFonts w:ascii="微软雅黑" w:hAnsi="微软雅黑" w:eastAsia="微软雅黑" w:cs="微软雅黑"/>
          <w:spacing w:val="-3"/>
          <w:sz w:val="17"/>
          <w:szCs w:val="17"/>
        </w:rPr>
        <w:t>37</w:t>
      </w:r>
      <w:r>
        <w:rPr>
          <w:rFonts w:ascii="微软雅黑" w:hAnsi="微软雅黑" w:eastAsia="微软雅黑" w:cs="微软雅黑"/>
          <w:spacing w:val="28"/>
          <w:sz w:val="17"/>
          <w:szCs w:val="17"/>
        </w:rPr>
        <w:t xml:space="preserve"> </w:t>
      </w:r>
      <w:r>
        <w:rPr>
          <w:rFonts w:ascii="微软雅黑" w:hAnsi="微软雅黑" w:eastAsia="微软雅黑" w:cs="微软雅黑"/>
          <w:spacing w:val="-3"/>
          <w:sz w:val="17"/>
          <w:szCs w:val="17"/>
        </w:rPr>
        <w:t xml:space="preserve">-   </w:t>
      </w:r>
      <w:r>
        <w:rPr>
          <w:rFonts w:ascii="微软雅黑" w:hAnsi="微软雅黑" w:eastAsia="微软雅黑" w:cs="微软雅黑"/>
          <w:spacing w:val="-8"/>
          <w:w w:val="99"/>
          <w:sz w:val="17"/>
          <w:szCs w:val="17"/>
        </w:rPr>
        <w:t>44.</w:t>
      </w:r>
    </w:p>
    <w:p>
      <w:pPr>
        <w:pStyle w:val="2"/>
        <w:spacing w:before="13" w:line="236" w:lineRule="auto"/>
        <w:ind w:left="337" w:right="74" w:hanging="338"/>
        <w:rPr>
          <w:rFonts w:ascii="微软雅黑" w:hAnsi="微软雅黑" w:eastAsia="微软雅黑" w:cs="微软雅黑"/>
          <w:sz w:val="17"/>
          <w:szCs w:val="17"/>
        </w:rPr>
      </w:pPr>
      <w:r>
        <w:rPr>
          <w:spacing w:val="-3"/>
          <w:sz w:val="17"/>
          <w:szCs w:val="17"/>
        </w:rPr>
        <w:t>［</w:t>
      </w:r>
      <w:r>
        <w:rPr>
          <w:rFonts w:ascii="微软雅黑" w:hAnsi="微软雅黑" w:eastAsia="微软雅黑" w:cs="微软雅黑"/>
          <w:spacing w:val="-3"/>
          <w:sz w:val="17"/>
          <w:szCs w:val="17"/>
        </w:rPr>
        <w:t>13</w:t>
      </w:r>
      <w:r>
        <w:rPr>
          <w:spacing w:val="-3"/>
          <w:sz w:val="17"/>
          <w:szCs w:val="17"/>
        </w:rPr>
        <w:t>］</w:t>
      </w:r>
      <w:r>
        <w:rPr>
          <w:rFonts w:ascii="新宋体" w:hAnsi="新宋体" w:eastAsia="新宋体" w:cs="新宋体"/>
          <w:spacing w:val="-3"/>
          <w:sz w:val="17"/>
          <w:szCs w:val="17"/>
        </w:rPr>
        <w:t>陈  丽</w:t>
      </w:r>
      <w:r>
        <w:rPr>
          <w:spacing w:val="-3"/>
          <w:sz w:val="17"/>
          <w:szCs w:val="17"/>
        </w:rPr>
        <w:t>，</w:t>
      </w:r>
      <w:r>
        <w:rPr>
          <w:rFonts w:ascii="新宋体" w:hAnsi="新宋体" w:eastAsia="新宋体" w:cs="新宋体"/>
          <w:spacing w:val="-3"/>
          <w:sz w:val="17"/>
          <w:szCs w:val="17"/>
        </w:rPr>
        <w:t>孟凡丽</w:t>
      </w:r>
      <w:r>
        <w:rPr>
          <w:rFonts w:ascii="微软雅黑" w:hAnsi="微软雅黑" w:eastAsia="微软雅黑" w:cs="微软雅黑"/>
          <w:spacing w:val="-3"/>
          <w:sz w:val="17"/>
          <w:szCs w:val="17"/>
        </w:rPr>
        <w:t>．</w:t>
      </w:r>
      <w:r>
        <w:rPr>
          <w:rFonts w:ascii="新宋体" w:hAnsi="新宋体" w:eastAsia="新宋体" w:cs="新宋体"/>
          <w:spacing w:val="-3"/>
          <w:sz w:val="17"/>
          <w:szCs w:val="17"/>
        </w:rPr>
        <w:t>论质量文化的控制性及</w:t>
      </w:r>
      <w:r>
        <w:rPr>
          <w:rFonts w:ascii="新宋体" w:hAnsi="新宋体" w:eastAsia="新宋体" w:cs="新宋体"/>
          <w:spacing w:val="-4"/>
          <w:sz w:val="17"/>
          <w:szCs w:val="17"/>
        </w:rPr>
        <w:t>其消解</w:t>
      </w:r>
      <w:r>
        <w:rPr>
          <w:spacing w:val="-4"/>
          <w:sz w:val="17"/>
          <w:szCs w:val="17"/>
        </w:rPr>
        <w:t>［</w:t>
      </w:r>
      <w:r>
        <w:rPr>
          <w:rFonts w:ascii="微软雅黑" w:hAnsi="微软雅黑" w:eastAsia="微软雅黑" w:cs="微软雅黑"/>
          <w:spacing w:val="-4"/>
          <w:sz w:val="17"/>
          <w:szCs w:val="17"/>
        </w:rPr>
        <w:t>J</w:t>
      </w:r>
      <w:r>
        <w:rPr>
          <w:spacing w:val="-55"/>
          <w:w w:val="99"/>
          <w:sz w:val="17"/>
          <w:szCs w:val="17"/>
        </w:rPr>
        <w:t>］</w:t>
      </w:r>
      <w:r>
        <w:rPr>
          <w:rFonts w:ascii="微软雅黑" w:hAnsi="微软雅黑" w:eastAsia="微软雅黑" w:cs="微软雅黑"/>
          <w:spacing w:val="-55"/>
          <w:w w:val="99"/>
          <w:sz w:val="17"/>
          <w:szCs w:val="17"/>
        </w:rPr>
        <w:t>．</w:t>
      </w:r>
      <w:r>
        <w:rPr>
          <w:rFonts w:ascii="新宋体" w:hAnsi="新宋体" w:eastAsia="新宋体" w:cs="新宋体"/>
          <w:spacing w:val="-4"/>
          <w:sz w:val="17"/>
          <w:szCs w:val="17"/>
        </w:rPr>
        <w:t>江</w:t>
      </w:r>
      <w:r>
        <w:rPr>
          <w:rFonts w:ascii="新宋体" w:hAnsi="新宋体" w:eastAsia="新宋体" w:cs="新宋体"/>
          <w:spacing w:val="2"/>
          <w:sz w:val="17"/>
          <w:szCs w:val="17"/>
        </w:rPr>
        <w:t xml:space="preserve"> </w:t>
      </w:r>
      <w:r>
        <w:rPr>
          <w:rFonts w:ascii="新宋体" w:hAnsi="新宋体" w:eastAsia="新宋体" w:cs="新宋体"/>
          <w:spacing w:val="-17"/>
          <w:sz w:val="17"/>
          <w:szCs w:val="17"/>
        </w:rPr>
        <w:t>苏高教</w:t>
      </w:r>
      <w:r>
        <w:rPr>
          <w:spacing w:val="-17"/>
          <w:sz w:val="17"/>
          <w:szCs w:val="17"/>
        </w:rPr>
        <w:t>，</w:t>
      </w:r>
      <w:r>
        <w:rPr>
          <w:rFonts w:ascii="微软雅黑" w:hAnsi="微软雅黑" w:eastAsia="微软雅黑" w:cs="微软雅黑"/>
          <w:spacing w:val="-17"/>
          <w:sz w:val="17"/>
          <w:szCs w:val="17"/>
        </w:rPr>
        <w:t xml:space="preserve">2017 </w:t>
      </w:r>
      <w:r>
        <w:rPr>
          <w:spacing w:val="-17"/>
          <w:sz w:val="17"/>
          <w:szCs w:val="17"/>
        </w:rPr>
        <w:t>(</w:t>
      </w:r>
      <w:r>
        <w:rPr>
          <w:rFonts w:ascii="微软雅黑" w:hAnsi="微软雅黑" w:eastAsia="微软雅黑" w:cs="微软雅黑"/>
          <w:spacing w:val="-17"/>
          <w:sz w:val="17"/>
          <w:szCs w:val="17"/>
        </w:rPr>
        <w:t>7</w:t>
      </w:r>
      <w:r>
        <w:rPr>
          <w:spacing w:val="-17"/>
          <w:sz w:val="17"/>
          <w:szCs w:val="17"/>
        </w:rPr>
        <w:t>) :</w:t>
      </w:r>
      <w:r>
        <w:rPr>
          <w:spacing w:val="-45"/>
          <w:sz w:val="17"/>
          <w:szCs w:val="17"/>
        </w:rPr>
        <w:t xml:space="preserve"> </w:t>
      </w:r>
      <w:r>
        <w:rPr>
          <w:rFonts w:ascii="微软雅黑" w:hAnsi="微软雅黑" w:eastAsia="微软雅黑" w:cs="微软雅黑"/>
          <w:spacing w:val="-17"/>
          <w:sz w:val="17"/>
          <w:szCs w:val="17"/>
        </w:rPr>
        <w:t>9</w:t>
      </w:r>
      <w:r>
        <w:rPr>
          <w:rFonts w:ascii="微软雅黑" w:hAnsi="微软雅黑" w:eastAsia="微软雅黑" w:cs="微软雅黑"/>
          <w:spacing w:val="-21"/>
          <w:sz w:val="17"/>
          <w:szCs w:val="17"/>
        </w:rPr>
        <w:t xml:space="preserve"> </w:t>
      </w:r>
      <w:r>
        <w:rPr>
          <w:rFonts w:ascii="微软雅黑" w:hAnsi="微软雅黑" w:eastAsia="微软雅黑" w:cs="微软雅黑"/>
          <w:spacing w:val="-17"/>
          <w:sz w:val="17"/>
          <w:szCs w:val="17"/>
        </w:rPr>
        <w:t>－13</w:t>
      </w:r>
      <w:r>
        <w:rPr>
          <w:rFonts w:ascii="微软雅黑" w:hAnsi="微软雅黑" w:eastAsia="微软雅黑" w:cs="微软雅黑"/>
          <w:spacing w:val="-30"/>
          <w:sz w:val="17"/>
          <w:szCs w:val="17"/>
        </w:rPr>
        <w:t xml:space="preserve"> </w:t>
      </w:r>
      <w:r>
        <w:rPr>
          <w:rFonts w:ascii="微软雅黑" w:hAnsi="微软雅黑" w:eastAsia="微软雅黑" w:cs="微软雅黑"/>
          <w:spacing w:val="-17"/>
          <w:sz w:val="17"/>
          <w:szCs w:val="17"/>
        </w:rPr>
        <w:t>.</w:t>
      </w:r>
    </w:p>
    <w:p>
      <w:pPr>
        <w:spacing w:line="236" w:lineRule="auto"/>
        <w:rPr>
          <w:rFonts w:ascii="微软雅黑" w:hAnsi="微软雅黑" w:eastAsia="微软雅黑" w:cs="微软雅黑"/>
          <w:sz w:val="17"/>
          <w:szCs w:val="17"/>
        </w:rPr>
        <w:sectPr>
          <w:type w:val="continuous"/>
          <w:pgSz w:w="11905" w:h="16836"/>
          <w:pgMar w:top="974" w:right="1062" w:bottom="547" w:left="407" w:header="652" w:footer="354" w:gutter="0"/>
          <w:cols w:equalWidth="0" w:num="2">
            <w:col w:w="5605" w:space="100"/>
            <w:col w:w="4729"/>
          </w:cols>
        </w:sectPr>
      </w:pPr>
    </w:p>
    <w:p>
      <w:pPr>
        <w:spacing w:before="342" w:line="179" w:lineRule="auto"/>
        <w:ind w:left="2342" w:right="720" w:hanging="967"/>
        <w:rPr>
          <w:rFonts w:ascii="微软雅黑" w:hAnsi="微软雅黑" w:eastAsia="微软雅黑" w:cs="微软雅黑"/>
          <w:sz w:val="27"/>
          <w:szCs w:val="27"/>
        </w:rPr>
      </w:pPr>
      <w:r>
        <w:rPr>
          <w:rFonts w:ascii="微软雅黑" w:hAnsi="微软雅黑" w:eastAsia="微软雅黑" w:cs="微软雅黑"/>
          <w:spacing w:val="-11"/>
          <w:sz w:val="27"/>
          <w:szCs w:val="27"/>
        </w:rPr>
        <w:t>Quality</w:t>
      </w:r>
      <w:r>
        <w:rPr>
          <w:rFonts w:ascii="微软雅黑" w:hAnsi="微软雅黑" w:eastAsia="微软雅黑" w:cs="微软雅黑"/>
          <w:spacing w:val="43"/>
          <w:w w:val="101"/>
          <w:sz w:val="27"/>
          <w:szCs w:val="27"/>
        </w:rPr>
        <w:t xml:space="preserve"> </w:t>
      </w:r>
      <w:r>
        <w:rPr>
          <w:rFonts w:ascii="微软雅黑" w:hAnsi="微软雅黑" w:eastAsia="微软雅黑" w:cs="微软雅黑"/>
          <w:spacing w:val="-11"/>
          <w:sz w:val="27"/>
          <w:szCs w:val="27"/>
        </w:rPr>
        <w:t>Culture</w:t>
      </w:r>
      <w:r>
        <w:rPr>
          <w:rFonts w:ascii="微软雅黑" w:hAnsi="微软雅黑" w:eastAsia="微软雅黑" w:cs="微软雅黑"/>
          <w:spacing w:val="35"/>
          <w:sz w:val="27"/>
          <w:szCs w:val="27"/>
        </w:rPr>
        <w:t xml:space="preserve"> </w:t>
      </w:r>
      <w:r>
        <w:rPr>
          <w:rFonts w:ascii="微软雅黑" w:hAnsi="微软雅黑" w:eastAsia="微软雅黑" w:cs="微软雅黑"/>
          <w:spacing w:val="-11"/>
          <w:sz w:val="27"/>
          <w:szCs w:val="27"/>
        </w:rPr>
        <w:t>Construction</w:t>
      </w:r>
      <w:r>
        <w:rPr>
          <w:rFonts w:ascii="微软雅黑" w:hAnsi="微软雅黑" w:eastAsia="微软雅黑" w:cs="微软雅黑"/>
          <w:spacing w:val="23"/>
          <w:sz w:val="27"/>
          <w:szCs w:val="27"/>
        </w:rPr>
        <w:t xml:space="preserve"> </w:t>
      </w:r>
      <w:r>
        <w:rPr>
          <w:rFonts w:ascii="微软雅黑" w:hAnsi="微软雅黑" w:eastAsia="微软雅黑" w:cs="微软雅黑"/>
          <w:spacing w:val="-11"/>
          <w:sz w:val="27"/>
          <w:szCs w:val="27"/>
        </w:rPr>
        <w:t>in</w:t>
      </w:r>
      <w:r>
        <w:rPr>
          <w:rFonts w:ascii="微软雅黑" w:hAnsi="微软雅黑" w:eastAsia="微软雅黑" w:cs="微软雅黑"/>
          <w:spacing w:val="24"/>
          <w:sz w:val="27"/>
          <w:szCs w:val="27"/>
        </w:rPr>
        <w:t xml:space="preserve"> </w:t>
      </w:r>
      <w:r>
        <w:rPr>
          <w:rFonts w:ascii="微软雅黑" w:hAnsi="微软雅黑" w:eastAsia="微软雅黑" w:cs="微软雅黑"/>
          <w:spacing w:val="-11"/>
          <w:sz w:val="27"/>
          <w:szCs w:val="27"/>
        </w:rPr>
        <w:t>Local</w:t>
      </w:r>
      <w:r>
        <w:rPr>
          <w:rFonts w:ascii="微软雅黑" w:hAnsi="微软雅黑" w:eastAsia="微软雅黑" w:cs="微软雅黑"/>
          <w:spacing w:val="34"/>
          <w:sz w:val="27"/>
          <w:szCs w:val="27"/>
        </w:rPr>
        <w:t xml:space="preserve"> </w:t>
      </w:r>
      <w:r>
        <w:rPr>
          <w:rFonts w:ascii="微软雅黑" w:hAnsi="微软雅黑" w:eastAsia="微软雅黑" w:cs="微软雅黑"/>
          <w:spacing w:val="-11"/>
          <w:sz w:val="27"/>
          <w:szCs w:val="27"/>
        </w:rPr>
        <w:t>Colleges</w:t>
      </w:r>
      <w:r>
        <w:rPr>
          <w:rFonts w:ascii="微软雅黑" w:hAnsi="微软雅黑" w:eastAsia="微软雅黑" w:cs="微软雅黑"/>
          <w:spacing w:val="27"/>
          <w:sz w:val="27"/>
          <w:szCs w:val="27"/>
        </w:rPr>
        <w:t xml:space="preserve"> </w:t>
      </w:r>
      <w:r>
        <w:rPr>
          <w:rFonts w:ascii="微软雅黑" w:hAnsi="微软雅黑" w:eastAsia="微软雅黑" w:cs="微软雅黑"/>
          <w:spacing w:val="-11"/>
          <w:sz w:val="27"/>
          <w:szCs w:val="27"/>
        </w:rPr>
        <w:t>and</w:t>
      </w:r>
      <w:r>
        <w:rPr>
          <w:rFonts w:ascii="微软雅黑" w:hAnsi="微软雅黑" w:eastAsia="微软雅黑" w:cs="微软雅黑"/>
          <w:spacing w:val="23"/>
          <w:sz w:val="27"/>
          <w:szCs w:val="27"/>
        </w:rPr>
        <w:t xml:space="preserve"> </w:t>
      </w:r>
      <w:r>
        <w:rPr>
          <w:rFonts w:ascii="微软雅黑" w:hAnsi="微软雅黑" w:eastAsia="微软雅黑" w:cs="微软雅黑"/>
          <w:spacing w:val="-11"/>
          <w:sz w:val="27"/>
          <w:szCs w:val="27"/>
        </w:rPr>
        <w:t>Universities</w:t>
      </w:r>
      <w:r>
        <w:rPr>
          <w:rFonts w:ascii="微软雅黑" w:hAnsi="微软雅黑" w:eastAsia="微软雅黑" w:cs="微软雅黑"/>
          <w:spacing w:val="23"/>
          <w:sz w:val="27"/>
          <w:szCs w:val="27"/>
        </w:rPr>
        <w:t xml:space="preserve"> </w:t>
      </w:r>
      <w:r>
        <w:rPr>
          <w:rFonts w:ascii="微软雅黑" w:hAnsi="微软雅黑" w:eastAsia="微软雅黑" w:cs="微软雅黑"/>
          <w:spacing w:val="-11"/>
          <w:sz w:val="27"/>
          <w:szCs w:val="27"/>
        </w:rPr>
        <w:t>from</w:t>
      </w:r>
      <w:r>
        <w:rPr>
          <w:rFonts w:ascii="微软雅黑" w:hAnsi="微软雅黑" w:eastAsia="微软雅黑" w:cs="微软雅黑"/>
          <w:sz w:val="27"/>
          <w:szCs w:val="27"/>
        </w:rPr>
        <w:t xml:space="preserve"> </w:t>
      </w:r>
      <w:r>
        <w:rPr>
          <w:rFonts w:ascii="微软雅黑" w:hAnsi="微软雅黑" w:eastAsia="微软雅黑" w:cs="微软雅黑"/>
          <w:spacing w:val="-9"/>
          <w:sz w:val="27"/>
          <w:szCs w:val="27"/>
        </w:rPr>
        <w:t>Perspective</w:t>
      </w:r>
      <w:r>
        <w:rPr>
          <w:rFonts w:ascii="微软雅黑" w:hAnsi="微软雅黑" w:eastAsia="微软雅黑" w:cs="微软雅黑"/>
          <w:spacing w:val="29"/>
          <w:sz w:val="27"/>
          <w:szCs w:val="27"/>
        </w:rPr>
        <w:t xml:space="preserve"> </w:t>
      </w:r>
      <w:r>
        <w:rPr>
          <w:rFonts w:ascii="微软雅黑" w:hAnsi="微软雅黑" w:eastAsia="微软雅黑" w:cs="微软雅黑"/>
          <w:spacing w:val="-9"/>
          <w:sz w:val="27"/>
          <w:szCs w:val="27"/>
        </w:rPr>
        <w:t>of First－Class</w:t>
      </w:r>
      <w:r>
        <w:rPr>
          <w:rFonts w:ascii="微软雅黑" w:hAnsi="微软雅黑" w:eastAsia="微软雅黑" w:cs="微软雅黑"/>
          <w:spacing w:val="24"/>
          <w:sz w:val="27"/>
          <w:szCs w:val="27"/>
        </w:rPr>
        <w:t xml:space="preserve"> </w:t>
      </w:r>
      <w:r>
        <w:rPr>
          <w:rFonts w:ascii="微软雅黑" w:hAnsi="微软雅黑" w:eastAsia="微软雅黑" w:cs="微软雅黑"/>
          <w:spacing w:val="-9"/>
          <w:sz w:val="27"/>
          <w:szCs w:val="27"/>
        </w:rPr>
        <w:t>Undergradu</w:t>
      </w:r>
      <w:r>
        <w:rPr>
          <w:rFonts w:ascii="微软雅黑" w:hAnsi="微软雅黑" w:eastAsia="微软雅黑" w:cs="微软雅黑"/>
          <w:spacing w:val="-10"/>
          <w:sz w:val="27"/>
          <w:szCs w:val="27"/>
        </w:rPr>
        <w:t>ate</w:t>
      </w:r>
      <w:r>
        <w:rPr>
          <w:rFonts w:ascii="微软雅黑" w:hAnsi="微软雅黑" w:eastAsia="微软雅黑" w:cs="微软雅黑"/>
          <w:spacing w:val="26"/>
          <w:w w:val="101"/>
          <w:sz w:val="27"/>
          <w:szCs w:val="27"/>
        </w:rPr>
        <w:t xml:space="preserve"> </w:t>
      </w:r>
      <w:r>
        <w:rPr>
          <w:rFonts w:ascii="微软雅黑" w:hAnsi="微软雅黑" w:eastAsia="微软雅黑" w:cs="微软雅黑"/>
          <w:spacing w:val="-10"/>
          <w:sz w:val="27"/>
          <w:szCs w:val="27"/>
        </w:rPr>
        <w:t>Education</w:t>
      </w:r>
    </w:p>
    <w:p>
      <w:pPr>
        <w:spacing w:before="236" w:line="178" w:lineRule="auto"/>
        <w:ind w:left="3924"/>
        <w:rPr>
          <w:rFonts w:ascii="微软雅黑" w:hAnsi="微软雅黑" w:eastAsia="微软雅黑" w:cs="微软雅黑"/>
          <w:sz w:val="23"/>
          <w:szCs w:val="23"/>
        </w:rPr>
      </w:pPr>
      <w:r>
        <w:rPr>
          <w:rFonts w:ascii="微软雅黑" w:hAnsi="微软雅黑" w:eastAsia="微软雅黑" w:cs="微软雅黑"/>
          <w:spacing w:val="-13"/>
          <w:sz w:val="23"/>
          <w:szCs w:val="23"/>
        </w:rPr>
        <w:t>YIN</w:t>
      </w:r>
      <w:r>
        <w:rPr>
          <w:rFonts w:ascii="微软雅黑" w:hAnsi="微软雅黑" w:eastAsia="微软雅黑" w:cs="微软雅黑"/>
          <w:spacing w:val="21"/>
          <w:sz w:val="23"/>
          <w:szCs w:val="23"/>
        </w:rPr>
        <w:t xml:space="preserve"> </w:t>
      </w:r>
      <w:r>
        <w:rPr>
          <w:rFonts w:ascii="微软雅黑" w:hAnsi="微软雅黑" w:eastAsia="微软雅黑" w:cs="微软雅黑"/>
          <w:spacing w:val="-13"/>
          <w:sz w:val="23"/>
          <w:szCs w:val="23"/>
        </w:rPr>
        <w:t>Zhe－jin</w:t>
      </w:r>
      <w:r>
        <w:rPr>
          <w:rFonts w:ascii="宋体" w:hAnsi="宋体" w:eastAsia="宋体" w:cs="宋体"/>
          <w:spacing w:val="-13"/>
          <w:sz w:val="23"/>
          <w:szCs w:val="23"/>
        </w:rPr>
        <w:t>，</w:t>
      </w:r>
      <w:r>
        <w:rPr>
          <w:rFonts w:ascii="微软雅黑" w:hAnsi="微软雅黑" w:eastAsia="微软雅黑" w:cs="微软雅黑"/>
          <w:spacing w:val="-13"/>
          <w:sz w:val="23"/>
          <w:szCs w:val="23"/>
        </w:rPr>
        <w:t>PAN</w:t>
      </w:r>
      <w:r>
        <w:rPr>
          <w:rFonts w:ascii="微软雅黑" w:hAnsi="微软雅黑" w:eastAsia="微软雅黑" w:cs="微软雅黑"/>
          <w:spacing w:val="28"/>
          <w:sz w:val="23"/>
          <w:szCs w:val="23"/>
        </w:rPr>
        <w:t xml:space="preserve"> </w:t>
      </w:r>
      <w:r>
        <w:rPr>
          <w:rFonts w:ascii="微软雅黑" w:hAnsi="微软雅黑" w:eastAsia="微软雅黑" w:cs="微软雅黑"/>
          <w:spacing w:val="-13"/>
          <w:sz w:val="23"/>
          <w:szCs w:val="23"/>
        </w:rPr>
        <w:t>Cheng－yun</w:t>
      </w:r>
    </w:p>
    <w:p>
      <w:pPr>
        <w:spacing w:before="50" w:line="179" w:lineRule="auto"/>
        <w:ind w:left="3449"/>
        <w:rPr>
          <w:rFonts w:ascii="宋体" w:hAnsi="宋体" w:eastAsia="宋体" w:cs="宋体"/>
          <w:sz w:val="20"/>
          <w:szCs w:val="20"/>
        </w:rPr>
      </w:pPr>
      <w:r>
        <w:rPr>
          <w:rFonts w:ascii="宋体" w:hAnsi="宋体" w:eastAsia="宋体" w:cs="宋体"/>
          <w:spacing w:val="-16"/>
          <w:sz w:val="20"/>
          <w:szCs w:val="20"/>
        </w:rPr>
        <w:t>(</w:t>
      </w:r>
      <w:r>
        <w:rPr>
          <w:rFonts w:ascii="微软雅黑" w:hAnsi="微软雅黑" w:eastAsia="微软雅黑" w:cs="微软雅黑"/>
          <w:spacing w:val="-16"/>
          <w:sz w:val="20"/>
          <w:szCs w:val="20"/>
        </w:rPr>
        <w:t>Yangzhou</w:t>
      </w:r>
      <w:r>
        <w:rPr>
          <w:rFonts w:ascii="微软雅黑" w:hAnsi="微软雅黑" w:eastAsia="微软雅黑" w:cs="微软雅黑"/>
          <w:spacing w:val="24"/>
          <w:sz w:val="20"/>
          <w:szCs w:val="20"/>
        </w:rPr>
        <w:t xml:space="preserve"> </w:t>
      </w:r>
      <w:r>
        <w:rPr>
          <w:rFonts w:ascii="微软雅黑" w:hAnsi="微软雅黑" w:eastAsia="微软雅黑" w:cs="微软雅黑"/>
          <w:spacing w:val="-16"/>
          <w:sz w:val="20"/>
          <w:szCs w:val="20"/>
        </w:rPr>
        <w:t>University</w:t>
      </w:r>
      <w:r>
        <w:rPr>
          <w:rFonts w:ascii="宋体" w:hAnsi="宋体" w:eastAsia="宋体" w:cs="宋体"/>
          <w:spacing w:val="-16"/>
          <w:sz w:val="20"/>
          <w:szCs w:val="20"/>
        </w:rPr>
        <w:t>，</w:t>
      </w:r>
      <w:r>
        <w:rPr>
          <w:rFonts w:ascii="微软雅黑" w:hAnsi="微软雅黑" w:eastAsia="微软雅黑" w:cs="微软雅黑"/>
          <w:spacing w:val="-16"/>
          <w:sz w:val="20"/>
          <w:szCs w:val="20"/>
        </w:rPr>
        <w:t>Yangzhou</w:t>
      </w:r>
      <w:r>
        <w:rPr>
          <w:rFonts w:ascii="微软雅黑" w:hAnsi="微软雅黑" w:eastAsia="微软雅黑" w:cs="微软雅黑"/>
          <w:spacing w:val="11"/>
          <w:sz w:val="20"/>
          <w:szCs w:val="20"/>
        </w:rPr>
        <w:t xml:space="preserve"> </w:t>
      </w:r>
      <w:r>
        <w:rPr>
          <w:rFonts w:ascii="微软雅黑" w:hAnsi="微软雅黑" w:eastAsia="微软雅黑" w:cs="微软雅黑"/>
          <w:spacing w:val="-16"/>
          <w:sz w:val="20"/>
          <w:szCs w:val="20"/>
        </w:rPr>
        <w:t>225009</w:t>
      </w:r>
      <w:r>
        <w:rPr>
          <w:rFonts w:ascii="宋体" w:hAnsi="宋体" w:eastAsia="宋体" w:cs="宋体"/>
          <w:spacing w:val="-16"/>
          <w:sz w:val="20"/>
          <w:szCs w:val="20"/>
        </w:rPr>
        <w:t>，</w:t>
      </w:r>
      <w:r>
        <w:rPr>
          <w:rFonts w:ascii="微软雅黑" w:hAnsi="微软雅黑" w:eastAsia="微软雅黑" w:cs="微软雅黑"/>
          <w:spacing w:val="-16"/>
          <w:sz w:val="20"/>
          <w:szCs w:val="20"/>
        </w:rPr>
        <w:t>China</w:t>
      </w:r>
      <w:r>
        <w:rPr>
          <w:rFonts w:ascii="宋体" w:hAnsi="宋体" w:eastAsia="宋体" w:cs="宋体"/>
          <w:spacing w:val="-16"/>
          <w:sz w:val="20"/>
          <w:szCs w:val="20"/>
        </w:rPr>
        <w:t>)</w:t>
      </w:r>
    </w:p>
    <w:p>
      <w:pPr>
        <w:spacing w:before="159" w:line="229" w:lineRule="auto"/>
        <w:ind w:left="728" w:right="25" w:firstLine="359"/>
        <w:jc w:val="both"/>
        <w:rPr>
          <w:rFonts w:ascii="微软雅黑" w:hAnsi="微软雅黑" w:eastAsia="微软雅黑" w:cs="微软雅黑"/>
          <w:sz w:val="17"/>
          <w:szCs w:val="17"/>
        </w:rPr>
      </w:pPr>
      <w:r>
        <w:rPr>
          <w:rFonts w:ascii="微软雅黑" w:hAnsi="微软雅黑" w:eastAsia="微软雅黑" w:cs="微软雅黑"/>
          <w:spacing w:val="-13"/>
          <w:sz w:val="17"/>
          <w:szCs w:val="17"/>
        </w:rPr>
        <w:t xml:space="preserve">Abstract </w:t>
      </w:r>
      <w:r>
        <w:rPr>
          <w:rFonts w:ascii="宋体" w:hAnsi="宋体" w:eastAsia="宋体" w:cs="宋体"/>
          <w:spacing w:val="-13"/>
          <w:sz w:val="17"/>
          <w:szCs w:val="17"/>
        </w:rPr>
        <w:t>:</w:t>
      </w:r>
      <w:r>
        <w:rPr>
          <w:rFonts w:ascii="宋体" w:hAnsi="宋体" w:eastAsia="宋体" w:cs="宋体"/>
          <w:spacing w:val="-40"/>
          <w:sz w:val="17"/>
          <w:szCs w:val="17"/>
        </w:rPr>
        <w:t xml:space="preserve"> </w:t>
      </w:r>
      <w:r>
        <w:rPr>
          <w:rFonts w:ascii="微软雅黑" w:hAnsi="微软雅黑" w:eastAsia="微软雅黑" w:cs="微软雅黑"/>
          <w:spacing w:val="-13"/>
          <w:sz w:val="17"/>
          <w:szCs w:val="17"/>
        </w:rPr>
        <w:t>University</w:t>
      </w:r>
      <w:r>
        <w:rPr>
          <w:rFonts w:ascii="微软雅黑" w:hAnsi="微软雅黑" w:eastAsia="微软雅黑" w:cs="微软雅黑"/>
          <w:spacing w:val="19"/>
          <w:w w:val="101"/>
          <w:sz w:val="17"/>
          <w:szCs w:val="17"/>
        </w:rPr>
        <w:t xml:space="preserve"> </w:t>
      </w:r>
      <w:r>
        <w:rPr>
          <w:rFonts w:ascii="微软雅黑" w:hAnsi="微软雅黑" w:eastAsia="微软雅黑" w:cs="微软雅黑"/>
          <w:spacing w:val="-13"/>
          <w:sz w:val="17"/>
          <w:szCs w:val="17"/>
        </w:rPr>
        <w:t>quality</w:t>
      </w:r>
      <w:r>
        <w:rPr>
          <w:rFonts w:ascii="微软雅黑" w:hAnsi="微软雅黑" w:eastAsia="微软雅黑" w:cs="微软雅黑"/>
          <w:spacing w:val="9"/>
          <w:sz w:val="17"/>
          <w:szCs w:val="17"/>
        </w:rPr>
        <w:t xml:space="preserve"> </w:t>
      </w:r>
      <w:r>
        <w:rPr>
          <w:rFonts w:ascii="微软雅黑" w:hAnsi="微软雅黑" w:eastAsia="微软雅黑" w:cs="微软雅黑"/>
          <w:spacing w:val="-13"/>
          <w:sz w:val="17"/>
          <w:szCs w:val="17"/>
        </w:rPr>
        <w:t>culture</w:t>
      </w:r>
      <w:r>
        <w:rPr>
          <w:rFonts w:ascii="微软雅黑" w:hAnsi="微软雅黑" w:eastAsia="微软雅黑" w:cs="微软雅黑"/>
          <w:spacing w:val="9"/>
          <w:sz w:val="17"/>
          <w:szCs w:val="17"/>
        </w:rPr>
        <w:t xml:space="preserve"> </w:t>
      </w:r>
      <w:r>
        <w:rPr>
          <w:rFonts w:ascii="微软雅黑" w:hAnsi="微软雅黑" w:eastAsia="微软雅黑" w:cs="微软雅黑"/>
          <w:spacing w:val="-13"/>
          <w:sz w:val="17"/>
          <w:szCs w:val="17"/>
        </w:rPr>
        <w:t>is</w:t>
      </w:r>
      <w:r>
        <w:rPr>
          <w:rFonts w:ascii="微软雅黑" w:hAnsi="微软雅黑" w:eastAsia="微软雅黑" w:cs="微软雅黑"/>
          <w:spacing w:val="7"/>
          <w:sz w:val="17"/>
          <w:szCs w:val="17"/>
        </w:rPr>
        <w:t xml:space="preserve"> </w:t>
      </w:r>
      <w:r>
        <w:rPr>
          <w:rFonts w:ascii="微软雅黑" w:hAnsi="微软雅黑" w:eastAsia="微软雅黑" w:cs="微软雅黑"/>
          <w:spacing w:val="-13"/>
          <w:sz w:val="17"/>
          <w:szCs w:val="17"/>
        </w:rPr>
        <w:t>the</w:t>
      </w:r>
      <w:r>
        <w:rPr>
          <w:rFonts w:ascii="微软雅黑" w:hAnsi="微软雅黑" w:eastAsia="微软雅黑" w:cs="微软雅黑"/>
          <w:spacing w:val="9"/>
          <w:sz w:val="17"/>
          <w:szCs w:val="17"/>
        </w:rPr>
        <w:t xml:space="preserve"> </w:t>
      </w:r>
      <w:r>
        <w:rPr>
          <w:rFonts w:ascii="微软雅黑" w:hAnsi="微软雅黑" w:eastAsia="微软雅黑" w:cs="微软雅黑"/>
          <w:spacing w:val="-13"/>
          <w:sz w:val="17"/>
          <w:szCs w:val="17"/>
        </w:rPr>
        <w:t>core</w:t>
      </w:r>
      <w:r>
        <w:rPr>
          <w:rFonts w:ascii="微软雅黑" w:hAnsi="微软雅黑" w:eastAsia="微软雅黑" w:cs="微软雅黑"/>
          <w:spacing w:val="8"/>
          <w:sz w:val="17"/>
          <w:szCs w:val="17"/>
        </w:rPr>
        <w:t xml:space="preserve"> </w:t>
      </w:r>
      <w:r>
        <w:rPr>
          <w:rFonts w:ascii="微软雅黑" w:hAnsi="微软雅黑" w:eastAsia="微软雅黑" w:cs="微软雅黑"/>
          <w:spacing w:val="-13"/>
          <w:sz w:val="17"/>
          <w:szCs w:val="17"/>
        </w:rPr>
        <w:t>of university</w:t>
      </w:r>
      <w:r>
        <w:rPr>
          <w:rFonts w:ascii="微软雅黑" w:hAnsi="微软雅黑" w:eastAsia="微软雅黑" w:cs="微软雅黑"/>
          <w:spacing w:val="10"/>
          <w:sz w:val="17"/>
          <w:szCs w:val="17"/>
        </w:rPr>
        <w:t xml:space="preserve"> </w:t>
      </w:r>
      <w:r>
        <w:rPr>
          <w:rFonts w:ascii="微软雅黑" w:hAnsi="微软雅黑" w:eastAsia="微软雅黑" w:cs="微软雅黑"/>
          <w:spacing w:val="-13"/>
          <w:sz w:val="17"/>
          <w:szCs w:val="17"/>
        </w:rPr>
        <w:t>culture．From</w:t>
      </w:r>
      <w:r>
        <w:rPr>
          <w:rFonts w:ascii="微软雅黑" w:hAnsi="微软雅黑" w:eastAsia="微软雅黑" w:cs="微软雅黑"/>
          <w:spacing w:val="6"/>
          <w:sz w:val="17"/>
          <w:szCs w:val="17"/>
        </w:rPr>
        <w:t xml:space="preserve"> </w:t>
      </w:r>
      <w:r>
        <w:rPr>
          <w:rFonts w:ascii="微软雅黑" w:hAnsi="微软雅黑" w:eastAsia="微软雅黑" w:cs="微软雅黑"/>
          <w:spacing w:val="-13"/>
          <w:sz w:val="17"/>
          <w:szCs w:val="17"/>
        </w:rPr>
        <w:t>the</w:t>
      </w:r>
      <w:r>
        <w:rPr>
          <w:rFonts w:ascii="微软雅黑" w:hAnsi="微软雅黑" w:eastAsia="微软雅黑" w:cs="微软雅黑"/>
          <w:spacing w:val="7"/>
          <w:sz w:val="17"/>
          <w:szCs w:val="17"/>
        </w:rPr>
        <w:t xml:space="preserve"> </w:t>
      </w:r>
      <w:r>
        <w:rPr>
          <w:rFonts w:ascii="微软雅黑" w:hAnsi="微软雅黑" w:eastAsia="微软雅黑" w:cs="微软雅黑"/>
          <w:spacing w:val="-13"/>
          <w:sz w:val="17"/>
          <w:szCs w:val="17"/>
        </w:rPr>
        <w:t>perspective</w:t>
      </w:r>
      <w:r>
        <w:rPr>
          <w:rFonts w:ascii="微软雅黑" w:hAnsi="微软雅黑" w:eastAsia="微软雅黑" w:cs="微软雅黑"/>
          <w:spacing w:val="9"/>
          <w:sz w:val="17"/>
          <w:szCs w:val="17"/>
        </w:rPr>
        <w:t xml:space="preserve"> </w:t>
      </w:r>
      <w:r>
        <w:rPr>
          <w:rFonts w:ascii="微软雅黑" w:hAnsi="微软雅黑" w:eastAsia="微软雅黑" w:cs="微软雅黑"/>
          <w:spacing w:val="-13"/>
          <w:sz w:val="17"/>
          <w:szCs w:val="17"/>
        </w:rPr>
        <w:t>of first－class</w:t>
      </w:r>
      <w:r>
        <w:rPr>
          <w:rFonts w:ascii="微软雅黑" w:hAnsi="微软雅黑" w:eastAsia="微软雅黑" w:cs="微软雅黑"/>
          <w:spacing w:val="7"/>
          <w:sz w:val="17"/>
          <w:szCs w:val="17"/>
        </w:rPr>
        <w:t xml:space="preserve"> </w:t>
      </w:r>
      <w:r>
        <w:rPr>
          <w:rFonts w:ascii="微软雅黑" w:hAnsi="微软雅黑" w:eastAsia="微软雅黑" w:cs="微软雅黑"/>
          <w:spacing w:val="-13"/>
          <w:sz w:val="17"/>
          <w:szCs w:val="17"/>
        </w:rPr>
        <w:t>undergraduate</w:t>
      </w:r>
      <w:r>
        <w:rPr>
          <w:rFonts w:ascii="微软雅黑" w:hAnsi="微软雅黑" w:eastAsia="微软雅黑" w:cs="微软雅黑"/>
          <w:spacing w:val="9"/>
          <w:sz w:val="17"/>
          <w:szCs w:val="17"/>
        </w:rPr>
        <w:t xml:space="preserve"> </w:t>
      </w:r>
      <w:r>
        <w:rPr>
          <w:rFonts w:ascii="微软雅黑" w:hAnsi="微软雅黑" w:eastAsia="微软雅黑" w:cs="微软雅黑"/>
          <w:spacing w:val="-13"/>
          <w:sz w:val="17"/>
          <w:szCs w:val="17"/>
        </w:rPr>
        <w:t>education</w:t>
      </w:r>
      <w:r>
        <w:rPr>
          <w:rFonts w:ascii="宋体" w:hAnsi="宋体" w:eastAsia="宋体" w:cs="宋体"/>
          <w:spacing w:val="-13"/>
          <w:sz w:val="17"/>
          <w:szCs w:val="17"/>
        </w:rPr>
        <w:t>，</w:t>
      </w:r>
      <w:r>
        <w:rPr>
          <w:rFonts w:ascii="宋体" w:hAnsi="宋体" w:eastAsia="宋体" w:cs="宋体"/>
          <w:sz w:val="17"/>
          <w:szCs w:val="17"/>
        </w:rPr>
        <w:t xml:space="preserve"> </w:t>
      </w:r>
      <w:r>
        <w:rPr>
          <w:rFonts w:ascii="微软雅黑" w:hAnsi="微软雅黑" w:eastAsia="微软雅黑" w:cs="微软雅黑"/>
          <w:spacing w:val="-14"/>
          <w:sz w:val="17"/>
          <w:szCs w:val="17"/>
        </w:rPr>
        <w:t>university</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14"/>
          <w:sz w:val="17"/>
          <w:szCs w:val="17"/>
        </w:rPr>
        <w:t>quality</w:t>
      </w:r>
      <w:r>
        <w:rPr>
          <w:rFonts w:ascii="微软雅黑" w:hAnsi="微软雅黑" w:eastAsia="微软雅黑" w:cs="微软雅黑"/>
          <w:spacing w:val="19"/>
          <w:sz w:val="17"/>
          <w:szCs w:val="17"/>
        </w:rPr>
        <w:t xml:space="preserve"> </w:t>
      </w:r>
      <w:r>
        <w:rPr>
          <w:rFonts w:ascii="微软雅黑" w:hAnsi="微软雅黑" w:eastAsia="微软雅黑" w:cs="微软雅黑"/>
          <w:spacing w:val="-14"/>
          <w:sz w:val="17"/>
          <w:szCs w:val="17"/>
        </w:rPr>
        <w:t>culture</w:t>
      </w:r>
      <w:r>
        <w:rPr>
          <w:rFonts w:ascii="微软雅黑" w:hAnsi="微软雅黑" w:eastAsia="微软雅黑" w:cs="微软雅黑"/>
          <w:spacing w:val="19"/>
          <w:sz w:val="17"/>
          <w:szCs w:val="17"/>
        </w:rPr>
        <w:t xml:space="preserve"> </w:t>
      </w:r>
      <w:r>
        <w:rPr>
          <w:rFonts w:ascii="微软雅黑" w:hAnsi="微软雅黑" w:eastAsia="微软雅黑" w:cs="微软雅黑"/>
          <w:spacing w:val="-14"/>
          <w:sz w:val="17"/>
          <w:szCs w:val="17"/>
        </w:rPr>
        <w:t>is</w:t>
      </w:r>
      <w:r>
        <w:rPr>
          <w:rFonts w:ascii="微软雅黑" w:hAnsi="微软雅黑" w:eastAsia="微软雅黑" w:cs="微软雅黑"/>
          <w:spacing w:val="19"/>
          <w:sz w:val="17"/>
          <w:szCs w:val="17"/>
        </w:rPr>
        <w:t xml:space="preserve"> </w:t>
      </w:r>
      <w:r>
        <w:rPr>
          <w:rFonts w:ascii="微软雅黑" w:hAnsi="微软雅黑" w:eastAsia="微软雅黑" w:cs="微软雅黑"/>
          <w:spacing w:val="-14"/>
          <w:sz w:val="17"/>
          <w:szCs w:val="17"/>
        </w:rPr>
        <w:t>also</w:t>
      </w:r>
      <w:r>
        <w:rPr>
          <w:rFonts w:ascii="微软雅黑" w:hAnsi="微软雅黑" w:eastAsia="微软雅黑" w:cs="微软雅黑"/>
          <w:spacing w:val="16"/>
          <w:w w:val="101"/>
          <w:sz w:val="17"/>
          <w:szCs w:val="17"/>
        </w:rPr>
        <w:t xml:space="preserve"> </w:t>
      </w:r>
      <w:r>
        <w:rPr>
          <w:rFonts w:ascii="微软雅黑" w:hAnsi="微软雅黑" w:eastAsia="微软雅黑" w:cs="微软雅黑"/>
          <w:spacing w:val="-14"/>
          <w:sz w:val="17"/>
          <w:szCs w:val="17"/>
        </w:rPr>
        <w:t>the</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core</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and</w:t>
      </w:r>
      <w:r>
        <w:rPr>
          <w:rFonts w:ascii="微软雅黑" w:hAnsi="微软雅黑" w:eastAsia="微软雅黑" w:cs="微软雅黑"/>
          <w:spacing w:val="6"/>
          <w:sz w:val="17"/>
          <w:szCs w:val="17"/>
        </w:rPr>
        <w:t xml:space="preserve"> </w:t>
      </w:r>
      <w:r>
        <w:rPr>
          <w:rFonts w:ascii="微软雅黑" w:hAnsi="微软雅黑" w:eastAsia="微软雅黑" w:cs="微软雅黑"/>
          <w:spacing w:val="-14"/>
          <w:sz w:val="17"/>
          <w:szCs w:val="17"/>
        </w:rPr>
        <w:t>foundation</w:t>
      </w:r>
      <w:r>
        <w:rPr>
          <w:rFonts w:ascii="微软雅黑" w:hAnsi="微软雅黑" w:eastAsia="微软雅黑" w:cs="微软雅黑"/>
          <w:spacing w:val="10"/>
          <w:sz w:val="17"/>
          <w:szCs w:val="17"/>
        </w:rPr>
        <w:t xml:space="preserve"> </w:t>
      </w:r>
      <w:r>
        <w:rPr>
          <w:rFonts w:ascii="微软雅黑" w:hAnsi="微软雅黑" w:eastAsia="微软雅黑" w:cs="微软雅黑"/>
          <w:spacing w:val="-14"/>
          <w:sz w:val="17"/>
          <w:szCs w:val="17"/>
        </w:rPr>
        <w:t>of cultivating</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outstanding</w:t>
      </w:r>
      <w:r>
        <w:rPr>
          <w:rFonts w:ascii="微软雅黑" w:hAnsi="微软雅黑" w:eastAsia="微软雅黑" w:cs="微软雅黑"/>
          <w:spacing w:val="8"/>
          <w:sz w:val="17"/>
          <w:szCs w:val="17"/>
        </w:rPr>
        <w:t xml:space="preserve"> </w:t>
      </w:r>
      <w:r>
        <w:rPr>
          <w:rFonts w:ascii="微软雅黑" w:hAnsi="微软雅黑" w:eastAsia="微软雅黑" w:cs="微软雅黑"/>
          <w:spacing w:val="-14"/>
          <w:sz w:val="17"/>
          <w:szCs w:val="17"/>
        </w:rPr>
        <w:t>talents</w:t>
      </w:r>
      <w:r>
        <w:rPr>
          <w:rFonts w:ascii="微软雅黑" w:hAnsi="微软雅黑" w:eastAsia="微软雅黑" w:cs="微软雅黑"/>
          <w:spacing w:val="12"/>
          <w:sz w:val="17"/>
          <w:szCs w:val="17"/>
        </w:rPr>
        <w:t xml:space="preserve"> </w:t>
      </w:r>
      <w:r>
        <w:rPr>
          <w:rFonts w:ascii="微软雅黑" w:hAnsi="微软雅黑" w:eastAsia="微软雅黑" w:cs="微软雅黑"/>
          <w:spacing w:val="-14"/>
          <w:sz w:val="17"/>
          <w:szCs w:val="17"/>
        </w:rPr>
        <w:t>and</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ensuring</w:t>
      </w:r>
      <w:r>
        <w:rPr>
          <w:rFonts w:ascii="微软雅黑" w:hAnsi="微软雅黑" w:eastAsia="微软雅黑" w:cs="微软雅黑"/>
          <w:spacing w:val="8"/>
          <w:sz w:val="17"/>
          <w:szCs w:val="17"/>
        </w:rPr>
        <w:t xml:space="preserve"> </w:t>
      </w:r>
      <w:r>
        <w:rPr>
          <w:rFonts w:ascii="微软雅黑" w:hAnsi="微软雅黑" w:eastAsia="微软雅黑" w:cs="微软雅黑"/>
          <w:spacing w:val="-14"/>
          <w:sz w:val="17"/>
          <w:szCs w:val="17"/>
        </w:rPr>
        <w:t>the</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quality</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of talent</w:t>
      </w:r>
      <w:r>
        <w:rPr>
          <w:rFonts w:ascii="微软雅黑" w:hAnsi="微软雅黑" w:eastAsia="微软雅黑" w:cs="微软雅黑"/>
          <w:spacing w:val="9"/>
          <w:sz w:val="17"/>
          <w:szCs w:val="17"/>
        </w:rPr>
        <w:t xml:space="preserve"> </w:t>
      </w:r>
      <w:r>
        <w:rPr>
          <w:rFonts w:ascii="微软雅黑" w:hAnsi="微软雅黑" w:eastAsia="微软雅黑" w:cs="微软雅黑"/>
          <w:spacing w:val="-14"/>
          <w:sz w:val="17"/>
          <w:szCs w:val="17"/>
        </w:rPr>
        <w:t>training</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in</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a</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subtle</w:t>
      </w:r>
      <w:r>
        <w:rPr>
          <w:rFonts w:ascii="微软雅黑" w:hAnsi="微软雅黑" w:eastAsia="微软雅黑" w:cs="微软雅黑"/>
          <w:spacing w:val="20"/>
          <w:sz w:val="17"/>
          <w:szCs w:val="17"/>
        </w:rPr>
        <w:t xml:space="preserve"> </w:t>
      </w:r>
      <w:r>
        <w:rPr>
          <w:rFonts w:ascii="微软雅黑" w:hAnsi="微软雅黑" w:eastAsia="微软雅黑" w:cs="微软雅黑"/>
          <w:spacing w:val="-14"/>
          <w:sz w:val="17"/>
          <w:szCs w:val="17"/>
        </w:rPr>
        <w:t>way．Local</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colleges</w:t>
      </w:r>
      <w:r>
        <w:rPr>
          <w:rFonts w:ascii="微软雅黑" w:hAnsi="微软雅黑" w:eastAsia="微软雅黑" w:cs="微软雅黑"/>
          <w:spacing w:val="12"/>
          <w:sz w:val="17"/>
          <w:szCs w:val="17"/>
        </w:rPr>
        <w:t xml:space="preserve"> </w:t>
      </w:r>
      <w:r>
        <w:rPr>
          <w:rFonts w:ascii="微软雅黑" w:hAnsi="微软雅黑" w:eastAsia="微软雅黑" w:cs="微软雅黑"/>
          <w:spacing w:val="-14"/>
          <w:sz w:val="17"/>
          <w:szCs w:val="17"/>
        </w:rPr>
        <w:t>and</w:t>
      </w:r>
      <w:r>
        <w:rPr>
          <w:rFonts w:ascii="微软雅黑" w:hAnsi="微软雅黑" w:eastAsia="微软雅黑" w:cs="微软雅黑"/>
          <w:spacing w:val="8"/>
          <w:sz w:val="17"/>
          <w:szCs w:val="17"/>
        </w:rPr>
        <w:t xml:space="preserve"> </w:t>
      </w:r>
      <w:r>
        <w:rPr>
          <w:rFonts w:ascii="微软雅黑" w:hAnsi="微软雅黑" w:eastAsia="微软雅黑" w:cs="微软雅黑"/>
          <w:spacing w:val="-14"/>
          <w:sz w:val="17"/>
          <w:szCs w:val="17"/>
        </w:rPr>
        <w:t>universities</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14"/>
          <w:sz w:val="17"/>
          <w:szCs w:val="17"/>
        </w:rPr>
        <w:t>should</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also</w:t>
      </w:r>
      <w:r>
        <w:rPr>
          <w:rFonts w:ascii="微软雅黑" w:hAnsi="微软雅黑" w:eastAsia="微软雅黑" w:cs="微软雅黑"/>
          <w:spacing w:val="12"/>
          <w:w w:val="101"/>
          <w:sz w:val="17"/>
          <w:szCs w:val="17"/>
        </w:rPr>
        <w:t xml:space="preserve"> </w:t>
      </w:r>
      <w:r>
        <w:rPr>
          <w:rFonts w:ascii="微软雅黑" w:hAnsi="微软雅黑" w:eastAsia="微软雅黑" w:cs="微软雅黑"/>
          <w:spacing w:val="-14"/>
          <w:sz w:val="17"/>
          <w:szCs w:val="17"/>
        </w:rPr>
        <w:t>strengthen</w:t>
      </w:r>
      <w:r>
        <w:rPr>
          <w:rFonts w:ascii="微软雅黑" w:hAnsi="微软雅黑" w:eastAsia="微软雅黑" w:cs="微软雅黑"/>
          <w:spacing w:val="6"/>
          <w:sz w:val="17"/>
          <w:szCs w:val="17"/>
        </w:rPr>
        <w:t xml:space="preserve"> </w:t>
      </w:r>
      <w:r>
        <w:rPr>
          <w:rFonts w:ascii="微软雅黑" w:hAnsi="微软雅黑" w:eastAsia="微软雅黑" w:cs="微软雅黑"/>
          <w:spacing w:val="-14"/>
          <w:sz w:val="17"/>
          <w:szCs w:val="17"/>
        </w:rPr>
        <w:t>first－class</w:t>
      </w:r>
      <w:r>
        <w:rPr>
          <w:rFonts w:ascii="微软雅黑" w:hAnsi="微软雅黑" w:eastAsia="微软雅黑" w:cs="微软雅黑"/>
          <w:spacing w:val="9"/>
          <w:sz w:val="17"/>
          <w:szCs w:val="17"/>
        </w:rPr>
        <w:t xml:space="preserve"> </w:t>
      </w:r>
      <w:r>
        <w:rPr>
          <w:rFonts w:ascii="微软雅黑" w:hAnsi="微软雅黑" w:eastAsia="微软雅黑" w:cs="微软雅黑"/>
          <w:spacing w:val="-14"/>
          <w:sz w:val="17"/>
          <w:szCs w:val="17"/>
        </w:rPr>
        <w:t>undergraduate</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education</w:t>
      </w:r>
      <w:r>
        <w:rPr>
          <w:rFonts w:ascii="宋体" w:hAnsi="宋体" w:eastAsia="宋体" w:cs="宋体"/>
          <w:spacing w:val="-14"/>
          <w:sz w:val="17"/>
          <w:szCs w:val="17"/>
        </w:rPr>
        <w:t>，</w:t>
      </w:r>
      <w:r>
        <w:rPr>
          <w:rFonts w:ascii="微软雅黑" w:hAnsi="微软雅黑" w:eastAsia="微软雅黑" w:cs="微软雅黑"/>
          <w:spacing w:val="-14"/>
          <w:sz w:val="17"/>
          <w:szCs w:val="17"/>
        </w:rPr>
        <w:t>and</w:t>
      </w:r>
      <w:r>
        <w:rPr>
          <w:rFonts w:ascii="微软雅黑" w:hAnsi="微软雅黑" w:eastAsia="微软雅黑" w:cs="微软雅黑"/>
          <w:spacing w:val="11"/>
          <w:sz w:val="17"/>
          <w:szCs w:val="17"/>
        </w:rPr>
        <w:t xml:space="preserve"> </w:t>
      </w:r>
      <w:r>
        <w:rPr>
          <w:rFonts w:ascii="微软雅黑" w:hAnsi="微软雅黑" w:eastAsia="微软雅黑" w:cs="微软雅黑"/>
          <w:spacing w:val="-14"/>
          <w:sz w:val="17"/>
          <w:szCs w:val="17"/>
        </w:rPr>
        <w:t>develop</w:t>
      </w:r>
      <w:r>
        <w:rPr>
          <w:rFonts w:ascii="微软雅黑" w:hAnsi="微软雅黑" w:eastAsia="微软雅黑" w:cs="微软雅黑"/>
          <w:spacing w:val="11"/>
          <w:sz w:val="17"/>
          <w:szCs w:val="17"/>
        </w:rPr>
        <w:t xml:space="preserve"> </w:t>
      </w:r>
      <w:r>
        <w:rPr>
          <w:rFonts w:ascii="微软雅黑" w:hAnsi="微软雅黑" w:eastAsia="微软雅黑" w:cs="微软雅黑"/>
          <w:spacing w:val="-15"/>
          <w:sz w:val="17"/>
          <w:szCs w:val="17"/>
        </w:rPr>
        <w:t>characteristics</w:t>
      </w:r>
      <w:r>
        <w:rPr>
          <w:rFonts w:ascii="微软雅黑" w:hAnsi="微软雅黑" w:eastAsia="微软雅黑" w:cs="微软雅黑"/>
          <w:spacing w:val="11"/>
          <w:sz w:val="17"/>
          <w:szCs w:val="17"/>
        </w:rPr>
        <w:t xml:space="preserve"> </w:t>
      </w:r>
      <w:r>
        <w:rPr>
          <w:rFonts w:ascii="微软雅黑" w:hAnsi="微软雅黑" w:eastAsia="微软雅黑" w:cs="微软雅黑"/>
          <w:spacing w:val="-15"/>
          <w:sz w:val="17"/>
          <w:szCs w:val="17"/>
        </w:rPr>
        <w:t>and</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strive</w:t>
      </w:r>
      <w:r>
        <w:rPr>
          <w:rFonts w:ascii="微软雅黑" w:hAnsi="微软雅黑" w:eastAsia="微软雅黑" w:cs="微软雅黑"/>
          <w:spacing w:val="14"/>
          <w:w w:val="101"/>
          <w:sz w:val="17"/>
          <w:szCs w:val="17"/>
        </w:rPr>
        <w:t xml:space="preserve"> </w:t>
      </w:r>
      <w:r>
        <w:rPr>
          <w:rFonts w:ascii="微软雅黑" w:hAnsi="微软雅黑" w:eastAsia="微软雅黑" w:cs="微软雅黑"/>
          <w:spacing w:val="-12"/>
          <w:sz w:val="17"/>
          <w:szCs w:val="17"/>
        </w:rPr>
        <w:t>for</w:t>
      </w:r>
      <w:r>
        <w:rPr>
          <w:rFonts w:ascii="微软雅黑" w:hAnsi="微软雅黑" w:eastAsia="微软雅黑" w:cs="微软雅黑"/>
          <w:spacing w:val="12"/>
          <w:sz w:val="17"/>
          <w:szCs w:val="17"/>
        </w:rPr>
        <w:t xml:space="preserve"> </w:t>
      </w:r>
      <w:r>
        <w:rPr>
          <w:rFonts w:ascii="微软雅黑" w:hAnsi="微软雅黑" w:eastAsia="微软雅黑" w:cs="微软雅黑"/>
          <w:spacing w:val="-12"/>
          <w:sz w:val="17"/>
          <w:szCs w:val="17"/>
        </w:rPr>
        <w:t>excellence</w:t>
      </w:r>
      <w:r>
        <w:rPr>
          <w:rFonts w:ascii="微软雅黑" w:hAnsi="微软雅黑" w:eastAsia="微软雅黑" w:cs="微软雅黑"/>
          <w:spacing w:val="13"/>
          <w:sz w:val="17"/>
          <w:szCs w:val="17"/>
        </w:rPr>
        <w:t xml:space="preserve"> </w:t>
      </w:r>
      <w:r>
        <w:rPr>
          <w:rFonts w:ascii="微软雅黑" w:hAnsi="微软雅黑" w:eastAsia="微软雅黑" w:cs="微软雅黑"/>
          <w:spacing w:val="-12"/>
          <w:sz w:val="17"/>
          <w:szCs w:val="17"/>
        </w:rPr>
        <w:t>in</w:t>
      </w:r>
      <w:r>
        <w:rPr>
          <w:rFonts w:ascii="微软雅黑" w:hAnsi="微软雅黑" w:eastAsia="微软雅黑" w:cs="微软雅黑"/>
          <w:spacing w:val="10"/>
          <w:sz w:val="17"/>
          <w:szCs w:val="17"/>
        </w:rPr>
        <w:t xml:space="preserve"> </w:t>
      </w:r>
      <w:r>
        <w:rPr>
          <w:rFonts w:ascii="微软雅黑" w:hAnsi="微软雅黑" w:eastAsia="微软雅黑" w:cs="微软雅黑"/>
          <w:spacing w:val="-12"/>
          <w:sz w:val="17"/>
          <w:szCs w:val="17"/>
        </w:rPr>
        <w:t>the</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12"/>
          <w:sz w:val="17"/>
          <w:szCs w:val="17"/>
        </w:rPr>
        <w:t>cultivation</w:t>
      </w:r>
      <w:r>
        <w:rPr>
          <w:rFonts w:ascii="微软雅黑" w:hAnsi="微软雅黑" w:eastAsia="微软雅黑" w:cs="微软雅黑"/>
          <w:spacing w:val="12"/>
          <w:sz w:val="17"/>
          <w:szCs w:val="17"/>
        </w:rPr>
        <w:t xml:space="preserve"> </w:t>
      </w:r>
      <w:r>
        <w:rPr>
          <w:rFonts w:ascii="微软雅黑" w:hAnsi="微软雅黑" w:eastAsia="微软雅黑" w:cs="微软雅黑"/>
          <w:spacing w:val="-12"/>
          <w:sz w:val="17"/>
          <w:szCs w:val="17"/>
        </w:rPr>
        <w:t>of</w:t>
      </w:r>
      <w:r>
        <w:rPr>
          <w:rFonts w:ascii="微软雅黑" w:hAnsi="微软雅黑" w:eastAsia="微软雅黑" w:cs="微软雅黑"/>
          <w:spacing w:val="3"/>
          <w:sz w:val="17"/>
          <w:szCs w:val="17"/>
        </w:rPr>
        <w:t xml:space="preserve"> </w:t>
      </w:r>
      <w:r>
        <w:rPr>
          <w:rFonts w:ascii="微软雅黑" w:hAnsi="微软雅黑" w:eastAsia="微软雅黑" w:cs="微软雅黑"/>
          <w:spacing w:val="-12"/>
          <w:sz w:val="17"/>
          <w:szCs w:val="17"/>
        </w:rPr>
        <w:t>applied</w:t>
      </w:r>
      <w:r>
        <w:rPr>
          <w:rFonts w:ascii="微软雅黑" w:hAnsi="微软雅黑" w:eastAsia="微软雅黑" w:cs="微软雅黑"/>
          <w:spacing w:val="10"/>
          <w:sz w:val="17"/>
          <w:szCs w:val="17"/>
        </w:rPr>
        <w:t xml:space="preserve"> </w:t>
      </w:r>
      <w:r>
        <w:rPr>
          <w:rFonts w:ascii="微软雅黑" w:hAnsi="微软雅黑" w:eastAsia="微软雅黑" w:cs="微软雅黑"/>
          <w:spacing w:val="-12"/>
          <w:sz w:val="17"/>
          <w:szCs w:val="17"/>
        </w:rPr>
        <w:t>talents．The</w:t>
      </w:r>
      <w:r>
        <w:rPr>
          <w:rFonts w:ascii="微软雅黑" w:hAnsi="微软雅黑" w:eastAsia="微软雅黑" w:cs="微软雅黑"/>
          <w:spacing w:val="11"/>
          <w:sz w:val="17"/>
          <w:szCs w:val="17"/>
        </w:rPr>
        <w:t xml:space="preserve"> </w:t>
      </w:r>
      <w:r>
        <w:rPr>
          <w:rFonts w:ascii="微软雅黑" w:hAnsi="微软雅黑" w:eastAsia="微软雅黑" w:cs="微软雅黑"/>
          <w:spacing w:val="-12"/>
          <w:sz w:val="17"/>
          <w:szCs w:val="17"/>
        </w:rPr>
        <w:t>value</w:t>
      </w:r>
      <w:r>
        <w:rPr>
          <w:rFonts w:ascii="微软雅黑" w:hAnsi="微软雅黑" w:eastAsia="微软雅黑" w:cs="微软雅黑"/>
          <w:spacing w:val="12"/>
          <w:w w:val="101"/>
          <w:sz w:val="17"/>
          <w:szCs w:val="17"/>
        </w:rPr>
        <w:t xml:space="preserve"> </w:t>
      </w:r>
      <w:r>
        <w:rPr>
          <w:rFonts w:ascii="微软雅黑" w:hAnsi="微软雅黑" w:eastAsia="微软雅黑" w:cs="微软雅黑"/>
          <w:spacing w:val="-12"/>
          <w:sz w:val="17"/>
          <w:szCs w:val="17"/>
        </w:rPr>
        <w:t>o</w:t>
      </w:r>
      <w:r>
        <w:rPr>
          <w:rFonts w:ascii="微软雅黑" w:hAnsi="微软雅黑" w:eastAsia="微软雅黑" w:cs="微软雅黑"/>
          <w:spacing w:val="-13"/>
          <w:sz w:val="17"/>
          <w:szCs w:val="17"/>
        </w:rPr>
        <w:t>rientation</w:t>
      </w:r>
      <w:r>
        <w:rPr>
          <w:rFonts w:ascii="微软雅黑" w:hAnsi="微软雅黑" w:eastAsia="微软雅黑" w:cs="微软雅黑"/>
          <w:spacing w:val="12"/>
          <w:sz w:val="17"/>
          <w:szCs w:val="17"/>
        </w:rPr>
        <w:t xml:space="preserve"> </w:t>
      </w:r>
      <w:r>
        <w:rPr>
          <w:rFonts w:ascii="微软雅黑" w:hAnsi="微软雅黑" w:eastAsia="微软雅黑" w:cs="微软雅黑"/>
          <w:spacing w:val="-13"/>
          <w:sz w:val="17"/>
          <w:szCs w:val="17"/>
        </w:rPr>
        <w:t>of university</w:t>
      </w:r>
      <w:r>
        <w:rPr>
          <w:rFonts w:ascii="微软雅黑" w:hAnsi="微软雅黑" w:eastAsia="微软雅黑" w:cs="微软雅黑"/>
          <w:spacing w:val="13"/>
          <w:sz w:val="17"/>
          <w:szCs w:val="17"/>
        </w:rPr>
        <w:t xml:space="preserve"> </w:t>
      </w:r>
      <w:r>
        <w:rPr>
          <w:rFonts w:ascii="微软雅黑" w:hAnsi="微软雅黑" w:eastAsia="微软雅黑" w:cs="微软雅黑"/>
          <w:spacing w:val="-13"/>
          <w:sz w:val="17"/>
          <w:szCs w:val="17"/>
        </w:rPr>
        <w:t>quality</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13"/>
          <w:sz w:val="17"/>
          <w:szCs w:val="17"/>
        </w:rPr>
        <w:t>culture</w:t>
      </w:r>
      <w:r>
        <w:rPr>
          <w:rFonts w:ascii="微软雅黑" w:hAnsi="微软雅黑" w:eastAsia="微软雅黑" w:cs="微软雅黑"/>
          <w:spacing w:val="13"/>
          <w:sz w:val="17"/>
          <w:szCs w:val="17"/>
        </w:rPr>
        <w:t xml:space="preserve"> </w:t>
      </w:r>
      <w:r>
        <w:rPr>
          <w:rFonts w:ascii="微软雅黑" w:hAnsi="微软雅黑" w:eastAsia="微软雅黑" w:cs="微软雅黑"/>
          <w:spacing w:val="-13"/>
          <w:sz w:val="17"/>
          <w:szCs w:val="17"/>
        </w:rPr>
        <w:t>construction</w:t>
      </w:r>
      <w:r>
        <w:rPr>
          <w:rFonts w:ascii="微软雅黑" w:hAnsi="微软雅黑" w:eastAsia="微软雅黑" w:cs="微软雅黑"/>
          <w:spacing w:val="12"/>
          <w:w w:val="101"/>
          <w:sz w:val="17"/>
          <w:szCs w:val="17"/>
        </w:rPr>
        <w:t xml:space="preserve"> </w:t>
      </w:r>
      <w:r>
        <w:rPr>
          <w:rFonts w:ascii="微软雅黑" w:hAnsi="微软雅黑" w:eastAsia="微软雅黑" w:cs="微软雅黑"/>
          <w:spacing w:val="-13"/>
          <w:sz w:val="17"/>
          <w:szCs w:val="17"/>
        </w:rPr>
        <w:t>is</w:t>
      </w:r>
      <w:r>
        <w:rPr>
          <w:rFonts w:ascii="微软雅黑" w:hAnsi="微软雅黑" w:eastAsia="微软雅黑" w:cs="微软雅黑"/>
          <w:spacing w:val="13"/>
          <w:sz w:val="17"/>
          <w:szCs w:val="17"/>
        </w:rPr>
        <w:t xml:space="preserve"> </w:t>
      </w:r>
      <w:r>
        <w:rPr>
          <w:rFonts w:ascii="微软雅黑" w:hAnsi="微软雅黑" w:eastAsia="微软雅黑" w:cs="微软雅黑"/>
          <w:spacing w:val="-13"/>
          <w:sz w:val="17"/>
          <w:szCs w:val="17"/>
        </w:rPr>
        <w:t>characteristic</w:t>
      </w:r>
      <w:r>
        <w:rPr>
          <w:rFonts w:ascii="微软雅黑" w:hAnsi="微软雅黑" w:eastAsia="微软雅黑" w:cs="微软雅黑"/>
          <w:sz w:val="17"/>
          <w:szCs w:val="17"/>
        </w:rPr>
        <w:t xml:space="preserve">  </w:t>
      </w:r>
      <w:r>
        <w:rPr>
          <w:rFonts w:ascii="微软雅黑" w:hAnsi="微软雅黑" w:eastAsia="微软雅黑" w:cs="微软雅黑"/>
          <w:spacing w:val="-15"/>
          <w:sz w:val="17"/>
          <w:szCs w:val="17"/>
        </w:rPr>
        <w:t>cultivation</w:t>
      </w:r>
      <w:r>
        <w:rPr>
          <w:rFonts w:ascii="宋体" w:hAnsi="宋体" w:eastAsia="宋体" w:cs="宋体"/>
          <w:spacing w:val="-15"/>
          <w:sz w:val="17"/>
          <w:szCs w:val="17"/>
        </w:rPr>
        <w:t>，</w:t>
      </w:r>
      <w:r>
        <w:rPr>
          <w:rFonts w:ascii="微软雅黑" w:hAnsi="微软雅黑" w:eastAsia="微软雅黑" w:cs="微软雅黑"/>
          <w:spacing w:val="-15"/>
          <w:sz w:val="17"/>
          <w:szCs w:val="17"/>
        </w:rPr>
        <w:t>comprehensive</w:t>
      </w:r>
      <w:r>
        <w:rPr>
          <w:rFonts w:ascii="微软雅黑" w:hAnsi="微软雅黑" w:eastAsia="微软雅黑" w:cs="微软雅黑"/>
          <w:spacing w:val="18"/>
          <w:sz w:val="17"/>
          <w:szCs w:val="17"/>
        </w:rPr>
        <w:t xml:space="preserve"> </w:t>
      </w:r>
      <w:r>
        <w:rPr>
          <w:rFonts w:ascii="微软雅黑" w:hAnsi="微软雅黑" w:eastAsia="微软雅黑" w:cs="微软雅黑"/>
          <w:spacing w:val="-15"/>
          <w:sz w:val="17"/>
          <w:szCs w:val="17"/>
        </w:rPr>
        <w:t>management</w:t>
      </w:r>
      <w:r>
        <w:rPr>
          <w:rFonts w:ascii="宋体" w:hAnsi="宋体" w:eastAsia="宋体" w:cs="宋体"/>
          <w:spacing w:val="-15"/>
          <w:sz w:val="17"/>
          <w:szCs w:val="17"/>
        </w:rPr>
        <w:t>，</w:t>
      </w:r>
      <w:r>
        <w:rPr>
          <w:rFonts w:ascii="微软雅黑" w:hAnsi="微软雅黑" w:eastAsia="微软雅黑" w:cs="微软雅黑"/>
          <w:spacing w:val="-15"/>
          <w:sz w:val="17"/>
          <w:szCs w:val="17"/>
        </w:rPr>
        <w:t>students</w:t>
      </w:r>
      <w:r>
        <w:rPr>
          <w:rFonts w:ascii="微软雅黑" w:hAnsi="微软雅黑" w:eastAsia="微软雅黑" w:cs="微软雅黑"/>
          <w:spacing w:val="27"/>
          <w:sz w:val="17"/>
          <w:szCs w:val="17"/>
        </w:rPr>
        <w:t xml:space="preserve"> </w:t>
      </w:r>
      <w:r>
        <w:rPr>
          <w:rFonts w:ascii="微软雅黑" w:hAnsi="微软雅黑" w:eastAsia="微软雅黑" w:cs="微软雅黑"/>
          <w:spacing w:val="-16"/>
          <w:sz w:val="17"/>
          <w:szCs w:val="17"/>
        </w:rPr>
        <w:t>being</w:t>
      </w:r>
      <w:r>
        <w:rPr>
          <w:rFonts w:ascii="微软雅黑" w:hAnsi="微软雅黑" w:eastAsia="微软雅黑" w:cs="微软雅黑"/>
          <w:spacing w:val="26"/>
          <w:sz w:val="17"/>
          <w:szCs w:val="17"/>
        </w:rPr>
        <w:t xml:space="preserve"> </w:t>
      </w:r>
      <w:r>
        <w:rPr>
          <w:rFonts w:ascii="微软雅黑" w:hAnsi="微软雅黑" w:eastAsia="微软雅黑" w:cs="微软雅黑"/>
          <w:spacing w:val="-16"/>
          <w:sz w:val="17"/>
          <w:szCs w:val="17"/>
        </w:rPr>
        <w:t>the</w:t>
      </w:r>
      <w:r>
        <w:rPr>
          <w:rFonts w:ascii="微软雅黑" w:hAnsi="微软雅黑" w:eastAsia="微软雅黑" w:cs="微软雅黑"/>
          <w:spacing w:val="24"/>
          <w:sz w:val="17"/>
          <w:szCs w:val="17"/>
        </w:rPr>
        <w:t xml:space="preserve"> </w:t>
      </w:r>
      <w:r>
        <w:rPr>
          <w:rFonts w:ascii="微软雅黑" w:hAnsi="微软雅黑" w:eastAsia="微软雅黑" w:cs="微软雅黑"/>
          <w:spacing w:val="-16"/>
          <w:sz w:val="17"/>
          <w:szCs w:val="17"/>
        </w:rPr>
        <w:t>foremost</w:t>
      </w:r>
      <w:r>
        <w:rPr>
          <w:rFonts w:ascii="微软雅黑" w:hAnsi="微软雅黑" w:eastAsia="微软雅黑" w:cs="微软雅黑"/>
          <w:spacing w:val="29"/>
          <w:sz w:val="17"/>
          <w:szCs w:val="17"/>
        </w:rPr>
        <w:t xml:space="preserve"> </w:t>
      </w:r>
      <w:r>
        <w:rPr>
          <w:rFonts w:ascii="微软雅黑" w:hAnsi="微软雅黑" w:eastAsia="微软雅黑" w:cs="微软雅黑"/>
          <w:spacing w:val="-16"/>
          <w:sz w:val="17"/>
          <w:szCs w:val="17"/>
        </w:rPr>
        <w:t>and</w:t>
      </w:r>
      <w:r>
        <w:rPr>
          <w:rFonts w:ascii="微软雅黑" w:hAnsi="微软雅黑" w:eastAsia="微软雅黑" w:cs="微软雅黑"/>
          <w:spacing w:val="27"/>
          <w:w w:val="101"/>
          <w:sz w:val="17"/>
          <w:szCs w:val="17"/>
        </w:rPr>
        <w:t xml:space="preserve"> </w:t>
      </w:r>
      <w:r>
        <w:rPr>
          <w:rFonts w:ascii="微软雅黑" w:hAnsi="微软雅黑" w:eastAsia="微软雅黑" w:cs="微软雅黑"/>
          <w:spacing w:val="-16"/>
          <w:sz w:val="17"/>
          <w:szCs w:val="17"/>
        </w:rPr>
        <w:t>output</w:t>
      </w:r>
      <w:r>
        <w:rPr>
          <w:rFonts w:ascii="微软雅黑" w:hAnsi="微软雅黑" w:eastAsia="微软雅黑" w:cs="微软雅黑"/>
          <w:spacing w:val="28"/>
          <w:w w:val="101"/>
          <w:sz w:val="17"/>
          <w:szCs w:val="17"/>
        </w:rPr>
        <w:t xml:space="preserve"> </w:t>
      </w:r>
      <w:r>
        <w:rPr>
          <w:rFonts w:ascii="微软雅黑" w:hAnsi="微软雅黑" w:eastAsia="微软雅黑" w:cs="微软雅黑"/>
          <w:spacing w:val="-16"/>
          <w:sz w:val="17"/>
          <w:szCs w:val="17"/>
        </w:rPr>
        <w:t>orientation．In</w:t>
      </w:r>
      <w:r>
        <w:rPr>
          <w:rFonts w:ascii="微软雅黑" w:hAnsi="微软雅黑" w:eastAsia="微软雅黑" w:cs="微软雅黑"/>
          <w:spacing w:val="27"/>
          <w:w w:val="101"/>
          <w:sz w:val="17"/>
          <w:szCs w:val="17"/>
        </w:rPr>
        <w:t xml:space="preserve"> </w:t>
      </w:r>
      <w:r>
        <w:rPr>
          <w:rFonts w:ascii="微软雅黑" w:hAnsi="微软雅黑" w:eastAsia="微软雅黑" w:cs="微软雅黑"/>
          <w:spacing w:val="-16"/>
          <w:sz w:val="17"/>
          <w:szCs w:val="17"/>
        </w:rPr>
        <w:t>the</w:t>
      </w:r>
      <w:r>
        <w:rPr>
          <w:rFonts w:ascii="微软雅黑" w:hAnsi="微软雅黑" w:eastAsia="微软雅黑" w:cs="微软雅黑"/>
          <w:spacing w:val="30"/>
          <w:w w:val="101"/>
          <w:sz w:val="17"/>
          <w:szCs w:val="17"/>
        </w:rPr>
        <w:t xml:space="preserve"> </w:t>
      </w:r>
      <w:r>
        <w:rPr>
          <w:rFonts w:ascii="微软雅黑" w:hAnsi="微软雅黑" w:eastAsia="微软雅黑" w:cs="微软雅黑"/>
          <w:spacing w:val="-16"/>
          <w:sz w:val="17"/>
          <w:szCs w:val="17"/>
        </w:rPr>
        <w:t>construction</w:t>
      </w:r>
      <w:r>
        <w:rPr>
          <w:rFonts w:ascii="微软雅黑" w:hAnsi="微软雅黑" w:eastAsia="微软雅黑" w:cs="微软雅黑"/>
          <w:spacing w:val="29"/>
          <w:w w:val="101"/>
          <w:sz w:val="17"/>
          <w:szCs w:val="17"/>
        </w:rPr>
        <w:t xml:space="preserve"> </w:t>
      </w:r>
      <w:r>
        <w:rPr>
          <w:rFonts w:ascii="微软雅黑" w:hAnsi="微软雅黑" w:eastAsia="微软雅黑" w:cs="微软雅黑"/>
          <w:spacing w:val="-16"/>
          <w:sz w:val="17"/>
          <w:szCs w:val="17"/>
        </w:rPr>
        <w:t>of</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16"/>
          <w:sz w:val="17"/>
          <w:szCs w:val="17"/>
        </w:rPr>
        <w:t>university</w:t>
      </w:r>
      <w:r>
        <w:rPr>
          <w:rFonts w:ascii="微软雅黑" w:hAnsi="微软雅黑" w:eastAsia="微软雅黑" w:cs="微软雅黑"/>
          <w:spacing w:val="31"/>
          <w:sz w:val="17"/>
          <w:szCs w:val="17"/>
        </w:rPr>
        <w:t xml:space="preserve"> </w:t>
      </w:r>
      <w:r>
        <w:rPr>
          <w:rFonts w:ascii="微软雅黑" w:hAnsi="微软雅黑" w:eastAsia="微软雅黑" w:cs="微软雅黑"/>
          <w:spacing w:val="-16"/>
          <w:sz w:val="17"/>
          <w:szCs w:val="17"/>
        </w:rPr>
        <w:t>quality</w:t>
      </w:r>
      <w:r>
        <w:rPr>
          <w:rFonts w:ascii="微软雅黑" w:hAnsi="微软雅黑" w:eastAsia="微软雅黑" w:cs="微软雅黑"/>
          <w:sz w:val="17"/>
          <w:szCs w:val="17"/>
        </w:rPr>
        <w:t xml:space="preserve">  </w:t>
      </w:r>
      <w:r>
        <w:rPr>
          <w:rFonts w:ascii="微软雅黑" w:hAnsi="微软雅黑" w:eastAsia="微软雅黑" w:cs="微软雅黑"/>
          <w:spacing w:val="-15"/>
          <w:sz w:val="17"/>
          <w:szCs w:val="17"/>
        </w:rPr>
        <w:t>culture</w:t>
      </w:r>
      <w:r>
        <w:rPr>
          <w:rFonts w:ascii="宋体" w:hAnsi="宋体" w:eastAsia="宋体" w:cs="宋体"/>
          <w:spacing w:val="-15"/>
          <w:sz w:val="17"/>
          <w:szCs w:val="17"/>
        </w:rPr>
        <w:t>，</w:t>
      </w:r>
      <w:r>
        <w:rPr>
          <w:rFonts w:ascii="微软雅黑" w:hAnsi="微软雅黑" w:eastAsia="微软雅黑" w:cs="微软雅黑"/>
          <w:spacing w:val="-15"/>
          <w:sz w:val="17"/>
          <w:szCs w:val="17"/>
        </w:rPr>
        <w:t>we</w:t>
      </w:r>
      <w:r>
        <w:rPr>
          <w:rFonts w:ascii="微软雅黑" w:hAnsi="微软雅黑" w:eastAsia="微软雅黑" w:cs="微软雅黑"/>
          <w:spacing w:val="20"/>
          <w:w w:val="101"/>
          <w:sz w:val="17"/>
          <w:szCs w:val="17"/>
        </w:rPr>
        <w:t xml:space="preserve"> </w:t>
      </w:r>
      <w:r>
        <w:rPr>
          <w:rFonts w:ascii="微软雅黑" w:hAnsi="微软雅黑" w:eastAsia="微软雅黑" w:cs="微软雅黑"/>
          <w:spacing w:val="-15"/>
          <w:sz w:val="17"/>
          <w:szCs w:val="17"/>
        </w:rPr>
        <w:t>should</w:t>
      </w:r>
      <w:r>
        <w:rPr>
          <w:rFonts w:ascii="微软雅黑" w:hAnsi="微软雅黑" w:eastAsia="微软雅黑" w:cs="微软雅黑"/>
          <w:spacing w:val="17"/>
          <w:w w:val="101"/>
          <w:sz w:val="17"/>
          <w:szCs w:val="17"/>
        </w:rPr>
        <w:t xml:space="preserve"> </w:t>
      </w:r>
      <w:r>
        <w:rPr>
          <w:rFonts w:ascii="微软雅黑" w:hAnsi="微软雅黑" w:eastAsia="微软雅黑" w:cs="微软雅黑"/>
          <w:spacing w:val="-15"/>
          <w:sz w:val="17"/>
          <w:szCs w:val="17"/>
        </w:rPr>
        <w:t>grasp</w:t>
      </w:r>
      <w:r>
        <w:rPr>
          <w:rFonts w:ascii="微软雅黑" w:hAnsi="微软雅黑" w:eastAsia="微软雅黑" w:cs="微软雅黑"/>
          <w:spacing w:val="16"/>
          <w:sz w:val="17"/>
          <w:szCs w:val="17"/>
        </w:rPr>
        <w:t xml:space="preserve"> </w:t>
      </w:r>
      <w:r>
        <w:rPr>
          <w:rFonts w:ascii="微软雅黑" w:hAnsi="微软雅黑" w:eastAsia="微软雅黑" w:cs="微软雅黑"/>
          <w:spacing w:val="-15"/>
          <w:sz w:val="17"/>
          <w:szCs w:val="17"/>
        </w:rPr>
        <w:t>the</w:t>
      </w:r>
      <w:r>
        <w:rPr>
          <w:rFonts w:ascii="微软雅黑" w:hAnsi="微软雅黑" w:eastAsia="微软雅黑" w:cs="微软雅黑"/>
          <w:spacing w:val="19"/>
          <w:sz w:val="17"/>
          <w:szCs w:val="17"/>
        </w:rPr>
        <w:t xml:space="preserve"> </w:t>
      </w:r>
      <w:r>
        <w:rPr>
          <w:rFonts w:ascii="微软雅黑" w:hAnsi="微软雅黑" w:eastAsia="微软雅黑" w:cs="微软雅黑"/>
          <w:spacing w:val="-15"/>
          <w:sz w:val="17"/>
          <w:szCs w:val="17"/>
        </w:rPr>
        <w:t>influencing</w:t>
      </w:r>
      <w:r>
        <w:rPr>
          <w:rFonts w:ascii="微软雅黑" w:hAnsi="微软雅黑" w:eastAsia="微软雅黑" w:cs="微软雅黑"/>
          <w:spacing w:val="14"/>
          <w:sz w:val="17"/>
          <w:szCs w:val="17"/>
        </w:rPr>
        <w:t xml:space="preserve"> </w:t>
      </w:r>
      <w:r>
        <w:rPr>
          <w:rFonts w:ascii="微软雅黑" w:hAnsi="微软雅黑" w:eastAsia="微软雅黑" w:cs="微软雅黑"/>
          <w:spacing w:val="-15"/>
          <w:sz w:val="17"/>
          <w:szCs w:val="17"/>
        </w:rPr>
        <w:t>factors</w:t>
      </w:r>
      <w:r>
        <w:rPr>
          <w:rFonts w:ascii="微软雅黑" w:hAnsi="微软雅黑" w:eastAsia="微软雅黑" w:cs="微软雅黑"/>
          <w:spacing w:val="20"/>
          <w:w w:val="101"/>
          <w:sz w:val="17"/>
          <w:szCs w:val="17"/>
        </w:rPr>
        <w:t xml:space="preserve"> </w:t>
      </w:r>
      <w:r>
        <w:rPr>
          <w:rFonts w:ascii="微软雅黑" w:hAnsi="微软雅黑" w:eastAsia="微软雅黑" w:cs="微软雅黑"/>
          <w:spacing w:val="-15"/>
          <w:sz w:val="17"/>
          <w:szCs w:val="17"/>
        </w:rPr>
        <w:t>such</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15"/>
          <w:sz w:val="17"/>
          <w:szCs w:val="17"/>
        </w:rPr>
        <w:t>as</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15"/>
          <w:sz w:val="17"/>
          <w:szCs w:val="17"/>
        </w:rPr>
        <w:t>managerial</w:t>
      </w:r>
      <w:r>
        <w:rPr>
          <w:rFonts w:ascii="微软雅黑" w:hAnsi="微软雅黑" w:eastAsia="微软雅黑" w:cs="微软雅黑"/>
          <w:spacing w:val="19"/>
          <w:sz w:val="17"/>
          <w:szCs w:val="17"/>
        </w:rPr>
        <w:t xml:space="preserve"> </w:t>
      </w:r>
      <w:r>
        <w:rPr>
          <w:rFonts w:ascii="微软雅黑" w:hAnsi="微软雅黑" w:eastAsia="微软雅黑" w:cs="微软雅黑"/>
          <w:spacing w:val="-15"/>
          <w:sz w:val="17"/>
          <w:szCs w:val="17"/>
        </w:rPr>
        <w:t>concept</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15"/>
          <w:sz w:val="17"/>
          <w:szCs w:val="17"/>
        </w:rPr>
        <w:t>of</w:t>
      </w:r>
      <w:r>
        <w:rPr>
          <w:rFonts w:ascii="微软雅黑" w:hAnsi="微软雅黑" w:eastAsia="微软雅黑" w:cs="微软雅黑"/>
          <w:spacing w:val="6"/>
          <w:sz w:val="17"/>
          <w:szCs w:val="17"/>
        </w:rPr>
        <w:t xml:space="preserve"> </w:t>
      </w:r>
      <w:r>
        <w:rPr>
          <w:rFonts w:ascii="微软雅黑" w:hAnsi="微软雅黑" w:eastAsia="微软雅黑" w:cs="微软雅黑"/>
          <w:spacing w:val="-15"/>
          <w:sz w:val="17"/>
          <w:szCs w:val="17"/>
        </w:rPr>
        <w:t>the</w:t>
      </w:r>
      <w:r>
        <w:rPr>
          <w:rFonts w:ascii="微软雅黑" w:hAnsi="微软雅黑" w:eastAsia="微软雅黑" w:cs="微软雅黑"/>
          <w:spacing w:val="21"/>
          <w:sz w:val="17"/>
          <w:szCs w:val="17"/>
        </w:rPr>
        <w:t xml:space="preserve"> </w:t>
      </w:r>
      <w:r>
        <w:rPr>
          <w:rFonts w:ascii="微软雅黑" w:hAnsi="微软雅黑" w:eastAsia="微软雅黑" w:cs="微软雅黑"/>
          <w:spacing w:val="-15"/>
          <w:sz w:val="17"/>
          <w:szCs w:val="17"/>
        </w:rPr>
        <w:t>school</w:t>
      </w:r>
      <w:r>
        <w:rPr>
          <w:rFonts w:ascii="宋体" w:hAnsi="宋体" w:eastAsia="宋体" w:cs="宋体"/>
          <w:spacing w:val="-15"/>
          <w:sz w:val="17"/>
          <w:szCs w:val="17"/>
        </w:rPr>
        <w:t>，</w:t>
      </w:r>
      <w:r>
        <w:rPr>
          <w:rFonts w:ascii="微软雅黑" w:hAnsi="微软雅黑" w:eastAsia="微软雅黑" w:cs="微软雅黑"/>
          <w:spacing w:val="-15"/>
          <w:sz w:val="17"/>
          <w:szCs w:val="17"/>
        </w:rPr>
        <w:t>teaching</w:t>
      </w:r>
      <w:r>
        <w:rPr>
          <w:rFonts w:ascii="微软雅黑" w:hAnsi="微软雅黑" w:eastAsia="微软雅黑" w:cs="微软雅黑"/>
          <w:spacing w:val="17"/>
          <w:sz w:val="17"/>
          <w:szCs w:val="17"/>
        </w:rPr>
        <w:t xml:space="preserve"> </w:t>
      </w:r>
      <w:r>
        <w:rPr>
          <w:rFonts w:ascii="微软雅黑" w:hAnsi="微软雅黑" w:eastAsia="微软雅黑" w:cs="微软雅黑"/>
          <w:spacing w:val="-15"/>
          <w:sz w:val="17"/>
          <w:szCs w:val="17"/>
        </w:rPr>
        <w:t>philosophy</w:t>
      </w:r>
      <w:r>
        <w:rPr>
          <w:rFonts w:ascii="宋体" w:hAnsi="宋体" w:eastAsia="宋体" w:cs="宋体"/>
          <w:spacing w:val="-15"/>
          <w:sz w:val="17"/>
          <w:szCs w:val="17"/>
        </w:rPr>
        <w:t>，</w:t>
      </w:r>
      <w:r>
        <w:rPr>
          <w:rFonts w:ascii="微软雅黑" w:hAnsi="微软雅黑" w:eastAsia="微软雅黑" w:cs="微软雅黑"/>
          <w:spacing w:val="-15"/>
          <w:sz w:val="17"/>
          <w:szCs w:val="17"/>
        </w:rPr>
        <w:t>i</w:t>
      </w:r>
      <w:r>
        <w:rPr>
          <w:rFonts w:ascii="微软雅黑" w:hAnsi="微软雅黑" w:eastAsia="微软雅黑" w:cs="微软雅黑"/>
          <w:spacing w:val="-16"/>
          <w:sz w:val="17"/>
          <w:szCs w:val="17"/>
        </w:rPr>
        <w:t>nstitutional</w:t>
      </w:r>
      <w:r>
        <w:rPr>
          <w:rFonts w:ascii="微软雅黑" w:hAnsi="微软雅黑" w:eastAsia="微软雅黑" w:cs="微软雅黑"/>
          <w:spacing w:val="20"/>
          <w:w w:val="101"/>
          <w:sz w:val="17"/>
          <w:szCs w:val="17"/>
        </w:rPr>
        <w:t xml:space="preserve"> </w:t>
      </w:r>
      <w:r>
        <w:rPr>
          <w:rFonts w:ascii="微软雅黑" w:hAnsi="微软雅黑" w:eastAsia="微软雅黑" w:cs="微软雅黑"/>
          <w:spacing w:val="-16"/>
          <w:sz w:val="17"/>
          <w:szCs w:val="17"/>
        </w:rPr>
        <w:t>system</w:t>
      </w:r>
      <w:r>
        <w:rPr>
          <w:rFonts w:ascii="微软雅黑" w:hAnsi="微软雅黑" w:eastAsia="微软雅黑" w:cs="微软雅黑"/>
          <w:spacing w:val="17"/>
          <w:w w:val="101"/>
          <w:sz w:val="17"/>
          <w:szCs w:val="17"/>
        </w:rPr>
        <w:t xml:space="preserve"> </w:t>
      </w:r>
      <w:r>
        <w:rPr>
          <w:rFonts w:ascii="微软雅黑" w:hAnsi="微软雅黑" w:eastAsia="微软雅黑" w:cs="微软雅黑"/>
          <w:spacing w:val="-16"/>
          <w:sz w:val="17"/>
          <w:szCs w:val="17"/>
        </w:rPr>
        <w:t>of</w:t>
      </w:r>
      <w:r>
        <w:rPr>
          <w:rFonts w:ascii="微软雅黑" w:hAnsi="微软雅黑" w:eastAsia="微软雅黑" w:cs="微软雅黑"/>
          <w:sz w:val="17"/>
          <w:szCs w:val="17"/>
        </w:rPr>
        <w:t xml:space="preserve">  </w:t>
      </w:r>
      <w:r>
        <w:rPr>
          <w:rFonts w:ascii="微软雅黑" w:hAnsi="微软雅黑" w:eastAsia="微软雅黑" w:cs="微软雅黑"/>
          <w:spacing w:val="-15"/>
          <w:sz w:val="17"/>
          <w:szCs w:val="17"/>
        </w:rPr>
        <w:t>quality</w:t>
      </w:r>
      <w:r>
        <w:rPr>
          <w:rFonts w:ascii="微软雅黑" w:hAnsi="微软雅黑" w:eastAsia="微软雅黑" w:cs="微软雅黑"/>
          <w:spacing w:val="24"/>
          <w:w w:val="101"/>
          <w:sz w:val="17"/>
          <w:szCs w:val="17"/>
        </w:rPr>
        <w:t xml:space="preserve"> </w:t>
      </w:r>
      <w:r>
        <w:rPr>
          <w:rFonts w:ascii="微软雅黑" w:hAnsi="微软雅黑" w:eastAsia="微软雅黑" w:cs="微软雅黑"/>
          <w:spacing w:val="-15"/>
          <w:sz w:val="17"/>
          <w:szCs w:val="17"/>
        </w:rPr>
        <w:t>management</w:t>
      </w:r>
      <w:r>
        <w:rPr>
          <w:rFonts w:ascii="宋体" w:hAnsi="宋体" w:eastAsia="宋体" w:cs="宋体"/>
          <w:spacing w:val="-15"/>
          <w:sz w:val="17"/>
          <w:szCs w:val="17"/>
        </w:rPr>
        <w:t>，</w:t>
      </w:r>
      <w:r>
        <w:rPr>
          <w:rFonts w:ascii="微软雅黑" w:hAnsi="微软雅黑" w:eastAsia="微软雅黑" w:cs="微软雅黑"/>
          <w:spacing w:val="-15"/>
          <w:sz w:val="17"/>
          <w:szCs w:val="17"/>
        </w:rPr>
        <w:t>the</w:t>
      </w:r>
      <w:r>
        <w:rPr>
          <w:rFonts w:ascii="微软雅黑" w:hAnsi="微软雅黑" w:eastAsia="微软雅黑" w:cs="微软雅黑"/>
          <w:spacing w:val="11"/>
          <w:sz w:val="17"/>
          <w:szCs w:val="17"/>
        </w:rPr>
        <w:t xml:space="preserve"> </w:t>
      </w:r>
      <w:r>
        <w:rPr>
          <w:rFonts w:ascii="微软雅黑" w:hAnsi="微软雅黑" w:eastAsia="微软雅黑" w:cs="微软雅黑"/>
          <w:spacing w:val="-15"/>
          <w:sz w:val="17"/>
          <w:szCs w:val="17"/>
        </w:rPr>
        <w:t>atmosphere</w:t>
      </w:r>
      <w:r>
        <w:rPr>
          <w:rFonts w:ascii="微软雅黑" w:hAnsi="微软雅黑" w:eastAsia="微软雅黑" w:cs="微软雅黑"/>
          <w:spacing w:val="11"/>
          <w:sz w:val="17"/>
          <w:szCs w:val="17"/>
        </w:rPr>
        <w:t xml:space="preserve"> </w:t>
      </w:r>
      <w:r>
        <w:rPr>
          <w:rFonts w:ascii="微软雅黑" w:hAnsi="微软雅黑" w:eastAsia="微软雅黑" w:cs="微软雅黑"/>
          <w:spacing w:val="-15"/>
          <w:sz w:val="17"/>
          <w:szCs w:val="17"/>
        </w:rPr>
        <w:t>of advocating</w:t>
      </w:r>
      <w:r>
        <w:rPr>
          <w:rFonts w:ascii="微软雅黑" w:hAnsi="微软雅黑" w:eastAsia="微软雅黑" w:cs="微软雅黑"/>
          <w:spacing w:val="11"/>
          <w:sz w:val="17"/>
          <w:szCs w:val="17"/>
        </w:rPr>
        <w:t xml:space="preserve"> </w:t>
      </w:r>
      <w:r>
        <w:rPr>
          <w:rFonts w:ascii="微软雅黑" w:hAnsi="微软雅黑" w:eastAsia="微软雅黑" w:cs="微软雅黑"/>
          <w:spacing w:val="-15"/>
          <w:sz w:val="17"/>
          <w:szCs w:val="17"/>
        </w:rPr>
        <w:t>quality</w:t>
      </w:r>
      <w:r>
        <w:rPr>
          <w:rFonts w:ascii="微软雅黑" w:hAnsi="微软雅黑" w:eastAsia="微软雅黑" w:cs="微软雅黑"/>
          <w:spacing w:val="11"/>
          <w:sz w:val="17"/>
          <w:szCs w:val="17"/>
        </w:rPr>
        <w:t xml:space="preserve"> </w:t>
      </w:r>
      <w:r>
        <w:rPr>
          <w:rFonts w:ascii="微软雅黑" w:hAnsi="微软雅黑" w:eastAsia="微软雅黑" w:cs="微软雅黑"/>
          <w:spacing w:val="-15"/>
          <w:sz w:val="17"/>
          <w:szCs w:val="17"/>
        </w:rPr>
        <w:t>and</w:t>
      </w:r>
      <w:r>
        <w:rPr>
          <w:rFonts w:ascii="微软雅黑" w:hAnsi="微软雅黑" w:eastAsia="微软雅黑" w:cs="微软雅黑"/>
          <w:spacing w:val="8"/>
          <w:sz w:val="17"/>
          <w:szCs w:val="17"/>
        </w:rPr>
        <w:t xml:space="preserve"> </w:t>
      </w:r>
      <w:r>
        <w:rPr>
          <w:rFonts w:ascii="微软雅黑" w:hAnsi="微软雅黑" w:eastAsia="微软雅黑" w:cs="微软雅黑"/>
          <w:spacing w:val="-15"/>
          <w:sz w:val="17"/>
          <w:szCs w:val="17"/>
        </w:rPr>
        <w:t>the</w:t>
      </w:r>
      <w:r>
        <w:rPr>
          <w:rFonts w:ascii="微软雅黑" w:hAnsi="微软雅黑" w:eastAsia="微软雅黑" w:cs="微软雅黑"/>
          <w:spacing w:val="12"/>
          <w:sz w:val="17"/>
          <w:szCs w:val="17"/>
        </w:rPr>
        <w:t xml:space="preserve"> </w:t>
      </w:r>
      <w:r>
        <w:rPr>
          <w:rFonts w:ascii="微软雅黑" w:hAnsi="微软雅黑" w:eastAsia="微软雅黑" w:cs="微软雅黑"/>
          <w:spacing w:val="-15"/>
          <w:sz w:val="17"/>
          <w:szCs w:val="17"/>
        </w:rPr>
        <w:t>external</w:t>
      </w:r>
      <w:r>
        <w:rPr>
          <w:rFonts w:ascii="微软雅黑" w:hAnsi="微软雅黑" w:eastAsia="微软雅黑" w:cs="微软雅黑"/>
          <w:spacing w:val="11"/>
          <w:sz w:val="17"/>
          <w:szCs w:val="17"/>
        </w:rPr>
        <w:t xml:space="preserve"> </w:t>
      </w:r>
      <w:r>
        <w:rPr>
          <w:rFonts w:ascii="微软雅黑" w:hAnsi="微软雅黑" w:eastAsia="微软雅黑" w:cs="微软雅黑"/>
          <w:spacing w:val="-15"/>
          <w:sz w:val="17"/>
          <w:szCs w:val="17"/>
        </w:rPr>
        <w:t>assessment</w:t>
      </w:r>
      <w:r>
        <w:rPr>
          <w:rFonts w:ascii="微软雅黑" w:hAnsi="微软雅黑" w:eastAsia="微软雅黑" w:cs="微软雅黑"/>
          <w:spacing w:val="11"/>
          <w:sz w:val="17"/>
          <w:szCs w:val="17"/>
        </w:rPr>
        <w:t xml:space="preserve"> </w:t>
      </w:r>
      <w:r>
        <w:rPr>
          <w:rFonts w:ascii="微软雅黑" w:hAnsi="微软雅黑" w:eastAsia="微软雅黑" w:cs="微软雅黑"/>
          <w:spacing w:val="-15"/>
          <w:sz w:val="17"/>
          <w:szCs w:val="17"/>
        </w:rPr>
        <w:t>mechanism</w:t>
      </w:r>
      <w:r>
        <w:rPr>
          <w:rFonts w:ascii="微软雅黑" w:hAnsi="微软雅黑" w:eastAsia="微软雅黑" w:cs="微软雅黑"/>
          <w:spacing w:val="10"/>
          <w:sz w:val="17"/>
          <w:szCs w:val="17"/>
        </w:rPr>
        <w:t xml:space="preserve"> </w:t>
      </w:r>
      <w:r>
        <w:rPr>
          <w:rFonts w:ascii="微软雅黑" w:hAnsi="微软雅黑" w:eastAsia="微软雅黑" w:cs="微软雅黑"/>
          <w:spacing w:val="-15"/>
          <w:sz w:val="17"/>
          <w:szCs w:val="17"/>
        </w:rPr>
        <w:t>of colleges</w:t>
      </w:r>
      <w:r>
        <w:rPr>
          <w:rFonts w:ascii="微软雅黑" w:hAnsi="微软雅黑" w:eastAsia="微软雅黑" w:cs="微软雅黑"/>
          <w:spacing w:val="11"/>
          <w:sz w:val="17"/>
          <w:szCs w:val="17"/>
        </w:rPr>
        <w:t xml:space="preserve"> </w:t>
      </w:r>
      <w:r>
        <w:rPr>
          <w:rFonts w:ascii="微软雅黑" w:hAnsi="微软雅黑" w:eastAsia="微软雅黑" w:cs="微软雅黑"/>
          <w:spacing w:val="-15"/>
          <w:sz w:val="17"/>
          <w:szCs w:val="17"/>
        </w:rPr>
        <w:t>and</w:t>
      </w:r>
      <w:r>
        <w:rPr>
          <w:rFonts w:ascii="微软雅黑" w:hAnsi="微软雅黑" w:eastAsia="微软雅黑" w:cs="微软雅黑"/>
          <w:spacing w:val="9"/>
          <w:sz w:val="17"/>
          <w:szCs w:val="17"/>
        </w:rPr>
        <w:t xml:space="preserve"> </w:t>
      </w:r>
      <w:r>
        <w:rPr>
          <w:rFonts w:ascii="微软雅黑" w:hAnsi="微软雅黑" w:eastAsia="微软雅黑" w:cs="微软雅黑"/>
          <w:spacing w:val="-15"/>
          <w:sz w:val="17"/>
          <w:szCs w:val="17"/>
        </w:rPr>
        <w:t>universi</w:t>
      </w:r>
      <w:r>
        <w:rPr>
          <w:rFonts w:ascii="微软雅黑" w:hAnsi="微软雅黑" w:eastAsia="微软雅黑" w:cs="微软雅黑"/>
          <w:spacing w:val="-16"/>
          <w:sz w:val="17"/>
          <w:szCs w:val="17"/>
        </w:rPr>
        <w:t>ties．It</w:t>
      </w:r>
      <w:r>
        <w:rPr>
          <w:rFonts w:ascii="微软雅黑" w:hAnsi="微软雅黑" w:eastAsia="微软雅黑" w:cs="微软雅黑"/>
          <w:spacing w:val="11"/>
          <w:sz w:val="17"/>
          <w:szCs w:val="17"/>
        </w:rPr>
        <w:t xml:space="preserve"> </w:t>
      </w:r>
      <w:r>
        <w:rPr>
          <w:rFonts w:ascii="微软雅黑" w:hAnsi="微软雅黑" w:eastAsia="微软雅黑" w:cs="微软雅黑"/>
          <w:spacing w:val="-16"/>
          <w:sz w:val="17"/>
          <w:szCs w:val="17"/>
        </w:rPr>
        <w:t>is</w:t>
      </w:r>
      <w:r>
        <w:rPr>
          <w:rFonts w:ascii="微软雅黑" w:hAnsi="微软雅黑" w:eastAsia="微软雅黑" w:cs="微软雅黑"/>
          <w:spacing w:val="11"/>
          <w:sz w:val="17"/>
          <w:szCs w:val="17"/>
        </w:rPr>
        <w:t xml:space="preserve"> </w:t>
      </w:r>
      <w:r>
        <w:rPr>
          <w:rFonts w:ascii="微软雅黑" w:hAnsi="微软雅黑" w:eastAsia="微软雅黑" w:cs="微软雅黑"/>
          <w:spacing w:val="-16"/>
          <w:sz w:val="17"/>
          <w:szCs w:val="17"/>
        </w:rPr>
        <w:t>im- portant</w:t>
      </w:r>
      <w:r>
        <w:rPr>
          <w:rFonts w:ascii="微软雅黑" w:hAnsi="微软雅黑" w:eastAsia="微软雅黑" w:cs="微软雅黑"/>
          <w:spacing w:val="17"/>
          <w:sz w:val="17"/>
          <w:szCs w:val="17"/>
        </w:rPr>
        <w:t xml:space="preserve"> </w:t>
      </w:r>
      <w:r>
        <w:rPr>
          <w:rFonts w:ascii="微软雅黑" w:hAnsi="微软雅黑" w:eastAsia="微软雅黑" w:cs="微软雅黑"/>
          <w:spacing w:val="-16"/>
          <w:sz w:val="17"/>
          <w:szCs w:val="17"/>
        </w:rPr>
        <w:t>to</w:t>
      </w:r>
      <w:r>
        <w:rPr>
          <w:rFonts w:ascii="微软雅黑" w:hAnsi="微软雅黑" w:eastAsia="微软雅黑" w:cs="微软雅黑"/>
          <w:spacing w:val="20"/>
          <w:sz w:val="17"/>
          <w:szCs w:val="17"/>
        </w:rPr>
        <w:t xml:space="preserve"> </w:t>
      </w:r>
      <w:r>
        <w:rPr>
          <w:rFonts w:ascii="微软雅黑" w:hAnsi="微软雅黑" w:eastAsia="微软雅黑" w:cs="微软雅黑"/>
          <w:spacing w:val="-16"/>
          <w:sz w:val="17"/>
          <w:szCs w:val="17"/>
        </w:rPr>
        <w:t>stimulate</w:t>
      </w:r>
      <w:r>
        <w:rPr>
          <w:rFonts w:ascii="微软雅黑" w:hAnsi="微软雅黑" w:eastAsia="微软雅黑" w:cs="微软雅黑"/>
          <w:spacing w:val="16"/>
          <w:w w:val="101"/>
          <w:sz w:val="17"/>
          <w:szCs w:val="17"/>
        </w:rPr>
        <w:t xml:space="preserve"> </w:t>
      </w:r>
      <w:r>
        <w:rPr>
          <w:rFonts w:ascii="微软雅黑" w:hAnsi="微软雅黑" w:eastAsia="微软雅黑" w:cs="微软雅黑"/>
          <w:spacing w:val="-16"/>
          <w:sz w:val="17"/>
          <w:szCs w:val="17"/>
        </w:rPr>
        <w:t>the</w:t>
      </w:r>
      <w:r>
        <w:rPr>
          <w:rFonts w:ascii="微软雅黑" w:hAnsi="微软雅黑" w:eastAsia="微软雅黑" w:cs="微软雅黑"/>
          <w:spacing w:val="19"/>
          <w:sz w:val="17"/>
          <w:szCs w:val="17"/>
        </w:rPr>
        <w:t xml:space="preserve"> </w:t>
      </w:r>
      <w:r>
        <w:rPr>
          <w:rFonts w:ascii="微软雅黑" w:hAnsi="微软雅黑" w:eastAsia="微软雅黑" w:cs="微软雅黑"/>
          <w:spacing w:val="-16"/>
          <w:sz w:val="17"/>
          <w:szCs w:val="17"/>
        </w:rPr>
        <w:t>enthusiasm</w:t>
      </w:r>
      <w:r>
        <w:rPr>
          <w:rFonts w:ascii="微软雅黑" w:hAnsi="微软雅黑" w:eastAsia="微软雅黑" w:cs="微软雅黑"/>
          <w:spacing w:val="17"/>
          <w:w w:val="101"/>
          <w:sz w:val="17"/>
          <w:szCs w:val="17"/>
        </w:rPr>
        <w:t xml:space="preserve"> </w:t>
      </w:r>
      <w:r>
        <w:rPr>
          <w:rFonts w:ascii="微软雅黑" w:hAnsi="微软雅黑" w:eastAsia="微软雅黑" w:cs="微软雅黑"/>
          <w:spacing w:val="-16"/>
          <w:sz w:val="17"/>
          <w:szCs w:val="17"/>
        </w:rPr>
        <w:t>of</w:t>
      </w:r>
      <w:r>
        <w:rPr>
          <w:rFonts w:ascii="微软雅黑" w:hAnsi="微软雅黑" w:eastAsia="微软雅黑" w:cs="微软雅黑"/>
          <w:spacing w:val="2"/>
          <w:sz w:val="17"/>
          <w:szCs w:val="17"/>
        </w:rPr>
        <w:t xml:space="preserve"> </w:t>
      </w:r>
      <w:r>
        <w:rPr>
          <w:rFonts w:ascii="微软雅黑" w:hAnsi="微软雅黑" w:eastAsia="微软雅黑" w:cs="微软雅黑"/>
          <w:spacing w:val="-16"/>
          <w:sz w:val="17"/>
          <w:szCs w:val="17"/>
        </w:rPr>
        <w:t>teachers</w:t>
      </w:r>
      <w:r>
        <w:rPr>
          <w:rFonts w:ascii="微软雅黑" w:hAnsi="微软雅黑" w:eastAsia="微软雅黑" w:cs="微软雅黑"/>
          <w:spacing w:val="16"/>
          <w:sz w:val="17"/>
          <w:szCs w:val="17"/>
        </w:rPr>
        <w:t xml:space="preserve"> </w:t>
      </w:r>
      <w:r>
        <w:rPr>
          <w:rFonts w:ascii="微软雅黑" w:hAnsi="微软雅黑" w:eastAsia="微软雅黑" w:cs="微软雅黑"/>
          <w:spacing w:val="-16"/>
          <w:sz w:val="17"/>
          <w:szCs w:val="17"/>
        </w:rPr>
        <w:t>and</w:t>
      </w:r>
      <w:r>
        <w:rPr>
          <w:rFonts w:ascii="微软雅黑" w:hAnsi="微软雅黑" w:eastAsia="微软雅黑" w:cs="微软雅黑"/>
          <w:spacing w:val="16"/>
          <w:sz w:val="17"/>
          <w:szCs w:val="17"/>
        </w:rPr>
        <w:t xml:space="preserve"> </w:t>
      </w:r>
      <w:r>
        <w:rPr>
          <w:rFonts w:ascii="微软雅黑" w:hAnsi="微软雅黑" w:eastAsia="微软雅黑" w:cs="微软雅黑"/>
          <w:spacing w:val="-16"/>
          <w:sz w:val="17"/>
          <w:szCs w:val="17"/>
        </w:rPr>
        <w:t>students</w:t>
      </w:r>
      <w:r>
        <w:rPr>
          <w:rFonts w:ascii="微软雅黑" w:hAnsi="微软雅黑" w:eastAsia="微软雅黑" w:cs="微软雅黑"/>
          <w:spacing w:val="12"/>
          <w:w w:val="101"/>
          <w:sz w:val="17"/>
          <w:szCs w:val="17"/>
        </w:rPr>
        <w:t xml:space="preserve"> </w:t>
      </w:r>
      <w:r>
        <w:rPr>
          <w:rFonts w:ascii="微软雅黑" w:hAnsi="微软雅黑" w:eastAsia="微软雅黑" w:cs="微软雅黑"/>
          <w:spacing w:val="-16"/>
          <w:sz w:val="17"/>
          <w:szCs w:val="17"/>
        </w:rPr>
        <w:t>to</w:t>
      </w:r>
      <w:r>
        <w:rPr>
          <w:rFonts w:ascii="微软雅黑" w:hAnsi="微软雅黑" w:eastAsia="微软雅黑" w:cs="微软雅黑"/>
          <w:spacing w:val="13"/>
          <w:sz w:val="17"/>
          <w:szCs w:val="17"/>
        </w:rPr>
        <w:t xml:space="preserve"> </w:t>
      </w:r>
      <w:r>
        <w:rPr>
          <w:rFonts w:ascii="微软雅黑" w:hAnsi="微软雅黑" w:eastAsia="微软雅黑" w:cs="微软雅黑"/>
          <w:spacing w:val="-16"/>
          <w:sz w:val="17"/>
          <w:szCs w:val="17"/>
        </w:rPr>
        <w:t>participate</w:t>
      </w:r>
      <w:r>
        <w:rPr>
          <w:rFonts w:ascii="宋体" w:hAnsi="宋体" w:eastAsia="宋体" w:cs="宋体"/>
          <w:spacing w:val="-16"/>
          <w:sz w:val="17"/>
          <w:szCs w:val="17"/>
        </w:rPr>
        <w:t>，</w:t>
      </w:r>
      <w:r>
        <w:rPr>
          <w:rFonts w:ascii="微软雅黑" w:hAnsi="微软雅黑" w:eastAsia="微软雅黑" w:cs="微软雅黑"/>
          <w:spacing w:val="-16"/>
          <w:sz w:val="17"/>
          <w:szCs w:val="17"/>
        </w:rPr>
        <w:t>in</w:t>
      </w:r>
      <w:r>
        <w:rPr>
          <w:rFonts w:ascii="微软雅黑" w:hAnsi="微软雅黑" w:eastAsia="微软雅黑" w:cs="微软雅黑"/>
          <w:spacing w:val="14"/>
          <w:sz w:val="17"/>
          <w:szCs w:val="17"/>
        </w:rPr>
        <w:t xml:space="preserve"> </w:t>
      </w:r>
      <w:r>
        <w:rPr>
          <w:rFonts w:ascii="微软雅黑" w:hAnsi="微软雅黑" w:eastAsia="微软雅黑" w:cs="微软雅黑"/>
          <w:spacing w:val="-16"/>
          <w:sz w:val="17"/>
          <w:szCs w:val="17"/>
        </w:rPr>
        <w:t>order</w:t>
      </w:r>
      <w:r>
        <w:rPr>
          <w:rFonts w:ascii="微软雅黑" w:hAnsi="微软雅黑" w:eastAsia="微软雅黑" w:cs="微软雅黑"/>
          <w:spacing w:val="11"/>
          <w:sz w:val="17"/>
          <w:szCs w:val="17"/>
        </w:rPr>
        <w:t xml:space="preserve"> </w:t>
      </w:r>
      <w:r>
        <w:rPr>
          <w:rFonts w:ascii="微软雅黑" w:hAnsi="微软雅黑" w:eastAsia="微软雅黑" w:cs="微软雅黑"/>
          <w:spacing w:val="-16"/>
          <w:sz w:val="17"/>
          <w:szCs w:val="17"/>
        </w:rPr>
        <w:t>to</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16"/>
          <w:sz w:val="17"/>
          <w:szCs w:val="17"/>
        </w:rPr>
        <w:t>provide</w:t>
      </w:r>
      <w:r>
        <w:rPr>
          <w:rFonts w:ascii="微软雅黑" w:hAnsi="微软雅黑" w:eastAsia="微软雅黑" w:cs="微软雅黑"/>
          <w:spacing w:val="15"/>
          <w:sz w:val="17"/>
          <w:szCs w:val="17"/>
        </w:rPr>
        <w:t xml:space="preserve"> </w:t>
      </w:r>
      <w:r>
        <w:rPr>
          <w:rFonts w:ascii="微软雅黑" w:hAnsi="微软雅黑" w:eastAsia="微软雅黑" w:cs="微软雅黑"/>
          <w:spacing w:val="-16"/>
          <w:sz w:val="17"/>
          <w:szCs w:val="17"/>
        </w:rPr>
        <w:t>continuous</w:t>
      </w:r>
      <w:r>
        <w:rPr>
          <w:rFonts w:ascii="微软雅黑" w:hAnsi="微软雅黑" w:eastAsia="微软雅黑" w:cs="微软雅黑"/>
          <w:spacing w:val="13"/>
          <w:sz w:val="17"/>
          <w:szCs w:val="17"/>
        </w:rPr>
        <w:t xml:space="preserve"> </w:t>
      </w:r>
      <w:r>
        <w:rPr>
          <w:rFonts w:ascii="微软雅黑" w:hAnsi="微软雅黑" w:eastAsia="微软雅黑" w:cs="微软雅黑"/>
          <w:spacing w:val="-16"/>
          <w:sz w:val="17"/>
          <w:szCs w:val="17"/>
        </w:rPr>
        <w:t>pow</w:t>
      </w:r>
      <w:r>
        <w:rPr>
          <w:rFonts w:ascii="微软雅黑" w:hAnsi="微软雅黑" w:eastAsia="微软雅黑" w:cs="微软雅黑"/>
          <w:spacing w:val="-17"/>
          <w:sz w:val="17"/>
          <w:szCs w:val="17"/>
        </w:rPr>
        <w:t>er</w:t>
      </w:r>
      <w:r>
        <w:rPr>
          <w:rFonts w:ascii="微软雅黑" w:hAnsi="微软雅黑" w:eastAsia="微软雅黑" w:cs="微软雅黑"/>
          <w:spacing w:val="9"/>
          <w:sz w:val="17"/>
          <w:szCs w:val="17"/>
        </w:rPr>
        <w:t xml:space="preserve"> </w:t>
      </w:r>
      <w:r>
        <w:rPr>
          <w:rFonts w:ascii="微软雅黑" w:hAnsi="微软雅黑" w:eastAsia="微软雅黑" w:cs="微软雅黑"/>
          <w:spacing w:val="-17"/>
          <w:sz w:val="17"/>
          <w:szCs w:val="17"/>
        </w:rPr>
        <w:t>for</w:t>
      </w:r>
      <w:r>
        <w:rPr>
          <w:rFonts w:ascii="微软雅黑" w:hAnsi="微软雅黑" w:eastAsia="微软雅黑" w:cs="微软雅黑"/>
          <w:spacing w:val="11"/>
          <w:sz w:val="17"/>
          <w:szCs w:val="17"/>
        </w:rPr>
        <w:t xml:space="preserve"> </w:t>
      </w:r>
      <w:r>
        <w:rPr>
          <w:rFonts w:ascii="微软雅黑" w:hAnsi="微软雅黑" w:eastAsia="微软雅黑" w:cs="微软雅黑"/>
          <w:spacing w:val="-17"/>
          <w:sz w:val="17"/>
          <w:szCs w:val="17"/>
        </w:rPr>
        <w:t>the</w:t>
      </w:r>
      <w:r>
        <w:rPr>
          <w:rFonts w:ascii="微软雅黑" w:hAnsi="微软雅黑" w:eastAsia="微软雅黑" w:cs="微软雅黑"/>
          <w:spacing w:val="15"/>
          <w:w w:val="101"/>
          <w:sz w:val="17"/>
          <w:szCs w:val="17"/>
        </w:rPr>
        <w:t xml:space="preserve"> </w:t>
      </w:r>
      <w:r>
        <w:rPr>
          <w:rFonts w:ascii="微软雅黑" w:hAnsi="微软雅黑" w:eastAsia="微软雅黑" w:cs="微软雅黑"/>
          <w:spacing w:val="-17"/>
          <w:sz w:val="17"/>
          <w:szCs w:val="17"/>
        </w:rPr>
        <w:t>connotative</w:t>
      </w:r>
      <w:r>
        <w:rPr>
          <w:rFonts w:ascii="微软雅黑" w:hAnsi="微软雅黑" w:eastAsia="微软雅黑" w:cs="微软雅黑"/>
          <w:spacing w:val="15"/>
          <w:sz w:val="17"/>
          <w:szCs w:val="17"/>
        </w:rPr>
        <w:t xml:space="preserve"> </w:t>
      </w:r>
      <w:r>
        <w:rPr>
          <w:rFonts w:ascii="微软雅黑" w:hAnsi="微软雅黑" w:eastAsia="微软雅黑" w:cs="微软雅黑"/>
          <w:spacing w:val="-17"/>
          <w:sz w:val="17"/>
          <w:szCs w:val="17"/>
        </w:rPr>
        <w:t>de-</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velopment</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13"/>
          <w:sz w:val="17"/>
          <w:szCs w:val="17"/>
        </w:rPr>
        <w:t>of</w:t>
      </w:r>
      <w:r>
        <w:rPr>
          <w:rFonts w:ascii="微软雅黑" w:hAnsi="微软雅黑" w:eastAsia="微软雅黑" w:cs="微软雅黑"/>
          <w:spacing w:val="7"/>
          <w:sz w:val="17"/>
          <w:szCs w:val="17"/>
        </w:rPr>
        <w:t xml:space="preserve"> </w:t>
      </w:r>
      <w:r>
        <w:rPr>
          <w:rFonts w:ascii="微软雅黑" w:hAnsi="微软雅黑" w:eastAsia="微软雅黑" w:cs="微软雅黑"/>
          <w:spacing w:val="-13"/>
          <w:sz w:val="17"/>
          <w:szCs w:val="17"/>
        </w:rPr>
        <w:t>local</w:t>
      </w:r>
      <w:r>
        <w:rPr>
          <w:rFonts w:ascii="微软雅黑" w:hAnsi="微软雅黑" w:eastAsia="微软雅黑" w:cs="微软雅黑"/>
          <w:spacing w:val="19"/>
          <w:sz w:val="17"/>
          <w:szCs w:val="17"/>
        </w:rPr>
        <w:t xml:space="preserve"> </w:t>
      </w:r>
      <w:r>
        <w:rPr>
          <w:rFonts w:ascii="微软雅黑" w:hAnsi="微软雅黑" w:eastAsia="微软雅黑" w:cs="微软雅黑"/>
          <w:spacing w:val="-13"/>
          <w:sz w:val="17"/>
          <w:szCs w:val="17"/>
        </w:rPr>
        <w:t>colleges</w:t>
      </w:r>
      <w:r>
        <w:rPr>
          <w:rFonts w:ascii="微软雅黑" w:hAnsi="微软雅黑" w:eastAsia="微软雅黑" w:cs="微软雅黑"/>
          <w:spacing w:val="19"/>
          <w:w w:val="101"/>
          <w:sz w:val="17"/>
          <w:szCs w:val="17"/>
        </w:rPr>
        <w:t xml:space="preserve"> </w:t>
      </w:r>
      <w:r>
        <w:rPr>
          <w:rFonts w:ascii="微软雅黑" w:hAnsi="微软雅黑" w:eastAsia="微软雅黑" w:cs="微软雅黑"/>
          <w:spacing w:val="-14"/>
          <w:sz w:val="17"/>
          <w:szCs w:val="17"/>
        </w:rPr>
        <w:t>and</w:t>
      </w:r>
      <w:r>
        <w:rPr>
          <w:rFonts w:ascii="微软雅黑" w:hAnsi="微软雅黑" w:eastAsia="微软雅黑" w:cs="微软雅黑"/>
          <w:spacing w:val="16"/>
          <w:w w:val="101"/>
          <w:sz w:val="17"/>
          <w:szCs w:val="17"/>
        </w:rPr>
        <w:t xml:space="preserve"> </w:t>
      </w:r>
      <w:r>
        <w:rPr>
          <w:rFonts w:ascii="微软雅黑" w:hAnsi="微软雅黑" w:eastAsia="微软雅黑" w:cs="微软雅黑"/>
          <w:spacing w:val="-14"/>
          <w:sz w:val="17"/>
          <w:szCs w:val="17"/>
        </w:rPr>
        <w:t>universities.</w:t>
      </w:r>
    </w:p>
    <w:p>
      <w:pPr>
        <w:spacing w:before="67" w:line="193" w:lineRule="auto"/>
        <w:ind w:left="726" w:right="72" w:firstLine="365"/>
        <w:jc w:val="both"/>
        <w:rPr>
          <w:rFonts w:ascii="微软雅黑" w:hAnsi="微软雅黑" w:eastAsia="微软雅黑" w:cs="微软雅黑"/>
          <w:sz w:val="17"/>
          <w:szCs w:val="17"/>
        </w:rPr>
      </w:pPr>
      <w:r>
        <w:rPr>
          <w:rFonts w:ascii="微软雅黑" w:hAnsi="微软雅黑" w:eastAsia="微软雅黑" w:cs="微软雅黑"/>
          <w:spacing w:val="-14"/>
          <w:sz w:val="17"/>
          <w:szCs w:val="17"/>
        </w:rPr>
        <w:t>Key</w:t>
      </w:r>
      <w:r>
        <w:rPr>
          <w:rFonts w:ascii="微软雅黑" w:hAnsi="微软雅黑" w:eastAsia="微软雅黑" w:cs="微软雅黑"/>
          <w:spacing w:val="17"/>
          <w:sz w:val="17"/>
          <w:szCs w:val="17"/>
        </w:rPr>
        <w:t xml:space="preserve"> </w:t>
      </w:r>
      <w:r>
        <w:rPr>
          <w:rFonts w:ascii="微软雅黑" w:hAnsi="微软雅黑" w:eastAsia="微软雅黑" w:cs="微软雅黑"/>
          <w:spacing w:val="-14"/>
          <w:sz w:val="17"/>
          <w:szCs w:val="17"/>
        </w:rPr>
        <w:t xml:space="preserve">words </w:t>
      </w:r>
      <w:r>
        <w:rPr>
          <w:rFonts w:ascii="宋体" w:hAnsi="宋体" w:eastAsia="宋体" w:cs="宋体"/>
          <w:spacing w:val="-14"/>
          <w:sz w:val="17"/>
          <w:szCs w:val="17"/>
        </w:rPr>
        <w:t>:</w:t>
      </w:r>
      <w:r>
        <w:rPr>
          <w:rFonts w:ascii="宋体" w:hAnsi="宋体" w:eastAsia="宋体" w:cs="宋体"/>
          <w:spacing w:val="-47"/>
          <w:sz w:val="17"/>
          <w:szCs w:val="17"/>
        </w:rPr>
        <w:t xml:space="preserve"> </w:t>
      </w:r>
      <w:r>
        <w:rPr>
          <w:rFonts w:ascii="微软雅黑" w:hAnsi="微软雅黑" w:eastAsia="微软雅黑" w:cs="微软雅黑"/>
          <w:spacing w:val="-14"/>
          <w:sz w:val="17"/>
          <w:szCs w:val="17"/>
        </w:rPr>
        <w:t>first</w:t>
      </w:r>
      <w:r>
        <w:rPr>
          <w:rFonts w:ascii="微软雅黑" w:hAnsi="微软雅黑" w:eastAsia="微软雅黑" w:cs="微软雅黑"/>
          <w:spacing w:val="17"/>
          <w:sz w:val="17"/>
          <w:szCs w:val="17"/>
        </w:rPr>
        <w:t xml:space="preserve"> </w:t>
      </w:r>
      <w:r>
        <w:rPr>
          <w:rFonts w:ascii="微软雅黑" w:hAnsi="微软雅黑" w:eastAsia="微软雅黑" w:cs="微软雅黑"/>
          <w:spacing w:val="-14"/>
          <w:sz w:val="17"/>
          <w:szCs w:val="17"/>
        </w:rPr>
        <w:t>－class</w:t>
      </w:r>
      <w:r>
        <w:rPr>
          <w:rFonts w:ascii="微软雅黑" w:hAnsi="微软雅黑" w:eastAsia="微软雅黑" w:cs="微软雅黑"/>
          <w:spacing w:val="30"/>
          <w:w w:val="101"/>
          <w:sz w:val="17"/>
          <w:szCs w:val="17"/>
        </w:rPr>
        <w:t xml:space="preserve"> </w:t>
      </w:r>
      <w:r>
        <w:rPr>
          <w:rFonts w:ascii="微软雅黑" w:hAnsi="微软雅黑" w:eastAsia="微软雅黑" w:cs="微软雅黑"/>
          <w:spacing w:val="-14"/>
          <w:sz w:val="17"/>
          <w:szCs w:val="17"/>
        </w:rPr>
        <w:t>undergraduate</w:t>
      </w:r>
      <w:r>
        <w:rPr>
          <w:rFonts w:ascii="微软雅黑" w:hAnsi="微软雅黑" w:eastAsia="微软雅黑" w:cs="微软雅黑"/>
          <w:spacing w:val="32"/>
          <w:w w:val="101"/>
          <w:sz w:val="17"/>
          <w:szCs w:val="17"/>
        </w:rPr>
        <w:t xml:space="preserve"> </w:t>
      </w:r>
      <w:r>
        <w:rPr>
          <w:rFonts w:ascii="微软雅黑" w:hAnsi="微软雅黑" w:eastAsia="微软雅黑" w:cs="微软雅黑"/>
          <w:spacing w:val="-14"/>
          <w:sz w:val="17"/>
          <w:szCs w:val="17"/>
        </w:rPr>
        <w:t>education</w:t>
      </w:r>
      <w:r>
        <w:rPr>
          <w:rFonts w:ascii="微软雅黑" w:hAnsi="微软雅黑" w:eastAsia="微软雅黑" w:cs="微软雅黑"/>
          <w:spacing w:val="-13"/>
          <w:sz w:val="17"/>
          <w:szCs w:val="17"/>
        </w:rPr>
        <w:t xml:space="preserve"> </w:t>
      </w:r>
      <w:r>
        <w:rPr>
          <w:rFonts w:ascii="宋体" w:hAnsi="宋体" w:eastAsia="宋体" w:cs="宋体"/>
          <w:spacing w:val="-14"/>
          <w:sz w:val="17"/>
          <w:szCs w:val="17"/>
        </w:rPr>
        <w:t>;</w:t>
      </w:r>
      <w:r>
        <w:rPr>
          <w:rFonts w:ascii="宋体" w:hAnsi="宋体" w:eastAsia="宋体" w:cs="宋体"/>
          <w:spacing w:val="31"/>
          <w:sz w:val="17"/>
          <w:szCs w:val="17"/>
        </w:rPr>
        <w:t xml:space="preserve"> </w:t>
      </w:r>
      <w:r>
        <w:rPr>
          <w:rFonts w:ascii="微软雅黑" w:hAnsi="微软雅黑" w:eastAsia="微软雅黑" w:cs="微软雅黑"/>
          <w:spacing w:val="-14"/>
          <w:sz w:val="17"/>
          <w:szCs w:val="17"/>
        </w:rPr>
        <w:t>unive</w:t>
      </w:r>
      <w:r>
        <w:rPr>
          <w:rFonts w:ascii="微软雅黑" w:hAnsi="微软雅黑" w:eastAsia="微软雅黑" w:cs="微软雅黑"/>
          <w:spacing w:val="-15"/>
          <w:sz w:val="17"/>
          <w:szCs w:val="17"/>
        </w:rPr>
        <w:t>rsity</w:t>
      </w:r>
      <w:r>
        <w:rPr>
          <w:rFonts w:ascii="微软雅黑" w:hAnsi="微软雅黑" w:eastAsia="微软雅黑" w:cs="微软雅黑"/>
          <w:spacing w:val="33"/>
          <w:sz w:val="17"/>
          <w:szCs w:val="17"/>
        </w:rPr>
        <w:t xml:space="preserve"> </w:t>
      </w:r>
      <w:r>
        <w:rPr>
          <w:rFonts w:ascii="微软雅黑" w:hAnsi="微软雅黑" w:eastAsia="微软雅黑" w:cs="微软雅黑"/>
          <w:spacing w:val="-15"/>
          <w:sz w:val="17"/>
          <w:szCs w:val="17"/>
        </w:rPr>
        <w:t>quality</w:t>
      </w:r>
      <w:r>
        <w:rPr>
          <w:rFonts w:ascii="微软雅黑" w:hAnsi="微软雅黑" w:eastAsia="微软雅黑" w:cs="微软雅黑"/>
          <w:spacing w:val="32"/>
          <w:w w:val="101"/>
          <w:sz w:val="17"/>
          <w:szCs w:val="17"/>
        </w:rPr>
        <w:t xml:space="preserve"> </w:t>
      </w:r>
      <w:r>
        <w:rPr>
          <w:rFonts w:ascii="微软雅黑" w:hAnsi="微软雅黑" w:eastAsia="微软雅黑" w:cs="微软雅黑"/>
          <w:spacing w:val="-15"/>
          <w:sz w:val="17"/>
          <w:szCs w:val="17"/>
        </w:rPr>
        <w:t>culture</w:t>
      </w:r>
      <w:r>
        <w:rPr>
          <w:rFonts w:ascii="微软雅黑" w:hAnsi="微软雅黑" w:eastAsia="微软雅黑" w:cs="微软雅黑"/>
          <w:spacing w:val="-12"/>
          <w:sz w:val="17"/>
          <w:szCs w:val="17"/>
        </w:rPr>
        <w:t xml:space="preserve"> </w:t>
      </w:r>
      <w:r>
        <w:rPr>
          <w:rFonts w:ascii="宋体" w:hAnsi="宋体" w:eastAsia="宋体" w:cs="宋体"/>
          <w:spacing w:val="-15"/>
          <w:sz w:val="17"/>
          <w:szCs w:val="17"/>
        </w:rPr>
        <w:t>;</w:t>
      </w:r>
      <w:r>
        <w:rPr>
          <w:rFonts w:ascii="宋体" w:hAnsi="宋体" w:eastAsia="宋体" w:cs="宋体"/>
          <w:spacing w:val="30"/>
          <w:w w:val="101"/>
          <w:sz w:val="17"/>
          <w:szCs w:val="17"/>
        </w:rPr>
        <w:t xml:space="preserve"> </w:t>
      </w:r>
      <w:r>
        <w:rPr>
          <w:rFonts w:ascii="微软雅黑" w:hAnsi="微软雅黑" w:eastAsia="微软雅黑" w:cs="微软雅黑"/>
          <w:spacing w:val="-15"/>
          <w:sz w:val="17"/>
          <w:szCs w:val="17"/>
        </w:rPr>
        <w:t xml:space="preserve">local  colleges  and  universities </w:t>
      </w:r>
      <w:r>
        <w:rPr>
          <w:rFonts w:ascii="宋体" w:hAnsi="宋体" w:eastAsia="宋体" w:cs="宋体"/>
          <w:spacing w:val="-15"/>
          <w:sz w:val="17"/>
          <w:szCs w:val="17"/>
        </w:rPr>
        <w:t>;</w:t>
      </w:r>
      <w:r>
        <w:rPr>
          <w:rFonts w:ascii="宋体" w:hAnsi="宋体" w:eastAsia="宋体" w:cs="宋体"/>
          <w:spacing w:val="32"/>
          <w:sz w:val="17"/>
          <w:szCs w:val="17"/>
        </w:rPr>
        <w:t xml:space="preserve"> </w:t>
      </w:r>
      <w:r>
        <w:rPr>
          <w:rFonts w:ascii="微软雅黑" w:hAnsi="微软雅黑" w:eastAsia="微软雅黑" w:cs="微软雅黑"/>
          <w:spacing w:val="-15"/>
          <w:sz w:val="17"/>
          <w:szCs w:val="17"/>
        </w:rPr>
        <w:t>undergraduate</w:t>
      </w:r>
      <w:r>
        <w:rPr>
          <w:rFonts w:ascii="微软雅黑" w:hAnsi="微软雅黑" w:eastAsia="微软雅黑" w:cs="微软雅黑"/>
          <w:spacing w:val="30"/>
          <w:sz w:val="17"/>
          <w:szCs w:val="17"/>
        </w:rPr>
        <w:t xml:space="preserve"> </w:t>
      </w:r>
      <w:r>
        <w:rPr>
          <w:rFonts w:ascii="微软雅黑" w:hAnsi="微软雅黑" w:eastAsia="微软雅黑" w:cs="微软雅黑"/>
          <w:spacing w:val="-15"/>
          <w:sz w:val="17"/>
          <w:szCs w:val="17"/>
        </w:rPr>
        <w:t>for</w:t>
      </w:r>
      <w:r>
        <w:rPr>
          <w:rFonts w:ascii="微软雅黑" w:hAnsi="微软雅黑" w:eastAsia="微软雅黑" w:cs="微软雅黑"/>
          <w:sz w:val="17"/>
          <w:szCs w:val="17"/>
        </w:rPr>
        <w:t xml:space="preserve"> </w:t>
      </w:r>
      <w:r>
        <w:rPr>
          <w:rFonts w:ascii="微软雅黑" w:hAnsi="微软雅黑" w:eastAsia="微软雅黑" w:cs="微软雅黑"/>
          <w:spacing w:val="-17"/>
          <w:sz w:val="17"/>
          <w:szCs w:val="17"/>
        </w:rPr>
        <w:t>fundamental</w:t>
      </w:r>
    </w:p>
    <w:p>
      <w:pPr>
        <w:spacing w:line="193" w:lineRule="auto"/>
        <w:rPr>
          <w:rFonts w:ascii="微软雅黑" w:hAnsi="微软雅黑" w:eastAsia="微软雅黑" w:cs="微软雅黑"/>
          <w:sz w:val="17"/>
          <w:szCs w:val="17"/>
        </w:rPr>
        <w:sectPr>
          <w:type w:val="continuous"/>
          <w:pgSz w:w="11905" w:h="16836"/>
          <w:pgMar w:top="974" w:right="1062" w:bottom="547" w:left="407" w:header="652" w:footer="354" w:gutter="0"/>
          <w:cols w:equalWidth="0" w:num="1">
            <w:col w:w="10434"/>
          </w:cols>
        </w:sectPr>
      </w:pPr>
    </w:p>
    <w:p>
      <w:pPr>
        <w:spacing w:line="159" w:lineRule="exact"/>
      </w:pPr>
    </w:p>
    <w:p>
      <w:pPr>
        <w:spacing w:line="159" w:lineRule="exact"/>
        <w:sectPr>
          <w:headerReference r:id="rId77" w:type="default"/>
          <w:footerReference r:id="rId78" w:type="default"/>
          <w:pgSz w:w="11906" w:h="16838"/>
          <w:pgMar w:top="1971" w:right="1130" w:bottom="547" w:left="407" w:header="1388" w:footer="354" w:gutter="0"/>
          <w:cols w:equalWidth="0" w:num="1">
            <w:col w:w="10368"/>
          </w:cols>
        </w:sectPr>
      </w:pPr>
    </w:p>
    <w:p>
      <w:pPr>
        <w:spacing w:line="376" w:lineRule="auto"/>
        <w:rPr>
          <w:rFonts w:ascii="Arial"/>
          <w:sz w:val="21"/>
        </w:rPr>
      </w:pPr>
    </w:p>
    <w:p>
      <w:pPr>
        <w:spacing w:before="167" w:line="159" w:lineRule="auto"/>
        <w:ind w:left="2877"/>
        <w:rPr>
          <w:rFonts w:ascii="微软雅黑" w:hAnsi="微软雅黑" w:eastAsia="微软雅黑" w:cs="微软雅黑"/>
          <w:sz w:val="39"/>
          <w:szCs w:val="39"/>
        </w:rPr>
      </w:pPr>
      <w:r>
        <w:rPr>
          <w:rFonts w:ascii="微软雅黑" w:hAnsi="微软雅黑" w:eastAsia="微软雅黑" w:cs="微软雅黑"/>
          <w:spacing w:val="25"/>
          <w:sz w:val="39"/>
          <w:szCs w:val="39"/>
        </w:rPr>
        <w:t>审核评估导向下地方本科院校</w:t>
      </w:r>
    </w:p>
    <w:p>
      <w:pPr>
        <w:spacing w:line="14" w:lineRule="auto"/>
        <w:rPr>
          <w:rFonts w:ascii="Arial"/>
          <w:sz w:val="2"/>
        </w:rPr>
      </w:pPr>
      <w:r>
        <w:rPr>
          <w:rFonts w:ascii="Arial" w:hAnsi="Arial" w:eastAsia="Arial" w:cs="Arial"/>
          <w:sz w:val="2"/>
          <w:szCs w:val="2"/>
        </w:rPr>
        <w:br w:type="column"/>
      </w:r>
    </w:p>
    <w:p>
      <w:pPr>
        <w:spacing w:line="776" w:lineRule="exact"/>
      </w:pPr>
      <w:r>
        <w:rPr>
          <w:position w:val="-15"/>
        </w:rPr>
        <w:drawing>
          <wp:inline distT="0" distB="0" distL="0" distR="0">
            <wp:extent cx="496570" cy="49276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28"/>
                    <a:stretch>
                      <a:fillRect/>
                    </a:stretch>
                  </pic:blipFill>
                  <pic:spPr>
                    <a:xfrm>
                      <a:off x="0" y="0"/>
                      <a:ext cx="496633" cy="493293"/>
                    </a:xfrm>
                    <a:prstGeom prst="rect">
                      <a:avLst/>
                    </a:prstGeom>
                  </pic:spPr>
                </pic:pic>
              </a:graphicData>
            </a:graphic>
          </wp:inline>
        </w:drawing>
      </w:r>
    </w:p>
    <w:p>
      <w:pPr>
        <w:spacing w:before="92" w:line="119" w:lineRule="exact"/>
        <w:ind w:left="207"/>
        <w:rPr>
          <w:rFonts w:ascii="微软雅黑" w:hAnsi="微软雅黑" w:eastAsia="微软雅黑" w:cs="微软雅黑"/>
          <w:sz w:val="15"/>
          <w:szCs w:val="15"/>
        </w:rPr>
      </w:pPr>
      <w:r>
        <w:rPr>
          <w:rFonts w:ascii="微软雅黑" w:hAnsi="微软雅黑" w:eastAsia="微软雅黑" w:cs="微软雅黑"/>
          <w:spacing w:val="-1"/>
          <w:position w:val="-2"/>
          <w:sz w:val="15"/>
          <w:szCs w:val="15"/>
        </w:rPr>
        <w:t>OSID</w:t>
      </w:r>
    </w:p>
    <w:p>
      <w:pPr>
        <w:spacing w:line="119" w:lineRule="exact"/>
        <w:rPr>
          <w:rFonts w:ascii="微软雅黑" w:hAnsi="微软雅黑" w:eastAsia="微软雅黑" w:cs="微软雅黑"/>
          <w:sz w:val="15"/>
          <w:szCs w:val="15"/>
        </w:rPr>
        <w:sectPr>
          <w:type w:val="continuous"/>
          <w:pgSz w:w="11906" w:h="16838"/>
          <w:pgMar w:top="1971" w:right="1130" w:bottom="547" w:left="407" w:header="1388" w:footer="354" w:gutter="0"/>
          <w:cols w:equalWidth="0" w:num="2">
            <w:col w:w="9482" w:space="100"/>
            <w:col w:w="787"/>
          </w:cols>
        </w:sectPr>
      </w:pPr>
    </w:p>
    <w:p>
      <w:pPr>
        <w:spacing w:before="76" w:line="181" w:lineRule="auto"/>
        <w:ind w:left="3890"/>
        <w:rPr>
          <w:rFonts w:ascii="微软雅黑" w:hAnsi="微软雅黑" w:eastAsia="微软雅黑" w:cs="微软雅黑"/>
          <w:sz w:val="39"/>
          <w:szCs w:val="39"/>
        </w:rPr>
      </w:pPr>
      <w:r>
        <w:rPr>
          <w:rFonts w:ascii="微软雅黑" w:hAnsi="微软雅黑" w:eastAsia="微软雅黑" w:cs="微软雅黑"/>
          <w:spacing w:val="24"/>
          <w:sz w:val="39"/>
          <w:szCs w:val="39"/>
        </w:rPr>
        <w:t>质量文化建设研究</w:t>
      </w:r>
    </w:p>
    <w:p>
      <w:pPr>
        <w:spacing w:line="226" w:lineRule="exact"/>
      </w:pPr>
    </w:p>
    <w:p>
      <w:pPr>
        <w:spacing w:line="226" w:lineRule="exact"/>
        <w:sectPr>
          <w:type w:val="continuous"/>
          <w:pgSz w:w="11906" w:h="16838"/>
          <w:pgMar w:top="1971" w:right="1130" w:bottom="547" w:left="407" w:header="1388" w:footer="354" w:gutter="0"/>
          <w:cols w:equalWidth="0" w:num="1">
            <w:col w:w="10368"/>
          </w:cols>
        </w:sectPr>
      </w:pPr>
    </w:p>
    <w:p>
      <w:pPr>
        <w:spacing w:before="62" w:line="159" w:lineRule="auto"/>
        <w:ind w:left="5014"/>
        <w:rPr>
          <w:rFonts w:ascii="微软雅黑" w:hAnsi="微软雅黑" w:eastAsia="微软雅黑" w:cs="微软雅黑"/>
          <w:sz w:val="27"/>
          <w:szCs w:val="27"/>
        </w:rPr>
      </w:pPr>
      <w:r>
        <w:rPr>
          <w:rFonts w:ascii="微软雅黑" w:hAnsi="微软雅黑" w:eastAsia="微软雅黑" w:cs="微软雅黑"/>
          <w:sz w:val="27"/>
          <w:szCs w:val="27"/>
        </w:rPr>
        <w:t>余</w:t>
      </w:r>
    </w:p>
    <w:p>
      <w:pPr>
        <w:spacing w:line="14" w:lineRule="auto"/>
        <w:rPr>
          <w:rFonts w:ascii="Arial"/>
          <w:sz w:val="2"/>
        </w:rPr>
      </w:pPr>
      <w:r>
        <w:rPr>
          <w:rFonts w:ascii="Arial" w:hAnsi="Arial" w:eastAsia="Arial" w:cs="Arial"/>
          <w:sz w:val="2"/>
          <w:szCs w:val="2"/>
        </w:rPr>
        <w:br w:type="column"/>
      </w:r>
    </w:p>
    <w:p>
      <w:pPr>
        <w:spacing w:before="69" w:line="299" w:lineRule="exact"/>
        <w:rPr>
          <w:rFonts w:ascii="微软雅黑" w:hAnsi="微软雅黑" w:eastAsia="微软雅黑" w:cs="微软雅黑"/>
          <w:sz w:val="15"/>
          <w:szCs w:val="15"/>
        </w:rPr>
      </w:pPr>
      <w:r>
        <w:rPr>
          <w:rFonts w:ascii="微软雅黑" w:hAnsi="微软雅黑" w:eastAsia="微软雅黑" w:cs="微软雅黑"/>
          <w:spacing w:val="11"/>
          <w:position w:val="-1"/>
          <w:sz w:val="27"/>
          <w:szCs w:val="27"/>
        </w:rPr>
        <w:t>瑶</w:t>
      </w:r>
      <w:r>
        <w:rPr>
          <w:rFonts w:ascii="微软雅黑" w:hAnsi="微软雅黑" w:eastAsia="微软雅黑" w:cs="微软雅黑"/>
          <w:spacing w:val="-16"/>
          <w:w w:val="96"/>
          <w:position w:val="10"/>
          <w:sz w:val="15"/>
          <w:szCs w:val="15"/>
        </w:rPr>
        <w:t>1</w:t>
      </w:r>
      <w:r>
        <w:rPr>
          <w:rFonts w:ascii="微软雅黑" w:hAnsi="微软雅黑" w:eastAsia="微软雅黑" w:cs="微软雅黑"/>
          <w:spacing w:val="7"/>
          <w:position w:val="10"/>
          <w:sz w:val="15"/>
          <w:szCs w:val="15"/>
        </w:rPr>
        <w:t xml:space="preserve"> </w:t>
      </w:r>
      <w:r>
        <w:rPr>
          <w:rFonts w:ascii="微软雅黑" w:hAnsi="微软雅黑" w:eastAsia="微软雅黑" w:cs="微软雅黑"/>
          <w:spacing w:val="-16"/>
          <w:w w:val="96"/>
          <w:position w:val="10"/>
          <w:sz w:val="15"/>
          <w:szCs w:val="15"/>
        </w:rPr>
        <w:t>,</w:t>
      </w:r>
      <w:r>
        <w:rPr>
          <w:rFonts w:ascii="微软雅黑" w:hAnsi="微软雅黑" w:eastAsia="微软雅黑" w:cs="微软雅黑"/>
          <w:spacing w:val="-20"/>
          <w:position w:val="10"/>
          <w:sz w:val="15"/>
          <w:szCs w:val="15"/>
        </w:rPr>
        <w:t xml:space="preserve"> </w:t>
      </w:r>
      <w:r>
        <w:rPr>
          <w:rFonts w:ascii="微软雅黑" w:hAnsi="微软雅黑" w:eastAsia="微软雅黑" w:cs="微软雅黑"/>
          <w:spacing w:val="-16"/>
          <w:w w:val="96"/>
          <w:position w:val="10"/>
          <w:sz w:val="15"/>
          <w:szCs w:val="15"/>
        </w:rPr>
        <w:t>2</w:t>
      </w:r>
    </w:p>
    <w:p>
      <w:pPr>
        <w:spacing w:line="299" w:lineRule="exact"/>
        <w:rPr>
          <w:rFonts w:ascii="微软雅黑" w:hAnsi="微软雅黑" w:eastAsia="微软雅黑" w:cs="微软雅黑"/>
          <w:sz w:val="15"/>
          <w:szCs w:val="15"/>
        </w:rPr>
        <w:sectPr>
          <w:type w:val="continuous"/>
          <w:pgSz w:w="11906" w:h="16838"/>
          <w:pgMar w:top="1971" w:right="1130" w:bottom="547" w:left="407" w:header="1388" w:footer="354" w:gutter="0"/>
          <w:cols w:equalWidth="0" w:num="2">
            <w:col w:w="5471" w:space="100"/>
            <w:col w:w="4798"/>
          </w:cols>
        </w:sectPr>
      </w:pPr>
    </w:p>
    <w:p>
      <w:pPr>
        <w:spacing w:before="87" w:line="192" w:lineRule="auto"/>
        <w:ind w:left="2596"/>
        <w:rPr>
          <w:rFonts w:ascii="微软雅黑" w:hAnsi="微软雅黑" w:eastAsia="微软雅黑" w:cs="微软雅黑"/>
          <w:sz w:val="17"/>
          <w:szCs w:val="17"/>
        </w:rPr>
      </w:pPr>
      <w:r>
        <w:rPr>
          <w:rFonts w:ascii="微软雅黑" w:hAnsi="微软雅黑" w:eastAsia="微软雅黑" w:cs="微软雅黑"/>
          <w:spacing w:val="-1"/>
          <w:sz w:val="17"/>
          <w:szCs w:val="17"/>
        </w:rPr>
        <w:t>(1</w:t>
      </w:r>
      <w:r>
        <w:rPr>
          <w:rFonts w:ascii="微软雅黑" w:hAnsi="微软雅黑" w:eastAsia="微软雅黑" w:cs="微软雅黑"/>
          <w:spacing w:val="5"/>
          <w:sz w:val="17"/>
          <w:szCs w:val="17"/>
        </w:rPr>
        <w:t xml:space="preserve"> </w:t>
      </w:r>
      <w:r>
        <w:rPr>
          <w:rFonts w:ascii="微软雅黑" w:hAnsi="微软雅黑" w:eastAsia="微软雅黑" w:cs="微软雅黑"/>
          <w:spacing w:val="-1"/>
          <w:sz w:val="17"/>
          <w:szCs w:val="17"/>
        </w:rPr>
        <w:t>. 重庆第二师范学院，重庆</w:t>
      </w:r>
      <w:r>
        <w:rPr>
          <w:rFonts w:ascii="微软雅黑" w:hAnsi="微软雅黑" w:eastAsia="微软雅黑" w:cs="微软雅黑"/>
          <w:spacing w:val="35"/>
          <w:w w:val="101"/>
          <w:sz w:val="17"/>
          <w:szCs w:val="17"/>
        </w:rPr>
        <w:t xml:space="preserve"> </w:t>
      </w:r>
      <w:r>
        <w:rPr>
          <w:rFonts w:ascii="微软雅黑" w:hAnsi="微软雅黑" w:eastAsia="微软雅黑" w:cs="微软雅黑"/>
          <w:spacing w:val="-1"/>
          <w:sz w:val="17"/>
          <w:szCs w:val="17"/>
        </w:rPr>
        <w:t>400067;</w:t>
      </w:r>
      <w:r>
        <w:rPr>
          <w:rFonts w:ascii="微软雅黑" w:hAnsi="微软雅黑" w:eastAsia="微软雅黑" w:cs="微软雅黑"/>
          <w:spacing w:val="35"/>
          <w:w w:val="101"/>
          <w:sz w:val="17"/>
          <w:szCs w:val="17"/>
        </w:rPr>
        <w:t xml:space="preserve"> </w:t>
      </w:r>
      <w:r>
        <w:rPr>
          <w:rFonts w:ascii="微软雅黑" w:hAnsi="微软雅黑" w:eastAsia="微软雅黑" w:cs="微软雅黑"/>
          <w:spacing w:val="-1"/>
          <w:sz w:val="17"/>
          <w:szCs w:val="17"/>
        </w:rPr>
        <w:t>2</w:t>
      </w:r>
      <w:r>
        <w:rPr>
          <w:rFonts w:ascii="微软雅黑" w:hAnsi="微软雅黑" w:eastAsia="微软雅黑" w:cs="微软雅黑"/>
          <w:spacing w:val="-26"/>
          <w:sz w:val="17"/>
          <w:szCs w:val="17"/>
        </w:rPr>
        <w:t xml:space="preserve"> </w:t>
      </w:r>
      <w:r>
        <w:rPr>
          <w:rFonts w:ascii="微软雅黑" w:hAnsi="微软雅黑" w:eastAsia="微软雅黑" w:cs="微软雅黑"/>
          <w:spacing w:val="-1"/>
          <w:sz w:val="17"/>
          <w:szCs w:val="17"/>
        </w:rPr>
        <w:t>. 西南大学  教育学部，重庆  400715)</w:t>
      </w:r>
    </w:p>
    <w:p>
      <w:pPr>
        <w:spacing w:line="255" w:lineRule="auto"/>
        <w:rPr>
          <w:rFonts w:ascii="Arial"/>
          <w:sz w:val="21"/>
        </w:rPr>
      </w:pPr>
    </w:p>
    <w:p>
      <w:pPr>
        <w:spacing w:before="74" w:line="228" w:lineRule="auto"/>
        <w:ind w:left="1187" w:right="458" w:firstLine="358"/>
        <w:jc w:val="both"/>
        <w:rPr>
          <w:rFonts w:ascii="微软雅黑" w:hAnsi="微软雅黑" w:eastAsia="微软雅黑" w:cs="微软雅黑"/>
          <w:sz w:val="17"/>
          <w:szCs w:val="17"/>
        </w:rPr>
      </w:pPr>
      <w:r>
        <w:rPr>
          <w:rFonts w:ascii="黑体" w:hAnsi="黑体" w:eastAsia="黑体" w:cs="黑体"/>
          <w:spacing w:val="3"/>
          <w:sz w:val="17"/>
          <w:szCs w:val="17"/>
        </w:rPr>
        <w:t>摘要</w:t>
      </w:r>
      <w:r>
        <w:rPr>
          <w:rFonts w:ascii="微软雅黑" w:hAnsi="微软雅黑" w:eastAsia="微软雅黑" w:cs="微软雅黑"/>
          <w:spacing w:val="3"/>
          <w:sz w:val="17"/>
          <w:szCs w:val="17"/>
        </w:rPr>
        <w:t>：新</w:t>
      </w:r>
      <w:r>
        <w:rPr>
          <w:rFonts w:ascii="微软雅黑" w:hAnsi="微软雅黑" w:eastAsia="微软雅黑" w:cs="微软雅黑"/>
          <w:spacing w:val="-22"/>
          <w:sz w:val="17"/>
          <w:szCs w:val="17"/>
        </w:rPr>
        <w:t xml:space="preserve"> </w:t>
      </w:r>
      <w:r>
        <w:rPr>
          <w:rFonts w:ascii="微软雅黑" w:hAnsi="微软雅黑" w:eastAsia="微软雅黑" w:cs="微软雅黑"/>
          <w:spacing w:val="3"/>
          <w:sz w:val="17"/>
          <w:szCs w:val="17"/>
        </w:rPr>
        <w:t>一轮本科教育教学审核评估是贯彻《</w:t>
      </w:r>
      <w:r>
        <w:rPr>
          <w:rFonts w:ascii="微软雅黑" w:hAnsi="微软雅黑" w:eastAsia="微软雅黑" w:cs="微软雅黑"/>
          <w:spacing w:val="-21"/>
          <w:sz w:val="17"/>
          <w:szCs w:val="17"/>
        </w:rPr>
        <w:t xml:space="preserve"> </w:t>
      </w:r>
      <w:r>
        <w:rPr>
          <w:rFonts w:ascii="微软雅黑" w:hAnsi="微软雅黑" w:eastAsia="微软雅黑" w:cs="微软雅黑"/>
          <w:spacing w:val="3"/>
          <w:sz w:val="17"/>
          <w:szCs w:val="17"/>
        </w:rPr>
        <w:t>深化新时代教育评价改革总体方案》，推进高水平本科教育建设</w:t>
      </w:r>
      <w:r>
        <w:rPr>
          <w:rFonts w:ascii="微软雅黑" w:hAnsi="微软雅黑" w:eastAsia="微软雅黑" w:cs="微软雅黑"/>
          <w:sz w:val="17"/>
          <w:szCs w:val="17"/>
        </w:rPr>
        <w:t xml:space="preserve"> </w:t>
      </w:r>
      <w:r>
        <w:rPr>
          <w:rFonts w:ascii="微软雅黑" w:hAnsi="微软雅黑" w:eastAsia="微软雅黑" w:cs="微软雅黑"/>
          <w:spacing w:val="11"/>
          <w:sz w:val="17"/>
          <w:szCs w:val="17"/>
        </w:rPr>
        <w:t>的硬招、实招</w:t>
      </w:r>
      <w:r>
        <w:rPr>
          <w:rFonts w:ascii="微软雅黑" w:hAnsi="微软雅黑" w:eastAsia="微软雅黑" w:cs="微软雅黑"/>
          <w:spacing w:val="-26"/>
          <w:sz w:val="17"/>
          <w:szCs w:val="17"/>
        </w:rPr>
        <w:t xml:space="preserve"> </w:t>
      </w:r>
      <w:r>
        <w:rPr>
          <w:rFonts w:ascii="微软雅黑" w:hAnsi="微软雅黑" w:eastAsia="微软雅黑" w:cs="微软雅黑"/>
          <w:spacing w:val="11"/>
          <w:sz w:val="17"/>
          <w:szCs w:val="17"/>
        </w:rPr>
        <w:t>。审核评估方案在引导高校提升内部质量上提出了新的要</w:t>
      </w:r>
      <w:r>
        <w:rPr>
          <w:rFonts w:ascii="微软雅黑" w:hAnsi="微软雅黑" w:eastAsia="微软雅黑" w:cs="微软雅黑"/>
          <w:spacing w:val="10"/>
          <w:sz w:val="17"/>
          <w:szCs w:val="17"/>
        </w:rPr>
        <w:t>求，其中将质量文化单列为二</w:t>
      </w:r>
      <w:r>
        <w:rPr>
          <w:rFonts w:ascii="微软雅黑" w:hAnsi="微软雅黑" w:eastAsia="微软雅黑" w:cs="微软雅黑"/>
          <w:spacing w:val="-25"/>
          <w:sz w:val="17"/>
          <w:szCs w:val="17"/>
        </w:rPr>
        <w:t xml:space="preserve"> </w:t>
      </w:r>
      <w:r>
        <w:rPr>
          <w:rFonts w:ascii="微软雅黑" w:hAnsi="微软雅黑" w:eastAsia="微软雅黑" w:cs="微软雅黑"/>
          <w:spacing w:val="10"/>
          <w:sz w:val="17"/>
          <w:szCs w:val="17"/>
        </w:rPr>
        <w:t>级审核指</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标，为高校重构内部质量保障体系明确了方向</w:t>
      </w:r>
      <w:r>
        <w:rPr>
          <w:rFonts w:ascii="微软雅黑" w:hAnsi="微软雅黑" w:eastAsia="微软雅黑" w:cs="微软雅黑"/>
          <w:spacing w:val="-26"/>
          <w:sz w:val="17"/>
          <w:szCs w:val="17"/>
        </w:rPr>
        <w:t xml:space="preserve"> </w:t>
      </w:r>
      <w:r>
        <w:rPr>
          <w:rFonts w:ascii="微软雅黑" w:hAnsi="微软雅黑" w:eastAsia="微软雅黑" w:cs="微软雅黑"/>
          <w:spacing w:val="8"/>
          <w:sz w:val="17"/>
          <w:szCs w:val="17"/>
        </w:rPr>
        <w:t>。针对</w:t>
      </w:r>
      <w:r>
        <w:rPr>
          <w:rFonts w:ascii="微软雅黑" w:hAnsi="微软雅黑" w:eastAsia="微软雅黑" w:cs="微软雅黑"/>
          <w:spacing w:val="7"/>
          <w:sz w:val="17"/>
          <w:szCs w:val="17"/>
        </w:rPr>
        <w:t>当前地方本科院校质量文化缺失导致的质量问题，基于质量</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文化建设的时代意蕴和价值功能，围绕审核评估核心理念提出地方本科院校质量文化培育的实施</w:t>
      </w:r>
      <w:r>
        <w:rPr>
          <w:rFonts w:ascii="微软雅黑" w:hAnsi="微软雅黑" w:eastAsia="微软雅黑" w:cs="微软雅黑"/>
          <w:spacing w:val="7"/>
          <w:sz w:val="17"/>
          <w:szCs w:val="17"/>
        </w:rPr>
        <w:t>路径。</w:t>
      </w:r>
    </w:p>
    <w:p>
      <w:pPr>
        <w:spacing w:before="32" w:line="169" w:lineRule="auto"/>
        <w:ind w:left="1547"/>
        <w:rPr>
          <w:rFonts w:ascii="微软雅黑" w:hAnsi="微软雅黑" w:eastAsia="微软雅黑" w:cs="微软雅黑"/>
          <w:sz w:val="17"/>
          <w:szCs w:val="17"/>
        </w:rPr>
      </w:pPr>
      <w:r>
        <w:rPr>
          <w:rFonts w:ascii="黑体" w:hAnsi="黑体" w:eastAsia="黑体" w:cs="黑体"/>
          <w:spacing w:val="2"/>
          <w:sz w:val="17"/>
          <w:szCs w:val="17"/>
        </w:rPr>
        <w:t>关键词</w:t>
      </w:r>
      <w:r>
        <w:rPr>
          <w:rFonts w:ascii="微软雅黑" w:hAnsi="微软雅黑" w:eastAsia="微软雅黑" w:cs="微软雅黑"/>
          <w:spacing w:val="2"/>
          <w:sz w:val="17"/>
          <w:szCs w:val="17"/>
        </w:rPr>
        <w:t>：质量文化；审核评估；持续改进；地方本科院校</w:t>
      </w:r>
    </w:p>
    <w:p>
      <w:pPr>
        <w:spacing w:line="418" w:lineRule="exact"/>
        <w:ind w:left="1562"/>
        <w:rPr>
          <w:rFonts w:ascii="微软雅黑" w:hAnsi="微软雅黑" w:eastAsia="微软雅黑" w:cs="微软雅黑"/>
          <w:sz w:val="17"/>
          <w:szCs w:val="17"/>
        </w:rPr>
      </w:pPr>
      <w:r>
        <w:rPr>
          <w:rFonts w:ascii="黑体" w:hAnsi="黑体" w:eastAsia="黑体" w:cs="黑体"/>
          <w:spacing w:val="-6"/>
          <w:position w:val="7"/>
          <w:sz w:val="17"/>
          <w:szCs w:val="17"/>
        </w:rPr>
        <w:t>中图分类号</w:t>
      </w:r>
      <w:r>
        <w:rPr>
          <w:rFonts w:ascii="微软雅黑" w:hAnsi="微软雅黑" w:eastAsia="微软雅黑" w:cs="微软雅黑"/>
          <w:spacing w:val="-6"/>
          <w:position w:val="7"/>
          <w:sz w:val="17"/>
          <w:szCs w:val="17"/>
        </w:rPr>
        <w:t xml:space="preserve">：G647            </w:t>
      </w:r>
      <w:r>
        <w:rPr>
          <w:rFonts w:ascii="黑体" w:hAnsi="黑体" w:eastAsia="黑体" w:cs="黑体"/>
          <w:spacing w:val="-6"/>
          <w:position w:val="7"/>
          <w:sz w:val="17"/>
          <w:szCs w:val="17"/>
        </w:rPr>
        <w:t>文献标识码</w:t>
      </w:r>
      <w:r>
        <w:rPr>
          <w:rFonts w:ascii="微软雅黑" w:hAnsi="微软雅黑" w:eastAsia="微软雅黑" w:cs="微软雅黑"/>
          <w:spacing w:val="-6"/>
          <w:position w:val="7"/>
          <w:sz w:val="17"/>
          <w:szCs w:val="17"/>
        </w:rPr>
        <w:t xml:space="preserve">：A           </w:t>
      </w:r>
      <w:r>
        <w:rPr>
          <w:rFonts w:ascii="微软雅黑" w:hAnsi="微软雅黑" w:eastAsia="微软雅黑" w:cs="微软雅黑"/>
          <w:spacing w:val="-7"/>
          <w:position w:val="7"/>
          <w:sz w:val="17"/>
          <w:szCs w:val="17"/>
        </w:rPr>
        <w:t xml:space="preserve"> </w:t>
      </w:r>
      <w:r>
        <w:rPr>
          <w:rFonts w:ascii="黑体" w:hAnsi="黑体" w:eastAsia="黑体" w:cs="黑体"/>
          <w:spacing w:val="-7"/>
          <w:position w:val="7"/>
          <w:sz w:val="17"/>
          <w:szCs w:val="17"/>
        </w:rPr>
        <w:t>文章编号</w:t>
      </w:r>
      <w:r>
        <w:rPr>
          <w:rFonts w:ascii="微软雅黑" w:hAnsi="微软雅黑" w:eastAsia="微软雅黑" w:cs="微软雅黑"/>
          <w:spacing w:val="-7"/>
          <w:position w:val="7"/>
          <w:sz w:val="17"/>
          <w:szCs w:val="17"/>
        </w:rPr>
        <w:t>：1008</w:t>
      </w:r>
      <w:r>
        <w:rPr>
          <w:rFonts w:ascii="微软雅黑" w:hAnsi="微软雅黑" w:eastAsia="微软雅黑" w:cs="微软雅黑"/>
          <w:spacing w:val="20"/>
          <w:position w:val="7"/>
          <w:sz w:val="17"/>
          <w:szCs w:val="17"/>
        </w:rPr>
        <w:t xml:space="preserve"> </w:t>
      </w:r>
      <w:r>
        <w:rPr>
          <w:rFonts w:ascii="微软雅黑" w:hAnsi="微软雅黑" w:eastAsia="微软雅黑" w:cs="微软雅黑"/>
          <w:spacing w:val="-7"/>
          <w:position w:val="7"/>
          <w:sz w:val="17"/>
          <w:szCs w:val="17"/>
        </w:rPr>
        <w:t>- 6390(2022)02</w:t>
      </w:r>
      <w:r>
        <w:rPr>
          <w:rFonts w:ascii="微软雅黑" w:hAnsi="微软雅黑" w:eastAsia="微软雅黑" w:cs="微软雅黑"/>
          <w:spacing w:val="15"/>
          <w:position w:val="7"/>
          <w:sz w:val="17"/>
          <w:szCs w:val="17"/>
        </w:rPr>
        <w:t xml:space="preserve"> </w:t>
      </w:r>
      <w:r>
        <w:rPr>
          <w:rFonts w:ascii="微软雅黑" w:hAnsi="微软雅黑" w:eastAsia="微软雅黑" w:cs="微软雅黑"/>
          <w:spacing w:val="-7"/>
          <w:position w:val="7"/>
          <w:sz w:val="17"/>
          <w:szCs w:val="17"/>
        </w:rPr>
        <w:t>- 0091</w:t>
      </w:r>
      <w:r>
        <w:rPr>
          <w:rFonts w:ascii="微软雅黑" w:hAnsi="微软雅黑" w:eastAsia="微软雅黑" w:cs="微软雅黑"/>
          <w:spacing w:val="29"/>
          <w:w w:val="101"/>
          <w:position w:val="7"/>
          <w:sz w:val="17"/>
          <w:szCs w:val="17"/>
        </w:rPr>
        <w:t xml:space="preserve"> </w:t>
      </w:r>
      <w:r>
        <w:rPr>
          <w:rFonts w:ascii="微软雅黑" w:hAnsi="微软雅黑" w:eastAsia="微软雅黑" w:cs="微软雅黑"/>
          <w:spacing w:val="-7"/>
          <w:position w:val="7"/>
          <w:sz w:val="17"/>
          <w:szCs w:val="17"/>
        </w:rPr>
        <w:t>- 04</w:t>
      </w:r>
    </w:p>
    <w:p>
      <w:pPr>
        <w:spacing w:line="226" w:lineRule="exact"/>
      </w:pPr>
    </w:p>
    <w:p>
      <w:pPr>
        <w:spacing w:line="226" w:lineRule="exact"/>
        <w:sectPr>
          <w:type w:val="continuous"/>
          <w:pgSz w:w="11906" w:h="16838"/>
          <w:pgMar w:top="1971" w:right="1130" w:bottom="547" w:left="407" w:header="1388" w:footer="354" w:gutter="0"/>
          <w:cols w:equalWidth="0" w:num="1">
            <w:col w:w="10368"/>
          </w:cols>
        </w:sectPr>
      </w:pPr>
    </w:p>
    <w:p>
      <w:pPr>
        <w:spacing w:before="32" w:line="218" w:lineRule="auto"/>
        <w:ind w:left="722" w:right="221" w:firstLine="440"/>
        <w:jc w:val="both"/>
        <w:rPr>
          <w:rFonts w:ascii="微软雅黑" w:hAnsi="微软雅黑" w:eastAsia="微软雅黑" w:cs="微软雅黑"/>
          <w:sz w:val="20"/>
          <w:szCs w:val="20"/>
        </w:rPr>
      </w:pPr>
      <w:r>
        <w:rPr>
          <w:rFonts w:ascii="微软雅黑" w:hAnsi="微软雅黑" w:eastAsia="微软雅黑" w:cs="微软雅黑"/>
          <w:spacing w:val="20"/>
          <w:sz w:val="20"/>
          <w:szCs w:val="20"/>
        </w:rPr>
        <w:t>随着国家建设高水平本科教育战略的全面实</w:t>
      </w:r>
      <w:r>
        <w:rPr>
          <w:rFonts w:ascii="微软雅黑" w:hAnsi="微软雅黑" w:eastAsia="微软雅黑" w:cs="微软雅黑"/>
          <w:sz w:val="20"/>
          <w:szCs w:val="20"/>
        </w:rPr>
        <w:t xml:space="preserve">  施，质量保障体系与审核评估制度也在不断完善、不  </w:t>
      </w:r>
      <w:r>
        <w:rPr>
          <w:rFonts w:ascii="微软雅黑" w:hAnsi="微软雅黑" w:eastAsia="微软雅黑" w:cs="微软雅黑"/>
          <w:spacing w:val="8"/>
          <w:sz w:val="20"/>
          <w:szCs w:val="20"/>
        </w:rPr>
        <w:t>断更新</w:t>
      </w:r>
      <w:r>
        <w:rPr>
          <w:rFonts w:ascii="微软雅黑" w:hAnsi="微软雅黑" w:eastAsia="微软雅黑" w:cs="微软雅黑"/>
          <w:spacing w:val="-14"/>
          <w:sz w:val="20"/>
          <w:szCs w:val="20"/>
        </w:rPr>
        <w:t xml:space="preserve"> </w:t>
      </w:r>
      <w:r>
        <w:rPr>
          <w:rFonts w:ascii="微软雅黑" w:hAnsi="微软雅黑" w:eastAsia="微软雅黑" w:cs="微软雅黑"/>
          <w:spacing w:val="8"/>
          <w:sz w:val="20"/>
          <w:szCs w:val="20"/>
        </w:rPr>
        <w:t>。在全面总结上轮评估短板、及时关注社会</w:t>
      </w:r>
      <w:r>
        <w:rPr>
          <w:rFonts w:ascii="微软雅黑" w:hAnsi="微软雅黑" w:eastAsia="微软雅黑" w:cs="微软雅黑"/>
          <w:sz w:val="20"/>
          <w:szCs w:val="20"/>
        </w:rPr>
        <w:t xml:space="preserve">  </w:t>
      </w:r>
      <w:r>
        <w:rPr>
          <w:rFonts w:ascii="微软雅黑" w:hAnsi="微软雅黑" w:eastAsia="微软雅黑" w:cs="微软雅黑"/>
          <w:spacing w:val="23"/>
          <w:sz w:val="20"/>
          <w:szCs w:val="20"/>
        </w:rPr>
        <w:t>关切和科学把握新时代本科教育要求的基础上，</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2"/>
          <w:sz w:val="20"/>
          <w:szCs w:val="20"/>
        </w:rPr>
        <w:t>2021</w:t>
      </w:r>
      <w:r>
        <w:rPr>
          <w:rFonts w:ascii="微软雅黑" w:hAnsi="微软雅黑" w:eastAsia="微软雅黑" w:cs="微软雅黑"/>
          <w:spacing w:val="33"/>
          <w:w w:val="101"/>
          <w:sz w:val="20"/>
          <w:szCs w:val="20"/>
        </w:rPr>
        <w:t xml:space="preserve"> </w:t>
      </w:r>
      <w:r>
        <w:rPr>
          <w:rFonts w:ascii="微软雅黑" w:hAnsi="微软雅黑" w:eastAsia="微软雅黑" w:cs="微软雅黑"/>
          <w:spacing w:val="-2"/>
          <w:sz w:val="20"/>
          <w:szCs w:val="20"/>
        </w:rPr>
        <w:t>年 1</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月，教育部出台了《</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 xml:space="preserve">普通高等学校本科教  </w:t>
      </w:r>
      <w:r>
        <w:rPr>
          <w:rFonts w:ascii="微软雅黑" w:hAnsi="微软雅黑" w:eastAsia="微软雅黑" w:cs="微软雅黑"/>
          <w:spacing w:val="-5"/>
          <w:sz w:val="20"/>
          <w:szCs w:val="20"/>
        </w:rPr>
        <w:t>育教学审核评估实施方案(2021</w:t>
      </w:r>
      <w:r>
        <w:rPr>
          <w:rFonts w:ascii="微软雅黑" w:hAnsi="微软雅黑" w:eastAsia="微软雅黑" w:cs="微软雅黑"/>
          <w:spacing w:val="-25"/>
          <w:sz w:val="20"/>
          <w:szCs w:val="20"/>
        </w:rPr>
        <w:t xml:space="preserve"> </w:t>
      </w:r>
      <w:r>
        <w:rPr>
          <w:rFonts w:ascii="微软雅黑" w:hAnsi="微软雅黑" w:eastAsia="微软雅黑" w:cs="微软雅黑"/>
          <w:spacing w:val="-5"/>
          <w:sz w:val="20"/>
          <w:szCs w:val="20"/>
        </w:rPr>
        <w:t>—2025</w:t>
      </w:r>
      <w:r>
        <w:rPr>
          <w:rFonts w:ascii="微软雅黑" w:hAnsi="微软雅黑" w:eastAsia="微软雅黑" w:cs="微软雅黑"/>
          <w:spacing w:val="36"/>
          <w:sz w:val="20"/>
          <w:szCs w:val="20"/>
        </w:rPr>
        <w:t xml:space="preserve"> </w:t>
      </w:r>
      <w:r>
        <w:rPr>
          <w:rFonts w:ascii="微软雅黑" w:hAnsi="微软雅黑" w:eastAsia="微软雅黑" w:cs="微软雅黑"/>
          <w:spacing w:val="-5"/>
          <w:sz w:val="20"/>
          <w:szCs w:val="20"/>
        </w:rPr>
        <w:t>年）》，正式</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启动了新一轮审核评估试点工作</w:t>
      </w:r>
      <w:r>
        <w:rPr>
          <w:rFonts w:ascii="微软雅黑" w:hAnsi="微软雅黑" w:eastAsia="微软雅黑" w:cs="微软雅黑"/>
          <w:spacing w:val="-14"/>
          <w:sz w:val="20"/>
          <w:szCs w:val="20"/>
        </w:rPr>
        <w:t xml:space="preserve"> </w:t>
      </w:r>
      <w:r>
        <w:rPr>
          <w:rFonts w:ascii="微软雅黑" w:hAnsi="微软雅黑" w:eastAsia="微软雅黑" w:cs="微软雅黑"/>
          <w:spacing w:val="8"/>
          <w:sz w:val="20"/>
          <w:szCs w:val="20"/>
        </w:rPr>
        <w:t>。在新一轮本科教</w:t>
      </w:r>
      <w:r>
        <w:rPr>
          <w:rFonts w:ascii="微软雅黑" w:hAnsi="微软雅黑" w:eastAsia="微软雅黑" w:cs="微软雅黑"/>
          <w:sz w:val="20"/>
          <w:szCs w:val="20"/>
        </w:rPr>
        <w:t xml:space="preserve">  育教学审核评估工作中，高质量成为总基调，分类评  估成为新路径，以评促强成为主旋律，质量文化成为  内驱力，建立健全中国特色、世界水平的本科教育教  </w:t>
      </w:r>
      <w:r>
        <w:rPr>
          <w:rFonts w:ascii="微软雅黑" w:hAnsi="微软雅黑" w:eastAsia="微软雅黑" w:cs="微软雅黑"/>
          <w:spacing w:val="11"/>
          <w:sz w:val="20"/>
          <w:szCs w:val="20"/>
        </w:rPr>
        <w:t>学质量保障体系成为总目标</w:t>
      </w:r>
      <w:r>
        <w:rPr>
          <w:rFonts w:ascii="微软雅黑" w:hAnsi="微软雅黑" w:eastAsia="微软雅黑" w:cs="微软雅黑"/>
          <w:spacing w:val="11"/>
          <w:position w:val="8"/>
          <w:sz w:val="11"/>
          <w:szCs w:val="11"/>
        </w:rPr>
        <w:t xml:space="preserve">[1]  </w:t>
      </w:r>
      <w:r>
        <w:rPr>
          <w:rFonts w:ascii="微软雅黑" w:hAnsi="微软雅黑" w:eastAsia="微软雅黑" w:cs="微软雅黑"/>
          <w:spacing w:val="11"/>
          <w:sz w:val="20"/>
          <w:szCs w:val="20"/>
        </w:rPr>
        <w:t>。以制度推动实践、</w:t>
      </w:r>
      <w:r>
        <w:rPr>
          <w:rFonts w:ascii="微软雅黑" w:hAnsi="微软雅黑" w:eastAsia="微软雅黑" w:cs="微软雅黑"/>
          <w:spacing w:val="12"/>
          <w:sz w:val="20"/>
          <w:szCs w:val="20"/>
        </w:rPr>
        <w:t xml:space="preserve"> </w:t>
      </w:r>
      <w:r>
        <w:rPr>
          <w:rFonts w:ascii="微软雅黑" w:hAnsi="微软雅黑" w:eastAsia="微软雅黑" w:cs="微软雅黑"/>
          <w:sz w:val="20"/>
          <w:szCs w:val="20"/>
        </w:rPr>
        <w:t xml:space="preserve">以实践深化理念、以理念培育文化、以文化引领发展  </w:t>
      </w:r>
      <w:r>
        <w:rPr>
          <w:rFonts w:ascii="微软雅黑" w:hAnsi="微软雅黑" w:eastAsia="微软雅黑" w:cs="微软雅黑"/>
          <w:spacing w:val="10"/>
          <w:sz w:val="20"/>
          <w:szCs w:val="20"/>
        </w:rPr>
        <w:t>成为我国本科教育教学评估制度建设与实践的基本</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演进逻辑。</w:t>
      </w:r>
    </w:p>
    <w:p>
      <w:pPr>
        <w:spacing w:before="50" w:line="213" w:lineRule="auto"/>
        <w:ind w:left="729" w:right="302" w:firstLine="420"/>
        <w:jc w:val="both"/>
        <w:rPr>
          <w:rFonts w:ascii="微软雅黑" w:hAnsi="微软雅黑" w:eastAsia="微软雅黑" w:cs="微软雅黑"/>
          <w:sz w:val="20"/>
          <w:szCs w:val="20"/>
        </w:rPr>
      </w:pPr>
      <w:r>
        <w:rPr>
          <w:rFonts w:ascii="微软雅黑" w:hAnsi="微软雅黑" w:eastAsia="微软雅黑" w:cs="微软雅黑"/>
          <w:spacing w:val="4"/>
          <w:sz w:val="20"/>
          <w:szCs w:val="20"/>
        </w:rPr>
        <w:t>新一轮审核评估关涉全国 600</w:t>
      </w:r>
      <w:r>
        <w:rPr>
          <w:rFonts w:ascii="微软雅黑" w:hAnsi="微软雅黑" w:eastAsia="微软雅黑" w:cs="微软雅黑"/>
          <w:spacing w:val="36"/>
          <w:sz w:val="20"/>
          <w:szCs w:val="20"/>
        </w:rPr>
        <w:t xml:space="preserve"> </w:t>
      </w:r>
      <w:r>
        <w:rPr>
          <w:rFonts w:ascii="微软雅黑" w:hAnsi="微软雅黑" w:eastAsia="微软雅黑" w:cs="微软雅黑"/>
          <w:spacing w:val="4"/>
          <w:sz w:val="20"/>
          <w:szCs w:val="20"/>
        </w:rPr>
        <w:t>多所地方本科院</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校</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。作为本科教育的中坚力量和重要阵地，地方本</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科院校大多办学时间不长，即使经过上一轮审核评</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估、在质量建设上已经有了明显改进，但仍然存在本</w:t>
      </w:r>
      <w:r>
        <w:rPr>
          <w:rFonts w:ascii="微软雅黑" w:hAnsi="微软雅黑" w:eastAsia="微软雅黑" w:cs="微软雅黑"/>
          <w:spacing w:val="14"/>
          <w:sz w:val="20"/>
          <w:szCs w:val="20"/>
        </w:rPr>
        <w:t xml:space="preserve"> </w:t>
      </w:r>
      <w:r>
        <w:rPr>
          <w:rFonts w:ascii="微软雅黑" w:hAnsi="微软雅黑" w:eastAsia="微软雅黑" w:cs="微软雅黑"/>
          <w:sz w:val="20"/>
          <w:szCs w:val="20"/>
        </w:rPr>
        <w:t>科教育质量保障体系不健全、不完备、效率不高等共</w:t>
      </w:r>
      <w:r>
        <w:rPr>
          <w:rFonts w:ascii="微软雅黑" w:hAnsi="微软雅黑" w:eastAsia="微软雅黑" w:cs="微软雅黑"/>
          <w:spacing w:val="14"/>
          <w:sz w:val="20"/>
          <w:szCs w:val="20"/>
        </w:rPr>
        <w:t xml:space="preserve"> </w:t>
      </w:r>
      <w:r>
        <w:rPr>
          <w:rFonts w:ascii="微软雅黑" w:hAnsi="微软雅黑" w:eastAsia="微软雅黑" w:cs="微软雅黑"/>
          <w:spacing w:val="8"/>
          <w:sz w:val="20"/>
          <w:szCs w:val="20"/>
        </w:rPr>
        <w:t>性问题</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。培育和加强质量文化建设，以文化潜移默</w:t>
      </w:r>
      <w:r>
        <w:rPr>
          <w:rFonts w:ascii="微软雅黑" w:hAnsi="微软雅黑" w:eastAsia="微软雅黑" w:cs="微软雅黑"/>
          <w:sz w:val="20"/>
          <w:szCs w:val="20"/>
        </w:rPr>
        <w:t xml:space="preserve"> </w:t>
      </w:r>
      <w:r>
        <w:rPr>
          <w:rFonts w:ascii="微软雅黑" w:hAnsi="微软雅黑" w:eastAsia="微软雅黑" w:cs="微软雅黑"/>
          <w:spacing w:val="19"/>
          <w:sz w:val="20"/>
          <w:szCs w:val="20"/>
        </w:rPr>
        <w:t>化引导和激励地方本科院校质量管理从局部到全</w:t>
      </w:r>
      <w:r>
        <w:rPr>
          <w:rFonts w:ascii="微软雅黑" w:hAnsi="微软雅黑" w:eastAsia="微软雅黑" w:cs="微软雅黑"/>
          <w:spacing w:val="15"/>
          <w:sz w:val="20"/>
          <w:szCs w:val="20"/>
        </w:rPr>
        <w:t xml:space="preserve"> </w:t>
      </w:r>
      <w:r>
        <w:rPr>
          <w:rFonts w:ascii="微软雅黑" w:hAnsi="微软雅黑" w:eastAsia="微软雅黑" w:cs="微软雅黑"/>
          <w:sz w:val="20"/>
          <w:szCs w:val="20"/>
        </w:rPr>
        <w:t>面、从被动到主动、从问题查找到持续改进、从外部</w:t>
      </w:r>
      <w:r>
        <w:rPr>
          <w:rFonts w:ascii="微软雅黑" w:hAnsi="微软雅黑" w:eastAsia="微软雅黑" w:cs="微软雅黑"/>
          <w:spacing w:val="14"/>
          <w:sz w:val="20"/>
          <w:szCs w:val="20"/>
        </w:rPr>
        <w:t xml:space="preserve"> </w:t>
      </w:r>
      <w:r>
        <w:rPr>
          <w:rFonts w:ascii="微软雅黑" w:hAnsi="微软雅黑" w:eastAsia="微软雅黑" w:cs="微软雅黑"/>
          <w:sz w:val="20"/>
          <w:szCs w:val="20"/>
        </w:rPr>
        <w:t>问责到自我追求、从制度约束到文化自觉，既是地方</w:t>
      </w:r>
      <w:r>
        <w:rPr>
          <w:rFonts w:ascii="微软雅黑" w:hAnsi="微软雅黑" w:eastAsia="微软雅黑" w:cs="微软雅黑"/>
          <w:spacing w:val="14"/>
          <w:sz w:val="20"/>
          <w:szCs w:val="20"/>
        </w:rPr>
        <w:t xml:space="preserve"> </w:t>
      </w:r>
      <w:r>
        <w:rPr>
          <w:rFonts w:ascii="微软雅黑" w:hAnsi="微软雅黑" w:eastAsia="微软雅黑" w:cs="微软雅黑"/>
          <w:spacing w:val="9"/>
          <w:sz w:val="20"/>
          <w:szCs w:val="20"/>
          <w:u w:val="single" w:color="231F20"/>
        </w:rPr>
        <w:t>本科院校质量持续改进的内驱</w:t>
      </w:r>
      <w:r>
        <w:rPr>
          <w:rFonts w:ascii="微软雅黑" w:hAnsi="微软雅黑" w:eastAsia="微软雅黑" w:cs="微软雅黑"/>
          <w:spacing w:val="9"/>
          <w:sz w:val="20"/>
          <w:szCs w:val="20"/>
        </w:rPr>
        <w:t>动力，也是人才培养</w:t>
      </w:r>
    </w:p>
    <w:p>
      <w:pPr>
        <w:spacing w:line="14" w:lineRule="auto"/>
        <w:rPr>
          <w:rFonts w:ascii="Arial"/>
          <w:sz w:val="2"/>
        </w:rPr>
      </w:pPr>
      <w:r>
        <w:rPr>
          <w:rFonts w:ascii="Arial" w:hAnsi="Arial" w:eastAsia="Arial" w:cs="Arial"/>
          <w:sz w:val="2"/>
          <w:szCs w:val="2"/>
        </w:rPr>
        <w:br w:type="column"/>
      </w:r>
    </w:p>
    <w:p>
      <w:pPr>
        <w:spacing w:before="41" w:line="186" w:lineRule="auto"/>
        <w:ind w:left="3"/>
        <w:rPr>
          <w:rFonts w:ascii="微软雅黑" w:hAnsi="微软雅黑" w:eastAsia="微软雅黑" w:cs="微软雅黑"/>
          <w:sz w:val="20"/>
          <w:szCs w:val="20"/>
        </w:rPr>
      </w:pPr>
      <w:r>
        <w:rPr>
          <w:rFonts w:ascii="微软雅黑" w:hAnsi="微软雅黑" w:eastAsia="微软雅黑" w:cs="微软雅黑"/>
          <w:spacing w:val="7"/>
          <w:sz w:val="20"/>
          <w:szCs w:val="20"/>
        </w:rPr>
        <w:t>质量提升的根本路径。</w:t>
      </w:r>
    </w:p>
    <w:p>
      <w:pPr>
        <w:spacing w:before="149" w:line="217" w:lineRule="auto"/>
        <w:ind w:left="481"/>
        <w:rPr>
          <w:rFonts w:ascii="微软雅黑" w:hAnsi="微软雅黑" w:eastAsia="微软雅黑" w:cs="微软雅黑"/>
          <w:sz w:val="23"/>
          <w:szCs w:val="23"/>
        </w:rPr>
      </w:pPr>
      <w:r>
        <w:rPr>
          <w:rFonts w:ascii="微软雅黑" w:hAnsi="微软雅黑" w:eastAsia="微软雅黑" w:cs="微软雅黑"/>
          <w:spacing w:val="-10"/>
          <w:sz w:val="23"/>
          <w:szCs w:val="23"/>
        </w:rPr>
        <w:t>一、新一轮审核评估的质量文化建设导向</w:t>
      </w:r>
    </w:p>
    <w:p>
      <w:pPr>
        <w:spacing w:before="125" w:line="184" w:lineRule="auto"/>
        <w:ind w:left="349"/>
        <w:rPr>
          <w:rFonts w:ascii="黑体" w:hAnsi="黑体" w:eastAsia="黑体" w:cs="黑体"/>
          <w:sz w:val="20"/>
          <w:szCs w:val="20"/>
        </w:rPr>
      </w:pPr>
      <w:r>
        <w:rPr>
          <w:rFonts w:ascii="微软雅黑" w:hAnsi="微软雅黑" w:eastAsia="微软雅黑" w:cs="微软雅黑"/>
          <w:spacing w:val="-2"/>
          <w:sz w:val="20"/>
          <w:szCs w:val="20"/>
        </w:rPr>
        <w:t>（</w:t>
      </w:r>
      <w:r>
        <w:rPr>
          <w:rFonts w:ascii="微软雅黑" w:hAnsi="微软雅黑" w:eastAsia="微软雅黑" w:cs="微软雅黑"/>
          <w:spacing w:val="-5"/>
          <w:sz w:val="20"/>
          <w:szCs w:val="20"/>
        </w:rPr>
        <w:t xml:space="preserve"> </w:t>
      </w:r>
      <w:r>
        <w:rPr>
          <w:rFonts w:ascii="黑体" w:hAnsi="黑体" w:eastAsia="黑体" w:cs="黑体"/>
          <w:spacing w:val="-2"/>
          <w:sz w:val="20"/>
          <w:szCs w:val="20"/>
        </w:rPr>
        <w:t>一</w:t>
      </w:r>
      <w:r>
        <w:rPr>
          <w:rFonts w:ascii="微软雅黑" w:hAnsi="微软雅黑" w:eastAsia="微软雅黑" w:cs="微软雅黑"/>
          <w:spacing w:val="-2"/>
          <w:sz w:val="20"/>
          <w:szCs w:val="20"/>
        </w:rPr>
        <w:t>）</w:t>
      </w:r>
      <w:r>
        <w:rPr>
          <w:rFonts w:ascii="黑体" w:hAnsi="黑体" w:eastAsia="黑体" w:cs="黑体"/>
          <w:spacing w:val="-2"/>
          <w:sz w:val="20"/>
          <w:szCs w:val="20"/>
        </w:rPr>
        <w:t>质量文化建设是必然要求</w:t>
      </w:r>
    </w:p>
    <w:p>
      <w:pPr>
        <w:spacing w:before="41" w:line="220" w:lineRule="auto"/>
        <w:ind w:firstLine="421"/>
        <w:rPr>
          <w:rFonts w:ascii="微软雅黑" w:hAnsi="微软雅黑" w:eastAsia="微软雅黑" w:cs="微软雅黑"/>
          <w:sz w:val="20"/>
          <w:szCs w:val="20"/>
        </w:rPr>
      </w:pPr>
      <w:r>
        <w:rPr>
          <w:rFonts w:ascii="微软雅黑" w:hAnsi="微软雅黑" w:eastAsia="微软雅黑" w:cs="微软雅黑"/>
          <w:spacing w:val="9"/>
          <w:sz w:val="20"/>
          <w:szCs w:val="20"/>
        </w:rPr>
        <w:t>在我国高等教育规模不断扩大、逐渐步入以质</w:t>
      </w:r>
      <w:r>
        <w:rPr>
          <w:rFonts w:ascii="微软雅黑" w:hAnsi="微软雅黑" w:eastAsia="微软雅黑" w:cs="微软雅黑"/>
          <w:spacing w:val="11"/>
          <w:sz w:val="20"/>
          <w:szCs w:val="20"/>
        </w:rPr>
        <w:t xml:space="preserve"> </w:t>
      </w:r>
      <w:r>
        <w:rPr>
          <w:rFonts w:ascii="微软雅黑" w:hAnsi="微软雅黑" w:eastAsia="微软雅黑" w:cs="微软雅黑"/>
          <w:spacing w:val="-1"/>
          <w:sz w:val="20"/>
          <w:szCs w:val="20"/>
        </w:rPr>
        <w:t>量为主题的时代，以“</w:t>
      </w:r>
      <w:r>
        <w:rPr>
          <w:rFonts w:ascii="微软雅黑" w:hAnsi="微软雅黑" w:eastAsia="微软雅黑" w:cs="微软雅黑"/>
          <w:spacing w:val="-24"/>
          <w:sz w:val="20"/>
          <w:szCs w:val="20"/>
        </w:rPr>
        <w:t xml:space="preserve"> </w:t>
      </w:r>
      <w:r>
        <w:rPr>
          <w:rFonts w:ascii="微软雅黑" w:hAnsi="微软雅黑" w:eastAsia="微软雅黑" w:cs="微软雅黑"/>
          <w:spacing w:val="-1"/>
          <w:sz w:val="20"/>
          <w:szCs w:val="20"/>
        </w:rPr>
        <w:t>质量”为核心的审核评估成为</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提高高校人才培养质量的有效评估模式</w:t>
      </w:r>
      <w:r>
        <w:rPr>
          <w:rFonts w:ascii="微软雅黑" w:hAnsi="微软雅黑" w:eastAsia="微软雅黑" w:cs="微软雅黑"/>
          <w:spacing w:val="-23"/>
          <w:sz w:val="20"/>
          <w:szCs w:val="20"/>
        </w:rPr>
        <w:t xml:space="preserve"> </w:t>
      </w:r>
      <w:r>
        <w:rPr>
          <w:rFonts w:ascii="微软雅黑" w:hAnsi="微软雅黑" w:eastAsia="微软雅黑" w:cs="微软雅黑"/>
          <w:spacing w:val="8"/>
          <w:sz w:val="20"/>
          <w:szCs w:val="20"/>
        </w:rPr>
        <w:t>。新一轮审</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核评估实施方案首次将“</w:t>
      </w:r>
      <w:r>
        <w:rPr>
          <w:rFonts w:ascii="微软雅黑" w:hAnsi="微软雅黑" w:eastAsia="微软雅黑" w:cs="微软雅黑"/>
          <w:spacing w:val="-23"/>
          <w:sz w:val="20"/>
          <w:szCs w:val="20"/>
        </w:rPr>
        <w:t xml:space="preserve"> </w:t>
      </w:r>
      <w:r>
        <w:rPr>
          <w:rFonts w:ascii="微软雅黑" w:hAnsi="微软雅黑" w:eastAsia="微软雅黑" w:cs="微软雅黑"/>
          <w:spacing w:val="8"/>
          <w:sz w:val="20"/>
          <w:szCs w:val="20"/>
        </w:rPr>
        <w:t>质量文化”单列为二级审</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核指标，尽管对不同类别院校这一指标的审核各有</w:t>
      </w:r>
      <w:r>
        <w:rPr>
          <w:rFonts w:ascii="微软雅黑" w:hAnsi="微软雅黑" w:eastAsia="微软雅黑" w:cs="微软雅黑"/>
          <w:spacing w:val="14"/>
          <w:sz w:val="20"/>
          <w:szCs w:val="20"/>
        </w:rPr>
        <w:t xml:space="preserve"> </w:t>
      </w:r>
      <w:r>
        <w:rPr>
          <w:rFonts w:ascii="微软雅黑" w:hAnsi="微软雅黑" w:eastAsia="微软雅黑" w:cs="微软雅黑"/>
          <w:spacing w:val="9"/>
          <w:sz w:val="20"/>
          <w:szCs w:val="20"/>
        </w:rPr>
        <w:t>侧重，但仍然旗帜鲜明地表达了质量文化建设的必</w:t>
      </w:r>
      <w:r>
        <w:rPr>
          <w:rFonts w:ascii="微软雅黑" w:hAnsi="微软雅黑" w:eastAsia="微软雅黑" w:cs="微软雅黑"/>
          <w:spacing w:val="14"/>
          <w:sz w:val="20"/>
          <w:szCs w:val="20"/>
        </w:rPr>
        <w:t xml:space="preserve"> </w:t>
      </w:r>
      <w:r>
        <w:rPr>
          <w:rFonts w:ascii="微软雅黑" w:hAnsi="微软雅黑" w:eastAsia="微软雅黑" w:cs="微软雅黑"/>
          <w:spacing w:val="9"/>
          <w:sz w:val="20"/>
          <w:szCs w:val="20"/>
        </w:rPr>
        <w:t>然要求和重要价值，这标志着我国高等教育评估工</w:t>
      </w:r>
      <w:r>
        <w:rPr>
          <w:rFonts w:ascii="微软雅黑" w:hAnsi="微软雅黑" w:eastAsia="微软雅黑" w:cs="微软雅黑"/>
          <w:spacing w:val="14"/>
          <w:sz w:val="20"/>
          <w:szCs w:val="20"/>
        </w:rPr>
        <w:t xml:space="preserve"> </w:t>
      </w:r>
      <w:r>
        <w:rPr>
          <w:rFonts w:ascii="微软雅黑" w:hAnsi="微软雅黑" w:eastAsia="微软雅黑" w:cs="微软雅黑"/>
          <w:spacing w:val="9"/>
          <w:sz w:val="20"/>
          <w:szCs w:val="20"/>
        </w:rPr>
        <w:t>作迈上了新的发展阶段，即从完善制度到建构文化</w:t>
      </w:r>
      <w:r>
        <w:rPr>
          <w:rFonts w:ascii="微软雅黑" w:hAnsi="微软雅黑" w:eastAsia="微软雅黑" w:cs="微软雅黑"/>
          <w:spacing w:val="14"/>
          <w:sz w:val="20"/>
          <w:szCs w:val="20"/>
        </w:rPr>
        <w:t xml:space="preserve"> </w:t>
      </w:r>
      <w:r>
        <w:rPr>
          <w:rFonts w:ascii="微软雅黑" w:hAnsi="微软雅黑" w:eastAsia="微软雅黑" w:cs="微软雅黑"/>
          <w:spacing w:val="8"/>
          <w:sz w:val="20"/>
          <w:szCs w:val="20"/>
        </w:rPr>
        <w:t>的质量保障新阶段</w:t>
      </w:r>
      <w:r>
        <w:rPr>
          <w:rFonts w:ascii="微软雅黑" w:hAnsi="微软雅黑" w:eastAsia="微软雅黑" w:cs="微软雅黑"/>
          <w:spacing w:val="-23"/>
          <w:sz w:val="20"/>
          <w:szCs w:val="20"/>
        </w:rPr>
        <w:t xml:space="preserve"> </w:t>
      </w:r>
      <w:r>
        <w:rPr>
          <w:rFonts w:ascii="微软雅黑" w:hAnsi="微软雅黑" w:eastAsia="微软雅黑" w:cs="微软雅黑"/>
          <w:spacing w:val="8"/>
          <w:sz w:val="20"/>
          <w:szCs w:val="20"/>
        </w:rPr>
        <w:t>。高等教育质量文化是指高校教</w:t>
      </w:r>
      <w:r>
        <w:rPr>
          <w:rFonts w:ascii="微软雅黑" w:hAnsi="微软雅黑" w:eastAsia="微软雅黑" w:cs="微软雅黑"/>
          <w:sz w:val="20"/>
          <w:szCs w:val="20"/>
        </w:rPr>
        <w:t xml:space="preserve"> </w:t>
      </w:r>
      <w:r>
        <w:rPr>
          <w:rFonts w:ascii="微软雅黑" w:hAnsi="微软雅黑" w:eastAsia="微软雅黑" w:cs="微软雅黑"/>
          <w:spacing w:val="19"/>
          <w:sz w:val="20"/>
          <w:szCs w:val="20"/>
        </w:rPr>
        <w:t>育参与者在长期的质量管理过程中形成的质量观</w:t>
      </w:r>
      <w:r>
        <w:rPr>
          <w:rFonts w:ascii="微软雅黑" w:hAnsi="微软雅黑" w:eastAsia="微软雅黑" w:cs="微软雅黑"/>
          <w:spacing w:val="13"/>
          <w:sz w:val="20"/>
          <w:szCs w:val="20"/>
        </w:rPr>
        <w:t xml:space="preserve"> </w:t>
      </w:r>
      <w:r>
        <w:rPr>
          <w:rFonts w:ascii="微软雅黑" w:hAnsi="微软雅黑" w:eastAsia="微软雅黑" w:cs="微软雅黑"/>
          <w:spacing w:val="8"/>
          <w:sz w:val="20"/>
          <w:szCs w:val="20"/>
        </w:rPr>
        <w:t>念、质量价值和对质量的责任担当与共同追求</w:t>
      </w:r>
      <w:r>
        <w:rPr>
          <w:rFonts w:ascii="微软雅黑" w:hAnsi="微软雅黑" w:eastAsia="微软雅黑" w:cs="微软雅黑"/>
          <w:spacing w:val="-23"/>
          <w:sz w:val="20"/>
          <w:szCs w:val="20"/>
        </w:rPr>
        <w:t xml:space="preserve"> </w:t>
      </w:r>
      <w:r>
        <w:rPr>
          <w:rFonts w:ascii="微软雅黑" w:hAnsi="微软雅黑" w:eastAsia="微软雅黑" w:cs="微软雅黑"/>
          <w:spacing w:val="8"/>
          <w:sz w:val="20"/>
          <w:szCs w:val="20"/>
        </w:rPr>
        <w:t>。先</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进的质量文化能够推动形成质量持续改进、达成质</w:t>
      </w:r>
      <w:r>
        <w:rPr>
          <w:rFonts w:ascii="微软雅黑" w:hAnsi="微软雅黑" w:eastAsia="微软雅黑" w:cs="微软雅黑"/>
          <w:spacing w:val="14"/>
          <w:sz w:val="20"/>
          <w:szCs w:val="20"/>
        </w:rPr>
        <w:t xml:space="preserve"> </w:t>
      </w:r>
      <w:r>
        <w:rPr>
          <w:rFonts w:ascii="微软雅黑" w:hAnsi="微软雅黑" w:eastAsia="微软雅黑" w:cs="微软雅黑"/>
          <w:spacing w:val="8"/>
          <w:sz w:val="20"/>
          <w:szCs w:val="20"/>
        </w:rPr>
        <w:t>量自我控制的目标</w:t>
      </w:r>
      <w:r>
        <w:rPr>
          <w:rFonts w:ascii="微软雅黑" w:hAnsi="微软雅黑" w:eastAsia="微软雅黑" w:cs="微软雅黑"/>
          <w:spacing w:val="-17"/>
          <w:sz w:val="20"/>
          <w:szCs w:val="20"/>
        </w:rPr>
        <w:t xml:space="preserve"> </w:t>
      </w:r>
      <w:r>
        <w:rPr>
          <w:rFonts w:ascii="微软雅黑" w:hAnsi="微软雅黑" w:eastAsia="微软雅黑" w:cs="微软雅黑"/>
          <w:spacing w:val="8"/>
          <w:sz w:val="20"/>
          <w:szCs w:val="20"/>
        </w:rPr>
        <w:t>。审核评估的核心目标也在于推</w:t>
      </w:r>
      <w:r>
        <w:rPr>
          <w:rFonts w:ascii="微软雅黑" w:hAnsi="微软雅黑" w:eastAsia="微软雅黑" w:cs="微软雅黑"/>
          <w:sz w:val="20"/>
          <w:szCs w:val="20"/>
        </w:rPr>
        <w:t xml:space="preserve"> 动高校提升教育质量主体责任意识，建设持续改进的</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内部质量保障体系。高等教育质量文化是维新的，它</w:t>
      </w:r>
      <w:r>
        <w:rPr>
          <w:rFonts w:ascii="微软雅黑" w:hAnsi="微软雅黑" w:eastAsia="微软雅黑" w:cs="微软雅黑"/>
          <w:spacing w:val="18"/>
          <w:sz w:val="20"/>
          <w:szCs w:val="20"/>
        </w:rPr>
        <w:t xml:space="preserve"> </w:t>
      </w:r>
      <w:r>
        <w:rPr>
          <w:rFonts w:ascii="微软雅黑" w:hAnsi="微软雅黑" w:eastAsia="微软雅黑" w:cs="微软雅黑"/>
          <w:spacing w:val="-2"/>
          <w:sz w:val="20"/>
          <w:szCs w:val="20"/>
        </w:rPr>
        <w:t>的目标指向是更高的质量、更强大的高等教育。</w:t>
      </w:r>
    </w:p>
    <w:p>
      <w:pPr>
        <w:spacing w:before="54" w:line="203" w:lineRule="auto"/>
        <w:ind w:firstLine="423"/>
        <w:rPr>
          <w:rFonts w:ascii="微软雅黑" w:hAnsi="微软雅黑" w:eastAsia="微软雅黑" w:cs="微软雅黑"/>
          <w:sz w:val="20"/>
          <w:szCs w:val="20"/>
        </w:rPr>
      </w:pPr>
      <w:r>
        <w:rPr>
          <w:rFonts w:ascii="微软雅黑" w:hAnsi="微软雅黑" w:eastAsia="微软雅黑" w:cs="微软雅黑"/>
          <w:spacing w:val="-1"/>
          <w:sz w:val="20"/>
          <w:szCs w:val="20"/>
        </w:rPr>
        <w:t>文化具有自下而上、由内向外的导向作用，质量</w:t>
      </w:r>
      <w:r>
        <w:rPr>
          <w:rFonts w:ascii="微软雅黑" w:hAnsi="微软雅黑" w:eastAsia="微软雅黑" w:cs="微软雅黑"/>
          <w:spacing w:val="11"/>
          <w:sz w:val="20"/>
          <w:szCs w:val="20"/>
        </w:rPr>
        <w:t xml:space="preserve"> </w:t>
      </w:r>
      <w:r>
        <w:rPr>
          <w:rFonts w:ascii="微软雅黑" w:hAnsi="微软雅黑" w:eastAsia="微软雅黑" w:cs="微软雅黑"/>
          <w:spacing w:val="10"/>
          <w:sz w:val="20"/>
          <w:szCs w:val="20"/>
        </w:rPr>
        <w:t>保障主要动力源于文化自觉，保障手段主要是质量</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意识、质量信仰和价值追求。通过发挥质量</w:t>
      </w:r>
      <w:r>
        <w:rPr>
          <w:rFonts w:ascii="微软雅黑" w:hAnsi="微软雅黑" w:eastAsia="微软雅黑" w:cs="微软雅黑"/>
          <w:sz w:val="20"/>
          <w:szCs w:val="20"/>
        </w:rPr>
        <w:t xml:space="preserve">文化的自 </w:t>
      </w:r>
      <w:r>
        <w:rPr>
          <w:rFonts w:ascii="微软雅黑" w:hAnsi="微软雅黑" w:eastAsia="微软雅黑" w:cs="微软雅黑"/>
          <w:spacing w:val="10"/>
          <w:sz w:val="20"/>
          <w:szCs w:val="20"/>
        </w:rPr>
        <w:t>反性功能，高校形成自查自纠和持续改进的质量意</w:t>
      </w:r>
    </w:p>
    <w:p>
      <w:pPr>
        <w:spacing w:line="203" w:lineRule="auto"/>
        <w:rPr>
          <w:rFonts w:ascii="微软雅黑" w:hAnsi="微软雅黑" w:eastAsia="微软雅黑" w:cs="微软雅黑"/>
          <w:sz w:val="20"/>
          <w:szCs w:val="20"/>
        </w:rPr>
        <w:sectPr>
          <w:type w:val="continuous"/>
          <w:pgSz w:w="11906" w:h="16838"/>
          <w:pgMar w:top="1971" w:right="1130" w:bottom="547" w:left="407" w:header="1388" w:footer="354" w:gutter="0"/>
          <w:cols w:equalWidth="0" w:num="2">
            <w:col w:w="5648" w:space="100"/>
            <w:col w:w="4621"/>
          </w:cols>
        </w:sectPr>
      </w:pPr>
    </w:p>
    <w:p>
      <w:pPr>
        <w:spacing w:before="238" w:line="351" w:lineRule="exact"/>
        <w:ind w:left="1052"/>
        <w:rPr>
          <w:rFonts w:ascii="微软雅黑" w:hAnsi="微软雅黑" w:eastAsia="微软雅黑" w:cs="微软雅黑"/>
          <w:sz w:val="15"/>
          <w:szCs w:val="15"/>
        </w:rPr>
      </w:pPr>
      <w:r>
        <w:rPr>
          <w:rFonts w:ascii="黑体" w:hAnsi="黑体" w:eastAsia="黑体" w:cs="黑体"/>
          <w:spacing w:val="-11"/>
          <w:position w:val="5"/>
          <w:sz w:val="15"/>
          <w:szCs w:val="15"/>
        </w:rPr>
        <w:t>收稿日期</w:t>
      </w:r>
      <w:r>
        <w:rPr>
          <w:rFonts w:ascii="微软雅黑" w:hAnsi="微软雅黑" w:eastAsia="微软雅黑" w:cs="微软雅黑"/>
          <w:spacing w:val="-11"/>
          <w:position w:val="5"/>
          <w:sz w:val="15"/>
          <w:szCs w:val="15"/>
        </w:rPr>
        <w:t>：2021</w:t>
      </w:r>
      <w:r>
        <w:rPr>
          <w:rFonts w:ascii="微软雅黑" w:hAnsi="微软雅黑" w:eastAsia="微软雅黑" w:cs="微软雅黑"/>
          <w:spacing w:val="39"/>
          <w:w w:val="101"/>
          <w:position w:val="5"/>
          <w:sz w:val="15"/>
          <w:szCs w:val="15"/>
        </w:rPr>
        <w:t xml:space="preserve"> </w:t>
      </w:r>
      <w:r>
        <w:rPr>
          <w:rFonts w:ascii="微软雅黑" w:hAnsi="微软雅黑" w:eastAsia="微软雅黑" w:cs="微软雅黑"/>
          <w:spacing w:val="-11"/>
          <w:position w:val="5"/>
          <w:sz w:val="15"/>
          <w:szCs w:val="15"/>
        </w:rPr>
        <w:t>- 08</w:t>
      </w:r>
      <w:r>
        <w:rPr>
          <w:rFonts w:ascii="微软雅黑" w:hAnsi="微软雅黑" w:eastAsia="微软雅黑" w:cs="微软雅黑"/>
          <w:spacing w:val="19"/>
          <w:position w:val="5"/>
          <w:sz w:val="15"/>
          <w:szCs w:val="15"/>
        </w:rPr>
        <w:t xml:space="preserve"> </w:t>
      </w:r>
      <w:r>
        <w:rPr>
          <w:rFonts w:ascii="微软雅黑" w:hAnsi="微软雅黑" w:eastAsia="微软雅黑" w:cs="微软雅黑"/>
          <w:spacing w:val="-11"/>
          <w:position w:val="5"/>
          <w:sz w:val="15"/>
          <w:szCs w:val="15"/>
        </w:rPr>
        <w:t>- 13</w:t>
      </w:r>
    </w:p>
    <w:p>
      <w:pPr>
        <w:spacing w:line="187" w:lineRule="auto"/>
        <w:ind w:left="1051"/>
        <w:rPr>
          <w:rFonts w:ascii="微软雅黑" w:hAnsi="微软雅黑" w:eastAsia="微软雅黑" w:cs="微软雅黑"/>
          <w:sz w:val="15"/>
          <w:szCs w:val="15"/>
        </w:rPr>
      </w:pPr>
      <w:r>
        <w:rPr>
          <w:rFonts w:ascii="黑体" w:hAnsi="黑体" w:eastAsia="黑体" w:cs="黑体"/>
          <w:spacing w:val="2"/>
          <w:sz w:val="15"/>
          <w:szCs w:val="15"/>
        </w:rPr>
        <w:t>基金项目</w:t>
      </w:r>
      <w:r>
        <w:rPr>
          <w:rFonts w:ascii="微软雅黑" w:hAnsi="微软雅黑" w:eastAsia="微软雅黑" w:cs="微软雅黑"/>
          <w:spacing w:val="2"/>
          <w:sz w:val="15"/>
          <w:szCs w:val="15"/>
        </w:rPr>
        <w:t>：重庆第二</w:t>
      </w:r>
      <w:r>
        <w:rPr>
          <w:rFonts w:ascii="微软雅黑" w:hAnsi="微软雅黑" w:eastAsia="微软雅黑" w:cs="微软雅黑"/>
          <w:spacing w:val="-19"/>
          <w:sz w:val="15"/>
          <w:szCs w:val="15"/>
        </w:rPr>
        <w:t xml:space="preserve"> </w:t>
      </w:r>
      <w:r>
        <w:rPr>
          <w:rFonts w:ascii="微软雅黑" w:hAnsi="微软雅黑" w:eastAsia="微软雅黑" w:cs="微软雅黑"/>
          <w:spacing w:val="2"/>
          <w:sz w:val="15"/>
          <w:szCs w:val="15"/>
        </w:rPr>
        <w:t>师范学院高等教育教学改革研究项目“</w:t>
      </w:r>
      <w:r>
        <w:rPr>
          <w:rFonts w:ascii="微软雅黑" w:hAnsi="微软雅黑" w:eastAsia="微软雅黑" w:cs="微软雅黑"/>
          <w:spacing w:val="-15"/>
          <w:sz w:val="15"/>
          <w:szCs w:val="15"/>
        </w:rPr>
        <w:t xml:space="preserve"> </w:t>
      </w:r>
      <w:r>
        <w:rPr>
          <w:rFonts w:ascii="微软雅黑" w:hAnsi="微软雅黑" w:eastAsia="微软雅黑" w:cs="微软雅黑"/>
          <w:spacing w:val="2"/>
          <w:sz w:val="15"/>
          <w:szCs w:val="15"/>
        </w:rPr>
        <w:t>审核评估导向下的持续改进质量文化培育研究”(</w:t>
      </w:r>
      <w:r>
        <w:rPr>
          <w:rFonts w:ascii="微软雅黑" w:hAnsi="微软雅黑" w:eastAsia="微软雅黑" w:cs="微软雅黑"/>
          <w:spacing w:val="-8"/>
          <w:sz w:val="15"/>
          <w:szCs w:val="15"/>
        </w:rPr>
        <w:t xml:space="preserve"> </w:t>
      </w:r>
      <w:r>
        <w:rPr>
          <w:rFonts w:ascii="微软雅黑" w:hAnsi="微软雅黑" w:eastAsia="微软雅黑" w:cs="微软雅黑"/>
          <w:sz w:val="15"/>
          <w:szCs w:val="15"/>
        </w:rPr>
        <w:t>JG</w:t>
      </w:r>
      <w:r>
        <w:rPr>
          <w:rFonts w:ascii="微软雅黑" w:hAnsi="微软雅黑" w:eastAsia="微软雅黑" w:cs="微软雅黑"/>
          <w:spacing w:val="2"/>
          <w:sz w:val="15"/>
          <w:szCs w:val="15"/>
        </w:rPr>
        <w:t>202141)</w:t>
      </w:r>
    </w:p>
    <w:p>
      <w:pPr>
        <w:spacing w:before="46" w:line="208" w:lineRule="auto"/>
        <w:ind w:left="1052"/>
        <w:rPr>
          <w:rFonts w:ascii="微软雅黑" w:hAnsi="微软雅黑" w:eastAsia="微软雅黑" w:cs="微软雅黑"/>
          <w:sz w:val="15"/>
          <w:szCs w:val="15"/>
        </w:rPr>
      </w:pPr>
      <w:r>
        <w:rPr>
          <w:rFonts w:ascii="黑体" w:hAnsi="黑体" w:eastAsia="黑体" w:cs="黑体"/>
          <w:spacing w:val="-4"/>
          <w:sz w:val="15"/>
          <w:szCs w:val="15"/>
        </w:rPr>
        <w:t>作者简介</w:t>
      </w:r>
      <w:r>
        <w:rPr>
          <w:rFonts w:ascii="微软雅黑" w:hAnsi="微软雅黑" w:eastAsia="微软雅黑" w:cs="微软雅黑"/>
          <w:spacing w:val="-4"/>
          <w:sz w:val="15"/>
          <w:szCs w:val="15"/>
        </w:rPr>
        <w:t>：余瑶，博士研究生，副教授，研究</w:t>
      </w:r>
      <w:r>
        <w:rPr>
          <w:rFonts w:ascii="微软雅黑" w:hAnsi="微软雅黑" w:eastAsia="微软雅黑" w:cs="微软雅黑"/>
          <w:spacing w:val="-5"/>
          <w:sz w:val="15"/>
          <w:szCs w:val="15"/>
        </w:rPr>
        <w:t>方向：教育领导与管理。</w:t>
      </w:r>
    </w:p>
    <w:p>
      <w:pPr>
        <w:spacing w:before="273" w:line="145" w:lineRule="exact"/>
        <w:ind w:left="9714"/>
        <w:rPr>
          <w:rFonts w:ascii="微软雅黑" w:hAnsi="微软雅黑" w:eastAsia="微软雅黑" w:cs="微软雅黑"/>
          <w:sz w:val="20"/>
          <w:szCs w:val="20"/>
        </w:rPr>
      </w:pPr>
      <w:r>
        <w:rPr>
          <w:rFonts w:ascii="微软雅黑" w:hAnsi="微软雅黑" w:eastAsia="微软雅黑" w:cs="微软雅黑"/>
          <w:spacing w:val="25"/>
          <w:position w:val="-3"/>
          <w:sz w:val="20"/>
          <w:szCs w:val="20"/>
        </w:rPr>
        <w:t>·91</w:t>
      </w:r>
      <w:r>
        <w:rPr>
          <w:rFonts w:ascii="微软雅黑" w:hAnsi="微软雅黑" w:eastAsia="微软雅黑" w:cs="微软雅黑"/>
          <w:spacing w:val="49"/>
          <w:w w:val="101"/>
          <w:position w:val="-3"/>
          <w:sz w:val="20"/>
          <w:szCs w:val="20"/>
        </w:rPr>
        <w:t xml:space="preserve"> </w:t>
      </w:r>
      <w:r>
        <w:rPr>
          <w:rFonts w:ascii="微软雅黑" w:hAnsi="微软雅黑" w:eastAsia="微软雅黑" w:cs="微软雅黑"/>
          <w:spacing w:val="25"/>
          <w:position w:val="-3"/>
          <w:sz w:val="20"/>
          <w:szCs w:val="20"/>
        </w:rPr>
        <w:t>·</w:t>
      </w:r>
    </w:p>
    <w:p>
      <w:pPr>
        <w:spacing w:line="145" w:lineRule="exact"/>
        <w:rPr>
          <w:rFonts w:ascii="微软雅黑" w:hAnsi="微软雅黑" w:eastAsia="微软雅黑" w:cs="微软雅黑"/>
          <w:sz w:val="20"/>
          <w:szCs w:val="20"/>
        </w:rPr>
        <w:sectPr>
          <w:type w:val="continuous"/>
          <w:pgSz w:w="11906" w:h="16838"/>
          <w:pgMar w:top="1971" w:right="1130" w:bottom="547" w:left="407" w:header="1388" w:footer="354" w:gutter="0"/>
          <w:cols w:equalWidth="0" w:num="1">
            <w:col w:w="10368"/>
          </w:cols>
        </w:sectPr>
      </w:pPr>
    </w:p>
    <w:p>
      <w:pPr>
        <w:spacing w:before="74"/>
      </w:pPr>
    </w:p>
    <w:p>
      <w:pPr>
        <w:spacing w:before="74"/>
      </w:pPr>
    </w:p>
    <w:p>
      <w:pPr>
        <w:spacing w:before="73"/>
      </w:pPr>
    </w:p>
    <w:p>
      <w:pPr>
        <w:sectPr>
          <w:headerReference r:id="rId79" w:type="default"/>
          <w:footerReference r:id="rId80" w:type="default"/>
          <w:pgSz w:w="11906" w:h="16838"/>
          <w:pgMar w:top="400" w:right="1057" w:bottom="547" w:left="407" w:header="0" w:footer="354" w:gutter="0"/>
          <w:cols w:equalWidth="0" w:num="1">
            <w:col w:w="10440"/>
          </w:cols>
        </w:sectPr>
      </w:pPr>
    </w:p>
    <w:p>
      <w:pPr>
        <w:spacing w:before="42" w:line="203" w:lineRule="auto"/>
        <w:ind w:left="732" w:right="256" w:hanging="3"/>
        <w:rPr>
          <w:rFonts w:ascii="微软雅黑" w:hAnsi="微软雅黑" w:eastAsia="微软雅黑" w:cs="微软雅黑"/>
          <w:sz w:val="20"/>
          <w:szCs w:val="20"/>
        </w:rPr>
      </w:pPr>
      <w:r>
        <w:rPr>
          <w:rFonts w:ascii="微软雅黑" w:hAnsi="微软雅黑" w:eastAsia="微软雅黑" w:cs="微软雅黑"/>
          <w:spacing w:val="-12"/>
          <w:w w:val="98"/>
          <w:sz w:val="20"/>
          <w:szCs w:val="20"/>
        </w:rPr>
        <w:t>识，主动从“要我做”向“我要做”转变，推动教育教学</w:t>
      </w:r>
      <w:r>
        <w:rPr>
          <w:rFonts w:ascii="微软雅黑" w:hAnsi="微软雅黑" w:eastAsia="微软雅黑" w:cs="微软雅黑"/>
          <w:spacing w:val="10"/>
          <w:sz w:val="20"/>
          <w:szCs w:val="20"/>
        </w:rPr>
        <w:t xml:space="preserve">  </w:t>
      </w:r>
      <w:r>
        <w:rPr>
          <w:rFonts w:ascii="微软雅黑" w:hAnsi="微软雅黑" w:eastAsia="微软雅黑" w:cs="微软雅黑"/>
          <w:spacing w:val="2"/>
          <w:sz w:val="20"/>
          <w:szCs w:val="20"/>
        </w:rPr>
        <w:t>质量保障行动从外部强制要求转变为内部自觉追求。</w:t>
      </w:r>
    </w:p>
    <w:p>
      <w:pPr>
        <w:spacing w:before="55" w:line="184" w:lineRule="auto"/>
        <w:ind w:left="1079"/>
        <w:rPr>
          <w:rFonts w:ascii="黑体" w:hAnsi="黑体" w:eastAsia="黑体" w:cs="黑体"/>
          <w:sz w:val="20"/>
          <w:szCs w:val="20"/>
        </w:rPr>
      </w:pPr>
      <w:r>
        <w:rPr>
          <w:rFonts w:ascii="微软雅黑" w:hAnsi="微软雅黑" w:eastAsia="微软雅黑" w:cs="微软雅黑"/>
          <w:spacing w:val="-2"/>
          <w:sz w:val="20"/>
          <w:szCs w:val="20"/>
        </w:rPr>
        <w:t>（</w:t>
      </w:r>
      <w:r>
        <w:rPr>
          <w:rFonts w:ascii="微软雅黑" w:hAnsi="微软雅黑" w:eastAsia="微软雅黑" w:cs="微软雅黑"/>
          <w:spacing w:val="-5"/>
          <w:sz w:val="20"/>
          <w:szCs w:val="20"/>
        </w:rPr>
        <w:t xml:space="preserve"> </w:t>
      </w:r>
      <w:r>
        <w:rPr>
          <w:rFonts w:ascii="黑体" w:hAnsi="黑体" w:eastAsia="黑体" w:cs="黑体"/>
          <w:spacing w:val="-2"/>
          <w:sz w:val="20"/>
          <w:szCs w:val="20"/>
        </w:rPr>
        <w:t>二</w:t>
      </w:r>
      <w:r>
        <w:rPr>
          <w:rFonts w:ascii="微软雅黑" w:hAnsi="微软雅黑" w:eastAsia="微软雅黑" w:cs="微软雅黑"/>
          <w:spacing w:val="-2"/>
          <w:sz w:val="20"/>
          <w:szCs w:val="20"/>
        </w:rPr>
        <w:t>）</w:t>
      </w:r>
      <w:r>
        <w:rPr>
          <w:rFonts w:ascii="黑体" w:hAnsi="黑体" w:eastAsia="黑体" w:cs="黑体"/>
          <w:spacing w:val="-2"/>
          <w:sz w:val="20"/>
          <w:szCs w:val="20"/>
        </w:rPr>
        <w:t>质量文化建设需分层实施</w:t>
      </w:r>
    </w:p>
    <w:p>
      <w:pPr>
        <w:spacing w:before="29" w:line="220" w:lineRule="auto"/>
        <w:ind w:left="729" w:right="220" w:firstLine="420"/>
        <w:rPr>
          <w:rFonts w:ascii="微软雅黑" w:hAnsi="微软雅黑" w:eastAsia="微软雅黑" w:cs="微软雅黑"/>
          <w:sz w:val="20"/>
          <w:szCs w:val="20"/>
        </w:rPr>
      </w:pPr>
      <w:r>
        <w:rPr>
          <w:rFonts w:ascii="微软雅黑" w:hAnsi="微软雅黑" w:eastAsia="微软雅黑" w:cs="微软雅黑"/>
          <w:spacing w:val="9"/>
          <w:sz w:val="20"/>
          <w:szCs w:val="20"/>
        </w:rPr>
        <w:t>新一轮审核评估方案的指标体系充分体现了高</w:t>
      </w:r>
      <w:r>
        <w:rPr>
          <w:rFonts w:ascii="微软雅黑" w:hAnsi="微软雅黑" w:eastAsia="微软雅黑" w:cs="微软雅黑"/>
          <w:spacing w:val="7"/>
          <w:sz w:val="20"/>
          <w:szCs w:val="20"/>
        </w:rPr>
        <w:t xml:space="preserve">  </w:t>
      </w:r>
      <w:r>
        <w:rPr>
          <w:rFonts w:ascii="微软雅黑" w:hAnsi="微软雅黑" w:eastAsia="微软雅黑" w:cs="微软雅黑"/>
          <w:spacing w:val="9"/>
          <w:sz w:val="20"/>
          <w:szCs w:val="20"/>
        </w:rPr>
        <w:t>等教育分类评价的要求，提供了两类四种模块化评</w:t>
      </w:r>
      <w:r>
        <w:rPr>
          <w:rFonts w:ascii="微软雅黑" w:hAnsi="微软雅黑" w:eastAsia="微软雅黑" w:cs="微软雅黑"/>
          <w:spacing w:val="8"/>
          <w:sz w:val="20"/>
          <w:szCs w:val="20"/>
        </w:rPr>
        <w:t xml:space="preserve">  </w:t>
      </w:r>
      <w:r>
        <w:rPr>
          <w:rFonts w:ascii="微软雅黑" w:hAnsi="微软雅黑" w:eastAsia="微软雅黑" w:cs="微软雅黑"/>
          <w:spacing w:val="-8"/>
          <w:sz w:val="20"/>
          <w:szCs w:val="20"/>
        </w:rPr>
        <w:t xml:space="preserve">估方案，引导高校自主分类、合理定位、科学建设、特  </w:t>
      </w:r>
      <w:r>
        <w:rPr>
          <w:rFonts w:ascii="微软雅黑" w:hAnsi="微软雅黑" w:eastAsia="微软雅黑" w:cs="微软雅黑"/>
          <w:spacing w:val="8"/>
          <w:sz w:val="20"/>
          <w:szCs w:val="20"/>
        </w:rPr>
        <w:t>色发展</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。“质量文化”这一指标中包含了新的时代</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意蕴和内涵特征，对所有高校都要考察“ 自觉、自</w:t>
      </w:r>
      <w:r>
        <w:rPr>
          <w:rFonts w:ascii="微软雅黑" w:hAnsi="微软雅黑" w:eastAsia="微软雅黑" w:cs="微软雅黑"/>
          <w:spacing w:val="8"/>
          <w:sz w:val="20"/>
          <w:szCs w:val="20"/>
        </w:rPr>
        <w:t xml:space="preserve">  </w:t>
      </w:r>
      <w:r>
        <w:rPr>
          <w:rFonts w:ascii="微软雅黑" w:hAnsi="微软雅黑" w:eastAsia="微软雅黑" w:cs="微软雅黑"/>
          <w:spacing w:val="-8"/>
          <w:sz w:val="20"/>
          <w:szCs w:val="20"/>
        </w:rPr>
        <w:t xml:space="preserve">省、自律、自查、自纠的质量文化建设情况”，在此基  </w:t>
      </w:r>
      <w:r>
        <w:rPr>
          <w:rFonts w:ascii="微软雅黑" w:hAnsi="微软雅黑" w:eastAsia="微软雅黑" w:cs="微软雅黑"/>
          <w:spacing w:val="8"/>
          <w:sz w:val="20"/>
          <w:szCs w:val="20"/>
        </w:rPr>
        <w:t>础上分类细化了标准</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。第一类审核评估考察“将质</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量价值观落实到教育教学各环节、将质量要求内化</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为全校师生的共同价值追求和行为情况”；第二类</w:t>
      </w:r>
      <w:r>
        <w:rPr>
          <w:rFonts w:ascii="微软雅黑" w:hAnsi="微软雅黑" w:eastAsia="微软雅黑" w:cs="微软雅黑"/>
          <w:spacing w:val="8"/>
          <w:sz w:val="20"/>
          <w:szCs w:val="20"/>
        </w:rPr>
        <w:t xml:space="preserve">  </w:t>
      </w:r>
      <w:r>
        <w:rPr>
          <w:rFonts w:ascii="微软雅黑" w:hAnsi="微软雅黑" w:eastAsia="微软雅黑" w:cs="微软雅黑"/>
          <w:spacing w:val="18"/>
          <w:sz w:val="20"/>
          <w:szCs w:val="20"/>
        </w:rPr>
        <w:t>审核评估考察“</w:t>
      </w:r>
      <w:r>
        <w:rPr>
          <w:rFonts w:ascii="微软雅黑" w:hAnsi="微软雅黑" w:eastAsia="微软雅黑" w:cs="微软雅黑"/>
          <w:spacing w:val="-23"/>
          <w:sz w:val="20"/>
          <w:szCs w:val="20"/>
        </w:rPr>
        <w:t xml:space="preserve"> </w:t>
      </w:r>
      <w:r>
        <w:rPr>
          <w:rFonts w:ascii="微软雅黑" w:hAnsi="微软雅黑" w:eastAsia="微软雅黑" w:cs="微软雅黑"/>
          <w:spacing w:val="18"/>
          <w:sz w:val="20"/>
          <w:szCs w:val="20"/>
        </w:rPr>
        <w:t>质量信息公开制度及年度质量报</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告”，体现了新一轮审核评估分类指导思想在质量</w:t>
      </w:r>
      <w:r>
        <w:rPr>
          <w:rFonts w:ascii="微软雅黑" w:hAnsi="微软雅黑" w:eastAsia="微软雅黑" w:cs="微软雅黑"/>
          <w:spacing w:val="8"/>
          <w:sz w:val="20"/>
          <w:szCs w:val="20"/>
        </w:rPr>
        <w:t xml:space="preserve">  文化建设上的不同层级要求</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。学界通常将质量文化</w:t>
      </w:r>
      <w:r>
        <w:rPr>
          <w:rFonts w:ascii="微软雅黑" w:hAnsi="微软雅黑" w:eastAsia="微软雅黑" w:cs="微软雅黑"/>
          <w:sz w:val="20"/>
          <w:szCs w:val="20"/>
        </w:rPr>
        <w:t xml:space="preserve">  分为物质文化、制度文化、行为文化和精神文化</w:t>
      </w:r>
      <w:r>
        <w:rPr>
          <w:rFonts w:ascii="微软雅黑" w:hAnsi="微软雅黑" w:eastAsia="微软雅黑" w:cs="微软雅黑"/>
          <w:spacing w:val="-1"/>
          <w:sz w:val="20"/>
          <w:szCs w:val="20"/>
        </w:rPr>
        <w:t xml:space="preserve">四个  </w:t>
      </w:r>
      <w:r>
        <w:rPr>
          <w:rFonts w:ascii="微软雅黑" w:hAnsi="微软雅黑" w:eastAsia="微软雅黑" w:cs="微软雅黑"/>
          <w:sz w:val="20"/>
          <w:szCs w:val="20"/>
        </w:rPr>
        <w:t>层次，其中物质文化居于最底层，制度文化居于</w:t>
      </w:r>
      <w:r>
        <w:rPr>
          <w:rFonts w:ascii="微软雅黑" w:hAnsi="微软雅黑" w:eastAsia="微软雅黑" w:cs="微软雅黑"/>
          <w:spacing w:val="-1"/>
          <w:sz w:val="20"/>
          <w:szCs w:val="20"/>
        </w:rPr>
        <w:t xml:space="preserve">中下  </w:t>
      </w:r>
      <w:r>
        <w:rPr>
          <w:rFonts w:ascii="微软雅黑" w:hAnsi="微软雅黑" w:eastAsia="微软雅黑" w:cs="微软雅黑"/>
          <w:spacing w:val="4"/>
          <w:sz w:val="20"/>
          <w:szCs w:val="20"/>
        </w:rPr>
        <w:t>层，行为文化居于中上层，而精神文化居于最上层。</w:t>
      </w:r>
      <w:r>
        <w:rPr>
          <w:rFonts w:ascii="微软雅黑" w:hAnsi="微软雅黑" w:eastAsia="微软雅黑" w:cs="微软雅黑"/>
          <w:spacing w:val="2"/>
          <w:sz w:val="20"/>
          <w:szCs w:val="20"/>
        </w:rPr>
        <w:t xml:space="preserve"> </w:t>
      </w:r>
      <w:r>
        <w:rPr>
          <w:rFonts w:ascii="微软雅黑" w:hAnsi="微软雅黑" w:eastAsia="微软雅黑" w:cs="微软雅黑"/>
          <w:spacing w:val="9"/>
          <w:sz w:val="20"/>
          <w:szCs w:val="20"/>
        </w:rPr>
        <w:t>审核评估方案对两类高校质量文化的审核重点清晰</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指明了质量文化分阶段建设的目标，第一类高校要</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把质量文化内化为价值追求和自觉行动，是对质量</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行为文化和质量精神文化的中高阶段要求，第二类</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高校要把质量制度文化建设和实施作为基础阶段的</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目标</w:t>
      </w:r>
      <w:r>
        <w:rPr>
          <w:rFonts w:ascii="微软雅黑" w:hAnsi="微软雅黑" w:eastAsia="微软雅黑" w:cs="微软雅黑"/>
          <w:spacing w:val="-24"/>
          <w:sz w:val="20"/>
          <w:szCs w:val="20"/>
        </w:rPr>
        <w:t xml:space="preserve"> </w:t>
      </w:r>
      <w:r>
        <w:rPr>
          <w:rFonts w:ascii="微软雅黑" w:hAnsi="微软雅黑" w:eastAsia="微软雅黑" w:cs="微软雅黑"/>
          <w:sz w:val="20"/>
          <w:szCs w:val="20"/>
        </w:rPr>
        <w:t>。地方本科院校应将建设“ 自觉、自省、自律、 自查、自纠的质量文化”作为终极目标，分步骤</w:t>
      </w:r>
      <w:r>
        <w:rPr>
          <w:rFonts w:ascii="微软雅黑" w:hAnsi="微软雅黑" w:eastAsia="微软雅黑" w:cs="微软雅黑"/>
          <w:spacing w:val="-1"/>
          <w:sz w:val="20"/>
          <w:szCs w:val="20"/>
        </w:rPr>
        <w:t xml:space="preserve">做好  </w:t>
      </w:r>
      <w:r>
        <w:rPr>
          <w:rFonts w:ascii="微软雅黑" w:hAnsi="微软雅黑" w:eastAsia="微软雅黑" w:cs="微软雅黑"/>
          <w:spacing w:val="9"/>
          <w:sz w:val="20"/>
          <w:szCs w:val="20"/>
        </w:rPr>
        <w:t>质量文化的基础设计和培育建设，推动质量保障从</w:t>
      </w:r>
      <w:r>
        <w:rPr>
          <w:rFonts w:ascii="微软雅黑" w:hAnsi="微软雅黑" w:eastAsia="微软雅黑" w:cs="微软雅黑"/>
          <w:spacing w:val="8"/>
          <w:sz w:val="20"/>
          <w:szCs w:val="20"/>
        </w:rPr>
        <w:t xml:space="preserve">  </w:t>
      </w:r>
      <w:r>
        <w:rPr>
          <w:rFonts w:ascii="微软雅黑" w:hAnsi="微软雅黑" w:eastAsia="微软雅黑" w:cs="微软雅黑"/>
          <w:spacing w:val="-2"/>
          <w:sz w:val="20"/>
          <w:szCs w:val="20"/>
        </w:rPr>
        <w:t>无到有，从经验走向科学，从制度走向文化。</w:t>
      </w:r>
    </w:p>
    <w:p>
      <w:pPr>
        <w:spacing w:before="135" w:line="202" w:lineRule="auto"/>
        <w:ind w:left="731" w:right="301" w:firstLine="482"/>
        <w:rPr>
          <w:rFonts w:ascii="微软雅黑" w:hAnsi="微软雅黑" w:eastAsia="微软雅黑" w:cs="微软雅黑"/>
          <w:sz w:val="23"/>
          <w:szCs w:val="23"/>
        </w:rPr>
      </w:pPr>
      <w:r>
        <w:rPr>
          <w:rFonts w:ascii="微软雅黑" w:hAnsi="微软雅黑" w:eastAsia="微软雅黑" w:cs="微软雅黑"/>
          <w:spacing w:val="12"/>
          <w:sz w:val="23"/>
          <w:szCs w:val="23"/>
        </w:rPr>
        <w:t>二、地方本科院校质量保障的系统性文</w:t>
      </w:r>
      <w:r>
        <w:rPr>
          <w:rFonts w:ascii="微软雅黑" w:hAnsi="微软雅黑" w:eastAsia="微软雅黑" w:cs="微软雅黑"/>
          <w:spacing w:val="15"/>
          <w:sz w:val="23"/>
          <w:szCs w:val="23"/>
        </w:rPr>
        <w:t xml:space="preserve"> </w:t>
      </w:r>
      <w:r>
        <w:rPr>
          <w:rFonts w:ascii="微软雅黑" w:hAnsi="微软雅黑" w:eastAsia="微软雅黑" w:cs="微软雅黑"/>
          <w:spacing w:val="8"/>
          <w:sz w:val="23"/>
          <w:szCs w:val="23"/>
        </w:rPr>
        <w:t>化缺失</w:t>
      </w:r>
    </w:p>
    <w:p>
      <w:pPr>
        <w:spacing w:before="152" w:line="214" w:lineRule="auto"/>
        <w:ind w:left="730" w:right="301" w:firstLine="423"/>
        <w:rPr>
          <w:rFonts w:ascii="微软雅黑" w:hAnsi="微软雅黑" w:eastAsia="微软雅黑" w:cs="微软雅黑"/>
          <w:sz w:val="20"/>
          <w:szCs w:val="20"/>
        </w:rPr>
      </w:pPr>
      <w:r>
        <w:rPr>
          <w:rFonts w:ascii="微软雅黑" w:hAnsi="微软雅黑" w:eastAsia="微软雅黑" w:cs="微软雅黑"/>
          <w:spacing w:val="9"/>
          <w:sz w:val="20"/>
          <w:szCs w:val="20"/>
        </w:rPr>
        <w:t>经过上轮评估，多数地方本科院校都构建了内</w:t>
      </w:r>
      <w:r>
        <w:rPr>
          <w:rFonts w:ascii="微软雅黑" w:hAnsi="微软雅黑" w:eastAsia="微软雅黑" w:cs="微软雅黑"/>
          <w:spacing w:val="10"/>
          <w:sz w:val="20"/>
          <w:szCs w:val="20"/>
        </w:rPr>
        <w:t xml:space="preserve"> </w:t>
      </w:r>
      <w:r>
        <w:rPr>
          <w:rFonts w:ascii="微软雅黑" w:hAnsi="微软雅黑" w:eastAsia="微软雅黑" w:cs="微软雅黑"/>
          <w:spacing w:val="9"/>
          <w:sz w:val="20"/>
          <w:szCs w:val="20"/>
        </w:rPr>
        <w:t>部质量保障体系，实施了教育教学质量的评价和监</w:t>
      </w:r>
      <w:r>
        <w:rPr>
          <w:rFonts w:ascii="微软雅黑" w:hAnsi="微软雅黑" w:eastAsia="微软雅黑" w:cs="微软雅黑"/>
          <w:spacing w:val="15"/>
          <w:sz w:val="20"/>
          <w:szCs w:val="20"/>
        </w:rPr>
        <w:t xml:space="preserve"> </w:t>
      </w:r>
      <w:r>
        <w:rPr>
          <w:rFonts w:ascii="微软雅黑" w:hAnsi="微软雅黑" w:eastAsia="微软雅黑" w:cs="微软雅黑"/>
          <w:spacing w:val="-1"/>
          <w:sz w:val="20"/>
          <w:szCs w:val="20"/>
        </w:rPr>
        <w:t>督</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。但是，对照新一轮审核评估的标准，在质量管理</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中存在文化缺失的问题，质量保障仍有较大的提升</w:t>
      </w:r>
      <w:r>
        <w:rPr>
          <w:rFonts w:ascii="微软雅黑" w:hAnsi="微软雅黑" w:eastAsia="微软雅黑" w:cs="微软雅黑"/>
          <w:spacing w:val="15"/>
          <w:sz w:val="20"/>
          <w:szCs w:val="20"/>
        </w:rPr>
        <w:t xml:space="preserve"> </w:t>
      </w:r>
      <w:r>
        <w:rPr>
          <w:rFonts w:ascii="微软雅黑" w:hAnsi="微软雅黑" w:eastAsia="微软雅黑" w:cs="微软雅黑"/>
          <w:spacing w:val="6"/>
          <w:sz w:val="20"/>
          <w:szCs w:val="20"/>
        </w:rPr>
        <w:t>和改进空间。</w:t>
      </w:r>
    </w:p>
    <w:p>
      <w:pPr>
        <w:spacing w:before="52" w:line="185" w:lineRule="auto"/>
        <w:ind w:left="1079"/>
        <w:rPr>
          <w:rFonts w:ascii="黑体" w:hAnsi="黑体" w:eastAsia="黑体" w:cs="黑体"/>
          <w:sz w:val="20"/>
          <w:szCs w:val="20"/>
        </w:rPr>
      </w:pPr>
      <w:r>
        <w:rPr>
          <w:rFonts w:ascii="微软雅黑" w:hAnsi="微软雅黑" w:eastAsia="微软雅黑" w:cs="微软雅黑"/>
          <w:spacing w:val="-10"/>
          <w:sz w:val="20"/>
          <w:szCs w:val="20"/>
        </w:rPr>
        <w:t xml:space="preserve">（ </w:t>
      </w:r>
      <w:r>
        <w:rPr>
          <w:rFonts w:ascii="黑体" w:hAnsi="黑体" w:eastAsia="黑体" w:cs="黑体"/>
          <w:spacing w:val="-10"/>
          <w:sz w:val="20"/>
          <w:szCs w:val="20"/>
        </w:rPr>
        <w:t>一</w:t>
      </w:r>
      <w:r>
        <w:rPr>
          <w:rFonts w:ascii="微软雅黑" w:hAnsi="微软雅黑" w:eastAsia="微软雅黑" w:cs="微软雅黑"/>
          <w:spacing w:val="-10"/>
          <w:sz w:val="20"/>
          <w:szCs w:val="20"/>
        </w:rPr>
        <w:t>）</w:t>
      </w:r>
      <w:r>
        <w:rPr>
          <w:rFonts w:ascii="黑体" w:hAnsi="黑体" w:eastAsia="黑体" w:cs="黑体"/>
          <w:spacing w:val="-10"/>
          <w:sz w:val="20"/>
          <w:szCs w:val="20"/>
        </w:rPr>
        <w:t>质量文化建设未</w:t>
      </w:r>
      <w:r>
        <w:rPr>
          <w:rFonts w:ascii="微软雅黑" w:hAnsi="微软雅黑" w:eastAsia="微软雅黑" w:cs="微软雅黑"/>
          <w:spacing w:val="-10"/>
          <w:sz w:val="20"/>
          <w:szCs w:val="20"/>
        </w:rPr>
        <w:t>“</w:t>
      </w:r>
      <w:r>
        <w:rPr>
          <w:rFonts w:ascii="黑体" w:hAnsi="黑体" w:eastAsia="黑体" w:cs="黑体"/>
          <w:spacing w:val="-10"/>
          <w:sz w:val="20"/>
          <w:szCs w:val="20"/>
        </w:rPr>
        <w:t>全方位</w:t>
      </w:r>
      <w:r>
        <w:rPr>
          <w:rFonts w:ascii="微软雅黑" w:hAnsi="微软雅黑" w:eastAsia="微软雅黑" w:cs="微软雅黑"/>
          <w:spacing w:val="-10"/>
          <w:sz w:val="20"/>
          <w:szCs w:val="20"/>
        </w:rPr>
        <w:t>”</w:t>
      </w:r>
      <w:r>
        <w:rPr>
          <w:rFonts w:ascii="黑体" w:hAnsi="黑体" w:eastAsia="黑体" w:cs="黑体"/>
          <w:spacing w:val="-10"/>
          <w:sz w:val="20"/>
          <w:szCs w:val="20"/>
        </w:rPr>
        <w:t>覆盖</w:t>
      </w:r>
    </w:p>
    <w:p>
      <w:pPr>
        <w:spacing w:before="55" w:line="217" w:lineRule="auto"/>
        <w:ind w:left="731" w:right="301" w:firstLine="420"/>
        <w:rPr>
          <w:rFonts w:ascii="微软雅黑" w:hAnsi="微软雅黑" w:eastAsia="微软雅黑" w:cs="微软雅黑"/>
          <w:sz w:val="20"/>
          <w:szCs w:val="20"/>
        </w:rPr>
      </w:pPr>
      <w:r>
        <w:rPr>
          <w:rFonts w:ascii="微软雅黑" w:hAnsi="微软雅黑" w:eastAsia="微软雅黑" w:cs="微软雅黑"/>
          <w:spacing w:val="9"/>
          <w:sz w:val="20"/>
          <w:szCs w:val="20"/>
        </w:rPr>
        <w:t>地方本科院校由于办学历史不长，规模相对较</w:t>
      </w:r>
      <w:r>
        <w:rPr>
          <w:rFonts w:ascii="微软雅黑" w:hAnsi="微软雅黑" w:eastAsia="微软雅黑" w:cs="微软雅黑"/>
          <w:spacing w:val="12"/>
          <w:sz w:val="20"/>
          <w:szCs w:val="20"/>
        </w:rPr>
        <w:t xml:space="preserve"> </w:t>
      </w:r>
      <w:r>
        <w:rPr>
          <w:rFonts w:ascii="微软雅黑" w:hAnsi="微软雅黑" w:eastAsia="微软雅黑" w:cs="微软雅黑"/>
          <w:spacing w:val="9"/>
          <w:sz w:val="20"/>
          <w:szCs w:val="20"/>
        </w:rPr>
        <w:t>小，往往由于外部审核评估对质量的要求而被动建</w:t>
      </w:r>
      <w:r>
        <w:rPr>
          <w:rFonts w:ascii="微软雅黑" w:hAnsi="微软雅黑" w:eastAsia="微软雅黑" w:cs="微软雅黑"/>
          <w:spacing w:val="14"/>
          <w:sz w:val="20"/>
          <w:szCs w:val="20"/>
        </w:rPr>
        <w:t xml:space="preserve"> </w:t>
      </w:r>
      <w:r>
        <w:rPr>
          <w:rFonts w:ascii="微软雅黑" w:hAnsi="微软雅黑" w:eastAsia="微软雅黑" w:cs="微软雅黑"/>
          <w:sz w:val="20"/>
          <w:szCs w:val="20"/>
        </w:rPr>
        <w:t>立起内部质量保障体系，缺乏制度化、常态化的质量</w:t>
      </w:r>
      <w:r>
        <w:rPr>
          <w:rFonts w:ascii="微软雅黑" w:hAnsi="微软雅黑" w:eastAsia="微软雅黑" w:cs="微软雅黑"/>
          <w:spacing w:val="12"/>
          <w:sz w:val="20"/>
          <w:szCs w:val="20"/>
        </w:rPr>
        <w:t xml:space="preserve"> </w:t>
      </w:r>
      <w:r>
        <w:rPr>
          <w:rFonts w:ascii="微软雅黑" w:hAnsi="微软雅黑" w:eastAsia="微软雅黑" w:cs="微软雅黑"/>
          <w:sz w:val="20"/>
          <w:szCs w:val="20"/>
        </w:rPr>
        <w:t>思考和计划、管理和监控、反馈和改进活动，更难以</w:t>
      </w:r>
      <w:r>
        <w:rPr>
          <w:rFonts w:ascii="微软雅黑" w:hAnsi="微软雅黑" w:eastAsia="微软雅黑" w:cs="微软雅黑"/>
          <w:spacing w:val="12"/>
          <w:sz w:val="20"/>
          <w:szCs w:val="20"/>
        </w:rPr>
        <w:t xml:space="preserve"> </w:t>
      </w:r>
      <w:r>
        <w:rPr>
          <w:rFonts w:ascii="微软雅黑" w:hAnsi="微软雅黑" w:eastAsia="微软雅黑" w:cs="微软雅黑"/>
          <w:spacing w:val="8"/>
          <w:sz w:val="20"/>
          <w:szCs w:val="20"/>
        </w:rPr>
        <w:t>构建全面系统的质量文化</w:t>
      </w:r>
      <w:r>
        <w:rPr>
          <w:rFonts w:ascii="微软雅黑" w:hAnsi="微软雅黑" w:eastAsia="微软雅黑" w:cs="微软雅黑"/>
          <w:spacing w:val="-23"/>
          <w:sz w:val="20"/>
          <w:szCs w:val="20"/>
        </w:rPr>
        <w:t xml:space="preserve"> </w:t>
      </w:r>
      <w:r>
        <w:rPr>
          <w:rFonts w:ascii="微软雅黑" w:hAnsi="微软雅黑" w:eastAsia="微软雅黑" w:cs="微软雅黑"/>
          <w:spacing w:val="8"/>
          <w:sz w:val="20"/>
          <w:szCs w:val="20"/>
        </w:rPr>
        <w:t>。高等教育质量文化本身</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是一种十分复杂的存在，当前地方本科院校对质量</w:t>
      </w:r>
      <w:r>
        <w:rPr>
          <w:rFonts w:ascii="微软雅黑" w:hAnsi="微软雅黑" w:eastAsia="微软雅黑" w:cs="微软雅黑"/>
          <w:spacing w:val="14"/>
          <w:sz w:val="20"/>
          <w:szCs w:val="20"/>
        </w:rPr>
        <w:t xml:space="preserve"> </w:t>
      </w:r>
      <w:r>
        <w:rPr>
          <w:rFonts w:ascii="微软雅黑" w:hAnsi="微软雅黑" w:eastAsia="微软雅黑" w:cs="微软雅黑"/>
          <w:spacing w:val="9"/>
          <w:sz w:val="20"/>
          <w:szCs w:val="20"/>
        </w:rPr>
        <w:t>文化的认识和理解还不够清晰和深入，在质量文化</w:t>
      </w:r>
      <w:r>
        <w:rPr>
          <w:rFonts w:ascii="微软雅黑" w:hAnsi="微软雅黑" w:eastAsia="微软雅黑" w:cs="微软雅黑"/>
          <w:spacing w:val="14"/>
          <w:sz w:val="20"/>
          <w:szCs w:val="20"/>
        </w:rPr>
        <w:t xml:space="preserve"> </w:t>
      </w:r>
      <w:r>
        <w:rPr>
          <w:rFonts w:ascii="微软雅黑" w:hAnsi="微软雅黑" w:eastAsia="微软雅黑" w:cs="微软雅黑"/>
          <w:spacing w:val="8"/>
          <w:sz w:val="20"/>
          <w:szCs w:val="20"/>
        </w:rPr>
        <w:t>建设上缺乏科学举措</w:t>
      </w:r>
      <w:r>
        <w:rPr>
          <w:rFonts w:ascii="微软雅黑" w:hAnsi="微软雅黑" w:eastAsia="微软雅黑" w:cs="微软雅黑"/>
          <w:spacing w:val="-23"/>
          <w:sz w:val="20"/>
          <w:szCs w:val="20"/>
        </w:rPr>
        <w:t xml:space="preserve"> </w:t>
      </w:r>
      <w:r>
        <w:rPr>
          <w:rFonts w:ascii="微软雅黑" w:hAnsi="微软雅黑" w:eastAsia="微软雅黑" w:cs="微软雅黑"/>
          <w:spacing w:val="8"/>
          <w:sz w:val="20"/>
          <w:szCs w:val="20"/>
        </w:rPr>
        <w:t>。地方本科院校经过一轮评估</w:t>
      </w:r>
      <w:r>
        <w:rPr>
          <w:rFonts w:ascii="微软雅黑" w:hAnsi="微软雅黑" w:eastAsia="微软雅黑" w:cs="微软雅黑"/>
          <w:sz w:val="20"/>
          <w:szCs w:val="20"/>
        </w:rPr>
        <w:t xml:space="preserve"> 后，物质文化建设相对充分，基本教育教学条件均达</w:t>
      </w:r>
    </w:p>
    <w:p>
      <w:pPr>
        <w:spacing w:before="249" w:line="145" w:lineRule="exact"/>
        <w:ind w:left="914"/>
        <w:rPr>
          <w:rFonts w:ascii="微软雅黑" w:hAnsi="微软雅黑" w:eastAsia="微软雅黑" w:cs="微软雅黑"/>
          <w:sz w:val="20"/>
          <w:szCs w:val="20"/>
        </w:rPr>
      </w:pPr>
      <w:r>
        <w:rPr>
          <w:rFonts w:ascii="微软雅黑" w:hAnsi="微软雅黑" w:eastAsia="微软雅黑" w:cs="微软雅黑"/>
          <w:spacing w:val="21"/>
          <w:w w:val="110"/>
          <w:position w:val="-3"/>
          <w:sz w:val="20"/>
          <w:szCs w:val="20"/>
        </w:rPr>
        <w:t>·92</w:t>
      </w:r>
      <w:r>
        <w:rPr>
          <w:rFonts w:ascii="微软雅黑" w:hAnsi="微软雅黑" w:eastAsia="微软雅黑" w:cs="微软雅黑"/>
          <w:spacing w:val="32"/>
          <w:w w:val="101"/>
          <w:position w:val="-3"/>
          <w:sz w:val="20"/>
          <w:szCs w:val="20"/>
        </w:rPr>
        <w:t xml:space="preserve"> </w:t>
      </w:r>
      <w:r>
        <w:rPr>
          <w:rFonts w:ascii="微软雅黑" w:hAnsi="微软雅黑" w:eastAsia="微软雅黑" w:cs="微软雅黑"/>
          <w:spacing w:val="21"/>
          <w:w w:val="110"/>
          <w:position w:val="-3"/>
          <w:sz w:val="20"/>
          <w:szCs w:val="20"/>
        </w:rPr>
        <w:t>·</w:t>
      </w:r>
    </w:p>
    <w:p>
      <w:pPr>
        <w:spacing w:line="14" w:lineRule="auto"/>
        <w:rPr>
          <w:rFonts w:ascii="Arial"/>
          <w:sz w:val="2"/>
        </w:rPr>
      </w:pPr>
      <w:r>
        <w:rPr>
          <w:rFonts w:ascii="Arial" w:hAnsi="Arial" w:eastAsia="Arial" w:cs="Arial"/>
          <w:sz w:val="2"/>
          <w:szCs w:val="2"/>
        </w:rPr>
        <w:br w:type="column"/>
      </w:r>
    </w:p>
    <w:p>
      <w:pPr>
        <w:spacing w:before="43" w:line="217" w:lineRule="auto"/>
        <w:ind w:right="12" w:firstLine="7"/>
        <w:jc w:val="both"/>
        <w:rPr>
          <w:rFonts w:ascii="微软雅黑" w:hAnsi="微软雅黑" w:eastAsia="微软雅黑" w:cs="微软雅黑"/>
          <w:sz w:val="20"/>
          <w:szCs w:val="20"/>
        </w:rPr>
      </w:pPr>
      <w:r>
        <w:rPr>
          <w:rFonts w:ascii="微软雅黑" w:hAnsi="微软雅黑" w:eastAsia="微软雅黑" w:cs="微软雅黑"/>
          <w:spacing w:val="9"/>
          <w:sz w:val="20"/>
          <w:szCs w:val="20"/>
        </w:rPr>
        <w:t>到国家相关指标要求，能够较好地满足人才培养的</w:t>
      </w:r>
      <w:r>
        <w:rPr>
          <w:rFonts w:ascii="微软雅黑" w:hAnsi="微软雅黑" w:eastAsia="微软雅黑" w:cs="微软雅黑"/>
          <w:spacing w:val="4"/>
          <w:sz w:val="20"/>
          <w:szCs w:val="20"/>
        </w:rPr>
        <w:t xml:space="preserve">  </w:t>
      </w:r>
      <w:r>
        <w:rPr>
          <w:rFonts w:ascii="微软雅黑" w:hAnsi="微软雅黑" w:eastAsia="微软雅黑" w:cs="微软雅黑"/>
          <w:spacing w:val="8"/>
          <w:sz w:val="20"/>
          <w:szCs w:val="20"/>
        </w:rPr>
        <w:t>硬件条件需要</w:t>
      </w:r>
      <w:r>
        <w:rPr>
          <w:rFonts w:ascii="微软雅黑" w:hAnsi="微软雅黑" w:eastAsia="微软雅黑" w:cs="微软雅黑"/>
          <w:spacing w:val="-22"/>
          <w:sz w:val="20"/>
          <w:szCs w:val="20"/>
        </w:rPr>
        <w:t xml:space="preserve"> </w:t>
      </w:r>
      <w:r>
        <w:rPr>
          <w:rFonts w:ascii="微软雅黑" w:hAnsi="微软雅黑" w:eastAsia="微软雅黑" w:cs="微软雅黑"/>
          <w:spacing w:val="8"/>
          <w:sz w:val="20"/>
          <w:szCs w:val="20"/>
        </w:rPr>
        <w:t>。制度文化建设逐渐完善，以现代大</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学制度建设为统领，涉及人才培养全过程的相关规</w:t>
      </w:r>
      <w:r>
        <w:rPr>
          <w:rFonts w:ascii="微软雅黑" w:hAnsi="微软雅黑" w:eastAsia="微软雅黑" w:cs="微软雅黑"/>
          <w:spacing w:val="7"/>
          <w:sz w:val="20"/>
          <w:szCs w:val="20"/>
        </w:rPr>
        <w:t xml:space="preserve">  </w:t>
      </w:r>
      <w:r>
        <w:rPr>
          <w:rFonts w:ascii="微软雅黑" w:hAnsi="微软雅黑" w:eastAsia="微软雅黑" w:cs="微软雅黑"/>
          <w:spacing w:val="9"/>
          <w:sz w:val="20"/>
          <w:szCs w:val="20"/>
        </w:rPr>
        <w:t>范性制度体系已基本成型，并在教育教学活动中发</w:t>
      </w:r>
      <w:r>
        <w:rPr>
          <w:rFonts w:ascii="微软雅黑" w:hAnsi="微软雅黑" w:eastAsia="微软雅黑" w:cs="微软雅黑"/>
          <w:spacing w:val="7"/>
          <w:sz w:val="20"/>
          <w:szCs w:val="20"/>
        </w:rPr>
        <w:t xml:space="preserve">  </w:t>
      </w:r>
      <w:r>
        <w:rPr>
          <w:rFonts w:ascii="微软雅黑" w:hAnsi="微软雅黑" w:eastAsia="微软雅黑" w:cs="微软雅黑"/>
          <w:spacing w:val="8"/>
          <w:sz w:val="20"/>
          <w:szCs w:val="20"/>
        </w:rPr>
        <w:t>挥了一定的约束和督促功能</w:t>
      </w:r>
      <w:r>
        <w:rPr>
          <w:rFonts w:ascii="微软雅黑" w:hAnsi="微软雅黑" w:eastAsia="微软雅黑" w:cs="微软雅黑"/>
          <w:spacing w:val="-22"/>
          <w:sz w:val="20"/>
          <w:szCs w:val="20"/>
        </w:rPr>
        <w:t xml:space="preserve"> </w:t>
      </w:r>
      <w:r>
        <w:rPr>
          <w:rFonts w:ascii="微软雅黑" w:hAnsi="微软雅黑" w:eastAsia="微软雅黑" w:cs="微软雅黑"/>
          <w:spacing w:val="8"/>
          <w:sz w:val="20"/>
          <w:szCs w:val="20"/>
        </w:rPr>
        <w:t>。行为文化建设尚未成</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型，师生质量保障活动最为活跃的时候往往是迎接</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评估前的一段时期，评估过后，质量保障活动又逐渐</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降温，未能形成长期自觉的坚持</w:t>
      </w:r>
      <w:r>
        <w:rPr>
          <w:rFonts w:ascii="微软雅黑" w:hAnsi="微软雅黑" w:eastAsia="微软雅黑" w:cs="微软雅黑"/>
          <w:spacing w:val="-22"/>
          <w:sz w:val="20"/>
          <w:szCs w:val="20"/>
        </w:rPr>
        <w:t xml:space="preserve"> </w:t>
      </w:r>
      <w:r>
        <w:rPr>
          <w:rFonts w:ascii="微软雅黑" w:hAnsi="微软雅黑" w:eastAsia="微软雅黑" w:cs="微软雅黑"/>
          <w:spacing w:val="8"/>
          <w:sz w:val="20"/>
          <w:szCs w:val="20"/>
        </w:rPr>
        <w:t>。精神文化建设更</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加滞后，不少地方本科院校的大学文化缺乏对质量</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的关注和重视，未能形成明确的质量导向组织文化，</w:t>
      </w:r>
      <w:r>
        <w:rPr>
          <w:rFonts w:ascii="微软雅黑" w:hAnsi="微软雅黑" w:eastAsia="微软雅黑" w:cs="微软雅黑"/>
          <w:spacing w:val="10"/>
          <w:sz w:val="20"/>
          <w:szCs w:val="20"/>
        </w:rPr>
        <w:t xml:space="preserve"> </w:t>
      </w:r>
      <w:r>
        <w:rPr>
          <w:rFonts w:ascii="微软雅黑" w:hAnsi="微软雅黑" w:eastAsia="微软雅黑" w:cs="微软雅黑"/>
          <w:spacing w:val="9"/>
          <w:sz w:val="20"/>
          <w:szCs w:val="20"/>
        </w:rPr>
        <w:t>质量持续改进的理念还未深入人心，质量意识尚未</w:t>
      </w:r>
      <w:r>
        <w:rPr>
          <w:rFonts w:ascii="微软雅黑" w:hAnsi="微软雅黑" w:eastAsia="微软雅黑" w:cs="微软雅黑"/>
          <w:spacing w:val="7"/>
          <w:sz w:val="20"/>
          <w:szCs w:val="20"/>
        </w:rPr>
        <w:t xml:space="preserve">  </w:t>
      </w:r>
      <w:r>
        <w:rPr>
          <w:rFonts w:ascii="微软雅黑" w:hAnsi="微软雅黑" w:eastAsia="微软雅黑" w:cs="微软雅黑"/>
          <w:spacing w:val="8"/>
          <w:sz w:val="20"/>
          <w:szCs w:val="20"/>
        </w:rPr>
        <w:t>能成为师生共同的价值追求和自觉遵循。</w:t>
      </w:r>
    </w:p>
    <w:p>
      <w:pPr>
        <w:spacing w:before="54" w:line="185" w:lineRule="auto"/>
        <w:ind w:left="349"/>
        <w:rPr>
          <w:rFonts w:ascii="黑体" w:hAnsi="黑体" w:eastAsia="黑体" w:cs="黑体"/>
          <w:sz w:val="20"/>
          <w:szCs w:val="20"/>
        </w:rPr>
      </w:pPr>
      <w:r>
        <w:rPr>
          <w:rFonts w:ascii="微软雅黑" w:hAnsi="微软雅黑" w:eastAsia="微软雅黑" w:cs="微软雅黑"/>
          <w:spacing w:val="-10"/>
          <w:sz w:val="20"/>
          <w:szCs w:val="20"/>
        </w:rPr>
        <w:t xml:space="preserve">（ </w:t>
      </w:r>
      <w:r>
        <w:rPr>
          <w:rFonts w:ascii="黑体" w:hAnsi="黑体" w:eastAsia="黑体" w:cs="黑体"/>
          <w:spacing w:val="-10"/>
          <w:sz w:val="20"/>
          <w:szCs w:val="20"/>
        </w:rPr>
        <w:t>二</w:t>
      </w:r>
      <w:r>
        <w:rPr>
          <w:rFonts w:ascii="微软雅黑" w:hAnsi="微软雅黑" w:eastAsia="微软雅黑" w:cs="微软雅黑"/>
          <w:spacing w:val="-10"/>
          <w:sz w:val="20"/>
          <w:szCs w:val="20"/>
        </w:rPr>
        <w:t>）</w:t>
      </w:r>
      <w:r>
        <w:rPr>
          <w:rFonts w:ascii="黑体" w:hAnsi="黑体" w:eastAsia="黑体" w:cs="黑体"/>
          <w:spacing w:val="-10"/>
          <w:sz w:val="20"/>
          <w:szCs w:val="20"/>
        </w:rPr>
        <w:t>质量文化意识未</w:t>
      </w:r>
      <w:r>
        <w:rPr>
          <w:rFonts w:ascii="微软雅黑" w:hAnsi="微软雅黑" w:eastAsia="微软雅黑" w:cs="微软雅黑"/>
          <w:spacing w:val="-10"/>
          <w:sz w:val="20"/>
          <w:szCs w:val="20"/>
        </w:rPr>
        <w:t>“</w:t>
      </w:r>
      <w:r>
        <w:rPr>
          <w:rFonts w:ascii="黑体" w:hAnsi="黑体" w:eastAsia="黑体" w:cs="黑体"/>
          <w:spacing w:val="-10"/>
          <w:sz w:val="20"/>
          <w:szCs w:val="20"/>
        </w:rPr>
        <w:t>全员性</w:t>
      </w:r>
      <w:r>
        <w:rPr>
          <w:rFonts w:ascii="微软雅黑" w:hAnsi="微软雅黑" w:eastAsia="微软雅黑" w:cs="微软雅黑"/>
          <w:spacing w:val="-10"/>
          <w:sz w:val="20"/>
          <w:szCs w:val="20"/>
        </w:rPr>
        <w:t>”</w:t>
      </w:r>
      <w:r>
        <w:rPr>
          <w:rFonts w:ascii="黑体" w:hAnsi="黑体" w:eastAsia="黑体" w:cs="黑体"/>
          <w:spacing w:val="-10"/>
          <w:sz w:val="20"/>
          <w:szCs w:val="20"/>
        </w:rPr>
        <w:t>树立</w:t>
      </w:r>
    </w:p>
    <w:p>
      <w:pPr>
        <w:spacing w:before="60" w:line="218" w:lineRule="auto"/>
        <w:ind w:firstLine="422"/>
        <w:rPr>
          <w:rFonts w:ascii="微软雅黑" w:hAnsi="微软雅黑" w:eastAsia="微软雅黑" w:cs="微软雅黑"/>
          <w:sz w:val="20"/>
          <w:szCs w:val="20"/>
        </w:rPr>
      </w:pPr>
      <w:r>
        <w:rPr>
          <w:rFonts w:ascii="微软雅黑" w:hAnsi="微软雅黑" w:eastAsia="微软雅黑" w:cs="微软雅黑"/>
          <w:spacing w:val="19"/>
          <w:sz w:val="20"/>
          <w:szCs w:val="20"/>
        </w:rPr>
        <w:t>一轮完整的本科人才培养活动周期</w:t>
      </w:r>
      <w:r>
        <w:rPr>
          <w:rFonts w:ascii="微软雅黑" w:hAnsi="微软雅黑" w:eastAsia="微软雅黑" w:cs="微软雅黑"/>
          <w:spacing w:val="-29"/>
          <w:sz w:val="20"/>
          <w:szCs w:val="20"/>
        </w:rPr>
        <w:t xml:space="preserve"> </w:t>
      </w:r>
      <w:r>
        <w:rPr>
          <w:rFonts w:ascii="微软雅黑" w:hAnsi="微软雅黑" w:eastAsia="微软雅黑" w:cs="微软雅黑"/>
          <w:spacing w:val="19"/>
          <w:sz w:val="20"/>
          <w:szCs w:val="20"/>
        </w:rPr>
        <w:t>一般是四</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年，高校各个部门以及全体教师都直接或间接参与</w:t>
      </w:r>
      <w:r>
        <w:rPr>
          <w:rFonts w:ascii="微软雅黑" w:hAnsi="微软雅黑" w:eastAsia="微软雅黑" w:cs="微软雅黑"/>
          <w:spacing w:val="8"/>
          <w:sz w:val="20"/>
          <w:szCs w:val="20"/>
        </w:rPr>
        <w:t xml:space="preserve">  </w:t>
      </w:r>
      <w:r>
        <w:rPr>
          <w:rFonts w:ascii="微软雅黑" w:hAnsi="微软雅黑" w:eastAsia="微软雅黑" w:cs="微软雅黑"/>
          <w:spacing w:val="-1"/>
          <w:sz w:val="20"/>
          <w:szCs w:val="20"/>
        </w:rPr>
        <w:t>其中，因此高等教育的质量建设具有“</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全员性”</w:t>
      </w:r>
      <w:r>
        <w:rPr>
          <w:rFonts w:ascii="微软雅黑" w:hAnsi="微软雅黑" w:eastAsia="微软雅黑" w:cs="微软雅黑"/>
          <w:spacing w:val="-2"/>
          <w:sz w:val="20"/>
          <w:szCs w:val="20"/>
        </w:rPr>
        <w:t xml:space="preserve">，需  </w:t>
      </w:r>
      <w:r>
        <w:rPr>
          <w:rFonts w:ascii="微软雅黑" w:hAnsi="微软雅黑" w:eastAsia="微软雅黑" w:cs="微软雅黑"/>
          <w:spacing w:val="9"/>
          <w:sz w:val="20"/>
          <w:szCs w:val="20"/>
        </w:rPr>
        <w:t>要高校所有从业人员的个人自觉，这种自觉来自他</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们内在的质量意识与责任感，即学校质量文化个体</w:t>
      </w:r>
      <w:r>
        <w:rPr>
          <w:rFonts w:ascii="微软雅黑" w:hAnsi="微软雅黑" w:eastAsia="微软雅黑" w:cs="微软雅黑"/>
          <w:spacing w:val="8"/>
          <w:sz w:val="20"/>
          <w:szCs w:val="20"/>
        </w:rPr>
        <w:t xml:space="preserve">  </w:t>
      </w:r>
      <w:r>
        <w:rPr>
          <w:rFonts w:ascii="微软雅黑" w:hAnsi="微软雅黑" w:eastAsia="微软雅黑" w:cs="微软雅黑"/>
          <w:spacing w:val="-2"/>
          <w:sz w:val="20"/>
          <w:szCs w:val="20"/>
        </w:rPr>
        <w:t>内化的表现</w:t>
      </w:r>
      <w:r>
        <w:rPr>
          <w:rFonts w:ascii="微软雅黑" w:hAnsi="微软雅黑" w:eastAsia="微软雅黑" w:cs="微软雅黑"/>
          <w:spacing w:val="-15"/>
          <w:sz w:val="20"/>
          <w:szCs w:val="20"/>
        </w:rPr>
        <w:t xml:space="preserve"> </w:t>
      </w:r>
      <w:r>
        <w:rPr>
          <w:rFonts w:ascii="微软雅黑" w:hAnsi="微软雅黑" w:eastAsia="微软雅黑" w:cs="微软雅黑"/>
          <w:spacing w:val="-2"/>
          <w:sz w:val="20"/>
          <w:szCs w:val="20"/>
        </w:rPr>
        <w:t xml:space="preserve">。当前，在教育教学活动中，地方本科院  </w:t>
      </w:r>
      <w:r>
        <w:rPr>
          <w:rFonts w:ascii="微软雅黑" w:hAnsi="微软雅黑" w:eastAsia="微软雅黑" w:cs="微软雅黑"/>
          <w:spacing w:val="-3"/>
          <w:sz w:val="20"/>
          <w:szCs w:val="20"/>
        </w:rPr>
        <w:t>校“</w:t>
      </w:r>
      <w:r>
        <w:rPr>
          <w:rFonts w:ascii="微软雅黑" w:hAnsi="微软雅黑" w:eastAsia="微软雅黑" w:cs="微软雅黑"/>
          <w:spacing w:val="-12"/>
          <w:sz w:val="20"/>
          <w:szCs w:val="20"/>
        </w:rPr>
        <w:t xml:space="preserve"> </w:t>
      </w:r>
      <w:r>
        <w:rPr>
          <w:rFonts w:ascii="微软雅黑" w:hAnsi="微软雅黑" w:eastAsia="微软雅黑" w:cs="微软雅黑"/>
          <w:spacing w:val="-3"/>
          <w:sz w:val="20"/>
          <w:szCs w:val="20"/>
        </w:rPr>
        <w:t>以学生为本位”“</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 xml:space="preserve">质量第一”的理念还没有牢固  </w:t>
      </w:r>
      <w:r>
        <w:rPr>
          <w:rFonts w:ascii="微软雅黑" w:hAnsi="微软雅黑" w:eastAsia="微软雅黑" w:cs="微软雅黑"/>
          <w:spacing w:val="9"/>
          <w:sz w:val="20"/>
          <w:szCs w:val="20"/>
        </w:rPr>
        <w:t>树立，质量保障行动集中于学校层面少数部门或若</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干人，没有深入院系管理、专业教学和教职人员的日</w:t>
      </w:r>
      <w:r>
        <w:rPr>
          <w:rFonts w:ascii="微软雅黑" w:hAnsi="微软雅黑" w:eastAsia="微软雅黑" w:cs="微软雅黑"/>
          <w:spacing w:val="7"/>
          <w:sz w:val="20"/>
          <w:szCs w:val="20"/>
        </w:rPr>
        <w:t xml:space="preserve">  </w:t>
      </w:r>
      <w:r>
        <w:rPr>
          <w:rFonts w:ascii="微软雅黑" w:hAnsi="微软雅黑" w:eastAsia="微软雅黑" w:cs="微软雅黑"/>
          <w:spacing w:val="9"/>
          <w:sz w:val="20"/>
          <w:szCs w:val="20"/>
        </w:rPr>
        <w:t>常工作中；部分职能部门认为质量仅仅是教学部门</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和质量管理部门的职责，他们聚焦人才培养、参与质</w:t>
      </w:r>
      <w:r>
        <w:rPr>
          <w:rFonts w:ascii="微软雅黑" w:hAnsi="微软雅黑" w:eastAsia="微软雅黑" w:cs="微软雅黑"/>
          <w:spacing w:val="7"/>
          <w:sz w:val="20"/>
          <w:szCs w:val="20"/>
        </w:rPr>
        <w:t xml:space="preserve">  </w:t>
      </w:r>
      <w:r>
        <w:rPr>
          <w:rFonts w:ascii="微软雅黑" w:hAnsi="微软雅黑" w:eastAsia="微软雅黑" w:cs="微软雅黑"/>
          <w:spacing w:val="13"/>
          <w:sz w:val="20"/>
          <w:szCs w:val="20"/>
        </w:rPr>
        <w:t>量保障体系建设、形成质量保障合力的意识不足。</w:t>
      </w:r>
      <w:r>
        <w:rPr>
          <w:rFonts w:ascii="微软雅黑" w:hAnsi="微软雅黑" w:eastAsia="微软雅黑" w:cs="微软雅黑"/>
          <w:spacing w:val="6"/>
          <w:sz w:val="20"/>
          <w:szCs w:val="20"/>
        </w:rPr>
        <w:t xml:space="preserve"> </w:t>
      </w:r>
      <w:r>
        <w:rPr>
          <w:rFonts w:ascii="微软雅黑" w:hAnsi="微软雅黑" w:eastAsia="微软雅黑" w:cs="微软雅黑"/>
          <w:spacing w:val="9"/>
          <w:sz w:val="20"/>
          <w:szCs w:val="20"/>
        </w:rPr>
        <w:t>有的即使构建了全面的内部质量保障体系，但未能</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从系统上、体制机制上理顺质量保障体系的运行脉</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络，造成制度健全但过程断裂、材料堆积却无有效管</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控的“虚胖”现象，部分规章制度在执行过程中落实</w:t>
      </w:r>
      <w:r>
        <w:rPr>
          <w:rFonts w:ascii="微软雅黑" w:hAnsi="微软雅黑" w:eastAsia="微软雅黑" w:cs="微软雅黑"/>
          <w:spacing w:val="7"/>
          <w:sz w:val="20"/>
          <w:szCs w:val="20"/>
        </w:rPr>
        <w:t xml:space="preserve">  </w:t>
      </w:r>
      <w:r>
        <w:rPr>
          <w:rFonts w:ascii="微软雅黑" w:hAnsi="微软雅黑" w:eastAsia="微软雅黑" w:cs="微软雅黑"/>
          <w:spacing w:val="8"/>
          <w:sz w:val="20"/>
          <w:szCs w:val="20"/>
        </w:rPr>
        <w:t>不到位，执行不彻底</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。广大教职员工参与质量管理</w:t>
      </w:r>
      <w:r>
        <w:rPr>
          <w:rFonts w:ascii="微软雅黑" w:hAnsi="微软雅黑" w:eastAsia="微软雅黑" w:cs="微软雅黑"/>
          <w:sz w:val="20"/>
          <w:szCs w:val="20"/>
        </w:rPr>
        <w:t xml:space="preserve">  的积极性不高，未能构建牢固的质量标准概念，也没</w:t>
      </w:r>
      <w:r>
        <w:rPr>
          <w:rFonts w:ascii="微软雅黑" w:hAnsi="微软雅黑" w:eastAsia="微软雅黑" w:cs="微软雅黑"/>
          <w:spacing w:val="7"/>
          <w:sz w:val="20"/>
          <w:szCs w:val="20"/>
        </w:rPr>
        <w:t xml:space="preserve">  </w:t>
      </w:r>
      <w:r>
        <w:rPr>
          <w:rFonts w:ascii="微软雅黑" w:hAnsi="微软雅黑" w:eastAsia="微软雅黑" w:cs="微软雅黑"/>
          <w:spacing w:val="9"/>
          <w:sz w:val="20"/>
          <w:szCs w:val="20"/>
        </w:rPr>
        <w:t>有把质量话语转化为质量行动，质量保障行为常常</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是为了应对督导或年终考核，质量主体意识、责任意</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识、持续改进意识未能形成。</w:t>
      </w:r>
    </w:p>
    <w:p>
      <w:pPr>
        <w:spacing w:before="54" w:line="185" w:lineRule="auto"/>
        <w:ind w:left="349"/>
        <w:rPr>
          <w:rFonts w:ascii="黑体" w:hAnsi="黑体" w:eastAsia="黑体" w:cs="黑体"/>
          <w:sz w:val="20"/>
          <w:szCs w:val="20"/>
        </w:rPr>
      </w:pPr>
      <w:r>
        <w:rPr>
          <w:rFonts w:ascii="微软雅黑" w:hAnsi="微软雅黑" w:eastAsia="微软雅黑" w:cs="微软雅黑"/>
          <w:spacing w:val="-10"/>
          <w:sz w:val="20"/>
          <w:szCs w:val="20"/>
        </w:rPr>
        <w:t xml:space="preserve">（ </w:t>
      </w:r>
      <w:r>
        <w:rPr>
          <w:rFonts w:ascii="黑体" w:hAnsi="黑体" w:eastAsia="黑体" w:cs="黑体"/>
          <w:spacing w:val="-10"/>
          <w:sz w:val="20"/>
          <w:szCs w:val="20"/>
        </w:rPr>
        <w:t>三</w:t>
      </w:r>
      <w:r>
        <w:rPr>
          <w:rFonts w:ascii="微软雅黑" w:hAnsi="微软雅黑" w:eastAsia="微软雅黑" w:cs="微软雅黑"/>
          <w:spacing w:val="-10"/>
          <w:sz w:val="20"/>
          <w:szCs w:val="20"/>
        </w:rPr>
        <w:t>）</w:t>
      </w:r>
      <w:r>
        <w:rPr>
          <w:rFonts w:ascii="黑体" w:hAnsi="黑体" w:eastAsia="黑体" w:cs="黑体"/>
          <w:spacing w:val="-10"/>
          <w:sz w:val="20"/>
          <w:szCs w:val="20"/>
        </w:rPr>
        <w:t>质量文化效用未</w:t>
      </w:r>
      <w:r>
        <w:rPr>
          <w:rFonts w:ascii="微软雅黑" w:hAnsi="微软雅黑" w:eastAsia="微软雅黑" w:cs="微软雅黑"/>
          <w:spacing w:val="-10"/>
          <w:sz w:val="20"/>
          <w:szCs w:val="20"/>
        </w:rPr>
        <w:t>“</w:t>
      </w:r>
      <w:r>
        <w:rPr>
          <w:rFonts w:ascii="黑体" w:hAnsi="黑体" w:eastAsia="黑体" w:cs="黑体"/>
          <w:spacing w:val="-10"/>
          <w:sz w:val="20"/>
          <w:szCs w:val="20"/>
        </w:rPr>
        <w:t>全过程</w:t>
      </w:r>
      <w:r>
        <w:rPr>
          <w:rFonts w:ascii="微软雅黑" w:hAnsi="微软雅黑" w:eastAsia="微软雅黑" w:cs="微软雅黑"/>
          <w:spacing w:val="-10"/>
          <w:sz w:val="20"/>
          <w:szCs w:val="20"/>
        </w:rPr>
        <w:t>”</w:t>
      </w:r>
      <w:r>
        <w:rPr>
          <w:rFonts w:ascii="黑体" w:hAnsi="黑体" w:eastAsia="黑体" w:cs="黑体"/>
          <w:spacing w:val="-10"/>
          <w:sz w:val="20"/>
          <w:szCs w:val="20"/>
        </w:rPr>
        <w:t>改进</w:t>
      </w:r>
    </w:p>
    <w:p>
      <w:pPr>
        <w:spacing w:before="51" w:line="217" w:lineRule="auto"/>
        <w:ind w:left="1" w:right="78" w:firstLine="420"/>
        <w:rPr>
          <w:rFonts w:ascii="微软雅黑" w:hAnsi="微软雅黑" w:eastAsia="微软雅黑" w:cs="微软雅黑"/>
          <w:sz w:val="20"/>
          <w:szCs w:val="20"/>
        </w:rPr>
      </w:pPr>
      <w:r>
        <w:rPr>
          <w:rFonts w:ascii="微软雅黑" w:hAnsi="微软雅黑" w:eastAsia="微软雅黑" w:cs="微软雅黑"/>
          <w:spacing w:val="9"/>
          <w:sz w:val="20"/>
          <w:szCs w:val="20"/>
        </w:rPr>
        <w:t>地方本科院校内部质量保障体系应形成质量管</w:t>
      </w:r>
      <w:r>
        <w:rPr>
          <w:rFonts w:ascii="微软雅黑" w:hAnsi="微软雅黑" w:eastAsia="微软雅黑" w:cs="微软雅黑"/>
          <w:spacing w:val="12"/>
          <w:sz w:val="20"/>
          <w:szCs w:val="20"/>
        </w:rPr>
        <w:t xml:space="preserve"> </w:t>
      </w:r>
      <w:r>
        <w:rPr>
          <w:rFonts w:ascii="微软雅黑" w:hAnsi="微软雅黑" w:eastAsia="微软雅黑" w:cs="微软雅黑"/>
          <w:spacing w:val="9"/>
          <w:sz w:val="20"/>
          <w:szCs w:val="20"/>
        </w:rPr>
        <w:t>理闭环，通过完整的管理链条发挥质量保障的调控</w:t>
      </w:r>
      <w:r>
        <w:rPr>
          <w:rFonts w:ascii="微软雅黑" w:hAnsi="微软雅黑" w:eastAsia="微软雅黑" w:cs="微软雅黑"/>
          <w:spacing w:val="14"/>
          <w:sz w:val="20"/>
          <w:szCs w:val="20"/>
        </w:rPr>
        <w:t xml:space="preserve"> </w:t>
      </w:r>
      <w:r>
        <w:rPr>
          <w:rFonts w:ascii="微软雅黑" w:hAnsi="微软雅黑" w:eastAsia="微软雅黑" w:cs="微软雅黑"/>
          <w:spacing w:val="8"/>
          <w:sz w:val="20"/>
          <w:szCs w:val="20"/>
        </w:rPr>
        <w:t>作用</w:t>
      </w:r>
      <w:r>
        <w:rPr>
          <w:rFonts w:ascii="微软雅黑" w:hAnsi="微软雅黑" w:eastAsia="微软雅黑" w:cs="微软雅黑"/>
          <w:spacing w:val="-23"/>
          <w:sz w:val="20"/>
          <w:szCs w:val="20"/>
        </w:rPr>
        <w:t xml:space="preserve"> </w:t>
      </w:r>
      <w:r>
        <w:rPr>
          <w:rFonts w:ascii="微软雅黑" w:hAnsi="微软雅黑" w:eastAsia="微软雅黑" w:cs="微软雅黑"/>
          <w:spacing w:val="8"/>
          <w:sz w:val="20"/>
          <w:szCs w:val="20"/>
        </w:rPr>
        <w:t>。但由于缺乏系统成熟的质量文化引领，地方</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本科院校的质量管理闭环难以充分发挥效用，质量</w:t>
      </w:r>
      <w:r>
        <w:rPr>
          <w:rFonts w:ascii="微软雅黑" w:hAnsi="微软雅黑" w:eastAsia="微软雅黑" w:cs="微软雅黑"/>
          <w:spacing w:val="14"/>
          <w:sz w:val="20"/>
          <w:szCs w:val="20"/>
        </w:rPr>
        <w:t xml:space="preserve"> </w:t>
      </w:r>
      <w:r>
        <w:rPr>
          <w:rFonts w:ascii="微软雅黑" w:hAnsi="微软雅黑" w:eastAsia="微软雅黑" w:cs="微软雅黑"/>
          <w:spacing w:val="-1"/>
          <w:sz w:val="20"/>
          <w:szCs w:val="20"/>
        </w:rPr>
        <w:t>管理过程中常表现出“</w:t>
      </w:r>
      <w:r>
        <w:rPr>
          <w:rFonts w:ascii="微软雅黑" w:hAnsi="微软雅黑" w:eastAsia="微软雅黑" w:cs="微软雅黑"/>
          <w:spacing w:val="-24"/>
          <w:sz w:val="20"/>
          <w:szCs w:val="20"/>
        </w:rPr>
        <w:t xml:space="preserve"> </w:t>
      </w:r>
      <w:r>
        <w:rPr>
          <w:rFonts w:ascii="微软雅黑" w:hAnsi="微软雅黑" w:eastAsia="微软雅黑" w:cs="微软雅黑"/>
          <w:spacing w:val="-1"/>
          <w:sz w:val="20"/>
          <w:szCs w:val="20"/>
        </w:rPr>
        <w:t>三重三轻”的现象：一是重监</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管、轻调控</w:t>
      </w:r>
      <w:r>
        <w:rPr>
          <w:rFonts w:ascii="微软雅黑" w:hAnsi="微软雅黑" w:eastAsia="微软雅黑" w:cs="微软雅黑"/>
          <w:spacing w:val="-24"/>
          <w:sz w:val="20"/>
          <w:szCs w:val="20"/>
        </w:rPr>
        <w:t xml:space="preserve"> </w:t>
      </w:r>
      <w:r>
        <w:rPr>
          <w:rFonts w:ascii="微软雅黑" w:hAnsi="微软雅黑" w:eastAsia="微软雅黑" w:cs="微软雅黑"/>
          <w:spacing w:val="-1"/>
          <w:sz w:val="20"/>
          <w:szCs w:val="20"/>
        </w:rPr>
        <w:t>。注重从各渠道搜集教学信息，能够对发</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现的问题及时处理，但是针对问题根源的改进措施</w:t>
      </w:r>
      <w:r>
        <w:rPr>
          <w:rFonts w:ascii="微软雅黑" w:hAnsi="微软雅黑" w:eastAsia="微软雅黑" w:cs="微软雅黑"/>
          <w:spacing w:val="14"/>
          <w:sz w:val="20"/>
          <w:szCs w:val="20"/>
        </w:rPr>
        <w:t xml:space="preserve"> </w:t>
      </w:r>
      <w:r>
        <w:rPr>
          <w:rFonts w:ascii="微软雅黑" w:hAnsi="微软雅黑" w:eastAsia="微软雅黑" w:cs="微软雅黑"/>
          <w:spacing w:val="7"/>
          <w:sz w:val="20"/>
          <w:szCs w:val="20"/>
        </w:rPr>
        <w:t>和力度不够</w:t>
      </w:r>
      <w:r>
        <w:rPr>
          <w:rFonts w:ascii="微软雅黑" w:hAnsi="微软雅黑" w:eastAsia="微软雅黑" w:cs="微软雅黑"/>
          <w:spacing w:val="-29"/>
          <w:sz w:val="20"/>
          <w:szCs w:val="20"/>
        </w:rPr>
        <w:t xml:space="preserve"> </w:t>
      </w:r>
      <w:r>
        <w:rPr>
          <w:rFonts w:ascii="微软雅黑" w:hAnsi="微软雅黑" w:eastAsia="微软雅黑" w:cs="微软雅黑"/>
          <w:spacing w:val="7"/>
          <w:sz w:val="20"/>
          <w:szCs w:val="20"/>
        </w:rPr>
        <w:t>。二是重制度、轻落实</w:t>
      </w:r>
      <w:r>
        <w:rPr>
          <w:rFonts w:ascii="微软雅黑" w:hAnsi="微软雅黑" w:eastAsia="微软雅黑" w:cs="微软雅黑"/>
          <w:spacing w:val="-31"/>
          <w:sz w:val="20"/>
          <w:szCs w:val="20"/>
        </w:rPr>
        <w:t xml:space="preserve"> </w:t>
      </w:r>
      <w:r>
        <w:rPr>
          <w:rFonts w:ascii="微软雅黑" w:hAnsi="微软雅黑" w:eastAsia="微软雅黑" w:cs="微软雅黑"/>
          <w:spacing w:val="7"/>
          <w:sz w:val="20"/>
          <w:szCs w:val="20"/>
        </w:rPr>
        <w:t>。地方本科院校</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建立了较为齐全的质量管理制度，但缺乏制度执行</w:t>
      </w:r>
      <w:r>
        <w:rPr>
          <w:rFonts w:ascii="微软雅黑" w:hAnsi="微软雅黑" w:eastAsia="微软雅黑" w:cs="微软雅黑"/>
          <w:spacing w:val="14"/>
          <w:sz w:val="20"/>
          <w:szCs w:val="20"/>
        </w:rPr>
        <w:t xml:space="preserve"> </w:t>
      </w:r>
      <w:r>
        <w:rPr>
          <w:rFonts w:ascii="微软雅黑" w:hAnsi="微软雅黑" w:eastAsia="微软雅黑" w:cs="微软雅黑"/>
          <w:spacing w:val="9"/>
          <w:sz w:val="20"/>
          <w:szCs w:val="20"/>
        </w:rPr>
        <w:t>情况的监管督查，制度执行效率和效果难以得到保</w:t>
      </w:r>
    </w:p>
    <w:p>
      <w:pPr>
        <w:spacing w:line="217" w:lineRule="auto"/>
        <w:rPr>
          <w:rFonts w:ascii="微软雅黑" w:hAnsi="微软雅黑" w:eastAsia="微软雅黑" w:cs="微软雅黑"/>
          <w:sz w:val="20"/>
          <w:szCs w:val="20"/>
        </w:rPr>
        <w:sectPr>
          <w:type w:val="continuous"/>
          <w:pgSz w:w="11906" w:h="16838"/>
          <w:pgMar w:top="400" w:right="1057" w:bottom="547" w:left="407" w:header="0" w:footer="354" w:gutter="0"/>
          <w:cols w:equalWidth="0" w:num="2">
            <w:col w:w="5647" w:space="100"/>
            <w:col w:w="4694"/>
          </w:cols>
        </w:sectPr>
      </w:pPr>
    </w:p>
    <w:p>
      <w:pPr>
        <w:spacing w:before="74"/>
      </w:pPr>
    </w:p>
    <w:p>
      <w:pPr>
        <w:spacing w:before="74"/>
      </w:pPr>
    </w:p>
    <w:p>
      <w:pPr>
        <w:spacing w:before="73"/>
      </w:pPr>
    </w:p>
    <w:p>
      <w:pPr>
        <w:sectPr>
          <w:footerReference r:id="rId81" w:type="default"/>
          <w:pgSz w:w="11906" w:h="16838"/>
          <w:pgMar w:top="400" w:right="1055" w:bottom="547" w:left="407" w:header="0" w:footer="354" w:gutter="0"/>
          <w:cols w:equalWidth="0" w:num="1">
            <w:col w:w="10443"/>
          </w:cols>
        </w:sectPr>
      </w:pPr>
    </w:p>
    <w:p>
      <w:pPr>
        <w:spacing w:before="45" w:line="218" w:lineRule="auto"/>
        <w:ind w:left="730" w:right="222"/>
        <w:jc w:val="both"/>
        <w:rPr>
          <w:rFonts w:ascii="微软雅黑" w:hAnsi="微软雅黑" w:eastAsia="微软雅黑" w:cs="微软雅黑"/>
          <w:sz w:val="20"/>
          <w:szCs w:val="20"/>
        </w:rPr>
      </w:pPr>
      <w:r>
        <w:rPr>
          <w:rFonts w:ascii="微软雅黑" w:hAnsi="微软雅黑" w:eastAsia="微软雅黑" w:cs="微软雅黑"/>
          <w:spacing w:val="7"/>
          <w:sz w:val="20"/>
          <w:szCs w:val="20"/>
        </w:rPr>
        <w:t>证</w:t>
      </w:r>
      <w:r>
        <w:rPr>
          <w:rFonts w:ascii="微软雅黑" w:hAnsi="微软雅黑" w:eastAsia="微软雅黑" w:cs="微软雅黑"/>
          <w:spacing w:val="-28"/>
          <w:sz w:val="20"/>
          <w:szCs w:val="20"/>
        </w:rPr>
        <w:t xml:space="preserve"> </w:t>
      </w:r>
      <w:r>
        <w:rPr>
          <w:rFonts w:ascii="微软雅黑" w:hAnsi="微软雅黑" w:eastAsia="微软雅黑" w:cs="微软雅黑"/>
          <w:spacing w:val="7"/>
          <w:sz w:val="20"/>
          <w:szCs w:val="20"/>
        </w:rPr>
        <w:t>。三是重日常、轻专项</w:t>
      </w:r>
      <w:r>
        <w:rPr>
          <w:rFonts w:ascii="微软雅黑" w:hAnsi="微软雅黑" w:eastAsia="微软雅黑" w:cs="微软雅黑"/>
          <w:spacing w:val="-31"/>
          <w:sz w:val="20"/>
          <w:szCs w:val="20"/>
        </w:rPr>
        <w:t xml:space="preserve"> </w:t>
      </w:r>
      <w:r>
        <w:rPr>
          <w:rFonts w:ascii="微软雅黑" w:hAnsi="微软雅黑" w:eastAsia="微软雅黑" w:cs="微软雅黑"/>
          <w:spacing w:val="7"/>
          <w:sz w:val="20"/>
          <w:szCs w:val="20"/>
        </w:rPr>
        <w:t>。多数高校常规质量监控</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只重视教学秩序的日常运行，对影响教学质量的关</w:t>
      </w:r>
      <w:r>
        <w:rPr>
          <w:rFonts w:ascii="微软雅黑" w:hAnsi="微软雅黑" w:eastAsia="微软雅黑" w:cs="微软雅黑"/>
          <w:spacing w:val="7"/>
          <w:sz w:val="20"/>
          <w:szCs w:val="20"/>
        </w:rPr>
        <w:t xml:space="preserve">  </w:t>
      </w:r>
      <w:r>
        <w:rPr>
          <w:rFonts w:ascii="微软雅黑" w:hAnsi="微软雅黑" w:eastAsia="微软雅黑" w:cs="微软雅黑"/>
          <w:spacing w:val="12"/>
          <w:sz w:val="20"/>
          <w:szCs w:val="20"/>
        </w:rPr>
        <w:t>键环节，如课程评估等专项评估开展还不到位</w:t>
      </w:r>
      <w:r>
        <w:rPr>
          <w:rFonts w:ascii="微软雅黑" w:hAnsi="微软雅黑" w:eastAsia="微软雅黑" w:cs="微软雅黑"/>
          <w:spacing w:val="12"/>
          <w:position w:val="8"/>
          <w:sz w:val="11"/>
          <w:szCs w:val="11"/>
        </w:rPr>
        <w:t>[2]</w:t>
      </w:r>
      <w:r>
        <w:rPr>
          <w:rFonts w:ascii="微软雅黑" w:hAnsi="微软雅黑" w:eastAsia="微软雅黑" w:cs="微软雅黑"/>
          <w:spacing w:val="33"/>
          <w:position w:val="8"/>
          <w:sz w:val="11"/>
          <w:szCs w:val="11"/>
        </w:rPr>
        <w:t xml:space="preserve"> </w:t>
      </w:r>
      <w:r>
        <w:rPr>
          <w:rFonts w:ascii="微软雅黑" w:hAnsi="微软雅黑" w:eastAsia="微软雅黑" w:cs="微软雅黑"/>
          <w:spacing w:val="12"/>
          <w:sz w:val="20"/>
          <w:szCs w:val="20"/>
        </w:rPr>
        <w:t>。</w:t>
      </w:r>
      <w:r>
        <w:rPr>
          <w:rFonts w:ascii="微软雅黑" w:hAnsi="微软雅黑" w:eastAsia="微软雅黑" w:cs="微软雅黑"/>
          <w:sz w:val="20"/>
          <w:szCs w:val="20"/>
        </w:rPr>
        <w:t xml:space="preserve"> </w:t>
      </w:r>
      <w:r>
        <w:rPr>
          <w:rFonts w:ascii="微软雅黑" w:hAnsi="微软雅黑" w:eastAsia="微软雅黑" w:cs="微软雅黑"/>
          <w:spacing w:val="13"/>
          <w:sz w:val="20"/>
          <w:szCs w:val="20"/>
        </w:rPr>
        <w:t>由于缺乏质量文化将质量内化为师生的自觉行为，</w:t>
      </w:r>
      <w:r>
        <w:rPr>
          <w:rFonts w:ascii="微软雅黑" w:hAnsi="微软雅黑" w:eastAsia="微软雅黑" w:cs="微软雅黑"/>
          <w:spacing w:val="5"/>
          <w:sz w:val="20"/>
          <w:szCs w:val="20"/>
        </w:rPr>
        <w:t xml:space="preserve"> </w:t>
      </w:r>
      <w:r>
        <w:rPr>
          <w:rFonts w:ascii="微软雅黑" w:hAnsi="微软雅黑" w:eastAsia="微软雅黑" w:cs="微软雅黑"/>
          <w:spacing w:val="9"/>
          <w:sz w:val="20"/>
          <w:szCs w:val="20"/>
        </w:rPr>
        <w:t>地方本科院校的质量保障仍主要依赖行政命令，质</w:t>
      </w:r>
      <w:r>
        <w:rPr>
          <w:rFonts w:ascii="微软雅黑" w:hAnsi="微软雅黑" w:eastAsia="微软雅黑" w:cs="微软雅黑"/>
          <w:spacing w:val="7"/>
          <w:sz w:val="20"/>
          <w:szCs w:val="20"/>
        </w:rPr>
        <w:t xml:space="preserve">  量问题只停留在“</w:t>
      </w:r>
      <w:r>
        <w:rPr>
          <w:rFonts w:ascii="微软雅黑" w:hAnsi="微软雅黑" w:eastAsia="微软雅黑" w:cs="微软雅黑"/>
          <w:spacing w:val="-28"/>
          <w:sz w:val="20"/>
          <w:szCs w:val="20"/>
        </w:rPr>
        <w:t xml:space="preserve"> </w:t>
      </w:r>
      <w:r>
        <w:rPr>
          <w:rFonts w:ascii="微软雅黑" w:hAnsi="微软雅黑" w:eastAsia="微软雅黑" w:cs="微软雅黑"/>
          <w:spacing w:val="7"/>
          <w:sz w:val="20"/>
          <w:szCs w:val="20"/>
        </w:rPr>
        <w:t>治标”层面而未直面短板</w:t>
      </w:r>
      <w:r>
        <w:rPr>
          <w:rFonts w:ascii="微软雅黑" w:hAnsi="微软雅黑" w:eastAsia="微软雅黑" w:cs="微软雅黑"/>
          <w:spacing w:val="-31"/>
          <w:sz w:val="20"/>
          <w:szCs w:val="20"/>
        </w:rPr>
        <w:t xml:space="preserve"> </w:t>
      </w:r>
      <w:r>
        <w:rPr>
          <w:rFonts w:ascii="微软雅黑" w:hAnsi="微软雅黑" w:eastAsia="微软雅黑" w:cs="微软雅黑"/>
          <w:spacing w:val="7"/>
          <w:sz w:val="20"/>
          <w:szCs w:val="20"/>
        </w:rPr>
        <w:t>。部分</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教学单位和教师在教育教学过程中发现问题的能力</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不足，对反馈的信息重视不够，采取的整改措施浮于</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表面，对日常质量保障活动被动应付，未能从根源上</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解决质量问题，缺乏质量改进的自觉性和积极性，反</w:t>
      </w:r>
      <w:r>
        <w:rPr>
          <w:rFonts w:ascii="微软雅黑" w:hAnsi="微软雅黑" w:eastAsia="微软雅黑" w:cs="微软雅黑"/>
          <w:spacing w:val="6"/>
          <w:sz w:val="20"/>
          <w:szCs w:val="20"/>
        </w:rPr>
        <w:t xml:space="preserve">  </w:t>
      </w:r>
      <w:r>
        <w:rPr>
          <w:rFonts w:ascii="微软雅黑" w:hAnsi="微软雅黑" w:eastAsia="微软雅黑" w:cs="微软雅黑"/>
          <w:spacing w:val="-2"/>
          <w:sz w:val="20"/>
          <w:szCs w:val="20"/>
        </w:rPr>
        <w:t>馈改进弱化，落实不力。</w:t>
      </w:r>
    </w:p>
    <w:p>
      <w:pPr>
        <w:spacing w:before="133" w:line="204" w:lineRule="auto"/>
        <w:ind w:left="735" w:right="300" w:firstLine="479"/>
        <w:rPr>
          <w:rFonts w:ascii="微软雅黑" w:hAnsi="微软雅黑" w:eastAsia="微软雅黑" w:cs="微软雅黑"/>
          <w:sz w:val="23"/>
          <w:szCs w:val="23"/>
        </w:rPr>
      </w:pPr>
      <w:r>
        <w:rPr>
          <w:rFonts w:ascii="微软雅黑" w:hAnsi="微软雅黑" w:eastAsia="微软雅黑" w:cs="微软雅黑"/>
          <w:spacing w:val="12"/>
          <w:sz w:val="23"/>
          <w:szCs w:val="23"/>
        </w:rPr>
        <w:t>三、地方本科院校质量文化建设的时代</w:t>
      </w:r>
      <w:r>
        <w:rPr>
          <w:rFonts w:ascii="微软雅黑" w:hAnsi="微软雅黑" w:eastAsia="微软雅黑" w:cs="微软雅黑"/>
          <w:spacing w:val="15"/>
          <w:sz w:val="23"/>
          <w:szCs w:val="23"/>
        </w:rPr>
        <w:t xml:space="preserve"> </w:t>
      </w:r>
      <w:r>
        <w:rPr>
          <w:rFonts w:ascii="微软雅黑" w:hAnsi="微软雅黑" w:eastAsia="微软雅黑" w:cs="微软雅黑"/>
          <w:spacing w:val="5"/>
          <w:sz w:val="23"/>
          <w:szCs w:val="23"/>
        </w:rPr>
        <w:t>意蕴</w:t>
      </w:r>
    </w:p>
    <w:p>
      <w:pPr>
        <w:spacing w:before="146" w:line="216" w:lineRule="auto"/>
        <w:ind w:left="730" w:right="218" w:firstLine="419"/>
        <w:rPr>
          <w:rFonts w:ascii="微软雅黑" w:hAnsi="微软雅黑" w:eastAsia="微软雅黑" w:cs="微软雅黑"/>
          <w:sz w:val="20"/>
          <w:szCs w:val="20"/>
        </w:rPr>
      </w:pPr>
      <w:r>
        <w:rPr>
          <w:rFonts w:ascii="微软雅黑" w:hAnsi="微软雅黑" w:eastAsia="微软雅黑" w:cs="微软雅黑"/>
          <w:spacing w:val="11"/>
          <w:sz w:val="20"/>
          <w:szCs w:val="20"/>
        </w:rPr>
        <w:t>新一轮审核评估实施方案提出的“</w:t>
      </w:r>
      <w:r>
        <w:rPr>
          <w:rFonts w:ascii="微软雅黑" w:hAnsi="微软雅黑" w:eastAsia="微软雅黑" w:cs="微软雅黑"/>
          <w:spacing w:val="-33"/>
          <w:sz w:val="20"/>
          <w:szCs w:val="20"/>
        </w:rPr>
        <w:t xml:space="preserve"> </w:t>
      </w:r>
      <w:r>
        <w:rPr>
          <w:rFonts w:ascii="微软雅黑" w:hAnsi="微软雅黑" w:eastAsia="微软雅黑" w:cs="微软雅黑"/>
          <w:spacing w:val="11"/>
          <w:sz w:val="20"/>
          <w:szCs w:val="20"/>
        </w:rPr>
        <w:t>质量文化</w:t>
      </w:r>
      <w:r>
        <w:rPr>
          <w:rFonts w:ascii="微软雅黑" w:hAnsi="微软雅黑" w:eastAsia="微软雅黑" w:cs="微软雅黑"/>
          <w:spacing w:val="-29"/>
          <w:sz w:val="20"/>
          <w:szCs w:val="20"/>
        </w:rPr>
        <w:t xml:space="preserve"> </w:t>
      </w:r>
      <w:r>
        <w:rPr>
          <w:rFonts w:ascii="微软雅黑" w:hAnsi="微软雅黑" w:eastAsia="微软雅黑" w:cs="微软雅黑"/>
          <w:spacing w:val="11"/>
          <w:sz w:val="20"/>
          <w:szCs w:val="20"/>
        </w:rPr>
        <w:t>”</w:t>
      </w:r>
      <w:r>
        <w:rPr>
          <w:rFonts w:ascii="微软雅黑" w:hAnsi="微软雅黑" w:eastAsia="微软雅黑" w:cs="微软雅黑"/>
          <w:sz w:val="20"/>
          <w:szCs w:val="20"/>
        </w:rPr>
        <w:t xml:space="preserve"> 要求，增添了领会高等教育质量文化精神实质、推</w:t>
      </w:r>
      <w:r>
        <w:rPr>
          <w:rFonts w:ascii="微软雅黑" w:hAnsi="微软雅黑" w:eastAsia="微软雅黑" w:cs="微软雅黑"/>
          <w:spacing w:val="-1"/>
          <w:sz w:val="20"/>
          <w:szCs w:val="20"/>
        </w:rPr>
        <w:t xml:space="preserve">进  </w:t>
      </w:r>
      <w:r>
        <w:rPr>
          <w:rFonts w:ascii="微软雅黑" w:hAnsi="微软雅黑" w:eastAsia="微软雅黑" w:cs="微软雅黑"/>
          <w:spacing w:val="7"/>
          <w:sz w:val="20"/>
          <w:szCs w:val="20"/>
        </w:rPr>
        <w:t>质量文化建设的难度</w:t>
      </w:r>
      <w:r>
        <w:rPr>
          <w:rFonts w:ascii="微软雅黑" w:hAnsi="微软雅黑" w:eastAsia="微软雅黑" w:cs="微软雅黑"/>
          <w:spacing w:val="-30"/>
          <w:sz w:val="20"/>
          <w:szCs w:val="20"/>
        </w:rPr>
        <w:t xml:space="preserve"> </w:t>
      </w:r>
      <w:r>
        <w:rPr>
          <w:rFonts w:ascii="微软雅黑" w:hAnsi="微软雅黑" w:eastAsia="微软雅黑" w:cs="微软雅黑"/>
          <w:spacing w:val="7"/>
          <w:sz w:val="20"/>
          <w:szCs w:val="20"/>
        </w:rPr>
        <w:t xml:space="preserve">。地方本科院校需要更准确地  </w:t>
      </w:r>
      <w:r>
        <w:rPr>
          <w:rFonts w:ascii="微软雅黑" w:hAnsi="微软雅黑" w:eastAsia="微软雅黑" w:cs="微软雅黑"/>
          <w:spacing w:val="9"/>
          <w:sz w:val="20"/>
          <w:szCs w:val="20"/>
        </w:rPr>
        <w:t>把握高等教育质量文化的内涵，理解质量文化的价</w:t>
      </w:r>
      <w:r>
        <w:rPr>
          <w:rFonts w:ascii="微软雅黑" w:hAnsi="微软雅黑" w:eastAsia="微软雅黑" w:cs="微软雅黑"/>
          <w:spacing w:val="7"/>
          <w:sz w:val="20"/>
          <w:szCs w:val="20"/>
        </w:rPr>
        <w:t xml:space="preserve">  </w:t>
      </w:r>
      <w:r>
        <w:rPr>
          <w:rFonts w:ascii="微软雅黑" w:hAnsi="微软雅黑" w:eastAsia="微软雅黑" w:cs="微软雅黑"/>
          <w:spacing w:val="9"/>
          <w:sz w:val="20"/>
          <w:szCs w:val="20"/>
        </w:rPr>
        <w:t>值意涵，才能在教育教学过程中充分发挥质量文化</w:t>
      </w:r>
      <w:r>
        <w:rPr>
          <w:rFonts w:ascii="微软雅黑" w:hAnsi="微软雅黑" w:eastAsia="微软雅黑" w:cs="微软雅黑"/>
          <w:spacing w:val="7"/>
          <w:sz w:val="20"/>
          <w:szCs w:val="20"/>
        </w:rPr>
        <w:t xml:space="preserve">  </w:t>
      </w:r>
      <w:r>
        <w:rPr>
          <w:rFonts w:ascii="微软雅黑" w:hAnsi="微软雅黑" w:eastAsia="微软雅黑" w:cs="微软雅黑"/>
          <w:spacing w:val="2"/>
          <w:sz w:val="20"/>
          <w:szCs w:val="20"/>
        </w:rPr>
        <w:t>的作用，推进高质量本科人才培养。</w:t>
      </w:r>
    </w:p>
    <w:p>
      <w:pPr>
        <w:spacing w:before="44" w:line="185" w:lineRule="auto"/>
        <w:ind w:left="1079"/>
        <w:rPr>
          <w:rFonts w:ascii="黑体" w:hAnsi="黑体" w:eastAsia="黑体" w:cs="黑体"/>
          <w:sz w:val="20"/>
          <w:szCs w:val="20"/>
        </w:rPr>
      </w:pPr>
      <w:r>
        <w:rPr>
          <w:rFonts w:ascii="微软雅黑" w:hAnsi="微软雅黑" w:eastAsia="微软雅黑" w:cs="微软雅黑"/>
          <w:spacing w:val="-2"/>
          <w:sz w:val="20"/>
          <w:szCs w:val="20"/>
        </w:rPr>
        <w:t>（</w:t>
      </w:r>
      <w:r>
        <w:rPr>
          <w:rFonts w:ascii="微软雅黑" w:hAnsi="微软雅黑" w:eastAsia="微软雅黑" w:cs="微软雅黑"/>
          <w:spacing w:val="-5"/>
          <w:sz w:val="20"/>
          <w:szCs w:val="20"/>
        </w:rPr>
        <w:t xml:space="preserve"> </w:t>
      </w:r>
      <w:r>
        <w:rPr>
          <w:rFonts w:ascii="黑体" w:hAnsi="黑体" w:eastAsia="黑体" w:cs="黑体"/>
          <w:spacing w:val="-2"/>
          <w:sz w:val="20"/>
          <w:szCs w:val="20"/>
        </w:rPr>
        <w:t>一</w:t>
      </w:r>
      <w:r>
        <w:rPr>
          <w:rFonts w:ascii="微软雅黑" w:hAnsi="微软雅黑" w:eastAsia="微软雅黑" w:cs="微软雅黑"/>
          <w:spacing w:val="-2"/>
          <w:sz w:val="20"/>
          <w:szCs w:val="20"/>
        </w:rPr>
        <w:t>）</w:t>
      </w:r>
      <w:r>
        <w:rPr>
          <w:rFonts w:ascii="黑体" w:hAnsi="黑体" w:eastAsia="黑体" w:cs="黑体"/>
          <w:spacing w:val="-2"/>
          <w:sz w:val="20"/>
          <w:szCs w:val="20"/>
        </w:rPr>
        <w:t>回应外部质量问责的需要</w:t>
      </w:r>
    </w:p>
    <w:p>
      <w:pPr>
        <w:spacing w:before="44" w:line="219" w:lineRule="auto"/>
        <w:ind w:left="729" w:right="222" w:firstLine="425"/>
        <w:rPr>
          <w:rFonts w:ascii="微软雅黑" w:hAnsi="微软雅黑" w:eastAsia="微软雅黑" w:cs="微软雅黑"/>
          <w:sz w:val="20"/>
          <w:szCs w:val="20"/>
        </w:rPr>
      </w:pPr>
      <w:r>
        <w:rPr>
          <w:rFonts w:ascii="微软雅黑" w:hAnsi="微软雅黑" w:eastAsia="微软雅黑" w:cs="微软雅黑"/>
          <w:spacing w:val="9"/>
          <w:sz w:val="20"/>
          <w:szCs w:val="20"/>
        </w:rPr>
        <w:t>高校办学受校内外诸多组织机构和利益相关群</w:t>
      </w:r>
      <w:r>
        <w:rPr>
          <w:rFonts w:ascii="微软雅黑" w:hAnsi="微软雅黑" w:eastAsia="微软雅黑" w:cs="微软雅黑"/>
          <w:spacing w:val="4"/>
          <w:sz w:val="20"/>
          <w:szCs w:val="20"/>
        </w:rPr>
        <w:t xml:space="preserve">  </w:t>
      </w:r>
      <w:r>
        <w:rPr>
          <w:rFonts w:ascii="微软雅黑" w:hAnsi="微软雅黑" w:eastAsia="微软雅黑" w:cs="微软雅黑"/>
          <w:spacing w:val="9"/>
          <w:sz w:val="20"/>
          <w:szCs w:val="20"/>
        </w:rPr>
        <w:t>体的影响，高等教育的大规模和高速增长引发了社</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会的广泛关注和信任危机，对办学实力相对较弱的</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地方本科院校而言，来自外部的质量疑虑更加明显。</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实施高等教育质量保障，开展对人才培养质量的评</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价，目的之一就是让高校通过质量管理重建信誉，重</w:t>
      </w:r>
      <w:r>
        <w:rPr>
          <w:rFonts w:ascii="微软雅黑" w:hAnsi="微软雅黑" w:eastAsia="微软雅黑" w:cs="微软雅黑"/>
          <w:spacing w:val="7"/>
          <w:sz w:val="20"/>
          <w:szCs w:val="20"/>
        </w:rPr>
        <w:t xml:space="preserve">  </w:t>
      </w:r>
      <w:r>
        <w:rPr>
          <w:rFonts w:ascii="微软雅黑" w:hAnsi="微软雅黑" w:eastAsia="微软雅黑" w:cs="微软雅黑"/>
          <w:spacing w:val="9"/>
          <w:sz w:val="20"/>
          <w:szCs w:val="20"/>
        </w:rPr>
        <w:t>获信任，以积极正面的状态和持续改进的质量回应</w:t>
      </w:r>
      <w:r>
        <w:rPr>
          <w:rFonts w:ascii="微软雅黑" w:hAnsi="微软雅黑" w:eastAsia="微软雅黑" w:cs="微软雅黑"/>
          <w:spacing w:val="8"/>
          <w:sz w:val="20"/>
          <w:szCs w:val="20"/>
        </w:rPr>
        <w:t xml:space="preserve">  社会各界关切</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。政府推动相关行业部门联合建立的</w:t>
      </w:r>
      <w:r>
        <w:rPr>
          <w:rFonts w:ascii="微软雅黑" w:hAnsi="微软雅黑" w:eastAsia="微软雅黑" w:cs="微软雅黑"/>
          <w:sz w:val="20"/>
          <w:szCs w:val="20"/>
        </w:rPr>
        <w:t xml:space="preserve">  审核评估制度，不仅对高等教育的健康、持续发展发</w:t>
      </w:r>
      <w:r>
        <w:rPr>
          <w:rFonts w:ascii="微软雅黑" w:hAnsi="微软雅黑" w:eastAsia="微软雅黑" w:cs="微软雅黑"/>
          <w:spacing w:val="7"/>
          <w:sz w:val="20"/>
          <w:szCs w:val="20"/>
        </w:rPr>
        <w:t xml:space="preserve">  </w:t>
      </w:r>
      <w:r>
        <w:rPr>
          <w:rFonts w:ascii="微软雅黑" w:hAnsi="微软雅黑" w:eastAsia="微软雅黑" w:cs="微软雅黑"/>
          <w:spacing w:val="9"/>
          <w:sz w:val="20"/>
          <w:szCs w:val="20"/>
        </w:rPr>
        <w:t>挥了重要作用，而且为质量文化发展注入了新的动</w:t>
      </w:r>
      <w:r>
        <w:rPr>
          <w:rFonts w:ascii="微软雅黑" w:hAnsi="微软雅黑" w:eastAsia="微软雅黑" w:cs="微软雅黑"/>
          <w:spacing w:val="8"/>
          <w:sz w:val="20"/>
          <w:szCs w:val="20"/>
        </w:rPr>
        <w:t xml:space="preserve">  力，质量评估理念已经为高校所接受和认同</w:t>
      </w:r>
      <w:r>
        <w:rPr>
          <w:rFonts w:ascii="微软雅黑" w:hAnsi="微软雅黑" w:eastAsia="微软雅黑" w:cs="微软雅黑"/>
          <w:spacing w:val="8"/>
          <w:position w:val="8"/>
          <w:sz w:val="11"/>
          <w:szCs w:val="11"/>
        </w:rPr>
        <w:t xml:space="preserve">[3]  </w:t>
      </w:r>
      <w:r>
        <w:rPr>
          <w:rFonts w:ascii="微软雅黑" w:hAnsi="微软雅黑" w:eastAsia="微软雅黑" w:cs="微软雅黑"/>
          <w:spacing w:val="8"/>
          <w:sz w:val="20"/>
          <w:szCs w:val="20"/>
        </w:rPr>
        <w:t>。审</w:t>
      </w:r>
      <w:r>
        <w:rPr>
          <w:rFonts w:ascii="微软雅黑" w:hAnsi="微软雅黑" w:eastAsia="微软雅黑" w:cs="微软雅黑"/>
          <w:spacing w:val="1"/>
          <w:sz w:val="20"/>
          <w:szCs w:val="20"/>
        </w:rPr>
        <w:t xml:space="preserve">  </w:t>
      </w:r>
      <w:r>
        <w:rPr>
          <w:rFonts w:ascii="微软雅黑" w:hAnsi="微软雅黑" w:eastAsia="微软雅黑" w:cs="微软雅黑"/>
          <w:spacing w:val="8"/>
          <w:sz w:val="20"/>
          <w:szCs w:val="20"/>
        </w:rPr>
        <w:t>核评估作为对高校教学质量“</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把脉诊断”的重要手</w:t>
      </w:r>
      <w:r>
        <w:rPr>
          <w:rFonts w:ascii="微软雅黑" w:hAnsi="微软雅黑" w:eastAsia="微软雅黑" w:cs="微软雅黑"/>
          <w:sz w:val="20"/>
          <w:szCs w:val="20"/>
        </w:rPr>
        <w:t xml:space="preserve">  段，将诊断结果告诉被评估学校，学校根据诊断结果</w:t>
      </w:r>
      <w:r>
        <w:rPr>
          <w:rFonts w:ascii="微软雅黑" w:hAnsi="微软雅黑" w:eastAsia="微软雅黑" w:cs="微软雅黑"/>
          <w:spacing w:val="7"/>
          <w:sz w:val="20"/>
          <w:szCs w:val="20"/>
        </w:rPr>
        <w:t xml:space="preserve">  </w:t>
      </w:r>
      <w:r>
        <w:rPr>
          <w:rFonts w:ascii="微软雅黑" w:hAnsi="微软雅黑" w:eastAsia="微软雅黑" w:cs="微软雅黑"/>
          <w:spacing w:val="5"/>
          <w:sz w:val="20"/>
          <w:szCs w:val="20"/>
        </w:rPr>
        <w:t>对症下药</w:t>
      </w:r>
      <w:r>
        <w:rPr>
          <w:rFonts w:ascii="微软雅黑" w:hAnsi="微软雅黑" w:eastAsia="微软雅黑" w:cs="微软雅黑"/>
          <w:spacing w:val="-24"/>
          <w:sz w:val="20"/>
          <w:szCs w:val="20"/>
        </w:rPr>
        <w:t xml:space="preserve"> </w:t>
      </w:r>
      <w:r>
        <w:rPr>
          <w:rFonts w:ascii="微软雅黑" w:hAnsi="微软雅黑" w:eastAsia="微软雅黑" w:cs="微软雅黑"/>
          <w:spacing w:val="5"/>
          <w:sz w:val="20"/>
          <w:szCs w:val="20"/>
        </w:rPr>
        <w:t>。“接受把脉诊断—</w:t>
      </w:r>
      <w:r>
        <w:rPr>
          <w:rFonts w:ascii="微软雅黑" w:hAnsi="微软雅黑" w:eastAsia="微软雅黑" w:cs="微软雅黑"/>
          <w:spacing w:val="-43"/>
          <w:sz w:val="20"/>
          <w:szCs w:val="20"/>
        </w:rPr>
        <w:t xml:space="preserve"> </w:t>
      </w:r>
      <w:r>
        <w:rPr>
          <w:rFonts w:ascii="微软雅黑" w:hAnsi="微软雅黑" w:eastAsia="微软雅黑" w:cs="微软雅黑"/>
          <w:spacing w:val="5"/>
          <w:sz w:val="20"/>
          <w:szCs w:val="20"/>
        </w:rPr>
        <w:t>主动寻药问诊—</w:t>
      </w:r>
      <w:r>
        <w:rPr>
          <w:rFonts w:ascii="微软雅黑" w:hAnsi="微软雅黑" w:eastAsia="微软雅黑" w:cs="微软雅黑"/>
          <w:spacing w:val="-39"/>
          <w:sz w:val="20"/>
          <w:szCs w:val="20"/>
        </w:rPr>
        <w:t xml:space="preserve"> </w:t>
      </w:r>
      <w:r>
        <w:rPr>
          <w:rFonts w:ascii="微软雅黑" w:hAnsi="微软雅黑" w:eastAsia="微软雅黑" w:cs="微软雅黑"/>
          <w:spacing w:val="5"/>
          <w:sz w:val="20"/>
          <w:szCs w:val="20"/>
        </w:rPr>
        <w:t>习惯</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持续改进”的过程就是高校形成质量自觉、质量习</w:t>
      </w:r>
      <w:r>
        <w:rPr>
          <w:rFonts w:ascii="微软雅黑" w:hAnsi="微软雅黑" w:eastAsia="微软雅黑" w:cs="微软雅黑"/>
          <w:spacing w:val="8"/>
          <w:sz w:val="20"/>
          <w:szCs w:val="20"/>
        </w:rPr>
        <w:t xml:space="preserve">  </w:t>
      </w:r>
      <w:r>
        <w:rPr>
          <w:rFonts w:ascii="微软雅黑" w:hAnsi="微软雅黑" w:eastAsia="微软雅黑" w:cs="微软雅黑"/>
          <w:spacing w:val="18"/>
          <w:sz w:val="20"/>
          <w:szCs w:val="20"/>
        </w:rPr>
        <w:t>惯和质量文化的过程</w:t>
      </w:r>
      <w:r>
        <w:rPr>
          <w:rFonts w:ascii="微软雅黑" w:hAnsi="微软雅黑" w:eastAsia="微软雅黑" w:cs="微软雅黑"/>
          <w:spacing w:val="-23"/>
          <w:sz w:val="20"/>
          <w:szCs w:val="20"/>
        </w:rPr>
        <w:t xml:space="preserve"> </w:t>
      </w:r>
      <w:r>
        <w:rPr>
          <w:rFonts w:ascii="微软雅黑" w:hAnsi="微软雅黑" w:eastAsia="微软雅黑" w:cs="微软雅黑"/>
          <w:spacing w:val="18"/>
          <w:sz w:val="20"/>
          <w:szCs w:val="20"/>
        </w:rPr>
        <w:t>。地方本科院校应将以评促</w:t>
      </w:r>
      <w:r>
        <w:rPr>
          <w:rFonts w:ascii="微软雅黑" w:hAnsi="微软雅黑" w:eastAsia="微软雅黑" w:cs="微软雅黑"/>
          <w:sz w:val="20"/>
          <w:szCs w:val="20"/>
        </w:rPr>
        <w:t xml:space="preserve">  建、学生中心、持续改进的价值观作为质量文化建设</w:t>
      </w:r>
      <w:r>
        <w:rPr>
          <w:rFonts w:ascii="微软雅黑" w:hAnsi="微软雅黑" w:eastAsia="微软雅黑" w:cs="微软雅黑"/>
          <w:spacing w:val="7"/>
          <w:sz w:val="20"/>
          <w:szCs w:val="20"/>
        </w:rPr>
        <w:t xml:space="preserve">  </w:t>
      </w:r>
      <w:r>
        <w:rPr>
          <w:rFonts w:ascii="微软雅黑" w:hAnsi="微软雅黑" w:eastAsia="微软雅黑" w:cs="微软雅黑"/>
          <w:spacing w:val="-8"/>
          <w:sz w:val="20"/>
          <w:szCs w:val="20"/>
        </w:rPr>
        <w:t xml:space="preserve">的重要内容，培育、发展、创新质量文化，才能不断适  </w:t>
      </w:r>
      <w:r>
        <w:rPr>
          <w:rFonts w:ascii="微软雅黑" w:hAnsi="微软雅黑" w:eastAsia="微软雅黑" w:cs="微软雅黑"/>
          <w:sz w:val="20"/>
          <w:szCs w:val="20"/>
        </w:rPr>
        <w:t>应高等教育发展新要求，消解社会各界的质疑，树立</w:t>
      </w:r>
      <w:r>
        <w:rPr>
          <w:rFonts w:ascii="微软雅黑" w:hAnsi="微软雅黑" w:eastAsia="微软雅黑" w:cs="微软雅黑"/>
          <w:spacing w:val="7"/>
          <w:sz w:val="20"/>
          <w:szCs w:val="20"/>
        </w:rPr>
        <w:t xml:space="preserve">  良好的社会声誉。</w:t>
      </w:r>
    </w:p>
    <w:p>
      <w:pPr>
        <w:spacing w:before="55" w:line="185" w:lineRule="auto"/>
        <w:ind w:left="1079"/>
        <w:rPr>
          <w:rFonts w:ascii="黑体" w:hAnsi="黑体" w:eastAsia="黑体" w:cs="黑体"/>
          <w:sz w:val="20"/>
          <w:szCs w:val="20"/>
        </w:rPr>
      </w:pPr>
      <w:r>
        <w:rPr>
          <w:rFonts w:ascii="微软雅黑" w:hAnsi="微软雅黑" w:eastAsia="微软雅黑" w:cs="微软雅黑"/>
          <w:spacing w:val="-1"/>
          <w:sz w:val="20"/>
          <w:szCs w:val="20"/>
        </w:rPr>
        <w:t>（</w:t>
      </w:r>
      <w:r>
        <w:rPr>
          <w:rFonts w:ascii="微软雅黑" w:hAnsi="微软雅黑" w:eastAsia="微软雅黑" w:cs="微软雅黑"/>
          <w:spacing w:val="2"/>
          <w:sz w:val="20"/>
          <w:szCs w:val="20"/>
        </w:rPr>
        <w:t xml:space="preserve"> </w:t>
      </w:r>
      <w:r>
        <w:rPr>
          <w:rFonts w:ascii="黑体" w:hAnsi="黑体" w:eastAsia="黑体" w:cs="黑体"/>
          <w:spacing w:val="-1"/>
          <w:sz w:val="20"/>
          <w:szCs w:val="20"/>
        </w:rPr>
        <w:t>二</w:t>
      </w:r>
      <w:r>
        <w:rPr>
          <w:rFonts w:ascii="微软雅黑" w:hAnsi="微软雅黑" w:eastAsia="微软雅黑" w:cs="微软雅黑"/>
          <w:spacing w:val="-1"/>
          <w:sz w:val="20"/>
          <w:szCs w:val="20"/>
        </w:rPr>
        <w:t>）</w:t>
      </w:r>
      <w:r>
        <w:rPr>
          <w:rFonts w:ascii="黑体" w:hAnsi="黑体" w:eastAsia="黑体" w:cs="黑体"/>
          <w:spacing w:val="-1"/>
          <w:sz w:val="20"/>
          <w:szCs w:val="20"/>
        </w:rPr>
        <w:t>完善内部质量保障机制的需要</w:t>
      </w:r>
    </w:p>
    <w:p>
      <w:pPr>
        <w:spacing w:before="48" w:line="211" w:lineRule="auto"/>
        <w:ind w:left="732" w:right="300" w:firstLine="440"/>
        <w:rPr>
          <w:rFonts w:ascii="微软雅黑" w:hAnsi="微软雅黑" w:eastAsia="微软雅黑" w:cs="微软雅黑"/>
          <w:sz w:val="20"/>
          <w:szCs w:val="20"/>
        </w:rPr>
      </w:pPr>
      <w:r>
        <w:rPr>
          <w:rFonts w:ascii="微软雅黑" w:hAnsi="微软雅黑" w:eastAsia="微软雅黑" w:cs="微软雅黑"/>
          <w:spacing w:val="8"/>
          <w:sz w:val="20"/>
          <w:szCs w:val="20"/>
        </w:rPr>
        <w:t>内生发展理论强调主导发展的根本动力来自组</w:t>
      </w:r>
      <w:r>
        <w:rPr>
          <w:rFonts w:ascii="微软雅黑" w:hAnsi="微软雅黑" w:eastAsia="微软雅黑" w:cs="微软雅黑"/>
          <w:spacing w:val="11"/>
          <w:sz w:val="20"/>
          <w:szCs w:val="20"/>
        </w:rPr>
        <w:t xml:space="preserve"> </w:t>
      </w:r>
      <w:r>
        <w:rPr>
          <w:rFonts w:ascii="微软雅黑" w:hAnsi="微软雅黑" w:eastAsia="微软雅黑" w:cs="微软雅黑"/>
          <w:spacing w:val="8"/>
          <w:sz w:val="20"/>
          <w:szCs w:val="20"/>
        </w:rPr>
        <w:t>织的内部</w:t>
      </w:r>
      <w:r>
        <w:rPr>
          <w:rFonts w:ascii="微软雅黑" w:hAnsi="微软雅黑" w:eastAsia="微软雅黑" w:cs="微软雅黑"/>
          <w:spacing w:val="-24"/>
          <w:sz w:val="20"/>
          <w:szCs w:val="20"/>
        </w:rPr>
        <w:t xml:space="preserve"> </w:t>
      </w:r>
      <w:r>
        <w:rPr>
          <w:rFonts w:ascii="微软雅黑" w:hAnsi="微软雅黑" w:eastAsia="微软雅黑" w:cs="微软雅黑"/>
          <w:spacing w:val="8"/>
          <w:sz w:val="20"/>
          <w:szCs w:val="20"/>
        </w:rPr>
        <w:t>。地方本科院校教育教学质量的提升同样</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源自学校内部形成质量持续改进的机制，通过对质</w:t>
      </w:r>
    </w:p>
    <w:p>
      <w:pPr>
        <w:spacing w:line="14" w:lineRule="auto"/>
        <w:rPr>
          <w:rFonts w:ascii="Arial"/>
          <w:sz w:val="2"/>
        </w:rPr>
      </w:pPr>
      <w:r>
        <w:rPr>
          <w:rFonts w:ascii="Arial" w:hAnsi="Arial" w:eastAsia="Arial" w:cs="Arial"/>
          <w:sz w:val="2"/>
          <w:szCs w:val="2"/>
        </w:rPr>
        <w:br w:type="column"/>
      </w:r>
    </w:p>
    <w:p>
      <w:pPr>
        <w:spacing w:before="31" w:line="219" w:lineRule="auto"/>
        <w:ind w:left="1" w:right="35" w:firstLine="1"/>
        <w:jc w:val="both"/>
        <w:rPr>
          <w:rFonts w:ascii="微软雅黑" w:hAnsi="微软雅黑" w:eastAsia="微软雅黑" w:cs="微软雅黑"/>
          <w:sz w:val="20"/>
          <w:szCs w:val="20"/>
        </w:rPr>
      </w:pPr>
      <w:r>
        <w:rPr>
          <w:rFonts w:ascii="微软雅黑" w:hAnsi="微软雅黑" w:eastAsia="微软雅黑" w:cs="微软雅黑"/>
          <w:spacing w:val="9"/>
          <w:sz w:val="20"/>
          <w:szCs w:val="20"/>
        </w:rPr>
        <w:t>量目标的科学界定、质量生成的全程分析，运用制</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度、程序、规范、文化等对教育教学质量的关键点实</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施调控，实现学校人才培养质量管理的目标</w:t>
      </w:r>
      <w:r>
        <w:rPr>
          <w:rFonts w:ascii="微软雅黑" w:hAnsi="微软雅黑" w:eastAsia="微软雅黑" w:cs="微软雅黑"/>
          <w:spacing w:val="8"/>
          <w:position w:val="8"/>
          <w:sz w:val="11"/>
          <w:szCs w:val="11"/>
        </w:rPr>
        <w:t xml:space="preserve">[4]  </w:t>
      </w:r>
      <w:r>
        <w:rPr>
          <w:rFonts w:ascii="微软雅黑" w:hAnsi="微软雅黑" w:eastAsia="微软雅黑" w:cs="微软雅黑"/>
          <w:spacing w:val="8"/>
          <w:sz w:val="20"/>
          <w:szCs w:val="20"/>
        </w:rPr>
        <w:t>。在</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复杂理论中，内部系统的环境是序参量，技术工具和</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手段是快变量，文化是慢变量，系统的发展最终取决</w:t>
      </w:r>
      <w:r>
        <w:rPr>
          <w:rFonts w:ascii="微软雅黑" w:hAnsi="微软雅黑" w:eastAsia="微软雅黑" w:cs="微软雅黑"/>
          <w:spacing w:val="6"/>
          <w:sz w:val="20"/>
          <w:szCs w:val="20"/>
        </w:rPr>
        <w:t xml:space="preserve">  </w:t>
      </w:r>
      <w:r>
        <w:rPr>
          <w:rFonts w:ascii="微软雅黑" w:hAnsi="微软雅黑" w:eastAsia="微软雅黑" w:cs="微软雅黑"/>
          <w:spacing w:val="18"/>
          <w:sz w:val="20"/>
          <w:szCs w:val="20"/>
        </w:rPr>
        <w:t>于慢变量</w:t>
      </w:r>
      <w:r>
        <w:rPr>
          <w:rFonts w:ascii="微软雅黑" w:hAnsi="微软雅黑" w:eastAsia="微软雅黑" w:cs="微软雅黑"/>
          <w:spacing w:val="-24"/>
          <w:sz w:val="20"/>
          <w:szCs w:val="20"/>
        </w:rPr>
        <w:t xml:space="preserve"> </w:t>
      </w:r>
      <w:r>
        <w:rPr>
          <w:rFonts w:ascii="微软雅黑" w:hAnsi="微软雅黑" w:eastAsia="微软雅黑" w:cs="微软雅黑"/>
          <w:spacing w:val="18"/>
          <w:sz w:val="20"/>
          <w:szCs w:val="20"/>
        </w:rPr>
        <w:t>。质量文化建设能不断强化高校组织文</w:t>
      </w:r>
      <w:r>
        <w:rPr>
          <w:rFonts w:ascii="微软雅黑" w:hAnsi="微软雅黑" w:eastAsia="微软雅黑" w:cs="微软雅黑"/>
          <w:sz w:val="20"/>
          <w:szCs w:val="20"/>
        </w:rPr>
        <w:t xml:space="preserve">  化，使学校文化发挥引领和凝聚作用，规范教职员工</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的育人观念，调节他们的育人行为，聚合人心，使学</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校办学方向不发生偏移或错位</w:t>
      </w:r>
      <w:r>
        <w:rPr>
          <w:rFonts w:ascii="微软雅黑" w:hAnsi="微软雅黑" w:eastAsia="微软雅黑" w:cs="微软雅黑"/>
          <w:spacing w:val="-22"/>
          <w:sz w:val="20"/>
          <w:szCs w:val="20"/>
        </w:rPr>
        <w:t xml:space="preserve"> </w:t>
      </w:r>
      <w:r>
        <w:rPr>
          <w:rFonts w:ascii="微软雅黑" w:hAnsi="微软雅黑" w:eastAsia="微软雅黑" w:cs="微软雅黑"/>
          <w:spacing w:val="8"/>
          <w:sz w:val="20"/>
          <w:szCs w:val="20"/>
        </w:rPr>
        <w:t>。质量文化注重高等</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教育内涵式发展中的价值建设，强调质量保障的目</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的性、质量主体的内在自觉，使质量管理和质量保障</w:t>
      </w:r>
      <w:r>
        <w:rPr>
          <w:rFonts w:ascii="微软雅黑" w:hAnsi="微软雅黑" w:eastAsia="微软雅黑" w:cs="微软雅黑"/>
          <w:spacing w:val="6"/>
          <w:sz w:val="20"/>
          <w:szCs w:val="20"/>
        </w:rPr>
        <w:t xml:space="preserve">  </w:t>
      </w:r>
      <w:r>
        <w:rPr>
          <w:rFonts w:ascii="微软雅黑" w:hAnsi="微软雅黑" w:eastAsia="微软雅黑" w:cs="微软雅黑"/>
          <w:spacing w:val="9"/>
          <w:sz w:val="20"/>
          <w:szCs w:val="20"/>
        </w:rPr>
        <w:t xml:space="preserve">同师生个人成长结合在一起，成为每一个主体的内 </w:t>
      </w:r>
      <w:r>
        <w:rPr>
          <w:rFonts w:ascii="微软雅黑" w:hAnsi="微软雅黑" w:eastAsia="微软雅黑" w:cs="微软雅黑"/>
          <w:spacing w:val="1"/>
          <w:sz w:val="20"/>
          <w:szCs w:val="20"/>
        </w:rPr>
        <w:t>在发展动力。因此，凸显质量本源和质量主</w:t>
      </w:r>
      <w:r>
        <w:rPr>
          <w:rFonts w:ascii="微软雅黑" w:hAnsi="微软雅黑" w:eastAsia="微软雅黑" w:cs="微软雅黑"/>
          <w:sz w:val="20"/>
          <w:szCs w:val="20"/>
        </w:rPr>
        <w:t xml:space="preserve">体能动性  </w:t>
      </w:r>
      <w:r>
        <w:rPr>
          <w:rFonts w:ascii="微软雅黑" w:hAnsi="微软雅黑" w:eastAsia="微软雅黑" w:cs="微软雅黑"/>
          <w:spacing w:val="1"/>
          <w:sz w:val="20"/>
          <w:szCs w:val="20"/>
        </w:rPr>
        <w:t>的质量文化建设，能够推动地方本科院校构</w:t>
      </w:r>
      <w:r>
        <w:rPr>
          <w:rFonts w:ascii="微软雅黑" w:hAnsi="微软雅黑" w:eastAsia="微软雅黑" w:cs="微软雅黑"/>
          <w:sz w:val="20"/>
          <w:szCs w:val="20"/>
        </w:rPr>
        <w:t xml:space="preserve">建涵盖人  </w:t>
      </w:r>
      <w:r>
        <w:rPr>
          <w:rFonts w:ascii="微软雅黑" w:hAnsi="微软雅黑" w:eastAsia="微软雅黑" w:cs="微软雅黑"/>
          <w:spacing w:val="1"/>
          <w:sz w:val="20"/>
          <w:szCs w:val="20"/>
        </w:rPr>
        <w:t>才培养全过程和教育教学各环节的自我约束</w:t>
      </w:r>
      <w:r>
        <w:rPr>
          <w:rFonts w:ascii="微软雅黑" w:hAnsi="微软雅黑" w:eastAsia="微软雅黑" w:cs="微软雅黑"/>
          <w:sz w:val="20"/>
          <w:szCs w:val="20"/>
        </w:rPr>
        <w:t xml:space="preserve">、自我反  </w:t>
      </w:r>
      <w:r>
        <w:rPr>
          <w:rFonts w:ascii="微软雅黑" w:hAnsi="微软雅黑" w:eastAsia="微软雅黑" w:cs="微软雅黑"/>
          <w:spacing w:val="-8"/>
          <w:sz w:val="20"/>
          <w:szCs w:val="20"/>
        </w:rPr>
        <w:t>思、自我改进、自我提升的质量保障机制，推动地方本</w:t>
      </w:r>
      <w:r>
        <w:rPr>
          <w:rFonts w:ascii="微软雅黑" w:hAnsi="微软雅黑" w:eastAsia="微软雅黑" w:cs="微软雅黑"/>
          <w:spacing w:val="5"/>
          <w:sz w:val="20"/>
          <w:szCs w:val="20"/>
        </w:rPr>
        <w:t xml:space="preserve">  </w:t>
      </w:r>
      <w:r>
        <w:rPr>
          <w:rFonts w:ascii="微软雅黑" w:hAnsi="微软雅黑" w:eastAsia="微软雅黑" w:cs="微软雅黑"/>
          <w:spacing w:val="2"/>
          <w:sz w:val="20"/>
          <w:szCs w:val="20"/>
        </w:rPr>
        <w:t>科院校更好适应高等教育发展新常态对质量的要求。</w:t>
      </w:r>
    </w:p>
    <w:p>
      <w:pPr>
        <w:spacing w:before="51" w:line="185" w:lineRule="auto"/>
        <w:ind w:left="350"/>
        <w:rPr>
          <w:rFonts w:ascii="黑体" w:hAnsi="黑体" w:eastAsia="黑体" w:cs="黑体"/>
          <w:sz w:val="20"/>
          <w:szCs w:val="20"/>
        </w:rPr>
      </w:pPr>
      <w:r>
        <w:rPr>
          <w:rFonts w:ascii="微软雅黑" w:hAnsi="微软雅黑" w:eastAsia="微软雅黑" w:cs="微软雅黑"/>
          <w:spacing w:val="-1"/>
          <w:sz w:val="20"/>
          <w:szCs w:val="20"/>
        </w:rPr>
        <w:t xml:space="preserve">（ </w:t>
      </w:r>
      <w:r>
        <w:rPr>
          <w:rFonts w:ascii="黑体" w:hAnsi="黑体" w:eastAsia="黑体" w:cs="黑体"/>
          <w:spacing w:val="-1"/>
          <w:sz w:val="20"/>
          <w:szCs w:val="20"/>
        </w:rPr>
        <w:t>三</w:t>
      </w:r>
      <w:r>
        <w:rPr>
          <w:rFonts w:ascii="微软雅黑" w:hAnsi="微软雅黑" w:eastAsia="微软雅黑" w:cs="微软雅黑"/>
          <w:spacing w:val="-1"/>
          <w:sz w:val="20"/>
          <w:szCs w:val="20"/>
        </w:rPr>
        <w:t>）</w:t>
      </w:r>
      <w:r>
        <w:rPr>
          <w:rFonts w:ascii="黑体" w:hAnsi="黑体" w:eastAsia="黑体" w:cs="黑体"/>
          <w:spacing w:val="-1"/>
          <w:sz w:val="20"/>
          <w:szCs w:val="20"/>
        </w:rPr>
        <w:t>内外协同强化质量保障的需要</w:t>
      </w:r>
    </w:p>
    <w:p>
      <w:pPr>
        <w:spacing w:before="53" w:line="219" w:lineRule="auto"/>
        <w:ind w:right="80" w:firstLine="428"/>
        <w:rPr>
          <w:rFonts w:ascii="微软雅黑" w:hAnsi="微软雅黑" w:eastAsia="微软雅黑" w:cs="微软雅黑"/>
          <w:sz w:val="20"/>
          <w:szCs w:val="20"/>
        </w:rPr>
      </w:pPr>
      <w:r>
        <w:rPr>
          <w:rFonts w:ascii="微软雅黑" w:hAnsi="微软雅黑" w:eastAsia="微软雅黑" w:cs="微软雅黑"/>
          <w:spacing w:val="-2"/>
          <w:sz w:val="20"/>
          <w:szCs w:val="20"/>
        </w:rPr>
        <w:t>审核评估强调“</w:t>
      </w:r>
      <w:r>
        <w:rPr>
          <w:rFonts w:ascii="微软雅黑" w:hAnsi="微软雅黑" w:eastAsia="微软雅黑" w:cs="微软雅黑"/>
          <w:spacing w:val="-31"/>
          <w:sz w:val="20"/>
          <w:szCs w:val="20"/>
        </w:rPr>
        <w:t xml:space="preserve"> </w:t>
      </w:r>
      <w:r>
        <w:rPr>
          <w:rFonts w:ascii="微软雅黑" w:hAnsi="微软雅黑" w:eastAsia="微软雅黑" w:cs="微软雅黑"/>
          <w:spacing w:val="-2"/>
          <w:sz w:val="20"/>
          <w:szCs w:val="20"/>
        </w:rPr>
        <w:t>五个度”，即注重人才培养目标</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的达成度、社会需求的适应度、师资和条件的保障</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度、质量保障运行的有效度、学生和用人单位的满意</w:t>
      </w:r>
      <w:r>
        <w:rPr>
          <w:rFonts w:ascii="微软雅黑" w:hAnsi="微软雅黑" w:eastAsia="微软雅黑" w:cs="微软雅黑"/>
          <w:spacing w:val="15"/>
          <w:sz w:val="20"/>
          <w:szCs w:val="20"/>
        </w:rPr>
        <w:t xml:space="preserve"> </w:t>
      </w:r>
      <w:r>
        <w:rPr>
          <w:rFonts w:ascii="微软雅黑" w:hAnsi="微软雅黑" w:eastAsia="微软雅黑" w:cs="微软雅黑"/>
          <w:spacing w:val="11"/>
          <w:sz w:val="20"/>
          <w:szCs w:val="20"/>
        </w:rPr>
        <w:t>度</w:t>
      </w:r>
      <w:r>
        <w:rPr>
          <w:rFonts w:ascii="微软雅黑" w:hAnsi="微软雅黑" w:eastAsia="微软雅黑" w:cs="微软雅黑"/>
          <w:spacing w:val="-22"/>
          <w:sz w:val="20"/>
          <w:szCs w:val="20"/>
        </w:rPr>
        <w:t xml:space="preserve"> </w:t>
      </w:r>
      <w:r>
        <w:rPr>
          <w:rFonts w:ascii="微软雅黑" w:hAnsi="微软雅黑" w:eastAsia="微软雅黑" w:cs="微软雅黑"/>
          <w:spacing w:val="11"/>
          <w:position w:val="8"/>
          <w:sz w:val="11"/>
          <w:szCs w:val="11"/>
        </w:rPr>
        <w:t xml:space="preserve">[1]  </w:t>
      </w:r>
      <w:r>
        <w:rPr>
          <w:rFonts w:ascii="微软雅黑" w:hAnsi="微软雅黑" w:eastAsia="微软雅黑" w:cs="微软雅黑"/>
          <w:spacing w:val="11"/>
          <w:sz w:val="20"/>
          <w:szCs w:val="20"/>
        </w:rPr>
        <w:t>,</w:t>
      </w:r>
      <w:r>
        <w:rPr>
          <w:rFonts w:ascii="微软雅黑" w:hAnsi="微软雅黑" w:eastAsia="微软雅黑" w:cs="微软雅黑"/>
          <w:spacing w:val="-19"/>
          <w:sz w:val="20"/>
          <w:szCs w:val="20"/>
        </w:rPr>
        <w:t xml:space="preserve"> </w:t>
      </w:r>
      <w:r>
        <w:rPr>
          <w:rFonts w:ascii="微软雅黑" w:hAnsi="微软雅黑" w:eastAsia="微软雅黑" w:cs="微软雅黑"/>
          <w:spacing w:val="11"/>
          <w:sz w:val="20"/>
          <w:szCs w:val="20"/>
        </w:rPr>
        <w:t>要求高等教育既要促进学生发展又要满足社</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会需求</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。高等教育质量文化具有引领价值、塑造价</w:t>
      </w:r>
      <w:r>
        <w:rPr>
          <w:rFonts w:ascii="微软雅黑" w:hAnsi="微软雅黑" w:eastAsia="微软雅黑" w:cs="微软雅黑"/>
          <w:sz w:val="20"/>
          <w:szCs w:val="20"/>
        </w:rPr>
        <w:t xml:space="preserve"> 值和发展价值，具有引领学校卓越发展、塑造学校品</w:t>
      </w:r>
      <w:r>
        <w:rPr>
          <w:rFonts w:ascii="微软雅黑" w:hAnsi="微软雅黑" w:eastAsia="微软雅黑" w:cs="微软雅黑"/>
          <w:spacing w:val="15"/>
          <w:sz w:val="20"/>
          <w:szCs w:val="20"/>
        </w:rPr>
        <w:t xml:space="preserve"> </w:t>
      </w:r>
      <w:r>
        <w:rPr>
          <w:rFonts w:ascii="微软雅黑" w:hAnsi="微软雅黑" w:eastAsia="微软雅黑" w:cs="微软雅黑"/>
          <w:sz w:val="20"/>
          <w:szCs w:val="20"/>
        </w:rPr>
        <w:t>牌与形象、持续满足顾客需求等作用，其目标取向与</w:t>
      </w:r>
      <w:r>
        <w:rPr>
          <w:rFonts w:ascii="微软雅黑" w:hAnsi="微软雅黑" w:eastAsia="微软雅黑" w:cs="微软雅黑"/>
          <w:spacing w:val="15"/>
          <w:sz w:val="20"/>
          <w:szCs w:val="20"/>
        </w:rPr>
        <w:t xml:space="preserve"> </w:t>
      </w:r>
      <w:r>
        <w:rPr>
          <w:rFonts w:ascii="微软雅黑" w:hAnsi="微软雅黑" w:eastAsia="微软雅黑" w:cs="微软雅黑"/>
          <w:spacing w:val="9"/>
          <w:sz w:val="20"/>
          <w:szCs w:val="20"/>
        </w:rPr>
        <w:t>审核评估要求相一致，既需要加强高校内部质量管</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理，也需引进外部评价机制，使制度与文化融合成为</w:t>
      </w:r>
      <w:r>
        <w:rPr>
          <w:rFonts w:ascii="微软雅黑" w:hAnsi="微软雅黑" w:eastAsia="微软雅黑" w:cs="微软雅黑"/>
          <w:spacing w:val="15"/>
          <w:sz w:val="20"/>
          <w:szCs w:val="20"/>
        </w:rPr>
        <w:t xml:space="preserve"> </w:t>
      </w:r>
      <w:r>
        <w:rPr>
          <w:rFonts w:ascii="微软雅黑" w:hAnsi="微软雅黑" w:eastAsia="微软雅黑" w:cs="微软雅黑"/>
          <w:spacing w:val="-3"/>
          <w:sz w:val="20"/>
          <w:szCs w:val="20"/>
        </w:rPr>
        <w:t>质量保障的基本向度，实现“</w:t>
      </w:r>
      <w:r>
        <w:rPr>
          <w:rFonts w:ascii="微软雅黑" w:hAnsi="微软雅黑" w:eastAsia="微软雅黑" w:cs="微软雅黑"/>
          <w:spacing w:val="-32"/>
          <w:sz w:val="20"/>
          <w:szCs w:val="20"/>
        </w:rPr>
        <w:t xml:space="preserve"> </w:t>
      </w:r>
      <w:r>
        <w:rPr>
          <w:rFonts w:ascii="微软雅黑" w:hAnsi="微软雅黑" w:eastAsia="微软雅黑" w:cs="微软雅黑"/>
          <w:spacing w:val="-3"/>
          <w:sz w:val="20"/>
          <w:szCs w:val="20"/>
        </w:rPr>
        <w:t>控制”与“ 自主”的平</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衡，达到内外协同提升人才培养质量的目标</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。高等</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教育的外部评价机制是影响地方本科院校质量文化</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建设的要素之一，由教育主管部门和行业、企业等社</w:t>
      </w:r>
      <w:r>
        <w:rPr>
          <w:rFonts w:ascii="微软雅黑" w:hAnsi="微软雅黑" w:eastAsia="微软雅黑" w:cs="微软雅黑"/>
          <w:spacing w:val="15"/>
          <w:sz w:val="20"/>
          <w:szCs w:val="20"/>
        </w:rPr>
        <w:t xml:space="preserve"> </w:t>
      </w:r>
      <w:r>
        <w:rPr>
          <w:rFonts w:ascii="微软雅黑" w:hAnsi="微软雅黑" w:eastAsia="微软雅黑" w:cs="微软雅黑"/>
          <w:spacing w:val="9"/>
          <w:sz w:val="20"/>
          <w:szCs w:val="20"/>
        </w:rPr>
        <w:t>会评估机构进行的第三方评估，从高等教育利益相</w:t>
      </w:r>
      <w:r>
        <w:rPr>
          <w:rFonts w:ascii="微软雅黑" w:hAnsi="微软雅黑" w:eastAsia="微软雅黑" w:cs="微软雅黑"/>
          <w:spacing w:val="17"/>
          <w:sz w:val="20"/>
          <w:szCs w:val="20"/>
        </w:rPr>
        <w:t xml:space="preserve"> </w:t>
      </w:r>
      <w:r>
        <w:rPr>
          <w:rFonts w:ascii="微软雅黑" w:hAnsi="微软雅黑" w:eastAsia="微软雅黑" w:cs="微软雅黑"/>
          <w:spacing w:val="8"/>
          <w:sz w:val="20"/>
          <w:szCs w:val="20"/>
        </w:rPr>
        <w:t>关者视角对办学质量提出了外部诉求</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。地方本科院</w:t>
      </w:r>
      <w:r>
        <w:rPr>
          <w:rFonts w:ascii="微软雅黑" w:hAnsi="微软雅黑" w:eastAsia="微软雅黑" w:cs="微软雅黑"/>
          <w:sz w:val="20"/>
          <w:szCs w:val="20"/>
        </w:rPr>
        <w:t xml:space="preserve"> 校根据自身办学定位，围绕外部质量评估目标，设计</w:t>
      </w:r>
      <w:r>
        <w:rPr>
          <w:rFonts w:ascii="微软雅黑" w:hAnsi="微软雅黑" w:eastAsia="微软雅黑" w:cs="微软雅黑"/>
          <w:spacing w:val="15"/>
          <w:sz w:val="20"/>
          <w:szCs w:val="20"/>
        </w:rPr>
        <w:t xml:space="preserve"> </w:t>
      </w:r>
      <w:r>
        <w:rPr>
          <w:rFonts w:ascii="微软雅黑" w:hAnsi="微软雅黑" w:eastAsia="微软雅黑" w:cs="微软雅黑"/>
          <w:spacing w:val="9"/>
          <w:sz w:val="20"/>
          <w:szCs w:val="20"/>
        </w:rPr>
        <w:t>切合学校特点的质量管理和评价体系，以期达到政</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府、行业、企业等共同制定的质量标准，在这一过程</w:t>
      </w:r>
      <w:r>
        <w:rPr>
          <w:rFonts w:ascii="微软雅黑" w:hAnsi="微软雅黑" w:eastAsia="微软雅黑" w:cs="微软雅黑"/>
          <w:spacing w:val="15"/>
          <w:sz w:val="20"/>
          <w:szCs w:val="20"/>
        </w:rPr>
        <w:t xml:space="preserve"> </w:t>
      </w:r>
      <w:r>
        <w:rPr>
          <w:rFonts w:ascii="微软雅黑" w:hAnsi="微软雅黑" w:eastAsia="微软雅黑" w:cs="微软雅黑"/>
          <w:spacing w:val="18"/>
          <w:sz w:val="20"/>
          <w:szCs w:val="20"/>
        </w:rPr>
        <w:t>中反向推动学校质量文化建设</w:t>
      </w:r>
      <w:r>
        <w:rPr>
          <w:rFonts w:ascii="微软雅黑" w:hAnsi="微软雅黑" w:eastAsia="微软雅黑" w:cs="微软雅黑"/>
          <w:spacing w:val="-23"/>
          <w:sz w:val="20"/>
          <w:szCs w:val="20"/>
        </w:rPr>
        <w:t xml:space="preserve"> </w:t>
      </w:r>
      <w:r>
        <w:rPr>
          <w:rFonts w:ascii="微软雅黑" w:hAnsi="微软雅黑" w:eastAsia="微软雅黑" w:cs="微软雅黑"/>
          <w:spacing w:val="18"/>
          <w:sz w:val="20"/>
          <w:szCs w:val="20"/>
        </w:rPr>
        <w:t>。通过质量文化建</w:t>
      </w:r>
      <w:r>
        <w:rPr>
          <w:rFonts w:ascii="微软雅黑" w:hAnsi="微软雅黑" w:eastAsia="微软雅黑" w:cs="微软雅黑"/>
          <w:sz w:val="20"/>
          <w:szCs w:val="20"/>
        </w:rPr>
        <w:t xml:space="preserve"> 设，把质量建设动力传导到所有师生，扭转质量保障</w:t>
      </w:r>
      <w:r>
        <w:rPr>
          <w:rFonts w:ascii="微软雅黑" w:hAnsi="微软雅黑" w:eastAsia="微软雅黑" w:cs="微软雅黑"/>
          <w:spacing w:val="15"/>
          <w:sz w:val="20"/>
          <w:szCs w:val="20"/>
        </w:rPr>
        <w:t xml:space="preserve"> </w:t>
      </w:r>
      <w:r>
        <w:rPr>
          <w:rFonts w:ascii="微软雅黑" w:hAnsi="微软雅黑" w:eastAsia="微软雅黑" w:cs="微软雅黑"/>
          <w:spacing w:val="9"/>
          <w:sz w:val="20"/>
          <w:szCs w:val="20"/>
        </w:rPr>
        <w:t>单纯依赖外部评估的现象，实现质量管理方式从经</w:t>
      </w:r>
      <w:r>
        <w:rPr>
          <w:rFonts w:ascii="微软雅黑" w:hAnsi="微软雅黑" w:eastAsia="微软雅黑" w:cs="微软雅黑"/>
          <w:spacing w:val="17"/>
          <w:sz w:val="20"/>
          <w:szCs w:val="20"/>
        </w:rPr>
        <w:t xml:space="preserve"> </w:t>
      </w:r>
      <w:r>
        <w:rPr>
          <w:rFonts w:ascii="微软雅黑" w:hAnsi="微软雅黑" w:eastAsia="微软雅黑" w:cs="微软雅黑"/>
          <w:spacing w:val="9"/>
          <w:sz w:val="20"/>
          <w:szCs w:val="20"/>
        </w:rPr>
        <w:t>验转向科学，质量建设从回应外部制度约束转向内</w:t>
      </w:r>
      <w:r>
        <w:rPr>
          <w:rFonts w:ascii="微软雅黑" w:hAnsi="微软雅黑" w:eastAsia="微软雅黑" w:cs="微软雅黑"/>
          <w:spacing w:val="17"/>
          <w:sz w:val="20"/>
          <w:szCs w:val="20"/>
        </w:rPr>
        <w:t xml:space="preserve"> </w:t>
      </w:r>
      <w:r>
        <w:rPr>
          <w:rFonts w:ascii="微软雅黑" w:hAnsi="微软雅黑" w:eastAsia="微软雅黑" w:cs="微软雅黑"/>
          <w:spacing w:val="8"/>
          <w:sz w:val="20"/>
          <w:szCs w:val="20"/>
        </w:rPr>
        <w:t>外融合的自觉追求。</w:t>
      </w:r>
    </w:p>
    <w:p>
      <w:pPr>
        <w:spacing w:before="144" w:line="215" w:lineRule="auto"/>
        <w:ind w:right="80" w:firstLine="497"/>
        <w:rPr>
          <w:rFonts w:ascii="微软雅黑" w:hAnsi="微软雅黑" w:eastAsia="微软雅黑" w:cs="微软雅黑"/>
          <w:sz w:val="23"/>
          <w:szCs w:val="23"/>
        </w:rPr>
      </w:pPr>
      <w:r>
        <w:rPr>
          <w:rFonts w:ascii="微软雅黑" w:hAnsi="微软雅黑" w:eastAsia="微软雅黑" w:cs="微软雅黑"/>
          <w:spacing w:val="12"/>
          <w:sz w:val="23"/>
          <w:szCs w:val="23"/>
        </w:rPr>
        <w:t>四、地方本科院校质量文化建设的实施</w:t>
      </w:r>
      <w:r>
        <w:rPr>
          <w:rFonts w:ascii="微软雅黑" w:hAnsi="微软雅黑" w:eastAsia="微软雅黑" w:cs="微软雅黑"/>
          <w:spacing w:val="3"/>
          <w:sz w:val="23"/>
          <w:szCs w:val="23"/>
        </w:rPr>
        <w:t xml:space="preserve"> </w:t>
      </w:r>
      <w:r>
        <w:rPr>
          <w:rFonts w:ascii="微软雅黑" w:hAnsi="微软雅黑" w:eastAsia="微软雅黑" w:cs="微软雅黑"/>
          <w:spacing w:val="8"/>
          <w:sz w:val="23"/>
          <w:szCs w:val="23"/>
        </w:rPr>
        <w:t>路径</w:t>
      </w:r>
    </w:p>
    <w:p>
      <w:pPr>
        <w:spacing w:before="109" w:line="527" w:lineRule="exact"/>
        <w:jc w:val="right"/>
        <w:rPr>
          <w:rFonts w:ascii="微软雅黑" w:hAnsi="微软雅黑" w:eastAsia="微软雅黑" w:cs="微软雅黑"/>
          <w:sz w:val="20"/>
          <w:szCs w:val="20"/>
        </w:rPr>
      </w:pPr>
      <w:r>
        <w:rPr>
          <w:rFonts w:ascii="微软雅黑" w:hAnsi="微软雅黑" w:eastAsia="微软雅黑" w:cs="微软雅黑"/>
          <w:spacing w:val="3"/>
          <w:position w:val="25"/>
          <w:sz w:val="20"/>
          <w:szCs w:val="20"/>
        </w:rPr>
        <w:t>质量文化建设是一个全员自省自思、自觉自为、</w:t>
      </w:r>
    </w:p>
    <w:p>
      <w:pPr>
        <w:spacing w:line="145" w:lineRule="exact"/>
        <w:ind w:left="3968"/>
        <w:rPr>
          <w:rFonts w:ascii="微软雅黑" w:hAnsi="微软雅黑" w:eastAsia="微软雅黑" w:cs="微软雅黑"/>
          <w:sz w:val="20"/>
          <w:szCs w:val="20"/>
        </w:rPr>
      </w:pPr>
      <w:r>
        <w:rPr>
          <w:rFonts w:ascii="微软雅黑" w:hAnsi="微软雅黑" w:eastAsia="微软雅黑" w:cs="微软雅黑"/>
          <w:spacing w:val="23"/>
          <w:w w:val="105"/>
          <w:position w:val="-3"/>
          <w:sz w:val="20"/>
          <w:szCs w:val="20"/>
        </w:rPr>
        <w:t>·93</w:t>
      </w:r>
      <w:r>
        <w:rPr>
          <w:rFonts w:ascii="微软雅黑" w:hAnsi="微软雅黑" w:eastAsia="微软雅黑" w:cs="微软雅黑"/>
          <w:spacing w:val="41"/>
          <w:position w:val="-3"/>
          <w:sz w:val="20"/>
          <w:szCs w:val="20"/>
        </w:rPr>
        <w:t xml:space="preserve"> </w:t>
      </w:r>
      <w:r>
        <w:rPr>
          <w:rFonts w:ascii="微软雅黑" w:hAnsi="微软雅黑" w:eastAsia="微软雅黑" w:cs="微软雅黑"/>
          <w:spacing w:val="23"/>
          <w:w w:val="105"/>
          <w:position w:val="-3"/>
          <w:sz w:val="20"/>
          <w:szCs w:val="20"/>
        </w:rPr>
        <w:t>·</w:t>
      </w:r>
    </w:p>
    <w:p>
      <w:pPr>
        <w:spacing w:line="145" w:lineRule="exact"/>
        <w:rPr>
          <w:rFonts w:ascii="微软雅黑" w:hAnsi="微软雅黑" w:eastAsia="微软雅黑" w:cs="微软雅黑"/>
          <w:sz w:val="20"/>
          <w:szCs w:val="20"/>
        </w:rPr>
        <w:sectPr>
          <w:type w:val="continuous"/>
          <w:pgSz w:w="11906" w:h="16838"/>
          <w:pgMar w:top="400" w:right="1055" w:bottom="547" w:left="407" w:header="0" w:footer="354" w:gutter="0"/>
          <w:cols w:equalWidth="0" w:num="2">
            <w:col w:w="5646" w:space="100"/>
            <w:col w:w="4697"/>
          </w:cols>
        </w:sectPr>
      </w:pPr>
    </w:p>
    <w:p>
      <w:pPr>
        <w:spacing w:before="73"/>
      </w:pPr>
    </w:p>
    <w:p>
      <w:pPr>
        <w:spacing w:before="73"/>
      </w:pPr>
    </w:p>
    <w:p>
      <w:pPr>
        <w:spacing w:before="73"/>
      </w:pPr>
    </w:p>
    <w:p>
      <w:pPr>
        <w:sectPr>
          <w:pgSz w:w="11906" w:h="16838"/>
          <w:pgMar w:top="400" w:right="1055" w:bottom="547" w:left="407" w:header="0" w:footer="354" w:gutter="0"/>
          <w:cols w:equalWidth="0" w:num="1">
            <w:col w:w="10443"/>
          </w:cols>
        </w:sectPr>
      </w:pPr>
    </w:p>
    <w:p>
      <w:pPr>
        <w:spacing w:before="44" w:line="214" w:lineRule="auto"/>
        <w:ind w:left="729" w:right="301" w:firstLine="5"/>
        <w:jc w:val="both"/>
        <w:rPr>
          <w:rFonts w:ascii="MS Gothic" w:hAnsi="MS Gothic" w:eastAsia="MS Gothic" w:cs="MS Gothic"/>
          <w:sz w:val="20"/>
          <w:szCs w:val="20"/>
        </w:rPr>
      </w:pPr>
      <w:bookmarkStart w:id="0" w:name="bookmark4"/>
      <w:bookmarkEnd w:id="0"/>
      <w:r>
        <w:rPr>
          <w:rFonts w:ascii="微软雅黑" w:hAnsi="微软雅黑" w:eastAsia="微软雅黑" w:cs="微软雅黑"/>
          <w:spacing w:val="8"/>
          <w:sz w:val="20"/>
          <w:szCs w:val="20"/>
        </w:rPr>
        <w:t>动态生成和不断创新的内生过程</w:t>
      </w:r>
      <w:r>
        <w:rPr>
          <w:rFonts w:ascii="微软雅黑" w:hAnsi="微软雅黑" w:eastAsia="微软雅黑" w:cs="微软雅黑"/>
          <w:spacing w:val="-27"/>
          <w:sz w:val="20"/>
          <w:szCs w:val="20"/>
        </w:rPr>
        <w:t xml:space="preserve"> </w:t>
      </w:r>
      <w:r>
        <w:rPr>
          <w:rFonts w:ascii="MS Gothic" w:hAnsi="MS Gothic" w:eastAsia="MS Gothic" w:cs="MS Gothic"/>
          <w:spacing w:val="8"/>
          <w:sz w:val="20"/>
          <w:szCs w:val="20"/>
        </w:rPr>
        <w:t>。</w:t>
      </w:r>
      <w:r>
        <w:rPr>
          <w:rFonts w:ascii="微软雅黑" w:hAnsi="微软雅黑" w:eastAsia="微软雅黑" w:cs="微软雅黑"/>
          <w:spacing w:val="8"/>
          <w:sz w:val="20"/>
          <w:szCs w:val="20"/>
        </w:rPr>
        <w:t>地方本科院校应</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在审核评估的思想和理念引导下</w:t>
      </w:r>
      <w:r>
        <w:rPr>
          <w:rFonts w:ascii="MS Gothic" w:hAnsi="MS Gothic" w:eastAsia="MS Gothic" w:cs="MS Gothic"/>
          <w:spacing w:val="9"/>
          <w:sz w:val="20"/>
          <w:szCs w:val="20"/>
        </w:rPr>
        <w:t>，</w:t>
      </w:r>
      <w:r>
        <w:rPr>
          <w:rFonts w:ascii="微软雅黑" w:hAnsi="微软雅黑" w:eastAsia="微软雅黑" w:cs="微软雅黑"/>
          <w:spacing w:val="9"/>
          <w:sz w:val="20"/>
          <w:szCs w:val="20"/>
        </w:rPr>
        <w:t>结合区域经济社</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会发展需求</w:t>
      </w:r>
      <w:r>
        <w:rPr>
          <w:rFonts w:ascii="MS Gothic" w:hAnsi="MS Gothic" w:eastAsia="MS Gothic" w:cs="MS Gothic"/>
          <w:sz w:val="20"/>
          <w:szCs w:val="20"/>
        </w:rPr>
        <w:t>，</w:t>
      </w:r>
      <w:r>
        <w:rPr>
          <w:rFonts w:ascii="微软雅黑" w:hAnsi="微软雅黑" w:eastAsia="微软雅黑" w:cs="微软雅黑"/>
          <w:sz w:val="20"/>
          <w:szCs w:val="20"/>
        </w:rPr>
        <w:t>以先进质量文化为引领</w:t>
      </w:r>
      <w:r>
        <w:rPr>
          <w:rFonts w:ascii="MS Gothic" w:hAnsi="MS Gothic" w:eastAsia="MS Gothic" w:cs="MS Gothic"/>
          <w:sz w:val="20"/>
          <w:szCs w:val="20"/>
        </w:rPr>
        <w:t>，</w:t>
      </w:r>
      <w:r>
        <w:rPr>
          <w:rFonts w:ascii="微软雅黑" w:hAnsi="微软雅黑" w:eastAsia="微软雅黑" w:cs="微软雅黑"/>
          <w:sz w:val="20"/>
          <w:szCs w:val="20"/>
        </w:rPr>
        <w:t>落实</w:t>
      </w:r>
      <w:r>
        <w:rPr>
          <w:rFonts w:ascii="MS Gothic" w:hAnsi="MS Gothic" w:eastAsia="MS Gothic" w:cs="MS Gothic"/>
          <w:sz w:val="20"/>
          <w:szCs w:val="20"/>
        </w:rPr>
        <w:t>“</w:t>
      </w:r>
      <w:r>
        <w:rPr>
          <w:rFonts w:ascii="微软雅黑" w:hAnsi="微软雅黑" w:eastAsia="微软雅黑" w:cs="微软雅黑"/>
          <w:sz w:val="20"/>
          <w:szCs w:val="20"/>
        </w:rPr>
        <w:t>学生中</w:t>
      </w:r>
      <w:r>
        <w:rPr>
          <w:rFonts w:ascii="微软雅黑" w:hAnsi="微软雅黑" w:eastAsia="微软雅黑" w:cs="微软雅黑"/>
          <w:spacing w:val="14"/>
          <w:sz w:val="20"/>
          <w:szCs w:val="20"/>
        </w:rPr>
        <w:t xml:space="preserve"> </w:t>
      </w:r>
      <w:r>
        <w:rPr>
          <w:rFonts w:ascii="微软雅黑" w:hAnsi="微软雅黑" w:eastAsia="微软雅黑" w:cs="微软雅黑"/>
          <w:sz w:val="20"/>
          <w:szCs w:val="20"/>
        </w:rPr>
        <w:t>心</w:t>
      </w:r>
      <w:r>
        <w:rPr>
          <w:rFonts w:ascii="MS Gothic" w:hAnsi="MS Gothic" w:eastAsia="MS Gothic" w:cs="MS Gothic"/>
          <w:sz w:val="20"/>
          <w:szCs w:val="20"/>
        </w:rPr>
        <w:t>，</w:t>
      </w:r>
      <w:r>
        <w:rPr>
          <w:rFonts w:ascii="微软雅黑" w:hAnsi="微软雅黑" w:eastAsia="微软雅黑" w:cs="微软雅黑"/>
          <w:sz w:val="20"/>
          <w:szCs w:val="20"/>
        </w:rPr>
        <w:t>产出导向</w:t>
      </w:r>
      <w:r>
        <w:rPr>
          <w:rFonts w:ascii="MS Gothic" w:hAnsi="MS Gothic" w:eastAsia="MS Gothic" w:cs="MS Gothic"/>
          <w:sz w:val="20"/>
          <w:szCs w:val="20"/>
        </w:rPr>
        <w:t>，</w:t>
      </w:r>
      <w:r>
        <w:rPr>
          <w:rFonts w:ascii="微软雅黑" w:hAnsi="微软雅黑" w:eastAsia="微软雅黑" w:cs="微软雅黑"/>
          <w:sz w:val="20"/>
          <w:szCs w:val="20"/>
        </w:rPr>
        <w:t>持续改进</w:t>
      </w:r>
      <w:r>
        <w:rPr>
          <w:rFonts w:ascii="MS Gothic" w:hAnsi="MS Gothic" w:eastAsia="MS Gothic" w:cs="MS Gothic"/>
          <w:sz w:val="20"/>
          <w:szCs w:val="20"/>
        </w:rPr>
        <w:t>”</w:t>
      </w:r>
      <w:r>
        <w:rPr>
          <w:rFonts w:ascii="微软雅黑" w:hAnsi="微软雅黑" w:eastAsia="微软雅黑" w:cs="微软雅黑"/>
          <w:sz w:val="20"/>
          <w:szCs w:val="20"/>
        </w:rPr>
        <w:t>的评估理念</w:t>
      </w:r>
      <w:r>
        <w:rPr>
          <w:rFonts w:ascii="MS Gothic" w:hAnsi="MS Gothic" w:eastAsia="MS Gothic" w:cs="MS Gothic"/>
          <w:sz w:val="20"/>
          <w:szCs w:val="20"/>
        </w:rPr>
        <w:t>，</w:t>
      </w:r>
      <w:r>
        <w:rPr>
          <w:rFonts w:ascii="微软雅黑" w:hAnsi="微软雅黑" w:eastAsia="微软雅黑" w:cs="微软雅黑"/>
          <w:sz w:val="20"/>
          <w:szCs w:val="20"/>
        </w:rPr>
        <w:t>优化内部质</w:t>
      </w:r>
      <w:r>
        <w:rPr>
          <w:rFonts w:ascii="微软雅黑" w:hAnsi="微软雅黑" w:eastAsia="微软雅黑" w:cs="微软雅黑"/>
          <w:spacing w:val="14"/>
          <w:sz w:val="20"/>
          <w:szCs w:val="20"/>
        </w:rPr>
        <w:t xml:space="preserve"> </w:t>
      </w:r>
      <w:r>
        <w:rPr>
          <w:rFonts w:ascii="微软雅黑" w:hAnsi="微软雅黑" w:eastAsia="微软雅黑" w:cs="微软雅黑"/>
          <w:spacing w:val="2"/>
          <w:sz w:val="20"/>
          <w:szCs w:val="20"/>
        </w:rPr>
        <w:t>量保障体系</w:t>
      </w:r>
      <w:r>
        <w:rPr>
          <w:rFonts w:ascii="MS Gothic" w:hAnsi="MS Gothic" w:eastAsia="MS Gothic" w:cs="MS Gothic"/>
          <w:spacing w:val="2"/>
          <w:sz w:val="20"/>
          <w:szCs w:val="20"/>
        </w:rPr>
        <w:t>，</w:t>
      </w:r>
      <w:r>
        <w:rPr>
          <w:rFonts w:ascii="微软雅黑" w:hAnsi="微软雅黑" w:eastAsia="微软雅黑" w:cs="微软雅黑"/>
          <w:spacing w:val="2"/>
          <w:sz w:val="20"/>
          <w:szCs w:val="20"/>
        </w:rPr>
        <w:t>促进质量持续改进提升</w:t>
      </w:r>
      <w:r>
        <w:rPr>
          <w:rFonts w:ascii="MS Gothic" w:hAnsi="MS Gothic" w:eastAsia="MS Gothic" w:cs="MS Gothic"/>
          <w:spacing w:val="2"/>
          <w:sz w:val="20"/>
          <w:szCs w:val="20"/>
        </w:rPr>
        <w:t>。</w:t>
      </w:r>
    </w:p>
    <w:p>
      <w:pPr>
        <w:spacing w:before="34" w:line="226" w:lineRule="auto"/>
        <w:ind w:left="1079"/>
        <w:rPr>
          <w:rFonts w:ascii="黑体" w:hAnsi="黑体" w:eastAsia="黑体" w:cs="黑体"/>
          <w:sz w:val="20"/>
          <w:szCs w:val="20"/>
        </w:rPr>
      </w:pPr>
      <w:r>
        <w:rPr>
          <w:rFonts w:ascii="MS Gothic" w:hAnsi="MS Gothic" w:eastAsia="MS Gothic" w:cs="MS Gothic"/>
          <w:spacing w:val="-4"/>
          <w:sz w:val="20"/>
          <w:szCs w:val="20"/>
        </w:rPr>
        <w:t>（</w:t>
      </w:r>
      <w:r>
        <w:rPr>
          <w:rFonts w:ascii="MS Gothic" w:hAnsi="MS Gothic" w:eastAsia="MS Gothic" w:cs="MS Gothic"/>
          <w:spacing w:val="-41"/>
          <w:sz w:val="20"/>
          <w:szCs w:val="20"/>
        </w:rPr>
        <w:t xml:space="preserve"> </w:t>
      </w:r>
      <w:r>
        <w:rPr>
          <w:rFonts w:ascii="黑体" w:hAnsi="黑体" w:eastAsia="黑体" w:cs="黑体"/>
          <w:spacing w:val="-4"/>
          <w:sz w:val="20"/>
          <w:szCs w:val="20"/>
        </w:rPr>
        <w:t>一</w:t>
      </w:r>
      <w:r>
        <w:rPr>
          <w:rFonts w:ascii="MS Gothic" w:hAnsi="MS Gothic" w:eastAsia="MS Gothic" w:cs="MS Gothic"/>
          <w:spacing w:val="-4"/>
          <w:sz w:val="20"/>
          <w:szCs w:val="20"/>
        </w:rPr>
        <w:t>）</w:t>
      </w:r>
      <w:r>
        <w:rPr>
          <w:rFonts w:ascii="黑体" w:hAnsi="黑体" w:eastAsia="黑体" w:cs="黑体"/>
          <w:spacing w:val="-4"/>
          <w:sz w:val="20"/>
          <w:szCs w:val="20"/>
        </w:rPr>
        <w:t>坚持学生中心</w:t>
      </w:r>
      <w:r>
        <w:rPr>
          <w:rFonts w:ascii="MS Gothic" w:hAnsi="MS Gothic" w:eastAsia="MS Gothic" w:cs="MS Gothic"/>
          <w:spacing w:val="-4"/>
          <w:sz w:val="20"/>
          <w:szCs w:val="20"/>
        </w:rPr>
        <w:t>，</w:t>
      </w:r>
      <w:r>
        <w:rPr>
          <w:rFonts w:ascii="黑体" w:hAnsi="黑体" w:eastAsia="黑体" w:cs="黑体"/>
          <w:spacing w:val="-4"/>
          <w:sz w:val="20"/>
          <w:szCs w:val="20"/>
        </w:rPr>
        <w:t>做好质量文化顶层设计</w:t>
      </w:r>
    </w:p>
    <w:p>
      <w:pPr>
        <w:spacing w:before="69" w:line="213" w:lineRule="auto"/>
        <w:ind w:left="730" w:right="235" w:firstLine="421"/>
        <w:rPr>
          <w:rFonts w:ascii="MS Gothic" w:hAnsi="MS Gothic" w:eastAsia="MS Gothic" w:cs="MS Gothic"/>
          <w:sz w:val="20"/>
          <w:szCs w:val="20"/>
        </w:rPr>
      </w:pPr>
      <w:r>
        <w:rPr>
          <w:rFonts w:ascii="微软雅黑" w:hAnsi="微软雅黑" w:eastAsia="微软雅黑" w:cs="微软雅黑"/>
          <w:spacing w:val="9"/>
          <w:sz w:val="20"/>
          <w:szCs w:val="20"/>
        </w:rPr>
        <w:t>地方本科院校培育质量文化应以</w:t>
      </w:r>
      <w:r>
        <w:rPr>
          <w:rFonts w:ascii="MS Gothic" w:hAnsi="MS Gothic" w:eastAsia="MS Gothic" w:cs="MS Gothic"/>
          <w:spacing w:val="9"/>
          <w:sz w:val="20"/>
          <w:szCs w:val="20"/>
        </w:rPr>
        <w:t>“</w:t>
      </w:r>
      <w:r>
        <w:rPr>
          <w:rFonts w:ascii="微软雅黑" w:hAnsi="微软雅黑" w:eastAsia="微软雅黑" w:cs="微软雅黑"/>
          <w:spacing w:val="9"/>
          <w:sz w:val="20"/>
          <w:szCs w:val="20"/>
        </w:rPr>
        <w:t>培养什么样</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的人</w:t>
      </w:r>
      <w:r>
        <w:rPr>
          <w:rFonts w:ascii="MS Gothic" w:hAnsi="MS Gothic" w:eastAsia="MS Gothic" w:cs="MS Gothic"/>
          <w:sz w:val="20"/>
          <w:szCs w:val="20"/>
        </w:rPr>
        <w:t>”</w:t>
      </w:r>
      <w:r>
        <w:rPr>
          <w:rFonts w:ascii="微软雅黑" w:hAnsi="微软雅黑" w:eastAsia="微软雅黑" w:cs="微软雅黑"/>
          <w:sz w:val="20"/>
          <w:szCs w:val="20"/>
        </w:rPr>
        <w:t>和</w:t>
      </w:r>
      <w:r>
        <w:rPr>
          <w:rFonts w:ascii="MS Gothic" w:hAnsi="MS Gothic" w:eastAsia="MS Gothic" w:cs="MS Gothic"/>
          <w:sz w:val="20"/>
          <w:szCs w:val="20"/>
        </w:rPr>
        <w:t>“</w:t>
      </w:r>
      <w:r>
        <w:rPr>
          <w:rFonts w:ascii="微软雅黑" w:hAnsi="微软雅黑" w:eastAsia="微软雅黑" w:cs="微软雅黑"/>
          <w:sz w:val="20"/>
          <w:szCs w:val="20"/>
        </w:rPr>
        <w:t>怎样培养人</w:t>
      </w:r>
      <w:r>
        <w:rPr>
          <w:rFonts w:ascii="MS Gothic" w:hAnsi="MS Gothic" w:eastAsia="MS Gothic" w:cs="MS Gothic"/>
          <w:sz w:val="20"/>
          <w:szCs w:val="20"/>
        </w:rPr>
        <w:t>”</w:t>
      </w:r>
      <w:r>
        <w:rPr>
          <w:rFonts w:ascii="微软雅黑" w:hAnsi="微软雅黑" w:eastAsia="微软雅黑" w:cs="微软雅黑"/>
          <w:sz w:val="20"/>
          <w:szCs w:val="20"/>
        </w:rPr>
        <w:t>为出发点</w:t>
      </w:r>
      <w:r>
        <w:rPr>
          <w:rFonts w:ascii="MS Gothic" w:hAnsi="MS Gothic" w:eastAsia="MS Gothic" w:cs="MS Gothic"/>
          <w:sz w:val="20"/>
          <w:szCs w:val="20"/>
        </w:rPr>
        <w:t>，</w:t>
      </w:r>
      <w:r>
        <w:rPr>
          <w:rFonts w:ascii="微软雅黑" w:hAnsi="微软雅黑" w:eastAsia="微软雅黑" w:cs="微软雅黑"/>
          <w:sz w:val="20"/>
          <w:szCs w:val="20"/>
        </w:rPr>
        <w:t>其核心理念必须</w:t>
      </w:r>
      <w:r>
        <w:rPr>
          <w:rFonts w:ascii="微软雅黑" w:hAnsi="微软雅黑" w:eastAsia="微软雅黑" w:cs="微软雅黑"/>
          <w:spacing w:val="6"/>
          <w:sz w:val="20"/>
          <w:szCs w:val="20"/>
        </w:rPr>
        <w:t xml:space="preserve">  </w:t>
      </w:r>
      <w:r>
        <w:rPr>
          <w:rFonts w:ascii="微软雅黑" w:hAnsi="微软雅黑" w:eastAsia="微软雅黑" w:cs="微软雅黑"/>
          <w:spacing w:val="-1"/>
          <w:sz w:val="20"/>
          <w:szCs w:val="20"/>
        </w:rPr>
        <w:t>回归</w:t>
      </w:r>
      <w:r>
        <w:rPr>
          <w:rFonts w:ascii="MS Gothic" w:hAnsi="MS Gothic" w:eastAsia="MS Gothic" w:cs="MS Gothic"/>
          <w:spacing w:val="-1"/>
          <w:sz w:val="20"/>
          <w:szCs w:val="20"/>
        </w:rPr>
        <w:t>“</w:t>
      </w:r>
      <w:r>
        <w:rPr>
          <w:rFonts w:ascii="MS Gothic" w:hAnsi="MS Gothic" w:eastAsia="MS Gothic" w:cs="MS Gothic"/>
          <w:spacing w:val="-64"/>
          <w:sz w:val="20"/>
          <w:szCs w:val="20"/>
        </w:rPr>
        <w:t xml:space="preserve"> </w:t>
      </w:r>
      <w:r>
        <w:rPr>
          <w:rFonts w:ascii="微软雅黑" w:hAnsi="微软雅黑" w:eastAsia="微软雅黑" w:cs="微软雅黑"/>
          <w:spacing w:val="-1"/>
          <w:sz w:val="20"/>
          <w:szCs w:val="20"/>
        </w:rPr>
        <w:t>以学生为中心</w:t>
      </w:r>
      <w:r>
        <w:rPr>
          <w:rFonts w:ascii="MS Gothic" w:hAnsi="MS Gothic" w:eastAsia="MS Gothic" w:cs="MS Gothic"/>
          <w:spacing w:val="-1"/>
          <w:sz w:val="20"/>
          <w:szCs w:val="20"/>
        </w:rPr>
        <w:t>”，</w:t>
      </w:r>
      <w:r>
        <w:rPr>
          <w:rFonts w:ascii="微软雅黑" w:hAnsi="微软雅黑" w:eastAsia="微软雅黑" w:cs="微软雅黑"/>
          <w:spacing w:val="-1"/>
          <w:sz w:val="20"/>
          <w:szCs w:val="20"/>
        </w:rPr>
        <w:t>强调学生的主体地位</w:t>
      </w:r>
      <w:r>
        <w:rPr>
          <w:rFonts w:ascii="MS Gothic" w:hAnsi="MS Gothic" w:eastAsia="MS Gothic" w:cs="MS Gothic"/>
          <w:spacing w:val="-1"/>
          <w:sz w:val="20"/>
          <w:szCs w:val="20"/>
        </w:rPr>
        <w:t>，</w:t>
      </w:r>
      <w:r>
        <w:rPr>
          <w:rFonts w:ascii="微软雅黑" w:hAnsi="微软雅黑" w:eastAsia="微软雅黑" w:cs="微软雅黑"/>
          <w:spacing w:val="-1"/>
          <w:sz w:val="20"/>
          <w:szCs w:val="20"/>
        </w:rPr>
        <w:t>将学</w:t>
      </w:r>
      <w:r>
        <w:rPr>
          <w:rFonts w:ascii="微软雅黑" w:hAnsi="微软雅黑" w:eastAsia="微软雅黑" w:cs="微软雅黑"/>
          <w:sz w:val="20"/>
          <w:szCs w:val="20"/>
        </w:rPr>
        <w:t xml:space="preserve">  </w:t>
      </w:r>
      <w:r>
        <w:rPr>
          <w:rFonts w:ascii="微软雅黑" w:hAnsi="微软雅黑" w:eastAsia="微软雅黑" w:cs="微软雅黑"/>
          <w:spacing w:val="12"/>
          <w:sz w:val="20"/>
          <w:szCs w:val="20"/>
        </w:rPr>
        <w:t>生的全面发展作为衡量教育教学质量的主要依据</w:t>
      </w:r>
      <w:r>
        <w:rPr>
          <w:rFonts w:ascii="MS Gothic" w:hAnsi="MS Gothic" w:eastAsia="MS Gothic" w:cs="MS Gothic"/>
          <w:spacing w:val="12"/>
          <w:sz w:val="20"/>
          <w:szCs w:val="20"/>
        </w:rPr>
        <w:t>，</w:t>
      </w:r>
      <w:r>
        <w:rPr>
          <w:rFonts w:ascii="MS Gothic" w:hAnsi="MS Gothic" w:eastAsia="MS Gothic" w:cs="MS Gothic"/>
          <w:spacing w:val="15"/>
          <w:sz w:val="20"/>
          <w:szCs w:val="20"/>
        </w:rPr>
        <w:t xml:space="preserve"> </w:t>
      </w:r>
      <w:r>
        <w:rPr>
          <w:rFonts w:ascii="微软雅黑" w:hAnsi="微软雅黑" w:eastAsia="微软雅黑" w:cs="微软雅黑"/>
          <w:spacing w:val="9"/>
          <w:sz w:val="20"/>
          <w:szCs w:val="20"/>
        </w:rPr>
        <w:t>将学生的需要和利益放在首位</w:t>
      </w:r>
      <w:r>
        <w:rPr>
          <w:rFonts w:ascii="MS Gothic" w:hAnsi="MS Gothic" w:eastAsia="MS Gothic" w:cs="MS Gothic"/>
          <w:spacing w:val="9"/>
          <w:sz w:val="20"/>
          <w:szCs w:val="20"/>
        </w:rPr>
        <w:t>，</w:t>
      </w:r>
      <w:r>
        <w:rPr>
          <w:rFonts w:ascii="微软雅黑" w:hAnsi="微软雅黑" w:eastAsia="微软雅黑" w:cs="微软雅黑"/>
          <w:spacing w:val="9"/>
          <w:sz w:val="20"/>
          <w:szCs w:val="20"/>
        </w:rPr>
        <w:t>将成就学生发展作</w:t>
      </w:r>
      <w:r>
        <w:rPr>
          <w:rFonts w:ascii="微软雅黑" w:hAnsi="微软雅黑" w:eastAsia="微软雅黑" w:cs="微软雅黑"/>
          <w:spacing w:val="7"/>
          <w:sz w:val="20"/>
          <w:szCs w:val="20"/>
        </w:rPr>
        <w:t xml:space="preserve">  </w:t>
      </w:r>
      <w:r>
        <w:rPr>
          <w:rFonts w:ascii="微软雅黑" w:hAnsi="微软雅黑" w:eastAsia="微软雅黑" w:cs="微软雅黑"/>
          <w:spacing w:val="11"/>
          <w:sz w:val="20"/>
          <w:szCs w:val="20"/>
        </w:rPr>
        <w:t>为各项工作的出发点和落脚点</w:t>
      </w:r>
      <w:r>
        <w:rPr>
          <w:rFonts w:ascii="微软雅黑" w:hAnsi="微软雅黑" w:eastAsia="微软雅黑" w:cs="微软雅黑"/>
          <w:spacing w:val="-22"/>
          <w:sz w:val="20"/>
          <w:szCs w:val="20"/>
        </w:rPr>
        <w:t xml:space="preserve"> </w:t>
      </w:r>
      <w:r>
        <w:rPr>
          <w:rFonts w:ascii="MS Gothic" w:hAnsi="MS Gothic" w:eastAsia="MS Gothic" w:cs="MS Gothic"/>
          <w:spacing w:val="11"/>
          <w:sz w:val="20"/>
          <w:szCs w:val="20"/>
        </w:rPr>
        <w:t>。</w:t>
      </w:r>
      <w:r>
        <w:rPr>
          <w:rFonts w:ascii="微软雅黑" w:hAnsi="微软雅黑" w:eastAsia="微软雅黑" w:cs="微软雅黑"/>
          <w:spacing w:val="11"/>
          <w:sz w:val="20"/>
          <w:szCs w:val="20"/>
        </w:rPr>
        <w:t>学校为学生而设</w:t>
      </w:r>
      <w:r>
        <w:rPr>
          <w:rFonts w:ascii="MS Gothic" w:hAnsi="MS Gothic" w:eastAsia="MS Gothic" w:cs="MS Gothic"/>
          <w:spacing w:val="11"/>
          <w:sz w:val="20"/>
          <w:szCs w:val="20"/>
        </w:rPr>
        <w:t>，</w:t>
      </w:r>
      <w:r>
        <w:rPr>
          <w:rFonts w:ascii="MS Gothic" w:hAnsi="MS Gothic" w:eastAsia="MS Gothic" w:cs="MS Gothic"/>
          <w:sz w:val="20"/>
          <w:szCs w:val="20"/>
        </w:rPr>
        <w:t xml:space="preserve"> </w:t>
      </w:r>
      <w:r>
        <w:rPr>
          <w:rFonts w:ascii="微软雅黑" w:hAnsi="微软雅黑" w:eastAsia="微软雅黑" w:cs="微软雅黑"/>
          <w:sz w:val="20"/>
          <w:szCs w:val="20"/>
        </w:rPr>
        <w:t>教师为学生而教</w:t>
      </w:r>
      <w:r>
        <w:rPr>
          <w:rFonts w:ascii="MS Gothic" w:hAnsi="MS Gothic" w:eastAsia="MS Gothic" w:cs="MS Gothic"/>
          <w:sz w:val="20"/>
          <w:szCs w:val="20"/>
        </w:rPr>
        <w:t>，</w:t>
      </w:r>
      <w:r>
        <w:rPr>
          <w:rFonts w:ascii="微软雅黑" w:hAnsi="微软雅黑" w:eastAsia="微软雅黑" w:cs="微软雅黑"/>
          <w:sz w:val="20"/>
          <w:szCs w:val="20"/>
        </w:rPr>
        <w:t>在人才培养方案制定</w:t>
      </w:r>
      <w:r>
        <w:rPr>
          <w:rFonts w:ascii="MS Gothic" w:hAnsi="MS Gothic" w:eastAsia="MS Gothic" w:cs="MS Gothic"/>
          <w:sz w:val="20"/>
          <w:szCs w:val="20"/>
        </w:rPr>
        <w:t>、</w:t>
      </w:r>
      <w:r>
        <w:rPr>
          <w:rFonts w:ascii="微软雅黑" w:hAnsi="微软雅黑" w:eastAsia="微软雅黑" w:cs="微软雅黑"/>
          <w:sz w:val="20"/>
          <w:szCs w:val="20"/>
        </w:rPr>
        <w:t>专业课程设</w:t>
      </w:r>
      <w:r>
        <w:rPr>
          <w:rFonts w:ascii="微软雅黑" w:hAnsi="微软雅黑" w:eastAsia="微软雅黑" w:cs="微软雅黑"/>
          <w:spacing w:val="6"/>
          <w:sz w:val="20"/>
          <w:szCs w:val="20"/>
        </w:rPr>
        <w:t xml:space="preserve">  </w:t>
      </w:r>
      <w:r>
        <w:rPr>
          <w:rFonts w:ascii="微软雅黑" w:hAnsi="微软雅黑" w:eastAsia="微软雅黑" w:cs="微软雅黑"/>
          <w:spacing w:val="9"/>
          <w:sz w:val="20"/>
          <w:szCs w:val="20"/>
        </w:rPr>
        <w:t>置</w:t>
      </w:r>
      <w:r>
        <w:rPr>
          <w:rFonts w:ascii="MS Gothic" w:hAnsi="MS Gothic" w:eastAsia="MS Gothic" w:cs="MS Gothic"/>
          <w:spacing w:val="9"/>
          <w:sz w:val="20"/>
          <w:szCs w:val="20"/>
        </w:rPr>
        <w:t>、</w:t>
      </w:r>
      <w:r>
        <w:rPr>
          <w:rFonts w:ascii="微软雅黑" w:hAnsi="微软雅黑" w:eastAsia="微软雅黑" w:cs="微软雅黑"/>
          <w:spacing w:val="9"/>
          <w:sz w:val="20"/>
          <w:szCs w:val="20"/>
        </w:rPr>
        <w:t>教学方法选择和教学管理机制创新等工作谋划</w:t>
      </w:r>
      <w:r>
        <w:rPr>
          <w:rFonts w:ascii="微软雅黑" w:hAnsi="微软雅黑" w:eastAsia="微软雅黑" w:cs="微软雅黑"/>
          <w:spacing w:val="7"/>
          <w:sz w:val="20"/>
          <w:szCs w:val="20"/>
        </w:rPr>
        <w:t xml:space="preserve">  </w:t>
      </w:r>
      <w:r>
        <w:rPr>
          <w:rFonts w:ascii="微软雅黑" w:hAnsi="微软雅黑" w:eastAsia="微软雅黑" w:cs="微软雅黑"/>
          <w:spacing w:val="-1"/>
          <w:sz w:val="20"/>
          <w:szCs w:val="20"/>
        </w:rPr>
        <w:t>和推进中全面体现</w:t>
      </w:r>
      <w:r>
        <w:rPr>
          <w:rFonts w:ascii="MS Gothic" w:hAnsi="MS Gothic" w:eastAsia="MS Gothic" w:cs="MS Gothic"/>
          <w:spacing w:val="-1"/>
          <w:sz w:val="20"/>
          <w:szCs w:val="20"/>
        </w:rPr>
        <w:t>“</w:t>
      </w:r>
      <w:r>
        <w:rPr>
          <w:rFonts w:ascii="MS Gothic" w:hAnsi="MS Gothic" w:eastAsia="MS Gothic" w:cs="MS Gothic"/>
          <w:spacing w:val="-64"/>
          <w:sz w:val="20"/>
          <w:szCs w:val="20"/>
        </w:rPr>
        <w:t xml:space="preserve"> </w:t>
      </w:r>
      <w:r>
        <w:rPr>
          <w:rFonts w:ascii="微软雅黑" w:hAnsi="微软雅黑" w:eastAsia="微软雅黑" w:cs="微软雅黑"/>
          <w:spacing w:val="-1"/>
          <w:sz w:val="20"/>
          <w:szCs w:val="20"/>
        </w:rPr>
        <w:t>以学生为中心</w:t>
      </w:r>
      <w:r>
        <w:rPr>
          <w:rFonts w:ascii="MS Gothic" w:hAnsi="MS Gothic" w:eastAsia="MS Gothic" w:cs="MS Gothic"/>
          <w:spacing w:val="-1"/>
          <w:sz w:val="20"/>
          <w:szCs w:val="20"/>
        </w:rPr>
        <w:t>”</w:t>
      </w:r>
      <w:r>
        <w:rPr>
          <w:rFonts w:ascii="微软雅黑" w:hAnsi="微软雅黑" w:eastAsia="微软雅黑" w:cs="微软雅黑"/>
          <w:spacing w:val="-1"/>
          <w:sz w:val="20"/>
          <w:szCs w:val="20"/>
        </w:rPr>
        <w:t>的质量文化</w:t>
      </w:r>
      <w:r>
        <w:rPr>
          <w:rFonts w:ascii="MS Gothic" w:hAnsi="MS Gothic" w:eastAsia="MS Gothic" w:cs="MS Gothic"/>
          <w:spacing w:val="-1"/>
          <w:sz w:val="20"/>
          <w:szCs w:val="20"/>
        </w:rPr>
        <w:t>，</w:t>
      </w:r>
      <w:r>
        <w:rPr>
          <w:rFonts w:ascii="微软雅黑" w:hAnsi="微软雅黑" w:eastAsia="微软雅黑" w:cs="微软雅黑"/>
          <w:spacing w:val="-1"/>
          <w:sz w:val="20"/>
          <w:szCs w:val="20"/>
        </w:rPr>
        <w:t>始</w:t>
      </w:r>
      <w:r>
        <w:rPr>
          <w:rFonts w:ascii="微软雅黑" w:hAnsi="微软雅黑" w:eastAsia="微软雅黑" w:cs="微软雅黑"/>
          <w:sz w:val="20"/>
          <w:szCs w:val="20"/>
        </w:rPr>
        <w:t xml:space="preserve">  终把遵循学生的认识规律</w:t>
      </w:r>
      <w:r>
        <w:rPr>
          <w:rFonts w:ascii="MS Gothic" w:hAnsi="MS Gothic" w:eastAsia="MS Gothic" w:cs="MS Gothic"/>
          <w:sz w:val="20"/>
          <w:szCs w:val="20"/>
        </w:rPr>
        <w:t>，</w:t>
      </w:r>
      <w:r>
        <w:rPr>
          <w:rFonts w:ascii="微软雅黑" w:hAnsi="微软雅黑" w:eastAsia="微软雅黑" w:cs="微软雅黑"/>
          <w:sz w:val="20"/>
          <w:szCs w:val="20"/>
        </w:rPr>
        <w:t>彰显学生个性特征</w:t>
      </w:r>
      <w:r>
        <w:rPr>
          <w:rFonts w:ascii="MS Gothic" w:hAnsi="MS Gothic" w:eastAsia="MS Gothic" w:cs="MS Gothic"/>
          <w:sz w:val="20"/>
          <w:szCs w:val="20"/>
        </w:rPr>
        <w:t>，</w:t>
      </w:r>
      <w:r>
        <w:rPr>
          <w:rFonts w:ascii="微软雅黑" w:hAnsi="微软雅黑" w:eastAsia="微软雅黑" w:cs="微软雅黑"/>
          <w:sz w:val="20"/>
          <w:szCs w:val="20"/>
        </w:rPr>
        <w:t>挖掘</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学生成长潜能</w:t>
      </w:r>
      <w:r>
        <w:rPr>
          <w:rFonts w:ascii="MS Gothic" w:hAnsi="MS Gothic" w:eastAsia="MS Gothic" w:cs="MS Gothic"/>
          <w:sz w:val="20"/>
          <w:szCs w:val="20"/>
        </w:rPr>
        <w:t>，</w:t>
      </w:r>
      <w:r>
        <w:rPr>
          <w:rFonts w:ascii="微软雅黑" w:hAnsi="微软雅黑" w:eastAsia="微软雅黑" w:cs="微软雅黑"/>
          <w:sz w:val="20"/>
          <w:szCs w:val="20"/>
        </w:rPr>
        <w:t>促进学生全面发展</w:t>
      </w:r>
      <w:r>
        <w:rPr>
          <w:rFonts w:ascii="MS Gothic" w:hAnsi="MS Gothic" w:eastAsia="MS Gothic" w:cs="MS Gothic"/>
          <w:sz w:val="20"/>
          <w:szCs w:val="20"/>
        </w:rPr>
        <w:t>，</w:t>
      </w:r>
      <w:r>
        <w:rPr>
          <w:rFonts w:ascii="微软雅黑" w:hAnsi="微软雅黑" w:eastAsia="微软雅黑" w:cs="微软雅黑"/>
          <w:sz w:val="20"/>
          <w:szCs w:val="20"/>
        </w:rPr>
        <w:t>作为重要的教学</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目标和质量标准予以遵循</w:t>
      </w:r>
      <w:r>
        <w:rPr>
          <w:rFonts w:ascii="MS Gothic" w:hAnsi="MS Gothic" w:eastAsia="MS Gothic" w:cs="MS Gothic"/>
          <w:spacing w:val="8"/>
          <w:position w:val="8"/>
          <w:sz w:val="11"/>
          <w:szCs w:val="11"/>
        </w:rPr>
        <w:t xml:space="preserve">[5] </w:t>
      </w:r>
      <w:r>
        <w:rPr>
          <w:rFonts w:ascii="MS Gothic" w:hAnsi="MS Gothic" w:eastAsia="MS Gothic" w:cs="MS Gothic"/>
          <w:spacing w:val="8"/>
          <w:sz w:val="20"/>
          <w:szCs w:val="20"/>
        </w:rPr>
        <w:t>。</w:t>
      </w:r>
      <w:r>
        <w:rPr>
          <w:rFonts w:ascii="微软雅黑" w:hAnsi="微软雅黑" w:eastAsia="微软雅黑" w:cs="微软雅黑"/>
          <w:spacing w:val="8"/>
          <w:sz w:val="20"/>
          <w:szCs w:val="20"/>
        </w:rPr>
        <w:t>地方本科院校</w:t>
      </w:r>
      <w:r>
        <w:rPr>
          <w:rFonts w:ascii="微软雅黑" w:hAnsi="微软雅黑" w:eastAsia="微软雅黑" w:cs="微软雅黑"/>
          <w:spacing w:val="7"/>
          <w:sz w:val="20"/>
          <w:szCs w:val="20"/>
        </w:rPr>
        <w:t>在开展</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内部质量评估时</w:t>
      </w:r>
      <w:r>
        <w:rPr>
          <w:rFonts w:ascii="MS Gothic" w:hAnsi="MS Gothic" w:eastAsia="MS Gothic" w:cs="MS Gothic"/>
          <w:spacing w:val="9"/>
          <w:sz w:val="20"/>
          <w:szCs w:val="20"/>
        </w:rPr>
        <w:t>，</w:t>
      </w:r>
      <w:r>
        <w:rPr>
          <w:rFonts w:ascii="微软雅黑" w:hAnsi="微软雅黑" w:eastAsia="微软雅黑" w:cs="微软雅黑"/>
          <w:spacing w:val="9"/>
          <w:sz w:val="20"/>
          <w:szCs w:val="20"/>
        </w:rPr>
        <w:t>要更加关注学生在学习中的心理</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感受</w:t>
      </w:r>
      <w:r>
        <w:rPr>
          <w:rFonts w:ascii="MS Gothic" w:hAnsi="MS Gothic" w:eastAsia="MS Gothic" w:cs="MS Gothic"/>
          <w:sz w:val="20"/>
          <w:szCs w:val="20"/>
        </w:rPr>
        <w:t>、</w:t>
      </w:r>
      <w:r>
        <w:rPr>
          <w:rFonts w:ascii="微软雅黑" w:hAnsi="微软雅黑" w:eastAsia="微软雅黑" w:cs="微软雅黑"/>
          <w:sz w:val="20"/>
          <w:szCs w:val="20"/>
        </w:rPr>
        <w:t>动机需求和满意度</w:t>
      </w:r>
      <w:r>
        <w:rPr>
          <w:rFonts w:ascii="MS Gothic" w:hAnsi="MS Gothic" w:eastAsia="MS Gothic" w:cs="MS Gothic"/>
          <w:sz w:val="20"/>
          <w:szCs w:val="20"/>
        </w:rPr>
        <w:t>，</w:t>
      </w:r>
      <w:r>
        <w:rPr>
          <w:rFonts w:ascii="微软雅黑" w:hAnsi="微软雅黑" w:eastAsia="微软雅黑" w:cs="微软雅黑"/>
          <w:sz w:val="20"/>
          <w:szCs w:val="20"/>
        </w:rPr>
        <w:t>加强各项指标促进学生的</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有意义学习</w:t>
      </w:r>
      <w:r>
        <w:rPr>
          <w:rFonts w:ascii="MS Gothic" w:hAnsi="MS Gothic" w:eastAsia="MS Gothic" w:cs="MS Gothic"/>
          <w:spacing w:val="8"/>
          <w:sz w:val="20"/>
          <w:szCs w:val="20"/>
        </w:rPr>
        <w:t>，</w:t>
      </w:r>
      <w:r>
        <w:rPr>
          <w:rFonts w:ascii="微软雅黑" w:hAnsi="微软雅黑" w:eastAsia="微软雅黑" w:cs="微软雅黑"/>
          <w:spacing w:val="8"/>
          <w:sz w:val="20"/>
          <w:szCs w:val="20"/>
        </w:rPr>
        <w:t>激发学生学习兴趣</w:t>
      </w:r>
      <w:r>
        <w:rPr>
          <w:rFonts w:ascii="微软雅黑" w:hAnsi="微软雅黑" w:eastAsia="微软雅黑" w:cs="微软雅黑"/>
          <w:spacing w:val="-22"/>
          <w:sz w:val="20"/>
          <w:szCs w:val="20"/>
        </w:rPr>
        <w:t xml:space="preserve"> </w:t>
      </w:r>
      <w:r>
        <w:rPr>
          <w:rFonts w:ascii="MS Gothic" w:hAnsi="MS Gothic" w:eastAsia="MS Gothic" w:cs="MS Gothic"/>
          <w:spacing w:val="8"/>
          <w:sz w:val="20"/>
          <w:szCs w:val="20"/>
        </w:rPr>
        <w:t>。</w:t>
      </w:r>
      <w:r>
        <w:rPr>
          <w:rFonts w:ascii="微软雅黑" w:hAnsi="微软雅黑" w:eastAsia="微软雅黑" w:cs="微软雅黑"/>
          <w:spacing w:val="8"/>
          <w:sz w:val="20"/>
          <w:szCs w:val="20"/>
        </w:rPr>
        <w:t>在质量管理机制</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中重视学生作为质量建设主体作用的发挥</w:t>
      </w:r>
      <w:r>
        <w:rPr>
          <w:rFonts w:ascii="MS Gothic" w:hAnsi="MS Gothic" w:eastAsia="MS Gothic" w:cs="MS Gothic"/>
          <w:spacing w:val="9"/>
          <w:sz w:val="20"/>
          <w:szCs w:val="20"/>
        </w:rPr>
        <w:t>，</w:t>
      </w:r>
      <w:r>
        <w:rPr>
          <w:rFonts w:ascii="微软雅黑" w:hAnsi="微软雅黑" w:eastAsia="微软雅黑" w:cs="微软雅黑"/>
          <w:spacing w:val="9"/>
          <w:sz w:val="20"/>
          <w:szCs w:val="20"/>
        </w:rPr>
        <w:t>将学生</w:t>
      </w:r>
      <w:r>
        <w:rPr>
          <w:rFonts w:ascii="微软雅黑" w:hAnsi="微软雅黑" w:eastAsia="微软雅黑" w:cs="微软雅黑"/>
          <w:spacing w:val="7"/>
          <w:sz w:val="20"/>
          <w:szCs w:val="20"/>
        </w:rPr>
        <w:t xml:space="preserve">  </w:t>
      </w:r>
      <w:r>
        <w:rPr>
          <w:rFonts w:ascii="微软雅黑" w:hAnsi="微软雅黑" w:eastAsia="微软雅黑" w:cs="微软雅黑"/>
          <w:spacing w:val="9"/>
          <w:sz w:val="20"/>
          <w:szCs w:val="20"/>
        </w:rPr>
        <w:t>参与质量管理作为质量评价的重要环节</w:t>
      </w:r>
      <w:r>
        <w:rPr>
          <w:rFonts w:ascii="MS Gothic" w:hAnsi="MS Gothic" w:eastAsia="MS Gothic" w:cs="MS Gothic"/>
          <w:spacing w:val="9"/>
          <w:sz w:val="20"/>
          <w:szCs w:val="20"/>
        </w:rPr>
        <w:t>，</w:t>
      </w:r>
      <w:r>
        <w:rPr>
          <w:rFonts w:ascii="微软雅黑" w:hAnsi="微软雅黑" w:eastAsia="微软雅黑" w:cs="微软雅黑"/>
          <w:spacing w:val="9"/>
          <w:sz w:val="20"/>
          <w:szCs w:val="20"/>
        </w:rPr>
        <w:t>引导学生</w:t>
      </w:r>
      <w:r>
        <w:rPr>
          <w:rFonts w:ascii="微软雅黑" w:hAnsi="微软雅黑" w:eastAsia="微软雅黑" w:cs="微软雅黑"/>
          <w:spacing w:val="7"/>
          <w:sz w:val="20"/>
          <w:szCs w:val="20"/>
        </w:rPr>
        <w:t xml:space="preserve">  </w:t>
      </w:r>
      <w:r>
        <w:rPr>
          <w:rFonts w:ascii="微软雅黑" w:hAnsi="微软雅黑" w:eastAsia="微软雅黑" w:cs="微软雅黑"/>
          <w:spacing w:val="9"/>
          <w:sz w:val="20"/>
          <w:szCs w:val="20"/>
        </w:rPr>
        <w:t>将学习效果反馈给教师</w:t>
      </w:r>
      <w:r>
        <w:rPr>
          <w:rFonts w:ascii="MS Gothic" w:hAnsi="MS Gothic" w:eastAsia="MS Gothic" w:cs="MS Gothic"/>
          <w:spacing w:val="9"/>
          <w:sz w:val="20"/>
          <w:szCs w:val="20"/>
        </w:rPr>
        <w:t>，</w:t>
      </w:r>
      <w:r>
        <w:rPr>
          <w:rFonts w:ascii="微软雅黑" w:hAnsi="微软雅黑" w:eastAsia="微软雅黑" w:cs="微软雅黑"/>
          <w:spacing w:val="9"/>
          <w:sz w:val="20"/>
          <w:szCs w:val="20"/>
        </w:rPr>
        <w:t>积极推动学生在教学质量</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管理中主动参与</w:t>
      </w:r>
      <w:r>
        <w:rPr>
          <w:rFonts w:ascii="MS Gothic" w:hAnsi="MS Gothic" w:eastAsia="MS Gothic" w:cs="MS Gothic"/>
          <w:spacing w:val="-3"/>
          <w:sz w:val="20"/>
          <w:szCs w:val="20"/>
        </w:rPr>
        <w:t>、</w:t>
      </w:r>
      <w:r>
        <w:rPr>
          <w:rFonts w:ascii="微软雅黑" w:hAnsi="微软雅黑" w:eastAsia="微软雅黑" w:cs="微软雅黑"/>
          <w:spacing w:val="-3"/>
          <w:sz w:val="20"/>
          <w:szCs w:val="20"/>
        </w:rPr>
        <w:t>互动沟通</w:t>
      </w:r>
      <w:r>
        <w:rPr>
          <w:rFonts w:ascii="MS Gothic" w:hAnsi="MS Gothic" w:eastAsia="MS Gothic" w:cs="MS Gothic"/>
          <w:spacing w:val="-3"/>
          <w:sz w:val="20"/>
          <w:szCs w:val="20"/>
        </w:rPr>
        <w:t>、</w:t>
      </w:r>
      <w:r>
        <w:rPr>
          <w:rFonts w:ascii="微软雅黑" w:hAnsi="微软雅黑" w:eastAsia="微软雅黑" w:cs="微软雅黑"/>
          <w:spacing w:val="-3"/>
          <w:sz w:val="20"/>
          <w:szCs w:val="20"/>
        </w:rPr>
        <w:t>自我反思</w:t>
      </w:r>
      <w:r>
        <w:rPr>
          <w:rFonts w:ascii="MS Gothic" w:hAnsi="MS Gothic" w:eastAsia="MS Gothic" w:cs="MS Gothic"/>
          <w:spacing w:val="-3"/>
          <w:sz w:val="20"/>
          <w:szCs w:val="20"/>
        </w:rPr>
        <w:t>。</w:t>
      </w:r>
    </w:p>
    <w:p>
      <w:pPr>
        <w:spacing w:before="43" w:line="226" w:lineRule="auto"/>
        <w:ind w:left="1079"/>
        <w:rPr>
          <w:rFonts w:ascii="黑体" w:hAnsi="黑体" w:eastAsia="黑体" w:cs="黑体"/>
          <w:sz w:val="20"/>
          <w:szCs w:val="20"/>
        </w:rPr>
      </w:pPr>
      <w:r>
        <w:rPr>
          <w:rFonts w:ascii="MS Gothic" w:hAnsi="MS Gothic" w:eastAsia="MS Gothic" w:cs="MS Gothic"/>
          <w:spacing w:val="-4"/>
          <w:sz w:val="20"/>
          <w:szCs w:val="20"/>
        </w:rPr>
        <w:t>（</w:t>
      </w:r>
      <w:r>
        <w:rPr>
          <w:rFonts w:ascii="MS Gothic" w:hAnsi="MS Gothic" w:eastAsia="MS Gothic" w:cs="MS Gothic"/>
          <w:spacing w:val="-41"/>
          <w:sz w:val="20"/>
          <w:szCs w:val="20"/>
        </w:rPr>
        <w:t xml:space="preserve"> </w:t>
      </w:r>
      <w:r>
        <w:rPr>
          <w:rFonts w:ascii="黑体" w:hAnsi="黑体" w:eastAsia="黑体" w:cs="黑体"/>
          <w:spacing w:val="-4"/>
          <w:sz w:val="20"/>
          <w:szCs w:val="20"/>
        </w:rPr>
        <w:t>二</w:t>
      </w:r>
      <w:r>
        <w:rPr>
          <w:rFonts w:ascii="MS Gothic" w:hAnsi="MS Gothic" w:eastAsia="MS Gothic" w:cs="MS Gothic"/>
          <w:spacing w:val="-4"/>
          <w:sz w:val="20"/>
          <w:szCs w:val="20"/>
        </w:rPr>
        <w:t>）</w:t>
      </w:r>
      <w:r>
        <w:rPr>
          <w:rFonts w:ascii="黑体" w:hAnsi="黑体" w:eastAsia="黑体" w:cs="黑体"/>
          <w:spacing w:val="-4"/>
          <w:sz w:val="20"/>
          <w:szCs w:val="20"/>
        </w:rPr>
        <w:t>聚焦产出导向</w:t>
      </w:r>
      <w:r>
        <w:rPr>
          <w:rFonts w:ascii="MS Gothic" w:hAnsi="MS Gothic" w:eastAsia="MS Gothic" w:cs="MS Gothic"/>
          <w:spacing w:val="-4"/>
          <w:sz w:val="20"/>
          <w:szCs w:val="20"/>
        </w:rPr>
        <w:t>，</w:t>
      </w:r>
      <w:r>
        <w:rPr>
          <w:rFonts w:ascii="黑体" w:hAnsi="黑体" w:eastAsia="黑体" w:cs="黑体"/>
          <w:spacing w:val="-4"/>
          <w:sz w:val="20"/>
          <w:szCs w:val="20"/>
        </w:rPr>
        <w:t>推动质量文化融入全程</w:t>
      </w:r>
    </w:p>
    <w:p>
      <w:pPr>
        <w:spacing w:before="54" w:line="212" w:lineRule="auto"/>
        <w:ind w:left="731" w:right="220" w:firstLine="420"/>
        <w:rPr>
          <w:rFonts w:ascii="微软雅黑" w:hAnsi="微软雅黑" w:eastAsia="微软雅黑" w:cs="微软雅黑"/>
          <w:sz w:val="20"/>
          <w:szCs w:val="20"/>
        </w:rPr>
      </w:pPr>
      <w:r>
        <w:rPr>
          <w:rFonts w:ascii="微软雅黑" w:hAnsi="微软雅黑" w:eastAsia="微软雅黑" w:cs="微软雅黑"/>
          <w:spacing w:val="9"/>
          <w:sz w:val="20"/>
          <w:szCs w:val="20"/>
        </w:rPr>
        <w:t>产出导向的质量理念要求每一次办学行为的决</w:t>
      </w:r>
      <w:r>
        <w:rPr>
          <w:rFonts w:ascii="微软雅黑" w:hAnsi="微软雅黑" w:eastAsia="微软雅黑" w:cs="微软雅黑"/>
          <w:spacing w:val="6"/>
          <w:sz w:val="20"/>
          <w:szCs w:val="20"/>
        </w:rPr>
        <w:t xml:space="preserve">  </w:t>
      </w:r>
      <w:r>
        <w:rPr>
          <w:rFonts w:ascii="微软雅黑" w:hAnsi="微软雅黑" w:eastAsia="微软雅黑" w:cs="微软雅黑"/>
          <w:spacing w:val="9"/>
          <w:sz w:val="20"/>
          <w:szCs w:val="20"/>
        </w:rPr>
        <w:t>策都要切实以学生为中心</w:t>
      </w:r>
      <w:r>
        <w:rPr>
          <w:rFonts w:ascii="MS Gothic" w:hAnsi="MS Gothic" w:eastAsia="MS Gothic" w:cs="MS Gothic"/>
          <w:spacing w:val="9"/>
          <w:sz w:val="20"/>
          <w:szCs w:val="20"/>
        </w:rPr>
        <w:t>，</w:t>
      </w:r>
      <w:r>
        <w:rPr>
          <w:rFonts w:ascii="微软雅黑" w:hAnsi="微软雅黑" w:eastAsia="微软雅黑" w:cs="微软雅黑"/>
          <w:spacing w:val="9"/>
          <w:sz w:val="20"/>
          <w:szCs w:val="20"/>
        </w:rPr>
        <w:t>以此为主轴形成质量持</w:t>
      </w:r>
      <w:r>
        <w:rPr>
          <w:rFonts w:ascii="微软雅黑" w:hAnsi="微软雅黑" w:eastAsia="微软雅黑" w:cs="微软雅黑"/>
          <w:spacing w:val="7"/>
          <w:sz w:val="20"/>
          <w:szCs w:val="20"/>
        </w:rPr>
        <w:t xml:space="preserve">  </w:t>
      </w:r>
      <w:r>
        <w:rPr>
          <w:rFonts w:ascii="微软雅黑" w:hAnsi="微软雅黑" w:eastAsia="微软雅黑" w:cs="微软雅黑"/>
          <w:spacing w:val="4"/>
          <w:sz w:val="20"/>
          <w:szCs w:val="20"/>
        </w:rPr>
        <w:t>续改进环节的螺旋链接</w:t>
      </w:r>
      <w:r>
        <w:rPr>
          <w:rFonts w:ascii="MS Gothic" w:hAnsi="MS Gothic" w:eastAsia="MS Gothic" w:cs="MS Gothic"/>
          <w:spacing w:val="4"/>
          <w:sz w:val="20"/>
          <w:szCs w:val="20"/>
        </w:rPr>
        <w:t>，</w:t>
      </w:r>
      <w:r>
        <w:rPr>
          <w:rFonts w:ascii="微软雅黑" w:hAnsi="微软雅黑" w:eastAsia="微软雅黑" w:cs="微软雅黑"/>
          <w:spacing w:val="4"/>
          <w:sz w:val="20"/>
          <w:szCs w:val="20"/>
        </w:rPr>
        <w:t>服务于促进学校办学水平</w:t>
      </w:r>
      <w:r>
        <w:rPr>
          <w:rFonts w:ascii="MS Gothic" w:hAnsi="MS Gothic" w:eastAsia="MS Gothic" w:cs="MS Gothic"/>
          <w:spacing w:val="4"/>
          <w:sz w:val="20"/>
          <w:szCs w:val="20"/>
        </w:rPr>
        <w:t>、</w:t>
      </w:r>
      <w:r>
        <w:rPr>
          <w:rFonts w:ascii="MS Gothic" w:hAnsi="MS Gothic" w:eastAsia="MS Gothic" w:cs="MS Gothic"/>
          <w:spacing w:val="1"/>
          <w:sz w:val="20"/>
          <w:szCs w:val="20"/>
        </w:rPr>
        <w:t xml:space="preserve"> </w:t>
      </w:r>
      <w:r>
        <w:rPr>
          <w:rFonts w:ascii="微软雅黑" w:hAnsi="微软雅黑" w:eastAsia="微软雅黑" w:cs="微软雅黑"/>
          <w:spacing w:val="8"/>
          <w:sz w:val="20"/>
          <w:szCs w:val="20"/>
        </w:rPr>
        <w:t>人才培养质量</w:t>
      </w:r>
      <w:r>
        <w:rPr>
          <w:rFonts w:ascii="MS Gothic" w:hAnsi="MS Gothic" w:eastAsia="MS Gothic" w:cs="MS Gothic"/>
          <w:spacing w:val="8"/>
          <w:sz w:val="20"/>
          <w:szCs w:val="20"/>
        </w:rPr>
        <w:t>、</w:t>
      </w:r>
      <w:r>
        <w:rPr>
          <w:rFonts w:ascii="微软雅黑" w:hAnsi="微软雅黑" w:eastAsia="微软雅黑" w:cs="微软雅黑"/>
          <w:spacing w:val="8"/>
          <w:sz w:val="20"/>
          <w:szCs w:val="20"/>
        </w:rPr>
        <w:t>社会认可度的提高</w:t>
      </w:r>
      <w:r>
        <w:rPr>
          <w:rFonts w:ascii="微软雅黑" w:hAnsi="微软雅黑" w:eastAsia="微软雅黑" w:cs="微软雅黑"/>
          <w:spacing w:val="-23"/>
          <w:sz w:val="20"/>
          <w:szCs w:val="20"/>
        </w:rPr>
        <w:t xml:space="preserve"> </w:t>
      </w:r>
      <w:r>
        <w:rPr>
          <w:rFonts w:ascii="MS Gothic" w:hAnsi="MS Gothic" w:eastAsia="MS Gothic" w:cs="MS Gothic"/>
          <w:spacing w:val="8"/>
          <w:sz w:val="20"/>
          <w:szCs w:val="20"/>
        </w:rPr>
        <w:t>。</w:t>
      </w:r>
      <w:r>
        <w:rPr>
          <w:rFonts w:ascii="微软雅黑" w:hAnsi="微软雅黑" w:eastAsia="微软雅黑" w:cs="微软雅黑"/>
          <w:spacing w:val="8"/>
          <w:sz w:val="20"/>
          <w:szCs w:val="20"/>
        </w:rPr>
        <w:t>产出导向的实</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践</w:t>
      </w:r>
      <w:r>
        <w:rPr>
          <w:rFonts w:ascii="MS Gothic" w:hAnsi="MS Gothic" w:eastAsia="MS Gothic" w:cs="MS Gothic"/>
          <w:spacing w:val="4"/>
          <w:sz w:val="20"/>
          <w:szCs w:val="20"/>
        </w:rPr>
        <w:t>，</w:t>
      </w:r>
      <w:r>
        <w:rPr>
          <w:rFonts w:ascii="微软雅黑" w:hAnsi="微软雅黑" w:eastAsia="微软雅黑" w:cs="微软雅黑"/>
          <w:spacing w:val="4"/>
          <w:sz w:val="20"/>
          <w:szCs w:val="20"/>
        </w:rPr>
        <w:t>有赖于质量文化在人才培养过程中的全程贯通</w:t>
      </w:r>
      <w:r>
        <w:rPr>
          <w:rFonts w:ascii="MS Gothic" w:hAnsi="MS Gothic" w:eastAsia="MS Gothic" w:cs="MS Gothic"/>
          <w:spacing w:val="4"/>
          <w:sz w:val="20"/>
          <w:szCs w:val="20"/>
        </w:rPr>
        <w:t>。</w:t>
      </w:r>
      <w:r>
        <w:rPr>
          <w:rFonts w:ascii="MS Gothic" w:hAnsi="MS Gothic" w:eastAsia="MS Gothic" w:cs="MS Gothic"/>
          <w:spacing w:val="1"/>
          <w:sz w:val="20"/>
          <w:szCs w:val="20"/>
        </w:rPr>
        <w:t xml:space="preserve"> </w:t>
      </w:r>
      <w:r>
        <w:rPr>
          <w:rFonts w:ascii="微软雅黑" w:hAnsi="微软雅黑" w:eastAsia="微软雅黑" w:cs="微软雅黑"/>
          <w:spacing w:val="9"/>
          <w:sz w:val="20"/>
          <w:szCs w:val="20"/>
        </w:rPr>
        <w:t>地方本科院校要有目的地</w:t>
      </w:r>
      <w:r>
        <w:rPr>
          <w:rFonts w:ascii="MS Gothic" w:hAnsi="MS Gothic" w:eastAsia="MS Gothic" w:cs="MS Gothic"/>
          <w:spacing w:val="9"/>
          <w:sz w:val="20"/>
          <w:szCs w:val="20"/>
        </w:rPr>
        <w:t>、</w:t>
      </w:r>
      <w:r>
        <w:rPr>
          <w:rFonts w:ascii="微软雅黑" w:hAnsi="微软雅黑" w:eastAsia="微软雅黑" w:cs="微软雅黑"/>
          <w:spacing w:val="9"/>
          <w:sz w:val="20"/>
          <w:szCs w:val="20"/>
        </w:rPr>
        <w:t>有计划地培育和发展质</w:t>
      </w:r>
      <w:r>
        <w:rPr>
          <w:rFonts w:ascii="微软雅黑" w:hAnsi="微软雅黑" w:eastAsia="微软雅黑" w:cs="微软雅黑"/>
          <w:spacing w:val="7"/>
          <w:sz w:val="20"/>
          <w:szCs w:val="20"/>
        </w:rPr>
        <w:t xml:space="preserve">  </w:t>
      </w:r>
      <w:r>
        <w:rPr>
          <w:rFonts w:ascii="微软雅黑" w:hAnsi="微软雅黑" w:eastAsia="微软雅黑" w:cs="微软雅黑"/>
          <w:spacing w:val="-8"/>
          <w:sz w:val="20"/>
          <w:szCs w:val="20"/>
        </w:rPr>
        <w:t>量文化</w:t>
      </w:r>
      <w:r>
        <w:rPr>
          <w:rFonts w:ascii="MS Gothic" w:hAnsi="MS Gothic" w:eastAsia="MS Gothic" w:cs="MS Gothic"/>
          <w:spacing w:val="-8"/>
          <w:sz w:val="20"/>
          <w:szCs w:val="20"/>
        </w:rPr>
        <w:t>，</w:t>
      </w:r>
      <w:r>
        <w:rPr>
          <w:rFonts w:ascii="微软雅黑" w:hAnsi="微软雅黑" w:eastAsia="微软雅黑" w:cs="微软雅黑"/>
          <w:spacing w:val="-8"/>
          <w:sz w:val="20"/>
          <w:szCs w:val="20"/>
        </w:rPr>
        <w:t>围绕质量意识理念</w:t>
      </w:r>
      <w:r>
        <w:rPr>
          <w:rFonts w:ascii="MS Gothic" w:hAnsi="MS Gothic" w:eastAsia="MS Gothic" w:cs="MS Gothic"/>
          <w:spacing w:val="-8"/>
          <w:sz w:val="20"/>
          <w:szCs w:val="20"/>
        </w:rPr>
        <w:t>、</w:t>
      </w:r>
      <w:r>
        <w:rPr>
          <w:rFonts w:ascii="微软雅黑" w:hAnsi="微软雅黑" w:eastAsia="微软雅黑" w:cs="微软雅黑"/>
          <w:spacing w:val="-8"/>
          <w:sz w:val="20"/>
          <w:szCs w:val="20"/>
        </w:rPr>
        <w:t>价值取向</w:t>
      </w:r>
      <w:r>
        <w:rPr>
          <w:rFonts w:ascii="MS Gothic" w:hAnsi="MS Gothic" w:eastAsia="MS Gothic" w:cs="MS Gothic"/>
          <w:spacing w:val="-8"/>
          <w:sz w:val="20"/>
          <w:szCs w:val="20"/>
        </w:rPr>
        <w:t>、</w:t>
      </w:r>
      <w:r>
        <w:rPr>
          <w:rFonts w:ascii="微软雅黑" w:hAnsi="微软雅黑" w:eastAsia="微软雅黑" w:cs="微软雅黑"/>
          <w:spacing w:val="-8"/>
          <w:sz w:val="20"/>
          <w:szCs w:val="20"/>
        </w:rPr>
        <w:t>思维方式</w:t>
      </w:r>
      <w:r>
        <w:rPr>
          <w:rFonts w:ascii="MS Gothic" w:hAnsi="MS Gothic" w:eastAsia="MS Gothic" w:cs="MS Gothic"/>
          <w:spacing w:val="-8"/>
          <w:sz w:val="20"/>
          <w:szCs w:val="20"/>
        </w:rPr>
        <w:t>、</w:t>
      </w:r>
      <w:r>
        <w:rPr>
          <w:rFonts w:ascii="微软雅黑" w:hAnsi="微软雅黑" w:eastAsia="微软雅黑" w:cs="微软雅黑"/>
          <w:spacing w:val="-8"/>
          <w:sz w:val="20"/>
          <w:szCs w:val="20"/>
        </w:rPr>
        <w:t xml:space="preserve">规  </w:t>
      </w:r>
      <w:r>
        <w:rPr>
          <w:rFonts w:ascii="微软雅黑" w:hAnsi="微软雅黑" w:eastAsia="微软雅黑" w:cs="微软雅黑"/>
          <w:sz w:val="20"/>
          <w:szCs w:val="20"/>
        </w:rPr>
        <w:t>章制度</w:t>
      </w:r>
      <w:r>
        <w:rPr>
          <w:rFonts w:ascii="MS Gothic" w:hAnsi="MS Gothic" w:eastAsia="MS Gothic" w:cs="MS Gothic"/>
          <w:sz w:val="20"/>
          <w:szCs w:val="20"/>
        </w:rPr>
        <w:t>、</w:t>
      </w:r>
      <w:r>
        <w:rPr>
          <w:rFonts w:ascii="微软雅黑" w:hAnsi="微软雅黑" w:eastAsia="微软雅黑" w:cs="微软雅黑"/>
          <w:sz w:val="20"/>
          <w:szCs w:val="20"/>
        </w:rPr>
        <w:t>行为准则等全面营造质量文化氛围</w:t>
      </w:r>
      <w:r>
        <w:rPr>
          <w:rFonts w:ascii="MS Gothic" w:hAnsi="MS Gothic" w:eastAsia="MS Gothic" w:cs="MS Gothic"/>
          <w:spacing w:val="-1"/>
          <w:sz w:val="20"/>
          <w:szCs w:val="20"/>
        </w:rPr>
        <w:t>，</w:t>
      </w:r>
      <w:r>
        <w:rPr>
          <w:rFonts w:ascii="微软雅黑" w:hAnsi="微软雅黑" w:eastAsia="微软雅黑" w:cs="微软雅黑"/>
          <w:spacing w:val="-1"/>
          <w:sz w:val="20"/>
          <w:szCs w:val="20"/>
        </w:rPr>
        <w:t xml:space="preserve">将质量  </w:t>
      </w:r>
      <w:r>
        <w:rPr>
          <w:rFonts w:ascii="微软雅黑" w:hAnsi="微软雅黑" w:eastAsia="微软雅黑" w:cs="微软雅黑"/>
          <w:spacing w:val="8"/>
          <w:sz w:val="20"/>
          <w:szCs w:val="20"/>
        </w:rPr>
        <w:t>管理与持续改进内化为广大师生的共同追求</w:t>
      </w:r>
      <w:r>
        <w:rPr>
          <w:rFonts w:ascii="MS Gothic" w:hAnsi="MS Gothic" w:eastAsia="MS Gothic" w:cs="MS Gothic"/>
          <w:spacing w:val="8"/>
          <w:position w:val="8"/>
          <w:sz w:val="11"/>
          <w:szCs w:val="11"/>
        </w:rPr>
        <w:t>[6</w:t>
      </w:r>
      <w:r>
        <w:rPr>
          <w:rFonts w:ascii="MS Gothic" w:hAnsi="MS Gothic" w:eastAsia="MS Gothic" w:cs="MS Gothic"/>
          <w:spacing w:val="7"/>
          <w:position w:val="8"/>
          <w:sz w:val="11"/>
          <w:szCs w:val="11"/>
        </w:rPr>
        <w:t xml:space="preserve">] </w:t>
      </w:r>
      <w:r>
        <w:rPr>
          <w:rFonts w:ascii="MS Gothic" w:hAnsi="MS Gothic" w:eastAsia="MS Gothic" w:cs="MS Gothic"/>
          <w:spacing w:val="7"/>
          <w:sz w:val="20"/>
          <w:szCs w:val="20"/>
        </w:rPr>
        <w:t>。</w:t>
      </w:r>
      <w:r>
        <w:rPr>
          <w:rFonts w:ascii="微软雅黑" w:hAnsi="微软雅黑" w:eastAsia="微软雅黑" w:cs="微软雅黑"/>
          <w:spacing w:val="7"/>
          <w:sz w:val="20"/>
          <w:szCs w:val="20"/>
        </w:rPr>
        <w:t>采</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取多种形式的宣传研讨和激励手段</w:t>
      </w:r>
      <w:r>
        <w:rPr>
          <w:rFonts w:ascii="MS Gothic" w:hAnsi="MS Gothic" w:eastAsia="MS Gothic" w:cs="MS Gothic"/>
          <w:spacing w:val="9"/>
          <w:sz w:val="20"/>
          <w:szCs w:val="20"/>
        </w:rPr>
        <w:t>，</w:t>
      </w:r>
      <w:r>
        <w:rPr>
          <w:rFonts w:ascii="微软雅黑" w:hAnsi="微软雅黑" w:eastAsia="微软雅黑" w:cs="微软雅黑"/>
          <w:spacing w:val="9"/>
          <w:sz w:val="20"/>
          <w:szCs w:val="20"/>
        </w:rPr>
        <w:t>树立全员质量</w:t>
      </w:r>
      <w:r>
        <w:rPr>
          <w:rFonts w:ascii="微软雅黑" w:hAnsi="微软雅黑" w:eastAsia="微软雅黑" w:cs="微软雅黑"/>
          <w:spacing w:val="7"/>
          <w:sz w:val="20"/>
          <w:szCs w:val="20"/>
        </w:rPr>
        <w:t xml:space="preserve">  </w:t>
      </w:r>
      <w:r>
        <w:rPr>
          <w:rFonts w:ascii="微软雅黑" w:hAnsi="微软雅黑" w:eastAsia="微软雅黑" w:cs="微软雅黑"/>
          <w:spacing w:val="9"/>
          <w:sz w:val="20"/>
          <w:szCs w:val="20"/>
        </w:rPr>
        <w:t>管理意识</w:t>
      </w:r>
      <w:r>
        <w:rPr>
          <w:rFonts w:ascii="MS Gothic" w:hAnsi="MS Gothic" w:eastAsia="MS Gothic" w:cs="MS Gothic"/>
          <w:spacing w:val="9"/>
          <w:sz w:val="20"/>
          <w:szCs w:val="20"/>
        </w:rPr>
        <w:t>，</w:t>
      </w:r>
      <w:r>
        <w:rPr>
          <w:rFonts w:ascii="微软雅黑" w:hAnsi="微软雅黑" w:eastAsia="微软雅黑" w:cs="微软雅黑"/>
          <w:spacing w:val="9"/>
          <w:sz w:val="20"/>
          <w:szCs w:val="20"/>
        </w:rPr>
        <w:t>将质量是学校发展的生命线这一理念贯</w:t>
      </w:r>
      <w:r>
        <w:rPr>
          <w:rFonts w:ascii="微软雅黑" w:hAnsi="微软雅黑" w:eastAsia="微软雅黑" w:cs="微软雅黑"/>
          <w:spacing w:val="7"/>
          <w:sz w:val="20"/>
          <w:szCs w:val="20"/>
        </w:rPr>
        <w:t xml:space="preserve">  </w:t>
      </w:r>
      <w:r>
        <w:rPr>
          <w:rFonts w:ascii="微软雅黑" w:hAnsi="微软雅黑" w:eastAsia="微软雅黑" w:cs="微软雅黑"/>
          <w:spacing w:val="9"/>
          <w:sz w:val="20"/>
          <w:szCs w:val="20"/>
        </w:rPr>
        <w:t>穿教育教学始终</w:t>
      </w:r>
      <w:r>
        <w:rPr>
          <w:rFonts w:ascii="MS Gothic" w:hAnsi="MS Gothic" w:eastAsia="MS Gothic" w:cs="MS Gothic"/>
          <w:spacing w:val="9"/>
          <w:sz w:val="20"/>
          <w:szCs w:val="20"/>
        </w:rPr>
        <w:t>，</w:t>
      </w:r>
      <w:r>
        <w:rPr>
          <w:rFonts w:ascii="微软雅黑" w:hAnsi="微软雅黑" w:eastAsia="微软雅黑" w:cs="微软雅黑"/>
          <w:spacing w:val="9"/>
          <w:sz w:val="20"/>
          <w:szCs w:val="20"/>
        </w:rPr>
        <w:t>确保质量管理体系在全校各层面</w:t>
      </w:r>
      <w:r>
        <w:rPr>
          <w:rFonts w:ascii="微软雅黑" w:hAnsi="微软雅黑" w:eastAsia="微软雅黑" w:cs="微软雅黑"/>
          <w:spacing w:val="7"/>
          <w:sz w:val="20"/>
          <w:szCs w:val="20"/>
        </w:rPr>
        <w:t xml:space="preserve">  </w:t>
      </w:r>
      <w:r>
        <w:rPr>
          <w:rFonts w:ascii="微软雅黑" w:hAnsi="微软雅黑" w:eastAsia="微软雅黑" w:cs="微软雅黑"/>
          <w:spacing w:val="8"/>
          <w:sz w:val="20"/>
          <w:szCs w:val="20"/>
        </w:rPr>
        <w:t>得到深入理解和贯彻落实</w:t>
      </w:r>
      <w:r>
        <w:rPr>
          <w:rFonts w:ascii="微软雅黑" w:hAnsi="微软雅黑" w:eastAsia="微软雅黑" w:cs="微软雅黑"/>
          <w:spacing w:val="-23"/>
          <w:sz w:val="20"/>
          <w:szCs w:val="20"/>
        </w:rPr>
        <w:t xml:space="preserve"> </w:t>
      </w:r>
      <w:r>
        <w:rPr>
          <w:rFonts w:ascii="MS Gothic" w:hAnsi="MS Gothic" w:eastAsia="MS Gothic" w:cs="MS Gothic"/>
          <w:spacing w:val="8"/>
          <w:sz w:val="20"/>
          <w:szCs w:val="20"/>
        </w:rPr>
        <w:t>。</w:t>
      </w:r>
      <w:r>
        <w:rPr>
          <w:rFonts w:ascii="微软雅黑" w:hAnsi="微软雅黑" w:eastAsia="微软雅黑" w:cs="微软雅黑"/>
          <w:spacing w:val="8"/>
          <w:sz w:val="20"/>
          <w:szCs w:val="20"/>
        </w:rPr>
        <w:t>以质量文化引导教职员</w:t>
      </w:r>
      <w:r>
        <w:rPr>
          <w:rFonts w:ascii="微软雅黑" w:hAnsi="微软雅黑" w:eastAsia="微软雅黑" w:cs="微软雅黑"/>
          <w:sz w:val="20"/>
          <w:szCs w:val="20"/>
        </w:rPr>
        <w:t xml:space="preserve">  工主动</w:t>
      </w:r>
      <w:r>
        <w:rPr>
          <w:rFonts w:ascii="MS Gothic" w:hAnsi="MS Gothic" w:eastAsia="MS Gothic" w:cs="MS Gothic"/>
          <w:sz w:val="20"/>
          <w:szCs w:val="20"/>
        </w:rPr>
        <w:t>、</w:t>
      </w:r>
      <w:r>
        <w:rPr>
          <w:rFonts w:ascii="微软雅黑" w:hAnsi="微软雅黑" w:eastAsia="微软雅黑" w:cs="微软雅黑"/>
          <w:sz w:val="20"/>
          <w:szCs w:val="20"/>
        </w:rPr>
        <w:t>积极地以严谨认真的工作态度不断</w:t>
      </w:r>
      <w:r>
        <w:rPr>
          <w:rFonts w:ascii="微软雅黑" w:hAnsi="微软雅黑" w:eastAsia="微软雅黑" w:cs="微软雅黑"/>
          <w:spacing w:val="-1"/>
          <w:sz w:val="20"/>
          <w:szCs w:val="20"/>
        </w:rPr>
        <w:t>改进</w:t>
      </w:r>
      <w:r>
        <w:rPr>
          <w:rFonts w:ascii="MS Gothic" w:hAnsi="MS Gothic" w:eastAsia="MS Gothic" w:cs="MS Gothic"/>
          <w:spacing w:val="-1"/>
          <w:sz w:val="20"/>
          <w:szCs w:val="20"/>
        </w:rPr>
        <w:t>、</w:t>
      </w:r>
      <w:r>
        <w:rPr>
          <w:rFonts w:ascii="微软雅黑" w:hAnsi="微软雅黑" w:eastAsia="微软雅黑" w:cs="微软雅黑"/>
          <w:spacing w:val="-1"/>
          <w:sz w:val="20"/>
          <w:szCs w:val="20"/>
        </w:rPr>
        <w:t xml:space="preserve">完  </w:t>
      </w:r>
      <w:r>
        <w:rPr>
          <w:rFonts w:ascii="微软雅黑" w:hAnsi="微软雅黑" w:eastAsia="微软雅黑" w:cs="微软雅黑"/>
          <w:spacing w:val="9"/>
          <w:sz w:val="20"/>
          <w:szCs w:val="20"/>
        </w:rPr>
        <w:t>善教学工作的每一环节</w:t>
      </w:r>
      <w:r>
        <w:rPr>
          <w:rFonts w:ascii="MS Gothic" w:hAnsi="MS Gothic" w:eastAsia="MS Gothic" w:cs="MS Gothic"/>
          <w:spacing w:val="9"/>
          <w:sz w:val="20"/>
          <w:szCs w:val="20"/>
        </w:rPr>
        <w:t>，</w:t>
      </w:r>
      <w:r>
        <w:rPr>
          <w:rFonts w:ascii="微软雅黑" w:hAnsi="微软雅黑" w:eastAsia="微软雅黑" w:cs="微软雅黑"/>
          <w:spacing w:val="9"/>
          <w:sz w:val="20"/>
          <w:szCs w:val="20"/>
        </w:rPr>
        <w:t>形成追求高质量的内生动</w:t>
      </w:r>
      <w:r>
        <w:rPr>
          <w:rFonts w:ascii="微软雅黑" w:hAnsi="微软雅黑" w:eastAsia="微软雅黑" w:cs="微软雅黑"/>
          <w:spacing w:val="7"/>
          <w:sz w:val="20"/>
          <w:szCs w:val="20"/>
        </w:rPr>
        <w:t xml:space="preserve">  </w:t>
      </w:r>
      <w:r>
        <w:rPr>
          <w:rFonts w:ascii="微软雅黑" w:hAnsi="微软雅黑" w:eastAsia="微软雅黑" w:cs="微软雅黑"/>
          <w:spacing w:val="-2"/>
          <w:sz w:val="20"/>
          <w:szCs w:val="20"/>
        </w:rPr>
        <w:t>力</w:t>
      </w:r>
      <w:r>
        <w:rPr>
          <w:rFonts w:ascii="微软雅黑" w:hAnsi="微软雅黑" w:eastAsia="微软雅黑" w:cs="微软雅黑"/>
          <w:spacing w:val="-15"/>
          <w:sz w:val="20"/>
          <w:szCs w:val="20"/>
        </w:rPr>
        <w:t xml:space="preserve"> </w:t>
      </w:r>
      <w:r>
        <w:rPr>
          <w:rFonts w:ascii="MS Gothic" w:hAnsi="MS Gothic" w:eastAsia="MS Gothic" w:cs="MS Gothic"/>
          <w:spacing w:val="-2"/>
          <w:sz w:val="20"/>
          <w:szCs w:val="20"/>
        </w:rPr>
        <w:t>。</w:t>
      </w:r>
      <w:r>
        <w:rPr>
          <w:rFonts w:ascii="微软雅黑" w:hAnsi="微软雅黑" w:eastAsia="微软雅黑" w:cs="微软雅黑"/>
          <w:spacing w:val="-2"/>
          <w:sz w:val="20"/>
          <w:szCs w:val="20"/>
        </w:rPr>
        <w:t>借鉴</w:t>
      </w:r>
      <w:r>
        <w:rPr>
          <w:rFonts w:ascii="MS Gothic" w:hAnsi="MS Gothic" w:eastAsia="MS Gothic" w:cs="MS Gothic"/>
          <w:spacing w:val="-2"/>
          <w:sz w:val="20"/>
          <w:szCs w:val="20"/>
        </w:rPr>
        <w:t>、</w:t>
      </w:r>
      <w:r>
        <w:rPr>
          <w:rFonts w:ascii="微软雅黑" w:hAnsi="微软雅黑" w:eastAsia="微软雅黑" w:cs="微软雅黑"/>
          <w:spacing w:val="-2"/>
          <w:sz w:val="20"/>
          <w:szCs w:val="20"/>
        </w:rPr>
        <w:t>吸纳先进质量管理理念</w:t>
      </w:r>
      <w:r>
        <w:rPr>
          <w:rFonts w:ascii="MS Gothic" w:hAnsi="MS Gothic" w:eastAsia="MS Gothic" w:cs="MS Gothic"/>
          <w:spacing w:val="-2"/>
          <w:sz w:val="20"/>
          <w:szCs w:val="20"/>
        </w:rPr>
        <w:t>、</w:t>
      </w:r>
      <w:r>
        <w:rPr>
          <w:rFonts w:ascii="微软雅黑" w:hAnsi="微软雅黑" w:eastAsia="微软雅黑" w:cs="微软雅黑"/>
          <w:spacing w:val="-2"/>
          <w:sz w:val="20"/>
          <w:szCs w:val="20"/>
        </w:rPr>
        <w:t>方法</w:t>
      </w:r>
      <w:r>
        <w:rPr>
          <w:rFonts w:ascii="MS Gothic" w:hAnsi="MS Gothic" w:eastAsia="MS Gothic" w:cs="MS Gothic"/>
          <w:spacing w:val="-2"/>
          <w:sz w:val="20"/>
          <w:szCs w:val="20"/>
        </w:rPr>
        <w:t>，</w:t>
      </w:r>
      <w:r>
        <w:rPr>
          <w:rFonts w:ascii="微软雅黑" w:hAnsi="微软雅黑" w:eastAsia="微软雅黑" w:cs="微软雅黑"/>
          <w:spacing w:val="-2"/>
          <w:sz w:val="20"/>
          <w:szCs w:val="20"/>
        </w:rPr>
        <w:t xml:space="preserve">结合地方  </w:t>
      </w:r>
      <w:r>
        <w:rPr>
          <w:rFonts w:ascii="微软雅黑" w:hAnsi="微软雅黑" w:eastAsia="微软雅黑" w:cs="微软雅黑"/>
          <w:spacing w:val="9"/>
          <w:sz w:val="20"/>
          <w:szCs w:val="20"/>
        </w:rPr>
        <w:t>本科院校自身特点和发展目标</w:t>
      </w:r>
      <w:r>
        <w:rPr>
          <w:rFonts w:ascii="MS Gothic" w:hAnsi="MS Gothic" w:eastAsia="MS Gothic" w:cs="MS Gothic"/>
          <w:spacing w:val="9"/>
          <w:sz w:val="20"/>
          <w:szCs w:val="20"/>
        </w:rPr>
        <w:t>，</w:t>
      </w:r>
      <w:r>
        <w:rPr>
          <w:rFonts w:ascii="微软雅黑" w:hAnsi="微软雅黑" w:eastAsia="微软雅黑" w:cs="微软雅黑"/>
          <w:spacing w:val="9"/>
          <w:sz w:val="20"/>
          <w:szCs w:val="20"/>
        </w:rPr>
        <w:t>选择科学的质量控</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制手段和工具</w:t>
      </w:r>
      <w:r>
        <w:rPr>
          <w:rFonts w:ascii="MS Gothic" w:hAnsi="MS Gothic" w:eastAsia="MS Gothic" w:cs="MS Gothic"/>
          <w:sz w:val="20"/>
          <w:szCs w:val="20"/>
        </w:rPr>
        <w:t>，</w:t>
      </w:r>
      <w:r>
        <w:rPr>
          <w:rFonts w:ascii="微软雅黑" w:hAnsi="微软雅黑" w:eastAsia="微软雅黑" w:cs="微软雅黑"/>
          <w:sz w:val="20"/>
          <w:szCs w:val="20"/>
        </w:rPr>
        <w:t>开展全校教职员工质量控制</w:t>
      </w:r>
      <w:r>
        <w:rPr>
          <w:rFonts w:ascii="微软雅黑" w:hAnsi="微软雅黑" w:eastAsia="微软雅黑" w:cs="微软雅黑"/>
          <w:spacing w:val="-1"/>
          <w:sz w:val="20"/>
          <w:szCs w:val="20"/>
        </w:rPr>
        <w:t>培训</w:t>
      </w:r>
      <w:r>
        <w:rPr>
          <w:rFonts w:ascii="MS Gothic" w:hAnsi="MS Gothic" w:eastAsia="MS Gothic" w:cs="MS Gothic"/>
          <w:spacing w:val="-1"/>
          <w:sz w:val="20"/>
          <w:szCs w:val="20"/>
        </w:rPr>
        <w:t>，</w:t>
      </w:r>
      <w:r>
        <w:rPr>
          <w:rFonts w:ascii="微软雅黑" w:hAnsi="微软雅黑" w:eastAsia="微软雅黑" w:cs="微软雅黑"/>
          <w:spacing w:val="-1"/>
          <w:sz w:val="20"/>
          <w:szCs w:val="20"/>
        </w:rPr>
        <w:t xml:space="preserve">将  </w:t>
      </w:r>
      <w:r>
        <w:rPr>
          <w:rFonts w:ascii="微软雅黑" w:hAnsi="微软雅黑" w:eastAsia="微软雅黑" w:cs="微软雅黑"/>
          <w:spacing w:val="9"/>
          <w:sz w:val="20"/>
          <w:szCs w:val="20"/>
        </w:rPr>
        <w:t>质量文化不断固化为质量意识</w:t>
      </w:r>
      <w:r>
        <w:rPr>
          <w:rFonts w:ascii="MS Gothic" w:hAnsi="MS Gothic" w:eastAsia="MS Gothic" w:cs="MS Gothic"/>
          <w:spacing w:val="9"/>
          <w:sz w:val="20"/>
          <w:szCs w:val="20"/>
        </w:rPr>
        <w:t>、</w:t>
      </w:r>
      <w:r>
        <w:rPr>
          <w:rFonts w:ascii="微软雅黑" w:hAnsi="微软雅黑" w:eastAsia="微软雅黑" w:cs="微软雅黑"/>
          <w:spacing w:val="9"/>
          <w:sz w:val="20"/>
          <w:szCs w:val="20"/>
        </w:rPr>
        <w:t>质量方针</w:t>
      </w:r>
      <w:r>
        <w:rPr>
          <w:rFonts w:ascii="MS Gothic" w:hAnsi="MS Gothic" w:eastAsia="MS Gothic" w:cs="MS Gothic"/>
          <w:spacing w:val="9"/>
          <w:sz w:val="20"/>
          <w:szCs w:val="20"/>
        </w:rPr>
        <w:t>、</w:t>
      </w:r>
      <w:r>
        <w:rPr>
          <w:rFonts w:ascii="微软雅黑" w:hAnsi="微软雅黑" w:eastAsia="微软雅黑" w:cs="微软雅黑"/>
          <w:spacing w:val="9"/>
          <w:sz w:val="20"/>
          <w:szCs w:val="20"/>
        </w:rPr>
        <w:t>质量目</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标</w:t>
      </w:r>
      <w:r>
        <w:rPr>
          <w:rFonts w:ascii="MS Gothic" w:hAnsi="MS Gothic" w:eastAsia="MS Gothic" w:cs="MS Gothic"/>
          <w:sz w:val="20"/>
          <w:szCs w:val="20"/>
        </w:rPr>
        <w:t>、</w:t>
      </w:r>
      <w:r>
        <w:rPr>
          <w:rFonts w:ascii="微软雅黑" w:hAnsi="微软雅黑" w:eastAsia="微软雅黑" w:cs="微软雅黑"/>
          <w:sz w:val="20"/>
          <w:szCs w:val="20"/>
        </w:rPr>
        <w:t>质量行为</w:t>
      </w:r>
      <w:r>
        <w:rPr>
          <w:rFonts w:ascii="MS Gothic" w:hAnsi="MS Gothic" w:eastAsia="MS Gothic" w:cs="MS Gothic"/>
          <w:sz w:val="20"/>
          <w:szCs w:val="20"/>
        </w:rPr>
        <w:t>，</w:t>
      </w:r>
      <w:r>
        <w:rPr>
          <w:rFonts w:ascii="微软雅黑" w:hAnsi="微软雅黑" w:eastAsia="微软雅黑" w:cs="微软雅黑"/>
          <w:sz w:val="20"/>
          <w:szCs w:val="20"/>
        </w:rPr>
        <w:t>使自我质量保障制度和运行机制全面</w:t>
      </w:r>
    </w:p>
    <w:p>
      <w:pPr>
        <w:spacing w:line="14" w:lineRule="auto"/>
        <w:rPr>
          <w:rFonts w:ascii="Arial"/>
          <w:sz w:val="2"/>
        </w:rPr>
      </w:pPr>
      <w:r>
        <w:rPr>
          <w:rFonts w:ascii="Arial" w:hAnsi="Arial" w:eastAsia="Arial" w:cs="Arial"/>
          <w:sz w:val="2"/>
          <w:szCs w:val="2"/>
        </w:rPr>
        <w:br w:type="column"/>
      </w:r>
    </w:p>
    <w:p>
      <w:pPr>
        <w:spacing w:before="40" w:line="202" w:lineRule="auto"/>
        <w:ind w:left="18" w:right="80" w:hanging="16"/>
        <w:rPr>
          <w:rFonts w:ascii="MS Gothic" w:hAnsi="MS Gothic" w:eastAsia="MS Gothic" w:cs="MS Gothic"/>
          <w:sz w:val="20"/>
          <w:szCs w:val="20"/>
        </w:rPr>
      </w:pPr>
      <w:r>
        <w:rPr>
          <w:rFonts w:ascii="微软雅黑" w:hAnsi="微软雅黑" w:eastAsia="微软雅黑" w:cs="微软雅黑"/>
          <w:spacing w:val="-8"/>
          <w:sz w:val="20"/>
          <w:szCs w:val="20"/>
        </w:rPr>
        <w:t>覆盖学校</w:t>
      </w:r>
      <w:r>
        <w:rPr>
          <w:rFonts w:ascii="MS Gothic" w:hAnsi="MS Gothic" w:eastAsia="MS Gothic" w:cs="MS Gothic"/>
          <w:spacing w:val="-8"/>
          <w:sz w:val="20"/>
          <w:szCs w:val="20"/>
        </w:rPr>
        <w:t>、</w:t>
      </w:r>
      <w:r>
        <w:rPr>
          <w:rFonts w:ascii="微软雅黑" w:hAnsi="微软雅黑" w:eastAsia="微软雅黑" w:cs="微软雅黑"/>
          <w:spacing w:val="-8"/>
          <w:sz w:val="20"/>
          <w:szCs w:val="20"/>
        </w:rPr>
        <w:t>专业</w:t>
      </w:r>
      <w:r>
        <w:rPr>
          <w:rFonts w:ascii="MS Gothic" w:hAnsi="MS Gothic" w:eastAsia="MS Gothic" w:cs="MS Gothic"/>
          <w:spacing w:val="-8"/>
          <w:sz w:val="20"/>
          <w:szCs w:val="20"/>
        </w:rPr>
        <w:t>、</w:t>
      </w:r>
      <w:r>
        <w:rPr>
          <w:rFonts w:ascii="微软雅黑" w:hAnsi="微软雅黑" w:eastAsia="微软雅黑" w:cs="微软雅黑"/>
          <w:spacing w:val="-8"/>
          <w:sz w:val="20"/>
          <w:szCs w:val="20"/>
        </w:rPr>
        <w:t>课程</w:t>
      </w:r>
      <w:r>
        <w:rPr>
          <w:rFonts w:ascii="MS Gothic" w:hAnsi="MS Gothic" w:eastAsia="MS Gothic" w:cs="MS Gothic"/>
          <w:spacing w:val="-8"/>
          <w:sz w:val="20"/>
          <w:szCs w:val="20"/>
        </w:rPr>
        <w:t>、</w:t>
      </w:r>
      <w:r>
        <w:rPr>
          <w:rFonts w:ascii="微软雅黑" w:hAnsi="微软雅黑" w:eastAsia="微软雅黑" w:cs="微软雅黑"/>
          <w:spacing w:val="-8"/>
          <w:sz w:val="20"/>
          <w:szCs w:val="20"/>
        </w:rPr>
        <w:t>教师</w:t>
      </w:r>
      <w:r>
        <w:rPr>
          <w:rFonts w:ascii="MS Gothic" w:hAnsi="MS Gothic" w:eastAsia="MS Gothic" w:cs="MS Gothic"/>
          <w:spacing w:val="-8"/>
          <w:sz w:val="20"/>
          <w:szCs w:val="20"/>
        </w:rPr>
        <w:t>、</w:t>
      </w:r>
      <w:r>
        <w:rPr>
          <w:rFonts w:ascii="微软雅黑" w:hAnsi="微软雅黑" w:eastAsia="微软雅黑" w:cs="微软雅黑"/>
          <w:spacing w:val="-8"/>
          <w:sz w:val="20"/>
          <w:szCs w:val="20"/>
        </w:rPr>
        <w:t>学生</w:t>
      </w:r>
      <w:r>
        <w:rPr>
          <w:rFonts w:ascii="MS Gothic" w:hAnsi="MS Gothic" w:eastAsia="MS Gothic" w:cs="MS Gothic"/>
          <w:spacing w:val="-8"/>
          <w:sz w:val="20"/>
          <w:szCs w:val="20"/>
        </w:rPr>
        <w:t>，</w:t>
      </w:r>
      <w:r>
        <w:rPr>
          <w:rFonts w:ascii="微软雅黑" w:hAnsi="微软雅黑" w:eastAsia="微软雅黑" w:cs="微软雅黑"/>
          <w:spacing w:val="-8"/>
          <w:sz w:val="20"/>
          <w:szCs w:val="20"/>
        </w:rPr>
        <w:t>构建起立体完整</w:t>
      </w:r>
      <w:r>
        <w:rPr>
          <w:rFonts w:ascii="微软雅黑" w:hAnsi="微软雅黑" w:eastAsia="微软雅黑" w:cs="微软雅黑"/>
          <w:spacing w:val="3"/>
          <w:sz w:val="20"/>
          <w:szCs w:val="20"/>
        </w:rPr>
        <w:t xml:space="preserve"> </w:t>
      </w:r>
      <w:r>
        <w:rPr>
          <w:rFonts w:ascii="微软雅黑" w:hAnsi="微软雅黑" w:eastAsia="微软雅黑" w:cs="微软雅黑"/>
          <w:spacing w:val="6"/>
          <w:sz w:val="20"/>
          <w:szCs w:val="20"/>
        </w:rPr>
        <w:t>的内部质量保障组织结构</w:t>
      </w:r>
      <w:r>
        <w:rPr>
          <w:rFonts w:ascii="MS Gothic" w:hAnsi="MS Gothic" w:eastAsia="MS Gothic" w:cs="MS Gothic"/>
          <w:spacing w:val="6"/>
          <w:sz w:val="20"/>
          <w:szCs w:val="20"/>
        </w:rPr>
        <w:t>。</w:t>
      </w:r>
    </w:p>
    <w:p>
      <w:pPr>
        <w:spacing w:before="46" w:line="226" w:lineRule="auto"/>
        <w:ind w:left="349"/>
        <w:rPr>
          <w:rFonts w:ascii="黑体" w:hAnsi="黑体" w:eastAsia="黑体" w:cs="黑体"/>
          <w:sz w:val="20"/>
          <w:szCs w:val="20"/>
        </w:rPr>
      </w:pPr>
      <w:r>
        <w:rPr>
          <w:rFonts w:ascii="MS Gothic" w:hAnsi="MS Gothic" w:eastAsia="MS Gothic" w:cs="MS Gothic"/>
          <w:spacing w:val="-4"/>
          <w:sz w:val="20"/>
          <w:szCs w:val="20"/>
        </w:rPr>
        <w:t>（</w:t>
      </w:r>
      <w:r>
        <w:rPr>
          <w:rFonts w:ascii="MS Gothic" w:hAnsi="MS Gothic" w:eastAsia="MS Gothic" w:cs="MS Gothic"/>
          <w:spacing w:val="-41"/>
          <w:sz w:val="20"/>
          <w:szCs w:val="20"/>
        </w:rPr>
        <w:t xml:space="preserve"> </w:t>
      </w:r>
      <w:r>
        <w:rPr>
          <w:rFonts w:ascii="黑体" w:hAnsi="黑体" w:eastAsia="黑体" w:cs="黑体"/>
          <w:spacing w:val="-4"/>
          <w:sz w:val="20"/>
          <w:szCs w:val="20"/>
        </w:rPr>
        <w:t>三</w:t>
      </w:r>
      <w:r>
        <w:rPr>
          <w:rFonts w:ascii="MS Gothic" w:hAnsi="MS Gothic" w:eastAsia="MS Gothic" w:cs="MS Gothic"/>
          <w:spacing w:val="-4"/>
          <w:sz w:val="20"/>
          <w:szCs w:val="20"/>
        </w:rPr>
        <w:t>）</w:t>
      </w:r>
      <w:r>
        <w:rPr>
          <w:rFonts w:ascii="黑体" w:hAnsi="黑体" w:eastAsia="黑体" w:cs="黑体"/>
          <w:spacing w:val="-4"/>
          <w:sz w:val="20"/>
          <w:szCs w:val="20"/>
        </w:rPr>
        <w:t>强化持续改进</w:t>
      </w:r>
      <w:r>
        <w:rPr>
          <w:rFonts w:ascii="MS Gothic" w:hAnsi="MS Gothic" w:eastAsia="MS Gothic" w:cs="MS Gothic"/>
          <w:spacing w:val="-4"/>
          <w:sz w:val="20"/>
          <w:szCs w:val="20"/>
        </w:rPr>
        <w:t>，</w:t>
      </w:r>
      <w:r>
        <w:rPr>
          <w:rFonts w:ascii="黑体" w:hAnsi="黑体" w:eastAsia="黑体" w:cs="黑体"/>
          <w:spacing w:val="-4"/>
          <w:sz w:val="20"/>
          <w:szCs w:val="20"/>
        </w:rPr>
        <w:t>促进质量保障自觉达成</w:t>
      </w:r>
    </w:p>
    <w:p>
      <w:pPr>
        <w:spacing w:before="66" w:line="214" w:lineRule="auto"/>
        <w:ind w:firstLine="422"/>
        <w:rPr>
          <w:rFonts w:ascii="MS Gothic" w:hAnsi="MS Gothic" w:eastAsia="MS Gothic" w:cs="MS Gothic"/>
          <w:sz w:val="20"/>
          <w:szCs w:val="20"/>
        </w:rPr>
      </w:pPr>
      <w:r>
        <w:rPr>
          <w:rFonts w:ascii="微软雅黑" w:hAnsi="微软雅黑" w:eastAsia="微软雅黑" w:cs="微软雅黑"/>
          <w:spacing w:val="9"/>
          <w:sz w:val="20"/>
          <w:szCs w:val="20"/>
        </w:rPr>
        <w:t>产出</w:t>
      </w:r>
      <w:r>
        <w:rPr>
          <w:rFonts w:ascii="微软雅黑" w:hAnsi="微软雅黑" w:eastAsia="微软雅黑" w:cs="微软雅黑"/>
          <w:spacing w:val="-16"/>
          <w:sz w:val="20"/>
          <w:szCs w:val="20"/>
        </w:rPr>
        <w:t xml:space="preserve"> </w:t>
      </w:r>
      <w:r>
        <w:rPr>
          <w:rFonts w:ascii="微软雅黑" w:hAnsi="微软雅黑" w:eastAsia="微软雅黑" w:cs="微软雅黑"/>
          <w:spacing w:val="9"/>
          <w:sz w:val="20"/>
          <w:szCs w:val="20"/>
        </w:rPr>
        <w:t>导 向</w:t>
      </w:r>
      <w:r>
        <w:rPr>
          <w:rFonts w:ascii="微软雅黑" w:hAnsi="微软雅黑" w:eastAsia="微软雅黑" w:cs="微软雅黑"/>
          <w:spacing w:val="-27"/>
          <w:sz w:val="20"/>
          <w:szCs w:val="20"/>
        </w:rPr>
        <w:t xml:space="preserve"> </w:t>
      </w:r>
      <w:r>
        <w:rPr>
          <w:rFonts w:ascii="微软雅黑" w:hAnsi="微软雅黑" w:eastAsia="微软雅黑" w:cs="微软雅黑"/>
          <w:spacing w:val="9"/>
          <w:sz w:val="20"/>
          <w:szCs w:val="20"/>
        </w:rPr>
        <w:t>教</w:t>
      </w:r>
      <w:r>
        <w:rPr>
          <w:rFonts w:ascii="微软雅黑" w:hAnsi="微软雅黑" w:eastAsia="微软雅黑" w:cs="微软雅黑"/>
          <w:spacing w:val="-26"/>
          <w:sz w:val="20"/>
          <w:szCs w:val="20"/>
        </w:rPr>
        <w:t xml:space="preserve"> </w:t>
      </w:r>
      <w:r>
        <w:rPr>
          <w:rFonts w:ascii="微软雅黑" w:hAnsi="微软雅黑" w:eastAsia="微软雅黑" w:cs="微软雅黑"/>
          <w:spacing w:val="9"/>
          <w:sz w:val="20"/>
          <w:szCs w:val="20"/>
        </w:rPr>
        <w:t>育</w:t>
      </w:r>
      <w:r>
        <w:rPr>
          <w:rFonts w:ascii="微软雅黑" w:hAnsi="微软雅黑" w:eastAsia="微软雅黑" w:cs="微软雅黑"/>
          <w:spacing w:val="-31"/>
          <w:sz w:val="20"/>
          <w:szCs w:val="20"/>
        </w:rPr>
        <w:t xml:space="preserve"> </w:t>
      </w:r>
      <w:r>
        <w:rPr>
          <w:rFonts w:ascii="微软雅黑" w:hAnsi="微软雅黑" w:eastAsia="微软雅黑" w:cs="微软雅黑"/>
          <w:spacing w:val="9"/>
          <w:sz w:val="20"/>
          <w:szCs w:val="20"/>
        </w:rPr>
        <w:t>模</w:t>
      </w:r>
      <w:r>
        <w:rPr>
          <w:rFonts w:ascii="微软雅黑" w:hAnsi="微软雅黑" w:eastAsia="微软雅黑" w:cs="微软雅黑"/>
          <w:spacing w:val="-27"/>
          <w:sz w:val="20"/>
          <w:szCs w:val="20"/>
        </w:rPr>
        <w:t xml:space="preserve"> </w:t>
      </w:r>
      <w:r>
        <w:rPr>
          <w:rFonts w:ascii="微软雅黑" w:hAnsi="微软雅黑" w:eastAsia="微软雅黑" w:cs="微软雅黑"/>
          <w:spacing w:val="9"/>
          <w:sz w:val="20"/>
          <w:szCs w:val="20"/>
        </w:rPr>
        <w:t>式</w:t>
      </w:r>
      <w:r>
        <w:rPr>
          <w:rFonts w:ascii="微软雅黑" w:hAnsi="微软雅黑" w:eastAsia="微软雅黑" w:cs="微软雅黑"/>
          <w:spacing w:val="-27"/>
          <w:sz w:val="20"/>
          <w:szCs w:val="20"/>
        </w:rPr>
        <w:t xml:space="preserve"> </w:t>
      </w:r>
      <w:r>
        <w:rPr>
          <w:rFonts w:ascii="微软雅黑" w:hAnsi="微软雅黑" w:eastAsia="微软雅黑" w:cs="微软雅黑"/>
          <w:spacing w:val="9"/>
          <w:sz w:val="20"/>
          <w:szCs w:val="20"/>
        </w:rPr>
        <w:t>离</w:t>
      </w:r>
      <w:r>
        <w:rPr>
          <w:rFonts w:ascii="微软雅黑" w:hAnsi="微软雅黑" w:eastAsia="微软雅黑" w:cs="微软雅黑"/>
          <w:spacing w:val="-27"/>
          <w:sz w:val="20"/>
          <w:szCs w:val="20"/>
        </w:rPr>
        <w:t xml:space="preserve"> </w:t>
      </w:r>
      <w:r>
        <w:rPr>
          <w:rFonts w:ascii="微软雅黑" w:hAnsi="微软雅黑" w:eastAsia="微软雅黑" w:cs="微软雅黑"/>
          <w:spacing w:val="9"/>
          <w:sz w:val="20"/>
          <w:szCs w:val="20"/>
        </w:rPr>
        <w:t>不</w:t>
      </w:r>
      <w:r>
        <w:rPr>
          <w:rFonts w:ascii="微软雅黑" w:hAnsi="微软雅黑" w:eastAsia="微软雅黑" w:cs="微软雅黑"/>
          <w:spacing w:val="-24"/>
          <w:sz w:val="20"/>
          <w:szCs w:val="20"/>
        </w:rPr>
        <w:t xml:space="preserve"> </w:t>
      </w:r>
      <w:r>
        <w:rPr>
          <w:rFonts w:ascii="微软雅黑" w:hAnsi="微软雅黑" w:eastAsia="微软雅黑" w:cs="微软雅黑"/>
          <w:spacing w:val="9"/>
          <w:sz w:val="20"/>
          <w:szCs w:val="20"/>
        </w:rPr>
        <w:t>开</w:t>
      </w:r>
      <w:r>
        <w:rPr>
          <w:rFonts w:ascii="MS Gothic" w:hAnsi="MS Gothic" w:eastAsia="MS Gothic" w:cs="MS Gothic"/>
          <w:spacing w:val="9"/>
          <w:sz w:val="20"/>
          <w:szCs w:val="20"/>
        </w:rPr>
        <w:t>“</w:t>
      </w:r>
      <w:r>
        <w:rPr>
          <w:rFonts w:ascii="MS Gothic" w:hAnsi="MS Gothic" w:eastAsia="MS Gothic" w:cs="MS Gothic"/>
          <w:spacing w:val="-79"/>
          <w:sz w:val="20"/>
          <w:szCs w:val="20"/>
        </w:rPr>
        <w:t xml:space="preserve"> </w:t>
      </w:r>
      <w:r>
        <w:rPr>
          <w:rFonts w:ascii="微软雅黑" w:hAnsi="微软雅黑" w:eastAsia="微软雅黑" w:cs="微软雅黑"/>
          <w:spacing w:val="9"/>
          <w:sz w:val="20"/>
          <w:szCs w:val="20"/>
        </w:rPr>
        <w:t>设</w:t>
      </w:r>
      <w:r>
        <w:rPr>
          <w:rFonts w:ascii="微软雅黑" w:hAnsi="微软雅黑" w:eastAsia="微软雅黑" w:cs="微软雅黑"/>
          <w:spacing w:val="-28"/>
          <w:sz w:val="20"/>
          <w:szCs w:val="20"/>
        </w:rPr>
        <w:t xml:space="preserve"> </w:t>
      </w:r>
      <w:r>
        <w:rPr>
          <w:rFonts w:ascii="微软雅黑" w:hAnsi="微软雅黑" w:eastAsia="微软雅黑" w:cs="微软雅黑"/>
          <w:spacing w:val="9"/>
          <w:sz w:val="20"/>
          <w:szCs w:val="20"/>
        </w:rPr>
        <w:t>计</w:t>
      </w:r>
      <w:r>
        <w:rPr>
          <w:rFonts w:ascii="MS Gothic" w:hAnsi="MS Gothic" w:eastAsia="MS Gothic" w:cs="MS Gothic"/>
          <w:spacing w:val="9"/>
          <w:sz w:val="20"/>
          <w:szCs w:val="20"/>
        </w:rPr>
        <w:t>—</w:t>
      </w:r>
      <w:r>
        <w:rPr>
          <w:rFonts w:ascii="微软雅黑" w:hAnsi="微软雅黑" w:eastAsia="微软雅黑" w:cs="微软雅黑"/>
          <w:spacing w:val="9"/>
          <w:sz w:val="20"/>
          <w:szCs w:val="20"/>
        </w:rPr>
        <w:t>实</w:t>
      </w:r>
      <w:r>
        <w:rPr>
          <w:rFonts w:ascii="微软雅黑" w:hAnsi="微软雅黑" w:eastAsia="微软雅黑" w:cs="微软雅黑"/>
          <w:spacing w:val="-27"/>
          <w:sz w:val="20"/>
          <w:szCs w:val="20"/>
        </w:rPr>
        <w:t xml:space="preserve"> </w:t>
      </w:r>
      <w:r>
        <w:rPr>
          <w:rFonts w:ascii="微软雅黑" w:hAnsi="微软雅黑" w:eastAsia="微软雅黑" w:cs="微软雅黑"/>
          <w:spacing w:val="9"/>
          <w:sz w:val="20"/>
          <w:szCs w:val="20"/>
        </w:rPr>
        <w:t>施</w:t>
      </w:r>
      <w:r>
        <w:rPr>
          <w:rFonts w:ascii="MS Gothic" w:hAnsi="MS Gothic" w:eastAsia="MS Gothic" w:cs="MS Gothic"/>
          <w:spacing w:val="9"/>
          <w:sz w:val="20"/>
          <w:szCs w:val="20"/>
        </w:rPr>
        <w:t>—</w:t>
      </w:r>
      <w:r>
        <w:rPr>
          <w:rFonts w:ascii="微软雅黑" w:hAnsi="微软雅黑" w:eastAsia="微软雅黑" w:cs="微软雅黑"/>
          <w:spacing w:val="9"/>
          <w:sz w:val="20"/>
          <w:szCs w:val="20"/>
        </w:rPr>
        <w:t>反</w:t>
      </w:r>
      <w:r>
        <w:rPr>
          <w:rFonts w:ascii="微软雅黑" w:hAnsi="微软雅黑" w:eastAsia="微软雅黑" w:cs="微软雅黑"/>
          <w:sz w:val="20"/>
          <w:szCs w:val="20"/>
        </w:rPr>
        <w:t xml:space="preserve">  </w:t>
      </w:r>
      <w:r>
        <w:rPr>
          <w:rFonts w:ascii="微软雅黑" w:hAnsi="微软雅黑" w:eastAsia="微软雅黑" w:cs="微软雅黑"/>
          <w:spacing w:val="13"/>
          <w:sz w:val="20"/>
          <w:szCs w:val="20"/>
        </w:rPr>
        <w:t>馈</w:t>
      </w:r>
      <w:r>
        <w:rPr>
          <w:rFonts w:ascii="MS Gothic" w:hAnsi="MS Gothic" w:eastAsia="MS Gothic" w:cs="MS Gothic"/>
          <w:spacing w:val="13"/>
          <w:sz w:val="20"/>
          <w:szCs w:val="20"/>
        </w:rPr>
        <w:t>—</w:t>
      </w:r>
      <w:r>
        <w:rPr>
          <w:rFonts w:ascii="微软雅黑" w:hAnsi="微软雅黑" w:eastAsia="微软雅黑" w:cs="微软雅黑"/>
          <w:spacing w:val="13"/>
          <w:sz w:val="20"/>
          <w:szCs w:val="20"/>
        </w:rPr>
        <w:t>提高</w:t>
      </w:r>
      <w:r>
        <w:rPr>
          <w:rFonts w:ascii="MS Gothic" w:hAnsi="MS Gothic" w:eastAsia="MS Gothic" w:cs="MS Gothic"/>
          <w:spacing w:val="13"/>
          <w:sz w:val="20"/>
          <w:szCs w:val="20"/>
        </w:rPr>
        <w:t>”</w:t>
      </w:r>
      <w:r>
        <w:rPr>
          <w:rFonts w:ascii="微软雅黑" w:hAnsi="微软雅黑" w:eastAsia="微软雅黑" w:cs="微软雅黑"/>
          <w:spacing w:val="13"/>
          <w:sz w:val="20"/>
          <w:szCs w:val="20"/>
        </w:rPr>
        <w:t>的有机循环和持续改进</w:t>
      </w:r>
      <w:r>
        <w:rPr>
          <w:rFonts w:ascii="微软雅黑" w:hAnsi="微软雅黑" w:eastAsia="微软雅黑" w:cs="微软雅黑"/>
          <w:spacing w:val="-31"/>
          <w:sz w:val="20"/>
          <w:szCs w:val="20"/>
        </w:rPr>
        <w:t xml:space="preserve"> </w:t>
      </w:r>
      <w:r>
        <w:rPr>
          <w:rFonts w:ascii="MS Gothic" w:hAnsi="MS Gothic" w:eastAsia="MS Gothic" w:cs="MS Gothic"/>
          <w:spacing w:val="13"/>
          <w:sz w:val="20"/>
          <w:szCs w:val="20"/>
        </w:rPr>
        <w:t>。</w:t>
      </w:r>
      <w:r>
        <w:rPr>
          <w:rFonts w:ascii="微软雅黑" w:hAnsi="微软雅黑" w:eastAsia="微软雅黑" w:cs="微软雅黑"/>
          <w:spacing w:val="13"/>
          <w:sz w:val="20"/>
          <w:szCs w:val="20"/>
        </w:rPr>
        <w:t>加强持续改进</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的长效机制建设是高校质量保障体系自我完善与发</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展的根本保障</w:t>
      </w:r>
      <w:r>
        <w:rPr>
          <w:rFonts w:ascii="MS Gothic" w:hAnsi="MS Gothic" w:eastAsia="MS Gothic" w:cs="MS Gothic"/>
          <w:spacing w:val="9"/>
          <w:sz w:val="20"/>
          <w:szCs w:val="20"/>
        </w:rPr>
        <w:t>，</w:t>
      </w:r>
      <w:r>
        <w:rPr>
          <w:rFonts w:ascii="微软雅黑" w:hAnsi="微软雅黑" w:eastAsia="微软雅黑" w:cs="微软雅黑"/>
          <w:spacing w:val="9"/>
          <w:sz w:val="20"/>
          <w:szCs w:val="20"/>
        </w:rPr>
        <w:t>而持续改进的长效机制要有效运行</w:t>
      </w:r>
      <w:r>
        <w:rPr>
          <w:rFonts w:ascii="微软雅黑" w:hAnsi="微软雅黑" w:eastAsia="微软雅黑" w:cs="微软雅黑"/>
          <w:spacing w:val="8"/>
          <w:sz w:val="20"/>
          <w:szCs w:val="20"/>
        </w:rPr>
        <w:t xml:space="preserve">  并保持活力</w:t>
      </w:r>
      <w:r>
        <w:rPr>
          <w:rFonts w:ascii="MS Gothic" w:hAnsi="MS Gothic" w:eastAsia="MS Gothic" w:cs="MS Gothic"/>
          <w:spacing w:val="8"/>
          <w:sz w:val="20"/>
          <w:szCs w:val="20"/>
        </w:rPr>
        <w:t>，</w:t>
      </w:r>
      <w:r>
        <w:rPr>
          <w:rFonts w:ascii="微软雅黑" w:hAnsi="微软雅黑" w:eastAsia="微软雅黑" w:cs="微软雅黑"/>
          <w:spacing w:val="8"/>
          <w:sz w:val="20"/>
          <w:szCs w:val="20"/>
        </w:rPr>
        <w:t>需要注入质量文化灵魂</w:t>
      </w:r>
      <w:r>
        <w:rPr>
          <w:rFonts w:ascii="微软雅黑" w:hAnsi="微软雅黑" w:eastAsia="微软雅黑" w:cs="微软雅黑"/>
          <w:spacing w:val="-21"/>
          <w:sz w:val="20"/>
          <w:szCs w:val="20"/>
        </w:rPr>
        <w:t xml:space="preserve"> </w:t>
      </w:r>
      <w:r>
        <w:rPr>
          <w:rFonts w:ascii="MS Gothic" w:hAnsi="MS Gothic" w:eastAsia="MS Gothic" w:cs="MS Gothic"/>
          <w:spacing w:val="8"/>
          <w:sz w:val="20"/>
          <w:szCs w:val="20"/>
        </w:rPr>
        <w:t>。</w:t>
      </w:r>
      <w:r>
        <w:rPr>
          <w:rFonts w:ascii="微软雅黑" w:hAnsi="微软雅黑" w:eastAsia="微软雅黑" w:cs="微软雅黑"/>
          <w:spacing w:val="8"/>
          <w:sz w:val="20"/>
          <w:szCs w:val="20"/>
        </w:rPr>
        <w:t>在审核评估</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思想的引导下</w:t>
      </w:r>
      <w:r>
        <w:rPr>
          <w:rFonts w:ascii="MS Gothic" w:hAnsi="MS Gothic" w:eastAsia="MS Gothic" w:cs="MS Gothic"/>
          <w:spacing w:val="4"/>
          <w:sz w:val="20"/>
          <w:szCs w:val="20"/>
        </w:rPr>
        <w:t>，</w:t>
      </w:r>
      <w:r>
        <w:rPr>
          <w:rFonts w:ascii="微软雅黑" w:hAnsi="微软雅黑" w:eastAsia="微软雅黑" w:cs="微软雅黑"/>
          <w:spacing w:val="4"/>
          <w:sz w:val="20"/>
          <w:szCs w:val="20"/>
        </w:rPr>
        <w:t>地方本科院校应贯彻</w:t>
      </w:r>
      <w:r>
        <w:rPr>
          <w:rFonts w:ascii="MS Gothic" w:hAnsi="MS Gothic" w:eastAsia="MS Gothic" w:cs="MS Gothic"/>
          <w:spacing w:val="4"/>
          <w:sz w:val="20"/>
          <w:szCs w:val="20"/>
        </w:rPr>
        <w:t>“</w:t>
      </w:r>
      <w:r>
        <w:rPr>
          <w:rFonts w:ascii="微软雅黑" w:hAnsi="微软雅黑" w:eastAsia="微软雅黑" w:cs="微软雅黑"/>
          <w:spacing w:val="4"/>
          <w:sz w:val="20"/>
          <w:szCs w:val="20"/>
        </w:rPr>
        <w:t>全员</w:t>
      </w:r>
      <w:r>
        <w:rPr>
          <w:rFonts w:ascii="MS Gothic" w:hAnsi="MS Gothic" w:eastAsia="MS Gothic" w:cs="MS Gothic"/>
          <w:spacing w:val="4"/>
          <w:sz w:val="20"/>
          <w:szCs w:val="20"/>
        </w:rPr>
        <w:t>、</w:t>
      </w:r>
      <w:r>
        <w:rPr>
          <w:rFonts w:ascii="微软雅黑" w:hAnsi="微软雅黑" w:eastAsia="微软雅黑" w:cs="微软雅黑"/>
          <w:spacing w:val="4"/>
          <w:sz w:val="20"/>
          <w:szCs w:val="20"/>
        </w:rPr>
        <w:t>全程</w:t>
      </w:r>
      <w:r>
        <w:rPr>
          <w:rFonts w:ascii="MS Gothic" w:hAnsi="MS Gothic" w:eastAsia="MS Gothic" w:cs="MS Gothic"/>
          <w:spacing w:val="4"/>
          <w:sz w:val="20"/>
          <w:szCs w:val="20"/>
        </w:rPr>
        <w:t>、</w:t>
      </w:r>
      <w:r>
        <w:rPr>
          <w:rFonts w:ascii="MS Gothic" w:hAnsi="MS Gothic" w:eastAsia="MS Gothic" w:cs="MS Gothic"/>
          <w:spacing w:val="2"/>
          <w:sz w:val="20"/>
          <w:szCs w:val="20"/>
        </w:rPr>
        <w:t xml:space="preserve"> </w:t>
      </w:r>
      <w:r>
        <w:rPr>
          <w:rFonts w:ascii="微软雅黑" w:hAnsi="微软雅黑" w:eastAsia="微软雅黑" w:cs="微软雅黑"/>
          <w:spacing w:val="9"/>
          <w:sz w:val="20"/>
          <w:szCs w:val="20"/>
        </w:rPr>
        <w:t>全方位关注质量</w:t>
      </w:r>
      <w:r>
        <w:rPr>
          <w:rFonts w:ascii="MS Gothic" w:hAnsi="MS Gothic" w:eastAsia="MS Gothic" w:cs="MS Gothic"/>
          <w:spacing w:val="9"/>
          <w:sz w:val="20"/>
          <w:szCs w:val="20"/>
        </w:rPr>
        <w:t>”</w:t>
      </w:r>
      <w:r>
        <w:rPr>
          <w:rFonts w:ascii="微软雅黑" w:hAnsi="微软雅黑" w:eastAsia="微软雅黑" w:cs="微软雅黑"/>
          <w:spacing w:val="9"/>
          <w:sz w:val="20"/>
          <w:szCs w:val="20"/>
        </w:rPr>
        <w:t>的全面质量管理思想</w:t>
      </w:r>
      <w:r>
        <w:rPr>
          <w:rFonts w:ascii="MS Gothic" w:hAnsi="MS Gothic" w:eastAsia="MS Gothic" w:cs="MS Gothic"/>
          <w:spacing w:val="9"/>
          <w:sz w:val="20"/>
          <w:szCs w:val="20"/>
        </w:rPr>
        <w:t>，</w:t>
      </w:r>
      <w:r>
        <w:rPr>
          <w:rFonts w:ascii="微软雅黑" w:hAnsi="微软雅黑" w:eastAsia="微软雅黑" w:cs="微软雅黑"/>
          <w:spacing w:val="9"/>
          <w:sz w:val="20"/>
          <w:szCs w:val="20"/>
        </w:rPr>
        <w:t>树立持续</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改进的理念</w:t>
      </w:r>
      <w:r>
        <w:rPr>
          <w:rFonts w:ascii="MS Gothic" w:hAnsi="MS Gothic" w:eastAsia="MS Gothic" w:cs="MS Gothic"/>
          <w:spacing w:val="9"/>
          <w:sz w:val="20"/>
          <w:szCs w:val="20"/>
        </w:rPr>
        <w:t>，</w:t>
      </w:r>
      <w:r>
        <w:rPr>
          <w:rFonts w:ascii="微软雅黑" w:hAnsi="微软雅黑" w:eastAsia="微软雅黑" w:cs="微软雅黑"/>
          <w:spacing w:val="9"/>
          <w:sz w:val="20"/>
          <w:szCs w:val="20"/>
        </w:rPr>
        <w:t>探索出一条从关注制度建设到培植质</w:t>
      </w:r>
      <w:r>
        <w:rPr>
          <w:rFonts w:ascii="微软雅黑" w:hAnsi="微软雅黑" w:eastAsia="微软雅黑" w:cs="微软雅黑"/>
          <w:spacing w:val="8"/>
          <w:sz w:val="20"/>
          <w:szCs w:val="20"/>
        </w:rPr>
        <w:t xml:space="preserve">  量文化的质量持续提升的科学路径</w:t>
      </w:r>
      <w:r>
        <w:rPr>
          <w:rFonts w:ascii="微软雅黑" w:hAnsi="微软雅黑" w:eastAsia="微软雅黑" w:cs="微软雅黑"/>
          <w:spacing w:val="-21"/>
          <w:sz w:val="20"/>
          <w:szCs w:val="20"/>
        </w:rPr>
        <w:t xml:space="preserve"> </w:t>
      </w:r>
      <w:r>
        <w:rPr>
          <w:rFonts w:ascii="MS Gothic" w:hAnsi="MS Gothic" w:eastAsia="MS Gothic" w:cs="MS Gothic"/>
          <w:spacing w:val="8"/>
          <w:sz w:val="20"/>
          <w:szCs w:val="20"/>
        </w:rPr>
        <w:t>。</w:t>
      </w:r>
      <w:r>
        <w:rPr>
          <w:rFonts w:ascii="微软雅黑" w:hAnsi="微软雅黑" w:eastAsia="微软雅黑" w:cs="微软雅黑"/>
          <w:spacing w:val="8"/>
          <w:sz w:val="20"/>
          <w:szCs w:val="20"/>
        </w:rPr>
        <w:t>通过建立自我</w:t>
      </w:r>
      <w:r>
        <w:rPr>
          <w:rFonts w:ascii="微软雅黑" w:hAnsi="微软雅黑" w:eastAsia="微软雅黑" w:cs="微软雅黑"/>
          <w:sz w:val="20"/>
          <w:szCs w:val="20"/>
        </w:rPr>
        <w:t xml:space="preserve">  负责</w:t>
      </w:r>
      <w:r>
        <w:rPr>
          <w:rFonts w:ascii="MS Gothic" w:hAnsi="MS Gothic" w:eastAsia="MS Gothic" w:cs="MS Gothic"/>
          <w:sz w:val="20"/>
          <w:szCs w:val="20"/>
        </w:rPr>
        <w:t>、</w:t>
      </w:r>
      <w:r>
        <w:rPr>
          <w:rFonts w:ascii="微软雅黑" w:hAnsi="微软雅黑" w:eastAsia="微软雅黑" w:cs="微软雅黑"/>
          <w:sz w:val="20"/>
          <w:szCs w:val="20"/>
        </w:rPr>
        <w:t>自我监督的内生质量文化</w:t>
      </w:r>
      <w:r>
        <w:rPr>
          <w:rFonts w:ascii="MS Gothic" w:hAnsi="MS Gothic" w:eastAsia="MS Gothic" w:cs="MS Gothic"/>
          <w:sz w:val="20"/>
          <w:szCs w:val="20"/>
        </w:rPr>
        <w:t>，</w:t>
      </w:r>
      <w:r>
        <w:rPr>
          <w:rFonts w:ascii="微软雅黑" w:hAnsi="微软雅黑" w:eastAsia="微软雅黑" w:cs="微软雅黑"/>
          <w:sz w:val="20"/>
          <w:szCs w:val="20"/>
        </w:rPr>
        <w:t>增强广大师生</w:t>
      </w:r>
      <w:r>
        <w:rPr>
          <w:rFonts w:ascii="微软雅黑" w:hAnsi="微软雅黑" w:eastAsia="微软雅黑" w:cs="微软雅黑"/>
          <w:spacing w:val="-1"/>
          <w:sz w:val="20"/>
          <w:szCs w:val="20"/>
        </w:rPr>
        <w:t xml:space="preserve">员工  </w:t>
      </w:r>
      <w:r>
        <w:rPr>
          <w:rFonts w:ascii="微软雅黑" w:hAnsi="微软雅黑" w:eastAsia="微软雅黑" w:cs="微软雅黑"/>
          <w:sz w:val="20"/>
          <w:szCs w:val="20"/>
        </w:rPr>
        <w:t>改进质量的主动性和积极性</w:t>
      </w:r>
      <w:r>
        <w:rPr>
          <w:rFonts w:ascii="MS Gothic" w:hAnsi="MS Gothic" w:eastAsia="MS Gothic" w:cs="MS Gothic"/>
          <w:sz w:val="20"/>
          <w:szCs w:val="20"/>
        </w:rPr>
        <w:t>，</w:t>
      </w:r>
      <w:r>
        <w:rPr>
          <w:rFonts w:ascii="微软雅黑" w:hAnsi="微软雅黑" w:eastAsia="微软雅黑" w:cs="微软雅黑"/>
          <w:sz w:val="20"/>
          <w:szCs w:val="20"/>
        </w:rPr>
        <w:t>将质量意识</w:t>
      </w:r>
      <w:r>
        <w:rPr>
          <w:rFonts w:ascii="MS Gothic" w:hAnsi="MS Gothic" w:eastAsia="MS Gothic" w:cs="MS Gothic"/>
          <w:sz w:val="20"/>
          <w:szCs w:val="20"/>
        </w:rPr>
        <w:t>、</w:t>
      </w:r>
      <w:r>
        <w:rPr>
          <w:rFonts w:ascii="微软雅黑" w:hAnsi="微软雅黑" w:eastAsia="微软雅黑" w:cs="微软雅黑"/>
          <w:sz w:val="20"/>
          <w:szCs w:val="20"/>
        </w:rPr>
        <w:t>质量</w:t>
      </w:r>
      <w:r>
        <w:rPr>
          <w:rFonts w:ascii="微软雅黑" w:hAnsi="微软雅黑" w:eastAsia="微软雅黑" w:cs="微软雅黑"/>
          <w:spacing w:val="-1"/>
          <w:sz w:val="20"/>
          <w:szCs w:val="20"/>
        </w:rPr>
        <w:t xml:space="preserve">标准  </w:t>
      </w:r>
      <w:r>
        <w:rPr>
          <w:rFonts w:ascii="微软雅黑" w:hAnsi="微软雅黑" w:eastAsia="微软雅黑" w:cs="微软雅黑"/>
          <w:spacing w:val="9"/>
          <w:sz w:val="20"/>
          <w:szCs w:val="20"/>
        </w:rPr>
        <w:t>渗透到每个教师的行为方式</w:t>
      </w:r>
      <w:r>
        <w:rPr>
          <w:rFonts w:ascii="MS Gothic" w:hAnsi="MS Gothic" w:eastAsia="MS Gothic" w:cs="MS Gothic"/>
          <w:spacing w:val="9"/>
          <w:sz w:val="20"/>
          <w:szCs w:val="20"/>
        </w:rPr>
        <w:t>、</w:t>
      </w:r>
      <w:r>
        <w:rPr>
          <w:rFonts w:ascii="微软雅黑" w:hAnsi="微软雅黑" w:eastAsia="微软雅黑" w:cs="微软雅黑"/>
          <w:spacing w:val="9"/>
          <w:sz w:val="20"/>
          <w:szCs w:val="20"/>
        </w:rPr>
        <w:t>价值理念以及教学习</w:t>
      </w:r>
      <w:r>
        <w:rPr>
          <w:rFonts w:ascii="微软雅黑" w:hAnsi="微软雅黑" w:eastAsia="微软雅黑" w:cs="微软雅黑"/>
          <w:spacing w:val="8"/>
          <w:sz w:val="20"/>
          <w:szCs w:val="20"/>
        </w:rPr>
        <w:t xml:space="preserve">  </w:t>
      </w:r>
      <w:r>
        <w:rPr>
          <w:rFonts w:ascii="微软雅黑" w:hAnsi="微软雅黑" w:eastAsia="微软雅黑" w:cs="微软雅黑"/>
          <w:spacing w:val="-2"/>
          <w:sz w:val="20"/>
          <w:szCs w:val="20"/>
        </w:rPr>
        <w:t>惯中</w:t>
      </w:r>
      <w:r>
        <w:rPr>
          <w:rFonts w:ascii="MS Gothic" w:hAnsi="MS Gothic" w:eastAsia="MS Gothic" w:cs="MS Gothic"/>
          <w:spacing w:val="-2"/>
          <w:sz w:val="20"/>
          <w:szCs w:val="20"/>
        </w:rPr>
        <w:t>，</w:t>
      </w:r>
      <w:r>
        <w:rPr>
          <w:rFonts w:ascii="微软雅黑" w:hAnsi="微软雅黑" w:eastAsia="微软雅黑" w:cs="微软雅黑"/>
          <w:spacing w:val="-2"/>
          <w:sz w:val="20"/>
          <w:szCs w:val="20"/>
        </w:rPr>
        <w:t>使质量成为一种使命使然</w:t>
      </w:r>
      <w:r>
        <w:rPr>
          <w:rFonts w:ascii="微软雅黑" w:hAnsi="微软雅黑" w:eastAsia="微软雅黑" w:cs="微软雅黑"/>
          <w:spacing w:val="-13"/>
          <w:sz w:val="20"/>
          <w:szCs w:val="20"/>
        </w:rPr>
        <w:t xml:space="preserve"> </w:t>
      </w:r>
      <w:r>
        <w:rPr>
          <w:rFonts w:ascii="MS Gothic" w:hAnsi="MS Gothic" w:eastAsia="MS Gothic" w:cs="MS Gothic"/>
          <w:spacing w:val="-2"/>
          <w:sz w:val="20"/>
          <w:szCs w:val="20"/>
        </w:rPr>
        <w:t>。</w:t>
      </w:r>
      <w:r>
        <w:rPr>
          <w:rFonts w:ascii="微软雅黑" w:hAnsi="微软雅黑" w:eastAsia="微软雅黑" w:cs="微软雅黑"/>
          <w:spacing w:val="-2"/>
          <w:sz w:val="20"/>
          <w:szCs w:val="20"/>
        </w:rPr>
        <w:t>从责任主体</w:t>
      </w:r>
      <w:r>
        <w:rPr>
          <w:rFonts w:ascii="MS Gothic" w:hAnsi="MS Gothic" w:eastAsia="MS Gothic" w:cs="MS Gothic"/>
          <w:spacing w:val="-2"/>
          <w:sz w:val="20"/>
          <w:szCs w:val="20"/>
        </w:rPr>
        <w:t>、</w:t>
      </w:r>
      <w:r>
        <w:rPr>
          <w:rFonts w:ascii="微软雅黑" w:hAnsi="微软雅黑" w:eastAsia="微软雅黑" w:cs="微软雅黑"/>
          <w:spacing w:val="-2"/>
          <w:sz w:val="20"/>
          <w:szCs w:val="20"/>
        </w:rPr>
        <w:t xml:space="preserve">质量  </w:t>
      </w:r>
      <w:r>
        <w:rPr>
          <w:rFonts w:ascii="微软雅黑" w:hAnsi="微软雅黑" w:eastAsia="微软雅黑" w:cs="微软雅黑"/>
          <w:sz w:val="20"/>
          <w:szCs w:val="20"/>
        </w:rPr>
        <w:t>标准</w:t>
      </w:r>
      <w:r>
        <w:rPr>
          <w:rFonts w:ascii="MS Gothic" w:hAnsi="MS Gothic" w:eastAsia="MS Gothic" w:cs="MS Gothic"/>
          <w:sz w:val="20"/>
          <w:szCs w:val="20"/>
        </w:rPr>
        <w:t>、</w:t>
      </w:r>
      <w:r>
        <w:rPr>
          <w:rFonts w:ascii="微软雅黑" w:hAnsi="微软雅黑" w:eastAsia="微软雅黑" w:cs="微软雅黑"/>
          <w:sz w:val="20"/>
          <w:szCs w:val="20"/>
        </w:rPr>
        <w:t>评估流程</w:t>
      </w:r>
      <w:r>
        <w:rPr>
          <w:rFonts w:ascii="MS Gothic" w:hAnsi="MS Gothic" w:eastAsia="MS Gothic" w:cs="MS Gothic"/>
          <w:sz w:val="20"/>
          <w:szCs w:val="20"/>
        </w:rPr>
        <w:t>、</w:t>
      </w:r>
      <w:r>
        <w:rPr>
          <w:rFonts w:ascii="微软雅黑" w:hAnsi="微软雅黑" w:eastAsia="微软雅黑" w:cs="微软雅黑"/>
          <w:sz w:val="20"/>
          <w:szCs w:val="20"/>
        </w:rPr>
        <w:t>激励制度等反向设计</w:t>
      </w:r>
      <w:r>
        <w:rPr>
          <w:rFonts w:ascii="MS Gothic" w:hAnsi="MS Gothic" w:eastAsia="MS Gothic" w:cs="MS Gothic"/>
          <w:sz w:val="20"/>
          <w:szCs w:val="20"/>
        </w:rPr>
        <w:t>，</w:t>
      </w:r>
      <w:r>
        <w:rPr>
          <w:rFonts w:ascii="微软雅黑" w:hAnsi="微软雅黑" w:eastAsia="微软雅黑" w:cs="微软雅黑"/>
          <w:sz w:val="20"/>
          <w:szCs w:val="20"/>
        </w:rPr>
        <w:t>完善内</w:t>
      </w:r>
      <w:r>
        <w:rPr>
          <w:rFonts w:ascii="微软雅黑" w:hAnsi="微软雅黑" w:eastAsia="微软雅黑" w:cs="微软雅黑"/>
          <w:spacing w:val="-1"/>
          <w:sz w:val="20"/>
          <w:szCs w:val="20"/>
        </w:rPr>
        <w:t xml:space="preserve">部质  </w:t>
      </w:r>
      <w:r>
        <w:rPr>
          <w:rFonts w:ascii="微软雅黑" w:hAnsi="微软雅黑" w:eastAsia="微软雅黑" w:cs="微软雅黑"/>
          <w:spacing w:val="9"/>
          <w:sz w:val="20"/>
          <w:szCs w:val="20"/>
        </w:rPr>
        <w:t>量保障体系</w:t>
      </w:r>
      <w:r>
        <w:rPr>
          <w:rFonts w:ascii="MS Gothic" w:hAnsi="MS Gothic" w:eastAsia="MS Gothic" w:cs="MS Gothic"/>
          <w:spacing w:val="9"/>
          <w:sz w:val="20"/>
          <w:szCs w:val="20"/>
        </w:rPr>
        <w:t>，</w:t>
      </w:r>
      <w:r>
        <w:rPr>
          <w:rFonts w:ascii="微软雅黑" w:hAnsi="微软雅黑" w:eastAsia="微软雅黑" w:cs="微软雅黑"/>
          <w:spacing w:val="9"/>
          <w:sz w:val="20"/>
          <w:szCs w:val="20"/>
        </w:rPr>
        <w:t>强调各层面质量管理系统中的质量依</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存关系</w:t>
      </w:r>
      <w:r>
        <w:rPr>
          <w:rFonts w:ascii="MS Gothic" w:hAnsi="MS Gothic" w:eastAsia="MS Gothic" w:cs="MS Gothic"/>
          <w:sz w:val="20"/>
          <w:szCs w:val="20"/>
        </w:rPr>
        <w:t>，</w:t>
      </w:r>
      <w:r>
        <w:rPr>
          <w:rFonts w:ascii="微软雅黑" w:hAnsi="微软雅黑" w:eastAsia="微软雅黑" w:cs="微软雅黑"/>
          <w:sz w:val="20"/>
          <w:szCs w:val="20"/>
        </w:rPr>
        <w:t>探索有效的</w:t>
      </w:r>
      <w:r>
        <w:rPr>
          <w:rFonts w:ascii="MS Gothic" w:hAnsi="MS Gothic" w:eastAsia="MS Gothic" w:cs="MS Gothic"/>
          <w:sz w:val="20"/>
          <w:szCs w:val="20"/>
        </w:rPr>
        <w:t>、</w:t>
      </w:r>
      <w:r>
        <w:rPr>
          <w:rFonts w:ascii="微软雅黑" w:hAnsi="微软雅黑" w:eastAsia="微软雅黑" w:cs="微软雅黑"/>
          <w:sz w:val="20"/>
          <w:szCs w:val="20"/>
        </w:rPr>
        <w:t>易于操作的质量改进途径</w:t>
      </w:r>
      <w:r>
        <w:rPr>
          <w:rFonts w:ascii="微软雅黑" w:hAnsi="微软雅黑" w:eastAsia="微软雅黑" w:cs="微软雅黑"/>
          <w:spacing w:val="-1"/>
          <w:sz w:val="20"/>
          <w:szCs w:val="20"/>
        </w:rPr>
        <w:t xml:space="preserve">与方  </w:t>
      </w:r>
      <w:r>
        <w:rPr>
          <w:rFonts w:ascii="微软雅黑" w:hAnsi="微软雅黑" w:eastAsia="微软雅黑" w:cs="微软雅黑"/>
          <w:spacing w:val="4"/>
          <w:sz w:val="20"/>
          <w:szCs w:val="20"/>
        </w:rPr>
        <w:t>法</w:t>
      </w:r>
      <w:r>
        <w:rPr>
          <w:rFonts w:ascii="MS Gothic" w:hAnsi="MS Gothic" w:eastAsia="MS Gothic" w:cs="MS Gothic"/>
          <w:spacing w:val="4"/>
          <w:sz w:val="20"/>
          <w:szCs w:val="20"/>
        </w:rPr>
        <w:t>，</w:t>
      </w:r>
      <w:r>
        <w:rPr>
          <w:rFonts w:ascii="微软雅黑" w:hAnsi="微软雅黑" w:eastAsia="微软雅黑" w:cs="微软雅黑"/>
          <w:spacing w:val="4"/>
          <w:sz w:val="20"/>
          <w:szCs w:val="20"/>
        </w:rPr>
        <w:t>完善质量改进程序</w:t>
      </w:r>
      <w:r>
        <w:rPr>
          <w:rFonts w:ascii="MS Gothic" w:hAnsi="MS Gothic" w:eastAsia="MS Gothic" w:cs="MS Gothic"/>
          <w:spacing w:val="4"/>
          <w:sz w:val="20"/>
          <w:szCs w:val="20"/>
        </w:rPr>
        <w:t>，</w:t>
      </w:r>
      <w:r>
        <w:rPr>
          <w:rFonts w:ascii="微软雅黑" w:hAnsi="微软雅黑" w:eastAsia="微软雅黑" w:cs="微软雅黑"/>
          <w:spacing w:val="4"/>
          <w:sz w:val="20"/>
          <w:szCs w:val="20"/>
        </w:rPr>
        <w:t>对质量信息实行动态管理</w:t>
      </w:r>
      <w:r>
        <w:rPr>
          <w:rFonts w:ascii="MS Gothic" w:hAnsi="MS Gothic" w:eastAsia="MS Gothic" w:cs="MS Gothic"/>
          <w:spacing w:val="4"/>
          <w:sz w:val="20"/>
          <w:szCs w:val="20"/>
        </w:rPr>
        <w:t>。</w:t>
      </w:r>
      <w:r>
        <w:rPr>
          <w:rFonts w:ascii="MS Gothic" w:hAnsi="MS Gothic" w:eastAsia="MS Gothic" w:cs="MS Gothic"/>
          <w:spacing w:val="2"/>
          <w:sz w:val="20"/>
          <w:szCs w:val="20"/>
        </w:rPr>
        <w:t xml:space="preserve"> </w:t>
      </w:r>
      <w:r>
        <w:rPr>
          <w:rFonts w:ascii="微软雅黑" w:hAnsi="微软雅黑" w:eastAsia="微软雅黑" w:cs="微软雅黑"/>
          <w:spacing w:val="9"/>
          <w:sz w:val="20"/>
          <w:szCs w:val="20"/>
        </w:rPr>
        <w:t>进一步健全质量协同整改机制</w:t>
      </w:r>
      <w:r>
        <w:rPr>
          <w:rFonts w:ascii="MS Gothic" w:hAnsi="MS Gothic" w:eastAsia="MS Gothic" w:cs="MS Gothic"/>
          <w:spacing w:val="9"/>
          <w:sz w:val="20"/>
          <w:szCs w:val="20"/>
        </w:rPr>
        <w:t>，</w:t>
      </w:r>
      <w:r>
        <w:rPr>
          <w:rFonts w:ascii="微软雅黑" w:hAnsi="微软雅黑" w:eastAsia="微软雅黑" w:cs="微软雅黑"/>
          <w:spacing w:val="9"/>
          <w:sz w:val="20"/>
          <w:szCs w:val="20"/>
        </w:rPr>
        <w:t>全面厘清校内各部</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门的质量权责关系</w:t>
      </w:r>
      <w:r>
        <w:rPr>
          <w:rFonts w:ascii="MS Gothic" w:hAnsi="MS Gothic" w:eastAsia="MS Gothic" w:cs="MS Gothic"/>
          <w:sz w:val="20"/>
          <w:szCs w:val="20"/>
        </w:rPr>
        <w:t>，</w:t>
      </w:r>
      <w:r>
        <w:rPr>
          <w:rFonts w:ascii="微软雅黑" w:hAnsi="微软雅黑" w:eastAsia="微软雅黑" w:cs="微软雅黑"/>
          <w:sz w:val="20"/>
          <w:szCs w:val="20"/>
        </w:rPr>
        <w:t>明确质量管理的责任分工</w:t>
      </w:r>
      <w:r>
        <w:rPr>
          <w:rFonts w:ascii="MS Gothic" w:hAnsi="MS Gothic" w:eastAsia="MS Gothic" w:cs="MS Gothic"/>
          <w:sz w:val="20"/>
          <w:szCs w:val="20"/>
        </w:rPr>
        <w:t>，</w:t>
      </w:r>
      <w:r>
        <w:rPr>
          <w:rFonts w:ascii="微软雅黑" w:hAnsi="微软雅黑" w:eastAsia="微软雅黑" w:cs="微软雅黑"/>
          <w:spacing w:val="-1"/>
          <w:sz w:val="20"/>
          <w:szCs w:val="20"/>
        </w:rPr>
        <w:t xml:space="preserve">督促  </w:t>
      </w:r>
      <w:r>
        <w:rPr>
          <w:rFonts w:ascii="微软雅黑" w:hAnsi="微软雅黑" w:eastAsia="微软雅黑" w:cs="微软雅黑"/>
          <w:sz w:val="20"/>
          <w:szCs w:val="20"/>
        </w:rPr>
        <w:t>整改工作进度和实施成效</w:t>
      </w:r>
      <w:r>
        <w:rPr>
          <w:rFonts w:ascii="MS Gothic" w:hAnsi="MS Gothic" w:eastAsia="MS Gothic" w:cs="MS Gothic"/>
          <w:sz w:val="20"/>
          <w:szCs w:val="20"/>
        </w:rPr>
        <w:t>，</w:t>
      </w:r>
      <w:r>
        <w:rPr>
          <w:rFonts w:ascii="微软雅黑" w:hAnsi="微软雅黑" w:eastAsia="微软雅黑" w:cs="微软雅黑"/>
          <w:sz w:val="20"/>
          <w:szCs w:val="20"/>
        </w:rPr>
        <w:t>形成</w:t>
      </w:r>
      <w:r>
        <w:rPr>
          <w:rFonts w:ascii="MS Gothic" w:hAnsi="MS Gothic" w:eastAsia="MS Gothic" w:cs="MS Gothic"/>
          <w:sz w:val="20"/>
          <w:szCs w:val="20"/>
        </w:rPr>
        <w:t>“</w:t>
      </w:r>
      <w:r>
        <w:rPr>
          <w:rFonts w:ascii="微软雅黑" w:hAnsi="微软雅黑" w:eastAsia="微软雅黑" w:cs="微软雅黑"/>
          <w:sz w:val="20"/>
          <w:szCs w:val="20"/>
        </w:rPr>
        <w:t>校内循环</w:t>
      </w:r>
      <w:r>
        <w:rPr>
          <w:rFonts w:ascii="MS Gothic" w:hAnsi="MS Gothic" w:eastAsia="MS Gothic" w:cs="MS Gothic"/>
          <w:sz w:val="20"/>
          <w:szCs w:val="20"/>
        </w:rPr>
        <w:t>”</w:t>
      </w:r>
      <w:r>
        <w:rPr>
          <w:rFonts w:ascii="微软雅黑" w:hAnsi="微软雅黑" w:eastAsia="微软雅黑" w:cs="微软雅黑"/>
          <w:sz w:val="20"/>
          <w:szCs w:val="20"/>
        </w:rPr>
        <w:t>与</w:t>
      </w:r>
      <w:r>
        <w:rPr>
          <w:rFonts w:ascii="MS Gothic" w:hAnsi="MS Gothic" w:eastAsia="MS Gothic" w:cs="MS Gothic"/>
          <w:spacing w:val="-1"/>
          <w:sz w:val="20"/>
          <w:szCs w:val="20"/>
        </w:rPr>
        <w:t>“</w:t>
      </w:r>
      <w:r>
        <w:rPr>
          <w:rFonts w:ascii="微软雅黑" w:hAnsi="微软雅黑" w:eastAsia="微软雅黑" w:cs="微软雅黑"/>
          <w:spacing w:val="-1"/>
          <w:sz w:val="20"/>
          <w:szCs w:val="20"/>
        </w:rPr>
        <w:t xml:space="preserve">校  </w:t>
      </w:r>
      <w:r>
        <w:rPr>
          <w:rFonts w:ascii="微软雅黑" w:hAnsi="微软雅黑" w:eastAsia="微软雅黑" w:cs="微软雅黑"/>
          <w:sz w:val="20"/>
          <w:szCs w:val="20"/>
        </w:rPr>
        <w:t>外循环</w:t>
      </w:r>
      <w:r>
        <w:rPr>
          <w:rFonts w:ascii="MS Gothic" w:hAnsi="MS Gothic" w:eastAsia="MS Gothic" w:cs="MS Gothic"/>
          <w:sz w:val="20"/>
          <w:szCs w:val="20"/>
        </w:rPr>
        <w:t>”</w:t>
      </w:r>
      <w:r>
        <w:rPr>
          <w:rFonts w:ascii="微软雅黑" w:hAnsi="微软雅黑" w:eastAsia="微软雅黑" w:cs="微软雅黑"/>
          <w:sz w:val="20"/>
          <w:szCs w:val="20"/>
        </w:rPr>
        <w:t>相互作用</w:t>
      </w:r>
      <w:r>
        <w:rPr>
          <w:rFonts w:ascii="MS Gothic" w:hAnsi="MS Gothic" w:eastAsia="MS Gothic" w:cs="MS Gothic"/>
          <w:sz w:val="20"/>
          <w:szCs w:val="20"/>
        </w:rPr>
        <w:t>，</w:t>
      </w:r>
      <w:r>
        <w:rPr>
          <w:rFonts w:ascii="微软雅黑" w:hAnsi="微软雅黑" w:eastAsia="微软雅黑" w:cs="微软雅黑"/>
          <w:sz w:val="20"/>
          <w:szCs w:val="20"/>
        </w:rPr>
        <w:t>循环闭合的</w:t>
      </w:r>
      <w:r>
        <w:rPr>
          <w:rFonts w:ascii="MS Gothic" w:hAnsi="MS Gothic" w:eastAsia="MS Gothic" w:cs="MS Gothic"/>
          <w:sz w:val="20"/>
          <w:szCs w:val="20"/>
        </w:rPr>
        <w:t>“</w:t>
      </w:r>
      <w:r>
        <w:rPr>
          <w:rFonts w:ascii="微软雅黑" w:hAnsi="微软雅黑" w:eastAsia="微软雅黑" w:cs="微软雅黑"/>
          <w:sz w:val="20"/>
          <w:szCs w:val="20"/>
        </w:rPr>
        <w:t>多元开放式本</w:t>
      </w:r>
      <w:r>
        <w:rPr>
          <w:rFonts w:ascii="微软雅黑" w:hAnsi="微软雅黑" w:eastAsia="微软雅黑" w:cs="微软雅黑"/>
          <w:spacing w:val="-1"/>
          <w:sz w:val="20"/>
          <w:szCs w:val="20"/>
        </w:rPr>
        <w:t xml:space="preserve">科教  </w:t>
      </w:r>
      <w:r>
        <w:rPr>
          <w:rFonts w:ascii="微软雅黑" w:hAnsi="微软雅黑" w:eastAsia="微软雅黑" w:cs="微软雅黑"/>
          <w:spacing w:val="8"/>
          <w:sz w:val="20"/>
          <w:szCs w:val="20"/>
        </w:rPr>
        <w:t>育质量保障体系</w:t>
      </w:r>
      <w:r>
        <w:rPr>
          <w:rFonts w:ascii="MS Gothic" w:hAnsi="MS Gothic" w:eastAsia="MS Gothic" w:cs="MS Gothic"/>
          <w:spacing w:val="8"/>
          <w:sz w:val="20"/>
          <w:szCs w:val="20"/>
        </w:rPr>
        <w:t>”</w:t>
      </w:r>
      <w:r>
        <w:rPr>
          <w:rFonts w:ascii="MS Gothic" w:hAnsi="MS Gothic" w:eastAsia="MS Gothic" w:cs="MS Gothic"/>
          <w:spacing w:val="8"/>
          <w:position w:val="8"/>
          <w:sz w:val="11"/>
          <w:szCs w:val="11"/>
        </w:rPr>
        <w:t>[7]</w:t>
      </w:r>
      <w:r>
        <w:rPr>
          <w:rFonts w:ascii="MS Gothic" w:hAnsi="MS Gothic" w:eastAsia="MS Gothic" w:cs="MS Gothic"/>
          <w:spacing w:val="43"/>
          <w:w w:val="101"/>
          <w:position w:val="8"/>
          <w:sz w:val="11"/>
          <w:szCs w:val="11"/>
        </w:rPr>
        <w:t xml:space="preserve"> </w:t>
      </w:r>
      <w:r>
        <w:rPr>
          <w:rFonts w:ascii="MS Gothic" w:hAnsi="MS Gothic" w:eastAsia="MS Gothic" w:cs="MS Gothic"/>
          <w:spacing w:val="8"/>
          <w:sz w:val="20"/>
          <w:szCs w:val="20"/>
        </w:rPr>
        <w:t>,</w:t>
      </w:r>
      <w:r>
        <w:rPr>
          <w:rFonts w:ascii="MS Gothic" w:hAnsi="MS Gothic" w:eastAsia="MS Gothic" w:cs="MS Gothic"/>
          <w:spacing w:val="-42"/>
          <w:sz w:val="20"/>
          <w:szCs w:val="20"/>
        </w:rPr>
        <w:t xml:space="preserve"> </w:t>
      </w:r>
      <w:r>
        <w:rPr>
          <w:rFonts w:ascii="微软雅黑" w:hAnsi="微软雅黑" w:eastAsia="微软雅黑" w:cs="微软雅黑"/>
          <w:spacing w:val="8"/>
          <w:sz w:val="20"/>
          <w:szCs w:val="20"/>
        </w:rPr>
        <w:t>实现人才培养质量的自觉遵</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循和持续改进</w:t>
      </w:r>
      <w:r>
        <w:rPr>
          <w:rFonts w:ascii="MS Gothic" w:hAnsi="MS Gothic" w:eastAsia="MS Gothic" w:cs="MS Gothic"/>
          <w:spacing w:val="7"/>
          <w:sz w:val="20"/>
          <w:szCs w:val="20"/>
        </w:rPr>
        <w:t>。</w:t>
      </w:r>
    </w:p>
    <w:p>
      <w:pPr>
        <w:spacing w:line="296" w:lineRule="auto"/>
        <w:rPr>
          <w:rFonts w:ascii="Arial"/>
          <w:sz w:val="21"/>
        </w:rPr>
      </w:pPr>
    </w:p>
    <w:p>
      <w:pPr>
        <w:spacing w:before="55" w:line="216" w:lineRule="auto"/>
        <w:ind w:left="5"/>
        <w:rPr>
          <w:rFonts w:ascii="MS Gothic" w:hAnsi="MS Gothic" w:eastAsia="MS Gothic" w:cs="MS Gothic"/>
          <w:sz w:val="17"/>
          <w:szCs w:val="17"/>
        </w:rPr>
      </w:pPr>
      <w:r>
        <w:rPr>
          <w:rFonts w:ascii="黑体" w:hAnsi="黑体" w:eastAsia="黑体" w:cs="黑体"/>
          <w:spacing w:val="6"/>
          <w:sz w:val="17"/>
          <w:szCs w:val="17"/>
        </w:rPr>
        <w:t>参考文献</w:t>
      </w:r>
      <w:r>
        <w:rPr>
          <w:rFonts w:ascii="MS Gothic" w:hAnsi="MS Gothic" w:eastAsia="MS Gothic" w:cs="MS Gothic"/>
          <w:spacing w:val="6"/>
          <w:sz w:val="17"/>
          <w:szCs w:val="17"/>
        </w:rPr>
        <w:t>：</w:t>
      </w:r>
    </w:p>
    <w:p>
      <w:pPr>
        <w:spacing w:before="71" w:line="208" w:lineRule="auto"/>
        <w:ind w:left="22"/>
        <w:rPr>
          <w:rFonts w:ascii="微软雅黑" w:hAnsi="微软雅黑" w:eastAsia="微软雅黑" w:cs="微软雅黑"/>
          <w:sz w:val="17"/>
          <w:szCs w:val="17"/>
        </w:rPr>
      </w:pPr>
      <w:r>
        <w:rPr>
          <w:rFonts w:ascii="MS Gothic" w:hAnsi="MS Gothic" w:eastAsia="MS Gothic" w:cs="MS Gothic"/>
          <w:spacing w:val="13"/>
          <w:sz w:val="17"/>
          <w:szCs w:val="17"/>
        </w:rPr>
        <w:t>[1]</w:t>
      </w:r>
      <w:r>
        <w:rPr>
          <w:rFonts w:ascii="MS Gothic" w:hAnsi="MS Gothic" w:eastAsia="MS Gothic" w:cs="MS Gothic"/>
          <w:spacing w:val="3"/>
          <w:sz w:val="17"/>
          <w:szCs w:val="17"/>
        </w:rPr>
        <w:t xml:space="preserve"> </w:t>
      </w:r>
      <w:r>
        <w:rPr>
          <w:rFonts w:ascii="微软雅黑" w:hAnsi="微软雅黑" w:eastAsia="微软雅黑" w:cs="微软雅黑"/>
          <w:spacing w:val="13"/>
          <w:sz w:val="17"/>
          <w:szCs w:val="17"/>
        </w:rPr>
        <w:t>以高质量审核评估推动高质量教育体系建设</w:t>
      </w:r>
      <w:r>
        <w:rPr>
          <w:rFonts w:ascii="Arial" w:hAnsi="Arial" w:eastAsia="Arial" w:cs="Arial"/>
          <w:b/>
          <w:bCs/>
          <w:spacing w:val="13"/>
          <w:sz w:val="17"/>
          <w:szCs w:val="17"/>
        </w:rPr>
        <w:t>—</w:t>
      </w:r>
      <w:r>
        <w:rPr>
          <w:rFonts w:ascii="MS Gothic" w:hAnsi="MS Gothic" w:eastAsia="MS Gothic" w:cs="MS Gothic"/>
          <w:spacing w:val="13"/>
          <w:sz w:val="17"/>
          <w:szCs w:val="17"/>
        </w:rPr>
        <w:t>《</w:t>
      </w:r>
      <w:r>
        <w:rPr>
          <w:rFonts w:ascii="微软雅黑" w:hAnsi="微软雅黑" w:eastAsia="微软雅黑" w:cs="微软雅黑"/>
          <w:spacing w:val="13"/>
          <w:sz w:val="17"/>
          <w:szCs w:val="17"/>
        </w:rPr>
        <w:t>普通</w:t>
      </w:r>
    </w:p>
    <w:p>
      <w:pPr>
        <w:spacing w:before="25" w:line="163" w:lineRule="auto"/>
        <w:ind w:left="314"/>
        <w:rPr>
          <w:rFonts w:ascii="MS Gothic" w:hAnsi="MS Gothic" w:eastAsia="MS Gothic" w:cs="MS Gothic"/>
          <w:sz w:val="17"/>
          <w:szCs w:val="17"/>
        </w:rPr>
      </w:pPr>
      <w:r>
        <w:rPr>
          <w:rFonts w:ascii="微软雅黑" w:hAnsi="微软雅黑" w:eastAsia="微软雅黑" w:cs="微软雅黑"/>
          <w:spacing w:val="12"/>
          <w:sz w:val="17"/>
          <w:szCs w:val="17"/>
        </w:rPr>
        <w:t>高等学校本科教育教学审核评估实施方案</w:t>
      </w:r>
      <w:r>
        <w:rPr>
          <w:rFonts w:ascii="MS Gothic" w:hAnsi="MS Gothic" w:eastAsia="MS Gothic" w:cs="MS Gothic"/>
          <w:spacing w:val="12"/>
          <w:sz w:val="17"/>
          <w:szCs w:val="17"/>
        </w:rPr>
        <w:t>(2021</w:t>
      </w:r>
      <w:r>
        <w:rPr>
          <w:rFonts w:ascii="MS Gothic" w:hAnsi="MS Gothic" w:eastAsia="MS Gothic" w:cs="MS Gothic"/>
          <w:spacing w:val="-43"/>
          <w:sz w:val="17"/>
          <w:szCs w:val="17"/>
        </w:rPr>
        <w:t xml:space="preserve"> </w:t>
      </w:r>
      <w:r>
        <w:rPr>
          <w:rFonts w:ascii="MS Gothic" w:hAnsi="MS Gothic" w:eastAsia="MS Gothic" w:cs="MS Gothic"/>
          <w:spacing w:val="12"/>
          <w:sz w:val="17"/>
          <w:szCs w:val="17"/>
        </w:rPr>
        <w:t>—2025</w:t>
      </w:r>
    </w:p>
    <w:p>
      <w:pPr>
        <w:spacing w:line="417" w:lineRule="exact"/>
        <w:ind w:left="308"/>
        <w:rPr>
          <w:rFonts w:ascii="MS Gothic" w:hAnsi="MS Gothic" w:eastAsia="MS Gothic" w:cs="MS Gothic"/>
          <w:sz w:val="17"/>
          <w:szCs w:val="17"/>
        </w:rPr>
      </w:pPr>
      <w:r>
        <w:pict>
          <v:shape id="_x0000_s1062" o:spid="_x0000_s1062" o:spt="202" type="#_x0000_t202" style="position:absolute;left:0pt;margin-left:14pt;margin-top:12.95pt;height:22.9pt;width:217.9pt;z-index:251718656;mso-width-relative:page;mso-height-relative:page;" filled="f" stroked="f" coordsize="21600,21600">
            <v:path/>
            <v:fill on="f" focussize="0,0"/>
            <v:stroke on="f"/>
            <v:imagedata o:title=""/>
            <o:lock v:ext="edit" aspectratio="f"/>
            <v:textbox inset="0mm,0mm,0mm,0mm">
              <w:txbxContent>
                <w:p>
                  <w:pPr>
                    <w:spacing w:before="20" w:line="417" w:lineRule="exact"/>
                    <w:ind w:left="20"/>
                    <w:rPr>
                      <w:rFonts w:ascii="MS Gothic" w:hAnsi="MS Gothic" w:eastAsia="MS Gothic" w:cs="MS Gothic"/>
                      <w:sz w:val="17"/>
                      <w:szCs w:val="17"/>
                    </w:rPr>
                  </w:pPr>
                  <w:r>
                    <w:rPr>
                      <w:rFonts w:ascii="MS Gothic" w:hAnsi="MS Gothic" w:eastAsia="MS Gothic" w:cs="MS Gothic"/>
                      <w:spacing w:val="-3"/>
                      <w:position w:val="7"/>
                      <w:sz w:val="17"/>
                      <w:szCs w:val="17"/>
                    </w:rPr>
                    <w:t>www. moe.</w:t>
                  </w:r>
                  <w:r>
                    <w:rPr>
                      <w:rFonts w:ascii="MS Gothic" w:hAnsi="MS Gothic" w:eastAsia="MS Gothic" w:cs="MS Gothic"/>
                      <w:spacing w:val="22"/>
                      <w:position w:val="7"/>
                      <w:sz w:val="17"/>
                      <w:szCs w:val="17"/>
                    </w:rPr>
                    <w:t xml:space="preserve"> </w:t>
                  </w:r>
                  <w:r>
                    <w:rPr>
                      <w:rFonts w:ascii="MS Gothic" w:hAnsi="MS Gothic" w:eastAsia="MS Gothic" w:cs="MS Gothic"/>
                      <w:spacing w:val="-3"/>
                      <w:position w:val="7"/>
                      <w:sz w:val="17"/>
                      <w:szCs w:val="17"/>
                    </w:rPr>
                    <w:t>gov.</w:t>
                  </w:r>
                  <w:r>
                    <w:rPr>
                      <w:rFonts w:ascii="MS Gothic" w:hAnsi="MS Gothic" w:eastAsia="MS Gothic" w:cs="MS Gothic"/>
                      <w:spacing w:val="24"/>
                      <w:position w:val="7"/>
                      <w:sz w:val="17"/>
                      <w:szCs w:val="17"/>
                    </w:rPr>
                    <w:t xml:space="preserve"> </w:t>
                  </w:r>
                  <w:r>
                    <w:rPr>
                      <w:rFonts w:ascii="MS Gothic" w:hAnsi="MS Gothic" w:eastAsia="MS Gothic" w:cs="MS Gothic"/>
                      <w:spacing w:val="-3"/>
                      <w:position w:val="7"/>
                      <w:sz w:val="17"/>
                      <w:szCs w:val="17"/>
                    </w:rPr>
                    <w:t>cn/jyb</w:t>
                  </w:r>
                  <w:r>
                    <w:rPr>
                      <w:rFonts w:ascii="MS Gothic" w:hAnsi="MS Gothic" w:eastAsia="MS Gothic" w:cs="MS Gothic"/>
                      <w:spacing w:val="-30"/>
                      <w:position w:val="7"/>
                      <w:sz w:val="17"/>
                      <w:szCs w:val="17"/>
                    </w:rPr>
                    <w:t xml:space="preserve"> </w:t>
                  </w:r>
                  <w:r>
                    <w:rPr>
                      <w:rFonts w:ascii="MS Gothic" w:hAnsi="MS Gothic" w:eastAsia="MS Gothic" w:cs="MS Gothic"/>
                      <w:spacing w:val="-3"/>
                      <w:position w:val="7"/>
                      <w:sz w:val="17"/>
                      <w:szCs w:val="17"/>
                    </w:rPr>
                    <w:t>_</w:t>
                  </w:r>
                  <w:r>
                    <w:rPr>
                      <w:rFonts w:ascii="MS Gothic" w:hAnsi="MS Gothic" w:eastAsia="MS Gothic" w:cs="MS Gothic"/>
                      <w:spacing w:val="-35"/>
                      <w:position w:val="7"/>
                      <w:sz w:val="17"/>
                      <w:szCs w:val="17"/>
                    </w:rPr>
                    <w:t xml:space="preserve"> </w:t>
                  </w:r>
                  <w:r>
                    <w:rPr>
                      <w:rFonts w:ascii="MS Gothic" w:hAnsi="MS Gothic" w:eastAsia="MS Gothic" w:cs="MS Gothic"/>
                      <w:spacing w:val="-3"/>
                      <w:position w:val="7"/>
                      <w:sz w:val="17"/>
                      <w:szCs w:val="17"/>
                    </w:rPr>
                    <w:t>xwfb/s5147/202102/t2021</w:t>
                  </w:r>
                  <w:r>
                    <w:rPr>
                      <w:rFonts w:ascii="MS Gothic" w:hAnsi="MS Gothic" w:eastAsia="MS Gothic" w:cs="MS Gothic"/>
                      <w:spacing w:val="-4"/>
                      <w:position w:val="7"/>
                      <w:sz w:val="17"/>
                      <w:szCs w:val="17"/>
                    </w:rPr>
                    <w:t>0208</w:t>
                  </w:r>
                  <w:r>
                    <w:rPr>
                      <w:rFonts w:ascii="MS Gothic" w:hAnsi="MS Gothic" w:eastAsia="MS Gothic" w:cs="MS Gothic"/>
                      <w:spacing w:val="-21"/>
                      <w:position w:val="7"/>
                      <w:sz w:val="17"/>
                      <w:szCs w:val="17"/>
                    </w:rPr>
                    <w:t xml:space="preserve"> </w:t>
                  </w:r>
                  <w:r>
                    <w:rPr>
                      <w:rFonts w:ascii="MS Gothic" w:hAnsi="MS Gothic" w:eastAsia="MS Gothic" w:cs="MS Gothic"/>
                      <w:spacing w:val="-4"/>
                      <w:position w:val="7"/>
                      <w:sz w:val="17"/>
                      <w:szCs w:val="17"/>
                    </w:rPr>
                    <w:t>_</w:t>
                  </w:r>
                </w:p>
              </w:txbxContent>
            </v:textbox>
          </v:shape>
        </w:pict>
      </w:r>
      <w:r>
        <w:rPr>
          <w:rFonts w:ascii="微软雅黑" w:hAnsi="微软雅黑" w:eastAsia="微软雅黑" w:cs="微软雅黑"/>
          <w:spacing w:val="-10"/>
          <w:position w:val="7"/>
          <w:sz w:val="17"/>
          <w:szCs w:val="17"/>
        </w:rPr>
        <w:t>年</w:t>
      </w:r>
      <w:r>
        <w:rPr>
          <w:rFonts w:ascii="MS Gothic" w:hAnsi="MS Gothic" w:eastAsia="MS Gothic" w:cs="MS Gothic"/>
          <w:spacing w:val="-10"/>
          <w:position w:val="7"/>
          <w:sz w:val="17"/>
          <w:szCs w:val="17"/>
        </w:rPr>
        <w:t>）》</w:t>
      </w:r>
      <w:r>
        <w:rPr>
          <w:rFonts w:ascii="微软雅黑" w:hAnsi="微软雅黑" w:eastAsia="微软雅黑" w:cs="微软雅黑"/>
          <w:spacing w:val="-10"/>
          <w:position w:val="7"/>
          <w:sz w:val="17"/>
          <w:szCs w:val="17"/>
        </w:rPr>
        <w:t>解读</w:t>
      </w:r>
      <w:r>
        <w:rPr>
          <w:rFonts w:ascii="MS Gothic" w:hAnsi="MS Gothic" w:eastAsia="MS Gothic" w:cs="MS Gothic"/>
          <w:spacing w:val="-10"/>
          <w:position w:val="7"/>
          <w:sz w:val="17"/>
          <w:szCs w:val="17"/>
        </w:rPr>
        <w:t>[</w:t>
      </w:r>
      <w:r>
        <w:rPr>
          <w:rFonts w:ascii="MS Gothic" w:hAnsi="MS Gothic" w:eastAsia="MS Gothic" w:cs="MS Gothic"/>
          <w:spacing w:val="-35"/>
          <w:position w:val="7"/>
          <w:sz w:val="17"/>
          <w:szCs w:val="17"/>
        </w:rPr>
        <w:t xml:space="preserve"> </w:t>
      </w:r>
      <w:r>
        <w:rPr>
          <w:rFonts w:ascii="MS Gothic" w:hAnsi="MS Gothic" w:eastAsia="MS Gothic" w:cs="MS Gothic"/>
          <w:spacing w:val="-10"/>
          <w:position w:val="7"/>
          <w:sz w:val="17"/>
          <w:szCs w:val="17"/>
        </w:rPr>
        <w:t>EB/OL]</w:t>
      </w:r>
      <w:r>
        <w:rPr>
          <w:rFonts w:ascii="MS Gothic" w:hAnsi="MS Gothic" w:eastAsia="MS Gothic" w:cs="MS Gothic"/>
          <w:spacing w:val="-31"/>
          <w:position w:val="7"/>
          <w:sz w:val="17"/>
          <w:szCs w:val="17"/>
        </w:rPr>
        <w:t xml:space="preserve"> </w:t>
      </w:r>
      <w:r>
        <w:rPr>
          <w:rFonts w:ascii="MS Gothic" w:hAnsi="MS Gothic" w:eastAsia="MS Gothic" w:cs="MS Gothic"/>
          <w:spacing w:val="-10"/>
          <w:position w:val="7"/>
          <w:sz w:val="17"/>
          <w:szCs w:val="17"/>
        </w:rPr>
        <w:t>. (2021</w:t>
      </w:r>
      <w:r>
        <w:rPr>
          <w:rFonts w:ascii="MS Gothic" w:hAnsi="MS Gothic" w:eastAsia="MS Gothic" w:cs="MS Gothic"/>
          <w:spacing w:val="-50"/>
          <w:position w:val="7"/>
          <w:sz w:val="17"/>
          <w:szCs w:val="17"/>
        </w:rPr>
        <w:t xml:space="preserve"> </w:t>
      </w:r>
      <w:r>
        <w:rPr>
          <w:rFonts w:ascii="MS Gothic" w:hAnsi="MS Gothic" w:eastAsia="MS Gothic" w:cs="MS Gothic"/>
          <w:spacing w:val="-10"/>
          <w:position w:val="7"/>
          <w:sz w:val="17"/>
          <w:szCs w:val="17"/>
        </w:rPr>
        <w:t>⁃02⁃08) [2021</w:t>
      </w:r>
      <w:r>
        <w:rPr>
          <w:rFonts w:ascii="MS Gothic" w:hAnsi="MS Gothic" w:eastAsia="MS Gothic" w:cs="MS Gothic"/>
          <w:spacing w:val="-50"/>
          <w:position w:val="7"/>
          <w:sz w:val="17"/>
          <w:szCs w:val="17"/>
        </w:rPr>
        <w:t xml:space="preserve"> </w:t>
      </w:r>
      <w:r>
        <w:rPr>
          <w:rFonts w:ascii="MS Gothic" w:hAnsi="MS Gothic" w:eastAsia="MS Gothic" w:cs="MS Gothic"/>
          <w:spacing w:val="-10"/>
          <w:position w:val="7"/>
          <w:sz w:val="17"/>
          <w:szCs w:val="17"/>
        </w:rPr>
        <w:t>⁃04⁃16]</w:t>
      </w:r>
      <w:r>
        <w:rPr>
          <w:rFonts w:ascii="MS Gothic" w:hAnsi="MS Gothic" w:eastAsia="MS Gothic" w:cs="MS Gothic"/>
          <w:spacing w:val="-30"/>
          <w:position w:val="7"/>
          <w:sz w:val="17"/>
          <w:szCs w:val="17"/>
        </w:rPr>
        <w:t xml:space="preserve"> </w:t>
      </w:r>
      <w:r>
        <w:rPr>
          <w:rFonts w:ascii="MS Gothic" w:hAnsi="MS Gothic" w:eastAsia="MS Gothic" w:cs="MS Gothic"/>
          <w:spacing w:val="-10"/>
          <w:position w:val="7"/>
          <w:sz w:val="17"/>
          <w:szCs w:val="17"/>
        </w:rPr>
        <w:t>. htt</w:t>
      </w:r>
      <w:r>
        <w:rPr>
          <w:rFonts w:ascii="MS Gothic" w:hAnsi="MS Gothic" w:eastAsia="MS Gothic" w:cs="MS Gothic"/>
          <w:spacing w:val="-11"/>
          <w:position w:val="7"/>
          <w:sz w:val="17"/>
          <w:szCs w:val="17"/>
        </w:rPr>
        <w:t>p:</w:t>
      </w:r>
      <w:r>
        <w:rPr>
          <w:rFonts w:ascii="MS Gothic" w:hAnsi="MS Gothic" w:eastAsia="MS Gothic" w:cs="MS Gothic"/>
          <w:spacing w:val="-32"/>
          <w:position w:val="7"/>
          <w:sz w:val="17"/>
          <w:szCs w:val="17"/>
        </w:rPr>
        <w:t xml:space="preserve"> </w:t>
      </w:r>
      <w:r>
        <w:rPr>
          <w:rFonts w:ascii="MS Gothic" w:hAnsi="MS Gothic" w:eastAsia="MS Gothic" w:cs="MS Gothic"/>
          <w:spacing w:val="-11"/>
          <w:position w:val="7"/>
          <w:sz w:val="17"/>
          <w:szCs w:val="17"/>
        </w:rPr>
        <w:t>∥</w:t>
      </w:r>
    </w:p>
    <w:p>
      <w:pPr>
        <w:spacing w:before="249" w:line="194" w:lineRule="auto"/>
        <w:ind w:left="294"/>
        <w:rPr>
          <w:rFonts w:ascii="MS Gothic" w:hAnsi="MS Gothic" w:eastAsia="MS Gothic" w:cs="MS Gothic"/>
          <w:sz w:val="17"/>
          <w:szCs w:val="17"/>
        </w:rPr>
      </w:pPr>
      <w:r>
        <w:rPr>
          <w:rFonts w:ascii="MS Gothic" w:hAnsi="MS Gothic" w:eastAsia="MS Gothic" w:cs="MS Gothic"/>
          <w:spacing w:val="-12"/>
          <w:sz w:val="17"/>
          <w:szCs w:val="17"/>
        </w:rPr>
        <w:t>513001</w:t>
      </w:r>
      <w:r>
        <w:rPr>
          <w:rFonts w:ascii="MS Gothic" w:hAnsi="MS Gothic" w:eastAsia="MS Gothic" w:cs="MS Gothic"/>
          <w:spacing w:val="-46"/>
          <w:sz w:val="17"/>
          <w:szCs w:val="17"/>
        </w:rPr>
        <w:t xml:space="preserve"> </w:t>
      </w:r>
      <w:r>
        <w:rPr>
          <w:rFonts w:ascii="MS Gothic" w:hAnsi="MS Gothic" w:eastAsia="MS Gothic" w:cs="MS Gothic"/>
          <w:spacing w:val="-12"/>
          <w:sz w:val="17"/>
          <w:szCs w:val="17"/>
        </w:rPr>
        <w:t>.</w:t>
      </w:r>
      <w:r>
        <w:rPr>
          <w:rFonts w:ascii="MS Gothic" w:hAnsi="MS Gothic" w:eastAsia="MS Gothic" w:cs="MS Gothic"/>
          <w:spacing w:val="-24"/>
          <w:sz w:val="17"/>
          <w:szCs w:val="17"/>
        </w:rPr>
        <w:t xml:space="preserve"> </w:t>
      </w:r>
      <w:r>
        <w:rPr>
          <w:rFonts w:ascii="MS Gothic" w:hAnsi="MS Gothic" w:eastAsia="MS Gothic" w:cs="MS Gothic"/>
          <w:spacing w:val="-12"/>
          <w:sz w:val="17"/>
          <w:szCs w:val="17"/>
        </w:rPr>
        <w:t>html.</w:t>
      </w:r>
      <w:r>
        <w:rPr>
          <w:rFonts w:ascii="MS Gothic" w:hAnsi="MS Gothic" w:eastAsia="MS Gothic" w:cs="MS Gothic"/>
          <w:spacing w:val="-17"/>
          <w:sz w:val="17"/>
          <w:szCs w:val="17"/>
        </w:rPr>
        <w:t xml:space="preserve"> </w:t>
      </w:r>
      <w:r>
        <w:rPr>
          <w:rFonts w:ascii="MS Gothic" w:hAnsi="MS Gothic" w:eastAsia="MS Gothic" w:cs="MS Gothic"/>
          <w:spacing w:val="-12"/>
          <w:sz w:val="17"/>
          <w:szCs w:val="17"/>
        </w:rPr>
        <w:t>.</w:t>
      </w:r>
    </w:p>
    <w:p>
      <w:pPr>
        <w:spacing w:before="68" w:line="208" w:lineRule="auto"/>
        <w:ind w:left="22"/>
        <w:rPr>
          <w:rFonts w:ascii="微软雅黑" w:hAnsi="微软雅黑" w:eastAsia="微软雅黑" w:cs="微软雅黑"/>
          <w:sz w:val="17"/>
          <w:szCs w:val="17"/>
        </w:rPr>
      </w:pPr>
      <w:r>
        <w:rPr>
          <w:rFonts w:ascii="MS Gothic" w:hAnsi="MS Gothic" w:eastAsia="MS Gothic" w:cs="MS Gothic"/>
          <w:spacing w:val="1"/>
          <w:sz w:val="17"/>
          <w:szCs w:val="17"/>
        </w:rPr>
        <w:t>[2]</w:t>
      </w:r>
      <w:r>
        <w:rPr>
          <w:rFonts w:ascii="MS Gothic" w:hAnsi="MS Gothic" w:eastAsia="MS Gothic" w:cs="MS Gothic"/>
          <w:spacing w:val="-27"/>
          <w:sz w:val="17"/>
          <w:szCs w:val="17"/>
        </w:rPr>
        <w:t xml:space="preserve"> </w:t>
      </w:r>
      <w:r>
        <w:rPr>
          <w:rFonts w:ascii="微软雅黑" w:hAnsi="微软雅黑" w:eastAsia="微软雅黑" w:cs="微软雅黑"/>
          <w:spacing w:val="1"/>
          <w:sz w:val="17"/>
          <w:szCs w:val="17"/>
        </w:rPr>
        <w:t>方潜生</w:t>
      </w:r>
      <w:r>
        <w:rPr>
          <w:rFonts w:ascii="MS Gothic" w:hAnsi="MS Gothic" w:eastAsia="MS Gothic" w:cs="MS Gothic"/>
          <w:spacing w:val="1"/>
          <w:sz w:val="17"/>
          <w:szCs w:val="17"/>
        </w:rPr>
        <w:t>，</w:t>
      </w:r>
      <w:r>
        <w:rPr>
          <w:rFonts w:ascii="微软雅黑" w:hAnsi="微软雅黑" w:eastAsia="微软雅黑" w:cs="微软雅黑"/>
          <w:spacing w:val="1"/>
          <w:sz w:val="17"/>
          <w:szCs w:val="17"/>
        </w:rPr>
        <w:t>黄显怀</w:t>
      </w:r>
      <w:r>
        <w:rPr>
          <w:rFonts w:ascii="MS Gothic" w:hAnsi="MS Gothic" w:eastAsia="MS Gothic" w:cs="MS Gothic"/>
          <w:spacing w:val="1"/>
          <w:sz w:val="17"/>
          <w:szCs w:val="17"/>
        </w:rPr>
        <w:t>，</w:t>
      </w:r>
      <w:r>
        <w:rPr>
          <w:rFonts w:ascii="微软雅黑" w:hAnsi="微软雅黑" w:eastAsia="微软雅黑" w:cs="微软雅黑"/>
          <w:spacing w:val="1"/>
          <w:sz w:val="17"/>
          <w:szCs w:val="17"/>
        </w:rPr>
        <w:t>程家福</w:t>
      </w:r>
      <w:r>
        <w:rPr>
          <w:rFonts w:ascii="MS Gothic" w:hAnsi="MS Gothic" w:eastAsia="MS Gothic" w:cs="MS Gothic"/>
          <w:spacing w:val="1"/>
          <w:sz w:val="17"/>
          <w:szCs w:val="17"/>
        </w:rPr>
        <w:t>，</w:t>
      </w:r>
      <w:r>
        <w:rPr>
          <w:rFonts w:ascii="微软雅黑" w:hAnsi="微软雅黑" w:eastAsia="微软雅黑" w:cs="微软雅黑"/>
          <w:spacing w:val="1"/>
          <w:sz w:val="17"/>
          <w:szCs w:val="17"/>
        </w:rPr>
        <w:t>等</w:t>
      </w:r>
      <w:r>
        <w:rPr>
          <w:rFonts w:ascii="MS Gothic" w:hAnsi="MS Gothic" w:eastAsia="MS Gothic" w:cs="MS Gothic"/>
          <w:spacing w:val="1"/>
          <w:sz w:val="17"/>
          <w:szCs w:val="17"/>
        </w:rPr>
        <w:t>．</w:t>
      </w:r>
      <w:r>
        <w:rPr>
          <w:rFonts w:ascii="微软雅黑" w:hAnsi="微软雅黑" w:eastAsia="微软雅黑" w:cs="微软雅黑"/>
          <w:spacing w:val="1"/>
          <w:sz w:val="17"/>
          <w:szCs w:val="17"/>
        </w:rPr>
        <w:t>从审核评估看高校内部教</w:t>
      </w:r>
    </w:p>
    <w:p>
      <w:pPr>
        <w:spacing w:before="26" w:line="163" w:lineRule="auto"/>
        <w:ind w:left="319"/>
        <w:rPr>
          <w:rFonts w:ascii="MS Gothic" w:hAnsi="MS Gothic" w:eastAsia="MS Gothic" w:cs="MS Gothic"/>
          <w:sz w:val="17"/>
          <w:szCs w:val="17"/>
        </w:rPr>
      </w:pPr>
      <w:r>
        <w:rPr>
          <w:rFonts w:ascii="微软雅黑" w:hAnsi="微软雅黑" w:eastAsia="微软雅黑" w:cs="微软雅黑"/>
          <w:spacing w:val="1"/>
          <w:sz w:val="17"/>
          <w:szCs w:val="17"/>
        </w:rPr>
        <w:t>学质量保障体系的完善</w:t>
      </w:r>
      <w:r>
        <w:rPr>
          <w:rFonts w:ascii="MS Gothic" w:hAnsi="MS Gothic" w:eastAsia="MS Gothic" w:cs="MS Gothic"/>
          <w:spacing w:val="1"/>
          <w:sz w:val="17"/>
          <w:szCs w:val="17"/>
        </w:rPr>
        <w:t>[</w:t>
      </w:r>
      <w:r>
        <w:rPr>
          <w:rFonts w:ascii="MS Gothic" w:hAnsi="MS Gothic" w:eastAsia="MS Gothic" w:cs="MS Gothic"/>
          <w:spacing w:val="-38"/>
          <w:sz w:val="17"/>
          <w:szCs w:val="17"/>
        </w:rPr>
        <w:t xml:space="preserve"> </w:t>
      </w:r>
      <w:r>
        <w:rPr>
          <w:rFonts w:ascii="MS Gothic" w:hAnsi="MS Gothic" w:eastAsia="MS Gothic" w:cs="MS Gothic"/>
          <w:spacing w:val="1"/>
          <w:sz w:val="17"/>
          <w:szCs w:val="17"/>
        </w:rPr>
        <w:t>J]</w:t>
      </w:r>
      <w:r>
        <w:rPr>
          <w:rFonts w:ascii="MS Gothic" w:hAnsi="MS Gothic" w:eastAsia="MS Gothic" w:cs="MS Gothic"/>
          <w:spacing w:val="-31"/>
          <w:sz w:val="17"/>
          <w:szCs w:val="17"/>
        </w:rPr>
        <w:t xml:space="preserve"> </w:t>
      </w:r>
      <w:r>
        <w:rPr>
          <w:rFonts w:ascii="MS Gothic" w:hAnsi="MS Gothic" w:eastAsia="MS Gothic" w:cs="MS Gothic"/>
          <w:spacing w:val="1"/>
          <w:sz w:val="17"/>
          <w:szCs w:val="17"/>
        </w:rPr>
        <w:t xml:space="preserve">. </w:t>
      </w:r>
      <w:r>
        <w:rPr>
          <w:rFonts w:ascii="微软雅黑" w:hAnsi="微软雅黑" w:eastAsia="微软雅黑" w:cs="微软雅黑"/>
          <w:spacing w:val="1"/>
          <w:sz w:val="17"/>
          <w:szCs w:val="17"/>
        </w:rPr>
        <w:t>现代教育管理</w:t>
      </w:r>
      <w:r>
        <w:rPr>
          <w:rFonts w:ascii="MS Gothic" w:hAnsi="MS Gothic" w:eastAsia="MS Gothic" w:cs="MS Gothic"/>
          <w:spacing w:val="1"/>
          <w:sz w:val="17"/>
          <w:szCs w:val="17"/>
        </w:rPr>
        <w:t>，201</w:t>
      </w:r>
      <w:r>
        <w:rPr>
          <w:rFonts w:ascii="MS Gothic" w:hAnsi="MS Gothic" w:eastAsia="MS Gothic" w:cs="MS Gothic"/>
          <w:sz w:val="17"/>
          <w:szCs w:val="17"/>
        </w:rPr>
        <w:t>9</w:t>
      </w:r>
      <w:r>
        <w:rPr>
          <w:rFonts w:ascii="MS Gothic" w:hAnsi="MS Gothic" w:eastAsia="MS Gothic" w:cs="MS Gothic"/>
          <w:spacing w:val="-36"/>
          <w:sz w:val="17"/>
          <w:szCs w:val="17"/>
        </w:rPr>
        <w:t xml:space="preserve"> </w:t>
      </w:r>
      <w:r>
        <w:rPr>
          <w:rFonts w:ascii="MS Gothic" w:hAnsi="MS Gothic" w:eastAsia="MS Gothic" w:cs="MS Gothic"/>
          <w:sz w:val="17"/>
          <w:szCs w:val="17"/>
        </w:rPr>
        <w:t>(11)</w:t>
      </w:r>
      <w:r>
        <w:rPr>
          <w:rFonts w:ascii="MS Gothic" w:hAnsi="MS Gothic" w:eastAsia="MS Gothic" w:cs="MS Gothic"/>
          <w:spacing w:val="-15"/>
          <w:sz w:val="17"/>
          <w:szCs w:val="17"/>
        </w:rPr>
        <w:t xml:space="preserve"> </w:t>
      </w:r>
      <w:r>
        <w:rPr>
          <w:rFonts w:ascii="MS Gothic" w:hAnsi="MS Gothic" w:eastAsia="MS Gothic" w:cs="MS Gothic"/>
          <w:sz w:val="17"/>
          <w:szCs w:val="17"/>
        </w:rPr>
        <w:t>:</w:t>
      </w:r>
    </w:p>
    <w:p>
      <w:pPr>
        <w:spacing w:line="388" w:lineRule="exact"/>
        <w:ind w:left="294"/>
        <w:rPr>
          <w:rFonts w:ascii="MS Gothic" w:hAnsi="MS Gothic" w:eastAsia="MS Gothic" w:cs="MS Gothic"/>
          <w:sz w:val="17"/>
          <w:szCs w:val="17"/>
        </w:rPr>
      </w:pPr>
      <w:r>
        <w:rPr>
          <w:rFonts w:ascii="MS Gothic" w:hAnsi="MS Gothic" w:eastAsia="MS Gothic" w:cs="MS Gothic"/>
          <w:spacing w:val="-11"/>
          <w:position w:val="5"/>
          <w:sz w:val="17"/>
          <w:szCs w:val="17"/>
        </w:rPr>
        <w:t>57</w:t>
      </w:r>
      <w:r>
        <w:rPr>
          <w:rFonts w:ascii="MS Gothic" w:hAnsi="MS Gothic" w:eastAsia="MS Gothic" w:cs="MS Gothic"/>
          <w:spacing w:val="-59"/>
          <w:position w:val="5"/>
          <w:sz w:val="17"/>
          <w:szCs w:val="17"/>
        </w:rPr>
        <w:t xml:space="preserve"> </w:t>
      </w:r>
      <w:r>
        <w:rPr>
          <w:rFonts w:ascii="MS Gothic" w:hAnsi="MS Gothic" w:eastAsia="MS Gothic" w:cs="MS Gothic"/>
          <w:spacing w:val="-11"/>
          <w:position w:val="5"/>
          <w:sz w:val="17"/>
          <w:szCs w:val="17"/>
        </w:rPr>
        <w:t>⁃61</w:t>
      </w:r>
      <w:r>
        <w:rPr>
          <w:rFonts w:ascii="MS Gothic" w:hAnsi="MS Gothic" w:eastAsia="MS Gothic" w:cs="MS Gothic"/>
          <w:spacing w:val="-46"/>
          <w:position w:val="5"/>
          <w:sz w:val="17"/>
          <w:szCs w:val="17"/>
        </w:rPr>
        <w:t xml:space="preserve"> </w:t>
      </w:r>
      <w:r>
        <w:rPr>
          <w:rFonts w:ascii="MS Gothic" w:hAnsi="MS Gothic" w:eastAsia="MS Gothic" w:cs="MS Gothic"/>
          <w:spacing w:val="-11"/>
          <w:position w:val="5"/>
          <w:sz w:val="17"/>
          <w:szCs w:val="17"/>
        </w:rPr>
        <w:t>.</w:t>
      </w:r>
    </w:p>
    <w:p>
      <w:pPr>
        <w:spacing w:line="169" w:lineRule="exact"/>
        <w:ind w:left="22"/>
        <w:rPr>
          <w:rFonts w:ascii="MS Gothic" w:hAnsi="MS Gothic" w:eastAsia="MS Gothic" w:cs="MS Gothic"/>
          <w:sz w:val="17"/>
          <w:szCs w:val="17"/>
        </w:rPr>
      </w:pPr>
      <w:r>
        <w:rPr>
          <w:rFonts w:ascii="MS Gothic" w:hAnsi="MS Gothic" w:eastAsia="MS Gothic" w:cs="MS Gothic"/>
          <w:spacing w:val="4"/>
          <w:position w:val="-1"/>
          <w:sz w:val="17"/>
          <w:szCs w:val="17"/>
        </w:rPr>
        <w:t>[3]</w:t>
      </w:r>
      <w:r>
        <w:rPr>
          <w:rFonts w:ascii="MS Gothic" w:hAnsi="MS Gothic" w:eastAsia="MS Gothic" w:cs="MS Gothic"/>
          <w:spacing w:val="-32"/>
          <w:position w:val="-1"/>
          <w:sz w:val="17"/>
          <w:szCs w:val="17"/>
        </w:rPr>
        <w:t xml:space="preserve"> </w:t>
      </w:r>
      <w:r>
        <w:rPr>
          <w:rFonts w:ascii="微软雅黑" w:hAnsi="微软雅黑" w:eastAsia="微软雅黑" w:cs="微软雅黑"/>
          <w:spacing w:val="4"/>
          <w:position w:val="-1"/>
          <w:sz w:val="17"/>
          <w:szCs w:val="17"/>
        </w:rPr>
        <w:t>别敦荣</w:t>
      </w:r>
      <w:r>
        <w:rPr>
          <w:rFonts w:ascii="MS Gothic" w:hAnsi="MS Gothic" w:eastAsia="MS Gothic" w:cs="MS Gothic"/>
          <w:spacing w:val="4"/>
          <w:position w:val="-1"/>
          <w:sz w:val="17"/>
          <w:szCs w:val="17"/>
        </w:rPr>
        <w:t>，</w:t>
      </w:r>
      <w:r>
        <w:rPr>
          <w:rFonts w:ascii="微软雅黑" w:hAnsi="微软雅黑" w:eastAsia="微软雅黑" w:cs="微软雅黑"/>
          <w:spacing w:val="4"/>
          <w:position w:val="-1"/>
          <w:sz w:val="17"/>
          <w:szCs w:val="17"/>
        </w:rPr>
        <w:t>易梦春</w:t>
      </w:r>
      <w:r>
        <w:rPr>
          <w:rFonts w:ascii="MS Gothic" w:hAnsi="MS Gothic" w:eastAsia="MS Gothic" w:cs="MS Gothic"/>
          <w:spacing w:val="4"/>
          <w:position w:val="-1"/>
          <w:sz w:val="17"/>
          <w:szCs w:val="17"/>
        </w:rPr>
        <w:t>．</w:t>
      </w:r>
      <w:r>
        <w:rPr>
          <w:rFonts w:ascii="微软雅黑" w:hAnsi="微软雅黑" w:eastAsia="微软雅黑" w:cs="微软雅黑"/>
          <w:spacing w:val="4"/>
          <w:position w:val="-1"/>
          <w:sz w:val="17"/>
          <w:szCs w:val="17"/>
        </w:rPr>
        <w:t>高等教育质量文化及其建设策</w:t>
      </w:r>
      <w:r>
        <w:rPr>
          <w:rFonts w:ascii="微软雅黑" w:hAnsi="微软雅黑" w:eastAsia="微软雅黑" w:cs="微软雅黑"/>
          <w:spacing w:val="3"/>
          <w:position w:val="-1"/>
          <w:sz w:val="17"/>
          <w:szCs w:val="17"/>
        </w:rPr>
        <w:t>略</w:t>
      </w:r>
      <w:r>
        <w:rPr>
          <w:rFonts w:ascii="MS Gothic" w:hAnsi="MS Gothic" w:eastAsia="MS Gothic" w:cs="MS Gothic"/>
          <w:spacing w:val="3"/>
          <w:position w:val="-1"/>
          <w:sz w:val="17"/>
          <w:szCs w:val="17"/>
        </w:rPr>
        <w:t>[</w:t>
      </w:r>
      <w:r>
        <w:rPr>
          <w:rFonts w:ascii="MS Gothic" w:hAnsi="MS Gothic" w:eastAsia="MS Gothic" w:cs="MS Gothic"/>
          <w:spacing w:val="-36"/>
          <w:position w:val="-1"/>
          <w:sz w:val="17"/>
          <w:szCs w:val="17"/>
        </w:rPr>
        <w:t xml:space="preserve"> </w:t>
      </w:r>
      <w:r>
        <w:rPr>
          <w:rFonts w:ascii="MS Gothic" w:hAnsi="MS Gothic" w:eastAsia="MS Gothic" w:cs="MS Gothic"/>
          <w:spacing w:val="3"/>
          <w:position w:val="-1"/>
          <w:sz w:val="17"/>
          <w:szCs w:val="17"/>
        </w:rPr>
        <w:t>J]</w:t>
      </w:r>
      <w:r>
        <w:rPr>
          <w:rFonts w:ascii="MS Gothic" w:hAnsi="MS Gothic" w:eastAsia="MS Gothic" w:cs="MS Gothic"/>
          <w:spacing w:val="-31"/>
          <w:position w:val="-1"/>
          <w:sz w:val="17"/>
          <w:szCs w:val="17"/>
        </w:rPr>
        <w:t xml:space="preserve"> </w:t>
      </w:r>
      <w:r>
        <w:rPr>
          <w:rFonts w:ascii="MS Gothic" w:hAnsi="MS Gothic" w:eastAsia="MS Gothic" w:cs="MS Gothic"/>
          <w:spacing w:val="3"/>
          <w:position w:val="-1"/>
          <w:sz w:val="17"/>
          <w:szCs w:val="17"/>
        </w:rPr>
        <w:t>.</w:t>
      </w:r>
    </w:p>
    <w:p>
      <w:pPr>
        <w:spacing w:line="417" w:lineRule="exact"/>
        <w:ind w:left="314"/>
        <w:rPr>
          <w:rFonts w:ascii="MS Gothic" w:hAnsi="MS Gothic" w:eastAsia="MS Gothic" w:cs="MS Gothic"/>
          <w:sz w:val="17"/>
          <w:szCs w:val="17"/>
        </w:rPr>
      </w:pPr>
      <w:r>
        <w:pict>
          <v:shape id="_x0000_s1063" o:spid="_x0000_s1063" o:spt="202" type="#_x0000_t202" style="position:absolute;left:0pt;margin-left:0.1pt;margin-top:16.8pt;height:11.95pt;width:231.65pt;z-index:251717632;mso-width-relative:page;mso-height-relative:page;" filled="f" stroked="f" coordsize="21600,21600">
            <v:path/>
            <v:fill on="f" focussize="0,0"/>
            <v:stroke on="f"/>
            <v:imagedata o:title=""/>
            <o:lock v:ext="edit" aspectratio="f"/>
            <v:textbox inset="0mm,0mm,0mm,0mm">
              <w:txbxContent>
                <w:p>
                  <w:pPr>
                    <w:spacing w:before="20" w:line="163" w:lineRule="auto"/>
                    <w:ind w:left="20"/>
                    <w:rPr>
                      <w:rFonts w:ascii="微软雅黑" w:hAnsi="微软雅黑" w:eastAsia="微软雅黑" w:cs="微软雅黑"/>
                      <w:sz w:val="17"/>
                      <w:szCs w:val="17"/>
                    </w:rPr>
                  </w:pPr>
                  <w:r>
                    <w:rPr>
                      <w:rFonts w:ascii="MS Gothic" w:hAnsi="MS Gothic" w:eastAsia="MS Gothic" w:cs="MS Gothic"/>
                      <w:spacing w:val="7"/>
                      <w:sz w:val="17"/>
                      <w:szCs w:val="17"/>
                    </w:rPr>
                    <w:t>[4]</w:t>
                  </w:r>
                  <w:r>
                    <w:rPr>
                      <w:rFonts w:ascii="MS Gothic" w:hAnsi="MS Gothic" w:eastAsia="MS Gothic" w:cs="MS Gothic"/>
                      <w:spacing w:val="-18"/>
                      <w:sz w:val="17"/>
                      <w:szCs w:val="17"/>
                    </w:rPr>
                    <w:t xml:space="preserve"> </w:t>
                  </w:r>
                  <w:r>
                    <w:rPr>
                      <w:rFonts w:ascii="微软雅黑" w:hAnsi="微软雅黑" w:eastAsia="微软雅黑" w:cs="微软雅黑"/>
                      <w:spacing w:val="7"/>
                      <w:sz w:val="17"/>
                      <w:szCs w:val="17"/>
                    </w:rPr>
                    <w:t>戚业国</w:t>
                  </w:r>
                  <w:r>
                    <w:rPr>
                      <w:rFonts w:ascii="MS Gothic" w:hAnsi="MS Gothic" w:eastAsia="MS Gothic" w:cs="MS Gothic"/>
                      <w:spacing w:val="7"/>
                      <w:sz w:val="17"/>
                      <w:szCs w:val="17"/>
                    </w:rPr>
                    <w:t>，</w:t>
                  </w:r>
                  <w:r>
                    <w:rPr>
                      <w:rFonts w:ascii="微软雅黑" w:hAnsi="微软雅黑" w:eastAsia="微软雅黑" w:cs="微软雅黑"/>
                      <w:spacing w:val="7"/>
                      <w:sz w:val="17"/>
                      <w:szCs w:val="17"/>
                    </w:rPr>
                    <w:t>代蕊华</w:t>
                  </w:r>
                  <w:r>
                    <w:rPr>
                      <w:rFonts w:ascii="MS Gothic" w:hAnsi="MS Gothic" w:eastAsia="MS Gothic" w:cs="MS Gothic"/>
                      <w:spacing w:val="7"/>
                      <w:sz w:val="17"/>
                      <w:szCs w:val="17"/>
                    </w:rPr>
                    <w:t>．</w:t>
                  </w:r>
                  <w:r>
                    <w:rPr>
                      <w:rFonts w:ascii="微软雅黑" w:hAnsi="微软雅黑" w:eastAsia="微软雅黑" w:cs="微软雅黑"/>
                      <w:spacing w:val="7"/>
                      <w:sz w:val="17"/>
                      <w:szCs w:val="17"/>
                    </w:rPr>
                    <w:t>本科教学质量保障体系建设的思想与</w:t>
                  </w:r>
                </w:p>
              </w:txbxContent>
            </v:textbox>
          </v:shape>
        </w:pict>
      </w:r>
      <w:r>
        <w:rPr>
          <w:rFonts w:ascii="微软雅黑" w:hAnsi="微软雅黑" w:eastAsia="微软雅黑" w:cs="微软雅黑"/>
          <w:spacing w:val="-4"/>
          <w:position w:val="7"/>
          <w:sz w:val="17"/>
          <w:szCs w:val="17"/>
        </w:rPr>
        <w:t>高等教育研究</w:t>
      </w:r>
      <w:r>
        <w:rPr>
          <w:rFonts w:ascii="MS Gothic" w:hAnsi="MS Gothic" w:eastAsia="MS Gothic" w:cs="MS Gothic"/>
          <w:spacing w:val="-4"/>
          <w:position w:val="7"/>
          <w:sz w:val="17"/>
          <w:szCs w:val="17"/>
        </w:rPr>
        <w:t>，2021(3) :7⁃16.</w:t>
      </w:r>
    </w:p>
    <w:p>
      <w:pPr>
        <w:spacing w:before="137" w:line="418" w:lineRule="exact"/>
        <w:ind w:left="314"/>
        <w:rPr>
          <w:rFonts w:ascii="MS Gothic" w:hAnsi="MS Gothic" w:eastAsia="MS Gothic" w:cs="MS Gothic"/>
          <w:sz w:val="17"/>
          <w:szCs w:val="17"/>
        </w:rPr>
      </w:pPr>
      <w:r>
        <w:pict>
          <v:shape id="_x0000_s1064" o:spid="_x0000_s1064" o:spt="202" type="#_x0000_t202" style="position:absolute;left:0pt;margin-left:0.1pt;margin-top:23.7pt;height:11.95pt;width:231.65pt;z-index:251719680;mso-width-relative:page;mso-height-relative:page;" filled="f" stroked="f" coordsize="21600,21600">
            <v:path/>
            <v:fill on="f" focussize="0,0"/>
            <v:stroke on="f"/>
            <v:imagedata o:title=""/>
            <o:lock v:ext="edit" aspectratio="f"/>
            <v:textbox inset="0mm,0mm,0mm,0mm">
              <w:txbxContent>
                <w:p>
                  <w:pPr>
                    <w:spacing w:before="20" w:line="163" w:lineRule="auto"/>
                    <w:ind w:left="20"/>
                    <w:rPr>
                      <w:rFonts w:ascii="微软雅黑" w:hAnsi="微软雅黑" w:eastAsia="微软雅黑" w:cs="微软雅黑"/>
                      <w:sz w:val="17"/>
                      <w:szCs w:val="17"/>
                    </w:rPr>
                  </w:pPr>
                  <w:r>
                    <w:rPr>
                      <w:rFonts w:ascii="MS Gothic" w:hAnsi="MS Gothic" w:eastAsia="MS Gothic" w:cs="MS Gothic"/>
                      <w:sz w:val="17"/>
                      <w:szCs w:val="17"/>
                    </w:rPr>
                    <w:t>[5]</w:t>
                  </w:r>
                  <w:r>
                    <w:rPr>
                      <w:rFonts w:ascii="MS Gothic" w:hAnsi="MS Gothic" w:eastAsia="MS Gothic" w:cs="MS Gothic"/>
                      <w:spacing w:val="-15"/>
                      <w:sz w:val="17"/>
                      <w:szCs w:val="17"/>
                    </w:rPr>
                    <w:t xml:space="preserve"> </w:t>
                  </w:r>
                  <w:r>
                    <w:rPr>
                      <w:rFonts w:ascii="微软雅黑" w:hAnsi="微软雅黑" w:eastAsia="微软雅黑" w:cs="微软雅黑"/>
                      <w:sz w:val="17"/>
                      <w:szCs w:val="17"/>
                    </w:rPr>
                    <w:t>唐文</w:t>
                  </w:r>
                  <w:r>
                    <w:rPr>
                      <w:rFonts w:ascii="MS Gothic" w:hAnsi="MS Gothic" w:eastAsia="MS Gothic" w:cs="MS Gothic"/>
                      <w:sz w:val="17"/>
                      <w:szCs w:val="17"/>
                    </w:rPr>
                    <w:t>．</w:t>
                  </w:r>
                  <w:r>
                    <w:rPr>
                      <w:rFonts w:ascii="微软雅黑" w:hAnsi="微软雅黑" w:eastAsia="微软雅黑" w:cs="微软雅黑"/>
                      <w:sz w:val="17"/>
                      <w:szCs w:val="17"/>
                    </w:rPr>
                    <w:t>培育以学生为中心的高等教育质量文化</w:t>
                  </w:r>
                  <w:r>
                    <w:rPr>
                      <w:rFonts w:ascii="MS Gothic" w:hAnsi="MS Gothic" w:eastAsia="MS Gothic" w:cs="MS Gothic"/>
                      <w:sz w:val="17"/>
                      <w:szCs w:val="17"/>
                    </w:rPr>
                    <w:t>[</w:t>
                  </w:r>
                  <w:r>
                    <w:rPr>
                      <w:rFonts w:ascii="MS Gothic" w:hAnsi="MS Gothic" w:eastAsia="MS Gothic" w:cs="MS Gothic"/>
                      <w:spacing w:val="-38"/>
                      <w:sz w:val="17"/>
                      <w:szCs w:val="17"/>
                    </w:rPr>
                    <w:t xml:space="preserve"> </w:t>
                  </w:r>
                  <w:r>
                    <w:rPr>
                      <w:rFonts w:ascii="MS Gothic" w:hAnsi="MS Gothic" w:eastAsia="MS Gothic" w:cs="MS Gothic"/>
                      <w:sz w:val="17"/>
                      <w:szCs w:val="17"/>
                    </w:rPr>
                    <w:t>J]</w:t>
                  </w:r>
                  <w:r>
                    <w:rPr>
                      <w:rFonts w:ascii="MS Gothic" w:hAnsi="MS Gothic" w:eastAsia="MS Gothic" w:cs="MS Gothic"/>
                      <w:spacing w:val="-31"/>
                      <w:sz w:val="17"/>
                      <w:szCs w:val="17"/>
                    </w:rPr>
                    <w:t xml:space="preserve"> </w:t>
                  </w:r>
                  <w:r>
                    <w:rPr>
                      <w:rFonts w:ascii="MS Gothic" w:hAnsi="MS Gothic" w:eastAsia="MS Gothic" w:cs="MS Gothic"/>
                      <w:sz w:val="17"/>
                      <w:szCs w:val="17"/>
                    </w:rPr>
                    <w:t xml:space="preserve">. </w:t>
                  </w:r>
                  <w:r>
                    <w:rPr>
                      <w:rFonts w:ascii="微软雅黑" w:hAnsi="微软雅黑" w:eastAsia="微软雅黑" w:cs="微软雅黑"/>
                      <w:sz w:val="17"/>
                      <w:szCs w:val="17"/>
                    </w:rPr>
                    <w:t>江苏</w:t>
                  </w:r>
                </w:p>
              </w:txbxContent>
            </v:textbox>
          </v:shape>
        </w:pict>
      </w:r>
      <w:r>
        <w:rPr>
          <w:rFonts w:ascii="微软雅黑" w:hAnsi="微软雅黑" w:eastAsia="微软雅黑" w:cs="微软雅黑"/>
          <w:spacing w:val="-7"/>
          <w:position w:val="7"/>
          <w:sz w:val="17"/>
          <w:szCs w:val="17"/>
        </w:rPr>
        <w:t>方法</w:t>
      </w:r>
      <w:r>
        <w:rPr>
          <w:rFonts w:ascii="MS Gothic" w:hAnsi="MS Gothic" w:eastAsia="MS Gothic" w:cs="MS Gothic"/>
          <w:spacing w:val="-7"/>
          <w:position w:val="7"/>
          <w:sz w:val="17"/>
          <w:szCs w:val="17"/>
        </w:rPr>
        <w:t>[</w:t>
      </w:r>
      <w:r>
        <w:rPr>
          <w:rFonts w:ascii="MS Gothic" w:hAnsi="MS Gothic" w:eastAsia="MS Gothic" w:cs="MS Gothic"/>
          <w:spacing w:val="-26"/>
          <w:position w:val="7"/>
          <w:sz w:val="17"/>
          <w:szCs w:val="17"/>
        </w:rPr>
        <w:t xml:space="preserve"> </w:t>
      </w:r>
      <w:r>
        <w:rPr>
          <w:rFonts w:ascii="MS Gothic" w:hAnsi="MS Gothic" w:eastAsia="MS Gothic" w:cs="MS Gothic"/>
          <w:spacing w:val="-7"/>
          <w:position w:val="7"/>
          <w:sz w:val="17"/>
          <w:szCs w:val="17"/>
        </w:rPr>
        <w:t>J]</w:t>
      </w:r>
      <w:r>
        <w:rPr>
          <w:rFonts w:ascii="MS Gothic" w:hAnsi="MS Gothic" w:eastAsia="MS Gothic" w:cs="MS Gothic"/>
          <w:spacing w:val="-31"/>
          <w:position w:val="7"/>
          <w:sz w:val="17"/>
          <w:szCs w:val="17"/>
        </w:rPr>
        <w:t xml:space="preserve"> </w:t>
      </w:r>
      <w:r>
        <w:rPr>
          <w:rFonts w:ascii="MS Gothic" w:hAnsi="MS Gothic" w:eastAsia="MS Gothic" w:cs="MS Gothic"/>
          <w:spacing w:val="-7"/>
          <w:position w:val="7"/>
          <w:sz w:val="17"/>
          <w:szCs w:val="17"/>
        </w:rPr>
        <w:t>.</w:t>
      </w:r>
      <w:r>
        <w:rPr>
          <w:rFonts w:ascii="MS Gothic" w:hAnsi="MS Gothic" w:eastAsia="MS Gothic" w:cs="MS Gothic"/>
          <w:spacing w:val="-20"/>
          <w:position w:val="7"/>
          <w:sz w:val="17"/>
          <w:szCs w:val="17"/>
        </w:rPr>
        <w:t xml:space="preserve"> </w:t>
      </w:r>
      <w:r>
        <w:rPr>
          <w:rFonts w:ascii="微软雅黑" w:hAnsi="微软雅黑" w:eastAsia="微软雅黑" w:cs="微软雅黑"/>
          <w:spacing w:val="-7"/>
          <w:position w:val="7"/>
          <w:sz w:val="17"/>
          <w:szCs w:val="17"/>
        </w:rPr>
        <w:t>教师教育研究</w:t>
      </w:r>
      <w:r>
        <w:rPr>
          <w:rFonts w:ascii="MS Gothic" w:hAnsi="MS Gothic" w:eastAsia="MS Gothic" w:cs="MS Gothic"/>
          <w:spacing w:val="-7"/>
          <w:position w:val="7"/>
          <w:sz w:val="17"/>
          <w:szCs w:val="17"/>
        </w:rPr>
        <w:t>，2007(2) :6⁃12.</w:t>
      </w:r>
    </w:p>
    <w:p>
      <w:pPr>
        <w:spacing w:before="137" w:line="389" w:lineRule="exact"/>
        <w:ind w:left="314"/>
        <w:rPr>
          <w:rFonts w:ascii="MS Gothic" w:hAnsi="MS Gothic" w:eastAsia="MS Gothic" w:cs="MS Gothic"/>
          <w:sz w:val="17"/>
          <w:szCs w:val="17"/>
        </w:rPr>
      </w:pPr>
      <w:r>
        <w:rPr>
          <w:rFonts w:ascii="微软雅黑" w:hAnsi="微软雅黑" w:eastAsia="微软雅黑" w:cs="微软雅黑"/>
          <w:spacing w:val="-6"/>
          <w:position w:val="6"/>
          <w:sz w:val="17"/>
          <w:szCs w:val="17"/>
        </w:rPr>
        <w:t>高教</w:t>
      </w:r>
      <w:r>
        <w:rPr>
          <w:rFonts w:ascii="MS Gothic" w:hAnsi="MS Gothic" w:eastAsia="MS Gothic" w:cs="MS Gothic"/>
          <w:spacing w:val="-6"/>
          <w:position w:val="6"/>
          <w:sz w:val="17"/>
          <w:szCs w:val="17"/>
        </w:rPr>
        <w:t>，2009(6) :50⁃52.</w:t>
      </w:r>
    </w:p>
    <w:p>
      <w:pPr>
        <w:spacing w:line="169" w:lineRule="exact"/>
        <w:ind w:left="22"/>
        <w:rPr>
          <w:rFonts w:ascii="微软雅黑" w:hAnsi="微软雅黑" w:eastAsia="微软雅黑" w:cs="微软雅黑"/>
          <w:sz w:val="17"/>
          <w:szCs w:val="17"/>
        </w:rPr>
      </w:pPr>
      <w:r>
        <w:rPr>
          <w:rFonts w:ascii="MS Gothic" w:hAnsi="MS Gothic" w:eastAsia="MS Gothic" w:cs="MS Gothic"/>
          <w:spacing w:val="-1"/>
          <w:position w:val="-1"/>
          <w:sz w:val="17"/>
          <w:szCs w:val="17"/>
        </w:rPr>
        <w:t xml:space="preserve">[6] </w:t>
      </w:r>
      <w:r>
        <w:rPr>
          <w:rFonts w:ascii="微软雅黑" w:hAnsi="微软雅黑" w:eastAsia="微软雅黑" w:cs="微软雅黑"/>
          <w:spacing w:val="-1"/>
          <w:position w:val="-1"/>
          <w:sz w:val="17"/>
          <w:szCs w:val="17"/>
        </w:rPr>
        <w:t>白菁</w:t>
      </w:r>
      <w:r>
        <w:rPr>
          <w:rFonts w:ascii="MS Gothic" w:hAnsi="MS Gothic" w:eastAsia="MS Gothic" w:cs="MS Gothic"/>
          <w:spacing w:val="-1"/>
          <w:position w:val="-1"/>
          <w:sz w:val="17"/>
          <w:szCs w:val="17"/>
        </w:rPr>
        <w:t>，</w:t>
      </w:r>
      <w:r>
        <w:rPr>
          <w:rFonts w:ascii="微软雅黑" w:hAnsi="微软雅黑" w:eastAsia="微软雅黑" w:cs="微软雅黑"/>
          <w:spacing w:val="-1"/>
          <w:position w:val="-1"/>
          <w:sz w:val="17"/>
          <w:szCs w:val="17"/>
        </w:rPr>
        <w:t>甄真</w:t>
      </w:r>
      <w:r>
        <w:rPr>
          <w:rFonts w:ascii="MS Gothic" w:hAnsi="MS Gothic" w:eastAsia="MS Gothic" w:cs="MS Gothic"/>
          <w:spacing w:val="-1"/>
          <w:position w:val="-1"/>
          <w:sz w:val="17"/>
          <w:szCs w:val="17"/>
        </w:rPr>
        <w:t>．</w:t>
      </w:r>
      <w:r>
        <w:rPr>
          <w:rFonts w:ascii="微软雅黑" w:hAnsi="微软雅黑" w:eastAsia="微软雅黑" w:cs="微软雅黑"/>
          <w:spacing w:val="-1"/>
          <w:position w:val="-1"/>
          <w:sz w:val="17"/>
          <w:szCs w:val="17"/>
        </w:rPr>
        <w:t>审核评估对高校自我评估的新启示</w:t>
      </w:r>
      <w:r>
        <w:rPr>
          <w:rFonts w:ascii="MS Gothic" w:hAnsi="MS Gothic" w:eastAsia="MS Gothic" w:cs="MS Gothic"/>
          <w:spacing w:val="-1"/>
          <w:position w:val="-1"/>
          <w:sz w:val="17"/>
          <w:szCs w:val="17"/>
        </w:rPr>
        <w:t>[</w:t>
      </w:r>
      <w:r>
        <w:rPr>
          <w:rFonts w:ascii="MS Gothic" w:hAnsi="MS Gothic" w:eastAsia="MS Gothic" w:cs="MS Gothic"/>
          <w:spacing w:val="-20"/>
          <w:position w:val="-1"/>
          <w:sz w:val="17"/>
          <w:szCs w:val="17"/>
        </w:rPr>
        <w:t xml:space="preserve"> </w:t>
      </w:r>
      <w:r>
        <w:rPr>
          <w:rFonts w:ascii="MS Gothic" w:hAnsi="MS Gothic" w:eastAsia="MS Gothic" w:cs="MS Gothic"/>
          <w:spacing w:val="-1"/>
          <w:position w:val="-1"/>
          <w:sz w:val="17"/>
          <w:szCs w:val="17"/>
        </w:rPr>
        <w:t>J]</w:t>
      </w:r>
      <w:r>
        <w:rPr>
          <w:rFonts w:ascii="MS Gothic" w:hAnsi="MS Gothic" w:eastAsia="MS Gothic" w:cs="MS Gothic"/>
          <w:spacing w:val="-31"/>
          <w:position w:val="-1"/>
          <w:sz w:val="17"/>
          <w:szCs w:val="17"/>
        </w:rPr>
        <w:t xml:space="preserve"> </w:t>
      </w:r>
      <w:r>
        <w:rPr>
          <w:rFonts w:ascii="MS Gothic" w:hAnsi="MS Gothic" w:eastAsia="MS Gothic" w:cs="MS Gothic"/>
          <w:spacing w:val="-1"/>
          <w:position w:val="-1"/>
          <w:sz w:val="17"/>
          <w:szCs w:val="17"/>
        </w:rPr>
        <w:t xml:space="preserve">. </w:t>
      </w:r>
      <w:r>
        <w:rPr>
          <w:rFonts w:ascii="微软雅黑" w:hAnsi="微软雅黑" w:eastAsia="微软雅黑" w:cs="微软雅黑"/>
          <w:spacing w:val="-1"/>
          <w:position w:val="-1"/>
          <w:sz w:val="17"/>
          <w:szCs w:val="17"/>
        </w:rPr>
        <w:t>教</w:t>
      </w:r>
    </w:p>
    <w:p>
      <w:pPr>
        <w:spacing w:line="417" w:lineRule="exact"/>
        <w:ind w:left="313"/>
        <w:rPr>
          <w:rFonts w:ascii="MS Gothic" w:hAnsi="MS Gothic" w:eastAsia="MS Gothic" w:cs="MS Gothic"/>
          <w:sz w:val="17"/>
          <w:szCs w:val="17"/>
        </w:rPr>
      </w:pPr>
      <w:r>
        <w:pict>
          <v:shape id="_x0000_s1065" o:spid="_x0000_s1065" o:spt="202" type="#_x0000_t202" style="position:absolute;left:0pt;margin-left:0.1pt;margin-top:16.8pt;height:11.95pt;width:231.85pt;z-index:251716608;mso-width-relative:page;mso-height-relative:page;" filled="f" stroked="f" coordsize="21600,21600">
            <v:path/>
            <v:fill on="f" focussize="0,0"/>
            <v:stroke on="f"/>
            <v:imagedata o:title=""/>
            <o:lock v:ext="edit" aspectratio="f"/>
            <v:textbox inset="0mm,0mm,0mm,0mm">
              <w:txbxContent>
                <w:p>
                  <w:pPr>
                    <w:spacing w:before="20" w:line="163" w:lineRule="auto"/>
                    <w:ind w:left="20"/>
                    <w:rPr>
                      <w:rFonts w:ascii="微软雅黑" w:hAnsi="微软雅黑" w:eastAsia="微软雅黑" w:cs="微软雅黑"/>
                      <w:sz w:val="17"/>
                      <w:szCs w:val="17"/>
                    </w:rPr>
                  </w:pPr>
                  <w:r>
                    <w:rPr>
                      <w:rFonts w:ascii="MS Gothic" w:hAnsi="MS Gothic" w:eastAsia="MS Gothic" w:cs="MS Gothic"/>
                      <w:spacing w:val="1"/>
                      <w:sz w:val="17"/>
                      <w:szCs w:val="17"/>
                    </w:rPr>
                    <w:t>[7]</w:t>
                  </w:r>
                  <w:r>
                    <w:rPr>
                      <w:rFonts w:ascii="MS Gothic" w:hAnsi="MS Gothic" w:eastAsia="MS Gothic" w:cs="MS Gothic"/>
                      <w:spacing w:val="-23"/>
                      <w:sz w:val="17"/>
                      <w:szCs w:val="17"/>
                    </w:rPr>
                    <w:t xml:space="preserve"> </w:t>
                  </w:r>
                  <w:r>
                    <w:rPr>
                      <w:rFonts w:ascii="微软雅黑" w:hAnsi="微软雅黑" w:eastAsia="微软雅黑" w:cs="微软雅黑"/>
                      <w:spacing w:val="1"/>
                      <w:sz w:val="17"/>
                      <w:szCs w:val="17"/>
                    </w:rPr>
                    <w:t>尹者金</w:t>
                  </w:r>
                  <w:r>
                    <w:rPr>
                      <w:rFonts w:ascii="MS Gothic" w:hAnsi="MS Gothic" w:eastAsia="MS Gothic" w:cs="MS Gothic"/>
                      <w:spacing w:val="1"/>
                      <w:sz w:val="17"/>
                      <w:szCs w:val="17"/>
                    </w:rPr>
                    <w:t>，</w:t>
                  </w:r>
                  <w:r>
                    <w:rPr>
                      <w:rFonts w:ascii="微软雅黑" w:hAnsi="微软雅黑" w:eastAsia="微软雅黑" w:cs="微软雅黑"/>
                      <w:spacing w:val="1"/>
                      <w:sz w:val="17"/>
                      <w:szCs w:val="17"/>
                    </w:rPr>
                    <w:t>潘成云</w:t>
                  </w:r>
                  <w:r>
                    <w:rPr>
                      <w:rFonts w:ascii="MS Gothic" w:hAnsi="MS Gothic" w:eastAsia="MS Gothic" w:cs="MS Gothic"/>
                      <w:spacing w:val="1"/>
                      <w:sz w:val="17"/>
                      <w:szCs w:val="17"/>
                    </w:rPr>
                    <w:t>．</w:t>
                  </w:r>
                  <w:r>
                    <w:rPr>
                      <w:rFonts w:ascii="微软雅黑" w:hAnsi="微软雅黑" w:eastAsia="微软雅黑" w:cs="微软雅黑"/>
                      <w:spacing w:val="1"/>
                      <w:sz w:val="17"/>
                      <w:szCs w:val="17"/>
                    </w:rPr>
                    <w:t>一流本科教育视域中地方高校大学质量</w:t>
                  </w:r>
                </w:p>
              </w:txbxContent>
            </v:textbox>
          </v:shape>
        </w:pict>
      </w:r>
      <w:r>
        <w:rPr>
          <w:rFonts w:ascii="微软雅黑" w:hAnsi="微软雅黑" w:eastAsia="微软雅黑" w:cs="微软雅黑"/>
          <w:spacing w:val="-4"/>
          <w:position w:val="7"/>
          <w:sz w:val="17"/>
          <w:szCs w:val="17"/>
        </w:rPr>
        <w:t>育教学论坛</w:t>
      </w:r>
      <w:r>
        <w:rPr>
          <w:rFonts w:ascii="MS Gothic" w:hAnsi="MS Gothic" w:eastAsia="MS Gothic" w:cs="MS Gothic"/>
          <w:spacing w:val="-4"/>
          <w:position w:val="7"/>
          <w:sz w:val="17"/>
          <w:szCs w:val="17"/>
        </w:rPr>
        <w:t>，2020(13) :82⁃83.</w:t>
      </w:r>
    </w:p>
    <w:p>
      <w:pPr>
        <w:spacing w:before="137" w:line="418" w:lineRule="exact"/>
        <w:ind w:left="316"/>
        <w:rPr>
          <w:rFonts w:ascii="MS Gothic" w:hAnsi="MS Gothic" w:eastAsia="MS Gothic" w:cs="MS Gothic"/>
          <w:sz w:val="17"/>
          <w:szCs w:val="17"/>
        </w:rPr>
      </w:pPr>
      <w:r>
        <w:rPr>
          <w:rFonts w:ascii="微软雅黑" w:hAnsi="微软雅黑" w:eastAsia="微软雅黑" w:cs="微软雅黑"/>
          <w:spacing w:val="-7"/>
          <w:position w:val="7"/>
          <w:sz w:val="17"/>
          <w:szCs w:val="17"/>
        </w:rPr>
        <w:t>文化建设探究</w:t>
      </w:r>
      <w:r>
        <w:rPr>
          <w:rFonts w:ascii="MS Gothic" w:hAnsi="MS Gothic" w:eastAsia="MS Gothic" w:cs="MS Gothic"/>
          <w:spacing w:val="-7"/>
          <w:position w:val="7"/>
          <w:sz w:val="17"/>
          <w:szCs w:val="17"/>
        </w:rPr>
        <w:t>[J]</w:t>
      </w:r>
      <w:r>
        <w:rPr>
          <w:rFonts w:ascii="MS Gothic" w:hAnsi="MS Gothic" w:eastAsia="MS Gothic" w:cs="MS Gothic"/>
          <w:spacing w:val="-34"/>
          <w:position w:val="7"/>
          <w:sz w:val="17"/>
          <w:szCs w:val="17"/>
        </w:rPr>
        <w:t xml:space="preserve"> </w:t>
      </w:r>
      <w:r>
        <w:rPr>
          <w:rFonts w:ascii="MS Gothic" w:hAnsi="MS Gothic" w:eastAsia="MS Gothic" w:cs="MS Gothic"/>
          <w:spacing w:val="-7"/>
          <w:position w:val="7"/>
          <w:sz w:val="17"/>
          <w:szCs w:val="17"/>
        </w:rPr>
        <w:t xml:space="preserve">. </w:t>
      </w:r>
      <w:r>
        <w:rPr>
          <w:rFonts w:ascii="微软雅黑" w:hAnsi="微软雅黑" w:eastAsia="微软雅黑" w:cs="微软雅黑"/>
          <w:spacing w:val="-7"/>
          <w:position w:val="7"/>
          <w:sz w:val="17"/>
          <w:szCs w:val="17"/>
        </w:rPr>
        <w:t>黑龙江高教研究</w:t>
      </w:r>
      <w:r>
        <w:rPr>
          <w:rFonts w:ascii="MS Gothic" w:hAnsi="MS Gothic" w:eastAsia="MS Gothic" w:cs="MS Gothic"/>
          <w:spacing w:val="-7"/>
          <w:position w:val="7"/>
          <w:sz w:val="17"/>
          <w:szCs w:val="17"/>
        </w:rPr>
        <w:t>，2018</w:t>
      </w:r>
      <w:r>
        <w:rPr>
          <w:rFonts w:ascii="MS Gothic" w:hAnsi="MS Gothic" w:eastAsia="MS Gothic" w:cs="MS Gothic"/>
          <w:spacing w:val="-41"/>
          <w:position w:val="7"/>
          <w:sz w:val="17"/>
          <w:szCs w:val="17"/>
        </w:rPr>
        <w:t xml:space="preserve"> </w:t>
      </w:r>
      <w:r>
        <w:rPr>
          <w:rFonts w:ascii="MS Gothic" w:hAnsi="MS Gothic" w:eastAsia="MS Gothic" w:cs="MS Gothic"/>
          <w:spacing w:val="-7"/>
          <w:position w:val="7"/>
          <w:sz w:val="17"/>
          <w:szCs w:val="17"/>
        </w:rPr>
        <w:t>,36(12)</w:t>
      </w:r>
      <w:r>
        <w:rPr>
          <w:rFonts w:ascii="MS Gothic" w:hAnsi="MS Gothic" w:eastAsia="MS Gothic" w:cs="MS Gothic"/>
          <w:spacing w:val="-19"/>
          <w:position w:val="7"/>
          <w:sz w:val="17"/>
          <w:szCs w:val="17"/>
        </w:rPr>
        <w:t xml:space="preserve"> </w:t>
      </w:r>
      <w:r>
        <w:rPr>
          <w:rFonts w:ascii="MS Gothic" w:hAnsi="MS Gothic" w:eastAsia="MS Gothic" w:cs="MS Gothic"/>
          <w:spacing w:val="-7"/>
          <w:position w:val="7"/>
          <w:sz w:val="17"/>
          <w:szCs w:val="17"/>
        </w:rPr>
        <w:t>:49⁃52.</w:t>
      </w:r>
    </w:p>
    <w:p>
      <w:pPr>
        <w:spacing w:before="223" w:line="158" w:lineRule="auto"/>
        <w:ind w:right="17"/>
        <w:jc w:val="right"/>
        <w:rPr>
          <w:rFonts w:ascii="MS Gothic" w:hAnsi="MS Gothic" w:eastAsia="MS Gothic" w:cs="MS Gothic"/>
          <w:sz w:val="17"/>
          <w:szCs w:val="17"/>
        </w:rPr>
      </w:pPr>
      <w:r>
        <w:rPr>
          <w:rFonts w:ascii="MS Gothic" w:hAnsi="MS Gothic" w:eastAsia="MS Gothic" w:cs="MS Gothic"/>
          <w:spacing w:val="-3"/>
          <w:sz w:val="17"/>
          <w:szCs w:val="17"/>
        </w:rPr>
        <w:t>［</w:t>
      </w:r>
      <w:r>
        <w:rPr>
          <w:rFonts w:ascii="MS Gothic" w:hAnsi="MS Gothic" w:eastAsia="MS Gothic" w:cs="MS Gothic"/>
          <w:spacing w:val="-47"/>
          <w:sz w:val="17"/>
          <w:szCs w:val="17"/>
        </w:rPr>
        <w:t xml:space="preserve"> </w:t>
      </w:r>
      <w:r>
        <w:rPr>
          <w:rFonts w:ascii="黑体" w:hAnsi="黑体" w:eastAsia="黑体" w:cs="黑体"/>
          <w:spacing w:val="-3"/>
          <w:sz w:val="17"/>
          <w:szCs w:val="17"/>
        </w:rPr>
        <w:t>责任编辑</w:t>
      </w:r>
      <w:r>
        <w:rPr>
          <w:rFonts w:ascii="黑体" w:hAnsi="黑体" w:eastAsia="黑体" w:cs="黑体"/>
          <w:spacing w:val="21"/>
          <w:sz w:val="17"/>
          <w:szCs w:val="17"/>
        </w:rPr>
        <w:t xml:space="preserve">  </w:t>
      </w:r>
      <w:r>
        <w:rPr>
          <w:rFonts w:ascii="微软雅黑" w:hAnsi="微软雅黑" w:eastAsia="微软雅黑" w:cs="微软雅黑"/>
          <w:spacing w:val="-3"/>
          <w:sz w:val="17"/>
          <w:szCs w:val="17"/>
        </w:rPr>
        <w:t>乡    下</w:t>
      </w:r>
      <w:r>
        <w:rPr>
          <w:rFonts w:ascii="MS Gothic" w:hAnsi="MS Gothic" w:eastAsia="MS Gothic" w:cs="MS Gothic"/>
          <w:spacing w:val="-3"/>
          <w:sz w:val="17"/>
          <w:szCs w:val="17"/>
        </w:rPr>
        <w:t>］</w:t>
      </w:r>
    </w:p>
    <w:p>
      <w:pPr>
        <w:spacing w:line="158" w:lineRule="auto"/>
        <w:rPr>
          <w:rFonts w:ascii="MS Gothic" w:hAnsi="MS Gothic" w:eastAsia="MS Gothic" w:cs="MS Gothic"/>
          <w:sz w:val="17"/>
          <w:szCs w:val="17"/>
        </w:rPr>
        <w:sectPr>
          <w:type w:val="continuous"/>
          <w:pgSz w:w="11906" w:h="16838"/>
          <w:pgMar w:top="400" w:right="1055" w:bottom="547" w:left="407" w:header="0" w:footer="354" w:gutter="0"/>
          <w:cols w:equalWidth="0" w:num="2">
            <w:col w:w="5647" w:space="100"/>
            <w:col w:w="4696"/>
          </w:cols>
        </w:sectPr>
      </w:pPr>
    </w:p>
    <w:p>
      <w:pPr>
        <w:spacing w:before="303" w:line="145" w:lineRule="exact"/>
        <w:ind w:left="914"/>
        <w:rPr>
          <w:rFonts w:ascii="MS Gothic" w:hAnsi="MS Gothic" w:eastAsia="MS Gothic" w:cs="MS Gothic"/>
          <w:sz w:val="20"/>
          <w:szCs w:val="20"/>
        </w:rPr>
      </w:pPr>
      <w:r>
        <w:rPr>
          <w:rFonts w:ascii="MS Gothic" w:hAnsi="MS Gothic" w:eastAsia="MS Gothic" w:cs="MS Gothic"/>
          <w:spacing w:val="12"/>
          <w:position w:val="-3"/>
          <w:sz w:val="20"/>
          <w:szCs w:val="20"/>
        </w:rPr>
        <w:t>·94</w:t>
      </w:r>
      <w:r>
        <w:rPr>
          <w:rFonts w:ascii="MS Gothic" w:hAnsi="MS Gothic" w:eastAsia="MS Gothic" w:cs="MS Gothic"/>
          <w:spacing w:val="-9"/>
          <w:position w:val="-3"/>
          <w:sz w:val="20"/>
          <w:szCs w:val="20"/>
        </w:rPr>
        <w:t xml:space="preserve"> </w:t>
      </w:r>
      <w:r>
        <w:rPr>
          <w:rFonts w:ascii="MS Gothic" w:hAnsi="MS Gothic" w:eastAsia="MS Gothic" w:cs="MS Gothic"/>
          <w:spacing w:val="12"/>
          <w:position w:val="-3"/>
          <w:sz w:val="20"/>
          <w:szCs w:val="20"/>
        </w:rPr>
        <w:t>·</w:t>
      </w:r>
    </w:p>
    <w:p>
      <w:pPr>
        <w:spacing w:line="145" w:lineRule="exact"/>
        <w:rPr>
          <w:rFonts w:ascii="MS Gothic" w:hAnsi="MS Gothic" w:eastAsia="MS Gothic" w:cs="MS Gothic"/>
          <w:sz w:val="20"/>
          <w:szCs w:val="20"/>
        </w:rPr>
        <w:sectPr>
          <w:type w:val="continuous"/>
          <w:pgSz w:w="11906" w:h="16838"/>
          <w:pgMar w:top="400" w:right="1055" w:bottom="547" w:left="407" w:header="0" w:footer="354" w:gutter="0"/>
          <w:cols w:equalWidth="0" w:num="1">
            <w:col w:w="10443"/>
          </w:cols>
        </w:sectPr>
      </w:pPr>
    </w:p>
    <w:p>
      <w:pPr>
        <w:spacing w:before="251" w:line="189" w:lineRule="auto"/>
        <w:ind w:left="1255"/>
        <w:rPr>
          <w:rFonts w:ascii="Arial" w:hAnsi="Arial" w:eastAsia="Arial" w:cs="Arial"/>
          <w:sz w:val="16"/>
          <w:szCs w:val="16"/>
        </w:rPr>
      </w:pPr>
      <w:r>
        <w:pict>
          <v:shape id="_x0000_s1066" o:spid="_x0000_s1066" style="position:absolute;left:0pt;margin-left:63.3pt;margin-top:716pt;height:0.35pt;width:120.5pt;mso-position-horizontal-relative:page;mso-position-vertical-relative:page;z-index:251720704;mso-width-relative:page;mso-height-relative:page;" filled="f" stroked="t" coordsize="2410,6" o:allowincell="f" path="m0,3l2410,3e">
            <v:fill on="f" focussize="0,0"/>
            <v:stroke weight="0.33pt" color="#000000" miterlimit="10" joinstyle="miter"/>
            <v:imagedata o:title=""/>
            <o:lock v:ext="edit"/>
          </v:shape>
        </w:pict>
      </w:r>
      <w:r>
        <w:rPr>
          <w:rFonts w:ascii="Arial" w:hAnsi="Arial" w:eastAsia="Arial" w:cs="Arial"/>
          <w:spacing w:val="3"/>
          <w:sz w:val="16"/>
          <w:szCs w:val="16"/>
        </w:rPr>
        <w:t>2018</w:t>
      </w:r>
      <w:r>
        <w:rPr>
          <w:rFonts w:ascii="宋体" w:hAnsi="宋体" w:eastAsia="宋体" w:cs="宋体"/>
          <w:spacing w:val="3"/>
          <w:sz w:val="16"/>
          <w:szCs w:val="16"/>
        </w:rPr>
        <w:t>年</w:t>
      </w:r>
      <w:r>
        <w:rPr>
          <w:rFonts w:ascii="宋体" w:hAnsi="宋体" w:eastAsia="宋体" w:cs="宋体"/>
          <w:spacing w:val="-15"/>
          <w:sz w:val="16"/>
          <w:szCs w:val="16"/>
        </w:rPr>
        <w:t xml:space="preserve"> </w:t>
      </w:r>
      <w:r>
        <w:rPr>
          <w:rFonts w:ascii="Arial" w:hAnsi="Arial" w:eastAsia="Arial" w:cs="Arial"/>
          <w:spacing w:val="3"/>
          <w:sz w:val="16"/>
          <w:szCs w:val="16"/>
        </w:rPr>
        <w:t>2</w:t>
      </w:r>
      <w:r>
        <w:rPr>
          <w:rFonts w:ascii="宋体" w:hAnsi="宋体" w:eastAsia="宋体" w:cs="宋体"/>
          <w:spacing w:val="3"/>
          <w:sz w:val="16"/>
          <w:szCs w:val="16"/>
        </w:rPr>
        <w:t xml:space="preserve">月                                    </w:t>
      </w:r>
      <w:r>
        <w:rPr>
          <w:rFonts w:ascii="黑体" w:hAnsi="黑体" w:eastAsia="黑体" w:cs="黑体"/>
          <w:spacing w:val="3"/>
          <w:sz w:val="16"/>
          <w:szCs w:val="16"/>
        </w:rPr>
        <w:t xml:space="preserve">高 等 教 育 研 究                                 </w:t>
      </w:r>
      <w:r>
        <w:rPr>
          <w:rFonts w:ascii="黑体" w:hAnsi="黑体" w:eastAsia="黑体" w:cs="黑体"/>
          <w:spacing w:val="2"/>
          <w:sz w:val="16"/>
          <w:szCs w:val="16"/>
        </w:rPr>
        <w:t xml:space="preserve">  </w:t>
      </w:r>
      <w:r>
        <w:rPr>
          <w:rFonts w:ascii="Arial" w:hAnsi="Arial" w:eastAsia="Arial" w:cs="Arial"/>
          <w:sz w:val="16"/>
          <w:szCs w:val="16"/>
        </w:rPr>
        <w:t>Feb</w:t>
      </w:r>
      <w:r>
        <w:rPr>
          <w:rFonts w:ascii="Arial" w:hAnsi="Arial" w:eastAsia="Arial" w:cs="Arial"/>
          <w:spacing w:val="2"/>
          <w:sz w:val="16"/>
          <w:szCs w:val="16"/>
        </w:rPr>
        <w:t>.</w:t>
      </w:r>
      <w:r>
        <w:rPr>
          <w:rFonts w:ascii="Arial" w:hAnsi="Arial" w:eastAsia="Arial" w:cs="Arial"/>
          <w:spacing w:val="8"/>
          <w:sz w:val="16"/>
          <w:szCs w:val="16"/>
        </w:rPr>
        <w:t xml:space="preserve"> </w:t>
      </w:r>
      <w:r>
        <w:rPr>
          <w:rFonts w:ascii="微软雅黑" w:hAnsi="微软雅黑" w:eastAsia="微软雅黑" w:cs="微软雅黑"/>
          <w:spacing w:val="2"/>
          <w:sz w:val="16"/>
          <w:szCs w:val="16"/>
        </w:rPr>
        <w:t>,</w:t>
      </w:r>
      <w:r>
        <w:rPr>
          <w:rFonts w:ascii="Arial" w:hAnsi="Arial" w:eastAsia="Arial" w:cs="Arial"/>
          <w:spacing w:val="2"/>
          <w:sz w:val="16"/>
          <w:szCs w:val="16"/>
        </w:rPr>
        <w:t>2018</w:t>
      </w:r>
    </w:p>
    <w:p>
      <w:pPr>
        <w:spacing w:before="31" w:line="203" w:lineRule="auto"/>
        <w:ind w:left="1052"/>
        <w:rPr>
          <w:rFonts w:ascii="Arial" w:hAnsi="Arial" w:eastAsia="Arial" w:cs="Arial"/>
          <w:sz w:val="16"/>
          <w:szCs w:val="16"/>
        </w:rPr>
      </w:pPr>
      <w:r>
        <w:rPr>
          <w:rFonts w:ascii="宋体" w:hAnsi="宋体" w:eastAsia="宋体" w:cs="宋体"/>
          <w:spacing w:val="11"/>
          <w:sz w:val="16"/>
          <w:szCs w:val="16"/>
        </w:rPr>
        <w:t>第</w:t>
      </w:r>
      <w:r>
        <w:rPr>
          <w:rFonts w:ascii="宋体" w:hAnsi="宋体" w:eastAsia="宋体" w:cs="宋体"/>
          <w:spacing w:val="-13"/>
          <w:sz w:val="16"/>
          <w:szCs w:val="16"/>
        </w:rPr>
        <w:t xml:space="preserve"> </w:t>
      </w:r>
      <w:r>
        <w:rPr>
          <w:rFonts w:ascii="Arial" w:hAnsi="Arial" w:eastAsia="Arial" w:cs="Arial"/>
          <w:spacing w:val="11"/>
          <w:sz w:val="16"/>
          <w:szCs w:val="16"/>
        </w:rPr>
        <w:t>39</w:t>
      </w:r>
      <w:r>
        <w:rPr>
          <w:rFonts w:ascii="宋体" w:hAnsi="宋体" w:eastAsia="宋体" w:cs="宋体"/>
          <w:spacing w:val="11"/>
          <w:sz w:val="16"/>
          <w:szCs w:val="16"/>
        </w:rPr>
        <w:t xml:space="preserve">卷  </w:t>
      </w:r>
      <w:r>
        <w:rPr>
          <w:rFonts w:ascii="宋体" w:hAnsi="宋体" w:eastAsia="宋体" w:cs="宋体"/>
          <w:spacing w:val="11"/>
          <w:position w:val="1"/>
          <w:sz w:val="16"/>
          <w:szCs w:val="16"/>
        </w:rPr>
        <w:t>第</w:t>
      </w:r>
      <w:r>
        <w:rPr>
          <w:rFonts w:ascii="宋体" w:hAnsi="宋体" w:eastAsia="宋体" w:cs="宋体"/>
          <w:spacing w:val="-15"/>
          <w:position w:val="1"/>
          <w:sz w:val="16"/>
          <w:szCs w:val="16"/>
        </w:rPr>
        <w:t xml:space="preserve"> </w:t>
      </w:r>
      <w:r>
        <w:rPr>
          <w:rFonts w:ascii="Arial" w:hAnsi="Arial" w:eastAsia="Arial" w:cs="Arial"/>
          <w:spacing w:val="11"/>
          <w:position w:val="1"/>
          <w:sz w:val="16"/>
          <w:szCs w:val="16"/>
        </w:rPr>
        <w:t>2</w:t>
      </w:r>
      <w:r>
        <w:rPr>
          <w:rFonts w:ascii="宋体" w:hAnsi="宋体" w:eastAsia="宋体" w:cs="宋体"/>
          <w:spacing w:val="11"/>
          <w:position w:val="1"/>
          <w:sz w:val="16"/>
          <w:szCs w:val="16"/>
        </w:rPr>
        <w:t>期</w:t>
      </w:r>
      <w:r>
        <w:rPr>
          <w:rFonts w:ascii="宋体" w:hAnsi="宋体" w:eastAsia="宋体" w:cs="宋体"/>
          <w:spacing w:val="2"/>
          <w:position w:val="1"/>
          <w:sz w:val="16"/>
          <w:szCs w:val="16"/>
        </w:rPr>
        <w:t xml:space="preserve">                        </w:t>
      </w:r>
      <w:r>
        <w:rPr>
          <w:rFonts w:ascii="宋体" w:hAnsi="宋体" w:eastAsia="宋体" w:cs="宋体"/>
          <w:spacing w:val="1"/>
          <w:position w:val="1"/>
          <w:sz w:val="16"/>
          <w:szCs w:val="16"/>
        </w:rPr>
        <w:t xml:space="preserve">     </w:t>
      </w:r>
      <w:r>
        <w:rPr>
          <w:rFonts w:ascii="Arial" w:hAnsi="Arial" w:eastAsia="Arial" w:cs="Arial"/>
          <w:spacing w:val="11"/>
          <w:sz w:val="16"/>
          <w:szCs w:val="16"/>
        </w:rPr>
        <w:t>JournalofHigherEd</w:t>
      </w:r>
      <w:r>
        <w:rPr>
          <w:rFonts w:ascii="Arial" w:hAnsi="Arial" w:eastAsia="Arial" w:cs="Arial"/>
          <w:spacing w:val="10"/>
          <w:sz w:val="16"/>
          <w:szCs w:val="16"/>
        </w:rPr>
        <w:t>ucation</w:t>
      </w:r>
      <w:r>
        <w:rPr>
          <w:rFonts w:ascii="Arial" w:hAnsi="Arial" w:eastAsia="Arial" w:cs="Arial"/>
          <w:sz w:val="16"/>
          <w:szCs w:val="16"/>
        </w:rPr>
        <w:t xml:space="preserve">                                                     </w:t>
      </w:r>
      <w:r>
        <w:rPr>
          <w:rFonts w:ascii="Arial" w:hAnsi="Arial" w:eastAsia="Arial" w:cs="Arial"/>
          <w:spacing w:val="10"/>
          <w:sz w:val="16"/>
          <w:szCs w:val="16"/>
        </w:rPr>
        <w:t>Vol.39    No.2</w:t>
      </w:r>
    </w:p>
    <w:p>
      <w:pPr>
        <w:spacing w:before="9" w:line="186" w:lineRule="exact"/>
        <w:jc w:val="right"/>
      </w:pPr>
      <w:r>
        <w:rPr>
          <w:position w:val="-4"/>
        </w:rPr>
        <w:drawing>
          <wp:inline distT="0" distB="0" distL="0" distR="0">
            <wp:extent cx="6118860" cy="11811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29"/>
                    <a:stretch>
                      <a:fillRect/>
                    </a:stretch>
                  </pic:blipFill>
                  <pic:spPr>
                    <a:xfrm>
                      <a:off x="0" y="0"/>
                      <a:ext cx="6119371" cy="118181"/>
                    </a:xfrm>
                    <a:prstGeom prst="rect">
                      <a:avLst/>
                    </a:prstGeom>
                  </pic:spPr>
                </pic:pic>
              </a:graphicData>
            </a:graphic>
          </wp:inline>
        </w:drawing>
      </w: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147" w:line="224" w:lineRule="auto"/>
        <w:ind w:left="4055" w:right="1480" w:hanging="1705"/>
        <w:rPr>
          <w:rFonts w:ascii="黑体" w:hAnsi="黑体" w:eastAsia="黑体" w:cs="黑体"/>
          <w:sz w:val="45"/>
          <w:szCs w:val="45"/>
        </w:rPr>
      </w:pPr>
      <w:r>
        <w:rPr>
          <w:rFonts w:ascii="黑体" w:hAnsi="黑体" w:eastAsia="黑体" w:cs="黑体"/>
          <w:spacing w:val="26"/>
          <w:sz w:val="45"/>
          <w:szCs w:val="45"/>
        </w:rPr>
        <w:t>挪威推进高等教育质量文化建设</w:t>
      </w:r>
      <w:r>
        <w:rPr>
          <w:rFonts w:ascii="黑体" w:hAnsi="黑体" w:eastAsia="黑体" w:cs="黑体"/>
          <w:sz w:val="45"/>
          <w:szCs w:val="45"/>
        </w:rPr>
        <w:t xml:space="preserve"> </w:t>
      </w:r>
      <w:r>
        <w:rPr>
          <w:rFonts w:ascii="黑体" w:hAnsi="黑体" w:eastAsia="黑体" w:cs="黑体"/>
          <w:spacing w:val="18"/>
          <w:sz w:val="45"/>
          <w:szCs w:val="45"/>
        </w:rPr>
        <w:t>的举措及其启示</w: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111" w:line="180" w:lineRule="auto"/>
        <w:ind w:left="4153"/>
        <w:rPr>
          <w:rFonts w:ascii="新宋体" w:hAnsi="新宋体" w:eastAsia="新宋体" w:cs="新宋体"/>
          <w:sz w:val="26"/>
          <w:szCs w:val="26"/>
        </w:rPr>
      </w:pPr>
      <w:r>
        <w:rPr>
          <w:rFonts w:ascii="新宋体" w:hAnsi="新宋体" w:eastAsia="新宋体" w:cs="新宋体"/>
          <w:spacing w:val="6"/>
          <w:sz w:val="26"/>
          <w:szCs w:val="26"/>
        </w:rPr>
        <w:t>冯惠敏</w:t>
      </w:r>
      <w:r>
        <w:rPr>
          <w:rFonts w:ascii="微软雅黑" w:hAnsi="微软雅黑" w:eastAsia="微软雅黑" w:cs="微软雅黑"/>
          <w:spacing w:val="6"/>
          <w:sz w:val="26"/>
          <w:szCs w:val="26"/>
        </w:rPr>
        <w:t>，</w:t>
      </w:r>
      <w:r>
        <w:rPr>
          <w:rFonts w:ascii="新宋体" w:hAnsi="新宋体" w:eastAsia="新宋体" w:cs="新宋体"/>
          <w:spacing w:val="6"/>
          <w:sz w:val="26"/>
          <w:szCs w:val="26"/>
        </w:rPr>
        <w:t>郭洪瑞</w:t>
      </w:r>
      <w:r>
        <w:rPr>
          <w:rFonts w:ascii="微软雅黑" w:hAnsi="微软雅黑" w:eastAsia="微软雅黑" w:cs="微软雅黑"/>
          <w:spacing w:val="6"/>
          <w:sz w:val="26"/>
          <w:szCs w:val="26"/>
        </w:rPr>
        <w:t>，</w:t>
      </w:r>
      <w:r>
        <w:rPr>
          <w:rFonts w:ascii="新宋体" w:hAnsi="新宋体" w:eastAsia="新宋体" w:cs="新宋体"/>
          <w:spacing w:val="6"/>
          <w:sz w:val="26"/>
          <w:szCs w:val="26"/>
        </w:rPr>
        <w:t>黄明东</w:t>
      </w:r>
    </w:p>
    <w:p>
      <w:pPr>
        <w:spacing w:before="50" w:line="177" w:lineRule="auto"/>
        <w:ind w:left="3428"/>
        <w:rPr>
          <w:rFonts w:ascii="微软雅黑" w:hAnsi="微软雅黑" w:eastAsia="微软雅黑" w:cs="微软雅黑"/>
          <w:sz w:val="19"/>
          <w:szCs w:val="19"/>
        </w:rPr>
      </w:pPr>
      <w:r>
        <w:rPr>
          <w:rFonts w:ascii="微软雅黑" w:hAnsi="微软雅黑" w:eastAsia="微软雅黑" w:cs="微软雅黑"/>
          <w:spacing w:val="7"/>
          <w:sz w:val="19"/>
          <w:szCs w:val="19"/>
        </w:rPr>
        <w:t>（</w:t>
      </w:r>
      <w:r>
        <w:rPr>
          <w:rFonts w:ascii="新宋体" w:hAnsi="新宋体" w:eastAsia="新宋体" w:cs="新宋体"/>
          <w:spacing w:val="7"/>
          <w:sz w:val="19"/>
          <w:szCs w:val="19"/>
        </w:rPr>
        <w:t>武汉大学 教育科学研究院</w:t>
      </w:r>
      <w:r>
        <w:rPr>
          <w:rFonts w:ascii="微软雅黑" w:hAnsi="微软雅黑" w:eastAsia="微软雅黑" w:cs="微软雅黑"/>
          <w:spacing w:val="7"/>
          <w:sz w:val="19"/>
          <w:szCs w:val="19"/>
        </w:rPr>
        <w:t>，</w:t>
      </w:r>
      <w:r>
        <w:rPr>
          <w:rFonts w:ascii="新宋体" w:hAnsi="新宋体" w:eastAsia="新宋体" w:cs="新宋体"/>
          <w:spacing w:val="7"/>
          <w:sz w:val="19"/>
          <w:szCs w:val="19"/>
        </w:rPr>
        <w:t xml:space="preserve">湖北 武汉 </w:t>
      </w:r>
      <w:r>
        <w:rPr>
          <w:rFonts w:ascii="Arial" w:hAnsi="Arial" w:eastAsia="Arial" w:cs="Arial"/>
          <w:spacing w:val="7"/>
          <w:sz w:val="19"/>
          <w:szCs w:val="19"/>
        </w:rPr>
        <w:t>430072</w:t>
      </w:r>
      <w:r>
        <w:rPr>
          <w:rFonts w:ascii="微软雅黑" w:hAnsi="微软雅黑" w:eastAsia="微软雅黑" w:cs="微软雅黑"/>
          <w:spacing w:val="7"/>
          <w:sz w:val="19"/>
          <w:szCs w:val="19"/>
        </w:rPr>
        <w:t>)</w:t>
      </w:r>
    </w:p>
    <w:p>
      <w:pPr>
        <w:spacing w:line="309" w:lineRule="auto"/>
        <w:rPr>
          <w:rFonts w:ascii="Arial"/>
          <w:sz w:val="21"/>
        </w:rPr>
      </w:pPr>
    </w:p>
    <w:p>
      <w:pPr>
        <w:spacing w:line="310" w:lineRule="auto"/>
        <w:rPr>
          <w:rFonts w:ascii="Arial"/>
          <w:sz w:val="21"/>
        </w:rPr>
      </w:pPr>
    </w:p>
    <w:p>
      <w:pPr>
        <w:spacing w:before="81" w:line="223" w:lineRule="auto"/>
        <w:ind w:left="1501" w:right="631" w:firstLine="419"/>
        <w:jc w:val="both"/>
        <w:rPr>
          <w:rFonts w:ascii="微软雅黑" w:hAnsi="微软雅黑" w:eastAsia="微软雅黑" w:cs="微软雅黑"/>
          <w:sz w:val="19"/>
          <w:szCs w:val="19"/>
        </w:rPr>
      </w:pPr>
      <w:r>
        <w:rPr>
          <w:rFonts w:ascii="黑体" w:hAnsi="黑体" w:eastAsia="黑体" w:cs="黑体"/>
          <w:spacing w:val="15"/>
          <w:sz w:val="19"/>
          <w:szCs w:val="19"/>
        </w:rPr>
        <w:t>摘  要</w:t>
      </w:r>
      <w:r>
        <w:rPr>
          <w:rFonts w:ascii="微软雅黑" w:hAnsi="微软雅黑" w:eastAsia="微软雅黑" w:cs="微软雅黑"/>
          <w:spacing w:val="15"/>
          <w:sz w:val="19"/>
          <w:szCs w:val="19"/>
        </w:rPr>
        <w:t>：</w:t>
      </w:r>
      <w:r>
        <w:rPr>
          <w:rFonts w:ascii="微软雅黑" w:hAnsi="微软雅黑" w:eastAsia="微软雅黑" w:cs="微软雅黑"/>
          <w:spacing w:val="-19"/>
          <w:sz w:val="19"/>
          <w:szCs w:val="19"/>
        </w:rPr>
        <w:t xml:space="preserve"> </w:t>
      </w:r>
      <w:r>
        <w:rPr>
          <w:rFonts w:ascii="新宋体" w:hAnsi="新宋体" w:eastAsia="新宋体" w:cs="新宋体"/>
          <w:spacing w:val="15"/>
          <w:sz w:val="19"/>
          <w:szCs w:val="19"/>
        </w:rPr>
        <w:t>高等教育质量文化是高等学校致力于质量提升的环境氛围</w:t>
      </w:r>
      <w:r>
        <w:rPr>
          <w:rFonts w:ascii="微软雅黑" w:hAnsi="微软雅黑" w:eastAsia="微软雅黑" w:cs="微软雅黑"/>
          <w:spacing w:val="15"/>
          <w:sz w:val="19"/>
          <w:szCs w:val="19"/>
        </w:rPr>
        <w:t>，</w:t>
      </w:r>
      <w:r>
        <w:rPr>
          <w:rFonts w:ascii="新宋体" w:hAnsi="新宋体" w:eastAsia="新宋体" w:cs="新宋体"/>
          <w:spacing w:val="15"/>
          <w:sz w:val="19"/>
          <w:szCs w:val="19"/>
        </w:rPr>
        <w:t>是</w:t>
      </w:r>
      <w:r>
        <w:rPr>
          <w:rFonts w:ascii="新宋体" w:hAnsi="新宋体" w:eastAsia="新宋体" w:cs="新宋体"/>
          <w:spacing w:val="-51"/>
          <w:sz w:val="19"/>
          <w:szCs w:val="19"/>
        </w:rPr>
        <w:t xml:space="preserve"> </w:t>
      </w:r>
      <w:r>
        <w:rPr>
          <w:rFonts w:ascii="新宋体" w:hAnsi="新宋体" w:eastAsia="新宋体" w:cs="新宋体"/>
          <w:spacing w:val="15"/>
          <w:sz w:val="19"/>
          <w:szCs w:val="19"/>
        </w:rPr>
        <w:t>高校全体成</w:t>
      </w:r>
      <w:r>
        <w:rPr>
          <w:rFonts w:ascii="新宋体" w:hAnsi="新宋体" w:eastAsia="新宋体" w:cs="新宋体"/>
          <w:spacing w:val="-41"/>
          <w:sz w:val="19"/>
          <w:szCs w:val="19"/>
        </w:rPr>
        <w:t xml:space="preserve"> </w:t>
      </w:r>
      <w:r>
        <w:rPr>
          <w:rFonts w:ascii="新宋体" w:hAnsi="新宋体" w:eastAsia="新宋体" w:cs="新宋体"/>
          <w:spacing w:val="15"/>
          <w:sz w:val="19"/>
          <w:szCs w:val="19"/>
        </w:rPr>
        <w:t>员对</w:t>
      </w:r>
      <w:r>
        <w:rPr>
          <w:rFonts w:ascii="新宋体" w:hAnsi="新宋体" w:eastAsia="新宋体" w:cs="新宋体"/>
          <w:sz w:val="19"/>
          <w:szCs w:val="19"/>
        </w:rPr>
        <w:t xml:space="preserve"> </w:t>
      </w:r>
      <w:r>
        <w:rPr>
          <w:rFonts w:ascii="新宋体" w:hAnsi="新宋体" w:eastAsia="新宋体" w:cs="新宋体"/>
          <w:spacing w:val="14"/>
          <w:sz w:val="19"/>
          <w:szCs w:val="19"/>
        </w:rPr>
        <w:t>质量意义的共同理解</w:t>
      </w:r>
      <w:r>
        <w:rPr>
          <w:rFonts w:ascii="新宋体" w:hAnsi="新宋体" w:eastAsia="新宋体" w:cs="新宋体"/>
          <w:spacing w:val="-52"/>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23"/>
          <w:sz w:val="19"/>
          <w:szCs w:val="19"/>
        </w:rPr>
        <w:t xml:space="preserve"> </w:t>
      </w:r>
      <w:r>
        <w:rPr>
          <w:rFonts w:ascii="新宋体" w:hAnsi="新宋体" w:eastAsia="新宋体" w:cs="新宋体"/>
          <w:spacing w:val="14"/>
          <w:sz w:val="19"/>
          <w:szCs w:val="19"/>
        </w:rPr>
        <w:t>它既包含技术层面上的管理和质量保障手段</w:t>
      </w:r>
      <w:r>
        <w:rPr>
          <w:rFonts w:ascii="微软雅黑" w:hAnsi="微软雅黑" w:eastAsia="微软雅黑" w:cs="微软雅黑"/>
          <w:spacing w:val="14"/>
          <w:sz w:val="19"/>
          <w:szCs w:val="19"/>
        </w:rPr>
        <w:t>，</w:t>
      </w:r>
      <w:r>
        <w:rPr>
          <w:rFonts w:ascii="新宋体" w:hAnsi="新宋体" w:eastAsia="新宋体" w:cs="新宋体"/>
          <w:spacing w:val="14"/>
          <w:sz w:val="19"/>
          <w:szCs w:val="19"/>
        </w:rPr>
        <w:t>又</w:t>
      </w:r>
      <w:r>
        <w:rPr>
          <w:rFonts w:ascii="新宋体" w:hAnsi="新宋体" w:eastAsia="新宋体" w:cs="新宋体"/>
          <w:spacing w:val="-56"/>
          <w:sz w:val="19"/>
          <w:szCs w:val="19"/>
        </w:rPr>
        <w:t xml:space="preserve"> </w:t>
      </w:r>
      <w:r>
        <w:rPr>
          <w:rFonts w:ascii="新宋体" w:hAnsi="新宋体" w:eastAsia="新宋体" w:cs="新宋体"/>
          <w:spacing w:val="14"/>
          <w:sz w:val="19"/>
          <w:szCs w:val="19"/>
        </w:rPr>
        <w:t>包括观念层</w:t>
      </w:r>
      <w:r>
        <w:rPr>
          <w:rFonts w:ascii="新宋体" w:hAnsi="新宋体" w:eastAsia="新宋体" w:cs="新宋体"/>
          <w:spacing w:val="-51"/>
          <w:sz w:val="19"/>
          <w:szCs w:val="19"/>
        </w:rPr>
        <w:t xml:space="preserve"> </w:t>
      </w:r>
      <w:r>
        <w:rPr>
          <w:rFonts w:ascii="新宋体" w:hAnsi="新宋体" w:eastAsia="新宋体" w:cs="新宋体"/>
          <w:spacing w:val="14"/>
          <w:sz w:val="19"/>
          <w:szCs w:val="19"/>
        </w:rPr>
        <w:t>面上</w:t>
      </w:r>
      <w:r>
        <w:rPr>
          <w:rFonts w:ascii="新宋体" w:hAnsi="新宋体" w:eastAsia="新宋体" w:cs="新宋体"/>
          <w:spacing w:val="-55"/>
          <w:sz w:val="19"/>
          <w:szCs w:val="19"/>
        </w:rPr>
        <w:t xml:space="preserve"> </w:t>
      </w:r>
      <w:r>
        <w:rPr>
          <w:rFonts w:ascii="新宋体" w:hAnsi="新宋体" w:eastAsia="新宋体" w:cs="新宋体"/>
          <w:spacing w:val="14"/>
          <w:sz w:val="19"/>
          <w:szCs w:val="19"/>
        </w:rPr>
        <w:t>的参</w:t>
      </w:r>
      <w:r>
        <w:rPr>
          <w:rFonts w:ascii="新宋体" w:hAnsi="新宋体" w:eastAsia="新宋体" w:cs="新宋体"/>
          <w:sz w:val="19"/>
          <w:szCs w:val="19"/>
        </w:rPr>
        <w:t xml:space="preserve"> </w:t>
      </w:r>
      <w:r>
        <w:rPr>
          <w:rFonts w:ascii="新宋体" w:hAnsi="新宋体" w:eastAsia="新宋体" w:cs="新宋体"/>
          <w:spacing w:val="9"/>
          <w:sz w:val="19"/>
          <w:szCs w:val="19"/>
        </w:rPr>
        <w:t>与度和向心力</w:t>
      </w:r>
      <w:r>
        <w:rPr>
          <w:rFonts w:ascii="新宋体" w:hAnsi="新宋体" w:eastAsia="新宋体" w:cs="新宋体"/>
          <w:spacing w:val="-53"/>
          <w:sz w:val="19"/>
          <w:szCs w:val="19"/>
        </w:rPr>
        <w:t xml:space="preserve"> </w:t>
      </w:r>
      <w:r>
        <w:rPr>
          <w:rFonts w:ascii="微软雅黑" w:hAnsi="微软雅黑" w:eastAsia="微软雅黑" w:cs="微软雅黑"/>
          <w:spacing w:val="9"/>
          <w:sz w:val="19"/>
          <w:szCs w:val="19"/>
        </w:rPr>
        <w:t>。</w:t>
      </w:r>
      <w:r>
        <w:rPr>
          <w:rFonts w:ascii="Arial" w:hAnsi="Arial" w:eastAsia="Arial" w:cs="Arial"/>
          <w:spacing w:val="9"/>
          <w:sz w:val="19"/>
          <w:szCs w:val="19"/>
        </w:rPr>
        <w:t>2017</w:t>
      </w:r>
      <w:r>
        <w:rPr>
          <w:rFonts w:ascii="新宋体" w:hAnsi="新宋体" w:eastAsia="新宋体" w:cs="新宋体"/>
          <w:spacing w:val="9"/>
          <w:sz w:val="19"/>
          <w:szCs w:val="19"/>
        </w:rPr>
        <w:t>年</w:t>
      </w:r>
      <w:r>
        <w:rPr>
          <w:rFonts w:ascii="微软雅黑" w:hAnsi="微软雅黑" w:eastAsia="微软雅黑" w:cs="微软雅黑"/>
          <w:spacing w:val="9"/>
          <w:sz w:val="19"/>
          <w:szCs w:val="19"/>
        </w:rPr>
        <w:t>，</w:t>
      </w:r>
      <w:r>
        <w:rPr>
          <w:rFonts w:ascii="新宋体" w:hAnsi="新宋体" w:eastAsia="新宋体" w:cs="新宋体"/>
          <w:spacing w:val="9"/>
          <w:sz w:val="19"/>
          <w:szCs w:val="19"/>
        </w:rPr>
        <w:t>挪威发布</w:t>
      </w:r>
      <w:r>
        <w:rPr>
          <w:rFonts w:ascii="微软雅黑" w:hAnsi="微软雅黑" w:eastAsia="微软雅黑" w:cs="微软雅黑"/>
          <w:spacing w:val="9"/>
          <w:sz w:val="19"/>
          <w:szCs w:val="19"/>
        </w:rPr>
        <w:t>《</w:t>
      </w:r>
      <w:r>
        <w:rPr>
          <w:rFonts w:ascii="新宋体" w:hAnsi="新宋体" w:eastAsia="新宋体" w:cs="新宋体"/>
          <w:spacing w:val="9"/>
          <w:sz w:val="19"/>
          <w:szCs w:val="19"/>
        </w:rPr>
        <w:t>高等</w:t>
      </w:r>
      <w:r>
        <w:rPr>
          <w:rFonts w:ascii="新宋体" w:hAnsi="新宋体" w:eastAsia="新宋体" w:cs="新宋体"/>
          <w:spacing w:val="8"/>
          <w:sz w:val="19"/>
          <w:szCs w:val="19"/>
        </w:rPr>
        <w:t>教</w:t>
      </w:r>
      <w:r>
        <w:rPr>
          <w:rFonts w:ascii="新宋体" w:hAnsi="新宋体" w:eastAsia="新宋体" w:cs="新宋体"/>
          <w:spacing w:val="-57"/>
          <w:sz w:val="19"/>
          <w:szCs w:val="19"/>
        </w:rPr>
        <w:t xml:space="preserve"> </w:t>
      </w:r>
      <w:r>
        <w:rPr>
          <w:rFonts w:ascii="新宋体" w:hAnsi="新宋体" w:eastAsia="新宋体" w:cs="新宋体"/>
          <w:spacing w:val="8"/>
          <w:sz w:val="19"/>
          <w:szCs w:val="19"/>
        </w:rPr>
        <w:t>育质量文化</w:t>
      </w:r>
      <w:r>
        <w:rPr>
          <w:rFonts w:ascii="微软雅黑" w:hAnsi="微软雅黑" w:eastAsia="微软雅黑" w:cs="微软雅黑"/>
          <w:spacing w:val="8"/>
          <w:sz w:val="19"/>
          <w:szCs w:val="19"/>
        </w:rPr>
        <w:t>》</w:t>
      </w:r>
      <w:r>
        <w:rPr>
          <w:rFonts w:ascii="新宋体" w:hAnsi="新宋体" w:eastAsia="新宋体" w:cs="新宋体"/>
          <w:spacing w:val="8"/>
          <w:sz w:val="19"/>
          <w:szCs w:val="19"/>
        </w:rPr>
        <w:t>白皮</w:t>
      </w:r>
      <w:r>
        <w:rPr>
          <w:rFonts w:ascii="新宋体" w:hAnsi="新宋体" w:eastAsia="新宋体" w:cs="新宋体"/>
          <w:spacing w:val="-56"/>
          <w:sz w:val="19"/>
          <w:szCs w:val="19"/>
        </w:rPr>
        <w:t xml:space="preserve"> </w:t>
      </w:r>
      <w:r>
        <w:rPr>
          <w:rFonts w:ascii="新宋体" w:hAnsi="新宋体" w:eastAsia="新宋体" w:cs="新宋体"/>
          <w:spacing w:val="8"/>
          <w:sz w:val="19"/>
          <w:szCs w:val="19"/>
        </w:rPr>
        <w:t>书</w:t>
      </w:r>
      <w:r>
        <w:rPr>
          <w:rFonts w:ascii="微软雅黑" w:hAnsi="微软雅黑" w:eastAsia="微软雅黑" w:cs="微软雅黑"/>
          <w:spacing w:val="8"/>
          <w:sz w:val="19"/>
          <w:szCs w:val="19"/>
        </w:rPr>
        <w:t>，</w:t>
      </w:r>
      <w:r>
        <w:rPr>
          <w:rFonts w:ascii="新宋体" w:hAnsi="新宋体" w:eastAsia="新宋体" w:cs="新宋体"/>
          <w:spacing w:val="8"/>
          <w:sz w:val="19"/>
          <w:szCs w:val="19"/>
        </w:rPr>
        <w:t>标</w:t>
      </w:r>
      <w:r>
        <w:rPr>
          <w:rFonts w:ascii="新宋体" w:hAnsi="新宋体" w:eastAsia="新宋体" w:cs="新宋体"/>
          <w:spacing w:val="-52"/>
          <w:sz w:val="19"/>
          <w:szCs w:val="19"/>
        </w:rPr>
        <w:t xml:space="preserve"> </w:t>
      </w:r>
      <w:r>
        <w:rPr>
          <w:rFonts w:ascii="新宋体" w:hAnsi="新宋体" w:eastAsia="新宋体" w:cs="新宋体"/>
          <w:spacing w:val="8"/>
          <w:sz w:val="19"/>
          <w:szCs w:val="19"/>
        </w:rPr>
        <w:t>志着其高等教育质量文化</w:t>
      </w:r>
      <w:r>
        <w:rPr>
          <w:rFonts w:ascii="新宋体" w:hAnsi="新宋体" w:eastAsia="新宋体" w:cs="新宋体"/>
          <w:sz w:val="19"/>
          <w:szCs w:val="19"/>
        </w:rPr>
        <w:t xml:space="preserve"> </w:t>
      </w:r>
      <w:r>
        <w:rPr>
          <w:rFonts w:ascii="新宋体" w:hAnsi="新宋体" w:eastAsia="新宋体" w:cs="新宋体"/>
          <w:spacing w:val="17"/>
          <w:sz w:val="19"/>
          <w:szCs w:val="19"/>
        </w:rPr>
        <w:t>建设进入了新阶段</w:t>
      </w:r>
      <w:r>
        <w:rPr>
          <w:rFonts w:ascii="新宋体" w:hAnsi="新宋体" w:eastAsia="新宋体" w:cs="新宋体"/>
          <w:spacing w:val="-52"/>
          <w:sz w:val="19"/>
          <w:szCs w:val="19"/>
        </w:rPr>
        <w:t xml:space="preserve"> </w:t>
      </w:r>
      <w:r>
        <w:rPr>
          <w:rFonts w:ascii="微软雅黑" w:hAnsi="微软雅黑" w:eastAsia="微软雅黑" w:cs="微软雅黑"/>
          <w:spacing w:val="17"/>
          <w:sz w:val="19"/>
          <w:szCs w:val="19"/>
        </w:rPr>
        <w:t>。</w:t>
      </w:r>
      <w:r>
        <w:rPr>
          <w:rFonts w:ascii="新宋体" w:hAnsi="新宋体" w:eastAsia="新宋体" w:cs="新宋体"/>
          <w:spacing w:val="17"/>
          <w:sz w:val="19"/>
          <w:szCs w:val="19"/>
        </w:rPr>
        <w:t>该白皮书提出的推进挪威高等教育质量文化建设的五</w:t>
      </w:r>
      <w:r>
        <w:rPr>
          <w:rFonts w:ascii="新宋体" w:hAnsi="新宋体" w:eastAsia="新宋体" w:cs="新宋体"/>
          <w:spacing w:val="-50"/>
          <w:sz w:val="19"/>
          <w:szCs w:val="19"/>
        </w:rPr>
        <w:t xml:space="preserve"> </w:t>
      </w:r>
      <w:r>
        <w:rPr>
          <w:rFonts w:ascii="新宋体" w:hAnsi="新宋体" w:eastAsia="新宋体" w:cs="新宋体"/>
          <w:spacing w:val="16"/>
          <w:sz w:val="19"/>
          <w:szCs w:val="19"/>
        </w:rPr>
        <w:t>大目标和举措</w:t>
      </w:r>
      <w:r>
        <w:rPr>
          <w:rFonts w:ascii="微软雅黑" w:hAnsi="微软雅黑" w:eastAsia="微软雅黑" w:cs="微软雅黑"/>
          <w:spacing w:val="16"/>
          <w:sz w:val="19"/>
          <w:szCs w:val="19"/>
        </w:rPr>
        <w:t>，</w:t>
      </w:r>
      <w:r>
        <w:rPr>
          <w:rFonts w:ascii="新宋体" w:hAnsi="新宋体" w:eastAsia="新宋体" w:cs="新宋体"/>
          <w:spacing w:val="16"/>
          <w:sz w:val="19"/>
          <w:szCs w:val="19"/>
        </w:rPr>
        <w:t>对</w:t>
      </w:r>
      <w:r>
        <w:rPr>
          <w:rFonts w:ascii="新宋体" w:hAnsi="新宋体" w:eastAsia="新宋体" w:cs="新宋体"/>
          <w:sz w:val="19"/>
          <w:szCs w:val="19"/>
        </w:rPr>
        <w:t xml:space="preserve"> </w:t>
      </w:r>
      <w:r>
        <w:rPr>
          <w:rFonts w:ascii="新宋体" w:hAnsi="新宋体" w:eastAsia="新宋体" w:cs="新宋体"/>
          <w:spacing w:val="14"/>
          <w:sz w:val="19"/>
          <w:szCs w:val="19"/>
        </w:rPr>
        <w:t>我国树立以学生为中心的高等教育质量文化理念</w:t>
      </w:r>
      <w:r>
        <w:rPr>
          <w:rFonts w:ascii="微软雅黑" w:hAnsi="微软雅黑" w:eastAsia="微软雅黑" w:cs="微软雅黑"/>
          <w:spacing w:val="14"/>
          <w:sz w:val="19"/>
          <w:szCs w:val="19"/>
        </w:rPr>
        <w:t>，</w:t>
      </w:r>
      <w:r>
        <w:rPr>
          <w:rFonts w:ascii="新宋体" w:hAnsi="新宋体" w:eastAsia="新宋体" w:cs="新宋体"/>
          <w:spacing w:val="14"/>
          <w:sz w:val="19"/>
          <w:szCs w:val="19"/>
        </w:rPr>
        <w:t>均衡高等教育职能定位</w:t>
      </w:r>
      <w:r>
        <w:rPr>
          <w:rFonts w:ascii="微软雅黑" w:hAnsi="微软雅黑" w:eastAsia="微软雅黑" w:cs="微软雅黑"/>
          <w:spacing w:val="14"/>
          <w:sz w:val="19"/>
          <w:szCs w:val="19"/>
        </w:rPr>
        <w:t>，</w:t>
      </w:r>
      <w:r>
        <w:rPr>
          <w:rFonts w:ascii="新宋体" w:hAnsi="新宋体" w:eastAsia="新宋体" w:cs="新宋体"/>
          <w:spacing w:val="14"/>
          <w:sz w:val="19"/>
          <w:szCs w:val="19"/>
        </w:rPr>
        <w:t>推进通</w:t>
      </w:r>
      <w:r>
        <w:rPr>
          <w:rFonts w:ascii="新宋体" w:hAnsi="新宋体" w:eastAsia="新宋体" w:cs="新宋体"/>
          <w:spacing w:val="13"/>
          <w:sz w:val="19"/>
          <w:szCs w:val="19"/>
        </w:rPr>
        <w:t>识教育的改</w:t>
      </w:r>
      <w:r>
        <w:rPr>
          <w:rFonts w:ascii="新宋体" w:hAnsi="新宋体" w:eastAsia="新宋体" w:cs="新宋体"/>
          <w:sz w:val="19"/>
          <w:szCs w:val="19"/>
        </w:rPr>
        <w:t xml:space="preserve"> </w:t>
      </w:r>
      <w:r>
        <w:rPr>
          <w:rFonts w:ascii="新宋体" w:hAnsi="新宋体" w:eastAsia="新宋体" w:cs="新宋体"/>
          <w:spacing w:val="13"/>
          <w:sz w:val="19"/>
          <w:szCs w:val="19"/>
        </w:rPr>
        <w:t>革发展</w:t>
      </w:r>
      <w:r>
        <w:rPr>
          <w:rFonts w:ascii="微软雅黑" w:hAnsi="微软雅黑" w:eastAsia="微软雅黑" w:cs="微软雅黑"/>
          <w:spacing w:val="13"/>
          <w:sz w:val="19"/>
          <w:szCs w:val="19"/>
        </w:rPr>
        <w:t>，</w:t>
      </w:r>
      <w:r>
        <w:rPr>
          <w:rFonts w:ascii="新宋体" w:hAnsi="新宋体" w:eastAsia="新宋体" w:cs="新宋体"/>
          <w:spacing w:val="13"/>
          <w:sz w:val="19"/>
          <w:szCs w:val="19"/>
        </w:rPr>
        <w:t>完善评估评审机制等具有借鉴意义</w:t>
      </w:r>
      <w:r>
        <w:rPr>
          <w:rFonts w:ascii="微软雅黑" w:hAnsi="微软雅黑" w:eastAsia="微软雅黑" w:cs="微软雅黑"/>
          <w:spacing w:val="13"/>
          <w:sz w:val="19"/>
          <w:szCs w:val="19"/>
        </w:rPr>
        <w:t>。</w:t>
      </w:r>
    </w:p>
    <w:p>
      <w:pPr>
        <w:spacing w:before="67" w:line="185" w:lineRule="auto"/>
        <w:ind w:left="1928"/>
        <w:rPr>
          <w:rFonts w:ascii="新宋体" w:hAnsi="新宋体" w:eastAsia="新宋体" w:cs="新宋体"/>
          <w:sz w:val="19"/>
          <w:szCs w:val="19"/>
        </w:rPr>
      </w:pPr>
      <w:r>
        <w:rPr>
          <w:rFonts w:ascii="黑体" w:hAnsi="黑体" w:eastAsia="黑体" w:cs="黑体"/>
          <w:spacing w:val="10"/>
          <w:sz w:val="19"/>
          <w:szCs w:val="19"/>
        </w:rPr>
        <w:t>关键词</w:t>
      </w:r>
      <w:r>
        <w:rPr>
          <w:rFonts w:ascii="微软雅黑" w:hAnsi="微软雅黑" w:eastAsia="微软雅黑" w:cs="微软雅黑"/>
          <w:spacing w:val="10"/>
          <w:sz w:val="19"/>
          <w:szCs w:val="19"/>
        </w:rPr>
        <w:t>：</w:t>
      </w:r>
      <w:r>
        <w:rPr>
          <w:rFonts w:ascii="微软雅黑" w:hAnsi="微软雅黑" w:eastAsia="微软雅黑" w:cs="微软雅黑"/>
          <w:spacing w:val="-21"/>
          <w:sz w:val="19"/>
          <w:szCs w:val="19"/>
        </w:rPr>
        <w:t xml:space="preserve"> </w:t>
      </w:r>
      <w:r>
        <w:rPr>
          <w:rFonts w:ascii="新宋体" w:hAnsi="新宋体" w:eastAsia="新宋体" w:cs="新宋体"/>
          <w:spacing w:val="10"/>
          <w:sz w:val="19"/>
          <w:szCs w:val="19"/>
        </w:rPr>
        <w:t>高等教育</w:t>
      </w:r>
      <w:r>
        <w:rPr>
          <w:rFonts w:ascii="微软雅黑" w:hAnsi="微软雅黑" w:eastAsia="微软雅黑" w:cs="微软雅黑"/>
          <w:spacing w:val="10"/>
          <w:sz w:val="19"/>
          <w:szCs w:val="19"/>
        </w:rPr>
        <w:t>；</w:t>
      </w:r>
      <w:r>
        <w:rPr>
          <w:rFonts w:ascii="新宋体" w:hAnsi="新宋体" w:eastAsia="新宋体" w:cs="新宋体"/>
          <w:spacing w:val="10"/>
          <w:sz w:val="19"/>
          <w:szCs w:val="19"/>
        </w:rPr>
        <w:t>质量文化</w:t>
      </w:r>
      <w:r>
        <w:rPr>
          <w:rFonts w:ascii="微软雅黑" w:hAnsi="微软雅黑" w:eastAsia="微软雅黑" w:cs="微软雅黑"/>
          <w:spacing w:val="10"/>
          <w:sz w:val="19"/>
          <w:szCs w:val="19"/>
        </w:rPr>
        <w:t>；</w:t>
      </w:r>
      <w:r>
        <w:rPr>
          <w:rFonts w:ascii="新宋体" w:hAnsi="新宋体" w:eastAsia="新宋体" w:cs="新宋体"/>
          <w:spacing w:val="10"/>
          <w:sz w:val="19"/>
          <w:szCs w:val="19"/>
        </w:rPr>
        <w:t>质量保障</w:t>
      </w:r>
    </w:p>
    <w:p>
      <w:pPr>
        <w:spacing w:before="52" w:line="189" w:lineRule="auto"/>
        <w:ind w:left="1936"/>
        <w:rPr>
          <w:rFonts w:ascii="Arial" w:hAnsi="Arial" w:eastAsia="Arial" w:cs="Arial"/>
          <w:sz w:val="19"/>
          <w:szCs w:val="19"/>
        </w:rPr>
      </w:pPr>
      <w:r>
        <w:rPr>
          <w:rFonts w:ascii="黑体" w:hAnsi="黑体" w:eastAsia="黑体" w:cs="黑体"/>
          <w:spacing w:val="2"/>
          <w:sz w:val="19"/>
          <w:szCs w:val="19"/>
        </w:rPr>
        <w:t>中图分类号</w:t>
      </w:r>
      <w:r>
        <w:rPr>
          <w:rFonts w:ascii="微软雅黑" w:hAnsi="微软雅黑" w:eastAsia="微软雅黑" w:cs="微软雅黑"/>
          <w:spacing w:val="2"/>
          <w:sz w:val="19"/>
          <w:szCs w:val="19"/>
        </w:rPr>
        <w:t>：</w:t>
      </w:r>
      <w:r>
        <w:rPr>
          <w:rFonts w:ascii="Arial" w:hAnsi="Arial" w:eastAsia="Arial" w:cs="Arial"/>
          <w:spacing w:val="2"/>
          <w:sz w:val="19"/>
          <w:szCs w:val="19"/>
        </w:rPr>
        <w:t xml:space="preserve">G511    </w:t>
      </w:r>
      <w:r>
        <w:rPr>
          <w:rFonts w:ascii="黑体" w:hAnsi="黑体" w:eastAsia="黑体" w:cs="黑体"/>
          <w:spacing w:val="2"/>
          <w:sz w:val="19"/>
          <w:szCs w:val="19"/>
        </w:rPr>
        <w:t>文献标志码</w:t>
      </w:r>
      <w:r>
        <w:rPr>
          <w:rFonts w:ascii="微软雅黑" w:hAnsi="微软雅黑" w:eastAsia="微软雅黑" w:cs="微软雅黑"/>
          <w:spacing w:val="2"/>
          <w:sz w:val="19"/>
          <w:szCs w:val="19"/>
        </w:rPr>
        <w:t>：</w:t>
      </w:r>
      <w:r>
        <w:rPr>
          <w:rFonts w:ascii="Arial" w:hAnsi="Arial" w:eastAsia="Arial" w:cs="Arial"/>
          <w:spacing w:val="2"/>
          <w:sz w:val="19"/>
          <w:szCs w:val="19"/>
        </w:rPr>
        <w:t xml:space="preserve">A    </w:t>
      </w:r>
      <w:r>
        <w:rPr>
          <w:rFonts w:ascii="黑体" w:hAnsi="黑体" w:eastAsia="黑体" w:cs="黑体"/>
          <w:spacing w:val="2"/>
          <w:sz w:val="19"/>
          <w:szCs w:val="19"/>
        </w:rPr>
        <w:t>文章编号</w:t>
      </w:r>
      <w:r>
        <w:rPr>
          <w:rFonts w:ascii="微软雅黑" w:hAnsi="微软雅黑" w:eastAsia="微软雅黑" w:cs="微软雅黑"/>
          <w:spacing w:val="2"/>
          <w:sz w:val="19"/>
          <w:szCs w:val="19"/>
        </w:rPr>
        <w:t>：</w:t>
      </w:r>
      <w:r>
        <w:rPr>
          <w:rFonts w:ascii="Arial" w:hAnsi="Arial" w:eastAsia="Arial" w:cs="Arial"/>
          <w:spacing w:val="2"/>
          <w:sz w:val="19"/>
          <w:szCs w:val="19"/>
        </w:rPr>
        <w:t>1000-4203</w:t>
      </w:r>
      <w:r>
        <w:rPr>
          <w:rFonts w:ascii="微软雅黑" w:hAnsi="微软雅黑" w:eastAsia="微软雅黑" w:cs="微软雅黑"/>
          <w:spacing w:val="2"/>
          <w:sz w:val="19"/>
          <w:szCs w:val="19"/>
        </w:rPr>
        <w:t>(</w:t>
      </w:r>
      <w:r>
        <w:rPr>
          <w:rFonts w:ascii="Arial" w:hAnsi="Arial" w:eastAsia="Arial" w:cs="Arial"/>
          <w:spacing w:val="2"/>
          <w:sz w:val="19"/>
          <w:szCs w:val="19"/>
        </w:rPr>
        <w:t>20</w:t>
      </w:r>
      <w:r>
        <w:rPr>
          <w:rFonts w:ascii="Arial" w:hAnsi="Arial" w:eastAsia="Arial" w:cs="Arial"/>
          <w:spacing w:val="1"/>
          <w:sz w:val="19"/>
          <w:szCs w:val="19"/>
        </w:rPr>
        <w:t>18</w:t>
      </w:r>
      <w:r>
        <w:rPr>
          <w:rFonts w:ascii="微软雅黑" w:hAnsi="微软雅黑" w:eastAsia="微软雅黑" w:cs="微软雅黑"/>
          <w:spacing w:val="1"/>
          <w:sz w:val="19"/>
          <w:szCs w:val="19"/>
        </w:rPr>
        <w:t>)</w:t>
      </w:r>
      <w:r>
        <w:rPr>
          <w:rFonts w:ascii="Arial" w:hAnsi="Arial" w:eastAsia="Arial" w:cs="Arial"/>
          <w:spacing w:val="1"/>
          <w:sz w:val="19"/>
          <w:szCs w:val="19"/>
        </w:rPr>
        <w:t>02-0102-08</w:t>
      </w:r>
    </w:p>
    <w:p>
      <w:pPr>
        <w:spacing w:line="318" w:lineRule="auto"/>
        <w:rPr>
          <w:rFonts w:ascii="Arial"/>
          <w:sz w:val="21"/>
        </w:rPr>
      </w:pPr>
    </w:p>
    <w:p>
      <w:pPr>
        <w:spacing w:before="75" w:line="208" w:lineRule="auto"/>
        <w:ind w:left="2135"/>
        <w:rPr>
          <w:rFonts w:ascii="Arial" w:hAnsi="Arial" w:eastAsia="Arial" w:cs="Arial"/>
          <w:sz w:val="26"/>
          <w:szCs w:val="26"/>
        </w:rPr>
      </w:pPr>
      <w:r>
        <w:rPr>
          <w:rFonts w:ascii="Arial" w:hAnsi="Arial" w:eastAsia="Arial" w:cs="Arial"/>
          <w:spacing w:val="13"/>
          <w:sz w:val="26"/>
          <w:szCs w:val="26"/>
        </w:rPr>
        <w:t>MeasuresandEnlightenmentofPro</w:t>
      </w:r>
      <w:r>
        <w:rPr>
          <w:rFonts w:ascii="Arial" w:hAnsi="Arial" w:eastAsia="Arial" w:cs="Arial"/>
          <w:spacing w:val="12"/>
          <w:sz w:val="26"/>
          <w:szCs w:val="26"/>
        </w:rPr>
        <w:t>motingtheConstruction</w:t>
      </w:r>
    </w:p>
    <w:p>
      <w:pPr>
        <w:spacing w:before="125" w:line="208" w:lineRule="auto"/>
        <w:ind w:left="2707"/>
        <w:rPr>
          <w:rFonts w:ascii="Arial" w:hAnsi="Arial" w:eastAsia="Arial" w:cs="Arial"/>
          <w:sz w:val="26"/>
          <w:szCs w:val="26"/>
        </w:rPr>
      </w:pPr>
      <w:r>
        <w:rPr>
          <w:rFonts w:ascii="Arial" w:hAnsi="Arial" w:eastAsia="Arial" w:cs="Arial"/>
          <w:spacing w:val="21"/>
          <w:sz w:val="26"/>
          <w:szCs w:val="26"/>
        </w:rPr>
        <w:t>ofQualityCultureinHigherEducationinNorway</w:t>
      </w:r>
    </w:p>
    <w:p>
      <w:pPr>
        <w:spacing w:before="101" w:line="163" w:lineRule="auto"/>
        <w:ind w:left="3182"/>
        <w:rPr>
          <w:rFonts w:ascii="Arial" w:hAnsi="Arial" w:eastAsia="Arial" w:cs="Arial"/>
          <w:sz w:val="19"/>
          <w:szCs w:val="19"/>
        </w:rPr>
      </w:pPr>
      <w:r>
        <w:rPr>
          <w:rFonts w:ascii="Arial" w:hAnsi="Arial" w:eastAsia="Arial" w:cs="Arial"/>
          <w:spacing w:val="10"/>
          <w:sz w:val="19"/>
          <w:szCs w:val="19"/>
        </w:rPr>
        <w:t>FENG</w:t>
      </w:r>
      <w:r>
        <w:rPr>
          <w:rFonts w:ascii="Arial" w:hAnsi="Arial" w:eastAsia="Arial" w:cs="Arial"/>
          <w:spacing w:val="43"/>
          <w:sz w:val="19"/>
          <w:szCs w:val="19"/>
        </w:rPr>
        <w:t xml:space="preserve"> </w:t>
      </w:r>
      <w:r>
        <w:rPr>
          <w:rFonts w:ascii="Arial" w:hAnsi="Arial" w:eastAsia="Arial" w:cs="Arial"/>
          <w:spacing w:val="10"/>
          <w:sz w:val="19"/>
          <w:szCs w:val="19"/>
        </w:rPr>
        <w:t>Hui-min</w:t>
      </w:r>
      <w:r>
        <w:rPr>
          <w:rFonts w:ascii="Arial" w:hAnsi="Arial" w:eastAsia="Arial" w:cs="Arial"/>
          <w:spacing w:val="-11"/>
          <w:sz w:val="19"/>
          <w:szCs w:val="19"/>
        </w:rPr>
        <w:t xml:space="preserve"> </w:t>
      </w:r>
      <w:r>
        <w:rPr>
          <w:rFonts w:ascii="微软雅黑" w:hAnsi="微软雅黑" w:eastAsia="微软雅黑" w:cs="微软雅黑"/>
          <w:spacing w:val="10"/>
          <w:position w:val="3"/>
          <w:sz w:val="19"/>
          <w:szCs w:val="19"/>
        </w:rPr>
        <w:t>,</w:t>
      </w:r>
      <w:r>
        <w:rPr>
          <w:rFonts w:ascii="微软雅黑" w:hAnsi="微软雅黑" w:eastAsia="微软雅黑" w:cs="微软雅黑"/>
          <w:spacing w:val="2"/>
          <w:position w:val="3"/>
          <w:sz w:val="19"/>
          <w:szCs w:val="19"/>
        </w:rPr>
        <w:t xml:space="preserve">  </w:t>
      </w:r>
      <w:r>
        <w:rPr>
          <w:rFonts w:ascii="Arial" w:hAnsi="Arial" w:eastAsia="Arial" w:cs="Arial"/>
          <w:spacing w:val="10"/>
          <w:sz w:val="19"/>
          <w:szCs w:val="19"/>
        </w:rPr>
        <w:t>GUO</w:t>
      </w:r>
      <w:r>
        <w:rPr>
          <w:rFonts w:ascii="Arial" w:hAnsi="Arial" w:eastAsia="Arial" w:cs="Arial"/>
          <w:spacing w:val="48"/>
          <w:sz w:val="19"/>
          <w:szCs w:val="19"/>
        </w:rPr>
        <w:t xml:space="preserve"> </w:t>
      </w:r>
      <w:r>
        <w:rPr>
          <w:rFonts w:ascii="Arial" w:hAnsi="Arial" w:eastAsia="Arial" w:cs="Arial"/>
          <w:spacing w:val="10"/>
          <w:sz w:val="19"/>
          <w:szCs w:val="19"/>
        </w:rPr>
        <w:t>Hong-ru</w:t>
      </w:r>
      <w:r>
        <w:rPr>
          <w:rFonts w:ascii="Arial" w:hAnsi="Arial" w:eastAsia="Arial" w:cs="Arial"/>
          <w:spacing w:val="9"/>
          <w:sz w:val="19"/>
          <w:szCs w:val="19"/>
        </w:rPr>
        <w:t>i</w:t>
      </w:r>
      <w:r>
        <w:rPr>
          <w:rFonts w:ascii="Arial" w:hAnsi="Arial" w:eastAsia="Arial" w:cs="Arial"/>
          <w:spacing w:val="-8"/>
          <w:sz w:val="19"/>
          <w:szCs w:val="19"/>
        </w:rPr>
        <w:t xml:space="preserve"> </w:t>
      </w:r>
      <w:r>
        <w:rPr>
          <w:rFonts w:ascii="微软雅黑" w:hAnsi="微软雅黑" w:eastAsia="微软雅黑" w:cs="微软雅黑"/>
          <w:spacing w:val="9"/>
          <w:position w:val="3"/>
          <w:sz w:val="19"/>
          <w:szCs w:val="19"/>
        </w:rPr>
        <w:t xml:space="preserve">,  </w:t>
      </w:r>
      <w:r>
        <w:rPr>
          <w:rFonts w:ascii="Arial" w:hAnsi="Arial" w:eastAsia="Arial" w:cs="Arial"/>
          <w:spacing w:val="9"/>
          <w:sz w:val="19"/>
          <w:szCs w:val="19"/>
        </w:rPr>
        <w:t>HUANG</w:t>
      </w:r>
      <w:r>
        <w:rPr>
          <w:rFonts w:ascii="Arial" w:hAnsi="Arial" w:eastAsia="Arial" w:cs="Arial"/>
          <w:spacing w:val="34"/>
          <w:sz w:val="19"/>
          <w:szCs w:val="19"/>
        </w:rPr>
        <w:t xml:space="preserve"> </w:t>
      </w:r>
      <w:r>
        <w:rPr>
          <w:rFonts w:ascii="Arial" w:hAnsi="Arial" w:eastAsia="Arial" w:cs="Arial"/>
          <w:spacing w:val="9"/>
          <w:sz w:val="19"/>
          <w:szCs w:val="19"/>
        </w:rPr>
        <w:t>Ming-dong</w:t>
      </w:r>
    </w:p>
    <w:p>
      <w:pPr>
        <w:spacing w:before="94" w:line="162" w:lineRule="auto"/>
        <w:ind w:left="2641"/>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Arial" w:hAnsi="Arial" w:eastAsia="Arial" w:cs="Arial"/>
          <w:i/>
          <w:iCs/>
          <w:spacing w:val="9"/>
          <w:sz w:val="16"/>
          <w:szCs w:val="16"/>
        </w:rPr>
        <w:t>Academ</w:t>
      </w:r>
      <w:r>
        <w:rPr>
          <w:rFonts w:ascii="Arial" w:hAnsi="Arial" w:eastAsia="Arial" w:cs="Arial"/>
          <w:i/>
          <w:iCs/>
          <w:spacing w:val="9"/>
          <w:position w:val="-1"/>
          <w:sz w:val="16"/>
          <w:szCs w:val="16"/>
        </w:rPr>
        <w:t xml:space="preserve">y </w:t>
      </w:r>
      <w:r>
        <w:rPr>
          <w:rFonts w:ascii="Arial" w:hAnsi="Arial" w:eastAsia="Arial" w:cs="Arial"/>
          <w:i/>
          <w:iCs/>
          <w:spacing w:val="9"/>
          <w:sz w:val="16"/>
          <w:szCs w:val="16"/>
        </w:rPr>
        <w:t xml:space="preserve">OfEducationScience  </w:t>
      </w:r>
      <w:r>
        <w:rPr>
          <w:rFonts w:ascii="微软雅黑" w:hAnsi="微软雅黑" w:eastAsia="微软雅黑" w:cs="微软雅黑"/>
          <w:spacing w:val="9"/>
          <w:position w:val="2"/>
          <w:sz w:val="16"/>
          <w:szCs w:val="16"/>
        </w:rPr>
        <w:t>,</w:t>
      </w:r>
      <w:r>
        <w:rPr>
          <w:rFonts w:ascii="微软雅黑" w:hAnsi="微软雅黑" w:eastAsia="微软雅黑" w:cs="微软雅黑"/>
          <w:spacing w:val="40"/>
          <w:position w:val="2"/>
          <w:sz w:val="16"/>
          <w:szCs w:val="16"/>
        </w:rPr>
        <w:t xml:space="preserve"> </w:t>
      </w:r>
      <w:r>
        <w:rPr>
          <w:rFonts w:ascii="Arial" w:hAnsi="Arial" w:eastAsia="Arial" w:cs="Arial"/>
          <w:i/>
          <w:iCs/>
          <w:spacing w:val="9"/>
          <w:sz w:val="16"/>
          <w:szCs w:val="16"/>
        </w:rPr>
        <w:t>WuhanUniversit</w:t>
      </w:r>
      <w:r>
        <w:rPr>
          <w:rFonts w:ascii="Arial" w:hAnsi="Arial" w:eastAsia="Arial" w:cs="Arial"/>
          <w:i/>
          <w:iCs/>
          <w:spacing w:val="9"/>
          <w:position w:val="-1"/>
          <w:sz w:val="16"/>
          <w:szCs w:val="16"/>
        </w:rPr>
        <w:t xml:space="preserve">y </w:t>
      </w:r>
      <w:r>
        <w:rPr>
          <w:rFonts w:ascii="微软雅黑" w:hAnsi="微软雅黑" w:eastAsia="微软雅黑" w:cs="微软雅黑"/>
          <w:spacing w:val="9"/>
          <w:position w:val="2"/>
          <w:sz w:val="16"/>
          <w:szCs w:val="16"/>
        </w:rPr>
        <w:t>,</w:t>
      </w:r>
      <w:r>
        <w:rPr>
          <w:rFonts w:ascii="微软雅黑" w:hAnsi="微软雅黑" w:eastAsia="微软雅黑" w:cs="微软雅黑"/>
          <w:spacing w:val="26"/>
          <w:position w:val="2"/>
          <w:sz w:val="16"/>
          <w:szCs w:val="16"/>
        </w:rPr>
        <w:t xml:space="preserve"> </w:t>
      </w:r>
      <w:r>
        <w:rPr>
          <w:rFonts w:ascii="Arial" w:hAnsi="Arial" w:eastAsia="Arial" w:cs="Arial"/>
          <w:i/>
          <w:iCs/>
          <w:spacing w:val="9"/>
          <w:sz w:val="16"/>
          <w:szCs w:val="16"/>
        </w:rPr>
        <w:t>Wuhan</w:t>
      </w:r>
      <w:r>
        <w:rPr>
          <w:rFonts w:ascii="Arial" w:hAnsi="Arial" w:eastAsia="Arial" w:cs="Arial"/>
          <w:spacing w:val="9"/>
          <w:sz w:val="16"/>
          <w:szCs w:val="16"/>
        </w:rPr>
        <w:t xml:space="preserve">430072 </w:t>
      </w:r>
      <w:r>
        <w:rPr>
          <w:rFonts w:ascii="微软雅黑" w:hAnsi="微软雅黑" w:eastAsia="微软雅黑" w:cs="微软雅黑"/>
          <w:spacing w:val="9"/>
          <w:position w:val="2"/>
          <w:sz w:val="16"/>
          <w:szCs w:val="16"/>
        </w:rPr>
        <w:t>,</w:t>
      </w:r>
      <w:r>
        <w:rPr>
          <w:rFonts w:ascii="微软雅黑" w:hAnsi="微软雅黑" w:eastAsia="微软雅黑" w:cs="微软雅黑"/>
          <w:spacing w:val="40"/>
          <w:w w:val="101"/>
          <w:position w:val="2"/>
          <w:sz w:val="16"/>
          <w:szCs w:val="16"/>
        </w:rPr>
        <w:t xml:space="preserve"> </w:t>
      </w:r>
      <w:r>
        <w:rPr>
          <w:rFonts w:ascii="Arial" w:hAnsi="Arial" w:eastAsia="Arial" w:cs="Arial"/>
          <w:i/>
          <w:iCs/>
          <w:spacing w:val="9"/>
          <w:sz w:val="16"/>
          <w:szCs w:val="16"/>
        </w:rPr>
        <w:t>China</w:t>
      </w:r>
      <w:r>
        <w:rPr>
          <w:rFonts w:ascii="微软雅黑" w:hAnsi="微软雅黑" w:eastAsia="微软雅黑" w:cs="微软雅黑"/>
          <w:spacing w:val="9"/>
          <w:sz w:val="16"/>
          <w:szCs w:val="16"/>
        </w:rPr>
        <w:t>)</w:t>
      </w:r>
    </w:p>
    <w:p>
      <w:pPr>
        <w:spacing w:before="81" w:line="250" w:lineRule="auto"/>
        <w:ind w:left="1500" w:right="624" w:firstLine="413"/>
        <w:jc w:val="both"/>
        <w:rPr>
          <w:rFonts w:ascii="Arial" w:hAnsi="Arial" w:eastAsia="Arial" w:cs="Arial"/>
          <w:sz w:val="19"/>
          <w:szCs w:val="19"/>
        </w:rPr>
      </w:pPr>
      <w:r>
        <w:rPr>
          <w:rFonts w:ascii="Arial" w:hAnsi="Arial" w:eastAsia="Arial" w:cs="Arial"/>
          <w:spacing w:val="15"/>
          <w:sz w:val="19"/>
          <w:szCs w:val="19"/>
        </w:rPr>
        <w:t>Abstract</w:t>
      </w:r>
      <w:r>
        <w:rPr>
          <w:rFonts w:ascii="微软雅黑" w:hAnsi="微软雅黑" w:eastAsia="微软雅黑" w:cs="微软雅黑"/>
          <w:spacing w:val="15"/>
          <w:sz w:val="19"/>
          <w:szCs w:val="19"/>
        </w:rPr>
        <w:t>:</w:t>
      </w:r>
      <w:r>
        <w:rPr>
          <w:rFonts w:ascii="微软雅黑" w:hAnsi="微软雅黑" w:eastAsia="微软雅黑" w:cs="微软雅黑"/>
          <w:spacing w:val="1"/>
          <w:sz w:val="19"/>
          <w:szCs w:val="19"/>
        </w:rPr>
        <w:t xml:space="preserve">  </w:t>
      </w:r>
      <w:r>
        <w:rPr>
          <w:rFonts w:ascii="Arial" w:hAnsi="Arial" w:eastAsia="Arial" w:cs="Arial"/>
          <w:spacing w:val="15"/>
          <w:sz w:val="19"/>
          <w:szCs w:val="19"/>
        </w:rPr>
        <w:t>Qualit</w:t>
      </w:r>
      <w:r>
        <w:rPr>
          <w:rFonts w:ascii="Arial" w:hAnsi="Arial" w:eastAsia="Arial" w:cs="Arial"/>
          <w:spacing w:val="15"/>
          <w:position w:val="-1"/>
          <w:sz w:val="19"/>
          <w:szCs w:val="19"/>
        </w:rPr>
        <w:t>y</w:t>
      </w:r>
      <w:r>
        <w:rPr>
          <w:rFonts w:ascii="Arial" w:hAnsi="Arial" w:eastAsia="Arial" w:cs="Arial"/>
          <w:spacing w:val="26"/>
          <w:w w:val="101"/>
          <w:position w:val="-1"/>
          <w:sz w:val="19"/>
          <w:szCs w:val="19"/>
        </w:rPr>
        <w:t xml:space="preserve"> </w:t>
      </w:r>
      <w:r>
        <w:rPr>
          <w:rFonts w:ascii="Arial" w:hAnsi="Arial" w:eastAsia="Arial" w:cs="Arial"/>
          <w:spacing w:val="15"/>
          <w:sz w:val="19"/>
          <w:szCs w:val="19"/>
        </w:rPr>
        <w:t>cultureinhighereduc</w:t>
      </w:r>
      <w:r>
        <w:rPr>
          <w:rFonts w:ascii="Arial" w:hAnsi="Arial" w:eastAsia="Arial" w:cs="Arial"/>
          <w:spacing w:val="14"/>
          <w:sz w:val="19"/>
          <w:szCs w:val="19"/>
        </w:rPr>
        <w:t>ationisakindofatmospherethatever</w:t>
      </w:r>
      <w:r>
        <w:rPr>
          <w:rFonts w:ascii="Arial" w:hAnsi="Arial" w:eastAsia="Arial" w:cs="Arial"/>
          <w:spacing w:val="14"/>
          <w:position w:val="-1"/>
          <w:sz w:val="19"/>
          <w:szCs w:val="19"/>
        </w:rPr>
        <w:t>y</w:t>
      </w:r>
      <w:r>
        <w:rPr>
          <w:rFonts w:ascii="Arial" w:hAnsi="Arial" w:eastAsia="Arial" w:cs="Arial"/>
          <w:spacing w:val="14"/>
          <w:sz w:val="19"/>
          <w:szCs w:val="19"/>
        </w:rPr>
        <w:t>oneof</w:t>
      </w:r>
      <w:r>
        <w:rPr>
          <w:rFonts w:ascii="Arial" w:hAnsi="Arial" w:eastAsia="Arial" w:cs="Arial"/>
          <w:spacing w:val="25"/>
          <w:sz w:val="19"/>
          <w:szCs w:val="19"/>
        </w:rPr>
        <w:t xml:space="preserve"> </w:t>
      </w:r>
      <w:r>
        <w:rPr>
          <w:rFonts w:ascii="Arial" w:hAnsi="Arial" w:eastAsia="Arial" w:cs="Arial"/>
          <w:spacing w:val="14"/>
          <w:sz w:val="19"/>
          <w:szCs w:val="19"/>
        </w:rPr>
        <w:t>u-</w:t>
      </w:r>
      <w:r>
        <w:rPr>
          <w:rFonts w:ascii="Arial" w:hAnsi="Arial" w:eastAsia="Arial" w:cs="Arial"/>
          <w:sz w:val="19"/>
          <w:szCs w:val="19"/>
        </w:rPr>
        <w:t xml:space="preserve"> </w:t>
      </w:r>
      <w:r>
        <w:rPr>
          <w:rFonts w:ascii="Arial" w:hAnsi="Arial" w:eastAsia="Arial" w:cs="Arial"/>
          <w:spacing w:val="15"/>
          <w:sz w:val="19"/>
          <w:szCs w:val="19"/>
        </w:rPr>
        <w:t>niversitiesandinstitutionsinthisenvironmentworksonimprovingthe</w:t>
      </w:r>
      <w:r>
        <w:rPr>
          <w:rFonts w:ascii="Arial" w:hAnsi="Arial" w:eastAsia="Arial" w:cs="Arial"/>
          <w:spacing w:val="55"/>
          <w:w w:val="101"/>
          <w:sz w:val="19"/>
          <w:szCs w:val="19"/>
        </w:rPr>
        <w:t xml:space="preserve"> </w:t>
      </w:r>
      <w:r>
        <w:rPr>
          <w:rFonts w:ascii="Arial" w:hAnsi="Arial" w:eastAsia="Arial" w:cs="Arial"/>
          <w:spacing w:val="15"/>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15"/>
          <w:sz w:val="19"/>
          <w:szCs w:val="19"/>
        </w:rPr>
        <w:t>ualit</w:t>
      </w:r>
      <w:r>
        <w:rPr>
          <w:rFonts w:ascii="Arial" w:hAnsi="Arial" w:eastAsia="Arial" w:cs="Arial"/>
          <w:spacing w:val="-36"/>
          <w:sz w:val="19"/>
          <w:szCs w:val="19"/>
        </w:rPr>
        <w:t xml:space="preserve"> </w:t>
      </w:r>
      <w:r>
        <w:rPr>
          <w:rFonts w:ascii="Arial" w:hAnsi="Arial" w:eastAsia="Arial" w:cs="Arial"/>
          <w:spacing w:val="15"/>
          <w:position w:val="-1"/>
          <w:sz w:val="19"/>
          <w:szCs w:val="19"/>
        </w:rPr>
        <w:t>y</w:t>
      </w:r>
      <w:r>
        <w:rPr>
          <w:rFonts w:ascii="Arial" w:hAnsi="Arial" w:eastAsia="Arial" w:cs="Arial"/>
          <w:spacing w:val="38"/>
          <w:position w:val="-1"/>
          <w:sz w:val="19"/>
          <w:szCs w:val="19"/>
        </w:rPr>
        <w:t xml:space="preserve"> </w:t>
      </w:r>
      <w:r>
        <w:rPr>
          <w:rFonts w:ascii="Arial" w:hAnsi="Arial" w:eastAsia="Arial" w:cs="Arial"/>
          <w:spacing w:val="15"/>
          <w:sz w:val="19"/>
          <w:szCs w:val="19"/>
        </w:rPr>
        <w:t>andthe</w:t>
      </w:r>
      <w:r>
        <w:rPr>
          <w:rFonts w:ascii="Arial" w:hAnsi="Arial" w:eastAsia="Arial" w:cs="Arial"/>
          <w:spacing w:val="41"/>
          <w:sz w:val="19"/>
          <w:szCs w:val="19"/>
        </w:rPr>
        <w:t xml:space="preserve"> </w:t>
      </w:r>
      <w:r>
        <w:rPr>
          <w:rFonts w:ascii="Arial" w:hAnsi="Arial" w:eastAsia="Arial" w:cs="Arial"/>
          <w:spacing w:val="15"/>
          <w:sz w:val="19"/>
          <w:szCs w:val="19"/>
        </w:rPr>
        <w:t>con-</w:t>
      </w:r>
      <w:r>
        <w:rPr>
          <w:rFonts w:ascii="Arial" w:hAnsi="Arial" w:eastAsia="Arial" w:cs="Arial"/>
          <w:sz w:val="19"/>
          <w:szCs w:val="19"/>
        </w:rPr>
        <w:t xml:space="preserve"> </w:t>
      </w:r>
      <w:r>
        <w:rPr>
          <w:rFonts w:ascii="Arial" w:hAnsi="Arial" w:eastAsia="Arial" w:cs="Arial"/>
          <w:spacing w:val="11"/>
          <w:sz w:val="19"/>
          <w:szCs w:val="19"/>
        </w:rPr>
        <w:t>sensusaboutthesignifica</w:t>
      </w:r>
      <w:r>
        <w:rPr>
          <w:rFonts w:ascii="Arial" w:hAnsi="Arial" w:eastAsia="Arial" w:cs="Arial"/>
          <w:spacing w:val="10"/>
          <w:sz w:val="19"/>
          <w:szCs w:val="19"/>
        </w:rPr>
        <w:t>nceof</w:t>
      </w:r>
      <w:r>
        <w:rPr>
          <w:rFonts w:ascii="Arial" w:hAnsi="Arial" w:eastAsia="Arial" w:cs="Arial"/>
          <w:spacing w:val="42"/>
          <w:w w:val="101"/>
          <w:sz w:val="19"/>
          <w:szCs w:val="19"/>
        </w:rPr>
        <w:t xml:space="preserve"> </w:t>
      </w:r>
      <w:r>
        <w:rPr>
          <w:rFonts w:ascii="Arial" w:hAnsi="Arial" w:eastAsia="Arial" w:cs="Arial"/>
          <w:spacing w:val="10"/>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10"/>
          <w:sz w:val="19"/>
          <w:szCs w:val="19"/>
        </w:rPr>
        <w:t>ualit</w:t>
      </w:r>
      <w:r>
        <w:rPr>
          <w:rFonts w:ascii="Arial" w:hAnsi="Arial" w:eastAsia="Arial" w:cs="Arial"/>
          <w:spacing w:val="-36"/>
          <w:sz w:val="19"/>
          <w:szCs w:val="19"/>
        </w:rPr>
        <w:t xml:space="preserve"> </w:t>
      </w:r>
      <w:r>
        <w:rPr>
          <w:rFonts w:ascii="Arial" w:hAnsi="Arial" w:eastAsia="Arial" w:cs="Arial"/>
          <w:spacing w:val="10"/>
          <w:position w:val="-1"/>
          <w:sz w:val="19"/>
          <w:szCs w:val="19"/>
        </w:rPr>
        <w:t>y</w:t>
      </w:r>
      <w:r>
        <w:rPr>
          <w:rFonts w:ascii="Arial" w:hAnsi="Arial" w:eastAsia="Arial" w:cs="Arial"/>
          <w:spacing w:val="10"/>
          <w:sz w:val="19"/>
          <w:szCs w:val="19"/>
        </w:rPr>
        <w:t>.</w:t>
      </w:r>
      <w:r>
        <w:rPr>
          <w:rFonts w:ascii="Arial" w:hAnsi="Arial" w:eastAsia="Arial" w:cs="Arial"/>
          <w:spacing w:val="5"/>
          <w:sz w:val="19"/>
          <w:szCs w:val="19"/>
        </w:rPr>
        <w:t xml:space="preserve">  </w:t>
      </w:r>
      <w:r>
        <w:rPr>
          <w:rFonts w:ascii="Arial" w:hAnsi="Arial" w:eastAsia="Arial" w:cs="Arial"/>
          <w:spacing w:val="10"/>
          <w:sz w:val="19"/>
          <w:szCs w:val="19"/>
        </w:rPr>
        <w:t>In</w:t>
      </w:r>
      <w:r>
        <w:rPr>
          <w:rFonts w:ascii="Arial" w:hAnsi="Arial" w:eastAsia="Arial" w:cs="Arial"/>
          <w:spacing w:val="43"/>
          <w:sz w:val="19"/>
          <w:szCs w:val="19"/>
        </w:rPr>
        <w:t xml:space="preserve"> </w:t>
      </w:r>
      <w:r>
        <w:rPr>
          <w:rFonts w:ascii="Arial" w:hAnsi="Arial" w:eastAsia="Arial" w:cs="Arial"/>
          <w:spacing w:val="10"/>
          <w:sz w:val="19"/>
          <w:szCs w:val="19"/>
        </w:rPr>
        <w:t xml:space="preserve">2017 </w:t>
      </w:r>
      <w:r>
        <w:rPr>
          <w:rFonts w:ascii="微软雅黑" w:hAnsi="微软雅黑" w:eastAsia="微软雅黑" w:cs="微软雅黑"/>
          <w:spacing w:val="10"/>
          <w:position w:val="2"/>
          <w:sz w:val="19"/>
          <w:szCs w:val="19"/>
        </w:rPr>
        <w:t xml:space="preserve">,  </w:t>
      </w:r>
      <w:r>
        <w:rPr>
          <w:rFonts w:ascii="Arial" w:hAnsi="Arial" w:eastAsia="Arial" w:cs="Arial"/>
          <w:spacing w:val="10"/>
          <w:sz w:val="19"/>
          <w:szCs w:val="19"/>
        </w:rPr>
        <w:t>Norway</w:t>
      </w:r>
      <w:r>
        <w:rPr>
          <w:rFonts w:ascii="Arial" w:hAnsi="Arial" w:eastAsia="Arial" w:cs="Arial"/>
          <w:spacing w:val="41"/>
          <w:sz w:val="19"/>
          <w:szCs w:val="19"/>
        </w:rPr>
        <w:t xml:space="preserve"> </w:t>
      </w:r>
      <w:r>
        <w:rPr>
          <w:rFonts w:ascii="Arial" w:hAnsi="Arial" w:eastAsia="Arial" w:cs="Arial"/>
          <w:spacing w:val="10"/>
          <w:sz w:val="19"/>
          <w:szCs w:val="19"/>
        </w:rPr>
        <w:t>issuedthewhitepaperof</w:t>
      </w:r>
      <w:r>
        <w:rPr>
          <w:rFonts w:ascii="Arial" w:hAnsi="Arial" w:eastAsia="Arial" w:cs="Arial"/>
          <w:spacing w:val="44"/>
          <w:w w:val="101"/>
          <w:sz w:val="19"/>
          <w:szCs w:val="19"/>
        </w:rPr>
        <w:t xml:space="preserve"> </w:t>
      </w:r>
      <w:r>
        <w:rPr>
          <w:rFonts w:ascii="Arial" w:hAnsi="Arial" w:eastAsia="Arial" w:cs="Arial"/>
          <w:spacing w:val="10"/>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10"/>
          <w:sz w:val="19"/>
          <w:szCs w:val="19"/>
        </w:rPr>
        <w:t>ualit</w:t>
      </w:r>
      <w:r>
        <w:rPr>
          <w:rFonts w:ascii="Arial" w:hAnsi="Arial" w:eastAsia="Arial" w:cs="Arial"/>
          <w:spacing w:val="-36"/>
          <w:sz w:val="19"/>
          <w:szCs w:val="19"/>
        </w:rPr>
        <w:t xml:space="preserve"> </w:t>
      </w:r>
      <w:r>
        <w:rPr>
          <w:rFonts w:ascii="Arial" w:hAnsi="Arial" w:eastAsia="Arial" w:cs="Arial"/>
          <w:spacing w:val="10"/>
          <w:position w:val="-1"/>
          <w:sz w:val="19"/>
          <w:szCs w:val="19"/>
        </w:rPr>
        <w:t>y</w:t>
      </w:r>
      <w:r>
        <w:rPr>
          <w:rFonts w:ascii="Arial" w:hAnsi="Arial" w:eastAsia="Arial" w:cs="Arial"/>
          <w:position w:val="-1"/>
          <w:sz w:val="19"/>
          <w:szCs w:val="19"/>
        </w:rPr>
        <w:t xml:space="preserve"> </w:t>
      </w:r>
      <w:r>
        <w:rPr>
          <w:rFonts w:ascii="Arial" w:hAnsi="Arial" w:eastAsia="Arial" w:cs="Arial"/>
          <w:spacing w:val="12"/>
          <w:sz w:val="19"/>
          <w:szCs w:val="19"/>
        </w:rPr>
        <w:t>cultureinhighereducation</w:t>
      </w:r>
      <w:r>
        <w:rPr>
          <w:rFonts w:ascii="Arial" w:hAnsi="Arial" w:eastAsia="Arial" w:cs="Arial"/>
          <w:spacing w:val="-10"/>
          <w:sz w:val="19"/>
          <w:szCs w:val="19"/>
        </w:rPr>
        <w:t xml:space="preserve"> </w:t>
      </w:r>
      <w:r>
        <w:rPr>
          <w:rFonts w:ascii="微软雅黑" w:hAnsi="微软雅黑" w:eastAsia="微软雅黑" w:cs="微软雅黑"/>
          <w:spacing w:val="12"/>
          <w:position w:val="2"/>
          <w:sz w:val="19"/>
          <w:szCs w:val="19"/>
        </w:rPr>
        <w:t>,</w:t>
      </w:r>
      <w:r>
        <w:rPr>
          <w:rFonts w:ascii="微软雅黑" w:hAnsi="微软雅黑" w:eastAsia="微软雅黑" w:cs="微软雅黑"/>
          <w:spacing w:val="7"/>
          <w:position w:val="2"/>
          <w:sz w:val="19"/>
          <w:szCs w:val="19"/>
        </w:rPr>
        <w:t xml:space="preserve">  </w:t>
      </w:r>
      <w:r>
        <w:rPr>
          <w:rFonts w:ascii="Arial" w:hAnsi="Arial" w:eastAsia="Arial" w:cs="Arial"/>
          <w:spacing w:val="12"/>
          <w:sz w:val="19"/>
          <w:szCs w:val="19"/>
        </w:rPr>
        <w:t>which</w:t>
      </w:r>
      <w:r>
        <w:rPr>
          <w:rFonts w:ascii="Arial" w:hAnsi="Arial" w:eastAsia="Arial" w:cs="Arial"/>
          <w:spacing w:val="46"/>
          <w:w w:val="101"/>
          <w:sz w:val="19"/>
          <w:szCs w:val="19"/>
        </w:rPr>
        <w:t xml:space="preserve"> </w:t>
      </w:r>
      <w:r>
        <w:rPr>
          <w:rFonts w:ascii="Arial" w:hAnsi="Arial" w:eastAsia="Arial" w:cs="Arial"/>
          <w:spacing w:val="12"/>
          <w:sz w:val="19"/>
          <w:szCs w:val="19"/>
        </w:rPr>
        <w:t>markedthe</w:t>
      </w:r>
      <w:r>
        <w:rPr>
          <w:rFonts w:ascii="Arial" w:hAnsi="Arial" w:eastAsia="Arial" w:cs="Arial"/>
          <w:spacing w:val="42"/>
          <w:w w:val="101"/>
          <w:sz w:val="19"/>
          <w:szCs w:val="19"/>
        </w:rPr>
        <w:t xml:space="preserve"> </w:t>
      </w:r>
      <w:r>
        <w:rPr>
          <w:rFonts w:ascii="Arial" w:hAnsi="Arial" w:eastAsia="Arial" w:cs="Arial"/>
          <w:spacing w:val="12"/>
          <w:sz w:val="19"/>
          <w:szCs w:val="19"/>
        </w:rPr>
        <w:t>new</w:t>
      </w:r>
      <w:r>
        <w:rPr>
          <w:rFonts w:ascii="Arial" w:hAnsi="Arial" w:eastAsia="Arial" w:cs="Arial"/>
          <w:spacing w:val="46"/>
          <w:sz w:val="19"/>
          <w:szCs w:val="19"/>
        </w:rPr>
        <w:t xml:space="preserve"> </w:t>
      </w:r>
      <w:r>
        <w:rPr>
          <w:rFonts w:ascii="Arial" w:hAnsi="Arial" w:eastAsia="Arial" w:cs="Arial"/>
          <w:spacing w:val="12"/>
          <w:sz w:val="19"/>
          <w:szCs w:val="19"/>
        </w:rPr>
        <w:t>stageofdevelopmentinits</w:t>
      </w:r>
      <w:r>
        <w:rPr>
          <w:rFonts w:ascii="Arial" w:hAnsi="Arial" w:eastAsia="Arial" w:cs="Arial"/>
          <w:spacing w:val="50"/>
          <w:sz w:val="19"/>
          <w:szCs w:val="19"/>
        </w:rPr>
        <w:t xml:space="preserve"> </w:t>
      </w:r>
      <w:r>
        <w:rPr>
          <w:rFonts w:ascii="Arial" w:hAnsi="Arial" w:eastAsia="Arial" w:cs="Arial"/>
          <w:spacing w:val="12"/>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12"/>
          <w:sz w:val="19"/>
          <w:szCs w:val="19"/>
        </w:rPr>
        <w:t>ua</w:t>
      </w:r>
      <w:r>
        <w:rPr>
          <w:rFonts w:ascii="Arial" w:hAnsi="Arial" w:eastAsia="Arial" w:cs="Arial"/>
          <w:spacing w:val="11"/>
          <w:sz w:val="19"/>
          <w:szCs w:val="19"/>
        </w:rPr>
        <w:t>lit</w:t>
      </w:r>
      <w:r>
        <w:rPr>
          <w:rFonts w:ascii="Arial" w:hAnsi="Arial" w:eastAsia="Arial" w:cs="Arial"/>
          <w:spacing w:val="-35"/>
          <w:sz w:val="19"/>
          <w:szCs w:val="19"/>
        </w:rPr>
        <w:t xml:space="preserve"> </w:t>
      </w:r>
      <w:r>
        <w:rPr>
          <w:rFonts w:ascii="Arial" w:hAnsi="Arial" w:eastAsia="Arial" w:cs="Arial"/>
          <w:spacing w:val="11"/>
          <w:position w:val="-1"/>
          <w:sz w:val="19"/>
          <w:szCs w:val="19"/>
        </w:rPr>
        <w:t>y</w:t>
      </w:r>
      <w:r>
        <w:rPr>
          <w:rFonts w:ascii="Arial" w:hAnsi="Arial" w:eastAsia="Arial" w:cs="Arial"/>
          <w:spacing w:val="46"/>
          <w:position w:val="-1"/>
          <w:sz w:val="19"/>
          <w:szCs w:val="19"/>
        </w:rPr>
        <w:t xml:space="preserve"> </w:t>
      </w:r>
      <w:r>
        <w:rPr>
          <w:rFonts w:ascii="Arial" w:hAnsi="Arial" w:eastAsia="Arial" w:cs="Arial"/>
          <w:spacing w:val="11"/>
          <w:sz w:val="19"/>
          <w:szCs w:val="19"/>
        </w:rPr>
        <w:t>cul-</w:t>
      </w:r>
      <w:r>
        <w:rPr>
          <w:rFonts w:ascii="Arial" w:hAnsi="Arial" w:eastAsia="Arial" w:cs="Arial"/>
          <w:sz w:val="19"/>
          <w:szCs w:val="19"/>
        </w:rPr>
        <w:t xml:space="preserve"> </w:t>
      </w:r>
      <w:r>
        <w:rPr>
          <w:rFonts w:ascii="Arial" w:hAnsi="Arial" w:eastAsia="Arial" w:cs="Arial"/>
          <w:spacing w:val="13"/>
          <w:sz w:val="19"/>
          <w:szCs w:val="19"/>
        </w:rPr>
        <w:t>tureinhighereducation.</w:t>
      </w:r>
      <w:r>
        <w:rPr>
          <w:rFonts w:ascii="Arial" w:hAnsi="Arial" w:eastAsia="Arial" w:cs="Arial"/>
          <w:spacing w:val="46"/>
          <w:w w:val="101"/>
          <w:sz w:val="19"/>
          <w:szCs w:val="19"/>
        </w:rPr>
        <w:t xml:space="preserve"> </w:t>
      </w:r>
      <w:r>
        <w:rPr>
          <w:rFonts w:ascii="Arial" w:hAnsi="Arial" w:eastAsia="Arial" w:cs="Arial"/>
          <w:spacing w:val="13"/>
          <w:sz w:val="19"/>
          <w:szCs w:val="19"/>
        </w:rPr>
        <w:t>Thispap</w:t>
      </w:r>
      <w:r>
        <w:rPr>
          <w:rFonts w:ascii="Arial" w:hAnsi="Arial" w:eastAsia="Arial" w:cs="Arial"/>
          <w:spacing w:val="12"/>
          <w:sz w:val="19"/>
          <w:szCs w:val="19"/>
        </w:rPr>
        <w:t>eranal</w:t>
      </w:r>
      <w:r>
        <w:rPr>
          <w:rFonts w:ascii="Arial" w:hAnsi="Arial" w:eastAsia="Arial" w:cs="Arial"/>
          <w:spacing w:val="12"/>
          <w:position w:val="-1"/>
          <w:sz w:val="19"/>
          <w:szCs w:val="19"/>
        </w:rPr>
        <w:t>y</w:t>
      </w:r>
      <w:r>
        <w:rPr>
          <w:rFonts w:ascii="Arial" w:hAnsi="Arial" w:eastAsia="Arial" w:cs="Arial"/>
          <w:spacing w:val="-35"/>
          <w:position w:val="-1"/>
          <w:sz w:val="19"/>
          <w:szCs w:val="19"/>
        </w:rPr>
        <w:t xml:space="preserve"> </w:t>
      </w:r>
      <w:r>
        <w:rPr>
          <w:rFonts w:ascii="Arial" w:hAnsi="Arial" w:eastAsia="Arial" w:cs="Arial"/>
          <w:spacing w:val="12"/>
          <w:sz w:val="19"/>
          <w:szCs w:val="19"/>
        </w:rPr>
        <w:t>sesthefivemajor</w:t>
      </w:r>
      <w:r>
        <w:rPr>
          <w:rFonts w:ascii="Arial" w:hAnsi="Arial" w:eastAsia="Arial" w:cs="Arial"/>
          <w:spacing w:val="30"/>
          <w:w w:val="101"/>
          <w:sz w:val="19"/>
          <w:szCs w:val="19"/>
        </w:rPr>
        <w:t xml:space="preserve"> </w:t>
      </w:r>
      <w:r>
        <w:rPr>
          <w:rFonts w:ascii="Arial" w:hAnsi="Arial" w:eastAsia="Arial" w:cs="Arial"/>
          <w:spacing w:val="12"/>
          <w:sz w:val="19"/>
          <w:szCs w:val="19"/>
        </w:rPr>
        <w:t>measures</w:t>
      </w:r>
      <w:r>
        <w:rPr>
          <w:rFonts w:ascii="Arial" w:hAnsi="Arial" w:eastAsia="Arial" w:cs="Arial"/>
          <w:spacing w:val="30"/>
          <w:sz w:val="19"/>
          <w:szCs w:val="19"/>
        </w:rPr>
        <w:t xml:space="preserve"> </w:t>
      </w:r>
      <w:r>
        <w:rPr>
          <w:rFonts w:ascii="Arial" w:hAnsi="Arial" w:eastAsia="Arial" w:cs="Arial"/>
          <w:spacing w:val="12"/>
          <w:sz w:val="19"/>
          <w:szCs w:val="19"/>
        </w:rPr>
        <w:t>andtargetsinthe</w:t>
      </w:r>
      <w:r>
        <w:rPr>
          <w:rFonts w:ascii="Arial" w:hAnsi="Arial" w:eastAsia="Arial" w:cs="Arial"/>
          <w:spacing w:val="29"/>
          <w:w w:val="101"/>
          <w:sz w:val="19"/>
          <w:szCs w:val="19"/>
        </w:rPr>
        <w:t xml:space="preserve"> </w:t>
      </w:r>
      <w:r>
        <w:rPr>
          <w:rFonts w:ascii="Arial" w:hAnsi="Arial" w:eastAsia="Arial" w:cs="Arial"/>
          <w:spacing w:val="12"/>
          <w:sz w:val="19"/>
          <w:szCs w:val="19"/>
        </w:rPr>
        <w:t>con-</w:t>
      </w:r>
      <w:r>
        <w:rPr>
          <w:rFonts w:ascii="Arial" w:hAnsi="Arial" w:eastAsia="Arial" w:cs="Arial"/>
          <w:sz w:val="19"/>
          <w:szCs w:val="19"/>
        </w:rPr>
        <w:t xml:space="preserve"> </w:t>
      </w:r>
      <w:r>
        <w:rPr>
          <w:rFonts w:ascii="Arial" w:hAnsi="Arial" w:eastAsia="Arial" w:cs="Arial"/>
          <w:spacing w:val="14"/>
          <w:sz w:val="19"/>
          <w:szCs w:val="19"/>
        </w:rPr>
        <w:t>structionof</w:t>
      </w:r>
      <w:r>
        <w:rPr>
          <w:rFonts w:ascii="Arial" w:hAnsi="Arial" w:eastAsia="Arial" w:cs="Arial"/>
          <w:spacing w:val="59"/>
          <w:sz w:val="19"/>
          <w:szCs w:val="19"/>
        </w:rPr>
        <w:t xml:space="preserve"> </w:t>
      </w:r>
      <w:r>
        <w:rPr>
          <w:rFonts w:ascii="Arial" w:hAnsi="Arial" w:eastAsia="Arial" w:cs="Arial"/>
          <w:spacing w:val="14"/>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14"/>
          <w:sz w:val="19"/>
          <w:szCs w:val="19"/>
        </w:rPr>
        <w:t>ualit</w:t>
      </w:r>
      <w:r>
        <w:rPr>
          <w:rFonts w:ascii="Arial" w:hAnsi="Arial" w:eastAsia="Arial" w:cs="Arial"/>
          <w:spacing w:val="-36"/>
          <w:sz w:val="19"/>
          <w:szCs w:val="19"/>
        </w:rPr>
        <w:t xml:space="preserve"> </w:t>
      </w:r>
      <w:r>
        <w:rPr>
          <w:rFonts w:ascii="Arial" w:hAnsi="Arial" w:eastAsia="Arial" w:cs="Arial"/>
          <w:spacing w:val="14"/>
          <w:position w:val="-1"/>
          <w:sz w:val="19"/>
          <w:szCs w:val="19"/>
        </w:rPr>
        <w:t>y</w:t>
      </w:r>
      <w:r>
        <w:rPr>
          <w:rFonts w:ascii="Arial" w:hAnsi="Arial" w:eastAsia="Arial" w:cs="Arial"/>
          <w:spacing w:val="44"/>
          <w:w w:val="101"/>
          <w:position w:val="-1"/>
          <w:sz w:val="19"/>
          <w:szCs w:val="19"/>
        </w:rPr>
        <w:t xml:space="preserve"> </w:t>
      </w:r>
      <w:r>
        <w:rPr>
          <w:rFonts w:ascii="Arial" w:hAnsi="Arial" w:eastAsia="Arial" w:cs="Arial"/>
          <w:spacing w:val="14"/>
          <w:sz w:val="19"/>
          <w:szCs w:val="19"/>
        </w:rPr>
        <w:t>cultureinNorway</w:t>
      </w:r>
      <w:r>
        <w:rPr>
          <w:rFonts w:ascii="Arial" w:hAnsi="Arial" w:eastAsia="Arial" w:cs="Arial"/>
          <w:spacing w:val="-10"/>
          <w:sz w:val="19"/>
          <w:szCs w:val="19"/>
        </w:rPr>
        <w:t xml:space="preserve"> </w:t>
      </w:r>
      <w:r>
        <w:rPr>
          <w:rFonts w:ascii="微软雅黑" w:hAnsi="微软雅黑" w:eastAsia="微软雅黑" w:cs="微软雅黑"/>
          <w:spacing w:val="14"/>
          <w:position w:val="2"/>
          <w:sz w:val="19"/>
          <w:szCs w:val="19"/>
        </w:rPr>
        <w:t>,</w:t>
      </w:r>
      <w:r>
        <w:rPr>
          <w:rFonts w:ascii="微软雅黑" w:hAnsi="微软雅黑" w:eastAsia="微软雅黑" w:cs="微软雅黑"/>
          <w:spacing w:val="7"/>
          <w:position w:val="2"/>
          <w:sz w:val="19"/>
          <w:szCs w:val="19"/>
        </w:rPr>
        <w:t xml:space="preserve">  </w:t>
      </w:r>
      <w:r>
        <w:rPr>
          <w:rFonts w:ascii="Arial" w:hAnsi="Arial" w:eastAsia="Arial" w:cs="Arial"/>
          <w:spacing w:val="14"/>
          <w:sz w:val="19"/>
          <w:szCs w:val="19"/>
        </w:rPr>
        <w:t>andputsforward</w:t>
      </w:r>
      <w:r>
        <w:rPr>
          <w:rFonts w:ascii="Arial" w:hAnsi="Arial" w:eastAsia="Arial" w:cs="Arial"/>
          <w:spacing w:val="46"/>
          <w:sz w:val="19"/>
          <w:szCs w:val="19"/>
        </w:rPr>
        <w:t xml:space="preserve"> </w:t>
      </w:r>
      <w:r>
        <w:rPr>
          <w:rFonts w:ascii="Arial" w:hAnsi="Arial" w:eastAsia="Arial" w:cs="Arial"/>
          <w:spacing w:val="14"/>
          <w:sz w:val="19"/>
          <w:szCs w:val="19"/>
        </w:rPr>
        <w:t>some</w:t>
      </w:r>
      <w:r>
        <w:rPr>
          <w:rFonts w:ascii="Arial" w:hAnsi="Arial" w:eastAsia="Arial" w:cs="Arial"/>
          <w:spacing w:val="44"/>
          <w:sz w:val="19"/>
          <w:szCs w:val="19"/>
        </w:rPr>
        <w:t xml:space="preserve"> </w:t>
      </w:r>
      <w:r>
        <w:rPr>
          <w:rFonts w:ascii="Arial" w:hAnsi="Arial" w:eastAsia="Arial" w:cs="Arial"/>
          <w:spacing w:val="14"/>
          <w:sz w:val="19"/>
          <w:szCs w:val="19"/>
        </w:rPr>
        <w:t>lessonsasfortherealit</w:t>
      </w:r>
      <w:r>
        <w:rPr>
          <w:rFonts w:ascii="Arial" w:hAnsi="Arial" w:eastAsia="Arial" w:cs="Arial"/>
          <w:spacing w:val="14"/>
          <w:position w:val="-1"/>
          <w:sz w:val="19"/>
          <w:szCs w:val="19"/>
        </w:rPr>
        <w:t>y</w:t>
      </w:r>
      <w:r>
        <w:rPr>
          <w:rFonts w:ascii="Arial" w:hAnsi="Arial" w:eastAsia="Arial" w:cs="Arial"/>
          <w:spacing w:val="41"/>
          <w:w w:val="101"/>
          <w:position w:val="-1"/>
          <w:sz w:val="19"/>
          <w:szCs w:val="19"/>
        </w:rPr>
        <w:t xml:space="preserve"> </w:t>
      </w:r>
      <w:r>
        <w:rPr>
          <w:rFonts w:ascii="Arial" w:hAnsi="Arial" w:eastAsia="Arial" w:cs="Arial"/>
          <w:spacing w:val="14"/>
          <w:sz w:val="19"/>
          <w:szCs w:val="19"/>
        </w:rPr>
        <w:t>of</w:t>
      </w:r>
      <w:r>
        <w:rPr>
          <w:rFonts w:ascii="Arial" w:hAnsi="Arial" w:eastAsia="Arial" w:cs="Arial"/>
          <w:sz w:val="19"/>
          <w:szCs w:val="19"/>
        </w:rPr>
        <w:t xml:space="preserve"> </w:t>
      </w:r>
      <w:r>
        <w:rPr>
          <w:rFonts w:ascii="Arial" w:hAnsi="Arial" w:eastAsia="Arial" w:cs="Arial"/>
          <w:spacing w:val="6"/>
          <w:sz w:val="19"/>
          <w:szCs w:val="19"/>
        </w:rPr>
        <w:t xml:space="preserve">theconstruction  of  </w:t>
      </w:r>
      <w:r>
        <w:rPr>
          <w:rFonts w:ascii="Arial" w:hAnsi="Arial" w:eastAsia="Arial" w:cs="Arial"/>
          <w:spacing w:val="6"/>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6"/>
          <w:sz w:val="19"/>
          <w:szCs w:val="19"/>
        </w:rPr>
        <w:t>ualit</w:t>
      </w:r>
      <w:r>
        <w:rPr>
          <w:rFonts w:ascii="Arial" w:hAnsi="Arial" w:eastAsia="Arial" w:cs="Arial"/>
          <w:spacing w:val="-36"/>
          <w:sz w:val="19"/>
          <w:szCs w:val="19"/>
        </w:rPr>
        <w:t xml:space="preserve"> </w:t>
      </w:r>
      <w:r>
        <w:rPr>
          <w:rFonts w:ascii="Arial" w:hAnsi="Arial" w:eastAsia="Arial" w:cs="Arial"/>
          <w:spacing w:val="6"/>
          <w:position w:val="-1"/>
          <w:sz w:val="19"/>
          <w:szCs w:val="19"/>
        </w:rPr>
        <w:t>y</w:t>
      </w:r>
      <w:r>
        <w:rPr>
          <w:rFonts w:ascii="Arial" w:hAnsi="Arial" w:eastAsia="Arial" w:cs="Arial"/>
          <w:spacing w:val="14"/>
          <w:position w:val="-1"/>
          <w:sz w:val="19"/>
          <w:szCs w:val="19"/>
        </w:rPr>
        <w:t xml:space="preserve">  </w:t>
      </w:r>
      <w:r>
        <w:rPr>
          <w:rFonts w:ascii="Arial" w:hAnsi="Arial" w:eastAsia="Arial" w:cs="Arial"/>
          <w:spacing w:val="6"/>
          <w:sz w:val="19"/>
          <w:szCs w:val="19"/>
        </w:rPr>
        <w:t>cultur</w:t>
      </w:r>
      <w:r>
        <w:rPr>
          <w:rFonts w:ascii="Arial" w:hAnsi="Arial" w:eastAsia="Arial" w:cs="Arial"/>
          <w:spacing w:val="5"/>
          <w:sz w:val="19"/>
          <w:szCs w:val="19"/>
        </w:rPr>
        <w:t>e</w:t>
      </w:r>
      <w:r>
        <w:rPr>
          <w:rFonts w:ascii="Arial" w:hAnsi="Arial" w:eastAsia="Arial" w:cs="Arial"/>
          <w:spacing w:val="13"/>
          <w:sz w:val="19"/>
          <w:szCs w:val="19"/>
        </w:rPr>
        <w:t xml:space="preserve">  </w:t>
      </w:r>
      <w:r>
        <w:rPr>
          <w:rFonts w:ascii="Arial" w:hAnsi="Arial" w:eastAsia="Arial" w:cs="Arial"/>
          <w:spacing w:val="5"/>
          <w:sz w:val="19"/>
          <w:szCs w:val="19"/>
        </w:rPr>
        <w:t>in</w:t>
      </w:r>
      <w:r>
        <w:rPr>
          <w:rFonts w:ascii="Arial" w:hAnsi="Arial" w:eastAsia="Arial" w:cs="Arial"/>
          <w:spacing w:val="13"/>
          <w:w w:val="101"/>
          <w:sz w:val="19"/>
          <w:szCs w:val="19"/>
        </w:rPr>
        <w:t xml:space="preserve">  </w:t>
      </w:r>
      <w:r>
        <w:rPr>
          <w:rFonts w:ascii="Arial" w:hAnsi="Arial" w:eastAsia="Arial" w:cs="Arial"/>
          <w:spacing w:val="5"/>
          <w:sz w:val="19"/>
          <w:szCs w:val="19"/>
        </w:rPr>
        <w:t>higher</w:t>
      </w:r>
      <w:r>
        <w:rPr>
          <w:rFonts w:ascii="Arial" w:hAnsi="Arial" w:eastAsia="Arial" w:cs="Arial"/>
          <w:spacing w:val="14"/>
          <w:w w:val="101"/>
          <w:sz w:val="19"/>
          <w:szCs w:val="19"/>
        </w:rPr>
        <w:t xml:space="preserve">  </w:t>
      </w:r>
      <w:r>
        <w:rPr>
          <w:rFonts w:ascii="Arial" w:hAnsi="Arial" w:eastAsia="Arial" w:cs="Arial"/>
          <w:spacing w:val="5"/>
          <w:sz w:val="19"/>
          <w:szCs w:val="19"/>
        </w:rPr>
        <w:t>education</w:t>
      </w:r>
      <w:r>
        <w:rPr>
          <w:rFonts w:ascii="Arial" w:hAnsi="Arial" w:eastAsia="Arial" w:cs="Arial"/>
          <w:spacing w:val="12"/>
          <w:sz w:val="19"/>
          <w:szCs w:val="19"/>
        </w:rPr>
        <w:t xml:space="preserve">  </w:t>
      </w:r>
      <w:r>
        <w:rPr>
          <w:rFonts w:ascii="Arial" w:hAnsi="Arial" w:eastAsia="Arial" w:cs="Arial"/>
          <w:spacing w:val="5"/>
          <w:sz w:val="19"/>
          <w:szCs w:val="19"/>
        </w:rPr>
        <w:t>in</w:t>
      </w:r>
      <w:r>
        <w:rPr>
          <w:rFonts w:ascii="Arial" w:hAnsi="Arial" w:eastAsia="Arial" w:cs="Arial"/>
          <w:spacing w:val="13"/>
          <w:w w:val="101"/>
          <w:sz w:val="19"/>
          <w:szCs w:val="19"/>
        </w:rPr>
        <w:t xml:space="preserve">  </w:t>
      </w:r>
      <w:r>
        <w:rPr>
          <w:rFonts w:ascii="Arial" w:hAnsi="Arial" w:eastAsia="Arial" w:cs="Arial"/>
          <w:spacing w:val="5"/>
          <w:sz w:val="19"/>
          <w:szCs w:val="19"/>
        </w:rPr>
        <w:t>our</w:t>
      </w:r>
      <w:r>
        <w:rPr>
          <w:rFonts w:ascii="Arial" w:hAnsi="Arial" w:eastAsia="Arial" w:cs="Arial"/>
          <w:spacing w:val="15"/>
          <w:sz w:val="19"/>
          <w:szCs w:val="19"/>
        </w:rPr>
        <w:t xml:space="preserve">  </w:t>
      </w:r>
      <w:r>
        <w:rPr>
          <w:rFonts w:ascii="Arial" w:hAnsi="Arial" w:eastAsia="Arial" w:cs="Arial"/>
          <w:spacing w:val="5"/>
          <w:sz w:val="19"/>
          <w:szCs w:val="19"/>
        </w:rPr>
        <w:t>countr</w:t>
      </w:r>
      <w:r>
        <w:rPr>
          <w:rFonts w:ascii="Arial" w:hAnsi="Arial" w:eastAsia="Arial" w:cs="Arial"/>
          <w:spacing w:val="-37"/>
          <w:sz w:val="19"/>
          <w:szCs w:val="19"/>
        </w:rPr>
        <w:t xml:space="preserve"> </w:t>
      </w:r>
      <w:r>
        <w:rPr>
          <w:rFonts w:ascii="Arial" w:hAnsi="Arial" w:eastAsia="Arial" w:cs="Arial"/>
          <w:spacing w:val="5"/>
          <w:position w:val="-1"/>
          <w:sz w:val="19"/>
          <w:szCs w:val="19"/>
        </w:rPr>
        <w:t>y</w:t>
      </w:r>
      <w:r>
        <w:rPr>
          <w:rFonts w:ascii="Arial" w:hAnsi="Arial" w:eastAsia="Arial" w:cs="Arial"/>
          <w:spacing w:val="5"/>
          <w:sz w:val="19"/>
          <w:szCs w:val="19"/>
        </w:rPr>
        <w:t>.   Establishing  the</w:t>
      </w:r>
      <w:r>
        <w:rPr>
          <w:rFonts w:ascii="Arial" w:hAnsi="Arial" w:eastAsia="Arial" w:cs="Arial"/>
          <w:sz w:val="19"/>
          <w:szCs w:val="19"/>
        </w:rPr>
        <w:t xml:space="preserve"> </w:t>
      </w:r>
      <w:r>
        <w:rPr>
          <w:rFonts w:ascii="Arial" w:hAnsi="Arial" w:eastAsia="Arial" w:cs="Arial"/>
          <w:spacing w:val="12"/>
          <w:sz w:val="19"/>
          <w:szCs w:val="19"/>
        </w:rPr>
        <w:t>studentcentered</w:t>
      </w:r>
      <w:r>
        <w:rPr>
          <w:rFonts w:ascii="Arial" w:hAnsi="Arial" w:eastAsia="Arial" w:cs="Arial"/>
          <w:spacing w:val="27"/>
          <w:sz w:val="19"/>
          <w:szCs w:val="19"/>
        </w:rPr>
        <w:t xml:space="preserve"> </w:t>
      </w:r>
      <w:r>
        <w:rPr>
          <w:rFonts w:ascii="Arial" w:hAnsi="Arial" w:eastAsia="Arial" w:cs="Arial"/>
          <w:spacing w:val="12"/>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12"/>
          <w:sz w:val="19"/>
          <w:szCs w:val="19"/>
        </w:rPr>
        <w:t>ualit</w:t>
      </w:r>
      <w:r>
        <w:rPr>
          <w:rFonts w:ascii="Arial" w:hAnsi="Arial" w:eastAsia="Arial" w:cs="Arial"/>
          <w:spacing w:val="-36"/>
          <w:sz w:val="19"/>
          <w:szCs w:val="19"/>
        </w:rPr>
        <w:t xml:space="preserve"> </w:t>
      </w:r>
      <w:r>
        <w:rPr>
          <w:rFonts w:ascii="Arial" w:hAnsi="Arial" w:eastAsia="Arial" w:cs="Arial"/>
          <w:spacing w:val="12"/>
          <w:position w:val="-1"/>
          <w:sz w:val="19"/>
          <w:szCs w:val="19"/>
        </w:rPr>
        <w:t>y</w:t>
      </w:r>
      <w:r>
        <w:rPr>
          <w:rFonts w:ascii="Arial" w:hAnsi="Arial" w:eastAsia="Arial" w:cs="Arial"/>
          <w:spacing w:val="27"/>
          <w:position w:val="-1"/>
          <w:sz w:val="19"/>
          <w:szCs w:val="19"/>
        </w:rPr>
        <w:t xml:space="preserve"> </w:t>
      </w:r>
      <w:r>
        <w:rPr>
          <w:rFonts w:ascii="Arial" w:hAnsi="Arial" w:eastAsia="Arial" w:cs="Arial"/>
          <w:spacing w:val="12"/>
          <w:sz w:val="19"/>
          <w:szCs w:val="19"/>
        </w:rPr>
        <w:t>cultur</w:t>
      </w:r>
      <w:r>
        <w:rPr>
          <w:rFonts w:ascii="Arial" w:hAnsi="Arial" w:eastAsia="Arial" w:cs="Arial"/>
          <w:spacing w:val="11"/>
          <w:sz w:val="19"/>
          <w:szCs w:val="19"/>
        </w:rPr>
        <w:t>einhighereducation</w:t>
      </w:r>
      <w:r>
        <w:rPr>
          <w:rFonts w:ascii="Arial" w:hAnsi="Arial" w:eastAsia="Arial" w:cs="Arial"/>
          <w:spacing w:val="-9"/>
          <w:sz w:val="19"/>
          <w:szCs w:val="19"/>
        </w:rPr>
        <w:t xml:space="preserve"> </w:t>
      </w:r>
      <w:r>
        <w:rPr>
          <w:rFonts w:ascii="微软雅黑" w:hAnsi="微软雅黑" w:eastAsia="微软雅黑" w:cs="微软雅黑"/>
          <w:spacing w:val="11"/>
          <w:position w:val="2"/>
          <w:sz w:val="19"/>
          <w:szCs w:val="19"/>
        </w:rPr>
        <w:t>,</w:t>
      </w:r>
      <w:r>
        <w:rPr>
          <w:rFonts w:ascii="微软雅黑" w:hAnsi="微软雅黑" w:eastAsia="微软雅黑" w:cs="微软雅黑"/>
          <w:spacing w:val="54"/>
          <w:position w:val="2"/>
          <w:sz w:val="19"/>
          <w:szCs w:val="19"/>
        </w:rPr>
        <w:t xml:space="preserve"> </w:t>
      </w:r>
      <w:r>
        <w:rPr>
          <w:rFonts w:ascii="Arial" w:hAnsi="Arial" w:eastAsia="Arial" w:cs="Arial"/>
          <w:spacing w:val="11"/>
          <w:sz w:val="19"/>
          <w:szCs w:val="19"/>
        </w:rPr>
        <w:t>balancingtheorientationatthefunction</w:t>
      </w:r>
      <w:r>
        <w:rPr>
          <w:rFonts w:ascii="Arial" w:hAnsi="Arial" w:eastAsia="Arial" w:cs="Arial"/>
          <w:sz w:val="19"/>
          <w:szCs w:val="19"/>
        </w:rPr>
        <w:t xml:space="preserve"> </w:t>
      </w:r>
      <w:r>
        <w:rPr>
          <w:rFonts w:ascii="Arial" w:hAnsi="Arial" w:eastAsia="Arial" w:cs="Arial"/>
          <w:spacing w:val="13"/>
          <w:sz w:val="19"/>
          <w:szCs w:val="19"/>
        </w:rPr>
        <w:t>ofhighereducation</w:t>
      </w:r>
      <w:r>
        <w:rPr>
          <w:rFonts w:ascii="Arial" w:hAnsi="Arial" w:eastAsia="Arial" w:cs="Arial"/>
          <w:spacing w:val="-9"/>
          <w:sz w:val="19"/>
          <w:szCs w:val="19"/>
        </w:rPr>
        <w:t xml:space="preserve"> </w:t>
      </w:r>
      <w:r>
        <w:rPr>
          <w:rFonts w:ascii="微软雅黑" w:hAnsi="微软雅黑" w:eastAsia="微软雅黑" w:cs="微软雅黑"/>
          <w:spacing w:val="13"/>
          <w:position w:val="2"/>
          <w:sz w:val="19"/>
          <w:szCs w:val="19"/>
        </w:rPr>
        <w:t>,</w:t>
      </w:r>
      <w:r>
        <w:rPr>
          <w:rFonts w:ascii="微软雅黑" w:hAnsi="微软雅黑" w:eastAsia="微软雅黑" w:cs="微软雅黑"/>
          <w:spacing w:val="2"/>
          <w:position w:val="2"/>
          <w:sz w:val="19"/>
          <w:szCs w:val="19"/>
        </w:rPr>
        <w:t xml:space="preserve">  </w:t>
      </w:r>
      <w:r>
        <w:rPr>
          <w:rFonts w:ascii="Arial" w:hAnsi="Arial" w:eastAsia="Arial" w:cs="Arial"/>
          <w:spacing w:val="13"/>
          <w:sz w:val="19"/>
          <w:szCs w:val="19"/>
        </w:rPr>
        <w:t>promotingthereformanddeve</w:t>
      </w:r>
      <w:r>
        <w:rPr>
          <w:rFonts w:ascii="Arial" w:hAnsi="Arial" w:eastAsia="Arial" w:cs="Arial"/>
          <w:spacing w:val="12"/>
          <w:sz w:val="19"/>
          <w:szCs w:val="19"/>
        </w:rPr>
        <w:t>lopmentofgeneraleducation.</w:t>
      </w:r>
      <w:r>
        <w:rPr>
          <w:rFonts w:ascii="Arial" w:hAnsi="Arial" w:eastAsia="Arial" w:cs="Arial"/>
          <w:spacing w:val="50"/>
          <w:w w:val="101"/>
          <w:sz w:val="19"/>
          <w:szCs w:val="19"/>
        </w:rPr>
        <w:t xml:space="preserve"> </w:t>
      </w:r>
      <w:r>
        <w:rPr>
          <w:rFonts w:ascii="Arial" w:hAnsi="Arial" w:eastAsia="Arial" w:cs="Arial"/>
          <w:spacing w:val="12"/>
          <w:sz w:val="19"/>
          <w:szCs w:val="19"/>
        </w:rPr>
        <w:t>Improving</w:t>
      </w:r>
      <w:r>
        <w:rPr>
          <w:rFonts w:ascii="Arial" w:hAnsi="Arial" w:eastAsia="Arial" w:cs="Arial"/>
          <w:sz w:val="19"/>
          <w:szCs w:val="19"/>
        </w:rPr>
        <w:t xml:space="preserve"> </w:t>
      </w:r>
      <w:r>
        <w:rPr>
          <w:rFonts w:ascii="Arial" w:hAnsi="Arial" w:eastAsia="Arial" w:cs="Arial"/>
          <w:spacing w:val="4"/>
          <w:sz w:val="19"/>
          <w:szCs w:val="19"/>
        </w:rPr>
        <w:t>theconstructionof</w:t>
      </w:r>
      <w:r>
        <w:rPr>
          <w:rFonts w:ascii="Arial" w:hAnsi="Arial" w:eastAsia="Arial" w:cs="Arial"/>
          <w:spacing w:val="51"/>
          <w:sz w:val="19"/>
          <w:szCs w:val="19"/>
        </w:rPr>
        <w:t xml:space="preserve"> </w:t>
      </w:r>
      <w:r>
        <w:rPr>
          <w:rFonts w:ascii="Arial" w:hAnsi="Arial" w:eastAsia="Arial" w:cs="Arial"/>
          <w:spacing w:val="4"/>
          <w:sz w:val="19"/>
          <w:szCs w:val="19"/>
        </w:rPr>
        <w:t>evaluation</w:t>
      </w:r>
      <w:r>
        <w:rPr>
          <w:rFonts w:ascii="Arial" w:hAnsi="Arial" w:eastAsia="Arial" w:cs="Arial"/>
          <w:spacing w:val="34"/>
          <w:w w:val="101"/>
          <w:sz w:val="19"/>
          <w:szCs w:val="19"/>
        </w:rPr>
        <w:t xml:space="preserve"> </w:t>
      </w:r>
      <w:r>
        <w:rPr>
          <w:rFonts w:ascii="Arial" w:hAnsi="Arial" w:eastAsia="Arial" w:cs="Arial"/>
          <w:spacing w:val="4"/>
          <w:sz w:val="19"/>
          <w:szCs w:val="19"/>
        </w:rPr>
        <w:t xml:space="preserve">mechanism </w:t>
      </w:r>
      <w:r>
        <w:rPr>
          <w:rFonts w:ascii="微软雅黑" w:hAnsi="微软雅黑" w:eastAsia="微软雅黑" w:cs="微软雅黑"/>
          <w:spacing w:val="4"/>
          <w:position w:val="2"/>
          <w:sz w:val="19"/>
          <w:szCs w:val="19"/>
        </w:rPr>
        <w:t>,</w:t>
      </w:r>
      <w:r>
        <w:rPr>
          <w:rFonts w:ascii="微软雅黑" w:hAnsi="微软雅黑" w:eastAsia="微软雅黑" w:cs="微软雅黑"/>
          <w:spacing w:val="2"/>
          <w:position w:val="2"/>
          <w:sz w:val="19"/>
          <w:szCs w:val="19"/>
        </w:rPr>
        <w:t xml:space="preserve">  </w:t>
      </w:r>
      <w:r>
        <w:rPr>
          <w:rFonts w:ascii="Arial" w:hAnsi="Arial" w:eastAsia="Arial" w:cs="Arial"/>
          <w:spacing w:val="4"/>
          <w:sz w:val="19"/>
          <w:szCs w:val="19"/>
        </w:rPr>
        <w:t>and</w:t>
      </w:r>
      <w:r>
        <w:rPr>
          <w:rFonts w:ascii="Arial" w:hAnsi="Arial" w:eastAsia="Arial" w:cs="Arial"/>
          <w:spacing w:val="36"/>
          <w:w w:val="101"/>
          <w:sz w:val="19"/>
          <w:szCs w:val="19"/>
        </w:rPr>
        <w:t xml:space="preserve"> </w:t>
      </w:r>
      <w:r>
        <w:rPr>
          <w:rFonts w:ascii="Arial" w:hAnsi="Arial" w:eastAsia="Arial" w:cs="Arial"/>
          <w:spacing w:val="4"/>
          <w:sz w:val="19"/>
          <w:szCs w:val="19"/>
        </w:rPr>
        <w:t>so</w:t>
      </w:r>
      <w:r>
        <w:rPr>
          <w:rFonts w:ascii="Arial" w:hAnsi="Arial" w:eastAsia="Arial" w:cs="Arial"/>
          <w:spacing w:val="37"/>
          <w:sz w:val="19"/>
          <w:szCs w:val="19"/>
        </w:rPr>
        <w:t xml:space="preserve"> </w:t>
      </w:r>
      <w:r>
        <w:rPr>
          <w:rFonts w:ascii="Arial" w:hAnsi="Arial" w:eastAsia="Arial" w:cs="Arial"/>
          <w:spacing w:val="4"/>
          <w:sz w:val="19"/>
          <w:szCs w:val="19"/>
        </w:rPr>
        <w:t>on.</w:t>
      </w:r>
    </w:p>
    <w:p>
      <w:pPr>
        <w:spacing w:before="53" w:line="168" w:lineRule="auto"/>
        <w:ind w:left="1918"/>
        <w:rPr>
          <w:rFonts w:ascii="Arial" w:hAnsi="Arial" w:eastAsia="Arial" w:cs="Arial"/>
          <w:sz w:val="19"/>
          <w:szCs w:val="19"/>
        </w:rPr>
      </w:pPr>
      <w:r>
        <w:rPr>
          <w:rFonts w:ascii="Arial" w:hAnsi="Arial" w:eastAsia="Arial" w:cs="Arial"/>
          <w:spacing w:val="4"/>
          <w:sz w:val="19"/>
          <w:szCs w:val="19"/>
        </w:rPr>
        <w:t>Keywords</w:t>
      </w:r>
      <w:r>
        <w:rPr>
          <w:rFonts w:ascii="微软雅黑" w:hAnsi="微软雅黑" w:eastAsia="微软雅黑" w:cs="微软雅黑"/>
          <w:spacing w:val="4"/>
          <w:sz w:val="19"/>
          <w:szCs w:val="19"/>
        </w:rPr>
        <w:t xml:space="preserve">:  </w:t>
      </w:r>
      <w:r>
        <w:rPr>
          <w:rFonts w:ascii="Arial" w:hAnsi="Arial" w:eastAsia="Arial" w:cs="Arial"/>
          <w:spacing w:val="4"/>
          <w:sz w:val="19"/>
          <w:szCs w:val="19"/>
        </w:rPr>
        <w:t>highereducation</w:t>
      </w:r>
      <w:r>
        <w:rPr>
          <w:rFonts w:ascii="Arial" w:hAnsi="Arial" w:eastAsia="Arial" w:cs="Arial"/>
          <w:spacing w:val="-9"/>
          <w:sz w:val="19"/>
          <w:szCs w:val="19"/>
        </w:rPr>
        <w:t xml:space="preserve"> </w:t>
      </w:r>
      <w:r>
        <w:rPr>
          <w:rFonts w:ascii="微软雅黑" w:hAnsi="微软雅黑" w:eastAsia="微软雅黑" w:cs="微软雅黑"/>
          <w:spacing w:val="4"/>
          <w:position w:val="2"/>
          <w:sz w:val="19"/>
          <w:szCs w:val="19"/>
        </w:rPr>
        <w:t xml:space="preserve">;  </w:t>
      </w:r>
      <w:r>
        <w:rPr>
          <w:rFonts w:ascii="Arial" w:hAnsi="Arial" w:eastAsia="Arial" w:cs="Arial"/>
          <w:spacing w:val="4"/>
          <w:position w:val="-1"/>
          <w:sz w:val="19"/>
          <w:szCs w:val="19"/>
        </w:rPr>
        <w:t>q</w:t>
      </w:r>
      <w:r>
        <w:rPr>
          <w:rFonts w:ascii="Arial" w:hAnsi="Arial" w:eastAsia="Arial" w:cs="Arial"/>
          <w:spacing w:val="-36"/>
          <w:position w:val="-1"/>
          <w:sz w:val="19"/>
          <w:szCs w:val="19"/>
        </w:rPr>
        <w:t xml:space="preserve"> </w:t>
      </w:r>
      <w:r>
        <w:rPr>
          <w:rFonts w:ascii="Arial" w:hAnsi="Arial" w:eastAsia="Arial" w:cs="Arial"/>
          <w:spacing w:val="4"/>
          <w:sz w:val="19"/>
          <w:szCs w:val="19"/>
        </w:rPr>
        <w:t>ualit</w:t>
      </w:r>
      <w:r>
        <w:rPr>
          <w:rFonts w:ascii="Arial" w:hAnsi="Arial" w:eastAsia="Arial" w:cs="Arial"/>
          <w:spacing w:val="-36"/>
          <w:sz w:val="19"/>
          <w:szCs w:val="19"/>
        </w:rPr>
        <w:t xml:space="preserve"> </w:t>
      </w:r>
      <w:r>
        <w:rPr>
          <w:rFonts w:ascii="Arial" w:hAnsi="Arial" w:eastAsia="Arial" w:cs="Arial"/>
          <w:spacing w:val="4"/>
          <w:position w:val="-1"/>
          <w:sz w:val="19"/>
          <w:szCs w:val="19"/>
        </w:rPr>
        <w:t>y</w:t>
      </w:r>
      <w:r>
        <w:rPr>
          <w:rFonts w:ascii="Arial" w:hAnsi="Arial" w:eastAsia="Arial" w:cs="Arial"/>
          <w:spacing w:val="34"/>
          <w:position w:val="-1"/>
          <w:sz w:val="19"/>
          <w:szCs w:val="19"/>
        </w:rPr>
        <w:t xml:space="preserve"> </w:t>
      </w:r>
      <w:r>
        <w:rPr>
          <w:rFonts w:ascii="Arial" w:hAnsi="Arial" w:eastAsia="Arial" w:cs="Arial"/>
          <w:spacing w:val="4"/>
          <w:sz w:val="19"/>
          <w:szCs w:val="19"/>
        </w:rPr>
        <w:t>culture</w:t>
      </w:r>
      <w:r>
        <w:rPr>
          <w:rFonts w:ascii="Arial" w:hAnsi="Arial" w:eastAsia="Arial" w:cs="Arial"/>
          <w:spacing w:val="-7"/>
          <w:sz w:val="19"/>
          <w:szCs w:val="19"/>
        </w:rPr>
        <w:t xml:space="preserve"> </w:t>
      </w:r>
      <w:r>
        <w:rPr>
          <w:rFonts w:ascii="微软雅黑" w:hAnsi="微软雅黑" w:eastAsia="微软雅黑" w:cs="微软雅黑"/>
          <w:spacing w:val="4"/>
          <w:position w:val="2"/>
          <w:sz w:val="19"/>
          <w:szCs w:val="19"/>
        </w:rPr>
        <w:t xml:space="preserve">;  </w:t>
      </w:r>
      <w:r>
        <w:rPr>
          <w:rFonts w:ascii="Arial" w:hAnsi="Arial" w:eastAsia="Arial" w:cs="Arial"/>
          <w:spacing w:val="4"/>
          <w:position w:val="-1"/>
          <w:sz w:val="19"/>
          <w:szCs w:val="19"/>
        </w:rPr>
        <w:t>q</w:t>
      </w:r>
      <w:r>
        <w:rPr>
          <w:rFonts w:ascii="Arial" w:hAnsi="Arial" w:eastAsia="Arial" w:cs="Arial"/>
          <w:spacing w:val="-37"/>
          <w:position w:val="-1"/>
          <w:sz w:val="19"/>
          <w:szCs w:val="19"/>
        </w:rPr>
        <w:t xml:space="preserve"> </w:t>
      </w:r>
      <w:r>
        <w:rPr>
          <w:rFonts w:ascii="Arial" w:hAnsi="Arial" w:eastAsia="Arial" w:cs="Arial"/>
          <w:spacing w:val="4"/>
          <w:sz w:val="19"/>
          <w:szCs w:val="19"/>
        </w:rPr>
        <w:t>ualit</w:t>
      </w:r>
      <w:r>
        <w:rPr>
          <w:rFonts w:ascii="Arial" w:hAnsi="Arial" w:eastAsia="Arial" w:cs="Arial"/>
          <w:spacing w:val="-36"/>
          <w:sz w:val="19"/>
          <w:szCs w:val="19"/>
        </w:rPr>
        <w:t xml:space="preserve"> </w:t>
      </w:r>
      <w:r>
        <w:rPr>
          <w:rFonts w:ascii="Arial" w:hAnsi="Arial" w:eastAsia="Arial" w:cs="Arial"/>
          <w:spacing w:val="4"/>
          <w:position w:val="-1"/>
          <w:sz w:val="19"/>
          <w:szCs w:val="19"/>
        </w:rPr>
        <w:t>y</w:t>
      </w:r>
      <w:r>
        <w:rPr>
          <w:rFonts w:ascii="Arial" w:hAnsi="Arial" w:eastAsia="Arial" w:cs="Arial"/>
          <w:spacing w:val="32"/>
          <w:w w:val="101"/>
          <w:position w:val="-1"/>
          <w:sz w:val="19"/>
          <w:szCs w:val="19"/>
        </w:rPr>
        <w:t xml:space="preserve"> </w:t>
      </w:r>
      <w:r>
        <w:rPr>
          <w:rFonts w:ascii="Arial" w:hAnsi="Arial" w:eastAsia="Arial" w:cs="Arial"/>
          <w:spacing w:val="4"/>
          <w:sz w:val="19"/>
          <w:szCs w:val="19"/>
        </w:rPr>
        <w:t>assur</w:t>
      </w:r>
      <w:r>
        <w:rPr>
          <w:rFonts w:ascii="Arial" w:hAnsi="Arial" w:eastAsia="Arial" w:cs="Arial"/>
          <w:spacing w:val="3"/>
          <w:sz w:val="19"/>
          <w:szCs w:val="19"/>
        </w:rPr>
        <w:t>ance</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9" w:line="174" w:lineRule="auto"/>
        <w:ind w:left="1170"/>
        <w:rPr>
          <w:rFonts w:ascii="Arial" w:hAnsi="Arial" w:eastAsia="Arial" w:cs="Arial"/>
          <w:sz w:val="16"/>
          <w:szCs w:val="16"/>
        </w:rPr>
      </w:pPr>
      <w:r>
        <w:rPr>
          <w:rFonts w:ascii="黑体" w:hAnsi="黑体" w:eastAsia="黑体" w:cs="黑体"/>
          <w:spacing w:val="-3"/>
          <w:sz w:val="16"/>
          <w:szCs w:val="16"/>
        </w:rPr>
        <w:t>收稿</w:t>
      </w:r>
      <w:r>
        <w:rPr>
          <w:rFonts w:ascii="黑体" w:hAnsi="黑体" w:eastAsia="黑体" w:cs="黑体"/>
          <w:spacing w:val="-33"/>
          <w:sz w:val="16"/>
          <w:szCs w:val="16"/>
        </w:rPr>
        <w:t xml:space="preserve"> </w:t>
      </w:r>
      <w:r>
        <w:rPr>
          <w:rFonts w:ascii="黑体" w:hAnsi="黑体" w:eastAsia="黑体" w:cs="黑体"/>
          <w:spacing w:val="-3"/>
          <w:sz w:val="16"/>
          <w:szCs w:val="16"/>
        </w:rPr>
        <w:t>日期</w:t>
      </w:r>
      <w:r>
        <w:rPr>
          <w:rFonts w:ascii="微软雅黑" w:hAnsi="微软雅黑" w:eastAsia="微软雅黑" w:cs="微软雅黑"/>
          <w:spacing w:val="-3"/>
          <w:sz w:val="16"/>
          <w:szCs w:val="16"/>
        </w:rPr>
        <w:t>：</w:t>
      </w:r>
      <w:r>
        <w:rPr>
          <w:rFonts w:ascii="Arial" w:hAnsi="Arial" w:eastAsia="Arial" w:cs="Arial"/>
          <w:spacing w:val="-3"/>
          <w:sz w:val="16"/>
          <w:szCs w:val="16"/>
        </w:rPr>
        <w:t>2017-11-16</w:t>
      </w:r>
    </w:p>
    <w:p>
      <w:pPr>
        <w:spacing w:before="3" w:line="175" w:lineRule="auto"/>
        <w:ind w:left="1170" w:right="3" w:hanging="1"/>
        <w:rPr>
          <w:rFonts w:ascii="微软雅黑" w:hAnsi="微软雅黑" w:eastAsia="微软雅黑" w:cs="微软雅黑"/>
          <w:sz w:val="16"/>
          <w:szCs w:val="16"/>
        </w:rPr>
      </w:pPr>
      <w:r>
        <w:rPr>
          <w:rFonts w:ascii="黑体" w:hAnsi="黑体" w:eastAsia="黑体" w:cs="黑体"/>
          <w:spacing w:val="12"/>
          <w:sz w:val="16"/>
          <w:szCs w:val="16"/>
        </w:rPr>
        <w:t>作者简介</w:t>
      </w:r>
      <w:r>
        <w:rPr>
          <w:rFonts w:ascii="微软雅黑" w:hAnsi="微软雅黑" w:eastAsia="微软雅黑" w:cs="微软雅黑"/>
          <w:spacing w:val="12"/>
          <w:sz w:val="16"/>
          <w:szCs w:val="16"/>
        </w:rPr>
        <w:t>：</w:t>
      </w:r>
      <w:r>
        <w:rPr>
          <w:rFonts w:ascii="宋体" w:hAnsi="宋体" w:eastAsia="宋体" w:cs="宋体"/>
          <w:spacing w:val="12"/>
          <w:sz w:val="16"/>
          <w:szCs w:val="16"/>
        </w:rPr>
        <w:t>冯惠敏</w:t>
      </w:r>
      <w:r>
        <w:rPr>
          <w:rFonts w:ascii="微软雅黑" w:hAnsi="微软雅黑" w:eastAsia="微软雅黑" w:cs="微软雅黑"/>
          <w:spacing w:val="12"/>
          <w:sz w:val="16"/>
          <w:szCs w:val="16"/>
        </w:rPr>
        <w:t>(</w:t>
      </w:r>
      <w:r>
        <w:rPr>
          <w:rFonts w:ascii="Arial" w:hAnsi="Arial" w:eastAsia="Arial" w:cs="Arial"/>
          <w:spacing w:val="12"/>
          <w:sz w:val="16"/>
          <w:szCs w:val="16"/>
        </w:rPr>
        <w:t>1965-</w:t>
      </w:r>
      <w:r>
        <w:rPr>
          <w:rFonts w:ascii="微软雅黑" w:hAnsi="微软雅黑" w:eastAsia="微软雅黑" w:cs="微软雅黑"/>
          <w:spacing w:val="12"/>
          <w:sz w:val="16"/>
          <w:szCs w:val="16"/>
        </w:rPr>
        <w:t>) ,</w:t>
      </w:r>
      <w:r>
        <w:rPr>
          <w:rFonts w:ascii="宋体" w:hAnsi="宋体" w:eastAsia="宋体" w:cs="宋体"/>
          <w:spacing w:val="12"/>
          <w:sz w:val="16"/>
          <w:szCs w:val="16"/>
        </w:rPr>
        <w:t>女</w:t>
      </w:r>
      <w:r>
        <w:rPr>
          <w:rFonts w:ascii="微软雅黑" w:hAnsi="微软雅黑" w:eastAsia="微软雅黑" w:cs="微软雅黑"/>
          <w:spacing w:val="12"/>
          <w:sz w:val="16"/>
          <w:szCs w:val="16"/>
        </w:rPr>
        <w:t>，</w:t>
      </w:r>
      <w:r>
        <w:rPr>
          <w:rFonts w:ascii="宋体" w:hAnsi="宋体" w:eastAsia="宋体" w:cs="宋体"/>
          <w:spacing w:val="12"/>
          <w:sz w:val="16"/>
          <w:szCs w:val="16"/>
        </w:rPr>
        <w:t>湖北浠水人</w:t>
      </w:r>
      <w:r>
        <w:rPr>
          <w:rFonts w:ascii="微软雅黑" w:hAnsi="微软雅黑" w:eastAsia="微软雅黑" w:cs="微软雅黑"/>
          <w:spacing w:val="12"/>
          <w:sz w:val="16"/>
          <w:szCs w:val="16"/>
        </w:rPr>
        <w:t>，</w:t>
      </w:r>
      <w:r>
        <w:rPr>
          <w:rFonts w:ascii="宋体" w:hAnsi="宋体" w:eastAsia="宋体" w:cs="宋体"/>
          <w:spacing w:val="12"/>
          <w:sz w:val="16"/>
          <w:szCs w:val="16"/>
        </w:rPr>
        <w:t>武汉大学教育科学研究院教授</w:t>
      </w:r>
      <w:r>
        <w:rPr>
          <w:rFonts w:ascii="微软雅黑" w:hAnsi="微软雅黑" w:eastAsia="微软雅黑" w:cs="微软雅黑"/>
          <w:spacing w:val="12"/>
          <w:sz w:val="16"/>
          <w:szCs w:val="16"/>
        </w:rPr>
        <w:t>，</w:t>
      </w:r>
      <w:r>
        <w:rPr>
          <w:rFonts w:ascii="宋体" w:hAnsi="宋体" w:eastAsia="宋体" w:cs="宋体"/>
          <w:spacing w:val="12"/>
          <w:sz w:val="16"/>
          <w:szCs w:val="16"/>
        </w:rPr>
        <w:t>博士生导师</w:t>
      </w:r>
      <w:r>
        <w:rPr>
          <w:rFonts w:ascii="微软雅黑" w:hAnsi="微软雅黑" w:eastAsia="微软雅黑" w:cs="微软雅黑"/>
          <w:spacing w:val="12"/>
          <w:sz w:val="16"/>
          <w:szCs w:val="16"/>
        </w:rPr>
        <w:t>，</w:t>
      </w:r>
      <w:r>
        <w:rPr>
          <w:rFonts w:ascii="宋体" w:hAnsi="宋体" w:eastAsia="宋体" w:cs="宋体"/>
          <w:spacing w:val="12"/>
          <w:sz w:val="16"/>
          <w:szCs w:val="16"/>
        </w:rPr>
        <w:t>从事大学通识教育研究</w:t>
      </w:r>
      <w:r>
        <w:rPr>
          <w:rFonts w:ascii="微软雅黑" w:hAnsi="微软雅黑" w:eastAsia="微软雅黑" w:cs="微软雅黑"/>
          <w:spacing w:val="12"/>
          <w:sz w:val="16"/>
          <w:szCs w:val="16"/>
        </w:rPr>
        <w:t>；</w:t>
      </w:r>
      <w:r>
        <w:rPr>
          <w:rFonts w:ascii="宋体" w:hAnsi="宋体" w:eastAsia="宋体" w:cs="宋体"/>
          <w:spacing w:val="12"/>
          <w:sz w:val="16"/>
          <w:szCs w:val="16"/>
        </w:rPr>
        <w:t>郭洪瑞</w:t>
      </w:r>
      <w:r>
        <w:rPr>
          <w:rFonts w:ascii="宋体" w:hAnsi="宋体" w:eastAsia="宋体" w:cs="宋体"/>
          <w:spacing w:val="11"/>
          <w:sz w:val="16"/>
          <w:szCs w:val="16"/>
        </w:rPr>
        <w:t xml:space="preserve"> </w:t>
      </w:r>
      <w:r>
        <w:rPr>
          <w:rFonts w:ascii="微软雅黑" w:hAnsi="微软雅黑" w:eastAsia="微软雅黑" w:cs="微软雅黑"/>
          <w:spacing w:val="15"/>
          <w:sz w:val="16"/>
          <w:szCs w:val="16"/>
        </w:rPr>
        <w:t>(</w:t>
      </w:r>
      <w:r>
        <w:rPr>
          <w:rFonts w:ascii="Arial" w:hAnsi="Arial" w:eastAsia="Arial" w:cs="Arial"/>
          <w:spacing w:val="15"/>
          <w:sz w:val="16"/>
          <w:szCs w:val="16"/>
        </w:rPr>
        <w:t>1994-</w:t>
      </w:r>
      <w:r>
        <w:rPr>
          <w:rFonts w:ascii="微软雅黑" w:hAnsi="微软雅黑" w:eastAsia="微软雅黑" w:cs="微软雅黑"/>
          <w:spacing w:val="15"/>
          <w:sz w:val="16"/>
          <w:szCs w:val="16"/>
        </w:rPr>
        <w:t>) ,</w:t>
      </w:r>
      <w:r>
        <w:rPr>
          <w:rFonts w:ascii="宋体" w:hAnsi="宋体" w:eastAsia="宋体" w:cs="宋体"/>
          <w:spacing w:val="15"/>
          <w:sz w:val="16"/>
          <w:szCs w:val="16"/>
        </w:rPr>
        <w:t>男</w:t>
      </w:r>
      <w:r>
        <w:rPr>
          <w:rFonts w:ascii="微软雅黑" w:hAnsi="微软雅黑" w:eastAsia="微软雅黑" w:cs="微软雅黑"/>
          <w:spacing w:val="15"/>
          <w:sz w:val="16"/>
          <w:szCs w:val="16"/>
        </w:rPr>
        <w:t>，</w:t>
      </w:r>
      <w:r>
        <w:rPr>
          <w:rFonts w:ascii="宋体" w:hAnsi="宋体" w:eastAsia="宋体" w:cs="宋体"/>
          <w:spacing w:val="15"/>
          <w:sz w:val="16"/>
          <w:szCs w:val="16"/>
        </w:rPr>
        <w:t>河北廊坊人</w:t>
      </w:r>
      <w:r>
        <w:rPr>
          <w:rFonts w:ascii="微软雅黑" w:hAnsi="微软雅黑" w:eastAsia="微软雅黑" w:cs="微软雅黑"/>
          <w:spacing w:val="15"/>
          <w:sz w:val="16"/>
          <w:szCs w:val="16"/>
        </w:rPr>
        <w:t>，</w:t>
      </w:r>
      <w:r>
        <w:rPr>
          <w:rFonts w:ascii="宋体" w:hAnsi="宋体" w:eastAsia="宋体" w:cs="宋体"/>
          <w:spacing w:val="15"/>
          <w:sz w:val="16"/>
          <w:szCs w:val="16"/>
        </w:rPr>
        <w:t>武汉大学教育科学研究院硕士研</w:t>
      </w:r>
      <w:r>
        <w:rPr>
          <w:rFonts w:ascii="宋体" w:hAnsi="宋体" w:eastAsia="宋体" w:cs="宋体"/>
          <w:spacing w:val="-46"/>
          <w:sz w:val="16"/>
          <w:szCs w:val="16"/>
        </w:rPr>
        <w:t xml:space="preserve"> </w:t>
      </w:r>
      <w:r>
        <w:rPr>
          <w:rFonts w:ascii="宋体" w:hAnsi="宋体" w:eastAsia="宋体" w:cs="宋体"/>
          <w:spacing w:val="15"/>
          <w:sz w:val="16"/>
          <w:szCs w:val="16"/>
        </w:rPr>
        <w:t>究生</w:t>
      </w:r>
      <w:r>
        <w:rPr>
          <w:rFonts w:ascii="微软雅黑" w:hAnsi="微软雅黑" w:eastAsia="微软雅黑" w:cs="微软雅黑"/>
          <w:spacing w:val="15"/>
          <w:sz w:val="16"/>
          <w:szCs w:val="16"/>
        </w:rPr>
        <w:t>，</w:t>
      </w:r>
      <w:r>
        <w:rPr>
          <w:rFonts w:ascii="宋体" w:hAnsi="宋体" w:eastAsia="宋体" w:cs="宋体"/>
          <w:spacing w:val="15"/>
          <w:sz w:val="16"/>
          <w:szCs w:val="16"/>
        </w:rPr>
        <w:t>从</w:t>
      </w:r>
      <w:r>
        <w:rPr>
          <w:rFonts w:ascii="宋体" w:hAnsi="宋体" w:eastAsia="宋体" w:cs="宋体"/>
          <w:spacing w:val="14"/>
          <w:sz w:val="16"/>
          <w:szCs w:val="16"/>
        </w:rPr>
        <w:t>事教育基本原理研究</w:t>
      </w:r>
      <w:r>
        <w:rPr>
          <w:rFonts w:ascii="微软雅黑" w:hAnsi="微软雅黑" w:eastAsia="微软雅黑" w:cs="微软雅黑"/>
          <w:spacing w:val="14"/>
          <w:sz w:val="16"/>
          <w:szCs w:val="16"/>
        </w:rPr>
        <w:t>；</w:t>
      </w:r>
      <w:r>
        <w:rPr>
          <w:rFonts w:ascii="宋体" w:hAnsi="宋体" w:eastAsia="宋体" w:cs="宋体"/>
          <w:spacing w:val="14"/>
          <w:sz w:val="16"/>
          <w:szCs w:val="16"/>
        </w:rPr>
        <w:t>黄</w:t>
      </w:r>
      <w:r>
        <w:rPr>
          <w:rFonts w:ascii="宋体" w:hAnsi="宋体" w:eastAsia="宋体" w:cs="宋体"/>
          <w:spacing w:val="-37"/>
          <w:sz w:val="16"/>
          <w:szCs w:val="16"/>
        </w:rPr>
        <w:t xml:space="preserve"> </w:t>
      </w:r>
      <w:r>
        <w:rPr>
          <w:rFonts w:ascii="宋体" w:hAnsi="宋体" w:eastAsia="宋体" w:cs="宋体"/>
          <w:spacing w:val="14"/>
          <w:sz w:val="16"/>
          <w:szCs w:val="16"/>
        </w:rPr>
        <w:t>明</w:t>
      </w:r>
      <w:r>
        <w:rPr>
          <w:rFonts w:ascii="宋体" w:hAnsi="宋体" w:eastAsia="宋体" w:cs="宋体"/>
          <w:spacing w:val="-46"/>
          <w:sz w:val="16"/>
          <w:szCs w:val="16"/>
        </w:rPr>
        <w:t xml:space="preserve"> </w:t>
      </w:r>
      <w:r>
        <w:rPr>
          <w:rFonts w:ascii="宋体" w:hAnsi="宋体" w:eastAsia="宋体" w:cs="宋体"/>
          <w:spacing w:val="14"/>
          <w:sz w:val="16"/>
          <w:szCs w:val="16"/>
        </w:rPr>
        <w:t>东</w:t>
      </w:r>
      <w:r>
        <w:rPr>
          <w:rFonts w:ascii="微软雅黑" w:hAnsi="微软雅黑" w:eastAsia="微软雅黑" w:cs="微软雅黑"/>
          <w:spacing w:val="14"/>
          <w:sz w:val="16"/>
          <w:szCs w:val="16"/>
        </w:rPr>
        <w:t>(</w:t>
      </w:r>
      <w:r>
        <w:rPr>
          <w:rFonts w:ascii="Arial" w:hAnsi="Arial" w:eastAsia="Arial" w:cs="Arial"/>
          <w:spacing w:val="14"/>
          <w:sz w:val="16"/>
          <w:szCs w:val="16"/>
        </w:rPr>
        <w:t>1964-</w:t>
      </w:r>
      <w:r>
        <w:rPr>
          <w:rFonts w:ascii="微软雅黑" w:hAnsi="微软雅黑" w:eastAsia="微软雅黑" w:cs="微软雅黑"/>
          <w:spacing w:val="14"/>
          <w:sz w:val="16"/>
          <w:szCs w:val="16"/>
        </w:rPr>
        <w:t xml:space="preserve">) , </w:t>
      </w:r>
      <w:r>
        <w:rPr>
          <w:rFonts w:ascii="宋体" w:hAnsi="宋体" w:eastAsia="宋体" w:cs="宋体"/>
          <w:spacing w:val="14"/>
          <w:sz w:val="16"/>
          <w:szCs w:val="16"/>
        </w:rPr>
        <w:t>男</w:t>
      </w:r>
      <w:r>
        <w:rPr>
          <w:rFonts w:ascii="微软雅黑" w:hAnsi="微软雅黑" w:eastAsia="微软雅黑" w:cs="微软雅黑"/>
          <w:spacing w:val="14"/>
          <w:sz w:val="16"/>
          <w:szCs w:val="16"/>
        </w:rPr>
        <w:t>，</w:t>
      </w:r>
      <w:r>
        <w:rPr>
          <w:rFonts w:ascii="宋体" w:hAnsi="宋体" w:eastAsia="宋体" w:cs="宋体"/>
          <w:spacing w:val="14"/>
          <w:sz w:val="16"/>
          <w:szCs w:val="16"/>
        </w:rPr>
        <w:t>安徽舒</w:t>
      </w:r>
      <w:r>
        <w:rPr>
          <w:rFonts w:ascii="宋体" w:hAnsi="宋体" w:eastAsia="宋体" w:cs="宋体"/>
          <w:sz w:val="16"/>
          <w:szCs w:val="16"/>
        </w:rPr>
        <w:t xml:space="preserve"> </w:t>
      </w:r>
      <w:r>
        <w:rPr>
          <w:rFonts w:ascii="宋体" w:hAnsi="宋体" w:eastAsia="宋体" w:cs="宋体"/>
          <w:spacing w:val="13"/>
          <w:sz w:val="16"/>
          <w:szCs w:val="16"/>
        </w:rPr>
        <w:t>城人</w:t>
      </w:r>
      <w:r>
        <w:rPr>
          <w:rFonts w:ascii="微软雅黑" w:hAnsi="微软雅黑" w:eastAsia="微软雅黑" w:cs="微软雅黑"/>
          <w:spacing w:val="13"/>
          <w:sz w:val="16"/>
          <w:szCs w:val="16"/>
        </w:rPr>
        <w:t>，</w:t>
      </w:r>
      <w:r>
        <w:rPr>
          <w:rFonts w:ascii="宋体" w:hAnsi="宋体" w:eastAsia="宋体" w:cs="宋体"/>
          <w:spacing w:val="13"/>
          <w:sz w:val="16"/>
          <w:szCs w:val="16"/>
        </w:rPr>
        <w:t>武汉大学本科生院副院长兼质量管理处处长</w:t>
      </w:r>
      <w:r>
        <w:rPr>
          <w:rFonts w:ascii="微软雅黑" w:hAnsi="微软雅黑" w:eastAsia="微软雅黑" w:cs="微软雅黑"/>
          <w:spacing w:val="13"/>
          <w:sz w:val="16"/>
          <w:szCs w:val="16"/>
        </w:rPr>
        <w:t>，</w:t>
      </w:r>
      <w:r>
        <w:rPr>
          <w:rFonts w:ascii="宋体" w:hAnsi="宋体" w:eastAsia="宋体" w:cs="宋体"/>
          <w:spacing w:val="13"/>
          <w:sz w:val="16"/>
          <w:szCs w:val="16"/>
        </w:rPr>
        <w:t>教育科学研究院教</w:t>
      </w:r>
      <w:r>
        <w:rPr>
          <w:rFonts w:ascii="宋体" w:hAnsi="宋体" w:eastAsia="宋体" w:cs="宋体"/>
          <w:spacing w:val="12"/>
          <w:sz w:val="16"/>
          <w:szCs w:val="16"/>
        </w:rPr>
        <w:t>授</w:t>
      </w:r>
      <w:r>
        <w:rPr>
          <w:rFonts w:ascii="微软雅黑" w:hAnsi="微软雅黑" w:eastAsia="微软雅黑" w:cs="微软雅黑"/>
          <w:spacing w:val="12"/>
          <w:sz w:val="16"/>
          <w:szCs w:val="16"/>
        </w:rPr>
        <w:t>，</w:t>
      </w:r>
      <w:r>
        <w:rPr>
          <w:rFonts w:ascii="宋体" w:hAnsi="宋体" w:eastAsia="宋体" w:cs="宋体"/>
          <w:spacing w:val="12"/>
          <w:sz w:val="16"/>
          <w:szCs w:val="16"/>
        </w:rPr>
        <w:t>博士生导师</w:t>
      </w:r>
      <w:r>
        <w:rPr>
          <w:rFonts w:ascii="微软雅黑" w:hAnsi="微软雅黑" w:eastAsia="微软雅黑" w:cs="微软雅黑"/>
          <w:spacing w:val="12"/>
          <w:sz w:val="16"/>
          <w:szCs w:val="16"/>
        </w:rPr>
        <w:t>；</w:t>
      </w:r>
      <w:r>
        <w:rPr>
          <w:rFonts w:ascii="宋体" w:hAnsi="宋体" w:eastAsia="宋体" w:cs="宋体"/>
          <w:spacing w:val="12"/>
          <w:sz w:val="16"/>
          <w:szCs w:val="16"/>
        </w:rPr>
        <w:t>武汉大学法学研究中心主任</w:t>
      </w:r>
      <w:r>
        <w:rPr>
          <w:rFonts w:ascii="微软雅黑" w:hAnsi="微软雅黑" w:eastAsia="微软雅黑" w:cs="微软雅黑"/>
          <w:spacing w:val="12"/>
          <w:sz w:val="16"/>
          <w:szCs w:val="16"/>
        </w:rPr>
        <w:t>，</w:t>
      </w:r>
      <w:r>
        <w:rPr>
          <w:rFonts w:ascii="宋体" w:hAnsi="宋体" w:eastAsia="宋体" w:cs="宋体"/>
          <w:spacing w:val="12"/>
          <w:sz w:val="16"/>
          <w:szCs w:val="16"/>
        </w:rPr>
        <w:t>从事</w:t>
      </w:r>
      <w:r>
        <w:rPr>
          <w:rFonts w:ascii="宋体" w:hAnsi="宋体" w:eastAsia="宋体" w:cs="宋体"/>
          <w:sz w:val="16"/>
          <w:szCs w:val="16"/>
        </w:rPr>
        <w:t xml:space="preserve"> </w:t>
      </w:r>
      <w:r>
        <w:rPr>
          <w:rFonts w:ascii="宋体" w:hAnsi="宋体" w:eastAsia="宋体" w:cs="宋体"/>
          <w:spacing w:val="8"/>
          <w:sz w:val="16"/>
          <w:szCs w:val="16"/>
        </w:rPr>
        <w:t>教育法学</w:t>
      </w:r>
      <w:r>
        <w:rPr>
          <w:rFonts w:ascii="微软雅黑" w:hAnsi="微软雅黑" w:eastAsia="微软雅黑" w:cs="微软雅黑"/>
          <w:spacing w:val="8"/>
          <w:sz w:val="16"/>
          <w:szCs w:val="16"/>
        </w:rPr>
        <w:t>、</w:t>
      </w:r>
      <w:r>
        <w:rPr>
          <w:rFonts w:ascii="宋体" w:hAnsi="宋体" w:eastAsia="宋体" w:cs="宋体"/>
          <w:spacing w:val="8"/>
          <w:sz w:val="16"/>
          <w:szCs w:val="16"/>
        </w:rPr>
        <w:t>教育政策</w:t>
      </w:r>
      <w:r>
        <w:rPr>
          <w:rFonts w:ascii="微软雅黑" w:hAnsi="微软雅黑" w:eastAsia="微软雅黑" w:cs="微软雅黑"/>
          <w:spacing w:val="8"/>
          <w:sz w:val="16"/>
          <w:szCs w:val="16"/>
        </w:rPr>
        <w:t>、</w:t>
      </w:r>
      <w:r>
        <w:rPr>
          <w:rFonts w:ascii="宋体" w:hAnsi="宋体" w:eastAsia="宋体" w:cs="宋体"/>
          <w:spacing w:val="8"/>
          <w:sz w:val="16"/>
          <w:szCs w:val="16"/>
        </w:rPr>
        <w:t>高教管理研究</w:t>
      </w:r>
      <w:r>
        <w:rPr>
          <w:rFonts w:ascii="微软雅黑" w:hAnsi="微软雅黑" w:eastAsia="微软雅黑" w:cs="微软雅黑"/>
          <w:spacing w:val="8"/>
          <w:sz w:val="16"/>
          <w:szCs w:val="16"/>
        </w:rPr>
        <w:t>。</w:t>
      </w:r>
    </w:p>
    <w:p>
      <w:pPr>
        <w:spacing w:before="105" w:line="170" w:lineRule="auto"/>
        <w:ind w:left="1037"/>
        <w:rPr>
          <w:rFonts w:ascii="微软雅黑" w:hAnsi="微软雅黑" w:eastAsia="微软雅黑" w:cs="微软雅黑"/>
          <w:sz w:val="19"/>
          <w:szCs w:val="19"/>
        </w:rPr>
      </w:pPr>
      <w:r>
        <w:rPr>
          <w:rFonts w:ascii="微软雅黑" w:hAnsi="微软雅黑" w:eastAsia="微软雅黑" w:cs="微软雅黑"/>
          <w:spacing w:val="-7"/>
          <w:position w:val="1"/>
          <w:sz w:val="19"/>
          <w:szCs w:val="19"/>
        </w:rPr>
        <w:t xml:space="preserve">·   </w:t>
      </w:r>
      <w:r>
        <w:rPr>
          <w:rFonts w:ascii="Arial" w:hAnsi="Arial" w:eastAsia="Arial" w:cs="Arial"/>
          <w:spacing w:val="-7"/>
          <w:position w:val="-1"/>
          <w:sz w:val="19"/>
          <w:szCs w:val="19"/>
        </w:rPr>
        <w:t>102</w:t>
      </w:r>
      <w:r>
        <w:rPr>
          <w:rFonts w:ascii="Arial" w:hAnsi="Arial" w:eastAsia="Arial" w:cs="Arial"/>
          <w:spacing w:val="23"/>
          <w:position w:val="-1"/>
          <w:sz w:val="19"/>
          <w:szCs w:val="19"/>
        </w:rPr>
        <w:t xml:space="preserve">  </w:t>
      </w:r>
      <w:r>
        <w:rPr>
          <w:rFonts w:ascii="微软雅黑" w:hAnsi="微软雅黑" w:eastAsia="微软雅黑" w:cs="微软雅黑"/>
          <w:spacing w:val="-7"/>
          <w:position w:val="1"/>
          <w:sz w:val="19"/>
          <w:szCs w:val="19"/>
        </w:rPr>
        <w:t>·</w:t>
      </w:r>
    </w:p>
    <w:p>
      <w:pPr>
        <w:spacing w:line="170" w:lineRule="auto"/>
        <w:rPr>
          <w:rFonts w:ascii="微软雅黑" w:hAnsi="微软雅黑" w:eastAsia="微软雅黑" w:cs="微软雅黑"/>
          <w:sz w:val="19"/>
          <w:szCs w:val="19"/>
        </w:rPr>
        <w:sectPr>
          <w:footerReference r:id="rId82" w:type="default"/>
          <w:pgSz w:w="11906" w:h="16840"/>
          <w:pgMar w:top="400" w:right="1003" w:bottom="547" w:left="407" w:header="0" w:footer="354" w:gutter="0"/>
          <w:cols w:space="720" w:num="1"/>
        </w:sectPr>
      </w:pPr>
    </w:p>
    <w:p>
      <w:pPr>
        <w:spacing w:line="454" w:lineRule="auto"/>
        <w:rPr>
          <w:rFonts w:ascii="Arial"/>
          <w:sz w:val="21"/>
        </w:rPr>
      </w:pPr>
    </w:p>
    <w:p>
      <w:pPr>
        <w:spacing w:before="52" w:line="213" w:lineRule="auto"/>
        <w:ind w:left="3524"/>
        <w:rPr>
          <w:rFonts w:ascii="宋体" w:hAnsi="宋体" w:eastAsia="宋体" w:cs="宋体"/>
          <w:sz w:val="16"/>
          <w:szCs w:val="16"/>
        </w:rPr>
      </w:pPr>
      <w:r>
        <w:rPr>
          <w:rFonts w:ascii="宋体" w:hAnsi="宋体" w:eastAsia="宋体" w:cs="宋体"/>
          <w:spacing w:val="19"/>
          <w:sz w:val="16"/>
          <w:szCs w:val="16"/>
        </w:rPr>
        <w:t>挪威推进高等教育质量文化建设的举措及其启示</w:t>
      </w:r>
    </w:p>
    <w:p>
      <w:pPr>
        <w:spacing w:line="186" w:lineRule="exact"/>
        <w:ind w:left="585"/>
      </w:pPr>
      <w:r>
        <w:rPr>
          <w:position w:val="-4"/>
        </w:rPr>
        <w:drawing>
          <wp:inline distT="0" distB="0" distL="0" distR="0">
            <wp:extent cx="6118860" cy="11811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30"/>
                    <a:stretch>
                      <a:fillRect/>
                    </a:stretch>
                  </pic:blipFill>
                  <pic:spPr>
                    <a:xfrm>
                      <a:off x="0" y="0"/>
                      <a:ext cx="6119396" cy="118181"/>
                    </a:xfrm>
                    <a:prstGeom prst="rect">
                      <a:avLst/>
                    </a:prstGeom>
                  </pic:spPr>
                </pic:pic>
              </a:graphicData>
            </a:graphic>
          </wp:inline>
        </w:drawing>
      </w:r>
    </w:p>
    <w:p>
      <w:pPr>
        <w:spacing w:line="118" w:lineRule="exact"/>
      </w:pPr>
    </w:p>
    <w:p>
      <w:pPr>
        <w:spacing w:line="118" w:lineRule="exact"/>
        <w:sectPr>
          <w:footerReference r:id="rId83" w:type="default"/>
          <w:pgSz w:w="11906" w:h="16840"/>
          <w:pgMar w:top="400" w:right="1204" w:bottom="547" w:left="407" w:header="0" w:footer="354" w:gutter="0"/>
          <w:cols w:equalWidth="0" w:num="1">
            <w:col w:w="10294"/>
          </w:cols>
        </w:sectPr>
      </w:pPr>
    </w:p>
    <w:p>
      <w:pPr>
        <w:spacing w:before="29" w:line="243" w:lineRule="auto"/>
        <w:ind w:left="498" w:right="242" w:firstLine="524"/>
        <w:jc w:val="both"/>
        <w:rPr>
          <w:rFonts w:ascii="微软雅黑" w:hAnsi="微软雅黑" w:eastAsia="微软雅黑" w:cs="微软雅黑"/>
          <w:sz w:val="19"/>
          <w:szCs w:val="19"/>
        </w:rPr>
      </w:pPr>
      <w:r>
        <w:rPr>
          <w:rFonts w:ascii="Arial" w:hAnsi="Arial" w:eastAsia="Arial" w:cs="Arial"/>
          <w:spacing w:val="20"/>
          <w:sz w:val="19"/>
          <w:szCs w:val="19"/>
        </w:rPr>
        <w:t>1999</w:t>
      </w:r>
      <w:r>
        <w:rPr>
          <w:rFonts w:ascii="宋体" w:hAnsi="宋体" w:eastAsia="宋体" w:cs="宋体"/>
          <w:spacing w:val="20"/>
          <w:sz w:val="19"/>
          <w:szCs w:val="19"/>
        </w:rPr>
        <w:t>年的博洛尼亚进程改革计划是</w:t>
      </w:r>
      <w:r>
        <w:rPr>
          <w:rFonts w:ascii="宋体" w:hAnsi="宋体" w:eastAsia="宋体" w:cs="宋体"/>
          <w:spacing w:val="-44"/>
          <w:sz w:val="19"/>
          <w:szCs w:val="19"/>
        </w:rPr>
        <w:t xml:space="preserve"> </w:t>
      </w:r>
      <w:r>
        <w:rPr>
          <w:rFonts w:ascii="宋体" w:hAnsi="宋体" w:eastAsia="宋体" w:cs="宋体"/>
          <w:spacing w:val="20"/>
          <w:sz w:val="19"/>
          <w:szCs w:val="19"/>
        </w:rPr>
        <w:t>欧洲</w:t>
      </w:r>
      <w:r>
        <w:rPr>
          <w:rFonts w:ascii="宋体" w:hAnsi="宋体" w:eastAsia="宋体" w:cs="宋体"/>
          <w:spacing w:val="-55"/>
          <w:sz w:val="19"/>
          <w:szCs w:val="19"/>
        </w:rPr>
        <w:t xml:space="preserve"> </w:t>
      </w:r>
      <w:r>
        <w:rPr>
          <w:rFonts w:ascii="宋体" w:hAnsi="宋体" w:eastAsia="宋体" w:cs="宋体"/>
          <w:spacing w:val="20"/>
          <w:sz w:val="19"/>
          <w:szCs w:val="19"/>
        </w:rPr>
        <w:t>高等</w:t>
      </w:r>
      <w:r>
        <w:rPr>
          <w:rFonts w:ascii="宋体" w:hAnsi="宋体" w:eastAsia="宋体" w:cs="宋体"/>
          <w:sz w:val="19"/>
          <w:szCs w:val="19"/>
        </w:rPr>
        <w:t xml:space="preserve"> </w:t>
      </w:r>
      <w:r>
        <w:rPr>
          <w:rFonts w:ascii="宋体" w:hAnsi="宋体" w:eastAsia="宋体" w:cs="宋体"/>
          <w:spacing w:val="16"/>
          <w:sz w:val="19"/>
          <w:szCs w:val="19"/>
        </w:rPr>
        <w:t>教育改革与发展过程</w:t>
      </w:r>
      <w:r>
        <w:rPr>
          <w:rFonts w:ascii="宋体" w:hAnsi="宋体" w:eastAsia="宋体" w:cs="宋体"/>
          <w:spacing w:val="-40"/>
          <w:sz w:val="19"/>
          <w:szCs w:val="19"/>
        </w:rPr>
        <w:t xml:space="preserve"> </w:t>
      </w:r>
      <w:r>
        <w:rPr>
          <w:rFonts w:ascii="宋体" w:hAnsi="宋体" w:eastAsia="宋体" w:cs="宋体"/>
          <w:spacing w:val="16"/>
          <w:sz w:val="19"/>
          <w:szCs w:val="19"/>
        </w:rPr>
        <w:t>中</w:t>
      </w:r>
      <w:r>
        <w:rPr>
          <w:rFonts w:ascii="宋体" w:hAnsi="宋体" w:eastAsia="宋体" w:cs="宋体"/>
          <w:spacing w:val="-48"/>
          <w:sz w:val="19"/>
          <w:szCs w:val="19"/>
        </w:rPr>
        <w:t xml:space="preserve"> </w:t>
      </w:r>
      <w:r>
        <w:rPr>
          <w:rFonts w:ascii="宋体" w:hAnsi="宋体" w:eastAsia="宋体" w:cs="宋体"/>
          <w:spacing w:val="16"/>
          <w:sz w:val="19"/>
          <w:szCs w:val="19"/>
        </w:rPr>
        <w:t>的重大事件</w:t>
      </w:r>
      <w:r>
        <w:rPr>
          <w:rFonts w:ascii="微软雅黑" w:hAnsi="微软雅黑" w:eastAsia="微软雅黑" w:cs="微软雅黑"/>
          <w:spacing w:val="16"/>
          <w:sz w:val="19"/>
          <w:szCs w:val="19"/>
        </w:rPr>
        <w:t>，</w:t>
      </w:r>
      <w:r>
        <w:rPr>
          <w:rFonts w:ascii="宋体" w:hAnsi="宋体" w:eastAsia="宋体" w:cs="宋体"/>
          <w:spacing w:val="16"/>
          <w:sz w:val="19"/>
          <w:szCs w:val="19"/>
        </w:rPr>
        <w:t>其主要</w:t>
      </w:r>
      <w:r>
        <w:rPr>
          <w:rFonts w:ascii="宋体" w:hAnsi="宋体" w:eastAsia="宋体" w:cs="宋体"/>
          <w:spacing w:val="-41"/>
          <w:sz w:val="19"/>
          <w:szCs w:val="19"/>
        </w:rPr>
        <w:t xml:space="preserve"> </w:t>
      </w:r>
      <w:r>
        <w:rPr>
          <w:rFonts w:ascii="宋体" w:hAnsi="宋体" w:eastAsia="宋体" w:cs="宋体"/>
          <w:spacing w:val="16"/>
          <w:sz w:val="19"/>
          <w:szCs w:val="19"/>
        </w:rPr>
        <w:t>内容之</w:t>
      </w:r>
      <w:r>
        <w:rPr>
          <w:rFonts w:ascii="宋体" w:hAnsi="宋体" w:eastAsia="宋体" w:cs="宋体"/>
          <w:sz w:val="19"/>
          <w:szCs w:val="19"/>
        </w:rPr>
        <w:t xml:space="preserve"> </w:t>
      </w:r>
      <w:r>
        <w:rPr>
          <w:rFonts w:ascii="宋体" w:hAnsi="宋体" w:eastAsia="宋体" w:cs="宋体"/>
          <w:spacing w:val="23"/>
          <w:sz w:val="19"/>
          <w:szCs w:val="19"/>
        </w:rPr>
        <w:t>一便是持续推进高等教育的质量保障管理及质量文</w:t>
      </w:r>
      <w:r>
        <w:rPr>
          <w:rFonts w:ascii="宋体" w:hAnsi="宋体" w:eastAsia="宋体" w:cs="宋体"/>
          <w:sz w:val="19"/>
          <w:szCs w:val="19"/>
        </w:rPr>
        <w:t xml:space="preserve"> </w:t>
      </w:r>
      <w:r>
        <w:rPr>
          <w:rFonts w:ascii="宋体" w:hAnsi="宋体" w:eastAsia="宋体" w:cs="宋体"/>
          <w:spacing w:val="20"/>
          <w:sz w:val="19"/>
          <w:szCs w:val="19"/>
        </w:rPr>
        <w:t>化建设</w:t>
      </w:r>
      <w:r>
        <w:rPr>
          <w:rFonts w:ascii="宋体" w:hAnsi="宋体" w:eastAsia="宋体" w:cs="宋体"/>
          <w:spacing w:val="-39"/>
          <w:sz w:val="19"/>
          <w:szCs w:val="19"/>
        </w:rPr>
        <w:t xml:space="preserve"> </w:t>
      </w:r>
      <w:r>
        <w:rPr>
          <w:rFonts w:ascii="微软雅黑" w:hAnsi="微软雅黑" w:eastAsia="微软雅黑" w:cs="微软雅黑"/>
          <w:spacing w:val="20"/>
          <w:position w:val="1"/>
          <w:sz w:val="19"/>
          <w:szCs w:val="19"/>
        </w:rPr>
        <w:t>。</w:t>
      </w:r>
      <w:r>
        <w:rPr>
          <w:rFonts w:ascii="宋体" w:hAnsi="宋体" w:eastAsia="宋体" w:cs="宋体"/>
          <w:spacing w:val="20"/>
          <w:sz w:val="19"/>
          <w:szCs w:val="19"/>
        </w:rPr>
        <w:t>挪威作为博洛尼亚进程</w:t>
      </w:r>
      <w:r>
        <w:rPr>
          <w:rFonts w:ascii="宋体" w:hAnsi="宋体" w:eastAsia="宋体" w:cs="宋体"/>
          <w:spacing w:val="-46"/>
          <w:sz w:val="19"/>
          <w:szCs w:val="19"/>
        </w:rPr>
        <w:t xml:space="preserve"> </w:t>
      </w:r>
      <w:r>
        <w:rPr>
          <w:rFonts w:ascii="宋体" w:hAnsi="宋体" w:eastAsia="宋体" w:cs="宋体"/>
          <w:spacing w:val="20"/>
          <w:sz w:val="19"/>
          <w:szCs w:val="19"/>
        </w:rPr>
        <w:t>中</w:t>
      </w:r>
      <w:r>
        <w:rPr>
          <w:rFonts w:ascii="宋体" w:hAnsi="宋体" w:eastAsia="宋体" w:cs="宋体"/>
          <w:spacing w:val="-48"/>
          <w:sz w:val="19"/>
          <w:szCs w:val="19"/>
        </w:rPr>
        <w:t xml:space="preserve"> </w:t>
      </w:r>
      <w:r>
        <w:rPr>
          <w:rFonts w:ascii="宋体" w:hAnsi="宋体" w:eastAsia="宋体" w:cs="宋体"/>
          <w:spacing w:val="20"/>
          <w:sz w:val="19"/>
          <w:szCs w:val="19"/>
        </w:rPr>
        <w:t>的</w:t>
      </w:r>
      <w:r>
        <w:rPr>
          <w:rFonts w:ascii="宋体" w:hAnsi="宋体" w:eastAsia="宋体" w:cs="宋体"/>
          <w:spacing w:val="-10"/>
          <w:sz w:val="19"/>
          <w:szCs w:val="19"/>
        </w:rPr>
        <w:t xml:space="preserve"> </w:t>
      </w:r>
      <w:r>
        <w:rPr>
          <w:rFonts w:ascii="Arial" w:hAnsi="Arial" w:eastAsia="Arial" w:cs="Arial"/>
          <w:spacing w:val="20"/>
          <w:sz w:val="19"/>
          <w:szCs w:val="19"/>
        </w:rPr>
        <w:t>29</w:t>
      </w:r>
      <w:r>
        <w:rPr>
          <w:rFonts w:ascii="宋体" w:hAnsi="宋体" w:eastAsia="宋体" w:cs="宋体"/>
          <w:spacing w:val="20"/>
          <w:sz w:val="19"/>
          <w:szCs w:val="19"/>
        </w:rPr>
        <w:t>个重要成</w:t>
      </w:r>
      <w:r>
        <w:rPr>
          <w:rFonts w:ascii="宋体" w:hAnsi="宋体" w:eastAsia="宋体" w:cs="宋体"/>
          <w:sz w:val="19"/>
          <w:szCs w:val="19"/>
        </w:rPr>
        <w:t xml:space="preserve"> </w:t>
      </w:r>
      <w:r>
        <w:rPr>
          <w:rFonts w:ascii="宋体" w:hAnsi="宋体" w:eastAsia="宋体" w:cs="宋体"/>
          <w:spacing w:val="14"/>
          <w:sz w:val="19"/>
          <w:szCs w:val="19"/>
        </w:rPr>
        <w:t>员国之一</w:t>
      </w:r>
      <w:r>
        <w:rPr>
          <w:rFonts w:ascii="微软雅黑" w:hAnsi="微软雅黑" w:eastAsia="微软雅黑" w:cs="微软雅黑"/>
          <w:spacing w:val="14"/>
          <w:sz w:val="19"/>
          <w:szCs w:val="19"/>
        </w:rPr>
        <w:t>，</w:t>
      </w:r>
      <w:r>
        <w:rPr>
          <w:rFonts w:ascii="宋体" w:hAnsi="宋体" w:eastAsia="宋体" w:cs="宋体"/>
          <w:spacing w:val="14"/>
          <w:sz w:val="19"/>
          <w:szCs w:val="19"/>
        </w:rPr>
        <w:t>素有注重高校质量管理和保障的传</w:t>
      </w:r>
      <w:r>
        <w:rPr>
          <w:rFonts w:ascii="宋体" w:hAnsi="宋体" w:eastAsia="宋体" w:cs="宋体"/>
          <w:spacing w:val="13"/>
          <w:sz w:val="19"/>
          <w:szCs w:val="19"/>
        </w:rPr>
        <w:t>统</w:t>
      </w:r>
      <w:r>
        <w:rPr>
          <w:rFonts w:ascii="微软雅黑" w:hAnsi="微软雅黑" w:eastAsia="微软雅黑" w:cs="微软雅黑"/>
          <w:spacing w:val="13"/>
          <w:sz w:val="19"/>
          <w:szCs w:val="19"/>
        </w:rPr>
        <w:t>，</w:t>
      </w:r>
      <w:r>
        <w:rPr>
          <w:rFonts w:ascii="宋体" w:hAnsi="宋体" w:eastAsia="宋体" w:cs="宋体"/>
          <w:spacing w:val="13"/>
          <w:sz w:val="19"/>
          <w:szCs w:val="19"/>
        </w:rPr>
        <w:t>被</w:t>
      </w:r>
      <w:r>
        <w:rPr>
          <w:rFonts w:ascii="宋体" w:hAnsi="宋体" w:eastAsia="宋体" w:cs="宋体"/>
          <w:sz w:val="19"/>
          <w:szCs w:val="19"/>
        </w:rPr>
        <w:t xml:space="preserve"> </w:t>
      </w:r>
      <w:r>
        <w:rPr>
          <w:rFonts w:ascii="宋体" w:hAnsi="宋体" w:eastAsia="宋体" w:cs="宋体"/>
          <w:spacing w:val="23"/>
          <w:sz w:val="19"/>
          <w:szCs w:val="19"/>
        </w:rPr>
        <w:t>公认为是在高校质量保障管理上做得十分出色的国</w:t>
      </w:r>
      <w:r>
        <w:rPr>
          <w:rFonts w:ascii="宋体" w:hAnsi="宋体" w:eastAsia="宋体" w:cs="宋体"/>
          <w:sz w:val="19"/>
          <w:szCs w:val="19"/>
        </w:rPr>
        <w:t xml:space="preserve"> </w:t>
      </w:r>
      <w:r>
        <w:rPr>
          <w:rFonts w:ascii="宋体" w:hAnsi="宋体" w:eastAsia="宋体" w:cs="宋体"/>
          <w:spacing w:val="13"/>
          <w:sz w:val="19"/>
          <w:szCs w:val="19"/>
        </w:rPr>
        <w:t>家</w:t>
      </w:r>
      <w:r>
        <w:rPr>
          <w:rFonts w:ascii="宋体" w:hAnsi="宋体" w:eastAsia="宋体" w:cs="宋体"/>
          <w:spacing w:val="-49"/>
          <w:sz w:val="19"/>
          <w:szCs w:val="19"/>
        </w:rPr>
        <w:t xml:space="preserve"> </w:t>
      </w:r>
      <w:r>
        <w:rPr>
          <w:rFonts w:ascii="微软雅黑" w:hAnsi="微软雅黑" w:eastAsia="微软雅黑" w:cs="微软雅黑"/>
          <w:spacing w:val="13"/>
          <w:position w:val="1"/>
          <w:sz w:val="19"/>
          <w:szCs w:val="19"/>
        </w:rPr>
        <w:t>。</w:t>
      </w:r>
      <w:r>
        <w:rPr>
          <w:rFonts w:ascii="Arial" w:hAnsi="Arial" w:eastAsia="Arial" w:cs="Arial"/>
          <w:spacing w:val="13"/>
          <w:sz w:val="19"/>
          <w:szCs w:val="19"/>
        </w:rPr>
        <w:t>2017</w:t>
      </w:r>
      <w:r>
        <w:rPr>
          <w:rFonts w:ascii="宋体" w:hAnsi="宋体" w:eastAsia="宋体" w:cs="宋体"/>
          <w:spacing w:val="13"/>
          <w:sz w:val="19"/>
          <w:szCs w:val="19"/>
        </w:rPr>
        <w:t>年</w:t>
      </w:r>
      <w:r>
        <w:rPr>
          <w:rFonts w:ascii="宋体" w:hAnsi="宋体" w:eastAsia="宋体" w:cs="宋体"/>
          <w:spacing w:val="-17"/>
          <w:sz w:val="19"/>
          <w:szCs w:val="19"/>
        </w:rPr>
        <w:t xml:space="preserve"> </w:t>
      </w:r>
      <w:r>
        <w:rPr>
          <w:rFonts w:ascii="Arial" w:hAnsi="Arial" w:eastAsia="Arial" w:cs="Arial"/>
          <w:spacing w:val="13"/>
          <w:sz w:val="19"/>
          <w:szCs w:val="19"/>
        </w:rPr>
        <w:t>1</w:t>
      </w:r>
      <w:r>
        <w:rPr>
          <w:rFonts w:ascii="宋体" w:hAnsi="宋体" w:eastAsia="宋体" w:cs="宋体"/>
          <w:spacing w:val="13"/>
          <w:sz w:val="19"/>
          <w:szCs w:val="19"/>
        </w:rPr>
        <w:t xml:space="preserve">月 </w:t>
      </w:r>
      <w:r>
        <w:rPr>
          <w:rFonts w:ascii="Arial" w:hAnsi="Arial" w:eastAsia="Arial" w:cs="Arial"/>
          <w:spacing w:val="13"/>
          <w:sz w:val="19"/>
          <w:szCs w:val="19"/>
        </w:rPr>
        <w:t xml:space="preserve">27  </w:t>
      </w:r>
      <w:r>
        <w:rPr>
          <w:rFonts w:ascii="宋体" w:hAnsi="宋体" w:eastAsia="宋体" w:cs="宋体"/>
          <w:spacing w:val="13"/>
          <w:sz w:val="19"/>
          <w:szCs w:val="19"/>
        </w:rPr>
        <w:t>日</w:t>
      </w:r>
      <w:r>
        <w:rPr>
          <w:rFonts w:ascii="微软雅黑" w:hAnsi="微软雅黑" w:eastAsia="微软雅黑" w:cs="微软雅黑"/>
          <w:spacing w:val="13"/>
          <w:position w:val="1"/>
          <w:sz w:val="19"/>
          <w:szCs w:val="19"/>
        </w:rPr>
        <w:t>，</w:t>
      </w:r>
      <w:r>
        <w:rPr>
          <w:rFonts w:ascii="宋体" w:hAnsi="宋体" w:eastAsia="宋体" w:cs="宋体"/>
          <w:spacing w:val="13"/>
          <w:sz w:val="19"/>
          <w:szCs w:val="19"/>
        </w:rPr>
        <w:t>挪威教</w:t>
      </w:r>
      <w:r>
        <w:rPr>
          <w:rFonts w:ascii="宋体" w:hAnsi="宋体" w:eastAsia="宋体" w:cs="宋体"/>
          <w:spacing w:val="-53"/>
          <w:sz w:val="19"/>
          <w:szCs w:val="19"/>
        </w:rPr>
        <w:t xml:space="preserve"> </w:t>
      </w:r>
      <w:r>
        <w:rPr>
          <w:rFonts w:ascii="宋体" w:hAnsi="宋体" w:eastAsia="宋体" w:cs="宋体"/>
          <w:spacing w:val="13"/>
          <w:sz w:val="19"/>
          <w:szCs w:val="19"/>
        </w:rPr>
        <w:t>育与研究部发布了</w:t>
      </w:r>
      <w:r>
        <w:rPr>
          <w:rFonts w:ascii="宋体" w:hAnsi="宋体" w:eastAsia="宋体" w:cs="宋体"/>
          <w:sz w:val="19"/>
          <w:szCs w:val="19"/>
        </w:rPr>
        <w:t xml:space="preserve"> </w:t>
      </w:r>
      <w:r>
        <w:rPr>
          <w:rFonts w:ascii="微软雅黑" w:hAnsi="微软雅黑" w:eastAsia="微软雅黑" w:cs="微软雅黑"/>
          <w:spacing w:val="19"/>
          <w:sz w:val="19"/>
          <w:szCs w:val="19"/>
        </w:rPr>
        <w:t>《</w:t>
      </w:r>
      <w:r>
        <w:rPr>
          <w:rFonts w:ascii="宋体" w:hAnsi="宋体" w:eastAsia="宋体" w:cs="宋体"/>
          <w:spacing w:val="19"/>
          <w:sz w:val="19"/>
          <w:szCs w:val="19"/>
        </w:rPr>
        <w:t>高等</w:t>
      </w:r>
      <w:r>
        <w:rPr>
          <w:rFonts w:ascii="宋体" w:hAnsi="宋体" w:eastAsia="宋体" w:cs="宋体"/>
          <w:spacing w:val="-42"/>
          <w:sz w:val="19"/>
          <w:szCs w:val="19"/>
        </w:rPr>
        <w:t xml:space="preserve"> </w:t>
      </w:r>
      <w:r>
        <w:rPr>
          <w:rFonts w:ascii="宋体" w:hAnsi="宋体" w:eastAsia="宋体" w:cs="宋体"/>
          <w:spacing w:val="19"/>
          <w:sz w:val="19"/>
          <w:szCs w:val="19"/>
        </w:rPr>
        <w:t>教</w:t>
      </w:r>
      <w:r>
        <w:rPr>
          <w:rFonts w:ascii="宋体" w:hAnsi="宋体" w:eastAsia="宋体" w:cs="宋体"/>
          <w:spacing w:val="-45"/>
          <w:sz w:val="19"/>
          <w:szCs w:val="19"/>
        </w:rPr>
        <w:t xml:space="preserve"> </w:t>
      </w:r>
      <w:r>
        <w:rPr>
          <w:rFonts w:ascii="宋体" w:hAnsi="宋体" w:eastAsia="宋体" w:cs="宋体"/>
          <w:spacing w:val="19"/>
          <w:sz w:val="19"/>
          <w:szCs w:val="19"/>
        </w:rPr>
        <w:t>育</w:t>
      </w:r>
      <w:r>
        <w:rPr>
          <w:rFonts w:ascii="宋体" w:hAnsi="宋体" w:eastAsia="宋体" w:cs="宋体"/>
          <w:spacing w:val="-51"/>
          <w:sz w:val="19"/>
          <w:szCs w:val="19"/>
        </w:rPr>
        <w:t xml:space="preserve"> </w:t>
      </w:r>
      <w:r>
        <w:rPr>
          <w:rFonts w:ascii="宋体" w:hAnsi="宋体" w:eastAsia="宋体" w:cs="宋体"/>
          <w:spacing w:val="19"/>
          <w:sz w:val="19"/>
          <w:szCs w:val="19"/>
        </w:rPr>
        <w:t>质</w:t>
      </w:r>
      <w:r>
        <w:rPr>
          <w:rFonts w:ascii="宋体" w:hAnsi="宋体" w:eastAsia="宋体" w:cs="宋体"/>
          <w:spacing w:val="-53"/>
          <w:sz w:val="19"/>
          <w:szCs w:val="19"/>
        </w:rPr>
        <w:t xml:space="preserve"> </w:t>
      </w:r>
      <w:r>
        <w:rPr>
          <w:rFonts w:ascii="宋体" w:hAnsi="宋体" w:eastAsia="宋体" w:cs="宋体"/>
          <w:spacing w:val="19"/>
          <w:sz w:val="19"/>
          <w:szCs w:val="19"/>
        </w:rPr>
        <w:t>量</w:t>
      </w:r>
      <w:r>
        <w:rPr>
          <w:rFonts w:ascii="宋体" w:hAnsi="宋体" w:eastAsia="宋体" w:cs="宋体"/>
          <w:spacing w:val="-49"/>
          <w:sz w:val="19"/>
          <w:szCs w:val="19"/>
        </w:rPr>
        <w:t xml:space="preserve"> </w:t>
      </w:r>
      <w:r>
        <w:rPr>
          <w:rFonts w:ascii="宋体" w:hAnsi="宋体" w:eastAsia="宋体" w:cs="宋体"/>
          <w:spacing w:val="19"/>
          <w:sz w:val="19"/>
          <w:szCs w:val="19"/>
        </w:rPr>
        <w:t>文</w:t>
      </w:r>
      <w:r>
        <w:rPr>
          <w:rFonts w:ascii="宋体" w:hAnsi="宋体" w:eastAsia="宋体" w:cs="宋体"/>
          <w:spacing w:val="-50"/>
          <w:sz w:val="19"/>
          <w:szCs w:val="19"/>
        </w:rPr>
        <w:t xml:space="preserve"> </w:t>
      </w:r>
      <w:r>
        <w:rPr>
          <w:rFonts w:ascii="宋体" w:hAnsi="宋体" w:eastAsia="宋体" w:cs="宋体"/>
          <w:spacing w:val="19"/>
          <w:sz w:val="19"/>
          <w:szCs w:val="19"/>
        </w:rPr>
        <w:t>化</w:t>
      </w:r>
      <w:r>
        <w:rPr>
          <w:rFonts w:ascii="微软雅黑" w:hAnsi="微软雅黑" w:eastAsia="微软雅黑" w:cs="微软雅黑"/>
          <w:spacing w:val="19"/>
          <w:sz w:val="19"/>
          <w:szCs w:val="19"/>
        </w:rPr>
        <w:t xml:space="preserve">》( </w:t>
      </w:r>
      <w:r>
        <w:rPr>
          <w:rFonts w:ascii="Arial" w:hAnsi="Arial" w:eastAsia="Arial" w:cs="Arial"/>
          <w:sz w:val="19"/>
          <w:szCs w:val="19"/>
        </w:rPr>
        <w:t>Qualit</w:t>
      </w:r>
      <w:r>
        <w:rPr>
          <w:rFonts w:ascii="Arial" w:hAnsi="Arial" w:eastAsia="Arial" w:cs="Arial"/>
          <w:position w:val="-1"/>
          <w:sz w:val="19"/>
          <w:szCs w:val="19"/>
        </w:rPr>
        <w:t>y</w:t>
      </w:r>
      <w:r>
        <w:rPr>
          <w:rFonts w:ascii="Arial" w:hAnsi="Arial" w:eastAsia="Arial" w:cs="Arial"/>
          <w:spacing w:val="3"/>
          <w:position w:val="-1"/>
          <w:sz w:val="19"/>
          <w:szCs w:val="19"/>
        </w:rPr>
        <w:t xml:space="preserve">  </w:t>
      </w:r>
      <w:r>
        <w:rPr>
          <w:rFonts w:ascii="Arial" w:hAnsi="Arial" w:eastAsia="Arial" w:cs="Arial"/>
          <w:sz w:val="19"/>
          <w:szCs w:val="19"/>
        </w:rPr>
        <w:t>Culturein</w:t>
      </w:r>
      <w:r>
        <w:rPr>
          <w:rFonts w:ascii="Arial" w:hAnsi="Arial" w:eastAsia="Arial" w:cs="Arial"/>
          <w:spacing w:val="19"/>
          <w:sz w:val="19"/>
          <w:szCs w:val="19"/>
        </w:rPr>
        <w:t xml:space="preserve">  </w:t>
      </w:r>
      <w:r>
        <w:rPr>
          <w:rFonts w:ascii="Arial" w:hAnsi="Arial" w:eastAsia="Arial" w:cs="Arial"/>
          <w:sz w:val="19"/>
          <w:szCs w:val="19"/>
        </w:rPr>
        <w:t>Higher Education</w:t>
      </w:r>
      <w:r>
        <w:rPr>
          <w:rFonts w:ascii="微软雅黑" w:hAnsi="微软雅黑" w:eastAsia="微软雅黑" w:cs="微软雅黑"/>
          <w:spacing w:val="18"/>
          <w:sz w:val="19"/>
          <w:szCs w:val="19"/>
        </w:rPr>
        <w:t xml:space="preserve">) </w:t>
      </w:r>
      <w:r>
        <w:rPr>
          <w:rFonts w:ascii="宋体" w:hAnsi="宋体" w:eastAsia="宋体" w:cs="宋体"/>
          <w:spacing w:val="18"/>
          <w:sz w:val="19"/>
          <w:szCs w:val="19"/>
        </w:rPr>
        <w:t>白皮书</w:t>
      </w:r>
      <w:r>
        <w:rPr>
          <w:rFonts w:ascii="微软雅黑" w:hAnsi="微软雅黑" w:eastAsia="微软雅黑" w:cs="微软雅黑"/>
          <w:spacing w:val="18"/>
          <w:position w:val="1"/>
          <w:sz w:val="19"/>
          <w:szCs w:val="19"/>
        </w:rPr>
        <w:t>，</w:t>
      </w:r>
      <w:r>
        <w:rPr>
          <w:rFonts w:ascii="宋体" w:hAnsi="宋体" w:eastAsia="宋体" w:cs="宋体"/>
          <w:spacing w:val="18"/>
          <w:sz w:val="19"/>
          <w:szCs w:val="19"/>
        </w:rPr>
        <w:t>该</w:t>
      </w:r>
      <w:r>
        <w:rPr>
          <w:rFonts w:ascii="宋体" w:hAnsi="宋体" w:eastAsia="宋体" w:cs="宋体"/>
          <w:spacing w:val="-24"/>
          <w:sz w:val="19"/>
          <w:szCs w:val="19"/>
        </w:rPr>
        <w:t xml:space="preserve"> </w:t>
      </w:r>
      <w:r>
        <w:rPr>
          <w:rFonts w:ascii="宋体" w:hAnsi="宋体" w:eastAsia="宋体" w:cs="宋体"/>
          <w:spacing w:val="18"/>
          <w:sz w:val="19"/>
          <w:szCs w:val="19"/>
        </w:rPr>
        <w:t>白皮书系</w:t>
      </w:r>
      <w:r>
        <w:rPr>
          <w:rFonts w:ascii="宋体" w:hAnsi="宋体" w:eastAsia="宋体" w:cs="宋体"/>
          <w:spacing w:val="-56"/>
          <w:sz w:val="19"/>
          <w:szCs w:val="19"/>
        </w:rPr>
        <w:t xml:space="preserve"> </w:t>
      </w:r>
      <w:r>
        <w:rPr>
          <w:rFonts w:ascii="宋体" w:hAnsi="宋体" w:eastAsia="宋体" w:cs="宋体"/>
          <w:spacing w:val="18"/>
          <w:sz w:val="19"/>
          <w:szCs w:val="19"/>
        </w:rPr>
        <w:t>统</w:t>
      </w:r>
      <w:r>
        <w:rPr>
          <w:rFonts w:ascii="宋体" w:hAnsi="宋体" w:eastAsia="宋体" w:cs="宋体"/>
          <w:spacing w:val="-55"/>
          <w:sz w:val="19"/>
          <w:szCs w:val="19"/>
        </w:rPr>
        <w:t xml:space="preserve"> </w:t>
      </w:r>
      <w:r>
        <w:rPr>
          <w:rFonts w:ascii="宋体" w:hAnsi="宋体" w:eastAsia="宋体" w:cs="宋体"/>
          <w:spacing w:val="18"/>
          <w:sz w:val="19"/>
          <w:szCs w:val="19"/>
        </w:rPr>
        <w:t>总结了挪威进行</w:t>
      </w:r>
      <w:r>
        <w:rPr>
          <w:rFonts w:ascii="宋体" w:hAnsi="宋体" w:eastAsia="宋体" w:cs="宋体"/>
          <w:sz w:val="19"/>
          <w:szCs w:val="19"/>
        </w:rPr>
        <w:t xml:space="preserve"> </w:t>
      </w:r>
      <w:r>
        <w:rPr>
          <w:rFonts w:ascii="宋体" w:hAnsi="宋体" w:eastAsia="宋体" w:cs="宋体"/>
          <w:spacing w:val="21"/>
          <w:sz w:val="19"/>
          <w:szCs w:val="19"/>
        </w:rPr>
        <w:t>高校质量保障及管理改革</w:t>
      </w:r>
      <w:r>
        <w:rPr>
          <w:rFonts w:ascii="宋体" w:hAnsi="宋体" w:eastAsia="宋体" w:cs="宋体"/>
          <w:spacing w:val="-49"/>
          <w:sz w:val="19"/>
          <w:szCs w:val="19"/>
        </w:rPr>
        <w:t xml:space="preserve"> </w:t>
      </w:r>
      <w:r>
        <w:rPr>
          <w:rFonts w:ascii="宋体" w:hAnsi="宋体" w:eastAsia="宋体" w:cs="宋体"/>
          <w:spacing w:val="21"/>
          <w:sz w:val="19"/>
          <w:szCs w:val="19"/>
        </w:rPr>
        <w:t>的历程</w:t>
      </w:r>
      <w:r>
        <w:rPr>
          <w:rFonts w:ascii="微软雅黑" w:hAnsi="微软雅黑" w:eastAsia="微软雅黑" w:cs="微软雅黑"/>
          <w:spacing w:val="21"/>
          <w:sz w:val="19"/>
          <w:szCs w:val="19"/>
        </w:rPr>
        <w:t>，</w:t>
      </w:r>
      <w:r>
        <w:rPr>
          <w:rFonts w:ascii="宋体" w:hAnsi="宋体" w:eastAsia="宋体" w:cs="宋体"/>
          <w:spacing w:val="21"/>
          <w:sz w:val="19"/>
          <w:szCs w:val="19"/>
        </w:rPr>
        <w:t>并提出了诸多关</w:t>
      </w:r>
      <w:r>
        <w:rPr>
          <w:rFonts w:ascii="宋体" w:hAnsi="宋体" w:eastAsia="宋体" w:cs="宋体"/>
          <w:sz w:val="19"/>
          <w:szCs w:val="19"/>
        </w:rPr>
        <w:t xml:space="preserve"> </w:t>
      </w:r>
      <w:r>
        <w:rPr>
          <w:rFonts w:ascii="宋体" w:hAnsi="宋体" w:eastAsia="宋体" w:cs="宋体"/>
          <w:spacing w:val="18"/>
          <w:sz w:val="19"/>
          <w:szCs w:val="19"/>
        </w:rPr>
        <w:t>于促进高校质量文化建设</w:t>
      </w:r>
      <w:r>
        <w:rPr>
          <w:rFonts w:ascii="宋体" w:hAnsi="宋体" w:eastAsia="宋体" w:cs="宋体"/>
          <w:spacing w:val="-49"/>
          <w:sz w:val="19"/>
          <w:szCs w:val="19"/>
        </w:rPr>
        <w:t xml:space="preserve"> </w:t>
      </w:r>
      <w:r>
        <w:rPr>
          <w:rFonts w:ascii="宋体" w:hAnsi="宋体" w:eastAsia="宋体" w:cs="宋体"/>
          <w:spacing w:val="18"/>
          <w:sz w:val="19"/>
          <w:szCs w:val="19"/>
        </w:rPr>
        <w:t>的</w:t>
      </w:r>
      <w:r>
        <w:rPr>
          <w:rFonts w:ascii="宋体" w:hAnsi="宋体" w:eastAsia="宋体" w:cs="宋体"/>
          <w:spacing w:val="-27"/>
          <w:sz w:val="19"/>
          <w:szCs w:val="19"/>
        </w:rPr>
        <w:t xml:space="preserve"> </w:t>
      </w:r>
      <w:r>
        <w:rPr>
          <w:rFonts w:ascii="宋体" w:hAnsi="宋体" w:eastAsia="宋体" w:cs="宋体"/>
          <w:spacing w:val="18"/>
          <w:sz w:val="19"/>
          <w:szCs w:val="19"/>
        </w:rPr>
        <w:t>目标及举措</w:t>
      </w:r>
      <w:r>
        <w:rPr>
          <w:rFonts w:ascii="微软雅黑" w:hAnsi="微软雅黑" w:eastAsia="微软雅黑" w:cs="微软雅黑"/>
          <w:spacing w:val="18"/>
          <w:sz w:val="19"/>
          <w:szCs w:val="19"/>
        </w:rPr>
        <w:t>，</w:t>
      </w:r>
      <w:r>
        <w:rPr>
          <w:rFonts w:ascii="宋体" w:hAnsi="宋体" w:eastAsia="宋体" w:cs="宋体"/>
          <w:spacing w:val="18"/>
          <w:sz w:val="19"/>
          <w:szCs w:val="19"/>
        </w:rPr>
        <w:t>标志</w:t>
      </w:r>
      <w:r>
        <w:rPr>
          <w:rFonts w:ascii="宋体" w:hAnsi="宋体" w:eastAsia="宋体" w:cs="宋体"/>
          <w:spacing w:val="17"/>
          <w:sz w:val="19"/>
          <w:szCs w:val="19"/>
        </w:rPr>
        <w:t>着挪</w:t>
      </w:r>
      <w:r>
        <w:rPr>
          <w:rFonts w:ascii="宋体" w:hAnsi="宋体" w:eastAsia="宋体" w:cs="宋体"/>
          <w:sz w:val="19"/>
          <w:szCs w:val="19"/>
        </w:rPr>
        <w:t xml:space="preserve"> </w:t>
      </w:r>
      <w:r>
        <w:rPr>
          <w:rFonts w:ascii="宋体" w:hAnsi="宋体" w:eastAsia="宋体" w:cs="宋体"/>
          <w:spacing w:val="23"/>
          <w:sz w:val="19"/>
          <w:szCs w:val="19"/>
        </w:rPr>
        <w:t>威高等教育质量文化建设进入了一个新的阶段</w:t>
      </w:r>
      <w:r>
        <w:rPr>
          <w:rFonts w:ascii="微软雅黑" w:hAnsi="微软雅黑" w:eastAsia="微软雅黑" w:cs="微软雅黑"/>
          <w:spacing w:val="23"/>
          <w:sz w:val="19"/>
          <w:szCs w:val="19"/>
        </w:rPr>
        <w:t>。</w:t>
      </w:r>
    </w:p>
    <w:p>
      <w:pPr>
        <w:spacing w:before="70" w:line="224" w:lineRule="auto"/>
        <w:ind w:left="603" w:right="177" w:firstLine="429"/>
        <w:jc w:val="both"/>
        <w:rPr>
          <w:rFonts w:ascii="微软雅黑" w:hAnsi="微软雅黑" w:eastAsia="微软雅黑" w:cs="微软雅黑"/>
          <w:sz w:val="19"/>
          <w:szCs w:val="19"/>
        </w:rPr>
      </w:pPr>
      <w:r>
        <w:rPr>
          <w:rFonts w:ascii="宋体" w:hAnsi="宋体" w:eastAsia="宋体" w:cs="宋体"/>
          <w:spacing w:val="2"/>
          <w:sz w:val="19"/>
          <w:szCs w:val="19"/>
        </w:rPr>
        <w:t>当前</w:t>
      </w:r>
      <w:r>
        <w:rPr>
          <w:rFonts w:ascii="微软雅黑" w:hAnsi="微软雅黑" w:eastAsia="微软雅黑" w:cs="微软雅黑"/>
          <w:spacing w:val="2"/>
          <w:sz w:val="19"/>
          <w:szCs w:val="19"/>
        </w:rPr>
        <w:t>，</w:t>
      </w:r>
      <w:r>
        <w:rPr>
          <w:rFonts w:ascii="宋体" w:hAnsi="宋体" w:eastAsia="宋体" w:cs="宋体"/>
          <w:spacing w:val="2"/>
          <w:sz w:val="19"/>
          <w:szCs w:val="19"/>
        </w:rPr>
        <w:t>正值我国高等教</w:t>
      </w:r>
      <w:r>
        <w:rPr>
          <w:rFonts w:ascii="宋体" w:hAnsi="宋体" w:eastAsia="宋体" w:cs="宋体"/>
          <w:spacing w:val="-50"/>
          <w:sz w:val="19"/>
          <w:szCs w:val="19"/>
        </w:rPr>
        <w:t xml:space="preserve"> </w:t>
      </w:r>
      <w:r>
        <w:rPr>
          <w:rFonts w:ascii="宋体" w:hAnsi="宋体" w:eastAsia="宋体" w:cs="宋体"/>
          <w:spacing w:val="2"/>
          <w:sz w:val="19"/>
          <w:szCs w:val="19"/>
        </w:rPr>
        <w:t>育</w:t>
      </w:r>
      <w:r>
        <w:rPr>
          <w:rFonts w:ascii="微软雅黑" w:hAnsi="微软雅黑" w:eastAsia="微软雅黑" w:cs="微软雅黑"/>
          <w:spacing w:val="2"/>
          <w:sz w:val="19"/>
          <w:szCs w:val="19"/>
        </w:rPr>
        <w:t>“</w:t>
      </w:r>
      <w:r>
        <w:rPr>
          <w:rFonts w:ascii="微软雅黑" w:hAnsi="微软雅黑" w:eastAsia="微软雅黑" w:cs="微软雅黑"/>
          <w:spacing w:val="-32"/>
          <w:sz w:val="19"/>
          <w:szCs w:val="19"/>
        </w:rPr>
        <w:t xml:space="preserve"> </w:t>
      </w:r>
      <w:r>
        <w:rPr>
          <w:rFonts w:ascii="宋体" w:hAnsi="宋体" w:eastAsia="宋体" w:cs="宋体"/>
          <w:spacing w:val="2"/>
          <w:sz w:val="19"/>
          <w:szCs w:val="19"/>
        </w:rPr>
        <w:t>双一流</w:t>
      </w:r>
      <w:r>
        <w:rPr>
          <w:rFonts w:ascii="微软雅黑" w:hAnsi="微软雅黑" w:eastAsia="微软雅黑" w:cs="微软雅黑"/>
          <w:spacing w:val="2"/>
          <w:sz w:val="19"/>
          <w:szCs w:val="19"/>
        </w:rPr>
        <w:t>”</w:t>
      </w:r>
      <w:r>
        <w:rPr>
          <w:rFonts w:ascii="宋体" w:hAnsi="宋体" w:eastAsia="宋体" w:cs="宋体"/>
          <w:spacing w:val="2"/>
          <w:sz w:val="19"/>
          <w:szCs w:val="19"/>
        </w:rPr>
        <w:t>建设</w:t>
      </w:r>
      <w:r>
        <w:rPr>
          <w:rFonts w:ascii="宋体" w:hAnsi="宋体" w:eastAsia="宋体" w:cs="宋体"/>
          <w:spacing w:val="-48"/>
          <w:sz w:val="19"/>
          <w:szCs w:val="19"/>
        </w:rPr>
        <w:t xml:space="preserve"> </w:t>
      </w:r>
      <w:r>
        <w:rPr>
          <w:rFonts w:ascii="宋体" w:hAnsi="宋体" w:eastAsia="宋体" w:cs="宋体"/>
          <w:spacing w:val="2"/>
          <w:sz w:val="19"/>
          <w:szCs w:val="19"/>
        </w:rPr>
        <w:t xml:space="preserve">的重要 </w:t>
      </w:r>
      <w:r>
        <w:rPr>
          <w:rFonts w:ascii="宋体" w:hAnsi="宋体" w:eastAsia="宋体" w:cs="宋体"/>
          <w:spacing w:val="8"/>
          <w:sz w:val="19"/>
          <w:szCs w:val="19"/>
        </w:rPr>
        <w:t>阶段</w:t>
      </w:r>
      <w:r>
        <w:rPr>
          <w:rFonts w:ascii="微软雅黑" w:hAnsi="微软雅黑" w:eastAsia="微软雅黑" w:cs="微软雅黑"/>
          <w:spacing w:val="8"/>
          <w:sz w:val="19"/>
          <w:szCs w:val="19"/>
        </w:rPr>
        <w:t>，</w:t>
      </w:r>
      <w:r>
        <w:rPr>
          <w:rFonts w:ascii="宋体" w:hAnsi="宋体" w:eastAsia="宋体" w:cs="宋体"/>
          <w:spacing w:val="8"/>
          <w:sz w:val="19"/>
          <w:szCs w:val="19"/>
        </w:rPr>
        <w:t>持续推进高校的质量管理与保障</w:t>
      </w:r>
      <w:r>
        <w:rPr>
          <w:rFonts w:ascii="微软雅黑" w:hAnsi="微软雅黑" w:eastAsia="微软雅黑" w:cs="微软雅黑"/>
          <w:spacing w:val="8"/>
          <w:sz w:val="19"/>
          <w:szCs w:val="19"/>
        </w:rPr>
        <w:t>，</w:t>
      </w:r>
      <w:r>
        <w:rPr>
          <w:rFonts w:ascii="宋体" w:hAnsi="宋体" w:eastAsia="宋体" w:cs="宋体"/>
          <w:spacing w:val="8"/>
          <w:sz w:val="19"/>
          <w:szCs w:val="19"/>
        </w:rPr>
        <w:t xml:space="preserve">进一步促进 </w:t>
      </w:r>
      <w:r>
        <w:rPr>
          <w:rFonts w:ascii="宋体" w:hAnsi="宋体" w:eastAsia="宋体" w:cs="宋体"/>
          <w:spacing w:val="13"/>
          <w:sz w:val="19"/>
          <w:szCs w:val="19"/>
        </w:rPr>
        <w:t>高等教育质量文化建设显得尤为重要</w:t>
      </w:r>
      <w:r>
        <w:rPr>
          <w:rFonts w:ascii="宋体" w:hAnsi="宋体" w:eastAsia="宋体" w:cs="宋体"/>
          <w:spacing w:val="-33"/>
          <w:sz w:val="19"/>
          <w:szCs w:val="19"/>
        </w:rPr>
        <w:t xml:space="preserve"> </w:t>
      </w:r>
      <w:r>
        <w:rPr>
          <w:rFonts w:ascii="微软雅黑" w:hAnsi="微软雅黑" w:eastAsia="微软雅黑" w:cs="微软雅黑"/>
          <w:spacing w:val="13"/>
          <w:sz w:val="19"/>
          <w:szCs w:val="19"/>
        </w:rPr>
        <w:t>。</w:t>
      </w:r>
      <w:r>
        <w:rPr>
          <w:rFonts w:ascii="微软雅黑" w:hAnsi="微软雅黑" w:eastAsia="微软雅黑" w:cs="微软雅黑"/>
          <w:spacing w:val="-18"/>
          <w:sz w:val="19"/>
          <w:szCs w:val="19"/>
        </w:rPr>
        <w:t xml:space="preserve"> </w:t>
      </w:r>
      <w:r>
        <w:rPr>
          <w:rFonts w:ascii="宋体" w:hAnsi="宋体" w:eastAsia="宋体" w:cs="宋体"/>
          <w:spacing w:val="13"/>
          <w:sz w:val="19"/>
          <w:szCs w:val="19"/>
        </w:rPr>
        <w:t>因此</w:t>
      </w:r>
      <w:r>
        <w:rPr>
          <w:rFonts w:ascii="微软雅黑" w:hAnsi="微软雅黑" w:eastAsia="微软雅黑" w:cs="微软雅黑"/>
          <w:spacing w:val="13"/>
          <w:sz w:val="19"/>
          <w:szCs w:val="19"/>
        </w:rPr>
        <w:t>，</w:t>
      </w:r>
      <w:r>
        <w:rPr>
          <w:rFonts w:ascii="宋体" w:hAnsi="宋体" w:eastAsia="宋体" w:cs="宋体"/>
          <w:spacing w:val="13"/>
          <w:sz w:val="19"/>
          <w:szCs w:val="19"/>
        </w:rPr>
        <w:t xml:space="preserve">系统 </w:t>
      </w:r>
      <w:r>
        <w:rPr>
          <w:rFonts w:ascii="宋体" w:hAnsi="宋体" w:eastAsia="宋体" w:cs="宋体"/>
          <w:spacing w:val="8"/>
          <w:sz w:val="19"/>
          <w:szCs w:val="19"/>
        </w:rPr>
        <w:t>分析挪威此次发布</w:t>
      </w:r>
      <w:r>
        <w:rPr>
          <w:rFonts w:ascii="宋体" w:hAnsi="宋体" w:eastAsia="宋体" w:cs="宋体"/>
          <w:spacing w:val="-33"/>
          <w:sz w:val="19"/>
          <w:szCs w:val="19"/>
        </w:rPr>
        <w:t xml:space="preserve"> </w:t>
      </w:r>
      <w:r>
        <w:rPr>
          <w:rFonts w:ascii="宋体" w:hAnsi="宋体" w:eastAsia="宋体" w:cs="宋体"/>
          <w:spacing w:val="8"/>
          <w:sz w:val="19"/>
          <w:szCs w:val="19"/>
        </w:rPr>
        <w:t>的</w:t>
      </w:r>
      <w:r>
        <w:rPr>
          <w:rFonts w:ascii="微软雅黑" w:hAnsi="微软雅黑" w:eastAsia="微软雅黑" w:cs="微软雅黑"/>
          <w:spacing w:val="8"/>
          <w:sz w:val="19"/>
          <w:szCs w:val="19"/>
        </w:rPr>
        <w:t>《</w:t>
      </w:r>
      <w:r>
        <w:rPr>
          <w:rFonts w:ascii="宋体" w:hAnsi="宋体" w:eastAsia="宋体" w:cs="宋体"/>
          <w:spacing w:val="8"/>
          <w:sz w:val="19"/>
          <w:szCs w:val="19"/>
        </w:rPr>
        <w:t>高等教</w:t>
      </w:r>
      <w:r>
        <w:rPr>
          <w:rFonts w:ascii="宋体" w:hAnsi="宋体" w:eastAsia="宋体" w:cs="宋体"/>
          <w:spacing w:val="-57"/>
          <w:sz w:val="19"/>
          <w:szCs w:val="19"/>
        </w:rPr>
        <w:t xml:space="preserve"> </w:t>
      </w:r>
      <w:r>
        <w:rPr>
          <w:rFonts w:ascii="宋体" w:hAnsi="宋体" w:eastAsia="宋体" w:cs="宋体"/>
          <w:spacing w:val="8"/>
          <w:sz w:val="19"/>
          <w:szCs w:val="19"/>
        </w:rPr>
        <w:t>育质量文化</w:t>
      </w:r>
      <w:r>
        <w:rPr>
          <w:rFonts w:ascii="微软雅黑" w:hAnsi="微软雅黑" w:eastAsia="微软雅黑" w:cs="微软雅黑"/>
          <w:spacing w:val="8"/>
          <w:sz w:val="19"/>
          <w:szCs w:val="19"/>
        </w:rPr>
        <w:t>》</w:t>
      </w:r>
      <w:r>
        <w:rPr>
          <w:rFonts w:ascii="宋体" w:hAnsi="宋体" w:eastAsia="宋体" w:cs="宋体"/>
          <w:spacing w:val="8"/>
          <w:sz w:val="19"/>
          <w:szCs w:val="19"/>
        </w:rPr>
        <w:t>白皮书</w:t>
      </w:r>
      <w:r>
        <w:rPr>
          <w:rFonts w:ascii="微软雅黑" w:hAnsi="微软雅黑" w:eastAsia="微软雅黑" w:cs="微软雅黑"/>
          <w:spacing w:val="8"/>
          <w:sz w:val="19"/>
          <w:szCs w:val="19"/>
        </w:rPr>
        <w:t>，</w:t>
      </w:r>
      <w:r>
        <w:rPr>
          <w:rFonts w:ascii="微软雅黑" w:hAnsi="微软雅黑" w:eastAsia="微软雅黑" w:cs="微软雅黑"/>
          <w:sz w:val="19"/>
          <w:szCs w:val="19"/>
        </w:rPr>
        <w:t xml:space="preserve"> </w:t>
      </w:r>
      <w:r>
        <w:rPr>
          <w:rFonts w:ascii="宋体" w:hAnsi="宋体" w:eastAsia="宋体" w:cs="宋体"/>
          <w:spacing w:val="17"/>
          <w:sz w:val="19"/>
          <w:szCs w:val="19"/>
        </w:rPr>
        <w:t>吸收借鉴其合理成分</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对于新时期我国高等教育进 </w:t>
      </w:r>
      <w:r>
        <w:rPr>
          <w:rFonts w:ascii="宋体" w:hAnsi="宋体" w:eastAsia="宋体" w:cs="宋体"/>
          <w:spacing w:val="18"/>
          <w:sz w:val="19"/>
          <w:szCs w:val="19"/>
        </w:rPr>
        <w:t>一步发展具有重要意义</w:t>
      </w:r>
      <w:r>
        <w:rPr>
          <w:rFonts w:ascii="微软雅黑" w:hAnsi="微软雅黑" w:eastAsia="微软雅黑" w:cs="微软雅黑"/>
          <w:spacing w:val="18"/>
          <w:sz w:val="19"/>
          <w:szCs w:val="19"/>
        </w:rPr>
        <w:t>。</w:t>
      </w:r>
    </w:p>
    <w:p>
      <w:pPr>
        <w:spacing w:line="272" w:lineRule="auto"/>
        <w:rPr>
          <w:rFonts w:ascii="Arial"/>
          <w:sz w:val="21"/>
        </w:rPr>
      </w:pPr>
    </w:p>
    <w:p>
      <w:pPr>
        <w:spacing w:before="112" w:line="208" w:lineRule="auto"/>
        <w:ind w:left="2116" w:right="403" w:hanging="1222"/>
        <w:rPr>
          <w:rFonts w:ascii="新宋体" w:hAnsi="新宋体" w:eastAsia="新宋体" w:cs="新宋体"/>
          <w:sz w:val="26"/>
          <w:szCs w:val="26"/>
        </w:rPr>
      </w:pPr>
      <w:r>
        <w:rPr>
          <w:rFonts w:ascii="新宋体" w:hAnsi="新宋体" w:eastAsia="新宋体" w:cs="新宋体"/>
          <w:spacing w:val="-2"/>
          <w:sz w:val="26"/>
          <w:szCs w:val="26"/>
        </w:rPr>
        <w:t>一</w:t>
      </w:r>
      <w:r>
        <w:rPr>
          <w:rFonts w:ascii="微软雅黑" w:hAnsi="微软雅黑" w:eastAsia="微软雅黑" w:cs="微软雅黑"/>
          <w:spacing w:val="-2"/>
          <w:position w:val="1"/>
          <w:sz w:val="26"/>
          <w:szCs w:val="26"/>
        </w:rPr>
        <w:t>、</w:t>
      </w:r>
      <w:r>
        <w:rPr>
          <w:rFonts w:ascii="新宋体" w:hAnsi="新宋体" w:eastAsia="新宋体" w:cs="新宋体"/>
          <w:spacing w:val="-2"/>
          <w:sz w:val="26"/>
          <w:szCs w:val="26"/>
        </w:rPr>
        <w:t>挪威颁布</w:t>
      </w:r>
      <w:r>
        <w:rPr>
          <w:rFonts w:ascii="微软雅黑" w:hAnsi="微软雅黑" w:eastAsia="微软雅黑" w:cs="微软雅黑"/>
          <w:spacing w:val="-2"/>
          <w:sz w:val="26"/>
          <w:szCs w:val="26"/>
        </w:rPr>
        <w:t>《</w:t>
      </w:r>
      <w:r>
        <w:rPr>
          <w:rFonts w:ascii="新宋体" w:hAnsi="新宋体" w:eastAsia="新宋体" w:cs="新宋体"/>
          <w:spacing w:val="-2"/>
          <w:sz w:val="26"/>
          <w:szCs w:val="26"/>
        </w:rPr>
        <w:t>高等教育质量文化</w:t>
      </w:r>
      <w:r>
        <w:rPr>
          <w:rFonts w:ascii="微软雅黑" w:hAnsi="微软雅黑" w:eastAsia="微软雅黑" w:cs="微软雅黑"/>
          <w:spacing w:val="-2"/>
          <w:sz w:val="26"/>
          <w:szCs w:val="26"/>
        </w:rPr>
        <w:t>》</w:t>
      </w:r>
      <w:r>
        <w:rPr>
          <w:rFonts w:ascii="微软雅黑" w:hAnsi="微软雅黑" w:eastAsia="微软雅黑" w:cs="微软雅黑"/>
          <w:spacing w:val="9"/>
          <w:sz w:val="26"/>
          <w:szCs w:val="26"/>
        </w:rPr>
        <w:t xml:space="preserve"> </w:t>
      </w:r>
      <w:r>
        <w:rPr>
          <w:rFonts w:ascii="新宋体" w:hAnsi="新宋体" w:eastAsia="新宋体" w:cs="新宋体"/>
          <w:spacing w:val="7"/>
          <w:sz w:val="26"/>
          <w:szCs w:val="26"/>
        </w:rPr>
        <w:t>白皮书的背景</w:t>
      </w:r>
    </w:p>
    <w:p>
      <w:pPr>
        <w:spacing w:line="423" w:lineRule="auto"/>
        <w:rPr>
          <w:rFonts w:ascii="Arial"/>
          <w:sz w:val="21"/>
        </w:rPr>
      </w:pPr>
    </w:p>
    <w:p>
      <w:pPr>
        <w:spacing w:before="63" w:line="211" w:lineRule="auto"/>
        <w:ind w:left="1023"/>
        <w:rPr>
          <w:rFonts w:ascii="黑体" w:hAnsi="黑体" w:eastAsia="黑体" w:cs="黑体"/>
          <w:sz w:val="19"/>
          <w:szCs w:val="19"/>
        </w:rPr>
      </w:pPr>
      <w:r>
        <w:rPr>
          <w:rFonts w:ascii="Arial" w:hAnsi="Arial" w:eastAsia="Arial" w:cs="Arial"/>
          <w:spacing w:val="15"/>
          <w:sz w:val="19"/>
          <w:szCs w:val="19"/>
        </w:rPr>
        <w:t>1.</w:t>
      </w:r>
      <w:r>
        <w:rPr>
          <w:rFonts w:ascii="黑体" w:hAnsi="黑体" w:eastAsia="黑体" w:cs="黑体"/>
          <w:spacing w:val="15"/>
          <w:sz w:val="19"/>
          <w:szCs w:val="19"/>
        </w:rPr>
        <w:t>挪威社会经济发展面临的挑战</w:t>
      </w:r>
    </w:p>
    <w:p>
      <w:pPr>
        <w:spacing w:before="90" w:line="242" w:lineRule="auto"/>
        <w:ind w:left="600" w:right="247" w:firstLine="422"/>
        <w:rPr>
          <w:rFonts w:ascii="宋体" w:hAnsi="宋体" w:eastAsia="宋体" w:cs="宋体"/>
          <w:sz w:val="19"/>
          <w:szCs w:val="19"/>
        </w:rPr>
      </w:pPr>
      <w:r>
        <w:rPr>
          <w:rFonts w:ascii="宋体" w:hAnsi="宋体" w:eastAsia="宋体" w:cs="宋体"/>
          <w:spacing w:val="16"/>
          <w:sz w:val="19"/>
          <w:szCs w:val="19"/>
        </w:rPr>
        <w:t>从宏观上看</w:t>
      </w:r>
      <w:r>
        <w:rPr>
          <w:rFonts w:ascii="微软雅黑" w:hAnsi="微软雅黑" w:eastAsia="微软雅黑" w:cs="微软雅黑"/>
          <w:spacing w:val="16"/>
          <w:sz w:val="19"/>
          <w:szCs w:val="19"/>
        </w:rPr>
        <w:t>，</w:t>
      </w:r>
      <w:r>
        <w:rPr>
          <w:rFonts w:ascii="宋体" w:hAnsi="宋体" w:eastAsia="宋体" w:cs="宋体"/>
          <w:spacing w:val="16"/>
          <w:sz w:val="19"/>
          <w:szCs w:val="19"/>
        </w:rPr>
        <w:t>挪威社会经济</w:t>
      </w:r>
      <w:r>
        <w:rPr>
          <w:rFonts w:ascii="宋体" w:hAnsi="宋体" w:eastAsia="宋体" w:cs="宋体"/>
          <w:spacing w:val="-51"/>
          <w:sz w:val="19"/>
          <w:szCs w:val="19"/>
        </w:rPr>
        <w:t xml:space="preserve"> </w:t>
      </w:r>
      <w:r>
        <w:rPr>
          <w:rFonts w:ascii="宋体" w:hAnsi="宋体" w:eastAsia="宋体" w:cs="宋体"/>
          <w:spacing w:val="16"/>
          <w:sz w:val="19"/>
          <w:szCs w:val="19"/>
        </w:rPr>
        <w:t>的进一步发展正面</w:t>
      </w:r>
      <w:r>
        <w:rPr>
          <w:rFonts w:ascii="宋体" w:hAnsi="宋体" w:eastAsia="宋体" w:cs="宋体"/>
          <w:sz w:val="19"/>
          <w:szCs w:val="19"/>
        </w:rPr>
        <w:t xml:space="preserve"> </w:t>
      </w:r>
      <w:r>
        <w:rPr>
          <w:rFonts w:ascii="宋体" w:hAnsi="宋体" w:eastAsia="宋体" w:cs="宋体"/>
          <w:spacing w:val="2"/>
          <w:sz w:val="19"/>
          <w:szCs w:val="19"/>
        </w:rPr>
        <w:t>临着气候</w:t>
      </w:r>
      <w:r>
        <w:rPr>
          <w:rFonts w:ascii="微软雅黑" w:hAnsi="微软雅黑" w:eastAsia="微软雅黑" w:cs="微软雅黑"/>
          <w:spacing w:val="2"/>
          <w:sz w:val="19"/>
          <w:szCs w:val="19"/>
        </w:rPr>
        <w:t>、</w:t>
      </w:r>
      <w:r>
        <w:rPr>
          <w:rFonts w:ascii="宋体" w:hAnsi="宋体" w:eastAsia="宋体" w:cs="宋体"/>
          <w:spacing w:val="2"/>
          <w:sz w:val="19"/>
          <w:szCs w:val="19"/>
        </w:rPr>
        <w:t>人口</w:t>
      </w:r>
      <w:r>
        <w:rPr>
          <w:rFonts w:ascii="微软雅黑" w:hAnsi="微软雅黑" w:eastAsia="微软雅黑" w:cs="微软雅黑"/>
          <w:spacing w:val="2"/>
          <w:sz w:val="19"/>
          <w:szCs w:val="19"/>
        </w:rPr>
        <w:t>、</w:t>
      </w:r>
      <w:r>
        <w:rPr>
          <w:rFonts w:ascii="宋体" w:hAnsi="宋体" w:eastAsia="宋体" w:cs="宋体"/>
          <w:spacing w:val="2"/>
          <w:sz w:val="19"/>
          <w:szCs w:val="19"/>
        </w:rPr>
        <w:t>科技等诸</w:t>
      </w:r>
      <w:r>
        <w:rPr>
          <w:rFonts w:ascii="宋体" w:hAnsi="宋体" w:eastAsia="宋体" w:cs="宋体"/>
          <w:spacing w:val="-50"/>
          <w:sz w:val="19"/>
          <w:szCs w:val="19"/>
        </w:rPr>
        <w:t xml:space="preserve"> </w:t>
      </w:r>
      <w:r>
        <w:rPr>
          <w:rFonts w:ascii="宋体" w:hAnsi="宋体" w:eastAsia="宋体" w:cs="宋体"/>
          <w:spacing w:val="2"/>
          <w:sz w:val="19"/>
          <w:szCs w:val="19"/>
        </w:rPr>
        <w:t>多严峻</w:t>
      </w:r>
      <w:r>
        <w:rPr>
          <w:rFonts w:ascii="宋体" w:hAnsi="宋体" w:eastAsia="宋体" w:cs="宋体"/>
          <w:spacing w:val="-49"/>
          <w:sz w:val="19"/>
          <w:szCs w:val="19"/>
        </w:rPr>
        <w:t xml:space="preserve"> </w:t>
      </w:r>
      <w:r>
        <w:rPr>
          <w:rFonts w:ascii="宋体" w:hAnsi="宋体" w:eastAsia="宋体" w:cs="宋体"/>
          <w:spacing w:val="2"/>
          <w:sz w:val="19"/>
          <w:szCs w:val="19"/>
        </w:rPr>
        <w:t>的挑</w:t>
      </w:r>
      <w:r>
        <w:rPr>
          <w:rFonts w:ascii="宋体" w:hAnsi="宋体" w:eastAsia="宋体" w:cs="宋体"/>
          <w:spacing w:val="-55"/>
          <w:sz w:val="19"/>
          <w:szCs w:val="19"/>
        </w:rPr>
        <w:t xml:space="preserve"> </w:t>
      </w:r>
      <w:r>
        <w:rPr>
          <w:rFonts w:ascii="宋体" w:hAnsi="宋体" w:eastAsia="宋体" w:cs="宋体"/>
          <w:spacing w:val="2"/>
          <w:sz w:val="19"/>
          <w:szCs w:val="19"/>
        </w:rPr>
        <w:t>战</w:t>
      </w:r>
      <w:r>
        <w:rPr>
          <w:rFonts w:ascii="微软雅黑" w:hAnsi="微软雅黑" w:eastAsia="微软雅黑" w:cs="微软雅黑"/>
          <w:spacing w:val="2"/>
          <w:sz w:val="19"/>
          <w:szCs w:val="19"/>
        </w:rPr>
        <w:t>，</w:t>
      </w:r>
      <w:r>
        <w:rPr>
          <w:rFonts w:ascii="宋体" w:hAnsi="宋体" w:eastAsia="宋体" w:cs="宋体"/>
          <w:spacing w:val="2"/>
          <w:sz w:val="19"/>
          <w:szCs w:val="19"/>
        </w:rPr>
        <w:t>这些挑</w:t>
      </w:r>
      <w:r>
        <w:rPr>
          <w:rFonts w:ascii="宋体" w:hAnsi="宋体" w:eastAsia="宋体" w:cs="宋体"/>
          <w:spacing w:val="-55"/>
          <w:sz w:val="19"/>
          <w:szCs w:val="19"/>
        </w:rPr>
        <w:t xml:space="preserve"> </w:t>
      </w:r>
      <w:r>
        <w:rPr>
          <w:rFonts w:ascii="宋体" w:hAnsi="宋体" w:eastAsia="宋体" w:cs="宋体"/>
          <w:spacing w:val="2"/>
          <w:sz w:val="19"/>
          <w:szCs w:val="19"/>
        </w:rPr>
        <w:t>战</w:t>
      </w:r>
      <w:r>
        <w:rPr>
          <w:rFonts w:ascii="宋体" w:hAnsi="宋体" w:eastAsia="宋体" w:cs="宋体"/>
          <w:sz w:val="19"/>
          <w:szCs w:val="19"/>
        </w:rPr>
        <w:t xml:space="preserve"> </w:t>
      </w:r>
      <w:r>
        <w:rPr>
          <w:rFonts w:ascii="宋体" w:hAnsi="宋体" w:eastAsia="宋体" w:cs="宋体"/>
          <w:spacing w:val="7"/>
          <w:sz w:val="19"/>
          <w:szCs w:val="19"/>
        </w:rPr>
        <w:t>植根于文化</w:t>
      </w:r>
      <w:r>
        <w:rPr>
          <w:rFonts w:ascii="微软雅黑" w:hAnsi="微软雅黑" w:eastAsia="微软雅黑" w:cs="微软雅黑"/>
          <w:spacing w:val="7"/>
          <w:sz w:val="19"/>
          <w:szCs w:val="19"/>
        </w:rPr>
        <w:t>、</w:t>
      </w:r>
      <w:r>
        <w:rPr>
          <w:rFonts w:ascii="宋体" w:hAnsi="宋体" w:eastAsia="宋体" w:cs="宋体"/>
          <w:spacing w:val="7"/>
          <w:sz w:val="19"/>
          <w:szCs w:val="19"/>
        </w:rPr>
        <w:t>经济</w:t>
      </w:r>
      <w:r>
        <w:rPr>
          <w:rFonts w:ascii="微软雅黑" w:hAnsi="微软雅黑" w:eastAsia="微软雅黑" w:cs="微软雅黑"/>
          <w:spacing w:val="7"/>
          <w:sz w:val="19"/>
          <w:szCs w:val="19"/>
        </w:rPr>
        <w:t>、</w:t>
      </w:r>
      <w:r>
        <w:rPr>
          <w:rFonts w:ascii="宋体" w:hAnsi="宋体" w:eastAsia="宋体" w:cs="宋体"/>
          <w:spacing w:val="7"/>
          <w:sz w:val="19"/>
          <w:szCs w:val="19"/>
        </w:rPr>
        <w:t>政策</w:t>
      </w:r>
      <w:r>
        <w:rPr>
          <w:rFonts w:ascii="微软雅黑" w:hAnsi="微软雅黑" w:eastAsia="微软雅黑" w:cs="微软雅黑"/>
          <w:spacing w:val="7"/>
          <w:sz w:val="19"/>
          <w:szCs w:val="19"/>
        </w:rPr>
        <w:t>、</w:t>
      </w:r>
      <w:r>
        <w:rPr>
          <w:rFonts w:ascii="宋体" w:hAnsi="宋体" w:eastAsia="宋体" w:cs="宋体"/>
          <w:spacing w:val="7"/>
          <w:sz w:val="19"/>
          <w:szCs w:val="19"/>
        </w:rPr>
        <w:t>教育等诸</w:t>
      </w:r>
      <w:r>
        <w:rPr>
          <w:rFonts w:ascii="宋体" w:hAnsi="宋体" w:eastAsia="宋体" w:cs="宋体"/>
          <w:spacing w:val="-40"/>
          <w:sz w:val="19"/>
          <w:szCs w:val="19"/>
        </w:rPr>
        <w:t xml:space="preserve"> </w:t>
      </w:r>
      <w:r>
        <w:rPr>
          <w:rFonts w:ascii="宋体" w:hAnsi="宋体" w:eastAsia="宋体" w:cs="宋体"/>
          <w:spacing w:val="7"/>
          <w:sz w:val="19"/>
          <w:szCs w:val="19"/>
        </w:rPr>
        <w:t>多复杂的领域之</w:t>
      </w:r>
      <w:r>
        <w:rPr>
          <w:rFonts w:ascii="宋体" w:hAnsi="宋体" w:eastAsia="宋体" w:cs="宋体"/>
          <w:sz w:val="19"/>
          <w:szCs w:val="19"/>
        </w:rPr>
        <w:t xml:space="preserve"> </w:t>
      </w:r>
      <w:r>
        <w:rPr>
          <w:rFonts w:ascii="宋体" w:hAnsi="宋体" w:eastAsia="宋体" w:cs="宋体"/>
          <w:spacing w:val="1"/>
          <w:sz w:val="19"/>
          <w:szCs w:val="19"/>
        </w:rPr>
        <w:t>中</w:t>
      </w:r>
      <w:r>
        <w:rPr>
          <w:rFonts w:ascii="微软雅黑" w:hAnsi="微软雅黑" w:eastAsia="微软雅黑" w:cs="微软雅黑"/>
          <w:spacing w:val="1"/>
          <w:sz w:val="19"/>
          <w:szCs w:val="19"/>
        </w:rPr>
        <w:t>，</w:t>
      </w:r>
      <w:r>
        <w:rPr>
          <w:rFonts w:ascii="宋体" w:hAnsi="宋体" w:eastAsia="宋体" w:cs="宋体"/>
          <w:spacing w:val="1"/>
          <w:sz w:val="19"/>
          <w:szCs w:val="19"/>
        </w:rPr>
        <w:t>其影</w:t>
      </w:r>
      <w:r>
        <w:rPr>
          <w:rFonts w:ascii="宋体" w:hAnsi="宋体" w:eastAsia="宋体" w:cs="宋体"/>
          <w:spacing w:val="-40"/>
          <w:sz w:val="19"/>
          <w:szCs w:val="19"/>
        </w:rPr>
        <w:t xml:space="preserve"> </w:t>
      </w:r>
      <w:r>
        <w:rPr>
          <w:rFonts w:ascii="宋体" w:hAnsi="宋体" w:eastAsia="宋体" w:cs="宋体"/>
          <w:spacing w:val="1"/>
          <w:sz w:val="19"/>
          <w:szCs w:val="19"/>
        </w:rPr>
        <w:t>响是难</w:t>
      </w:r>
      <w:r>
        <w:rPr>
          <w:rFonts w:ascii="宋体" w:hAnsi="宋体" w:eastAsia="宋体" w:cs="宋体"/>
          <w:spacing w:val="-45"/>
          <w:sz w:val="19"/>
          <w:szCs w:val="19"/>
        </w:rPr>
        <w:t xml:space="preserve"> </w:t>
      </w:r>
      <w:r>
        <w:rPr>
          <w:rFonts w:ascii="宋体" w:hAnsi="宋体" w:eastAsia="宋体" w:cs="宋体"/>
          <w:spacing w:val="1"/>
          <w:sz w:val="19"/>
          <w:szCs w:val="19"/>
        </w:rPr>
        <w:t>以预测</w:t>
      </w:r>
      <w:r>
        <w:rPr>
          <w:rFonts w:ascii="宋体" w:hAnsi="宋体" w:eastAsia="宋体" w:cs="宋体"/>
          <w:spacing w:val="-50"/>
          <w:sz w:val="19"/>
          <w:szCs w:val="19"/>
        </w:rPr>
        <w:t xml:space="preserve"> </w:t>
      </w:r>
      <w:r>
        <w:rPr>
          <w:rFonts w:ascii="宋体" w:hAnsi="宋体" w:eastAsia="宋体" w:cs="宋体"/>
          <w:spacing w:val="1"/>
          <w:sz w:val="19"/>
          <w:szCs w:val="19"/>
        </w:rPr>
        <w:t>的</w:t>
      </w:r>
      <w:r>
        <w:rPr>
          <w:rFonts w:ascii="微软雅黑" w:hAnsi="微软雅黑" w:eastAsia="微软雅黑" w:cs="微软雅黑"/>
          <w:spacing w:val="1"/>
          <w:sz w:val="19"/>
          <w:szCs w:val="19"/>
        </w:rPr>
        <w:t>。</w:t>
      </w:r>
      <w:r>
        <w:rPr>
          <w:rFonts w:ascii="微软雅黑" w:hAnsi="微软雅黑" w:eastAsia="微软雅黑" w:cs="微软雅黑"/>
          <w:spacing w:val="1"/>
          <w:position w:val="8"/>
          <w:sz w:val="10"/>
          <w:szCs w:val="10"/>
        </w:rPr>
        <w:t>[</w:t>
      </w:r>
      <w:r>
        <w:rPr>
          <w:rFonts w:ascii="Arial" w:hAnsi="Arial" w:eastAsia="Arial" w:cs="Arial"/>
          <w:spacing w:val="1"/>
          <w:position w:val="8"/>
          <w:sz w:val="10"/>
          <w:szCs w:val="10"/>
        </w:rPr>
        <w:t>1</w:t>
      </w:r>
      <w:r>
        <w:rPr>
          <w:rFonts w:ascii="微软雅黑" w:hAnsi="微软雅黑" w:eastAsia="微软雅黑" w:cs="微软雅黑"/>
          <w:spacing w:val="1"/>
          <w:position w:val="8"/>
          <w:sz w:val="10"/>
          <w:szCs w:val="10"/>
        </w:rPr>
        <w:t>]</w:t>
      </w:r>
      <w:r>
        <w:rPr>
          <w:rFonts w:ascii="微软雅黑" w:hAnsi="微软雅黑" w:eastAsia="微软雅黑" w:cs="微软雅黑"/>
          <w:position w:val="8"/>
          <w:sz w:val="10"/>
          <w:szCs w:val="10"/>
        </w:rPr>
        <w:t xml:space="preserve">  </w:t>
      </w:r>
      <w:r>
        <w:rPr>
          <w:rFonts w:ascii="宋体" w:hAnsi="宋体" w:eastAsia="宋体" w:cs="宋体"/>
          <w:spacing w:val="1"/>
          <w:sz w:val="19"/>
          <w:szCs w:val="19"/>
        </w:rPr>
        <w:t>遍观全球</w:t>
      </w:r>
      <w:r>
        <w:rPr>
          <w:rFonts w:ascii="微软雅黑" w:hAnsi="微软雅黑" w:eastAsia="微软雅黑" w:cs="微软雅黑"/>
          <w:spacing w:val="1"/>
          <w:sz w:val="19"/>
          <w:szCs w:val="19"/>
        </w:rPr>
        <w:t>，</w:t>
      </w:r>
      <w:r>
        <w:rPr>
          <w:rFonts w:ascii="宋体" w:hAnsi="宋体" w:eastAsia="宋体" w:cs="宋体"/>
          <w:spacing w:val="1"/>
          <w:sz w:val="19"/>
          <w:szCs w:val="19"/>
        </w:rPr>
        <w:t>欧洲其他</w:t>
      </w:r>
      <w:r>
        <w:rPr>
          <w:rFonts w:ascii="宋体" w:hAnsi="宋体" w:eastAsia="宋体" w:cs="宋体"/>
          <w:spacing w:val="-45"/>
          <w:sz w:val="19"/>
          <w:szCs w:val="19"/>
        </w:rPr>
        <w:t xml:space="preserve"> </w:t>
      </w:r>
      <w:r>
        <w:rPr>
          <w:rFonts w:ascii="宋体" w:hAnsi="宋体" w:eastAsia="宋体" w:cs="宋体"/>
          <w:spacing w:val="1"/>
          <w:sz w:val="19"/>
          <w:szCs w:val="19"/>
        </w:rPr>
        <w:t>国</w:t>
      </w:r>
      <w:r>
        <w:rPr>
          <w:rFonts w:ascii="宋体" w:hAnsi="宋体" w:eastAsia="宋体" w:cs="宋体"/>
          <w:sz w:val="19"/>
          <w:szCs w:val="19"/>
        </w:rPr>
        <w:t xml:space="preserve"> </w:t>
      </w:r>
      <w:r>
        <w:rPr>
          <w:rFonts w:ascii="宋体" w:hAnsi="宋体" w:eastAsia="宋体" w:cs="宋体"/>
          <w:spacing w:val="18"/>
          <w:sz w:val="19"/>
          <w:szCs w:val="19"/>
        </w:rPr>
        <w:t>家及北美地区正将提升竞争力的工作重心转向高等</w:t>
      </w:r>
      <w:r>
        <w:rPr>
          <w:rFonts w:ascii="宋体" w:hAnsi="宋体" w:eastAsia="宋体" w:cs="宋体"/>
          <w:spacing w:val="8"/>
          <w:sz w:val="19"/>
          <w:szCs w:val="19"/>
        </w:rPr>
        <w:t xml:space="preserve"> </w:t>
      </w:r>
      <w:r>
        <w:rPr>
          <w:rFonts w:ascii="宋体" w:hAnsi="宋体" w:eastAsia="宋体" w:cs="宋体"/>
          <w:spacing w:val="12"/>
          <w:sz w:val="19"/>
          <w:szCs w:val="19"/>
        </w:rPr>
        <w:t>教育</w:t>
      </w:r>
      <w:r>
        <w:rPr>
          <w:rFonts w:ascii="宋体" w:hAnsi="宋体" w:eastAsia="宋体" w:cs="宋体"/>
          <w:spacing w:val="-43"/>
          <w:sz w:val="19"/>
          <w:szCs w:val="19"/>
        </w:rPr>
        <w:t xml:space="preserve"> </w:t>
      </w:r>
      <w:r>
        <w:rPr>
          <w:rFonts w:ascii="微软雅黑" w:hAnsi="微软雅黑" w:eastAsia="微软雅黑" w:cs="微软雅黑"/>
          <w:spacing w:val="12"/>
          <w:sz w:val="19"/>
          <w:szCs w:val="19"/>
        </w:rPr>
        <w:t>。</w:t>
      </w:r>
      <w:r>
        <w:rPr>
          <w:rFonts w:ascii="宋体" w:hAnsi="宋体" w:eastAsia="宋体" w:cs="宋体"/>
          <w:spacing w:val="12"/>
          <w:sz w:val="19"/>
          <w:szCs w:val="19"/>
        </w:rPr>
        <w:t>在激烈的全球竞争</w:t>
      </w:r>
      <w:r>
        <w:rPr>
          <w:rFonts w:ascii="宋体" w:hAnsi="宋体" w:eastAsia="宋体" w:cs="宋体"/>
          <w:spacing w:val="-46"/>
          <w:sz w:val="19"/>
          <w:szCs w:val="19"/>
        </w:rPr>
        <w:t xml:space="preserve"> </w:t>
      </w:r>
      <w:r>
        <w:rPr>
          <w:rFonts w:ascii="宋体" w:hAnsi="宋体" w:eastAsia="宋体" w:cs="宋体"/>
          <w:spacing w:val="12"/>
          <w:sz w:val="19"/>
          <w:szCs w:val="19"/>
        </w:rPr>
        <w:t>中</w:t>
      </w:r>
      <w:r>
        <w:rPr>
          <w:rFonts w:ascii="微软雅黑" w:hAnsi="微软雅黑" w:eastAsia="微软雅黑" w:cs="微软雅黑"/>
          <w:spacing w:val="12"/>
          <w:sz w:val="19"/>
          <w:szCs w:val="19"/>
        </w:rPr>
        <w:t>，</w:t>
      </w:r>
      <w:r>
        <w:rPr>
          <w:rFonts w:ascii="宋体" w:hAnsi="宋体" w:eastAsia="宋体" w:cs="宋体"/>
          <w:spacing w:val="12"/>
          <w:sz w:val="19"/>
          <w:szCs w:val="19"/>
        </w:rPr>
        <w:t>挪威</w:t>
      </w:r>
      <w:r>
        <w:rPr>
          <w:rFonts w:ascii="宋体" w:hAnsi="宋体" w:eastAsia="宋体" w:cs="宋体"/>
          <w:spacing w:val="-54"/>
          <w:sz w:val="19"/>
          <w:szCs w:val="19"/>
        </w:rPr>
        <w:t xml:space="preserve"> </w:t>
      </w:r>
      <w:r>
        <w:rPr>
          <w:rFonts w:ascii="宋体" w:hAnsi="宋体" w:eastAsia="宋体" w:cs="宋体"/>
          <w:spacing w:val="12"/>
          <w:sz w:val="19"/>
          <w:szCs w:val="19"/>
        </w:rPr>
        <w:t>需要受过良好教</w:t>
      </w:r>
      <w:r>
        <w:rPr>
          <w:rFonts w:ascii="宋体" w:hAnsi="宋体" w:eastAsia="宋体" w:cs="宋体"/>
          <w:sz w:val="19"/>
          <w:szCs w:val="19"/>
        </w:rPr>
        <w:t xml:space="preserve"> </w:t>
      </w:r>
      <w:r>
        <w:rPr>
          <w:rFonts w:ascii="宋体" w:hAnsi="宋体" w:eastAsia="宋体" w:cs="宋体"/>
          <w:spacing w:val="18"/>
          <w:sz w:val="19"/>
          <w:szCs w:val="19"/>
        </w:rPr>
        <w:t>育的高素质人口去解决社会发展过程中遇到的诸多</w:t>
      </w:r>
      <w:r>
        <w:rPr>
          <w:rFonts w:ascii="宋体" w:hAnsi="宋体" w:eastAsia="宋体" w:cs="宋体"/>
          <w:spacing w:val="8"/>
          <w:sz w:val="19"/>
          <w:szCs w:val="19"/>
        </w:rPr>
        <w:t xml:space="preserve"> </w:t>
      </w:r>
      <w:r>
        <w:rPr>
          <w:rFonts w:ascii="宋体" w:hAnsi="宋体" w:eastAsia="宋体" w:cs="宋体"/>
          <w:spacing w:val="9"/>
          <w:sz w:val="19"/>
          <w:szCs w:val="19"/>
        </w:rPr>
        <w:t>问题</w:t>
      </w:r>
      <w:r>
        <w:rPr>
          <w:rFonts w:ascii="微软雅黑" w:hAnsi="微软雅黑" w:eastAsia="微软雅黑" w:cs="微软雅黑"/>
          <w:spacing w:val="9"/>
          <w:sz w:val="19"/>
          <w:szCs w:val="19"/>
        </w:rPr>
        <w:t>，</w:t>
      </w:r>
      <w:r>
        <w:rPr>
          <w:rFonts w:ascii="宋体" w:hAnsi="宋体" w:eastAsia="宋体" w:cs="宋体"/>
          <w:spacing w:val="9"/>
          <w:sz w:val="19"/>
          <w:szCs w:val="19"/>
        </w:rPr>
        <w:t>以增强其发展的可持续性</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通过高质量的高等 </w:t>
      </w:r>
      <w:r>
        <w:rPr>
          <w:rFonts w:ascii="宋体" w:hAnsi="宋体" w:eastAsia="宋体" w:cs="宋体"/>
          <w:spacing w:val="18"/>
          <w:sz w:val="19"/>
          <w:szCs w:val="19"/>
        </w:rPr>
        <w:t>教育培养学生的综合能力并使其成为合格的全球公</w:t>
      </w:r>
      <w:r>
        <w:rPr>
          <w:rFonts w:ascii="宋体" w:hAnsi="宋体" w:eastAsia="宋体" w:cs="宋体"/>
          <w:spacing w:val="8"/>
          <w:sz w:val="19"/>
          <w:szCs w:val="19"/>
        </w:rPr>
        <w:t xml:space="preserve"> </w:t>
      </w:r>
      <w:r>
        <w:rPr>
          <w:rFonts w:ascii="宋体" w:hAnsi="宋体" w:eastAsia="宋体" w:cs="宋体"/>
          <w:spacing w:val="9"/>
          <w:sz w:val="19"/>
          <w:szCs w:val="19"/>
        </w:rPr>
        <w:t>民是挪威应对诸</w:t>
      </w:r>
      <w:r>
        <w:rPr>
          <w:rFonts w:ascii="宋体" w:hAnsi="宋体" w:eastAsia="宋体" w:cs="宋体"/>
          <w:spacing w:val="-44"/>
          <w:sz w:val="19"/>
          <w:szCs w:val="19"/>
        </w:rPr>
        <w:t xml:space="preserve"> </w:t>
      </w:r>
      <w:r>
        <w:rPr>
          <w:rFonts w:ascii="宋体" w:hAnsi="宋体" w:eastAsia="宋体" w:cs="宋体"/>
          <w:spacing w:val="9"/>
          <w:sz w:val="19"/>
          <w:szCs w:val="19"/>
        </w:rPr>
        <w:t>多挑</w:t>
      </w:r>
      <w:r>
        <w:rPr>
          <w:rFonts w:ascii="宋体" w:hAnsi="宋体" w:eastAsia="宋体" w:cs="宋体"/>
          <w:spacing w:val="-55"/>
          <w:sz w:val="19"/>
          <w:szCs w:val="19"/>
        </w:rPr>
        <w:t xml:space="preserve"> </w:t>
      </w:r>
      <w:r>
        <w:rPr>
          <w:rFonts w:ascii="宋体" w:hAnsi="宋体" w:eastAsia="宋体" w:cs="宋体"/>
          <w:spacing w:val="9"/>
          <w:sz w:val="19"/>
          <w:szCs w:val="19"/>
        </w:rPr>
        <w:t>战</w:t>
      </w:r>
      <w:r>
        <w:rPr>
          <w:rFonts w:ascii="宋体" w:hAnsi="宋体" w:eastAsia="宋体" w:cs="宋体"/>
          <w:spacing w:val="-48"/>
          <w:sz w:val="19"/>
          <w:szCs w:val="19"/>
        </w:rPr>
        <w:t xml:space="preserve"> </w:t>
      </w:r>
      <w:r>
        <w:rPr>
          <w:rFonts w:ascii="宋体" w:hAnsi="宋体" w:eastAsia="宋体" w:cs="宋体"/>
          <w:spacing w:val="9"/>
          <w:sz w:val="19"/>
          <w:szCs w:val="19"/>
        </w:rPr>
        <w:t>的必要途径</w:t>
      </w:r>
      <w:r>
        <w:rPr>
          <w:rFonts w:ascii="宋体" w:hAnsi="宋体" w:eastAsia="宋体" w:cs="宋体"/>
          <w:spacing w:val="-51"/>
          <w:sz w:val="19"/>
          <w:szCs w:val="19"/>
        </w:rPr>
        <w:t xml:space="preserve"> </w:t>
      </w:r>
      <w:r>
        <w:rPr>
          <w:rFonts w:ascii="微软雅黑" w:hAnsi="微软雅黑" w:eastAsia="微软雅黑" w:cs="微软雅黑"/>
          <w:spacing w:val="9"/>
          <w:sz w:val="19"/>
          <w:szCs w:val="19"/>
        </w:rPr>
        <w:t>。</w:t>
      </w:r>
      <w:r>
        <w:rPr>
          <w:rFonts w:ascii="微软雅黑" w:hAnsi="微软雅黑" w:eastAsia="微软雅黑" w:cs="微软雅黑"/>
          <w:spacing w:val="-29"/>
          <w:sz w:val="19"/>
          <w:szCs w:val="19"/>
        </w:rPr>
        <w:t xml:space="preserve"> </w:t>
      </w:r>
      <w:r>
        <w:rPr>
          <w:rFonts w:ascii="宋体" w:hAnsi="宋体" w:eastAsia="宋体" w:cs="宋体"/>
          <w:spacing w:val="9"/>
          <w:sz w:val="19"/>
          <w:szCs w:val="19"/>
        </w:rPr>
        <w:t>具体来说</w:t>
      </w:r>
      <w:r>
        <w:rPr>
          <w:rFonts w:ascii="微软雅黑" w:hAnsi="微软雅黑" w:eastAsia="微软雅黑" w:cs="微软雅黑"/>
          <w:spacing w:val="9"/>
          <w:sz w:val="19"/>
          <w:szCs w:val="19"/>
        </w:rPr>
        <w:t>，</w:t>
      </w:r>
      <w:r>
        <w:rPr>
          <w:rFonts w:ascii="宋体" w:hAnsi="宋体" w:eastAsia="宋体" w:cs="宋体"/>
          <w:spacing w:val="9"/>
          <w:sz w:val="19"/>
          <w:szCs w:val="19"/>
        </w:rPr>
        <w:t>挪</w:t>
      </w:r>
      <w:r>
        <w:rPr>
          <w:rFonts w:ascii="宋体" w:hAnsi="宋体" w:eastAsia="宋体" w:cs="宋体"/>
          <w:sz w:val="19"/>
          <w:szCs w:val="19"/>
        </w:rPr>
        <w:t xml:space="preserve"> </w:t>
      </w:r>
      <w:r>
        <w:rPr>
          <w:rFonts w:ascii="宋体" w:hAnsi="宋体" w:eastAsia="宋体" w:cs="宋体"/>
          <w:spacing w:val="18"/>
          <w:sz w:val="19"/>
          <w:szCs w:val="19"/>
        </w:rPr>
        <w:t>威的经济社会及就业市场日益受到科技进步的巨大</w:t>
      </w:r>
      <w:r>
        <w:rPr>
          <w:rFonts w:ascii="宋体" w:hAnsi="宋体" w:eastAsia="宋体" w:cs="宋体"/>
          <w:spacing w:val="8"/>
          <w:sz w:val="19"/>
          <w:szCs w:val="19"/>
        </w:rPr>
        <w:t xml:space="preserve"> </w:t>
      </w:r>
      <w:r>
        <w:rPr>
          <w:rFonts w:ascii="宋体" w:hAnsi="宋体" w:eastAsia="宋体" w:cs="宋体"/>
          <w:spacing w:val="15"/>
          <w:sz w:val="19"/>
          <w:szCs w:val="19"/>
        </w:rPr>
        <w:t>影响</w:t>
      </w:r>
      <w:r>
        <w:rPr>
          <w:rFonts w:ascii="宋体" w:hAnsi="宋体" w:eastAsia="宋体" w:cs="宋体"/>
          <w:spacing w:val="-41"/>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15"/>
          <w:sz w:val="19"/>
          <w:szCs w:val="19"/>
        </w:rPr>
        <w:t>一方面</w:t>
      </w:r>
      <w:r>
        <w:rPr>
          <w:rFonts w:ascii="微软雅黑" w:hAnsi="微软雅黑" w:eastAsia="微软雅黑" w:cs="微软雅黑"/>
          <w:spacing w:val="15"/>
          <w:sz w:val="19"/>
          <w:szCs w:val="19"/>
        </w:rPr>
        <w:t>，</w:t>
      </w:r>
      <w:r>
        <w:rPr>
          <w:rFonts w:ascii="宋体" w:hAnsi="宋体" w:eastAsia="宋体" w:cs="宋体"/>
          <w:spacing w:val="15"/>
          <w:sz w:val="19"/>
          <w:szCs w:val="19"/>
        </w:rPr>
        <w:t>科技的发展及生产效率的提高对就</w:t>
      </w:r>
      <w:r>
        <w:rPr>
          <w:rFonts w:ascii="宋体" w:hAnsi="宋体" w:eastAsia="宋体" w:cs="宋体"/>
          <w:sz w:val="19"/>
          <w:szCs w:val="19"/>
        </w:rPr>
        <w:t xml:space="preserve"> </w:t>
      </w:r>
      <w:r>
        <w:rPr>
          <w:rFonts w:ascii="宋体" w:hAnsi="宋体" w:eastAsia="宋体" w:cs="宋体"/>
          <w:spacing w:val="9"/>
          <w:sz w:val="19"/>
          <w:szCs w:val="19"/>
        </w:rPr>
        <w:t>业市场人才输入的规格要求日益严格</w:t>
      </w:r>
      <w:r>
        <w:rPr>
          <w:rFonts w:ascii="微软雅黑" w:hAnsi="微软雅黑" w:eastAsia="微软雅黑" w:cs="微软雅黑"/>
          <w:spacing w:val="9"/>
          <w:sz w:val="19"/>
          <w:szCs w:val="19"/>
        </w:rPr>
        <w:t>，</w:t>
      </w:r>
      <w:r>
        <w:rPr>
          <w:rFonts w:ascii="宋体" w:hAnsi="宋体" w:eastAsia="宋体" w:cs="宋体"/>
          <w:spacing w:val="9"/>
          <w:sz w:val="19"/>
          <w:szCs w:val="19"/>
        </w:rPr>
        <w:t>程式化</w:t>
      </w:r>
      <w:r>
        <w:rPr>
          <w:rFonts w:ascii="微软雅黑" w:hAnsi="微软雅黑" w:eastAsia="微软雅黑" w:cs="微软雅黑"/>
          <w:spacing w:val="9"/>
          <w:sz w:val="19"/>
          <w:szCs w:val="19"/>
        </w:rPr>
        <w:t>、</w:t>
      </w:r>
      <w:r>
        <w:rPr>
          <w:rFonts w:ascii="宋体" w:hAnsi="宋体" w:eastAsia="宋体" w:cs="宋体"/>
          <w:spacing w:val="9"/>
          <w:sz w:val="19"/>
          <w:szCs w:val="19"/>
        </w:rPr>
        <w:t>低水</w:t>
      </w:r>
      <w:r>
        <w:rPr>
          <w:rFonts w:ascii="宋体" w:hAnsi="宋体" w:eastAsia="宋体" w:cs="宋体"/>
          <w:spacing w:val="10"/>
          <w:sz w:val="19"/>
          <w:szCs w:val="19"/>
        </w:rPr>
        <w:t xml:space="preserve"> </w:t>
      </w:r>
      <w:r>
        <w:rPr>
          <w:rFonts w:ascii="宋体" w:hAnsi="宋体" w:eastAsia="宋体" w:cs="宋体"/>
          <w:spacing w:val="9"/>
          <w:sz w:val="19"/>
          <w:szCs w:val="19"/>
        </w:rPr>
        <w:t>平的工作能力难</w:t>
      </w:r>
      <w:r>
        <w:rPr>
          <w:rFonts w:ascii="宋体" w:hAnsi="宋体" w:eastAsia="宋体" w:cs="宋体"/>
          <w:spacing w:val="-43"/>
          <w:sz w:val="19"/>
          <w:szCs w:val="19"/>
        </w:rPr>
        <w:t xml:space="preserve"> </w:t>
      </w:r>
      <w:r>
        <w:rPr>
          <w:rFonts w:ascii="宋体" w:hAnsi="宋体" w:eastAsia="宋体" w:cs="宋体"/>
          <w:spacing w:val="9"/>
          <w:sz w:val="19"/>
          <w:szCs w:val="19"/>
        </w:rPr>
        <w:t>以适应市场</w:t>
      </w:r>
      <w:r>
        <w:rPr>
          <w:rFonts w:ascii="宋体" w:hAnsi="宋体" w:eastAsia="宋体" w:cs="宋体"/>
          <w:spacing w:val="-49"/>
          <w:sz w:val="19"/>
          <w:szCs w:val="19"/>
        </w:rPr>
        <w:t xml:space="preserve"> </w:t>
      </w:r>
      <w:r>
        <w:rPr>
          <w:rFonts w:ascii="宋体" w:hAnsi="宋体" w:eastAsia="宋体" w:cs="宋体"/>
          <w:spacing w:val="9"/>
          <w:sz w:val="19"/>
          <w:szCs w:val="19"/>
        </w:rPr>
        <w:t>的</w:t>
      </w:r>
      <w:r>
        <w:rPr>
          <w:rFonts w:ascii="宋体" w:hAnsi="宋体" w:eastAsia="宋体" w:cs="宋体"/>
          <w:spacing w:val="-53"/>
          <w:sz w:val="19"/>
          <w:szCs w:val="19"/>
        </w:rPr>
        <w:t xml:space="preserve"> </w:t>
      </w:r>
      <w:r>
        <w:rPr>
          <w:rFonts w:ascii="宋体" w:hAnsi="宋体" w:eastAsia="宋体" w:cs="宋体"/>
          <w:spacing w:val="9"/>
          <w:sz w:val="19"/>
          <w:szCs w:val="19"/>
        </w:rPr>
        <w:t>需要</w:t>
      </w:r>
      <w:r>
        <w:rPr>
          <w:rFonts w:ascii="微软雅黑" w:hAnsi="微软雅黑" w:eastAsia="微软雅黑" w:cs="微软雅黑"/>
          <w:spacing w:val="9"/>
          <w:sz w:val="19"/>
          <w:szCs w:val="19"/>
        </w:rPr>
        <w:t>。</w:t>
      </w:r>
      <w:r>
        <w:rPr>
          <w:rFonts w:ascii="微软雅黑" w:hAnsi="微软雅黑" w:eastAsia="微软雅黑" w:cs="微软雅黑"/>
          <w:spacing w:val="9"/>
          <w:position w:val="8"/>
          <w:sz w:val="10"/>
          <w:szCs w:val="10"/>
        </w:rPr>
        <w:t>[</w:t>
      </w:r>
      <w:r>
        <w:rPr>
          <w:rFonts w:ascii="Arial" w:hAnsi="Arial" w:eastAsia="Arial" w:cs="Arial"/>
          <w:spacing w:val="9"/>
          <w:position w:val="8"/>
          <w:sz w:val="10"/>
          <w:szCs w:val="10"/>
        </w:rPr>
        <w:t>2</w:t>
      </w:r>
      <w:r>
        <w:rPr>
          <w:rFonts w:ascii="微软雅黑" w:hAnsi="微软雅黑" w:eastAsia="微软雅黑" w:cs="微软雅黑"/>
          <w:spacing w:val="9"/>
          <w:position w:val="8"/>
          <w:sz w:val="10"/>
          <w:szCs w:val="10"/>
        </w:rPr>
        <w:t xml:space="preserve">]  </w:t>
      </w:r>
      <w:r>
        <w:rPr>
          <w:rFonts w:ascii="宋体" w:hAnsi="宋体" w:eastAsia="宋体" w:cs="宋体"/>
          <w:spacing w:val="9"/>
          <w:sz w:val="19"/>
          <w:szCs w:val="19"/>
        </w:rPr>
        <w:t>毕业生</w:t>
      </w:r>
      <w:r>
        <w:rPr>
          <w:rFonts w:ascii="宋体" w:hAnsi="宋体" w:eastAsia="宋体" w:cs="宋体"/>
          <w:spacing w:val="-54"/>
          <w:sz w:val="19"/>
          <w:szCs w:val="19"/>
        </w:rPr>
        <w:t xml:space="preserve"> </w:t>
      </w:r>
      <w:r>
        <w:rPr>
          <w:rFonts w:ascii="宋体" w:hAnsi="宋体" w:eastAsia="宋体" w:cs="宋体"/>
          <w:spacing w:val="9"/>
          <w:sz w:val="19"/>
          <w:szCs w:val="19"/>
        </w:rPr>
        <w:t>需要</w:t>
      </w:r>
      <w:r>
        <w:rPr>
          <w:rFonts w:ascii="宋体" w:hAnsi="宋体" w:eastAsia="宋体" w:cs="宋体"/>
          <w:sz w:val="19"/>
          <w:szCs w:val="19"/>
        </w:rPr>
        <w:t xml:space="preserve"> </w:t>
      </w:r>
      <w:r>
        <w:rPr>
          <w:rFonts w:ascii="宋体" w:hAnsi="宋体" w:eastAsia="宋体" w:cs="宋体"/>
          <w:spacing w:val="29"/>
          <w:sz w:val="19"/>
          <w:szCs w:val="19"/>
        </w:rPr>
        <w:t>具有良好的信息与通信技术能力</w:t>
      </w:r>
      <w:r>
        <w:rPr>
          <w:rFonts w:ascii="微软雅黑" w:hAnsi="微软雅黑" w:eastAsia="微软雅黑" w:cs="微软雅黑"/>
          <w:spacing w:val="29"/>
          <w:sz w:val="19"/>
          <w:szCs w:val="19"/>
        </w:rPr>
        <w:t>(</w:t>
      </w:r>
      <w:r>
        <w:rPr>
          <w:rFonts w:ascii="Arial" w:hAnsi="Arial" w:eastAsia="Arial" w:cs="Arial"/>
          <w:sz w:val="19"/>
          <w:szCs w:val="19"/>
        </w:rPr>
        <w:t>ICT</w:t>
      </w:r>
      <w:r>
        <w:rPr>
          <w:rFonts w:ascii="Arial" w:hAnsi="Arial" w:eastAsia="Arial" w:cs="Arial"/>
          <w:spacing w:val="47"/>
          <w:w w:val="101"/>
          <w:sz w:val="19"/>
          <w:szCs w:val="19"/>
        </w:rPr>
        <w:t xml:space="preserve"> </w:t>
      </w:r>
      <w:r>
        <w:rPr>
          <w:rFonts w:ascii="Arial" w:hAnsi="Arial" w:eastAsia="Arial" w:cs="Arial"/>
          <w:sz w:val="19"/>
          <w:szCs w:val="19"/>
        </w:rPr>
        <w:t>proficiency</w:t>
      </w:r>
      <w:r>
        <w:rPr>
          <w:rFonts w:ascii="微软雅黑" w:hAnsi="微软雅黑" w:eastAsia="微软雅黑" w:cs="微软雅黑"/>
          <w:spacing w:val="29"/>
          <w:sz w:val="19"/>
          <w:szCs w:val="19"/>
        </w:rPr>
        <w:t>)</w:t>
      </w:r>
      <w:r>
        <w:rPr>
          <w:rFonts w:ascii="微软雅黑" w:hAnsi="微软雅黑" w:eastAsia="微软雅黑" w:cs="微软雅黑"/>
          <w:sz w:val="19"/>
          <w:szCs w:val="19"/>
        </w:rPr>
        <w:t xml:space="preserve"> </w:t>
      </w:r>
      <w:r>
        <w:rPr>
          <w:rFonts w:ascii="宋体" w:hAnsi="宋体" w:eastAsia="宋体" w:cs="宋体"/>
          <w:spacing w:val="29"/>
          <w:sz w:val="19"/>
          <w:szCs w:val="19"/>
        </w:rPr>
        <w:t>和贯通</w:t>
      </w:r>
      <w:r>
        <w:rPr>
          <w:rFonts w:ascii="宋体" w:hAnsi="宋体" w:eastAsia="宋体" w:cs="宋体"/>
          <w:spacing w:val="-43"/>
          <w:sz w:val="19"/>
          <w:szCs w:val="19"/>
        </w:rPr>
        <w:t xml:space="preserve"> </w:t>
      </w:r>
      <w:r>
        <w:rPr>
          <w:rFonts w:ascii="宋体" w:hAnsi="宋体" w:eastAsia="宋体" w:cs="宋体"/>
          <w:spacing w:val="29"/>
          <w:sz w:val="19"/>
          <w:szCs w:val="19"/>
        </w:rPr>
        <w:t>能</w:t>
      </w:r>
      <w:r>
        <w:rPr>
          <w:rFonts w:ascii="宋体" w:hAnsi="宋体" w:eastAsia="宋体" w:cs="宋体"/>
          <w:spacing w:val="-56"/>
          <w:sz w:val="19"/>
          <w:szCs w:val="19"/>
        </w:rPr>
        <w:t xml:space="preserve"> </w:t>
      </w:r>
      <w:r>
        <w:rPr>
          <w:rFonts w:ascii="宋体" w:hAnsi="宋体" w:eastAsia="宋体" w:cs="宋体"/>
          <w:spacing w:val="29"/>
          <w:sz w:val="19"/>
          <w:szCs w:val="19"/>
        </w:rPr>
        <w:t>力</w:t>
      </w:r>
      <w:r>
        <w:rPr>
          <w:rFonts w:ascii="宋体" w:hAnsi="宋体" w:eastAsia="宋体" w:cs="宋体"/>
          <w:spacing w:val="-39"/>
          <w:sz w:val="19"/>
          <w:szCs w:val="19"/>
        </w:rPr>
        <w:t xml:space="preserve"> </w:t>
      </w:r>
      <w:r>
        <w:rPr>
          <w:rFonts w:ascii="微软雅黑" w:hAnsi="微软雅黑" w:eastAsia="微软雅黑" w:cs="微软雅黑"/>
          <w:spacing w:val="29"/>
          <w:sz w:val="19"/>
          <w:szCs w:val="19"/>
        </w:rPr>
        <w:t>(</w:t>
      </w:r>
      <w:r>
        <w:rPr>
          <w:rFonts w:ascii="Arial" w:hAnsi="Arial" w:eastAsia="Arial" w:cs="Arial"/>
          <w:sz w:val="19"/>
          <w:szCs w:val="19"/>
        </w:rPr>
        <w:t>collaborateacrossprofessions</w:t>
      </w:r>
      <w:r>
        <w:rPr>
          <w:rFonts w:ascii="微软雅黑" w:hAnsi="微软雅黑" w:eastAsia="微软雅黑" w:cs="微软雅黑"/>
          <w:spacing w:val="29"/>
          <w:sz w:val="19"/>
          <w:szCs w:val="19"/>
        </w:rPr>
        <w:t>)（</w:t>
      </w:r>
      <w:r>
        <w:rPr>
          <w:rFonts w:ascii="宋体" w:hAnsi="宋体" w:eastAsia="宋体" w:cs="宋体"/>
          <w:spacing w:val="29"/>
          <w:sz w:val="19"/>
          <w:szCs w:val="19"/>
        </w:rPr>
        <w:t>即</w:t>
      </w:r>
      <w:r>
        <w:rPr>
          <w:rFonts w:ascii="宋体" w:hAnsi="宋体" w:eastAsia="宋体" w:cs="宋体"/>
          <w:spacing w:val="-53"/>
          <w:sz w:val="19"/>
          <w:szCs w:val="19"/>
        </w:rPr>
        <w:t xml:space="preserve"> </w:t>
      </w:r>
      <w:r>
        <w:rPr>
          <w:rFonts w:ascii="宋体" w:hAnsi="宋体" w:eastAsia="宋体" w:cs="宋体"/>
          <w:spacing w:val="29"/>
          <w:sz w:val="19"/>
          <w:szCs w:val="19"/>
        </w:rPr>
        <w:t>知</w:t>
      </w:r>
      <w:r>
        <w:rPr>
          <w:rFonts w:ascii="宋体" w:hAnsi="宋体" w:eastAsia="宋体" w:cs="宋体"/>
          <w:sz w:val="19"/>
          <w:szCs w:val="19"/>
        </w:rPr>
        <w:t xml:space="preserve"> </w:t>
      </w:r>
      <w:r>
        <w:rPr>
          <w:rFonts w:ascii="宋体" w:hAnsi="宋体" w:eastAsia="宋体" w:cs="宋体"/>
          <w:spacing w:val="18"/>
          <w:sz w:val="19"/>
          <w:szCs w:val="19"/>
        </w:rPr>
        <w:t>识整合迁移的观念</w:t>
      </w:r>
      <w:r>
        <w:rPr>
          <w:rFonts w:ascii="微软雅黑" w:hAnsi="微软雅黑" w:eastAsia="微软雅黑" w:cs="微软雅黑"/>
          <w:spacing w:val="18"/>
          <w:sz w:val="19"/>
          <w:szCs w:val="19"/>
        </w:rPr>
        <w:t>，</w:t>
      </w:r>
      <w:r>
        <w:rPr>
          <w:rFonts w:ascii="宋体" w:hAnsi="宋体" w:eastAsia="宋体" w:cs="宋体"/>
          <w:spacing w:val="18"/>
          <w:sz w:val="19"/>
          <w:szCs w:val="19"/>
        </w:rPr>
        <w:t>并能够灵活应用具体的知识和</w:t>
      </w:r>
      <w:r>
        <w:rPr>
          <w:rFonts w:ascii="宋体" w:hAnsi="宋体" w:eastAsia="宋体" w:cs="宋体"/>
          <w:spacing w:val="9"/>
          <w:sz w:val="19"/>
          <w:szCs w:val="19"/>
        </w:rPr>
        <w:t xml:space="preserve"> </w:t>
      </w:r>
      <w:r>
        <w:rPr>
          <w:rFonts w:ascii="宋体" w:hAnsi="宋体" w:eastAsia="宋体" w:cs="宋体"/>
          <w:spacing w:val="-21"/>
          <w:w w:val="93"/>
          <w:sz w:val="19"/>
          <w:szCs w:val="19"/>
        </w:rPr>
        <w:t>技能</w:t>
      </w:r>
      <w:r>
        <w:rPr>
          <w:rFonts w:ascii="微软雅黑" w:hAnsi="微软雅黑" w:eastAsia="微软雅黑" w:cs="微软雅黑"/>
          <w:spacing w:val="-21"/>
          <w:w w:val="93"/>
          <w:sz w:val="19"/>
          <w:szCs w:val="19"/>
        </w:rPr>
        <w:t>）。</w:t>
      </w:r>
      <w:r>
        <w:rPr>
          <w:rFonts w:ascii="微软雅黑" w:hAnsi="微软雅黑" w:eastAsia="微软雅黑" w:cs="微软雅黑"/>
          <w:spacing w:val="13"/>
          <w:position w:val="7"/>
          <w:sz w:val="10"/>
          <w:szCs w:val="10"/>
        </w:rPr>
        <w:t>[</w:t>
      </w:r>
      <w:r>
        <w:rPr>
          <w:rFonts w:ascii="Arial" w:hAnsi="Arial" w:eastAsia="Arial" w:cs="Arial"/>
          <w:spacing w:val="13"/>
          <w:position w:val="7"/>
          <w:sz w:val="10"/>
          <w:szCs w:val="10"/>
        </w:rPr>
        <w:t>3</w:t>
      </w:r>
      <w:r>
        <w:rPr>
          <w:rFonts w:ascii="微软雅黑" w:hAnsi="微软雅黑" w:eastAsia="微软雅黑" w:cs="微软雅黑"/>
          <w:spacing w:val="13"/>
          <w:position w:val="7"/>
          <w:sz w:val="10"/>
          <w:szCs w:val="10"/>
        </w:rPr>
        <w:t>]</w:t>
      </w:r>
      <w:r>
        <w:rPr>
          <w:rFonts w:ascii="微软雅黑" w:hAnsi="微软雅黑" w:eastAsia="微软雅黑" w:cs="微软雅黑"/>
          <w:spacing w:val="29"/>
          <w:w w:val="102"/>
          <w:position w:val="7"/>
          <w:sz w:val="10"/>
          <w:szCs w:val="10"/>
        </w:rPr>
        <w:t xml:space="preserve"> </w:t>
      </w:r>
      <w:r>
        <w:rPr>
          <w:rFonts w:ascii="宋体" w:hAnsi="宋体" w:eastAsia="宋体" w:cs="宋体"/>
          <w:spacing w:val="13"/>
          <w:sz w:val="19"/>
          <w:szCs w:val="19"/>
        </w:rPr>
        <w:t>另一方面</w:t>
      </w:r>
      <w:r>
        <w:rPr>
          <w:rFonts w:ascii="微软雅黑" w:hAnsi="微软雅黑" w:eastAsia="微软雅黑" w:cs="微软雅黑"/>
          <w:spacing w:val="13"/>
          <w:sz w:val="19"/>
          <w:szCs w:val="19"/>
        </w:rPr>
        <w:t>，</w:t>
      </w:r>
      <w:r>
        <w:rPr>
          <w:rFonts w:ascii="宋体" w:hAnsi="宋体" w:eastAsia="宋体" w:cs="宋体"/>
          <w:spacing w:val="13"/>
          <w:sz w:val="19"/>
          <w:szCs w:val="19"/>
        </w:rPr>
        <w:t>挪威</w:t>
      </w:r>
      <w:r>
        <w:rPr>
          <w:rFonts w:ascii="宋体" w:hAnsi="宋体" w:eastAsia="宋体" w:cs="宋体"/>
          <w:spacing w:val="-54"/>
          <w:sz w:val="19"/>
          <w:szCs w:val="19"/>
        </w:rPr>
        <w:t xml:space="preserve"> </w:t>
      </w:r>
      <w:r>
        <w:rPr>
          <w:rFonts w:ascii="宋体" w:hAnsi="宋体" w:eastAsia="宋体" w:cs="宋体"/>
          <w:spacing w:val="13"/>
          <w:sz w:val="19"/>
          <w:szCs w:val="19"/>
        </w:rPr>
        <w:t>需要科技</w:t>
      </w:r>
      <w:r>
        <w:rPr>
          <w:rFonts w:ascii="宋体" w:hAnsi="宋体" w:eastAsia="宋体" w:cs="宋体"/>
          <w:spacing w:val="-48"/>
          <w:sz w:val="19"/>
          <w:szCs w:val="19"/>
        </w:rPr>
        <w:t xml:space="preserve"> </w:t>
      </w:r>
      <w:r>
        <w:rPr>
          <w:rFonts w:ascii="宋体" w:hAnsi="宋体" w:eastAsia="宋体" w:cs="宋体"/>
          <w:spacing w:val="13"/>
          <w:sz w:val="19"/>
          <w:szCs w:val="19"/>
        </w:rPr>
        <w:t>的进一步持续发</w:t>
      </w:r>
      <w:r>
        <w:rPr>
          <w:rFonts w:ascii="宋体" w:hAnsi="宋体" w:eastAsia="宋体" w:cs="宋体"/>
          <w:sz w:val="19"/>
          <w:szCs w:val="19"/>
        </w:rPr>
        <w:t xml:space="preserve"> </w:t>
      </w:r>
      <w:r>
        <w:rPr>
          <w:rFonts w:ascii="宋体" w:hAnsi="宋体" w:eastAsia="宋体" w:cs="宋体"/>
          <w:spacing w:val="12"/>
          <w:sz w:val="19"/>
          <w:szCs w:val="19"/>
        </w:rPr>
        <w:t>展来应对经济社会</w:t>
      </w:r>
      <w:r>
        <w:rPr>
          <w:rFonts w:ascii="宋体" w:hAnsi="宋体" w:eastAsia="宋体" w:cs="宋体"/>
          <w:spacing w:val="-36"/>
          <w:sz w:val="19"/>
          <w:szCs w:val="19"/>
        </w:rPr>
        <w:t xml:space="preserve"> </w:t>
      </w:r>
      <w:r>
        <w:rPr>
          <w:rFonts w:ascii="宋体" w:hAnsi="宋体" w:eastAsia="宋体" w:cs="宋体"/>
          <w:spacing w:val="12"/>
          <w:sz w:val="19"/>
          <w:szCs w:val="19"/>
        </w:rPr>
        <w:t>的挑</w:t>
      </w:r>
      <w:r>
        <w:rPr>
          <w:rFonts w:ascii="宋体" w:hAnsi="宋体" w:eastAsia="宋体" w:cs="宋体"/>
          <w:spacing w:val="-56"/>
          <w:sz w:val="19"/>
          <w:szCs w:val="19"/>
        </w:rPr>
        <w:t xml:space="preserve"> </w:t>
      </w:r>
      <w:r>
        <w:rPr>
          <w:rFonts w:ascii="宋体" w:hAnsi="宋体" w:eastAsia="宋体" w:cs="宋体"/>
          <w:spacing w:val="12"/>
          <w:sz w:val="19"/>
          <w:szCs w:val="19"/>
        </w:rPr>
        <w:t>战</w:t>
      </w:r>
      <w:r>
        <w:rPr>
          <w:rFonts w:ascii="微软雅黑" w:hAnsi="微软雅黑" w:eastAsia="微软雅黑" w:cs="微软雅黑"/>
          <w:spacing w:val="12"/>
          <w:sz w:val="19"/>
          <w:szCs w:val="19"/>
        </w:rPr>
        <w:t>，</w:t>
      </w:r>
      <w:r>
        <w:rPr>
          <w:rFonts w:ascii="宋体" w:hAnsi="宋体" w:eastAsia="宋体" w:cs="宋体"/>
          <w:spacing w:val="12"/>
          <w:sz w:val="19"/>
          <w:szCs w:val="19"/>
        </w:rPr>
        <w:t>而高等</w:t>
      </w:r>
      <w:r>
        <w:rPr>
          <w:rFonts w:ascii="宋体" w:hAnsi="宋体" w:eastAsia="宋体" w:cs="宋体"/>
          <w:spacing w:val="-51"/>
          <w:sz w:val="19"/>
          <w:szCs w:val="19"/>
        </w:rPr>
        <w:t xml:space="preserve"> </w:t>
      </w:r>
      <w:r>
        <w:rPr>
          <w:rFonts w:ascii="宋体" w:hAnsi="宋体" w:eastAsia="宋体" w:cs="宋体"/>
          <w:spacing w:val="12"/>
          <w:sz w:val="19"/>
          <w:szCs w:val="19"/>
        </w:rPr>
        <w:t>院校作为知识及</w:t>
      </w:r>
      <w:r>
        <w:rPr>
          <w:rFonts w:ascii="宋体" w:hAnsi="宋体" w:eastAsia="宋体" w:cs="宋体"/>
          <w:sz w:val="19"/>
          <w:szCs w:val="19"/>
        </w:rPr>
        <w:t xml:space="preserve"> </w:t>
      </w:r>
      <w:r>
        <w:rPr>
          <w:rFonts w:ascii="宋体" w:hAnsi="宋体" w:eastAsia="宋体" w:cs="宋体"/>
          <w:spacing w:val="18"/>
          <w:sz w:val="19"/>
          <w:szCs w:val="19"/>
        </w:rPr>
        <w:t>科技的研发交流中心</w:t>
      </w:r>
      <w:r>
        <w:rPr>
          <w:rFonts w:ascii="微软雅黑" w:hAnsi="微软雅黑" w:eastAsia="微软雅黑" w:cs="微软雅黑"/>
          <w:spacing w:val="18"/>
          <w:sz w:val="19"/>
          <w:szCs w:val="19"/>
        </w:rPr>
        <w:t>，</w:t>
      </w:r>
      <w:r>
        <w:rPr>
          <w:rFonts w:ascii="宋体" w:hAnsi="宋体" w:eastAsia="宋体" w:cs="宋体"/>
          <w:spacing w:val="18"/>
          <w:sz w:val="19"/>
          <w:szCs w:val="19"/>
        </w:rPr>
        <w:t>保障其发展质量的重要性不</w:t>
      </w:r>
      <w:r>
        <w:rPr>
          <w:rFonts w:ascii="宋体" w:hAnsi="宋体" w:eastAsia="宋体" w:cs="宋体"/>
          <w:spacing w:val="9"/>
          <w:sz w:val="19"/>
          <w:szCs w:val="19"/>
        </w:rPr>
        <w:t xml:space="preserve"> </w:t>
      </w:r>
      <w:r>
        <w:rPr>
          <w:rFonts w:ascii="宋体" w:hAnsi="宋体" w:eastAsia="宋体" w:cs="宋体"/>
          <w:spacing w:val="6"/>
          <w:sz w:val="19"/>
          <w:szCs w:val="19"/>
        </w:rPr>
        <w:t>言而喻</w:t>
      </w:r>
      <w:r>
        <w:rPr>
          <w:rFonts w:ascii="宋体" w:hAnsi="宋体" w:eastAsia="宋体" w:cs="宋体"/>
          <w:spacing w:val="-39"/>
          <w:sz w:val="19"/>
          <w:szCs w:val="19"/>
        </w:rPr>
        <w:t xml:space="preserve"> </w:t>
      </w:r>
      <w:r>
        <w:rPr>
          <w:rFonts w:ascii="微软雅黑" w:hAnsi="微软雅黑" w:eastAsia="微软雅黑" w:cs="微软雅黑"/>
          <w:spacing w:val="6"/>
          <w:sz w:val="19"/>
          <w:szCs w:val="19"/>
        </w:rPr>
        <w:t>。</w:t>
      </w:r>
      <w:r>
        <w:rPr>
          <w:rFonts w:ascii="微软雅黑" w:hAnsi="微软雅黑" w:eastAsia="微软雅黑" w:cs="微软雅黑"/>
          <w:spacing w:val="-34"/>
          <w:sz w:val="19"/>
          <w:szCs w:val="19"/>
        </w:rPr>
        <w:t xml:space="preserve"> </w:t>
      </w:r>
      <w:r>
        <w:rPr>
          <w:rFonts w:ascii="宋体" w:hAnsi="宋体" w:eastAsia="宋体" w:cs="宋体"/>
          <w:spacing w:val="6"/>
          <w:sz w:val="19"/>
          <w:szCs w:val="19"/>
        </w:rPr>
        <w:t>总之</w:t>
      </w:r>
      <w:r>
        <w:rPr>
          <w:rFonts w:ascii="微软雅黑" w:hAnsi="微软雅黑" w:eastAsia="微软雅黑" w:cs="微软雅黑"/>
          <w:spacing w:val="6"/>
          <w:sz w:val="19"/>
          <w:szCs w:val="19"/>
        </w:rPr>
        <w:t>，</w:t>
      </w:r>
      <w:r>
        <w:rPr>
          <w:rFonts w:ascii="宋体" w:hAnsi="宋体" w:eastAsia="宋体" w:cs="宋体"/>
          <w:spacing w:val="6"/>
          <w:sz w:val="19"/>
          <w:szCs w:val="19"/>
        </w:rPr>
        <w:t>挪威教育与研究部认为</w:t>
      </w:r>
      <w:r>
        <w:rPr>
          <w:rFonts w:ascii="微软雅黑" w:hAnsi="微软雅黑" w:eastAsia="微软雅黑" w:cs="微软雅黑"/>
          <w:spacing w:val="6"/>
          <w:sz w:val="19"/>
          <w:szCs w:val="19"/>
        </w:rPr>
        <w:t>，</w:t>
      </w:r>
      <w:r>
        <w:rPr>
          <w:rFonts w:ascii="宋体" w:hAnsi="宋体" w:eastAsia="宋体" w:cs="宋体"/>
          <w:spacing w:val="6"/>
          <w:sz w:val="19"/>
          <w:szCs w:val="19"/>
        </w:rPr>
        <w:t>高等教育应</w:t>
      </w:r>
    </w:p>
    <w:p>
      <w:pPr>
        <w:spacing w:line="14" w:lineRule="auto"/>
        <w:rPr>
          <w:rFonts w:ascii="Arial"/>
          <w:sz w:val="2"/>
        </w:rPr>
      </w:pPr>
      <w:r>
        <w:rPr>
          <w:rFonts w:ascii="Arial" w:hAnsi="Arial" w:eastAsia="Arial" w:cs="Arial"/>
          <w:sz w:val="2"/>
          <w:szCs w:val="2"/>
        </w:rPr>
        <w:br w:type="column"/>
      </w:r>
    </w:p>
    <w:p>
      <w:pPr>
        <w:spacing w:before="37" w:line="232" w:lineRule="auto"/>
        <w:ind w:left="94" w:right="4" w:firstLine="3"/>
        <w:jc w:val="both"/>
        <w:rPr>
          <w:rFonts w:ascii="微软雅黑" w:hAnsi="微软雅黑" w:eastAsia="微软雅黑" w:cs="微软雅黑"/>
          <w:sz w:val="19"/>
          <w:szCs w:val="19"/>
        </w:rPr>
      </w:pPr>
      <w:r>
        <w:rPr>
          <w:rFonts w:ascii="宋体" w:hAnsi="宋体" w:eastAsia="宋体" w:cs="宋体"/>
          <w:spacing w:val="15"/>
          <w:sz w:val="19"/>
          <w:szCs w:val="19"/>
        </w:rPr>
        <w:t>该在挪威的社会经济发展</w:t>
      </w:r>
      <w:r>
        <w:rPr>
          <w:rFonts w:ascii="宋体" w:hAnsi="宋体" w:eastAsia="宋体" w:cs="宋体"/>
          <w:spacing w:val="-42"/>
          <w:sz w:val="19"/>
          <w:szCs w:val="19"/>
        </w:rPr>
        <w:t xml:space="preserve"> </w:t>
      </w:r>
      <w:r>
        <w:rPr>
          <w:rFonts w:ascii="宋体" w:hAnsi="宋体" w:eastAsia="宋体" w:cs="宋体"/>
          <w:spacing w:val="15"/>
          <w:sz w:val="19"/>
          <w:szCs w:val="19"/>
        </w:rPr>
        <w:t>中扮演重要的角色</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各高 </w:t>
      </w:r>
      <w:r>
        <w:rPr>
          <w:rFonts w:ascii="宋体" w:hAnsi="宋体" w:eastAsia="宋体" w:cs="宋体"/>
          <w:spacing w:val="21"/>
          <w:sz w:val="19"/>
          <w:szCs w:val="19"/>
        </w:rPr>
        <w:t>等院校既要成为高水平的知识科技研发交流中心</w:t>
      </w:r>
      <w:r>
        <w:rPr>
          <w:rFonts w:ascii="微软雅黑" w:hAnsi="微软雅黑" w:eastAsia="微软雅黑" w:cs="微软雅黑"/>
          <w:spacing w:val="21"/>
          <w:sz w:val="19"/>
          <w:szCs w:val="19"/>
        </w:rPr>
        <w:t>，</w:t>
      </w:r>
      <w:r>
        <w:rPr>
          <w:rFonts w:ascii="微软雅黑" w:hAnsi="微软雅黑" w:eastAsia="微软雅黑" w:cs="微软雅黑"/>
          <w:spacing w:val="15"/>
          <w:sz w:val="19"/>
          <w:szCs w:val="19"/>
        </w:rPr>
        <w:t xml:space="preserve"> </w:t>
      </w:r>
      <w:r>
        <w:rPr>
          <w:rFonts w:ascii="宋体" w:hAnsi="宋体" w:eastAsia="宋体" w:cs="宋体"/>
          <w:spacing w:val="17"/>
          <w:sz w:val="19"/>
          <w:szCs w:val="19"/>
        </w:rPr>
        <w:t xml:space="preserve">又要通过培养高质量的人才应对社会多方面复杂的 </w:t>
      </w:r>
      <w:r>
        <w:rPr>
          <w:rFonts w:ascii="宋体" w:hAnsi="宋体" w:eastAsia="宋体" w:cs="宋体"/>
          <w:spacing w:val="13"/>
          <w:sz w:val="19"/>
          <w:szCs w:val="19"/>
        </w:rPr>
        <w:t>挑战</w:t>
      </w:r>
      <w:r>
        <w:rPr>
          <w:rFonts w:ascii="微软雅黑" w:hAnsi="微软雅黑" w:eastAsia="微软雅黑" w:cs="微软雅黑"/>
          <w:spacing w:val="13"/>
          <w:sz w:val="19"/>
          <w:szCs w:val="19"/>
        </w:rPr>
        <w:t>，</w:t>
      </w:r>
      <w:r>
        <w:rPr>
          <w:rFonts w:ascii="宋体" w:hAnsi="宋体" w:eastAsia="宋体" w:cs="宋体"/>
          <w:spacing w:val="13"/>
          <w:sz w:val="19"/>
          <w:szCs w:val="19"/>
        </w:rPr>
        <w:t>提升挪威在全球范围内的核心竞争力</w:t>
      </w:r>
      <w:r>
        <w:rPr>
          <w:rFonts w:ascii="微软雅黑" w:hAnsi="微软雅黑" w:eastAsia="微软雅黑" w:cs="微软雅黑"/>
          <w:spacing w:val="13"/>
          <w:sz w:val="19"/>
          <w:szCs w:val="19"/>
        </w:rPr>
        <w:t>。</w:t>
      </w:r>
    </w:p>
    <w:p>
      <w:pPr>
        <w:spacing w:before="71" w:line="212" w:lineRule="auto"/>
        <w:ind w:left="512"/>
        <w:rPr>
          <w:rFonts w:ascii="黑体" w:hAnsi="黑体" w:eastAsia="黑体" w:cs="黑体"/>
          <w:sz w:val="19"/>
          <w:szCs w:val="19"/>
        </w:rPr>
      </w:pPr>
      <w:r>
        <w:rPr>
          <w:rFonts w:ascii="Arial" w:hAnsi="Arial" w:eastAsia="Arial" w:cs="Arial"/>
          <w:spacing w:val="16"/>
          <w:sz w:val="19"/>
          <w:szCs w:val="19"/>
        </w:rPr>
        <w:t>2.</w:t>
      </w:r>
      <w:r>
        <w:rPr>
          <w:rFonts w:ascii="黑体" w:hAnsi="黑体" w:eastAsia="黑体" w:cs="黑体"/>
          <w:spacing w:val="16"/>
          <w:sz w:val="19"/>
          <w:szCs w:val="19"/>
        </w:rPr>
        <w:t>欧洲</w:t>
      </w:r>
      <w:r>
        <w:rPr>
          <w:rFonts w:ascii="Arial" w:hAnsi="Arial" w:eastAsia="Arial" w:cs="Arial"/>
          <w:spacing w:val="16"/>
          <w:position w:val="1"/>
          <w:sz w:val="4"/>
          <w:szCs w:val="4"/>
        </w:rPr>
        <w:t xml:space="preserve">“  </w:t>
      </w:r>
      <w:r>
        <w:rPr>
          <w:rFonts w:ascii="黑体" w:hAnsi="黑体" w:eastAsia="黑体" w:cs="黑体"/>
          <w:spacing w:val="16"/>
          <w:sz w:val="19"/>
          <w:szCs w:val="19"/>
        </w:rPr>
        <w:t>大学质量文化工程</w:t>
      </w:r>
      <w:r>
        <w:rPr>
          <w:rFonts w:ascii="Arial" w:hAnsi="Arial" w:eastAsia="Arial" w:cs="Arial"/>
          <w:spacing w:val="16"/>
          <w:position w:val="1"/>
          <w:sz w:val="4"/>
          <w:szCs w:val="4"/>
        </w:rPr>
        <w:t xml:space="preserve">”   </w:t>
      </w:r>
      <w:r>
        <w:rPr>
          <w:rFonts w:ascii="黑体" w:hAnsi="黑体" w:eastAsia="黑体" w:cs="黑体"/>
          <w:spacing w:val="16"/>
          <w:sz w:val="19"/>
          <w:szCs w:val="19"/>
        </w:rPr>
        <w:t>的推动</w:t>
      </w:r>
    </w:p>
    <w:p>
      <w:pPr>
        <w:spacing w:before="107" w:line="228" w:lineRule="auto"/>
        <w:ind w:firstLine="520"/>
        <w:rPr>
          <w:rFonts w:ascii="微软雅黑" w:hAnsi="微软雅黑" w:eastAsia="微软雅黑" w:cs="微软雅黑"/>
          <w:sz w:val="19"/>
          <w:szCs w:val="19"/>
        </w:rPr>
      </w:pPr>
      <w:r>
        <w:rPr>
          <w:rFonts w:ascii="宋体" w:hAnsi="宋体" w:eastAsia="宋体" w:cs="宋体"/>
          <w:spacing w:val="1"/>
          <w:sz w:val="19"/>
          <w:szCs w:val="19"/>
        </w:rPr>
        <w:t>欧洲</w:t>
      </w:r>
      <w:r>
        <w:rPr>
          <w:rFonts w:ascii="微软雅黑" w:hAnsi="微软雅黑" w:eastAsia="微软雅黑" w:cs="微软雅黑"/>
          <w:spacing w:val="1"/>
          <w:position w:val="1"/>
          <w:sz w:val="19"/>
          <w:szCs w:val="19"/>
        </w:rPr>
        <w:t>“</w:t>
      </w:r>
      <w:r>
        <w:rPr>
          <w:rFonts w:ascii="微软雅黑" w:hAnsi="微软雅黑" w:eastAsia="微软雅黑" w:cs="微软雅黑"/>
          <w:spacing w:val="-28"/>
          <w:position w:val="1"/>
          <w:sz w:val="19"/>
          <w:szCs w:val="19"/>
        </w:rPr>
        <w:t xml:space="preserve"> </w:t>
      </w:r>
      <w:r>
        <w:rPr>
          <w:rFonts w:ascii="宋体" w:hAnsi="宋体" w:eastAsia="宋体" w:cs="宋体"/>
          <w:spacing w:val="1"/>
          <w:sz w:val="19"/>
          <w:szCs w:val="19"/>
        </w:rPr>
        <w:t>大学质量文化工程</w:t>
      </w:r>
      <w:r>
        <w:rPr>
          <w:rFonts w:ascii="微软雅黑" w:hAnsi="微软雅黑" w:eastAsia="微软雅黑" w:cs="微软雅黑"/>
          <w:spacing w:val="1"/>
          <w:position w:val="1"/>
          <w:sz w:val="19"/>
          <w:szCs w:val="19"/>
        </w:rPr>
        <w:t>”</w:t>
      </w:r>
      <w:r>
        <w:rPr>
          <w:rFonts w:ascii="宋体" w:hAnsi="宋体" w:eastAsia="宋体" w:cs="宋体"/>
          <w:spacing w:val="1"/>
          <w:sz w:val="19"/>
          <w:szCs w:val="19"/>
        </w:rPr>
        <w:t>始于</w:t>
      </w:r>
      <w:r>
        <w:rPr>
          <w:rFonts w:ascii="宋体" w:hAnsi="宋体" w:eastAsia="宋体" w:cs="宋体"/>
          <w:spacing w:val="-20"/>
          <w:sz w:val="19"/>
          <w:szCs w:val="19"/>
        </w:rPr>
        <w:t xml:space="preserve"> </w:t>
      </w:r>
      <w:r>
        <w:rPr>
          <w:rFonts w:ascii="Arial" w:hAnsi="Arial" w:eastAsia="Arial" w:cs="Arial"/>
          <w:spacing w:val="1"/>
          <w:sz w:val="19"/>
          <w:szCs w:val="19"/>
        </w:rPr>
        <w:t>2002</w:t>
      </w:r>
      <w:r>
        <w:rPr>
          <w:rFonts w:ascii="宋体" w:hAnsi="宋体" w:eastAsia="宋体" w:cs="宋体"/>
          <w:spacing w:val="1"/>
          <w:sz w:val="19"/>
          <w:szCs w:val="19"/>
        </w:rPr>
        <w:t>年</w:t>
      </w:r>
      <w:r>
        <w:rPr>
          <w:rFonts w:ascii="微软雅黑" w:hAnsi="微软雅黑" w:eastAsia="微软雅黑" w:cs="微软雅黑"/>
          <w:spacing w:val="1"/>
          <w:position w:val="1"/>
          <w:sz w:val="19"/>
          <w:szCs w:val="19"/>
        </w:rPr>
        <w:t>，</w:t>
      </w:r>
      <w:r>
        <w:rPr>
          <w:rFonts w:ascii="宋体" w:hAnsi="宋体" w:eastAsia="宋体" w:cs="宋体"/>
          <w:spacing w:val="1"/>
          <w:sz w:val="19"/>
          <w:szCs w:val="19"/>
        </w:rPr>
        <w:t xml:space="preserve">是博洛 </w:t>
      </w:r>
      <w:r>
        <w:rPr>
          <w:rFonts w:ascii="宋体" w:hAnsi="宋体" w:eastAsia="宋体" w:cs="宋体"/>
          <w:spacing w:val="27"/>
          <w:sz w:val="19"/>
          <w:szCs w:val="19"/>
        </w:rPr>
        <w:t>尼亚进程后</w:t>
      </w:r>
      <w:r>
        <w:rPr>
          <w:rFonts w:ascii="宋体" w:hAnsi="宋体" w:eastAsia="宋体" w:cs="宋体"/>
          <w:spacing w:val="-44"/>
          <w:sz w:val="19"/>
          <w:szCs w:val="19"/>
        </w:rPr>
        <w:t xml:space="preserve"> </w:t>
      </w:r>
      <w:r>
        <w:rPr>
          <w:rFonts w:ascii="宋体" w:hAnsi="宋体" w:eastAsia="宋体" w:cs="宋体"/>
          <w:spacing w:val="27"/>
          <w:sz w:val="19"/>
          <w:szCs w:val="19"/>
        </w:rPr>
        <w:t>欧洲大学联合会</w:t>
      </w:r>
      <w:r>
        <w:rPr>
          <w:rFonts w:ascii="微软雅黑" w:hAnsi="微软雅黑" w:eastAsia="微软雅黑" w:cs="微软雅黑"/>
          <w:spacing w:val="27"/>
          <w:sz w:val="19"/>
          <w:szCs w:val="19"/>
        </w:rPr>
        <w:t>(</w:t>
      </w:r>
      <w:r>
        <w:rPr>
          <w:rFonts w:ascii="Arial" w:hAnsi="Arial" w:eastAsia="Arial" w:cs="Arial"/>
          <w:sz w:val="19"/>
          <w:szCs w:val="19"/>
        </w:rPr>
        <w:t>EUA</w:t>
      </w:r>
      <w:r>
        <w:rPr>
          <w:rFonts w:ascii="微软雅黑" w:hAnsi="微软雅黑" w:eastAsia="微软雅黑" w:cs="微软雅黑"/>
          <w:spacing w:val="27"/>
          <w:sz w:val="19"/>
          <w:szCs w:val="19"/>
        </w:rPr>
        <w:t xml:space="preserve">) </w:t>
      </w:r>
      <w:r>
        <w:rPr>
          <w:rFonts w:ascii="宋体" w:hAnsi="宋体" w:eastAsia="宋体" w:cs="宋体"/>
          <w:spacing w:val="27"/>
          <w:sz w:val="19"/>
          <w:szCs w:val="19"/>
        </w:rPr>
        <w:t>推进高等教</w:t>
      </w:r>
      <w:r>
        <w:rPr>
          <w:rFonts w:ascii="宋体" w:hAnsi="宋体" w:eastAsia="宋体" w:cs="宋体"/>
          <w:spacing w:val="-53"/>
          <w:sz w:val="19"/>
          <w:szCs w:val="19"/>
        </w:rPr>
        <w:t xml:space="preserve"> </w:t>
      </w:r>
      <w:r>
        <w:rPr>
          <w:rFonts w:ascii="宋体" w:hAnsi="宋体" w:eastAsia="宋体" w:cs="宋体"/>
          <w:spacing w:val="27"/>
          <w:sz w:val="19"/>
          <w:szCs w:val="19"/>
        </w:rPr>
        <w:t xml:space="preserve">育 </w:t>
      </w:r>
      <w:r>
        <w:rPr>
          <w:rFonts w:ascii="宋体" w:hAnsi="宋体" w:eastAsia="宋体" w:cs="宋体"/>
          <w:spacing w:val="15"/>
          <w:sz w:val="19"/>
          <w:szCs w:val="19"/>
        </w:rPr>
        <w:t>质量保障</w:t>
      </w:r>
      <w:r>
        <w:rPr>
          <w:rFonts w:ascii="宋体" w:hAnsi="宋体" w:eastAsia="宋体" w:cs="宋体"/>
          <w:spacing w:val="-34"/>
          <w:sz w:val="19"/>
          <w:szCs w:val="19"/>
        </w:rPr>
        <w:t xml:space="preserve"> </w:t>
      </w:r>
      <w:r>
        <w:rPr>
          <w:rFonts w:ascii="宋体" w:hAnsi="宋体" w:eastAsia="宋体" w:cs="宋体"/>
          <w:spacing w:val="15"/>
          <w:sz w:val="19"/>
          <w:szCs w:val="19"/>
        </w:rPr>
        <w:t>的重要举措</w:t>
      </w:r>
      <w:r>
        <w:rPr>
          <w:rFonts w:ascii="宋体" w:hAnsi="宋体" w:eastAsia="宋体" w:cs="宋体"/>
          <w:spacing w:val="-51"/>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26"/>
          <w:sz w:val="19"/>
          <w:szCs w:val="19"/>
        </w:rPr>
        <w:t xml:space="preserve"> </w:t>
      </w:r>
      <w:r>
        <w:rPr>
          <w:rFonts w:ascii="宋体" w:hAnsi="宋体" w:eastAsia="宋体" w:cs="宋体"/>
          <w:spacing w:val="15"/>
          <w:sz w:val="19"/>
          <w:szCs w:val="19"/>
        </w:rPr>
        <w:t>该</w:t>
      </w:r>
      <w:r>
        <w:rPr>
          <w:rFonts w:ascii="宋体" w:hAnsi="宋体" w:eastAsia="宋体" w:cs="宋体"/>
          <w:spacing w:val="-56"/>
          <w:sz w:val="19"/>
          <w:szCs w:val="19"/>
        </w:rPr>
        <w:t xml:space="preserve"> </w:t>
      </w:r>
      <w:r>
        <w:rPr>
          <w:rFonts w:ascii="宋体" w:hAnsi="宋体" w:eastAsia="宋体" w:cs="宋体"/>
          <w:spacing w:val="15"/>
          <w:sz w:val="19"/>
          <w:szCs w:val="19"/>
        </w:rPr>
        <w:t>项</w:t>
      </w:r>
      <w:r>
        <w:rPr>
          <w:rFonts w:ascii="宋体" w:hAnsi="宋体" w:eastAsia="宋体" w:cs="宋体"/>
          <w:spacing w:val="-21"/>
          <w:sz w:val="19"/>
          <w:szCs w:val="19"/>
        </w:rPr>
        <w:t xml:space="preserve"> </w:t>
      </w:r>
      <w:r>
        <w:rPr>
          <w:rFonts w:ascii="宋体" w:hAnsi="宋体" w:eastAsia="宋体" w:cs="宋体"/>
          <w:spacing w:val="15"/>
          <w:sz w:val="19"/>
          <w:szCs w:val="19"/>
        </w:rPr>
        <w:t>目有包括挪威在</w:t>
      </w:r>
      <w:r>
        <w:rPr>
          <w:rFonts w:ascii="宋体" w:hAnsi="宋体" w:eastAsia="宋体" w:cs="宋体"/>
          <w:spacing w:val="-35"/>
          <w:sz w:val="19"/>
          <w:szCs w:val="19"/>
        </w:rPr>
        <w:t xml:space="preserve"> </w:t>
      </w:r>
      <w:r>
        <w:rPr>
          <w:rFonts w:ascii="宋体" w:hAnsi="宋体" w:eastAsia="宋体" w:cs="宋体"/>
          <w:spacing w:val="15"/>
          <w:sz w:val="19"/>
          <w:szCs w:val="19"/>
        </w:rPr>
        <w:t>内</w:t>
      </w:r>
      <w:r>
        <w:rPr>
          <w:rFonts w:ascii="宋体" w:hAnsi="宋体" w:eastAsia="宋体" w:cs="宋体"/>
          <w:spacing w:val="-43"/>
          <w:sz w:val="19"/>
          <w:szCs w:val="19"/>
        </w:rPr>
        <w:t xml:space="preserve"> </w:t>
      </w:r>
      <w:r>
        <w:rPr>
          <w:rFonts w:ascii="宋体" w:hAnsi="宋体" w:eastAsia="宋体" w:cs="宋体"/>
          <w:spacing w:val="15"/>
          <w:sz w:val="19"/>
          <w:szCs w:val="19"/>
        </w:rPr>
        <w:t xml:space="preserve">的 </w:t>
      </w:r>
      <w:r>
        <w:rPr>
          <w:rFonts w:ascii="Arial" w:hAnsi="Arial" w:eastAsia="Arial" w:cs="Arial"/>
          <w:spacing w:val="18"/>
          <w:sz w:val="19"/>
          <w:szCs w:val="19"/>
        </w:rPr>
        <w:t>36</w:t>
      </w:r>
      <w:r>
        <w:rPr>
          <w:rFonts w:ascii="宋体" w:hAnsi="宋体" w:eastAsia="宋体" w:cs="宋体"/>
          <w:spacing w:val="18"/>
          <w:sz w:val="19"/>
          <w:szCs w:val="19"/>
        </w:rPr>
        <w:t>个国家中的</w:t>
      </w:r>
      <w:r>
        <w:rPr>
          <w:rFonts w:ascii="宋体" w:hAnsi="宋体" w:eastAsia="宋体" w:cs="宋体"/>
          <w:spacing w:val="-3"/>
          <w:sz w:val="19"/>
          <w:szCs w:val="19"/>
        </w:rPr>
        <w:t xml:space="preserve"> </w:t>
      </w:r>
      <w:r>
        <w:rPr>
          <w:rFonts w:ascii="Arial" w:hAnsi="Arial" w:eastAsia="Arial" w:cs="Arial"/>
          <w:spacing w:val="18"/>
          <w:sz w:val="19"/>
          <w:szCs w:val="19"/>
        </w:rPr>
        <w:t>134</w:t>
      </w:r>
      <w:r>
        <w:rPr>
          <w:rFonts w:ascii="宋体" w:hAnsi="宋体" w:eastAsia="宋体" w:cs="宋体"/>
          <w:spacing w:val="18"/>
          <w:sz w:val="19"/>
          <w:szCs w:val="19"/>
        </w:rPr>
        <w:t>所高校参与</w:t>
      </w:r>
      <w:r>
        <w:rPr>
          <w:rFonts w:ascii="微软雅黑" w:hAnsi="微软雅黑" w:eastAsia="微软雅黑" w:cs="微软雅黑"/>
          <w:spacing w:val="18"/>
          <w:position w:val="1"/>
          <w:sz w:val="19"/>
          <w:szCs w:val="19"/>
        </w:rPr>
        <w:t>，</w:t>
      </w:r>
      <w:r>
        <w:rPr>
          <w:rFonts w:ascii="宋体" w:hAnsi="宋体" w:eastAsia="宋体" w:cs="宋体"/>
          <w:spacing w:val="18"/>
          <w:sz w:val="19"/>
          <w:szCs w:val="19"/>
        </w:rPr>
        <w:t xml:space="preserve">旨在通过提高高等 </w:t>
      </w:r>
      <w:r>
        <w:rPr>
          <w:rFonts w:ascii="宋体" w:hAnsi="宋体" w:eastAsia="宋体" w:cs="宋体"/>
          <w:spacing w:val="10"/>
          <w:sz w:val="19"/>
          <w:szCs w:val="19"/>
        </w:rPr>
        <w:t>教育的质量满足新</w:t>
      </w:r>
      <w:r>
        <w:rPr>
          <w:rFonts w:ascii="宋体" w:hAnsi="宋体" w:eastAsia="宋体" w:cs="宋体"/>
          <w:spacing w:val="-56"/>
          <w:sz w:val="19"/>
          <w:szCs w:val="19"/>
        </w:rPr>
        <w:t xml:space="preserve"> </w:t>
      </w:r>
      <w:r>
        <w:rPr>
          <w:rFonts w:ascii="宋体" w:hAnsi="宋体" w:eastAsia="宋体" w:cs="宋体"/>
          <w:spacing w:val="10"/>
          <w:sz w:val="19"/>
          <w:szCs w:val="19"/>
        </w:rPr>
        <w:t>时代社会发展</w:t>
      </w:r>
      <w:r>
        <w:rPr>
          <w:rFonts w:ascii="宋体" w:hAnsi="宋体" w:eastAsia="宋体" w:cs="宋体"/>
          <w:spacing w:val="-48"/>
          <w:sz w:val="19"/>
          <w:szCs w:val="19"/>
        </w:rPr>
        <w:t xml:space="preserve"> </w:t>
      </w:r>
      <w:r>
        <w:rPr>
          <w:rFonts w:ascii="宋体" w:hAnsi="宋体" w:eastAsia="宋体" w:cs="宋体"/>
          <w:spacing w:val="10"/>
          <w:sz w:val="19"/>
          <w:szCs w:val="19"/>
        </w:rPr>
        <w:t>的</w:t>
      </w:r>
      <w:r>
        <w:rPr>
          <w:rFonts w:ascii="宋体" w:hAnsi="宋体" w:eastAsia="宋体" w:cs="宋体"/>
          <w:spacing w:val="-54"/>
          <w:sz w:val="19"/>
          <w:szCs w:val="19"/>
        </w:rPr>
        <w:t xml:space="preserve"> </w:t>
      </w:r>
      <w:r>
        <w:rPr>
          <w:rFonts w:ascii="宋体" w:hAnsi="宋体" w:eastAsia="宋体" w:cs="宋体"/>
          <w:spacing w:val="10"/>
          <w:sz w:val="19"/>
          <w:szCs w:val="19"/>
        </w:rPr>
        <w:t>需要</w:t>
      </w:r>
      <w:r>
        <w:rPr>
          <w:rFonts w:ascii="微软雅黑" w:hAnsi="微软雅黑" w:eastAsia="微软雅黑" w:cs="微软雅黑"/>
          <w:spacing w:val="10"/>
          <w:sz w:val="19"/>
          <w:szCs w:val="19"/>
        </w:rPr>
        <w:t>。</w:t>
      </w:r>
      <w:r>
        <w:rPr>
          <w:rFonts w:ascii="微软雅黑" w:hAnsi="微软雅黑" w:eastAsia="微软雅黑" w:cs="微软雅黑"/>
          <w:spacing w:val="10"/>
          <w:position w:val="8"/>
          <w:sz w:val="10"/>
          <w:szCs w:val="10"/>
        </w:rPr>
        <w:t>[</w:t>
      </w:r>
      <w:r>
        <w:rPr>
          <w:rFonts w:ascii="Arial" w:hAnsi="Arial" w:eastAsia="Arial" w:cs="Arial"/>
          <w:spacing w:val="10"/>
          <w:position w:val="8"/>
          <w:sz w:val="10"/>
          <w:szCs w:val="10"/>
        </w:rPr>
        <w:t>4</w:t>
      </w:r>
      <w:r>
        <w:rPr>
          <w:rFonts w:ascii="微软雅黑" w:hAnsi="微软雅黑" w:eastAsia="微软雅黑" w:cs="微软雅黑"/>
          <w:spacing w:val="10"/>
          <w:position w:val="8"/>
          <w:sz w:val="10"/>
          <w:szCs w:val="10"/>
        </w:rPr>
        <w:t xml:space="preserve">] </w:t>
      </w:r>
      <w:r>
        <w:rPr>
          <w:rFonts w:ascii="微软雅黑" w:hAnsi="微软雅黑" w:eastAsia="微软雅黑" w:cs="微软雅黑"/>
          <w:spacing w:val="9"/>
          <w:position w:val="8"/>
          <w:sz w:val="10"/>
          <w:szCs w:val="10"/>
        </w:rPr>
        <w:t xml:space="preserve"> </w:t>
      </w:r>
      <w:r>
        <w:rPr>
          <w:rFonts w:ascii="宋体" w:hAnsi="宋体" w:eastAsia="宋体" w:cs="宋体"/>
          <w:spacing w:val="9"/>
          <w:sz w:val="19"/>
          <w:szCs w:val="19"/>
        </w:rPr>
        <w:t>项</w:t>
      </w:r>
      <w:r>
        <w:rPr>
          <w:rFonts w:ascii="宋体" w:hAnsi="宋体" w:eastAsia="宋体" w:cs="宋体"/>
          <w:spacing w:val="-27"/>
          <w:sz w:val="19"/>
          <w:szCs w:val="19"/>
        </w:rPr>
        <w:t xml:space="preserve"> </w:t>
      </w:r>
      <w:r>
        <w:rPr>
          <w:rFonts w:ascii="宋体" w:hAnsi="宋体" w:eastAsia="宋体" w:cs="宋体"/>
          <w:spacing w:val="9"/>
          <w:sz w:val="19"/>
          <w:szCs w:val="19"/>
        </w:rPr>
        <w:t>目</w:t>
      </w:r>
      <w:r>
        <w:rPr>
          <w:rFonts w:ascii="宋体" w:hAnsi="宋体" w:eastAsia="宋体" w:cs="宋体"/>
          <w:spacing w:val="-46"/>
          <w:sz w:val="19"/>
          <w:szCs w:val="19"/>
        </w:rPr>
        <w:t xml:space="preserve"> </w:t>
      </w:r>
      <w:r>
        <w:rPr>
          <w:rFonts w:ascii="宋体" w:hAnsi="宋体" w:eastAsia="宋体" w:cs="宋体"/>
          <w:spacing w:val="9"/>
          <w:sz w:val="19"/>
          <w:szCs w:val="19"/>
        </w:rPr>
        <w:t xml:space="preserve">中 </w:t>
      </w:r>
      <w:r>
        <w:rPr>
          <w:rFonts w:ascii="微软雅黑" w:hAnsi="微软雅黑" w:eastAsia="微软雅黑" w:cs="微软雅黑"/>
          <w:spacing w:val="15"/>
          <w:sz w:val="19"/>
          <w:szCs w:val="19"/>
        </w:rPr>
        <w:t>“</w:t>
      </w:r>
      <w:r>
        <w:rPr>
          <w:rFonts w:ascii="微软雅黑" w:hAnsi="微软雅黑" w:eastAsia="微软雅黑" w:cs="微软雅黑"/>
          <w:spacing w:val="-16"/>
          <w:sz w:val="19"/>
          <w:szCs w:val="19"/>
        </w:rPr>
        <w:t xml:space="preserve"> </w:t>
      </w:r>
      <w:r>
        <w:rPr>
          <w:rFonts w:ascii="宋体" w:hAnsi="宋体" w:eastAsia="宋体" w:cs="宋体"/>
          <w:spacing w:val="15"/>
          <w:sz w:val="19"/>
          <w:szCs w:val="19"/>
        </w:rPr>
        <w:t>质量文化</w:t>
      </w:r>
      <w:r>
        <w:rPr>
          <w:rFonts w:ascii="微软雅黑" w:hAnsi="微软雅黑" w:eastAsia="微软雅黑" w:cs="微软雅黑"/>
          <w:spacing w:val="15"/>
          <w:sz w:val="19"/>
          <w:szCs w:val="19"/>
        </w:rPr>
        <w:t>”</w:t>
      </w:r>
      <w:r>
        <w:rPr>
          <w:rFonts w:ascii="宋体" w:hAnsi="宋体" w:eastAsia="宋体" w:cs="宋体"/>
          <w:spacing w:val="15"/>
          <w:sz w:val="19"/>
          <w:szCs w:val="19"/>
        </w:rPr>
        <w:t>这一标题的选用同样经过了深思熟虑</w:t>
      </w:r>
      <w:r>
        <w:rPr>
          <w:rFonts w:ascii="微软雅黑" w:hAnsi="微软雅黑" w:eastAsia="微软雅黑" w:cs="微软雅黑"/>
          <w:spacing w:val="15"/>
          <w:sz w:val="19"/>
          <w:szCs w:val="19"/>
        </w:rPr>
        <w:t>。</w:t>
      </w:r>
      <w:r>
        <w:rPr>
          <w:rFonts w:ascii="微软雅黑" w:hAnsi="微软雅黑" w:eastAsia="微软雅黑" w:cs="微软雅黑"/>
          <w:sz w:val="19"/>
          <w:szCs w:val="19"/>
        </w:rPr>
        <w:t xml:space="preserve"> </w:t>
      </w:r>
      <w:r>
        <w:rPr>
          <w:rFonts w:ascii="宋体" w:hAnsi="宋体" w:eastAsia="宋体" w:cs="宋体"/>
          <w:spacing w:val="21"/>
          <w:sz w:val="19"/>
          <w:szCs w:val="19"/>
        </w:rPr>
        <w:t>欧洲大学联合会</w:t>
      </w:r>
      <w:r>
        <w:rPr>
          <w:rFonts w:ascii="微软雅黑" w:hAnsi="微软雅黑" w:eastAsia="微软雅黑" w:cs="微软雅黑"/>
          <w:spacing w:val="21"/>
          <w:sz w:val="19"/>
          <w:szCs w:val="19"/>
        </w:rPr>
        <w:t>(</w:t>
      </w:r>
      <w:r>
        <w:rPr>
          <w:rFonts w:ascii="Arial" w:hAnsi="Arial" w:eastAsia="Arial" w:cs="Arial"/>
          <w:sz w:val="19"/>
          <w:szCs w:val="19"/>
        </w:rPr>
        <w:t>EUA</w:t>
      </w:r>
      <w:r>
        <w:rPr>
          <w:rFonts w:ascii="微软雅黑" w:hAnsi="微软雅黑" w:eastAsia="微软雅黑" w:cs="微软雅黑"/>
          <w:spacing w:val="21"/>
          <w:sz w:val="19"/>
          <w:szCs w:val="19"/>
        </w:rPr>
        <w:t>)</w:t>
      </w:r>
      <w:r>
        <w:rPr>
          <w:rFonts w:ascii="微软雅黑" w:hAnsi="微软雅黑" w:eastAsia="微软雅黑" w:cs="微软雅黑"/>
          <w:spacing w:val="-4"/>
          <w:sz w:val="19"/>
          <w:szCs w:val="19"/>
        </w:rPr>
        <w:t xml:space="preserve"> </w:t>
      </w:r>
      <w:r>
        <w:rPr>
          <w:rFonts w:ascii="宋体" w:hAnsi="宋体" w:eastAsia="宋体" w:cs="宋体"/>
          <w:spacing w:val="21"/>
          <w:sz w:val="19"/>
          <w:szCs w:val="19"/>
        </w:rPr>
        <w:t>认为</w:t>
      </w:r>
      <w:r>
        <w:rPr>
          <w:rFonts w:ascii="微软雅黑" w:hAnsi="微软雅黑" w:eastAsia="微软雅黑" w:cs="微软雅黑"/>
          <w:spacing w:val="21"/>
          <w:position w:val="1"/>
          <w:sz w:val="19"/>
          <w:szCs w:val="19"/>
        </w:rPr>
        <w:t>，</w:t>
      </w:r>
      <w:r>
        <w:rPr>
          <w:rFonts w:ascii="宋体" w:hAnsi="宋体" w:eastAsia="宋体" w:cs="宋体"/>
          <w:spacing w:val="21"/>
          <w:sz w:val="19"/>
          <w:szCs w:val="19"/>
        </w:rPr>
        <w:t>质量保</w:t>
      </w:r>
      <w:r>
        <w:rPr>
          <w:rFonts w:ascii="宋体" w:hAnsi="宋体" w:eastAsia="宋体" w:cs="宋体"/>
          <w:spacing w:val="-56"/>
          <w:sz w:val="19"/>
          <w:szCs w:val="19"/>
        </w:rPr>
        <w:t xml:space="preserve"> </w:t>
      </w:r>
      <w:r>
        <w:rPr>
          <w:rFonts w:ascii="宋体" w:hAnsi="宋体" w:eastAsia="宋体" w:cs="宋体"/>
          <w:spacing w:val="21"/>
          <w:sz w:val="19"/>
          <w:szCs w:val="19"/>
        </w:rPr>
        <w:t>障不单单包括 自上而下的官僚式质量管理</w:t>
      </w:r>
      <w:r>
        <w:rPr>
          <w:rFonts w:ascii="微软雅黑" w:hAnsi="微软雅黑" w:eastAsia="微软雅黑" w:cs="微软雅黑"/>
          <w:spacing w:val="21"/>
          <w:sz w:val="19"/>
          <w:szCs w:val="19"/>
        </w:rPr>
        <w:t>，</w:t>
      </w:r>
      <w:r>
        <w:rPr>
          <w:rFonts w:ascii="宋体" w:hAnsi="宋体" w:eastAsia="宋体" w:cs="宋体"/>
          <w:spacing w:val="21"/>
          <w:sz w:val="19"/>
          <w:szCs w:val="19"/>
        </w:rPr>
        <w:t xml:space="preserve">而应该成为一个高等 </w:t>
      </w:r>
      <w:r>
        <w:rPr>
          <w:rFonts w:ascii="宋体" w:hAnsi="宋体" w:eastAsia="宋体" w:cs="宋体"/>
          <w:spacing w:val="13"/>
          <w:sz w:val="19"/>
          <w:szCs w:val="19"/>
        </w:rPr>
        <w:t>教育机构中集体的共识</w:t>
      </w:r>
      <w:r>
        <w:rPr>
          <w:rFonts w:ascii="微软雅黑" w:hAnsi="微软雅黑" w:eastAsia="微软雅黑" w:cs="微软雅黑"/>
          <w:spacing w:val="13"/>
          <w:sz w:val="19"/>
          <w:szCs w:val="19"/>
        </w:rPr>
        <w:t>。“</w:t>
      </w:r>
      <w:r>
        <w:rPr>
          <w:rFonts w:ascii="宋体" w:hAnsi="宋体" w:eastAsia="宋体" w:cs="宋体"/>
          <w:spacing w:val="13"/>
          <w:sz w:val="19"/>
          <w:szCs w:val="19"/>
        </w:rPr>
        <w:t>质量文化</w:t>
      </w:r>
      <w:r>
        <w:rPr>
          <w:rFonts w:ascii="微软雅黑" w:hAnsi="微软雅黑" w:eastAsia="微软雅黑" w:cs="微软雅黑"/>
          <w:spacing w:val="13"/>
          <w:sz w:val="19"/>
          <w:szCs w:val="19"/>
        </w:rPr>
        <w:t>”</w:t>
      </w:r>
      <w:r>
        <w:rPr>
          <w:rFonts w:ascii="宋体" w:hAnsi="宋体" w:eastAsia="宋体" w:cs="宋体"/>
          <w:spacing w:val="13"/>
          <w:sz w:val="19"/>
          <w:szCs w:val="19"/>
        </w:rPr>
        <w:t xml:space="preserve">强调了质量保 </w:t>
      </w:r>
      <w:r>
        <w:rPr>
          <w:rFonts w:ascii="宋体" w:hAnsi="宋体" w:eastAsia="宋体" w:cs="宋体"/>
          <w:spacing w:val="19"/>
          <w:sz w:val="19"/>
          <w:szCs w:val="19"/>
        </w:rPr>
        <w:t>障与提升是一种集体的共</w:t>
      </w:r>
      <w:r>
        <w:rPr>
          <w:rFonts w:ascii="宋体" w:hAnsi="宋体" w:eastAsia="宋体" w:cs="宋体"/>
          <w:spacing w:val="-31"/>
          <w:sz w:val="19"/>
          <w:szCs w:val="19"/>
        </w:rPr>
        <w:t xml:space="preserve"> </w:t>
      </w:r>
      <w:r>
        <w:rPr>
          <w:rFonts w:ascii="宋体" w:hAnsi="宋体" w:eastAsia="宋体" w:cs="宋体"/>
          <w:spacing w:val="19"/>
          <w:sz w:val="19"/>
          <w:szCs w:val="19"/>
        </w:rPr>
        <w:t>同责任和价值观念</w:t>
      </w:r>
      <w:r>
        <w:rPr>
          <w:rFonts w:ascii="微软雅黑" w:hAnsi="微软雅黑" w:eastAsia="微软雅黑" w:cs="微软雅黑"/>
          <w:spacing w:val="19"/>
          <w:sz w:val="19"/>
          <w:szCs w:val="19"/>
        </w:rPr>
        <w:t>，</w:t>
      </w:r>
      <w:r>
        <w:rPr>
          <w:rFonts w:ascii="宋体" w:hAnsi="宋体" w:eastAsia="宋体" w:cs="宋体"/>
          <w:spacing w:val="19"/>
          <w:sz w:val="19"/>
          <w:szCs w:val="19"/>
        </w:rPr>
        <w:t xml:space="preserve">包括 </w:t>
      </w:r>
      <w:r>
        <w:rPr>
          <w:rFonts w:ascii="宋体" w:hAnsi="宋体" w:eastAsia="宋体" w:cs="宋体"/>
          <w:spacing w:val="12"/>
          <w:sz w:val="19"/>
          <w:szCs w:val="19"/>
        </w:rPr>
        <w:t>学生与教师在</w:t>
      </w:r>
      <w:r>
        <w:rPr>
          <w:rFonts w:ascii="宋体" w:hAnsi="宋体" w:eastAsia="宋体" w:cs="宋体"/>
          <w:spacing w:val="-41"/>
          <w:sz w:val="19"/>
          <w:szCs w:val="19"/>
        </w:rPr>
        <w:t xml:space="preserve"> </w:t>
      </w:r>
      <w:r>
        <w:rPr>
          <w:rFonts w:ascii="宋体" w:hAnsi="宋体" w:eastAsia="宋体" w:cs="宋体"/>
          <w:spacing w:val="12"/>
          <w:sz w:val="19"/>
          <w:szCs w:val="19"/>
        </w:rPr>
        <w:t>内</w:t>
      </w:r>
      <w:r>
        <w:rPr>
          <w:rFonts w:ascii="宋体" w:hAnsi="宋体" w:eastAsia="宋体" w:cs="宋体"/>
          <w:spacing w:val="-49"/>
          <w:sz w:val="19"/>
          <w:szCs w:val="19"/>
        </w:rPr>
        <w:t xml:space="preserve"> </w:t>
      </w:r>
      <w:r>
        <w:rPr>
          <w:rFonts w:ascii="宋体" w:hAnsi="宋体" w:eastAsia="宋体" w:cs="宋体"/>
          <w:spacing w:val="12"/>
          <w:sz w:val="19"/>
          <w:szCs w:val="19"/>
        </w:rPr>
        <w:t>的所有成</w:t>
      </w:r>
      <w:r>
        <w:rPr>
          <w:rFonts w:ascii="宋体" w:hAnsi="宋体" w:eastAsia="宋体" w:cs="宋体"/>
          <w:spacing w:val="-56"/>
          <w:sz w:val="19"/>
          <w:szCs w:val="19"/>
        </w:rPr>
        <w:t xml:space="preserve"> </w:t>
      </w:r>
      <w:r>
        <w:rPr>
          <w:rFonts w:ascii="宋体" w:hAnsi="宋体" w:eastAsia="宋体" w:cs="宋体"/>
          <w:spacing w:val="12"/>
          <w:sz w:val="19"/>
          <w:szCs w:val="19"/>
        </w:rPr>
        <w:t>员都应该参与其</w:t>
      </w:r>
      <w:r>
        <w:rPr>
          <w:rFonts w:ascii="宋体" w:hAnsi="宋体" w:eastAsia="宋体" w:cs="宋体"/>
          <w:spacing w:val="-46"/>
          <w:sz w:val="19"/>
          <w:szCs w:val="19"/>
        </w:rPr>
        <w:t xml:space="preserve"> </w:t>
      </w:r>
      <w:r>
        <w:rPr>
          <w:rFonts w:ascii="宋体" w:hAnsi="宋体" w:eastAsia="宋体" w:cs="宋体"/>
          <w:spacing w:val="12"/>
          <w:sz w:val="19"/>
          <w:szCs w:val="19"/>
        </w:rPr>
        <w:t>中</w:t>
      </w:r>
      <w:r>
        <w:rPr>
          <w:rFonts w:ascii="微软雅黑" w:hAnsi="微软雅黑" w:eastAsia="微软雅黑" w:cs="微软雅黑"/>
          <w:spacing w:val="12"/>
          <w:sz w:val="19"/>
          <w:szCs w:val="19"/>
        </w:rPr>
        <w:t>。</w:t>
      </w:r>
      <w:r>
        <w:rPr>
          <w:rFonts w:ascii="微软雅黑" w:hAnsi="微软雅黑" w:eastAsia="微软雅黑" w:cs="微软雅黑"/>
          <w:spacing w:val="12"/>
          <w:position w:val="8"/>
          <w:sz w:val="10"/>
          <w:szCs w:val="10"/>
        </w:rPr>
        <w:t>[</w:t>
      </w:r>
      <w:r>
        <w:rPr>
          <w:rFonts w:ascii="Arial" w:hAnsi="Arial" w:eastAsia="Arial" w:cs="Arial"/>
          <w:spacing w:val="12"/>
          <w:position w:val="8"/>
          <w:sz w:val="10"/>
          <w:szCs w:val="10"/>
        </w:rPr>
        <w:t>5</w:t>
      </w:r>
      <w:r>
        <w:rPr>
          <w:rFonts w:ascii="微软雅黑" w:hAnsi="微软雅黑" w:eastAsia="微软雅黑" w:cs="微软雅黑"/>
          <w:spacing w:val="12"/>
          <w:position w:val="8"/>
          <w:sz w:val="10"/>
          <w:szCs w:val="10"/>
        </w:rPr>
        <w:t>]</w:t>
      </w:r>
      <w:r>
        <w:rPr>
          <w:rFonts w:ascii="微软雅黑" w:hAnsi="微软雅黑" w:eastAsia="微软雅黑" w:cs="微软雅黑"/>
          <w:spacing w:val="11"/>
          <w:w w:val="102"/>
          <w:position w:val="8"/>
          <w:sz w:val="10"/>
          <w:szCs w:val="10"/>
        </w:rPr>
        <w:t xml:space="preserve">  </w:t>
      </w:r>
      <w:r>
        <w:rPr>
          <w:rFonts w:ascii="宋体" w:hAnsi="宋体" w:eastAsia="宋体" w:cs="宋体"/>
          <w:spacing w:val="11"/>
          <w:sz w:val="19"/>
          <w:szCs w:val="19"/>
        </w:rPr>
        <w:t xml:space="preserve">同 </w:t>
      </w:r>
      <w:r>
        <w:rPr>
          <w:rFonts w:ascii="宋体" w:hAnsi="宋体" w:eastAsia="宋体" w:cs="宋体"/>
          <w:spacing w:val="13"/>
          <w:sz w:val="19"/>
          <w:szCs w:val="19"/>
        </w:rPr>
        <w:t>时</w:t>
      </w:r>
      <w:r>
        <w:rPr>
          <w:rFonts w:ascii="微软雅黑" w:hAnsi="微软雅黑" w:eastAsia="微软雅黑" w:cs="微软雅黑"/>
          <w:spacing w:val="13"/>
          <w:sz w:val="19"/>
          <w:szCs w:val="19"/>
        </w:rPr>
        <w:t>，</w:t>
      </w:r>
      <w:r>
        <w:rPr>
          <w:rFonts w:ascii="宋体" w:hAnsi="宋体" w:eastAsia="宋体" w:cs="宋体"/>
          <w:spacing w:val="13"/>
          <w:sz w:val="19"/>
          <w:szCs w:val="19"/>
        </w:rPr>
        <w:t>该项目强调了高校内部管理的重要性</w:t>
      </w:r>
      <w:r>
        <w:rPr>
          <w:rFonts w:ascii="微软雅黑" w:hAnsi="微软雅黑" w:eastAsia="微软雅黑" w:cs="微软雅黑"/>
          <w:spacing w:val="13"/>
          <w:sz w:val="19"/>
          <w:szCs w:val="19"/>
        </w:rPr>
        <w:t>，</w:t>
      </w:r>
      <w:r>
        <w:rPr>
          <w:rFonts w:ascii="宋体" w:hAnsi="宋体" w:eastAsia="宋体" w:cs="宋体"/>
          <w:spacing w:val="13"/>
          <w:sz w:val="19"/>
          <w:szCs w:val="19"/>
        </w:rPr>
        <w:t xml:space="preserve">主张在高 </w:t>
      </w:r>
      <w:r>
        <w:rPr>
          <w:rFonts w:ascii="宋体" w:hAnsi="宋体" w:eastAsia="宋体" w:cs="宋体"/>
          <w:spacing w:val="19"/>
          <w:sz w:val="19"/>
          <w:szCs w:val="19"/>
        </w:rPr>
        <w:t>校中构建一种系统而连贯</w:t>
      </w:r>
      <w:r>
        <w:rPr>
          <w:rFonts w:ascii="宋体" w:hAnsi="宋体" w:eastAsia="宋体" w:cs="宋体"/>
          <w:spacing w:val="-31"/>
          <w:sz w:val="19"/>
          <w:szCs w:val="19"/>
        </w:rPr>
        <w:t xml:space="preserve"> </w:t>
      </w:r>
      <w:r>
        <w:rPr>
          <w:rFonts w:ascii="宋体" w:hAnsi="宋体" w:eastAsia="宋体" w:cs="宋体"/>
          <w:spacing w:val="19"/>
          <w:sz w:val="19"/>
          <w:szCs w:val="19"/>
        </w:rPr>
        <w:t>的质量文化体系</w:t>
      </w:r>
      <w:r>
        <w:rPr>
          <w:rFonts w:ascii="微软雅黑" w:hAnsi="微软雅黑" w:eastAsia="微软雅黑" w:cs="微软雅黑"/>
          <w:spacing w:val="19"/>
          <w:sz w:val="19"/>
          <w:szCs w:val="19"/>
        </w:rPr>
        <w:t>，</w:t>
      </w:r>
      <w:r>
        <w:rPr>
          <w:rFonts w:ascii="宋体" w:hAnsi="宋体" w:eastAsia="宋体" w:cs="宋体"/>
          <w:spacing w:val="19"/>
          <w:sz w:val="19"/>
          <w:szCs w:val="19"/>
        </w:rPr>
        <w:t xml:space="preserve">以此来 </w:t>
      </w:r>
      <w:r>
        <w:rPr>
          <w:rFonts w:ascii="宋体" w:hAnsi="宋体" w:eastAsia="宋体" w:cs="宋体"/>
          <w:spacing w:val="21"/>
          <w:sz w:val="19"/>
          <w:szCs w:val="19"/>
        </w:rPr>
        <w:t>统筹内部质量管理与外部质量的评估与保障</w:t>
      </w:r>
      <w:r>
        <w:rPr>
          <w:rFonts w:ascii="微软雅黑" w:hAnsi="微软雅黑" w:eastAsia="微软雅黑" w:cs="微软雅黑"/>
          <w:spacing w:val="21"/>
          <w:sz w:val="19"/>
          <w:szCs w:val="19"/>
        </w:rPr>
        <w:t>，</w:t>
      </w:r>
      <w:r>
        <w:rPr>
          <w:rFonts w:ascii="宋体" w:hAnsi="宋体" w:eastAsia="宋体" w:cs="宋体"/>
          <w:spacing w:val="21"/>
          <w:sz w:val="19"/>
          <w:szCs w:val="19"/>
        </w:rPr>
        <w:t xml:space="preserve">促进 </w:t>
      </w:r>
      <w:r>
        <w:rPr>
          <w:rFonts w:ascii="宋体" w:hAnsi="宋体" w:eastAsia="宋体" w:cs="宋体"/>
          <w:spacing w:val="10"/>
          <w:sz w:val="19"/>
          <w:szCs w:val="19"/>
        </w:rPr>
        <w:t>两者的平衡</w:t>
      </w:r>
      <w:r>
        <w:rPr>
          <w:rFonts w:ascii="宋体" w:hAnsi="宋体" w:eastAsia="宋体" w:cs="宋体"/>
          <w:spacing w:val="-46"/>
          <w:sz w:val="19"/>
          <w:szCs w:val="19"/>
        </w:rPr>
        <w:t xml:space="preserve"> </w:t>
      </w:r>
      <w:r>
        <w:rPr>
          <w:rFonts w:ascii="微软雅黑" w:hAnsi="微软雅黑" w:eastAsia="微软雅黑" w:cs="微软雅黑"/>
          <w:spacing w:val="10"/>
          <w:sz w:val="19"/>
          <w:szCs w:val="19"/>
        </w:rPr>
        <w:t>。</w:t>
      </w:r>
      <w:r>
        <w:rPr>
          <w:rFonts w:ascii="宋体" w:hAnsi="宋体" w:eastAsia="宋体" w:cs="宋体"/>
          <w:spacing w:val="10"/>
          <w:sz w:val="19"/>
          <w:szCs w:val="19"/>
        </w:rPr>
        <w:t>挪威是</w:t>
      </w:r>
      <w:r>
        <w:rPr>
          <w:rFonts w:ascii="微软雅黑" w:hAnsi="微软雅黑" w:eastAsia="微软雅黑" w:cs="微软雅黑"/>
          <w:spacing w:val="10"/>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10"/>
          <w:sz w:val="19"/>
          <w:szCs w:val="19"/>
        </w:rPr>
        <w:t>大学质量文化工程</w:t>
      </w:r>
      <w:r>
        <w:rPr>
          <w:rFonts w:ascii="微软雅黑" w:hAnsi="微软雅黑" w:eastAsia="微软雅黑" w:cs="微软雅黑"/>
          <w:spacing w:val="10"/>
          <w:sz w:val="19"/>
          <w:szCs w:val="19"/>
        </w:rPr>
        <w:t>”</w:t>
      </w:r>
      <w:r>
        <w:rPr>
          <w:rFonts w:ascii="宋体" w:hAnsi="宋体" w:eastAsia="宋体" w:cs="宋体"/>
          <w:spacing w:val="10"/>
          <w:sz w:val="19"/>
          <w:szCs w:val="19"/>
        </w:rPr>
        <w:t xml:space="preserve">的重要参 </w:t>
      </w:r>
      <w:r>
        <w:rPr>
          <w:rFonts w:ascii="宋体" w:hAnsi="宋体" w:eastAsia="宋体" w:cs="宋体"/>
          <w:spacing w:val="8"/>
          <w:sz w:val="19"/>
          <w:szCs w:val="19"/>
        </w:rPr>
        <w:t>与国</w:t>
      </w:r>
      <w:r>
        <w:rPr>
          <w:rFonts w:ascii="微软雅黑" w:hAnsi="微软雅黑" w:eastAsia="微软雅黑" w:cs="微软雅黑"/>
          <w:spacing w:val="8"/>
          <w:sz w:val="19"/>
          <w:szCs w:val="19"/>
        </w:rPr>
        <w:t>，</w:t>
      </w:r>
      <w:r>
        <w:rPr>
          <w:rFonts w:ascii="宋体" w:hAnsi="宋体" w:eastAsia="宋体" w:cs="宋体"/>
          <w:spacing w:val="8"/>
          <w:sz w:val="19"/>
          <w:szCs w:val="19"/>
        </w:rPr>
        <w:t>联合会此次提</w:t>
      </w:r>
      <w:r>
        <w:rPr>
          <w:rFonts w:ascii="宋体" w:hAnsi="宋体" w:eastAsia="宋体" w:cs="宋体"/>
          <w:spacing w:val="-47"/>
          <w:sz w:val="19"/>
          <w:szCs w:val="19"/>
        </w:rPr>
        <w:t xml:space="preserve"> </w:t>
      </w:r>
      <w:r>
        <w:rPr>
          <w:rFonts w:ascii="宋体" w:hAnsi="宋体" w:eastAsia="宋体" w:cs="宋体"/>
          <w:spacing w:val="8"/>
          <w:sz w:val="19"/>
          <w:szCs w:val="19"/>
        </w:rPr>
        <w:t>出</w:t>
      </w:r>
      <w:r>
        <w:rPr>
          <w:rFonts w:ascii="宋体" w:hAnsi="宋体" w:eastAsia="宋体" w:cs="宋体"/>
          <w:spacing w:val="-50"/>
          <w:sz w:val="19"/>
          <w:szCs w:val="19"/>
        </w:rPr>
        <w:t xml:space="preserve"> </w:t>
      </w:r>
      <w:r>
        <w:rPr>
          <w:rFonts w:ascii="宋体" w:hAnsi="宋体" w:eastAsia="宋体" w:cs="宋体"/>
          <w:spacing w:val="8"/>
          <w:sz w:val="19"/>
          <w:szCs w:val="19"/>
        </w:rPr>
        <w:t>的</w:t>
      </w:r>
      <w:r>
        <w:rPr>
          <w:rFonts w:ascii="微软雅黑" w:hAnsi="微软雅黑" w:eastAsia="微软雅黑" w:cs="微软雅黑"/>
          <w:spacing w:val="8"/>
          <w:sz w:val="19"/>
          <w:szCs w:val="19"/>
        </w:rPr>
        <w:t>“</w:t>
      </w:r>
      <w:r>
        <w:rPr>
          <w:rFonts w:ascii="微软雅黑" w:hAnsi="微软雅黑" w:eastAsia="微软雅黑" w:cs="微软雅黑"/>
          <w:spacing w:val="-31"/>
          <w:sz w:val="19"/>
          <w:szCs w:val="19"/>
        </w:rPr>
        <w:t xml:space="preserve"> </w:t>
      </w:r>
      <w:r>
        <w:rPr>
          <w:rFonts w:ascii="宋体" w:hAnsi="宋体" w:eastAsia="宋体" w:cs="宋体"/>
          <w:spacing w:val="8"/>
          <w:sz w:val="19"/>
          <w:szCs w:val="19"/>
        </w:rPr>
        <w:t>质量文化</w:t>
      </w:r>
      <w:r>
        <w:rPr>
          <w:rFonts w:ascii="微软雅黑" w:hAnsi="微软雅黑" w:eastAsia="微软雅黑" w:cs="微软雅黑"/>
          <w:spacing w:val="8"/>
          <w:sz w:val="19"/>
          <w:szCs w:val="19"/>
        </w:rPr>
        <w:t>”</w:t>
      </w:r>
      <w:r>
        <w:rPr>
          <w:rFonts w:ascii="宋体" w:hAnsi="宋体" w:eastAsia="宋体" w:cs="宋体"/>
          <w:spacing w:val="8"/>
          <w:sz w:val="19"/>
          <w:szCs w:val="19"/>
        </w:rPr>
        <w:t xml:space="preserve">观念使其高等 </w:t>
      </w:r>
      <w:r>
        <w:rPr>
          <w:rFonts w:ascii="宋体" w:hAnsi="宋体" w:eastAsia="宋体" w:cs="宋体"/>
          <w:spacing w:val="21"/>
          <w:sz w:val="19"/>
          <w:szCs w:val="19"/>
        </w:rPr>
        <w:t>教育质量保障工作双管齐下</w:t>
      </w:r>
      <w:r>
        <w:rPr>
          <w:rFonts w:ascii="微软雅黑" w:hAnsi="微软雅黑" w:eastAsia="微软雅黑" w:cs="微软雅黑"/>
          <w:spacing w:val="21"/>
          <w:sz w:val="19"/>
          <w:szCs w:val="19"/>
        </w:rPr>
        <w:t>，</w:t>
      </w:r>
      <w:r>
        <w:rPr>
          <w:rFonts w:ascii="宋体" w:hAnsi="宋体" w:eastAsia="宋体" w:cs="宋体"/>
          <w:spacing w:val="21"/>
          <w:sz w:val="19"/>
          <w:szCs w:val="19"/>
        </w:rPr>
        <w:t>既注重对高校外部质 量的保障和评估</w:t>
      </w:r>
      <w:r>
        <w:rPr>
          <w:rFonts w:ascii="微软雅黑" w:hAnsi="微软雅黑" w:eastAsia="微软雅黑" w:cs="微软雅黑"/>
          <w:spacing w:val="21"/>
          <w:sz w:val="19"/>
          <w:szCs w:val="19"/>
        </w:rPr>
        <w:t>，</w:t>
      </w:r>
      <w:r>
        <w:rPr>
          <w:rFonts w:ascii="宋体" w:hAnsi="宋体" w:eastAsia="宋体" w:cs="宋体"/>
          <w:spacing w:val="21"/>
          <w:sz w:val="19"/>
          <w:szCs w:val="19"/>
        </w:rPr>
        <w:t xml:space="preserve">又强调高校内部质量管理机制建 </w:t>
      </w:r>
      <w:r>
        <w:rPr>
          <w:rFonts w:ascii="宋体" w:hAnsi="宋体" w:eastAsia="宋体" w:cs="宋体"/>
          <w:spacing w:val="22"/>
          <w:w w:val="120"/>
          <w:sz w:val="19"/>
          <w:szCs w:val="19"/>
        </w:rPr>
        <w:t>设</w:t>
      </w:r>
      <w:r>
        <w:rPr>
          <w:rFonts w:ascii="微软雅黑" w:hAnsi="微软雅黑" w:eastAsia="微软雅黑" w:cs="微软雅黑"/>
          <w:spacing w:val="22"/>
          <w:w w:val="120"/>
          <w:sz w:val="19"/>
          <w:szCs w:val="19"/>
        </w:rPr>
        <w:t>。</w:t>
      </w:r>
    </w:p>
    <w:p>
      <w:pPr>
        <w:spacing w:before="68" w:line="212" w:lineRule="auto"/>
        <w:ind w:left="513"/>
        <w:rPr>
          <w:rFonts w:ascii="黑体" w:hAnsi="黑体" w:eastAsia="黑体" w:cs="黑体"/>
          <w:sz w:val="19"/>
          <w:szCs w:val="19"/>
        </w:rPr>
      </w:pPr>
      <w:r>
        <w:rPr>
          <w:rFonts w:ascii="Arial" w:hAnsi="Arial" w:eastAsia="Arial" w:cs="Arial"/>
          <w:spacing w:val="16"/>
          <w:sz w:val="19"/>
          <w:szCs w:val="19"/>
        </w:rPr>
        <w:t>3.</w:t>
      </w:r>
      <w:r>
        <w:rPr>
          <w:rFonts w:ascii="黑体" w:hAnsi="黑体" w:eastAsia="黑体" w:cs="黑体"/>
          <w:spacing w:val="16"/>
          <w:sz w:val="19"/>
          <w:szCs w:val="19"/>
        </w:rPr>
        <w:t>挪威高等教育质量保障传统的延续与升华</w:t>
      </w:r>
    </w:p>
    <w:p>
      <w:pPr>
        <w:spacing w:before="93" w:line="225" w:lineRule="auto"/>
        <w:ind w:left="95" w:right="74" w:firstLine="418"/>
        <w:rPr>
          <w:rFonts w:ascii="微软雅黑" w:hAnsi="微软雅黑" w:eastAsia="微软雅黑" w:cs="微软雅黑"/>
          <w:sz w:val="10"/>
          <w:szCs w:val="10"/>
        </w:rPr>
      </w:pPr>
      <w:r>
        <w:rPr>
          <w:rFonts w:ascii="宋体" w:hAnsi="宋体" w:eastAsia="宋体" w:cs="宋体"/>
          <w:spacing w:val="16"/>
          <w:sz w:val="19"/>
          <w:szCs w:val="19"/>
        </w:rPr>
        <w:t>挪威素有注重高等教育质量保障</w:t>
      </w:r>
      <w:r>
        <w:rPr>
          <w:rFonts w:ascii="宋体" w:hAnsi="宋体" w:eastAsia="宋体" w:cs="宋体"/>
          <w:spacing w:val="-47"/>
          <w:sz w:val="19"/>
          <w:szCs w:val="19"/>
        </w:rPr>
        <w:t xml:space="preserve"> </w:t>
      </w:r>
      <w:r>
        <w:rPr>
          <w:rFonts w:ascii="宋体" w:hAnsi="宋体" w:eastAsia="宋体" w:cs="宋体"/>
          <w:spacing w:val="16"/>
          <w:sz w:val="19"/>
          <w:szCs w:val="19"/>
        </w:rPr>
        <w:t>的传统</w:t>
      </w:r>
      <w:r>
        <w:rPr>
          <w:rFonts w:ascii="微软雅黑" w:hAnsi="微软雅黑" w:eastAsia="微软雅黑" w:cs="微软雅黑"/>
          <w:spacing w:val="16"/>
          <w:sz w:val="19"/>
          <w:szCs w:val="19"/>
        </w:rPr>
        <w:t>，</w:t>
      </w:r>
      <w:r>
        <w:rPr>
          <w:rFonts w:ascii="宋体" w:hAnsi="宋体" w:eastAsia="宋体" w:cs="宋体"/>
          <w:spacing w:val="16"/>
          <w:sz w:val="19"/>
          <w:szCs w:val="19"/>
        </w:rPr>
        <w:t>其关</w:t>
      </w:r>
      <w:r>
        <w:rPr>
          <w:rFonts w:ascii="宋体" w:hAnsi="宋体" w:eastAsia="宋体" w:cs="宋体"/>
          <w:sz w:val="19"/>
          <w:szCs w:val="19"/>
        </w:rPr>
        <w:t xml:space="preserve"> </w:t>
      </w:r>
      <w:r>
        <w:rPr>
          <w:rFonts w:ascii="宋体" w:hAnsi="宋体" w:eastAsia="宋体" w:cs="宋体"/>
          <w:spacing w:val="16"/>
          <w:sz w:val="19"/>
          <w:szCs w:val="19"/>
        </w:rPr>
        <w:t>于高等教育质量保障的改革具有连续性</w:t>
      </w:r>
      <w:r>
        <w:rPr>
          <w:rFonts w:ascii="宋体" w:hAnsi="宋体" w:eastAsia="宋体" w:cs="宋体"/>
          <w:spacing w:val="-41"/>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挪威高等</w:t>
      </w:r>
      <w:r>
        <w:rPr>
          <w:rFonts w:ascii="宋体" w:hAnsi="宋体" w:eastAsia="宋体" w:cs="宋体"/>
          <w:sz w:val="19"/>
          <w:szCs w:val="19"/>
        </w:rPr>
        <w:t xml:space="preserve"> </w:t>
      </w:r>
      <w:r>
        <w:rPr>
          <w:rFonts w:ascii="宋体" w:hAnsi="宋体" w:eastAsia="宋体" w:cs="宋体"/>
          <w:spacing w:val="15"/>
          <w:sz w:val="19"/>
          <w:szCs w:val="19"/>
        </w:rPr>
        <w:t>教育质量保障改革始于</w:t>
      </w:r>
      <w:r>
        <w:rPr>
          <w:rFonts w:ascii="宋体" w:hAnsi="宋体" w:eastAsia="宋体" w:cs="宋体"/>
          <w:spacing w:val="-10"/>
          <w:sz w:val="19"/>
          <w:szCs w:val="19"/>
        </w:rPr>
        <w:t xml:space="preserve"> </w:t>
      </w:r>
      <w:r>
        <w:rPr>
          <w:rFonts w:ascii="Arial" w:hAnsi="Arial" w:eastAsia="Arial" w:cs="Arial"/>
          <w:spacing w:val="15"/>
          <w:sz w:val="19"/>
          <w:szCs w:val="19"/>
        </w:rPr>
        <w:t>20</w:t>
      </w:r>
      <w:r>
        <w:rPr>
          <w:rFonts w:ascii="宋体" w:hAnsi="宋体" w:eastAsia="宋体" w:cs="宋体"/>
          <w:spacing w:val="15"/>
          <w:sz w:val="19"/>
          <w:szCs w:val="19"/>
        </w:rPr>
        <w:t>世纪</w:t>
      </w:r>
      <w:r>
        <w:rPr>
          <w:rFonts w:ascii="宋体" w:hAnsi="宋体" w:eastAsia="宋体" w:cs="宋体"/>
          <w:spacing w:val="-11"/>
          <w:sz w:val="19"/>
          <w:szCs w:val="19"/>
        </w:rPr>
        <w:t xml:space="preserve"> </w:t>
      </w:r>
      <w:r>
        <w:rPr>
          <w:rFonts w:ascii="Arial" w:hAnsi="Arial" w:eastAsia="Arial" w:cs="Arial"/>
          <w:spacing w:val="15"/>
          <w:sz w:val="19"/>
          <w:szCs w:val="19"/>
        </w:rPr>
        <w:t>80</w:t>
      </w:r>
      <w:r>
        <w:rPr>
          <w:rFonts w:ascii="宋体" w:hAnsi="宋体" w:eastAsia="宋体" w:cs="宋体"/>
          <w:spacing w:val="15"/>
          <w:sz w:val="19"/>
          <w:szCs w:val="19"/>
        </w:rPr>
        <w:t>年代</w:t>
      </w:r>
      <w:r>
        <w:rPr>
          <w:rFonts w:ascii="微软雅黑" w:hAnsi="微软雅黑" w:eastAsia="微软雅黑" w:cs="微软雅黑"/>
          <w:spacing w:val="15"/>
          <w:position w:val="1"/>
          <w:sz w:val="19"/>
          <w:szCs w:val="19"/>
        </w:rPr>
        <w:t>，</w:t>
      </w:r>
      <w:r>
        <w:rPr>
          <w:rFonts w:ascii="宋体" w:hAnsi="宋体" w:eastAsia="宋体" w:cs="宋体"/>
          <w:spacing w:val="15"/>
          <w:sz w:val="19"/>
          <w:szCs w:val="19"/>
        </w:rPr>
        <w:t>当</w:t>
      </w:r>
      <w:r>
        <w:rPr>
          <w:rFonts w:ascii="宋体" w:hAnsi="宋体" w:eastAsia="宋体" w:cs="宋体"/>
          <w:spacing w:val="-56"/>
          <w:sz w:val="19"/>
          <w:szCs w:val="19"/>
        </w:rPr>
        <w:t xml:space="preserve"> </w:t>
      </w:r>
      <w:r>
        <w:rPr>
          <w:rFonts w:ascii="宋体" w:hAnsi="宋体" w:eastAsia="宋体" w:cs="宋体"/>
          <w:spacing w:val="15"/>
          <w:sz w:val="19"/>
          <w:szCs w:val="19"/>
        </w:rPr>
        <w:t>时挪威</w:t>
      </w:r>
      <w:r>
        <w:rPr>
          <w:rFonts w:ascii="宋体" w:hAnsi="宋体" w:eastAsia="宋体" w:cs="宋体"/>
          <w:sz w:val="19"/>
          <w:szCs w:val="19"/>
        </w:rPr>
        <w:t xml:space="preserve"> </w:t>
      </w:r>
      <w:r>
        <w:rPr>
          <w:rFonts w:ascii="宋体" w:hAnsi="宋体" w:eastAsia="宋体" w:cs="宋体"/>
          <w:spacing w:val="16"/>
          <w:sz w:val="19"/>
          <w:szCs w:val="19"/>
        </w:rPr>
        <w:t>尚未建立专门负责高等教</w:t>
      </w:r>
      <w:r>
        <w:rPr>
          <w:rFonts w:ascii="宋体" w:hAnsi="宋体" w:eastAsia="宋体" w:cs="宋体"/>
          <w:spacing w:val="-41"/>
          <w:sz w:val="19"/>
          <w:szCs w:val="19"/>
        </w:rPr>
        <w:t xml:space="preserve"> </w:t>
      </w:r>
      <w:r>
        <w:rPr>
          <w:rFonts w:ascii="宋体" w:hAnsi="宋体" w:eastAsia="宋体" w:cs="宋体"/>
          <w:spacing w:val="16"/>
          <w:sz w:val="19"/>
          <w:szCs w:val="19"/>
        </w:rPr>
        <w:t>育的认证评估机构</w:t>
      </w:r>
      <w:r>
        <w:rPr>
          <w:rFonts w:ascii="微软雅黑" w:hAnsi="微软雅黑" w:eastAsia="微软雅黑" w:cs="微软雅黑"/>
          <w:spacing w:val="16"/>
          <w:sz w:val="19"/>
          <w:szCs w:val="19"/>
        </w:rPr>
        <w:t>，</w:t>
      </w:r>
      <w:r>
        <w:rPr>
          <w:rFonts w:ascii="宋体" w:hAnsi="宋体" w:eastAsia="宋体" w:cs="宋体"/>
          <w:spacing w:val="16"/>
          <w:sz w:val="19"/>
          <w:szCs w:val="19"/>
        </w:rPr>
        <w:t>其质</w:t>
      </w:r>
      <w:r>
        <w:rPr>
          <w:rFonts w:ascii="宋体" w:hAnsi="宋体" w:eastAsia="宋体" w:cs="宋体"/>
          <w:sz w:val="19"/>
          <w:szCs w:val="19"/>
        </w:rPr>
        <w:t xml:space="preserve"> </w:t>
      </w:r>
      <w:r>
        <w:rPr>
          <w:rFonts w:ascii="宋体" w:hAnsi="宋体" w:eastAsia="宋体" w:cs="宋体"/>
          <w:spacing w:val="16"/>
          <w:sz w:val="19"/>
          <w:szCs w:val="19"/>
        </w:rPr>
        <w:t>量保障管理工作尚处于摸索</w:t>
      </w:r>
      <w:r>
        <w:rPr>
          <w:rFonts w:ascii="宋体" w:hAnsi="宋体" w:eastAsia="宋体" w:cs="宋体"/>
          <w:spacing w:val="-42"/>
          <w:sz w:val="19"/>
          <w:szCs w:val="19"/>
        </w:rPr>
        <w:t xml:space="preserve"> </w:t>
      </w:r>
      <w:r>
        <w:rPr>
          <w:rFonts w:ascii="宋体" w:hAnsi="宋体" w:eastAsia="宋体" w:cs="宋体"/>
          <w:spacing w:val="16"/>
          <w:sz w:val="19"/>
          <w:szCs w:val="19"/>
        </w:rPr>
        <w:t>阶段</w:t>
      </w:r>
      <w:r>
        <w:rPr>
          <w:rFonts w:ascii="微软雅黑" w:hAnsi="微软雅黑" w:eastAsia="微软雅黑" w:cs="微软雅黑"/>
          <w:spacing w:val="16"/>
          <w:sz w:val="19"/>
          <w:szCs w:val="19"/>
        </w:rPr>
        <w:t>，</w:t>
      </w:r>
      <w:r>
        <w:rPr>
          <w:rFonts w:ascii="宋体" w:hAnsi="宋体" w:eastAsia="宋体" w:cs="宋体"/>
          <w:spacing w:val="16"/>
          <w:sz w:val="19"/>
          <w:szCs w:val="19"/>
        </w:rPr>
        <w:t>虽然由教育研究</w:t>
      </w:r>
      <w:r>
        <w:rPr>
          <w:rFonts w:ascii="宋体" w:hAnsi="宋体" w:eastAsia="宋体" w:cs="宋体"/>
          <w:sz w:val="19"/>
          <w:szCs w:val="19"/>
        </w:rPr>
        <w:t xml:space="preserve"> </w:t>
      </w:r>
      <w:r>
        <w:rPr>
          <w:rFonts w:ascii="宋体" w:hAnsi="宋体" w:eastAsia="宋体" w:cs="宋体"/>
          <w:spacing w:val="16"/>
          <w:sz w:val="19"/>
          <w:szCs w:val="19"/>
        </w:rPr>
        <w:t>部对高校进行质量保</w:t>
      </w:r>
      <w:r>
        <w:rPr>
          <w:rFonts w:ascii="宋体" w:hAnsi="宋体" w:eastAsia="宋体" w:cs="宋体"/>
          <w:spacing w:val="-42"/>
          <w:sz w:val="19"/>
          <w:szCs w:val="19"/>
        </w:rPr>
        <w:t xml:space="preserve"> </w:t>
      </w:r>
      <w:r>
        <w:rPr>
          <w:rFonts w:ascii="宋体" w:hAnsi="宋体" w:eastAsia="宋体" w:cs="宋体"/>
          <w:spacing w:val="16"/>
          <w:sz w:val="19"/>
          <w:szCs w:val="19"/>
        </w:rPr>
        <w:t>障及管理</w:t>
      </w:r>
      <w:r>
        <w:rPr>
          <w:rFonts w:ascii="微软雅黑" w:hAnsi="微软雅黑" w:eastAsia="微软雅黑" w:cs="微软雅黑"/>
          <w:spacing w:val="16"/>
          <w:sz w:val="19"/>
          <w:szCs w:val="19"/>
        </w:rPr>
        <w:t>，</w:t>
      </w:r>
      <w:r>
        <w:rPr>
          <w:rFonts w:ascii="宋体" w:hAnsi="宋体" w:eastAsia="宋体" w:cs="宋体"/>
          <w:spacing w:val="16"/>
          <w:sz w:val="19"/>
          <w:szCs w:val="19"/>
        </w:rPr>
        <w:t>但并未形成系统完</w:t>
      </w:r>
      <w:r>
        <w:rPr>
          <w:rFonts w:ascii="宋体" w:hAnsi="宋体" w:eastAsia="宋体" w:cs="宋体"/>
          <w:sz w:val="19"/>
          <w:szCs w:val="19"/>
        </w:rPr>
        <w:t xml:space="preserve"> </w:t>
      </w:r>
      <w:r>
        <w:rPr>
          <w:rFonts w:ascii="宋体" w:hAnsi="宋体" w:eastAsia="宋体" w:cs="宋体"/>
          <w:spacing w:val="18"/>
          <w:sz w:val="19"/>
          <w:szCs w:val="19"/>
        </w:rPr>
        <w:t>整的质量保障体制</w:t>
      </w:r>
      <w:r>
        <w:rPr>
          <w:rFonts w:ascii="微软雅黑" w:hAnsi="微软雅黑" w:eastAsia="微软雅黑" w:cs="微软雅黑"/>
          <w:spacing w:val="18"/>
          <w:sz w:val="19"/>
          <w:szCs w:val="19"/>
        </w:rPr>
        <w:t>，</w:t>
      </w:r>
      <w:r>
        <w:rPr>
          <w:rFonts w:ascii="宋体" w:hAnsi="宋体" w:eastAsia="宋体" w:cs="宋体"/>
          <w:spacing w:val="18"/>
          <w:sz w:val="19"/>
          <w:szCs w:val="19"/>
        </w:rPr>
        <w:t>也没有相对独立的专业职能机</w:t>
      </w:r>
      <w:r>
        <w:rPr>
          <w:rFonts w:ascii="宋体" w:hAnsi="宋体" w:eastAsia="宋体" w:cs="宋体"/>
          <w:spacing w:val="8"/>
          <w:sz w:val="19"/>
          <w:szCs w:val="19"/>
        </w:rPr>
        <w:t xml:space="preserve"> </w:t>
      </w:r>
      <w:r>
        <w:rPr>
          <w:rFonts w:ascii="宋体" w:hAnsi="宋体" w:eastAsia="宋体" w:cs="宋体"/>
          <w:spacing w:val="-20"/>
          <w:w w:val="92"/>
          <w:position w:val="-3"/>
          <w:sz w:val="19"/>
          <w:szCs w:val="19"/>
        </w:rPr>
        <w:t>构</w:t>
      </w:r>
      <w:r>
        <w:rPr>
          <w:rFonts w:ascii="微软雅黑" w:hAnsi="微软雅黑" w:eastAsia="微软雅黑" w:cs="微软雅黑"/>
          <w:spacing w:val="-20"/>
          <w:w w:val="92"/>
          <w:position w:val="-2"/>
          <w:sz w:val="19"/>
          <w:szCs w:val="19"/>
        </w:rPr>
        <w:t>。</w:t>
      </w:r>
      <w:r>
        <w:rPr>
          <w:rFonts w:ascii="微软雅黑" w:hAnsi="微软雅黑" w:eastAsia="微软雅黑" w:cs="微软雅黑"/>
          <w:spacing w:val="6"/>
          <w:w w:val="112"/>
          <w:position w:val="4"/>
          <w:sz w:val="10"/>
          <w:szCs w:val="10"/>
        </w:rPr>
        <w:t>[</w:t>
      </w:r>
      <w:r>
        <w:rPr>
          <w:rFonts w:ascii="Arial" w:hAnsi="Arial" w:eastAsia="Arial" w:cs="Arial"/>
          <w:spacing w:val="6"/>
          <w:w w:val="112"/>
          <w:position w:val="4"/>
          <w:sz w:val="10"/>
          <w:szCs w:val="10"/>
        </w:rPr>
        <w:t>6</w:t>
      </w:r>
      <w:r>
        <w:rPr>
          <w:rFonts w:ascii="微软雅黑" w:hAnsi="微软雅黑" w:eastAsia="微软雅黑" w:cs="微软雅黑"/>
          <w:spacing w:val="6"/>
          <w:w w:val="112"/>
          <w:position w:val="4"/>
          <w:sz w:val="10"/>
          <w:szCs w:val="10"/>
        </w:rPr>
        <w:t>]</w:t>
      </w:r>
    </w:p>
    <w:p>
      <w:pPr>
        <w:spacing w:before="79" w:line="226" w:lineRule="auto"/>
        <w:ind w:firstLine="512"/>
        <w:rPr>
          <w:rFonts w:ascii="微软雅黑" w:hAnsi="微软雅黑" w:eastAsia="微软雅黑" w:cs="微软雅黑"/>
          <w:sz w:val="19"/>
          <w:szCs w:val="19"/>
        </w:rPr>
      </w:pPr>
      <w:r>
        <w:rPr>
          <w:rFonts w:ascii="Arial" w:hAnsi="Arial" w:eastAsia="Arial" w:cs="Arial"/>
          <w:spacing w:val="18"/>
          <w:sz w:val="19"/>
          <w:szCs w:val="19"/>
        </w:rPr>
        <w:t>20</w:t>
      </w:r>
      <w:r>
        <w:rPr>
          <w:rFonts w:ascii="宋体" w:hAnsi="宋体" w:eastAsia="宋体" w:cs="宋体"/>
          <w:spacing w:val="18"/>
          <w:sz w:val="19"/>
          <w:szCs w:val="19"/>
        </w:rPr>
        <w:t>世纪</w:t>
      </w:r>
      <w:r>
        <w:rPr>
          <w:rFonts w:ascii="宋体" w:hAnsi="宋体" w:eastAsia="宋体" w:cs="宋体"/>
          <w:spacing w:val="-18"/>
          <w:sz w:val="19"/>
          <w:szCs w:val="19"/>
        </w:rPr>
        <w:t xml:space="preserve"> </w:t>
      </w:r>
      <w:r>
        <w:rPr>
          <w:rFonts w:ascii="Arial" w:hAnsi="Arial" w:eastAsia="Arial" w:cs="Arial"/>
          <w:spacing w:val="18"/>
          <w:sz w:val="19"/>
          <w:szCs w:val="19"/>
        </w:rPr>
        <w:t>90</w:t>
      </w:r>
      <w:r>
        <w:rPr>
          <w:rFonts w:ascii="宋体" w:hAnsi="宋体" w:eastAsia="宋体" w:cs="宋体"/>
          <w:spacing w:val="18"/>
          <w:sz w:val="19"/>
          <w:szCs w:val="19"/>
        </w:rPr>
        <w:t>年代</w:t>
      </w:r>
      <w:r>
        <w:rPr>
          <w:rFonts w:ascii="微软雅黑" w:hAnsi="微软雅黑" w:eastAsia="微软雅黑" w:cs="微软雅黑"/>
          <w:spacing w:val="18"/>
          <w:position w:val="1"/>
          <w:sz w:val="19"/>
          <w:szCs w:val="19"/>
        </w:rPr>
        <w:t>，</w:t>
      </w:r>
      <w:r>
        <w:rPr>
          <w:rFonts w:ascii="宋体" w:hAnsi="宋体" w:eastAsia="宋体" w:cs="宋体"/>
          <w:spacing w:val="18"/>
          <w:sz w:val="19"/>
          <w:szCs w:val="19"/>
        </w:rPr>
        <w:t>受高等教</w:t>
      </w:r>
      <w:r>
        <w:rPr>
          <w:rFonts w:ascii="宋体" w:hAnsi="宋体" w:eastAsia="宋体" w:cs="宋体"/>
          <w:spacing w:val="-53"/>
          <w:sz w:val="19"/>
          <w:szCs w:val="19"/>
        </w:rPr>
        <w:t xml:space="preserve"> </w:t>
      </w:r>
      <w:r>
        <w:rPr>
          <w:rFonts w:ascii="宋体" w:hAnsi="宋体" w:eastAsia="宋体" w:cs="宋体"/>
          <w:spacing w:val="18"/>
          <w:sz w:val="19"/>
          <w:szCs w:val="19"/>
        </w:rPr>
        <w:t xml:space="preserve">育发展的内外部环 </w:t>
      </w:r>
      <w:r>
        <w:rPr>
          <w:rFonts w:ascii="宋体" w:hAnsi="宋体" w:eastAsia="宋体" w:cs="宋体"/>
          <w:spacing w:val="21"/>
          <w:sz w:val="19"/>
          <w:szCs w:val="19"/>
        </w:rPr>
        <w:t>境影响</w:t>
      </w:r>
      <w:r>
        <w:rPr>
          <w:rFonts w:ascii="微软雅黑" w:hAnsi="微软雅黑" w:eastAsia="微软雅黑" w:cs="微软雅黑"/>
          <w:spacing w:val="21"/>
          <w:sz w:val="19"/>
          <w:szCs w:val="19"/>
        </w:rPr>
        <w:t>，</w:t>
      </w:r>
      <w:r>
        <w:rPr>
          <w:rFonts w:ascii="宋体" w:hAnsi="宋体" w:eastAsia="宋体" w:cs="宋体"/>
          <w:spacing w:val="21"/>
          <w:sz w:val="19"/>
          <w:szCs w:val="19"/>
        </w:rPr>
        <w:t xml:space="preserve">挪威政府开始注重高等教育质量的保障和 </w:t>
      </w:r>
      <w:r>
        <w:rPr>
          <w:rFonts w:ascii="宋体" w:hAnsi="宋体" w:eastAsia="宋体" w:cs="宋体"/>
          <w:spacing w:val="20"/>
          <w:sz w:val="19"/>
          <w:szCs w:val="19"/>
        </w:rPr>
        <w:t>管理</w:t>
      </w:r>
      <w:r>
        <w:rPr>
          <w:rFonts w:ascii="微软雅黑" w:hAnsi="微软雅黑" w:eastAsia="微软雅黑" w:cs="微软雅黑"/>
          <w:spacing w:val="20"/>
          <w:sz w:val="19"/>
          <w:szCs w:val="19"/>
        </w:rPr>
        <w:t>，</w:t>
      </w:r>
      <w:r>
        <w:rPr>
          <w:rFonts w:ascii="宋体" w:hAnsi="宋体" w:eastAsia="宋体" w:cs="宋体"/>
          <w:spacing w:val="20"/>
          <w:sz w:val="19"/>
          <w:szCs w:val="19"/>
        </w:rPr>
        <w:t>组织了多次高等教</w:t>
      </w:r>
      <w:r>
        <w:rPr>
          <w:rFonts w:ascii="宋体" w:hAnsi="宋体" w:eastAsia="宋体" w:cs="宋体"/>
          <w:spacing w:val="-54"/>
          <w:sz w:val="19"/>
          <w:szCs w:val="19"/>
        </w:rPr>
        <w:t xml:space="preserve"> </w:t>
      </w:r>
      <w:r>
        <w:rPr>
          <w:rFonts w:ascii="宋体" w:hAnsi="宋体" w:eastAsia="宋体" w:cs="宋体"/>
          <w:spacing w:val="20"/>
          <w:sz w:val="19"/>
          <w:szCs w:val="19"/>
        </w:rPr>
        <w:t xml:space="preserve">育不同学科发展情况的评 </w:t>
      </w:r>
      <w:r>
        <w:rPr>
          <w:rFonts w:ascii="宋体" w:hAnsi="宋体" w:eastAsia="宋体" w:cs="宋体"/>
          <w:spacing w:val="8"/>
          <w:sz w:val="19"/>
          <w:szCs w:val="19"/>
        </w:rPr>
        <w:t>估</w:t>
      </w:r>
      <w:r>
        <w:rPr>
          <w:rFonts w:ascii="宋体" w:hAnsi="宋体" w:eastAsia="宋体" w:cs="宋体"/>
          <w:spacing w:val="-53"/>
          <w:sz w:val="19"/>
          <w:szCs w:val="19"/>
        </w:rPr>
        <w:t xml:space="preserve"> </w:t>
      </w:r>
      <w:r>
        <w:rPr>
          <w:rFonts w:ascii="微软雅黑" w:hAnsi="微软雅黑" w:eastAsia="微软雅黑" w:cs="微软雅黑"/>
          <w:spacing w:val="8"/>
          <w:position w:val="1"/>
          <w:sz w:val="19"/>
          <w:szCs w:val="19"/>
        </w:rPr>
        <w:t>。</w:t>
      </w:r>
      <w:r>
        <w:rPr>
          <w:rFonts w:ascii="微软雅黑" w:hAnsi="微软雅黑" w:eastAsia="微软雅黑" w:cs="微软雅黑"/>
          <w:spacing w:val="-36"/>
          <w:position w:val="1"/>
          <w:sz w:val="19"/>
          <w:szCs w:val="19"/>
        </w:rPr>
        <w:t xml:space="preserve"> </w:t>
      </w:r>
      <w:r>
        <w:rPr>
          <w:rFonts w:ascii="Arial" w:hAnsi="Arial" w:eastAsia="Arial" w:cs="Arial"/>
          <w:spacing w:val="8"/>
          <w:sz w:val="19"/>
          <w:szCs w:val="19"/>
        </w:rPr>
        <w:t>1998</w:t>
      </w:r>
      <w:r>
        <w:rPr>
          <w:rFonts w:ascii="宋体" w:hAnsi="宋体" w:eastAsia="宋体" w:cs="宋体"/>
          <w:spacing w:val="8"/>
          <w:sz w:val="19"/>
          <w:szCs w:val="19"/>
        </w:rPr>
        <w:t>年</w:t>
      </w:r>
      <w:r>
        <w:rPr>
          <w:rFonts w:ascii="微软雅黑" w:hAnsi="微软雅黑" w:eastAsia="微软雅黑" w:cs="微软雅黑"/>
          <w:spacing w:val="8"/>
          <w:sz w:val="19"/>
          <w:szCs w:val="19"/>
        </w:rPr>
        <w:t>，“</w:t>
      </w:r>
      <w:r>
        <w:rPr>
          <w:rFonts w:ascii="宋体" w:hAnsi="宋体" w:eastAsia="宋体" w:cs="宋体"/>
          <w:spacing w:val="8"/>
          <w:sz w:val="19"/>
          <w:szCs w:val="19"/>
        </w:rPr>
        <w:t>网络挪威理事会</w:t>
      </w:r>
      <w:r>
        <w:rPr>
          <w:rFonts w:ascii="微软雅黑" w:hAnsi="微软雅黑" w:eastAsia="微软雅黑" w:cs="微软雅黑"/>
          <w:spacing w:val="8"/>
          <w:position w:val="1"/>
          <w:sz w:val="19"/>
          <w:szCs w:val="19"/>
        </w:rPr>
        <w:t>”</w:t>
      </w:r>
      <w:r>
        <w:rPr>
          <w:rFonts w:ascii="宋体" w:hAnsi="宋体" w:eastAsia="宋体" w:cs="宋体"/>
          <w:spacing w:val="8"/>
          <w:sz w:val="19"/>
          <w:szCs w:val="19"/>
        </w:rPr>
        <w:t>成立</w:t>
      </w:r>
      <w:r>
        <w:rPr>
          <w:rFonts w:ascii="微软雅黑" w:hAnsi="微软雅黑" w:eastAsia="微软雅黑" w:cs="微软雅黑"/>
          <w:spacing w:val="8"/>
          <w:position w:val="1"/>
          <w:sz w:val="19"/>
          <w:szCs w:val="19"/>
        </w:rPr>
        <w:t>，</w:t>
      </w:r>
      <w:r>
        <w:rPr>
          <w:rFonts w:ascii="宋体" w:hAnsi="宋体" w:eastAsia="宋体" w:cs="宋体"/>
          <w:spacing w:val="8"/>
          <w:sz w:val="19"/>
          <w:szCs w:val="19"/>
        </w:rPr>
        <w:t>该机构对</w:t>
      </w:r>
      <w:r>
        <w:rPr>
          <w:rFonts w:ascii="宋体" w:hAnsi="宋体" w:eastAsia="宋体" w:cs="宋体"/>
          <w:spacing w:val="7"/>
          <w:sz w:val="19"/>
          <w:szCs w:val="19"/>
        </w:rPr>
        <w:t xml:space="preserve">挪 </w:t>
      </w:r>
      <w:r>
        <w:rPr>
          <w:rFonts w:ascii="宋体" w:hAnsi="宋体" w:eastAsia="宋体" w:cs="宋体"/>
          <w:spacing w:val="21"/>
          <w:sz w:val="19"/>
          <w:szCs w:val="19"/>
        </w:rPr>
        <w:t>威教育与研究部负责</w:t>
      </w:r>
      <w:r>
        <w:rPr>
          <w:rFonts w:ascii="微软雅黑" w:hAnsi="微软雅黑" w:eastAsia="微软雅黑" w:cs="微软雅黑"/>
          <w:spacing w:val="21"/>
          <w:sz w:val="19"/>
          <w:szCs w:val="19"/>
        </w:rPr>
        <w:t>，</w:t>
      </w:r>
      <w:r>
        <w:rPr>
          <w:rFonts w:ascii="宋体" w:hAnsi="宋体" w:eastAsia="宋体" w:cs="宋体"/>
          <w:spacing w:val="21"/>
          <w:sz w:val="19"/>
          <w:szCs w:val="19"/>
        </w:rPr>
        <w:t xml:space="preserve">并建立了高校质量保障智力 </w:t>
      </w:r>
      <w:r>
        <w:rPr>
          <w:rFonts w:ascii="宋体" w:hAnsi="宋体" w:eastAsia="宋体" w:cs="宋体"/>
          <w:spacing w:val="16"/>
          <w:sz w:val="19"/>
          <w:szCs w:val="19"/>
        </w:rPr>
        <w:t>库</w:t>
      </w:r>
      <w:r>
        <w:rPr>
          <w:rFonts w:ascii="微软雅黑" w:hAnsi="微软雅黑" w:eastAsia="微软雅黑" w:cs="微软雅黑"/>
          <w:spacing w:val="16"/>
          <w:sz w:val="19"/>
          <w:szCs w:val="19"/>
        </w:rPr>
        <w:t>，</w:t>
      </w:r>
      <w:r>
        <w:rPr>
          <w:rFonts w:ascii="宋体" w:hAnsi="宋体" w:eastAsia="宋体" w:cs="宋体"/>
          <w:spacing w:val="16"/>
          <w:sz w:val="19"/>
          <w:szCs w:val="19"/>
        </w:rPr>
        <w:t>主要向其提供挪威高校发展过程中的问题咨询</w:t>
      </w:r>
      <w:r>
        <w:rPr>
          <w:rFonts w:ascii="微软雅黑" w:hAnsi="微软雅黑" w:eastAsia="微软雅黑" w:cs="微软雅黑"/>
          <w:spacing w:val="16"/>
          <w:sz w:val="19"/>
          <w:szCs w:val="19"/>
        </w:rPr>
        <w:t>。</w:t>
      </w:r>
      <w:r>
        <w:rPr>
          <w:rFonts w:ascii="微软雅黑" w:hAnsi="微软雅黑" w:eastAsia="微软雅黑" w:cs="微软雅黑"/>
          <w:spacing w:val="18"/>
          <w:sz w:val="19"/>
          <w:szCs w:val="19"/>
        </w:rPr>
        <w:t xml:space="preserve"> </w:t>
      </w:r>
      <w:r>
        <w:rPr>
          <w:rFonts w:ascii="宋体" w:hAnsi="宋体" w:eastAsia="宋体" w:cs="宋体"/>
          <w:spacing w:val="21"/>
          <w:sz w:val="19"/>
          <w:szCs w:val="19"/>
        </w:rPr>
        <w:t>此外</w:t>
      </w:r>
      <w:r>
        <w:rPr>
          <w:rFonts w:ascii="微软雅黑" w:hAnsi="微软雅黑" w:eastAsia="微软雅黑" w:cs="微软雅黑"/>
          <w:spacing w:val="21"/>
          <w:sz w:val="19"/>
          <w:szCs w:val="19"/>
        </w:rPr>
        <w:t>，</w:t>
      </w:r>
      <w:r>
        <w:rPr>
          <w:rFonts w:ascii="宋体" w:hAnsi="宋体" w:eastAsia="宋体" w:cs="宋体"/>
          <w:spacing w:val="21"/>
          <w:sz w:val="19"/>
          <w:szCs w:val="19"/>
        </w:rPr>
        <w:t xml:space="preserve">该机构还负责一些高等教育学科发展的评估 </w:t>
      </w:r>
      <w:r>
        <w:rPr>
          <w:rFonts w:ascii="宋体" w:hAnsi="宋体" w:eastAsia="宋体" w:cs="宋体"/>
          <w:sz w:val="19"/>
          <w:szCs w:val="19"/>
        </w:rPr>
        <w:t>与认证</w:t>
      </w:r>
      <w:r>
        <w:rPr>
          <w:rFonts w:ascii="宋体" w:hAnsi="宋体" w:eastAsia="宋体" w:cs="宋体"/>
          <w:spacing w:val="-49"/>
          <w:sz w:val="19"/>
          <w:szCs w:val="19"/>
        </w:rPr>
        <w:t xml:space="preserve"> </w:t>
      </w:r>
      <w:r>
        <w:rPr>
          <w:rFonts w:ascii="宋体" w:hAnsi="宋体" w:eastAsia="宋体" w:cs="宋体"/>
          <w:sz w:val="19"/>
          <w:szCs w:val="19"/>
        </w:rPr>
        <w:t>和</w:t>
      </w:r>
      <w:r>
        <w:rPr>
          <w:rFonts w:ascii="宋体" w:hAnsi="宋体" w:eastAsia="宋体" w:cs="宋体"/>
          <w:spacing w:val="-56"/>
          <w:sz w:val="19"/>
          <w:szCs w:val="19"/>
        </w:rPr>
        <w:t xml:space="preserve"> </w:t>
      </w:r>
      <w:r>
        <w:rPr>
          <w:rFonts w:ascii="宋体" w:hAnsi="宋体" w:eastAsia="宋体" w:cs="宋体"/>
          <w:sz w:val="19"/>
          <w:szCs w:val="19"/>
        </w:rPr>
        <w:t>挪</w:t>
      </w:r>
      <w:r>
        <w:rPr>
          <w:rFonts w:ascii="宋体" w:hAnsi="宋体" w:eastAsia="宋体" w:cs="宋体"/>
          <w:spacing w:val="-55"/>
          <w:sz w:val="19"/>
          <w:szCs w:val="19"/>
        </w:rPr>
        <w:t xml:space="preserve"> </w:t>
      </w:r>
      <w:r>
        <w:rPr>
          <w:rFonts w:ascii="宋体" w:hAnsi="宋体" w:eastAsia="宋体" w:cs="宋体"/>
          <w:sz w:val="19"/>
          <w:szCs w:val="19"/>
        </w:rPr>
        <w:t>威</w:t>
      </w:r>
      <w:r>
        <w:rPr>
          <w:rFonts w:ascii="宋体" w:hAnsi="宋体" w:eastAsia="宋体" w:cs="宋体"/>
          <w:spacing w:val="-54"/>
          <w:sz w:val="19"/>
          <w:szCs w:val="19"/>
        </w:rPr>
        <w:t xml:space="preserve"> </w:t>
      </w:r>
      <w:r>
        <w:rPr>
          <w:rFonts w:ascii="宋体" w:hAnsi="宋体" w:eastAsia="宋体" w:cs="宋体"/>
          <w:sz w:val="19"/>
          <w:szCs w:val="19"/>
        </w:rPr>
        <w:t>重</w:t>
      </w:r>
      <w:r>
        <w:rPr>
          <w:rFonts w:ascii="宋体" w:hAnsi="宋体" w:eastAsia="宋体" w:cs="宋体"/>
          <w:spacing w:val="-44"/>
          <w:sz w:val="19"/>
          <w:szCs w:val="19"/>
        </w:rPr>
        <w:t xml:space="preserve"> </w:t>
      </w:r>
      <w:r>
        <w:rPr>
          <w:rFonts w:ascii="宋体" w:hAnsi="宋体" w:eastAsia="宋体" w:cs="宋体"/>
          <w:sz w:val="19"/>
          <w:szCs w:val="19"/>
        </w:rPr>
        <w:t>点</w:t>
      </w:r>
      <w:r>
        <w:rPr>
          <w:rFonts w:ascii="宋体" w:hAnsi="宋体" w:eastAsia="宋体" w:cs="宋体"/>
          <w:spacing w:val="-50"/>
          <w:sz w:val="19"/>
          <w:szCs w:val="19"/>
        </w:rPr>
        <w:t xml:space="preserve"> </w:t>
      </w:r>
      <w:r>
        <w:rPr>
          <w:rFonts w:ascii="宋体" w:hAnsi="宋体" w:eastAsia="宋体" w:cs="宋体"/>
          <w:sz w:val="19"/>
          <w:szCs w:val="19"/>
        </w:rPr>
        <w:t>高</w:t>
      </w:r>
      <w:r>
        <w:rPr>
          <w:rFonts w:ascii="宋体" w:hAnsi="宋体" w:eastAsia="宋体" w:cs="宋体"/>
          <w:spacing w:val="-53"/>
          <w:sz w:val="19"/>
          <w:szCs w:val="19"/>
        </w:rPr>
        <w:t xml:space="preserve"> </w:t>
      </w:r>
      <w:r>
        <w:rPr>
          <w:rFonts w:ascii="宋体" w:hAnsi="宋体" w:eastAsia="宋体" w:cs="宋体"/>
          <w:sz w:val="19"/>
          <w:szCs w:val="19"/>
        </w:rPr>
        <w:t>校</w:t>
      </w:r>
      <w:r>
        <w:rPr>
          <w:rFonts w:ascii="宋体" w:hAnsi="宋体" w:eastAsia="宋体" w:cs="宋体"/>
          <w:spacing w:val="-50"/>
          <w:sz w:val="19"/>
          <w:szCs w:val="19"/>
        </w:rPr>
        <w:t xml:space="preserve"> </w:t>
      </w:r>
      <w:r>
        <w:rPr>
          <w:rFonts w:ascii="宋体" w:hAnsi="宋体" w:eastAsia="宋体" w:cs="宋体"/>
          <w:sz w:val="19"/>
          <w:szCs w:val="19"/>
        </w:rPr>
        <w:t>发</w:t>
      </w:r>
      <w:r>
        <w:rPr>
          <w:rFonts w:ascii="宋体" w:hAnsi="宋体" w:eastAsia="宋体" w:cs="宋体"/>
          <w:spacing w:val="-51"/>
          <w:sz w:val="19"/>
          <w:szCs w:val="19"/>
        </w:rPr>
        <w:t xml:space="preserve"> </w:t>
      </w:r>
      <w:r>
        <w:rPr>
          <w:rFonts w:ascii="宋体" w:hAnsi="宋体" w:eastAsia="宋体" w:cs="宋体"/>
          <w:sz w:val="19"/>
          <w:szCs w:val="19"/>
        </w:rPr>
        <w:t>展</w:t>
      </w:r>
      <w:r>
        <w:rPr>
          <w:rFonts w:ascii="宋体" w:hAnsi="宋体" w:eastAsia="宋体" w:cs="宋体"/>
          <w:spacing w:val="-51"/>
          <w:sz w:val="19"/>
          <w:szCs w:val="19"/>
        </w:rPr>
        <w:t xml:space="preserve"> </w:t>
      </w:r>
      <w:r>
        <w:rPr>
          <w:rFonts w:ascii="宋体" w:hAnsi="宋体" w:eastAsia="宋体" w:cs="宋体"/>
          <w:sz w:val="19"/>
          <w:szCs w:val="19"/>
        </w:rPr>
        <w:t>情</w:t>
      </w:r>
      <w:r>
        <w:rPr>
          <w:rFonts w:ascii="宋体" w:hAnsi="宋体" w:eastAsia="宋体" w:cs="宋体"/>
          <w:spacing w:val="-52"/>
          <w:sz w:val="19"/>
          <w:szCs w:val="19"/>
        </w:rPr>
        <w:t xml:space="preserve"> </w:t>
      </w:r>
      <w:r>
        <w:rPr>
          <w:rFonts w:ascii="宋体" w:hAnsi="宋体" w:eastAsia="宋体" w:cs="宋体"/>
          <w:sz w:val="19"/>
          <w:szCs w:val="19"/>
        </w:rPr>
        <w:t>况</w:t>
      </w:r>
      <w:r>
        <w:rPr>
          <w:rFonts w:ascii="宋体" w:hAnsi="宋体" w:eastAsia="宋体" w:cs="宋体"/>
          <w:spacing w:val="-36"/>
          <w:sz w:val="19"/>
          <w:szCs w:val="19"/>
        </w:rPr>
        <w:t xml:space="preserve"> </w:t>
      </w:r>
      <w:r>
        <w:rPr>
          <w:rFonts w:ascii="宋体" w:hAnsi="宋体" w:eastAsia="宋体" w:cs="宋体"/>
          <w:sz w:val="19"/>
          <w:szCs w:val="19"/>
        </w:rPr>
        <w:t>的</w:t>
      </w:r>
      <w:r>
        <w:rPr>
          <w:rFonts w:ascii="宋体" w:hAnsi="宋体" w:eastAsia="宋体" w:cs="宋体"/>
          <w:spacing w:val="-43"/>
          <w:sz w:val="19"/>
          <w:szCs w:val="19"/>
        </w:rPr>
        <w:t xml:space="preserve"> </w:t>
      </w:r>
      <w:r>
        <w:rPr>
          <w:rFonts w:ascii="宋体" w:hAnsi="宋体" w:eastAsia="宋体" w:cs="宋体"/>
          <w:sz w:val="19"/>
          <w:szCs w:val="19"/>
        </w:rPr>
        <w:t>审</w:t>
      </w:r>
      <w:r>
        <w:rPr>
          <w:rFonts w:ascii="宋体" w:hAnsi="宋体" w:eastAsia="宋体" w:cs="宋体"/>
          <w:spacing w:val="-52"/>
          <w:sz w:val="19"/>
          <w:szCs w:val="19"/>
        </w:rPr>
        <w:t xml:space="preserve"> </w:t>
      </w:r>
      <w:r>
        <w:rPr>
          <w:rFonts w:ascii="宋体" w:hAnsi="宋体" w:eastAsia="宋体" w:cs="宋体"/>
          <w:sz w:val="19"/>
          <w:szCs w:val="19"/>
        </w:rPr>
        <w:t>计</w:t>
      </w:r>
      <w:r>
        <w:rPr>
          <w:rFonts w:ascii="宋体" w:hAnsi="宋体" w:eastAsia="宋体" w:cs="宋体"/>
          <w:spacing w:val="-50"/>
          <w:sz w:val="19"/>
          <w:szCs w:val="19"/>
        </w:rPr>
        <w:t xml:space="preserve"> </w:t>
      </w:r>
      <w:r>
        <w:rPr>
          <w:rFonts w:ascii="宋体" w:hAnsi="宋体" w:eastAsia="宋体" w:cs="宋体"/>
          <w:sz w:val="19"/>
          <w:szCs w:val="19"/>
        </w:rPr>
        <w:t>工</w:t>
      </w:r>
      <w:r>
        <w:rPr>
          <w:rFonts w:ascii="宋体" w:hAnsi="宋体" w:eastAsia="宋体" w:cs="宋体"/>
          <w:spacing w:val="-52"/>
          <w:sz w:val="19"/>
          <w:szCs w:val="19"/>
        </w:rPr>
        <w:t xml:space="preserve"> </w:t>
      </w:r>
      <w:r>
        <w:rPr>
          <w:rFonts w:ascii="宋体" w:hAnsi="宋体" w:eastAsia="宋体" w:cs="宋体"/>
          <w:sz w:val="19"/>
          <w:szCs w:val="19"/>
        </w:rPr>
        <w:t>作</w:t>
      </w:r>
      <w:r>
        <w:rPr>
          <w:rFonts w:ascii="宋体" w:hAnsi="宋体" w:eastAsia="宋体" w:cs="宋体"/>
          <w:spacing w:val="-51"/>
          <w:sz w:val="19"/>
          <w:szCs w:val="19"/>
        </w:rPr>
        <w:t xml:space="preserve"> </w:t>
      </w:r>
      <w:r>
        <w:rPr>
          <w:rFonts w:ascii="宋体" w:hAnsi="宋体" w:eastAsia="宋体" w:cs="宋体"/>
          <w:sz w:val="19"/>
          <w:szCs w:val="19"/>
        </w:rPr>
        <w:t>等</w:t>
      </w:r>
      <w:r>
        <w:rPr>
          <w:rFonts w:ascii="微软雅黑" w:hAnsi="微软雅黑" w:eastAsia="微软雅黑" w:cs="微软雅黑"/>
          <w:sz w:val="19"/>
          <w:szCs w:val="19"/>
        </w:rPr>
        <w:t xml:space="preserve">。 </w:t>
      </w:r>
      <w:r>
        <w:rPr>
          <w:rFonts w:ascii="微软雅黑" w:hAnsi="微软雅黑" w:eastAsia="微软雅黑" w:cs="微软雅黑"/>
          <w:spacing w:val="11"/>
          <w:sz w:val="19"/>
          <w:szCs w:val="19"/>
        </w:rPr>
        <w:t>“</w:t>
      </w:r>
      <w:r>
        <w:rPr>
          <w:rFonts w:ascii="微软雅黑" w:hAnsi="微软雅黑" w:eastAsia="微软雅黑" w:cs="微软雅黑"/>
          <w:spacing w:val="-10"/>
          <w:sz w:val="19"/>
          <w:szCs w:val="19"/>
        </w:rPr>
        <w:t xml:space="preserve"> </w:t>
      </w:r>
      <w:r>
        <w:rPr>
          <w:rFonts w:ascii="宋体" w:hAnsi="宋体" w:eastAsia="宋体" w:cs="宋体"/>
          <w:spacing w:val="11"/>
          <w:sz w:val="19"/>
          <w:szCs w:val="19"/>
        </w:rPr>
        <w:t>网络挪威理事会</w:t>
      </w:r>
      <w:r>
        <w:rPr>
          <w:rFonts w:ascii="微软雅黑" w:hAnsi="微软雅黑" w:eastAsia="微软雅黑" w:cs="微软雅黑"/>
          <w:spacing w:val="11"/>
          <w:sz w:val="19"/>
          <w:szCs w:val="19"/>
        </w:rPr>
        <w:t>”</w:t>
      </w:r>
      <w:r>
        <w:rPr>
          <w:rFonts w:ascii="宋体" w:hAnsi="宋体" w:eastAsia="宋体" w:cs="宋体"/>
          <w:spacing w:val="11"/>
          <w:sz w:val="19"/>
          <w:szCs w:val="19"/>
        </w:rPr>
        <w:t xml:space="preserve">的成立使得挪威高等教育质量保 </w:t>
      </w:r>
      <w:r>
        <w:rPr>
          <w:rFonts w:ascii="宋体" w:hAnsi="宋体" w:eastAsia="宋体" w:cs="宋体"/>
          <w:spacing w:val="21"/>
          <w:sz w:val="19"/>
          <w:szCs w:val="19"/>
        </w:rPr>
        <w:t>障工作有了专门机构</w:t>
      </w:r>
      <w:r>
        <w:rPr>
          <w:rFonts w:ascii="微软雅黑" w:hAnsi="微软雅黑" w:eastAsia="微软雅黑" w:cs="微软雅黑"/>
          <w:spacing w:val="21"/>
          <w:sz w:val="19"/>
          <w:szCs w:val="19"/>
        </w:rPr>
        <w:t>，</w:t>
      </w:r>
      <w:r>
        <w:rPr>
          <w:rFonts w:ascii="宋体" w:hAnsi="宋体" w:eastAsia="宋体" w:cs="宋体"/>
          <w:spacing w:val="21"/>
          <w:sz w:val="19"/>
          <w:szCs w:val="19"/>
        </w:rPr>
        <w:t xml:space="preserve">标志着挪威高等教育质量保 </w:t>
      </w:r>
      <w:r>
        <w:rPr>
          <w:rFonts w:ascii="宋体" w:hAnsi="宋体" w:eastAsia="宋体" w:cs="宋体"/>
          <w:spacing w:val="29"/>
          <w:sz w:val="19"/>
          <w:szCs w:val="19"/>
        </w:rPr>
        <w:t>障体系初步建立</w:t>
      </w:r>
      <w:r>
        <w:rPr>
          <w:rFonts w:ascii="微软雅黑" w:hAnsi="微软雅黑" w:eastAsia="微软雅黑" w:cs="微软雅黑"/>
          <w:spacing w:val="29"/>
          <w:sz w:val="19"/>
          <w:szCs w:val="19"/>
        </w:rPr>
        <w:t>。</w:t>
      </w:r>
    </w:p>
    <w:p>
      <w:pPr>
        <w:spacing w:before="66" w:line="185" w:lineRule="auto"/>
        <w:ind w:left="3821" w:right="4" w:hanging="3305"/>
        <w:rPr>
          <w:rFonts w:ascii="微软雅黑" w:hAnsi="微软雅黑" w:eastAsia="微软雅黑" w:cs="微软雅黑"/>
          <w:sz w:val="19"/>
          <w:szCs w:val="19"/>
        </w:rPr>
      </w:pPr>
      <w:r>
        <w:rPr>
          <w:rFonts w:ascii="Arial" w:hAnsi="Arial" w:eastAsia="Arial" w:cs="Arial"/>
          <w:spacing w:val="5"/>
          <w:position w:val="-1"/>
          <w:sz w:val="19"/>
          <w:szCs w:val="19"/>
        </w:rPr>
        <w:t>1999</w:t>
      </w:r>
      <w:r>
        <w:rPr>
          <w:rFonts w:ascii="宋体" w:hAnsi="宋体" w:eastAsia="宋体" w:cs="宋体"/>
          <w:spacing w:val="5"/>
          <w:position w:val="-1"/>
          <w:sz w:val="19"/>
          <w:szCs w:val="19"/>
        </w:rPr>
        <w:t>年</w:t>
      </w:r>
      <w:r>
        <w:rPr>
          <w:rFonts w:ascii="微软雅黑" w:hAnsi="微软雅黑" w:eastAsia="微软雅黑" w:cs="微软雅黑"/>
          <w:spacing w:val="5"/>
          <w:position w:val="1"/>
          <w:sz w:val="19"/>
          <w:szCs w:val="19"/>
        </w:rPr>
        <w:t>，</w:t>
      </w:r>
      <w:r>
        <w:rPr>
          <w:rFonts w:ascii="宋体" w:hAnsi="宋体" w:eastAsia="宋体" w:cs="宋体"/>
          <w:spacing w:val="5"/>
          <w:sz w:val="19"/>
          <w:szCs w:val="19"/>
        </w:rPr>
        <w:t>欧洲主要</w:t>
      </w:r>
      <w:r>
        <w:rPr>
          <w:rFonts w:ascii="宋体" w:hAnsi="宋体" w:eastAsia="宋体" w:cs="宋体"/>
          <w:spacing w:val="-35"/>
          <w:sz w:val="19"/>
          <w:szCs w:val="19"/>
        </w:rPr>
        <w:t xml:space="preserve"> </w:t>
      </w:r>
      <w:r>
        <w:rPr>
          <w:rFonts w:ascii="宋体" w:hAnsi="宋体" w:eastAsia="宋体" w:cs="宋体"/>
          <w:spacing w:val="5"/>
          <w:sz w:val="19"/>
          <w:szCs w:val="19"/>
        </w:rPr>
        <w:t>国家发起</w:t>
      </w:r>
      <w:r>
        <w:rPr>
          <w:rFonts w:ascii="微软雅黑" w:hAnsi="微软雅黑" w:eastAsia="微软雅黑" w:cs="微软雅黑"/>
          <w:spacing w:val="5"/>
          <w:position w:val="1"/>
          <w:sz w:val="19"/>
          <w:szCs w:val="19"/>
        </w:rPr>
        <w:t>“</w:t>
      </w:r>
      <w:r>
        <w:rPr>
          <w:rFonts w:ascii="微软雅黑" w:hAnsi="微软雅黑" w:eastAsia="微软雅黑" w:cs="微软雅黑"/>
          <w:spacing w:val="-29"/>
          <w:position w:val="1"/>
          <w:sz w:val="19"/>
          <w:szCs w:val="19"/>
        </w:rPr>
        <w:t xml:space="preserve"> </w:t>
      </w:r>
      <w:r>
        <w:rPr>
          <w:rFonts w:ascii="宋体" w:hAnsi="宋体" w:eastAsia="宋体" w:cs="宋体"/>
          <w:spacing w:val="5"/>
          <w:sz w:val="19"/>
          <w:szCs w:val="19"/>
        </w:rPr>
        <w:t>博洛尼亚进程</w:t>
      </w:r>
      <w:r>
        <w:rPr>
          <w:rFonts w:ascii="微软雅黑" w:hAnsi="微软雅黑" w:eastAsia="微软雅黑" w:cs="微软雅黑"/>
          <w:spacing w:val="5"/>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7"/>
          <w:position w:val="1"/>
          <w:sz w:val="19"/>
          <w:szCs w:val="19"/>
        </w:rPr>
        <w:t xml:space="preserve">·   </w:t>
      </w:r>
      <w:r>
        <w:rPr>
          <w:rFonts w:ascii="Arial" w:hAnsi="Arial" w:eastAsia="Arial" w:cs="Arial"/>
          <w:spacing w:val="-7"/>
          <w:position w:val="-1"/>
          <w:sz w:val="19"/>
          <w:szCs w:val="19"/>
        </w:rPr>
        <w:t>103</w:t>
      </w:r>
      <w:r>
        <w:rPr>
          <w:rFonts w:ascii="Arial" w:hAnsi="Arial" w:eastAsia="Arial" w:cs="Arial"/>
          <w:spacing w:val="23"/>
          <w:position w:val="-1"/>
          <w:sz w:val="19"/>
          <w:szCs w:val="19"/>
        </w:rPr>
        <w:t xml:space="preserve">  </w:t>
      </w:r>
      <w:r>
        <w:rPr>
          <w:rFonts w:ascii="微软雅黑" w:hAnsi="微软雅黑" w:eastAsia="微软雅黑" w:cs="微软雅黑"/>
          <w:spacing w:val="-7"/>
          <w:position w:val="1"/>
          <w:sz w:val="19"/>
          <w:szCs w:val="19"/>
        </w:rPr>
        <w:t>·</w:t>
      </w:r>
    </w:p>
    <w:p>
      <w:pPr>
        <w:spacing w:line="185" w:lineRule="auto"/>
        <w:rPr>
          <w:rFonts w:ascii="微软雅黑" w:hAnsi="微软雅黑" w:eastAsia="微软雅黑" w:cs="微软雅黑"/>
          <w:sz w:val="19"/>
          <w:szCs w:val="19"/>
        </w:rPr>
        <w:sectPr>
          <w:type w:val="continuous"/>
          <w:pgSz w:w="11906" w:h="16840"/>
          <w:pgMar w:top="400" w:right="1204" w:bottom="547" w:left="407" w:header="0" w:footer="354" w:gutter="0"/>
          <w:cols w:equalWidth="0" w:num="2">
            <w:col w:w="5437" w:space="100"/>
            <w:col w:w="4758"/>
          </w:cols>
        </w:sectPr>
      </w:pPr>
    </w:p>
    <w:p>
      <w:pPr>
        <w:spacing w:line="454" w:lineRule="auto"/>
        <w:rPr>
          <w:rFonts w:ascii="Arial"/>
          <w:sz w:val="21"/>
        </w:rPr>
      </w:pPr>
    </w:p>
    <w:p>
      <w:pPr>
        <w:spacing w:before="52" w:line="213" w:lineRule="auto"/>
        <w:ind w:left="3796"/>
        <w:rPr>
          <w:rFonts w:ascii="宋体" w:hAnsi="宋体" w:eastAsia="宋体" w:cs="宋体"/>
          <w:sz w:val="16"/>
          <w:szCs w:val="16"/>
        </w:rPr>
      </w:pPr>
      <w:r>
        <w:rPr>
          <w:rFonts w:ascii="宋体" w:hAnsi="宋体" w:eastAsia="宋体" w:cs="宋体"/>
          <w:spacing w:val="19"/>
          <w:sz w:val="16"/>
          <w:szCs w:val="16"/>
        </w:rPr>
        <w:t>挪威推进高等教育质量文化建设的举措及其启示</w:t>
      </w:r>
    </w:p>
    <w:p>
      <w:pPr>
        <w:spacing w:line="186" w:lineRule="exact"/>
        <w:ind w:left="858"/>
      </w:pPr>
      <w:r>
        <w:rPr>
          <w:position w:val="-4"/>
        </w:rPr>
        <w:drawing>
          <wp:inline distT="0" distB="0" distL="0" distR="0">
            <wp:extent cx="6118860" cy="11811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29"/>
                    <a:stretch>
                      <a:fillRect/>
                    </a:stretch>
                  </pic:blipFill>
                  <pic:spPr>
                    <a:xfrm>
                      <a:off x="0" y="0"/>
                      <a:ext cx="6119395" cy="118181"/>
                    </a:xfrm>
                    <a:prstGeom prst="rect">
                      <a:avLst/>
                    </a:prstGeom>
                  </pic:spPr>
                </pic:pic>
              </a:graphicData>
            </a:graphic>
          </wp:inline>
        </w:drawing>
      </w:r>
    </w:p>
    <w:p>
      <w:pPr>
        <w:spacing w:line="119" w:lineRule="exact"/>
      </w:pPr>
    </w:p>
    <w:p>
      <w:pPr>
        <w:spacing w:line="119" w:lineRule="exact"/>
        <w:sectPr>
          <w:footerReference r:id="rId84" w:type="default"/>
          <w:pgSz w:w="11906" w:h="16840"/>
          <w:pgMar w:top="400" w:right="928" w:bottom="547" w:left="407" w:header="0" w:footer="354" w:gutter="0"/>
          <w:cols w:equalWidth="0" w:num="1">
            <w:col w:w="10570"/>
          </w:cols>
        </w:sectPr>
      </w:pPr>
    </w:p>
    <w:p>
      <w:pPr>
        <w:spacing w:before="44" w:line="231" w:lineRule="auto"/>
        <w:ind w:left="872" w:right="266" w:firstLine="23"/>
        <w:jc w:val="both"/>
        <w:rPr>
          <w:rFonts w:ascii="微软雅黑" w:hAnsi="微软雅黑" w:eastAsia="微软雅黑" w:cs="微软雅黑"/>
          <w:sz w:val="19"/>
          <w:szCs w:val="19"/>
        </w:rPr>
      </w:pPr>
      <w:r>
        <w:rPr>
          <w:rFonts w:ascii="宋体" w:hAnsi="宋体" w:eastAsia="宋体" w:cs="宋体"/>
          <w:spacing w:val="14"/>
          <w:sz w:val="19"/>
          <w:szCs w:val="19"/>
        </w:rPr>
        <w:t>以推动欧洲高等教育的一体化发展</w:t>
      </w:r>
      <w:r>
        <w:rPr>
          <w:rFonts w:ascii="宋体" w:hAnsi="宋体" w:eastAsia="宋体" w:cs="宋体"/>
          <w:spacing w:val="-51"/>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4"/>
          <w:sz w:val="19"/>
          <w:szCs w:val="19"/>
        </w:rPr>
        <w:t>该进程在</w:t>
      </w:r>
      <w:r>
        <w:rPr>
          <w:rFonts w:ascii="宋体" w:hAnsi="宋体" w:eastAsia="宋体" w:cs="宋体"/>
          <w:spacing w:val="13"/>
          <w:sz w:val="19"/>
          <w:szCs w:val="19"/>
        </w:rPr>
        <w:t xml:space="preserve">高校 </w:t>
      </w:r>
      <w:r>
        <w:rPr>
          <w:rFonts w:ascii="宋体" w:hAnsi="宋体" w:eastAsia="宋体" w:cs="宋体"/>
          <w:spacing w:val="17"/>
          <w:sz w:val="19"/>
          <w:szCs w:val="19"/>
        </w:rPr>
        <w:t xml:space="preserve">质量保障中强调各国应注重高等院校质量文化的建 </w:t>
      </w:r>
      <w:r>
        <w:rPr>
          <w:rFonts w:ascii="宋体" w:hAnsi="宋体" w:eastAsia="宋体" w:cs="宋体"/>
          <w:spacing w:val="12"/>
          <w:sz w:val="19"/>
          <w:szCs w:val="19"/>
        </w:rPr>
        <w:t>设</w:t>
      </w:r>
      <w:r>
        <w:rPr>
          <w:rFonts w:ascii="微软雅黑" w:hAnsi="微软雅黑" w:eastAsia="微软雅黑" w:cs="微软雅黑"/>
          <w:spacing w:val="12"/>
          <w:sz w:val="19"/>
          <w:szCs w:val="19"/>
        </w:rPr>
        <w:t>，</w:t>
      </w:r>
      <w:r>
        <w:rPr>
          <w:rFonts w:ascii="宋体" w:hAnsi="宋体" w:eastAsia="宋体" w:cs="宋体"/>
          <w:spacing w:val="12"/>
          <w:sz w:val="19"/>
          <w:szCs w:val="19"/>
        </w:rPr>
        <w:t>建立国家层面</w:t>
      </w:r>
      <w:r>
        <w:rPr>
          <w:rFonts w:ascii="宋体" w:hAnsi="宋体" w:eastAsia="宋体" w:cs="宋体"/>
          <w:spacing w:val="-49"/>
          <w:sz w:val="19"/>
          <w:szCs w:val="19"/>
        </w:rPr>
        <w:t xml:space="preserve"> </w:t>
      </w:r>
      <w:r>
        <w:rPr>
          <w:rFonts w:ascii="宋体" w:hAnsi="宋体" w:eastAsia="宋体" w:cs="宋体"/>
          <w:spacing w:val="12"/>
          <w:sz w:val="19"/>
          <w:szCs w:val="19"/>
        </w:rPr>
        <w:t>的</w:t>
      </w:r>
      <w:r>
        <w:rPr>
          <w:rFonts w:ascii="宋体" w:hAnsi="宋体" w:eastAsia="宋体" w:cs="宋体"/>
          <w:spacing w:val="-57"/>
          <w:sz w:val="19"/>
          <w:szCs w:val="19"/>
        </w:rPr>
        <w:t xml:space="preserve"> </w:t>
      </w:r>
      <w:r>
        <w:rPr>
          <w:rFonts w:ascii="宋体" w:hAnsi="宋体" w:eastAsia="宋体" w:cs="宋体"/>
          <w:spacing w:val="12"/>
          <w:sz w:val="19"/>
          <w:szCs w:val="19"/>
        </w:rPr>
        <w:t>负责质量保障</w:t>
      </w:r>
      <w:r>
        <w:rPr>
          <w:rFonts w:ascii="宋体" w:hAnsi="宋体" w:eastAsia="宋体" w:cs="宋体"/>
          <w:spacing w:val="-48"/>
          <w:sz w:val="19"/>
          <w:szCs w:val="19"/>
        </w:rPr>
        <w:t xml:space="preserve"> </w:t>
      </w:r>
      <w:r>
        <w:rPr>
          <w:rFonts w:ascii="宋体" w:hAnsi="宋体" w:eastAsia="宋体" w:cs="宋体"/>
          <w:spacing w:val="12"/>
          <w:sz w:val="19"/>
          <w:szCs w:val="19"/>
        </w:rPr>
        <w:t xml:space="preserve">的专门独立机构 </w:t>
      </w:r>
      <w:r>
        <w:rPr>
          <w:rFonts w:ascii="宋体" w:hAnsi="宋体" w:eastAsia="宋体" w:cs="宋体"/>
          <w:spacing w:val="9"/>
          <w:sz w:val="19"/>
          <w:szCs w:val="19"/>
        </w:rPr>
        <w:t>及学校评估认证系统</w:t>
      </w:r>
      <w:r>
        <w:rPr>
          <w:rFonts w:ascii="微软雅黑" w:hAnsi="微软雅黑" w:eastAsia="微软雅黑" w:cs="微软雅黑"/>
          <w:spacing w:val="9"/>
          <w:sz w:val="19"/>
          <w:szCs w:val="19"/>
        </w:rPr>
        <w:t>，</w:t>
      </w:r>
      <w:r>
        <w:rPr>
          <w:rFonts w:ascii="宋体" w:hAnsi="宋体" w:eastAsia="宋体" w:cs="宋体"/>
          <w:spacing w:val="9"/>
          <w:sz w:val="19"/>
          <w:szCs w:val="19"/>
        </w:rPr>
        <w:t>构建高校内部评价</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学生教师 </w:t>
      </w:r>
      <w:r>
        <w:rPr>
          <w:rFonts w:ascii="宋体" w:hAnsi="宋体" w:eastAsia="宋体" w:cs="宋体"/>
          <w:spacing w:val="17"/>
          <w:sz w:val="19"/>
          <w:szCs w:val="19"/>
        </w:rPr>
        <w:t>参与评价</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外部机构及同行小组评价相辅相成的全 </w:t>
      </w:r>
      <w:r>
        <w:rPr>
          <w:rFonts w:ascii="宋体" w:hAnsi="宋体" w:eastAsia="宋体" w:cs="宋体"/>
          <w:spacing w:val="19"/>
          <w:sz w:val="19"/>
          <w:szCs w:val="19"/>
        </w:rPr>
        <w:t>方位评价体系</w:t>
      </w:r>
      <w:r>
        <w:rPr>
          <w:rFonts w:ascii="宋体" w:hAnsi="宋体" w:eastAsia="宋体" w:cs="宋体"/>
          <w:spacing w:val="-52"/>
          <w:sz w:val="19"/>
          <w:szCs w:val="19"/>
        </w:rPr>
        <w:t xml:space="preserve"> </w:t>
      </w:r>
      <w:r>
        <w:rPr>
          <w:rFonts w:ascii="微软雅黑" w:hAnsi="微软雅黑" w:eastAsia="微软雅黑" w:cs="微软雅黑"/>
          <w:spacing w:val="19"/>
          <w:sz w:val="19"/>
          <w:szCs w:val="19"/>
        </w:rPr>
        <w:t>。</w:t>
      </w:r>
      <w:r>
        <w:rPr>
          <w:rFonts w:ascii="微软雅黑" w:hAnsi="微软雅黑" w:eastAsia="微软雅黑" w:cs="微软雅黑"/>
          <w:spacing w:val="-32"/>
          <w:sz w:val="19"/>
          <w:szCs w:val="19"/>
        </w:rPr>
        <w:t xml:space="preserve"> </w:t>
      </w:r>
      <w:r>
        <w:rPr>
          <w:rFonts w:ascii="宋体" w:hAnsi="宋体" w:eastAsia="宋体" w:cs="宋体"/>
          <w:spacing w:val="19"/>
          <w:sz w:val="19"/>
          <w:szCs w:val="19"/>
        </w:rPr>
        <w:t>作为博洛尼亚进程的主要成</w:t>
      </w:r>
      <w:r>
        <w:rPr>
          <w:rFonts w:ascii="宋体" w:hAnsi="宋体" w:eastAsia="宋体" w:cs="宋体"/>
          <w:spacing w:val="18"/>
          <w:sz w:val="19"/>
          <w:szCs w:val="19"/>
        </w:rPr>
        <w:t>员国</w:t>
      </w:r>
      <w:r>
        <w:rPr>
          <w:rFonts w:ascii="微软雅黑" w:hAnsi="微软雅黑" w:eastAsia="微软雅黑" w:cs="微软雅黑"/>
          <w:spacing w:val="18"/>
          <w:sz w:val="19"/>
          <w:szCs w:val="19"/>
        </w:rPr>
        <w:t>，</w:t>
      </w:r>
      <w:r>
        <w:rPr>
          <w:rFonts w:ascii="微软雅黑" w:hAnsi="微软雅黑" w:eastAsia="微软雅黑" w:cs="微软雅黑"/>
          <w:sz w:val="19"/>
          <w:szCs w:val="19"/>
        </w:rPr>
        <w:t xml:space="preserve"> </w:t>
      </w:r>
      <w:r>
        <w:rPr>
          <w:rFonts w:ascii="宋体" w:hAnsi="宋体" w:eastAsia="宋体" w:cs="宋体"/>
          <w:spacing w:val="22"/>
          <w:sz w:val="19"/>
          <w:szCs w:val="19"/>
        </w:rPr>
        <w:t>挪威新一轮的高等教育质量改革也由此拉开帷</w:t>
      </w:r>
      <w:r>
        <w:rPr>
          <w:rFonts w:ascii="宋体" w:hAnsi="宋体" w:eastAsia="宋体" w:cs="宋体"/>
          <w:spacing w:val="21"/>
          <w:sz w:val="19"/>
          <w:szCs w:val="19"/>
        </w:rPr>
        <w:t>幕</w:t>
      </w:r>
      <w:r>
        <w:rPr>
          <w:rFonts w:ascii="微软雅黑" w:hAnsi="微软雅黑" w:eastAsia="微软雅黑" w:cs="微软雅黑"/>
          <w:spacing w:val="21"/>
          <w:sz w:val="19"/>
          <w:szCs w:val="19"/>
        </w:rPr>
        <w:t>。</w:t>
      </w:r>
      <w:r>
        <w:rPr>
          <w:rFonts w:ascii="微软雅黑" w:hAnsi="微软雅黑" w:eastAsia="微软雅黑" w:cs="微软雅黑"/>
          <w:sz w:val="19"/>
          <w:szCs w:val="19"/>
        </w:rPr>
        <w:t xml:space="preserve"> </w:t>
      </w:r>
      <w:r>
        <w:rPr>
          <w:rFonts w:ascii="Arial" w:hAnsi="Arial" w:eastAsia="Arial" w:cs="Arial"/>
          <w:spacing w:val="7"/>
          <w:position w:val="-1"/>
          <w:sz w:val="19"/>
          <w:szCs w:val="19"/>
        </w:rPr>
        <w:t>2003</w:t>
      </w:r>
      <w:r>
        <w:rPr>
          <w:rFonts w:ascii="宋体" w:hAnsi="宋体" w:eastAsia="宋体" w:cs="宋体"/>
          <w:spacing w:val="7"/>
          <w:position w:val="-1"/>
          <w:sz w:val="19"/>
          <w:szCs w:val="19"/>
        </w:rPr>
        <w:t>年</w:t>
      </w:r>
      <w:r>
        <w:rPr>
          <w:rFonts w:ascii="微软雅黑" w:hAnsi="微软雅黑" w:eastAsia="微软雅黑" w:cs="微软雅黑"/>
          <w:spacing w:val="7"/>
          <w:position w:val="1"/>
          <w:sz w:val="19"/>
          <w:szCs w:val="19"/>
        </w:rPr>
        <w:t>，</w:t>
      </w:r>
      <w:r>
        <w:rPr>
          <w:rFonts w:ascii="宋体" w:hAnsi="宋体" w:eastAsia="宋体" w:cs="宋体"/>
          <w:spacing w:val="7"/>
          <w:sz w:val="19"/>
          <w:szCs w:val="19"/>
        </w:rPr>
        <w:t>在挪威议会</w:t>
      </w:r>
      <w:r>
        <w:rPr>
          <w:rFonts w:ascii="宋体" w:hAnsi="宋体" w:eastAsia="宋体" w:cs="宋体"/>
          <w:spacing w:val="-33"/>
          <w:sz w:val="19"/>
          <w:szCs w:val="19"/>
        </w:rPr>
        <w:t xml:space="preserve"> </w:t>
      </w:r>
      <w:r>
        <w:rPr>
          <w:rFonts w:ascii="宋体" w:hAnsi="宋体" w:eastAsia="宋体" w:cs="宋体"/>
          <w:spacing w:val="7"/>
          <w:sz w:val="19"/>
          <w:szCs w:val="19"/>
        </w:rPr>
        <w:t>的批准</w:t>
      </w:r>
      <w:r>
        <w:rPr>
          <w:rFonts w:ascii="宋体" w:hAnsi="宋体" w:eastAsia="宋体" w:cs="宋体"/>
          <w:spacing w:val="-54"/>
          <w:sz w:val="19"/>
          <w:szCs w:val="19"/>
        </w:rPr>
        <w:t xml:space="preserve"> </w:t>
      </w:r>
      <w:r>
        <w:rPr>
          <w:rFonts w:ascii="宋体" w:hAnsi="宋体" w:eastAsia="宋体" w:cs="宋体"/>
          <w:spacing w:val="7"/>
          <w:sz w:val="19"/>
          <w:szCs w:val="19"/>
        </w:rPr>
        <w:t>下</w:t>
      </w:r>
      <w:r>
        <w:rPr>
          <w:rFonts w:ascii="微软雅黑" w:hAnsi="微软雅黑" w:eastAsia="微软雅黑" w:cs="微软雅黑"/>
          <w:spacing w:val="7"/>
          <w:position w:val="1"/>
          <w:sz w:val="19"/>
          <w:szCs w:val="19"/>
        </w:rPr>
        <w:t>，</w:t>
      </w:r>
      <w:r>
        <w:rPr>
          <w:rFonts w:ascii="宋体" w:hAnsi="宋体" w:eastAsia="宋体" w:cs="宋体"/>
          <w:spacing w:val="7"/>
          <w:sz w:val="19"/>
          <w:szCs w:val="19"/>
        </w:rPr>
        <w:t>挪威教</w:t>
      </w:r>
      <w:r>
        <w:rPr>
          <w:rFonts w:ascii="宋体" w:hAnsi="宋体" w:eastAsia="宋体" w:cs="宋体"/>
          <w:spacing w:val="-53"/>
          <w:sz w:val="19"/>
          <w:szCs w:val="19"/>
        </w:rPr>
        <w:t xml:space="preserve"> </w:t>
      </w:r>
      <w:r>
        <w:rPr>
          <w:rFonts w:ascii="宋体" w:hAnsi="宋体" w:eastAsia="宋体" w:cs="宋体"/>
          <w:spacing w:val="7"/>
          <w:sz w:val="19"/>
          <w:szCs w:val="19"/>
        </w:rPr>
        <w:t>育质量保</w:t>
      </w:r>
      <w:r>
        <w:rPr>
          <w:rFonts w:ascii="宋体" w:hAnsi="宋体" w:eastAsia="宋体" w:cs="宋体"/>
          <w:spacing w:val="-51"/>
          <w:sz w:val="19"/>
          <w:szCs w:val="19"/>
        </w:rPr>
        <w:t xml:space="preserve"> </w:t>
      </w:r>
      <w:r>
        <w:rPr>
          <w:rFonts w:ascii="宋体" w:hAnsi="宋体" w:eastAsia="宋体" w:cs="宋体"/>
          <w:spacing w:val="7"/>
          <w:sz w:val="19"/>
          <w:szCs w:val="19"/>
        </w:rPr>
        <w:t xml:space="preserve">障 </w:t>
      </w:r>
      <w:r>
        <w:rPr>
          <w:rFonts w:ascii="宋体" w:hAnsi="宋体" w:eastAsia="宋体" w:cs="宋体"/>
          <w:spacing w:val="23"/>
          <w:sz w:val="19"/>
          <w:szCs w:val="19"/>
        </w:rPr>
        <w:t>署</w:t>
      </w:r>
      <w:r>
        <w:rPr>
          <w:rFonts w:ascii="微软雅黑" w:hAnsi="微软雅黑" w:eastAsia="微软雅黑" w:cs="微软雅黑"/>
          <w:spacing w:val="23"/>
          <w:sz w:val="19"/>
          <w:szCs w:val="19"/>
        </w:rPr>
        <w:t>(</w:t>
      </w:r>
      <w:r>
        <w:rPr>
          <w:rFonts w:ascii="Arial" w:hAnsi="Arial" w:eastAsia="Arial" w:cs="Arial"/>
          <w:sz w:val="19"/>
          <w:szCs w:val="19"/>
        </w:rPr>
        <w:t>NOKUT</w:t>
      </w:r>
      <w:r>
        <w:rPr>
          <w:rFonts w:ascii="微软雅黑" w:hAnsi="微软雅黑" w:eastAsia="微软雅黑" w:cs="微软雅黑"/>
          <w:spacing w:val="23"/>
          <w:sz w:val="19"/>
          <w:szCs w:val="19"/>
        </w:rPr>
        <w:t>)</w:t>
      </w:r>
      <w:r>
        <w:rPr>
          <w:rFonts w:ascii="微软雅黑" w:hAnsi="微软雅黑" w:eastAsia="微软雅黑" w:cs="微软雅黑"/>
          <w:spacing w:val="6"/>
          <w:sz w:val="19"/>
          <w:szCs w:val="19"/>
        </w:rPr>
        <w:t xml:space="preserve"> </w:t>
      </w:r>
      <w:r>
        <w:rPr>
          <w:rFonts w:ascii="宋体" w:hAnsi="宋体" w:eastAsia="宋体" w:cs="宋体"/>
          <w:spacing w:val="23"/>
          <w:sz w:val="19"/>
          <w:szCs w:val="19"/>
        </w:rPr>
        <w:t>正式成立并开始运作</w:t>
      </w:r>
      <w:r>
        <w:rPr>
          <w:rFonts w:ascii="宋体" w:hAnsi="宋体" w:eastAsia="宋体" w:cs="宋体"/>
          <w:spacing w:val="-52"/>
          <w:sz w:val="19"/>
          <w:szCs w:val="19"/>
        </w:rPr>
        <w:t xml:space="preserve"> </w:t>
      </w:r>
      <w:r>
        <w:rPr>
          <w:rFonts w:ascii="微软雅黑" w:hAnsi="微软雅黑" w:eastAsia="微软雅黑" w:cs="微软雅黑"/>
          <w:spacing w:val="23"/>
          <w:position w:val="1"/>
          <w:sz w:val="19"/>
          <w:szCs w:val="19"/>
        </w:rPr>
        <w:t>。</w:t>
      </w:r>
      <w:r>
        <w:rPr>
          <w:rFonts w:ascii="宋体" w:hAnsi="宋体" w:eastAsia="宋体" w:cs="宋体"/>
          <w:spacing w:val="23"/>
          <w:sz w:val="19"/>
          <w:szCs w:val="19"/>
        </w:rPr>
        <w:t xml:space="preserve">挪威教育质量 </w:t>
      </w:r>
      <w:r>
        <w:rPr>
          <w:rFonts w:ascii="宋体" w:hAnsi="宋体" w:eastAsia="宋体" w:cs="宋体"/>
          <w:spacing w:val="11"/>
          <w:sz w:val="19"/>
          <w:szCs w:val="19"/>
        </w:rPr>
        <w:t>保障署主要负责对</w:t>
      </w:r>
      <w:r>
        <w:rPr>
          <w:rFonts w:ascii="宋体" w:hAnsi="宋体" w:eastAsia="宋体" w:cs="宋体"/>
          <w:spacing w:val="-52"/>
          <w:sz w:val="19"/>
          <w:szCs w:val="19"/>
        </w:rPr>
        <w:t xml:space="preserve"> </w:t>
      </w:r>
      <w:r>
        <w:rPr>
          <w:rFonts w:ascii="宋体" w:hAnsi="宋体" w:eastAsia="宋体" w:cs="宋体"/>
          <w:spacing w:val="11"/>
          <w:sz w:val="19"/>
          <w:szCs w:val="19"/>
        </w:rPr>
        <w:t>院校</w:t>
      </w:r>
      <w:r>
        <w:rPr>
          <w:rFonts w:ascii="宋体" w:hAnsi="宋体" w:eastAsia="宋体" w:cs="宋体"/>
          <w:spacing w:val="-48"/>
          <w:sz w:val="19"/>
          <w:szCs w:val="19"/>
        </w:rPr>
        <w:t xml:space="preserve"> </w:t>
      </w:r>
      <w:r>
        <w:rPr>
          <w:rFonts w:ascii="宋体" w:hAnsi="宋体" w:eastAsia="宋体" w:cs="宋体"/>
          <w:spacing w:val="11"/>
          <w:sz w:val="19"/>
          <w:szCs w:val="19"/>
        </w:rPr>
        <w:t>的认证评估</w:t>
      </w:r>
      <w:r>
        <w:rPr>
          <w:rFonts w:ascii="微软雅黑" w:hAnsi="微软雅黑" w:eastAsia="微软雅黑" w:cs="微软雅黑"/>
          <w:spacing w:val="11"/>
          <w:sz w:val="19"/>
          <w:szCs w:val="19"/>
        </w:rPr>
        <w:t>，</w:t>
      </w:r>
      <w:r>
        <w:rPr>
          <w:rFonts w:ascii="宋体" w:hAnsi="宋体" w:eastAsia="宋体" w:cs="宋体"/>
          <w:spacing w:val="11"/>
          <w:sz w:val="19"/>
          <w:szCs w:val="19"/>
        </w:rPr>
        <w:t>对科研</w:t>
      </w:r>
      <w:r>
        <w:rPr>
          <w:rFonts w:ascii="宋体" w:hAnsi="宋体" w:eastAsia="宋体" w:cs="宋体"/>
          <w:spacing w:val="10"/>
          <w:sz w:val="19"/>
          <w:szCs w:val="19"/>
        </w:rPr>
        <w:t>项</w:t>
      </w:r>
      <w:r>
        <w:rPr>
          <w:rFonts w:ascii="宋体" w:hAnsi="宋体" w:eastAsia="宋体" w:cs="宋体"/>
          <w:spacing w:val="-27"/>
          <w:sz w:val="19"/>
          <w:szCs w:val="19"/>
        </w:rPr>
        <w:t xml:space="preserve"> </w:t>
      </w:r>
      <w:r>
        <w:rPr>
          <w:rFonts w:ascii="宋体" w:hAnsi="宋体" w:eastAsia="宋体" w:cs="宋体"/>
          <w:spacing w:val="10"/>
          <w:sz w:val="19"/>
          <w:szCs w:val="19"/>
        </w:rPr>
        <w:t xml:space="preserve">目进 </w:t>
      </w:r>
      <w:r>
        <w:rPr>
          <w:rFonts w:ascii="宋体" w:hAnsi="宋体" w:eastAsia="宋体" w:cs="宋体"/>
          <w:spacing w:val="12"/>
          <w:sz w:val="19"/>
          <w:szCs w:val="19"/>
        </w:rPr>
        <w:t>行认证控制</w:t>
      </w:r>
      <w:r>
        <w:rPr>
          <w:rFonts w:ascii="微软雅黑" w:hAnsi="微软雅黑" w:eastAsia="微软雅黑" w:cs="微软雅黑"/>
          <w:spacing w:val="12"/>
          <w:sz w:val="19"/>
          <w:szCs w:val="19"/>
        </w:rPr>
        <w:t>，</w:t>
      </w:r>
      <w:r>
        <w:rPr>
          <w:rFonts w:ascii="宋体" w:hAnsi="宋体" w:eastAsia="宋体" w:cs="宋体"/>
          <w:spacing w:val="12"/>
          <w:sz w:val="19"/>
          <w:szCs w:val="19"/>
        </w:rPr>
        <w:t>对各高校的质量保障系统进行评估等</w:t>
      </w:r>
      <w:r>
        <w:rPr>
          <w:rFonts w:ascii="微软雅黑" w:hAnsi="微软雅黑" w:eastAsia="微软雅黑" w:cs="微软雅黑"/>
          <w:spacing w:val="12"/>
          <w:sz w:val="19"/>
          <w:szCs w:val="19"/>
        </w:rPr>
        <w:t>。</w:t>
      </w:r>
      <w:r>
        <w:rPr>
          <w:rFonts w:ascii="微软雅黑" w:hAnsi="微软雅黑" w:eastAsia="微软雅黑" w:cs="微软雅黑"/>
          <w:spacing w:val="16"/>
          <w:sz w:val="19"/>
          <w:szCs w:val="19"/>
        </w:rPr>
        <w:t xml:space="preserve"> </w:t>
      </w:r>
      <w:r>
        <w:rPr>
          <w:rFonts w:ascii="宋体" w:hAnsi="宋体" w:eastAsia="宋体" w:cs="宋体"/>
          <w:spacing w:val="13"/>
          <w:sz w:val="19"/>
          <w:szCs w:val="19"/>
        </w:rPr>
        <w:t>作为一个独立的政府部</w:t>
      </w:r>
      <w:r>
        <w:rPr>
          <w:rFonts w:ascii="宋体" w:hAnsi="宋体" w:eastAsia="宋体" w:cs="宋体"/>
          <w:spacing w:val="-34"/>
          <w:sz w:val="19"/>
          <w:szCs w:val="19"/>
        </w:rPr>
        <w:t xml:space="preserve"> </w:t>
      </w:r>
      <w:r>
        <w:rPr>
          <w:rFonts w:ascii="宋体" w:hAnsi="宋体" w:eastAsia="宋体" w:cs="宋体"/>
          <w:spacing w:val="13"/>
          <w:sz w:val="19"/>
          <w:szCs w:val="19"/>
        </w:rPr>
        <w:t>门</w:t>
      </w:r>
      <w:r>
        <w:rPr>
          <w:rFonts w:ascii="微软雅黑" w:hAnsi="微软雅黑" w:eastAsia="微软雅黑" w:cs="微软雅黑"/>
          <w:spacing w:val="13"/>
          <w:sz w:val="19"/>
          <w:szCs w:val="19"/>
        </w:rPr>
        <w:t>，</w:t>
      </w:r>
      <w:r>
        <w:rPr>
          <w:rFonts w:ascii="宋体" w:hAnsi="宋体" w:eastAsia="宋体" w:cs="宋体"/>
          <w:spacing w:val="13"/>
          <w:sz w:val="19"/>
          <w:szCs w:val="19"/>
        </w:rPr>
        <w:t>它</w:t>
      </w:r>
      <w:r>
        <w:rPr>
          <w:rFonts w:ascii="宋体" w:hAnsi="宋体" w:eastAsia="宋体" w:cs="宋体"/>
          <w:spacing w:val="-48"/>
          <w:sz w:val="19"/>
          <w:szCs w:val="19"/>
        </w:rPr>
        <w:t xml:space="preserve"> </w:t>
      </w:r>
      <w:r>
        <w:rPr>
          <w:rFonts w:ascii="宋体" w:hAnsi="宋体" w:eastAsia="宋体" w:cs="宋体"/>
          <w:spacing w:val="13"/>
          <w:sz w:val="19"/>
          <w:szCs w:val="19"/>
        </w:rPr>
        <w:t>的成立标志着挪威全 国性的高等教育质量保</w:t>
      </w:r>
      <w:r>
        <w:rPr>
          <w:rFonts w:ascii="宋体" w:hAnsi="宋体" w:eastAsia="宋体" w:cs="宋体"/>
          <w:spacing w:val="-39"/>
          <w:sz w:val="19"/>
          <w:szCs w:val="19"/>
        </w:rPr>
        <w:t xml:space="preserve"> </w:t>
      </w:r>
      <w:r>
        <w:rPr>
          <w:rFonts w:ascii="宋体" w:hAnsi="宋体" w:eastAsia="宋体" w:cs="宋体"/>
          <w:spacing w:val="13"/>
          <w:sz w:val="19"/>
          <w:szCs w:val="19"/>
        </w:rPr>
        <w:t>障系统</w:t>
      </w:r>
      <w:r>
        <w:rPr>
          <w:rFonts w:ascii="宋体" w:hAnsi="宋体" w:eastAsia="宋体" w:cs="宋体"/>
          <w:spacing w:val="-43"/>
          <w:sz w:val="19"/>
          <w:szCs w:val="19"/>
        </w:rPr>
        <w:t xml:space="preserve"> </w:t>
      </w:r>
      <w:r>
        <w:rPr>
          <w:rFonts w:ascii="宋体" w:hAnsi="宋体" w:eastAsia="宋体" w:cs="宋体"/>
          <w:spacing w:val="13"/>
          <w:sz w:val="19"/>
          <w:szCs w:val="19"/>
        </w:rPr>
        <w:t>已经建立</w:t>
      </w:r>
      <w:r>
        <w:rPr>
          <w:rFonts w:ascii="微软雅黑" w:hAnsi="微软雅黑" w:eastAsia="微软雅黑" w:cs="微软雅黑"/>
          <w:spacing w:val="13"/>
          <w:sz w:val="19"/>
          <w:szCs w:val="19"/>
        </w:rPr>
        <w:t>，</w:t>
      </w:r>
      <w:r>
        <w:rPr>
          <w:rFonts w:ascii="宋体" w:hAnsi="宋体" w:eastAsia="宋体" w:cs="宋体"/>
          <w:spacing w:val="13"/>
          <w:sz w:val="19"/>
          <w:szCs w:val="19"/>
        </w:rPr>
        <w:t xml:space="preserve">高校质量 </w:t>
      </w:r>
      <w:r>
        <w:rPr>
          <w:rFonts w:ascii="宋体" w:hAnsi="宋体" w:eastAsia="宋体" w:cs="宋体"/>
          <w:spacing w:val="18"/>
          <w:sz w:val="19"/>
          <w:szCs w:val="19"/>
        </w:rPr>
        <w:t>保障及文化建设进入了一个新的阶段</w:t>
      </w:r>
      <w:r>
        <w:rPr>
          <w:rFonts w:ascii="微软雅黑" w:hAnsi="微软雅黑" w:eastAsia="微软雅黑" w:cs="微软雅黑"/>
          <w:spacing w:val="18"/>
          <w:sz w:val="19"/>
          <w:szCs w:val="19"/>
        </w:rPr>
        <w:t>。</w:t>
      </w:r>
    </w:p>
    <w:p>
      <w:pPr>
        <w:tabs>
          <w:tab w:val="left" w:pos="885"/>
          <w:tab w:val="left" w:pos="5552"/>
        </w:tabs>
        <w:spacing w:before="69" w:line="236" w:lineRule="auto"/>
        <w:ind w:left="771" w:right="247" w:firstLine="522"/>
        <w:jc w:val="both"/>
        <w:rPr>
          <w:rFonts w:ascii="微软雅黑" w:hAnsi="微软雅黑" w:eastAsia="微软雅黑" w:cs="微软雅黑"/>
          <w:sz w:val="10"/>
          <w:szCs w:val="10"/>
        </w:rPr>
      </w:pPr>
      <w:r>
        <w:rPr>
          <w:rFonts w:ascii="宋体" w:hAnsi="宋体" w:eastAsia="宋体" w:cs="宋体"/>
          <w:spacing w:val="8"/>
          <w:sz w:val="19"/>
          <w:szCs w:val="19"/>
        </w:rPr>
        <w:t>此后</w:t>
      </w:r>
      <w:r>
        <w:rPr>
          <w:rFonts w:ascii="微软雅黑" w:hAnsi="微软雅黑" w:eastAsia="微软雅黑" w:cs="微软雅黑"/>
          <w:spacing w:val="8"/>
          <w:position w:val="1"/>
          <w:sz w:val="19"/>
          <w:szCs w:val="19"/>
        </w:rPr>
        <w:t>，</w:t>
      </w:r>
      <w:r>
        <w:rPr>
          <w:rFonts w:ascii="宋体" w:hAnsi="宋体" w:eastAsia="宋体" w:cs="宋体"/>
          <w:spacing w:val="8"/>
          <w:sz w:val="19"/>
          <w:szCs w:val="19"/>
        </w:rPr>
        <w:t>在为期</w:t>
      </w:r>
      <w:r>
        <w:rPr>
          <w:rFonts w:ascii="宋体" w:hAnsi="宋体" w:eastAsia="宋体" w:cs="宋体"/>
          <w:spacing w:val="-10"/>
          <w:sz w:val="19"/>
          <w:szCs w:val="19"/>
        </w:rPr>
        <w:t xml:space="preserve"> </w:t>
      </w:r>
      <w:r>
        <w:rPr>
          <w:rFonts w:ascii="Arial" w:hAnsi="Arial" w:eastAsia="Arial" w:cs="Arial"/>
          <w:spacing w:val="8"/>
          <w:sz w:val="19"/>
          <w:szCs w:val="19"/>
        </w:rPr>
        <w:t>4</w:t>
      </w:r>
      <w:r>
        <w:rPr>
          <w:rFonts w:ascii="宋体" w:hAnsi="宋体" w:eastAsia="宋体" w:cs="宋体"/>
          <w:spacing w:val="8"/>
          <w:sz w:val="19"/>
          <w:szCs w:val="19"/>
        </w:rPr>
        <w:t>年</w:t>
      </w:r>
      <w:r>
        <w:rPr>
          <w:rFonts w:ascii="宋体" w:hAnsi="宋体" w:eastAsia="宋体" w:cs="宋体"/>
          <w:spacing w:val="-49"/>
          <w:sz w:val="19"/>
          <w:szCs w:val="19"/>
        </w:rPr>
        <w:t xml:space="preserve"> </w:t>
      </w:r>
      <w:r>
        <w:rPr>
          <w:rFonts w:ascii="宋体" w:hAnsi="宋体" w:eastAsia="宋体" w:cs="宋体"/>
          <w:spacing w:val="8"/>
          <w:sz w:val="19"/>
          <w:szCs w:val="19"/>
        </w:rPr>
        <w:t>的欧洲</w:t>
      </w:r>
      <w:r>
        <w:rPr>
          <w:rFonts w:ascii="微软雅黑" w:hAnsi="微软雅黑" w:eastAsia="微软雅黑" w:cs="微软雅黑"/>
          <w:spacing w:val="8"/>
          <w:position w:val="1"/>
          <w:sz w:val="19"/>
          <w:szCs w:val="19"/>
        </w:rPr>
        <w:t>“</w:t>
      </w:r>
      <w:r>
        <w:rPr>
          <w:rFonts w:ascii="微软雅黑" w:hAnsi="微软雅黑" w:eastAsia="微软雅黑" w:cs="微软雅黑"/>
          <w:spacing w:val="-29"/>
          <w:position w:val="1"/>
          <w:sz w:val="19"/>
          <w:szCs w:val="19"/>
        </w:rPr>
        <w:t xml:space="preserve"> </w:t>
      </w:r>
      <w:r>
        <w:rPr>
          <w:rFonts w:ascii="宋体" w:hAnsi="宋体" w:eastAsia="宋体" w:cs="宋体"/>
          <w:spacing w:val="8"/>
          <w:sz w:val="19"/>
          <w:szCs w:val="19"/>
        </w:rPr>
        <w:t>大学质量文化工程</w:t>
      </w:r>
      <w:r>
        <w:rPr>
          <w:rFonts w:ascii="宋体" w:hAnsi="宋体" w:eastAsia="宋体" w:cs="宋体"/>
          <w:spacing w:val="-67"/>
          <w:sz w:val="19"/>
          <w:szCs w:val="19"/>
        </w:rPr>
        <w:t xml:space="preserve"> </w:t>
      </w:r>
      <w:r>
        <w:rPr>
          <w:rFonts w:ascii="微软雅黑" w:hAnsi="微软雅黑" w:eastAsia="微软雅黑" w:cs="微软雅黑"/>
          <w:spacing w:val="8"/>
          <w:position w:val="1"/>
          <w:sz w:val="19"/>
          <w:szCs w:val="19"/>
        </w:rPr>
        <w:t>”</w:t>
      </w:r>
      <w:r>
        <w:rPr>
          <w:rFonts w:ascii="微软雅黑" w:hAnsi="微软雅黑" w:eastAsia="微软雅黑" w:cs="微软雅黑"/>
          <w:position w:val="1"/>
          <w:sz w:val="19"/>
          <w:szCs w:val="19"/>
        </w:rPr>
        <w:t xml:space="preserve"> </w:t>
      </w:r>
      <w:r>
        <w:rPr>
          <w:rFonts w:ascii="宋体" w:hAnsi="宋体" w:eastAsia="宋体" w:cs="宋体"/>
          <w:spacing w:val="21"/>
          <w:sz w:val="19"/>
          <w:szCs w:val="19"/>
        </w:rPr>
        <w:t>中</w:t>
      </w:r>
      <w:r>
        <w:rPr>
          <w:rFonts w:ascii="微软雅黑" w:hAnsi="微软雅黑" w:eastAsia="微软雅黑" w:cs="微软雅黑"/>
          <w:spacing w:val="21"/>
          <w:sz w:val="19"/>
          <w:szCs w:val="19"/>
        </w:rPr>
        <w:t>，</w:t>
      </w:r>
      <w:r>
        <w:rPr>
          <w:rFonts w:ascii="宋体" w:hAnsi="宋体" w:eastAsia="宋体" w:cs="宋体"/>
          <w:spacing w:val="21"/>
          <w:sz w:val="19"/>
          <w:szCs w:val="19"/>
        </w:rPr>
        <w:t>挪威教育与研究部通过教</w:t>
      </w:r>
      <w:r>
        <w:rPr>
          <w:rFonts w:ascii="宋体" w:hAnsi="宋体" w:eastAsia="宋体" w:cs="宋体"/>
          <w:spacing w:val="-50"/>
          <w:sz w:val="19"/>
          <w:szCs w:val="19"/>
        </w:rPr>
        <w:t xml:space="preserve"> </w:t>
      </w:r>
      <w:r>
        <w:rPr>
          <w:rFonts w:ascii="宋体" w:hAnsi="宋体" w:eastAsia="宋体" w:cs="宋体"/>
          <w:spacing w:val="21"/>
          <w:sz w:val="19"/>
          <w:szCs w:val="19"/>
        </w:rPr>
        <w:t>育质量保障署进一步</w:t>
      </w:r>
      <w:r>
        <w:rPr>
          <w:rFonts w:ascii="宋体" w:hAnsi="宋体" w:eastAsia="宋体" w:cs="宋体"/>
          <w:sz w:val="19"/>
          <w:szCs w:val="19"/>
        </w:rPr>
        <w:t xml:space="preserve">  </w:t>
      </w:r>
      <w:r>
        <w:rPr>
          <w:rFonts w:ascii="宋体" w:hAnsi="宋体" w:eastAsia="宋体" w:cs="宋体"/>
          <w:spacing w:val="21"/>
          <w:sz w:val="19"/>
          <w:szCs w:val="19"/>
        </w:rPr>
        <w:t>开展高校质量管理及保</w:t>
      </w:r>
      <w:r>
        <w:rPr>
          <w:rFonts w:ascii="宋体" w:hAnsi="宋体" w:eastAsia="宋体" w:cs="宋体"/>
          <w:spacing w:val="-49"/>
          <w:sz w:val="19"/>
          <w:szCs w:val="19"/>
        </w:rPr>
        <w:t xml:space="preserve"> </w:t>
      </w:r>
      <w:r>
        <w:rPr>
          <w:rFonts w:ascii="宋体" w:hAnsi="宋体" w:eastAsia="宋体" w:cs="宋体"/>
          <w:spacing w:val="21"/>
          <w:sz w:val="19"/>
          <w:szCs w:val="19"/>
        </w:rPr>
        <w:t>障</w:t>
      </w:r>
      <w:r>
        <w:rPr>
          <w:rFonts w:ascii="微软雅黑" w:hAnsi="微软雅黑" w:eastAsia="微软雅黑" w:cs="微软雅黑"/>
          <w:spacing w:val="21"/>
          <w:sz w:val="19"/>
          <w:szCs w:val="19"/>
        </w:rPr>
        <w:t>，</w:t>
      </w:r>
      <w:r>
        <w:rPr>
          <w:rFonts w:ascii="宋体" w:hAnsi="宋体" w:eastAsia="宋体" w:cs="宋体"/>
          <w:spacing w:val="21"/>
          <w:sz w:val="19"/>
          <w:szCs w:val="19"/>
        </w:rPr>
        <w:t>并认识到质量文化建设</w:t>
      </w:r>
      <w:r>
        <w:rPr>
          <w:rFonts w:ascii="宋体" w:hAnsi="宋体" w:eastAsia="宋体" w:cs="宋体"/>
          <w:sz w:val="19"/>
          <w:szCs w:val="19"/>
        </w:rPr>
        <w:t xml:space="preserve">  </w:t>
      </w:r>
      <w:r>
        <w:rPr>
          <w:rFonts w:ascii="宋体" w:hAnsi="宋体" w:eastAsia="宋体" w:cs="宋体"/>
          <w:spacing w:val="14"/>
          <w:sz w:val="19"/>
          <w:szCs w:val="19"/>
        </w:rPr>
        <w:t>的重要性</w:t>
      </w:r>
      <w:r>
        <w:rPr>
          <w:rFonts w:ascii="宋体" w:hAnsi="宋体" w:eastAsia="宋体" w:cs="宋体"/>
          <w:spacing w:val="-44"/>
          <w:sz w:val="19"/>
          <w:szCs w:val="19"/>
        </w:rPr>
        <w:t xml:space="preserve"> </w:t>
      </w:r>
      <w:r>
        <w:rPr>
          <w:rFonts w:ascii="微软雅黑" w:hAnsi="微软雅黑" w:eastAsia="微软雅黑" w:cs="微软雅黑"/>
          <w:spacing w:val="14"/>
          <w:position w:val="1"/>
          <w:sz w:val="19"/>
          <w:szCs w:val="19"/>
        </w:rPr>
        <w:t>。</w:t>
      </w:r>
      <w:r>
        <w:rPr>
          <w:rFonts w:ascii="Arial" w:hAnsi="Arial" w:eastAsia="Arial" w:cs="Arial"/>
          <w:spacing w:val="14"/>
          <w:position w:val="-1"/>
          <w:sz w:val="19"/>
          <w:szCs w:val="19"/>
        </w:rPr>
        <w:t>2011</w:t>
      </w:r>
      <w:r>
        <w:rPr>
          <w:rFonts w:ascii="宋体" w:hAnsi="宋体" w:eastAsia="宋体" w:cs="宋体"/>
          <w:spacing w:val="14"/>
          <w:position w:val="-1"/>
          <w:sz w:val="19"/>
          <w:szCs w:val="19"/>
        </w:rPr>
        <w:t>年</w:t>
      </w:r>
      <w:r>
        <w:rPr>
          <w:rFonts w:ascii="微软雅黑" w:hAnsi="微软雅黑" w:eastAsia="微软雅黑" w:cs="微软雅黑"/>
          <w:spacing w:val="14"/>
          <w:position w:val="1"/>
          <w:sz w:val="19"/>
          <w:szCs w:val="19"/>
        </w:rPr>
        <w:t>，</w:t>
      </w:r>
      <w:r>
        <w:rPr>
          <w:rFonts w:ascii="宋体" w:hAnsi="宋体" w:eastAsia="宋体" w:cs="宋体"/>
          <w:spacing w:val="14"/>
          <w:sz w:val="19"/>
          <w:szCs w:val="19"/>
        </w:rPr>
        <w:t>挪威教</w:t>
      </w:r>
      <w:r>
        <w:rPr>
          <w:rFonts w:ascii="宋体" w:hAnsi="宋体" w:eastAsia="宋体" w:cs="宋体"/>
          <w:spacing w:val="-54"/>
          <w:sz w:val="19"/>
          <w:szCs w:val="19"/>
        </w:rPr>
        <w:t xml:space="preserve"> </w:t>
      </w:r>
      <w:r>
        <w:rPr>
          <w:rFonts w:ascii="宋体" w:hAnsi="宋体" w:eastAsia="宋体" w:cs="宋体"/>
          <w:spacing w:val="14"/>
          <w:sz w:val="19"/>
          <w:szCs w:val="19"/>
        </w:rPr>
        <w:t>育</w:t>
      </w:r>
      <w:r>
        <w:rPr>
          <w:rFonts w:ascii="宋体" w:hAnsi="宋体" w:eastAsia="宋体" w:cs="宋体"/>
          <w:spacing w:val="-57"/>
          <w:sz w:val="19"/>
          <w:szCs w:val="19"/>
        </w:rPr>
        <w:t xml:space="preserve"> </w:t>
      </w:r>
      <w:r>
        <w:rPr>
          <w:rFonts w:ascii="宋体" w:hAnsi="宋体" w:eastAsia="宋体" w:cs="宋体"/>
          <w:spacing w:val="14"/>
          <w:sz w:val="19"/>
          <w:szCs w:val="19"/>
        </w:rPr>
        <w:t>与研究部发布了</w:t>
      </w:r>
      <w:r>
        <w:rPr>
          <w:rFonts w:ascii="微软雅黑" w:hAnsi="微软雅黑" w:eastAsia="微软雅黑" w:cs="微软雅黑"/>
          <w:spacing w:val="14"/>
          <w:sz w:val="19"/>
          <w:szCs w:val="19"/>
        </w:rPr>
        <w:t>《</w:t>
      </w:r>
      <w:r>
        <w:rPr>
          <w:rFonts w:ascii="宋体" w:hAnsi="宋体" w:eastAsia="宋体" w:cs="宋体"/>
          <w:spacing w:val="14"/>
          <w:sz w:val="19"/>
          <w:szCs w:val="19"/>
        </w:rPr>
        <w:t>高</w:t>
      </w:r>
      <w:r>
        <w:rPr>
          <w:rFonts w:ascii="宋体" w:hAnsi="宋体" w:eastAsia="宋体" w:cs="宋体"/>
          <w:sz w:val="19"/>
          <w:szCs w:val="19"/>
        </w:rPr>
        <w:t xml:space="preserve">  </w:t>
      </w:r>
      <w:r>
        <w:rPr>
          <w:rFonts w:ascii="宋体" w:hAnsi="宋体" w:eastAsia="宋体" w:cs="宋体"/>
          <w:spacing w:val="30"/>
          <w:sz w:val="19"/>
          <w:szCs w:val="19"/>
        </w:rPr>
        <w:t>等教育适</w:t>
      </w:r>
      <w:r>
        <w:rPr>
          <w:rFonts w:ascii="宋体" w:hAnsi="宋体" w:eastAsia="宋体" w:cs="宋体"/>
          <w:spacing w:val="-55"/>
          <w:sz w:val="19"/>
          <w:szCs w:val="19"/>
        </w:rPr>
        <w:t xml:space="preserve"> </w:t>
      </w:r>
      <w:r>
        <w:rPr>
          <w:rFonts w:ascii="宋体" w:hAnsi="宋体" w:eastAsia="宋体" w:cs="宋体"/>
          <w:spacing w:val="30"/>
          <w:sz w:val="19"/>
          <w:szCs w:val="19"/>
        </w:rPr>
        <w:t>宜</w:t>
      </w:r>
      <w:r>
        <w:rPr>
          <w:rFonts w:ascii="宋体" w:hAnsi="宋体" w:eastAsia="宋体" w:cs="宋体"/>
          <w:spacing w:val="-57"/>
          <w:sz w:val="19"/>
          <w:szCs w:val="19"/>
        </w:rPr>
        <w:t xml:space="preserve"> </w:t>
      </w:r>
      <w:r>
        <w:rPr>
          <w:rFonts w:ascii="宋体" w:hAnsi="宋体" w:eastAsia="宋体" w:cs="宋体"/>
          <w:spacing w:val="30"/>
          <w:sz w:val="19"/>
          <w:szCs w:val="19"/>
        </w:rPr>
        <w:t>性评价</w:t>
      </w:r>
      <w:r>
        <w:rPr>
          <w:rFonts w:ascii="宋体" w:hAnsi="宋体" w:eastAsia="宋体" w:cs="宋体"/>
          <w:spacing w:val="-55"/>
          <w:sz w:val="19"/>
          <w:szCs w:val="19"/>
        </w:rPr>
        <w:t xml:space="preserve"> </w:t>
      </w:r>
      <w:r>
        <w:rPr>
          <w:rFonts w:ascii="宋体" w:hAnsi="宋体" w:eastAsia="宋体" w:cs="宋体"/>
          <w:spacing w:val="30"/>
          <w:sz w:val="19"/>
          <w:szCs w:val="19"/>
        </w:rPr>
        <w:t>条</w:t>
      </w:r>
      <w:r>
        <w:rPr>
          <w:rFonts w:ascii="宋体" w:hAnsi="宋体" w:eastAsia="宋体" w:cs="宋体"/>
          <w:spacing w:val="-57"/>
          <w:sz w:val="19"/>
          <w:szCs w:val="19"/>
        </w:rPr>
        <w:t xml:space="preserve"> </w:t>
      </w:r>
      <w:r>
        <w:rPr>
          <w:rFonts w:ascii="宋体" w:hAnsi="宋体" w:eastAsia="宋体" w:cs="宋体"/>
          <w:spacing w:val="30"/>
          <w:sz w:val="19"/>
          <w:szCs w:val="19"/>
        </w:rPr>
        <w:t>例</w:t>
      </w:r>
      <w:r>
        <w:rPr>
          <w:rFonts w:ascii="微软雅黑" w:hAnsi="微软雅黑" w:eastAsia="微软雅黑" w:cs="微软雅黑"/>
          <w:spacing w:val="30"/>
          <w:sz w:val="19"/>
          <w:szCs w:val="19"/>
        </w:rPr>
        <w:t>》(</w:t>
      </w:r>
      <w:r>
        <w:rPr>
          <w:rFonts w:ascii="Arial" w:hAnsi="Arial" w:eastAsia="Arial" w:cs="Arial"/>
          <w:sz w:val="19"/>
          <w:szCs w:val="19"/>
        </w:rPr>
        <w:t>RegulationsRelating</w:t>
      </w:r>
      <w:r>
        <w:rPr>
          <w:rFonts w:ascii="Arial" w:hAnsi="Arial" w:eastAsia="Arial" w:cs="Arial"/>
          <w:spacing w:val="1"/>
          <w:sz w:val="19"/>
          <w:szCs w:val="19"/>
        </w:rPr>
        <w:t xml:space="preserve">  </w:t>
      </w:r>
      <w:r>
        <w:rPr>
          <w:rFonts w:ascii="Arial" w:hAnsi="Arial" w:eastAsia="Arial" w:cs="Arial"/>
          <w:sz w:val="19"/>
          <w:szCs w:val="19"/>
        </w:rPr>
        <w:t>to</w:t>
      </w:r>
      <w:r>
        <w:rPr>
          <w:rFonts w:ascii="Arial" w:hAnsi="Arial" w:eastAsia="Arial" w:cs="Arial"/>
          <w:spacing w:val="30"/>
          <w:sz w:val="19"/>
          <w:szCs w:val="19"/>
        </w:rPr>
        <w:t xml:space="preserve">  </w:t>
      </w:r>
      <w:r>
        <w:rPr>
          <w:rFonts w:ascii="Arial" w:hAnsi="Arial" w:eastAsia="Arial" w:cs="Arial"/>
          <w:spacing w:val="17"/>
          <w:sz w:val="19"/>
          <w:szCs w:val="19"/>
        </w:rPr>
        <w:t>Suitabilit</w:t>
      </w:r>
      <w:r>
        <w:rPr>
          <w:rFonts w:ascii="Arial" w:hAnsi="Arial" w:eastAsia="Arial" w:cs="Arial"/>
          <w:spacing w:val="-37"/>
          <w:sz w:val="19"/>
          <w:szCs w:val="19"/>
        </w:rPr>
        <w:t xml:space="preserve"> </w:t>
      </w:r>
      <w:r>
        <w:rPr>
          <w:rFonts w:ascii="Arial" w:hAnsi="Arial" w:eastAsia="Arial" w:cs="Arial"/>
          <w:spacing w:val="17"/>
          <w:position w:val="-1"/>
          <w:sz w:val="19"/>
          <w:szCs w:val="19"/>
        </w:rPr>
        <w:t xml:space="preserve">y </w:t>
      </w:r>
      <w:r>
        <w:rPr>
          <w:rFonts w:ascii="Arial" w:hAnsi="Arial" w:eastAsia="Arial" w:cs="Arial"/>
          <w:spacing w:val="17"/>
          <w:sz w:val="19"/>
          <w:szCs w:val="19"/>
        </w:rPr>
        <w:t>AssessmentinHigherEducation</w:t>
      </w:r>
      <w:r>
        <w:rPr>
          <w:rFonts w:ascii="微软雅黑" w:hAnsi="微软雅黑" w:eastAsia="微软雅黑" w:cs="微软雅黑"/>
          <w:spacing w:val="17"/>
          <w:sz w:val="19"/>
          <w:szCs w:val="19"/>
        </w:rPr>
        <w:t>),</w:t>
      </w:r>
      <w:r>
        <w:rPr>
          <w:rFonts w:ascii="宋体" w:hAnsi="宋体" w:eastAsia="宋体" w:cs="宋体"/>
          <w:spacing w:val="17"/>
          <w:sz w:val="19"/>
          <w:szCs w:val="19"/>
        </w:rPr>
        <w:t>强调</w:t>
      </w:r>
      <w:r>
        <w:rPr>
          <w:rFonts w:ascii="宋体" w:hAnsi="宋体" w:eastAsia="宋体" w:cs="宋体"/>
          <w:sz w:val="19"/>
          <w:szCs w:val="19"/>
        </w:rPr>
        <w:t xml:space="preserve">  </w:t>
      </w:r>
      <w:r>
        <w:rPr>
          <w:rFonts w:ascii="宋体" w:hAnsi="宋体" w:eastAsia="宋体" w:cs="宋体"/>
          <w:spacing w:val="18"/>
          <w:sz w:val="19"/>
          <w:szCs w:val="19"/>
        </w:rPr>
        <w:t>高等教育需要评价的范围</w:t>
      </w:r>
      <w:r>
        <w:rPr>
          <w:rFonts w:ascii="微软雅黑" w:hAnsi="微软雅黑" w:eastAsia="微软雅黑" w:cs="微软雅黑"/>
          <w:spacing w:val="18"/>
          <w:sz w:val="19"/>
          <w:szCs w:val="19"/>
        </w:rPr>
        <w:t>，</w:t>
      </w:r>
      <w:r>
        <w:rPr>
          <w:rFonts w:ascii="宋体" w:hAnsi="宋体" w:eastAsia="宋体" w:cs="宋体"/>
          <w:spacing w:val="18"/>
          <w:sz w:val="19"/>
          <w:szCs w:val="19"/>
        </w:rPr>
        <w:t>规范了评价评估的程</w:t>
      </w:r>
      <w:r>
        <w:rPr>
          <w:rFonts w:ascii="宋体" w:hAnsi="宋体" w:eastAsia="宋体" w:cs="宋体"/>
          <w:spacing w:val="17"/>
          <w:sz w:val="19"/>
          <w:szCs w:val="19"/>
        </w:rPr>
        <w:t>序</w:t>
      </w:r>
      <w:r>
        <w:rPr>
          <w:rFonts w:ascii="微软雅黑" w:hAnsi="微软雅黑" w:eastAsia="微软雅黑" w:cs="微软雅黑"/>
          <w:spacing w:val="17"/>
          <w:sz w:val="19"/>
          <w:szCs w:val="19"/>
        </w:rPr>
        <w:t>，</w:t>
      </w:r>
      <w:r>
        <w:rPr>
          <w:rFonts w:ascii="微软雅黑" w:hAnsi="微软雅黑" w:eastAsia="微软雅黑" w:cs="微软雅黑"/>
          <w:sz w:val="19"/>
          <w:szCs w:val="19"/>
        </w:rPr>
        <w:t xml:space="preserve"> </w:t>
      </w:r>
      <w:r>
        <w:rPr>
          <w:rFonts w:ascii="宋体" w:hAnsi="宋体" w:eastAsia="宋体" w:cs="宋体"/>
          <w:spacing w:val="23"/>
          <w:sz w:val="19"/>
          <w:szCs w:val="19"/>
        </w:rPr>
        <w:t>旨在通过对学生及高校进行全方位的适宜性评估评</w:t>
      </w:r>
      <w:r>
        <w:rPr>
          <w:rFonts w:ascii="宋体" w:hAnsi="宋体" w:eastAsia="宋体" w:cs="宋体"/>
          <w:sz w:val="19"/>
          <w:szCs w:val="19"/>
        </w:rPr>
        <w:t xml:space="preserve">  </w:t>
      </w:r>
      <w:r>
        <w:rPr>
          <w:rFonts w:ascii="宋体" w:hAnsi="宋体" w:eastAsia="宋体" w:cs="宋体"/>
          <w:spacing w:val="12"/>
          <w:sz w:val="19"/>
          <w:szCs w:val="19"/>
        </w:rPr>
        <w:t>价来保障和提升高等教育的质量</w:t>
      </w:r>
      <w:r>
        <w:rPr>
          <w:rFonts w:ascii="微软雅黑" w:hAnsi="微软雅黑" w:eastAsia="微软雅黑" w:cs="微软雅黑"/>
          <w:spacing w:val="12"/>
          <w:sz w:val="19"/>
          <w:szCs w:val="19"/>
        </w:rPr>
        <w:t>。</w:t>
      </w:r>
      <w:r>
        <w:rPr>
          <w:rFonts w:ascii="微软雅黑" w:hAnsi="微软雅黑" w:eastAsia="微软雅黑" w:cs="微软雅黑"/>
          <w:spacing w:val="12"/>
          <w:position w:val="8"/>
          <w:sz w:val="10"/>
          <w:szCs w:val="10"/>
        </w:rPr>
        <w:t>[</w:t>
      </w:r>
      <w:r>
        <w:rPr>
          <w:rFonts w:ascii="Arial" w:hAnsi="Arial" w:eastAsia="Arial" w:cs="Arial"/>
          <w:spacing w:val="12"/>
          <w:position w:val="8"/>
          <w:sz w:val="10"/>
          <w:szCs w:val="10"/>
        </w:rPr>
        <w:t>7</w:t>
      </w:r>
      <w:r>
        <w:rPr>
          <w:rFonts w:ascii="微软雅黑" w:hAnsi="微软雅黑" w:eastAsia="微软雅黑" w:cs="微软雅黑"/>
          <w:spacing w:val="12"/>
          <w:position w:val="8"/>
          <w:sz w:val="10"/>
          <w:szCs w:val="10"/>
        </w:rPr>
        <w:t xml:space="preserve">]  </w:t>
      </w:r>
      <w:r>
        <w:rPr>
          <w:rFonts w:ascii="宋体" w:hAnsi="宋体" w:eastAsia="宋体" w:cs="宋体"/>
          <w:spacing w:val="12"/>
          <w:sz w:val="19"/>
          <w:szCs w:val="19"/>
        </w:rPr>
        <w:t>同年</w:t>
      </w:r>
      <w:r>
        <w:rPr>
          <w:rFonts w:ascii="微软雅黑" w:hAnsi="微软雅黑" w:eastAsia="微软雅黑" w:cs="微软雅黑"/>
          <w:spacing w:val="12"/>
          <w:sz w:val="19"/>
          <w:szCs w:val="19"/>
        </w:rPr>
        <w:t>，</w:t>
      </w:r>
      <w:r>
        <w:rPr>
          <w:rFonts w:ascii="宋体" w:hAnsi="宋体" w:eastAsia="宋体" w:cs="宋体"/>
          <w:spacing w:val="12"/>
          <w:sz w:val="19"/>
          <w:szCs w:val="19"/>
        </w:rPr>
        <w:t>挪威教育</w:t>
      </w:r>
      <w:r>
        <w:rPr>
          <w:rFonts w:ascii="宋体" w:hAnsi="宋体" w:eastAsia="宋体" w:cs="宋体"/>
          <w:spacing w:val="1"/>
          <w:sz w:val="19"/>
          <w:szCs w:val="19"/>
        </w:rPr>
        <w:t xml:space="preserve">  </w:t>
      </w:r>
      <w:r>
        <w:rPr>
          <w:rFonts w:ascii="宋体" w:hAnsi="宋体" w:eastAsia="宋体" w:cs="宋体"/>
          <w:spacing w:val="-1"/>
          <w:sz w:val="19"/>
          <w:szCs w:val="19"/>
        </w:rPr>
        <w:t>与</w:t>
      </w:r>
      <w:r>
        <w:rPr>
          <w:rFonts w:ascii="宋体" w:hAnsi="宋体" w:eastAsia="宋体" w:cs="宋体"/>
          <w:spacing w:val="-38"/>
          <w:sz w:val="19"/>
          <w:szCs w:val="19"/>
        </w:rPr>
        <w:t xml:space="preserve"> </w:t>
      </w:r>
      <w:r>
        <w:rPr>
          <w:rFonts w:ascii="宋体" w:hAnsi="宋体" w:eastAsia="宋体" w:cs="宋体"/>
          <w:spacing w:val="-1"/>
          <w:sz w:val="19"/>
          <w:szCs w:val="19"/>
        </w:rPr>
        <w:t>研 究 部 官 网 转 载 了 联 合</w:t>
      </w:r>
      <w:r>
        <w:rPr>
          <w:rFonts w:ascii="宋体" w:hAnsi="宋体" w:eastAsia="宋体" w:cs="宋体"/>
          <w:spacing w:val="16"/>
          <w:sz w:val="19"/>
          <w:szCs w:val="19"/>
        </w:rPr>
        <w:t xml:space="preserve"> </w:t>
      </w:r>
      <w:r>
        <w:rPr>
          <w:rFonts w:ascii="宋体" w:hAnsi="宋体" w:eastAsia="宋体" w:cs="宋体"/>
          <w:spacing w:val="-1"/>
          <w:sz w:val="19"/>
          <w:szCs w:val="19"/>
        </w:rPr>
        <w:t xml:space="preserve">国 </w:t>
      </w:r>
      <w:r>
        <w:rPr>
          <w:rFonts w:ascii="宋体" w:hAnsi="宋体" w:eastAsia="宋体" w:cs="宋体"/>
          <w:spacing w:val="-2"/>
          <w:sz w:val="19"/>
          <w:szCs w:val="19"/>
        </w:rPr>
        <w:t>教 科 文 组 织</w:t>
      </w:r>
      <w:r>
        <w:rPr>
          <w:rFonts w:ascii="宋体" w:hAnsi="宋体" w:eastAsia="宋体" w:cs="宋体"/>
          <w:sz w:val="19"/>
          <w:szCs w:val="19"/>
        </w:rPr>
        <w:t xml:space="preserve">  </w:t>
      </w:r>
      <w:r>
        <w:rPr>
          <w:rFonts w:ascii="微软雅黑" w:hAnsi="微软雅黑" w:eastAsia="微软雅黑" w:cs="微软雅黑"/>
          <w:sz w:val="19"/>
          <w:szCs w:val="19"/>
        </w:rPr>
        <w:tab/>
      </w:r>
      <w:r>
        <w:rPr>
          <w:rFonts w:ascii="微软雅黑" w:hAnsi="微软雅黑" w:eastAsia="微软雅黑" w:cs="微软雅黑"/>
          <w:sz w:val="19"/>
          <w:szCs w:val="19"/>
        </w:rPr>
        <w:t>(</w:t>
      </w:r>
      <w:r>
        <w:rPr>
          <w:rFonts w:ascii="Arial" w:hAnsi="Arial" w:eastAsia="Arial" w:cs="Arial"/>
          <w:sz w:val="19"/>
          <w:szCs w:val="19"/>
        </w:rPr>
        <w:t>UNESCO</w:t>
      </w:r>
      <w:r>
        <w:rPr>
          <w:rFonts w:ascii="微软雅黑" w:hAnsi="微软雅黑" w:eastAsia="微软雅黑" w:cs="微软雅黑"/>
          <w:sz w:val="19"/>
          <w:szCs w:val="19"/>
        </w:rPr>
        <w:t>)</w:t>
      </w:r>
      <w:r>
        <w:rPr>
          <w:rFonts w:ascii="微软雅黑" w:hAnsi="微软雅黑" w:eastAsia="微软雅黑" w:cs="微软雅黑"/>
          <w:spacing w:val="57"/>
          <w:sz w:val="19"/>
          <w:szCs w:val="19"/>
        </w:rPr>
        <w:t xml:space="preserve"> </w:t>
      </w:r>
      <w:r>
        <w:rPr>
          <w:rFonts w:ascii="宋体" w:hAnsi="宋体" w:eastAsia="宋体" w:cs="宋体"/>
          <w:sz w:val="19"/>
          <w:szCs w:val="19"/>
        </w:rPr>
        <w:t>的</w:t>
      </w:r>
      <w:r>
        <w:rPr>
          <w:rFonts w:ascii="宋体" w:hAnsi="宋体" w:eastAsia="宋体" w:cs="宋体"/>
          <w:spacing w:val="-37"/>
          <w:sz w:val="19"/>
          <w:szCs w:val="19"/>
        </w:rPr>
        <w:t xml:space="preserve"> </w:t>
      </w:r>
      <w:r>
        <w:rPr>
          <w:rFonts w:ascii="宋体" w:hAnsi="宋体" w:eastAsia="宋体" w:cs="宋体"/>
          <w:sz w:val="19"/>
          <w:szCs w:val="19"/>
        </w:rPr>
        <w:t>报</w:t>
      </w:r>
      <w:r>
        <w:rPr>
          <w:rFonts w:ascii="宋体" w:hAnsi="宋体" w:eastAsia="宋体" w:cs="宋体"/>
          <w:spacing w:val="-30"/>
          <w:sz w:val="19"/>
          <w:szCs w:val="19"/>
        </w:rPr>
        <w:t xml:space="preserve"> </w:t>
      </w:r>
      <w:r>
        <w:rPr>
          <w:rFonts w:ascii="宋体" w:hAnsi="宋体" w:eastAsia="宋体" w:cs="宋体"/>
          <w:sz w:val="19"/>
          <w:szCs w:val="19"/>
        </w:rPr>
        <w:t>告</w:t>
      </w:r>
      <w:r>
        <w:rPr>
          <w:rFonts w:ascii="微软雅黑" w:hAnsi="微软雅黑" w:eastAsia="微软雅黑" w:cs="微软雅黑"/>
          <w:sz w:val="19"/>
          <w:szCs w:val="19"/>
        </w:rPr>
        <w:t>《</w:t>
      </w:r>
      <w:r>
        <w:rPr>
          <w:rFonts w:ascii="宋体" w:hAnsi="宋体" w:eastAsia="宋体" w:cs="宋体"/>
          <w:sz w:val="19"/>
          <w:szCs w:val="19"/>
        </w:rPr>
        <w:t>全</w:t>
      </w:r>
      <w:r>
        <w:rPr>
          <w:rFonts w:ascii="宋体" w:hAnsi="宋体" w:eastAsia="宋体" w:cs="宋体"/>
          <w:spacing w:val="-34"/>
          <w:sz w:val="19"/>
          <w:szCs w:val="19"/>
        </w:rPr>
        <w:t xml:space="preserve"> </w:t>
      </w:r>
      <w:r>
        <w:rPr>
          <w:rFonts w:ascii="宋体" w:hAnsi="宋体" w:eastAsia="宋体" w:cs="宋体"/>
          <w:sz w:val="19"/>
          <w:szCs w:val="19"/>
        </w:rPr>
        <w:t>球</w:t>
      </w:r>
      <w:r>
        <w:rPr>
          <w:rFonts w:ascii="宋体" w:hAnsi="宋体" w:eastAsia="宋体" w:cs="宋体"/>
          <w:spacing w:val="-28"/>
          <w:sz w:val="19"/>
          <w:szCs w:val="19"/>
        </w:rPr>
        <w:t xml:space="preserve"> </w:t>
      </w:r>
      <w:r>
        <w:rPr>
          <w:rFonts w:ascii="宋体" w:hAnsi="宋体" w:eastAsia="宋体" w:cs="宋体"/>
          <w:sz w:val="19"/>
          <w:szCs w:val="19"/>
        </w:rPr>
        <w:t>高</w:t>
      </w:r>
      <w:r>
        <w:rPr>
          <w:rFonts w:ascii="宋体" w:hAnsi="宋体" w:eastAsia="宋体" w:cs="宋体"/>
          <w:spacing w:val="-31"/>
          <w:sz w:val="19"/>
          <w:szCs w:val="19"/>
        </w:rPr>
        <w:t xml:space="preserve"> </w:t>
      </w:r>
      <w:r>
        <w:rPr>
          <w:rFonts w:ascii="宋体" w:hAnsi="宋体" w:eastAsia="宋体" w:cs="宋体"/>
          <w:sz w:val="19"/>
          <w:szCs w:val="19"/>
        </w:rPr>
        <w:t>等</w:t>
      </w:r>
      <w:r>
        <w:rPr>
          <w:rFonts w:ascii="宋体" w:hAnsi="宋体" w:eastAsia="宋体" w:cs="宋体"/>
          <w:spacing w:val="-31"/>
          <w:sz w:val="19"/>
          <w:szCs w:val="19"/>
        </w:rPr>
        <w:t xml:space="preserve"> </w:t>
      </w:r>
      <w:r>
        <w:rPr>
          <w:rFonts w:ascii="宋体" w:hAnsi="宋体" w:eastAsia="宋体" w:cs="宋体"/>
          <w:sz w:val="19"/>
          <w:szCs w:val="19"/>
        </w:rPr>
        <w:t>教</w:t>
      </w:r>
      <w:r>
        <w:rPr>
          <w:rFonts w:ascii="宋体" w:hAnsi="宋体" w:eastAsia="宋体" w:cs="宋体"/>
          <w:spacing w:val="-26"/>
          <w:sz w:val="19"/>
          <w:szCs w:val="19"/>
        </w:rPr>
        <w:t xml:space="preserve"> </w:t>
      </w:r>
      <w:r>
        <w:rPr>
          <w:rFonts w:ascii="宋体" w:hAnsi="宋体" w:eastAsia="宋体" w:cs="宋体"/>
          <w:sz w:val="19"/>
          <w:szCs w:val="19"/>
        </w:rPr>
        <w:t>育</w:t>
      </w:r>
      <w:r>
        <w:rPr>
          <w:rFonts w:ascii="宋体" w:hAnsi="宋体" w:eastAsia="宋体" w:cs="宋体"/>
          <w:spacing w:val="-32"/>
          <w:sz w:val="19"/>
          <w:szCs w:val="19"/>
        </w:rPr>
        <w:t xml:space="preserve"> </w:t>
      </w:r>
      <w:r>
        <w:rPr>
          <w:rFonts w:ascii="宋体" w:hAnsi="宋体" w:eastAsia="宋体" w:cs="宋体"/>
          <w:sz w:val="19"/>
          <w:szCs w:val="19"/>
        </w:rPr>
        <w:t>质</w:t>
      </w:r>
      <w:r>
        <w:rPr>
          <w:rFonts w:ascii="宋体" w:hAnsi="宋体" w:eastAsia="宋体" w:cs="宋体"/>
          <w:spacing w:val="-34"/>
          <w:sz w:val="19"/>
          <w:szCs w:val="19"/>
        </w:rPr>
        <w:t xml:space="preserve"> </w:t>
      </w:r>
      <w:r>
        <w:rPr>
          <w:rFonts w:ascii="宋体" w:hAnsi="宋体" w:eastAsia="宋体" w:cs="宋体"/>
          <w:sz w:val="19"/>
          <w:szCs w:val="19"/>
        </w:rPr>
        <w:t>量</w:t>
      </w:r>
      <w:r>
        <w:rPr>
          <w:rFonts w:ascii="宋体" w:hAnsi="宋体" w:eastAsia="宋体" w:cs="宋体"/>
          <w:spacing w:val="-31"/>
          <w:sz w:val="19"/>
          <w:szCs w:val="19"/>
        </w:rPr>
        <w:t xml:space="preserve"> </w:t>
      </w:r>
      <w:r>
        <w:rPr>
          <w:rFonts w:ascii="宋体" w:hAnsi="宋体" w:eastAsia="宋体" w:cs="宋体"/>
          <w:sz w:val="19"/>
          <w:szCs w:val="19"/>
        </w:rPr>
        <w:t>准</w:t>
      </w:r>
      <w:r>
        <w:rPr>
          <w:rFonts w:ascii="宋体" w:hAnsi="宋体" w:eastAsia="宋体" w:cs="宋体"/>
          <w:spacing w:val="-30"/>
          <w:sz w:val="19"/>
          <w:szCs w:val="19"/>
        </w:rPr>
        <w:t xml:space="preserve"> </w:t>
      </w:r>
      <w:r>
        <w:rPr>
          <w:rFonts w:ascii="宋体" w:hAnsi="宋体" w:eastAsia="宋体" w:cs="宋体"/>
          <w:sz w:val="19"/>
          <w:szCs w:val="19"/>
        </w:rPr>
        <w:t>则</w:t>
      </w:r>
      <w:r>
        <w:rPr>
          <w:rFonts w:ascii="宋体" w:hAnsi="宋体" w:eastAsia="宋体" w:cs="宋体"/>
          <w:spacing w:val="-32"/>
          <w:sz w:val="19"/>
          <w:szCs w:val="19"/>
        </w:rPr>
        <w:t xml:space="preserve"> </w:t>
      </w:r>
      <w:r>
        <w:rPr>
          <w:rFonts w:ascii="微软雅黑" w:hAnsi="微软雅黑" w:eastAsia="微软雅黑" w:cs="微软雅黑"/>
          <w:sz w:val="19"/>
          <w:szCs w:val="19"/>
        </w:rPr>
        <w:t xml:space="preserve">》 </w:t>
      </w:r>
      <w:r>
        <w:rPr>
          <w:rFonts w:ascii="微软雅黑" w:hAnsi="微软雅黑" w:eastAsia="微软雅黑" w:cs="微软雅黑"/>
          <w:sz w:val="19"/>
          <w:szCs w:val="19"/>
        </w:rPr>
        <w:tab/>
      </w:r>
      <w:r>
        <w:rPr>
          <w:rFonts w:ascii="微软雅黑" w:hAnsi="微软雅黑" w:eastAsia="微软雅黑" w:cs="微软雅黑"/>
          <w:spacing w:val="14"/>
          <w:sz w:val="19"/>
          <w:szCs w:val="19"/>
        </w:rPr>
        <w:t>(</w:t>
      </w:r>
      <w:r>
        <w:rPr>
          <w:rFonts w:ascii="Arial" w:hAnsi="Arial" w:eastAsia="Arial" w:cs="Arial"/>
          <w:spacing w:val="14"/>
          <w:sz w:val="19"/>
          <w:szCs w:val="19"/>
        </w:rPr>
        <w:t>GuidelinesforQualityProvisionin</w:t>
      </w:r>
      <w:r>
        <w:rPr>
          <w:rFonts w:ascii="Arial" w:hAnsi="Arial" w:eastAsia="Arial" w:cs="Arial"/>
          <w:spacing w:val="9"/>
          <w:sz w:val="19"/>
          <w:szCs w:val="19"/>
        </w:rPr>
        <w:t xml:space="preserve">  </w:t>
      </w:r>
      <w:r>
        <w:rPr>
          <w:rFonts w:ascii="Arial" w:hAnsi="Arial" w:eastAsia="Arial" w:cs="Arial"/>
          <w:spacing w:val="14"/>
          <w:sz w:val="19"/>
          <w:szCs w:val="19"/>
        </w:rPr>
        <w:t xml:space="preserve">Cross-border  </w:t>
      </w:r>
      <w:r>
        <w:rPr>
          <w:rFonts w:ascii="Arial" w:hAnsi="Arial" w:eastAsia="Arial" w:cs="Arial"/>
          <w:sz w:val="19"/>
          <w:szCs w:val="19"/>
        </w:rPr>
        <w:t>HigherEducation</w:t>
      </w:r>
      <w:r>
        <w:rPr>
          <w:rFonts w:ascii="微软雅黑" w:hAnsi="微软雅黑" w:eastAsia="微软雅黑" w:cs="微软雅黑"/>
          <w:spacing w:val="38"/>
          <w:sz w:val="19"/>
          <w:szCs w:val="19"/>
        </w:rPr>
        <w:t>),</w:t>
      </w:r>
      <w:r>
        <w:rPr>
          <w:rFonts w:ascii="宋体" w:hAnsi="宋体" w:eastAsia="宋体" w:cs="宋体"/>
          <w:spacing w:val="38"/>
          <w:sz w:val="19"/>
          <w:szCs w:val="19"/>
        </w:rPr>
        <w:t>指出要加强各</w:t>
      </w:r>
      <w:r>
        <w:rPr>
          <w:rFonts w:ascii="宋体" w:hAnsi="宋体" w:eastAsia="宋体" w:cs="宋体"/>
          <w:spacing w:val="-46"/>
          <w:sz w:val="19"/>
          <w:szCs w:val="19"/>
        </w:rPr>
        <w:t xml:space="preserve"> </w:t>
      </w:r>
      <w:r>
        <w:rPr>
          <w:rFonts w:ascii="宋体" w:hAnsi="宋体" w:eastAsia="宋体" w:cs="宋体"/>
          <w:spacing w:val="38"/>
          <w:sz w:val="19"/>
          <w:szCs w:val="19"/>
        </w:rPr>
        <w:t>国之</w:t>
      </w:r>
      <w:r>
        <w:rPr>
          <w:rFonts w:ascii="宋体" w:hAnsi="宋体" w:eastAsia="宋体" w:cs="宋体"/>
          <w:spacing w:val="-49"/>
          <w:sz w:val="19"/>
          <w:szCs w:val="19"/>
        </w:rPr>
        <w:t xml:space="preserve"> </w:t>
      </w:r>
      <w:r>
        <w:rPr>
          <w:rFonts w:ascii="宋体" w:hAnsi="宋体" w:eastAsia="宋体" w:cs="宋体"/>
          <w:spacing w:val="38"/>
          <w:sz w:val="19"/>
          <w:szCs w:val="19"/>
        </w:rPr>
        <w:t>间高等教</w:t>
      </w:r>
      <w:r>
        <w:rPr>
          <w:rFonts w:ascii="宋体" w:hAnsi="宋体" w:eastAsia="宋体" w:cs="宋体"/>
          <w:spacing w:val="-57"/>
          <w:sz w:val="19"/>
          <w:szCs w:val="19"/>
        </w:rPr>
        <w:t xml:space="preserve"> </w:t>
      </w:r>
      <w:r>
        <w:rPr>
          <w:rFonts w:ascii="宋体" w:hAnsi="宋体" w:eastAsia="宋体" w:cs="宋体"/>
          <w:spacing w:val="38"/>
          <w:sz w:val="19"/>
          <w:szCs w:val="19"/>
        </w:rPr>
        <w:t>育</w:t>
      </w:r>
      <w:r>
        <w:rPr>
          <w:rFonts w:ascii="宋体" w:hAnsi="宋体" w:eastAsia="宋体" w:cs="宋体"/>
          <w:sz w:val="19"/>
          <w:szCs w:val="19"/>
        </w:rPr>
        <w:t xml:space="preserve">  </w:t>
      </w:r>
      <w:r>
        <w:rPr>
          <w:rFonts w:ascii="宋体" w:hAnsi="宋体" w:eastAsia="宋体" w:cs="宋体"/>
          <w:spacing w:val="23"/>
          <w:sz w:val="19"/>
          <w:szCs w:val="19"/>
        </w:rPr>
        <w:t>质量保障上的合作</w:t>
      </w:r>
      <w:r>
        <w:rPr>
          <w:rFonts w:ascii="微软雅黑" w:hAnsi="微软雅黑" w:eastAsia="微软雅黑" w:cs="微软雅黑"/>
          <w:spacing w:val="23"/>
          <w:sz w:val="19"/>
          <w:szCs w:val="19"/>
        </w:rPr>
        <w:t>，</w:t>
      </w:r>
      <w:r>
        <w:rPr>
          <w:rFonts w:ascii="宋体" w:hAnsi="宋体" w:eastAsia="宋体" w:cs="宋体"/>
          <w:spacing w:val="23"/>
          <w:sz w:val="19"/>
          <w:szCs w:val="19"/>
        </w:rPr>
        <w:t>并对高校质量保障的主体参与</w:t>
      </w:r>
      <w:r>
        <w:rPr>
          <w:rFonts w:ascii="宋体" w:hAnsi="宋体" w:eastAsia="宋体" w:cs="宋体"/>
          <w:spacing w:val="1"/>
          <w:sz w:val="19"/>
          <w:szCs w:val="19"/>
        </w:rPr>
        <w:t xml:space="preserve">  </w:t>
      </w:r>
      <w:r>
        <w:rPr>
          <w:rFonts w:ascii="宋体" w:hAnsi="宋体" w:eastAsia="宋体" w:cs="宋体"/>
          <w:spacing w:val="7"/>
          <w:sz w:val="19"/>
          <w:szCs w:val="19"/>
        </w:rPr>
        <w:t>者</w:t>
      </w:r>
      <w:r>
        <w:rPr>
          <w:rFonts w:ascii="微软雅黑" w:hAnsi="微软雅黑" w:eastAsia="微软雅黑" w:cs="微软雅黑"/>
          <w:spacing w:val="7"/>
          <w:sz w:val="19"/>
          <w:szCs w:val="19"/>
        </w:rPr>
        <w:t>（</w:t>
      </w:r>
      <w:r>
        <w:rPr>
          <w:rFonts w:ascii="宋体" w:hAnsi="宋体" w:eastAsia="宋体" w:cs="宋体"/>
          <w:spacing w:val="7"/>
          <w:sz w:val="19"/>
          <w:szCs w:val="19"/>
        </w:rPr>
        <w:t>包括政府</w:t>
      </w:r>
      <w:r>
        <w:rPr>
          <w:rFonts w:ascii="微软雅黑" w:hAnsi="微软雅黑" w:eastAsia="微软雅黑" w:cs="微软雅黑"/>
          <w:spacing w:val="7"/>
          <w:sz w:val="19"/>
          <w:szCs w:val="19"/>
        </w:rPr>
        <w:t>、</w:t>
      </w:r>
      <w:r>
        <w:rPr>
          <w:rFonts w:ascii="宋体" w:hAnsi="宋体" w:eastAsia="宋体" w:cs="宋体"/>
          <w:spacing w:val="7"/>
          <w:sz w:val="19"/>
          <w:szCs w:val="19"/>
        </w:rPr>
        <w:t>学术评估机构</w:t>
      </w:r>
      <w:r>
        <w:rPr>
          <w:rFonts w:ascii="微软雅黑" w:hAnsi="微软雅黑" w:eastAsia="微软雅黑" w:cs="微软雅黑"/>
          <w:spacing w:val="7"/>
          <w:sz w:val="19"/>
          <w:szCs w:val="19"/>
        </w:rPr>
        <w:t>、</w:t>
      </w:r>
      <w:r>
        <w:rPr>
          <w:rFonts w:ascii="宋体" w:hAnsi="宋体" w:eastAsia="宋体" w:cs="宋体"/>
          <w:spacing w:val="7"/>
          <w:sz w:val="19"/>
          <w:szCs w:val="19"/>
        </w:rPr>
        <w:t>学生</w:t>
      </w:r>
      <w:r>
        <w:rPr>
          <w:rFonts w:ascii="宋体" w:hAnsi="宋体" w:eastAsia="宋体" w:cs="宋体"/>
          <w:spacing w:val="-41"/>
          <w:sz w:val="19"/>
          <w:szCs w:val="19"/>
        </w:rPr>
        <w:t xml:space="preserve"> </w:t>
      </w:r>
      <w:r>
        <w:rPr>
          <w:rFonts w:ascii="宋体" w:hAnsi="宋体" w:eastAsia="宋体" w:cs="宋体"/>
          <w:spacing w:val="7"/>
          <w:sz w:val="19"/>
          <w:szCs w:val="19"/>
        </w:rPr>
        <w:t>团体</w:t>
      </w:r>
      <w:r>
        <w:rPr>
          <w:rFonts w:ascii="微软雅黑" w:hAnsi="微软雅黑" w:eastAsia="微软雅黑" w:cs="微软雅黑"/>
          <w:spacing w:val="7"/>
          <w:sz w:val="19"/>
          <w:szCs w:val="19"/>
        </w:rPr>
        <w:t>、</w:t>
      </w:r>
      <w:r>
        <w:rPr>
          <w:rFonts w:ascii="宋体" w:hAnsi="宋体" w:eastAsia="宋体" w:cs="宋体"/>
          <w:spacing w:val="7"/>
          <w:sz w:val="19"/>
          <w:szCs w:val="19"/>
        </w:rPr>
        <w:t>高校机构</w:t>
      </w:r>
      <w:r>
        <w:rPr>
          <w:rFonts w:ascii="微软雅黑" w:hAnsi="微软雅黑" w:eastAsia="微软雅黑" w:cs="微软雅黑"/>
          <w:spacing w:val="7"/>
          <w:sz w:val="19"/>
          <w:szCs w:val="19"/>
        </w:rPr>
        <w:t>、</w:t>
      </w:r>
      <w:r>
        <w:rPr>
          <w:rFonts w:ascii="微软雅黑" w:hAnsi="微软雅黑" w:eastAsia="微软雅黑" w:cs="微软雅黑"/>
          <w:sz w:val="19"/>
          <w:szCs w:val="19"/>
        </w:rPr>
        <w:t xml:space="preserve"> </w:t>
      </w:r>
      <w:r>
        <w:rPr>
          <w:rFonts w:ascii="宋体" w:hAnsi="宋体" w:eastAsia="宋体" w:cs="宋体"/>
          <w:spacing w:val="19"/>
          <w:sz w:val="19"/>
          <w:szCs w:val="19"/>
        </w:rPr>
        <w:t>认证机构及专业机</w:t>
      </w:r>
      <w:r>
        <w:rPr>
          <w:rFonts w:ascii="宋体" w:hAnsi="宋体" w:eastAsia="宋体" w:cs="宋体"/>
          <w:spacing w:val="-43"/>
          <w:sz w:val="19"/>
          <w:szCs w:val="19"/>
        </w:rPr>
        <w:t xml:space="preserve"> </w:t>
      </w:r>
      <w:r>
        <w:rPr>
          <w:rFonts w:ascii="宋体" w:hAnsi="宋体" w:eastAsia="宋体" w:cs="宋体"/>
          <w:spacing w:val="19"/>
          <w:sz w:val="19"/>
          <w:szCs w:val="19"/>
        </w:rPr>
        <w:t>构</w:t>
      </w:r>
      <w:r>
        <w:rPr>
          <w:rFonts w:ascii="宋体" w:hAnsi="宋体" w:eastAsia="宋体" w:cs="宋体"/>
          <w:spacing w:val="-57"/>
          <w:sz w:val="19"/>
          <w:szCs w:val="19"/>
        </w:rPr>
        <w:t xml:space="preserve"> </w:t>
      </w:r>
      <w:r>
        <w:rPr>
          <w:rFonts w:ascii="宋体" w:hAnsi="宋体" w:eastAsia="宋体" w:cs="宋体"/>
          <w:spacing w:val="19"/>
          <w:sz w:val="19"/>
          <w:szCs w:val="19"/>
        </w:rPr>
        <w:t>等</w:t>
      </w:r>
      <w:r>
        <w:rPr>
          <w:rFonts w:ascii="微软雅黑" w:hAnsi="微软雅黑" w:eastAsia="微软雅黑" w:cs="微软雅黑"/>
          <w:spacing w:val="19"/>
          <w:sz w:val="19"/>
          <w:szCs w:val="19"/>
        </w:rPr>
        <w:t>）</w:t>
      </w:r>
      <w:r>
        <w:rPr>
          <w:rFonts w:ascii="宋体" w:hAnsi="宋体" w:eastAsia="宋体" w:cs="宋体"/>
          <w:spacing w:val="19"/>
          <w:sz w:val="19"/>
          <w:szCs w:val="19"/>
        </w:rPr>
        <w:t>提供了规范性的指南</w:t>
      </w:r>
      <w:r>
        <w:rPr>
          <w:rFonts w:ascii="微软雅黑" w:hAnsi="微软雅黑" w:eastAsia="微软雅黑" w:cs="微软雅黑"/>
          <w:spacing w:val="19"/>
          <w:sz w:val="19"/>
          <w:szCs w:val="19"/>
        </w:rPr>
        <w:t>。</w:t>
      </w:r>
      <w:r>
        <w:rPr>
          <w:rFonts w:ascii="微软雅黑" w:hAnsi="微软雅黑" w:eastAsia="微软雅黑" w:cs="微软雅黑"/>
          <w:spacing w:val="19"/>
          <w:position w:val="8"/>
          <w:sz w:val="10"/>
          <w:szCs w:val="10"/>
        </w:rPr>
        <w:t>[</w:t>
      </w:r>
      <w:r>
        <w:rPr>
          <w:rFonts w:ascii="Arial" w:hAnsi="Arial" w:eastAsia="Arial" w:cs="Arial"/>
          <w:spacing w:val="19"/>
          <w:position w:val="8"/>
          <w:sz w:val="10"/>
          <w:szCs w:val="10"/>
        </w:rPr>
        <w:t>8</w:t>
      </w:r>
      <w:r>
        <w:rPr>
          <w:rFonts w:ascii="微软雅黑" w:hAnsi="微软雅黑" w:eastAsia="微软雅黑" w:cs="微软雅黑"/>
          <w:spacing w:val="19"/>
          <w:position w:val="8"/>
          <w:sz w:val="10"/>
          <w:szCs w:val="10"/>
        </w:rPr>
        <w:t>]</w:t>
      </w:r>
      <w:r>
        <w:rPr>
          <w:rFonts w:ascii="微软雅黑" w:hAnsi="微软雅黑" w:eastAsia="微软雅黑" w:cs="微软雅黑"/>
          <w:sz w:val="10"/>
          <w:szCs w:val="10"/>
        </w:rPr>
        <w:tab/>
      </w:r>
      <w:r>
        <w:rPr>
          <w:rFonts w:ascii="微软雅黑" w:hAnsi="微软雅黑" w:eastAsia="微软雅黑" w:cs="微软雅黑"/>
          <w:position w:val="8"/>
          <w:sz w:val="10"/>
          <w:szCs w:val="10"/>
        </w:rPr>
        <w:t xml:space="preserve"> </w:t>
      </w:r>
      <w:r>
        <w:rPr>
          <w:rFonts w:ascii="Arial" w:hAnsi="Arial" w:eastAsia="Arial" w:cs="Arial"/>
          <w:spacing w:val="13"/>
          <w:position w:val="-1"/>
          <w:sz w:val="19"/>
          <w:szCs w:val="19"/>
        </w:rPr>
        <w:t>2015</w:t>
      </w:r>
      <w:r>
        <w:rPr>
          <w:rFonts w:ascii="宋体" w:hAnsi="宋体" w:eastAsia="宋体" w:cs="宋体"/>
          <w:spacing w:val="13"/>
          <w:position w:val="-1"/>
          <w:sz w:val="19"/>
          <w:szCs w:val="19"/>
        </w:rPr>
        <w:t>年</w:t>
      </w:r>
      <w:r>
        <w:rPr>
          <w:rFonts w:ascii="微软雅黑" w:hAnsi="微软雅黑" w:eastAsia="微软雅黑" w:cs="微软雅黑"/>
          <w:spacing w:val="13"/>
          <w:position w:val="1"/>
          <w:sz w:val="19"/>
          <w:szCs w:val="19"/>
        </w:rPr>
        <w:t>，</w:t>
      </w:r>
      <w:r>
        <w:rPr>
          <w:rFonts w:ascii="宋体" w:hAnsi="宋体" w:eastAsia="宋体" w:cs="宋体"/>
          <w:spacing w:val="13"/>
          <w:sz w:val="19"/>
          <w:szCs w:val="19"/>
        </w:rPr>
        <w:t>挪威政府在提交给议会</w:t>
      </w:r>
      <w:r>
        <w:rPr>
          <w:rFonts w:ascii="宋体" w:hAnsi="宋体" w:eastAsia="宋体" w:cs="宋体"/>
          <w:spacing w:val="-36"/>
          <w:sz w:val="19"/>
          <w:szCs w:val="19"/>
        </w:rPr>
        <w:t xml:space="preserve"> </w:t>
      </w:r>
      <w:r>
        <w:rPr>
          <w:rFonts w:ascii="宋体" w:hAnsi="宋体" w:eastAsia="宋体" w:cs="宋体"/>
          <w:spacing w:val="13"/>
          <w:sz w:val="19"/>
          <w:szCs w:val="19"/>
        </w:rPr>
        <w:t>的报告</w:t>
      </w:r>
      <w:r>
        <w:rPr>
          <w:rFonts w:ascii="宋体" w:hAnsi="宋体" w:eastAsia="宋体" w:cs="宋体"/>
          <w:spacing w:val="-48"/>
          <w:sz w:val="19"/>
          <w:szCs w:val="19"/>
        </w:rPr>
        <w:t xml:space="preserve"> </w:t>
      </w:r>
      <w:r>
        <w:rPr>
          <w:rFonts w:ascii="宋体" w:hAnsi="宋体" w:eastAsia="宋体" w:cs="宋体"/>
          <w:spacing w:val="13"/>
          <w:sz w:val="19"/>
          <w:szCs w:val="19"/>
        </w:rPr>
        <w:t>中强调</w:t>
      </w:r>
      <w:r>
        <w:rPr>
          <w:rFonts w:ascii="宋体" w:hAnsi="宋体" w:eastAsia="宋体" w:cs="宋体"/>
          <w:spacing w:val="-49"/>
          <w:sz w:val="19"/>
          <w:szCs w:val="19"/>
        </w:rPr>
        <w:t xml:space="preserve"> </w:t>
      </w:r>
      <w:r>
        <w:rPr>
          <w:rFonts w:ascii="宋体" w:hAnsi="宋体" w:eastAsia="宋体" w:cs="宋体"/>
          <w:spacing w:val="13"/>
          <w:sz w:val="19"/>
          <w:szCs w:val="19"/>
        </w:rPr>
        <w:t>了质</w:t>
      </w:r>
      <w:r>
        <w:rPr>
          <w:rFonts w:ascii="宋体" w:hAnsi="宋体" w:eastAsia="宋体" w:cs="宋体"/>
          <w:sz w:val="19"/>
          <w:szCs w:val="19"/>
        </w:rPr>
        <w:t xml:space="preserve">  </w:t>
      </w:r>
      <w:r>
        <w:rPr>
          <w:rFonts w:ascii="宋体" w:hAnsi="宋体" w:eastAsia="宋体" w:cs="宋体"/>
          <w:spacing w:val="23"/>
          <w:sz w:val="19"/>
          <w:szCs w:val="19"/>
        </w:rPr>
        <w:t>量保障的重要性</w:t>
      </w:r>
      <w:r>
        <w:rPr>
          <w:rFonts w:ascii="微软雅黑" w:hAnsi="微软雅黑" w:eastAsia="微软雅黑" w:cs="微软雅黑"/>
          <w:spacing w:val="23"/>
          <w:sz w:val="19"/>
          <w:szCs w:val="19"/>
        </w:rPr>
        <w:t>，</w:t>
      </w:r>
      <w:r>
        <w:rPr>
          <w:rFonts w:ascii="宋体" w:hAnsi="宋体" w:eastAsia="宋体" w:cs="宋体"/>
          <w:spacing w:val="23"/>
          <w:sz w:val="19"/>
          <w:szCs w:val="19"/>
        </w:rPr>
        <w:t>主张通过加强硕士与博士研究生</w:t>
      </w:r>
      <w:r>
        <w:rPr>
          <w:rFonts w:ascii="宋体" w:hAnsi="宋体" w:eastAsia="宋体" w:cs="宋体"/>
          <w:sz w:val="19"/>
          <w:szCs w:val="19"/>
        </w:rPr>
        <w:t xml:space="preserve">  </w:t>
      </w:r>
      <w:r>
        <w:rPr>
          <w:rFonts w:ascii="宋体" w:hAnsi="宋体" w:eastAsia="宋体" w:cs="宋体"/>
          <w:spacing w:val="19"/>
          <w:sz w:val="19"/>
          <w:szCs w:val="19"/>
        </w:rPr>
        <w:t>的课程设置</w:t>
      </w:r>
      <w:r>
        <w:rPr>
          <w:rFonts w:ascii="微软雅黑" w:hAnsi="微软雅黑" w:eastAsia="微软雅黑" w:cs="微软雅黑"/>
          <w:spacing w:val="19"/>
          <w:sz w:val="19"/>
          <w:szCs w:val="19"/>
        </w:rPr>
        <w:t>，</w:t>
      </w:r>
      <w:r>
        <w:rPr>
          <w:rFonts w:ascii="宋体" w:hAnsi="宋体" w:eastAsia="宋体" w:cs="宋体"/>
          <w:spacing w:val="19"/>
          <w:sz w:val="19"/>
          <w:szCs w:val="19"/>
        </w:rPr>
        <w:t>优化不同学</w:t>
      </w:r>
      <w:r>
        <w:rPr>
          <w:rFonts w:ascii="宋体" w:hAnsi="宋体" w:eastAsia="宋体" w:cs="宋体"/>
          <w:spacing w:val="-46"/>
          <w:sz w:val="19"/>
          <w:szCs w:val="19"/>
        </w:rPr>
        <w:t xml:space="preserve"> </w:t>
      </w:r>
      <w:r>
        <w:rPr>
          <w:rFonts w:ascii="宋体" w:hAnsi="宋体" w:eastAsia="宋体" w:cs="宋体"/>
          <w:spacing w:val="19"/>
          <w:sz w:val="19"/>
          <w:szCs w:val="19"/>
        </w:rPr>
        <w:t>员间的</w:t>
      </w:r>
      <w:r>
        <w:rPr>
          <w:rFonts w:ascii="宋体" w:hAnsi="宋体" w:eastAsia="宋体" w:cs="宋体"/>
          <w:spacing w:val="-55"/>
          <w:sz w:val="19"/>
          <w:szCs w:val="19"/>
        </w:rPr>
        <w:t xml:space="preserve"> </w:t>
      </w:r>
      <w:r>
        <w:rPr>
          <w:rFonts w:ascii="宋体" w:hAnsi="宋体" w:eastAsia="宋体" w:cs="宋体"/>
          <w:spacing w:val="19"/>
          <w:sz w:val="19"/>
          <w:szCs w:val="19"/>
        </w:rPr>
        <w:t>资源配置来提高高</w:t>
      </w:r>
      <w:r>
        <w:rPr>
          <w:rFonts w:ascii="宋体" w:hAnsi="宋体" w:eastAsia="宋体" w:cs="宋体"/>
          <w:sz w:val="19"/>
          <w:szCs w:val="19"/>
        </w:rPr>
        <w:t xml:space="preserve">  </w:t>
      </w:r>
      <w:r>
        <w:rPr>
          <w:rFonts w:ascii="宋体" w:hAnsi="宋体" w:eastAsia="宋体" w:cs="宋体"/>
          <w:spacing w:val="14"/>
          <w:sz w:val="19"/>
          <w:szCs w:val="19"/>
        </w:rPr>
        <w:t>校发展的质量</w:t>
      </w:r>
      <w:r>
        <w:rPr>
          <w:rFonts w:ascii="宋体" w:hAnsi="宋体" w:eastAsia="宋体" w:cs="宋体"/>
          <w:spacing w:val="-50"/>
          <w:sz w:val="19"/>
          <w:szCs w:val="19"/>
        </w:rPr>
        <w:t xml:space="preserve"> </w:t>
      </w:r>
      <w:r>
        <w:rPr>
          <w:rFonts w:ascii="微软雅黑" w:hAnsi="微软雅黑" w:eastAsia="微软雅黑" w:cs="微软雅黑"/>
          <w:spacing w:val="14"/>
          <w:position w:val="1"/>
          <w:sz w:val="19"/>
          <w:szCs w:val="19"/>
        </w:rPr>
        <w:t>。</w:t>
      </w:r>
      <w:r>
        <w:rPr>
          <w:rFonts w:ascii="Arial" w:hAnsi="Arial" w:eastAsia="Arial" w:cs="Arial"/>
          <w:spacing w:val="14"/>
          <w:position w:val="-1"/>
          <w:sz w:val="19"/>
          <w:szCs w:val="19"/>
        </w:rPr>
        <w:t>2016</w:t>
      </w:r>
      <w:r>
        <w:rPr>
          <w:rFonts w:ascii="宋体" w:hAnsi="宋体" w:eastAsia="宋体" w:cs="宋体"/>
          <w:spacing w:val="14"/>
          <w:position w:val="-1"/>
          <w:sz w:val="19"/>
          <w:szCs w:val="19"/>
        </w:rPr>
        <w:t>年</w:t>
      </w:r>
      <w:r>
        <w:rPr>
          <w:rFonts w:ascii="微软雅黑" w:hAnsi="微软雅黑" w:eastAsia="微软雅黑" w:cs="微软雅黑"/>
          <w:spacing w:val="14"/>
          <w:position w:val="1"/>
          <w:sz w:val="19"/>
          <w:szCs w:val="19"/>
        </w:rPr>
        <w:t>，</w:t>
      </w:r>
      <w:r>
        <w:rPr>
          <w:rFonts w:ascii="宋体" w:hAnsi="宋体" w:eastAsia="宋体" w:cs="宋体"/>
          <w:spacing w:val="14"/>
          <w:sz w:val="19"/>
          <w:szCs w:val="19"/>
        </w:rPr>
        <w:t>挪威教育与研</w:t>
      </w:r>
      <w:r>
        <w:rPr>
          <w:rFonts w:ascii="宋体" w:hAnsi="宋体" w:eastAsia="宋体" w:cs="宋体"/>
          <w:spacing w:val="-57"/>
          <w:sz w:val="19"/>
          <w:szCs w:val="19"/>
        </w:rPr>
        <w:t xml:space="preserve"> </w:t>
      </w:r>
      <w:r>
        <w:rPr>
          <w:rFonts w:ascii="宋体" w:hAnsi="宋体" w:eastAsia="宋体" w:cs="宋体"/>
          <w:spacing w:val="14"/>
          <w:sz w:val="19"/>
          <w:szCs w:val="19"/>
        </w:rPr>
        <w:t>究部发布</w:t>
      </w:r>
      <w:r>
        <w:rPr>
          <w:rFonts w:ascii="宋体" w:hAnsi="宋体" w:eastAsia="宋体" w:cs="宋体"/>
          <w:spacing w:val="-49"/>
          <w:sz w:val="19"/>
          <w:szCs w:val="19"/>
        </w:rPr>
        <w:t xml:space="preserve"> </w:t>
      </w:r>
      <w:r>
        <w:rPr>
          <w:rFonts w:ascii="宋体" w:hAnsi="宋体" w:eastAsia="宋体" w:cs="宋体"/>
          <w:spacing w:val="14"/>
          <w:sz w:val="19"/>
          <w:szCs w:val="19"/>
        </w:rPr>
        <w:t>了</w:t>
      </w:r>
      <w:r>
        <w:rPr>
          <w:rFonts w:ascii="宋体" w:hAnsi="宋体" w:eastAsia="宋体" w:cs="宋体"/>
          <w:sz w:val="19"/>
          <w:szCs w:val="19"/>
        </w:rPr>
        <w:t xml:space="preserve">  </w:t>
      </w:r>
      <w:r>
        <w:rPr>
          <w:rFonts w:ascii="微软雅黑" w:hAnsi="微软雅黑" w:eastAsia="微软雅黑" w:cs="微软雅黑"/>
          <w:spacing w:val="21"/>
          <w:sz w:val="19"/>
          <w:szCs w:val="19"/>
        </w:rPr>
        <w:t>《</w:t>
      </w:r>
      <w:r>
        <w:rPr>
          <w:rFonts w:ascii="宋体" w:hAnsi="宋体" w:eastAsia="宋体" w:cs="宋体"/>
          <w:spacing w:val="21"/>
          <w:sz w:val="19"/>
          <w:szCs w:val="19"/>
        </w:rPr>
        <w:t>高等教育和高等职业教</w:t>
      </w:r>
      <w:r>
        <w:rPr>
          <w:rFonts w:ascii="宋体" w:hAnsi="宋体" w:eastAsia="宋体" w:cs="宋体"/>
          <w:spacing w:val="-51"/>
          <w:sz w:val="19"/>
          <w:szCs w:val="19"/>
        </w:rPr>
        <w:t xml:space="preserve"> </w:t>
      </w:r>
      <w:r>
        <w:rPr>
          <w:rFonts w:ascii="宋体" w:hAnsi="宋体" w:eastAsia="宋体" w:cs="宋体"/>
          <w:spacing w:val="21"/>
          <w:sz w:val="19"/>
          <w:szCs w:val="19"/>
        </w:rPr>
        <w:t>育质量保证和质量发展条</w:t>
      </w:r>
      <w:r>
        <w:rPr>
          <w:rFonts w:ascii="宋体" w:hAnsi="宋体" w:eastAsia="宋体" w:cs="宋体"/>
          <w:sz w:val="19"/>
          <w:szCs w:val="19"/>
        </w:rPr>
        <w:t xml:space="preserve">  </w:t>
      </w:r>
      <w:r>
        <w:rPr>
          <w:rFonts w:ascii="宋体" w:hAnsi="宋体" w:eastAsia="宋体" w:cs="宋体"/>
          <w:spacing w:val="5"/>
          <w:sz w:val="19"/>
          <w:szCs w:val="19"/>
        </w:rPr>
        <w:t>例</w:t>
      </w:r>
      <w:r>
        <w:rPr>
          <w:rFonts w:ascii="宋体" w:hAnsi="宋体" w:eastAsia="宋体" w:cs="宋体"/>
          <w:spacing w:val="-54"/>
          <w:sz w:val="19"/>
          <w:szCs w:val="19"/>
        </w:rPr>
        <w:t xml:space="preserve"> </w:t>
      </w:r>
      <w:r>
        <w:rPr>
          <w:rFonts w:ascii="微软雅黑" w:hAnsi="微软雅黑" w:eastAsia="微软雅黑" w:cs="微软雅黑"/>
          <w:spacing w:val="5"/>
          <w:sz w:val="19"/>
          <w:szCs w:val="19"/>
        </w:rPr>
        <w:t xml:space="preserve">》( </w:t>
      </w:r>
      <w:r>
        <w:rPr>
          <w:rFonts w:ascii="Arial" w:hAnsi="Arial" w:eastAsia="Arial" w:cs="Arial"/>
          <w:spacing w:val="5"/>
          <w:sz w:val="19"/>
          <w:szCs w:val="19"/>
        </w:rPr>
        <w:t>Regulations</w:t>
      </w:r>
      <w:r>
        <w:rPr>
          <w:rFonts w:ascii="Arial" w:hAnsi="Arial" w:eastAsia="Arial" w:cs="Arial"/>
          <w:spacing w:val="25"/>
          <w:w w:val="101"/>
          <w:sz w:val="19"/>
          <w:szCs w:val="19"/>
        </w:rPr>
        <w:t xml:space="preserve">  </w:t>
      </w:r>
      <w:r>
        <w:rPr>
          <w:rFonts w:ascii="Arial" w:hAnsi="Arial" w:eastAsia="Arial" w:cs="Arial"/>
          <w:spacing w:val="5"/>
          <w:sz w:val="19"/>
          <w:szCs w:val="19"/>
        </w:rPr>
        <w:t>Concerning</w:t>
      </w:r>
      <w:r>
        <w:rPr>
          <w:rFonts w:ascii="Arial" w:hAnsi="Arial" w:eastAsia="Arial" w:cs="Arial"/>
          <w:spacing w:val="26"/>
          <w:w w:val="101"/>
          <w:sz w:val="19"/>
          <w:szCs w:val="19"/>
        </w:rPr>
        <w:t xml:space="preserve">  </w:t>
      </w:r>
      <w:r>
        <w:rPr>
          <w:rFonts w:ascii="Arial" w:hAnsi="Arial" w:eastAsia="Arial" w:cs="Arial"/>
          <w:spacing w:val="5"/>
          <w:sz w:val="19"/>
          <w:szCs w:val="19"/>
        </w:rPr>
        <w:t>Qualit</w:t>
      </w:r>
      <w:r>
        <w:rPr>
          <w:rFonts w:ascii="Arial" w:hAnsi="Arial" w:eastAsia="Arial" w:cs="Arial"/>
          <w:spacing w:val="-37"/>
          <w:sz w:val="19"/>
          <w:szCs w:val="19"/>
        </w:rPr>
        <w:t xml:space="preserve"> </w:t>
      </w:r>
      <w:r>
        <w:rPr>
          <w:rFonts w:ascii="Arial" w:hAnsi="Arial" w:eastAsia="Arial" w:cs="Arial"/>
          <w:spacing w:val="5"/>
          <w:position w:val="-1"/>
          <w:sz w:val="19"/>
          <w:szCs w:val="19"/>
        </w:rPr>
        <w:t>y</w:t>
      </w:r>
      <w:r>
        <w:rPr>
          <w:rFonts w:ascii="Arial" w:hAnsi="Arial" w:eastAsia="Arial" w:cs="Arial"/>
          <w:spacing w:val="23"/>
          <w:w w:val="101"/>
          <w:position w:val="-1"/>
          <w:sz w:val="19"/>
          <w:szCs w:val="19"/>
        </w:rPr>
        <w:t xml:space="preserve">  </w:t>
      </w:r>
      <w:r>
        <w:rPr>
          <w:rFonts w:ascii="Arial" w:hAnsi="Arial" w:eastAsia="Arial" w:cs="Arial"/>
          <w:spacing w:val="5"/>
          <w:sz w:val="19"/>
          <w:szCs w:val="19"/>
        </w:rPr>
        <w:t>Assu</w:t>
      </w:r>
      <w:r>
        <w:rPr>
          <w:rFonts w:ascii="Arial" w:hAnsi="Arial" w:eastAsia="Arial" w:cs="Arial"/>
          <w:spacing w:val="4"/>
          <w:sz w:val="19"/>
          <w:szCs w:val="19"/>
        </w:rPr>
        <w:t xml:space="preserve">rance  </w:t>
      </w:r>
      <w:r>
        <w:rPr>
          <w:rFonts w:ascii="Arial" w:hAnsi="Arial" w:eastAsia="Arial" w:cs="Arial"/>
          <w:spacing w:val="14"/>
          <w:sz w:val="19"/>
          <w:szCs w:val="19"/>
        </w:rPr>
        <w:t>andQualit</w:t>
      </w:r>
      <w:r>
        <w:rPr>
          <w:rFonts w:ascii="Arial" w:hAnsi="Arial" w:eastAsia="Arial" w:cs="Arial"/>
          <w:spacing w:val="14"/>
          <w:position w:val="-1"/>
          <w:sz w:val="19"/>
          <w:szCs w:val="19"/>
        </w:rPr>
        <w:t>y</w:t>
      </w:r>
      <w:r>
        <w:rPr>
          <w:rFonts w:ascii="Arial" w:hAnsi="Arial" w:eastAsia="Arial" w:cs="Arial"/>
          <w:spacing w:val="44"/>
          <w:w w:val="101"/>
          <w:position w:val="-1"/>
          <w:sz w:val="19"/>
          <w:szCs w:val="19"/>
        </w:rPr>
        <w:t xml:space="preserve"> </w:t>
      </w:r>
      <w:r>
        <w:rPr>
          <w:rFonts w:ascii="Arial" w:hAnsi="Arial" w:eastAsia="Arial" w:cs="Arial"/>
          <w:spacing w:val="14"/>
          <w:sz w:val="19"/>
          <w:szCs w:val="19"/>
        </w:rPr>
        <w:t>Developmentin</w:t>
      </w:r>
      <w:r>
        <w:rPr>
          <w:rFonts w:ascii="Arial" w:hAnsi="Arial" w:eastAsia="Arial" w:cs="Arial"/>
          <w:spacing w:val="47"/>
          <w:sz w:val="19"/>
          <w:szCs w:val="19"/>
        </w:rPr>
        <w:t xml:space="preserve"> </w:t>
      </w:r>
      <w:r>
        <w:rPr>
          <w:rFonts w:ascii="Arial" w:hAnsi="Arial" w:eastAsia="Arial" w:cs="Arial"/>
          <w:spacing w:val="14"/>
          <w:sz w:val="19"/>
          <w:szCs w:val="19"/>
        </w:rPr>
        <w:t xml:space="preserve">HigherEducationand  </w:t>
      </w:r>
      <w:r>
        <w:rPr>
          <w:rFonts w:ascii="Arial" w:hAnsi="Arial" w:eastAsia="Arial" w:cs="Arial"/>
          <w:spacing w:val="13"/>
          <w:sz w:val="19"/>
          <w:szCs w:val="19"/>
        </w:rPr>
        <w:t>Tertiary</w:t>
      </w:r>
      <w:r>
        <w:rPr>
          <w:rFonts w:ascii="Arial" w:hAnsi="Arial" w:eastAsia="Arial" w:cs="Arial"/>
          <w:spacing w:val="32"/>
          <w:sz w:val="19"/>
          <w:szCs w:val="19"/>
        </w:rPr>
        <w:t xml:space="preserve"> </w:t>
      </w:r>
      <w:r>
        <w:rPr>
          <w:rFonts w:ascii="Arial" w:hAnsi="Arial" w:eastAsia="Arial" w:cs="Arial"/>
          <w:spacing w:val="13"/>
          <w:sz w:val="19"/>
          <w:szCs w:val="19"/>
        </w:rPr>
        <w:t>VocationalEducation</w:t>
      </w:r>
      <w:r>
        <w:rPr>
          <w:rFonts w:ascii="微软雅黑" w:hAnsi="微软雅黑" w:eastAsia="微软雅黑" w:cs="微软雅黑"/>
          <w:spacing w:val="13"/>
          <w:sz w:val="19"/>
          <w:szCs w:val="19"/>
        </w:rPr>
        <w:t xml:space="preserve">), </w:t>
      </w:r>
      <w:r>
        <w:rPr>
          <w:rFonts w:ascii="宋体" w:hAnsi="宋体" w:eastAsia="宋体" w:cs="宋体"/>
          <w:spacing w:val="13"/>
          <w:sz w:val="19"/>
          <w:szCs w:val="19"/>
        </w:rPr>
        <w:t>进</w:t>
      </w:r>
      <w:r>
        <w:rPr>
          <w:rFonts w:ascii="宋体" w:hAnsi="宋体" w:eastAsia="宋体" w:cs="宋体"/>
          <w:spacing w:val="-56"/>
          <w:sz w:val="19"/>
          <w:szCs w:val="19"/>
        </w:rPr>
        <w:t xml:space="preserve"> </w:t>
      </w:r>
      <w:r>
        <w:rPr>
          <w:rFonts w:ascii="宋体" w:hAnsi="宋体" w:eastAsia="宋体" w:cs="宋体"/>
          <w:spacing w:val="13"/>
          <w:sz w:val="19"/>
          <w:szCs w:val="19"/>
        </w:rPr>
        <w:t>一</w:t>
      </w:r>
      <w:r>
        <w:rPr>
          <w:rFonts w:ascii="宋体" w:hAnsi="宋体" w:eastAsia="宋体" w:cs="宋体"/>
          <w:spacing w:val="-56"/>
          <w:sz w:val="19"/>
          <w:szCs w:val="19"/>
        </w:rPr>
        <w:t xml:space="preserve"> </w:t>
      </w:r>
      <w:r>
        <w:rPr>
          <w:rFonts w:ascii="宋体" w:hAnsi="宋体" w:eastAsia="宋体" w:cs="宋体"/>
          <w:spacing w:val="13"/>
          <w:sz w:val="19"/>
          <w:szCs w:val="19"/>
        </w:rPr>
        <w:t>步</w:t>
      </w:r>
      <w:r>
        <w:rPr>
          <w:rFonts w:ascii="宋体" w:hAnsi="宋体" w:eastAsia="宋体" w:cs="宋体"/>
          <w:spacing w:val="-54"/>
          <w:sz w:val="19"/>
          <w:szCs w:val="19"/>
        </w:rPr>
        <w:t xml:space="preserve"> </w:t>
      </w:r>
      <w:r>
        <w:rPr>
          <w:rFonts w:ascii="宋体" w:hAnsi="宋体" w:eastAsia="宋体" w:cs="宋体"/>
          <w:spacing w:val="13"/>
          <w:sz w:val="19"/>
          <w:szCs w:val="19"/>
        </w:rPr>
        <w:t>强</w:t>
      </w:r>
      <w:r>
        <w:rPr>
          <w:rFonts w:ascii="宋体" w:hAnsi="宋体" w:eastAsia="宋体" w:cs="宋体"/>
          <w:spacing w:val="-56"/>
          <w:sz w:val="19"/>
          <w:szCs w:val="19"/>
        </w:rPr>
        <w:t xml:space="preserve"> </w:t>
      </w:r>
      <w:r>
        <w:rPr>
          <w:rFonts w:ascii="宋体" w:hAnsi="宋体" w:eastAsia="宋体" w:cs="宋体"/>
          <w:spacing w:val="13"/>
          <w:sz w:val="19"/>
          <w:szCs w:val="19"/>
        </w:rPr>
        <w:t>调</w:t>
      </w:r>
      <w:r>
        <w:rPr>
          <w:rFonts w:ascii="宋体" w:hAnsi="宋体" w:eastAsia="宋体" w:cs="宋体"/>
          <w:spacing w:val="-41"/>
          <w:sz w:val="19"/>
          <w:szCs w:val="19"/>
        </w:rPr>
        <w:t xml:space="preserve"> </w:t>
      </w:r>
      <w:r>
        <w:rPr>
          <w:rFonts w:ascii="宋体" w:hAnsi="宋体" w:eastAsia="宋体" w:cs="宋体"/>
          <w:spacing w:val="13"/>
          <w:sz w:val="19"/>
          <w:szCs w:val="19"/>
        </w:rPr>
        <w:t>了</w:t>
      </w:r>
      <w:r>
        <w:rPr>
          <w:rFonts w:ascii="宋体" w:hAnsi="宋体" w:eastAsia="宋体" w:cs="宋体"/>
          <w:spacing w:val="-57"/>
          <w:sz w:val="19"/>
          <w:szCs w:val="19"/>
        </w:rPr>
        <w:t xml:space="preserve"> </w:t>
      </w:r>
      <w:r>
        <w:rPr>
          <w:rFonts w:ascii="宋体" w:hAnsi="宋体" w:eastAsia="宋体" w:cs="宋体"/>
          <w:spacing w:val="13"/>
          <w:sz w:val="19"/>
          <w:szCs w:val="19"/>
        </w:rPr>
        <w:t>教</w:t>
      </w:r>
      <w:r>
        <w:rPr>
          <w:rFonts w:ascii="宋体" w:hAnsi="宋体" w:eastAsia="宋体" w:cs="宋体"/>
          <w:sz w:val="19"/>
          <w:szCs w:val="19"/>
        </w:rPr>
        <w:t xml:space="preserve">  </w:t>
      </w:r>
      <w:r>
        <w:rPr>
          <w:rFonts w:ascii="宋体" w:hAnsi="宋体" w:eastAsia="宋体" w:cs="宋体"/>
          <w:spacing w:val="32"/>
          <w:sz w:val="19"/>
          <w:szCs w:val="19"/>
        </w:rPr>
        <w:t>育质量保障署</w:t>
      </w:r>
      <w:r>
        <w:rPr>
          <w:rFonts w:ascii="微软雅黑" w:hAnsi="微软雅黑" w:eastAsia="微软雅黑" w:cs="微软雅黑"/>
          <w:spacing w:val="32"/>
          <w:sz w:val="19"/>
          <w:szCs w:val="19"/>
        </w:rPr>
        <w:t>(</w:t>
      </w:r>
      <w:r>
        <w:rPr>
          <w:rFonts w:ascii="Arial" w:hAnsi="Arial" w:eastAsia="Arial" w:cs="Arial"/>
          <w:sz w:val="19"/>
          <w:szCs w:val="19"/>
        </w:rPr>
        <w:t>NOKUT</w:t>
      </w:r>
      <w:r>
        <w:rPr>
          <w:rFonts w:ascii="微软雅黑" w:hAnsi="微软雅黑" w:eastAsia="微软雅黑" w:cs="微软雅黑"/>
          <w:spacing w:val="32"/>
          <w:sz w:val="19"/>
          <w:szCs w:val="19"/>
        </w:rPr>
        <w:t>)</w:t>
      </w:r>
      <w:r>
        <w:rPr>
          <w:rFonts w:ascii="微软雅黑" w:hAnsi="微软雅黑" w:eastAsia="微软雅黑" w:cs="微软雅黑"/>
          <w:spacing w:val="1"/>
          <w:sz w:val="19"/>
          <w:szCs w:val="19"/>
        </w:rPr>
        <w:t xml:space="preserve"> </w:t>
      </w:r>
      <w:r>
        <w:rPr>
          <w:rFonts w:ascii="宋体" w:hAnsi="宋体" w:eastAsia="宋体" w:cs="宋体"/>
          <w:spacing w:val="32"/>
          <w:sz w:val="19"/>
          <w:szCs w:val="19"/>
        </w:rPr>
        <w:t>在高等教育和职业教育保</w:t>
      </w:r>
      <w:r>
        <w:rPr>
          <w:rFonts w:ascii="宋体" w:hAnsi="宋体" w:eastAsia="宋体" w:cs="宋体"/>
          <w:sz w:val="19"/>
          <w:szCs w:val="19"/>
        </w:rPr>
        <w:t xml:space="preserve">  </w:t>
      </w:r>
      <w:r>
        <w:rPr>
          <w:rFonts w:ascii="宋体" w:hAnsi="宋体" w:eastAsia="宋体" w:cs="宋体"/>
          <w:spacing w:val="17"/>
          <w:sz w:val="19"/>
          <w:szCs w:val="19"/>
        </w:rPr>
        <w:t>障中的作用</w:t>
      </w:r>
      <w:r>
        <w:rPr>
          <w:rFonts w:ascii="微软雅黑" w:hAnsi="微软雅黑" w:eastAsia="微软雅黑" w:cs="微软雅黑"/>
          <w:spacing w:val="17"/>
          <w:sz w:val="19"/>
          <w:szCs w:val="19"/>
        </w:rPr>
        <w:t>，</w:t>
      </w:r>
      <w:r>
        <w:rPr>
          <w:rFonts w:ascii="宋体" w:hAnsi="宋体" w:eastAsia="宋体" w:cs="宋体"/>
          <w:spacing w:val="17"/>
          <w:sz w:val="19"/>
          <w:szCs w:val="19"/>
        </w:rPr>
        <w:t>提出</w:t>
      </w:r>
      <w:r>
        <w:rPr>
          <w:rFonts w:ascii="宋体" w:hAnsi="宋体" w:eastAsia="宋体" w:cs="宋体"/>
          <w:spacing w:val="-50"/>
          <w:sz w:val="19"/>
          <w:szCs w:val="19"/>
        </w:rPr>
        <w:t xml:space="preserve"> </w:t>
      </w:r>
      <w:r>
        <w:rPr>
          <w:rFonts w:ascii="宋体" w:hAnsi="宋体" w:eastAsia="宋体" w:cs="宋体"/>
          <w:spacing w:val="17"/>
          <w:sz w:val="19"/>
          <w:szCs w:val="19"/>
        </w:rPr>
        <w:t>了高校质量保</w:t>
      </w:r>
      <w:r>
        <w:rPr>
          <w:rFonts w:ascii="宋体" w:hAnsi="宋体" w:eastAsia="宋体" w:cs="宋体"/>
          <w:spacing w:val="-55"/>
          <w:sz w:val="19"/>
          <w:szCs w:val="19"/>
        </w:rPr>
        <w:t xml:space="preserve"> </w:t>
      </w:r>
      <w:r>
        <w:rPr>
          <w:rFonts w:ascii="宋体" w:hAnsi="宋体" w:eastAsia="宋体" w:cs="宋体"/>
          <w:spacing w:val="17"/>
          <w:sz w:val="19"/>
          <w:szCs w:val="19"/>
        </w:rPr>
        <w:t>障</w:t>
      </w:r>
      <w:r>
        <w:rPr>
          <w:rFonts w:ascii="宋体" w:hAnsi="宋体" w:eastAsia="宋体" w:cs="宋体"/>
          <w:spacing w:val="-45"/>
          <w:sz w:val="19"/>
          <w:szCs w:val="19"/>
        </w:rPr>
        <w:t xml:space="preserve"> </w:t>
      </w:r>
      <w:r>
        <w:rPr>
          <w:rFonts w:ascii="宋体" w:hAnsi="宋体" w:eastAsia="宋体" w:cs="宋体"/>
          <w:spacing w:val="17"/>
          <w:sz w:val="19"/>
          <w:szCs w:val="19"/>
        </w:rPr>
        <w:t>中的一些目</w:t>
      </w:r>
      <w:r>
        <w:rPr>
          <w:rFonts w:ascii="宋体" w:hAnsi="宋体" w:eastAsia="宋体" w:cs="宋体"/>
          <w:spacing w:val="16"/>
          <w:sz w:val="19"/>
          <w:szCs w:val="19"/>
        </w:rPr>
        <w:t>标和</w:t>
      </w:r>
      <w:r>
        <w:rPr>
          <w:rFonts w:ascii="宋体" w:hAnsi="宋体" w:eastAsia="宋体" w:cs="宋体"/>
          <w:sz w:val="19"/>
          <w:szCs w:val="19"/>
        </w:rPr>
        <w:t xml:space="preserve">  </w:t>
      </w:r>
      <w:r>
        <w:rPr>
          <w:rFonts w:ascii="宋体" w:hAnsi="宋体" w:eastAsia="宋体" w:cs="宋体"/>
          <w:spacing w:val="11"/>
          <w:sz w:val="19"/>
          <w:szCs w:val="19"/>
        </w:rPr>
        <w:t>措施</w:t>
      </w:r>
      <w:r>
        <w:rPr>
          <w:rFonts w:ascii="微软雅黑" w:hAnsi="微软雅黑" w:eastAsia="微软雅黑" w:cs="微软雅黑"/>
          <w:spacing w:val="11"/>
          <w:sz w:val="19"/>
          <w:szCs w:val="19"/>
        </w:rPr>
        <w:t>，</w:t>
      </w:r>
      <w:r>
        <w:rPr>
          <w:rFonts w:ascii="宋体" w:hAnsi="宋体" w:eastAsia="宋体" w:cs="宋体"/>
          <w:spacing w:val="11"/>
          <w:sz w:val="19"/>
          <w:szCs w:val="19"/>
        </w:rPr>
        <w:t>并对前景进行了展望</w:t>
      </w:r>
      <w:r>
        <w:rPr>
          <w:rFonts w:ascii="微软雅黑" w:hAnsi="微软雅黑" w:eastAsia="微软雅黑" w:cs="微软雅黑"/>
          <w:spacing w:val="11"/>
          <w:sz w:val="19"/>
          <w:szCs w:val="19"/>
        </w:rPr>
        <w:t>。</w:t>
      </w:r>
      <w:r>
        <w:rPr>
          <w:rFonts w:ascii="微软雅黑" w:hAnsi="微软雅黑" w:eastAsia="微软雅黑" w:cs="微软雅黑"/>
          <w:spacing w:val="11"/>
          <w:position w:val="7"/>
          <w:sz w:val="10"/>
          <w:szCs w:val="10"/>
        </w:rPr>
        <w:t>[</w:t>
      </w:r>
      <w:r>
        <w:rPr>
          <w:rFonts w:ascii="Arial" w:hAnsi="Arial" w:eastAsia="Arial" w:cs="Arial"/>
          <w:spacing w:val="11"/>
          <w:position w:val="7"/>
          <w:sz w:val="10"/>
          <w:szCs w:val="10"/>
        </w:rPr>
        <w:t>9</w:t>
      </w:r>
      <w:r>
        <w:rPr>
          <w:rFonts w:ascii="微软雅黑" w:hAnsi="微软雅黑" w:eastAsia="微软雅黑" w:cs="微软雅黑"/>
          <w:spacing w:val="11"/>
          <w:position w:val="7"/>
          <w:sz w:val="10"/>
          <w:szCs w:val="10"/>
        </w:rPr>
        <w:t>]</w:t>
      </w:r>
    </w:p>
    <w:p>
      <w:pPr>
        <w:tabs>
          <w:tab w:val="left" w:pos="1036"/>
        </w:tabs>
        <w:spacing w:before="73" w:line="214" w:lineRule="auto"/>
        <w:ind w:left="872" w:right="266" w:firstLine="425"/>
        <w:rPr>
          <w:rFonts w:ascii="微软雅黑" w:hAnsi="微软雅黑" w:eastAsia="微软雅黑" w:cs="微软雅黑"/>
          <w:sz w:val="19"/>
          <w:szCs w:val="19"/>
        </w:rPr>
      </w:pPr>
      <w:r>
        <w:rPr>
          <w:rFonts w:ascii="宋体" w:hAnsi="宋体" w:eastAsia="宋体" w:cs="宋体"/>
          <w:spacing w:val="15"/>
          <w:sz w:val="19"/>
          <w:szCs w:val="19"/>
        </w:rPr>
        <w:t>总之</w:t>
      </w:r>
      <w:r>
        <w:rPr>
          <w:rFonts w:ascii="微软雅黑" w:hAnsi="微软雅黑" w:eastAsia="微软雅黑" w:cs="微软雅黑"/>
          <w:spacing w:val="15"/>
          <w:sz w:val="19"/>
          <w:szCs w:val="19"/>
        </w:rPr>
        <w:t>，</w:t>
      </w:r>
      <w:r>
        <w:rPr>
          <w:rFonts w:ascii="宋体" w:hAnsi="宋体" w:eastAsia="宋体" w:cs="宋体"/>
          <w:spacing w:val="15"/>
          <w:sz w:val="19"/>
          <w:szCs w:val="19"/>
        </w:rPr>
        <w:t>挪威</w:t>
      </w:r>
      <w:r>
        <w:rPr>
          <w:rFonts w:ascii="宋体" w:hAnsi="宋体" w:eastAsia="宋体" w:cs="宋体"/>
          <w:spacing w:val="-49"/>
          <w:sz w:val="19"/>
          <w:szCs w:val="19"/>
        </w:rPr>
        <w:t xml:space="preserve"> </w:t>
      </w:r>
      <w:r>
        <w:rPr>
          <w:rFonts w:ascii="宋体" w:hAnsi="宋体" w:eastAsia="宋体" w:cs="宋体"/>
          <w:spacing w:val="15"/>
          <w:sz w:val="19"/>
          <w:szCs w:val="19"/>
        </w:rPr>
        <w:t xml:space="preserve">的高等教育素有注重质量管理及保 </w:t>
      </w:r>
      <w:r>
        <w:rPr>
          <w:rFonts w:ascii="宋体" w:hAnsi="宋体" w:eastAsia="宋体" w:cs="宋体"/>
          <w:spacing w:val="8"/>
          <w:sz w:val="19"/>
          <w:szCs w:val="19"/>
        </w:rPr>
        <w:t>障的传统</w:t>
      </w:r>
      <w:r>
        <w:rPr>
          <w:rFonts w:ascii="微软雅黑" w:hAnsi="微软雅黑" w:eastAsia="微软雅黑" w:cs="微软雅黑"/>
          <w:spacing w:val="8"/>
          <w:position w:val="1"/>
          <w:sz w:val="19"/>
          <w:szCs w:val="19"/>
        </w:rPr>
        <w:t>，</w:t>
      </w:r>
      <w:r>
        <w:rPr>
          <w:rFonts w:ascii="宋体" w:hAnsi="宋体" w:eastAsia="宋体" w:cs="宋体"/>
          <w:spacing w:val="8"/>
          <w:sz w:val="19"/>
          <w:szCs w:val="19"/>
        </w:rPr>
        <w:t>其质量保障机制始于</w:t>
      </w:r>
      <w:r>
        <w:rPr>
          <w:rFonts w:ascii="宋体" w:hAnsi="宋体" w:eastAsia="宋体" w:cs="宋体"/>
          <w:spacing w:val="-5"/>
          <w:sz w:val="19"/>
          <w:szCs w:val="19"/>
        </w:rPr>
        <w:t xml:space="preserve"> </w:t>
      </w:r>
      <w:r>
        <w:rPr>
          <w:rFonts w:ascii="Arial" w:hAnsi="Arial" w:eastAsia="Arial" w:cs="Arial"/>
          <w:spacing w:val="8"/>
          <w:sz w:val="19"/>
          <w:szCs w:val="19"/>
        </w:rPr>
        <w:t>20</w:t>
      </w:r>
      <w:r>
        <w:rPr>
          <w:rFonts w:ascii="宋体" w:hAnsi="宋体" w:eastAsia="宋体" w:cs="宋体"/>
          <w:spacing w:val="8"/>
          <w:sz w:val="19"/>
          <w:szCs w:val="19"/>
        </w:rPr>
        <w:t>世纪</w:t>
      </w:r>
      <w:r>
        <w:rPr>
          <w:rFonts w:ascii="宋体" w:hAnsi="宋体" w:eastAsia="宋体" w:cs="宋体"/>
          <w:spacing w:val="-21"/>
          <w:sz w:val="19"/>
          <w:szCs w:val="19"/>
        </w:rPr>
        <w:t xml:space="preserve"> </w:t>
      </w:r>
      <w:r>
        <w:rPr>
          <w:rFonts w:ascii="Arial" w:hAnsi="Arial" w:eastAsia="Arial" w:cs="Arial"/>
          <w:spacing w:val="8"/>
          <w:sz w:val="19"/>
          <w:szCs w:val="19"/>
        </w:rPr>
        <w:t>80</w:t>
      </w:r>
      <w:r>
        <w:rPr>
          <w:rFonts w:ascii="宋体" w:hAnsi="宋体" w:eastAsia="宋体" w:cs="宋体"/>
          <w:spacing w:val="8"/>
          <w:sz w:val="19"/>
          <w:szCs w:val="19"/>
        </w:rPr>
        <w:t>年代</w:t>
      </w:r>
      <w:r>
        <w:rPr>
          <w:rFonts w:ascii="微软雅黑" w:hAnsi="微软雅黑" w:eastAsia="微软雅黑" w:cs="微软雅黑"/>
          <w:spacing w:val="8"/>
          <w:position w:val="1"/>
          <w:sz w:val="19"/>
          <w:szCs w:val="19"/>
        </w:rPr>
        <w:t>，</w:t>
      </w:r>
      <w:r>
        <w:rPr>
          <w:rFonts w:ascii="宋体" w:hAnsi="宋体" w:eastAsia="宋体" w:cs="宋体"/>
          <w:spacing w:val="8"/>
          <w:sz w:val="19"/>
          <w:szCs w:val="19"/>
        </w:rPr>
        <w:t xml:space="preserve">经 </w:t>
      </w:r>
      <w:r>
        <w:rPr>
          <w:rFonts w:ascii="宋体" w:hAnsi="宋体" w:eastAsia="宋体" w:cs="宋体"/>
          <w:spacing w:val="16"/>
          <w:sz w:val="19"/>
          <w:szCs w:val="19"/>
        </w:rPr>
        <w:t>历了摸索阶段</w:t>
      </w:r>
      <w:r>
        <w:rPr>
          <w:rFonts w:ascii="微软雅黑" w:hAnsi="微软雅黑" w:eastAsia="微软雅黑" w:cs="微软雅黑"/>
          <w:spacing w:val="16"/>
          <w:sz w:val="19"/>
          <w:szCs w:val="19"/>
        </w:rPr>
        <w:t>、</w:t>
      </w:r>
      <w:r>
        <w:rPr>
          <w:rFonts w:ascii="宋体" w:hAnsi="宋体" w:eastAsia="宋体" w:cs="宋体"/>
          <w:spacing w:val="16"/>
          <w:sz w:val="19"/>
          <w:szCs w:val="19"/>
        </w:rPr>
        <w:t>初</w:t>
      </w:r>
      <w:r>
        <w:rPr>
          <w:rFonts w:ascii="宋体" w:hAnsi="宋体" w:eastAsia="宋体" w:cs="宋体"/>
          <w:spacing w:val="-49"/>
          <w:sz w:val="19"/>
          <w:szCs w:val="19"/>
        </w:rPr>
        <w:t xml:space="preserve"> </w:t>
      </w:r>
      <w:r>
        <w:rPr>
          <w:rFonts w:ascii="宋体" w:hAnsi="宋体" w:eastAsia="宋体" w:cs="宋体"/>
          <w:spacing w:val="16"/>
          <w:sz w:val="19"/>
          <w:szCs w:val="19"/>
        </w:rPr>
        <w:t>步</w:t>
      </w:r>
      <w:r>
        <w:rPr>
          <w:rFonts w:ascii="宋体" w:hAnsi="宋体" w:eastAsia="宋体" w:cs="宋体"/>
          <w:spacing w:val="-56"/>
          <w:sz w:val="19"/>
          <w:szCs w:val="19"/>
        </w:rPr>
        <w:t xml:space="preserve"> </w:t>
      </w:r>
      <w:r>
        <w:rPr>
          <w:rFonts w:ascii="宋体" w:hAnsi="宋体" w:eastAsia="宋体" w:cs="宋体"/>
          <w:spacing w:val="16"/>
          <w:sz w:val="19"/>
          <w:szCs w:val="19"/>
        </w:rPr>
        <w:t>建立</w:t>
      </w:r>
      <w:r>
        <w:rPr>
          <w:rFonts w:ascii="宋体" w:hAnsi="宋体" w:eastAsia="宋体" w:cs="宋体"/>
          <w:spacing w:val="-50"/>
          <w:sz w:val="19"/>
          <w:szCs w:val="19"/>
        </w:rPr>
        <w:t xml:space="preserve"> </w:t>
      </w:r>
      <w:r>
        <w:rPr>
          <w:rFonts w:ascii="宋体" w:hAnsi="宋体" w:eastAsia="宋体" w:cs="宋体"/>
          <w:spacing w:val="16"/>
          <w:sz w:val="19"/>
          <w:szCs w:val="19"/>
        </w:rPr>
        <w:t>阶段和逐渐完善的阶段</w:t>
      </w:r>
      <w:r>
        <w:rPr>
          <w:rFonts w:ascii="微软雅黑" w:hAnsi="微软雅黑" w:eastAsia="微软雅黑" w:cs="微软雅黑"/>
          <w:spacing w:val="16"/>
          <w:sz w:val="19"/>
          <w:szCs w:val="19"/>
        </w:rPr>
        <w:t>。</w:t>
      </w:r>
      <w:r>
        <w:rPr>
          <w:rFonts w:ascii="微软雅黑" w:hAnsi="微软雅黑" w:eastAsia="微软雅黑" w:cs="微软雅黑"/>
          <w:sz w:val="19"/>
          <w:szCs w:val="19"/>
        </w:rPr>
        <w:t xml:space="preserve"> </w:t>
      </w:r>
      <w:r>
        <w:rPr>
          <w:rFonts w:ascii="Arial" w:hAnsi="Arial" w:eastAsia="Arial" w:cs="Arial"/>
          <w:spacing w:val="11"/>
          <w:sz w:val="19"/>
          <w:szCs w:val="19"/>
        </w:rPr>
        <w:t>2017</w:t>
      </w:r>
      <w:r>
        <w:rPr>
          <w:rFonts w:ascii="宋体" w:hAnsi="宋体" w:eastAsia="宋体" w:cs="宋体"/>
          <w:spacing w:val="11"/>
          <w:sz w:val="19"/>
          <w:szCs w:val="19"/>
        </w:rPr>
        <w:t>年挪威发布</w:t>
      </w:r>
      <w:r>
        <w:rPr>
          <w:rFonts w:ascii="宋体" w:hAnsi="宋体" w:eastAsia="宋体" w:cs="宋体"/>
          <w:spacing w:val="-46"/>
          <w:sz w:val="19"/>
          <w:szCs w:val="19"/>
        </w:rPr>
        <w:t xml:space="preserve"> </w:t>
      </w:r>
      <w:r>
        <w:rPr>
          <w:rFonts w:ascii="宋体" w:hAnsi="宋体" w:eastAsia="宋体" w:cs="宋体"/>
          <w:spacing w:val="11"/>
          <w:sz w:val="19"/>
          <w:szCs w:val="19"/>
        </w:rPr>
        <w:t>的</w:t>
      </w:r>
      <w:r>
        <w:rPr>
          <w:rFonts w:ascii="微软雅黑" w:hAnsi="微软雅黑" w:eastAsia="微软雅黑" w:cs="微软雅黑"/>
          <w:spacing w:val="11"/>
          <w:sz w:val="19"/>
          <w:szCs w:val="19"/>
        </w:rPr>
        <w:t>《</w:t>
      </w:r>
      <w:r>
        <w:rPr>
          <w:rFonts w:ascii="宋体" w:hAnsi="宋体" w:eastAsia="宋体" w:cs="宋体"/>
          <w:spacing w:val="11"/>
          <w:sz w:val="19"/>
          <w:szCs w:val="19"/>
        </w:rPr>
        <w:t>高等教</w:t>
      </w:r>
      <w:r>
        <w:rPr>
          <w:rFonts w:ascii="宋体" w:hAnsi="宋体" w:eastAsia="宋体" w:cs="宋体"/>
          <w:spacing w:val="-55"/>
          <w:sz w:val="19"/>
          <w:szCs w:val="19"/>
        </w:rPr>
        <w:t xml:space="preserve"> </w:t>
      </w:r>
      <w:r>
        <w:rPr>
          <w:rFonts w:ascii="宋体" w:hAnsi="宋体" w:eastAsia="宋体" w:cs="宋体"/>
          <w:spacing w:val="11"/>
          <w:sz w:val="19"/>
          <w:szCs w:val="19"/>
        </w:rPr>
        <w:t>育质量文化</w:t>
      </w:r>
      <w:r>
        <w:rPr>
          <w:rFonts w:ascii="微软雅黑" w:hAnsi="微软雅黑" w:eastAsia="微软雅黑" w:cs="微软雅黑"/>
          <w:spacing w:val="11"/>
          <w:sz w:val="19"/>
          <w:szCs w:val="19"/>
        </w:rPr>
        <w:t>》</w:t>
      </w:r>
      <w:r>
        <w:rPr>
          <w:rFonts w:ascii="宋体" w:hAnsi="宋体" w:eastAsia="宋体" w:cs="宋体"/>
          <w:spacing w:val="11"/>
          <w:sz w:val="19"/>
          <w:szCs w:val="19"/>
        </w:rPr>
        <w:t xml:space="preserve">白皮书是 </w:t>
      </w:r>
      <w:r>
        <w:rPr>
          <w:rFonts w:ascii="微软雅黑" w:hAnsi="微软雅黑" w:eastAsia="微软雅黑" w:cs="微软雅黑"/>
          <w:position w:val="1"/>
          <w:sz w:val="19"/>
          <w:szCs w:val="19"/>
        </w:rPr>
        <w:tab/>
      </w:r>
      <w:r>
        <w:rPr>
          <w:rFonts w:ascii="微软雅黑" w:hAnsi="微软雅黑" w:eastAsia="微软雅黑" w:cs="微软雅黑"/>
          <w:spacing w:val="-6"/>
          <w:position w:val="1"/>
          <w:sz w:val="19"/>
          <w:szCs w:val="19"/>
        </w:rPr>
        <w:t xml:space="preserve">·   </w:t>
      </w:r>
      <w:r>
        <w:rPr>
          <w:rFonts w:ascii="Arial" w:hAnsi="Arial" w:eastAsia="Arial" w:cs="Arial"/>
          <w:spacing w:val="-6"/>
          <w:position w:val="-1"/>
          <w:sz w:val="19"/>
          <w:szCs w:val="19"/>
        </w:rPr>
        <w:t xml:space="preserve">104   </w:t>
      </w:r>
      <w:r>
        <w:rPr>
          <w:rFonts w:ascii="微软雅黑" w:hAnsi="微软雅黑" w:eastAsia="微软雅黑" w:cs="微软雅黑"/>
          <w:spacing w:val="-6"/>
          <w:position w:val="1"/>
          <w:sz w:val="19"/>
          <w:szCs w:val="19"/>
        </w:rPr>
        <w:t>·</w:t>
      </w:r>
    </w:p>
    <w:p>
      <w:pPr>
        <w:spacing w:line="14" w:lineRule="auto"/>
        <w:rPr>
          <w:rFonts w:ascii="Arial"/>
          <w:sz w:val="2"/>
        </w:rPr>
      </w:pPr>
      <w:r>
        <w:rPr>
          <w:rFonts w:ascii="Arial" w:hAnsi="Arial" w:eastAsia="Arial" w:cs="Arial"/>
          <w:sz w:val="2"/>
          <w:szCs w:val="2"/>
        </w:rPr>
        <w:br w:type="column"/>
      </w:r>
    </w:p>
    <w:p>
      <w:pPr>
        <w:spacing w:before="34" w:line="183" w:lineRule="auto"/>
        <w:ind w:left="2"/>
        <w:rPr>
          <w:rFonts w:ascii="微软雅黑" w:hAnsi="微软雅黑" w:eastAsia="微软雅黑" w:cs="微软雅黑"/>
          <w:sz w:val="19"/>
          <w:szCs w:val="19"/>
        </w:rPr>
      </w:pPr>
      <w:r>
        <w:rPr>
          <w:rFonts w:ascii="宋体" w:hAnsi="宋体" w:eastAsia="宋体" w:cs="宋体"/>
          <w:spacing w:val="18"/>
          <w:sz w:val="19"/>
          <w:szCs w:val="19"/>
        </w:rPr>
        <w:t>其质量保障管理传统的延续和升华</w:t>
      </w:r>
      <w:r>
        <w:rPr>
          <w:rFonts w:ascii="微软雅黑" w:hAnsi="微软雅黑" w:eastAsia="微软雅黑" w:cs="微软雅黑"/>
          <w:spacing w:val="18"/>
          <w:sz w:val="19"/>
          <w:szCs w:val="19"/>
        </w:rPr>
        <w:t>。</w:t>
      </w:r>
    </w:p>
    <w:p>
      <w:pPr>
        <w:spacing w:line="272" w:lineRule="auto"/>
        <w:rPr>
          <w:rFonts w:ascii="Arial"/>
          <w:sz w:val="21"/>
        </w:rPr>
      </w:pPr>
    </w:p>
    <w:p>
      <w:pPr>
        <w:spacing w:before="111" w:line="208" w:lineRule="auto"/>
        <w:ind w:left="1237" w:right="513" w:hanging="659"/>
        <w:rPr>
          <w:rFonts w:ascii="新宋体" w:hAnsi="新宋体" w:eastAsia="新宋体" w:cs="新宋体"/>
          <w:sz w:val="26"/>
          <w:szCs w:val="26"/>
        </w:rPr>
      </w:pPr>
      <w:r>
        <w:rPr>
          <w:rFonts w:ascii="新宋体" w:hAnsi="新宋体" w:eastAsia="新宋体" w:cs="新宋体"/>
          <w:spacing w:val="-5"/>
          <w:sz w:val="26"/>
          <w:szCs w:val="26"/>
        </w:rPr>
        <w:t>二</w:t>
      </w:r>
      <w:r>
        <w:rPr>
          <w:rFonts w:ascii="微软雅黑" w:hAnsi="微软雅黑" w:eastAsia="微软雅黑" w:cs="微软雅黑"/>
          <w:spacing w:val="-5"/>
          <w:position w:val="1"/>
          <w:sz w:val="26"/>
          <w:szCs w:val="26"/>
        </w:rPr>
        <w:t>、</w:t>
      </w:r>
      <w:r>
        <w:rPr>
          <w:rFonts w:ascii="新宋体" w:hAnsi="新宋体" w:eastAsia="新宋体" w:cs="新宋体"/>
          <w:spacing w:val="-5"/>
          <w:sz w:val="26"/>
          <w:szCs w:val="26"/>
        </w:rPr>
        <w:t>挪威</w:t>
      </w:r>
      <w:r>
        <w:rPr>
          <w:rFonts w:ascii="微软雅黑" w:hAnsi="微软雅黑" w:eastAsia="微软雅黑" w:cs="微软雅黑"/>
          <w:spacing w:val="-5"/>
          <w:sz w:val="26"/>
          <w:szCs w:val="26"/>
        </w:rPr>
        <w:t>《</w:t>
      </w:r>
      <w:r>
        <w:rPr>
          <w:rFonts w:ascii="新宋体" w:hAnsi="新宋体" w:eastAsia="新宋体" w:cs="新宋体"/>
          <w:spacing w:val="-5"/>
          <w:sz w:val="26"/>
          <w:szCs w:val="26"/>
        </w:rPr>
        <w:t>高等教育质量文化</w:t>
      </w:r>
      <w:r>
        <w:rPr>
          <w:rFonts w:ascii="微软雅黑" w:hAnsi="微软雅黑" w:eastAsia="微软雅黑" w:cs="微软雅黑"/>
          <w:spacing w:val="-5"/>
          <w:sz w:val="26"/>
          <w:szCs w:val="26"/>
        </w:rPr>
        <w:t>》</w:t>
      </w:r>
      <w:r>
        <w:rPr>
          <w:rFonts w:ascii="微软雅黑" w:hAnsi="微软雅黑" w:eastAsia="微软雅黑" w:cs="微软雅黑"/>
          <w:spacing w:val="3"/>
          <w:sz w:val="26"/>
          <w:szCs w:val="26"/>
        </w:rPr>
        <w:t xml:space="preserve"> </w:t>
      </w:r>
      <w:r>
        <w:rPr>
          <w:rFonts w:ascii="新宋体" w:hAnsi="新宋体" w:eastAsia="新宋体" w:cs="新宋体"/>
          <w:spacing w:val="10"/>
          <w:sz w:val="26"/>
          <w:szCs w:val="26"/>
        </w:rPr>
        <w:t>白皮书的主要内容</w:t>
      </w:r>
    </w:p>
    <w:p>
      <w:pPr>
        <w:spacing w:line="399" w:lineRule="auto"/>
        <w:rPr>
          <w:rFonts w:ascii="Arial"/>
          <w:sz w:val="21"/>
        </w:rPr>
      </w:pPr>
    </w:p>
    <w:p>
      <w:pPr>
        <w:spacing w:before="82" w:line="234" w:lineRule="auto"/>
        <w:ind w:left="3" w:right="77" w:firstLine="416"/>
        <w:rPr>
          <w:rFonts w:ascii="微软雅黑" w:hAnsi="微软雅黑" w:eastAsia="微软雅黑" w:cs="微软雅黑"/>
          <w:sz w:val="19"/>
          <w:szCs w:val="19"/>
        </w:rPr>
      </w:pPr>
      <w:r>
        <w:rPr>
          <w:rFonts w:ascii="宋体" w:hAnsi="宋体" w:eastAsia="宋体" w:cs="宋体"/>
          <w:spacing w:val="4"/>
          <w:sz w:val="19"/>
          <w:szCs w:val="19"/>
        </w:rPr>
        <w:t>挪威</w:t>
      </w:r>
      <w:r>
        <w:rPr>
          <w:rFonts w:ascii="微软雅黑" w:hAnsi="微软雅黑" w:eastAsia="微软雅黑" w:cs="微软雅黑"/>
          <w:spacing w:val="4"/>
          <w:sz w:val="19"/>
          <w:szCs w:val="19"/>
        </w:rPr>
        <w:t>《</w:t>
      </w:r>
      <w:r>
        <w:rPr>
          <w:rFonts w:ascii="宋体" w:hAnsi="宋体" w:eastAsia="宋体" w:cs="宋体"/>
          <w:spacing w:val="4"/>
          <w:sz w:val="19"/>
          <w:szCs w:val="19"/>
        </w:rPr>
        <w:t>高等教育质量文化</w:t>
      </w:r>
      <w:r>
        <w:rPr>
          <w:rFonts w:ascii="微软雅黑" w:hAnsi="微软雅黑" w:eastAsia="微软雅黑" w:cs="微软雅黑"/>
          <w:spacing w:val="4"/>
          <w:sz w:val="19"/>
          <w:szCs w:val="19"/>
        </w:rPr>
        <w:t>》</w:t>
      </w:r>
      <w:r>
        <w:rPr>
          <w:rFonts w:ascii="宋体" w:hAnsi="宋体" w:eastAsia="宋体" w:cs="宋体"/>
          <w:spacing w:val="4"/>
          <w:sz w:val="19"/>
          <w:szCs w:val="19"/>
        </w:rPr>
        <w:t>白皮书</w:t>
      </w:r>
      <w:r>
        <w:rPr>
          <w:rFonts w:ascii="宋体" w:hAnsi="宋体" w:eastAsia="宋体" w:cs="宋体"/>
          <w:spacing w:val="-41"/>
          <w:sz w:val="19"/>
          <w:szCs w:val="19"/>
        </w:rPr>
        <w:t xml:space="preserve"> </w:t>
      </w:r>
      <w:r>
        <w:rPr>
          <w:rFonts w:ascii="宋体" w:hAnsi="宋体" w:eastAsia="宋体" w:cs="宋体"/>
          <w:spacing w:val="4"/>
          <w:sz w:val="19"/>
          <w:szCs w:val="19"/>
        </w:rPr>
        <w:t>内容丰</w:t>
      </w:r>
      <w:r>
        <w:rPr>
          <w:rFonts w:ascii="宋体" w:hAnsi="宋体" w:eastAsia="宋体" w:cs="宋体"/>
          <w:spacing w:val="-55"/>
          <w:sz w:val="19"/>
          <w:szCs w:val="19"/>
        </w:rPr>
        <w:t xml:space="preserve"> </w:t>
      </w:r>
      <w:r>
        <w:rPr>
          <w:rFonts w:ascii="宋体" w:hAnsi="宋体" w:eastAsia="宋体" w:cs="宋体"/>
          <w:spacing w:val="4"/>
          <w:sz w:val="19"/>
          <w:szCs w:val="19"/>
        </w:rPr>
        <w:t>富</w:t>
      </w:r>
      <w:r>
        <w:rPr>
          <w:rFonts w:ascii="微软雅黑" w:hAnsi="微软雅黑" w:eastAsia="微软雅黑" w:cs="微软雅黑"/>
          <w:spacing w:val="4"/>
          <w:sz w:val="19"/>
          <w:szCs w:val="19"/>
        </w:rPr>
        <w:t>，</w:t>
      </w:r>
      <w:r>
        <w:rPr>
          <w:rFonts w:ascii="宋体" w:hAnsi="宋体" w:eastAsia="宋体" w:cs="宋体"/>
          <w:spacing w:val="4"/>
          <w:sz w:val="19"/>
          <w:szCs w:val="19"/>
        </w:rPr>
        <w:t>探</w:t>
      </w:r>
      <w:r>
        <w:rPr>
          <w:rFonts w:ascii="宋体" w:hAnsi="宋体" w:eastAsia="宋体" w:cs="宋体"/>
          <w:sz w:val="19"/>
          <w:szCs w:val="19"/>
        </w:rPr>
        <w:t xml:space="preserve"> </w:t>
      </w:r>
      <w:r>
        <w:rPr>
          <w:rFonts w:ascii="宋体" w:hAnsi="宋体" w:eastAsia="宋体" w:cs="宋体"/>
          <w:spacing w:val="18"/>
          <w:sz w:val="19"/>
          <w:szCs w:val="19"/>
        </w:rPr>
        <w:t>析了高等教育质量文化的含义及挪威高等教育质量</w:t>
      </w:r>
      <w:r>
        <w:rPr>
          <w:rFonts w:ascii="宋体" w:hAnsi="宋体" w:eastAsia="宋体" w:cs="宋体"/>
          <w:spacing w:val="6"/>
          <w:sz w:val="19"/>
          <w:szCs w:val="19"/>
        </w:rPr>
        <w:t xml:space="preserve"> </w:t>
      </w:r>
      <w:r>
        <w:rPr>
          <w:rFonts w:ascii="宋体" w:hAnsi="宋体" w:eastAsia="宋体" w:cs="宋体"/>
          <w:spacing w:val="14"/>
          <w:sz w:val="19"/>
          <w:szCs w:val="19"/>
        </w:rPr>
        <w:t>文化建设面临的挑战</w:t>
      </w:r>
      <w:r>
        <w:rPr>
          <w:rFonts w:ascii="微软雅黑" w:hAnsi="微软雅黑" w:eastAsia="微软雅黑" w:cs="微软雅黑"/>
          <w:spacing w:val="14"/>
          <w:sz w:val="19"/>
          <w:szCs w:val="19"/>
        </w:rPr>
        <w:t>，</w:t>
      </w:r>
      <w:r>
        <w:rPr>
          <w:rFonts w:ascii="宋体" w:hAnsi="宋体" w:eastAsia="宋体" w:cs="宋体"/>
          <w:spacing w:val="14"/>
          <w:sz w:val="19"/>
          <w:szCs w:val="19"/>
        </w:rPr>
        <w:t>并列举了五大目标和举措</w:t>
      </w:r>
      <w:r>
        <w:rPr>
          <w:rFonts w:ascii="微软雅黑" w:hAnsi="微软雅黑" w:eastAsia="微软雅黑" w:cs="微软雅黑"/>
          <w:spacing w:val="14"/>
          <w:sz w:val="19"/>
          <w:szCs w:val="19"/>
        </w:rPr>
        <w:t>。</w:t>
      </w:r>
    </w:p>
    <w:p>
      <w:pPr>
        <w:spacing w:before="74" w:line="212" w:lineRule="auto"/>
        <w:ind w:left="423"/>
        <w:rPr>
          <w:rFonts w:ascii="黑体" w:hAnsi="黑体" w:eastAsia="黑体" w:cs="黑体"/>
          <w:sz w:val="19"/>
          <w:szCs w:val="19"/>
        </w:rPr>
      </w:pPr>
      <w:r>
        <w:rPr>
          <w:rFonts w:ascii="Arial" w:hAnsi="Arial" w:eastAsia="Arial" w:cs="Arial"/>
          <w:spacing w:val="15"/>
          <w:sz w:val="19"/>
          <w:szCs w:val="19"/>
        </w:rPr>
        <w:t>1.</w:t>
      </w:r>
      <w:r>
        <w:rPr>
          <w:rFonts w:ascii="黑体" w:hAnsi="黑体" w:eastAsia="黑体" w:cs="黑体"/>
          <w:spacing w:val="15"/>
          <w:sz w:val="19"/>
          <w:szCs w:val="19"/>
        </w:rPr>
        <w:t>高等教育质量文化的含义</w:t>
      </w:r>
    </w:p>
    <w:p>
      <w:pPr>
        <w:spacing w:before="99" w:line="230" w:lineRule="auto"/>
        <w:ind w:firstLine="324"/>
        <w:rPr>
          <w:rFonts w:ascii="微软雅黑" w:hAnsi="微软雅黑" w:eastAsia="微软雅黑" w:cs="微软雅黑"/>
          <w:sz w:val="19"/>
          <w:szCs w:val="19"/>
        </w:rPr>
      </w:pPr>
      <w:r>
        <w:rPr>
          <w:rFonts w:ascii="微软雅黑" w:hAnsi="微软雅黑" w:eastAsia="微软雅黑" w:cs="微软雅黑"/>
          <w:spacing w:val="1"/>
          <w:sz w:val="19"/>
          <w:szCs w:val="19"/>
        </w:rPr>
        <w:t>“</w:t>
      </w:r>
      <w:r>
        <w:rPr>
          <w:rFonts w:ascii="微软雅黑" w:hAnsi="微软雅黑" w:eastAsia="微软雅黑" w:cs="微软雅黑"/>
          <w:spacing w:val="-14"/>
          <w:sz w:val="19"/>
          <w:szCs w:val="19"/>
        </w:rPr>
        <w:t xml:space="preserve"> </w:t>
      </w:r>
      <w:r>
        <w:rPr>
          <w:rFonts w:ascii="宋体" w:hAnsi="宋体" w:eastAsia="宋体" w:cs="宋体"/>
          <w:spacing w:val="1"/>
          <w:sz w:val="19"/>
          <w:szCs w:val="19"/>
        </w:rPr>
        <w:t>质量</w:t>
      </w:r>
      <w:r>
        <w:rPr>
          <w:rFonts w:ascii="微软雅黑" w:hAnsi="微软雅黑" w:eastAsia="微软雅黑" w:cs="微软雅黑"/>
          <w:spacing w:val="1"/>
          <w:sz w:val="19"/>
          <w:szCs w:val="19"/>
        </w:rPr>
        <w:t>”</w:t>
      </w:r>
      <w:r>
        <w:rPr>
          <w:rFonts w:ascii="宋体" w:hAnsi="宋体" w:eastAsia="宋体" w:cs="宋体"/>
          <w:spacing w:val="1"/>
          <w:sz w:val="19"/>
          <w:szCs w:val="19"/>
        </w:rPr>
        <w:t>是一个</w:t>
      </w:r>
      <w:r>
        <w:rPr>
          <w:rFonts w:ascii="宋体" w:hAnsi="宋体" w:eastAsia="宋体" w:cs="宋体"/>
          <w:spacing w:val="-41"/>
          <w:sz w:val="19"/>
          <w:szCs w:val="19"/>
        </w:rPr>
        <w:t xml:space="preserve"> </w:t>
      </w:r>
      <w:r>
        <w:rPr>
          <w:rFonts w:ascii="宋体" w:hAnsi="宋体" w:eastAsia="宋体" w:cs="宋体"/>
          <w:spacing w:val="1"/>
          <w:sz w:val="19"/>
          <w:szCs w:val="19"/>
        </w:rPr>
        <w:t>内涵丰</w:t>
      </w:r>
      <w:r>
        <w:rPr>
          <w:rFonts w:ascii="宋体" w:hAnsi="宋体" w:eastAsia="宋体" w:cs="宋体"/>
          <w:spacing w:val="-54"/>
          <w:sz w:val="19"/>
          <w:szCs w:val="19"/>
        </w:rPr>
        <w:t xml:space="preserve"> </w:t>
      </w:r>
      <w:r>
        <w:rPr>
          <w:rFonts w:ascii="宋体" w:hAnsi="宋体" w:eastAsia="宋体" w:cs="宋体"/>
          <w:spacing w:val="1"/>
          <w:sz w:val="19"/>
          <w:szCs w:val="19"/>
        </w:rPr>
        <w:t>富</w:t>
      </w:r>
      <w:r>
        <w:rPr>
          <w:rFonts w:ascii="宋体" w:hAnsi="宋体" w:eastAsia="宋体" w:cs="宋体"/>
          <w:spacing w:val="-49"/>
          <w:sz w:val="19"/>
          <w:szCs w:val="19"/>
        </w:rPr>
        <w:t xml:space="preserve"> </w:t>
      </w:r>
      <w:r>
        <w:rPr>
          <w:rFonts w:ascii="宋体" w:hAnsi="宋体" w:eastAsia="宋体" w:cs="宋体"/>
          <w:spacing w:val="1"/>
          <w:sz w:val="19"/>
          <w:szCs w:val="19"/>
        </w:rPr>
        <w:t>的概念</w:t>
      </w:r>
      <w:r>
        <w:rPr>
          <w:rFonts w:ascii="宋体" w:hAnsi="宋体" w:eastAsia="宋体" w:cs="宋体"/>
          <w:spacing w:val="-51"/>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32"/>
          <w:sz w:val="19"/>
          <w:szCs w:val="19"/>
        </w:rPr>
        <w:t xml:space="preserve"> </w:t>
      </w:r>
      <w:r>
        <w:rPr>
          <w:rFonts w:ascii="宋体" w:hAnsi="宋体" w:eastAsia="宋体" w:cs="宋体"/>
          <w:spacing w:val="1"/>
          <w:sz w:val="19"/>
          <w:szCs w:val="19"/>
        </w:rPr>
        <w:t>一般来说</w:t>
      </w:r>
      <w:r>
        <w:rPr>
          <w:rFonts w:ascii="微软雅黑" w:hAnsi="微软雅黑" w:eastAsia="微软雅黑" w:cs="微软雅黑"/>
          <w:spacing w:val="1"/>
          <w:sz w:val="19"/>
          <w:szCs w:val="19"/>
        </w:rPr>
        <w:t>，</w:t>
      </w:r>
      <w:r>
        <w:rPr>
          <w:rFonts w:ascii="宋体" w:hAnsi="宋体" w:eastAsia="宋体" w:cs="宋体"/>
          <w:spacing w:val="1"/>
          <w:sz w:val="19"/>
          <w:szCs w:val="19"/>
        </w:rPr>
        <w:t>质</w:t>
      </w:r>
      <w:r>
        <w:rPr>
          <w:rFonts w:ascii="宋体" w:hAnsi="宋体" w:eastAsia="宋体" w:cs="宋体"/>
          <w:sz w:val="19"/>
          <w:szCs w:val="19"/>
        </w:rPr>
        <w:t xml:space="preserve">  </w:t>
      </w:r>
      <w:r>
        <w:rPr>
          <w:rFonts w:ascii="宋体" w:hAnsi="宋体" w:eastAsia="宋体" w:cs="宋体"/>
          <w:spacing w:val="11"/>
          <w:sz w:val="19"/>
          <w:szCs w:val="19"/>
        </w:rPr>
        <w:t>量就是维持标准和满</w:t>
      </w:r>
      <w:r>
        <w:rPr>
          <w:rFonts w:ascii="宋体" w:hAnsi="宋体" w:eastAsia="宋体" w:cs="宋体"/>
          <w:spacing w:val="-56"/>
          <w:sz w:val="19"/>
          <w:szCs w:val="19"/>
        </w:rPr>
        <w:t xml:space="preserve"> </w:t>
      </w:r>
      <w:r>
        <w:rPr>
          <w:rFonts w:ascii="宋体" w:hAnsi="宋体" w:eastAsia="宋体" w:cs="宋体"/>
          <w:spacing w:val="11"/>
          <w:sz w:val="19"/>
          <w:szCs w:val="19"/>
        </w:rPr>
        <w:t>足</w:t>
      </w:r>
      <w:r>
        <w:rPr>
          <w:rFonts w:ascii="宋体" w:hAnsi="宋体" w:eastAsia="宋体" w:cs="宋体"/>
          <w:spacing w:val="-55"/>
          <w:sz w:val="19"/>
          <w:szCs w:val="19"/>
        </w:rPr>
        <w:t xml:space="preserve"> </w:t>
      </w:r>
      <w:r>
        <w:rPr>
          <w:rFonts w:ascii="宋体" w:hAnsi="宋体" w:eastAsia="宋体" w:cs="宋体"/>
          <w:spacing w:val="11"/>
          <w:sz w:val="19"/>
          <w:szCs w:val="19"/>
        </w:rPr>
        <w:t>一</w:t>
      </w:r>
      <w:r>
        <w:rPr>
          <w:rFonts w:ascii="宋体" w:hAnsi="宋体" w:eastAsia="宋体" w:cs="宋体"/>
          <w:spacing w:val="-54"/>
          <w:sz w:val="19"/>
          <w:szCs w:val="19"/>
        </w:rPr>
        <w:t xml:space="preserve"> </w:t>
      </w:r>
      <w:r>
        <w:rPr>
          <w:rFonts w:ascii="宋体" w:hAnsi="宋体" w:eastAsia="宋体" w:cs="宋体"/>
          <w:spacing w:val="11"/>
          <w:sz w:val="19"/>
          <w:szCs w:val="19"/>
        </w:rPr>
        <w:t>定</w:t>
      </w:r>
      <w:r>
        <w:rPr>
          <w:rFonts w:ascii="宋体" w:hAnsi="宋体" w:eastAsia="宋体" w:cs="宋体"/>
          <w:spacing w:val="-42"/>
          <w:sz w:val="19"/>
          <w:szCs w:val="19"/>
        </w:rPr>
        <w:t xml:space="preserve"> </w:t>
      </w:r>
      <w:r>
        <w:rPr>
          <w:rFonts w:ascii="宋体" w:hAnsi="宋体" w:eastAsia="宋体" w:cs="宋体"/>
          <w:spacing w:val="11"/>
          <w:sz w:val="19"/>
          <w:szCs w:val="19"/>
        </w:rPr>
        <w:t>的</w:t>
      </w:r>
      <w:r>
        <w:rPr>
          <w:rFonts w:ascii="宋体" w:hAnsi="宋体" w:eastAsia="宋体" w:cs="宋体"/>
          <w:spacing w:val="-56"/>
          <w:sz w:val="19"/>
          <w:szCs w:val="19"/>
        </w:rPr>
        <w:t xml:space="preserve"> </w:t>
      </w:r>
      <w:r>
        <w:rPr>
          <w:rFonts w:ascii="宋体" w:hAnsi="宋体" w:eastAsia="宋体" w:cs="宋体"/>
          <w:spacing w:val="11"/>
          <w:sz w:val="19"/>
          <w:szCs w:val="19"/>
        </w:rPr>
        <w:t>期</w:t>
      </w:r>
      <w:r>
        <w:rPr>
          <w:rFonts w:ascii="宋体" w:hAnsi="宋体" w:eastAsia="宋体" w:cs="宋体"/>
          <w:spacing w:val="-56"/>
          <w:sz w:val="19"/>
          <w:szCs w:val="19"/>
        </w:rPr>
        <w:t xml:space="preserve"> </w:t>
      </w:r>
      <w:r>
        <w:rPr>
          <w:rFonts w:ascii="宋体" w:hAnsi="宋体" w:eastAsia="宋体" w:cs="宋体"/>
          <w:spacing w:val="11"/>
          <w:sz w:val="19"/>
          <w:szCs w:val="19"/>
        </w:rPr>
        <w:t>望和要</w:t>
      </w:r>
      <w:r>
        <w:rPr>
          <w:rFonts w:ascii="宋体" w:hAnsi="宋体" w:eastAsia="宋体" w:cs="宋体"/>
          <w:spacing w:val="-57"/>
          <w:sz w:val="19"/>
          <w:szCs w:val="19"/>
        </w:rPr>
        <w:t xml:space="preserve"> </w:t>
      </w:r>
      <w:r>
        <w:rPr>
          <w:rFonts w:ascii="宋体" w:hAnsi="宋体" w:eastAsia="宋体" w:cs="宋体"/>
          <w:spacing w:val="11"/>
          <w:sz w:val="19"/>
          <w:szCs w:val="19"/>
        </w:rPr>
        <w:t>求</w:t>
      </w:r>
      <w:r>
        <w:rPr>
          <w:rFonts w:ascii="宋体" w:hAnsi="宋体" w:eastAsia="宋体" w:cs="宋体"/>
          <w:spacing w:val="-51"/>
          <w:sz w:val="19"/>
          <w:szCs w:val="19"/>
        </w:rPr>
        <w:t xml:space="preserve"> </w:t>
      </w:r>
      <w:r>
        <w:rPr>
          <w:rFonts w:ascii="微软雅黑" w:hAnsi="微软雅黑" w:eastAsia="微软雅黑" w:cs="微软雅黑"/>
          <w:spacing w:val="11"/>
          <w:sz w:val="19"/>
          <w:szCs w:val="19"/>
        </w:rPr>
        <w:t>。</w:t>
      </w:r>
      <w:r>
        <w:rPr>
          <w:rFonts w:ascii="微软雅黑" w:hAnsi="微软雅黑" w:eastAsia="微软雅黑" w:cs="微软雅黑"/>
          <w:spacing w:val="-30"/>
          <w:sz w:val="19"/>
          <w:szCs w:val="19"/>
        </w:rPr>
        <w:t xml:space="preserve"> </w:t>
      </w:r>
      <w:r>
        <w:rPr>
          <w:rFonts w:ascii="宋体" w:hAnsi="宋体" w:eastAsia="宋体" w:cs="宋体"/>
          <w:spacing w:val="11"/>
          <w:sz w:val="19"/>
          <w:szCs w:val="19"/>
        </w:rPr>
        <w:t>在</w:t>
      </w:r>
      <w:r>
        <w:rPr>
          <w:rFonts w:ascii="宋体" w:hAnsi="宋体" w:eastAsia="宋体" w:cs="宋体"/>
          <w:spacing w:val="10"/>
          <w:sz w:val="19"/>
          <w:szCs w:val="19"/>
        </w:rPr>
        <w:t xml:space="preserve">挪 </w:t>
      </w:r>
      <w:r>
        <w:rPr>
          <w:rFonts w:ascii="宋体" w:hAnsi="宋体" w:eastAsia="宋体" w:cs="宋体"/>
          <w:spacing w:val="9"/>
          <w:sz w:val="19"/>
          <w:szCs w:val="19"/>
        </w:rPr>
        <w:t>威</w:t>
      </w:r>
      <w:r>
        <w:rPr>
          <w:rFonts w:ascii="微软雅黑" w:hAnsi="微软雅黑" w:eastAsia="微软雅黑" w:cs="微软雅黑"/>
          <w:spacing w:val="9"/>
          <w:sz w:val="19"/>
          <w:szCs w:val="19"/>
        </w:rPr>
        <w:t>，“</w:t>
      </w:r>
      <w:r>
        <w:rPr>
          <w:rFonts w:ascii="宋体" w:hAnsi="宋体" w:eastAsia="宋体" w:cs="宋体"/>
          <w:spacing w:val="9"/>
          <w:sz w:val="19"/>
          <w:szCs w:val="19"/>
        </w:rPr>
        <w:t>质量</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一直是教育系统中重要的示范性和评价 </w:t>
      </w:r>
      <w:r>
        <w:rPr>
          <w:rFonts w:ascii="宋体" w:hAnsi="宋体" w:eastAsia="宋体" w:cs="宋体"/>
          <w:spacing w:val="4"/>
          <w:sz w:val="19"/>
          <w:szCs w:val="19"/>
        </w:rPr>
        <w:t>性标准</w:t>
      </w:r>
      <w:r>
        <w:rPr>
          <w:rFonts w:ascii="微软雅黑" w:hAnsi="微软雅黑" w:eastAsia="微软雅黑" w:cs="微软雅黑"/>
          <w:spacing w:val="4"/>
          <w:sz w:val="19"/>
          <w:szCs w:val="19"/>
        </w:rPr>
        <w:t>，</w:t>
      </w:r>
      <w:r>
        <w:rPr>
          <w:rFonts w:ascii="宋体" w:hAnsi="宋体" w:eastAsia="宋体" w:cs="宋体"/>
          <w:spacing w:val="4"/>
          <w:sz w:val="19"/>
          <w:szCs w:val="19"/>
        </w:rPr>
        <w:t>涉及诸如卓越</w:t>
      </w:r>
      <w:r>
        <w:rPr>
          <w:rFonts w:ascii="微软雅黑" w:hAnsi="微软雅黑" w:eastAsia="微软雅黑" w:cs="微软雅黑"/>
          <w:spacing w:val="4"/>
          <w:sz w:val="19"/>
          <w:szCs w:val="19"/>
        </w:rPr>
        <w:t>、</w:t>
      </w:r>
      <w:r>
        <w:rPr>
          <w:rFonts w:ascii="宋体" w:hAnsi="宋体" w:eastAsia="宋体" w:cs="宋体"/>
          <w:spacing w:val="4"/>
          <w:sz w:val="19"/>
          <w:szCs w:val="19"/>
        </w:rPr>
        <w:t>变化</w:t>
      </w:r>
      <w:r>
        <w:rPr>
          <w:rFonts w:ascii="微软雅黑" w:hAnsi="微软雅黑" w:eastAsia="微软雅黑" w:cs="微软雅黑"/>
          <w:spacing w:val="4"/>
          <w:sz w:val="19"/>
          <w:szCs w:val="19"/>
        </w:rPr>
        <w:t>、</w:t>
      </w:r>
      <w:r>
        <w:rPr>
          <w:rFonts w:ascii="宋体" w:hAnsi="宋体" w:eastAsia="宋体" w:cs="宋体"/>
          <w:spacing w:val="4"/>
          <w:sz w:val="19"/>
          <w:szCs w:val="19"/>
        </w:rPr>
        <w:t>多样性</w:t>
      </w:r>
      <w:r>
        <w:rPr>
          <w:rFonts w:ascii="微软雅黑" w:hAnsi="微软雅黑" w:eastAsia="微软雅黑" w:cs="微软雅黑"/>
          <w:spacing w:val="4"/>
          <w:sz w:val="19"/>
          <w:szCs w:val="19"/>
        </w:rPr>
        <w:t>、</w:t>
      </w:r>
      <w:r>
        <w:rPr>
          <w:rFonts w:ascii="宋体" w:hAnsi="宋体" w:eastAsia="宋体" w:cs="宋体"/>
          <w:spacing w:val="4"/>
          <w:sz w:val="19"/>
          <w:szCs w:val="19"/>
        </w:rPr>
        <w:t>发展和创新</w:t>
      </w:r>
      <w:r>
        <w:rPr>
          <w:rFonts w:ascii="微软雅黑" w:hAnsi="微软雅黑" w:eastAsia="微软雅黑" w:cs="微软雅黑"/>
          <w:spacing w:val="4"/>
          <w:sz w:val="19"/>
          <w:szCs w:val="19"/>
        </w:rPr>
        <w:t>、</w:t>
      </w:r>
      <w:r>
        <w:rPr>
          <w:rFonts w:ascii="微软雅黑" w:hAnsi="微软雅黑" w:eastAsia="微软雅黑" w:cs="微软雅黑"/>
          <w:spacing w:val="9"/>
          <w:sz w:val="19"/>
          <w:szCs w:val="19"/>
        </w:rPr>
        <w:t xml:space="preserve"> </w:t>
      </w:r>
      <w:r>
        <w:rPr>
          <w:rFonts w:ascii="宋体" w:hAnsi="宋体" w:eastAsia="宋体" w:cs="宋体"/>
          <w:spacing w:val="15"/>
          <w:sz w:val="19"/>
          <w:szCs w:val="19"/>
        </w:rPr>
        <w:t>有效性和相关性等多个关键词</w:t>
      </w:r>
      <w:r>
        <w:rPr>
          <w:rFonts w:ascii="宋体" w:hAnsi="宋体" w:eastAsia="宋体" w:cs="宋体"/>
          <w:spacing w:val="-52"/>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15"/>
          <w:sz w:val="19"/>
          <w:szCs w:val="19"/>
        </w:rPr>
        <w:t xml:space="preserve">具体到高等教育领 </w:t>
      </w:r>
      <w:r>
        <w:rPr>
          <w:rFonts w:ascii="宋体" w:hAnsi="宋体" w:eastAsia="宋体" w:cs="宋体"/>
          <w:spacing w:val="1"/>
          <w:sz w:val="19"/>
          <w:szCs w:val="19"/>
        </w:rPr>
        <w:t>域中</w:t>
      </w:r>
      <w:r>
        <w:rPr>
          <w:rFonts w:ascii="微软雅黑" w:hAnsi="微软雅黑" w:eastAsia="微软雅黑" w:cs="微软雅黑"/>
          <w:spacing w:val="1"/>
          <w:sz w:val="19"/>
          <w:szCs w:val="19"/>
        </w:rPr>
        <w:t>，</w:t>
      </w:r>
      <w:r>
        <w:rPr>
          <w:rFonts w:ascii="宋体" w:hAnsi="宋体" w:eastAsia="宋体" w:cs="宋体"/>
          <w:spacing w:val="1"/>
          <w:sz w:val="19"/>
          <w:szCs w:val="19"/>
        </w:rPr>
        <w:t>又可划分为框架质量</w:t>
      </w:r>
      <w:r>
        <w:rPr>
          <w:rFonts w:ascii="微软雅黑" w:hAnsi="微软雅黑" w:eastAsia="微软雅黑" w:cs="微软雅黑"/>
          <w:spacing w:val="1"/>
          <w:sz w:val="19"/>
          <w:szCs w:val="19"/>
        </w:rPr>
        <w:t>、</w:t>
      </w:r>
      <w:r>
        <w:rPr>
          <w:rFonts w:ascii="宋体" w:hAnsi="宋体" w:eastAsia="宋体" w:cs="宋体"/>
          <w:spacing w:val="1"/>
          <w:sz w:val="19"/>
          <w:szCs w:val="19"/>
        </w:rPr>
        <w:t>准入质量</w:t>
      </w:r>
      <w:r>
        <w:rPr>
          <w:rFonts w:ascii="微软雅黑" w:hAnsi="微软雅黑" w:eastAsia="微软雅黑" w:cs="微软雅黑"/>
          <w:spacing w:val="1"/>
          <w:sz w:val="19"/>
          <w:szCs w:val="19"/>
        </w:rPr>
        <w:t>、</w:t>
      </w:r>
      <w:r>
        <w:rPr>
          <w:rFonts w:ascii="宋体" w:hAnsi="宋体" w:eastAsia="宋体" w:cs="宋体"/>
          <w:spacing w:val="1"/>
          <w:sz w:val="19"/>
          <w:szCs w:val="19"/>
        </w:rPr>
        <w:t>程序质量</w:t>
      </w:r>
      <w:r>
        <w:rPr>
          <w:rFonts w:ascii="微软雅黑" w:hAnsi="微软雅黑" w:eastAsia="微软雅黑" w:cs="微软雅黑"/>
          <w:spacing w:val="1"/>
          <w:sz w:val="19"/>
          <w:szCs w:val="19"/>
        </w:rPr>
        <w:t>、</w:t>
      </w:r>
      <w:r>
        <w:rPr>
          <w:rFonts w:ascii="宋体" w:hAnsi="宋体" w:eastAsia="宋体" w:cs="宋体"/>
          <w:spacing w:val="1"/>
          <w:sz w:val="19"/>
          <w:szCs w:val="19"/>
        </w:rPr>
        <w:t xml:space="preserve">结  </w:t>
      </w:r>
      <w:r>
        <w:rPr>
          <w:rFonts w:ascii="宋体" w:hAnsi="宋体" w:eastAsia="宋体" w:cs="宋体"/>
          <w:spacing w:val="9"/>
          <w:sz w:val="19"/>
          <w:szCs w:val="19"/>
        </w:rPr>
        <w:t>果质量</w:t>
      </w:r>
      <w:r>
        <w:rPr>
          <w:rFonts w:ascii="微软雅黑" w:hAnsi="微软雅黑" w:eastAsia="微软雅黑" w:cs="微软雅黑"/>
          <w:spacing w:val="9"/>
          <w:sz w:val="19"/>
          <w:szCs w:val="19"/>
        </w:rPr>
        <w:t>、</w:t>
      </w:r>
      <w:r>
        <w:rPr>
          <w:rFonts w:ascii="宋体" w:hAnsi="宋体" w:eastAsia="宋体" w:cs="宋体"/>
          <w:spacing w:val="9"/>
          <w:sz w:val="19"/>
          <w:szCs w:val="19"/>
        </w:rPr>
        <w:t>教学质量</w:t>
      </w:r>
      <w:r>
        <w:rPr>
          <w:rFonts w:ascii="微软雅黑" w:hAnsi="微软雅黑" w:eastAsia="微软雅黑" w:cs="微软雅黑"/>
          <w:spacing w:val="9"/>
          <w:sz w:val="19"/>
          <w:szCs w:val="19"/>
        </w:rPr>
        <w:t>、</w:t>
      </w:r>
      <w:r>
        <w:rPr>
          <w:rFonts w:ascii="宋体" w:hAnsi="宋体" w:eastAsia="宋体" w:cs="宋体"/>
          <w:spacing w:val="9"/>
          <w:sz w:val="19"/>
          <w:szCs w:val="19"/>
        </w:rPr>
        <w:t>管理质量及相关质量等</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内涵十 </w:t>
      </w:r>
      <w:r>
        <w:rPr>
          <w:rFonts w:ascii="宋体" w:hAnsi="宋体" w:eastAsia="宋体" w:cs="宋体"/>
          <w:spacing w:val="13"/>
          <w:sz w:val="19"/>
          <w:szCs w:val="19"/>
        </w:rPr>
        <w:t>分丰富</w:t>
      </w:r>
      <w:r>
        <w:rPr>
          <w:rFonts w:ascii="微软雅黑" w:hAnsi="微软雅黑" w:eastAsia="微软雅黑" w:cs="微软雅黑"/>
          <w:spacing w:val="13"/>
          <w:sz w:val="19"/>
          <w:szCs w:val="19"/>
        </w:rPr>
        <w:t>。</w:t>
      </w:r>
      <w:r>
        <w:rPr>
          <w:rFonts w:ascii="微软雅黑" w:hAnsi="微软雅黑" w:eastAsia="微软雅黑" w:cs="微软雅黑"/>
          <w:spacing w:val="13"/>
          <w:position w:val="7"/>
          <w:sz w:val="10"/>
          <w:szCs w:val="10"/>
        </w:rPr>
        <w:t>[</w:t>
      </w:r>
      <w:r>
        <w:rPr>
          <w:rFonts w:ascii="Arial" w:hAnsi="Arial" w:eastAsia="Arial" w:cs="Arial"/>
          <w:spacing w:val="13"/>
          <w:position w:val="7"/>
          <w:sz w:val="10"/>
          <w:szCs w:val="10"/>
        </w:rPr>
        <w:t>10</w:t>
      </w:r>
      <w:r>
        <w:rPr>
          <w:rFonts w:ascii="微软雅黑" w:hAnsi="微软雅黑" w:eastAsia="微软雅黑" w:cs="微软雅黑"/>
          <w:spacing w:val="13"/>
          <w:position w:val="7"/>
          <w:sz w:val="10"/>
          <w:szCs w:val="10"/>
        </w:rPr>
        <w:t>]</w:t>
      </w:r>
      <w:r>
        <w:rPr>
          <w:rFonts w:ascii="微软雅黑" w:hAnsi="微软雅黑" w:eastAsia="微软雅黑" w:cs="微软雅黑"/>
          <w:spacing w:val="12"/>
          <w:w w:val="101"/>
          <w:position w:val="7"/>
          <w:sz w:val="10"/>
          <w:szCs w:val="10"/>
        </w:rPr>
        <w:t xml:space="preserve">  </w:t>
      </w:r>
      <w:r>
        <w:rPr>
          <w:rFonts w:ascii="宋体" w:hAnsi="宋体" w:eastAsia="宋体" w:cs="宋体"/>
          <w:spacing w:val="13"/>
          <w:sz w:val="19"/>
          <w:szCs w:val="19"/>
        </w:rPr>
        <w:t xml:space="preserve">白皮书中强调高等教育质量文化是高等 </w:t>
      </w:r>
      <w:r>
        <w:rPr>
          <w:rFonts w:ascii="宋体" w:hAnsi="宋体" w:eastAsia="宋体" w:cs="宋体"/>
          <w:spacing w:val="9"/>
          <w:sz w:val="19"/>
          <w:szCs w:val="19"/>
        </w:rPr>
        <w:t>学校致力于质量提升的环境氛围</w:t>
      </w:r>
      <w:r>
        <w:rPr>
          <w:rFonts w:ascii="微软雅黑" w:hAnsi="微软雅黑" w:eastAsia="微软雅黑" w:cs="微软雅黑"/>
          <w:spacing w:val="9"/>
          <w:sz w:val="19"/>
          <w:szCs w:val="19"/>
        </w:rPr>
        <w:t>，</w:t>
      </w:r>
      <w:r>
        <w:rPr>
          <w:rFonts w:ascii="宋体" w:hAnsi="宋体" w:eastAsia="宋体" w:cs="宋体"/>
          <w:spacing w:val="9"/>
          <w:sz w:val="19"/>
          <w:szCs w:val="19"/>
        </w:rPr>
        <w:t>是教师</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学生等高 </w:t>
      </w:r>
      <w:r>
        <w:rPr>
          <w:rFonts w:ascii="宋体" w:hAnsi="宋体" w:eastAsia="宋体" w:cs="宋体"/>
          <w:spacing w:val="14"/>
          <w:sz w:val="19"/>
          <w:szCs w:val="19"/>
        </w:rPr>
        <w:t>校全体成员对质量意义的共同理解</w:t>
      </w:r>
      <w:r>
        <w:rPr>
          <w:rFonts w:ascii="宋体" w:hAnsi="宋体" w:eastAsia="宋体" w:cs="宋体"/>
          <w:spacing w:val="-36"/>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28"/>
          <w:sz w:val="19"/>
          <w:szCs w:val="19"/>
        </w:rPr>
        <w:t xml:space="preserve"> </w:t>
      </w:r>
      <w:r>
        <w:rPr>
          <w:rFonts w:ascii="宋体" w:hAnsi="宋体" w:eastAsia="宋体" w:cs="宋体"/>
          <w:spacing w:val="14"/>
          <w:sz w:val="19"/>
          <w:szCs w:val="19"/>
        </w:rPr>
        <w:t>既包含技术层 面上的管理和质量保</w:t>
      </w:r>
      <w:r>
        <w:rPr>
          <w:rFonts w:ascii="宋体" w:hAnsi="宋体" w:eastAsia="宋体" w:cs="宋体"/>
          <w:spacing w:val="-54"/>
          <w:sz w:val="19"/>
          <w:szCs w:val="19"/>
        </w:rPr>
        <w:t xml:space="preserve"> </w:t>
      </w:r>
      <w:r>
        <w:rPr>
          <w:rFonts w:ascii="宋体" w:hAnsi="宋体" w:eastAsia="宋体" w:cs="宋体"/>
          <w:spacing w:val="14"/>
          <w:sz w:val="19"/>
          <w:szCs w:val="19"/>
        </w:rPr>
        <w:t>障手段</w:t>
      </w:r>
      <w:r>
        <w:rPr>
          <w:rFonts w:ascii="微软雅黑" w:hAnsi="微软雅黑" w:eastAsia="微软雅黑" w:cs="微软雅黑"/>
          <w:spacing w:val="14"/>
          <w:sz w:val="19"/>
          <w:szCs w:val="19"/>
        </w:rPr>
        <w:t>，</w:t>
      </w:r>
      <w:r>
        <w:rPr>
          <w:rFonts w:ascii="宋体" w:hAnsi="宋体" w:eastAsia="宋体" w:cs="宋体"/>
          <w:spacing w:val="14"/>
          <w:sz w:val="19"/>
          <w:szCs w:val="19"/>
        </w:rPr>
        <w:t>又包括观念层面上</w:t>
      </w:r>
      <w:r>
        <w:rPr>
          <w:rFonts w:ascii="宋体" w:hAnsi="宋体" w:eastAsia="宋体" w:cs="宋体"/>
          <w:spacing w:val="-48"/>
          <w:sz w:val="19"/>
          <w:szCs w:val="19"/>
        </w:rPr>
        <w:t xml:space="preserve"> </w:t>
      </w:r>
      <w:r>
        <w:rPr>
          <w:rFonts w:ascii="宋体" w:hAnsi="宋体" w:eastAsia="宋体" w:cs="宋体"/>
          <w:spacing w:val="14"/>
          <w:sz w:val="19"/>
          <w:szCs w:val="19"/>
        </w:rPr>
        <w:t xml:space="preserve">的 </w:t>
      </w:r>
      <w:r>
        <w:rPr>
          <w:rFonts w:ascii="宋体" w:hAnsi="宋体" w:eastAsia="宋体" w:cs="宋体"/>
          <w:spacing w:val="16"/>
          <w:sz w:val="19"/>
          <w:szCs w:val="19"/>
        </w:rPr>
        <w:t>参与度和向心力</w:t>
      </w:r>
      <w:r>
        <w:rPr>
          <w:rFonts w:ascii="宋体" w:hAnsi="宋体" w:eastAsia="宋体" w:cs="宋体"/>
          <w:spacing w:val="-53"/>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而高等教育质量文化建设的三个 </w:t>
      </w:r>
      <w:r>
        <w:rPr>
          <w:rFonts w:ascii="宋体" w:hAnsi="宋体" w:eastAsia="宋体" w:cs="宋体"/>
          <w:spacing w:val="9"/>
          <w:sz w:val="19"/>
          <w:szCs w:val="19"/>
        </w:rPr>
        <w:t>核心要素是学生</w:t>
      </w:r>
      <w:r>
        <w:rPr>
          <w:rFonts w:ascii="微软雅黑" w:hAnsi="微软雅黑" w:eastAsia="微软雅黑" w:cs="微软雅黑"/>
          <w:spacing w:val="9"/>
          <w:sz w:val="19"/>
          <w:szCs w:val="19"/>
        </w:rPr>
        <w:t>、</w:t>
      </w:r>
      <w:r>
        <w:rPr>
          <w:rFonts w:ascii="宋体" w:hAnsi="宋体" w:eastAsia="宋体" w:cs="宋体"/>
          <w:spacing w:val="9"/>
          <w:sz w:val="19"/>
          <w:szCs w:val="19"/>
        </w:rPr>
        <w:t>教师和管理</w:t>
      </w:r>
      <w:r>
        <w:rPr>
          <w:rFonts w:ascii="微软雅黑" w:hAnsi="微软雅黑" w:eastAsia="微软雅黑" w:cs="微软雅黑"/>
          <w:spacing w:val="9"/>
          <w:sz w:val="19"/>
          <w:szCs w:val="19"/>
        </w:rPr>
        <w:t>，</w:t>
      </w:r>
      <w:r>
        <w:rPr>
          <w:rFonts w:ascii="宋体" w:hAnsi="宋体" w:eastAsia="宋体" w:cs="宋体"/>
          <w:spacing w:val="9"/>
          <w:sz w:val="19"/>
          <w:szCs w:val="19"/>
        </w:rPr>
        <w:t>白皮书中描述了这种 环境氛围</w:t>
      </w:r>
      <w:r>
        <w:rPr>
          <w:rFonts w:ascii="微软雅黑" w:hAnsi="微软雅黑" w:eastAsia="微软雅黑" w:cs="微软雅黑"/>
          <w:spacing w:val="9"/>
          <w:sz w:val="19"/>
          <w:szCs w:val="19"/>
        </w:rPr>
        <w:t>，</w:t>
      </w:r>
      <w:r>
        <w:rPr>
          <w:rFonts w:ascii="宋体" w:hAnsi="宋体" w:eastAsia="宋体" w:cs="宋体"/>
          <w:spacing w:val="9"/>
          <w:sz w:val="19"/>
          <w:szCs w:val="19"/>
        </w:rPr>
        <w:t>在这种文化环境氛围中</w:t>
      </w:r>
      <w:r>
        <w:rPr>
          <w:rFonts w:ascii="微软雅黑" w:hAnsi="微软雅黑" w:eastAsia="微软雅黑" w:cs="微软雅黑"/>
          <w:spacing w:val="9"/>
          <w:sz w:val="19"/>
          <w:szCs w:val="19"/>
        </w:rPr>
        <w:t>，</w:t>
      </w:r>
      <w:r>
        <w:rPr>
          <w:rFonts w:ascii="宋体" w:hAnsi="宋体" w:eastAsia="宋体" w:cs="宋体"/>
          <w:spacing w:val="9"/>
          <w:sz w:val="19"/>
          <w:szCs w:val="19"/>
        </w:rPr>
        <w:t>学生和教师能够 得到长足的</w:t>
      </w:r>
      <w:r>
        <w:rPr>
          <w:rFonts w:ascii="微软雅黑" w:hAnsi="微软雅黑" w:eastAsia="微软雅黑" w:cs="微软雅黑"/>
          <w:spacing w:val="9"/>
          <w:sz w:val="19"/>
          <w:szCs w:val="19"/>
        </w:rPr>
        <w:t>、</w:t>
      </w:r>
      <w:r>
        <w:rPr>
          <w:rFonts w:ascii="宋体" w:hAnsi="宋体" w:eastAsia="宋体" w:cs="宋体"/>
          <w:spacing w:val="9"/>
          <w:sz w:val="19"/>
          <w:szCs w:val="19"/>
        </w:rPr>
        <w:t>可持续的发展和进步</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管理机构能够与 </w:t>
      </w:r>
      <w:r>
        <w:rPr>
          <w:rFonts w:ascii="宋体" w:hAnsi="宋体" w:eastAsia="宋体" w:cs="宋体"/>
          <w:spacing w:val="18"/>
          <w:sz w:val="19"/>
          <w:szCs w:val="19"/>
        </w:rPr>
        <w:t>学生和教师充分互动</w:t>
      </w:r>
      <w:r>
        <w:rPr>
          <w:rFonts w:ascii="微软雅黑" w:hAnsi="微软雅黑" w:eastAsia="微软雅黑" w:cs="微软雅黑"/>
          <w:spacing w:val="18"/>
          <w:sz w:val="19"/>
          <w:szCs w:val="19"/>
        </w:rPr>
        <w:t>，</w:t>
      </w:r>
      <w:r>
        <w:rPr>
          <w:rFonts w:ascii="宋体" w:hAnsi="宋体" w:eastAsia="宋体" w:cs="宋体"/>
          <w:spacing w:val="18"/>
          <w:sz w:val="19"/>
          <w:szCs w:val="19"/>
        </w:rPr>
        <w:t>形成一个充满生命力</w:t>
      </w:r>
      <w:r>
        <w:rPr>
          <w:rFonts w:ascii="宋体" w:hAnsi="宋体" w:eastAsia="宋体" w:cs="宋体"/>
          <w:spacing w:val="17"/>
          <w:sz w:val="19"/>
          <w:szCs w:val="19"/>
        </w:rPr>
        <w:t xml:space="preserve">的有机 </w:t>
      </w:r>
      <w:r>
        <w:rPr>
          <w:rFonts w:ascii="宋体" w:hAnsi="宋体" w:eastAsia="宋体" w:cs="宋体"/>
          <w:spacing w:val="18"/>
          <w:sz w:val="19"/>
          <w:szCs w:val="19"/>
        </w:rPr>
        <w:t>质量保障共同体</w:t>
      </w:r>
      <w:r>
        <w:rPr>
          <w:rFonts w:ascii="微软雅黑" w:hAnsi="微软雅黑" w:eastAsia="微软雅黑" w:cs="微软雅黑"/>
          <w:spacing w:val="18"/>
          <w:sz w:val="19"/>
          <w:szCs w:val="19"/>
        </w:rPr>
        <w:t>。</w:t>
      </w:r>
    </w:p>
    <w:p>
      <w:pPr>
        <w:spacing w:before="75" w:line="229" w:lineRule="auto"/>
        <w:ind w:firstLine="419"/>
        <w:rPr>
          <w:rFonts w:ascii="微软雅黑" w:hAnsi="微软雅黑" w:eastAsia="微软雅黑" w:cs="微软雅黑"/>
          <w:sz w:val="19"/>
          <w:szCs w:val="19"/>
        </w:rPr>
      </w:pPr>
      <w:r>
        <w:rPr>
          <w:rFonts w:ascii="宋体" w:hAnsi="宋体" w:eastAsia="宋体" w:cs="宋体"/>
          <w:spacing w:val="11"/>
          <w:sz w:val="19"/>
          <w:szCs w:val="19"/>
        </w:rPr>
        <w:t>在这种环境氛</w:t>
      </w:r>
      <w:r>
        <w:rPr>
          <w:rFonts w:ascii="宋体" w:hAnsi="宋体" w:eastAsia="宋体" w:cs="宋体"/>
          <w:spacing w:val="-48"/>
          <w:sz w:val="19"/>
          <w:szCs w:val="19"/>
        </w:rPr>
        <w:t xml:space="preserve"> </w:t>
      </w:r>
      <w:r>
        <w:rPr>
          <w:rFonts w:ascii="宋体" w:hAnsi="宋体" w:eastAsia="宋体" w:cs="宋体"/>
          <w:spacing w:val="11"/>
          <w:sz w:val="19"/>
          <w:szCs w:val="19"/>
        </w:rPr>
        <w:t>围</w:t>
      </w:r>
      <w:r>
        <w:rPr>
          <w:rFonts w:ascii="宋体" w:hAnsi="宋体" w:eastAsia="宋体" w:cs="宋体"/>
          <w:spacing w:val="-47"/>
          <w:sz w:val="19"/>
          <w:szCs w:val="19"/>
        </w:rPr>
        <w:t xml:space="preserve"> </w:t>
      </w:r>
      <w:r>
        <w:rPr>
          <w:rFonts w:ascii="宋体" w:hAnsi="宋体" w:eastAsia="宋体" w:cs="宋体"/>
          <w:spacing w:val="11"/>
          <w:sz w:val="19"/>
          <w:szCs w:val="19"/>
        </w:rPr>
        <w:t>中</w:t>
      </w:r>
      <w:r>
        <w:rPr>
          <w:rFonts w:ascii="微软雅黑" w:hAnsi="微软雅黑" w:eastAsia="微软雅黑" w:cs="微软雅黑"/>
          <w:spacing w:val="11"/>
          <w:sz w:val="19"/>
          <w:szCs w:val="19"/>
        </w:rPr>
        <w:t>，</w:t>
      </w:r>
      <w:r>
        <w:rPr>
          <w:rFonts w:ascii="宋体" w:hAnsi="宋体" w:eastAsia="宋体" w:cs="宋体"/>
          <w:spacing w:val="11"/>
          <w:sz w:val="19"/>
          <w:szCs w:val="19"/>
        </w:rPr>
        <w:t>高校培养</w:t>
      </w:r>
      <w:r>
        <w:rPr>
          <w:rFonts w:ascii="宋体" w:hAnsi="宋体" w:eastAsia="宋体" w:cs="宋体"/>
          <w:spacing w:val="-51"/>
          <w:sz w:val="19"/>
          <w:szCs w:val="19"/>
        </w:rPr>
        <w:t xml:space="preserve"> </w:t>
      </w:r>
      <w:r>
        <w:rPr>
          <w:rFonts w:ascii="宋体" w:hAnsi="宋体" w:eastAsia="宋体" w:cs="宋体"/>
          <w:spacing w:val="11"/>
          <w:sz w:val="19"/>
          <w:szCs w:val="19"/>
        </w:rPr>
        <w:t xml:space="preserve">的学生应该是高 </w:t>
      </w:r>
      <w:r>
        <w:rPr>
          <w:rFonts w:ascii="宋体" w:hAnsi="宋体" w:eastAsia="宋体" w:cs="宋体"/>
          <w:spacing w:val="12"/>
          <w:sz w:val="19"/>
          <w:szCs w:val="19"/>
        </w:rPr>
        <w:t>质量的</w:t>
      </w:r>
      <w:r>
        <w:rPr>
          <w:rFonts w:ascii="微软雅黑" w:hAnsi="微软雅黑" w:eastAsia="微软雅黑" w:cs="微软雅黑"/>
          <w:spacing w:val="12"/>
          <w:sz w:val="19"/>
          <w:szCs w:val="19"/>
        </w:rPr>
        <w:t>，</w:t>
      </w:r>
      <w:r>
        <w:rPr>
          <w:rFonts w:ascii="宋体" w:hAnsi="宋体" w:eastAsia="宋体" w:cs="宋体"/>
          <w:spacing w:val="12"/>
          <w:sz w:val="19"/>
          <w:szCs w:val="19"/>
        </w:rPr>
        <w:t>符合社会进步和发展要求</w:t>
      </w:r>
      <w:r>
        <w:rPr>
          <w:rFonts w:ascii="宋体" w:hAnsi="宋体" w:eastAsia="宋体" w:cs="宋体"/>
          <w:spacing w:val="-33"/>
          <w:sz w:val="19"/>
          <w:szCs w:val="19"/>
        </w:rPr>
        <w:t xml:space="preserve"> </w:t>
      </w:r>
      <w:r>
        <w:rPr>
          <w:rFonts w:ascii="宋体" w:hAnsi="宋体" w:eastAsia="宋体" w:cs="宋体"/>
          <w:spacing w:val="12"/>
          <w:sz w:val="19"/>
          <w:szCs w:val="19"/>
        </w:rPr>
        <w:t>的</w:t>
      </w:r>
      <w:r>
        <w:rPr>
          <w:rFonts w:ascii="宋体" w:hAnsi="宋体" w:eastAsia="宋体" w:cs="宋体"/>
          <w:spacing w:val="-51"/>
          <w:sz w:val="19"/>
          <w:szCs w:val="19"/>
        </w:rPr>
        <w:t xml:space="preserve"> </w:t>
      </w:r>
      <w:r>
        <w:rPr>
          <w:rFonts w:ascii="微软雅黑" w:hAnsi="微软雅黑" w:eastAsia="微软雅黑" w:cs="微软雅黑"/>
          <w:spacing w:val="12"/>
          <w:sz w:val="19"/>
          <w:szCs w:val="19"/>
        </w:rPr>
        <w:t>。</w:t>
      </w:r>
      <w:r>
        <w:rPr>
          <w:rFonts w:ascii="微软雅黑" w:hAnsi="微软雅黑" w:eastAsia="微软雅黑" w:cs="微软雅黑"/>
          <w:spacing w:val="-28"/>
          <w:sz w:val="19"/>
          <w:szCs w:val="19"/>
        </w:rPr>
        <w:t xml:space="preserve"> </w:t>
      </w:r>
      <w:r>
        <w:rPr>
          <w:rFonts w:ascii="宋体" w:hAnsi="宋体" w:eastAsia="宋体" w:cs="宋体"/>
          <w:spacing w:val="12"/>
          <w:sz w:val="19"/>
          <w:szCs w:val="19"/>
        </w:rPr>
        <w:t xml:space="preserve">高质量表现 </w:t>
      </w:r>
      <w:r>
        <w:rPr>
          <w:rFonts w:ascii="宋体" w:hAnsi="宋体" w:eastAsia="宋体" w:cs="宋体"/>
          <w:spacing w:val="17"/>
          <w:sz w:val="19"/>
          <w:szCs w:val="19"/>
        </w:rPr>
        <w:t>为三个方面</w:t>
      </w:r>
      <w:r>
        <w:rPr>
          <w:rFonts w:ascii="微软雅黑" w:hAnsi="微软雅黑" w:eastAsia="微软雅黑" w:cs="微软雅黑"/>
          <w:spacing w:val="17"/>
          <w:position w:val="1"/>
          <w:sz w:val="19"/>
          <w:szCs w:val="19"/>
        </w:rPr>
        <w:t>，</w:t>
      </w:r>
      <w:r>
        <w:rPr>
          <w:rFonts w:ascii="宋体" w:hAnsi="宋体" w:eastAsia="宋体" w:cs="宋体"/>
          <w:spacing w:val="17"/>
          <w:sz w:val="19"/>
          <w:szCs w:val="19"/>
        </w:rPr>
        <w:t>即学习成果</w:t>
      </w:r>
      <w:r>
        <w:rPr>
          <w:rFonts w:ascii="微软雅黑" w:hAnsi="微软雅黑" w:eastAsia="微软雅黑" w:cs="微软雅黑"/>
          <w:spacing w:val="17"/>
          <w:sz w:val="19"/>
          <w:szCs w:val="19"/>
        </w:rPr>
        <w:t>(</w:t>
      </w:r>
      <w:r>
        <w:rPr>
          <w:rFonts w:ascii="Arial" w:hAnsi="Arial" w:eastAsia="Arial" w:cs="Arial"/>
          <w:sz w:val="19"/>
          <w:szCs w:val="19"/>
        </w:rPr>
        <w:t>learningoutcomes</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关联 </w:t>
      </w:r>
      <w:r>
        <w:rPr>
          <w:rFonts w:ascii="宋体" w:hAnsi="宋体" w:eastAsia="宋体" w:cs="宋体"/>
          <w:spacing w:val="11"/>
          <w:sz w:val="19"/>
          <w:szCs w:val="19"/>
        </w:rPr>
        <w:t>性</w:t>
      </w:r>
      <w:r>
        <w:rPr>
          <w:rFonts w:ascii="微软雅黑" w:hAnsi="微软雅黑" w:eastAsia="微软雅黑" w:cs="微软雅黑"/>
          <w:spacing w:val="11"/>
          <w:sz w:val="19"/>
          <w:szCs w:val="19"/>
        </w:rPr>
        <w:t>(</w:t>
      </w:r>
      <w:r>
        <w:rPr>
          <w:rFonts w:ascii="Arial" w:hAnsi="Arial" w:eastAsia="Arial" w:cs="Arial"/>
          <w:sz w:val="19"/>
          <w:szCs w:val="19"/>
        </w:rPr>
        <w:t>relevance</w:t>
      </w:r>
      <w:r>
        <w:rPr>
          <w:rFonts w:ascii="微软雅黑" w:hAnsi="微软雅黑" w:eastAsia="微软雅黑" w:cs="微软雅黑"/>
          <w:spacing w:val="11"/>
          <w:sz w:val="19"/>
          <w:szCs w:val="19"/>
        </w:rPr>
        <w:t>)、</w:t>
      </w:r>
      <w:r>
        <w:rPr>
          <w:rFonts w:ascii="宋体" w:hAnsi="宋体" w:eastAsia="宋体" w:cs="宋体"/>
          <w:spacing w:val="11"/>
          <w:sz w:val="19"/>
          <w:szCs w:val="19"/>
        </w:rPr>
        <w:t>完成度</w:t>
      </w:r>
      <w:r>
        <w:rPr>
          <w:rFonts w:ascii="微软雅黑" w:hAnsi="微软雅黑" w:eastAsia="微软雅黑" w:cs="微软雅黑"/>
          <w:spacing w:val="11"/>
          <w:sz w:val="19"/>
          <w:szCs w:val="19"/>
        </w:rPr>
        <w:t>(</w:t>
      </w:r>
      <w:r>
        <w:rPr>
          <w:rFonts w:ascii="Arial" w:hAnsi="Arial" w:eastAsia="Arial" w:cs="Arial"/>
          <w:sz w:val="19"/>
          <w:szCs w:val="19"/>
        </w:rPr>
        <w:t>completion</w:t>
      </w:r>
      <w:r>
        <w:rPr>
          <w:rFonts w:ascii="微软雅黑" w:hAnsi="微软雅黑" w:eastAsia="微软雅黑" w:cs="微软雅黑"/>
          <w:spacing w:val="11"/>
          <w:sz w:val="19"/>
          <w:szCs w:val="19"/>
        </w:rPr>
        <w:t>)。</w:t>
      </w:r>
      <w:r>
        <w:rPr>
          <w:rFonts w:ascii="微软雅黑" w:hAnsi="微软雅黑" w:eastAsia="微软雅黑" w:cs="微软雅黑"/>
          <w:spacing w:val="11"/>
          <w:position w:val="8"/>
          <w:sz w:val="10"/>
          <w:szCs w:val="10"/>
        </w:rPr>
        <w:t>[</w:t>
      </w:r>
      <w:r>
        <w:rPr>
          <w:rFonts w:ascii="Arial" w:hAnsi="Arial" w:eastAsia="Arial" w:cs="Arial"/>
          <w:spacing w:val="11"/>
          <w:position w:val="8"/>
          <w:sz w:val="10"/>
          <w:szCs w:val="10"/>
        </w:rPr>
        <w:t>11</w:t>
      </w:r>
      <w:r>
        <w:rPr>
          <w:rFonts w:ascii="微软雅黑" w:hAnsi="微软雅黑" w:eastAsia="微软雅黑" w:cs="微软雅黑"/>
          <w:spacing w:val="11"/>
          <w:position w:val="8"/>
          <w:sz w:val="10"/>
          <w:szCs w:val="10"/>
        </w:rPr>
        <w:t>]</w:t>
      </w:r>
      <w:r>
        <w:rPr>
          <w:rFonts w:ascii="微软雅黑" w:hAnsi="微软雅黑" w:eastAsia="微软雅黑" w:cs="微软雅黑"/>
          <w:spacing w:val="37"/>
          <w:position w:val="8"/>
          <w:sz w:val="10"/>
          <w:szCs w:val="10"/>
        </w:rPr>
        <w:t xml:space="preserve"> </w:t>
      </w:r>
      <w:r>
        <w:rPr>
          <w:rFonts w:ascii="宋体" w:hAnsi="宋体" w:eastAsia="宋体" w:cs="宋体"/>
          <w:spacing w:val="11"/>
          <w:sz w:val="19"/>
          <w:szCs w:val="19"/>
        </w:rPr>
        <w:t>在学</w:t>
      </w:r>
      <w:r>
        <w:rPr>
          <w:rFonts w:ascii="宋体" w:hAnsi="宋体" w:eastAsia="宋体" w:cs="宋体"/>
          <w:spacing w:val="-56"/>
          <w:sz w:val="19"/>
          <w:szCs w:val="19"/>
        </w:rPr>
        <w:t xml:space="preserve"> </w:t>
      </w:r>
      <w:r>
        <w:rPr>
          <w:rFonts w:ascii="宋体" w:hAnsi="宋体" w:eastAsia="宋体" w:cs="宋体"/>
          <w:spacing w:val="11"/>
          <w:sz w:val="19"/>
          <w:szCs w:val="19"/>
        </w:rPr>
        <w:t xml:space="preserve">习成果 </w:t>
      </w:r>
      <w:r>
        <w:rPr>
          <w:rFonts w:ascii="宋体" w:hAnsi="宋体" w:eastAsia="宋体" w:cs="宋体"/>
          <w:spacing w:val="9"/>
          <w:sz w:val="19"/>
          <w:szCs w:val="19"/>
        </w:rPr>
        <w:t>上</w:t>
      </w:r>
      <w:r>
        <w:rPr>
          <w:rFonts w:ascii="微软雅黑" w:hAnsi="微软雅黑" w:eastAsia="微软雅黑" w:cs="微软雅黑"/>
          <w:spacing w:val="9"/>
          <w:sz w:val="19"/>
          <w:szCs w:val="19"/>
        </w:rPr>
        <w:t>，</w:t>
      </w:r>
      <w:r>
        <w:rPr>
          <w:rFonts w:ascii="宋体" w:hAnsi="宋体" w:eastAsia="宋体" w:cs="宋体"/>
          <w:spacing w:val="9"/>
          <w:sz w:val="19"/>
          <w:szCs w:val="19"/>
        </w:rPr>
        <w:t>学生能坚持唯实的学习态度</w:t>
      </w:r>
      <w:r>
        <w:rPr>
          <w:rFonts w:ascii="微软雅黑" w:hAnsi="微软雅黑" w:eastAsia="微软雅黑" w:cs="微软雅黑"/>
          <w:spacing w:val="9"/>
          <w:sz w:val="19"/>
          <w:szCs w:val="19"/>
        </w:rPr>
        <w:t>，</w:t>
      </w:r>
      <w:r>
        <w:rPr>
          <w:rFonts w:ascii="宋体" w:hAnsi="宋体" w:eastAsia="宋体" w:cs="宋体"/>
          <w:spacing w:val="9"/>
          <w:sz w:val="19"/>
          <w:szCs w:val="19"/>
        </w:rPr>
        <w:t>坚持发展性和批判 性的知识观</w:t>
      </w:r>
      <w:r>
        <w:rPr>
          <w:rFonts w:ascii="微软雅黑" w:hAnsi="微软雅黑" w:eastAsia="微软雅黑" w:cs="微软雅黑"/>
          <w:spacing w:val="9"/>
          <w:sz w:val="19"/>
          <w:szCs w:val="19"/>
        </w:rPr>
        <w:t>，</w:t>
      </w:r>
      <w:r>
        <w:rPr>
          <w:rFonts w:ascii="宋体" w:hAnsi="宋体" w:eastAsia="宋体" w:cs="宋体"/>
          <w:spacing w:val="9"/>
          <w:sz w:val="19"/>
          <w:szCs w:val="19"/>
        </w:rPr>
        <w:t>反对各种各样的伪科学</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学生能够紧紧 </w:t>
      </w:r>
      <w:r>
        <w:rPr>
          <w:rFonts w:ascii="宋体" w:hAnsi="宋体" w:eastAsia="宋体" w:cs="宋体"/>
          <w:spacing w:val="14"/>
          <w:sz w:val="19"/>
          <w:szCs w:val="19"/>
        </w:rPr>
        <w:t>把握最新的国际性研</w:t>
      </w:r>
      <w:r>
        <w:rPr>
          <w:rFonts w:ascii="宋体" w:hAnsi="宋体" w:eastAsia="宋体" w:cs="宋体"/>
          <w:spacing w:val="-50"/>
          <w:sz w:val="19"/>
          <w:szCs w:val="19"/>
        </w:rPr>
        <w:t xml:space="preserve"> </w:t>
      </w:r>
      <w:r>
        <w:rPr>
          <w:rFonts w:ascii="宋体" w:hAnsi="宋体" w:eastAsia="宋体" w:cs="宋体"/>
          <w:spacing w:val="14"/>
          <w:sz w:val="19"/>
          <w:szCs w:val="19"/>
        </w:rPr>
        <w:t>究成果</w:t>
      </w:r>
      <w:r>
        <w:rPr>
          <w:rFonts w:ascii="微软雅黑" w:hAnsi="微软雅黑" w:eastAsia="微软雅黑" w:cs="微软雅黑"/>
          <w:spacing w:val="14"/>
          <w:sz w:val="19"/>
          <w:szCs w:val="19"/>
        </w:rPr>
        <w:t>，</w:t>
      </w:r>
      <w:r>
        <w:rPr>
          <w:rFonts w:ascii="宋体" w:hAnsi="宋体" w:eastAsia="宋体" w:cs="宋体"/>
          <w:spacing w:val="14"/>
          <w:sz w:val="19"/>
          <w:szCs w:val="19"/>
        </w:rPr>
        <w:t>在学</w:t>
      </w:r>
      <w:r>
        <w:rPr>
          <w:rFonts w:ascii="宋体" w:hAnsi="宋体" w:eastAsia="宋体" w:cs="宋体"/>
          <w:spacing w:val="-52"/>
          <w:sz w:val="19"/>
          <w:szCs w:val="19"/>
        </w:rPr>
        <w:t xml:space="preserve"> </w:t>
      </w:r>
      <w:r>
        <w:rPr>
          <w:rFonts w:ascii="宋体" w:hAnsi="宋体" w:eastAsia="宋体" w:cs="宋体"/>
          <w:spacing w:val="14"/>
          <w:sz w:val="19"/>
          <w:szCs w:val="19"/>
        </w:rPr>
        <w:t xml:space="preserve">习专业知识与技 </w:t>
      </w:r>
      <w:r>
        <w:rPr>
          <w:rFonts w:ascii="宋体" w:hAnsi="宋体" w:eastAsia="宋体" w:cs="宋体"/>
          <w:spacing w:val="11"/>
          <w:sz w:val="19"/>
          <w:szCs w:val="19"/>
        </w:rPr>
        <w:t>能的同时</w:t>
      </w:r>
      <w:r>
        <w:rPr>
          <w:rFonts w:ascii="微软雅黑" w:hAnsi="微软雅黑" w:eastAsia="微软雅黑" w:cs="微软雅黑"/>
          <w:spacing w:val="11"/>
          <w:sz w:val="19"/>
          <w:szCs w:val="19"/>
        </w:rPr>
        <w:t>，</w:t>
      </w:r>
      <w:r>
        <w:rPr>
          <w:rFonts w:ascii="宋体" w:hAnsi="宋体" w:eastAsia="宋体" w:cs="宋体"/>
          <w:spacing w:val="11"/>
          <w:sz w:val="19"/>
          <w:szCs w:val="19"/>
        </w:rPr>
        <w:t>促进自己深度学习和转化式学习</w:t>
      </w:r>
      <w:r>
        <w:rPr>
          <w:rFonts w:ascii="宋体" w:hAnsi="宋体" w:eastAsia="宋体" w:cs="宋体"/>
          <w:spacing w:val="-52"/>
          <w:sz w:val="19"/>
          <w:szCs w:val="19"/>
        </w:rPr>
        <w:t xml:space="preserve"> </w:t>
      </w:r>
      <w:r>
        <w:rPr>
          <w:rFonts w:ascii="微软雅黑" w:hAnsi="微软雅黑" w:eastAsia="微软雅黑" w:cs="微软雅黑"/>
          <w:spacing w:val="11"/>
          <w:sz w:val="19"/>
          <w:szCs w:val="19"/>
        </w:rPr>
        <w:t>。</w:t>
      </w:r>
      <w:r>
        <w:rPr>
          <w:rFonts w:ascii="宋体" w:hAnsi="宋体" w:eastAsia="宋体" w:cs="宋体"/>
          <w:spacing w:val="11"/>
          <w:sz w:val="19"/>
          <w:szCs w:val="19"/>
        </w:rPr>
        <w:t>此外</w:t>
      </w:r>
      <w:r>
        <w:rPr>
          <w:rFonts w:ascii="微软雅黑" w:hAnsi="微软雅黑" w:eastAsia="微软雅黑" w:cs="微软雅黑"/>
          <w:spacing w:val="11"/>
          <w:sz w:val="19"/>
          <w:szCs w:val="19"/>
        </w:rPr>
        <w:t>，</w:t>
      </w:r>
      <w:r>
        <w:rPr>
          <w:rFonts w:ascii="微软雅黑" w:hAnsi="微软雅黑" w:eastAsia="微软雅黑" w:cs="微软雅黑"/>
          <w:sz w:val="19"/>
          <w:szCs w:val="19"/>
        </w:rPr>
        <w:t xml:space="preserve"> </w:t>
      </w:r>
      <w:r>
        <w:rPr>
          <w:rFonts w:ascii="宋体" w:hAnsi="宋体" w:eastAsia="宋体" w:cs="宋体"/>
          <w:spacing w:val="13"/>
          <w:sz w:val="19"/>
          <w:szCs w:val="19"/>
        </w:rPr>
        <w:t>学生能够学习全面的通用技能</w:t>
      </w:r>
      <w:r>
        <w:rPr>
          <w:rFonts w:ascii="微软雅黑" w:hAnsi="微软雅黑" w:eastAsia="微软雅黑" w:cs="微软雅黑"/>
          <w:spacing w:val="13"/>
          <w:sz w:val="19"/>
          <w:szCs w:val="19"/>
        </w:rPr>
        <w:t>，</w:t>
      </w:r>
      <w:r>
        <w:rPr>
          <w:rFonts w:ascii="宋体" w:hAnsi="宋体" w:eastAsia="宋体" w:cs="宋体"/>
          <w:spacing w:val="13"/>
          <w:sz w:val="19"/>
          <w:szCs w:val="19"/>
        </w:rPr>
        <w:t>如批判性思</w:t>
      </w:r>
      <w:r>
        <w:rPr>
          <w:rFonts w:ascii="宋体" w:hAnsi="宋体" w:eastAsia="宋体" w:cs="宋体"/>
          <w:spacing w:val="12"/>
          <w:sz w:val="19"/>
          <w:szCs w:val="19"/>
        </w:rPr>
        <w:t>维能力</w:t>
      </w:r>
      <w:r>
        <w:rPr>
          <w:rFonts w:ascii="微软雅黑" w:hAnsi="微软雅黑" w:eastAsia="微软雅黑" w:cs="微软雅黑"/>
          <w:spacing w:val="12"/>
          <w:sz w:val="19"/>
          <w:szCs w:val="19"/>
        </w:rPr>
        <w:t>、</w:t>
      </w:r>
      <w:r>
        <w:rPr>
          <w:rFonts w:ascii="微软雅黑" w:hAnsi="微软雅黑" w:eastAsia="微软雅黑" w:cs="微软雅黑"/>
          <w:sz w:val="19"/>
          <w:szCs w:val="19"/>
        </w:rPr>
        <w:t xml:space="preserve"> </w:t>
      </w:r>
      <w:r>
        <w:rPr>
          <w:rFonts w:ascii="宋体" w:hAnsi="宋体" w:eastAsia="宋体" w:cs="宋体"/>
          <w:spacing w:val="18"/>
          <w:sz w:val="19"/>
          <w:szCs w:val="19"/>
        </w:rPr>
        <w:t>分析评价能力等</w:t>
      </w:r>
      <w:r>
        <w:rPr>
          <w:rFonts w:ascii="微软雅黑" w:hAnsi="微软雅黑" w:eastAsia="微软雅黑" w:cs="微软雅黑"/>
          <w:spacing w:val="18"/>
          <w:sz w:val="19"/>
          <w:szCs w:val="19"/>
        </w:rPr>
        <w:t>，</w:t>
      </w:r>
      <w:r>
        <w:rPr>
          <w:rFonts w:ascii="宋体" w:hAnsi="宋体" w:eastAsia="宋体" w:cs="宋体"/>
          <w:spacing w:val="18"/>
          <w:sz w:val="19"/>
          <w:szCs w:val="19"/>
        </w:rPr>
        <w:t>从而使知识的应用能够贴</w:t>
      </w:r>
      <w:r>
        <w:rPr>
          <w:rFonts w:ascii="宋体" w:hAnsi="宋体" w:eastAsia="宋体" w:cs="宋体"/>
          <w:spacing w:val="17"/>
          <w:sz w:val="19"/>
          <w:szCs w:val="19"/>
        </w:rPr>
        <w:t xml:space="preserve">近社会 </w:t>
      </w:r>
      <w:r>
        <w:rPr>
          <w:rFonts w:ascii="宋体" w:hAnsi="宋体" w:eastAsia="宋体" w:cs="宋体"/>
          <w:spacing w:val="15"/>
          <w:sz w:val="19"/>
          <w:szCs w:val="19"/>
        </w:rPr>
        <w:t>实践</w:t>
      </w:r>
      <w:r>
        <w:rPr>
          <w:rFonts w:ascii="宋体" w:hAnsi="宋体" w:eastAsia="宋体" w:cs="宋体"/>
          <w:spacing w:val="-50"/>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5"/>
          <w:sz w:val="19"/>
          <w:szCs w:val="19"/>
        </w:rPr>
        <w:t xml:space="preserve">关联性强调的是学生能够在高校学习中养成 </w:t>
      </w:r>
      <w:r>
        <w:rPr>
          <w:rFonts w:ascii="宋体" w:hAnsi="宋体" w:eastAsia="宋体" w:cs="宋体"/>
          <w:spacing w:val="16"/>
          <w:sz w:val="19"/>
          <w:szCs w:val="19"/>
        </w:rPr>
        <w:t>终身学习的能力和</w:t>
      </w:r>
      <w:r>
        <w:rPr>
          <w:rFonts w:ascii="宋体" w:hAnsi="宋体" w:eastAsia="宋体" w:cs="宋体"/>
          <w:spacing w:val="-52"/>
          <w:sz w:val="19"/>
          <w:szCs w:val="19"/>
        </w:rPr>
        <w:t xml:space="preserve"> </w:t>
      </w:r>
      <w:r>
        <w:rPr>
          <w:rFonts w:ascii="宋体" w:hAnsi="宋体" w:eastAsia="宋体" w:cs="宋体"/>
          <w:spacing w:val="16"/>
          <w:sz w:val="19"/>
          <w:szCs w:val="19"/>
        </w:rPr>
        <w:t>习惯</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知识学习与工作生活要结 </w:t>
      </w:r>
      <w:r>
        <w:rPr>
          <w:rFonts w:ascii="宋体" w:hAnsi="宋体" w:eastAsia="宋体" w:cs="宋体"/>
          <w:spacing w:val="9"/>
          <w:sz w:val="19"/>
          <w:szCs w:val="19"/>
        </w:rPr>
        <w:t>合起来</w:t>
      </w:r>
      <w:r>
        <w:rPr>
          <w:rFonts w:ascii="微软雅黑" w:hAnsi="微软雅黑" w:eastAsia="微软雅黑" w:cs="微软雅黑"/>
          <w:spacing w:val="9"/>
          <w:sz w:val="19"/>
          <w:szCs w:val="19"/>
        </w:rPr>
        <w:t>，</w:t>
      </w:r>
      <w:r>
        <w:rPr>
          <w:rFonts w:ascii="宋体" w:hAnsi="宋体" w:eastAsia="宋体" w:cs="宋体"/>
          <w:spacing w:val="9"/>
          <w:sz w:val="19"/>
          <w:szCs w:val="19"/>
        </w:rPr>
        <w:t>加强自身学习与工作生活实践的互动性</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以 </w:t>
      </w:r>
      <w:r>
        <w:rPr>
          <w:rFonts w:ascii="宋体" w:hAnsi="宋体" w:eastAsia="宋体" w:cs="宋体"/>
          <w:spacing w:val="16"/>
          <w:sz w:val="19"/>
          <w:szCs w:val="19"/>
        </w:rPr>
        <w:t>避免教育与社会脱节</w:t>
      </w:r>
      <w:r>
        <w:rPr>
          <w:rFonts w:ascii="宋体" w:hAnsi="宋体" w:eastAsia="宋体" w:cs="宋体"/>
          <w:spacing w:val="-53"/>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 xml:space="preserve">完成度强调的是学生在规定 </w:t>
      </w:r>
      <w:r>
        <w:rPr>
          <w:rFonts w:ascii="宋体" w:hAnsi="宋体" w:eastAsia="宋体" w:cs="宋体"/>
          <w:spacing w:val="11"/>
          <w:sz w:val="19"/>
          <w:szCs w:val="19"/>
        </w:rPr>
        <w:t>时间内高效地完成相关的学业任务</w:t>
      </w:r>
      <w:r>
        <w:rPr>
          <w:rFonts w:ascii="微软雅黑" w:hAnsi="微软雅黑" w:eastAsia="微软雅黑" w:cs="微软雅黑"/>
          <w:spacing w:val="11"/>
          <w:sz w:val="19"/>
          <w:szCs w:val="19"/>
        </w:rPr>
        <w:t>，</w:t>
      </w:r>
      <w:r>
        <w:rPr>
          <w:rFonts w:ascii="宋体" w:hAnsi="宋体" w:eastAsia="宋体" w:cs="宋体"/>
          <w:spacing w:val="11"/>
          <w:sz w:val="19"/>
          <w:szCs w:val="19"/>
        </w:rPr>
        <w:t>从而使</w:t>
      </w:r>
      <w:r>
        <w:rPr>
          <w:rFonts w:ascii="宋体" w:hAnsi="宋体" w:eastAsia="宋体" w:cs="宋体"/>
          <w:spacing w:val="-32"/>
          <w:sz w:val="19"/>
          <w:szCs w:val="19"/>
        </w:rPr>
        <w:t xml:space="preserve"> </w:t>
      </w:r>
      <w:r>
        <w:rPr>
          <w:rFonts w:ascii="宋体" w:hAnsi="宋体" w:eastAsia="宋体" w:cs="宋体"/>
          <w:spacing w:val="11"/>
          <w:sz w:val="19"/>
          <w:szCs w:val="19"/>
        </w:rPr>
        <w:t>自</w:t>
      </w:r>
      <w:r>
        <w:rPr>
          <w:rFonts w:ascii="宋体" w:hAnsi="宋体" w:eastAsia="宋体" w:cs="宋体"/>
          <w:spacing w:val="-44"/>
          <w:sz w:val="19"/>
          <w:szCs w:val="19"/>
        </w:rPr>
        <w:t xml:space="preserve"> </w:t>
      </w:r>
      <w:r>
        <w:rPr>
          <w:rFonts w:ascii="宋体" w:hAnsi="宋体" w:eastAsia="宋体" w:cs="宋体"/>
          <w:spacing w:val="10"/>
          <w:sz w:val="19"/>
          <w:szCs w:val="19"/>
        </w:rPr>
        <w:t>己</w:t>
      </w:r>
      <w:r>
        <w:rPr>
          <w:rFonts w:ascii="宋体" w:hAnsi="宋体" w:eastAsia="宋体" w:cs="宋体"/>
          <w:spacing w:val="-49"/>
          <w:sz w:val="19"/>
          <w:szCs w:val="19"/>
        </w:rPr>
        <w:t xml:space="preserve"> </w:t>
      </w:r>
      <w:r>
        <w:rPr>
          <w:rFonts w:ascii="宋体" w:hAnsi="宋体" w:eastAsia="宋体" w:cs="宋体"/>
          <w:spacing w:val="10"/>
          <w:sz w:val="19"/>
          <w:szCs w:val="19"/>
        </w:rPr>
        <w:t xml:space="preserve">的 </w:t>
      </w:r>
      <w:r>
        <w:rPr>
          <w:rFonts w:ascii="宋体" w:hAnsi="宋体" w:eastAsia="宋体" w:cs="宋体"/>
          <w:spacing w:val="14"/>
          <w:sz w:val="19"/>
          <w:szCs w:val="19"/>
        </w:rPr>
        <w:t>规划具有进一步调整的空间</w:t>
      </w:r>
      <w:r>
        <w:rPr>
          <w:rFonts w:ascii="宋体" w:hAnsi="宋体" w:eastAsia="宋体" w:cs="宋体"/>
          <w:spacing w:val="-38"/>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33"/>
          <w:sz w:val="19"/>
          <w:szCs w:val="19"/>
        </w:rPr>
        <w:t xml:space="preserve"> </w:t>
      </w:r>
      <w:r>
        <w:rPr>
          <w:rFonts w:ascii="宋体" w:hAnsi="宋体" w:eastAsia="宋体" w:cs="宋体"/>
          <w:spacing w:val="14"/>
          <w:sz w:val="19"/>
          <w:szCs w:val="19"/>
        </w:rPr>
        <w:t>在质量文化氛</w:t>
      </w:r>
      <w:r>
        <w:rPr>
          <w:rFonts w:ascii="宋体" w:hAnsi="宋体" w:eastAsia="宋体" w:cs="宋体"/>
          <w:spacing w:val="-47"/>
          <w:sz w:val="19"/>
          <w:szCs w:val="19"/>
        </w:rPr>
        <w:t xml:space="preserve"> </w:t>
      </w:r>
      <w:r>
        <w:rPr>
          <w:rFonts w:ascii="宋体" w:hAnsi="宋体" w:eastAsia="宋体" w:cs="宋体"/>
          <w:spacing w:val="14"/>
          <w:sz w:val="19"/>
          <w:szCs w:val="19"/>
        </w:rPr>
        <w:t>围</w:t>
      </w:r>
      <w:r>
        <w:rPr>
          <w:rFonts w:ascii="宋体" w:hAnsi="宋体" w:eastAsia="宋体" w:cs="宋体"/>
          <w:spacing w:val="-46"/>
          <w:sz w:val="19"/>
          <w:szCs w:val="19"/>
        </w:rPr>
        <w:t xml:space="preserve"> </w:t>
      </w:r>
      <w:r>
        <w:rPr>
          <w:rFonts w:ascii="宋体" w:hAnsi="宋体" w:eastAsia="宋体" w:cs="宋体"/>
          <w:spacing w:val="14"/>
          <w:sz w:val="19"/>
          <w:szCs w:val="19"/>
        </w:rPr>
        <w:t>中</w:t>
      </w:r>
      <w:r>
        <w:rPr>
          <w:rFonts w:ascii="微软雅黑" w:hAnsi="微软雅黑" w:eastAsia="微软雅黑" w:cs="微软雅黑"/>
          <w:spacing w:val="14"/>
          <w:sz w:val="19"/>
          <w:szCs w:val="19"/>
        </w:rPr>
        <w:t>，</w:t>
      </w:r>
      <w:r>
        <w:rPr>
          <w:rFonts w:ascii="微软雅黑" w:hAnsi="微软雅黑" w:eastAsia="微软雅黑" w:cs="微软雅黑"/>
          <w:sz w:val="19"/>
          <w:szCs w:val="19"/>
        </w:rPr>
        <w:t xml:space="preserve"> </w:t>
      </w:r>
      <w:r>
        <w:rPr>
          <w:rFonts w:ascii="宋体" w:hAnsi="宋体" w:eastAsia="宋体" w:cs="宋体"/>
          <w:spacing w:val="4"/>
          <w:sz w:val="19"/>
          <w:szCs w:val="19"/>
        </w:rPr>
        <w:t>学习成果</w:t>
      </w:r>
      <w:r>
        <w:rPr>
          <w:rFonts w:ascii="微软雅黑" w:hAnsi="微软雅黑" w:eastAsia="微软雅黑" w:cs="微软雅黑"/>
          <w:spacing w:val="4"/>
          <w:sz w:val="19"/>
          <w:szCs w:val="19"/>
        </w:rPr>
        <w:t>、</w:t>
      </w:r>
      <w:r>
        <w:rPr>
          <w:rFonts w:ascii="宋体" w:hAnsi="宋体" w:eastAsia="宋体" w:cs="宋体"/>
          <w:spacing w:val="4"/>
          <w:sz w:val="19"/>
          <w:szCs w:val="19"/>
        </w:rPr>
        <w:t>关联性</w:t>
      </w:r>
      <w:r>
        <w:rPr>
          <w:rFonts w:ascii="微软雅黑" w:hAnsi="微软雅黑" w:eastAsia="微软雅黑" w:cs="微软雅黑"/>
          <w:spacing w:val="4"/>
          <w:sz w:val="19"/>
          <w:szCs w:val="19"/>
        </w:rPr>
        <w:t>、</w:t>
      </w:r>
      <w:r>
        <w:rPr>
          <w:rFonts w:ascii="宋体" w:hAnsi="宋体" w:eastAsia="宋体" w:cs="宋体"/>
          <w:spacing w:val="4"/>
          <w:sz w:val="19"/>
          <w:szCs w:val="19"/>
        </w:rPr>
        <w:t>完成度相辅相成</w:t>
      </w:r>
      <w:r>
        <w:rPr>
          <w:rFonts w:ascii="微软雅黑" w:hAnsi="微软雅黑" w:eastAsia="微软雅黑" w:cs="微软雅黑"/>
          <w:spacing w:val="4"/>
          <w:sz w:val="19"/>
          <w:szCs w:val="19"/>
        </w:rPr>
        <w:t>，</w:t>
      </w:r>
      <w:r>
        <w:rPr>
          <w:rFonts w:ascii="宋体" w:hAnsi="宋体" w:eastAsia="宋体" w:cs="宋体"/>
          <w:spacing w:val="4"/>
          <w:sz w:val="19"/>
          <w:szCs w:val="19"/>
        </w:rPr>
        <w:t>相互促进</w:t>
      </w:r>
      <w:r>
        <w:rPr>
          <w:rFonts w:ascii="微软雅黑" w:hAnsi="微软雅黑" w:eastAsia="微软雅黑" w:cs="微软雅黑"/>
          <w:spacing w:val="4"/>
          <w:sz w:val="19"/>
          <w:szCs w:val="19"/>
        </w:rPr>
        <w:t>。</w:t>
      </w:r>
    </w:p>
    <w:p>
      <w:pPr>
        <w:spacing w:before="73" w:line="212" w:lineRule="auto"/>
        <w:ind w:left="423"/>
        <w:rPr>
          <w:rFonts w:ascii="宋体" w:hAnsi="宋体" w:eastAsia="宋体" w:cs="宋体"/>
          <w:sz w:val="19"/>
          <w:szCs w:val="19"/>
        </w:rPr>
      </w:pPr>
      <w:r>
        <w:rPr>
          <w:rFonts w:ascii="宋体" w:hAnsi="宋体" w:eastAsia="宋体" w:cs="宋体"/>
          <w:spacing w:val="18"/>
          <w:sz w:val="19"/>
          <w:szCs w:val="19"/>
        </w:rPr>
        <w:t>教师和管理是质量文化氛围中两个重要的核心</w:t>
      </w:r>
    </w:p>
    <w:p>
      <w:pPr>
        <w:spacing w:line="212" w:lineRule="auto"/>
        <w:rPr>
          <w:rFonts w:ascii="宋体" w:hAnsi="宋体" w:eastAsia="宋体" w:cs="宋体"/>
          <w:sz w:val="19"/>
          <w:szCs w:val="19"/>
        </w:rPr>
        <w:sectPr>
          <w:type w:val="continuous"/>
          <w:pgSz w:w="11906" w:h="16840"/>
          <w:pgMar w:top="400" w:right="928" w:bottom="547" w:left="407" w:header="0" w:footer="354" w:gutter="0"/>
          <w:cols w:equalWidth="0" w:num="2">
            <w:col w:w="5803" w:space="100"/>
            <w:col w:w="4667"/>
          </w:cols>
        </w:sectPr>
      </w:pPr>
    </w:p>
    <w:p>
      <w:pPr>
        <w:spacing w:line="454" w:lineRule="auto"/>
        <w:rPr>
          <w:rFonts w:ascii="Arial"/>
          <w:sz w:val="21"/>
        </w:rPr>
      </w:pPr>
    </w:p>
    <w:p>
      <w:pPr>
        <w:spacing w:before="52" w:line="213" w:lineRule="auto"/>
        <w:ind w:left="3524"/>
        <w:rPr>
          <w:rFonts w:ascii="宋体" w:hAnsi="宋体" w:eastAsia="宋体" w:cs="宋体"/>
          <w:sz w:val="16"/>
          <w:szCs w:val="16"/>
        </w:rPr>
      </w:pPr>
      <w:r>
        <w:rPr>
          <w:rFonts w:ascii="宋体" w:hAnsi="宋体" w:eastAsia="宋体" w:cs="宋体"/>
          <w:spacing w:val="19"/>
          <w:sz w:val="16"/>
          <w:szCs w:val="16"/>
        </w:rPr>
        <w:t>挪威推进高等教育质量文化建设的举措及其启示</w:t>
      </w:r>
    </w:p>
    <w:p>
      <w:pPr>
        <w:spacing w:line="186" w:lineRule="exact"/>
        <w:ind w:left="585"/>
      </w:pPr>
      <w:r>
        <w:rPr>
          <w:position w:val="-4"/>
        </w:rPr>
        <w:drawing>
          <wp:inline distT="0" distB="0" distL="0" distR="0">
            <wp:extent cx="6118860" cy="11811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30"/>
                    <a:stretch>
                      <a:fillRect/>
                    </a:stretch>
                  </pic:blipFill>
                  <pic:spPr>
                    <a:xfrm>
                      <a:off x="0" y="0"/>
                      <a:ext cx="6119370" cy="118181"/>
                    </a:xfrm>
                    <a:prstGeom prst="rect">
                      <a:avLst/>
                    </a:prstGeom>
                  </pic:spPr>
                </pic:pic>
              </a:graphicData>
            </a:graphic>
          </wp:inline>
        </w:drawing>
      </w:r>
    </w:p>
    <w:p>
      <w:pPr>
        <w:spacing w:line="119" w:lineRule="exact"/>
      </w:pPr>
    </w:p>
    <w:p>
      <w:pPr>
        <w:spacing w:line="119" w:lineRule="exact"/>
        <w:sectPr>
          <w:footerReference r:id="rId85" w:type="default"/>
          <w:pgSz w:w="11906" w:h="16840"/>
          <w:pgMar w:top="400" w:right="1204" w:bottom="547" w:left="407" w:header="0" w:footer="354" w:gutter="0"/>
          <w:cols w:equalWidth="0" w:num="1">
            <w:col w:w="10294"/>
          </w:cols>
        </w:sectPr>
      </w:pPr>
    </w:p>
    <w:p>
      <w:pPr>
        <w:spacing w:before="37" w:line="215" w:lineRule="auto"/>
        <w:ind w:left="601" w:right="264"/>
        <w:jc w:val="both"/>
        <w:rPr>
          <w:rFonts w:ascii="微软雅黑" w:hAnsi="微软雅黑" w:eastAsia="微软雅黑" w:cs="微软雅黑"/>
          <w:sz w:val="19"/>
          <w:szCs w:val="19"/>
        </w:rPr>
      </w:pPr>
      <w:r>
        <w:rPr>
          <w:rFonts w:ascii="宋体" w:hAnsi="宋体" w:eastAsia="宋体" w:cs="宋体"/>
          <w:spacing w:val="6"/>
          <w:sz w:val="19"/>
          <w:szCs w:val="19"/>
        </w:rPr>
        <w:t>要素</w:t>
      </w:r>
      <w:r>
        <w:rPr>
          <w:rFonts w:ascii="宋体" w:hAnsi="宋体" w:eastAsia="宋体" w:cs="宋体"/>
          <w:spacing w:val="-41"/>
          <w:sz w:val="19"/>
          <w:szCs w:val="19"/>
        </w:rPr>
        <w:t xml:space="preserve"> </w:t>
      </w:r>
      <w:r>
        <w:rPr>
          <w:rFonts w:ascii="微软雅黑" w:hAnsi="微软雅黑" w:eastAsia="微软雅黑" w:cs="微软雅黑"/>
          <w:spacing w:val="6"/>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6"/>
          <w:sz w:val="19"/>
          <w:szCs w:val="19"/>
        </w:rPr>
        <w:t>首先</w:t>
      </w:r>
      <w:r>
        <w:rPr>
          <w:rFonts w:ascii="微软雅黑" w:hAnsi="微软雅黑" w:eastAsia="微软雅黑" w:cs="微软雅黑"/>
          <w:spacing w:val="6"/>
          <w:sz w:val="19"/>
          <w:szCs w:val="19"/>
        </w:rPr>
        <w:t>，</w:t>
      </w:r>
      <w:r>
        <w:rPr>
          <w:rFonts w:ascii="宋体" w:hAnsi="宋体" w:eastAsia="宋体" w:cs="宋体"/>
          <w:spacing w:val="6"/>
          <w:sz w:val="19"/>
          <w:szCs w:val="19"/>
        </w:rPr>
        <w:t>教师既是良好的学术环境的创造者</w:t>
      </w:r>
      <w:r>
        <w:rPr>
          <w:rFonts w:ascii="微软雅黑" w:hAnsi="微软雅黑" w:eastAsia="微软雅黑" w:cs="微软雅黑"/>
          <w:spacing w:val="6"/>
          <w:sz w:val="19"/>
          <w:szCs w:val="19"/>
        </w:rPr>
        <w:t>，</w:t>
      </w:r>
      <w:r>
        <w:rPr>
          <w:rFonts w:ascii="宋体" w:hAnsi="宋体" w:eastAsia="宋体" w:cs="宋体"/>
          <w:spacing w:val="6"/>
          <w:sz w:val="19"/>
          <w:szCs w:val="19"/>
        </w:rPr>
        <w:t xml:space="preserve">又 </w:t>
      </w:r>
      <w:r>
        <w:rPr>
          <w:rFonts w:ascii="宋体" w:hAnsi="宋体" w:eastAsia="宋体" w:cs="宋体"/>
          <w:spacing w:val="9"/>
          <w:sz w:val="19"/>
          <w:szCs w:val="19"/>
        </w:rPr>
        <w:t>是传递知识的教育者</w:t>
      </w:r>
      <w:r>
        <w:rPr>
          <w:rFonts w:ascii="微软雅黑" w:hAnsi="微软雅黑" w:eastAsia="微软雅黑" w:cs="微软雅黑"/>
          <w:spacing w:val="9"/>
          <w:sz w:val="19"/>
          <w:szCs w:val="19"/>
        </w:rPr>
        <w:t>，</w:t>
      </w:r>
      <w:r>
        <w:rPr>
          <w:rFonts w:ascii="宋体" w:hAnsi="宋体" w:eastAsia="宋体" w:cs="宋体"/>
          <w:spacing w:val="9"/>
          <w:sz w:val="19"/>
          <w:szCs w:val="19"/>
        </w:rPr>
        <w:t>应该具有完善的专业知识</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良 </w:t>
      </w:r>
      <w:r>
        <w:rPr>
          <w:rFonts w:ascii="宋体" w:hAnsi="宋体" w:eastAsia="宋体" w:cs="宋体"/>
          <w:spacing w:val="16"/>
          <w:sz w:val="19"/>
          <w:szCs w:val="19"/>
        </w:rPr>
        <w:t>好的教学法知识</w:t>
      </w:r>
      <w:r>
        <w:rPr>
          <w:rFonts w:ascii="微软雅黑" w:hAnsi="微软雅黑" w:eastAsia="微软雅黑" w:cs="微软雅黑"/>
          <w:spacing w:val="16"/>
          <w:sz w:val="19"/>
          <w:szCs w:val="19"/>
        </w:rPr>
        <w:t>，</w:t>
      </w:r>
      <w:r>
        <w:rPr>
          <w:rFonts w:ascii="宋体" w:hAnsi="宋体" w:eastAsia="宋体" w:cs="宋体"/>
          <w:spacing w:val="16"/>
          <w:sz w:val="19"/>
          <w:szCs w:val="19"/>
        </w:rPr>
        <w:t>具备专业的教学</w:t>
      </w:r>
      <w:r>
        <w:rPr>
          <w:rFonts w:ascii="宋体" w:hAnsi="宋体" w:eastAsia="宋体" w:cs="宋体"/>
          <w:spacing w:val="-54"/>
          <w:sz w:val="19"/>
          <w:szCs w:val="19"/>
        </w:rPr>
        <w:t xml:space="preserve"> </w:t>
      </w:r>
      <w:r>
        <w:rPr>
          <w:rFonts w:ascii="宋体" w:hAnsi="宋体" w:eastAsia="宋体" w:cs="宋体"/>
          <w:spacing w:val="16"/>
          <w:sz w:val="19"/>
          <w:szCs w:val="19"/>
        </w:rPr>
        <w:t xml:space="preserve">能力并注重加强 </w:t>
      </w:r>
      <w:r>
        <w:rPr>
          <w:rFonts w:ascii="宋体" w:hAnsi="宋体" w:eastAsia="宋体" w:cs="宋体"/>
          <w:spacing w:val="9"/>
          <w:sz w:val="19"/>
          <w:szCs w:val="19"/>
        </w:rPr>
        <w:t>与学生之间的互动</w:t>
      </w:r>
      <w:r>
        <w:rPr>
          <w:rFonts w:ascii="微软雅黑" w:hAnsi="微软雅黑" w:eastAsia="微软雅黑" w:cs="微软雅黑"/>
          <w:spacing w:val="9"/>
          <w:sz w:val="19"/>
          <w:szCs w:val="19"/>
        </w:rPr>
        <w:t>，</w:t>
      </w:r>
      <w:r>
        <w:rPr>
          <w:rFonts w:ascii="宋体" w:hAnsi="宋体" w:eastAsia="宋体" w:cs="宋体"/>
          <w:spacing w:val="9"/>
          <w:sz w:val="19"/>
          <w:szCs w:val="19"/>
        </w:rPr>
        <w:t>探索教学方式的变革</w:t>
      </w:r>
      <w:r>
        <w:rPr>
          <w:rFonts w:ascii="微软雅黑" w:hAnsi="微软雅黑" w:eastAsia="微软雅黑" w:cs="微软雅黑"/>
          <w:spacing w:val="9"/>
          <w:sz w:val="19"/>
          <w:szCs w:val="19"/>
        </w:rPr>
        <w:t>，</w:t>
      </w:r>
      <w:r>
        <w:rPr>
          <w:rFonts w:ascii="宋体" w:hAnsi="宋体" w:eastAsia="宋体" w:cs="宋体"/>
          <w:spacing w:val="9"/>
          <w:sz w:val="19"/>
          <w:szCs w:val="19"/>
        </w:rPr>
        <w:t>创造高效 的学习环境</w:t>
      </w:r>
      <w:r>
        <w:rPr>
          <w:rFonts w:ascii="微软雅黑" w:hAnsi="微软雅黑" w:eastAsia="微软雅黑" w:cs="微软雅黑"/>
          <w:spacing w:val="9"/>
          <w:sz w:val="19"/>
          <w:szCs w:val="19"/>
        </w:rPr>
        <w:t>，</w:t>
      </w:r>
      <w:r>
        <w:rPr>
          <w:rFonts w:ascii="宋体" w:hAnsi="宋体" w:eastAsia="宋体" w:cs="宋体"/>
          <w:spacing w:val="9"/>
          <w:sz w:val="19"/>
          <w:szCs w:val="19"/>
        </w:rPr>
        <w:t>教会学生学习的方法</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鼓励学生挑战旧 </w:t>
      </w:r>
      <w:r>
        <w:rPr>
          <w:rFonts w:ascii="宋体" w:hAnsi="宋体" w:eastAsia="宋体" w:cs="宋体"/>
          <w:spacing w:val="11"/>
          <w:sz w:val="19"/>
          <w:szCs w:val="19"/>
        </w:rPr>
        <w:t>有的思维方式</w:t>
      </w:r>
      <w:r>
        <w:rPr>
          <w:rFonts w:ascii="宋体" w:hAnsi="宋体" w:eastAsia="宋体" w:cs="宋体"/>
          <w:spacing w:val="-52"/>
          <w:sz w:val="19"/>
          <w:szCs w:val="19"/>
        </w:rPr>
        <w:t xml:space="preserve"> </w:t>
      </w:r>
      <w:r>
        <w:rPr>
          <w:rFonts w:ascii="微软雅黑" w:hAnsi="微软雅黑" w:eastAsia="微软雅黑" w:cs="微软雅黑"/>
          <w:spacing w:val="11"/>
          <w:sz w:val="19"/>
          <w:szCs w:val="19"/>
        </w:rPr>
        <w:t>。</w:t>
      </w:r>
      <w:r>
        <w:rPr>
          <w:rFonts w:ascii="宋体" w:hAnsi="宋体" w:eastAsia="宋体" w:cs="宋体"/>
          <w:spacing w:val="11"/>
          <w:sz w:val="19"/>
          <w:szCs w:val="19"/>
        </w:rPr>
        <w:t>其次</w:t>
      </w:r>
      <w:r>
        <w:rPr>
          <w:rFonts w:ascii="微软雅黑" w:hAnsi="微软雅黑" w:eastAsia="微软雅黑" w:cs="微软雅黑"/>
          <w:spacing w:val="11"/>
          <w:sz w:val="19"/>
          <w:szCs w:val="19"/>
        </w:rPr>
        <w:t>，</w:t>
      </w:r>
      <w:r>
        <w:rPr>
          <w:rFonts w:ascii="宋体" w:hAnsi="宋体" w:eastAsia="宋体" w:cs="宋体"/>
          <w:spacing w:val="11"/>
          <w:sz w:val="19"/>
          <w:szCs w:val="19"/>
        </w:rPr>
        <w:t>管理从制定规范的质量标</w:t>
      </w:r>
      <w:r>
        <w:rPr>
          <w:rFonts w:ascii="宋体" w:hAnsi="宋体" w:eastAsia="宋体" w:cs="宋体"/>
          <w:spacing w:val="10"/>
          <w:sz w:val="19"/>
          <w:szCs w:val="19"/>
        </w:rPr>
        <w:t>准</w:t>
      </w:r>
      <w:r>
        <w:rPr>
          <w:rFonts w:ascii="微软雅黑" w:hAnsi="微软雅黑" w:eastAsia="微软雅黑" w:cs="微软雅黑"/>
          <w:spacing w:val="10"/>
          <w:sz w:val="19"/>
          <w:szCs w:val="19"/>
        </w:rPr>
        <w:t>、</w:t>
      </w:r>
    </w:p>
    <w:p>
      <w:pPr>
        <w:spacing w:line="14" w:lineRule="auto"/>
        <w:rPr>
          <w:rFonts w:ascii="Arial"/>
          <w:sz w:val="2"/>
        </w:rPr>
      </w:pPr>
      <w:r>
        <w:rPr>
          <w:rFonts w:ascii="Arial" w:hAnsi="Arial" w:eastAsia="Arial" w:cs="Arial"/>
          <w:sz w:val="2"/>
          <w:szCs w:val="2"/>
        </w:rPr>
        <w:br w:type="column"/>
      </w:r>
    </w:p>
    <w:p>
      <w:pPr>
        <w:spacing w:before="36" w:line="215" w:lineRule="auto"/>
        <w:ind w:left="1" w:right="74" w:hanging="1"/>
        <w:jc w:val="both"/>
        <w:rPr>
          <w:rFonts w:ascii="微软雅黑" w:hAnsi="微软雅黑" w:eastAsia="微软雅黑" w:cs="微软雅黑"/>
          <w:sz w:val="19"/>
          <w:szCs w:val="19"/>
        </w:rPr>
      </w:pPr>
      <w:r>
        <w:rPr>
          <w:rFonts w:ascii="宋体" w:hAnsi="宋体" w:eastAsia="宋体" w:cs="宋体"/>
          <w:spacing w:val="18"/>
          <w:sz w:val="19"/>
          <w:szCs w:val="19"/>
        </w:rPr>
        <w:t>对教育教学进行质量评估</w:t>
      </w:r>
      <w:r>
        <w:rPr>
          <w:rFonts w:ascii="微软雅黑" w:hAnsi="微软雅黑" w:eastAsia="微软雅黑" w:cs="微软雅黑"/>
          <w:spacing w:val="18"/>
          <w:sz w:val="19"/>
          <w:szCs w:val="19"/>
        </w:rPr>
        <w:t>、</w:t>
      </w:r>
      <w:r>
        <w:rPr>
          <w:rFonts w:ascii="宋体" w:hAnsi="宋体" w:eastAsia="宋体" w:cs="宋体"/>
          <w:spacing w:val="18"/>
          <w:sz w:val="19"/>
          <w:szCs w:val="19"/>
        </w:rPr>
        <w:t>对相关人员进行奖励处</w:t>
      </w:r>
      <w:r>
        <w:rPr>
          <w:rFonts w:ascii="宋体" w:hAnsi="宋体" w:eastAsia="宋体" w:cs="宋体"/>
          <w:spacing w:val="10"/>
          <w:sz w:val="19"/>
          <w:szCs w:val="19"/>
        </w:rPr>
        <w:t xml:space="preserve"> </w:t>
      </w:r>
      <w:r>
        <w:rPr>
          <w:rFonts w:ascii="宋体" w:hAnsi="宋体" w:eastAsia="宋体" w:cs="宋体"/>
          <w:spacing w:val="16"/>
          <w:sz w:val="19"/>
          <w:szCs w:val="19"/>
        </w:rPr>
        <w:t>罚和约束等方面维持高校系统的良好运转</w:t>
      </w:r>
      <w:r>
        <w:rPr>
          <w:rFonts w:ascii="宋体" w:hAnsi="宋体" w:eastAsia="宋体" w:cs="宋体"/>
          <w:spacing w:val="-41"/>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作为高</w:t>
      </w:r>
      <w:r>
        <w:rPr>
          <w:rFonts w:ascii="宋体" w:hAnsi="宋体" w:eastAsia="宋体" w:cs="宋体"/>
          <w:sz w:val="19"/>
          <w:szCs w:val="19"/>
        </w:rPr>
        <w:t xml:space="preserve"> </w:t>
      </w:r>
      <w:r>
        <w:rPr>
          <w:rFonts w:ascii="宋体" w:hAnsi="宋体" w:eastAsia="宋体" w:cs="宋体"/>
          <w:spacing w:val="18"/>
          <w:sz w:val="19"/>
          <w:szCs w:val="19"/>
        </w:rPr>
        <w:t>校质量保障的技术层面</w:t>
      </w:r>
      <w:r>
        <w:rPr>
          <w:rFonts w:ascii="微软雅黑" w:hAnsi="微软雅黑" w:eastAsia="微软雅黑" w:cs="微软雅黑"/>
          <w:spacing w:val="18"/>
          <w:sz w:val="19"/>
          <w:szCs w:val="19"/>
        </w:rPr>
        <w:t>，</w:t>
      </w:r>
      <w:r>
        <w:rPr>
          <w:rFonts w:ascii="宋体" w:hAnsi="宋体" w:eastAsia="宋体" w:cs="宋体"/>
          <w:spacing w:val="18"/>
          <w:sz w:val="19"/>
          <w:szCs w:val="19"/>
        </w:rPr>
        <w:t>管理机制的完善一方面有</w:t>
      </w:r>
      <w:r>
        <w:rPr>
          <w:rFonts w:ascii="宋体" w:hAnsi="宋体" w:eastAsia="宋体" w:cs="宋体"/>
          <w:spacing w:val="8"/>
          <w:sz w:val="19"/>
          <w:szCs w:val="19"/>
        </w:rPr>
        <w:t xml:space="preserve"> </w:t>
      </w:r>
      <w:r>
        <w:rPr>
          <w:rFonts w:ascii="宋体" w:hAnsi="宋体" w:eastAsia="宋体" w:cs="宋体"/>
          <w:spacing w:val="18"/>
          <w:sz w:val="19"/>
          <w:szCs w:val="19"/>
        </w:rPr>
        <w:t>利于高校系统的和谐运转</w:t>
      </w:r>
      <w:r>
        <w:rPr>
          <w:rFonts w:ascii="微软雅黑" w:hAnsi="微软雅黑" w:eastAsia="微软雅黑" w:cs="微软雅黑"/>
          <w:spacing w:val="18"/>
          <w:sz w:val="19"/>
          <w:szCs w:val="19"/>
        </w:rPr>
        <w:t>，</w:t>
      </w:r>
      <w:r>
        <w:rPr>
          <w:rFonts w:ascii="宋体" w:hAnsi="宋体" w:eastAsia="宋体" w:cs="宋体"/>
          <w:spacing w:val="18"/>
          <w:sz w:val="19"/>
          <w:szCs w:val="19"/>
        </w:rPr>
        <w:t>另一方面作为教育中介</w:t>
      </w:r>
      <w:r>
        <w:rPr>
          <w:rFonts w:ascii="宋体" w:hAnsi="宋体" w:eastAsia="宋体" w:cs="宋体"/>
          <w:spacing w:val="8"/>
          <w:sz w:val="19"/>
          <w:szCs w:val="19"/>
        </w:rPr>
        <w:t xml:space="preserve"> </w:t>
      </w:r>
      <w:r>
        <w:rPr>
          <w:rFonts w:ascii="宋体" w:hAnsi="宋体" w:eastAsia="宋体" w:cs="宋体"/>
          <w:spacing w:val="9"/>
          <w:sz w:val="19"/>
          <w:szCs w:val="19"/>
        </w:rPr>
        <w:t>系统之一</w:t>
      </w:r>
      <w:r>
        <w:rPr>
          <w:rFonts w:ascii="微软雅黑" w:hAnsi="微软雅黑" w:eastAsia="微软雅黑" w:cs="微软雅黑"/>
          <w:spacing w:val="9"/>
          <w:sz w:val="19"/>
          <w:szCs w:val="19"/>
        </w:rPr>
        <w:t>，</w:t>
      </w:r>
      <w:r>
        <w:rPr>
          <w:rFonts w:ascii="宋体" w:hAnsi="宋体" w:eastAsia="宋体" w:cs="宋体"/>
          <w:spacing w:val="9"/>
          <w:sz w:val="19"/>
          <w:szCs w:val="19"/>
        </w:rPr>
        <w:t>成为教师与学生相互沟通的重要纽带</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并 </w:t>
      </w:r>
      <w:r>
        <w:rPr>
          <w:rFonts w:ascii="宋体" w:hAnsi="宋体" w:eastAsia="宋体" w:cs="宋体"/>
          <w:spacing w:val="19"/>
          <w:sz w:val="19"/>
          <w:szCs w:val="19"/>
        </w:rPr>
        <w:t>使质量文化建设中的三要素有机地联系在一</w:t>
      </w:r>
      <w:r>
        <w:rPr>
          <w:rFonts w:ascii="宋体" w:hAnsi="宋体" w:eastAsia="宋体" w:cs="宋体"/>
          <w:spacing w:val="18"/>
          <w:sz w:val="19"/>
          <w:szCs w:val="19"/>
        </w:rPr>
        <w:t>起</w:t>
      </w:r>
      <w:r>
        <w:rPr>
          <w:rFonts w:ascii="微软雅黑" w:hAnsi="微软雅黑" w:eastAsia="微软雅黑" w:cs="微软雅黑"/>
          <w:spacing w:val="18"/>
          <w:sz w:val="19"/>
          <w:szCs w:val="19"/>
        </w:rPr>
        <w:t>。</w:t>
      </w:r>
    </w:p>
    <w:p>
      <w:pPr>
        <w:spacing w:line="215" w:lineRule="auto"/>
        <w:rPr>
          <w:rFonts w:ascii="微软雅黑" w:hAnsi="微软雅黑" w:eastAsia="微软雅黑" w:cs="微软雅黑"/>
          <w:sz w:val="19"/>
          <w:szCs w:val="19"/>
        </w:rPr>
        <w:sectPr>
          <w:type w:val="continuous"/>
          <w:pgSz w:w="11906" w:h="16840"/>
          <w:pgMar w:top="400" w:right="1204" w:bottom="547" w:left="407" w:header="0" w:footer="354" w:gutter="0"/>
          <w:cols w:equalWidth="0" w:num="2">
            <w:col w:w="5531" w:space="100"/>
            <w:col w:w="4663"/>
          </w:cols>
        </w:sectPr>
      </w:pPr>
    </w:p>
    <w:p>
      <w:pPr>
        <w:spacing w:before="181" w:line="2434" w:lineRule="exact"/>
        <w:ind w:firstLine="2231"/>
      </w:pPr>
      <w:r>
        <w:rPr>
          <w:position w:val="-48"/>
        </w:rPr>
        <w:drawing>
          <wp:inline distT="0" distB="0" distL="0" distR="0">
            <wp:extent cx="4031615" cy="154495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31"/>
                    <a:stretch>
                      <a:fillRect/>
                    </a:stretch>
                  </pic:blipFill>
                  <pic:spPr>
                    <a:xfrm>
                      <a:off x="0" y="0"/>
                      <a:ext cx="4032029" cy="1545342"/>
                    </a:xfrm>
                    <a:prstGeom prst="rect">
                      <a:avLst/>
                    </a:prstGeom>
                  </pic:spPr>
                </pic:pic>
              </a:graphicData>
            </a:graphic>
          </wp:inline>
        </w:drawing>
      </w:r>
    </w:p>
    <w:p>
      <w:pPr>
        <w:spacing w:before="264" w:line="214" w:lineRule="auto"/>
        <w:ind w:left="4099"/>
        <w:rPr>
          <w:rFonts w:ascii="黑体" w:hAnsi="黑体" w:eastAsia="黑体" w:cs="黑体"/>
          <w:sz w:val="16"/>
          <w:szCs w:val="16"/>
        </w:rPr>
      </w:pPr>
      <w:r>
        <w:rPr>
          <w:rFonts w:ascii="黑体" w:hAnsi="黑体" w:eastAsia="黑体" w:cs="黑体"/>
          <w:spacing w:val="11"/>
          <w:sz w:val="16"/>
          <w:szCs w:val="16"/>
        </w:rPr>
        <w:t>图</w:t>
      </w:r>
      <w:r>
        <w:rPr>
          <w:rFonts w:ascii="黑体" w:hAnsi="黑体" w:eastAsia="黑体" w:cs="黑体"/>
          <w:spacing w:val="3"/>
          <w:sz w:val="16"/>
          <w:szCs w:val="16"/>
        </w:rPr>
        <w:t xml:space="preserve"> </w:t>
      </w:r>
      <w:r>
        <w:rPr>
          <w:rFonts w:ascii="Arial" w:hAnsi="Arial" w:eastAsia="Arial" w:cs="Arial"/>
          <w:spacing w:val="11"/>
          <w:sz w:val="16"/>
          <w:szCs w:val="16"/>
        </w:rPr>
        <w:t xml:space="preserve">1    </w:t>
      </w:r>
      <w:r>
        <w:rPr>
          <w:rFonts w:ascii="黑体" w:hAnsi="黑体" w:eastAsia="黑体" w:cs="黑体"/>
          <w:spacing w:val="11"/>
          <w:sz w:val="16"/>
          <w:szCs w:val="16"/>
        </w:rPr>
        <w:t>挪威高等教育质量文化要素</w:t>
      </w:r>
    </w:p>
    <w:p>
      <w:pPr>
        <w:spacing w:before="89" w:line="225" w:lineRule="auto"/>
        <w:ind w:left="596" w:right="76" w:firstLine="325"/>
        <w:rPr>
          <w:rFonts w:ascii="Arial" w:hAnsi="Arial" w:eastAsia="Arial" w:cs="Arial"/>
          <w:sz w:val="14"/>
          <w:szCs w:val="14"/>
        </w:rPr>
      </w:pPr>
      <w:r>
        <w:rPr>
          <w:rFonts w:ascii="宋体" w:hAnsi="宋体" w:eastAsia="宋体" w:cs="宋体"/>
          <w:spacing w:val="6"/>
          <w:sz w:val="14"/>
          <w:szCs w:val="14"/>
        </w:rPr>
        <w:t>资料</w:t>
      </w:r>
      <w:r>
        <w:rPr>
          <w:rFonts w:ascii="宋体" w:hAnsi="宋体" w:eastAsia="宋体" w:cs="宋体"/>
          <w:spacing w:val="-25"/>
          <w:sz w:val="14"/>
          <w:szCs w:val="14"/>
        </w:rPr>
        <w:t xml:space="preserve"> </w:t>
      </w:r>
      <w:r>
        <w:rPr>
          <w:rFonts w:ascii="宋体" w:hAnsi="宋体" w:eastAsia="宋体" w:cs="宋体"/>
          <w:spacing w:val="6"/>
          <w:sz w:val="14"/>
          <w:szCs w:val="14"/>
        </w:rPr>
        <w:t>来</w:t>
      </w:r>
      <w:r>
        <w:rPr>
          <w:rFonts w:ascii="宋体" w:hAnsi="宋体" w:eastAsia="宋体" w:cs="宋体"/>
          <w:spacing w:val="-26"/>
          <w:sz w:val="14"/>
          <w:szCs w:val="14"/>
        </w:rPr>
        <w:t xml:space="preserve"> </w:t>
      </w:r>
      <w:r>
        <w:rPr>
          <w:rFonts w:ascii="宋体" w:hAnsi="宋体" w:eastAsia="宋体" w:cs="宋体"/>
          <w:spacing w:val="6"/>
          <w:sz w:val="14"/>
          <w:szCs w:val="14"/>
        </w:rPr>
        <w:t>源</w:t>
      </w:r>
      <w:r>
        <w:rPr>
          <w:rFonts w:ascii="微软雅黑" w:hAnsi="微软雅黑" w:eastAsia="微软雅黑" w:cs="微软雅黑"/>
          <w:spacing w:val="6"/>
          <w:sz w:val="14"/>
          <w:szCs w:val="14"/>
        </w:rPr>
        <w:t>：</w:t>
      </w:r>
      <w:r>
        <w:rPr>
          <w:rFonts w:ascii="Arial" w:hAnsi="Arial" w:eastAsia="Arial" w:cs="Arial"/>
          <w:spacing w:val="6"/>
          <w:sz w:val="14"/>
          <w:szCs w:val="14"/>
        </w:rPr>
        <w:t xml:space="preserve">Report  to  the  Storting   </w:t>
      </w:r>
      <w:r>
        <w:rPr>
          <w:rFonts w:ascii="微软雅黑" w:hAnsi="微软雅黑" w:eastAsia="微软雅黑" w:cs="微软雅黑"/>
          <w:spacing w:val="6"/>
          <w:sz w:val="14"/>
          <w:szCs w:val="14"/>
        </w:rPr>
        <w:t xml:space="preserve">( </w:t>
      </w:r>
      <w:r>
        <w:rPr>
          <w:rFonts w:ascii="Arial" w:hAnsi="Arial" w:eastAsia="Arial" w:cs="Arial"/>
          <w:spacing w:val="6"/>
          <w:sz w:val="14"/>
          <w:szCs w:val="14"/>
        </w:rPr>
        <w:t>white  paper</w:t>
      </w:r>
      <w:r>
        <w:rPr>
          <w:rFonts w:ascii="微软雅黑" w:hAnsi="微软雅黑" w:eastAsia="微软雅黑" w:cs="微软雅黑"/>
          <w:spacing w:val="6"/>
          <w:sz w:val="14"/>
          <w:szCs w:val="14"/>
        </w:rPr>
        <w:t>)</w:t>
      </w:r>
      <w:r>
        <w:rPr>
          <w:rFonts w:ascii="微软雅黑" w:hAnsi="微软雅黑" w:eastAsia="微软雅黑" w:cs="微软雅黑"/>
          <w:spacing w:val="15"/>
          <w:sz w:val="14"/>
          <w:szCs w:val="14"/>
        </w:rPr>
        <w:t xml:space="preserve"> </w:t>
      </w:r>
      <w:r>
        <w:rPr>
          <w:rFonts w:ascii="微软雅黑" w:hAnsi="微软雅黑" w:eastAsia="微软雅黑" w:cs="微软雅黑"/>
          <w:spacing w:val="6"/>
          <w:sz w:val="14"/>
          <w:szCs w:val="14"/>
        </w:rPr>
        <w:t>:</w:t>
      </w:r>
      <w:r>
        <w:rPr>
          <w:rFonts w:ascii="微软雅黑" w:hAnsi="微软雅黑" w:eastAsia="微软雅黑" w:cs="微软雅黑"/>
          <w:spacing w:val="31"/>
          <w:sz w:val="14"/>
          <w:szCs w:val="14"/>
        </w:rPr>
        <w:t xml:space="preserve"> </w:t>
      </w:r>
      <w:r>
        <w:rPr>
          <w:rFonts w:ascii="Arial" w:hAnsi="Arial" w:eastAsia="Arial" w:cs="Arial"/>
          <w:spacing w:val="6"/>
          <w:sz w:val="14"/>
          <w:szCs w:val="14"/>
        </w:rPr>
        <w:t>Quality  Culture</w:t>
      </w:r>
      <w:r>
        <w:rPr>
          <w:rFonts w:ascii="Arial" w:hAnsi="Arial" w:eastAsia="Arial" w:cs="Arial"/>
          <w:spacing w:val="9"/>
          <w:sz w:val="14"/>
          <w:szCs w:val="14"/>
        </w:rPr>
        <w:t xml:space="preserve">  </w:t>
      </w:r>
      <w:r>
        <w:rPr>
          <w:rFonts w:ascii="Arial" w:hAnsi="Arial" w:eastAsia="Arial" w:cs="Arial"/>
          <w:spacing w:val="6"/>
          <w:sz w:val="14"/>
          <w:szCs w:val="14"/>
        </w:rPr>
        <w:t>in</w:t>
      </w:r>
      <w:r>
        <w:rPr>
          <w:rFonts w:ascii="Arial" w:hAnsi="Arial" w:eastAsia="Arial" w:cs="Arial"/>
          <w:spacing w:val="12"/>
          <w:w w:val="102"/>
          <w:sz w:val="14"/>
          <w:szCs w:val="14"/>
        </w:rPr>
        <w:t xml:space="preserve">  </w:t>
      </w:r>
      <w:r>
        <w:rPr>
          <w:rFonts w:ascii="Arial" w:hAnsi="Arial" w:eastAsia="Arial" w:cs="Arial"/>
          <w:spacing w:val="6"/>
          <w:sz w:val="14"/>
          <w:szCs w:val="14"/>
        </w:rPr>
        <w:t>Higher</w:t>
      </w:r>
      <w:r>
        <w:rPr>
          <w:rFonts w:ascii="Arial" w:hAnsi="Arial" w:eastAsia="Arial" w:cs="Arial"/>
          <w:spacing w:val="8"/>
          <w:sz w:val="14"/>
          <w:szCs w:val="14"/>
        </w:rPr>
        <w:t xml:space="preserve">  </w:t>
      </w:r>
      <w:r>
        <w:rPr>
          <w:rFonts w:ascii="Arial" w:hAnsi="Arial" w:eastAsia="Arial" w:cs="Arial"/>
          <w:spacing w:val="6"/>
          <w:sz w:val="14"/>
          <w:szCs w:val="14"/>
        </w:rPr>
        <w:t>Educat</w:t>
      </w:r>
      <w:r>
        <w:rPr>
          <w:rFonts w:ascii="Arial" w:hAnsi="Arial" w:eastAsia="Arial" w:cs="Arial"/>
          <w:spacing w:val="5"/>
          <w:sz w:val="14"/>
          <w:szCs w:val="14"/>
        </w:rPr>
        <w:t>ion.</w:t>
      </w:r>
      <w:r>
        <w:rPr>
          <w:rFonts w:ascii="Arial" w:hAnsi="Arial" w:eastAsia="Arial" w:cs="Arial"/>
          <w:spacing w:val="24"/>
          <w:w w:val="101"/>
          <w:sz w:val="14"/>
          <w:szCs w:val="14"/>
        </w:rPr>
        <w:t xml:space="preserve"> </w:t>
      </w:r>
      <w:r>
        <w:rPr>
          <w:rFonts w:ascii="Arial" w:hAnsi="Arial" w:eastAsia="Arial" w:cs="Arial"/>
          <w:spacing w:val="5"/>
          <w:sz w:val="14"/>
          <w:szCs w:val="14"/>
        </w:rPr>
        <w:t>https</w:t>
      </w:r>
      <w:r>
        <w:rPr>
          <w:rFonts w:ascii="微软雅黑" w:hAnsi="微软雅黑" w:eastAsia="微软雅黑" w:cs="微软雅黑"/>
          <w:spacing w:val="5"/>
          <w:sz w:val="14"/>
          <w:szCs w:val="14"/>
        </w:rPr>
        <w:t>://</w:t>
      </w:r>
      <w:r>
        <w:rPr>
          <w:rFonts w:ascii="Arial" w:hAnsi="Arial" w:eastAsia="Arial" w:cs="Arial"/>
          <w:spacing w:val="5"/>
          <w:sz w:val="14"/>
          <w:szCs w:val="14"/>
        </w:rPr>
        <w:t>www.regjeringen.no</w:t>
      </w:r>
      <w:r>
        <w:rPr>
          <w:rFonts w:ascii="微软雅黑" w:hAnsi="微软雅黑" w:eastAsia="微软雅黑" w:cs="微软雅黑"/>
          <w:spacing w:val="5"/>
          <w:sz w:val="14"/>
          <w:szCs w:val="14"/>
        </w:rPr>
        <w:t>/</w:t>
      </w:r>
      <w:r>
        <w:rPr>
          <w:rFonts w:ascii="Arial" w:hAnsi="Arial" w:eastAsia="Arial" w:cs="Arial"/>
          <w:spacing w:val="5"/>
          <w:sz w:val="14"/>
          <w:szCs w:val="14"/>
        </w:rPr>
        <w:t>contentassets</w:t>
      </w:r>
      <w:r>
        <w:rPr>
          <w:rFonts w:ascii="微软雅黑" w:hAnsi="微软雅黑" w:eastAsia="微软雅黑" w:cs="微软雅黑"/>
          <w:spacing w:val="5"/>
          <w:sz w:val="14"/>
          <w:szCs w:val="14"/>
        </w:rPr>
        <w:t>/</w:t>
      </w:r>
      <w:r>
        <w:rPr>
          <w:rFonts w:ascii="微软雅黑" w:hAnsi="微软雅黑" w:eastAsia="微软雅黑" w:cs="微软雅黑"/>
          <w:sz w:val="14"/>
          <w:szCs w:val="14"/>
        </w:rPr>
        <w:t xml:space="preserve"> </w:t>
      </w:r>
      <w:r>
        <w:rPr>
          <w:rFonts w:ascii="Arial" w:hAnsi="Arial" w:eastAsia="Arial" w:cs="Arial"/>
          <w:sz w:val="14"/>
          <w:szCs w:val="14"/>
        </w:rPr>
        <w:t>aee</w:t>
      </w:r>
      <w:r>
        <w:rPr>
          <w:rFonts w:ascii="Arial" w:hAnsi="Arial" w:eastAsia="Arial" w:cs="Arial"/>
          <w:spacing w:val="8"/>
          <w:sz w:val="14"/>
          <w:szCs w:val="14"/>
        </w:rPr>
        <w:t>30e4b7d3241d5</w:t>
      </w:r>
      <w:r>
        <w:rPr>
          <w:rFonts w:ascii="Arial" w:hAnsi="Arial" w:eastAsia="Arial" w:cs="Arial"/>
          <w:sz w:val="14"/>
          <w:szCs w:val="14"/>
        </w:rPr>
        <w:t>bd</w:t>
      </w:r>
      <w:r>
        <w:rPr>
          <w:rFonts w:ascii="Arial" w:hAnsi="Arial" w:eastAsia="Arial" w:cs="Arial"/>
          <w:spacing w:val="8"/>
          <w:sz w:val="14"/>
          <w:szCs w:val="14"/>
        </w:rPr>
        <w:t>89</w:t>
      </w:r>
      <w:r>
        <w:rPr>
          <w:rFonts w:ascii="Arial" w:hAnsi="Arial" w:eastAsia="Arial" w:cs="Arial"/>
          <w:sz w:val="14"/>
          <w:szCs w:val="14"/>
        </w:rPr>
        <w:t>db</w:t>
      </w:r>
      <w:r>
        <w:rPr>
          <w:rFonts w:ascii="Arial" w:hAnsi="Arial" w:eastAsia="Arial" w:cs="Arial"/>
          <w:spacing w:val="8"/>
          <w:sz w:val="14"/>
          <w:szCs w:val="14"/>
        </w:rPr>
        <w:t>69</w:t>
      </w:r>
      <w:r>
        <w:rPr>
          <w:rFonts w:ascii="Arial" w:hAnsi="Arial" w:eastAsia="Arial" w:cs="Arial"/>
          <w:sz w:val="14"/>
          <w:szCs w:val="14"/>
        </w:rPr>
        <w:t>fe</w:t>
      </w:r>
      <w:r>
        <w:rPr>
          <w:rFonts w:ascii="Arial" w:hAnsi="Arial" w:eastAsia="Arial" w:cs="Arial"/>
          <w:spacing w:val="8"/>
          <w:sz w:val="14"/>
          <w:szCs w:val="14"/>
        </w:rPr>
        <w:t>38f7</w:t>
      </w:r>
      <w:r>
        <w:rPr>
          <w:rFonts w:ascii="Arial" w:hAnsi="Arial" w:eastAsia="Arial" w:cs="Arial"/>
          <w:sz w:val="14"/>
          <w:szCs w:val="14"/>
        </w:rPr>
        <w:t>ba</w:t>
      </w:r>
      <w:r>
        <w:rPr>
          <w:rFonts w:ascii="微软雅黑" w:hAnsi="微软雅黑" w:eastAsia="微软雅黑" w:cs="微软雅黑"/>
          <w:spacing w:val="7"/>
          <w:sz w:val="14"/>
          <w:szCs w:val="14"/>
        </w:rPr>
        <w:t>/</w:t>
      </w:r>
      <w:r>
        <w:rPr>
          <w:rFonts w:ascii="Arial" w:hAnsi="Arial" w:eastAsia="Arial" w:cs="Arial"/>
          <w:sz w:val="14"/>
          <w:szCs w:val="14"/>
        </w:rPr>
        <w:t>en</w:t>
      </w:r>
      <w:r>
        <w:rPr>
          <w:rFonts w:ascii="Arial" w:hAnsi="Arial" w:eastAsia="Arial" w:cs="Arial"/>
          <w:spacing w:val="7"/>
          <w:sz w:val="14"/>
          <w:szCs w:val="14"/>
        </w:rPr>
        <w:t>-</w:t>
      </w:r>
      <w:r>
        <w:rPr>
          <w:rFonts w:ascii="Arial" w:hAnsi="Arial" w:eastAsia="Arial" w:cs="Arial"/>
          <w:sz w:val="14"/>
          <w:szCs w:val="14"/>
        </w:rPr>
        <w:t>gb</w:t>
      </w:r>
      <w:r>
        <w:rPr>
          <w:rFonts w:ascii="微软雅黑" w:hAnsi="微软雅黑" w:eastAsia="微软雅黑" w:cs="微软雅黑"/>
          <w:spacing w:val="7"/>
          <w:sz w:val="14"/>
          <w:szCs w:val="14"/>
        </w:rPr>
        <w:t>/</w:t>
      </w:r>
      <w:r>
        <w:rPr>
          <w:rFonts w:ascii="Arial" w:hAnsi="Arial" w:eastAsia="Arial" w:cs="Arial"/>
          <w:sz w:val="14"/>
          <w:szCs w:val="14"/>
        </w:rPr>
        <w:t>pdfs</w:t>
      </w:r>
      <w:r>
        <w:rPr>
          <w:rFonts w:ascii="微软雅黑" w:hAnsi="微软雅黑" w:eastAsia="微软雅黑" w:cs="微软雅黑"/>
          <w:spacing w:val="7"/>
          <w:sz w:val="14"/>
          <w:szCs w:val="14"/>
        </w:rPr>
        <w:t>/</w:t>
      </w:r>
      <w:r>
        <w:rPr>
          <w:rFonts w:ascii="Arial" w:hAnsi="Arial" w:eastAsia="Arial" w:cs="Arial"/>
          <w:sz w:val="14"/>
          <w:szCs w:val="14"/>
        </w:rPr>
        <w:t>stm</w:t>
      </w:r>
      <w:r>
        <w:rPr>
          <w:rFonts w:ascii="Arial" w:hAnsi="Arial" w:eastAsia="Arial" w:cs="Arial"/>
          <w:spacing w:val="7"/>
          <w:sz w:val="14"/>
          <w:szCs w:val="14"/>
        </w:rPr>
        <w:t>201620170016000</w:t>
      </w:r>
      <w:r>
        <w:rPr>
          <w:rFonts w:ascii="Arial" w:hAnsi="Arial" w:eastAsia="Arial" w:cs="Arial"/>
          <w:sz w:val="14"/>
          <w:szCs w:val="14"/>
        </w:rPr>
        <w:t>engpdfs</w:t>
      </w:r>
      <w:r>
        <w:rPr>
          <w:rFonts w:ascii="Arial" w:hAnsi="Arial" w:eastAsia="Arial" w:cs="Arial"/>
          <w:spacing w:val="7"/>
          <w:sz w:val="14"/>
          <w:szCs w:val="14"/>
        </w:rPr>
        <w:t>.</w:t>
      </w:r>
      <w:r>
        <w:rPr>
          <w:rFonts w:ascii="Arial" w:hAnsi="Arial" w:eastAsia="Arial" w:cs="Arial"/>
          <w:sz w:val="14"/>
          <w:szCs w:val="14"/>
        </w:rPr>
        <w:t>pdf</w:t>
      </w:r>
      <w:r>
        <w:rPr>
          <w:rFonts w:ascii="Arial" w:hAnsi="Arial" w:eastAsia="Arial" w:cs="Arial"/>
          <w:spacing w:val="7"/>
          <w:sz w:val="14"/>
          <w:szCs w:val="14"/>
        </w:rPr>
        <w:t>.</w:t>
      </w:r>
    </w:p>
    <w:p>
      <w:pPr>
        <w:spacing w:before="75"/>
      </w:pPr>
    </w:p>
    <w:p>
      <w:pPr>
        <w:sectPr>
          <w:type w:val="continuous"/>
          <w:pgSz w:w="11906" w:h="16840"/>
          <w:pgMar w:top="400" w:right="1204" w:bottom="547" w:left="407" w:header="0" w:footer="354" w:gutter="0"/>
          <w:cols w:equalWidth="0" w:num="1">
            <w:col w:w="10294"/>
          </w:cols>
        </w:sectPr>
      </w:pPr>
    </w:p>
    <w:p>
      <w:pPr>
        <w:spacing w:before="35"/>
        <w:ind w:left="600" w:right="264" w:firstLine="423"/>
        <w:rPr>
          <w:rFonts w:ascii="微软雅黑" w:hAnsi="微软雅黑" w:eastAsia="微软雅黑" w:cs="微软雅黑"/>
          <w:sz w:val="19"/>
          <w:szCs w:val="19"/>
        </w:rPr>
      </w:pPr>
      <w:r>
        <w:rPr>
          <w:rFonts w:ascii="宋体" w:hAnsi="宋体" w:eastAsia="宋体" w:cs="宋体"/>
          <w:spacing w:val="8"/>
          <w:sz w:val="19"/>
          <w:szCs w:val="19"/>
        </w:rPr>
        <w:t>如图</w:t>
      </w:r>
      <w:r>
        <w:rPr>
          <w:rFonts w:ascii="宋体" w:hAnsi="宋体" w:eastAsia="宋体" w:cs="宋体"/>
          <w:spacing w:val="-10"/>
          <w:sz w:val="19"/>
          <w:szCs w:val="19"/>
        </w:rPr>
        <w:t xml:space="preserve"> </w:t>
      </w:r>
      <w:r>
        <w:rPr>
          <w:rFonts w:ascii="Arial" w:hAnsi="Arial" w:eastAsia="Arial" w:cs="Arial"/>
          <w:spacing w:val="8"/>
          <w:sz w:val="19"/>
          <w:szCs w:val="19"/>
        </w:rPr>
        <w:t>1</w:t>
      </w:r>
      <w:r>
        <w:rPr>
          <w:rFonts w:ascii="宋体" w:hAnsi="宋体" w:eastAsia="宋体" w:cs="宋体"/>
          <w:spacing w:val="8"/>
          <w:sz w:val="19"/>
          <w:szCs w:val="19"/>
        </w:rPr>
        <w:t>所示</w:t>
      </w:r>
      <w:r>
        <w:rPr>
          <w:rFonts w:ascii="微软雅黑" w:hAnsi="微软雅黑" w:eastAsia="微软雅黑" w:cs="微软雅黑"/>
          <w:spacing w:val="8"/>
          <w:position w:val="1"/>
          <w:sz w:val="19"/>
          <w:szCs w:val="19"/>
        </w:rPr>
        <w:t>，</w:t>
      </w:r>
      <w:r>
        <w:rPr>
          <w:rFonts w:ascii="宋体" w:hAnsi="宋体" w:eastAsia="宋体" w:cs="宋体"/>
          <w:spacing w:val="8"/>
          <w:sz w:val="19"/>
          <w:szCs w:val="19"/>
        </w:rPr>
        <w:t>在挪威高校质量文化建设中</w:t>
      </w:r>
      <w:r>
        <w:rPr>
          <w:rFonts w:ascii="微软雅黑" w:hAnsi="微软雅黑" w:eastAsia="微软雅黑" w:cs="微软雅黑"/>
          <w:spacing w:val="8"/>
          <w:position w:val="1"/>
          <w:sz w:val="19"/>
          <w:szCs w:val="19"/>
        </w:rPr>
        <w:t>，</w:t>
      </w:r>
      <w:r>
        <w:rPr>
          <w:rFonts w:ascii="宋体" w:hAnsi="宋体" w:eastAsia="宋体" w:cs="宋体"/>
          <w:spacing w:val="8"/>
          <w:sz w:val="19"/>
          <w:szCs w:val="19"/>
        </w:rPr>
        <w:t>学生 是最为核心</w:t>
      </w:r>
      <w:r>
        <w:rPr>
          <w:rFonts w:ascii="宋体" w:hAnsi="宋体" w:eastAsia="宋体" w:cs="宋体"/>
          <w:spacing w:val="-26"/>
          <w:sz w:val="19"/>
          <w:szCs w:val="19"/>
        </w:rPr>
        <w:t xml:space="preserve"> </w:t>
      </w:r>
      <w:r>
        <w:rPr>
          <w:rFonts w:ascii="宋体" w:hAnsi="宋体" w:eastAsia="宋体" w:cs="宋体"/>
          <w:spacing w:val="8"/>
          <w:sz w:val="19"/>
          <w:szCs w:val="19"/>
        </w:rPr>
        <w:t>的要</w:t>
      </w:r>
      <w:r>
        <w:rPr>
          <w:rFonts w:ascii="宋体" w:hAnsi="宋体" w:eastAsia="宋体" w:cs="宋体"/>
          <w:spacing w:val="-56"/>
          <w:sz w:val="19"/>
          <w:szCs w:val="19"/>
        </w:rPr>
        <w:t xml:space="preserve"> </w:t>
      </w:r>
      <w:r>
        <w:rPr>
          <w:rFonts w:ascii="宋体" w:hAnsi="宋体" w:eastAsia="宋体" w:cs="宋体"/>
          <w:spacing w:val="8"/>
          <w:sz w:val="19"/>
          <w:szCs w:val="19"/>
        </w:rPr>
        <w:t>素</w:t>
      </w:r>
      <w:r>
        <w:rPr>
          <w:rFonts w:ascii="微软雅黑" w:hAnsi="微软雅黑" w:eastAsia="微软雅黑" w:cs="微软雅黑"/>
          <w:spacing w:val="8"/>
          <w:sz w:val="19"/>
          <w:szCs w:val="19"/>
        </w:rPr>
        <w:t>，</w:t>
      </w:r>
      <w:r>
        <w:rPr>
          <w:rFonts w:ascii="宋体" w:hAnsi="宋体" w:eastAsia="宋体" w:cs="宋体"/>
          <w:spacing w:val="8"/>
          <w:sz w:val="19"/>
          <w:szCs w:val="19"/>
        </w:rPr>
        <w:t>管理制度的规范</w:t>
      </w:r>
      <w:r>
        <w:rPr>
          <w:rFonts w:ascii="微软雅黑" w:hAnsi="微软雅黑" w:eastAsia="微软雅黑" w:cs="微软雅黑"/>
          <w:spacing w:val="8"/>
          <w:sz w:val="19"/>
          <w:szCs w:val="19"/>
        </w:rPr>
        <w:t>，</w:t>
      </w:r>
      <w:r>
        <w:rPr>
          <w:rFonts w:ascii="宋体" w:hAnsi="宋体" w:eastAsia="宋体" w:cs="宋体"/>
          <w:spacing w:val="8"/>
          <w:sz w:val="19"/>
          <w:szCs w:val="19"/>
        </w:rPr>
        <w:t>教</w:t>
      </w:r>
      <w:r>
        <w:rPr>
          <w:rFonts w:ascii="宋体" w:hAnsi="宋体" w:eastAsia="宋体" w:cs="宋体"/>
          <w:spacing w:val="-56"/>
          <w:sz w:val="19"/>
          <w:szCs w:val="19"/>
        </w:rPr>
        <w:t xml:space="preserve"> </w:t>
      </w:r>
      <w:r>
        <w:rPr>
          <w:rFonts w:ascii="宋体" w:hAnsi="宋体" w:eastAsia="宋体" w:cs="宋体"/>
          <w:spacing w:val="8"/>
          <w:sz w:val="19"/>
          <w:szCs w:val="19"/>
        </w:rPr>
        <w:t>师</w:t>
      </w:r>
      <w:r>
        <w:rPr>
          <w:rFonts w:ascii="宋体" w:hAnsi="宋体" w:eastAsia="宋体" w:cs="宋体"/>
          <w:spacing w:val="-57"/>
          <w:sz w:val="19"/>
          <w:szCs w:val="19"/>
        </w:rPr>
        <w:t xml:space="preserve"> </w:t>
      </w:r>
      <w:r>
        <w:rPr>
          <w:rFonts w:ascii="宋体" w:hAnsi="宋体" w:eastAsia="宋体" w:cs="宋体"/>
          <w:spacing w:val="8"/>
          <w:sz w:val="19"/>
          <w:szCs w:val="19"/>
        </w:rPr>
        <w:t>参</w:t>
      </w:r>
      <w:r>
        <w:rPr>
          <w:rFonts w:ascii="宋体" w:hAnsi="宋体" w:eastAsia="宋体" w:cs="宋体"/>
          <w:spacing w:val="-54"/>
          <w:sz w:val="19"/>
          <w:szCs w:val="19"/>
        </w:rPr>
        <w:t xml:space="preserve"> </w:t>
      </w:r>
      <w:r>
        <w:rPr>
          <w:rFonts w:ascii="宋体" w:hAnsi="宋体" w:eastAsia="宋体" w:cs="宋体"/>
          <w:spacing w:val="8"/>
          <w:sz w:val="19"/>
          <w:szCs w:val="19"/>
        </w:rPr>
        <w:t xml:space="preserve">与评 </w:t>
      </w:r>
      <w:r>
        <w:rPr>
          <w:rFonts w:ascii="宋体" w:hAnsi="宋体" w:eastAsia="宋体" w:cs="宋体"/>
          <w:spacing w:val="9"/>
          <w:sz w:val="19"/>
          <w:szCs w:val="19"/>
        </w:rPr>
        <w:t>价</w:t>
      </w:r>
      <w:r>
        <w:rPr>
          <w:rFonts w:ascii="微软雅黑" w:hAnsi="微软雅黑" w:eastAsia="微软雅黑" w:cs="微软雅黑"/>
          <w:spacing w:val="9"/>
          <w:sz w:val="19"/>
          <w:szCs w:val="19"/>
        </w:rPr>
        <w:t>、</w:t>
      </w:r>
      <w:r>
        <w:rPr>
          <w:rFonts w:ascii="宋体" w:hAnsi="宋体" w:eastAsia="宋体" w:cs="宋体"/>
          <w:spacing w:val="9"/>
          <w:sz w:val="19"/>
          <w:szCs w:val="19"/>
        </w:rPr>
        <w:t>改善教学</w:t>
      </w:r>
      <w:r>
        <w:rPr>
          <w:rFonts w:ascii="微软雅黑" w:hAnsi="微软雅黑" w:eastAsia="微软雅黑" w:cs="微软雅黑"/>
          <w:spacing w:val="9"/>
          <w:sz w:val="19"/>
          <w:szCs w:val="19"/>
        </w:rPr>
        <w:t>、</w:t>
      </w:r>
      <w:r>
        <w:rPr>
          <w:rFonts w:ascii="宋体" w:hAnsi="宋体" w:eastAsia="宋体" w:cs="宋体"/>
          <w:spacing w:val="9"/>
          <w:sz w:val="19"/>
          <w:szCs w:val="19"/>
        </w:rPr>
        <w:t>创建学习共同体等活动都是在学习成</w:t>
      </w:r>
      <w:r>
        <w:rPr>
          <w:rFonts w:ascii="宋体" w:hAnsi="宋体" w:eastAsia="宋体" w:cs="宋体"/>
          <w:spacing w:val="4"/>
          <w:sz w:val="19"/>
          <w:szCs w:val="19"/>
        </w:rPr>
        <w:t xml:space="preserve">  </w:t>
      </w:r>
      <w:r>
        <w:rPr>
          <w:rFonts w:ascii="宋体" w:hAnsi="宋体" w:eastAsia="宋体" w:cs="宋体"/>
          <w:spacing w:val="2"/>
          <w:sz w:val="19"/>
          <w:szCs w:val="19"/>
        </w:rPr>
        <w:t>果</w:t>
      </w:r>
      <w:r>
        <w:rPr>
          <w:rFonts w:ascii="微软雅黑" w:hAnsi="微软雅黑" w:eastAsia="微软雅黑" w:cs="微软雅黑"/>
          <w:spacing w:val="2"/>
          <w:sz w:val="19"/>
          <w:szCs w:val="19"/>
        </w:rPr>
        <w:t>、</w:t>
      </w:r>
      <w:r>
        <w:rPr>
          <w:rFonts w:ascii="宋体" w:hAnsi="宋体" w:eastAsia="宋体" w:cs="宋体"/>
          <w:spacing w:val="2"/>
          <w:sz w:val="19"/>
          <w:szCs w:val="19"/>
        </w:rPr>
        <w:t>关联性</w:t>
      </w:r>
      <w:r>
        <w:rPr>
          <w:rFonts w:ascii="微软雅黑" w:hAnsi="微软雅黑" w:eastAsia="微软雅黑" w:cs="微软雅黑"/>
          <w:spacing w:val="2"/>
          <w:sz w:val="19"/>
          <w:szCs w:val="19"/>
        </w:rPr>
        <w:t>、</w:t>
      </w:r>
      <w:r>
        <w:rPr>
          <w:rFonts w:ascii="宋体" w:hAnsi="宋体" w:eastAsia="宋体" w:cs="宋体"/>
          <w:spacing w:val="2"/>
          <w:sz w:val="19"/>
          <w:szCs w:val="19"/>
        </w:rPr>
        <w:t>完成度三个层面中实施的</w:t>
      </w:r>
      <w:r>
        <w:rPr>
          <w:rFonts w:ascii="宋体" w:hAnsi="宋体" w:eastAsia="宋体" w:cs="宋体"/>
          <w:spacing w:val="-38"/>
          <w:sz w:val="19"/>
          <w:szCs w:val="19"/>
        </w:rPr>
        <w:t xml:space="preserve"> </w:t>
      </w:r>
      <w:r>
        <w:rPr>
          <w:rFonts w:ascii="微软雅黑" w:hAnsi="微软雅黑" w:eastAsia="微软雅黑" w:cs="微软雅黑"/>
          <w:spacing w:val="2"/>
          <w:sz w:val="19"/>
          <w:szCs w:val="19"/>
        </w:rPr>
        <w:t>。</w:t>
      </w:r>
      <w:r>
        <w:rPr>
          <w:rFonts w:ascii="宋体" w:hAnsi="宋体" w:eastAsia="宋体" w:cs="宋体"/>
          <w:spacing w:val="2"/>
          <w:sz w:val="19"/>
          <w:szCs w:val="19"/>
        </w:rPr>
        <w:t>教师</w:t>
      </w:r>
      <w:r>
        <w:rPr>
          <w:rFonts w:ascii="微软雅黑" w:hAnsi="微软雅黑" w:eastAsia="微软雅黑" w:cs="微软雅黑"/>
          <w:spacing w:val="2"/>
          <w:sz w:val="19"/>
          <w:szCs w:val="19"/>
        </w:rPr>
        <w:t>、</w:t>
      </w:r>
      <w:r>
        <w:rPr>
          <w:rFonts w:ascii="宋体" w:hAnsi="宋体" w:eastAsia="宋体" w:cs="宋体"/>
          <w:spacing w:val="2"/>
          <w:sz w:val="19"/>
          <w:szCs w:val="19"/>
        </w:rPr>
        <w:t>学生</w:t>
      </w:r>
      <w:r>
        <w:rPr>
          <w:rFonts w:ascii="微软雅黑" w:hAnsi="微软雅黑" w:eastAsia="微软雅黑" w:cs="微软雅黑"/>
          <w:spacing w:val="2"/>
          <w:sz w:val="19"/>
          <w:szCs w:val="19"/>
        </w:rPr>
        <w:t>、</w:t>
      </w:r>
      <w:r>
        <w:rPr>
          <w:rFonts w:ascii="微软雅黑" w:hAnsi="微软雅黑" w:eastAsia="微软雅黑" w:cs="微软雅黑"/>
          <w:sz w:val="19"/>
          <w:szCs w:val="19"/>
        </w:rPr>
        <w:t xml:space="preserve"> </w:t>
      </w:r>
      <w:r>
        <w:rPr>
          <w:rFonts w:ascii="宋体" w:hAnsi="宋体" w:eastAsia="宋体" w:cs="宋体"/>
          <w:spacing w:val="18"/>
          <w:sz w:val="19"/>
          <w:szCs w:val="19"/>
        </w:rPr>
        <w:t>管理作为挪威的高等教育质量文化建设中三</w:t>
      </w:r>
      <w:r>
        <w:rPr>
          <w:rFonts w:ascii="宋体" w:hAnsi="宋体" w:eastAsia="宋体" w:cs="宋体"/>
          <w:spacing w:val="17"/>
          <w:sz w:val="19"/>
          <w:szCs w:val="19"/>
        </w:rPr>
        <w:t xml:space="preserve">个要素 </w:t>
      </w:r>
      <w:r>
        <w:rPr>
          <w:rFonts w:ascii="宋体" w:hAnsi="宋体" w:eastAsia="宋体" w:cs="宋体"/>
          <w:spacing w:val="9"/>
          <w:sz w:val="19"/>
          <w:szCs w:val="19"/>
        </w:rPr>
        <w:t>可以抽象成教育者</w:t>
      </w:r>
      <w:r>
        <w:rPr>
          <w:rFonts w:ascii="微软雅黑" w:hAnsi="微软雅黑" w:eastAsia="微软雅黑" w:cs="微软雅黑"/>
          <w:spacing w:val="9"/>
          <w:sz w:val="19"/>
          <w:szCs w:val="19"/>
        </w:rPr>
        <w:t>、</w:t>
      </w:r>
      <w:r>
        <w:rPr>
          <w:rFonts w:ascii="宋体" w:hAnsi="宋体" w:eastAsia="宋体" w:cs="宋体"/>
          <w:spacing w:val="9"/>
          <w:sz w:val="19"/>
          <w:szCs w:val="19"/>
        </w:rPr>
        <w:t>受教育者和教育中介系统</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正是 </w:t>
      </w:r>
      <w:r>
        <w:rPr>
          <w:rFonts w:ascii="宋体" w:hAnsi="宋体" w:eastAsia="宋体" w:cs="宋体"/>
          <w:spacing w:val="18"/>
          <w:sz w:val="19"/>
          <w:szCs w:val="19"/>
        </w:rPr>
        <w:t>这三个要素的有机互动使其高等教育质量文</w:t>
      </w:r>
      <w:r>
        <w:rPr>
          <w:rFonts w:ascii="宋体" w:hAnsi="宋体" w:eastAsia="宋体" w:cs="宋体"/>
          <w:spacing w:val="17"/>
          <w:sz w:val="19"/>
          <w:szCs w:val="19"/>
        </w:rPr>
        <w:t xml:space="preserve">化建设 </w:t>
      </w:r>
      <w:r>
        <w:rPr>
          <w:rFonts w:ascii="宋体" w:hAnsi="宋体" w:eastAsia="宋体" w:cs="宋体"/>
          <w:spacing w:val="19"/>
          <w:sz w:val="19"/>
          <w:szCs w:val="19"/>
        </w:rPr>
        <w:t>在以学生为中心的教育观的指导下得以和谐运转</w:t>
      </w:r>
      <w:r>
        <w:rPr>
          <w:rFonts w:ascii="微软雅黑" w:hAnsi="微软雅黑" w:eastAsia="微软雅黑" w:cs="微软雅黑"/>
          <w:spacing w:val="19"/>
          <w:sz w:val="19"/>
          <w:szCs w:val="19"/>
        </w:rPr>
        <w:t>。</w:t>
      </w:r>
    </w:p>
    <w:p>
      <w:pPr>
        <w:spacing w:before="66" w:line="212" w:lineRule="auto"/>
        <w:ind w:left="1019"/>
        <w:rPr>
          <w:rFonts w:ascii="黑体" w:hAnsi="黑体" w:eastAsia="黑体" w:cs="黑体"/>
          <w:sz w:val="19"/>
          <w:szCs w:val="19"/>
        </w:rPr>
      </w:pPr>
      <w:r>
        <w:rPr>
          <w:rFonts w:ascii="Arial" w:hAnsi="Arial" w:eastAsia="Arial" w:cs="Arial"/>
          <w:spacing w:val="13"/>
          <w:position w:val="-1"/>
          <w:sz w:val="19"/>
          <w:szCs w:val="19"/>
        </w:rPr>
        <w:t>2</w:t>
      </w:r>
      <w:r>
        <w:rPr>
          <w:rFonts w:ascii="Arial" w:hAnsi="Arial" w:eastAsia="Arial" w:cs="Arial"/>
          <w:spacing w:val="-18"/>
          <w:position w:val="-1"/>
          <w:sz w:val="19"/>
          <w:szCs w:val="19"/>
        </w:rPr>
        <w:t xml:space="preserve"> </w:t>
      </w:r>
      <w:r>
        <w:rPr>
          <w:rFonts w:ascii="Arial" w:hAnsi="Arial" w:eastAsia="Arial" w:cs="Arial"/>
          <w:spacing w:val="13"/>
          <w:position w:val="-1"/>
          <w:sz w:val="19"/>
          <w:szCs w:val="19"/>
        </w:rPr>
        <w:t>.</w:t>
      </w:r>
      <w:r>
        <w:rPr>
          <w:rFonts w:ascii="Arial" w:hAnsi="Arial" w:eastAsia="Arial" w:cs="Arial"/>
          <w:spacing w:val="-16"/>
          <w:position w:val="-1"/>
          <w:sz w:val="19"/>
          <w:szCs w:val="19"/>
        </w:rPr>
        <w:t xml:space="preserve"> </w:t>
      </w:r>
      <w:r>
        <w:rPr>
          <w:rFonts w:ascii="黑体" w:hAnsi="黑体" w:eastAsia="黑体" w:cs="黑体"/>
          <w:spacing w:val="13"/>
          <w:sz w:val="19"/>
          <w:szCs w:val="19"/>
        </w:rPr>
        <w:t>挪威高等教育质量文化建设面临的挑战</w:t>
      </w:r>
    </w:p>
    <w:p>
      <w:pPr>
        <w:spacing w:before="95" w:line="232" w:lineRule="auto"/>
        <w:ind w:left="601" w:right="267" w:firstLine="447"/>
        <w:rPr>
          <w:rFonts w:ascii="微软雅黑" w:hAnsi="微软雅黑" w:eastAsia="微软雅黑" w:cs="微软雅黑"/>
          <w:sz w:val="10"/>
          <w:szCs w:val="10"/>
        </w:rPr>
      </w:pPr>
      <w:r>
        <w:rPr>
          <w:rFonts w:ascii="宋体" w:hAnsi="宋体" w:eastAsia="宋体" w:cs="宋体"/>
          <w:spacing w:val="14"/>
          <w:sz w:val="19"/>
          <w:szCs w:val="19"/>
        </w:rPr>
        <w:t>白皮书指</w:t>
      </w:r>
      <w:r>
        <w:rPr>
          <w:rFonts w:ascii="宋体" w:hAnsi="宋体" w:eastAsia="宋体" w:cs="宋体"/>
          <w:spacing w:val="-50"/>
          <w:sz w:val="19"/>
          <w:szCs w:val="19"/>
        </w:rPr>
        <w:t xml:space="preserve"> </w:t>
      </w:r>
      <w:r>
        <w:rPr>
          <w:rFonts w:ascii="宋体" w:hAnsi="宋体" w:eastAsia="宋体" w:cs="宋体"/>
          <w:spacing w:val="14"/>
          <w:sz w:val="19"/>
          <w:szCs w:val="19"/>
        </w:rPr>
        <w:t>出</w:t>
      </w:r>
      <w:r>
        <w:rPr>
          <w:rFonts w:ascii="微软雅黑" w:hAnsi="微软雅黑" w:eastAsia="微软雅黑" w:cs="微软雅黑"/>
          <w:spacing w:val="14"/>
          <w:sz w:val="19"/>
          <w:szCs w:val="19"/>
        </w:rPr>
        <w:t>，</w:t>
      </w:r>
      <w:r>
        <w:rPr>
          <w:rFonts w:ascii="宋体" w:hAnsi="宋体" w:eastAsia="宋体" w:cs="宋体"/>
          <w:spacing w:val="14"/>
          <w:sz w:val="19"/>
          <w:szCs w:val="19"/>
        </w:rPr>
        <w:t xml:space="preserve">当今挪威政府注重整个教育系统 </w:t>
      </w:r>
      <w:r>
        <w:rPr>
          <w:rFonts w:ascii="宋体" w:hAnsi="宋体" w:eastAsia="宋体" w:cs="宋体"/>
          <w:spacing w:val="16"/>
          <w:sz w:val="19"/>
          <w:szCs w:val="19"/>
        </w:rPr>
        <w:t>内质量的提高和保</w:t>
      </w:r>
      <w:r>
        <w:rPr>
          <w:rFonts w:ascii="宋体" w:hAnsi="宋体" w:eastAsia="宋体" w:cs="宋体"/>
          <w:spacing w:val="-54"/>
          <w:sz w:val="19"/>
          <w:szCs w:val="19"/>
        </w:rPr>
        <w:t xml:space="preserve"> </w:t>
      </w:r>
      <w:r>
        <w:rPr>
          <w:rFonts w:ascii="宋体" w:hAnsi="宋体" w:eastAsia="宋体" w:cs="宋体"/>
          <w:spacing w:val="16"/>
          <w:sz w:val="19"/>
          <w:szCs w:val="19"/>
        </w:rPr>
        <w:t>障</w:t>
      </w:r>
      <w:r>
        <w:rPr>
          <w:rFonts w:ascii="微软雅黑" w:hAnsi="微软雅黑" w:eastAsia="微软雅黑" w:cs="微软雅黑"/>
          <w:spacing w:val="16"/>
          <w:sz w:val="19"/>
          <w:szCs w:val="19"/>
        </w:rPr>
        <w:t>，</w:t>
      </w:r>
      <w:r>
        <w:rPr>
          <w:rFonts w:ascii="宋体" w:hAnsi="宋体" w:eastAsia="宋体" w:cs="宋体"/>
          <w:spacing w:val="16"/>
          <w:sz w:val="19"/>
          <w:szCs w:val="19"/>
        </w:rPr>
        <w:t>各个学段的教育质量管</w:t>
      </w:r>
      <w:r>
        <w:rPr>
          <w:rFonts w:ascii="宋体" w:hAnsi="宋体" w:eastAsia="宋体" w:cs="宋体"/>
          <w:spacing w:val="15"/>
          <w:sz w:val="19"/>
          <w:szCs w:val="19"/>
        </w:rPr>
        <w:t>理及 保障均出台了一系列的文件</w:t>
      </w:r>
      <w:r>
        <w:rPr>
          <w:rFonts w:ascii="宋体" w:hAnsi="宋体" w:eastAsia="宋体" w:cs="宋体"/>
          <w:spacing w:val="-34"/>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特别是博洛尼亚进程 </w:t>
      </w:r>
      <w:r>
        <w:rPr>
          <w:rFonts w:ascii="宋体" w:hAnsi="宋体" w:eastAsia="宋体" w:cs="宋体"/>
          <w:spacing w:val="12"/>
          <w:sz w:val="19"/>
          <w:szCs w:val="19"/>
        </w:rPr>
        <w:t>后的</w:t>
      </w:r>
      <w:r>
        <w:rPr>
          <w:rFonts w:ascii="宋体" w:hAnsi="宋体" w:eastAsia="宋体" w:cs="宋体"/>
          <w:spacing w:val="1"/>
          <w:sz w:val="19"/>
          <w:szCs w:val="19"/>
        </w:rPr>
        <w:t xml:space="preserve"> </w:t>
      </w:r>
      <w:r>
        <w:rPr>
          <w:rFonts w:ascii="Arial" w:hAnsi="Arial" w:eastAsia="Arial" w:cs="Arial"/>
          <w:spacing w:val="12"/>
          <w:sz w:val="19"/>
          <w:szCs w:val="19"/>
        </w:rPr>
        <w:t>15</w:t>
      </w:r>
      <w:r>
        <w:rPr>
          <w:rFonts w:ascii="宋体" w:hAnsi="宋体" w:eastAsia="宋体" w:cs="宋体"/>
          <w:spacing w:val="12"/>
          <w:sz w:val="19"/>
          <w:szCs w:val="19"/>
        </w:rPr>
        <w:t>年来</w:t>
      </w:r>
      <w:r>
        <w:rPr>
          <w:rFonts w:ascii="微软雅黑" w:hAnsi="微软雅黑" w:eastAsia="微软雅黑" w:cs="微软雅黑"/>
          <w:spacing w:val="12"/>
          <w:position w:val="1"/>
          <w:sz w:val="19"/>
          <w:szCs w:val="19"/>
        </w:rPr>
        <w:t>，</w:t>
      </w:r>
      <w:r>
        <w:rPr>
          <w:rFonts w:ascii="宋体" w:hAnsi="宋体" w:eastAsia="宋体" w:cs="宋体"/>
          <w:spacing w:val="12"/>
          <w:sz w:val="19"/>
          <w:szCs w:val="19"/>
        </w:rPr>
        <w:t>挪威推行了一系列质量改革计划</w:t>
      </w:r>
      <w:r>
        <w:rPr>
          <w:rFonts w:ascii="微软雅黑" w:hAnsi="微软雅黑" w:eastAsia="微软雅黑" w:cs="微软雅黑"/>
          <w:spacing w:val="12"/>
          <w:position w:val="1"/>
          <w:sz w:val="19"/>
          <w:szCs w:val="19"/>
        </w:rPr>
        <w:t>，</w:t>
      </w:r>
      <w:r>
        <w:rPr>
          <w:rFonts w:ascii="宋体" w:hAnsi="宋体" w:eastAsia="宋体" w:cs="宋体"/>
          <w:spacing w:val="12"/>
          <w:sz w:val="19"/>
          <w:szCs w:val="19"/>
        </w:rPr>
        <w:t xml:space="preserve">包 </w:t>
      </w:r>
      <w:r>
        <w:rPr>
          <w:rFonts w:ascii="宋体" w:hAnsi="宋体" w:eastAsia="宋体" w:cs="宋体"/>
          <w:spacing w:val="9"/>
          <w:sz w:val="19"/>
          <w:szCs w:val="19"/>
        </w:rPr>
        <w:t>括建立专门的质量机构</w:t>
      </w:r>
      <w:r>
        <w:rPr>
          <w:rFonts w:ascii="微软雅黑" w:hAnsi="微软雅黑" w:eastAsia="微软雅黑" w:cs="微软雅黑"/>
          <w:spacing w:val="9"/>
          <w:sz w:val="19"/>
          <w:szCs w:val="19"/>
        </w:rPr>
        <w:t>，</w:t>
      </w:r>
      <w:r>
        <w:rPr>
          <w:rFonts w:ascii="宋体" w:hAnsi="宋体" w:eastAsia="宋体" w:cs="宋体"/>
          <w:spacing w:val="9"/>
          <w:sz w:val="19"/>
          <w:szCs w:val="19"/>
        </w:rPr>
        <w:t>改革学位制度</w:t>
      </w:r>
      <w:r>
        <w:rPr>
          <w:rFonts w:ascii="微软雅黑" w:hAnsi="微软雅黑" w:eastAsia="微软雅黑" w:cs="微软雅黑"/>
          <w:spacing w:val="9"/>
          <w:sz w:val="19"/>
          <w:szCs w:val="19"/>
        </w:rPr>
        <w:t>，</w:t>
      </w:r>
      <w:r>
        <w:rPr>
          <w:rFonts w:ascii="宋体" w:hAnsi="宋体" w:eastAsia="宋体" w:cs="宋体"/>
          <w:spacing w:val="9"/>
          <w:sz w:val="19"/>
          <w:szCs w:val="19"/>
        </w:rPr>
        <w:t>变革教学方 式</w:t>
      </w:r>
      <w:r>
        <w:rPr>
          <w:rFonts w:ascii="微软雅黑" w:hAnsi="微软雅黑" w:eastAsia="微软雅黑" w:cs="微软雅黑"/>
          <w:spacing w:val="9"/>
          <w:sz w:val="19"/>
          <w:szCs w:val="19"/>
        </w:rPr>
        <w:t>，</w:t>
      </w:r>
      <w:r>
        <w:rPr>
          <w:rFonts w:ascii="宋体" w:hAnsi="宋体" w:eastAsia="宋体" w:cs="宋体"/>
          <w:spacing w:val="9"/>
          <w:sz w:val="19"/>
          <w:szCs w:val="19"/>
        </w:rPr>
        <w:t>促进高等教育的国际化</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推进全民学习及终身学 </w:t>
      </w:r>
      <w:r>
        <w:rPr>
          <w:rFonts w:ascii="宋体" w:hAnsi="宋体" w:eastAsia="宋体" w:cs="宋体"/>
          <w:spacing w:val="12"/>
          <w:sz w:val="19"/>
          <w:szCs w:val="19"/>
        </w:rPr>
        <w:t>习的教育观念等</w:t>
      </w:r>
      <w:r>
        <w:rPr>
          <w:rFonts w:ascii="微软雅黑" w:hAnsi="微软雅黑" w:eastAsia="微软雅黑" w:cs="微软雅黑"/>
          <w:spacing w:val="12"/>
          <w:sz w:val="19"/>
          <w:szCs w:val="19"/>
        </w:rPr>
        <w:t>。</w:t>
      </w:r>
      <w:r>
        <w:rPr>
          <w:rFonts w:ascii="微软雅黑" w:hAnsi="微软雅黑" w:eastAsia="微软雅黑" w:cs="微软雅黑"/>
          <w:spacing w:val="12"/>
          <w:position w:val="7"/>
          <w:sz w:val="10"/>
          <w:szCs w:val="10"/>
        </w:rPr>
        <w:t>[</w:t>
      </w:r>
      <w:r>
        <w:rPr>
          <w:rFonts w:ascii="Arial" w:hAnsi="Arial" w:eastAsia="Arial" w:cs="Arial"/>
          <w:spacing w:val="12"/>
          <w:position w:val="7"/>
          <w:sz w:val="10"/>
          <w:szCs w:val="10"/>
        </w:rPr>
        <w:t>12</w:t>
      </w:r>
      <w:r>
        <w:rPr>
          <w:rFonts w:ascii="微软雅黑" w:hAnsi="微软雅黑" w:eastAsia="微软雅黑" w:cs="微软雅黑"/>
          <w:spacing w:val="12"/>
          <w:position w:val="7"/>
          <w:sz w:val="10"/>
          <w:szCs w:val="10"/>
        </w:rPr>
        <w:t>]</w:t>
      </w:r>
      <w:r>
        <w:rPr>
          <w:rFonts w:ascii="微软雅黑" w:hAnsi="微软雅黑" w:eastAsia="微软雅黑" w:cs="微软雅黑"/>
          <w:spacing w:val="25"/>
          <w:position w:val="7"/>
          <w:sz w:val="10"/>
          <w:szCs w:val="10"/>
        </w:rPr>
        <w:t xml:space="preserve"> </w:t>
      </w:r>
      <w:r>
        <w:rPr>
          <w:rFonts w:ascii="宋体" w:hAnsi="宋体" w:eastAsia="宋体" w:cs="宋体"/>
          <w:spacing w:val="12"/>
          <w:sz w:val="19"/>
          <w:szCs w:val="19"/>
        </w:rPr>
        <w:t>这一系列</w:t>
      </w:r>
      <w:r>
        <w:rPr>
          <w:rFonts w:ascii="宋体" w:hAnsi="宋体" w:eastAsia="宋体" w:cs="宋体"/>
          <w:spacing w:val="-42"/>
          <w:sz w:val="19"/>
          <w:szCs w:val="19"/>
        </w:rPr>
        <w:t xml:space="preserve"> </w:t>
      </w:r>
      <w:r>
        <w:rPr>
          <w:rFonts w:ascii="宋体" w:hAnsi="宋体" w:eastAsia="宋体" w:cs="宋体"/>
          <w:spacing w:val="12"/>
          <w:sz w:val="19"/>
          <w:szCs w:val="19"/>
        </w:rPr>
        <w:t>旨在促进高等教育</w:t>
      </w:r>
      <w:r>
        <w:rPr>
          <w:rFonts w:ascii="宋体" w:hAnsi="宋体" w:eastAsia="宋体" w:cs="宋体"/>
          <w:spacing w:val="11"/>
          <w:sz w:val="19"/>
          <w:szCs w:val="19"/>
        </w:rPr>
        <w:t xml:space="preserve">质 </w:t>
      </w:r>
      <w:r>
        <w:rPr>
          <w:rFonts w:ascii="宋体" w:hAnsi="宋体" w:eastAsia="宋体" w:cs="宋体"/>
          <w:spacing w:val="17"/>
          <w:sz w:val="19"/>
          <w:szCs w:val="19"/>
        </w:rPr>
        <w:t xml:space="preserve">量提升的改革为当今挪威高教系统质量文化的建设 </w:t>
      </w:r>
      <w:r>
        <w:rPr>
          <w:rFonts w:ascii="宋体" w:hAnsi="宋体" w:eastAsia="宋体" w:cs="宋体"/>
          <w:spacing w:val="18"/>
          <w:sz w:val="19"/>
          <w:szCs w:val="19"/>
        </w:rPr>
        <w:t>奠定了基础和条件</w:t>
      </w:r>
      <w:r>
        <w:rPr>
          <w:rFonts w:ascii="微软雅黑" w:hAnsi="微软雅黑" w:eastAsia="微软雅黑" w:cs="微软雅黑"/>
          <w:spacing w:val="18"/>
          <w:sz w:val="19"/>
          <w:szCs w:val="19"/>
        </w:rPr>
        <w:t>，</w:t>
      </w:r>
      <w:r>
        <w:rPr>
          <w:rFonts w:ascii="宋体" w:hAnsi="宋体" w:eastAsia="宋体" w:cs="宋体"/>
          <w:spacing w:val="18"/>
          <w:sz w:val="19"/>
          <w:szCs w:val="19"/>
        </w:rPr>
        <w:t>但</w:t>
      </w:r>
      <w:r>
        <w:rPr>
          <w:rFonts w:ascii="宋体" w:hAnsi="宋体" w:eastAsia="宋体" w:cs="宋体"/>
          <w:spacing w:val="-56"/>
          <w:sz w:val="19"/>
          <w:szCs w:val="19"/>
        </w:rPr>
        <w:t xml:space="preserve"> </w:t>
      </w:r>
      <w:r>
        <w:rPr>
          <w:rFonts w:ascii="宋体" w:hAnsi="宋体" w:eastAsia="宋体" w:cs="宋体"/>
          <w:spacing w:val="18"/>
          <w:sz w:val="19"/>
          <w:szCs w:val="19"/>
        </w:rPr>
        <w:t>仍然面</w:t>
      </w:r>
      <w:r>
        <w:rPr>
          <w:rFonts w:ascii="宋体" w:hAnsi="宋体" w:eastAsia="宋体" w:cs="宋体"/>
          <w:spacing w:val="-47"/>
          <w:sz w:val="19"/>
          <w:szCs w:val="19"/>
        </w:rPr>
        <w:t xml:space="preserve"> </w:t>
      </w:r>
      <w:r>
        <w:rPr>
          <w:rFonts w:ascii="宋体" w:hAnsi="宋体" w:eastAsia="宋体" w:cs="宋体"/>
          <w:spacing w:val="18"/>
          <w:sz w:val="19"/>
          <w:szCs w:val="19"/>
        </w:rPr>
        <w:t>临方方面面的挑</w:t>
      </w:r>
      <w:r>
        <w:rPr>
          <w:rFonts w:ascii="宋体" w:hAnsi="宋体" w:eastAsia="宋体" w:cs="宋体"/>
          <w:spacing w:val="17"/>
          <w:sz w:val="19"/>
          <w:szCs w:val="19"/>
        </w:rPr>
        <w:t>战</w:t>
      </w:r>
      <w:r>
        <w:rPr>
          <w:rFonts w:ascii="微软雅黑" w:hAnsi="微软雅黑" w:eastAsia="微软雅黑" w:cs="微软雅黑"/>
          <w:spacing w:val="17"/>
          <w:sz w:val="19"/>
          <w:szCs w:val="19"/>
        </w:rPr>
        <w:t>。</w:t>
      </w:r>
      <w:r>
        <w:rPr>
          <w:rFonts w:ascii="微软雅黑" w:hAnsi="微软雅黑" w:eastAsia="微软雅黑" w:cs="微软雅黑"/>
          <w:sz w:val="19"/>
          <w:szCs w:val="19"/>
        </w:rPr>
        <w:t xml:space="preserve"> </w:t>
      </w:r>
      <w:r>
        <w:rPr>
          <w:rFonts w:ascii="宋体" w:hAnsi="宋体" w:eastAsia="宋体" w:cs="宋体"/>
          <w:spacing w:val="6"/>
          <w:sz w:val="19"/>
          <w:szCs w:val="19"/>
        </w:rPr>
        <w:t>具体来看</w:t>
      </w:r>
      <w:r>
        <w:rPr>
          <w:rFonts w:ascii="微软雅黑" w:hAnsi="微软雅黑" w:eastAsia="微软雅黑" w:cs="微软雅黑"/>
          <w:spacing w:val="6"/>
          <w:sz w:val="19"/>
          <w:szCs w:val="19"/>
        </w:rPr>
        <w:t>，</w:t>
      </w:r>
      <w:r>
        <w:rPr>
          <w:rFonts w:ascii="宋体" w:hAnsi="宋体" w:eastAsia="宋体" w:cs="宋体"/>
          <w:spacing w:val="6"/>
          <w:sz w:val="19"/>
          <w:szCs w:val="19"/>
        </w:rPr>
        <w:t>表现在以下几个方面</w:t>
      </w:r>
      <w:r>
        <w:rPr>
          <w:rFonts w:ascii="微软雅黑" w:hAnsi="微软雅黑" w:eastAsia="微软雅黑" w:cs="微软雅黑"/>
          <w:spacing w:val="6"/>
          <w:sz w:val="19"/>
          <w:szCs w:val="19"/>
        </w:rPr>
        <w:t>。</w:t>
      </w:r>
      <w:r>
        <w:rPr>
          <w:rFonts w:ascii="微软雅黑" w:hAnsi="微软雅黑" w:eastAsia="微软雅黑" w:cs="微软雅黑"/>
          <w:spacing w:val="6"/>
          <w:position w:val="7"/>
          <w:sz w:val="10"/>
          <w:szCs w:val="10"/>
        </w:rPr>
        <w:t>[</w:t>
      </w:r>
      <w:r>
        <w:rPr>
          <w:rFonts w:ascii="Arial" w:hAnsi="Arial" w:eastAsia="Arial" w:cs="Arial"/>
          <w:spacing w:val="6"/>
          <w:position w:val="7"/>
          <w:sz w:val="10"/>
          <w:szCs w:val="10"/>
        </w:rPr>
        <w:t>13</w:t>
      </w:r>
      <w:r>
        <w:rPr>
          <w:rFonts w:ascii="微软雅黑" w:hAnsi="微软雅黑" w:eastAsia="微软雅黑" w:cs="微软雅黑"/>
          <w:spacing w:val="6"/>
          <w:position w:val="7"/>
          <w:sz w:val="10"/>
          <w:szCs w:val="10"/>
        </w:rPr>
        <w:t>]</w:t>
      </w:r>
    </w:p>
    <w:p>
      <w:pPr>
        <w:spacing w:before="71" w:line="177" w:lineRule="auto"/>
        <w:ind w:left="1033"/>
        <w:rPr>
          <w:rFonts w:ascii="微软雅黑" w:hAnsi="微软雅黑" w:eastAsia="微软雅黑" w:cs="微软雅黑"/>
          <w:sz w:val="19"/>
          <w:szCs w:val="19"/>
        </w:rPr>
      </w:pPr>
      <w:r>
        <w:rPr>
          <w:rFonts w:ascii="微软雅黑" w:hAnsi="微软雅黑" w:eastAsia="微软雅黑" w:cs="微软雅黑"/>
          <w:spacing w:val="1"/>
          <w:sz w:val="19"/>
          <w:szCs w:val="19"/>
        </w:rPr>
        <w:t>(</w:t>
      </w:r>
      <w:r>
        <w:rPr>
          <w:rFonts w:ascii="Arial" w:hAnsi="Arial" w:eastAsia="Arial" w:cs="Arial"/>
          <w:spacing w:val="1"/>
          <w:sz w:val="19"/>
          <w:szCs w:val="19"/>
        </w:rPr>
        <w:t>1</w:t>
      </w:r>
      <w:r>
        <w:rPr>
          <w:rFonts w:ascii="微软雅黑" w:hAnsi="微软雅黑" w:eastAsia="微软雅黑" w:cs="微软雅黑"/>
          <w:spacing w:val="1"/>
          <w:sz w:val="19"/>
          <w:szCs w:val="19"/>
        </w:rPr>
        <w:t xml:space="preserve">) </w:t>
      </w:r>
      <w:r>
        <w:rPr>
          <w:rFonts w:ascii="宋体" w:hAnsi="宋体" w:eastAsia="宋体" w:cs="宋体"/>
          <w:spacing w:val="1"/>
          <w:sz w:val="19"/>
          <w:szCs w:val="19"/>
        </w:rPr>
        <w:t>高校学业完成度的</w:t>
      </w:r>
      <w:r>
        <w:rPr>
          <w:rFonts w:ascii="微软雅黑" w:hAnsi="微软雅黑" w:eastAsia="微软雅黑" w:cs="微软雅黑"/>
          <w:spacing w:val="1"/>
          <w:sz w:val="19"/>
          <w:szCs w:val="19"/>
        </w:rPr>
        <w:t>“</w:t>
      </w:r>
      <w:r>
        <w:rPr>
          <w:rFonts w:ascii="微软雅黑" w:hAnsi="微软雅黑" w:eastAsia="微软雅黑" w:cs="微软雅黑"/>
          <w:spacing w:val="-17"/>
          <w:sz w:val="19"/>
          <w:szCs w:val="19"/>
        </w:rPr>
        <w:t xml:space="preserve"> </w:t>
      </w:r>
      <w:r>
        <w:rPr>
          <w:rFonts w:ascii="宋体" w:hAnsi="宋体" w:eastAsia="宋体" w:cs="宋体"/>
          <w:spacing w:val="1"/>
          <w:sz w:val="19"/>
          <w:szCs w:val="19"/>
        </w:rPr>
        <w:t>失位</w:t>
      </w:r>
      <w:r>
        <w:rPr>
          <w:rFonts w:ascii="微软雅黑" w:hAnsi="微软雅黑" w:eastAsia="微软雅黑" w:cs="微软雅黑"/>
          <w:spacing w:val="1"/>
          <w:sz w:val="19"/>
          <w:szCs w:val="19"/>
        </w:rPr>
        <w:t>”。</w:t>
      </w:r>
    </w:p>
    <w:p>
      <w:pPr>
        <w:spacing w:before="60" w:line="217" w:lineRule="auto"/>
        <w:ind w:left="600" w:right="341" w:firstLine="423"/>
        <w:rPr>
          <w:rFonts w:ascii="宋体" w:hAnsi="宋体" w:eastAsia="宋体" w:cs="宋体"/>
          <w:sz w:val="19"/>
          <w:szCs w:val="19"/>
        </w:rPr>
      </w:pPr>
      <w:r>
        <w:rPr>
          <w:rFonts w:ascii="宋体" w:hAnsi="宋体" w:eastAsia="宋体" w:cs="宋体"/>
          <w:spacing w:val="23"/>
          <w:sz w:val="19"/>
          <w:szCs w:val="19"/>
        </w:rPr>
        <w:t>学业完成度</w:t>
      </w:r>
      <w:r>
        <w:rPr>
          <w:rFonts w:ascii="微软雅黑" w:hAnsi="微软雅黑" w:eastAsia="微软雅黑" w:cs="微软雅黑"/>
          <w:spacing w:val="23"/>
          <w:sz w:val="19"/>
          <w:szCs w:val="19"/>
        </w:rPr>
        <w:t>(</w:t>
      </w:r>
      <w:r>
        <w:rPr>
          <w:rFonts w:ascii="Arial" w:hAnsi="Arial" w:eastAsia="Arial" w:cs="Arial"/>
          <w:sz w:val="19"/>
          <w:szCs w:val="19"/>
        </w:rPr>
        <w:t>completion</w:t>
      </w:r>
      <w:r>
        <w:rPr>
          <w:rFonts w:ascii="微软雅黑" w:hAnsi="微软雅黑" w:eastAsia="微软雅黑" w:cs="微软雅黑"/>
          <w:spacing w:val="23"/>
          <w:sz w:val="19"/>
          <w:szCs w:val="19"/>
        </w:rPr>
        <w:t xml:space="preserve">) </w:t>
      </w:r>
      <w:r>
        <w:rPr>
          <w:rFonts w:ascii="宋体" w:hAnsi="宋体" w:eastAsia="宋体" w:cs="宋体"/>
          <w:spacing w:val="23"/>
          <w:sz w:val="19"/>
          <w:szCs w:val="19"/>
        </w:rPr>
        <w:t>是挪威高等教育质量</w:t>
      </w:r>
      <w:r>
        <w:rPr>
          <w:rFonts w:ascii="宋体" w:hAnsi="宋体" w:eastAsia="宋体" w:cs="宋体"/>
          <w:spacing w:val="10"/>
          <w:sz w:val="19"/>
          <w:szCs w:val="19"/>
        </w:rPr>
        <w:t xml:space="preserve"> </w:t>
      </w:r>
      <w:r>
        <w:rPr>
          <w:rFonts w:ascii="宋体" w:hAnsi="宋体" w:eastAsia="宋体" w:cs="宋体"/>
          <w:spacing w:val="18"/>
          <w:sz w:val="19"/>
          <w:szCs w:val="19"/>
        </w:rPr>
        <w:t>文化建设的要素之一</w:t>
      </w:r>
      <w:r>
        <w:rPr>
          <w:rFonts w:ascii="微软雅黑" w:hAnsi="微软雅黑" w:eastAsia="微软雅黑" w:cs="微软雅黑"/>
          <w:spacing w:val="18"/>
          <w:sz w:val="19"/>
          <w:szCs w:val="19"/>
        </w:rPr>
        <w:t>，</w:t>
      </w:r>
      <w:r>
        <w:rPr>
          <w:rFonts w:ascii="宋体" w:hAnsi="宋体" w:eastAsia="宋体" w:cs="宋体"/>
          <w:spacing w:val="18"/>
          <w:sz w:val="19"/>
          <w:szCs w:val="19"/>
        </w:rPr>
        <w:t>提高学业的完成率一直是挪</w:t>
      </w:r>
      <w:r>
        <w:rPr>
          <w:rFonts w:ascii="宋体" w:hAnsi="宋体" w:eastAsia="宋体" w:cs="宋体"/>
          <w:spacing w:val="9"/>
          <w:sz w:val="19"/>
          <w:szCs w:val="19"/>
        </w:rPr>
        <w:t xml:space="preserve"> 威教育政策的重要</w:t>
      </w:r>
      <w:r>
        <w:rPr>
          <w:rFonts w:ascii="宋体" w:hAnsi="宋体" w:eastAsia="宋体" w:cs="宋体"/>
          <w:spacing w:val="-23"/>
          <w:sz w:val="19"/>
          <w:szCs w:val="19"/>
        </w:rPr>
        <w:t xml:space="preserve"> </w:t>
      </w:r>
      <w:r>
        <w:rPr>
          <w:rFonts w:ascii="宋体" w:hAnsi="宋体" w:eastAsia="宋体" w:cs="宋体"/>
          <w:spacing w:val="9"/>
          <w:sz w:val="19"/>
          <w:szCs w:val="19"/>
        </w:rPr>
        <w:t>目标之一</w:t>
      </w:r>
      <w:r>
        <w:rPr>
          <w:rFonts w:ascii="宋体" w:hAnsi="宋体" w:eastAsia="宋体" w:cs="宋体"/>
          <w:spacing w:val="-51"/>
          <w:sz w:val="19"/>
          <w:szCs w:val="19"/>
        </w:rPr>
        <w:t xml:space="preserve"> </w:t>
      </w:r>
      <w:r>
        <w:rPr>
          <w:rFonts w:ascii="微软雅黑" w:hAnsi="微软雅黑" w:eastAsia="微软雅黑" w:cs="微软雅黑"/>
          <w:spacing w:val="9"/>
          <w:sz w:val="19"/>
          <w:szCs w:val="19"/>
        </w:rPr>
        <w:t>。</w:t>
      </w:r>
      <w:r>
        <w:rPr>
          <w:rFonts w:ascii="微软雅黑" w:hAnsi="微软雅黑" w:eastAsia="微软雅黑" w:cs="微软雅黑"/>
          <w:spacing w:val="-31"/>
          <w:sz w:val="19"/>
          <w:szCs w:val="19"/>
        </w:rPr>
        <w:t xml:space="preserve"> </w:t>
      </w:r>
      <w:r>
        <w:rPr>
          <w:rFonts w:ascii="宋体" w:hAnsi="宋体" w:eastAsia="宋体" w:cs="宋体"/>
          <w:spacing w:val="9"/>
          <w:sz w:val="19"/>
          <w:szCs w:val="19"/>
        </w:rPr>
        <w:t>就</w:t>
      </w:r>
      <w:r>
        <w:rPr>
          <w:rFonts w:ascii="宋体" w:hAnsi="宋体" w:eastAsia="宋体" w:cs="宋体"/>
          <w:spacing w:val="-27"/>
          <w:sz w:val="19"/>
          <w:szCs w:val="19"/>
        </w:rPr>
        <w:t xml:space="preserve"> </w:t>
      </w:r>
      <w:r>
        <w:rPr>
          <w:rFonts w:ascii="宋体" w:hAnsi="宋体" w:eastAsia="宋体" w:cs="宋体"/>
          <w:spacing w:val="9"/>
          <w:sz w:val="19"/>
          <w:szCs w:val="19"/>
        </w:rPr>
        <w:t>目前来看</w:t>
      </w:r>
      <w:r>
        <w:rPr>
          <w:rFonts w:ascii="微软雅黑" w:hAnsi="微软雅黑" w:eastAsia="微软雅黑" w:cs="微软雅黑"/>
          <w:spacing w:val="9"/>
          <w:sz w:val="19"/>
          <w:szCs w:val="19"/>
        </w:rPr>
        <w:t>，</w:t>
      </w:r>
      <w:r>
        <w:rPr>
          <w:rFonts w:ascii="宋体" w:hAnsi="宋体" w:eastAsia="宋体" w:cs="宋体"/>
          <w:spacing w:val="9"/>
          <w:sz w:val="19"/>
          <w:szCs w:val="19"/>
        </w:rPr>
        <w:t>尽管挪</w:t>
      </w:r>
      <w:r>
        <w:rPr>
          <w:rFonts w:ascii="宋体" w:hAnsi="宋体" w:eastAsia="宋体" w:cs="宋体"/>
          <w:sz w:val="19"/>
          <w:szCs w:val="19"/>
        </w:rPr>
        <w:t xml:space="preserve"> </w:t>
      </w:r>
      <w:r>
        <w:rPr>
          <w:rFonts w:ascii="宋体" w:hAnsi="宋体" w:eastAsia="宋体" w:cs="宋体"/>
          <w:spacing w:val="16"/>
          <w:sz w:val="19"/>
          <w:szCs w:val="19"/>
        </w:rPr>
        <w:t>威高等教育中学生学业完成率逐年提高</w:t>
      </w:r>
      <w:r>
        <w:rPr>
          <w:rFonts w:ascii="微软雅黑" w:hAnsi="微软雅黑" w:eastAsia="微软雅黑" w:cs="微软雅黑"/>
          <w:spacing w:val="16"/>
          <w:sz w:val="19"/>
          <w:szCs w:val="19"/>
        </w:rPr>
        <w:t>，</w:t>
      </w:r>
      <w:r>
        <w:rPr>
          <w:rFonts w:ascii="宋体" w:hAnsi="宋体" w:eastAsia="宋体" w:cs="宋体"/>
          <w:spacing w:val="16"/>
          <w:sz w:val="19"/>
          <w:szCs w:val="19"/>
        </w:rPr>
        <w:t>但与该</w:t>
      </w:r>
      <w:r>
        <w:rPr>
          <w:rFonts w:ascii="宋体" w:hAnsi="宋体" w:eastAsia="宋体" w:cs="宋体"/>
          <w:spacing w:val="-40"/>
          <w:sz w:val="19"/>
          <w:szCs w:val="19"/>
        </w:rPr>
        <w:t xml:space="preserve"> </w:t>
      </w:r>
      <w:r>
        <w:rPr>
          <w:rFonts w:ascii="宋体" w:hAnsi="宋体" w:eastAsia="宋体" w:cs="宋体"/>
          <w:spacing w:val="16"/>
          <w:sz w:val="19"/>
          <w:szCs w:val="19"/>
        </w:rPr>
        <w:t>国</w:t>
      </w:r>
      <w:r>
        <w:rPr>
          <w:rFonts w:ascii="宋体" w:hAnsi="宋体" w:eastAsia="宋体" w:cs="宋体"/>
          <w:sz w:val="19"/>
          <w:szCs w:val="19"/>
        </w:rPr>
        <w:t xml:space="preserve"> </w:t>
      </w:r>
      <w:r>
        <w:rPr>
          <w:rFonts w:ascii="宋体" w:hAnsi="宋体" w:eastAsia="宋体" w:cs="宋体"/>
          <w:spacing w:val="18"/>
          <w:sz w:val="19"/>
          <w:szCs w:val="19"/>
        </w:rPr>
        <w:t>教育政策规定的具体指标存在差距</w:t>
      </w:r>
      <w:r>
        <w:rPr>
          <w:rFonts w:ascii="微软雅黑" w:hAnsi="微软雅黑" w:eastAsia="微软雅黑" w:cs="微软雅黑"/>
          <w:spacing w:val="18"/>
          <w:sz w:val="19"/>
          <w:szCs w:val="19"/>
        </w:rPr>
        <w:t>，</w:t>
      </w:r>
      <w:r>
        <w:rPr>
          <w:rFonts w:ascii="宋体" w:hAnsi="宋体" w:eastAsia="宋体" w:cs="宋体"/>
          <w:spacing w:val="18"/>
          <w:sz w:val="19"/>
          <w:szCs w:val="19"/>
        </w:rPr>
        <w:t>亦未达到挪威</w:t>
      </w:r>
      <w:r>
        <w:rPr>
          <w:rFonts w:ascii="宋体" w:hAnsi="宋体" w:eastAsia="宋体" w:cs="宋体"/>
          <w:spacing w:val="10"/>
          <w:sz w:val="19"/>
          <w:szCs w:val="19"/>
        </w:rPr>
        <w:t xml:space="preserve"> </w:t>
      </w:r>
      <w:r>
        <w:rPr>
          <w:rFonts w:ascii="宋体" w:hAnsi="宋体" w:eastAsia="宋体" w:cs="宋体"/>
          <w:spacing w:val="11"/>
          <w:sz w:val="19"/>
          <w:szCs w:val="19"/>
        </w:rPr>
        <w:t>教育与研究部预设目标</w:t>
      </w:r>
      <w:r>
        <w:rPr>
          <w:rFonts w:ascii="微软雅黑" w:hAnsi="微软雅黑" w:eastAsia="微软雅黑" w:cs="微软雅黑"/>
          <w:spacing w:val="11"/>
          <w:sz w:val="19"/>
          <w:szCs w:val="19"/>
        </w:rPr>
        <w:t>，</w:t>
      </w:r>
      <w:r>
        <w:rPr>
          <w:rFonts w:ascii="宋体" w:hAnsi="宋体" w:eastAsia="宋体" w:cs="宋体"/>
          <w:spacing w:val="11"/>
          <w:sz w:val="19"/>
          <w:szCs w:val="19"/>
        </w:rPr>
        <w:t>有待进一步改善</w:t>
      </w:r>
      <w:r>
        <w:rPr>
          <w:rFonts w:ascii="宋体" w:hAnsi="宋体" w:eastAsia="宋体" w:cs="宋体"/>
          <w:spacing w:val="-35"/>
          <w:sz w:val="19"/>
          <w:szCs w:val="19"/>
        </w:rPr>
        <w:t xml:space="preserve"> </w:t>
      </w:r>
      <w:r>
        <w:rPr>
          <w:rFonts w:ascii="微软雅黑" w:hAnsi="微软雅黑" w:eastAsia="微软雅黑" w:cs="微软雅黑"/>
          <w:spacing w:val="11"/>
          <w:sz w:val="19"/>
          <w:szCs w:val="19"/>
        </w:rPr>
        <w:t>。</w:t>
      </w:r>
      <w:r>
        <w:rPr>
          <w:rFonts w:ascii="宋体" w:hAnsi="宋体" w:eastAsia="宋体" w:cs="宋体"/>
          <w:spacing w:val="11"/>
          <w:sz w:val="19"/>
          <w:szCs w:val="19"/>
        </w:rPr>
        <w:t>据挪威</w:t>
      </w:r>
    </w:p>
    <w:p>
      <w:pPr>
        <w:spacing w:line="14" w:lineRule="auto"/>
        <w:rPr>
          <w:rFonts w:ascii="Arial"/>
          <w:sz w:val="2"/>
        </w:rPr>
      </w:pPr>
      <w:r>
        <w:rPr>
          <w:rFonts w:ascii="Arial" w:hAnsi="Arial" w:eastAsia="Arial" w:cs="Arial"/>
          <w:sz w:val="2"/>
          <w:szCs w:val="2"/>
        </w:rPr>
        <w:br w:type="column"/>
      </w:r>
    </w:p>
    <w:p>
      <w:pPr>
        <w:spacing w:before="33" w:line="222" w:lineRule="auto"/>
        <w:ind w:right="74" w:firstLine="5"/>
        <w:jc w:val="both"/>
        <w:rPr>
          <w:rFonts w:ascii="微软雅黑" w:hAnsi="微软雅黑" w:eastAsia="微软雅黑" w:cs="微软雅黑"/>
          <w:sz w:val="19"/>
          <w:szCs w:val="19"/>
        </w:rPr>
      </w:pPr>
      <w:r>
        <w:rPr>
          <w:rFonts w:ascii="宋体" w:hAnsi="宋体" w:eastAsia="宋体" w:cs="宋体"/>
          <w:spacing w:val="18"/>
          <w:sz w:val="19"/>
          <w:szCs w:val="19"/>
        </w:rPr>
        <w:t>统计局的调查显示</w:t>
      </w:r>
      <w:r>
        <w:rPr>
          <w:rFonts w:ascii="微软雅黑" w:hAnsi="微软雅黑" w:eastAsia="微软雅黑" w:cs="微软雅黑"/>
          <w:spacing w:val="18"/>
          <w:sz w:val="19"/>
          <w:szCs w:val="19"/>
        </w:rPr>
        <w:t>，</w:t>
      </w:r>
      <w:r>
        <w:rPr>
          <w:rFonts w:ascii="宋体" w:hAnsi="宋体" w:eastAsia="宋体" w:cs="宋体"/>
          <w:spacing w:val="18"/>
          <w:sz w:val="19"/>
          <w:szCs w:val="19"/>
        </w:rPr>
        <w:t>挪威现阶段高等教育中学生学</w:t>
      </w:r>
      <w:r>
        <w:rPr>
          <w:rFonts w:ascii="宋体" w:hAnsi="宋体" w:eastAsia="宋体" w:cs="宋体"/>
          <w:spacing w:val="4"/>
          <w:sz w:val="19"/>
          <w:szCs w:val="19"/>
        </w:rPr>
        <w:t xml:space="preserve"> </w:t>
      </w:r>
      <w:r>
        <w:rPr>
          <w:rFonts w:ascii="宋体" w:hAnsi="宋体" w:eastAsia="宋体" w:cs="宋体"/>
          <w:spacing w:val="14"/>
          <w:sz w:val="19"/>
          <w:szCs w:val="19"/>
        </w:rPr>
        <w:t>业完成率为</w:t>
      </w:r>
      <w:r>
        <w:rPr>
          <w:rFonts w:ascii="宋体" w:hAnsi="宋体" w:eastAsia="宋体" w:cs="宋体"/>
          <w:spacing w:val="-11"/>
          <w:sz w:val="19"/>
          <w:szCs w:val="19"/>
        </w:rPr>
        <w:t xml:space="preserve"> </w:t>
      </w:r>
      <w:r>
        <w:rPr>
          <w:rFonts w:ascii="Arial" w:hAnsi="Arial" w:eastAsia="Arial" w:cs="Arial"/>
          <w:spacing w:val="14"/>
          <w:sz w:val="19"/>
          <w:szCs w:val="19"/>
        </w:rPr>
        <w:t>66%</w:t>
      </w:r>
      <w:r>
        <w:rPr>
          <w:rFonts w:ascii="微软雅黑" w:hAnsi="微软雅黑" w:eastAsia="微软雅黑" w:cs="微软雅黑"/>
          <w:spacing w:val="14"/>
          <w:sz w:val="19"/>
          <w:szCs w:val="19"/>
        </w:rPr>
        <w:t>（</w:t>
      </w:r>
      <w:r>
        <w:rPr>
          <w:rFonts w:ascii="宋体" w:hAnsi="宋体" w:eastAsia="宋体" w:cs="宋体"/>
          <w:spacing w:val="14"/>
          <w:sz w:val="19"/>
          <w:szCs w:val="19"/>
        </w:rPr>
        <w:t>该统计数字包括所有在大学注册</w:t>
      </w:r>
      <w:r>
        <w:rPr>
          <w:rFonts w:ascii="宋体" w:hAnsi="宋体" w:eastAsia="宋体" w:cs="宋体"/>
          <w:sz w:val="19"/>
          <w:szCs w:val="19"/>
        </w:rPr>
        <w:t xml:space="preserve"> </w:t>
      </w:r>
      <w:r>
        <w:rPr>
          <w:rFonts w:ascii="宋体" w:hAnsi="宋体" w:eastAsia="宋体" w:cs="宋体"/>
          <w:spacing w:val="-23"/>
          <w:sz w:val="19"/>
          <w:szCs w:val="19"/>
        </w:rPr>
        <w:t>的学生</w:t>
      </w:r>
      <w:r>
        <w:rPr>
          <w:rFonts w:ascii="微软雅黑" w:hAnsi="微软雅黑" w:eastAsia="微软雅黑" w:cs="微软雅黑"/>
          <w:spacing w:val="-23"/>
          <w:sz w:val="19"/>
          <w:szCs w:val="19"/>
        </w:rPr>
        <w:t>）。</w:t>
      </w:r>
      <w:r>
        <w:rPr>
          <w:rFonts w:ascii="微软雅黑" w:hAnsi="微软雅黑" w:eastAsia="微软雅黑" w:cs="微软雅黑"/>
          <w:spacing w:val="21"/>
          <w:position w:val="7"/>
          <w:sz w:val="10"/>
          <w:szCs w:val="10"/>
        </w:rPr>
        <w:t>[</w:t>
      </w:r>
      <w:r>
        <w:rPr>
          <w:rFonts w:ascii="Arial" w:hAnsi="Arial" w:eastAsia="Arial" w:cs="Arial"/>
          <w:spacing w:val="21"/>
          <w:position w:val="7"/>
          <w:sz w:val="10"/>
          <w:szCs w:val="10"/>
        </w:rPr>
        <w:t>14</w:t>
      </w:r>
      <w:r>
        <w:rPr>
          <w:rFonts w:ascii="微软雅黑" w:hAnsi="微软雅黑" w:eastAsia="微软雅黑" w:cs="微软雅黑"/>
          <w:spacing w:val="21"/>
          <w:position w:val="7"/>
          <w:sz w:val="10"/>
          <w:szCs w:val="10"/>
        </w:rPr>
        <w:t>]</w:t>
      </w:r>
      <w:r>
        <w:rPr>
          <w:rFonts w:ascii="微软雅黑" w:hAnsi="微软雅黑" w:eastAsia="微软雅黑" w:cs="微软雅黑"/>
          <w:spacing w:val="7"/>
          <w:position w:val="7"/>
          <w:sz w:val="10"/>
          <w:szCs w:val="10"/>
        </w:rPr>
        <w:t xml:space="preserve">  </w:t>
      </w:r>
      <w:r>
        <w:rPr>
          <w:rFonts w:ascii="宋体" w:hAnsi="宋体" w:eastAsia="宋体" w:cs="宋体"/>
          <w:spacing w:val="21"/>
          <w:sz w:val="19"/>
          <w:szCs w:val="19"/>
        </w:rPr>
        <w:t>学业完成度是确保高等教育中</w:t>
      </w:r>
      <w:r>
        <w:rPr>
          <w:rFonts w:ascii="宋体" w:hAnsi="宋体" w:eastAsia="宋体" w:cs="宋体"/>
          <w:spacing w:val="-56"/>
          <w:sz w:val="19"/>
          <w:szCs w:val="19"/>
        </w:rPr>
        <w:t xml:space="preserve"> </w:t>
      </w:r>
      <w:r>
        <w:rPr>
          <w:rFonts w:ascii="宋体" w:hAnsi="宋体" w:eastAsia="宋体" w:cs="宋体"/>
          <w:spacing w:val="21"/>
          <w:sz w:val="19"/>
          <w:szCs w:val="19"/>
        </w:rPr>
        <w:t>学生培</w:t>
      </w:r>
      <w:r>
        <w:rPr>
          <w:rFonts w:ascii="宋体" w:hAnsi="宋体" w:eastAsia="宋体" w:cs="宋体"/>
          <w:sz w:val="19"/>
          <w:szCs w:val="19"/>
        </w:rPr>
        <w:t xml:space="preserve"> </w:t>
      </w:r>
      <w:r>
        <w:rPr>
          <w:rFonts w:ascii="宋体" w:hAnsi="宋体" w:eastAsia="宋体" w:cs="宋体"/>
          <w:spacing w:val="6"/>
          <w:sz w:val="19"/>
          <w:szCs w:val="19"/>
        </w:rPr>
        <w:t>养质量的基本要素</w:t>
      </w:r>
      <w:r>
        <w:rPr>
          <w:rFonts w:ascii="微软雅黑" w:hAnsi="微软雅黑" w:eastAsia="微软雅黑" w:cs="微软雅黑"/>
          <w:spacing w:val="6"/>
          <w:sz w:val="19"/>
          <w:szCs w:val="19"/>
        </w:rPr>
        <w:t>，</w:t>
      </w:r>
      <w:r>
        <w:rPr>
          <w:rFonts w:ascii="宋体" w:hAnsi="宋体" w:eastAsia="宋体" w:cs="宋体"/>
          <w:spacing w:val="6"/>
          <w:sz w:val="19"/>
          <w:szCs w:val="19"/>
        </w:rPr>
        <w:t>学业完成度</w:t>
      </w:r>
      <w:r>
        <w:rPr>
          <w:rFonts w:ascii="宋体" w:hAnsi="宋体" w:eastAsia="宋体" w:cs="宋体"/>
          <w:spacing w:val="-46"/>
          <w:sz w:val="19"/>
          <w:szCs w:val="19"/>
        </w:rPr>
        <w:t xml:space="preserve"> </w:t>
      </w:r>
      <w:r>
        <w:rPr>
          <w:rFonts w:ascii="宋体" w:hAnsi="宋体" w:eastAsia="宋体" w:cs="宋体"/>
          <w:spacing w:val="6"/>
          <w:sz w:val="19"/>
          <w:szCs w:val="19"/>
        </w:rPr>
        <w:t>的</w:t>
      </w:r>
      <w:r>
        <w:rPr>
          <w:rFonts w:ascii="微软雅黑" w:hAnsi="微软雅黑" w:eastAsia="微软雅黑" w:cs="微软雅黑"/>
          <w:spacing w:val="6"/>
          <w:sz w:val="19"/>
          <w:szCs w:val="19"/>
        </w:rPr>
        <w:t>“</w:t>
      </w:r>
      <w:r>
        <w:rPr>
          <w:rFonts w:ascii="微软雅黑" w:hAnsi="微软雅黑" w:eastAsia="微软雅黑" w:cs="微软雅黑"/>
          <w:spacing w:val="-27"/>
          <w:sz w:val="19"/>
          <w:szCs w:val="19"/>
        </w:rPr>
        <w:t xml:space="preserve"> </w:t>
      </w:r>
      <w:r>
        <w:rPr>
          <w:rFonts w:ascii="宋体" w:hAnsi="宋体" w:eastAsia="宋体" w:cs="宋体"/>
          <w:spacing w:val="6"/>
          <w:sz w:val="19"/>
          <w:szCs w:val="19"/>
        </w:rPr>
        <w:t>失位</w:t>
      </w:r>
      <w:r>
        <w:rPr>
          <w:rFonts w:ascii="微软雅黑" w:hAnsi="微软雅黑" w:eastAsia="微软雅黑" w:cs="微软雅黑"/>
          <w:spacing w:val="6"/>
          <w:sz w:val="19"/>
          <w:szCs w:val="19"/>
        </w:rPr>
        <w:t>”</w:t>
      </w:r>
      <w:r>
        <w:rPr>
          <w:rFonts w:ascii="宋体" w:hAnsi="宋体" w:eastAsia="宋体" w:cs="宋体"/>
          <w:spacing w:val="6"/>
          <w:sz w:val="19"/>
          <w:szCs w:val="19"/>
        </w:rPr>
        <w:t>使挪威高</w:t>
      </w:r>
      <w:r>
        <w:rPr>
          <w:rFonts w:ascii="宋体" w:hAnsi="宋体" w:eastAsia="宋体" w:cs="宋体"/>
          <w:sz w:val="19"/>
          <w:szCs w:val="19"/>
        </w:rPr>
        <w:t xml:space="preserve"> </w:t>
      </w:r>
      <w:r>
        <w:rPr>
          <w:rFonts w:ascii="宋体" w:hAnsi="宋体" w:eastAsia="宋体" w:cs="宋体"/>
          <w:spacing w:val="18"/>
          <w:sz w:val="19"/>
          <w:szCs w:val="19"/>
        </w:rPr>
        <w:t>等教育质量文化建设面临严峻挑战</w:t>
      </w:r>
      <w:r>
        <w:rPr>
          <w:rFonts w:ascii="微软雅黑" w:hAnsi="微软雅黑" w:eastAsia="微软雅黑" w:cs="微软雅黑"/>
          <w:spacing w:val="18"/>
          <w:sz w:val="19"/>
          <w:szCs w:val="19"/>
        </w:rPr>
        <w:t>。</w:t>
      </w:r>
    </w:p>
    <w:p>
      <w:pPr>
        <w:spacing w:before="67" w:line="177" w:lineRule="auto"/>
        <w:ind w:left="432"/>
        <w:rPr>
          <w:rFonts w:ascii="微软雅黑" w:hAnsi="微软雅黑" w:eastAsia="微软雅黑" w:cs="微软雅黑"/>
          <w:sz w:val="19"/>
          <w:szCs w:val="19"/>
        </w:rPr>
      </w:pPr>
      <w:r>
        <w:rPr>
          <w:rFonts w:ascii="微软雅黑" w:hAnsi="微软雅黑" w:eastAsia="微软雅黑" w:cs="微软雅黑"/>
          <w:spacing w:val="3"/>
          <w:sz w:val="19"/>
          <w:szCs w:val="19"/>
        </w:rPr>
        <w:t>(</w:t>
      </w:r>
      <w:r>
        <w:rPr>
          <w:rFonts w:ascii="Arial" w:hAnsi="Arial" w:eastAsia="Arial" w:cs="Arial"/>
          <w:spacing w:val="3"/>
          <w:sz w:val="19"/>
          <w:szCs w:val="19"/>
        </w:rPr>
        <w:t>2</w:t>
      </w:r>
      <w:r>
        <w:rPr>
          <w:rFonts w:ascii="微软雅黑" w:hAnsi="微软雅黑" w:eastAsia="微软雅黑" w:cs="微软雅黑"/>
          <w:spacing w:val="3"/>
          <w:sz w:val="19"/>
          <w:szCs w:val="19"/>
        </w:rPr>
        <w:t xml:space="preserve">) </w:t>
      </w:r>
      <w:r>
        <w:rPr>
          <w:rFonts w:ascii="宋体" w:hAnsi="宋体" w:eastAsia="宋体" w:cs="宋体"/>
          <w:spacing w:val="3"/>
          <w:sz w:val="19"/>
          <w:szCs w:val="19"/>
        </w:rPr>
        <w:t>高校教学与科研职能的</w:t>
      </w:r>
      <w:r>
        <w:rPr>
          <w:rFonts w:ascii="微软雅黑" w:hAnsi="微软雅黑" w:eastAsia="微软雅黑" w:cs="微软雅黑"/>
          <w:spacing w:val="3"/>
          <w:sz w:val="19"/>
          <w:szCs w:val="19"/>
        </w:rPr>
        <w:t>“</w:t>
      </w:r>
      <w:r>
        <w:rPr>
          <w:rFonts w:ascii="微软雅黑" w:hAnsi="微软雅黑" w:eastAsia="微软雅黑" w:cs="微软雅黑"/>
          <w:spacing w:val="-18"/>
          <w:sz w:val="19"/>
          <w:szCs w:val="19"/>
        </w:rPr>
        <w:t xml:space="preserve"> </w:t>
      </w:r>
      <w:r>
        <w:rPr>
          <w:rFonts w:ascii="宋体" w:hAnsi="宋体" w:eastAsia="宋体" w:cs="宋体"/>
          <w:spacing w:val="3"/>
          <w:sz w:val="19"/>
          <w:szCs w:val="19"/>
        </w:rPr>
        <w:t>失衡</w:t>
      </w:r>
      <w:r>
        <w:rPr>
          <w:rFonts w:ascii="微软雅黑" w:hAnsi="微软雅黑" w:eastAsia="微软雅黑" w:cs="微软雅黑"/>
          <w:spacing w:val="3"/>
          <w:sz w:val="19"/>
          <w:szCs w:val="19"/>
        </w:rPr>
        <w:t>”。</w:t>
      </w:r>
    </w:p>
    <w:p>
      <w:pPr>
        <w:spacing w:before="84" w:line="229" w:lineRule="auto"/>
        <w:ind w:firstLine="425"/>
        <w:rPr>
          <w:rFonts w:ascii="微软雅黑" w:hAnsi="微软雅黑" w:eastAsia="微软雅黑" w:cs="微软雅黑"/>
          <w:sz w:val="19"/>
          <w:szCs w:val="19"/>
        </w:rPr>
      </w:pPr>
      <w:r>
        <w:rPr>
          <w:rFonts w:ascii="宋体" w:hAnsi="宋体" w:eastAsia="宋体" w:cs="宋体"/>
          <w:spacing w:val="15"/>
          <w:sz w:val="19"/>
          <w:szCs w:val="19"/>
        </w:rPr>
        <w:t>高等教育是整个教育系统</w:t>
      </w:r>
      <w:r>
        <w:rPr>
          <w:rFonts w:ascii="宋体" w:hAnsi="宋体" w:eastAsia="宋体" w:cs="宋体"/>
          <w:spacing w:val="-49"/>
          <w:sz w:val="19"/>
          <w:szCs w:val="19"/>
        </w:rPr>
        <w:t xml:space="preserve"> </w:t>
      </w:r>
      <w:r>
        <w:rPr>
          <w:rFonts w:ascii="宋体" w:hAnsi="宋体" w:eastAsia="宋体" w:cs="宋体"/>
          <w:spacing w:val="15"/>
          <w:sz w:val="19"/>
          <w:szCs w:val="19"/>
        </w:rPr>
        <w:t>的重要组成部分</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具 </w:t>
      </w:r>
      <w:r>
        <w:rPr>
          <w:rFonts w:ascii="宋体" w:hAnsi="宋体" w:eastAsia="宋体" w:cs="宋体"/>
          <w:spacing w:val="7"/>
          <w:sz w:val="19"/>
          <w:szCs w:val="19"/>
        </w:rPr>
        <w:t>有教学</w:t>
      </w:r>
      <w:r>
        <w:rPr>
          <w:rFonts w:ascii="微软雅黑" w:hAnsi="微软雅黑" w:eastAsia="微软雅黑" w:cs="微软雅黑"/>
          <w:spacing w:val="7"/>
          <w:sz w:val="19"/>
          <w:szCs w:val="19"/>
        </w:rPr>
        <w:t>、</w:t>
      </w:r>
      <w:r>
        <w:rPr>
          <w:rFonts w:ascii="宋体" w:hAnsi="宋体" w:eastAsia="宋体" w:cs="宋体"/>
          <w:spacing w:val="7"/>
          <w:sz w:val="19"/>
          <w:szCs w:val="19"/>
        </w:rPr>
        <w:t>科研</w:t>
      </w:r>
      <w:r>
        <w:rPr>
          <w:rFonts w:ascii="微软雅黑" w:hAnsi="微软雅黑" w:eastAsia="微软雅黑" w:cs="微软雅黑"/>
          <w:spacing w:val="7"/>
          <w:sz w:val="19"/>
          <w:szCs w:val="19"/>
        </w:rPr>
        <w:t>、</w:t>
      </w:r>
      <w:r>
        <w:rPr>
          <w:rFonts w:ascii="宋体" w:hAnsi="宋体" w:eastAsia="宋体" w:cs="宋体"/>
          <w:spacing w:val="7"/>
          <w:sz w:val="19"/>
          <w:szCs w:val="19"/>
        </w:rPr>
        <w:t>社会服务三大职能</w:t>
      </w:r>
      <w:r>
        <w:rPr>
          <w:rFonts w:ascii="宋体" w:hAnsi="宋体" w:eastAsia="宋体" w:cs="宋体"/>
          <w:spacing w:val="-47"/>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挪威的高等教育 </w:t>
      </w:r>
      <w:r>
        <w:rPr>
          <w:rFonts w:ascii="宋体" w:hAnsi="宋体" w:eastAsia="宋体" w:cs="宋体"/>
          <w:spacing w:val="17"/>
          <w:sz w:val="19"/>
          <w:szCs w:val="19"/>
        </w:rPr>
        <w:t>与社会发展联系紧密</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它被视作是全国科研学术的 </w:t>
      </w:r>
      <w:r>
        <w:rPr>
          <w:rFonts w:ascii="宋体" w:hAnsi="宋体" w:eastAsia="宋体" w:cs="宋体"/>
          <w:spacing w:val="9"/>
          <w:sz w:val="19"/>
          <w:szCs w:val="19"/>
        </w:rPr>
        <w:t>中心</w:t>
      </w:r>
      <w:r>
        <w:rPr>
          <w:rFonts w:ascii="微软雅黑" w:hAnsi="微软雅黑" w:eastAsia="微软雅黑" w:cs="微软雅黑"/>
          <w:spacing w:val="9"/>
          <w:sz w:val="19"/>
          <w:szCs w:val="19"/>
        </w:rPr>
        <w:t>，</w:t>
      </w:r>
      <w:r>
        <w:rPr>
          <w:rFonts w:ascii="宋体" w:hAnsi="宋体" w:eastAsia="宋体" w:cs="宋体"/>
          <w:spacing w:val="9"/>
          <w:sz w:val="19"/>
          <w:szCs w:val="19"/>
        </w:rPr>
        <w:t>旨在通过培养符合社会经济发展要求的</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全球 </w:t>
      </w:r>
      <w:r>
        <w:rPr>
          <w:rFonts w:ascii="宋体" w:hAnsi="宋体" w:eastAsia="宋体" w:cs="宋体"/>
          <w:spacing w:val="1"/>
          <w:sz w:val="19"/>
          <w:szCs w:val="19"/>
        </w:rPr>
        <w:t>公民</w:t>
      </w:r>
      <w:r>
        <w:rPr>
          <w:rFonts w:ascii="微软雅黑" w:hAnsi="微软雅黑" w:eastAsia="微软雅黑" w:cs="微软雅黑"/>
          <w:spacing w:val="1"/>
          <w:sz w:val="19"/>
          <w:szCs w:val="19"/>
        </w:rPr>
        <w:t>”</w:t>
      </w:r>
      <w:r>
        <w:rPr>
          <w:rFonts w:ascii="宋体" w:hAnsi="宋体" w:eastAsia="宋体" w:cs="宋体"/>
          <w:spacing w:val="1"/>
          <w:sz w:val="19"/>
          <w:szCs w:val="19"/>
        </w:rPr>
        <w:t>来推动社会</w:t>
      </w:r>
      <w:r>
        <w:rPr>
          <w:rFonts w:ascii="宋体" w:hAnsi="宋体" w:eastAsia="宋体" w:cs="宋体"/>
          <w:spacing w:val="-32"/>
          <w:sz w:val="19"/>
          <w:szCs w:val="19"/>
        </w:rPr>
        <w:t xml:space="preserve"> </w:t>
      </w:r>
      <w:r>
        <w:rPr>
          <w:rFonts w:ascii="宋体" w:hAnsi="宋体" w:eastAsia="宋体" w:cs="宋体"/>
          <w:spacing w:val="1"/>
          <w:sz w:val="19"/>
          <w:szCs w:val="19"/>
        </w:rPr>
        <w:t>的进</w:t>
      </w:r>
      <w:r>
        <w:rPr>
          <w:rFonts w:ascii="宋体" w:hAnsi="宋体" w:eastAsia="宋体" w:cs="宋体"/>
          <w:spacing w:val="-56"/>
          <w:sz w:val="19"/>
          <w:szCs w:val="19"/>
        </w:rPr>
        <w:t xml:space="preserve"> </w:t>
      </w:r>
      <w:r>
        <w:rPr>
          <w:rFonts w:ascii="宋体" w:hAnsi="宋体" w:eastAsia="宋体" w:cs="宋体"/>
          <w:spacing w:val="1"/>
          <w:sz w:val="19"/>
          <w:szCs w:val="19"/>
        </w:rPr>
        <w:t>步</w:t>
      </w:r>
      <w:r>
        <w:rPr>
          <w:rFonts w:ascii="微软雅黑" w:hAnsi="微软雅黑" w:eastAsia="微软雅黑" w:cs="微软雅黑"/>
          <w:spacing w:val="1"/>
          <w:sz w:val="19"/>
          <w:szCs w:val="19"/>
        </w:rPr>
        <w:t>，</w:t>
      </w:r>
      <w:r>
        <w:rPr>
          <w:rFonts w:ascii="宋体" w:hAnsi="宋体" w:eastAsia="宋体" w:cs="宋体"/>
          <w:spacing w:val="1"/>
          <w:sz w:val="19"/>
          <w:szCs w:val="19"/>
        </w:rPr>
        <w:t>增</w:t>
      </w:r>
      <w:r>
        <w:rPr>
          <w:rFonts w:ascii="宋体" w:hAnsi="宋体" w:eastAsia="宋体" w:cs="宋体"/>
          <w:spacing w:val="-54"/>
          <w:sz w:val="19"/>
          <w:szCs w:val="19"/>
        </w:rPr>
        <w:t xml:space="preserve"> </w:t>
      </w:r>
      <w:r>
        <w:rPr>
          <w:rFonts w:ascii="宋体" w:hAnsi="宋体" w:eastAsia="宋体" w:cs="宋体"/>
          <w:spacing w:val="1"/>
          <w:sz w:val="19"/>
          <w:szCs w:val="19"/>
        </w:rPr>
        <w:t>强挪威</w:t>
      </w:r>
      <w:r>
        <w:rPr>
          <w:rFonts w:ascii="宋体" w:hAnsi="宋体" w:eastAsia="宋体" w:cs="宋体"/>
          <w:spacing w:val="-42"/>
          <w:sz w:val="19"/>
          <w:szCs w:val="19"/>
        </w:rPr>
        <w:t xml:space="preserve"> </w:t>
      </w:r>
      <w:r>
        <w:rPr>
          <w:rFonts w:ascii="宋体" w:hAnsi="宋体" w:eastAsia="宋体" w:cs="宋体"/>
          <w:spacing w:val="1"/>
          <w:sz w:val="19"/>
          <w:szCs w:val="19"/>
        </w:rPr>
        <w:t>的</w:t>
      </w:r>
      <w:r>
        <w:rPr>
          <w:rFonts w:ascii="宋体" w:hAnsi="宋体" w:eastAsia="宋体" w:cs="宋体"/>
          <w:spacing w:val="-56"/>
          <w:sz w:val="19"/>
          <w:szCs w:val="19"/>
        </w:rPr>
        <w:t xml:space="preserve"> </w:t>
      </w:r>
      <w:r>
        <w:rPr>
          <w:rFonts w:ascii="宋体" w:hAnsi="宋体" w:eastAsia="宋体" w:cs="宋体"/>
          <w:spacing w:val="1"/>
          <w:sz w:val="19"/>
          <w:szCs w:val="19"/>
        </w:rPr>
        <w:t>竞</w:t>
      </w:r>
      <w:r>
        <w:rPr>
          <w:rFonts w:ascii="宋体" w:hAnsi="宋体" w:eastAsia="宋体" w:cs="宋体"/>
          <w:spacing w:val="-55"/>
          <w:sz w:val="19"/>
          <w:szCs w:val="19"/>
        </w:rPr>
        <w:t xml:space="preserve"> </w:t>
      </w:r>
      <w:r>
        <w:rPr>
          <w:rFonts w:ascii="宋体" w:hAnsi="宋体" w:eastAsia="宋体" w:cs="宋体"/>
          <w:spacing w:val="1"/>
          <w:sz w:val="19"/>
          <w:szCs w:val="19"/>
        </w:rPr>
        <w:t>争</w:t>
      </w:r>
      <w:r>
        <w:rPr>
          <w:rFonts w:ascii="宋体" w:hAnsi="宋体" w:eastAsia="宋体" w:cs="宋体"/>
          <w:spacing w:val="-55"/>
          <w:sz w:val="19"/>
          <w:szCs w:val="19"/>
        </w:rPr>
        <w:t xml:space="preserve"> </w:t>
      </w:r>
      <w:r>
        <w:rPr>
          <w:rFonts w:ascii="宋体" w:hAnsi="宋体" w:eastAsia="宋体" w:cs="宋体"/>
          <w:spacing w:val="1"/>
          <w:sz w:val="19"/>
          <w:szCs w:val="19"/>
        </w:rPr>
        <w:t>力</w:t>
      </w:r>
      <w:r>
        <w:rPr>
          <w:rFonts w:ascii="宋体" w:hAnsi="宋体" w:eastAsia="宋体" w:cs="宋体"/>
          <w:spacing w:val="-52"/>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31"/>
          <w:sz w:val="19"/>
          <w:szCs w:val="19"/>
        </w:rPr>
        <w:t xml:space="preserve"> </w:t>
      </w:r>
      <w:r>
        <w:rPr>
          <w:rFonts w:ascii="宋体" w:hAnsi="宋体" w:eastAsia="宋体" w:cs="宋体"/>
          <w:spacing w:val="1"/>
          <w:sz w:val="19"/>
          <w:szCs w:val="19"/>
        </w:rPr>
        <w:t xml:space="preserve">但 </w:t>
      </w:r>
      <w:r>
        <w:rPr>
          <w:rFonts w:ascii="宋体" w:hAnsi="宋体" w:eastAsia="宋体" w:cs="宋体"/>
          <w:spacing w:val="17"/>
          <w:sz w:val="19"/>
          <w:szCs w:val="19"/>
        </w:rPr>
        <w:t>是</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挪威的高等教育发展仍存在着由诸多原因导致 </w:t>
      </w:r>
      <w:r>
        <w:rPr>
          <w:rFonts w:ascii="宋体" w:hAnsi="宋体" w:eastAsia="宋体" w:cs="宋体"/>
          <w:spacing w:val="3"/>
          <w:sz w:val="19"/>
          <w:szCs w:val="19"/>
        </w:rPr>
        <w:t>的职能</w:t>
      </w:r>
      <w:r>
        <w:rPr>
          <w:rFonts w:ascii="微软雅黑" w:hAnsi="微软雅黑" w:eastAsia="微软雅黑" w:cs="微软雅黑"/>
          <w:spacing w:val="3"/>
          <w:sz w:val="19"/>
          <w:szCs w:val="19"/>
        </w:rPr>
        <w:t>“</w:t>
      </w:r>
      <w:r>
        <w:rPr>
          <w:rFonts w:ascii="微软雅黑" w:hAnsi="微软雅黑" w:eastAsia="微软雅黑" w:cs="微软雅黑"/>
          <w:spacing w:val="-26"/>
          <w:sz w:val="19"/>
          <w:szCs w:val="19"/>
        </w:rPr>
        <w:t xml:space="preserve"> </w:t>
      </w:r>
      <w:r>
        <w:rPr>
          <w:rFonts w:ascii="宋体" w:hAnsi="宋体" w:eastAsia="宋体" w:cs="宋体"/>
          <w:spacing w:val="3"/>
          <w:sz w:val="19"/>
          <w:szCs w:val="19"/>
        </w:rPr>
        <w:t>失衡</w:t>
      </w:r>
      <w:r>
        <w:rPr>
          <w:rFonts w:ascii="微软雅黑" w:hAnsi="微软雅黑" w:eastAsia="微软雅黑" w:cs="微软雅黑"/>
          <w:spacing w:val="3"/>
          <w:sz w:val="19"/>
          <w:szCs w:val="19"/>
        </w:rPr>
        <w:t>”</w:t>
      </w:r>
      <w:r>
        <w:rPr>
          <w:rFonts w:ascii="宋体" w:hAnsi="宋体" w:eastAsia="宋体" w:cs="宋体"/>
          <w:spacing w:val="3"/>
          <w:sz w:val="19"/>
          <w:szCs w:val="19"/>
        </w:rPr>
        <w:t>现象</w:t>
      </w:r>
      <w:r>
        <w:rPr>
          <w:rFonts w:ascii="宋体" w:hAnsi="宋体" w:eastAsia="宋体" w:cs="宋体"/>
          <w:spacing w:val="-53"/>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34"/>
          <w:sz w:val="19"/>
          <w:szCs w:val="19"/>
        </w:rPr>
        <w:t xml:space="preserve"> </w:t>
      </w:r>
      <w:r>
        <w:rPr>
          <w:rFonts w:ascii="宋体" w:hAnsi="宋体" w:eastAsia="宋体" w:cs="宋体"/>
          <w:spacing w:val="3"/>
          <w:sz w:val="19"/>
          <w:szCs w:val="19"/>
        </w:rPr>
        <w:t>在高校科研上</w:t>
      </w:r>
      <w:r>
        <w:rPr>
          <w:rFonts w:ascii="微软雅黑" w:hAnsi="微软雅黑" w:eastAsia="微软雅黑" w:cs="微软雅黑"/>
          <w:spacing w:val="3"/>
          <w:sz w:val="19"/>
          <w:szCs w:val="19"/>
        </w:rPr>
        <w:t>，</w:t>
      </w:r>
      <w:r>
        <w:rPr>
          <w:rFonts w:ascii="宋体" w:hAnsi="宋体" w:eastAsia="宋体" w:cs="宋体"/>
          <w:spacing w:val="3"/>
          <w:sz w:val="19"/>
          <w:szCs w:val="19"/>
        </w:rPr>
        <w:t>挪威不</w:t>
      </w:r>
      <w:r>
        <w:rPr>
          <w:rFonts w:ascii="宋体" w:hAnsi="宋体" w:eastAsia="宋体" w:cs="宋体"/>
          <w:spacing w:val="-45"/>
          <w:sz w:val="19"/>
          <w:szCs w:val="19"/>
        </w:rPr>
        <w:t xml:space="preserve"> </w:t>
      </w:r>
      <w:r>
        <w:rPr>
          <w:rFonts w:ascii="宋体" w:hAnsi="宋体" w:eastAsia="宋体" w:cs="宋体"/>
          <w:spacing w:val="3"/>
          <w:sz w:val="19"/>
          <w:szCs w:val="19"/>
        </w:rPr>
        <w:t xml:space="preserve">同机构 </w:t>
      </w:r>
      <w:r>
        <w:rPr>
          <w:rFonts w:ascii="宋体" w:hAnsi="宋体" w:eastAsia="宋体" w:cs="宋体"/>
          <w:spacing w:val="16"/>
          <w:sz w:val="19"/>
          <w:szCs w:val="19"/>
        </w:rPr>
        <w:t>之间</w:t>
      </w:r>
      <w:r>
        <w:rPr>
          <w:rFonts w:ascii="微软雅黑" w:hAnsi="微软雅黑" w:eastAsia="微软雅黑" w:cs="微软雅黑"/>
          <w:spacing w:val="16"/>
          <w:sz w:val="19"/>
          <w:szCs w:val="19"/>
        </w:rPr>
        <w:t>、</w:t>
      </w:r>
      <w:r>
        <w:rPr>
          <w:rFonts w:ascii="宋体" w:hAnsi="宋体" w:eastAsia="宋体" w:cs="宋体"/>
          <w:spacing w:val="16"/>
          <w:sz w:val="19"/>
          <w:szCs w:val="19"/>
        </w:rPr>
        <w:t>不同科目之</w:t>
      </w:r>
      <w:r>
        <w:rPr>
          <w:rFonts w:ascii="宋体" w:hAnsi="宋体" w:eastAsia="宋体" w:cs="宋体"/>
          <w:spacing w:val="-53"/>
          <w:sz w:val="19"/>
          <w:szCs w:val="19"/>
        </w:rPr>
        <w:t xml:space="preserve"> </w:t>
      </w:r>
      <w:r>
        <w:rPr>
          <w:rFonts w:ascii="宋体" w:hAnsi="宋体" w:eastAsia="宋体" w:cs="宋体"/>
          <w:spacing w:val="16"/>
          <w:sz w:val="19"/>
          <w:szCs w:val="19"/>
        </w:rPr>
        <w:t>间对学术科研的评估认证</w:t>
      </w:r>
      <w:r>
        <w:rPr>
          <w:rFonts w:ascii="宋体" w:hAnsi="宋体" w:eastAsia="宋体" w:cs="宋体"/>
          <w:spacing w:val="15"/>
          <w:sz w:val="19"/>
          <w:szCs w:val="19"/>
        </w:rPr>
        <w:t xml:space="preserve">存在着 </w:t>
      </w:r>
      <w:r>
        <w:rPr>
          <w:rFonts w:ascii="宋体" w:hAnsi="宋体" w:eastAsia="宋体" w:cs="宋体"/>
          <w:spacing w:val="12"/>
          <w:sz w:val="19"/>
          <w:szCs w:val="19"/>
        </w:rPr>
        <w:t>差异</w:t>
      </w:r>
      <w:r>
        <w:rPr>
          <w:rFonts w:ascii="微软雅黑" w:hAnsi="微软雅黑" w:eastAsia="微软雅黑" w:cs="微软雅黑"/>
          <w:spacing w:val="12"/>
          <w:sz w:val="19"/>
          <w:szCs w:val="19"/>
        </w:rPr>
        <w:t>，</w:t>
      </w:r>
      <w:r>
        <w:rPr>
          <w:rFonts w:ascii="宋体" w:hAnsi="宋体" w:eastAsia="宋体" w:cs="宋体"/>
          <w:spacing w:val="12"/>
          <w:sz w:val="19"/>
          <w:szCs w:val="19"/>
        </w:rPr>
        <w:t>明确统一</w:t>
      </w:r>
      <w:r>
        <w:rPr>
          <w:rFonts w:ascii="宋体" w:hAnsi="宋体" w:eastAsia="宋体" w:cs="宋体"/>
          <w:spacing w:val="-34"/>
          <w:sz w:val="19"/>
          <w:szCs w:val="19"/>
        </w:rPr>
        <w:t xml:space="preserve"> </w:t>
      </w:r>
      <w:r>
        <w:rPr>
          <w:rFonts w:ascii="宋体" w:hAnsi="宋体" w:eastAsia="宋体" w:cs="宋体"/>
          <w:spacing w:val="12"/>
          <w:sz w:val="19"/>
          <w:szCs w:val="19"/>
        </w:rPr>
        <w:t>的学术标准有待进一步的完善</w:t>
      </w:r>
      <w:r>
        <w:rPr>
          <w:rFonts w:ascii="宋体" w:hAnsi="宋体" w:eastAsia="宋体" w:cs="宋体"/>
          <w:spacing w:val="-50"/>
          <w:sz w:val="19"/>
          <w:szCs w:val="19"/>
        </w:rPr>
        <w:t xml:space="preserve"> </w:t>
      </w:r>
      <w:r>
        <w:rPr>
          <w:rFonts w:ascii="微软雅黑" w:hAnsi="微软雅黑" w:eastAsia="微软雅黑" w:cs="微软雅黑"/>
          <w:spacing w:val="12"/>
          <w:sz w:val="19"/>
          <w:szCs w:val="19"/>
        </w:rPr>
        <w:t>。</w:t>
      </w:r>
      <w:r>
        <w:rPr>
          <w:rFonts w:ascii="微软雅黑" w:hAnsi="微软雅黑" w:eastAsia="微软雅黑" w:cs="微软雅黑"/>
          <w:spacing w:val="-32"/>
          <w:sz w:val="19"/>
          <w:szCs w:val="19"/>
        </w:rPr>
        <w:t xml:space="preserve"> </w:t>
      </w:r>
      <w:r>
        <w:rPr>
          <w:rFonts w:ascii="宋体" w:hAnsi="宋体" w:eastAsia="宋体" w:cs="宋体"/>
          <w:spacing w:val="12"/>
          <w:sz w:val="19"/>
          <w:szCs w:val="19"/>
        </w:rPr>
        <w:t xml:space="preserve">此 </w:t>
      </w:r>
      <w:r>
        <w:rPr>
          <w:rFonts w:ascii="宋体" w:hAnsi="宋体" w:eastAsia="宋体" w:cs="宋体"/>
          <w:spacing w:val="9"/>
          <w:sz w:val="19"/>
          <w:szCs w:val="19"/>
        </w:rPr>
        <w:t>外</w:t>
      </w:r>
      <w:r>
        <w:rPr>
          <w:rFonts w:ascii="微软雅黑" w:hAnsi="微软雅黑" w:eastAsia="微软雅黑" w:cs="微软雅黑"/>
          <w:spacing w:val="9"/>
          <w:sz w:val="19"/>
          <w:szCs w:val="19"/>
        </w:rPr>
        <w:t>，</w:t>
      </w:r>
      <w:r>
        <w:rPr>
          <w:rFonts w:ascii="宋体" w:hAnsi="宋体" w:eastAsia="宋体" w:cs="宋体"/>
          <w:spacing w:val="9"/>
          <w:sz w:val="19"/>
          <w:szCs w:val="19"/>
        </w:rPr>
        <w:t>虽然部分科研项目注重多种研究主题的结合</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但 </w:t>
      </w:r>
      <w:r>
        <w:rPr>
          <w:rFonts w:ascii="宋体" w:hAnsi="宋体" w:eastAsia="宋体" w:cs="宋体"/>
          <w:spacing w:val="15"/>
          <w:sz w:val="19"/>
          <w:szCs w:val="19"/>
        </w:rPr>
        <w:t>不同主题之间的联系并不</w:t>
      </w:r>
      <w:r>
        <w:rPr>
          <w:rFonts w:ascii="宋体" w:hAnsi="宋体" w:eastAsia="宋体" w:cs="宋体"/>
          <w:spacing w:val="-34"/>
          <w:sz w:val="19"/>
          <w:szCs w:val="19"/>
        </w:rPr>
        <w:t xml:space="preserve"> </w:t>
      </w:r>
      <w:r>
        <w:rPr>
          <w:rFonts w:ascii="宋体" w:hAnsi="宋体" w:eastAsia="宋体" w:cs="宋体"/>
          <w:spacing w:val="15"/>
          <w:sz w:val="19"/>
          <w:szCs w:val="19"/>
        </w:rPr>
        <w:t>明显</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科研项目缺乏完整 </w:t>
      </w:r>
      <w:r>
        <w:rPr>
          <w:rFonts w:ascii="宋体" w:hAnsi="宋体" w:eastAsia="宋体" w:cs="宋体"/>
          <w:spacing w:val="9"/>
          <w:sz w:val="19"/>
          <w:szCs w:val="19"/>
        </w:rPr>
        <w:t>性和连贯性</w:t>
      </w:r>
      <w:r>
        <w:rPr>
          <w:rFonts w:ascii="微软雅黑" w:hAnsi="微软雅黑" w:eastAsia="微软雅黑" w:cs="微软雅黑"/>
          <w:spacing w:val="9"/>
          <w:sz w:val="19"/>
          <w:szCs w:val="19"/>
        </w:rPr>
        <w:t>，</w:t>
      </w:r>
      <w:r>
        <w:rPr>
          <w:rFonts w:ascii="宋体" w:hAnsi="宋体" w:eastAsia="宋体" w:cs="宋体"/>
          <w:spacing w:val="9"/>
          <w:sz w:val="19"/>
          <w:szCs w:val="19"/>
        </w:rPr>
        <w:t>且与社会工作生活的联系有待加强</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诸 </w:t>
      </w:r>
      <w:r>
        <w:rPr>
          <w:rFonts w:ascii="宋体" w:hAnsi="宋体" w:eastAsia="宋体" w:cs="宋体"/>
          <w:spacing w:val="20"/>
          <w:sz w:val="19"/>
          <w:szCs w:val="19"/>
        </w:rPr>
        <w:t>多现实挑战弱化</w:t>
      </w:r>
      <w:r>
        <w:rPr>
          <w:rFonts w:ascii="宋体" w:hAnsi="宋体" w:eastAsia="宋体" w:cs="宋体"/>
          <w:spacing w:val="-51"/>
          <w:sz w:val="19"/>
          <w:szCs w:val="19"/>
        </w:rPr>
        <w:t xml:space="preserve"> </w:t>
      </w:r>
      <w:r>
        <w:rPr>
          <w:rFonts w:ascii="宋体" w:hAnsi="宋体" w:eastAsia="宋体" w:cs="宋体"/>
          <w:spacing w:val="20"/>
          <w:sz w:val="19"/>
          <w:szCs w:val="19"/>
        </w:rPr>
        <w:t>了挪威高教系统的科研转化</w:t>
      </w:r>
      <w:r>
        <w:rPr>
          <w:rFonts w:ascii="宋体" w:hAnsi="宋体" w:eastAsia="宋体" w:cs="宋体"/>
          <w:spacing w:val="19"/>
          <w:sz w:val="19"/>
          <w:szCs w:val="19"/>
        </w:rPr>
        <w:t>效率</w:t>
      </w:r>
      <w:r>
        <w:rPr>
          <w:rFonts w:ascii="微软雅黑" w:hAnsi="微软雅黑" w:eastAsia="微软雅黑" w:cs="微软雅黑"/>
          <w:spacing w:val="19"/>
          <w:sz w:val="19"/>
          <w:szCs w:val="19"/>
        </w:rPr>
        <w:t>。</w:t>
      </w:r>
      <w:r>
        <w:rPr>
          <w:rFonts w:ascii="微软雅黑" w:hAnsi="微软雅黑" w:eastAsia="微软雅黑" w:cs="微软雅黑"/>
          <w:sz w:val="19"/>
          <w:szCs w:val="19"/>
        </w:rPr>
        <w:t xml:space="preserve"> </w:t>
      </w:r>
      <w:r>
        <w:rPr>
          <w:rFonts w:ascii="宋体" w:hAnsi="宋体" w:eastAsia="宋体" w:cs="宋体"/>
          <w:spacing w:val="17"/>
          <w:sz w:val="19"/>
          <w:szCs w:val="19"/>
        </w:rPr>
        <w:t>在高校教学上</w:t>
      </w:r>
      <w:r>
        <w:rPr>
          <w:rFonts w:ascii="微软雅黑" w:hAnsi="微软雅黑" w:eastAsia="微软雅黑" w:cs="微软雅黑"/>
          <w:spacing w:val="17"/>
          <w:sz w:val="19"/>
          <w:szCs w:val="19"/>
        </w:rPr>
        <w:t>，</w:t>
      </w:r>
      <w:r>
        <w:rPr>
          <w:rFonts w:ascii="宋体" w:hAnsi="宋体" w:eastAsia="宋体" w:cs="宋体"/>
          <w:spacing w:val="17"/>
          <w:sz w:val="19"/>
          <w:szCs w:val="19"/>
        </w:rPr>
        <w:t>虽然挪威高校系统注重对具体学科 发展进行评估认证</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但对于高校教师教学能力的可 </w:t>
      </w:r>
      <w:r>
        <w:rPr>
          <w:rFonts w:ascii="宋体" w:hAnsi="宋体" w:eastAsia="宋体" w:cs="宋体"/>
          <w:spacing w:val="15"/>
          <w:sz w:val="19"/>
          <w:szCs w:val="19"/>
        </w:rPr>
        <w:t>持续发展关注不够</w:t>
      </w:r>
      <w:r>
        <w:rPr>
          <w:rFonts w:ascii="宋体" w:hAnsi="宋体" w:eastAsia="宋体" w:cs="宋体"/>
          <w:spacing w:val="-52"/>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4"/>
          <w:sz w:val="19"/>
          <w:szCs w:val="19"/>
        </w:rPr>
        <w:t xml:space="preserve"> </w:t>
      </w:r>
      <w:r>
        <w:rPr>
          <w:rFonts w:ascii="宋体" w:hAnsi="宋体" w:eastAsia="宋体" w:cs="宋体"/>
          <w:spacing w:val="15"/>
          <w:sz w:val="19"/>
          <w:szCs w:val="19"/>
        </w:rPr>
        <w:t>高校的教学与科研发展</w:t>
      </w:r>
      <w:r>
        <w:rPr>
          <w:rFonts w:ascii="宋体" w:hAnsi="宋体" w:eastAsia="宋体" w:cs="宋体"/>
          <w:spacing w:val="14"/>
          <w:sz w:val="19"/>
          <w:szCs w:val="19"/>
        </w:rPr>
        <w:t xml:space="preserve">不协调 </w:t>
      </w:r>
      <w:r>
        <w:rPr>
          <w:rFonts w:ascii="宋体" w:hAnsi="宋体" w:eastAsia="宋体" w:cs="宋体"/>
          <w:spacing w:val="15"/>
          <w:sz w:val="19"/>
          <w:szCs w:val="19"/>
        </w:rPr>
        <w:t>在一定程度上影响了学生培养质量的提高</w:t>
      </w:r>
      <w:r>
        <w:rPr>
          <w:rFonts w:ascii="微软雅黑" w:hAnsi="微软雅黑" w:eastAsia="微软雅黑" w:cs="微软雅黑"/>
          <w:spacing w:val="15"/>
          <w:sz w:val="19"/>
          <w:szCs w:val="19"/>
        </w:rPr>
        <w:t>，</w:t>
      </w:r>
      <w:r>
        <w:rPr>
          <w:rFonts w:ascii="宋体" w:hAnsi="宋体" w:eastAsia="宋体" w:cs="宋体"/>
          <w:spacing w:val="15"/>
          <w:sz w:val="19"/>
          <w:szCs w:val="19"/>
        </w:rPr>
        <w:t>出现</w:t>
      </w:r>
      <w:r>
        <w:rPr>
          <w:rFonts w:ascii="宋体" w:hAnsi="宋体" w:eastAsia="宋体" w:cs="宋体"/>
          <w:spacing w:val="-34"/>
          <w:sz w:val="19"/>
          <w:szCs w:val="19"/>
        </w:rPr>
        <w:t xml:space="preserve"> </w:t>
      </w:r>
      <w:r>
        <w:rPr>
          <w:rFonts w:ascii="宋体" w:hAnsi="宋体" w:eastAsia="宋体" w:cs="宋体"/>
          <w:spacing w:val="15"/>
          <w:sz w:val="19"/>
          <w:szCs w:val="19"/>
        </w:rPr>
        <w:t xml:space="preserve">了 </w:t>
      </w:r>
      <w:r>
        <w:rPr>
          <w:rFonts w:ascii="宋体" w:hAnsi="宋体" w:eastAsia="宋体" w:cs="宋体"/>
          <w:spacing w:val="4"/>
          <w:sz w:val="19"/>
          <w:szCs w:val="19"/>
        </w:rPr>
        <w:t>高校职能上的</w:t>
      </w:r>
      <w:r>
        <w:rPr>
          <w:rFonts w:ascii="微软雅黑" w:hAnsi="微软雅黑" w:eastAsia="微软雅黑" w:cs="微软雅黑"/>
          <w:spacing w:val="4"/>
          <w:sz w:val="19"/>
          <w:szCs w:val="19"/>
        </w:rPr>
        <w:t>“</w:t>
      </w:r>
      <w:r>
        <w:rPr>
          <w:rFonts w:ascii="微软雅黑" w:hAnsi="微软雅黑" w:eastAsia="微软雅黑" w:cs="微软雅黑"/>
          <w:spacing w:val="-24"/>
          <w:sz w:val="19"/>
          <w:szCs w:val="19"/>
        </w:rPr>
        <w:t xml:space="preserve"> </w:t>
      </w:r>
      <w:r>
        <w:rPr>
          <w:rFonts w:ascii="宋体" w:hAnsi="宋体" w:eastAsia="宋体" w:cs="宋体"/>
          <w:spacing w:val="4"/>
          <w:sz w:val="19"/>
          <w:szCs w:val="19"/>
        </w:rPr>
        <w:t>失衡</w:t>
      </w:r>
      <w:r>
        <w:rPr>
          <w:rFonts w:ascii="微软雅黑" w:hAnsi="微软雅黑" w:eastAsia="微软雅黑" w:cs="微软雅黑"/>
          <w:spacing w:val="4"/>
          <w:sz w:val="19"/>
          <w:szCs w:val="19"/>
        </w:rPr>
        <w:t>”</w:t>
      </w:r>
      <w:r>
        <w:rPr>
          <w:rFonts w:ascii="宋体" w:hAnsi="宋体" w:eastAsia="宋体" w:cs="宋体"/>
          <w:spacing w:val="4"/>
          <w:sz w:val="19"/>
          <w:szCs w:val="19"/>
        </w:rPr>
        <w:t>现象</w:t>
      </w:r>
      <w:r>
        <w:rPr>
          <w:rFonts w:ascii="宋体" w:hAnsi="宋体" w:eastAsia="宋体" w:cs="宋体"/>
          <w:spacing w:val="-53"/>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10"/>
          <w:sz w:val="19"/>
          <w:szCs w:val="19"/>
        </w:rPr>
        <w:t xml:space="preserve"> </w:t>
      </w:r>
      <w:r>
        <w:rPr>
          <w:rFonts w:ascii="宋体" w:hAnsi="宋体" w:eastAsia="宋体" w:cs="宋体"/>
          <w:spacing w:val="4"/>
          <w:sz w:val="19"/>
          <w:szCs w:val="19"/>
        </w:rPr>
        <w:t xml:space="preserve">白皮书提到的挪威高等 </w:t>
      </w:r>
      <w:r>
        <w:rPr>
          <w:rFonts w:ascii="宋体" w:hAnsi="宋体" w:eastAsia="宋体" w:cs="宋体"/>
          <w:spacing w:val="17"/>
          <w:sz w:val="19"/>
          <w:szCs w:val="19"/>
        </w:rPr>
        <w:t xml:space="preserve">教育存在的教学问题和科研问题已成为高等教育质 </w:t>
      </w:r>
      <w:r>
        <w:rPr>
          <w:rFonts w:ascii="宋体" w:hAnsi="宋体" w:eastAsia="宋体" w:cs="宋体"/>
          <w:spacing w:val="18"/>
          <w:sz w:val="19"/>
          <w:szCs w:val="19"/>
        </w:rPr>
        <w:t>量文化建设面临的重要挑战</w:t>
      </w:r>
      <w:r>
        <w:rPr>
          <w:rFonts w:ascii="微软雅黑" w:hAnsi="微软雅黑" w:eastAsia="微软雅黑" w:cs="微软雅黑"/>
          <w:spacing w:val="18"/>
          <w:sz w:val="19"/>
          <w:szCs w:val="19"/>
        </w:rPr>
        <w:t>。</w:t>
      </w:r>
    </w:p>
    <w:p>
      <w:pPr>
        <w:spacing w:line="229" w:lineRule="auto"/>
        <w:rPr>
          <w:rFonts w:ascii="微软雅黑" w:hAnsi="微软雅黑" w:eastAsia="微软雅黑" w:cs="微软雅黑"/>
          <w:sz w:val="19"/>
          <w:szCs w:val="19"/>
        </w:rPr>
        <w:sectPr>
          <w:type w:val="continuous"/>
          <w:pgSz w:w="11906" w:h="16840"/>
          <w:pgMar w:top="400" w:right="1204" w:bottom="547" w:left="407" w:header="0" w:footer="354" w:gutter="0"/>
          <w:cols w:equalWidth="0" w:num="2">
            <w:col w:w="5531" w:space="100"/>
            <w:col w:w="4663"/>
          </w:cols>
        </w:sectPr>
      </w:pPr>
    </w:p>
    <w:p>
      <w:pPr>
        <w:spacing w:line="324" w:lineRule="auto"/>
        <w:rPr>
          <w:rFonts w:ascii="Arial"/>
          <w:sz w:val="21"/>
        </w:rPr>
      </w:pPr>
    </w:p>
    <w:p>
      <w:pPr>
        <w:spacing w:before="81" w:line="184" w:lineRule="exact"/>
        <w:ind w:left="9358"/>
        <w:rPr>
          <w:rFonts w:ascii="微软雅黑" w:hAnsi="微软雅黑" w:eastAsia="微软雅黑" w:cs="微软雅黑"/>
          <w:sz w:val="19"/>
          <w:szCs w:val="19"/>
        </w:rPr>
      </w:pPr>
      <w:r>
        <w:rPr>
          <w:rFonts w:ascii="微软雅黑" w:hAnsi="微软雅黑" w:eastAsia="微软雅黑" w:cs="微软雅黑"/>
          <w:spacing w:val="-7"/>
          <w:position w:val="1"/>
          <w:sz w:val="19"/>
          <w:szCs w:val="19"/>
        </w:rPr>
        <w:t xml:space="preserve">·   </w:t>
      </w:r>
      <w:r>
        <w:rPr>
          <w:rFonts w:ascii="Arial" w:hAnsi="Arial" w:eastAsia="Arial" w:cs="Arial"/>
          <w:spacing w:val="-7"/>
          <w:position w:val="-1"/>
          <w:sz w:val="19"/>
          <w:szCs w:val="19"/>
        </w:rPr>
        <w:t>105</w:t>
      </w:r>
      <w:r>
        <w:rPr>
          <w:rFonts w:ascii="Arial" w:hAnsi="Arial" w:eastAsia="Arial" w:cs="Arial"/>
          <w:spacing w:val="23"/>
          <w:w w:val="101"/>
          <w:position w:val="-1"/>
          <w:sz w:val="19"/>
          <w:szCs w:val="19"/>
        </w:rPr>
        <w:t xml:space="preserve">  </w:t>
      </w:r>
      <w:r>
        <w:rPr>
          <w:rFonts w:ascii="微软雅黑" w:hAnsi="微软雅黑" w:eastAsia="微软雅黑" w:cs="微软雅黑"/>
          <w:spacing w:val="-7"/>
          <w:position w:val="1"/>
          <w:sz w:val="19"/>
          <w:szCs w:val="19"/>
        </w:rPr>
        <w:t>·</w:t>
      </w:r>
    </w:p>
    <w:p>
      <w:pPr>
        <w:spacing w:line="184" w:lineRule="exact"/>
        <w:rPr>
          <w:rFonts w:ascii="微软雅黑" w:hAnsi="微软雅黑" w:eastAsia="微软雅黑" w:cs="微软雅黑"/>
          <w:sz w:val="19"/>
          <w:szCs w:val="19"/>
        </w:rPr>
        <w:sectPr>
          <w:type w:val="continuous"/>
          <w:pgSz w:w="11906" w:h="16840"/>
          <w:pgMar w:top="400" w:right="1204" w:bottom="547" w:left="407" w:header="0" w:footer="354" w:gutter="0"/>
          <w:cols w:equalWidth="0" w:num="1">
            <w:col w:w="10294"/>
          </w:cols>
        </w:sectPr>
      </w:pPr>
    </w:p>
    <w:p>
      <w:pPr>
        <w:spacing w:line="454" w:lineRule="auto"/>
        <w:rPr>
          <w:rFonts w:ascii="Arial"/>
          <w:sz w:val="21"/>
        </w:rPr>
      </w:pPr>
    </w:p>
    <w:p>
      <w:pPr>
        <w:spacing w:before="52" w:line="213" w:lineRule="auto"/>
        <w:ind w:left="3796"/>
        <w:rPr>
          <w:rFonts w:ascii="宋体" w:hAnsi="宋体" w:eastAsia="宋体" w:cs="宋体"/>
          <w:sz w:val="16"/>
          <w:szCs w:val="16"/>
        </w:rPr>
      </w:pPr>
      <w:r>
        <w:rPr>
          <w:rFonts w:ascii="宋体" w:hAnsi="宋体" w:eastAsia="宋体" w:cs="宋体"/>
          <w:spacing w:val="19"/>
          <w:sz w:val="16"/>
          <w:szCs w:val="16"/>
        </w:rPr>
        <w:t>挪威推进高等教育质量文化建设的举措及其启示</w:t>
      </w:r>
    </w:p>
    <w:p>
      <w:pPr>
        <w:spacing w:line="186" w:lineRule="exact"/>
        <w:ind w:left="858"/>
      </w:pPr>
      <w:r>
        <w:rPr>
          <w:position w:val="-4"/>
        </w:rPr>
        <w:drawing>
          <wp:inline distT="0" distB="0" distL="0" distR="0">
            <wp:extent cx="6118860" cy="11811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29"/>
                    <a:stretch>
                      <a:fillRect/>
                    </a:stretch>
                  </pic:blipFill>
                  <pic:spPr>
                    <a:xfrm>
                      <a:off x="0" y="0"/>
                      <a:ext cx="6119395" cy="118181"/>
                    </a:xfrm>
                    <a:prstGeom prst="rect">
                      <a:avLst/>
                    </a:prstGeom>
                  </pic:spPr>
                </pic:pic>
              </a:graphicData>
            </a:graphic>
          </wp:inline>
        </w:drawing>
      </w:r>
    </w:p>
    <w:p>
      <w:pPr>
        <w:spacing w:line="118" w:lineRule="exact"/>
      </w:pPr>
    </w:p>
    <w:p>
      <w:pPr>
        <w:spacing w:line="118" w:lineRule="exact"/>
        <w:sectPr>
          <w:footerReference r:id="rId86" w:type="default"/>
          <w:pgSz w:w="11906" w:h="16840"/>
          <w:pgMar w:top="400" w:right="936" w:bottom="547" w:left="407" w:header="0" w:footer="354" w:gutter="0"/>
          <w:cols w:equalWidth="0" w:num="1">
            <w:col w:w="10562"/>
          </w:cols>
        </w:sectPr>
      </w:pPr>
    </w:p>
    <w:p>
      <w:pPr>
        <w:spacing w:before="37" w:line="177" w:lineRule="auto"/>
        <w:ind w:left="1305"/>
        <w:rPr>
          <w:rFonts w:ascii="微软雅黑" w:hAnsi="微软雅黑" w:eastAsia="微软雅黑" w:cs="微软雅黑"/>
          <w:sz w:val="19"/>
          <w:szCs w:val="19"/>
        </w:rPr>
      </w:pPr>
      <w:r>
        <w:rPr>
          <w:rFonts w:ascii="微软雅黑" w:hAnsi="微软雅黑" w:eastAsia="微软雅黑" w:cs="微软雅黑"/>
          <w:spacing w:val="1"/>
          <w:sz w:val="19"/>
          <w:szCs w:val="19"/>
        </w:rPr>
        <w:t>(</w:t>
      </w:r>
      <w:r>
        <w:rPr>
          <w:rFonts w:ascii="Arial" w:hAnsi="Arial" w:eastAsia="Arial" w:cs="Arial"/>
          <w:spacing w:val="1"/>
          <w:sz w:val="19"/>
          <w:szCs w:val="19"/>
        </w:rPr>
        <w:t>3</w:t>
      </w:r>
      <w:r>
        <w:rPr>
          <w:rFonts w:ascii="微软雅黑" w:hAnsi="微软雅黑" w:eastAsia="微软雅黑" w:cs="微软雅黑"/>
          <w:spacing w:val="1"/>
          <w:sz w:val="19"/>
          <w:szCs w:val="19"/>
        </w:rPr>
        <w:t xml:space="preserve">) </w:t>
      </w:r>
      <w:r>
        <w:rPr>
          <w:rFonts w:ascii="宋体" w:hAnsi="宋体" w:eastAsia="宋体" w:cs="宋体"/>
          <w:spacing w:val="1"/>
          <w:sz w:val="19"/>
          <w:szCs w:val="19"/>
        </w:rPr>
        <w:t>学生学习状态与方法的</w:t>
      </w:r>
      <w:r>
        <w:rPr>
          <w:rFonts w:ascii="微软雅黑" w:hAnsi="微软雅黑" w:eastAsia="微软雅黑" w:cs="微软雅黑"/>
          <w:spacing w:val="1"/>
          <w:sz w:val="19"/>
          <w:szCs w:val="19"/>
        </w:rPr>
        <w:t>“</w:t>
      </w:r>
      <w:r>
        <w:rPr>
          <w:rFonts w:ascii="微软雅黑" w:hAnsi="微软雅黑" w:eastAsia="微软雅黑" w:cs="微软雅黑"/>
          <w:spacing w:val="-28"/>
          <w:sz w:val="19"/>
          <w:szCs w:val="19"/>
        </w:rPr>
        <w:t xml:space="preserve"> </w:t>
      </w:r>
      <w:r>
        <w:rPr>
          <w:rFonts w:ascii="宋体" w:hAnsi="宋体" w:eastAsia="宋体" w:cs="宋体"/>
          <w:spacing w:val="1"/>
          <w:sz w:val="19"/>
          <w:szCs w:val="19"/>
        </w:rPr>
        <w:t>失范</w:t>
      </w:r>
      <w:r>
        <w:rPr>
          <w:rFonts w:ascii="微软雅黑" w:hAnsi="微软雅黑" w:eastAsia="微软雅黑" w:cs="微软雅黑"/>
          <w:spacing w:val="1"/>
          <w:sz w:val="19"/>
          <w:szCs w:val="19"/>
        </w:rPr>
        <w:t>”。</w:t>
      </w:r>
    </w:p>
    <w:p>
      <w:pPr>
        <w:spacing w:before="69" w:line="236" w:lineRule="auto"/>
        <w:ind w:left="872" w:right="272" w:firstLine="448"/>
        <w:rPr>
          <w:rFonts w:ascii="微软雅黑" w:hAnsi="微软雅黑" w:eastAsia="微软雅黑" w:cs="微软雅黑"/>
          <w:sz w:val="19"/>
          <w:szCs w:val="19"/>
        </w:rPr>
      </w:pPr>
      <w:r>
        <w:rPr>
          <w:rFonts w:ascii="宋体" w:hAnsi="宋体" w:eastAsia="宋体" w:cs="宋体"/>
          <w:spacing w:val="13"/>
          <w:sz w:val="19"/>
          <w:szCs w:val="19"/>
        </w:rPr>
        <w:t>白皮书对学生应具备</w:t>
      </w:r>
      <w:r>
        <w:rPr>
          <w:rFonts w:ascii="宋体" w:hAnsi="宋体" w:eastAsia="宋体" w:cs="宋体"/>
          <w:spacing w:val="-34"/>
          <w:sz w:val="19"/>
          <w:szCs w:val="19"/>
        </w:rPr>
        <w:t xml:space="preserve"> </w:t>
      </w:r>
      <w:r>
        <w:rPr>
          <w:rFonts w:ascii="宋体" w:hAnsi="宋体" w:eastAsia="宋体" w:cs="宋体"/>
          <w:spacing w:val="13"/>
          <w:sz w:val="19"/>
          <w:szCs w:val="19"/>
        </w:rPr>
        <w:t>的批判性思维</w:t>
      </w:r>
      <w:r>
        <w:rPr>
          <w:rFonts w:ascii="微软雅黑" w:hAnsi="微软雅黑" w:eastAsia="微软雅黑" w:cs="微软雅黑"/>
          <w:spacing w:val="13"/>
          <w:sz w:val="19"/>
          <w:szCs w:val="19"/>
        </w:rPr>
        <w:t>、</w:t>
      </w:r>
      <w:r>
        <w:rPr>
          <w:rFonts w:ascii="宋体" w:hAnsi="宋体" w:eastAsia="宋体" w:cs="宋体"/>
          <w:spacing w:val="13"/>
          <w:sz w:val="19"/>
          <w:szCs w:val="19"/>
        </w:rPr>
        <w:t xml:space="preserve">知识迁移 </w:t>
      </w:r>
      <w:r>
        <w:rPr>
          <w:rFonts w:ascii="宋体" w:hAnsi="宋体" w:eastAsia="宋体" w:cs="宋体"/>
          <w:spacing w:val="11"/>
          <w:sz w:val="19"/>
          <w:szCs w:val="19"/>
        </w:rPr>
        <w:t>能力等通用</w:t>
      </w:r>
      <w:r>
        <w:rPr>
          <w:rFonts w:ascii="宋体" w:hAnsi="宋体" w:eastAsia="宋体" w:cs="宋体"/>
          <w:spacing w:val="-45"/>
          <w:sz w:val="19"/>
          <w:szCs w:val="19"/>
        </w:rPr>
        <w:t xml:space="preserve"> </w:t>
      </w:r>
      <w:r>
        <w:rPr>
          <w:rFonts w:ascii="宋体" w:hAnsi="宋体" w:eastAsia="宋体" w:cs="宋体"/>
          <w:spacing w:val="11"/>
          <w:sz w:val="19"/>
          <w:szCs w:val="19"/>
        </w:rPr>
        <w:t>能力和注重</w:t>
      </w:r>
      <w:r>
        <w:rPr>
          <w:rFonts w:ascii="宋体" w:hAnsi="宋体" w:eastAsia="宋体" w:cs="宋体"/>
          <w:spacing w:val="-29"/>
          <w:sz w:val="19"/>
          <w:szCs w:val="19"/>
        </w:rPr>
        <w:t xml:space="preserve"> </w:t>
      </w:r>
      <w:r>
        <w:rPr>
          <w:rFonts w:ascii="宋体" w:hAnsi="宋体" w:eastAsia="宋体" w:cs="宋体"/>
          <w:spacing w:val="11"/>
          <w:sz w:val="19"/>
          <w:szCs w:val="19"/>
        </w:rPr>
        <w:t>自主</w:t>
      </w:r>
      <w:r>
        <w:rPr>
          <w:rFonts w:ascii="宋体" w:hAnsi="宋体" w:eastAsia="宋体" w:cs="宋体"/>
          <w:spacing w:val="-57"/>
          <w:sz w:val="19"/>
          <w:szCs w:val="19"/>
        </w:rPr>
        <w:t xml:space="preserve"> </w:t>
      </w:r>
      <w:r>
        <w:rPr>
          <w:rFonts w:ascii="宋体" w:hAnsi="宋体" w:eastAsia="宋体" w:cs="宋体"/>
          <w:spacing w:val="11"/>
          <w:sz w:val="19"/>
          <w:szCs w:val="19"/>
        </w:rPr>
        <w:t>学</w:t>
      </w:r>
      <w:r>
        <w:rPr>
          <w:rFonts w:ascii="宋体" w:hAnsi="宋体" w:eastAsia="宋体" w:cs="宋体"/>
          <w:spacing w:val="-45"/>
          <w:sz w:val="19"/>
          <w:szCs w:val="19"/>
        </w:rPr>
        <w:t xml:space="preserve"> </w:t>
      </w:r>
      <w:r>
        <w:rPr>
          <w:rFonts w:ascii="宋体" w:hAnsi="宋体" w:eastAsia="宋体" w:cs="宋体"/>
          <w:spacing w:val="11"/>
          <w:sz w:val="19"/>
          <w:szCs w:val="19"/>
        </w:rPr>
        <w:t>习</w:t>
      </w:r>
      <w:r>
        <w:rPr>
          <w:rFonts w:ascii="宋体" w:hAnsi="宋体" w:eastAsia="宋体" w:cs="宋体"/>
          <w:spacing w:val="-43"/>
          <w:sz w:val="19"/>
          <w:szCs w:val="19"/>
        </w:rPr>
        <w:t xml:space="preserve"> </w:t>
      </w:r>
      <w:r>
        <w:rPr>
          <w:rFonts w:ascii="宋体" w:hAnsi="宋体" w:eastAsia="宋体" w:cs="宋体"/>
          <w:spacing w:val="11"/>
          <w:sz w:val="19"/>
          <w:szCs w:val="19"/>
        </w:rPr>
        <w:t>的方法进</w:t>
      </w:r>
      <w:r>
        <w:rPr>
          <w:rFonts w:ascii="宋体" w:hAnsi="宋体" w:eastAsia="宋体" w:cs="宋体"/>
          <w:spacing w:val="-55"/>
          <w:sz w:val="19"/>
          <w:szCs w:val="19"/>
        </w:rPr>
        <w:t xml:space="preserve"> </w:t>
      </w:r>
      <w:r>
        <w:rPr>
          <w:rFonts w:ascii="宋体" w:hAnsi="宋体" w:eastAsia="宋体" w:cs="宋体"/>
          <w:spacing w:val="11"/>
          <w:sz w:val="19"/>
          <w:szCs w:val="19"/>
        </w:rPr>
        <w:t>行</w:t>
      </w:r>
      <w:r>
        <w:rPr>
          <w:rFonts w:ascii="宋体" w:hAnsi="宋体" w:eastAsia="宋体" w:cs="宋体"/>
          <w:spacing w:val="-41"/>
          <w:sz w:val="19"/>
          <w:szCs w:val="19"/>
        </w:rPr>
        <w:t xml:space="preserve"> </w:t>
      </w:r>
      <w:r>
        <w:rPr>
          <w:rFonts w:ascii="宋体" w:hAnsi="宋体" w:eastAsia="宋体" w:cs="宋体"/>
          <w:spacing w:val="11"/>
          <w:sz w:val="19"/>
          <w:szCs w:val="19"/>
        </w:rPr>
        <w:t xml:space="preserve">了规 </w:t>
      </w:r>
      <w:r>
        <w:rPr>
          <w:rFonts w:ascii="宋体" w:hAnsi="宋体" w:eastAsia="宋体" w:cs="宋体"/>
          <w:spacing w:val="-1"/>
          <w:sz w:val="19"/>
          <w:szCs w:val="19"/>
        </w:rPr>
        <w:t>范</w:t>
      </w:r>
      <w:r>
        <w:rPr>
          <w:rFonts w:ascii="微软雅黑" w:hAnsi="微软雅黑" w:eastAsia="微软雅黑" w:cs="微软雅黑"/>
          <w:spacing w:val="-1"/>
          <w:sz w:val="19"/>
          <w:szCs w:val="19"/>
        </w:rPr>
        <w:t>，</w:t>
      </w:r>
      <w:r>
        <w:rPr>
          <w:rFonts w:ascii="宋体" w:hAnsi="宋体" w:eastAsia="宋体" w:cs="宋体"/>
          <w:spacing w:val="-1"/>
          <w:sz w:val="19"/>
          <w:szCs w:val="19"/>
        </w:rPr>
        <w:t>但学生的学习现状</w:t>
      </w:r>
      <w:r>
        <w:rPr>
          <w:rFonts w:ascii="宋体" w:hAnsi="宋体" w:eastAsia="宋体" w:cs="宋体"/>
          <w:spacing w:val="-48"/>
          <w:sz w:val="19"/>
          <w:szCs w:val="19"/>
        </w:rPr>
        <w:t xml:space="preserve"> </w:t>
      </w:r>
      <w:r>
        <w:rPr>
          <w:rFonts w:ascii="宋体" w:hAnsi="宋体" w:eastAsia="宋体" w:cs="宋体"/>
          <w:spacing w:val="-1"/>
          <w:sz w:val="19"/>
          <w:szCs w:val="19"/>
        </w:rPr>
        <w:t>出现</w:t>
      </w:r>
      <w:r>
        <w:rPr>
          <w:rFonts w:ascii="宋体" w:hAnsi="宋体" w:eastAsia="宋体" w:cs="宋体"/>
          <w:spacing w:val="-46"/>
          <w:sz w:val="19"/>
          <w:szCs w:val="19"/>
        </w:rPr>
        <w:t xml:space="preserve"> </w:t>
      </w:r>
      <w:r>
        <w:rPr>
          <w:rFonts w:ascii="宋体" w:hAnsi="宋体" w:eastAsia="宋体" w:cs="宋体"/>
          <w:spacing w:val="-1"/>
          <w:sz w:val="19"/>
          <w:szCs w:val="19"/>
        </w:rPr>
        <w:t>了</w:t>
      </w:r>
      <w:r>
        <w:rPr>
          <w:rFonts w:ascii="微软雅黑" w:hAnsi="微软雅黑" w:eastAsia="微软雅黑" w:cs="微软雅黑"/>
          <w:spacing w:val="-1"/>
          <w:sz w:val="19"/>
          <w:szCs w:val="19"/>
        </w:rPr>
        <w:t>“</w:t>
      </w:r>
      <w:r>
        <w:rPr>
          <w:rFonts w:ascii="微软雅黑" w:hAnsi="微软雅黑" w:eastAsia="微软雅黑" w:cs="微软雅黑"/>
          <w:spacing w:val="-27"/>
          <w:sz w:val="19"/>
          <w:szCs w:val="19"/>
        </w:rPr>
        <w:t xml:space="preserve"> </w:t>
      </w:r>
      <w:r>
        <w:rPr>
          <w:rFonts w:ascii="宋体" w:hAnsi="宋体" w:eastAsia="宋体" w:cs="宋体"/>
          <w:spacing w:val="-1"/>
          <w:sz w:val="19"/>
          <w:szCs w:val="19"/>
        </w:rPr>
        <w:t>失范</w:t>
      </w:r>
      <w:r>
        <w:rPr>
          <w:rFonts w:ascii="微软雅黑" w:hAnsi="微软雅黑" w:eastAsia="微软雅黑" w:cs="微软雅黑"/>
          <w:spacing w:val="-1"/>
          <w:sz w:val="19"/>
          <w:szCs w:val="19"/>
        </w:rPr>
        <w:t>”</w:t>
      </w:r>
      <w:r>
        <w:rPr>
          <w:rFonts w:ascii="宋体" w:hAnsi="宋体" w:eastAsia="宋体" w:cs="宋体"/>
          <w:spacing w:val="-1"/>
          <w:sz w:val="19"/>
          <w:szCs w:val="19"/>
        </w:rPr>
        <w:t>现象</w:t>
      </w:r>
      <w:r>
        <w:rPr>
          <w:rFonts w:ascii="宋体" w:hAnsi="宋体" w:eastAsia="宋体" w:cs="宋体"/>
          <w:spacing w:val="-53"/>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29"/>
          <w:sz w:val="19"/>
          <w:szCs w:val="19"/>
        </w:rPr>
        <w:t xml:space="preserve"> </w:t>
      </w:r>
      <w:r>
        <w:rPr>
          <w:rFonts w:ascii="宋体" w:hAnsi="宋体" w:eastAsia="宋体" w:cs="宋体"/>
          <w:spacing w:val="-2"/>
          <w:sz w:val="19"/>
          <w:szCs w:val="19"/>
        </w:rPr>
        <w:t>学生</w:t>
      </w:r>
      <w:r>
        <w:rPr>
          <w:rFonts w:ascii="宋体" w:hAnsi="宋体" w:eastAsia="宋体" w:cs="宋体"/>
          <w:spacing w:val="-48"/>
          <w:sz w:val="19"/>
          <w:szCs w:val="19"/>
        </w:rPr>
        <w:t xml:space="preserve"> </w:t>
      </w:r>
      <w:r>
        <w:rPr>
          <w:rFonts w:ascii="宋体" w:hAnsi="宋体" w:eastAsia="宋体" w:cs="宋体"/>
          <w:spacing w:val="-2"/>
          <w:sz w:val="19"/>
          <w:szCs w:val="19"/>
        </w:rPr>
        <w:t xml:space="preserve">的 </w:t>
      </w:r>
      <w:r>
        <w:rPr>
          <w:rFonts w:ascii="宋体" w:hAnsi="宋体" w:eastAsia="宋体" w:cs="宋体"/>
          <w:spacing w:val="15"/>
          <w:sz w:val="19"/>
          <w:szCs w:val="19"/>
        </w:rPr>
        <w:t>学习过程与社会实践联系不紧密</w:t>
      </w:r>
      <w:r>
        <w:rPr>
          <w:rFonts w:ascii="微软雅黑" w:hAnsi="微软雅黑" w:eastAsia="微软雅黑" w:cs="微软雅黑"/>
          <w:spacing w:val="15"/>
          <w:sz w:val="19"/>
          <w:szCs w:val="19"/>
        </w:rPr>
        <w:t>，</w:t>
      </w:r>
      <w:r>
        <w:rPr>
          <w:rFonts w:ascii="宋体" w:hAnsi="宋体" w:eastAsia="宋体" w:cs="宋体"/>
          <w:spacing w:val="15"/>
          <w:sz w:val="19"/>
          <w:szCs w:val="19"/>
        </w:rPr>
        <w:t>理论与实践</w:t>
      </w:r>
      <w:r>
        <w:rPr>
          <w:rFonts w:ascii="宋体" w:hAnsi="宋体" w:eastAsia="宋体" w:cs="宋体"/>
          <w:spacing w:val="-38"/>
          <w:sz w:val="19"/>
          <w:szCs w:val="19"/>
        </w:rPr>
        <w:t xml:space="preserve"> </w:t>
      </w:r>
      <w:r>
        <w:rPr>
          <w:rFonts w:ascii="宋体" w:hAnsi="宋体" w:eastAsia="宋体" w:cs="宋体"/>
          <w:spacing w:val="15"/>
          <w:sz w:val="19"/>
          <w:szCs w:val="19"/>
        </w:rPr>
        <w:t>的脱 节影响了学生通用能力的培养</w:t>
      </w:r>
      <w:r>
        <w:rPr>
          <w:rFonts w:ascii="宋体" w:hAnsi="宋体" w:eastAsia="宋体" w:cs="宋体"/>
          <w:spacing w:val="-38"/>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现代教育中日益强 调信息技术的重要性</w:t>
      </w:r>
      <w:r>
        <w:rPr>
          <w:rFonts w:ascii="微软雅黑" w:hAnsi="微软雅黑" w:eastAsia="微软雅黑" w:cs="微软雅黑"/>
          <w:spacing w:val="15"/>
          <w:sz w:val="19"/>
          <w:szCs w:val="19"/>
        </w:rPr>
        <w:t>，</w:t>
      </w:r>
      <w:r>
        <w:rPr>
          <w:rFonts w:ascii="宋体" w:hAnsi="宋体" w:eastAsia="宋体" w:cs="宋体"/>
          <w:spacing w:val="15"/>
          <w:sz w:val="19"/>
          <w:szCs w:val="19"/>
        </w:rPr>
        <w:t>但</w:t>
      </w:r>
      <w:r>
        <w:rPr>
          <w:rFonts w:ascii="宋体" w:hAnsi="宋体" w:eastAsia="宋体" w:cs="宋体"/>
          <w:spacing w:val="-38"/>
          <w:sz w:val="19"/>
          <w:szCs w:val="19"/>
        </w:rPr>
        <w:t xml:space="preserve"> </w:t>
      </w:r>
      <w:r>
        <w:rPr>
          <w:rFonts w:ascii="宋体" w:hAnsi="宋体" w:eastAsia="宋体" w:cs="宋体"/>
          <w:spacing w:val="15"/>
          <w:sz w:val="19"/>
          <w:szCs w:val="19"/>
        </w:rPr>
        <w:t xml:space="preserve">只有近一半的学生认为数 </w:t>
      </w:r>
      <w:r>
        <w:rPr>
          <w:rFonts w:ascii="宋体" w:hAnsi="宋体" w:eastAsia="宋体" w:cs="宋体"/>
          <w:spacing w:val="21"/>
          <w:sz w:val="19"/>
          <w:szCs w:val="19"/>
        </w:rPr>
        <w:t>字化的学习手段有助于改善自己的专业知识学习</w:t>
      </w:r>
      <w:r>
        <w:rPr>
          <w:rFonts w:ascii="微软雅黑" w:hAnsi="微软雅黑" w:eastAsia="微软雅黑" w:cs="微软雅黑"/>
          <w:spacing w:val="21"/>
          <w:sz w:val="19"/>
          <w:szCs w:val="19"/>
        </w:rPr>
        <w:t>，</w:t>
      </w:r>
      <w:r>
        <w:rPr>
          <w:rFonts w:ascii="微软雅黑" w:hAnsi="微软雅黑" w:eastAsia="微软雅黑" w:cs="微软雅黑"/>
          <w:spacing w:val="15"/>
          <w:sz w:val="19"/>
          <w:szCs w:val="19"/>
        </w:rPr>
        <w:t xml:space="preserve"> </w:t>
      </w:r>
      <w:r>
        <w:rPr>
          <w:rFonts w:ascii="宋体" w:hAnsi="宋体" w:eastAsia="宋体" w:cs="宋体"/>
          <w:spacing w:val="17"/>
          <w:sz w:val="19"/>
          <w:szCs w:val="19"/>
        </w:rPr>
        <w:t>更多的学生认为数字化的学习手段只能满足日常学 习的需要</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表明数字化的学习手段与学生专业知识 </w:t>
      </w:r>
      <w:r>
        <w:rPr>
          <w:rFonts w:ascii="宋体" w:hAnsi="宋体" w:eastAsia="宋体" w:cs="宋体"/>
          <w:spacing w:val="12"/>
          <w:sz w:val="19"/>
          <w:szCs w:val="19"/>
        </w:rPr>
        <w:t>和技能学习的结合有待加强</w:t>
      </w:r>
      <w:r>
        <w:rPr>
          <w:rFonts w:ascii="宋体" w:hAnsi="宋体" w:eastAsia="宋体" w:cs="宋体"/>
          <w:spacing w:val="-40"/>
          <w:sz w:val="19"/>
          <w:szCs w:val="19"/>
        </w:rPr>
        <w:t xml:space="preserve"> </w:t>
      </w:r>
      <w:r>
        <w:rPr>
          <w:rFonts w:ascii="微软雅黑" w:hAnsi="微软雅黑" w:eastAsia="微软雅黑" w:cs="微软雅黑"/>
          <w:spacing w:val="12"/>
          <w:sz w:val="19"/>
          <w:szCs w:val="19"/>
        </w:rPr>
        <w:t>。</w:t>
      </w:r>
      <w:r>
        <w:rPr>
          <w:rFonts w:ascii="微软雅黑" w:hAnsi="微软雅黑" w:eastAsia="微软雅黑" w:cs="微软雅黑"/>
          <w:spacing w:val="-32"/>
          <w:sz w:val="19"/>
          <w:szCs w:val="19"/>
        </w:rPr>
        <w:t xml:space="preserve"> </w:t>
      </w:r>
      <w:r>
        <w:rPr>
          <w:rFonts w:ascii="宋体" w:hAnsi="宋体" w:eastAsia="宋体" w:cs="宋体"/>
          <w:spacing w:val="12"/>
          <w:sz w:val="19"/>
          <w:szCs w:val="19"/>
        </w:rPr>
        <w:t>此外</w:t>
      </w:r>
      <w:r>
        <w:rPr>
          <w:rFonts w:ascii="微软雅黑" w:hAnsi="微软雅黑" w:eastAsia="微软雅黑" w:cs="微软雅黑"/>
          <w:spacing w:val="12"/>
          <w:sz w:val="19"/>
          <w:szCs w:val="19"/>
        </w:rPr>
        <w:t>，</w:t>
      </w:r>
      <w:r>
        <w:rPr>
          <w:rFonts w:ascii="宋体" w:hAnsi="宋体" w:eastAsia="宋体" w:cs="宋体"/>
          <w:spacing w:val="12"/>
          <w:sz w:val="19"/>
          <w:szCs w:val="19"/>
        </w:rPr>
        <w:t>传统</w:t>
      </w:r>
      <w:r>
        <w:rPr>
          <w:rFonts w:ascii="宋体" w:hAnsi="宋体" w:eastAsia="宋体" w:cs="宋体"/>
          <w:spacing w:val="-48"/>
          <w:sz w:val="19"/>
          <w:szCs w:val="19"/>
        </w:rPr>
        <w:t xml:space="preserve"> </w:t>
      </w:r>
      <w:r>
        <w:rPr>
          <w:rFonts w:ascii="宋体" w:hAnsi="宋体" w:eastAsia="宋体" w:cs="宋体"/>
          <w:spacing w:val="12"/>
          <w:sz w:val="19"/>
          <w:szCs w:val="19"/>
        </w:rPr>
        <w:t xml:space="preserve">的考试方 </w:t>
      </w:r>
      <w:r>
        <w:rPr>
          <w:rFonts w:ascii="宋体" w:hAnsi="宋体" w:eastAsia="宋体" w:cs="宋体"/>
          <w:spacing w:val="9"/>
          <w:sz w:val="19"/>
          <w:szCs w:val="19"/>
        </w:rPr>
        <w:t>式</w:t>
      </w:r>
      <w:r>
        <w:rPr>
          <w:rFonts w:ascii="微软雅黑" w:hAnsi="微软雅黑" w:eastAsia="微软雅黑" w:cs="微软雅黑"/>
          <w:spacing w:val="9"/>
          <w:sz w:val="19"/>
          <w:szCs w:val="19"/>
        </w:rPr>
        <w:t>、</w:t>
      </w:r>
      <w:r>
        <w:rPr>
          <w:rFonts w:ascii="宋体" w:hAnsi="宋体" w:eastAsia="宋体" w:cs="宋体"/>
          <w:spacing w:val="9"/>
          <w:sz w:val="19"/>
          <w:szCs w:val="19"/>
        </w:rPr>
        <w:t>评估方式限制了学生的自主学习</w:t>
      </w:r>
      <w:r>
        <w:rPr>
          <w:rFonts w:ascii="微软雅黑" w:hAnsi="微软雅黑" w:eastAsia="微软雅黑" w:cs="微软雅黑"/>
          <w:spacing w:val="9"/>
          <w:sz w:val="19"/>
          <w:szCs w:val="19"/>
        </w:rPr>
        <w:t>，</w:t>
      </w:r>
      <w:r>
        <w:rPr>
          <w:rFonts w:ascii="宋体" w:hAnsi="宋体" w:eastAsia="宋体" w:cs="宋体"/>
          <w:spacing w:val="9"/>
          <w:sz w:val="19"/>
          <w:szCs w:val="19"/>
        </w:rPr>
        <w:t>高校对</w:t>
      </w:r>
      <w:r>
        <w:rPr>
          <w:rFonts w:ascii="宋体" w:hAnsi="宋体" w:eastAsia="宋体" w:cs="宋体"/>
          <w:spacing w:val="8"/>
          <w:sz w:val="19"/>
          <w:szCs w:val="19"/>
        </w:rPr>
        <w:t xml:space="preserve">学生的 </w:t>
      </w:r>
      <w:r>
        <w:rPr>
          <w:rFonts w:ascii="宋体" w:hAnsi="宋体" w:eastAsia="宋体" w:cs="宋体"/>
          <w:spacing w:val="10"/>
          <w:sz w:val="19"/>
          <w:szCs w:val="19"/>
        </w:rPr>
        <w:t>评价方式也有待进一步完善</w:t>
      </w:r>
      <w:r>
        <w:rPr>
          <w:rFonts w:ascii="宋体" w:hAnsi="宋体" w:eastAsia="宋体" w:cs="宋体"/>
          <w:spacing w:val="-42"/>
          <w:sz w:val="19"/>
          <w:szCs w:val="19"/>
        </w:rPr>
        <w:t xml:space="preserve"> </w:t>
      </w:r>
      <w:r>
        <w:rPr>
          <w:rFonts w:ascii="微软雅黑" w:hAnsi="微软雅黑" w:eastAsia="微软雅黑" w:cs="微软雅黑"/>
          <w:spacing w:val="10"/>
          <w:sz w:val="19"/>
          <w:szCs w:val="19"/>
        </w:rPr>
        <w:t>。</w:t>
      </w:r>
      <w:r>
        <w:rPr>
          <w:rFonts w:ascii="微软雅黑" w:hAnsi="微软雅黑" w:eastAsia="微软雅黑" w:cs="微软雅黑"/>
          <w:spacing w:val="-27"/>
          <w:sz w:val="19"/>
          <w:szCs w:val="19"/>
        </w:rPr>
        <w:t xml:space="preserve"> </w:t>
      </w:r>
      <w:r>
        <w:rPr>
          <w:rFonts w:ascii="宋体" w:hAnsi="宋体" w:eastAsia="宋体" w:cs="宋体"/>
          <w:spacing w:val="10"/>
          <w:sz w:val="19"/>
          <w:szCs w:val="19"/>
        </w:rPr>
        <w:t>总之</w:t>
      </w:r>
      <w:r>
        <w:rPr>
          <w:rFonts w:ascii="微软雅黑" w:hAnsi="微软雅黑" w:eastAsia="微软雅黑" w:cs="微软雅黑"/>
          <w:spacing w:val="10"/>
          <w:sz w:val="19"/>
          <w:szCs w:val="19"/>
        </w:rPr>
        <w:t>，</w:t>
      </w:r>
      <w:r>
        <w:rPr>
          <w:rFonts w:ascii="宋体" w:hAnsi="宋体" w:eastAsia="宋体" w:cs="宋体"/>
          <w:spacing w:val="10"/>
          <w:sz w:val="19"/>
          <w:szCs w:val="19"/>
        </w:rPr>
        <w:t>学生</w:t>
      </w:r>
      <w:r>
        <w:rPr>
          <w:rFonts w:ascii="宋体" w:hAnsi="宋体" w:eastAsia="宋体" w:cs="宋体"/>
          <w:spacing w:val="-49"/>
          <w:sz w:val="19"/>
          <w:szCs w:val="19"/>
        </w:rPr>
        <w:t xml:space="preserve"> </w:t>
      </w:r>
      <w:r>
        <w:rPr>
          <w:rFonts w:ascii="宋体" w:hAnsi="宋体" w:eastAsia="宋体" w:cs="宋体"/>
          <w:spacing w:val="10"/>
          <w:sz w:val="19"/>
          <w:szCs w:val="19"/>
        </w:rPr>
        <w:t>的学</w:t>
      </w:r>
      <w:r>
        <w:rPr>
          <w:rFonts w:ascii="宋体" w:hAnsi="宋体" w:eastAsia="宋体" w:cs="宋体"/>
          <w:spacing w:val="-51"/>
          <w:sz w:val="19"/>
          <w:szCs w:val="19"/>
        </w:rPr>
        <w:t xml:space="preserve"> </w:t>
      </w:r>
      <w:r>
        <w:rPr>
          <w:rFonts w:ascii="宋体" w:hAnsi="宋体" w:eastAsia="宋体" w:cs="宋体"/>
          <w:spacing w:val="10"/>
          <w:sz w:val="19"/>
          <w:szCs w:val="19"/>
        </w:rPr>
        <w:t xml:space="preserve">习现 </w:t>
      </w:r>
      <w:r>
        <w:rPr>
          <w:rFonts w:ascii="宋体" w:hAnsi="宋体" w:eastAsia="宋体" w:cs="宋体"/>
          <w:spacing w:val="19"/>
          <w:sz w:val="19"/>
          <w:szCs w:val="19"/>
        </w:rPr>
        <w:t>状与高校质量文化建设</w:t>
      </w:r>
      <w:r>
        <w:rPr>
          <w:rFonts w:ascii="宋体" w:hAnsi="宋体" w:eastAsia="宋体" w:cs="宋体"/>
          <w:spacing w:val="-36"/>
          <w:sz w:val="19"/>
          <w:szCs w:val="19"/>
        </w:rPr>
        <w:t xml:space="preserve"> </w:t>
      </w:r>
      <w:r>
        <w:rPr>
          <w:rFonts w:ascii="宋体" w:hAnsi="宋体" w:eastAsia="宋体" w:cs="宋体"/>
          <w:spacing w:val="19"/>
          <w:sz w:val="19"/>
          <w:szCs w:val="19"/>
        </w:rPr>
        <w:t>的理想状态仍然存在差距</w:t>
      </w:r>
      <w:r>
        <w:rPr>
          <w:rFonts w:ascii="微软雅黑" w:hAnsi="微软雅黑" w:eastAsia="微软雅黑" w:cs="微软雅黑"/>
          <w:spacing w:val="19"/>
          <w:sz w:val="19"/>
          <w:szCs w:val="19"/>
        </w:rPr>
        <w:t>，</w:t>
      </w:r>
      <w:r>
        <w:rPr>
          <w:rFonts w:ascii="微软雅黑" w:hAnsi="微软雅黑" w:eastAsia="微软雅黑" w:cs="微软雅黑"/>
          <w:sz w:val="19"/>
          <w:szCs w:val="19"/>
        </w:rPr>
        <w:t xml:space="preserve"> </w:t>
      </w:r>
      <w:r>
        <w:rPr>
          <w:rFonts w:ascii="宋体" w:hAnsi="宋体" w:eastAsia="宋体" w:cs="宋体"/>
          <w:spacing w:val="8"/>
          <w:sz w:val="19"/>
          <w:szCs w:val="19"/>
        </w:rPr>
        <w:t>其</w:t>
      </w:r>
      <w:r>
        <w:rPr>
          <w:rFonts w:ascii="微软雅黑" w:hAnsi="微软雅黑" w:eastAsia="微软雅黑" w:cs="微软雅黑"/>
          <w:spacing w:val="8"/>
          <w:sz w:val="19"/>
          <w:szCs w:val="19"/>
        </w:rPr>
        <w:t>“</w:t>
      </w:r>
      <w:r>
        <w:rPr>
          <w:rFonts w:ascii="微软雅黑" w:hAnsi="微软雅黑" w:eastAsia="微软雅黑" w:cs="微软雅黑"/>
          <w:spacing w:val="-33"/>
          <w:sz w:val="19"/>
          <w:szCs w:val="19"/>
        </w:rPr>
        <w:t xml:space="preserve"> </w:t>
      </w:r>
      <w:r>
        <w:rPr>
          <w:rFonts w:ascii="宋体" w:hAnsi="宋体" w:eastAsia="宋体" w:cs="宋体"/>
          <w:spacing w:val="8"/>
          <w:sz w:val="19"/>
          <w:szCs w:val="19"/>
        </w:rPr>
        <w:t>失范</w:t>
      </w:r>
      <w:r>
        <w:rPr>
          <w:rFonts w:ascii="微软雅黑" w:hAnsi="微软雅黑" w:eastAsia="微软雅黑" w:cs="微软雅黑"/>
          <w:spacing w:val="8"/>
          <w:sz w:val="19"/>
          <w:szCs w:val="19"/>
        </w:rPr>
        <w:t>”</w:t>
      </w:r>
      <w:r>
        <w:rPr>
          <w:rFonts w:ascii="宋体" w:hAnsi="宋体" w:eastAsia="宋体" w:cs="宋体"/>
          <w:spacing w:val="8"/>
          <w:sz w:val="19"/>
          <w:szCs w:val="19"/>
        </w:rPr>
        <w:t>现象也是高等教育质量文化建设面临</w:t>
      </w:r>
      <w:r>
        <w:rPr>
          <w:rFonts w:ascii="宋体" w:hAnsi="宋体" w:eastAsia="宋体" w:cs="宋体"/>
          <w:spacing w:val="7"/>
          <w:sz w:val="19"/>
          <w:szCs w:val="19"/>
        </w:rPr>
        <w:t xml:space="preserve">的一 </w:t>
      </w:r>
      <w:r>
        <w:rPr>
          <w:rFonts w:ascii="宋体" w:hAnsi="宋体" w:eastAsia="宋体" w:cs="宋体"/>
          <w:spacing w:val="17"/>
          <w:sz w:val="19"/>
          <w:szCs w:val="19"/>
        </w:rPr>
        <w:t>个现实挑战</w:t>
      </w:r>
      <w:r>
        <w:rPr>
          <w:rFonts w:ascii="微软雅黑" w:hAnsi="微软雅黑" w:eastAsia="微软雅黑" w:cs="微软雅黑"/>
          <w:spacing w:val="17"/>
          <w:sz w:val="19"/>
          <w:szCs w:val="19"/>
        </w:rPr>
        <w:t>。</w:t>
      </w:r>
    </w:p>
    <w:p>
      <w:pPr>
        <w:spacing w:before="66" w:line="212" w:lineRule="auto"/>
        <w:ind w:left="1292"/>
        <w:rPr>
          <w:rFonts w:ascii="黑体" w:hAnsi="黑体" w:eastAsia="黑体" w:cs="黑体"/>
          <w:sz w:val="19"/>
          <w:szCs w:val="19"/>
        </w:rPr>
      </w:pPr>
      <w:r>
        <w:rPr>
          <w:rFonts w:ascii="Arial" w:hAnsi="Arial" w:eastAsia="Arial" w:cs="Arial"/>
          <w:spacing w:val="16"/>
          <w:sz w:val="19"/>
          <w:szCs w:val="19"/>
        </w:rPr>
        <w:t>3.</w:t>
      </w:r>
      <w:r>
        <w:rPr>
          <w:rFonts w:ascii="黑体" w:hAnsi="黑体" w:eastAsia="黑体" w:cs="黑体"/>
          <w:spacing w:val="16"/>
          <w:sz w:val="19"/>
          <w:szCs w:val="19"/>
        </w:rPr>
        <w:t>挪威高等教育质量文化建设的目标及举措</w:t>
      </w:r>
    </w:p>
    <w:p>
      <w:pPr>
        <w:spacing w:before="99" w:line="233" w:lineRule="auto"/>
        <w:ind w:left="873" w:right="344" w:firstLine="316"/>
        <w:rPr>
          <w:rFonts w:ascii="微软雅黑" w:hAnsi="微软雅黑" w:eastAsia="微软雅黑" w:cs="微软雅黑"/>
          <w:sz w:val="10"/>
          <w:szCs w:val="10"/>
        </w:rPr>
      </w:pPr>
      <w:r>
        <w:rPr>
          <w:rFonts w:ascii="微软雅黑" w:hAnsi="微软雅黑" w:eastAsia="微软雅黑" w:cs="微软雅黑"/>
          <w:spacing w:val="13"/>
          <w:sz w:val="19"/>
          <w:szCs w:val="19"/>
        </w:rPr>
        <w:t>《</w:t>
      </w:r>
      <w:r>
        <w:rPr>
          <w:rFonts w:ascii="宋体" w:hAnsi="宋体" w:eastAsia="宋体" w:cs="宋体"/>
          <w:spacing w:val="13"/>
          <w:sz w:val="19"/>
          <w:szCs w:val="19"/>
        </w:rPr>
        <w:t>高等教育质量文化</w:t>
      </w:r>
      <w:r>
        <w:rPr>
          <w:rFonts w:ascii="微软雅黑" w:hAnsi="微软雅黑" w:eastAsia="微软雅黑" w:cs="微软雅黑"/>
          <w:spacing w:val="13"/>
          <w:sz w:val="19"/>
          <w:szCs w:val="19"/>
        </w:rPr>
        <w:t>》</w:t>
      </w:r>
      <w:r>
        <w:rPr>
          <w:rFonts w:ascii="宋体" w:hAnsi="宋体" w:eastAsia="宋体" w:cs="宋体"/>
          <w:spacing w:val="13"/>
          <w:sz w:val="19"/>
          <w:szCs w:val="19"/>
        </w:rPr>
        <w:t>白皮书在总结挪威高校质</w:t>
      </w:r>
      <w:r>
        <w:rPr>
          <w:rFonts w:ascii="宋体" w:hAnsi="宋体" w:eastAsia="宋体" w:cs="宋体"/>
          <w:spacing w:val="5"/>
          <w:sz w:val="19"/>
          <w:szCs w:val="19"/>
        </w:rPr>
        <w:t xml:space="preserve"> </w:t>
      </w:r>
      <w:r>
        <w:rPr>
          <w:rFonts w:ascii="宋体" w:hAnsi="宋体" w:eastAsia="宋体" w:cs="宋体"/>
          <w:spacing w:val="19"/>
          <w:sz w:val="19"/>
          <w:szCs w:val="19"/>
        </w:rPr>
        <w:t>量保障过程及分析质量文化建</w:t>
      </w:r>
      <w:r>
        <w:rPr>
          <w:rFonts w:ascii="宋体" w:hAnsi="宋体" w:eastAsia="宋体" w:cs="宋体"/>
          <w:spacing w:val="-45"/>
          <w:sz w:val="19"/>
          <w:szCs w:val="19"/>
        </w:rPr>
        <w:t xml:space="preserve"> </w:t>
      </w:r>
      <w:r>
        <w:rPr>
          <w:rFonts w:ascii="宋体" w:hAnsi="宋体" w:eastAsia="宋体" w:cs="宋体"/>
          <w:spacing w:val="19"/>
          <w:sz w:val="19"/>
          <w:szCs w:val="19"/>
        </w:rPr>
        <w:t>设面</w:t>
      </w:r>
      <w:r>
        <w:rPr>
          <w:rFonts w:ascii="宋体" w:hAnsi="宋体" w:eastAsia="宋体" w:cs="宋体"/>
          <w:spacing w:val="-48"/>
          <w:sz w:val="19"/>
          <w:szCs w:val="19"/>
        </w:rPr>
        <w:t xml:space="preserve"> </w:t>
      </w:r>
      <w:r>
        <w:rPr>
          <w:rFonts w:ascii="宋体" w:hAnsi="宋体" w:eastAsia="宋体" w:cs="宋体"/>
          <w:spacing w:val="19"/>
          <w:sz w:val="19"/>
          <w:szCs w:val="19"/>
        </w:rPr>
        <w:t>临</w:t>
      </w:r>
      <w:r>
        <w:rPr>
          <w:rFonts w:ascii="宋体" w:hAnsi="宋体" w:eastAsia="宋体" w:cs="宋体"/>
          <w:spacing w:val="-42"/>
          <w:sz w:val="19"/>
          <w:szCs w:val="19"/>
        </w:rPr>
        <w:t xml:space="preserve"> </w:t>
      </w:r>
      <w:r>
        <w:rPr>
          <w:rFonts w:ascii="宋体" w:hAnsi="宋体" w:eastAsia="宋体" w:cs="宋体"/>
          <w:spacing w:val="19"/>
          <w:sz w:val="19"/>
          <w:szCs w:val="19"/>
        </w:rPr>
        <w:t>的挑</w:t>
      </w:r>
      <w:r>
        <w:rPr>
          <w:rFonts w:ascii="宋体" w:hAnsi="宋体" w:eastAsia="宋体" w:cs="宋体"/>
          <w:spacing w:val="-50"/>
          <w:sz w:val="19"/>
          <w:szCs w:val="19"/>
        </w:rPr>
        <w:t xml:space="preserve"> </w:t>
      </w:r>
      <w:r>
        <w:rPr>
          <w:rFonts w:ascii="宋体" w:hAnsi="宋体" w:eastAsia="宋体" w:cs="宋体"/>
          <w:spacing w:val="19"/>
          <w:sz w:val="19"/>
          <w:szCs w:val="19"/>
        </w:rPr>
        <w:t>战基础</w:t>
      </w:r>
      <w:r>
        <w:rPr>
          <w:rFonts w:ascii="宋体" w:hAnsi="宋体" w:eastAsia="宋体" w:cs="宋体"/>
          <w:sz w:val="19"/>
          <w:szCs w:val="19"/>
        </w:rPr>
        <w:t xml:space="preserve"> </w:t>
      </w:r>
      <w:r>
        <w:rPr>
          <w:rFonts w:ascii="宋体" w:hAnsi="宋体" w:eastAsia="宋体" w:cs="宋体"/>
          <w:spacing w:val="9"/>
          <w:sz w:val="19"/>
          <w:szCs w:val="19"/>
        </w:rPr>
        <w:t>上</w:t>
      </w:r>
      <w:r>
        <w:rPr>
          <w:rFonts w:ascii="微软雅黑" w:hAnsi="微软雅黑" w:eastAsia="微软雅黑" w:cs="微软雅黑"/>
          <w:spacing w:val="9"/>
          <w:position w:val="1"/>
          <w:sz w:val="19"/>
          <w:szCs w:val="19"/>
        </w:rPr>
        <w:t>，</w:t>
      </w:r>
      <w:r>
        <w:rPr>
          <w:rFonts w:ascii="宋体" w:hAnsi="宋体" w:eastAsia="宋体" w:cs="宋体"/>
          <w:spacing w:val="9"/>
          <w:sz w:val="19"/>
          <w:szCs w:val="19"/>
        </w:rPr>
        <w:t>结合挪威实际</w:t>
      </w:r>
      <w:r>
        <w:rPr>
          <w:rFonts w:ascii="微软雅黑" w:hAnsi="微软雅黑" w:eastAsia="微软雅黑" w:cs="微软雅黑"/>
          <w:spacing w:val="9"/>
          <w:position w:val="1"/>
          <w:sz w:val="19"/>
          <w:szCs w:val="19"/>
        </w:rPr>
        <w:t>，</w:t>
      </w:r>
      <w:r>
        <w:rPr>
          <w:rFonts w:ascii="宋体" w:hAnsi="宋体" w:eastAsia="宋体" w:cs="宋体"/>
          <w:spacing w:val="9"/>
          <w:sz w:val="19"/>
          <w:szCs w:val="19"/>
        </w:rPr>
        <w:t>提出了</w:t>
      </w:r>
      <w:r>
        <w:rPr>
          <w:rFonts w:ascii="宋体" w:hAnsi="宋体" w:eastAsia="宋体" w:cs="宋体"/>
          <w:spacing w:val="-3"/>
          <w:sz w:val="19"/>
          <w:szCs w:val="19"/>
        </w:rPr>
        <w:t xml:space="preserve"> </w:t>
      </w:r>
      <w:r>
        <w:rPr>
          <w:rFonts w:ascii="Arial" w:hAnsi="Arial" w:eastAsia="Arial" w:cs="Arial"/>
          <w:spacing w:val="9"/>
          <w:sz w:val="19"/>
          <w:szCs w:val="19"/>
        </w:rPr>
        <w:t>5</w:t>
      </w:r>
      <w:r>
        <w:rPr>
          <w:rFonts w:ascii="宋体" w:hAnsi="宋体" w:eastAsia="宋体" w:cs="宋体"/>
          <w:spacing w:val="9"/>
          <w:sz w:val="19"/>
          <w:szCs w:val="19"/>
        </w:rPr>
        <w:t>点高等教育质量文化建</w:t>
      </w:r>
      <w:r>
        <w:rPr>
          <w:rFonts w:ascii="宋体" w:hAnsi="宋体" w:eastAsia="宋体" w:cs="宋体"/>
          <w:sz w:val="19"/>
          <w:szCs w:val="19"/>
        </w:rPr>
        <w:t xml:space="preserve"> </w:t>
      </w:r>
      <w:r>
        <w:rPr>
          <w:rFonts w:ascii="宋体" w:hAnsi="宋体" w:eastAsia="宋体" w:cs="宋体"/>
          <w:spacing w:val="7"/>
          <w:sz w:val="19"/>
          <w:szCs w:val="19"/>
        </w:rPr>
        <w:t>设的目标和举措</w:t>
      </w:r>
      <w:r>
        <w:rPr>
          <w:rFonts w:ascii="微软雅黑" w:hAnsi="微软雅黑" w:eastAsia="微软雅黑" w:cs="微软雅黑"/>
          <w:spacing w:val="7"/>
          <w:sz w:val="19"/>
          <w:szCs w:val="19"/>
        </w:rPr>
        <w:t>。</w:t>
      </w:r>
      <w:r>
        <w:rPr>
          <w:rFonts w:ascii="微软雅黑" w:hAnsi="微软雅黑" w:eastAsia="微软雅黑" w:cs="微软雅黑"/>
          <w:spacing w:val="7"/>
          <w:position w:val="7"/>
          <w:sz w:val="10"/>
          <w:szCs w:val="10"/>
        </w:rPr>
        <w:t>[</w:t>
      </w:r>
      <w:r>
        <w:rPr>
          <w:rFonts w:ascii="Arial" w:hAnsi="Arial" w:eastAsia="Arial" w:cs="Arial"/>
          <w:spacing w:val="7"/>
          <w:position w:val="7"/>
          <w:sz w:val="10"/>
          <w:szCs w:val="10"/>
        </w:rPr>
        <w:t>15</w:t>
      </w:r>
      <w:r>
        <w:rPr>
          <w:rFonts w:ascii="微软雅黑" w:hAnsi="微软雅黑" w:eastAsia="微软雅黑" w:cs="微软雅黑"/>
          <w:spacing w:val="7"/>
          <w:position w:val="7"/>
          <w:sz w:val="10"/>
          <w:szCs w:val="10"/>
        </w:rPr>
        <w:t>]</w:t>
      </w:r>
    </w:p>
    <w:p>
      <w:pPr>
        <w:spacing w:before="67" w:line="177" w:lineRule="auto"/>
        <w:ind w:left="1305"/>
        <w:rPr>
          <w:rFonts w:ascii="微软雅黑" w:hAnsi="微软雅黑" w:eastAsia="微软雅黑" w:cs="微软雅黑"/>
          <w:sz w:val="19"/>
          <w:szCs w:val="19"/>
        </w:rPr>
      </w:pPr>
      <w:r>
        <w:rPr>
          <w:rFonts w:ascii="微软雅黑" w:hAnsi="微软雅黑" w:eastAsia="微软雅黑" w:cs="微软雅黑"/>
          <w:spacing w:val="16"/>
          <w:sz w:val="19"/>
          <w:szCs w:val="19"/>
        </w:rPr>
        <w:t>(</w:t>
      </w:r>
      <w:r>
        <w:rPr>
          <w:rFonts w:ascii="Arial" w:hAnsi="Arial" w:eastAsia="Arial" w:cs="Arial"/>
          <w:spacing w:val="16"/>
          <w:sz w:val="19"/>
          <w:szCs w:val="19"/>
        </w:rPr>
        <w:t>1</w:t>
      </w:r>
      <w:r>
        <w:rPr>
          <w:rFonts w:ascii="微软雅黑" w:hAnsi="微软雅黑" w:eastAsia="微软雅黑" w:cs="微软雅黑"/>
          <w:spacing w:val="16"/>
          <w:sz w:val="19"/>
          <w:szCs w:val="19"/>
        </w:rPr>
        <w:t>)</w:t>
      </w:r>
      <w:r>
        <w:rPr>
          <w:rFonts w:ascii="微软雅黑" w:hAnsi="微软雅黑" w:eastAsia="微软雅黑" w:cs="微软雅黑"/>
          <w:spacing w:val="1"/>
          <w:sz w:val="19"/>
          <w:szCs w:val="19"/>
        </w:rPr>
        <w:t xml:space="preserve"> </w:t>
      </w:r>
      <w:r>
        <w:rPr>
          <w:rFonts w:ascii="宋体" w:hAnsi="宋体" w:eastAsia="宋体" w:cs="宋体"/>
          <w:spacing w:val="16"/>
          <w:sz w:val="19"/>
          <w:szCs w:val="19"/>
        </w:rPr>
        <w:t>保障学生拥有良好的学习经历</w:t>
      </w:r>
      <w:r>
        <w:rPr>
          <w:rFonts w:ascii="微软雅黑" w:hAnsi="微软雅黑" w:eastAsia="微软雅黑" w:cs="微软雅黑"/>
          <w:spacing w:val="16"/>
          <w:sz w:val="19"/>
          <w:szCs w:val="19"/>
        </w:rPr>
        <w:t>。</w:t>
      </w:r>
    </w:p>
    <w:p>
      <w:pPr>
        <w:spacing w:before="70" w:line="232" w:lineRule="auto"/>
        <w:ind w:left="872" w:right="272" w:firstLine="419"/>
        <w:rPr>
          <w:rFonts w:ascii="微软雅黑" w:hAnsi="微软雅黑" w:eastAsia="微软雅黑" w:cs="微软雅黑"/>
          <w:sz w:val="19"/>
          <w:szCs w:val="19"/>
        </w:rPr>
      </w:pPr>
      <w:r>
        <w:rPr>
          <w:rFonts w:ascii="宋体" w:hAnsi="宋体" w:eastAsia="宋体" w:cs="宋体"/>
          <w:spacing w:val="21"/>
          <w:sz w:val="19"/>
          <w:szCs w:val="19"/>
        </w:rPr>
        <w:t>挪威高等教育质量文化建设将以学生为中心</w:t>
      </w:r>
      <w:r>
        <w:rPr>
          <w:rFonts w:ascii="微软雅黑" w:hAnsi="微软雅黑" w:eastAsia="微软雅黑" w:cs="微软雅黑"/>
          <w:spacing w:val="21"/>
          <w:sz w:val="19"/>
          <w:szCs w:val="19"/>
        </w:rPr>
        <w:t>，</w:t>
      </w:r>
      <w:r>
        <w:rPr>
          <w:rFonts w:ascii="微软雅黑" w:hAnsi="微软雅黑" w:eastAsia="微软雅黑" w:cs="微软雅黑"/>
          <w:spacing w:val="18"/>
          <w:sz w:val="19"/>
          <w:szCs w:val="19"/>
        </w:rPr>
        <w:t xml:space="preserve"> </w:t>
      </w:r>
      <w:r>
        <w:rPr>
          <w:rFonts w:ascii="宋体" w:hAnsi="宋体" w:eastAsia="宋体" w:cs="宋体"/>
          <w:spacing w:val="17"/>
          <w:sz w:val="19"/>
          <w:szCs w:val="19"/>
        </w:rPr>
        <w:t xml:space="preserve">为学生提供良好的学习机会作为质量文化建设的核 </w:t>
      </w:r>
      <w:r>
        <w:rPr>
          <w:rFonts w:ascii="宋体" w:hAnsi="宋体" w:eastAsia="宋体" w:cs="宋体"/>
          <w:spacing w:val="7"/>
          <w:sz w:val="19"/>
          <w:szCs w:val="19"/>
        </w:rPr>
        <w:t>心问题</w:t>
      </w:r>
      <w:r>
        <w:rPr>
          <w:rFonts w:ascii="宋体" w:hAnsi="宋体" w:eastAsia="宋体" w:cs="宋体"/>
          <w:spacing w:val="-51"/>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其一</w:t>
      </w:r>
      <w:r>
        <w:rPr>
          <w:rFonts w:ascii="微软雅黑" w:hAnsi="微软雅黑" w:eastAsia="微软雅黑" w:cs="微软雅黑"/>
          <w:spacing w:val="7"/>
          <w:sz w:val="19"/>
          <w:szCs w:val="19"/>
        </w:rPr>
        <w:t>，</w:t>
      </w:r>
      <w:r>
        <w:rPr>
          <w:rFonts w:ascii="宋体" w:hAnsi="宋体" w:eastAsia="宋体" w:cs="宋体"/>
          <w:spacing w:val="7"/>
          <w:sz w:val="19"/>
          <w:szCs w:val="19"/>
        </w:rPr>
        <w:t>在学生的入学上</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高校系统要确保学 </w:t>
      </w:r>
      <w:r>
        <w:rPr>
          <w:rFonts w:ascii="宋体" w:hAnsi="宋体" w:eastAsia="宋体" w:cs="宋体"/>
          <w:spacing w:val="9"/>
          <w:sz w:val="19"/>
          <w:szCs w:val="19"/>
        </w:rPr>
        <w:t>生各学段衔接的顺畅</w:t>
      </w:r>
      <w:r>
        <w:rPr>
          <w:rFonts w:ascii="微软雅黑" w:hAnsi="微软雅黑" w:eastAsia="微软雅黑" w:cs="微软雅黑"/>
          <w:spacing w:val="9"/>
          <w:sz w:val="19"/>
          <w:szCs w:val="19"/>
        </w:rPr>
        <w:t>，</w:t>
      </w:r>
      <w:r>
        <w:rPr>
          <w:rFonts w:ascii="宋体" w:hAnsi="宋体" w:eastAsia="宋体" w:cs="宋体"/>
          <w:spacing w:val="9"/>
          <w:sz w:val="19"/>
          <w:szCs w:val="19"/>
        </w:rPr>
        <w:t>扫除学生入学的障碍</w:t>
      </w:r>
      <w:r>
        <w:rPr>
          <w:rFonts w:ascii="微软雅黑" w:hAnsi="微软雅黑" w:eastAsia="微软雅黑" w:cs="微软雅黑"/>
          <w:spacing w:val="9"/>
          <w:sz w:val="19"/>
          <w:szCs w:val="19"/>
        </w:rPr>
        <w:t>，</w:t>
      </w:r>
      <w:r>
        <w:rPr>
          <w:rFonts w:ascii="宋体" w:hAnsi="宋体" w:eastAsia="宋体" w:cs="宋体"/>
          <w:spacing w:val="8"/>
          <w:sz w:val="19"/>
          <w:szCs w:val="19"/>
        </w:rPr>
        <w:t xml:space="preserve">高等教 </w:t>
      </w:r>
      <w:r>
        <w:rPr>
          <w:rFonts w:ascii="宋体" w:hAnsi="宋体" w:eastAsia="宋体" w:cs="宋体"/>
          <w:spacing w:val="13"/>
          <w:sz w:val="19"/>
          <w:szCs w:val="19"/>
        </w:rPr>
        <w:t>育机构要为学生提供教</w:t>
      </w:r>
      <w:r>
        <w:rPr>
          <w:rFonts w:ascii="宋体" w:hAnsi="宋体" w:eastAsia="宋体" w:cs="宋体"/>
          <w:spacing w:val="-39"/>
          <w:sz w:val="19"/>
          <w:szCs w:val="19"/>
        </w:rPr>
        <w:t xml:space="preserve"> </w:t>
      </w:r>
      <w:r>
        <w:rPr>
          <w:rFonts w:ascii="宋体" w:hAnsi="宋体" w:eastAsia="宋体" w:cs="宋体"/>
          <w:spacing w:val="13"/>
          <w:sz w:val="19"/>
          <w:szCs w:val="19"/>
        </w:rPr>
        <w:t>育选择</w:t>
      </w:r>
      <w:r>
        <w:rPr>
          <w:rFonts w:ascii="宋体" w:hAnsi="宋体" w:eastAsia="宋体" w:cs="宋体"/>
          <w:spacing w:val="-48"/>
          <w:sz w:val="19"/>
          <w:szCs w:val="19"/>
        </w:rPr>
        <w:t xml:space="preserve"> </w:t>
      </w:r>
      <w:r>
        <w:rPr>
          <w:rFonts w:ascii="宋体" w:hAnsi="宋体" w:eastAsia="宋体" w:cs="宋体"/>
          <w:spacing w:val="13"/>
          <w:sz w:val="19"/>
          <w:szCs w:val="19"/>
        </w:rPr>
        <w:t>的机会</w:t>
      </w:r>
      <w:r>
        <w:rPr>
          <w:rFonts w:ascii="微软雅黑" w:hAnsi="微软雅黑" w:eastAsia="微软雅黑" w:cs="微软雅黑"/>
          <w:spacing w:val="13"/>
          <w:sz w:val="19"/>
          <w:szCs w:val="19"/>
        </w:rPr>
        <w:t>，</w:t>
      </w:r>
      <w:r>
        <w:rPr>
          <w:rFonts w:ascii="宋体" w:hAnsi="宋体" w:eastAsia="宋体" w:cs="宋体"/>
          <w:spacing w:val="13"/>
          <w:sz w:val="19"/>
          <w:szCs w:val="19"/>
        </w:rPr>
        <w:t xml:space="preserve">使其在高职 </w:t>
      </w:r>
      <w:r>
        <w:rPr>
          <w:rFonts w:ascii="宋体" w:hAnsi="宋体" w:eastAsia="宋体" w:cs="宋体"/>
          <w:spacing w:val="9"/>
          <w:sz w:val="19"/>
          <w:szCs w:val="19"/>
        </w:rPr>
        <w:t>院校</w:t>
      </w:r>
      <w:r>
        <w:rPr>
          <w:rFonts w:ascii="微软雅黑" w:hAnsi="微软雅黑" w:eastAsia="微软雅黑" w:cs="微软雅黑"/>
          <w:spacing w:val="9"/>
          <w:sz w:val="19"/>
          <w:szCs w:val="19"/>
        </w:rPr>
        <w:t>、</w:t>
      </w:r>
      <w:r>
        <w:rPr>
          <w:rFonts w:ascii="宋体" w:hAnsi="宋体" w:eastAsia="宋体" w:cs="宋体"/>
          <w:spacing w:val="9"/>
          <w:sz w:val="19"/>
          <w:szCs w:val="19"/>
        </w:rPr>
        <w:t>高中</w:t>
      </w:r>
      <w:r>
        <w:rPr>
          <w:rFonts w:ascii="微软雅黑" w:hAnsi="微软雅黑" w:eastAsia="微软雅黑" w:cs="微软雅黑"/>
          <w:spacing w:val="9"/>
          <w:sz w:val="19"/>
          <w:szCs w:val="19"/>
        </w:rPr>
        <w:t>、</w:t>
      </w:r>
      <w:r>
        <w:rPr>
          <w:rFonts w:ascii="宋体" w:hAnsi="宋体" w:eastAsia="宋体" w:cs="宋体"/>
          <w:spacing w:val="9"/>
          <w:sz w:val="19"/>
          <w:szCs w:val="19"/>
        </w:rPr>
        <w:t>大学之间的分流转换具有自主权</w:t>
      </w:r>
      <w:r>
        <w:rPr>
          <w:rFonts w:ascii="宋体" w:hAnsi="宋体" w:eastAsia="宋体" w:cs="宋体"/>
          <w:spacing w:val="8"/>
          <w:sz w:val="19"/>
          <w:szCs w:val="19"/>
        </w:rPr>
        <w:t xml:space="preserve">和选择 </w:t>
      </w:r>
      <w:r>
        <w:rPr>
          <w:rFonts w:ascii="宋体" w:hAnsi="宋体" w:eastAsia="宋体" w:cs="宋体"/>
          <w:spacing w:val="15"/>
          <w:sz w:val="19"/>
          <w:szCs w:val="19"/>
        </w:rPr>
        <w:t>的空间</w:t>
      </w:r>
      <w:r>
        <w:rPr>
          <w:rFonts w:ascii="宋体" w:hAnsi="宋体" w:eastAsia="宋体" w:cs="宋体"/>
          <w:spacing w:val="-38"/>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政府及教育部门要通过挪威国家教育贷款 </w:t>
      </w:r>
      <w:r>
        <w:rPr>
          <w:rFonts w:ascii="宋体" w:hAnsi="宋体" w:eastAsia="宋体" w:cs="宋体"/>
          <w:spacing w:val="14"/>
          <w:sz w:val="19"/>
          <w:szCs w:val="19"/>
        </w:rPr>
        <w:t>基金为每个学生提供补贴及生活保</w:t>
      </w:r>
      <w:r>
        <w:rPr>
          <w:rFonts w:ascii="宋体" w:hAnsi="宋体" w:eastAsia="宋体" w:cs="宋体"/>
          <w:spacing w:val="-55"/>
          <w:sz w:val="19"/>
          <w:szCs w:val="19"/>
        </w:rPr>
        <w:t xml:space="preserve"> </w:t>
      </w:r>
      <w:r>
        <w:rPr>
          <w:rFonts w:ascii="宋体" w:hAnsi="宋体" w:eastAsia="宋体" w:cs="宋体"/>
          <w:spacing w:val="14"/>
          <w:sz w:val="19"/>
          <w:szCs w:val="19"/>
        </w:rPr>
        <w:t>障</w:t>
      </w:r>
      <w:r>
        <w:rPr>
          <w:rFonts w:ascii="微软雅黑" w:hAnsi="微软雅黑" w:eastAsia="微软雅黑" w:cs="微软雅黑"/>
          <w:spacing w:val="14"/>
          <w:sz w:val="19"/>
          <w:szCs w:val="19"/>
        </w:rPr>
        <w:t>，</w:t>
      </w:r>
      <w:r>
        <w:rPr>
          <w:rFonts w:ascii="宋体" w:hAnsi="宋体" w:eastAsia="宋体" w:cs="宋体"/>
          <w:spacing w:val="14"/>
          <w:sz w:val="19"/>
          <w:szCs w:val="19"/>
        </w:rPr>
        <w:t>并为残</w:t>
      </w:r>
      <w:r>
        <w:rPr>
          <w:rFonts w:ascii="宋体" w:hAnsi="宋体" w:eastAsia="宋体" w:cs="宋体"/>
          <w:spacing w:val="-55"/>
          <w:sz w:val="19"/>
          <w:szCs w:val="19"/>
        </w:rPr>
        <w:t xml:space="preserve"> </w:t>
      </w:r>
      <w:r>
        <w:rPr>
          <w:rFonts w:ascii="宋体" w:hAnsi="宋体" w:eastAsia="宋体" w:cs="宋体"/>
          <w:spacing w:val="14"/>
          <w:sz w:val="19"/>
          <w:szCs w:val="19"/>
        </w:rPr>
        <w:t xml:space="preserve">障等 </w:t>
      </w:r>
      <w:r>
        <w:rPr>
          <w:rFonts w:ascii="宋体" w:hAnsi="宋体" w:eastAsia="宋体" w:cs="宋体"/>
          <w:spacing w:val="13"/>
          <w:sz w:val="19"/>
          <w:szCs w:val="19"/>
        </w:rPr>
        <w:t>特殊学生群体设置特殊入学</w:t>
      </w:r>
      <w:r>
        <w:rPr>
          <w:rFonts w:ascii="宋体" w:hAnsi="宋体" w:eastAsia="宋体" w:cs="宋体"/>
          <w:spacing w:val="-39"/>
          <w:sz w:val="19"/>
          <w:szCs w:val="19"/>
        </w:rPr>
        <w:t xml:space="preserve"> </w:t>
      </w:r>
      <w:r>
        <w:rPr>
          <w:rFonts w:ascii="宋体" w:hAnsi="宋体" w:eastAsia="宋体" w:cs="宋体"/>
          <w:spacing w:val="13"/>
          <w:sz w:val="19"/>
          <w:szCs w:val="19"/>
        </w:rPr>
        <w:t>的机会</w:t>
      </w:r>
      <w:r>
        <w:rPr>
          <w:rFonts w:ascii="微软雅黑" w:hAnsi="微软雅黑" w:eastAsia="微软雅黑" w:cs="微软雅黑"/>
          <w:spacing w:val="13"/>
          <w:sz w:val="19"/>
          <w:szCs w:val="19"/>
        </w:rPr>
        <w:t>，</w:t>
      </w:r>
      <w:r>
        <w:rPr>
          <w:rFonts w:ascii="宋体" w:hAnsi="宋体" w:eastAsia="宋体" w:cs="宋体"/>
          <w:spacing w:val="13"/>
          <w:sz w:val="19"/>
          <w:szCs w:val="19"/>
        </w:rPr>
        <w:t>以提高学生</w:t>
      </w:r>
      <w:r>
        <w:rPr>
          <w:rFonts w:ascii="宋体" w:hAnsi="宋体" w:eastAsia="宋体" w:cs="宋体"/>
          <w:spacing w:val="-48"/>
          <w:sz w:val="19"/>
          <w:szCs w:val="19"/>
        </w:rPr>
        <w:t xml:space="preserve"> </w:t>
      </w:r>
      <w:r>
        <w:rPr>
          <w:rFonts w:ascii="宋体" w:hAnsi="宋体" w:eastAsia="宋体" w:cs="宋体"/>
          <w:spacing w:val="13"/>
          <w:sz w:val="19"/>
          <w:szCs w:val="19"/>
        </w:rPr>
        <w:t xml:space="preserve">的 </w:t>
      </w:r>
      <w:r>
        <w:rPr>
          <w:rFonts w:ascii="宋体" w:hAnsi="宋体" w:eastAsia="宋体" w:cs="宋体"/>
          <w:spacing w:val="7"/>
          <w:sz w:val="19"/>
          <w:szCs w:val="19"/>
        </w:rPr>
        <w:t>学业完成率</w:t>
      </w:r>
      <w:r>
        <w:rPr>
          <w:rFonts w:ascii="微软雅黑" w:hAnsi="微软雅黑" w:eastAsia="微软雅黑" w:cs="微软雅黑"/>
          <w:spacing w:val="7"/>
          <w:sz w:val="19"/>
          <w:szCs w:val="19"/>
        </w:rPr>
        <w:t>，</w:t>
      </w:r>
      <w:r>
        <w:rPr>
          <w:rFonts w:ascii="宋体" w:hAnsi="宋体" w:eastAsia="宋体" w:cs="宋体"/>
          <w:spacing w:val="7"/>
          <w:sz w:val="19"/>
          <w:szCs w:val="19"/>
        </w:rPr>
        <w:t>最大限度地保障教育公平</w:t>
      </w:r>
      <w:r>
        <w:rPr>
          <w:rFonts w:ascii="宋体" w:hAnsi="宋体" w:eastAsia="宋体" w:cs="宋体"/>
          <w:spacing w:val="-51"/>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其二</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高校 </w:t>
      </w:r>
      <w:r>
        <w:rPr>
          <w:rFonts w:ascii="宋体" w:hAnsi="宋体" w:eastAsia="宋体" w:cs="宋体"/>
          <w:spacing w:val="9"/>
          <w:sz w:val="19"/>
          <w:szCs w:val="19"/>
        </w:rPr>
        <w:t>要营造兼容并包的学</w:t>
      </w:r>
      <w:r>
        <w:rPr>
          <w:rFonts w:ascii="宋体" w:hAnsi="宋体" w:eastAsia="宋体" w:cs="宋体"/>
          <w:spacing w:val="-35"/>
          <w:sz w:val="19"/>
          <w:szCs w:val="19"/>
        </w:rPr>
        <w:t xml:space="preserve"> </w:t>
      </w:r>
      <w:r>
        <w:rPr>
          <w:rFonts w:ascii="宋体" w:hAnsi="宋体" w:eastAsia="宋体" w:cs="宋体"/>
          <w:spacing w:val="9"/>
          <w:sz w:val="19"/>
          <w:szCs w:val="19"/>
        </w:rPr>
        <w:t>习环境氛</w:t>
      </w:r>
      <w:r>
        <w:rPr>
          <w:rFonts w:ascii="宋体" w:hAnsi="宋体" w:eastAsia="宋体" w:cs="宋体"/>
          <w:spacing w:val="-47"/>
          <w:sz w:val="19"/>
          <w:szCs w:val="19"/>
        </w:rPr>
        <w:t xml:space="preserve"> </w:t>
      </w:r>
      <w:r>
        <w:rPr>
          <w:rFonts w:ascii="宋体" w:hAnsi="宋体" w:eastAsia="宋体" w:cs="宋体"/>
          <w:spacing w:val="9"/>
          <w:sz w:val="19"/>
          <w:szCs w:val="19"/>
        </w:rPr>
        <w:t>围</w:t>
      </w:r>
      <w:r>
        <w:rPr>
          <w:rFonts w:ascii="微软雅黑" w:hAnsi="微软雅黑" w:eastAsia="微软雅黑" w:cs="微软雅黑"/>
          <w:spacing w:val="9"/>
          <w:sz w:val="19"/>
          <w:szCs w:val="19"/>
        </w:rPr>
        <w:t>，</w:t>
      </w:r>
      <w:r>
        <w:rPr>
          <w:rFonts w:ascii="宋体" w:hAnsi="宋体" w:eastAsia="宋体" w:cs="宋体"/>
          <w:spacing w:val="9"/>
          <w:sz w:val="19"/>
          <w:szCs w:val="19"/>
        </w:rPr>
        <w:t>为每个学生</w:t>
      </w:r>
      <w:r>
        <w:rPr>
          <w:rFonts w:ascii="宋体" w:hAnsi="宋体" w:eastAsia="宋体" w:cs="宋体"/>
          <w:spacing w:val="-48"/>
          <w:sz w:val="19"/>
          <w:szCs w:val="19"/>
        </w:rPr>
        <w:t xml:space="preserve"> </w:t>
      </w:r>
      <w:r>
        <w:rPr>
          <w:rFonts w:ascii="宋体" w:hAnsi="宋体" w:eastAsia="宋体" w:cs="宋体"/>
          <w:spacing w:val="9"/>
          <w:sz w:val="19"/>
          <w:szCs w:val="19"/>
        </w:rPr>
        <w:t>的</w:t>
      </w:r>
      <w:r>
        <w:rPr>
          <w:rFonts w:ascii="宋体" w:hAnsi="宋体" w:eastAsia="宋体" w:cs="宋体"/>
          <w:spacing w:val="-55"/>
          <w:sz w:val="19"/>
          <w:szCs w:val="19"/>
        </w:rPr>
        <w:t xml:space="preserve"> </w:t>
      </w:r>
      <w:r>
        <w:rPr>
          <w:rFonts w:ascii="宋体" w:hAnsi="宋体" w:eastAsia="宋体" w:cs="宋体"/>
          <w:spacing w:val="9"/>
          <w:sz w:val="19"/>
          <w:szCs w:val="19"/>
        </w:rPr>
        <w:t xml:space="preserve">多 </w:t>
      </w:r>
      <w:r>
        <w:rPr>
          <w:rFonts w:ascii="宋体" w:hAnsi="宋体" w:eastAsia="宋体" w:cs="宋体"/>
          <w:spacing w:val="12"/>
          <w:sz w:val="19"/>
          <w:szCs w:val="19"/>
        </w:rPr>
        <w:t>样化学习提供便利和条件</w:t>
      </w:r>
      <w:r>
        <w:rPr>
          <w:rFonts w:ascii="微软雅黑" w:hAnsi="微软雅黑" w:eastAsia="微软雅黑" w:cs="微软雅黑"/>
          <w:spacing w:val="12"/>
          <w:sz w:val="19"/>
          <w:szCs w:val="19"/>
        </w:rPr>
        <w:t>，</w:t>
      </w:r>
      <w:r>
        <w:rPr>
          <w:rFonts w:ascii="宋体" w:hAnsi="宋体" w:eastAsia="宋体" w:cs="宋体"/>
          <w:spacing w:val="12"/>
          <w:sz w:val="19"/>
          <w:szCs w:val="19"/>
        </w:rPr>
        <w:t>培养其终身学习的能力</w:t>
      </w:r>
      <w:r>
        <w:rPr>
          <w:rFonts w:ascii="微软雅黑" w:hAnsi="微软雅黑" w:eastAsia="微软雅黑" w:cs="微软雅黑"/>
          <w:spacing w:val="12"/>
          <w:sz w:val="19"/>
          <w:szCs w:val="19"/>
        </w:rPr>
        <w:t>，</w:t>
      </w:r>
      <w:r>
        <w:rPr>
          <w:rFonts w:ascii="微软雅黑" w:hAnsi="微软雅黑" w:eastAsia="微软雅黑" w:cs="微软雅黑"/>
          <w:spacing w:val="11"/>
          <w:sz w:val="19"/>
          <w:szCs w:val="19"/>
        </w:rPr>
        <w:t xml:space="preserve"> </w:t>
      </w:r>
      <w:r>
        <w:rPr>
          <w:rFonts w:ascii="宋体" w:hAnsi="宋体" w:eastAsia="宋体" w:cs="宋体"/>
          <w:spacing w:val="12"/>
          <w:sz w:val="19"/>
          <w:szCs w:val="19"/>
        </w:rPr>
        <w:t>使其适应社会进步</w:t>
      </w:r>
      <w:r>
        <w:rPr>
          <w:rFonts w:ascii="宋体" w:hAnsi="宋体" w:eastAsia="宋体" w:cs="宋体"/>
          <w:spacing w:val="-36"/>
          <w:sz w:val="19"/>
          <w:szCs w:val="19"/>
        </w:rPr>
        <w:t xml:space="preserve"> </w:t>
      </w:r>
      <w:r>
        <w:rPr>
          <w:rFonts w:ascii="宋体" w:hAnsi="宋体" w:eastAsia="宋体" w:cs="宋体"/>
          <w:spacing w:val="12"/>
          <w:sz w:val="19"/>
          <w:szCs w:val="19"/>
        </w:rPr>
        <w:t>的要求</w:t>
      </w:r>
      <w:r>
        <w:rPr>
          <w:rFonts w:ascii="宋体" w:hAnsi="宋体" w:eastAsia="宋体" w:cs="宋体"/>
          <w:spacing w:val="-52"/>
          <w:sz w:val="19"/>
          <w:szCs w:val="19"/>
        </w:rPr>
        <w:t xml:space="preserve"> </w:t>
      </w:r>
      <w:r>
        <w:rPr>
          <w:rFonts w:ascii="微软雅黑" w:hAnsi="微软雅黑" w:eastAsia="微软雅黑" w:cs="微软雅黑"/>
          <w:spacing w:val="12"/>
          <w:sz w:val="19"/>
          <w:szCs w:val="19"/>
        </w:rPr>
        <w:t>。</w:t>
      </w:r>
      <w:r>
        <w:rPr>
          <w:rFonts w:ascii="微软雅黑" w:hAnsi="微软雅黑" w:eastAsia="微软雅黑" w:cs="微软雅黑"/>
          <w:spacing w:val="-32"/>
          <w:sz w:val="19"/>
          <w:szCs w:val="19"/>
        </w:rPr>
        <w:t xml:space="preserve"> </w:t>
      </w:r>
      <w:r>
        <w:rPr>
          <w:rFonts w:ascii="宋体" w:hAnsi="宋体" w:eastAsia="宋体" w:cs="宋体"/>
          <w:spacing w:val="12"/>
          <w:sz w:val="19"/>
          <w:szCs w:val="19"/>
        </w:rPr>
        <w:t>此外</w:t>
      </w:r>
      <w:r>
        <w:rPr>
          <w:rFonts w:ascii="微软雅黑" w:hAnsi="微软雅黑" w:eastAsia="微软雅黑" w:cs="微软雅黑"/>
          <w:spacing w:val="12"/>
          <w:sz w:val="19"/>
          <w:szCs w:val="19"/>
        </w:rPr>
        <w:t>，</w:t>
      </w:r>
      <w:r>
        <w:rPr>
          <w:rFonts w:ascii="宋体" w:hAnsi="宋体" w:eastAsia="宋体" w:cs="宋体"/>
          <w:spacing w:val="12"/>
          <w:sz w:val="19"/>
          <w:szCs w:val="19"/>
        </w:rPr>
        <w:t xml:space="preserve">高校还对整个教 </w:t>
      </w:r>
      <w:r>
        <w:rPr>
          <w:rFonts w:ascii="宋体" w:hAnsi="宋体" w:eastAsia="宋体" w:cs="宋体"/>
          <w:spacing w:val="9"/>
          <w:sz w:val="19"/>
          <w:szCs w:val="19"/>
        </w:rPr>
        <w:t>育教学系统进行合理的监控</w:t>
      </w:r>
      <w:r>
        <w:rPr>
          <w:rFonts w:ascii="微软雅黑" w:hAnsi="微软雅黑" w:eastAsia="微软雅黑" w:cs="微软雅黑"/>
          <w:spacing w:val="9"/>
          <w:sz w:val="19"/>
          <w:szCs w:val="19"/>
        </w:rPr>
        <w:t>，</w:t>
      </w:r>
      <w:r>
        <w:rPr>
          <w:rFonts w:ascii="宋体" w:hAnsi="宋体" w:eastAsia="宋体" w:cs="宋体"/>
          <w:spacing w:val="9"/>
          <w:sz w:val="19"/>
          <w:szCs w:val="19"/>
        </w:rPr>
        <w:t>以确保其有效运</w:t>
      </w:r>
      <w:r>
        <w:rPr>
          <w:rFonts w:ascii="宋体" w:hAnsi="宋体" w:eastAsia="宋体" w:cs="宋体"/>
          <w:spacing w:val="8"/>
          <w:sz w:val="19"/>
          <w:szCs w:val="19"/>
        </w:rPr>
        <w:t>转</w:t>
      </w:r>
      <w:r>
        <w:rPr>
          <w:rFonts w:ascii="微软雅黑" w:hAnsi="微软雅黑" w:eastAsia="微软雅黑" w:cs="微软雅黑"/>
          <w:spacing w:val="8"/>
          <w:sz w:val="19"/>
          <w:szCs w:val="19"/>
        </w:rPr>
        <w:t>，</w:t>
      </w:r>
      <w:r>
        <w:rPr>
          <w:rFonts w:ascii="宋体" w:hAnsi="宋体" w:eastAsia="宋体" w:cs="宋体"/>
          <w:spacing w:val="8"/>
          <w:sz w:val="19"/>
          <w:szCs w:val="19"/>
        </w:rPr>
        <w:t xml:space="preserve">为 </w:t>
      </w:r>
      <w:r>
        <w:rPr>
          <w:rFonts w:ascii="宋体" w:hAnsi="宋体" w:eastAsia="宋体" w:cs="宋体"/>
          <w:spacing w:val="17"/>
          <w:sz w:val="19"/>
          <w:szCs w:val="19"/>
        </w:rPr>
        <w:t>学生的学习扫除障碍</w:t>
      </w:r>
      <w:r>
        <w:rPr>
          <w:rFonts w:ascii="微软雅黑" w:hAnsi="微软雅黑" w:eastAsia="微软雅黑" w:cs="微软雅黑"/>
          <w:spacing w:val="17"/>
          <w:sz w:val="19"/>
          <w:szCs w:val="19"/>
        </w:rPr>
        <w:t>，</w:t>
      </w:r>
      <w:r>
        <w:rPr>
          <w:rFonts w:ascii="宋体" w:hAnsi="宋体" w:eastAsia="宋体" w:cs="宋体"/>
          <w:spacing w:val="17"/>
          <w:sz w:val="19"/>
          <w:szCs w:val="19"/>
        </w:rPr>
        <w:t>并扩大学生在校务管理上的 参与度</w:t>
      </w:r>
      <w:r>
        <w:rPr>
          <w:rFonts w:ascii="微软雅黑" w:hAnsi="微软雅黑" w:eastAsia="微软雅黑" w:cs="微软雅黑"/>
          <w:spacing w:val="17"/>
          <w:sz w:val="19"/>
          <w:szCs w:val="19"/>
        </w:rPr>
        <w:t>，</w:t>
      </w:r>
      <w:r>
        <w:rPr>
          <w:rFonts w:ascii="宋体" w:hAnsi="宋体" w:eastAsia="宋体" w:cs="宋体"/>
          <w:spacing w:val="17"/>
          <w:sz w:val="19"/>
          <w:szCs w:val="19"/>
        </w:rPr>
        <w:t>注重与学生组织一起共同解决学生存在的 心理健康问题</w:t>
      </w:r>
      <w:r>
        <w:rPr>
          <w:rFonts w:ascii="微软雅黑" w:hAnsi="微软雅黑" w:eastAsia="微软雅黑" w:cs="微软雅黑"/>
          <w:spacing w:val="17"/>
          <w:sz w:val="19"/>
          <w:szCs w:val="19"/>
        </w:rPr>
        <w:t>。</w:t>
      </w:r>
    </w:p>
    <w:p>
      <w:pPr>
        <w:spacing w:before="67" w:line="177" w:lineRule="auto"/>
        <w:ind w:left="1305"/>
        <w:rPr>
          <w:rFonts w:ascii="微软雅黑" w:hAnsi="微软雅黑" w:eastAsia="微软雅黑" w:cs="微软雅黑"/>
          <w:sz w:val="19"/>
          <w:szCs w:val="19"/>
        </w:rPr>
      </w:pPr>
      <w:r>
        <w:rPr>
          <w:rFonts w:ascii="微软雅黑" w:hAnsi="微软雅黑" w:eastAsia="微软雅黑" w:cs="微软雅黑"/>
          <w:spacing w:val="15"/>
          <w:sz w:val="19"/>
          <w:szCs w:val="19"/>
        </w:rPr>
        <w:t>(</w:t>
      </w:r>
      <w:r>
        <w:rPr>
          <w:rFonts w:ascii="Arial" w:hAnsi="Arial" w:eastAsia="Arial" w:cs="Arial"/>
          <w:spacing w:val="15"/>
          <w:sz w:val="19"/>
          <w:szCs w:val="19"/>
        </w:rPr>
        <w:t>2</w:t>
      </w:r>
      <w:r>
        <w:rPr>
          <w:rFonts w:ascii="微软雅黑" w:hAnsi="微软雅黑" w:eastAsia="微软雅黑" w:cs="微软雅黑"/>
          <w:spacing w:val="15"/>
          <w:sz w:val="19"/>
          <w:szCs w:val="19"/>
        </w:rPr>
        <w:t>)</w:t>
      </w:r>
      <w:r>
        <w:rPr>
          <w:rFonts w:ascii="微软雅黑" w:hAnsi="微软雅黑" w:eastAsia="微软雅黑" w:cs="微软雅黑"/>
          <w:sz w:val="19"/>
          <w:szCs w:val="19"/>
        </w:rPr>
        <w:t xml:space="preserve"> </w:t>
      </w:r>
      <w:r>
        <w:rPr>
          <w:rFonts w:ascii="宋体" w:hAnsi="宋体" w:eastAsia="宋体" w:cs="宋体"/>
          <w:spacing w:val="15"/>
          <w:sz w:val="19"/>
          <w:szCs w:val="19"/>
        </w:rPr>
        <w:t>提供良好的教学环境</w:t>
      </w:r>
      <w:r>
        <w:rPr>
          <w:rFonts w:ascii="微软雅黑" w:hAnsi="微软雅黑" w:eastAsia="微软雅黑" w:cs="微软雅黑"/>
          <w:spacing w:val="15"/>
          <w:sz w:val="19"/>
          <w:szCs w:val="19"/>
        </w:rPr>
        <w:t>。</w:t>
      </w:r>
    </w:p>
    <w:p>
      <w:pPr>
        <w:spacing w:before="75" w:line="221" w:lineRule="auto"/>
        <w:ind w:left="874" w:right="342" w:firstLine="419"/>
        <w:rPr>
          <w:rFonts w:ascii="宋体" w:hAnsi="宋体" w:eastAsia="宋体" w:cs="宋体"/>
          <w:sz w:val="19"/>
          <w:szCs w:val="19"/>
        </w:rPr>
      </w:pPr>
      <w:r>
        <w:rPr>
          <w:rFonts w:ascii="宋体" w:hAnsi="宋体" w:eastAsia="宋体" w:cs="宋体"/>
          <w:spacing w:val="8"/>
          <w:sz w:val="19"/>
          <w:szCs w:val="19"/>
        </w:rPr>
        <w:t>这个目标指</w:t>
      </w:r>
      <w:r>
        <w:rPr>
          <w:rFonts w:ascii="宋体" w:hAnsi="宋体" w:eastAsia="宋体" w:cs="宋体"/>
          <w:spacing w:val="-40"/>
          <w:sz w:val="19"/>
          <w:szCs w:val="19"/>
        </w:rPr>
        <w:t xml:space="preserve"> </w:t>
      </w:r>
      <w:r>
        <w:rPr>
          <w:rFonts w:ascii="宋体" w:hAnsi="宋体" w:eastAsia="宋体" w:cs="宋体"/>
          <w:spacing w:val="8"/>
          <w:sz w:val="19"/>
          <w:szCs w:val="19"/>
        </w:rPr>
        <w:t>向具体</w:t>
      </w:r>
      <w:r>
        <w:rPr>
          <w:rFonts w:ascii="宋体" w:hAnsi="宋体" w:eastAsia="宋体" w:cs="宋体"/>
          <w:spacing w:val="-48"/>
          <w:sz w:val="19"/>
          <w:szCs w:val="19"/>
        </w:rPr>
        <w:t xml:space="preserve"> </w:t>
      </w:r>
      <w:r>
        <w:rPr>
          <w:rFonts w:ascii="宋体" w:hAnsi="宋体" w:eastAsia="宋体" w:cs="宋体"/>
          <w:spacing w:val="8"/>
          <w:sz w:val="19"/>
          <w:szCs w:val="19"/>
        </w:rPr>
        <w:t>的教</w:t>
      </w:r>
      <w:r>
        <w:rPr>
          <w:rFonts w:ascii="宋体" w:hAnsi="宋体" w:eastAsia="宋体" w:cs="宋体"/>
          <w:spacing w:val="-57"/>
          <w:sz w:val="19"/>
          <w:szCs w:val="19"/>
        </w:rPr>
        <w:t xml:space="preserve"> </w:t>
      </w:r>
      <w:r>
        <w:rPr>
          <w:rFonts w:ascii="宋体" w:hAnsi="宋体" w:eastAsia="宋体" w:cs="宋体"/>
          <w:spacing w:val="8"/>
          <w:sz w:val="19"/>
          <w:szCs w:val="19"/>
        </w:rPr>
        <w:t>育过程</w:t>
      </w:r>
      <w:r>
        <w:rPr>
          <w:rFonts w:ascii="宋体" w:hAnsi="宋体" w:eastAsia="宋体" w:cs="宋体"/>
          <w:spacing w:val="-51"/>
          <w:sz w:val="19"/>
          <w:szCs w:val="19"/>
        </w:rPr>
        <w:t xml:space="preserve"> </w:t>
      </w:r>
      <w:r>
        <w:rPr>
          <w:rFonts w:ascii="微软雅黑" w:hAnsi="微软雅黑" w:eastAsia="微软雅黑" w:cs="微软雅黑"/>
          <w:spacing w:val="8"/>
          <w:sz w:val="19"/>
          <w:szCs w:val="19"/>
        </w:rPr>
        <w:t>。</w:t>
      </w:r>
      <w:r>
        <w:rPr>
          <w:rFonts w:ascii="微软雅黑" w:hAnsi="微软雅黑" w:eastAsia="微软雅黑" w:cs="微软雅黑"/>
          <w:spacing w:val="-34"/>
          <w:sz w:val="19"/>
          <w:szCs w:val="19"/>
        </w:rPr>
        <w:t xml:space="preserve"> </w:t>
      </w:r>
      <w:r>
        <w:rPr>
          <w:rFonts w:ascii="宋体" w:hAnsi="宋体" w:eastAsia="宋体" w:cs="宋体"/>
          <w:spacing w:val="8"/>
          <w:sz w:val="19"/>
          <w:szCs w:val="19"/>
        </w:rPr>
        <w:t>其一</w:t>
      </w:r>
      <w:r>
        <w:rPr>
          <w:rFonts w:ascii="微软雅黑" w:hAnsi="微软雅黑" w:eastAsia="微软雅黑" w:cs="微软雅黑"/>
          <w:spacing w:val="8"/>
          <w:sz w:val="19"/>
          <w:szCs w:val="19"/>
        </w:rPr>
        <w:t>，</w:t>
      </w:r>
      <w:r>
        <w:rPr>
          <w:rFonts w:ascii="宋体" w:hAnsi="宋体" w:eastAsia="宋体" w:cs="宋体"/>
          <w:spacing w:val="8"/>
          <w:sz w:val="19"/>
          <w:szCs w:val="19"/>
        </w:rPr>
        <w:t>高教部</w:t>
      </w:r>
      <w:r>
        <w:rPr>
          <w:rFonts w:ascii="宋体" w:hAnsi="宋体" w:eastAsia="宋体" w:cs="宋体"/>
          <w:sz w:val="19"/>
          <w:szCs w:val="19"/>
        </w:rPr>
        <w:t xml:space="preserve"> </w:t>
      </w:r>
      <w:r>
        <w:rPr>
          <w:rFonts w:ascii="宋体" w:hAnsi="宋体" w:eastAsia="宋体" w:cs="宋体"/>
          <w:spacing w:val="10"/>
          <w:sz w:val="19"/>
          <w:szCs w:val="19"/>
        </w:rPr>
        <w:t>门及学校要设置合理</w:t>
      </w:r>
      <w:r>
        <w:rPr>
          <w:rFonts w:ascii="宋体" w:hAnsi="宋体" w:eastAsia="宋体" w:cs="宋体"/>
          <w:spacing w:val="-48"/>
          <w:sz w:val="19"/>
          <w:szCs w:val="19"/>
        </w:rPr>
        <w:t xml:space="preserve"> </w:t>
      </w:r>
      <w:r>
        <w:rPr>
          <w:rFonts w:ascii="宋体" w:hAnsi="宋体" w:eastAsia="宋体" w:cs="宋体"/>
          <w:spacing w:val="10"/>
          <w:sz w:val="19"/>
          <w:szCs w:val="19"/>
        </w:rPr>
        <w:t>的课程方案</w:t>
      </w:r>
      <w:r>
        <w:rPr>
          <w:rFonts w:ascii="微软雅黑" w:hAnsi="微软雅黑" w:eastAsia="微软雅黑" w:cs="微软雅黑"/>
          <w:spacing w:val="10"/>
          <w:sz w:val="19"/>
          <w:szCs w:val="19"/>
        </w:rPr>
        <w:t>，</w:t>
      </w:r>
      <w:r>
        <w:rPr>
          <w:rFonts w:ascii="宋体" w:hAnsi="宋体" w:eastAsia="宋体" w:cs="宋体"/>
          <w:spacing w:val="10"/>
          <w:sz w:val="19"/>
          <w:szCs w:val="19"/>
        </w:rPr>
        <w:t>注重课程</w:t>
      </w:r>
      <w:r>
        <w:rPr>
          <w:rFonts w:ascii="宋体" w:hAnsi="宋体" w:eastAsia="宋体" w:cs="宋体"/>
          <w:spacing w:val="-48"/>
          <w:sz w:val="19"/>
          <w:szCs w:val="19"/>
        </w:rPr>
        <w:t xml:space="preserve"> </w:t>
      </w:r>
      <w:r>
        <w:rPr>
          <w:rFonts w:ascii="宋体" w:hAnsi="宋体" w:eastAsia="宋体" w:cs="宋体"/>
          <w:spacing w:val="9"/>
          <w:sz w:val="19"/>
          <w:szCs w:val="19"/>
        </w:rPr>
        <w:t>的</w:t>
      </w:r>
      <w:r>
        <w:rPr>
          <w:rFonts w:ascii="宋体" w:hAnsi="宋体" w:eastAsia="宋体" w:cs="宋体"/>
          <w:spacing w:val="-45"/>
          <w:sz w:val="19"/>
          <w:szCs w:val="19"/>
        </w:rPr>
        <w:t xml:space="preserve"> </w:t>
      </w:r>
      <w:r>
        <w:rPr>
          <w:rFonts w:ascii="宋体" w:hAnsi="宋体" w:eastAsia="宋体" w:cs="宋体"/>
          <w:spacing w:val="9"/>
          <w:sz w:val="19"/>
          <w:szCs w:val="19"/>
        </w:rPr>
        <w:t>国</w:t>
      </w:r>
      <w:r>
        <w:rPr>
          <w:rFonts w:ascii="宋体" w:hAnsi="宋体" w:eastAsia="宋体" w:cs="宋体"/>
          <w:spacing w:val="-51"/>
          <w:sz w:val="19"/>
          <w:szCs w:val="19"/>
        </w:rPr>
        <w:t xml:space="preserve"> </w:t>
      </w:r>
      <w:r>
        <w:rPr>
          <w:rFonts w:ascii="宋体" w:hAnsi="宋体" w:eastAsia="宋体" w:cs="宋体"/>
          <w:spacing w:val="9"/>
          <w:sz w:val="19"/>
          <w:szCs w:val="19"/>
        </w:rPr>
        <w:t>际</w:t>
      </w:r>
      <w:r>
        <w:rPr>
          <w:rFonts w:ascii="宋体" w:hAnsi="宋体" w:eastAsia="宋体" w:cs="宋体"/>
          <w:sz w:val="19"/>
          <w:szCs w:val="19"/>
        </w:rPr>
        <w:t xml:space="preserve"> </w:t>
      </w:r>
      <w:r>
        <w:rPr>
          <w:rFonts w:ascii="宋体" w:hAnsi="宋体" w:eastAsia="宋体" w:cs="宋体"/>
          <w:spacing w:val="16"/>
          <w:sz w:val="19"/>
          <w:szCs w:val="19"/>
        </w:rPr>
        <w:t>化视野和地方特色</w:t>
      </w:r>
      <w:r>
        <w:rPr>
          <w:rFonts w:ascii="微软雅黑" w:hAnsi="微软雅黑" w:eastAsia="微软雅黑" w:cs="微软雅黑"/>
          <w:spacing w:val="16"/>
          <w:sz w:val="19"/>
          <w:szCs w:val="19"/>
        </w:rPr>
        <w:t>，</w:t>
      </w:r>
      <w:r>
        <w:rPr>
          <w:rFonts w:ascii="宋体" w:hAnsi="宋体" w:eastAsia="宋体" w:cs="宋体"/>
          <w:spacing w:val="16"/>
          <w:sz w:val="19"/>
          <w:szCs w:val="19"/>
        </w:rPr>
        <w:t>注重课程</w:t>
      </w:r>
      <w:r>
        <w:rPr>
          <w:rFonts w:ascii="宋体" w:hAnsi="宋体" w:eastAsia="宋体" w:cs="宋体"/>
          <w:spacing w:val="-41"/>
          <w:sz w:val="19"/>
          <w:szCs w:val="19"/>
        </w:rPr>
        <w:t xml:space="preserve"> </w:t>
      </w:r>
      <w:r>
        <w:rPr>
          <w:rFonts w:ascii="宋体" w:hAnsi="宋体" w:eastAsia="宋体" w:cs="宋体"/>
          <w:spacing w:val="16"/>
          <w:sz w:val="19"/>
          <w:szCs w:val="19"/>
        </w:rPr>
        <w:t>内容与社会工作</w:t>
      </w:r>
      <w:r>
        <w:rPr>
          <w:rFonts w:ascii="宋体" w:hAnsi="宋体" w:eastAsia="宋体" w:cs="宋体"/>
          <w:spacing w:val="15"/>
          <w:sz w:val="19"/>
          <w:szCs w:val="19"/>
        </w:rPr>
        <w:t>生活</w:t>
      </w:r>
      <w:r>
        <w:rPr>
          <w:rFonts w:ascii="宋体" w:hAnsi="宋体" w:eastAsia="宋体" w:cs="宋体"/>
          <w:sz w:val="19"/>
          <w:szCs w:val="19"/>
        </w:rPr>
        <w:t xml:space="preserve"> </w:t>
      </w:r>
      <w:r>
        <w:rPr>
          <w:rFonts w:ascii="宋体" w:hAnsi="宋体" w:eastAsia="宋体" w:cs="宋体"/>
          <w:spacing w:val="7"/>
          <w:sz w:val="19"/>
          <w:szCs w:val="19"/>
        </w:rPr>
        <w:t>实践的结合</w:t>
      </w:r>
      <w:r>
        <w:rPr>
          <w:rFonts w:ascii="微软雅黑" w:hAnsi="微软雅黑" w:eastAsia="微软雅黑" w:cs="微软雅黑"/>
          <w:spacing w:val="7"/>
          <w:sz w:val="19"/>
          <w:szCs w:val="19"/>
        </w:rPr>
        <w:t>，</w:t>
      </w:r>
      <w:r>
        <w:rPr>
          <w:rFonts w:ascii="宋体" w:hAnsi="宋体" w:eastAsia="宋体" w:cs="宋体"/>
          <w:spacing w:val="7"/>
          <w:sz w:val="19"/>
          <w:szCs w:val="19"/>
        </w:rPr>
        <w:t>在学生学习的内容上把好关</w:t>
      </w:r>
      <w:r>
        <w:rPr>
          <w:rFonts w:ascii="宋体" w:hAnsi="宋体" w:eastAsia="宋体" w:cs="宋体"/>
          <w:spacing w:val="-40"/>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其二</w:t>
      </w:r>
      <w:r>
        <w:rPr>
          <w:rFonts w:ascii="微软雅黑" w:hAnsi="微软雅黑" w:eastAsia="微软雅黑" w:cs="微软雅黑"/>
          <w:spacing w:val="7"/>
          <w:sz w:val="19"/>
          <w:szCs w:val="19"/>
        </w:rPr>
        <w:t>，</w:t>
      </w:r>
      <w:r>
        <w:rPr>
          <w:rFonts w:ascii="宋体" w:hAnsi="宋体" w:eastAsia="宋体" w:cs="宋体"/>
          <w:spacing w:val="7"/>
          <w:sz w:val="19"/>
          <w:szCs w:val="19"/>
        </w:rPr>
        <w:t>注</w:t>
      </w:r>
      <w:r>
        <w:rPr>
          <w:rFonts w:ascii="宋体" w:hAnsi="宋体" w:eastAsia="宋体" w:cs="宋体"/>
          <w:sz w:val="19"/>
          <w:szCs w:val="19"/>
        </w:rPr>
        <w:t xml:space="preserve"> </w:t>
      </w:r>
      <w:r>
        <w:rPr>
          <w:rFonts w:ascii="宋体" w:hAnsi="宋体" w:eastAsia="宋体" w:cs="宋体"/>
          <w:spacing w:val="16"/>
          <w:sz w:val="19"/>
          <w:szCs w:val="19"/>
        </w:rPr>
        <w:t>重以评促学</w:t>
      </w:r>
      <w:r>
        <w:rPr>
          <w:rFonts w:ascii="微软雅黑" w:hAnsi="微软雅黑" w:eastAsia="微软雅黑" w:cs="微软雅黑"/>
          <w:spacing w:val="16"/>
          <w:sz w:val="19"/>
          <w:szCs w:val="19"/>
        </w:rPr>
        <w:t>，</w:t>
      </w:r>
      <w:r>
        <w:rPr>
          <w:rFonts w:ascii="宋体" w:hAnsi="宋体" w:eastAsia="宋体" w:cs="宋体"/>
          <w:spacing w:val="16"/>
          <w:sz w:val="19"/>
          <w:szCs w:val="19"/>
        </w:rPr>
        <w:t>即通过评估学生的学</w:t>
      </w:r>
      <w:r>
        <w:rPr>
          <w:rFonts w:ascii="宋体" w:hAnsi="宋体" w:eastAsia="宋体" w:cs="宋体"/>
          <w:spacing w:val="-44"/>
          <w:sz w:val="19"/>
          <w:szCs w:val="19"/>
        </w:rPr>
        <w:t xml:space="preserve"> </w:t>
      </w:r>
      <w:r>
        <w:rPr>
          <w:rFonts w:ascii="宋体" w:hAnsi="宋体" w:eastAsia="宋体" w:cs="宋体"/>
          <w:spacing w:val="16"/>
          <w:sz w:val="19"/>
          <w:szCs w:val="19"/>
        </w:rPr>
        <w:t>习过程对学生的</w:t>
      </w:r>
    </w:p>
    <w:p>
      <w:pPr>
        <w:spacing w:before="84" w:line="184" w:lineRule="exact"/>
        <w:ind w:left="1037"/>
        <w:rPr>
          <w:rFonts w:ascii="微软雅黑" w:hAnsi="微软雅黑" w:eastAsia="微软雅黑" w:cs="微软雅黑"/>
          <w:sz w:val="19"/>
          <w:szCs w:val="19"/>
        </w:rPr>
      </w:pPr>
      <w:r>
        <w:rPr>
          <w:rFonts w:ascii="微软雅黑" w:hAnsi="微软雅黑" w:eastAsia="微软雅黑" w:cs="微软雅黑"/>
          <w:spacing w:val="-7"/>
          <w:position w:val="1"/>
          <w:sz w:val="19"/>
          <w:szCs w:val="19"/>
        </w:rPr>
        <w:t xml:space="preserve">·   </w:t>
      </w:r>
      <w:r>
        <w:rPr>
          <w:rFonts w:ascii="Arial" w:hAnsi="Arial" w:eastAsia="Arial" w:cs="Arial"/>
          <w:spacing w:val="-7"/>
          <w:position w:val="-1"/>
          <w:sz w:val="19"/>
          <w:szCs w:val="19"/>
        </w:rPr>
        <w:t>106</w:t>
      </w:r>
      <w:r>
        <w:rPr>
          <w:rFonts w:ascii="Arial" w:hAnsi="Arial" w:eastAsia="Arial" w:cs="Arial"/>
          <w:spacing w:val="23"/>
          <w:position w:val="-1"/>
          <w:sz w:val="19"/>
          <w:szCs w:val="19"/>
        </w:rPr>
        <w:t xml:space="preserve">  </w:t>
      </w:r>
      <w:r>
        <w:rPr>
          <w:rFonts w:ascii="微软雅黑" w:hAnsi="微软雅黑" w:eastAsia="微软雅黑" w:cs="微软雅黑"/>
          <w:spacing w:val="-7"/>
          <w:position w:val="1"/>
          <w:sz w:val="19"/>
          <w:szCs w:val="19"/>
        </w:rPr>
        <w:t>·</w:t>
      </w:r>
    </w:p>
    <w:p>
      <w:pPr>
        <w:spacing w:line="14" w:lineRule="auto"/>
        <w:rPr>
          <w:rFonts w:ascii="Arial"/>
          <w:sz w:val="2"/>
        </w:rPr>
      </w:pPr>
      <w:r>
        <w:rPr>
          <w:rFonts w:ascii="Arial" w:hAnsi="Arial" w:eastAsia="Arial" w:cs="Arial"/>
          <w:sz w:val="2"/>
          <w:szCs w:val="2"/>
        </w:rPr>
        <w:br w:type="column"/>
      </w:r>
    </w:p>
    <w:p>
      <w:pPr>
        <w:spacing w:before="38" w:line="226" w:lineRule="auto"/>
        <w:ind w:firstLine="3"/>
        <w:jc w:val="both"/>
        <w:rPr>
          <w:rFonts w:ascii="微软雅黑" w:hAnsi="微软雅黑" w:eastAsia="微软雅黑" w:cs="微软雅黑"/>
          <w:sz w:val="19"/>
          <w:szCs w:val="19"/>
        </w:rPr>
      </w:pPr>
      <w:r>
        <w:rPr>
          <w:rFonts w:ascii="宋体" w:hAnsi="宋体" w:eastAsia="宋体" w:cs="宋体"/>
          <w:spacing w:val="10"/>
          <w:sz w:val="19"/>
          <w:szCs w:val="19"/>
        </w:rPr>
        <w:t>学习起到诊断与推动的作用</w:t>
      </w:r>
      <w:r>
        <w:rPr>
          <w:rFonts w:ascii="宋体" w:hAnsi="宋体" w:eastAsia="宋体" w:cs="宋体"/>
          <w:spacing w:val="-43"/>
          <w:sz w:val="19"/>
          <w:szCs w:val="19"/>
        </w:rPr>
        <w:t xml:space="preserve"> </w:t>
      </w:r>
      <w:r>
        <w:rPr>
          <w:rFonts w:ascii="微软雅黑" w:hAnsi="微软雅黑" w:eastAsia="微软雅黑" w:cs="微软雅黑"/>
          <w:spacing w:val="10"/>
          <w:sz w:val="19"/>
          <w:szCs w:val="19"/>
        </w:rPr>
        <w:t>。</w:t>
      </w:r>
      <w:r>
        <w:rPr>
          <w:rFonts w:ascii="宋体" w:hAnsi="宋体" w:eastAsia="宋体" w:cs="宋体"/>
          <w:spacing w:val="10"/>
          <w:sz w:val="19"/>
          <w:szCs w:val="19"/>
        </w:rPr>
        <w:t>其三</w:t>
      </w:r>
      <w:r>
        <w:rPr>
          <w:rFonts w:ascii="微软雅黑" w:hAnsi="微软雅黑" w:eastAsia="微软雅黑" w:cs="微软雅黑"/>
          <w:spacing w:val="10"/>
          <w:sz w:val="19"/>
          <w:szCs w:val="19"/>
        </w:rPr>
        <w:t>，</w:t>
      </w:r>
      <w:r>
        <w:rPr>
          <w:rFonts w:ascii="宋体" w:hAnsi="宋体" w:eastAsia="宋体" w:cs="宋体"/>
          <w:spacing w:val="10"/>
          <w:sz w:val="19"/>
          <w:szCs w:val="19"/>
        </w:rPr>
        <w:t>注重互动共享</w:t>
      </w:r>
      <w:r>
        <w:rPr>
          <w:rFonts w:ascii="微软雅黑" w:hAnsi="微软雅黑" w:eastAsia="微软雅黑" w:cs="微软雅黑"/>
          <w:spacing w:val="10"/>
          <w:sz w:val="19"/>
          <w:szCs w:val="19"/>
        </w:rPr>
        <w:t>，</w:t>
      </w:r>
      <w:r>
        <w:rPr>
          <w:rFonts w:ascii="微软雅黑" w:hAnsi="微软雅黑" w:eastAsia="微软雅黑" w:cs="微软雅黑"/>
          <w:sz w:val="19"/>
          <w:szCs w:val="19"/>
        </w:rPr>
        <w:t xml:space="preserve"> </w:t>
      </w:r>
      <w:r>
        <w:rPr>
          <w:rFonts w:ascii="宋体" w:hAnsi="宋体" w:eastAsia="宋体" w:cs="宋体"/>
          <w:spacing w:val="9"/>
          <w:sz w:val="19"/>
          <w:szCs w:val="19"/>
        </w:rPr>
        <w:t>高校要营造互动共享的学术环境</w:t>
      </w:r>
      <w:r>
        <w:rPr>
          <w:rFonts w:ascii="微软雅黑" w:hAnsi="微软雅黑" w:eastAsia="微软雅黑" w:cs="微软雅黑"/>
          <w:spacing w:val="9"/>
          <w:sz w:val="19"/>
          <w:szCs w:val="19"/>
        </w:rPr>
        <w:t>，</w:t>
      </w:r>
      <w:r>
        <w:rPr>
          <w:rFonts w:ascii="宋体" w:hAnsi="宋体" w:eastAsia="宋体" w:cs="宋体"/>
          <w:spacing w:val="9"/>
          <w:sz w:val="19"/>
          <w:szCs w:val="19"/>
        </w:rPr>
        <w:t>促进师生</w:t>
      </w:r>
      <w:r>
        <w:rPr>
          <w:rFonts w:ascii="宋体" w:hAnsi="宋体" w:eastAsia="宋体" w:cs="宋体"/>
          <w:spacing w:val="8"/>
          <w:sz w:val="19"/>
          <w:szCs w:val="19"/>
        </w:rPr>
        <w:t>之间</w:t>
      </w:r>
      <w:r>
        <w:rPr>
          <w:rFonts w:ascii="微软雅黑" w:hAnsi="微软雅黑" w:eastAsia="微软雅黑" w:cs="微软雅黑"/>
          <w:spacing w:val="8"/>
          <w:sz w:val="19"/>
          <w:szCs w:val="19"/>
        </w:rPr>
        <w:t>、</w:t>
      </w:r>
      <w:r>
        <w:rPr>
          <w:rFonts w:ascii="宋体" w:hAnsi="宋体" w:eastAsia="宋体" w:cs="宋体"/>
          <w:spacing w:val="8"/>
          <w:sz w:val="19"/>
          <w:szCs w:val="19"/>
        </w:rPr>
        <w:t xml:space="preserve">生 </w:t>
      </w:r>
      <w:r>
        <w:rPr>
          <w:rFonts w:ascii="宋体" w:hAnsi="宋体" w:eastAsia="宋体" w:cs="宋体"/>
          <w:spacing w:val="9"/>
          <w:sz w:val="19"/>
          <w:szCs w:val="19"/>
        </w:rPr>
        <w:t>生之间</w:t>
      </w:r>
      <w:r>
        <w:rPr>
          <w:rFonts w:ascii="微软雅黑" w:hAnsi="微软雅黑" w:eastAsia="微软雅黑" w:cs="微软雅黑"/>
          <w:spacing w:val="9"/>
          <w:sz w:val="19"/>
          <w:szCs w:val="19"/>
        </w:rPr>
        <w:t>、</w:t>
      </w:r>
      <w:r>
        <w:rPr>
          <w:rFonts w:ascii="宋体" w:hAnsi="宋体" w:eastAsia="宋体" w:cs="宋体"/>
          <w:spacing w:val="9"/>
          <w:sz w:val="19"/>
          <w:szCs w:val="19"/>
        </w:rPr>
        <w:t>校校之间的互动交流和资源共享</w:t>
      </w:r>
      <w:r>
        <w:rPr>
          <w:rFonts w:ascii="微软雅黑" w:hAnsi="微软雅黑" w:eastAsia="微软雅黑" w:cs="微软雅黑"/>
          <w:spacing w:val="9"/>
          <w:sz w:val="19"/>
          <w:szCs w:val="19"/>
        </w:rPr>
        <w:t>，</w:t>
      </w:r>
      <w:r>
        <w:rPr>
          <w:rFonts w:ascii="宋体" w:hAnsi="宋体" w:eastAsia="宋体" w:cs="宋体"/>
          <w:spacing w:val="8"/>
          <w:sz w:val="19"/>
          <w:szCs w:val="19"/>
        </w:rPr>
        <w:t xml:space="preserve">以提高知 </w:t>
      </w:r>
      <w:r>
        <w:rPr>
          <w:rFonts w:ascii="宋体" w:hAnsi="宋体" w:eastAsia="宋体" w:cs="宋体"/>
          <w:spacing w:val="15"/>
          <w:sz w:val="19"/>
          <w:szCs w:val="19"/>
        </w:rPr>
        <w:t>识传播和转化的效率</w:t>
      </w:r>
      <w:r>
        <w:rPr>
          <w:rFonts w:ascii="宋体" w:hAnsi="宋体" w:eastAsia="宋体" w:cs="宋体"/>
          <w:spacing w:val="-39"/>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教师在教学的过程中要注重 </w:t>
      </w:r>
      <w:r>
        <w:rPr>
          <w:rFonts w:ascii="宋体" w:hAnsi="宋体" w:eastAsia="宋体" w:cs="宋体"/>
          <w:spacing w:val="9"/>
          <w:sz w:val="19"/>
          <w:szCs w:val="19"/>
        </w:rPr>
        <w:t>学生的意见</w:t>
      </w:r>
      <w:r>
        <w:rPr>
          <w:rFonts w:ascii="微软雅黑" w:hAnsi="微软雅黑" w:eastAsia="微软雅黑" w:cs="微软雅黑"/>
          <w:spacing w:val="9"/>
          <w:sz w:val="19"/>
          <w:szCs w:val="19"/>
        </w:rPr>
        <w:t>，</w:t>
      </w:r>
      <w:r>
        <w:rPr>
          <w:rFonts w:ascii="宋体" w:hAnsi="宋体" w:eastAsia="宋体" w:cs="宋体"/>
          <w:spacing w:val="9"/>
          <w:sz w:val="19"/>
          <w:szCs w:val="19"/>
        </w:rPr>
        <w:t>明确学生的学习应是主观互动</w:t>
      </w:r>
      <w:r>
        <w:rPr>
          <w:rFonts w:ascii="宋体" w:hAnsi="宋体" w:eastAsia="宋体" w:cs="宋体"/>
          <w:spacing w:val="8"/>
          <w:sz w:val="19"/>
          <w:szCs w:val="19"/>
        </w:rPr>
        <w:t>的</w:t>
      </w:r>
      <w:r>
        <w:rPr>
          <w:rFonts w:ascii="微软雅黑" w:hAnsi="微软雅黑" w:eastAsia="微软雅黑" w:cs="微软雅黑"/>
          <w:spacing w:val="8"/>
          <w:sz w:val="19"/>
          <w:szCs w:val="19"/>
        </w:rPr>
        <w:t>，</w:t>
      </w:r>
      <w:r>
        <w:rPr>
          <w:rFonts w:ascii="宋体" w:hAnsi="宋体" w:eastAsia="宋体" w:cs="宋体"/>
          <w:spacing w:val="8"/>
          <w:sz w:val="19"/>
          <w:szCs w:val="19"/>
        </w:rPr>
        <w:t xml:space="preserve">而不 </w:t>
      </w:r>
      <w:r>
        <w:rPr>
          <w:rFonts w:ascii="宋体" w:hAnsi="宋体" w:eastAsia="宋体" w:cs="宋体"/>
          <w:spacing w:val="17"/>
          <w:sz w:val="19"/>
          <w:szCs w:val="19"/>
        </w:rPr>
        <w:t>是教师单纯地传授知识</w:t>
      </w:r>
      <w:r>
        <w:rPr>
          <w:rFonts w:ascii="微软雅黑" w:hAnsi="微软雅黑" w:eastAsia="微软雅黑" w:cs="微软雅黑"/>
          <w:spacing w:val="17"/>
          <w:sz w:val="19"/>
          <w:szCs w:val="19"/>
        </w:rPr>
        <w:t>，</w:t>
      </w:r>
      <w:r>
        <w:rPr>
          <w:rFonts w:ascii="宋体" w:hAnsi="宋体" w:eastAsia="宋体" w:cs="宋体"/>
          <w:spacing w:val="17"/>
          <w:sz w:val="19"/>
          <w:szCs w:val="19"/>
        </w:rPr>
        <w:t>因而教师要改进自己的教 学方法</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通过加强与学生的互动为其创造良好的知 </w:t>
      </w:r>
      <w:r>
        <w:rPr>
          <w:rFonts w:ascii="宋体" w:hAnsi="宋体" w:eastAsia="宋体" w:cs="宋体"/>
          <w:spacing w:val="11"/>
          <w:sz w:val="19"/>
          <w:szCs w:val="19"/>
        </w:rPr>
        <w:t>识输入环境</w:t>
      </w:r>
      <w:r>
        <w:rPr>
          <w:rFonts w:ascii="宋体" w:hAnsi="宋体" w:eastAsia="宋体" w:cs="宋体"/>
          <w:spacing w:val="-34"/>
          <w:sz w:val="19"/>
          <w:szCs w:val="19"/>
        </w:rPr>
        <w:t xml:space="preserve"> </w:t>
      </w:r>
      <w:r>
        <w:rPr>
          <w:rFonts w:ascii="微软雅黑" w:hAnsi="微软雅黑" w:eastAsia="微软雅黑" w:cs="微软雅黑"/>
          <w:spacing w:val="11"/>
          <w:sz w:val="19"/>
          <w:szCs w:val="19"/>
        </w:rPr>
        <w:t>。</w:t>
      </w:r>
      <w:r>
        <w:rPr>
          <w:rFonts w:ascii="微软雅黑" w:hAnsi="微软雅黑" w:eastAsia="微软雅黑" w:cs="微软雅黑"/>
          <w:spacing w:val="-20"/>
          <w:sz w:val="19"/>
          <w:szCs w:val="19"/>
        </w:rPr>
        <w:t xml:space="preserve"> </w:t>
      </w:r>
      <w:r>
        <w:rPr>
          <w:rFonts w:ascii="宋体" w:hAnsi="宋体" w:eastAsia="宋体" w:cs="宋体"/>
          <w:spacing w:val="11"/>
          <w:sz w:val="19"/>
          <w:szCs w:val="19"/>
        </w:rPr>
        <w:t>同时</w:t>
      </w:r>
      <w:r>
        <w:rPr>
          <w:rFonts w:ascii="微软雅黑" w:hAnsi="微软雅黑" w:eastAsia="微软雅黑" w:cs="微软雅黑"/>
          <w:spacing w:val="11"/>
          <w:sz w:val="19"/>
          <w:szCs w:val="19"/>
        </w:rPr>
        <w:t>，</w:t>
      </w:r>
      <w:r>
        <w:rPr>
          <w:rFonts w:ascii="宋体" w:hAnsi="宋体" w:eastAsia="宋体" w:cs="宋体"/>
          <w:spacing w:val="11"/>
          <w:sz w:val="19"/>
          <w:szCs w:val="19"/>
        </w:rPr>
        <w:t>不</w:t>
      </w:r>
      <w:r>
        <w:rPr>
          <w:rFonts w:ascii="宋体" w:hAnsi="宋体" w:eastAsia="宋体" w:cs="宋体"/>
          <w:spacing w:val="-45"/>
          <w:sz w:val="19"/>
          <w:szCs w:val="19"/>
        </w:rPr>
        <w:t xml:space="preserve"> </w:t>
      </w:r>
      <w:r>
        <w:rPr>
          <w:rFonts w:ascii="宋体" w:hAnsi="宋体" w:eastAsia="宋体" w:cs="宋体"/>
          <w:spacing w:val="11"/>
          <w:sz w:val="19"/>
          <w:szCs w:val="19"/>
        </w:rPr>
        <w:t xml:space="preserve">同的教育机构要注重运用数 </w:t>
      </w:r>
      <w:r>
        <w:rPr>
          <w:rFonts w:ascii="宋体" w:hAnsi="宋体" w:eastAsia="宋体" w:cs="宋体"/>
          <w:spacing w:val="15"/>
          <w:sz w:val="19"/>
          <w:szCs w:val="19"/>
        </w:rPr>
        <w:t>字化手段为师生提供互相交流的机会</w:t>
      </w:r>
      <w:r>
        <w:rPr>
          <w:rFonts w:ascii="微软雅黑" w:hAnsi="微软雅黑" w:eastAsia="微软雅黑" w:cs="微软雅黑"/>
          <w:spacing w:val="15"/>
          <w:sz w:val="19"/>
          <w:szCs w:val="19"/>
        </w:rPr>
        <w:t>，</w:t>
      </w:r>
      <w:r>
        <w:rPr>
          <w:rFonts w:ascii="宋体" w:hAnsi="宋体" w:eastAsia="宋体" w:cs="宋体"/>
          <w:spacing w:val="15"/>
          <w:sz w:val="19"/>
          <w:szCs w:val="19"/>
        </w:rPr>
        <w:t>搭建</w:t>
      </w:r>
      <w:r>
        <w:rPr>
          <w:rFonts w:ascii="宋体" w:hAnsi="宋体" w:eastAsia="宋体" w:cs="宋体"/>
          <w:spacing w:val="-39"/>
          <w:sz w:val="19"/>
          <w:szCs w:val="19"/>
        </w:rPr>
        <w:t xml:space="preserve"> </w:t>
      </w:r>
      <w:r>
        <w:rPr>
          <w:rFonts w:ascii="宋体" w:hAnsi="宋体" w:eastAsia="宋体" w:cs="宋体"/>
          <w:spacing w:val="15"/>
          <w:sz w:val="19"/>
          <w:szCs w:val="19"/>
        </w:rPr>
        <w:t xml:space="preserve">资源共 </w:t>
      </w:r>
      <w:r>
        <w:rPr>
          <w:rFonts w:ascii="宋体" w:hAnsi="宋体" w:eastAsia="宋体" w:cs="宋体"/>
          <w:spacing w:val="13"/>
          <w:sz w:val="19"/>
          <w:szCs w:val="19"/>
        </w:rPr>
        <w:t>享平台</w:t>
      </w:r>
      <w:r>
        <w:rPr>
          <w:rFonts w:ascii="微软雅黑" w:hAnsi="微软雅黑" w:eastAsia="微软雅黑" w:cs="微软雅黑"/>
          <w:spacing w:val="13"/>
          <w:sz w:val="19"/>
          <w:szCs w:val="19"/>
        </w:rPr>
        <w:t>，</w:t>
      </w:r>
      <w:r>
        <w:rPr>
          <w:rFonts w:ascii="宋体" w:hAnsi="宋体" w:eastAsia="宋体" w:cs="宋体"/>
          <w:spacing w:val="13"/>
          <w:sz w:val="19"/>
          <w:szCs w:val="19"/>
        </w:rPr>
        <w:t>以促进不同机构及高校间的协作</w:t>
      </w:r>
      <w:r>
        <w:rPr>
          <w:rFonts w:ascii="微软雅黑" w:hAnsi="微软雅黑" w:eastAsia="微软雅黑" w:cs="微软雅黑"/>
          <w:spacing w:val="13"/>
          <w:sz w:val="19"/>
          <w:szCs w:val="19"/>
        </w:rPr>
        <w:t>。</w:t>
      </w:r>
    </w:p>
    <w:p>
      <w:pPr>
        <w:spacing w:before="71" w:line="177" w:lineRule="auto"/>
        <w:ind w:left="432"/>
        <w:rPr>
          <w:rFonts w:ascii="微软雅黑" w:hAnsi="微软雅黑" w:eastAsia="微软雅黑" w:cs="微软雅黑"/>
          <w:sz w:val="19"/>
          <w:szCs w:val="19"/>
        </w:rPr>
      </w:pPr>
      <w:r>
        <w:rPr>
          <w:rFonts w:ascii="微软雅黑" w:hAnsi="微软雅黑" w:eastAsia="微软雅黑" w:cs="微软雅黑"/>
          <w:spacing w:val="16"/>
          <w:sz w:val="19"/>
          <w:szCs w:val="19"/>
        </w:rPr>
        <w:t>(</w:t>
      </w:r>
      <w:r>
        <w:rPr>
          <w:rFonts w:ascii="Arial" w:hAnsi="Arial" w:eastAsia="Arial" w:cs="Arial"/>
          <w:spacing w:val="16"/>
          <w:sz w:val="19"/>
          <w:szCs w:val="19"/>
        </w:rPr>
        <w:t>3</w:t>
      </w:r>
      <w:r>
        <w:rPr>
          <w:rFonts w:ascii="微软雅黑" w:hAnsi="微软雅黑" w:eastAsia="微软雅黑" w:cs="微软雅黑"/>
          <w:spacing w:val="16"/>
          <w:sz w:val="19"/>
          <w:szCs w:val="19"/>
        </w:rPr>
        <w:t>)</w:t>
      </w:r>
      <w:r>
        <w:rPr>
          <w:rFonts w:ascii="微软雅黑" w:hAnsi="微软雅黑" w:eastAsia="微软雅黑" w:cs="微软雅黑"/>
          <w:spacing w:val="-3"/>
          <w:sz w:val="19"/>
          <w:szCs w:val="19"/>
        </w:rPr>
        <w:t xml:space="preserve"> </w:t>
      </w:r>
      <w:r>
        <w:rPr>
          <w:rFonts w:ascii="宋体" w:hAnsi="宋体" w:eastAsia="宋体" w:cs="宋体"/>
          <w:spacing w:val="16"/>
          <w:sz w:val="19"/>
          <w:szCs w:val="19"/>
        </w:rPr>
        <w:t>促进教师正确定位其价值观</w:t>
      </w:r>
      <w:r>
        <w:rPr>
          <w:rFonts w:ascii="微软雅黑" w:hAnsi="微软雅黑" w:eastAsia="微软雅黑" w:cs="微软雅黑"/>
          <w:spacing w:val="16"/>
          <w:sz w:val="19"/>
          <w:szCs w:val="19"/>
        </w:rPr>
        <w:t>。</w:t>
      </w:r>
    </w:p>
    <w:p>
      <w:pPr>
        <w:spacing w:before="75" w:line="235" w:lineRule="auto"/>
        <w:ind w:firstLine="420"/>
        <w:rPr>
          <w:rFonts w:ascii="微软雅黑" w:hAnsi="微软雅黑" w:eastAsia="微软雅黑" w:cs="微软雅黑"/>
          <w:sz w:val="19"/>
          <w:szCs w:val="19"/>
        </w:rPr>
      </w:pPr>
      <w:r>
        <w:rPr>
          <w:rFonts w:ascii="宋体" w:hAnsi="宋体" w:eastAsia="宋体" w:cs="宋体"/>
          <w:spacing w:val="17"/>
          <w:sz w:val="19"/>
          <w:szCs w:val="19"/>
        </w:rPr>
        <w:t>教师价值观指向质量文化要素中的教育者</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对 高质量的高等教育需要什么样的教师和怎样提高教 </w:t>
      </w:r>
      <w:r>
        <w:rPr>
          <w:rFonts w:ascii="宋体" w:hAnsi="宋体" w:eastAsia="宋体" w:cs="宋体"/>
          <w:spacing w:val="7"/>
          <w:sz w:val="19"/>
          <w:szCs w:val="19"/>
        </w:rPr>
        <w:t>师的质量进行了回答</w:t>
      </w:r>
      <w:r>
        <w:rPr>
          <w:rFonts w:ascii="宋体" w:hAnsi="宋体" w:eastAsia="宋体" w:cs="宋体"/>
          <w:spacing w:val="-52"/>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其一</w:t>
      </w:r>
      <w:r>
        <w:rPr>
          <w:rFonts w:ascii="微软雅黑" w:hAnsi="微软雅黑" w:eastAsia="微软雅黑" w:cs="微软雅黑"/>
          <w:spacing w:val="7"/>
          <w:sz w:val="19"/>
          <w:szCs w:val="19"/>
        </w:rPr>
        <w:t>，</w:t>
      </w:r>
      <w:r>
        <w:rPr>
          <w:rFonts w:ascii="宋体" w:hAnsi="宋体" w:eastAsia="宋体" w:cs="宋体"/>
          <w:spacing w:val="7"/>
          <w:sz w:val="19"/>
          <w:szCs w:val="19"/>
        </w:rPr>
        <w:t>挪威白皮书强调</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高校 </w:t>
      </w:r>
      <w:r>
        <w:rPr>
          <w:rFonts w:ascii="宋体" w:hAnsi="宋体" w:eastAsia="宋体" w:cs="宋体"/>
          <w:spacing w:val="13"/>
          <w:sz w:val="19"/>
          <w:szCs w:val="19"/>
        </w:rPr>
        <w:t>教师应当具备较强</w:t>
      </w:r>
      <w:r>
        <w:rPr>
          <w:rFonts w:ascii="宋体" w:hAnsi="宋体" w:eastAsia="宋体" w:cs="宋体"/>
          <w:spacing w:val="-31"/>
          <w:sz w:val="19"/>
          <w:szCs w:val="19"/>
        </w:rPr>
        <w:t xml:space="preserve"> </w:t>
      </w:r>
      <w:r>
        <w:rPr>
          <w:rFonts w:ascii="宋体" w:hAnsi="宋体" w:eastAsia="宋体" w:cs="宋体"/>
          <w:spacing w:val="13"/>
          <w:sz w:val="19"/>
          <w:szCs w:val="19"/>
        </w:rPr>
        <w:t>的教学</w:t>
      </w:r>
      <w:r>
        <w:rPr>
          <w:rFonts w:ascii="宋体" w:hAnsi="宋体" w:eastAsia="宋体" w:cs="宋体"/>
          <w:spacing w:val="-57"/>
          <w:sz w:val="19"/>
          <w:szCs w:val="19"/>
        </w:rPr>
        <w:t xml:space="preserve"> </w:t>
      </w:r>
      <w:r>
        <w:rPr>
          <w:rFonts w:ascii="宋体" w:hAnsi="宋体" w:eastAsia="宋体" w:cs="宋体"/>
          <w:spacing w:val="13"/>
          <w:sz w:val="19"/>
          <w:szCs w:val="19"/>
        </w:rPr>
        <w:t>能力和丰</w:t>
      </w:r>
      <w:r>
        <w:rPr>
          <w:rFonts w:ascii="宋体" w:hAnsi="宋体" w:eastAsia="宋体" w:cs="宋体"/>
          <w:spacing w:val="-54"/>
          <w:sz w:val="19"/>
          <w:szCs w:val="19"/>
        </w:rPr>
        <w:t xml:space="preserve"> </w:t>
      </w:r>
      <w:r>
        <w:rPr>
          <w:rFonts w:ascii="宋体" w:hAnsi="宋体" w:eastAsia="宋体" w:cs="宋体"/>
          <w:spacing w:val="13"/>
          <w:sz w:val="19"/>
          <w:szCs w:val="19"/>
        </w:rPr>
        <w:t>富</w:t>
      </w:r>
      <w:r>
        <w:rPr>
          <w:rFonts w:ascii="宋体" w:hAnsi="宋体" w:eastAsia="宋体" w:cs="宋体"/>
          <w:spacing w:val="-48"/>
          <w:sz w:val="19"/>
          <w:szCs w:val="19"/>
        </w:rPr>
        <w:t xml:space="preserve"> </w:t>
      </w:r>
      <w:r>
        <w:rPr>
          <w:rFonts w:ascii="宋体" w:hAnsi="宋体" w:eastAsia="宋体" w:cs="宋体"/>
          <w:spacing w:val="13"/>
          <w:sz w:val="19"/>
          <w:szCs w:val="19"/>
        </w:rPr>
        <w:t>的教学经验</w:t>
      </w:r>
      <w:r>
        <w:rPr>
          <w:rFonts w:ascii="微软雅黑" w:hAnsi="微软雅黑" w:eastAsia="微软雅黑" w:cs="微软雅黑"/>
          <w:spacing w:val="13"/>
          <w:sz w:val="19"/>
          <w:szCs w:val="19"/>
        </w:rPr>
        <w:t>，</w:t>
      </w:r>
      <w:r>
        <w:rPr>
          <w:rFonts w:ascii="微软雅黑" w:hAnsi="微软雅黑" w:eastAsia="微软雅黑" w:cs="微软雅黑"/>
          <w:sz w:val="19"/>
          <w:szCs w:val="19"/>
        </w:rPr>
        <w:t xml:space="preserve"> </w:t>
      </w:r>
      <w:r>
        <w:rPr>
          <w:rFonts w:ascii="宋体" w:hAnsi="宋体" w:eastAsia="宋体" w:cs="宋体"/>
          <w:spacing w:val="15"/>
          <w:sz w:val="19"/>
          <w:szCs w:val="19"/>
        </w:rPr>
        <w:t>同时兼顾一定的科研</w:t>
      </w:r>
      <w:r>
        <w:rPr>
          <w:rFonts w:ascii="宋体" w:hAnsi="宋体" w:eastAsia="宋体" w:cs="宋体"/>
          <w:spacing w:val="-39"/>
          <w:sz w:val="19"/>
          <w:szCs w:val="19"/>
        </w:rPr>
        <w:t xml:space="preserve"> </w:t>
      </w:r>
      <w:r>
        <w:rPr>
          <w:rFonts w:ascii="宋体" w:hAnsi="宋体" w:eastAsia="宋体" w:cs="宋体"/>
          <w:spacing w:val="15"/>
          <w:sz w:val="19"/>
          <w:szCs w:val="19"/>
        </w:rPr>
        <w:t>能力</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把教学能力置于最重要 </w:t>
      </w:r>
      <w:r>
        <w:rPr>
          <w:rFonts w:ascii="宋体" w:hAnsi="宋体" w:eastAsia="宋体" w:cs="宋体"/>
          <w:spacing w:val="7"/>
          <w:sz w:val="19"/>
          <w:szCs w:val="19"/>
        </w:rPr>
        <w:t>的位置</w:t>
      </w:r>
      <w:r>
        <w:rPr>
          <w:rFonts w:ascii="宋体" w:hAnsi="宋体" w:eastAsia="宋体" w:cs="宋体"/>
          <w:spacing w:val="-52"/>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其二</w:t>
      </w:r>
      <w:r>
        <w:rPr>
          <w:rFonts w:ascii="微软雅黑" w:hAnsi="微软雅黑" w:eastAsia="微软雅黑" w:cs="微软雅黑"/>
          <w:spacing w:val="7"/>
          <w:sz w:val="19"/>
          <w:szCs w:val="19"/>
        </w:rPr>
        <w:t>，</w:t>
      </w:r>
      <w:r>
        <w:rPr>
          <w:rFonts w:ascii="宋体" w:hAnsi="宋体" w:eastAsia="宋体" w:cs="宋体"/>
          <w:spacing w:val="7"/>
          <w:sz w:val="19"/>
          <w:szCs w:val="19"/>
        </w:rPr>
        <w:t>高等教育机构在任用</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晋升和考核教 </w:t>
      </w:r>
      <w:r>
        <w:rPr>
          <w:rFonts w:ascii="宋体" w:hAnsi="宋体" w:eastAsia="宋体" w:cs="宋体"/>
          <w:spacing w:val="10"/>
          <w:sz w:val="19"/>
          <w:szCs w:val="19"/>
        </w:rPr>
        <w:t>师时</w:t>
      </w:r>
      <w:r>
        <w:rPr>
          <w:rFonts w:ascii="微软雅黑" w:hAnsi="微软雅黑" w:eastAsia="微软雅黑" w:cs="微软雅黑"/>
          <w:spacing w:val="10"/>
          <w:sz w:val="19"/>
          <w:szCs w:val="19"/>
        </w:rPr>
        <w:t>，</w:t>
      </w:r>
      <w:r>
        <w:rPr>
          <w:rFonts w:ascii="宋体" w:hAnsi="宋体" w:eastAsia="宋体" w:cs="宋体"/>
          <w:spacing w:val="10"/>
          <w:sz w:val="19"/>
          <w:szCs w:val="19"/>
        </w:rPr>
        <w:t>应格外注重教师</w:t>
      </w:r>
      <w:r>
        <w:rPr>
          <w:rFonts w:ascii="宋体" w:hAnsi="宋体" w:eastAsia="宋体" w:cs="宋体"/>
          <w:spacing w:val="-31"/>
          <w:sz w:val="19"/>
          <w:szCs w:val="19"/>
        </w:rPr>
        <w:t xml:space="preserve"> </w:t>
      </w:r>
      <w:r>
        <w:rPr>
          <w:rFonts w:ascii="宋体" w:hAnsi="宋体" w:eastAsia="宋体" w:cs="宋体"/>
          <w:spacing w:val="10"/>
          <w:sz w:val="19"/>
          <w:szCs w:val="19"/>
        </w:rPr>
        <w:t>的教学</w:t>
      </w:r>
      <w:r>
        <w:rPr>
          <w:rFonts w:ascii="宋体" w:hAnsi="宋体" w:eastAsia="宋体" w:cs="宋体"/>
          <w:spacing w:val="-57"/>
          <w:sz w:val="19"/>
          <w:szCs w:val="19"/>
        </w:rPr>
        <w:t xml:space="preserve"> </w:t>
      </w:r>
      <w:r>
        <w:rPr>
          <w:rFonts w:ascii="宋体" w:hAnsi="宋体" w:eastAsia="宋体" w:cs="宋体"/>
          <w:spacing w:val="10"/>
          <w:sz w:val="19"/>
          <w:szCs w:val="19"/>
        </w:rPr>
        <w:t>能力和教学经验</w:t>
      </w:r>
      <w:r>
        <w:rPr>
          <w:rFonts w:ascii="宋体" w:hAnsi="宋体" w:eastAsia="宋体" w:cs="宋体"/>
          <w:spacing w:val="-51"/>
          <w:sz w:val="19"/>
          <w:szCs w:val="19"/>
        </w:rPr>
        <w:t xml:space="preserve"> </w:t>
      </w:r>
      <w:r>
        <w:rPr>
          <w:rFonts w:ascii="微软雅黑" w:hAnsi="微软雅黑" w:eastAsia="微软雅黑" w:cs="微软雅黑"/>
          <w:spacing w:val="10"/>
          <w:sz w:val="19"/>
          <w:szCs w:val="19"/>
        </w:rPr>
        <w:t>。</w:t>
      </w:r>
      <w:r>
        <w:rPr>
          <w:rFonts w:ascii="微软雅黑" w:hAnsi="微软雅黑" w:eastAsia="微软雅黑" w:cs="微软雅黑"/>
          <w:spacing w:val="-32"/>
          <w:sz w:val="19"/>
          <w:szCs w:val="19"/>
        </w:rPr>
        <w:t xml:space="preserve"> </w:t>
      </w:r>
      <w:r>
        <w:rPr>
          <w:rFonts w:ascii="宋体" w:hAnsi="宋体" w:eastAsia="宋体" w:cs="宋体"/>
          <w:spacing w:val="10"/>
          <w:sz w:val="19"/>
          <w:szCs w:val="19"/>
        </w:rPr>
        <w:t xml:space="preserve">此 </w:t>
      </w:r>
      <w:r>
        <w:rPr>
          <w:rFonts w:ascii="宋体" w:hAnsi="宋体" w:eastAsia="宋体" w:cs="宋体"/>
          <w:spacing w:val="9"/>
          <w:sz w:val="19"/>
          <w:szCs w:val="19"/>
        </w:rPr>
        <w:t>外</w:t>
      </w:r>
      <w:r>
        <w:rPr>
          <w:rFonts w:ascii="微软雅黑" w:hAnsi="微软雅黑" w:eastAsia="微软雅黑" w:cs="微软雅黑"/>
          <w:spacing w:val="9"/>
          <w:sz w:val="19"/>
          <w:szCs w:val="19"/>
        </w:rPr>
        <w:t>，</w:t>
      </w:r>
      <w:r>
        <w:rPr>
          <w:rFonts w:ascii="宋体" w:hAnsi="宋体" w:eastAsia="宋体" w:cs="宋体"/>
          <w:spacing w:val="9"/>
          <w:sz w:val="19"/>
          <w:szCs w:val="19"/>
        </w:rPr>
        <w:t>挪威白皮书指出</w:t>
      </w:r>
      <w:r>
        <w:rPr>
          <w:rFonts w:ascii="微软雅黑" w:hAnsi="微软雅黑" w:eastAsia="微软雅黑" w:cs="微软雅黑"/>
          <w:spacing w:val="9"/>
          <w:sz w:val="19"/>
          <w:szCs w:val="19"/>
        </w:rPr>
        <w:t>，</w:t>
      </w:r>
      <w:r>
        <w:rPr>
          <w:rFonts w:ascii="宋体" w:hAnsi="宋体" w:eastAsia="宋体" w:cs="宋体"/>
          <w:spacing w:val="9"/>
          <w:sz w:val="19"/>
          <w:szCs w:val="19"/>
        </w:rPr>
        <w:t>要结合实际建立有助</w:t>
      </w:r>
      <w:r>
        <w:rPr>
          <w:rFonts w:ascii="宋体" w:hAnsi="宋体" w:eastAsia="宋体" w:cs="宋体"/>
          <w:spacing w:val="8"/>
          <w:sz w:val="19"/>
          <w:szCs w:val="19"/>
        </w:rPr>
        <w:t xml:space="preserve">于培养高 </w:t>
      </w:r>
      <w:r>
        <w:rPr>
          <w:rFonts w:ascii="宋体" w:hAnsi="宋体" w:eastAsia="宋体" w:cs="宋体"/>
          <w:spacing w:val="15"/>
          <w:sz w:val="19"/>
          <w:szCs w:val="19"/>
        </w:rPr>
        <w:t>校优秀教师的制度</w:t>
      </w:r>
      <w:r>
        <w:rPr>
          <w:rFonts w:ascii="微软雅黑" w:hAnsi="微软雅黑" w:eastAsia="微软雅黑" w:cs="微软雅黑"/>
          <w:spacing w:val="15"/>
          <w:sz w:val="19"/>
          <w:szCs w:val="19"/>
        </w:rPr>
        <w:t>，</w:t>
      </w:r>
      <w:r>
        <w:rPr>
          <w:rFonts w:ascii="宋体" w:hAnsi="宋体" w:eastAsia="宋体" w:cs="宋体"/>
          <w:spacing w:val="15"/>
          <w:sz w:val="19"/>
          <w:szCs w:val="19"/>
        </w:rPr>
        <w:t>并鼓励教师开展关于教</w:t>
      </w:r>
      <w:r>
        <w:rPr>
          <w:rFonts w:ascii="宋体" w:hAnsi="宋体" w:eastAsia="宋体" w:cs="宋体"/>
          <w:spacing w:val="-39"/>
          <w:sz w:val="19"/>
          <w:szCs w:val="19"/>
        </w:rPr>
        <w:t xml:space="preserve"> </w:t>
      </w:r>
      <w:r>
        <w:rPr>
          <w:rFonts w:ascii="宋体" w:hAnsi="宋体" w:eastAsia="宋体" w:cs="宋体"/>
          <w:spacing w:val="15"/>
          <w:sz w:val="19"/>
          <w:szCs w:val="19"/>
        </w:rPr>
        <w:t xml:space="preserve">育质量 </w:t>
      </w:r>
      <w:r>
        <w:rPr>
          <w:rFonts w:ascii="宋体" w:hAnsi="宋体" w:eastAsia="宋体" w:cs="宋体"/>
          <w:spacing w:val="9"/>
          <w:sz w:val="19"/>
          <w:szCs w:val="19"/>
        </w:rPr>
        <w:t>文化的研究</w:t>
      </w:r>
      <w:r>
        <w:rPr>
          <w:rFonts w:ascii="微软雅黑" w:hAnsi="微软雅黑" w:eastAsia="微软雅黑" w:cs="微软雅黑"/>
          <w:spacing w:val="9"/>
          <w:sz w:val="19"/>
          <w:szCs w:val="19"/>
        </w:rPr>
        <w:t>，</w:t>
      </w:r>
      <w:r>
        <w:rPr>
          <w:rFonts w:ascii="宋体" w:hAnsi="宋体" w:eastAsia="宋体" w:cs="宋体"/>
          <w:spacing w:val="9"/>
          <w:sz w:val="19"/>
          <w:szCs w:val="19"/>
        </w:rPr>
        <w:t>以研促教</w:t>
      </w:r>
      <w:r>
        <w:rPr>
          <w:rFonts w:ascii="微软雅黑" w:hAnsi="微软雅黑" w:eastAsia="微软雅黑" w:cs="微软雅黑"/>
          <w:spacing w:val="9"/>
          <w:sz w:val="19"/>
          <w:szCs w:val="19"/>
        </w:rPr>
        <w:t>，</w:t>
      </w:r>
      <w:r>
        <w:rPr>
          <w:rFonts w:ascii="宋体" w:hAnsi="宋体" w:eastAsia="宋体" w:cs="宋体"/>
          <w:spacing w:val="9"/>
          <w:sz w:val="19"/>
          <w:szCs w:val="19"/>
        </w:rPr>
        <w:t>以研提质</w:t>
      </w:r>
      <w:r>
        <w:rPr>
          <w:rFonts w:ascii="微软雅黑" w:hAnsi="微软雅黑" w:eastAsia="微软雅黑" w:cs="微软雅黑"/>
          <w:spacing w:val="9"/>
          <w:sz w:val="19"/>
          <w:szCs w:val="19"/>
        </w:rPr>
        <w:t>，</w:t>
      </w:r>
      <w:r>
        <w:rPr>
          <w:rFonts w:ascii="宋体" w:hAnsi="宋体" w:eastAsia="宋体" w:cs="宋体"/>
          <w:spacing w:val="9"/>
          <w:sz w:val="19"/>
          <w:szCs w:val="19"/>
        </w:rPr>
        <w:t>使得教</w:t>
      </w:r>
      <w:r>
        <w:rPr>
          <w:rFonts w:ascii="宋体" w:hAnsi="宋体" w:eastAsia="宋体" w:cs="宋体"/>
          <w:spacing w:val="8"/>
          <w:sz w:val="19"/>
          <w:szCs w:val="19"/>
        </w:rPr>
        <w:t xml:space="preserve">师科研切 </w:t>
      </w:r>
      <w:r>
        <w:rPr>
          <w:rFonts w:ascii="宋体" w:hAnsi="宋体" w:eastAsia="宋体" w:cs="宋体"/>
          <w:spacing w:val="12"/>
          <w:sz w:val="19"/>
          <w:szCs w:val="19"/>
        </w:rPr>
        <w:t>实为高校发展和质量</w:t>
      </w:r>
      <w:r>
        <w:rPr>
          <w:rFonts w:ascii="宋体" w:hAnsi="宋体" w:eastAsia="宋体" w:cs="宋体"/>
          <w:spacing w:val="-49"/>
          <w:sz w:val="19"/>
          <w:szCs w:val="19"/>
        </w:rPr>
        <w:t xml:space="preserve"> </w:t>
      </w:r>
      <w:r>
        <w:rPr>
          <w:rFonts w:ascii="宋体" w:hAnsi="宋体" w:eastAsia="宋体" w:cs="宋体"/>
          <w:spacing w:val="12"/>
          <w:sz w:val="19"/>
          <w:szCs w:val="19"/>
        </w:rPr>
        <w:t>文化</w:t>
      </w:r>
      <w:r>
        <w:rPr>
          <w:rFonts w:ascii="宋体" w:hAnsi="宋体" w:eastAsia="宋体" w:cs="宋体"/>
          <w:spacing w:val="-56"/>
          <w:sz w:val="19"/>
          <w:szCs w:val="19"/>
        </w:rPr>
        <w:t xml:space="preserve"> </w:t>
      </w:r>
      <w:r>
        <w:rPr>
          <w:rFonts w:ascii="宋体" w:hAnsi="宋体" w:eastAsia="宋体" w:cs="宋体"/>
          <w:spacing w:val="12"/>
          <w:sz w:val="19"/>
          <w:szCs w:val="19"/>
        </w:rPr>
        <w:t>建</w:t>
      </w:r>
      <w:r>
        <w:rPr>
          <w:rFonts w:ascii="宋体" w:hAnsi="宋体" w:eastAsia="宋体" w:cs="宋体"/>
          <w:spacing w:val="-55"/>
          <w:sz w:val="19"/>
          <w:szCs w:val="19"/>
        </w:rPr>
        <w:t xml:space="preserve"> </w:t>
      </w:r>
      <w:r>
        <w:rPr>
          <w:rFonts w:ascii="宋体" w:hAnsi="宋体" w:eastAsia="宋体" w:cs="宋体"/>
          <w:spacing w:val="12"/>
          <w:sz w:val="19"/>
          <w:szCs w:val="19"/>
        </w:rPr>
        <w:t>设服</w:t>
      </w:r>
      <w:r>
        <w:rPr>
          <w:rFonts w:ascii="宋体" w:hAnsi="宋体" w:eastAsia="宋体" w:cs="宋体"/>
          <w:spacing w:val="-57"/>
          <w:sz w:val="19"/>
          <w:szCs w:val="19"/>
        </w:rPr>
        <w:t xml:space="preserve"> </w:t>
      </w:r>
      <w:r>
        <w:rPr>
          <w:rFonts w:ascii="宋体" w:hAnsi="宋体" w:eastAsia="宋体" w:cs="宋体"/>
          <w:spacing w:val="12"/>
          <w:sz w:val="19"/>
          <w:szCs w:val="19"/>
        </w:rPr>
        <w:t>务</w:t>
      </w:r>
      <w:r>
        <w:rPr>
          <w:rFonts w:ascii="宋体" w:hAnsi="宋体" w:eastAsia="宋体" w:cs="宋体"/>
          <w:spacing w:val="-51"/>
          <w:sz w:val="19"/>
          <w:szCs w:val="19"/>
        </w:rPr>
        <w:t xml:space="preserve"> </w:t>
      </w:r>
      <w:r>
        <w:rPr>
          <w:rFonts w:ascii="微软雅黑" w:hAnsi="微软雅黑" w:eastAsia="微软雅黑" w:cs="微软雅黑"/>
          <w:spacing w:val="12"/>
          <w:sz w:val="19"/>
          <w:szCs w:val="19"/>
        </w:rPr>
        <w:t>。</w:t>
      </w:r>
      <w:r>
        <w:rPr>
          <w:rFonts w:ascii="微软雅黑" w:hAnsi="微软雅黑" w:eastAsia="微软雅黑" w:cs="微软雅黑"/>
          <w:spacing w:val="-29"/>
          <w:sz w:val="19"/>
          <w:szCs w:val="19"/>
        </w:rPr>
        <w:t xml:space="preserve"> </w:t>
      </w:r>
      <w:r>
        <w:rPr>
          <w:rFonts w:ascii="宋体" w:hAnsi="宋体" w:eastAsia="宋体" w:cs="宋体"/>
          <w:spacing w:val="12"/>
          <w:sz w:val="19"/>
          <w:szCs w:val="19"/>
        </w:rPr>
        <w:t>值得</w:t>
      </w:r>
      <w:r>
        <w:rPr>
          <w:rFonts w:ascii="宋体" w:hAnsi="宋体" w:eastAsia="宋体" w:cs="宋体"/>
          <w:spacing w:val="-55"/>
          <w:sz w:val="19"/>
          <w:szCs w:val="19"/>
        </w:rPr>
        <w:t xml:space="preserve"> </w:t>
      </w:r>
      <w:r>
        <w:rPr>
          <w:rFonts w:ascii="宋体" w:hAnsi="宋体" w:eastAsia="宋体" w:cs="宋体"/>
          <w:spacing w:val="12"/>
          <w:sz w:val="19"/>
          <w:szCs w:val="19"/>
        </w:rPr>
        <w:t>一提</w:t>
      </w:r>
      <w:r>
        <w:rPr>
          <w:rFonts w:ascii="宋体" w:hAnsi="宋体" w:eastAsia="宋体" w:cs="宋体"/>
          <w:spacing w:val="-43"/>
          <w:sz w:val="19"/>
          <w:szCs w:val="19"/>
        </w:rPr>
        <w:t xml:space="preserve"> </w:t>
      </w:r>
      <w:r>
        <w:rPr>
          <w:rFonts w:ascii="宋体" w:hAnsi="宋体" w:eastAsia="宋体" w:cs="宋体"/>
          <w:spacing w:val="12"/>
          <w:sz w:val="19"/>
          <w:szCs w:val="19"/>
        </w:rPr>
        <w:t xml:space="preserve">的 </w:t>
      </w:r>
      <w:r>
        <w:rPr>
          <w:rFonts w:ascii="宋体" w:hAnsi="宋体" w:eastAsia="宋体" w:cs="宋体"/>
          <w:spacing w:val="17"/>
          <w:sz w:val="19"/>
          <w:szCs w:val="19"/>
        </w:rPr>
        <w:t>是</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为促进挪威高等教育教学与科研职能的均衡发 </w:t>
      </w:r>
      <w:r>
        <w:rPr>
          <w:rFonts w:ascii="宋体" w:hAnsi="宋体" w:eastAsia="宋体" w:cs="宋体"/>
          <w:spacing w:val="9"/>
          <w:sz w:val="19"/>
          <w:szCs w:val="19"/>
        </w:rPr>
        <w:t>展</w:t>
      </w:r>
      <w:r>
        <w:rPr>
          <w:rFonts w:ascii="微软雅黑" w:hAnsi="微软雅黑" w:eastAsia="微软雅黑" w:cs="微软雅黑"/>
          <w:spacing w:val="9"/>
          <w:sz w:val="19"/>
          <w:szCs w:val="19"/>
        </w:rPr>
        <w:t>，</w:t>
      </w:r>
      <w:r>
        <w:rPr>
          <w:rFonts w:ascii="宋体" w:hAnsi="宋体" w:eastAsia="宋体" w:cs="宋体"/>
          <w:spacing w:val="9"/>
          <w:sz w:val="19"/>
          <w:szCs w:val="19"/>
        </w:rPr>
        <w:t>白皮书强调对教授的考核</w:t>
      </w:r>
      <w:r>
        <w:rPr>
          <w:rFonts w:ascii="微软雅黑" w:hAnsi="微软雅黑" w:eastAsia="微软雅黑" w:cs="微软雅黑"/>
          <w:spacing w:val="9"/>
          <w:sz w:val="19"/>
          <w:szCs w:val="19"/>
        </w:rPr>
        <w:t>、</w:t>
      </w:r>
      <w:r>
        <w:rPr>
          <w:rFonts w:ascii="宋体" w:hAnsi="宋体" w:eastAsia="宋体" w:cs="宋体"/>
          <w:spacing w:val="9"/>
          <w:sz w:val="19"/>
          <w:szCs w:val="19"/>
        </w:rPr>
        <w:t>奖励等要格</w:t>
      </w:r>
      <w:r>
        <w:rPr>
          <w:rFonts w:ascii="宋体" w:hAnsi="宋体" w:eastAsia="宋体" w:cs="宋体"/>
          <w:spacing w:val="8"/>
          <w:sz w:val="19"/>
          <w:szCs w:val="19"/>
        </w:rPr>
        <w:t xml:space="preserve">外重视其 </w:t>
      </w:r>
      <w:r>
        <w:rPr>
          <w:rFonts w:ascii="宋体" w:hAnsi="宋体" w:eastAsia="宋体" w:cs="宋体"/>
          <w:spacing w:val="14"/>
          <w:sz w:val="19"/>
          <w:szCs w:val="19"/>
        </w:rPr>
        <w:t>教学能力和教学经验</w:t>
      </w:r>
      <w:r>
        <w:rPr>
          <w:rFonts w:ascii="宋体" w:hAnsi="宋体" w:eastAsia="宋体" w:cs="宋体"/>
          <w:spacing w:val="-42"/>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31"/>
          <w:sz w:val="19"/>
          <w:szCs w:val="19"/>
        </w:rPr>
        <w:t xml:space="preserve"> </w:t>
      </w:r>
      <w:r>
        <w:rPr>
          <w:rFonts w:ascii="宋体" w:hAnsi="宋体" w:eastAsia="宋体" w:cs="宋体"/>
          <w:spacing w:val="14"/>
          <w:sz w:val="19"/>
          <w:szCs w:val="19"/>
        </w:rPr>
        <w:t>教学职能是基础职能</w:t>
      </w:r>
      <w:r>
        <w:rPr>
          <w:rFonts w:ascii="微软雅黑" w:hAnsi="微软雅黑" w:eastAsia="微软雅黑" w:cs="微软雅黑"/>
          <w:spacing w:val="14"/>
          <w:sz w:val="19"/>
          <w:szCs w:val="19"/>
        </w:rPr>
        <w:t>，</w:t>
      </w:r>
      <w:r>
        <w:rPr>
          <w:rFonts w:ascii="宋体" w:hAnsi="宋体" w:eastAsia="宋体" w:cs="宋体"/>
          <w:spacing w:val="14"/>
          <w:sz w:val="19"/>
          <w:szCs w:val="19"/>
        </w:rPr>
        <w:t xml:space="preserve">教师 </w:t>
      </w:r>
      <w:r>
        <w:rPr>
          <w:rFonts w:ascii="宋体" w:hAnsi="宋体" w:eastAsia="宋体" w:cs="宋体"/>
          <w:spacing w:val="15"/>
          <w:sz w:val="19"/>
          <w:szCs w:val="19"/>
        </w:rPr>
        <w:t>主要通过教学与学生互动交流</w:t>
      </w:r>
      <w:r>
        <w:rPr>
          <w:rFonts w:ascii="宋体" w:hAnsi="宋体" w:eastAsia="宋体" w:cs="宋体"/>
          <w:spacing w:val="-39"/>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注重教师的教学能 </w:t>
      </w:r>
      <w:r>
        <w:rPr>
          <w:rFonts w:ascii="宋体" w:hAnsi="宋体" w:eastAsia="宋体" w:cs="宋体"/>
          <w:spacing w:val="17"/>
          <w:sz w:val="19"/>
          <w:szCs w:val="19"/>
        </w:rPr>
        <w:t>力既体现了以学生为中心的高等教育质量文化建设 价值观</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也是挪威针对质量文化建设中出现的高校 </w:t>
      </w:r>
      <w:r>
        <w:rPr>
          <w:rFonts w:ascii="宋体" w:hAnsi="宋体" w:eastAsia="宋体" w:cs="宋体"/>
          <w:spacing w:val="3"/>
          <w:sz w:val="19"/>
          <w:szCs w:val="19"/>
        </w:rPr>
        <w:t>职能的</w:t>
      </w:r>
      <w:r>
        <w:rPr>
          <w:rFonts w:ascii="微软雅黑" w:hAnsi="微软雅黑" w:eastAsia="微软雅黑" w:cs="微软雅黑"/>
          <w:spacing w:val="3"/>
          <w:sz w:val="19"/>
          <w:szCs w:val="19"/>
        </w:rPr>
        <w:t>“</w:t>
      </w:r>
      <w:r>
        <w:rPr>
          <w:rFonts w:ascii="微软雅黑" w:hAnsi="微软雅黑" w:eastAsia="微软雅黑" w:cs="微软雅黑"/>
          <w:spacing w:val="-32"/>
          <w:sz w:val="19"/>
          <w:szCs w:val="19"/>
        </w:rPr>
        <w:t xml:space="preserve"> </w:t>
      </w:r>
      <w:r>
        <w:rPr>
          <w:rFonts w:ascii="宋体" w:hAnsi="宋体" w:eastAsia="宋体" w:cs="宋体"/>
          <w:spacing w:val="3"/>
          <w:sz w:val="19"/>
          <w:szCs w:val="19"/>
        </w:rPr>
        <w:t>失衡</w:t>
      </w:r>
      <w:r>
        <w:rPr>
          <w:rFonts w:ascii="微软雅黑" w:hAnsi="微软雅黑" w:eastAsia="微软雅黑" w:cs="微软雅黑"/>
          <w:spacing w:val="3"/>
          <w:sz w:val="19"/>
          <w:szCs w:val="19"/>
        </w:rPr>
        <w:t>”</w:t>
      </w:r>
      <w:r>
        <w:rPr>
          <w:rFonts w:ascii="宋体" w:hAnsi="宋体" w:eastAsia="宋体" w:cs="宋体"/>
          <w:spacing w:val="3"/>
          <w:sz w:val="19"/>
          <w:szCs w:val="19"/>
        </w:rPr>
        <w:t>问题做出的努力</w:t>
      </w:r>
      <w:r>
        <w:rPr>
          <w:rFonts w:ascii="微软雅黑" w:hAnsi="微软雅黑" w:eastAsia="微软雅黑" w:cs="微软雅黑"/>
          <w:spacing w:val="3"/>
          <w:sz w:val="19"/>
          <w:szCs w:val="19"/>
        </w:rPr>
        <w:t>。</w:t>
      </w:r>
    </w:p>
    <w:p>
      <w:pPr>
        <w:spacing w:before="67" w:line="177" w:lineRule="auto"/>
        <w:ind w:left="432"/>
        <w:rPr>
          <w:rFonts w:ascii="微软雅黑" w:hAnsi="微软雅黑" w:eastAsia="微软雅黑" w:cs="微软雅黑"/>
          <w:sz w:val="19"/>
          <w:szCs w:val="19"/>
        </w:rPr>
      </w:pPr>
      <w:r>
        <w:rPr>
          <w:rFonts w:ascii="微软雅黑" w:hAnsi="微软雅黑" w:eastAsia="微软雅黑" w:cs="微软雅黑"/>
          <w:spacing w:val="16"/>
          <w:sz w:val="19"/>
          <w:szCs w:val="19"/>
        </w:rPr>
        <w:t>(</w:t>
      </w:r>
      <w:r>
        <w:rPr>
          <w:rFonts w:ascii="Arial" w:hAnsi="Arial" w:eastAsia="Arial" w:cs="Arial"/>
          <w:spacing w:val="16"/>
          <w:sz w:val="19"/>
          <w:szCs w:val="19"/>
        </w:rPr>
        <w:t>4</w:t>
      </w:r>
      <w:r>
        <w:rPr>
          <w:rFonts w:ascii="微软雅黑" w:hAnsi="微软雅黑" w:eastAsia="微软雅黑" w:cs="微软雅黑"/>
          <w:spacing w:val="16"/>
          <w:sz w:val="19"/>
          <w:szCs w:val="19"/>
        </w:rPr>
        <w:t>)</w:t>
      </w:r>
      <w:r>
        <w:rPr>
          <w:rFonts w:ascii="微软雅黑" w:hAnsi="微软雅黑" w:eastAsia="微软雅黑" w:cs="微软雅黑"/>
          <w:spacing w:val="-3"/>
          <w:sz w:val="19"/>
          <w:szCs w:val="19"/>
        </w:rPr>
        <w:t xml:space="preserve"> </w:t>
      </w:r>
      <w:r>
        <w:rPr>
          <w:rFonts w:ascii="宋体" w:hAnsi="宋体" w:eastAsia="宋体" w:cs="宋体"/>
          <w:spacing w:val="16"/>
          <w:sz w:val="19"/>
          <w:szCs w:val="19"/>
        </w:rPr>
        <w:t>加强学术环境的管理和指导</w:t>
      </w:r>
      <w:r>
        <w:rPr>
          <w:rFonts w:ascii="微软雅黑" w:hAnsi="微软雅黑" w:eastAsia="微软雅黑" w:cs="微软雅黑"/>
          <w:spacing w:val="16"/>
          <w:sz w:val="19"/>
          <w:szCs w:val="19"/>
        </w:rPr>
        <w:t>。</w:t>
      </w:r>
    </w:p>
    <w:p>
      <w:pPr>
        <w:spacing w:before="79" w:line="237" w:lineRule="auto"/>
        <w:ind w:right="69" w:firstLine="419"/>
        <w:rPr>
          <w:rFonts w:ascii="微软雅黑" w:hAnsi="微软雅黑" w:eastAsia="微软雅黑" w:cs="微软雅黑"/>
          <w:sz w:val="19"/>
          <w:szCs w:val="19"/>
        </w:rPr>
      </w:pPr>
      <w:r>
        <w:rPr>
          <w:rFonts w:ascii="宋体" w:hAnsi="宋体" w:eastAsia="宋体" w:cs="宋体"/>
          <w:spacing w:val="18"/>
          <w:sz w:val="19"/>
          <w:szCs w:val="19"/>
        </w:rPr>
        <w:t>加强对学术环境的管理和指导指向质量文化建</w:t>
      </w:r>
      <w:r>
        <w:rPr>
          <w:rFonts w:ascii="宋体" w:hAnsi="宋体" w:eastAsia="宋体" w:cs="宋体"/>
          <w:spacing w:val="5"/>
          <w:sz w:val="19"/>
          <w:szCs w:val="19"/>
        </w:rPr>
        <w:t xml:space="preserve"> </w:t>
      </w:r>
      <w:r>
        <w:rPr>
          <w:rFonts w:ascii="宋体" w:hAnsi="宋体" w:eastAsia="宋体" w:cs="宋体"/>
          <w:spacing w:val="9"/>
          <w:sz w:val="19"/>
          <w:szCs w:val="19"/>
        </w:rPr>
        <w:t>设中的技术层面</w:t>
      </w:r>
      <w:r>
        <w:rPr>
          <w:rFonts w:ascii="微软雅黑" w:hAnsi="微软雅黑" w:eastAsia="微软雅黑" w:cs="微软雅黑"/>
          <w:spacing w:val="9"/>
          <w:sz w:val="19"/>
          <w:szCs w:val="19"/>
        </w:rPr>
        <w:t>，</w:t>
      </w:r>
      <w:r>
        <w:rPr>
          <w:rFonts w:ascii="宋体" w:hAnsi="宋体" w:eastAsia="宋体" w:cs="宋体"/>
          <w:spacing w:val="9"/>
          <w:sz w:val="19"/>
          <w:szCs w:val="19"/>
        </w:rPr>
        <w:t>即通过对学术环境的管理</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规范和 </w:t>
      </w:r>
      <w:r>
        <w:rPr>
          <w:rFonts w:ascii="宋体" w:hAnsi="宋体" w:eastAsia="宋体" w:cs="宋体"/>
          <w:spacing w:val="13"/>
          <w:sz w:val="19"/>
          <w:szCs w:val="19"/>
        </w:rPr>
        <w:t>约束使其达到和谐运转的目的</w:t>
      </w:r>
      <w:r>
        <w:rPr>
          <w:rFonts w:ascii="宋体" w:hAnsi="宋体" w:eastAsia="宋体" w:cs="宋体"/>
          <w:spacing w:val="-49"/>
          <w:sz w:val="19"/>
          <w:szCs w:val="19"/>
        </w:rPr>
        <w:t xml:space="preserve"> </w:t>
      </w:r>
      <w:r>
        <w:rPr>
          <w:rFonts w:ascii="微软雅黑" w:hAnsi="微软雅黑" w:eastAsia="微软雅黑" w:cs="微软雅黑"/>
          <w:spacing w:val="13"/>
          <w:sz w:val="19"/>
          <w:szCs w:val="19"/>
        </w:rPr>
        <w:t>。</w:t>
      </w:r>
      <w:r>
        <w:rPr>
          <w:rFonts w:ascii="微软雅黑" w:hAnsi="微软雅黑" w:eastAsia="微软雅黑" w:cs="微软雅黑"/>
          <w:spacing w:val="-32"/>
          <w:sz w:val="19"/>
          <w:szCs w:val="19"/>
        </w:rPr>
        <w:t xml:space="preserve"> </w:t>
      </w:r>
      <w:r>
        <w:rPr>
          <w:rFonts w:ascii="宋体" w:hAnsi="宋体" w:eastAsia="宋体" w:cs="宋体"/>
          <w:spacing w:val="13"/>
          <w:sz w:val="19"/>
          <w:szCs w:val="19"/>
        </w:rPr>
        <w:t>其一</w:t>
      </w:r>
      <w:r>
        <w:rPr>
          <w:rFonts w:ascii="微软雅黑" w:hAnsi="微软雅黑" w:eastAsia="微软雅黑" w:cs="微软雅黑"/>
          <w:spacing w:val="13"/>
          <w:sz w:val="19"/>
          <w:szCs w:val="19"/>
        </w:rPr>
        <w:t>，</w:t>
      </w:r>
      <w:r>
        <w:rPr>
          <w:rFonts w:ascii="宋体" w:hAnsi="宋体" w:eastAsia="宋体" w:cs="宋体"/>
          <w:spacing w:val="13"/>
          <w:sz w:val="19"/>
          <w:szCs w:val="19"/>
        </w:rPr>
        <w:t>完善不</w:t>
      </w:r>
      <w:r>
        <w:rPr>
          <w:rFonts w:ascii="宋体" w:hAnsi="宋体" w:eastAsia="宋体" w:cs="宋体"/>
          <w:spacing w:val="-45"/>
          <w:sz w:val="19"/>
          <w:szCs w:val="19"/>
        </w:rPr>
        <w:t xml:space="preserve"> </w:t>
      </w:r>
      <w:r>
        <w:rPr>
          <w:rFonts w:ascii="宋体" w:hAnsi="宋体" w:eastAsia="宋体" w:cs="宋体"/>
          <w:spacing w:val="13"/>
          <w:sz w:val="19"/>
          <w:szCs w:val="19"/>
        </w:rPr>
        <w:t>同高</w:t>
      </w:r>
      <w:r>
        <w:rPr>
          <w:rFonts w:ascii="宋体" w:hAnsi="宋体" w:eastAsia="宋体" w:cs="宋体"/>
          <w:sz w:val="19"/>
          <w:szCs w:val="19"/>
        </w:rPr>
        <w:t xml:space="preserve"> </w:t>
      </w:r>
      <w:r>
        <w:rPr>
          <w:rFonts w:ascii="宋体" w:hAnsi="宋体" w:eastAsia="宋体" w:cs="宋体"/>
          <w:spacing w:val="18"/>
          <w:sz w:val="19"/>
          <w:szCs w:val="19"/>
        </w:rPr>
        <w:t>校间的资源分配政策</w:t>
      </w:r>
      <w:r>
        <w:rPr>
          <w:rFonts w:ascii="微软雅黑" w:hAnsi="微软雅黑" w:eastAsia="微软雅黑" w:cs="微软雅黑"/>
          <w:spacing w:val="18"/>
          <w:sz w:val="19"/>
          <w:szCs w:val="19"/>
        </w:rPr>
        <w:t>，</w:t>
      </w:r>
      <w:r>
        <w:rPr>
          <w:rFonts w:ascii="宋体" w:hAnsi="宋体" w:eastAsia="宋体" w:cs="宋体"/>
          <w:spacing w:val="18"/>
          <w:sz w:val="19"/>
          <w:szCs w:val="19"/>
        </w:rPr>
        <w:t>通过不同高等教育机构间的</w:t>
      </w:r>
      <w:r>
        <w:rPr>
          <w:rFonts w:ascii="宋体" w:hAnsi="宋体" w:eastAsia="宋体" w:cs="宋体"/>
          <w:spacing w:val="8"/>
          <w:sz w:val="19"/>
          <w:szCs w:val="19"/>
        </w:rPr>
        <w:t xml:space="preserve"> </w:t>
      </w:r>
      <w:r>
        <w:rPr>
          <w:rFonts w:ascii="宋体" w:hAnsi="宋体" w:eastAsia="宋体" w:cs="宋体"/>
          <w:spacing w:val="7"/>
          <w:sz w:val="19"/>
          <w:szCs w:val="19"/>
        </w:rPr>
        <w:t>合作</w:t>
      </w:r>
      <w:r>
        <w:rPr>
          <w:rFonts w:ascii="微软雅黑" w:hAnsi="微软雅黑" w:eastAsia="微软雅黑" w:cs="微软雅黑"/>
          <w:spacing w:val="7"/>
          <w:sz w:val="19"/>
          <w:szCs w:val="19"/>
        </w:rPr>
        <w:t>，</w:t>
      </w:r>
      <w:r>
        <w:rPr>
          <w:rFonts w:ascii="宋体" w:hAnsi="宋体" w:eastAsia="宋体" w:cs="宋体"/>
          <w:spacing w:val="7"/>
          <w:sz w:val="19"/>
          <w:szCs w:val="19"/>
        </w:rPr>
        <w:t>加强学术环境中的资源共享</w:t>
      </w:r>
      <w:r>
        <w:rPr>
          <w:rFonts w:ascii="宋体" w:hAnsi="宋体" w:eastAsia="宋体" w:cs="宋体"/>
          <w:spacing w:val="-40"/>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其二</w:t>
      </w:r>
      <w:r>
        <w:rPr>
          <w:rFonts w:ascii="微软雅黑" w:hAnsi="微软雅黑" w:eastAsia="微软雅黑" w:cs="微软雅黑"/>
          <w:spacing w:val="7"/>
          <w:sz w:val="19"/>
          <w:szCs w:val="19"/>
        </w:rPr>
        <w:t>，</w:t>
      </w:r>
      <w:r>
        <w:rPr>
          <w:rFonts w:ascii="宋体" w:hAnsi="宋体" w:eastAsia="宋体" w:cs="宋体"/>
          <w:spacing w:val="7"/>
          <w:sz w:val="19"/>
          <w:szCs w:val="19"/>
        </w:rPr>
        <w:t>加强跨机</w:t>
      </w:r>
      <w:r>
        <w:rPr>
          <w:rFonts w:ascii="宋体" w:hAnsi="宋体" w:eastAsia="宋体" w:cs="宋体"/>
          <w:sz w:val="19"/>
          <w:szCs w:val="19"/>
        </w:rPr>
        <w:t xml:space="preserve"> </w:t>
      </w:r>
      <w:r>
        <w:rPr>
          <w:rFonts w:ascii="宋体" w:hAnsi="宋体" w:eastAsia="宋体" w:cs="宋体"/>
          <w:spacing w:val="18"/>
          <w:sz w:val="19"/>
          <w:szCs w:val="19"/>
        </w:rPr>
        <w:t>构的同行评审</w:t>
      </w:r>
      <w:r>
        <w:rPr>
          <w:rFonts w:ascii="微软雅黑" w:hAnsi="微软雅黑" w:eastAsia="微软雅黑" w:cs="微软雅黑"/>
          <w:spacing w:val="18"/>
          <w:sz w:val="19"/>
          <w:szCs w:val="19"/>
        </w:rPr>
        <w:t>，</w:t>
      </w:r>
      <w:r>
        <w:rPr>
          <w:rFonts w:ascii="宋体" w:hAnsi="宋体" w:eastAsia="宋体" w:cs="宋体"/>
          <w:spacing w:val="18"/>
          <w:sz w:val="19"/>
          <w:szCs w:val="19"/>
        </w:rPr>
        <w:t>扩大院校在质量评估评审过程中的</w:t>
      </w:r>
      <w:r>
        <w:rPr>
          <w:rFonts w:ascii="宋体" w:hAnsi="宋体" w:eastAsia="宋体" w:cs="宋体"/>
          <w:spacing w:val="8"/>
          <w:sz w:val="19"/>
          <w:szCs w:val="19"/>
        </w:rPr>
        <w:t xml:space="preserve"> </w:t>
      </w:r>
      <w:r>
        <w:rPr>
          <w:rFonts w:ascii="宋体" w:hAnsi="宋体" w:eastAsia="宋体" w:cs="宋体"/>
          <w:spacing w:val="18"/>
          <w:sz w:val="19"/>
          <w:szCs w:val="19"/>
        </w:rPr>
        <w:t>自主权和参与度</w:t>
      </w:r>
      <w:r>
        <w:rPr>
          <w:rFonts w:ascii="微软雅黑" w:hAnsi="微软雅黑" w:eastAsia="微软雅黑" w:cs="微软雅黑"/>
          <w:spacing w:val="18"/>
          <w:sz w:val="19"/>
          <w:szCs w:val="19"/>
        </w:rPr>
        <w:t>，</w:t>
      </w:r>
      <w:r>
        <w:rPr>
          <w:rFonts w:ascii="宋体" w:hAnsi="宋体" w:eastAsia="宋体" w:cs="宋体"/>
          <w:spacing w:val="18"/>
          <w:sz w:val="19"/>
          <w:szCs w:val="19"/>
        </w:rPr>
        <w:t>以同行评审与资源分配之间的联</w:t>
      </w:r>
      <w:r>
        <w:rPr>
          <w:rFonts w:ascii="宋体" w:hAnsi="宋体" w:eastAsia="宋体" w:cs="宋体"/>
          <w:spacing w:val="8"/>
          <w:sz w:val="19"/>
          <w:szCs w:val="19"/>
        </w:rPr>
        <w:t xml:space="preserve"> </w:t>
      </w:r>
      <w:r>
        <w:rPr>
          <w:rFonts w:ascii="宋体" w:hAnsi="宋体" w:eastAsia="宋体" w:cs="宋体"/>
          <w:spacing w:val="15"/>
          <w:sz w:val="19"/>
          <w:szCs w:val="19"/>
        </w:rPr>
        <w:t>系来提高教育质量保障和管理的水平</w:t>
      </w:r>
      <w:r>
        <w:rPr>
          <w:rFonts w:ascii="宋体" w:hAnsi="宋体" w:eastAsia="宋体" w:cs="宋体"/>
          <w:spacing w:val="-40"/>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15"/>
          <w:sz w:val="19"/>
          <w:szCs w:val="19"/>
        </w:rPr>
        <w:t>学术资源和</w:t>
      </w:r>
      <w:r>
        <w:rPr>
          <w:rFonts w:ascii="宋体" w:hAnsi="宋体" w:eastAsia="宋体" w:cs="宋体"/>
          <w:sz w:val="19"/>
          <w:szCs w:val="19"/>
        </w:rPr>
        <w:t xml:space="preserve"> </w:t>
      </w:r>
      <w:r>
        <w:rPr>
          <w:rFonts w:ascii="宋体" w:hAnsi="宋体" w:eastAsia="宋体" w:cs="宋体"/>
          <w:spacing w:val="18"/>
          <w:sz w:val="19"/>
          <w:szCs w:val="19"/>
        </w:rPr>
        <w:t>环境是联系教师和学生的重要纽带</w:t>
      </w:r>
      <w:r>
        <w:rPr>
          <w:rFonts w:ascii="微软雅黑" w:hAnsi="微软雅黑" w:eastAsia="微软雅黑" w:cs="微软雅黑"/>
          <w:spacing w:val="18"/>
          <w:sz w:val="19"/>
          <w:szCs w:val="19"/>
        </w:rPr>
        <w:t>，</w:t>
      </w:r>
      <w:r>
        <w:rPr>
          <w:rFonts w:ascii="宋体" w:hAnsi="宋体" w:eastAsia="宋体" w:cs="宋体"/>
          <w:spacing w:val="18"/>
          <w:sz w:val="19"/>
          <w:szCs w:val="19"/>
        </w:rPr>
        <w:t>加强对学术环</w:t>
      </w:r>
      <w:r>
        <w:rPr>
          <w:rFonts w:ascii="宋体" w:hAnsi="宋体" w:eastAsia="宋体" w:cs="宋体"/>
          <w:spacing w:val="10"/>
          <w:sz w:val="19"/>
          <w:szCs w:val="19"/>
        </w:rPr>
        <w:t xml:space="preserve"> </w:t>
      </w:r>
      <w:r>
        <w:rPr>
          <w:rFonts w:ascii="宋体" w:hAnsi="宋体" w:eastAsia="宋体" w:cs="宋体"/>
          <w:spacing w:val="18"/>
          <w:sz w:val="19"/>
          <w:szCs w:val="19"/>
        </w:rPr>
        <w:t>境的管理和指导有利于高校高效地展开科研和教学</w:t>
      </w:r>
      <w:r>
        <w:rPr>
          <w:rFonts w:ascii="宋体" w:hAnsi="宋体" w:eastAsia="宋体" w:cs="宋体"/>
          <w:spacing w:val="7"/>
          <w:sz w:val="19"/>
          <w:szCs w:val="19"/>
        </w:rPr>
        <w:t xml:space="preserve"> </w:t>
      </w:r>
      <w:r>
        <w:rPr>
          <w:rFonts w:ascii="宋体" w:hAnsi="宋体" w:eastAsia="宋体" w:cs="宋体"/>
          <w:spacing w:val="15"/>
          <w:sz w:val="19"/>
          <w:szCs w:val="19"/>
        </w:rPr>
        <w:t>工作</w:t>
      </w:r>
      <w:r>
        <w:rPr>
          <w:rFonts w:ascii="微软雅黑" w:hAnsi="微软雅黑" w:eastAsia="微软雅黑" w:cs="微软雅黑"/>
          <w:spacing w:val="15"/>
          <w:sz w:val="19"/>
          <w:szCs w:val="19"/>
        </w:rPr>
        <w:t>。</w:t>
      </w:r>
    </w:p>
    <w:p>
      <w:pPr>
        <w:spacing w:before="68" w:line="177" w:lineRule="auto"/>
        <w:ind w:left="431"/>
        <w:rPr>
          <w:rFonts w:ascii="微软雅黑" w:hAnsi="微软雅黑" w:eastAsia="微软雅黑" w:cs="微软雅黑"/>
          <w:sz w:val="19"/>
          <w:szCs w:val="19"/>
        </w:rPr>
      </w:pPr>
      <w:r>
        <w:rPr>
          <w:rFonts w:ascii="微软雅黑" w:hAnsi="微软雅黑" w:eastAsia="微软雅黑" w:cs="微软雅黑"/>
          <w:spacing w:val="16"/>
          <w:sz w:val="19"/>
          <w:szCs w:val="19"/>
        </w:rPr>
        <w:t>(</w:t>
      </w:r>
      <w:r>
        <w:rPr>
          <w:rFonts w:ascii="Arial" w:hAnsi="Arial" w:eastAsia="Arial" w:cs="Arial"/>
          <w:spacing w:val="16"/>
          <w:sz w:val="19"/>
          <w:szCs w:val="19"/>
        </w:rPr>
        <w:t>5</w:t>
      </w:r>
      <w:r>
        <w:rPr>
          <w:rFonts w:ascii="微软雅黑" w:hAnsi="微软雅黑" w:eastAsia="微软雅黑" w:cs="微软雅黑"/>
          <w:spacing w:val="16"/>
          <w:sz w:val="19"/>
          <w:szCs w:val="19"/>
        </w:rPr>
        <w:t>)</w:t>
      </w:r>
      <w:r>
        <w:rPr>
          <w:rFonts w:ascii="微软雅黑" w:hAnsi="微软雅黑" w:eastAsia="微软雅黑" w:cs="微软雅黑"/>
          <w:spacing w:val="8"/>
          <w:sz w:val="19"/>
          <w:szCs w:val="19"/>
        </w:rPr>
        <w:t xml:space="preserve"> </w:t>
      </w:r>
      <w:r>
        <w:rPr>
          <w:rFonts w:ascii="宋体" w:hAnsi="宋体" w:eastAsia="宋体" w:cs="宋体"/>
          <w:spacing w:val="16"/>
          <w:sz w:val="19"/>
          <w:szCs w:val="19"/>
        </w:rPr>
        <w:t>构建导向教育质量的内部管理机制</w:t>
      </w:r>
      <w:r>
        <w:rPr>
          <w:rFonts w:ascii="微软雅黑" w:hAnsi="微软雅黑" w:eastAsia="微软雅黑" w:cs="微软雅黑"/>
          <w:spacing w:val="16"/>
          <w:sz w:val="19"/>
          <w:szCs w:val="19"/>
        </w:rPr>
        <w:t>。</w:t>
      </w:r>
    </w:p>
    <w:p>
      <w:pPr>
        <w:spacing w:before="73" w:line="233" w:lineRule="auto"/>
        <w:ind w:left="2" w:right="70" w:firstLine="419"/>
        <w:rPr>
          <w:rFonts w:ascii="宋体" w:hAnsi="宋体" w:eastAsia="宋体" w:cs="宋体"/>
          <w:sz w:val="19"/>
          <w:szCs w:val="19"/>
        </w:rPr>
      </w:pPr>
      <w:r>
        <w:rPr>
          <w:rFonts w:ascii="宋体" w:hAnsi="宋体" w:eastAsia="宋体" w:cs="宋体"/>
          <w:spacing w:val="18"/>
          <w:sz w:val="19"/>
          <w:szCs w:val="19"/>
        </w:rPr>
        <w:t>构建导向教育质量的内部管理机制包括如下内</w:t>
      </w:r>
      <w:r>
        <w:rPr>
          <w:rFonts w:ascii="宋体" w:hAnsi="宋体" w:eastAsia="宋体" w:cs="宋体"/>
          <w:spacing w:val="2"/>
          <w:sz w:val="19"/>
          <w:szCs w:val="19"/>
        </w:rPr>
        <w:t xml:space="preserve"> </w:t>
      </w:r>
      <w:r>
        <w:rPr>
          <w:rFonts w:ascii="宋体" w:hAnsi="宋体" w:eastAsia="宋体" w:cs="宋体"/>
          <w:sz w:val="19"/>
          <w:szCs w:val="19"/>
        </w:rPr>
        <w:t>容</w:t>
      </w:r>
      <w:r>
        <w:rPr>
          <w:rFonts w:ascii="微软雅黑" w:hAnsi="微软雅黑" w:eastAsia="微软雅黑" w:cs="微软雅黑"/>
          <w:sz w:val="19"/>
          <w:szCs w:val="19"/>
        </w:rPr>
        <w:t>：</w:t>
      </w:r>
      <w:r>
        <w:rPr>
          <w:rFonts w:ascii="宋体" w:hAnsi="宋体" w:eastAsia="宋体" w:cs="宋体"/>
          <w:sz w:val="19"/>
          <w:szCs w:val="19"/>
        </w:rPr>
        <w:t>其一</w:t>
      </w:r>
      <w:r>
        <w:rPr>
          <w:rFonts w:ascii="微软雅黑" w:hAnsi="微软雅黑" w:eastAsia="微软雅黑" w:cs="微软雅黑"/>
          <w:sz w:val="19"/>
          <w:szCs w:val="19"/>
        </w:rPr>
        <w:t>，</w:t>
      </w:r>
      <w:r>
        <w:rPr>
          <w:rFonts w:ascii="宋体" w:hAnsi="宋体" w:eastAsia="宋体" w:cs="宋体"/>
          <w:sz w:val="19"/>
          <w:szCs w:val="19"/>
        </w:rPr>
        <w:t>加强高校</w:t>
      </w:r>
      <w:r>
        <w:rPr>
          <w:rFonts w:ascii="宋体" w:hAnsi="宋体" w:eastAsia="宋体" w:cs="宋体"/>
          <w:spacing w:val="-45"/>
          <w:sz w:val="19"/>
          <w:szCs w:val="19"/>
        </w:rPr>
        <w:t xml:space="preserve"> </w:t>
      </w:r>
      <w:r>
        <w:rPr>
          <w:rFonts w:ascii="宋体" w:hAnsi="宋体" w:eastAsia="宋体" w:cs="宋体"/>
          <w:sz w:val="19"/>
          <w:szCs w:val="19"/>
        </w:rPr>
        <w:t>的学术</w:t>
      </w:r>
      <w:r>
        <w:rPr>
          <w:rFonts w:ascii="宋体" w:hAnsi="宋体" w:eastAsia="宋体" w:cs="宋体"/>
          <w:spacing w:val="-33"/>
          <w:sz w:val="19"/>
          <w:szCs w:val="19"/>
        </w:rPr>
        <w:t xml:space="preserve"> </w:t>
      </w:r>
      <w:r>
        <w:rPr>
          <w:rFonts w:ascii="宋体" w:hAnsi="宋体" w:eastAsia="宋体" w:cs="宋体"/>
          <w:sz w:val="19"/>
          <w:szCs w:val="19"/>
        </w:rPr>
        <w:t>自治</w:t>
      </w:r>
      <w:r>
        <w:rPr>
          <w:rFonts w:ascii="微软雅黑" w:hAnsi="微软雅黑" w:eastAsia="微软雅黑" w:cs="微软雅黑"/>
          <w:sz w:val="19"/>
          <w:szCs w:val="19"/>
        </w:rPr>
        <w:t>，</w:t>
      </w:r>
      <w:r>
        <w:rPr>
          <w:rFonts w:ascii="宋体" w:hAnsi="宋体" w:eastAsia="宋体" w:cs="宋体"/>
          <w:sz w:val="19"/>
          <w:szCs w:val="19"/>
        </w:rPr>
        <w:t>注重高校</w:t>
      </w:r>
      <w:r>
        <w:rPr>
          <w:rFonts w:ascii="宋体" w:hAnsi="宋体" w:eastAsia="宋体" w:cs="宋体"/>
          <w:spacing w:val="-48"/>
          <w:sz w:val="19"/>
          <w:szCs w:val="19"/>
        </w:rPr>
        <w:t xml:space="preserve"> </w:t>
      </w:r>
      <w:r>
        <w:rPr>
          <w:rFonts w:ascii="宋体" w:hAnsi="宋体" w:eastAsia="宋体" w:cs="宋体"/>
          <w:sz w:val="19"/>
          <w:szCs w:val="19"/>
        </w:rPr>
        <w:t>的</w:t>
      </w:r>
      <w:r>
        <w:rPr>
          <w:rFonts w:ascii="宋体" w:hAnsi="宋体" w:eastAsia="宋体" w:cs="宋体"/>
          <w:spacing w:val="-41"/>
          <w:sz w:val="19"/>
          <w:szCs w:val="19"/>
        </w:rPr>
        <w:t xml:space="preserve"> </w:t>
      </w:r>
      <w:r>
        <w:rPr>
          <w:rFonts w:ascii="宋体" w:hAnsi="宋体" w:eastAsia="宋体" w:cs="宋体"/>
          <w:sz w:val="19"/>
          <w:szCs w:val="19"/>
        </w:rPr>
        <w:t xml:space="preserve">内部管 </w:t>
      </w:r>
      <w:r>
        <w:rPr>
          <w:rFonts w:ascii="宋体" w:hAnsi="宋体" w:eastAsia="宋体" w:cs="宋体"/>
          <w:spacing w:val="16"/>
          <w:sz w:val="19"/>
          <w:szCs w:val="19"/>
        </w:rPr>
        <w:t>理</w:t>
      </w:r>
      <w:r>
        <w:rPr>
          <w:rFonts w:ascii="微软雅黑" w:hAnsi="微软雅黑" w:eastAsia="微软雅黑" w:cs="微软雅黑"/>
          <w:spacing w:val="16"/>
          <w:sz w:val="19"/>
          <w:szCs w:val="19"/>
        </w:rPr>
        <w:t>，</w:t>
      </w:r>
      <w:r>
        <w:rPr>
          <w:rFonts w:ascii="宋体" w:hAnsi="宋体" w:eastAsia="宋体" w:cs="宋体"/>
          <w:spacing w:val="16"/>
          <w:sz w:val="19"/>
          <w:szCs w:val="19"/>
        </w:rPr>
        <w:t>这种内部管理</w:t>
      </w:r>
      <w:r>
        <w:rPr>
          <w:rFonts w:ascii="宋体" w:hAnsi="宋体" w:eastAsia="宋体" w:cs="宋体"/>
          <w:spacing w:val="-46"/>
          <w:sz w:val="19"/>
          <w:szCs w:val="19"/>
        </w:rPr>
        <w:t xml:space="preserve"> </w:t>
      </w:r>
      <w:r>
        <w:rPr>
          <w:rFonts w:ascii="宋体" w:hAnsi="宋体" w:eastAsia="宋体" w:cs="宋体"/>
          <w:spacing w:val="16"/>
          <w:sz w:val="19"/>
          <w:szCs w:val="19"/>
        </w:rPr>
        <w:t>既要有学生的参与也要有教师的</w:t>
      </w:r>
    </w:p>
    <w:p>
      <w:pPr>
        <w:spacing w:line="233" w:lineRule="auto"/>
        <w:rPr>
          <w:rFonts w:ascii="宋体" w:hAnsi="宋体" w:eastAsia="宋体" w:cs="宋体"/>
          <w:sz w:val="19"/>
          <w:szCs w:val="19"/>
        </w:rPr>
        <w:sectPr>
          <w:type w:val="continuous"/>
          <w:pgSz w:w="11906" w:h="16840"/>
          <w:pgMar w:top="400" w:right="936" w:bottom="547" w:left="407" w:header="0" w:footer="354" w:gutter="0"/>
          <w:cols w:equalWidth="0" w:num="2">
            <w:col w:w="5804" w:space="100"/>
            <w:col w:w="4658"/>
          </w:cols>
        </w:sectPr>
      </w:pPr>
    </w:p>
    <w:p>
      <w:pPr>
        <w:spacing w:line="454" w:lineRule="auto"/>
        <w:rPr>
          <w:rFonts w:ascii="Arial"/>
          <w:sz w:val="21"/>
        </w:rPr>
      </w:pPr>
    </w:p>
    <w:p>
      <w:pPr>
        <w:spacing w:before="52" w:line="213" w:lineRule="auto"/>
        <w:ind w:left="3524"/>
        <w:rPr>
          <w:rFonts w:ascii="宋体" w:hAnsi="宋体" w:eastAsia="宋体" w:cs="宋体"/>
          <w:sz w:val="16"/>
          <w:szCs w:val="16"/>
        </w:rPr>
      </w:pPr>
      <w:r>
        <w:rPr>
          <w:rFonts w:ascii="宋体" w:hAnsi="宋体" w:eastAsia="宋体" w:cs="宋体"/>
          <w:spacing w:val="19"/>
          <w:sz w:val="16"/>
          <w:szCs w:val="16"/>
        </w:rPr>
        <w:t>挪威推进高等教育质量文化建设的举措及其启示</w:t>
      </w:r>
    </w:p>
    <w:p>
      <w:pPr>
        <w:spacing w:line="186" w:lineRule="exact"/>
        <w:ind w:left="585"/>
      </w:pPr>
      <w:r>
        <w:rPr>
          <w:position w:val="-4"/>
        </w:rPr>
        <w:drawing>
          <wp:inline distT="0" distB="0" distL="0" distR="0">
            <wp:extent cx="6118860" cy="11811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30"/>
                    <a:stretch>
                      <a:fillRect/>
                    </a:stretch>
                  </pic:blipFill>
                  <pic:spPr>
                    <a:xfrm>
                      <a:off x="0" y="0"/>
                      <a:ext cx="6119396" cy="118181"/>
                    </a:xfrm>
                    <a:prstGeom prst="rect">
                      <a:avLst/>
                    </a:prstGeom>
                  </pic:spPr>
                </pic:pic>
              </a:graphicData>
            </a:graphic>
          </wp:inline>
        </w:drawing>
      </w:r>
    </w:p>
    <w:p>
      <w:pPr>
        <w:spacing w:line="119" w:lineRule="exact"/>
      </w:pPr>
    </w:p>
    <w:p>
      <w:pPr>
        <w:spacing w:line="119" w:lineRule="exact"/>
        <w:sectPr>
          <w:footerReference r:id="rId87" w:type="default"/>
          <w:pgSz w:w="11906" w:h="16840"/>
          <w:pgMar w:top="400" w:right="1201" w:bottom="547" w:left="407" w:header="0" w:footer="354" w:gutter="0"/>
          <w:cols w:equalWidth="0" w:num="1">
            <w:col w:w="10297"/>
          </w:cols>
        </w:sectPr>
      </w:pPr>
    </w:p>
    <w:p>
      <w:pPr>
        <w:spacing w:before="32" w:line="234" w:lineRule="auto"/>
        <w:ind w:left="600" w:right="340" w:firstLine="2"/>
        <w:jc w:val="both"/>
        <w:rPr>
          <w:rFonts w:ascii="微软雅黑" w:hAnsi="微软雅黑" w:eastAsia="微软雅黑" w:cs="微软雅黑"/>
          <w:sz w:val="19"/>
          <w:szCs w:val="19"/>
        </w:rPr>
      </w:pPr>
      <w:r>
        <w:rPr>
          <w:rFonts w:ascii="宋体" w:hAnsi="宋体" w:eastAsia="宋体" w:cs="宋体"/>
          <w:spacing w:val="13"/>
          <w:sz w:val="19"/>
          <w:szCs w:val="19"/>
        </w:rPr>
        <w:t>参与</w:t>
      </w:r>
      <w:r>
        <w:rPr>
          <w:rFonts w:ascii="微软雅黑" w:hAnsi="微软雅黑" w:eastAsia="微软雅黑" w:cs="微软雅黑"/>
          <w:spacing w:val="13"/>
          <w:sz w:val="19"/>
          <w:szCs w:val="19"/>
        </w:rPr>
        <w:t>，</w:t>
      </w:r>
      <w:r>
        <w:rPr>
          <w:rFonts w:ascii="宋体" w:hAnsi="宋体" w:eastAsia="宋体" w:cs="宋体"/>
          <w:spacing w:val="13"/>
          <w:sz w:val="19"/>
          <w:szCs w:val="19"/>
        </w:rPr>
        <w:t>以确保全体高校成</w:t>
      </w:r>
      <w:r>
        <w:rPr>
          <w:rFonts w:ascii="宋体" w:hAnsi="宋体" w:eastAsia="宋体" w:cs="宋体"/>
          <w:spacing w:val="-45"/>
          <w:sz w:val="19"/>
          <w:szCs w:val="19"/>
        </w:rPr>
        <w:t xml:space="preserve"> </w:t>
      </w:r>
      <w:r>
        <w:rPr>
          <w:rFonts w:ascii="宋体" w:hAnsi="宋体" w:eastAsia="宋体" w:cs="宋体"/>
          <w:spacing w:val="13"/>
          <w:sz w:val="19"/>
          <w:szCs w:val="19"/>
        </w:rPr>
        <w:t>员的代表性和参与度</w:t>
      </w:r>
      <w:r>
        <w:rPr>
          <w:rFonts w:ascii="宋体" w:hAnsi="宋体" w:eastAsia="宋体" w:cs="宋体"/>
          <w:spacing w:val="-50"/>
          <w:sz w:val="19"/>
          <w:szCs w:val="19"/>
        </w:rPr>
        <w:t xml:space="preserve"> </w:t>
      </w:r>
      <w:r>
        <w:rPr>
          <w:rFonts w:ascii="微软雅黑" w:hAnsi="微软雅黑" w:eastAsia="微软雅黑" w:cs="微软雅黑"/>
          <w:spacing w:val="13"/>
          <w:sz w:val="19"/>
          <w:szCs w:val="19"/>
        </w:rPr>
        <w:t>。</w:t>
      </w:r>
      <w:r>
        <w:rPr>
          <w:rFonts w:ascii="微软雅黑" w:hAnsi="微软雅黑" w:eastAsia="微软雅黑" w:cs="微软雅黑"/>
          <w:spacing w:val="-32"/>
          <w:sz w:val="19"/>
          <w:szCs w:val="19"/>
        </w:rPr>
        <w:t xml:space="preserve"> </w:t>
      </w:r>
      <w:r>
        <w:rPr>
          <w:rFonts w:ascii="宋体" w:hAnsi="宋体" w:eastAsia="宋体" w:cs="宋体"/>
          <w:spacing w:val="13"/>
          <w:sz w:val="19"/>
          <w:szCs w:val="19"/>
        </w:rPr>
        <w:t>其</w:t>
      </w:r>
      <w:r>
        <w:rPr>
          <w:rFonts w:ascii="宋体" w:hAnsi="宋体" w:eastAsia="宋体" w:cs="宋体"/>
          <w:sz w:val="19"/>
          <w:szCs w:val="19"/>
        </w:rPr>
        <w:t xml:space="preserve"> </w:t>
      </w:r>
      <w:r>
        <w:rPr>
          <w:rFonts w:ascii="宋体" w:hAnsi="宋体" w:eastAsia="宋体" w:cs="宋体"/>
          <w:spacing w:val="9"/>
          <w:sz w:val="19"/>
          <w:szCs w:val="19"/>
        </w:rPr>
        <w:t>二</w:t>
      </w:r>
      <w:r>
        <w:rPr>
          <w:rFonts w:ascii="微软雅黑" w:hAnsi="微软雅黑" w:eastAsia="微软雅黑" w:cs="微软雅黑"/>
          <w:spacing w:val="9"/>
          <w:sz w:val="19"/>
          <w:szCs w:val="19"/>
        </w:rPr>
        <w:t>，</w:t>
      </w:r>
      <w:r>
        <w:rPr>
          <w:rFonts w:ascii="宋体" w:hAnsi="宋体" w:eastAsia="宋体" w:cs="宋体"/>
          <w:spacing w:val="9"/>
          <w:sz w:val="19"/>
          <w:szCs w:val="19"/>
        </w:rPr>
        <w:t>注重提高质量保障和学术科研的透明度</w:t>
      </w:r>
      <w:r>
        <w:rPr>
          <w:rFonts w:ascii="微软雅黑" w:hAnsi="微软雅黑" w:eastAsia="微软雅黑" w:cs="微软雅黑"/>
          <w:spacing w:val="9"/>
          <w:sz w:val="19"/>
          <w:szCs w:val="19"/>
        </w:rPr>
        <w:t>，</w:t>
      </w:r>
      <w:r>
        <w:rPr>
          <w:rFonts w:ascii="宋体" w:hAnsi="宋体" w:eastAsia="宋体" w:cs="宋体"/>
          <w:spacing w:val="9"/>
          <w:sz w:val="19"/>
          <w:szCs w:val="19"/>
        </w:rPr>
        <w:t>落实好</w:t>
      </w:r>
      <w:r>
        <w:rPr>
          <w:rFonts w:ascii="宋体" w:hAnsi="宋体" w:eastAsia="宋体" w:cs="宋体"/>
          <w:spacing w:val="10"/>
          <w:sz w:val="19"/>
          <w:szCs w:val="19"/>
        </w:rPr>
        <w:t xml:space="preserve"> </w:t>
      </w:r>
      <w:r>
        <w:rPr>
          <w:rFonts w:ascii="宋体" w:hAnsi="宋体" w:eastAsia="宋体" w:cs="宋体"/>
          <w:spacing w:val="16"/>
          <w:sz w:val="19"/>
          <w:szCs w:val="19"/>
        </w:rPr>
        <w:t>各个环节的监督权</w:t>
      </w:r>
      <w:r>
        <w:rPr>
          <w:rFonts w:ascii="宋体" w:hAnsi="宋体" w:eastAsia="宋体" w:cs="宋体"/>
          <w:spacing w:val="-4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通过文档记录和评价评估确保</w:t>
      </w:r>
      <w:r>
        <w:rPr>
          <w:rFonts w:ascii="宋体" w:hAnsi="宋体" w:eastAsia="宋体" w:cs="宋体"/>
          <w:sz w:val="19"/>
          <w:szCs w:val="19"/>
        </w:rPr>
        <w:t xml:space="preserve"> </w:t>
      </w:r>
      <w:r>
        <w:rPr>
          <w:rFonts w:ascii="宋体" w:hAnsi="宋体" w:eastAsia="宋体" w:cs="宋体"/>
          <w:spacing w:val="16"/>
          <w:sz w:val="19"/>
          <w:szCs w:val="19"/>
        </w:rPr>
        <w:t>科研项目结果的有效性和透</w:t>
      </w:r>
      <w:r>
        <w:rPr>
          <w:rFonts w:ascii="宋体" w:hAnsi="宋体" w:eastAsia="宋体" w:cs="宋体"/>
          <w:spacing w:val="-41"/>
          <w:sz w:val="19"/>
          <w:szCs w:val="19"/>
        </w:rPr>
        <w:t xml:space="preserve"> </w:t>
      </w:r>
      <w:r>
        <w:rPr>
          <w:rFonts w:ascii="宋体" w:hAnsi="宋体" w:eastAsia="宋体" w:cs="宋体"/>
          <w:spacing w:val="16"/>
          <w:sz w:val="19"/>
          <w:szCs w:val="19"/>
        </w:rPr>
        <w:t>明度</w:t>
      </w:r>
      <w:r>
        <w:rPr>
          <w:rFonts w:ascii="微软雅黑" w:hAnsi="微软雅黑" w:eastAsia="微软雅黑" w:cs="微软雅黑"/>
          <w:spacing w:val="16"/>
          <w:sz w:val="19"/>
          <w:szCs w:val="19"/>
        </w:rPr>
        <w:t>，</w:t>
      </w:r>
      <w:r>
        <w:rPr>
          <w:rFonts w:ascii="宋体" w:hAnsi="宋体" w:eastAsia="宋体" w:cs="宋体"/>
          <w:spacing w:val="16"/>
          <w:sz w:val="19"/>
          <w:szCs w:val="19"/>
        </w:rPr>
        <w:t>通过进一步构建</w:t>
      </w:r>
      <w:r>
        <w:rPr>
          <w:rFonts w:ascii="宋体" w:hAnsi="宋体" w:eastAsia="宋体" w:cs="宋体"/>
          <w:sz w:val="19"/>
          <w:szCs w:val="19"/>
        </w:rPr>
        <w:t xml:space="preserve"> </w:t>
      </w:r>
      <w:r>
        <w:rPr>
          <w:rFonts w:ascii="宋体" w:hAnsi="宋体" w:eastAsia="宋体" w:cs="宋体"/>
          <w:spacing w:val="12"/>
          <w:sz w:val="19"/>
          <w:szCs w:val="19"/>
        </w:rPr>
        <w:t>互信高效</w:t>
      </w:r>
      <w:r>
        <w:rPr>
          <w:rFonts w:ascii="宋体" w:hAnsi="宋体" w:eastAsia="宋体" w:cs="宋体"/>
          <w:spacing w:val="-41"/>
          <w:sz w:val="19"/>
          <w:szCs w:val="19"/>
        </w:rPr>
        <w:t xml:space="preserve"> </w:t>
      </w:r>
      <w:r>
        <w:rPr>
          <w:rFonts w:ascii="宋体" w:hAnsi="宋体" w:eastAsia="宋体" w:cs="宋体"/>
          <w:spacing w:val="12"/>
          <w:sz w:val="19"/>
          <w:szCs w:val="19"/>
        </w:rPr>
        <w:t>的</w:t>
      </w:r>
      <w:r>
        <w:rPr>
          <w:rFonts w:ascii="宋体" w:hAnsi="宋体" w:eastAsia="宋体" w:cs="宋体"/>
          <w:spacing w:val="-57"/>
          <w:sz w:val="19"/>
          <w:szCs w:val="19"/>
        </w:rPr>
        <w:t xml:space="preserve"> </w:t>
      </w:r>
      <w:r>
        <w:rPr>
          <w:rFonts w:ascii="宋体" w:hAnsi="宋体" w:eastAsia="宋体" w:cs="宋体"/>
          <w:spacing w:val="12"/>
          <w:sz w:val="19"/>
          <w:szCs w:val="19"/>
        </w:rPr>
        <w:t>学术环境来提</w:t>
      </w:r>
      <w:r>
        <w:rPr>
          <w:rFonts w:ascii="宋体" w:hAnsi="宋体" w:eastAsia="宋体" w:cs="宋体"/>
          <w:spacing w:val="-55"/>
          <w:sz w:val="19"/>
          <w:szCs w:val="19"/>
        </w:rPr>
        <w:t xml:space="preserve"> </w:t>
      </w:r>
      <w:r>
        <w:rPr>
          <w:rFonts w:ascii="宋体" w:hAnsi="宋体" w:eastAsia="宋体" w:cs="宋体"/>
          <w:spacing w:val="12"/>
          <w:sz w:val="19"/>
          <w:szCs w:val="19"/>
        </w:rPr>
        <w:t>高</w:t>
      </w:r>
      <w:r>
        <w:rPr>
          <w:rFonts w:ascii="宋体" w:hAnsi="宋体" w:eastAsia="宋体" w:cs="宋体"/>
          <w:spacing w:val="-56"/>
          <w:sz w:val="19"/>
          <w:szCs w:val="19"/>
        </w:rPr>
        <w:t xml:space="preserve"> </w:t>
      </w:r>
      <w:r>
        <w:rPr>
          <w:rFonts w:ascii="宋体" w:hAnsi="宋体" w:eastAsia="宋体" w:cs="宋体"/>
          <w:spacing w:val="12"/>
          <w:sz w:val="19"/>
          <w:szCs w:val="19"/>
        </w:rPr>
        <w:t>知</w:t>
      </w:r>
      <w:r>
        <w:rPr>
          <w:rFonts w:ascii="宋体" w:hAnsi="宋体" w:eastAsia="宋体" w:cs="宋体"/>
          <w:spacing w:val="-57"/>
          <w:sz w:val="19"/>
          <w:szCs w:val="19"/>
        </w:rPr>
        <w:t xml:space="preserve"> </w:t>
      </w:r>
      <w:r>
        <w:rPr>
          <w:rFonts w:ascii="宋体" w:hAnsi="宋体" w:eastAsia="宋体" w:cs="宋体"/>
          <w:spacing w:val="12"/>
          <w:sz w:val="19"/>
          <w:szCs w:val="19"/>
        </w:rPr>
        <w:t>识传播</w:t>
      </w:r>
      <w:r>
        <w:rPr>
          <w:rFonts w:ascii="宋体" w:hAnsi="宋体" w:eastAsia="宋体" w:cs="宋体"/>
          <w:spacing w:val="-55"/>
          <w:sz w:val="19"/>
          <w:szCs w:val="19"/>
        </w:rPr>
        <w:t xml:space="preserve"> </w:t>
      </w:r>
      <w:r>
        <w:rPr>
          <w:rFonts w:ascii="宋体" w:hAnsi="宋体" w:eastAsia="宋体" w:cs="宋体"/>
          <w:spacing w:val="12"/>
          <w:sz w:val="19"/>
          <w:szCs w:val="19"/>
        </w:rPr>
        <w:t>与转化</w:t>
      </w:r>
      <w:r>
        <w:rPr>
          <w:rFonts w:ascii="宋体" w:hAnsi="宋体" w:eastAsia="宋体" w:cs="宋体"/>
          <w:spacing w:val="-42"/>
          <w:sz w:val="19"/>
          <w:szCs w:val="19"/>
        </w:rPr>
        <w:t xml:space="preserve"> </w:t>
      </w:r>
      <w:r>
        <w:rPr>
          <w:rFonts w:ascii="宋体" w:hAnsi="宋体" w:eastAsia="宋体" w:cs="宋体"/>
          <w:spacing w:val="12"/>
          <w:sz w:val="19"/>
          <w:szCs w:val="19"/>
        </w:rPr>
        <w:t>的</w:t>
      </w:r>
      <w:r>
        <w:rPr>
          <w:rFonts w:ascii="宋体" w:hAnsi="宋体" w:eastAsia="宋体" w:cs="宋体"/>
          <w:spacing w:val="-54"/>
          <w:sz w:val="19"/>
          <w:szCs w:val="19"/>
        </w:rPr>
        <w:t xml:space="preserve"> </w:t>
      </w:r>
      <w:r>
        <w:rPr>
          <w:rFonts w:ascii="宋体" w:hAnsi="宋体" w:eastAsia="宋体" w:cs="宋体"/>
          <w:spacing w:val="12"/>
          <w:sz w:val="19"/>
          <w:szCs w:val="19"/>
        </w:rPr>
        <w:t>效</w:t>
      </w:r>
      <w:r>
        <w:rPr>
          <w:rFonts w:ascii="宋体" w:hAnsi="宋体" w:eastAsia="宋体" w:cs="宋体"/>
          <w:sz w:val="19"/>
          <w:szCs w:val="19"/>
        </w:rPr>
        <w:t xml:space="preserve"> </w:t>
      </w:r>
      <w:r>
        <w:rPr>
          <w:rFonts w:ascii="宋体" w:hAnsi="宋体" w:eastAsia="宋体" w:cs="宋体"/>
          <w:spacing w:val="16"/>
          <w:sz w:val="19"/>
          <w:szCs w:val="19"/>
        </w:rPr>
        <w:t>率</w:t>
      </w:r>
      <w:r>
        <w:rPr>
          <w:rFonts w:ascii="宋体" w:hAnsi="宋体" w:eastAsia="宋体" w:cs="宋体"/>
          <w:spacing w:val="-4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大学自主权</w:t>
      </w:r>
      <w:r>
        <w:rPr>
          <w:rFonts w:ascii="微软雅黑" w:hAnsi="微软雅黑" w:eastAsia="微软雅黑" w:cs="微软雅黑"/>
          <w:spacing w:val="16"/>
          <w:sz w:val="19"/>
          <w:szCs w:val="19"/>
        </w:rPr>
        <w:t>、</w:t>
      </w:r>
      <w:r>
        <w:rPr>
          <w:rFonts w:ascii="宋体" w:hAnsi="宋体" w:eastAsia="宋体" w:cs="宋体"/>
          <w:spacing w:val="16"/>
          <w:sz w:val="19"/>
          <w:szCs w:val="19"/>
        </w:rPr>
        <w:t>效能与透明度是质量文化发展的</w:t>
      </w:r>
      <w:r>
        <w:rPr>
          <w:rFonts w:ascii="宋体" w:hAnsi="宋体" w:eastAsia="宋体" w:cs="宋体"/>
          <w:sz w:val="19"/>
          <w:szCs w:val="19"/>
        </w:rPr>
        <w:t xml:space="preserve"> </w:t>
      </w:r>
      <w:r>
        <w:rPr>
          <w:rFonts w:ascii="宋体" w:hAnsi="宋体" w:eastAsia="宋体" w:cs="宋体"/>
          <w:spacing w:val="10"/>
          <w:sz w:val="19"/>
          <w:szCs w:val="19"/>
        </w:rPr>
        <w:t>内在动力</w:t>
      </w:r>
      <w:r>
        <w:rPr>
          <w:rFonts w:ascii="微软雅黑" w:hAnsi="微软雅黑" w:eastAsia="微软雅黑" w:cs="微软雅黑"/>
          <w:spacing w:val="10"/>
          <w:sz w:val="19"/>
          <w:szCs w:val="19"/>
        </w:rPr>
        <w:t>。</w:t>
      </w:r>
      <w:r>
        <w:rPr>
          <w:rFonts w:ascii="微软雅黑" w:hAnsi="微软雅黑" w:eastAsia="微软雅黑" w:cs="微软雅黑"/>
          <w:spacing w:val="10"/>
          <w:position w:val="7"/>
          <w:sz w:val="10"/>
          <w:szCs w:val="10"/>
        </w:rPr>
        <w:t>[</w:t>
      </w:r>
      <w:r>
        <w:rPr>
          <w:rFonts w:ascii="Arial" w:hAnsi="Arial" w:eastAsia="Arial" w:cs="Arial"/>
          <w:spacing w:val="10"/>
          <w:position w:val="7"/>
          <w:sz w:val="10"/>
          <w:szCs w:val="10"/>
        </w:rPr>
        <w:t>16</w:t>
      </w:r>
      <w:r>
        <w:rPr>
          <w:rFonts w:ascii="微软雅黑" w:hAnsi="微软雅黑" w:eastAsia="微软雅黑" w:cs="微软雅黑"/>
          <w:spacing w:val="10"/>
          <w:position w:val="7"/>
          <w:sz w:val="10"/>
          <w:szCs w:val="10"/>
        </w:rPr>
        <w:t>]</w:t>
      </w:r>
      <w:r>
        <w:rPr>
          <w:rFonts w:ascii="微软雅黑" w:hAnsi="微软雅黑" w:eastAsia="微软雅黑" w:cs="微软雅黑"/>
          <w:spacing w:val="33"/>
          <w:w w:val="102"/>
          <w:position w:val="7"/>
          <w:sz w:val="10"/>
          <w:szCs w:val="10"/>
        </w:rPr>
        <w:t xml:space="preserve"> </w:t>
      </w:r>
      <w:r>
        <w:rPr>
          <w:rFonts w:ascii="宋体" w:hAnsi="宋体" w:eastAsia="宋体" w:cs="宋体"/>
          <w:spacing w:val="10"/>
          <w:sz w:val="19"/>
          <w:szCs w:val="19"/>
        </w:rPr>
        <w:t>提倡学术自治有利于加强高校</w:t>
      </w:r>
      <w:r>
        <w:rPr>
          <w:rFonts w:ascii="宋体" w:hAnsi="宋体" w:eastAsia="宋体" w:cs="宋体"/>
          <w:spacing w:val="-51"/>
          <w:sz w:val="19"/>
          <w:szCs w:val="19"/>
        </w:rPr>
        <w:t xml:space="preserve"> </w:t>
      </w:r>
      <w:r>
        <w:rPr>
          <w:rFonts w:ascii="宋体" w:hAnsi="宋体" w:eastAsia="宋体" w:cs="宋体"/>
          <w:spacing w:val="10"/>
          <w:sz w:val="19"/>
          <w:szCs w:val="19"/>
        </w:rPr>
        <w:t>的</w:t>
      </w:r>
      <w:r>
        <w:rPr>
          <w:rFonts w:ascii="宋体" w:hAnsi="宋体" w:eastAsia="宋体" w:cs="宋体"/>
          <w:spacing w:val="-34"/>
          <w:sz w:val="19"/>
          <w:szCs w:val="19"/>
        </w:rPr>
        <w:t xml:space="preserve"> </w:t>
      </w:r>
      <w:r>
        <w:rPr>
          <w:rFonts w:ascii="宋体" w:hAnsi="宋体" w:eastAsia="宋体" w:cs="宋体"/>
          <w:spacing w:val="10"/>
          <w:sz w:val="19"/>
          <w:szCs w:val="19"/>
        </w:rPr>
        <w:t>自主</w:t>
      </w:r>
      <w:r>
        <w:rPr>
          <w:rFonts w:ascii="宋体" w:hAnsi="宋体" w:eastAsia="宋体" w:cs="宋体"/>
          <w:sz w:val="19"/>
          <w:szCs w:val="19"/>
        </w:rPr>
        <w:t xml:space="preserve"> </w:t>
      </w:r>
      <w:r>
        <w:rPr>
          <w:rFonts w:ascii="宋体" w:hAnsi="宋体" w:eastAsia="宋体" w:cs="宋体"/>
          <w:spacing w:val="18"/>
          <w:sz w:val="19"/>
          <w:szCs w:val="19"/>
        </w:rPr>
        <w:t>权</w:t>
      </w:r>
      <w:r>
        <w:rPr>
          <w:rFonts w:ascii="微软雅黑" w:hAnsi="微软雅黑" w:eastAsia="微软雅黑" w:cs="微软雅黑"/>
          <w:spacing w:val="18"/>
          <w:sz w:val="19"/>
          <w:szCs w:val="19"/>
        </w:rPr>
        <w:t>，</w:t>
      </w:r>
      <w:r>
        <w:rPr>
          <w:rFonts w:ascii="宋体" w:hAnsi="宋体" w:eastAsia="宋体" w:cs="宋体"/>
          <w:spacing w:val="18"/>
          <w:sz w:val="19"/>
          <w:szCs w:val="19"/>
        </w:rPr>
        <w:t>政府可通过制定一些标准在宏观层面为高等教</w:t>
      </w:r>
      <w:r>
        <w:rPr>
          <w:rFonts w:ascii="宋体" w:hAnsi="宋体" w:eastAsia="宋体" w:cs="宋体"/>
          <w:spacing w:val="8"/>
          <w:sz w:val="19"/>
          <w:szCs w:val="19"/>
        </w:rPr>
        <w:t xml:space="preserve"> </w:t>
      </w:r>
      <w:r>
        <w:rPr>
          <w:rFonts w:ascii="宋体" w:hAnsi="宋体" w:eastAsia="宋体" w:cs="宋体"/>
          <w:spacing w:val="18"/>
          <w:sz w:val="19"/>
          <w:szCs w:val="19"/>
        </w:rPr>
        <w:t>育质量文化的建设把握方向</w:t>
      </w:r>
      <w:r>
        <w:rPr>
          <w:rFonts w:ascii="微软雅黑" w:hAnsi="微软雅黑" w:eastAsia="微软雅黑" w:cs="微软雅黑"/>
          <w:spacing w:val="18"/>
          <w:sz w:val="19"/>
          <w:szCs w:val="19"/>
        </w:rPr>
        <w:t>。</w:t>
      </w:r>
    </w:p>
    <w:p>
      <w:pPr>
        <w:spacing w:line="300" w:lineRule="auto"/>
        <w:rPr>
          <w:rFonts w:ascii="Arial"/>
          <w:sz w:val="21"/>
        </w:rPr>
      </w:pPr>
    </w:p>
    <w:p>
      <w:pPr>
        <w:spacing w:before="85" w:line="245" w:lineRule="auto"/>
        <w:ind w:left="2217" w:right="903" w:hanging="1040"/>
        <w:rPr>
          <w:rFonts w:ascii="新宋体" w:hAnsi="新宋体" w:eastAsia="新宋体" w:cs="新宋体"/>
          <w:sz w:val="26"/>
          <w:szCs w:val="26"/>
        </w:rPr>
      </w:pPr>
      <w:r>
        <w:rPr>
          <w:rFonts w:ascii="新宋体" w:hAnsi="新宋体" w:eastAsia="新宋体" w:cs="新宋体"/>
          <w:spacing w:val="13"/>
          <w:sz w:val="26"/>
          <w:szCs w:val="26"/>
        </w:rPr>
        <w:t>三</w:t>
      </w:r>
      <w:r>
        <w:rPr>
          <w:rFonts w:ascii="微软雅黑" w:hAnsi="微软雅黑" w:eastAsia="微软雅黑" w:cs="微软雅黑"/>
          <w:spacing w:val="13"/>
          <w:position w:val="1"/>
          <w:sz w:val="6"/>
          <w:szCs w:val="6"/>
        </w:rPr>
        <w:t xml:space="preserve">、   </w:t>
      </w:r>
      <w:r>
        <w:rPr>
          <w:rFonts w:ascii="新宋体" w:hAnsi="新宋体" w:eastAsia="新宋体" w:cs="新宋体"/>
          <w:spacing w:val="13"/>
          <w:sz w:val="26"/>
          <w:szCs w:val="26"/>
        </w:rPr>
        <w:t>对我国高等教育质量文化</w:t>
      </w:r>
      <w:r>
        <w:rPr>
          <w:rFonts w:ascii="新宋体" w:hAnsi="新宋体" w:eastAsia="新宋体" w:cs="新宋体"/>
          <w:spacing w:val="7"/>
          <w:sz w:val="26"/>
          <w:szCs w:val="26"/>
        </w:rPr>
        <w:t xml:space="preserve"> </w:t>
      </w:r>
      <w:r>
        <w:rPr>
          <w:rFonts w:ascii="新宋体" w:hAnsi="新宋体" w:eastAsia="新宋体" w:cs="新宋体"/>
          <w:spacing w:val="12"/>
          <w:sz w:val="26"/>
          <w:szCs w:val="26"/>
        </w:rPr>
        <w:t>建设的启示</w:t>
      </w:r>
    </w:p>
    <w:p>
      <w:pPr>
        <w:spacing w:line="421" w:lineRule="auto"/>
        <w:rPr>
          <w:rFonts w:ascii="Arial"/>
          <w:sz w:val="21"/>
        </w:rPr>
      </w:pPr>
    </w:p>
    <w:p>
      <w:pPr>
        <w:spacing w:before="62" w:line="212" w:lineRule="auto"/>
        <w:ind w:left="1023"/>
        <w:rPr>
          <w:rFonts w:ascii="黑体" w:hAnsi="黑体" w:eastAsia="黑体" w:cs="黑体"/>
          <w:sz w:val="19"/>
          <w:szCs w:val="19"/>
        </w:rPr>
      </w:pPr>
      <w:r>
        <w:rPr>
          <w:rFonts w:ascii="Arial" w:hAnsi="Arial" w:eastAsia="Arial" w:cs="Arial"/>
          <w:spacing w:val="16"/>
          <w:sz w:val="19"/>
          <w:szCs w:val="19"/>
        </w:rPr>
        <w:t>1.</w:t>
      </w:r>
      <w:r>
        <w:rPr>
          <w:rFonts w:ascii="黑体" w:hAnsi="黑体" w:eastAsia="黑体" w:cs="黑体"/>
          <w:spacing w:val="16"/>
          <w:sz w:val="19"/>
          <w:szCs w:val="19"/>
        </w:rPr>
        <w:t>树立建设高等教育质量文化的理念</w:t>
      </w:r>
    </w:p>
    <w:p>
      <w:pPr>
        <w:spacing w:before="92" w:line="228" w:lineRule="auto"/>
        <w:ind w:left="601" w:right="263" w:firstLine="420"/>
        <w:rPr>
          <w:rFonts w:ascii="微软雅黑" w:hAnsi="微软雅黑" w:eastAsia="微软雅黑" w:cs="微软雅黑"/>
          <w:sz w:val="10"/>
          <w:szCs w:val="10"/>
        </w:rPr>
      </w:pPr>
      <w:r>
        <w:rPr>
          <w:rFonts w:ascii="宋体" w:hAnsi="宋体" w:eastAsia="宋体" w:cs="宋体"/>
          <w:spacing w:val="10"/>
          <w:sz w:val="19"/>
          <w:szCs w:val="19"/>
        </w:rPr>
        <w:t>我</w:t>
      </w:r>
      <w:r>
        <w:rPr>
          <w:rFonts w:ascii="宋体" w:hAnsi="宋体" w:eastAsia="宋体" w:cs="宋体"/>
          <w:spacing w:val="-42"/>
          <w:sz w:val="19"/>
          <w:szCs w:val="19"/>
        </w:rPr>
        <w:t xml:space="preserve"> </w:t>
      </w:r>
      <w:r>
        <w:rPr>
          <w:rFonts w:ascii="宋体" w:hAnsi="宋体" w:eastAsia="宋体" w:cs="宋体"/>
          <w:spacing w:val="10"/>
          <w:sz w:val="19"/>
          <w:szCs w:val="19"/>
        </w:rPr>
        <w:t>国公办高校在管理上</w:t>
      </w:r>
      <w:r>
        <w:rPr>
          <w:rFonts w:ascii="宋体" w:hAnsi="宋体" w:eastAsia="宋体" w:cs="宋体"/>
          <w:spacing w:val="-50"/>
          <w:sz w:val="19"/>
          <w:szCs w:val="19"/>
        </w:rPr>
        <w:t xml:space="preserve"> </w:t>
      </w:r>
      <w:r>
        <w:rPr>
          <w:rFonts w:ascii="宋体" w:hAnsi="宋体" w:eastAsia="宋体" w:cs="宋体"/>
          <w:spacing w:val="10"/>
          <w:sz w:val="19"/>
          <w:szCs w:val="19"/>
        </w:rPr>
        <w:t>的</w:t>
      </w:r>
      <w:r>
        <w:rPr>
          <w:rFonts w:ascii="宋体" w:hAnsi="宋体" w:eastAsia="宋体" w:cs="宋体"/>
          <w:spacing w:val="-35"/>
          <w:sz w:val="19"/>
          <w:szCs w:val="19"/>
        </w:rPr>
        <w:t xml:space="preserve"> </w:t>
      </w:r>
      <w:r>
        <w:rPr>
          <w:rFonts w:ascii="宋体" w:hAnsi="宋体" w:eastAsia="宋体" w:cs="宋体"/>
          <w:spacing w:val="10"/>
          <w:sz w:val="19"/>
          <w:szCs w:val="19"/>
        </w:rPr>
        <w:t>自主权相对较弱</w:t>
      </w:r>
      <w:r>
        <w:rPr>
          <w:rFonts w:ascii="微软雅黑" w:hAnsi="微软雅黑" w:eastAsia="微软雅黑" w:cs="微软雅黑"/>
          <w:spacing w:val="10"/>
          <w:sz w:val="19"/>
          <w:szCs w:val="19"/>
        </w:rPr>
        <w:t>，</w:t>
      </w:r>
      <w:r>
        <w:rPr>
          <w:rFonts w:ascii="宋体" w:hAnsi="宋体" w:eastAsia="宋体" w:cs="宋体"/>
          <w:spacing w:val="10"/>
          <w:sz w:val="19"/>
          <w:szCs w:val="19"/>
        </w:rPr>
        <w:t xml:space="preserve">高 </w:t>
      </w:r>
      <w:r>
        <w:rPr>
          <w:rFonts w:ascii="宋体" w:hAnsi="宋体" w:eastAsia="宋体" w:cs="宋体"/>
          <w:spacing w:val="15"/>
          <w:sz w:val="19"/>
          <w:szCs w:val="19"/>
        </w:rPr>
        <w:t>校自我管理机制建设薄弱</w:t>
      </w:r>
      <w:r>
        <w:rPr>
          <w:rFonts w:ascii="宋体" w:hAnsi="宋体" w:eastAsia="宋体" w:cs="宋体"/>
          <w:spacing w:val="-52"/>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15"/>
          <w:sz w:val="19"/>
          <w:szCs w:val="19"/>
        </w:rPr>
        <w:t xml:space="preserve">受传统中央集权体制的 </w:t>
      </w:r>
      <w:r>
        <w:rPr>
          <w:rFonts w:ascii="宋体" w:hAnsi="宋体" w:eastAsia="宋体" w:cs="宋体"/>
          <w:spacing w:val="17"/>
          <w:sz w:val="19"/>
          <w:szCs w:val="19"/>
        </w:rPr>
        <w:t>影响</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我国教育行政主管部门对高校的管理多是自 </w:t>
      </w:r>
      <w:r>
        <w:rPr>
          <w:rFonts w:ascii="宋体" w:hAnsi="宋体" w:eastAsia="宋体" w:cs="宋体"/>
          <w:spacing w:val="1"/>
          <w:sz w:val="19"/>
          <w:szCs w:val="19"/>
        </w:rPr>
        <w:t>上而下的</w:t>
      </w:r>
      <w:r>
        <w:rPr>
          <w:rFonts w:ascii="微软雅黑" w:hAnsi="微软雅黑" w:eastAsia="微软雅黑" w:cs="微软雅黑"/>
          <w:spacing w:val="1"/>
          <w:sz w:val="19"/>
          <w:szCs w:val="19"/>
        </w:rPr>
        <w:t>，</w:t>
      </w:r>
      <w:r>
        <w:rPr>
          <w:rFonts w:ascii="宋体" w:hAnsi="宋体" w:eastAsia="宋体" w:cs="宋体"/>
          <w:spacing w:val="1"/>
          <w:sz w:val="19"/>
          <w:szCs w:val="19"/>
        </w:rPr>
        <w:t>属于垂直型的</w:t>
      </w:r>
      <w:r>
        <w:rPr>
          <w:rFonts w:ascii="微软雅黑" w:hAnsi="微软雅黑" w:eastAsia="微软雅黑" w:cs="微软雅黑"/>
          <w:spacing w:val="1"/>
          <w:sz w:val="19"/>
          <w:szCs w:val="19"/>
        </w:rPr>
        <w:t>“</w:t>
      </w:r>
      <w:r>
        <w:rPr>
          <w:rFonts w:ascii="宋体" w:hAnsi="宋体" w:eastAsia="宋体" w:cs="宋体"/>
          <w:spacing w:val="1"/>
          <w:sz w:val="19"/>
          <w:szCs w:val="19"/>
        </w:rPr>
        <w:t>科层制</w:t>
      </w:r>
      <w:r>
        <w:rPr>
          <w:rFonts w:ascii="微软雅黑" w:hAnsi="微软雅黑" w:eastAsia="微软雅黑" w:cs="微软雅黑"/>
          <w:spacing w:val="1"/>
          <w:sz w:val="19"/>
          <w:szCs w:val="19"/>
        </w:rPr>
        <w:t>”</w:t>
      </w:r>
      <w:r>
        <w:rPr>
          <w:rFonts w:ascii="宋体" w:hAnsi="宋体" w:eastAsia="宋体" w:cs="宋体"/>
          <w:spacing w:val="1"/>
          <w:sz w:val="19"/>
          <w:szCs w:val="19"/>
        </w:rPr>
        <w:t>模式</w:t>
      </w:r>
      <w:r>
        <w:rPr>
          <w:rFonts w:ascii="微软雅黑" w:hAnsi="微软雅黑" w:eastAsia="微软雅黑" w:cs="微软雅黑"/>
          <w:spacing w:val="1"/>
          <w:sz w:val="19"/>
          <w:szCs w:val="19"/>
        </w:rPr>
        <w:t>，</w:t>
      </w:r>
      <w:r>
        <w:rPr>
          <w:rFonts w:ascii="宋体" w:hAnsi="宋体" w:eastAsia="宋体" w:cs="宋体"/>
          <w:spacing w:val="1"/>
          <w:sz w:val="19"/>
          <w:szCs w:val="19"/>
        </w:rPr>
        <w:t xml:space="preserve">虽然它们比  </w:t>
      </w:r>
      <w:r>
        <w:rPr>
          <w:rFonts w:ascii="宋体" w:hAnsi="宋体" w:eastAsia="宋体" w:cs="宋体"/>
          <w:spacing w:val="12"/>
          <w:sz w:val="19"/>
          <w:szCs w:val="19"/>
        </w:rPr>
        <w:t>较注重对高校发展质量的保障和管理</w:t>
      </w:r>
      <w:r>
        <w:rPr>
          <w:rFonts w:ascii="微软雅黑" w:hAnsi="微软雅黑" w:eastAsia="微软雅黑" w:cs="微软雅黑"/>
          <w:spacing w:val="12"/>
          <w:sz w:val="19"/>
          <w:szCs w:val="19"/>
        </w:rPr>
        <w:t>，</w:t>
      </w:r>
      <w:r>
        <w:rPr>
          <w:rFonts w:ascii="宋体" w:hAnsi="宋体" w:eastAsia="宋体" w:cs="宋体"/>
          <w:spacing w:val="12"/>
          <w:sz w:val="19"/>
          <w:szCs w:val="19"/>
        </w:rPr>
        <w:t>但多以规范</w:t>
      </w:r>
      <w:r>
        <w:rPr>
          <w:rFonts w:ascii="微软雅黑" w:hAnsi="微软雅黑" w:eastAsia="微软雅黑" w:cs="微软雅黑"/>
          <w:spacing w:val="12"/>
          <w:sz w:val="19"/>
          <w:szCs w:val="19"/>
        </w:rPr>
        <w:t>、</w:t>
      </w:r>
      <w:r>
        <w:rPr>
          <w:rFonts w:ascii="微软雅黑" w:hAnsi="微软雅黑" w:eastAsia="微软雅黑" w:cs="微软雅黑"/>
          <w:spacing w:val="18"/>
          <w:sz w:val="19"/>
          <w:szCs w:val="19"/>
        </w:rPr>
        <w:t xml:space="preserve"> </w:t>
      </w:r>
      <w:r>
        <w:rPr>
          <w:rFonts w:ascii="宋体" w:hAnsi="宋体" w:eastAsia="宋体" w:cs="宋体"/>
          <w:spacing w:val="13"/>
          <w:sz w:val="19"/>
          <w:szCs w:val="19"/>
        </w:rPr>
        <w:t>监控等政策性文件予</w:t>
      </w:r>
      <w:r>
        <w:rPr>
          <w:rFonts w:ascii="宋体" w:hAnsi="宋体" w:eastAsia="宋体" w:cs="宋体"/>
          <w:spacing w:val="-33"/>
          <w:sz w:val="19"/>
          <w:szCs w:val="19"/>
        </w:rPr>
        <w:t xml:space="preserve"> </w:t>
      </w:r>
      <w:r>
        <w:rPr>
          <w:rFonts w:ascii="宋体" w:hAnsi="宋体" w:eastAsia="宋体" w:cs="宋体"/>
          <w:spacing w:val="13"/>
          <w:sz w:val="19"/>
          <w:szCs w:val="19"/>
        </w:rPr>
        <w:t>以执行</w:t>
      </w:r>
      <w:r>
        <w:rPr>
          <w:rFonts w:ascii="微软雅黑" w:hAnsi="微软雅黑" w:eastAsia="微软雅黑" w:cs="微软雅黑"/>
          <w:spacing w:val="13"/>
          <w:sz w:val="19"/>
          <w:szCs w:val="19"/>
        </w:rPr>
        <w:t>，</w:t>
      </w:r>
      <w:r>
        <w:rPr>
          <w:rFonts w:ascii="宋体" w:hAnsi="宋体" w:eastAsia="宋体" w:cs="宋体"/>
          <w:spacing w:val="13"/>
          <w:sz w:val="19"/>
          <w:szCs w:val="19"/>
        </w:rPr>
        <w:t>忽视</w:t>
      </w:r>
      <w:r>
        <w:rPr>
          <w:rFonts w:ascii="宋体" w:hAnsi="宋体" w:eastAsia="宋体" w:cs="宋体"/>
          <w:spacing w:val="-47"/>
          <w:sz w:val="19"/>
          <w:szCs w:val="19"/>
        </w:rPr>
        <w:t xml:space="preserve"> </w:t>
      </w:r>
      <w:r>
        <w:rPr>
          <w:rFonts w:ascii="宋体" w:hAnsi="宋体" w:eastAsia="宋体" w:cs="宋体"/>
          <w:spacing w:val="13"/>
          <w:sz w:val="19"/>
          <w:szCs w:val="19"/>
        </w:rPr>
        <w:t xml:space="preserve">了对高校人员管 </w:t>
      </w:r>
      <w:r>
        <w:rPr>
          <w:rFonts w:ascii="宋体" w:hAnsi="宋体" w:eastAsia="宋体" w:cs="宋体"/>
          <w:spacing w:val="8"/>
          <w:sz w:val="19"/>
          <w:szCs w:val="19"/>
        </w:rPr>
        <w:t>理文化观念的</w:t>
      </w:r>
      <w:r>
        <w:rPr>
          <w:rFonts w:ascii="宋体" w:hAnsi="宋体" w:eastAsia="宋体" w:cs="宋体"/>
          <w:spacing w:val="-38"/>
          <w:sz w:val="19"/>
          <w:szCs w:val="19"/>
        </w:rPr>
        <w:t xml:space="preserve"> </w:t>
      </w:r>
      <w:r>
        <w:rPr>
          <w:rFonts w:ascii="宋体" w:hAnsi="宋体" w:eastAsia="宋体" w:cs="宋体"/>
          <w:spacing w:val="8"/>
          <w:sz w:val="19"/>
          <w:szCs w:val="19"/>
        </w:rPr>
        <w:t>引导</w:t>
      </w:r>
      <w:r>
        <w:rPr>
          <w:rFonts w:ascii="宋体" w:hAnsi="宋体" w:eastAsia="宋体" w:cs="宋体"/>
          <w:spacing w:val="-52"/>
          <w:sz w:val="19"/>
          <w:szCs w:val="19"/>
        </w:rPr>
        <w:t xml:space="preserve"> </w:t>
      </w:r>
      <w:r>
        <w:rPr>
          <w:rFonts w:ascii="微软雅黑" w:hAnsi="微软雅黑" w:eastAsia="微软雅黑" w:cs="微软雅黑"/>
          <w:spacing w:val="8"/>
          <w:sz w:val="19"/>
          <w:szCs w:val="19"/>
        </w:rPr>
        <w:t>。</w:t>
      </w:r>
      <w:r>
        <w:rPr>
          <w:rFonts w:ascii="微软雅黑" w:hAnsi="微软雅黑" w:eastAsia="微软雅黑" w:cs="微软雅黑"/>
          <w:spacing w:val="-28"/>
          <w:sz w:val="19"/>
          <w:szCs w:val="19"/>
        </w:rPr>
        <w:t xml:space="preserve"> </w:t>
      </w:r>
      <w:r>
        <w:rPr>
          <w:rFonts w:ascii="宋体" w:hAnsi="宋体" w:eastAsia="宋体" w:cs="宋体"/>
          <w:spacing w:val="8"/>
          <w:sz w:val="19"/>
          <w:szCs w:val="19"/>
        </w:rPr>
        <w:t>总</w:t>
      </w:r>
      <w:r>
        <w:rPr>
          <w:rFonts w:ascii="宋体" w:hAnsi="宋体" w:eastAsia="宋体" w:cs="宋体"/>
          <w:spacing w:val="-48"/>
          <w:sz w:val="19"/>
          <w:szCs w:val="19"/>
        </w:rPr>
        <w:t xml:space="preserve"> </w:t>
      </w:r>
      <w:r>
        <w:rPr>
          <w:rFonts w:ascii="宋体" w:hAnsi="宋体" w:eastAsia="宋体" w:cs="宋体"/>
          <w:spacing w:val="8"/>
          <w:sz w:val="19"/>
          <w:szCs w:val="19"/>
        </w:rPr>
        <w:t>的来看</w:t>
      </w:r>
      <w:r>
        <w:rPr>
          <w:rFonts w:ascii="微软雅黑" w:hAnsi="微软雅黑" w:eastAsia="微软雅黑" w:cs="微软雅黑"/>
          <w:spacing w:val="8"/>
          <w:sz w:val="19"/>
          <w:szCs w:val="19"/>
        </w:rPr>
        <w:t>，</w:t>
      </w:r>
      <w:r>
        <w:rPr>
          <w:rFonts w:ascii="宋体" w:hAnsi="宋体" w:eastAsia="宋体" w:cs="宋体"/>
          <w:spacing w:val="8"/>
          <w:sz w:val="19"/>
          <w:szCs w:val="19"/>
        </w:rPr>
        <w:t>我</w:t>
      </w:r>
      <w:r>
        <w:rPr>
          <w:rFonts w:ascii="宋体" w:hAnsi="宋体" w:eastAsia="宋体" w:cs="宋体"/>
          <w:spacing w:val="-45"/>
          <w:sz w:val="19"/>
          <w:szCs w:val="19"/>
        </w:rPr>
        <w:t xml:space="preserve"> </w:t>
      </w:r>
      <w:r>
        <w:rPr>
          <w:rFonts w:ascii="宋体" w:hAnsi="宋体" w:eastAsia="宋体" w:cs="宋体"/>
          <w:spacing w:val="8"/>
          <w:sz w:val="19"/>
          <w:szCs w:val="19"/>
        </w:rPr>
        <w:t xml:space="preserve">国对高等教育发 </w:t>
      </w:r>
      <w:r>
        <w:rPr>
          <w:rFonts w:ascii="宋体" w:hAnsi="宋体" w:eastAsia="宋体" w:cs="宋体"/>
          <w:spacing w:val="15"/>
          <w:sz w:val="19"/>
          <w:szCs w:val="19"/>
        </w:rPr>
        <w:t>展质量的管理存在重外部监督管理</w:t>
      </w:r>
      <w:r>
        <w:rPr>
          <w:rFonts w:ascii="微软雅黑" w:hAnsi="微软雅黑" w:eastAsia="微软雅黑" w:cs="微软雅黑"/>
          <w:spacing w:val="15"/>
          <w:sz w:val="19"/>
          <w:szCs w:val="19"/>
        </w:rPr>
        <w:t>，</w:t>
      </w:r>
      <w:r>
        <w:rPr>
          <w:rFonts w:ascii="宋体" w:hAnsi="宋体" w:eastAsia="宋体" w:cs="宋体"/>
          <w:spacing w:val="15"/>
          <w:sz w:val="19"/>
          <w:szCs w:val="19"/>
        </w:rPr>
        <w:t>轻高校</w:t>
      </w:r>
      <w:r>
        <w:rPr>
          <w:rFonts w:ascii="宋体" w:hAnsi="宋体" w:eastAsia="宋体" w:cs="宋体"/>
          <w:spacing w:val="-31"/>
          <w:sz w:val="19"/>
          <w:szCs w:val="19"/>
        </w:rPr>
        <w:t xml:space="preserve"> </w:t>
      </w:r>
      <w:r>
        <w:rPr>
          <w:rFonts w:ascii="宋体" w:hAnsi="宋体" w:eastAsia="宋体" w:cs="宋体"/>
          <w:spacing w:val="15"/>
          <w:sz w:val="19"/>
          <w:szCs w:val="19"/>
        </w:rPr>
        <w:t xml:space="preserve">自我管 </w:t>
      </w:r>
      <w:r>
        <w:rPr>
          <w:rFonts w:ascii="宋体" w:hAnsi="宋体" w:eastAsia="宋体" w:cs="宋体"/>
          <w:spacing w:val="9"/>
          <w:sz w:val="19"/>
          <w:szCs w:val="19"/>
        </w:rPr>
        <w:t>理</w:t>
      </w:r>
      <w:r>
        <w:rPr>
          <w:rFonts w:ascii="微软雅黑" w:hAnsi="微软雅黑" w:eastAsia="微软雅黑" w:cs="微软雅黑"/>
          <w:spacing w:val="9"/>
          <w:sz w:val="19"/>
          <w:szCs w:val="19"/>
        </w:rPr>
        <w:t>；</w:t>
      </w:r>
      <w:r>
        <w:rPr>
          <w:rFonts w:ascii="宋体" w:hAnsi="宋体" w:eastAsia="宋体" w:cs="宋体"/>
          <w:spacing w:val="9"/>
          <w:sz w:val="19"/>
          <w:szCs w:val="19"/>
        </w:rPr>
        <w:t>重管理技术层面</w:t>
      </w:r>
      <w:r>
        <w:rPr>
          <w:rFonts w:ascii="微软雅黑" w:hAnsi="微软雅黑" w:eastAsia="微软雅黑" w:cs="微软雅黑"/>
          <w:spacing w:val="9"/>
          <w:sz w:val="19"/>
          <w:szCs w:val="19"/>
        </w:rPr>
        <w:t>，</w:t>
      </w:r>
      <w:r>
        <w:rPr>
          <w:rFonts w:ascii="宋体" w:hAnsi="宋体" w:eastAsia="宋体" w:cs="宋体"/>
          <w:spacing w:val="9"/>
          <w:sz w:val="19"/>
          <w:szCs w:val="19"/>
        </w:rPr>
        <w:t>轻文化观念层面</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重科层式管 </w:t>
      </w:r>
      <w:r>
        <w:rPr>
          <w:rFonts w:ascii="宋体" w:hAnsi="宋体" w:eastAsia="宋体" w:cs="宋体"/>
          <w:spacing w:val="3"/>
          <w:sz w:val="19"/>
          <w:szCs w:val="19"/>
        </w:rPr>
        <w:t>理</w:t>
      </w:r>
      <w:r>
        <w:rPr>
          <w:rFonts w:ascii="微软雅黑" w:hAnsi="微软雅黑" w:eastAsia="微软雅黑" w:cs="微软雅黑"/>
          <w:spacing w:val="3"/>
          <w:sz w:val="19"/>
          <w:szCs w:val="19"/>
        </w:rPr>
        <w:t>，</w:t>
      </w:r>
      <w:r>
        <w:rPr>
          <w:rFonts w:ascii="宋体" w:hAnsi="宋体" w:eastAsia="宋体" w:cs="宋体"/>
          <w:spacing w:val="3"/>
          <w:sz w:val="19"/>
          <w:szCs w:val="19"/>
        </w:rPr>
        <w:t>轻人本化管理的问题</w:t>
      </w:r>
      <w:r>
        <w:rPr>
          <w:rFonts w:ascii="微软雅黑" w:hAnsi="微软雅黑" w:eastAsia="微软雅黑" w:cs="微软雅黑"/>
          <w:spacing w:val="3"/>
          <w:sz w:val="19"/>
          <w:szCs w:val="19"/>
        </w:rPr>
        <w:t>。</w:t>
      </w:r>
      <w:r>
        <w:rPr>
          <w:rFonts w:ascii="微软雅黑" w:hAnsi="微软雅黑" w:eastAsia="微软雅黑" w:cs="微软雅黑"/>
          <w:spacing w:val="3"/>
          <w:position w:val="7"/>
          <w:sz w:val="10"/>
          <w:szCs w:val="10"/>
        </w:rPr>
        <w:t>[</w:t>
      </w:r>
      <w:r>
        <w:rPr>
          <w:rFonts w:ascii="Arial" w:hAnsi="Arial" w:eastAsia="Arial" w:cs="Arial"/>
          <w:spacing w:val="3"/>
          <w:position w:val="7"/>
          <w:sz w:val="10"/>
          <w:szCs w:val="10"/>
        </w:rPr>
        <w:t>17</w:t>
      </w:r>
      <w:r>
        <w:rPr>
          <w:rFonts w:ascii="微软雅黑" w:hAnsi="微软雅黑" w:eastAsia="微软雅黑" w:cs="微软雅黑"/>
          <w:spacing w:val="3"/>
          <w:position w:val="7"/>
          <w:sz w:val="10"/>
          <w:szCs w:val="10"/>
        </w:rPr>
        <w:t>]</w:t>
      </w:r>
    </w:p>
    <w:p>
      <w:pPr>
        <w:spacing w:before="74" w:line="243" w:lineRule="auto"/>
        <w:ind w:left="599" w:right="266" w:firstLine="419"/>
        <w:rPr>
          <w:rFonts w:ascii="微软雅黑" w:hAnsi="微软雅黑" w:eastAsia="微软雅黑" w:cs="微软雅黑"/>
          <w:sz w:val="19"/>
          <w:szCs w:val="19"/>
        </w:rPr>
      </w:pPr>
      <w:r>
        <w:rPr>
          <w:rFonts w:ascii="宋体" w:hAnsi="宋体" w:eastAsia="宋体" w:cs="宋体"/>
          <w:spacing w:val="8"/>
          <w:sz w:val="19"/>
          <w:szCs w:val="19"/>
        </w:rPr>
        <w:t>挪威</w:t>
      </w:r>
      <w:r>
        <w:rPr>
          <w:rFonts w:ascii="微软雅黑" w:hAnsi="微软雅黑" w:eastAsia="微软雅黑" w:cs="微软雅黑"/>
          <w:spacing w:val="8"/>
          <w:sz w:val="19"/>
          <w:szCs w:val="19"/>
        </w:rPr>
        <w:t>《</w:t>
      </w:r>
      <w:r>
        <w:rPr>
          <w:rFonts w:ascii="宋体" w:hAnsi="宋体" w:eastAsia="宋体" w:cs="宋体"/>
          <w:spacing w:val="8"/>
          <w:sz w:val="19"/>
          <w:szCs w:val="19"/>
        </w:rPr>
        <w:t>高等教育质量文化</w:t>
      </w:r>
      <w:r>
        <w:rPr>
          <w:rFonts w:ascii="微软雅黑" w:hAnsi="微软雅黑" w:eastAsia="微软雅黑" w:cs="微软雅黑"/>
          <w:spacing w:val="8"/>
          <w:sz w:val="19"/>
          <w:szCs w:val="19"/>
        </w:rPr>
        <w:t>》</w:t>
      </w:r>
      <w:r>
        <w:rPr>
          <w:rFonts w:ascii="宋体" w:hAnsi="宋体" w:eastAsia="宋体" w:cs="宋体"/>
          <w:spacing w:val="8"/>
          <w:sz w:val="19"/>
          <w:szCs w:val="19"/>
        </w:rPr>
        <w:t xml:space="preserve">白皮书强调质量文化 </w:t>
      </w:r>
      <w:r>
        <w:rPr>
          <w:rFonts w:ascii="宋体" w:hAnsi="宋体" w:eastAsia="宋体" w:cs="宋体"/>
          <w:spacing w:val="12"/>
          <w:sz w:val="19"/>
          <w:szCs w:val="19"/>
        </w:rPr>
        <w:t>作为一种环境氛围</w:t>
      </w:r>
      <w:r>
        <w:rPr>
          <w:rFonts w:ascii="微软雅黑" w:hAnsi="微软雅黑" w:eastAsia="微软雅黑" w:cs="微软雅黑"/>
          <w:spacing w:val="12"/>
          <w:sz w:val="19"/>
          <w:szCs w:val="19"/>
        </w:rPr>
        <w:t>，</w:t>
      </w:r>
      <w:r>
        <w:rPr>
          <w:rFonts w:ascii="宋体" w:hAnsi="宋体" w:eastAsia="宋体" w:cs="宋体"/>
          <w:spacing w:val="12"/>
          <w:sz w:val="19"/>
          <w:szCs w:val="19"/>
        </w:rPr>
        <w:t>既涉及传统管理上的技术层面</w:t>
      </w:r>
      <w:r>
        <w:rPr>
          <w:rFonts w:ascii="微软雅黑" w:hAnsi="微软雅黑" w:eastAsia="微软雅黑" w:cs="微软雅黑"/>
          <w:spacing w:val="12"/>
          <w:sz w:val="19"/>
          <w:szCs w:val="19"/>
        </w:rPr>
        <w:t>，</w:t>
      </w:r>
      <w:r>
        <w:rPr>
          <w:rFonts w:ascii="微软雅黑" w:hAnsi="微软雅黑" w:eastAsia="微软雅黑" w:cs="微软雅黑"/>
          <w:spacing w:val="16"/>
          <w:w w:val="101"/>
          <w:sz w:val="19"/>
          <w:szCs w:val="19"/>
        </w:rPr>
        <w:t xml:space="preserve"> </w:t>
      </w:r>
      <w:r>
        <w:rPr>
          <w:rFonts w:ascii="宋体" w:hAnsi="宋体" w:eastAsia="宋体" w:cs="宋体"/>
          <w:spacing w:val="17"/>
          <w:sz w:val="19"/>
          <w:szCs w:val="19"/>
        </w:rPr>
        <w:t xml:space="preserve">又涉及高校全体成员对质量保障与提升理解的观念 </w:t>
      </w:r>
      <w:r>
        <w:rPr>
          <w:rFonts w:ascii="宋体" w:hAnsi="宋体" w:eastAsia="宋体" w:cs="宋体"/>
          <w:spacing w:val="7"/>
          <w:sz w:val="19"/>
          <w:szCs w:val="19"/>
        </w:rPr>
        <w:t>层面</w:t>
      </w:r>
      <w:r>
        <w:rPr>
          <w:rFonts w:ascii="微软雅黑" w:hAnsi="微软雅黑" w:eastAsia="微软雅黑" w:cs="微软雅黑"/>
          <w:spacing w:val="7"/>
          <w:sz w:val="19"/>
          <w:szCs w:val="19"/>
        </w:rPr>
        <w:t>，</w:t>
      </w:r>
      <w:r>
        <w:rPr>
          <w:rFonts w:ascii="宋体" w:hAnsi="宋体" w:eastAsia="宋体" w:cs="宋体"/>
          <w:spacing w:val="7"/>
          <w:sz w:val="19"/>
          <w:szCs w:val="19"/>
        </w:rPr>
        <w:t>可以说</w:t>
      </w:r>
      <w:r>
        <w:rPr>
          <w:rFonts w:ascii="微软雅黑" w:hAnsi="微软雅黑" w:eastAsia="微软雅黑" w:cs="微软雅黑"/>
          <w:spacing w:val="7"/>
          <w:sz w:val="19"/>
          <w:szCs w:val="19"/>
        </w:rPr>
        <w:t>，</w:t>
      </w:r>
      <w:r>
        <w:rPr>
          <w:rFonts w:ascii="宋体" w:hAnsi="宋体" w:eastAsia="宋体" w:cs="宋体"/>
          <w:spacing w:val="7"/>
          <w:sz w:val="19"/>
          <w:szCs w:val="19"/>
        </w:rPr>
        <w:t>技术与观念两者不可偏废</w:t>
      </w:r>
      <w:r>
        <w:rPr>
          <w:rFonts w:ascii="宋体" w:hAnsi="宋体" w:eastAsia="宋体" w:cs="宋体"/>
          <w:spacing w:val="-46"/>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挪威教育 </w:t>
      </w:r>
      <w:r>
        <w:rPr>
          <w:rFonts w:ascii="宋体" w:hAnsi="宋体" w:eastAsia="宋体" w:cs="宋体"/>
          <w:spacing w:val="10"/>
          <w:sz w:val="19"/>
          <w:szCs w:val="19"/>
        </w:rPr>
        <w:t>与研究部还在白皮书</w:t>
      </w:r>
      <w:r>
        <w:rPr>
          <w:rFonts w:ascii="宋体" w:hAnsi="宋体" w:eastAsia="宋体" w:cs="宋体"/>
          <w:spacing w:val="-28"/>
          <w:sz w:val="19"/>
          <w:szCs w:val="19"/>
        </w:rPr>
        <w:t xml:space="preserve"> </w:t>
      </w:r>
      <w:r>
        <w:rPr>
          <w:rFonts w:ascii="宋体" w:hAnsi="宋体" w:eastAsia="宋体" w:cs="宋体"/>
          <w:spacing w:val="10"/>
          <w:sz w:val="19"/>
          <w:szCs w:val="19"/>
        </w:rPr>
        <w:t>中提</w:t>
      </w:r>
      <w:r>
        <w:rPr>
          <w:rFonts w:ascii="宋体" w:hAnsi="宋体" w:eastAsia="宋体" w:cs="宋体"/>
          <w:spacing w:val="-48"/>
          <w:sz w:val="19"/>
          <w:szCs w:val="19"/>
        </w:rPr>
        <w:t xml:space="preserve"> </w:t>
      </w:r>
      <w:r>
        <w:rPr>
          <w:rFonts w:ascii="宋体" w:hAnsi="宋体" w:eastAsia="宋体" w:cs="宋体"/>
          <w:spacing w:val="10"/>
          <w:sz w:val="19"/>
          <w:szCs w:val="19"/>
        </w:rPr>
        <w:t>出</w:t>
      </w:r>
      <w:r>
        <w:rPr>
          <w:rFonts w:ascii="微软雅黑" w:hAnsi="微软雅黑" w:eastAsia="微软雅黑" w:cs="微软雅黑"/>
          <w:spacing w:val="10"/>
          <w:sz w:val="19"/>
          <w:szCs w:val="19"/>
        </w:rPr>
        <w:t>，</w:t>
      </w:r>
      <w:r>
        <w:rPr>
          <w:rFonts w:ascii="宋体" w:hAnsi="宋体" w:eastAsia="宋体" w:cs="宋体"/>
          <w:spacing w:val="10"/>
          <w:sz w:val="19"/>
          <w:szCs w:val="19"/>
        </w:rPr>
        <w:t>高校</w:t>
      </w:r>
      <w:r>
        <w:rPr>
          <w:rFonts w:ascii="宋体" w:hAnsi="宋体" w:eastAsia="宋体" w:cs="宋体"/>
          <w:spacing w:val="-32"/>
          <w:sz w:val="19"/>
          <w:szCs w:val="19"/>
        </w:rPr>
        <w:t xml:space="preserve"> </w:t>
      </w:r>
      <w:r>
        <w:rPr>
          <w:rFonts w:ascii="宋体" w:hAnsi="宋体" w:eastAsia="宋体" w:cs="宋体"/>
          <w:spacing w:val="10"/>
          <w:sz w:val="19"/>
          <w:szCs w:val="19"/>
        </w:rPr>
        <w:t xml:space="preserve">自我管理与政府 </w:t>
      </w:r>
      <w:r>
        <w:rPr>
          <w:rFonts w:ascii="宋体" w:hAnsi="宋体" w:eastAsia="宋体" w:cs="宋体"/>
          <w:spacing w:val="12"/>
          <w:sz w:val="19"/>
          <w:szCs w:val="19"/>
        </w:rPr>
        <w:t>及第三方机构</w:t>
      </w:r>
      <w:r>
        <w:rPr>
          <w:rFonts w:ascii="宋体" w:hAnsi="宋体" w:eastAsia="宋体" w:cs="宋体"/>
          <w:spacing w:val="-37"/>
          <w:sz w:val="19"/>
          <w:szCs w:val="19"/>
        </w:rPr>
        <w:t xml:space="preserve"> </w:t>
      </w:r>
      <w:r>
        <w:rPr>
          <w:rFonts w:ascii="宋体" w:hAnsi="宋体" w:eastAsia="宋体" w:cs="宋体"/>
          <w:spacing w:val="12"/>
          <w:sz w:val="19"/>
          <w:szCs w:val="19"/>
        </w:rPr>
        <w:t>的</w:t>
      </w:r>
      <w:r>
        <w:rPr>
          <w:rFonts w:ascii="宋体" w:hAnsi="宋体" w:eastAsia="宋体" w:cs="宋体"/>
          <w:spacing w:val="-54"/>
          <w:sz w:val="19"/>
          <w:szCs w:val="19"/>
        </w:rPr>
        <w:t xml:space="preserve"> </w:t>
      </w:r>
      <w:r>
        <w:rPr>
          <w:rFonts w:ascii="宋体" w:hAnsi="宋体" w:eastAsia="宋体" w:cs="宋体"/>
          <w:spacing w:val="12"/>
          <w:sz w:val="19"/>
          <w:szCs w:val="19"/>
        </w:rPr>
        <w:t>管</w:t>
      </w:r>
      <w:r>
        <w:rPr>
          <w:rFonts w:ascii="宋体" w:hAnsi="宋体" w:eastAsia="宋体" w:cs="宋体"/>
          <w:spacing w:val="-56"/>
          <w:sz w:val="19"/>
          <w:szCs w:val="19"/>
        </w:rPr>
        <w:t xml:space="preserve"> </w:t>
      </w:r>
      <w:r>
        <w:rPr>
          <w:rFonts w:ascii="宋体" w:hAnsi="宋体" w:eastAsia="宋体" w:cs="宋体"/>
          <w:spacing w:val="12"/>
          <w:sz w:val="19"/>
          <w:szCs w:val="19"/>
        </w:rPr>
        <w:t>理均应</w:t>
      </w:r>
      <w:r>
        <w:rPr>
          <w:rFonts w:ascii="宋体" w:hAnsi="宋体" w:eastAsia="宋体" w:cs="宋体"/>
          <w:spacing w:val="-54"/>
          <w:sz w:val="19"/>
          <w:szCs w:val="19"/>
        </w:rPr>
        <w:t xml:space="preserve"> </w:t>
      </w:r>
      <w:r>
        <w:rPr>
          <w:rFonts w:ascii="宋体" w:hAnsi="宋体" w:eastAsia="宋体" w:cs="宋体"/>
          <w:spacing w:val="12"/>
          <w:sz w:val="19"/>
          <w:szCs w:val="19"/>
        </w:rPr>
        <w:t>受</w:t>
      </w:r>
      <w:r>
        <w:rPr>
          <w:rFonts w:ascii="宋体" w:hAnsi="宋体" w:eastAsia="宋体" w:cs="宋体"/>
          <w:spacing w:val="-53"/>
          <w:sz w:val="19"/>
          <w:szCs w:val="19"/>
        </w:rPr>
        <w:t xml:space="preserve"> </w:t>
      </w:r>
      <w:r>
        <w:rPr>
          <w:rFonts w:ascii="宋体" w:hAnsi="宋体" w:eastAsia="宋体" w:cs="宋体"/>
          <w:spacing w:val="12"/>
          <w:sz w:val="19"/>
          <w:szCs w:val="19"/>
        </w:rPr>
        <w:t>到重视</w:t>
      </w:r>
      <w:r>
        <w:rPr>
          <w:rFonts w:ascii="宋体" w:hAnsi="宋体" w:eastAsia="宋体" w:cs="宋体"/>
          <w:spacing w:val="-52"/>
          <w:sz w:val="19"/>
          <w:szCs w:val="19"/>
        </w:rPr>
        <w:t xml:space="preserve"> </w:t>
      </w:r>
      <w:r>
        <w:rPr>
          <w:rFonts w:ascii="微软雅黑" w:hAnsi="微软雅黑" w:eastAsia="微软雅黑" w:cs="微软雅黑"/>
          <w:spacing w:val="12"/>
          <w:sz w:val="19"/>
          <w:szCs w:val="19"/>
        </w:rPr>
        <w:t>。</w:t>
      </w:r>
      <w:r>
        <w:rPr>
          <w:rFonts w:ascii="微软雅黑" w:hAnsi="微软雅黑" w:eastAsia="微软雅黑" w:cs="微软雅黑"/>
          <w:spacing w:val="-27"/>
          <w:sz w:val="19"/>
          <w:szCs w:val="19"/>
        </w:rPr>
        <w:t xml:space="preserve"> </w:t>
      </w:r>
      <w:r>
        <w:rPr>
          <w:rFonts w:ascii="宋体" w:hAnsi="宋体" w:eastAsia="宋体" w:cs="宋体"/>
          <w:spacing w:val="12"/>
          <w:sz w:val="19"/>
          <w:szCs w:val="19"/>
        </w:rPr>
        <w:t>从这个</w:t>
      </w:r>
      <w:r>
        <w:rPr>
          <w:rFonts w:ascii="宋体" w:hAnsi="宋体" w:eastAsia="宋体" w:cs="宋体"/>
          <w:spacing w:val="-55"/>
          <w:sz w:val="19"/>
          <w:szCs w:val="19"/>
        </w:rPr>
        <w:t xml:space="preserve"> </w:t>
      </w:r>
      <w:r>
        <w:rPr>
          <w:rFonts w:ascii="宋体" w:hAnsi="宋体" w:eastAsia="宋体" w:cs="宋体"/>
          <w:spacing w:val="12"/>
          <w:sz w:val="19"/>
          <w:szCs w:val="19"/>
        </w:rPr>
        <w:t xml:space="preserve">角度 </w:t>
      </w:r>
      <w:r>
        <w:rPr>
          <w:rFonts w:ascii="宋体" w:hAnsi="宋体" w:eastAsia="宋体" w:cs="宋体"/>
          <w:spacing w:val="17"/>
          <w:sz w:val="19"/>
          <w:szCs w:val="19"/>
        </w:rPr>
        <w:t>看</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其质量文化建设是高校内部管理与外部管理并 </w:t>
      </w:r>
      <w:r>
        <w:rPr>
          <w:rFonts w:ascii="宋体" w:hAnsi="宋体" w:eastAsia="宋体" w:cs="宋体"/>
          <w:spacing w:val="16"/>
          <w:sz w:val="19"/>
          <w:szCs w:val="19"/>
        </w:rPr>
        <w:t>行的</w:t>
      </w:r>
      <w:r>
        <w:rPr>
          <w:rFonts w:ascii="宋体" w:hAnsi="宋体" w:eastAsia="宋体" w:cs="宋体"/>
          <w:spacing w:val="-53"/>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挪威的经验告诉我们</w:t>
      </w:r>
      <w:r>
        <w:rPr>
          <w:rFonts w:ascii="微软雅黑" w:hAnsi="微软雅黑" w:eastAsia="微软雅黑" w:cs="微软雅黑"/>
          <w:spacing w:val="16"/>
          <w:sz w:val="19"/>
          <w:szCs w:val="19"/>
        </w:rPr>
        <w:t>，</w:t>
      </w:r>
      <w:r>
        <w:rPr>
          <w:rFonts w:ascii="宋体" w:hAnsi="宋体" w:eastAsia="宋体" w:cs="宋体"/>
          <w:spacing w:val="16"/>
          <w:sz w:val="19"/>
          <w:szCs w:val="19"/>
        </w:rPr>
        <w:t>要顺应世界高等</w:t>
      </w:r>
      <w:r>
        <w:rPr>
          <w:rFonts w:ascii="宋体" w:hAnsi="宋体" w:eastAsia="宋体" w:cs="宋体"/>
          <w:spacing w:val="15"/>
          <w:sz w:val="19"/>
          <w:szCs w:val="19"/>
        </w:rPr>
        <w:t xml:space="preserve">教育 </w:t>
      </w:r>
      <w:r>
        <w:rPr>
          <w:rFonts w:ascii="宋体" w:hAnsi="宋体" w:eastAsia="宋体" w:cs="宋体"/>
          <w:spacing w:val="9"/>
          <w:sz w:val="19"/>
          <w:szCs w:val="19"/>
        </w:rPr>
        <w:t>变革的潮流</w:t>
      </w:r>
      <w:r>
        <w:rPr>
          <w:rFonts w:ascii="微软雅黑" w:hAnsi="微软雅黑" w:eastAsia="微软雅黑" w:cs="微软雅黑"/>
          <w:spacing w:val="9"/>
          <w:sz w:val="19"/>
          <w:szCs w:val="19"/>
        </w:rPr>
        <w:t>，</w:t>
      </w:r>
      <w:r>
        <w:rPr>
          <w:rFonts w:ascii="宋体" w:hAnsi="宋体" w:eastAsia="宋体" w:cs="宋体"/>
          <w:spacing w:val="9"/>
          <w:sz w:val="19"/>
          <w:szCs w:val="19"/>
        </w:rPr>
        <w:t>树立建设高等教育质量文化的理念</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变 </w:t>
      </w:r>
      <w:r>
        <w:rPr>
          <w:rFonts w:ascii="宋体" w:hAnsi="宋体" w:eastAsia="宋体" w:cs="宋体"/>
          <w:spacing w:val="17"/>
          <w:sz w:val="19"/>
          <w:szCs w:val="19"/>
        </w:rPr>
        <w:t>传统的质量保障管理为质量文化建设</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使提升高等 </w:t>
      </w:r>
      <w:r>
        <w:rPr>
          <w:rFonts w:ascii="宋体" w:hAnsi="宋体" w:eastAsia="宋体" w:cs="宋体"/>
          <w:spacing w:val="15"/>
          <w:sz w:val="19"/>
          <w:szCs w:val="19"/>
        </w:rPr>
        <w:t>教育质量成为</w:t>
      </w:r>
      <w:r>
        <w:rPr>
          <w:rFonts w:ascii="宋体" w:hAnsi="宋体" w:eastAsia="宋体" w:cs="宋体"/>
          <w:spacing w:val="-53"/>
          <w:sz w:val="19"/>
          <w:szCs w:val="19"/>
        </w:rPr>
        <w:t xml:space="preserve"> </w:t>
      </w:r>
      <w:r>
        <w:rPr>
          <w:rFonts w:ascii="宋体" w:hAnsi="宋体" w:eastAsia="宋体" w:cs="宋体"/>
          <w:spacing w:val="15"/>
          <w:sz w:val="19"/>
          <w:szCs w:val="19"/>
        </w:rPr>
        <w:t>高校全体成</w:t>
      </w:r>
      <w:r>
        <w:rPr>
          <w:rFonts w:ascii="宋体" w:hAnsi="宋体" w:eastAsia="宋体" w:cs="宋体"/>
          <w:spacing w:val="-53"/>
          <w:sz w:val="19"/>
          <w:szCs w:val="19"/>
        </w:rPr>
        <w:t xml:space="preserve"> </w:t>
      </w:r>
      <w:r>
        <w:rPr>
          <w:rFonts w:ascii="宋体" w:hAnsi="宋体" w:eastAsia="宋体" w:cs="宋体"/>
          <w:spacing w:val="15"/>
          <w:sz w:val="19"/>
          <w:szCs w:val="19"/>
        </w:rPr>
        <w:t>员</w:t>
      </w:r>
      <w:r>
        <w:rPr>
          <w:rFonts w:ascii="宋体" w:hAnsi="宋体" w:eastAsia="宋体" w:cs="宋体"/>
          <w:spacing w:val="-44"/>
          <w:sz w:val="19"/>
          <w:szCs w:val="19"/>
        </w:rPr>
        <w:t xml:space="preserve"> </w:t>
      </w:r>
      <w:r>
        <w:rPr>
          <w:rFonts w:ascii="宋体" w:hAnsi="宋体" w:eastAsia="宋体" w:cs="宋体"/>
          <w:spacing w:val="15"/>
          <w:sz w:val="19"/>
          <w:szCs w:val="19"/>
        </w:rPr>
        <w:t>的共</w:t>
      </w:r>
      <w:r>
        <w:rPr>
          <w:rFonts w:ascii="宋体" w:hAnsi="宋体" w:eastAsia="宋体" w:cs="宋体"/>
          <w:spacing w:val="-40"/>
          <w:sz w:val="19"/>
          <w:szCs w:val="19"/>
        </w:rPr>
        <w:t xml:space="preserve"> </w:t>
      </w:r>
      <w:r>
        <w:rPr>
          <w:rFonts w:ascii="宋体" w:hAnsi="宋体" w:eastAsia="宋体" w:cs="宋体"/>
          <w:spacing w:val="15"/>
          <w:sz w:val="19"/>
          <w:szCs w:val="19"/>
        </w:rPr>
        <w:t>同</w:t>
      </w:r>
      <w:r>
        <w:rPr>
          <w:rFonts w:ascii="宋体" w:hAnsi="宋体" w:eastAsia="宋体" w:cs="宋体"/>
          <w:spacing w:val="-56"/>
          <w:sz w:val="19"/>
          <w:szCs w:val="19"/>
        </w:rPr>
        <w:t xml:space="preserve"> </w:t>
      </w:r>
      <w:r>
        <w:rPr>
          <w:rFonts w:ascii="宋体" w:hAnsi="宋体" w:eastAsia="宋体" w:cs="宋体"/>
          <w:spacing w:val="15"/>
          <w:sz w:val="19"/>
          <w:szCs w:val="19"/>
        </w:rPr>
        <w:t>理解和</w:t>
      </w:r>
      <w:r>
        <w:rPr>
          <w:rFonts w:ascii="宋体" w:hAnsi="宋体" w:eastAsia="宋体" w:cs="宋体"/>
          <w:spacing w:val="-57"/>
          <w:sz w:val="19"/>
          <w:szCs w:val="19"/>
        </w:rPr>
        <w:t xml:space="preserve"> </w:t>
      </w:r>
      <w:r>
        <w:rPr>
          <w:rFonts w:ascii="宋体" w:hAnsi="宋体" w:eastAsia="宋体" w:cs="宋体"/>
          <w:spacing w:val="15"/>
          <w:sz w:val="19"/>
          <w:szCs w:val="19"/>
        </w:rPr>
        <w:t xml:space="preserve">文化观 </w:t>
      </w:r>
      <w:r>
        <w:rPr>
          <w:rFonts w:ascii="宋体" w:hAnsi="宋体" w:eastAsia="宋体" w:cs="宋体"/>
          <w:spacing w:val="13"/>
          <w:sz w:val="19"/>
          <w:szCs w:val="19"/>
        </w:rPr>
        <w:t>念</w:t>
      </w:r>
      <w:r>
        <w:rPr>
          <w:rFonts w:ascii="宋体" w:hAnsi="宋体" w:eastAsia="宋体" w:cs="宋体"/>
          <w:spacing w:val="-49"/>
          <w:sz w:val="19"/>
          <w:szCs w:val="19"/>
        </w:rPr>
        <w:t xml:space="preserve"> </w:t>
      </w:r>
      <w:r>
        <w:rPr>
          <w:rFonts w:ascii="微软雅黑" w:hAnsi="微软雅黑" w:eastAsia="微软雅黑" w:cs="微软雅黑"/>
          <w:spacing w:val="13"/>
          <w:sz w:val="19"/>
          <w:szCs w:val="19"/>
        </w:rPr>
        <w:t>。</w:t>
      </w:r>
      <w:r>
        <w:rPr>
          <w:rFonts w:ascii="宋体" w:hAnsi="宋体" w:eastAsia="宋体" w:cs="宋体"/>
          <w:spacing w:val="13"/>
          <w:sz w:val="19"/>
          <w:szCs w:val="19"/>
        </w:rPr>
        <w:t>在坚持自上而下的政府监督管理的同时</w:t>
      </w:r>
      <w:r>
        <w:rPr>
          <w:rFonts w:ascii="微软雅黑" w:hAnsi="微软雅黑" w:eastAsia="微软雅黑" w:cs="微软雅黑"/>
          <w:spacing w:val="13"/>
          <w:sz w:val="19"/>
          <w:szCs w:val="19"/>
        </w:rPr>
        <w:t>，</w:t>
      </w:r>
      <w:r>
        <w:rPr>
          <w:rFonts w:ascii="宋体" w:hAnsi="宋体" w:eastAsia="宋体" w:cs="宋体"/>
          <w:spacing w:val="13"/>
          <w:sz w:val="19"/>
          <w:szCs w:val="19"/>
        </w:rPr>
        <w:t>将</w:t>
      </w:r>
      <w:r>
        <w:rPr>
          <w:rFonts w:ascii="宋体" w:hAnsi="宋体" w:eastAsia="宋体" w:cs="宋体"/>
          <w:spacing w:val="-33"/>
          <w:sz w:val="19"/>
          <w:szCs w:val="19"/>
        </w:rPr>
        <w:t xml:space="preserve"> </w:t>
      </w:r>
      <w:r>
        <w:rPr>
          <w:rFonts w:ascii="宋体" w:hAnsi="宋体" w:eastAsia="宋体" w:cs="宋体"/>
          <w:spacing w:val="13"/>
          <w:sz w:val="19"/>
          <w:szCs w:val="19"/>
        </w:rPr>
        <w:t xml:space="preserve">自 </w:t>
      </w:r>
      <w:r>
        <w:rPr>
          <w:rFonts w:ascii="宋体" w:hAnsi="宋体" w:eastAsia="宋体" w:cs="宋体"/>
          <w:spacing w:val="17"/>
          <w:sz w:val="19"/>
          <w:szCs w:val="19"/>
        </w:rPr>
        <w:t xml:space="preserve">下而上的高校民主管理作为高等教育管理机制建设 </w:t>
      </w:r>
      <w:r>
        <w:rPr>
          <w:rFonts w:ascii="宋体" w:hAnsi="宋体" w:eastAsia="宋体" w:cs="宋体"/>
          <w:spacing w:val="12"/>
          <w:sz w:val="19"/>
          <w:szCs w:val="19"/>
        </w:rPr>
        <w:t>的有益补充</w:t>
      </w:r>
      <w:r>
        <w:rPr>
          <w:rFonts w:ascii="微软雅黑" w:hAnsi="微软雅黑" w:eastAsia="微软雅黑" w:cs="微软雅黑"/>
          <w:spacing w:val="12"/>
          <w:sz w:val="19"/>
          <w:szCs w:val="19"/>
        </w:rPr>
        <w:t>，</w:t>
      </w:r>
      <w:r>
        <w:rPr>
          <w:rFonts w:ascii="宋体" w:hAnsi="宋体" w:eastAsia="宋体" w:cs="宋体"/>
          <w:spacing w:val="12"/>
          <w:sz w:val="19"/>
          <w:szCs w:val="19"/>
        </w:rPr>
        <w:t>增强高校全体成员参与管理的主动性</w:t>
      </w:r>
      <w:r>
        <w:rPr>
          <w:rFonts w:ascii="微软雅黑" w:hAnsi="微软雅黑" w:eastAsia="微软雅黑" w:cs="微软雅黑"/>
          <w:spacing w:val="12"/>
          <w:sz w:val="19"/>
          <w:szCs w:val="19"/>
        </w:rPr>
        <w:t>。</w:t>
      </w:r>
      <w:r>
        <w:rPr>
          <w:rFonts w:ascii="微软雅黑" w:hAnsi="微软雅黑" w:eastAsia="微软雅黑" w:cs="微软雅黑"/>
          <w:spacing w:val="16"/>
          <w:w w:val="101"/>
          <w:sz w:val="19"/>
          <w:szCs w:val="19"/>
        </w:rPr>
        <w:t xml:space="preserve"> </w:t>
      </w:r>
      <w:r>
        <w:rPr>
          <w:rFonts w:ascii="宋体" w:hAnsi="宋体" w:eastAsia="宋体" w:cs="宋体"/>
          <w:spacing w:val="9"/>
          <w:sz w:val="19"/>
          <w:szCs w:val="19"/>
        </w:rPr>
        <w:t>总之</w:t>
      </w:r>
      <w:r>
        <w:rPr>
          <w:rFonts w:ascii="微软雅黑" w:hAnsi="微软雅黑" w:eastAsia="微软雅黑" w:cs="微软雅黑"/>
          <w:spacing w:val="9"/>
          <w:sz w:val="19"/>
          <w:szCs w:val="19"/>
        </w:rPr>
        <w:t>，</w:t>
      </w:r>
      <w:r>
        <w:rPr>
          <w:rFonts w:ascii="宋体" w:hAnsi="宋体" w:eastAsia="宋体" w:cs="宋体"/>
          <w:spacing w:val="9"/>
          <w:sz w:val="19"/>
          <w:szCs w:val="19"/>
        </w:rPr>
        <w:t>为解决我国当前高校自我管理薄弱</w:t>
      </w:r>
      <w:r>
        <w:rPr>
          <w:rFonts w:ascii="微软雅黑" w:hAnsi="微软雅黑" w:eastAsia="微软雅黑" w:cs="微软雅黑"/>
          <w:spacing w:val="9"/>
          <w:sz w:val="19"/>
          <w:szCs w:val="19"/>
        </w:rPr>
        <w:t>、</w:t>
      </w:r>
      <w:r>
        <w:rPr>
          <w:rFonts w:ascii="宋体" w:hAnsi="宋体" w:eastAsia="宋体" w:cs="宋体"/>
          <w:spacing w:val="9"/>
          <w:sz w:val="19"/>
          <w:szCs w:val="19"/>
        </w:rPr>
        <w:t>管理文化 观念建设滞后</w:t>
      </w:r>
      <w:r>
        <w:rPr>
          <w:rFonts w:ascii="微软雅黑" w:hAnsi="微软雅黑" w:eastAsia="微软雅黑" w:cs="微软雅黑"/>
          <w:spacing w:val="9"/>
          <w:sz w:val="19"/>
          <w:szCs w:val="19"/>
        </w:rPr>
        <w:t>、</w:t>
      </w:r>
      <w:r>
        <w:rPr>
          <w:rFonts w:ascii="宋体" w:hAnsi="宋体" w:eastAsia="宋体" w:cs="宋体"/>
          <w:spacing w:val="9"/>
          <w:sz w:val="19"/>
          <w:szCs w:val="19"/>
        </w:rPr>
        <w:t>人本化管理不足的问题</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在整个高等 </w:t>
      </w:r>
      <w:r>
        <w:rPr>
          <w:rFonts w:ascii="宋体" w:hAnsi="宋体" w:eastAsia="宋体" w:cs="宋体"/>
          <w:spacing w:val="13"/>
          <w:sz w:val="19"/>
          <w:szCs w:val="19"/>
        </w:rPr>
        <w:t>教育系统</w:t>
      </w:r>
      <w:r>
        <w:rPr>
          <w:rFonts w:ascii="宋体" w:hAnsi="宋体" w:eastAsia="宋体" w:cs="宋体"/>
          <w:spacing w:val="-36"/>
          <w:sz w:val="19"/>
          <w:szCs w:val="19"/>
        </w:rPr>
        <w:t xml:space="preserve"> </w:t>
      </w:r>
      <w:r>
        <w:rPr>
          <w:rFonts w:ascii="宋体" w:hAnsi="宋体" w:eastAsia="宋体" w:cs="宋体"/>
          <w:spacing w:val="13"/>
          <w:sz w:val="19"/>
          <w:szCs w:val="19"/>
        </w:rPr>
        <w:t>内树立质量文化建设</w:t>
      </w:r>
      <w:r>
        <w:rPr>
          <w:rFonts w:ascii="宋体" w:hAnsi="宋体" w:eastAsia="宋体" w:cs="宋体"/>
          <w:spacing w:val="-43"/>
          <w:sz w:val="19"/>
          <w:szCs w:val="19"/>
        </w:rPr>
        <w:t xml:space="preserve"> </w:t>
      </w:r>
      <w:r>
        <w:rPr>
          <w:rFonts w:ascii="宋体" w:hAnsi="宋体" w:eastAsia="宋体" w:cs="宋体"/>
          <w:spacing w:val="13"/>
          <w:sz w:val="19"/>
          <w:szCs w:val="19"/>
        </w:rPr>
        <w:t>的</w:t>
      </w:r>
      <w:r>
        <w:rPr>
          <w:rFonts w:ascii="宋体" w:hAnsi="宋体" w:eastAsia="宋体" w:cs="宋体"/>
          <w:spacing w:val="-53"/>
          <w:sz w:val="19"/>
          <w:szCs w:val="19"/>
        </w:rPr>
        <w:t xml:space="preserve"> </w:t>
      </w:r>
      <w:r>
        <w:rPr>
          <w:rFonts w:ascii="宋体" w:hAnsi="宋体" w:eastAsia="宋体" w:cs="宋体"/>
          <w:spacing w:val="13"/>
          <w:sz w:val="19"/>
          <w:szCs w:val="19"/>
        </w:rPr>
        <w:t>管</w:t>
      </w:r>
      <w:r>
        <w:rPr>
          <w:rFonts w:ascii="宋体" w:hAnsi="宋体" w:eastAsia="宋体" w:cs="宋体"/>
          <w:spacing w:val="-57"/>
          <w:sz w:val="19"/>
          <w:szCs w:val="19"/>
        </w:rPr>
        <w:t xml:space="preserve"> </w:t>
      </w:r>
      <w:r>
        <w:rPr>
          <w:rFonts w:ascii="宋体" w:hAnsi="宋体" w:eastAsia="宋体" w:cs="宋体"/>
          <w:spacing w:val="13"/>
          <w:sz w:val="19"/>
          <w:szCs w:val="19"/>
        </w:rPr>
        <w:t>理</w:t>
      </w:r>
      <w:r>
        <w:rPr>
          <w:rFonts w:ascii="宋体" w:hAnsi="宋体" w:eastAsia="宋体" w:cs="宋体"/>
          <w:spacing w:val="-56"/>
          <w:sz w:val="19"/>
          <w:szCs w:val="19"/>
        </w:rPr>
        <w:t xml:space="preserve"> </w:t>
      </w:r>
      <w:r>
        <w:rPr>
          <w:rFonts w:ascii="宋体" w:hAnsi="宋体" w:eastAsia="宋体" w:cs="宋体"/>
          <w:spacing w:val="13"/>
          <w:sz w:val="19"/>
          <w:szCs w:val="19"/>
        </w:rPr>
        <w:t>理念</w:t>
      </w:r>
      <w:r>
        <w:rPr>
          <w:rFonts w:ascii="宋体" w:hAnsi="宋体" w:eastAsia="宋体" w:cs="宋体"/>
          <w:spacing w:val="-54"/>
          <w:sz w:val="19"/>
          <w:szCs w:val="19"/>
        </w:rPr>
        <w:t xml:space="preserve"> </w:t>
      </w:r>
      <w:r>
        <w:rPr>
          <w:rFonts w:ascii="宋体" w:hAnsi="宋体" w:eastAsia="宋体" w:cs="宋体"/>
          <w:spacing w:val="13"/>
          <w:sz w:val="19"/>
          <w:szCs w:val="19"/>
        </w:rPr>
        <w:t>势在</w:t>
      </w:r>
      <w:r>
        <w:rPr>
          <w:rFonts w:ascii="宋体" w:hAnsi="宋体" w:eastAsia="宋体" w:cs="宋体"/>
          <w:spacing w:val="-55"/>
          <w:sz w:val="19"/>
          <w:szCs w:val="19"/>
        </w:rPr>
        <w:t xml:space="preserve"> </w:t>
      </w:r>
      <w:r>
        <w:rPr>
          <w:rFonts w:ascii="宋体" w:hAnsi="宋体" w:eastAsia="宋体" w:cs="宋体"/>
          <w:spacing w:val="13"/>
          <w:sz w:val="19"/>
          <w:szCs w:val="19"/>
        </w:rPr>
        <w:t xml:space="preserve">必 </w:t>
      </w:r>
      <w:r>
        <w:rPr>
          <w:rFonts w:ascii="宋体" w:hAnsi="宋体" w:eastAsia="宋体" w:cs="宋体"/>
          <w:spacing w:val="14"/>
          <w:sz w:val="19"/>
          <w:szCs w:val="19"/>
        </w:rPr>
        <w:t>行</w:t>
      </w:r>
      <w:r>
        <w:rPr>
          <w:rFonts w:ascii="微软雅黑" w:hAnsi="微软雅黑" w:eastAsia="微软雅黑" w:cs="微软雅黑"/>
          <w:spacing w:val="14"/>
          <w:sz w:val="19"/>
          <w:szCs w:val="19"/>
        </w:rPr>
        <w:t>。</w:t>
      </w:r>
    </w:p>
    <w:p>
      <w:pPr>
        <w:spacing w:before="71" w:line="212" w:lineRule="auto"/>
        <w:ind w:left="1019"/>
        <w:rPr>
          <w:rFonts w:ascii="黑体" w:hAnsi="黑体" w:eastAsia="黑体" w:cs="黑体"/>
          <w:sz w:val="19"/>
          <w:szCs w:val="19"/>
        </w:rPr>
      </w:pPr>
      <w:r>
        <w:rPr>
          <w:rFonts w:ascii="Arial" w:hAnsi="Arial" w:eastAsia="Arial" w:cs="Arial"/>
          <w:spacing w:val="14"/>
          <w:sz w:val="19"/>
          <w:szCs w:val="19"/>
        </w:rPr>
        <w:t>2.</w:t>
      </w:r>
      <w:r>
        <w:rPr>
          <w:rFonts w:ascii="Arial" w:hAnsi="Arial" w:eastAsia="Arial" w:cs="Arial"/>
          <w:spacing w:val="8"/>
          <w:sz w:val="19"/>
          <w:szCs w:val="19"/>
        </w:rPr>
        <w:t xml:space="preserve">  </w:t>
      </w:r>
      <w:r>
        <w:rPr>
          <w:rFonts w:ascii="黑体" w:hAnsi="黑体" w:eastAsia="黑体" w:cs="黑体"/>
          <w:spacing w:val="14"/>
          <w:sz w:val="19"/>
          <w:szCs w:val="19"/>
        </w:rPr>
        <w:t>建设高等教育质量文化应以学生为中心</w:t>
      </w:r>
    </w:p>
    <w:p>
      <w:pPr>
        <w:spacing w:before="98" w:line="181" w:lineRule="auto"/>
        <w:ind w:left="1022"/>
        <w:rPr>
          <w:rFonts w:ascii="宋体" w:hAnsi="宋体" w:eastAsia="宋体" w:cs="宋体"/>
          <w:sz w:val="19"/>
          <w:szCs w:val="19"/>
        </w:rPr>
      </w:pPr>
      <w:r>
        <w:rPr>
          <w:rFonts w:ascii="宋体" w:hAnsi="宋体" w:eastAsia="宋体" w:cs="宋体"/>
          <w:spacing w:val="-10"/>
          <w:sz w:val="19"/>
          <w:szCs w:val="19"/>
        </w:rPr>
        <w:t>我国有着</w:t>
      </w:r>
      <w:r>
        <w:rPr>
          <w:rFonts w:ascii="微软雅黑" w:hAnsi="微软雅黑" w:eastAsia="微软雅黑" w:cs="微软雅黑"/>
          <w:spacing w:val="-10"/>
          <w:sz w:val="19"/>
          <w:szCs w:val="19"/>
        </w:rPr>
        <w:t>“</w:t>
      </w:r>
      <w:r>
        <w:rPr>
          <w:rFonts w:ascii="微软雅黑" w:hAnsi="微软雅黑" w:eastAsia="微软雅黑" w:cs="微软雅黑"/>
          <w:spacing w:val="-31"/>
          <w:sz w:val="19"/>
          <w:szCs w:val="19"/>
        </w:rPr>
        <w:t xml:space="preserve"> </w:t>
      </w:r>
      <w:r>
        <w:rPr>
          <w:rFonts w:ascii="宋体" w:hAnsi="宋体" w:eastAsia="宋体" w:cs="宋体"/>
          <w:spacing w:val="-10"/>
          <w:sz w:val="19"/>
          <w:szCs w:val="19"/>
        </w:rPr>
        <w:t>师道尊严</w:t>
      </w:r>
      <w:r>
        <w:rPr>
          <w:rFonts w:ascii="微软雅黑" w:hAnsi="微软雅黑" w:eastAsia="微软雅黑" w:cs="微软雅黑"/>
          <w:spacing w:val="-10"/>
          <w:sz w:val="19"/>
          <w:szCs w:val="19"/>
        </w:rPr>
        <w:t>”、“</w:t>
      </w:r>
      <w:r>
        <w:rPr>
          <w:rFonts w:ascii="宋体" w:hAnsi="宋体" w:eastAsia="宋体" w:cs="宋体"/>
          <w:spacing w:val="-10"/>
          <w:sz w:val="19"/>
          <w:szCs w:val="19"/>
        </w:rPr>
        <w:t>尊师重道</w:t>
      </w:r>
      <w:r>
        <w:rPr>
          <w:rFonts w:ascii="微软雅黑" w:hAnsi="微软雅黑" w:eastAsia="微软雅黑" w:cs="微软雅黑"/>
          <w:spacing w:val="-10"/>
          <w:sz w:val="19"/>
          <w:szCs w:val="19"/>
        </w:rPr>
        <w:t>”</w:t>
      </w:r>
      <w:r>
        <w:rPr>
          <w:rFonts w:ascii="宋体" w:hAnsi="宋体" w:eastAsia="宋体" w:cs="宋体"/>
          <w:spacing w:val="-10"/>
          <w:sz w:val="19"/>
          <w:szCs w:val="19"/>
        </w:rPr>
        <w:t>的传统</w:t>
      </w:r>
      <w:r>
        <w:rPr>
          <w:rFonts w:ascii="微软雅黑" w:hAnsi="微软雅黑" w:eastAsia="微软雅黑" w:cs="微软雅黑"/>
          <w:spacing w:val="-10"/>
          <w:sz w:val="19"/>
          <w:szCs w:val="19"/>
        </w:rPr>
        <w:t>，</w:t>
      </w:r>
      <w:r>
        <w:rPr>
          <w:rFonts w:ascii="宋体" w:hAnsi="宋体" w:eastAsia="宋体" w:cs="宋体"/>
          <w:spacing w:val="-10"/>
          <w:sz w:val="19"/>
          <w:szCs w:val="19"/>
        </w:rPr>
        <w:t>但是</w:t>
      </w:r>
    </w:p>
    <w:p>
      <w:pPr>
        <w:spacing w:line="14" w:lineRule="auto"/>
        <w:rPr>
          <w:rFonts w:ascii="Arial"/>
          <w:sz w:val="2"/>
        </w:rPr>
      </w:pPr>
      <w:r>
        <w:rPr>
          <w:rFonts w:ascii="Arial" w:hAnsi="Arial" w:eastAsia="Arial" w:cs="Arial"/>
          <w:sz w:val="2"/>
          <w:szCs w:val="2"/>
        </w:rPr>
        <w:br w:type="column"/>
      </w:r>
    </w:p>
    <w:p>
      <w:pPr>
        <w:spacing w:before="32"/>
        <w:ind w:left="1" w:right="78"/>
        <w:jc w:val="both"/>
        <w:rPr>
          <w:rFonts w:ascii="微软雅黑" w:hAnsi="微软雅黑" w:eastAsia="微软雅黑" w:cs="微软雅黑"/>
          <w:sz w:val="19"/>
          <w:szCs w:val="19"/>
        </w:rPr>
      </w:pPr>
      <w:r>
        <w:rPr>
          <w:rFonts w:ascii="宋体" w:hAnsi="宋体" w:eastAsia="宋体" w:cs="宋体"/>
          <w:spacing w:val="18"/>
          <w:sz w:val="19"/>
          <w:szCs w:val="19"/>
        </w:rPr>
        <w:t>过于强调教师的权威就会在一定程度上忽视学生的</w:t>
      </w:r>
      <w:r>
        <w:rPr>
          <w:rFonts w:ascii="宋体" w:hAnsi="宋体" w:eastAsia="宋体" w:cs="宋体"/>
          <w:spacing w:val="7"/>
          <w:sz w:val="19"/>
          <w:szCs w:val="19"/>
        </w:rPr>
        <w:t xml:space="preserve"> </w:t>
      </w:r>
      <w:r>
        <w:rPr>
          <w:rFonts w:ascii="宋体" w:hAnsi="宋体" w:eastAsia="宋体" w:cs="宋体"/>
          <w:spacing w:val="16"/>
          <w:sz w:val="19"/>
          <w:szCs w:val="19"/>
        </w:rPr>
        <w:t>主动性和创造性</w:t>
      </w:r>
      <w:r>
        <w:rPr>
          <w:rFonts w:ascii="宋体" w:hAnsi="宋体" w:eastAsia="宋体" w:cs="宋体"/>
          <w:spacing w:val="-42"/>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再加上我国的教育管理体制强调</w:t>
      </w:r>
      <w:r>
        <w:rPr>
          <w:rFonts w:ascii="宋体" w:hAnsi="宋体" w:eastAsia="宋体" w:cs="宋体"/>
          <w:sz w:val="19"/>
          <w:szCs w:val="19"/>
        </w:rPr>
        <w:t xml:space="preserve"> </w:t>
      </w:r>
      <w:r>
        <w:rPr>
          <w:rFonts w:ascii="宋体" w:hAnsi="宋体" w:eastAsia="宋体" w:cs="宋体"/>
          <w:spacing w:val="12"/>
          <w:sz w:val="19"/>
          <w:szCs w:val="19"/>
        </w:rPr>
        <w:t>集中统一</w:t>
      </w:r>
      <w:r>
        <w:rPr>
          <w:rFonts w:ascii="微软雅黑" w:hAnsi="微软雅黑" w:eastAsia="微软雅黑" w:cs="微软雅黑"/>
          <w:spacing w:val="12"/>
          <w:sz w:val="19"/>
          <w:szCs w:val="19"/>
        </w:rPr>
        <w:t>，</w:t>
      </w:r>
      <w:r>
        <w:rPr>
          <w:rFonts w:ascii="宋体" w:hAnsi="宋体" w:eastAsia="宋体" w:cs="宋体"/>
          <w:spacing w:val="12"/>
          <w:sz w:val="19"/>
          <w:szCs w:val="19"/>
        </w:rPr>
        <w:t>因而呈现出国家</w:t>
      </w:r>
      <w:r>
        <w:rPr>
          <w:rFonts w:ascii="微软雅黑" w:hAnsi="微软雅黑" w:eastAsia="微软雅黑" w:cs="微软雅黑"/>
          <w:spacing w:val="12"/>
          <w:sz w:val="19"/>
          <w:szCs w:val="19"/>
        </w:rPr>
        <w:t>—</w:t>
      </w:r>
      <w:r>
        <w:rPr>
          <w:rFonts w:ascii="微软雅黑" w:hAnsi="微软雅黑" w:eastAsia="微软雅黑" w:cs="微软雅黑"/>
          <w:spacing w:val="-31"/>
          <w:sz w:val="19"/>
          <w:szCs w:val="19"/>
        </w:rPr>
        <w:t xml:space="preserve"> </w:t>
      </w:r>
      <w:r>
        <w:rPr>
          <w:rFonts w:ascii="宋体" w:hAnsi="宋体" w:eastAsia="宋体" w:cs="宋体"/>
          <w:spacing w:val="12"/>
          <w:sz w:val="19"/>
          <w:szCs w:val="19"/>
        </w:rPr>
        <w:t>地方</w:t>
      </w:r>
      <w:r>
        <w:rPr>
          <w:rFonts w:ascii="微软雅黑" w:hAnsi="微软雅黑" w:eastAsia="微软雅黑" w:cs="微软雅黑"/>
          <w:spacing w:val="12"/>
          <w:sz w:val="19"/>
          <w:szCs w:val="19"/>
        </w:rPr>
        <w:t>—</w:t>
      </w:r>
      <w:r>
        <w:rPr>
          <w:rFonts w:ascii="微软雅黑" w:hAnsi="微软雅黑" w:eastAsia="微软雅黑" w:cs="微软雅黑"/>
          <w:spacing w:val="-26"/>
          <w:sz w:val="19"/>
          <w:szCs w:val="19"/>
        </w:rPr>
        <w:t xml:space="preserve"> </w:t>
      </w:r>
      <w:r>
        <w:rPr>
          <w:rFonts w:ascii="宋体" w:hAnsi="宋体" w:eastAsia="宋体" w:cs="宋体"/>
          <w:spacing w:val="12"/>
          <w:sz w:val="19"/>
          <w:szCs w:val="19"/>
        </w:rPr>
        <w:t>高校</w:t>
      </w:r>
      <w:r>
        <w:rPr>
          <w:rFonts w:ascii="微软雅黑" w:hAnsi="微软雅黑" w:eastAsia="微软雅黑" w:cs="微软雅黑"/>
          <w:spacing w:val="12"/>
          <w:sz w:val="19"/>
          <w:szCs w:val="19"/>
        </w:rPr>
        <w:t>—</w:t>
      </w:r>
      <w:r>
        <w:rPr>
          <w:rFonts w:ascii="微软雅黑" w:hAnsi="微软雅黑" w:eastAsia="微软雅黑" w:cs="微软雅黑"/>
          <w:spacing w:val="-29"/>
          <w:sz w:val="19"/>
          <w:szCs w:val="19"/>
        </w:rPr>
        <w:t xml:space="preserve"> </w:t>
      </w:r>
      <w:r>
        <w:rPr>
          <w:rFonts w:ascii="宋体" w:hAnsi="宋体" w:eastAsia="宋体" w:cs="宋体"/>
          <w:spacing w:val="11"/>
          <w:sz w:val="19"/>
          <w:szCs w:val="19"/>
        </w:rPr>
        <w:t>教师</w:t>
      </w:r>
      <w:r>
        <w:rPr>
          <w:rFonts w:ascii="微软雅黑" w:hAnsi="微软雅黑" w:eastAsia="微软雅黑" w:cs="微软雅黑"/>
          <w:spacing w:val="11"/>
          <w:sz w:val="19"/>
          <w:szCs w:val="19"/>
        </w:rPr>
        <w:t>—</w:t>
      </w:r>
      <w:r>
        <w:rPr>
          <w:rFonts w:ascii="微软雅黑" w:hAnsi="微软雅黑" w:eastAsia="微软雅黑" w:cs="微软雅黑"/>
          <w:sz w:val="19"/>
          <w:szCs w:val="19"/>
        </w:rPr>
        <w:t xml:space="preserve"> </w:t>
      </w:r>
      <w:r>
        <w:rPr>
          <w:rFonts w:ascii="宋体" w:hAnsi="宋体" w:eastAsia="宋体" w:cs="宋体"/>
          <w:spacing w:val="18"/>
          <w:sz w:val="19"/>
          <w:szCs w:val="19"/>
        </w:rPr>
        <w:t>学生的层级性关系</w:t>
      </w:r>
      <w:r>
        <w:rPr>
          <w:rFonts w:ascii="微软雅黑" w:hAnsi="微软雅黑" w:eastAsia="微软雅黑" w:cs="微软雅黑"/>
          <w:spacing w:val="18"/>
          <w:sz w:val="19"/>
          <w:szCs w:val="19"/>
        </w:rPr>
        <w:t>，</w:t>
      </w:r>
      <w:r>
        <w:rPr>
          <w:rFonts w:ascii="宋体" w:hAnsi="宋体" w:eastAsia="宋体" w:cs="宋体"/>
          <w:spacing w:val="18"/>
          <w:sz w:val="19"/>
          <w:szCs w:val="19"/>
        </w:rPr>
        <w:t>高校学生在管理上的参与度严</w:t>
      </w:r>
      <w:r>
        <w:rPr>
          <w:rFonts w:ascii="宋体" w:hAnsi="宋体" w:eastAsia="宋体" w:cs="宋体"/>
          <w:spacing w:val="8"/>
          <w:sz w:val="19"/>
          <w:szCs w:val="19"/>
        </w:rPr>
        <w:t xml:space="preserve"> </w:t>
      </w:r>
      <w:r>
        <w:rPr>
          <w:rFonts w:ascii="宋体" w:hAnsi="宋体" w:eastAsia="宋体" w:cs="宋体"/>
          <w:spacing w:val="14"/>
          <w:sz w:val="19"/>
          <w:szCs w:val="19"/>
        </w:rPr>
        <w:t>重不足</w:t>
      </w:r>
      <w:r>
        <w:rPr>
          <w:rFonts w:ascii="宋体" w:hAnsi="宋体" w:eastAsia="宋体" w:cs="宋体"/>
          <w:spacing w:val="-47"/>
          <w:sz w:val="19"/>
          <w:szCs w:val="19"/>
        </w:rPr>
        <w:t xml:space="preserve"> </w:t>
      </w:r>
      <w:r>
        <w:rPr>
          <w:rFonts w:ascii="微软雅黑" w:hAnsi="微软雅黑" w:eastAsia="微软雅黑" w:cs="微软雅黑"/>
          <w:spacing w:val="14"/>
          <w:sz w:val="19"/>
          <w:szCs w:val="19"/>
        </w:rPr>
        <w:t>。</w:t>
      </w:r>
      <w:r>
        <w:rPr>
          <w:rFonts w:ascii="宋体" w:hAnsi="宋体" w:eastAsia="宋体" w:cs="宋体"/>
          <w:spacing w:val="14"/>
          <w:sz w:val="19"/>
          <w:szCs w:val="19"/>
        </w:rPr>
        <w:t>例如</w:t>
      </w:r>
      <w:r>
        <w:rPr>
          <w:rFonts w:ascii="微软雅黑" w:hAnsi="微软雅黑" w:eastAsia="微软雅黑" w:cs="微软雅黑"/>
          <w:spacing w:val="14"/>
          <w:sz w:val="19"/>
          <w:szCs w:val="19"/>
        </w:rPr>
        <w:t>，</w:t>
      </w:r>
      <w:r>
        <w:rPr>
          <w:rFonts w:ascii="宋体" w:hAnsi="宋体" w:eastAsia="宋体" w:cs="宋体"/>
          <w:spacing w:val="14"/>
          <w:sz w:val="19"/>
          <w:szCs w:val="19"/>
        </w:rPr>
        <w:t>许多高校</w:t>
      </w:r>
      <w:r>
        <w:rPr>
          <w:rFonts w:ascii="宋体" w:hAnsi="宋体" w:eastAsia="宋体" w:cs="宋体"/>
          <w:spacing w:val="-47"/>
          <w:sz w:val="19"/>
          <w:szCs w:val="19"/>
        </w:rPr>
        <w:t xml:space="preserve"> </w:t>
      </w:r>
      <w:r>
        <w:rPr>
          <w:rFonts w:ascii="宋体" w:hAnsi="宋体" w:eastAsia="宋体" w:cs="宋体"/>
          <w:spacing w:val="14"/>
          <w:sz w:val="19"/>
          <w:szCs w:val="19"/>
        </w:rPr>
        <w:t>出现了学生评教机制流于</w:t>
      </w:r>
      <w:r>
        <w:rPr>
          <w:rFonts w:ascii="宋体" w:hAnsi="宋体" w:eastAsia="宋体" w:cs="宋体"/>
          <w:sz w:val="19"/>
          <w:szCs w:val="19"/>
        </w:rPr>
        <w:t xml:space="preserve"> </w:t>
      </w:r>
      <w:r>
        <w:rPr>
          <w:rFonts w:ascii="宋体" w:hAnsi="宋体" w:eastAsia="宋体" w:cs="宋体"/>
          <w:spacing w:val="9"/>
          <w:sz w:val="19"/>
          <w:szCs w:val="19"/>
        </w:rPr>
        <w:t>形式</w:t>
      </w:r>
      <w:r>
        <w:rPr>
          <w:rFonts w:ascii="微软雅黑" w:hAnsi="微软雅黑" w:eastAsia="微软雅黑" w:cs="微软雅黑"/>
          <w:spacing w:val="9"/>
          <w:sz w:val="19"/>
          <w:szCs w:val="19"/>
        </w:rPr>
        <w:t>，</w:t>
      </w:r>
      <w:r>
        <w:rPr>
          <w:rFonts w:ascii="宋体" w:hAnsi="宋体" w:eastAsia="宋体" w:cs="宋体"/>
          <w:spacing w:val="9"/>
          <w:sz w:val="19"/>
          <w:szCs w:val="19"/>
        </w:rPr>
        <w:t>学生反馈渠道不畅等现象</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表明我国高校的质 </w:t>
      </w:r>
      <w:r>
        <w:rPr>
          <w:rFonts w:ascii="宋体" w:hAnsi="宋体" w:eastAsia="宋体" w:cs="宋体"/>
          <w:spacing w:val="18"/>
          <w:sz w:val="19"/>
          <w:szCs w:val="19"/>
        </w:rPr>
        <w:t>量保障管理与文化建设在一定程度上忽视了学生应</w:t>
      </w:r>
      <w:r>
        <w:rPr>
          <w:rFonts w:ascii="宋体" w:hAnsi="宋体" w:eastAsia="宋体" w:cs="宋体"/>
          <w:spacing w:val="8"/>
          <w:sz w:val="19"/>
          <w:szCs w:val="19"/>
        </w:rPr>
        <w:t xml:space="preserve"> </w:t>
      </w:r>
      <w:r>
        <w:rPr>
          <w:rFonts w:ascii="宋体" w:hAnsi="宋体" w:eastAsia="宋体" w:cs="宋体"/>
          <w:spacing w:val="17"/>
          <w:sz w:val="19"/>
          <w:szCs w:val="19"/>
        </w:rPr>
        <w:t>有的中心地位</w:t>
      </w:r>
      <w:r>
        <w:rPr>
          <w:rFonts w:ascii="微软雅黑" w:hAnsi="微软雅黑" w:eastAsia="微软雅黑" w:cs="微软雅黑"/>
          <w:spacing w:val="17"/>
          <w:sz w:val="19"/>
          <w:szCs w:val="19"/>
        </w:rPr>
        <w:t>。</w:t>
      </w:r>
    </w:p>
    <w:p>
      <w:pPr>
        <w:spacing w:before="64" w:line="235" w:lineRule="auto"/>
        <w:ind w:right="77" w:firstLine="422"/>
        <w:rPr>
          <w:rFonts w:ascii="微软雅黑" w:hAnsi="微软雅黑" w:eastAsia="微软雅黑" w:cs="微软雅黑"/>
          <w:sz w:val="19"/>
          <w:szCs w:val="19"/>
        </w:rPr>
      </w:pPr>
      <w:r>
        <w:rPr>
          <w:rFonts w:ascii="宋体" w:hAnsi="宋体" w:eastAsia="宋体" w:cs="宋体"/>
          <w:spacing w:val="10"/>
          <w:sz w:val="19"/>
          <w:szCs w:val="19"/>
        </w:rPr>
        <w:t>大学</w:t>
      </w:r>
      <w:r>
        <w:rPr>
          <w:rFonts w:ascii="宋体" w:hAnsi="宋体" w:eastAsia="宋体" w:cs="宋体"/>
          <w:spacing w:val="-38"/>
          <w:sz w:val="19"/>
          <w:szCs w:val="19"/>
        </w:rPr>
        <w:t xml:space="preserve"> </w:t>
      </w:r>
      <w:r>
        <w:rPr>
          <w:rFonts w:ascii="宋体" w:hAnsi="宋体" w:eastAsia="宋体" w:cs="宋体"/>
          <w:spacing w:val="10"/>
          <w:sz w:val="19"/>
          <w:szCs w:val="19"/>
        </w:rPr>
        <w:t>的</w:t>
      </w:r>
      <w:r>
        <w:rPr>
          <w:rFonts w:ascii="宋体" w:hAnsi="宋体" w:eastAsia="宋体" w:cs="宋体"/>
          <w:spacing w:val="-35"/>
          <w:sz w:val="19"/>
          <w:szCs w:val="19"/>
        </w:rPr>
        <w:t xml:space="preserve"> </w:t>
      </w:r>
      <w:r>
        <w:rPr>
          <w:rFonts w:ascii="宋体" w:hAnsi="宋体" w:eastAsia="宋体" w:cs="宋体"/>
          <w:spacing w:val="10"/>
          <w:sz w:val="19"/>
          <w:szCs w:val="19"/>
        </w:rPr>
        <w:t>自主权</w:t>
      </w:r>
      <w:r>
        <w:rPr>
          <w:rFonts w:ascii="微软雅黑" w:hAnsi="微软雅黑" w:eastAsia="微软雅黑" w:cs="微软雅黑"/>
          <w:spacing w:val="10"/>
          <w:sz w:val="19"/>
          <w:szCs w:val="19"/>
        </w:rPr>
        <w:t>、</w:t>
      </w:r>
      <w:r>
        <w:rPr>
          <w:rFonts w:ascii="宋体" w:hAnsi="宋体" w:eastAsia="宋体" w:cs="宋体"/>
          <w:spacing w:val="10"/>
          <w:sz w:val="19"/>
          <w:szCs w:val="19"/>
        </w:rPr>
        <w:t>效能与透</w:t>
      </w:r>
      <w:r>
        <w:rPr>
          <w:rFonts w:ascii="宋体" w:hAnsi="宋体" w:eastAsia="宋体" w:cs="宋体"/>
          <w:spacing w:val="-48"/>
          <w:sz w:val="19"/>
          <w:szCs w:val="19"/>
        </w:rPr>
        <w:t xml:space="preserve"> </w:t>
      </w:r>
      <w:r>
        <w:rPr>
          <w:rFonts w:ascii="宋体" w:hAnsi="宋体" w:eastAsia="宋体" w:cs="宋体"/>
          <w:spacing w:val="10"/>
          <w:sz w:val="19"/>
          <w:szCs w:val="19"/>
        </w:rPr>
        <w:t>明度是质量文化建设</w:t>
      </w:r>
      <w:r>
        <w:rPr>
          <w:rFonts w:ascii="宋体" w:hAnsi="宋体" w:eastAsia="宋体" w:cs="宋体"/>
          <w:sz w:val="19"/>
          <w:szCs w:val="19"/>
        </w:rPr>
        <w:t xml:space="preserve"> </w:t>
      </w:r>
      <w:r>
        <w:rPr>
          <w:rFonts w:ascii="宋体" w:hAnsi="宋体" w:eastAsia="宋体" w:cs="宋体"/>
          <w:spacing w:val="15"/>
          <w:sz w:val="19"/>
          <w:szCs w:val="19"/>
        </w:rPr>
        <w:t>与发展的内在动力</w:t>
      </w:r>
      <w:r>
        <w:rPr>
          <w:rFonts w:ascii="微软雅黑" w:hAnsi="微软雅黑" w:eastAsia="微软雅黑" w:cs="微软雅黑"/>
          <w:spacing w:val="15"/>
          <w:sz w:val="19"/>
          <w:szCs w:val="19"/>
        </w:rPr>
        <w:t>，</w:t>
      </w:r>
      <w:r>
        <w:rPr>
          <w:rFonts w:ascii="宋体" w:hAnsi="宋体" w:eastAsia="宋体" w:cs="宋体"/>
          <w:spacing w:val="15"/>
          <w:sz w:val="19"/>
          <w:szCs w:val="19"/>
        </w:rPr>
        <w:t>其中</w:t>
      </w:r>
      <w:r>
        <w:rPr>
          <w:rFonts w:ascii="宋体" w:hAnsi="宋体" w:eastAsia="宋体" w:cs="宋体"/>
          <w:spacing w:val="-20"/>
          <w:sz w:val="19"/>
          <w:szCs w:val="19"/>
        </w:rPr>
        <w:t xml:space="preserve"> </w:t>
      </w:r>
      <w:r>
        <w:rPr>
          <w:rFonts w:ascii="宋体" w:hAnsi="宋体" w:eastAsia="宋体" w:cs="宋体"/>
          <w:spacing w:val="15"/>
          <w:sz w:val="19"/>
          <w:szCs w:val="19"/>
        </w:rPr>
        <w:t>自主权表现为高校的自我</w:t>
      </w:r>
      <w:r>
        <w:rPr>
          <w:rFonts w:ascii="宋体" w:hAnsi="宋体" w:eastAsia="宋体" w:cs="宋体"/>
          <w:sz w:val="19"/>
          <w:szCs w:val="19"/>
        </w:rPr>
        <w:t xml:space="preserve"> </w:t>
      </w:r>
      <w:r>
        <w:rPr>
          <w:rFonts w:ascii="宋体" w:hAnsi="宋体" w:eastAsia="宋体" w:cs="宋体"/>
          <w:spacing w:val="15"/>
          <w:sz w:val="19"/>
          <w:szCs w:val="19"/>
        </w:rPr>
        <w:t>管理及学生在质量管理中的参与度</w:t>
      </w:r>
      <w:r>
        <w:rPr>
          <w:rFonts w:ascii="宋体" w:hAnsi="宋体" w:eastAsia="宋体" w:cs="宋体"/>
          <w:spacing w:val="-39"/>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5"/>
          <w:sz w:val="19"/>
          <w:szCs w:val="19"/>
        </w:rPr>
        <w:t xml:space="preserve"> </w:t>
      </w:r>
      <w:r>
        <w:rPr>
          <w:rFonts w:ascii="宋体" w:hAnsi="宋体" w:eastAsia="宋体" w:cs="宋体"/>
          <w:spacing w:val="15"/>
          <w:sz w:val="19"/>
          <w:szCs w:val="19"/>
        </w:rPr>
        <w:t>没有学生参与</w:t>
      </w:r>
      <w:r>
        <w:rPr>
          <w:rFonts w:ascii="宋体" w:hAnsi="宋体" w:eastAsia="宋体" w:cs="宋体"/>
          <w:sz w:val="19"/>
          <w:szCs w:val="19"/>
        </w:rPr>
        <w:t xml:space="preserve"> </w:t>
      </w:r>
      <w:r>
        <w:rPr>
          <w:rFonts w:ascii="宋体" w:hAnsi="宋体" w:eastAsia="宋体" w:cs="宋体"/>
          <w:spacing w:val="16"/>
          <w:sz w:val="19"/>
          <w:szCs w:val="19"/>
        </w:rPr>
        <w:t>的质量文化建设是没有生命力的</w:t>
      </w:r>
      <w:r>
        <w:rPr>
          <w:rFonts w:ascii="宋体" w:hAnsi="宋体" w:eastAsia="宋体" w:cs="宋体"/>
          <w:spacing w:val="-40"/>
          <w:sz w:val="19"/>
          <w:szCs w:val="19"/>
        </w:rPr>
        <w:t xml:space="preserve"> </w:t>
      </w:r>
      <w:r>
        <w:rPr>
          <w:rFonts w:ascii="微软雅黑" w:hAnsi="微软雅黑" w:eastAsia="微软雅黑" w:cs="微软雅黑"/>
          <w:spacing w:val="16"/>
          <w:sz w:val="19"/>
          <w:szCs w:val="19"/>
        </w:rPr>
        <w:t>。</w:t>
      </w:r>
      <w:r>
        <w:rPr>
          <w:rFonts w:ascii="宋体" w:hAnsi="宋体" w:eastAsia="宋体" w:cs="宋体"/>
          <w:spacing w:val="16"/>
          <w:sz w:val="19"/>
          <w:szCs w:val="19"/>
        </w:rPr>
        <w:t>包括挪威在内的</w:t>
      </w:r>
      <w:r>
        <w:rPr>
          <w:rFonts w:ascii="宋体" w:hAnsi="宋体" w:eastAsia="宋体" w:cs="宋体"/>
          <w:sz w:val="19"/>
          <w:szCs w:val="19"/>
        </w:rPr>
        <w:t xml:space="preserve"> </w:t>
      </w:r>
      <w:r>
        <w:rPr>
          <w:rFonts w:ascii="宋体" w:hAnsi="宋体" w:eastAsia="宋体" w:cs="宋体"/>
          <w:spacing w:val="18"/>
          <w:sz w:val="19"/>
          <w:szCs w:val="19"/>
        </w:rPr>
        <w:t>北欧五国均重视让学生参与高等教育质量的管理和</w:t>
      </w:r>
      <w:r>
        <w:rPr>
          <w:rFonts w:ascii="宋体" w:hAnsi="宋体" w:eastAsia="宋体" w:cs="宋体"/>
          <w:spacing w:val="9"/>
          <w:sz w:val="19"/>
          <w:szCs w:val="19"/>
        </w:rPr>
        <w:t xml:space="preserve"> 保障</w:t>
      </w:r>
      <w:r>
        <w:rPr>
          <w:rFonts w:ascii="微软雅黑" w:hAnsi="微软雅黑" w:eastAsia="微软雅黑" w:cs="微软雅黑"/>
          <w:spacing w:val="9"/>
          <w:sz w:val="19"/>
          <w:szCs w:val="19"/>
        </w:rPr>
        <w:t>，</w:t>
      </w:r>
      <w:r>
        <w:rPr>
          <w:rFonts w:ascii="宋体" w:hAnsi="宋体" w:eastAsia="宋体" w:cs="宋体"/>
          <w:spacing w:val="9"/>
          <w:sz w:val="19"/>
          <w:szCs w:val="19"/>
        </w:rPr>
        <w:t>表现为学生参与评估计划的制定</w:t>
      </w:r>
      <w:r>
        <w:rPr>
          <w:rFonts w:ascii="微软雅黑" w:hAnsi="微软雅黑" w:eastAsia="微软雅黑" w:cs="微软雅黑"/>
          <w:spacing w:val="9"/>
          <w:sz w:val="19"/>
          <w:szCs w:val="19"/>
        </w:rPr>
        <w:t>、</w:t>
      </w:r>
      <w:r>
        <w:rPr>
          <w:rFonts w:ascii="宋体" w:hAnsi="宋体" w:eastAsia="宋体" w:cs="宋体"/>
          <w:spacing w:val="9"/>
          <w:sz w:val="19"/>
          <w:szCs w:val="19"/>
        </w:rPr>
        <w:t>参与院校的</w:t>
      </w:r>
      <w:r>
        <w:rPr>
          <w:rFonts w:ascii="宋体" w:hAnsi="宋体" w:eastAsia="宋体" w:cs="宋体"/>
          <w:spacing w:val="10"/>
          <w:sz w:val="19"/>
          <w:szCs w:val="19"/>
        </w:rPr>
        <w:t xml:space="preserve"> </w:t>
      </w:r>
      <w:r>
        <w:rPr>
          <w:rFonts w:ascii="宋体" w:hAnsi="宋体" w:eastAsia="宋体" w:cs="宋体"/>
          <w:spacing w:val="9"/>
          <w:sz w:val="19"/>
          <w:szCs w:val="19"/>
        </w:rPr>
        <w:t>自我评估</w:t>
      </w:r>
      <w:r>
        <w:rPr>
          <w:rFonts w:ascii="微软雅黑" w:hAnsi="微软雅黑" w:eastAsia="微软雅黑" w:cs="微软雅黑"/>
          <w:spacing w:val="9"/>
          <w:sz w:val="19"/>
          <w:szCs w:val="19"/>
        </w:rPr>
        <w:t>、</w:t>
      </w:r>
      <w:r>
        <w:rPr>
          <w:rFonts w:ascii="宋体" w:hAnsi="宋体" w:eastAsia="宋体" w:cs="宋体"/>
          <w:spacing w:val="9"/>
          <w:sz w:val="19"/>
          <w:szCs w:val="19"/>
        </w:rPr>
        <w:t>参与外部第三方机构的评估小组</w:t>
      </w:r>
      <w:r>
        <w:rPr>
          <w:rFonts w:ascii="微软雅黑" w:hAnsi="微软雅黑" w:eastAsia="微软雅黑" w:cs="微软雅黑"/>
          <w:spacing w:val="9"/>
          <w:sz w:val="19"/>
          <w:szCs w:val="19"/>
        </w:rPr>
        <w:t>、</w:t>
      </w:r>
      <w:r>
        <w:rPr>
          <w:rFonts w:ascii="宋体" w:hAnsi="宋体" w:eastAsia="宋体" w:cs="宋体"/>
          <w:spacing w:val="9"/>
          <w:sz w:val="19"/>
          <w:szCs w:val="19"/>
        </w:rPr>
        <w:t>参与现</w:t>
      </w:r>
      <w:r>
        <w:rPr>
          <w:rFonts w:ascii="宋体" w:hAnsi="宋体" w:eastAsia="宋体" w:cs="宋体"/>
          <w:spacing w:val="10"/>
          <w:sz w:val="19"/>
          <w:szCs w:val="19"/>
        </w:rPr>
        <w:t xml:space="preserve"> 场的评估考察等形式</w:t>
      </w:r>
      <w:r>
        <w:rPr>
          <w:rFonts w:ascii="微软雅黑" w:hAnsi="微软雅黑" w:eastAsia="微软雅黑" w:cs="微软雅黑"/>
          <w:spacing w:val="10"/>
          <w:sz w:val="19"/>
          <w:szCs w:val="19"/>
        </w:rPr>
        <w:t>。</w:t>
      </w:r>
      <w:r>
        <w:rPr>
          <w:rFonts w:ascii="微软雅黑" w:hAnsi="微软雅黑" w:eastAsia="微软雅黑" w:cs="微软雅黑"/>
          <w:spacing w:val="10"/>
          <w:position w:val="7"/>
          <w:sz w:val="10"/>
          <w:szCs w:val="10"/>
        </w:rPr>
        <w:t>[</w:t>
      </w:r>
      <w:r>
        <w:rPr>
          <w:rFonts w:ascii="Arial" w:hAnsi="Arial" w:eastAsia="Arial" w:cs="Arial"/>
          <w:spacing w:val="10"/>
          <w:position w:val="7"/>
          <w:sz w:val="10"/>
          <w:szCs w:val="10"/>
        </w:rPr>
        <w:t>18</w:t>
      </w:r>
      <w:r>
        <w:rPr>
          <w:rFonts w:ascii="微软雅黑" w:hAnsi="微软雅黑" w:eastAsia="微软雅黑" w:cs="微软雅黑"/>
          <w:spacing w:val="10"/>
          <w:position w:val="7"/>
          <w:sz w:val="10"/>
          <w:szCs w:val="10"/>
        </w:rPr>
        <w:t xml:space="preserve">]  </w:t>
      </w:r>
      <w:r>
        <w:rPr>
          <w:rFonts w:ascii="宋体" w:hAnsi="宋体" w:eastAsia="宋体" w:cs="宋体"/>
          <w:spacing w:val="10"/>
          <w:sz w:val="19"/>
          <w:szCs w:val="19"/>
        </w:rPr>
        <w:t>可</w:t>
      </w:r>
      <w:r>
        <w:rPr>
          <w:rFonts w:ascii="宋体" w:hAnsi="宋体" w:eastAsia="宋体" w:cs="宋体"/>
          <w:spacing w:val="-41"/>
          <w:sz w:val="19"/>
          <w:szCs w:val="19"/>
        </w:rPr>
        <w:t xml:space="preserve"> </w:t>
      </w:r>
      <w:r>
        <w:rPr>
          <w:rFonts w:ascii="宋体" w:hAnsi="宋体" w:eastAsia="宋体" w:cs="宋体"/>
          <w:spacing w:val="10"/>
          <w:sz w:val="19"/>
          <w:szCs w:val="19"/>
        </w:rPr>
        <w:t>以说</w:t>
      </w:r>
      <w:r>
        <w:rPr>
          <w:rFonts w:ascii="微软雅黑" w:hAnsi="微软雅黑" w:eastAsia="微软雅黑" w:cs="微软雅黑"/>
          <w:spacing w:val="10"/>
          <w:sz w:val="19"/>
          <w:szCs w:val="19"/>
        </w:rPr>
        <w:t>，</w:t>
      </w:r>
      <w:r>
        <w:rPr>
          <w:rFonts w:ascii="宋体" w:hAnsi="宋体" w:eastAsia="宋体" w:cs="宋体"/>
          <w:spacing w:val="10"/>
          <w:sz w:val="19"/>
          <w:szCs w:val="19"/>
        </w:rPr>
        <w:t>学生参</w:t>
      </w:r>
      <w:r>
        <w:rPr>
          <w:rFonts w:ascii="宋体" w:hAnsi="宋体" w:eastAsia="宋体" w:cs="宋体"/>
          <w:spacing w:val="-56"/>
          <w:sz w:val="19"/>
          <w:szCs w:val="19"/>
        </w:rPr>
        <w:t xml:space="preserve"> </w:t>
      </w:r>
      <w:r>
        <w:rPr>
          <w:rFonts w:ascii="宋体" w:hAnsi="宋体" w:eastAsia="宋体" w:cs="宋体"/>
          <w:spacing w:val="10"/>
          <w:sz w:val="19"/>
          <w:szCs w:val="19"/>
        </w:rPr>
        <w:t>与</w:t>
      </w:r>
      <w:r>
        <w:rPr>
          <w:rFonts w:ascii="宋体" w:hAnsi="宋体" w:eastAsia="宋体" w:cs="宋体"/>
          <w:spacing w:val="9"/>
          <w:sz w:val="19"/>
          <w:szCs w:val="19"/>
        </w:rPr>
        <w:t>评估是</w:t>
      </w:r>
      <w:r>
        <w:rPr>
          <w:rFonts w:ascii="宋体" w:hAnsi="宋体" w:eastAsia="宋体" w:cs="宋体"/>
          <w:sz w:val="19"/>
          <w:szCs w:val="19"/>
        </w:rPr>
        <w:t xml:space="preserve"> </w:t>
      </w:r>
      <w:r>
        <w:rPr>
          <w:rFonts w:ascii="宋体" w:hAnsi="宋体" w:eastAsia="宋体" w:cs="宋体"/>
          <w:spacing w:val="9"/>
          <w:sz w:val="19"/>
          <w:szCs w:val="19"/>
        </w:rPr>
        <w:t>推进高等教</w:t>
      </w:r>
      <w:r>
        <w:rPr>
          <w:rFonts w:ascii="宋体" w:hAnsi="宋体" w:eastAsia="宋体" w:cs="宋体"/>
          <w:spacing w:val="-35"/>
          <w:sz w:val="19"/>
          <w:szCs w:val="19"/>
        </w:rPr>
        <w:t xml:space="preserve"> </w:t>
      </w:r>
      <w:r>
        <w:rPr>
          <w:rFonts w:ascii="宋体" w:hAnsi="宋体" w:eastAsia="宋体" w:cs="宋体"/>
          <w:spacing w:val="9"/>
          <w:sz w:val="19"/>
          <w:szCs w:val="19"/>
        </w:rPr>
        <w:t>育质量</w:t>
      </w:r>
      <w:r>
        <w:rPr>
          <w:rFonts w:ascii="宋体" w:hAnsi="宋体" w:eastAsia="宋体" w:cs="宋体"/>
          <w:spacing w:val="-56"/>
          <w:sz w:val="19"/>
          <w:szCs w:val="19"/>
        </w:rPr>
        <w:t xml:space="preserve"> </w:t>
      </w:r>
      <w:r>
        <w:rPr>
          <w:rFonts w:ascii="宋体" w:hAnsi="宋体" w:eastAsia="宋体" w:cs="宋体"/>
          <w:spacing w:val="9"/>
          <w:sz w:val="19"/>
          <w:szCs w:val="19"/>
        </w:rPr>
        <w:t>文化</w:t>
      </w:r>
      <w:r>
        <w:rPr>
          <w:rFonts w:ascii="宋体" w:hAnsi="宋体" w:eastAsia="宋体" w:cs="宋体"/>
          <w:spacing w:val="-56"/>
          <w:sz w:val="19"/>
          <w:szCs w:val="19"/>
        </w:rPr>
        <w:t xml:space="preserve"> </w:t>
      </w:r>
      <w:r>
        <w:rPr>
          <w:rFonts w:ascii="宋体" w:hAnsi="宋体" w:eastAsia="宋体" w:cs="宋体"/>
          <w:spacing w:val="9"/>
          <w:sz w:val="19"/>
          <w:szCs w:val="19"/>
        </w:rPr>
        <w:t>建</w:t>
      </w:r>
      <w:r>
        <w:rPr>
          <w:rFonts w:ascii="宋体" w:hAnsi="宋体" w:eastAsia="宋体" w:cs="宋体"/>
          <w:spacing w:val="-56"/>
          <w:sz w:val="19"/>
          <w:szCs w:val="19"/>
        </w:rPr>
        <w:t xml:space="preserve"> </w:t>
      </w:r>
      <w:r>
        <w:rPr>
          <w:rFonts w:ascii="宋体" w:hAnsi="宋体" w:eastAsia="宋体" w:cs="宋体"/>
          <w:spacing w:val="9"/>
          <w:sz w:val="19"/>
          <w:szCs w:val="19"/>
        </w:rPr>
        <w:t>设</w:t>
      </w:r>
      <w:r>
        <w:rPr>
          <w:rFonts w:ascii="宋体" w:hAnsi="宋体" w:eastAsia="宋体" w:cs="宋体"/>
          <w:spacing w:val="-42"/>
          <w:sz w:val="19"/>
          <w:szCs w:val="19"/>
        </w:rPr>
        <w:t xml:space="preserve"> </w:t>
      </w:r>
      <w:r>
        <w:rPr>
          <w:rFonts w:ascii="宋体" w:hAnsi="宋体" w:eastAsia="宋体" w:cs="宋体"/>
          <w:spacing w:val="9"/>
          <w:sz w:val="19"/>
          <w:szCs w:val="19"/>
        </w:rPr>
        <w:t>的重要保</w:t>
      </w:r>
      <w:r>
        <w:rPr>
          <w:rFonts w:ascii="宋体" w:hAnsi="宋体" w:eastAsia="宋体" w:cs="宋体"/>
          <w:spacing w:val="-49"/>
          <w:sz w:val="19"/>
          <w:szCs w:val="19"/>
        </w:rPr>
        <w:t xml:space="preserve"> </w:t>
      </w:r>
      <w:r>
        <w:rPr>
          <w:rFonts w:ascii="宋体" w:hAnsi="宋体" w:eastAsia="宋体" w:cs="宋体"/>
          <w:spacing w:val="9"/>
          <w:sz w:val="19"/>
          <w:szCs w:val="19"/>
        </w:rPr>
        <w:t>障</w:t>
      </w:r>
      <w:r>
        <w:rPr>
          <w:rFonts w:ascii="宋体" w:hAnsi="宋体" w:eastAsia="宋体" w:cs="宋体"/>
          <w:spacing w:val="-51"/>
          <w:sz w:val="19"/>
          <w:szCs w:val="19"/>
        </w:rPr>
        <w:t xml:space="preserve"> </w:t>
      </w:r>
      <w:r>
        <w:rPr>
          <w:rFonts w:ascii="微软雅黑" w:hAnsi="微软雅黑" w:eastAsia="微软雅黑" w:cs="微软雅黑"/>
          <w:spacing w:val="9"/>
          <w:sz w:val="19"/>
          <w:szCs w:val="19"/>
        </w:rPr>
        <w:t>。</w:t>
      </w:r>
      <w:r>
        <w:rPr>
          <w:rFonts w:ascii="微软雅黑" w:hAnsi="微软雅黑" w:eastAsia="微软雅黑" w:cs="微软雅黑"/>
          <w:spacing w:val="-7"/>
          <w:sz w:val="19"/>
          <w:szCs w:val="19"/>
        </w:rPr>
        <w:t xml:space="preserve"> </w:t>
      </w:r>
      <w:r>
        <w:rPr>
          <w:rFonts w:ascii="宋体" w:hAnsi="宋体" w:eastAsia="宋体" w:cs="宋体"/>
          <w:spacing w:val="9"/>
          <w:sz w:val="19"/>
          <w:szCs w:val="19"/>
        </w:rPr>
        <w:t>以此</w:t>
      </w:r>
      <w:r>
        <w:rPr>
          <w:rFonts w:ascii="宋体" w:hAnsi="宋体" w:eastAsia="宋体" w:cs="宋体"/>
          <w:spacing w:val="-56"/>
          <w:sz w:val="19"/>
          <w:szCs w:val="19"/>
        </w:rPr>
        <w:t xml:space="preserve"> </w:t>
      </w:r>
      <w:r>
        <w:rPr>
          <w:rFonts w:ascii="宋体" w:hAnsi="宋体" w:eastAsia="宋体" w:cs="宋体"/>
          <w:spacing w:val="9"/>
          <w:sz w:val="19"/>
          <w:szCs w:val="19"/>
        </w:rPr>
        <w:t>为</w:t>
      </w:r>
      <w:r>
        <w:rPr>
          <w:rFonts w:ascii="宋体" w:hAnsi="宋体" w:eastAsia="宋体" w:cs="宋体"/>
          <w:sz w:val="19"/>
          <w:szCs w:val="19"/>
        </w:rPr>
        <w:t xml:space="preserve"> </w:t>
      </w:r>
      <w:r>
        <w:rPr>
          <w:rFonts w:ascii="宋体" w:hAnsi="宋体" w:eastAsia="宋体" w:cs="宋体"/>
          <w:spacing w:val="18"/>
          <w:sz w:val="19"/>
          <w:szCs w:val="19"/>
        </w:rPr>
        <w:t>鉴</w:t>
      </w:r>
      <w:r>
        <w:rPr>
          <w:rFonts w:ascii="微软雅黑" w:hAnsi="微软雅黑" w:eastAsia="微软雅黑" w:cs="微软雅黑"/>
          <w:spacing w:val="18"/>
          <w:sz w:val="19"/>
          <w:szCs w:val="19"/>
        </w:rPr>
        <w:t>，</w:t>
      </w:r>
      <w:r>
        <w:rPr>
          <w:rFonts w:ascii="宋体" w:hAnsi="宋体" w:eastAsia="宋体" w:cs="宋体"/>
          <w:spacing w:val="18"/>
          <w:sz w:val="19"/>
          <w:szCs w:val="19"/>
        </w:rPr>
        <w:t>我们应该在高等教育质量文化建设的目标和过</w:t>
      </w:r>
      <w:r>
        <w:rPr>
          <w:rFonts w:ascii="宋体" w:hAnsi="宋体" w:eastAsia="宋体" w:cs="宋体"/>
          <w:spacing w:val="8"/>
          <w:sz w:val="19"/>
          <w:szCs w:val="19"/>
        </w:rPr>
        <w:t xml:space="preserve"> </w:t>
      </w:r>
      <w:r>
        <w:rPr>
          <w:rFonts w:ascii="宋体" w:hAnsi="宋体" w:eastAsia="宋体" w:cs="宋体"/>
          <w:spacing w:val="15"/>
          <w:sz w:val="19"/>
          <w:szCs w:val="19"/>
        </w:rPr>
        <w:t>程中树立以学生为中心的理念</w:t>
      </w:r>
      <w:r>
        <w:rPr>
          <w:rFonts w:ascii="宋体" w:hAnsi="宋体" w:eastAsia="宋体" w:cs="宋体"/>
          <w:spacing w:val="-39"/>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6"/>
          <w:sz w:val="19"/>
          <w:szCs w:val="19"/>
        </w:rPr>
        <w:t xml:space="preserve"> </w:t>
      </w:r>
      <w:r>
        <w:rPr>
          <w:rFonts w:ascii="宋体" w:hAnsi="宋体" w:eastAsia="宋体" w:cs="宋体"/>
          <w:spacing w:val="15"/>
          <w:sz w:val="19"/>
          <w:szCs w:val="19"/>
        </w:rPr>
        <w:t>一方面要将高等教</w:t>
      </w:r>
      <w:r>
        <w:rPr>
          <w:rFonts w:ascii="宋体" w:hAnsi="宋体" w:eastAsia="宋体" w:cs="宋体"/>
          <w:sz w:val="19"/>
          <w:szCs w:val="19"/>
        </w:rPr>
        <w:t xml:space="preserve"> </w:t>
      </w:r>
      <w:r>
        <w:rPr>
          <w:rFonts w:ascii="宋体" w:hAnsi="宋体" w:eastAsia="宋体" w:cs="宋体"/>
          <w:spacing w:val="18"/>
          <w:sz w:val="19"/>
          <w:szCs w:val="19"/>
        </w:rPr>
        <w:t>育质量文化建设的核心目标定位为培养高水平的学</w:t>
      </w:r>
      <w:r>
        <w:rPr>
          <w:rFonts w:ascii="宋体" w:hAnsi="宋体" w:eastAsia="宋体" w:cs="宋体"/>
          <w:spacing w:val="9"/>
          <w:sz w:val="19"/>
          <w:szCs w:val="19"/>
        </w:rPr>
        <w:t xml:space="preserve"> </w:t>
      </w:r>
      <w:r>
        <w:rPr>
          <w:rFonts w:ascii="宋体" w:hAnsi="宋体" w:eastAsia="宋体" w:cs="宋体"/>
          <w:spacing w:val="18"/>
          <w:sz w:val="19"/>
          <w:szCs w:val="19"/>
        </w:rPr>
        <w:t>生</w:t>
      </w:r>
      <w:r>
        <w:rPr>
          <w:rFonts w:ascii="微软雅黑" w:hAnsi="微软雅黑" w:eastAsia="微软雅黑" w:cs="微软雅黑"/>
          <w:spacing w:val="18"/>
          <w:sz w:val="19"/>
          <w:szCs w:val="19"/>
        </w:rPr>
        <w:t>，</w:t>
      </w:r>
      <w:r>
        <w:rPr>
          <w:rFonts w:ascii="宋体" w:hAnsi="宋体" w:eastAsia="宋体" w:cs="宋体"/>
          <w:spacing w:val="18"/>
          <w:sz w:val="19"/>
          <w:szCs w:val="19"/>
        </w:rPr>
        <w:t>而不是仅仅定位于管理机制的完善等偏向于技</w:t>
      </w:r>
      <w:r>
        <w:rPr>
          <w:rFonts w:ascii="宋体" w:hAnsi="宋体" w:eastAsia="宋体" w:cs="宋体"/>
          <w:spacing w:val="8"/>
          <w:sz w:val="19"/>
          <w:szCs w:val="19"/>
        </w:rPr>
        <w:t xml:space="preserve"> </w:t>
      </w:r>
      <w:r>
        <w:rPr>
          <w:rFonts w:ascii="宋体" w:hAnsi="宋体" w:eastAsia="宋体" w:cs="宋体"/>
          <w:spacing w:val="9"/>
          <w:sz w:val="19"/>
          <w:szCs w:val="19"/>
        </w:rPr>
        <w:t>术层面的规范性指标</w:t>
      </w:r>
      <w:r>
        <w:rPr>
          <w:rFonts w:ascii="微软雅黑" w:hAnsi="微软雅黑" w:eastAsia="微软雅黑" w:cs="微软雅黑"/>
          <w:spacing w:val="9"/>
          <w:sz w:val="19"/>
          <w:szCs w:val="19"/>
        </w:rPr>
        <w:t>；</w:t>
      </w:r>
      <w:r>
        <w:rPr>
          <w:rFonts w:ascii="宋体" w:hAnsi="宋体" w:eastAsia="宋体" w:cs="宋体"/>
          <w:spacing w:val="9"/>
          <w:sz w:val="19"/>
          <w:szCs w:val="19"/>
        </w:rPr>
        <w:t>另一方面</w:t>
      </w:r>
      <w:r>
        <w:rPr>
          <w:rFonts w:ascii="微软雅黑" w:hAnsi="微软雅黑" w:eastAsia="微软雅黑" w:cs="微软雅黑"/>
          <w:spacing w:val="9"/>
          <w:sz w:val="19"/>
          <w:szCs w:val="19"/>
        </w:rPr>
        <w:t>，</w:t>
      </w:r>
      <w:r>
        <w:rPr>
          <w:rFonts w:ascii="宋体" w:hAnsi="宋体" w:eastAsia="宋体" w:cs="宋体"/>
          <w:spacing w:val="9"/>
          <w:sz w:val="19"/>
          <w:szCs w:val="19"/>
        </w:rPr>
        <w:t>我们在推进高等教</w:t>
      </w:r>
      <w:r>
        <w:rPr>
          <w:rFonts w:ascii="宋体" w:hAnsi="宋体" w:eastAsia="宋体" w:cs="宋体"/>
          <w:spacing w:val="10"/>
          <w:sz w:val="19"/>
          <w:szCs w:val="19"/>
        </w:rPr>
        <w:t xml:space="preserve"> </w:t>
      </w:r>
      <w:r>
        <w:rPr>
          <w:rFonts w:ascii="宋体" w:hAnsi="宋体" w:eastAsia="宋体" w:cs="宋体"/>
          <w:spacing w:val="9"/>
          <w:sz w:val="19"/>
          <w:szCs w:val="19"/>
        </w:rPr>
        <w:t>育质量文化建设的进程中</w:t>
      </w:r>
      <w:r>
        <w:rPr>
          <w:rFonts w:ascii="微软雅黑" w:hAnsi="微软雅黑" w:eastAsia="微软雅黑" w:cs="微软雅黑"/>
          <w:spacing w:val="9"/>
          <w:sz w:val="19"/>
          <w:szCs w:val="19"/>
        </w:rPr>
        <w:t>，</w:t>
      </w:r>
      <w:r>
        <w:rPr>
          <w:rFonts w:ascii="宋体" w:hAnsi="宋体" w:eastAsia="宋体" w:cs="宋体"/>
          <w:spacing w:val="9"/>
          <w:sz w:val="19"/>
          <w:szCs w:val="19"/>
        </w:rPr>
        <w:t>要加强教育立法</w:t>
      </w:r>
      <w:r>
        <w:rPr>
          <w:rFonts w:ascii="微软雅黑" w:hAnsi="微软雅黑" w:eastAsia="微软雅黑" w:cs="微软雅黑"/>
          <w:spacing w:val="9"/>
          <w:sz w:val="19"/>
          <w:szCs w:val="19"/>
        </w:rPr>
        <w:t>，</w:t>
      </w:r>
      <w:r>
        <w:rPr>
          <w:rFonts w:ascii="宋体" w:hAnsi="宋体" w:eastAsia="宋体" w:cs="宋体"/>
          <w:spacing w:val="9"/>
          <w:sz w:val="19"/>
          <w:szCs w:val="19"/>
        </w:rPr>
        <w:t>赋予学</w:t>
      </w:r>
      <w:r>
        <w:rPr>
          <w:rFonts w:ascii="宋体" w:hAnsi="宋体" w:eastAsia="宋体" w:cs="宋体"/>
          <w:spacing w:val="10"/>
          <w:sz w:val="19"/>
          <w:szCs w:val="19"/>
        </w:rPr>
        <w:t xml:space="preserve"> </w:t>
      </w:r>
      <w:r>
        <w:rPr>
          <w:rFonts w:ascii="宋体" w:hAnsi="宋体" w:eastAsia="宋体" w:cs="宋体"/>
          <w:spacing w:val="18"/>
          <w:sz w:val="19"/>
          <w:szCs w:val="19"/>
        </w:rPr>
        <w:t>生管理的自主权和参与权</w:t>
      </w:r>
      <w:r>
        <w:rPr>
          <w:rFonts w:ascii="微软雅黑" w:hAnsi="微软雅黑" w:eastAsia="微软雅黑" w:cs="微软雅黑"/>
          <w:spacing w:val="18"/>
          <w:sz w:val="19"/>
          <w:szCs w:val="19"/>
        </w:rPr>
        <w:t>，</w:t>
      </w:r>
      <w:r>
        <w:rPr>
          <w:rFonts w:ascii="宋体" w:hAnsi="宋体" w:eastAsia="宋体" w:cs="宋体"/>
          <w:spacing w:val="18"/>
          <w:sz w:val="19"/>
          <w:szCs w:val="19"/>
        </w:rPr>
        <w:t>使得学生参与高校质量</w:t>
      </w:r>
      <w:r>
        <w:rPr>
          <w:rFonts w:ascii="宋体" w:hAnsi="宋体" w:eastAsia="宋体" w:cs="宋体"/>
          <w:spacing w:val="10"/>
          <w:sz w:val="19"/>
          <w:szCs w:val="19"/>
        </w:rPr>
        <w:t xml:space="preserve"> </w:t>
      </w:r>
      <w:r>
        <w:rPr>
          <w:rFonts w:ascii="宋体" w:hAnsi="宋体" w:eastAsia="宋体" w:cs="宋体"/>
          <w:spacing w:val="7"/>
          <w:sz w:val="19"/>
          <w:szCs w:val="19"/>
        </w:rPr>
        <w:t>评估有制度及法律上</w:t>
      </w:r>
      <w:r>
        <w:rPr>
          <w:rFonts w:ascii="宋体" w:hAnsi="宋体" w:eastAsia="宋体" w:cs="宋体"/>
          <w:spacing w:val="-49"/>
          <w:sz w:val="19"/>
          <w:szCs w:val="19"/>
        </w:rPr>
        <w:t xml:space="preserve"> </w:t>
      </w:r>
      <w:r>
        <w:rPr>
          <w:rFonts w:ascii="宋体" w:hAnsi="宋体" w:eastAsia="宋体" w:cs="宋体"/>
          <w:spacing w:val="7"/>
          <w:sz w:val="19"/>
          <w:szCs w:val="19"/>
        </w:rPr>
        <w:t>的保</w:t>
      </w:r>
      <w:r>
        <w:rPr>
          <w:rFonts w:ascii="宋体" w:hAnsi="宋体" w:eastAsia="宋体" w:cs="宋体"/>
          <w:spacing w:val="-55"/>
          <w:sz w:val="19"/>
          <w:szCs w:val="19"/>
        </w:rPr>
        <w:t xml:space="preserve"> </w:t>
      </w:r>
      <w:r>
        <w:rPr>
          <w:rFonts w:ascii="宋体" w:hAnsi="宋体" w:eastAsia="宋体" w:cs="宋体"/>
          <w:spacing w:val="7"/>
          <w:sz w:val="19"/>
          <w:szCs w:val="19"/>
        </w:rPr>
        <w:t>障</w:t>
      </w:r>
      <w:r>
        <w:rPr>
          <w:rFonts w:ascii="宋体" w:hAnsi="宋体" w:eastAsia="宋体" w:cs="宋体"/>
          <w:spacing w:val="-51"/>
          <w:sz w:val="19"/>
          <w:szCs w:val="19"/>
        </w:rPr>
        <w:t xml:space="preserve"> </w:t>
      </w:r>
      <w:r>
        <w:rPr>
          <w:rFonts w:ascii="微软雅黑" w:hAnsi="微软雅黑" w:eastAsia="微软雅黑" w:cs="微软雅黑"/>
          <w:spacing w:val="7"/>
          <w:sz w:val="19"/>
          <w:szCs w:val="19"/>
        </w:rPr>
        <w:t>。</w:t>
      </w:r>
      <w:r>
        <w:rPr>
          <w:rFonts w:ascii="微软雅黑" w:hAnsi="微软雅黑" w:eastAsia="微软雅黑" w:cs="微软雅黑"/>
          <w:spacing w:val="-14"/>
          <w:sz w:val="19"/>
          <w:szCs w:val="19"/>
        </w:rPr>
        <w:t xml:space="preserve"> </w:t>
      </w:r>
      <w:r>
        <w:rPr>
          <w:rFonts w:ascii="宋体" w:hAnsi="宋体" w:eastAsia="宋体" w:cs="宋体"/>
          <w:spacing w:val="7"/>
          <w:sz w:val="19"/>
          <w:szCs w:val="19"/>
        </w:rPr>
        <w:t>同</w:t>
      </w:r>
      <w:r>
        <w:rPr>
          <w:rFonts w:ascii="宋体" w:hAnsi="宋体" w:eastAsia="宋体" w:cs="宋体"/>
          <w:spacing w:val="-55"/>
          <w:sz w:val="19"/>
          <w:szCs w:val="19"/>
        </w:rPr>
        <w:t xml:space="preserve"> </w:t>
      </w:r>
      <w:r>
        <w:rPr>
          <w:rFonts w:ascii="宋体" w:hAnsi="宋体" w:eastAsia="宋体" w:cs="宋体"/>
          <w:spacing w:val="7"/>
          <w:sz w:val="19"/>
          <w:szCs w:val="19"/>
        </w:rPr>
        <w:t>时</w:t>
      </w:r>
      <w:r>
        <w:rPr>
          <w:rFonts w:ascii="微软雅黑" w:hAnsi="微软雅黑" w:eastAsia="微软雅黑" w:cs="微软雅黑"/>
          <w:spacing w:val="7"/>
          <w:sz w:val="19"/>
          <w:szCs w:val="19"/>
        </w:rPr>
        <w:t>，</w:t>
      </w:r>
      <w:r>
        <w:rPr>
          <w:rFonts w:ascii="宋体" w:hAnsi="宋体" w:eastAsia="宋体" w:cs="宋体"/>
          <w:spacing w:val="7"/>
          <w:sz w:val="19"/>
          <w:szCs w:val="19"/>
        </w:rPr>
        <w:t>鼓励并保</w:t>
      </w:r>
      <w:r>
        <w:rPr>
          <w:rFonts w:ascii="宋体" w:hAnsi="宋体" w:eastAsia="宋体" w:cs="宋体"/>
          <w:spacing w:val="-55"/>
          <w:sz w:val="19"/>
          <w:szCs w:val="19"/>
        </w:rPr>
        <w:t xml:space="preserve"> </w:t>
      </w:r>
      <w:r>
        <w:rPr>
          <w:rFonts w:ascii="宋体" w:hAnsi="宋体" w:eastAsia="宋体" w:cs="宋体"/>
          <w:spacing w:val="7"/>
          <w:sz w:val="19"/>
          <w:szCs w:val="19"/>
        </w:rPr>
        <w:t>障学</w:t>
      </w:r>
      <w:r>
        <w:rPr>
          <w:rFonts w:ascii="宋体" w:hAnsi="宋体" w:eastAsia="宋体" w:cs="宋体"/>
          <w:sz w:val="19"/>
          <w:szCs w:val="19"/>
        </w:rPr>
        <w:t xml:space="preserve"> </w:t>
      </w:r>
      <w:r>
        <w:rPr>
          <w:rFonts w:ascii="宋体" w:hAnsi="宋体" w:eastAsia="宋体" w:cs="宋体"/>
          <w:spacing w:val="9"/>
          <w:sz w:val="19"/>
          <w:szCs w:val="19"/>
        </w:rPr>
        <w:t>生参与院校评估</w:t>
      </w:r>
      <w:r>
        <w:rPr>
          <w:rFonts w:ascii="微软雅黑" w:hAnsi="微软雅黑" w:eastAsia="微软雅黑" w:cs="微软雅黑"/>
          <w:spacing w:val="9"/>
          <w:sz w:val="19"/>
          <w:szCs w:val="19"/>
        </w:rPr>
        <w:t>、</w:t>
      </w:r>
      <w:r>
        <w:rPr>
          <w:rFonts w:ascii="宋体" w:hAnsi="宋体" w:eastAsia="宋体" w:cs="宋体"/>
          <w:spacing w:val="9"/>
          <w:sz w:val="19"/>
          <w:szCs w:val="19"/>
        </w:rPr>
        <w:t>现场考察</w:t>
      </w:r>
      <w:r>
        <w:rPr>
          <w:rFonts w:ascii="微软雅黑" w:hAnsi="微软雅黑" w:eastAsia="微软雅黑" w:cs="微软雅黑"/>
          <w:spacing w:val="9"/>
          <w:sz w:val="19"/>
          <w:szCs w:val="19"/>
        </w:rPr>
        <w:t>、</w:t>
      </w:r>
      <w:r>
        <w:rPr>
          <w:rFonts w:ascii="宋体" w:hAnsi="宋体" w:eastAsia="宋体" w:cs="宋体"/>
          <w:spacing w:val="9"/>
          <w:sz w:val="19"/>
          <w:szCs w:val="19"/>
        </w:rPr>
        <w:t>制定评估计划等</w:t>
      </w:r>
      <w:r>
        <w:rPr>
          <w:rFonts w:ascii="微软雅黑" w:hAnsi="微软雅黑" w:eastAsia="微软雅黑" w:cs="微软雅黑"/>
          <w:spacing w:val="9"/>
          <w:sz w:val="19"/>
          <w:szCs w:val="19"/>
        </w:rPr>
        <w:t>，</w:t>
      </w:r>
      <w:r>
        <w:rPr>
          <w:rFonts w:ascii="宋体" w:hAnsi="宋体" w:eastAsia="宋体" w:cs="宋体"/>
          <w:spacing w:val="9"/>
          <w:sz w:val="19"/>
          <w:szCs w:val="19"/>
        </w:rPr>
        <w:t>切实</w:t>
      </w:r>
      <w:r>
        <w:rPr>
          <w:rFonts w:ascii="宋体" w:hAnsi="宋体" w:eastAsia="宋体" w:cs="宋体"/>
          <w:spacing w:val="10"/>
          <w:sz w:val="19"/>
          <w:szCs w:val="19"/>
        </w:rPr>
        <w:t xml:space="preserve"> </w:t>
      </w:r>
      <w:r>
        <w:rPr>
          <w:rFonts w:ascii="宋体" w:hAnsi="宋体" w:eastAsia="宋体" w:cs="宋体"/>
          <w:spacing w:val="18"/>
          <w:sz w:val="19"/>
          <w:szCs w:val="19"/>
        </w:rPr>
        <w:t>提高学生在高校管理系统中的参与度</w:t>
      </w:r>
      <w:r>
        <w:rPr>
          <w:rFonts w:ascii="微软雅黑" w:hAnsi="微软雅黑" w:eastAsia="微软雅黑" w:cs="微软雅黑"/>
          <w:spacing w:val="18"/>
          <w:sz w:val="19"/>
          <w:szCs w:val="19"/>
        </w:rPr>
        <w:t>。</w:t>
      </w:r>
    </w:p>
    <w:p>
      <w:pPr>
        <w:spacing w:before="66" w:line="212" w:lineRule="auto"/>
        <w:ind w:left="420"/>
        <w:rPr>
          <w:rFonts w:ascii="黑体" w:hAnsi="黑体" w:eastAsia="黑体" w:cs="黑体"/>
          <w:sz w:val="19"/>
          <w:szCs w:val="19"/>
        </w:rPr>
      </w:pPr>
      <w:r>
        <w:rPr>
          <w:rFonts w:ascii="Arial" w:hAnsi="Arial" w:eastAsia="Arial" w:cs="Arial"/>
          <w:spacing w:val="15"/>
          <w:sz w:val="19"/>
          <w:szCs w:val="19"/>
        </w:rPr>
        <w:t>3.</w:t>
      </w:r>
      <w:r>
        <w:rPr>
          <w:rFonts w:ascii="黑体" w:hAnsi="黑体" w:eastAsia="黑体" w:cs="黑体"/>
          <w:spacing w:val="15"/>
          <w:sz w:val="19"/>
          <w:szCs w:val="19"/>
        </w:rPr>
        <w:t>均衡高等教育职能定位</w:t>
      </w:r>
    </w:p>
    <w:p>
      <w:pPr>
        <w:spacing w:before="97" w:line="226" w:lineRule="auto"/>
        <w:ind w:left="1" w:right="77" w:firstLine="424"/>
        <w:rPr>
          <w:rFonts w:ascii="微软雅黑" w:hAnsi="微软雅黑" w:eastAsia="微软雅黑" w:cs="微软雅黑"/>
          <w:sz w:val="19"/>
          <w:szCs w:val="19"/>
        </w:rPr>
      </w:pPr>
      <w:r>
        <w:rPr>
          <w:rFonts w:ascii="宋体" w:hAnsi="宋体" w:eastAsia="宋体" w:cs="宋体"/>
          <w:spacing w:val="8"/>
          <w:sz w:val="19"/>
          <w:szCs w:val="19"/>
        </w:rPr>
        <w:t>高等教育具有教学</w:t>
      </w:r>
      <w:r>
        <w:rPr>
          <w:rFonts w:ascii="微软雅黑" w:hAnsi="微软雅黑" w:eastAsia="微软雅黑" w:cs="微软雅黑"/>
          <w:spacing w:val="8"/>
          <w:sz w:val="19"/>
          <w:szCs w:val="19"/>
        </w:rPr>
        <w:t>、</w:t>
      </w:r>
      <w:r>
        <w:rPr>
          <w:rFonts w:ascii="宋体" w:hAnsi="宋体" w:eastAsia="宋体" w:cs="宋体"/>
          <w:spacing w:val="8"/>
          <w:sz w:val="19"/>
          <w:szCs w:val="19"/>
        </w:rPr>
        <w:t>科研</w:t>
      </w:r>
      <w:r>
        <w:rPr>
          <w:rFonts w:ascii="微软雅黑" w:hAnsi="微软雅黑" w:eastAsia="微软雅黑" w:cs="微软雅黑"/>
          <w:spacing w:val="8"/>
          <w:sz w:val="19"/>
          <w:szCs w:val="19"/>
        </w:rPr>
        <w:t>、</w:t>
      </w:r>
      <w:r>
        <w:rPr>
          <w:rFonts w:ascii="宋体" w:hAnsi="宋体" w:eastAsia="宋体" w:cs="宋体"/>
          <w:spacing w:val="8"/>
          <w:sz w:val="19"/>
          <w:szCs w:val="19"/>
        </w:rPr>
        <w:t>为社会服务的三大职</w:t>
      </w:r>
      <w:r>
        <w:rPr>
          <w:rFonts w:ascii="宋体" w:hAnsi="宋体" w:eastAsia="宋体" w:cs="宋体"/>
          <w:spacing w:val="3"/>
          <w:sz w:val="19"/>
          <w:szCs w:val="19"/>
        </w:rPr>
        <w:t xml:space="preserve"> </w:t>
      </w:r>
      <w:r>
        <w:rPr>
          <w:rFonts w:ascii="宋体" w:hAnsi="宋体" w:eastAsia="宋体" w:cs="宋体"/>
          <w:spacing w:val="18"/>
          <w:sz w:val="19"/>
          <w:szCs w:val="19"/>
        </w:rPr>
        <w:t>能</w:t>
      </w:r>
      <w:r>
        <w:rPr>
          <w:rFonts w:ascii="微软雅黑" w:hAnsi="微软雅黑" w:eastAsia="微软雅黑" w:cs="微软雅黑"/>
          <w:spacing w:val="18"/>
          <w:sz w:val="19"/>
          <w:szCs w:val="19"/>
        </w:rPr>
        <w:t>，</w:t>
      </w:r>
      <w:r>
        <w:rPr>
          <w:rFonts w:ascii="宋体" w:hAnsi="宋体" w:eastAsia="宋体" w:cs="宋体"/>
          <w:spacing w:val="18"/>
          <w:sz w:val="19"/>
          <w:szCs w:val="19"/>
        </w:rPr>
        <w:t>三大职能作用能否有效发挥是衡量高等教育质</w:t>
      </w:r>
      <w:r>
        <w:rPr>
          <w:rFonts w:ascii="宋体" w:hAnsi="宋体" w:eastAsia="宋体" w:cs="宋体"/>
          <w:spacing w:val="8"/>
          <w:sz w:val="19"/>
          <w:szCs w:val="19"/>
        </w:rPr>
        <w:t xml:space="preserve"> </w:t>
      </w:r>
      <w:r>
        <w:rPr>
          <w:rFonts w:ascii="宋体" w:hAnsi="宋体" w:eastAsia="宋体" w:cs="宋体"/>
          <w:spacing w:val="15"/>
          <w:sz w:val="19"/>
          <w:szCs w:val="19"/>
        </w:rPr>
        <w:t>量的重要标准</w:t>
      </w:r>
      <w:r>
        <w:rPr>
          <w:rFonts w:ascii="宋体" w:hAnsi="宋体" w:eastAsia="宋体" w:cs="宋体"/>
          <w:spacing w:val="-42"/>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4"/>
          <w:sz w:val="19"/>
          <w:szCs w:val="19"/>
        </w:rPr>
        <w:t xml:space="preserve"> </w:t>
      </w:r>
      <w:r>
        <w:rPr>
          <w:rFonts w:ascii="宋体" w:hAnsi="宋体" w:eastAsia="宋体" w:cs="宋体"/>
          <w:spacing w:val="15"/>
          <w:sz w:val="19"/>
          <w:szCs w:val="19"/>
        </w:rPr>
        <w:t>受社会经济发展及有关教育部门评</w:t>
      </w:r>
      <w:r>
        <w:rPr>
          <w:rFonts w:ascii="宋体" w:hAnsi="宋体" w:eastAsia="宋体" w:cs="宋体"/>
          <w:sz w:val="19"/>
          <w:szCs w:val="19"/>
        </w:rPr>
        <w:t xml:space="preserve"> </w:t>
      </w:r>
      <w:r>
        <w:rPr>
          <w:rFonts w:ascii="宋体" w:hAnsi="宋体" w:eastAsia="宋体" w:cs="宋体"/>
          <w:spacing w:val="14"/>
          <w:sz w:val="19"/>
          <w:szCs w:val="19"/>
        </w:rPr>
        <w:t>估导向的影响</w:t>
      </w:r>
      <w:r>
        <w:rPr>
          <w:rFonts w:ascii="微软雅黑" w:hAnsi="微软雅黑" w:eastAsia="微软雅黑" w:cs="微软雅黑"/>
          <w:spacing w:val="14"/>
          <w:sz w:val="19"/>
          <w:szCs w:val="19"/>
        </w:rPr>
        <w:t>，</w:t>
      </w:r>
      <w:r>
        <w:rPr>
          <w:rFonts w:ascii="宋体" w:hAnsi="宋体" w:eastAsia="宋体" w:cs="宋体"/>
          <w:spacing w:val="14"/>
          <w:sz w:val="19"/>
          <w:szCs w:val="19"/>
        </w:rPr>
        <w:t>我</w:t>
      </w:r>
      <w:r>
        <w:rPr>
          <w:rFonts w:ascii="宋体" w:hAnsi="宋体" w:eastAsia="宋体" w:cs="宋体"/>
          <w:spacing w:val="-47"/>
          <w:sz w:val="19"/>
          <w:szCs w:val="19"/>
        </w:rPr>
        <w:t xml:space="preserve"> </w:t>
      </w:r>
      <w:r>
        <w:rPr>
          <w:rFonts w:ascii="宋体" w:hAnsi="宋体" w:eastAsia="宋体" w:cs="宋体"/>
          <w:spacing w:val="14"/>
          <w:sz w:val="19"/>
          <w:szCs w:val="19"/>
        </w:rPr>
        <w:t>国高校</w:t>
      </w:r>
      <w:r>
        <w:rPr>
          <w:rFonts w:ascii="宋体" w:hAnsi="宋体" w:eastAsia="宋体" w:cs="宋体"/>
          <w:spacing w:val="-47"/>
          <w:sz w:val="19"/>
          <w:szCs w:val="19"/>
        </w:rPr>
        <w:t xml:space="preserve"> </w:t>
      </w:r>
      <w:r>
        <w:rPr>
          <w:rFonts w:ascii="宋体" w:hAnsi="宋体" w:eastAsia="宋体" w:cs="宋体"/>
          <w:spacing w:val="14"/>
          <w:sz w:val="19"/>
          <w:szCs w:val="19"/>
        </w:rPr>
        <w:t>出现了重科研与社会服务</w:t>
      </w:r>
      <w:r>
        <w:rPr>
          <w:rFonts w:ascii="宋体" w:hAnsi="宋体" w:eastAsia="宋体" w:cs="宋体"/>
          <w:sz w:val="19"/>
          <w:szCs w:val="19"/>
        </w:rPr>
        <w:t xml:space="preserve"> </w:t>
      </w:r>
      <w:r>
        <w:rPr>
          <w:rFonts w:ascii="宋体" w:hAnsi="宋体" w:eastAsia="宋体" w:cs="宋体"/>
          <w:spacing w:val="15"/>
          <w:sz w:val="19"/>
          <w:szCs w:val="19"/>
        </w:rPr>
        <w:t>职能</w:t>
      </w:r>
      <w:r>
        <w:rPr>
          <w:rFonts w:ascii="微软雅黑" w:hAnsi="微软雅黑" w:eastAsia="微软雅黑" w:cs="微软雅黑"/>
          <w:spacing w:val="15"/>
          <w:sz w:val="19"/>
          <w:szCs w:val="19"/>
        </w:rPr>
        <w:t>，</w:t>
      </w:r>
      <w:r>
        <w:rPr>
          <w:rFonts w:ascii="宋体" w:hAnsi="宋体" w:eastAsia="宋体" w:cs="宋体"/>
          <w:spacing w:val="15"/>
          <w:sz w:val="19"/>
          <w:szCs w:val="19"/>
        </w:rPr>
        <w:t>轻教育教学职能的现象</w:t>
      </w:r>
      <w:r>
        <w:rPr>
          <w:rFonts w:ascii="宋体" w:hAnsi="宋体" w:eastAsia="宋体" w:cs="宋体"/>
          <w:spacing w:val="-42"/>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4"/>
          <w:sz w:val="19"/>
          <w:szCs w:val="19"/>
        </w:rPr>
        <w:t xml:space="preserve"> </w:t>
      </w:r>
      <w:r>
        <w:rPr>
          <w:rFonts w:ascii="宋体" w:hAnsi="宋体" w:eastAsia="宋体" w:cs="宋体"/>
          <w:spacing w:val="15"/>
          <w:sz w:val="19"/>
          <w:szCs w:val="19"/>
        </w:rPr>
        <w:t>在对高校教师进行</w:t>
      </w:r>
      <w:r>
        <w:rPr>
          <w:rFonts w:ascii="宋体" w:hAnsi="宋体" w:eastAsia="宋体" w:cs="宋体"/>
          <w:sz w:val="19"/>
          <w:szCs w:val="19"/>
        </w:rPr>
        <w:t xml:space="preserve"> </w:t>
      </w:r>
      <w:r>
        <w:rPr>
          <w:rFonts w:ascii="宋体" w:hAnsi="宋体" w:eastAsia="宋体" w:cs="宋体"/>
          <w:spacing w:val="9"/>
          <w:sz w:val="19"/>
          <w:szCs w:val="19"/>
        </w:rPr>
        <w:t>职称评定与奖励考核时</w:t>
      </w:r>
      <w:r>
        <w:rPr>
          <w:rFonts w:ascii="微软雅黑" w:hAnsi="微软雅黑" w:eastAsia="微软雅黑" w:cs="微软雅黑"/>
          <w:spacing w:val="9"/>
          <w:sz w:val="19"/>
          <w:szCs w:val="19"/>
        </w:rPr>
        <w:t>，</w:t>
      </w:r>
      <w:r>
        <w:rPr>
          <w:rFonts w:ascii="宋体" w:hAnsi="宋体" w:eastAsia="宋体" w:cs="宋体"/>
          <w:spacing w:val="9"/>
          <w:sz w:val="19"/>
          <w:szCs w:val="19"/>
        </w:rPr>
        <w:t>科研指标放在重要位置</w:t>
      </w:r>
      <w:r>
        <w:rPr>
          <w:rFonts w:ascii="微软雅黑" w:hAnsi="微软雅黑" w:eastAsia="微软雅黑" w:cs="微软雅黑"/>
          <w:spacing w:val="9"/>
          <w:sz w:val="19"/>
          <w:szCs w:val="19"/>
        </w:rPr>
        <w:t>，</w:t>
      </w:r>
      <w:r>
        <w:rPr>
          <w:rFonts w:ascii="宋体" w:hAnsi="宋体" w:eastAsia="宋体" w:cs="宋体"/>
          <w:spacing w:val="9"/>
          <w:sz w:val="19"/>
          <w:szCs w:val="19"/>
        </w:rPr>
        <w:t>导</w:t>
      </w:r>
      <w:r>
        <w:rPr>
          <w:rFonts w:ascii="宋体" w:hAnsi="宋体" w:eastAsia="宋体" w:cs="宋体"/>
          <w:spacing w:val="10"/>
          <w:sz w:val="19"/>
          <w:szCs w:val="19"/>
        </w:rPr>
        <w:t xml:space="preserve"> </w:t>
      </w:r>
      <w:r>
        <w:rPr>
          <w:rFonts w:ascii="宋体" w:hAnsi="宋体" w:eastAsia="宋体" w:cs="宋体"/>
          <w:spacing w:val="18"/>
          <w:sz w:val="19"/>
          <w:szCs w:val="19"/>
        </w:rPr>
        <w:t>致高校教师科研能力与教学能力出现失衡现象</w:t>
      </w:r>
      <w:r>
        <w:rPr>
          <w:rFonts w:ascii="微软雅黑" w:hAnsi="微软雅黑" w:eastAsia="微软雅黑" w:cs="微软雅黑"/>
          <w:spacing w:val="18"/>
          <w:sz w:val="19"/>
          <w:szCs w:val="19"/>
        </w:rPr>
        <w:t>，</w:t>
      </w:r>
      <w:r>
        <w:rPr>
          <w:rFonts w:ascii="宋体" w:hAnsi="宋体" w:eastAsia="宋体" w:cs="宋体"/>
          <w:spacing w:val="18"/>
          <w:sz w:val="19"/>
          <w:szCs w:val="19"/>
        </w:rPr>
        <w:t>很</w:t>
      </w:r>
      <w:r>
        <w:rPr>
          <w:rFonts w:ascii="宋体" w:hAnsi="宋体" w:eastAsia="宋体" w:cs="宋体"/>
          <w:spacing w:val="11"/>
          <w:sz w:val="19"/>
          <w:szCs w:val="19"/>
        </w:rPr>
        <w:t xml:space="preserve"> </w:t>
      </w:r>
      <w:r>
        <w:rPr>
          <w:rFonts w:ascii="宋体" w:hAnsi="宋体" w:eastAsia="宋体" w:cs="宋体"/>
          <w:spacing w:val="18"/>
          <w:sz w:val="19"/>
          <w:szCs w:val="19"/>
        </w:rPr>
        <w:t>多科研能力较强的老师不具备较强的教学能力</w:t>
      </w:r>
      <w:r>
        <w:rPr>
          <w:rFonts w:ascii="微软雅黑" w:hAnsi="微软雅黑" w:eastAsia="微软雅黑" w:cs="微软雅黑"/>
          <w:spacing w:val="18"/>
          <w:sz w:val="19"/>
          <w:szCs w:val="19"/>
        </w:rPr>
        <w:t>，</w:t>
      </w:r>
      <w:r>
        <w:rPr>
          <w:rFonts w:ascii="宋体" w:hAnsi="宋体" w:eastAsia="宋体" w:cs="宋体"/>
          <w:spacing w:val="18"/>
          <w:sz w:val="19"/>
          <w:szCs w:val="19"/>
        </w:rPr>
        <w:t>这</w:t>
      </w:r>
      <w:r>
        <w:rPr>
          <w:rFonts w:ascii="宋体" w:hAnsi="宋体" w:eastAsia="宋体" w:cs="宋体"/>
          <w:spacing w:val="11"/>
          <w:sz w:val="19"/>
          <w:szCs w:val="19"/>
        </w:rPr>
        <w:t xml:space="preserve"> </w:t>
      </w:r>
      <w:r>
        <w:rPr>
          <w:rFonts w:ascii="宋体" w:hAnsi="宋体" w:eastAsia="宋体" w:cs="宋体"/>
          <w:spacing w:val="18"/>
          <w:sz w:val="19"/>
          <w:szCs w:val="19"/>
        </w:rPr>
        <w:t>严重影响了我国高校的人才培养质量</w:t>
      </w:r>
      <w:r>
        <w:rPr>
          <w:rFonts w:ascii="微软雅黑" w:hAnsi="微软雅黑" w:eastAsia="微软雅黑" w:cs="微软雅黑"/>
          <w:spacing w:val="18"/>
          <w:sz w:val="19"/>
          <w:szCs w:val="19"/>
        </w:rPr>
        <w:t>。</w:t>
      </w:r>
    </w:p>
    <w:p>
      <w:pPr>
        <w:spacing w:before="65" w:line="225" w:lineRule="auto"/>
        <w:ind w:firstLine="423"/>
        <w:rPr>
          <w:rFonts w:ascii="宋体" w:hAnsi="宋体" w:eastAsia="宋体" w:cs="宋体"/>
          <w:sz w:val="19"/>
          <w:szCs w:val="19"/>
        </w:rPr>
      </w:pPr>
      <w:r>
        <w:rPr>
          <w:rFonts w:ascii="宋体" w:hAnsi="宋体" w:eastAsia="宋体" w:cs="宋体"/>
          <w:sz w:val="19"/>
          <w:szCs w:val="19"/>
        </w:rPr>
        <w:t>教育作为培养人</w:t>
      </w:r>
      <w:r>
        <w:rPr>
          <w:rFonts w:ascii="宋体" w:hAnsi="宋体" w:eastAsia="宋体" w:cs="宋体"/>
          <w:spacing w:val="-43"/>
          <w:sz w:val="19"/>
          <w:szCs w:val="19"/>
        </w:rPr>
        <w:t xml:space="preserve"> </w:t>
      </w:r>
      <w:r>
        <w:rPr>
          <w:rFonts w:ascii="宋体" w:hAnsi="宋体" w:eastAsia="宋体" w:cs="宋体"/>
          <w:sz w:val="19"/>
          <w:szCs w:val="19"/>
        </w:rPr>
        <w:t>的活动</w:t>
      </w:r>
      <w:r>
        <w:rPr>
          <w:rFonts w:ascii="微软雅黑" w:hAnsi="微软雅黑" w:eastAsia="微软雅黑" w:cs="微软雅黑"/>
          <w:sz w:val="19"/>
          <w:szCs w:val="19"/>
        </w:rPr>
        <w:t>，</w:t>
      </w:r>
      <w:r>
        <w:rPr>
          <w:rFonts w:ascii="宋体" w:hAnsi="宋体" w:eastAsia="宋体" w:cs="宋体"/>
          <w:sz w:val="19"/>
          <w:szCs w:val="19"/>
        </w:rPr>
        <w:t>其主要</w:t>
      </w:r>
      <w:r>
        <w:rPr>
          <w:rFonts w:ascii="宋体" w:hAnsi="宋体" w:eastAsia="宋体" w:cs="宋体"/>
          <w:spacing w:val="-46"/>
          <w:sz w:val="19"/>
          <w:szCs w:val="19"/>
        </w:rPr>
        <w:t xml:space="preserve"> </w:t>
      </w:r>
      <w:r>
        <w:rPr>
          <w:rFonts w:ascii="宋体" w:hAnsi="宋体" w:eastAsia="宋体" w:cs="宋体"/>
          <w:sz w:val="19"/>
          <w:szCs w:val="19"/>
        </w:rPr>
        <w:t>的任务</w:t>
      </w:r>
      <w:r>
        <w:rPr>
          <w:rFonts w:ascii="微软雅黑" w:hAnsi="微软雅黑" w:eastAsia="微软雅黑" w:cs="微软雅黑"/>
          <w:sz w:val="19"/>
          <w:szCs w:val="19"/>
        </w:rPr>
        <w:t>———</w:t>
      </w:r>
      <w:r>
        <w:rPr>
          <w:rFonts w:ascii="微软雅黑" w:hAnsi="微软雅黑" w:eastAsia="微软雅黑" w:cs="微软雅黑"/>
          <w:spacing w:val="-28"/>
          <w:sz w:val="19"/>
          <w:szCs w:val="19"/>
        </w:rPr>
        <w:t xml:space="preserve"> </w:t>
      </w:r>
      <w:r>
        <w:rPr>
          <w:rFonts w:ascii="宋体" w:hAnsi="宋体" w:eastAsia="宋体" w:cs="宋体"/>
          <w:sz w:val="19"/>
          <w:szCs w:val="19"/>
        </w:rPr>
        <w:t xml:space="preserve">知  </w:t>
      </w:r>
      <w:r>
        <w:rPr>
          <w:rFonts w:ascii="宋体" w:hAnsi="宋体" w:eastAsia="宋体" w:cs="宋体"/>
          <w:spacing w:val="13"/>
          <w:sz w:val="19"/>
          <w:szCs w:val="19"/>
        </w:rPr>
        <w:t>识传播与交流是在教学</w:t>
      </w:r>
      <w:r>
        <w:rPr>
          <w:rFonts w:ascii="宋体" w:hAnsi="宋体" w:eastAsia="宋体" w:cs="宋体"/>
          <w:spacing w:val="-30"/>
          <w:sz w:val="19"/>
          <w:szCs w:val="19"/>
        </w:rPr>
        <w:t xml:space="preserve"> </w:t>
      </w:r>
      <w:r>
        <w:rPr>
          <w:rFonts w:ascii="宋体" w:hAnsi="宋体" w:eastAsia="宋体" w:cs="宋体"/>
          <w:spacing w:val="13"/>
          <w:sz w:val="19"/>
          <w:szCs w:val="19"/>
        </w:rPr>
        <w:t>中完成</w:t>
      </w:r>
      <w:r>
        <w:rPr>
          <w:rFonts w:ascii="宋体" w:hAnsi="宋体" w:eastAsia="宋体" w:cs="宋体"/>
          <w:spacing w:val="-49"/>
          <w:sz w:val="19"/>
          <w:szCs w:val="19"/>
        </w:rPr>
        <w:t xml:space="preserve"> </w:t>
      </w:r>
      <w:r>
        <w:rPr>
          <w:rFonts w:ascii="宋体" w:hAnsi="宋体" w:eastAsia="宋体" w:cs="宋体"/>
          <w:spacing w:val="13"/>
          <w:sz w:val="19"/>
          <w:szCs w:val="19"/>
        </w:rPr>
        <w:t>的</w:t>
      </w:r>
      <w:r>
        <w:rPr>
          <w:rFonts w:ascii="微软雅黑" w:hAnsi="微软雅黑" w:eastAsia="微软雅黑" w:cs="微软雅黑"/>
          <w:spacing w:val="13"/>
          <w:sz w:val="19"/>
          <w:szCs w:val="19"/>
        </w:rPr>
        <w:t>，</w:t>
      </w:r>
      <w:r>
        <w:rPr>
          <w:rFonts w:ascii="宋体" w:hAnsi="宋体" w:eastAsia="宋体" w:cs="宋体"/>
          <w:spacing w:val="13"/>
          <w:sz w:val="19"/>
          <w:szCs w:val="19"/>
        </w:rPr>
        <w:t xml:space="preserve">教学应该是高校 </w:t>
      </w:r>
      <w:r>
        <w:rPr>
          <w:rFonts w:ascii="宋体" w:hAnsi="宋体" w:eastAsia="宋体" w:cs="宋体"/>
          <w:spacing w:val="14"/>
          <w:sz w:val="19"/>
          <w:szCs w:val="19"/>
        </w:rPr>
        <w:t>的重中之重</w:t>
      </w:r>
      <w:r>
        <w:rPr>
          <w:rFonts w:ascii="宋体" w:hAnsi="宋体" w:eastAsia="宋体" w:cs="宋体"/>
          <w:spacing w:val="-39"/>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24"/>
          <w:sz w:val="19"/>
          <w:szCs w:val="19"/>
        </w:rPr>
        <w:t xml:space="preserve"> </w:t>
      </w:r>
      <w:r>
        <w:rPr>
          <w:rFonts w:ascii="宋体" w:hAnsi="宋体" w:eastAsia="宋体" w:cs="宋体"/>
          <w:spacing w:val="14"/>
          <w:sz w:val="19"/>
          <w:szCs w:val="19"/>
        </w:rPr>
        <w:t>因此</w:t>
      </w:r>
      <w:r>
        <w:rPr>
          <w:rFonts w:ascii="微软雅黑" w:hAnsi="微软雅黑" w:eastAsia="微软雅黑" w:cs="微软雅黑"/>
          <w:spacing w:val="14"/>
          <w:sz w:val="19"/>
          <w:szCs w:val="19"/>
        </w:rPr>
        <w:t>，</w:t>
      </w:r>
      <w:r>
        <w:rPr>
          <w:rFonts w:ascii="宋体" w:hAnsi="宋体" w:eastAsia="宋体" w:cs="宋体"/>
          <w:spacing w:val="14"/>
          <w:sz w:val="19"/>
          <w:szCs w:val="19"/>
        </w:rPr>
        <w:t xml:space="preserve">均衡高等教育三大职能定位应 </w:t>
      </w:r>
      <w:r>
        <w:rPr>
          <w:rFonts w:ascii="宋体" w:hAnsi="宋体" w:eastAsia="宋体" w:cs="宋体"/>
          <w:spacing w:val="15"/>
          <w:sz w:val="19"/>
          <w:szCs w:val="19"/>
        </w:rPr>
        <w:t>将高校的教学职</w:t>
      </w:r>
      <w:r>
        <w:rPr>
          <w:rFonts w:ascii="宋体" w:hAnsi="宋体" w:eastAsia="宋体" w:cs="宋体"/>
          <w:spacing w:val="-53"/>
          <w:sz w:val="19"/>
          <w:szCs w:val="19"/>
        </w:rPr>
        <w:t xml:space="preserve"> </w:t>
      </w:r>
      <w:r>
        <w:rPr>
          <w:rFonts w:ascii="宋体" w:hAnsi="宋体" w:eastAsia="宋体" w:cs="宋体"/>
          <w:spacing w:val="15"/>
          <w:sz w:val="19"/>
          <w:szCs w:val="19"/>
        </w:rPr>
        <w:t>能置于重要</w:t>
      </w:r>
      <w:r>
        <w:rPr>
          <w:rFonts w:ascii="宋体" w:hAnsi="宋体" w:eastAsia="宋体" w:cs="宋体"/>
          <w:spacing w:val="-49"/>
          <w:sz w:val="19"/>
          <w:szCs w:val="19"/>
        </w:rPr>
        <w:t xml:space="preserve"> </w:t>
      </w:r>
      <w:r>
        <w:rPr>
          <w:rFonts w:ascii="宋体" w:hAnsi="宋体" w:eastAsia="宋体" w:cs="宋体"/>
          <w:spacing w:val="15"/>
          <w:sz w:val="19"/>
          <w:szCs w:val="19"/>
        </w:rPr>
        <w:t>的位置</w:t>
      </w:r>
      <w:r>
        <w:rPr>
          <w:rFonts w:ascii="宋体" w:hAnsi="宋体" w:eastAsia="宋体" w:cs="宋体"/>
          <w:spacing w:val="-50"/>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4"/>
          <w:sz w:val="19"/>
          <w:szCs w:val="19"/>
        </w:rPr>
        <w:t xml:space="preserve"> </w:t>
      </w:r>
      <w:r>
        <w:rPr>
          <w:rFonts w:ascii="宋体" w:hAnsi="宋体" w:eastAsia="宋体" w:cs="宋体"/>
          <w:spacing w:val="15"/>
          <w:sz w:val="19"/>
          <w:szCs w:val="19"/>
        </w:rPr>
        <w:t>在教师考核</w:t>
      </w:r>
      <w:r>
        <w:rPr>
          <w:rFonts w:ascii="微软雅黑" w:hAnsi="微软雅黑" w:eastAsia="微软雅黑" w:cs="微软雅黑"/>
          <w:spacing w:val="15"/>
          <w:sz w:val="19"/>
          <w:szCs w:val="19"/>
        </w:rPr>
        <w:t>、</w:t>
      </w:r>
      <w:r>
        <w:rPr>
          <w:rFonts w:ascii="微软雅黑" w:hAnsi="微软雅黑" w:eastAsia="微软雅黑" w:cs="微软雅黑"/>
          <w:sz w:val="19"/>
          <w:szCs w:val="19"/>
        </w:rPr>
        <w:t xml:space="preserve"> </w:t>
      </w:r>
      <w:r>
        <w:rPr>
          <w:rFonts w:ascii="宋体" w:hAnsi="宋体" w:eastAsia="宋体" w:cs="宋体"/>
          <w:spacing w:val="15"/>
          <w:sz w:val="19"/>
          <w:szCs w:val="19"/>
        </w:rPr>
        <w:t>职称评定和日常奖惩</w:t>
      </w:r>
      <w:r>
        <w:rPr>
          <w:rFonts w:ascii="宋体" w:hAnsi="宋体" w:eastAsia="宋体" w:cs="宋体"/>
          <w:spacing w:val="-30"/>
          <w:sz w:val="19"/>
          <w:szCs w:val="19"/>
        </w:rPr>
        <w:t xml:space="preserve"> </w:t>
      </w:r>
      <w:r>
        <w:rPr>
          <w:rFonts w:ascii="宋体" w:hAnsi="宋体" w:eastAsia="宋体" w:cs="宋体"/>
          <w:spacing w:val="15"/>
          <w:sz w:val="19"/>
          <w:szCs w:val="19"/>
        </w:rPr>
        <w:t>中</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侧重高校教师教学能力的 </w:t>
      </w:r>
      <w:r>
        <w:rPr>
          <w:rFonts w:ascii="宋体" w:hAnsi="宋体" w:eastAsia="宋体" w:cs="宋体"/>
          <w:spacing w:val="18"/>
          <w:sz w:val="19"/>
          <w:szCs w:val="19"/>
        </w:rPr>
        <w:t>考核</w:t>
      </w:r>
      <w:r>
        <w:rPr>
          <w:rFonts w:ascii="微软雅黑" w:hAnsi="微软雅黑" w:eastAsia="微软雅黑" w:cs="微软雅黑"/>
          <w:spacing w:val="18"/>
          <w:sz w:val="19"/>
          <w:szCs w:val="19"/>
        </w:rPr>
        <w:t>，</w:t>
      </w:r>
      <w:r>
        <w:rPr>
          <w:rFonts w:ascii="宋体" w:hAnsi="宋体" w:eastAsia="宋体" w:cs="宋体"/>
          <w:spacing w:val="18"/>
          <w:sz w:val="19"/>
          <w:szCs w:val="19"/>
        </w:rPr>
        <w:t>引导高校教师将工作的重心从单纯完</w:t>
      </w:r>
      <w:r>
        <w:rPr>
          <w:rFonts w:ascii="宋体" w:hAnsi="宋体" w:eastAsia="宋体" w:cs="宋体"/>
          <w:spacing w:val="17"/>
          <w:sz w:val="19"/>
          <w:szCs w:val="19"/>
        </w:rPr>
        <w:t xml:space="preserve">成科研 </w:t>
      </w:r>
      <w:r>
        <w:rPr>
          <w:rFonts w:ascii="宋体" w:hAnsi="宋体" w:eastAsia="宋体" w:cs="宋体"/>
          <w:spacing w:val="15"/>
          <w:sz w:val="19"/>
          <w:szCs w:val="19"/>
        </w:rPr>
        <w:t>任务转到育人工作</w:t>
      </w:r>
      <w:r>
        <w:rPr>
          <w:rFonts w:ascii="宋体" w:hAnsi="宋体" w:eastAsia="宋体" w:cs="宋体"/>
          <w:spacing w:val="-30"/>
          <w:sz w:val="19"/>
          <w:szCs w:val="19"/>
        </w:rPr>
        <w:t xml:space="preserve"> </w:t>
      </w:r>
      <w:r>
        <w:rPr>
          <w:rFonts w:ascii="宋体" w:hAnsi="宋体" w:eastAsia="宋体" w:cs="宋体"/>
          <w:spacing w:val="15"/>
          <w:sz w:val="19"/>
          <w:szCs w:val="19"/>
        </w:rPr>
        <w:t>中</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倡导教学与科研并重的办学 </w:t>
      </w:r>
      <w:r>
        <w:rPr>
          <w:rFonts w:ascii="宋体" w:hAnsi="宋体" w:eastAsia="宋体" w:cs="宋体"/>
          <w:spacing w:val="6"/>
          <w:sz w:val="19"/>
          <w:szCs w:val="19"/>
        </w:rPr>
        <w:t>理念</w:t>
      </w:r>
      <w:r>
        <w:rPr>
          <w:rFonts w:ascii="宋体" w:hAnsi="宋体" w:eastAsia="宋体" w:cs="宋体"/>
          <w:spacing w:val="-52"/>
          <w:sz w:val="19"/>
          <w:szCs w:val="19"/>
        </w:rPr>
        <w:t xml:space="preserve"> </w:t>
      </w:r>
      <w:r>
        <w:rPr>
          <w:rFonts w:ascii="微软雅黑" w:hAnsi="微软雅黑" w:eastAsia="微软雅黑" w:cs="微软雅黑"/>
          <w:spacing w:val="6"/>
          <w:sz w:val="19"/>
          <w:szCs w:val="19"/>
        </w:rPr>
        <w:t>。</w:t>
      </w:r>
      <w:r>
        <w:rPr>
          <w:rFonts w:ascii="微软雅黑" w:hAnsi="微软雅黑" w:eastAsia="微软雅黑" w:cs="微软雅黑"/>
          <w:spacing w:val="-19"/>
          <w:sz w:val="19"/>
          <w:szCs w:val="19"/>
        </w:rPr>
        <w:t xml:space="preserve"> </w:t>
      </w:r>
      <w:r>
        <w:rPr>
          <w:rFonts w:ascii="宋体" w:hAnsi="宋体" w:eastAsia="宋体" w:cs="宋体"/>
          <w:spacing w:val="6"/>
          <w:sz w:val="19"/>
          <w:szCs w:val="19"/>
        </w:rPr>
        <w:t>同时</w:t>
      </w:r>
      <w:r>
        <w:rPr>
          <w:rFonts w:ascii="微软雅黑" w:hAnsi="微软雅黑" w:eastAsia="微软雅黑" w:cs="微软雅黑"/>
          <w:spacing w:val="6"/>
          <w:sz w:val="19"/>
          <w:szCs w:val="19"/>
        </w:rPr>
        <w:t>，</w:t>
      </w:r>
      <w:r>
        <w:rPr>
          <w:rFonts w:ascii="宋体" w:hAnsi="宋体" w:eastAsia="宋体" w:cs="宋体"/>
          <w:spacing w:val="6"/>
          <w:sz w:val="19"/>
          <w:szCs w:val="19"/>
        </w:rPr>
        <w:t>要通过组织教师教学竞赛</w:t>
      </w:r>
      <w:r>
        <w:rPr>
          <w:rFonts w:ascii="微软雅黑" w:hAnsi="微软雅黑" w:eastAsia="微软雅黑" w:cs="微软雅黑"/>
          <w:spacing w:val="6"/>
          <w:sz w:val="19"/>
          <w:szCs w:val="19"/>
        </w:rPr>
        <w:t>，</w:t>
      </w:r>
      <w:r>
        <w:rPr>
          <w:rFonts w:ascii="宋体" w:hAnsi="宋体" w:eastAsia="宋体" w:cs="宋体"/>
          <w:spacing w:val="6"/>
          <w:sz w:val="19"/>
          <w:szCs w:val="19"/>
        </w:rPr>
        <w:t>开展教学技</w:t>
      </w:r>
    </w:p>
    <w:p>
      <w:pPr>
        <w:spacing w:before="85" w:line="184" w:lineRule="exact"/>
        <w:ind w:left="3728"/>
        <w:rPr>
          <w:rFonts w:ascii="微软雅黑" w:hAnsi="微软雅黑" w:eastAsia="微软雅黑" w:cs="微软雅黑"/>
          <w:sz w:val="19"/>
          <w:szCs w:val="19"/>
        </w:rPr>
      </w:pPr>
      <w:r>
        <w:rPr>
          <w:rFonts w:ascii="微软雅黑" w:hAnsi="微软雅黑" w:eastAsia="微软雅黑" w:cs="微软雅黑"/>
          <w:spacing w:val="-7"/>
          <w:position w:val="1"/>
          <w:sz w:val="19"/>
          <w:szCs w:val="19"/>
        </w:rPr>
        <w:t xml:space="preserve">·   </w:t>
      </w:r>
      <w:r>
        <w:rPr>
          <w:rFonts w:ascii="Arial" w:hAnsi="Arial" w:eastAsia="Arial" w:cs="Arial"/>
          <w:spacing w:val="-7"/>
          <w:position w:val="-1"/>
          <w:sz w:val="19"/>
          <w:szCs w:val="19"/>
        </w:rPr>
        <w:t>107</w:t>
      </w:r>
      <w:r>
        <w:rPr>
          <w:rFonts w:ascii="Arial" w:hAnsi="Arial" w:eastAsia="Arial" w:cs="Arial"/>
          <w:spacing w:val="23"/>
          <w:position w:val="-1"/>
          <w:sz w:val="19"/>
          <w:szCs w:val="19"/>
        </w:rPr>
        <w:t xml:space="preserve">  </w:t>
      </w:r>
      <w:r>
        <w:rPr>
          <w:rFonts w:ascii="微软雅黑" w:hAnsi="微软雅黑" w:eastAsia="微软雅黑" w:cs="微软雅黑"/>
          <w:spacing w:val="-7"/>
          <w:position w:val="1"/>
          <w:sz w:val="19"/>
          <w:szCs w:val="19"/>
        </w:rPr>
        <w:t>·</w:t>
      </w:r>
    </w:p>
    <w:p>
      <w:pPr>
        <w:spacing w:line="184" w:lineRule="exact"/>
        <w:rPr>
          <w:rFonts w:ascii="微软雅黑" w:hAnsi="微软雅黑" w:eastAsia="微软雅黑" w:cs="微软雅黑"/>
          <w:sz w:val="19"/>
          <w:szCs w:val="19"/>
        </w:rPr>
        <w:sectPr>
          <w:type w:val="continuous"/>
          <w:pgSz w:w="11906" w:h="16840"/>
          <w:pgMar w:top="400" w:right="1201" w:bottom="547" w:left="407" w:header="0" w:footer="354" w:gutter="0"/>
          <w:cols w:equalWidth="0" w:num="2">
            <w:col w:w="5531" w:space="100"/>
            <w:col w:w="4667"/>
          </w:cols>
        </w:sectPr>
      </w:pPr>
    </w:p>
    <w:p>
      <w:pPr>
        <w:spacing w:line="454" w:lineRule="auto"/>
        <w:rPr>
          <w:rFonts w:ascii="Arial"/>
          <w:sz w:val="21"/>
        </w:rPr>
      </w:pPr>
    </w:p>
    <w:p>
      <w:pPr>
        <w:spacing w:before="52" w:line="213" w:lineRule="auto"/>
        <w:ind w:left="3796"/>
        <w:rPr>
          <w:rFonts w:ascii="宋体" w:hAnsi="宋体" w:eastAsia="宋体" w:cs="宋体"/>
          <w:sz w:val="16"/>
          <w:szCs w:val="16"/>
        </w:rPr>
      </w:pPr>
      <w:r>
        <w:rPr>
          <w:rFonts w:ascii="宋体" w:hAnsi="宋体" w:eastAsia="宋体" w:cs="宋体"/>
          <w:spacing w:val="19"/>
          <w:sz w:val="16"/>
          <w:szCs w:val="16"/>
        </w:rPr>
        <w:t>挪威推进高等教育质量文化建设的举措及其启示</w:t>
      </w:r>
    </w:p>
    <w:p>
      <w:pPr>
        <w:spacing w:line="186" w:lineRule="exact"/>
        <w:ind w:left="858"/>
      </w:pPr>
      <w:r>
        <w:rPr>
          <w:position w:val="-4"/>
        </w:rPr>
        <w:drawing>
          <wp:inline distT="0" distB="0" distL="0" distR="0">
            <wp:extent cx="6118860" cy="11811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29"/>
                    <a:stretch>
                      <a:fillRect/>
                    </a:stretch>
                  </pic:blipFill>
                  <pic:spPr>
                    <a:xfrm>
                      <a:off x="0" y="0"/>
                      <a:ext cx="6119395" cy="118181"/>
                    </a:xfrm>
                    <a:prstGeom prst="rect">
                      <a:avLst/>
                    </a:prstGeom>
                  </pic:spPr>
                </pic:pic>
              </a:graphicData>
            </a:graphic>
          </wp:inline>
        </w:drawing>
      </w:r>
    </w:p>
    <w:p>
      <w:pPr>
        <w:spacing w:line="118" w:lineRule="exact"/>
      </w:pPr>
    </w:p>
    <w:p>
      <w:pPr>
        <w:spacing w:line="118" w:lineRule="exact"/>
        <w:sectPr>
          <w:footerReference r:id="rId88" w:type="default"/>
          <w:pgSz w:w="11906" w:h="16840"/>
          <w:pgMar w:top="400" w:right="936" w:bottom="547" w:left="407" w:header="0" w:footer="354" w:gutter="0"/>
          <w:cols w:equalWidth="0" w:num="1">
            <w:col w:w="10562"/>
          </w:cols>
        </w:sectPr>
      </w:pPr>
    </w:p>
    <w:p>
      <w:pPr>
        <w:spacing w:before="38" w:line="219" w:lineRule="auto"/>
        <w:ind w:left="874" w:right="341" w:firstLine="6"/>
        <w:jc w:val="both"/>
        <w:rPr>
          <w:rFonts w:ascii="微软雅黑" w:hAnsi="微软雅黑" w:eastAsia="微软雅黑" w:cs="微软雅黑"/>
          <w:sz w:val="19"/>
          <w:szCs w:val="19"/>
        </w:rPr>
      </w:pPr>
      <w:r>
        <w:rPr>
          <w:rFonts w:ascii="宋体" w:hAnsi="宋体" w:eastAsia="宋体" w:cs="宋体"/>
          <w:spacing w:val="9"/>
          <w:sz w:val="19"/>
          <w:szCs w:val="19"/>
        </w:rPr>
        <w:t>能培训</w:t>
      </w:r>
      <w:r>
        <w:rPr>
          <w:rFonts w:ascii="微软雅黑" w:hAnsi="微软雅黑" w:eastAsia="微软雅黑" w:cs="微软雅黑"/>
          <w:spacing w:val="9"/>
          <w:sz w:val="19"/>
          <w:szCs w:val="19"/>
        </w:rPr>
        <w:t>，</w:t>
      </w:r>
      <w:r>
        <w:rPr>
          <w:rFonts w:ascii="宋体" w:hAnsi="宋体" w:eastAsia="宋体" w:cs="宋体"/>
          <w:spacing w:val="9"/>
          <w:sz w:val="19"/>
          <w:szCs w:val="19"/>
        </w:rPr>
        <w:t>落实听评课制度</w:t>
      </w:r>
      <w:r>
        <w:rPr>
          <w:rFonts w:ascii="微软雅黑" w:hAnsi="微软雅黑" w:eastAsia="微软雅黑" w:cs="微软雅黑"/>
          <w:spacing w:val="9"/>
          <w:sz w:val="19"/>
          <w:szCs w:val="19"/>
        </w:rPr>
        <w:t>，</w:t>
      </w:r>
      <w:r>
        <w:rPr>
          <w:rFonts w:ascii="宋体" w:hAnsi="宋体" w:eastAsia="宋体" w:cs="宋体"/>
          <w:spacing w:val="9"/>
          <w:sz w:val="19"/>
          <w:szCs w:val="19"/>
        </w:rPr>
        <w:t>完善学生评教机制等形式</w:t>
      </w:r>
      <w:r>
        <w:rPr>
          <w:rFonts w:ascii="宋体" w:hAnsi="宋体" w:eastAsia="宋体" w:cs="宋体"/>
          <w:sz w:val="19"/>
          <w:szCs w:val="19"/>
        </w:rPr>
        <w:t xml:space="preserve"> </w:t>
      </w:r>
      <w:r>
        <w:rPr>
          <w:rFonts w:ascii="宋体" w:hAnsi="宋体" w:eastAsia="宋体" w:cs="宋体"/>
          <w:spacing w:val="11"/>
          <w:sz w:val="19"/>
          <w:szCs w:val="19"/>
        </w:rPr>
        <w:t>来提高教师的教学</w:t>
      </w:r>
      <w:r>
        <w:rPr>
          <w:rFonts w:ascii="宋体" w:hAnsi="宋体" w:eastAsia="宋体" w:cs="宋体"/>
          <w:spacing w:val="-44"/>
          <w:sz w:val="19"/>
          <w:szCs w:val="19"/>
        </w:rPr>
        <w:t xml:space="preserve"> </w:t>
      </w:r>
      <w:r>
        <w:rPr>
          <w:rFonts w:ascii="宋体" w:hAnsi="宋体" w:eastAsia="宋体" w:cs="宋体"/>
          <w:spacing w:val="11"/>
          <w:sz w:val="19"/>
          <w:szCs w:val="19"/>
        </w:rPr>
        <w:t>能力</w:t>
      </w:r>
      <w:r>
        <w:rPr>
          <w:rFonts w:ascii="宋体" w:hAnsi="宋体" w:eastAsia="宋体" w:cs="宋体"/>
          <w:spacing w:val="-52"/>
          <w:sz w:val="19"/>
          <w:szCs w:val="19"/>
        </w:rPr>
        <w:t xml:space="preserve"> </w:t>
      </w:r>
      <w:r>
        <w:rPr>
          <w:rFonts w:ascii="微软雅黑" w:hAnsi="微软雅黑" w:eastAsia="微软雅黑" w:cs="微软雅黑"/>
          <w:spacing w:val="11"/>
          <w:sz w:val="19"/>
          <w:szCs w:val="19"/>
        </w:rPr>
        <w:t>。</w:t>
      </w:r>
      <w:r>
        <w:rPr>
          <w:rFonts w:ascii="微软雅黑" w:hAnsi="微软雅黑" w:eastAsia="微软雅黑" w:cs="微软雅黑"/>
          <w:spacing w:val="-32"/>
          <w:sz w:val="19"/>
          <w:szCs w:val="19"/>
        </w:rPr>
        <w:t xml:space="preserve"> </w:t>
      </w:r>
      <w:r>
        <w:rPr>
          <w:rFonts w:ascii="宋体" w:hAnsi="宋体" w:eastAsia="宋体" w:cs="宋体"/>
          <w:spacing w:val="11"/>
          <w:sz w:val="19"/>
          <w:szCs w:val="19"/>
        </w:rPr>
        <w:t>此外</w:t>
      </w:r>
      <w:r>
        <w:rPr>
          <w:rFonts w:ascii="微软雅黑" w:hAnsi="微软雅黑" w:eastAsia="微软雅黑" w:cs="微软雅黑"/>
          <w:spacing w:val="11"/>
          <w:sz w:val="19"/>
          <w:szCs w:val="19"/>
        </w:rPr>
        <w:t>，</w:t>
      </w:r>
      <w:r>
        <w:rPr>
          <w:rFonts w:ascii="宋体" w:hAnsi="宋体" w:eastAsia="宋体" w:cs="宋体"/>
          <w:spacing w:val="11"/>
          <w:sz w:val="19"/>
          <w:szCs w:val="19"/>
        </w:rPr>
        <w:t>注重</w:t>
      </w:r>
      <w:r>
        <w:rPr>
          <w:rFonts w:ascii="宋体" w:hAnsi="宋体" w:eastAsia="宋体" w:cs="宋体"/>
          <w:spacing w:val="-50"/>
          <w:sz w:val="19"/>
          <w:szCs w:val="19"/>
        </w:rPr>
        <w:t xml:space="preserve"> </w:t>
      </w:r>
      <w:r>
        <w:rPr>
          <w:rFonts w:ascii="宋体" w:hAnsi="宋体" w:eastAsia="宋体" w:cs="宋体"/>
          <w:spacing w:val="11"/>
          <w:sz w:val="19"/>
          <w:szCs w:val="19"/>
        </w:rPr>
        <w:t>引导教师增强</w:t>
      </w:r>
      <w:r>
        <w:rPr>
          <w:rFonts w:ascii="宋体" w:hAnsi="宋体" w:eastAsia="宋体" w:cs="宋体"/>
          <w:sz w:val="19"/>
          <w:szCs w:val="19"/>
        </w:rPr>
        <w:t xml:space="preserve"> </w:t>
      </w:r>
      <w:r>
        <w:rPr>
          <w:rFonts w:ascii="宋体" w:hAnsi="宋体" w:eastAsia="宋体" w:cs="宋体"/>
          <w:spacing w:val="9"/>
          <w:sz w:val="19"/>
          <w:szCs w:val="19"/>
        </w:rPr>
        <w:t>问题意识</w:t>
      </w:r>
      <w:r>
        <w:rPr>
          <w:rFonts w:ascii="微软雅黑" w:hAnsi="微软雅黑" w:eastAsia="微软雅黑" w:cs="微软雅黑"/>
          <w:spacing w:val="9"/>
          <w:sz w:val="19"/>
          <w:szCs w:val="19"/>
        </w:rPr>
        <w:t>，</w:t>
      </w:r>
      <w:r>
        <w:rPr>
          <w:rFonts w:ascii="宋体" w:hAnsi="宋体" w:eastAsia="宋体" w:cs="宋体"/>
          <w:spacing w:val="9"/>
          <w:sz w:val="19"/>
          <w:szCs w:val="19"/>
        </w:rPr>
        <w:t>开展贴近课堂教学实践的研究</w:t>
      </w:r>
      <w:r>
        <w:rPr>
          <w:rFonts w:ascii="微软雅黑" w:hAnsi="微软雅黑" w:eastAsia="微软雅黑" w:cs="微软雅黑"/>
          <w:spacing w:val="9"/>
          <w:sz w:val="19"/>
          <w:szCs w:val="19"/>
        </w:rPr>
        <w:t>，</w:t>
      </w:r>
      <w:r>
        <w:rPr>
          <w:rFonts w:ascii="宋体" w:hAnsi="宋体" w:eastAsia="宋体" w:cs="宋体"/>
          <w:spacing w:val="9"/>
          <w:sz w:val="19"/>
          <w:szCs w:val="19"/>
        </w:rPr>
        <w:t>从而使得</w:t>
      </w:r>
      <w:r>
        <w:rPr>
          <w:rFonts w:ascii="宋体" w:hAnsi="宋体" w:eastAsia="宋体" w:cs="宋体"/>
          <w:spacing w:val="8"/>
          <w:sz w:val="19"/>
          <w:szCs w:val="19"/>
        </w:rPr>
        <w:t xml:space="preserve"> </w:t>
      </w:r>
      <w:r>
        <w:rPr>
          <w:rFonts w:ascii="宋体" w:hAnsi="宋体" w:eastAsia="宋体" w:cs="宋体"/>
          <w:spacing w:val="18"/>
          <w:sz w:val="19"/>
          <w:szCs w:val="19"/>
        </w:rPr>
        <w:t>教师的科研工作与教学有机地融为一体</w:t>
      </w:r>
      <w:r>
        <w:rPr>
          <w:rFonts w:ascii="微软雅黑" w:hAnsi="微软雅黑" w:eastAsia="微软雅黑" w:cs="微软雅黑"/>
          <w:spacing w:val="18"/>
          <w:sz w:val="19"/>
          <w:szCs w:val="19"/>
        </w:rPr>
        <w:t>。</w:t>
      </w:r>
    </w:p>
    <w:p>
      <w:pPr>
        <w:spacing w:before="66" w:line="211" w:lineRule="auto"/>
        <w:ind w:left="1289"/>
        <w:rPr>
          <w:rFonts w:ascii="黑体" w:hAnsi="黑体" w:eastAsia="黑体" w:cs="黑体"/>
          <w:sz w:val="19"/>
          <w:szCs w:val="19"/>
        </w:rPr>
      </w:pPr>
      <w:r>
        <w:rPr>
          <w:rFonts w:ascii="Arial" w:hAnsi="Arial" w:eastAsia="Arial" w:cs="Arial"/>
          <w:spacing w:val="15"/>
          <w:sz w:val="19"/>
          <w:szCs w:val="19"/>
        </w:rPr>
        <w:t>4.</w:t>
      </w:r>
      <w:r>
        <w:rPr>
          <w:rFonts w:ascii="黑体" w:hAnsi="黑体" w:eastAsia="黑体" w:cs="黑体"/>
          <w:spacing w:val="15"/>
          <w:sz w:val="19"/>
          <w:szCs w:val="19"/>
        </w:rPr>
        <w:t>推进通识教育的改革发展</w:t>
      </w:r>
    </w:p>
    <w:p>
      <w:pPr>
        <w:spacing w:before="84" w:line="235" w:lineRule="auto"/>
        <w:ind w:left="872" w:right="271" w:firstLine="421"/>
        <w:rPr>
          <w:rFonts w:ascii="微软雅黑" w:hAnsi="微软雅黑" w:eastAsia="微软雅黑" w:cs="微软雅黑"/>
          <w:sz w:val="19"/>
          <w:szCs w:val="19"/>
        </w:rPr>
      </w:pPr>
      <w:r>
        <w:rPr>
          <w:rFonts w:ascii="宋体" w:hAnsi="宋体" w:eastAsia="宋体" w:cs="宋体"/>
          <w:spacing w:val="25"/>
          <w:sz w:val="19"/>
          <w:szCs w:val="19"/>
        </w:rPr>
        <w:t>人才培养质量是高等教</w:t>
      </w:r>
      <w:r>
        <w:rPr>
          <w:rFonts w:ascii="宋体" w:hAnsi="宋体" w:eastAsia="宋体" w:cs="宋体"/>
          <w:spacing w:val="-44"/>
          <w:sz w:val="19"/>
          <w:szCs w:val="19"/>
        </w:rPr>
        <w:t xml:space="preserve"> </w:t>
      </w:r>
      <w:r>
        <w:rPr>
          <w:rFonts w:ascii="宋体" w:hAnsi="宋体" w:eastAsia="宋体" w:cs="宋体"/>
          <w:spacing w:val="25"/>
          <w:sz w:val="19"/>
          <w:szCs w:val="19"/>
        </w:rPr>
        <w:t xml:space="preserve">育质量文化建设的重 </w:t>
      </w:r>
      <w:r>
        <w:rPr>
          <w:rFonts w:ascii="宋体" w:hAnsi="宋体" w:eastAsia="宋体" w:cs="宋体"/>
          <w:spacing w:val="15"/>
          <w:sz w:val="19"/>
          <w:szCs w:val="19"/>
        </w:rPr>
        <w:t>心</w:t>
      </w:r>
      <w:r>
        <w:rPr>
          <w:rFonts w:ascii="微软雅黑" w:hAnsi="微软雅黑" w:eastAsia="微软雅黑" w:cs="微软雅黑"/>
          <w:spacing w:val="15"/>
          <w:sz w:val="19"/>
          <w:szCs w:val="19"/>
        </w:rPr>
        <w:t>，</w:t>
      </w:r>
      <w:r>
        <w:rPr>
          <w:rFonts w:ascii="宋体" w:hAnsi="宋体" w:eastAsia="宋体" w:cs="宋体"/>
          <w:spacing w:val="15"/>
          <w:sz w:val="19"/>
          <w:szCs w:val="19"/>
        </w:rPr>
        <w:t>挪威白皮书强调学生应学</w:t>
      </w:r>
      <w:r>
        <w:rPr>
          <w:rFonts w:ascii="宋体" w:hAnsi="宋体" w:eastAsia="宋体" w:cs="宋体"/>
          <w:spacing w:val="-38"/>
          <w:sz w:val="19"/>
          <w:szCs w:val="19"/>
        </w:rPr>
        <w:t xml:space="preserve"> </w:t>
      </w:r>
      <w:r>
        <w:rPr>
          <w:rFonts w:ascii="宋体" w:hAnsi="宋体" w:eastAsia="宋体" w:cs="宋体"/>
          <w:spacing w:val="15"/>
          <w:sz w:val="19"/>
          <w:szCs w:val="19"/>
        </w:rPr>
        <w:t>习全面的知识和具备 通用能力</w:t>
      </w:r>
      <w:r>
        <w:rPr>
          <w:rFonts w:ascii="微软雅黑" w:hAnsi="微软雅黑" w:eastAsia="微软雅黑" w:cs="微软雅黑"/>
          <w:spacing w:val="15"/>
          <w:sz w:val="19"/>
          <w:szCs w:val="19"/>
        </w:rPr>
        <w:t>，</w:t>
      </w:r>
      <w:r>
        <w:rPr>
          <w:rFonts w:ascii="宋体" w:hAnsi="宋体" w:eastAsia="宋体" w:cs="宋体"/>
          <w:spacing w:val="15"/>
          <w:sz w:val="19"/>
          <w:szCs w:val="19"/>
        </w:rPr>
        <w:t>并给出</w:t>
      </w:r>
      <w:r>
        <w:rPr>
          <w:rFonts w:ascii="宋体" w:hAnsi="宋体" w:eastAsia="宋体" w:cs="宋体"/>
          <w:spacing w:val="-38"/>
          <w:sz w:val="19"/>
          <w:szCs w:val="19"/>
        </w:rPr>
        <w:t xml:space="preserve"> </w:t>
      </w:r>
      <w:r>
        <w:rPr>
          <w:rFonts w:ascii="宋体" w:hAnsi="宋体" w:eastAsia="宋体" w:cs="宋体"/>
          <w:spacing w:val="15"/>
          <w:sz w:val="19"/>
          <w:szCs w:val="19"/>
        </w:rPr>
        <w:t xml:space="preserve">了挪威学生需要学习的通用能力 </w:t>
      </w:r>
      <w:r>
        <w:rPr>
          <w:rFonts w:ascii="宋体" w:hAnsi="宋体" w:eastAsia="宋体" w:cs="宋体"/>
          <w:spacing w:val="5"/>
          <w:sz w:val="19"/>
          <w:szCs w:val="19"/>
        </w:rPr>
        <w:t>网络图</w:t>
      </w:r>
      <w:r>
        <w:rPr>
          <w:rFonts w:ascii="微软雅黑" w:hAnsi="微软雅黑" w:eastAsia="微软雅黑" w:cs="微软雅黑"/>
          <w:spacing w:val="5"/>
          <w:sz w:val="19"/>
          <w:szCs w:val="19"/>
        </w:rPr>
        <w:t>，</w:t>
      </w:r>
      <w:r>
        <w:rPr>
          <w:rFonts w:ascii="宋体" w:hAnsi="宋体" w:eastAsia="宋体" w:cs="宋体"/>
          <w:spacing w:val="5"/>
          <w:sz w:val="19"/>
          <w:szCs w:val="19"/>
        </w:rPr>
        <w:t>且以社会情感</w:t>
      </w:r>
      <w:r>
        <w:rPr>
          <w:rFonts w:ascii="宋体" w:hAnsi="宋体" w:eastAsia="宋体" w:cs="宋体"/>
          <w:spacing w:val="-41"/>
          <w:sz w:val="19"/>
          <w:szCs w:val="19"/>
        </w:rPr>
        <w:t xml:space="preserve"> </w:t>
      </w:r>
      <w:r>
        <w:rPr>
          <w:rFonts w:ascii="宋体" w:hAnsi="宋体" w:eastAsia="宋体" w:cs="宋体"/>
          <w:spacing w:val="5"/>
          <w:sz w:val="19"/>
          <w:szCs w:val="19"/>
        </w:rPr>
        <w:t>能力</w:t>
      </w:r>
      <w:r>
        <w:rPr>
          <w:rFonts w:ascii="微软雅黑" w:hAnsi="微软雅黑" w:eastAsia="微软雅黑" w:cs="微软雅黑"/>
          <w:spacing w:val="5"/>
          <w:sz w:val="19"/>
          <w:szCs w:val="19"/>
        </w:rPr>
        <w:t>、</w:t>
      </w:r>
      <w:r>
        <w:rPr>
          <w:rFonts w:ascii="宋体" w:hAnsi="宋体" w:eastAsia="宋体" w:cs="宋体"/>
          <w:spacing w:val="5"/>
          <w:sz w:val="19"/>
          <w:szCs w:val="19"/>
        </w:rPr>
        <w:t>批判性思维</w:t>
      </w:r>
      <w:r>
        <w:rPr>
          <w:rFonts w:ascii="宋体" w:hAnsi="宋体" w:eastAsia="宋体" w:cs="宋体"/>
          <w:spacing w:val="-57"/>
          <w:sz w:val="19"/>
          <w:szCs w:val="19"/>
        </w:rPr>
        <w:t xml:space="preserve"> </w:t>
      </w:r>
      <w:r>
        <w:rPr>
          <w:rFonts w:ascii="宋体" w:hAnsi="宋体" w:eastAsia="宋体" w:cs="宋体"/>
          <w:spacing w:val="5"/>
          <w:sz w:val="19"/>
          <w:szCs w:val="19"/>
        </w:rPr>
        <w:t>能力</w:t>
      </w:r>
      <w:r>
        <w:rPr>
          <w:rFonts w:ascii="微软雅黑" w:hAnsi="微软雅黑" w:eastAsia="微软雅黑" w:cs="微软雅黑"/>
          <w:spacing w:val="5"/>
          <w:sz w:val="19"/>
          <w:szCs w:val="19"/>
        </w:rPr>
        <w:t>、</w:t>
      </w:r>
      <w:r>
        <w:rPr>
          <w:rFonts w:ascii="宋体" w:hAnsi="宋体" w:eastAsia="宋体" w:cs="宋体"/>
          <w:spacing w:val="5"/>
          <w:sz w:val="19"/>
          <w:szCs w:val="19"/>
        </w:rPr>
        <w:t xml:space="preserve">自我 </w:t>
      </w:r>
      <w:r>
        <w:rPr>
          <w:rFonts w:ascii="宋体" w:hAnsi="宋体" w:eastAsia="宋体" w:cs="宋体"/>
          <w:spacing w:val="9"/>
          <w:sz w:val="19"/>
          <w:szCs w:val="19"/>
        </w:rPr>
        <w:t>反省能力</w:t>
      </w:r>
      <w:r>
        <w:rPr>
          <w:rFonts w:ascii="微软雅黑" w:hAnsi="微软雅黑" w:eastAsia="微软雅黑" w:cs="微软雅黑"/>
          <w:spacing w:val="9"/>
          <w:sz w:val="19"/>
          <w:szCs w:val="19"/>
        </w:rPr>
        <w:t>、</w:t>
      </w:r>
      <w:r>
        <w:rPr>
          <w:rFonts w:ascii="宋体" w:hAnsi="宋体" w:eastAsia="宋体" w:cs="宋体"/>
          <w:spacing w:val="9"/>
          <w:sz w:val="19"/>
          <w:szCs w:val="19"/>
        </w:rPr>
        <w:t>沟通合作能力</w:t>
      </w:r>
      <w:r>
        <w:rPr>
          <w:rFonts w:ascii="微软雅黑" w:hAnsi="微软雅黑" w:eastAsia="微软雅黑" w:cs="微软雅黑"/>
          <w:spacing w:val="9"/>
          <w:sz w:val="19"/>
          <w:szCs w:val="19"/>
        </w:rPr>
        <w:t>、</w:t>
      </w:r>
      <w:r>
        <w:rPr>
          <w:rFonts w:ascii="宋体" w:hAnsi="宋体" w:eastAsia="宋体" w:cs="宋体"/>
          <w:spacing w:val="9"/>
          <w:sz w:val="19"/>
          <w:szCs w:val="19"/>
        </w:rPr>
        <w:t>公民意识五大核心</w:t>
      </w:r>
      <w:r>
        <w:rPr>
          <w:rFonts w:ascii="宋体" w:hAnsi="宋体" w:eastAsia="宋体" w:cs="宋体"/>
          <w:spacing w:val="8"/>
          <w:sz w:val="19"/>
          <w:szCs w:val="19"/>
        </w:rPr>
        <w:t xml:space="preserve">通用能 </w:t>
      </w:r>
      <w:r>
        <w:rPr>
          <w:rFonts w:ascii="宋体" w:hAnsi="宋体" w:eastAsia="宋体" w:cs="宋体"/>
          <w:spacing w:val="10"/>
          <w:sz w:val="19"/>
          <w:szCs w:val="19"/>
        </w:rPr>
        <w:t>力为框架</w:t>
      </w:r>
      <w:r>
        <w:rPr>
          <w:rFonts w:ascii="微软雅黑" w:hAnsi="微软雅黑" w:eastAsia="微软雅黑" w:cs="微软雅黑"/>
          <w:spacing w:val="10"/>
          <w:sz w:val="19"/>
          <w:szCs w:val="19"/>
        </w:rPr>
        <w:t>。</w:t>
      </w:r>
      <w:r>
        <w:rPr>
          <w:rFonts w:ascii="微软雅黑" w:hAnsi="微软雅黑" w:eastAsia="微软雅黑" w:cs="微软雅黑"/>
          <w:spacing w:val="10"/>
          <w:position w:val="7"/>
          <w:sz w:val="10"/>
          <w:szCs w:val="10"/>
        </w:rPr>
        <w:t>[</w:t>
      </w:r>
      <w:r>
        <w:rPr>
          <w:rFonts w:ascii="Arial" w:hAnsi="Arial" w:eastAsia="Arial" w:cs="Arial"/>
          <w:spacing w:val="10"/>
          <w:position w:val="7"/>
          <w:sz w:val="10"/>
          <w:szCs w:val="10"/>
        </w:rPr>
        <w:t>19</w:t>
      </w:r>
      <w:r>
        <w:rPr>
          <w:rFonts w:ascii="微软雅黑" w:hAnsi="微软雅黑" w:eastAsia="微软雅黑" w:cs="微软雅黑"/>
          <w:spacing w:val="10"/>
          <w:position w:val="7"/>
          <w:sz w:val="10"/>
          <w:szCs w:val="10"/>
        </w:rPr>
        <w:t>]</w:t>
      </w:r>
      <w:r>
        <w:rPr>
          <w:rFonts w:ascii="微软雅黑" w:hAnsi="微软雅黑" w:eastAsia="微软雅黑" w:cs="微软雅黑"/>
          <w:spacing w:val="40"/>
          <w:w w:val="101"/>
          <w:position w:val="7"/>
          <w:sz w:val="10"/>
          <w:szCs w:val="10"/>
        </w:rPr>
        <w:t xml:space="preserve"> </w:t>
      </w:r>
      <w:r>
        <w:rPr>
          <w:rFonts w:ascii="宋体" w:hAnsi="宋体" w:eastAsia="宋体" w:cs="宋体"/>
          <w:spacing w:val="10"/>
          <w:sz w:val="19"/>
          <w:szCs w:val="19"/>
        </w:rPr>
        <w:t>强调学生通用能力</w:t>
      </w:r>
      <w:r>
        <w:rPr>
          <w:rFonts w:ascii="宋体" w:hAnsi="宋体" w:eastAsia="宋体" w:cs="宋体"/>
          <w:spacing w:val="-53"/>
          <w:sz w:val="19"/>
          <w:szCs w:val="19"/>
        </w:rPr>
        <w:t xml:space="preserve"> </w:t>
      </w:r>
      <w:r>
        <w:rPr>
          <w:rFonts w:ascii="宋体" w:hAnsi="宋体" w:eastAsia="宋体" w:cs="宋体"/>
          <w:spacing w:val="10"/>
          <w:sz w:val="19"/>
          <w:szCs w:val="19"/>
        </w:rPr>
        <w:t>的学</w:t>
      </w:r>
      <w:r>
        <w:rPr>
          <w:rFonts w:ascii="宋体" w:hAnsi="宋体" w:eastAsia="宋体" w:cs="宋体"/>
          <w:spacing w:val="-53"/>
          <w:sz w:val="19"/>
          <w:szCs w:val="19"/>
        </w:rPr>
        <w:t xml:space="preserve"> </w:t>
      </w:r>
      <w:r>
        <w:rPr>
          <w:rFonts w:ascii="宋体" w:hAnsi="宋体" w:eastAsia="宋体" w:cs="宋体"/>
          <w:spacing w:val="10"/>
          <w:sz w:val="19"/>
          <w:szCs w:val="19"/>
        </w:rPr>
        <w:t xml:space="preserve">习和培养本身 </w:t>
      </w:r>
      <w:r>
        <w:rPr>
          <w:rFonts w:ascii="宋体" w:hAnsi="宋体" w:eastAsia="宋体" w:cs="宋体"/>
          <w:spacing w:val="9"/>
          <w:sz w:val="19"/>
          <w:szCs w:val="19"/>
        </w:rPr>
        <w:t>便是对通识教育的践行</w:t>
      </w:r>
      <w:r>
        <w:rPr>
          <w:rFonts w:ascii="微软雅黑" w:hAnsi="微软雅黑" w:eastAsia="微软雅黑" w:cs="微软雅黑"/>
          <w:spacing w:val="9"/>
          <w:sz w:val="19"/>
          <w:szCs w:val="19"/>
        </w:rPr>
        <w:t>，</w:t>
      </w:r>
      <w:r>
        <w:rPr>
          <w:rFonts w:ascii="宋体" w:hAnsi="宋体" w:eastAsia="宋体" w:cs="宋体"/>
          <w:spacing w:val="9"/>
          <w:sz w:val="19"/>
          <w:szCs w:val="19"/>
        </w:rPr>
        <w:t>既指向人才培养的理</w:t>
      </w:r>
      <w:r>
        <w:rPr>
          <w:rFonts w:ascii="宋体" w:hAnsi="宋体" w:eastAsia="宋体" w:cs="宋体"/>
          <w:spacing w:val="8"/>
          <w:sz w:val="19"/>
          <w:szCs w:val="19"/>
        </w:rPr>
        <w:t>念</w:t>
      </w:r>
      <w:r>
        <w:rPr>
          <w:rFonts w:ascii="微软雅黑" w:hAnsi="微软雅黑" w:eastAsia="微软雅黑" w:cs="微软雅黑"/>
          <w:spacing w:val="8"/>
          <w:sz w:val="19"/>
          <w:szCs w:val="19"/>
        </w:rPr>
        <w:t>，</w:t>
      </w:r>
      <w:r>
        <w:rPr>
          <w:rFonts w:ascii="宋体" w:hAnsi="宋体" w:eastAsia="宋体" w:cs="宋体"/>
          <w:spacing w:val="8"/>
          <w:sz w:val="19"/>
          <w:szCs w:val="19"/>
        </w:rPr>
        <w:t xml:space="preserve">又 </w:t>
      </w:r>
      <w:r>
        <w:rPr>
          <w:rFonts w:ascii="宋体" w:hAnsi="宋体" w:eastAsia="宋体" w:cs="宋体"/>
          <w:spacing w:val="15"/>
          <w:sz w:val="19"/>
          <w:szCs w:val="19"/>
        </w:rPr>
        <w:t>指向具体技能的实践</w:t>
      </w:r>
      <w:r>
        <w:rPr>
          <w:rFonts w:ascii="宋体" w:hAnsi="宋体" w:eastAsia="宋体" w:cs="宋体"/>
          <w:spacing w:val="-38"/>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我国高校也应该在高等教育 </w:t>
      </w:r>
      <w:r>
        <w:rPr>
          <w:rFonts w:ascii="宋体" w:hAnsi="宋体" w:eastAsia="宋体" w:cs="宋体"/>
          <w:spacing w:val="16"/>
          <w:sz w:val="19"/>
          <w:szCs w:val="19"/>
        </w:rPr>
        <w:t>质量文化建设中大力推进通识教</w:t>
      </w:r>
      <w:r>
        <w:rPr>
          <w:rFonts w:ascii="宋体" w:hAnsi="宋体" w:eastAsia="宋体" w:cs="宋体"/>
          <w:spacing w:val="-57"/>
          <w:sz w:val="19"/>
          <w:szCs w:val="19"/>
        </w:rPr>
        <w:t xml:space="preserve"> </w:t>
      </w:r>
      <w:r>
        <w:rPr>
          <w:rFonts w:ascii="宋体" w:hAnsi="宋体" w:eastAsia="宋体" w:cs="宋体"/>
          <w:spacing w:val="16"/>
          <w:sz w:val="19"/>
          <w:szCs w:val="19"/>
        </w:rPr>
        <w:t>育改革</w:t>
      </w:r>
      <w:r>
        <w:rPr>
          <w:rFonts w:ascii="微软雅黑" w:hAnsi="微软雅黑" w:eastAsia="微软雅黑" w:cs="微软雅黑"/>
          <w:spacing w:val="16"/>
          <w:sz w:val="19"/>
          <w:szCs w:val="19"/>
        </w:rPr>
        <w:t>，</w:t>
      </w:r>
      <w:r>
        <w:rPr>
          <w:rFonts w:ascii="宋体" w:hAnsi="宋体" w:eastAsia="宋体" w:cs="宋体"/>
          <w:spacing w:val="16"/>
          <w:sz w:val="19"/>
          <w:szCs w:val="19"/>
        </w:rPr>
        <w:t>树</w:t>
      </w:r>
      <w:r>
        <w:rPr>
          <w:rFonts w:ascii="宋体" w:hAnsi="宋体" w:eastAsia="宋体" w:cs="宋体"/>
          <w:spacing w:val="15"/>
          <w:sz w:val="19"/>
          <w:szCs w:val="19"/>
        </w:rPr>
        <w:t>立通识 教育理念</w:t>
      </w:r>
      <w:r>
        <w:rPr>
          <w:rFonts w:ascii="微软雅黑" w:hAnsi="微软雅黑" w:eastAsia="微软雅黑" w:cs="微软雅黑"/>
          <w:spacing w:val="15"/>
          <w:sz w:val="19"/>
          <w:szCs w:val="19"/>
        </w:rPr>
        <w:t>，</w:t>
      </w:r>
      <w:r>
        <w:rPr>
          <w:rFonts w:ascii="宋体" w:hAnsi="宋体" w:eastAsia="宋体" w:cs="宋体"/>
          <w:spacing w:val="15"/>
          <w:sz w:val="19"/>
          <w:szCs w:val="19"/>
        </w:rPr>
        <w:t>构建通识能力</w:t>
      </w:r>
      <w:r>
        <w:rPr>
          <w:rFonts w:ascii="宋体" w:hAnsi="宋体" w:eastAsia="宋体" w:cs="宋体"/>
          <w:spacing w:val="-38"/>
          <w:sz w:val="19"/>
          <w:szCs w:val="19"/>
        </w:rPr>
        <w:t xml:space="preserve"> </w:t>
      </w:r>
      <w:r>
        <w:rPr>
          <w:rFonts w:ascii="宋体" w:hAnsi="宋体" w:eastAsia="宋体" w:cs="宋体"/>
          <w:spacing w:val="15"/>
          <w:sz w:val="19"/>
          <w:szCs w:val="19"/>
        </w:rPr>
        <w:t xml:space="preserve">网络图并完善通识素养框 </w:t>
      </w:r>
      <w:r>
        <w:rPr>
          <w:rFonts w:ascii="宋体" w:hAnsi="宋体" w:eastAsia="宋体" w:cs="宋体"/>
          <w:spacing w:val="5"/>
          <w:sz w:val="19"/>
          <w:szCs w:val="19"/>
        </w:rPr>
        <w:t>架</w:t>
      </w:r>
      <w:r>
        <w:rPr>
          <w:rFonts w:ascii="微软雅黑" w:hAnsi="微软雅黑" w:eastAsia="微软雅黑" w:cs="微软雅黑"/>
          <w:spacing w:val="5"/>
          <w:sz w:val="19"/>
          <w:szCs w:val="19"/>
        </w:rPr>
        <w:t>，</w:t>
      </w:r>
      <w:r>
        <w:rPr>
          <w:rFonts w:ascii="宋体" w:hAnsi="宋体" w:eastAsia="宋体" w:cs="宋体"/>
          <w:spacing w:val="5"/>
          <w:sz w:val="19"/>
          <w:szCs w:val="19"/>
        </w:rPr>
        <w:t>为人才培养提供导向</w:t>
      </w:r>
      <w:r>
        <w:rPr>
          <w:rFonts w:ascii="宋体" w:hAnsi="宋体" w:eastAsia="宋体" w:cs="宋体"/>
          <w:spacing w:val="-39"/>
          <w:sz w:val="19"/>
          <w:szCs w:val="19"/>
        </w:rPr>
        <w:t xml:space="preserve"> </w:t>
      </w:r>
      <w:r>
        <w:rPr>
          <w:rFonts w:ascii="微软雅黑" w:hAnsi="微软雅黑" w:eastAsia="微软雅黑" w:cs="微软雅黑"/>
          <w:spacing w:val="5"/>
          <w:sz w:val="19"/>
          <w:szCs w:val="19"/>
        </w:rPr>
        <w:t>。</w:t>
      </w:r>
      <w:r>
        <w:rPr>
          <w:rFonts w:ascii="微软雅黑" w:hAnsi="微软雅黑" w:eastAsia="微软雅黑" w:cs="微软雅黑"/>
          <w:spacing w:val="-20"/>
          <w:sz w:val="19"/>
          <w:szCs w:val="19"/>
        </w:rPr>
        <w:t xml:space="preserve"> </w:t>
      </w:r>
      <w:r>
        <w:rPr>
          <w:rFonts w:ascii="宋体" w:hAnsi="宋体" w:eastAsia="宋体" w:cs="宋体"/>
          <w:spacing w:val="5"/>
          <w:sz w:val="19"/>
          <w:szCs w:val="19"/>
        </w:rPr>
        <w:t>同时</w:t>
      </w:r>
      <w:r>
        <w:rPr>
          <w:rFonts w:ascii="微软雅黑" w:hAnsi="微软雅黑" w:eastAsia="微软雅黑" w:cs="微软雅黑"/>
          <w:spacing w:val="5"/>
          <w:sz w:val="19"/>
          <w:szCs w:val="19"/>
        </w:rPr>
        <w:t>，</w:t>
      </w:r>
      <w:r>
        <w:rPr>
          <w:rFonts w:ascii="宋体" w:hAnsi="宋体" w:eastAsia="宋体" w:cs="宋体"/>
          <w:spacing w:val="5"/>
          <w:sz w:val="19"/>
          <w:szCs w:val="19"/>
        </w:rPr>
        <w:t xml:space="preserve">在具体的教学过程 </w:t>
      </w:r>
      <w:r>
        <w:rPr>
          <w:rFonts w:ascii="宋体" w:hAnsi="宋体" w:eastAsia="宋体" w:cs="宋体"/>
          <w:spacing w:val="13"/>
          <w:sz w:val="19"/>
          <w:szCs w:val="19"/>
        </w:rPr>
        <w:t>中注重培养学生的知识迁移</w:t>
      </w:r>
      <w:r>
        <w:rPr>
          <w:rFonts w:ascii="宋体" w:hAnsi="宋体" w:eastAsia="宋体" w:cs="宋体"/>
          <w:spacing w:val="-45"/>
          <w:sz w:val="19"/>
          <w:szCs w:val="19"/>
        </w:rPr>
        <w:t xml:space="preserve"> </w:t>
      </w:r>
      <w:r>
        <w:rPr>
          <w:rFonts w:ascii="宋体" w:hAnsi="宋体" w:eastAsia="宋体" w:cs="宋体"/>
          <w:spacing w:val="13"/>
          <w:sz w:val="19"/>
          <w:szCs w:val="19"/>
        </w:rPr>
        <w:t>能力及</w:t>
      </w:r>
      <w:r>
        <w:rPr>
          <w:rFonts w:ascii="宋体" w:hAnsi="宋体" w:eastAsia="宋体" w:cs="宋体"/>
          <w:spacing w:val="-42"/>
          <w:sz w:val="19"/>
          <w:szCs w:val="19"/>
        </w:rPr>
        <w:t xml:space="preserve"> </w:t>
      </w:r>
      <w:r>
        <w:rPr>
          <w:rFonts w:ascii="宋体" w:hAnsi="宋体" w:eastAsia="宋体" w:cs="宋体"/>
          <w:spacing w:val="13"/>
          <w:sz w:val="19"/>
          <w:szCs w:val="19"/>
        </w:rPr>
        <w:t>问题意识</w:t>
      </w:r>
      <w:r>
        <w:rPr>
          <w:rFonts w:ascii="微软雅黑" w:hAnsi="微软雅黑" w:eastAsia="微软雅黑" w:cs="微软雅黑"/>
          <w:spacing w:val="13"/>
          <w:sz w:val="19"/>
          <w:szCs w:val="19"/>
        </w:rPr>
        <w:t>，</w:t>
      </w:r>
      <w:r>
        <w:rPr>
          <w:rFonts w:ascii="宋体" w:hAnsi="宋体" w:eastAsia="宋体" w:cs="宋体"/>
          <w:spacing w:val="13"/>
          <w:sz w:val="19"/>
          <w:szCs w:val="19"/>
        </w:rPr>
        <w:t xml:space="preserve">鼓励 </w:t>
      </w:r>
      <w:r>
        <w:rPr>
          <w:rFonts w:ascii="宋体" w:hAnsi="宋体" w:eastAsia="宋体" w:cs="宋体"/>
          <w:spacing w:val="17"/>
          <w:sz w:val="19"/>
          <w:szCs w:val="19"/>
        </w:rPr>
        <w:t xml:space="preserve">学生注重以本专业的知识解决其他专业的问题和用 </w:t>
      </w:r>
      <w:r>
        <w:rPr>
          <w:rFonts w:ascii="宋体" w:hAnsi="宋体" w:eastAsia="宋体" w:cs="宋体"/>
          <w:spacing w:val="8"/>
          <w:sz w:val="19"/>
          <w:szCs w:val="19"/>
        </w:rPr>
        <w:t>其他专业的知识解决本专业</w:t>
      </w:r>
      <w:r>
        <w:rPr>
          <w:rFonts w:ascii="宋体" w:hAnsi="宋体" w:eastAsia="宋体" w:cs="宋体"/>
          <w:spacing w:val="-37"/>
          <w:sz w:val="19"/>
          <w:szCs w:val="19"/>
        </w:rPr>
        <w:t xml:space="preserve"> </w:t>
      </w:r>
      <w:r>
        <w:rPr>
          <w:rFonts w:ascii="宋体" w:hAnsi="宋体" w:eastAsia="宋体" w:cs="宋体"/>
          <w:spacing w:val="8"/>
          <w:sz w:val="19"/>
          <w:szCs w:val="19"/>
        </w:rPr>
        <w:t>的</w:t>
      </w:r>
      <w:r>
        <w:rPr>
          <w:rFonts w:ascii="宋体" w:hAnsi="宋体" w:eastAsia="宋体" w:cs="宋体"/>
          <w:spacing w:val="-42"/>
          <w:sz w:val="19"/>
          <w:szCs w:val="19"/>
        </w:rPr>
        <w:t xml:space="preserve"> </w:t>
      </w:r>
      <w:r>
        <w:rPr>
          <w:rFonts w:ascii="宋体" w:hAnsi="宋体" w:eastAsia="宋体" w:cs="宋体"/>
          <w:spacing w:val="8"/>
          <w:sz w:val="19"/>
          <w:szCs w:val="19"/>
        </w:rPr>
        <w:t>问题</w:t>
      </w:r>
      <w:r>
        <w:rPr>
          <w:rFonts w:ascii="宋体" w:hAnsi="宋体" w:eastAsia="宋体" w:cs="宋体"/>
          <w:spacing w:val="-51"/>
          <w:sz w:val="19"/>
          <w:szCs w:val="19"/>
        </w:rPr>
        <w:t xml:space="preserve"> </w:t>
      </w:r>
      <w:r>
        <w:rPr>
          <w:rFonts w:ascii="微软雅黑" w:hAnsi="微软雅黑" w:eastAsia="微软雅黑" w:cs="微软雅黑"/>
          <w:spacing w:val="8"/>
          <w:sz w:val="19"/>
          <w:szCs w:val="19"/>
        </w:rPr>
        <w:t>。</w:t>
      </w:r>
      <w:r>
        <w:rPr>
          <w:rFonts w:ascii="微软雅黑" w:hAnsi="微软雅黑" w:eastAsia="微软雅黑" w:cs="微软雅黑"/>
          <w:spacing w:val="-33"/>
          <w:sz w:val="19"/>
          <w:szCs w:val="19"/>
        </w:rPr>
        <w:t xml:space="preserve"> </w:t>
      </w:r>
      <w:r>
        <w:rPr>
          <w:rFonts w:ascii="宋体" w:hAnsi="宋体" w:eastAsia="宋体" w:cs="宋体"/>
          <w:spacing w:val="8"/>
          <w:sz w:val="19"/>
          <w:szCs w:val="19"/>
        </w:rPr>
        <w:t>例如</w:t>
      </w:r>
      <w:r>
        <w:rPr>
          <w:rFonts w:ascii="微软雅黑" w:hAnsi="微软雅黑" w:eastAsia="微软雅黑" w:cs="微软雅黑"/>
          <w:spacing w:val="8"/>
          <w:sz w:val="19"/>
          <w:szCs w:val="19"/>
        </w:rPr>
        <w:t>，</w:t>
      </w:r>
      <w:r>
        <w:rPr>
          <w:rFonts w:ascii="宋体" w:hAnsi="宋体" w:eastAsia="宋体" w:cs="宋体"/>
          <w:spacing w:val="8"/>
          <w:sz w:val="19"/>
          <w:szCs w:val="19"/>
        </w:rPr>
        <w:t>设置</w:t>
      </w:r>
      <w:r>
        <w:rPr>
          <w:rFonts w:ascii="宋体" w:hAnsi="宋体" w:eastAsia="宋体" w:cs="宋体"/>
          <w:spacing w:val="-55"/>
          <w:sz w:val="19"/>
          <w:szCs w:val="19"/>
        </w:rPr>
        <w:t xml:space="preserve"> </w:t>
      </w:r>
      <w:r>
        <w:rPr>
          <w:rFonts w:ascii="宋体" w:hAnsi="宋体" w:eastAsia="宋体" w:cs="宋体"/>
          <w:spacing w:val="8"/>
          <w:sz w:val="19"/>
          <w:szCs w:val="19"/>
        </w:rPr>
        <w:t xml:space="preserve">多 </w:t>
      </w:r>
      <w:r>
        <w:rPr>
          <w:rFonts w:ascii="宋体" w:hAnsi="宋体" w:eastAsia="宋体" w:cs="宋体"/>
          <w:spacing w:val="12"/>
          <w:sz w:val="19"/>
          <w:szCs w:val="19"/>
        </w:rPr>
        <w:t>专业融合的社会实践核心课程</w:t>
      </w:r>
      <w:r>
        <w:rPr>
          <w:rFonts w:ascii="微软雅黑" w:hAnsi="微软雅黑" w:eastAsia="微软雅黑" w:cs="微软雅黑"/>
          <w:spacing w:val="12"/>
          <w:sz w:val="19"/>
          <w:szCs w:val="19"/>
        </w:rPr>
        <w:t>，</w:t>
      </w:r>
      <w:r>
        <w:rPr>
          <w:rFonts w:ascii="宋体" w:hAnsi="宋体" w:eastAsia="宋体" w:cs="宋体"/>
          <w:spacing w:val="12"/>
          <w:sz w:val="19"/>
          <w:szCs w:val="19"/>
        </w:rPr>
        <w:t>由不</w:t>
      </w:r>
      <w:r>
        <w:rPr>
          <w:rFonts w:ascii="宋体" w:hAnsi="宋体" w:eastAsia="宋体" w:cs="宋体"/>
          <w:spacing w:val="-37"/>
          <w:sz w:val="19"/>
          <w:szCs w:val="19"/>
        </w:rPr>
        <w:t xml:space="preserve"> </w:t>
      </w:r>
      <w:r>
        <w:rPr>
          <w:rFonts w:ascii="宋体" w:hAnsi="宋体" w:eastAsia="宋体" w:cs="宋体"/>
          <w:spacing w:val="12"/>
          <w:sz w:val="19"/>
          <w:szCs w:val="19"/>
        </w:rPr>
        <w:t>同科</w:t>
      </w:r>
      <w:r>
        <w:rPr>
          <w:rFonts w:ascii="宋体" w:hAnsi="宋体" w:eastAsia="宋体" w:cs="宋体"/>
          <w:spacing w:val="-27"/>
          <w:sz w:val="19"/>
          <w:szCs w:val="19"/>
        </w:rPr>
        <w:t xml:space="preserve"> </w:t>
      </w:r>
      <w:r>
        <w:rPr>
          <w:rFonts w:ascii="宋体" w:hAnsi="宋体" w:eastAsia="宋体" w:cs="宋体"/>
          <w:spacing w:val="12"/>
          <w:sz w:val="19"/>
          <w:szCs w:val="19"/>
        </w:rPr>
        <w:t xml:space="preserve">目老师联 </w:t>
      </w:r>
      <w:r>
        <w:rPr>
          <w:rFonts w:ascii="宋体" w:hAnsi="宋体" w:eastAsia="宋体" w:cs="宋体"/>
          <w:spacing w:val="9"/>
          <w:sz w:val="19"/>
          <w:szCs w:val="19"/>
        </w:rPr>
        <w:t>合开展教学</w:t>
      </w:r>
      <w:r>
        <w:rPr>
          <w:rFonts w:ascii="微软雅黑" w:hAnsi="微软雅黑" w:eastAsia="微软雅黑" w:cs="微软雅黑"/>
          <w:spacing w:val="9"/>
          <w:sz w:val="19"/>
          <w:szCs w:val="19"/>
        </w:rPr>
        <w:t>；</w:t>
      </w:r>
      <w:r>
        <w:rPr>
          <w:rFonts w:ascii="宋体" w:hAnsi="宋体" w:eastAsia="宋体" w:cs="宋体"/>
          <w:spacing w:val="9"/>
          <w:sz w:val="19"/>
          <w:szCs w:val="19"/>
        </w:rPr>
        <w:t>鼓励教师采用现象教学法</w:t>
      </w:r>
      <w:r>
        <w:rPr>
          <w:rFonts w:ascii="微软雅黑" w:hAnsi="微软雅黑" w:eastAsia="微软雅黑" w:cs="微软雅黑"/>
          <w:spacing w:val="9"/>
          <w:sz w:val="19"/>
          <w:szCs w:val="19"/>
        </w:rPr>
        <w:t>，</w:t>
      </w:r>
      <w:r>
        <w:rPr>
          <w:rFonts w:ascii="宋体" w:hAnsi="宋体" w:eastAsia="宋体" w:cs="宋体"/>
          <w:spacing w:val="9"/>
          <w:sz w:val="19"/>
          <w:szCs w:val="19"/>
        </w:rPr>
        <w:t>即事</w:t>
      </w:r>
      <w:r>
        <w:rPr>
          <w:rFonts w:ascii="宋体" w:hAnsi="宋体" w:eastAsia="宋体" w:cs="宋体"/>
          <w:spacing w:val="8"/>
          <w:sz w:val="19"/>
          <w:szCs w:val="19"/>
        </w:rPr>
        <w:t xml:space="preserve">先确定 </w:t>
      </w:r>
      <w:r>
        <w:rPr>
          <w:rFonts w:ascii="宋体" w:hAnsi="宋体" w:eastAsia="宋体" w:cs="宋体"/>
          <w:spacing w:val="15"/>
          <w:sz w:val="19"/>
          <w:szCs w:val="19"/>
        </w:rPr>
        <w:t>一定的教学主题</w:t>
      </w:r>
      <w:r>
        <w:rPr>
          <w:rFonts w:ascii="微软雅黑" w:hAnsi="微软雅黑" w:eastAsia="微软雅黑" w:cs="微软雅黑"/>
          <w:spacing w:val="15"/>
          <w:sz w:val="19"/>
          <w:szCs w:val="19"/>
        </w:rPr>
        <w:t>，</w:t>
      </w:r>
      <w:r>
        <w:rPr>
          <w:rFonts w:ascii="宋体" w:hAnsi="宋体" w:eastAsia="宋体" w:cs="宋体"/>
          <w:spacing w:val="15"/>
          <w:sz w:val="19"/>
          <w:szCs w:val="19"/>
        </w:rPr>
        <w:t>然后将各专业</w:t>
      </w:r>
      <w:r>
        <w:rPr>
          <w:rFonts w:ascii="宋体" w:hAnsi="宋体" w:eastAsia="宋体" w:cs="宋体"/>
          <w:spacing w:val="-38"/>
          <w:sz w:val="19"/>
          <w:szCs w:val="19"/>
        </w:rPr>
        <w:t xml:space="preserve"> </w:t>
      </w:r>
      <w:r>
        <w:rPr>
          <w:rFonts w:ascii="宋体" w:hAnsi="宋体" w:eastAsia="宋体" w:cs="宋体"/>
          <w:spacing w:val="15"/>
          <w:sz w:val="19"/>
          <w:szCs w:val="19"/>
        </w:rPr>
        <w:t xml:space="preserve">门类的知识融合进 </w:t>
      </w:r>
      <w:r>
        <w:rPr>
          <w:rFonts w:ascii="宋体" w:hAnsi="宋体" w:eastAsia="宋体" w:cs="宋体"/>
          <w:spacing w:val="10"/>
          <w:sz w:val="19"/>
          <w:szCs w:val="19"/>
        </w:rPr>
        <w:t>一个主题情境</w:t>
      </w:r>
      <w:r>
        <w:rPr>
          <w:rFonts w:ascii="宋体" w:hAnsi="宋体" w:eastAsia="宋体" w:cs="宋体"/>
          <w:spacing w:val="-34"/>
          <w:sz w:val="19"/>
          <w:szCs w:val="19"/>
        </w:rPr>
        <w:t xml:space="preserve"> </w:t>
      </w:r>
      <w:r>
        <w:rPr>
          <w:rFonts w:ascii="宋体" w:hAnsi="宋体" w:eastAsia="宋体" w:cs="宋体"/>
          <w:spacing w:val="10"/>
          <w:sz w:val="19"/>
          <w:szCs w:val="19"/>
        </w:rPr>
        <w:t>中进行教学等</w:t>
      </w:r>
      <w:r>
        <w:rPr>
          <w:rFonts w:ascii="宋体" w:hAnsi="宋体" w:eastAsia="宋体" w:cs="宋体"/>
          <w:spacing w:val="-51"/>
          <w:sz w:val="19"/>
          <w:szCs w:val="19"/>
        </w:rPr>
        <w:t xml:space="preserve"> </w:t>
      </w:r>
      <w:r>
        <w:rPr>
          <w:rFonts w:ascii="微软雅黑" w:hAnsi="微软雅黑" w:eastAsia="微软雅黑" w:cs="微软雅黑"/>
          <w:spacing w:val="10"/>
          <w:sz w:val="19"/>
          <w:szCs w:val="19"/>
        </w:rPr>
        <w:t>。</w:t>
      </w:r>
      <w:r>
        <w:rPr>
          <w:rFonts w:ascii="微软雅黑" w:hAnsi="微软雅黑" w:eastAsia="微软雅黑" w:cs="微软雅黑"/>
          <w:spacing w:val="-28"/>
          <w:sz w:val="19"/>
          <w:szCs w:val="19"/>
        </w:rPr>
        <w:t xml:space="preserve"> </w:t>
      </w:r>
      <w:r>
        <w:rPr>
          <w:rFonts w:ascii="宋体" w:hAnsi="宋体" w:eastAsia="宋体" w:cs="宋体"/>
          <w:spacing w:val="10"/>
          <w:sz w:val="19"/>
          <w:szCs w:val="19"/>
        </w:rPr>
        <w:t>总之</w:t>
      </w:r>
      <w:r>
        <w:rPr>
          <w:rFonts w:ascii="微软雅黑" w:hAnsi="微软雅黑" w:eastAsia="微软雅黑" w:cs="微软雅黑"/>
          <w:spacing w:val="10"/>
          <w:sz w:val="19"/>
          <w:szCs w:val="19"/>
        </w:rPr>
        <w:t>，</w:t>
      </w:r>
      <w:r>
        <w:rPr>
          <w:rFonts w:ascii="宋体" w:hAnsi="宋体" w:eastAsia="宋体" w:cs="宋体"/>
          <w:spacing w:val="10"/>
          <w:sz w:val="19"/>
          <w:szCs w:val="19"/>
        </w:rPr>
        <w:t>要将通识教</w:t>
      </w:r>
      <w:r>
        <w:rPr>
          <w:rFonts w:ascii="宋体" w:hAnsi="宋体" w:eastAsia="宋体" w:cs="宋体"/>
          <w:spacing w:val="-56"/>
          <w:sz w:val="19"/>
          <w:szCs w:val="19"/>
        </w:rPr>
        <w:t xml:space="preserve"> </w:t>
      </w:r>
      <w:r>
        <w:rPr>
          <w:rFonts w:ascii="宋体" w:hAnsi="宋体" w:eastAsia="宋体" w:cs="宋体"/>
          <w:spacing w:val="10"/>
          <w:sz w:val="19"/>
          <w:szCs w:val="19"/>
        </w:rPr>
        <w:t xml:space="preserve">育 </w:t>
      </w:r>
      <w:r>
        <w:rPr>
          <w:rFonts w:ascii="宋体" w:hAnsi="宋体" w:eastAsia="宋体" w:cs="宋体"/>
          <w:spacing w:val="20"/>
          <w:sz w:val="19"/>
          <w:szCs w:val="19"/>
        </w:rPr>
        <w:t>改革融于我国的高等教</w:t>
      </w:r>
      <w:r>
        <w:rPr>
          <w:rFonts w:ascii="宋体" w:hAnsi="宋体" w:eastAsia="宋体" w:cs="宋体"/>
          <w:spacing w:val="-57"/>
          <w:sz w:val="19"/>
          <w:szCs w:val="19"/>
        </w:rPr>
        <w:t xml:space="preserve"> </w:t>
      </w:r>
      <w:r>
        <w:rPr>
          <w:rFonts w:ascii="宋体" w:hAnsi="宋体" w:eastAsia="宋体" w:cs="宋体"/>
          <w:spacing w:val="20"/>
          <w:sz w:val="19"/>
          <w:szCs w:val="19"/>
        </w:rPr>
        <w:t>育质量文化建设进程之中</w:t>
      </w:r>
      <w:r>
        <w:rPr>
          <w:rFonts w:ascii="微软雅黑" w:hAnsi="微软雅黑" w:eastAsia="微软雅黑" w:cs="微软雅黑"/>
          <w:spacing w:val="20"/>
          <w:sz w:val="19"/>
          <w:szCs w:val="19"/>
        </w:rPr>
        <w:t>，</w:t>
      </w:r>
      <w:r>
        <w:rPr>
          <w:rFonts w:ascii="微软雅黑" w:hAnsi="微软雅黑" w:eastAsia="微软雅黑" w:cs="微软雅黑"/>
          <w:sz w:val="19"/>
          <w:szCs w:val="19"/>
        </w:rPr>
        <w:t xml:space="preserve"> </w:t>
      </w:r>
      <w:r>
        <w:rPr>
          <w:rFonts w:ascii="宋体" w:hAnsi="宋体" w:eastAsia="宋体" w:cs="宋体"/>
          <w:spacing w:val="13"/>
          <w:sz w:val="19"/>
          <w:szCs w:val="19"/>
        </w:rPr>
        <w:t>切实提高我国高等教</w:t>
      </w:r>
      <w:r>
        <w:rPr>
          <w:rFonts w:ascii="宋体" w:hAnsi="宋体" w:eastAsia="宋体" w:cs="宋体"/>
          <w:spacing w:val="-39"/>
          <w:sz w:val="19"/>
          <w:szCs w:val="19"/>
        </w:rPr>
        <w:t xml:space="preserve"> </w:t>
      </w:r>
      <w:r>
        <w:rPr>
          <w:rFonts w:ascii="宋体" w:hAnsi="宋体" w:eastAsia="宋体" w:cs="宋体"/>
          <w:spacing w:val="13"/>
          <w:sz w:val="19"/>
          <w:szCs w:val="19"/>
        </w:rPr>
        <w:t>育</w:t>
      </w:r>
      <w:r>
        <w:rPr>
          <w:rFonts w:ascii="宋体" w:hAnsi="宋体" w:eastAsia="宋体" w:cs="宋体"/>
          <w:spacing w:val="-48"/>
          <w:sz w:val="19"/>
          <w:szCs w:val="19"/>
        </w:rPr>
        <w:t xml:space="preserve"> </w:t>
      </w:r>
      <w:r>
        <w:rPr>
          <w:rFonts w:ascii="宋体" w:hAnsi="宋体" w:eastAsia="宋体" w:cs="宋体"/>
          <w:spacing w:val="13"/>
          <w:sz w:val="19"/>
          <w:szCs w:val="19"/>
        </w:rPr>
        <w:t>的人才培养质量</w:t>
      </w:r>
      <w:r>
        <w:rPr>
          <w:rFonts w:ascii="微软雅黑" w:hAnsi="微软雅黑" w:eastAsia="微软雅黑" w:cs="微软雅黑"/>
          <w:spacing w:val="13"/>
          <w:sz w:val="19"/>
          <w:szCs w:val="19"/>
        </w:rPr>
        <w:t>，</w:t>
      </w:r>
      <w:r>
        <w:rPr>
          <w:rFonts w:ascii="宋体" w:hAnsi="宋体" w:eastAsia="宋体" w:cs="宋体"/>
          <w:spacing w:val="13"/>
          <w:sz w:val="19"/>
          <w:szCs w:val="19"/>
        </w:rPr>
        <w:t xml:space="preserve">从而更好 </w:t>
      </w:r>
      <w:r>
        <w:rPr>
          <w:rFonts w:ascii="宋体" w:hAnsi="宋体" w:eastAsia="宋体" w:cs="宋体"/>
          <w:spacing w:val="18"/>
          <w:sz w:val="19"/>
          <w:szCs w:val="19"/>
        </w:rPr>
        <w:t>地实现高等教育为社会服务的职能</w:t>
      </w:r>
      <w:r>
        <w:rPr>
          <w:rFonts w:ascii="微软雅黑" w:hAnsi="微软雅黑" w:eastAsia="微软雅黑" w:cs="微软雅黑"/>
          <w:spacing w:val="18"/>
          <w:sz w:val="19"/>
          <w:szCs w:val="19"/>
        </w:rPr>
        <w:t>。</w:t>
      </w:r>
    </w:p>
    <w:p>
      <w:pPr>
        <w:spacing w:before="66" w:line="212" w:lineRule="auto"/>
        <w:ind w:left="1293"/>
        <w:rPr>
          <w:rFonts w:ascii="黑体" w:hAnsi="黑体" w:eastAsia="黑体" w:cs="黑体"/>
          <w:sz w:val="19"/>
          <w:szCs w:val="19"/>
        </w:rPr>
      </w:pPr>
      <w:r>
        <w:rPr>
          <w:rFonts w:ascii="Arial" w:hAnsi="Arial" w:eastAsia="Arial" w:cs="Arial"/>
          <w:spacing w:val="15"/>
          <w:sz w:val="19"/>
          <w:szCs w:val="19"/>
        </w:rPr>
        <w:t>5.</w:t>
      </w:r>
      <w:r>
        <w:rPr>
          <w:rFonts w:ascii="黑体" w:hAnsi="黑体" w:eastAsia="黑体" w:cs="黑体"/>
          <w:spacing w:val="15"/>
          <w:sz w:val="19"/>
          <w:szCs w:val="19"/>
        </w:rPr>
        <w:t>完善评估评审机制建设</w:t>
      </w:r>
    </w:p>
    <w:p>
      <w:pPr>
        <w:spacing w:before="101" w:line="232" w:lineRule="auto"/>
        <w:ind w:left="872" w:right="271" w:firstLine="420"/>
        <w:rPr>
          <w:rFonts w:ascii="微软雅黑" w:hAnsi="微软雅黑" w:eastAsia="微软雅黑" w:cs="微软雅黑"/>
          <w:sz w:val="19"/>
          <w:szCs w:val="19"/>
        </w:rPr>
      </w:pPr>
      <w:r>
        <w:rPr>
          <w:rFonts w:ascii="宋体" w:hAnsi="宋体" w:eastAsia="宋体" w:cs="宋体"/>
          <w:spacing w:val="17"/>
          <w:sz w:val="19"/>
          <w:szCs w:val="19"/>
        </w:rPr>
        <w:t xml:space="preserve">质量文化建设应当将文化观念建设与管理机制 </w:t>
      </w:r>
      <w:r>
        <w:rPr>
          <w:rFonts w:ascii="宋体" w:hAnsi="宋体" w:eastAsia="宋体" w:cs="宋体"/>
          <w:spacing w:val="15"/>
          <w:sz w:val="19"/>
          <w:szCs w:val="19"/>
        </w:rPr>
        <w:t>建设相结合</w:t>
      </w:r>
      <w:r>
        <w:rPr>
          <w:rFonts w:ascii="宋体" w:hAnsi="宋体" w:eastAsia="宋体" w:cs="宋体"/>
          <w:spacing w:val="-38"/>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完善高等教育评估评审的系统和机制 </w:t>
      </w:r>
      <w:r>
        <w:rPr>
          <w:rFonts w:ascii="宋体" w:hAnsi="宋体" w:eastAsia="宋体" w:cs="宋体"/>
          <w:spacing w:val="12"/>
          <w:sz w:val="19"/>
          <w:szCs w:val="19"/>
        </w:rPr>
        <w:t>是高等教育质量文化建设</w:t>
      </w:r>
      <w:r>
        <w:rPr>
          <w:rFonts w:ascii="宋体" w:hAnsi="宋体" w:eastAsia="宋体" w:cs="宋体"/>
          <w:spacing w:val="-49"/>
          <w:sz w:val="19"/>
          <w:szCs w:val="19"/>
        </w:rPr>
        <w:t xml:space="preserve"> </w:t>
      </w:r>
      <w:r>
        <w:rPr>
          <w:rFonts w:ascii="宋体" w:hAnsi="宋体" w:eastAsia="宋体" w:cs="宋体"/>
          <w:spacing w:val="12"/>
          <w:sz w:val="19"/>
          <w:szCs w:val="19"/>
        </w:rPr>
        <w:t>的重要一环</w:t>
      </w:r>
      <w:r>
        <w:rPr>
          <w:rFonts w:ascii="宋体" w:hAnsi="宋体" w:eastAsia="宋体" w:cs="宋体"/>
          <w:spacing w:val="-50"/>
          <w:sz w:val="19"/>
          <w:szCs w:val="19"/>
        </w:rPr>
        <w:t xml:space="preserve"> </w:t>
      </w:r>
      <w:r>
        <w:rPr>
          <w:rFonts w:ascii="微软雅黑" w:hAnsi="微软雅黑" w:eastAsia="微软雅黑" w:cs="微软雅黑"/>
          <w:spacing w:val="12"/>
          <w:sz w:val="19"/>
          <w:szCs w:val="19"/>
        </w:rPr>
        <w:t>。</w:t>
      </w:r>
      <w:r>
        <w:rPr>
          <w:rFonts w:ascii="微软雅黑" w:hAnsi="微软雅黑" w:eastAsia="微软雅黑" w:cs="微软雅黑"/>
          <w:spacing w:val="-21"/>
          <w:sz w:val="19"/>
          <w:szCs w:val="19"/>
        </w:rPr>
        <w:t xml:space="preserve"> </w:t>
      </w:r>
      <w:r>
        <w:rPr>
          <w:rFonts w:ascii="宋体" w:hAnsi="宋体" w:eastAsia="宋体" w:cs="宋体"/>
          <w:spacing w:val="12"/>
          <w:sz w:val="19"/>
          <w:szCs w:val="19"/>
        </w:rPr>
        <w:t>当前</w:t>
      </w:r>
      <w:r>
        <w:rPr>
          <w:rFonts w:ascii="微软雅黑" w:hAnsi="微软雅黑" w:eastAsia="微软雅黑" w:cs="微软雅黑"/>
          <w:spacing w:val="12"/>
          <w:sz w:val="19"/>
          <w:szCs w:val="19"/>
        </w:rPr>
        <w:t>，</w:t>
      </w:r>
      <w:r>
        <w:rPr>
          <w:rFonts w:ascii="宋体" w:hAnsi="宋体" w:eastAsia="宋体" w:cs="宋体"/>
          <w:spacing w:val="12"/>
          <w:sz w:val="19"/>
          <w:szCs w:val="19"/>
        </w:rPr>
        <w:t xml:space="preserve">虽然 </w:t>
      </w:r>
      <w:r>
        <w:rPr>
          <w:rFonts w:ascii="宋体" w:hAnsi="宋体" w:eastAsia="宋体" w:cs="宋体"/>
          <w:spacing w:val="8"/>
          <w:sz w:val="19"/>
          <w:szCs w:val="19"/>
        </w:rPr>
        <w:t>我国注重高等院校</w:t>
      </w:r>
      <w:r>
        <w:rPr>
          <w:rFonts w:ascii="宋体" w:hAnsi="宋体" w:eastAsia="宋体" w:cs="宋体"/>
          <w:spacing w:val="-32"/>
          <w:sz w:val="19"/>
          <w:szCs w:val="19"/>
        </w:rPr>
        <w:t xml:space="preserve"> </w:t>
      </w:r>
      <w:r>
        <w:rPr>
          <w:rFonts w:ascii="宋体" w:hAnsi="宋体" w:eastAsia="宋体" w:cs="宋体"/>
          <w:spacing w:val="8"/>
          <w:sz w:val="19"/>
          <w:szCs w:val="19"/>
        </w:rPr>
        <w:t>的管理和规范</w:t>
      </w:r>
      <w:r>
        <w:rPr>
          <w:rFonts w:ascii="微软雅黑" w:hAnsi="微软雅黑" w:eastAsia="微软雅黑" w:cs="微软雅黑"/>
          <w:spacing w:val="8"/>
          <w:sz w:val="19"/>
          <w:szCs w:val="19"/>
        </w:rPr>
        <w:t>，</w:t>
      </w:r>
      <w:r>
        <w:rPr>
          <w:rFonts w:ascii="宋体" w:hAnsi="宋体" w:eastAsia="宋体" w:cs="宋体"/>
          <w:spacing w:val="8"/>
          <w:sz w:val="19"/>
          <w:szCs w:val="19"/>
        </w:rPr>
        <w:t>但</w:t>
      </w:r>
      <w:r>
        <w:rPr>
          <w:rFonts w:ascii="宋体" w:hAnsi="宋体" w:eastAsia="宋体" w:cs="宋体"/>
          <w:spacing w:val="-55"/>
          <w:sz w:val="19"/>
          <w:szCs w:val="19"/>
        </w:rPr>
        <w:t xml:space="preserve"> </w:t>
      </w:r>
      <w:r>
        <w:rPr>
          <w:rFonts w:ascii="宋体" w:hAnsi="宋体" w:eastAsia="宋体" w:cs="宋体"/>
          <w:spacing w:val="8"/>
          <w:sz w:val="19"/>
          <w:szCs w:val="19"/>
        </w:rPr>
        <w:t>多是</w:t>
      </w:r>
      <w:r>
        <w:rPr>
          <w:rFonts w:ascii="宋体" w:hAnsi="宋体" w:eastAsia="宋体" w:cs="宋体"/>
          <w:spacing w:val="-43"/>
          <w:sz w:val="19"/>
          <w:szCs w:val="19"/>
        </w:rPr>
        <w:t xml:space="preserve"> </w:t>
      </w:r>
      <w:r>
        <w:rPr>
          <w:rFonts w:ascii="宋体" w:hAnsi="宋体" w:eastAsia="宋体" w:cs="宋体"/>
          <w:spacing w:val="8"/>
          <w:sz w:val="19"/>
          <w:szCs w:val="19"/>
        </w:rPr>
        <w:t>以政府</w:t>
      </w:r>
      <w:r>
        <w:rPr>
          <w:rFonts w:ascii="宋体" w:hAnsi="宋体" w:eastAsia="宋体" w:cs="宋体"/>
          <w:spacing w:val="-32"/>
          <w:sz w:val="19"/>
          <w:szCs w:val="19"/>
        </w:rPr>
        <w:t xml:space="preserve"> </w:t>
      </w:r>
      <w:r>
        <w:rPr>
          <w:rFonts w:ascii="宋体" w:hAnsi="宋体" w:eastAsia="宋体" w:cs="宋体"/>
          <w:spacing w:val="8"/>
          <w:sz w:val="19"/>
          <w:szCs w:val="19"/>
        </w:rPr>
        <w:t xml:space="preserve">自 </w:t>
      </w:r>
      <w:r>
        <w:rPr>
          <w:rFonts w:ascii="宋体" w:hAnsi="宋体" w:eastAsia="宋体" w:cs="宋体"/>
          <w:spacing w:val="21"/>
          <w:sz w:val="19"/>
          <w:szCs w:val="19"/>
        </w:rPr>
        <w:t>上而下地推行政策性的指令规范文件为具体形式</w:t>
      </w:r>
      <w:r>
        <w:rPr>
          <w:rFonts w:ascii="微软雅黑" w:hAnsi="微软雅黑" w:eastAsia="微软雅黑" w:cs="微软雅黑"/>
          <w:spacing w:val="21"/>
          <w:sz w:val="19"/>
          <w:szCs w:val="19"/>
        </w:rPr>
        <w:t>，</w:t>
      </w:r>
      <w:r>
        <w:rPr>
          <w:rFonts w:ascii="微软雅黑" w:hAnsi="微软雅黑" w:eastAsia="微软雅黑" w:cs="微软雅黑"/>
          <w:spacing w:val="15"/>
          <w:sz w:val="19"/>
          <w:szCs w:val="19"/>
        </w:rPr>
        <w:t xml:space="preserve"> </w:t>
      </w:r>
      <w:r>
        <w:rPr>
          <w:rFonts w:ascii="宋体" w:hAnsi="宋体" w:eastAsia="宋体" w:cs="宋体"/>
          <w:spacing w:val="11"/>
          <w:sz w:val="19"/>
          <w:szCs w:val="19"/>
        </w:rPr>
        <w:t>具有行政性质的政府性行为</w:t>
      </w:r>
      <w:r>
        <w:rPr>
          <w:rFonts w:ascii="宋体" w:hAnsi="宋体" w:eastAsia="宋体" w:cs="宋体"/>
          <w:spacing w:val="-26"/>
          <w:sz w:val="19"/>
          <w:szCs w:val="19"/>
        </w:rPr>
        <w:t xml:space="preserve"> </w:t>
      </w:r>
      <w:r>
        <w:rPr>
          <w:rFonts w:ascii="宋体" w:hAnsi="宋体" w:eastAsia="宋体" w:cs="宋体"/>
          <w:spacing w:val="11"/>
          <w:sz w:val="19"/>
          <w:szCs w:val="19"/>
        </w:rPr>
        <w:t>占据主导</w:t>
      </w:r>
      <w:r>
        <w:rPr>
          <w:rFonts w:ascii="微软雅黑" w:hAnsi="微软雅黑" w:eastAsia="微软雅黑" w:cs="微软雅黑"/>
          <w:spacing w:val="11"/>
          <w:sz w:val="19"/>
          <w:szCs w:val="19"/>
        </w:rPr>
        <w:t>。</w:t>
      </w:r>
      <w:r>
        <w:rPr>
          <w:rFonts w:ascii="微软雅黑" w:hAnsi="微软雅黑" w:eastAsia="微软雅黑" w:cs="微软雅黑"/>
          <w:spacing w:val="11"/>
          <w:position w:val="7"/>
          <w:sz w:val="10"/>
          <w:szCs w:val="10"/>
        </w:rPr>
        <w:t>[</w:t>
      </w:r>
      <w:r>
        <w:rPr>
          <w:rFonts w:ascii="Arial" w:hAnsi="Arial" w:eastAsia="Arial" w:cs="Arial"/>
          <w:spacing w:val="11"/>
          <w:position w:val="7"/>
          <w:sz w:val="10"/>
          <w:szCs w:val="10"/>
        </w:rPr>
        <w:t>20</w:t>
      </w:r>
      <w:r>
        <w:rPr>
          <w:rFonts w:ascii="微软雅黑" w:hAnsi="微软雅黑" w:eastAsia="微软雅黑" w:cs="微软雅黑"/>
          <w:spacing w:val="11"/>
          <w:position w:val="7"/>
          <w:sz w:val="10"/>
          <w:szCs w:val="10"/>
        </w:rPr>
        <w:t>]</w:t>
      </w:r>
      <w:r>
        <w:rPr>
          <w:rFonts w:ascii="微软雅黑" w:hAnsi="微软雅黑" w:eastAsia="微软雅黑" w:cs="微软雅黑"/>
          <w:spacing w:val="29"/>
          <w:w w:val="103"/>
          <w:position w:val="7"/>
          <w:sz w:val="10"/>
          <w:szCs w:val="10"/>
        </w:rPr>
        <w:t xml:space="preserve"> </w:t>
      </w:r>
      <w:r>
        <w:rPr>
          <w:rFonts w:ascii="宋体" w:hAnsi="宋体" w:eastAsia="宋体" w:cs="宋体"/>
          <w:spacing w:val="11"/>
          <w:sz w:val="19"/>
          <w:szCs w:val="19"/>
        </w:rPr>
        <w:t xml:space="preserve">在学科及 </w:t>
      </w:r>
      <w:r>
        <w:rPr>
          <w:rFonts w:ascii="宋体" w:hAnsi="宋体" w:eastAsia="宋体" w:cs="宋体"/>
          <w:spacing w:val="9"/>
          <w:sz w:val="19"/>
          <w:szCs w:val="19"/>
        </w:rPr>
        <w:t>院校评估中</w:t>
      </w:r>
      <w:r>
        <w:rPr>
          <w:rFonts w:ascii="微软雅黑" w:hAnsi="微软雅黑" w:eastAsia="微软雅黑" w:cs="微软雅黑"/>
          <w:spacing w:val="9"/>
          <w:sz w:val="19"/>
          <w:szCs w:val="19"/>
        </w:rPr>
        <w:t>，</w:t>
      </w:r>
      <w:r>
        <w:rPr>
          <w:rFonts w:ascii="宋体" w:hAnsi="宋体" w:eastAsia="宋体" w:cs="宋体"/>
          <w:spacing w:val="9"/>
          <w:sz w:val="19"/>
          <w:szCs w:val="19"/>
        </w:rPr>
        <w:t>我国政府主管部门发挥着核心作</w:t>
      </w:r>
      <w:r>
        <w:rPr>
          <w:rFonts w:ascii="宋体" w:hAnsi="宋体" w:eastAsia="宋体" w:cs="宋体"/>
          <w:spacing w:val="8"/>
          <w:sz w:val="19"/>
          <w:szCs w:val="19"/>
        </w:rPr>
        <w:t>用</w:t>
      </w:r>
      <w:r>
        <w:rPr>
          <w:rFonts w:ascii="微软雅黑" w:hAnsi="微软雅黑" w:eastAsia="微软雅黑" w:cs="微软雅黑"/>
          <w:spacing w:val="8"/>
          <w:sz w:val="19"/>
          <w:szCs w:val="19"/>
        </w:rPr>
        <w:t>，</w:t>
      </w:r>
      <w:r>
        <w:rPr>
          <w:rFonts w:ascii="宋体" w:hAnsi="宋体" w:eastAsia="宋体" w:cs="宋体"/>
          <w:spacing w:val="8"/>
          <w:sz w:val="19"/>
          <w:szCs w:val="19"/>
        </w:rPr>
        <w:t xml:space="preserve">相 </w:t>
      </w:r>
      <w:r>
        <w:rPr>
          <w:rFonts w:ascii="宋体" w:hAnsi="宋体" w:eastAsia="宋体" w:cs="宋体"/>
          <w:spacing w:val="15"/>
          <w:sz w:val="19"/>
          <w:szCs w:val="19"/>
        </w:rPr>
        <w:t>对独立的第三方评估机构</w:t>
      </w:r>
      <w:r>
        <w:rPr>
          <w:rFonts w:ascii="宋体" w:hAnsi="宋体" w:eastAsia="宋体" w:cs="宋体"/>
          <w:spacing w:val="-38"/>
          <w:sz w:val="19"/>
          <w:szCs w:val="19"/>
        </w:rPr>
        <w:t xml:space="preserve"> </w:t>
      </w:r>
      <w:r>
        <w:rPr>
          <w:rFonts w:ascii="宋体" w:hAnsi="宋体" w:eastAsia="宋体" w:cs="宋体"/>
          <w:spacing w:val="15"/>
          <w:sz w:val="19"/>
          <w:szCs w:val="19"/>
        </w:rPr>
        <w:t>尚不成系统</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高校教师及 </w:t>
      </w:r>
      <w:r>
        <w:rPr>
          <w:rFonts w:ascii="宋体" w:hAnsi="宋体" w:eastAsia="宋体" w:cs="宋体"/>
          <w:spacing w:val="19"/>
          <w:sz w:val="19"/>
          <w:szCs w:val="19"/>
        </w:rPr>
        <w:t>学生在院校及学科评估上的参与度也凸显不足</w:t>
      </w:r>
      <w:r>
        <w:rPr>
          <w:rFonts w:ascii="微软雅黑" w:hAnsi="微软雅黑" w:eastAsia="微软雅黑" w:cs="微软雅黑"/>
          <w:spacing w:val="19"/>
          <w:sz w:val="19"/>
          <w:szCs w:val="19"/>
        </w:rPr>
        <w:t>。</w:t>
      </w:r>
    </w:p>
    <w:p>
      <w:pPr>
        <w:spacing w:before="69" w:line="221" w:lineRule="auto"/>
        <w:ind w:left="872" w:right="267" w:firstLine="419"/>
        <w:rPr>
          <w:rFonts w:ascii="微软雅黑" w:hAnsi="微软雅黑" w:eastAsia="微软雅黑" w:cs="微软雅黑"/>
          <w:sz w:val="19"/>
          <w:szCs w:val="19"/>
        </w:rPr>
      </w:pPr>
      <w:r>
        <w:rPr>
          <w:rFonts w:ascii="宋体" w:hAnsi="宋体" w:eastAsia="宋体" w:cs="宋体"/>
          <w:spacing w:val="17"/>
          <w:sz w:val="19"/>
          <w:szCs w:val="19"/>
        </w:rPr>
        <w:t>在外部评估评审上</w:t>
      </w:r>
      <w:r>
        <w:rPr>
          <w:rFonts w:ascii="微软雅黑" w:hAnsi="微软雅黑" w:eastAsia="微软雅黑" w:cs="微软雅黑"/>
          <w:spacing w:val="17"/>
          <w:sz w:val="19"/>
          <w:szCs w:val="19"/>
        </w:rPr>
        <w:t>，</w:t>
      </w:r>
      <w:r>
        <w:rPr>
          <w:rFonts w:ascii="宋体" w:hAnsi="宋体" w:eastAsia="宋体" w:cs="宋体"/>
          <w:spacing w:val="17"/>
          <w:sz w:val="19"/>
          <w:szCs w:val="19"/>
        </w:rPr>
        <w:t>我们应该建立类似于挪威 教育质量保障署的第三方机构</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既相对独立于政府 </w:t>
      </w:r>
      <w:r>
        <w:rPr>
          <w:rFonts w:ascii="宋体" w:hAnsi="宋体" w:eastAsia="宋体" w:cs="宋体"/>
          <w:spacing w:val="1"/>
          <w:sz w:val="19"/>
          <w:szCs w:val="19"/>
        </w:rPr>
        <w:t>部门</w:t>
      </w:r>
      <w:r>
        <w:rPr>
          <w:rFonts w:ascii="微软雅黑" w:hAnsi="微软雅黑" w:eastAsia="微软雅黑" w:cs="微软雅黑"/>
          <w:spacing w:val="1"/>
          <w:sz w:val="19"/>
          <w:szCs w:val="19"/>
        </w:rPr>
        <w:t>，</w:t>
      </w:r>
      <w:r>
        <w:rPr>
          <w:rFonts w:ascii="宋体" w:hAnsi="宋体" w:eastAsia="宋体" w:cs="宋体"/>
          <w:spacing w:val="1"/>
          <w:sz w:val="19"/>
          <w:szCs w:val="19"/>
        </w:rPr>
        <w:t>又对教育部负责</w:t>
      </w:r>
      <w:r>
        <w:rPr>
          <w:rFonts w:ascii="微软雅黑" w:hAnsi="微软雅黑" w:eastAsia="微软雅黑" w:cs="微软雅黑"/>
          <w:spacing w:val="1"/>
          <w:sz w:val="19"/>
          <w:szCs w:val="19"/>
        </w:rPr>
        <w:t>，</w:t>
      </w:r>
      <w:r>
        <w:rPr>
          <w:rFonts w:ascii="宋体" w:hAnsi="宋体" w:eastAsia="宋体" w:cs="宋体"/>
          <w:spacing w:val="1"/>
          <w:sz w:val="19"/>
          <w:szCs w:val="19"/>
        </w:rPr>
        <w:t>并发挥重要</w:t>
      </w:r>
      <w:r>
        <w:rPr>
          <w:rFonts w:ascii="宋体" w:hAnsi="宋体" w:eastAsia="宋体" w:cs="宋体"/>
          <w:spacing w:val="-47"/>
          <w:sz w:val="19"/>
          <w:szCs w:val="19"/>
        </w:rPr>
        <w:t xml:space="preserve"> </w:t>
      </w:r>
      <w:r>
        <w:rPr>
          <w:rFonts w:ascii="宋体" w:hAnsi="宋体" w:eastAsia="宋体" w:cs="宋体"/>
          <w:spacing w:val="1"/>
          <w:sz w:val="19"/>
          <w:szCs w:val="19"/>
        </w:rPr>
        <w:t>的</w:t>
      </w:r>
      <w:r>
        <w:rPr>
          <w:rFonts w:ascii="微软雅黑" w:hAnsi="微软雅黑" w:eastAsia="微软雅黑" w:cs="微软雅黑"/>
          <w:spacing w:val="1"/>
          <w:sz w:val="19"/>
          <w:szCs w:val="19"/>
        </w:rPr>
        <w:t>“</w:t>
      </w:r>
      <w:r>
        <w:rPr>
          <w:rFonts w:ascii="微软雅黑" w:hAnsi="微软雅黑" w:eastAsia="微软雅黑" w:cs="微软雅黑"/>
          <w:spacing w:val="-27"/>
          <w:sz w:val="19"/>
          <w:szCs w:val="19"/>
        </w:rPr>
        <w:t xml:space="preserve"> </w:t>
      </w:r>
      <w:r>
        <w:rPr>
          <w:rFonts w:ascii="宋体" w:hAnsi="宋体" w:eastAsia="宋体" w:cs="宋体"/>
          <w:spacing w:val="1"/>
          <w:sz w:val="19"/>
          <w:szCs w:val="19"/>
        </w:rPr>
        <w:t>智库</w:t>
      </w:r>
      <w:r>
        <w:rPr>
          <w:rFonts w:ascii="微软雅黑" w:hAnsi="微软雅黑" w:eastAsia="微软雅黑" w:cs="微软雅黑"/>
          <w:spacing w:val="1"/>
          <w:sz w:val="19"/>
          <w:szCs w:val="19"/>
        </w:rPr>
        <w:t>”</w:t>
      </w:r>
      <w:r>
        <w:rPr>
          <w:rFonts w:ascii="宋体" w:hAnsi="宋体" w:eastAsia="宋体" w:cs="宋体"/>
          <w:spacing w:val="1"/>
          <w:sz w:val="19"/>
          <w:szCs w:val="19"/>
        </w:rPr>
        <w:t>作用</w:t>
      </w:r>
      <w:r>
        <w:rPr>
          <w:rFonts w:ascii="微软雅黑" w:hAnsi="微软雅黑" w:eastAsia="微软雅黑" w:cs="微软雅黑"/>
          <w:spacing w:val="1"/>
          <w:sz w:val="19"/>
          <w:szCs w:val="19"/>
        </w:rPr>
        <w:t>。</w:t>
      </w:r>
      <w:r>
        <w:rPr>
          <w:rFonts w:ascii="微软雅黑" w:hAnsi="微软雅黑" w:eastAsia="微软雅黑" w:cs="微软雅黑"/>
          <w:sz w:val="19"/>
          <w:szCs w:val="19"/>
        </w:rPr>
        <w:t xml:space="preserve"> </w:t>
      </w:r>
      <w:r>
        <w:rPr>
          <w:rFonts w:ascii="宋体" w:hAnsi="宋体" w:eastAsia="宋体" w:cs="宋体"/>
          <w:spacing w:val="9"/>
          <w:sz w:val="19"/>
          <w:szCs w:val="19"/>
        </w:rPr>
        <w:t>在具体的评估工作中</w:t>
      </w:r>
      <w:r>
        <w:rPr>
          <w:rFonts w:ascii="微软雅黑" w:hAnsi="微软雅黑" w:eastAsia="微软雅黑" w:cs="微软雅黑"/>
          <w:spacing w:val="9"/>
          <w:sz w:val="19"/>
          <w:szCs w:val="19"/>
        </w:rPr>
        <w:t>，</w:t>
      </w:r>
      <w:r>
        <w:rPr>
          <w:rFonts w:ascii="宋体" w:hAnsi="宋体" w:eastAsia="宋体" w:cs="宋体"/>
          <w:spacing w:val="9"/>
          <w:sz w:val="19"/>
          <w:szCs w:val="19"/>
        </w:rPr>
        <w:t>要加强跨院校的同行评审</w:t>
      </w:r>
      <w:r>
        <w:rPr>
          <w:rFonts w:ascii="微软雅黑" w:hAnsi="微软雅黑" w:eastAsia="微软雅黑" w:cs="微软雅黑"/>
          <w:spacing w:val="9"/>
          <w:sz w:val="19"/>
          <w:szCs w:val="19"/>
        </w:rPr>
        <w:t>，</w:t>
      </w:r>
      <w:r>
        <w:rPr>
          <w:rFonts w:ascii="宋体" w:hAnsi="宋体" w:eastAsia="宋体" w:cs="宋体"/>
          <w:spacing w:val="9"/>
          <w:sz w:val="19"/>
          <w:szCs w:val="19"/>
        </w:rPr>
        <w:t>鼓 励高校教师及学生参与院校评估</w:t>
      </w:r>
      <w:r>
        <w:rPr>
          <w:rFonts w:ascii="微软雅黑" w:hAnsi="微软雅黑" w:eastAsia="微软雅黑" w:cs="微软雅黑"/>
          <w:spacing w:val="9"/>
          <w:sz w:val="19"/>
          <w:szCs w:val="19"/>
        </w:rPr>
        <w:t>、</w:t>
      </w:r>
      <w:r>
        <w:rPr>
          <w:rFonts w:ascii="宋体" w:hAnsi="宋体" w:eastAsia="宋体" w:cs="宋体"/>
          <w:spacing w:val="9"/>
          <w:sz w:val="19"/>
          <w:szCs w:val="19"/>
        </w:rPr>
        <w:t>学科认证</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现场考 </w:t>
      </w:r>
      <w:r>
        <w:rPr>
          <w:rFonts w:ascii="宋体" w:hAnsi="宋体" w:eastAsia="宋体" w:cs="宋体"/>
          <w:spacing w:val="8"/>
          <w:sz w:val="19"/>
          <w:szCs w:val="19"/>
        </w:rPr>
        <w:t>察等</w:t>
      </w:r>
      <w:r>
        <w:rPr>
          <w:rFonts w:ascii="宋体" w:hAnsi="宋体" w:eastAsia="宋体" w:cs="宋体"/>
          <w:spacing w:val="-47"/>
          <w:sz w:val="19"/>
          <w:szCs w:val="19"/>
        </w:rPr>
        <w:t xml:space="preserve"> </w:t>
      </w:r>
      <w:r>
        <w:rPr>
          <w:rFonts w:ascii="微软雅黑" w:hAnsi="微软雅黑" w:eastAsia="微软雅黑" w:cs="微软雅黑"/>
          <w:spacing w:val="8"/>
          <w:sz w:val="19"/>
          <w:szCs w:val="19"/>
        </w:rPr>
        <w:t>。</w:t>
      </w:r>
      <w:r>
        <w:rPr>
          <w:rFonts w:ascii="宋体" w:hAnsi="宋体" w:eastAsia="宋体" w:cs="宋体"/>
          <w:spacing w:val="8"/>
          <w:sz w:val="19"/>
          <w:szCs w:val="19"/>
        </w:rPr>
        <w:t>在高校内部</w:t>
      </w:r>
      <w:r>
        <w:rPr>
          <w:rFonts w:ascii="宋体" w:hAnsi="宋体" w:eastAsia="宋体" w:cs="宋体"/>
          <w:spacing w:val="-49"/>
          <w:sz w:val="19"/>
          <w:szCs w:val="19"/>
        </w:rPr>
        <w:t xml:space="preserve"> </w:t>
      </w:r>
      <w:r>
        <w:rPr>
          <w:rFonts w:ascii="宋体" w:hAnsi="宋体" w:eastAsia="宋体" w:cs="宋体"/>
          <w:spacing w:val="8"/>
          <w:sz w:val="19"/>
          <w:szCs w:val="19"/>
        </w:rPr>
        <w:t>的评估评</w:t>
      </w:r>
      <w:r>
        <w:rPr>
          <w:rFonts w:ascii="宋体" w:hAnsi="宋体" w:eastAsia="宋体" w:cs="宋体"/>
          <w:spacing w:val="-54"/>
          <w:sz w:val="19"/>
          <w:szCs w:val="19"/>
        </w:rPr>
        <w:t xml:space="preserve"> </w:t>
      </w:r>
      <w:r>
        <w:rPr>
          <w:rFonts w:ascii="宋体" w:hAnsi="宋体" w:eastAsia="宋体" w:cs="宋体"/>
          <w:spacing w:val="8"/>
          <w:sz w:val="19"/>
          <w:szCs w:val="19"/>
        </w:rPr>
        <w:t>审</w:t>
      </w:r>
      <w:r>
        <w:rPr>
          <w:rFonts w:ascii="宋体" w:hAnsi="宋体" w:eastAsia="宋体" w:cs="宋体"/>
          <w:spacing w:val="-46"/>
          <w:sz w:val="19"/>
          <w:szCs w:val="19"/>
        </w:rPr>
        <w:t xml:space="preserve"> </w:t>
      </w:r>
      <w:r>
        <w:rPr>
          <w:rFonts w:ascii="宋体" w:hAnsi="宋体" w:eastAsia="宋体" w:cs="宋体"/>
          <w:spacing w:val="8"/>
          <w:sz w:val="19"/>
          <w:szCs w:val="19"/>
        </w:rPr>
        <w:t>中</w:t>
      </w:r>
      <w:r>
        <w:rPr>
          <w:rFonts w:ascii="微软雅黑" w:hAnsi="微软雅黑" w:eastAsia="微软雅黑" w:cs="微软雅黑"/>
          <w:spacing w:val="8"/>
          <w:sz w:val="19"/>
          <w:szCs w:val="19"/>
        </w:rPr>
        <w:t>，</w:t>
      </w:r>
      <w:r>
        <w:rPr>
          <w:rFonts w:ascii="宋体" w:hAnsi="宋体" w:eastAsia="宋体" w:cs="宋体"/>
          <w:spacing w:val="8"/>
          <w:sz w:val="19"/>
          <w:szCs w:val="19"/>
        </w:rPr>
        <w:t>除行政人</w:t>
      </w:r>
      <w:r>
        <w:rPr>
          <w:rFonts w:ascii="宋体" w:hAnsi="宋体" w:eastAsia="宋体" w:cs="宋体"/>
          <w:spacing w:val="-57"/>
          <w:sz w:val="19"/>
          <w:szCs w:val="19"/>
        </w:rPr>
        <w:t xml:space="preserve"> </w:t>
      </w:r>
      <w:r>
        <w:rPr>
          <w:rFonts w:ascii="宋体" w:hAnsi="宋体" w:eastAsia="宋体" w:cs="宋体"/>
          <w:spacing w:val="8"/>
          <w:sz w:val="19"/>
          <w:szCs w:val="19"/>
        </w:rPr>
        <w:t xml:space="preserve">员参与 </w:t>
      </w:r>
      <w:r>
        <w:rPr>
          <w:rFonts w:ascii="宋体" w:hAnsi="宋体" w:eastAsia="宋体" w:cs="宋体"/>
          <w:spacing w:val="9"/>
          <w:sz w:val="19"/>
          <w:szCs w:val="19"/>
        </w:rPr>
        <w:t>评审之外</w:t>
      </w:r>
      <w:r>
        <w:rPr>
          <w:rFonts w:ascii="微软雅黑" w:hAnsi="微软雅黑" w:eastAsia="微软雅黑" w:cs="微软雅黑"/>
          <w:spacing w:val="9"/>
          <w:sz w:val="19"/>
          <w:szCs w:val="19"/>
        </w:rPr>
        <w:t>，</w:t>
      </w:r>
      <w:r>
        <w:rPr>
          <w:rFonts w:ascii="宋体" w:hAnsi="宋体" w:eastAsia="宋体" w:cs="宋体"/>
          <w:spacing w:val="9"/>
          <w:sz w:val="19"/>
          <w:szCs w:val="19"/>
        </w:rPr>
        <w:t>还应配备院系代表名额</w:t>
      </w:r>
      <w:r>
        <w:rPr>
          <w:rFonts w:ascii="微软雅黑" w:hAnsi="微软雅黑" w:eastAsia="微软雅黑" w:cs="微软雅黑"/>
          <w:spacing w:val="9"/>
          <w:sz w:val="19"/>
          <w:szCs w:val="19"/>
        </w:rPr>
        <w:t>，</w:t>
      </w:r>
      <w:r>
        <w:rPr>
          <w:rFonts w:ascii="宋体" w:hAnsi="宋体" w:eastAsia="宋体" w:cs="宋体"/>
          <w:spacing w:val="9"/>
          <w:sz w:val="19"/>
          <w:szCs w:val="19"/>
        </w:rPr>
        <w:t xml:space="preserve">以调动高校各部 </w:t>
      </w:r>
      <w:r>
        <w:rPr>
          <w:rFonts w:ascii="宋体" w:hAnsi="宋体" w:eastAsia="宋体" w:cs="宋体"/>
          <w:spacing w:val="15"/>
          <w:sz w:val="19"/>
          <w:szCs w:val="19"/>
        </w:rPr>
        <w:t>门人员参与评估的积极性</w:t>
      </w:r>
      <w:r>
        <w:rPr>
          <w:rFonts w:ascii="微软雅黑" w:hAnsi="微软雅黑" w:eastAsia="微软雅黑" w:cs="微软雅黑"/>
          <w:spacing w:val="15"/>
          <w:sz w:val="19"/>
          <w:szCs w:val="19"/>
        </w:rPr>
        <w:t>，</w:t>
      </w:r>
      <w:r>
        <w:rPr>
          <w:rFonts w:ascii="宋体" w:hAnsi="宋体" w:eastAsia="宋体" w:cs="宋体"/>
          <w:spacing w:val="15"/>
          <w:sz w:val="19"/>
          <w:szCs w:val="19"/>
        </w:rPr>
        <w:t>推进高校</w:t>
      </w:r>
      <w:r>
        <w:rPr>
          <w:rFonts w:ascii="宋体" w:hAnsi="宋体" w:eastAsia="宋体" w:cs="宋体"/>
          <w:spacing w:val="-33"/>
          <w:sz w:val="19"/>
          <w:szCs w:val="19"/>
        </w:rPr>
        <w:t xml:space="preserve"> </w:t>
      </w:r>
      <w:r>
        <w:rPr>
          <w:rFonts w:ascii="宋体" w:hAnsi="宋体" w:eastAsia="宋体" w:cs="宋体"/>
          <w:spacing w:val="15"/>
          <w:sz w:val="19"/>
          <w:szCs w:val="19"/>
        </w:rPr>
        <w:t xml:space="preserve">自我评估管理 </w:t>
      </w:r>
      <w:r>
        <w:rPr>
          <w:rFonts w:ascii="宋体" w:hAnsi="宋体" w:eastAsia="宋体" w:cs="宋体"/>
          <w:spacing w:val="17"/>
          <w:sz w:val="19"/>
          <w:szCs w:val="19"/>
        </w:rPr>
        <w:t>机制的完善</w:t>
      </w:r>
      <w:r>
        <w:rPr>
          <w:rFonts w:ascii="微软雅黑" w:hAnsi="微软雅黑" w:eastAsia="微软雅黑" w:cs="微软雅黑"/>
          <w:spacing w:val="17"/>
          <w:sz w:val="19"/>
          <w:szCs w:val="19"/>
        </w:rPr>
        <w:t>。</w:t>
      </w:r>
    </w:p>
    <w:p>
      <w:pPr>
        <w:spacing w:line="14" w:lineRule="auto"/>
        <w:rPr>
          <w:rFonts w:ascii="Arial"/>
          <w:sz w:val="2"/>
        </w:rPr>
      </w:pPr>
      <w:r>
        <w:rPr>
          <w:rFonts w:ascii="Arial" w:hAnsi="Arial" w:eastAsia="Arial" w:cs="Arial"/>
          <w:sz w:val="2"/>
          <w:szCs w:val="2"/>
        </w:rPr>
        <w:br w:type="column"/>
      </w:r>
    </w:p>
    <w:p>
      <w:pPr>
        <w:spacing w:before="39" w:line="224" w:lineRule="auto"/>
        <w:ind w:left="1" w:firstLine="418"/>
        <w:jc w:val="both"/>
        <w:rPr>
          <w:rFonts w:ascii="微软雅黑" w:hAnsi="微软雅黑" w:eastAsia="微软雅黑" w:cs="微软雅黑"/>
          <w:sz w:val="19"/>
          <w:szCs w:val="19"/>
        </w:rPr>
      </w:pPr>
      <w:r>
        <w:rPr>
          <w:rFonts w:ascii="宋体" w:hAnsi="宋体" w:eastAsia="宋体" w:cs="宋体"/>
          <w:spacing w:val="15"/>
          <w:sz w:val="19"/>
          <w:szCs w:val="19"/>
        </w:rPr>
        <w:t>挪威教育与研究部此次发布的</w:t>
      </w:r>
      <w:r>
        <w:rPr>
          <w:rFonts w:ascii="微软雅黑" w:hAnsi="微软雅黑" w:eastAsia="微软雅黑" w:cs="微软雅黑"/>
          <w:spacing w:val="15"/>
          <w:sz w:val="19"/>
          <w:szCs w:val="19"/>
        </w:rPr>
        <w:t>《</w:t>
      </w:r>
      <w:r>
        <w:rPr>
          <w:rFonts w:ascii="宋体" w:hAnsi="宋体" w:eastAsia="宋体" w:cs="宋体"/>
          <w:spacing w:val="15"/>
          <w:sz w:val="19"/>
          <w:szCs w:val="19"/>
        </w:rPr>
        <w:t>高等教</w:t>
      </w:r>
      <w:r>
        <w:rPr>
          <w:rFonts w:ascii="宋体" w:hAnsi="宋体" w:eastAsia="宋体" w:cs="宋体"/>
          <w:spacing w:val="-47"/>
          <w:sz w:val="19"/>
          <w:szCs w:val="19"/>
        </w:rPr>
        <w:t xml:space="preserve"> </w:t>
      </w:r>
      <w:r>
        <w:rPr>
          <w:rFonts w:ascii="宋体" w:hAnsi="宋体" w:eastAsia="宋体" w:cs="宋体"/>
          <w:spacing w:val="15"/>
          <w:sz w:val="19"/>
          <w:szCs w:val="19"/>
        </w:rPr>
        <w:t xml:space="preserve">育质量 </w:t>
      </w:r>
      <w:r>
        <w:rPr>
          <w:rFonts w:ascii="宋体" w:hAnsi="宋体" w:eastAsia="宋体" w:cs="宋体"/>
          <w:spacing w:val="17"/>
          <w:sz w:val="19"/>
          <w:szCs w:val="19"/>
        </w:rPr>
        <w:t>文化</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白皮书是挪威推进其高等教育质量文化建设 </w:t>
      </w:r>
      <w:r>
        <w:rPr>
          <w:rFonts w:ascii="宋体" w:hAnsi="宋体" w:eastAsia="宋体" w:cs="宋体"/>
          <w:spacing w:val="10"/>
          <w:sz w:val="19"/>
          <w:szCs w:val="19"/>
        </w:rPr>
        <w:t>的重要举措</w:t>
      </w:r>
      <w:r>
        <w:rPr>
          <w:rFonts w:ascii="微软雅黑" w:hAnsi="微软雅黑" w:eastAsia="微软雅黑" w:cs="微软雅黑"/>
          <w:spacing w:val="10"/>
          <w:sz w:val="19"/>
          <w:szCs w:val="19"/>
        </w:rPr>
        <w:t>，</w:t>
      </w:r>
      <w:r>
        <w:rPr>
          <w:rFonts w:ascii="宋体" w:hAnsi="宋体" w:eastAsia="宋体" w:cs="宋体"/>
          <w:spacing w:val="10"/>
          <w:sz w:val="19"/>
          <w:szCs w:val="19"/>
        </w:rPr>
        <w:t>对我</w:t>
      </w:r>
      <w:r>
        <w:rPr>
          <w:rFonts w:ascii="宋体" w:hAnsi="宋体" w:eastAsia="宋体" w:cs="宋体"/>
          <w:spacing w:val="-46"/>
          <w:sz w:val="19"/>
          <w:szCs w:val="19"/>
        </w:rPr>
        <w:t xml:space="preserve"> </w:t>
      </w:r>
      <w:r>
        <w:rPr>
          <w:rFonts w:ascii="宋体" w:hAnsi="宋体" w:eastAsia="宋体" w:cs="宋体"/>
          <w:spacing w:val="10"/>
          <w:sz w:val="19"/>
          <w:szCs w:val="19"/>
        </w:rPr>
        <w:t>国有着重要</w:t>
      </w:r>
      <w:r>
        <w:rPr>
          <w:rFonts w:ascii="宋体" w:hAnsi="宋体" w:eastAsia="宋体" w:cs="宋体"/>
          <w:spacing w:val="-48"/>
          <w:sz w:val="19"/>
          <w:szCs w:val="19"/>
        </w:rPr>
        <w:t xml:space="preserve"> </w:t>
      </w:r>
      <w:r>
        <w:rPr>
          <w:rFonts w:ascii="宋体" w:hAnsi="宋体" w:eastAsia="宋体" w:cs="宋体"/>
          <w:spacing w:val="10"/>
          <w:sz w:val="19"/>
          <w:szCs w:val="19"/>
        </w:rPr>
        <w:t>的借鉴意义</w:t>
      </w:r>
      <w:r>
        <w:rPr>
          <w:rFonts w:ascii="宋体" w:hAnsi="宋体" w:eastAsia="宋体" w:cs="宋体"/>
          <w:spacing w:val="-51"/>
          <w:sz w:val="19"/>
          <w:szCs w:val="19"/>
        </w:rPr>
        <w:t xml:space="preserve"> </w:t>
      </w:r>
      <w:r>
        <w:rPr>
          <w:rFonts w:ascii="微软雅黑" w:hAnsi="微软雅黑" w:eastAsia="微软雅黑" w:cs="微软雅黑"/>
          <w:spacing w:val="10"/>
          <w:sz w:val="19"/>
          <w:szCs w:val="19"/>
        </w:rPr>
        <w:t>。</w:t>
      </w:r>
      <w:r>
        <w:rPr>
          <w:rFonts w:ascii="微软雅黑" w:hAnsi="微软雅黑" w:eastAsia="微软雅黑" w:cs="微软雅黑"/>
          <w:spacing w:val="-22"/>
          <w:sz w:val="19"/>
          <w:szCs w:val="19"/>
        </w:rPr>
        <w:t xml:space="preserve"> </w:t>
      </w:r>
      <w:r>
        <w:rPr>
          <w:rFonts w:ascii="宋体" w:hAnsi="宋体" w:eastAsia="宋体" w:cs="宋体"/>
          <w:spacing w:val="10"/>
          <w:sz w:val="19"/>
          <w:szCs w:val="19"/>
        </w:rPr>
        <w:t>除</w:t>
      </w:r>
      <w:r>
        <w:rPr>
          <w:rFonts w:ascii="宋体" w:hAnsi="宋体" w:eastAsia="宋体" w:cs="宋体"/>
          <w:spacing w:val="9"/>
          <w:sz w:val="19"/>
          <w:szCs w:val="19"/>
        </w:rPr>
        <w:t xml:space="preserve">上述 </w:t>
      </w:r>
      <w:r>
        <w:rPr>
          <w:rFonts w:ascii="宋体" w:hAnsi="宋体" w:eastAsia="宋体" w:cs="宋体"/>
          <w:spacing w:val="12"/>
          <w:sz w:val="19"/>
          <w:szCs w:val="19"/>
        </w:rPr>
        <w:t>内容之外</w:t>
      </w:r>
      <w:r>
        <w:rPr>
          <w:rFonts w:ascii="微软雅黑" w:hAnsi="微软雅黑" w:eastAsia="微软雅黑" w:cs="微软雅黑"/>
          <w:spacing w:val="12"/>
          <w:sz w:val="19"/>
          <w:szCs w:val="19"/>
        </w:rPr>
        <w:t>，</w:t>
      </w:r>
      <w:r>
        <w:rPr>
          <w:rFonts w:ascii="宋体" w:hAnsi="宋体" w:eastAsia="宋体" w:cs="宋体"/>
          <w:spacing w:val="12"/>
          <w:sz w:val="19"/>
          <w:szCs w:val="19"/>
        </w:rPr>
        <w:t>我们还可以借鉴挪威搭建资源共享平台</w:t>
      </w:r>
      <w:r>
        <w:rPr>
          <w:rFonts w:ascii="微软雅黑" w:hAnsi="微软雅黑" w:eastAsia="微软雅黑" w:cs="微软雅黑"/>
          <w:spacing w:val="12"/>
          <w:sz w:val="19"/>
          <w:szCs w:val="19"/>
        </w:rPr>
        <w:t>，</w:t>
      </w:r>
      <w:r>
        <w:rPr>
          <w:rFonts w:ascii="微软雅黑" w:hAnsi="微软雅黑" w:eastAsia="微软雅黑" w:cs="微软雅黑"/>
          <w:spacing w:val="10"/>
          <w:sz w:val="19"/>
          <w:szCs w:val="19"/>
        </w:rPr>
        <w:t xml:space="preserve"> </w:t>
      </w:r>
      <w:r>
        <w:rPr>
          <w:rFonts w:ascii="宋体" w:hAnsi="宋体" w:eastAsia="宋体" w:cs="宋体"/>
          <w:spacing w:val="17"/>
          <w:sz w:val="19"/>
          <w:szCs w:val="19"/>
        </w:rPr>
        <w:t>促进不同院校间的资源共享和流动</w:t>
      </w:r>
      <w:r>
        <w:rPr>
          <w:rFonts w:ascii="微软雅黑" w:hAnsi="微软雅黑" w:eastAsia="微软雅黑" w:cs="微软雅黑"/>
          <w:spacing w:val="17"/>
          <w:sz w:val="19"/>
          <w:szCs w:val="19"/>
        </w:rPr>
        <w:t>；</w:t>
      </w:r>
      <w:r>
        <w:rPr>
          <w:rFonts w:ascii="宋体" w:hAnsi="宋体" w:eastAsia="宋体" w:cs="宋体"/>
          <w:spacing w:val="17"/>
          <w:sz w:val="19"/>
          <w:szCs w:val="19"/>
        </w:rPr>
        <w:t>加强对学术环 境的规范和引导</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为学生创造多样化学习的条件等 </w:t>
      </w:r>
      <w:r>
        <w:rPr>
          <w:rFonts w:ascii="宋体" w:hAnsi="宋体" w:eastAsia="宋体" w:cs="宋体"/>
          <w:spacing w:val="15"/>
          <w:sz w:val="19"/>
          <w:szCs w:val="19"/>
        </w:rPr>
        <w:t>做法</w:t>
      </w:r>
      <w:r>
        <w:rPr>
          <w:rFonts w:ascii="微软雅黑" w:hAnsi="微软雅黑" w:eastAsia="微软雅黑" w:cs="微软雅黑"/>
          <w:spacing w:val="15"/>
          <w:sz w:val="19"/>
          <w:szCs w:val="19"/>
        </w:rPr>
        <w:t>。</w:t>
      </w:r>
    </w:p>
    <w:p>
      <w:pPr>
        <w:spacing w:line="289" w:lineRule="auto"/>
        <w:rPr>
          <w:rFonts w:ascii="Arial"/>
          <w:sz w:val="21"/>
        </w:rPr>
      </w:pPr>
    </w:p>
    <w:p>
      <w:pPr>
        <w:spacing w:before="82" w:line="236" w:lineRule="auto"/>
        <w:ind w:firstLine="432"/>
        <w:jc w:val="both"/>
        <w:rPr>
          <w:rFonts w:ascii="微软雅黑" w:hAnsi="微软雅黑" w:eastAsia="微软雅黑" w:cs="微软雅黑"/>
          <w:sz w:val="19"/>
          <w:szCs w:val="19"/>
        </w:rPr>
      </w:pPr>
      <w:r>
        <w:rPr>
          <w:rFonts w:ascii="宋体" w:hAnsi="宋体" w:eastAsia="宋体" w:cs="宋体"/>
          <w:spacing w:val="-4"/>
          <w:sz w:val="19"/>
          <w:szCs w:val="19"/>
        </w:rPr>
        <w:t>当前</w:t>
      </w:r>
      <w:r>
        <w:rPr>
          <w:rFonts w:ascii="微软雅黑" w:hAnsi="微软雅黑" w:eastAsia="微软雅黑" w:cs="微软雅黑"/>
          <w:spacing w:val="-4"/>
          <w:sz w:val="19"/>
          <w:szCs w:val="19"/>
        </w:rPr>
        <w:t>，</w:t>
      </w:r>
      <w:r>
        <w:rPr>
          <w:rFonts w:ascii="宋体" w:hAnsi="宋体" w:eastAsia="宋体" w:cs="宋体"/>
          <w:spacing w:val="-4"/>
          <w:sz w:val="19"/>
          <w:szCs w:val="19"/>
        </w:rPr>
        <w:t>我</w:t>
      </w:r>
      <w:r>
        <w:rPr>
          <w:rFonts w:ascii="宋体" w:hAnsi="宋体" w:eastAsia="宋体" w:cs="宋体"/>
          <w:spacing w:val="-48"/>
          <w:sz w:val="19"/>
          <w:szCs w:val="19"/>
        </w:rPr>
        <w:t xml:space="preserve"> </w:t>
      </w:r>
      <w:r>
        <w:rPr>
          <w:rFonts w:ascii="宋体" w:hAnsi="宋体" w:eastAsia="宋体" w:cs="宋体"/>
          <w:spacing w:val="-4"/>
          <w:sz w:val="19"/>
          <w:szCs w:val="19"/>
        </w:rPr>
        <w:t>国</w:t>
      </w:r>
      <w:r>
        <w:rPr>
          <w:rFonts w:ascii="宋体" w:hAnsi="宋体" w:eastAsia="宋体" w:cs="宋体"/>
          <w:spacing w:val="-53"/>
          <w:sz w:val="19"/>
          <w:szCs w:val="19"/>
        </w:rPr>
        <w:t xml:space="preserve"> </w:t>
      </w:r>
      <w:r>
        <w:rPr>
          <w:rFonts w:ascii="宋体" w:hAnsi="宋体" w:eastAsia="宋体" w:cs="宋体"/>
          <w:spacing w:val="-4"/>
          <w:sz w:val="19"/>
          <w:szCs w:val="19"/>
        </w:rPr>
        <w:t>高</w:t>
      </w:r>
      <w:r>
        <w:rPr>
          <w:rFonts w:ascii="宋体" w:hAnsi="宋体" w:eastAsia="宋体" w:cs="宋体"/>
          <w:spacing w:val="-57"/>
          <w:sz w:val="19"/>
          <w:szCs w:val="19"/>
        </w:rPr>
        <w:t xml:space="preserve"> </w:t>
      </w:r>
      <w:r>
        <w:rPr>
          <w:rFonts w:ascii="宋体" w:hAnsi="宋体" w:eastAsia="宋体" w:cs="宋体"/>
          <w:spacing w:val="-4"/>
          <w:sz w:val="19"/>
          <w:szCs w:val="19"/>
        </w:rPr>
        <w:t>等</w:t>
      </w:r>
      <w:r>
        <w:rPr>
          <w:rFonts w:ascii="宋体" w:hAnsi="宋体" w:eastAsia="宋体" w:cs="宋体"/>
          <w:spacing w:val="-56"/>
          <w:sz w:val="19"/>
          <w:szCs w:val="19"/>
        </w:rPr>
        <w:t xml:space="preserve"> </w:t>
      </w:r>
      <w:r>
        <w:rPr>
          <w:rFonts w:ascii="宋体" w:hAnsi="宋体" w:eastAsia="宋体" w:cs="宋体"/>
          <w:spacing w:val="-4"/>
          <w:sz w:val="19"/>
          <w:szCs w:val="19"/>
        </w:rPr>
        <w:t>教</w:t>
      </w:r>
      <w:r>
        <w:rPr>
          <w:rFonts w:ascii="宋体" w:hAnsi="宋体" w:eastAsia="宋体" w:cs="宋体"/>
          <w:spacing w:val="-51"/>
          <w:sz w:val="19"/>
          <w:szCs w:val="19"/>
        </w:rPr>
        <w:t xml:space="preserve"> </w:t>
      </w:r>
      <w:r>
        <w:rPr>
          <w:rFonts w:ascii="宋体" w:hAnsi="宋体" w:eastAsia="宋体" w:cs="宋体"/>
          <w:spacing w:val="-4"/>
          <w:sz w:val="19"/>
          <w:szCs w:val="19"/>
        </w:rPr>
        <w:t>育</w:t>
      </w:r>
      <w:r>
        <w:rPr>
          <w:rFonts w:ascii="宋体" w:hAnsi="宋体" w:eastAsia="宋体" w:cs="宋体"/>
          <w:spacing w:val="-37"/>
          <w:sz w:val="19"/>
          <w:szCs w:val="19"/>
        </w:rPr>
        <w:t xml:space="preserve"> </w:t>
      </w:r>
      <w:r>
        <w:rPr>
          <w:rFonts w:ascii="宋体" w:hAnsi="宋体" w:eastAsia="宋体" w:cs="宋体"/>
          <w:spacing w:val="-4"/>
          <w:sz w:val="19"/>
          <w:szCs w:val="19"/>
        </w:rPr>
        <w:t>已进入提</w:t>
      </w:r>
      <w:r>
        <w:rPr>
          <w:rFonts w:ascii="宋体" w:hAnsi="宋体" w:eastAsia="宋体" w:cs="宋体"/>
          <w:spacing w:val="-51"/>
          <w:sz w:val="19"/>
          <w:szCs w:val="19"/>
        </w:rPr>
        <w:t xml:space="preserve"> </w:t>
      </w:r>
      <w:r>
        <w:rPr>
          <w:rFonts w:ascii="宋体" w:hAnsi="宋体" w:eastAsia="宋体" w:cs="宋体"/>
          <w:spacing w:val="-4"/>
          <w:sz w:val="19"/>
          <w:szCs w:val="19"/>
        </w:rPr>
        <w:t>高</w:t>
      </w:r>
      <w:r>
        <w:rPr>
          <w:rFonts w:ascii="宋体" w:hAnsi="宋体" w:eastAsia="宋体" w:cs="宋体"/>
          <w:spacing w:val="-56"/>
          <w:sz w:val="19"/>
          <w:szCs w:val="19"/>
        </w:rPr>
        <w:t xml:space="preserve"> </w:t>
      </w:r>
      <w:r>
        <w:rPr>
          <w:rFonts w:ascii="宋体" w:hAnsi="宋体" w:eastAsia="宋体" w:cs="宋体"/>
          <w:spacing w:val="-4"/>
          <w:sz w:val="19"/>
          <w:szCs w:val="19"/>
        </w:rPr>
        <w:t>质</w:t>
      </w:r>
      <w:r>
        <w:rPr>
          <w:rFonts w:ascii="宋体" w:hAnsi="宋体" w:eastAsia="宋体" w:cs="宋体"/>
          <w:spacing w:val="-57"/>
          <w:sz w:val="19"/>
          <w:szCs w:val="19"/>
        </w:rPr>
        <w:t xml:space="preserve"> </w:t>
      </w:r>
      <w:r>
        <w:rPr>
          <w:rFonts w:ascii="宋体" w:hAnsi="宋体" w:eastAsia="宋体" w:cs="宋体"/>
          <w:spacing w:val="-4"/>
          <w:sz w:val="19"/>
          <w:szCs w:val="19"/>
        </w:rPr>
        <w:t>量</w:t>
      </w:r>
      <w:r>
        <w:rPr>
          <w:rFonts w:ascii="微软雅黑" w:hAnsi="微软雅黑" w:eastAsia="微软雅黑" w:cs="微软雅黑"/>
          <w:spacing w:val="-4"/>
          <w:sz w:val="19"/>
          <w:szCs w:val="19"/>
        </w:rPr>
        <w:t>、</w:t>
      </w:r>
      <w:r>
        <w:rPr>
          <w:rFonts w:ascii="宋体" w:hAnsi="宋体" w:eastAsia="宋体" w:cs="宋体"/>
          <w:spacing w:val="-4"/>
          <w:sz w:val="19"/>
          <w:szCs w:val="19"/>
        </w:rPr>
        <w:t>促进</w:t>
      </w:r>
      <w:r>
        <w:rPr>
          <w:rFonts w:ascii="宋体" w:hAnsi="宋体" w:eastAsia="宋体" w:cs="宋体"/>
          <w:spacing w:val="-50"/>
          <w:sz w:val="19"/>
          <w:szCs w:val="19"/>
        </w:rPr>
        <w:t xml:space="preserve"> </w:t>
      </w:r>
      <w:r>
        <w:rPr>
          <w:rFonts w:ascii="宋体" w:hAnsi="宋体" w:eastAsia="宋体" w:cs="宋体"/>
          <w:spacing w:val="-4"/>
          <w:sz w:val="19"/>
          <w:szCs w:val="19"/>
        </w:rPr>
        <w:t xml:space="preserve">公 </w:t>
      </w:r>
      <w:r>
        <w:rPr>
          <w:rFonts w:ascii="宋体" w:hAnsi="宋体" w:eastAsia="宋体" w:cs="宋体"/>
          <w:spacing w:val="7"/>
          <w:sz w:val="19"/>
          <w:szCs w:val="19"/>
        </w:rPr>
        <w:t>平</w:t>
      </w:r>
      <w:r>
        <w:rPr>
          <w:rFonts w:ascii="微软雅黑" w:hAnsi="微软雅黑" w:eastAsia="微软雅黑" w:cs="微软雅黑"/>
          <w:spacing w:val="7"/>
          <w:sz w:val="19"/>
          <w:szCs w:val="19"/>
        </w:rPr>
        <w:t>、</w:t>
      </w:r>
      <w:r>
        <w:rPr>
          <w:rFonts w:ascii="宋体" w:hAnsi="宋体" w:eastAsia="宋体" w:cs="宋体"/>
          <w:spacing w:val="7"/>
          <w:sz w:val="19"/>
          <w:szCs w:val="19"/>
        </w:rPr>
        <w:t>优化结构</w:t>
      </w:r>
      <w:r>
        <w:rPr>
          <w:rFonts w:ascii="微软雅黑" w:hAnsi="微软雅黑" w:eastAsia="微软雅黑" w:cs="微软雅黑"/>
          <w:spacing w:val="7"/>
          <w:sz w:val="19"/>
          <w:szCs w:val="19"/>
        </w:rPr>
        <w:t>、</w:t>
      </w:r>
      <w:r>
        <w:rPr>
          <w:rFonts w:ascii="宋体" w:hAnsi="宋体" w:eastAsia="宋体" w:cs="宋体"/>
          <w:spacing w:val="7"/>
          <w:sz w:val="19"/>
          <w:szCs w:val="19"/>
        </w:rPr>
        <w:t>改善环境的新阶段</w:t>
      </w:r>
      <w:r>
        <w:rPr>
          <w:rFonts w:ascii="宋体" w:hAnsi="宋体" w:eastAsia="宋体" w:cs="宋体"/>
          <w:spacing w:val="-51"/>
          <w:sz w:val="19"/>
          <w:szCs w:val="19"/>
        </w:rPr>
        <w:t xml:space="preserve"> </w:t>
      </w:r>
      <w:r>
        <w:rPr>
          <w:rFonts w:ascii="微软雅黑" w:hAnsi="微软雅黑" w:eastAsia="微软雅黑" w:cs="微软雅黑"/>
          <w:spacing w:val="7"/>
          <w:sz w:val="19"/>
          <w:szCs w:val="19"/>
        </w:rPr>
        <w:t>。</w:t>
      </w:r>
      <w:r>
        <w:rPr>
          <w:rFonts w:ascii="宋体" w:hAnsi="宋体" w:eastAsia="宋体" w:cs="宋体"/>
          <w:spacing w:val="7"/>
          <w:sz w:val="19"/>
          <w:szCs w:val="19"/>
        </w:rPr>
        <w:t xml:space="preserve">党的十九大报告 </w:t>
      </w:r>
      <w:r>
        <w:rPr>
          <w:rFonts w:ascii="宋体" w:hAnsi="宋体" w:eastAsia="宋体" w:cs="宋体"/>
          <w:spacing w:val="17"/>
          <w:sz w:val="19"/>
          <w:szCs w:val="19"/>
        </w:rPr>
        <w:t>指出要加快一流大学和一流学科建设</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实现高等教 </w:t>
      </w:r>
      <w:r>
        <w:rPr>
          <w:rFonts w:ascii="宋体" w:hAnsi="宋体" w:eastAsia="宋体" w:cs="宋体"/>
          <w:spacing w:val="15"/>
          <w:sz w:val="19"/>
          <w:szCs w:val="19"/>
        </w:rPr>
        <w:t>育内涵式发展</w:t>
      </w:r>
      <w:r>
        <w:rPr>
          <w:rFonts w:ascii="宋体" w:hAnsi="宋体" w:eastAsia="宋体" w:cs="宋体"/>
          <w:spacing w:val="-38"/>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质量已然成为我国高等教育发展重 </w:t>
      </w:r>
      <w:r>
        <w:rPr>
          <w:rFonts w:ascii="宋体" w:hAnsi="宋体" w:eastAsia="宋体" w:cs="宋体"/>
          <w:spacing w:val="17"/>
          <w:sz w:val="19"/>
          <w:szCs w:val="19"/>
        </w:rPr>
        <w:t>要的立足点和生命线</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加强高等教育质量文化建设 </w:t>
      </w:r>
      <w:r>
        <w:rPr>
          <w:rFonts w:ascii="宋体" w:hAnsi="宋体" w:eastAsia="宋体" w:cs="宋体"/>
          <w:spacing w:val="15"/>
          <w:sz w:val="19"/>
          <w:szCs w:val="19"/>
        </w:rPr>
        <w:t>是时代赋予我们的重要历史使命</w:t>
      </w:r>
      <w:r>
        <w:rPr>
          <w:rFonts w:ascii="宋体" w:hAnsi="宋体" w:eastAsia="宋体" w:cs="宋体"/>
          <w:spacing w:val="-38"/>
          <w:sz w:val="19"/>
          <w:szCs w:val="19"/>
        </w:rPr>
        <w:t xml:space="preserve"> </w:t>
      </w:r>
      <w:r>
        <w:rPr>
          <w:rFonts w:ascii="微软雅黑" w:hAnsi="微软雅黑" w:eastAsia="微软雅黑" w:cs="微软雅黑"/>
          <w:spacing w:val="15"/>
          <w:sz w:val="19"/>
          <w:szCs w:val="19"/>
        </w:rPr>
        <w:t>。</w:t>
      </w:r>
      <w:r>
        <w:rPr>
          <w:rFonts w:ascii="宋体" w:hAnsi="宋体" w:eastAsia="宋体" w:cs="宋体"/>
          <w:spacing w:val="15"/>
          <w:sz w:val="19"/>
          <w:szCs w:val="19"/>
        </w:rPr>
        <w:t xml:space="preserve">我们要树立以学 </w:t>
      </w:r>
      <w:r>
        <w:rPr>
          <w:rFonts w:ascii="宋体" w:hAnsi="宋体" w:eastAsia="宋体" w:cs="宋体"/>
          <w:spacing w:val="17"/>
          <w:sz w:val="19"/>
          <w:szCs w:val="19"/>
        </w:rPr>
        <w:t>生为中心的高等教育质量文化建设的理念</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变传统 的自上而下的质量保障管理为自下而上的高校质量 </w:t>
      </w:r>
      <w:r>
        <w:rPr>
          <w:rFonts w:ascii="宋体" w:hAnsi="宋体" w:eastAsia="宋体" w:cs="宋体"/>
          <w:spacing w:val="9"/>
          <w:sz w:val="19"/>
          <w:szCs w:val="19"/>
        </w:rPr>
        <w:t>文化建设</w:t>
      </w:r>
      <w:r>
        <w:rPr>
          <w:rFonts w:ascii="微软雅黑" w:hAnsi="微软雅黑" w:eastAsia="微软雅黑" w:cs="微软雅黑"/>
          <w:spacing w:val="9"/>
          <w:sz w:val="19"/>
          <w:szCs w:val="19"/>
        </w:rPr>
        <w:t>，</w:t>
      </w:r>
      <w:r>
        <w:rPr>
          <w:rFonts w:ascii="宋体" w:hAnsi="宋体" w:eastAsia="宋体" w:cs="宋体"/>
          <w:spacing w:val="9"/>
          <w:sz w:val="19"/>
          <w:szCs w:val="19"/>
        </w:rPr>
        <w:t>注重外部化管理与高校自我管理并</w:t>
      </w:r>
      <w:r>
        <w:rPr>
          <w:rFonts w:ascii="宋体" w:hAnsi="宋体" w:eastAsia="宋体" w:cs="宋体"/>
          <w:spacing w:val="8"/>
          <w:sz w:val="19"/>
          <w:szCs w:val="19"/>
        </w:rPr>
        <w:t>重</w:t>
      </w:r>
      <w:r>
        <w:rPr>
          <w:rFonts w:ascii="微软雅黑" w:hAnsi="微软雅黑" w:eastAsia="微软雅黑" w:cs="微软雅黑"/>
          <w:spacing w:val="8"/>
          <w:sz w:val="19"/>
          <w:szCs w:val="19"/>
        </w:rPr>
        <w:t>，</w:t>
      </w:r>
      <w:r>
        <w:rPr>
          <w:rFonts w:ascii="宋体" w:hAnsi="宋体" w:eastAsia="宋体" w:cs="宋体"/>
          <w:spacing w:val="8"/>
          <w:sz w:val="19"/>
          <w:szCs w:val="19"/>
        </w:rPr>
        <w:t xml:space="preserve">使 </w:t>
      </w:r>
      <w:r>
        <w:rPr>
          <w:rFonts w:ascii="宋体" w:hAnsi="宋体" w:eastAsia="宋体" w:cs="宋体"/>
          <w:spacing w:val="17"/>
          <w:sz w:val="19"/>
          <w:szCs w:val="19"/>
        </w:rPr>
        <w:t xml:space="preserve">提升高等教育质量成为高校系统内全体成员的共同 </w:t>
      </w:r>
      <w:r>
        <w:rPr>
          <w:rFonts w:ascii="宋体" w:hAnsi="宋体" w:eastAsia="宋体" w:cs="宋体"/>
          <w:spacing w:val="10"/>
          <w:sz w:val="19"/>
          <w:szCs w:val="19"/>
        </w:rPr>
        <w:t>理解和文化观念</w:t>
      </w:r>
      <w:r>
        <w:rPr>
          <w:rFonts w:ascii="宋体" w:hAnsi="宋体" w:eastAsia="宋体" w:cs="宋体"/>
          <w:spacing w:val="-38"/>
          <w:sz w:val="19"/>
          <w:szCs w:val="19"/>
        </w:rPr>
        <w:t xml:space="preserve"> </w:t>
      </w:r>
      <w:r>
        <w:rPr>
          <w:rFonts w:ascii="微软雅黑" w:hAnsi="微软雅黑" w:eastAsia="微软雅黑" w:cs="微软雅黑"/>
          <w:spacing w:val="10"/>
          <w:sz w:val="19"/>
          <w:szCs w:val="19"/>
        </w:rPr>
        <w:t>。</w:t>
      </w:r>
      <w:r>
        <w:rPr>
          <w:rFonts w:ascii="宋体" w:hAnsi="宋体" w:eastAsia="宋体" w:cs="宋体"/>
          <w:spacing w:val="10"/>
          <w:sz w:val="19"/>
          <w:szCs w:val="19"/>
        </w:rPr>
        <w:t>要规范教学秩序</w:t>
      </w:r>
      <w:r>
        <w:rPr>
          <w:rFonts w:ascii="微软雅黑" w:hAnsi="微软雅黑" w:eastAsia="微软雅黑" w:cs="微软雅黑"/>
          <w:spacing w:val="10"/>
          <w:sz w:val="19"/>
          <w:szCs w:val="19"/>
        </w:rPr>
        <w:t>，</w:t>
      </w:r>
      <w:r>
        <w:rPr>
          <w:rFonts w:ascii="宋体" w:hAnsi="宋体" w:eastAsia="宋体" w:cs="宋体"/>
          <w:spacing w:val="10"/>
          <w:sz w:val="19"/>
          <w:szCs w:val="19"/>
        </w:rPr>
        <w:t>优化学术环境</w:t>
      </w:r>
      <w:r>
        <w:rPr>
          <w:rFonts w:ascii="微软雅黑" w:hAnsi="微软雅黑" w:eastAsia="微软雅黑" w:cs="微软雅黑"/>
          <w:spacing w:val="10"/>
          <w:sz w:val="19"/>
          <w:szCs w:val="19"/>
        </w:rPr>
        <w:t>，</w:t>
      </w:r>
      <w:r>
        <w:rPr>
          <w:rFonts w:ascii="微软雅黑" w:hAnsi="微软雅黑" w:eastAsia="微软雅黑" w:cs="微软雅黑"/>
          <w:sz w:val="19"/>
          <w:szCs w:val="19"/>
        </w:rPr>
        <w:t xml:space="preserve"> </w:t>
      </w:r>
      <w:r>
        <w:rPr>
          <w:rFonts w:ascii="宋体" w:hAnsi="宋体" w:eastAsia="宋体" w:cs="宋体"/>
          <w:spacing w:val="15"/>
          <w:sz w:val="19"/>
          <w:szCs w:val="19"/>
        </w:rPr>
        <w:t>均衡对高等教育三大职能的定位</w:t>
      </w:r>
      <w:r>
        <w:rPr>
          <w:rFonts w:ascii="微软雅黑" w:hAnsi="微软雅黑" w:eastAsia="微软雅黑" w:cs="微软雅黑"/>
          <w:spacing w:val="15"/>
          <w:sz w:val="19"/>
          <w:szCs w:val="19"/>
        </w:rPr>
        <w:t>，</w:t>
      </w:r>
      <w:r>
        <w:rPr>
          <w:rFonts w:ascii="宋体" w:hAnsi="宋体" w:eastAsia="宋体" w:cs="宋体"/>
          <w:spacing w:val="15"/>
          <w:sz w:val="19"/>
          <w:szCs w:val="19"/>
        </w:rPr>
        <w:t>将高校</w:t>
      </w:r>
      <w:r>
        <w:rPr>
          <w:rFonts w:ascii="宋体" w:hAnsi="宋体" w:eastAsia="宋体" w:cs="宋体"/>
          <w:spacing w:val="-38"/>
          <w:sz w:val="19"/>
          <w:szCs w:val="19"/>
        </w:rPr>
        <w:t xml:space="preserve"> </w:t>
      </w:r>
      <w:r>
        <w:rPr>
          <w:rFonts w:ascii="宋体" w:hAnsi="宋体" w:eastAsia="宋体" w:cs="宋体"/>
          <w:spacing w:val="15"/>
          <w:sz w:val="19"/>
          <w:szCs w:val="19"/>
        </w:rPr>
        <w:t>的教学职 能置于重要的位置</w:t>
      </w:r>
      <w:r>
        <w:rPr>
          <w:rFonts w:ascii="微软雅黑" w:hAnsi="微软雅黑" w:eastAsia="微软雅黑" w:cs="微软雅黑"/>
          <w:spacing w:val="15"/>
          <w:sz w:val="19"/>
          <w:szCs w:val="19"/>
        </w:rPr>
        <w:t>，</w:t>
      </w:r>
      <w:r>
        <w:rPr>
          <w:rFonts w:ascii="宋体" w:hAnsi="宋体" w:eastAsia="宋体" w:cs="宋体"/>
          <w:spacing w:val="15"/>
          <w:sz w:val="19"/>
          <w:szCs w:val="19"/>
        </w:rPr>
        <w:t>引导高校教师将工作</w:t>
      </w:r>
      <w:r>
        <w:rPr>
          <w:rFonts w:ascii="宋体" w:hAnsi="宋体" w:eastAsia="宋体" w:cs="宋体"/>
          <w:spacing w:val="-38"/>
          <w:sz w:val="19"/>
          <w:szCs w:val="19"/>
        </w:rPr>
        <w:t xml:space="preserve"> </w:t>
      </w:r>
      <w:r>
        <w:rPr>
          <w:rFonts w:ascii="宋体" w:hAnsi="宋体" w:eastAsia="宋体" w:cs="宋体"/>
          <w:spacing w:val="15"/>
          <w:sz w:val="19"/>
          <w:szCs w:val="19"/>
        </w:rPr>
        <w:t xml:space="preserve">的重心从 </w:t>
      </w:r>
      <w:r>
        <w:rPr>
          <w:rFonts w:ascii="宋体" w:hAnsi="宋体" w:eastAsia="宋体" w:cs="宋体"/>
          <w:spacing w:val="17"/>
          <w:sz w:val="19"/>
          <w:szCs w:val="19"/>
        </w:rPr>
        <w:t>单纯的完成科研任务转到育人工作中</w:t>
      </w:r>
      <w:r>
        <w:rPr>
          <w:rFonts w:ascii="微软雅黑" w:hAnsi="微软雅黑" w:eastAsia="微软雅黑" w:cs="微软雅黑"/>
          <w:spacing w:val="17"/>
          <w:sz w:val="19"/>
          <w:szCs w:val="19"/>
        </w:rPr>
        <w:t>，</w:t>
      </w:r>
      <w:r>
        <w:rPr>
          <w:rFonts w:ascii="宋体" w:hAnsi="宋体" w:eastAsia="宋体" w:cs="宋体"/>
          <w:spacing w:val="17"/>
          <w:sz w:val="19"/>
          <w:szCs w:val="19"/>
        </w:rPr>
        <w:t>倡导教学与 科研并重的办学理念</w:t>
      </w:r>
      <w:r>
        <w:rPr>
          <w:rFonts w:ascii="微软雅黑" w:hAnsi="微软雅黑" w:eastAsia="微软雅黑" w:cs="微软雅黑"/>
          <w:spacing w:val="17"/>
          <w:sz w:val="19"/>
          <w:szCs w:val="19"/>
        </w:rPr>
        <w:t>，</w:t>
      </w:r>
      <w:r>
        <w:rPr>
          <w:rFonts w:ascii="宋体" w:hAnsi="宋体" w:eastAsia="宋体" w:cs="宋体"/>
          <w:spacing w:val="17"/>
          <w:sz w:val="19"/>
          <w:szCs w:val="19"/>
        </w:rPr>
        <w:t xml:space="preserve">从而促进我国高等教育质量 </w:t>
      </w:r>
      <w:r>
        <w:rPr>
          <w:rFonts w:ascii="宋体" w:hAnsi="宋体" w:eastAsia="宋体" w:cs="宋体"/>
          <w:spacing w:val="8"/>
          <w:sz w:val="19"/>
          <w:szCs w:val="19"/>
        </w:rPr>
        <w:t>的进一步提高和</w:t>
      </w:r>
      <w:r>
        <w:rPr>
          <w:rFonts w:ascii="微软雅黑" w:hAnsi="微软雅黑" w:eastAsia="微软雅黑" w:cs="微软雅黑"/>
          <w:spacing w:val="8"/>
          <w:sz w:val="19"/>
          <w:szCs w:val="19"/>
        </w:rPr>
        <w:t>“</w:t>
      </w:r>
      <w:r>
        <w:rPr>
          <w:rFonts w:ascii="宋体" w:hAnsi="宋体" w:eastAsia="宋体" w:cs="宋体"/>
          <w:spacing w:val="8"/>
          <w:sz w:val="19"/>
          <w:szCs w:val="19"/>
        </w:rPr>
        <w:t>双一流</w:t>
      </w:r>
      <w:r>
        <w:rPr>
          <w:rFonts w:ascii="微软雅黑" w:hAnsi="微软雅黑" w:eastAsia="微软雅黑" w:cs="微软雅黑"/>
          <w:spacing w:val="8"/>
          <w:sz w:val="19"/>
          <w:szCs w:val="19"/>
        </w:rPr>
        <w:t>”</w:t>
      </w:r>
      <w:r>
        <w:rPr>
          <w:rFonts w:ascii="宋体" w:hAnsi="宋体" w:eastAsia="宋体" w:cs="宋体"/>
          <w:spacing w:val="8"/>
          <w:sz w:val="19"/>
          <w:szCs w:val="19"/>
        </w:rPr>
        <w:t>建设的持续推进</w:t>
      </w:r>
      <w:r>
        <w:rPr>
          <w:rFonts w:ascii="微软雅黑" w:hAnsi="微软雅黑" w:eastAsia="微软雅黑" w:cs="微软雅黑"/>
          <w:spacing w:val="8"/>
          <w:sz w:val="19"/>
          <w:szCs w:val="19"/>
        </w:rPr>
        <w:t>。</w:t>
      </w:r>
    </w:p>
    <w:p>
      <w:pPr>
        <w:spacing w:line="327" w:lineRule="auto"/>
        <w:rPr>
          <w:rFonts w:ascii="Arial"/>
          <w:sz w:val="21"/>
        </w:rPr>
      </w:pPr>
    </w:p>
    <w:p>
      <w:pPr>
        <w:spacing w:before="53" w:line="212" w:lineRule="auto"/>
        <w:rPr>
          <w:rFonts w:ascii="微软雅黑" w:hAnsi="微软雅黑" w:eastAsia="微软雅黑" w:cs="微软雅黑"/>
          <w:sz w:val="4"/>
          <w:szCs w:val="4"/>
        </w:rPr>
      </w:pPr>
      <w:r>
        <w:rPr>
          <w:rFonts w:ascii="黑体" w:hAnsi="黑体" w:eastAsia="黑体" w:cs="黑体"/>
          <w:spacing w:val="12"/>
          <w:sz w:val="16"/>
          <w:szCs w:val="16"/>
        </w:rPr>
        <w:t>参考文献</w:t>
      </w:r>
      <w:r>
        <w:rPr>
          <w:rFonts w:ascii="黑体" w:hAnsi="黑体" w:eastAsia="黑体" w:cs="黑体"/>
          <w:spacing w:val="-34"/>
          <w:sz w:val="16"/>
          <w:szCs w:val="16"/>
        </w:rPr>
        <w:t xml:space="preserve"> </w:t>
      </w:r>
      <w:r>
        <w:rPr>
          <w:rFonts w:ascii="微软雅黑" w:hAnsi="微软雅黑" w:eastAsia="微软雅黑" w:cs="微软雅黑"/>
          <w:spacing w:val="12"/>
          <w:sz w:val="4"/>
          <w:szCs w:val="4"/>
        </w:rPr>
        <w:t>：</w:t>
      </w:r>
    </w:p>
    <w:p>
      <w:pPr>
        <w:spacing w:before="90" w:line="247" w:lineRule="auto"/>
        <w:ind w:left="444" w:right="62" w:hanging="439"/>
        <w:rPr>
          <w:rFonts w:ascii="Arial" w:hAnsi="Arial" w:eastAsia="Arial" w:cs="Arial"/>
          <w:sz w:val="16"/>
          <w:szCs w:val="16"/>
        </w:rPr>
      </w:pPr>
      <w:r>
        <w:rPr>
          <w:rFonts w:ascii="微软雅黑" w:hAnsi="微软雅黑" w:eastAsia="微软雅黑" w:cs="微软雅黑"/>
          <w:spacing w:val="15"/>
          <w:sz w:val="16"/>
          <w:szCs w:val="16"/>
        </w:rPr>
        <w:t>[</w:t>
      </w:r>
      <w:r>
        <w:rPr>
          <w:rFonts w:ascii="Arial" w:hAnsi="Arial" w:eastAsia="Arial" w:cs="Arial"/>
          <w:spacing w:val="15"/>
          <w:sz w:val="16"/>
          <w:szCs w:val="16"/>
        </w:rPr>
        <w:t>1</w:t>
      </w:r>
      <w:r>
        <w:rPr>
          <w:rFonts w:ascii="微软雅黑" w:hAnsi="微软雅黑" w:eastAsia="微软雅黑" w:cs="微软雅黑"/>
          <w:spacing w:val="15"/>
          <w:sz w:val="16"/>
          <w:szCs w:val="16"/>
        </w:rPr>
        <w:t>][</w:t>
      </w:r>
      <w:r>
        <w:rPr>
          <w:rFonts w:ascii="Arial" w:hAnsi="Arial" w:eastAsia="Arial" w:cs="Arial"/>
          <w:spacing w:val="15"/>
          <w:sz w:val="16"/>
          <w:szCs w:val="16"/>
        </w:rPr>
        <w:t>10</w:t>
      </w:r>
      <w:r>
        <w:rPr>
          <w:rFonts w:ascii="微软雅黑" w:hAnsi="微软雅黑" w:eastAsia="微软雅黑" w:cs="微软雅黑"/>
          <w:spacing w:val="15"/>
          <w:sz w:val="16"/>
          <w:szCs w:val="16"/>
        </w:rPr>
        <w:t>][</w:t>
      </w:r>
      <w:r>
        <w:rPr>
          <w:rFonts w:ascii="Arial" w:hAnsi="Arial" w:eastAsia="Arial" w:cs="Arial"/>
          <w:spacing w:val="15"/>
          <w:sz w:val="16"/>
          <w:szCs w:val="16"/>
        </w:rPr>
        <w:t>11</w:t>
      </w:r>
      <w:r>
        <w:rPr>
          <w:rFonts w:ascii="微软雅黑" w:hAnsi="微软雅黑" w:eastAsia="微软雅黑" w:cs="微软雅黑"/>
          <w:spacing w:val="15"/>
          <w:sz w:val="16"/>
          <w:szCs w:val="16"/>
        </w:rPr>
        <w:t>][</w:t>
      </w:r>
      <w:r>
        <w:rPr>
          <w:rFonts w:ascii="Arial" w:hAnsi="Arial" w:eastAsia="Arial" w:cs="Arial"/>
          <w:spacing w:val="15"/>
          <w:sz w:val="16"/>
          <w:szCs w:val="16"/>
        </w:rPr>
        <w:t>12</w:t>
      </w:r>
      <w:r>
        <w:rPr>
          <w:rFonts w:ascii="微软雅黑" w:hAnsi="微软雅黑" w:eastAsia="微软雅黑" w:cs="微软雅黑"/>
          <w:spacing w:val="15"/>
          <w:sz w:val="16"/>
          <w:szCs w:val="16"/>
        </w:rPr>
        <w:t>][</w:t>
      </w:r>
      <w:r>
        <w:rPr>
          <w:rFonts w:ascii="Arial" w:hAnsi="Arial" w:eastAsia="Arial" w:cs="Arial"/>
          <w:spacing w:val="15"/>
          <w:sz w:val="16"/>
          <w:szCs w:val="16"/>
        </w:rPr>
        <w:t>13</w:t>
      </w:r>
      <w:r>
        <w:rPr>
          <w:rFonts w:ascii="微软雅黑" w:hAnsi="微软雅黑" w:eastAsia="微软雅黑" w:cs="微软雅黑"/>
          <w:spacing w:val="15"/>
          <w:sz w:val="16"/>
          <w:szCs w:val="16"/>
        </w:rPr>
        <w:t>][</w:t>
      </w:r>
      <w:r>
        <w:rPr>
          <w:rFonts w:ascii="Arial" w:hAnsi="Arial" w:eastAsia="Arial" w:cs="Arial"/>
          <w:spacing w:val="15"/>
          <w:sz w:val="16"/>
          <w:szCs w:val="16"/>
        </w:rPr>
        <w:t>15</w:t>
      </w:r>
      <w:r>
        <w:rPr>
          <w:rFonts w:ascii="微软雅黑" w:hAnsi="微软雅黑" w:eastAsia="微软雅黑" w:cs="微软雅黑"/>
          <w:spacing w:val="15"/>
          <w:sz w:val="16"/>
          <w:szCs w:val="16"/>
        </w:rPr>
        <w:t>][</w:t>
      </w:r>
      <w:r>
        <w:rPr>
          <w:rFonts w:ascii="Arial" w:hAnsi="Arial" w:eastAsia="Arial" w:cs="Arial"/>
          <w:spacing w:val="15"/>
          <w:sz w:val="16"/>
          <w:szCs w:val="16"/>
        </w:rPr>
        <w:t>19</w:t>
      </w:r>
      <w:r>
        <w:rPr>
          <w:rFonts w:ascii="微软雅黑" w:hAnsi="微软雅黑" w:eastAsia="微软雅黑" w:cs="微软雅黑"/>
          <w:spacing w:val="15"/>
          <w:sz w:val="16"/>
          <w:szCs w:val="16"/>
        </w:rPr>
        <w:t>]</w:t>
      </w:r>
      <w:r>
        <w:rPr>
          <w:rFonts w:ascii="微软雅黑" w:hAnsi="微软雅黑" w:eastAsia="微软雅黑" w:cs="微软雅黑"/>
          <w:spacing w:val="9"/>
          <w:sz w:val="16"/>
          <w:szCs w:val="16"/>
        </w:rPr>
        <w:t xml:space="preserve">    </w:t>
      </w:r>
      <w:r>
        <w:rPr>
          <w:rFonts w:ascii="Arial" w:hAnsi="Arial" w:eastAsia="Arial" w:cs="Arial"/>
          <w:spacing w:val="15"/>
          <w:sz w:val="16"/>
          <w:szCs w:val="16"/>
        </w:rPr>
        <w:t>Ministry</w:t>
      </w:r>
      <w:r>
        <w:rPr>
          <w:rFonts w:ascii="Arial" w:hAnsi="Arial" w:eastAsia="Arial" w:cs="Arial"/>
          <w:spacing w:val="31"/>
          <w:sz w:val="16"/>
          <w:szCs w:val="16"/>
        </w:rPr>
        <w:t xml:space="preserve"> </w:t>
      </w:r>
      <w:r>
        <w:rPr>
          <w:rFonts w:ascii="Arial" w:hAnsi="Arial" w:eastAsia="Arial" w:cs="Arial"/>
          <w:spacing w:val="14"/>
          <w:sz w:val="16"/>
          <w:szCs w:val="16"/>
        </w:rPr>
        <w:t>ofEducationand</w:t>
      </w:r>
      <w:r>
        <w:rPr>
          <w:rFonts w:ascii="Arial" w:hAnsi="Arial" w:eastAsia="Arial" w:cs="Arial"/>
          <w:sz w:val="16"/>
          <w:szCs w:val="16"/>
        </w:rPr>
        <w:t xml:space="preserve"> </w:t>
      </w:r>
      <w:r>
        <w:rPr>
          <w:rFonts w:ascii="Arial" w:hAnsi="Arial" w:eastAsia="Arial" w:cs="Arial"/>
          <w:spacing w:val="13"/>
          <w:sz w:val="16"/>
          <w:szCs w:val="16"/>
        </w:rPr>
        <w:t>Research</w:t>
      </w:r>
      <w:r>
        <w:rPr>
          <w:rFonts w:ascii="微软雅黑" w:hAnsi="微软雅黑" w:eastAsia="微软雅黑" w:cs="微软雅黑"/>
          <w:spacing w:val="13"/>
          <w:sz w:val="16"/>
          <w:szCs w:val="16"/>
        </w:rPr>
        <w:t>(</w:t>
      </w:r>
      <w:r>
        <w:rPr>
          <w:rFonts w:ascii="Arial" w:hAnsi="Arial" w:eastAsia="Arial" w:cs="Arial"/>
          <w:spacing w:val="13"/>
          <w:sz w:val="16"/>
          <w:szCs w:val="16"/>
        </w:rPr>
        <w:t>Norway</w:t>
      </w:r>
      <w:r>
        <w:rPr>
          <w:rFonts w:ascii="微软雅黑" w:hAnsi="微软雅黑" w:eastAsia="微软雅黑" w:cs="微软雅黑"/>
          <w:spacing w:val="13"/>
          <w:sz w:val="16"/>
          <w:szCs w:val="16"/>
        </w:rPr>
        <w:t>)</w:t>
      </w:r>
      <w:r>
        <w:rPr>
          <w:rFonts w:ascii="微软雅黑" w:hAnsi="微软雅黑" w:eastAsia="微软雅黑" w:cs="微软雅黑"/>
          <w:spacing w:val="-8"/>
          <w:sz w:val="16"/>
          <w:szCs w:val="16"/>
        </w:rPr>
        <w:t xml:space="preserve"> </w:t>
      </w:r>
      <w:r>
        <w:rPr>
          <w:rFonts w:ascii="Arial" w:hAnsi="Arial" w:eastAsia="Arial" w:cs="Arial"/>
          <w:spacing w:val="13"/>
          <w:sz w:val="16"/>
          <w:szCs w:val="16"/>
        </w:rPr>
        <w:t>.</w:t>
      </w:r>
      <w:r>
        <w:rPr>
          <w:rFonts w:ascii="Arial" w:hAnsi="Arial" w:eastAsia="Arial" w:cs="Arial"/>
          <w:spacing w:val="3"/>
          <w:sz w:val="16"/>
          <w:szCs w:val="16"/>
        </w:rPr>
        <w:t xml:space="preserve">  </w:t>
      </w:r>
      <w:r>
        <w:rPr>
          <w:rFonts w:ascii="Arial" w:hAnsi="Arial" w:eastAsia="Arial" w:cs="Arial"/>
          <w:spacing w:val="13"/>
          <w:sz w:val="16"/>
          <w:szCs w:val="16"/>
        </w:rPr>
        <w:t>ReporttotheStorting</w:t>
      </w:r>
      <w:r>
        <w:rPr>
          <w:rFonts w:ascii="微软雅黑" w:hAnsi="微软雅黑" w:eastAsia="微软雅黑" w:cs="微软雅黑"/>
          <w:spacing w:val="13"/>
          <w:sz w:val="16"/>
          <w:szCs w:val="16"/>
        </w:rPr>
        <w:t>(</w:t>
      </w:r>
      <w:r>
        <w:rPr>
          <w:rFonts w:ascii="Arial" w:hAnsi="Arial" w:eastAsia="Arial" w:cs="Arial"/>
          <w:spacing w:val="13"/>
          <w:sz w:val="16"/>
          <w:szCs w:val="16"/>
        </w:rPr>
        <w:t>whitepa-</w:t>
      </w:r>
      <w:r>
        <w:rPr>
          <w:rFonts w:ascii="Arial" w:hAnsi="Arial" w:eastAsia="Arial" w:cs="Arial"/>
          <w:sz w:val="16"/>
          <w:szCs w:val="16"/>
        </w:rPr>
        <w:t xml:space="preserve"> </w:t>
      </w:r>
      <w:r>
        <w:rPr>
          <w:rFonts w:ascii="Arial" w:hAnsi="Arial" w:eastAsia="Arial" w:cs="Arial"/>
          <w:spacing w:val="11"/>
          <w:sz w:val="16"/>
          <w:szCs w:val="16"/>
        </w:rPr>
        <w:t>per</w:t>
      </w:r>
      <w:r>
        <w:rPr>
          <w:rFonts w:ascii="微软雅黑" w:hAnsi="微软雅黑" w:eastAsia="微软雅黑" w:cs="微软雅黑"/>
          <w:spacing w:val="11"/>
          <w:sz w:val="16"/>
          <w:szCs w:val="16"/>
        </w:rPr>
        <w:t xml:space="preserve">) : </w:t>
      </w:r>
      <w:r>
        <w:rPr>
          <w:rFonts w:ascii="Arial" w:hAnsi="Arial" w:eastAsia="Arial" w:cs="Arial"/>
          <w:spacing w:val="11"/>
          <w:sz w:val="16"/>
          <w:szCs w:val="16"/>
        </w:rPr>
        <w:t>Qualit</w:t>
      </w:r>
      <w:r>
        <w:rPr>
          <w:rFonts w:ascii="Arial" w:hAnsi="Arial" w:eastAsia="Arial" w:cs="Arial"/>
          <w:spacing w:val="11"/>
          <w:position w:val="-1"/>
          <w:sz w:val="16"/>
          <w:szCs w:val="16"/>
        </w:rPr>
        <w:t xml:space="preserve">y  </w:t>
      </w:r>
      <w:r>
        <w:rPr>
          <w:rFonts w:ascii="Arial" w:hAnsi="Arial" w:eastAsia="Arial" w:cs="Arial"/>
          <w:spacing w:val="11"/>
          <w:sz w:val="16"/>
          <w:szCs w:val="16"/>
        </w:rPr>
        <w:t>Culturein  HigherEduc</w:t>
      </w:r>
      <w:r>
        <w:rPr>
          <w:rFonts w:ascii="Arial" w:hAnsi="Arial" w:eastAsia="Arial" w:cs="Arial"/>
          <w:spacing w:val="10"/>
          <w:sz w:val="16"/>
          <w:szCs w:val="16"/>
        </w:rPr>
        <w:t>ation</w:t>
      </w:r>
      <w:r>
        <w:rPr>
          <w:rFonts w:ascii="微软雅黑" w:hAnsi="微软雅黑" w:eastAsia="微软雅黑" w:cs="微软雅黑"/>
          <w:spacing w:val="10"/>
          <w:sz w:val="16"/>
          <w:szCs w:val="16"/>
        </w:rPr>
        <w:t>[</w:t>
      </w:r>
      <w:r>
        <w:rPr>
          <w:rFonts w:ascii="Arial" w:hAnsi="Arial" w:eastAsia="Arial" w:cs="Arial"/>
          <w:spacing w:val="10"/>
          <w:sz w:val="16"/>
          <w:szCs w:val="16"/>
        </w:rPr>
        <w:t>EB</w:t>
      </w:r>
      <w:r>
        <w:rPr>
          <w:rFonts w:ascii="微软雅黑" w:hAnsi="微软雅黑" w:eastAsia="微软雅黑" w:cs="微软雅黑"/>
          <w:spacing w:val="10"/>
          <w:sz w:val="16"/>
          <w:szCs w:val="16"/>
        </w:rPr>
        <w:t>/</w:t>
      </w:r>
      <w:r>
        <w:rPr>
          <w:rFonts w:ascii="Arial" w:hAnsi="Arial" w:eastAsia="Arial" w:cs="Arial"/>
          <w:spacing w:val="10"/>
          <w:sz w:val="16"/>
          <w:szCs w:val="16"/>
        </w:rPr>
        <w:t>OL</w:t>
      </w:r>
      <w:r>
        <w:rPr>
          <w:rFonts w:ascii="微软雅黑" w:hAnsi="微软雅黑" w:eastAsia="微软雅黑" w:cs="微软雅黑"/>
          <w:spacing w:val="10"/>
          <w:sz w:val="16"/>
          <w:szCs w:val="16"/>
        </w:rPr>
        <w:t>]</w:t>
      </w:r>
      <w:r>
        <w:rPr>
          <w:rFonts w:ascii="微软雅黑" w:hAnsi="微软雅黑" w:eastAsia="微软雅黑" w:cs="微软雅黑"/>
          <w:spacing w:val="-14"/>
          <w:sz w:val="16"/>
          <w:szCs w:val="16"/>
        </w:rPr>
        <w:t xml:space="preserve"> </w:t>
      </w:r>
      <w:r>
        <w:rPr>
          <w:rFonts w:ascii="Arial" w:hAnsi="Arial" w:eastAsia="Arial" w:cs="Arial"/>
          <w:spacing w:val="10"/>
          <w:sz w:val="16"/>
          <w:szCs w:val="16"/>
        </w:rPr>
        <w:t>.</w:t>
      </w:r>
      <w:r>
        <w:rPr>
          <w:rFonts w:ascii="Arial" w:hAnsi="Arial" w:eastAsia="Arial" w:cs="Arial"/>
          <w:sz w:val="16"/>
          <w:szCs w:val="16"/>
        </w:rPr>
        <w:t xml:space="preserve"> </w:t>
      </w:r>
      <w:r>
        <w:rPr>
          <w:rFonts w:ascii="微软雅黑" w:hAnsi="微软雅黑" w:eastAsia="微软雅黑" w:cs="微软雅黑"/>
          <w:spacing w:val="15"/>
          <w:sz w:val="16"/>
          <w:szCs w:val="16"/>
        </w:rPr>
        <w:t>[</w:t>
      </w:r>
      <w:r>
        <w:rPr>
          <w:rFonts w:ascii="Arial" w:hAnsi="Arial" w:eastAsia="Arial" w:cs="Arial"/>
          <w:spacing w:val="15"/>
          <w:sz w:val="16"/>
          <w:szCs w:val="16"/>
        </w:rPr>
        <w:t>2017-11-04</w:t>
      </w:r>
      <w:r>
        <w:rPr>
          <w:rFonts w:ascii="微软雅黑" w:hAnsi="微软雅黑" w:eastAsia="微软雅黑" w:cs="微软雅黑"/>
          <w:spacing w:val="15"/>
          <w:sz w:val="16"/>
          <w:szCs w:val="16"/>
        </w:rPr>
        <w:t>]</w:t>
      </w:r>
      <w:r>
        <w:rPr>
          <w:rFonts w:ascii="微软雅黑" w:hAnsi="微软雅黑" w:eastAsia="微软雅黑" w:cs="微软雅黑"/>
          <w:spacing w:val="-7"/>
          <w:sz w:val="16"/>
          <w:szCs w:val="16"/>
        </w:rPr>
        <w:t xml:space="preserve"> </w:t>
      </w:r>
      <w:r>
        <w:rPr>
          <w:rFonts w:ascii="Arial" w:hAnsi="Arial" w:eastAsia="Arial" w:cs="Arial"/>
          <w:spacing w:val="15"/>
          <w:sz w:val="16"/>
          <w:szCs w:val="16"/>
        </w:rPr>
        <w:t>.</w:t>
      </w:r>
      <w:r>
        <w:rPr>
          <w:rFonts w:ascii="Arial" w:hAnsi="Arial" w:eastAsia="Arial" w:cs="Arial"/>
          <w:spacing w:val="37"/>
          <w:w w:val="102"/>
          <w:sz w:val="16"/>
          <w:szCs w:val="16"/>
        </w:rPr>
        <w:t xml:space="preserve"> </w:t>
      </w:r>
      <w:r>
        <w:rPr>
          <w:rFonts w:ascii="Arial" w:hAnsi="Arial" w:eastAsia="Arial" w:cs="Arial"/>
          <w:sz w:val="16"/>
          <w:szCs w:val="16"/>
        </w:rPr>
        <w:t>https</w:t>
      </w:r>
      <w:r>
        <w:rPr>
          <w:rFonts w:ascii="微软雅黑" w:hAnsi="微软雅黑" w:eastAsia="微软雅黑" w:cs="微软雅黑"/>
          <w:spacing w:val="15"/>
          <w:sz w:val="16"/>
          <w:szCs w:val="16"/>
        </w:rPr>
        <w:t>://</w:t>
      </w:r>
      <w:r>
        <w:rPr>
          <w:rFonts w:ascii="Arial" w:hAnsi="Arial" w:eastAsia="Arial" w:cs="Arial"/>
          <w:sz w:val="16"/>
          <w:szCs w:val="16"/>
        </w:rPr>
        <w:t>www</w:t>
      </w:r>
      <w:r>
        <w:rPr>
          <w:rFonts w:ascii="Arial" w:hAnsi="Arial" w:eastAsia="Arial" w:cs="Arial"/>
          <w:spacing w:val="15"/>
          <w:sz w:val="16"/>
          <w:szCs w:val="16"/>
        </w:rPr>
        <w:t>.</w:t>
      </w:r>
      <w:r>
        <w:rPr>
          <w:rFonts w:ascii="Arial" w:hAnsi="Arial" w:eastAsia="Arial" w:cs="Arial"/>
          <w:sz w:val="16"/>
          <w:szCs w:val="16"/>
        </w:rPr>
        <w:t>regjeringen</w:t>
      </w:r>
      <w:r>
        <w:rPr>
          <w:rFonts w:ascii="Arial" w:hAnsi="Arial" w:eastAsia="Arial" w:cs="Arial"/>
          <w:spacing w:val="15"/>
          <w:sz w:val="16"/>
          <w:szCs w:val="16"/>
        </w:rPr>
        <w:t>.</w:t>
      </w:r>
      <w:r>
        <w:rPr>
          <w:rFonts w:ascii="Arial" w:hAnsi="Arial" w:eastAsia="Arial" w:cs="Arial"/>
          <w:sz w:val="16"/>
          <w:szCs w:val="16"/>
        </w:rPr>
        <w:t>no</w:t>
      </w:r>
      <w:r>
        <w:rPr>
          <w:rFonts w:ascii="微软雅黑" w:hAnsi="微软雅黑" w:eastAsia="微软雅黑" w:cs="微软雅黑"/>
          <w:spacing w:val="15"/>
          <w:sz w:val="16"/>
          <w:szCs w:val="16"/>
        </w:rPr>
        <w:t>/</w:t>
      </w:r>
      <w:r>
        <w:rPr>
          <w:rFonts w:ascii="Arial" w:hAnsi="Arial" w:eastAsia="Arial" w:cs="Arial"/>
          <w:sz w:val="16"/>
          <w:szCs w:val="16"/>
        </w:rPr>
        <w:t>contentas</w:t>
      </w:r>
      <w:r>
        <w:rPr>
          <w:rFonts w:ascii="Arial" w:hAnsi="Arial" w:eastAsia="Arial" w:cs="Arial"/>
          <w:spacing w:val="15"/>
          <w:sz w:val="16"/>
          <w:szCs w:val="16"/>
        </w:rPr>
        <w:t>-</w:t>
      </w:r>
      <w:r>
        <w:rPr>
          <w:rFonts w:ascii="Arial" w:hAnsi="Arial" w:eastAsia="Arial" w:cs="Arial"/>
          <w:sz w:val="16"/>
          <w:szCs w:val="16"/>
        </w:rPr>
        <w:t xml:space="preserve"> sets</w:t>
      </w:r>
      <w:r>
        <w:rPr>
          <w:rFonts w:ascii="微软雅黑" w:hAnsi="微软雅黑" w:eastAsia="微软雅黑" w:cs="微软雅黑"/>
          <w:spacing w:val="3"/>
          <w:sz w:val="16"/>
          <w:szCs w:val="16"/>
        </w:rPr>
        <w:t>/</w:t>
      </w:r>
      <w:r>
        <w:rPr>
          <w:rFonts w:ascii="Arial" w:hAnsi="Arial" w:eastAsia="Arial" w:cs="Arial"/>
          <w:sz w:val="16"/>
          <w:szCs w:val="16"/>
        </w:rPr>
        <w:t>aee</w:t>
      </w:r>
      <w:r>
        <w:rPr>
          <w:rFonts w:ascii="Arial" w:hAnsi="Arial" w:eastAsia="Arial" w:cs="Arial"/>
          <w:spacing w:val="3"/>
          <w:sz w:val="16"/>
          <w:szCs w:val="16"/>
        </w:rPr>
        <w:t>30e4b7d3241d5</w:t>
      </w:r>
      <w:r>
        <w:rPr>
          <w:rFonts w:ascii="Arial" w:hAnsi="Arial" w:eastAsia="Arial" w:cs="Arial"/>
          <w:sz w:val="16"/>
          <w:szCs w:val="16"/>
        </w:rPr>
        <w:t>bd</w:t>
      </w:r>
      <w:r>
        <w:rPr>
          <w:rFonts w:ascii="Arial" w:hAnsi="Arial" w:eastAsia="Arial" w:cs="Arial"/>
          <w:spacing w:val="3"/>
          <w:sz w:val="16"/>
          <w:szCs w:val="16"/>
        </w:rPr>
        <w:t>89</w:t>
      </w:r>
      <w:r>
        <w:rPr>
          <w:rFonts w:ascii="Arial" w:hAnsi="Arial" w:eastAsia="Arial" w:cs="Arial"/>
          <w:sz w:val="16"/>
          <w:szCs w:val="16"/>
        </w:rPr>
        <w:t>db</w:t>
      </w:r>
      <w:r>
        <w:rPr>
          <w:rFonts w:ascii="Arial" w:hAnsi="Arial" w:eastAsia="Arial" w:cs="Arial"/>
          <w:spacing w:val="3"/>
          <w:sz w:val="16"/>
          <w:szCs w:val="16"/>
        </w:rPr>
        <w:t>69</w:t>
      </w:r>
      <w:r>
        <w:rPr>
          <w:rFonts w:ascii="Arial" w:hAnsi="Arial" w:eastAsia="Arial" w:cs="Arial"/>
          <w:sz w:val="16"/>
          <w:szCs w:val="16"/>
        </w:rPr>
        <w:t>fe</w:t>
      </w:r>
      <w:r>
        <w:rPr>
          <w:rFonts w:ascii="Arial" w:hAnsi="Arial" w:eastAsia="Arial" w:cs="Arial"/>
          <w:spacing w:val="3"/>
          <w:sz w:val="16"/>
          <w:szCs w:val="16"/>
        </w:rPr>
        <w:t>38f7</w:t>
      </w:r>
      <w:r>
        <w:rPr>
          <w:rFonts w:ascii="Arial" w:hAnsi="Arial" w:eastAsia="Arial" w:cs="Arial"/>
          <w:sz w:val="16"/>
          <w:szCs w:val="16"/>
        </w:rPr>
        <w:t>ba</w:t>
      </w:r>
      <w:r>
        <w:rPr>
          <w:rFonts w:ascii="微软雅黑" w:hAnsi="微软雅黑" w:eastAsia="微软雅黑" w:cs="微软雅黑"/>
          <w:spacing w:val="3"/>
          <w:sz w:val="16"/>
          <w:szCs w:val="16"/>
        </w:rPr>
        <w:t>/</w:t>
      </w:r>
      <w:r>
        <w:rPr>
          <w:rFonts w:ascii="Arial" w:hAnsi="Arial" w:eastAsia="Arial" w:cs="Arial"/>
          <w:sz w:val="16"/>
          <w:szCs w:val="16"/>
        </w:rPr>
        <w:t>en</w:t>
      </w:r>
      <w:r>
        <w:rPr>
          <w:rFonts w:ascii="Arial" w:hAnsi="Arial" w:eastAsia="Arial" w:cs="Arial"/>
          <w:spacing w:val="3"/>
          <w:sz w:val="16"/>
          <w:szCs w:val="16"/>
        </w:rPr>
        <w:t>-</w:t>
      </w:r>
      <w:r>
        <w:rPr>
          <w:rFonts w:ascii="Arial" w:hAnsi="Arial" w:eastAsia="Arial" w:cs="Arial"/>
          <w:sz w:val="16"/>
          <w:szCs w:val="16"/>
        </w:rPr>
        <w:t>gb</w:t>
      </w:r>
      <w:r>
        <w:rPr>
          <w:rFonts w:ascii="微软雅黑" w:hAnsi="微软雅黑" w:eastAsia="微软雅黑" w:cs="微软雅黑"/>
          <w:spacing w:val="3"/>
          <w:sz w:val="16"/>
          <w:szCs w:val="16"/>
        </w:rPr>
        <w:t>/</w:t>
      </w:r>
      <w:r>
        <w:rPr>
          <w:rFonts w:ascii="Arial" w:hAnsi="Arial" w:eastAsia="Arial" w:cs="Arial"/>
          <w:sz w:val="16"/>
          <w:szCs w:val="16"/>
        </w:rPr>
        <w:t>pdfs</w:t>
      </w:r>
      <w:r>
        <w:rPr>
          <w:rFonts w:ascii="微软雅黑" w:hAnsi="微软雅黑" w:eastAsia="微软雅黑" w:cs="微软雅黑"/>
          <w:spacing w:val="3"/>
          <w:sz w:val="16"/>
          <w:szCs w:val="16"/>
        </w:rPr>
        <w:t>/</w:t>
      </w:r>
      <w:r>
        <w:rPr>
          <w:rFonts w:ascii="微软雅黑" w:hAnsi="微软雅黑" w:eastAsia="微软雅黑" w:cs="微软雅黑"/>
          <w:spacing w:val="1"/>
          <w:sz w:val="16"/>
          <w:szCs w:val="16"/>
        </w:rPr>
        <w:t xml:space="preserve">  </w:t>
      </w:r>
      <w:r>
        <w:rPr>
          <w:rFonts w:ascii="Arial" w:hAnsi="Arial" w:eastAsia="Arial" w:cs="Arial"/>
          <w:sz w:val="16"/>
          <w:szCs w:val="16"/>
        </w:rPr>
        <w:t>stm</w:t>
      </w:r>
      <w:r>
        <w:rPr>
          <w:rFonts w:ascii="Arial" w:hAnsi="Arial" w:eastAsia="Arial" w:cs="Arial"/>
          <w:spacing w:val="3"/>
          <w:sz w:val="16"/>
          <w:szCs w:val="16"/>
        </w:rPr>
        <w:t>201620170016000</w:t>
      </w:r>
      <w:r>
        <w:rPr>
          <w:rFonts w:ascii="Arial" w:hAnsi="Arial" w:eastAsia="Arial" w:cs="Arial"/>
          <w:sz w:val="16"/>
          <w:szCs w:val="16"/>
        </w:rPr>
        <w:t>engpdfs</w:t>
      </w:r>
      <w:r>
        <w:rPr>
          <w:rFonts w:ascii="Arial" w:hAnsi="Arial" w:eastAsia="Arial" w:cs="Arial"/>
          <w:spacing w:val="3"/>
          <w:sz w:val="16"/>
          <w:szCs w:val="16"/>
        </w:rPr>
        <w:t>.</w:t>
      </w:r>
      <w:r>
        <w:rPr>
          <w:rFonts w:ascii="Arial" w:hAnsi="Arial" w:eastAsia="Arial" w:cs="Arial"/>
          <w:sz w:val="16"/>
          <w:szCs w:val="16"/>
        </w:rPr>
        <w:t>pdf</w:t>
      </w:r>
      <w:r>
        <w:rPr>
          <w:rFonts w:ascii="Arial" w:hAnsi="Arial" w:eastAsia="Arial" w:cs="Arial"/>
          <w:spacing w:val="3"/>
          <w:sz w:val="16"/>
          <w:szCs w:val="16"/>
        </w:rPr>
        <w:t>.</w:t>
      </w:r>
    </w:p>
    <w:p>
      <w:pPr>
        <w:spacing w:before="111" w:line="231" w:lineRule="auto"/>
        <w:ind w:left="436" w:right="69" w:hanging="431"/>
        <w:rPr>
          <w:rFonts w:ascii="Arial" w:hAnsi="Arial" w:eastAsia="Arial" w:cs="Arial"/>
          <w:sz w:val="16"/>
          <w:szCs w:val="16"/>
        </w:rPr>
      </w:pPr>
      <w:r>
        <w:rPr>
          <w:rFonts w:ascii="微软雅黑" w:hAnsi="微软雅黑" w:eastAsia="微软雅黑" w:cs="微软雅黑"/>
          <w:spacing w:val="10"/>
          <w:position w:val="1"/>
          <w:sz w:val="16"/>
          <w:szCs w:val="16"/>
        </w:rPr>
        <w:t>[</w:t>
      </w:r>
      <w:r>
        <w:rPr>
          <w:rFonts w:ascii="Arial" w:hAnsi="Arial" w:eastAsia="Arial" w:cs="Arial"/>
          <w:spacing w:val="10"/>
          <w:position w:val="1"/>
          <w:sz w:val="16"/>
          <w:szCs w:val="16"/>
        </w:rPr>
        <w:t>2</w:t>
      </w:r>
      <w:r>
        <w:rPr>
          <w:rFonts w:ascii="微软雅黑" w:hAnsi="微软雅黑" w:eastAsia="微软雅黑" w:cs="微软雅黑"/>
          <w:spacing w:val="10"/>
          <w:position w:val="1"/>
          <w:sz w:val="16"/>
          <w:szCs w:val="16"/>
        </w:rPr>
        <w:t xml:space="preserve">]    </w:t>
      </w:r>
      <w:r>
        <w:rPr>
          <w:rFonts w:ascii="Arial" w:hAnsi="Arial" w:eastAsia="Arial" w:cs="Arial"/>
          <w:spacing w:val="10"/>
          <w:sz w:val="16"/>
          <w:szCs w:val="16"/>
        </w:rPr>
        <w:t>VemuriV  K.  TheSecond</w:t>
      </w:r>
      <w:r>
        <w:rPr>
          <w:rFonts w:ascii="Arial" w:hAnsi="Arial" w:eastAsia="Arial" w:cs="Arial"/>
          <w:spacing w:val="4"/>
          <w:sz w:val="16"/>
          <w:szCs w:val="16"/>
        </w:rPr>
        <w:t xml:space="preserve">  </w:t>
      </w:r>
      <w:r>
        <w:rPr>
          <w:rFonts w:ascii="Arial" w:hAnsi="Arial" w:eastAsia="Arial" w:cs="Arial"/>
          <w:spacing w:val="10"/>
          <w:sz w:val="16"/>
          <w:szCs w:val="16"/>
        </w:rPr>
        <w:t>MachineAge</w:t>
      </w:r>
      <w:r>
        <w:rPr>
          <w:rFonts w:ascii="微软雅黑" w:hAnsi="微软雅黑" w:eastAsia="微软雅黑" w:cs="微软雅黑"/>
          <w:spacing w:val="10"/>
          <w:sz w:val="16"/>
          <w:szCs w:val="16"/>
        </w:rPr>
        <w:t xml:space="preserve">: </w:t>
      </w:r>
      <w:r>
        <w:rPr>
          <w:rFonts w:ascii="Arial" w:hAnsi="Arial" w:eastAsia="Arial" w:cs="Arial"/>
          <w:spacing w:val="10"/>
          <w:sz w:val="16"/>
          <w:szCs w:val="16"/>
        </w:rPr>
        <w:t>Work</w:t>
      </w:r>
      <w:r>
        <w:rPr>
          <w:rFonts w:ascii="Arial" w:hAnsi="Arial" w:eastAsia="Arial" w:cs="Arial"/>
          <w:spacing w:val="-9"/>
          <w:sz w:val="16"/>
          <w:szCs w:val="16"/>
        </w:rPr>
        <w:t xml:space="preserve"> </w:t>
      </w:r>
      <w:r>
        <w:rPr>
          <w:rFonts w:ascii="微软雅黑" w:hAnsi="微软雅黑" w:eastAsia="微软雅黑" w:cs="微软雅黑"/>
          <w:spacing w:val="10"/>
          <w:position w:val="2"/>
          <w:sz w:val="16"/>
          <w:szCs w:val="16"/>
        </w:rPr>
        <w:t xml:space="preserve">,  </w:t>
      </w:r>
      <w:r>
        <w:rPr>
          <w:rFonts w:ascii="Arial" w:hAnsi="Arial" w:eastAsia="Arial" w:cs="Arial"/>
          <w:spacing w:val="10"/>
          <w:sz w:val="16"/>
          <w:szCs w:val="16"/>
        </w:rPr>
        <w:t>Pro-</w:t>
      </w:r>
      <w:r>
        <w:rPr>
          <w:rFonts w:ascii="Arial" w:hAnsi="Arial" w:eastAsia="Arial" w:cs="Arial"/>
          <w:sz w:val="16"/>
          <w:szCs w:val="16"/>
        </w:rPr>
        <w:t xml:space="preserve"> </w:t>
      </w:r>
      <w:r>
        <w:rPr>
          <w:rFonts w:ascii="Arial" w:hAnsi="Arial" w:eastAsia="Arial" w:cs="Arial"/>
          <w:spacing w:val="13"/>
          <w:sz w:val="16"/>
          <w:szCs w:val="16"/>
        </w:rPr>
        <w:t>gress</w:t>
      </w:r>
      <w:r>
        <w:rPr>
          <w:rFonts w:ascii="Arial" w:hAnsi="Arial" w:eastAsia="Arial" w:cs="Arial"/>
          <w:spacing w:val="-5"/>
          <w:sz w:val="16"/>
          <w:szCs w:val="16"/>
        </w:rPr>
        <w:t xml:space="preserve"> </w:t>
      </w:r>
      <w:r>
        <w:rPr>
          <w:rFonts w:ascii="微软雅黑" w:hAnsi="微软雅黑" w:eastAsia="微软雅黑" w:cs="微软雅黑"/>
          <w:spacing w:val="13"/>
          <w:position w:val="2"/>
          <w:sz w:val="16"/>
          <w:szCs w:val="16"/>
        </w:rPr>
        <w:t>,</w:t>
      </w:r>
      <w:r>
        <w:rPr>
          <w:rFonts w:ascii="微软雅黑" w:hAnsi="微软雅黑" w:eastAsia="微软雅黑" w:cs="微软雅黑"/>
          <w:spacing w:val="2"/>
          <w:position w:val="2"/>
          <w:sz w:val="16"/>
          <w:szCs w:val="16"/>
        </w:rPr>
        <w:t xml:space="preserve">  </w:t>
      </w:r>
      <w:r>
        <w:rPr>
          <w:rFonts w:ascii="Arial" w:hAnsi="Arial" w:eastAsia="Arial" w:cs="Arial"/>
          <w:spacing w:val="13"/>
          <w:sz w:val="16"/>
          <w:szCs w:val="16"/>
        </w:rPr>
        <w:t>andProsperity</w:t>
      </w:r>
      <w:r>
        <w:rPr>
          <w:rFonts w:ascii="Arial" w:hAnsi="Arial" w:eastAsia="Arial" w:cs="Arial"/>
          <w:spacing w:val="27"/>
          <w:w w:val="101"/>
          <w:sz w:val="16"/>
          <w:szCs w:val="16"/>
        </w:rPr>
        <w:t xml:space="preserve"> </w:t>
      </w:r>
      <w:r>
        <w:rPr>
          <w:rFonts w:ascii="Arial" w:hAnsi="Arial" w:eastAsia="Arial" w:cs="Arial"/>
          <w:spacing w:val="13"/>
          <w:sz w:val="16"/>
          <w:szCs w:val="16"/>
        </w:rPr>
        <w:t>inaTimeofBrilli</w:t>
      </w:r>
      <w:r>
        <w:rPr>
          <w:rFonts w:ascii="Arial" w:hAnsi="Arial" w:eastAsia="Arial" w:cs="Arial"/>
          <w:spacing w:val="12"/>
          <w:sz w:val="16"/>
          <w:szCs w:val="16"/>
        </w:rPr>
        <w:t>antTechnolo-</w:t>
      </w:r>
      <w:r>
        <w:rPr>
          <w:rFonts w:ascii="Arial" w:hAnsi="Arial" w:eastAsia="Arial" w:cs="Arial"/>
          <w:sz w:val="16"/>
          <w:szCs w:val="16"/>
        </w:rPr>
        <w:t xml:space="preserve"> </w:t>
      </w:r>
      <w:r>
        <w:rPr>
          <w:rFonts w:ascii="Arial" w:hAnsi="Arial" w:eastAsia="Arial" w:cs="Arial"/>
          <w:spacing w:val="7"/>
          <w:sz w:val="16"/>
          <w:szCs w:val="16"/>
        </w:rPr>
        <w:t>gies</w:t>
      </w:r>
      <w:r>
        <w:rPr>
          <w:rFonts w:ascii="Arial" w:hAnsi="Arial" w:eastAsia="Arial" w:cs="Arial"/>
          <w:spacing w:val="1"/>
          <w:sz w:val="16"/>
          <w:szCs w:val="16"/>
        </w:rPr>
        <w:t xml:space="preserve"> </w:t>
      </w:r>
      <w:r>
        <w:rPr>
          <w:rFonts w:ascii="微软雅黑" w:hAnsi="微软雅黑" w:eastAsia="微软雅黑" w:cs="微软雅黑"/>
          <w:spacing w:val="7"/>
          <w:position w:val="2"/>
          <w:sz w:val="16"/>
          <w:szCs w:val="16"/>
        </w:rPr>
        <w:t xml:space="preserve">,  </w:t>
      </w:r>
      <w:r>
        <w:rPr>
          <w:rFonts w:ascii="Arial" w:hAnsi="Arial" w:eastAsia="Arial" w:cs="Arial"/>
          <w:spacing w:val="7"/>
          <w:sz w:val="16"/>
          <w:szCs w:val="16"/>
        </w:rPr>
        <w:t>b</w:t>
      </w:r>
      <w:r>
        <w:rPr>
          <w:rFonts w:ascii="Arial" w:hAnsi="Arial" w:eastAsia="Arial" w:cs="Arial"/>
          <w:spacing w:val="-27"/>
          <w:sz w:val="16"/>
          <w:szCs w:val="16"/>
        </w:rPr>
        <w:t xml:space="preserve"> </w:t>
      </w:r>
      <w:r>
        <w:rPr>
          <w:rFonts w:ascii="Arial" w:hAnsi="Arial" w:eastAsia="Arial" w:cs="Arial"/>
          <w:spacing w:val="7"/>
          <w:position w:val="-1"/>
          <w:sz w:val="16"/>
          <w:szCs w:val="16"/>
        </w:rPr>
        <w:t xml:space="preserve">y  </w:t>
      </w:r>
      <w:r>
        <w:rPr>
          <w:rFonts w:ascii="Arial" w:hAnsi="Arial" w:eastAsia="Arial" w:cs="Arial"/>
          <w:spacing w:val="7"/>
          <w:sz w:val="16"/>
          <w:szCs w:val="16"/>
        </w:rPr>
        <w:t>Erik  Brynjolfssonand  Andrew  McAfee</w:t>
      </w:r>
      <w:r>
        <w:rPr>
          <w:rFonts w:ascii="微软雅黑" w:hAnsi="微软雅黑" w:eastAsia="微软雅黑" w:cs="微软雅黑"/>
          <w:spacing w:val="7"/>
          <w:sz w:val="16"/>
          <w:szCs w:val="16"/>
        </w:rPr>
        <w:t>[</w:t>
      </w:r>
      <w:r>
        <w:rPr>
          <w:rFonts w:ascii="Arial" w:hAnsi="Arial" w:eastAsia="Arial" w:cs="Arial"/>
          <w:spacing w:val="7"/>
          <w:sz w:val="16"/>
          <w:szCs w:val="16"/>
        </w:rPr>
        <w:t>J</w:t>
      </w:r>
      <w:r>
        <w:rPr>
          <w:rFonts w:ascii="微软雅黑" w:hAnsi="微软雅黑" w:eastAsia="微软雅黑" w:cs="微软雅黑"/>
          <w:spacing w:val="7"/>
          <w:sz w:val="16"/>
          <w:szCs w:val="16"/>
        </w:rPr>
        <w:t>]</w:t>
      </w:r>
      <w:r>
        <w:rPr>
          <w:rFonts w:ascii="微软雅黑" w:hAnsi="微软雅黑" w:eastAsia="微软雅黑" w:cs="微软雅黑"/>
          <w:spacing w:val="-15"/>
          <w:sz w:val="16"/>
          <w:szCs w:val="16"/>
        </w:rPr>
        <w:t xml:space="preserve"> </w:t>
      </w:r>
      <w:r>
        <w:rPr>
          <w:rFonts w:ascii="Arial" w:hAnsi="Arial" w:eastAsia="Arial" w:cs="Arial"/>
          <w:spacing w:val="7"/>
          <w:sz w:val="16"/>
          <w:szCs w:val="16"/>
        </w:rPr>
        <w:t>.</w:t>
      </w:r>
      <w:r>
        <w:rPr>
          <w:rFonts w:ascii="Arial" w:hAnsi="Arial" w:eastAsia="Arial" w:cs="Arial"/>
          <w:sz w:val="16"/>
          <w:szCs w:val="16"/>
        </w:rPr>
        <w:t xml:space="preserve"> </w:t>
      </w:r>
      <w:r>
        <w:rPr>
          <w:rFonts w:ascii="Arial" w:hAnsi="Arial" w:eastAsia="Arial" w:cs="Arial"/>
          <w:spacing w:val="6"/>
          <w:sz w:val="16"/>
          <w:szCs w:val="16"/>
        </w:rPr>
        <w:t>JournalofBusiness&amp;</w:t>
      </w:r>
      <w:r>
        <w:rPr>
          <w:rFonts w:ascii="Arial" w:hAnsi="Arial" w:eastAsia="Arial" w:cs="Arial"/>
          <w:spacing w:val="47"/>
          <w:w w:val="101"/>
          <w:sz w:val="16"/>
          <w:szCs w:val="16"/>
        </w:rPr>
        <w:t xml:space="preserve"> </w:t>
      </w:r>
      <w:r>
        <w:rPr>
          <w:rFonts w:ascii="Arial" w:hAnsi="Arial" w:eastAsia="Arial" w:cs="Arial"/>
          <w:spacing w:val="6"/>
          <w:sz w:val="16"/>
          <w:szCs w:val="16"/>
        </w:rPr>
        <w:t>FinanceLibrarianship</w:t>
      </w:r>
      <w:r>
        <w:rPr>
          <w:rFonts w:ascii="Arial" w:hAnsi="Arial" w:eastAsia="Arial" w:cs="Arial"/>
          <w:spacing w:val="-6"/>
          <w:sz w:val="16"/>
          <w:szCs w:val="16"/>
        </w:rPr>
        <w:t xml:space="preserve"> </w:t>
      </w:r>
      <w:r>
        <w:rPr>
          <w:rFonts w:ascii="微软雅黑" w:hAnsi="微软雅黑" w:eastAsia="微软雅黑" w:cs="微软雅黑"/>
          <w:spacing w:val="6"/>
          <w:position w:val="2"/>
          <w:sz w:val="16"/>
          <w:szCs w:val="16"/>
        </w:rPr>
        <w:t>,</w:t>
      </w:r>
      <w:r>
        <w:rPr>
          <w:rFonts w:ascii="微软雅黑" w:hAnsi="微软雅黑" w:eastAsia="微软雅黑" w:cs="微软雅黑"/>
          <w:spacing w:val="43"/>
          <w:position w:val="2"/>
          <w:sz w:val="16"/>
          <w:szCs w:val="16"/>
        </w:rPr>
        <w:t xml:space="preserve"> </w:t>
      </w:r>
      <w:r>
        <w:rPr>
          <w:rFonts w:ascii="Arial" w:hAnsi="Arial" w:eastAsia="Arial" w:cs="Arial"/>
          <w:spacing w:val="6"/>
          <w:sz w:val="16"/>
          <w:szCs w:val="16"/>
        </w:rPr>
        <w:t xml:space="preserve">2015 </w:t>
      </w:r>
      <w:r>
        <w:rPr>
          <w:rFonts w:ascii="微软雅黑" w:hAnsi="微软雅黑" w:eastAsia="微软雅黑" w:cs="微软雅黑"/>
          <w:spacing w:val="6"/>
          <w:position w:val="2"/>
          <w:sz w:val="16"/>
          <w:szCs w:val="16"/>
        </w:rPr>
        <w:t>,</w:t>
      </w:r>
      <w:r>
        <w:rPr>
          <w:rFonts w:ascii="微软雅黑" w:hAnsi="微软雅黑" w:eastAsia="微软雅黑" w:cs="微软雅黑"/>
          <w:spacing w:val="43"/>
          <w:w w:val="101"/>
          <w:position w:val="2"/>
          <w:sz w:val="16"/>
          <w:szCs w:val="16"/>
        </w:rPr>
        <w:t xml:space="preserve"> </w:t>
      </w:r>
      <w:r>
        <w:rPr>
          <w:rFonts w:ascii="Arial" w:hAnsi="Arial" w:eastAsia="Arial" w:cs="Arial"/>
          <w:spacing w:val="6"/>
          <w:sz w:val="16"/>
          <w:szCs w:val="16"/>
        </w:rPr>
        <w:t>20</w:t>
      </w:r>
      <w:r>
        <w:rPr>
          <w:rFonts w:ascii="Arial" w:hAnsi="Arial" w:eastAsia="Arial" w:cs="Arial"/>
          <w:sz w:val="16"/>
          <w:szCs w:val="16"/>
        </w:rPr>
        <w:t xml:space="preserve"> </w:t>
      </w:r>
      <w:r>
        <w:rPr>
          <w:rFonts w:ascii="微软雅黑" w:hAnsi="微软雅黑" w:eastAsia="微软雅黑" w:cs="微软雅黑"/>
          <w:spacing w:val="4"/>
          <w:sz w:val="16"/>
          <w:szCs w:val="16"/>
        </w:rPr>
        <w:t>(</w:t>
      </w:r>
      <w:r>
        <w:rPr>
          <w:rFonts w:ascii="Arial" w:hAnsi="Arial" w:eastAsia="Arial" w:cs="Arial"/>
          <w:spacing w:val="4"/>
          <w:sz w:val="16"/>
          <w:szCs w:val="16"/>
        </w:rPr>
        <w:t>3</w:t>
      </w:r>
      <w:r>
        <w:rPr>
          <w:rFonts w:ascii="微软雅黑" w:hAnsi="微软雅黑" w:eastAsia="微软雅黑" w:cs="微软雅黑"/>
          <w:spacing w:val="4"/>
          <w:sz w:val="16"/>
          <w:szCs w:val="16"/>
        </w:rPr>
        <w:t>)</w:t>
      </w:r>
      <w:r>
        <w:rPr>
          <w:rFonts w:ascii="微软雅黑" w:hAnsi="微软雅黑" w:eastAsia="微软雅黑" w:cs="微软雅黑"/>
          <w:spacing w:val="25"/>
          <w:sz w:val="16"/>
          <w:szCs w:val="16"/>
        </w:rPr>
        <w:t xml:space="preserve"> </w:t>
      </w:r>
      <w:r>
        <w:rPr>
          <w:rFonts w:ascii="微软雅黑" w:hAnsi="微软雅黑" w:eastAsia="微软雅黑" w:cs="微软雅黑"/>
          <w:spacing w:val="4"/>
          <w:sz w:val="16"/>
          <w:szCs w:val="16"/>
        </w:rPr>
        <w:t>:</w:t>
      </w:r>
      <w:r>
        <w:rPr>
          <w:rFonts w:ascii="Arial" w:hAnsi="Arial" w:eastAsia="Arial" w:cs="Arial"/>
          <w:spacing w:val="4"/>
          <w:sz w:val="16"/>
          <w:szCs w:val="16"/>
        </w:rPr>
        <w:t>244-246.</w:t>
      </w:r>
    </w:p>
    <w:p>
      <w:pPr>
        <w:spacing w:before="68" w:line="230" w:lineRule="auto"/>
        <w:ind w:left="444" w:right="60" w:hanging="439"/>
        <w:rPr>
          <w:rFonts w:ascii="Arial" w:hAnsi="Arial" w:eastAsia="Arial" w:cs="Arial"/>
          <w:sz w:val="16"/>
          <w:szCs w:val="16"/>
        </w:rPr>
      </w:pPr>
      <w:r>
        <w:rPr>
          <w:rFonts w:ascii="微软雅黑" w:hAnsi="微软雅黑" w:eastAsia="微软雅黑" w:cs="微软雅黑"/>
          <w:spacing w:val="7"/>
          <w:position w:val="1"/>
          <w:sz w:val="16"/>
          <w:szCs w:val="16"/>
        </w:rPr>
        <w:t>[</w:t>
      </w:r>
      <w:r>
        <w:rPr>
          <w:rFonts w:ascii="Arial" w:hAnsi="Arial" w:eastAsia="Arial" w:cs="Arial"/>
          <w:spacing w:val="7"/>
          <w:position w:val="1"/>
          <w:sz w:val="16"/>
          <w:szCs w:val="16"/>
        </w:rPr>
        <w:t>3</w:t>
      </w:r>
      <w:r>
        <w:rPr>
          <w:rFonts w:ascii="微软雅黑" w:hAnsi="微软雅黑" w:eastAsia="微软雅黑" w:cs="微软雅黑"/>
          <w:spacing w:val="7"/>
          <w:position w:val="1"/>
          <w:sz w:val="16"/>
          <w:szCs w:val="16"/>
        </w:rPr>
        <w:t>]</w:t>
      </w:r>
      <w:r>
        <w:rPr>
          <w:rFonts w:ascii="微软雅黑" w:hAnsi="微软雅黑" w:eastAsia="微软雅黑" w:cs="微软雅黑"/>
          <w:spacing w:val="3"/>
          <w:position w:val="1"/>
          <w:sz w:val="16"/>
          <w:szCs w:val="16"/>
        </w:rPr>
        <w:t xml:space="preserve">     </w:t>
      </w:r>
      <w:r>
        <w:rPr>
          <w:rFonts w:ascii="Arial" w:hAnsi="Arial" w:eastAsia="Arial" w:cs="Arial"/>
          <w:spacing w:val="7"/>
          <w:sz w:val="16"/>
          <w:szCs w:val="16"/>
        </w:rPr>
        <w:t>COOK</w:t>
      </w:r>
      <w:r>
        <w:rPr>
          <w:rFonts w:ascii="Arial" w:hAnsi="Arial" w:eastAsia="Arial" w:cs="Arial"/>
          <w:spacing w:val="4"/>
          <w:sz w:val="16"/>
          <w:szCs w:val="16"/>
        </w:rPr>
        <w:t xml:space="preserve">  </w:t>
      </w:r>
      <w:r>
        <w:rPr>
          <w:rFonts w:ascii="Arial" w:hAnsi="Arial" w:eastAsia="Arial" w:cs="Arial"/>
          <w:spacing w:val="7"/>
          <w:sz w:val="16"/>
          <w:szCs w:val="16"/>
        </w:rPr>
        <w:t>R</w:t>
      </w:r>
      <w:r>
        <w:rPr>
          <w:rFonts w:ascii="Arial" w:hAnsi="Arial" w:eastAsia="Arial" w:cs="Arial"/>
          <w:spacing w:val="-8"/>
          <w:sz w:val="16"/>
          <w:szCs w:val="16"/>
        </w:rPr>
        <w:t xml:space="preserve"> </w:t>
      </w:r>
      <w:r>
        <w:rPr>
          <w:rFonts w:ascii="微软雅黑" w:hAnsi="微软雅黑" w:eastAsia="微软雅黑" w:cs="微软雅黑"/>
          <w:spacing w:val="7"/>
          <w:position w:val="2"/>
          <w:sz w:val="16"/>
          <w:szCs w:val="16"/>
        </w:rPr>
        <w:t xml:space="preserve">, </w:t>
      </w:r>
      <w:r>
        <w:rPr>
          <w:rFonts w:ascii="Arial" w:hAnsi="Arial" w:eastAsia="Arial" w:cs="Arial"/>
          <w:spacing w:val="7"/>
          <w:sz w:val="16"/>
          <w:szCs w:val="16"/>
        </w:rPr>
        <w:t>WEAVING  H.  Key  CompetenceDevelop-</w:t>
      </w:r>
      <w:r>
        <w:rPr>
          <w:rFonts w:ascii="Arial" w:hAnsi="Arial" w:eastAsia="Arial" w:cs="Arial"/>
          <w:sz w:val="16"/>
          <w:szCs w:val="16"/>
        </w:rPr>
        <w:t xml:space="preserve"> </w:t>
      </w:r>
      <w:r>
        <w:rPr>
          <w:rFonts w:ascii="Arial" w:hAnsi="Arial" w:eastAsia="Arial" w:cs="Arial"/>
          <w:spacing w:val="13"/>
          <w:sz w:val="16"/>
          <w:szCs w:val="16"/>
        </w:rPr>
        <w:t>mentinSchoolEducationinEurope</w:t>
      </w:r>
      <w:r>
        <w:rPr>
          <w:rFonts w:ascii="微软雅黑" w:hAnsi="微软雅黑" w:eastAsia="微软雅黑" w:cs="微软雅黑"/>
          <w:spacing w:val="13"/>
          <w:sz w:val="16"/>
          <w:szCs w:val="16"/>
        </w:rPr>
        <w:t xml:space="preserve">: </w:t>
      </w:r>
      <w:r>
        <w:rPr>
          <w:rFonts w:ascii="Arial" w:hAnsi="Arial" w:eastAsia="Arial" w:cs="Arial"/>
          <w:spacing w:val="12"/>
          <w:sz w:val="16"/>
          <w:szCs w:val="16"/>
        </w:rPr>
        <w:t>Key</w:t>
      </w:r>
      <w:r>
        <w:rPr>
          <w:rFonts w:ascii="Arial" w:hAnsi="Arial" w:eastAsia="Arial" w:cs="Arial"/>
          <w:spacing w:val="35"/>
          <w:sz w:val="16"/>
          <w:szCs w:val="16"/>
        </w:rPr>
        <w:t xml:space="preserve"> </w:t>
      </w:r>
      <w:r>
        <w:rPr>
          <w:rFonts w:ascii="Arial" w:hAnsi="Arial" w:eastAsia="Arial" w:cs="Arial"/>
          <w:spacing w:val="12"/>
          <w:sz w:val="16"/>
          <w:szCs w:val="16"/>
        </w:rPr>
        <w:t>CoNet'sRe-</w:t>
      </w:r>
      <w:r>
        <w:rPr>
          <w:rFonts w:ascii="Arial" w:hAnsi="Arial" w:eastAsia="Arial" w:cs="Arial"/>
          <w:sz w:val="16"/>
          <w:szCs w:val="16"/>
        </w:rPr>
        <w:t xml:space="preserve"> </w:t>
      </w:r>
      <w:r>
        <w:rPr>
          <w:rFonts w:ascii="Arial" w:hAnsi="Arial" w:eastAsia="Arial" w:cs="Arial"/>
          <w:spacing w:val="7"/>
          <w:sz w:val="16"/>
          <w:szCs w:val="16"/>
        </w:rPr>
        <w:t>view</w:t>
      </w:r>
      <w:r>
        <w:rPr>
          <w:rFonts w:ascii="Arial" w:hAnsi="Arial" w:eastAsia="Arial" w:cs="Arial"/>
          <w:spacing w:val="3"/>
          <w:sz w:val="16"/>
          <w:szCs w:val="16"/>
        </w:rPr>
        <w:t xml:space="preserve">  </w:t>
      </w:r>
      <w:r>
        <w:rPr>
          <w:rFonts w:ascii="Arial" w:hAnsi="Arial" w:eastAsia="Arial" w:cs="Arial"/>
          <w:spacing w:val="7"/>
          <w:sz w:val="16"/>
          <w:szCs w:val="16"/>
        </w:rPr>
        <w:t>of</w:t>
      </w:r>
      <w:r>
        <w:rPr>
          <w:rFonts w:ascii="Arial" w:hAnsi="Arial" w:eastAsia="Arial" w:cs="Arial"/>
          <w:spacing w:val="19"/>
          <w:w w:val="101"/>
          <w:sz w:val="16"/>
          <w:szCs w:val="16"/>
        </w:rPr>
        <w:t xml:space="preserve">  </w:t>
      </w:r>
      <w:r>
        <w:rPr>
          <w:rFonts w:ascii="Arial" w:hAnsi="Arial" w:eastAsia="Arial" w:cs="Arial"/>
          <w:spacing w:val="7"/>
          <w:sz w:val="16"/>
          <w:szCs w:val="16"/>
        </w:rPr>
        <w:t>the</w:t>
      </w:r>
      <w:r>
        <w:rPr>
          <w:rFonts w:ascii="Arial" w:hAnsi="Arial" w:eastAsia="Arial" w:cs="Arial"/>
          <w:spacing w:val="20"/>
          <w:sz w:val="16"/>
          <w:szCs w:val="16"/>
        </w:rPr>
        <w:t xml:space="preserve">  </w:t>
      </w:r>
      <w:r>
        <w:rPr>
          <w:rFonts w:ascii="Arial" w:hAnsi="Arial" w:eastAsia="Arial" w:cs="Arial"/>
          <w:spacing w:val="7"/>
          <w:sz w:val="16"/>
          <w:szCs w:val="16"/>
        </w:rPr>
        <w:t>Literature</w:t>
      </w:r>
      <w:r>
        <w:rPr>
          <w:rFonts w:ascii="微软雅黑" w:hAnsi="微软雅黑" w:eastAsia="微软雅黑" w:cs="微软雅黑"/>
          <w:spacing w:val="7"/>
          <w:sz w:val="16"/>
          <w:szCs w:val="16"/>
        </w:rPr>
        <w:t>:</w:t>
      </w:r>
      <w:r>
        <w:rPr>
          <w:rFonts w:ascii="微软雅黑" w:hAnsi="微软雅黑" w:eastAsia="微软雅黑" w:cs="微软雅黑"/>
          <w:spacing w:val="2"/>
          <w:sz w:val="16"/>
          <w:szCs w:val="16"/>
        </w:rPr>
        <w:t xml:space="preserve">  </w:t>
      </w:r>
      <w:r>
        <w:rPr>
          <w:rFonts w:ascii="Arial" w:hAnsi="Arial" w:eastAsia="Arial" w:cs="Arial"/>
          <w:spacing w:val="7"/>
          <w:sz w:val="16"/>
          <w:szCs w:val="16"/>
        </w:rPr>
        <w:t>A</w:t>
      </w:r>
      <w:r>
        <w:rPr>
          <w:rFonts w:ascii="Arial" w:hAnsi="Arial" w:eastAsia="Arial" w:cs="Arial"/>
          <w:spacing w:val="19"/>
          <w:w w:val="101"/>
          <w:sz w:val="16"/>
          <w:szCs w:val="16"/>
        </w:rPr>
        <w:t xml:space="preserve">  </w:t>
      </w:r>
      <w:r>
        <w:rPr>
          <w:rFonts w:ascii="Arial" w:hAnsi="Arial" w:eastAsia="Arial" w:cs="Arial"/>
          <w:spacing w:val="7"/>
          <w:sz w:val="16"/>
          <w:szCs w:val="16"/>
        </w:rPr>
        <w:t>Summary</w:t>
      </w:r>
      <w:r>
        <w:rPr>
          <w:rFonts w:ascii="微软雅黑" w:hAnsi="微软雅黑" w:eastAsia="微软雅黑" w:cs="微软雅黑"/>
          <w:spacing w:val="7"/>
          <w:sz w:val="16"/>
          <w:szCs w:val="16"/>
        </w:rPr>
        <w:t>[</w:t>
      </w:r>
      <w:r>
        <w:rPr>
          <w:rFonts w:ascii="Arial" w:hAnsi="Arial" w:eastAsia="Arial" w:cs="Arial"/>
          <w:spacing w:val="7"/>
          <w:sz w:val="16"/>
          <w:szCs w:val="16"/>
        </w:rPr>
        <w:t>J</w:t>
      </w:r>
      <w:r>
        <w:rPr>
          <w:rFonts w:ascii="微软雅黑" w:hAnsi="微软雅黑" w:eastAsia="微软雅黑" w:cs="微软雅黑"/>
          <w:spacing w:val="7"/>
          <w:sz w:val="16"/>
          <w:szCs w:val="16"/>
        </w:rPr>
        <w:t>]</w:t>
      </w:r>
      <w:r>
        <w:rPr>
          <w:rFonts w:ascii="微软雅黑" w:hAnsi="微软雅黑" w:eastAsia="微软雅黑" w:cs="微软雅黑"/>
          <w:spacing w:val="-14"/>
          <w:sz w:val="16"/>
          <w:szCs w:val="16"/>
        </w:rPr>
        <w:t xml:space="preserve"> </w:t>
      </w:r>
      <w:r>
        <w:rPr>
          <w:rFonts w:ascii="Arial" w:hAnsi="Arial" w:eastAsia="Arial" w:cs="Arial"/>
          <w:spacing w:val="7"/>
          <w:sz w:val="16"/>
          <w:szCs w:val="16"/>
        </w:rPr>
        <w:t>.   European</w:t>
      </w:r>
      <w:r>
        <w:rPr>
          <w:rFonts w:ascii="Arial" w:hAnsi="Arial" w:eastAsia="Arial" w:cs="Arial"/>
          <w:sz w:val="16"/>
          <w:szCs w:val="16"/>
        </w:rPr>
        <w:t xml:space="preserve"> Schoolnet</w:t>
      </w:r>
      <w:r>
        <w:rPr>
          <w:rFonts w:ascii="Arial" w:hAnsi="Arial" w:eastAsia="Arial" w:cs="Arial"/>
          <w:spacing w:val="-3"/>
          <w:sz w:val="16"/>
          <w:szCs w:val="16"/>
        </w:rPr>
        <w:t xml:space="preserve"> </w:t>
      </w:r>
      <w:r>
        <w:rPr>
          <w:rFonts w:ascii="微软雅黑" w:hAnsi="微软雅黑" w:eastAsia="微软雅黑" w:cs="微软雅黑"/>
          <w:spacing w:val="10"/>
          <w:position w:val="1"/>
          <w:sz w:val="16"/>
          <w:szCs w:val="16"/>
        </w:rPr>
        <w:t>,</w:t>
      </w:r>
      <w:r>
        <w:rPr>
          <w:rFonts w:ascii="微软雅黑" w:hAnsi="微软雅黑" w:eastAsia="微软雅黑" w:cs="微软雅黑"/>
          <w:spacing w:val="3"/>
          <w:position w:val="1"/>
          <w:sz w:val="16"/>
          <w:szCs w:val="16"/>
        </w:rPr>
        <w:t xml:space="preserve">  </w:t>
      </w:r>
      <w:r>
        <w:rPr>
          <w:rFonts w:ascii="Arial" w:hAnsi="Arial" w:eastAsia="Arial" w:cs="Arial"/>
          <w:spacing w:val="10"/>
          <w:sz w:val="16"/>
          <w:szCs w:val="16"/>
        </w:rPr>
        <w:t>2012</w:t>
      </w:r>
      <w:r>
        <w:rPr>
          <w:rFonts w:ascii="微软雅黑" w:hAnsi="微软雅黑" w:eastAsia="微软雅黑" w:cs="微软雅黑"/>
          <w:spacing w:val="10"/>
          <w:sz w:val="16"/>
          <w:szCs w:val="16"/>
        </w:rPr>
        <w:t>,(</w:t>
      </w:r>
      <w:r>
        <w:rPr>
          <w:rFonts w:ascii="Arial" w:hAnsi="Arial" w:eastAsia="Arial" w:cs="Arial"/>
          <w:spacing w:val="10"/>
          <w:sz w:val="16"/>
          <w:szCs w:val="16"/>
        </w:rPr>
        <w:t>67</w:t>
      </w:r>
      <w:r>
        <w:rPr>
          <w:rFonts w:ascii="微软雅黑" w:hAnsi="微软雅黑" w:eastAsia="微软雅黑" w:cs="微软雅黑"/>
          <w:spacing w:val="10"/>
          <w:sz w:val="16"/>
          <w:szCs w:val="16"/>
        </w:rPr>
        <w:t>) :</w:t>
      </w:r>
      <w:r>
        <w:rPr>
          <w:rFonts w:ascii="Arial" w:hAnsi="Arial" w:eastAsia="Arial" w:cs="Arial"/>
          <w:spacing w:val="10"/>
          <w:sz w:val="16"/>
          <w:szCs w:val="16"/>
        </w:rPr>
        <w:t>28.</w:t>
      </w:r>
    </w:p>
    <w:p>
      <w:pPr>
        <w:spacing w:before="71" w:line="237" w:lineRule="auto"/>
        <w:ind w:left="446" w:right="69" w:hanging="441"/>
        <w:rPr>
          <w:rFonts w:ascii="Arial" w:hAnsi="Arial" w:eastAsia="Arial" w:cs="Arial"/>
          <w:sz w:val="16"/>
          <w:szCs w:val="16"/>
        </w:rPr>
      </w:pPr>
      <w:r>
        <w:rPr>
          <w:rFonts w:ascii="微软雅黑" w:hAnsi="微软雅黑" w:eastAsia="微软雅黑" w:cs="微软雅黑"/>
          <w:spacing w:val="8"/>
          <w:position w:val="1"/>
          <w:sz w:val="16"/>
          <w:szCs w:val="16"/>
        </w:rPr>
        <w:t>[</w:t>
      </w:r>
      <w:r>
        <w:rPr>
          <w:rFonts w:ascii="Arial" w:hAnsi="Arial" w:eastAsia="Arial" w:cs="Arial"/>
          <w:spacing w:val="8"/>
          <w:position w:val="1"/>
          <w:sz w:val="16"/>
          <w:szCs w:val="16"/>
        </w:rPr>
        <w:t>4</w:t>
      </w:r>
      <w:r>
        <w:rPr>
          <w:rFonts w:ascii="微软雅黑" w:hAnsi="微软雅黑" w:eastAsia="微软雅黑" w:cs="微软雅黑"/>
          <w:spacing w:val="8"/>
          <w:position w:val="1"/>
          <w:sz w:val="16"/>
          <w:szCs w:val="16"/>
        </w:rPr>
        <w:t xml:space="preserve">]    </w:t>
      </w:r>
      <w:r>
        <w:rPr>
          <w:rFonts w:ascii="Arial" w:hAnsi="Arial" w:eastAsia="Arial" w:cs="Arial"/>
          <w:spacing w:val="8"/>
          <w:sz w:val="16"/>
          <w:szCs w:val="16"/>
        </w:rPr>
        <w:t>EuropeanUniversity</w:t>
      </w:r>
      <w:r>
        <w:rPr>
          <w:rFonts w:ascii="Arial" w:hAnsi="Arial" w:eastAsia="Arial" w:cs="Arial"/>
          <w:spacing w:val="26"/>
          <w:w w:val="101"/>
          <w:sz w:val="16"/>
          <w:szCs w:val="16"/>
        </w:rPr>
        <w:t xml:space="preserve"> </w:t>
      </w:r>
      <w:r>
        <w:rPr>
          <w:rFonts w:ascii="Arial" w:hAnsi="Arial" w:eastAsia="Arial" w:cs="Arial"/>
          <w:spacing w:val="8"/>
          <w:sz w:val="16"/>
          <w:szCs w:val="16"/>
        </w:rPr>
        <w:t>Association.</w:t>
      </w:r>
      <w:r>
        <w:rPr>
          <w:rFonts w:ascii="Arial" w:hAnsi="Arial" w:eastAsia="Arial" w:cs="Arial"/>
          <w:spacing w:val="43"/>
          <w:w w:val="101"/>
          <w:sz w:val="16"/>
          <w:szCs w:val="16"/>
        </w:rPr>
        <w:t xml:space="preserve"> </w:t>
      </w:r>
      <w:r>
        <w:rPr>
          <w:rFonts w:ascii="Arial" w:hAnsi="Arial" w:eastAsia="Arial" w:cs="Arial"/>
          <w:spacing w:val="8"/>
          <w:sz w:val="16"/>
          <w:szCs w:val="16"/>
        </w:rPr>
        <w:t>Develo</w:t>
      </w:r>
      <w:r>
        <w:rPr>
          <w:rFonts w:ascii="Arial" w:hAnsi="Arial" w:eastAsia="Arial" w:cs="Arial"/>
          <w:spacing w:val="7"/>
          <w:sz w:val="16"/>
          <w:szCs w:val="16"/>
        </w:rPr>
        <w:t>pinganInter-</w:t>
      </w:r>
      <w:r>
        <w:rPr>
          <w:rFonts w:ascii="Arial" w:hAnsi="Arial" w:eastAsia="Arial" w:cs="Arial"/>
          <w:sz w:val="16"/>
          <w:szCs w:val="16"/>
        </w:rPr>
        <w:t xml:space="preserve"> </w:t>
      </w:r>
      <w:r>
        <w:rPr>
          <w:rFonts w:ascii="Arial" w:hAnsi="Arial" w:eastAsia="Arial" w:cs="Arial"/>
          <w:spacing w:val="11"/>
          <w:sz w:val="16"/>
          <w:szCs w:val="16"/>
        </w:rPr>
        <w:t>nalQualit</w:t>
      </w:r>
      <w:r>
        <w:rPr>
          <w:rFonts w:ascii="Arial" w:hAnsi="Arial" w:eastAsia="Arial" w:cs="Arial"/>
          <w:spacing w:val="11"/>
          <w:position w:val="-1"/>
          <w:sz w:val="16"/>
          <w:szCs w:val="16"/>
        </w:rPr>
        <w:t xml:space="preserve">y </w:t>
      </w:r>
      <w:r>
        <w:rPr>
          <w:rFonts w:ascii="Arial" w:hAnsi="Arial" w:eastAsia="Arial" w:cs="Arial"/>
          <w:spacing w:val="11"/>
          <w:sz w:val="16"/>
          <w:szCs w:val="16"/>
        </w:rPr>
        <w:t>CultureinEuropeanUniversities</w:t>
      </w:r>
      <w:r>
        <w:rPr>
          <w:rFonts w:ascii="微软雅黑" w:hAnsi="微软雅黑" w:eastAsia="微软雅黑" w:cs="微软雅黑"/>
          <w:spacing w:val="11"/>
          <w:sz w:val="16"/>
          <w:szCs w:val="16"/>
        </w:rPr>
        <w:t>[</w:t>
      </w:r>
      <w:r>
        <w:rPr>
          <w:rFonts w:ascii="Arial" w:hAnsi="Arial" w:eastAsia="Arial" w:cs="Arial"/>
          <w:spacing w:val="11"/>
          <w:sz w:val="16"/>
          <w:szCs w:val="16"/>
        </w:rPr>
        <w:t>EB</w:t>
      </w:r>
      <w:r>
        <w:rPr>
          <w:rFonts w:ascii="微软雅黑" w:hAnsi="微软雅黑" w:eastAsia="微软雅黑" w:cs="微软雅黑"/>
          <w:spacing w:val="11"/>
          <w:sz w:val="16"/>
          <w:szCs w:val="16"/>
        </w:rPr>
        <w:t>/</w:t>
      </w:r>
      <w:r>
        <w:rPr>
          <w:rFonts w:ascii="Arial" w:hAnsi="Arial" w:eastAsia="Arial" w:cs="Arial"/>
          <w:spacing w:val="11"/>
          <w:sz w:val="16"/>
          <w:szCs w:val="16"/>
        </w:rPr>
        <w:t>OL</w:t>
      </w:r>
      <w:r>
        <w:rPr>
          <w:rFonts w:ascii="微软雅黑" w:hAnsi="微软雅黑" w:eastAsia="微软雅黑" w:cs="微软雅黑"/>
          <w:spacing w:val="11"/>
          <w:sz w:val="16"/>
          <w:szCs w:val="16"/>
        </w:rPr>
        <w:t>]</w:t>
      </w:r>
      <w:r>
        <w:rPr>
          <w:rFonts w:ascii="微软雅黑" w:hAnsi="微软雅黑" w:eastAsia="微软雅黑" w:cs="微软雅黑"/>
          <w:spacing w:val="-7"/>
          <w:sz w:val="16"/>
          <w:szCs w:val="16"/>
        </w:rPr>
        <w:t xml:space="preserve"> </w:t>
      </w:r>
      <w:r>
        <w:rPr>
          <w:rFonts w:ascii="Arial" w:hAnsi="Arial" w:eastAsia="Arial" w:cs="Arial"/>
          <w:spacing w:val="11"/>
          <w:sz w:val="16"/>
          <w:szCs w:val="16"/>
        </w:rPr>
        <w:t>.</w:t>
      </w:r>
      <w:r>
        <w:rPr>
          <w:rFonts w:ascii="Arial" w:hAnsi="Arial" w:eastAsia="Arial" w:cs="Arial"/>
          <w:sz w:val="16"/>
          <w:szCs w:val="16"/>
        </w:rPr>
        <w:t xml:space="preserve"> </w:t>
      </w:r>
      <w:r>
        <w:rPr>
          <w:rFonts w:ascii="微软雅黑" w:hAnsi="微软雅黑" w:eastAsia="微软雅黑" w:cs="微软雅黑"/>
          <w:spacing w:val="14"/>
          <w:sz w:val="16"/>
          <w:szCs w:val="16"/>
        </w:rPr>
        <w:t>[</w:t>
      </w:r>
      <w:r>
        <w:rPr>
          <w:rFonts w:ascii="Arial" w:hAnsi="Arial" w:eastAsia="Arial" w:cs="Arial"/>
          <w:spacing w:val="14"/>
          <w:sz w:val="16"/>
          <w:szCs w:val="16"/>
        </w:rPr>
        <w:t>2017-11-04</w:t>
      </w:r>
      <w:r>
        <w:rPr>
          <w:rFonts w:ascii="微软雅黑" w:hAnsi="微软雅黑" w:eastAsia="微软雅黑" w:cs="微软雅黑"/>
          <w:spacing w:val="14"/>
          <w:sz w:val="16"/>
          <w:szCs w:val="16"/>
        </w:rPr>
        <w:t>]</w:t>
      </w:r>
      <w:r>
        <w:rPr>
          <w:rFonts w:ascii="微软雅黑" w:hAnsi="微软雅黑" w:eastAsia="微软雅黑" w:cs="微软雅黑"/>
          <w:spacing w:val="-2"/>
          <w:sz w:val="16"/>
          <w:szCs w:val="16"/>
        </w:rPr>
        <w:t xml:space="preserve"> </w:t>
      </w:r>
      <w:r>
        <w:rPr>
          <w:rFonts w:ascii="Arial" w:hAnsi="Arial" w:eastAsia="Arial" w:cs="Arial"/>
          <w:spacing w:val="14"/>
          <w:sz w:val="16"/>
          <w:szCs w:val="16"/>
        </w:rPr>
        <w:t xml:space="preserve">.  </w:t>
      </w:r>
      <w:r>
        <w:rPr>
          <w:rFonts w:ascii="Arial" w:hAnsi="Arial" w:eastAsia="Arial" w:cs="Arial"/>
          <w:sz w:val="16"/>
          <w:szCs w:val="16"/>
        </w:rPr>
        <w:t>http</w:t>
      </w:r>
      <w:r>
        <w:rPr>
          <w:rFonts w:ascii="微软雅黑" w:hAnsi="微软雅黑" w:eastAsia="微软雅黑" w:cs="微软雅黑"/>
          <w:spacing w:val="14"/>
          <w:sz w:val="16"/>
          <w:szCs w:val="16"/>
        </w:rPr>
        <w:t>://</w:t>
      </w:r>
      <w:r>
        <w:rPr>
          <w:rFonts w:ascii="Arial" w:hAnsi="Arial" w:eastAsia="Arial" w:cs="Arial"/>
          <w:sz w:val="16"/>
          <w:szCs w:val="16"/>
        </w:rPr>
        <w:t>www</w:t>
      </w:r>
      <w:r>
        <w:rPr>
          <w:rFonts w:ascii="Arial" w:hAnsi="Arial" w:eastAsia="Arial" w:cs="Arial"/>
          <w:spacing w:val="14"/>
          <w:sz w:val="16"/>
          <w:szCs w:val="16"/>
        </w:rPr>
        <w:t>.</w:t>
      </w:r>
      <w:r>
        <w:rPr>
          <w:rFonts w:ascii="Arial" w:hAnsi="Arial" w:eastAsia="Arial" w:cs="Arial"/>
          <w:sz w:val="16"/>
          <w:szCs w:val="16"/>
        </w:rPr>
        <w:t>eua</w:t>
      </w:r>
      <w:r>
        <w:rPr>
          <w:rFonts w:ascii="Arial" w:hAnsi="Arial" w:eastAsia="Arial" w:cs="Arial"/>
          <w:spacing w:val="14"/>
          <w:sz w:val="16"/>
          <w:szCs w:val="16"/>
        </w:rPr>
        <w:t>.</w:t>
      </w:r>
      <w:r>
        <w:rPr>
          <w:rFonts w:ascii="Arial" w:hAnsi="Arial" w:eastAsia="Arial" w:cs="Arial"/>
          <w:sz w:val="16"/>
          <w:szCs w:val="16"/>
        </w:rPr>
        <w:t>be</w:t>
      </w:r>
      <w:r>
        <w:rPr>
          <w:rFonts w:ascii="微软雅黑" w:hAnsi="微软雅黑" w:eastAsia="微软雅黑" w:cs="微软雅黑"/>
          <w:spacing w:val="14"/>
          <w:sz w:val="16"/>
          <w:szCs w:val="16"/>
        </w:rPr>
        <w:t>/</w:t>
      </w:r>
      <w:r>
        <w:rPr>
          <w:rFonts w:ascii="Arial" w:hAnsi="Arial" w:eastAsia="Arial" w:cs="Arial"/>
          <w:sz w:val="16"/>
          <w:szCs w:val="16"/>
        </w:rPr>
        <w:t>activities</w:t>
      </w:r>
      <w:r>
        <w:rPr>
          <w:rFonts w:ascii="Arial" w:hAnsi="Arial" w:eastAsia="Arial" w:cs="Arial"/>
          <w:spacing w:val="14"/>
          <w:sz w:val="16"/>
          <w:szCs w:val="16"/>
        </w:rPr>
        <w:t>-</w:t>
      </w:r>
      <w:r>
        <w:rPr>
          <w:rFonts w:ascii="Arial" w:hAnsi="Arial" w:eastAsia="Arial" w:cs="Arial"/>
          <w:sz w:val="16"/>
          <w:szCs w:val="16"/>
        </w:rPr>
        <w:t>services</w:t>
      </w:r>
      <w:r>
        <w:rPr>
          <w:rFonts w:ascii="微软雅黑" w:hAnsi="微软雅黑" w:eastAsia="微软雅黑" w:cs="微软雅黑"/>
          <w:spacing w:val="14"/>
          <w:sz w:val="16"/>
          <w:szCs w:val="16"/>
        </w:rPr>
        <w:t>/</w:t>
      </w:r>
      <w:r>
        <w:rPr>
          <w:rFonts w:ascii="微软雅黑" w:hAnsi="微软雅黑" w:eastAsia="微软雅黑" w:cs="微软雅黑"/>
          <w:sz w:val="16"/>
          <w:szCs w:val="16"/>
        </w:rPr>
        <w:t xml:space="preserve"> </w:t>
      </w:r>
      <w:r>
        <w:rPr>
          <w:rFonts w:ascii="Arial" w:hAnsi="Arial" w:eastAsia="Arial" w:cs="Arial"/>
          <w:spacing w:val="3"/>
          <w:sz w:val="16"/>
          <w:szCs w:val="16"/>
        </w:rPr>
        <w:t>projects</w:t>
      </w:r>
      <w:r>
        <w:rPr>
          <w:rFonts w:ascii="微软雅黑" w:hAnsi="微软雅黑" w:eastAsia="微软雅黑" w:cs="微软雅黑"/>
          <w:spacing w:val="3"/>
          <w:sz w:val="16"/>
          <w:szCs w:val="16"/>
        </w:rPr>
        <w:t>/</w:t>
      </w:r>
      <w:r>
        <w:rPr>
          <w:rFonts w:ascii="Arial" w:hAnsi="Arial" w:eastAsia="Arial" w:cs="Arial"/>
          <w:spacing w:val="3"/>
          <w:sz w:val="16"/>
          <w:szCs w:val="16"/>
        </w:rPr>
        <w:t>past-projects</w:t>
      </w:r>
      <w:r>
        <w:rPr>
          <w:rFonts w:ascii="微软雅黑" w:hAnsi="微软雅黑" w:eastAsia="微软雅黑" w:cs="微软雅黑"/>
          <w:spacing w:val="3"/>
          <w:sz w:val="16"/>
          <w:szCs w:val="16"/>
        </w:rPr>
        <w:t>/</w:t>
      </w:r>
      <w:r>
        <w:rPr>
          <w:rFonts w:ascii="Arial" w:hAnsi="Arial" w:eastAsia="Arial" w:cs="Arial"/>
          <w:spacing w:val="3"/>
          <w:sz w:val="16"/>
          <w:szCs w:val="16"/>
        </w:rPr>
        <w:t>quality-assurance-and-</w:t>
      </w:r>
      <w:r>
        <w:rPr>
          <w:rFonts w:ascii="Arial" w:hAnsi="Arial" w:eastAsia="Arial" w:cs="Arial"/>
          <w:spacing w:val="2"/>
          <w:sz w:val="16"/>
          <w:szCs w:val="16"/>
        </w:rPr>
        <w:t xml:space="preserve">transapa-  </w:t>
      </w:r>
      <w:r>
        <w:rPr>
          <w:rFonts w:ascii="Arial" w:hAnsi="Arial" w:eastAsia="Arial" w:cs="Arial"/>
          <w:spacing w:val="5"/>
          <w:sz w:val="16"/>
          <w:szCs w:val="16"/>
        </w:rPr>
        <w:t>renc</w:t>
      </w:r>
      <w:r>
        <w:rPr>
          <w:rFonts w:ascii="Arial" w:hAnsi="Arial" w:eastAsia="Arial" w:cs="Arial"/>
          <w:spacing w:val="-29"/>
          <w:sz w:val="16"/>
          <w:szCs w:val="16"/>
        </w:rPr>
        <w:t xml:space="preserve"> </w:t>
      </w:r>
      <w:r>
        <w:rPr>
          <w:rFonts w:ascii="Arial" w:hAnsi="Arial" w:eastAsia="Arial" w:cs="Arial"/>
          <w:spacing w:val="5"/>
          <w:sz w:val="16"/>
          <w:szCs w:val="16"/>
        </w:rPr>
        <w:t>y</w:t>
      </w:r>
      <w:r>
        <w:rPr>
          <w:rFonts w:ascii="微软雅黑" w:hAnsi="微软雅黑" w:eastAsia="微软雅黑" w:cs="微软雅黑"/>
          <w:spacing w:val="5"/>
          <w:sz w:val="16"/>
          <w:szCs w:val="16"/>
        </w:rPr>
        <w:t>/</w:t>
      </w:r>
      <w:r>
        <w:rPr>
          <w:rFonts w:ascii="Arial" w:hAnsi="Arial" w:eastAsia="Arial" w:cs="Arial"/>
          <w:spacing w:val="5"/>
          <w:sz w:val="16"/>
          <w:szCs w:val="16"/>
        </w:rPr>
        <w:t>quality-cultur</w:t>
      </w:r>
      <w:r>
        <w:rPr>
          <w:rFonts w:ascii="Arial" w:hAnsi="Arial" w:eastAsia="Arial" w:cs="Arial"/>
          <w:spacing w:val="4"/>
          <w:sz w:val="16"/>
          <w:szCs w:val="16"/>
        </w:rPr>
        <w:t>e-project.aspx.</w:t>
      </w:r>
    </w:p>
    <w:p>
      <w:pPr>
        <w:spacing w:before="73" w:line="173" w:lineRule="exact"/>
        <w:ind w:left="5"/>
        <w:rPr>
          <w:rFonts w:ascii="Arial" w:hAnsi="Arial" w:eastAsia="Arial" w:cs="Arial"/>
          <w:sz w:val="16"/>
          <w:szCs w:val="16"/>
        </w:rPr>
      </w:pPr>
      <w:r>
        <w:rPr>
          <w:rFonts w:ascii="微软雅黑" w:hAnsi="微软雅黑" w:eastAsia="微软雅黑" w:cs="微软雅黑"/>
          <w:spacing w:val="10"/>
          <w:position w:val="2"/>
          <w:sz w:val="16"/>
          <w:szCs w:val="16"/>
        </w:rPr>
        <w:t>[</w:t>
      </w:r>
      <w:r>
        <w:rPr>
          <w:rFonts w:ascii="Arial" w:hAnsi="Arial" w:eastAsia="Arial" w:cs="Arial"/>
          <w:spacing w:val="10"/>
          <w:position w:val="2"/>
          <w:sz w:val="16"/>
          <w:szCs w:val="16"/>
        </w:rPr>
        <w:t>5</w:t>
      </w:r>
      <w:r>
        <w:rPr>
          <w:rFonts w:ascii="微软雅黑" w:hAnsi="微软雅黑" w:eastAsia="微软雅黑" w:cs="微软雅黑"/>
          <w:spacing w:val="10"/>
          <w:position w:val="2"/>
          <w:sz w:val="16"/>
          <w:szCs w:val="16"/>
        </w:rPr>
        <w:t>]</w:t>
      </w:r>
      <w:r>
        <w:rPr>
          <w:rFonts w:ascii="微软雅黑" w:hAnsi="微软雅黑" w:eastAsia="微软雅黑" w:cs="微软雅黑"/>
          <w:spacing w:val="8"/>
          <w:position w:val="2"/>
          <w:sz w:val="16"/>
          <w:szCs w:val="16"/>
        </w:rPr>
        <w:t xml:space="preserve">    </w:t>
      </w:r>
      <w:r>
        <w:rPr>
          <w:rFonts w:ascii="Arial" w:hAnsi="Arial" w:eastAsia="Arial" w:cs="Arial"/>
          <w:spacing w:val="10"/>
          <w:position w:val="1"/>
          <w:sz w:val="16"/>
          <w:szCs w:val="16"/>
        </w:rPr>
        <w:t>JENSEN</w:t>
      </w:r>
      <w:r>
        <w:rPr>
          <w:rFonts w:ascii="Arial" w:hAnsi="Arial" w:eastAsia="Arial" w:cs="Arial"/>
          <w:spacing w:val="45"/>
          <w:w w:val="101"/>
          <w:position w:val="1"/>
          <w:sz w:val="16"/>
          <w:szCs w:val="16"/>
        </w:rPr>
        <w:t xml:space="preserve"> </w:t>
      </w:r>
      <w:r>
        <w:rPr>
          <w:rFonts w:ascii="Arial" w:hAnsi="Arial" w:eastAsia="Arial" w:cs="Arial"/>
          <w:spacing w:val="10"/>
          <w:position w:val="1"/>
          <w:sz w:val="16"/>
          <w:szCs w:val="16"/>
        </w:rPr>
        <w:t>H</w:t>
      </w:r>
      <w:r>
        <w:rPr>
          <w:rFonts w:ascii="Arial" w:hAnsi="Arial" w:eastAsia="Arial" w:cs="Arial"/>
          <w:spacing w:val="43"/>
          <w:position w:val="1"/>
          <w:sz w:val="16"/>
          <w:szCs w:val="16"/>
        </w:rPr>
        <w:t xml:space="preserve"> </w:t>
      </w:r>
      <w:r>
        <w:rPr>
          <w:rFonts w:ascii="Arial" w:hAnsi="Arial" w:eastAsia="Arial" w:cs="Arial"/>
          <w:spacing w:val="10"/>
          <w:position w:val="1"/>
          <w:sz w:val="16"/>
          <w:szCs w:val="16"/>
        </w:rPr>
        <w:t>T.  Qualit</w:t>
      </w:r>
      <w:r>
        <w:rPr>
          <w:rFonts w:ascii="Arial" w:hAnsi="Arial" w:eastAsia="Arial" w:cs="Arial"/>
          <w:spacing w:val="10"/>
          <w:sz w:val="16"/>
          <w:szCs w:val="16"/>
        </w:rPr>
        <w:t>y</w:t>
      </w:r>
      <w:r>
        <w:rPr>
          <w:rFonts w:ascii="Arial" w:hAnsi="Arial" w:eastAsia="Arial" w:cs="Arial"/>
          <w:spacing w:val="32"/>
          <w:w w:val="102"/>
          <w:sz w:val="16"/>
          <w:szCs w:val="16"/>
        </w:rPr>
        <w:t xml:space="preserve"> </w:t>
      </w:r>
      <w:r>
        <w:rPr>
          <w:rFonts w:ascii="Arial" w:hAnsi="Arial" w:eastAsia="Arial" w:cs="Arial"/>
          <w:spacing w:val="10"/>
          <w:position w:val="1"/>
          <w:sz w:val="16"/>
          <w:szCs w:val="16"/>
        </w:rPr>
        <w:t>CultureinEuropeanUniversi-</w:t>
      </w:r>
    </w:p>
    <w:p>
      <w:pPr>
        <w:spacing w:line="173" w:lineRule="exact"/>
        <w:rPr>
          <w:rFonts w:ascii="Arial" w:hAnsi="Arial" w:eastAsia="Arial" w:cs="Arial"/>
          <w:sz w:val="16"/>
          <w:szCs w:val="16"/>
        </w:rPr>
        <w:sectPr>
          <w:type w:val="continuous"/>
          <w:pgSz w:w="11906" w:h="16840"/>
          <w:pgMar w:top="400" w:right="936" w:bottom="547" w:left="407" w:header="0" w:footer="354" w:gutter="0"/>
          <w:cols w:equalWidth="0" w:num="2">
            <w:col w:w="5803" w:space="100"/>
            <w:col w:w="4659"/>
          </w:cols>
        </w:sectPr>
      </w:pPr>
    </w:p>
    <w:p>
      <w:pPr>
        <w:spacing w:before="138" w:line="184" w:lineRule="exact"/>
        <w:ind w:left="1037"/>
        <w:rPr>
          <w:rFonts w:ascii="微软雅黑" w:hAnsi="微软雅黑" w:eastAsia="微软雅黑" w:cs="微软雅黑"/>
          <w:sz w:val="19"/>
          <w:szCs w:val="19"/>
        </w:rPr>
      </w:pPr>
      <w:r>
        <w:rPr>
          <w:rFonts w:ascii="微软雅黑" w:hAnsi="微软雅黑" w:eastAsia="微软雅黑" w:cs="微软雅黑"/>
          <w:spacing w:val="-7"/>
          <w:position w:val="1"/>
          <w:sz w:val="19"/>
          <w:szCs w:val="19"/>
        </w:rPr>
        <w:t xml:space="preserve">·   </w:t>
      </w:r>
      <w:r>
        <w:rPr>
          <w:rFonts w:ascii="Arial" w:hAnsi="Arial" w:eastAsia="Arial" w:cs="Arial"/>
          <w:spacing w:val="-7"/>
          <w:position w:val="-1"/>
          <w:sz w:val="19"/>
          <w:szCs w:val="19"/>
        </w:rPr>
        <w:t>108</w:t>
      </w:r>
      <w:r>
        <w:rPr>
          <w:rFonts w:ascii="Arial" w:hAnsi="Arial" w:eastAsia="Arial" w:cs="Arial"/>
          <w:spacing w:val="23"/>
          <w:position w:val="-1"/>
          <w:sz w:val="19"/>
          <w:szCs w:val="19"/>
        </w:rPr>
        <w:t xml:space="preserve">  </w:t>
      </w:r>
      <w:r>
        <w:rPr>
          <w:rFonts w:ascii="微软雅黑" w:hAnsi="微软雅黑" w:eastAsia="微软雅黑" w:cs="微软雅黑"/>
          <w:spacing w:val="-7"/>
          <w:position w:val="1"/>
          <w:sz w:val="19"/>
          <w:szCs w:val="19"/>
        </w:rPr>
        <w:t>·</w:t>
      </w:r>
    </w:p>
    <w:p>
      <w:pPr>
        <w:spacing w:line="184" w:lineRule="exact"/>
        <w:rPr>
          <w:rFonts w:ascii="微软雅黑" w:hAnsi="微软雅黑" w:eastAsia="微软雅黑" w:cs="微软雅黑"/>
          <w:sz w:val="19"/>
          <w:szCs w:val="19"/>
        </w:rPr>
        <w:sectPr>
          <w:type w:val="continuous"/>
          <w:pgSz w:w="11906" w:h="16840"/>
          <w:pgMar w:top="400" w:right="936" w:bottom="547" w:left="407" w:header="0" w:footer="354" w:gutter="0"/>
          <w:cols w:equalWidth="0" w:num="1">
            <w:col w:w="10562"/>
          </w:cols>
        </w:sectPr>
      </w:pPr>
    </w:p>
    <w:p>
      <w:pPr>
        <w:spacing w:line="454" w:lineRule="auto"/>
        <w:rPr>
          <w:rFonts w:ascii="Arial"/>
          <w:sz w:val="21"/>
        </w:rPr>
      </w:pPr>
    </w:p>
    <w:p>
      <w:pPr>
        <w:spacing w:before="52" w:line="213" w:lineRule="auto"/>
        <w:ind w:left="3524"/>
        <w:rPr>
          <w:rFonts w:ascii="宋体" w:hAnsi="宋体" w:eastAsia="宋体" w:cs="宋体"/>
          <w:sz w:val="16"/>
          <w:szCs w:val="16"/>
        </w:rPr>
      </w:pPr>
      <w:r>
        <w:rPr>
          <w:rFonts w:ascii="宋体" w:hAnsi="宋体" w:eastAsia="宋体" w:cs="宋体"/>
          <w:spacing w:val="19"/>
          <w:sz w:val="16"/>
          <w:szCs w:val="16"/>
        </w:rPr>
        <w:t>挪威推进高等教育质量文化建设的举措及其启示</w:t>
      </w:r>
    </w:p>
    <w:p>
      <w:pPr>
        <w:spacing w:line="186" w:lineRule="exact"/>
        <w:ind w:left="585"/>
      </w:pPr>
      <w:r>
        <w:rPr>
          <w:position w:val="-4"/>
        </w:rPr>
        <w:drawing>
          <wp:inline distT="0" distB="0" distL="0" distR="0">
            <wp:extent cx="6118860" cy="11811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30"/>
                    <a:stretch>
                      <a:fillRect/>
                    </a:stretch>
                  </pic:blipFill>
                  <pic:spPr>
                    <a:xfrm>
                      <a:off x="0" y="0"/>
                      <a:ext cx="6119396" cy="118181"/>
                    </a:xfrm>
                    <a:prstGeom prst="rect">
                      <a:avLst/>
                    </a:prstGeom>
                  </pic:spPr>
                </pic:pic>
              </a:graphicData>
            </a:graphic>
          </wp:inline>
        </w:drawing>
      </w:r>
    </w:p>
    <w:p>
      <w:pPr>
        <w:spacing w:line="110" w:lineRule="exact"/>
      </w:pPr>
    </w:p>
    <w:p>
      <w:pPr>
        <w:spacing w:line="110" w:lineRule="exact"/>
        <w:sectPr>
          <w:footerReference r:id="rId89" w:type="default"/>
          <w:pgSz w:w="11906" w:h="16840"/>
          <w:pgMar w:top="400" w:right="1205" w:bottom="547" w:left="407" w:header="0" w:footer="354" w:gutter="0"/>
          <w:cols w:equalWidth="0" w:num="1">
            <w:col w:w="10293"/>
          </w:cols>
        </w:sectPr>
      </w:pPr>
    </w:p>
    <w:p>
      <w:pPr>
        <w:spacing w:before="33" w:line="181" w:lineRule="auto"/>
        <w:ind w:left="1047"/>
        <w:rPr>
          <w:rFonts w:ascii="微软雅黑" w:hAnsi="微软雅黑" w:eastAsia="微软雅黑" w:cs="微软雅黑"/>
          <w:sz w:val="16"/>
          <w:szCs w:val="16"/>
        </w:rPr>
      </w:pPr>
      <w:r>
        <w:rPr>
          <w:rFonts w:ascii="微软雅黑" w:hAnsi="微软雅黑" w:eastAsia="微软雅黑" w:cs="微软雅黑"/>
          <w:sz w:val="16"/>
          <w:szCs w:val="16"/>
        </w:rPr>
        <w:t>ties</w:t>
      </w:r>
      <w:r>
        <w:rPr>
          <w:rFonts w:ascii="微软雅黑" w:hAnsi="微软雅黑" w:eastAsia="微软雅黑" w:cs="微软雅黑"/>
          <w:spacing w:val="11"/>
          <w:sz w:val="16"/>
          <w:szCs w:val="16"/>
        </w:rPr>
        <w:t>:</w:t>
      </w:r>
      <w:r>
        <w:rPr>
          <w:rFonts w:ascii="微软雅黑" w:hAnsi="微软雅黑" w:eastAsia="微软雅黑" w:cs="微软雅黑"/>
          <w:sz w:val="16"/>
          <w:szCs w:val="16"/>
        </w:rPr>
        <w:t>ABottom</w:t>
      </w:r>
      <w:r>
        <w:rPr>
          <w:rFonts w:ascii="微软雅黑" w:hAnsi="微软雅黑" w:eastAsia="微软雅黑" w:cs="微软雅黑"/>
          <w:spacing w:val="11"/>
          <w:sz w:val="16"/>
          <w:szCs w:val="16"/>
        </w:rPr>
        <w:t>-</w:t>
      </w:r>
      <w:r>
        <w:rPr>
          <w:rFonts w:ascii="微软雅黑" w:hAnsi="微软雅黑" w:eastAsia="微软雅黑" w:cs="微软雅黑"/>
          <w:sz w:val="16"/>
          <w:szCs w:val="16"/>
        </w:rPr>
        <w:t>UpApproach</w:t>
      </w:r>
      <w:r>
        <w:rPr>
          <w:rFonts w:ascii="微软雅黑" w:hAnsi="微软雅黑" w:eastAsia="微软雅黑" w:cs="微软雅黑"/>
          <w:spacing w:val="11"/>
          <w:sz w:val="16"/>
          <w:szCs w:val="16"/>
        </w:rPr>
        <w:t>[J]</w:t>
      </w:r>
      <w:r>
        <w:rPr>
          <w:rFonts w:ascii="微软雅黑" w:hAnsi="微软雅黑" w:eastAsia="微软雅黑" w:cs="微软雅黑"/>
          <w:spacing w:val="-3"/>
          <w:sz w:val="16"/>
          <w:szCs w:val="16"/>
        </w:rPr>
        <w:t xml:space="preserve"> </w:t>
      </w:r>
      <w:r>
        <w:rPr>
          <w:rFonts w:ascii="微软雅黑" w:hAnsi="微软雅黑" w:eastAsia="微软雅黑" w:cs="微软雅黑"/>
          <w:spacing w:val="11"/>
          <w:sz w:val="16"/>
          <w:szCs w:val="16"/>
        </w:rPr>
        <w:t>.</w:t>
      </w:r>
      <w:r>
        <w:rPr>
          <w:rFonts w:ascii="微软雅黑" w:hAnsi="微软雅黑" w:eastAsia="微软雅黑" w:cs="微软雅黑"/>
          <w:spacing w:val="44"/>
          <w:sz w:val="16"/>
          <w:szCs w:val="16"/>
        </w:rPr>
        <w:t xml:space="preserve"> </w:t>
      </w:r>
      <w:r>
        <w:rPr>
          <w:rFonts w:ascii="微软雅黑" w:hAnsi="微软雅黑" w:eastAsia="微软雅黑" w:cs="微软雅黑"/>
          <w:spacing w:val="11"/>
          <w:sz w:val="16"/>
          <w:szCs w:val="16"/>
        </w:rPr>
        <w:t>2006:1-40.</w:t>
      </w:r>
    </w:p>
    <w:p>
      <w:pPr>
        <w:spacing w:before="88" w:line="207" w:lineRule="auto"/>
        <w:ind w:left="1048" w:right="356" w:hanging="443"/>
        <w:rPr>
          <w:rFonts w:ascii="微软雅黑" w:hAnsi="微软雅黑" w:eastAsia="微软雅黑" w:cs="微软雅黑"/>
          <w:sz w:val="16"/>
          <w:szCs w:val="16"/>
        </w:rPr>
      </w:pPr>
      <w:r>
        <w:rPr>
          <w:rFonts w:ascii="微软雅黑" w:hAnsi="微软雅黑" w:eastAsia="微软雅黑" w:cs="微软雅黑"/>
          <w:spacing w:val="13"/>
          <w:sz w:val="16"/>
          <w:szCs w:val="16"/>
        </w:rPr>
        <w:t xml:space="preserve">[6]    </w:t>
      </w:r>
      <w:r>
        <w:rPr>
          <w:rFonts w:ascii="宋体" w:hAnsi="宋体" w:eastAsia="宋体" w:cs="宋体"/>
          <w:spacing w:val="13"/>
          <w:sz w:val="16"/>
          <w:szCs w:val="16"/>
        </w:rPr>
        <w:t>张超</w:t>
      </w:r>
      <w:r>
        <w:rPr>
          <w:rFonts w:ascii="微软雅黑" w:hAnsi="微软雅黑" w:eastAsia="微软雅黑" w:cs="微软雅黑"/>
          <w:spacing w:val="13"/>
          <w:position w:val="-1"/>
          <w:sz w:val="16"/>
          <w:szCs w:val="16"/>
        </w:rPr>
        <w:t>．</w:t>
      </w:r>
      <w:r>
        <w:rPr>
          <w:rFonts w:ascii="宋体" w:hAnsi="宋体" w:eastAsia="宋体" w:cs="宋体"/>
          <w:spacing w:val="13"/>
          <w:sz w:val="16"/>
          <w:szCs w:val="16"/>
        </w:rPr>
        <w:t>挪威高等教育质量保障</w:t>
      </w:r>
      <w:r>
        <w:rPr>
          <w:rFonts w:ascii="微软雅黑" w:hAnsi="微软雅黑" w:eastAsia="微软雅黑" w:cs="微软雅黑"/>
          <w:spacing w:val="13"/>
          <w:sz w:val="16"/>
          <w:szCs w:val="16"/>
        </w:rPr>
        <w:t>：</w:t>
      </w:r>
      <w:r>
        <w:rPr>
          <w:rFonts w:ascii="宋体" w:hAnsi="宋体" w:eastAsia="宋体" w:cs="宋体"/>
          <w:spacing w:val="13"/>
          <w:sz w:val="16"/>
          <w:szCs w:val="16"/>
        </w:rPr>
        <w:t>变革</w:t>
      </w:r>
      <w:r>
        <w:rPr>
          <w:rFonts w:ascii="微软雅黑" w:hAnsi="微软雅黑" w:eastAsia="微软雅黑" w:cs="微软雅黑"/>
          <w:spacing w:val="13"/>
          <w:sz w:val="16"/>
          <w:szCs w:val="16"/>
        </w:rPr>
        <w:t>、</w:t>
      </w:r>
      <w:r>
        <w:rPr>
          <w:rFonts w:ascii="宋体" w:hAnsi="宋体" w:eastAsia="宋体" w:cs="宋体"/>
          <w:spacing w:val="13"/>
          <w:sz w:val="16"/>
          <w:szCs w:val="16"/>
        </w:rPr>
        <w:t>现</w:t>
      </w:r>
      <w:r>
        <w:rPr>
          <w:rFonts w:ascii="宋体" w:hAnsi="宋体" w:eastAsia="宋体" w:cs="宋体"/>
          <w:spacing w:val="12"/>
          <w:sz w:val="16"/>
          <w:szCs w:val="16"/>
        </w:rPr>
        <w:t>状及经验</w:t>
      </w:r>
      <w:r>
        <w:rPr>
          <w:rFonts w:ascii="微软雅黑" w:hAnsi="微软雅黑" w:eastAsia="微软雅黑" w:cs="微软雅黑"/>
          <w:spacing w:val="12"/>
          <w:sz w:val="16"/>
          <w:szCs w:val="16"/>
        </w:rPr>
        <w:t>[J]</w:t>
      </w:r>
      <w:r>
        <w:rPr>
          <w:rFonts w:ascii="微软雅黑" w:hAnsi="微软雅黑" w:eastAsia="微软雅黑" w:cs="微软雅黑"/>
          <w:spacing w:val="-15"/>
          <w:sz w:val="16"/>
          <w:szCs w:val="16"/>
        </w:rPr>
        <w:t xml:space="preserve"> </w:t>
      </w:r>
      <w:r>
        <w:rPr>
          <w:rFonts w:ascii="微软雅黑" w:hAnsi="微软雅黑" w:eastAsia="微软雅黑" w:cs="微软雅黑"/>
          <w:spacing w:val="12"/>
          <w:position w:val="-1"/>
          <w:sz w:val="16"/>
          <w:szCs w:val="16"/>
        </w:rPr>
        <w:t>.</w:t>
      </w:r>
      <w:r>
        <w:rPr>
          <w:rFonts w:ascii="微软雅黑" w:hAnsi="微软雅黑" w:eastAsia="微软雅黑" w:cs="微软雅黑"/>
          <w:position w:val="-1"/>
          <w:sz w:val="16"/>
          <w:szCs w:val="16"/>
        </w:rPr>
        <w:t xml:space="preserve"> </w:t>
      </w:r>
      <w:r>
        <w:rPr>
          <w:rFonts w:ascii="宋体" w:hAnsi="宋体" w:eastAsia="宋体" w:cs="宋体"/>
          <w:spacing w:val="2"/>
          <w:sz w:val="16"/>
          <w:szCs w:val="16"/>
        </w:rPr>
        <w:t>教育发展研究</w:t>
      </w:r>
      <w:r>
        <w:rPr>
          <w:rFonts w:ascii="微软雅黑" w:hAnsi="微软雅黑" w:eastAsia="微软雅黑" w:cs="微软雅黑"/>
          <w:spacing w:val="2"/>
          <w:position w:val="1"/>
          <w:sz w:val="16"/>
          <w:szCs w:val="16"/>
        </w:rPr>
        <w:t>，</w:t>
      </w:r>
      <w:r>
        <w:rPr>
          <w:rFonts w:ascii="微软雅黑" w:hAnsi="微软雅黑" w:eastAsia="微软雅黑" w:cs="微软雅黑"/>
          <w:spacing w:val="2"/>
          <w:sz w:val="16"/>
          <w:szCs w:val="16"/>
        </w:rPr>
        <w:t xml:space="preserve">2005 </w:t>
      </w:r>
      <w:r>
        <w:rPr>
          <w:rFonts w:ascii="微软雅黑" w:hAnsi="微软雅黑" w:eastAsia="微软雅黑" w:cs="微软雅黑"/>
          <w:spacing w:val="2"/>
          <w:position w:val="1"/>
          <w:sz w:val="16"/>
          <w:szCs w:val="16"/>
        </w:rPr>
        <w:t>,</w:t>
      </w:r>
      <w:r>
        <w:rPr>
          <w:rFonts w:ascii="微软雅黑" w:hAnsi="微软雅黑" w:eastAsia="微软雅黑" w:cs="微软雅黑"/>
          <w:spacing w:val="-5"/>
          <w:position w:val="1"/>
          <w:sz w:val="16"/>
          <w:szCs w:val="16"/>
        </w:rPr>
        <w:t xml:space="preserve"> </w:t>
      </w:r>
      <w:r>
        <w:rPr>
          <w:rFonts w:ascii="微软雅黑" w:hAnsi="微软雅黑" w:eastAsia="微软雅黑" w:cs="微软雅黑"/>
          <w:spacing w:val="2"/>
          <w:sz w:val="16"/>
          <w:szCs w:val="16"/>
        </w:rPr>
        <w:t>25(19)</w:t>
      </w:r>
      <w:r>
        <w:rPr>
          <w:rFonts w:ascii="微软雅黑" w:hAnsi="微软雅黑" w:eastAsia="微软雅黑" w:cs="微软雅黑"/>
          <w:spacing w:val="15"/>
          <w:w w:val="101"/>
          <w:sz w:val="16"/>
          <w:szCs w:val="16"/>
        </w:rPr>
        <w:t xml:space="preserve"> </w:t>
      </w:r>
      <w:r>
        <w:rPr>
          <w:rFonts w:ascii="微软雅黑" w:hAnsi="微软雅黑" w:eastAsia="微软雅黑" w:cs="微软雅黑"/>
          <w:spacing w:val="2"/>
          <w:sz w:val="16"/>
          <w:szCs w:val="16"/>
        </w:rPr>
        <w:t>:91-95.</w:t>
      </w:r>
    </w:p>
    <w:p>
      <w:pPr>
        <w:spacing w:before="68" w:line="162" w:lineRule="auto"/>
        <w:ind w:left="605"/>
        <w:rPr>
          <w:rFonts w:ascii="微软雅黑" w:hAnsi="微软雅黑" w:eastAsia="微软雅黑" w:cs="微软雅黑"/>
          <w:sz w:val="16"/>
          <w:szCs w:val="16"/>
        </w:rPr>
      </w:pPr>
      <w:r>
        <w:rPr>
          <w:rFonts w:ascii="微软雅黑" w:hAnsi="微软雅黑" w:eastAsia="微软雅黑" w:cs="微软雅黑"/>
          <w:spacing w:val="-1"/>
          <w:position w:val="1"/>
          <w:sz w:val="16"/>
          <w:szCs w:val="16"/>
        </w:rPr>
        <w:t xml:space="preserve">[7]      </w:t>
      </w:r>
      <w:r>
        <w:rPr>
          <w:rFonts w:ascii="微软雅黑" w:hAnsi="微软雅黑" w:eastAsia="微软雅黑" w:cs="微软雅黑"/>
          <w:spacing w:val="-1"/>
          <w:sz w:val="16"/>
          <w:szCs w:val="16"/>
        </w:rPr>
        <w:t>Regulations   Relating   to</w:t>
      </w:r>
      <w:r>
        <w:rPr>
          <w:rFonts w:ascii="微软雅黑" w:hAnsi="微软雅黑" w:eastAsia="微软雅黑" w:cs="微软雅黑"/>
          <w:spacing w:val="25"/>
          <w:w w:val="101"/>
          <w:sz w:val="16"/>
          <w:szCs w:val="16"/>
        </w:rPr>
        <w:t xml:space="preserve">  </w:t>
      </w:r>
      <w:r>
        <w:rPr>
          <w:rFonts w:ascii="微软雅黑" w:hAnsi="微软雅黑" w:eastAsia="微软雅黑" w:cs="微软雅黑"/>
          <w:spacing w:val="-1"/>
          <w:sz w:val="16"/>
          <w:szCs w:val="16"/>
        </w:rPr>
        <w:t>Suitabilit</w:t>
      </w:r>
      <w:r>
        <w:rPr>
          <w:rFonts w:ascii="微软雅黑" w:hAnsi="微软雅黑" w:eastAsia="微软雅黑" w:cs="微软雅黑"/>
          <w:spacing w:val="-1"/>
          <w:position w:val="-1"/>
          <w:sz w:val="16"/>
          <w:szCs w:val="16"/>
        </w:rPr>
        <w:t>y</w:t>
      </w:r>
      <w:r>
        <w:rPr>
          <w:rFonts w:ascii="微软雅黑" w:hAnsi="微软雅黑" w:eastAsia="微软雅黑" w:cs="微软雅黑"/>
          <w:spacing w:val="14"/>
          <w:w w:val="101"/>
          <w:position w:val="-1"/>
          <w:sz w:val="16"/>
          <w:szCs w:val="16"/>
        </w:rPr>
        <w:t xml:space="preserve">  </w:t>
      </w:r>
      <w:r>
        <w:rPr>
          <w:rFonts w:ascii="微软雅黑" w:hAnsi="微软雅黑" w:eastAsia="微软雅黑" w:cs="微软雅黑"/>
          <w:spacing w:val="-1"/>
          <w:sz w:val="16"/>
          <w:szCs w:val="16"/>
        </w:rPr>
        <w:t>Assessment</w:t>
      </w:r>
      <w:r>
        <w:rPr>
          <w:rFonts w:ascii="微软雅黑" w:hAnsi="微软雅黑" w:eastAsia="微软雅黑" w:cs="微软雅黑"/>
          <w:spacing w:val="15"/>
          <w:w w:val="101"/>
          <w:sz w:val="16"/>
          <w:szCs w:val="16"/>
        </w:rPr>
        <w:t xml:space="preserve">  </w:t>
      </w:r>
      <w:r>
        <w:rPr>
          <w:rFonts w:ascii="微软雅黑" w:hAnsi="微软雅黑" w:eastAsia="微软雅黑" w:cs="微软雅黑"/>
          <w:spacing w:val="-1"/>
          <w:sz w:val="16"/>
          <w:szCs w:val="16"/>
        </w:rPr>
        <w:t>in</w:t>
      </w:r>
    </w:p>
    <w:p>
      <w:pPr>
        <w:spacing w:before="81" w:line="223" w:lineRule="auto"/>
        <w:ind w:left="1044" w:right="346" w:firstLine="8"/>
        <w:jc w:val="both"/>
        <w:rPr>
          <w:rFonts w:ascii="微软雅黑" w:hAnsi="微软雅黑" w:eastAsia="微软雅黑" w:cs="微软雅黑"/>
          <w:sz w:val="16"/>
          <w:szCs w:val="16"/>
        </w:rPr>
      </w:pPr>
      <w:r>
        <w:rPr>
          <w:rFonts w:ascii="微软雅黑" w:hAnsi="微软雅黑" w:eastAsia="微软雅黑" w:cs="微软雅黑"/>
          <w:sz w:val="16"/>
          <w:szCs w:val="16"/>
        </w:rPr>
        <w:t>HigherEducation</w:t>
      </w:r>
      <w:r>
        <w:rPr>
          <w:rFonts w:ascii="微软雅黑" w:hAnsi="微软雅黑" w:eastAsia="微软雅黑" w:cs="微软雅黑"/>
          <w:spacing w:val="13"/>
          <w:sz w:val="16"/>
          <w:szCs w:val="16"/>
        </w:rPr>
        <w:t xml:space="preserve">[ </w:t>
      </w:r>
      <w:r>
        <w:rPr>
          <w:rFonts w:ascii="微软雅黑" w:hAnsi="微软雅黑" w:eastAsia="微软雅黑" w:cs="微软雅黑"/>
          <w:sz w:val="16"/>
          <w:szCs w:val="16"/>
        </w:rPr>
        <w:t>EB</w:t>
      </w:r>
      <w:r>
        <w:rPr>
          <w:rFonts w:ascii="微软雅黑" w:hAnsi="微软雅黑" w:eastAsia="微软雅黑" w:cs="微软雅黑"/>
          <w:spacing w:val="13"/>
          <w:sz w:val="16"/>
          <w:szCs w:val="16"/>
        </w:rPr>
        <w:t>/</w:t>
      </w:r>
      <w:r>
        <w:rPr>
          <w:rFonts w:ascii="微软雅黑" w:hAnsi="微软雅黑" w:eastAsia="微软雅黑" w:cs="微软雅黑"/>
          <w:sz w:val="16"/>
          <w:szCs w:val="16"/>
        </w:rPr>
        <w:t>OL</w:t>
      </w:r>
      <w:r>
        <w:rPr>
          <w:rFonts w:ascii="微软雅黑" w:hAnsi="微软雅黑" w:eastAsia="微软雅黑" w:cs="微软雅黑"/>
          <w:spacing w:val="13"/>
          <w:sz w:val="16"/>
          <w:szCs w:val="16"/>
        </w:rPr>
        <w:t>]</w:t>
      </w:r>
      <w:r>
        <w:rPr>
          <w:rFonts w:ascii="微软雅黑" w:hAnsi="微软雅黑" w:eastAsia="微软雅黑" w:cs="微软雅黑"/>
          <w:spacing w:val="-14"/>
          <w:sz w:val="16"/>
          <w:szCs w:val="16"/>
        </w:rPr>
        <w:t xml:space="preserve"> </w:t>
      </w:r>
      <w:r>
        <w:rPr>
          <w:rFonts w:ascii="微软雅黑" w:hAnsi="微软雅黑" w:eastAsia="微软雅黑" w:cs="微软雅黑"/>
          <w:spacing w:val="13"/>
          <w:sz w:val="16"/>
          <w:szCs w:val="16"/>
        </w:rPr>
        <w:t>.</w:t>
      </w:r>
      <w:r>
        <w:rPr>
          <w:rFonts w:ascii="微软雅黑" w:hAnsi="微软雅黑" w:eastAsia="微软雅黑" w:cs="微软雅黑"/>
          <w:spacing w:val="18"/>
          <w:w w:val="101"/>
          <w:sz w:val="16"/>
          <w:szCs w:val="16"/>
        </w:rPr>
        <w:t xml:space="preserve">  </w:t>
      </w:r>
      <w:r>
        <w:rPr>
          <w:rFonts w:ascii="微软雅黑" w:hAnsi="微软雅黑" w:eastAsia="微软雅黑" w:cs="微软雅黑"/>
          <w:spacing w:val="13"/>
          <w:sz w:val="16"/>
          <w:szCs w:val="16"/>
        </w:rPr>
        <w:t>[2017-11-04]</w:t>
      </w:r>
      <w:r>
        <w:rPr>
          <w:rFonts w:ascii="微软雅黑" w:hAnsi="微软雅黑" w:eastAsia="微软雅黑" w:cs="微软雅黑"/>
          <w:spacing w:val="-14"/>
          <w:sz w:val="16"/>
          <w:szCs w:val="16"/>
        </w:rPr>
        <w:t xml:space="preserve"> </w:t>
      </w:r>
      <w:r>
        <w:rPr>
          <w:rFonts w:ascii="微软雅黑" w:hAnsi="微软雅黑" w:eastAsia="微软雅黑" w:cs="微软雅黑"/>
          <w:spacing w:val="13"/>
          <w:sz w:val="16"/>
          <w:szCs w:val="16"/>
        </w:rPr>
        <w:t xml:space="preserve">. </w:t>
      </w:r>
      <w:r>
        <w:rPr>
          <w:rFonts w:ascii="微软雅黑" w:hAnsi="微软雅黑" w:eastAsia="微软雅黑" w:cs="微软雅黑"/>
          <w:spacing w:val="12"/>
          <w:sz w:val="16"/>
          <w:szCs w:val="16"/>
        </w:rPr>
        <w:t xml:space="preserve"> </w:t>
      </w:r>
      <w:r>
        <w:rPr>
          <w:rFonts w:ascii="微软雅黑" w:hAnsi="微软雅黑" w:eastAsia="微软雅黑" w:cs="微软雅黑"/>
          <w:sz w:val="16"/>
          <w:szCs w:val="16"/>
        </w:rPr>
        <w:t>https</w:t>
      </w:r>
      <w:r>
        <w:rPr>
          <w:rFonts w:ascii="微软雅黑" w:hAnsi="微软雅黑" w:eastAsia="微软雅黑" w:cs="微软雅黑"/>
          <w:spacing w:val="12"/>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1"/>
          <w:sz w:val="16"/>
          <w:szCs w:val="16"/>
        </w:rPr>
        <w:t>www.regjeringen.no/dokumenter/regulations-rel</w:t>
      </w:r>
      <w:r>
        <w:rPr>
          <w:rFonts w:ascii="微软雅黑" w:hAnsi="微软雅黑" w:eastAsia="微软雅黑" w:cs="微软雅黑"/>
          <w:spacing w:val="-2"/>
          <w:sz w:val="16"/>
          <w:szCs w:val="16"/>
        </w:rPr>
        <w:t>ating-</w:t>
      </w:r>
      <w:r>
        <w:rPr>
          <w:rFonts w:ascii="微软雅黑" w:hAnsi="微软雅黑" w:eastAsia="微软雅黑" w:cs="微软雅黑"/>
          <w:sz w:val="16"/>
          <w:szCs w:val="16"/>
        </w:rPr>
        <w:t xml:space="preserve"> </w:t>
      </w:r>
      <w:r>
        <w:rPr>
          <w:rFonts w:ascii="微软雅黑" w:hAnsi="微软雅黑" w:eastAsia="微软雅黑" w:cs="微软雅黑"/>
          <w:spacing w:val="-2"/>
          <w:sz w:val="16"/>
          <w:szCs w:val="16"/>
        </w:rPr>
        <w:t>to-suitabilit</w:t>
      </w:r>
      <w:r>
        <w:rPr>
          <w:rFonts w:ascii="微软雅黑" w:hAnsi="微软雅黑" w:eastAsia="微软雅黑" w:cs="微软雅黑"/>
          <w:spacing w:val="-2"/>
          <w:position w:val="-1"/>
          <w:sz w:val="16"/>
          <w:szCs w:val="16"/>
        </w:rPr>
        <w:t>y</w:t>
      </w:r>
      <w:r>
        <w:rPr>
          <w:rFonts w:ascii="微软雅黑" w:hAnsi="微软雅黑" w:eastAsia="微软雅黑" w:cs="微软雅黑"/>
          <w:spacing w:val="-2"/>
          <w:sz w:val="16"/>
          <w:szCs w:val="16"/>
        </w:rPr>
        <w:t>-asse/id640019/</w:t>
      </w:r>
      <w:r>
        <w:rPr>
          <w:rFonts w:ascii="微软雅黑" w:hAnsi="微软雅黑" w:eastAsia="微软雅黑" w:cs="微软雅黑"/>
          <w:spacing w:val="-21"/>
          <w:sz w:val="16"/>
          <w:szCs w:val="16"/>
        </w:rPr>
        <w:t xml:space="preserve"> </w:t>
      </w:r>
      <w:r>
        <w:rPr>
          <w:rFonts w:ascii="微软雅黑" w:hAnsi="微软雅黑" w:eastAsia="微软雅黑" w:cs="微软雅黑"/>
          <w:spacing w:val="-2"/>
          <w:sz w:val="16"/>
          <w:szCs w:val="16"/>
        </w:rPr>
        <w:t>.</w:t>
      </w:r>
    </w:p>
    <w:p>
      <w:pPr>
        <w:tabs>
          <w:tab w:val="left" w:pos="1050"/>
        </w:tabs>
        <w:spacing w:before="82" w:line="225" w:lineRule="auto"/>
        <w:ind w:left="965" w:right="269" w:hanging="360"/>
        <w:rPr>
          <w:rFonts w:ascii="微软雅黑" w:hAnsi="微软雅黑" w:eastAsia="微软雅黑" w:cs="微软雅黑"/>
          <w:sz w:val="16"/>
          <w:szCs w:val="16"/>
        </w:rPr>
      </w:pPr>
      <w:r>
        <w:rPr>
          <w:rFonts w:ascii="微软雅黑" w:hAnsi="微软雅黑" w:eastAsia="微软雅黑" w:cs="微软雅黑"/>
          <w:spacing w:val="-2"/>
          <w:position w:val="1"/>
          <w:sz w:val="16"/>
          <w:szCs w:val="16"/>
        </w:rPr>
        <w:t xml:space="preserve">[8]      </w:t>
      </w:r>
      <w:r>
        <w:rPr>
          <w:rFonts w:ascii="微软雅黑" w:hAnsi="微软雅黑" w:eastAsia="微软雅黑" w:cs="微软雅黑"/>
          <w:spacing w:val="-2"/>
          <w:sz w:val="16"/>
          <w:szCs w:val="16"/>
        </w:rPr>
        <w:t>Minister  of</w:t>
      </w:r>
      <w:r>
        <w:rPr>
          <w:rFonts w:ascii="微软雅黑" w:hAnsi="微软雅黑" w:eastAsia="微软雅黑" w:cs="微软雅黑"/>
          <w:spacing w:val="7"/>
          <w:sz w:val="16"/>
          <w:szCs w:val="16"/>
        </w:rPr>
        <w:t xml:space="preserve">  </w:t>
      </w:r>
      <w:r>
        <w:rPr>
          <w:rFonts w:ascii="微软雅黑" w:hAnsi="微软雅黑" w:eastAsia="微软雅黑" w:cs="微软雅黑"/>
          <w:spacing w:val="-2"/>
          <w:sz w:val="16"/>
          <w:szCs w:val="16"/>
        </w:rPr>
        <w:t>Education</w:t>
      </w:r>
      <w:r>
        <w:rPr>
          <w:rFonts w:ascii="微软雅黑" w:hAnsi="微软雅黑" w:eastAsia="微软雅黑" w:cs="微软雅黑"/>
          <w:spacing w:val="8"/>
          <w:sz w:val="16"/>
          <w:szCs w:val="16"/>
        </w:rPr>
        <w:t xml:space="preserve">  </w:t>
      </w:r>
      <w:r>
        <w:rPr>
          <w:rFonts w:ascii="微软雅黑" w:hAnsi="微软雅黑" w:eastAsia="微软雅黑" w:cs="微软雅黑"/>
          <w:spacing w:val="-2"/>
          <w:sz w:val="16"/>
          <w:szCs w:val="16"/>
        </w:rPr>
        <w:t>and</w:t>
      </w:r>
      <w:r>
        <w:rPr>
          <w:rFonts w:ascii="微软雅黑" w:hAnsi="微软雅黑" w:eastAsia="微软雅黑" w:cs="微软雅黑"/>
          <w:spacing w:val="8"/>
          <w:sz w:val="16"/>
          <w:szCs w:val="16"/>
        </w:rPr>
        <w:t xml:space="preserve">  </w:t>
      </w:r>
      <w:r>
        <w:rPr>
          <w:rFonts w:ascii="微软雅黑" w:hAnsi="微软雅黑" w:eastAsia="微软雅黑" w:cs="微软雅黑"/>
          <w:spacing w:val="-2"/>
          <w:sz w:val="16"/>
          <w:szCs w:val="16"/>
        </w:rPr>
        <w:t>R</w:t>
      </w:r>
      <w:r>
        <w:rPr>
          <w:rFonts w:ascii="微软雅黑" w:hAnsi="微软雅黑" w:eastAsia="微软雅黑" w:cs="微软雅黑"/>
          <w:spacing w:val="-3"/>
          <w:sz w:val="16"/>
          <w:szCs w:val="16"/>
        </w:rPr>
        <w:t>esearch.   Guidelines</w:t>
      </w:r>
      <w:r>
        <w:rPr>
          <w:rFonts w:ascii="微软雅黑" w:hAnsi="微软雅黑" w:eastAsia="微软雅黑" w:cs="微软雅黑"/>
          <w:spacing w:val="10"/>
          <w:sz w:val="16"/>
          <w:szCs w:val="16"/>
        </w:rPr>
        <w:t xml:space="preserve">  </w:t>
      </w:r>
      <w:r>
        <w:rPr>
          <w:rFonts w:ascii="微软雅黑" w:hAnsi="微软雅黑" w:eastAsia="微软雅黑" w:cs="微软雅黑"/>
          <w:spacing w:val="-3"/>
          <w:sz w:val="16"/>
          <w:szCs w:val="16"/>
        </w:rPr>
        <w:t xml:space="preserve">on  </w:t>
      </w:r>
      <w:r>
        <w:rPr>
          <w:rFonts w:ascii="微软雅黑" w:hAnsi="微软雅黑" w:eastAsia="微软雅黑" w:cs="微软雅黑"/>
          <w:spacing w:val="6"/>
          <w:position w:val="2"/>
          <w:sz w:val="16"/>
          <w:szCs w:val="16"/>
        </w:rPr>
        <w:t>“</w:t>
      </w:r>
      <w:r>
        <w:rPr>
          <w:rFonts w:ascii="微软雅黑" w:hAnsi="微软雅黑" w:eastAsia="微软雅黑" w:cs="微软雅黑"/>
          <w:spacing w:val="-20"/>
          <w:position w:val="2"/>
          <w:sz w:val="16"/>
          <w:szCs w:val="16"/>
        </w:rPr>
        <w:t xml:space="preserve"> </w:t>
      </w:r>
      <w:r>
        <w:rPr>
          <w:rFonts w:ascii="微软雅黑" w:hAnsi="微软雅黑" w:eastAsia="微软雅黑" w:cs="微软雅黑"/>
          <w:spacing w:val="6"/>
          <w:sz w:val="16"/>
          <w:szCs w:val="16"/>
        </w:rPr>
        <w:t>QualityProvisioninCross-BorderHigherEdu</w:t>
      </w:r>
      <w:r>
        <w:rPr>
          <w:rFonts w:ascii="微软雅黑" w:hAnsi="微软雅黑" w:eastAsia="微软雅黑" w:cs="微软雅黑"/>
          <w:spacing w:val="5"/>
          <w:sz w:val="16"/>
          <w:szCs w:val="16"/>
        </w:rPr>
        <w:t>cation</w:t>
      </w:r>
      <w:r>
        <w:rPr>
          <w:rFonts w:ascii="微软雅黑" w:hAnsi="微软雅黑" w:eastAsia="微软雅黑" w:cs="微软雅黑"/>
          <w:spacing w:val="5"/>
          <w:position w:val="2"/>
          <w:sz w:val="16"/>
          <w:szCs w:val="16"/>
        </w:rPr>
        <w:t>”</w:t>
      </w:r>
      <w:r>
        <w:rPr>
          <w:rFonts w:ascii="微软雅黑" w:hAnsi="微软雅黑" w:eastAsia="微软雅黑" w:cs="微软雅黑"/>
          <w:position w:val="2"/>
          <w:sz w:val="16"/>
          <w:szCs w:val="16"/>
        </w:rPr>
        <w:t xml:space="preserve"> </w:t>
      </w:r>
      <w:r>
        <w:rPr>
          <w:rFonts w:ascii="微软雅黑" w:hAnsi="微软雅黑" w:eastAsia="微软雅黑" w:cs="微软雅黑"/>
          <w:sz w:val="16"/>
          <w:szCs w:val="16"/>
        </w:rPr>
        <w:tab/>
      </w:r>
      <w:r>
        <w:rPr>
          <w:rFonts w:ascii="微软雅黑" w:hAnsi="微软雅黑" w:eastAsia="微软雅黑" w:cs="微软雅黑"/>
          <w:spacing w:val="11"/>
          <w:sz w:val="16"/>
          <w:szCs w:val="16"/>
        </w:rPr>
        <w:t>[</w:t>
      </w:r>
      <w:r>
        <w:rPr>
          <w:rFonts w:ascii="微软雅黑" w:hAnsi="微软雅黑" w:eastAsia="微软雅黑" w:cs="微软雅黑"/>
          <w:sz w:val="16"/>
          <w:szCs w:val="16"/>
        </w:rPr>
        <w:t>EB</w:t>
      </w:r>
      <w:r>
        <w:rPr>
          <w:rFonts w:ascii="微软雅黑" w:hAnsi="微软雅黑" w:eastAsia="微软雅黑" w:cs="微软雅黑"/>
          <w:spacing w:val="11"/>
          <w:sz w:val="16"/>
          <w:szCs w:val="16"/>
        </w:rPr>
        <w:t>/</w:t>
      </w:r>
      <w:r>
        <w:rPr>
          <w:rFonts w:ascii="微软雅黑" w:hAnsi="微软雅黑" w:eastAsia="微软雅黑" w:cs="微软雅黑"/>
          <w:sz w:val="16"/>
          <w:szCs w:val="16"/>
        </w:rPr>
        <w:t>OL</w:t>
      </w:r>
      <w:r>
        <w:rPr>
          <w:rFonts w:ascii="微软雅黑" w:hAnsi="微软雅黑" w:eastAsia="微软雅黑" w:cs="微软雅黑"/>
          <w:spacing w:val="11"/>
          <w:sz w:val="16"/>
          <w:szCs w:val="16"/>
        </w:rPr>
        <w:t>]</w:t>
      </w:r>
      <w:r>
        <w:rPr>
          <w:rFonts w:ascii="微软雅黑" w:hAnsi="微软雅黑" w:eastAsia="微软雅黑" w:cs="微软雅黑"/>
          <w:spacing w:val="-15"/>
          <w:sz w:val="16"/>
          <w:szCs w:val="16"/>
        </w:rPr>
        <w:t xml:space="preserve"> </w:t>
      </w:r>
      <w:r>
        <w:rPr>
          <w:rFonts w:ascii="微软雅黑" w:hAnsi="微软雅黑" w:eastAsia="微软雅黑" w:cs="微软雅黑"/>
          <w:spacing w:val="11"/>
          <w:sz w:val="16"/>
          <w:szCs w:val="16"/>
        </w:rPr>
        <w:t>.</w:t>
      </w:r>
      <w:r>
        <w:rPr>
          <w:rFonts w:ascii="微软雅黑" w:hAnsi="微软雅黑" w:eastAsia="微软雅黑" w:cs="微软雅黑"/>
          <w:spacing w:val="20"/>
          <w:w w:val="102"/>
          <w:sz w:val="16"/>
          <w:szCs w:val="16"/>
        </w:rPr>
        <w:t xml:space="preserve">  </w:t>
      </w:r>
      <w:r>
        <w:rPr>
          <w:rFonts w:ascii="微软雅黑" w:hAnsi="微软雅黑" w:eastAsia="微软雅黑" w:cs="微软雅黑"/>
          <w:spacing w:val="11"/>
          <w:sz w:val="16"/>
          <w:szCs w:val="16"/>
        </w:rPr>
        <w:t>[2017-11-04]</w:t>
      </w:r>
      <w:r>
        <w:rPr>
          <w:rFonts w:ascii="微软雅黑" w:hAnsi="微软雅黑" w:eastAsia="微软雅黑" w:cs="微软雅黑"/>
          <w:spacing w:val="-15"/>
          <w:sz w:val="16"/>
          <w:szCs w:val="16"/>
        </w:rPr>
        <w:t xml:space="preserve"> </w:t>
      </w:r>
      <w:r>
        <w:rPr>
          <w:rFonts w:ascii="微软雅黑" w:hAnsi="微软雅黑" w:eastAsia="微软雅黑" w:cs="微软雅黑"/>
          <w:spacing w:val="11"/>
          <w:sz w:val="16"/>
          <w:szCs w:val="16"/>
        </w:rPr>
        <w:t>.</w:t>
      </w:r>
      <w:r>
        <w:rPr>
          <w:rFonts w:ascii="微软雅黑" w:hAnsi="微软雅黑" w:eastAsia="微软雅黑" w:cs="微软雅黑"/>
          <w:spacing w:val="18"/>
          <w:sz w:val="16"/>
          <w:szCs w:val="16"/>
        </w:rPr>
        <w:t xml:space="preserve">  </w:t>
      </w:r>
      <w:r>
        <w:rPr>
          <w:rFonts w:ascii="微软雅黑" w:hAnsi="微软雅黑" w:eastAsia="微软雅黑" w:cs="微软雅黑"/>
          <w:sz w:val="16"/>
          <w:szCs w:val="16"/>
        </w:rPr>
        <w:t>https</w:t>
      </w:r>
      <w:r>
        <w:rPr>
          <w:rFonts w:ascii="微软雅黑" w:hAnsi="微软雅黑" w:eastAsia="微软雅黑" w:cs="微软雅黑"/>
          <w:spacing w:val="11"/>
          <w:sz w:val="16"/>
          <w:szCs w:val="16"/>
        </w:rPr>
        <w:t>:/</w:t>
      </w:r>
      <w:r>
        <w:rPr>
          <w:rFonts w:ascii="微软雅黑" w:hAnsi="微软雅黑" w:eastAsia="微软雅黑" w:cs="微软雅黑"/>
          <w:spacing w:val="10"/>
          <w:sz w:val="16"/>
          <w:szCs w:val="16"/>
        </w:rPr>
        <w:t>/</w:t>
      </w:r>
      <w:r>
        <w:rPr>
          <w:rFonts w:ascii="微软雅黑" w:hAnsi="微软雅黑" w:eastAsia="微软雅黑" w:cs="微软雅黑"/>
          <w:sz w:val="16"/>
          <w:szCs w:val="16"/>
        </w:rPr>
        <w:t>www</w:t>
      </w:r>
      <w:r>
        <w:rPr>
          <w:rFonts w:ascii="微软雅黑" w:hAnsi="微软雅黑" w:eastAsia="微软雅黑" w:cs="微软雅黑"/>
          <w:spacing w:val="10"/>
          <w:sz w:val="16"/>
          <w:szCs w:val="16"/>
        </w:rPr>
        <w:t>.</w:t>
      </w:r>
      <w:r>
        <w:rPr>
          <w:rFonts w:ascii="微软雅黑" w:hAnsi="微软雅黑" w:eastAsia="微软雅黑" w:cs="微软雅黑"/>
          <w:sz w:val="16"/>
          <w:szCs w:val="16"/>
        </w:rPr>
        <w:t>regjeringen</w:t>
      </w:r>
      <w:r>
        <w:rPr>
          <w:rFonts w:ascii="微软雅黑" w:hAnsi="微软雅黑" w:eastAsia="微软雅黑" w:cs="微软雅黑"/>
          <w:spacing w:val="10"/>
          <w:sz w:val="16"/>
          <w:szCs w:val="16"/>
        </w:rPr>
        <w:t>.</w:t>
      </w:r>
      <w:r>
        <w:rPr>
          <w:rFonts w:ascii="微软雅黑" w:hAnsi="微软雅黑" w:eastAsia="微软雅黑" w:cs="微软雅黑"/>
          <w:sz w:val="16"/>
          <w:szCs w:val="16"/>
        </w:rPr>
        <w:t xml:space="preserve">   no</w:t>
      </w:r>
      <w:r>
        <w:rPr>
          <w:rFonts w:ascii="微软雅黑" w:hAnsi="微软雅黑" w:eastAsia="微软雅黑" w:cs="微软雅黑"/>
          <w:spacing w:val="9"/>
          <w:sz w:val="16"/>
          <w:szCs w:val="16"/>
        </w:rPr>
        <w:t>/</w:t>
      </w:r>
      <w:r>
        <w:rPr>
          <w:rFonts w:ascii="微软雅黑" w:hAnsi="微软雅黑" w:eastAsia="微软雅黑" w:cs="微软雅黑"/>
          <w:sz w:val="16"/>
          <w:szCs w:val="16"/>
        </w:rPr>
        <w:t>globalassets</w:t>
      </w:r>
      <w:r>
        <w:rPr>
          <w:rFonts w:ascii="微软雅黑" w:hAnsi="微软雅黑" w:eastAsia="微软雅黑" w:cs="微软雅黑"/>
          <w:spacing w:val="9"/>
          <w:sz w:val="16"/>
          <w:szCs w:val="16"/>
        </w:rPr>
        <w:t>/</w:t>
      </w:r>
      <w:r>
        <w:rPr>
          <w:rFonts w:ascii="微软雅黑" w:hAnsi="微软雅黑" w:eastAsia="微软雅黑" w:cs="微软雅黑"/>
          <w:sz w:val="16"/>
          <w:szCs w:val="16"/>
        </w:rPr>
        <w:t>upload</w:t>
      </w:r>
      <w:r>
        <w:rPr>
          <w:rFonts w:ascii="微软雅黑" w:hAnsi="微软雅黑" w:eastAsia="微软雅黑" w:cs="微软雅黑"/>
          <w:spacing w:val="9"/>
          <w:sz w:val="16"/>
          <w:szCs w:val="16"/>
        </w:rPr>
        <w:t>/</w:t>
      </w:r>
      <w:r>
        <w:rPr>
          <w:rFonts w:ascii="微软雅黑" w:hAnsi="微软雅黑" w:eastAsia="微软雅黑" w:cs="微软雅黑"/>
          <w:sz w:val="16"/>
          <w:szCs w:val="16"/>
        </w:rPr>
        <w:t>kd</w:t>
      </w:r>
      <w:r>
        <w:rPr>
          <w:rFonts w:ascii="微软雅黑" w:hAnsi="微软雅黑" w:eastAsia="微软雅黑" w:cs="微软雅黑"/>
          <w:spacing w:val="9"/>
          <w:sz w:val="16"/>
          <w:szCs w:val="16"/>
        </w:rPr>
        <w:t>/</w:t>
      </w:r>
      <w:r>
        <w:rPr>
          <w:rFonts w:ascii="微软雅黑" w:hAnsi="微软雅黑" w:eastAsia="微软雅黑" w:cs="微软雅黑"/>
          <w:sz w:val="16"/>
          <w:szCs w:val="16"/>
        </w:rPr>
        <w:t>vedlegg</w:t>
      </w:r>
      <w:r>
        <w:rPr>
          <w:rFonts w:ascii="微软雅黑" w:hAnsi="微软雅黑" w:eastAsia="微软雅黑" w:cs="微软雅黑"/>
          <w:spacing w:val="9"/>
          <w:sz w:val="16"/>
          <w:szCs w:val="16"/>
        </w:rPr>
        <w:t>/</w:t>
      </w:r>
      <w:r>
        <w:rPr>
          <w:rFonts w:ascii="微软雅黑" w:hAnsi="微软雅黑" w:eastAsia="微软雅黑" w:cs="微软雅黑"/>
          <w:sz w:val="16"/>
          <w:szCs w:val="16"/>
        </w:rPr>
        <w:t>uh</w:t>
      </w:r>
      <w:r>
        <w:rPr>
          <w:rFonts w:ascii="微软雅黑" w:hAnsi="微软雅黑" w:eastAsia="微软雅黑" w:cs="微软雅黑"/>
          <w:spacing w:val="9"/>
          <w:sz w:val="16"/>
          <w:szCs w:val="16"/>
        </w:rPr>
        <w:t>/</w:t>
      </w:r>
      <w:r>
        <w:rPr>
          <w:rFonts w:ascii="微软雅黑" w:hAnsi="微软雅黑" w:eastAsia="微软雅黑" w:cs="微软雅黑"/>
          <w:sz w:val="16"/>
          <w:szCs w:val="16"/>
        </w:rPr>
        <w:t>forskrifter</w:t>
      </w:r>
      <w:r>
        <w:rPr>
          <w:rFonts w:ascii="微软雅黑" w:hAnsi="微软雅黑" w:eastAsia="微软雅黑" w:cs="微软雅黑"/>
          <w:spacing w:val="9"/>
          <w:sz w:val="16"/>
          <w:szCs w:val="16"/>
        </w:rPr>
        <w:t>/</w:t>
      </w:r>
    </w:p>
    <w:p>
      <w:pPr>
        <w:spacing w:before="30" w:line="223" w:lineRule="auto"/>
        <w:ind w:left="1043"/>
        <w:rPr>
          <w:rFonts w:ascii="微软雅黑" w:hAnsi="微软雅黑" w:eastAsia="微软雅黑" w:cs="微软雅黑"/>
          <w:sz w:val="16"/>
          <w:szCs w:val="16"/>
        </w:rPr>
      </w:pPr>
      <w:r>
        <w:rPr>
          <w:rFonts w:ascii="微软雅黑" w:hAnsi="微软雅黑" w:eastAsia="微软雅黑" w:cs="微软雅黑"/>
          <w:spacing w:val="-9"/>
          <w:sz w:val="16"/>
          <w:szCs w:val="16"/>
        </w:rPr>
        <w:t>oecd-unesco</w:t>
      </w:r>
      <w:r>
        <w:rPr>
          <w:rFonts w:ascii="宋体" w:hAnsi="宋体" w:eastAsia="宋体" w:cs="宋体"/>
          <w:spacing w:val="-9"/>
          <w:sz w:val="16"/>
          <w:szCs w:val="16"/>
        </w:rPr>
        <w:t>__</w:t>
      </w:r>
      <w:r>
        <w:rPr>
          <w:rFonts w:ascii="微软雅黑" w:hAnsi="微软雅黑" w:eastAsia="微软雅黑" w:cs="微软雅黑"/>
          <w:spacing w:val="-9"/>
          <w:sz w:val="16"/>
          <w:szCs w:val="16"/>
        </w:rPr>
        <w:t>guidelines.</w:t>
      </w:r>
      <w:r>
        <w:rPr>
          <w:rFonts w:ascii="微软雅黑" w:hAnsi="微软雅黑" w:eastAsia="微软雅黑" w:cs="微软雅黑"/>
          <w:spacing w:val="-12"/>
          <w:sz w:val="16"/>
          <w:szCs w:val="16"/>
        </w:rPr>
        <w:t xml:space="preserve"> </w:t>
      </w:r>
      <w:r>
        <w:rPr>
          <w:rFonts w:ascii="微软雅黑" w:hAnsi="微软雅黑" w:eastAsia="微软雅黑" w:cs="微软雅黑"/>
          <w:spacing w:val="-9"/>
          <w:sz w:val="16"/>
          <w:szCs w:val="16"/>
        </w:rPr>
        <w:t>pdf.</w:t>
      </w:r>
    </w:p>
    <w:p>
      <w:pPr>
        <w:spacing w:before="80" w:line="227" w:lineRule="auto"/>
        <w:ind w:left="1044" w:right="336" w:hanging="439"/>
        <w:rPr>
          <w:rFonts w:ascii="微软雅黑" w:hAnsi="微软雅黑" w:eastAsia="微软雅黑" w:cs="微软雅黑"/>
          <w:sz w:val="16"/>
          <w:szCs w:val="16"/>
        </w:rPr>
      </w:pPr>
      <w:r>
        <w:rPr>
          <w:rFonts w:ascii="微软雅黑" w:hAnsi="微软雅黑" w:eastAsia="微软雅黑" w:cs="微软雅黑"/>
          <w:spacing w:val="5"/>
          <w:position w:val="1"/>
          <w:sz w:val="16"/>
          <w:szCs w:val="16"/>
        </w:rPr>
        <w:t xml:space="preserve">[9]    </w:t>
      </w:r>
      <w:r>
        <w:rPr>
          <w:rFonts w:ascii="微软雅黑" w:hAnsi="微软雅黑" w:eastAsia="微软雅黑" w:cs="微软雅黑"/>
          <w:spacing w:val="5"/>
          <w:sz w:val="16"/>
          <w:szCs w:val="16"/>
        </w:rPr>
        <w:t xml:space="preserve">MinisterofEducationandResearch. </w:t>
      </w:r>
      <w:r>
        <w:rPr>
          <w:rFonts w:ascii="微软雅黑" w:hAnsi="微软雅黑" w:eastAsia="微软雅黑" w:cs="微软雅黑"/>
          <w:spacing w:val="4"/>
          <w:sz w:val="16"/>
          <w:szCs w:val="16"/>
        </w:rPr>
        <w:t xml:space="preserve"> RegulationsCon-</w:t>
      </w:r>
      <w:r>
        <w:rPr>
          <w:rFonts w:ascii="微软雅黑" w:hAnsi="微软雅黑" w:eastAsia="微软雅黑" w:cs="微软雅黑"/>
          <w:sz w:val="16"/>
          <w:szCs w:val="16"/>
        </w:rPr>
        <w:t xml:space="preserve"> </w:t>
      </w:r>
      <w:r>
        <w:rPr>
          <w:rFonts w:ascii="微软雅黑" w:hAnsi="微软雅黑" w:eastAsia="微软雅黑" w:cs="微软雅黑"/>
          <w:spacing w:val="2"/>
          <w:sz w:val="16"/>
          <w:szCs w:val="16"/>
        </w:rPr>
        <w:t>cerningQuality</w:t>
      </w:r>
      <w:r>
        <w:rPr>
          <w:rFonts w:ascii="微软雅黑" w:hAnsi="微软雅黑" w:eastAsia="微软雅黑" w:cs="微软雅黑"/>
          <w:spacing w:val="39"/>
          <w:w w:val="101"/>
          <w:sz w:val="16"/>
          <w:szCs w:val="16"/>
        </w:rPr>
        <w:t xml:space="preserve"> </w:t>
      </w:r>
      <w:r>
        <w:rPr>
          <w:rFonts w:ascii="微软雅黑" w:hAnsi="微软雅黑" w:eastAsia="微软雅黑" w:cs="微软雅黑"/>
          <w:spacing w:val="2"/>
          <w:sz w:val="16"/>
          <w:szCs w:val="16"/>
        </w:rPr>
        <w:t>AssuranceandQuality</w:t>
      </w:r>
      <w:r>
        <w:rPr>
          <w:rFonts w:ascii="微软雅黑" w:hAnsi="微软雅黑" w:eastAsia="微软雅黑" w:cs="微软雅黑"/>
          <w:spacing w:val="17"/>
          <w:sz w:val="16"/>
          <w:szCs w:val="16"/>
        </w:rPr>
        <w:t xml:space="preserve"> </w:t>
      </w:r>
      <w:r>
        <w:rPr>
          <w:rFonts w:ascii="微软雅黑" w:hAnsi="微软雅黑" w:eastAsia="微软雅黑" w:cs="微软雅黑"/>
          <w:spacing w:val="2"/>
          <w:sz w:val="16"/>
          <w:szCs w:val="16"/>
        </w:rPr>
        <w:t>Developmentin</w:t>
      </w:r>
      <w:r>
        <w:rPr>
          <w:rFonts w:ascii="微软雅黑" w:hAnsi="微软雅黑" w:eastAsia="微软雅黑" w:cs="微软雅黑"/>
          <w:sz w:val="16"/>
          <w:szCs w:val="16"/>
        </w:rPr>
        <w:t xml:space="preserve"> HigherEducation</w:t>
      </w:r>
      <w:r>
        <w:rPr>
          <w:rFonts w:ascii="微软雅黑" w:hAnsi="微软雅黑" w:eastAsia="微软雅黑" w:cs="微软雅黑"/>
          <w:spacing w:val="6"/>
          <w:sz w:val="16"/>
          <w:szCs w:val="16"/>
        </w:rPr>
        <w:t xml:space="preserve">  </w:t>
      </w:r>
      <w:r>
        <w:rPr>
          <w:rFonts w:ascii="微软雅黑" w:hAnsi="微软雅黑" w:eastAsia="微软雅黑" w:cs="微软雅黑"/>
          <w:sz w:val="16"/>
          <w:szCs w:val="16"/>
        </w:rPr>
        <w:t>and</w:t>
      </w:r>
      <w:r>
        <w:rPr>
          <w:rFonts w:ascii="微软雅黑" w:hAnsi="微软雅黑" w:eastAsia="微软雅黑" w:cs="微软雅黑"/>
          <w:spacing w:val="6"/>
          <w:sz w:val="16"/>
          <w:szCs w:val="16"/>
        </w:rPr>
        <w:t xml:space="preserve">  </w:t>
      </w:r>
      <w:r>
        <w:rPr>
          <w:rFonts w:ascii="微软雅黑" w:hAnsi="微软雅黑" w:eastAsia="微软雅黑" w:cs="微软雅黑"/>
          <w:sz w:val="16"/>
          <w:szCs w:val="16"/>
        </w:rPr>
        <w:t>Tertiary</w:t>
      </w:r>
      <w:r>
        <w:rPr>
          <w:rFonts w:ascii="微软雅黑" w:hAnsi="微软雅黑" w:eastAsia="微软雅黑" w:cs="微软雅黑"/>
          <w:spacing w:val="6"/>
          <w:sz w:val="16"/>
          <w:szCs w:val="16"/>
        </w:rPr>
        <w:t xml:space="preserve">  </w:t>
      </w:r>
      <w:r>
        <w:rPr>
          <w:rFonts w:ascii="微软雅黑" w:hAnsi="微软雅黑" w:eastAsia="微软雅黑" w:cs="微软雅黑"/>
          <w:sz w:val="16"/>
          <w:szCs w:val="16"/>
        </w:rPr>
        <w:t>Vocational</w:t>
      </w:r>
      <w:r>
        <w:rPr>
          <w:rFonts w:ascii="微软雅黑" w:hAnsi="微软雅黑" w:eastAsia="微软雅黑" w:cs="微软雅黑"/>
          <w:spacing w:val="9"/>
          <w:sz w:val="16"/>
          <w:szCs w:val="16"/>
        </w:rPr>
        <w:t xml:space="preserve">  </w:t>
      </w:r>
      <w:r>
        <w:rPr>
          <w:rFonts w:ascii="微软雅黑" w:hAnsi="微软雅黑" w:eastAsia="微软雅黑" w:cs="微软雅黑"/>
          <w:sz w:val="16"/>
          <w:szCs w:val="16"/>
        </w:rPr>
        <w:t xml:space="preserve">Education </w:t>
      </w:r>
      <w:r>
        <w:rPr>
          <w:rFonts w:ascii="微软雅黑" w:hAnsi="微软雅黑" w:eastAsia="微软雅黑" w:cs="微软雅黑"/>
          <w:spacing w:val="11"/>
          <w:sz w:val="16"/>
          <w:szCs w:val="16"/>
        </w:rPr>
        <w:t>[</w:t>
      </w:r>
      <w:r>
        <w:rPr>
          <w:rFonts w:ascii="微软雅黑" w:hAnsi="微软雅黑" w:eastAsia="微软雅黑" w:cs="微软雅黑"/>
          <w:sz w:val="16"/>
          <w:szCs w:val="16"/>
        </w:rPr>
        <w:t>EB</w:t>
      </w:r>
      <w:r>
        <w:rPr>
          <w:rFonts w:ascii="微软雅黑" w:hAnsi="微软雅黑" w:eastAsia="微软雅黑" w:cs="微软雅黑"/>
          <w:spacing w:val="11"/>
          <w:sz w:val="16"/>
          <w:szCs w:val="16"/>
        </w:rPr>
        <w:t>/</w:t>
      </w:r>
      <w:r>
        <w:rPr>
          <w:rFonts w:ascii="微软雅黑" w:hAnsi="微软雅黑" w:eastAsia="微软雅黑" w:cs="微软雅黑"/>
          <w:sz w:val="16"/>
          <w:szCs w:val="16"/>
        </w:rPr>
        <w:t>OL</w:t>
      </w:r>
      <w:r>
        <w:rPr>
          <w:rFonts w:ascii="微软雅黑" w:hAnsi="微软雅黑" w:eastAsia="微软雅黑" w:cs="微软雅黑"/>
          <w:spacing w:val="11"/>
          <w:sz w:val="16"/>
          <w:szCs w:val="16"/>
        </w:rPr>
        <w:t>]</w:t>
      </w:r>
      <w:r>
        <w:rPr>
          <w:rFonts w:ascii="微软雅黑" w:hAnsi="微软雅黑" w:eastAsia="微软雅黑" w:cs="微软雅黑"/>
          <w:spacing w:val="-11"/>
          <w:sz w:val="16"/>
          <w:szCs w:val="16"/>
        </w:rPr>
        <w:t xml:space="preserve"> </w:t>
      </w:r>
      <w:r>
        <w:rPr>
          <w:rFonts w:ascii="微软雅黑" w:hAnsi="微软雅黑" w:eastAsia="微软雅黑" w:cs="微软雅黑"/>
          <w:spacing w:val="11"/>
          <w:sz w:val="16"/>
          <w:szCs w:val="16"/>
        </w:rPr>
        <w:t>.</w:t>
      </w:r>
      <w:r>
        <w:rPr>
          <w:rFonts w:ascii="微软雅黑" w:hAnsi="微软雅黑" w:eastAsia="微软雅黑" w:cs="微软雅黑"/>
          <w:spacing w:val="20"/>
          <w:w w:val="101"/>
          <w:sz w:val="16"/>
          <w:szCs w:val="16"/>
        </w:rPr>
        <w:t xml:space="preserve">  </w:t>
      </w:r>
      <w:r>
        <w:rPr>
          <w:rFonts w:ascii="微软雅黑" w:hAnsi="微软雅黑" w:eastAsia="微软雅黑" w:cs="微软雅黑"/>
          <w:spacing w:val="11"/>
          <w:sz w:val="16"/>
          <w:szCs w:val="16"/>
        </w:rPr>
        <w:t>[2017-11-04]</w:t>
      </w:r>
      <w:r>
        <w:rPr>
          <w:rFonts w:ascii="微软雅黑" w:hAnsi="微软雅黑" w:eastAsia="微软雅黑" w:cs="微软雅黑"/>
          <w:spacing w:val="-15"/>
          <w:sz w:val="16"/>
          <w:szCs w:val="16"/>
        </w:rPr>
        <w:t xml:space="preserve"> </w:t>
      </w:r>
      <w:r>
        <w:rPr>
          <w:rFonts w:ascii="微软雅黑" w:hAnsi="微软雅黑" w:eastAsia="微软雅黑" w:cs="微软雅黑"/>
          <w:spacing w:val="11"/>
          <w:sz w:val="16"/>
          <w:szCs w:val="16"/>
        </w:rPr>
        <w:t>.</w:t>
      </w:r>
      <w:r>
        <w:rPr>
          <w:rFonts w:ascii="微软雅黑" w:hAnsi="微软雅黑" w:eastAsia="微软雅黑" w:cs="微软雅黑"/>
          <w:spacing w:val="18"/>
          <w:w w:val="101"/>
          <w:sz w:val="16"/>
          <w:szCs w:val="16"/>
        </w:rPr>
        <w:t xml:space="preserve">  </w:t>
      </w:r>
      <w:r>
        <w:rPr>
          <w:rFonts w:ascii="微软雅黑" w:hAnsi="微软雅黑" w:eastAsia="微软雅黑" w:cs="微软雅黑"/>
          <w:sz w:val="16"/>
          <w:szCs w:val="16"/>
        </w:rPr>
        <w:t>https</w:t>
      </w:r>
      <w:r>
        <w:rPr>
          <w:rFonts w:ascii="微软雅黑" w:hAnsi="微软雅黑" w:eastAsia="微软雅黑" w:cs="微软雅黑"/>
          <w:spacing w:val="11"/>
          <w:sz w:val="16"/>
          <w:szCs w:val="16"/>
        </w:rPr>
        <w:t>://</w:t>
      </w:r>
      <w:r>
        <w:rPr>
          <w:rFonts w:ascii="微软雅黑" w:hAnsi="微软雅黑" w:eastAsia="微软雅黑" w:cs="微软雅黑"/>
          <w:sz w:val="16"/>
          <w:szCs w:val="16"/>
        </w:rPr>
        <w:t>www</w:t>
      </w:r>
      <w:r>
        <w:rPr>
          <w:rFonts w:ascii="微软雅黑" w:hAnsi="微软雅黑" w:eastAsia="微软雅黑" w:cs="微软雅黑"/>
          <w:spacing w:val="11"/>
          <w:sz w:val="16"/>
          <w:szCs w:val="16"/>
        </w:rPr>
        <w:t>.</w:t>
      </w:r>
      <w:r>
        <w:rPr>
          <w:rFonts w:ascii="微软雅黑" w:hAnsi="微软雅黑" w:eastAsia="微软雅黑" w:cs="微软雅黑"/>
          <w:sz w:val="16"/>
          <w:szCs w:val="16"/>
        </w:rPr>
        <w:t>regjeringen</w:t>
      </w:r>
      <w:r>
        <w:rPr>
          <w:rFonts w:ascii="微软雅黑" w:hAnsi="微软雅黑" w:eastAsia="微软雅黑" w:cs="微软雅黑"/>
          <w:spacing w:val="11"/>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4"/>
          <w:sz w:val="16"/>
          <w:szCs w:val="16"/>
        </w:rPr>
        <w:t>no/contentassets/e5d100</w:t>
      </w:r>
      <w:r>
        <w:rPr>
          <w:rFonts w:ascii="微软雅黑" w:hAnsi="微软雅黑" w:eastAsia="微软雅黑" w:cs="微软雅黑"/>
          <w:spacing w:val="-5"/>
          <w:sz w:val="16"/>
          <w:szCs w:val="16"/>
        </w:rPr>
        <w:t>b82144410ca83db5db097f0a</w:t>
      </w:r>
    </w:p>
    <w:p>
      <w:pPr>
        <w:spacing w:line="14" w:lineRule="auto"/>
        <w:rPr>
          <w:rFonts w:ascii="Arial"/>
          <w:sz w:val="2"/>
        </w:rPr>
      </w:pPr>
      <w:r>
        <w:rPr>
          <w:rFonts w:ascii="Arial" w:hAnsi="Arial" w:eastAsia="Arial" w:cs="Arial"/>
          <w:sz w:val="2"/>
          <w:szCs w:val="2"/>
        </w:rPr>
        <w:br w:type="column"/>
      </w:r>
    </w:p>
    <w:p>
      <w:pPr>
        <w:spacing w:before="33" w:line="215" w:lineRule="auto"/>
        <w:ind w:left="439" w:right="68" w:hanging="23"/>
        <w:rPr>
          <w:rFonts w:ascii="微软雅黑" w:hAnsi="微软雅黑" w:eastAsia="微软雅黑" w:cs="微软雅黑"/>
          <w:sz w:val="16"/>
          <w:szCs w:val="16"/>
        </w:rPr>
      </w:pPr>
      <w:r>
        <w:rPr>
          <w:rFonts w:ascii="微软雅黑" w:hAnsi="微软雅黑" w:eastAsia="微软雅黑" w:cs="微软雅黑"/>
          <w:spacing w:val="-4"/>
          <w:sz w:val="16"/>
          <w:szCs w:val="16"/>
        </w:rPr>
        <w:t>51/regulations-governing-quality-assurance-and-qua</w:t>
      </w:r>
      <w:r>
        <w:rPr>
          <w:rFonts w:ascii="微软雅黑" w:hAnsi="微软雅黑" w:eastAsia="微软雅黑" w:cs="微软雅黑"/>
          <w:spacing w:val="-5"/>
          <w:sz w:val="16"/>
          <w:szCs w:val="16"/>
        </w:rPr>
        <w:t>lity-</w:t>
      </w:r>
      <w:r>
        <w:rPr>
          <w:rFonts w:ascii="微软雅黑" w:hAnsi="微软雅黑" w:eastAsia="微软雅黑" w:cs="微软雅黑"/>
          <w:sz w:val="16"/>
          <w:szCs w:val="16"/>
        </w:rPr>
        <w:t xml:space="preserve"> </w:t>
      </w:r>
      <w:r>
        <w:rPr>
          <w:rFonts w:ascii="微软雅黑" w:hAnsi="微软雅黑" w:eastAsia="微软雅黑" w:cs="微软雅黑"/>
          <w:spacing w:val="-7"/>
          <w:sz w:val="16"/>
          <w:szCs w:val="16"/>
        </w:rPr>
        <w:t>development.</w:t>
      </w:r>
      <w:r>
        <w:rPr>
          <w:rFonts w:ascii="微软雅黑" w:hAnsi="微软雅黑" w:eastAsia="微软雅黑" w:cs="微软雅黑"/>
          <w:spacing w:val="-16"/>
          <w:sz w:val="16"/>
          <w:szCs w:val="16"/>
        </w:rPr>
        <w:t xml:space="preserve"> </w:t>
      </w:r>
      <w:r>
        <w:rPr>
          <w:rFonts w:ascii="微软雅黑" w:hAnsi="微软雅黑" w:eastAsia="微软雅黑" w:cs="微软雅黑"/>
          <w:spacing w:val="-7"/>
          <w:sz w:val="16"/>
          <w:szCs w:val="16"/>
        </w:rPr>
        <w:t>pdf.</w:t>
      </w:r>
    </w:p>
    <w:p>
      <w:pPr>
        <w:spacing w:before="79" w:line="223" w:lineRule="auto"/>
        <w:ind w:left="439" w:right="63" w:hanging="439"/>
        <w:rPr>
          <w:rFonts w:ascii="微软雅黑" w:hAnsi="微软雅黑" w:eastAsia="微软雅黑" w:cs="微软雅黑"/>
          <w:sz w:val="16"/>
          <w:szCs w:val="16"/>
        </w:rPr>
      </w:pPr>
      <w:r>
        <w:rPr>
          <w:rFonts w:ascii="微软雅黑" w:hAnsi="微软雅黑" w:eastAsia="微软雅黑" w:cs="微软雅黑"/>
          <w:spacing w:val="11"/>
          <w:position w:val="1"/>
          <w:sz w:val="16"/>
          <w:szCs w:val="16"/>
        </w:rPr>
        <w:t xml:space="preserve">[14]     </w:t>
      </w:r>
      <w:r>
        <w:rPr>
          <w:rFonts w:ascii="微软雅黑" w:hAnsi="微软雅黑" w:eastAsia="微软雅黑" w:cs="微软雅黑"/>
          <w:sz w:val="16"/>
          <w:szCs w:val="16"/>
        </w:rPr>
        <w:t>Statistics</w:t>
      </w:r>
      <w:r>
        <w:rPr>
          <w:rFonts w:ascii="微软雅黑" w:hAnsi="微软雅黑" w:eastAsia="微软雅黑" w:cs="微软雅黑"/>
          <w:spacing w:val="11"/>
          <w:sz w:val="16"/>
          <w:szCs w:val="16"/>
        </w:rPr>
        <w:t xml:space="preserve">  </w:t>
      </w:r>
      <w:r>
        <w:rPr>
          <w:rFonts w:ascii="微软雅黑" w:hAnsi="微软雅黑" w:eastAsia="微软雅黑" w:cs="微软雅黑"/>
          <w:sz w:val="16"/>
          <w:szCs w:val="16"/>
        </w:rPr>
        <w:t>Norway</w:t>
      </w:r>
      <w:r>
        <w:rPr>
          <w:rFonts w:ascii="微软雅黑" w:hAnsi="微软雅黑" w:eastAsia="微软雅黑" w:cs="微软雅黑"/>
          <w:spacing w:val="11"/>
          <w:sz w:val="16"/>
          <w:szCs w:val="16"/>
        </w:rPr>
        <w:t xml:space="preserve">.  </w:t>
      </w:r>
      <w:r>
        <w:rPr>
          <w:rFonts w:ascii="微软雅黑" w:hAnsi="微软雅黑" w:eastAsia="微软雅黑" w:cs="微软雅黑"/>
          <w:sz w:val="16"/>
          <w:szCs w:val="16"/>
        </w:rPr>
        <w:t>Completion</w:t>
      </w:r>
      <w:r>
        <w:rPr>
          <w:rFonts w:ascii="微软雅黑" w:hAnsi="微软雅黑" w:eastAsia="微软雅黑" w:cs="微软雅黑"/>
          <w:spacing w:val="11"/>
          <w:sz w:val="16"/>
          <w:szCs w:val="16"/>
        </w:rPr>
        <w:t xml:space="preserve">  </w:t>
      </w:r>
      <w:r>
        <w:rPr>
          <w:rFonts w:ascii="微软雅黑" w:hAnsi="微软雅黑" w:eastAsia="微软雅黑" w:cs="微软雅黑"/>
          <w:sz w:val="16"/>
          <w:szCs w:val="16"/>
        </w:rPr>
        <w:t>RatesofStudentsin</w:t>
      </w:r>
      <w:r>
        <w:rPr>
          <w:rFonts w:ascii="微软雅黑" w:hAnsi="微软雅黑" w:eastAsia="微软雅黑" w:cs="微软雅黑"/>
          <w:spacing w:val="8"/>
          <w:sz w:val="16"/>
          <w:szCs w:val="16"/>
        </w:rPr>
        <w:t xml:space="preserve"> </w:t>
      </w:r>
      <w:r>
        <w:rPr>
          <w:rFonts w:ascii="微软雅黑" w:hAnsi="微软雅黑" w:eastAsia="微软雅黑" w:cs="微软雅黑"/>
          <w:sz w:val="16"/>
          <w:szCs w:val="16"/>
        </w:rPr>
        <w:t>HigherEducation</w:t>
      </w:r>
      <w:r>
        <w:rPr>
          <w:rFonts w:ascii="微软雅黑" w:hAnsi="微软雅黑" w:eastAsia="微软雅黑" w:cs="微软雅黑"/>
          <w:spacing w:val="15"/>
          <w:sz w:val="16"/>
          <w:szCs w:val="16"/>
        </w:rPr>
        <w:t xml:space="preserve">[ </w:t>
      </w:r>
      <w:r>
        <w:rPr>
          <w:rFonts w:ascii="微软雅黑" w:hAnsi="微软雅黑" w:eastAsia="微软雅黑" w:cs="微软雅黑"/>
          <w:sz w:val="16"/>
          <w:szCs w:val="16"/>
        </w:rPr>
        <w:t>EB</w:t>
      </w:r>
      <w:r>
        <w:rPr>
          <w:rFonts w:ascii="微软雅黑" w:hAnsi="微软雅黑" w:eastAsia="微软雅黑" w:cs="微软雅黑"/>
          <w:spacing w:val="15"/>
          <w:sz w:val="16"/>
          <w:szCs w:val="16"/>
        </w:rPr>
        <w:t>/</w:t>
      </w:r>
      <w:r>
        <w:rPr>
          <w:rFonts w:ascii="微软雅黑" w:hAnsi="微软雅黑" w:eastAsia="微软雅黑" w:cs="微软雅黑"/>
          <w:sz w:val="16"/>
          <w:szCs w:val="16"/>
        </w:rPr>
        <w:t>OL</w:t>
      </w:r>
      <w:r>
        <w:rPr>
          <w:rFonts w:ascii="微软雅黑" w:hAnsi="微软雅黑" w:eastAsia="微软雅黑" w:cs="微软雅黑"/>
          <w:spacing w:val="15"/>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15"/>
          <w:sz w:val="16"/>
          <w:szCs w:val="16"/>
        </w:rPr>
        <w:t>.</w:t>
      </w:r>
      <w:r>
        <w:rPr>
          <w:rFonts w:ascii="微软雅黑" w:hAnsi="微软雅黑" w:eastAsia="微软雅黑" w:cs="微软雅黑"/>
          <w:sz w:val="16"/>
          <w:szCs w:val="16"/>
        </w:rPr>
        <w:t xml:space="preserve">   </w:t>
      </w:r>
      <w:r>
        <w:rPr>
          <w:rFonts w:ascii="微软雅黑" w:hAnsi="微软雅黑" w:eastAsia="微软雅黑" w:cs="微软雅黑"/>
          <w:spacing w:val="15"/>
          <w:sz w:val="16"/>
          <w:szCs w:val="16"/>
        </w:rPr>
        <w:t>[2017-11-04]</w:t>
      </w:r>
      <w:r>
        <w:rPr>
          <w:rFonts w:ascii="微软雅黑" w:hAnsi="微软雅黑" w:eastAsia="微软雅黑" w:cs="微软雅黑"/>
          <w:spacing w:val="-12"/>
          <w:sz w:val="16"/>
          <w:szCs w:val="16"/>
        </w:rPr>
        <w:t xml:space="preserve"> </w:t>
      </w:r>
      <w:r>
        <w:rPr>
          <w:rFonts w:ascii="微软雅黑" w:hAnsi="微软雅黑" w:eastAsia="微软雅黑" w:cs="微软雅黑"/>
          <w:spacing w:val="15"/>
          <w:sz w:val="16"/>
          <w:szCs w:val="16"/>
        </w:rPr>
        <w:t>.</w:t>
      </w:r>
      <w:r>
        <w:rPr>
          <w:rFonts w:ascii="微软雅黑" w:hAnsi="微软雅黑" w:eastAsia="微软雅黑" w:cs="微软雅黑"/>
          <w:spacing w:val="21"/>
          <w:sz w:val="16"/>
          <w:szCs w:val="16"/>
        </w:rPr>
        <w:t xml:space="preserve">  </w:t>
      </w:r>
      <w:r>
        <w:rPr>
          <w:rFonts w:ascii="微软雅黑" w:hAnsi="微软雅黑" w:eastAsia="微软雅黑" w:cs="微软雅黑"/>
          <w:sz w:val="16"/>
          <w:szCs w:val="16"/>
        </w:rPr>
        <w:t>http</w:t>
      </w:r>
      <w:r>
        <w:rPr>
          <w:rFonts w:ascii="微软雅黑" w:hAnsi="微软雅黑" w:eastAsia="微软雅黑" w:cs="微软雅黑"/>
          <w:spacing w:val="15"/>
          <w:sz w:val="16"/>
          <w:szCs w:val="16"/>
        </w:rPr>
        <w:t>://</w:t>
      </w:r>
      <w:r>
        <w:rPr>
          <w:rFonts w:ascii="微软雅黑" w:hAnsi="微软雅黑" w:eastAsia="微软雅黑" w:cs="微软雅黑"/>
          <w:sz w:val="16"/>
          <w:szCs w:val="16"/>
        </w:rPr>
        <w:t xml:space="preserve"> www</w:t>
      </w:r>
      <w:r>
        <w:rPr>
          <w:rFonts w:ascii="微软雅黑" w:hAnsi="微软雅黑" w:eastAsia="微软雅黑" w:cs="微软雅黑"/>
          <w:spacing w:val="2"/>
          <w:sz w:val="16"/>
          <w:szCs w:val="16"/>
        </w:rPr>
        <w:t>.</w:t>
      </w:r>
      <w:r>
        <w:rPr>
          <w:rFonts w:ascii="微软雅黑" w:hAnsi="微软雅黑" w:eastAsia="微软雅黑" w:cs="微软雅黑"/>
          <w:sz w:val="16"/>
          <w:szCs w:val="16"/>
        </w:rPr>
        <w:t>ssb</w:t>
      </w:r>
      <w:r>
        <w:rPr>
          <w:rFonts w:ascii="微软雅黑" w:hAnsi="微软雅黑" w:eastAsia="微软雅黑" w:cs="微软雅黑"/>
          <w:spacing w:val="2"/>
          <w:sz w:val="16"/>
          <w:szCs w:val="16"/>
        </w:rPr>
        <w:t>.</w:t>
      </w:r>
      <w:r>
        <w:rPr>
          <w:rFonts w:ascii="微软雅黑" w:hAnsi="微软雅黑" w:eastAsia="微软雅黑" w:cs="微软雅黑"/>
          <w:sz w:val="16"/>
          <w:szCs w:val="16"/>
        </w:rPr>
        <w:t>no</w:t>
      </w:r>
      <w:r>
        <w:rPr>
          <w:rFonts w:ascii="微软雅黑" w:hAnsi="微软雅黑" w:eastAsia="微软雅黑" w:cs="微软雅黑"/>
          <w:spacing w:val="2"/>
          <w:sz w:val="16"/>
          <w:szCs w:val="16"/>
        </w:rPr>
        <w:t>/</w:t>
      </w:r>
      <w:r>
        <w:rPr>
          <w:rFonts w:ascii="微软雅黑" w:hAnsi="微软雅黑" w:eastAsia="微软雅黑" w:cs="微软雅黑"/>
          <w:sz w:val="16"/>
          <w:szCs w:val="16"/>
        </w:rPr>
        <w:t>en</w:t>
      </w:r>
      <w:r>
        <w:rPr>
          <w:rFonts w:ascii="微软雅黑" w:hAnsi="微软雅黑" w:eastAsia="微软雅黑" w:cs="微软雅黑"/>
          <w:spacing w:val="2"/>
          <w:sz w:val="16"/>
          <w:szCs w:val="16"/>
        </w:rPr>
        <w:t>/</w:t>
      </w:r>
      <w:r>
        <w:rPr>
          <w:rFonts w:ascii="微软雅黑" w:hAnsi="微软雅黑" w:eastAsia="微软雅黑" w:cs="微软雅黑"/>
          <w:sz w:val="16"/>
          <w:szCs w:val="16"/>
        </w:rPr>
        <w:t>utdanning</w:t>
      </w:r>
      <w:r>
        <w:rPr>
          <w:rFonts w:ascii="微软雅黑" w:hAnsi="微软雅黑" w:eastAsia="微软雅黑" w:cs="微软雅黑"/>
          <w:spacing w:val="2"/>
          <w:sz w:val="16"/>
          <w:szCs w:val="16"/>
        </w:rPr>
        <w:t>/</w:t>
      </w:r>
      <w:r>
        <w:rPr>
          <w:rFonts w:ascii="微软雅黑" w:hAnsi="微软雅黑" w:eastAsia="微软雅黑" w:cs="微软雅黑"/>
          <w:sz w:val="16"/>
          <w:szCs w:val="16"/>
        </w:rPr>
        <w:t>statistikker</w:t>
      </w:r>
      <w:r>
        <w:rPr>
          <w:rFonts w:ascii="微软雅黑" w:hAnsi="微软雅黑" w:eastAsia="微软雅黑" w:cs="微软雅黑"/>
          <w:spacing w:val="2"/>
          <w:sz w:val="16"/>
          <w:szCs w:val="16"/>
        </w:rPr>
        <w:t>/</w:t>
      </w:r>
      <w:r>
        <w:rPr>
          <w:rFonts w:ascii="微软雅黑" w:hAnsi="微软雅黑" w:eastAsia="微软雅黑" w:cs="微软雅黑"/>
          <w:sz w:val="16"/>
          <w:szCs w:val="16"/>
        </w:rPr>
        <w:t>hugjen</w:t>
      </w:r>
      <w:r>
        <w:rPr>
          <w:rFonts w:ascii="微软雅黑" w:hAnsi="微软雅黑" w:eastAsia="微软雅黑" w:cs="微软雅黑"/>
          <w:spacing w:val="2"/>
          <w:sz w:val="16"/>
          <w:szCs w:val="16"/>
        </w:rPr>
        <w:t>.</w:t>
      </w:r>
    </w:p>
    <w:p>
      <w:pPr>
        <w:spacing w:before="89" w:line="207" w:lineRule="auto"/>
        <w:ind w:left="444" w:right="82" w:hanging="444"/>
        <w:rPr>
          <w:rFonts w:ascii="微软雅黑" w:hAnsi="微软雅黑" w:eastAsia="微软雅黑" w:cs="微软雅黑"/>
          <w:sz w:val="16"/>
          <w:szCs w:val="16"/>
        </w:rPr>
      </w:pPr>
      <w:r>
        <w:rPr>
          <w:rFonts w:ascii="微软雅黑" w:hAnsi="微软雅黑" w:eastAsia="微软雅黑" w:cs="微软雅黑"/>
          <w:spacing w:val="10"/>
          <w:sz w:val="16"/>
          <w:szCs w:val="16"/>
        </w:rPr>
        <w:t xml:space="preserve">[16]    </w:t>
      </w:r>
      <w:r>
        <w:rPr>
          <w:rFonts w:ascii="宋体" w:hAnsi="宋体" w:eastAsia="宋体" w:cs="宋体"/>
          <w:spacing w:val="10"/>
          <w:sz w:val="16"/>
          <w:szCs w:val="16"/>
        </w:rPr>
        <w:t>徐赟</w:t>
      </w:r>
      <w:r>
        <w:rPr>
          <w:rFonts w:ascii="微软雅黑" w:hAnsi="微软雅黑" w:eastAsia="微软雅黑" w:cs="微软雅黑"/>
          <w:spacing w:val="10"/>
          <w:sz w:val="16"/>
          <w:szCs w:val="16"/>
        </w:rPr>
        <w:t>，</w:t>
      </w:r>
      <w:r>
        <w:rPr>
          <w:rFonts w:ascii="宋体" w:hAnsi="宋体" w:eastAsia="宋体" w:cs="宋体"/>
          <w:spacing w:val="10"/>
          <w:sz w:val="16"/>
          <w:szCs w:val="16"/>
        </w:rPr>
        <w:t>马萍</w:t>
      </w:r>
      <w:r>
        <w:rPr>
          <w:rFonts w:ascii="微软雅黑" w:hAnsi="微软雅黑" w:eastAsia="微软雅黑" w:cs="微软雅黑"/>
          <w:spacing w:val="10"/>
          <w:position w:val="-1"/>
          <w:sz w:val="16"/>
          <w:szCs w:val="16"/>
        </w:rPr>
        <w:t>．</w:t>
      </w:r>
      <w:r>
        <w:rPr>
          <w:rFonts w:ascii="宋体" w:hAnsi="宋体" w:eastAsia="宋体" w:cs="宋体"/>
          <w:spacing w:val="10"/>
          <w:sz w:val="16"/>
          <w:szCs w:val="16"/>
        </w:rPr>
        <w:t>欧洲大学质量文</w:t>
      </w:r>
      <w:r>
        <w:rPr>
          <w:rFonts w:ascii="宋体" w:hAnsi="宋体" w:eastAsia="宋体" w:cs="宋体"/>
          <w:spacing w:val="9"/>
          <w:sz w:val="16"/>
          <w:szCs w:val="16"/>
        </w:rPr>
        <w:t>化建设</w:t>
      </w:r>
      <w:r>
        <w:rPr>
          <w:rFonts w:ascii="微软雅黑" w:hAnsi="微软雅黑" w:eastAsia="微软雅黑" w:cs="微软雅黑"/>
          <w:spacing w:val="9"/>
          <w:sz w:val="16"/>
          <w:szCs w:val="16"/>
        </w:rPr>
        <w:t>：</w:t>
      </w:r>
      <w:r>
        <w:rPr>
          <w:rFonts w:ascii="宋体" w:hAnsi="宋体" w:eastAsia="宋体" w:cs="宋体"/>
          <w:spacing w:val="9"/>
          <w:sz w:val="16"/>
          <w:szCs w:val="16"/>
        </w:rPr>
        <w:t>实践及启示</w:t>
      </w:r>
      <w:r>
        <w:rPr>
          <w:rFonts w:ascii="微软雅黑" w:hAnsi="微软雅黑" w:eastAsia="微软雅黑" w:cs="微软雅黑"/>
          <w:spacing w:val="9"/>
          <w:sz w:val="16"/>
          <w:szCs w:val="16"/>
        </w:rPr>
        <w:t>[J]</w:t>
      </w:r>
      <w:r>
        <w:rPr>
          <w:rFonts w:ascii="微软雅黑" w:hAnsi="微软雅黑" w:eastAsia="微软雅黑" w:cs="微软雅黑"/>
          <w:spacing w:val="-14"/>
          <w:sz w:val="16"/>
          <w:szCs w:val="16"/>
        </w:rPr>
        <w:t xml:space="preserve"> </w:t>
      </w:r>
      <w:r>
        <w:rPr>
          <w:rFonts w:ascii="微软雅黑" w:hAnsi="微软雅黑" w:eastAsia="微软雅黑" w:cs="微软雅黑"/>
          <w:spacing w:val="9"/>
          <w:position w:val="-1"/>
          <w:sz w:val="16"/>
          <w:szCs w:val="16"/>
        </w:rPr>
        <w:t>.</w:t>
      </w:r>
      <w:r>
        <w:rPr>
          <w:rFonts w:ascii="微软雅黑" w:hAnsi="微软雅黑" w:eastAsia="微软雅黑" w:cs="微软雅黑"/>
          <w:position w:val="-1"/>
          <w:sz w:val="16"/>
          <w:szCs w:val="16"/>
        </w:rPr>
        <w:t xml:space="preserve"> </w:t>
      </w:r>
      <w:r>
        <w:rPr>
          <w:rFonts w:ascii="宋体" w:hAnsi="宋体" w:eastAsia="宋体" w:cs="宋体"/>
          <w:spacing w:val="6"/>
          <w:sz w:val="16"/>
          <w:szCs w:val="16"/>
        </w:rPr>
        <w:t>外</w:t>
      </w:r>
      <w:r>
        <w:rPr>
          <w:rFonts w:ascii="宋体" w:hAnsi="宋体" w:eastAsia="宋体" w:cs="宋体"/>
          <w:spacing w:val="-38"/>
          <w:sz w:val="16"/>
          <w:szCs w:val="16"/>
        </w:rPr>
        <w:t xml:space="preserve"> </w:t>
      </w:r>
      <w:r>
        <w:rPr>
          <w:rFonts w:ascii="宋体" w:hAnsi="宋体" w:eastAsia="宋体" w:cs="宋体"/>
          <w:spacing w:val="6"/>
          <w:sz w:val="16"/>
          <w:szCs w:val="16"/>
        </w:rPr>
        <w:t>国教育研究</w:t>
      </w:r>
      <w:r>
        <w:rPr>
          <w:rFonts w:ascii="微软雅黑" w:hAnsi="微软雅黑" w:eastAsia="微软雅黑" w:cs="微软雅黑"/>
          <w:spacing w:val="6"/>
          <w:position w:val="1"/>
          <w:sz w:val="16"/>
          <w:szCs w:val="16"/>
        </w:rPr>
        <w:t>，</w:t>
      </w:r>
      <w:r>
        <w:rPr>
          <w:rFonts w:ascii="微软雅黑" w:hAnsi="微软雅黑" w:eastAsia="微软雅黑" w:cs="微软雅黑"/>
          <w:spacing w:val="6"/>
          <w:sz w:val="16"/>
          <w:szCs w:val="16"/>
        </w:rPr>
        <w:t>2017,(9) :3-12.</w:t>
      </w:r>
    </w:p>
    <w:p>
      <w:pPr>
        <w:spacing w:before="78" w:line="211" w:lineRule="auto"/>
        <w:ind w:left="439" w:right="11" w:hanging="439"/>
        <w:rPr>
          <w:rFonts w:ascii="微软雅黑" w:hAnsi="微软雅黑" w:eastAsia="微软雅黑" w:cs="微软雅黑"/>
          <w:sz w:val="16"/>
          <w:szCs w:val="16"/>
        </w:rPr>
      </w:pPr>
      <w:r>
        <w:rPr>
          <w:rFonts w:ascii="微软雅黑" w:hAnsi="微软雅黑" w:eastAsia="微软雅黑" w:cs="微软雅黑"/>
          <w:spacing w:val="1"/>
          <w:sz w:val="16"/>
          <w:szCs w:val="16"/>
        </w:rPr>
        <w:t xml:space="preserve">[17]    </w:t>
      </w:r>
      <w:r>
        <w:rPr>
          <w:rFonts w:ascii="宋体" w:hAnsi="宋体" w:eastAsia="宋体" w:cs="宋体"/>
          <w:spacing w:val="1"/>
          <w:sz w:val="16"/>
          <w:szCs w:val="16"/>
        </w:rPr>
        <w:t>王</w:t>
      </w:r>
      <w:r>
        <w:rPr>
          <w:rFonts w:ascii="宋体" w:hAnsi="宋体" w:eastAsia="宋体" w:cs="宋体"/>
          <w:spacing w:val="-37"/>
          <w:sz w:val="16"/>
          <w:szCs w:val="16"/>
        </w:rPr>
        <w:t xml:space="preserve"> </w:t>
      </w:r>
      <w:r>
        <w:rPr>
          <w:rFonts w:ascii="宋体" w:hAnsi="宋体" w:eastAsia="宋体" w:cs="宋体"/>
          <w:spacing w:val="1"/>
          <w:sz w:val="16"/>
          <w:szCs w:val="16"/>
        </w:rPr>
        <w:t>姗</w:t>
      </w:r>
      <w:r>
        <w:rPr>
          <w:rFonts w:ascii="宋体" w:hAnsi="宋体" w:eastAsia="宋体" w:cs="宋体"/>
          <w:spacing w:val="-38"/>
          <w:sz w:val="16"/>
          <w:szCs w:val="16"/>
        </w:rPr>
        <w:t xml:space="preserve"> </w:t>
      </w:r>
      <w:r>
        <w:rPr>
          <w:rFonts w:ascii="宋体" w:hAnsi="宋体" w:eastAsia="宋体" w:cs="宋体"/>
          <w:spacing w:val="1"/>
          <w:sz w:val="16"/>
          <w:szCs w:val="16"/>
        </w:rPr>
        <w:t>姗</w:t>
      </w:r>
      <w:r>
        <w:rPr>
          <w:rFonts w:ascii="微软雅黑" w:hAnsi="微软雅黑" w:eastAsia="微软雅黑" w:cs="微软雅黑"/>
          <w:spacing w:val="1"/>
          <w:position w:val="-1"/>
          <w:sz w:val="16"/>
          <w:szCs w:val="16"/>
        </w:rPr>
        <w:t>．</w:t>
      </w:r>
      <w:r>
        <w:rPr>
          <w:rFonts w:ascii="宋体" w:hAnsi="宋体" w:eastAsia="宋体" w:cs="宋体"/>
          <w:spacing w:val="1"/>
          <w:sz w:val="16"/>
          <w:szCs w:val="16"/>
        </w:rPr>
        <w:t>刍</w:t>
      </w:r>
      <w:r>
        <w:rPr>
          <w:rFonts w:ascii="宋体" w:hAnsi="宋体" w:eastAsia="宋体" w:cs="宋体"/>
          <w:spacing w:val="-33"/>
          <w:sz w:val="16"/>
          <w:szCs w:val="16"/>
        </w:rPr>
        <w:t xml:space="preserve"> </w:t>
      </w:r>
      <w:r>
        <w:rPr>
          <w:rFonts w:ascii="宋体" w:hAnsi="宋体" w:eastAsia="宋体" w:cs="宋体"/>
          <w:spacing w:val="1"/>
          <w:sz w:val="16"/>
          <w:szCs w:val="16"/>
        </w:rPr>
        <w:t>议</w:t>
      </w:r>
      <w:r>
        <w:rPr>
          <w:rFonts w:ascii="宋体" w:hAnsi="宋体" w:eastAsia="宋体" w:cs="宋体"/>
          <w:spacing w:val="-31"/>
          <w:sz w:val="16"/>
          <w:szCs w:val="16"/>
        </w:rPr>
        <w:t xml:space="preserve"> </w:t>
      </w:r>
      <w:r>
        <w:rPr>
          <w:rFonts w:ascii="宋体" w:hAnsi="宋体" w:eastAsia="宋体" w:cs="宋体"/>
          <w:spacing w:val="1"/>
          <w:sz w:val="16"/>
          <w:szCs w:val="16"/>
        </w:rPr>
        <w:t>高</w:t>
      </w:r>
      <w:r>
        <w:rPr>
          <w:rFonts w:ascii="宋体" w:hAnsi="宋体" w:eastAsia="宋体" w:cs="宋体"/>
          <w:spacing w:val="-33"/>
          <w:sz w:val="16"/>
          <w:szCs w:val="16"/>
        </w:rPr>
        <w:t xml:space="preserve"> </w:t>
      </w:r>
      <w:r>
        <w:rPr>
          <w:rFonts w:ascii="宋体" w:hAnsi="宋体" w:eastAsia="宋体" w:cs="宋体"/>
          <w:spacing w:val="1"/>
          <w:sz w:val="16"/>
          <w:szCs w:val="16"/>
        </w:rPr>
        <w:t>等</w:t>
      </w:r>
      <w:r>
        <w:rPr>
          <w:rFonts w:ascii="宋体" w:hAnsi="宋体" w:eastAsia="宋体" w:cs="宋体"/>
          <w:spacing w:val="-33"/>
          <w:sz w:val="16"/>
          <w:szCs w:val="16"/>
        </w:rPr>
        <w:t xml:space="preserve"> </w:t>
      </w:r>
      <w:r>
        <w:rPr>
          <w:rFonts w:ascii="宋体" w:hAnsi="宋体" w:eastAsia="宋体" w:cs="宋体"/>
          <w:spacing w:val="1"/>
          <w:sz w:val="16"/>
          <w:szCs w:val="16"/>
        </w:rPr>
        <w:t>教</w:t>
      </w:r>
      <w:r>
        <w:rPr>
          <w:rFonts w:ascii="宋体" w:hAnsi="宋体" w:eastAsia="宋体" w:cs="宋体"/>
          <w:spacing w:val="-28"/>
          <w:sz w:val="16"/>
          <w:szCs w:val="16"/>
        </w:rPr>
        <w:t xml:space="preserve"> </w:t>
      </w:r>
      <w:r>
        <w:rPr>
          <w:rFonts w:ascii="宋体" w:hAnsi="宋体" w:eastAsia="宋体" w:cs="宋体"/>
          <w:spacing w:val="1"/>
          <w:sz w:val="16"/>
          <w:szCs w:val="16"/>
        </w:rPr>
        <w:t>育</w:t>
      </w:r>
      <w:r>
        <w:rPr>
          <w:rFonts w:ascii="宋体" w:hAnsi="宋体" w:eastAsia="宋体" w:cs="宋体"/>
          <w:spacing w:val="-34"/>
          <w:sz w:val="16"/>
          <w:szCs w:val="16"/>
        </w:rPr>
        <w:t xml:space="preserve"> </w:t>
      </w:r>
      <w:r>
        <w:rPr>
          <w:rFonts w:ascii="宋体" w:hAnsi="宋体" w:eastAsia="宋体" w:cs="宋体"/>
          <w:spacing w:val="1"/>
          <w:sz w:val="16"/>
          <w:szCs w:val="16"/>
        </w:rPr>
        <w:t>质</w:t>
      </w:r>
      <w:r>
        <w:rPr>
          <w:rFonts w:ascii="宋体" w:hAnsi="宋体" w:eastAsia="宋体" w:cs="宋体"/>
          <w:spacing w:val="-35"/>
          <w:sz w:val="16"/>
          <w:szCs w:val="16"/>
        </w:rPr>
        <w:t xml:space="preserve"> </w:t>
      </w:r>
      <w:r>
        <w:rPr>
          <w:rFonts w:ascii="宋体" w:hAnsi="宋体" w:eastAsia="宋体" w:cs="宋体"/>
          <w:spacing w:val="1"/>
          <w:sz w:val="16"/>
          <w:szCs w:val="16"/>
        </w:rPr>
        <w:t>量</w:t>
      </w:r>
      <w:r>
        <w:rPr>
          <w:rFonts w:ascii="宋体" w:hAnsi="宋体" w:eastAsia="宋体" w:cs="宋体"/>
          <w:spacing w:val="-34"/>
          <w:sz w:val="16"/>
          <w:szCs w:val="16"/>
        </w:rPr>
        <w:t xml:space="preserve"> </w:t>
      </w:r>
      <w:r>
        <w:rPr>
          <w:rFonts w:ascii="宋体" w:hAnsi="宋体" w:eastAsia="宋体" w:cs="宋体"/>
          <w:spacing w:val="1"/>
          <w:sz w:val="16"/>
          <w:szCs w:val="16"/>
        </w:rPr>
        <w:t>文</w:t>
      </w:r>
      <w:r>
        <w:rPr>
          <w:rFonts w:ascii="宋体" w:hAnsi="宋体" w:eastAsia="宋体" w:cs="宋体"/>
          <w:spacing w:val="-34"/>
          <w:sz w:val="16"/>
          <w:szCs w:val="16"/>
        </w:rPr>
        <w:t xml:space="preserve"> </w:t>
      </w:r>
      <w:r>
        <w:rPr>
          <w:rFonts w:ascii="宋体" w:hAnsi="宋体" w:eastAsia="宋体" w:cs="宋体"/>
          <w:spacing w:val="1"/>
          <w:sz w:val="16"/>
          <w:szCs w:val="16"/>
        </w:rPr>
        <w:t>化</w:t>
      </w:r>
      <w:r>
        <w:rPr>
          <w:rFonts w:ascii="宋体" w:hAnsi="宋体" w:eastAsia="宋体" w:cs="宋体"/>
          <w:spacing w:val="-25"/>
          <w:sz w:val="16"/>
          <w:szCs w:val="16"/>
        </w:rPr>
        <w:t xml:space="preserve"> </w:t>
      </w:r>
      <w:r>
        <w:rPr>
          <w:rFonts w:ascii="微软雅黑" w:hAnsi="微软雅黑" w:eastAsia="微软雅黑" w:cs="微软雅黑"/>
          <w:spacing w:val="1"/>
          <w:sz w:val="16"/>
          <w:szCs w:val="16"/>
        </w:rPr>
        <w:t>[J]</w:t>
      </w:r>
      <w:r>
        <w:rPr>
          <w:rFonts w:ascii="微软雅黑" w:hAnsi="微软雅黑" w:eastAsia="微软雅黑" w:cs="微软雅黑"/>
          <w:spacing w:val="-15"/>
          <w:sz w:val="16"/>
          <w:szCs w:val="16"/>
        </w:rPr>
        <w:t xml:space="preserve"> </w:t>
      </w:r>
      <w:r>
        <w:rPr>
          <w:rFonts w:ascii="微软雅黑" w:hAnsi="微软雅黑" w:eastAsia="微软雅黑" w:cs="微软雅黑"/>
          <w:spacing w:val="1"/>
          <w:position w:val="-1"/>
          <w:sz w:val="16"/>
          <w:szCs w:val="16"/>
        </w:rPr>
        <w:t>.</w:t>
      </w:r>
      <w:r>
        <w:rPr>
          <w:rFonts w:ascii="微软雅黑" w:hAnsi="微软雅黑" w:eastAsia="微软雅黑" w:cs="微软雅黑"/>
          <w:position w:val="-1"/>
          <w:sz w:val="16"/>
          <w:szCs w:val="16"/>
        </w:rPr>
        <w:t xml:space="preserve">   </w:t>
      </w:r>
      <w:r>
        <w:rPr>
          <w:rFonts w:ascii="宋体" w:hAnsi="宋体" w:eastAsia="宋体" w:cs="宋体"/>
          <w:sz w:val="16"/>
          <w:szCs w:val="16"/>
        </w:rPr>
        <w:t>教</w:t>
      </w:r>
      <w:r>
        <w:rPr>
          <w:rFonts w:ascii="宋体" w:hAnsi="宋体" w:eastAsia="宋体" w:cs="宋体"/>
          <w:spacing w:val="-28"/>
          <w:sz w:val="16"/>
          <w:szCs w:val="16"/>
        </w:rPr>
        <w:t xml:space="preserve"> </w:t>
      </w:r>
      <w:r>
        <w:rPr>
          <w:rFonts w:ascii="宋体" w:hAnsi="宋体" w:eastAsia="宋体" w:cs="宋体"/>
          <w:sz w:val="16"/>
          <w:szCs w:val="16"/>
        </w:rPr>
        <w:t>育</w:t>
      </w:r>
      <w:r>
        <w:rPr>
          <w:rFonts w:ascii="宋体" w:hAnsi="宋体" w:eastAsia="宋体" w:cs="宋体"/>
          <w:spacing w:val="-35"/>
          <w:sz w:val="16"/>
          <w:szCs w:val="16"/>
        </w:rPr>
        <w:t xml:space="preserve"> </w:t>
      </w:r>
      <w:r>
        <w:rPr>
          <w:rFonts w:ascii="宋体" w:hAnsi="宋体" w:eastAsia="宋体" w:cs="宋体"/>
          <w:sz w:val="16"/>
          <w:szCs w:val="16"/>
        </w:rPr>
        <w:t>探</w:t>
      </w:r>
      <w:r>
        <w:rPr>
          <w:rFonts w:ascii="宋体" w:hAnsi="宋体" w:eastAsia="宋体" w:cs="宋体"/>
          <w:spacing w:val="-32"/>
          <w:sz w:val="16"/>
          <w:szCs w:val="16"/>
        </w:rPr>
        <w:t xml:space="preserve"> </w:t>
      </w:r>
      <w:r>
        <w:rPr>
          <w:rFonts w:ascii="宋体" w:hAnsi="宋体" w:eastAsia="宋体" w:cs="宋体"/>
          <w:sz w:val="16"/>
          <w:szCs w:val="16"/>
        </w:rPr>
        <w:t>索</w:t>
      </w:r>
      <w:r>
        <w:rPr>
          <w:rFonts w:ascii="微软雅黑" w:hAnsi="微软雅黑" w:eastAsia="微软雅黑" w:cs="微软雅黑"/>
          <w:sz w:val="16"/>
          <w:szCs w:val="16"/>
        </w:rPr>
        <w:t xml:space="preserve">， </w:t>
      </w:r>
      <w:r>
        <w:rPr>
          <w:rFonts w:ascii="微软雅黑" w:hAnsi="微软雅黑" w:eastAsia="微软雅黑" w:cs="微软雅黑"/>
          <w:spacing w:val="3"/>
          <w:sz w:val="16"/>
          <w:szCs w:val="16"/>
        </w:rPr>
        <w:t>2011,(7)</w:t>
      </w:r>
      <w:r>
        <w:rPr>
          <w:rFonts w:ascii="微软雅黑" w:hAnsi="微软雅黑" w:eastAsia="微软雅黑" w:cs="微软雅黑"/>
          <w:spacing w:val="17"/>
          <w:sz w:val="16"/>
          <w:szCs w:val="16"/>
        </w:rPr>
        <w:t xml:space="preserve"> </w:t>
      </w:r>
      <w:r>
        <w:rPr>
          <w:rFonts w:ascii="微软雅黑" w:hAnsi="微软雅黑" w:eastAsia="微软雅黑" w:cs="微软雅黑"/>
          <w:spacing w:val="3"/>
          <w:sz w:val="16"/>
          <w:szCs w:val="16"/>
        </w:rPr>
        <w:t>:21-23.</w:t>
      </w:r>
    </w:p>
    <w:p>
      <w:pPr>
        <w:spacing w:before="78" w:line="219" w:lineRule="auto"/>
        <w:ind w:left="440" w:right="70" w:hanging="441"/>
        <w:rPr>
          <w:rFonts w:ascii="微软雅黑" w:hAnsi="微软雅黑" w:eastAsia="微软雅黑" w:cs="微软雅黑"/>
          <w:sz w:val="16"/>
          <w:szCs w:val="16"/>
        </w:rPr>
      </w:pPr>
      <w:r>
        <w:rPr>
          <w:rFonts w:ascii="微软雅黑" w:hAnsi="微软雅黑" w:eastAsia="微软雅黑" w:cs="微软雅黑"/>
          <w:spacing w:val="18"/>
          <w:sz w:val="16"/>
          <w:szCs w:val="16"/>
        </w:rPr>
        <w:t xml:space="preserve">[18]    </w:t>
      </w:r>
      <w:r>
        <w:rPr>
          <w:rFonts w:ascii="宋体" w:hAnsi="宋体" w:eastAsia="宋体" w:cs="宋体"/>
          <w:spacing w:val="18"/>
          <w:sz w:val="16"/>
          <w:szCs w:val="16"/>
        </w:rPr>
        <w:t>方</w:t>
      </w:r>
      <w:r>
        <w:rPr>
          <w:rFonts w:ascii="宋体" w:hAnsi="宋体" w:eastAsia="宋体" w:cs="宋体"/>
          <w:spacing w:val="-37"/>
          <w:sz w:val="16"/>
          <w:szCs w:val="16"/>
        </w:rPr>
        <w:t xml:space="preserve"> </w:t>
      </w:r>
      <w:r>
        <w:rPr>
          <w:rFonts w:ascii="宋体" w:hAnsi="宋体" w:eastAsia="宋体" w:cs="宋体"/>
          <w:spacing w:val="18"/>
          <w:sz w:val="16"/>
          <w:szCs w:val="16"/>
        </w:rPr>
        <w:t>展</w:t>
      </w:r>
      <w:r>
        <w:rPr>
          <w:rFonts w:ascii="宋体" w:hAnsi="宋体" w:eastAsia="宋体" w:cs="宋体"/>
          <w:spacing w:val="-34"/>
          <w:sz w:val="16"/>
          <w:szCs w:val="16"/>
        </w:rPr>
        <w:t xml:space="preserve"> </w:t>
      </w:r>
      <w:r>
        <w:rPr>
          <w:rFonts w:ascii="宋体" w:hAnsi="宋体" w:eastAsia="宋体" w:cs="宋体"/>
          <w:spacing w:val="18"/>
          <w:sz w:val="16"/>
          <w:szCs w:val="16"/>
        </w:rPr>
        <w:t>画</w:t>
      </w:r>
      <w:r>
        <w:rPr>
          <w:rFonts w:ascii="宋体" w:hAnsi="宋体" w:eastAsia="宋体" w:cs="宋体"/>
          <w:spacing w:val="-37"/>
          <w:sz w:val="16"/>
          <w:szCs w:val="16"/>
        </w:rPr>
        <w:t xml:space="preserve"> </w:t>
      </w:r>
      <w:r>
        <w:rPr>
          <w:rFonts w:ascii="微软雅黑" w:hAnsi="微软雅黑" w:eastAsia="微软雅黑" w:cs="微软雅黑"/>
          <w:spacing w:val="18"/>
          <w:sz w:val="16"/>
          <w:szCs w:val="16"/>
        </w:rPr>
        <w:t>，</w:t>
      </w:r>
      <w:r>
        <w:rPr>
          <w:rFonts w:ascii="宋体" w:hAnsi="宋体" w:eastAsia="宋体" w:cs="宋体"/>
          <w:spacing w:val="18"/>
          <w:sz w:val="16"/>
          <w:szCs w:val="16"/>
        </w:rPr>
        <w:t>薛</w:t>
      </w:r>
      <w:r>
        <w:rPr>
          <w:rFonts w:ascii="宋体" w:hAnsi="宋体" w:eastAsia="宋体" w:cs="宋体"/>
          <w:spacing w:val="-36"/>
          <w:sz w:val="16"/>
          <w:szCs w:val="16"/>
        </w:rPr>
        <w:t xml:space="preserve"> </w:t>
      </w:r>
      <w:r>
        <w:rPr>
          <w:rFonts w:ascii="宋体" w:hAnsi="宋体" w:eastAsia="宋体" w:cs="宋体"/>
          <w:spacing w:val="18"/>
          <w:sz w:val="16"/>
          <w:szCs w:val="16"/>
        </w:rPr>
        <w:t>二</w:t>
      </w:r>
      <w:r>
        <w:rPr>
          <w:rFonts w:ascii="宋体" w:hAnsi="宋体" w:eastAsia="宋体" w:cs="宋体"/>
          <w:spacing w:val="-33"/>
          <w:sz w:val="16"/>
          <w:szCs w:val="16"/>
        </w:rPr>
        <w:t xml:space="preserve"> </w:t>
      </w:r>
      <w:r>
        <w:rPr>
          <w:rFonts w:ascii="宋体" w:hAnsi="宋体" w:eastAsia="宋体" w:cs="宋体"/>
          <w:spacing w:val="18"/>
          <w:sz w:val="16"/>
          <w:szCs w:val="16"/>
        </w:rPr>
        <w:t>勇</w:t>
      </w:r>
      <w:r>
        <w:rPr>
          <w:rFonts w:ascii="微软雅黑" w:hAnsi="微软雅黑" w:eastAsia="微软雅黑" w:cs="微软雅黑"/>
          <w:spacing w:val="18"/>
          <w:position w:val="-1"/>
          <w:sz w:val="16"/>
          <w:szCs w:val="16"/>
        </w:rPr>
        <w:t>．</w:t>
      </w:r>
      <w:r>
        <w:rPr>
          <w:rFonts w:ascii="宋体" w:hAnsi="宋体" w:eastAsia="宋体" w:cs="宋体"/>
          <w:spacing w:val="18"/>
          <w:sz w:val="16"/>
          <w:szCs w:val="16"/>
        </w:rPr>
        <w:t>高等教育质</w:t>
      </w:r>
      <w:r>
        <w:rPr>
          <w:rFonts w:ascii="宋体" w:hAnsi="宋体" w:eastAsia="宋体" w:cs="宋体"/>
          <w:spacing w:val="17"/>
          <w:sz w:val="16"/>
          <w:szCs w:val="16"/>
        </w:rPr>
        <w:t>量评估中的学生参</w:t>
      </w:r>
      <w:r>
        <w:rPr>
          <w:rFonts w:ascii="宋体" w:hAnsi="宋体" w:eastAsia="宋体" w:cs="宋体"/>
          <w:sz w:val="16"/>
          <w:szCs w:val="16"/>
        </w:rPr>
        <w:t xml:space="preserve"> </w:t>
      </w:r>
      <w:r>
        <w:rPr>
          <w:rFonts w:ascii="宋体" w:hAnsi="宋体" w:eastAsia="宋体" w:cs="宋体"/>
          <w:spacing w:val="5"/>
          <w:sz w:val="16"/>
          <w:szCs w:val="16"/>
        </w:rPr>
        <w:t>与</w:t>
      </w:r>
      <w:r>
        <w:rPr>
          <w:rFonts w:ascii="微软雅黑" w:hAnsi="微软雅黑" w:eastAsia="微软雅黑" w:cs="微软雅黑"/>
          <w:spacing w:val="5"/>
          <w:position w:val="1"/>
          <w:sz w:val="16"/>
          <w:szCs w:val="16"/>
        </w:rPr>
        <w:t>—</w:t>
      </w:r>
      <w:r>
        <w:rPr>
          <w:rFonts w:ascii="微软雅黑" w:hAnsi="微软雅黑" w:eastAsia="微软雅黑" w:cs="微软雅黑"/>
          <w:spacing w:val="-30"/>
          <w:w w:val="69"/>
          <w:position w:val="1"/>
          <w:sz w:val="16"/>
          <w:szCs w:val="16"/>
        </w:rPr>
        <w:t>——</w:t>
      </w:r>
      <w:r>
        <w:rPr>
          <w:rFonts w:ascii="微软雅黑" w:hAnsi="微软雅黑" w:eastAsia="微软雅黑" w:cs="微软雅黑"/>
          <w:spacing w:val="-2"/>
          <w:position w:val="1"/>
          <w:sz w:val="16"/>
          <w:szCs w:val="16"/>
        </w:rPr>
        <w:t xml:space="preserve"> </w:t>
      </w:r>
      <w:r>
        <w:rPr>
          <w:rFonts w:ascii="宋体" w:hAnsi="宋体" w:eastAsia="宋体" w:cs="宋体"/>
          <w:spacing w:val="5"/>
          <w:sz w:val="16"/>
          <w:szCs w:val="16"/>
        </w:rPr>
        <w:t>以北欧五</w:t>
      </w:r>
      <w:r>
        <w:rPr>
          <w:rFonts w:ascii="宋体" w:hAnsi="宋体" w:eastAsia="宋体" w:cs="宋体"/>
          <w:spacing w:val="-32"/>
          <w:sz w:val="16"/>
          <w:szCs w:val="16"/>
        </w:rPr>
        <w:t xml:space="preserve"> </w:t>
      </w:r>
      <w:r>
        <w:rPr>
          <w:rFonts w:ascii="宋体" w:hAnsi="宋体" w:eastAsia="宋体" w:cs="宋体"/>
          <w:spacing w:val="5"/>
          <w:sz w:val="16"/>
          <w:szCs w:val="16"/>
        </w:rPr>
        <w:t>国</w:t>
      </w:r>
      <w:r>
        <w:rPr>
          <w:rFonts w:ascii="宋体" w:hAnsi="宋体" w:eastAsia="宋体" w:cs="宋体"/>
          <w:spacing w:val="-46"/>
          <w:sz w:val="16"/>
          <w:szCs w:val="16"/>
        </w:rPr>
        <w:t xml:space="preserve"> </w:t>
      </w:r>
      <w:r>
        <w:rPr>
          <w:rFonts w:ascii="宋体" w:hAnsi="宋体" w:eastAsia="宋体" w:cs="宋体"/>
          <w:spacing w:val="5"/>
          <w:sz w:val="16"/>
          <w:szCs w:val="16"/>
        </w:rPr>
        <w:t>为例</w:t>
      </w:r>
      <w:r>
        <w:rPr>
          <w:rFonts w:ascii="宋体" w:hAnsi="宋体" w:eastAsia="宋体" w:cs="宋体"/>
          <w:spacing w:val="-41"/>
          <w:sz w:val="16"/>
          <w:szCs w:val="16"/>
        </w:rPr>
        <w:t xml:space="preserve"> </w:t>
      </w:r>
      <w:r>
        <w:rPr>
          <w:rFonts w:ascii="微软雅黑" w:hAnsi="微软雅黑" w:eastAsia="微软雅黑" w:cs="微软雅黑"/>
          <w:spacing w:val="5"/>
          <w:sz w:val="16"/>
          <w:szCs w:val="16"/>
        </w:rPr>
        <w:t>[J]</w:t>
      </w:r>
      <w:r>
        <w:rPr>
          <w:rFonts w:ascii="微软雅黑" w:hAnsi="微软雅黑" w:eastAsia="微软雅黑" w:cs="微软雅黑"/>
          <w:spacing w:val="-15"/>
          <w:sz w:val="16"/>
          <w:szCs w:val="16"/>
        </w:rPr>
        <w:t xml:space="preserve"> </w:t>
      </w:r>
      <w:r>
        <w:rPr>
          <w:rFonts w:ascii="微软雅黑" w:hAnsi="微软雅黑" w:eastAsia="微软雅黑" w:cs="微软雅黑"/>
          <w:spacing w:val="5"/>
          <w:position w:val="-1"/>
          <w:sz w:val="16"/>
          <w:szCs w:val="16"/>
        </w:rPr>
        <w:t xml:space="preserve">.  </w:t>
      </w:r>
      <w:r>
        <w:rPr>
          <w:rFonts w:ascii="宋体" w:hAnsi="宋体" w:eastAsia="宋体" w:cs="宋体"/>
          <w:spacing w:val="5"/>
          <w:sz w:val="16"/>
          <w:szCs w:val="16"/>
        </w:rPr>
        <w:t>教</w:t>
      </w:r>
      <w:r>
        <w:rPr>
          <w:rFonts w:ascii="宋体" w:hAnsi="宋体" w:eastAsia="宋体" w:cs="宋体"/>
          <w:spacing w:val="-42"/>
          <w:sz w:val="16"/>
          <w:szCs w:val="16"/>
        </w:rPr>
        <w:t xml:space="preserve"> </w:t>
      </w:r>
      <w:r>
        <w:rPr>
          <w:rFonts w:ascii="宋体" w:hAnsi="宋体" w:eastAsia="宋体" w:cs="宋体"/>
          <w:spacing w:val="5"/>
          <w:sz w:val="16"/>
          <w:szCs w:val="16"/>
        </w:rPr>
        <w:t>育研</w:t>
      </w:r>
      <w:r>
        <w:rPr>
          <w:rFonts w:ascii="宋体" w:hAnsi="宋体" w:eastAsia="宋体" w:cs="宋体"/>
          <w:spacing w:val="-41"/>
          <w:sz w:val="16"/>
          <w:szCs w:val="16"/>
        </w:rPr>
        <w:t xml:space="preserve"> </w:t>
      </w:r>
      <w:r>
        <w:rPr>
          <w:rFonts w:ascii="宋体" w:hAnsi="宋体" w:eastAsia="宋体" w:cs="宋体"/>
          <w:spacing w:val="5"/>
          <w:sz w:val="16"/>
          <w:szCs w:val="16"/>
        </w:rPr>
        <w:t>究</w:t>
      </w:r>
      <w:r>
        <w:rPr>
          <w:rFonts w:ascii="微软雅黑" w:hAnsi="微软雅黑" w:eastAsia="微软雅黑" w:cs="微软雅黑"/>
          <w:spacing w:val="5"/>
          <w:position w:val="1"/>
          <w:sz w:val="16"/>
          <w:szCs w:val="16"/>
        </w:rPr>
        <w:t>，</w:t>
      </w:r>
      <w:r>
        <w:rPr>
          <w:rFonts w:ascii="微软雅黑" w:hAnsi="微软雅黑" w:eastAsia="微软雅黑" w:cs="微软雅黑"/>
          <w:spacing w:val="5"/>
          <w:sz w:val="16"/>
          <w:szCs w:val="16"/>
        </w:rPr>
        <w:t>2007,(1)</w:t>
      </w:r>
      <w:r>
        <w:rPr>
          <w:rFonts w:ascii="微软雅黑" w:hAnsi="微软雅黑" w:eastAsia="微软雅黑" w:cs="微软雅黑"/>
          <w:spacing w:val="15"/>
          <w:w w:val="102"/>
          <w:sz w:val="16"/>
          <w:szCs w:val="16"/>
        </w:rPr>
        <w:t xml:space="preserve"> </w:t>
      </w:r>
      <w:r>
        <w:rPr>
          <w:rFonts w:ascii="微软雅黑" w:hAnsi="微软雅黑" w:eastAsia="微软雅黑" w:cs="微软雅黑"/>
          <w:spacing w:val="5"/>
          <w:sz w:val="16"/>
          <w:szCs w:val="16"/>
        </w:rPr>
        <w:t>:66-</w:t>
      </w:r>
      <w:r>
        <w:rPr>
          <w:rFonts w:ascii="微软雅黑" w:hAnsi="微软雅黑" w:eastAsia="微软雅黑" w:cs="微软雅黑"/>
          <w:sz w:val="16"/>
          <w:szCs w:val="16"/>
        </w:rPr>
        <w:t xml:space="preserve"> </w:t>
      </w:r>
      <w:r>
        <w:rPr>
          <w:rFonts w:ascii="微软雅黑" w:hAnsi="微软雅黑" w:eastAsia="微软雅黑" w:cs="微软雅黑"/>
          <w:spacing w:val="-9"/>
          <w:sz w:val="16"/>
          <w:szCs w:val="16"/>
        </w:rPr>
        <w:t>71.</w:t>
      </w:r>
    </w:p>
    <w:p>
      <w:pPr>
        <w:spacing w:before="73" w:line="207" w:lineRule="auto"/>
        <w:ind w:left="442" w:right="73" w:hanging="442"/>
        <w:rPr>
          <w:rFonts w:ascii="微软雅黑" w:hAnsi="微软雅黑" w:eastAsia="微软雅黑" w:cs="微软雅黑"/>
          <w:sz w:val="16"/>
          <w:szCs w:val="16"/>
        </w:rPr>
      </w:pPr>
      <w:r>
        <w:rPr>
          <w:rFonts w:ascii="微软雅黑" w:hAnsi="微软雅黑" w:eastAsia="微软雅黑" w:cs="微软雅黑"/>
          <w:spacing w:val="12"/>
          <w:sz w:val="16"/>
          <w:szCs w:val="16"/>
        </w:rPr>
        <w:t xml:space="preserve">[20]    </w:t>
      </w:r>
      <w:r>
        <w:rPr>
          <w:rFonts w:ascii="宋体" w:hAnsi="宋体" w:eastAsia="宋体" w:cs="宋体"/>
          <w:spacing w:val="12"/>
          <w:sz w:val="16"/>
          <w:szCs w:val="16"/>
        </w:rPr>
        <w:t>郭平</w:t>
      </w:r>
      <w:r>
        <w:rPr>
          <w:rFonts w:ascii="微软雅黑" w:hAnsi="微软雅黑" w:eastAsia="微软雅黑" w:cs="微软雅黑"/>
          <w:spacing w:val="12"/>
          <w:sz w:val="16"/>
          <w:szCs w:val="16"/>
        </w:rPr>
        <w:t>，</w:t>
      </w:r>
      <w:r>
        <w:rPr>
          <w:rFonts w:ascii="宋体" w:hAnsi="宋体" w:eastAsia="宋体" w:cs="宋体"/>
          <w:spacing w:val="12"/>
          <w:sz w:val="16"/>
          <w:szCs w:val="16"/>
        </w:rPr>
        <w:t>田联进</w:t>
      </w:r>
      <w:r>
        <w:rPr>
          <w:rFonts w:ascii="微软雅黑" w:hAnsi="微软雅黑" w:eastAsia="微软雅黑" w:cs="微软雅黑"/>
          <w:spacing w:val="12"/>
          <w:position w:val="-1"/>
          <w:sz w:val="16"/>
          <w:szCs w:val="16"/>
        </w:rPr>
        <w:t>．</w:t>
      </w:r>
      <w:r>
        <w:rPr>
          <w:rFonts w:ascii="宋体" w:hAnsi="宋体" w:eastAsia="宋体" w:cs="宋体"/>
          <w:spacing w:val="12"/>
          <w:sz w:val="16"/>
          <w:szCs w:val="16"/>
        </w:rPr>
        <w:t>我</w:t>
      </w:r>
      <w:r>
        <w:rPr>
          <w:rFonts w:ascii="宋体" w:hAnsi="宋体" w:eastAsia="宋体" w:cs="宋体"/>
          <w:spacing w:val="-34"/>
          <w:sz w:val="16"/>
          <w:szCs w:val="16"/>
        </w:rPr>
        <w:t xml:space="preserve"> </w:t>
      </w:r>
      <w:r>
        <w:rPr>
          <w:rFonts w:ascii="宋体" w:hAnsi="宋体" w:eastAsia="宋体" w:cs="宋体"/>
          <w:spacing w:val="12"/>
          <w:sz w:val="16"/>
          <w:szCs w:val="16"/>
        </w:rPr>
        <w:t>国高等教育质量保障体系现状与对</w:t>
      </w:r>
      <w:r>
        <w:rPr>
          <w:rFonts w:ascii="宋体" w:hAnsi="宋体" w:eastAsia="宋体" w:cs="宋体"/>
          <w:sz w:val="16"/>
          <w:szCs w:val="16"/>
        </w:rPr>
        <w:t xml:space="preserve"> </w:t>
      </w:r>
      <w:r>
        <w:rPr>
          <w:rFonts w:ascii="宋体" w:hAnsi="宋体" w:eastAsia="宋体" w:cs="宋体"/>
          <w:spacing w:val="4"/>
          <w:sz w:val="16"/>
          <w:szCs w:val="16"/>
        </w:rPr>
        <w:t>策建议</w:t>
      </w:r>
      <w:r>
        <w:rPr>
          <w:rFonts w:ascii="微软雅黑" w:hAnsi="微软雅黑" w:eastAsia="微软雅黑" w:cs="微软雅黑"/>
          <w:spacing w:val="4"/>
          <w:sz w:val="16"/>
          <w:szCs w:val="16"/>
        </w:rPr>
        <w:t>[J]</w:t>
      </w:r>
      <w:r>
        <w:rPr>
          <w:rFonts w:ascii="微软雅黑" w:hAnsi="微软雅黑" w:eastAsia="微软雅黑" w:cs="微软雅黑"/>
          <w:spacing w:val="3"/>
          <w:sz w:val="16"/>
          <w:szCs w:val="16"/>
        </w:rPr>
        <w:t xml:space="preserve"> </w:t>
      </w:r>
      <w:r>
        <w:rPr>
          <w:rFonts w:ascii="微软雅黑" w:hAnsi="微软雅黑" w:eastAsia="微软雅黑" w:cs="微软雅黑"/>
          <w:spacing w:val="4"/>
          <w:position w:val="-1"/>
          <w:sz w:val="16"/>
          <w:szCs w:val="16"/>
        </w:rPr>
        <w:t xml:space="preserve">.  </w:t>
      </w:r>
      <w:r>
        <w:rPr>
          <w:rFonts w:ascii="宋体" w:hAnsi="宋体" w:eastAsia="宋体" w:cs="宋体"/>
          <w:spacing w:val="4"/>
          <w:sz w:val="16"/>
          <w:szCs w:val="16"/>
        </w:rPr>
        <w:t>中</w:t>
      </w:r>
      <w:r>
        <w:rPr>
          <w:rFonts w:ascii="宋体" w:hAnsi="宋体" w:eastAsia="宋体" w:cs="宋体"/>
          <w:spacing w:val="-42"/>
          <w:sz w:val="16"/>
          <w:szCs w:val="16"/>
        </w:rPr>
        <w:t xml:space="preserve"> </w:t>
      </w:r>
      <w:r>
        <w:rPr>
          <w:rFonts w:ascii="宋体" w:hAnsi="宋体" w:eastAsia="宋体" w:cs="宋体"/>
          <w:spacing w:val="4"/>
          <w:sz w:val="16"/>
          <w:szCs w:val="16"/>
        </w:rPr>
        <w:t>国高教研究</w:t>
      </w:r>
      <w:r>
        <w:rPr>
          <w:rFonts w:ascii="微软雅黑" w:hAnsi="微软雅黑" w:eastAsia="微软雅黑" w:cs="微软雅黑"/>
          <w:spacing w:val="4"/>
          <w:position w:val="1"/>
          <w:sz w:val="16"/>
          <w:szCs w:val="16"/>
        </w:rPr>
        <w:t>，</w:t>
      </w:r>
      <w:r>
        <w:rPr>
          <w:rFonts w:ascii="微软雅黑" w:hAnsi="微软雅黑" w:eastAsia="微软雅黑" w:cs="微软雅黑"/>
          <w:spacing w:val="4"/>
          <w:sz w:val="16"/>
          <w:szCs w:val="16"/>
        </w:rPr>
        <w:t>2011,(12)</w:t>
      </w:r>
      <w:r>
        <w:rPr>
          <w:rFonts w:ascii="微软雅黑" w:hAnsi="微软雅黑" w:eastAsia="微软雅黑" w:cs="微软雅黑"/>
          <w:spacing w:val="15"/>
          <w:w w:val="101"/>
          <w:sz w:val="16"/>
          <w:szCs w:val="16"/>
        </w:rPr>
        <w:t xml:space="preserve"> </w:t>
      </w:r>
      <w:r>
        <w:rPr>
          <w:rFonts w:ascii="微软雅黑" w:hAnsi="微软雅黑" w:eastAsia="微软雅黑" w:cs="微软雅黑"/>
          <w:spacing w:val="4"/>
          <w:sz w:val="16"/>
          <w:szCs w:val="16"/>
        </w:rPr>
        <w:t>:25-28.</w:t>
      </w:r>
    </w:p>
    <w:p>
      <w:pPr>
        <w:spacing w:line="272" w:lineRule="auto"/>
        <w:rPr>
          <w:rFonts w:ascii="Arial"/>
          <w:sz w:val="21"/>
        </w:rPr>
      </w:pPr>
    </w:p>
    <w:p>
      <w:pPr>
        <w:spacing w:before="82" w:line="175" w:lineRule="auto"/>
        <w:jc w:val="right"/>
        <w:rPr>
          <w:rFonts w:ascii="微软雅黑" w:hAnsi="微软雅黑" w:eastAsia="微软雅黑" w:cs="微软雅黑"/>
          <w:sz w:val="19"/>
          <w:szCs w:val="19"/>
        </w:rPr>
      </w:pPr>
      <w:r>
        <w:rPr>
          <w:rFonts w:ascii="微软雅黑" w:hAnsi="微软雅黑" w:eastAsia="微软雅黑" w:cs="微软雅黑"/>
          <w:spacing w:val="6"/>
          <w:sz w:val="19"/>
          <w:szCs w:val="19"/>
        </w:rPr>
        <w:t>（</w:t>
      </w:r>
      <w:r>
        <w:rPr>
          <w:rFonts w:ascii="新宋体" w:hAnsi="新宋体" w:eastAsia="新宋体" w:cs="新宋体"/>
          <w:spacing w:val="6"/>
          <w:sz w:val="19"/>
          <w:szCs w:val="19"/>
        </w:rPr>
        <w:t>本文责任编辑</w:t>
      </w:r>
      <w:r>
        <w:rPr>
          <w:rFonts w:ascii="新宋体" w:hAnsi="新宋体" w:eastAsia="新宋体" w:cs="新宋体"/>
          <w:spacing w:val="26"/>
          <w:sz w:val="19"/>
          <w:szCs w:val="19"/>
        </w:rPr>
        <w:t xml:space="preserve">  </w:t>
      </w:r>
      <w:r>
        <w:rPr>
          <w:rFonts w:ascii="新宋体" w:hAnsi="新宋体" w:eastAsia="新宋体" w:cs="新宋体"/>
          <w:spacing w:val="6"/>
          <w:sz w:val="19"/>
          <w:szCs w:val="19"/>
        </w:rPr>
        <w:t>许</w:t>
      </w:r>
      <w:r>
        <w:rPr>
          <w:rFonts w:ascii="新宋体" w:hAnsi="新宋体" w:eastAsia="新宋体" w:cs="新宋体"/>
          <w:spacing w:val="22"/>
          <w:sz w:val="19"/>
          <w:szCs w:val="19"/>
        </w:rPr>
        <w:t xml:space="preserve">  </w:t>
      </w:r>
      <w:r>
        <w:rPr>
          <w:rFonts w:ascii="新宋体" w:hAnsi="新宋体" w:eastAsia="新宋体" w:cs="新宋体"/>
          <w:spacing w:val="6"/>
          <w:sz w:val="19"/>
          <w:szCs w:val="19"/>
        </w:rPr>
        <w:t>宏</w:t>
      </w:r>
      <w:r>
        <w:rPr>
          <w:rFonts w:ascii="微软雅黑" w:hAnsi="微软雅黑" w:eastAsia="微软雅黑" w:cs="微软雅黑"/>
          <w:spacing w:val="6"/>
          <w:sz w:val="19"/>
          <w:szCs w:val="19"/>
        </w:rPr>
        <w:t>）</w:t>
      </w:r>
    </w:p>
    <w:p>
      <w:pPr>
        <w:spacing w:line="175" w:lineRule="auto"/>
        <w:rPr>
          <w:rFonts w:ascii="微软雅黑" w:hAnsi="微软雅黑" w:eastAsia="微软雅黑" w:cs="微软雅黑"/>
          <w:sz w:val="19"/>
          <w:szCs w:val="19"/>
        </w:rPr>
        <w:sectPr>
          <w:type w:val="continuous"/>
          <w:pgSz w:w="11906" w:h="16840"/>
          <w:pgMar w:top="400" w:right="1205" w:bottom="547" w:left="407" w:header="0" w:footer="354" w:gutter="0"/>
          <w:cols w:equalWidth="0" w:num="2">
            <w:col w:w="5536" w:space="100"/>
            <w:col w:w="4657"/>
          </w:cols>
        </w:sectPr>
      </w:pPr>
    </w:p>
    <w:p>
      <w:pPr>
        <w:spacing w:line="258" w:lineRule="auto"/>
        <w:rPr>
          <w:rFonts w:ascii="Arial"/>
          <w:sz w:val="21"/>
        </w:rPr>
      </w:pPr>
    </w:p>
    <w:p>
      <w:pPr>
        <w:spacing w:line="258" w:lineRule="auto"/>
        <w:rPr>
          <w:rFonts w:ascii="Arial"/>
          <w:sz w:val="21"/>
        </w:rPr>
      </w:pPr>
    </w:p>
    <w:p>
      <w:pPr>
        <w:spacing w:before="1" w:line="38" w:lineRule="exact"/>
        <w:ind w:firstLine="593"/>
      </w:pPr>
      <w:r>
        <w:drawing>
          <wp:inline distT="0" distB="0" distL="0" distR="0">
            <wp:extent cx="6106795" cy="2349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32"/>
                    <a:stretch>
                      <a:fillRect/>
                    </a:stretch>
                  </pic:blipFill>
                  <pic:spPr>
                    <a:xfrm>
                      <a:off x="0" y="0"/>
                      <a:ext cx="6107173" cy="23636"/>
                    </a:xfrm>
                    <a:prstGeom prst="rect">
                      <a:avLst/>
                    </a:prstGeom>
                  </pic:spPr>
                </pic:pic>
              </a:graphicData>
            </a:graphic>
          </wp:inline>
        </w:drawing>
      </w:r>
    </w:p>
    <w:p>
      <w:pPr>
        <w:spacing w:before="24"/>
      </w:pPr>
    </w:p>
    <w:p>
      <w:pPr>
        <w:sectPr>
          <w:type w:val="continuous"/>
          <w:pgSz w:w="11906" w:h="16840"/>
          <w:pgMar w:top="400" w:right="1205" w:bottom="547" w:left="407" w:header="0" w:footer="354" w:gutter="0"/>
          <w:cols w:equalWidth="0" w:num="1">
            <w:col w:w="10293"/>
          </w:cols>
        </w:sectPr>
      </w:pPr>
    </w:p>
    <w:p>
      <w:pPr>
        <w:spacing w:before="37" w:line="214" w:lineRule="auto"/>
        <w:ind w:left="668"/>
        <w:rPr>
          <w:rFonts w:ascii="Arial" w:hAnsi="Arial" w:eastAsia="Arial" w:cs="Arial"/>
          <w:sz w:val="4"/>
          <w:szCs w:val="4"/>
        </w:rPr>
      </w:pPr>
      <w:r>
        <w:rPr>
          <w:rFonts w:ascii="Arial" w:hAnsi="Arial" w:eastAsia="Arial" w:cs="Arial"/>
          <w:spacing w:val="11"/>
          <w:sz w:val="4"/>
          <w:szCs w:val="4"/>
        </w:rPr>
        <w:t xml:space="preserve">·         </w:t>
      </w:r>
      <w:r>
        <w:rPr>
          <w:rFonts w:ascii="新宋体" w:hAnsi="新宋体" w:eastAsia="新宋体" w:cs="新宋体"/>
          <w:spacing w:val="11"/>
          <w:sz w:val="19"/>
          <w:szCs w:val="19"/>
        </w:rPr>
        <w:t xml:space="preserve">高等教育学科博士学位论文提要 </w:t>
      </w:r>
      <w:r>
        <w:rPr>
          <w:rFonts w:ascii="Arial" w:hAnsi="Arial" w:eastAsia="Arial" w:cs="Arial"/>
          <w:spacing w:val="11"/>
          <w:sz w:val="4"/>
          <w:szCs w:val="4"/>
        </w:rPr>
        <w:t>·</w:t>
      </w:r>
    </w:p>
    <w:p>
      <w:pPr>
        <w:spacing w:line="322" w:lineRule="auto"/>
        <w:rPr>
          <w:rFonts w:ascii="Arial"/>
          <w:sz w:val="21"/>
        </w:rPr>
      </w:pPr>
    </w:p>
    <w:p>
      <w:pPr>
        <w:spacing w:before="85" w:line="210" w:lineRule="auto"/>
        <w:ind w:left="1519"/>
        <w:rPr>
          <w:rFonts w:ascii="黑体" w:hAnsi="黑体" w:eastAsia="黑体" w:cs="黑体"/>
          <w:sz w:val="26"/>
          <w:szCs w:val="26"/>
        </w:rPr>
      </w:pPr>
      <w:r>
        <w:rPr>
          <w:rFonts w:ascii="黑体" w:hAnsi="黑体" w:eastAsia="黑体" w:cs="黑体"/>
          <w:spacing w:val="15"/>
          <w:sz w:val="26"/>
          <w:szCs w:val="26"/>
        </w:rPr>
        <w:t>高校学生社团现状研究</w:t>
      </w:r>
    </w:p>
    <w:p>
      <w:pPr>
        <w:spacing w:before="231"/>
      </w:pPr>
    </w:p>
    <w:tbl>
      <w:tblPr>
        <w:tblStyle w:val="5"/>
        <w:tblW w:w="4439" w:type="dxa"/>
        <w:tblInd w:w="59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46"/>
        <w:gridCol w:w="219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0" w:hRule="atLeast"/>
        </w:trPr>
        <w:tc>
          <w:tcPr>
            <w:tcW w:w="2246" w:type="dxa"/>
            <w:vAlign w:val="top"/>
          </w:tcPr>
          <w:p>
            <w:pPr>
              <w:spacing w:line="213" w:lineRule="auto"/>
              <w:ind w:left="3"/>
              <w:rPr>
                <w:rFonts w:ascii="黑体" w:hAnsi="黑体" w:eastAsia="黑体" w:cs="黑体"/>
                <w:sz w:val="16"/>
                <w:szCs w:val="16"/>
              </w:rPr>
            </w:pPr>
            <w:r>
              <w:rPr>
                <w:rFonts w:ascii="黑体" w:hAnsi="黑体" w:eastAsia="黑体" w:cs="黑体"/>
                <w:spacing w:val="16"/>
                <w:sz w:val="16"/>
                <w:szCs w:val="16"/>
              </w:rPr>
              <w:t>苏州大学博士生</w:t>
            </w:r>
            <w:r>
              <w:rPr>
                <w:rFonts w:ascii="黑体" w:hAnsi="黑体" w:eastAsia="黑体" w:cs="黑体"/>
                <w:spacing w:val="25"/>
                <w:sz w:val="16"/>
                <w:szCs w:val="16"/>
              </w:rPr>
              <w:t xml:space="preserve">  </w:t>
            </w:r>
            <w:r>
              <w:rPr>
                <w:rFonts w:ascii="黑体" w:hAnsi="黑体" w:eastAsia="黑体" w:cs="黑体"/>
                <w:spacing w:val="16"/>
                <w:sz w:val="16"/>
                <w:szCs w:val="16"/>
              </w:rPr>
              <w:t>李朝阳</w:t>
            </w:r>
          </w:p>
        </w:tc>
        <w:tc>
          <w:tcPr>
            <w:tcW w:w="2193" w:type="dxa"/>
            <w:vAlign w:val="top"/>
          </w:tcPr>
          <w:p>
            <w:pPr>
              <w:spacing w:line="213" w:lineRule="auto"/>
              <w:ind w:left="285"/>
              <w:rPr>
                <w:rFonts w:ascii="黑体" w:hAnsi="黑体" w:eastAsia="黑体" w:cs="黑体"/>
                <w:sz w:val="16"/>
                <w:szCs w:val="16"/>
              </w:rPr>
            </w:pPr>
            <w:r>
              <w:rPr>
                <w:rFonts w:ascii="黑体" w:hAnsi="黑体" w:eastAsia="黑体" w:cs="黑体"/>
                <w:spacing w:val="11"/>
                <w:sz w:val="16"/>
                <w:szCs w:val="16"/>
              </w:rPr>
              <w:t>导师</w:t>
            </w:r>
            <w:r>
              <w:rPr>
                <w:rFonts w:ascii="黑体" w:hAnsi="黑体" w:eastAsia="黑体" w:cs="黑体"/>
                <w:spacing w:val="23"/>
                <w:sz w:val="16"/>
                <w:szCs w:val="16"/>
              </w:rPr>
              <w:t xml:space="preserve">  </w:t>
            </w:r>
            <w:r>
              <w:rPr>
                <w:rFonts w:ascii="黑体" w:hAnsi="黑体" w:eastAsia="黑体" w:cs="黑体"/>
                <w:spacing w:val="11"/>
                <w:sz w:val="16"/>
                <w:szCs w:val="16"/>
              </w:rPr>
              <w:t>许庆豫</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1" w:hRule="atLeast"/>
        </w:trPr>
        <w:tc>
          <w:tcPr>
            <w:tcW w:w="2246" w:type="dxa"/>
            <w:vAlign w:val="top"/>
          </w:tcPr>
          <w:p>
            <w:pPr>
              <w:spacing w:before="65" w:line="168" w:lineRule="auto"/>
              <w:rPr>
                <w:rFonts w:ascii="黑体" w:hAnsi="黑体" w:eastAsia="黑体" w:cs="黑体"/>
                <w:sz w:val="16"/>
                <w:szCs w:val="16"/>
              </w:rPr>
            </w:pPr>
            <w:r>
              <w:rPr>
                <w:rFonts w:ascii="黑体" w:hAnsi="黑体" w:eastAsia="黑体" w:cs="黑体"/>
                <w:spacing w:val="12"/>
                <w:sz w:val="16"/>
                <w:szCs w:val="16"/>
              </w:rPr>
              <w:t>研究方</w:t>
            </w:r>
            <w:r>
              <w:rPr>
                <w:rFonts w:ascii="黑体" w:hAnsi="黑体" w:eastAsia="黑体" w:cs="黑体"/>
                <w:spacing w:val="-45"/>
                <w:sz w:val="16"/>
                <w:szCs w:val="16"/>
              </w:rPr>
              <w:t xml:space="preserve"> </w:t>
            </w:r>
            <w:r>
              <w:rPr>
                <w:rFonts w:ascii="黑体" w:hAnsi="黑体" w:eastAsia="黑体" w:cs="黑体"/>
                <w:spacing w:val="12"/>
                <w:sz w:val="16"/>
                <w:szCs w:val="16"/>
              </w:rPr>
              <w:t>向</w:t>
            </w:r>
            <w:r>
              <w:rPr>
                <w:rFonts w:ascii="黑体" w:hAnsi="黑体" w:eastAsia="黑体" w:cs="黑体"/>
                <w:spacing w:val="23"/>
                <w:sz w:val="16"/>
                <w:szCs w:val="16"/>
              </w:rPr>
              <w:t xml:space="preserve">  </w:t>
            </w:r>
            <w:r>
              <w:rPr>
                <w:rFonts w:ascii="黑体" w:hAnsi="黑体" w:eastAsia="黑体" w:cs="黑体"/>
                <w:spacing w:val="12"/>
                <w:sz w:val="16"/>
                <w:szCs w:val="16"/>
              </w:rPr>
              <w:t>高等教育学</w:t>
            </w:r>
          </w:p>
        </w:tc>
        <w:tc>
          <w:tcPr>
            <w:tcW w:w="2193" w:type="dxa"/>
            <w:vAlign w:val="top"/>
          </w:tcPr>
          <w:p>
            <w:pPr>
              <w:pStyle w:val="6"/>
              <w:spacing w:before="65" w:line="145" w:lineRule="exact"/>
              <w:jc w:val="right"/>
              <w:rPr>
                <w:rFonts w:ascii="黑体" w:hAnsi="黑体" w:eastAsia="黑体" w:cs="黑体"/>
                <w:sz w:val="16"/>
                <w:szCs w:val="16"/>
              </w:rPr>
            </w:pPr>
            <w:r>
              <w:rPr>
                <w:rFonts w:ascii="黑体" w:hAnsi="黑体" w:eastAsia="黑体" w:cs="黑体"/>
                <w:spacing w:val="9"/>
                <w:position w:val="-1"/>
                <w:sz w:val="16"/>
                <w:szCs w:val="16"/>
              </w:rPr>
              <w:t>答辩时间</w:t>
            </w:r>
            <w:r>
              <w:rPr>
                <w:rFonts w:ascii="黑体" w:hAnsi="黑体" w:eastAsia="黑体" w:cs="黑体"/>
                <w:spacing w:val="25"/>
                <w:position w:val="-1"/>
                <w:sz w:val="16"/>
                <w:szCs w:val="16"/>
              </w:rPr>
              <w:t xml:space="preserve">  </w:t>
            </w:r>
            <w:r>
              <w:rPr>
                <w:spacing w:val="9"/>
                <w:position w:val="-1"/>
                <w:sz w:val="16"/>
                <w:szCs w:val="16"/>
              </w:rPr>
              <w:t>2013</w:t>
            </w:r>
            <w:r>
              <w:rPr>
                <w:rFonts w:ascii="黑体" w:hAnsi="黑体" w:eastAsia="黑体" w:cs="黑体"/>
                <w:spacing w:val="9"/>
                <w:position w:val="-1"/>
                <w:sz w:val="16"/>
                <w:szCs w:val="16"/>
              </w:rPr>
              <w:t>年</w:t>
            </w:r>
            <w:r>
              <w:rPr>
                <w:rFonts w:ascii="黑体" w:hAnsi="黑体" w:eastAsia="黑体" w:cs="黑体"/>
                <w:spacing w:val="-11"/>
                <w:position w:val="-1"/>
                <w:sz w:val="16"/>
                <w:szCs w:val="16"/>
              </w:rPr>
              <w:t xml:space="preserve"> </w:t>
            </w:r>
            <w:r>
              <w:rPr>
                <w:spacing w:val="9"/>
                <w:position w:val="-1"/>
                <w:sz w:val="16"/>
                <w:szCs w:val="16"/>
              </w:rPr>
              <w:t>10</w:t>
            </w:r>
            <w:r>
              <w:rPr>
                <w:rFonts w:ascii="黑体" w:hAnsi="黑体" w:eastAsia="黑体" w:cs="黑体"/>
                <w:spacing w:val="9"/>
                <w:position w:val="-1"/>
                <w:sz w:val="16"/>
                <w:szCs w:val="16"/>
              </w:rPr>
              <w:t>月</w:t>
            </w:r>
          </w:p>
        </w:tc>
      </w:tr>
    </w:tbl>
    <w:p>
      <w:pPr>
        <w:spacing w:line="341" w:lineRule="auto"/>
        <w:rPr>
          <w:rFonts w:ascii="Arial"/>
          <w:sz w:val="21"/>
        </w:rPr>
      </w:pPr>
    </w:p>
    <w:p>
      <w:pPr>
        <w:spacing w:before="69" w:line="243" w:lineRule="auto"/>
        <w:ind w:left="600" w:right="273" w:firstLine="365"/>
        <w:jc w:val="both"/>
        <w:rPr>
          <w:rFonts w:ascii="微软雅黑" w:hAnsi="微软雅黑" w:eastAsia="微软雅黑" w:cs="微软雅黑"/>
          <w:sz w:val="16"/>
          <w:szCs w:val="16"/>
        </w:rPr>
      </w:pPr>
      <w:r>
        <w:rPr>
          <w:rFonts w:ascii="宋体" w:hAnsi="宋体" w:eastAsia="宋体" w:cs="宋体"/>
          <w:spacing w:val="14"/>
          <w:sz w:val="16"/>
          <w:szCs w:val="16"/>
        </w:rPr>
        <w:t>高校学生社</w:t>
      </w:r>
      <w:r>
        <w:rPr>
          <w:rFonts w:ascii="宋体" w:hAnsi="宋体" w:eastAsia="宋体" w:cs="宋体"/>
          <w:spacing w:val="-22"/>
          <w:sz w:val="16"/>
          <w:szCs w:val="16"/>
        </w:rPr>
        <w:t xml:space="preserve"> </w:t>
      </w:r>
      <w:r>
        <w:rPr>
          <w:rFonts w:ascii="宋体" w:hAnsi="宋体" w:eastAsia="宋体" w:cs="宋体"/>
          <w:spacing w:val="14"/>
          <w:sz w:val="16"/>
          <w:szCs w:val="16"/>
        </w:rPr>
        <w:t>团</w:t>
      </w:r>
      <w:r>
        <w:rPr>
          <w:rFonts w:ascii="宋体" w:hAnsi="宋体" w:eastAsia="宋体" w:cs="宋体"/>
          <w:spacing w:val="-46"/>
          <w:sz w:val="16"/>
          <w:szCs w:val="16"/>
        </w:rPr>
        <w:t xml:space="preserve"> </w:t>
      </w:r>
      <w:r>
        <w:rPr>
          <w:rFonts w:ascii="宋体" w:hAnsi="宋体" w:eastAsia="宋体" w:cs="宋体"/>
          <w:spacing w:val="14"/>
          <w:sz w:val="16"/>
          <w:szCs w:val="16"/>
        </w:rPr>
        <w:t>是</w:t>
      </w:r>
      <w:r>
        <w:rPr>
          <w:rFonts w:ascii="宋体" w:hAnsi="宋体" w:eastAsia="宋体" w:cs="宋体"/>
          <w:spacing w:val="-30"/>
          <w:sz w:val="16"/>
          <w:szCs w:val="16"/>
        </w:rPr>
        <w:t xml:space="preserve"> </w:t>
      </w:r>
      <w:r>
        <w:rPr>
          <w:rFonts w:ascii="宋体" w:hAnsi="宋体" w:eastAsia="宋体" w:cs="宋体"/>
          <w:spacing w:val="14"/>
          <w:sz w:val="16"/>
          <w:szCs w:val="16"/>
        </w:rPr>
        <w:t>以高校学生共同的生活理念</w:t>
      </w:r>
      <w:r>
        <w:rPr>
          <w:rFonts w:ascii="微软雅黑" w:hAnsi="微软雅黑" w:eastAsia="微软雅黑" w:cs="微软雅黑"/>
          <w:spacing w:val="14"/>
          <w:sz w:val="16"/>
          <w:szCs w:val="16"/>
        </w:rPr>
        <w:t>、</w:t>
      </w:r>
      <w:r>
        <w:rPr>
          <w:rFonts w:ascii="宋体" w:hAnsi="宋体" w:eastAsia="宋体" w:cs="宋体"/>
          <w:spacing w:val="14"/>
          <w:sz w:val="16"/>
          <w:szCs w:val="16"/>
        </w:rPr>
        <w:t>兴</w:t>
      </w:r>
      <w:r>
        <w:rPr>
          <w:rFonts w:ascii="宋体" w:hAnsi="宋体" w:eastAsia="宋体" w:cs="宋体"/>
          <w:spacing w:val="-47"/>
          <w:sz w:val="16"/>
          <w:szCs w:val="16"/>
        </w:rPr>
        <w:t xml:space="preserve"> </w:t>
      </w:r>
      <w:r>
        <w:rPr>
          <w:rFonts w:ascii="宋体" w:hAnsi="宋体" w:eastAsia="宋体" w:cs="宋体"/>
          <w:spacing w:val="14"/>
          <w:sz w:val="16"/>
          <w:szCs w:val="16"/>
        </w:rPr>
        <w:t>趣</w:t>
      </w:r>
      <w:r>
        <w:rPr>
          <w:rFonts w:ascii="宋体" w:hAnsi="宋体" w:eastAsia="宋体" w:cs="宋体"/>
          <w:spacing w:val="-42"/>
          <w:sz w:val="16"/>
          <w:szCs w:val="16"/>
        </w:rPr>
        <w:t xml:space="preserve"> </w:t>
      </w:r>
      <w:r>
        <w:rPr>
          <w:rFonts w:ascii="宋体" w:hAnsi="宋体" w:eastAsia="宋体" w:cs="宋体"/>
          <w:spacing w:val="14"/>
          <w:sz w:val="16"/>
          <w:szCs w:val="16"/>
        </w:rPr>
        <w:t xml:space="preserve">爱 </w:t>
      </w:r>
      <w:r>
        <w:rPr>
          <w:rFonts w:ascii="宋体" w:hAnsi="宋体" w:eastAsia="宋体" w:cs="宋体"/>
          <w:spacing w:val="15"/>
          <w:sz w:val="16"/>
          <w:szCs w:val="16"/>
        </w:rPr>
        <w:t>好</w:t>
      </w:r>
      <w:r>
        <w:rPr>
          <w:rFonts w:ascii="微软雅黑" w:hAnsi="微软雅黑" w:eastAsia="微软雅黑" w:cs="微软雅黑"/>
          <w:spacing w:val="15"/>
          <w:sz w:val="16"/>
          <w:szCs w:val="16"/>
        </w:rPr>
        <w:t>、</w:t>
      </w:r>
      <w:r>
        <w:rPr>
          <w:rFonts w:ascii="宋体" w:hAnsi="宋体" w:eastAsia="宋体" w:cs="宋体"/>
          <w:spacing w:val="15"/>
          <w:sz w:val="16"/>
          <w:szCs w:val="16"/>
        </w:rPr>
        <w:t>专业特长</w:t>
      </w:r>
      <w:r>
        <w:rPr>
          <w:rFonts w:ascii="微软雅黑" w:hAnsi="微软雅黑" w:eastAsia="微软雅黑" w:cs="微软雅黑"/>
          <w:spacing w:val="15"/>
          <w:sz w:val="16"/>
          <w:szCs w:val="16"/>
        </w:rPr>
        <w:t>、</w:t>
      </w:r>
      <w:r>
        <w:rPr>
          <w:rFonts w:ascii="宋体" w:hAnsi="宋体" w:eastAsia="宋体" w:cs="宋体"/>
          <w:spacing w:val="15"/>
          <w:sz w:val="16"/>
          <w:szCs w:val="16"/>
        </w:rPr>
        <w:t>学术取</w:t>
      </w:r>
      <w:r>
        <w:rPr>
          <w:rFonts w:ascii="宋体" w:hAnsi="宋体" w:eastAsia="宋体" w:cs="宋体"/>
          <w:spacing w:val="-39"/>
          <w:sz w:val="16"/>
          <w:szCs w:val="16"/>
        </w:rPr>
        <w:t xml:space="preserve"> </w:t>
      </w:r>
      <w:r>
        <w:rPr>
          <w:rFonts w:ascii="宋体" w:hAnsi="宋体" w:eastAsia="宋体" w:cs="宋体"/>
          <w:spacing w:val="15"/>
          <w:sz w:val="16"/>
          <w:szCs w:val="16"/>
        </w:rPr>
        <w:t>向或其他方面的共同追求而</w:t>
      </w:r>
      <w:r>
        <w:rPr>
          <w:rFonts w:ascii="宋体" w:hAnsi="宋体" w:eastAsia="宋体" w:cs="宋体"/>
          <w:spacing w:val="14"/>
          <w:sz w:val="16"/>
          <w:szCs w:val="16"/>
        </w:rPr>
        <w:t>自发建立</w:t>
      </w:r>
      <w:r>
        <w:rPr>
          <w:rFonts w:ascii="宋体" w:hAnsi="宋体" w:eastAsia="宋体" w:cs="宋体"/>
          <w:sz w:val="16"/>
          <w:szCs w:val="16"/>
        </w:rPr>
        <w:t xml:space="preserve">  </w:t>
      </w:r>
      <w:r>
        <w:rPr>
          <w:rFonts w:ascii="宋体" w:hAnsi="宋体" w:eastAsia="宋体" w:cs="宋体"/>
          <w:spacing w:val="13"/>
          <w:sz w:val="16"/>
          <w:szCs w:val="16"/>
        </w:rPr>
        <w:t>起来</w:t>
      </w:r>
      <w:r>
        <w:rPr>
          <w:rFonts w:ascii="宋体" w:hAnsi="宋体" w:eastAsia="宋体" w:cs="宋体"/>
          <w:spacing w:val="-28"/>
          <w:sz w:val="16"/>
          <w:szCs w:val="16"/>
        </w:rPr>
        <w:t xml:space="preserve"> </w:t>
      </w:r>
      <w:r>
        <w:rPr>
          <w:rFonts w:ascii="宋体" w:hAnsi="宋体" w:eastAsia="宋体" w:cs="宋体"/>
          <w:spacing w:val="13"/>
          <w:sz w:val="16"/>
          <w:szCs w:val="16"/>
        </w:rPr>
        <w:t>的</w:t>
      </w:r>
      <w:r>
        <w:rPr>
          <w:rFonts w:ascii="微软雅黑" w:hAnsi="微软雅黑" w:eastAsia="微软雅黑" w:cs="微软雅黑"/>
          <w:spacing w:val="13"/>
          <w:sz w:val="16"/>
          <w:szCs w:val="16"/>
        </w:rPr>
        <w:t>，</w:t>
      </w:r>
      <w:r>
        <w:rPr>
          <w:rFonts w:ascii="宋体" w:hAnsi="宋体" w:eastAsia="宋体" w:cs="宋体"/>
          <w:spacing w:val="13"/>
          <w:sz w:val="16"/>
          <w:szCs w:val="16"/>
        </w:rPr>
        <w:t>是具有</w:t>
      </w:r>
      <w:r>
        <w:rPr>
          <w:rFonts w:ascii="宋体" w:hAnsi="宋体" w:eastAsia="宋体" w:cs="宋体"/>
          <w:spacing w:val="-43"/>
          <w:sz w:val="16"/>
          <w:szCs w:val="16"/>
        </w:rPr>
        <w:t xml:space="preserve"> </w:t>
      </w:r>
      <w:r>
        <w:rPr>
          <w:rFonts w:ascii="宋体" w:hAnsi="宋体" w:eastAsia="宋体" w:cs="宋体"/>
          <w:spacing w:val="13"/>
          <w:sz w:val="16"/>
          <w:szCs w:val="16"/>
        </w:rPr>
        <w:t>明确发展目标和规范</w:t>
      </w:r>
      <w:r>
        <w:rPr>
          <w:rFonts w:ascii="微软雅黑" w:hAnsi="微软雅黑" w:eastAsia="微软雅黑" w:cs="微软雅黑"/>
          <w:spacing w:val="13"/>
          <w:sz w:val="16"/>
          <w:szCs w:val="16"/>
        </w:rPr>
        <w:t>、</w:t>
      </w:r>
      <w:r>
        <w:rPr>
          <w:rFonts w:ascii="宋体" w:hAnsi="宋体" w:eastAsia="宋体" w:cs="宋体"/>
          <w:spacing w:val="13"/>
          <w:sz w:val="16"/>
          <w:szCs w:val="16"/>
        </w:rPr>
        <w:t>符合学校社团成立条</w:t>
      </w:r>
      <w:r>
        <w:rPr>
          <w:rFonts w:ascii="宋体" w:hAnsi="宋体" w:eastAsia="宋体" w:cs="宋体"/>
          <w:sz w:val="16"/>
          <w:szCs w:val="16"/>
        </w:rPr>
        <w:t xml:space="preserve">  </w:t>
      </w:r>
      <w:r>
        <w:rPr>
          <w:rFonts w:ascii="宋体" w:hAnsi="宋体" w:eastAsia="宋体" w:cs="宋体"/>
          <w:spacing w:val="20"/>
          <w:sz w:val="16"/>
          <w:szCs w:val="16"/>
        </w:rPr>
        <w:t>例并相对独立地开展活动的非正式群体</w:t>
      </w:r>
      <w:r>
        <w:rPr>
          <w:rFonts w:ascii="宋体" w:hAnsi="宋体" w:eastAsia="宋体" w:cs="宋体"/>
          <w:spacing w:val="-30"/>
          <w:sz w:val="16"/>
          <w:szCs w:val="16"/>
        </w:rPr>
        <w:t xml:space="preserve"> </w:t>
      </w:r>
      <w:r>
        <w:rPr>
          <w:rFonts w:ascii="微软雅黑" w:hAnsi="微软雅黑" w:eastAsia="微软雅黑" w:cs="微软雅黑"/>
          <w:spacing w:val="20"/>
          <w:sz w:val="16"/>
          <w:szCs w:val="16"/>
        </w:rPr>
        <w:t>。</w:t>
      </w:r>
      <w:r>
        <w:rPr>
          <w:rFonts w:ascii="微软雅黑" w:hAnsi="微软雅黑" w:eastAsia="微软雅黑" w:cs="微软雅黑"/>
          <w:spacing w:val="-23"/>
          <w:sz w:val="16"/>
          <w:szCs w:val="16"/>
        </w:rPr>
        <w:t xml:space="preserve"> </w:t>
      </w:r>
      <w:r>
        <w:rPr>
          <w:rFonts w:ascii="宋体" w:hAnsi="宋体" w:eastAsia="宋体" w:cs="宋体"/>
          <w:spacing w:val="20"/>
          <w:sz w:val="16"/>
          <w:szCs w:val="16"/>
        </w:rPr>
        <w:t xml:space="preserve">高校学生社团关 </w:t>
      </w:r>
      <w:r>
        <w:rPr>
          <w:rFonts w:ascii="宋体" w:hAnsi="宋体" w:eastAsia="宋体" w:cs="宋体"/>
          <w:spacing w:val="16"/>
          <w:sz w:val="16"/>
          <w:szCs w:val="16"/>
        </w:rPr>
        <w:t>系到高校学生的成才与发展</w:t>
      </w:r>
      <w:r>
        <w:rPr>
          <w:rFonts w:ascii="微软雅黑" w:hAnsi="微软雅黑" w:eastAsia="微软雅黑" w:cs="微软雅黑"/>
          <w:spacing w:val="16"/>
          <w:sz w:val="16"/>
          <w:szCs w:val="16"/>
        </w:rPr>
        <w:t>，</w:t>
      </w:r>
      <w:r>
        <w:rPr>
          <w:rFonts w:ascii="宋体" w:hAnsi="宋体" w:eastAsia="宋体" w:cs="宋体"/>
          <w:spacing w:val="16"/>
          <w:sz w:val="16"/>
          <w:szCs w:val="16"/>
        </w:rPr>
        <w:t>是</w:t>
      </w:r>
      <w:r>
        <w:rPr>
          <w:rFonts w:ascii="宋体" w:hAnsi="宋体" w:eastAsia="宋体" w:cs="宋体"/>
          <w:spacing w:val="-35"/>
          <w:sz w:val="16"/>
          <w:szCs w:val="16"/>
        </w:rPr>
        <w:t xml:space="preserve"> </w:t>
      </w:r>
      <w:r>
        <w:rPr>
          <w:rFonts w:ascii="宋体" w:hAnsi="宋体" w:eastAsia="宋体" w:cs="宋体"/>
          <w:spacing w:val="16"/>
          <w:sz w:val="16"/>
          <w:szCs w:val="16"/>
        </w:rPr>
        <w:t>高等教</w:t>
      </w:r>
      <w:r>
        <w:rPr>
          <w:rFonts w:ascii="宋体" w:hAnsi="宋体" w:eastAsia="宋体" w:cs="宋体"/>
          <w:spacing w:val="-46"/>
          <w:sz w:val="16"/>
          <w:szCs w:val="16"/>
        </w:rPr>
        <w:t xml:space="preserve"> </w:t>
      </w:r>
      <w:r>
        <w:rPr>
          <w:rFonts w:ascii="宋体" w:hAnsi="宋体" w:eastAsia="宋体" w:cs="宋体"/>
          <w:spacing w:val="16"/>
          <w:sz w:val="16"/>
          <w:szCs w:val="16"/>
        </w:rPr>
        <w:t>育研究的重要命题</w:t>
      </w:r>
      <w:r>
        <w:rPr>
          <w:rFonts w:ascii="微软雅黑" w:hAnsi="微软雅黑" w:eastAsia="微软雅黑" w:cs="微软雅黑"/>
          <w:spacing w:val="16"/>
          <w:sz w:val="16"/>
          <w:szCs w:val="16"/>
        </w:rPr>
        <w:t>，</w:t>
      </w:r>
      <w:r>
        <w:rPr>
          <w:rFonts w:ascii="微软雅黑" w:hAnsi="微软雅黑" w:eastAsia="微软雅黑" w:cs="微软雅黑"/>
          <w:sz w:val="16"/>
          <w:szCs w:val="16"/>
        </w:rPr>
        <w:t xml:space="preserve"> </w:t>
      </w:r>
      <w:r>
        <w:rPr>
          <w:rFonts w:ascii="宋体" w:hAnsi="宋体" w:eastAsia="宋体" w:cs="宋体"/>
          <w:spacing w:val="17"/>
          <w:sz w:val="16"/>
          <w:szCs w:val="16"/>
        </w:rPr>
        <w:t>有必要从多个方面了解高校学生社团的现状</w:t>
      </w:r>
      <w:r>
        <w:rPr>
          <w:rFonts w:ascii="宋体" w:hAnsi="宋体" w:eastAsia="宋体" w:cs="宋体"/>
          <w:spacing w:val="-27"/>
          <w:sz w:val="16"/>
          <w:szCs w:val="16"/>
        </w:rPr>
        <w:t xml:space="preserve"> </w:t>
      </w:r>
      <w:r>
        <w:rPr>
          <w:rFonts w:ascii="微软雅黑" w:hAnsi="微软雅黑" w:eastAsia="微软雅黑" w:cs="微软雅黑"/>
          <w:spacing w:val="17"/>
          <w:sz w:val="16"/>
          <w:szCs w:val="16"/>
        </w:rPr>
        <w:t>。</w:t>
      </w:r>
      <w:r>
        <w:rPr>
          <w:rFonts w:ascii="宋体" w:hAnsi="宋体" w:eastAsia="宋体" w:cs="宋体"/>
          <w:spacing w:val="17"/>
          <w:sz w:val="16"/>
          <w:szCs w:val="16"/>
        </w:rPr>
        <w:t>研究从个体</w:t>
      </w:r>
      <w:r>
        <w:rPr>
          <w:rFonts w:ascii="微软雅黑" w:hAnsi="微软雅黑" w:eastAsia="微软雅黑" w:cs="微软雅黑"/>
          <w:spacing w:val="17"/>
          <w:sz w:val="16"/>
          <w:szCs w:val="16"/>
        </w:rPr>
        <w:t>、</w:t>
      </w:r>
      <w:r>
        <w:rPr>
          <w:rFonts w:ascii="微软雅黑" w:hAnsi="微软雅黑" w:eastAsia="微软雅黑" w:cs="微软雅黑"/>
          <w:sz w:val="16"/>
          <w:szCs w:val="16"/>
        </w:rPr>
        <w:t xml:space="preserve"> </w:t>
      </w:r>
      <w:r>
        <w:rPr>
          <w:rFonts w:ascii="宋体" w:hAnsi="宋体" w:eastAsia="宋体" w:cs="宋体"/>
          <w:spacing w:val="14"/>
          <w:sz w:val="16"/>
          <w:szCs w:val="16"/>
        </w:rPr>
        <w:t>群体</w:t>
      </w:r>
      <w:r>
        <w:rPr>
          <w:rFonts w:ascii="微软雅黑" w:hAnsi="微软雅黑" w:eastAsia="微软雅黑" w:cs="微软雅黑"/>
          <w:spacing w:val="14"/>
          <w:sz w:val="16"/>
          <w:szCs w:val="16"/>
        </w:rPr>
        <w:t>、</w:t>
      </w:r>
      <w:r>
        <w:rPr>
          <w:rFonts w:ascii="宋体" w:hAnsi="宋体" w:eastAsia="宋体" w:cs="宋体"/>
          <w:spacing w:val="14"/>
          <w:sz w:val="16"/>
          <w:szCs w:val="16"/>
        </w:rPr>
        <w:t>组织三个层面讨论了高校学生社团</w:t>
      </w:r>
      <w:r>
        <w:rPr>
          <w:rFonts w:ascii="宋体" w:hAnsi="宋体" w:eastAsia="宋体" w:cs="宋体"/>
          <w:spacing w:val="-23"/>
          <w:sz w:val="16"/>
          <w:szCs w:val="16"/>
        </w:rPr>
        <w:t xml:space="preserve"> </w:t>
      </w:r>
      <w:r>
        <w:rPr>
          <w:rFonts w:ascii="宋体" w:hAnsi="宋体" w:eastAsia="宋体" w:cs="宋体"/>
          <w:spacing w:val="14"/>
          <w:sz w:val="16"/>
          <w:szCs w:val="16"/>
        </w:rPr>
        <w:t>的理论基础</w:t>
      </w:r>
      <w:r>
        <w:rPr>
          <w:rFonts w:ascii="微软雅黑" w:hAnsi="微软雅黑" w:eastAsia="微软雅黑" w:cs="微软雅黑"/>
          <w:spacing w:val="14"/>
          <w:sz w:val="16"/>
          <w:szCs w:val="16"/>
        </w:rPr>
        <w:t>，</w:t>
      </w:r>
      <w:r>
        <w:rPr>
          <w:rFonts w:ascii="宋体" w:hAnsi="宋体" w:eastAsia="宋体" w:cs="宋体"/>
          <w:spacing w:val="14"/>
          <w:sz w:val="16"/>
          <w:szCs w:val="16"/>
        </w:rPr>
        <w:t xml:space="preserve">重视 </w:t>
      </w:r>
      <w:r>
        <w:rPr>
          <w:rFonts w:ascii="宋体" w:hAnsi="宋体" w:eastAsia="宋体" w:cs="宋体"/>
          <w:spacing w:val="15"/>
          <w:sz w:val="16"/>
          <w:szCs w:val="16"/>
        </w:rPr>
        <w:t>全面发展理论</w:t>
      </w:r>
      <w:r>
        <w:rPr>
          <w:rFonts w:ascii="微软雅黑" w:hAnsi="微软雅黑" w:eastAsia="微软雅黑" w:cs="微软雅黑"/>
          <w:spacing w:val="15"/>
          <w:sz w:val="16"/>
          <w:szCs w:val="16"/>
        </w:rPr>
        <w:t>、</w:t>
      </w:r>
      <w:r>
        <w:rPr>
          <w:rFonts w:ascii="宋体" w:hAnsi="宋体" w:eastAsia="宋体" w:cs="宋体"/>
          <w:spacing w:val="15"/>
          <w:sz w:val="16"/>
          <w:szCs w:val="16"/>
        </w:rPr>
        <w:t>需求理论以及李维特组织模型等理论</w:t>
      </w:r>
      <w:r>
        <w:rPr>
          <w:rFonts w:ascii="宋体" w:hAnsi="宋体" w:eastAsia="宋体" w:cs="宋体"/>
          <w:spacing w:val="-41"/>
          <w:sz w:val="16"/>
          <w:szCs w:val="16"/>
        </w:rPr>
        <w:t xml:space="preserve"> </w:t>
      </w:r>
      <w:r>
        <w:rPr>
          <w:rFonts w:ascii="宋体" w:hAnsi="宋体" w:eastAsia="宋体" w:cs="宋体"/>
          <w:spacing w:val="15"/>
          <w:sz w:val="16"/>
          <w:szCs w:val="16"/>
        </w:rPr>
        <w:t>的</w:t>
      </w:r>
      <w:r>
        <w:rPr>
          <w:rFonts w:ascii="宋体" w:hAnsi="宋体" w:eastAsia="宋体" w:cs="宋体"/>
          <w:spacing w:val="14"/>
          <w:sz w:val="16"/>
          <w:szCs w:val="16"/>
        </w:rPr>
        <w:t>组合</w:t>
      </w:r>
      <w:r>
        <w:rPr>
          <w:rFonts w:ascii="宋体" w:hAnsi="宋体" w:eastAsia="宋体" w:cs="宋体"/>
          <w:sz w:val="16"/>
          <w:szCs w:val="16"/>
        </w:rPr>
        <w:t xml:space="preserve">  </w:t>
      </w:r>
      <w:r>
        <w:rPr>
          <w:rFonts w:ascii="宋体" w:hAnsi="宋体" w:eastAsia="宋体" w:cs="宋体"/>
          <w:spacing w:val="10"/>
          <w:sz w:val="16"/>
          <w:szCs w:val="16"/>
        </w:rPr>
        <w:t>价值</w:t>
      </w:r>
      <w:r>
        <w:rPr>
          <w:rFonts w:ascii="微软雅黑" w:hAnsi="微软雅黑" w:eastAsia="微软雅黑" w:cs="微软雅黑"/>
          <w:spacing w:val="10"/>
          <w:sz w:val="16"/>
          <w:szCs w:val="16"/>
        </w:rPr>
        <w:t>，</w:t>
      </w:r>
      <w:r>
        <w:rPr>
          <w:rFonts w:ascii="宋体" w:hAnsi="宋体" w:eastAsia="宋体" w:cs="宋体"/>
          <w:spacing w:val="10"/>
          <w:sz w:val="16"/>
          <w:szCs w:val="16"/>
        </w:rPr>
        <w:t>运用文献法</w:t>
      </w:r>
      <w:r>
        <w:rPr>
          <w:rFonts w:ascii="微软雅黑" w:hAnsi="微软雅黑" w:eastAsia="微软雅黑" w:cs="微软雅黑"/>
          <w:spacing w:val="10"/>
          <w:sz w:val="16"/>
          <w:szCs w:val="16"/>
        </w:rPr>
        <w:t>、</w:t>
      </w:r>
      <w:r>
        <w:rPr>
          <w:rFonts w:ascii="宋体" w:hAnsi="宋体" w:eastAsia="宋体" w:cs="宋体"/>
          <w:spacing w:val="10"/>
          <w:sz w:val="16"/>
          <w:szCs w:val="16"/>
        </w:rPr>
        <w:t>问卷调查法</w:t>
      </w:r>
      <w:r>
        <w:rPr>
          <w:rFonts w:ascii="微软雅黑" w:hAnsi="微软雅黑" w:eastAsia="微软雅黑" w:cs="微软雅黑"/>
          <w:spacing w:val="10"/>
          <w:sz w:val="16"/>
          <w:szCs w:val="16"/>
        </w:rPr>
        <w:t>、</w:t>
      </w:r>
      <w:r>
        <w:rPr>
          <w:rFonts w:ascii="宋体" w:hAnsi="宋体" w:eastAsia="宋体" w:cs="宋体"/>
          <w:spacing w:val="10"/>
          <w:sz w:val="16"/>
          <w:szCs w:val="16"/>
        </w:rPr>
        <w:t>访谈法等方法探讨高</w:t>
      </w:r>
      <w:r>
        <w:rPr>
          <w:rFonts w:ascii="宋体" w:hAnsi="宋体" w:eastAsia="宋体" w:cs="宋体"/>
          <w:spacing w:val="9"/>
          <w:sz w:val="16"/>
          <w:szCs w:val="16"/>
        </w:rPr>
        <w:t>校学生</w:t>
      </w:r>
      <w:r>
        <w:rPr>
          <w:rFonts w:ascii="宋体" w:hAnsi="宋体" w:eastAsia="宋体" w:cs="宋体"/>
          <w:sz w:val="16"/>
          <w:szCs w:val="16"/>
        </w:rPr>
        <w:t xml:space="preserve">  </w:t>
      </w:r>
      <w:r>
        <w:rPr>
          <w:rFonts w:ascii="宋体" w:hAnsi="宋体" w:eastAsia="宋体" w:cs="宋体"/>
          <w:spacing w:val="11"/>
          <w:sz w:val="16"/>
          <w:szCs w:val="16"/>
        </w:rPr>
        <w:t>社团的历史与特点</w:t>
      </w:r>
      <w:r>
        <w:rPr>
          <w:rFonts w:ascii="微软雅黑" w:hAnsi="微软雅黑" w:eastAsia="微软雅黑" w:cs="微软雅黑"/>
          <w:spacing w:val="11"/>
          <w:sz w:val="16"/>
          <w:szCs w:val="16"/>
        </w:rPr>
        <w:t>、</w:t>
      </w:r>
      <w:r>
        <w:rPr>
          <w:rFonts w:ascii="宋体" w:hAnsi="宋体" w:eastAsia="宋体" w:cs="宋体"/>
          <w:spacing w:val="11"/>
          <w:sz w:val="16"/>
          <w:szCs w:val="16"/>
        </w:rPr>
        <w:t>类型与结构</w:t>
      </w:r>
      <w:r>
        <w:rPr>
          <w:rFonts w:ascii="微软雅黑" w:hAnsi="微软雅黑" w:eastAsia="微软雅黑" w:cs="微软雅黑"/>
          <w:spacing w:val="11"/>
          <w:sz w:val="16"/>
          <w:szCs w:val="16"/>
        </w:rPr>
        <w:t>、</w:t>
      </w:r>
      <w:r>
        <w:rPr>
          <w:rFonts w:ascii="宋体" w:hAnsi="宋体" w:eastAsia="宋体" w:cs="宋体"/>
          <w:spacing w:val="11"/>
          <w:sz w:val="16"/>
          <w:szCs w:val="16"/>
        </w:rPr>
        <w:t>功能与评价</w:t>
      </w:r>
      <w:r>
        <w:rPr>
          <w:rFonts w:ascii="微软雅黑" w:hAnsi="微软雅黑" w:eastAsia="微软雅黑" w:cs="微软雅黑"/>
          <w:spacing w:val="11"/>
          <w:sz w:val="16"/>
          <w:szCs w:val="16"/>
        </w:rPr>
        <w:t>。</w:t>
      </w:r>
    </w:p>
    <w:p>
      <w:pPr>
        <w:spacing w:before="76"/>
        <w:ind w:left="519" w:right="340" w:firstLine="457"/>
        <w:jc w:val="both"/>
        <w:rPr>
          <w:rFonts w:ascii="微软雅黑" w:hAnsi="微软雅黑" w:eastAsia="微软雅黑" w:cs="微软雅黑"/>
          <w:sz w:val="16"/>
          <w:szCs w:val="16"/>
        </w:rPr>
      </w:pPr>
      <w:r>
        <w:rPr>
          <w:rFonts w:ascii="宋体" w:hAnsi="宋体" w:eastAsia="宋体" w:cs="宋体"/>
          <w:spacing w:val="13"/>
          <w:sz w:val="16"/>
          <w:szCs w:val="16"/>
        </w:rPr>
        <w:t>国</w:t>
      </w:r>
      <w:r>
        <w:rPr>
          <w:rFonts w:ascii="宋体" w:hAnsi="宋体" w:eastAsia="宋体" w:cs="宋体"/>
          <w:spacing w:val="-23"/>
          <w:sz w:val="16"/>
          <w:szCs w:val="16"/>
        </w:rPr>
        <w:t xml:space="preserve"> </w:t>
      </w:r>
      <w:r>
        <w:rPr>
          <w:rFonts w:ascii="宋体" w:hAnsi="宋体" w:eastAsia="宋体" w:cs="宋体"/>
          <w:spacing w:val="13"/>
          <w:sz w:val="16"/>
          <w:szCs w:val="16"/>
        </w:rPr>
        <w:t xml:space="preserve">内高校学生社团的缘起以 </w:t>
      </w:r>
      <w:r>
        <w:rPr>
          <w:rFonts w:ascii="微软雅黑" w:hAnsi="微软雅黑" w:eastAsia="微软雅黑" w:cs="微软雅黑"/>
          <w:spacing w:val="13"/>
          <w:sz w:val="16"/>
          <w:szCs w:val="16"/>
        </w:rPr>
        <w:t>1904</w:t>
      </w:r>
      <w:r>
        <w:rPr>
          <w:rFonts w:ascii="宋体" w:hAnsi="宋体" w:eastAsia="宋体" w:cs="宋体"/>
          <w:spacing w:val="13"/>
          <w:sz w:val="16"/>
          <w:szCs w:val="16"/>
        </w:rPr>
        <w:t>年京师大学堂成立的</w:t>
      </w:r>
      <w:r>
        <w:rPr>
          <w:rFonts w:ascii="宋体" w:hAnsi="宋体" w:eastAsia="宋体" w:cs="宋体"/>
          <w:sz w:val="16"/>
          <w:szCs w:val="16"/>
        </w:rPr>
        <w:t xml:space="preserve"> </w:t>
      </w:r>
      <w:r>
        <w:rPr>
          <w:rFonts w:ascii="微软雅黑" w:hAnsi="微软雅黑" w:eastAsia="微软雅黑" w:cs="微软雅黑"/>
          <w:spacing w:val="6"/>
          <w:sz w:val="16"/>
          <w:szCs w:val="16"/>
        </w:rPr>
        <w:t>“</w:t>
      </w:r>
      <w:r>
        <w:rPr>
          <w:rFonts w:ascii="微软雅黑" w:hAnsi="微软雅黑" w:eastAsia="微软雅黑" w:cs="微软雅黑"/>
          <w:spacing w:val="-23"/>
          <w:sz w:val="16"/>
          <w:szCs w:val="16"/>
        </w:rPr>
        <w:t xml:space="preserve"> </w:t>
      </w:r>
      <w:r>
        <w:rPr>
          <w:rFonts w:ascii="宋体" w:hAnsi="宋体" w:eastAsia="宋体" w:cs="宋体"/>
          <w:spacing w:val="6"/>
          <w:sz w:val="16"/>
          <w:szCs w:val="16"/>
        </w:rPr>
        <w:t>抗俄铁血会</w:t>
      </w:r>
      <w:r>
        <w:rPr>
          <w:rFonts w:ascii="微软雅黑" w:hAnsi="微软雅黑" w:eastAsia="微软雅黑" w:cs="微软雅黑"/>
          <w:spacing w:val="6"/>
          <w:sz w:val="16"/>
          <w:szCs w:val="16"/>
        </w:rPr>
        <w:t>”</w:t>
      </w:r>
      <w:r>
        <w:rPr>
          <w:rFonts w:ascii="宋体" w:hAnsi="宋体" w:eastAsia="宋体" w:cs="宋体"/>
          <w:spacing w:val="6"/>
          <w:sz w:val="16"/>
          <w:szCs w:val="16"/>
        </w:rPr>
        <w:t>为标志</w:t>
      </w:r>
      <w:r>
        <w:rPr>
          <w:rFonts w:ascii="微软雅黑" w:hAnsi="微软雅黑" w:eastAsia="微软雅黑" w:cs="微软雅黑"/>
          <w:spacing w:val="6"/>
          <w:sz w:val="16"/>
          <w:szCs w:val="16"/>
        </w:rPr>
        <w:t>，</w:t>
      </w:r>
      <w:r>
        <w:rPr>
          <w:rFonts w:ascii="宋体" w:hAnsi="宋体" w:eastAsia="宋体" w:cs="宋体"/>
          <w:spacing w:val="6"/>
          <w:sz w:val="16"/>
          <w:szCs w:val="16"/>
        </w:rPr>
        <w:t>其发展先后经历了萌芽</w:t>
      </w:r>
      <w:r>
        <w:rPr>
          <w:rFonts w:ascii="微软雅黑" w:hAnsi="微软雅黑" w:eastAsia="微软雅黑" w:cs="微软雅黑"/>
          <w:spacing w:val="6"/>
          <w:sz w:val="16"/>
          <w:szCs w:val="16"/>
        </w:rPr>
        <w:t>、</w:t>
      </w:r>
      <w:r>
        <w:rPr>
          <w:rFonts w:ascii="宋体" w:hAnsi="宋体" w:eastAsia="宋体" w:cs="宋体"/>
          <w:spacing w:val="6"/>
          <w:sz w:val="16"/>
          <w:szCs w:val="16"/>
        </w:rPr>
        <w:t>探索</w:t>
      </w:r>
      <w:r>
        <w:rPr>
          <w:rFonts w:ascii="微软雅黑" w:hAnsi="微软雅黑" w:eastAsia="微软雅黑" w:cs="微软雅黑"/>
          <w:spacing w:val="5"/>
          <w:sz w:val="16"/>
          <w:szCs w:val="16"/>
        </w:rPr>
        <w:t>、</w:t>
      </w:r>
      <w:r>
        <w:rPr>
          <w:rFonts w:ascii="宋体" w:hAnsi="宋体" w:eastAsia="宋体" w:cs="宋体"/>
          <w:spacing w:val="5"/>
          <w:sz w:val="16"/>
          <w:szCs w:val="16"/>
        </w:rPr>
        <w:t>成熟等</w:t>
      </w:r>
      <w:r>
        <w:rPr>
          <w:rFonts w:ascii="宋体" w:hAnsi="宋体" w:eastAsia="宋体" w:cs="宋体"/>
          <w:sz w:val="16"/>
          <w:szCs w:val="16"/>
        </w:rPr>
        <w:t xml:space="preserve"> </w:t>
      </w:r>
      <w:r>
        <w:rPr>
          <w:rFonts w:ascii="宋体" w:hAnsi="宋体" w:eastAsia="宋体" w:cs="宋体"/>
          <w:spacing w:val="15"/>
          <w:sz w:val="16"/>
          <w:szCs w:val="16"/>
        </w:rPr>
        <w:t>三个主要阶段</w:t>
      </w:r>
      <w:r>
        <w:rPr>
          <w:rFonts w:ascii="宋体" w:hAnsi="宋体" w:eastAsia="宋体" w:cs="宋体"/>
          <w:spacing w:val="-42"/>
          <w:sz w:val="16"/>
          <w:szCs w:val="16"/>
        </w:rPr>
        <w:t xml:space="preserve"> </w:t>
      </w:r>
      <w:r>
        <w:rPr>
          <w:rFonts w:ascii="微软雅黑" w:hAnsi="微软雅黑" w:eastAsia="微软雅黑" w:cs="微软雅黑"/>
          <w:spacing w:val="15"/>
          <w:sz w:val="16"/>
          <w:szCs w:val="16"/>
        </w:rPr>
        <w:t>。</w:t>
      </w:r>
      <w:r>
        <w:rPr>
          <w:rFonts w:ascii="宋体" w:hAnsi="宋体" w:eastAsia="宋体" w:cs="宋体"/>
          <w:spacing w:val="15"/>
          <w:sz w:val="16"/>
          <w:szCs w:val="16"/>
        </w:rPr>
        <w:t>就现状而言</w:t>
      </w:r>
      <w:r>
        <w:rPr>
          <w:rFonts w:ascii="微软雅黑" w:hAnsi="微软雅黑" w:eastAsia="微软雅黑" w:cs="微软雅黑"/>
          <w:spacing w:val="15"/>
          <w:sz w:val="16"/>
          <w:szCs w:val="16"/>
        </w:rPr>
        <w:t>，</w:t>
      </w:r>
      <w:r>
        <w:rPr>
          <w:rFonts w:ascii="宋体" w:hAnsi="宋体" w:eastAsia="宋体" w:cs="宋体"/>
          <w:spacing w:val="15"/>
          <w:sz w:val="16"/>
          <w:szCs w:val="16"/>
        </w:rPr>
        <w:t>国内高校学生社团呈现</w:t>
      </w:r>
      <w:r>
        <w:rPr>
          <w:rFonts w:ascii="宋体" w:hAnsi="宋体" w:eastAsia="宋体" w:cs="宋体"/>
          <w:spacing w:val="-41"/>
          <w:sz w:val="16"/>
          <w:szCs w:val="16"/>
        </w:rPr>
        <w:t xml:space="preserve"> </w:t>
      </w:r>
      <w:r>
        <w:rPr>
          <w:rFonts w:ascii="宋体" w:hAnsi="宋体" w:eastAsia="宋体" w:cs="宋体"/>
          <w:spacing w:val="15"/>
          <w:sz w:val="16"/>
          <w:szCs w:val="16"/>
        </w:rPr>
        <w:t>出</w:t>
      </w:r>
      <w:r>
        <w:rPr>
          <w:rFonts w:ascii="宋体" w:hAnsi="宋体" w:eastAsia="宋体" w:cs="宋体"/>
          <w:spacing w:val="-39"/>
          <w:sz w:val="16"/>
          <w:szCs w:val="16"/>
        </w:rPr>
        <w:t xml:space="preserve"> </w:t>
      </w:r>
      <w:r>
        <w:rPr>
          <w:rFonts w:ascii="宋体" w:hAnsi="宋体" w:eastAsia="宋体" w:cs="宋体"/>
          <w:spacing w:val="15"/>
          <w:sz w:val="16"/>
          <w:szCs w:val="16"/>
        </w:rPr>
        <w:t>了几</w:t>
      </w:r>
      <w:r>
        <w:rPr>
          <w:rFonts w:ascii="宋体" w:hAnsi="宋体" w:eastAsia="宋体" w:cs="宋体"/>
          <w:sz w:val="16"/>
          <w:szCs w:val="16"/>
        </w:rPr>
        <w:t xml:space="preserve"> </w:t>
      </w:r>
      <w:r>
        <w:rPr>
          <w:rFonts w:ascii="宋体" w:hAnsi="宋体" w:eastAsia="宋体" w:cs="宋体"/>
          <w:spacing w:val="11"/>
          <w:sz w:val="16"/>
          <w:szCs w:val="16"/>
        </w:rPr>
        <w:t>个主要特点</w:t>
      </w:r>
      <w:r>
        <w:rPr>
          <w:rFonts w:ascii="微软雅黑" w:hAnsi="微软雅黑" w:eastAsia="微软雅黑" w:cs="微软雅黑"/>
          <w:spacing w:val="11"/>
          <w:sz w:val="16"/>
          <w:szCs w:val="16"/>
        </w:rPr>
        <w:t>，</w:t>
      </w:r>
      <w:r>
        <w:rPr>
          <w:rFonts w:ascii="宋体" w:hAnsi="宋体" w:eastAsia="宋体" w:cs="宋体"/>
          <w:spacing w:val="11"/>
          <w:sz w:val="16"/>
          <w:szCs w:val="16"/>
        </w:rPr>
        <w:t>如社</w:t>
      </w:r>
      <w:r>
        <w:rPr>
          <w:rFonts w:ascii="宋体" w:hAnsi="宋体" w:eastAsia="宋体" w:cs="宋体"/>
          <w:spacing w:val="-39"/>
          <w:sz w:val="16"/>
          <w:szCs w:val="16"/>
        </w:rPr>
        <w:t xml:space="preserve"> </w:t>
      </w:r>
      <w:r>
        <w:rPr>
          <w:rFonts w:ascii="宋体" w:hAnsi="宋体" w:eastAsia="宋体" w:cs="宋体"/>
          <w:spacing w:val="11"/>
          <w:sz w:val="16"/>
          <w:szCs w:val="16"/>
        </w:rPr>
        <w:t>团活动的娱乐性和开放性</w:t>
      </w:r>
      <w:r>
        <w:rPr>
          <w:rFonts w:ascii="微软雅黑" w:hAnsi="微软雅黑" w:eastAsia="微软雅黑" w:cs="微软雅黑"/>
          <w:spacing w:val="11"/>
          <w:sz w:val="16"/>
          <w:szCs w:val="16"/>
        </w:rPr>
        <w:t>、</w:t>
      </w:r>
      <w:r>
        <w:rPr>
          <w:rFonts w:ascii="宋体" w:hAnsi="宋体" w:eastAsia="宋体" w:cs="宋体"/>
          <w:spacing w:val="11"/>
          <w:sz w:val="16"/>
          <w:szCs w:val="16"/>
        </w:rPr>
        <w:t>社</w:t>
      </w:r>
      <w:r>
        <w:rPr>
          <w:rFonts w:ascii="宋体" w:hAnsi="宋体" w:eastAsia="宋体" w:cs="宋体"/>
          <w:spacing w:val="-35"/>
          <w:sz w:val="16"/>
          <w:szCs w:val="16"/>
        </w:rPr>
        <w:t xml:space="preserve"> </w:t>
      </w:r>
      <w:r>
        <w:rPr>
          <w:rFonts w:ascii="宋体" w:hAnsi="宋体" w:eastAsia="宋体" w:cs="宋体"/>
          <w:spacing w:val="11"/>
          <w:sz w:val="16"/>
          <w:szCs w:val="16"/>
        </w:rPr>
        <w:t>团成</w:t>
      </w:r>
      <w:r>
        <w:rPr>
          <w:rFonts w:ascii="宋体" w:hAnsi="宋体" w:eastAsia="宋体" w:cs="宋体"/>
          <w:spacing w:val="-44"/>
          <w:sz w:val="16"/>
          <w:szCs w:val="16"/>
        </w:rPr>
        <w:t xml:space="preserve"> </w:t>
      </w:r>
      <w:r>
        <w:rPr>
          <w:rFonts w:ascii="宋体" w:hAnsi="宋体" w:eastAsia="宋体" w:cs="宋体"/>
          <w:spacing w:val="11"/>
          <w:sz w:val="16"/>
          <w:szCs w:val="16"/>
        </w:rPr>
        <w:t>员</w:t>
      </w:r>
      <w:r>
        <w:rPr>
          <w:rFonts w:ascii="宋体" w:hAnsi="宋体" w:eastAsia="宋体" w:cs="宋体"/>
          <w:spacing w:val="-37"/>
          <w:sz w:val="16"/>
          <w:szCs w:val="16"/>
        </w:rPr>
        <w:t xml:space="preserve"> </w:t>
      </w:r>
      <w:r>
        <w:rPr>
          <w:rFonts w:ascii="宋体" w:hAnsi="宋体" w:eastAsia="宋体" w:cs="宋体"/>
          <w:spacing w:val="11"/>
          <w:sz w:val="16"/>
          <w:szCs w:val="16"/>
        </w:rPr>
        <w:t>的</w:t>
      </w:r>
      <w:r>
        <w:rPr>
          <w:rFonts w:ascii="宋体" w:hAnsi="宋体" w:eastAsia="宋体" w:cs="宋体"/>
          <w:spacing w:val="-23"/>
          <w:sz w:val="16"/>
          <w:szCs w:val="16"/>
        </w:rPr>
        <w:t xml:space="preserve"> </w:t>
      </w:r>
      <w:r>
        <w:rPr>
          <w:rFonts w:ascii="宋体" w:hAnsi="宋体" w:eastAsia="宋体" w:cs="宋体"/>
          <w:spacing w:val="11"/>
          <w:sz w:val="16"/>
          <w:szCs w:val="16"/>
        </w:rPr>
        <w:t>自</w:t>
      </w:r>
      <w:r>
        <w:rPr>
          <w:rFonts w:ascii="宋体" w:hAnsi="宋体" w:eastAsia="宋体" w:cs="宋体"/>
          <w:sz w:val="16"/>
          <w:szCs w:val="16"/>
        </w:rPr>
        <w:t xml:space="preserve"> </w:t>
      </w:r>
      <w:r>
        <w:rPr>
          <w:rFonts w:ascii="宋体" w:hAnsi="宋体" w:eastAsia="宋体" w:cs="宋体"/>
          <w:spacing w:val="12"/>
          <w:sz w:val="16"/>
          <w:szCs w:val="16"/>
        </w:rPr>
        <w:t>愿性和广泛性</w:t>
      </w:r>
      <w:r>
        <w:rPr>
          <w:rFonts w:ascii="微软雅黑" w:hAnsi="微软雅黑" w:eastAsia="微软雅黑" w:cs="微软雅黑"/>
          <w:spacing w:val="12"/>
          <w:sz w:val="16"/>
          <w:szCs w:val="16"/>
        </w:rPr>
        <w:t>、</w:t>
      </w:r>
      <w:r>
        <w:rPr>
          <w:rFonts w:ascii="宋体" w:hAnsi="宋体" w:eastAsia="宋体" w:cs="宋体"/>
          <w:spacing w:val="12"/>
          <w:sz w:val="16"/>
          <w:szCs w:val="16"/>
        </w:rPr>
        <w:t>社</w:t>
      </w:r>
      <w:r>
        <w:rPr>
          <w:rFonts w:ascii="宋体" w:hAnsi="宋体" w:eastAsia="宋体" w:cs="宋体"/>
          <w:spacing w:val="-40"/>
          <w:sz w:val="16"/>
          <w:szCs w:val="16"/>
        </w:rPr>
        <w:t xml:space="preserve"> </w:t>
      </w:r>
      <w:r>
        <w:rPr>
          <w:rFonts w:ascii="宋体" w:hAnsi="宋体" w:eastAsia="宋体" w:cs="宋体"/>
          <w:spacing w:val="12"/>
          <w:sz w:val="16"/>
          <w:szCs w:val="16"/>
        </w:rPr>
        <w:t>团管理的组织性和依赖性</w:t>
      </w:r>
      <w:r>
        <w:rPr>
          <w:rFonts w:ascii="微软雅黑" w:hAnsi="微软雅黑" w:eastAsia="微软雅黑" w:cs="微软雅黑"/>
          <w:spacing w:val="12"/>
          <w:sz w:val="16"/>
          <w:szCs w:val="16"/>
        </w:rPr>
        <w:t>、</w:t>
      </w:r>
      <w:r>
        <w:rPr>
          <w:rFonts w:ascii="宋体" w:hAnsi="宋体" w:eastAsia="宋体" w:cs="宋体"/>
          <w:spacing w:val="12"/>
          <w:sz w:val="16"/>
          <w:szCs w:val="16"/>
        </w:rPr>
        <w:t>社</w:t>
      </w:r>
      <w:r>
        <w:rPr>
          <w:rFonts w:ascii="宋体" w:hAnsi="宋体" w:eastAsia="宋体" w:cs="宋体"/>
          <w:spacing w:val="-36"/>
          <w:sz w:val="16"/>
          <w:szCs w:val="16"/>
        </w:rPr>
        <w:t xml:space="preserve"> </w:t>
      </w:r>
      <w:r>
        <w:rPr>
          <w:rFonts w:ascii="宋体" w:hAnsi="宋体" w:eastAsia="宋体" w:cs="宋体"/>
          <w:spacing w:val="12"/>
          <w:sz w:val="16"/>
          <w:szCs w:val="16"/>
        </w:rPr>
        <w:t>团</w:t>
      </w:r>
      <w:r>
        <w:rPr>
          <w:rFonts w:ascii="宋体" w:hAnsi="宋体" w:eastAsia="宋体" w:cs="宋体"/>
          <w:spacing w:val="-47"/>
          <w:sz w:val="16"/>
          <w:szCs w:val="16"/>
        </w:rPr>
        <w:t xml:space="preserve"> </w:t>
      </w:r>
      <w:r>
        <w:rPr>
          <w:rFonts w:ascii="宋体" w:hAnsi="宋体" w:eastAsia="宋体" w:cs="宋体"/>
          <w:spacing w:val="12"/>
          <w:sz w:val="16"/>
          <w:szCs w:val="16"/>
        </w:rPr>
        <w:t>功</w:t>
      </w:r>
      <w:r>
        <w:rPr>
          <w:rFonts w:ascii="宋体" w:hAnsi="宋体" w:eastAsia="宋体" w:cs="宋体"/>
          <w:spacing w:val="-44"/>
          <w:sz w:val="16"/>
          <w:szCs w:val="16"/>
        </w:rPr>
        <w:t xml:space="preserve"> </w:t>
      </w:r>
      <w:r>
        <w:rPr>
          <w:rFonts w:ascii="宋体" w:hAnsi="宋体" w:eastAsia="宋体" w:cs="宋体"/>
          <w:spacing w:val="12"/>
          <w:sz w:val="16"/>
          <w:szCs w:val="16"/>
        </w:rPr>
        <w:t>能</w:t>
      </w:r>
      <w:r>
        <w:rPr>
          <w:rFonts w:ascii="宋体" w:hAnsi="宋体" w:eastAsia="宋体" w:cs="宋体"/>
          <w:spacing w:val="-37"/>
          <w:sz w:val="16"/>
          <w:szCs w:val="16"/>
        </w:rPr>
        <w:t xml:space="preserve"> </w:t>
      </w:r>
      <w:r>
        <w:rPr>
          <w:rFonts w:ascii="宋体" w:hAnsi="宋体" w:eastAsia="宋体" w:cs="宋体"/>
          <w:spacing w:val="12"/>
          <w:sz w:val="16"/>
          <w:szCs w:val="16"/>
        </w:rPr>
        <w:t>的辐</w:t>
      </w:r>
      <w:r>
        <w:rPr>
          <w:rFonts w:ascii="宋体" w:hAnsi="宋体" w:eastAsia="宋体" w:cs="宋体"/>
          <w:sz w:val="16"/>
          <w:szCs w:val="16"/>
        </w:rPr>
        <w:t xml:space="preserve"> </w:t>
      </w:r>
      <w:r>
        <w:rPr>
          <w:rFonts w:ascii="宋体" w:hAnsi="宋体" w:eastAsia="宋体" w:cs="宋体"/>
          <w:spacing w:val="14"/>
          <w:sz w:val="16"/>
          <w:szCs w:val="16"/>
        </w:rPr>
        <w:t>射性和创新性</w:t>
      </w:r>
      <w:r>
        <w:rPr>
          <w:rFonts w:ascii="微软雅黑" w:hAnsi="微软雅黑" w:eastAsia="微软雅黑" w:cs="微软雅黑"/>
          <w:spacing w:val="14"/>
          <w:sz w:val="16"/>
          <w:szCs w:val="16"/>
        </w:rPr>
        <w:t>、</w:t>
      </w:r>
      <w:r>
        <w:rPr>
          <w:rFonts w:ascii="宋体" w:hAnsi="宋体" w:eastAsia="宋体" w:cs="宋体"/>
          <w:spacing w:val="14"/>
          <w:sz w:val="16"/>
          <w:szCs w:val="16"/>
        </w:rPr>
        <w:t>社</w:t>
      </w:r>
      <w:r>
        <w:rPr>
          <w:rFonts w:ascii="宋体" w:hAnsi="宋体" w:eastAsia="宋体" w:cs="宋体"/>
          <w:spacing w:val="-36"/>
          <w:sz w:val="16"/>
          <w:szCs w:val="16"/>
        </w:rPr>
        <w:t xml:space="preserve"> </w:t>
      </w:r>
      <w:r>
        <w:rPr>
          <w:rFonts w:ascii="宋体" w:hAnsi="宋体" w:eastAsia="宋体" w:cs="宋体"/>
          <w:spacing w:val="14"/>
          <w:sz w:val="16"/>
          <w:szCs w:val="16"/>
        </w:rPr>
        <w:t>团</w:t>
      </w:r>
      <w:r>
        <w:rPr>
          <w:rFonts w:ascii="宋体" w:hAnsi="宋体" w:eastAsia="宋体" w:cs="宋体"/>
          <w:spacing w:val="-24"/>
          <w:sz w:val="16"/>
          <w:szCs w:val="16"/>
        </w:rPr>
        <w:t xml:space="preserve"> </w:t>
      </w:r>
      <w:r>
        <w:rPr>
          <w:rFonts w:ascii="宋体" w:hAnsi="宋体" w:eastAsia="宋体" w:cs="宋体"/>
          <w:spacing w:val="14"/>
          <w:sz w:val="16"/>
          <w:szCs w:val="16"/>
        </w:rPr>
        <w:t>目标的不稳定性和非盈利性</w:t>
      </w:r>
      <w:r>
        <w:rPr>
          <w:rFonts w:ascii="微软雅黑" w:hAnsi="微软雅黑" w:eastAsia="微软雅黑" w:cs="微软雅黑"/>
          <w:spacing w:val="14"/>
          <w:sz w:val="16"/>
          <w:szCs w:val="16"/>
        </w:rPr>
        <w:t>、</w:t>
      </w:r>
      <w:r>
        <w:rPr>
          <w:rFonts w:ascii="宋体" w:hAnsi="宋体" w:eastAsia="宋体" w:cs="宋体"/>
          <w:spacing w:val="14"/>
          <w:sz w:val="16"/>
          <w:szCs w:val="16"/>
        </w:rPr>
        <w:t>高校社</w:t>
      </w:r>
      <w:r>
        <w:rPr>
          <w:rFonts w:ascii="宋体" w:hAnsi="宋体" w:eastAsia="宋体" w:cs="宋体"/>
          <w:spacing w:val="-36"/>
          <w:sz w:val="16"/>
          <w:szCs w:val="16"/>
        </w:rPr>
        <w:t xml:space="preserve"> </w:t>
      </w:r>
      <w:r>
        <w:rPr>
          <w:rFonts w:ascii="宋体" w:hAnsi="宋体" w:eastAsia="宋体" w:cs="宋体"/>
          <w:spacing w:val="14"/>
          <w:sz w:val="16"/>
          <w:szCs w:val="16"/>
        </w:rPr>
        <w:t>团</w:t>
      </w:r>
      <w:r>
        <w:rPr>
          <w:rFonts w:ascii="宋体" w:hAnsi="宋体" w:eastAsia="宋体" w:cs="宋体"/>
          <w:sz w:val="16"/>
          <w:szCs w:val="16"/>
        </w:rPr>
        <w:t xml:space="preserve"> </w:t>
      </w:r>
      <w:r>
        <w:rPr>
          <w:rFonts w:ascii="宋体" w:hAnsi="宋体" w:eastAsia="宋体" w:cs="宋体"/>
          <w:spacing w:val="25"/>
          <w:sz w:val="16"/>
          <w:szCs w:val="16"/>
        </w:rPr>
        <w:t>管理的随意性和专制性等</w:t>
      </w:r>
      <w:r>
        <w:rPr>
          <w:rFonts w:ascii="微软雅黑" w:hAnsi="微软雅黑" w:eastAsia="微软雅黑" w:cs="微软雅黑"/>
          <w:spacing w:val="25"/>
          <w:sz w:val="16"/>
          <w:szCs w:val="16"/>
        </w:rPr>
        <w:t>。</w:t>
      </w:r>
    </w:p>
    <w:p>
      <w:pPr>
        <w:spacing w:before="76" w:line="205" w:lineRule="auto"/>
        <w:ind w:left="600" w:right="273" w:firstLine="360"/>
        <w:jc w:val="both"/>
        <w:rPr>
          <w:rFonts w:ascii="微软雅黑" w:hAnsi="微软雅黑" w:eastAsia="微软雅黑" w:cs="微软雅黑"/>
          <w:sz w:val="16"/>
          <w:szCs w:val="16"/>
        </w:rPr>
      </w:pPr>
      <w:r>
        <w:rPr>
          <w:rFonts w:ascii="宋体" w:hAnsi="宋体" w:eastAsia="宋体" w:cs="宋体"/>
          <w:spacing w:val="11"/>
          <w:sz w:val="16"/>
          <w:szCs w:val="16"/>
        </w:rPr>
        <w:t>根据活动</w:t>
      </w:r>
      <w:r>
        <w:rPr>
          <w:rFonts w:ascii="宋体" w:hAnsi="宋体" w:eastAsia="宋体" w:cs="宋体"/>
          <w:spacing w:val="-36"/>
          <w:sz w:val="16"/>
          <w:szCs w:val="16"/>
        </w:rPr>
        <w:t xml:space="preserve"> </w:t>
      </w:r>
      <w:r>
        <w:rPr>
          <w:rFonts w:ascii="宋体" w:hAnsi="宋体" w:eastAsia="宋体" w:cs="宋体"/>
          <w:spacing w:val="11"/>
          <w:sz w:val="16"/>
          <w:szCs w:val="16"/>
        </w:rPr>
        <w:t>内容</w:t>
      </w:r>
      <w:r>
        <w:rPr>
          <w:rFonts w:ascii="微软雅黑" w:hAnsi="微软雅黑" w:eastAsia="微软雅黑" w:cs="微软雅黑"/>
          <w:spacing w:val="11"/>
          <w:sz w:val="16"/>
          <w:szCs w:val="16"/>
        </w:rPr>
        <w:t>，</w:t>
      </w:r>
      <w:r>
        <w:rPr>
          <w:rFonts w:ascii="宋体" w:hAnsi="宋体" w:eastAsia="宋体" w:cs="宋体"/>
          <w:spacing w:val="11"/>
          <w:sz w:val="16"/>
          <w:szCs w:val="16"/>
        </w:rPr>
        <w:t>高校学生社</w:t>
      </w:r>
      <w:r>
        <w:rPr>
          <w:rFonts w:ascii="宋体" w:hAnsi="宋体" w:eastAsia="宋体" w:cs="宋体"/>
          <w:spacing w:val="-37"/>
          <w:sz w:val="16"/>
          <w:szCs w:val="16"/>
        </w:rPr>
        <w:t xml:space="preserve"> </w:t>
      </w:r>
      <w:r>
        <w:rPr>
          <w:rFonts w:ascii="宋体" w:hAnsi="宋体" w:eastAsia="宋体" w:cs="宋体"/>
          <w:spacing w:val="11"/>
          <w:sz w:val="16"/>
          <w:szCs w:val="16"/>
        </w:rPr>
        <w:t>团可分为艺术表演类</w:t>
      </w:r>
      <w:r>
        <w:rPr>
          <w:rFonts w:ascii="微软雅黑" w:hAnsi="微软雅黑" w:eastAsia="微软雅黑" w:cs="微软雅黑"/>
          <w:spacing w:val="11"/>
          <w:sz w:val="16"/>
          <w:szCs w:val="16"/>
        </w:rPr>
        <w:t>、</w:t>
      </w:r>
      <w:r>
        <w:rPr>
          <w:rFonts w:ascii="宋体" w:hAnsi="宋体" w:eastAsia="宋体" w:cs="宋体"/>
          <w:spacing w:val="11"/>
          <w:sz w:val="16"/>
          <w:szCs w:val="16"/>
        </w:rPr>
        <w:t>体</w:t>
      </w:r>
      <w:r>
        <w:rPr>
          <w:rFonts w:ascii="宋体" w:hAnsi="宋体" w:eastAsia="宋体" w:cs="宋体"/>
          <w:spacing w:val="-44"/>
          <w:sz w:val="16"/>
          <w:szCs w:val="16"/>
        </w:rPr>
        <w:t xml:space="preserve"> </w:t>
      </w:r>
      <w:r>
        <w:rPr>
          <w:rFonts w:ascii="宋体" w:hAnsi="宋体" w:eastAsia="宋体" w:cs="宋体"/>
          <w:spacing w:val="11"/>
          <w:sz w:val="16"/>
          <w:szCs w:val="16"/>
        </w:rPr>
        <w:t>育</w:t>
      </w:r>
      <w:r>
        <w:rPr>
          <w:rFonts w:ascii="宋体" w:hAnsi="宋体" w:eastAsia="宋体" w:cs="宋体"/>
          <w:sz w:val="16"/>
          <w:szCs w:val="16"/>
        </w:rPr>
        <w:t xml:space="preserve">  </w:t>
      </w:r>
      <w:r>
        <w:rPr>
          <w:rFonts w:ascii="宋体" w:hAnsi="宋体" w:eastAsia="宋体" w:cs="宋体"/>
          <w:spacing w:val="6"/>
          <w:sz w:val="16"/>
          <w:szCs w:val="16"/>
        </w:rPr>
        <w:t>运动类</w:t>
      </w:r>
      <w:r>
        <w:rPr>
          <w:rFonts w:ascii="微软雅黑" w:hAnsi="微软雅黑" w:eastAsia="微软雅黑" w:cs="微软雅黑"/>
          <w:spacing w:val="6"/>
          <w:sz w:val="16"/>
          <w:szCs w:val="16"/>
        </w:rPr>
        <w:t>、</w:t>
      </w:r>
      <w:r>
        <w:rPr>
          <w:rFonts w:ascii="宋体" w:hAnsi="宋体" w:eastAsia="宋体" w:cs="宋体"/>
          <w:spacing w:val="6"/>
          <w:sz w:val="16"/>
          <w:szCs w:val="16"/>
        </w:rPr>
        <w:t>科技创新类</w:t>
      </w:r>
      <w:r>
        <w:rPr>
          <w:rFonts w:ascii="微软雅黑" w:hAnsi="微软雅黑" w:eastAsia="微软雅黑" w:cs="微软雅黑"/>
          <w:spacing w:val="6"/>
          <w:sz w:val="16"/>
          <w:szCs w:val="16"/>
        </w:rPr>
        <w:t>、</w:t>
      </w:r>
      <w:r>
        <w:rPr>
          <w:rFonts w:ascii="宋体" w:hAnsi="宋体" w:eastAsia="宋体" w:cs="宋体"/>
          <w:spacing w:val="6"/>
          <w:sz w:val="16"/>
          <w:szCs w:val="16"/>
        </w:rPr>
        <w:t>理论研究类</w:t>
      </w:r>
      <w:r>
        <w:rPr>
          <w:rFonts w:ascii="微软雅黑" w:hAnsi="微软雅黑" w:eastAsia="微软雅黑" w:cs="微软雅黑"/>
          <w:spacing w:val="6"/>
          <w:sz w:val="16"/>
          <w:szCs w:val="16"/>
        </w:rPr>
        <w:t>、</w:t>
      </w:r>
      <w:r>
        <w:rPr>
          <w:rFonts w:ascii="宋体" w:hAnsi="宋体" w:eastAsia="宋体" w:cs="宋体"/>
          <w:spacing w:val="6"/>
          <w:sz w:val="16"/>
          <w:szCs w:val="16"/>
        </w:rPr>
        <w:t>创业实践类</w:t>
      </w:r>
      <w:r>
        <w:rPr>
          <w:rFonts w:ascii="微软雅黑" w:hAnsi="微软雅黑" w:eastAsia="微软雅黑" w:cs="微软雅黑"/>
          <w:spacing w:val="6"/>
          <w:sz w:val="16"/>
          <w:szCs w:val="16"/>
        </w:rPr>
        <w:t>、</w:t>
      </w:r>
      <w:r>
        <w:rPr>
          <w:rFonts w:ascii="宋体" w:hAnsi="宋体" w:eastAsia="宋体" w:cs="宋体"/>
          <w:spacing w:val="6"/>
          <w:sz w:val="16"/>
          <w:szCs w:val="16"/>
        </w:rPr>
        <w:t>公益服务类</w:t>
      </w:r>
      <w:r>
        <w:rPr>
          <w:rFonts w:ascii="微软雅黑" w:hAnsi="微软雅黑" w:eastAsia="微软雅黑" w:cs="微软雅黑"/>
          <w:spacing w:val="6"/>
          <w:sz w:val="16"/>
          <w:szCs w:val="16"/>
        </w:rPr>
        <w:t>、</w:t>
      </w:r>
    </w:p>
    <w:p>
      <w:pPr>
        <w:spacing w:line="14" w:lineRule="auto"/>
        <w:rPr>
          <w:rFonts w:ascii="Arial"/>
          <w:sz w:val="2"/>
        </w:rPr>
      </w:pPr>
      <w:r>
        <w:rPr>
          <w:rFonts w:ascii="Arial" w:hAnsi="Arial" w:eastAsia="Arial" w:cs="Arial"/>
          <w:sz w:val="2"/>
          <w:szCs w:val="2"/>
        </w:rPr>
        <w:br w:type="column"/>
      </w:r>
    </w:p>
    <w:p>
      <w:pPr>
        <w:spacing w:before="39" w:line="236" w:lineRule="auto"/>
        <w:ind w:right="72" w:firstLine="1"/>
        <w:jc w:val="both"/>
        <w:rPr>
          <w:rFonts w:ascii="微软雅黑" w:hAnsi="微软雅黑" w:eastAsia="微软雅黑" w:cs="微软雅黑"/>
          <w:sz w:val="16"/>
          <w:szCs w:val="16"/>
        </w:rPr>
      </w:pPr>
      <w:r>
        <w:rPr>
          <w:rFonts w:ascii="宋体" w:hAnsi="宋体" w:eastAsia="宋体" w:cs="宋体"/>
          <w:spacing w:val="10"/>
          <w:sz w:val="16"/>
          <w:szCs w:val="16"/>
        </w:rPr>
        <w:t>文化交流类等七种类</w:t>
      </w:r>
      <w:r>
        <w:rPr>
          <w:rFonts w:ascii="宋体" w:hAnsi="宋体" w:eastAsia="宋体" w:cs="宋体"/>
          <w:spacing w:val="-47"/>
          <w:sz w:val="16"/>
          <w:szCs w:val="16"/>
        </w:rPr>
        <w:t xml:space="preserve"> </w:t>
      </w:r>
      <w:r>
        <w:rPr>
          <w:rFonts w:ascii="宋体" w:hAnsi="宋体" w:eastAsia="宋体" w:cs="宋体"/>
          <w:spacing w:val="10"/>
          <w:sz w:val="16"/>
          <w:szCs w:val="16"/>
        </w:rPr>
        <w:t>型</w:t>
      </w:r>
      <w:r>
        <w:rPr>
          <w:rFonts w:ascii="宋体" w:hAnsi="宋体" w:eastAsia="宋体" w:cs="宋体"/>
          <w:spacing w:val="-42"/>
          <w:sz w:val="16"/>
          <w:szCs w:val="16"/>
        </w:rPr>
        <w:t xml:space="preserve"> </w:t>
      </w:r>
      <w:r>
        <w:rPr>
          <w:rFonts w:ascii="微软雅黑" w:hAnsi="微软雅黑" w:eastAsia="微软雅黑" w:cs="微软雅黑"/>
          <w:spacing w:val="10"/>
          <w:sz w:val="16"/>
          <w:szCs w:val="16"/>
        </w:rPr>
        <w:t>。</w:t>
      </w:r>
      <w:r>
        <w:rPr>
          <w:rFonts w:ascii="微软雅黑" w:hAnsi="微软雅黑" w:eastAsia="微软雅黑" w:cs="微软雅黑"/>
          <w:spacing w:val="-26"/>
          <w:sz w:val="16"/>
          <w:szCs w:val="16"/>
        </w:rPr>
        <w:t xml:space="preserve"> </w:t>
      </w:r>
      <w:r>
        <w:rPr>
          <w:rFonts w:ascii="宋体" w:hAnsi="宋体" w:eastAsia="宋体" w:cs="宋体"/>
          <w:spacing w:val="10"/>
          <w:sz w:val="16"/>
          <w:szCs w:val="16"/>
        </w:rPr>
        <w:t>这七种类</w:t>
      </w:r>
      <w:r>
        <w:rPr>
          <w:rFonts w:ascii="宋体" w:hAnsi="宋体" w:eastAsia="宋体" w:cs="宋体"/>
          <w:spacing w:val="-45"/>
          <w:sz w:val="16"/>
          <w:szCs w:val="16"/>
        </w:rPr>
        <w:t xml:space="preserve"> </w:t>
      </w:r>
      <w:r>
        <w:rPr>
          <w:rFonts w:ascii="宋体" w:hAnsi="宋体" w:eastAsia="宋体" w:cs="宋体"/>
          <w:spacing w:val="10"/>
          <w:sz w:val="16"/>
          <w:szCs w:val="16"/>
        </w:rPr>
        <w:t>型</w:t>
      </w:r>
      <w:r>
        <w:rPr>
          <w:rFonts w:ascii="宋体" w:hAnsi="宋体" w:eastAsia="宋体" w:cs="宋体"/>
          <w:spacing w:val="-35"/>
          <w:sz w:val="16"/>
          <w:szCs w:val="16"/>
        </w:rPr>
        <w:t xml:space="preserve"> </w:t>
      </w:r>
      <w:r>
        <w:rPr>
          <w:rFonts w:ascii="宋体" w:hAnsi="宋体" w:eastAsia="宋体" w:cs="宋体"/>
          <w:spacing w:val="10"/>
          <w:sz w:val="16"/>
          <w:szCs w:val="16"/>
        </w:rPr>
        <w:t>中</w:t>
      </w:r>
      <w:r>
        <w:rPr>
          <w:rFonts w:ascii="微软雅黑" w:hAnsi="微软雅黑" w:eastAsia="微软雅黑" w:cs="微软雅黑"/>
          <w:spacing w:val="10"/>
          <w:sz w:val="16"/>
          <w:szCs w:val="16"/>
        </w:rPr>
        <w:t>，</w:t>
      </w:r>
      <w:r>
        <w:rPr>
          <w:rFonts w:ascii="宋体" w:hAnsi="宋体" w:eastAsia="宋体" w:cs="宋体"/>
          <w:spacing w:val="10"/>
          <w:sz w:val="16"/>
          <w:szCs w:val="16"/>
        </w:rPr>
        <w:t>科技</w:t>
      </w:r>
      <w:r>
        <w:rPr>
          <w:rFonts w:ascii="宋体" w:hAnsi="宋体" w:eastAsia="宋体" w:cs="宋体"/>
          <w:spacing w:val="9"/>
          <w:sz w:val="16"/>
          <w:szCs w:val="16"/>
        </w:rPr>
        <w:t>创新类</w:t>
      </w:r>
      <w:r>
        <w:rPr>
          <w:rFonts w:ascii="微软雅黑" w:hAnsi="微软雅黑" w:eastAsia="微软雅黑" w:cs="微软雅黑"/>
          <w:spacing w:val="9"/>
          <w:sz w:val="16"/>
          <w:szCs w:val="16"/>
        </w:rPr>
        <w:t>、</w:t>
      </w:r>
      <w:r>
        <w:rPr>
          <w:rFonts w:ascii="宋体" w:hAnsi="宋体" w:eastAsia="宋体" w:cs="宋体"/>
          <w:spacing w:val="9"/>
          <w:sz w:val="16"/>
          <w:szCs w:val="16"/>
        </w:rPr>
        <w:t>理论</w:t>
      </w:r>
      <w:r>
        <w:rPr>
          <w:rFonts w:ascii="宋体" w:hAnsi="宋体" w:eastAsia="宋体" w:cs="宋体"/>
          <w:sz w:val="16"/>
          <w:szCs w:val="16"/>
        </w:rPr>
        <w:t xml:space="preserve"> </w:t>
      </w:r>
      <w:r>
        <w:rPr>
          <w:rFonts w:ascii="宋体" w:hAnsi="宋体" w:eastAsia="宋体" w:cs="宋体"/>
          <w:spacing w:val="18"/>
          <w:sz w:val="16"/>
          <w:szCs w:val="16"/>
        </w:rPr>
        <w:t>研究类社团对学科</w:t>
      </w:r>
      <w:r>
        <w:rPr>
          <w:rFonts w:ascii="宋体" w:hAnsi="宋体" w:eastAsia="宋体" w:cs="宋体"/>
          <w:spacing w:val="-41"/>
          <w:sz w:val="16"/>
          <w:szCs w:val="16"/>
        </w:rPr>
        <w:t xml:space="preserve"> </w:t>
      </w:r>
      <w:r>
        <w:rPr>
          <w:rFonts w:ascii="宋体" w:hAnsi="宋体" w:eastAsia="宋体" w:cs="宋体"/>
          <w:spacing w:val="18"/>
          <w:sz w:val="16"/>
          <w:szCs w:val="16"/>
        </w:rPr>
        <w:t>的依</w:t>
      </w:r>
      <w:r>
        <w:rPr>
          <w:rFonts w:ascii="宋体" w:hAnsi="宋体" w:eastAsia="宋体" w:cs="宋体"/>
          <w:spacing w:val="-39"/>
          <w:sz w:val="16"/>
          <w:szCs w:val="16"/>
        </w:rPr>
        <w:t xml:space="preserve"> </w:t>
      </w:r>
      <w:r>
        <w:rPr>
          <w:rFonts w:ascii="宋体" w:hAnsi="宋体" w:eastAsia="宋体" w:cs="宋体"/>
          <w:spacing w:val="18"/>
          <w:sz w:val="16"/>
          <w:szCs w:val="16"/>
        </w:rPr>
        <w:t>附性较大</w:t>
      </w:r>
      <w:r>
        <w:rPr>
          <w:rFonts w:ascii="宋体" w:hAnsi="宋体" w:eastAsia="宋体" w:cs="宋体"/>
          <w:spacing w:val="-41"/>
          <w:sz w:val="16"/>
          <w:szCs w:val="16"/>
        </w:rPr>
        <w:t xml:space="preserve"> </w:t>
      </w:r>
      <w:r>
        <w:rPr>
          <w:rFonts w:ascii="微软雅黑" w:hAnsi="微软雅黑" w:eastAsia="微软雅黑" w:cs="微软雅黑"/>
          <w:spacing w:val="18"/>
          <w:sz w:val="16"/>
          <w:szCs w:val="16"/>
        </w:rPr>
        <w:t>。</w:t>
      </w:r>
      <w:r>
        <w:rPr>
          <w:rFonts w:ascii="微软雅黑" w:hAnsi="微软雅黑" w:eastAsia="微软雅黑" w:cs="微软雅黑"/>
          <w:spacing w:val="-23"/>
          <w:sz w:val="16"/>
          <w:szCs w:val="16"/>
        </w:rPr>
        <w:t xml:space="preserve"> </w:t>
      </w:r>
      <w:r>
        <w:rPr>
          <w:rFonts w:ascii="宋体" w:hAnsi="宋体" w:eastAsia="宋体" w:cs="宋体"/>
          <w:spacing w:val="18"/>
          <w:sz w:val="16"/>
          <w:szCs w:val="16"/>
        </w:rPr>
        <w:t>高校学生</w:t>
      </w:r>
      <w:r>
        <w:rPr>
          <w:rFonts w:ascii="宋体" w:hAnsi="宋体" w:eastAsia="宋体" w:cs="宋体"/>
          <w:spacing w:val="17"/>
          <w:sz w:val="16"/>
          <w:szCs w:val="16"/>
        </w:rPr>
        <w:t>社团组织结构</w:t>
      </w:r>
      <w:r>
        <w:rPr>
          <w:rFonts w:ascii="宋体" w:hAnsi="宋体" w:eastAsia="宋体" w:cs="宋体"/>
          <w:sz w:val="16"/>
          <w:szCs w:val="16"/>
        </w:rPr>
        <w:t xml:space="preserve"> </w:t>
      </w:r>
      <w:r>
        <w:rPr>
          <w:rFonts w:ascii="宋体" w:hAnsi="宋体" w:eastAsia="宋体" w:cs="宋体"/>
          <w:spacing w:val="12"/>
          <w:sz w:val="16"/>
          <w:szCs w:val="16"/>
        </w:rPr>
        <w:t>包括兴趣导向的组织结构</w:t>
      </w:r>
      <w:r>
        <w:rPr>
          <w:rFonts w:ascii="微软雅黑" w:hAnsi="微软雅黑" w:eastAsia="微软雅黑" w:cs="微软雅黑"/>
          <w:spacing w:val="12"/>
          <w:sz w:val="16"/>
          <w:szCs w:val="16"/>
        </w:rPr>
        <w:t>、</w:t>
      </w:r>
      <w:r>
        <w:rPr>
          <w:rFonts w:ascii="宋体" w:hAnsi="宋体" w:eastAsia="宋体" w:cs="宋体"/>
          <w:spacing w:val="12"/>
          <w:sz w:val="16"/>
          <w:szCs w:val="16"/>
        </w:rPr>
        <w:t>功能导向的组织</w:t>
      </w:r>
      <w:r>
        <w:rPr>
          <w:rFonts w:ascii="宋体" w:hAnsi="宋体" w:eastAsia="宋体" w:cs="宋体"/>
          <w:spacing w:val="-45"/>
          <w:sz w:val="16"/>
          <w:szCs w:val="16"/>
        </w:rPr>
        <w:t xml:space="preserve"> </w:t>
      </w:r>
      <w:r>
        <w:rPr>
          <w:rFonts w:ascii="宋体" w:hAnsi="宋体" w:eastAsia="宋体" w:cs="宋体"/>
          <w:spacing w:val="12"/>
          <w:sz w:val="16"/>
          <w:szCs w:val="16"/>
        </w:rPr>
        <w:t>结构</w:t>
      </w:r>
      <w:r>
        <w:rPr>
          <w:rFonts w:ascii="微软雅黑" w:hAnsi="微软雅黑" w:eastAsia="微软雅黑" w:cs="微软雅黑"/>
          <w:spacing w:val="12"/>
          <w:sz w:val="16"/>
          <w:szCs w:val="16"/>
        </w:rPr>
        <w:t>、</w:t>
      </w:r>
      <w:r>
        <w:rPr>
          <w:rFonts w:ascii="宋体" w:hAnsi="宋体" w:eastAsia="宋体" w:cs="宋体"/>
          <w:spacing w:val="12"/>
          <w:sz w:val="16"/>
          <w:szCs w:val="16"/>
        </w:rPr>
        <w:t>目标</w:t>
      </w:r>
      <w:r>
        <w:rPr>
          <w:rFonts w:ascii="宋体" w:hAnsi="宋体" w:eastAsia="宋体" w:cs="宋体"/>
          <w:spacing w:val="-46"/>
          <w:sz w:val="16"/>
          <w:szCs w:val="16"/>
        </w:rPr>
        <w:t xml:space="preserve"> </w:t>
      </w:r>
      <w:r>
        <w:rPr>
          <w:rFonts w:ascii="宋体" w:hAnsi="宋体" w:eastAsia="宋体" w:cs="宋体"/>
          <w:spacing w:val="12"/>
          <w:sz w:val="16"/>
          <w:szCs w:val="16"/>
        </w:rPr>
        <w:t>导</w:t>
      </w:r>
      <w:r>
        <w:rPr>
          <w:rFonts w:ascii="宋体" w:hAnsi="宋体" w:eastAsia="宋体" w:cs="宋体"/>
          <w:spacing w:val="-33"/>
          <w:sz w:val="16"/>
          <w:szCs w:val="16"/>
        </w:rPr>
        <w:t xml:space="preserve"> </w:t>
      </w:r>
      <w:r>
        <w:rPr>
          <w:rFonts w:ascii="宋体" w:hAnsi="宋体" w:eastAsia="宋体" w:cs="宋体"/>
          <w:spacing w:val="12"/>
          <w:sz w:val="16"/>
          <w:szCs w:val="16"/>
        </w:rPr>
        <w:t>向</w:t>
      </w:r>
      <w:r>
        <w:rPr>
          <w:rFonts w:ascii="宋体" w:hAnsi="宋体" w:eastAsia="宋体" w:cs="宋体"/>
          <w:sz w:val="16"/>
          <w:szCs w:val="16"/>
        </w:rPr>
        <w:t xml:space="preserve"> </w:t>
      </w:r>
      <w:r>
        <w:rPr>
          <w:rFonts w:ascii="宋体" w:hAnsi="宋体" w:eastAsia="宋体" w:cs="宋体"/>
          <w:spacing w:val="15"/>
          <w:sz w:val="16"/>
          <w:szCs w:val="16"/>
        </w:rPr>
        <w:t>的组织结构和矩阵式组织结构等四种类型</w:t>
      </w:r>
      <w:r>
        <w:rPr>
          <w:rFonts w:ascii="微软雅黑" w:hAnsi="微软雅黑" w:eastAsia="微软雅黑" w:cs="微软雅黑"/>
          <w:spacing w:val="15"/>
          <w:sz w:val="16"/>
          <w:szCs w:val="16"/>
        </w:rPr>
        <w:t>，</w:t>
      </w:r>
      <w:r>
        <w:rPr>
          <w:rFonts w:ascii="宋体" w:hAnsi="宋体" w:eastAsia="宋体" w:cs="宋体"/>
          <w:spacing w:val="15"/>
          <w:sz w:val="16"/>
          <w:szCs w:val="16"/>
        </w:rPr>
        <w:t>其</w:t>
      </w:r>
      <w:r>
        <w:rPr>
          <w:rFonts w:ascii="宋体" w:hAnsi="宋体" w:eastAsia="宋体" w:cs="宋体"/>
          <w:spacing w:val="-43"/>
          <w:sz w:val="16"/>
          <w:szCs w:val="16"/>
        </w:rPr>
        <w:t xml:space="preserve"> </w:t>
      </w:r>
      <w:r>
        <w:rPr>
          <w:rFonts w:ascii="宋体" w:hAnsi="宋体" w:eastAsia="宋体" w:cs="宋体"/>
          <w:spacing w:val="15"/>
          <w:sz w:val="16"/>
          <w:szCs w:val="16"/>
        </w:rPr>
        <w:t>中矩阵式组织</w:t>
      </w:r>
      <w:r>
        <w:rPr>
          <w:rFonts w:ascii="宋体" w:hAnsi="宋体" w:eastAsia="宋体" w:cs="宋体"/>
          <w:sz w:val="16"/>
          <w:szCs w:val="16"/>
        </w:rPr>
        <w:t xml:space="preserve"> </w:t>
      </w:r>
      <w:r>
        <w:rPr>
          <w:rFonts w:ascii="宋体" w:hAnsi="宋体" w:eastAsia="宋体" w:cs="宋体"/>
          <w:spacing w:val="19"/>
          <w:sz w:val="16"/>
          <w:szCs w:val="16"/>
        </w:rPr>
        <w:t>结构获得的评价和荣誉高于其他三种</w:t>
      </w:r>
      <w:r>
        <w:rPr>
          <w:rFonts w:ascii="微软雅黑" w:hAnsi="微软雅黑" w:eastAsia="微软雅黑" w:cs="微软雅黑"/>
          <w:spacing w:val="19"/>
          <w:sz w:val="16"/>
          <w:szCs w:val="16"/>
        </w:rPr>
        <w:t>。</w:t>
      </w:r>
    </w:p>
    <w:p>
      <w:pPr>
        <w:spacing w:before="68" w:line="246" w:lineRule="auto"/>
        <w:ind w:right="5" w:firstLine="366"/>
        <w:jc w:val="both"/>
        <w:rPr>
          <w:rFonts w:ascii="微软雅黑" w:hAnsi="微软雅黑" w:eastAsia="微软雅黑" w:cs="微软雅黑"/>
          <w:sz w:val="16"/>
          <w:szCs w:val="16"/>
        </w:rPr>
      </w:pPr>
      <w:r>
        <w:rPr>
          <w:rFonts w:ascii="宋体" w:hAnsi="宋体" w:eastAsia="宋体" w:cs="宋体"/>
          <w:spacing w:val="10"/>
          <w:sz w:val="16"/>
          <w:szCs w:val="16"/>
        </w:rPr>
        <w:t>高校学生社团功能包括职业</w:t>
      </w:r>
      <w:r>
        <w:rPr>
          <w:rFonts w:ascii="宋体" w:hAnsi="宋体" w:eastAsia="宋体" w:cs="宋体"/>
          <w:spacing w:val="-48"/>
          <w:sz w:val="16"/>
          <w:szCs w:val="16"/>
        </w:rPr>
        <w:t xml:space="preserve"> </w:t>
      </w:r>
      <w:r>
        <w:rPr>
          <w:rFonts w:ascii="宋体" w:hAnsi="宋体" w:eastAsia="宋体" w:cs="宋体"/>
          <w:spacing w:val="10"/>
          <w:sz w:val="16"/>
          <w:szCs w:val="16"/>
        </w:rPr>
        <w:t>发展</w:t>
      </w:r>
      <w:r>
        <w:rPr>
          <w:rFonts w:ascii="宋体" w:hAnsi="宋体" w:eastAsia="宋体" w:cs="宋体"/>
          <w:spacing w:val="-48"/>
          <w:sz w:val="16"/>
          <w:szCs w:val="16"/>
        </w:rPr>
        <w:t xml:space="preserve"> </w:t>
      </w:r>
      <w:r>
        <w:rPr>
          <w:rFonts w:ascii="宋体" w:hAnsi="宋体" w:eastAsia="宋体" w:cs="宋体"/>
          <w:spacing w:val="10"/>
          <w:sz w:val="16"/>
          <w:szCs w:val="16"/>
        </w:rPr>
        <w:t>功</w:t>
      </w:r>
      <w:r>
        <w:rPr>
          <w:rFonts w:ascii="宋体" w:hAnsi="宋体" w:eastAsia="宋体" w:cs="宋体"/>
          <w:spacing w:val="-44"/>
          <w:sz w:val="16"/>
          <w:szCs w:val="16"/>
        </w:rPr>
        <w:t xml:space="preserve"> </w:t>
      </w:r>
      <w:r>
        <w:rPr>
          <w:rFonts w:ascii="宋体" w:hAnsi="宋体" w:eastAsia="宋体" w:cs="宋体"/>
          <w:spacing w:val="10"/>
          <w:sz w:val="16"/>
          <w:szCs w:val="16"/>
        </w:rPr>
        <w:t>能</w:t>
      </w:r>
      <w:r>
        <w:rPr>
          <w:rFonts w:ascii="微软雅黑" w:hAnsi="微软雅黑" w:eastAsia="微软雅黑" w:cs="微软雅黑"/>
          <w:spacing w:val="10"/>
          <w:sz w:val="16"/>
          <w:szCs w:val="16"/>
        </w:rPr>
        <w:t>、</w:t>
      </w:r>
      <w:r>
        <w:rPr>
          <w:rFonts w:ascii="宋体" w:hAnsi="宋体" w:eastAsia="宋体" w:cs="宋体"/>
          <w:spacing w:val="10"/>
          <w:sz w:val="16"/>
          <w:szCs w:val="16"/>
        </w:rPr>
        <w:t>人</w:t>
      </w:r>
      <w:r>
        <w:rPr>
          <w:rFonts w:ascii="宋体" w:hAnsi="宋体" w:eastAsia="宋体" w:cs="宋体"/>
          <w:spacing w:val="-39"/>
          <w:sz w:val="16"/>
          <w:szCs w:val="16"/>
        </w:rPr>
        <w:t xml:space="preserve"> </w:t>
      </w:r>
      <w:r>
        <w:rPr>
          <w:rFonts w:ascii="宋体" w:hAnsi="宋体" w:eastAsia="宋体" w:cs="宋体"/>
          <w:spacing w:val="10"/>
          <w:sz w:val="16"/>
          <w:szCs w:val="16"/>
        </w:rPr>
        <w:t>际体验</w:t>
      </w:r>
      <w:r>
        <w:rPr>
          <w:rFonts w:ascii="宋体" w:hAnsi="宋体" w:eastAsia="宋体" w:cs="宋体"/>
          <w:spacing w:val="-48"/>
          <w:sz w:val="16"/>
          <w:szCs w:val="16"/>
        </w:rPr>
        <w:t xml:space="preserve"> </w:t>
      </w:r>
      <w:r>
        <w:rPr>
          <w:rFonts w:ascii="宋体" w:hAnsi="宋体" w:eastAsia="宋体" w:cs="宋体"/>
          <w:spacing w:val="10"/>
          <w:sz w:val="16"/>
          <w:szCs w:val="16"/>
        </w:rPr>
        <w:t>功</w:t>
      </w:r>
      <w:r>
        <w:rPr>
          <w:rFonts w:ascii="宋体" w:hAnsi="宋体" w:eastAsia="宋体" w:cs="宋体"/>
          <w:spacing w:val="-44"/>
          <w:sz w:val="16"/>
          <w:szCs w:val="16"/>
        </w:rPr>
        <w:t xml:space="preserve"> </w:t>
      </w:r>
      <w:r>
        <w:rPr>
          <w:rFonts w:ascii="宋体" w:hAnsi="宋体" w:eastAsia="宋体" w:cs="宋体"/>
          <w:spacing w:val="10"/>
          <w:sz w:val="16"/>
          <w:szCs w:val="16"/>
        </w:rPr>
        <w:t>能</w:t>
      </w:r>
      <w:r>
        <w:rPr>
          <w:rFonts w:ascii="微软雅黑" w:hAnsi="微软雅黑" w:eastAsia="微软雅黑" w:cs="微软雅黑"/>
          <w:spacing w:val="10"/>
          <w:sz w:val="16"/>
          <w:szCs w:val="16"/>
        </w:rPr>
        <w:t>、</w:t>
      </w:r>
      <w:r>
        <w:rPr>
          <w:rFonts w:ascii="微软雅黑" w:hAnsi="微软雅黑" w:eastAsia="微软雅黑" w:cs="微软雅黑"/>
          <w:sz w:val="16"/>
          <w:szCs w:val="16"/>
        </w:rPr>
        <w:t xml:space="preserve"> </w:t>
      </w:r>
      <w:r>
        <w:rPr>
          <w:rFonts w:ascii="宋体" w:hAnsi="宋体" w:eastAsia="宋体" w:cs="宋体"/>
          <w:spacing w:val="13"/>
          <w:sz w:val="16"/>
          <w:szCs w:val="16"/>
        </w:rPr>
        <w:t>平</w:t>
      </w:r>
      <w:r>
        <w:rPr>
          <w:rFonts w:ascii="宋体" w:hAnsi="宋体" w:eastAsia="宋体" w:cs="宋体"/>
          <w:spacing w:val="-28"/>
          <w:sz w:val="16"/>
          <w:szCs w:val="16"/>
        </w:rPr>
        <w:t xml:space="preserve"> </w:t>
      </w:r>
      <w:r>
        <w:rPr>
          <w:rFonts w:ascii="宋体" w:hAnsi="宋体" w:eastAsia="宋体" w:cs="宋体"/>
          <w:spacing w:val="13"/>
          <w:sz w:val="16"/>
          <w:szCs w:val="16"/>
        </w:rPr>
        <w:t>台载体功能</w:t>
      </w:r>
      <w:r>
        <w:rPr>
          <w:rFonts w:ascii="微软雅黑" w:hAnsi="微软雅黑" w:eastAsia="微软雅黑" w:cs="微软雅黑"/>
          <w:spacing w:val="13"/>
          <w:sz w:val="16"/>
          <w:szCs w:val="16"/>
        </w:rPr>
        <w:t>、</w:t>
      </w:r>
      <w:r>
        <w:rPr>
          <w:rFonts w:ascii="宋体" w:hAnsi="宋体" w:eastAsia="宋体" w:cs="宋体"/>
          <w:spacing w:val="13"/>
          <w:sz w:val="16"/>
          <w:szCs w:val="16"/>
        </w:rPr>
        <w:t>自我提升功能和愉悦身心功能</w:t>
      </w:r>
      <w:r>
        <w:rPr>
          <w:rFonts w:ascii="宋体" w:hAnsi="宋体" w:eastAsia="宋体" w:cs="宋体"/>
          <w:spacing w:val="-42"/>
          <w:sz w:val="16"/>
          <w:szCs w:val="16"/>
        </w:rPr>
        <w:t xml:space="preserve"> </w:t>
      </w:r>
      <w:r>
        <w:rPr>
          <w:rFonts w:ascii="微软雅黑" w:hAnsi="微软雅黑" w:eastAsia="微软雅黑" w:cs="微软雅黑"/>
          <w:spacing w:val="13"/>
          <w:sz w:val="16"/>
          <w:szCs w:val="16"/>
        </w:rPr>
        <w:t>。</w:t>
      </w:r>
      <w:r>
        <w:rPr>
          <w:rFonts w:ascii="宋体" w:hAnsi="宋体" w:eastAsia="宋体" w:cs="宋体"/>
          <w:spacing w:val="13"/>
          <w:sz w:val="16"/>
          <w:szCs w:val="16"/>
        </w:rPr>
        <w:t>调查发现高</w:t>
      </w:r>
      <w:r>
        <w:rPr>
          <w:rFonts w:ascii="宋体" w:hAnsi="宋体" w:eastAsia="宋体" w:cs="宋体"/>
          <w:sz w:val="16"/>
          <w:szCs w:val="16"/>
        </w:rPr>
        <w:t xml:space="preserve">  </w:t>
      </w:r>
      <w:r>
        <w:rPr>
          <w:rFonts w:ascii="宋体" w:hAnsi="宋体" w:eastAsia="宋体" w:cs="宋体"/>
          <w:spacing w:val="12"/>
          <w:sz w:val="16"/>
          <w:szCs w:val="16"/>
        </w:rPr>
        <w:t>校学生社团功能对男性学生的影响更大</w:t>
      </w:r>
      <w:r>
        <w:rPr>
          <w:rFonts w:ascii="微软雅黑" w:hAnsi="微软雅黑" w:eastAsia="微软雅黑" w:cs="微软雅黑"/>
          <w:spacing w:val="12"/>
          <w:sz w:val="16"/>
          <w:szCs w:val="16"/>
        </w:rPr>
        <w:t>，</w:t>
      </w:r>
      <w:r>
        <w:rPr>
          <w:rFonts w:ascii="宋体" w:hAnsi="宋体" w:eastAsia="宋体" w:cs="宋体"/>
          <w:spacing w:val="12"/>
          <w:sz w:val="16"/>
          <w:szCs w:val="16"/>
        </w:rPr>
        <w:t>是</w:t>
      </w:r>
      <w:r>
        <w:rPr>
          <w:rFonts w:ascii="宋体" w:hAnsi="宋体" w:eastAsia="宋体" w:cs="宋体"/>
          <w:spacing w:val="-30"/>
          <w:sz w:val="16"/>
          <w:szCs w:val="16"/>
        </w:rPr>
        <w:t xml:space="preserve"> </w:t>
      </w:r>
      <w:r>
        <w:rPr>
          <w:rFonts w:ascii="宋体" w:hAnsi="宋体" w:eastAsia="宋体" w:cs="宋体"/>
          <w:spacing w:val="12"/>
          <w:sz w:val="16"/>
          <w:szCs w:val="16"/>
        </w:rPr>
        <w:t>否对</w:t>
      </w:r>
      <w:r>
        <w:rPr>
          <w:rFonts w:ascii="宋体" w:hAnsi="宋体" w:eastAsia="宋体" w:cs="宋体"/>
          <w:spacing w:val="-47"/>
          <w:sz w:val="16"/>
          <w:szCs w:val="16"/>
        </w:rPr>
        <w:t xml:space="preserve"> </w:t>
      </w:r>
      <w:r>
        <w:rPr>
          <w:rFonts w:ascii="宋体" w:hAnsi="宋体" w:eastAsia="宋体" w:cs="宋体"/>
          <w:spacing w:val="12"/>
          <w:sz w:val="16"/>
          <w:szCs w:val="16"/>
        </w:rPr>
        <w:t>外</w:t>
      </w:r>
      <w:r>
        <w:rPr>
          <w:rFonts w:ascii="宋体" w:hAnsi="宋体" w:eastAsia="宋体" w:cs="宋体"/>
          <w:spacing w:val="-47"/>
          <w:sz w:val="16"/>
          <w:szCs w:val="16"/>
        </w:rPr>
        <w:t xml:space="preserve"> </w:t>
      </w:r>
      <w:r>
        <w:rPr>
          <w:rFonts w:ascii="宋体" w:hAnsi="宋体" w:eastAsia="宋体" w:cs="宋体"/>
          <w:spacing w:val="12"/>
          <w:sz w:val="16"/>
          <w:szCs w:val="16"/>
        </w:rPr>
        <w:t>交流</w:t>
      </w:r>
      <w:r>
        <w:rPr>
          <w:rFonts w:ascii="微软雅黑" w:hAnsi="微软雅黑" w:eastAsia="微软雅黑" w:cs="微软雅黑"/>
          <w:spacing w:val="12"/>
          <w:sz w:val="16"/>
          <w:szCs w:val="16"/>
        </w:rPr>
        <w:t>、</w:t>
      </w:r>
      <w:r>
        <w:rPr>
          <w:rFonts w:ascii="宋体" w:hAnsi="宋体" w:eastAsia="宋体" w:cs="宋体"/>
          <w:spacing w:val="12"/>
          <w:sz w:val="16"/>
          <w:szCs w:val="16"/>
        </w:rPr>
        <w:t>社</w:t>
      </w:r>
      <w:r>
        <w:rPr>
          <w:rFonts w:ascii="宋体" w:hAnsi="宋体" w:eastAsia="宋体" w:cs="宋体"/>
          <w:sz w:val="16"/>
          <w:szCs w:val="16"/>
        </w:rPr>
        <w:t xml:space="preserve">  </w:t>
      </w:r>
      <w:r>
        <w:rPr>
          <w:rFonts w:ascii="宋体" w:hAnsi="宋体" w:eastAsia="宋体" w:cs="宋体"/>
          <w:spacing w:val="12"/>
          <w:sz w:val="16"/>
          <w:szCs w:val="16"/>
        </w:rPr>
        <w:t>团</w:t>
      </w:r>
      <w:r>
        <w:rPr>
          <w:rFonts w:ascii="宋体" w:hAnsi="宋体" w:eastAsia="宋体" w:cs="宋体"/>
          <w:spacing w:val="-38"/>
          <w:sz w:val="16"/>
          <w:szCs w:val="16"/>
        </w:rPr>
        <w:t xml:space="preserve"> </w:t>
      </w:r>
      <w:r>
        <w:rPr>
          <w:rFonts w:ascii="宋体" w:hAnsi="宋体" w:eastAsia="宋体" w:cs="宋体"/>
          <w:spacing w:val="12"/>
          <w:sz w:val="16"/>
          <w:szCs w:val="16"/>
        </w:rPr>
        <w:t>的组织结构</w:t>
      </w:r>
      <w:r>
        <w:rPr>
          <w:rFonts w:ascii="微软雅黑" w:hAnsi="微软雅黑" w:eastAsia="微软雅黑" w:cs="微软雅黑"/>
          <w:spacing w:val="12"/>
          <w:sz w:val="16"/>
          <w:szCs w:val="16"/>
        </w:rPr>
        <w:t>、</w:t>
      </w:r>
      <w:r>
        <w:rPr>
          <w:rFonts w:ascii="宋体" w:hAnsi="宋体" w:eastAsia="宋体" w:cs="宋体"/>
          <w:spacing w:val="12"/>
          <w:sz w:val="16"/>
          <w:szCs w:val="16"/>
        </w:rPr>
        <w:t>指导老师数量</w:t>
      </w:r>
      <w:r>
        <w:rPr>
          <w:rFonts w:ascii="微软雅黑" w:hAnsi="微软雅黑" w:eastAsia="微软雅黑" w:cs="微软雅黑"/>
          <w:spacing w:val="12"/>
          <w:sz w:val="16"/>
          <w:szCs w:val="16"/>
        </w:rPr>
        <w:t>、</w:t>
      </w:r>
      <w:r>
        <w:rPr>
          <w:rFonts w:ascii="宋体" w:hAnsi="宋体" w:eastAsia="宋体" w:cs="宋体"/>
          <w:spacing w:val="12"/>
          <w:sz w:val="16"/>
          <w:szCs w:val="16"/>
        </w:rPr>
        <w:t>社长</w:t>
      </w:r>
      <w:r>
        <w:rPr>
          <w:rFonts w:ascii="宋体" w:hAnsi="宋体" w:eastAsia="宋体" w:cs="宋体"/>
          <w:spacing w:val="-38"/>
          <w:sz w:val="16"/>
          <w:szCs w:val="16"/>
        </w:rPr>
        <w:t xml:space="preserve"> </w:t>
      </w:r>
      <w:r>
        <w:rPr>
          <w:rFonts w:ascii="宋体" w:hAnsi="宋体" w:eastAsia="宋体" w:cs="宋体"/>
          <w:spacing w:val="12"/>
          <w:sz w:val="16"/>
          <w:szCs w:val="16"/>
        </w:rPr>
        <w:t>的领</w:t>
      </w:r>
      <w:r>
        <w:rPr>
          <w:rFonts w:ascii="宋体" w:hAnsi="宋体" w:eastAsia="宋体" w:cs="宋体"/>
          <w:spacing w:val="-48"/>
          <w:sz w:val="16"/>
          <w:szCs w:val="16"/>
        </w:rPr>
        <w:t xml:space="preserve"> </w:t>
      </w:r>
      <w:r>
        <w:rPr>
          <w:rFonts w:ascii="宋体" w:hAnsi="宋体" w:eastAsia="宋体" w:cs="宋体"/>
          <w:spacing w:val="12"/>
          <w:sz w:val="16"/>
          <w:szCs w:val="16"/>
        </w:rPr>
        <w:t>导风格对高校学生</w:t>
      </w:r>
      <w:r>
        <w:rPr>
          <w:rFonts w:ascii="宋体" w:hAnsi="宋体" w:eastAsia="宋体" w:cs="宋体"/>
          <w:sz w:val="16"/>
          <w:szCs w:val="16"/>
        </w:rPr>
        <w:t xml:space="preserve">  </w:t>
      </w:r>
      <w:r>
        <w:rPr>
          <w:rFonts w:ascii="宋体" w:hAnsi="宋体" w:eastAsia="宋体" w:cs="宋体"/>
          <w:spacing w:val="17"/>
          <w:sz w:val="16"/>
          <w:szCs w:val="16"/>
        </w:rPr>
        <w:t>社团功能都有一定</w:t>
      </w:r>
      <w:r>
        <w:rPr>
          <w:rFonts w:ascii="宋体" w:hAnsi="宋体" w:eastAsia="宋体" w:cs="宋体"/>
          <w:spacing w:val="-23"/>
          <w:sz w:val="16"/>
          <w:szCs w:val="16"/>
        </w:rPr>
        <w:t xml:space="preserve"> </w:t>
      </w:r>
      <w:r>
        <w:rPr>
          <w:rFonts w:ascii="宋体" w:hAnsi="宋体" w:eastAsia="宋体" w:cs="宋体"/>
          <w:spacing w:val="17"/>
          <w:sz w:val="16"/>
          <w:szCs w:val="16"/>
        </w:rPr>
        <w:t>的影</w:t>
      </w:r>
      <w:r>
        <w:rPr>
          <w:rFonts w:ascii="宋体" w:hAnsi="宋体" w:eastAsia="宋体" w:cs="宋体"/>
          <w:spacing w:val="-44"/>
          <w:sz w:val="16"/>
          <w:szCs w:val="16"/>
        </w:rPr>
        <w:t xml:space="preserve"> </w:t>
      </w:r>
      <w:r>
        <w:rPr>
          <w:rFonts w:ascii="宋体" w:hAnsi="宋体" w:eastAsia="宋体" w:cs="宋体"/>
          <w:spacing w:val="17"/>
          <w:sz w:val="16"/>
          <w:szCs w:val="16"/>
        </w:rPr>
        <w:t>响</w:t>
      </w:r>
      <w:r>
        <w:rPr>
          <w:rFonts w:ascii="宋体" w:hAnsi="宋体" w:eastAsia="宋体" w:cs="宋体"/>
          <w:spacing w:val="-41"/>
          <w:sz w:val="16"/>
          <w:szCs w:val="16"/>
        </w:rPr>
        <w:t xml:space="preserve"> </w:t>
      </w:r>
      <w:r>
        <w:rPr>
          <w:rFonts w:ascii="微软雅黑" w:hAnsi="微软雅黑" w:eastAsia="微软雅黑" w:cs="微软雅黑"/>
          <w:spacing w:val="17"/>
          <w:sz w:val="16"/>
          <w:szCs w:val="16"/>
        </w:rPr>
        <w:t>。</w:t>
      </w:r>
      <w:r>
        <w:rPr>
          <w:rFonts w:ascii="微软雅黑" w:hAnsi="微软雅黑" w:eastAsia="微软雅黑" w:cs="微软雅黑"/>
          <w:spacing w:val="-26"/>
          <w:sz w:val="16"/>
          <w:szCs w:val="16"/>
        </w:rPr>
        <w:t xml:space="preserve"> </w:t>
      </w:r>
      <w:r>
        <w:rPr>
          <w:rFonts w:ascii="宋体" w:hAnsi="宋体" w:eastAsia="宋体" w:cs="宋体"/>
          <w:spacing w:val="17"/>
          <w:sz w:val="16"/>
          <w:szCs w:val="16"/>
        </w:rPr>
        <w:t xml:space="preserve">社员在对高校学生社团进行评 </w:t>
      </w:r>
      <w:r>
        <w:rPr>
          <w:rFonts w:ascii="宋体" w:hAnsi="宋体" w:eastAsia="宋体" w:cs="宋体"/>
          <w:spacing w:val="14"/>
          <w:sz w:val="16"/>
          <w:szCs w:val="16"/>
        </w:rPr>
        <w:t>价时主要考虑团</w:t>
      </w:r>
      <w:r>
        <w:rPr>
          <w:rFonts w:ascii="宋体" w:hAnsi="宋体" w:eastAsia="宋体" w:cs="宋体"/>
          <w:spacing w:val="-45"/>
          <w:sz w:val="16"/>
          <w:szCs w:val="16"/>
        </w:rPr>
        <w:t xml:space="preserve"> </w:t>
      </w:r>
      <w:r>
        <w:rPr>
          <w:rFonts w:ascii="宋体" w:hAnsi="宋体" w:eastAsia="宋体" w:cs="宋体"/>
          <w:spacing w:val="14"/>
          <w:sz w:val="16"/>
          <w:szCs w:val="16"/>
        </w:rPr>
        <w:t>队意识</w:t>
      </w:r>
      <w:r>
        <w:rPr>
          <w:rFonts w:ascii="微软雅黑" w:hAnsi="微软雅黑" w:eastAsia="微软雅黑" w:cs="微软雅黑"/>
          <w:spacing w:val="14"/>
          <w:sz w:val="16"/>
          <w:szCs w:val="16"/>
        </w:rPr>
        <w:t>、</w:t>
      </w:r>
      <w:r>
        <w:rPr>
          <w:rFonts w:ascii="宋体" w:hAnsi="宋体" w:eastAsia="宋体" w:cs="宋体"/>
          <w:spacing w:val="14"/>
          <w:sz w:val="16"/>
          <w:szCs w:val="16"/>
        </w:rPr>
        <w:t>职</w:t>
      </w:r>
      <w:r>
        <w:rPr>
          <w:rFonts w:ascii="宋体" w:hAnsi="宋体" w:eastAsia="宋体" w:cs="宋体"/>
          <w:spacing w:val="-46"/>
          <w:sz w:val="16"/>
          <w:szCs w:val="16"/>
        </w:rPr>
        <w:t xml:space="preserve"> </w:t>
      </w:r>
      <w:r>
        <w:rPr>
          <w:rFonts w:ascii="宋体" w:hAnsi="宋体" w:eastAsia="宋体" w:cs="宋体"/>
          <w:spacing w:val="14"/>
          <w:sz w:val="16"/>
          <w:szCs w:val="16"/>
        </w:rPr>
        <w:t>能分工</w:t>
      </w:r>
      <w:r>
        <w:rPr>
          <w:rFonts w:ascii="微软雅黑" w:hAnsi="微软雅黑" w:eastAsia="微软雅黑" w:cs="微软雅黑"/>
          <w:spacing w:val="14"/>
          <w:sz w:val="16"/>
          <w:szCs w:val="16"/>
        </w:rPr>
        <w:t>、</w:t>
      </w:r>
      <w:r>
        <w:rPr>
          <w:rFonts w:ascii="宋体" w:hAnsi="宋体" w:eastAsia="宋体" w:cs="宋体"/>
          <w:spacing w:val="14"/>
          <w:sz w:val="16"/>
          <w:szCs w:val="16"/>
        </w:rPr>
        <w:t>发展前景和</w:t>
      </w:r>
      <w:r>
        <w:rPr>
          <w:rFonts w:ascii="宋体" w:hAnsi="宋体" w:eastAsia="宋体" w:cs="宋体"/>
          <w:spacing w:val="13"/>
          <w:sz w:val="16"/>
          <w:szCs w:val="16"/>
        </w:rPr>
        <w:t>社团影响力</w:t>
      </w:r>
      <w:r>
        <w:rPr>
          <w:rFonts w:ascii="宋体" w:hAnsi="宋体" w:eastAsia="宋体" w:cs="宋体"/>
          <w:sz w:val="16"/>
          <w:szCs w:val="16"/>
        </w:rPr>
        <w:t xml:space="preserve">  </w:t>
      </w:r>
      <w:r>
        <w:rPr>
          <w:rFonts w:ascii="宋体" w:hAnsi="宋体" w:eastAsia="宋体" w:cs="宋体"/>
          <w:spacing w:val="15"/>
          <w:sz w:val="16"/>
          <w:szCs w:val="16"/>
        </w:rPr>
        <w:t>等四个方面</w:t>
      </w:r>
      <w:r>
        <w:rPr>
          <w:rFonts w:ascii="微软雅黑" w:hAnsi="微软雅黑" w:eastAsia="微软雅黑" w:cs="微软雅黑"/>
          <w:spacing w:val="15"/>
          <w:sz w:val="16"/>
          <w:szCs w:val="16"/>
        </w:rPr>
        <w:t>，</w:t>
      </w:r>
      <w:r>
        <w:rPr>
          <w:rFonts w:ascii="宋体" w:hAnsi="宋体" w:eastAsia="宋体" w:cs="宋体"/>
          <w:spacing w:val="15"/>
          <w:sz w:val="16"/>
          <w:szCs w:val="16"/>
        </w:rPr>
        <w:t>调查发现高校学生社团评价存在一定</w:t>
      </w:r>
      <w:r>
        <w:rPr>
          <w:rFonts w:ascii="宋体" w:hAnsi="宋体" w:eastAsia="宋体" w:cs="宋体"/>
          <w:spacing w:val="-42"/>
          <w:sz w:val="16"/>
          <w:szCs w:val="16"/>
        </w:rPr>
        <w:t xml:space="preserve"> </w:t>
      </w:r>
      <w:r>
        <w:rPr>
          <w:rFonts w:ascii="宋体" w:hAnsi="宋体" w:eastAsia="宋体" w:cs="宋体"/>
          <w:spacing w:val="15"/>
          <w:sz w:val="16"/>
          <w:szCs w:val="16"/>
        </w:rPr>
        <w:t>的性别差</w:t>
      </w:r>
      <w:r>
        <w:rPr>
          <w:rFonts w:ascii="宋体" w:hAnsi="宋体" w:eastAsia="宋体" w:cs="宋体"/>
          <w:sz w:val="16"/>
          <w:szCs w:val="16"/>
        </w:rPr>
        <w:t xml:space="preserve">  </w:t>
      </w:r>
      <w:r>
        <w:rPr>
          <w:rFonts w:ascii="宋体" w:hAnsi="宋体" w:eastAsia="宋体" w:cs="宋体"/>
          <w:spacing w:val="13"/>
          <w:sz w:val="16"/>
          <w:szCs w:val="16"/>
        </w:rPr>
        <w:t>异和户籍差异</w:t>
      </w:r>
      <w:r>
        <w:rPr>
          <w:rFonts w:ascii="微软雅黑" w:hAnsi="微软雅黑" w:eastAsia="微软雅黑" w:cs="微软雅黑"/>
          <w:spacing w:val="13"/>
          <w:sz w:val="16"/>
          <w:szCs w:val="16"/>
        </w:rPr>
        <w:t>，</w:t>
      </w:r>
      <w:r>
        <w:rPr>
          <w:rFonts w:ascii="宋体" w:hAnsi="宋体" w:eastAsia="宋体" w:cs="宋体"/>
          <w:spacing w:val="13"/>
          <w:sz w:val="16"/>
          <w:szCs w:val="16"/>
        </w:rPr>
        <w:t>大学入学前的社团经历会影响其对社</w:t>
      </w:r>
      <w:r>
        <w:rPr>
          <w:rFonts w:ascii="宋体" w:hAnsi="宋体" w:eastAsia="宋体" w:cs="宋体"/>
          <w:spacing w:val="-30"/>
          <w:sz w:val="16"/>
          <w:szCs w:val="16"/>
        </w:rPr>
        <w:t xml:space="preserve"> </w:t>
      </w:r>
      <w:r>
        <w:rPr>
          <w:rFonts w:ascii="宋体" w:hAnsi="宋体" w:eastAsia="宋体" w:cs="宋体"/>
          <w:spacing w:val="13"/>
          <w:sz w:val="16"/>
          <w:szCs w:val="16"/>
        </w:rPr>
        <w:t>团</w:t>
      </w:r>
      <w:r>
        <w:rPr>
          <w:rFonts w:ascii="宋体" w:hAnsi="宋体" w:eastAsia="宋体" w:cs="宋体"/>
          <w:spacing w:val="-40"/>
          <w:sz w:val="16"/>
          <w:szCs w:val="16"/>
        </w:rPr>
        <w:t xml:space="preserve"> </w:t>
      </w:r>
      <w:r>
        <w:rPr>
          <w:rFonts w:ascii="宋体" w:hAnsi="宋体" w:eastAsia="宋体" w:cs="宋体"/>
          <w:spacing w:val="13"/>
          <w:sz w:val="16"/>
          <w:szCs w:val="16"/>
        </w:rPr>
        <w:t>的评</w:t>
      </w:r>
      <w:r>
        <w:rPr>
          <w:rFonts w:ascii="宋体" w:hAnsi="宋体" w:eastAsia="宋体" w:cs="宋体"/>
          <w:sz w:val="16"/>
          <w:szCs w:val="16"/>
        </w:rPr>
        <w:t xml:space="preserve">  价</w:t>
      </w:r>
      <w:r>
        <w:rPr>
          <w:rFonts w:ascii="微软雅黑" w:hAnsi="微软雅黑" w:eastAsia="微软雅黑" w:cs="微软雅黑"/>
          <w:sz w:val="16"/>
          <w:szCs w:val="16"/>
        </w:rPr>
        <w:t>，</w:t>
      </w:r>
      <w:r>
        <w:rPr>
          <w:rFonts w:ascii="宋体" w:hAnsi="宋体" w:eastAsia="宋体" w:cs="宋体"/>
          <w:sz w:val="16"/>
          <w:szCs w:val="16"/>
        </w:rPr>
        <w:t>社</w:t>
      </w:r>
      <w:r>
        <w:rPr>
          <w:rFonts w:ascii="宋体" w:hAnsi="宋体" w:eastAsia="宋体" w:cs="宋体"/>
          <w:spacing w:val="-27"/>
          <w:sz w:val="16"/>
          <w:szCs w:val="16"/>
        </w:rPr>
        <w:t xml:space="preserve"> </w:t>
      </w:r>
      <w:r>
        <w:rPr>
          <w:rFonts w:ascii="宋体" w:hAnsi="宋体" w:eastAsia="宋体" w:cs="宋体"/>
          <w:sz w:val="16"/>
          <w:szCs w:val="16"/>
        </w:rPr>
        <w:t>团类型</w:t>
      </w:r>
      <w:r>
        <w:rPr>
          <w:rFonts w:ascii="微软雅黑" w:hAnsi="微软雅黑" w:eastAsia="微软雅黑" w:cs="微软雅黑"/>
          <w:sz w:val="16"/>
          <w:szCs w:val="16"/>
        </w:rPr>
        <w:t>、</w:t>
      </w:r>
      <w:r>
        <w:rPr>
          <w:rFonts w:ascii="宋体" w:hAnsi="宋体" w:eastAsia="宋体" w:cs="宋体"/>
          <w:sz w:val="16"/>
          <w:szCs w:val="16"/>
        </w:rPr>
        <w:t>社</w:t>
      </w:r>
      <w:r>
        <w:rPr>
          <w:rFonts w:ascii="宋体" w:hAnsi="宋体" w:eastAsia="宋体" w:cs="宋体"/>
          <w:spacing w:val="-44"/>
          <w:sz w:val="16"/>
          <w:szCs w:val="16"/>
        </w:rPr>
        <w:t xml:space="preserve"> </w:t>
      </w:r>
      <w:r>
        <w:rPr>
          <w:rFonts w:ascii="宋体" w:hAnsi="宋体" w:eastAsia="宋体" w:cs="宋体"/>
          <w:sz w:val="16"/>
          <w:szCs w:val="16"/>
        </w:rPr>
        <w:t>团</w:t>
      </w:r>
      <w:r>
        <w:rPr>
          <w:rFonts w:ascii="宋体" w:hAnsi="宋体" w:eastAsia="宋体" w:cs="宋体"/>
          <w:spacing w:val="-44"/>
          <w:sz w:val="16"/>
          <w:szCs w:val="16"/>
        </w:rPr>
        <w:t xml:space="preserve"> </w:t>
      </w:r>
      <w:r>
        <w:rPr>
          <w:rFonts w:ascii="宋体" w:hAnsi="宋体" w:eastAsia="宋体" w:cs="宋体"/>
          <w:sz w:val="16"/>
          <w:szCs w:val="16"/>
        </w:rPr>
        <w:t>的组织结构</w:t>
      </w:r>
      <w:r>
        <w:rPr>
          <w:rFonts w:ascii="微软雅黑" w:hAnsi="微软雅黑" w:eastAsia="微软雅黑" w:cs="微软雅黑"/>
          <w:sz w:val="16"/>
          <w:szCs w:val="16"/>
        </w:rPr>
        <w:t>、</w:t>
      </w:r>
      <w:r>
        <w:rPr>
          <w:rFonts w:ascii="宋体" w:hAnsi="宋体" w:eastAsia="宋体" w:cs="宋体"/>
          <w:sz w:val="16"/>
          <w:szCs w:val="16"/>
        </w:rPr>
        <w:t>社长</w:t>
      </w:r>
      <w:r>
        <w:rPr>
          <w:rFonts w:ascii="宋体" w:hAnsi="宋体" w:eastAsia="宋体" w:cs="宋体"/>
          <w:spacing w:val="-37"/>
          <w:sz w:val="16"/>
          <w:szCs w:val="16"/>
        </w:rPr>
        <w:t xml:space="preserve"> </w:t>
      </w:r>
      <w:r>
        <w:rPr>
          <w:rFonts w:ascii="宋体" w:hAnsi="宋体" w:eastAsia="宋体" w:cs="宋体"/>
          <w:sz w:val="16"/>
          <w:szCs w:val="16"/>
        </w:rPr>
        <w:t>的领</w:t>
      </w:r>
      <w:r>
        <w:rPr>
          <w:rFonts w:ascii="宋体" w:hAnsi="宋体" w:eastAsia="宋体" w:cs="宋体"/>
          <w:spacing w:val="-46"/>
          <w:sz w:val="16"/>
          <w:szCs w:val="16"/>
        </w:rPr>
        <w:t xml:space="preserve"> </w:t>
      </w:r>
      <w:r>
        <w:rPr>
          <w:rFonts w:ascii="宋体" w:hAnsi="宋体" w:eastAsia="宋体" w:cs="宋体"/>
          <w:sz w:val="16"/>
          <w:szCs w:val="16"/>
        </w:rPr>
        <w:t>导风格</w:t>
      </w:r>
      <w:r>
        <w:rPr>
          <w:rFonts w:ascii="微软雅黑" w:hAnsi="微软雅黑" w:eastAsia="微软雅黑" w:cs="微软雅黑"/>
          <w:sz w:val="16"/>
          <w:szCs w:val="16"/>
        </w:rPr>
        <w:t>、</w:t>
      </w:r>
      <w:r>
        <w:rPr>
          <w:rFonts w:ascii="宋体" w:hAnsi="宋体" w:eastAsia="宋体" w:cs="宋体"/>
          <w:sz w:val="16"/>
          <w:szCs w:val="16"/>
        </w:rPr>
        <w:t>对</w:t>
      </w:r>
      <w:r>
        <w:rPr>
          <w:rFonts w:ascii="宋体" w:hAnsi="宋体" w:eastAsia="宋体" w:cs="宋体"/>
          <w:spacing w:val="-47"/>
          <w:sz w:val="16"/>
          <w:szCs w:val="16"/>
        </w:rPr>
        <w:t xml:space="preserve"> </w:t>
      </w:r>
      <w:r>
        <w:rPr>
          <w:rFonts w:ascii="宋体" w:hAnsi="宋体" w:eastAsia="宋体" w:cs="宋体"/>
          <w:sz w:val="16"/>
          <w:szCs w:val="16"/>
        </w:rPr>
        <w:t>外</w:t>
      </w:r>
      <w:r>
        <w:rPr>
          <w:rFonts w:ascii="宋体" w:hAnsi="宋体" w:eastAsia="宋体" w:cs="宋体"/>
          <w:spacing w:val="-47"/>
          <w:sz w:val="16"/>
          <w:szCs w:val="16"/>
        </w:rPr>
        <w:t xml:space="preserve"> </w:t>
      </w:r>
      <w:r>
        <w:rPr>
          <w:rFonts w:ascii="宋体" w:hAnsi="宋体" w:eastAsia="宋体" w:cs="宋体"/>
          <w:sz w:val="16"/>
          <w:szCs w:val="16"/>
        </w:rPr>
        <w:t xml:space="preserve">交流  </w:t>
      </w:r>
      <w:r>
        <w:rPr>
          <w:rFonts w:ascii="宋体" w:hAnsi="宋体" w:eastAsia="宋体" w:cs="宋体"/>
          <w:spacing w:val="15"/>
          <w:sz w:val="16"/>
          <w:szCs w:val="16"/>
        </w:rPr>
        <w:t>也会影响高校学生社团评价</w:t>
      </w:r>
      <w:r>
        <w:rPr>
          <w:rFonts w:ascii="微软雅黑" w:hAnsi="微软雅黑" w:eastAsia="微软雅黑" w:cs="微软雅黑"/>
          <w:spacing w:val="15"/>
          <w:sz w:val="16"/>
          <w:szCs w:val="16"/>
        </w:rPr>
        <w:t>，</w:t>
      </w:r>
      <w:r>
        <w:rPr>
          <w:rFonts w:ascii="宋体" w:hAnsi="宋体" w:eastAsia="宋体" w:cs="宋体"/>
          <w:spacing w:val="15"/>
          <w:sz w:val="16"/>
          <w:szCs w:val="16"/>
        </w:rPr>
        <w:t>在社团中获得的荣誉较高</w:t>
      </w:r>
      <w:r>
        <w:rPr>
          <w:rFonts w:ascii="宋体" w:hAnsi="宋体" w:eastAsia="宋体" w:cs="宋体"/>
          <w:spacing w:val="-41"/>
          <w:sz w:val="16"/>
          <w:szCs w:val="16"/>
        </w:rPr>
        <w:t xml:space="preserve"> </w:t>
      </w:r>
      <w:r>
        <w:rPr>
          <w:rFonts w:ascii="宋体" w:hAnsi="宋体" w:eastAsia="宋体" w:cs="宋体"/>
          <w:spacing w:val="15"/>
          <w:sz w:val="16"/>
          <w:szCs w:val="16"/>
        </w:rPr>
        <w:t>的学</w:t>
      </w:r>
      <w:r>
        <w:rPr>
          <w:rFonts w:ascii="宋体" w:hAnsi="宋体" w:eastAsia="宋体" w:cs="宋体"/>
          <w:sz w:val="16"/>
          <w:szCs w:val="16"/>
        </w:rPr>
        <w:t xml:space="preserve">  </w:t>
      </w:r>
      <w:r>
        <w:rPr>
          <w:rFonts w:ascii="宋体" w:hAnsi="宋体" w:eastAsia="宋体" w:cs="宋体"/>
          <w:spacing w:val="15"/>
          <w:sz w:val="16"/>
          <w:szCs w:val="16"/>
        </w:rPr>
        <w:t>生对社团的评价也较高</w:t>
      </w:r>
      <w:r>
        <w:rPr>
          <w:rFonts w:ascii="宋体" w:hAnsi="宋体" w:eastAsia="宋体" w:cs="宋体"/>
          <w:spacing w:val="-42"/>
          <w:sz w:val="16"/>
          <w:szCs w:val="16"/>
        </w:rPr>
        <w:t xml:space="preserve"> </w:t>
      </w:r>
      <w:r>
        <w:rPr>
          <w:rFonts w:ascii="微软雅黑" w:hAnsi="微软雅黑" w:eastAsia="微软雅黑" w:cs="微软雅黑"/>
          <w:spacing w:val="15"/>
          <w:sz w:val="16"/>
          <w:szCs w:val="16"/>
        </w:rPr>
        <w:t>。</w:t>
      </w:r>
      <w:r>
        <w:rPr>
          <w:rFonts w:ascii="宋体" w:hAnsi="宋体" w:eastAsia="宋体" w:cs="宋体"/>
          <w:spacing w:val="15"/>
          <w:sz w:val="16"/>
          <w:szCs w:val="16"/>
        </w:rPr>
        <w:t>运用回归分析和模</w:t>
      </w:r>
      <w:r>
        <w:rPr>
          <w:rFonts w:ascii="宋体" w:hAnsi="宋体" w:eastAsia="宋体" w:cs="宋体"/>
          <w:spacing w:val="14"/>
          <w:sz w:val="16"/>
          <w:szCs w:val="16"/>
        </w:rPr>
        <w:t>型验证发现</w:t>
      </w:r>
      <w:r>
        <w:rPr>
          <w:rFonts w:ascii="微软雅黑" w:hAnsi="微软雅黑" w:eastAsia="微软雅黑" w:cs="微软雅黑"/>
          <w:spacing w:val="14"/>
          <w:sz w:val="16"/>
          <w:szCs w:val="16"/>
        </w:rPr>
        <w:t>：</w:t>
      </w:r>
      <w:r>
        <w:rPr>
          <w:rFonts w:ascii="宋体" w:hAnsi="宋体" w:eastAsia="宋体" w:cs="宋体"/>
          <w:spacing w:val="14"/>
          <w:sz w:val="16"/>
          <w:szCs w:val="16"/>
        </w:rPr>
        <w:t xml:space="preserve">高 </w:t>
      </w:r>
      <w:r>
        <w:rPr>
          <w:rFonts w:ascii="宋体" w:hAnsi="宋体" w:eastAsia="宋体" w:cs="宋体"/>
          <w:spacing w:val="15"/>
          <w:sz w:val="16"/>
          <w:szCs w:val="16"/>
        </w:rPr>
        <w:t>校学生社</w:t>
      </w:r>
      <w:r>
        <w:rPr>
          <w:rFonts w:ascii="宋体" w:hAnsi="宋体" w:eastAsia="宋体" w:cs="宋体"/>
          <w:spacing w:val="-42"/>
          <w:sz w:val="16"/>
          <w:szCs w:val="16"/>
        </w:rPr>
        <w:t xml:space="preserve"> </w:t>
      </w:r>
      <w:r>
        <w:rPr>
          <w:rFonts w:ascii="宋体" w:hAnsi="宋体" w:eastAsia="宋体" w:cs="宋体"/>
          <w:spacing w:val="15"/>
          <w:sz w:val="16"/>
          <w:szCs w:val="16"/>
        </w:rPr>
        <w:t>团评价</w:t>
      </w:r>
      <w:r>
        <w:rPr>
          <w:rFonts w:ascii="微软雅黑" w:hAnsi="微软雅黑" w:eastAsia="微软雅黑" w:cs="微软雅黑"/>
          <w:spacing w:val="15"/>
          <w:sz w:val="16"/>
          <w:szCs w:val="16"/>
        </w:rPr>
        <w:t>、</w:t>
      </w:r>
      <w:r>
        <w:rPr>
          <w:rFonts w:ascii="宋体" w:hAnsi="宋体" w:eastAsia="宋体" w:cs="宋体"/>
          <w:spacing w:val="15"/>
          <w:sz w:val="16"/>
          <w:szCs w:val="16"/>
        </w:rPr>
        <w:t>高校学生社团功能和人格可以显著预测社</w:t>
      </w:r>
      <w:r>
        <w:rPr>
          <w:rFonts w:ascii="宋体" w:hAnsi="宋体" w:eastAsia="宋体" w:cs="宋体"/>
          <w:sz w:val="16"/>
          <w:szCs w:val="16"/>
        </w:rPr>
        <w:t xml:space="preserve">  </w:t>
      </w:r>
      <w:r>
        <w:rPr>
          <w:rFonts w:ascii="宋体" w:hAnsi="宋体" w:eastAsia="宋体" w:cs="宋体"/>
          <w:spacing w:val="20"/>
          <w:sz w:val="16"/>
          <w:szCs w:val="16"/>
        </w:rPr>
        <w:t>员</w:t>
      </w:r>
      <w:r>
        <w:rPr>
          <w:rFonts w:ascii="宋体" w:hAnsi="宋体" w:eastAsia="宋体" w:cs="宋体"/>
          <w:spacing w:val="-41"/>
          <w:sz w:val="16"/>
          <w:szCs w:val="16"/>
        </w:rPr>
        <w:t xml:space="preserve"> </w:t>
      </w:r>
      <w:r>
        <w:rPr>
          <w:rFonts w:ascii="宋体" w:hAnsi="宋体" w:eastAsia="宋体" w:cs="宋体"/>
          <w:spacing w:val="20"/>
          <w:sz w:val="16"/>
          <w:szCs w:val="16"/>
        </w:rPr>
        <w:t>的社</w:t>
      </w:r>
      <w:r>
        <w:rPr>
          <w:rFonts w:ascii="宋体" w:hAnsi="宋体" w:eastAsia="宋体" w:cs="宋体"/>
          <w:spacing w:val="-44"/>
          <w:sz w:val="16"/>
          <w:szCs w:val="16"/>
        </w:rPr>
        <w:t xml:space="preserve"> </w:t>
      </w:r>
      <w:r>
        <w:rPr>
          <w:rFonts w:ascii="宋体" w:hAnsi="宋体" w:eastAsia="宋体" w:cs="宋体"/>
          <w:spacing w:val="20"/>
          <w:sz w:val="16"/>
          <w:szCs w:val="16"/>
        </w:rPr>
        <w:t>团卷入程度</w:t>
      </w:r>
      <w:r>
        <w:rPr>
          <w:rFonts w:ascii="微软雅黑" w:hAnsi="微软雅黑" w:eastAsia="微软雅黑" w:cs="微软雅黑"/>
          <w:spacing w:val="20"/>
          <w:sz w:val="16"/>
          <w:szCs w:val="16"/>
        </w:rPr>
        <w:t>，</w:t>
      </w:r>
      <w:r>
        <w:rPr>
          <w:rFonts w:ascii="宋体" w:hAnsi="宋体" w:eastAsia="宋体" w:cs="宋体"/>
          <w:spacing w:val="20"/>
          <w:sz w:val="16"/>
          <w:szCs w:val="16"/>
        </w:rPr>
        <w:t xml:space="preserve">所有变量可以联合解释社团卷入程度 </w:t>
      </w:r>
      <w:r>
        <w:rPr>
          <w:rFonts w:ascii="微软雅黑" w:hAnsi="微软雅黑" w:eastAsia="微软雅黑" w:cs="微软雅黑"/>
          <w:spacing w:val="13"/>
          <w:sz w:val="16"/>
          <w:szCs w:val="16"/>
        </w:rPr>
        <w:t>31.6%</w:t>
      </w:r>
      <w:r>
        <w:rPr>
          <w:rFonts w:ascii="宋体" w:hAnsi="宋体" w:eastAsia="宋体" w:cs="宋体"/>
          <w:spacing w:val="13"/>
          <w:sz w:val="16"/>
          <w:szCs w:val="16"/>
        </w:rPr>
        <w:t>的变异</w:t>
      </w:r>
      <w:r>
        <w:rPr>
          <w:rFonts w:ascii="宋体" w:hAnsi="宋体" w:eastAsia="宋体" w:cs="宋体"/>
          <w:spacing w:val="-39"/>
          <w:sz w:val="16"/>
          <w:szCs w:val="16"/>
        </w:rPr>
        <w:t xml:space="preserve"> </w:t>
      </w:r>
      <w:r>
        <w:rPr>
          <w:rFonts w:ascii="微软雅黑" w:hAnsi="微软雅黑" w:eastAsia="微软雅黑" w:cs="微软雅黑"/>
          <w:spacing w:val="13"/>
          <w:position w:val="1"/>
          <w:sz w:val="16"/>
          <w:szCs w:val="16"/>
        </w:rPr>
        <w:t>。</w:t>
      </w:r>
      <w:r>
        <w:rPr>
          <w:rFonts w:ascii="宋体" w:hAnsi="宋体" w:eastAsia="宋体" w:cs="宋体"/>
          <w:spacing w:val="13"/>
          <w:sz w:val="16"/>
          <w:szCs w:val="16"/>
        </w:rPr>
        <w:t>在对高校学生社团功能进行解释</w:t>
      </w:r>
      <w:r>
        <w:rPr>
          <w:rFonts w:ascii="宋体" w:hAnsi="宋体" w:eastAsia="宋体" w:cs="宋体"/>
          <w:spacing w:val="-45"/>
          <w:sz w:val="16"/>
          <w:szCs w:val="16"/>
        </w:rPr>
        <w:t xml:space="preserve"> </w:t>
      </w:r>
      <w:r>
        <w:rPr>
          <w:rFonts w:ascii="宋体" w:hAnsi="宋体" w:eastAsia="宋体" w:cs="宋体"/>
          <w:spacing w:val="13"/>
          <w:sz w:val="16"/>
          <w:szCs w:val="16"/>
        </w:rPr>
        <w:t>时发现</w:t>
      </w:r>
      <w:r>
        <w:rPr>
          <w:rFonts w:ascii="微软雅黑" w:hAnsi="微软雅黑" w:eastAsia="微软雅黑" w:cs="微软雅黑"/>
          <w:spacing w:val="13"/>
          <w:position w:val="1"/>
          <w:sz w:val="16"/>
          <w:szCs w:val="16"/>
        </w:rPr>
        <w:t>，</w:t>
      </w:r>
      <w:r>
        <w:rPr>
          <w:rFonts w:ascii="宋体" w:hAnsi="宋体" w:eastAsia="宋体" w:cs="宋体"/>
          <w:spacing w:val="13"/>
          <w:sz w:val="16"/>
          <w:szCs w:val="16"/>
        </w:rPr>
        <w:t xml:space="preserve">高 </w:t>
      </w:r>
      <w:r>
        <w:rPr>
          <w:rFonts w:ascii="宋体" w:hAnsi="宋体" w:eastAsia="宋体" w:cs="宋体"/>
          <w:spacing w:val="15"/>
          <w:sz w:val="16"/>
          <w:szCs w:val="16"/>
        </w:rPr>
        <w:t>校学生社团评价</w:t>
      </w:r>
      <w:r>
        <w:rPr>
          <w:rFonts w:ascii="微软雅黑" w:hAnsi="微软雅黑" w:eastAsia="微软雅黑" w:cs="微软雅黑"/>
          <w:spacing w:val="15"/>
          <w:sz w:val="16"/>
          <w:szCs w:val="16"/>
        </w:rPr>
        <w:t>、</w:t>
      </w:r>
      <w:r>
        <w:rPr>
          <w:rFonts w:ascii="宋体" w:hAnsi="宋体" w:eastAsia="宋体" w:cs="宋体"/>
          <w:spacing w:val="15"/>
          <w:sz w:val="16"/>
          <w:szCs w:val="16"/>
        </w:rPr>
        <w:t>社</w:t>
      </w:r>
      <w:r>
        <w:rPr>
          <w:rFonts w:ascii="宋体" w:hAnsi="宋体" w:eastAsia="宋体" w:cs="宋体"/>
          <w:spacing w:val="-42"/>
          <w:sz w:val="16"/>
          <w:szCs w:val="16"/>
        </w:rPr>
        <w:t xml:space="preserve"> </w:t>
      </w:r>
      <w:r>
        <w:rPr>
          <w:rFonts w:ascii="宋体" w:hAnsi="宋体" w:eastAsia="宋体" w:cs="宋体"/>
          <w:spacing w:val="15"/>
          <w:sz w:val="16"/>
          <w:szCs w:val="16"/>
        </w:rPr>
        <w:t>团卷入程度</w:t>
      </w:r>
      <w:r>
        <w:rPr>
          <w:rFonts w:ascii="微软雅黑" w:hAnsi="微软雅黑" w:eastAsia="微软雅黑" w:cs="微软雅黑"/>
          <w:spacing w:val="15"/>
          <w:sz w:val="16"/>
          <w:szCs w:val="16"/>
        </w:rPr>
        <w:t>、</w:t>
      </w:r>
      <w:r>
        <w:rPr>
          <w:rFonts w:ascii="宋体" w:hAnsi="宋体" w:eastAsia="宋体" w:cs="宋体"/>
          <w:spacing w:val="15"/>
          <w:sz w:val="16"/>
          <w:szCs w:val="16"/>
        </w:rPr>
        <w:t>人格特质量表中的神经质</w:t>
      </w:r>
      <w:r>
        <w:rPr>
          <w:rFonts w:ascii="宋体" w:hAnsi="宋体" w:eastAsia="宋体" w:cs="宋体"/>
          <w:sz w:val="16"/>
          <w:szCs w:val="16"/>
        </w:rPr>
        <w:t xml:space="preserve">  </w:t>
      </w:r>
      <w:r>
        <w:rPr>
          <w:rFonts w:ascii="宋体" w:hAnsi="宋体" w:eastAsia="宋体" w:cs="宋体"/>
          <w:spacing w:val="16"/>
          <w:sz w:val="16"/>
          <w:szCs w:val="16"/>
        </w:rPr>
        <w:t>量表</w:t>
      </w:r>
      <w:r>
        <w:rPr>
          <w:rFonts w:ascii="微软雅黑" w:hAnsi="微软雅黑" w:eastAsia="微软雅黑" w:cs="微软雅黑"/>
          <w:spacing w:val="16"/>
          <w:sz w:val="16"/>
          <w:szCs w:val="16"/>
        </w:rPr>
        <w:t>、</w:t>
      </w:r>
      <w:r>
        <w:rPr>
          <w:rFonts w:ascii="宋体" w:hAnsi="宋体" w:eastAsia="宋体" w:cs="宋体"/>
          <w:spacing w:val="16"/>
          <w:sz w:val="16"/>
          <w:szCs w:val="16"/>
        </w:rPr>
        <w:t xml:space="preserve">外向量表所测量的人格特质可以显著预测高校学生社 </w:t>
      </w:r>
      <w:r>
        <w:rPr>
          <w:rFonts w:ascii="宋体" w:hAnsi="宋体" w:eastAsia="宋体" w:cs="宋体"/>
          <w:spacing w:val="17"/>
          <w:sz w:val="16"/>
          <w:szCs w:val="16"/>
        </w:rPr>
        <w:t>团功能</w:t>
      </w:r>
      <w:r>
        <w:rPr>
          <w:rFonts w:ascii="微软雅黑" w:hAnsi="微软雅黑" w:eastAsia="微软雅黑" w:cs="微软雅黑"/>
          <w:spacing w:val="17"/>
          <w:position w:val="1"/>
          <w:sz w:val="16"/>
          <w:szCs w:val="16"/>
        </w:rPr>
        <w:t>，</w:t>
      </w:r>
      <w:r>
        <w:rPr>
          <w:rFonts w:ascii="宋体" w:hAnsi="宋体" w:eastAsia="宋体" w:cs="宋体"/>
          <w:spacing w:val="17"/>
          <w:sz w:val="16"/>
          <w:szCs w:val="16"/>
        </w:rPr>
        <w:t xml:space="preserve">以上变量可以联合解释高校学生社团功能 </w:t>
      </w:r>
      <w:r>
        <w:rPr>
          <w:rFonts w:ascii="微软雅黑" w:hAnsi="微软雅黑" w:eastAsia="微软雅黑" w:cs="微软雅黑"/>
          <w:spacing w:val="17"/>
          <w:sz w:val="16"/>
          <w:szCs w:val="16"/>
        </w:rPr>
        <w:t xml:space="preserve">55.9%  </w:t>
      </w:r>
      <w:r>
        <w:rPr>
          <w:rFonts w:ascii="宋体" w:hAnsi="宋体" w:eastAsia="宋体" w:cs="宋体"/>
          <w:spacing w:val="6"/>
          <w:sz w:val="16"/>
          <w:szCs w:val="16"/>
        </w:rPr>
        <w:t>的变异</w:t>
      </w:r>
      <w:r>
        <w:rPr>
          <w:rFonts w:ascii="宋体" w:hAnsi="宋体" w:eastAsia="宋体" w:cs="宋体"/>
          <w:spacing w:val="-28"/>
          <w:sz w:val="16"/>
          <w:szCs w:val="16"/>
        </w:rPr>
        <w:t xml:space="preserve"> </w:t>
      </w:r>
      <w:r>
        <w:rPr>
          <w:rFonts w:ascii="微软雅黑" w:hAnsi="微软雅黑" w:eastAsia="微软雅黑" w:cs="微软雅黑"/>
          <w:spacing w:val="6"/>
          <w:sz w:val="16"/>
          <w:szCs w:val="16"/>
        </w:rPr>
        <w:t>。</w:t>
      </w:r>
      <w:r>
        <w:rPr>
          <w:rFonts w:ascii="微软雅黑" w:hAnsi="微软雅黑" w:eastAsia="微软雅黑" w:cs="微软雅黑"/>
          <w:spacing w:val="-26"/>
          <w:sz w:val="16"/>
          <w:szCs w:val="16"/>
        </w:rPr>
        <w:t xml:space="preserve"> </w:t>
      </w:r>
      <w:r>
        <w:rPr>
          <w:rFonts w:ascii="宋体" w:hAnsi="宋体" w:eastAsia="宋体" w:cs="宋体"/>
          <w:spacing w:val="6"/>
          <w:sz w:val="16"/>
          <w:szCs w:val="16"/>
        </w:rPr>
        <w:t>高校学生社</w:t>
      </w:r>
      <w:r>
        <w:rPr>
          <w:rFonts w:ascii="宋体" w:hAnsi="宋体" w:eastAsia="宋体" w:cs="宋体"/>
          <w:spacing w:val="-40"/>
          <w:sz w:val="16"/>
          <w:szCs w:val="16"/>
        </w:rPr>
        <w:t xml:space="preserve"> </w:t>
      </w:r>
      <w:r>
        <w:rPr>
          <w:rFonts w:ascii="宋体" w:hAnsi="宋体" w:eastAsia="宋体" w:cs="宋体"/>
          <w:spacing w:val="6"/>
          <w:sz w:val="16"/>
          <w:szCs w:val="16"/>
        </w:rPr>
        <w:t>团功</w:t>
      </w:r>
      <w:r>
        <w:rPr>
          <w:rFonts w:ascii="宋体" w:hAnsi="宋体" w:eastAsia="宋体" w:cs="宋体"/>
          <w:spacing w:val="-46"/>
          <w:sz w:val="16"/>
          <w:szCs w:val="16"/>
        </w:rPr>
        <w:t xml:space="preserve"> </w:t>
      </w:r>
      <w:r>
        <w:rPr>
          <w:rFonts w:ascii="宋体" w:hAnsi="宋体" w:eastAsia="宋体" w:cs="宋体"/>
          <w:spacing w:val="6"/>
          <w:sz w:val="16"/>
          <w:szCs w:val="16"/>
        </w:rPr>
        <w:t>能</w:t>
      </w:r>
      <w:r>
        <w:rPr>
          <w:rFonts w:ascii="微软雅黑" w:hAnsi="微软雅黑" w:eastAsia="微软雅黑" w:cs="微软雅黑"/>
          <w:spacing w:val="6"/>
          <w:sz w:val="16"/>
          <w:szCs w:val="16"/>
        </w:rPr>
        <w:t>、</w:t>
      </w:r>
      <w:r>
        <w:rPr>
          <w:rFonts w:ascii="宋体" w:hAnsi="宋体" w:eastAsia="宋体" w:cs="宋体"/>
          <w:spacing w:val="6"/>
          <w:sz w:val="16"/>
          <w:szCs w:val="16"/>
        </w:rPr>
        <w:t>社</w:t>
      </w:r>
      <w:r>
        <w:rPr>
          <w:rFonts w:ascii="宋体" w:hAnsi="宋体" w:eastAsia="宋体" w:cs="宋体"/>
          <w:spacing w:val="-37"/>
          <w:sz w:val="16"/>
          <w:szCs w:val="16"/>
        </w:rPr>
        <w:t xml:space="preserve"> </w:t>
      </w:r>
      <w:r>
        <w:rPr>
          <w:rFonts w:ascii="宋体" w:hAnsi="宋体" w:eastAsia="宋体" w:cs="宋体"/>
          <w:spacing w:val="6"/>
          <w:sz w:val="16"/>
          <w:szCs w:val="16"/>
        </w:rPr>
        <w:t>团卷入程度</w:t>
      </w:r>
      <w:r>
        <w:rPr>
          <w:rFonts w:ascii="微软雅黑" w:hAnsi="微软雅黑" w:eastAsia="微软雅黑" w:cs="微软雅黑"/>
          <w:spacing w:val="6"/>
          <w:sz w:val="16"/>
          <w:szCs w:val="16"/>
        </w:rPr>
        <w:t>、</w:t>
      </w:r>
      <w:r>
        <w:rPr>
          <w:rFonts w:ascii="宋体" w:hAnsi="宋体" w:eastAsia="宋体" w:cs="宋体"/>
          <w:spacing w:val="6"/>
          <w:sz w:val="16"/>
          <w:szCs w:val="16"/>
        </w:rPr>
        <w:t>社</w:t>
      </w:r>
      <w:r>
        <w:rPr>
          <w:rFonts w:ascii="宋体" w:hAnsi="宋体" w:eastAsia="宋体" w:cs="宋体"/>
          <w:spacing w:val="-36"/>
          <w:sz w:val="16"/>
          <w:szCs w:val="16"/>
        </w:rPr>
        <w:t xml:space="preserve"> </w:t>
      </w:r>
      <w:r>
        <w:rPr>
          <w:rFonts w:ascii="宋体" w:hAnsi="宋体" w:eastAsia="宋体" w:cs="宋体"/>
          <w:spacing w:val="6"/>
          <w:sz w:val="16"/>
          <w:szCs w:val="16"/>
        </w:rPr>
        <w:t>团成立</w:t>
      </w:r>
      <w:r>
        <w:rPr>
          <w:rFonts w:ascii="宋体" w:hAnsi="宋体" w:eastAsia="宋体" w:cs="宋体"/>
          <w:spacing w:val="-42"/>
          <w:sz w:val="16"/>
          <w:szCs w:val="16"/>
        </w:rPr>
        <w:t xml:space="preserve"> </w:t>
      </w:r>
      <w:r>
        <w:rPr>
          <w:rFonts w:ascii="宋体" w:hAnsi="宋体" w:eastAsia="宋体" w:cs="宋体"/>
          <w:spacing w:val="6"/>
          <w:sz w:val="16"/>
          <w:szCs w:val="16"/>
        </w:rPr>
        <w:t>时长</w:t>
      </w:r>
      <w:r>
        <w:rPr>
          <w:rFonts w:ascii="宋体" w:hAnsi="宋体" w:eastAsia="宋体" w:cs="宋体"/>
          <w:sz w:val="16"/>
          <w:szCs w:val="16"/>
        </w:rPr>
        <w:t xml:space="preserve">  </w:t>
      </w:r>
      <w:r>
        <w:rPr>
          <w:rFonts w:ascii="宋体" w:hAnsi="宋体" w:eastAsia="宋体" w:cs="宋体"/>
          <w:spacing w:val="20"/>
          <w:sz w:val="16"/>
          <w:szCs w:val="16"/>
        </w:rPr>
        <w:t>以及人格特质量表</w:t>
      </w:r>
      <w:r>
        <w:rPr>
          <w:rFonts w:ascii="宋体" w:hAnsi="宋体" w:eastAsia="宋体" w:cs="宋体"/>
          <w:spacing w:val="-43"/>
          <w:sz w:val="16"/>
          <w:szCs w:val="16"/>
        </w:rPr>
        <w:t xml:space="preserve"> </w:t>
      </w:r>
      <w:r>
        <w:rPr>
          <w:rFonts w:ascii="宋体" w:hAnsi="宋体" w:eastAsia="宋体" w:cs="宋体"/>
          <w:spacing w:val="20"/>
          <w:sz w:val="16"/>
          <w:szCs w:val="16"/>
        </w:rPr>
        <w:t>中外向量表和掩饰量表所测量</w:t>
      </w:r>
      <w:r>
        <w:rPr>
          <w:rFonts w:ascii="宋体" w:hAnsi="宋体" w:eastAsia="宋体" w:cs="宋体"/>
          <w:spacing w:val="-39"/>
          <w:sz w:val="16"/>
          <w:szCs w:val="16"/>
        </w:rPr>
        <w:t xml:space="preserve"> </w:t>
      </w:r>
      <w:r>
        <w:rPr>
          <w:rFonts w:ascii="宋体" w:hAnsi="宋体" w:eastAsia="宋体" w:cs="宋体"/>
          <w:spacing w:val="20"/>
          <w:sz w:val="16"/>
          <w:szCs w:val="16"/>
        </w:rPr>
        <w:t>的变</w:t>
      </w:r>
      <w:r>
        <w:rPr>
          <w:rFonts w:ascii="宋体" w:hAnsi="宋体" w:eastAsia="宋体" w:cs="宋体"/>
          <w:spacing w:val="19"/>
          <w:sz w:val="16"/>
          <w:szCs w:val="16"/>
        </w:rPr>
        <w:t xml:space="preserve">量对 </w:t>
      </w:r>
      <w:r>
        <w:rPr>
          <w:rFonts w:ascii="宋体" w:hAnsi="宋体" w:eastAsia="宋体" w:cs="宋体"/>
          <w:spacing w:val="16"/>
          <w:sz w:val="16"/>
          <w:szCs w:val="16"/>
        </w:rPr>
        <w:t>高校学生社团评价的预测作用显著</w:t>
      </w:r>
      <w:r>
        <w:rPr>
          <w:rFonts w:ascii="微软雅黑" w:hAnsi="微软雅黑" w:eastAsia="微软雅黑" w:cs="微软雅黑"/>
          <w:spacing w:val="16"/>
          <w:sz w:val="16"/>
          <w:szCs w:val="16"/>
        </w:rPr>
        <w:t>，</w:t>
      </w:r>
      <w:r>
        <w:rPr>
          <w:rFonts w:ascii="宋体" w:hAnsi="宋体" w:eastAsia="宋体" w:cs="宋体"/>
          <w:spacing w:val="16"/>
          <w:sz w:val="16"/>
          <w:szCs w:val="16"/>
        </w:rPr>
        <w:t xml:space="preserve">可以联合解释高校学生 </w:t>
      </w:r>
      <w:r>
        <w:rPr>
          <w:rFonts w:ascii="宋体" w:hAnsi="宋体" w:eastAsia="宋体" w:cs="宋体"/>
          <w:spacing w:val="10"/>
          <w:sz w:val="16"/>
          <w:szCs w:val="16"/>
        </w:rPr>
        <w:t>社</w:t>
      </w:r>
      <w:r>
        <w:rPr>
          <w:rFonts w:ascii="宋体" w:hAnsi="宋体" w:eastAsia="宋体" w:cs="宋体"/>
          <w:spacing w:val="-37"/>
          <w:sz w:val="16"/>
          <w:szCs w:val="16"/>
        </w:rPr>
        <w:t xml:space="preserve"> </w:t>
      </w:r>
      <w:r>
        <w:rPr>
          <w:rFonts w:ascii="宋体" w:hAnsi="宋体" w:eastAsia="宋体" w:cs="宋体"/>
          <w:spacing w:val="10"/>
          <w:sz w:val="16"/>
          <w:szCs w:val="16"/>
        </w:rPr>
        <w:t xml:space="preserve">团评价 </w:t>
      </w:r>
      <w:r>
        <w:rPr>
          <w:rFonts w:ascii="微软雅黑" w:hAnsi="微软雅黑" w:eastAsia="微软雅黑" w:cs="微软雅黑"/>
          <w:spacing w:val="10"/>
          <w:sz w:val="16"/>
          <w:szCs w:val="16"/>
        </w:rPr>
        <w:t>54.7%</w:t>
      </w:r>
      <w:r>
        <w:rPr>
          <w:rFonts w:ascii="宋体" w:hAnsi="宋体" w:eastAsia="宋体" w:cs="宋体"/>
          <w:spacing w:val="10"/>
          <w:sz w:val="16"/>
          <w:szCs w:val="16"/>
        </w:rPr>
        <w:t>的变异</w:t>
      </w:r>
      <w:r>
        <w:rPr>
          <w:rFonts w:ascii="宋体" w:hAnsi="宋体" w:eastAsia="宋体" w:cs="宋体"/>
          <w:spacing w:val="-42"/>
          <w:sz w:val="16"/>
          <w:szCs w:val="16"/>
        </w:rPr>
        <w:t xml:space="preserve"> </w:t>
      </w:r>
      <w:r>
        <w:rPr>
          <w:rFonts w:ascii="微软雅黑" w:hAnsi="微软雅黑" w:eastAsia="微软雅黑" w:cs="微软雅黑"/>
          <w:spacing w:val="10"/>
          <w:position w:val="1"/>
          <w:sz w:val="16"/>
          <w:szCs w:val="16"/>
        </w:rPr>
        <w:t>。</w:t>
      </w:r>
      <w:r>
        <w:rPr>
          <w:rFonts w:ascii="微软雅黑" w:hAnsi="微软雅黑" w:eastAsia="微软雅黑" w:cs="微软雅黑"/>
          <w:spacing w:val="-26"/>
          <w:position w:val="1"/>
          <w:sz w:val="16"/>
          <w:szCs w:val="16"/>
        </w:rPr>
        <w:t xml:space="preserve"> </w:t>
      </w:r>
      <w:r>
        <w:rPr>
          <w:rFonts w:ascii="宋体" w:hAnsi="宋体" w:eastAsia="宋体" w:cs="宋体"/>
          <w:spacing w:val="10"/>
          <w:sz w:val="16"/>
          <w:szCs w:val="16"/>
        </w:rPr>
        <w:t>社</w:t>
      </w:r>
      <w:r>
        <w:rPr>
          <w:rFonts w:ascii="宋体" w:hAnsi="宋体" w:eastAsia="宋体" w:cs="宋体"/>
          <w:spacing w:val="-39"/>
          <w:sz w:val="16"/>
          <w:szCs w:val="16"/>
        </w:rPr>
        <w:t xml:space="preserve"> </w:t>
      </w:r>
      <w:r>
        <w:rPr>
          <w:rFonts w:ascii="宋体" w:hAnsi="宋体" w:eastAsia="宋体" w:cs="宋体"/>
          <w:spacing w:val="10"/>
          <w:sz w:val="16"/>
          <w:szCs w:val="16"/>
        </w:rPr>
        <w:t>团卷入度</w:t>
      </w:r>
      <w:r>
        <w:rPr>
          <w:rFonts w:ascii="微软雅黑" w:hAnsi="微软雅黑" w:eastAsia="微软雅黑" w:cs="微软雅黑"/>
          <w:spacing w:val="10"/>
          <w:position w:val="1"/>
          <w:sz w:val="16"/>
          <w:szCs w:val="16"/>
        </w:rPr>
        <w:t>、</w:t>
      </w:r>
      <w:r>
        <w:rPr>
          <w:rFonts w:ascii="宋体" w:hAnsi="宋体" w:eastAsia="宋体" w:cs="宋体"/>
          <w:spacing w:val="10"/>
          <w:sz w:val="16"/>
          <w:szCs w:val="16"/>
        </w:rPr>
        <w:t>高校学生社团功能</w:t>
      </w:r>
      <w:r>
        <w:rPr>
          <w:rFonts w:ascii="微软雅黑" w:hAnsi="微软雅黑" w:eastAsia="微软雅黑" w:cs="微软雅黑"/>
          <w:spacing w:val="10"/>
          <w:position w:val="1"/>
          <w:sz w:val="16"/>
          <w:szCs w:val="16"/>
        </w:rPr>
        <w:t>、</w:t>
      </w:r>
      <w:r>
        <w:rPr>
          <w:rFonts w:ascii="微软雅黑" w:hAnsi="微软雅黑" w:eastAsia="微软雅黑" w:cs="微软雅黑"/>
          <w:position w:val="1"/>
          <w:sz w:val="16"/>
          <w:szCs w:val="16"/>
        </w:rPr>
        <w:t xml:space="preserve"> </w:t>
      </w:r>
      <w:r>
        <w:rPr>
          <w:rFonts w:ascii="宋体" w:hAnsi="宋体" w:eastAsia="宋体" w:cs="宋体"/>
          <w:spacing w:val="19"/>
          <w:sz w:val="16"/>
          <w:szCs w:val="16"/>
        </w:rPr>
        <w:t>高校学生社团评价之间存在着稳固的相互关系</w:t>
      </w:r>
      <w:r>
        <w:rPr>
          <w:rFonts w:ascii="微软雅黑" w:hAnsi="微软雅黑" w:eastAsia="微软雅黑" w:cs="微软雅黑"/>
          <w:spacing w:val="19"/>
          <w:sz w:val="16"/>
          <w:szCs w:val="16"/>
        </w:rPr>
        <w:t>。</w:t>
      </w:r>
    </w:p>
    <w:p>
      <w:pPr>
        <w:spacing w:line="246" w:lineRule="auto"/>
        <w:rPr>
          <w:rFonts w:ascii="微软雅黑" w:hAnsi="微软雅黑" w:eastAsia="微软雅黑" w:cs="微软雅黑"/>
          <w:sz w:val="16"/>
          <w:szCs w:val="16"/>
        </w:rPr>
        <w:sectPr>
          <w:type w:val="continuous"/>
          <w:pgSz w:w="11906" w:h="16840"/>
          <w:pgMar w:top="400" w:right="1205" w:bottom="547" w:left="407" w:header="0" w:footer="354" w:gutter="0"/>
          <w:cols w:equalWidth="0" w:num="2">
            <w:col w:w="5530" w:space="100"/>
            <w:col w:w="4663"/>
          </w:cols>
        </w:sectPr>
      </w:pPr>
    </w:p>
    <w:p>
      <w:pPr>
        <w:spacing w:line="306" w:lineRule="auto"/>
        <w:rPr>
          <w:rFonts w:ascii="Arial"/>
          <w:sz w:val="21"/>
        </w:rPr>
      </w:pPr>
    </w:p>
    <w:p>
      <w:pPr>
        <w:spacing w:line="306" w:lineRule="auto"/>
        <w:rPr>
          <w:rFonts w:ascii="Arial"/>
          <w:sz w:val="21"/>
        </w:rPr>
      </w:pPr>
    </w:p>
    <w:p>
      <w:pPr>
        <w:spacing w:line="306" w:lineRule="auto"/>
        <w:rPr>
          <w:rFonts w:ascii="Arial"/>
          <w:sz w:val="21"/>
        </w:rPr>
      </w:pPr>
    </w:p>
    <w:p>
      <w:pPr>
        <w:spacing w:before="82" w:line="184" w:lineRule="exact"/>
        <w:ind w:left="9358"/>
        <w:rPr>
          <w:rFonts w:ascii="微软雅黑" w:hAnsi="微软雅黑" w:eastAsia="微软雅黑" w:cs="微软雅黑"/>
          <w:sz w:val="19"/>
          <w:szCs w:val="19"/>
        </w:rPr>
      </w:pPr>
      <w:r>
        <w:rPr>
          <w:rFonts w:ascii="微软雅黑" w:hAnsi="微软雅黑" w:eastAsia="微软雅黑" w:cs="微软雅黑"/>
          <w:spacing w:val="-12"/>
          <w:sz w:val="19"/>
          <w:szCs w:val="19"/>
        </w:rPr>
        <w:t>·</w:t>
      </w:r>
      <w:r>
        <w:rPr>
          <w:rFonts w:ascii="微软雅黑" w:hAnsi="微软雅黑" w:eastAsia="微软雅黑" w:cs="微软雅黑"/>
          <w:spacing w:val="21"/>
          <w:w w:val="101"/>
          <w:sz w:val="19"/>
          <w:szCs w:val="19"/>
        </w:rPr>
        <w:t xml:space="preserve">  </w:t>
      </w:r>
      <w:r>
        <w:rPr>
          <w:rFonts w:ascii="微软雅黑" w:hAnsi="微软雅黑" w:eastAsia="微软雅黑" w:cs="微软雅黑"/>
          <w:spacing w:val="-12"/>
          <w:position w:val="-2"/>
          <w:sz w:val="19"/>
          <w:szCs w:val="19"/>
        </w:rPr>
        <w:t>109</w:t>
      </w:r>
      <w:r>
        <w:rPr>
          <w:rFonts w:ascii="微软雅黑" w:hAnsi="微软雅黑" w:eastAsia="微软雅黑" w:cs="微软雅黑"/>
          <w:spacing w:val="19"/>
          <w:w w:val="101"/>
          <w:position w:val="-2"/>
          <w:sz w:val="19"/>
          <w:szCs w:val="19"/>
        </w:rPr>
        <w:t xml:space="preserve">  </w:t>
      </w:r>
      <w:r>
        <w:rPr>
          <w:rFonts w:ascii="微软雅黑" w:hAnsi="微软雅黑" w:eastAsia="微软雅黑" w:cs="微软雅黑"/>
          <w:spacing w:val="-12"/>
          <w:sz w:val="19"/>
          <w:szCs w:val="19"/>
        </w:rPr>
        <w:t>·</w:t>
      </w:r>
    </w:p>
    <w:p>
      <w:pPr>
        <w:spacing w:line="184" w:lineRule="exact"/>
        <w:rPr>
          <w:rFonts w:ascii="微软雅黑" w:hAnsi="微软雅黑" w:eastAsia="微软雅黑" w:cs="微软雅黑"/>
          <w:sz w:val="19"/>
          <w:szCs w:val="19"/>
        </w:rPr>
        <w:sectPr>
          <w:type w:val="continuous"/>
          <w:pgSz w:w="11906" w:h="16840"/>
          <w:pgMar w:top="400" w:right="1205" w:bottom="547" w:left="407" w:header="0" w:footer="354" w:gutter="0"/>
          <w:cols w:equalWidth="0" w:num="1">
            <w:col w:w="10293"/>
          </w:cols>
        </w:sectPr>
      </w:pPr>
    </w:p>
    <w:p>
      <w:pPr>
        <w:spacing w:before="262" w:line="289" w:lineRule="exact"/>
        <w:ind w:left="6133"/>
        <w:rPr>
          <w:rFonts w:ascii="MS Gothic" w:hAnsi="MS Gothic" w:eastAsia="MS Gothic" w:cs="MS Gothic"/>
          <w:sz w:val="20"/>
          <w:szCs w:val="20"/>
        </w:rPr>
      </w:pPr>
      <w:r>
        <w:pict>
          <v:shape id="_x0000_s1067" o:spid="_x0000_s1067" style="position:absolute;left:0pt;margin-left:29.5pt;margin-top:689.15pt;height:0.3pt;width:124.05pt;mso-position-horizontal-relative:page;mso-position-vertical-relative:page;z-index:251725824;mso-width-relative:page;mso-height-relative:page;" filled="f" stroked="t" coordsize="2481,6" o:allowincell="f" path="m0,2l2480,2e">
            <v:fill on="f" focussize="0,0"/>
            <v:stroke weight="0.28pt" color="#231F20" miterlimit="4" joinstyle="miter"/>
            <v:imagedata o:title=""/>
            <o:lock v:ext="edit"/>
          </v:shape>
        </w:pict>
      </w:r>
      <w:r>
        <w:rPr>
          <w:rFonts w:ascii="MS Gothic" w:hAnsi="MS Gothic" w:eastAsia="MS Gothic" w:cs="MS Gothic"/>
          <w:color w:val="231F20"/>
          <w:spacing w:val="-7"/>
          <w:position w:val="2"/>
          <w:sz w:val="20"/>
          <w:szCs w:val="20"/>
        </w:rPr>
        <w:t>DOI:10.16298/j.cnki.1004-36</w:t>
      </w:r>
      <w:r>
        <w:rPr>
          <w:rFonts w:ascii="MS Gothic" w:hAnsi="MS Gothic" w:eastAsia="MS Gothic" w:cs="MS Gothic"/>
          <w:color w:val="231F20"/>
          <w:spacing w:val="-8"/>
          <w:position w:val="2"/>
          <w:sz w:val="20"/>
          <w:szCs w:val="20"/>
        </w:rPr>
        <w:t>67.2022.10.07</w:t>
      </w:r>
    </w:p>
    <w:p>
      <w:pPr>
        <w:spacing w:before="204" w:line="226" w:lineRule="auto"/>
        <w:ind w:left="2295" w:right="1397" w:hanging="840"/>
        <w:rPr>
          <w:rFonts w:ascii="微软雅黑" w:hAnsi="微软雅黑" w:eastAsia="微软雅黑" w:cs="微软雅黑"/>
          <w:sz w:val="31"/>
          <w:szCs w:val="31"/>
        </w:rPr>
      </w:pPr>
      <w:r>
        <w:pict>
          <v:shape id="_x0000_s1068" o:spid="_x0000_s1068" o:spt="202" type="#_x0000_t202" style="position:absolute;left:0pt;margin-left:431pt;margin-top:-0.9pt;height:19.2pt;width:8.05pt;z-index:251724800;mso-width-relative:page;mso-height-relative:page;" filled="f" stroked="f" coordsize="21600,21600">
            <v:path/>
            <v:fill on="f" focussize="0,0"/>
            <v:stroke on="f"/>
            <v:imagedata o:title=""/>
            <o:lock v:ext="edit" aspectratio="f"/>
            <v:textbox inset="0mm,0mm,0mm,0mm">
              <w:txbxContent>
                <w:p>
                  <w:pPr>
                    <w:spacing w:before="19" w:line="235" w:lineRule="auto"/>
                    <w:ind w:left="20"/>
                    <w:rPr>
                      <w:rFonts w:ascii="MS Gothic" w:hAnsi="MS Gothic" w:eastAsia="MS Gothic" w:cs="MS Gothic"/>
                      <w:sz w:val="27"/>
                      <w:szCs w:val="27"/>
                    </w:rPr>
                  </w:pPr>
                  <w:r>
                    <w:rPr>
                      <w:rFonts w:ascii="MS Gothic" w:hAnsi="MS Gothic" w:eastAsia="MS Gothic" w:cs="MS Gothic"/>
                      <w:color w:val="231F20"/>
                      <w:sz w:val="27"/>
                      <w:szCs w:val="27"/>
                    </w:rPr>
                    <w:t>∗</w:t>
                  </w:r>
                </w:p>
              </w:txbxContent>
            </v:textbox>
          </v:shape>
        </w:pict>
      </w:r>
      <w:r>
        <w:rPr>
          <w:rFonts w:ascii="黑体" w:hAnsi="黑体" w:eastAsia="黑体" w:cs="黑体"/>
          <w:color w:val="231F20"/>
          <w:spacing w:val="6"/>
          <w:sz w:val="47"/>
          <w:szCs w:val="47"/>
        </w:rPr>
        <w:t>欧洲高等教育质量保障的转型发展</w:t>
      </w:r>
      <w:r>
        <w:rPr>
          <w:rFonts w:ascii="黑体" w:hAnsi="黑体" w:eastAsia="黑体" w:cs="黑体"/>
          <w:color w:val="231F20"/>
          <w:spacing w:val="10"/>
          <w:sz w:val="47"/>
          <w:szCs w:val="47"/>
        </w:rPr>
        <w:t xml:space="preserve"> </w:t>
      </w:r>
      <w:r>
        <w:rPr>
          <w:rFonts w:ascii="微软雅黑" w:hAnsi="微软雅黑" w:eastAsia="微软雅黑" w:cs="微软雅黑"/>
          <w:color w:val="231F20"/>
          <w:spacing w:val="6"/>
          <w:sz w:val="31"/>
          <w:szCs w:val="31"/>
        </w:rPr>
        <w:t>——基于高等教育质量文化建设的考察</w:t>
      </w:r>
    </w:p>
    <w:p>
      <w:pPr>
        <w:spacing w:line="303" w:lineRule="auto"/>
        <w:rPr>
          <w:rFonts w:ascii="Arial"/>
          <w:sz w:val="21"/>
        </w:rPr>
      </w:pPr>
    </w:p>
    <w:p>
      <w:pPr>
        <w:spacing w:before="99" w:line="201" w:lineRule="auto"/>
        <w:ind w:left="4203"/>
        <w:rPr>
          <w:rFonts w:ascii="微软雅黑" w:hAnsi="微软雅黑" w:eastAsia="微软雅黑" w:cs="微软雅黑"/>
          <w:sz w:val="23"/>
          <w:szCs w:val="23"/>
        </w:rPr>
      </w:pPr>
      <w:r>
        <w:rPr>
          <w:rFonts w:ascii="微软雅黑" w:hAnsi="微软雅黑" w:eastAsia="微软雅黑" w:cs="微软雅黑"/>
          <w:color w:val="231F20"/>
          <w:sz w:val="23"/>
          <w:szCs w:val="23"/>
        </w:rPr>
        <w:t>薛成龙</w:t>
      </w:r>
      <w:r>
        <w:rPr>
          <w:rFonts w:ascii="微软雅黑" w:hAnsi="微软雅黑" w:eastAsia="微软雅黑" w:cs="微软雅黑"/>
          <w:color w:val="231F20"/>
          <w:spacing w:val="20"/>
          <w:sz w:val="23"/>
          <w:szCs w:val="23"/>
        </w:rPr>
        <w:t xml:space="preserve">   </w:t>
      </w:r>
      <w:r>
        <w:rPr>
          <w:rFonts w:ascii="微软雅黑" w:hAnsi="微软雅黑" w:eastAsia="微软雅黑" w:cs="微软雅黑"/>
          <w:color w:val="231F20"/>
          <w:sz w:val="23"/>
          <w:szCs w:val="23"/>
        </w:rPr>
        <w:t>郭玉婷</w:t>
      </w:r>
    </w:p>
    <w:p>
      <w:pPr>
        <w:spacing w:line="279" w:lineRule="auto"/>
        <w:rPr>
          <w:rFonts w:ascii="Arial"/>
          <w:sz w:val="21"/>
        </w:rPr>
      </w:pPr>
    </w:p>
    <w:p>
      <w:pPr>
        <w:spacing w:line="280" w:lineRule="auto"/>
        <w:rPr>
          <w:rFonts w:ascii="Arial"/>
          <w:sz w:val="21"/>
        </w:rPr>
      </w:pPr>
    </w:p>
    <w:p>
      <w:pPr>
        <w:spacing w:before="86" w:line="212" w:lineRule="auto"/>
        <w:ind w:left="1346" w:right="162" w:hanging="739"/>
        <w:rPr>
          <w:rFonts w:ascii="微软雅黑" w:hAnsi="微软雅黑" w:eastAsia="微软雅黑" w:cs="微软雅黑"/>
          <w:sz w:val="20"/>
          <w:szCs w:val="20"/>
        </w:rPr>
      </w:pPr>
      <w:r>
        <w:rPr>
          <w:rFonts w:ascii="黑体" w:hAnsi="黑体" w:eastAsia="黑体" w:cs="黑体"/>
          <w:color w:val="231F20"/>
          <w:spacing w:val="5"/>
          <w:sz w:val="20"/>
          <w:szCs w:val="20"/>
        </w:rPr>
        <w:t>摘  要：</w:t>
      </w:r>
      <w:r>
        <w:rPr>
          <w:rFonts w:ascii="微软雅黑" w:hAnsi="微软雅黑" w:eastAsia="微软雅黑" w:cs="微软雅黑"/>
          <w:color w:val="231F20"/>
          <w:spacing w:val="5"/>
          <w:sz w:val="20"/>
          <w:szCs w:val="20"/>
        </w:rPr>
        <w:t>从高等教育质量文化建设的视角详细考察了欧洲高等教育质量文化的实施背景、实施内容、实</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2"/>
          <w:sz w:val="20"/>
          <w:szCs w:val="20"/>
        </w:rPr>
        <w:t>施效果，分别从学术组织、人才培养、学生发展、教师发展、利益相关者等多个维度探讨了欧洲</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pacing w:val="7"/>
          <w:sz w:val="20"/>
          <w:szCs w:val="20"/>
        </w:rPr>
        <w:t xml:space="preserve">质量保障从技术标准到质量文化的转型过程，对于当前我国高校拓展质量文化认识，推动我国 </w:t>
      </w:r>
      <w:r>
        <w:rPr>
          <w:rFonts w:ascii="微软雅黑" w:hAnsi="微软雅黑" w:eastAsia="微软雅黑" w:cs="微软雅黑"/>
          <w:color w:val="231F20"/>
          <w:spacing w:val="9"/>
          <w:sz w:val="20"/>
          <w:szCs w:val="20"/>
        </w:rPr>
        <w:t>高等教育质量保障转型发展具有启发思路的借鉴意义。</w:t>
      </w:r>
    </w:p>
    <w:p>
      <w:pPr>
        <w:spacing w:before="10" w:line="207" w:lineRule="auto"/>
        <w:ind w:left="608"/>
        <w:rPr>
          <w:rFonts w:ascii="微软雅黑" w:hAnsi="微软雅黑" w:eastAsia="微软雅黑" w:cs="微软雅黑"/>
          <w:sz w:val="20"/>
          <w:szCs w:val="20"/>
        </w:rPr>
      </w:pPr>
      <w:r>
        <w:rPr>
          <w:rFonts w:ascii="黑体" w:hAnsi="黑体" w:eastAsia="黑体" w:cs="黑体"/>
          <w:color w:val="231F20"/>
          <w:spacing w:val="-9"/>
          <w:sz w:val="20"/>
          <w:szCs w:val="20"/>
        </w:rPr>
        <w:t>关键词：</w:t>
      </w:r>
      <w:r>
        <w:rPr>
          <w:rFonts w:ascii="微软雅黑" w:hAnsi="微软雅黑" w:eastAsia="微软雅黑" w:cs="微软雅黑"/>
          <w:color w:val="231F20"/>
          <w:spacing w:val="-9"/>
          <w:sz w:val="20"/>
          <w:szCs w:val="20"/>
        </w:rPr>
        <w:t>高等教育；质量文化；质量保障</w:t>
      </w:r>
    </w:p>
    <w:p>
      <w:pPr>
        <w:spacing w:before="6"/>
      </w:pPr>
    </w:p>
    <w:p>
      <w:pPr>
        <w:spacing w:before="6"/>
      </w:pPr>
    </w:p>
    <w:p>
      <w:pPr>
        <w:spacing w:before="6"/>
      </w:pPr>
    </w:p>
    <w:p>
      <w:pPr>
        <w:sectPr>
          <w:headerReference r:id="rId90" w:type="default"/>
          <w:footerReference r:id="rId91" w:type="default"/>
          <w:pgSz w:w="10841" w:h="15421"/>
          <w:pgMar w:top="727" w:right="427" w:bottom="547" w:left="407" w:header="346" w:footer="354" w:gutter="0"/>
          <w:cols w:equalWidth="0" w:num="1">
            <w:col w:w="10006"/>
          </w:cols>
        </w:sectPr>
      </w:pPr>
    </w:p>
    <w:p>
      <w:pPr>
        <w:spacing w:before="45" w:line="211" w:lineRule="auto"/>
        <w:ind w:left="188" w:right="66" w:firstLine="419"/>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建设高质量教育体系是新时代高等教育改革发</w:t>
      </w:r>
      <w:r>
        <w:rPr>
          <w:rFonts w:ascii="微软雅黑" w:hAnsi="微软雅黑" w:eastAsia="微软雅黑" w:cs="微软雅黑"/>
          <w:color w:val="231F20"/>
          <w:spacing w:val="3"/>
          <w:sz w:val="20"/>
          <w:szCs w:val="20"/>
        </w:rPr>
        <w:t xml:space="preserve">  展的总体战略目标</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3"/>
          <w:sz w:val="20"/>
          <w:szCs w:val="20"/>
        </w:rPr>
        <w:t>。</w:t>
      </w:r>
      <w:r>
        <w:rPr>
          <w:rFonts w:ascii="MS Gothic" w:hAnsi="MS Gothic" w:eastAsia="MS Gothic" w:cs="MS Gothic"/>
          <w:color w:val="231F20"/>
          <w:spacing w:val="3"/>
          <w:sz w:val="20"/>
          <w:szCs w:val="20"/>
        </w:rPr>
        <w:t>2021</w:t>
      </w:r>
      <w:r>
        <w:rPr>
          <w:rFonts w:ascii="微软雅黑" w:hAnsi="微软雅黑" w:eastAsia="微软雅黑" w:cs="微软雅黑"/>
          <w:color w:val="231F20"/>
          <w:spacing w:val="3"/>
          <w:sz w:val="20"/>
          <w:szCs w:val="20"/>
        </w:rPr>
        <w:t>年，教育部印发了《普通高</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等</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2"/>
          <w:sz w:val="20"/>
          <w:szCs w:val="20"/>
        </w:rPr>
        <w:t>学</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2"/>
          <w:sz w:val="20"/>
          <w:szCs w:val="20"/>
        </w:rPr>
        <w:t>校</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2"/>
          <w:sz w:val="20"/>
          <w:szCs w:val="20"/>
        </w:rPr>
        <w:t>本</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2"/>
          <w:sz w:val="20"/>
          <w:szCs w:val="20"/>
        </w:rPr>
        <w:t>科</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2"/>
          <w:sz w:val="20"/>
          <w:szCs w:val="20"/>
        </w:rPr>
        <w:t>教</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2"/>
          <w:sz w:val="20"/>
          <w:szCs w:val="20"/>
        </w:rPr>
        <w:t>育</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2"/>
          <w:sz w:val="20"/>
          <w:szCs w:val="20"/>
        </w:rPr>
        <w:t>教</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2"/>
          <w:sz w:val="20"/>
          <w:szCs w:val="20"/>
        </w:rPr>
        <w:t>学</w:t>
      </w:r>
      <w:r>
        <w:rPr>
          <w:rFonts w:ascii="微软雅黑" w:hAnsi="微软雅黑" w:eastAsia="微软雅黑" w:cs="微软雅黑"/>
          <w:color w:val="231F20"/>
          <w:spacing w:val="-22"/>
          <w:sz w:val="20"/>
          <w:szCs w:val="20"/>
        </w:rPr>
        <w:t xml:space="preserve"> </w:t>
      </w:r>
      <w:r>
        <w:rPr>
          <w:rFonts w:ascii="微软雅黑" w:hAnsi="微软雅黑" w:eastAsia="微软雅黑" w:cs="微软雅黑"/>
          <w:color w:val="231F20"/>
          <w:spacing w:val="-2"/>
          <w:sz w:val="20"/>
          <w:szCs w:val="20"/>
        </w:rPr>
        <w:t>审</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2"/>
          <w:sz w:val="20"/>
          <w:szCs w:val="20"/>
        </w:rPr>
        <w:t>核</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2"/>
          <w:sz w:val="20"/>
          <w:szCs w:val="20"/>
        </w:rPr>
        <w:t>评</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2"/>
          <w:sz w:val="20"/>
          <w:szCs w:val="20"/>
        </w:rPr>
        <w:t>估</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2"/>
          <w:sz w:val="20"/>
          <w:szCs w:val="20"/>
        </w:rPr>
        <w:t>实</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2"/>
          <w:sz w:val="20"/>
          <w:szCs w:val="20"/>
        </w:rPr>
        <w:t>施</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2"/>
          <w:sz w:val="20"/>
          <w:szCs w:val="20"/>
        </w:rPr>
        <w:t>方</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2"/>
          <w:sz w:val="20"/>
          <w:szCs w:val="20"/>
        </w:rPr>
        <w:t>案（</w:t>
      </w:r>
      <w:r>
        <w:rPr>
          <w:rFonts w:ascii="MS Gothic" w:hAnsi="MS Gothic" w:eastAsia="MS Gothic" w:cs="MS Gothic"/>
          <w:color w:val="231F20"/>
          <w:spacing w:val="-2"/>
          <w:sz w:val="20"/>
          <w:szCs w:val="20"/>
        </w:rPr>
        <w:t>2021</w:t>
      </w:r>
      <w:r>
        <w:rPr>
          <w:rFonts w:ascii="微软雅黑" w:hAnsi="微软雅黑" w:eastAsia="微软雅黑" w:cs="微软雅黑"/>
          <w:color w:val="231F20"/>
          <w:spacing w:val="-2"/>
          <w:sz w:val="20"/>
          <w:szCs w:val="20"/>
        </w:rPr>
        <w:t>—</w:t>
      </w:r>
      <w:r>
        <w:rPr>
          <w:rFonts w:ascii="微软雅黑" w:hAnsi="微软雅黑" w:eastAsia="微软雅黑" w:cs="微软雅黑"/>
          <w:color w:val="231F20"/>
          <w:sz w:val="20"/>
          <w:szCs w:val="20"/>
        </w:rPr>
        <w:t xml:space="preserve">  </w:t>
      </w:r>
      <w:r>
        <w:rPr>
          <w:rFonts w:ascii="MS Gothic" w:hAnsi="MS Gothic" w:eastAsia="MS Gothic" w:cs="MS Gothic"/>
          <w:color w:val="231F20"/>
          <w:spacing w:val="2"/>
          <w:sz w:val="20"/>
          <w:szCs w:val="20"/>
        </w:rPr>
        <w:t>2025</w:t>
      </w:r>
      <w:r>
        <w:rPr>
          <w:rFonts w:ascii="MS Gothic" w:hAnsi="MS Gothic" w:eastAsia="MS Gothic" w:cs="MS Gothic"/>
          <w:color w:val="231F20"/>
          <w:spacing w:val="-43"/>
          <w:sz w:val="20"/>
          <w:szCs w:val="20"/>
        </w:rPr>
        <w:t xml:space="preserve"> </w:t>
      </w:r>
      <w:r>
        <w:rPr>
          <w:rFonts w:ascii="微软雅黑" w:hAnsi="微软雅黑" w:eastAsia="微软雅黑" w:cs="微软雅黑"/>
          <w:color w:val="231F20"/>
          <w:spacing w:val="2"/>
          <w:sz w:val="20"/>
          <w:szCs w:val="20"/>
        </w:rPr>
        <w:t>年）》，方案将质量文化作为一个新的观测点纳</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入审核评估的考察范围</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。这一全新变化意味着我国</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高校质量保障将从传统操作层面管理转向更高层面</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0"/>
          <w:sz w:val="20"/>
          <w:szCs w:val="20"/>
        </w:rPr>
        <w:t>的价值追求</w:t>
      </w:r>
      <w:r>
        <w:rPr>
          <w:rFonts w:ascii="微软雅黑" w:hAnsi="微软雅黑" w:eastAsia="微软雅黑" w:cs="微软雅黑"/>
          <w:color w:val="231F20"/>
          <w:spacing w:val="-11"/>
          <w:sz w:val="20"/>
          <w:szCs w:val="20"/>
        </w:rPr>
        <w:t xml:space="preserve"> </w:t>
      </w:r>
      <w:r>
        <w:rPr>
          <w:rFonts w:ascii="微软雅黑" w:hAnsi="微软雅黑" w:eastAsia="微软雅黑" w:cs="微软雅黑"/>
          <w:color w:val="231F20"/>
          <w:spacing w:val="10"/>
          <w:sz w:val="20"/>
          <w:szCs w:val="20"/>
        </w:rPr>
        <w:t>。那么，质量文化内涵是什么？</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0"/>
          <w:sz w:val="20"/>
          <w:szCs w:val="20"/>
        </w:rPr>
        <w:t>质量文</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0"/>
          <w:sz w:val="20"/>
          <w:szCs w:val="20"/>
        </w:rPr>
        <w:t>化与质量保障存在什么样联系</w:t>
      </w:r>
      <w:r>
        <w:rPr>
          <w:rFonts w:ascii="微软雅黑" w:hAnsi="微软雅黑" w:eastAsia="微软雅黑" w:cs="微软雅黑"/>
          <w:color w:val="231F20"/>
          <w:spacing w:val="-11"/>
          <w:sz w:val="20"/>
          <w:szCs w:val="20"/>
        </w:rPr>
        <w:t xml:space="preserve"> </w:t>
      </w:r>
      <w:r>
        <w:rPr>
          <w:rFonts w:ascii="微软雅黑" w:hAnsi="微软雅黑" w:eastAsia="微软雅黑" w:cs="微软雅黑"/>
          <w:color w:val="231F20"/>
          <w:spacing w:val="20"/>
          <w:sz w:val="20"/>
          <w:szCs w:val="20"/>
        </w:rPr>
        <w:t>？</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20"/>
          <w:sz w:val="20"/>
          <w:szCs w:val="20"/>
        </w:rPr>
        <w:t>如何构建质量文</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5"/>
          <w:sz w:val="20"/>
          <w:szCs w:val="20"/>
        </w:rPr>
        <w:t>化？</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5"/>
          <w:sz w:val="20"/>
          <w:szCs w:val="20"/>
        </w:rPr>
        <w:t>本研究试图从高等教育质量文化建设的视角，</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全面探讨欧洲高等教育质量文化实施背景、实施内</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容、实施影响，从而为我国高等教育质量保障的转型</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8"/>
          <w:sz w:val="20"/>
          <w:szCs w:val="20"/>
        </w:rPr>
        <w:t>发展提供借鉴和参考。</w:t>
      </w:r>
    </w:p>
    <w:p>
      <w:pPr>
        <w:spacing w:before="31" w:line="268" w:lineRule="exact"/>
        <w:ind w:left="617"/>
        <w:rPr>
          <w:rFonts w:ascii="黑体" w:hAnsi="黑体" w:eastAsia="黑体" w:cs="黑体"/>
          <w:sz w:val="20"/>
          <w:szCs w:val="20"/>
        </w:rPr>
      </w:pPr>
      <w:r>
        <w:rPr>
          <w:rFonts w:ascii="黑体" w:hAnsi="黑体" w:eastAsia="黑体" w:cs="黑体"/>
          <w:color w:val="231F20"/>
          <w:spacing w:val="-3"/>
          <w:position w:val="1"/>
          <w:sz w:val="20"/>
          <w:szCs w:val="20"/>
        </w:rPr>
        <w:t>一、质量文化产生背景</w:t>
      </w:r>
    </w:p>
    <w:p>
      <w:pPr>
        <w:spacing w:before="49" w:line="209" w:lineRule="auto"/>
        <w:ind w:left="186" w:right="54" w:firstLine="423"/>
        <w:rPr>
          <w:rFonts w:ascii="微软雅黑" w:hAnsi="微软雅黑" w:eastAsia="微软雅黑" w:cs="微软雅黑"/>
          <w:sz w:val="20"/>
          <w:szCs w:val="20"/>
        </w:rPr>
      </w:pPr>
      <w:r>
        <w:rPr>
          <w:rFonts w:ascii="微软雅黑" w:hAnsi="微软雅黑" w:eastAsia="微软雅黑" w:cs="微软雅黑"/>
          <w:color w:val="231F20"/>
          <w:spacing w:val="7"/>
          <w:sz w:val="20"/>
          <w:szCs w:val="20"/>
        </w:rPr>
        <w:t>质量文化从其产生渊源而论，起源于商业领域。</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4"/>
          <w:sz w:val="20"/>
          <w:szCs w:val="20"/>
        </w:rPr>
        <w:t>在商业世界里，质量是一事物区别于另一事物的内</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在规定性，质量文化代表了企业对产品品质、技术标</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3"/>
          <w:sz w:val="20"/>
          <w:szCs w:val="20"/>
        </w:rPr>
        <w:t>准、顾客为先等潜在价值的追求</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3"/>
          <w:sz w:val="20"/>
          <w:szCs w:val="20"/>
        </w:rPr>
        <w:t>。有学者提出，质量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文化本质被视为制造业的一个功能部分</w:t>
      </w:r>
      <w:r>
        <w:rPr>
          <w:rFonts w:ascii="微软雅黑" w:hAnsi="微软雅黑" w:eastAsia="微软雅黑" w:cs="微软雅黑"/>
          <w:color w:val="231F20"/>
          <w:spacing w:val="8"/>
          <w:position w:val="8"/>
          <w:sz w:val="10"/>
          <w:szCs w:val="10"/>
        </w:rPr>
        <w:t>［</w:t>
      </w:r>
      <w:r>
        <w:rPr>
          <w:rFonts w:ascii="MS Gothic" w:hAnsi="MS Gothic" w:eastAsia="MS Gothic" w:cs="MS Gothic"/>
          <w:color w:val="231F20"/>
          <w:spacing w:val="8"/>
          <w:position w:val="8"/>
          <w:sz w:val="10"/>
          <w:szCs w:val="10"/>
        </w:rPr>
        <w:t>1</w:t>
      </w:r>
      <w:r>
        <w:rPr>
          <w:rFonts w:ascii="微软雅黑" w:hAnsi="微软雅黑" w:eastAsia="微软雅黑" w:cs="微软雅黑"/>
          <w:color w:val="231F20"/>
          <w:spacing w:val="-2"/>
          <w:position w:val="8"/>
          <w:sz w:val="10"/>
          <w:szCs w:val="10"/>
        </w:rPr>
        <w:t>］</w:t>
      </w:r>
      <w:r>
        <w:rPr>
          <w:rFonts w:ascii="微软雅黑" w:hAnsi="微软雅黑" w:eastAsia="微软雅黑" w:cs="微软雅黑"/>
          <w:color w:val="231F20"/>
          <w:spacing w:val="-33"/>
          <w:w w:val="54"/>
          <w:sz w:val="20"/>
          <w:szCs w:val="20"/>
        </w:rPr>
        <w:t>，</w:t>
      </w:r>
      <w:r>
        <w:rPr>
          <w:rFonts w:ascii="微软雅黑" w:hAnsi="微软雅黑" w:eastAsia="微软雅黑" w:cs="微软雅黑"/>
          <w:color w:val="231F20"/>
          <w:spacing w:val="8"/>
          <w:sz w:val="20"/>
          <w:szCs w:val="20"/>
        </w:rPr>
        <w:t>质量文化</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赋予组织中的每个人，而不仅仅是质量人员，都负有</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2"/>
          <w:sz w:val="20"/>
          <w:szCs w:val="20"/>
        </w:rPr>
        <w:t>质量的责任</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。之所以在企业率先出现质量文化这一</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概念，原因是二战后，特别是</w:t>
      </w:r>
      <w:r>
        <w:rPr>
          <w:rFonts w:ascii="微软雅黑" w:hAnsi="微软雅黑" w:eastAsia="微软雅黑" w:cs="微软雅黑"/>
          <w:color w:val="231F20"/>
          <w:spacing w:val="-18"/>
          <w:sz w:val="20"/>
          <w:szCs w:val="20"/>
        </w:rPr>
        <w:t xml:space="preserve"> </w:t>
      </w:r>
      <w:r>
        <w:rPr>
          <w:rFonts w:ascii="MS Gothic" w:hAnsi="MS Gothic" w:eastAsia="MS Gothic" w:cs="MS Gothic"/>
          <w:color w:val="231F20"/>
          <w:spacing w:val="1"/>
          <w:sz w:val="20"/>
          <w:szCs w:val="20"/>
        </w:rPr>
        <w:t>20</w:t>
      </w:r>
      <w:r>
        <w:rPr>
          <w:rFonts w:ascii="微软雅黑" w:hAnsi="微软雅黑" w:eastAsia="微软雅黑" w:cs="微软雅黑"/>
          <w:color w:val="231F20"/>
          <w:spacing w:val="1"/>
          <w:sz w:val="20"/>
          <w:szCs w:val="20"/>
        </w:rPr>
        <w:t>世纪</w:t>
      </w:r>
      <w:r>
        <w:rPr>
          <w:rFonts w:ascii="微软雅黑" w:hAnsi="微软雅黑" w:eastAsia="微软雅黑" w:cs="微软雅黑"/>
          <w:color w:val="231F20"/>
          <w:spacing w:val="-13"/>
          <w:sz w:val="20"/>
          <w:szCs w:val="20"/>
        </w:rPr>
        <w:t xml:space="preserve"> </w:t>
      </w:r>
      <w:r>
        <w:rPr>
          <w:rFonts w:ascii="MS Gothic" w:hAnsi="MS Gothic" w:eastAsia="MS Gothic" w:cs="MS Gothic"/>
          <w:color w:val="231F20"/>
          <w:spacing w:val="1"/>
          <w:sz w:val="20"/>
          <w:szCs w:val="20"/>
        </w:rPr>
        <w:t>80</w:t>
      </w:r>
      <w:r>
        <w:rPr>
          <w:rFonts w:ascii="微软雅黑" w:hAnsi="微软雅黑" w:eastAsia="微软雅黑" w:cs="微软雅黑"/>
          <w:color w:val="231F20"/>
          <w:spacing w:val="1"/>
          <w:sz w:val="20"/>
          <w:szCs w:val="20"/>
        </w:rPr>
        <w:t>年代</w:t>
      </w:r>
      <w:r>
        <w:rPr>
          <w:rFonts w:ascii="微软雅黑" w:hAnsi="微软雅黑" w:eastAsia="微软雅黑" w:cs="微软雅黑"/>
          <w:color w:val="231F20"/>
          <w:sz w:val="20"/>
          <w:szCs w:val="20"/>
        </w:rPr>
        <w:t xml:space="preserve">，日本企  </w:t>
      </w:r>
      <w:r>
        <w:rPr>
          <w:rFonts w:ascii="微软雅黑" w:hAnsi="微软雅黑" w:eastAsia="微软雅黑" w:cs="微软雅黑"/>
          <w:color w:val="231F20"/>
          <w:spacing w:val="14"/>
          <w:sz w:val="20"/>
          <w:szCs w:val="20"/>
        </w:rPr>
        <w:t>业的成功吸引了众多管理大师关注和研究企业文化</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现象，其中一个核心观点认为，质量改进与企业文化</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有关，看待企业产品质量应该放在更广泛文化视角</w:t>
      </w:r>
    </w:p>
    <w:p>
      <w:pPr>
        <w:spacing w:line="14" w:lineRule="auto"/>
        <w:rPr>
          <w:rFonts w:ascii="Arial"/>
          <w:sz w:val="2"/>
        </w:rPr>
      </w:pPr>
      <w:r>
        <w:rPr>
          <w:rFonts w:ascii="Arial" w:hAnsi="Arial" w:eastAsia="Arial" w:cs="Arial"/>
          <w:sz w:val="2"/>
          <w:szCs w:val="2"/>
        </w:rPr>
        <w:br w:type="column"/>
      </w:r>
    </w:p>
    <w:p>
      <w:pPr>
        <w:spacing w:before="39" w:line="208" w:lineRule="auto"/>
        <w:ind w:right="165"/>
        <w:jc w:val="both"/>
        <w:rPr>
          <w:rFonts w:ascii="微软雅黑" w:hAnsi="微软雅黑" w:eastAsia="微软雅黑" w:cs="微软雅黑"/>
          <w:sz w:val="20"/>
          <w:szCs w:val="20"/>
        </w:rPr>
      </w:pPr>
      <w:r>
        <w:rPr>
          <w:rFonts w:ascii="微软雅黑" w:hAnsi="微软雅黑" w:eastAsia="微软雅黑" w:cs="微软雅黑"/>
          <w:color w:val="231F20"/>
          <w:spacing w:val="12"/>
          <w:sz w:val="20"/>
          <w:szCs w:val="20"/>
        </w:rPr>
        <w:t>来考察</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2"/>
          <w:sz w:val="20"/>
          <w:szCs w:val="20"/>
        </w:rPr>
        <w:t>。在极盛时期，研究者从两个不同视角对企</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业质量文化进行了研究</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。一是从管理学视角，把质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量文化作为一个新组织工具而被改革者或管理大师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所强调；二是从社会学视角，质量文化被看作产品内</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1"/>
          <w:sz w:val="20"/>
          <w:szCs w:val="20"/>
        </w:rPr>
        <w:t>在组成，是社会互动和组织生活自然区别的结果</w:t>
      </w:r>
      <w:r>
        <w:rPr>
          <w:rFonts w:ascii="微软雅黑" w:hAnsi="微软雅黑" w:eastAsia="微软雅黑" w:cs="微软雅黑"/>
          <w:color w:val="231F20"/>
          <w:spacing w:val="1"/>
          <w:position w:val="8"/>
          <w:sz w:val="10"/>
          <w:szCs w:val="10"/>
        </w:rPr>
        <w:t>［</w:t>
      </w:r>
      <w:r>
        <w:rPr>
          <w:rFonts w:ascii="MS Gothic" w:hAnsi="MS Gothic" w:eastAsia="MS Gothic" w:cs="MS Gothic"/>
          <w:color w:val="231F20"/>
          <w:spacing w:val="1"/>
          <w:position w:val="8"/>
          <w:sz w:val="10"/>
          <w:szCs w:val="10"/>
        </w:rPr>
        <w:t>2</w:t>
      </w:r>
      <w:r>
        <w:rPr>
          <w:rFonts w:ascii="微软雅黑" w:hAnsi="微软雅黑" w:eastAsia="微软雅黑" w:cs="微软雅黑"/>
          <w:color w:val="231F20"/>
          <w:spacing w:val="1"/>
          <w:position w:val="8"/>
          <w:sz w:val="10"/>
          <w:szCs w:val="10"/>
        </w:rPr>
        <w:t>］</w:t>
      </w:r>
      <w:r>
        <w:rPr>
          <w:rFonts w:ascii="微软雅黑" w:hAnsi="微软雅黑" w:eastAsia="微软雅黑" w:cs="微软雅黑"/>
          <w:color w:val="231F20"/>
          <w:spacing w:val="1"/>
          <w:sz w:val="20"/>
          <w:szCs w:val="20"/>
        </w:rPr>
        <w:t>。</w:t>
      </w:r>
    </w:p>
    <w:p>
      <w:pPr>
        <w:spacing w:before="41" w:line="211" w:lineRule="auto"/>
        <w:ind w:right="86" w:firstLine="428"/>
        <w:jc w:val="both"/>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与企业质量文化相类似，高等教育质量文化既</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源于高等教育对于质量的内在追求，也是高等教育</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与社会需求互动过程形成的对质量的价值认识或判</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断</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3"/>
          <w:sz w:val="20"/>
          <w:szCs w:val="20"/>
        </w:rPr>
        <w:t>。就内在需求而言，在经典的高等教育理念中，尽</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管没有出现“质量</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6"/>
          <w:sz w:val="20"/>
          <w:szCs w:val="20"/>
        </w:rPr>
        <w:t>”或“质量保障</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6"/>
          <w:sz w:val="20"/>
          <w:szCs w:val="20"/>
        </w:rPr>
        <w:t>”这一显性的概</w:t>
      </w:r>
      <w:r>
        <w:rPr>
          <w:rFonts w:ascii="微软雅黑" w:hAnsi="微软雅黑" w:eastAsia="微软雅黑" w:cs="微软雅黑"/>
          <w:color w:val="231F20"/>
          <w:spacing w:val="-7"/>
          <w:sz w:val="20"/>
          <w:szCs w:val="20"/>
        </w:rPr>
        <w:t xml:space="preserve">念或  </w:t>
      </w:r>
      <w:r>
        <w:rPr>
          <w:rFonts w:ascii="微软雅黑" w:hAnsi="微软雅黑" w:eastAsia="微软雅黑" w:cs="微软雅黑"/>
          <w:color w:val="231F20"/>
          <w:spacing w:val="-5"/>
          <w:sz w:val="20"/>
          <w:szCs w:val="20"/>
        </w:rPr>
        <w:t>理论，但是作为一种潜在概念，“质量</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5"/>
          <w:sz w:val="20"/>
          <w:szCs w:val="20"/>
        </w:rPr>
        <w:t>”天然被</w:t>
      </w:r>
      <w:r>
        <w:rPr>
          <w:rFonts w:ascii="微软雅黑" w:hAnsi="微软雅黑" w:eastAsia="微软雅黑" w:cs="微软雅黑"/>
          <w:color w:val="231F20"/>
          <w:spacing w:val="-6"/>
          <w:sz w:val="20"/>
          <w:szCs w:val="20"/>
        </w:rPr>
        <w:t xml:space="preserve">认为存  </w:t>
      </w:r>
      <w:r>
        <w:rPr>
          <w:rFonts w:ascii="微软雅黑" w:hAnsi="微软雅黑" w:eastAsia="微软雅黑" w:cs="微软雅黑"/>
          <w:color w:val="231F20"/>
          <w:spacing w:val="8"/>
          <w:sz w:val="20"/>
          <w:szCs w:val="20"/>
        </w:rPr>
        <w:t>在于一种隐式系统，其价值被所有学术人员所内化。</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14"/>
          <w:sz w:val="20"/>
          <w:szCs w:val="20"/>
        </w:rPr>
        <w:t>从外在需求而言，高等教育质量作为显性概念进入</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人们的研究视野则是二战以后的事情</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2"/>
          <w:sz w:val="20"/>
          <w:szCs w:val="20"/>
        </w:rPr>
        <w:t>。其原因是国</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际竞争加剧、高等教育参与者增多、私立高等教育扩</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4"/>
          <w:sz w:val="20"/>
          <w:szCs w:val="20"/>
        </w:rPr>
        <w:t>张、政府财政缩减和新公共管理兴起等因素，由之带</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24"/>
          <w:sz w:val="20"/>
          <w:szCs w:val="20"/>
        </w:rPr>
        <w:t>来人们对已有隐性系统能否提供高质量服务的质</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8"/>
          <w:sz w:val="20"/>
          <w:szCs w:val="20"/>
        </w:rPr>
        <w:t>疑</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8"/>
          <w:sz w:val="20"/>
          <w:szCs w:val="20"/>
        </w:rPr>
        <w:t>。特别是</w:t>
      </w:r>
      <w:r>
        <w:rPr>
          <w:rFonts w:ascii="微软雅黑" w:hAnsi="微软雅黑" w:eastAsia="微软雅黑" w:cs="微软雅黑"/>
          <w:color w:val="231F20"/>
          <w:spacing w:val="-18"/>
          <w:sz w:val="20"/>
          <w:szCs w:val="20"/>
        </w:rPr>
        <w:t xml:space="preserve"> </w:t>
      </w:r>
      <w:r>
        <w:rPr>
          <w:rFonts w:ascii="MS Gothic" w:hAnsi="MS Gothic" w:eastAsia="MS Gothic" w:cs="MS Gothic"/>
          <w:color w:val="231F20"/>
          <w:spacing w:val="8"/>
          <w:sz w:val="20"/>
          <w:szCs w:val="20"/>
        </w:rPr>
        <w:t>20</w:t>
      </w:r>
      <w:r>
        <w:rPr>
          <w:rFonts w:ascii="微软雅黑" w:hAnsi="微软雅黑" w:eastAsia="微软雅黑" w:cs="微软雅黑"/>
          <w:color w:val="231F20"/>
          <w:spacing w:val="8"/>
          <w:sz w:val="20"/>
          <w:szCs w:val="20"/>
        </w:rPr>
        <w:t>世纪</w:t>
      </w:r>
      <w:r>
        <w:rPr>
          <w:rFonts w:ascii="微软雅黑" w:hAnsi="微软雅黑" w:eastAsia="微软雅黑" w:cs="微软雅黑"/>
          <w:color w:val="231F20"/>
          <w:spacing w:val="-18"/>
          <w:sz w:val="20"/>
          <w:szCs w:val="20"/>
        </w:rPr>
        <w:t xml:space="preserve"> </w:t>
      </w:r>
      <w:r>
        <w:rPr>
          <w:rFonts w:ascii="MS Gothic" w:hAnsi="MS Gothic" w:eastAsia="MS Gothic" w:cs="MS Gothic"/>
          <w:color w:val="231F20"/>
          <w:spacing w:val="8"/>
          <w:sz w:val="20"/>
          <w:szCs w:val="20"/>
        </w:rPr>
        <w:t>90</w:t>
      </w:r>
      <w:r>
        <w:rPr>
          <w:rFonts w:ascii="微软雅黑" w:hAnsi="微软雅黑" w:eastAsia="微软雅黑" w:cs="微软雅黑"/>
          <w:color w:val="231F20"/>
          <w:spacing w:val="8"/>
          <w:sz w:val="20"/>
          <w:szCs w:val="20"/>
        </w:rPr>
        <w:t>年代，质量被强调为知识经济</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社会发展的一个重要因素，质量成为一个时代的命</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题</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4"/>
          <w:sz w:val="20"/>
          <w:szCs w:val="20"/>
        </w:rPr>
        <w:t>。</w:t>
      </w:r>
      <w:r>
        <w:rPr>
          <w:rFonts w:ascii="微软雅黑" w:hAnsi="微软雅黑" w:eastAsia="微软雅黑" w:cs="微软雅黑"/>
          <w:color w:val="231F20"/>
          <w:spacing w:val="-37"/>
          <w:sz w:val="20"/>
          <w:szCs w:val="20"/>
        </w:rPr>
        <w:t xml:space="preserve"> </w:t>
      </w:r>
      <w:r>
        <w:rPr>
          <w:rFonts w:ascii="MS Gothic" w:hAnsi="MS Gothic" w:eastAsia="MS Gothic" w:cs="MS Gothic"/>
          <w:color w:val="231F20"/>
          <w:spacing w:val="4"/>
          <w:sz w:val="20"/>
          <w:szCs w:val="20"/>
        </w:rPr>
        <w:t>1998</w:t>
      </w:r>
      <w:r>
        <w:rPr>
          <w:rFonts w:ascii="MS Gothic" w:hAnsi="MS Gothic" w:eastAsia="MS Gothic" w:cs="MS Gothic"/>
          <w:color w:val="231F20"/>
          <w:spacing w:val="-59"/>
          <w:sz w:val="20"/>
          <w:szCs w:val="20"/>
        </w:rPr>
        <w:t xml:space="preserve"> </w:t>
      </w:r>
      <w:r>
        <w:rPr>
          <w:rFonts w:ascii="微软雅黑" w:hAnsi="微软雅黑" w:eastAsia="微软雅黑" w:cs="微软雅黑"/>
          <w:color w:val="231F20"/>
          <w:spacing w:val="4"/>
          <w:sz w:val="20"/>
          <w:szCs w:val="20"/>
        </w:rPr>
        <w:t xml:space="preserve">年 </w:t>
      </w:r>
      <w:r>
        <w:rPr>
          <w:rFonts w:ascii="MS Gothic" w:hAnsi="MS Gothic" w:eastAsia="MS Gothic" w:cs="MS Gothic"/>
          <w:color w:val="231F20"/>
          <w:spacing w:val="4"/>
          <w:sz w:val="20"/>
          <w:szCs w:val="20"/>
        </w:rPr>
        <w:t>10</w:t>
      </w:r>
      <w:r>
        <w:rPr>
          <w:rFonts w:ascii="MS Gothic" w:hAnsi="MS Gothic" w:eastAsia="MS Gothic" w:cs="MS Gothic"/>
          <w:color w:val="231F20"/>
          <w:spacing w:val="-58"/>
          <w:sz w:val="20"/>
          <w:szCs w:val="20"/>
        </w:rPr>
        <w:t xml:space="preserve"> </w:t>
      </w:r>
      <w:r>
        <w:rPr>
          <w:rFonts w:ascii="微软雅黑" w:hAnsi="微软雅黑" w:eastAsia="微软雅黑" w:cs="微软雅黑"/>
          <w:color w:val="231F20"/>
          <w:spacing w:val="4"/>
          <w:sz w:val="20"/>
          <w:szCs w:val="20"/>
        </w:rPr>
        <w:t>月，联合国教科文组织召开首届世界</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高等教育大会，向全球呼吁：</w:t>
      </w:r>
      <w:r>
        <w:rPr>
          <w:rFonts w:ascii="MS Gothic" w:hAnsi="MS Gothic" w:eastAsia="MS Gothic" w:cs="MS Gothic"/>
          <w:color w:val="231F20"/>
          <w:spacing w:val="4"/>
          <w:sz w:val="20"/>
          <w:szCs w:val="20"/>
        </w:rPr>
        <w:t>21</w:t>
      </w:r>
      <w:r>
        <w:rPr>
          <w:rFonts w:ascii="微软雅黑" w:hAnsi="微软雅黑" w:eastAsia="微软雅黑" w:cs="微软雅黑"/>
          <w:color w:val="231F20"/>
          <w:spacing w:val="4"/>
          <w:sz w:val="20"/>
          <w:szCs w:val="20"/>
        </w:rPr>
        <w:t>世纪将是更加注重质</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4"/>
          <w:sz w:val="20"/>
          <w:szCs w:val="20"/>
        </w:rPr>
        <w:t>量的世纪，由数量向质量的转移，标志着一个时代的</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0"/>
          <w:sz w:val="20"/>
          <w:szCs w:val="20"/>
        </w:rPr>
        <w:t>结束和另一个时代的开始</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10"/>
          <w:sz w:val="20"/>
          <w:szCs w:val="20"/>
        </w:rPr>
        <w:t>。会上发布《面向</w:t>
      </w:r>
      <w:r>
        <w:rPr>
          <w:rFonts w:ascii="微软雅黑" w:hAnsi="微软雅黑" w:eastAsia="微软雅黑" w:cs="微软雅黑"/>
          <w:color w:val="231F20"/>
          <w:spacing w:val="-15"/>
          <w:sz w:val="20"/>
          <w:szCs w:val="20"/>
        </w:rPr>
        <w:t xml:space="preserve"> </w:t>
      </w:r>
      <w:r>
        <w:rPr>
          <w:rFonts w:ascii="MS Gothic" w:hAnsi="MS Gothic" w:eastAsia="MS Gothic" w:cs="MS Gothic"/>
          <w:color w:val="231F20"/>
          <w:spacing w:val="10"/>
          <w:sz w:val="20"/>
          <w:szCs w:val="20"/>
        </w:rPr>
        <w:t>21</w:t>
      </w:r>
      <w:r>
        <w:rPr>
          <w:rFonts w:ascii="微软雅黑" w:hAnsi="微软雅黑" w:eastAsia="微软雅黑" w:cs="微软雅黑"/>
          <w:color w:val="231F20"/>
          <w:spacing w:val="10"/>
          <w:sz w:val="20"/>
          <w:szCs w:val="20"/>
        </w:rPr>
        <w:t>世纪</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高等教育的展望与行动》宣言，提出“高等教育的质</w:t>
      </w:r>
    </w:p>
    <w:p>
      <w:pPr>
        <w:spacing w:line="211" w:lineRule="auto"/>
        <w:rPr>
          <w:rFonts w:ascii="微软雅黑" w:hAnsi="微软雅黑" w:eastAsia="微软雅黑" w:cs="微软雅黑"/>
          <w:sz w:val="20"/>
          <w:szCs w:val="20"/>
        </w:rPr>
        <w:sectPr>
          <w:type w:val="continuous"/>
          <w:pgSz w:w="10841" w:h="15421"/>
          <w:pgMar w:top="727" w:right="427" w:bottom="547" w:left="407" w:header="346" w:footer="354" w:gutter="0"/>
          <w:cols w:equalWidth="0" w:num="2">
            <w:col w:w="5030" w:space="100"/>
            <w:col w:w="4876"/>
          </w:cols>
        </w:sectPr>
      </w:pPr>
    </w:p>
    <w:p>
      <w:pPr>
        <w:spacing w:line="330" w:lineRule="auto"/>
        <w:rPr>
          <w:rFonts w:ascii="Arial"/>
          <w:sz w:val="21"/>
        </w:rPr>
      </w:pPr>
    </w:p>
    <w:p>
      <w:pPr>
        <w:spacing w:before="74" w:line="227" w:lineRule="auto"/>
        <w:ind w:left="319" w:right="164" w:hanging="124"/>
        <w:rPr>
          <w:rFonts w:ascii="微软雅黑" w:hAnsi="微软雅黑" w:eastAsia="微软雅黑" w:cs="微软雅黑"/>
          <w:sz w:val="17"/>
          <w:szCs w:val="17"/>
        </w:rPr>
      </w:pPr>
      <w:r>
        <w:rPr>
          <w:rFonts w:ascii="MS Gothic" w:hAnsi="MS Gothic" w:eastAsia="MS Gothic" w:cs="MS Gothic"/>
          <w:color w:val="231F20"/>
          <w:spacing w:val="4"/>
          <w:sz w:val="17"/>
          <w:szCs w:val="17"/>
        </w:rPr>
        <w:t>*</w:t>
      </w:r>
      <w:r>
        <w:rPr>
          <w:rFonts w:ascii="MS Gothic" w:hAnsi="MS Gothic" w:eastAsia="MS Gothic" w:cs="MS Gothic"/>
          <w:color w:val="231F20"/>
          <w:spacing w:val="-28"/>
          <w:sz w:val="17"/>
          <w:szCs w:val="17"/>
        </w:rPr>
        <w:t xml:space="preserve"> </w:t>
      </w:r>
      <w:r>
        <w:rPr>
          <w:rFonts w:ascii="微软雅黑" w:hAnsi="微软雅黑" w:eastAsia="微软雅黑" w:cs="微软雅黑"/>
          <w:color w:val="231F20"/>
          <w:spacing w:val="4"/>
          <w:sz w:val="17"/>
          <w:szCs w:val="17"/>
        </w:rPr>
        <w:t>本文系国家社会科学基金教育学重点课题“</w:t>
      </w:r>
      <w:r>
        <w:rPr>
          <w:rFonts w:ascii="微软雅黑" w:hAnsi="微软雅黑" w:eastAsia="微软雅黑" w:cs="微软雅黑"/>
          <w:color w:val="231F20"/>
          <w:spacing w:val="-25"/>
          <w:sz w:val="17"/>
          <w:szCs w:val="17"/>
        </w:rPr>
        <w:t xml:space="preserve"> </w:t>
      </w:r>
      <w:r>
        <w:rPr>
          <w:rFonts w:ascii="微软雅黑" w:hAnsi="微软雅黑" w:eastAsia="微软雅黑" w:cs="微软雅黑"/>
          <w:color w:val="231F20"/>
          <w:spacing w:val="4"/>
          <w:sz w:val="17"/>
          <w:szCs w:val="17"/>
        </w:rPr>
        <w:t>中国特色、世界水平的一流本科教育建设标</w:t>
      </w:r>
      <w:r>
        <w:rPr>
          <w:rFonts w:ascii="微软雅黑" w:hAnsi="微软雅黑" w:eastAsia="微软雅黑" w:cs="微软雅黑"/>
          <w:color w:val="231F20"/>
          <w:spacing w:val="3"/>
          <w:sz w:val="17"/>
          <w:szCs w:val="17"/>
        </w:rPr>
        <w:t>准与建设机制研究”（</w:t>
      </w:r>
      <w:r>
        <w:rPr>
          <w:rFonts w:ascii="MS Gothic" w:hAnsi="MS Gothic" w:eastAsia="MS Gothic" w:cs="MS Gothic"/>
          <w:color w:val="231F20"/>
          <w:sz w:val="17"/>
          <w:szCs w:val="17"/>
        </w:rPr>
        <w:t>AIA</w:t>
      </w:r>
      <w:r>
        <w:rPr>
          <w:rFonts w:ascii="MS Gothic" w:hAnsi="MS Gothic" w:eastAsia="MS Gothic" w:cs="MS Gothic"/>
          <w:color w:val="231F20"/>
          <w:spacing w:val="3"/>
          <w:sz w:val="17"/>
          <w:szCs w:val="17"/>
        </w:rPr>
        <w:t>190014</w:t>
      </w:r>
      <w:r>
        <w:rPr>
          <w:rFonts w:ascii="微软雅黑" w:hAnsi="微软雅黑" w:eastAsia="微软雅黑" w:cs="微软雅黑"/>
          <w:color w:val="231F20"/>
          <w:spacing w:val="3"/>
          <w:sz w:val="17"/>
          <w:szCs w:val="17"/>
        </w:rPr>
        <w:t>）的</w:t>
      </w:r>
      <w:r>
        <w:rPr>
          <w:rFonts w:ascii="微软雅黑" w:hAnsi="微软雅黑" w:eastAsia="微软雅黑" w:cs="微软雅黑"/>
          <w:color w:val="231F20"/>
          <w:sz w:val="17"/>
          <w:szCs w:val="17"/>
        </w:rPr>
        <w:t xml:space="preserve"> </w:t>
      </w:r>
      <w:r>
        <w:rPr>
          <w:rFonts w:ascii="微软雅黑" w:hAnsi="微软雅黑" w:eastAsia="微软雅黑" w:cs="微软雅黑"/>
          <w:color w:val="231F20"/>
          <w:spacing w:val="8"/>
          <w:sz w:val="17"/>
          <w:szCs w:val="17"/>
        </w:rPr>
        <w:t>研究成果</w:t>
      </w:r>
    </w:p>
    <w:p>
      <w:pPr>
        <w:spacing w:before="107" w:line="284" w:lineRule="exact"/>
        <w:ind w:firstLine="9213"/>
      </w:pPr>
      <w:r>
        <w:rPr>
          <w:position w:val="-5"/>
        </w:rPr>
        <w:pict>
          <v:group id="_x0000_s1069" o:spid="_x0000_s1069" o:spt="203" style="height:14.25pt;width:39.6pt;" coordsize="791,285">
            <o:lock v:ext="edit"/>
            <v:group id="_x0000_s1070" o:spid="_x0000_s1070" o:spt="203" style="position:absolute;left:0;top:0;height:285;width:791;" coordsize="791,285">
              <o:lock v:ext="edit"/>
              <v:shape id="_x0000_s1071" o:spid="_x0000_s1071" style="position:absolute;left:395;top:0;height:285;width:397;" fillcolor="#C7C8CA" filled="t" stroked="f" coordsize="397,285" path="m396,284l396,0,0,0,0,284,396,284xe">
                <v:path/>
                <v:fill on="t" focussize="0,0"/>
                <v:stroke on="f"/>
                <v:imagedata o:title=""/>
                <o:lock v:ext="edit"/>
              </v:shape>
              <v:shape id="_x0000_s1072" o:spid="_x0000_s1072" style="position:absolute;left:0;top:0;height:285;width:395;" fillcolor="#231F20" filled="t" stroked="f" coordsize="395,285" path="m395,284l395,0,0,0,0,284,395,284xe">
                <v:path/>
                <v:fill on="t" focussize="0,0"/>
                <v:stroke on="f"/>
                <v:imagedata o:title=""/>
                <o:lock v:ext="edit"/>
              </v:shape>
            </v:group>
            <v:shape id="_x0000_s1073" o:spid="_x0000_s1073" o:spt="202" type="#_x0000_t202" style="position:absolute;left:-20;top:-20;height:325;width:831;" filled="f" stroked="f" coordsize="21600,21600">
              <v:path/>
              <v:fill on="f" focussize="0,0"/>
              <v:stroke on="f"/>
              <v:imagedata o:title=""/>
              <o:lock v:ext="edit" aspectratio="f"/>
              <v:textbox inset="0mm,0mm,0mm,0mm">
                <w:txbxContent>
                  <w:p>
                    <w:pPr>
                      <w:spacing w:before="94" w:line="184" w:lineRule="auto"/>
                      <w:ind w:left="121"/>
                      <w:rPr>
                        <w:rFonts w:ascii="仿宋" w:hAnsi="仿宋" w:eastAsia="仿宋" w:cs="仿宋"/>
                        <w:sz w:val="20"/>
                        <w:szCs w:val="20"/>
                      </w:rPr>
                    </w:pPr>
                    <w:r>
                      <w:rPr>
                        <w:rFonts w:ascii="仿宋" w:hAnsi="仿宋" w:eastAsia="仿宋" w:cs="仿宋"/>
                        <w:color w:val="FFFFFF"/>
                        <w:sz w:val="20"/>
                        <w:szCs w:val="20"/>
                      </w:rPr>
                      <w:t>43</w:t>
                    </w:r>
                  </w:p>
                </w:txbxContent>
              </v:textbox>
            </v:shape>
            <w10:wrap type="none"/>
            <w10:anchorlock/>
          </v:group>
        </w:pict>
      </w:r>
    </w:p>
    <w:p>
      <w:pPr>
        <w:spacing w:line="284" w:lineRule="exact"/>
        <w:sectPr>
          <w:type w:val="continuous"/>
          <w:pgSz w:w="10841" w:h="15421"/>
          <w:pgMar w:top="727" w:right="427" w:bottom="547" w:left="407" w:header="346" w:footer="354" w:gutter="0"/>
          <w:cols w:equalWidth="0" w:num="1">
            <w:col w:w="10006"/>
          </w:cols>
        </w:sectPr>
      </w:pPr>
    </w:p>
    <w:p>
      <w:pPr>
        <w:spacing w:before="17"/>
      </w:pPr>
    </w:p>
    <w:p>
      <w:pPr>
        <w:sectPr>
          <w:headerReference r:id="rId92" w:type="default"/>
          <w:footerReference r:id="rId93" w:type="default"/>
          <w:pgSz w:w="10841" w:h="15421"/>
          <w:pgMar w:top="727" w:right="510" w:bottom="354" w:left="407" w:header="346" w:footer="0" w:gutter="0"/>
          <w:cols w:equalWidth="0" w:num="1">
            <w:col w:w="9922"/>
          </w:cols>
        </w:sectPr>
      </w:pPr>
    </w:p>
    <w:p>
      <w:pPr>
        <w:spacing w:before="24" w:line="213" w:lineRule="auto"/>
        <w:ind w:left="185" w:firstLine="2"/>
        <w:jc w:val="both"/>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量是一个多维的概念，它应该包括它的所有功能和</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活动：教学和学术项目、研究和奖学金、人员配备、</w:t>
      </w:r>
      <w:r>
        <w:rPr>
          <w:rFonts w:ascii="微软雅黑" w:hAnsi="微软雅黑" w:eastAsia="微软雅黑" w:cs="微软雅黑"/>
          <w:color w:val="231F20"/>
          <w:spacing w:val="-5"/>
          <w:sz w:val="20"/>
          <w:szCs w:val="20"/>
        </w:rPr>
        <w:t xml:space="preserve">学  </w:t>
      </w:r>
      <w:r>
        <w:rPr>
          <w:rFonts w:ascii="微软雅黑" w:hAnsi="微软雅黑" w:eastAsia="微软雅黑" w:cs="微软雅黑"/>
          <w:color w:val="231F20"/>
          <w:spacing w:val="-10"/>
          <w:sz w:val="20"/>
          <w:szCs w:val="20"/>
        </w:rPr>
        <w:t>生、建筑、设施、设备、对社区和学术环境的服务</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10"/>
          <w:sz w:val="20"/>
          <w:szCs w:val="20"/>
        </w:rPr>
        <w:t>”</w:t>
      </w:r>
      <w:r>
        <w:rPr>
          <w:rFonts w:ascii="微软雅黑" w:hAnsi="微软雅黑" w:eastAsia="微软雅黑" w:cs="微软雅黑"/>
          <w:color w:val="231F20"/>
          <w:spacing w:val="-10"/>
          <w:position w:val="8"/>
          <w:sz w:val="10"/>
          <w:szCs w:val="10"/>
        </w:rPr>
        <w:t>［</w:t>
      </w:r>
      <w:r>
        <w:rPr>
          <w:rFonts w:ascii="宋体" w:hAnsi="宋体" w:eastAsia="宋体" w:cs="宋体"/>
          <w:color w:val="231F20"/>
          <w:spacing w:val="-10"/>
          <w:position w:val="8"/>
          <w:sz w:val="10"/>
          <w:szCs w:val="10"/>
        </w:rPr>
        <w:t>3</w:t>
      </w:r>
      <w:r>
        <w:rPr>
          <w:rFonts w:ascii="微软雅黑" w:hAnsi="微软雅黑" w:eastAsia="微软雅黑" w:cs="微软雅黑"/>
          <w:color w:val="231F20"/>
          <w:spacing w:val="-10"/>
          <w:position w:val="8"/>
          <w:sz w:val="10"/>
          <w:szCs w:val="10"/>
        </w:rPr>
        <w:t>］</w:t>
      </w:r>
      <w:r>
        <w:rPr>
          <w:rFonts w:ascii="微软雅黑" w:hAnsi="微软雅黑" w:eastAsia="微软雅黑" w:cs="微软雅黑"/>
          <w:color w:val="231F20"/>
          <w:spacing w:val="-26"/>
          <w:sz w:val="20"/>
          <w:szCs w:val="20"/>
        </w:rPr>
        <w:t>。</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从发展历程看，高等教育质量保障运动兴起于北美，</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3"/>
          <w:sz w:val="20"/>
          <w:szCs w:val="20"/>
        </w:rPr>
        <w:t xml:space="preserve">后传播到拉丁美洲，而后又传播到欧洲，最近又传播  </w:t>
      </w:r>
      <w:r>
        <w:rPr>
          <w:rFonts w:ascii="微软雅黑" w:hAnsi="微软雅黑" w:eastAsia="微软雅黑" w:cs="微软雅黑"/>
          <w:color w:val="231F20"/>
          <w:spacing w:val="11"/>
          <w:sz w:val="20"/>
          <w:szCs w:val="20"/>
        </w:rPr>
        <w:t>到亚洲和非洲</w:t>
      </w:r>
      <w:r>
        <w:rPr>
          <w:rFonts w:ascii="微软雅黑" w:hAnsi="微软雅黑" w:eastAsia="微软雅黑" w:cs="微软雅黑"/>
          <w:color w:val="231F20"/>
          <w:spacing w:val="11"/>
          <w:position w:val="8"/>
          <w:sz w:val="10"/>
          <w:szCs w:val="10"/>
        </w:rPr>
        <w:t>［</w:t>
      </w:r>
      <w:r>
        <w:rPr>
          <w:rFonts w:ascii="宋体" w:hAnsi="宋体" w:eastAsia="宋体" w:cs="宋体"/>
          <w:color w:val="231F20"/>
          <w:spacing w:val="11"/>
          <w:position w:val="8"/>
          <w:sz w:val="10"/>
          <w:szCs w:val="10"/>
        </w:rPr>
        <w:t>4</w:t>
      </w:r>
      <w:r>
        <w:rPr>
          <w:rFonts w:ascii="微软雅黑" w:hAnsi="微软雅黑" w:eastAsia="微软雅黑" w:cs="微软雅黑"/>
          <w:color w:val="231F20"/>
          <w:spacing w:val="11"/>
          <w:position w:val="8"/>
          <w:sz w:val="10"/>
          <w:szCs w:val="10"/>
        </w:rPr>
        <w:t>］</w:t>
      </w:r>
      <w:r>
        <w:rPr>
          <w:rFonts w:ascii="微软雅黑" w:hAnsi="微软雅黑" w:eastAsia="微软雅黑" w:cs="微软雅黑"/>
          <w:color w:val="231F20"/>
          <w:spacing w:val="11"/>
          <w:sz w:val="20"/>
          <w:szCs w:val="20"/>
        </w:rPr>
        <w:t>。随着世界各国质量保</w:t>
      </w:r>
      <w:r>
        <w:rPr>
          <w:rFonts w:ascii="微软雅黑" w:hAnsi="微软雅黑" w:eastAsia="微软雅黑" w:cs="微软雅黑"/>
          <w:color w:val="231F20"/>
          <w:spacing w:val="10"/>
          <w:sz w:val="20"/>
          <w:szCs w:val="20"/>
        </w:rPr>
        <w:t>障运动不断</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深化，各种质量保障手段先后被介绍并运用到高等</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教育系统，如</w:t>
      </w:r>
      <w:r>
        <w:rPr>
          <w:rFonts w:ascii="微软雅黑" w:hAnsi="微软雅黑" w:eastAsia="微软雅黑" w:cs="微软雅黑"/>
          <w:color w:val="231F20"/>
          <w:spacing w:val="-9"/>
          <w:sz w:val="20"/>
          <w:szCs w:val="20"/>
        </w:rPr>
        <w:t xml:space="preserve"> </w:t>
      </w:r>
      <w:r>
        <w:rPr>
          <w:rFonts w:ascii="宋体" w:hAnsi="宋体" w:eastAsia="宋体" w:cs="宋体"/>
          <w:color w:val="231F20"/>
          <w:spacing w:val="-8"/>
          <w:sz w:val="20"/>
          <w:szCs w:val="20"/>
        </w:rPr>
        <w:t>ISO</w:t>
      </w:r>
      <w:r>
        <w:rPr>
          <w:rFonts w:ascii="宋体" w:hAnsi="宋体" w:eastAsia="宋体" w:cs="宋体"/>
          <w:color w:val="231F20"/>
          <w:spacing w:val="-38"/>
          <w:sz w:val="20"/>
          <w:szCs w:val="20"/>
        </w:rPr>
        <w:t xml:space="preserve"> </w:t>
      </w:r>
      <w:r>
        <w:rPr>
          <w:rFonts w:ascii="宋体" w:hAnsi="宋体" w:eastAsia="宋体" w:cs="宋体"/>
          <w:color w:val="231F20"/>
          <w:spacing w:val="-8"/>
          <w:sz w:val="20"/>
          <w:szCs w:val="20"/>
        </w:rPr>
        <w:t>9000</w:t>
      </w:r>
      <w:r>
        <w:rPr>
          <w:rFonts w:ascii="微软雅黑" w:hAnsi="微软雅黑" w:eastAsia="微软雅黑" w:cs="微软雅黑"/>
          <w:color w:val="231F20"/>
          <w:spacing w:val="-8"/>
          <w:sz w:val="20"/>
          <w:szCs w:val="20"/>
        </w:rPr>
        <w:t>、</w:t>
      </w:r>
      <w:r>
        <w:rPr>
          <w:rFonts w:ascii="宋体" w:hAnsi="宋体" w:eastAsia="宋体" w:cs="宋体"/>
          <w:color w:val="231F20"/>
          <w:spacing w:val="-8"/>
          <w:sz w:val="20"/>
          <w:szCs w:val="20"/>
        </w:rPr>
        <w:t>TQM</w:t>
      </w:r>
      <w:r>
        <w:rPr>
          <w:rFonts w:ascii="微软雅黑" w:hAnsi="微软雅黑" w:eastAsia="微软雅黑" w:cs="微软雅黑"/>
          <w:color w:val="231F20"/>
          <w:spacing w:val="-8"/>
          <w:sz w:val="20"/>
          <w:szCs w:val="20"/>
        </w:rPr>
        <w:t>、评估、认证、审核等</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8"/>
          <w:sz w:val="20"/>
          <w:szCs w:val="20"/>
        </w:rPr>
        <w:t xml:space="preserve">。以  </w:t>
      </w:r>
      <w:r>
        <w:rPr>
          <w:rFonts w:ascii="宋体" w:hAnsi="宋体" w:eastAsia="宋体" w:cs="宋体"/>
          <w:color w:val="231F20"/>
          <w:sz w:val="20"/>
          <w:szCs w:val="20"/>
        </w:rPr>
        <w:t>ISO</w:t>
      </w:r>
      <w:r>
        <w:rPr>
          <w:rFonts w:ascii="宋体" w:hAnsi="宋体" w:eastAsia="宋体" w:cs="宋体"/>
          <w:color w:val="231F20"/>
          <w:spacing w:val="-32"/>
          <w:sz w:val="20"/>
          <w:szCs w:val="20"/>
        </w:rPr>
        <w:t xml:space="preserve"> </w:t>
      </w:r>
      <w:r>
        <w:rPr>
          <w:rFonts w:ascii="宋体" w:hAnsi="宋体" w:eastAsia="宋体" w:cs="宋体"/>
          <w:color w:val="231F20"/>
          <w:spacing w:val="5"/>
          <w:sz w:val="20"/>
          <w:szCs w:val="20"/>
        </w:rPr>
        <w:t>9000</w:t>
      </w:r>
      <w:r>
        <w:rPr>
          <w:rFonts w:ascii="微软雅黑" w:hAnsi="微软雅黑" w:eastAsia="微软雅黑" w:cs="微软雅黑"/>
          <w:color w:val="231F20"/>
          <w:spacing w:val="5"/>
          <w:sz w:val="20"/>
          <w:szCs w:val="20"/>
        </w:rPr>
        <w:t xml:space="preserve">质量管理为例，其最初是从军事标准发展而  </w:t>
      </w:r>
      <w:r>
        <w:rPr>
          <w:rFonts w:ascii="微软雅黑" w:hAnsi="微软雅黑" w:eastAsia="微软雅黑" w:cs="微软雅黑"/>
          <w:color w:val="231F20"/>
          <w:spacing w:val="8"/>
          <w:sz w:val="20"/>
          <w:szCs w:val="20"/>
        </w:rPr>
        <w:t>来的一系列质量体系标准</w:t>
      </w:r>
      <w:r>
        <w:rPr>
          <w:rFonts w:ascii="微软雅黑" w:hAnsi="微软雅黑" w:eastAsia="微软雅黑" w:cs="微软雅黑"/>
          <w:color w:val="231F20"/>
          <w:spacing w:val="8"/>
          <w:position w:val="8"/>
          <w:sz w:val="10"/>
          <w:szCs w:val="10"/>
        </w:rPr>
        <w:t>［</w:t>
      </w:r>
      <w:r>
        <w:rPr>
          <w:rFonts w:ascii="宋体" w:hAnsi="宋体" w:eastAsia="宋体" w:cs="宋体"/>
          <w:color w:val="231F20"/>
          <w:spacing w:val="8"/>
          <w:position w:val="8"/>
          <w:sz w:val="10"/>
          <w:szCs w:val="10"/>
        </w:rPr>
        <w:t>5</w:t>
      </w:r>
      <w:r>
        <w:rPr>
          <w:rFonts w:ascii="微软雅黑" w:hAnsi="微软雅黑" w:eastAsia="微软雅黑" w:cs="微软雅黑"/>
          <w:color w:val="231F20"/>
          <w:spacing w:val="-3"/>
          <w:position w:val="8"/>
          <w:sz w:val="10"/>
          <w:szCs w:val="10"/>
        </w:rPr>
        <w:t>］</w:t>
      </w:r>
      <w:r>
        <w:rPr>
          <w:rFonts w:ascii="微软雅黑" w:hAnsi="微软雅黑" w:eastAsia="微软雅黑" w:cs="微软雅黑"/>
          <w:color w:val="231F20"/>
          <w:spacing w:val="-35"/>
          <w:w w:val="58"/>
          <w:sz w:val="20"/>
          <w:szCs w:val="20"/>
        </w:rPr>
        <w:t>，</w:t>
      </w:r>
      <w:r>
        <w:rPr>
          <w:rFonts w:ascii="微软雅黑" w:hAnsi="微软雅黑" w:eastAsia="微软雅黑" w:cs="微软雅黑"/>
          <w:color w:val="231F20"/>
          <w:spacing w:val="8"/>
          <w:sz w:val="20"/>
          <w:szCs w:val="20"/>
        </w:rPr>
        <w:t>然而，这些质</w:t>
      </w:r>
      <w:r>
        <w:rPr>
          <w:rFonts w:ascii="微软雅黑" w:hAnsi="微软雅黑" w:eastAsia="微软雅黑" w:cs="微软雅黑"/>
          <w:color w:val="231F20"/>
          <w:spacing w:val="7"/>
          <w:sz w:val="20"/>
          <w:szCs w:val="20"/>
        </w:rPr>
        <w:t>量标准在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应用于高等教育机构这一特殊组织时，发现与学校</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文化有点格格不入</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2"/>
          <w:sz w:val="20"/>
          <w:szCs w:val="20"/>
        </w:rPr>
        <w:t xml:space="preserve">。因为，学术是学校的根基，学术  </w:t>
      </w:r>
      <w:r>
        <w:rPr>
          <w:rFonts w:ascii="微软雅黑" w:hAnsi="微软雅黑" w:eastAsia="微软雅黑" w:cs="微软雅黑"/>
          <w:color w:val="231F20"/>
          <w:spacing w:val="14"/>
          <w:sz w:val="20"/>
          <w:szCs w:val="20"/>
        </w:rPr>
        <w:t>文化是学术人员工作的基础，在学校里实施任何质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量</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4"/>
          <w:sz w:val="20"/>
          <w:szCs w:val="20"/>
        </w:rPr>
        <w:t>管</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4"/>
          <w:sz w:val="20"/>
          <w:szCs w:val="20"/>
        </w:rPr>
        <w:t>理体</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4"/>
          <w:sz w:val="20"/>
          <w:szCs w:val="20"/>
        </w:rPr>
        <w:t>系</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4"/>
          <w:sz w:val="20"/>
          <w:szCs w:val="20"/>
        </w:rPr>
        <w:t>或</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4"/>
          <w:sz w:val="20"/>
          <w:szCs w:val="20"/>
        </w:rPr>
        <w:t>管</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4"/>
          <w:sz w:val="20"/>
          <w:szCs w:val="20"/>
        </w:rPr>
        <w:t>理项 目都必</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4"/>
          <w:sz w:val="20"/>
          <w:szCs w:val="20"/>
        </w:rPr>
        <w:t>须</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4"/>
          <w:sz w:val="20"/>
          <w:szCs w:val="20"/>
        </w:rPr>
        <w:t>与</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4"/>
          <w:sz w:val="20"/>
          <w:szCs w:val="20"/>
        </w:rPr>
        <w:t>学术</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4"/>
          <w:sz w:val="20"/>
          <w:szCs w:val="20"/>
        </w:rPr>
        <w:t>文</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4"/>
          <w:sz w:val="20"/>
          <w:szCs w:val="20"/>
        </w:rPr>
        <w:t>化保</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4"/>
          <w:sz w:val="20"/>
          <w:szCs w:val="20"/>
        </w:rPr>
        <w:t>持</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4"/>
          <w:sz w:val="20"/>
          <w:szCs w:val="20"/>
        </w:rPr>
        <w:t xml:space="preserve">一  </w:t>
      </w:r>
      <w:r>
        <w:rPr>
          <w:rFonts w:ascii="微软雅黑" w:hAnsi="微软雅黑" w:eastAsia="微软雅黑" w:cs="微软雅黑"/>
          <w:color w:val="231F20"/>
          <w:spacing w:val="2"/>
          <w:sz w:val="20"/>
          <w:szCs w:val="20"/>
        </w:rPr>
        <w:t>致</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2"/>
          <w:sz w:val="20"/>
          <w:szCs w:val="20"/>
        </w:rPr>
        <w:t xml:space="preserve">。为此，有些学者提出，高等教育机构质量保障应  </w:t>
      </w:r>
      <w:r>
        <w:rPr>
          <w:rFonts w:ascii="微软雅黑" w:hAnsi="微软雅黑" w:eastAsia="微软雅黑" w:cs="微软雅黑"/>
          <w:color w:val="231F20"/>
          <w:spacing w:val="14"/>
          <w:sz w:val="20"/>
          <w:szCs w:val="20"/>
        </w:rPr>
        <w:t>该采取适当的措施维护学校学术文化，质量保障体</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系应通过考虑学术的思维和工作方式，并嵌入到学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术文化中</w:t>
      </w:r>
      <w:r>
        <w:rPr>
          <w:rFonts w:ascii="微软雅黑" w:hAnsi="微软雅黑" w:eastAsia="微软雅黑" w:cs="微软雅黑"/>
          <w:color w:val="231F20"/>
          <w:spacing w:val="1"/>
          <w:position w:val="8"/>
          <w:sz w:val="10"/>
          <w:szCs w:val="10"/>
        </w:rPr>
        <w:t>［</w:t>
      </w:r>
      <w:r>
        <w:rPr>
          <w:rFonts w:ascii="宋体" w:hAnsi="宋体" w:eastAsia="宋体" w:cs="宋体"/>
          <w:color w:val="231F20"/>
          <w:spacing w:val="1"/>
          <w:position w:val="8"/>
          <w:sz w:val="10"/>
          <w:szCs w:val="10"/>
        </w:rPr>
        <w:t>5</w:t>
      </w:r>
      <w:r>
        <w:rPr>
          <w:rFonts w:ascii="微软雅黑" w:hAnsi="微软雅黑" w:eastAsia="微软雅黑" w:cs="微软雅黑"/>
          <w:color w:val="231F20"/>
          <w:spacing w:val="1"/>
          <w:position w:val="8"/>
          <w:sz w:val="10"/>
          <w:szCs w:val="10"/>
        </w:rPr>
        <w:t>］</w:t>
      </w:r>
      <w:r>
        <w:rPr>
          <w:rFonts w:ascii="微软雅黑" w:hAnsi="微软雅黑" w:eastAsia="微软雅黑" w:cs="微软雅黑"/>
          <w:color w:val="231F20"/>
          <w:spacing w:val="1"/>
          <w:sz w:val="20"/>
          <w:szCs w:val="20"/>
        </w:rPr>
        <w:t>。与</w:t>
      </w:r>
      <w:r>
        <w:rPr>
          <w:rFonts w:ascii="微软雅黑" w:hAnsi="微软雅黑" w:eastAsia="微软雅黑" w:cs="微软雅黑"/>
          <w:color w:val="231F20"/>
          <w:spacing w:val="-7"/>
          <w:sz w:val="20"/>
          <w:szCs w:val="20"/>
        </w:rPr>
        <w:t xml:space="preserve"> </w:t>
      </w:r>
      <w:r>
        <w:rPr>
          <w:rFonts w:ascii="宋体" w:hAnsi="宋体" w:eastAsia="宋体" w:cs="宋体"/>
          <w:color w:val="231F20"/>
          <w:sz w:val="20"/>
          <w:szCs w:val="20"/>
        </w:rPr>
        <w:t>ISO</w:t>
      </w:r>
      <w:r>
        <w:rPr>
          <w:rFonts w:ascii="宋体" w:hAnsi="宋体" w:eastAsia="宋体" w:cs="宋体"/>
          <w:color w:val="231F20"/>
          <w:spacing w:val="-37"/>
          <w:sz w:val="20"/>
          <w:szCs w:val="20"/>
        </w:rPr>
        <w:t xml:space="preserve"> </w:t>
      </w:r>
      <w:r>
        <w:rPr>
          <w:rFonts w:ascii="宋体" w:hAnsi="宋体" w:eastAsia="宋体" w:cs="宋体"/>
          <w:color w:val="231F20"/>
          <w:spacing w:val="1"/>
          <w:sz w:val="20"/>
          <w:szCs w:val="20"/>
        </w:rPr>
        <w:t>9000</w:t>
      </w:r>
      <w:r>
        <w:rPr>
          <w:rFonts w:ascii="微软雅黑" w:hAnsi="微软雅黑" w:eastAsia="微软雅黑" w:cs="微软雅黑"/>
          <w:color w:val="231F20"/>
          <w:spacing w:val="1"/>
          <w:sz w:val="20"/>
          <w:szCs w:val="20"/>
        </w:rPr>
        <w:t xml:space="preserve">质量管理相类似，也有学者  </w:t>
      </w:r>
      <w:r>
        <w:rPr>
          <w:rFonts w:ascii="微软雅黑" w:hAnsi="微软雅黑" w:eastAsia="微软雅黑" w:cs="微软雅黑"/>
          <w:color w:val="231F20"/>
          <w:spacing w:val="3"/>
          <w:sz w:val="20"/>
          <w:szCs w:val="20"/>
        </w:rPr>
        <w:t xml:space="preserve">发现，以往质量控制、质量管理、质量认证这些从外  </w:t>
      </w:r>
      <w:r>
        <w:rPr>
          <w:rFonts w:ascii="微软雅黑" w:hAnsi="微软雅黑" w:eastAsia="微软雅黑" w:cs="微软雅黑"/>
          <w:color w:val="231F20"/>
          <w:spacing w:val="12"/>
          <w:sz w:val="20"/>
          <w:szCs w:val="20"/>
        </w:rPr>
        <w:t>部而来的工具并不能真正提升质量</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2"/>
          <w:sz w:val="20"/>
          <w:szCs w:val="20"/>
        </w:rPr>
        <w:t>。相反，质量管</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理行为的持续加码可能会导致学者对这些来自外部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的、强加的管理产生不情愿或抵触情绪</w:t>
      </w:r>
      <w:r>
        <w:rPr>
          <w:rFonts w:ascii="微软雅黑" w:hAnsi="微软雅黑" w:eastAsia="微软雅黑" w:cs="微软雅黑"/>
          <w:color w:val="231F20"/>
          <w:spacing w:val="1"/>
          <w:position w:val="8"/>
          <w:sz w:val="10"/>
          <w:szCs w:val="10"/>
        </w:rPr>
        <w:t>［</w:t>
      </w:r>
      <w:r>
        <w:rPr>
          <w:rFonts w:ascii="宋体" w:hAnsi="宋体" w:eastAsia="宋体" w:cs="宋体"/>
          <w:color w:val="231F20"/>
          <w:spacing w:val="1"/>
          <w:position w:val="8"/>
          <w:sz w:val="10"/>
          <w:szCs w:val="10"/>
        </w:rPr>
        <w:t>6</w:t>
      </w:r>
      <w:r>
        <w:rPr>
          <w:rFonts w:ascii="微软雅黑" w:hAnsi="微软雅黑" w:eastAsia="微软雅黑" w:cs="微软雅黑"/>
          <w:color w:val="231F20"/>
          <w:spacing w:val="1"/>
          <w:position w:val="8"/>
          <w:sz w:val="10"/>
          <w:szCs w:val="10"/>
        </w:rPr>
        <w:t>］</w:t>
      </w:r>
      <w:r>
        <w:rPr>
          <w:rFonts w:ascii="微软雅黑" w:hAnsi="微软雅黑" w:eastAsia="微软雅黑" w:cs="微软雅黑"/>
          <w:color w:val="231F20"/>
          <w:spacing w:val="1"/>
          <w:sz w:val="20"/>
          <w:szCs w:val="20"/>
        </w:rPr>
        <w:t xml:space="preserve">。德国学者  </w:t>
      </w:r>
      <w:r>
        <w:rPr>
          <w:rFonts w:ascii="微软雅黑" w:hAnsi="微软雅黑" w:eastAsia="微软雅黑" w:cs="微软雅黑"/>
          <w:color w:val="231F20"/>
          <w:spacing w:val="-10"/>
          <w:sz w:val="20"/>
          <w:szCs w:val="20"/>
        </w:rPr>
        <w:t>埃勒斯（</w:t>
      </w:r>
      <w:r>
        <w:rPr>
          <w:rFonts w:ascii="宋体" w:hAnsi="宋体" w:eastAsia="宋体" w:cs="宋体"/>
          <w:color w:val="231F20"/>
          <w:spacing w:val="-10"/>
          <w:sz w:val="20"/>
          <w:szCs w:val="20"/>
        </w:rPr>
        <w:t>Ulf</w:t>
      </w:r>
      <w:r>
        <w:rPr>
          <w:rFonts w:ascii="宋体" w:hAnsi="宋体" w:eastAsia="宋体" w:cs="宋体"/>
          <w:color w:val="231F20"/>
          <w:spacing w:val="-34"/>
          <w:sz w:val="20"/>
          <w:szCs w:val="20"/>
        </w:rPr>
        <w:t xml:space="preserve"> </w:t>
      </w:r>
      <w:r>
        <w:rPr>
          <w:rFonts w:ascii="宋体" w:hAnsi="宋体" w:eastAsia="宋体" w:cs="宋体"/>
          <w:color w:val="231F20"/>
          <w:spacing w:val="-10"/>
          <w:sz w:val="20"/>
          <w:szCs w:val="20"/>
        </w:rPr>
        <w:t>Daniel</w:t>
      </w:r>
      <w:r>
        <w:rPr>
          <w:rFonts w:ascii="宋体" w:hAnsi="宋体" w:eastAsia="宋体" w:cs="宋体"/>
          <w:color w:val="231F20"/>
          <w:spacing w:val="-33"/>
          <w:sz w:val="20"/>
          <w:szCs w:val="20"/>
        </w:rPr>
        <w:t xml:space="preserve"> </w:t>
      </w:r>
      <w:r>
        <w:rPr>
          <w:rFonts w:ascii="宋体" w:hAnsi="宋体" w:eastAsia="宋体" w:cs="宋体"/>
          <w:color w:val="231F20"/>
          <w:spacing w:val="-10"/>
          <w:sz w:val="20"/>
          <w:szCs w:val="20"/>
        </w:rPr>
        <w:t>Ehlers</w:t>
      </w:r>
      <w:r>
        <w:rPr>
          <w:rFonts w:ascii="微软雅黑" w:hAnsi="微软雅黑" w:eastAsia="微软雅黑" w:cs="微软雅黑"/>
          <w:color w:val="231F20"/>
          <w:spacing w:val="-10"/>
          <w:sz w:val="20"/>
          <w:szCs w:val="20"/>
        </w:rPr>
        <w:t xml:space="preserve">）在《理解质量文化》一文中  </w:t>
      </w:r>
      <w:r>
        <w:rPr>
          <w:rFonts w:ascii="微软雅黑" w:hAnsi="微软雅黑" w:eastAsia="微软雅黑" w:cs="微软雅黑"/>
          <w:color w:val="231F20"/>
          <w:spacing w:val="3"/>
          <w:sz w:val="20"/>
          <w:szCs w:val="20"/>
        </w:rPr>
        <w:t xml:space="preserve">特别提到，教学质量是师生双向活动，它既受到教师  </w:t>
      </w:r>
      <w:r>
        <w:rPr>
          <w:rFonts w:ascii="微软雅黑" w:hAnsi="微软雅黑" w:eastAsia="微软雅黑" w:cs="微软雅黑"/>
          <w:color w:val="231F20"/>
          <w:spacing w:val="8"/>
          <w:sz w:val="20"/>
          <w:szCs w:val="20"/>
        </w:rPr>
        <w:t>的教学态度和教学技能、学习者的学习能力和动机，</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8"/>
          <w:sz w:val="20"/>
          <w:szCs w:val="20"/>
        </w:rPr>
        <w:t>也涉及组织背景、价值以及现存结构的规章、制度、</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1"/>
          <w:sz w:val="20"/>
          <w:szCs w:val="20"/>
        </w:rPr>
        <w:t>条例等文化因素</w:t>
      </w:r>
      <w:r>
        <w:rPr>
          <w:rFonts w:ascii="微软雅黑" w:hAnsi="微软雅黑" w:eastAsia="微软雅黑" w:cs="微软雅黑"/>
          <w:color w:val="231F20"/>
          <w:spacing w:val="1"/>
          <w:position w:val="8"/>
          <w:sz w:val="10"/>
          <w:szCs w:val="10"/>
        </w:rPr>
        <w:t>［</w:t>
      </w:r>
      <w:r>
        <w:rPr>
          <w:rFonts w:ascii="宋体" w:hAnsi="宋体" w:eastAsia="宋体" w:cs="宋体"/>
          <w:color w:val="231F20"/>
          <w:spacing w:val="1"/>
          <w:position w:val="8"/>
          <w:sz w:val="10"/>
          <w:szCs w:val="10"/>
        </w:rPr>
        <w:t>7</w:t>
      </w:r>
      <w:r>
        <w:rPr>
          <w:rFonts w:ascii="微软雅黑" w:hAnsi="微软雅黑" w:eastAsia="微软雅黑" w:cs="微软雅黑"/>
          <w:color w:val="231F20"/>
          <w:spacing w:val="1"/>
          <w:position w:val="8"/>
          <w:sz w:val="10"/>
          <w:szCs w:val="10"/>
        </w:rPr>
        <w:t>］</w:t>
      </w:r>
      <w:r>
        <w:rPr>
          <w:rFonts w:ascii="微软雅黑" w:hAnsi="微软雅黑" w:eastAsia="微软雅黑" w:cs="微软雅黑"/>
          <w:color w:val="231F20"/>
          <w:spacing w:val="1"/>
          <w:sz w:val="20"/>
          <w:szCs w:val="20"/>
        </w:rPr>
        <w:t xml:space="preserve">。但在质量控制过程中，这些因素  </w:t>
      </w:r>
      <w:r>
        <w:rPr>
          <w:rFonts w:ascii="微软雅黑" w:hAnsi="微软雅黑" w:eastAsia="微软雅黑" w:cs="微软雅黑"/>
          <w:color w:val="231F20"/>
          <w:spacing w:val="3"/>
          <w:sz w:val="20"/>
          <w:szCs w:val="20"/>
        </w:rPr>
        <w:t xml:space="preserve">只是部分被考虑到，因此，他建议高等教育机构应当  </w:t>
      </w:r>
      <w:r>
        <w:rPr>
          <w:rFonts w:ascii="微软雅黑" w:hAnsi="微软雅黑" w:eastAsia="微软雅黑" w:cs="微软雅黑"/>
          <w:color w:val="231F20"/>
          <w:spacing w:val="-8"/>
          <w:sz w:val="20"/>
          <w:szCs w:val="20"/>
        </w:rPr>
        <w:t>通过沟通交流，把“</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8"/>
          <w:sz w:val="20"/>
          <w:szCs w:val="20"/>
        </w:rPr>
        <w:t>自上而下</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8"/>
          <w:sz w:val="20"/>
          <w:szCs w:val="20"/>
        </w:rPr>
        <w:t>”的外部质量保障与</w:t>
      </w:r>
      <w:r>
        <w:rPr>
          <w:rFonts w:ascii="微软雅黑" w:hAnsi="微软雅黑" w:eastAsia="微软雅黑" w:cs="微软雅黑"/>
          <w:color w:val="231F20"/>
          <w:spacing w:val="-9"/>
          <w:sz w:val="20"/>
          <w:szCs w:val="20"/>
        </w:rPr>
        <w:t>“</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9"/>
          <w:sz w:val="20"/>
          <w:szCs w:val="20"/>
        </w:rPr>
        <w:t xml:space="preserve">自  </w:t>
      </w:r>
      <w:r>
        <w:rPr>
          <w:rFonts w:ascii="微软雅黑" w:hAnsi="微软雅黑" w:eastAsia="微软雅黑" w:cs="微软雅黑"/>
          <w:color w:val="231F20"/>
          <w:spacing w:val="2"/>
          <w:sz w:val="20"/>
          <w:szCs w:val="20"/>
        </w:rPr>
        <w:t>下而上</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2"/>
          <w:sz w:val="20"/>
          <w:szCs w:val="20"/>
        </w:rPr>
        <w:t>”的组织文化要素整合为一个整体。</w:t>
      </w:r>
    </w:p>
    <w:p>
      <w:pPr>
        <w:spacing w:before="44" w:line="210" w:lineRule="auto"/>
        <w:ind w:left="185" w:right="15" w:firstLine="423"/>
        <w:jc w:val="both"/>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把质量文化引入高等教育质量管理首推欧洲高</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7"/>
          <w:sz w:val="20"/>
          <w:szCs w:val="20"/>
        </w:rPr>
        <w:t>等教育地区</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7"/>
          <w:sz w:val="20"/>
          <w:szCs w:val="20"/>
        </w:rPr>
        <w:t xml:space="preserve">。其首要原因是自 </w:t>
      </w:r>
      <w:r>
        <w:rPr>
          <w:rFonts w:ascii="宋体" w:hAnsi="宋体" w:eastAsia="宋体" w:cs="宋体"/>
          <w:color w:val="231F20"/>
          <w:spacing w:val="7"/>
          <w:sz w:val="20"/>
          <w:szCs w:val="20"/>
        </w:rPr>
        <w:t>1999</w:t>
      </w:r>
      <w:r>
        <w:rPr>
          <w:rFonts w:ascii="宋体" w:hAnsi="宋体" w:eastAsia="宋体" w:cs="宋体"/>
          <w:color w:val="231F20"/>
          <w:spacing w:val="-58"/>
          <w:sz w:val="20"/>
          <w:szCs w:val="20"/>
        </w:rPr>
        <w:t xml:space="preserve"> </w:t>
      </w:r>
      <w:r>
        <w:rPr>
          <w:rFonts w:ascii="微软雅黑" w:hAnsi="微软雅黑" w:eastAsia="微软雅黑" w:cs="微软雅黑"/>
          <w:color w:val="231F20"/>
          <w:spacing w:val="7"/>
          <w:sz w:val="20"/>
          <w:szCs w:val="20"/>
        </w:rPr>
        <w:t>年《博洛尼</w:t>
      </w:r>
      <w:r>
        <w:rPr>
          <w:rFonts w:ascii="微软雅黑" w:hAnsi="微软雅黑" w:eastAsia="微软雅黑" w:cs="微软雅黑"/>
          <w:color w:val="231F20"/>
          <w:spacing w:val="6"/>
          <w:sz w:val="20"/>
          <w:szCs w:val="20"/>
        </w:rPr>
        <w:t>亚宣</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言》发布特别是博洛尼亚进程中期目标确定后，质量</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5"/>
          <w:sz w:val="20"/>
          <w:szCs w:val="20"/>
        </w:rPr>
        <w:t>的</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5"/>
          <w:sz w:val="20"/>
          <w:szCs w:val="20"/>
        </w:rPr>
        <w:t>重要性 日</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5"/>
          <w:sz w:val="20"/>
          <w:szCs w:val="20"/>
        </w:rPr>
        <w:t>益</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5"/>
          <w:sz w:val="20"/>
          <w:szCs w:val="20"/>
        </w:rPr>
        <w:t>突显并成</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5"/>
          <w:sz w:val="20"/>
          <w:szCs w:val="20"/>
        </w:rPr>
        <w:t>为</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5"/>
          <w:sz w:val="20"/>
          <w:szCs w:val="20"/>
        </w:rPr>
        <w:t>推进进</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5"/>
          <w:sz w:val="20"/>
          <w:szCs w:val="20"/>
        </w:rPr>
        <w:t>程</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5"/>
          <w:sz w:val="20"/>
          <w:szCs w:val="20"/>
        </w:rPr>
        <w:t>的</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5"/>
          <w:sz w:val="20"/>
          <w:szCs w:val="20"/>
        </w:rPr>
        <w:t>首要</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5"/>
          <w:sz w:val="20"/>
          <w:szCs w:val="20"/>
        </w:rPr>
        <w:t>政</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5"/>
          <w:sz w:val="20"/>
          <w:szCs w:val="20"/>
        </w:rPr>
        <w:t>策 目</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标</w:t>
      </w:r>
      <w:r>
        <w:rPr>
          <w:rFonts w:ascii="微软雅黑" w:hAnsi="微软雅黑" w:eastAsia="微软雅黑" w:cs="微软雅黑"/>
          <w:color w:val="231F20"/>
          <w:spacing w:val="-22"/>
          <w:sz w:val="20"/>
          <w:szCs w:val="20"/>
        </w:rPr>
        <w:t xml:space="preserve"> </w:t>
      </w:r>
      <w:r>
        <w:rPr>
          <w:rFonts w:ascii="微软雅黑" w:hAnsi="微软雅黑" w:eastAsia="微软雅黑" w:cs="微软雅黑"/>
          <w:color w:val="231F20"/>
          <w:spacing w:val="6"/>
          <w:sz w:val="20"/>
          <w:szCs w:val="20"/>
        </w:rPr>
        <w:t>。其次，欧洲高等教育机构向来有着自治的传统，</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而在外部质量保障不断盛行的情况下，如何确保学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术而不是行政官僚的价值和原则得到尊重一直是高</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等教育机构追求的重要目标</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8"/>
          <w:sz w:val="20"/>
          <w:szCs w:val="20"/>
        </w:rPr>
        <w:t>。再者，</w:t>
      </w:r>
      <w:r>
        <w:rPr>
          <w:rFonts w:ascii="宋体" w:hAnsi="宋体" w:eastAsia="宋体" w:cs="宋体"/>
          <w:color w:val="231F20"/>
          <w:spacing w:val="8"/>
          <w:sz w:val="20"/>
          <w:szCs w:val="20"/>
        </w:rPr>
        <w:t>20</w:t>
      </w:r>
      <w:r>
        <w:rPr>
          <w:rFonts w:ascii="微软雅黑" w:hAnsi="微软雅黑" w:eastAsia="微软雅黑" w:cs="微软雅黑"/>
          <w:color w:val="231F20"/>
          <w:spacing w:val="8"/>
          <w:sz w:val="20"/>
          <w:szCs w:val="20"/>
        </w:rPr>
        <w:t>世纪</w:t>
      </w:r>
      <w:r>
        <w:rPr>
          <w:rFonts w:ascii="微软雅黑" w:hAnsi="微软雅黑" w:eastAsia="微软雅黑" w:cs="微软雅黑"/>
          <w:color w:val="231F20"/>
          <w:spacing w:val="-17"/>
          <w:sz w:val="20"/>
          <w:szCs w:val="20"/>
        </w:rPr>
        <w:t xml:space="preserve"> </w:t>
      </w:r>
      <w:r>
        <w:rPr>
          <w:rFonts w:ascii="宋体" w:hAnsi="宋体" w:eastAsia="宋体" w:cs="宋体"/>
          <w:color w:val="231F20"/>
          <w:spacing w:val="8"/>
          <w:sz w:val="20"/>
          <w:szCs w:val="20"/>
        </w:rPr>
        <w:t>90</w:t>
      </w:r>
      <w:r>
        <w:rPr>
          <w:rFonts w:ascii="宋体" w:hAnsi="宋体" w:eastAsia="宋体" w:cs="宋体"/>
          <w:color w:val="231F20"/>
          <w:spacing w:val="-59"/>
          <w:sz w:val="20"/>
          <w:szCs w:val="20"/>
        </w:rPr>
        <w:t xml:space="preserve"> </w:t>
      </w:r>
      <w:r>
        <w:rPr>
          <w:rFonts w:ascii="微软雅黑" w:hAnsi="微软雅黑" w:eastAsia="微软雅黑" w:cs="微软雅黑"/>
          <w:color w:val="231F20"/>
          <w:spacing w:val="8"/>
          <w:sz w:val="20"/>
          <w:szCs w:val="20"/>
        </w:rPr>
        <w:t>年代</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初，随着世界竞争格局发生变化，欧洲各国希望通过</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重塑欧洲高等教育来重建欧洲在世界的影响力，特</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别是面对不同民族国家的多样性，需要建立统一的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原则和价值观，以此证明和提高欧洲高等教育公信</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力</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
          <w:sz w:val="20"/>
          <w:szCs w:val="20"/>
        </w:rPr>
        <w:t>。基于上述背景，</w:t>
      </w:r>
      <w:r>
        <w:rPr>
          <w:rFonts w:ascii="宋体" w:hAnsi="宋体" w:eastAsia="宋体" w:cs="宋体"/>
          <w:color w:val="231F20"/>
          <w:spacing w:val="1"/>
          <w:sz w:val="20"/>
          <w:szCs w:val="20"/>
        </w:rPr>
        <w:t>2002</w:t>
      </w:r>
      <w:r>
        <w:rPr>
          <w:rFonts w:ascii="微软雅黑" w:hAnsi="微软雅黑" w:eastAsia="微软雅黑" w:cs="微软雅黑"/>
          <w:color w:val="231F20"/>
          <w:spacing w:val="1"/>
          <w:sz w:val="20"/>
          <w:szCs w:val="20"/>
        </w:rPr>
        <w:t>年至</w:t>
      </w:r>
      <w:r>
        <w:rPr>
          <w:rFonts w:ascii="微软雅黑" w:hAnsi="微软雅黑" w:eastAsia="微软雅黑" w:cs="微软雅黑"/>
          <w:color w:val="231F20"/>
          <w:spacing w:val="-22"/>
          <w:sz w:val="20"/>
          <w:szCs w:val="20"/>
        </w:rPr>
        <w:t xml:space="preserve"> </w:t>
      </w:r>
      <w:r>
        <w:rPr>
          <w:rFonts w:ascii="宋体" w:hAnsi="宋体" w:eastAsia="宋体" w:cs="宋体"/>
          <w:color w:val="231F20"/>
          <w:spacing w:val="1"/>
          <w:sz w:val="20"/>
          <w:szCs w:val="20"/>
        </w:rPr>
        <w:t>2006</w:t>
      </w:r>
      <w:r>
        <w:rPr>
          <w:rFonts w:ascii="微软雅黑" w:hAnsi="微软雅黑" w:eastAsia="微软雅黑" w:cs="微软雅黑"/>
          <w:color w:val="231F20"/>
          <w:spacing w:val="1"/>
          <w:sz w:val="20"/>
          <w:szCs w:val="20"/>
        </w:rPr>
        <w:t>年，欧洲大学联合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1"/>
          <w:sz w:val="20"/>
          <w:szCs w:val="20"/>
        </w:rPr>
        <w:t>会（</w:t>
      </w:r>
      <w:r>
        <w:rPr>
          <w:rFonts w:ascii="宋体" w:hAnsi="宋体" w:eastAsia="宋体" w:cs="宋体"/>
          <w:color w:val="231F20"/>
          <w:spacing w:val="-11"/>
          <w:sz w:val="20"/>
          <w:szCs w:val="20"/>
        </w:rPr>
        <w:t>European</w:t>
      </w:r>
      <w:r>
        <w:rPr>
          <w:rFonts w:ascii="宋体" w:hAnsi="宋体" w:eastAsia="宋体" w:cs="宋体"/>
          <w:color w:val="231F20"/>
          <w:spacing w:val="-36"/>
          <w:sz w:val="20"/>
          <w:szCs w:val="20"/>
        </w:rPr>
        <w:t xml:space="preserve"> </w:t>
      </w:r>
      <w:r>
        <w:rPr>
          <w:rFonts w:ascii="宋体" w:hAnsi="宋体" w:eastAsia="宋体" w:cs="宋体"/>
          <w:color w:val="231F20"/>
          <w:spacing w:val="-11"/>
          <w:sz w:val="20"/>
          <w:szCs w:val="20"/>
        </w:rPr>
        <w:t>University</w:t>
      </w:r>
      <w:r>
        <w:rPr>
          <w:rFonts w:ascii="宋体" w:hAnsi="宋体" w:eastAsia="宋体" w:cs="宋体"/>
          <w:color w:val="231F20"/>
          <w:spacing w:val="-41"/>
          <w:sz w:val="20"/>
          <w:szCs w:val="20"/>
        </w:rPr>
        <w:t xml:space="preserve"> </w:t>
      </w:r>
      <w:r>
        <w:rPr>
          <w:rFonts w:ascii="宋体" w:hAnsi="宋体" w:eastAsia="宋体" w:cs="宋体"/>
          <w:color w:val="231F20"/>
          <w:spacing w:val="-11"/>
          <w:sz w:val="20"/>
          <w:szCs w:val="20"/>
        </w:rPr>
        <w:t>Association</w:t>
      </w:r>
      <w:r>
        <w:rPr>
          <w:rFonts w:ascii="微软雅黑" w:hAnsi="微软雅黑" w:eastAsia="微软雅黑" w:cs="微软雅黑"/>
          <w:color w:val="231F20"/>
          <w:spacing w:val="-11"/>
          <w:sz w:val="20"/>
          <w:szCs w:val="20"/>
        </w:rPr>
        <w:t>，以下简称</w:t>
      </w:r>
      <w:r>
        <w:rPr>
          <w:rFonts w:ascii="微软雅黑" w:hAnsi="微软雅黑" w:eastAsia="微软雅黑" w:cs="微软雅黑"/>
          <w:color w:val="231F20"/>
          <w:spacing w:val="-22"/>
          <w:sz w:val="20"/>
          <w:szCs w:val="20"/>
        </w:rPr>
        <w:t xml:space="preserve"> </w:t>
      </w:r>
      <w:r>
        <w:rPr>
          <w:rFonts w:ascii="宋体" w:hAnsi="宋体" w:eastAsia="宋体" w:cs="宋体"/>
          <w:color w:val="231F20"/>
          <w:spacing w:val="-11"/>
          <w:sz w:val="20"/>
          <w:szCs w:val="20"/>
        </w:rPr>
        <w:t>EUA</w:t>
      </w:r>
      <w:r>
        <w:rPr>
          <w:rFonts w:ascii="微软雅黑" w:hAnsi="微软雅黑" w:eastAsia="微软雅黑" w:cs="微软雅黑"/>
          <w:color w:val="231F20"/>
          <w:spacing w:val="-11"/>
          <w:sz w:val="20"/>
          <w:szCs w:val="20"/>
        </w:rPr>
        <w:t>）实</w:t>
      </w:r>
    </w:p>
    <w:p>
      <w:pPr>
        <w:spacing w:line="14" w:lineRule="auto"/>
        <w:rPr>
          <w:rFonts w:ascii="Arial"/>
          <w:sz w:val="2"/>
        </w:rPr>
      </w:pPr>
      <w:r>
        <w:rPr>
          <w:rFonts w:ascii="Arial" w:hAnsi="Arial" w:eastAsia="Arial" w:cs="Arial"/>
          <w:sz w:val="2"/>
          <w:szCs w:val="2"/>
        </w:rPr>
        <w:br w:type="column"/>
      </w:r>
    </w:p>
    <w:p>
      <w:pPr>
        <w:spacing w:before="39" w:line="211" w:lineRule="auto"/>
        <w:ind w:left="104" w:right="15"/>
        <w:jc w:val="both"/>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施一项为期四年的质量文化研究项目，项目在对欧</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洲</w:t>
      </w:r>
      <w:r>
        <w:rPr>
          <w:rFonts w:ascii="微软雅黑" w:hAnsi="微软雅黑" w:eastAsia="微软雅黑" w:cs="微软雅黑"/>
          <w:color w:val="231F20"/>
          <w:spacing w:val="-2"/>
          <w:sz w:val="20"/>
          <w:szCs w:val="20"/>
        </w:rPr>
        <w:t xml:space="preserve"> </w:t>
      </w:r>
      <w:r>
        <w:rPr>
          <w:rFonts w:ascii="宋体" w:hAnsi="宋体" w:eastAsia="宋体" w:cs="宋体"/>
          <w:color w:val="231F20"/>
          <w:spacing w:val="6"/>
          <w:sz w:val="20"/>
          <w:szCs w:val="20"/>
        </w:rPr>
        <w:t>36</w:t>
      </w:r>
      <w:r>
        <w:rPr>
          <w:rFonts w:ascii="微软雅黑" w:hAnsi="微软雅黑" w:eastAsia="微软雅黑" w:cs="微软雅黑"/>
          <w:color w:val="231F20"/>
          <w:spacing w:val="6"/>
          <w:sz w:val="20"/>
          <w:szCs w:val="20"/>
        </w:rPr>
        <w:t>个国家（地区）</w:t>
      </w:r>
      <w:r>
        <w:rPr>
          <w:rFonts w:ascii="宋体" w:hAnsi="宋体" w:eastAsia="宋体" w:cs="宋体"/>
          <w:color w:val="231F20"/>
          <w:spacing w:val="6"/>
          <w:sz w:val="20"/>
          <w:szCs w:val="20"/>
        </w:rPr>
        <w:t>134</w:t>
      </w:r>
      <w:r>
        <w:rPr>
          <w:rFonts w:ascii="微软雅黑" w:hAnsi="微软雅黑" w:eastAsia="微软雅黑" w:cs="微软雅黑"/>
          <w:color w:val="231F20"/>
          <w:spacing w:val="6"/>
          <w:sz w:val="20"/>
          <w:szCs w:val="20"/>
        </w:rPr>
        <w:t>所高等教育机构进行了三轮</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调查研究的基础上，于</w:t>
      </w:r>
      <w:r>
        <w:rPr>
          <w:rFonts w:ascii="微软雅黑" w:hAnsi="微软雅黑" w:eastAsia="微软雅黑" w:cs="微软雅黑"/>
          <w:color w:val="231F20"/>
          <w:spacing w:val="-21"/>
          <w:sz w:val="20"/>
          <w:szCs w:val="20"/>
        </w:rPr>
        <w:t xml:space="preserve"> </w:t>
      </w:r>
      <w:r>
        <w:rPr>
          <w:rFonts w:ascii="宋体" w:hAnsi="宋体" w:eastAsia="宋体" w:cs="宋体"/>
          <w:color w:val="231F20"/>
          <w:spacing w:val="3"/>
          <w:sz w:val="20"/>
          <w:szCs w:val="20"/>
        </w:rPr>
        <w:t>2006</w:t>
      </w:r>
      <w:r>
        <w:rPr>
          <w:rFonts w:ascii="微软雅黑" w:hAnsi="微软雅黑" w:eastAsia="微软雅黑" w:cs="微软雅黑"/>
          <w:color w:val="231F20"/>
          <w:spacing w:val="3"/>
          <w:sz w:val="20"/>
          <w:szCs w:val="20"/>
        </w:rPr>
        <w:t>年发布了《</w:t>
      </w:r>
      <w:r>
        <w:rPr>
          <w:rFonts w:ascii="微软雅黑" w:hAnsi="微软雅黑" w:eastAsia="微软雅黑" w:cs="微软雅黑"/>
          <w:color w:val="231F20"/>
          <w:spacing w:val="2"/>
          <w:sz w:val="20"/>
          <w:szCs w:val="20"/>
        </w:rPr>
        <w:t>欧洲高等教育</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机构质量文化：一种自下而上的方法》</w:t>
      </w:r>
      <w:r>
        <w:rPr>
          <w:rFonts w:ascii="微软雅黑" w:hAnsi="微软雅黑" w:eastAsia="微软雅黑" w:cs="微软雅黑"/>
          <w:color w:val="231F20"/>
          <w:spacing w:val="-3"/>
          <w:position w:val="8"/>
          <w:sz w:val="10"/>
          <w:szCs w:val="10"/>
        </w:rPr>
        <w:t>［</w:t>
      </w:r>
      <w:r>
        <w:rPr>
          <w:rFonts w:ascii="宋体" w:hAnsi="宋体" w:eastAsia="宋体" w:cs="宋体"/>
          <w:color w:val="231F20"/>
          <w:spacing w:val="-3"/>
          <w:position w:val="8"/>
          <w:sz w:val="10"/>
          <w:szCs w:val="10"/>
        </w:rPr>
        <w:t>8</w:t>
      </w:r>
      <w:r>
        <w:rPr>
          <w:rFonts w:ascii="微软雅黑" w:hAnsi="微软雅黑" w:eastAsia="微软雅黑" w:cs="微软雅黑"/>
          <w:color w:val="231F20"/>
          <w:spacing w:val="-3"/>
          <w:position w:val="8"/>
          <w:sz w:val="10"/>
          <w:szCs w:val="10"/>
        </w:rPr>
        <w:t>］</w:t>
      </w:r>
      <w:r>
        <w:rPr>
          <w:rFonts w:ascii="微软雅黑" w:hAnsi="微软雅黑" w:eastAsia="微软雅黑" w:cs="微软雅黑"/>
          <w:color w:val="231F20"/>
          <w:spacing w:val="-3"/>
          <w:sz w:val="20"/>
          <w:szCs w:val="20"/>
        </w:rPr>
        <w:t>。报告认为，</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4"/>
          <w:sz w:val="20"/>
          <w:szCs w:val="20"/>
        </w:rPr>
        <w:t>质量不仅仅是简单的质量控制、质量管理等管理学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概念</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。相反，任何关于质量的描述都不是中性的概</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念，其背后隐藏着相应价值和责任</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6"/>
          <w:sz w:val="20"/>
          <w:szCs w:val="20"/>
        </w:rPr>
        <w:t>。基于这一认识，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项目旨在通过质量文化建设，分享质量保障的典型</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经验、原则和做法，促进高等教育机构内部价值、态</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度和行为的改变，进而帮助高等教育机构建设性地</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适应外部质量保障，最终提高欧洲高等教育整体吸</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引力。</w:t>
      </w:r>
    </w:p>
    <w:p>
      <w:pPr>
        <w:spacing w:before="32" w:line="269" w:lineRule="exact"/>
        <w:ind w:left="534"/>
        <w:rPr>
          <w:rFonts w:ascii="黑体" w:hAnsi="黑体" w:eastAsia="黑体" w:cs="黑体"/>
          <w:sz w:val="20"/>
          <w:szCs w:val="20"/>
        </w:rPr>
      </w:pPr>
      <w:r>
        <w:rPr>
          <w:rFonts w:ascii="黑体" w:hAnsi="黑体" w:eastAsia="黑体" w:cs="黑体"/>
          <w:color w:val="231F20"/>
          <w:spacing w:val="-3"/>
          <w:position w:val="1"/>
          <w:sz w:val="20"/>
          <w:szCs w:val="20"/>
        </w:rPr>
        <w:t>二、质量文化实施内容</w:t>
      </w:r>
    </w:p>
    <w:p>
      <w:pPr>
        <w:spacing w:before="47" w:line="213" w:lineRule="auto"/>
        <w:ind w:left="106" w:right="81" w:firstLine="420"/>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不言而喻，欧洲高等教育机构质量文化的产生</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11"/>
          <w:sz w:val="20"/>
          <w:szCs w:val="20"/>
        </w:rPr>
        <w:t>实质是对</w:t>
      </w:r>
      <w:r>
        <w:rPr>
          <w:rFonts w:ascii="微软雅黑" w:hAnsi="微软雅黑" w:eastAsia="微软雅黑" w:cs="微软雅黑"/>
          <w:color w:val="231F20"/>
          <w:spacing w:val="-5"/>
          <w:sz w:val="20"/>
          <w:szCs w:val="20"/>
        </w:rPr>
        <w:t xml:space="preserve"> </w:t>
      </w:r>
      <w:r>
        <w:rPr>
          <w:rFonts w:ascii="宋体" w:hAnsi="宋体" w:eastAsia="宋体" w:cs="宋体"/>
          <w:color w:val="231F20"/>
          <w:spacing w:val="11"/>
          <w:sz w:val="20"/>
          <w:szCs w:val="20"/>
        </w:rPr>
        <w:t>20</w:t>
      </w:r>
      <w:r>
        <w:rPr>
          <w:rFonts w:ascii="微软雅黑" w:hAnsi="微软雅黑" w:eastAsia="微软雅黑" w:cs="微软雅黑"/>
          <w:color w:val="231F20"/>
          <w:spacing w:val="11"/>
          <w:sz w:val="20"/>
          <w:szCs w:val="20"/>
        </w:rPr>
        <w:t>世纪盛行的工具管理主义的一种批判性</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反思，质量文化体现了高等教育机构作为质量保障</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主体在追求质量过程中，对于各种质量保障活动所</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蕴含的要素、目标、手段、方式、方法以及价值取向的</w:t>
      </w:r>
      <w:r>
        <w:rPr>
          <w:rFonts w:ascii="微软雅黑" w:hAnsi="微软雅黑" w:eastAsia="微软雅黑" w:cs="微软雅黑"/>
          <w:color w:val="231F20"/>
          <w:spacing w:val="3"/>
          <w:sz w:val="20"/>
          <w:szCs w:val="20"/>
        </w:rPr>
        <w:t xml:space="preserve"> 不断认识、认同或重新解构过程</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3"/>
          <w:sz w:val="20"/>
          <w:szCs w:val="20"/>
        </w:rPr>
        <w:t>。那么，如何构建质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0"/>
          <w:sz w:val="20"/>
          <w:szCs w:val="20"/>
        </w:rPr>
        <w:t>量文化？</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pacing w:val="10"/>
          <w:sz w:val="20"/>
          <w:szCs w:val="20"/>
        </w:rPr>
        <w:t>首先需要回答什么是文化？</w:t>
      </w:r>
      <w:r>
        <w:rPr>
          <w:rFonts w:ascii="微软雅黑" w:hAnsi="微软雅黑" w:eastAsia="微软雅黑" w:cs="微软雅黑"/>
          <w:color w:val="231F20"/>
          <w:spacing w:val="-22"/>
          <w:sz w:val="20"/>
          <w:szCs w:val="20"/>
        </w:rPr>
        <w:t xml:space="preserve"> </w:t>
      </w:r>
      <w:r>
        <w:rPr>
          <w:rFonts w:ascii="微软雅黑" w:hAnsi="微软雅黑" w:eastAsia="微软雅黑" w:cs="微软雅黑"/>
          <w:color w:val="231F20"/>
          <w:spacing w:val="10"/>
          <w:sz w:val="20"/>
          <w:szCs w:val="20"/>
        </w:rPr>
        <w:t>什么是质量？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9"/>
          <w:sz w:val="20"/>
          <w:szCs w:val="20"/>
        </w:rPr>
        <w:t>以及由此二者形成的质量文化的内在关联？</w:t>
      </w:r>
    </w:p>
    <w:p>
      <w:pPr>
        <w:spacing w:before="18" w:line="212" w:lineRule="auto"/>
        <w:ind w:firstLine="524"/>
        <w:rPr>
          <w:rFonts w:ascii="微软雅黑" w:hAnsi="微软雅黑" w:eastAsia="微软雅黑" w:cs="微软雅黑"/>
          <w:sz w:val="20"/>
          <w:szCs w:val="20"/>
        </w:rPr>
      </w:pPr>
      <w:r>
        <w:rPr>
          <w:rFonts w:ascii="微软雅黑" w:hAnsi="微软雅黑" w:eastAsia="微软雅黑" w:cs="微软雅黑"/>
          <w:color w:val="231F20"/>
          <w:spacing w:val="3"/>
          <w:sz w:val="20"/>
          <w:szCs w:val="20"/>
        </w:rPr>
        <w:t xml:space="preserve">关于文化的定义，从管理学视角出发，文化一般  </w:t>
      </w:r>
      <w:r>
        <w:rPr>
          <w:rFonts w:ascii="微软雅黑" w:hAnsi="微软雅黑" w:eastAsia="微软雅黑" w:cs="微软雅黑"/>
          <w:color w:val="231F20"/>
          <w:spacing w:val="11"/>
          <w:sz w:val="20"/>
          <w:szCs w:val="20"/>
        </w:rPr>
        <w:t>被定义为组织文化，这一点并没有过多争议</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1"/>
          <w:sz w:val="20"/>
          <w:szCs w:val="20"/>
        </w:rPr>
        <w:t>。但是，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9"/>
          <w:sz w:val="20"/>
          <w:szCs w:val="20"/>
        </w:rPr>
        <w:t>对于质量的定义，不同民族国家、不同类型甚至不同</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8"/>
          <w:sz w:val="20"/>
          <w:szCs w:val="20"/>
        </w:rPr>
        <w:t>地理位置的高等教育机构，对于质量的理解是五花</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7"/>
          <w:sz w:val="20"/>
          <w:szCs w:val="20"/>
        </w:rPr>
        <w:t>八门的</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7"/>
          <w:sz w:val="20"/>
          <w:szCs w:val="20"/>
        </w:rPr>
        <w:t>。为了达成较为一致的认识，研究项目提供</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8"/>
          <w:sz w:val="20"/>
          <w:szCs w:val="20"/>
        </w:rPr>
        <w:t>了关于质量定义的诸多引导性概念，如质量是适切</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9"/>
          <w:sz w:val="20"/>
          <w:szCs w:val="20"/>
        </w:rPr>
        <w:t>目的、质量是零缺陷、质量是消费者满意、质量是追</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4"/>
          <w:sz w:val="20"/>
          <w:szCs w:val="20"/>
        </w:rPr>
        <w:t>求卓越、质量是物有所值、质量是转换、质量是改进、</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质量是控制等</w:t>
      </w:r>
      <w:r>
        <w:rPr>
          <w:rFonts w:ascii="微软雅黑" w:hAnsi="微软雅黑" w:eastAsia="微软雅黑" w:cs="微软雅黑"/>
          <w:color w:val="231F20"/>
          <w:spacing w:val="5"/>
          <w:position w:val="8"/>
          <w:sz w:val="10"/>
          <w:szCs w:val="10"/>
        </w:rPr>
        <w:t>［</w:t>
      </w:r>
      <w:r>
        <w:rPr>
          <w:rFonts w:ascii="宋体" w:hAnsi="宋体" w:eastAsia="宋体" w:cs="宋体"/>
          <w:color w:val="231F20"/>
          <w:spacing w:val="5"/>
          <w:position w:val="8"/>
          <w:sz w:val="10"/>
          <w:szCs w:val="10"/>
        </w:rPr>
        <w:t>9</w:t>
      </w:r>
      <w:r>
        <w:rPr>
          <w:rFonts w:ascii="微软雅黑" w:hAnsi="微软雅黑" w:eastAsia="微软雅黑" w:cs="微软雅黑"/>
          <w:color w:val="231F20"/>
          <w:spacing w:val="5"/>
          <w:position w:val="8"/>
          <w:sz w:val="10"/>
          <w:szCs w:val="10"/>
        </w:rPr>
        <w:t>］</w:t>
      </w:r>
      <w:r>
        <w:rPr>
          <w:rFonts w:ascii="微软雅黑" w:hAnsi="微软雅黑" w:eastAsia="微软雅黑" w:cs="微软雅黑"/>
          <w:color w:val="231F20"/>
          <w:spacing w:val="5"/>
          <w:sz w:val="20"/>
          <w:szCs w:val="20"/>
        </w:rPr>
        <w:t xml:space="preserve">。结果发现，尽管各高等教育机构对  </w:t>
      </w:r>
      <w:r>
        <w:rPr>
          <w:rFonts w:ascii="微软雅黑" w:hAnsi="微软雅黑" w:eastAsia="微软雅黑" w:cs="微软雅黑"/>
          <w:color w:val="231F20"/>
          <w:spacing w:val="18"/>
          <w:sz w:val="20"/>
          <w:szCs w:val="20"/>
        </w:rPr>
        <w:t>于质量认识呈现多维的特征，但不排除对质量文化</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7"/>
          <w:sz w:val="20"/>
          <w:szCs w:val="20"/>
        </w:rPr>
        <w:t>共性的认同</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7"/>
          <w:sz w:val="20"/>
          <w:szCs w:val="20"/>
        </w:rPr>
        <w:t>。各高校对于质量的认识经历了从最初</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的“质量控制</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2"/>
          <w:sz w:val="20"/>
          <w:szCs w:val="20"/>
        </w:rPr>
        <w:t>”“质量管理</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2"/>
          <w:sz w:val="20"/>
          <w:szCs w:val="20"/>
        </w:rPr>
        <w:t>”等控制性认识再到后期的  “质量是追求卓越</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2"/>
          <w:sz w:val="20"/>
          <w:szCs w:val="20"/>
        </w:rPr>
        <w:t>”“质量是自我改进</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2"/>
          <w:sz w:val="20"/>
          <w:szCs w:val="20"/>
        </w:rPr>
        <w:t xml:space="preserve">”等发展性认识  </w:t>
      </w:r>
      <w:r>
        <w:rPr>
          <w:rFonts w:ascii="微软雅黑" w:hAnsi="微软雅黑" w:eastAsia="微软雅黑" w:cs="微软雅黑"/>
          <w:color w:val="231F20"/>
          <w:spacing w:val="13"/>
          <w:sz w:val="20"/>
          <w:szCs w:val="20"/>
        </w:rPr>
        <w:t>的转变</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13"/>
          <w:sz w:val="20"/>
          <w:szCs w:val="20"/>
        </w:rPr>
        <w:t>。基于上述发现，</w:t>
      </w:r>
      <w:r>
        <w:rPr>
          <w:rFonts w:ascii="宋体" w:hAnsi="宋体" w:eastAsia="宋体" w:cs="宋体"/>
          <w:color w:val="231F20"/>
          <w:sz w:val="20"/>
          <w:szCs w:val="20"/>
        </w:rPr>
        <w:t>EUA</w:t>
      </w:r>
      <w:r>
        <w:rPr>
          <w:rFonts w:ascii="微软雅黑" w:hAnsi="微软雅黑" w:eastAsia="微软雅黑" w:cs="微软雅黑"/>
          <w:color w:val="231F20"/>
          <w:spacing w:val="13"/>
          <w:sz w:val="20"/>
          <w:szCs w:val="20"/>
        </w:rPr>
        <w:t>对质量文化定义为“质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8"/>
          <w:sz w:val="20"/>
          <w:szCs w:val="20"/>
        </w:rPr>
        <w:t>量文化是旨在永久提高质量的组织文化，从内涵上</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4"/>
          <w:sz w:val="20"/>
          <w:szCs w:val="20"/>
        </w:rPr>
        <w:t>包括了两个方面：一是文化</w:t>
      </w:r>
      <w:r>
        <w:rPr>
          <w:rFonts w:ascii="宋体" w:hAnsi="宋体" w:eastAsia="宋体" w:cs="宋体"/>
          <w:color w:val="231F20"/>
          <w:spacing w:val="4"/>
          <w:sz w:val="20"/>
          <w:szCs w:val="20"/>
        </w:rPr>
        <w:t>/</w:t>
      </w:r>
      <w:r>
        <w:rPr>
          <w:rFonts w:ascii="微软雅黑" w:hAnsi="微软雅黑" w:eastAsia="微软雅黑" w:cs="微软雅黑"/>
          <w:color w:val="231F20"/>
          <w:spacing w:val="4"/>
          <w:sz w:val="20"/>
          <w:szCs w:val="20"/>
        </w:rPr>
        <w:t>心理要素，包</w:t>
      </w:r>
      <w:r>
        <w:rPr>
          <w:rFonts w:ascii="微软雅黑" w:hAnsi="微软雅黑" w:eastAsia="微软雅黑" w:cs="微软雅黑"/>
          <w:color w:val="231F20"/>
          <w:spacing w:val="3"/>
          <w:sz w:val="20"/>
          <w:szCs w:val="20"/>
        </w:rPr>
        <w:t xml:space="preserve">括对质量的  </w:t>
      </w:r>
      <w:r>
        <w:rPr>
          <w:rFonts w:ascii="微软雅黑" w:hAnsi="微软雅黑" w:eastAsia="微软雅黑" w:cs="微软雅黑"/>
          <w:color w:val="231F20"/>
          <w:spacing w:val="9"/>
          <w:sz w:val="20"/>
          <w:szCs w:val="20"/>
        </w:rPr>
        <w:t>价值观、信念、期望和承诺等，另一方面具有明确流</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3"/>
          <w:sz w:val="20"/>
          <w:szCs w:val="20"/>
        </w:rPr>
        <w:t>程的结构</w:t>
      </w:r>
      <w:r>
        <w:rPr>
          <w:rFonts w:ascii="宋体" w:hAnsi="宋体" w:eastAsia="宋体" w:cs="宋体"/>
          <w:color w:val="231F20"/>
          <w:spacing w:val="13"/>
          <w:sz w:val="20"/>
          <w:szCs w:val="20"/>
        </w:rPr>
        <w:t>/</w:t>
      </w:r>
      <w:r>
        <w:rPr>
          <w:rFonts w:ascii="微软雅黑" w:hAnsi="微软雅黑" w:eastAsia="微软雅黑" w:cs="微软雅黑"/>
          <w:color w:val="231F20"/>
          <w:spacing w:val="13"/>
          <w:sz w:val="20"/>
          <w:szCs w:val="20"/>
        </w:rPr>
        <w:t>管理要素，旨在协调个人努力和持续提高</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6"/>
          <w:sz w:val="20"/>
          <w:szCs w:val="20"/>
        </w:rPr>
        <w:t>质量</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6"/>
          <w:sz w:val="20"/>
          <w:szCs w:val="20"/>
        </w:rPr>
        <w:t>”</w:t>
      </w:r>
      <w:r>
        <w:rPr>
          <w:rFonts w:ascii="微软雅黑" w:hAnsi="微软雅黑" w:eastAsia="微软雅黑" w:cs="微软雅黑"/>
          <w:color w:val="231F20"/>
          <w:spacing w:val="-6"/>
          <w:position w:val="8"/>
          <w:sz w:val="10"/>
          <w:szCs w:val="10"/>
        </w:rPr>
        <w:t>［</w:t>
      </w:r>
      <w:r>
        <w:rPr>
          <w:rFonts w:ascii="宋体" w:hAnsi="宋体" w:eastAsia="宋体" w:cs="宋体"/>
          <w:color w:val="231F20"/>
          <w:spacing w:val="-6"/>
          <w:position w:val="8"/>
          <w:sz w:val="10"/>
          <w:szCs w:val="10"/>
        </w:rPr>
        <w:t>10</w:t>
      </w:r>
      <w:r>
        <w:rPr>
          <w:rFonts w:ascii="微软雅黑" w:hAnsi="微软雅黑" w:eastAsia="微软雅黑" w:cs="微软雅黑"/>
          <w:color w:val="231F20"/>
          <w:spacing w:val="-6"/>
          <w:position w:val="8"/>
          <w:sz w:val="10"/>
          <w:szCs w:val="10"/>
        </w:rPr>
        <w:t>］</w:t>
      </w:r>
      <w:r>
        <w:rPr>
          <w:rFonts w:ascii="微软雅黑" w:hAnsi="微软雅黑" w:eastAsia="微软雅黑" w:cs="微软雅黑"/>
          <w:color w:val="231F20"/>
          <w:spacing w:val="-6"/>
          <w:sz w:val="20"/>
          <w:szCs w:val="20"/>
        </w:rPr>
        <w:t>。其中，结构</w:t>
      </w:r>
      <w:r>
        <w:rPr>
          <w:rFonts w:ascii="宋体" w:hAnsi="宋体" w:eastAsia="宋体" w:cs="宋体"/>
          <w:color w:val="231F20"/>
          <w:spacing w:val="3"/>
          <w:sz w:val="20"/>
          <w:szCs w:val="20"/>
        </w:rPr>
        <w:t>/</w:t>
      </w:r>
      <w:r>
        <w:rPr>
          <w:rFonts w:ascii="微软雅黑" w:hAnsi="微软雅黑" w:eastAsia="微软雅黑" w:cs="微软雅黑"/>
          <w:color w:val="231F20"/>
          <w:spacing w:val="3"/>
          <w:sz w:val="20"/>
          <w:szCs w:val="20"/>
        </w:rPr>
        <w:t xml:space="preserve">管理要素是自上而下的，而文  </w:t>
      </w:r>
      <w:r>
        <w:rPr>
          <w:rFonts w:ascii="微软雅黑" w:hAnsi="微软雅黑" w:eastAsia="微软雅黑" w:cs="微软雅黑"/>
          <w:color w:val="231F20"/>
          <w:spacing w:val="4"/>
          <w:sz w:val="20"/>
          <w:szCs w:val="20"/>
        </w:rPr>
        <w:t>化</w:t>
      </w:r>
      <w:r>
        <w:rPr>
          <w:rFonts w:ascii="宋体" w:hAnsi="宋体" w:eastAsia="宋体" w:cs="宋体"/>
          <w:color w:val="231F20"/>
          <w:spacing w:val="4"/>
          <w:sz w:val="20"/>
          <w:szCs w:val="20"/>
        </w:rPr>
        <w:t>/</w:t>
      </w:r>
      <w:r>
        <w:rPr>
          <w:rFonts w:ascii="微软雅黑" w:hAnsi="微软雅黑" w:eastAsia="微软雅黑" w:cs="微软雅黑"/>
          <w:color w:val="231F20"/>
          <w:spacing w:val="4"/>
          <w:sz w:val="20"/>
          <w:szCs w:val="20"/>
        </w:rPr>
        <w:t>心理要素是自下而上的，这两者都通过</w:t>
      </w:r>
      <w:r>
        <w:rPr>
          <w:rFonts w:ascii="微软雅黑" w:hAnsi="微软雅黑" w:eastAsia="微软雅黑" w:cs="微软雅黑"/>
          <w:color w:val="231F20"/>
          <w:spacing w:val="3"/>
          <w:sz w:val="20"/>
          <w:szCs w:val="20"/>
        </w:rPr>
        <w:t xml:space="preserve">沟通、协调  </w:t>
      </w:r>
      <w:r>
        <w:rPr>
          <w:rFonts w:ascii="微软雅黑" w:hAnsi="微软雅黑" w:eastAsia="微软雅黑" w:cs="微软雅黑"/>
          <w:color w:val="231F20"/>
          <w:spacing w:val="8"/>
          <w:sz w:val="20"/>
          <w:szCs w:val="20"/>
        </w:rPr>
        <w:t>和参与，最终整合成一个整体。</w:t>
      </w:r>
    </w:p>
    <w:p>
      <w:pPr>
        <w:spacing w:before="38" w:line="189" w:lineRule="auto"/>
        <w:ind w:left="108" w:right="81" w:firstLine="420"/>
        <w:rPr>
          <w:rFonts w:ascii="微软雅黑" w:hAnsi="微软雅黑" w:eastAsia="微软雅黑" w:cs="微软雅黑"/>
          <w:sz w:val="20"/>
          <w:szCs w:val="20"/>
        </w:rPr>
      </w:pPr>
      <w:r>
        <w:rPr>
          <w:rFonts w:ascii="宋体" w:hAnsi="宋体" w:eastAsia="宋体" w:cs="宋体"/>
          <w:color w:val="231F20"/>
          <w:sz w:val="20"/>
          <w:szCs w:val="20"/>
        </w:rPr>
        <w:t>EUA</w:t>
      </w:r>
      <w:r>
        <w:rPr>
          <w:rFonts w:ascii="宋体" w:hAnsi="宋体" w:eastAsia="宋体" w:cs="宋体"/>
          <w:color w:val="231F20"/>
          <w:spacing w:val="-57"/>
          <w:sz w:val="20"/>
          <w:szCs w:val="20"/>
        </w:rPr>
        <w:t xml:space="preserve"> </w:t>
      </w:r>
      <w:r>
        <w:rPr>
          <w:rFonts w:ascii="微软雅黑" w:hAnsi="微软雅黑" w:eastAsia="微软雅黑" w:cs="微软雅黑"/>
          <w:color w:val="231F20"/>
          <w:spacing w:val="19"/>
          <w:sz w:val="20"/>
          <w:szCs w:val="20"/>
        </w:rPr>
        <w:t>关于质量文化的定义，对于欧洲高等教育</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质量文化项目实施具有关键意义，它解决了</w:t>
      </w:r>
      <w:r>
        <w:rPr>
          <w:rFonts w:ascii="微软雅黑" w:hAnsi="微软雅黑" w:eastAsia="微软雅黑" w:cs="微软雅黑"/>
          <w:color w:val="231F20"/>
          <w:spacing w:val="13"/>
          <w:sz w:val="20"/>
          <w:szCs w:val="20"/>
        </w:rPr>
        <w:t>欧洲各</w:t>
      </w:r>
    </w:p>
    <w:p>
      <w:pPr>
        <w:spacing w:line="189" w:lineRule="auto"/>
        <w:rPr>
          <w:rFonts w:ascii="微软雅黑" w:hAnsi="微软雅黑" w:eastAsia="微软雅黑" w:cs="微软雅黑"/>
          <w:sz w:val="20"/>
          <w:szCs w:val="20"/>
        </w:rPr>
        <w:sectPr>
          <w:type w:val="continuous"/>
          <w:pgSz w:w="10841" w:h="15421"/>
          <w:pgMar w:top="727" w:right="510" w:bottom="354" w:left="407" w:header="346" w:footer="0" w:gutter="0"/>
          <w:cols w:equalWidth="0" w:num="2">
            <w:col w:w="4979" w:space="46"/>
            <w:col w:w="4897"/>
          </w:cols>
        </w:sectPr>
      </w:pPr>
    </w:p>
    <w:p>
      <w:pPr>
        <w:spacing w:line="174" w:lineRule="exact"/>
      </w:pPr>
    </w:p>
    <w:p>
      <w:pPr>
        <w:spacing w:line="174" w:lineRule="exact"/>
        <w:sectPr>
          <w:type w:val="continuous"/>
          <w:pgSz w:w="10841" w:h="15421"/>
          <w:pgMar w:top="727" w:right="510" w:bottom="354" w:left="407" w:header="346" w:footer="0" w:gutter="0"/>
          <w:cols w:equalWidth="0" w:num="1">
            <w:col w:w="9922"/>
          </w:cols>
        </w:sectPr>
      </w:pPr>
    </w:p>
    <w:p>
      <w:pPr>
        <w:spacing w:line="284" w:lineRule="exact"/>
        <w:ind w:firstLine="19"/>
      </w:pPr>
      <w:r>
        <w:rPr>
          <w:position w:val="-5"/>
        </w:rPr>
        <w:pict>
          <v:group id="_x0000_s1074" o:spid="_x0000_s1074" o:spt="203" style="height:14.25pt;width:39.6pt;" coordsize="791,285">
            <o:lock v:ext="edit"/>
            <v:group id="_x0000_s1075" o:spid="_x0000_s1075" o:spt="203" style="position:absolute;left:0;top:0;height:285;width:791;" coordsize="791,285">
              <o:lock v:ext="edit"/>
              <v:shape id="_x0000_s1076" o:spid="_x0000_s1076" style="position:absolute;left:395;top:0;height:285;width:397;" fillcolor="#231F20" filled="t" stroked="f" coordsize="397,285" path="m0,284l0,0,396,0,396,284,0,284xe">
                <v:path/>
                <v:fill on="t" focussize="0,0"/>
                <v:stroke on="f"/>
                <v:imagedata o:title=""/>
                <o:lock v:ext="edit"/>
              </v:shape>
              <v:shape id="_x0000_s1077" o:spid="_x0000_s1077" style="position:absolute;left:0;top:0;height:285;width:395;" fillcolor="#C7C8CA" filled="t" stroked="f" coordsize="395,285" path="m0,284l0,0,395,0,395,284,0,284xe">
                <v:path/>
                <v:fill on="t" focussize="0,0"/>
                <v:stroke on="f"/>
                <v:imagedata o:title=""/>
                <o:lock v:ext="edit"/>
              </v:shape>
            </v:group>
            <v:shape id="_x0000_s1078" o:spid="_x0000_s1078" o:spt="202" type="#_x0000_t202" style="position:absolute;left:-20;top:-20;height:325;width:831;" filled="f" stroked="f" coordsize="21600,21600">
              <v:path/>
              <v:fill on="f" focussize="0,0"/>
              <v:stroke on="f"/>
              <v:imagedata o:title=""/>
              <o:lock v:ext="edit" aspectratio="f"/>
              <v:textbox inset="0mm,0mm,0mm,0mm">
                <w:txbxContent>
                  <w:p>
                    <w:pPr>
                      <w:spacing w:before="94" w:line="184" w:lineRule="auto"/>
                      <w:ind w:left="517"/>
                      <w:rPr>
                        <w:rFonts w:ascii="仿宋" w:hAnsi="仿宋" w:eastAsia="仿宋" w:cs="仿宋"/>
                        <w:sz w:val="20"/>
                        <w:szCs w:val="20"/>
                      </w:rPr>
                    </w:pPr>
                    <w:r>
                      <w:rPr>
                        <w:rFonts w:ascii="仿宋" w:hAnsi="仿宋" w:eastAsia="仿宋" w:cs="仿宋"/>
                        <w:color w:val="FFFFFF"/>
                        <w:sz w:val="20"/>
                        <w:szCs w:val="20"/>
                      </w:rPr>
                      <w:t>44</w:t>
                    </w:r>
                  </w:p>
                </w:txbxContent>
              </v:textbox>
            </v:shape>
            <w10:wrap type="none"/>
            <w10:anchorlock/>
          </v:group>
        </w:pict>
      </w:r>
    </w:p>
    <w:p>
      <w:pPr>
        <w:spacing w:before="19" w:line="200" w:lineRule="auto"/>
        <w:jc w:val="right"/>
        <w:rPr>
          <w:rFonts w:ascii="Arial" w:hAnsi="Arial" w:eastAsia="Arial" w:cs="Arial"/>
          <w:sz w:val="19"/>
          <w:szCs w:val="19"/>
        </w:rPr>
      </w:pPr>
      <w:r>
        <w:rPr>
          <w:rFonts w:ascii="Arial" w:hAnsi="Arial" w:eastAsia="Arial" w:cs="Arial"/>
          <w:color w:val="999999"/>
          <w:spacing w:val="1"/>
          <w:sz w:val="19"/>
          <w:szCs w:val="19"/>
        </w:rPr>
        <w:t>(C)1994-2022</w:t>
      </w: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p>
    <w:p>
      <w:pPr>
        <w:spacing w:before="55" w:line="202" w:lineRule="auto"/>
        <w:rPr>
          <w:rFonts w:ascii="Arial" w:hAnsi="Arial" w:eastAsia="Arial" w:cs="Arial"/>
          <w:sz w:val="19"/>
          <w:szCs w:val="19"/>
        </w:rPr>
      </w:pPr>
      <w:r>
        <w:rPr>
          <w:rFonts w:ascii="Arial" w:hAnsi="Arial" w:eastAsia="Arial" w:cs="Arial"/>
          <w:color w:val="999999"/>
          <w:spacing w:val="3"/>
          <w:sz w:val="19"/>
          <w:szCs w:val="19"/>
        </w:rPr>
        <w:t>china Academic Journal Electronic publishing House. All rights reserved.</w:t>
      </w: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p>
    <w:p>
      <w:pPr>
        <w:spacing w:before="55" w:line="202" w:lineRule="auto"/>
        <w:rPr>
          <w:rFonts w:ascii="Arial" w:hAnsi="Arial" w:eastAsia="Arial" w:cs="Arial"/>
          <w:sz w:val="19"/>
          <w:szCs w:val="19"/>
        </w:rPr>
      </w:pPr>
      <w:r>
        <w:rPr>
          <w:rFonts w:ascii="Arial" w:hAnsi="Arial" w:eastAsia="Arial" w:cs="Arial"/>
          <w:color w:val="999999"/>
          <w:spacing w:val="5"/>
          <w:sz w:val="19"/>
          <w:szCs w:val="19"/>
        </w:rPr>
        <w:t>http://www.cnki.net</w:t>
      </w:r>
    </w:p>
    <w:p>
      <w:pPr>
        <w:spacing w:line="202" w:lineRule="auto"/>
        <w:rPr>
          <w:rFonts w:ascii="Arial" w:hAnsi="Arial" w:eastAsia="Arial" w:cs="Arial"/>
          <w:sz w:val="19"/>
          <w:szCs w:val="19"/>
        </w:rPr>
        <w:sectPr>
          <w:type w:val="continuous"/>
          <w:pgSz w:w="10841" w:h="15421"/>
          <w:pgMar w:top="727" w:right="510" w:bottom="354" w:left="407" w:header="346" w:footer="0" w:gutter="0"/>
          <w:cols w:equalWidth="0" w:num="3">
            <w:col w:w="1190" w:space="71"/>
            <w:col w:w="6445" w:space="100"/>
            <w:col w:w="2116"/>
          </w:cols>
        </w:sectPr>
      </w:pPr>
    </w:p>
    <w:p>
      <w:pPr>
        <w:spacing w:before="13"/>
      </w:pPr>
    </w:p>
    <w:p>
      <w:pPr>
        <w:sectPr>
          <w:headerReference r:id="rId94" w:type="default"/>
          <w:footerReference r:id="rId95" w:type="default"/>
          <w:pgSz w:w="10841" w:h="15421"/>
          <w:pgMar w:top="727" w:right="427" w:bottom="547" w:left="407" w:header="346" w:footer="354" w:gutter="0"/>
          <w:cols w:equalWidth="0" w:num="1">
            <w:col w:w="10006"/>
          </w:cols>
        </w:sectPr>
      </w:pPr>
    </w:p>
    <w:p>
      <w:pPr>
        <w:spacing w:before="45" w:line="208" w:lineRule="auto"/>
        <w:ind w:left="190" w:right="132" w:firstLine="18"/>
        <w:jc w:val="both"/>
        <w:rPr>
          <w:rFonts w:ascii="微软雅黑" w:hAnsi="微软雅黑" w:eastAsia="微软雅黑" w:cs="微软雅黑"/>
          <w:sz w:val="20"/>
          <w:szCs w:val="20"/>
        </w:rPr>
      </w:pPr>
      <w:r>
        <w:rPr>
          <w:rFonts w:ascii="微软雅黑" w:hAnsi="微软雅黑" w:eastAsia="微软雅黑" w:cs="微软雅黑"/>
          <w:color w:val="231F20"/>
          <w:spacing w:val="13"/>
          <w:sz w:val="20"/>
          <w:szCs w:val="20"/>
        </w:rPr>
        <w:t>国高等教育机构对于质量认识的多元分歧，推动了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3"/>
          <w:sz w:val="20"/>
          <w:szCs w:val="20"/>
        </w:rPr>
        <w:t>高等教育质量保障从单纯技术层面转向深层的文化</w:t>
      </w:r>
      <w:r>
        <w:rPr>
          <w:rFonts w:ascii="微软雅黑" w:hAnsi="微软雅黑" w:eastAsia="微软雅黑" w:cs="微软雅黑"/>
          <w:color w:val="231F20"/>
          <w:spacing w:val="18"/>
          <w:w w:val="101"/>
          <w:sz w:val="20"/>
          <w:szCs w:val="20"/>
        </w:rPr>
        <w:t xml:space="preserve"> </w:t>
      </w:r>
      <w:r>
        <w:rPr>
          <w:rFonts w:ascii="微软雅黑" w:hAnsi="微软雅黑" w:eastAsia="微软雅黑" w:cs="微软雅黑"/>
          <w:color w:val="231F20"/>
          <w:spacing w:val="18"/>
          <w:sz w:val="20"/>
          <w:szCs w:val="20"/>
        </w:rPr>
        <w:t>心理层面</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8"/>
          <w:sz w:val="20"/>
          <w:szCs w:val="20"/>
        </w:rPr>
        <w:t>。根据各国高等教育机构实施情况，</w:t>
      </w:r>
      <w:r>
        <w:rPr>
          <w:rFonts w:ascii="宋体" w:hAnsi="宋体" w:eastAsia="宋体" w:cs="宋体"/>
          <w:color w:val="231F20"/>
          <w:sz w:val="20"/>
          <w:szCs w:val="20"/>
        </w:rPr>
        <w:t xml:space="preserve">EUA </w:t>
      </w:r>
      <w:r>
        <w:rPr>
          <w:rFonts w:ascii="微软雅黑" w:hAnsi="微软雅黑" w:eastAsia="微软雅黑" w:cs="微软雅黑"/>
          <w:color w:val="231F20"/>
          <w:spacing w:val="13"/>
          <w:sz w:val="20"/>
          <w:szCs w:val="20"/>
        </w:rPr>
        <w:t>总结了高等教育机构在引入和实施质量文化过程中</w:t>
      </w:r>
      <w:r>
        <w:rPr>
          <w:rFonts w:ascii="微软雅黑" w:hAnsi="微软雅黑" w:eastAsia="微软雅黑" w:cs="微软雅黑"/>
          <w:color w:val="231F20"/>
          <w:spacing w:val="18"/>
          <w:w w:val="101"/>
          <w:sz w:val="20"/>
          <w:szCs w:val="20"/>
        </w:rPr>
        <w:t xml:space="preserve"> </w:t>
      </w:r>
      <w:r>
        <w:rPr>
          <w:rFonts w:ascii="微软雅黑" w:hAnsi="微软雅黑" w:eastAsia="微软雅黑" w:cs="微软雅黑"/>
          <w:color w:val="231F20"/>
          <w:spacing w:val="-4"/>
          <w:sz w:val="20"/>
          <w:szCs w:val="20"/>
        </w:rPr>
        <w:t>的四个特性：战略、领导、参与和反馈，这四个方面又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细化为八个方面内容</w:t>
      </w:r>
      <w:r>
        <w:rPr>
          <w:rFonts w:ascii="微软雅黑" w:hAnsi="微软雅黑" w:eastAsia="微软雅黑" w:cs="微软雅黑"/>
          <w:color w:val="231F20"/>
          <w:spacing w:val="1"/>
          <w:position w:val="8"/>
          <w:sz w:val="10"/>
          <w:szCs w:val="10"/>
        </w:rPr>
        <w:t>［</w:t>
      </w:r>
      <w:r>
        <w:rPr>
          <w:rFonts w:ascii="宋体" w:hAnsi="宋体" w:eastAsia="宋体" w:cs="宋体"/>
          <w:color w:val="231F20"/>
          <w:spacing w:val="1"/>
          <w:position w:val="8"/>
          <w:sz w:val="10"/>
          <w:szCs w:val="10"/>
        </w:rPr>
        <w:t>8</w:t>
      </w:r>
      <w:r>
        <w:rPr>
          <w:rFonts w:ascii="微软雅黑" w:hAnsi="微软雅黑" w:eastAsia="微软雅黑" w:cs="微软雅黑"/>
          <w:color w:val="231F20"/>
          <w:spacing w:val="1"/>
          <w:position w:val="8"/>
          <w:sz w:val="10"/>
          <w:szCs w:val="10"/>
        </w:rPr>
        <w:t>］</w:t>
      </w:r>
      <w:r>
        <w:rPr>
          <w:rFonts w:ascii="微软雅黑" w:hAnsi="微软雅黑" w:eastAsia="微软雅黑" w:cs="微软雅黑"/>
          <w:color w:val="231F20"/>
          <w:spacing w:val="1"/>
          <w:sz w:val="20"/>
          <w:szCs w:val="20"/>
        </w:rPr>
        <w:t>。</w:t>
      </w:r>
    </w:p>
    <w:p>
      <w:pPr>
        <w:spacing w:before="39" w:line="213" w:lineRule="auto"/>
        <w:ind w:left="187" w:right="133" w:firstLine="439"/>
        <w:jc w:val="both"/>
        <w:rPr>
          <w:rFonts w:ascii="微软雅黑" w:hAnsi="微软雅黑" w:eastAsia="微软雅黑" w:cs="微软雅黑"/>
          <w:sz w:val="20"/>
          <w:szCs w:val="20"/>
        </w:rPr>
      </w:pPr>
      <w:r>
        <w:rPr>
          <w:rFonts w:ascii="宋体" w:hAnsi="宋体" w:eastAsia="宋体" w:cs="宋体"/>
          <w:color w:val="231F20"/>
          <w:spacing w:val="7"/>
          <w:sz w:val="20"/>
          <w:szCs w:val="20"/>
        </w:rPr>
        <w:t>1.</w:t>
      </w:r>
      <w:r>
        <w:rPr>
          <w:rFonts w:ascii="宋体" w:hAnsi="宋体" w:eastAsia="宋体" w:cs="宋体"/>
          <w:color w:val="231F20"/>
          <w:spacing w:val="-12"/>
          <w:sz w:val="20"/>
          <w:szCs w:val="20"/>
        </w:rPr>
        <w:t xml:space="preserve"> </w:t>
      </w:r>
      <w:r>
        <w:rPr>
          <w:rFonts w:ascii="微软雅黑" w:hAnsi="微软雅黑" w:eastAsia="微软雅黑" w:cs="微软雅黑"/>
          <w:color w:val="231F20"/>
          <w:spacing w:val="7"/>
          <w:sz w:val="20"/>
          <w:szCs w:val="20"/>
        </w:rPr>
        <w:t>战略规划</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7"/>
          <w:sz w:val="20"/>
          <w:szCs w:val="20"/>
        </w:rPr>
        <w:t>。战略规划是成功地将文化嵌入组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织机构的首要因素，其重点是根据学校自身所处环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境、办学类型、目标定位，提出与办学目标一致的质</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量战略规划</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。为了引导高等教育机构有效地设计战</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0"/>
          <w:sz w:val="20"/>
          <w:szCs w:val="20"/>
        </w:rPr>
        <w:t>略规划，</w:t>
      </w:r>
      <w:r>
        <w:rPr>
          <w:rFonts w:ascii="宋体" w:hAnsi="宋体" w:eastAsia="宋体" w:cs="宋体"/>
          <w:color w:val="231F20"/>
          <w:sz w:val="20"/>
          <w:szCs w:val="20"/>
        </w:rPr>
        <w:t>EUA</w:t>
      </w:r>
      <w:r>
        <w:rPr>
          <w:rFonts w:ascii="微软雅黑" w:hAnsi="微软雅黑" w:eastAsia="微软雅黑" w:cs="微软雅黑"/>
          <w:color w:val="231F20"/>
          <w:spacing w:val="20"/>
          <w:sz w:val="20"/>
          <w:szCs w:val="20"/>
        </w:rPr>
        <w:t>提出</w:t>
      </w:r>
      <w:r>
        <w:rPr>
          <w:rFonts w:ascii="微软雅黑" w:hAnsi="微软雅黑" w:eastAsia="微软雅黑" w:cs="微软雅黑"/>
          <w:color w:val="231F20"/>
          <w:spacing w:val="-12"/>
          <w:sz w:val="20"/>
          <w:szCs w:val="20"/>
        </w:rPr>
        <w:t xml:space="preserve"> </w:t>
      </w:r>
      <w:r>
        <w:rPr>
          <w:rFonts w:ascii="宋体" w:hAnsi="宋体" w:eastAsia="宋体" w:cs="宋体"/>
          <w:color w:val="231F20"/>
          <w:sz w:val="20"/>
          <w:szCs w:val="20"/>
        </w:rPr>
        <w:t>SWOT</w:t>
      </w:r>
      <w:r>
        <w:rPr>
          <w:rFonts w:ascii="微软雅黑" w:hAnsi="微软雅黑" w:eastAsia="微软雅黑" w:cs="微软雅黑"/>
          <w:color w:val="231F20"/>
          <w:spacing w:val="20"/>
          <w:sz w:val="20"/>
          <w:szCs w:val="20"/>
        </w:rPr>
        <w:t>分析方法来确定高等教育机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6"/>
          <w:sz w:val="20"/>
          <w:szCs w:val="20"/>
        </w:rPr>
        <w:t>构的中长期发展目标</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6"/>
          <w:sz w:val="20"/>
          <w:szCs w:val="20"/>
        </w:rPr>
        <w:t>。</w:t>
      </w:r>
      <w:r>
        <w:rPr>
          <w:rFonts w:ascii="宋体" w:hAnsi="宋体" w:eastAsia="宋体" w:cs="宋体"/>
          <w:color w:val="231F20"/>
          <w:sz w:val="20"/>
          <w:szCs w:val="20"/>
        </w:rPr>
        <w:t>EUA</w:t>
      </w:r>
      <w:r>
        <w:rPr>
          <w:rFonts w:ascii="宋体" w:hAnsi="宋体" w:eastAsia="宋体" w:cs="宋体"/>
          <w:color w:val="231F20"/>
          <w:spacing w:val="-55"/>
          <w:sz w:val="20"/>
          <w:szCs w:val="20"/>
        </w:rPr>
        <w:t xml:space="preserve"> </w:t>
      </w:r>
      <w:r>
        <w:rPr>
          <w:rFonts w:ascii="微软雅黑" w:hAnsi="微软雅黑" w:eastAsia="微软雅黑" w:cs="微软雅黑"/>
          <w:color w:val="231F20"/>
          <w:spacing w:val="16"/>
          <w:sz w:val="20"/>
          <w:szCs w:val="20"/>
        </w:rPr>
        <w:t>强调，在实施中长期目</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标时，需要充分考虑可能面临着政策框架、财政缩减</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4"/>
          <w:sz w:val="20"/>
          <w:szCs w:val="20"/>
        </w:rPr>
        <w:t>以及内外部冲突压力，在此基础上明确实现目标的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时间表和路线图，并确保各种利益相关者（教师、学</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
          <w:sz w:val="20"/>
          <w:szCs w:val="20"/>
        </w:rPr>
        <w:t>生、员工特别是外部利益相关者）参与计划制定。</w:t>
      </w:r>
    </w:p>
    <w:p>
      <w:pPr>
        <w:spacing w:before="9" w:line="212" w:lineRule="auto"/>
        <w:ind w:left="186" w:right="67" w:firstLine="423"/>
        <w:jc w:val="both"/>
        <w:rPr>
          <w:rFonts w:ascii="微软雅黑" w:hAnsi="微软雅黑" w:eastAsia="微软雅黑" w:cs="微软雅黑"/>
          <w:sz w:val="20"/>
          <w:szCs w:val="20"/>
        </w:rPr>
      </w:pPr>
      <w:r>
        <w:rPr>
          <w:rFonts w:ascii="宋体" w:hAnsi="宋体" w:eastAsia="宋体" w:cs="宋体"/>
          <w:color w:val="231F20"/>
          <w:spacing w:val="9"/>
          <w:sz w:val="20"/>
          <w:szCs w:val="20"/>
        </w:rPr>
        <w:t>2.</w:t>
      </w:r>
      <w:r>
        <w:rPr>
          <w:rFonts w:ascii="宋体" w:hAnsi="宋体" w:eastAsia="宋体" w:cs="宋体"/>
          <w:color w:val="231F20"/>
          <w:spacing w:val="-37"/>
          <w:sz w:val="20"/>
          <w:szCs w:val="20"/>
        </w:rPr>
        <w:t xml:space="preserve"> </w:t>
      </w:r>
      <w:r>
        <w:rPr>
          <w:rFonts w:ascii="微软雅黑" w:hAnsi="微软雅黑" w:eastAsia="微软雅黑" w:cs="微软雅黑"/>
          <w:color w:val="231F20"/>
          <w:spacing w:val="9"/>
          <w:sz w:val="20"/>
          <w:szCs w:val="20"/>
        </w:rPr>
        <w:t>组织结构</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9"/>
          <w:sz w:val="20"/>
          <w:szCs w:val="20"/>
        </w:rPr>
        <w:t>。组织结构是实施质量文化的重要</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6"/>
          <w:sz w:val="20"/>
          <w:szCs w:val="20"/>
        </w:rPr>
        <w:t>保障</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6"/>
          <w:sz w:val="20"/>
          <w:szCs w:val="20"/>
        </w:rPr>
        <w:t>。</w:t>
      </w:r>
      <w:r>
        <w:rPr>
          <w:rFonts w:ascii="宋体" w:hAnsi="宋体" w:eastAsia="宋体" w:cs="宋体"/>
          <w:color w:val="231F20"/>
          <w:sz w:val="20"/>
          <w:szCs w:val="20"/>
        </w:rPr>
        <w:t>EUA</w:t>
      </w:r>
      <w:r>
        <w:rPr>
          <w:rFonts w:ascii="宋体" w:hAnsi="宋体" w:eastAsia="宋体" w:cs="宋体"/>
          <w:color w:val="231F20"/>
          <w:spacing w:val="-55"/>
          <w:sz w:val="20"/>
          <w:szCs w:val="20"/>
        </w:rPr>
        <w:t xml:space="preserve"> </w:t>
      </w:r>
      <w:r>
        <w:rPr>
          <w:rFonts w:ascii="微软雅黑" w:hAnsi="微软雅黑" w:eastAsia="微软雅黑" w:cs="微软雅黑"/>
          <w:color w:val="231F20"/>
          <w:spacing w:val="16"/>
          <w:sz w:val="20"/>
          <w:szCs w:val="20"/>
        </w:rPr>
        <w:t>强调，一个好的质量文化必须考虑两个</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关系：一是行政与学术的关系，二是集权与分权的关</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2"/>
          <w:sz w:val="20"/>
          <w:szCs w:val="20"/>
        </w:rPr>
        <w:t>系</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。就行政与学术关系而言，其普遍做法是质量保</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sz w:val="20"/>
          <w:szCs w:val="20"/>
        </w:rPr>
        <w:t>障机构由专业人员组成，但这种做法不足之处在于，</w:t>
      </w:r>
      <w:r>
        <w:rPr>
          <w:rFonts w:ascii="微软雅黑" w:hAnsi="微软雅黑" w:eastAsia="微软雅黑" w:cs="微软雅黑"/>
          <w:color w:val="231F20"/>
          <w:spacing w:val="14"/>
          <w:sz w:val="20"/>
          <w:szCs w:val="20"/>
        </w:rPr>
        <w:t xml:space="preserve"> 如果专业人员没有充分考虑学术需求时，可能导致</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学术人员与行政人员之间的冲突</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。相反，另一做法</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是质量保障机构领导完全由学术人员来担任，这一</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做法缓和了行政人员与学术人员的矛盾，但可能又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忽视了质量保障需要有熟练的行政人员支持，最终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5"/>
          <w:sz w:val="20"/>
          <w:szCs w:val="20"/>
        </w:rPr>
        <w:t>也会导致过度官僚化</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5"/>
          <w:sz w:val="20"/>
          <w:szCs w:val="20"/>
        </w:rPr>
        <w:t>。就集权与分权的关系而言，</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集权模式的优点是确保质量的一致性和统一性，但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缺乏基层组织的自主性和主动性</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。相反，分权模式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sz w:val="20"/>
          <w:szCs w:val="20"/>
        </w:rPr>
        <w:t>能够确保基层学术单位质量保障的多样化、自主性，</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9"/>
          <w:sz w:val="20"/>
          <w:szCs w:val="20"/>
        </w:rPr>
        <w:t>但缺乏学校整体质量保障的统一性和一致性。</w:t>
      </w:r>
    </w:p>
    <w:p>
      <w:pPr>
        <w:spacing w:before="35" w:line="212" w:lineRule="auto"/>
        <w:ind w:left="185" w:right="133" w:firstLine="427"/>
        <w:jc w:val="both"/>
        <w:rPr>
          <w:rFonts w:ascii="微软雅黑" w:hAnsi="微软雅黑" w:eastAsia="微软雅黑" w:cs="微软雅黑"/>
          <w:sz w:val="20"/>
          <w:szCs w:val="20"/>
        </w:rPr>
      </w:pPr>
      <w:r>
        <w:rPr>
          <w:rFonts w:ascii="宋体" w:hAnsi="宋体" w:eastAsia="宋体" w:cs="宋体"/>
          <w:color w:val="231F20"/>
          <w:spacing w:val="6"/>
          <w:sz w:val="20"/>
          <w:szCs w:val="20"/>
        </w:rPr>
        <w:t xml:space="preserve">3. </w:t>
      </w:r>
      <w:r>
        <w:rPr>
          <w:rFonts w:ascii="微软雅黑" w:hAnsi="微软雅黑" w:eastAsia="微软雅黑" w:cs="微软雅黑"/>
          <w:color w:val="231F20"/>
          <w:spacing w:val="6"/>
          <w:sz w:val="20"/>
          <w:szCs w:val="20"/>
        </w:rPr>
        <w:t>内部评估与闭环反馈</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pacing w:val="6"/>
          <w:sz w:val="20"/>
          <w:szCs w:val="20"/>
        </w:rPr>
        <w:t>。调查发现，越来越多</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高</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5"/>
          <w:sz w:val="20"/>
          <w:szCs w:val="20"/>
        </w:rPr>
        <w:t>等</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5"/>
          <w:sz w:val="20"/>
          <w:szCs w:val="20"/>
        </w:rPr>
        <w:t>教</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5"/>
          <w:sz w:val="20"/>
          <w:szCs w:val="20"/>
        </w:rPr>
        <w:t>育</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5"/>
          <w:sz w:val="20"/>
          <w:szCs w:val="20"/>
        </w:rPr>
        <w:t>机</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5"/>
          <w:sz w:val="20"/>
          <w:szCs w:val="20"/>
        </w:rPr>
        <w:t>构</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5"/>
          <w:sz w:val="20"/>
          <w:szCs w:val="20"/>
        </w:rPr>
        <w:t>实施</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5"/>
          <w:sz w:val="20"/>
          <w:szCs w:val="20"/>
        </w:rPr>
        <w:t>内部评估</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5"/>
          <w:sz w:val="20"/>
          <w:szCs w:val="20"/>
        </w:rPr>
        <w:t>以保</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5"/>
          <w:sz w:val="20"/>
          <w:szCs w:val="20"/>
        </w:rPr>
        <w:t>障</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5"/>
          <w:sz w:val="20"/>
          <w:szCs w:val="20"/>
        </w:rPr>
        <w:t>教</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5"/>
          <w:sz w:val="20"/>
          <w:szCs w:val="20"/>
        </w:rPr>
        <w:t>学</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5"/>
          <w:sz w:val="20"/>
          <w:szCs w:val="20"/>
        </w:rPr>
        <w:t>质量</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5"/>
          <w:sz w:val="20"/>
          <w:szCs w:val="20"/>
        </w:rPr>
        <w:t>。但</w:t>
      </w:r>
      <w:r>
        <w:rPr>
          <w:rFonts w:ascii="微软雅黑" w:hAnsi="微软雅黑" w:eastAsia="微软雅黑" w:cs="微软雅黑"/>
          <w:color w:val="231F20"/>
          <w:sz w:val="20"/>
          <w:szCs w:val="20"/>
        </w:rPr>
        <w:t xml:space="preserve"> </w:t>
      </w:r>
      <w:r>
        <w:rPr>
          <w:rFonts w:ascii="宋体" w:hAnsi="宋体" w:eastAsia="宋体" w:cs="宋体"/>
          <w:color w:val="231F20"/>
          <w:sz w:val="20"/>
          <w:szCs w:val="20"/>
        </w:rPr>
        <w:t>EUA</w:t>
      </w:r>
      <w:r>
        <w:rPr>
          <w:rFonts w:ascii="微软雅黑" w:hAnsi="微软雅黑" w:eastAsia="微软雅黑" w:cs="微软雅黑"/>
          <w:color w:val="231F20"/>
          <w:spacing w:val="20"/>
          <w:sz w:val="20"/>
          <w:szCs w:val="20"/>
        </w:rPr>
        <w:t>认为，一个有效的内部评价其目的和功能是改</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pacing w:val="11"/>
          <w:sz w:val="20"/>
          <w:szCs w:val="20"/>
        </w:rPr>
        <w:t>进和提升质量，而不是与控制或处罚有关</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1"/>
          <w:sz w:val="20"/>
          <w:szCs w:val="20"/>
        </w:rPr>
        <w:t>。</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11"/>
          <w:sz w:val="20"/>
          <w:szCs w:val="20"/>
        </w:rPr>
        <w:t>因为控</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制性文化与学术价值格格不入，相反，内部评估应让</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8"/>
          <w:sz w:val="20"/>
          <w:szCs w:val="20"/>
        </w:rPr>
        <w:t>学者充分参与关键决策讨论</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8"/>
          <w:sz w:val="20"/>
          <w:szCs w:val="20"/>
        </w:rPr>
        <w:t>。为此，</w:t>
      </w:r>
      <w:r>
        <w:rPr>
          <w:rFonts w:ascii="宋体" w:hAnsi="宋体" w:eastAsia="宋体" w:cs="宋体"/>
          <w:color w:val="231F20"/>
          <w:sz w:val="20"/>
          <w:szCs w:val="20"/>
        </w:rPr>
        <w:t>EUA</w:t>
      </w:r>
      <w:r>
        <w:rPr>
          <w:rFonts w:ascii="微软雅黑" w:hAnsi="微软雅黑" w:eastAsia="微软雅黑" w:cs="微软雅黑"/>
          <w:color w:val="231F20"/>
          <w:spacing w:val="8"/>
          <w:sz w:val="20"/>
          <w:szCs w:val="20"/>
        </w:rPr>
        <w:t>强调，好的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内部评估至少满足如下条件：一是要把评估过程置</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4"/>
          <w:sz w:val="20"/>
          <w:szCs w:val="20"/>
        </w:rPr>
        <w:t>于更广泛的质量管理和质量发展来理解，而不是为</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4"/>
          <w:sz w:val="20"/>
          <w:szCs w:val="20"/>
        </w:rPr>
        <w:t>了对付数据或报告的官僚做法；二是评估规则和程</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4"/>
          <w:sz w:val="20"/>
          <w:szCs w:val="20"/>
        </w:rPr>
        <w:t>序应当透明；三是评估设计不应机械地遵循外部评</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4"/>
          <w:sz w:val="20"/>
          <w:szCs w:val="20"/>
        </w:rPr>
        <w:t>估标准和指标，而是在理解评估内涵和实质的基础</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4"/>
          <w:sz w:val="20"/>
          <w:szCs w:val="20"/>
        </w:rPr>
        <w:t>上遵循外部评估程序；四是评估需要广泛的利益相</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z w:val="20"/>
          <w:szCs w:val="20"/>
        </w:rPr>
        <w:t>关者参与；五是评估基于结果导向，形成评估闭环。</w:t>
      </w:r>
    </w:p>
    <w:p>
      <w:pPr>
        <w:spacing w:line="14" w:lineRule="auto"/>
        <w:rPr>
          <w:rFonts w:ascii="Arial"/>
          <w:sz w:val="2"/>
        </w:rPr>
      </w:pPr>
      <w:r>
        <w:rPr>
          <w:rFonts w:ascii="Arial" w:hAnsi="Arial" w:eastAsia="Arial" w:cs="Arial"/>
          <w:sz w:val="2"/>
          <w:szCs w:val="2"/>
        </w:rPr>
        <w:br w:type="column"/>
      </w:r>
    </w:p>
    <w:p>
      <w:pPr>
        <w:spacing w:before="42" w:line="212" w:lineRule="auto"/>
        <w:ind w:right="98" w:firstLine="419"/>
        <w:jc w:val="both"/>
        <w:rPr>
          <w:rFonts w:ascii="微软雅黑" w:hAnsi="微软雅黑" w:eastAsia="微软雅黑" w:cs="微软雅黑"/>
          <w:sz w:val="20"/>
          <w:szCs w:val="20"/>
        </w:rPr>
      </w:pPr>
      <w:r>
        <w:rPr>
          <w:rFonts w:ascii="宋体" w:hAnsi="宋体" w:eastAsia="宋体" w:cs="宋体"/>
          <w:color w:val="231F20"/>
          <w:spacing w:val="9"/>
          <w:sz w:val="20"/>
          <w:szCs w:val="20"/>
        </w:rPr>
        <w:t>4.</w:t>
      </w:r>
      <w:r>
        <w:rPr>
          <w:rFonts w:ascii="宋体" w:hAnsi="宋体" w:eastAsia="宋体" w:cs="宋体"/>
          <w:color w:val="231F20"/>
          <w:spacing w:val="-33"/>
          <w:sz w:val="20"/>
          <w:szCs w:val="20"/>
        </w:rPr>
        <w:t xml:space="preserve"> </w:t>
      </w:r>
      <w:r>
        <w:rPr>
          <w:rFonts w:ascii="微软雅黑" w:hAnsi="微软雅黑" w:eastAsia="微软雅黑" w:cs="微软雅黑"/>
          <w:color w:val="231F20"/>
          <w:spacing w:val="9"/>
          <w:sz w:val="20"/>
          <w:szCs w:val="20"/>
        </w:rPr>
        <w:t>学校领导的作用</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9"/>
          <w:sz w:val="20"/>
          <w:szCs w:val="20"/>
        </w:rPr>
        <w:t>。学校领导在质量文化建设</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中起什么样的作用？</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从本质上看，质量文化是自下</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而上的“草根文化”，但这并不排斥学校领导在整体</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8"/>
          <w:sz w:val="20"/>
          <w:szCs w:val="20"/>
        </w:rPr>
        <w:t>质量文化建构过程中的重要作用</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8"/>
          <w:sz w:val="20"/>
          <w:szCs w:val="20"/>
        </w:rPr>
        <w:t>。相反，</w:t>
      </w:r>
      <w:r>
        <w:rPr>
          <w:rFonts w:ascii="宋体" w:hAnsi="宋体" w:eastAsia="宋体" w:cs="宋体"/>
          <w:color w:val="231F20"/>
          <w:sz w:val="20"/>
          <w:szCs w:val="20"/>
        </w:rPr>
        <w:t>EUA</w:t>
      </w:r>
      <w:r>
        <w:rPr>
          <w:rFonts w:ascii="微软雅黑" w:hAnsi="微软雅黑" w:eastAsia="微软雅黑" w:cs="微软雅黑"/>
          <w:color w:val="231F20"/>
          <w:spacing w:val="18"/>
          <w:sz w:val="20"/>
          <w:szCs w:val="20"/>
        </w:rPr>
        <w:t>认为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学校领导在质量文化建设中起着举足轻重的作用，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包括：</w:t>
      </w:r>
      <w:r>
        <w:rPr>
          <w:rFonts w:ascii="宋体" w:hAnsi="宋体" w:eastAsia="宋体" w:cs="宋体"/>
          <w:color w:val="231F20"/>
          <w:spacing w:val="12"/>
          <w:sz w:val="20"/>
          <w:szCs w:val="20"/>
        </w:rPr>
        <w:t>①</w:t>
      </w:r>
      <w:r>
        <w:rPr>
          <w:rFonts w:ascii="微软雅黑" w:hAnsi="微软雅黑" w:eastAsia="微软雅黑" w:cs="微软雅黑"/>
          <w:color w:val="231F20"/>
          <w:spacing w:val="12"/>
          <w:sz w:val="20"/>
          <w:szCs w:val="20"/>
        </w:rPr>
        <w:t>战略协调作用</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。其核心是由学校领导制定</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发展指南或发展战略，同时明确学校内部机构的角</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色和责任，并在其协调过程中与教员和基层领导保</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1"/>
          <w:sz w:val="20"/>
          <w:szCs w:val="20"/>
        </w:rPr>
        <w:t>持密切合作</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11"/>
          <w:sz w:val="20"/>
          <w:szCs w:val="20"/>
        </w:rPr>
        <w:t>。</w:t>
      </w:r>
      <w:r>
        <w:rPr>
          <w:rFonts w:ascii="宋体" w:hAnsi="宋体" w:eastAsia="宋体" w:cs="宋体"/>
          <w:color w:val="231F20"/>
          <w:spacing w:val="11"/>
          <w:sz w:val="20"/>
          <w:szCs w:val="20"/>
        </w:rPr>
        <w:t>②</w:t>
      </w:r>
      <w:r>
        <w:rPr>
          <w:rFonts w:ascii="微软雅黑" w:hAnsi="微软雅黑" w:eastAsia="微软雅黑" w:cs="微软雅黑"/>
          <w:color w:val="231F20"/>
          <w:spacing w:val="11"/>
          <w:sz w:val="20"/>
          <w:szCs w:val="20"/>
        </w:rPr>
        <w:t>促进交流作用</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11"/>
          <w:sz w:val="20"/>
          <w:szCs w:val="20"/>
        </w:rPr>
        <w:t>。其任务是在确保战</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略方向的基础上，主动向校内外各利益相关者传递</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sz w:val="20"/>
          <w:szCs w:val="20"/>
        </w:rPr>
        <w:t>学校的战略目标和意图，并通过有效的交流和沟通，</w:t>
      </w:r>
      <w:r>
        <w:rPr>
          <w:rFonts w:ascii="微软雅黑" w:hAnsi="微软雅黑" w:eastAsia="微软雅黑" w:cs="微软雅黑"/>
          <w:color w:val="231F20"/>
          <w:spacing w:val="13"/>
          <w:sz w:val="20"/>
          <w:szCs w:val="20"/>
        </w:rPr>
        <w:t xml:space="preserve"> </w:t>
      </w:r>
      <w:r>
        <w:rPr>
          <w:rFonts w:ascii="微软雅黑" w:hAnsi="微软雅黑" w:eastAsia="微软雅黑" w:cs="微软雅黑"/>
          <w:color w:val="231F20"/>
          <w:spacing w:val="4"/>
          <w:sz w:val="20"/>
          <w:szCs w:val="20"/>
        </w:rPr>
        <w:t>把学校发展愿景、目标和价值取向传播出去，以此达</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1"/>
          <w:sz w:val="20"/>
          <w:szCs w:val="20"/>
        </w:rPr>
        <w:t>到凝</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11"/>
          <w:sz w:val="20"/>
          <w:szCs w:val="20"/>
        </w:rPr>
        <w:t>聚人</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11"/>
          <w:sz w:val="20"/>
          <w:szCs w:val="20"/>
        </w:rPr>
        <w:t>心</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11"/>
          <w:sz w:val="20"/>
          <w:szCs w:val="20"/>
        </w:rPr>
        <w:t>和鼓励</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1"/>
          <w:sz w:val="20"/>
          <w:szCs w:val="20"/>
        </w:rPr>
        <w:t>士气</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11"/>
          <w:sz w:val="20"/>
          <w:szCs w:val="20"/>
        </w:rPr>
        <w:t>的作</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11"/>
          <w:sz w:val="20"/>
          <w:szCs w:val="20"/>
        </w:rPr>
        <w:t>用</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1"/>
          <w:sz w:val="20"/>
          <w:szCs w:val="20"/>
        </w:rPr>
        <w:t>。</w:t>
      </w:r>
      <w:r>
        <w:rPr>
          <w:rFonts w:ascii="宋体" w:hAnsi="宋体" w:eastAsia="宋体" w:cs="宋体"/>
          <w:color w:val="231F20"/>
          <w:spacing w:val="11"/>
          <w:sz w:val="20"/>
          <w:szCs w:val="20"/>
        </w:rPr>
        <w:t>③</w:t>
      </w:r>
      <w:r>
        <w:rPr>
          <w:rFonts w:ascii="微软雅黑" w:hAnsi="微软雅黑" w:eastAsia="微软雅黑" w:cs="微软雅黑"/>
          <w:color w:val="231F20"/>
          <w:spacing w:val="11"/>
          <w:sz w:val="20"/>
          <w:szCs w:val="20"/>
        </w:rPr>
        <w:t>与</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11"/>
          <w:sz w:val="20"/>
          <w:szCs w:val="20"/>
        </w:rPr>
        <w:t>员</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11"/>
          <w:sz w:val="20"/>
          <w:szCs w:val="20"/>
        </w:rPr>
        <w:t>工建立关</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系，包括良好的沟通、激励，并为员工发展提供机</w:t>
      </w:r>
      <w:r>
        <w:rPr>
          <w:rFonts w:ascii="微软雅黑" w:hAnsi="微软雅黑" w:eastAsia="微软雅黑" w:cs="微软雅黑"/>
          <w:color w:val="231F20"/>
          <w:spacing w:val="-2"/>
          <w:sz w:val="20"/>
          <w:szCs w:val="20"/>
        </w:rPr>
        <w:t>会，</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也包括减少学术人员的行政工作量，为教师创造自</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由的时间和资源</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w:t>
      </w:r>
      <w:r>
        <w:rPr>
          <w:rFonts w:ascii="宋体" w:hAnsi="宋体" w:eastAsia="宋体" w:cs="宋体"/>
          <w:color w:val="231F20"/>
          <w:spacing w:val="12"/>
          <w:sz w:val="20"/>
          <w:szCs w:val="20"/>
        </w:rPr>
        <w:t>④</w:t>
      </w:r>
      <w:r>
        <w:rPr>
          <w:rFonts w:ascii="微软雅黑" w:hAnsi="微软雅黑" w:eastAsia="微软雅黑" w:cs="微软雅黑"/>
          <w:color w:val="231F20"/>
          <w:spacing w:val="12"/>
          <w:sz w:val="20"/>
          <w:szCs w:val="20"/>
        </w:rPr>
        <w:t>把质量监测结果整合到学校决</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策，但是这种质量监测应从积极方面来考虑，即被视</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4"/>
          <w:sz w:val="20"/>
          <w:szCs w:val="20"/>
        </w:rPr>
        <w:t>为一种支持和发展性的政策，而不是控制性的。</w:t>
      </w:r>
    </w:p>
    <w:p>
      <w:pPr>
        <w:spacing w:before="32" w:line="212" w:lineRule="auto"/>
        <w:ind w:right="83" w:firstLine="423"/>
        <w:jc w:val="both"/>
        <w:rPr>
          <w:rFonts w:ascii="微软雅黑" w:hAnsi="微软雅黑" w:eastAsia="微软雅黑" w:cs="微软雅黑"/>
          <w:sz w:val="20"/>
          <w:szCs w:val="20"/>
        </w:rPr>
      </w:pPr>
      <w:r>
        <w:rPr>
          <w:rFonts w:ascii="宋体" w:hAnsi="宋体" w:eastAsia="宋体" w:cs="宋体"/>
          <w:color w:val="231F20"/>
          <w:spacing w:val="9"/>
          <w:sz w:val="20"/>
          <w:szCs w:val="20"/>
        </w:rPr>
        <w:t>5.</w:t>
      </w:r>
      <w:r>
        <w:rPr>
          <w:rFonts w:ascii="宋体" w:hAnsi="宋体" w:eastAsia="宋体" w:cs="宋体"/>
          <w:color w:val="231F20"/>
          <w:spacing w:val="-36"/>
          <w:sz w:val="20"/>
          <w:szCs w:val="20"/>
        </w:rPr>
        <w:t xml:space="preserve"> </w:t>
      </w:r>
      <w:r>
        <w:rPr>
          <w:rFonts w:ascii="微软雅黑" w:hAnsi="微软雅黑" w:eastAsia="微软雅黑" w:cs="微软雅黑"/>
          <w:color w:val="231F20"/>
          <w:spacing w:val="9"/>
          <w:sz w:val="20"/>
          <w:szCs w:val="20"/>
        </w:rPr>
        <w:t>学术与行政人员的作用</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9"/>
          <w:sz w:val="20"/>
          <w:szCs w:val="20"/>
        </w:rPr>
        <w:t>。作为质量文化的重</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要组成，学术与行政人员是高等教育机构的重要利</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益相关者，员工参与并赋予他们实质责任无疑将增</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加质量保障的主体意识，并最终导致积极的变化和</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0"/>
          <w:sz w:val="20"/>
          <w:szCs w:val="20"/>
        </w:rPr>
        <w:t>改进</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10"/>
          <w:sz w:val="20"/>
          <w:szCs w:val="20"/>
        </w:rPr>
        <w:t>。</w:t>
      </w:r>
      <w:r>
        <w:rPr>
          <w:rFonts w:ascii="宋体" w:hAnsi="宋体" w:eastAsia="宋体" w:cs="宋体"/>
          <w:color w:val="231F20"/>
          <w:sz w:val="20"/>
          <w:szCs w:val="20"/>
        </w:rPr>
        <w:t>EUA</w:t>
      </w:r>
      <w:r>
        <w:rPr>
          <w:rFonts w:ascii="宋体" w:hAnsi="宋体" w:eastAsia="宋体" w:cs="宋体"/>
          <w:color w:val="231F20"/>
          <w:spacing w:val="-56"/>
          <w:sz w:val="20"/>
          <w:szCs w:val="20"/>
        </w:rPr>
        <w:t xml:space="preserve"> </w:t>
      </w:r>
      <w:r>
        <w:rPr>
          <w:rFonts w:ascii="微软雅黑" w:hAnsi="微软雅黑" w:eastAsia="微软雅黑" w:cs="微软雅黑"/>
          <w:color w:val="231F20"/>
          <w:spacing w:val="10"/>
          <w:sz w:val="20"/>
          <w:szCs w:val="20"/>
        </w:rPr>
        <w:t>指出，首先，员工要素包括了人员招募、</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员工发展以及激励政策等内容</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。这就要求高校首先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必须制定人才资源战略、努力提高学校吸引力</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。其</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次，应给员工发展提供机会，包括培训、参加国际交  </w:t>
      </w:r>
      <w:r>
        <w:rPr>
          <w:rFonts w:ascii="微软雅黑" w:hAnsi="微软雅黑" w:eastAsia="微软雅黑" w:cs="微软雅黑"/>
          <w:color w:val="231F20"/>
          <w:spacing w:val="12"/>
          <w:sz w:val="20"/>
          <w:szCs w:val="20"/>
        </w:rPr>
        <w:t>流等以提升员工的技能</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。再次，奖励和激励机制是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确保学校目标实现的重要条件</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4"/>
          <w:sz w:val="20"/>
          <w:szCs w:val="20"/>
        </w:rPr>
        <w:t>。但</w:t>
      </w:r>
      <w:r>
        <w:rPr>
          <w:rFonts w:ascii="微软雅黑" w:hAnsi="微软雅黑" w:eastAsia="微软雅黑" w:cs="微软雅黑"/>
          <w:color w:val="231F20"/>
          <w:spacing w:val="-15"/>
          <w:sz w:val="20"/>
          <w:szCs w:val="20"/>
        </w:rPr>
        <w:t xml:space="preserve"> </w:t>
      </w:r>
      <w:r>
        <w:rPr>
          <w:rFonts w:ascii="宋体" w:hAnsi="宋体" w:eastAsia="宋体" w:cs="宋体"/>
          <w:color w:val="231F20"/>
          <w:sz w:val="20"/>
          <w:szCs w:val="20"/>
        </w:rPr>
        <w:t>EUA</w:t>
      </w:r>
      <w:r>
        <w:rPr>
          <w:rFonts w:ascii="宋体" w:hAnsi="宋体" w:eastAsia="宋体" w:cs="宋体"/>
          <w:color w:val="231F20"/>
          <w:spacing w:val="-58"/>
          <w:sz w:val="20"/>
          <w:szCs w:val="20"/>
        </w:rPr>
        <w:t xml:space="preserve"> </w:t>
      </w:r>
      <w:r>
        <w:rPr>
          <w:rFonts w:ascii="微软雅黑" w:hAnsi="微软雅黑" w:eastAsia="微软雅黑" w:cs="微软雅黑"/>
          <w:color w:val="231F20"/>
          <w:spacing w:val="14"/>
          <w:sz w:val="20"/>
          <w:szCs w:val="20"/>
        </w:rPr>
        <w:t>也提醒，激</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励机制所形成的竞争性文化在短期内能产生积极效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果，但从长远看则可能阻碍团队有效合作</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。特别是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基于外部激励的激励机制是脆弱的，因为员工在开</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始新活动之前期待奖励，可能会导致一种功能失调</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sz w:val="20"/>
          <w:szCs w:val="20"/>
        </w:rPr>
        <w:t>的质量文化。</w:t>
      </w:r>
    </w:p>
    <w:p>
      <w:pPr>
        <w:spacing w:before="46" w:line="211" w:lineRule="auto"/>
        <w:ind w:left="3" w:right="165" w:firstLine="421"/>
        <w:jc w:val="both"/>
        <w:rPr>
          <w:rFonts w:ascii="微软雅黑" w:hAnsi="微软雅黑" w:eastAsia="微软雅黑" w:cs="微软雅黑"/>
          <w:sz w:val="20"/>
          <w:szCs w:val="20"/>
        </w:rPr>
      </w:pPr>
      <w:r>
        <w:rPr>
          <w:rFonts w:ascii="宋体" w:hAnsi="宋体" w:eastAsia="宋体" w:cs="宋体"/>
          <w:color w:val="231F20"/>
          <w:spacing w:val="9"/>
          <w:sz w:val="20"/>
          <w:szCs w:val="20"/>
        </w:rPr>
        <w:t>6.</w:t>
      </w:r>
      <w:r>
        <w:rPr>
          <w:rFonts w:ascii="宋体" w:hAnsi="宋体" w:eastAsia="宋体" w:cs="宋体"/>
          <w:color w:val="231F20"/>
          <w:spacing w:val="-36"/>
          <w:sz w:val="20"/>
          <w:szCs w:val="20"/>
        </w:rPr>
        <w:t xml:space="preserve"> </w:t>
      </w:r>
      <w:r>
        <w:rPr>
          <w:rFonts w:ascii="微软雅黑" w:hAnsi="微软雅黑" w:eastAsia="微软雅黑" w:cs="微软雅黑"/>
          <w:color w:val="231F20"/>
          <w:spacing w:val="9"/>
          <w:sz w:val="20"/>
          <w:szCs w:val="20"/>
        </w:rPr>
        <w:t>学生的作用</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9"/>
          <w:sz w:val="20"/>
          <w:szCs w:val="20"/>
        </w:rPr>
        <w:t>。学生在质量文化建设的作</w:t>
      </w:r>
      <w:r>
        <w:rPr>
          <w:rFonts w:ascii="微软雅黑" w:hAnsi="微软雅黑" w:eastAsia="微软雅黑" w:cs="微软雅黑"/>
          <w:color w:val="231F20"/>
          <w:spacing w:val="8"/>
          <w:sz w:val="20"/>
          <w:szCs w:val="20"/>
        </w:rPr>
        <w:t>用通</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常被理解为参与质量评估，其前提假设为学</w:t>
      </w:r>
      <w:r>
        <w:rPr>
          <w:rFonts w:ascii="微软雅黑" w:hAnsi="微软雅黑" w:eastAsia="微软雅黑" w:cs="微软雅黑"/>
          <w:color w:val="231F20"/>
          <w:spacing w:val="13"/>
          <w:sz w:val="20"/>
          <w:szCs w:val="20"/>
        </w:rPr>
        <w:t>生是消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费者，拥有对质量的发言权，高等教育机构需要有体</w:t>
      </w:r>
      <w:r>
        <w:rPr>
          <w:rFonts w:ascii="微软雅黑" w:hAnsi="微软雅黑" w:eastAsia="微软雅黑" w:cs="微软雅黑"/>
          <w:color w:val="231F20"/>
          <w:spacing w:val="13"/>
          <w:sz w:val="20"/>
          <w:szCs w:val="20"/>
        </w:rPr>
        <w:t xml:space="preserve"> </w:t>
      </w:r>
      <w:r>
        <w:rPr>
          <w:rFonts w:ascii="微软雅黑" w:hAnsi="微软雅黑" w:eastAsia="微软雅黑" w:cs="微软雅黑"/>
          <w:color w:val="231F20"/>
          <w:spacing w:val="12"/>
          <w:sz w:val="20"/>
          <w:szCs w:val="20"/>
        </w:rPr>
        <w:t>现以学生发展为优先事项的使命和目标</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12"/>
          <w:sz w:val="20"/>
          <w:szCs w:val="20"/>
        </w:rPr>
        <w:t>。为此，学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校需要为学生提供适当支持，培养其领导能力，帮助</w:t>
      </w:r>
      <w:r>
        <w:rPr>
          <w:rFonts w:ascii="微软雅黑" w:hAnsi="微软雅黑" w:eastAsia="微软雅黑" w:cs="微软雅黑"/>
          <w:color w:val="231F20"/>
          <w:spacing w:val="13"/>
          <w:sz w:val="20"/>
          <w:szCs w:val="20"/>
        </w:rPr>
        <w:t xml:space="preserve"> </w:t>
      </w:r>
      <w:r>
        <w:rPr>
          <w:rFonts w:ascii="微软雅黑" w:hAnsi="微软雅黑" w:eastAsia="微软雅黑" w:cs="微软雅黑"/>
          <w:color w:val="231F20"/>
          <w:spacing w:val="12"/>
          <w:sz w:val="20"/>
          <w:szCs w:val="20"/>
        </w:rPr>
        <w:t>学生了解并参与到学校战略发展</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12"/>
          <w:sz w:val="20"/>
          <w:szCs w:val="20"/>
        </w:rPr>
        <w:t>。学校还需要提供</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正式或非正式的活动和机会，让学生参与各</w:t>
      </w:r>
      <w:r>
        <w:rPr>
          <w:rFonts w:ascii="微软雅黑" w:hAnsi="微软雅黑" w:eastAsia="微软雅黑" w:cs="微软雅黑"/>
          <w:color w:val="231F20"/>
          <w:spacing w:val="13"/>
          <w:sz w:val="20"/>
          <w:szCs w:val="20"/>
        </w:rPr>
        <w:t>种自愿</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服务活动（如担任学术助理、朋辈咨询顾问等）。</w:t>
      </w:r>
      <w:r>
        <w:rPr>
          <w:rFonts w:ascii="微软雅黑" w:hAnsi="微软雅黑" w:eastAsia="微软雅黑" w:cs="微软雅黑"/>
          <w:color w:val="231F20"/>
          <w:spacing w:val="1"/>
          <w:sz w:val="20"/>
          <w:szCs w:val="20"/>
        </w:rPr>
        <w:t xml:space="preserve"> 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校还需要创造各种条件让学生参与内部评估</w:t>
      </w:r>
      <w:r>
        <w:rPr>
          <w:rFonts w:ascii="微软雅黑" w:hAnsi="微软雅黑" w:eastAsia="微软雅黑" w:cs="微软雅黑"/>
          <w:color w:val="231F20"/>
          <w:spacing w:val="13"/>
          <w:sz w:val="20"/>
          <w:szCs w:val="20"/>
        </w:rPr>
        <w:t>，包括</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1"/>
          <w:sz w:val="20"/>
          <w:szCs w:val="20"/>
        </w:rPr>
        <w:t>学生对教师的评价</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11"/>
          <w:sz w:val="20"/>
          <w:szCs w:val="20"/>
        </w:rPr>
        <w:t>、学生学习经历</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11"/>
          <w:sz w:val="20"/>
          <w:szCs w:val="20"/>
        </w:rPr>
        <w:t>、毕业生跟踪评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价，或者访谈从国外或校际交流回来的学生、访谈国</w:t>
      </w:r>
    </w:p>
    <w:p>
      <w:pPr>
        <w:spacing w:before="142" w:line="284" w:lineRule="exact"/>
        <w:ind w:firstLine="4083"/>
      </w:pPr>
      <w:r>
        <w:rPr>
          <w:position w:val="-5"/>
        </w:rPr>
        <w:pict>
          <v:group id="_x0000_s1079" o:spid="_x0000_s1079" o:spt="203" style="height:14.25pt;width:39.6pt;" coordsize="791,285">
            <o:lock v:ext="edit"/>
            <v:group id="_x0000_s1080" o:spid="_x0000_s1080" o:spt="203" style="position:absolute;left:0;top:0;height:285;width:791;" coordsize="791,285">
              <o:lock v:ext="edit"/>
              <v:shape id="_x0000_s1081" o:spid="_x0000_s1081" style="position:absolute;left:395;top:0;height:285;width:397;" fillcolor="#C7C8CA" filled="t" stroked="f" coordsize="397,285" path="m396,284l396,0,0,0,0,284,396,284xe">
                <v:path/>
                <v:fill on="t" focussize="0,0"/>
                <v:stroke on="f"/>
                <v:imagedata o:title=""/>
                <o:lock v:ext="edit"/>
              </v:shape>
              <v:shape id="_x0000_s1082" o:spid="_x0000_s1082" style="position:absolute;left:0;top:0;height:285;width:395;" fillcolor="#231F20" filled="t" stroked="f" coordsize="395,285" path="m395,284l395,0,0,0,0,284,395,284xe">
                <v:path/>
                <v:fill on="t" focussize="0,0"/>
                <v:stroke on="f"/>
                <v:imagedata o:title=""/>
                <o:lock v:ext="edit"/>
              </v:shape>
            </v:group>
            <v:shape id="_x0000_s1083" o:spid="_x0000_s1083" o:spt="202" type="#_x0000_t202" style="position:absolute;left:-20;top:-20;height:325;width:831;" filled="f" stroked="f" coordsize="21600,21600">
              <v:path/>
              <v:fill on="f" focussize="0,0"/>
              <v:stroke on="f"/>
              <v:imagedata o:title=""/>
              <o:lock v:ext="edit" aspectratio="f"/>
              <v:textbox inset="0mm,0mm,0mm,0mm">
                <w:txbxContent>
                  <w:p>
                    <w:pPr>
                      <w:spacing w:before="94" w:line="184" w:lineRule="auto"/>
                      <w:ind w:left="121"/>
                      <w:rPr>
                        <w:rFonts w:ascii="仿宋" w:hAnsi="仿宋" w:eastAsia="仿宋" w:cs="仿宋"/>
                        <w:sz w:val="20"/>
                        <w:szCs w:val="20"/>
                      </w:rPr>
                    </w:pPr>
                    <w:r>
                      <w:rPr>
                        <w:rFonts w:ascii="仿宋" w:hAnsi="仿宋" w:eastAsia="仿宋" w:cs="仿宋"/>
                        <w:color w:val="FFFFFF"/>
                        <w:sz w:val="20"/>
                        <w:szCs w:val="20"/>
                      </w:rPr>
                      <w:t>45</w:t>
                    </w:r>
                  </w:p>
                </w:txbxContent>
              </v:textbox>
            </v:shape>
            <w10:wrap type="none"/>
            <w10:anchorlock/>
          </v:group>
        </w:pict>
      </w:r>
    </w:p>
    <w:p>
      <w:pPr>
        <w:spacing w:line="284" w:lineRule="exact"/>
        <w:sectPr>
          <w:type w:val="continuous"/>
          <w:pgSz w:w="10841" w:h="15421"/>
          <w:pgMar w:top="727" w:right="427" w:bottom="547" w:left="407" w:header="346" w:footer="354" w:gutter="0"/>
          <w:cols w:equalWidth="0" w:num="2">
            <w:col w:w="5031" w:space="100"/>
            <w:col w:w="4876"/>
          </w:cols>
        </w:sectPr>
      </w:pPr>
    </w:p>
    <w:p>
      <w:pPr>
        <w:spacing w:before="14"/>
      </w:pPr>
    </w:p>
    <w:p>
      <w:pPr>
        <w:sectPr>
          <w:headerReference r:id="rId96" w:type="default"/>
          <w:footerReference r:id="rId97" w:type="default"/>
          <w:pgSz w:w="10841" w:h="15421"/>
          <w:pgMar w:top="727" w:right="510" w:bottom="547" w:left="407" w:header="346" w:footer="354" w:gutter="0"/>
          <w:cols w:equalWidth="0" w:num="1">
            <w:col w:w="9922"/>
          </w:cols>
        </w:sectPr>
      </w:pPr>
    </w:p>
    <w:p>
      <w:pPr>
        <w:spacing w:before="40" w:line="208" w:lineRule="auto"/>
        <w:ind w:left="187" w:right="133" w:firstLine="12"/>
        <w:jc w:val="both"/>
        <w:rPr>
          <w:rFonts w:ascii="微软雅黑" w:hAnsi="微软雅黑" w:eastAsia="微软雅黑" w:cs="微软雅黑"/>
          <w:sz w:val="20"/>
          <w:szCs w:val="20"/>
        </w:rPr>
      </w:pPr>
      <w:r>
        <w:rPr>
          <w:rFonts w:ascii="微软雅黑" w:hAnsi="微软雅黑" w:eastAsia="微软雅黑" w:cs="微软雅黑"/>
          <w:color w:val="231F20"/>
          <w:spacing w:val="13"/>
          <w:sz w:val="20"/>
          <w:szCs w:val="20"/>
        </w:rPr>
        <w:t>际学生等</w:t>
      </w:r>
      <w:r>
        <w:rPr>
          <w:rFonts w:ascii="微软雅黑" w:hAnsi="微软雅黑" w:eastAsia="微软雅黑" w:cs="微软雅黑"/>
          <w:color w:val="231F20"/>
          <w:spacing w:val="-11"/>
          <w:sz w:val="20"/>
          <w:szCs w:val="20"/>
        </w:rPr>
        <w:t xml:space="preserve"> </w:t>
      </w:r>
      <w:r>
        <w:rPr>
          <w:rFonts w:ascii="微软雅黑" w:hAnsi="微软雅黑" w:eastAsia="微软雅黑" w:cs="微软雅黑"/>
          <w:color w:val="231F20"/>
          <w:spacing w:val="13"/>
          <w:sz w:val="20"/>
          <w:szCs w:val="20"/>
        </w:rPr>
        <w:t>。但</w:t>
      </w:r>
      <w:r>
        <w:rPr>
          <w:rFonts w:ascii="微软雅黑" w:hAnsi="微软雅黑" w:eastAsia="微软雅黑" w:cs="微软雅黑"/>
          <w:color w:val="231F20"/>
          <w:spacing w:val="-14"/>
          <w:sz w:val="20"/>
          <w:szCs w:val="20"/>
        </w:rPr>
        <w:t xml:space="preserve"> </w:t>
      </w:r>
      <w:r>
        <w:rPr>
          <w:rFonts w:ascii="宋体" w:hAnsi="宋体" w:eastAsia="宋体" w:cs="宋体"/>
          <w:color w:val="231F20"/>
          <w:sz w:val="20"/>
          <w:szCs w:val="20"/>
        </w:rPr>
        <w:t>EUA</w:t>
      </w:r>
      <w:r>
        <w:rPr>
          <w:rFonts w:ascii="宋体" w:hAnsi="宋体" w:eastAsia="宋体" w:cs="宋体"/>
          <w:color w:val="231F20"/>
          <w:spacing w:val="-59"/>
          <w:sz w:val="20"/>
          <w:szCs w:val="20"/>
        </w:rPr>
        <w:t xml:space="preserve"> </w:t>
      </w:r>
      <w:r>
        <w:rPr>
          <w:rFonts w:ascii="微软雅黑" w:hAnsi="微软雅黑" w:eastAsia="微软雅黑" w:cs="微软雅黑"/>
          <w:color w:val="231F20"/>
          <w:spacing w:val="13"/>
          <w:sz w:val="20"/>
          <w:szCs w:val="20"/>
        </w:rPr>
        <w:t>也指出，传统评价基于一个错误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假设，即教学过程是教师教育学生的单边过程，恰恰</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4"/>
          <w:sz w:val="20"/>
          <w:szCs w:val="20"/>
        </w:rPr>
        <w:t>相反，成功的学生评价应是基于教学是师生双边活</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动和共同参与的过程，评价应帮助师生共同反思在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教学过程的角色和表现，而不仅仅是教师单方面。</w:t>
      </w:r>
    </w:p>
    <w:p>
      <w:pPr>
        <w:spacing w:before="33" w:line="212" w:lineRule="auto"/>
        <w:ind w:left="184" w:right="133" w:firstLine="423"/>
        <w:jc w:val="both"/>
        <w:rPr>
          <w:rFonts w:ascii="微软雅黑" w:hAnsi="微软雅黑" w:eastAsia="微软雅黑" w:cs="微软雅黑"/>
          <w:sz w:val="20"/>
          <w:szCs w:val="20"/>
        </w:rPr>
      </w:pPr>
      <w:r>
        <w:rPr>
          <w:rFonts w:ascii="宋体" w:hAnsi="宋体" w:eastAsia="宋体" w:cs="宋体"/>
          <w:color w:val="231F20"/>
          <w:spacing w:val="9"/>
          <w:sz w:val="20"/>
          <w:szCs w:val="20"/>
        </w:rPr>
        <w:t>7.</w:t>
      </w:r>
      <w:r>
        <w:rPr>
          <w:rFonts w:ascii="宋体" w:hAnsi="宋体" w:eastAsia="宋体" w:cs="宋体"/>
          <w:color w:val="231F20"/>
          <w:spacing w:val="-35"/>
          <w:sz w:val="20"/>
          <w:szCs w:val="20"/>
        </w:rPr>
        <w:t xml:space="preserve"> </w:t>
      </w:r>
      <w:r>
        <w:rPr>
          <w:rFonts w:ascii="微软雅黑" w:hAnsi="微软雅黑" w:eastAsia="微软雅黑" w:cs="微软雅黑"/>
          <w:color w:val="231F20"/>
          <w:spacing w:val="9"/>
          <w:sz w:val="20"/>
          <w:szCs w:val="20"/>
        </w:rPr>
        <w:t>外部利益相关者作用</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9"/>
          <w:sz w:val="20"/>
          <w:szCs w:val="20"/>
        </w:rPr>
        <w:t>。在质量文化实施过程</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中，外部利益相关者也是被广泛讨论的话题</w:t>
      </w:r>
      <w:r>
        <w:rPr>
          <w:rFonts w:ascii="微软雅黑" w:hAnsi="微软雅黑" w:eastAsia="微软雅黑" w:cs="微软雅黑"/>
          <w:color w:val="231F20"/>
          <w:spacing w:val="-13"/>
          <w:sz w:val="20"/>
          <w:szCs w:val="20"/>
        </w:rPr>
        <w:t xml:space="preserve"> </w:t>
      </w:r>
      <w:r>
        <w:rPr>
          <w:rFonts w:ascii="微软雅黑" w:hAnsi="微软雅黑" w:eastAsia="微软雅黑" w:cs="微软雅黑"/>
          <w:color w:val="231F20"/>
          <w:spacing w:val="12"/>
          <w:sz w:val="20"/>
          <w:szCs w:val="20"/>
        </w:rPr>
        <w:t>。从发</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展方向而言，高等教育机构与外部利益相关者建立</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4"/>
          <w:sz w:val="20"/>
          <w:szCs w:val="20"/>
        </w:rPr>
        <w:t>关系，特别是在与工业界建立合作关系或者倡导应</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4"/>
          <w:sz w:val="20"/>
          <w:szCs w:val="20"/>
        </w:rPr>
        <w:t>用研究时，总体上有利于高等教育机构</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4"/>
          <w:sz w:val="20"/>
          <w:szCs w:val="20"/>
        </w:rPr>
        <w:t>。但</w:t>
      </w:r>
      <w:r>
        <w:rPr>
          <w:rFonts w:ascii="微软雅黑" w:hAnsi="微软雅黑" w:eastAsia="微软雅黑" w:cs="微软雅黑"/>
          <w:color w:val="231F20"/>
          <w:spacing w:val="-14"/>
          <w:sz w:val="20"/>
          <w:szCs w:val="20"/>
        </w:rPr>
        <w:t xml:space="preserve"> </w:t>
      </w:r>
      <w:r>
        <w:rPr>
          <w:rFonts w:ascii="宋体" w:hAnsi="宋体" w:eastAsia="宋体" w:cs="宋体"/>
          <w:color w:val="231F20"/>
          <w:sz w:val="20"/>
          <w:szCs w:val="20"/>
        </w:rPr>
        <w:t>EUA</w:t>
      </w:r>
      <w:r>
        <w:rPr>
          <w:rFonts w:ascii="宋体" w:hAnsi="宋体" w:eastAsia="宋体" w:cs="宋体"/>
          <w:color w:val="231F20"/>
          <w:spacing w:val="-58"/>
          <w:sz w:val="20"/>
          <w:szCs w:val="20"/>
        </w:rPr>
        <w:t xml:space="preserve"> </w:t>
      </w:r>
      <w:r>
        <w:rPr>
          <w:rFonts w:ascii="微软雅黑" w:hAnsi="微软雅黑" w:eastAsia="微软雅黑" w:cs="微软雅黑"/>
          <w:color w:val="231F20"/>
          <w:spacing w:val="14"/>
          <w:sz w:val="20"/>
          <w:szCs w:val="20"/>
        </w:rPr>
        <w:t>也</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强调，高等教育机构在与外部利益相关者建立合作</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1"/>
          <w:sz w:val="20"/>
          <w:szCs w:val="20"/>
        </w:rPr>
        <w:t>伙伴关系时，需要保持适当的距离</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1"/>
          <w:sz w:val="20"/>
          <w:szCs w:val="20"/>
        </w:rPr>
        <w:t>。</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11"/>
          <w:sz w:val="20"/>
          <w:szCs w:val="20"/>
        </w:rPr>
        <w:t>因为外部利益</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相关者对于高等教育机构的建议可能是短视的，尤</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4"/>
          <w:sz w:val="20"/>
          <w:szCs w:val="20"/>
        </w:rPr>
        <w:t>其在考虑人才培养时，外部利益相关者的意见更需</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2"/>
          <w:sz w:val="20"/>
          <w:szCs w:val="20"/>
        </w:rPr>
        <w:t>谨慎对待</w:t>
      </w:r>
      <w:r>
        <w:rPr>
          <w:rFonts w:ascii="微软雅黑" w:hAnsi="微软雅黑" w:eastAsia="微软雅黑" w:cs="微软雅黑"/>
          <w:color w:val="231F20"/>
          <w:spacing w:val="-13"/>
          <w:sz w:val="20"/>
          <w:szCs w:val="20"/>
        </w:rPr>
        <w:t xml:space="preserve"> </w:t>
      </w:r>
      <w:r>
        <w:rPr>
          <w:rFonts w:ascii="微软雅黑" w:hAnsi="微软雅黑" w:eastAsia="微软雅黑" w:cs="微软雅黑"/>
          <w:color w:val="231F20"/>
          <w:spacing w:val="12"/>
          <w:sz w:val="20"/>
          <w:szCs w:val="20"/>
        </w:rPr>
        <w:t>。如校友是学校发展的重要资源，校友在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加强与业界的联系、帮助学校改进课程设置起着不</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4"/>
          <w:sz w:val="20"/>
          <w:szCs w:val="20"/>
        </w:rPr>
        <w:t>可替代的作用；但另一方面也需要小心校友提出的</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2"/>
          <w:sz w:val="20"/>
          <w:szCs w:val="20"/>
        </w:rPr>
        <w:t>建议</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12"/>
          <w:sz w:val="20"/>
          <w:szCs w:val="20"/>
        </w:rPr>
        <w:t>，因为校友可能倾于怀旧</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12"/>
          <w:sz w:val="20"/>
          <w:szCs w:val="20"/>
        </w:rPr>
        <w:t>，越是依恋于</w:t>
      </w:r>
      <w:r>
        <w:rPr>
          <w:rFonts w:ascii="微软雅黑" w:hAnsi="微软雅黑" w:eastAsia="微软雅黑" w:cs="微软雅黑"/>
          <w:color w:val="231F20"/>
          <w:spacing w:val="11"/>
          <w:sz w:val="20"/>
          <w:szCs w:val="20"/>
        </w:rPr>
        <w:t>旧的经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历，有可能越倾向于抵制改变。</w:t>
      </w:r>
    </w:p>
    <w:p>
      <w:pPr>
        <w:spacing w:before="38" w:line="212" w:lineRule="auto"/>
        <w:ind w:left="186" w:right="67" w:firstLine="429"/>
        <w:jc w:val="both"/>
        <w:rPr>
          <w:rFonts w:ascii="微软雅黑" w:hAnsi="微软雅黑" w:eastAsia="微软雅黑" w:cs="微软雅黑"/>
          <w:sz w:val="20"/>
          <w:szCs w:val="20"/>
        </w:rPr>
      </w:pPr>
      <w:r>
        <w:rPr>
          <w:rFonts w:ascii="宋体" w:hAnsi="宋体" w:eastAsia="宋体" w:cs="宋体"/>
          <w:color w:val="231F20"/>
          <w:spacing w:val="8"/>
          <w:sz w:val="20"/>
          <w:szCs w:val="20"/>
        </w:rPr>
        <w:t>8.</w:t>
      </w:r>
      <w:r>
        <w:rPr>
          <w:rFonts w:ascii="宋体" w:hAnsi="宋体" w:eastAsia="宋体" w:cs="宋体"/>
          <w:color w:val="231F20"/>
          <w:spacing w:val="-21"/>
          <w:sz w:val="20"/>
          <w:szCs w:val="20"/>
        </w:rPr>
        <w:t xml:space="preserve"> </w:t>
      </w:r>
      <w:r>
        <w:rPr>
          <w:rFonts w:ascii="微软雅黑" w:hAnsi="微软雅黑" w:eastAsia="微软雅黑" w:cs="微软雅黑"/>
          <w:color w:val="231F20"/>
          <w:spacing w:val="8"/>
          <w:sz w:val="20"/>
          <w:szCs w:val="20"/>
        </w:rPr>
        <w:t>质量数据收集与分析</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8"/>
          <w:sz w:val="20"/>
          <w:szCs w:val="20"/>
        </w:rPr>
        <w:t>。数据收集与分析是质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量文化建设又一重要话题</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。研究发现，多数高等教</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育机构已不同程度上认识到数据收集与分析的重要</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性，但也意识到这是一个短板：一是数据收集与指标</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定义困难，即找到真正反映质量的数据指标一直是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个难题，这一困难可能造成在数据收集过程中，过度</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使用大量无意义数据，导致基层工作负担过重进而</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1"/>
          <w:sz w:val="20"/>
          <w:szCs w:val="20"/>
        </w:rPr>
        <w:t>产生了抵制</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11"/>
          <w:sz w:val="20"/>
          <w:szCs w:val="20"/>
        </w:rPr>
        <w:t>。二是缺乏数据分析与信息系统</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11"/>
          <w:sz w:val="20"/>
          <w:szCs w:val="20"/>
        </w:rPr>
        <w:t>。从理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sz w:val="20"/>
          <w:szCs w:val="20"/>
        </w:rPr>
        <w:t>想层面上说，高等教育机构应该有集成的信息系统，</w:t>
      </w:r>
      <w:r>
        <w:rPr>
          <w:rFonts w:ascii="微软雅黑" w:hAnsi="微软雅黑" w:eastAsia="微软雅黑" w:cs="微软雅黑"/>
          <w:color w:val="231F20"/>
          <w:spacing w:val="14"/>
          <w:sz w:val="20"/>
          <w:szCs w:val="20"/>
        </w:rPr>
        <w:t xml:space="preserve"> 帮助他们收集数据、连接不同的数据库并向组织成</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员提供数据信息，但调查发现，这一方面集成信息系</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6"/>
          <w:sz w:val="20"/>
          <w:szCs w:val="20"/>
        </w:rPr>
        <w:t>统还相当缺乏</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6"/>
          <w:sz w:val="20"/>
          <w:szCs w:val="20"/>
        </w:rPr>
        <w:t>。基于以上不足，报告提出建设意见：</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开展常规数据收集和分析；数据应是标准化，以便进</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行机构间和机构内的比较分析和基准分析；充分理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解和认识外部评估标准和观测点；成立数据研究办</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公室，负责数据管理和分析，等等。</w:t>
      </w:r>
    </w:p>
    <w:p>
      <w:pPr>
        <w:spacing w:before="35" w:line="211" w:lineRule="auto"/>
        <w:ind w:left="185" w:right="67" w:firstLine="423"/>
        <w:jc w:val="both"/>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不难看出，欧洲高等教育质量文化实施遵循着</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
          <w:sz w:val="20"/>
          <w:szCs w:val="20"/>
        </w:rPr>
        <w:t>一种“</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
          <w:sz w:val="20"/>
          <w:szCs w:val="20"/>
        </w:rPr>
        <w:t>自下而上</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
          <w:sz w:val="20"/>
          <w:szCs w:val="20"/>
        </w:rPr>
        <w:t>”的原则，这意味着欧洲高等教育质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量文化项目实施不是基于某种先验假设，而是基于</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不同高等教育机构在质量保障实施过程中形成的优</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秀案例总结，这给参与高校在质量保障不同方面探</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讨留下足够空间</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5"/>
          <w:sz w:val="20"/>
          <w:szCs w:val="20"/>
        </w:rPr>
        <w:t>。从实施效果看，</w:t>
      </w:r>
      <w:r>
        <w:rPr>
          <w:rFonts w:ascii="宋体" w:hAnsi="宋体" w:eastAsia="宋体" w:cs="宋体"/>
          <w:color w:val="231F20"/>
          <w:spacing w:val="5"/>
          <w:sz w:val="20"/>
          <w:szCs w:val="20"/>
        </w:rPr>
        <w:t>50%</w:t>
      </w:r>
      <w:r>
        <w:rPr>
          <w:rFonts w:ascii="宋体" w:hAnsi="宋体" w:eastAsia="宋体" w:cs="宋体"/>
          <w:color w:val="231F20"/>
          <w:spacing w:val="-49"/>
          <w:sz w:val="20"/>
          <w:szCs w:val="20"/>
        </w:rPr>
        <w:t xml:space="preserve"> </w:t>
      </w:r>
      <w:r>
        <w:rPr>
          <w:rFonts w:ascii="微软雅黑" w:hAnsi="微软雅黑" w:eastAsia="微软雅黑" w:cs="微软雅黑"/>
          <w:color w:val="231F20"/>
          <w:spacing w:val="5"/>
          <w:sz w:val="20"/>
          <w:szCs w:val="20"/>
        </w:rPr>
        <w:t>以上的高等教</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育机构反馈，参与研究项目高等教育机构提高了质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sz w:val="20"/>
          <w:szCs w:val="20"/>
        </w:rPr>
        <w:t>量文化重要性的认识，更加注重质量战略规划制定，</w:t>
      </w:r>
      <w:r>
        <w:rPr>
          <w:rFonts w:ascii="微软雅黑" w:hAnsi="微软雅黑" w:eastAsia="微软雅黑" w:cs="微软雅黑"/>
          <w:color w:val="231F20"/>
          <w:spacing w:val="14"/>
          <w:w w:val="101"/>
          <w:sz w:val="20"/>
          <w:szCs w:val="20"/>
        </w:rPr>
        <w:t xml:space="preserve"> </w:t>
      </w:r>
      <w:r>
        <w:rPr>
          <w:rFonts w:ascii="微软雅黑" w:hAnsi="微软雅黑" w:eastAsia="微软雅黑" w:cs="微软雅黑"/>
          <w:color w:val="231F20"/>
          <w:spacing w:val="14"/>
          <w:sz w:val="20"/>
          <w:szCs w:val="20"/>
        </w:rPr>
        <w:t>应用内部或外部工具开展质量评估，并且几乎所有</w:t>
      </w:r>
    </w:p>
    <w:p>
      <w:pPr>
        <w:spacing w:before="143" w:line="284" w:lineRule="exact"/>
        <w:ind w:firstLine="19"/>
      </w:pPr>
      <w:r>
        <w:rPr>
          <w:position w:val="-5"/>
        </w:rPr>
        <w:pict>
          <v:group id="_x0000_s1084" o:spid="_x0000_s1084" o:spt="203" style="height:14.25pt;width:39.6pt;" coordsize="791,285">
            <o:lock v:ext="edit"/>
            <v:group id="_x0000_s1085" o:spid="_x0000_s1085" o:spt="203" style="position:absolute;left:0;top:0;height:285;width:791;" coordsize="791,285">
              <o:lock v:ext="edit"/>
              <v:shape id="_x0000_s1086" o:spid="_x0000_s1086" style="position:absolute;left:395;top:0;height:285;width:397;" fillcolor="#231F20" filled="t" stroked="f" coordsize="397,285" path="m0,284l0,0,396,0,396,284,0,284xe">
                <v:path/>
                <v:fill on="t" focussize="0,0"/>
                <v:stroke on="f"/>
                <v:imagedata o:title=""/>
                <o:lock v:ext="edit"/>
              </v:shape>
              <v:shape id="_x0000_s1087" o:spid="_x0000_s1087" style="position:absolute;left:0;top:0;height:285;width:395;" fillcolor="#C7C8CA" filled="t" stroked="f" coordsize="395,285" path="m0,284l0,0,395,0,395,284,0,284xe">
                <v:path/>
                <v:fill on="t" focussize="0,0"/>
                <v:stroke on="f"/>
                <v:imagedata o:title=""/>
                <o:lock v:ext="edit"/>
              </v:shape>
            </v:group>
            <v:shape id="_x0000_s1088" o:spid="_x0000_s1088" o:spt="202" type="#_x0000_t202" style="position:absolute;left:-20;top:-20;height:325;width:831;" filled="f" stroked="f" coordsize="21600,21600">
              <v:path/>
              <v:fill on="f" focussize="0,0"/>
              <v:stroke on="f"/>
              <v:imagedata o:title=""/>
              <o:lock v:ext="edit" aspectratio="f"/>
              <v:textbox inset="0mm,0mm,0mm,0mm">
                <w:txbxContent>
                  <w:p>
                    <w:pPr>
                      <w:spacing w:before="94" w:line="184" w:lineRule="auto"/>
                      <w:ind w:left="517"/>
                      <w:rPr>
                        <w:rFonts w:ascii="仿宋" w:hAnsi="仿宋" w:eastAsia="仿宋" w:cs="仿宋"/>
                        <w:sz w:val="20"/>
                        <w:szCs w:val="20"/>
                      </w:rPr>
                    </w:pPr>
                    <w:r>
                      <w:rPr>
                        <w:rFonts w:ascii="仿宋" w:hAnsi="仿宋" w:eastAsia="仿宋" w:cs="仿宋"/>
                        <w:color w:val="FFFFFF"/>
                        <w:sz w:val="20"/>
                        <w:szCs w:val="20"/>
                      </w:rPr>
                      <w:t>46</w:t>
                    </w:r>
                  </w:p>
                </w:txbxContent>
              </v:textbox>
            </v:shape>
            <w10:wrap type="none"/>
            <w10:anchorlock/>
          </v:group>
        </w:pict>
      </w:r>
    </w:p>
    <w:p>
      <w:pPr>
        <w:spacing w:line="14" w:lineRule="auto"/>
        <w:rPr>
          <w:rFonts w:ascii="Arial"/>
          <w:sz w:val="2"/>
        </w:rPr>
      </w:pPr>
      <w:r>
        <w:rPr>
          <w:rFonts w:ascii="Arial" w:hAnsi="Arial" w:eastAsia="Arial" w:cs="Arial"/>
          <w:sz w:val="2"/>
          <w:szCs w:val="2"/>
        </w:rPr>
        <w:br w:type="column"/>
      </w:r>
    </w:p>
    <w:p>
      <w:pPr>
        <w:spacing w:before="36" w:line="212" w:lineRule="auto"/>
        <w:ind w:left="1" w:right="3" w:firstLine="16"/>
        <w:jc w:val="both"/>
        <w:rPr>
          <w:rFonts w:ascii="微软雅黑" w:hAnsi="微软雅黑" w:eastAsia="微软雅黑" w:cs="微软雅黑"/>
          <w:sz w:val="20"/>
          <w:szCs w:val="20"/>
        </w:rPr>
      </w:pPr>
      <w:r>
        <w:rPr>
          <w:rFonts w:ascii="微软雅黑" w:hAnsi="微软雅黑" w:eastAsia="微软雅黑" w:cs="微软雅黑"/>
          <w:color w:val="231F20"/>
          <w:spacing w:val="13"/>
          <w:sz w:val="20"/>
          <w:szCs w:val="20"/>
        </w:rPr>
        <w:t>的高等教育机构反馈在院系层面应用了质量改进计</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2"/>
          <w:sz w:val="20"/>
          <w:szCs w:val="20"/>
        </w:rPr>
        <w:t>划以提升质量</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。但另一方面，参与高等教育机构也</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反映，经过质量文化项目实施，普遍感到自身存在的</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4"/>
          <w:sz w:val="20"/>
          <w:szCs w:val="20"/>
        </w:rPr>
        <w:t>不足，如缺乏专门的研究部门、缺乏信息数据、缺乏</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3"/>
          <w:sz w:val="20"/>
          <w:szCs w:val="20"/>
        </w:rPr>
        <w:t>教师发展支持，等等</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3"/>
          <w:sz w:val="20"/>
          <w:szCs w:val="20"/>
        </w:rPr>
        <w:t>。但不管怎么样，通过质量文化</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8"/>
          <w:sz w:val="20"/>
          <w:szCs w:val="20"/>
        </w:rPr>
        <w:t>项目实施，</w:t>
      </w:r>
      <w:r>
        <w:rPr>
          <w:rFonts w:ascii="宋体" w:hAnsi="宋体" w:eastAsia="宋体" w:cs="宋体"/>
          <w:color w:val="231F20"/>
          <w:sz w:val="20"/>
          <w:szCs w:val="20"/>
        </w:rPr>
        <w:t>EUA</w:t>
      </w:r>
      <w:r>
        <w:rPr>
          <w:rFonts w:ascii="宋体" w:hAnsi="宋体" w:eastAsia="宋体" w:cs="宋体"/>
          <w:color w:val="231F20"/>
          <w:spacing w:val="-53"/>
          <w:sz w:val="20"/>
          <w:szCs w:val="20"/>
        </w:rPr>
        <w:t xml:space="preserve"> </w:t>
      </w:r>
      <w:r>
        <w:rPr>
          <w:rFonts w:ascii="微软雅黑" w:hAnsi="微软雅黑" w:eastAsia="微软雅黑" w:cs="微软雅黑"/>
          <w:color w:val="231F20"/>
          <w:spacing w:val="18"/>
          <w:sz w:val="20"/>
          <w:szCs w:val="20"/>
        </w:rPr>
        <w:t>得出了质量文化建设的一些基本经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验：如作为一个多元概念，质量必须基于一定文化背</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14"/>
          <w:sz w:val="20"/>
          <w:szCs w:val="20"/>
        </w:rPr>
        <w:t>景之下来理解；高度自治的高等教育机构更具有成</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熟和有效的质量文化，并更多地把质量定义为改进。</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4"/>
          <w:sz w:val="20"/>
          <w:szCs w:val="20"/>
        </w:rPr>
        <w:t>相反，缺乏自治的高等教育机构往往从狭隘视角，局</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4"/>
          <w:sz w:val="20"/>
          <w:szCs w:val="20"/>
        </w:rPr>
        <w:t>限于认证、盲从、官僚和效率较低的质量文化；质量</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8"/>
          <w:sz w:val="20"/>
          <w:szCs w:val="20"/>
        </w:rPr>
        <w:t>文化强调形成性而非惩罚性，强调教师和员工发展；</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4"/>
          <w:sz w:val="20"/>
          <w:szCs w:val="20"/>
        </w:rPr>
        <w:t>质量文化须以学生为中心；强调外部利益相关者在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质量文化建设的地位，高等教育机构须与外部利益</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相关者保持适当的水平；质量文化应给基层足够的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sz w:val="20"/>
          <w:szCs w:val="20"/>
        </w:rPr>
        <w:t>空间，避免过度行政官僚化，等等</w:t>
      </w:r>
      <w:r>
        <w:rPr>
          <w:rFonts w:ascii="微软雅黑" w:hAnsi="微软雅黑" w:eastAsia="微软雅黑" w:cs="微软雅黑"/>
          <w:color w:val="231F20"/>
          <w:spacing w:val="-7"/>
          <w:position w:val="8"/>
          <w:sz w:val="10"/>
          <w:szCs w:val="10"/>
        </w:rPr>
        <w:t>［</w:t>
      </w:r>
      <w:r>
        <w:rPr>
          <w:rFonts w:ascii="宋体" w:hAnsi="宋体" w:eastAsia="宋体" w:cs="宋体"/>
          <w:color w:val="231F20"/>
          <w:spacing w:val="-7"/>
          <w:position w:val="8"/>
          <w:sz w:val="10"/>
          <w:szCs w:val="10"/>
        </w:rPr>
        <w:t>11</w:t>
      </w:r>
      <w:r>
        <w:rPr>
          <w:rFonts w:ascii="微软雅黑" w:hAnsi="微软雅黑" w:eastAsia="微软雅黑" w:cs="微软雅黑"/>
          <w:color w:val="231F20"/>
          <w:spacing w:val="-7"/>
          <w:position w:val="8"/>
          <w:sz w:val="10"/>
          <w:szCs w:val="10"/>
        </w:rPr>
        <w:t>］</w:t>
      </w:r>
      <w:r>
        <w:rPr>
          <w:rFonts w:ascii="微软雅黑" w:hAnsi="微软雅黑" w:eastAsia="微软雅黑" w:cs="微软雅黑"/>
          <w:color w:val="231F20"/>
          <w:spacing w:val="-7"/>
          <w:sz w:val="20"/>
          <w:szCs w:val="20"/>
        </w:rPr>
        <w:t>。</w:t>
      </w:r>
    </w:p>
    <w:p>
      <w:pPr>
        <w:spacing w:before="30" w:line="269" w:lineRule="exact"/>
        <w:ind w:left="432"/>
        <w:rPr>
          <w:rFonts w:ascii="黑体" w:hAnsi="黑体" w:eastAsia="黑体" w:cs="黑体"/>
          <w:sz w:val="20"/>
          <w:szCs w:val="20"/>
        </w:rPr>
      </w:pPr>
      <w:r>
        <w:rPr>
          <w:rFonts w:ascii="黑体" w:hAnsi="黑体" w:eastAsia="黑体" w:cs="黑体"/>
          <w:color w:val="231F20"/>
          <w:spacing w:val="-3"/>
          <w:position w:val="1"/>
          <w:sz w:val="20"/>
          <w:szCs w:val="20"/>
        </w:rPr>
        <w:t>三、质量文化实施影响</w:t>
      </w:r>
    </w:p>
    <w:p>
      <w:pPr>
        <w:spacing w:before="28" w:line="215" w:lineRule="auto"/>
        <w:ind w:firstLine="420"/>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诚然，欧洲质量文化项目是欧洲质量保障运动</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12"/>
          <w:sz w:val="20"/>
          <w:szCs w:val="20"/>
        </w:rPr>
        <w:t>的一个重要里程碑</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。从实施影响看，其带来的直接</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9"/>
          <w:sz w:val="20"/>
          <w:szCs w:val="20"/>
        </w:rPr>
        <w:t>变化就是质量保障理念发生了转变</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pacing w:val="9"/>
          <w:sz w:val="20"/>
          <w:szCs w:val="20"/>
        </w:rPr>
        <w:t>。</w:t>
      </w:r>
      <w:r>
        <w:rPr>
          <w:rFonts w:ascii="宋体" w:hAnsi="宋体" w:eastAsia="宋体" w:cs="宋体"/>
          <w:color w:val="231F20"/>
          <w:spacing w:val="9"/>
          <w:sz w:val="20"/>
          <w:szCs w:val="20"/>
        </w:rPr>
        <w:t>2006</w:t>
      </w:r>
      <w:r>
        <w:rPr>
          <w:rFonts w:ascii="宋体" w:hAnsi="宋体" w:eastAsia="宋体" w:cs="宋体"/>
          <w:color w:val="231F20"/>
          <w:spacing w:val="-57"/>
          <w:sz w:val="20"/>
          <w:szCs w:val="20"/>
        </w:rPr>
        <w:t xml:space="preserve"> </w:t>
      </w:r>
      <w:r>
        <w:rPr>
          <w:rFonts w:ascii="微软雅黑" w:hAnsi="微软雅黑" w:eastAsia="微软雅黑" w:cs="微软雅黑"/>
          <w:color w:val="231F20"/>
          <w:spacing w:val="9"/>
          <w:sz w:val="20"/>
          <w:szCs w:val="20"/>
        </w:rPr>
        <w:t>年，第一</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次欧洲质量保障论坛在德国慕尼黑召开，与会者对</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1"/>
          <w:sz w:val="20"/>
          <w:szCs w:val="20"/>
        </w:rPr>
        <w:t>质量文化进行广泛讨论</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1"/>
          <w:sz w:val="20"/>
          <w:szCs w:val="20"/>
        </w:rPr>
        <w:t>，并达成一些重要共识</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11"/>
          <w:sz w:val="20"/>
          <w:szCs w:val="20"/>
        </w:rPr>
        <w:t>，包</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括：强调质量的学术拥有权，高等教育机构需要建立  质量监测体系，确立问责制并促进改进；质量文化是  </w:t>
      </w:r>
      <w:r>
        <w:rPr>
          <w:rFonts w:ascii="微软雅黑" w:hAnsi="微软雅黑" w:eastAsia="微软雅黑" w:cs="微软雅黑"/>
          <w:color w:val="231F20"/>
          <w:spacing w:val="-2"/>
          <w:sz w:val="20"/>
          <w:szCs w:val="20"/>
        </w:rPr>
        <w:t>利益相关者的行为，而不是一个“官僚</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2"/>
          <w:sz w:val="20"/>
          <w:szCs w:val="20"/>
        </w:rPr>
        <w:t>”体系的运作；</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质量文化需要以学生为中心，需要伙伴关系和合作、</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3"/>
          <w:sz w:val="20"/>
          <w:szCs w:val="20"/>
        </w:rPr>
        <w:t xml:space="preserve">经验分享和团队合作，支持个人作为自主学者，但不  </w:t>
      </w:r>
      <w:r>
        <w:rPr>
          <w:rFonts w:ascii="微软雅黑" w:hAnsi="微软雅黑" w:eastAsia="微软雅黑" w:cs="微软雅黑"/>
          <w:color w:val="231F20"/>
          <w:spacing w:val="14"/>
          <w:sz w:val="20"/>
          <w:szCs w:val="20"/>
        </w:rPr>
        <w:t>以牺牲学习社区为代价；质量文化欢迎批评性外部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评估，包括正式外部评估、同行评估，以及内部同行  评估，其核心是促进和鼓励反省和实践；质量文化是  </w:t>
      </w:r>
      <w:r>
        <w:rPr>
          <w:rFonts w:ascii="微软雅黑" w:hAnsi="微软雅黑" w:eastAsia="微软雅黑" w:cs="微软雅黑"/>
          <w:color w:val="231F20"/>
          <w:spacing w:val="8"/>
          <w:sz w:val="20"/>
          <w:szCs w:val="20"/>
        </w:rPr>
        <w:t>自我反思，制定改进计划并实施它们</w:t>
      </w:r>
      <w:r>
        <w:rPr>
          <w:rFonts w:ascii="微软雅黑" w:hAnsi="微软雅黑" w:eastAsia="微软雅黑" w:cs="微软雅黑"/>
          <w:color w:val="231F20"/>
          <w:spacing w:val="8"/>
          <w:position w:val="8"/>
          <w:sz w:val="10"/>
          <w:szCs w:val="10"/>
        </w:rPr>
        <w:t>［</w:t>
      </w:r>
      <w:r>
        <w:rPr>
          <w:rFonts w:ascii="宋体" w:hAnsi="宋体" w:eastAsia="宋体" w:cs="宋体"/>
          <w:color w:val="231F20"/>
          <w:spacing w:val="8"/>
          <w:position w:val="8"/>
          <w:sz w:val="10"/>
          <w:szCs w:val="10"/>
        </w:rPr>
        <w:t>10</w:t>
      </w:r>
      <w:r>
        <w:rPr>
          <w:rFonts w:ascii="微软雅黑" w:hAnsi="微软雅黑" w:eastAsia="微软雅黑" w:cs="微软雅黑"/>
          <w:color w:val="231F20"/>
          <w:spacing w:val="8"/>
          <w:position w:val="8"/>
          <w:sz w:val="10"/>
          <w:szCs w:val="10"/>
        </w:rPr>
        <w:t>］</w:t>
      </w:r>
      <w:r>
        <w:rPr>
          <w:rFonts w:ascii="微软雅黑" w:hAnsi="微软雅黑" w:eastAsia="微软雅黑" w:cs="微软雅黑"/>
          <w:color w:val="231F20"/>
          <w:spacing w:val="8"/>
          <w:sz w:val="20"/>
          <w:szCs w:val="20"/>
        </w:rPr>
        <w:t>。除质量保</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14"/>
          <w:sz w:val="20"/>
          <w:szCs w:val="20"/>
        </w:rPr>
        <w:t>障理念发生变化外，质量文化项目实施的另一重要</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成 果 ，则 是</w:t>
      </w:r>
      <w:r>
        <w:rPr>
          <w:rFonts w:ascii="微软雅黑" w:hAnsi="微软雅黑" w:eastAsia="微软雅黑" w:cs="微软雅黑"/>
          <w:color w:val="231F20"/>
          <w:spacing w:val="28"/>
          <w:w w:val="101"/>
          <w:sz w:val="20"/>
          <w:szCs w:val="20"/>
        </w:rPr>
        <w:t xml:space="preserve"> </w:t>
      </w:r>
      <w:r>
        <w:rPr>
          <w:rFonts w:ascii="微软雅黑" w:hAnsi="微软雅黑" w:eastAsia="微软雅黑" w:cs="微软雅黑"/>
          <w:color w:val="231F20"/>
          <w:spacing w:val="-5"/>
          <w:sz w:val="20"/>
          <w:szCs w:val="20"/>
        </w:rPr>
        <w:t>欧</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5"/>
          <w:sz w:val="20"/>
          <w:szCs w:val="20"/>
        </w:rPr>
        <w:t>洲</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pacing w:val="-5"/>
          <w:sz w:val="20"/>
          <w:szCs w:val="20"/>
        </w:rPr>
        <w:t>质</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5"/>
          <w:sz w:val="20"/>
          <w:szCs w:val="20"/>
        </w:rPr>
        <w:t>量 保</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5"/>
          <w:sz w:val="20"/>
          <w:szCs w:val="20"/>
        </w:rPr>
        <w:t>障</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pacing w:val="-5"/>
          <w:sz w:val="20"/>
          <w:szCs w:val="20"/>
        </w:rPr>
        <w:t>指</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5"/>
          <w:sz w:val="20"/>
          <w:szCs w:val="20"/>
        </w:rPr>
        <w:t>南（</w:t>
      </w:r>
      <w:r>
        <w:rPr>
          <w:rFonts w:ascii="宋体" w:hAnsi="宋体" w:eastAsia="宋体" w:cs="宋体"/>
          <w:color w:val="231F20"/>
          <w:spacing w:val="-5"/>
          <w:sz w:val="20"/>
          <w:szCs w:val="20"/>
        </w:rPr>
        <w:t>Standards</w:t>
      </w:r>
      <w:r>
        <w:rPr>
          <w:rFonts w:ascii="宋体" w:hAnsi="宋体" w:eastAsia="宋体" w:cs="宋体"/>
          <w:color w:val="231F20"/>
          <w:spacing w:val="19"/>
          <w:sz w:val="20"/>
          <w:szCs w:val="20"/>
        </w:rPr>
        <w:t xml:space="preserve"> </w:t>
      </w:r>
      <w:r>
        <w:rPr>
          <w:rFonts w:ascii="宋体" w:hAnsi="宋体" w:eastAsia="宋体" w:cs="宋体"/>
          <w:color w:val="231F20"/>
          <w:spacing w:val="-5"/>
          <w:sz w:val="20"/>
          <w:szCs w:val="20"/>
        </w:rPr>
        <w:t>and</w:t>
      </w:r>
      <w:r>
        <w:rPr>
          <w:rFonts w:ascii="宋体" w:hAnsi="宋体" w:eastAsia="宋体" w:cs="宋体"/>
          <w:color w:val="231F20"/>
          <w:sz w:val="20"/>
          <w:szCs w:val="20"/>
        </w:rPr>
        <w:t xml:space="preserve">  </w:t>
      </w:r>
      <w:r>
        <w:rPr>
          <w:rFonts w:ascii="宋体" w:hAnsi="宋体" w:eastAsia="宋体" w:cs="宋体"/>
          <w:color w:val="231F20"/>
          <w:spacing w:val="-11"/>
          <w:sz w:val="20"/>
          <w:szCs w:val="20"/>
        </w:rPr>
        <w:t>Guidelines</w:t>
      </w:r>
      <w:r>
        <w:rPr>
          <w:rFonts w:ascii="宋体" w:hAnsi="宋体" w:eastAsia="宋体" w:cs="宋体"/>
          <w:color w:val="231F20"/>
          <w:spacing w:val="67"/>
          <w:sz w:val="20"/>
          <w:szCs w:val="20"/>
        </w:rPr>
        <w:t xml:space="preserve"> </w:t>
      </w:r>
      <w:r>
        <w:rPr>
          <w:rFonts w:ascii="宋体" w:hAnsi="宋体" w:eastAsia="宋体" w:cs="宋体"/>
          <w:color w:val="231F20"/>
          <w:spacing w:val="-11"/>
          <w:sz w:val="20"/>
          <w:szCs w:val="20"/>
        </w:rPr>
        <w:t>for</w:t>
      </w:r>
      <w:r>
        <w:rPr>
          <w:rFonts w:ascii="宋体" w:hAnsi="宋体" w:eastAsia="宋体" w:cs="宋体"/>
          <w:color w:val="231F20"/>
          <w:spacing w:val="61"/>
          <w:sz w:val="20"/>
          <w:szCs w:val="20"/>
        </w:rPr>
        <w:t xml:space="preserve"> </w:t>
      </w:r>
      <w:r>
        <w:rPr>
          <w:rFonts w:ascii="宋体" w:hAnsi="宋体" w:eastAsia="宋体" w:cs="宋体"/>
          <w:color w:val="231F20"/>
          <w:spacing w:val="-11"/>
          <w:sz w:val="20"/>
          <w:szCs w:val="20"/>
        </w:rPr>
        <w:t>Quality</w:t>
      </w:r>
      <w:r>
        <w:rPr>
          <w:rFonts w:ascii="宋体" w:hAnsi="宋体" w:eastAsia="宋体" w:cs="宋体"/>
          <w:color w:val="231F20"/>
          <w:spacing w:val="59"/>
          <w:sz w:val="20"/>
          <w:szCs w:val="20"/>
        </w:rPr>
        <w:t xml:space="preserve"> </w:t>
      </w:r>
      <w:r>
        <w:rPr>
          <w:rFonts w:ascii="宋体" w:hAnsi="宋体" w:eastAsia="宋体" w:cs="宋体"/>
          <w:color w:val="231F20"/>
          <w:spacing w:val="-11"/>
          <w:sz w:val="20"/>
          <w:szCs w:val="20"/>
        </w:rPr>
        <w:t>Assurance</w:t>
      </w:r>
      <w:r>
        <w:rPr>
          <w:rFonts w:ascii="宋体" w:hAnsi="宋体" w:eastAsia="宋体" w:cs="宋体"/>
          <w:color w:val="231F20"/>
          <w:spacing w:val="61"/>
          <w:sz w:val="20"/>
          <w:szCs w:val="20"/>
        </w:rPr>
        <w:t xml:space="preserve"> </w:t>
      </w:r>
      <w:r>
        <w:rPr>
          <w:rFonts w:ascii="宋体" w:hAnsi="宋体" w:eastAsia="宋体" w:cs="宋体"/>
          <w:color w:val="231F20"/>
          <w:spacing w:val="-11"/>
          <w:sz w:val="20"/>
          <w:szCs w:val="20"/>
        </w:rPr>
        <w:t>in</w:t>
      </w:r>
      <w:r>
        <w:rPr>
          <w:rFonts w:ascii="宋体" w:hAnsi="宋体" w:eastAsia="宋体" w:cs="宋体"/>
          <w:color w:val="231F20"/>
          <w:spacing w:val="59"/>
          <w:sz w:val="20"/>
          <w:szCs w:val="20"/>
        </w:rPr>
        <w:t xml:space="preserve"> </w:t>
      </w:r>
      <w:r>
        <w:rPr>
          <w:rFonts w:ascii="宋体" w:hAnsi="宋体" w:eastAsia="宋体" w:cs="宋体"/>
          <w:color w:val="231F20"/>
          <w:spacing w:val="-11"/>
          <w:sz w:val="20"/>
          <w:szCs w:val="20"/>
        </w:rPr>
        <w:t>the</w:t>
      </w:r>
      <w:r>
        <w:rPr>
          <w:rFonts w:ascii="宋体" w:hAnsi="宋体" w:eastAsia="宋体" w:cs="宋体"/>
          <w:color w:val="231F20"/>
          <w:spacing w:val="60"/>
          <w:sz w:val="20"/>
          <w:szCs w:val="20"/>
        </w:rPr>
        <w:t xml:space="preserve"> </w:t>
      </w:r>
      <w:r>
        <w:rPr>
          <w:rFonts w:ascii="宋体" w:hAnsi="宋体" w:eastAsia="宋体" w:cs="宋体"/>
          <w:color w:val="231F20"/>
          <w:spacing w:val="-11"/>
          <w:sz w:val="20"/>
          <w:szCs w:val="20"/>
        </w:rPr>
        <w:t>European</w:t>
      </w:r>
      <w:r>
        <w:rPr>
          <w:rFonts w:ascii="宋体" w:hAnsi="宋体" w:eastAsia="宋体" w:cs="宋体"/>
          <w:color w:val="231F20"/>
          <w:sz w:val="20"/>
          <w:szCs w:val="20"/>
        </w:rPr>
        <w:t xml:space="preserve">  </w:t>
      </w:r>
      <w:r>
        <w:rPr>
          <w:rFonts w:ascii="宋体" w:hAnsi="宋体" w:eastAsia="宋体" w:cs="宋体"/>
          <w:color w:val="231F20"/>
          <w:spacing w:val="-4"/>
          <w:sz w:val="20"/>
          <w:szCs w:val="20"/>
        </w:rPr>
        <w:t>Higher</w:t>
      </w:r>
      <w:r>
        <w:rPr>
          <w:rFonts w:ascii="宋体" w:hAnsi="宋体" w:eastAsia="宋体" w:cs="宋体"/>
          <w:color w:val="231F20"/>
          <w:spacing w:val="-29"/>
          <w:sz w:val="20"/>
          <w:szCs w:val="20"/>
        </w:rPr>
        <w:t xml:space="preserve"> </w:t>
      </w:r>
      <w:r>
        <w:rPr>
          <w:rFonts w:ascii="宋体" w:hAnsi="宋体" w:eastAsia="宋体" w:cs="宋体"/>
          <w:color w:val="231F20"/>
          <w:spacing w:val="-4"/>
          <w:sz w:val="20"/>
          <w:szCs w:val="20"/>
        </w:rPr>
        <w:t>Education</w:t>
      </w:r>
      <w:r>
        <w:rPr>
          <w:rFonts w:ascii="宋体" w:hAnsi="宋体" w:eastAsia="宋体" w:cs="宋体"/>
          <w:color w:val="231F20"/>
          <w:spacing w:val="-29"/>
          <w:sz w:val="20"/>
          <w:szCs w:val="20"/>
        </w:rPr>
        <w:t xml:space="preserve"> </w:t>
      </w:r>
      <w:r>
        <w:rPr>
          <w:rFonts w:ascii="宋体" w:hAnsi="宋体" w:eastAsia="宋体" w:cs="宋体"/>
          <w:color w:val="231F20"/>
          <w:spacing w:val="-4"/>
          <w:sz w:val="20"/>
          <w:szCs w:val="20"/>
        </w:rPr>
        <w:t>Area</w:t>
      </w:r>
      <w:r>
        <w:rPr>
          <w:rFonts w:ascii="微软雅黑" w:hAnsi="微软雅黑" w:eastAsia="微软雅黑" w:cs="微软雅黑"/>
          <w:color w:val="231F20"/>
          <w:spacing w:val="-4"/>
          <w:sz w:val="20"/>
          <w:szCs w:val="20"/>
        </w:rPr>
        <w:t xml:space="preserve">，简称 </w:t>
      </w:r>
      <w:r>
        <w:rPr>
          <w:rFonts w:ascii="宋体" w:hAnsi="宋体" w:eastAsia="宋体" w:cs="宋体"/>
          <w:color w:val="231F20"/>
          <w:spacing w:val="-4"/>
          <w:sz w:val="20"/>
          <w:szCs w:val="20"/>
        </w:rPr>
        <w:t>ESG</w:t>
      </w:r>
      <w:r>
        <w:rPr>
          <w:rFonts w:ascii="宋体" w:hAnsi="宋体" w:eastAsia="宋体" w:cs="宋体"/>
          <w:color w:val="231F20"/>
          <w:spacing w:val="-51"/>
          <w:sz w:val="20"/>
          <w:szCs w:val="20"/>
        </w:rPr>
        <w:t xml:space="preserve"> </w:t>
      </w:r>
      <w:r>
        <w:rPr>
          <w:rFonts w:ascii="微软雅黑" w:hAnsi="微软雅黑" w:eastAsia="微软雅黑" w:cs="微软雅黑"/>
          <w:color w:val="231F20"/>
          <w:spacing w:val="-4"/>
          <w:sz w:val="20"/>
          <w:szCs w:val="20"/>
        </w:rPr>
        <w:t>指</w:t>
      </w:r>
      <w:r>
        <w:rPr>
          <w:rFonts w:ascii="微软雅黑" w:hAnsi="微软雅黑" w:eastAsia="微软雅黑" w:cs="微软雅黑"/>
          <w:color w:val="231F20"/>
          <w:spacing w:val="-5"/>
          <w:sz w:val="20"/>
          <w:szCs w:val="20"/>
        </w:rPr>
        <w:t xml:space="preserve">南）颁布，该标准  </w:t>
      </w:r>
      <w:r>
        <w:rPr>
          <w:rFonts w:ascii="微软雅黑" w:hAnsi="微软雅黑" w:eastAsia="微软雅黑" w:cs="微软雅黑"/>
          <w:color w:val="231F20"/>
          <w:spacing w:val="8"/>
          <w:sz w:val="20"/>
          <w:szCs w:val="20"/>
        </w:rPr>
        <w:t>于</w:t>
      </w:r>
      <w:r>
        <w:rPr>
          <w:rFonts w:ascii="微软雅黑" w:hAnsi="微软雅黑" w:eastAsia="微软雅黑" w:cs="微软雅黑"/>
          <w:color w:val="231F20"/>
          <w:spacing w:val="-1"/>
          <w:sz w:val="20"/>
          <w:szCs w:val="20"/>
        </w:rPr>
        <w:t xml:space="preserve"> </w:t>
      </w:r>
      <w:r>
        <w:rPr>
          <w:rFonts w:ascii="宋体" w:hAnsi="宋体" w:eastAsia="宋体" w:cs="宋体"/>
          <w:color w:val="231F20"/>
          <w:spacing w:val="8"/>
          <w:sz w:val="20"/>
          <w:szCs w:val="20"/>
        </w:rPr>
        <w:t>2005</w:t>
      </w:r>
      <w:r>
        <w:rPr>
          <w:rFonts w:ascii="微软雅黑" w:hAnsi="微软雅黑" w:eastAsia="微软雅黑" w:cs="微软雅黑"/>
          <w:color w:val="231F20"/>
          <w:spacing w:val="8"/>
          <w:sz w:val="20"/>
          <w:szCs w:val="20"/>
        </w:rPr>
        <w:t>年由高等教育部长级会议通过，并于</w:t>
      </w:r>
      <w:r>
        <w:rPr>
          <w:rFonts w:ascii="微软雅黑" w:hAnsi="微软雅黑" w:eastAsia="微软雅黑" w:cs="微软雅黑"/>
          <w:color w:val="231F20"/>
          <w:spacing w:val="-17"/>
          <w:sz w:val="20"/>
          <w:szCs w:val="20"/>
        </w:rPr>
        <w:t xml:space="preserve"> </w:t>
      </w:r>
      <w:r>
        <w:rPr>
          <w:rFonts w:ascii="宋体" w:hAnsi="宋体" w:eastAsia="宋体" w:cs="宋体"/>
          <w:color w:val="231F20"/>
          <w:spacing w:val="8"/>
          <w:sz w:val="20"/>
          <w:szCs w:val="20"/>
        </w:rPr>
        <w:t>2015</w:t>
      </w:r>
      <w:r>
        <w:rPr>
          <w:rFonts w:ascii="微软雅黑" w:hAnsi="微软雅黑" w:eastAsia="微软雅黑" w:cs="微软雅黑"/>
          <w:color w:val="231F20"/>
          <w:spacing w:val="8"/>
          <w:sz w:val="20"/>
          <w:szCs w:val="20"/>
        </w:rPr>
        <w:t>年</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重新修订</w:t>
      </w:r>
      <w:r>
        <w:rPr>
          <w:rFonts w:ascii="微软雅黑" w:hAnsi="微软雅黑" w:eastAsia="微软雅黑" w:cs="微软雅黑"/>
          <w:color w:val="231F20"/>
          <w:spacing w:val="8"/>
          <w:position w:val="8"/>
          <w:sz w:val="10"/>
          <w:szCs w:val="10"/>
        </w:rPr>
        <w:t>［</w:t>
      </w:r>
      <w:r>
        <w:rPr>
          <w:rFonts w:ascii="宋体" w:hAnsi="宋体" w:eastAsia="宋体" w:cs="宋体"/>
          <w:color w:val="231F20"/>
          <w:spacing w:val="8"/>
          <w:position w:val="8"/>
          <w:sz w:val="10"/>
          <w:szCs w:val="10"/>
        </w:rPr>
        <w:t>12</w:t>
      </w:r>
      <w:r>
        <w:rPr>
          <w:rFonts w:ascii="微软雅黑" w:hAnsi="微软雅黑" w:eastAsia="微软雅黑" w:cs="微软雅黑"/>
          <w:color w:val="231F20"/>
          <w:spacing w:val="8"/>
          <w:position w:val="8"/>
          <w:sz w:val="10"/>
          <w:szCs w:val="10"/>
        </w:rPr>
        <w:t>］</w:t>
      </w:r>
      <w:r>
        <w:rPr>
          <w:rFonts w:ascii="微软雅黑" w:hAnsi="微软雅黑" w:eastAsia="微软雅黑" w:cs="微软雅黑"/>
          <w:color w:val="231F20"/>
          <w:spacing w:val="8"/>
          <w:sz w:val="20"/>
          <w:szCs w:val="20"/>
        </w:rPr>
        <w:t>。标准基于质量文化实施经验，涵盖了</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3"/>
          <w:sz w:val="20"/>
          <w:szCs w:val="20"/>
        </w:rPr>
        <w:t xml:space="preserve">内部质量保障、外部质量保障等内容，成为欧洲高等  </w:t>
      </w:r>
      <w:r>
        <w:rPr>
          <w:rFonts w:ascii="微软雅黑" w:hAnsi="微软雅黑" w:eastAsia="微软雅黑" w:cs="微软雅黑"/>
          <w:color w:val="231F20"/>
          <w:spacing w:val="8"/>
          <w:sz w:val="20"/>
          <w:szCs w:val="20"/>
        </w:rPr>
        <w:t>教育质量保障重要政策性文件</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8"/>
          <w:sz w:val="20"/>
          <w:szCs w:val="20"/>
        </w:rPr>
        <w:t>。可以说，</w:t>
      </w:r>
      <w:r>
        <w:rPr>
          <w:rFonts w:ascii="宋体" w:hAnsi="宋体" w:eastAsia="宋体" w:cs="宋体"/>
          <w:color w:val="231F20"/>
          <w:sz w:val="20"/>
          <w:szCs w:val="20"/>
        </w:rPr>
        <w:t>ESG</w:t>
      </w:r>
      <w:r>
        <w:rPr>
          <w:rFonts w:ascii="微软雅黑" w:hAnsi="微软雅黑" w:eastAsia="微软雅黑" w:cs="微软雅黑"/>
          <w:color w:val="231F20"/>
          <w:spacing w:val="8"/>
          <w:sz w:val="20"/>
          <w:szCs w:val="20"/>
        </w:rPr>
        <w:t>指南发</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布为欧洲高等教育质量保障提供了行动指南，推动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了欧洲高等教育内部质量保障走向规范化、标准化</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和科学化</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8"/>
          <w:sz w:val="20"/>
          <w:szCs w:val="20"/>
        </w:rPr>
        <w:t>。而从质量保障原则与要求看，</w:t>
      </w:r>
      <w:r>
        <w:rPr>
          <w:rFonts w:ascii="宋体" w:hAnsi="宋体" w:eastAsia="宋体" w:cs="宋体"/>
          <w:color w:val="231F20"/>
          <w:sz w:val="20"/>
          <w:szCs w:val="20"/>
        </w:rPr>
        <w:t>ESG</w:t>
      </w:r>
      <w:r>
        <w:rPr>
          <w:rFonts w:ascii="微软雅黑" w:hAnsi="微软雅黑" w:eastAsia="微软雅黑" w:cs="微软雅黑"/>
          <w:color w:val="231F20"/>
          <w:spacing w:val="8"/>
          <w:sz w:val="20"/>
          <w:szCs w:val="20"/>
        </w:rPr>
        <w:t>指南与</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前述质量文化项目所强调的内涵，几乎一脉相承，突  </w:t>
      </w:r>
      <w:r>
        <w:rPr>
          <w:rFonts w:ascii="微软雅黑" w:hAnsi="微软雅黑" w:eastAsia="微软雅黑" w:cs="微软雅黑"/>
          <w:color w:val="231F20"/>
          <w:spacing w:val="8"/>
          <w:sz w:val="20"/>
          <w:szCs w:val="20"/>
        </w:rPr>
        <w:t>出体现如下八个方面。</w:t>
      </w:r>
    </w:p>
    <w:p>
      <w:pPr>
        <w:spacing w:line="215" w:lineRule="auto"/>
        <w:rPr>
          <w:rFonts w:ascii="微软雅黑" w:hAnsi="微软雅黑" w:eastAsia="微软雅黑" w:cs="微软雅黑"/>
          <w:sz w:val="20"/>
          <w:szCs w:val="20"/>
        </w:rPr>
        <w:sectPr>
          <w:type w:val="continuous"/>
          <w:pgSz w:w="10841" w:h="15421"/>
          <w:pgMar w:top="727" w:right="510" w:bottom="547" w:left="407" w:header="346" w:footer="354" w:gutter="0"/>
          <w:cols w:equalWidth="0" w:num="2">
            <w:col w:w="5031" w:space="100"/>
            <w:col w:w="4792"/>
          </w:cols>
        </w:sectPr>
      </w:pPr>
    </w:p>
    <w:p>
      <w:pPr>
        <w:spacing w:before="14"/>
      </w:pPr>
    </w:p>
    <w:p>
      <w:pPr>
        <w:sectPr>
          <w:headerReference r:id="rId98" w:type="default"/>
          <w:footerReference r:id="rId99" w:type="default"/>
          <w:pgSz w:w="10841" w:h="15421"/>
          <w:pgMar w:top="727" w:right="427" w:bottom="547" w:left="407" w:header="346" w:footer="354" w:gutter="0"/>
          <w:cols w:equalWidth="0" w:num="1">
            <w:col w:w="10006"/>
          </w:cols>
        </w:sectPr>
      </w:pPr>
    </w:p>
    <w:p>
      <w:pPr>
        <w:spacing w:before="36" w:line="211" w:lineRule="auto"/>
        <w:ind w:left="186" w:right="3" w:firstLine="440"/>
        <w:jc w:val="both"/>
        <w:rPr>
          <w:rFonts w:ascii="微软雅黑" w:hAnsi="微软雅黑" w:eastAsia="微软雅黑" w:cs="微软雅黑"/>
          <w:sz w:val="20"/>
          <w:szCs w:val="20"/>
        </w:rPr>
      </w:pPr>
      <w:r>
        <w:rPr>
          <w:rFonts w:ascii="宋体" w:hAnsi="宋体" w:eastAsia="宋体" w:cs="宋体"/>
          <w:color w:val="231F20"/>
          <w:spacing w:val="9"/>
          <w:sz w:val="20"/>
          <w:szCs w:val="20"/>
        </w:rPr>
        <w:t>1.</w:t>
      </w:r>
      <w:r>
        <w:rPr>
          <w:rFonts w:ascii="宋体" w:hAnsi="宋体" w:eastAsia="宋体" w:cs="宋体"/>
          <w:color w:val="231F20"/>
          <w:spacing w:val="-18"/>
          <w:sz w:val="20"/>
          <w:szCs w:val="20"/>
        </w:rPr>
        <w:t xml:space="preserve"> </w:t>
      </w:r>
      <w:r>
        <w:rPr>
          <w:rFonts w:ascii="微软雅黑" w:hAnsi="微软雅黑" w:eastAsia="微软雅黑" w:cs="微软雅黑"/>
          <w:color w:val="231F20"/>
          <w:spacing w:val="9"/>
          <w:sz w:val="20"/>
          <w:szCs w:val="20"/>
        </w:rPr>
        <w:t>强调质量保障政策的顶层设计</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9"/>
          <w:sz w:val="20"/>
          <w:szCs w:val="20"/>
        </w:rPr>
        <w:t>。根据</w:t>
      </w:r>
      <w:r>
        <w:rPr>
          <w:rFonts w:ascii="微软雅黑" w:hAnsi="微软雅黑" w:eastAsia="微软雅黑" w:cs="微软雅黑"/>
          <w:color w:val="231F20"/>
          <w:spacing w:val="-17"/>
          <w:sz w:val="20"/>
          <w:szCs w:val="20"/>
        </w:rPr>
        <w:t xml:space="preserve"> </w:t>
      </w:r>
      <w:r>
        <w:rPr>
          <w:rFonts w:ascii="宋体" w:hAnsi="宋体" w:eastAsia="宋体" w:cs="宋体"/>
          <w:color w:val="231F20"/>
          <w:sz w:val="20"/>
          <w:szCs w:val="20"/>
        </w:rPr>
        <w:t>ESG</w:t>
      </w:r>
      <w:r>
        <w:rPr>
          <w:rFonts w:ascii="宋体" w:hAnsi="宋体" w:eastAsia="宋体" w:cs="宋体"/>
          <w:color w:val="231F20"/>
          <w:spacing w:val="-59"/>
          <w:sz w:val="20"/>
          <w:szCs w:val="20"/>
        </w:rPr>
        <w:t xml:space="preserve"> </w:t>
      </w:r>
      <w:r>
        <w:rPr>
          <w:rFonts w:ascii="微软雅黑" w:hAnsi="微软雅黑" w:eastAsia="微软雅黑" w:cs="微软雅黑"/>
          <w:color w:val="231F20"/>
          <w:spacing w:val="9"/>
          <w:sz w:val="20"/>
          <w:szCs w:val="20"/>
        </w:rPr>
        <w:t>指</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南，高等教育机构应当制定相应的质量保障政策，并</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且要有相应组织机构和流程来保障实施，其中最为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重要的一条是确保所有内部利益相关者承担责任并</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6"/>
          <w:sz w:val="20"/>
          <w:szCs w:val="20"/>
        </w:rPr>
        <w:t>参与质量保障活动</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6"/>
          <w:sz w:val="20"/>
          <w:szCs w:val="20"/>
        </w:rPr>
        <w:t>。</w:t>
      </w:r>
      <w:r>
        <w:rPr>
          <w:rFonts w:ascii="宋体" w:hAnsi="宋体" w:eastAsia="宋体" w:cs="宋体"/>
          <w:color w:val="231F20"/>
          <w:sz w:val="20"/>
          <w:szCs w:val="20"/>
        </w:rPr>
        <w:t>ESG</w:t>
      </w:r>
      <w:r>
        <w:rPr>
          <w:rFonts w:ascii="宋体" w:hAnsi="宋体" w:eastAsia="宋体" w:cs="宋体"/>
          <w:color w:val="231F20"/>
          <w:spacing w:val="-59"/>
          <w:sz w:val="20"/>
          <w:szCs w:val="20"/>
        </w:rPr>
        <w:t xml:space="preserve"> </w:t>
      </w:r>
      <w:r>
        <w:rPr>
          <w:rFonts w:ascii="微软雅黑" w:hAnsi="微软雅黑" w:eastAsia="微软雅黑" w:cs="微软雅黑"/>
          <w:color w:val="231F20"/>
          <w:spacing w:val="16"/>
          <w:sz w:val="20"/>
          <w:szCs w:val="20"/>
        </w:rPr>
        <w:t>指南还强调质量保障政策</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5"/>
          <w:sz w:val="20"/>
          <w:szCs w:val="20"/>
        </w:rPr>
        <w:t>应当反映高等教育机构研究</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5"/>
          <w:sz w:val="20"/>
          <w:szCs w:val="20"/>
        </w:rPr>
        <w:t>、教学和学习的关系</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15"/>
          <w:sz w:val="20"/>
          <w:szCs w:val="20"/>
        </w:rPr>
        <w:t>。</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质量保障政策应当支持质量保障组织、明确各级领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导、教师和学生在质量保障上的主体责任，确保学术</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诚信与学术自由、防止容忍对学生或工作人员的歧</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9"/>
          <w:sz w:val="20"/>
          <w:szCs w:val="20"/>
        </w:rPr>
        <w:t>视并广泛吸纳外部利益相关者参与内部质量保障。</w:t>
      </w:r>
    </w:p>
    <w:p>
      <w:pPr>
        <w:spacing w:before="40" w:line="211" w:lineRule="auto"/>
        <w:ind w:left="185" w:right="81" w:firstLine="424"/>
        <w:jc w:val="both"/>
        <w:rPr>
          <w:rFonts w:ascii="微软雅黑" w:hAnsi="微软雅黑" w:eastAsia="微软雅黑" w:cs="微软雅黑"/>
          <w:sz w:val="20"/>
          <w:szCs w:val="20"/>
        </w:rPr>
      </w:pPr>
      <w:r>
        <w:rPr>
          <w:rFonts w:ascii="宋体" w:hAnsi="宋体" w:eastAsia="宋体" w:cs="宋体"/>
          <w:color w:val="231F20"/>
          <w:spacing w:val="12"/>
          <w:sz w:val="20"/>
          <w:szCs w:val="20"/>
        </w:rPr>
        <w:t>2.</w:t>
      </w:r>
      <w:r>
        <w:rPr>
          <w:rFonts w:ascii="宋体" w:hAnsi="宋体" w:eastAsia="宋体" w:cs="宋体"/>
          <w:color w:val="231F20"/>
          <w:spacing w:val="-20"/>
          <w:sz w:val="20"/>
          <w:szCs w:val="20"/>
        </w:rPr>
        <w:t xml:space="preserve"> </w:t>
      </w:r>
      <w:r>
        <w:rPr>
          <w:rFonts w:ascii="微软雅黑" w:hAnsi="微软雅黑" w:eastAsia="微软雅黑" w:cs="微软雅黑"/>
          <w:color w:val="231F20"/>
          <w:spacing w:val="12"/>
          <w:sz w:val="20"/>
          <w:szCs w:val="20"/>
        </w:rPr>
        <w:t>聚焦人才培养方案的设计实施</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12"/>
          <w:sz w:val="20"/>
          <w:szCs w:val="20"/>
        </w:rPr>
        <w:t>。</w:t>
      </w:r>
      <w:r>
        <w:rPr>
          <w:rFonts w:ascii="宋体" w:hAnsi="宋体" w:eastAsia="宋体" w:cs="宋体"/>
          <w:color w:val="231F20"/>
          <w:sz w:val="20"/>
          <w:szCs w:val="20"/>
        </w:rPr>
        <w:t>ESG</w:t>
      </w:r>
      <w:r>
        <w:rPr>
          <w:rFonts w:ascii="宋体" w:hAnsi="宋体" w:eastAsia="宋体" w:cs="宋体"/>
          <w:color w:val="231F20"/>
          <w:spacing w:val="-58"/>
          <w:sz w:val="20"/>
          <w:szCs w:val="20"/>
        </w:rPr>
        <w:t xml:space="preserve"> </w:t>
      </w:r>
      <w:r>
        <w:rPr>
          <w:rFonts w:ascii="微软雅黑" w:hAnsi="微软雅黑" w:eastAsia="微软雅黑" w:cs="微软雅黑"/>
          <w:color w:val="231F20"/>
          <w:spacing w:val="12"/>
          <w:sz w:val="20"/>
          <w:szCs w:val="20"/>
        </w:rPr>
        <w:t>指南在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阐述顶层政策制定之后，并未对质量定义进行宽泛</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4"/>
          <w:sz w:val="20"/>
          <w:szCs w:val="20"/>
        </w:rPr>
        <w:t>讨论，而是直接把质量保障对象锁定在培养方案，并</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14"/>
          <w:sz w:val="20"/>
          <w:szCs w:val="20"/>
        </w:rPr>
        <w:t>把培养方案设计与审批作为具体抓手，提出了系列</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2"/>
          <w:sz w:val="20"/>
          <w:szCs w:val="20"/>
        </w:rPr>
        <w:t>建设性意见</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2"/>
          <w:sz w:val="20"/>
          <w:szCs w:val="20"/>
        </w:rPr>
        <w:t>。重点要求高等教育机构在制定批准培</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养方案时，除了要有正式的审核程序外，必须根据培</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4"/>
          <w:sz w:val="20"/>
          <w:szCs w:val="20"/>
        </w:rPr>
        <w:t>养目标阐述预期学习成果，充分吸收学生、校外专家</w:t>
      </w:r>
      <w:r>
        <w:rPr>
          <w:rFonts w:ascii="微软雅黑" w:hAnsi="微软雅黑" w:eastAsia="微软雅黑" w:cs="微软雅黑"/>
          <w:color w:val="231F20"/>
          <w:spacing w:val="17"/>
          <w:w w:val="101"/>
          <w:sz w:val="20"/>
          <w:szCs w:val="20"/>
        </w:rPr>
        <w:t xml:space="preserve"> </w:t>
      </w:r>
      <w:r>
        <w:rPr>
          <w:rFonts w:ascii="微软雅黑" w:hAnsi="微软雅黑" w:eastAsia="微软雅黑" w:cs="微软雅黑"/>
          <w:color w:val="231F20"/>
          <w:spacing w:val="12"/>
          <w:sz w:val="20"/>
          <w:szCs w:val="20"/>
        </w:rPr>
        <w:t>及相关利益相关者参与</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2"/>
          <w:sz w:val="20"/>
          <w:szCs w:val="20"/>
        </w:rPr>
        <w:t>。并且培养方案应当有利于</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学生顺利发展、明确学生学习量以及校外各种实习</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4"/>
          <w:sz w:val="20"/>
          <w:szCs w:val="20"/>
        </w:rPr>
        <w:t>实训机会，应当给予学生多样的自主选择的机会等。</w:t>
      </w:r>
    </w:p>
    <w:p>
      <w:pPr>
        <w:spacing w:before="41" w:line="212" w:lineRule="auto"/>
        <w:ind w:left="184" w:right="12" w:firstLine="428"/>
        <w:jc w:val="both"/>
        <w:rPr>
          <w:rFonts w:ascii="微软雅黑" w:hAnsi="微软雅黑" w:eastAsia="微软雅黑" w:cs="微软雅黑"/>
          <w:sz w:val="20"/>
          <w:szCs w:val="20"/>
        </w:rPr>
      </w:pPr>
      <w:r>
        <w:rPr>
          <w:rFonts w:ascii="宋体" w:hAnsi="宋体" w:eastAsia="宋体" w:cs="宋体"/>
          <w:color w:val="231F20"/>
          <w:spacing w:val="8"/>
          <w:sz w:val="20"/>
          <w:szCs w:val="20"/>
        </w:rPr>
        <w:t>3.</w:t>
      </w:r>
      <w:r>
        <w:rPr>
          <w:rFonts w:ascii="宋体" w:hAnsi="宋体" w:eastAsia="宋体" w:cs="宋体"/>
          <w:color w:val="231F20"/>
          <w:spacing w:val="-19"/>
          <w:sz w:val="20"/>
          <w:szCs w:val="20"/>
        </w:rPr>
        <w:t xml:space="preserve"> </w:t>
      </w:r>
      <w:r>
        <w:rPr>
          <w:rFonts w:ascii="微软雅黑" w:hAnsi="微软雅黑" w:eastAsia="微软雅黑" w:cs="微软雅黑"/>
          <w:color w:val="231F20"/>
          <w:spacing w:val="8"/>
          <w:sz w:val="20"/>
          <w:szCs w:val="20"/>
        </w:rPr>
        <w:t>突出以学生为中心的教学与评价</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8"/>
          <w:sz w:val="20"/>
          <w:szCs w:val="20"/>
        </w:rPr>
        <w:t>。以学生为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中心的目的是使整个培养过程能够充分鼓励学生积</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8"/>
          <w:sz w:val="20"/>
          <w:szCs w:val="20"/>
        </w:rPr>
        <w:t>极参与其创造性学习过程</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8"/>
          <w:sz w:val="20"/>
          <w:szCs w:val="20"/>
        </w:rPr>
        <w:t>。基于这一认识，</w:t>
      </w:r>
      <w:r>
        <w:rPr>
          <w:rFonts w:ascii="宋体" w:hAnsi="宋体" w:eastAsia="宋体" w:cs="宋体"/>
          <w:color w:val="231F20"/>
          <w:sz w:val="20"/>
          <w:szCs w:val="20"/>
        </w:rPr>
        <w:t>ESG</w:t>
      </w:r>
      <w:r>
        <w:rPr>
          <w:rFonts w:ascii="微软雅黑" w:hAnsi="微软雅黑" w:eastAsia="微软雅黑" w:cs="微软雅黑"/>
          <w:color w:val="231F20"/>
          <w:spacing w:val="8"/>
          <w:sz w:val="20"/>
          <w:szCs w:val="20"/>
        </w:rPr>
        <w:t>指南</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把“</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2"/>
          <w:sz w:val="20"/>
          <w:szCs w:val="20"/>
        </w:rPr>
        <w:t>以学生为中心</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2"/>
          <w:sz w:val="20"/>
          <w:szCs w:val="20"/>
        </w:rPr>
        <w:t>”直接聚焦学习、教学与评价这一</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人才培养最为核心的环节，如高等教育机构在设计</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4"/>
          <w:sz w:val="20"/>
          <w:szCs w:val="20"/>
        </w:rPr>
        <w:t>课程计划时，应适应和满足学生多样学习需求，为学</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pacing w:val="4"/>
          <w:sz w:val="20"/>
          <w:szCs w:val="20"/>
        </w:rPr>
        <w:t>生提供灵活学习路径；教师在教学过程中，应当充分</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pacing w:val="14"/>
          <w:sz w:val="20"/>
          <w:szCs w:val="20"/>
        </w:rPr>
        <w:t>应用不同教学模式，灵活应用各种教学方法以激发</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4"/>
          <w:sz w:val="20"/>
          <w:szCs w:val="20"/>
        </w:rPr>
        <w:t>学生的学习兴趣，要定期开展教学评价并根据学习</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4"/>
          <w:sz w:val="20"/>
          <w:szCs w:val="20"/>
        </w:rPr>
        <w:t>需求调整教学方式和教学方法；应当鼓励学生自主</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7"/>
          <w:sz w:val="20"/>
          <w:szCs w:val="20"/>
        </w:rPr>
        <w:t>学习，并为学生自主学习提供充分学习引导和支持；</w:t>
      </w:r>
      <w:r>
        <w:rPr>
          <w:rFonts w:ascii="微软雅黑" w:hAnsi="微软雅黑" w:eastAsia="微软雅黑" w:cs="微软雅黑"/>
          <w:color w:val="231F20"/>
          <w:spacing w:val="18"/>
          <w:w w:val="101"/>
          <w:sz w:val="20"/>
          <w:szCs w:val="20"/>
        </w:rPr>
        <w:t xml:space="preserve"> </w:t>
      </w:r>
      <w:r>
        <w:rPr>
          <w:rFonts w:ascii="微软雅黑" w:hAnsi="微软雅黑" w:eastAsia="微软雅黑" w:cs="微软雅黑"/>
          <w:color w:val="231F20"/>
          <w:spacing w:val="7"/>
          <w:sz w:val="20"/>
          <w:szCs w:val="20"/>
        </w:rPr>
        <w:t>应促进师生建立信任关系，教师在实施教学评价时，</w:t>
      </w:r>
      <w:r>
        <w:rPr>
          <w:rFonts w:ascii="微软雅黑" w:hAnsi="微软雅黑" w:eastAsia="微软雅黑" w:cs="微软雅黑"/>
          <w:color w:val="231F20"/>
          <w:spacing w:val="18"/>
          <w:w w:val="101"/>
          <w:sz w:val="20"/>
          <w:szCs w:val="20"/>
        </w:rPr>
        <w:t xml:space="preserve"> </w:t>
      </w:r>
      <w:r>
        <w:rPr>
          <w:rFonts w:ascii="微软雅黑" w:hAnsi="微软雅黑" w:eastAsia="微软雅黑" w:cs="微软雅黑"/>
          <w:color w:val="231F20"/>
          <w:spacing w:val="14"/>
          <w:sz w:val="20"/>
          <w:szCs w:val="20"/>
        </w:rPr>
        <w:t>应当熟悉评价方法并接受相应培训，课程评价方法</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4"/>
          <w:sz w:val="20"/>
          <w:szCs w:val="20"/>
        </w:rPr>
        <w:t>和标准事先公布，学生在学习过程中应得到及时反</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2"/>
          <w:sz w:val="20"/>
          <w:szCs w:val="20"/>
        </w:rPr>
        <w:t>馈和建议</w:t>
      </w:r>
      <w:r>
        <w:rPr>
          <w:rFonts w:ascii="微软雅黑" w:hAnsi="微软雅黑" w:eastAsia="微软雅黑" w:cs="微软雅黑"/>
          <w:color w:val="231F20"/>
          <w:spacing w:val="-13"/>
          <w:sz w:val="20"/>
          <w:szCs w:val="20"/>
        </w:rPr>
        <w:t xml:space="preserve"> </w:t>
      </w:r>
      <w:r>
        <w:rPr>
          <w:rFonts w:ascii="微软雅黑" w:hAnsi="微软雅黑" w:eastAsia="微软雅黑" w:cs="微软雅黑"/>
          <w:color w:val="231F20"/>
          <w:spacing w:val="12"/>
          <w:sz w:val="20"/>
          <w:szCs w:val="20"/>
        </w:rPr>
        <w:t>。教育评价不只是一次性评价，评价应前</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后一致，评价应考虑减少处罚，评价应当公平并按照</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pacing w:val="3"/>
          <w:sz w:val="20"/>
          <w:szCs w:val="20"/>
        </w:rPr>
        <w:t>规定程序进行，应给学生提供申诉程序渠道。</w:t>
      </w:r>
    </w:p>
    <w:p>
      <w:pPr>
        <w:spacing w:before="36" w:line="210" w:lineRule="auto"/>
        <w:ind w:left="188" w:firstLine="418"/>
        <w:jc w:val="both"/>
        <w:rPr>
          <w:rFonts w:ascii="微软雅黑" w:hAnsi="微软雅黑" w:eastAsia="微软雅黑" w:cs="微软雅黑"/>
          <w:sz w:val="20"/>
          <w:szCs w:val="20"/>
        </w:rPr>
      </w:pPr>
      <w:r>
        <w:rPr>
          <w:rFonts w:ascii="宋体" w:hAnsi="宋体" w:eastAsia="宋体" w:cs="宋体"/>
          <w:color w:val="231F20"/>
          <w:spacing w:val="9"/>
          <w:sz w:val="20"/>
          <w:szCs w:val="20"/>
        </w:rPr>
        <w:t>4.</w:t>
      </w:r>
      <w:r>
        <w:rPr>
          <w:rFonts w:ascii="宋体" w:hAnsi="宋体" w:eastAsia="宋体" w:cs="宋体"/>
          <w:color w:val="231F20"/>
          <w:spacing w:val="-33"/>
          <w:sz w:val="20"/>
          <w:szCs w:val="20"/>
        </w:rPr>
        <w:t xml:space="preserve"> </w:t>
      </w:r>
      <w:r>
        <w:rPr>
          <w:rFonts w:ascii="微软雅黑" w:hAnsi="微软雅黑" w:eastAsia="微软雅黑" w:cs="微软雅黑"/>
          <w:color w:val="231F20"/>
          <w:spacing w:val="9"/>
          <w:sz w:val="20"/>
          <w:szCs w:val="20"/>
        </w:rPr>
        <w:t>强调对学生培养过程的全周期保障</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9"/>
          <w:sz w:val="20"/>
          <w:szCs w:val="20"/>
        </w:rPr>
        <w:t>。过程培</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9"/>
          <w:sz w:val="20"/>
          <w:szCs w:val="20"/>
        </w:rPr>
        <w:t>养是确保人才培养质量的重要保障，在</w:t>
      </w:r>
      <w:r>
        <w:rPr>
          <w:rFonts w:ascii="微软雅黑" w:hAnsi="微软雅黑" w:eastAsia="微软雅黑" w:cs="微软雅黑"/>
          <w:color w:val="231F20"/>
          <w:sz w:val="20"/>
          <w:szCs w:val="20"/>
        </w:rPr>
        <w:t xml:space="preserve"> </w:t>
      </w:r>
      <w:r>
        <w:rPr>
          <w:rFonts w:ascii="宋体" w:hAnsi="宋体" w:eastAsia="宋体" w:cs="宋体"/>
          <w:color w:val="231F20"/>
          <w:sz w:val="20"/>
          <w:szCs w:val="20"/>
        </w:rPr>
        <w:t>ESG</w:t>
      </w:r>
      <w:r>
        <w:rPr>
          <w:rFonts w:ascii="宋体" w:hAnsi="宋体" w:eastAsia="宋体" w:cs="宋体"/>
          <w:color w:val="231F20"/>
          <w:spacing w:val="-60"/>
          <w:sz w:val="20"/>
          <w:szCs w:val="20"/>
        </w:rPr>
        <w:t xml:space="preserve"> </w:t>
      </w:r>
      <w:r>
        <w:rPr>
          <w:rFonts w:ascii="微软雅黑" w:hAnsi="微软雅黑" w:eastAsia="微软雅黑" w:cs="微软雅黑"/>
          <w:color w:val="231F20"/>
          <w:spacing w:val="9"/>
          <w:sz w:val="20"/>
          <w:szCs w:val="20"/>
        </w:rPr>
        <w:t>指南里，</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3"/>
          <w:sz w:val="20"/>
          <w:szCs w:val="20"/>
        </w:rPr>
        <w:t>这</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3"/>
          <w:sz w:val="20"/>
          <w:szCs w:val="20"/>
        </w:rPr>
        <w:t>一</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13"/>
          <w:sz w:val="20"/>
          <w:szCs w:val="20"/>
        </w:rPr>
        <w:t>人</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13"/>
          <w:sz w:val="20"/>
          <w:szCs w:val="20"/>
        </w:rPr>
        <w:t>才</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3"/>
          <w:sz w:val="20"/>
          <w:szCs w:val="20"/>
        </w:rPr>
        <w:t>培</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13"/>
          <w:sz w:val="20"/>
          <w:szCs w:val="20"/>
        </w:rPr>
        <w:t>养</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13"/>
          <w:sz w:val="20"/>
          <w:szCs w:val="20"/>
        </w:rPr>
        <w:t>过</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13"/>
          <w:sz w:val="20"/>
          <w:szCs w:val="20"/>
        </w:rPr>
        <w:t>程</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13"/>
          <w:sz w:val="20"/>
          <w:szCs w:val="20"/>
        </w:rPr>
        <w:t>被</w:t>
      </w:r>
      <w:r>
        <w:rPr>
          <w:rFonts w:ascii="微软雅黑" w:hAnsi="微软雅黑" w:eastAsia="微软雅黑" w:cs="微软雅黑"/>
          <w:color w:val="231F20"/>
          <w:spacing w:val="-22"/>
          <w:sz w:val="20"/>
          <w:szCs w:val="20"/>
        </w:rPr>
        <w:t xml:space="preserve"> </w:t>
      </w:r>
      <w:r>
        <w:rPr>
          <w:rFonts w:ascii="微软雅黑" w:hAnsi="微软雅黑" w:eastAsia="微软雅黑" w:cs="微软雅黑"/>
          <w:color w:val="231F20"/>
          <w:spacing w:val="-13"/>
          <w:sz w:val="20"/>
          <w:szCs w:val="20"/>
        </w:rPr>
        <w:t>赋</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13"/>
          <w:sz w:val="20"/>
          <w:szCs w:val="20"/>
        </w:rPr>
        <w:t>予 了“</w:t>
      </w:r>
      <w:r>
        <w:rPr>
          <w:rFonts w:ascii="微软雅黑" w:hAnsi="微软雅黑" w:eastAsia="微软雅黑" w:cs="微软雅黑"/>
          <w:color w:val="231F20"/>
          <w:spacing w:val="-36"/>
          <w:sz w:val="20"/>
          <w:szCs w:val="20"/>
        </w:rPr>
        <w:t xml:space="preserve"> </w:t>
      </w:r>
      <w:r>
        <w:rPr>
          <w:rFonts w:ascii="微软雅黑" w:hAnsi="微软雅黑" w:eastAsia="微软雅黑" w:cs="微软雅黑"/>
          <w:color w:val="231F20"/>
          <w:spacing w:val="-13"/>
          <w:sz w:val="20"/>
          <w:szCs w:val="20"/>
        </w:rPr>
        <w:t>全</w:t>
      </w:r>
      <w:r>
        <w:rPr>
          <w:rFonts w:ascii="微软雅黑" w:hAnsi="微软雅黑" w:eastAsia="微软雅黑" w:cs="微软雅黑"/>
          <w:color w:val="231F20"/>
          <w:spacing w:val="-22"/>
          <w:sz w:val="20"/>
          <w:szCs w:val="20"/>
        </w:rPr>
        <w:t xml:space="preserve"> </w:t>
      </w:r>
      <w:r>
        <w:rPr>
          <w:rFonts w:ascii="微软雅黑" w:hAnsi="微软雅黑" w:eastAsia="微软雅黑" w:cs="微软雅黑"/>
          <w:color w:val="231F20"/>
          <w:spacing w:val="-13"/>
          <w:sz w:val="20"/>
          <w:szCs w:val="20"/>
        </w:rPr>
        <w:t>生</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13"/>
          <w:sz w:val="20"/>
          <w:szCs w:val="20"/>
        </w:rPr>
        <w:t>命</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13"/>
          <w:sz w:val="20"/>
          <w:szCs w:val="20"/>
        </w:rPr>
        <w:t>周</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13"/>
          <w:sz w:val="20"/>
          <w:szCs w:val="20"/>
        </w:rPr>
        <w:t>期 ”（</w:t>
      </w:r>
      <w:r>
        <w:rPr>
          <w:rFonts w:ascii="宋体" w:hAnsi="宋体" w:eastAsia="宋体" w:cs="宋体"/>
          <w:color w:val="231F20"/>
          <w:spacing w:val="-13"/>
          <w:sz w:val="20"/>
          <w:szCs w:val="20"/>
        </w:rPr>
        <w:t>Life</w:t>
      </w:r>
      <w:r>
        <w:rPr>
          <w:rFonts w:ascii="宋体" w:hAnsi="宋体" w:eastAsia="宋体" w:cs="宋体"/>
          <w:color w:val="231F20"/>
          <w:sz w:val="20"/>
          <w:szCs w:val="20"/>
        </w:rPr>
        <w:t xml:space="preserve">  </w:t>
      </w:r>
      <w:r>
        <w:rPr>
          <w:rFonts w:ascii="宋体" w:hAnsi="宋体" w:eastAsia="宋体" w:cs="宋体"/>
          <w:color w:val="231F20"/>
          <w:spacing w:val="-4"/>
          <w:sz w:val="20"/>
          <w:szCs w:val="20"/>
        </w:rPr>
        <w:t>Cycle</w:t>
      </w:r>
      <w:r>
        <w:rPr>
          <w:rFonts w:ascii="微软雅黑" w:hAnsi="微软雅黑" w:eastAsia="微软雅黑" w:cs="微软雅黑"/>
          <w:color w:val="231F20"/>
          <w:spacing w:val="-4"/>
          <w:sz w:val="20"/>
          <w:szCs w:val="20"/>
        </w:rPr>
        <w:t>）的概念而加以要求，包含了学生从入学</w:t>
      </w:r>
      <w:r>
        <w:rPr>
          <w:rFonts w:ascii="微软雅黑" w:hAnsi="微软雅黑" w:eastAsia="微软雅黑" w:cs="微软雅黑"/>
          <w:color w:val="231F20"/>
          <w:spacing w:val="-5"/>
          <w:sz w:val="20"/>
          <w:szCs w:val="20"/>
        </w:rPr>
        <w:t>、进展、</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学业认定和证书颁发等各环节管理，如在招生入学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sz w:val="20"/>
          <w:szCs w:val="20"/>
        </w:rPr>
        <w:t>阶段，招生入学标准必须透明、执行标准前后一致</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7"/>
          <w:sz w:val="20"/>
          <w:szCs w:val="20"/>
        </w:rPr>
        <w:t>。</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在过程培养中，必须有相应的工具收集和监测学生</w:t>
      </w:r>
    </w:p>
    <w:p>
      <w:pPr>
        <w:spacing w:line="14" w:lineRule="auto"/>
        <w:rPr>
          <w:rFonts w:ascii="Arial"/>
          <w:sz w:val="2"/>
        </w:rPr>
      </w:pPr>
      <w:r>
        <w:rPr>
          <w:rFonts w:ascii="Arial" w:hAnsi="Arial" w:eastAsia="Arial" w:cs="Arial"/>
          <w:sz w:val="2"/>
          <w:szCs w:val="2"/>
        </w:rPr>
        <w:br w:type="column"/>
      </w:r>
    </w:p>
    <w:p>
      <w:pPr>
        <w:spacing w:before="42" w:line="208" w:lineRule="auto"/>
        <w:ind w:left="82" w:right="165" w:firstLine="2"/>
        <w:jc w:val="both"/>
        <w:rPr>
          <w:rFonts w:ascii="微软雅黑" w:hAnsi="微软雅黑" w:eastAsia="微软雅黑" w:cs="微软雅黑"/>
          <w:sz w:val="20"/>
          <w:szCs w:val="20"/>
        </w:rPr>
      </w:pPr>
      <w:r>
        <w:rPr>
          <w:rFonts w:ascii="微软雅黑" w:hAnsi="微软雅黑" w:eastAsia="微软雅黑" w:cs="微软雅黑"/>
          <w:color w:val="231F20"/>
          <w:spacing w:val="12"/>
          <w:sz w:val="20"/>
          <w:szCs w:val="20"/>
        </w:rPr>
        <w:t>学业进展数据</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12"/>
          <w:sz w:val="20"/>
          <w:szCs w:val="20"/>
        </w:rPr>
        <w:t>。在毕业审核环节，必须清晰规定学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生毕业资格要求，包括获得学分、预期学习成果和相</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应达到的水平、内容和状态</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。特别随着学生交流频</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繁和流动性增大，高等教育机构必须公平地认定高</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等教育学习资格、学习时间和既往学习，包括非正式</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7"/>
          <w:sz w:val="20"/>
          <w:szCs w:val="20"/>
        </w:rPr>
        <w:t>学习和正式学习。</w:t>
      </w:r>
    </w:p>
    <w:p>
      <w:pPr>
        <w:spacing w:before="47" w:line="211" w:lineRule="auto"/>
        <w:ind w:left="82" w:right="86" w:firstLine="423"/>
        <w:jc w:val="both"/>
        <w:rPr>
          <w:rFonts w:ascii="微软雅黑" w:hAnsi="微软雅黑" w:eastAsia="微软雅黑" w:cs="微软雅黑"/>
          <w:sz w:val="20"/>
          <w:szCs w:val="20"/>
        </w:rPr>
      </w:pPr>
      <w:r>
        <w:rPr>
          <w:rFonts w:ascii="宋体" w:hAnsi="宋体" w:eastAsia="宋体" w:cs="宋体"/>
          <w:color w:val="231F20"/>
          <w:spacing w:val="11"/>
          <w:sz w:val="20"/>
          <w:szCs w:val="20"/>
        </w:rPr>
        <w:t>5.</w:t>
      </w:r>
      <w:r>
        <w:rPr>
          <w:rFonts w:ascii="宋体" w:hAnsi="宋体" w:eastAsia="宋体" w:cs="宋体"/>
          <w:color w:val="231F20"/>
          <w:spacing w:val="-14"/>
          <w:sz w:val="20"/>
          <w:szCs w:val="20"/>
        </w:rPr>
        <w:t xml:space="preserve"> </w:t>
      </w:r>
      <w:r>
        <w:rPr>
          <w:rFonts w:ascii="微软雅黑" w:hAnsi="微软雅黑" w:eastAsia="微软雅黑" w:cs="微软雅黑"/>
          <w:color w:val="231F20"/>
          <w:spacing w:val="11"/>
          <w:sz w:val="20"/>
          <w:szCs w:val="20"/>
        </w:rPr>
        <w:t>突出教师在质量保障的角色与地位</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11"/>
          <w:sz w:val="20"/>
          <w:szCs w:val="20"/>
        </w:rPr>
        <w:t>。在</w:t>
      </w:r>
      <w:r>
        <w:rPr>
          <w:rFonts w:ascii="微软雅黑" w:hAnsi="微软雅黑" w:eastAsia="微软雅黑" w:cs="微软雅黑"/>
          <w:color w:val="231F20"/>
          <w:spacing w:val="-16"/>
          <w:sz w:val="20"/>
          <w:szCs w:val="20"/>
        </w:rPr>
        <w:t xml:space="preserve"> </w:t>
      </w:r>
      <w:r>
        <w:rPr>
          <w:rFonts w:ascii="宋体" w:hAnsi="宋体" w:eastAsia="宋体" w:cs="宋体"/>
          <w:color w:val="231F20"/>
          <w:sz w:val="20"/>
          <w:szCs w:val="20"/>
        </w:rPr>
        <w:t>ESG</w:t>
      </w:r>
      <w:r>
        <w:rPr>
          <w:rFonts w:ascii="宋体" w:hAnsi="宋体" w:eastAsia="宋体" w:cs="宋体"/>
          <w:color w:val="231F20"/>
          <w:spacing w:val="11"/>
          <w:sz w:val="20"/>
          <w:szCs w:val="20"/>
        </w:rPr>
        <w:t xml:space="preserve"> </w:t>
      </w:r>
      <w:r>
        <w:rPr>
          <w:rFonts w:ascii="微软雅黑" w:hAnsi="微软雅黑" w:eastAsia="微软雅黑" w:cs="微软雅黑"/>
          <w:color w:val="231F20"/>
          <w:spacing w:val="14"/>
          <w:sz w:val="20"/>
          <w:szCs w:val="20"/>
        </w:rPr>
        <w:t>指南中，教师角色地位被认为是创造高质量学习体</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验和使学生获得知识、能力和技能方面必不可少的，</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4"/>
          <w:sz w:val="20"/>
          <w:szCs w:val="20"/>
        </w:rPr>
        <w:t>尤其在强调适应学生群体多样化，突出以学生为中</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心的学习和教学时，教师的角色和地位就更加重要。</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0"/>
          <w:sz w:val="20"/>
          <w:szCs w:val="20"/>
        </w:rPr>
        <w:t>基于这一认识，</w:t>
      </w:r>
      <w:r>
        <w:rPr>
          <w:rFonts w:ascii="宋体" w:hAnsi="宋体" w:eastAsia="宋体" w:cs="宋体"/>
          <w:color w:val="231F20"/>
          <w:sz w:val="20"/>
          <w:szCs w:val="20"/>
        </w:rPr>
        <w:t>ESG</w:t>
      </w:r>
      <w:r>
        <w:rPr>
          <w:rFonts w:ascii="微软雅黑" w:hAnsi="微软雅黑" w:eastAsia="微软雅黑" w:cs="微软雅黑"/>
          <w:color w:val="231F20"/>
          <w:spacing w:val="10"/>
          <w:sz w:val="20"/>
          <w:szCs w:val="20"/>
        </w:rPr>
        <w:t>指南要求高等教育机构首要</w:t>
      </w:r>
      <w:r>
        <w:rPr>
          <w:rFonts w:ascii="微软雅黑" w:hAnsi="微软雅黑" w:eastAsia="微软雅黑" w:cs="微软雅黑"/>
          <w:color w:val="231F20"/>
          <w:spacing w:val="9"/>
          <w:sz w:val="20"/>
          <w:szCs w:val="20"/>
        </w:rPr>
        <w:t>任务</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是确保聘任有竞争力教师并为他们的发展创造充分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的条件</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3"/>
          <w:sz w:val="20"/>
          <w:szCs w:val="20"/>
        </w:rPr>
        <w:t>。这些要求包括：必须有明确、透明、公平的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招聘流程和就业条件，承认教学重要性，为承担教学</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的教师提供专业发展机会，鼓励教师参加学术活动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以加强教学与研究之间的联系，鼓励教师应用信息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技术进行教学方法与技术创新。</w:t>
      </w:r>
    </w:p>
    <w:p>
      <w:pPr>
        <w:spacing w:before="47" w:line="211" w:lineRule="auto"/>
        <w:ind w:right="86" w:firstLine="505"/>
        <w:jc w:val="both"/>
        <w:rPr>
          <w:rFonts w:ascii="微软雅黑" w:hAnsi="微软雅黑" w:eastAsia="微软雅黑" w:cs="微软雅黑"/>
          <w:sz w:val="20"/>
          <w:szCs w:val="20"/>
        </w:rPr>
      </w:pPr>
      <w:r>
        <w:rPr>
          <w:rFonts w:ascii="宋体" w:hAnsi="宋体" w:eastAsia="宋体" w:cs="宋体"/>
          <w:color w:val="231F20"/>
          <w:spacing w:val="8"/>
          <w:sz w:val="20"/>
          <w:szCs w:val="20"/>
        </w:rPr>
        <w:t>6.</w:t>
      </w:r>
      <w:r>
        <w:rPr>
          <w:rFonts w:ascii="宋体" w:hAnsi="宋体" w:eastAsia="宋体" w:cs="宋体"/>
          <w:color w:val="231F20"/>
          <w:spacing w:val="-17"/>
          <w:sz w:val="20"/>
          <w:szCs w:val="20"/>
        </w:rPr>
        <w:t xml:space="preserve"> </w:t>
      </w:r>
      <w:r>
        <w:rPr>
          <w:rFonts w:ascii="微软雅黑" w:hAnsi="微软雅黑" w:eastAsia="微软雅黑" w:cs="微软雅黑"/>
          <w:color w:val="231F20"/>
          <w:spacing w:val="8"/>
          <w:sz w:val="20"/>
          <w:szCs w:val="20"/>
        </w:rPr>
        <w:t>强化学习资源支持与学生学习指导</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8"/>
          <w:sz w:val="20"/>
          <w:szCs w:val="20"/>
        </w:rPr>
        <w:t>。学习资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0"/>
          <w:sz w:val="20"/>
          <w:szCs w:val="20"/>
        </w:rPr>
        <w:t>源是质量保障的基本条件，根据</w:t>
      </w:r>
      <w:r>
        <w:rPr>
          <w:rFonts w:ascii="微软雅黑" w:hAnsi="微软雅黑" w:eastAsia="微软雅黑" w:cs="微软雅黑"/>
          <w:color w:val="231F20"/>
          <w:spacing w:val="-19"/>
          <w:sz w:val="20"/>
          <w:szCs w:val="20"/>
        </w:rPr>
        <w:t xml:space="preserve"> </w:t>
      </w:r>
      <w:r>
        <w:rPr>
          <w:rFonts w:ascii="宋体" w:hAnsi="宋体" w:eastAsia="宋体" w:cs="宋体"/>
          <w:color w:val="231F20"/>
          <w:sz w:val="20"/>
          <w:szCs w:val="20"/>
        </w:rPr>
        <w:t>ESG</w:t>
      </w:r>
      <w:r>
        <w:rPr>
          <w:rFonts w:ascii="宋体" w:hAnsi="宋体" w:eastAsia="宋体" w:cs="宋体"/>
          <w:color w:val="231F20"/>
          <w:spacing w:val="-60"/>
          <w:sz w:val="20"/>
          <w:szCs w:val="20"/>
        </w:rPr>
        <w:t xml:space="preserve"> </w:t>
      </w:r>
      <w:r>
        <w:rPr>
          <w:rFonts w:ascii="微软雅黑" w:hAnsi="微软雅黑" w:eastAsia="微软雅黑" w:cs="微软雅黑"/>
          <w:color w:val="231F20"/>
          <w:spacing w:val="10"/>
          <w:sz w:val="20"/>
          <w:szCs w:val="20"/>
        </w:rPr>
        <w:t>指南，学习资源</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不仅包括学校的图书、学习设施</w:t>
      </w:r>
      <w:r>
        <w:rPr>
          <w:rFonts w:ascii="微软雅黑" w:hAnsi="微软雅黑" w:eastAsia="微软雅黑" w:cs="微软雅黑"/>
          <w:color w:val="231F20"/>
          <w:spacing w:val="-1"/>
          <w:sz w:val="20"/>
          <w:szCs w:val="20"/>
        </w:rPr>
        <w:t xml:space="preserve"> </w:t>
      </w:r>
      <w:r>
        <w:rPr>
          <w:rFonts w:ascii="宋体" w:hAnsi="宋体" w:eastAsia="宋体" w:cs="宋体"/>
          <w:color w:val="231F20"/>
          <w:sz w:val="20"/>
          <w:szCs w:val="20"/>
        </w:rPr>
        <w:t>IT</w:t>
      </w:r>
      <w:r>
        <w:rPr>
          <w:rFonts w:ascii="微软雅黑" w:hAnsi="微软雅黑" w:eastAsia="微软雅黑" w:cs="微软雅黑"/>
          <w:color w:val="231F20"/>
          <w:spacing w:val="6"/>
          <w:sz w:val="20"/>
          <w:szCs w:val="20"/>
        </w:rPr>
        <w:t>硬件及服务，而且</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包括学业导师、各类学习咨询顾问及其他学习指导</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6"/>
          <w:sz w:val="20"/>
          <w:szCs w:val="20"/>
        </w:rPr>
        <w:t>服务</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6"/>
          <w:sz w:val="20"/>
          <w:szCs w:val="20"/>
        </w:rPr>
        <w:t>。特别是鉴于学生多样和以学生为中心的学习</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和教学模式的转变，学校在安排、规划和提供学习资</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7"/>
          <w:sz w:val="20"/>
          <w:szCs w:val="20"/>
        </w:rPr>
        <w:t>源时，必须充分考虑不同学习群体的多样学习需求</w:t>
      </w:r>
      <w:r>
        <w:rPr>
          <w:rFonts w:ascii="微软雅黑" w:hAnsi="微软雅黑" w:eastAsia="微软雅黑" w:cs="微软雅黑"/>
          <w:color w:val="231F20"/>
          <w:spacing w:val="8"/>
          <w:sz w:val="20"/>
          <w:szCs w:val="20"/>
        </w:rPr>
        <w:t xml:space="preserve">  （如学生成熟度、非全日制学生、国际学生以及残疾</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3"/>
          <w:sz w:val="20"/>
          <w:szCs w:val="20"/>
        </w:rPr>
        <w:t>学生</w:t>
      </w:r>
      <w:r>
        <w:rPr>
          <w:rFonts w:ascii="微软雅黑" w:hAnsi="微软雅黑" w:eastAsia="微软雅黑" w:cs="微软雅黑"/>
          <w:color w:val="231F20"/>
          <w:spacing w:val="-29"/>
          <w:w w:val="60"/>
          <w:sz w:val="20"/>
          <w:szCs w:val="20"/>
        </w:rPr>
        <w:t>），</w:t>
      </w:r>
      <w:r>
        <w:rPr>
          <w:rFonts w:ascii="微软雅黑" w:hAnsi="微软雅黑" w:eastAsia="微软雅黑" w:cs="微软雅黑"/>
          <w:color w:val="231F20"/>
          <w:spacing w:val="13"/>
          <w:sz w:val="20"/>
          <w:szCs w:val="20"/>
        </w:rPr>
        <w:t>以确保各种支持的适切性、接近性和可得</w:t>
      </w:r>
      <w:r>
        <w:rPr>
          <w:rFonts w:ascii="微软雅黑" w:hAnsi="微软雅黑" w:eastAsia="微软雅黑" w:cs="微软雅黑"/>
          <w:color w:val="231F20"/>
          <w:spacing w:val="12"/>
          <w:sz w:val="20"/>
          <w:szCs w:val="20"/>
        </w:rPr>
        <w:t>性。</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9"/>
          <w:sz w:val="20"/>
          <w:szCs w:val="20"/>
        </w:rPr>
        <w:t>同时</w:t>
      </w:r>
      <w:r>
        <w:rPr>
          <w:rFonts w:ascii="微软雅黑" w:hAnsi="微软雅黑" w:eastAsia="微软雅黑" w:cs="微软雅黑"/>
          <w:color w:val="231F20"/>
          <w:spacing w:val="5"/>
          <w:sz w:val="20"/>
          <w:szCs w:val="20"/>
        </w:rPr>
        <w:t xml:space="preserve"> </w:t>
      </w:r>
      <w:r>
        <w:rPr>
          <w:rFonts w:ascii="宋体" w:hAnsi="宋体" w:eastAsia="宋体" w:cs="宋体"/>
          <w:color w:val="231F20"/>
          <w:sz w:val="20"/>
          <w:szCs w:val="20"/>
        </w:rPr>
        <w:t>ESG</w:t>
      </w:r>
      <w:r>
        <w:rPr>
          <w:rFonts w:ascii="宋体" w:hAnsi="宋体" w:eastAsia="宋体" w:cs="宋体"/>
          <w:color w:val="231F20"/>
          <w:spacing w:val="-54"/>
          <w:sz w:val="20"/>
          <w:szCs w:val="20"/>
        </w:rPr>
        <w:t xml:space="preserve"> </w:t>
      </w:r>
      <w:r>
        <w:rPr>
          <w:rFonts w:ascii="微软雅黑" w:hAnsi="微软雅黑" w:eastAsia="微软雅黑" w:cs="微软雅黑"/>
          <w:color w:val="231F20"/>
          <w:spacing w:val="19"/>
          <w:sz w:val="20"/>
          <w:szCs w:val="20"/>
        </w:rPr>
        <w:t>指南也强调，行政工作人员在支持服务体</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系中起着至关重要的作用，学校需要一批合格的行</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3"/>
          <w:sz w:val="20"/>
          <w:szCs w:val="20"/>
        </w:rPr>
        <w:t>政工作人员并为他们的发展提供机会。</w:t>
      </w:r>
    </w:p>
    <w:p>
      <w:pPr>
        <w:spacing w:before="49" w:line="211" w:lineRule="auto"/>
        <w:ind w:left="83" w:right="98" w:firstLine="420"/>
        <w:jc w:val="both"/>
        <w:rPr>
          <w:rFonts w:ascii="微软雅黑" w:hAnsi="微软雅黑" w:eastAsia="微软雅黑" w:cs="微软雅黑"/>
          <w:sz w:val="20"/>
          <w:szCs w:val="20"/>
        </w:rPr>
      </w:pPr>
      <w:r>
        <w:rPr>
          <w:rFonts w:ascii="宋体" w:hAnsi="宋体" w:eastAsia="宋体" w:cs="宋体"/>
          <w:color w:val="231F20"/>
          <w:spacing w:val="-3"/>
          <w:sz w:val="20"/>
          <w:szCs w:val="20"/>
        </w:rPr>
        <w:t>7.</w:t>
      </w:r>
      <w:r>
        <w:rPr>
          <w:rFonts w:ascii="宋体" w:hAnsi="宋体" w:eastAsia="宋体" w:cs="宋体"/>
          <w:color w:val="231F20"/>
          <w:spacing w:val="-10"/>
          <w:sz w:val="20"/>
          <w:szCs w:val="20"/>
        </w:rPr>
        <w:t xml:space="preserve"> </w:t>
      </w:r>
      <w:r>
        <w:rPr>
          <w:rFonts w:ascii="微软雅黑" w:hAnsi="微软雅黑" w:eastAsia="微软雅黑" w:cs="微软雅黑"/>
          <w:color w:val="231F20"/>
          <w:spacing w:val="-3"/>
          <w:sz w:val="20"/>
          <w:szCs w:val="20"/>
        </w:rPr>
        <w:t>重</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3"/>
          <w:sz w:val="20"/>
          <w:szCs w:val="20"/>
        </w:rPr>
        <w:t>视</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3"/>
          <w:sz w:val="20"/>
          <w:szCs w:val="20"/>
        </w:rPr>
        <w:t>质</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3"/>
          <w:sz w:val="20"/>
          <w:szCs w:val="20"/>
        </w:rPr>
        <w:t>量</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3"/>
          <w:sz w:val="20"/>
          <w:szCs w:val="20"/>
        </w:rPr>
        <w:t>保</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3"/>
          <w:sz w:val="20"/>
          <w:szCs w:val="20"/>
        </w:rPr>
        <w:t>障</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3"/>
          <w:sz w:val="20"/>
          <w:szCs w:val="20"/>
        </w:rPr>
        <w:t>信</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3"/>
          <w:sz w:val="20"/>
          <w:szCs w:val="20"/>
        </w:rPr>
        <w:t>息</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3"/>
          <w:sz w:val="20"/>
          <w:szCs w:val="20"/>
        </w:rPr>
        <w:t>管</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3"/>
          <w:sz w:val="20"/>
          <w:szCs w:val="20"/>
        </w:rPr>
        <w:t>理</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3"/>
          <w:sz w:val="20"/>
          <w:szCs w:val="20"/>
        </w:rPr>
        <w:t>和</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3"/>
          <w:sz w:val="20"/>
          <w:szCs w:val="20"/>
        </w:rPr>
        <w:t>信</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3"/>
          <w:sz w:val="20"/>
          <w:szCs w:val="20"/>
        </w:rPr>
        <w:t>息</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3"/>
          <w:sz w:val="20"/>
          <w:szCs w:val="20"/>
        </w:rPr>
        <w:t>公</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3"/>
          <w:sz w:val="20"/>
          <w:szCs w:val="20"/>
        </w:rPr>
        <w:t>开</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3"/>
          <w:sz w:val="20"/>
          <w:szCs w:val="20"/>
        </w:rPr>
        <w:t>。根</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3"/>
          <w:sz w:val="20"/>
          <w:szCs w:val="20"/>
        </w:rPr>
        <w:t>据</w:t>
      </w:r>
      <w:r>
        <w:rPr>
          <w:rFonts w:ascii="微软雅黑" w:hAnsi="微软雅黑" w:eastAsia="微软雅黑" w:cs="微软雅黑"/>
          <w:color w:val="231F20"/>
          <w:sz w:val="20"/>
          <w:szCs w:val="20"/>
        </w:rPr>
        <w:t xml:space="preserve">  </w:t>
      </w:r>
      <w:r>
        <w:rPr>
          <w:rFonts w:ascii="宋体" w:hAnsi="宋体" w:eastAsia="宋体" w:cs="宋体"/>
          <w:color w:val="231F20"/>
          <w:sz w:val="20"/>
          <w:szCs w:val="20"/>
        </w:rPr>
        <w:t>ESG</w:t>
      </w:r>
      <w:r>
        <w:rPr>
          <w:rFonts w:ascii="微软雅黑" w:hAnsi="微软雅黑" w:eastAsia="微软雅黑" w:cs="微软雅黑"/>
          <w:color w:val="231F20"/>
          <w:spacing w:val="9"/>
          <w:sz w:val="20"/>
          <w:szCs w:val="20"/>
        </w:rPr>
        <w:t xml:space="preserve">指南建议，学校应收集和分析有关培养方案及其  </w:t>
      </w:r>
      <w:r>
        <w:rPr>
          <w:rFonts w:ascii="微软雅黑" w:hAnsi="微软雅黑" w:eastAsia="微软雅黑" w:cs="微软雅黑"/>
          <w:color w:val="231F20"/>
          <w:spacing w:val="6"/>
          <w:sz w:val="20"/>
          <w:szCs w:val="20"/>
        </w:rPr>
        <w:t>他活动信息，并有效纳入内部质量保证体系</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6"/>
          <w:sz w:val="20"/>
          <w:szCs w:val="20"/>
        </w:rPr>
        <w:t>。为此，</w:t>
      </w:r>
      <w:r>
        <w:rPr>
          <w:rFonts w:ascii="微软雅黑" w:hAnsi="微软雅黑" w:eastAsia="微软雅黑" w:cs="微软雅黑"/>
          <w:color w:val="231F20"/>
          <w:sz w:val="20"/>
          <w:szCs w:val="20"/>
        </w:rPr>
        <w:t xml:space="preserve"> </w:t>
      </w:r>
      <w:r>
        <w:rPr>
          <w:rFonts w:ascii="宋体" w:hAnsi="宋体" w:eastAsia="宋体" w:cs="宋体"/>
          <w:color w:val="231F20"/>
          <w:sz w:val="20"/>
          <w:szCs w:val="20"/>
        </w:rPr>
        <w:t>ESG</w:t>
      </w:r>
      <w:r>
        <w:rPr>
          <w:rFonts w:ascii="微软雅黑" w:hAnsi="微软雅黑" w:eastAsia="微软雅黑" w:cs="微软雅黑"/>
          <w:color w:val="231F20"/>
          <w:spacing w:val="9"/>
          <w:sz w:val="20"/>
          <w:szCs w:val="20"/>
        </w:rPr>
        <w:t xml:space="preserve">指南提供了一些信息管理的关键参考，包括关键  </w:t>
      </w:r>
      <w:r>
        <w:rPr>
          <w:rFonts w:ascii="微软雅黑" w:hAnsi="微软雅黑" w:eastAsia="微软雅黑" w:cs="微软雅黑"/>
          <w:color w:val="231F20"/>
          <w:spacing w:val="-8"/>
          <w:sz w:val="20"/>
          <w:szCs w:val="20"/>
        </w:rPr>
        <w:t>表现指标（</w:t>
      </w:r>
      <w:r>
        <w:rPr>
          <w:rFonts w:ascii="宋体" w:hAnsi="宋体" w:eastAsia="宋体" w:cs="宋体"/>
          <w:color w:val="231F20"/>
          <w:spacing w:val="-8"/>
          <w:sz w:val="20"/>
          <w:szCs w:val="20"/>
        </w:rPr>
        <w:t>KPI</w:t>
      </w:r>
      <w:r>
        <w:rPr>
          <w:rFonts w:ascii="微软雅黑" w:hAnsi="微软雅黑" w:eastAsia="微软雅黑" w:cs="微软雅黑"/>
          <w:color w:val="231F20"/>
          <w:spacing w:val="-8"/>
          <w:sz w:val="20"/>
          <w:szCs w:val="20"/>
        </w:rPr>
        <w:t>）、学生概况、学生进步率、成功率和辍</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4"/>
          <w:sz w:val="20"/>
          <w:szCs w:val="20"/>
        </w:rPr>
        <w:t>学率、学生对于专业课程满意度、学习资源和学生支</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6"/>
          <w:sz w:val="20"/>
          <w:szCs w:val="20"/>
        </w:rPr>
        <w:t>持可获得性、毕业生职业方向等</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6"/>
          <w:sz w:val="20"/>
          <w:szCs w:val="20"/>
        </w:rPr>
        <w:t>。除信息管理之外，</w:t>
      </w:r>
      <w:r>
        <w:rPr>
          <w:rFonts w:ascii="微软雅黑" w:hAnsi="微软雅黑" w:eastAsia="微软雅黑" w:cs="微软雅黑"/>
          <w:color w:val="231F20"/>
          <w:sz w:val="20"/>
          <w:szCs w:val="20"/>
        </w:rPr>
        <w:t xml:space="preserve"> </w:t>
      </w:r>
      <w:r>
        <w:rPr>
          <w:rFonts w:ascii="宋体" w:hAnsi="宋体" w:eastAsia="宋体" w:cs="宋体"/>
          <w:color w:val="231F20"/>
          <w:sz w:val="20"/>
          <w:szCs w:val="20"/>
        </w:rPr>
        <w:t>ESG</w:t>
      </w:r>
      <w:r>
        <w:rPr>
          <w:rFonts w:ascii="宋体" w:hAnsi="宋体" w:eastAsia="宋体" w:cs="宋体"/>
          <w:color w:val="231F20"/>
          <w:spacing w:val="-40"/>
          <w:sz w:val="20"/>
          <w:szCs w:val="20"/>
        </w:rPr>
        <w:t xml:space="preserve"> </w:t>
      </w:r>
      <w:r>
        <w:rPr>
          <w:rFonts w:ascii="微软雅黑" w:hAnsi="微软雅黑" w:eastAsia="微软雅黑" w:cs="微软雅黑"/>
          <w:color w:val="231F20"/>
          <w:spacing w:val="7"/>
          <w:sz w:val="20"/>
          <w:szCs w:val="20"/>
        </w:rPr>
        <w:t>指南要求，高等教育机构必须向在校生、未来学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生及其他利益相关者提供关于课程的核心信息，包</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括课程计划及录取标准、课程预期学习成果、毕业资</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4"/>
          <w:sz w:val="20"/>
          <w:szCs w:val="20"/>
        </w:rPr>
        <w:t>格要求、教学、学习与评价程序、毕业通过率和学习</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4"/>
          <w:sz w:val="20"/>
          <w:szCs w:val="20"/>
        </w:rPr>
        <w:t>机会以及毕业生就业信息，这些信息必须是清晰、精</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6"/>
          <w:sz w:val="20"/>
          <w:szCs w:val="20"/>
        </w:rPr>
        <w:t>确、客观、最新的和易于找到的。</w:t>
      </w:r>
    </w:p>
    <w:p>
      <w:pPr>
        <w:spacing w:before="45" w:line="183" w:lineRule="auto"/>
        <w:ind w:left="510"/>
        <w:rPr>
          <w:rFonts w:ascii="微软雅黑" w:hAnsi="微软雅黑" w:eastAsia="微软雅黑" w:cs="微软雅黑"/>
          <w:sz w:val="20"/>
          <w:szCs w:val="20"/>
        </w:rPr>
      </w:pPr>
      <w:r>
        <w:rPr>
          <w:rFonts w:ascii="宋体" w:hAnsi="宋体" w:eastAsia="宋体" w:cs="宋体"/>
          <w:color w:val="231F20"/>
          <w:spacing w:val="8"/>
          <w:sz w:val="20"/>
          <w:szCs w:val="20"/>
        </w:rPr>
        <w:t>8.</w:t>
      </w:r>
      <w:r>
        <w:rPr>
          <w:rFonts w:ascii="宋体" w:hAnsi="宋体" w:eastAsia="宋体" w:cs="宋体"/>
          <w:color w:val="231F20"/>
          <w:spacing w:val="-21"/>
          <w:sz w:val="20"/>
          <w:szCs w:val="20"/>
        </w:rPr>
        <w:t xml:space="preserve"> </w:t>
      </w:r>
      <w:r>
        <w:rPr>
          <w:rFonts w:ascii="微软雅黑" w:hAnsi="微软雅黑" w:eastAsia="微软雅黑" w:cs="微软雅黑"/>
          <w:color w:val="231F20"/>
          <w:spacing w:val="8"/>
          <w:sz w:val="20"/>
          <w:szCs w:val="20"/>
        </w:rPr>
        <w:t>强调对质量持续监测和定期评估</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8"/>
          <w:sz w:val="20"/>
          <w:szCs w:val="20"/>
        </w:rPr>
        <w:t>。持续监测</w:t>
      </w:r>
    </w:p>
    <w:p>
      <w:pPr>
        <w:spacing w:before="144" w:line="284" w:lineRule="exact"/>
        <w:ind w:firstLine="4164"/>
      </w:pPr>
      <w:r>
        <w:rPr>
          <w:position w:val="-5"/>
        </w:rPr>
        <w:pict>
          <v:group id="_x0000_s1089" o:spid="_x0000_s1089" o:spt="203" style="height:14.25pt;width:39.6pt;" coordsize="791,285">
            <o:lock v:ext="edit"/>
            <v:group id="_x0000_s1090" o:spid="_x0000_s1090" o:spt="203" style="position:absolute;left:0;top:0;height:285;width:791;" coordsize="791,285">
              <o:lock v:ext="edit"/>
              <v:shape id="_x0000_s1091" o:spid="_x0000_s1091" style="position:absolute;left:395;top:0;height:285;width:397;" fillcolor="#C7C8CA" filled="t" stroked="f" coordsize="397,285" path="m396,284l396,0,0,0,0,284,396,284xe">
                <v:path/>
                <v:fill on="t" focussize="0,0"/>
                <v:stroke on="f"/>
                <v:imagedata o:title=""/>
                <o:lock v:ext="edit"/>
              </v:shape>
              <v:shape id="_x0000_s1092" o:spid="_x0000_s1092" style="position:absolute;left:0;top:0;height:285;width:395;" fillcolor="#231F20" filled="t" stroked="f" coordsize="395,285" path="m395,284l395,0,0,0,0,284,395,284xe">
                <v:path/>
                <v:fill on="t" focussize="0,0"/>
                <v:stroke on="f"/>
                <v:imagedata o:title=""/>
                <o:lock v:ext="edit"/>
              </v:shape>
            </v:group>
            <v:shape id="_x0000_s1093" o:spid="_x0000_s1093" o:spt="202" type="#_x0000_t202" style="position:absolute;left:-20;top:-20;height:325;width:831;" filled="f" stroked="f" coordsize="21600,21600">
              <v:path/>
              <v:fill on="f" focussize="0,0"/>
              <v:stroke on="f"/>
              <v:imagedata o:title=""/>
              <o:lock v:ext="edit" aspectratio="f"/>
              <v:textbox inset="0mm,0mm,0mm,0mm">
                <w:txbxContent>
                  <w:p>
                    <w:pPr>
                      <w:spacing w:before="94" w:line="184" w:lineRule="auto"/>
                      <w:ind w:left="121"/>
                      <w:rPr>
                        <w:rFonts w:ascii="仿宋" w:hAnsi="仿宋" w:eastAsia="仿宋" w:cs="仿宋"/>
                        <w:sz w:val="20"/>
                        <w:szCs w:val="20"/>
                      </w:rPr>
                    </w:pPr>
                    <w:r>
                      <w:rPr>
                        <w:rFonts w:ascii="仿宋" w:hAnsi="仿宋" w:eastAsia="仿宋" w:cs="仿宋"/>
                        <w:color w:val="FFFFFF"/>
                        <w:sz w:val="20"/>
                        <w:szCs w:val="20"/>
                      </w:rPr>
                      <w:t>47</w:t>
                    </w:r>
                  </w:p>
                </w:txbxContent>
              </v:textbox>
            </v:shape>
            <w10:wrap type="none"/>
            <w10:anchorlock/>
          </v:group>
        </w:pict>
      </w:r>
    </w:p>
    <w:p>
      <w:pPr>
        <w:spacing w:line="284" w:lineRule="exact"/>
        <w:sectPr>
          <w:type w:val="continuous"/>
          <w:pgSz w:w="10841" w:h="15421"/>
          <w:pgMar w:top="727" w:right="427" w:bottom="547" w:left="407" w:header="346" w:footer="354" w:gutter="0"/>
          <w:cols w:equalWidth="0" w:num="2">
            <w:col w:w="4979" w:space="70"/>
            <w:col w:w="4957"/>
          </w:cols>
        </w:sectPr>
      </w:pPr>
    </w:p>
    <w:p>
      <w:pPr>
        <w:spacing w:before="4"/>
      </w:pPr>
    </w:p>
    <w:p>
      <w:pPr>
        <w:sectPr>
          <w:headerReference r:id="rId100" w:type="default"/>
          <w:footerReference r:id="rId101" w:type="default"/>
          <w:pgSz w:w="10841" w:h="15421"/>
          <w:pgMar w:top="727" w:right="525" w:bottom="547" w:left="407" w:header="346" w:footer="354" w:gutter="0"/>
          <w:cols w:equalWidth="0" w:num="1">
            <w:col w:w="9907"/>
          </w:cols>
        </w:sectPr>
      </w:pPr>
    </w:p>
    <w:p>
      <w:pPr>
        <w:spacing w:before="51" w:line="211" w:lineRule="auto"/>
        <w:ind w:left="186" w:right="66" w:firstLine="8"/>
        <w:jc w:val="both"/>
        <w:rPr>
          <w:rFonts w:ascii="微软雅黑" w:hAnsi="微软雅黑" w:eastAsia="微软雅黑" w:cs="微软雅黑"/>
          <w:sz w:val="20"/>
          <w:szCs w:val="20"/>
        </w:rPr>
      </w:pPr>
      <w:r>
        <w:rPr>
          <w:rFonts w:ascii="微软雅黑" w:hAnsi="微软雅黑" w:eastAsia="微软雅黑" w:cs="微软雅黑"/>
          <w:color w:val="231F20"/>
          <w:spacing w:val="16"/>
          <w:sz w:val="20"/>
          <w:szCs w:val="20"/>
        </w:rPr>
        <w:t>和定期评估是保障教学质量的必要手段</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6"/>
          <w:sz w:val="20"/>
          <w:szCs w:val="20"/>
        </w:rPr>
        <w:t>。根据</w:t>
      </w:r>
      <w:r>
        <w:rPr>
          <w:rFonts w:ascii="微软雅黑" w:hAnsi="微软雅黑" w:eastAsia="微软雅黑" w:cs="微软雅黑"/>
          <w:color w:val="231F20"/>
          <w:spacing w:val="-17"/>
          <w:sz w:val="20"/>
          <w:szCs w:val="20"/>
        </w:rPr>
        <w:t xml:space="preserve"> </w:t>
      </w:r>
      <w:r>
        <w:rPr>
          <w:rFonts w:ascii="宋体" w:hAnsi="宋体" w:eastAsia="宋体" w:cs="宋体"/>
          <w:color w:val="231F20"/>
          <w:sz w:val="20"/>
          <w:szCs w:val="20"/>
        </w:rPr>
        <w:t xml:space="preserve">ESG </w:t>
      </w:r>
      <w:r>
        <w:rPr>
          <w:rFonts w:ascii="微软雅黑" w:hAnsi="微软雅黑" w:eastAsia="微软雅黑" w:cs="微软雅黑"/>
          <w:color w:val="231F20"/>
          <w:spacing w:val="4"/>
          <w:sz w:val="20"/>
          <w:szCs w:val="20"/>
        </w:rPr>
        <w:t>指南，高等教育机构应定期监测、审核和修订培养方</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4"/>
          <w:sz w:val="20"/>
          <w:szCs w:val="20"/>
        </w:rPr>
        <w:t>案，确保培养方案能够反映社会和学生的需求，并为</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2"/>
          <w:sz w:val="20"/>
          <w:szCs w:val="20"/>
        </w:rPr>
        <w:t>学生创造一个支持和有效的学习环境</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。这些评估包</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括：是否提供最前沿教学内容？</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是否根据社会需要</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调整培养方案？</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是否考虑学生学业负担、进展以及</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1"/>
          <w:sz w:val="20"/>
          <w:szCs w:val="20"/>
        </w:rPr>
        <w:t>完成？</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1"/>
          <w:sz w:val="20"/>
          <w:szCs w:val="20"/>
        </w:rPr>
        <w:t>是否评价学生程序的有效性？</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11"/>
          <w:sz w:val="20"/>
          <w:szCs w:val="20"/>
        </w:rPr>
        <w:t>是否满足学生</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对课程的期待、需求和满意度？</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是否改进课程教学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需求，不断改进学习环境和支持服务，等等</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5"/>
          <w:sz w:val="20"/>
          <w:szCs w:val="20"/>
        </w:rPr>
        <w:t>。</w:t>
      </w:r>
      <w:r>
        <w:rPr>
          <w:rFonts w:ascii="微软雅黑" w:hAnsi="微软雅黑" w:eastAsia="微软雅黑" w:cs="微软雅黑"/>
          <w:color w:val="231F20"/>
          <w:spacing w:val="-38"/>
          <w:sz w:val="20"/>
          <w:szCs w:val="20"/>
        </w:rPr>
        <w:t xml:space="preserve"> </w:t>
      </w:r>
      <w:r>
        <w:rPr>
          <w:rFonts w:ascii="微软雅黑" w:hAnsi="微软雅黑" w:eastAsia="微软雅黑" w:cs="微软雅黑"/>
          <w:color w:val="231F20"/>
          <w:spacing w:val="5"/>
          <w:sz w:val="20"/>
          <w:szCs w:val="20"/>
        </w:rPr>
        <w:t>当然，</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指南也强调，对课程计划持续监测与评估其目的是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改进课程学习计划，评估应当包含学生在内的广泛</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sz w:val="20"/>
          <w:szCs w:val="20"/>
        </w:rPr>
        <w:t>利益相关者参与。</w:t>
      </w:r>
    </w:p>
    <w:p>
      <w:pPr>
        <w:spacing w:before="36" w:line="213" w:lineRule="auto"/>
        <w:ind w:left="105" w:right="54" w:firstLine="503"/>
        <w:jc w:val="both"/>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不难看出，作为欧洲高等教育质量文化建设的</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1"/>
          <w:sz w:val="20"/>
          <w:szCs w:val="20"/>
        </w:rPr>
        <w:t>重要成果，一方面，</w:t>
      </w:r>
      <w:r>
        <w:rPr>
          <w:rFonts w:ascii="宋体" w:hAnsi="宋体" w:eastAsia="宋体" w:cs="宋体"/>
          <w:color w:val="231F20"/>
          <w:sz w:val="20"/>
          <w:szCs w:val="20"/>
        </w:rPr>
        <w:t>ESG</w:t>
      </w:r>
      <w:r>
        <w:rPr>
          <w:rFonts w:ascii="宋体" w:hAnsi="宋体" w:eastAsia="宋体" w:cs="宋体"/>
          <w:color w:val="231F20"/>
          <w:spacing w:val="-41"/>
          <w:sz w:val="20"/>
          <w:szCs w:val="20"/>
        </w:rPr>
        <w:t xml:space="preserve"> </w:t>
      </w:r>
      <w:r>
        <w:rPr>
          <w:rFonts w:ascii="微软雅黑" w:hAnsi="微软雅黑" w:eastAsia="微软雅黑" w:cs="微软雅黑"/>
          <w:color w:val="231F20"/>
          <w:spacing w:val="11"/>
          <w:sz w:val="20"/>
          <w:szCs w:val="20"/>
        </w:rPr>
        <w:t>指南继承了质量文化关于质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量保障的基本理念，强调高等教育机构在质量保障</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1"/>
          <w:sz w:val="20"/>
          <w:szCs w:val="20"/>
        </w:rPr>
        <w:t>中的主体地位和主体责任，强调质量保障学术自治，</w:t>
      </w:r>
      <w:r>
        <w:rPr>
          <w:rFonts w:ascii="微软雅黑" w:hAnsi="微软雅黑" w:eastAsia="微软雅黑" w:cs="微软雅黑"/>
          <w:color w:val="231F20"/>
          <w:spacing w:val="15"/>
          <w:w w:val="101"/>
          <w:sz w:val="20"/>
          <w:szCs w:val="20"/>
        </w:rPr>
        <w:t xml:space="preserve"> </w:t>
      </w:r>
      <w:r>
        <w:rPr>
          <w:rFonts w:ascii="微软雅黑" w:hAnsi="微软雅黑" w:eastAsia="微软雅黑" w:cs="微软雅黑"/>
          <w:color w:val="231F20"/>
          <w:spacing w:val="8"/>
          <w:sz w:val="20"/>
          <w:szCs w:val="20"/>
        </w:rPr>
        <w:t>突出质量保障须以学生为中心、成果导向，尊重多元</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5"/>
          <w:sz w:val="20"/>
          <w:szCs w:val="20"/>
        </w:rPr>
        <w:t>学生群体利益</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15"/>
          <w:sz w:val="20"/>
          <w:szCs w:val="20"/>
        </w:rPr>
        <w:t>；强调利益相关者广泛参与</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15"/>
          <w:sz w:val="20"/>
          <w:szCs w:val="20"/>
        </w:rPr>
        <w:t>，强调沟</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通、参与、强调信息透明公开，等等</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2"/>
          <w:sz w:val="20"/>
          <w:szCs w:val="20"/>
        </w:rPr>
        <w:t>。另一方面，</w:t>
      </w:r>
      <w:r>
        <w:rPr>
          <w:rFonts w:ascii="宋体" w:hAnsi="宋体" w:eastAsia="宋体" w:cs="宋体"/>
          <w:color w:val="231F20"/>
          <w:sz w:val="20"/>
          <w:szCs w:val="20"/>
        </w:rPr>
        <w:t>ESG</w:t>
      </w:r>
      <w:r>
        <w:rPr>
          <w:rFonts w:ascii="宋体" w:hAnsi="宋体" w:eastAsia="宋体" w:cs="宋体"/>
          <w:color w:val="231F20"/>
          <w:spacing w:val="2"/>
          <w:sz w:val="20"/>
          <w:szCs w:val="20"/>
        </w:rPr>
        <w:t xml:space="preserve"> </w:t>
      </w:r>
      <w:r>
        <w:rPr>
          <w:rFonts w:ascii="微软雅黑" w:hAnsi="微软雅黑" w:eastAsia="微软雅黑" w:cs="微软雅黑"/>
          <w:color w:val="231F20"/>
          <w:spacing w:val="17"/>
          <w:sz w:val="20"/>
          <w:szCs w:val="20"/>
        </w:rPr>
        <w:t>指南在充分平衡内部与外部质量保障，把质量保障</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7"/>
          <w:sz w:val="20"/>
          <w:szCs w:val="20"/>
        </w:rPr>
        <w:t>的重心放在内部质量保障方面，并把质量保障的落</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7"/>
          <w:sz w:val="20"/>
          <w:szCs w:val="20"/>
        </w:rPr>
        <w:t>脚点指向了最为核心的人才培养，确立了以学生为</w:t>
      </w:r>
      <w:r>
        <w:rPr>
          <w:rFonts w:ascii="微软雅黑" w:hAnsi="微软雅黑" w:eastAsia="微软雅黑" w:cs="微软雅黑"/>
          <w:color w:val="231F20"/>
          <w:spacing w:val="8"/>
          <w:sz w:val="20"/>
          <w:szCs w:val="20"/>
        </w:rPr>
        <w:t xml:space="preserve">  中心的教学、学习与评价的基本框架，使整体质量文</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5"/>
          <w:sz w:val="20"/>
          <w:szCs w:val="20"/>
        </w:rPr>
        <w:t>化进一步聚焦</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15"/>
          <w:sz w:val="20"/>
          <w:szCs w:val="20"/>
        </w:rPr>
        <w:t>，并更具有针对性</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5"/>
          <w:sz w:val="20"/>
          <w:szCs w:val="20"/>
        </w:rPr>
        <w:t>、实效性和可操作</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性</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14"/>
          <w:sz w:val="20"/>
          <w:szCs w:val="20"/>
        </w:rPr>
        <w:t>。需要提出，</w:t>
      </w:r>
      <w:r>
        <w:rPr>
          <w:rFonts w:ascii="宋体" w:hAnsi="宋体" w:eastAsia="宋体" w:cs="宋体"/>
          <w:color w:val="231F20"/>
          <w:sz w:val="20"/>
          <w:szCs w:val="20"/>
        </w:rPr>
        <w:t>ESG</w:t>
      </w:r>
      <w:r>
        <w:rPr>
          <w:rFonts w:ascii="宋体" w:hAnsi="宋体" w:eastAsia="宋体" w:cs="宋体"/>
          <w:color w:val="231F20"/>
          <w:spacing w:val="-59"/>
          <w:sz w:val="20"/>
          <w:szCs w:val="20"/>
        </w:rPr>
        <w:t xml:space="preserve"> </w:t>
      </w:r>
      <w:r>
        <w:rPr>
          <w:rFonts w:ascii="微软雅黑" w:hAnsi="微软雅黑" w:eastAsia="微软雅黑" w:cs="微软雅黑"/>
          <w:color w:val="231F20"/>
          <w:spacing w:val="14"/>
          <w:sz w:val="20"/>
          <w:szCs w:val="20"/>
        </w:rPr>
        <w:t>指南不仅包括了内部质量保障，</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也包括外部质量保障</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2"/>
          <w:sz w:val="20"/>
          <w:szCs w:val="20"/>
        </w:rPr>
        <w:t>。</w:t>
      </w:r>
      <w:r>
        <w:rPr>
          <w:rFonts w:ascii="宋体" w:hAnsi="宋体" w:eastAsia="宋体" w:cs="宋体"/>
          <w:color w:val="231F20"/>
          <w:sz w:val="20"/>
          <w:szCs w:val="20"/>
        </w:rPr>
        <w:t>ESG</w:t>
      </w:r>
      <w:r>
        <w:rPr>
          <w:rFonts w:ascii="微软雅黑" w:hAnsi="微软雅黑" w:eastAsia="微软雅黑" w:cs="微软雅黑"/>
          <w:color w:val="231F20"/>
          <w:spacing w:val="12"/>
          <w:sz w:val="20"/>
          <w:szCs w:val="20"/>
        </w:rPr>
        <w:t>特别指出，各种形式的外</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部质量保障可以验证内部质量保障的有效性，且作</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7"/>
          <w:sz w:val="20"/>
          <w:szCs w:val="20"/>
        </w:rPr>
        <w:t>为改进的催化剂，外部质量保障可以为高等教育机</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7"/>
          <w:sz w:val="20"/>
          <w:szCs w:val="20"/>
        </w:rPr>
        <w:t>构提供新的视角，并为公众了解高等教育内部质量</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6"/>
          <w:sz w:val="20"/>
          <w:szCs w:val="20"/>
        </w:rPr>
        <w:t>保障活动提供了重要信息窗口</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6"/>
          <w:sz w:val="20"/>
          <w:szCs w:val="20"/>
        </w:rPr>
        <w:t>。这些指导性意见对</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于欧洲高等教育质量保障运动提供了行动方向和发</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9"/>
          <w:sz w:val="20"/>
          <w:szCs w:val="20"/>
        </w:rPr>
        <w:t>展路径</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9"/>
          <w:sz w:val="20"/>
          <w:szCs w:val="20"/>
        </w:rPr>
        <w:t>。</w:t>
      </w:r>
      <w:r>
        <w:rPr>
          <w:rFonts w:ascii="宋体" w:hAnsi="宋体" w:eastAsia="宋体" w:cs="宋体"/>
          <w:color w:val="231F20"/>
          <w:spacing w:val="9"/>
          <w:sz w:val="20"/>
          <w:szCs w:val="20"/>
        </w:rPr>
        <w:t>2009</w:t>
      </w:r>
      <w:r>
        <w:rPr>
          <w:rFonts w:ascii="微软雅黑" w:hAnsi="微软雅黑" w:eastAsia="微软雅黑" w:cs="微软雅黑"/>
          <w:color w:val="231F20"/>
          <w:spacing w:val="9"/>
          <w:sz w:val="20"/>
          <w:szCs w:val="20"/>
        </w:rPr>
        <w:t>年，在质量文化实施</w:t>
      </w:r>
      <w:r>
        <w:rPr>
          <w:rFonts w:ascii="微软雅黑" w:hAnsi="微软雅黑" w:eastAsia="微软雅黑" w:cs="微软雅黑"/>
          <w:color w:val="231F20"/>
          <w:spacing w:val="-19"/>
          <w:sz w:val="20"/>
          <w:szCs w:val="20"/>
        </w:rPr>
        <w:t xml:space="preserve"> </w:t>
      </w:r>
      <w:r>
        <w:rPr>
          <w:rFonts w:ascii="宋体" w:hAnsi="宋体" w:eastAsia="宋体" w:cs="宋体"/>
          <w:color w:val="231F20"/>
          <w:spacing w:val="9"/>
          <w:sz w:val="20"/>
          <w:szCs w:val="20"/>
        </w:rPr>
        <w:t>3</w:t>
      </w:r>
      <w:r>
        <w:rPr>
          <w:rFonts w:ascii="微软雅黑" w:hAnsi="微软雅黑" w:eastAsia="微软雅黑" w:cs="微软雅黑"/>
          <w:color w:val="231F20"/>
          <w:spacing w:val="9"/>
          <w:sz w:val="20"/>
          <w:szCs w:val="20"/>
        </w:rPr>
        <w:t>年即质</w:t>
      </w:r>
      <w:r>
        <w:rPr>
          <w:rFonts w:ascii="微软雅黑" w:hAnsi="微软雅黑" w:eastAsia="微软雅黑" w:cs="微软雅黑"/>
          <w:color w:val="231F20"/>
          <w:spacing w:val="8"/>
          <w:sz w:val="20"/>
          <w:szCs w:val="20"/>
        </w:rPr>
        <w:t>量保障指</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2"/>
          <w:sz w:val="20"/>
          <w:szCs w:val="20"/>
        </w:rPr>
        <w:t>南颁布</w:t>
      </w:r>
      <w:r>
        <w:rPr>
          <w:rFonts w:ascii="微软雅黑" w:hAnsi="微软雅黑" w:eastAsia="微软雅黑" w:cs="微软雅黑"/>
          <w:color w:val="231F20"/>
          <w:spacing w:val="-7"/>
          <w:sz w:val="20"/>
          <w:szCs w:val="20"/>
        </w:rPr>
        <w:t xml:space="preserve"> </w:t>
      </w:r>
      <w:r>
        <w:rPr>
          <w:rFonts w:ascii="宋体" w:hAnsi="宋体" w:eastAsia="宋体" w:cs="宋体"/>
          <w:color w:val="231F20"/>
          <w:spacing w:val="22"/>
          <w:sz w:val="20"/>
          <w:szCs w:val="20"/>
        </w:rPr>
        <w:t>4</w:t>
      </w:r>
      <w:r>
        <w:rPr>
          <w:rFonts w:ascii="宋体" w:hAnsi="宋体" w:eastAsia="宋体" w:cs="宋体"/>
          <w:color w:val="231F20"/>
          <w:spacing w:val="-54"/>
          <w:sz w:val="20"/>
          <w:szCs w:val="20"/>
        </w:rPr>
        <w:t xml:space="preserve"> </w:t>
      </w:r>
      <w:r>
        <w:rPr>
          <w:rFonts w:ascii="微软雅黑" w:hAnsi="微软雅黑" w:eastAsia="微软雅黑" w:cs="微软雅黑"/>
          <w:color w:val="231F20"/>
          <w:spacing w:val="22"/>
          <w:sz w:val="20"/>
          <w:szCs w:val="20"/>
        </w:rPr>
        <w:t>年之后，</w:t>
      </w:r>
      <w:r>
        <w:rPr>
          <w:rFonts w:ascii="宋体" w:hAnsi="宋体" w:eastAsia="宋体" w:cs="宋体"/>
          <w:color w:val="231F20"/>
          <w:sz w:val="20"/>
          <w:szCs w:val="20"/>
        </w:rPr>
        <w:t>EUA</w:t>
      </w:r>
      <w:r>
        <w:rPr>
          <w:rFonts w:ascii="宋体" w:hAnsi="宋体" w:eastAsia="宋体" w:cs="宋体"/>
          <w:color w:val="231F20"/>
          <w:spacing w:val="-48"/>
          <w:sz w:val="20"/>
          <w:szCs w:val="20"/>
        </w:rPr>
        <w:t xml:space="preserve"> </w:t>
      </w:r>
      <w:r>
        <w:rPr>
          <w:rFonts w:ascii="微软雅黑" w:hAnsi="微软雅黑" w:eastAsia="微软雅黑" w:cs="微软雅黑"/>
          <w:color w:val="231F20"/>
          <w:spacing w:val="22"/>
          <w:sz w:val="20"/>
          <w:szCs w:val="20"/>
        </w:rPr>
        <w:t>与其合作伙伴德国校长会议</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w:t>
      </w:r>
      <w:r>
        <w:rPr>
          <w:rFonts w:ascii="宋体" w:hAnsi="宋体" w:eastAsia="宋体" w:cs="宋体"/>
          <w:color w:val="231F20"/>
          <w:spacing w:val="-8"/>
          <w:sz w:val="20"/>
          <w:szCs w:val="20"/>
        </w:rPr>
        <w:t>German Rectors</w:t>
      </w:r>
      <w:r>
        <w:rPr>
          <w:rFonts w:ascii="宋体" w:hAnsi="宋体" w:eastAsia="宋体" w:cs="宋体"/>
          <w:color w:val="231F20"/>
          <w:spacing w:val="-71"/>
          <w:sz w:val="20"/>
          <w:szCs w:val="20"/>
        </w:rPr>
        <w:t xml:space="preserve"> </w:t>
      </w:r>
      <w:r>
        <w:rPr>
          <w:rFonts w:ascii="微软雅黑" w:hAnsi="微软雅黑" w:eastAsia="微软雅黑" w:cs="微软雅黑"/>
          <w:color w:val="231F20"/>
          <w:spacing w:val="-8"/>
          <w:sz w:val="20"/>
          <w:szCs w:val="20"/>
        </w:rPr>
        <w:t>’</w:t>
      </w:r>
      <w:r>
        <w:rPr>
          <w:rFonts w:ascii="宋体" w:hAnsi="宋体" w:eastAsia="宋体" w:cs="宋体"/>
          <w:color w:val="231F20"/>
          <w:spacing w:val="-8"/>
          <w:sz w:val="20"/>
          <w:szCs w:val="20"/>
        </w:rPr>
        <w:t>Conf</w:t>
      </w:r>
      <w:r>
        <w:rPr>
          <w:rFonts w:ascii="宋体" w:hAnsi="宋体" w:eastAsia="宋体" w:cs="宋体"/>
          <w:color w:val="231F20"/>
          <w:spacing w:val="-9"/>
          <w:sz w:val="20"/>
          <w:szCs w:val="20"/>
        </w:rPr>
        <w:t>erence</w:t>
      </w:r>
      <w:r>
        <w:rPr>
          <w:rFonts w:ascii="微软雅黑" w:hAnsi="微软雅黑" w:eastAsia="微软雅黑" w:cs="微软雅黑"/>
          <w:color w:val="231F20"/>
          <w:spacing w:val="-9"/>
          <w:sz w:val="20"/>
          <w:szCs w:val="20"/>
        </w:rPr>
        <w:t>）和</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9"/>
          <w:sz w:val="20"/>
          <w:szCs w:val="20"/>
        </w:rPr>
        <w:t>苏</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9"/>
          <w:sz w:val="20"/>
          <w:szCs w:val="20"/>
        </w:rPr>
        <w:t>格</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9"/>
          <w:sz w:val="20"/>
          <w:szCs w:val="20"/>
        </w:rPr>
        <w:t>兰</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9"/>
          <w:sz w:val="20"/>
          <w:szCs w:val="20"/>
        </w:rPr>
        <w:t>质</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9"/>
          <w:sz w:val="20"/>
          <w:szCs w:val="20"/>
        </w:rPr>
        <w:t>量</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9"/>
          <w:sz w:val="20"/>
          <w:szCs w:val="20"/>
        </w:rPr>
        <w:t>保</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9"/>
          <w:sz w:val="20"/>
          <w:szCs w:val="20"/>
        </w:rPr>
        <w:t>障</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9"/>
          <w:sz w:val="20"/>
          <w:szCs w:val="20"/>
        </w:rPr>
        <w:t xml:space="preserve">署  </w:t>
      </w:r>
      <w:r>
        <w:rPr>
          <w:rFonts w:ascii="微软雅黑" w:hAnsi="微软雅黑" w:eastAsia="微软雅黑" w:cs="微软雅黑"/>
          <w:color w:val="231F20"/>
          <w:spacing w:val="-6"/>
          <w:sz w:val="20"/>
          <w:szCs w:val="20"/>
        </w:rPr>
        <w:t>（</w:t>
      </w:r>
      <w:r>
        <w:rPr>
          <w:rFonts w:ascii="宋体" w:hAnsi="宋体" w:eastAsia="宋体" w:cs="宋体"/>
          <w:color w:val="231F20"/>
          <w:spacing w:val="-6"/>
          <w:sz w:val="20"/>
          <w:szCs w:val="20"/>
        </w:rPr>
        <w:t>Quality</w:t>
      </w:r>
      <w:r>
        <w:rPr>
          <w:rFonts w:ascii="宋体" w:hAnsi="宋体" w:eastAsia="宋体" w:cs="宋体"/>
          <w:color w:val="231F20"/>
          <w:spacing w:val="-41"/>
          <w:sz w:val="20"/>
          <w:szCs w:val="20"/>
        </w:rPr>
        <w:t xml:space="preserve"> </w:t>
      </w:r>
      <w:r>
        <w:rPr>
          <w:rFonts w:ascii="宋体" w:hAnsi="宋体" w:eastAsia="宋体" w:cs="宋体"/>
          <w:color w:val="231F20"/>
          <w:spacing w:val="-6"/>
          <w:sz w:val="20"/>
          <w:szCs w:val="20"/>
        </w:rPr>
        <w:t>Assurance</w:t>
      </w:r>
      <w:r>
        <w:rPr>
          <w:rFonts w:ascii="宋体" w:hAnsi="宋体" w:eastAsia="宋体" w:cs="宋体"/>
          <w:color w:val="231F20"/>
          <w:spacing w:val="-40"/>
          <w:sz w:val="20"/>
          <w:szCs w:val="20"/>
        </w:rPr>
        <w:t xml:space="preserve"> </w:t>
      </w:r>
      <w:r>
        <w:rPr>
          <w:rFonts w:ascii="宋体" w:hAnsi="宋体" w:eastAsia="宋体" w:cs="宋体"/>
          <w:color w:val="231F20"/>
          <w:spacing w:val="-6"/>
          <w:sz w:val="20"/>
          <w:szCs w:val="20"/>
        </w:rPr>
        <w:t>Agency</w:t>
      </w:r>
      <w:r>
        <w:rPr>
          <w:rFonts w:ascii="微软雅黑" w:hAnsi="微软雅黑" w:eastAsia="微软雅黑" w:cs="微软雅黑"/>
          <w:color w:val="231F20"/>
          <w:spacing w:val="-6"/>
          <w:sz w:val="20"/>
          <w:szCs w:val="20"/>
        </w:rPr>
        <w:t>，</w:t>
      </w:r>
      <w:r>
        <w:rPr>
          <w:rFonts w:ascii="宋体" w:hAnsi="宋体" w:eastAsia="宋体" w:cs="宋体"/>
          <w:color w:val="231F20"/>
          <w:spacing w:val="-7"/>
          <w:sz w:val="20"/>
          <w:szCs w:val="20"/>
        </w:rPr>
        <w:t>QAA</w:t>
      </w:r>
      <w:r>
        <w:rPr>
          <w:rFonts w:ascii="微软雅黑" w:hAnsi="微软雅黑" w:eastAsia="微软雅黑" w:cs="微软雅黑"/>
          <w:color w:val="231F20"/>
          <w:spacing w:val="-7"/>
          <w:sz w:val="20"/>
          <w:szCs w:val="20"/>
        </w:rPr>
        <w:t xml:space="preserve">）共同发起“考察高等  </w:t>
      </w:r>
      <w:r>
        <w:rPr>
          <w:rFonts w:ascii="微软雅黑" w:hAnsi="微软雅黑" w:eastAsia="微软雅黑" w:cs="微软雅黑"/>
          <w:color w:val="231F20"/>
          <w:spacing w:val="-4"/>
          <w:sz w:val="20"/>
          <w:szCs w:val="20"/>
        </w:rPr>
        <w:t>教育机构高质量文化”（</w:t>
      </w:r>
      <w:r>
        <w:rPr>
          <w:rFonts w:ascii="宋体" w:hAnsi="宋体" w:eastAsia="宋体" w:cs="宋体"/>
          <w:color w:val="231F20"/>
          <w:spacing w:val="-4"/>
          <w:sz w:val="20"/>
          <w:szCs w:val="20"/>
        </w:rPr>
        <w:t>Examining</w:t>
      </w:r>
      <w:r>
        <w:rPr>
          <w:rFonts w:ascii="宋体" w:hAnsi="宋体" w:eastAsia="宋体" w:cs="宋体"/>
          <w:color w:val="231F20"/>
          <w:spacing w:val="-21"/>
          <w:sz w:val="20"/>
          <w:szCs w:val="20"/>
        </w:rPr>
        <w:t xml:space="preserve"> </w:t>
      </w:r>
      <w:r>
        <w:rPr>
          <w:rFonts w:ascii="宋体" w:hAnsi="宋体" w:eastAsia="宋体" w:cs="宋体"/>
          <w:color w:val="231F20"/>
          <w:spacing w:val="-4"/>
          <w:sz w:val="20"/>
          <w:szCs w:val="20"/>
        </w:rPr>
        <w:t>Quality</w:t>
      </w:r>
      <w:r>
        <w:rPr>
          <w:rFonts w:ascii="宋体" w:hAnsi="宋体" w:eastAsia="宋体" w:cs="宋体"/>
          <w:color w:val="231F20"/>
          <w:spacing w:val="-21"/>
          <w:sz w:val="20"/>
          <w:szCs w:val="20"/>
        </w:rPr>
        <w:t xml:space="preserve"> </w:t>
      </w:r>
      <w:r>
        <w:rPr>
          <w:rFonts w:ascii="宋体" w:hAnsi="宋体" w:eastAsia="宋体" w:cs="宋体"/>
          <w:color w:val="231F20"/>
          <w:spacing w:val="-4"/>
          <w:sz w:val="20"/>
          <w:szCs w:val="20"/>
        </w:rPr>
        <w:t>Culture</w:t>
      </w:r>
      <w:r>
        <w:rPr>
          <w:rFonts w:ascii="宋体" w:hAnsi="宋体" w:eastAsia="宋体" w:cs="宋体"/>
          <w:color w:val="231F20"/>
          <w:spacing w:val="-25"/>
          <w:sz w:val="20"/>
          <w:szCs w:val="20"/>
        </w:rPr>
        <w:t xml:space="preserve"> </w:t>
      </w:r>
      <w:r>
        <w:rPr>
          <w:rFonts w:ascii="宋体" w:hAnsi="宋体" w:eastAsia="宋体" w:cs="宋体"/>
          <w:color w:val="231F20"/>
          <w:spacing w:val="-4"/>
          <w:sz w:val="20"/>
          <w:szCs w:val="20"/>
        </w:rPr>
        <w:t>in</w:t>
      </w:r>
      <w:r>
        <w:rPr>
          <w:rFonts w:ascii="宋体" w:hAnsi="宋体" w:eastAsia="宋体" w:cs="宋体"/>
          <w:color w:val="231F20"/>
          <w:sz w:val="20"/>
          <w:szCs w:val="20"/>
        </w:rPr>
        <w:t xml:space="preserve"> </w:t>
      </w:r>
      <w:r>
        <w:rPr>
          <w:rFonts w:ascii="宋体" w:hAnsi="宋体" w:eastAsia="宋体" w:cs="宋体"/>
          <w:color w:val="231F20"/>
          <w:spacing w:val="-9"/>
          <w:sz w:val="20"/>
          <w:szCs w:val="20"/>
        </w:rPr>
        <w:t>Higher Education Institutions</w:t>
      </w:r>
      <w:r>
        <w:rPr>
          <w:rFonts w:ascii="微软雅黑" w:hAnsi="微软雅黑" w:eastAsia="微软雅黑" w:cs="微软雅黑"/>
          <w:color w:val="231F20"/>
          <w:spacing w:val="-9"/>
          <w:sz w:val="20"/>
          <w:szCs w:val="20"/>
        </w:rPr>
        <w:t>，</w:t>
      </w:r>
      <w:r>
        <w:rPr>
          <w:rFonts w:ascii="宋体" w:hAnsi="宋体" w:eastAsia="宋体" w:cs="宋体"/>
          <w:color w:val="231F20"/>
          <w:spacing w:val="-9"/>
          <w:sz w:val="20"/>
          <w:szCs w:val="20"/>
        </w:rPr>
        <w:t>EQC</w:t>
      </w:r>
      <w:r>
        <w:rPr>
          <w:rFonts w:ascii="微软雅黑" w:hAnsi="微软雅黑" w:eastAsia="微软雅黑" w:cs="微软雅黑"/>
          <w:color w:val="231F20"/>
          <w:spacing w:val="-9"/>
          <w:sz w:val="20"/>
          <w:szCs w:val="20"/>
        </w:rPr>
        <w:t>）的</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9"/>
          <w:sz w:val="20"/>
          <w:szCs w:val="20"/>
        </w:rPr>
        <w:t>项</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9"/>
          <w:sz w:val="20"/>
          <w:szCs w:val="20"/>
        </w:rPr>
        <w:t>目</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9"/>
          <w:sz w:val="20"/>
          <w:szCs w:val="20"/>
        </w:rPr>
        <w:t>研</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9"/>
          <w:sz w:val="20"/>
          <w:szCs w:val="20"/>
        </w:rPr>
        <w:t>究</w:t>
      </w:r>
      <w:r>
        <w:rPr>
          <w:rFonts w:ascii="微软雅黑" w:hAnsi="微软雅黑" w:eastAsia="微软雅黑" w:cs="微软雅黑"/>
          <w:color w:val="231F20"/>
          <w:spacing w:val="-9"/>
          <w:position w:val="8"/>
          <w:sz w:val="10"/>
          <w:szCs w:val="10"/>
        </w:rPr>
        <w:t>［</w:t>
      </w:r>
      <w:r>
        <w:rPr>
          <w:rFonts w:ascii="宋体" w:hAnsi="宋体" w:eastAsia="宋体" w:cs="宋体"/>
          <w:color w:val="231F20"/>
          <w:spacing w:val="-9"/>
          <w:position w:val="8"/>
          <w:sz w:val="10"/>
          <w:szCs w:val="10"/>
        </w:rPr>
        <w:t>1</w:t>
      </w:r>
      <w:r>
        <w:rPr>
          <w:rFonts w:ascii="宋体" w:hAnsi="宋体" w:eastAsia="宋体" w:cs="宋体"/>
          <w:color w:val="231F20"/>
          <w:spacing w:val="-10"/>
          <w:position w:val="8"/>
          <w:sz w:val="10"/>
          <w:szCs w:val="10"/>
        </w:rPr>
        <w:t>3</w:t>
      </w:r>
      <w:r>
        <w:rPr>
          <w:rFonts w:ascii="微软雅黑" w:hAnsi="微软雅黑" w:eastAsia="微软雅黑" w:cs="微软雅黑"/>
          <w:color w:val="231F20"/>
          <w:spacing w:val="-10"/>
          <w:position w:val="8"/>
          <w:sz w:val="10"/>
          <w:szCs w:val="10"/>
        </w:rPr>
        <w:t>］</w:t>
      </w:r>
      <w:r>
        <w:rPr>
          <w:rFonts w:ascii="微软雅黑" w:hAnsi="微软雅黑" w:eastAsia="微软雅黑" w:cs="微软雅黑"/>
          <w:color w:val="231F20"/>
          <w:spacing w:val="-22"/>
          <w:w w:val="88"/>
          <w:sz w:val="20"/>
          <w:szCs w:val="20"/>
        </w:rPr>
        <w:t>。</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该研究在对欧洲</w:t>
      </w:r>
      <w:r>
        <w:rPr>
          <w:rFonts w:ascii="微软雅黑" w:hAnsi="微软雅黑" w:eastAsia="微软雅黑" w:cs="微软雅黑"/>
          <w:color w:val="231F20"/>
          <w:spacing w:val="-15"/>
          <w:sz w:val="20"/>
          <w:szCs w:val="20"/>
        </w:rPr>
        <w:t xml:space="preserve"> </w:t>
      </w:r>
      <w:r>
        <w:rPr>
          <w:rFonts w:ascii="宋体" w:hAnsi="宋体" w:eastAsia="宋体" w:cs="宋体"/>
          <w:color w:val="231F20"/>
          <w:spacing w:val="17"/>
          <w:sz w:val="20"/>
          <w:szCs w:val="20"/>
        </w:rPr>
        <w:t>36</w:t>
      </w:r>
      <w:r>
        <w:rPr>
          <w:rFonts w:ascii="微软雅黑" w:hAnsi="微软雅黑" w:eastAsia="微软雅黑" w:cs="微软雅黑"/>
          <w:color w:val="231F20"/>
          <w:spacing w:val="17"/>
          <w:sz w:val="20"/>
          <w:szCs w:val="20"/>
        </w:rPr>
        <w:t>个国家</w:t>
      </w:r>
      <w:r>
        <w:rPr>
          <w:rFonts w:ascii="微软雅黑" w:hAnsi="微软雅黑" w:eastAsia="微软雅黑" w:cs="微软雅黑"/>
          <w:color w:val="231F20"/>
          <w:spacing w:val="-18"/>
          <w:sz w:val="20"/>
          <w:szCs w:val="20"/>
        </w:rPr>
        <w:t xml:space="preserve"> </w:t>
      </w:r>
      <w:r>
        <w:rPr>
          <w:rFonts w:ascii="宋体" w:hAnsi="宋体" w:eastAsia="宋体" w:cs="宋体"/>
          <w:color w:val="231F20"/>
          <w:spacing w:val="17"/>
          <w:sz w:val="20"/>
          <w:szCs w:val="20"/>
        </w:rPr>
        <w:t>222</w:t>
      </w:r>
      <w:r>
        <w:rPr>
          <w:rFonts w:ascii="微软雅黑" w:hAnsi="微软雅黑" w:eastAsia="微软雅黑" w:cs="微软雅黑"/>
          <w:color w:val="231F20"/>
          <w:spacing w:val="17"/>
          <w:sz w:val="20"/>
          <w:szCs w:val="20"/>
        </w:rPr>
        <w:t>所高等教育</w:t>
      </w:r>
      <w:r>
        <w:rPr>
          <w:rFonts w:ascii="微软雅黑" w:hAnsi="微软雅黑" w:eastAsia="微软雅黑" w:cs="微软雅黑"/>
          <w:color w:val="231F20"/>
          <w:spacing w:val="16"/>
          <w:sz w:val="20"/>
          <w:szCs w:val="20"/>
        </w:rPr>
        <w:t>机构开展</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 xml:space="preserve">问卷调查、对 </w:t>
      </w:r>
      <w:r>
        <w:rPr>
          <w:rFonts w:ascii="宋体" w:hAnsi="宋体" w:eastAsia="宋体" w:cs="宋体"/>
          <w:color w:val="231F20"/>
          <w:spacing w:val="8"/>
          <w:sz w:val="20"/>
          <w:szCs w:val="20"/>
        </w:rPr>
        <w:t>10</w:t>
      </w:r>
      <w:r>
        <w:rPr>
          <w:rFonts w:ascii="宋体" w:hAnsi="宋体" w:eastAsia="宋体" w:cs="宋体"/>
          <w:color w:val="231F20"/>
          <w:spacing w:val="-59"/>
          <w:sz w:val="20"/>
          <w:szCs w:val="20"/>
        </w:rPr>
        <w:t xml:space="preserve"> </w:t>
      </w:r>
      <w:r>
        <w:rPr>
          <w:rFonts w:ascii="微软雅黑" w:hAnsi="微软雅黑" w:eastAsia="微软雅黑" w:cs="微软雅黑"/>
          <w:color w:val="231F20"/>
          <w:spacing w:val="8"/>
          <w:sz w:val="20"/>
          <w:szCs w:val="20"/>
        </w:rPr>
        <w:t>所高校</w:t>
      </w:r>
      <w:r>
        <w:rPr>
          <w:rFonts w:ascii="微软雅黑" w:hAnsi="微软雅黑" w:eastAsia="微软雅黑" w:cs="微软雅黑"/>
          <w:color w:val="231F20"/>
          <w:spacing w:val="-13"/>
          <w:sz w:val="20"/>
          <w:szCs w:val="20"/>
        </w:rPr>
        <w:t xml:space="preserve"> </w:t>
      </w:r>
      <w:r>
        <w:rPr>
          <w:rFonts w:ascii="宋体" w:hAnsi="宋体" w:eastAsia="宋体" w:cs="宋体"/>
          <w:color w:val="231F20"/>
          <w:spacing w:val="8"/>
          <w:sz w:val="20"/>
          <w:szCs w:val="20"/>
        </w:rPr>
        <w:t>59</w:t>
      </w:r>
      <w:r>
        <w:rPr>
          <w:rFonts w:ascii="宋体" w:hAnsi="宋体" w:eastAsia="宋体" w:cs="宋体"/>
          <w:color w:val="231F20"/>
          <w:spacing w:val="-56"/>
          <w:sz w:val="20"/>
          <w:szCs w:val="20"/>
        </w:rPr>
        <w:t xml:space="preserve"> </w:t>
      </w:r>
      <w:r>
        <w:rPr>
          <w:rFonts w:ascii="微软雅黑" w:hAnsi="微软雅黑" w:eastAsia="微软雅黑" w:cs="微软雅黑"/>
          <w:color w:val="231F20"/>
          <w:spacing w:val="8"/>
          <w:sz w:val="20"/>
          <w:szCs w:val="20"/>
        </w:rPr>
        <w:t>次电话访谈基础上，分阶</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段于</w:t>
      </w:r>
      <w:r>
        <w:rPr>
          <w:rFonts w:ascii="微软雅黑" w:hAnsi="微软雅黑" w:eastAsia="微软雅黑" w:cs="微软雅黑"/>
          <w:color w:val="231F20"/>
          <w:spacing w:val="-13"/>
          <w:sz w:val="20"/>
          <w:szCs w:val="20"/>
        </w:rPr>
        <w:t xml:space="preserve"> </w:t>
      </w:r>
      <w:r>
        <w:rPr>
          <w:rFonts w:ascii="宋体" w:hAnsi="宋体" w:eastAsia="宋体" w:cs="宋体"/>
          <w:color w:val="231F20"/>
          <w:spacing w:val="5"/>
          <w:sz w:val="20"/>
          <w:szCs w:val="20"/>
        </w:rPr>
        <w:t>2010</w:t>
      </w:r>
      <w:r>
        <w:rPr>
          <w:rFonts w:ascii="宋体" w:hAnsi="宋体" w:eastAsia="宋体" w:cs="宋体"/>
          <w:color w:val="231F20"/>
          <w:spacing w:val="-55"/>
          <w:sz w:val="20"/>
          <w:szCs w:val="20"/>
        </w:rPr>
        <w:t xml:space="preserve"> </w:t>
      </w:r>
      <w:r>
        <w:rPr>
          <w:rFonts w:ascii="微软雅黑" w:hAnsi="微软雅黑" w:eastAsia="微软雅黑" w:cs="微软雅黑"/>
          <w:color w:val="231F20"/>
          <w:spacing w:val="5"/>
          <w:sz w:val="20"/>
          <w:szCs w:val="20"/>
        </w:rPr>
        <w:t>年</w:t>
      </w:r>
      <w:r>
        <w:rPr>
          <w:rFonts w:ascii="微软雅黑" w:hAnsi="微软雅黑" w:eastAsia="微软雅黑" w:cs="微软雅黑"/>
          <w:color w:val="231F20"/>
          <w:spacing w:val="-36"/>
          <w:sz w:val="20"/>
          <w:szCs w:val="20"/>
        </w:rPr>
        <w:t xml:space="preserve"> </w:t>
      </w:r>
      <w:r>
        <w:rPr>
          <w:rFonts w:ascii="微软雅黑" w:hAnsi="微软雅黑" w:eastAsia="微软雅黑" w:cs="微软雅黑"/>
          <w:color w:val="231F20"/>
          <w:spacing w:val="5"/>
          <w:sz w:val="20"/>
          <w:szCs w:val="20"/>
        </w:rPr>
        <w:t>、</w:t>
      </w:r>
      <w:r>
        <w:rPr>
          <w:rFonts w:ascii="宋体" w:hAnsi="宋体" w:eastAsia="宋体" w:cs="宋体"/>
          <w:color w:val="231F20"/>
          <w:spacing w:val="5"/>
          <w:sz w:val="20"/>
          <w:szCs w:val="20"/>
        </w:rPr>
        <w:t>2011</w:t>
      </w:r>
      <w:r>
        <w:rPr>
          <w:rFonts w:ascii="宋体" w:hAnsi="宋体" w:eastAsia="宋体" w:cs="宋体"/>
          <w:color w:val="231F20"/>
          <w:spacing w:val="-55"/>
          <w:sz w:val="20"/>
          <w:szCs w:val="20"/>
        </w:rPr>
        <w:t xml:space="preserve"> </w:t>
      </w:r>
      <w:r>
        <w:rPr>
          <w:rFonts w:ascii="微软雅黑" w:hAnsi="微软雅黑" w:eastAsia="微软雅黑" w:cs="微软雅黑"/>
          <w:color w:val="231F20"/>
          <w:spacing w:val="5"/>
          <w:sz w:val="20"/>
          <w:szCs w:val="20"/>
        </w:rPr>
        <w:t>年和</w:t>
      </w:r>
      <w:r>
        <w:rPr>
          <w:rFonts w:ascii="微软雅黑" w:hAnsi="微软雅黑" w:eastAsia="微软雅黑" w:cs="微软雅黑"/>
          <w:color w:val="231F20"/>
          <w:spacing w:val="-13"/>
          <w:sz w:val="20"/>
          <w:szCs w:val="20"/>
        </w:rPr>
        <w:t xml:space="preserve"> </w:t>
      </w:r>
      <w:r>
        <w:rPr>
          <w:rFonts w:ascii="宋体" w:hAnsi="宋体" w:eastAsia="宋体" w:cs="宋体"/>
          <w:color w:val="231F20"/>
          <w:spacing w:val="5"/>
          <w:sz w:val="20"/>
          <w:szCs w:val="20"/>
        </w:rPr>
        <w:t>2013</w:t>
      </w:r>
      <w:r>
        <w:rPr>
          <w:rFonts w:ascii="宋体" w:hAnsi="宋体" w:eastAsia="宋体" w:cs="宋体"/>
          <w:color w:val="231F20"/>
          <w:spacing w:val="-56"/>
          <w:sz w:val="20"/>
          <w:szCs w:val="20"/>
        </w:rPr>
        <w:t xml:space="preserve"> </w:t>
      </w:r>
      <w:r>
        <w:rPr>
          <w:rFonts w:ascii="微软雅黑" w:hAnsi="微软雅黑" w:eastAsia="微软雅黑" w:cs="微软雅黑"/>
          <w:color w:val="231F20"/>
          <w:spacing w:val="5"/>
          <w:sz w:val="20"/>
          <w:szCs w:val="20"/>
        </w:rPr>
        <w:t>年发布了三份“质量文</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sz w:val="20"/>
          <w:szCs w:val="20"/>
        </w:rPr>
        <w:t>化检测报告”（</w:t>
      </w:r>
      <w:r>
        <w:rPr>
          <w:rFonts w:ascii="宋体" w:hAnsi="宋体" w:eastAsia="宋体" w:cs="宋体"/>
          <w:color w:val="231F20"/>
          <w:spacing w:val="-7"/>
          <w:sz w:val="20"/>
          <w:szCs w:val="20"/>
        </w:rPr>
        <w:t>Examining</w:t>
      </w:r>
      <w:r>
        <w:rPr>
          <w:rFonts w:ascii="宋体" w:hAnsi="宋体" w:eastAsia="宋体" w:cs="宋体"/>
          <w:color w:val="231F20"/>
          <w:spacing w:val="-30"/>
          <w:sz w:val="20"/>
          <w:szCs w:val="20"/>
        </w:rPr>
        <w:t xml:space="preserve"> </w:t>
      </w:r>
      <w:r>
        <w:rPr>
          <w:rFonts w:ascii="宋体" w:hAnsi="宋体" w:eastAsia="宋体" w:cs="宋体"/>
          <w:color w:val="231F20"/>
          <w:spacing w:val="-7"/>
          <w:sz w:val="20"/>
          <w:szCs w:val="20"/>
        </w:rPr>
        <w:t>Quality</w:t>
      </w:r>
      <w:r>
        <w:rPr>
          <w:rFonts w:ascii="宋体" w:hAnsi="宋体" w:eastAsia="宋体" w:cs="宋体"/>
          <w:color w:val="231F20"/>
          <w:spacing w:val="-29"/>
          <w:sz w:val="20"/>
          <w:szCs w:val="20"/>
        </w:rPr>
        <w:t xml:space="preserve"> </w:t>
      </w:r>
      <w:r>
        <w:rPr>
          <w:rFonts w:ascii="宋体" w:hAnsi="宋体" w:eastAsia="宋体" w:cs="宋体"/>
          <w:color w:val="231F20"/>
          <w:spacing w:val="-7"/>
          <w:sz w:val="20"/>
          <w:szCs w:val="20"/>
        </w:rPr>
        <w:t>Culture</w:t>
      </w:r>
      <w:r>
        <w:rPr>
          <w:rFonts w:ascii="微软雅黑" w:hAnsi="微软雅黑" w:eastAsia="微软雅黑" w:cs="微软雅黑"/>
          <w:color w:val="231F20"/>
          <w:spacing w:val="-7"/>
          <w:sz w:val="20"/>
          <w:szCs w:val="20"/>
        </w:rPr>
        <w:t>）。从</w:t>
      </w:r>
      <w:r>
        <w:rPr>
          <w:rFonts w:ascii="微软雅黑" w:hAnsi="微软雅黑" w:eastAsia="微软雅黑" w:cs="微软雅黑"/>
          <w:color w:val="231F20"/>
          <w:spacing w:val="-8"/>
          <w:sz w:val="20"/>
          <w:szCs w:val="20"/>
        </w:rPr>
        <w:t xml:space="preserve">检测报  </w:t>
      </w:r>
      <w:r>
        <w:rPr>
          <w:rFonts w:ascii="微软雅黑" w:hAnsi="微软雅黑" w:eastAsia="微软雅黑" w:cs="微软雅黑"/>
          <w:color w:val="231F20"/>
          <w:spacing w:val="8"/>
          <w:sz w:val="20"/>
          <w:szCs w:val="20"/>
        </w:rPr>
        <w:t>告看，经过质量文化项目实施，欧洲高等教育机构质</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8"/>
          <w:sz w:val="20"/>
          <w:szCs w:val="20"/>
        </w:rPr>
        <w:t>量保障在政策制定、过程监控、保障工具、学习资源</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8"/>
          <w:sz w:val="20"/>
          <w:szCs w:val="20"/>
        </w:rPr>
        <w:t>支持、信息与管理系统等方面都取得了明显成效，这</w:t>
      </w:r>
    </w:p>
    <w:p>
      <w:pPr>
        <w:spacing w:before="142" w:line="284" w:lineRule="exact"/>
        <w:ind w:firstLine="19"/>
      </w:pPr>
      <w:r>
        <w:rPr>
          <w:position w:val="-5"/>
        </w:rPr>
        <w:pict>
          <v:group id="_x0000_s1094" o:spid="_x0000_s1094" o:spt="203" style="height:14.25pt;width:39.6pt;" coordsize="791,285">
            <o:lock v:ext="edit"/>
            <v:group id="_x0000_s1095" o:spid="_x0000_s1095" o:spt="203" style="position:absolute;left:0;top:0;height:285;width:791;" coordsize="791,285">
              <o:lock v:ext="edit"/>
              <v:shape id="_x0000_s1096" o:spid="_x0000_s1096" style="position:absolute;left:395;top:0;height:285;width:397;" fillcolor="#231F20" filled="t" stroked="f" coordsize="397,285" path="m0,284l0,0,396,0,396,284,0,284xe">
                <v:path/>
                <v:fill on="t" focussize="0,0"/>
                <v:stroke on="f"/>
                <v:imagedata o:title=""/>
                <o:lock v:ext="edit"/>
              </v:shape>
              <v:shape id="_x0000_s1097" o:spid="_x0000_s1097" style="position:absolute;left:0;top:0;height:285;width:395;" fillcolor="#C7C8CA" filled="t" stroked="f" coordsize="395,285" path="m0,284l0,0,395,0,395,284,0,284xe">
                <v:path/>
                <v:fill on="t" focussize="0,0"/>
                <v:stroke on="f"/>
                <v:imagedata o:title=""/>
                <o:lock v:ext="edit"/>
              </v:shape>
            </v:group>
            <v:shape id="_x0000_s1098" o:spid="_x0000_s1098" o:spt="202" type="#_x0000_t202" style="position:absolute;left:-20;top:-20;height:325;width:831;" filled="f" stroked="f" coordsize="21600,21600">
              <v:path/>
              <v:fill on="f" focussize="0,0"/>
              <v:stroke on="f"/>
              <v:imagedata o:title=""/>
              <o:lock v:ext="edit" aspectratio="f"/>
              <v:textbox inset="0mm,0mm,0mm,0mm">
                <w:txbxContent>
                  <w:p>
                    <w:pPr>
                      <w:spacing w:before="94" w:line="184" w:lineRule="auto"/>
                      <w:ind w:left="517"/>
                      <w:rPr>
                        <w:rFonts w:ascii="仿宋" w:hAnsi="仿宋" w:eastAsia="仿宋" w:cs="仿宋"/>
                        <w:sz w:val="20"/>
                        <w:szCs w:val="20"/>
                      </w:rPr>
                    </w:pPr>
                    <w:r>
                      <w:rPr>
                        <w:rFonts w:ascii="仿宋" w:hAnsi="仿宋" w:eastAsia="仿宋" w:cs="仿宋"/>
                        <w:color w:val="FFFFFF"/>
                        <w:sz w:val="20"/>
                        <w:szCs w:val="20"/>
                      </w:rPr>
                      <w:t>48</w:t>
                    </w:r>
                  </w:p>
                </w:txbxContent>
              </v:textbox>
            </v:shape>
            <w10:wrap type="none"/>
            <w10:anchorlock/>
          </v:group>
        </w:pict>
      </w:r>
    </w:p>
    <w:p>
      <w:pPr>
        <w:spacing w:line="14" w:lineRule="auto"/>
        <w:rPr>
          <w:rFonts w:ascii="Arial"/>
          <w:sz w:val="2"/>
        </w:rPr>
      </w:pPr>
      <w:r>
        <w:rPr>
          <w:rFonts w:ascii="Arial" w:hAnsi="Arial" w:eastAsia="Arial" w:cs="Arial"/>
          <w:sz w:val="2"/>
          <w:szCs w:val="2"/>
        </w:rPr>
        <w:br w:type="column"/>
      </w:r>
    </w:p>
    <w:p>
      <w:pPr>
        <w:spacing w:before="46" w:line="200" w:lineRule="auto"/>
        <w:ind w:left="3" w:right="66" w:hanging="3"/>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说明经过质量文化项目实施，欧洲高等教育机构已</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经建立相对完整的内部质量保障体系。</w:t>
      </w:r>
    </w:p>
    <w:p>
      <w:pPr>
        <w:spacing w:before="31" w:line="269" w:lineRule="exact"/>
        <w:ind w:left="442"/>
        <w:rPr>
          <w:rFonts w:ascii="黑体" w:hAnsi="黑体" w:eastAsia="黑体" w:cs="黑体"/>
          <w:sz w:val="20"/>
          <w:szCs w:val="20"/>
        </w:rPr>
      </w:pPr>
      <w:r>
        <w:rPr>
          <w:rFonts w:ascii="黑体" w:hAnsi="黑体" w:eastAsia="黑体" w:cs="黑体"/>
          <w:color w:val="231F20"/>
          <w:spacing w:val="-4"/>
          <w:position w:val="1"/>
          <w:sz w:val="20"/>
          <w:szCs w:val="20"/>
        </w:rPr>
        <w:t>四、质量文化实施思考</w:t>
      </w:r>
    </w:p>
    <w:p>
      <w:pPr>
        <w:spacing w:before="43" w:line="211" w:lineRule="auto"/>
        <w:ind w:left="1" w:right="66" w:firstLine="421"/>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不言而喻，质量文化项目实施是对欧洲高等教</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14"/>
          <w:sz w:val="20"/>
          <w:szCs w:val="20"/>
        </w:rPr>
        <w:t>育质量保障过程的一次全面总结和评估，它充分肯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定了欧洲高等教育质量保障取得突出成效，分析了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4"/>
          <w:sz w:val="20"/>
          <w:szCs w:val="20"/>
        </w:rPr>
        <w:t>欧洲高等教育机构质量保障存在的不足和薄弱环</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14"/>
          <w:sz w:val="20"/>
          <w:szCs w:val="20"/>
        </w:rPr>
        <w:t>节，为推动欧洲高等教育质量保障转型发展提供了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行动指南</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。但指南不是具体执行标准，而是一个指</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导框架</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。在欧洲质量文化项目研究过程中，各高等</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教育机构对质量文化建设过程中存在的问题也进行</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了广泛讨论和反思，这些问题讨论对我国高等教育</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质量文化建设有一定的借鉴意义。</w:t>
      </w:r>
    </w:p>
    <w:p>
      <w:pPr>
        <w:spacing w:before="38" w:line="197" w:lineRule="auto"/>
        <w:ind w:left="339"/>
        <w:rPr>
          <w:rFonts w:ascii="微软雅黑" w:hAnsi="微软雅黑" w:eastAsia="微软雅黑" w:cs="微软雅黑"/>
          <w:sz w:val="20"/>
          <w:szCs w:val="20"/>
        </w:rPr>
      </w:pPr>
      <w:r>
        <w:rPr>
          <w:rFonts w:ascii="微软雅黑" w:hAnsi="微软雅黑" w:eastAsia="微软雅黑" w:cs="微软雅黑"/>
          <w:color w:val="231F20"/>
          <w:sz w:val="20"/>
          <w:szCs w:val="20"/>
        </w:rPr>
        <w:t>（一）质量保障与质量文化的关系</w:t>
      </w:r>
    </w:p>
    <w:p>
      <w:pPr>
        <w:spacing w:before="10" w:line="213" w:lineRule="auto"/>
        <w:ind w:firstLine="423"/>
        <w:rPr>
          <w:rFonts w:ascii="微软雅黑" w:hAnsi="微软雅黑" w:eastAsia="微软雅黑" w:cs="微软雅黑"/>
          <w:sz w:val="20"/>
          <w:szCs w:val="20"/>
        </w:rPr>
      </w:pPr>
      <w:r>
        <w:rPr>
          <w:rFonts w:ascii="微软雅黑" w:hAnsi="微软雅黑" w:eastAsia="微软雅黑" w:cs="微软雅黑"/>
          <w:color w:val="231F20"/>
          <w:spacing w:val="13"/>
          <w:sz w:val="20"/>
          <w:szCs w:val="20"/>
        </w:rPr>
        <w:t>质量保障与质量文化是什么关系？</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13"/>
          <w:sz w:val="20"/>
          <w:szCs w:val="20"/>
        </w:rPr>
        <w:t>从最广泛意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义说，质量保障包含了旨在定义、保障和强化高等教</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育质量的所有活动，质量保障是质量文化形成的必</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不可少的前提，但质量保障是质量文化的重要组成</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而不是全部，质量文化的活力和可持续性取决于高</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等教育机构内外部因素</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3"/>
          <w:sz w:val="20"/>
          <w:szCs w:val="20"/>
        </w:rPr>
        <w:t>。首先，从外部因素说，质量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文化要求高等教育机构基于开放环境中，没有被过</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度监管并享有高度的公众信任</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。质量文化要求高等</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教育机构是自信的，不要被动地局限于国家质量机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构制定的质量定义，质量保障过程首先是基于学术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价值，但同时对必要行政过程给予适当的重视</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。其</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次，从内部因素来说，质量文化形成需要高等教育机</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构内部形成一种民主和对话的制度文化，平等地重</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2"/>
          <w:sz w:val="20"/>
          <w:szCs w:val="20"/>
        </w:rPr>
        <w:t>视学生和员工的声音</w:t>
      </w:r>
      <w:r>
        <w:rPr>
          <w:rFonts w:ascii="微软雅黑" w:hAnsi="微软雅黑" w:eastAsia="微软雅黑" w:cs="微软雅黑"/>
          <w:color w:val="231F20"/>
          <w:spacing w:val="-13"/>
          <w:sz w:val="20"/>
          <w:szCs w:val="20"/>
        </w:rPr>
        <w:t xml:space="preserve"> </w:t>
      </w:r>
      <w:r>
        <w:rPr>
          <w:rFonts w:ascii="微软雅黑" w:hAnsi="微软雅黑" w:eastAsia="微软雅黑" w:cs="微软雅黑"/>
          <w:color w:val="231F20"/>
          <w:spacing w:val="22"/>
          <w:sz w:val="20"/>
          <w:szCs w:val="20"/>
        </w:rPr>
        <w:t>。质量文化本质是将文化元</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素、结构维度和能力结合成一个整体框架，并支持利</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3"/>
          <w:sz w:val="20"/>
          <w:szCs w:val="20"/>
        </w:rPr>
        <w:t>益相关者发展愿景、共同的价值观和信念</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3"/>
          <w:sz w:val="20"/>
          <w:szCs w:val="20"/>
        </w:rPr>
        <w:t>。再者，质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量文化很重要的一个问题是教师的学术角色定位，</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7"/>
          <w:sz w:val="20"/>
          <w:szCs w:val="20"/>
        </w:rPr>
        <w:t>在以往学术专业定义中，过多强调专业知识和研究，</w:t>
      </w:r>
      <w:r>
        <w:rPr>
          <w:rFonts w:ascii="微软雅黑" w:hAnsi="微软雅黑" w:eastAsia="微软雅黑" w:cs="微软雅黑"/>
          <w:color w:val="231F20"/>
          <w:spacing w:val="14"/>
          <w:sz w:val="20"/>
          <w:szCs w:val="20"/>
        </w:rPr>
        <w:t xml:space="preserve"> 但质量文化对于学术定位更多强调良好的教学，强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6"/>
          <w:sz w:val="20"/>
          <w:szCs w:val="20"/>
        </w:rPr>
        <w:t>调学术人员的教学责任</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6"/>
          <w:sz w:val="20"/>
          <w:szCs w:val="20"/>
        </w:rPr>
        <w:t>。可以说，</w:t>
      </w:r>
      <w:r>
        <w:rPr>
          <w:rFonts w:ascii="宋体" w:hAnsi="宋体" w:eastAsia="宋体" w:cs="宋体"/>
          <w:color w:val="231F20"/>
          <w:sz w:val="20"/>
          <w:szCs w:val="20"/>
        </w:rPr>
        <w:t>EUA</w:t>
      </w:r>
      <w:r>
        <w:rPr>
          <w:rFonts w:ascii="宋体" w:hAnsi="宋体" w:eastAsia="宋体" w:cs="宋体"/>
          <w:color w:val="231F20"/>
          <w:spacing w:val="-59"/>
          <w:sz w:val="20"/>
          <w:szCs w:val="20"/>
        </w:rPr>
        <w:t xml:space="preserve"> </w:t>
      </w:r>
      <w:r>
        <w:rPr>
          <w:rFonts w:ascii="微软雅黑" w:hAnsi="微软雅黑" w:eastAsia="微软雅黑" w:cs="微软雅黑"/>
          <w:color w:val="231F20"/>
          <w:spacing w:val="16"/>
          <w:sz w:val="20"/>
          <w:szCs w:val="20"/>
        </w:rPr>
        <w:t>关于质量保</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障与质量文化的讨论说明，质量文化建设的核心不</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仅仅局限于技术层面的质量保障的手段、工具和流</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程，而是在问责制盛行和质量危机背景下，有意强调</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营造一种有效的开放包容环境，保护欧洲高等教育</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自治、学术自主等价值追求，并将学术至上、人才培</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9"/>
          <w:sz w:val="20"/>
          <w:szCs w:val="20"/>
        </w:rPr>
        <w:t>养至上作为质量文化建设的根本遵循。</w:t>
      </w:r>
    </w:p>
    <w:p>
      <w:pPr>
        <w:spacing w:before="40" w:line="197" w:lineRule="auto"/>
        <w:ind w:left="339"/>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（二）作为操作程序还是作为反思工具</w:t>
      </w:r>
    </w:p>
    <w:p>
      <w:pPr>
        <w:spacing w:before="24" w:line="205" w:lineRule="auto"/>
        <w:ind w:right="66" w:firstLine="423"/>
        <w:rPr>
          <w:rFonts w:ascii="微软雅黑" w:hAnsi="微软雅黑" w:eastAsia="微软雅黑" w:cs="微软雅黑"/>
          <w:sz w:val="20"/>
          <w:szCs w:val="20"/>
        </w:rPr>
      </w:pPr>
      <w:r>
        <w:rPr>
          <w:rFonts w:ascii="微软雅黑" w:hAnsi="微软雅黑" w:eastAsia="微软雅黑" w:cs="微软雅黑"/>
          <w:color w:val="231F20"/>
          <w:spacing w:val="13"/>
          <w:sz w:val="20"/>
          <w:szCs w:val="20"/>
        </w:rPr>
        <w:t>质量文化在质量保障中起着什么作用？</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13"/>
          <w:sz w:val="20"/>
          <w:szCs w:val="20"/>
        </w:rPr>
        <w:t>从工具</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主义视角，往往倾向于把质量文化定义为潜在的可</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4"/>
          <w:sz w:val="20"/>
          <w:szCs w:val="20"/>
        </w:rPr>
        <w:t>识别和操纵的因素，质量文化被理解为一套具体的</w:t>
      </w:r>
    </w:p>
    <w:p>
      <w:pPr>
        <w:spacing w:line="205" w:lineRule="auto"/>
        <w:rPr>
          <w:rFonts w:ascii="微软雅黑" w:hAnsi="微软雅黑" w:eastAsia="微软雅黑" w:cs="微软雅黑"/>
          <w:sz w:val="20"/>
          <w:szCs w:val="20"/>
        </w:rPr>
        <w:sectPr>
          <w:type w:val="continuous"/>
          <w:pgSz w:w="10841" w:h="15421"/>
          <w:pgMar w:top="727" w:right="525" w:bottom="547" w:left="407" w:header="346" w:footer="354" w:gutter="0"/>
          <w:cols w:equalWidth="0" w:num="2">
            <w:col w:w="5030" w:space="100"/>
            <w:col w:w="4777"/>
          </w:cols>
        </w:sectPr>
      </w:pPr>
    </w:p>
    <w:p>
      <w:pPr>
        <w:spacing w:before="4"/>
      </w:pPr>
    </w:p>
    <w:p>
      <w:pPr>
        <w:sectPr>
          <w:headerReference r:id="rId102" w:type="default"/>
          <w:footerReference r:id="rId103" w:type="default"/>
          <w:pgSz w:w="10841" w:h="15421"/>
          <w:pgMar w:top="727" w:right="387" w:bottom="547" w:left="407" w:header="346" w:footer="354" w:gutter="0"/>
          <w:cols w:equalWidth="0" w:num="1">
            <w:col w:w="10046"/>
          </w:cols>
        </w:sectPr>
      </w:pPr>
    </w:p>
    <w:p>
      <w:pPr>
        <w:spacing w:before="64" w:line="212" w:lineRule="auto"/>
        <w:ind w:left="185" w:firstLine="1"/>
        <w:jc w:val="both"/>
        <w:rPr>
          <w:rFonts w:ascii="微软雅黑" w:hAnsi="微软雅黑" w:eastAsia="微软雅黑" w:cs="微软雅黑"/>
          <w:sz w:val="20"/>
          <w:szCs w:val="20"/>
        </w:rPr>
      </w:pPr>
      <w:r>
        <w:rPr>
          <w:rFonts w:ascii="微软雅黑" w:hAnsi="微软雅黑" w:eastAsia="微软雅黑" w:cs="微软雅黑"/>
          <w:color w:val="231F20"/>
          <w:spacing w:val="12"/>
          <w:sz w:val="20"/>
          <w:szCs w:val="20"/>
        </w:rPr>
        <w:t>操作程序</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。但是从功能主义理解，则更愿意将质量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文化理解为一个背景问题，把质量文化作为检视的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工具和反思的手段，以此全面反思政策规划、手段工  </w:t>
      </w:r>
      <w:r>
        <w:rPr>
          <w:rFonts w:ascii="微软雅黑" w:hAnsi="微软雅黑" w:eastAsia="微软雅黑" w:cs="微软雅黑"/>
          <w:color w:val="231F20"/>
          <w:spacing w:val="2"/>
          <w:sz w:val="20"/>
          <w:szCs w:val="20"/>
        </w:rPr>
        <w:t>具、质量程序</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2"/>
          <w:sz w:val="20"/>
          <w:szCs w:val="20"/>
        </w:rPr>
        <w:t xml:space="preserve">。如，从战略规划而言，任何战略必须  </w:t>
      </w:r>
      <w:r>
        <w:rPr>
          <w:rFonts w:ascii="微软雅黑" w:hAnsi="微软雅黑" w:eastAsia="微软雅黑" w:cs="微软雅黑"/>
          <w:color w:val="231F20"/>
          <w:spacing w:val="12"/>
          <w:sz w:val="20"/>
          <w:szCs w:val="20"/>
        </w:rPr>
        <w:t>建立在制度的基础上，而不是试图改变它们</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2"/>
          <w:sz w:val="20"/>
          <w:szCs w:val="20"/>
        </w:rPr>
        <w:t>。有效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策略需要整合特定机构中已有特定质量文化，策略</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不仅仅是为了在这些不同的兴趣和偏好之间找到平</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衡，更重要的是为了做出价值选择</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2"/>
          <w:sz w:val="20"/>
          <w:szCs w:val="20"/>
        </w:rPr>
        <w:t xml:space="preserve">。又如，就质量保  </w:t>
      </w:r>
      <w:r>
        <w:rPr>
          <w:rFonts w:ascii="微软雅黑" w:hAnsi="微软雅黑" w:eastAsia="微软雅黑" w:cs="微软雅黑"/>
          <w:color w:val="231F20"/>
          <w:spacing w:val="14"/>
          <w:sz w:val="20"/>
          <w:szCs w:val="20"/>
        </w:rPr>
        <w:t>障工具而言，看似普遍的工具其实包含许多不同的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1"/>
          <w:sz w:val="20"/>
          <w:szCs w:val="20"/>
        </w:rPr>
        <w:t>形式并履行不同的功能</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1"/>
          <w:sz w:val="20"/>
          <w:szCs w:val="20"/>
        </w:rPr>
        <w:t>。</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11"/>
          <w:sz w:val="20"/>
          <w:szCs w:val="20"/>
        </w:rPr>
        <w:t>因此，质量保障工具在使</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用之前，应该有非常明确的定义，并且应被详细解释  </w:t>
      </w:r>
      <w:r>
        <w:rPr>
          <w:rFonts w:ascii="微软雅黑" w:hAnsi="微软雅黑" w:eastAsia="微软雅黑" w:cs="微软雅黑"/>
          <w:color w:val="231F20"/>
          <w:spacing w:val="12"/>
          <w:sz w:val="20"/>
          <w:szCs w:val="20"/>
        </w:rPr>
        <w:t>工具背后的价值以及工具将如何在实践中使用</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2"/>
          <w:sz w:val="20"/>
          <w:szCs w:val="20"/>
        </w:rPr>
        <w:t>。从</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质量保障程序而言，作为一个经验法则，一个新工具  </w:t>
      </w:r>
      <w:r>
        <w:rPr>
          <w:rFonts w:ascii="微软雅黑" w:hAnsi="微软雅黑" w:eastAsia="微软雅黑" w:cs="微软雅黑"/>
          <w:color w:val="231F20"/>
          <w:spacing w:val="14"/>
          <w:sz w:val="20"/>
          <w:szCs w:val="20"/>
        </w:rPr>
        <w:t>产生往往伴随旧工具被放弃，质量保障不是简单增</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加一个新程序，这不仅对资源造成严重的压力，也增  </w:t>
      </w:r>
      <w:r>
        <w:rPr>
          <w:rFonts w:ascii="微软雅黑" w:hAnsi="微软雅黑" w:eastAsia="微软雅黑" w:cs="微软雅黑"/>
          <w:color w:val="231F20"/>
          <w:spacing w:val="12"/>
          <w:sz w:val="20"/>
          <w:szCs w:val="20"/>
        </w:rPr>
        <w:t>加整体系统负担</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2"/>
          <w:sz w:val="20"/>
          <w:szCs w:val="20"/>
        </w:rPr>
        <w:t>。显然，质量文化关于工具主义与</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功能主义的讨论揭示：质量保障是有形的，通过机构  </w:t>
      </w:r>
      <w:r>
        <w:rPr>
          <w:rFonts w:ascii="微软雅黑" w:hAnsi="微软雅黑" w:eastAsia="微软雅黑" w:cs="微软雅黑"/>
          <w:color w:val="231F20"/>
          <w:spacing w:val="8"/>
          <w:sz w:val="20"/>
          <w:szCs w:val="20"/>
        </w:rPr>
        <w:t>决策是可以管理的，但质量文化隐藏的共同价值观、</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2"/>
          <w:sz w:val="20"/>
          <w:szCs w:val="20"/>
        </w:rPr>
        <w:t>信念、期望和承诺，却往往更难以改变</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2"/>
          <w:sz w:val="20"/>
          <w:szCs w:val="20"/>
        </w:rPr>
        <w:t xml:space="preserve">。质量文化可  </w:t>
      </w:r>
      <w:r>
        <w:rPr>
          <w:rFonts w:ascii="微软雅黑" w:hAnsi="微软雅黑" w:eastAsia="微软雅黑" w:cs="微软雅黑"/>
          <w:color w:val="231F20"/>
          <w:spacing w:val="14"/>
          <w:sz w:val="20"/>
          <w:szCs w:val="20"/>
        </w:rPr>
        <w:t>以从它所表现出来的工具和活动来观察到最好的结</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果，但任何进一步发展质量文化改进和改进理想的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努力都必须考虑到已经存在的文化，高等教育机构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在引入或改变内部质量保障过程中，必须充分尊重</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原有的文化背景。</w:t>
      </w:r>
    </w:p>
    <w:p>
      <w:pPr>
        <w:spacing w:before="40" w:line="197" w:lineRule="auto"/>
        <w:ind w:left="525"/>
        <w:rPr>
          <w:rFonts w:ascii="微软雅黑" w:hAnsi="微软雅黑" w:eastAsia="微软雅黑" w:cs="微软雅黑"/>
          <w:sz w:val="20"/>
          <w:szCs w:val="20"/>
        </w:rPr>
      </w:pPr>
      <w:r>
        <w:rPr>
          <w:rFonts w:ascii="微软雅黑" w:hAnsi="微软雅黑" w:eastAsia="微软雅黑" w:cs="微软雅黑"/>
          <w:color w:val="231F20"/>
          <w:sz w:val="20"/>
          <w:szCs w:val="20"/>
        </w:rPr>
        <w:t>（三）如何保障利益相关者参与</w:t>
      </w:r>
    </w:p>
    <w:p>
      <w:pPr>
        <w:spacing w:before="37" w:line="213" w:lineRule="auto"/>
        <w:ind w:left="185" w:right="3" w:firstLine="423"/>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利益相关者参与高等教育质量保障，从本质上</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4"/>
          <w:sz w:val="20"/>
          <w:szCs w:val="20"/>
        </w:rPr>
        <w:t>说是高等教育机构建立怎么样的机制以及利益相关</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者作用发挥的程度</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3"/>
          <w:sz w:val="20"/>
          <w:szCs w:val="20"/>
        </w:rPr>
        <w:t>。从已有观察和研究注意到，“文</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化元素具有强大的政治维度，而质量保证在很大程</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sz w:val="20"/>
          <w:szCs w:val="20"/>
        </w:rPr>
        <w:t>度上关乎权力和意识形态</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7"/>
          <w:sz w:val="20"/>
          <w:szCs w:val="20"/>
        </w:rPr>
        <w:t>”</w:t>
      </w:r>
      <w:r>
        <w:rPr>
          <w:rFonts w:ascii="微软雅黑" w:hAnsi="微软雅黑" w:eastAsia="微软雅黑" w:cs="微软雅黑"/>
          <w:color w:val="231F20"/>
          <w:spacing w:val="7"/>
          <w:position w:val="8"/>
          <w:sz w:val="10"/>
          <w:szCs w:val="10"/>
        </w:rPr>
        <w:t>［</w:t>
      </w:r>
      <w:r>
        <w:rPr>
          <w:rFonts w:ascii="宋体" w:hAnsi="宋体" w:eastAsia="宋体" w:cs="宋体"/>
          <w:color w:val="231F20"/>
          <w:spacing w:val="7"/>
          <w:position w:val="8"/>
          <w:sz w:val="10"/>
          <w:szCs w:val="10"/>
        </w:rPr>
        <w:t>10</w:t>
      </w:r>
      <w:r>
        <w:rPr>
          <w:rFonts w:ascii="微软雅黑" w:hAnsi="微软雅黑" w:eastAsia="微软雅黑" w:cs="微软雅黑"/>
          <w:color w:val="231F20"/>
          <w:spacing w:val="7"/>
          <w:position w:val="8"/>
          <w:sz w:val="10"/>
          <w:szCs w:val="10"/>
        </w:rPr>
        <w:t>］</w:t>
      </w:r>
      <w:r>
        <w:rPr>
          <w:rFonts w:ascii="微软雅黑" w:hAnsi="微软雅黑" w:eastAsia="微软雅黑" w:cs="微软雅黑"/>
          <w:color w:val="231F20"/>
          <w:spacing w:val="7"/>
          <w:sz w:val="20"/>
          <w:szCs w:val="20"/>
        </w:rPr>
        <w:t>。这一观点意味着质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量保障不是一个中性的概念，而是与文化背景和权</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力密切相关，这一问题涉及了一系列话题：其一，由</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2"/>
          <w:sz w:val="20"/>
          <w:szCs w:val="20"/>
        </w:rPr>
        <w:t>谁来定义质量和质量标准？</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2"/>
          <w:sz w:val="20"/>
          <w:szCs w:val="20"/>
        </w:rPr>
        <w:t>研究发现，当质量成为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公众关注的焦点问题，质量越可能倾向于政府问责。</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8"/>
          <w:sz w:val="20"/>
          <w:szCs w:val="20"/>
        </w:rPr>
        <w:t>而当学术话语权在支配地位时，质量则倾向于改进，</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14"/>
          <w:sz w:val="20"/>
          <w:szCs w:val="20"/>
        </w:rPr>
        <w:t>而在改进和问责制之间的平衡，取决于谁负责质量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保证，谁来定义质量和标准问题</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3"/>
          <w:sz w:val="20"/>
          <w:szCs w:val="20"/>
        </w:rPr>
        <w:t>。从调查结果看，欧</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洲高等教育质量很大程度上受外部标准影响，质量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保障基于政府问责成分很大程度上多于基于学者质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量改进的需要</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2"/>
          <w:sz w:val="20"/>
          <w:szCs w:val="20"/>
        </w:rPr>
        <w:t>。其二，利益相关者如何参与质量保</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障？</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1"/>
          <w:sz w:val="20"/>
          <w:szCs w:val="20"/>
        </w:rPr>
        <w:t>关于这一问题</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1"/>
          <w:sz w:val="20"/>
          <w:szCs w:val="20"/>
        </w:rPr>
        <w:t>，讨论最多的是“</w:t>
      </w:r>
      <w:r>
        <w:rPr>
          <w:rFonts w:ascii="微软雅黑" w:hAnsi="微软雅黑" w:eastAsia="微软雅黑" w:cs="微软雅黑"/>
          <w:color w:val="231F20"/>
          <w:spacing w:val="-37"/>
          <w:sz w:val="20"/>
          <w:szCs w:val="20"/>
        </w:rPr>
        <w:t xml:space="preserve"> </w:t>
      </w:r>
      <w:r>
        <w:rPr>
          <w:rFonts w:ascii="微软雅黑" w:hAnsi="微软雅黑" w:eastAsia="微软雅黑" w:cs="微软雅黑"/>
          <w:color w:val="231F20"/>
          <w:spacing w:val="1"/>
          <w:sz w:val="20"/>
          <w:szCs w:val="20"/>
        </w:rPr>
        <w:t>冲突</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1"/>
          <w:sz w:val="20"/>
          <w:szCs w:val="20"/>
        </w:rPr>
        <w:t>”的概念</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1"/>
          <w:sz w:val="20"/>
          <w:szCs w:val="20"/>
        </w:rPr>
        <w:t>。</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从一般理解，有效质量文化需建立在无摩擦的和谐</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之上，冲突通常被定义为一个需要避免的问题</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2"/>
          <w:sz w:val="20"/>
          <w:szCs w:val="20"/>
        </w:rPr>
        <w:t>。然</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而，也有相反观点认为，质量保证的理念本身就主张</w:t>
      </w:r>
    </w:p>
    <w:p>
      <w:pPr>
        <w:spacing w:line="14" w:lineRule="auto"/>
        <w:rPr>
          <w:rFonts w:ascii="Arial"/>
          <w:sz w:val="2"/>
        </w:rPr>
      </w:pPr>
      <w:r>
        <w:rPr>
          <w:rFonts w:ascii="Arial" w:hAnsi="Arial" w:eastAsia="Arial" w:cs="Arial"/>
          <w:sz w:val="2"/>
          <w:szCs w:val="2"/>
        </w:rPr>
        <w:br w:type="column"/>
      </w:r>
    </w:p>
    <w:p>
      <w:pPr>
        <w:tabs>
          <w:tab w:val="left" w:pos="111"/>
        </w:tabs>
        <w:spacing w:before="32" w:line="213" w:lineRule="auto"/>
        <w:ind w:firstLine="23"/>
        <w:rPr>
          <w:rFonts w:ascii="微软雅黑" w:hAnsi="微软雅黑" w:eastAsia="微软雅黑" w:cs="微软雅黑"/>
          <w:sz w:val="20"/>
          <w:szCs w:val="20"/>
        </w:rPr>
      </w:pPr>
      <w:r>
        <w:rPr>
          <w:rFonts w:ascii="微软雅黑" w:hAnsi="微软雅黑" w:eastAsia="微软雅黑" w:cs="微软雅黑"/>
          <w:color w:val="231F20"/>
          <w:spacing w:val="6"/>
          <w:sz w:val="20"/>
          <w:szCs w:val="20"/>
        </w:rPr>
        <w:t xml:space="preserve">（建设性的）冲突的概念，因为质量保障的关键原则    </w:t>
      </w:r>
      <w:r>
        <w:rPr>
          <w:rFonts w:ascii="微软雅黑" w:hAnsi="微软雅黑" w:eastAsia="微软雅黑" w:cs="微软雅黑"/>
          <w:color w:val="231F20"/>
          <w:spacing w:val="15"/>
          <w:sz w:val="20"/>
          <w:szCs w:val="20"/>
        </w:rPr>
        <w:t xml:space="preserve">之一就是多个利益相关者及其观点的参与、协调并    最终获得更好的结果，其核心是建立解决冲突的协    </w:t>
      </w:r>
      <w:r>
        <w:rPr>
          <w:rFonts w:ascii="微软雅黑" w:hAnsi="微软雅黑" w:eastAsia="微软雅黑" w:cs="微软雅黑"/>
          <w:color w:val="231F20"/>
          <w:spacing w:val="14"/>
          <w:sz w:val="20"/>
          <w:szCs w:val="20"/>
        </w:rPr>
        <w:t>调参与机制</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4"/>
          <w:sz w:val="20"/>
          <w:szCs w:val="20"/>
        </w:rPr>
        <w:t xml:space="preserve">。这一协调参与机制被理解为包括“正    </w:t>
      </w:r>
      <w:r>
        <w:rPr>
          <w:rFonts w:ascii="微软雅黑" w:hAnsi="微软雅黑" w:eastAsia="微软雅黑" w:cs="微软雅黑"/>
          <w:color w:val="231F20"/>
          <w:spacing w:val="8"/>
          <w:sz w:val="20"/>
          <w:szCs w:val="20"/>
        </w:rPr>
        <w:t>式参与治理机构（有表决权）”“正式参与咨询</w:t>
      </w:r>
      <w:r>
        <w:rPr>
          <w:rFonts w:ascii="微软雅黑" w:hAnsi="微软雅黑" w:eastAsia="微软雅黑" w:cs="微软雅黑"/>
          <w:color w:val="231F20"/>
          <w:spacing w:val="7"/>
          <w:sz w:val="20"/>
          <w:szCs w:val="20"/>
        </w:rPr>
        <w:t>机构</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7"/>
          <w:sz w:val="20"/>
          <w:szCs w:val="20"/>
        </w:rPr>
        <w:t>”</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w:t>
      </w:r>
      <w:r>
        <w:rPr>
          <w:rFonts w:ascii="微软雅黑" w:hAnsi="微软雅黑" w:eastAsia="微软雅黑" w:cs="微软雅黑"/>
          <w:color w:val="231F20"/>
          <w:spacing w:val="-41"/>
          <w:sz w:val="20"/>
          <w:szCs w:val="20"/>
        </w:rPr>
        <w:t xml:space="preserve"> </w:t>
      </w:r>
      <w:r>
        <w:rPr>
          <w:rFonts w:ascii="微软雅黑" w:hAnsi="微软雅黑" w:eastAsia="微软雅黑" w:cs="微软雅黑"/>
          <w:color w:val="231F20"/>
          <w:spacing w:val="6"/>
          <w:sz w:val="20"/>
          <w:szCs w:val="20"/>
        </w:rPr>
        <w:t>正式参与自我评估或其他评价活动</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6"/>
          <w:sz w:val="20"/>
          <w:szCs w:val="20"/>
        </w:rPr>
        <w:t>”“非</w:t>
      </w:r>
      <w:r>
        <w:rPr>
          <w:rFonts w:ascii="微软雅黑" w:hAnsi="微软雅黑" w:eastAsia="微软雅黑" w:cs="微软雅黑"/>
          <w:color w:val="231F20"/>
          <w:spacing w:val="5"/>
          <w:sz w:val="20"/>
          <w:szCs w:val="20"/>
        </w:rPr>
        <w:t xml:space="preserve">正式建议    </w:t>
      </w:r>
      <w:r>
        <w:rPr>
          <w:rFonts w:ascii="微软雅黑" w:hAnsi="微软雅黑" w:eastAsia="微软雅黑" w:cs="微软雅黑"/>
          <w:color w:val="231F20"/>
          <w:spacing w:val="1"/>
          <w:sz w:val="20"/>
          <w:szCs w:val="20"/>
        </w:rPr>
        <w:t>意见</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
          <w:sz w:val="20"/>
          <w:szCs w:val="20"/>
        </w:rPr>
        <w:t>”“定期调查反馈</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1"/>
          <w:sz w:val="20"/>
          <w:szCs w:val="20"/>
        </w:rPr>
        <w:t>”等在内的多种形式</w:t>
      </w:r>
      <w:r>
        <w:rPr>
          <w:rFonts w:ascii="微软雅黑" w:hAnsi="微软雅黑" w:eastAsia="微软雅黑" w:cs="微软雅黑"/>
          <w:color w:val="231F20"/>
          <w:spacing w:val="1"/>
          <w:position w:val="8"/>
          <w:sz w:val="10"/>
          <w:szCs w:val="10"/>
        </w:rPr>
        <w:t>［</w:t>
      </w:r>
      <w:r>
        <w:rPr>
          <w:rFonts w:ascii="宋体" w:hAnsi="宋体" w:eastAsia="宋体" w:cs="宋体"/>
          <w:color w:val="231F20"/>
          <w:spacing w:val="1"/>
          <w:position w:val="8"/>
          <w:sz w:val="10"/>
          <w:szCs w:val="10"/>
        </w:rPr>
        <w:t>11</w:t>
      </w:r>
      <w:r>
        <w:rPr>
          <w:rFonts w:ascii="微软雅黑" w:hAnsi="微软雅黑" w:eastAsia="微软雅黑" w:cs="微软雅黑"/>
          <w:color w:val="231F20"/>
          <w:spacing w:val="1"/>
          <w:position w:val="8"/>
          <w:sz w:val="10"/>
          <w:szCs w:val="10"/>
        </w:rPr>
        <w:t>］</w:t>
      </w:r>
      <w:r>
        <w:rPr>
          <w:rFonts w:ascii="微软雅黑" w:hAnsi="微软雅黑" w:eastAsia="微软雅黑" w:cs="微软雅黑"/>
          <w:color w:val="231F20"/>
          <w:spacing w:val="1"/>
          <w:sz w:val="20"/>
          <w:szCs w:val="20"/>
        </w:rPr>
        <w:t xml:space="preserve">。从调    </w:t>
      </w:r>
      <w:r>
        <w:rPr>
          <w:rFonts w:ascii="微软雅黑" w:hAnsi="微软雅黑" w:eastAsia="微软雅黑" w:cs="微软雅黑"/>
          <w:color w:val="231F20"/>
          <w:spacing w:val="15"/>
          <w:sz w:val="20"/>
          <w:szCs w:val="20"/>
        </w:rPr>
        <w:t xml:space="preserve">查结果看，学术人员更多是通过学术组织参与到质    量保障，而学校领导更多是通过官僚组织对质量保    </w:t>
      </w:r>
      <w:r>
        <w:rPr>
          <w:rFonts w:ascii="微软雅黑" w:hAnsi="微软雅黑" w:eastAsia="微软雅黑" w:cs="微软雅黑"/>
          <w:color w:val="231F20"/>
          <w:spacing w:val="13"/>
          <w:sz w:val="20"/>
          <w:szCs w:val="20"/>
        </w:rPr>
        <w:t>障产生了影响</w:t>
      </w:r>
      <w:r>
        <w:rPr>
          <w:rFonts w:ascii="微软雅黑" w:hAnsi="微软雅黑" w:eastAsia="微软雅黑" w:cs="微软雅黑"/>
          <w:color w:val="231F20"/>
          <w:spacing w:val="-22"/>
          <w:sz w:val="20"/>
          <w:szCs w:val="20"/>
        </w:rPr>
        <w:t xml:space="preserve"> </w:t>
      </w:r>
      <w:r>
        <w:rPr>
          <w:rFonts w:ascii="微软雅黑" w:hAnsi="微软雅黑" w:eastAsia="微软雅黑" w:cs="微软雅黑"/>
          <w:color w:val="231F20"/>
          <w:spacing w:val="13"/>
          <w:sz w:val="20"/>
          <w:szCs w:val="20"/>
        </w:rPr>
        <w:t>。</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3"/>
          <w:sz w:val="20"/>
          <w:szCs w:val="20"/>
        </w:rPr>
        <w:t>由此延伸出另外一个问题，高等教</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5"/>
          <w:sz w:val="20"/>
          <w:szCs w:val="20"/>
        </w:rPr>
        <w:t xml:space="preserve">育机构是以民主参与为主，还是以官僚组织参与为    </w:t>
      </w:r>
      <w:r>
        <w:rPr>
          <w:rFonts w:ascii="微软雅黑" w:hAnsi="微软雅黑" w:eastAsia="微软雅黑" w:cs="微软雅黑"/>
          <w:color w:val="231F20"/>
          <w:spacing w:val="14"/>
          <w:sz w:val="20"/>
          <w:szCs w:val="20"/>
        </w:rPr>
        <w:t>主？</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4"/>
          <w:sz w:val="20"/>
          <w:szCs w:val="20"/>
        </w:rPr>
        <w:t xml:space="preserve">根据报告结论，采用何种形式取决于高等教育    </w:t>
      </w:r>
      <w:r>
        <w:rPr>
          <w:rFonts w:ascii="微软雅黑" w:hAnsi="微软雅黑" w:eastAsia="微软雅黑" w:cs="微软雅黑"/>
          <w:color w:val="231F20"/>
          <w:spacing w:val="15"/>
          <w:sz w:val="20"/>
          <w:szCs w:val="20"/>
        </w:rPr>
        <w:t xml:space="preserve">机构内部民主参与文化氛围和外部对高等教育机构    </w:t>
      </w:r>
      <w:r>
        <w:rPr>
          <w:rFonts w:ascii="微软雅黑" w:hAnsi="微软雅黑" w:eastAsia="微软雅黑" w:cs="微软雅黑"/>
          <w:color w:val="231F20"/>
          <w:spacing w:val="14"/>
          <w:sz w:val="20"/>
          <w:szCs w:val="20"/>
        </w:rPr>
        <w:t>的信任水平</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4"/>
          <w:sz w:val="20"/>
          <w:szCs w:val="20"/>
        </w:rPr>
        <w:t xml:space="preserve">。在信任水平很高的地区，外部质量保    </w:t>
      </w:r>
      <w:r>
        <w:rPr>
          <w:rFonts w:ascii="微软雅黑" w:hAnsi="微软雅黑" w:eastAsia="微软雅黑" w:cs="微软雅黑"/>
          <w:color w:val="231F20"/>
          <w:spacing w:val="22"/>
          <w:sz w:val="20"/>
          <w:szCs w:val="20"/>
        </w:rPr>
        <w:t>障机构会认为高等教育机构具有运行良好的系统</w:t>
      </w:r>
      <w:r>
        <w:rPr>
          <w:rFonts w:ascii="微软雅黑" w:hAnsi="微软雅黑" w:eastAsia="微软雅黑" w:cs="微软雅黑"/>
          <w:color w:val="231F20"/>
          <w:spacing w:val="-7"/>
          <w:sz w:val="20"/>
          <w:szCs w:val="20"/>
        </w:rPr>
        <w:t xml:space="preserve"> </w:t>
      </w:r>
      <w:r>
        <w:rPr>
          <w:rFonts w:ascii="微软雅黑" w:hAnsi="微软雅黑" w:eastAsia="微软雅黑" w:cs="微软雅黑"/>
          <w:color w:val="231F20"/>
          <w:spacing w:val="22"/>
          <w:sz w:val="20"/>
          <w:szCs w:val="20"/>
        </w:rPr>
        <w:t>。</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5"/>
          <w:sz w:val="20"/>
          <w:szCs w:val="20"/>
        </w:rPr>
        <w:t xml:space="preserve">而在不受信任地区，高等教育机构往往必须服从外    部质量保障机构的控制性的质量保证文化，而对高    等教育体系的信任水平又取决于是否存在开放的高    </w:t>
      </w:r>
      <w:r>
        <w:rPr>
          <w:rFonts w:ascii="微软雅黑" w:hAnsi="微软雅黑" w:eastAsia="微软雅黑" w:cs="微软雅黑"/>
          <w:color w:val="231F20"/>
          <w:spacing w:val="17"/>
          <w:sz w:val="20"/>
          <w:szCs w:val="20"/>
        </w:rPr>
        <w:t>等教育市场</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pacing w:val="17"/>
          <w:sz w:val="20"/>
          <w:szCs w:val="20"/>
        </w:rPr>
        <w:t>。根据这些结果，</w:t>
      </w:r>
      <w:r>
        <w:rPr>
          <w:rFonts w:ascii="宋体" w:hAnsi="宋体" w:eastAsia="宋体" w:cs="宋体"/>
          <w:color w:val="231F20"/>
          <w:sz w:val="20"/>
          <w:szCs w:val="20"/>
        </w:rPr>
        <w:t>EUA</w:t>
      </w:r>
      <w:r>
        <w:rPr>
          <w:rFonts w:ascii="宋体" w:hAnsi="宋体" w:eastAsia="宋体" w:cs="宋体"/>
          <w:color w:val="231F20"/>
          <w:spacing w:val="-55"/>
          <w:sz w:val="20"/>
          <w:szCs w:val="20"/>
        </w:rPr>
        <w:t xml:space="preserve"> </w:t>
      </w:r>
      <w:r>
        <w:rPr>
          <w:rFonts w:ascii="微软雅黑" w:hAnsi="微软雅黑" w:eastAsia="微软雅黑" w:cs="微软雅黑"/>
          <w:color w:val="231F20"/>
          <w:spacing w:val="17"/>
          <w:sz w:val="20"/>
          <w:szCs w:val="20"/>
        </w:rPr>
        <w:t xml:space="preserve">重新把质量文化    </w:t>
      </w:r>
      <w:r>
        <w:rPr>
          <w:rFonts w:ascii="微软雅黑" w:hAnsi="微软雅黑" w:eastAsia="微软雅黑" w:cs="微软雅黑"/>
          <w:color w:val="231F20"/>
          <w:spacing w:val="-8"/>
          <w:sz w:val="20"/>
          <w:szCs w:val="20"/>
        </w:rPr>
        <w:t>划分为四种类型：专业型文化（</w:t>
      </w:r>
      <w:r>
        <w:rPr>
          <w:rFonts w:ascii="宋体" w:hAnsi="宋体" w:eastAsia="宋体" w:cs="宋体"/>
          <w:color w:val="231F20"/>
          <w:spacing w:val="-8"/>
          <w:sz w:val="20"/>
          <w:szCs w:val="20"/>
        </w:rPr>
        <w:t>Professional</w:t>
      </w:r>
      <w:r>
        <w:rPr>
          <w:rFonts w:ascii="宋体" w:hAnsi="宋体" w:eastAsia="宋体" w:cs="宋体"/>
          <w:color w:val="231F20"/>
          <w:spacing w:val="-30"/>
          <w:sz w:val="20"/>
          <w:szCs w:val="20"/>
        </w:rPr>
        <w:t xml:space="preserve"> </w:t>
      </w:r>
      <w:r>
        <w:rPr>
          <w:rFonts w:ascii="宋体" w:hAnsi="宋体" w:eastAsia="宋体" w:cs="宋体"/>
          <w:color w:val="231F20"/>
          <w:spacing w:val="-8"/>
          <w:sz w:val="20"/>
          <w:szCs w:val="20"/>
        </w:rPr>
        <w:t>Culture</w:t>
      </w:r>
      <w:r>
        <w:rPr>
          <w:rFonts w:ascii="微软雅黑" w:hAnsi="微软雅黑" w:eastAsia="微软雅黑" w:cs="微软雅黑"/>
          <w:color w:val="231F20"/>
          <w:spacing w:val="-9"/>
          <w:sz w:val="20"/>
          <w:szCs w:val="20"/>
        </w:rPr>
        <w:t>）、   管</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9"/>
          <w:sz w:val="20"/>
          <w:szCs w:val="20"/>
        </w:rPr>
        <w:t>理</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9"/>
          <w:sz w:val="20"/>
          <w:szCs w:val="20"/>
        </w:rPr>
        <w:t>型</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9"/>
          <w:sz w:val="20"/>
          <w:szCs w:val="20"/>
        </w:rPr>
        <w:t>文</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9"/>
          <w:sz w:val="20"/>
          <w:szCs w:val="20"/>
        </w:rPr>
        <w:t>化（</w:t>
      </w:r>
      <w:r>
        <w:rPr>
          <w:rFonts w:ascii="宋体" w:hAnsi="宋体" w:eastAsia="宋体" w:cs="宋体"/>
          <w:color w:val="231F20"/>
          <w:spacing w:val="-9"/>
          <w:sz w:val="20"/>
          <w:szCs w:val="20"/>
        </w:rPr>
        <w:t>Managerial Culture</w:t>
      </w:r>
      <w:r>
        <w:rPr>
          <w:rFonts w:ascii="微软雅黑" w:hAnsi="微软雅黑" w:eastAsia="微软雅黑" w:cs="微软雅黑"/>
          <w:color w:val="231F20"/>
          <w:spacing w:val="-9"/>
          <w:sz w:val="20"/>
          <w:szCs w:val="20"/>
        </w:rPr>
        <w:t>）、二</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9"/>
          <w:sz w:val="20"/>
          <w:szCs w:val="20"/>
        </w:rPr>
        <w:t>者</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9"/>
          <w:sz w:val="20"/>
          <w:szCs w:val="20"/>
        </w:rPr>
        <w:t>结</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9"/>
          <w:sz w:val="20"/>
          <w:szCs w:val="20"/>
        </w:rPr>
        <w:t>合</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9"/>
          <w:sz w:val="20"/>
          <w:szCs w:val="20"/>
        </w:rPr>
        <w:t>型</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9"/>
          <w:sz w:val="20"/>
          <w:szCs w:val="20"/>
        </w:rPr>
        <w:t>文</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9"/>
          <w:sz w:val="20"/>
          <w:szCs w:val="20"/>
        </w:rPr>
        <w:t>化</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w:t>
      </w:r>
      <w:r>
        <w:rPr>
          <w:rFonts w:ascii="宋体" w:hAnsi="宋体" w:eastAsia="宋体" w:cs="宋体"/>
          <w:color w:val="231F20"/>
          <w:spacing w:val="-14"/>
          <w:sz w:val="20"/>
          <w:szCs w:val="20"/>
        </w:rPr>
        <w:t>Integrated</w:t>
      </w:r>
      <w:r>
        <w:rPr>
          <w:rFonts w:ascii="宋体" w:hAnsi="宋体" w:eastAsia="宋体" w:cs="宋体"/>
          <w:color w:val="231F20"/>
          <w:spacing w:val="39"/>
          <w:sz w:val="20"/>
          <w:szCs w:val="20"/>
        </w:rPr>
        <w:t xml:space="preserve"> </w:t>
      </w:r>
      <w:r>
        <w:rPr>
          <w:rFonts w:ascii="宋体" w:hAnsi="宋体" w:eastAsia="宋体" w:cs="宋体"/>
          <w:color w:val="231F20"/>
          <w:spacing w:val="-14"/>
          <w:sz w:val="20"/>
          <w:szCs w:val="20"/>
        </w:rPr>
        <w:t>Culture</w:t>
      </w:r>
      <w:r>
        <w:rPr>
          <w:rFonts w:ascii="微软雅黑" w:hAnsi="微软雅黑" w:eastAsia="微软雅黑" w:cs="微软雅黑"/>
          <w:color w:val="231F20"/>
          <w:spacing w:val="-14"/>
          <w:sz w:val="20"/>
          <w:szCs w:val="20"/>
        </w:rPr>
        <w:t>）以</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4"/>
          <w:sz w:val="20"/>
          <w:szCs w:val="20"/>
        </w:rPr>
        <w:t>及</w:t>
      </w:r>
      <w:r>
        <w:rPr>
          <w:rFonts w:ascii="微软雅黑" w:hAnsi="微软雅黑" w:eastAsia="微软雅黑" w:cs="微软雅黑"/>
          <w:color w:val="231F20"/>
          <w:spacing w:val="22"/>
          <w:sz w:val="20"/>
          <w:szCs w:val="20"/>
        </w:rPr>
        <w:t xml:space="preserve"> </w:t>
      </w:r>
      <w:r>
        <w:rPr>
          <w:rFonts w:ascii="微软雅黑" w:hAnsi="微软雅黑" w:eastAsia="微软雅黑" w:cs="微软雅黑"/>
          <w:color w:val="231F20"/>
          <w:spacing w:val="-14"/>
          <w:sz w:val="20"/>
          <w:szCs w:val="20"/>
        </w:rPr>
        <w:t>放</w:t>
      </w:r>
      <w:r>
        <w:rPr>
          <w:rFonts w:ascii="微软雅黑" w:hAnsi="微软雅黑" w:eastAsia="微软雅黑" w:cs="微软雅黑"/>
          <w:color w:val="231F20"/>
          <w:spacing w:val="22"/>
          <w:sz w:val="20"/>
          <w:szCs w:val="20"/>
        </w:rPr>
        <w:t xml:space="preserve"> </w:t>
      </w:r>
      <w:r>
        <w:rPr>
          <w:rFonts w:ascii="微软雅黑" w:hAnsi="微软雅黑" w:eastAsia="微软雅黑" w:cs="微软雅黑"/>
          <w:color w:val="231F20"/>
          <w:spacing w:val="-14"/>
          <w:sz w:val="20"/>
          <w:szCs w:val="20"/>
        </w:rPr>
        <w:t>任</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14"/>
          <w:sz w:val="20"/>
          <w:szCs w:val="20"/>
        </w:rPr>
        <w:t>型</w:t>
      </w:r>
      <w:r>
        <w:rPr>
          <w:rFonts w:ascii="微软雅黑" w:hAnsi="微软雅黑" w:eastAsia="微软雅黑" w:cs="微软雅黑"/>
          <w:color w:val="231F20"/>
          <w:spacing w:val="24"/>
          <w:sz w:val="20"/>
          <w:szCs w:val="20"/>
        </w:rPr>
        <w:t xml:space="preserve"> </w:t>
      </w:r>
      <w:r>
        <w:rPr>
          <w:rFonts w:ascii="微软雅黑" w:hAnsi="微软雅黑" w:eastAsia="微软雅黑" w:cs="微软雅黑"/>
          <w:color w:val="231F20"/>
          <w:spacing w:val="-14"/>
          <w:sz w:val="20"/>
          <w:szCs w:val="20"/>
        </w:rPr>
        <w:t>文</w:t>
      </w:r>
      <w:r>
        <w:rPr>
          <w:rFonts w:ascii="微软雅黑" w:hAnsi="微软雅黑" w:eastAsia="微软雅黑" w:cs="微软雅黑"/>
          <w:color w:val="231F20"/>
          <w:spacing w:val="22"/>
          <w:sz w:val="20"/>
          <w:szCs w:val="20"/>
        </w:rPr>
        <w:t xml:space="preserve"> </w:t>
      </w:r>
      <w:r>
        <w:rPr>
          <w:rFonts w:ascii="微软雅黑" w:hAnsi="微软雅黑" w:eastAsia="微软雅黑" w:cs="微软雅黑"/>
          <w:color w:val="231F20"/>
          <w:spacing w:val="-14"/>
          <w:sz w:val="20"/>
          <w:szCs w:val="20"/>
        </w:rPr>
        <w:t>化（</w:t>
      </w:r>
      <w:r>
        <w:rPr>
          <w:rFonts w:ascii="宋体" w:hAnsi="宋体" w:eastAsia="宋体" w:cs="宋体"/>
          <w:color w:val="231F20"/>
          <w:spacing w:val="-14"/>
          <w:sz w:val="20"/>
          <w:szCs w:val="20"/>
        </w:rPr>
        <w:t>Fatalistic</w:t>
      </w:r>
      <w:r>
        <w:rPr>
          <w:rFonts w:ascii="宋体" w:hAnsi="宋体" w:eastAsia="宋体" w:cs="宋体"/>
          <w:color w:val="231F20"/>
          <w:sz w:val="20"/>
          <w:szCs w:val="20"/>
        </w:rPr>
        <w:t xml:space="preserve">   </w:t>
      </w:r>
      <w:r>
        <w:rPr>
          <w:rFonts w:ascii="宋体" w:hAnsi="宋体" w:eastAsia="宋体" w:cs="宋体"/>
          <w:color w:val="231F20"/>
          <w:sz w:val="20"/>
          <w:szCs w:val="20"/>
        </w:rPr>
        <w:tab/>
      </w:r>
      <w:r>
        <w:rPr>
          <w:rFonts w:ascii="宋体" w:hAnsi="宋体" w:eastAsia="宋体" w:cs="宋体"/>
          <w:color w:val="231F20"/>
          <w:spacing w:val="-2"/>
          <w:sz w:val="20"/>
          <w:szCs w:val="20"/>
        </w:rPr>
        <w:t>Culture</w:t>
      </w:r>
      <w:r>
        <w:rPr>
          <w:rFonts w:ascii="微软雅黑" w:hAnsi="微软雅黑" w:eastAsia="微软雅黑" w:cs="微软雅黑"/>
          <w:color w:val="231F20"/>
          <w:spacing w:val="-2"/>
          <w:sz w:val="20"/>
          <w:szCs w:val="20"/>
        </w:rPr>
        <w:t>）。 而从</w:t>
      </w:r>
      <w:r>
        <w:rPr>
          <w:rFonts w:ascii="微软雅黑" w:hAnsi="微软雅黑" w:eastAsia="微软雅黑" w:cs="微软雅黑"/>
          <w:color w:val="231F20"/>
          <w:spacing w:val="-16"/>
          <w:sz w:val="20"/>
          <w:szCs w:val="20"/>
        </w:rPr>
        <w:t xml:space="preserve"> </w:t>
      </w:r>
      <w:r>
        <w:rPr>
          <w:rFonts w:ascii="宋体" w:hAnsi="宋体" w:eastAsia="宋体" w:cs="宋体"/>
          <w:color w:val="231F20"/>
          <w:spacing w:val="-2"/>
          <w:sz w:val="20"/>
          <w:szCs w:val="20"/>
        </w:rPr>
        <w:t>EUA</w:t>
      </w:r>
      <w:r>
        <w:rPr>
          <w:rFonts w:ascii="宋体" w:hAnsi="宋体" w:eastAsia="宋体" w:cs="宋体"/>
          <w:color w:val="231F20"/>
          <w:spacing w:val="-46"/>
          <w:sz w:val="20"/>
          <w:szCs w:val="20"/>
        </w:rPr>
        <w:t xml:space="preserve"> </w:t>
      </w:r>
      <w:r>
        <w:rPr>
          <w:rFonts w:ascii="微软雅黑" w:hAnsi="微软雅黑" w:eastAsia="微软雅黑" w:cs="微软雅黑"/>
          <w:color w:val="231F20"/>
          <w:spacing w:val="-2"/>
          <w:sz w:val="20"/>
          <w:szCs w:val="20"/>
        </w:rPr>
        <w:t xml:space="preserve">的立场看来，倾向于强调质量文    </w:t>
      </w:r>
      <w:r>
        <w:rPr>
          <w:rFonts w:ascii="微软雅黑" w:hAnsi="微软雅黑" w:eastAsia="微软雅黑" w:cs="微软雅黑"/>
          <w:color w:val="231F20"/>
          <w:spacing w:val="15"/>
          <w:sz w:val="20"/>
          <w:szCs w:val="20"/>
        </w:rPr>
        <w:t xml:space="preserve">化的成功因素包括高等教育机构的领导能够为基层    </w:t>
      </w:r>
      <w:r>
        <w:rPr>
          <w:rFonts w:ascii="微软雅黑" w:hAnsi="微软雅黑" w:eastAsia="微软雅黑" w:cs="微软雅黑"/>
          <w:color w:val="231F20"/>
          <w:spacing w:val="7"/>
          <w:sz w:val="20"/>
          <w:szCs w:val="20"/>
        </w:rPr>
        <w:t xml:space="preserve">质量保障提供空间，通过广泛的协商和讨论，避免过    </w:t>
      </w:r>
      <w:r>
        <w:rPr>
          <w:rFonts w:ascii="微软雅黑" w:hAnsi="微软雅黑" w:eastAsia="微软雅黑" w:cs="微软雅黑"/>
          <w:color w:val="231F20"/>
          <w:spacing w:val="9"/>
          <w:sz w:val="20"/>
          <w:szCs w:val="20"/>
        </w:rPr>
        <w:t>度官僚化带来的风险</w:t>
      </w:r>
      <w:r>
        <w:rPr>
          <w:rFonts w:ascii="微软雅黑" w:hAnsi="微软雅黑" w:eastAsia="微软雅黑" w:cs="微软雅黑"/>
          <w:color w:val="231F20"/>
          <w:spacing w:val="9"/>
          <w:position w:val="8"/>
          <w:sz w:val="10"/>
          <w:szCs w:val="10"/>
        </w:rPr>
        <w:t>［</w:t>
      </w:r>
      <w:r>
        <w:rPr>
          <w:rFonts w:ascii="宋体" w:hAnsi="宋体" w:eastAsia="宋体" w:cs="宋体"/>
          <w:color w:val="231F20"/>
          <w:spacing w:val="9"/>
          <w:position w:val="8"/>
          <w:sz w:val="10"/>
          <w:szCs w:val="10"/>
        </w:rPr>
        <w:t>10</w:t>
      </w:r>
      <w:r>
        <w:rPr>
          <w:rFonts w:ascii="微软雅黑" w:hAnsi="微软雅黑" w:eastAsia="微软雅黑" w:cs="微软雅黑"/>
          <w:color w:val="231F20"/>
          <w:spacing w:val="9"/>
          <w:position w:val="8"/>
          <w:sz w:val="10"/>
          <w:szCs w:val="10"/>
        </w:rPr>
        <w:t>］</w:t>
      </w:r>
      <w:r>
        <w:rPr>
          <w:rFonts w:ascii="微软雅黑" w:hAnsi="微软雅黑" w:eastAsia="微软雅黑" w:cs="微软雅黑"/>
          <w:color w:val="231F20"/>
          <w:spacing w:val="9"/>
          <w:sz w:val="20"/>
          <w:szCs w:val="20"/>
        </w:rPr>
        <w:t>。</w:t>
      </w:r>
    </w:p>
    <w:p>
      <w:pPr>
        <w:spacing w:before="38" w:line="197" w:lineRule="auto"/>
        <w:ind w:left="443"/>
        <w:rPr>
          <w:rFonts w:ascii="微软雅黑" w:hAnsi="微软雅黑" w:eastAsia="微软雅黑" w:cs="微软雅黑"/>
          <w:sz w:val="20"/>
          <w:szCs w:val="20"/>
        </w:rPr>
      </w:pPr>
      <w:r>
        <w:rPr>
          <w:rFonts w:ascii="微软雅黑" w:hAnsi="微软雅黑" w:eastAsia="微软雅黑" w:cs="微软雅黑"/>
          <w:color w:val="231F20"/>
          <w:spacing w:val="-3"/>
          <w:sz w:val="20"/>
          <w:szCs w:val="20"/>
        </w:rPr>
        <w:t>（</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3"/>
          <w:sz w:val="20"/>
          <w:szCs w:val="20"/>
        </w:rPr>
        <w:t>四）如何体现以学生为中心</w:t>
      </w:r>
    </w:p>
    <w:p>
      <w:pPr>
        <w:spacing w:before="27" w:line="212" w:lineRule="auto"/>
        <w:ind w:left="105" w:right="126" w:firstLine="437"/>
        <w:rPr>
          <w:rFonts w:ascii="微软雅黑" w:hAnsi="微软雅黑" w:eastAsia="微软雅黑" w:cs="微软雅黑"/>
          <w:sz w:val="20"/>
          <w:szCs w:val="20"/>
        </w:rPr>
      </w:pPr>
      <w:r>
        <w:rPr>
          <w:rFonts w:ascii="微软雅黑" w:hAnsi="微软雅黑" w:eastAsia="微软雅黑" w:cs="微软雅黑"/>
          <w:color w:val="231F20"/>
          <w:spacing w:val="-2"/>
          <w:sz w:val="20"/>
          <w:szCs w:val="20"/>
        </w:rPr>
        <w:t>以</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pacing w:val="-2"/>
          <w:sz w:val="20"/>
          <w:szCs w:val="20"/>
        </w:rPr>
        <w:t>学</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2"/>
          <w:sz w:val="20"/>
          <w:szCs w:val="20"/>
        </w:rPr>
        <w:t>生</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2"/>
          <w:sz w:val="20"/>
          <w:szCs w:val="20"/>
        </w:rPr>
        <w:t>为</w:t>
      </w:r>
      <w:r>
        <w:rPr>
          <w:rFonts w:ascii="微软雅黑" w:hAnsi="微软雅黑" w:eastAsia="微软雅黑" w:cs="微软雅黑"/>
          <w:color w:val="231F20"/>
          <w:spacing w:val="-13"/>
          <w:sz w:val="20"/>
          <w:szCs w:val="20"/>
        </w:rPr>
        <w:t xml:space="preserve"> </w:t>
      </w:r>
      <w:r>
        <w:rPr>
          <w:rFonts w:ascii="微软雅黑" w:hAnsi="微软雅黑" w:eastAsia="微软雅黑" w:cs="微软雅黑"/>
          <w:color w:val="231F20"/>
          <w:spacing w:val="-2"/>
          <w:sz w:val="20"/>
          <w:szCs w:val="20"/>
        </w:rPr>
        <w:t>中</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2"/>
          <w:sz w:val="20"/>
          <w:szCs w:val="20"/>
        </w:rPr>
        <w:t>心</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2"/>
          <w:sz w:val="20"/>
          <w:szCs w:val="20"/>
        </w:rPr>
        <w:t>是</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2"/>
          <w:sz w:val="20"/>
          <w:szCs w:val="20"/>
        </w:rPr>
        <w:t>质</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2"/>
          <w:sz w:val="20"/>
          <w:szCs w:val="20"/>
        </w:rPr>
        <w:t>量</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2"/>
          <w:sz w:val="20"/>
          <w:szCs w:val="20"/>
        </w:rPr>
        <w:t>文</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2"/>
          <w:sz w:val="20"/>
          <w:szCs w:val="20"/>
        </w:rPr>
        <w:t>化</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2"/>
          <w:sz w:val="20"/>
          <w:szCs w:val="20"/>
        </w:rPr>
        <w:t>建设</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2"/>
          <w:sz w:val="20"/>
          <w:szCs w:val="20"/>
        </w:rPr>
        <w:t>的</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2"/>
          <w:sz w:val="20"/>
          <w:szCs w:val="20"/>
        </w:rPr>
        <w:t>一</w:t>
      </w:r>
      <w:r>
        <w:rPr>
          <w:rFonts w:ascii="微软雅黑" w:hAnsi="微软雅黑" w:eastAsia="微软雅黑" w:cs="微软雅黑"/>
          <w:color w:val="231F20"/>
          <w:spacing w:val="-36"/>
          <w:sz w:val="20"/>
          <w:szCs w:val="20"/>
        </w:rPr>
        <w:t xml:space="preserve"> </w:t>
      </w:r>
      <w:r>
        <w:rPr>
          <w:rFonts w:ascii="微软雅黑" w:hAnsi="微软雅黑" w:eastAsia="微软雅黑" w:cs="微软雅黑"/>
          <w:color w:val="231F20"/>
          <w:spacing w:val="-2"/>
          <w:sz w:val="20"/>
          <w:szCs w:val="20"/>
        </w:rPr>
        <w:t>个</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2"/>
          <w:sz w:val="20"/>
          <w:szCs w:val="20"/>
        </w:rPr>
        <w:t>重</w:t>
      </w:r>
      <w:r>
        <w:rPr>
          <w:rFonts w:ascii="微软雅黑" w:hAnsi="微软雅黑" w:eastAsia="微软雅黑" w:cs="微软雅黑"/>
          <w:color w:val="231F20"/>
          <w:spacing w:val="-36"/>
          <w:sz w:val="20"/>
          <w:szCs w:val="20"/>
        </w:rPr>
        <w:t xml:space="preserve"> </w:t>
      </w:r>
      <w:r>
        <w:rPr>
          <w:rFonts w:ascii="微软雅黑" w:hAnsi="微软雅黑" w:eastAsia="微软雅黑" w:cs="微软雅黑"/>
          <w:color w:val="231F20"/>
          <w:spacing w:val="-2"/>
          <w:sz w:val="20"/>
          <w:szCs w:val="20"/>
        </w:rPr>
        <w:t>要</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2"/>
          <w:sz w:val="20"/>
          <w:szCs w:val="20"/>
        </w:rPr>
        <w:t xml:space="preserve">理  </w:t>
      </w:r>
      <w:r>
        <w:rPr>
          <w:rFonts w:ascii="微软雅黑" w:hAnsi="微软雅黑" w:eastAsia="微软雅黑" w:cs="微软雅黑"/>
          <w:color w:val="231F20"/>
          <w:spacing w:val="12"/>
          <w:sz w:val="20"/>
          <w:szCs w:val="20"/>
        </w:rPr>
        <w:t>念</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。但是质量保障中如何体现这一理念，却是一个</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难题</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。从欧洲高等教育质量文化实施经验看，在质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量文化项目实施之初，以学生为中心常常被理解为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学生参与质量保障过程，并不断提升学生在质量决</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策或参与过程的话语权</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。但是，随着研究和实践不</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断深入，人们普遍意识到仅仅将以学生为中心局限</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于学生参与质量保障，这一理解可能过于狭隘，而且</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2"/>
          <w:sz w:val="20"/>
          <w:szCs w:val="20"/>
        </w:rPr>
        <w:t>有时也不切实际</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。因为学生有时被认为是提出不合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理要求，或者学生并不总是作为成年人来对待，或者</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即便学生参与了，但他们意识到学校关注的重点是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教师发展时，就有可能减弱参与积极性，导致学生退</w:t>
      </w:r>
      <w:r>
        <w:rPr>
          <w:rFonts w:ascii="微软雅黑" w:hAnsi="微软雅黑" w:eastAsia="微软雅黑" w:cs="微软雅黑"/>
          <w:color w:val="231F20"/>
          <w:spacing w:val="8"/>
          <w:sz w:val="20"/>
          <w:szCs w:val="20"/>
        </w:rPr>
        <w:t xml:space="preserve">  出了参与机制</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8"/>
          <w:sz w:val="20"/>
          <w:szCs w:val="20"/>
        </w:rPr>
        <w:t>。对于这些不足，</w:t>
      </w:r>
      <w:r>
        <w:rPr>
          <w:rFonts w:ascii="宋体" w:hAnsi="宋体" w:eastAsia="宋体" w:cs="宋体"/>
          <w:color w:val="231F20"/>
          <w:sz w:val="20"/>
          <w:szCs w:val="20"/>
        </w:rPr>
        <w:t>EUA</w:t>
      </w:r>
      <w:r>
        <w:rPr>
          <w:rFonts w:ascii="微软雅黑" w:hAnsi="微软雅黑" w:eastAsia="微软雅黑" w:cs="微软雅黑"/>
          <w:color w:val="231F20"/>
          <w:spacing w:val="8"/>
          <w:sz w:val="20"/>
          <w:szCs w:val="20"/>
        </w:rPr>
        <w:t>认为，以学生为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中心的核心不是表面参与，而是应当围绕着学生学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习过程，重点通过提供设计灵活的课程计划和有效</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5"/>
          <w:sz w:val="20"/>
          <w:szCs w:val="20"/>
        </w:rPr>
        <w:t>教学及评价</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15"/>
          <w:sz w:val="20"/>
          <w:szCs w:val="20"/>
        </w:rPr>
        <w:t>，鼓励学生积极参与创造性学习经历</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5"/>
          <w:sz w:val="20"/>
          <w:szCs w:val="20"/>
        </w:rPr>
        <w:t>。</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0"/>
          <w:sz w:val="20"/>
          <w:szCs w:val="20"/>
        </w:rPr>
        <w:t>这一新的理解于</w:t>
      </w:r>
      <w:r>
        <w:rPr>
          <w:rFonts w:ascii="微软雅黑" w:hAnsi="微软雅黑" w:eastAsia="微软雅黑" w:cs="微软雅黑"/>
          <w:color w:val="231F20"/>
          <w:spacing w:val="-1"/>
          <w:sz w:val="20"/>
          <w:szCs w:val="20"/>
        </w:rPr>
        <w:t xml:space="preserve"> </w:t>
      </w:r>
      <w:r>
        <w:rPr>
          <w:rFonts w:ascii="宋体" w:hAnsi="宋体" w:eastAsia="宋体" w:cs="宋体"/>
          <w:color w:val="231F20"/>
          <w:spacing w:val="10"/>
          <w:sz w:val="20"/>
          <w:szCs w:val="20"/>
        </w:rPr>
        <w:t>2015</w:t>
      </w:r>
      <w:r>
        <w:rPr>
          <w:rFonts w:ascii="宋体" w:hAnsi="宋体" w:eastAsia="宋体" w:cs="宋体"/>
          <w:color w:val="231F20"/>
          <w:spacing w:val="-58"/>
          <w:sz w:val="20"/>
          <w:szCs w:val="20"/>
        </w:rPr>
        <w:t xml:space="preserve"> </w:t>
      </w:r>
      <w:r>
        <w:rPr>
          <w:rFonts w:ascii="微软雅黑" w:hAnsi="微软雅黑" w:eastAsia="微软雅黑" w:cs="微软雅黑"/>
          <w:color w:val="231F20"/>
          <w:spacing w:val="10"/>
          <w:sz w:val="20"/>
          <w:szCs w:val="20"/>
        </w:rPr>
        <w:t>年被写入</w:t>
      </w:r>
      <w:r>
        <w:rPr>
          <w:rFonts w:ascii="微软雅黑" w:hAnsi="微软雅黑" w:eastAsia="微软雅黑" w:cs="微软雅黑"/>
          <w:color w:val="231F20"/>
          <w:spacing w:val="-15"/>
          <w:sz w:val="20"/>
          <w:szCs w:val="20"/>
        </w:rPr>
        <w:t xml:space="preserve"> </w:t>
      </w:r>
      <w:r>
        <w:rPr>
          <w:rFonts w:ascii="宋体" w:hAnsi="宋体" w:eastAsia="宋体" w:cs="宋体"/>
          <w:color w:val="231F20"/>
          <w:sz w:val="20"/>
          <w:szCs w:val="20"/>
        </w:rPr>
        <w:t>ESG</w:t>
      </w:r>
      <w:r>
        <w:rPr>
          <w:rFonts w:ascii="宋体" w:hAnsi="宋体" w:eastAsia="宋体" w:cs="宋体"/>
          <w:color w:val="231F20"/>
          <w:spacing w:val="-57"/>
          <w:sz w:val="20"/>
          <w:szCs w:val="20"/>
        </w:rPr>
        <w:t xml:space="preserve"> </w:t>
      </w:r>
      <w:r>
        <w:rPr>
          <w:rFonts w:ascii="微软雅黑" w:hAnsi="微软雅黑" w:eastAsia="微软雅黑" w:cs="微软雅黑"/>
          <w:color w:val="231F20"/>
          <w:spacing w:val="10"/>
          <w:sz w:val="20"/>
          <w:szCs w:val="20"/>
        </w:rPr>
        <w:t>指南，并被认为</w:t>
      </w:r>
    </w:p>
    <w:p>
      <w:pPr>
        <w:spacing w:before="143" w:line="284" w:lineRule="exact"/>
        <w:ind w:firstLine="4188"/>
      </w:pPr>
      <w:r>
        <w:rPr>
          <w:position w:val="-5"/>
        </w:rPr>
        <w:pict>
          <v:group id="_x0000_s1099" o:spid="_x0000_s1099" o:spt="203" style="height:14.25pt;width:39.6pt;" coordsize="791,285">
            <o:lock v:ext="edit"/>
            <v:group id="_x0000_s1100" o:spid="_x0000_s1100" o:spt="203" style="position:absolute;left:0;top:0;height:285;width:791;" coordsize="791,285">
              <o:lock v:ext="edit"/>
              <v:shape id="_x0000_s1101" o:spid="_x0000_s1101" style="position:absolute;left:395;top:0;height:285;width:397;" fillcolor="#C7C8CA" filled="t" stroked="f" coordsize="397,285" path="m396,284l396,0,0,0,0,284,396,284xe">
                <v:path/>
                <v:fill on="t" focussize="0,0"/>
                <v:stroke on="f"/>
                <v:imagedata o:title=""/>
                <o:lock v:ext="edit"/>
              </v:shape>
              <v:shape id="_x0000_s1102" o:spid="_x0000_s1102" style="position:absolute;left:0;top:0;height:285;width:395;" fillcolor="#231F20" filled="t" stroked="f" coordsize="395,285" path="m395,284l395,0,0,0,0,284,395,284xe">
                <v:path/>
                <v:fill on="t" focussize="0,0"/>
                <v:stroke on="f"/>
                <v:imagedata o:title=""/>
                <o:lock v:ext="edit"/>
              </v:shape>
            </v:group>
            <v:shape id="_x0000_s1103" o:spid="_x0000_s1103" o:spt="202" type="#_x0000_t202" style="position:absolute;left:-20;top:-20;height:325;width:831;" filled="f" stroked="f" coordsize="21600,21600">
              <v:path/>
              <v:fill on="f" focussize="0,0"/>
              <v:stroke on="f"/>
              <v:imagedata o:title=""/>
              <o:lock v:ext="edit" aspectratio="f"/>
              <v:textbox inset="0mm,0mm,0mm,0mm">
                <w:txbxContent>
                  <w:p>
                    <w:pPr>
                      <w:spacing w:before="94" w:line="184" w:lineRule="auto"/>
                      <w:ind w:left="121"/>
                      <w:rPr>
                        <w:rFonts w:ascii="仿宋" w:hAnsi="仿宋" w:eastAsia="仿宋" w:cs="仿宋"/>
                        <w:sz w:val="20"/>
                        <w:szCs w:val="20"/>
                      </w:rPr>
                    </w:pPr>
                    <w:r>
                      <w:rPr>
                        <w:rFonts w:ascii="仿宋" w:hAnsi="仿宋" w:eastAsia="仿宋" w:cs="仿宋"/>
                        <w:color w:val="FFFFFF"/>
                        <w:sz w:val="20"/>
                        <w:szCs w:val="20"/>
                      </w:rPr>
                      <w:t>49</w:t>
                    </w:r>
                  </w:p>
                </w:txbxContent>
              </v:textbox>
            </v:shape>
            <w10:wrap type="none"/>
            <w10:anchorlock/>
          </v:group>
        </w:pict>
      </w:r>
    </w:p>
    <w:p>
      <w:pPr>
        <w:spacing w:line="284" w:lineRule="exact"/>
        <w:sectPr>
          <w:type w:val="continuous"/>
          <w:pgSz w:w="10841" w:h="15421"/>
          <w:pgMar w:top="727" w:right="387" w:bottom="547" w:left="407" w:header="346" w:footer="354" w:gutter="0"/>
          <w:cols w:equalWidth="0" w:num="2">
            <w:col w:w="4979" w:space="46"/>
            <w:col w:w="5021"/>
          </w:cols>
        </w:sectPr>
      </w:pPr>
    </w:p>
    <w:p>
      <w:pPr>
        <w:spacing w:before="3"/>
      </w:pPr>
    </w:p>
    <w:p>
      <w:pPr>
        <w:sectPr>
          <w:headerReference r:id="rId104" w:type="default"/>
          <w:footerReference r:id="rId105" w:type="default"/>
          <w:pgSz w:w="10841" w:h="15421"/>
          <w:pgMar w:top="727" w:right="510" w:bottom="547" w:left="407" w:header="346" w:footer="354" w:gutter="0"/>
          <w:cols w:equalWidth="0" w:num="1">
            <w:col w:w="9922"/>
          </w:cols>
        </w:sectPr>
      </w:pPr>
    </w:p>
    <w:p>
      <w:pPr>
        <w:spacing w:before="36" w:line="213" w:lineRule="auto"/>
        <w:ind w:left="186" w:right="67" w:firstLine="1"/>
        <w:jc w:val="both"/>
        <w:rPr>
          <w:rFonts w:ascii="微软雅黑" w:hAnsi="微软雅黑" w:eastAsia="微软雅黑" w:cs="微软雅黑"/>
          <w:sz w:val="20"/>
          <w:szCs w:val="20"/>
        </w:rPr>
      </w:pPr>
      <w:r>
        <w:rPr>
          <w:rFonts w:ascii="微软雅黑" w:hAnsi="微软雅黑" w:eastAsia="微软雅黑" w:cs="微软雅黑"/>
          <w:color w:val="231F20"/>
          <w:spacing w:val="12"/>
          <w:sz w:val="20"/>
          <w:szCs w:val="20"/>
        </w:rPr>
        <w:t>是</w:t>
      </w:r>
      <w:r>
        <w:rPr>
          <w:rFonts w:ascii="微软雅黑" w:hAnsi="微软雅黑" w:eastAsia="微软雅黑" w:cs="微软雅黑"/>
          <w:color w:val="231F20"/>
          <w:spacing w:val="-8"/>
          <w:sz w:val="20"/>
          <w:szCs w:val="20"/>
        </w:rPr>
        <w:t xml:space="preserve"> </w:t>
      </w:r>
      <w:r>
        <w:rPr>
          <w:rFonts w:ascii="宋体" w:hAnsi="宋体" w:eastAsia="宋体" w:cs="宋体"/>
          <w:color w:val="231F20"/>
          <w:sz w:val="20"/>
          <w:szCs w:val="20"/>
        </w:rPr>
        <w:t>ESG</w:t>
      </w:r>
      <w:r>
        <w:rPr>
          <w:rFonts w:ascii="宋体" w:hAnsi="宋体" w:eastAsia="宋体" w:cs="宋体"/>
          <w:color w:val="231F20"/>
          <w:spacing w:val="-54"/>
          <w:sz w:val="20"/>
          <w:szCs w:val="20"/>
        </w:rPr>
        <w:t xml:space="preserve"> </w:t>
      </w:r>
      <w:r>
        <w:rPr>
          <w:rFonts w:ascii="微软雅黑" w:hAnsi="微软雅黑" w:eastAsia="微软雅黑" w:cs="微软雅黑"/>
          <w:color w:val="231F20"/>
          <w:spacing w:val="12"/>
          <w:sz w:val="20"/>
          <w:szCs w:val="20"/>
        </w:rPr>
        <w:t>指南的一个重要创新</w:t>
      </w:r>
      <w:r>
        <w:rPr>
          <w:rFonts w:ascii="微软雅黑" w:hAnsi="微软雅黑" w:eastAsia="微软雅黑" w:cs="微软雅黑"/>
          <w:color w:val="231F20"/>
          <w:spacing w:val="12"/>
          <w:position w:val="8"/>
          <w:sz w:val="10"/>
          <w:szCs w:val="10"/>
        </w:rPr>
        <w:t>［</w:t>
      </w:r>
      <w:r>
        <w:rPr>
          <w:rFonts w:ascii="宋体" w:hAnsi="宋体" w:eastAsia="宋体" w:cs="宋体"/>
          <w:color w:val="231F20"/>
          <w:spacing w:val="12"/>
          <w:position w:val="8"/>
          <w:sz w:val="10"/>
          <w:szCs w:val="10"/>
        </w:rPr>
        <w:t>12</w:t>
      </w:r>
      <w:r>
        <w:rPr>
          <w:rFonts w:ascii="微软雅黑" w:hAnsi="微软雅黑" w:eastAsia="微软雅黑" w:cs="微软雅黑"/>
          <w:color w:val="231F20"/>
          <w:spacing w:val="12"/>
          <w:position w:val="8"/>
          <w:sz w:val="10"/>
          <w:szCs w:val="10"/>
        </w:rPr>
        <w:t>］</w:t>
      </w:r>
      <w:r>
        <w:rPr>
          <w:rFonts w:ascii="微软雅黑" w:hAnsi="微软雅黑" w:eastAsia="微软雅黑" w:cs="微软雅黑"/>
          <w:color w:val="231F20"/>
          <w:spacing w:val="12"/>
          <w:sz w:val="20"/>
          <w:szCs w:val="20"/>
        </w:rPr>
        <w:t>。从其强调重点看，</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主要包括：如何设计基于结果导向的课程计划？</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如</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何提供灵活学习路径？</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如何营造包容性教学，以激</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发学生的学习兴趣？</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如何鼓励和支持教师之间合作</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0"/>
          <w:sz w:val="20"/>
          <w:szCs w:val="20"/>
        </w:rPr>
        <w:t>交流</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pacing w:val="20"/>
          <w:sz w:val="20"/>
          <w:szCs w:val="20"/>
        </w:rPr>
        <w:t>？</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20"/>
          <w:sz w:val="20"/>
          <w:szCs w:val="20"/>
        </w:rPr>
        <w:t>如何面对数字学习趋势建立新物理教学空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间？</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6"/>
          <w:sz w:val="20"/>
          <w:szCs w:val="20"/>
        </w:rPr>
        <w:t>面对这些变化，如何开展教师评价并提供培训？</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sz w:val="20"/>
          <w:szCs w:val="20"/>
        </w:rPr>
        <w:t>等等</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7"/>
          <w:sz w:val="20"/>
          <w:szCs w:val="20"/>
        </w:rPr>
        <w:t>。</w:t>
      </w:r>
      <w:r>
        <w:rPr>
          <w:rFonts w:ascii="宋体" w:hAnsi="宋体" w:eastAsia="宋体" w:cs="宋体"/>
          <w:color w:val="231F20"/>
          <w:spacing w:val="7"/>
          <w:sz w:val="20"/>
          <w:szCs w:val="20"/>
        </w:rPr>
        <w:t>2018</w:t>
      </w:r>
      <w:r>
        <w:rPr>
          <w:rFonts w:ascii="微软雅黑" w:hAnsi="微软雅黑" w:eastAsia="微软雅黑" w:cs="微软雅黑"/>
          <w:color w:val="231F20"/>
          <w:spacing w:val="7"/>
          <w:sz w:val="20"/>
          <w:szCs w:val="20"/>
        </w:rPr>
        <w:t>年，</w:t>
      </w:r>
      <w:r>
        <w:rPr>
          <w:rFonts w:ascii="宋体" w:hAnsi="宋体" w:eastAsia="宋体" w:cs="宋体"/>
          <w:color w:val="231F20"/>
          <w:sz w:val="20"/>
          <w:szCs w:val="20"/>
        </w:rPr>
        <w:t>EUA</w:t>
      </w:r>
      <w:r>
        <w:rPr>
          <w:rFonts w:ascii="微软雅黑" w:hAnsi="微软雅黑" w:eastAsia="微软雅黑" w:cs="微软雅黑"/>
          <w:color w:val="231F20"/>
          <w:spacing w:val="7"/>
          <w:sz w:val="20"/>
          <w:szCs w:val="20"/>
        </w:rPr>
        <w:t>发布了《欧洲高等教育的学习与</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教学》报告，根据报告提供数据显示，以学生为中心</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的学习与教学已经成为高等教育教学改革的重要趋</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势</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8"/>
          <w:sz w:val="20"/>
          <w:szCs w:val="20"/>
        </w:rPr>
        <w:t>。如</w:t>
      </w:r>
      <w:r>
        <w:rPr>
          <w:rFonts w:ascii="微软雅黑" w:hAnsi="微软雅黑" w:eastAsia="微软雅黑" w:cs="微软雅黑"/>
          <w:color w:val="231F20"/>
          <w:spacing w:val="-22"/>
          <w:sz w:val="20"/>
          <w:szCs w:val="20"/>
        </w:rPr>
        <w:t xml:space="preserve"> </w:t>
      </w:r>
      <w:r>
        <w:rPr>
          <w:rFonts w:ascii="宋体" w:hAnsi="宋体" w:eastAsia="宋体" w:cs="宋体"/>
          <w:color w:val="231F20"/>
          <w:spacing w:val="8"/>
          <w:sz w:val="20"/>
          <w:szCs w:val="20"/>
        </w:rPr>
        <w:t>91%</w:t>
      </w:r>
      <w:r>
        <w:rPr>
          <w:rFonts w:ascii="宋体" w:hAnsi="宋体" w:eastAsia="宋体" w:cs="宋体"/>
          <w:color w:val="231F20"/>
          <w:spacing w:val="-50"/>
          <w:sz w:val="20"/>
          <w:szCs w:val="20"/>
        </w:rPr>
        <w:t xml:space="preserve"> </w:t>
      </w:r>
      <w:r>
        <w:rPr>
          <w:rFonts w:ascii="微软雅黑" w:hAnsi="微软雅黑" w:eastAsia="微软雅黑" w:cs="微软雅黑"/>
          <w:color w:val="231F20"/>
          <w:spacing w:val="8"/>
          <w:sz w:val="20"/>
          <w:szCs w:val="20"/>
        </w:rPr>
        <w:t>院校的课程教学内容得到及时更</w:t>
      </w:r>
      <w:r>
        <w:rPr>
          <w:rFonts w:ascii="微软雅黑" w:hAnsi="微软雅黑" w:eastAsia="微软雅黑" w:cs="微软雅黑"/>
          <w:color w:val="231F20"/>
          <w:spacing w:val="7"/>
          <w:sz w:val="20"/>
          <w:szCs w:val="20"/>
        </w:rPr>
        <w:t>新，</w:t>
      </w:r>
      <w:r>
        <w:rPr>
          <w:rFonts w:ascii="宋体" w:hAnsi="宋体" w:eastAsia="宋体" w:cs="宋体"/>
          <w:color w:val="231F20"/>
          <w:spacing w:val="7"/>
          <w:sz w:val="20"/>
          <w:szCs w:val="20"/>
        </w:rPr>
        <w:t>73%</w:t>
      </w:r>
      <w:r>
        <w:rPr>
          <w:rFonts w:ascii="宋体" w:hAnsi="宋体" w:eastAsia="宋体" w:cs="宋体"/>
          <w:color w:val="231F20"/>
          <w:sz w:val="20"/>
          <w:szCs w:val="20"/>
        </w:rPr>
        <w:t xml:space="preserve"> </w:t>
      </w:r>
      <w:r>
        <w:rPr>
          <w:rFonts w:ascii="微软雅黑" w:hAnsi="微软雅黑" w:eastAsia="微软雅黑" w:cs="微软雅黑"/>
          <w:color w:val="231F20"/>
          <w:spacing w:val="6"/>
          <w:sz w:val="20"/>
          <w:szCs w:val="20"/>
        </w:rPr>
        <w:t>院校的课程之间内容重复大量减少，</w:t>
      </w:r>
      <w:r>
        <w:rPr>
          <w:rFonts w:ascii="宋体" w:hAnsi="宋体" w:eastAsia="宋体" w:cs="宋体"/>
          <w:color w:val="231F20"/>
          <w:spacing w:val="6"/>
          <w:sz w:val="20"/>
          <w:szCs w:val="20"/>
        </w:rPr>
        <w:t>63%</w:t>
      </w:r>
      <w:r>
        <w:rPr>
          <w:rFonts w:ascii="宋体" w:hAnsi="宋体" w:eastAsia="宋体" w:cs="宋体"/>
          <w:color w:val="231F20"/>
          <w:spacing w:val="-36"/>
          <w:sz w:val="20"/>
          <w:szCs w:val="20"/>
        </w:rPr>
        <w:t xml:space="preserve"> </w:t>
      </w:r>
      <w:r>
        <w:rPr>
          <w:rFonts w:ascii="微软雅黑" w:hAnsi="微软雅黑" w:eastAsia="微软雅黑" w:cs="微软雅黑"/>
          <w:color w:val="231F20"/>
          <w:spacing w:val="6"/>
          <w:sz w:val="20"/>
          <w:szCs w:val="20"/>
        </w:rPr>
        <w:t>院校为学生</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提供灵活学习路径选择；从学生学习自主性看：</w:t>
      </w:r>
      <w:r>
        <w:rPr>
          <w:rFonts w:ascii="宋体" w:hAnsi="宋体" w:eastAsia="宋体" w:cs="宋体"/>
          <w:color w:val="231F20"/>
          <w:spacing w:val="8"/>
          <w:sz w:val="20"/>
          <w:szCs w:val="20"/>
        </w:rPr>
        <w:t>80%</w:t>
      </w:r>
      <w:r>
        <w:rPr>
          <w:rFonts w:ascii="宋体" w:hAnsi="宋体" w:eastAsia="宋体" w:cs="宋体"/>
          <w:color w:val="231F20"/>
          <w:spacing w:val="17"/>
          <w:sz w:val="20"/>
          <w:szCs w:val="20"/>
        </w:rPr>
        <w:t xml:space="preserve"> </w:t>
      </w:r>
      <w:r>
        <w:rPr>
          <w:rFonts w:ascii="微软雅黑" w:hAnsi="微软雅黑" w:eastAsia="微软雅黑" w:cs="微软雅黑"/>
          <w:color w:val="231F20"/>
          <w:spacing w:val="6"/>
          <w:sz w:val="20"/>
          <w:szCs w:val="20"/>
        </w:rPr>
        <w:t>院校为学生提供了选修课，</w:t>
      </w:r>
      <w:r>
        <w:rPr>
          <w:rFonts w:ascii="宋体" w:hAnsi="宋体" w:eastAsia="宋体" w:cs="宋体"/>
          <w:color w:val="231F20"/>
          <w:spacing w:val="6"/>
          <w:sz w:val="20"/>
          <w:szCs w:val="20"/>
        </w:rPr>
        <w:t>49%</w:t>
      </w:r>
      <w:r>
        <w:rPr>
          <w:rFonts w:ascii="宋体" w:hAnsi="宋体" w:eastAsia="宋体" w:cs="宋体"/>
          <w:color w:val="231F20"/>
          <w:spacing w:val="-36"/>
          <w:sz w:val="20"/>
          <w:szCs w:val="20"/>
        </w:rPr>
        <w:t xml:space="preserve"> </w:t>
      </w:r>
      <w:r>
        <w:rPr>
          <w:rFonts w:ascii="微软雅黑" w:hAnsi="微软雅黑" w:eastAsia="微软雅黑" w:cs="微软雅黑"/>
          <w:color w:val="231F20"/>
          <w:spacing w:val="6"/>
          <w:sz w:val="20"/>
          <w:szCs w:val="20"/>
        </w:rPr>
        <w:t>院校允许学生在学期</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间改变专业，</w:t>
      </w:r>
      <w:r>
        <w:rPr>
          <w:rFonts w:ascii="宋体" w:hAnsi="宋体" w:eastAsia="宋体" w:cs="宋体"/>
          <w:color w:val="231F20"/>
          <w:spacing w:val="6"/>
          <w:sz w:val="20"/>
          <w:szCs w:val="20"/>
        </w:rPr>
        <w:t>41%</w:t>
      </w:r>
      <w:r>
        <w:rPr>
          <w:rFonts w:ascii="宋体" w:hAnsi="宋体" w:eastAsia="宋体" w:cs="宋体"/>
          <w:color w:val="231F20"/>
          <w:spacing w:val="-36"/>
          <w:sz w:val="20"/>
          <w:szCs w:val="20"/>
        </w:rPr>
        <w:t xml:space="preserve"> </w:t>
      </w:r>
      <w:r>
        <w:rPr>
          <w:rFonts w:ascii="微软雅黑" w:hAnsi="微软雅黑" w:eastAsia="微软雅黑" w:cs="微软雅黑"/>
          <w:color w:val="231F20"/>
          <w:spacing w:val="6"/>
          <w:sz w:val="20"/>
          <w:szCs w:val="20"/>
        </w:rPr>
        <w:t>院校允许学生通过弹性时间来完成</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其学习计划；从教学模式变化看，</w:t>
      </w:r>
      <w:r>
        <w:rPr>
          <w:rFonts w:ascii="宋体" w:hAnsi="宋体" w:eastAsia="宋体" w:cs="宋体"/>
          <w:color w:val="231F20"/>
          <w:spacing w:val="6"/>
          <w:sz w:val="20"/>
          <w:szCs w:val="20"/>
        </w:rPr>
        <w:t>85%</w:t>
      </w:r>
      <w:r>
        <w:rPr>
          <w:rFonts w:ascii="宋体" w:hAnsi="宋体" w:eastAsia="宋体" w:cs="宋体"/>
          <w:color w:val="231F20"/>
          <w:spacing w:val="-36"/>
          <w:sz w:val="20"/>
          <w:szCs w:val="20"/>
        </w:rPr>
        <w:t xml:space="preserve"> </w:t>
      </w:r>
      <w:r>
        <w:rPr>
          <w:rFonts w:ascii="微软雅黑" w:hAnsi="微软雅黑" w:eastAsia="微软雅黑" w:cs="微软雅黑"/>
          <w:color w:val="231F20"/>
          <w:spacing w:val="6"/>
          <w:sz w:val="20"/>
          <w:szCs w:val="20"/>
        </w:rPr>
        <w:t>院校表示数字</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学习已成为学校战略重要组成，</w:t>
      </w:r>
      <w:r>
        <w:rPr>
          <w:rFonts w:ascii="宋体" w:hAnsi="宋体" w:eastAsia="宋体" w:cs="宋体"/>
          <w:color w:val="231F20"/>
          <w:spacing w:val="6"/>
          <w:sz w:val="20"/>
          <w:szCs w:val="20"/>
        </w:rPr>
        <w:t>87%</w:t>
      </w:r>
      <w:r>
        <w:rPr>
          <w:rFonts w:ascii="宋体" w:hAnsi="宋体" w:eastAsia="宋体" w:cs="宋体"/>
          <w:color w:val="231F20"/>
          <w:spacing w:val="-36"/>
          <w:sz w:val="20"/>
          <w:szCs w:val="20"/>
        </w:rPr>
        <w:t xml:space="preserve"> </w:t>
      </w:r>
      <w:r>
        <w:rPr>
          <w:rFonts w:ascii="微软雅黑" w:hAnsi="微软雅黑" w:eastAsia="微软雅黑" w:cs="微软雅黑"/>
          <w:color w:val="231F20"/>
          <w:spacing w:val="6"/>
          <w:sz w:val="20"/>
          <w:szCs w:val="20"/>
        </w:rPr>
        <w:t>院校已广泛应用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数字学习，</w:t>
      </w:r>
      <w:r>
        <w:rPr>
          <w:rFonts w:ascii="宋体" w:hAnsi="宋体" w:eastAsia="宋体" w:cs="宋体"/>
          <w:color w:val="231F20"/>
          <w:spacing w:val="6"/>
          <w:sz w:val="20"/>
          <w:szCs w:val="20"/>
        </w:rPr>
        <w:t>97%</w:t>
      </w:r>
      <w:r>
        <w:rPr>
          <w:rFonts w:ascii="宋体" w:hAnsi="宋体" w:eastAsia="宋体" w:cs="宋体"/>
          <w:color w:val="231F20"/>
          <w:spacing w:val="-36"/>
          <w:sz w:val="20"/>
          <w:szCs w:val="20"/>
        </w:rPr>
        <w:t xml:space="preserve"> </w:t>
      </w:r>
      <w:r>
        <w:rPr>
          <w:rFonts w:ascii="微软雅黑" w:hAnsi="微软雅黑" w:eastAsia="微软雅黑" w:cs="微软雅黑"/>
          <w:color w:val="231F20"/>
          <w:spacing w:val="6"/>
          <w:sz w:val="20"/>
          <w:szCs w:val="20"/>
        </w:rPr>
        <w:t>院校运用数字学习进行教学创新，另</w:t>
      </w:r>
      <w:r>
        <w:rPr>
          <w:rFonts w:ascii="微软雅黑" w:hAnsi="微软雅黑" w:eastAsia="微软雅黑" w:cs="微软雅黑"/>
          <w:color w:val="231F20"/>
          <w:sz w:val="20"/>
          <w:szCs w:val="20"/>
        </w:rPr>
        <w:t xml:space="preserve">  有 </w:t>
      </w:r>
      <w:r>
        <w:rPr>
          <w:rFonts w:ascii="宋体" w:hAnsi="宋体" w:eastAsia="宋体" w:cs="宋体"/>
          <w:color w:val="231F20"/>
          <w:sz w:val="20"/>
          <w:szCs w:val="20"/>
        </w:rPr>
        <w:t>87%</w:t>
      </w:r>
      <w:r>
        <w:rPr>
          <w:rFonts w:ascii="宋体" w:hAnsi="宋体" w:eastAsia="宋体" w:cs="宋体"/>
          <w:color w:val="231F20"/>
          <w:spacing w:val="-28"/>
          <w:sz w:val="20"/>
          <w:szCs w:val="20"/>
        </w:rPr>
        <w:t xml:space="preserve"> </w:t>
      </w:r>
      <w:r>
        <w:rPr>
          <w:rFonts w:ascii="微软雅黑" w:hAnsi="微软雅黑" w:eastAsia="微软雅黑" w:cs="微软雅黑"/>
          <w:color w:val="231F20"/>
          <w:sz w:val="20"/>
          <w:szCs w:val="20"/>
        </w:rPr>
        <w:t>院</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z w:val="20"/>
          <w:szCs w:val="20"/>
        </w:rPr>
        <w:t>校</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z w:val="20"/>
          <w:szCs w:val="20"/>
        </w:rPr>
        <w:t>已</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z w:val="20"/>
          <w:szCs w:val="20"/>
        </w:rPr>
        <w:t>不</w:t>
      </w:r>
      <w:r>
        <w:rPr>
          <w:rFonts w:ascii="微软雅黑" w:hAnsi="微软雅黑" w:eastAsia="微软雅黑" w:cs="微软雅黑"/>
          <w:color w:val="231F20"/>
          <w:spacing w:val="-25"/>
          <w:sz w:val="20"/>
          <w:szCs w:val="20"/>
        </w:rPr>
        <w:t xml:space="preserve"> </w:t>
      </w:r>
      <w:r>
        <w:rPr>
          <w:rFonts w:ascii="微软雅黑" w:hAnsi="微软雅黑" w:eastAsia="微软雅黑" w:cs="微软雅黑"/>
          <w:color w:val="231F20"/>
          <w:sz w:val="20"/>
          <w:szCs w:val="20"/>
        </w:rPr>
        <w:t>断</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z w:val="20"/>
          <w:szCs w:val="20"/>
        </w:rPr>
        <w:t>增</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z w:val="20"/>
          <w:szCs w:val="20"/>
        </w:rPr>
        <w:t>加</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z w:val="20"/>
          <w:szCs w:val="20"/>
        </w:rPr>
        <w:t>应</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z w:val="20"/>
          <w:szCs w:val="20"/>
        </w:rPr>
        <w:t>用</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z w:val="20"/>
          <w:szCs w:val="20"/>
        </w:rPr>
        <w:t>数</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z w:val="20"/>
          <w:szCs w:val="20"/>
        </w:rPr>
        <w:t>字</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z w:val="20"/>
          <w:szCs w:val="20"/>
        </w:rPr>
        <w:t>学</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z w:val="20"/>
          <w:szCs w:val="20"/>
        </w:rPr>
        <w:t>习（如</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z w:val="20"/>
          <w:szCs w:val="20"/>
        </w:rPr>
        <w:t>混</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z w:val="20"/>
          <w:szCs w:val="20"/>
        </w:rPr>
        <w:t>合</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z w:val="20"/>
          <w:szCs w:val="20"/>
        </w:rPr>
        <w:t xml:space="preserve">学  </w:t>
      </w:r>
      <w:r>
        <w:rPr>
          <w:rFonts w:ascii="微软雅黑" w:hAnsi="微软雅黑" w:eastAsia="微软雅黑" w:cs="微软雅黑"/>
          <w:color w:val="231F20"/>
          <w:spacing w:val="2"/>
          <w:sz w:val="20"/>
          <w:szCs w:val="20"/>
        </w:rPr>
        <w:t>习）。 与教学模式变革相适应，高等教育机构物理教</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学空间也发生了较大变化，</w:t>
      </w:r>
      <w:r>
        <w:rPr>
          <w:rFonts w:ascii="宋体" w:hAnsi="宋体" w:eastAsia="宋体" w:cs="宋体"/>
          <w:color w:val="231F20"/>
          <w:spacing w:val="6"/>
          <w:sz w:val="20"/>
          <w:szCs w:val="20"/>
        </w:rPr>
        <w:t>72%</w:t>
      </w:r>
      <w:r>
        <w:rPr>
          <w:rFonts w:ascii="宋体" w:hAnsi="宋体" w:eastAsia="宋体" w:cs="宋体"/>
          <w:color w:val="231F20"/>
          <w:spacing w:val="-36"/>
          <w:sz w:val="20"/>
          <w:szCs w:val="20"/>
        </w:rPr>
        <w:t xml:space="preserve"> </w:t>
      </w:r>
      <w:r>
        <w:rPr>
          <w:rFonts w:ascii="微软雅黑" w:hAnsi="微软雅黑" w:eastAsia="微软雅黑" w:cs="微软雅黑"/>
          <w:color w:val="231F20"/>
          <w:spacing w:val="6"/>
          <w:sz w:val="20"/>
          <w:szCs w:val="20"/>
        </w:rPr>
        <w:t>院校提供的图书资源</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完全满足新型教学与学习需要；</w:t>
      </w:r>
      <w:r>
        <w:rPr>
          <w:rFonts w:ascii="宋体" w:hAnsi="宋体" w:eastAsia="宋体" w:cs="宋体"/>
          <w:color w:val="231F20"/>
          <w:spacing w:val="6"/>
          <w:sz w:val="20"/>
          <w:szCs w:val="20"/>
        </w:rPr>
        <w:t>59%</w:t>
      </w:r>
      <w:r>
        <w:rPr>
          <w:rFonts w:ascii="宋体" w:hAnsi="宋体" w:eastAsia="宋体" w:cs="宋体"/>
          <w:color w:val="231F20"/>
          <w:spacing w:val="-36"/>
          <w:sz w:val="20"/>
          <w:szCs w:val="20"/>
        </w:rPr>
        <w:t xml:space="preserve"> </w:t>
      </w:r>
      <w:r>
        <w:rPr>
          <w:rFonts w:ascii="微软雅黑" w:hAnsi="微软雅黑" w:eastAsia="微软雅黑" w:cs="微软雅黑"/>
          <w:color w:val="231F20"/>
          <w:spacing w:val="6"/>
          <w:sz w:val="20"/>
          <w:szCs w:val="20"/>
        </w:rPr>
        <w:t>院校的计算机实</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1"/>
          <w:sz w:val="20"/>
          <w:szCs w:val="20"/>
        </w:rPr>
        <w:t>验室能够适应需要</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1"/>
          <w:sz w:val="20"/>
          <w:szCs w:val="20"/>
        </w:rPr>
        <w:t>，但在师生交流空间</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1"/>
          <w:sz w:val="20"/>
          <w:szCs w:val="20"/>
        </w:rPr>
        <w:t>、科学实验</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室、学习资源中心等方面，完全能够满足需要的院校</w:t>
      </w:r>
      <w:r>
        <w:rPr>
          <w:rFonts w:ascii="微软雅黑" w:hAnsi="微软雅黑" w:eastAsia="微软雅黑" w:cs="微软雅黑"/>
          <w:color w:val="231F20"/>
          <w:spacing w:val="8"/>
          <w:sz w:val="20"/>
          <w:szCs w:val="20"/>
        </w:rPr>
        <w:t xml:space="preserve">  比例在</w:t>
      </w:r>
      <w:r>
        <w:rPr>
          <w:rFonts w:ascii="微软雅黑" w:hAnsi="微软雅黑" w:eastAsia="微软雅黑" w:cs="微软雅黑"/>
          <w:color w:val="231F20"/>
          <w:spacing w:val="-2"/>
          <w:sz w:val="20"/>
          <w:szCs w:val="20"/>
        </w:rPr>
        <w:t xml:space="preserve"> </w:t>
      </w:r>
      <w:r>
        <w:rPr>
          <w:rFonts w:ascii="宋体" w:hAnsi="宋体" w:eastAsia="宋体" w:cs="宋体"/>
          <w:color w:val="231F20"/>
          <w:spacing w:val="8"/>
          <w:sz w:val="20"/>
          <w:szCs w:val="20"/>
        </w:rPr>
        <w:t>30%</w:t>
      </w:r>
      <w:r>
        <w:rPr>
          <w:rFonts w:ascii="宋体" w:hAnsi="宋体" w:eastAsia="宋体" w:cs="宋体"/>
          <w:color w:val="231F20"/>
          <w:spacing w:val="-53"/>
          <w:sz w:val="20"/>
          <w:szCs w:val="20"/>
        </w:rPr>
        <w:t xml:space="preserve"> </w:t>
      </w:r>
      <w:r>
        <w:rPr>
          <w:rFonts w:ascii="微软雅黑" w:hAnsi="微软雅黑" w:eastAsia="微软雅黑" w:cs="微软雅黑"/>
          <w:color w:val="231F20"/>
          <w:spacing w:val="8"/>
          <w:sz w:val="20"/>
          <w:szCs w:val="20"/>
        </w:rPr>
        <w:t>至</w:t>
      </w:r>
      <w:r>
        <w:rPr>
          <w:rFonts w:ascii="微软雅黑" w:hAnsi="微软雅黑" w:eastAsia="微软雅黑" w:cs="微软雅黑"/>
          <w:color w:val="231F20"/>
          <w:spacing w:val="-16"/>
          <w:sz w:val="20"/>
          <w:szCs w:val="20"/>
        </w:rPr>
        <w:t xml:space="preserve"> </w:t>
      </w:r>
      <w:r>
        <w:rPr>
          <w:rFonts w:ascii="宋体" w:hAnsi="宋体" w:eastAsia="宋体" w:cs="宋体"/>
          <w:color w:val="231F20"/>
          <w:spacing w:val="8"/>
          <w:sz w:val="20"/>
          <w:szCs w:val="20"/>
        </w:rPr>
        <w:t>40%</w:t>
      </w:r>
      <w:r>
        <w:rPr>
          <w:rFonts w:ascii="宋体" w:hAnsi="宋体" w:eastAsia="宋体" w:cs="宋体"/>
          <w:color w:val="231F20"/>
          <w:spacing w:val="-55"/>
          <w:sz w:val="20"/>
          <w:szCs w:val="20"/>
        </w:rPr>
        <w:t xml:space="preserve"> </w:t>
      </w:r>
      <w:r>
        <w:rPr>
          <w:rFonts w:ascii="微软雅黑" w:hAnsi="微软雅黑" w:eastAsia="微软雅黑" w:cs="微软雅黑"/>
          <w:color w:val="231F20"/>
          <w:spacing w:val="8"/>
          <w:sz w:val="20"/>
          <w:szCs w:val="20"/>
        </w:rPr>
        <w:t>之间</w:t>
      </w:r>
      <w:r>
        <w:rPr>
          <w:rFonts w:ascii="微软雅黑" w:hAnsi="微软雅黑" w:eastAsia="微软雅黑" w:cs="微软雅黑"/>
          <w:color w:val="231F20"/>
          <w:spacing w:val="8"/>
          <w:position w:val="8"/>
          <w:sz w:val="10"/>
          <w:szCs w:val="10"/>
        </w:rPr>
        <w:t>［</w:t>
      </w:r>
      <w:r>
        <w:rPr>
          <w:rFonts w:ascii="宋体" w:hAnsi="宋体" w:eastAsia="宋体" w:cs="宋体"/>
          <w:color w:val="231F20"/>
          <w:spacing w:val="8"/>
          <w:position w:val="8"/>
          <w:sz w:val="10"/>
          <w:szCs w:val="10"/>
        </w:rPr>
        <w:t>13</w:t>
      </w:r>
      <w:r>
        <w:rPr>
          <w:rFonts w:ascii="微软雅黑" w:hAnsi="微软雅黑" w:eastAsia="微软雅黑" w:cs="微软雅黑"/>
          <w:color w:val="231F20"/>
          <w:spacing w:val="8"/>
          <w:position w:val="8"/>
          <w:sz w:val="10"/>
          <w:szCs w:val="10"/>
        </w:rPr>
        <w:t>］</w:t>
      </w:r>
      <w:r>
        <w:rPr>
          <w:rFonts w:ascii="微软雅黑" w:hAnsi="微软雅黑" w:eastAsia="微软雅黑" w:cs="微软雅黑"/>
          <w:color w:val="231F20"/>
          <w:spacing w:val="8"/>
          <w:sz w:val="20"/>
          <w:szCs w:val="20"/>
        </w:rPr>
        <w:t>。这些调查证明，在欧洲</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高等教育质量建设过程中，以学生为中心已经不再</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是一个抽象概念，而是从最初的表面参与转向基于</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学生结果导向的课程设计，并给予学生丰富的学习</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经历体验。</w:t>
      </w:r>
    </w:p>
    <w:p>
      <w:pPr>
        <w:spacing w:before="38" w:line="197" w:lineRule="auto"/>
        <w:ind w:left="525"/>
        <w:rPr>
          <w:rFonts w:ascii="微软雅黑" w:hAnsi="微软雅黑" w:eastAsia="微软雅黑" w:cs="微软雅黑"/>
          <w:sz w:val="20"/>
          <w:szCs w:val="20"/>
        </w:rPr>
      </w:pPr>
      <w:r>
        <w:rPr>
          <w:rFonts w:ascii="微软雅黑" w:hAnsi="微软雅黑" w:eastAsia="微软雅黑" w:cs="微软雅黑"/>
          <w:color w:val="231F20"/>
          <w:sz w:val="20"/>
          <w:szCs w:val="20"/>
        </w:rPr>
        <w:t>（五）如何公开和反馈数据信息</w:t>
      </w:r>
    </w:p>
    <w:p>
      <w:pPr>
        <w:spacing w:before="23" w:line="212" w:lineRule="auto"/>
        <w:ind w:left="185" w:right="55" w:firstLine="422"/>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数据调查既是质量文化研究的方法，也是质量</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2"/>
          <w:sz w:val="20"/>
          <w:szCs w:val="20"/>
        </w:rPr>
        <w:t>文化建设本身强调的重点</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2"/>
          <w:sz w:val="20"/>
          <w:szCs w:val="20"/>
        </w:rPr>
        <w:t>。从高等教育机构自身改</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进而言，数据和事实有助于学校了解质量的状况和</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水平，并采取适当措施进行精准调控</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12"/>
          <w:sz w:val="20"/>
          <w:szCs w:val="20"/>
        </w:rPr>
        <w:t>。但从公众视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角看，数据和事实则是公众了解学校办学质量与办</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学水平的重要窗口，特别是经济危机、政府财政缩减</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情况下，数据和信息公开透明成为新公共管理的重</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1"/>
          <w:sz w:val="20"/>
          <w:szCs w:val="20"/>
        </w:rPr>
        <w:t>要方法</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11"/>
          <w:sz w:val="20"/>
          <w:szCs w:val="20"/>
        </w:rPr>
        <w:t>。</w:t>
      </w:r>
      <w:r>
        <w:rPr>
          <w:rFonts w:ascii="微软雅黑" w:hAnsi="微软雅黑" w:eastAsia="微软雅黑" w:cs="微软雅黑"/>
          <w:color w:val="231F20"/>
          <w:spacing w:val="-28"/>
          <w:sz w:val="20"/>
          <w:szCs w:val="20"/>
        </w:rPr>
        <w:t xml:space="preserve"> </w:t>
      </w:r>
      <w:r>
        <w:rPr>
          <w:rFonts w:ascii="微软雅黑" w:hAnsi="微软雅黑" w:eastAsia="微软雅黑" w:cs="微软雅黑"/>
          <w:color w:val="231F20"/>
          <w:spacing w:val="11"/>
          <w:sz w:val="20"/>
          <w:szCs w:val="20"/>
        </w:rPr>
        <w:t>由于站位与立场不同，数据和信息公开带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3"/>
          <w:sz w:val="20"/>
          <w:szCs w:val="20"/>
        </w:rPr>
        <w:t>来其他延伸问题</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13"/>
          <w:sz w:val="20"/>
          <w:szCs w:val="20"/>
        </w:rPr>
        <w:t>。其一</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13"/>
          <w:sz w:val="20"/>
          <w:szCs w:val="20"/>
        </w:rPr>
        <w:t>，如何表征质量数据指标</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13"/>
          <w:sz w:val="20"/>
          <w:szCs w:val="20"/>
        </w:rPr>
        <w:t>。</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如前所述，确定反映质量的数据指标一直是个难题，</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14"/>
          <w:sz w:val="20"/>
          <w:szCs w:val="20"/>
        </w:rPr>
        <w:t>之所以成为难题源于高等教育机构对于质量的不同</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6"/>
          <w:sz w:val="20"/>
          <w:szCs w:val="20"/>
        </w:rPr>
        <w:t>理解</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6"/>
          <w:sz w:val="20"/>
          <w:szCs w:val="20"/>
        </w:rPr>
        <w:t>。从</w:t>
      </w:r>
      <w:r>
        <w:rPr>
          <w:rFonts w:ascii="微软雅黑" w:hAnsi="微软雅黑" w:eastAsia="微软雅黑" w:cs="微软雅黑"/>
          <w:color w:val="231F20"/>
          <w:spacing w:val="-20"/>
          <w:sz w:val="20"/>
          <w:szCs w:val="20"/>
        </w:rPr>
        <w:t xml:space="preserve"> </w:t>
      </w:r>
      <w:r>
        <w:rPr>
          <w:rFonts w:ascii="宋体" w:hAnsi="宋体" w:eastAsia="宋体" w:cs="宋体"/>
          <w:color w:val="231F20"/>
          <w:sz w:val="20"/>
          <w:szCs w:val="20"/>
        </w:rPr>
        <w:t>EUA</w:t>
      </w:r>
      <w:r>
        <w:rPr>
          <w:rFonts w:ascii="微软雅黑" w:hAnsi="微软雅黑" w:eastAsia="微软雅黑" w:cs="微软雅黑"/>
          <w:color w:val="231F20"/>
          <w:spacing w:val="6"/>
          <w:sz w:val="20"/>
          <w:szCs w:val="20"/>
        </w:rPr>
        <w:t>统计的数据看，其收集指标包括：学业</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进步和成功率、学生基本信息（包括年龄、</w:t>
      </w:r>
      <w:r>
        <w:rPr>
          <w:rFonts w:ascii="微软雅黑" w:hAnsi="微软雅黑" w:eastAsia="微软雅黑" w:cs="微软雅黑"/>
          <w:color w:val="231F20"/>
          <w:spacing w:val="-5"/>
          <w:sz w:val="20"/>
          <w:szCs w:val="20"/>
        </w:rPr>
        <w:t xml:space="preserve">性别、教育  </w:t>
      </w:r>
      <w:r>
        <w:rPr>
          <w:rFonts w:ascii="微软雅黑" w:hAnsi="微软雅黑" w:eastAsia="微软雅黑" w:cs="微软雅黑"/>
          <w:color w:val="231F20"/>
          <w:spacing w:val="-4"/>
          <w:sz w:val="20"/>
          <w:szCs w:val="20"/>
        </w:rPr>
        <w:t>背景、社会文化背景）、生师比、毕业生就</w:t>
      </w:r>
      <w:r>
        <w:rPr>
          <w:rFonts w:ascii="微软雅黑" w:hAnsi="微软雅黑" w:eastAsia="微软雅黑" w:cs="微软雅黑"/>
          <w:color w:val="231F20"/>
          <w:spacing w:val="-5"/>
          <w:sz w:val="20"/>
          <w:szCs w:val="20"/>
        </w:rPr>
        <w:t xml:space="preserve">业情况、学  </w:t>
      </w:r>
      <w:r>
        <w:rPr>
          <w:rFonts w:ascii="微软雅黑" w:hAnsi="微软雅黑" w:eastAsia="微软雅黑" w:cs="微软雅黑"/>
          <w:color w:val="231F20"/>
          <w:spacing w:val="3"/>
          <w:sz w:val="20"/>
          <w:szCs w:val="20"/>
        </w:rPr>
        <w:t>生专业满意度、学习资源等</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3"/>
          <w:sz w:val="20"/>
          <w:szCs w:val="20"/>
        </w:rPr>
        <w:t>。除基本信息外，专业学</w:t>
      </w:r>
    </w:p>
    <w:p>
      <w:pPr>
        <w:spacing w:before="142" w:line="284" w:lineRule="exact"/>
        <w:ind w:firstLine="19"/>
      </w:pPr>
      <w:r>
        <w:rPr>
          <w:position w:val="-5"/>
        </w:rPr>
        <w:pict>
          <v:group id="_x0000_s1104" o:spid="_x0000_s1104" o:spt="203" style="height:14.25pt;width:39.6pt;" coordsize="791,285">
            <o:lock v:ext="edit"/>
            <v:group id="_x0000_s1105" o:spid="_x0000_s1105" o:spt="203" style="position:absolute;left:0;top:0;height:285;width:791;" coordsize="791,285">
              <o:lock v:ext="edit"/>
              <v:shape id="_x0000_s1106" o:spid="_x0000_s1106" style="position:absolute;left:395;top:0;height:285;width:397;" fillcolor="#231F20" filled="t" stroked="f" coordsize="397,285" path="m0,284l0,0,396,0,396,284,0,284xe">
                <v:path/>
                <v:fill on="t" focussize="0,0"/>
                <v:stroke on="f"/>
                <v:imagedata o:title=""/>
                <o:lock v:ext="edit"/>
              </v:shape>
              <v:shape id="_x0000_s1107" o:spid="_x0000_s1107" style="position:absolute;left:0;top:0;height:285;width:395;" fillcolor="#C7C8CA" filled="t" stroked="f" coordsize="395,285" path="m0,284l0,0,395,0,395,284,0,284xe">
                <v:path/>
                <v:fill on="t" focussize="0,0"/>
                <v:stroke on="f"/>
                <v:imagedata o:title=""/>
                <o:lock v:ext="edit"/>
              </v:shape>
            </v:group>
            <v:shape id="_x0000_s1108" o:spid="_x0000_s1108" o:spt="202" type="#_x0000_t202" style="position:absolute;left:-20;top:-20;height:325;width:831;" filled="f" stroked="f" coordsize="21600,21600">
              <v:path/>
              <v:fill on="f" focussize="0,0"/>
              <v:stroke on="f"/>
              <v:imagedata o:title=""/>
              <o:lock v:ext="edit" aspectratio="f"/>
              <v:textbox inset="0mm,0mm,0mm,0mm">
                <w:txbxContent>
                  <w:p>
                    <w:pPr>
                      <w:spacing w:before="94" w:line="184" w:lineRule="auto"/>
                      <w:ind w:left="522"/>
                      <w:rPr>
                        <w:rFonts w:ascii="仿宋" w:hAnsi="仿宋" w:eastAsia="仿宋" w:cs="仿宋"/>
                        <w:sz w:val="20"/>
                        <w:szCs w:val="20"/>
                      </w:rPr>
                    </w:pPr>
                    <w:r>
                      <w:rPr>
                        <w:rFonts w:ascii="仿宋" w:hAnsi="仿宋" w:eastAsia="仿宋" w:cs="仿宋"/>
                        <w:color w:val="FFFFFF"/>
                        <w:spacing w:val="-2"/>
                        <w:sz w:val="20"/>
                        <w:szCs w:val="20"/>
                      </w:rPr>
                      <w:t>50</w:t>
                    </w:r>
                  </w:p>
                </w:txbxContent>
              </v:textbox>
            </v:shape>
            <w10:wrap type="none"/>
            <w10:anchorlock/>
          </v:group>
        </w:pict>
      </w:r>
    </w:p>
    <w:p>
      <w:pPr>
        <w:spacing w:line="14" w:lineRule="auto"/>
        <w:rPr>
          <w:rFonts w:ascii="Arial"/>
          <w:sz w:val="2"/>
        </w:rPr>
      </w:pPr>
      <w:r>
        <w:rPr>
          <w:rFonts w:ascii="Arial" w:hAnsi="Arial" w:eastAsia="Arial" w:cs="Arial"/>
          <w:sz w:val="2"/>
          <w:szCs w:val="2"/>
        </w:rPr>
        <w:br w:type="column"/>
      </w:r>
    </w:p>
    <w:p>
      <w:pPr>
        <w:spacing w:before="42" w:line="213" w:lineRule="auto"/>
        <w:ind w:firstLine="14"/>
        <w:jc w:val="both"/>
        <w:rPr>
          <w:rFonts w:ascii="微软雅黑" w:hAnsi="微软雅黑" w:eastAsia="微软雅黑" w:cs="微软雅黑"/>
          <w:sz w:val="20"/>
          <w:szCs w:val="20"/>
        </w:rPr>
      </w:pPr>
      <w:r>
        <w:rPr>
          <w:rFonts w:ascii="微软雅黑" w:hAnsi="微软雅黑" w:eastAsia="微软雅黑" w:cs="微软雅黑"/>
          <w:color w:val="231F20"/>
          <w:spacing w:val="3"/>
          <w:sz w:val="20"/>
          <w:szCs w:val="20"/>
        </w:rPr>
        <w:t xml:space="preserve">习计划信息也是数据收集的关键指标，包括：学生注  </w:t>
      </w:r>
      <w:r>
        <w:rPr>
          <w:rFonts w:ascii="微软雅黑" w:hAnsi="微软雅黑" w:eastAsia="微软雅黑" w:cs="微软雅黑"/>
          <w:color w:val="231F20"/>
          <w:spacing w:val="-1"/>
          <w:sz w:val="20"/>
          <w:szCs w:val="20"/>
        </w:rPr>
        <w:t>册人数</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1"/>
          <w:sz w:val="20"/>
          <w:szCs w:val="20"/>
        </w:rPr>
        <w:t>、教师数量</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1"/>
          <w:sz w:val="20"/>
          <w:szCs w:val="20"/>
        </w:rPr>
        <w:t>、生师比</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
          <w:sz w:val="20"/>
          <w:szCs w:val="20"/>
        </w:rPr>
        <w:t>、预期学习成果</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
          <w:sz w:val="20"/>
          <w:szCs w:val="20"/>
        </w:rPr>
        <w:t xml:space="preserve">、毕业要  </w:t>
      </w:r>
      <w:r>
        <w:rPr>
          <w:rFonts w:ascii="微软雅黑" w:hAnsi="微软雅黑" w:eastAsia="微软雅黑" w:cs="微软雅黑"/>
          <w:color w:val="231F20"/>
          <w:spacing w:val="-9"/>
          <w:sz w:val="20"/>
          <w:szCs w:val="20"/>
        </w:rPr>
        <w:t>求、教学、学习和评价信息、学习机会，如实习、交流、</w:t>
      </w:r>
      <w:r>
        <w:rPr>
          <w:rFonts w:ascii="微软雅黑" w:hAnsi="微软雅黑" w:eastAsia="微软雅黑" w:cs="微软雅黑"/>
          <w:color w:val="231F20"/>
          <w:spacing w:val="15"/>
          <w:w w:val="101"/>
          <w:sz w:val="20"/>
          <w:szCs w:val="20"/>
        </w:rPr>
        <w:t xml:space="preserve"> </w:t>
      </w:r>
      <w:r>
        <w:rPr>
          <w:rFonts w:ascii="微软雅黑" w:hAnsi="微软雅黑" w:eastAsia="微软雅黑" w:cs="微软雅黑"/>
          <w:color w:val="231F20"/>
          <w:spacing w:val="8"/>
          <w:sz w:val="20"/>
          <w:szCs w:val="20"/>
        </w:rPr>
        <w:t>移动以及奖学金等、校友就业情况、当前学生信息、</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14"/>
          <w:sz w:val="20"/>
          <w:szCs w:val="20"/>
        </w:rPr>
        <w:t>针对国际学生的具体信息、向残疾学生提供无障碍</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等</w:t>
      </w:r>
      <w:r>
        <w:rPr>
          <w:rFonts w:ascii="微软雅黑" w:hAnsi="微软雅黑" w:eastAsia="微软雅黑" w:cs="微软雅黑"/>
          <w:color w:val="231F20"/>
          <w:spacing w:val="8"/>
          <w:position w:val="8"/>
          <w:sz w:val="10"/>
          <w:szCs w:val="10"/>
        </w:rPr>
        <w:t>［</w:t>
      </w:r>
      <w:r>
        <w:rPr>
          <w:rFonts w:ascii="宋体" w:hAnsi="宋体" w:eastAsia="宋体" w:cs="宋体"/>
          <w:color w:val="231F20"/>
          <w:spacing w:val="8"/>
          <w:position w:val="8"/>
          <w:sz w:val="10"/>
          <w:szCs w:val="10"/>
        </w:rPr>
        <w:t>11</w:t>
      </w:r>
      <w:r>
        <w:rPr>
          <w:rFonts w:ascii="微软雅黑" w:hAnsi="微软雅黑" w:eastAsia="微软雅黑" w:cs="微软雅黑"/>
          <w:color w:val="231F20"/>
          <w:spacing w:val="8"/>
          <w:position w:val="8"/>
          <w:sz w:val="10"/>
          <w:szCs w:val="10"/>
        </w:rPr>
        <w:t>］</w:t>
      </w:r>
      <w:r>
        <w:rPr>
          <w:rFonts w:ascii="微软雅黑" w:hAnsi="微软雅黑" w:eastAsia="微软雅黑" w:cs="微软雅黑"/>
          <w:color w:val="231F20"/>
          <w:spacing w:val="8"/>
          <w:sz w:val="20"/>
          <w:szCs w:val="20"/>
        </w:rPr>
        <w:t>。从这些数据指标看，欧洲高等教育机构对质</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3"/>
          <w:sz w:val="20"/>
          <w:szCs w:val="20"/>
        </w:rPr>
        <w:t xml:space="preserve">量的关注除了师资队伍、硬件资源之外，更关注学生  学习过程、学习机会、学习结果，甚至学生的社会文  </w:t>
      </w:r>
      <w:r>
        <w:rPr>
          <w:rFonts w:ascii="微软雅黑" w:hAnsi="微软雅黑" w:eastAsia="微软雅黑" w:cs="微软雅黑"/>
          <w:color w:val="231F20"/>
          <w:spacing w:val="12"/>
          <w:sz w:val="20"/>
          <w:szCs w:val="20"/>
        </w:rPr>
        <w:t>化资本</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。这些既反映欧洲高等教育机构对于质量的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理解，也体现质量文化所倡导的以学生为中心、成果  </w:t>
      </w:r>
      <w:r>
        <w:rPr>
          <w:rFonts w:ascii="微软雅黑" w:hAnsi="微软雅黑" w:eastAsia="微软雅黑" w:cs="微软雅黑"/>
          <w:color w:val="231F20"/>
          <w:spacing w:val="8"/>
          <w:sz w:val="20"/>
          <w:szCs w:val="20"/>
        </w:rPr>
        <w:t>导向的理念</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8"/>
          <w:sz w:val="20"/>
          <w:szCs w:val="20"/>
        </w:rPr>
        <w:t>。</w:t>
      </w:r>
      <w:r>
        <w:rPr>
          <w:rFonts w:ascii="微软雅黑" w:hAnsi="微软雅黑" w:eastAsia="微软雅黑" w:cs="微软雅黑"/>
          <w:color w:val="231F20"/>
          <w:spacing w:val="-33"/>
          <w:sz w:val="20"/>
          <w:szCs w:val="20"/>
        </w:rPr>
        <w:t xml:space="preserve"> </w:t>
      </w:r>
      <w:r>
        <w:rPr>
          <w:rFonts w:ascii="微软雅黑" w:hAnsi="微软雅黑" w:eastAsia="微软雅黑" w:cs="微软雅黑"/>
          <w:color w:val="231F20"/>
          <w:spacing w:val="8"/>
          <w:sz w:val="20"/>
          <w:szCs w:val="20"/>
        </w:rPr>
        <w:t>当然</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8"/>
          <w:sz w:val="20"/>
          <w:szCs w:val="20"/>
        </w:rPr>
        <w:t>，报告也承认</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8"/>
          <w:sz w:val="20"/>
          <w:szCs w:val="20"/>
        </w:rPr>
        <w:t>，随着以学生为中</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心、结果导向理念不断深入，他们也发现数据指标的  </w:t>
      </w:r>
      <w:r>
        <w:rPr>
          <w:rFonts w:ascii="微软雅黑" w:hAnsi="微软雅黑" w:eastAsia="微软雅黑" w:cs="微软雅黑"/>
          <w:color w:val="231F20"/>
          <w:spacing w:val="11"/>
          <w:sz w:val="20"/>
          <w:szCs w:val="20"/>
        </w:rPr>
        <w:t>薄弱环节</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1"/>
          <w:sz w:val="20"/>
          <w:szCs w:val="20"/>
        </w:rPr>
        <w:t>。如尽管超过</w:t>
      </w:r>
      <w:r>
        <w:rPr>
          <w:rFonts w:ascii="微软雅黑" w:hAnsi="微软雅黑" w:eastAsia="微软雅黑" w:cs="微软雅黑"/>
          <w:color w:val="231F20"/>
          <w:spacing w:val="-8"/>
          <w:sz w:val="20"/>
          <w:szCs w:val="20"/>
        </w:rPr>
        <w:t xml:space="preserve"> </w:t>
      </w:r>
      <w:r>
        <w:rPr>
          <w:rFonts w:ascii="宋体" w:hAnsi="宋体" w:eastAsia="宋体" w:cs="宋体"/>
          <w:color w:val="231F20"/>
          <w:spacing w:val="11"/>
          <w:sz w:val="20"/>
          <w:szCs w:val="20"/>
        </w:rPr>
        <w:t>80%</w:t>
      </w:r>
      <w:r>
        <w:rPr>
          <w:rFonts w:ascii="宋体" w:hAnsi="宋体" w:eastAsia="宋体" w:cs="宋体"/>
          <w:color w:val="231F20"/>
          <w:spacing w:val="-40"/>
          <w:sz w:val="20"/>
          <w:szCs w:val="20"/>
        </w:rPr>
        <w:t xml:space="preserve"> </w:t>
      </w:r>
      <w:r>
        <w:rPr>
          <w:rFonts w:ascii="微软雅黑" w:hAnsi="微软雅黑" w:eastAsia="微软雅黑" w:cs="微软雅黑"/>
          <w:color w:val="231F20"/>
          <w:spacing w:val="11"/>
          <w:sz w:val="20"/>
          <w:szCs w:val="20"/>
        </w:rPr>
        <w:t>的受访者证实，其所在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机构提供了图书馆服务、计算机设施、实验室、人力  支持（导师、顾问或其他顾问）和其他类型的学习设  施，当被问及如何监测和评估这些设施时，回答“定  </w:t>
      </w:r>
      <w:r>
        <w:rPr>
          <w:rFonts w:ascii="微软雅黑" w:hAnsi="微软雅黑" w:eastAsia="微软雅黑" w:cs="微软雅黑"/>
          <w:color w:val="231F20"/>
          <w:spacing w:val="-8"/>
          <w:sz w:val="20"/>
          <w:szCs w:val="20"/>
        </w:rPr>
        <w:t>期改善</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8"/>
          <w:sz w:val="20"/>
          <w:szCs w:val="20"/>
        </w:rPr>
        <w:t>”的人数比例高于那些“监测</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8"/>
          <w:sz w:val="20"/>
          <w:szCs w:val="20"/>
        </w:rPr>
        <w:t>”或“评估</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8"/>
          <w:sz w:val="20"/>
          <w:szCs w:val="20"/>
        </w:rPr>
        <w:t xml:space="preserve">”的人  </w:t>
      </w:r>
      <w:r>
        <w:rPr>
          <w:rFonts w:ascii="微软雅黑" w:hAnsi="微软雅黑" w:eastAsia="微软雅黑" w:cs="微软雅黑"/>
          <w:color w:val="231F20"/>
          <w:spacing w:val="14"/>
          <w:sz w:val="20"/>
          <w:szCs w:val="20"/>
        </w:rPr>
        <w:t>数比例，显然这一关注超越了传统公共教学服务设</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施的理解，即高等教育机构不仅仅是提供硬件设施，</w:t>
      </w:r>
      <w:r>
        <w:rPr>
          <w:rFonts w:ascii="微软雅黑" w:hAnsi="微软雅黑" w:eastAsia="微软雅黑" w:cs="微软雅黑"/>
          <w:color w:val="231F20"/>
          <w:spacing w:val="6"/>
          <w:sz w:val="20"/>
          <w:szCs w:val="20"/>
        </w:rPr>
        <w:t xml:space="preserve"> </w:t>
      </w:r>
      <w:r>
        <w:rPr>
          <w:rFonts w:ascii="微软雅黑" w:hAnsi="微软雅黑" w:eastAsia="微软雅黑" w:cs="微软雅黑"/>
          <w:color w:val="231F20"/>
          <w:spacing w:val="2"/>
          <w:sz w:val="20"/>
          <w:szCs w:val="20"/>
        </w:rPr>
        <w:t>而且还应当进行定期监测、评估和改善</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2"/>
          <w:sz w:val="20"/>
          <w:szCs w:val="20"/>
        </w:rPr>
        <w:t xml:space="preserve">。其二，如何  </w:t>
      </w:r>
      <w:r>
        <w:rPr>
          <w:rFonts w:ascii="微软雅黑" w:hAnsi="微软雅黑" w:eastAsia="微软雅黑" w:cs="微软雅黑"/>
          <w:color w:val="231F20"/>
          <w:spacing w:val="12"/>
          <w:sz w:val="20"/>
          <w:szCs w:val="20"/>
        </w:rPr>
        <w:t>公开和反馈数据信息问题</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。从公众视角而言，高等</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教育机构透露越多信息越能被社会了解，但是从高</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校自身而言，公开信息更多是基于宣传和吸引生源</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的需要</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。尽管有些信息对于帮助院校改进教学起到</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非常重要的作用，但鉴于可能产生负面的影响，信息  </w:t>
      </w:r>
      <w:r>
        <w:rPr>
          <w:rFonts w:ascii="微软雅黑" w:hAnsi="微软雅黑" w:eastAsia="微软雅黑" w:cs="微软雅黑"/>
          <w:color w:val="231F20"/>
          <w:spacing w:val="12"/>
          <w:sz w:val="20"/>
          <w:szCs w:val="20"/>
        </w:rPr>
        <w:t>公开反馈也只能局限于一定范围</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。从质量文化实施</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结果看，</w:t>
      </w:r>
      <w:r>
        <w:rPr>
          <w:rFonts w:ascii="宋体" w:hAnsi="宋体" w:eastAsia="宋体" w:cs="宋体"/>
          <w:color w:val="231F20"/>
          <w:spacing w:val="5"/>
          <w:sz w:val="20"/>
          <w:szCs w:val="20"/>
        </w:rPr>
        <w:t>65.3%</w:t>
      </w:r>
      <w:r>
        <w:rPr>
          <w:rFonts w:ascii="宋体" w:hAnsi="宋体" w:eastAsia="宋体" w:cs="宋体"/>
          <w:color w:val="231F20"/>
          <w:spacing w:val="-43"/>
          <w:sz w:val="20"/>
          <w:szCs w:val="20"/>
        </w:rPr>
        <w:t xml:space="preserve"> </w:t>
      </w:r>
      <w:r>
        <w:rPr>
          <w:rFonts w:ascii="微软雅黑" w:hAnsi="微软雅黑" w:eastAsia="微软雅黑" w:cs="微软雅黑"/>
          <w:color w:val="231F20"/>
          <w:spacing w:val="5"/>
          <w:sz w:val="20"/>
          <w:szCs w:val="20"/>
        </w:rPr>
        <w:t>院校反馈领导每年会定期评估学校目  标实现情况，</w:t>
      </w:r>
      <w:r>
        <w:rPr>
          <w:rFonts w:ascii="宋体" w:hAnsi="宋体" w:eastAsia="宋体" w:cs="宋体"/>
          <w:color w:val="231F20"/>
          <w:spacing w:val="5"/>
          <w:sz w:val="20"/>
          <w:szCs w:val="20"/>
        </w:rPr>
        <w:t>55.9%</w:t>
      </w:r>
      <w:r>
        <w:rPr>
          <w:rFonts w:ascii="宋体" w:hAnsi="宋体" w:eastAsia="宋体" w:cs="宋体"/>
          <w:color w:val="231F20"/>
          <w:spacing w:val="-43"/>
          <w:sz w:val="20"/>
          <w:szCs w:val="20"/>
        </w:rPr>
        <w:t xml:space="preserve"> </w:t>
      </w:r>
      <w:r>
        <w:rPr>
          <w:rFonts w:ascii="微软雅黑" w:hAnsi="微软雅黑" w:eastAsia="微软雅黑" w:cs="微软雅黑"/>
          <w:color w:val="231F20"/>
          <w:spacing w:val="5"/>
          <w:sz w:val="20"/>
          <w:szCs w:val="20"/>
        </w:rPr>
        <w:t xml:space="preserve">院校反馈学校基层学院（或相关  </w:t>
      </w:r>
      <w:r>
        <w:rPr>
          <w:rFonts w:ascii="微软雅黑" w:hAnsi="微软雅黑" w:eastAsia="微软雅黑" w:cs="微软雅黑"/>
          <w:color w:val="231F20"/>
          <w:spacing w:val="3"/>
          <w:sz w:val="20"/>
          <w:szCs w:val="20"/>
        </w:rPr>
        <w:t xml:space="preserve">单位）定期自我评估，分析本单位对实现学校战略目  </w:t>
      </w:r>
      <w:r>
        <w:rPr>
          <w:rFonts w:ascii="微软雅黑" w:hAnsi="微软雅黑" w:eastAsia="微软雅黑" w:cs="微软雅黑"/>
          <w:color w:val="231F20"/>
          <w:spacing w:val="5"/>
          <w:sz w:val="20"/>
          <w:szCs w:val="20"/>
        </w:rPr>
        <w:t>标的贡献程度；</w:t>
      </w:r>
      <w:r>
        <w:rPr>
          <w:rFonts w:ascii="宋体" w:hAnsi="宋体" w:eastAsia="宋体" w:cs="宋体"/>
          <w:color w:val="231F20"/>
          <w:spacing w:val="5"/>
          <w:sz w:val="20"/>
          <w:szCs w:val="20"/>
        </w:rPr>
        <w:t>55.0%</w:t>
      </w:r>
      <w:r>
        <w:rPr>
          <w:rFonts w:ascii="宋体" w:hAnsi="宋体" w:eastAsia="宋体" w:cs="宋体"/>
          <w:color w:val="231F20"/>
          <w:spacing w:val="-43"/>
          <w:sz w:val="20"/>
          <w:szCs w:val="20"/>
        </w:rPr>
        <w:t xml:space="preserve"> </w:t>
      </w:r>
      <w:r>
        <w:rPr>
          <w:rFonts w:ascii="微软雅黑" w:hAnsi="微软雅黑" w:eastAsia="微软雅黑" w:cs="微软雅黑"/>
          <w:color w:val="231F20"/>
          <w:spacing w:val="5"/>
          <w:sz w:val="20"/>
          <w:szCs w:val="20"/>
        </w:rPr>
        <w:t>院校反馈学校会确定关键绩效  指标，并依据这些指标跟踪其进展；</w:t>
      </w:r>
      <w:r>
        <w:rPr>
          <w:rFonts w:ascii="宋体" w:hAnsi="宋体" w:eastAsia="宋体" w:cs="宋体"/>
          <w:color w:val="231F20"/>
          <w:spacing w:val="5"/>
          <w:sz w:val="20"/>
          <w:szCs w:val="20"/>
        </w:rPr>
        <w:t>52.7%</w:t>
      </w:r>
      <w:r>
        <w:rPr>
          <w:rFonts w:ascii="宋体" w:hAnsi="宋体" w:eastAsia="宋体" w:cs="宋体"/>
          <w:color w:val="231F20"/>
          <w:spacing w:val="-43"/>
          <w:sz w:val="20"/>
          <w:szCs w:val="20"/>
        </w:rPr>
        <w:t xml:space="preserve"> </w:t>
      </w:r>
      <w:r>
        <w:rPr>
          <w:rFonts w:ascii="微软雅黑" w:hAnsi="微软雅黑" w:eastAsia="微软雅黑" w:cs="微软雅黑"/>
          <w:color w:val="231F20"/>
          <w:spacing w:val="5"/>
          <w:sz w:val="20"/>
          <w:szCs w:val="20"/>
        </w:rPr>
        <w:t xml:space="preserve">院校反馈  </w:t>
      </w:r>
      <w:r>
        <w:rPr>
          <w:rFonts w:ascii="微软雅黑" w:hAnsi="微软雅黑" w:eastAsia="微软雅黑" w:cs="微软雅黑"/>
          <w:color w:val="231F20"/>
          <w:spacing w:val="7"/>
          <w:sz w:val="20"/>
          <w:szCs w:val="20"/>
        </w:rPr>
        <w:t>学校每隔</w:t>
      </w:r>
      <w:r>
        <w:rPr>
          <w:rFonts w:ascii="微软雅黑" w:hAnsi="微软雅黑" w:eastAsia="微软雅黑" w:cs="微软雅黑"/>
          <w:color w:val="231F20"/>
          <w:spacing w:val="-19"/>
          <w:sz w:val="20"/>
          <w:szCs w:val="20"/>
        </w:rPr>
        <w:t xml:space="preserve"> </w:t>
      </w:r>
      <w:r>
        <w:rPr>
          <w:rFonts w:ascii="宋体" w:hAnsi="宋体" w:eastAsia="宋体" w:cs="宋体"/>
          <w:color w:val="231F20"/>
          <w:spacing w:val="7"/>
          <w:sz w:val="20"/>
          <w:szCs w:val="20"/>
        </w:rPr>
        <w:t>3~5</w:t>
      </w:r>
      <w:r>
        <w:rPr>
          <w:rFonts w:ascii="微软雅黑" w:hAnsi="微软雅黑" w:eastAsia="微软雅黑" w:cs="微软雅黑"/>
          <w:color w:val="231F20"/>
          <w:spacing w:val="7"/>
          <w:sz w:val="20"/>
          <w:szCs w:val="20"/>
        </w:rPr>
        <w:t>年会重新修订政策文件，重新讨论学校</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战略和实现目标；</w:t>
      </w:r>
      <w:r>
        <w:rPr>
          <w:rFonts w:ascii="宋体" w:hAnsi="宋体" w:eastAsia="宋体" w:cs="宋体"/>
          <w:color w:val="231F20"/>
          <w:spacing w:val="5"/>
          <w:sz w:val="20"/>
          <w:szCs w:val="20"/>
        </w:rPr>
        <w:t>27.9%</w:t>
      </w:r>
      <w:r>
        <w:rPr>
          <w:rFonts w:ascii="宋体" w:hAnsi="宋体" w:eastAsia="宋体" w:cs="宋体"/>
          <w:color w:val="231F20"/>
          <w:spacing w:val="-43"/>
          <w:sz w:val="20"/>
          <w:szCs w:val="20"/>
        </w:rPr>
        <w:t xml:space="preserve"> </w:t>
      </w:r>
      <w:r>
        <w:rPr>
          <w:rFonts w:ascii="微软雅黑" w:hAnsi="微软雅黑" w:eastAsia="微软雅黑" w:cs="微软雅黑"/>
          <w:color w:val="231F20"/>
          <w:spacing w:val="5"/>
          <w:sz w:val="20"/>
          <w:szCs w:val="20"/>
        </w:rPr>
        <w:t xml:space="preserve">院校反馈学校会定期对师生  </w:t>
      </w:r>
      <w:r>
        <w:rPr>
          <w:rFonts w:ascii="微软雅黑" w:hAnsi="微软雅黑" w:eastAsia="微软雅黑" w:cs="微软雅黑"/>
          <w:color w:val="231F20"/>
          <w:spacing w:val="14"/>
          <w:sz w:val="20"/>
          <w:szCs w:val="20"/>
        </w:rPr>
        <w:t>员工进行调查，分析他们对学校战略及其在基层执</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 xml:space="preserve">行情况的看法；其他占 </w:t>
      </w:r>
      <w:r>
        <w:rPr>
          <w:rFonts w:ascii="宋体" w:hAnsi="宋体" w:eastAsia="宋体" w:cs="宋体"/>
          <w:color w:val="231F20"/>
          <w:spacing w:val="1"/>
          <w:sz w:val="20"/>
          <w:szCs w:val="20"/>
        </w:rPr>
        <w:t>11.3%</w:t>
      </w:r>
      <w:r>
        <w:rPr>
          <w:rFonts w:ascii="微软雅黑" w:hAnsi="微软雅黑" w:eastAsia="微软雅黑" w:cs="微软雅黑"/>
          <w:color w:val="231F20"/>
          <w:spacing w:val="1"/>
          <w:position w:val="8"/>
          <w:sz w:val="10"/>
          <w:szCs w:val="10"/>
        </w:rPr>
        <w:t>［</w:t>
      </w:r>
      <w:r>
        <w:rPr>
          <w:rFonts w:ascii="宋体" w:hAnsi="宋体" w:eastAsia="宋体" w:cs="宋体"/>
          <w:color w:val="231F20"/>
          <w:spacing w:val="1"/>
          <w:position w:val="8"/>
          <w:sz w:val="10"/>
          <w:szCs w:val="10"/>
        </w:rPr>
        <w:t>11</w:t>
      </w:r>
      <w:r>
        <w:rPr>
          <w:rFonts w:ascii="微软雅黑" w:hAnsi="微软雅黑" w:eastAsia="微软雅黑" w:cs="微软雅黑"/>
          <w:color w:val="231F20"/>
          <w:spacing w:val="1"/>
          <w:position w:val="8"/>
          <w:sz w:val="10"/>
          <w:szCs w:val="10"/>
        </w:rPr>
        <w:t>］</w:t>
      </w:r>
      <w:r>
        <w:rPr>
          <w:rFonts w:ascii="微软雅黑" w:hAnsi="微软雅黑" w:eastAsia="微软雅黑" w:cs="微软雅黑"/>
          <w:color w:val="231F20"/>
          <w:spacing w:val="1"/>
          <w:sz w:val="20"/>
          <w:szCs w:val="20"/>
        </w:rPr>
        <w:t xml:space="preserve">。这些结果说明，出  </w:t>
      </w:r>
      <w:r>
        <w:rPr>
          <w:rFonts w:ascii="微软雅黑" w:hAnsi="微软雅黑" w:eastAsia="微软雅黑" w:cs="微软雅黑"/>
          <w:color w:val="231F20"/>
          <w:spacing w:val="14"/>
          <w:sz w:val="20"/>
          <w:szCs w:val="20"/>
        </w:rPr>
        <w:t>于不同利益相关者不同考虑，信息反馈可能是不对</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 xml:space="preserve">称的，但不管如何，反馈闭环管理是确保战略管理实  </w:t>
      </w:r>
      <w:r>
        <w:rPr>
          <w:rFonts w:ascii="微软雅黑" w:hAnsi="微软雅黑" w:eastAsia="微软雅黑" w:cs="微软雅黑"/>
          <w:color w:val="231F20"/>
          <w:spacing w:val="8"/>
          <w:sz w:val="20"/>
          <w:szCs w:val="20"/>
        </w:rPr>
        <w:t>现的必不可少的手段。</w:t>
      </w:r>
    </w:p>
    <w:p>
      <w:pPr>
        <w:spacing w:before="34" w:line="269" w:lineRule="exact"/>
        <w:ind w:left="428"/>
        <w:rPr>
          <w:rFonts w:ascii="黑体" w:hAnsi="黑体" w:eastAsia="黑体" w:cs="黑体"/>
          <w:sz w:val="20"/>
          <w:szCs w:val="20"/>
        </w:rPr>
      </w:pPr>
      <w:r>
        <w:rPr>
          <w:rFonts w:ascii="黑体" w:hAnsi="黑体" w:eastAsia="黑体" w:cs="黑体"/>
          <w:color w:val="231F20"/>
          <w:spacing w:val="-20"/>
          <w:position w:val="1"/>
          <w:sz w:val="20"/>
          <w:szCs w:val="20"/>
        </w:rPr>
        <w:t>五、结语</w:t>
      </w:r>
    </w:p>
    <w:p>
      <w:pPr>
        <w:spacing w:before="43" w:line="213" w:lineRule="auto"/>
        <w:ind w:right="81" w:firstLine="438"/>
        <w:rPr>
          <w:rFonts w:ascii="微软雅黑" w:hAnsi="微软雅黑" w:eastAsia="微软雅黑" w:cs="微软雅黑"/>
          <w:sz w:val="20"/>
          <w:szCs w:val="20"/>
        </w:rPr>
      </w:pPr>
      <w:r>
        <w:rPr>
          <w:rFonts w:ascii="微软雅黑" w:hAnsi="微软雅黑" w:eastAsia="微软雅黑" w:cs="微软雅黑"/>
          <w:color w:val="231F20"/>
          <w:spacing w:val="13"/>
          <w:sz w:val="20"/>
          <w:szCs w:val="20"/>
        </w:rPr>
        <w:t>以上是欧洲高等教育领域质量文化实施的基本</w:t>
      </w:r>
      <w:r>
        <w:rPr>
          <w:rFonts w:ascii="微软雅黑" w:hAnsi="微软雅黑" w:eastAsia="微软雅黑" w:cs="微软雅黑"/>
          <w:color w:val="231F20"/>
          <w:spacing w:val="10"/>
          <w:sz w:val="20"/>
          <w:szCs w:val="20"/>
        </w:rPr>
        <w:t xml:space="preserve"> </w:t>
      </w:r>
      <w:r>
        <w:rPr>
          <w:rFonts w:ascii="微软雅黑" w:hAnsi="微软雅黑" w:eastAsia="微软雅黑" w:cs="微软雅黑"/>
          <w:color w:val="231F20"/>
          <w:spacing w:val="12"/>
          <w:sz w:val="20"/>
          <w:szCs w:val="20"/>
        </w:rPr>
        <w:t>情况</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。可以说，欧洲高等教育质量文化实施是欧洲</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1"/>
          <w:sz w:val="20"/>
          <w:szCs w:val="20"/>
        </w:rPr>
        <w:t>高等教育在学生规模扩张</w:t>
      </w:r>
      <w:r>
        <w:rPr>
          <w:rFonts w:ascii="微软雅黑" w:hAnsi="微软雅黑" w:eastAsia="微软雅黑" w:cs="微软雅黑"/>
          <w:color w:val="231F20"/>
          <w:spacing w:val="-21"/>
          <w:sz w:val="20"/>
          <w:szCs w:val="20"/>
        </w:rPr>
        <w:t xml:space="preserve"> </w:t>
      </w:r>
      <w:r>
        <w:rPr>
          <w:rFonts w:ascii="微软雅黑" w:hAnsi="微软雅黑" w:eastAsia="微软雅黑" w:cs="微软雅黑"/>
          <w:color w:val="231F20"/>
          <w:spacing w:val="11"/>
          <w:sz w:val="20"/>
          <w:szCs w:val="20"/>
        </w:rPr>
        <w:t>、财政缩减</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11"/>
          <w:sz w:val="20"/>
          <w:szCs w:val="20"/>
        </w:rPr>
        <w:t>、知识经济兴</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起、学生群体多样化等背景下的高等教育质量保障</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转型发展的一次积极探索，是欧洲整体高等教育转</w:t>
      </w:r>
    </w:p>
    <w:p>
      <w:pPr>
        <w:spacing w:line="213" w:lineRule="auto"/>
        <w:rPr>
          <w:rFonts w:ascii="微软雅黑" w:hAnsi="微软雅黑" w:eastAsia="微软雅黑" w:cs="微软雅黑"/>
          <w:sz w:val="20"/>
          <w:szCs w:val="20"/>
        </w:rPr>
        <w:sectPr>
          <w:type w:val="continuous"/>
          <w:pgSz w:w="10841" w:h="15421"/>
          <w:pgMar w:top="727" w:right="510" w:bottom="547" w:left="407" w:header="346" w:footer="354" w:gutter="0"/>
          <w:cols w:equalWidth="0" w:num="2">
            <w:col w:w="5031" w:space="100"/>
            <w:col w:w="4792"/>
          </w:cols>
        </w:sectPr>
      </w:pPr>
    </w:p>
    <w:p>
      <w:pPr>
        <w:spacing w:before="16"/>
      </w:pPr>
    </w:p>
    <w:p>
      <w:pPr>
        <w:sectPr>
          <w:headerReference r:id="rId106" w:type="default"/>
          <w:footerReference r:id="rId107" w:type="default"/>
          <w:pgSz w:w="10841" w:h="15421"/>
          <w:pgMar w:top="727" w:right="427" w:bottom="547" w:left="407" w:header="346" w:footer="354" w:gutter="0"/>
          <w:cols w:equalWidth="0" w:num="1">
            <w:col w:w="10006"/>
          </w:cols>
        </w:sectPr>
      </w:pPr>
    </w:p>
    <w:p>
      <w:pPr>
        <w:spacing w:before="41" w:line="198" w:lineRule="auto"/>
        <w:ind w:left="192" w:right="66" w:firstLine="2"/>
        <w:rPr>
          <w:rFonts w:ascii="微软雅黑" w:hAnsi="微软雅黑" w:eastAsia="微软雅黑" w:cs="微软雅黑"/>
          <w:sz w:val="20"/>
          <w:szCs w:val="20"/>
        </w:rPr>
      </w:pPr>
      <w:r>
        <w:rPr>
          <w:rFonts w:ascii="微软雅黑" w:hAnsi="微软雅黑" w:eastAsia="微软雅黑" w:cs="微软雅黑"/>
          <w:color w:val="231F20"/>
          <w:spacing w:val="12"/>
          <w:sz w:val="20"/>
          <w:szCs w:val="20"/>
        </w:rPr>
        <w:t>型发展的重要组成</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12"/>
          <w:sz w:val="20"/>
          <w:szCs w:val="20"/>
        </w:rPr>
        <w:t>。这些转型过程及经验对于我国</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高校内部质量保障建设有一定的借鉴意义。</w:t>
      </w:r>
    </w:p>
    <w:p>
      <w:pPr>
        <w:spacing w:before="31" w:line="212" w:lineRule="auto"/>
        <w:ind w:left="184" w:firstLine="442"/>
        <w:jc w:val="both"/>
        <w:rPr>
          <w:rFonts w:ascii="微软雅黑" w:hAnsi="微软雅黑" w:eastAsia="微软雅黑" w:cs="微软雅黑"/>
          <w:sz w:val="20"/>
          <w:szCs w:val="20"/>
        </w:rPr>
      </w:pPr>
      <w:r>
        <w:rPr>
          <w:rFonts w:ascii="宋体" w:hAnsi="宋体" w:eastAsia="宋体" w:cs="宋体"/>
          <w:color w:val="231F20"/>
          <w:spacing w:val="8"/>
          <w:sz w:val="20"/>
          <w:szCs w:val="20"/>
        </w:rPr>
        <w:t>1.</w:t>
      </w:r>
      <w:r>
        <w:rPr>
          <w:rFonts w:ascii="宋体" w:hAnsi="宋体" w:eastAsia="宋体" w:cs="宋体"/>
          <w:color w:val="231F20"/>
          <w:spacing w:val="-33"/>
          <w:sz w:val="20"/>
          <w:szCs w:val="20"/>
        </w:rPr>
        <w:t xml:space="preserve"> </w:t>
      </w:r>
      <w:r>
        <w:rPr>
          <w:rFonts w:ascii="微软雅黑" w:hAnsi="微软雅黑" w:eastAsia="微软雅黑" w:cs="微软雅黑"/>
          <w:color w:val="231F20"/>
          <w:spacing w:val="8"/>
          <w:sz w:val="20"/>
          <w:szCs w:val="20"/>
        </w:rPr>
        <w:t>质量文化是关于价值追求的文化</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8"/>
          <w:sz w:val="20"/>
          <w:szCs w:val="20"/>
        </w:rPr>
        <w:t>。从欧洲高</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等教育质量文化实施经验看，任何工具和技术标准</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4"/>
          <w:sz w:val="20"/>
          <w:szCs w:val="20"/>
        </w:rPr>
        <w:t>背后都隐藏着观念和价值取向，任何改变质量保障</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7"/>
          <w:sz w:val="20"/>
          <w:szCs w:val="20"/>
        </w:rPr>
        <w:t>的方法，都必须考虑原有高等教育机构的质量文化，</w:t>
      </w:r>
      <w:r>
        <w:rPr>
          <w:rFonts w:ascii="微软雅黑" w:hAnsi="微软雅黑" w:eastAsia="微软雅黑" w:cs="微软雅黑"/>
          <w:color w:val="231F20"/>
          <w:spacing w:val="15"/>
          <w:w w:val="101"/>
          <w:sz w:val="20"/>
          <w:szCs w:val="20"/>
        </w:rPr>
        <w:t xml:space="preserve"> </w:t>
      </w:r>
      <w:r>
        <w:rPr>
          <w:rFonts w:ascii="微软雅黑" w:hAnsi="微软雅黑" w:eastAsia="微软雅黑" w:cs="微软雅黑"/>
          <w:color w:val="231F20"/>
          <w:spacing w:val="2"/>
          <w:sz w:val="20"/>
          <w:szCs w:val="20"/>
        </w:rPr>
        <w:t>重构高等教育质量文化需要把“</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2"/>
          <w:sz w:val="20"/>
          <w:szCs w:val="20"/>
        </w:rPr>
        <w:t>自上而下</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2"/>
          <w:sz w:val="20"/>
          <w:szCs w:val="20"/>
        </w:rPr>
        <w:t>”的技术标</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
          <w:sz w:val="20"/>
          <w:szCs w:val="20"/>
        </w:rPr>
        <w:t>准要素与“</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1"/>
          <w:sz w:val="20"/>
          <w:szCs w:val="20"/>
        </w:rPr>
        <w:t>自下而上</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
          <w:sz w:val="20"/>
          <w:szCs w:val="20"/>
        </w:rPr>
        <w:t>”的价值取向整合在一起，通过</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沟通、协调和建立信任关系，将新的质量观念、价值</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pacing w:val="4"/>
          <w:sz w:val="20"/>
          <w:szCs w:val="20"/>
        </w:rPr>
        <w:t>观同已有文化背景下形成的习惯、规范、惯例、模式</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pacing w:val="4"/>
          <w:sz w:val="20"/>
          <w:szCs w:val="20"/>
        </w:rPr>
        <w:t>等方面结合在一起，并形成新的质量认识或共识、承</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pacing w:val="3"/>
          <w:sz w:val="20"/>
          <w:szCs w:val="20"/>
        </w:rPr>
        <w:t>诺、态度、价值取向</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3"/>
          <w:sz w:val="20"/>
          <w:szCs w:val="20"/>
        </w:rPr>
        <w:t>。这就意味着任何外部质量保障</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只有通过内部质量保障起作用，任何外部质量保障</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14"/>
          <w:sz w:val="20"/>
          <w:szCs w:val="20"/>
        </w:rPr>
        <w:t>工具、手段只有获得内部员工的广泛认可并理解其</w:t>
      </w:r>
      <w:r>
        <w:rPr>
          <w:rFonts w:ascii="微软雅黑" w:hAnsi="微软雅黑" w:eastAsia="微软雅黑" w:cs="微软雅黑"/>
          <w:color w:val="231F20"/>
          <w:spacing w:val="1"/>
          <w:sz w:val="20"/>
          <w:szCs w:val="20"/>
        </w:rPr>
        <w:t xml:space="preserve">  </w:t>
      </w:r>
      <w:r>
        <w:rPr>
          <w:rFonts w:ascii="微软雅黑" w:hAnsi="微软雅黑" w:eastAsia="微软雅黑" w:cs="微软雅黑"/>
          <w:color w:val="231F20"/>
          <w:spacing w:val="4"/>
          <w:sz w:val="20"/>
          <w:szCs w:val="20"/>
        </w:rPr>
        <w:t>实质和内在意义，才能形成有效的质量保障效能，这</w:t>
      </w:r>
      <w:r>
        <w:rPr>
          <w:rFonts w:ascii="微软雅黑" w:hAnsi="微软雅黑" w:eastAsia="微软雅黑" w:cs="微软雅黑"/>
          <w:color w:val="231F20"/>
          <w:spacing w:val="9"/>
          <w:sz w:val="20"/>
          <w:szCs w:val="20"/>
        </w:rPr>
        <w:t xml:space="preserve">  </w:t>
      </w:r>
      <w:r>
        <w:rPr>
          <w:rFonts w:ascii="微软雅黑" w:hAnsi="微软雅黑" w:eastAsia="微软雅黑" w:cs="微软雅黑"/>
          <w:color w:val="231F20"/>
          <w:spacing w:val="8"/>
          <w:sz w:val="20"/>
          <w:szCs w:val="20"/>
        </w:rPr>
        <w:t>是质量文化建设的真正意义所在。</w:t>
      </w:r>
    </w:p>
    <w:p>
      <w:pPr>
        <w:spacing w:before="37" w:line="212" w:lineRule="auto"/>
        <w:ind w:left="187" w:right="66" w:firstLine="422"/>
        <w:jc w:val="both"/>
        <w:rPr>
          <w:rFonts w:ascii="微软雅黑" w:hAnsi="微软雅黑" w:eastAsia="微软雅黑" w:cs="微软雅黑"/>
          <w:sz w:val="20"/>
          <w:szCs w:val="20"/>
        </w:rPr>
      </w:pPr>
      <w:r>
        <w:rPr>
          <w:rFonts w:ascii="宋体" w:hAnsi="宋体" w:eastAsia="宋体" w:cs="宋体"/>
          <w:color w:val="231F20"/>
          <w:spacing w:val="9"/>
          <w:sz w:val="20"/>
          <w:szCs w:val="20"/>
        </w:rPr>
        <w:t>2.</w:t>
      </w:r>
      <w:r>
        <w:rPr>
          <w:rFonts w:ascii="宋体" w:hAnsi="宋体" w:eastAsia="宋体" w:cs="宋体"/>
          <w:color w:val="231F20"/>
          <w:spacing w:val="-36"/>
          <w:sz w:val="20"/>
          <w:szCs w:val="20"/>
        </w:rPr>
        <w:t xml:space="preserve"> </w:t>
      </w:r>
      <w:r>
        <w:rPr>
          <w:rFonts w:ascii="微软雅黑" w:hAnsi="微软雅黑" w:eastAsia="微软雅黑" w:cs="微软雅黑"/>
          <w:color w:val="231F20"/>
          <w:spacing w:val="9"/>
          <w:sz w:val="20"/>
          <w:szCs w:val="20"/>
        </w:rPr>
        <w:t>质量文化是关于高等教育学术的文化</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9"/>
          <w:sz w:val="20"/>
          <w:szCs w:val="20"/>
        </w:rPr>
        <w:t>。从历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史发展逻辑而言，质量具有内在价值和外在价值两</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种取向，内在价值体现于教育和研究本身就是质量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目的，质量根植于学术自治、学术自主、学术自律、学</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12"/>
          <w:sz w:val="20"/>
          <w:szCs w:val="20"/>
        </w:rPr>
        <w:t>术诚信等传统学术追求中</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。外在价值取向是高等教</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育机构与社会需求互动的结果，它强调高等教育机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构以其产品属性适应社会需求的程度</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。从欧洲高等</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教育机构质量文化形成过程看，实质是高等教育机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构在平衡内在和外在两种价值取向的过程，但从其</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强调重心而言，关于质量文化理解首先是关于学术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的文化，质量文化需要尊重学术组织的特殊性，给予</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4"/>
          <w:sz w:val="20"/>
          <w:szCs w:val="20"/>
        </w:rPr>
        <w:t>高等教育机构充分信任，强调高等教育机构学术自</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治、学术自主等经典学术理念及要求，突出学术人员</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4"/>
          <w:sz w:val="20"/>
          <w:szCs w:val="20"/>
        </w:rPr>
        <w:t>在质量保障的话语权和定义权，给予学术人员充分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5"/>
          <w:sz w:val="20"/>
          <w:szCs w:val="20"/>
        </w:rPr>
        <w:t>自主权。</w:t>
      </w:r>
    </w:p>
    <w:p>
      <w:pPr>
        <w:spacing w:before="53" w:line="211" w:lineRule="auto"/>
        <w:ind w:left="188" w:right="66" w:firstLine="424"/>
        <w:jc w:val="both"/>
        <w:rPr>
          <w:rFonts w:ascii="微软雅黑" w:hAnsi="微软雅黑" w:eastAsia="微软雅黑" w:cs="微软雅黑"/>
          <w:sz w:val="20"/>
          <w:szCs w:val="20"/>
        </w:rPr>
      </w:pPr>
      <w:r>
        <w:rPr>
          <w:rFonts w:ascii="宋体" w:hAnsi="宋体" w:eastAsia="宋体" w:cs="宋体"/>
          <w:color w:val="231F20"/>
          <w:spacing w:val="8"/>
          <w:sz w:val="20"/>
          <w:szCs w:val="20"/>
        </w:rPr>
        <w:t>3.</w:t>
      </w:r>
      <w:r>
        <w:rPr>
          <w:rFonts w:ascii="宋体" w:hAnsi="宋体" w:eastAsia="宋体" w:cs="宋体"/>
          <w:color w:val="231F20"/>
          <w:spacing w:val="-19"/>
          <w:sz w:val="20"/>
          <w:szCs w:val="20"/>
        </w:rPr>
        <w:t xml:space="preserve"> </w:t>
      </w:r>
      <w:r>
        <w:rPr>
          <w:rFonts w:ascii="微软雅黑" w:hAnsi="微软雅黑" w:eastAsia="微软雅黑" w:cs="微软雅黑"/>
          <w:color w:val="231F20"/>
          <w:spacing w:val="8"/>
          <w:sz w:val="20"/>
          <w:szCs w:val="20"/>
        </w:rPr>
        <w:t>质量文化是关于人才培养的文化</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8"/>
          <w:sz w:val="20"/>
          <w:szCs w:val="20"/>
        </w:rPr>
        <w:t>。人才培养</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是高等教育基本功能，人才培养质量是衡量高等教</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育质量的根本标准</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。然而，在实践中由于认识不到</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位，对高等教育质量往往容易产生泛化现象</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。从欧</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洲高等教育质量建设经验看，其关于高等教育质量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概念直接指向了人才培养，其对质量文化的定义始</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1"/>
          <w:sz w:val="20"/>
          <w:szCs w:val="20"/>
        </w:rPr>
        <w:t>终是以人才培养为核心</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11"/>
          <w:sz w:val="20"/>
          <w:szCs w:val="20"/>
        </w:rPr>
        <w:t>。</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11"/>
          <w:sz w:val="20"/>
          <w:szCs w:val="20"/>
        </w:rPr>
        <w:t>因此可以看到，欧洲高等</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教育对于大学学术人员的角色定位首先是基于教学</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的角色，学术人员的责任首要是教学的责任</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。高等</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4"/>
          <w:sz w:val="20"/>
          <w:szCs w:val="20"/>
        </w:rPr>
        <w:t>教育机构对于人才培养质量首先是结果导向的定</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4"/>
          <w:sz w:val="20"/>
          <w:szCs w:val="20"/>
        </w:rPr>
        <w:t>义，其次是培养过程的定义，即围绕着学生的成长成</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1"/>
          <w:sz w:val="20"/>
          <w:szCs w:val="20"/>
        </w:rPr>
        <w:t>才</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11"/>
          <w:sz w:val="20"/>
          <w:szCs w:val="20"/>
        </w:rPr>
        <w:t>。</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11"/>
          <w:sz w:val="20"/>
          <w:szCs w:val="20"/>
        </w:rPr>
        <w:t>围绕着学生多样学习需求，如何给予学生丰富</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的学习体验和多样成长路径，并着力营造支撑多样</w:t>
      </w:r>
    </w:p>
    <w:p>
      <w:pPr>
        <w:spacing w:line="14" w:lineRule="auto"/>
        <w:rPr>
          <w:rFonts w:ascii="Arial"/>
          <w:sz w:val="2"/>
        </w:rPr>
      </w:pPr>
      <w:r>
        <w:rPr>
          <w:rFonts w:ascii="Arial" w:hAnsi="Arial" w:eastAsia="Arial" w:cs="Arial"/>
          <w:sz w:val="2"/>
          <w:szCs w:val="2"/>
        </w:rPr>
        <w:br w:type="column"/>
      </w:r>
    </w:p>
    <w:p>
      <w:pPr>
        <w:spacing w:before="38" w:line="183" w:lineRule="auto"/>
        <w:ind w:left="108"/>
        <w:rPr>
          <w:rFonts w:ascii="微软雅黑" w:hAnsi="微软雅黑" w:eastAsia="微软雅黑" w:cs="微软雅黑"/>
          <w:sz w:val="20"/>
          <w:szCs w:val="20"/>
        </w:rPr>
      </w:pPr>
      <w:r>
        <w:rPr>
          <w:rFonts w:ascii="微软雅黑" w:hAnsi="微软雅黑" w:eastAsia="微软雅黑" w:cs="微软雅黑"/>
          <w:color w:val="231F20"/>
          <w:spacing w:val="8"/>
          <w:sz w:val="20"/>
          <w:szCs w:val="20"/>
        </w:rPr>
        <w:t>学习的成长环境和教学资源。</w:t>
      </w:r>
    </w:p>
    <w:p>
      <w:pPr>
        <w:spacing w:before="51" w:line="211" w:lineRule="auto"/>
        <w:ind w:left="104" w:right="165" w:firstLine="420"/>
        <w:jc w:val="both"/>
        <w:rPr>
          <w:rFonts w:ascii="微软雅黑" w:hAnsi="微软雅黑" w:eastAsia="微软雅黑" w:cs="微软雅黑"/>
          <w:sz w:val="20"/>
          <w:szCs w:val="20"/>
        </w:rPr>
      </w:pPr>
      <w:r>
        <w:rPr>
          <w:rFonts w:ascii="宋体" w:hAnsi="宋体" w:eastAsia="宋体" w:cs="宋体"/>
          <w:color w:val="231F20"/>
          <w:spacing w:val="9"/>
          <w:sz w:val="20"/>
          <w:szCs w:val="20"/>
        </w:rPr>
        <w:t>4.</w:t>
      </w:r>
      <w:r>
        <w:rPr>
          <w:rFonts w:ascii="宋体" w:hAnsi="宋体" w:eastAsia="宋体" w:cs="宋体"/>
          <w:color w:val="231F20"/>
          <w:spacing w:val="-33"/>
          <w:sz w:val="20"/>
          <w:szCs w:val="20"/>
        </w:rPr>
        <w:t xml:space="preserve"> </w:t>
      </w:r>
      <w:r>
        <w:rPr>
          <w:rFonts w:ascii="微软雅黑" w:hAnsi="微软雅黑" w:eastAsia="微软雅黑" w:cs="微软雅黑"/>
          <w:color w:val="231F20"/>
          <w:spacing w:val="9"/>
          <w:sz w:val="20"/>
          <w:szCs w:val="20"/>
        </w:rPr>
        <w:t>质量文化是以学生为中心的文化</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9"/>
          <w:sz w:val="20"/>
          <w:szCs w:val="20"/>
        </w:rPr>
        <w:t>。以学生为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中心即一种教育理念，但在实践过程中，这一理念往</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12"/>
          <w:sz w:val="20"/>
          <w:szCs w:val="20"/>
        </w:rPr>
        <w:t>往容易产生泛化</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。然而，欧洲高等教育质量文化实</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施经验表明，以学生为中心恰恰不是一个虚化的概</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念，而是有明确的要求，贯穿于具体的制度设计以及</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12"/>
          <w:sz w:val="20"/>
          <w:szCs w:val="20"/>
        </w:rPr>
        <w:t>人才培养全过程</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。这不仅体现在高等教育机构在质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量保障过程中，提供给学生充分参与、评估和决策的</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4"/>
          <w:sz w:val="20"/>
          <w:szCs w:val="20"/>
        </w:rPr>
        <w:t>机会，也体现在高等教育机构围绕学生学习需求，建</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14"/>
          <w:sz w:val="20"/>
          <w:szCs w:val="20"/>
        </w:rPr>
        <w:t>立了灵活多样教学体系，并建立从学生入学到毕业</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2"/>
          <w:sz w:val="20"/>
          <w:szCs w:val="20"/>
        </w:rPr>
        <w:t>的“全生命周期</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2"/>
          <w:sz w:val="20"/>
          <w:szCs w:val="20"/>
        </w:rPr>
        <w:t>”的质量保障体系</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2"/>
          <w:sz w:val="20"/>
          <w:szCs w:val="20"/>
        </w:rPr>
        <w:t>。更体现高等教育</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机构关注学生的学习体验，突出成果导向的课程设</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计，应用包容多样的教学和评价方法，调动学生学习</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4"/>
          <w:sz w:val="20"/>
          <w:szCs w:val="20"/>
        </w:rPr>
        <w:t>主动性和积极性，帮助和促进学生学业顺利完成。</w:t>
      </w:r>
    </w:p>
    <w:p>
      <w:pPr>
        <w:spacing w:before="34" w:line="212" w:lineRule="auto"/>
        <w:ind w:left="104" w:right="86" w:firstLine="423"/>
        <w:jc w:val="both"/>
        <w:rPr>
          <w:rFonts w:ascii="微软雅黑" w:hAnsi="微软雅黑" w:eastAsia="微软雅黑" w:cs="微软雅黑"/>
          <w:sz w:val="20"/>
          <w:szCs w:val="20"/>
        </w:rPr>
      </w:pPr>
      <w:r>
        <w:rPr>
          <w:rFonts w:ascii="宋体" w:hAnsi="宋体" w:eastAsia="宋体" w:cs="宋体"/>
          <w:color w:val="231F20"/>
          <w:spacing w:val="9"/>
          <w:sz w:val="20"/>
          <w:szCs w:val="20"/>
        </w:rPr>
        <w:t>5.</w:t>
      </w:r>
      <w:r>
        <w:rPr>
          <w:rFonts w:ascii="宋体" w:hAnsi="宋体" w:eastAsia="宋体" w:cs="宋体"/>
          <w:color w:val="231F20"/>
          <w:spacing w:val="-36"/>
          <w:sz w:val="20"/>
          <w:szCs w:val="20"/>
        </w:rPr>
        <w:t xml:space="preserve"> </w:t>
      </w:r>
      <w:r>
        <w:rPr>
          <w:rFonts w:ascii="微软雅黑" w:hAnsi="微软雅黑" w:eastAsia="微软雅黑" w:cs="微软雅黑"/>
          <w:color w:val="231F20"/>
          <w:spacing w:val="9"/>
          <w:sz w:val="20"/>
          <w:szCs w:val="20"/>
        </w:rPr>
        <w:t>质量文化是关于教师发展的文化</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9"/>
          <w:sz w:val="20"/>
          <w:szCs w:val="20"/>
        </w:rPr>
        <w:t>。教师发展</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是质量的根本保障，从欧洲高等教育质量文化实施</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经验看，教师角色地位被赋予是创造高质量的学生</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学习体验和使学生获得知识、能力和技能方面的根</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1"/>
          <w:sz w:val="20"/>
          <w:szCs w:val="20"/>
        </w:rPr>
        <w:t>本保障</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11"/>
          <w:sz w:val="20"/>
          <w:szCs w:val="20"/>
        </w:rPr>
        <w:t>。</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1"/>
          <w:sz w:val="20"/>
          <w:szCs w:val="20"/>
        </w:rPr>
        <w:t>由此可见，在欧洲高等教育质量文化实施</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0"/>
          <w:sz w:val="20"/>
          <w:szCs w:val="20"/>
        </w:rPr>
        <w:t>过程中，已经从过去的“管理主义</w:t>
      </w:r>
      <w:r>
        <w:rPr>
          <w:rFonts w:ascii="微软雅黑" w:hAnsi="微软雅黑" w:eastAsia="微软雅黑" w:cs="微软雅黑"/>
          <w:color w:val="231F20"/>
          <w:spacing w:val="-22"/>
          <w:sz w:val="20"/>
          <w:szCs w:val="20"/>
        </w:rPr>
        <w:t xml:space="preserve"> </w:t>
      </w:r>
      <w:r>
        <w:rPr>
          <w:rFonts w:ascii="微软雅黑" w:hAnsi="微软雅黑" w:eastAsia="微软雅黑" w:cs="微软雅黑"/>
          <w:color w:val="231F20"/>
          <w:spacing w:val="-10"/>
          <w:sz w:val="20"/>
          <w:szCs w:val="20"/>
        </w:rPr>
        <w:t>”转向“发展主义”。</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这种转变不仅体现了高等教育机构需要规划富有竞</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争性的人才发展战略以增强人才吸收力，也体现在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高等教育需要建立明确、透明招聘和晋升机制，以确</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14"/>
          <w:sz w:val="20"/>
          <w:szCs w:val="20"/>
        </w:rPr>
        <w:t>保教师公平竞争，更体现高等教育机构给教师发展</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创造条件和提供机会，给予教师充分信任</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。特别是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在信息技术与教学深度融合的背景下，鼓励教师进</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行教学创新，鼓励教师深度教学合作，建立教学共同</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4"/>
          <w:sz w:val="20"/>
          <w:szCs w:val="20"/>
        </w:rPr>
        <w:t>体，以主动适应信息技术革命对教学带来的挑战。</w:t>
      </w:r>
    </w:p>
    <w:p>
      <w:pPr>
        <w:spacing w:before="37" w:line="212" w:lineRule="auto"/>
        <w:ind w:right="83" w:firstLine="529"/>
        <w:jc w:val="both"/>
        <w:rPr>
          <w:rFonts w:ascii="微软雅黑" w:hAnsi="微软雅黑" w:eastAsia="微软雅黑" w:cs="微软雅黑"/>
          <w:sz w:val="20"/>
          <w:szCs w:val="20"/>
        </w:rPr>
      </w:pPr>
      <w:r>
        <w:rPr>
          <w:rFonts w:ascii="宋体" w:hAnsi="宋体" w:eastAsia="宋体" w:cs="宋体"/>
          <w:color w:val="231F20"/>
          <w:spacing w:val="-4"/>
          <w:sz w:val="20"/>
          <w:szCs w:val="20"/>
        </w:rPr>
        <w:t>6.</w:t>
      </w:r>
      <w:r>
        <w:rPr>
          <w:rFonts w:ascii="宋体" w:hAnsi="宋体" w:eastAsia="宋体" w:cs="宋体"/>
          <w:color w:val="231F20"/>
          <w:spacing w:val="-24"/>
          <w:sz w:val="20"/>
          <w:szCs w:val="20"/>
        </w:rPr>
        <w:t xml:space="preserve"> </w:t>
      </w:r>
      <w:r>
        <w:rPr>
          <w:rFonts w:ascii="微软雅黑" w:hAnsi="微软雅黑" w:eastAsia="微软雅黑" w:cs="微软雅黑"/>
          <w:color w:val="231F20"/>
          <w:spacing w:val="-4"/>
          <w:sz w:val="20"/>
          <w:szCs w:val="20"/>
        </w:rPr>
        <w:t>质</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4"/>
          <w:sz w:val="20"/>
          <w:szCs w:val="20"/>
        </w:rPr>
        <w:t>量</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4"/>
          <w:sz w:val="20"/>
          <w:szCs w:val="20"/>
        </w:rPr>
        <w:t>文</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4"/>
          <w:sz w:val="20"/>
          <w:szCs w:val="20"/>
        </w:rPr>
        <w:t>化</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4"/>
          <w:sz w:val="20"/>
          <w:szCs w:val="20"/>
        </w:rPr>
        <w:t>是</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4"/>
          <w:sz w:val="20"/>
          <w:szCs w:val="20"/>
        </w:rPr>
        <w:t>关</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4"/>
          <w:sz w:val="20"/>
          <w:szCs w:val="20"/>
        </w:rPr>
        <w:t>于</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4"/>
          <w:sz w:val="20"/>
          <w:szCs w:val="20"/>
        </w:rPr>
        <w:t>公</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4"/>
          <w:sz w:val="20"/>
          <w:szCs w:val="20"/>
        </w:rPr>
        <w:t>共</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4"/>
          <w:sz w:val="20"/>
          <w:szCs w:val="20"/>
        </w:rPr>
        <w:t>管</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4"/>
          <w:sz w:val="20"/>
          <w:szCs w:val="20"/>
        </w:rPr>
        <w:t>理</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4"/>
          <w:sz w:val="20"/>
          <w:szCs w:val="20"/>
        </w:rPr>
        <w:t>的</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4"/>
          <w:sz w:val="20"/>
          <w:szCs w:val="20"/>
        </w:rPr>
        <w:t>文</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4"/>
          <w:sz w:val="20"/>
          <w:szCs w:val="20"/>
        </w:rPr>
        <w:t>化</w:t>
      </w:r>
      <w:r>
        <w:rPr>
          <w:rFonts w:ascii="微软雅黑" w:hAnsi="微软雅黑" w:eastAsia="微软雅黑" w:cs="微软雅黑"/>
          <w:color w:val="231F20"/>
          <w:spacing w:val="-14"/>
          <w:sz w:val="20"/>
          <w:szCs w:val="20"/>
        </w:rPr>
        <w:t xml:space="preserve"> </w:t>
      </w:r>
      <w:r>
        <w:rPr>
          <w:rFonts w:ascii="微软雅黑" w:hAnsi="微软雅黑" w:eastAsia="微软雅黑" w:cs="微软雅黑"/>
          <w:color w:val="231F20"/>
          <w:spacing w:val="-4"/>
          <w:sz w:val="20"/>
          <w:szCs w:val="20"/>
        </w:rPr>
        <w:t>。不</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4"/>
          <w:sz w:val="20"/>
          <w:szCs w:val="20"/>
        </w:rPr>
        <w:t>同</w:t>
      </w:r>
      <w:r>
        <w:rPr>
          <w:rFonts w:ascii="微软雅黑" w:hAnsi="微软雅黑" w:eastAsia="微软雅黑" w:cs="微软雅黑"/>
          <w:color w:val="231F20"/>
          <w:spacing w:val="-27"/>
          <w:sz w:val="20"/>
          <w:szCs w:val="20"/>
        </w:rPr>
        <w:t xml:space="preserve"> </w:t>
      </w:r>
      <w:r>
        <w:rPr>
          <w:rFonts w:ascii="微软雅黑" w:hAnsi="微软雅黑" w:eastAsia="微软雅黑" w:cs="微软雅黑"/>
          <w:color w:val="231F20"/>
          <w:spacing w:val="-4"/>
          <w:sz w:val="20"/>
          <w:szCs w:val="20"/>
        </w:rPr>
        <w:t xml:space="preserve">于  </w:t>
      </w:r>
      <w:r>
        <w:rPr>
          <w:rFonts w:ascii="微软雅黑" w:hAnsi="微软雅黑" w:eastAsia="微软雅黑" w:cs="微软雅黑"/>
          <w:color w:val="231F20"/>
          <w:spacing w:val="-5"/>
          <w:sz w:val="20"/>
          <w:szCs w:val="20"/>
        </w:rPr>
        <w:t>“ 自上而下</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5"/>
          <w:sz w:val="20"/>
          <w:szCs w:val="20"/>
        </w:rPr>
        <w:t>”的“官僚</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5"/>
          <w:sz w:val="20"/>
          <w:szCs w:val="20"/>
        </w:rPr>
        <w:t xml:space="preserve">”组织文化，公共管理文化其本  </w:t>
      </w:r>
      <w:r>
        <w:rPr>
          <w:rFonts w:ascii="微软雅黑" w:hAnsi="微软雅黑" w:eastAsia="微软雅黑" w:cs="微软雅黑"/>
          <w:color w:val="231F20"/>
          <w:spacing w:val="13"/>
          <w:sz w:val="20"/>
          <w:szCs w:val="20"/>
        </w:rPr>
        <w:t>质是协调不同利益相关者诉求，最终形成一</w:t>
      </w:r>
      <w:r>
        <w:rPr>
          <w:rFonts w:ascii="微软雅黑" w:hAnsi="微软雅黑" w:eastAsia="微软雅黑" w:cs="微软雅黑"/>
          <w:color w:val="231F20"/>
          <w:spacing w:val="12"/>
          <w:sz w:val="20"/>
          <w:szCs w:val="20"/>
        </w:rPr>
        <w:t>种共建、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共享、共治的文化</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7"/>
          <w:sz w:val="20"/>
          <w:szCs w:val="20"/>
        </w:rPr>
        <w:t>。根据欧洲高等教育质量文化实</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9"/>
          <w:sz w:val="20"/>
          <w:szCs w:val="20"/>
        </w:rPr>
        <w:t>施经验，其在质量文化实施过程中，一直试图建立一</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8"/>
          <w:sz w:val="20"/>
          <w:szCs w:val="20"/>
        </w:rPr>
        <w:t>种广泛的利益相关者参与机制，既保障利益相关者</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2"/>
          <w:sz w:val="20"/>
          <w:szCs w:val="20"/>
        </w:rPr>
        <w:t>在质量保障过程中具有一定“定义权</w:t>
      </w:r>
      <w:r>
        <w:rPr>
          <w:rFonts w:ascii="微软雅黑" w:hAnsi="微软雅黑" w:eastAsia="微软雅黑" w:cs="微软雅黑"/>
          <w:color w:val="231F20"/>
          <w:spacing w:val="-12"/>
          <w:sz w:val="20"/>
          <w:szCs w:val="20"/>
        </w:rPr>
        <w:t xml:space="preserve"> </w:t>
      </w:r>
      <w:r>
        <w:rPr>
          <w:rFonts w:ascii="微软雅黑" w:hAnsi="微软雅黑" w:eastAsia="微软雅黑" w:cs="微软雅黑"/>
          <w:color w:val="231F20"/>
          <w:spacing w:val="2"/>
          <w:sz w:val="20"/>
          <w:szCs w:val="20"/>
        </w:rPr>
        <w:t>”和“话语权”，</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又要确保利益相关者承当相应的主体责任</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7"/>
          <w:sz w:val="20"/>
          <w:szCs w:val="20"/>
        </w:rPr>
        <w:t>。因此可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9"/>
          <w:sz w:val="20"/>
          <w:szCs w:val="20"/>
        </w:rPr>
        <w:t>以发现，其在质量文化实施过程中，一方面强调质量</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9"/>
          <w:sz w:val="20"/>
          <w:szCs w:val="20"/>
        </w:rPr>
        <w:t>保障活动的包容性，突出利益相关者的广泛参与，强</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9"/>
          <w:sz w:val="20"/>
          <w:szCs w:val="20"/>
        </w:rPr>
        <w:t>调利益相关者之间平等的对话、沟通与参与，提供申</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1"/>
          <w:sz w:val="20"/>
          <w:szCs w:val="20"/>
        </w:rPr>
        <w:t>诉抱怨机制</w:t>
      </w:r>
      <w:r>
        <w:rPr>
          <w:rFonts w:ascii="微软雅黑" w:hAnsi="微软雅黑" w:eastAsia="微软雅黑" w:cs="微软雅黑"/>
          <w:color w:val="231F20"/>
          <w:spacing w:val="-17"/>
          <w:sz w:val="20"/>
          <w:szCs w:val="20"/>
        </w:rPr>
        <w:t xml:space="preserve"> </w:t>
      </w:r>
      <w:r>
        <w:rPr>
          <w:rFonts w:ascii="微软雅黑" w:hAnsi="微软雅黑" w:eastAsia="微软雅黑" w:cs="微软雅黑"/>
          <w:color w:val="231F20"/>
          <w:spacing w:val="11"/>
          <w:sz w:val="20"/>
          <w:szCs w:val="20"/>
        </w:rPr>
        <w:t>。另一方面又强调政策公开、信息透明，</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8"/>
          <w:sz w:val="20"/>
          <w:szCs w:val="20"/>
        </w:rPr>
        <w:t>保障内外部利益相关者通过适当的组织和程序参与</w:t>
      </w:r>
      <w:r>
        <w:rPr>
          <w:rFonts w:ascii="微软雅黑" w:hAnsi="微软雅黑" w:eastAsia="微软雅黑" w:cs="微软雅黑"/>
          <w:color w:val="231F20"/>
          <w:spacing w:val="8"/>
          <w:sz w:val="20"/>
          <w:szCs w:val="20"/>
        </w:rPr>
        <w:t xml:space="preserve">  </w:t>
      </w:r>
      <w:r>
        <w:rPr>
          <w:rFonts w:ascii="微软雅黑" w:hAnsi="微软雅黑" w:eastAsia="微软雅黑" w:cs="微软雅黑"/>
          <w:color w:val="231F20"/>
          <w:spacing w:val="9"/>
          <w:sz w:val="20"/>
          <w:szCs w:val="20"/>
        </w:rPr>
        <w:t>制定政策，强调各级领导、组织和主体责任、明确各</w:t>
      </w:r>
      <w:r>
        <w:rPr>
          <w:rFonts w:ascii="微软雅黑" w:hAnsi="微软雅黑" w:eastAsia="微软雅黑" w:cs="微软雅黑"/>
          <w:color w:val="231F20"/>
          <w:spacing w:val="3"/>
          <w:sz w:val="20"/>
          <w:szCs w:val="20"/>
        </w:rPr>
        <w:t xml:space="preserve">  </w:t>
      </w:r>
      <w:r>
        <w:rPr>
          <w:rFonts w:ascii="微软雅黑" w:hAnsi="微软雅黑" w:eastAsia="微软雅黑" w:cs="微软雅黑"/>
          <w:color w:val="231F20"/>
          <w:spacing w:val="17"/>
          <w:sz w:val="20"/>
          <w:szCs w:val="20"/>
        </w:rPr>
        <w:t>级质量保障组织的责职及要求</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7"/>
          <w:sz w:val="20"/>
          <w:szCs w:val="20"/>
        </w:rPr>
        <w:t>。这些说明欧洲高等</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7"/>
          <w:sz w:val="20"/>
          <w:szCs w:val="20"/>
        </w:rPr>
        <w:t>教</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7"/>
          <w:sz w:val="20"/>
          <w:szCs w:val="20"/>
        </w:rPr>
        <w:t>育</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7"/>
          <w:sz w:val="20"/>
          <w:szCs w:val="20"/>
        </w:rPr>
        <w:t>质量保</w:t>
      </w:r>
      <w:r>
        <w:rPr>
          <w:rFonts w:ascii="微软雅黑" w:hAnsi="微软雅黑" w:eastAsia="微软雅黑" w:cs="微软雅黑"/>
          <w:color w:val="231F20"/>
          <w:spacing w:val="-23"/>
          <w:sz w:val="20"/>
          <w:szCs w:val="20"/>
        </w:rPr>
        <w:t xml:space="preserve"> </w:t>
      </w:r>
      <w:r>
        <w:rPr>
          <w:rFonts w:ascii="微软雅黑" w:hAnsi="微软雅黑" w:eastAsia="微软雅黑" w:cs="微软雅黑"/>
          <w:color w:val="231F20"/>
          <w:spacing w:val="7"/>
          <w:sz w:val="20"/>
          <w:szCs w:val="20"/>
        </w:rPr>
        <w:t>障</w:t>
      </w:r>
      <w:r>
        <w:rPr>
          <w:rFonts w:ascii="微软雅黑" w:hAnsi="微软雅黑" w:eastAsia="微软雅黑" w:cs="微软雅黑"/>
          <w:color w:val="231F20"/>
          <w:spacing w:val="-18"/>
          <w:sz w:val="20"/>
          <w:szCs w:val="20"/>
        </w:rPr>
        <w:t xml:space="preserve"> </w:t>
      </w:r>
      <w:r>
        <w:rPr>
          <w:rFonts w:ascii="微软雅黑" w:hAnsi="微软雅黑" w:eastAsia="微软雅黑" w:cs="微软雅黑"/>
          <w:color w:val="231F20"/>
          <w:spacing w:val="7"/>
          <w:sz w:val="20"/>
          <w:szCs w:val="20"/>
        </w:rPr>
        <w:t>已</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7"/>
          <w:sz w:val="20"/>
          <w:szCs w:val="20"/>
        </w:rPr>
        <w:t>经从 自</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7"/>
          <w:sz w:val="20"/>
          <w:szCs w:val="20"/>
        </w:rPr>
        <w:t>上</w:t>
      </w:r>
      <w:r>
        <w:rPr>
          <w:rFonts w:ascii="微软雅黑" w:hAnsi="微软雅黑" w:eastAsia="微软雅黑" w:cs="微软雅黑"/>
          <w:color w:val="231F20"/>
          <w:spacing w:val="-30"/>
          <w:sz w:val="20"/>
          <w:szCs w:val="20"/>
        </w:rPr>
        <w:t xml:space="preserve"> </w:t>
      </w:r>
      <w:r>
        <w:rPr>
          <w:rFonts w:ascii="微软雅黑" w:hAnsi="微软雅黑" w:eastAsia="微软雅黑" w:cs="微软雅黑"/>
          <w:color w:val="231F20"/>
          <w:spacing w:val="7"/>
          <w:sz w:val="20"/>
          <w:szCs w:val="20"/>
        </w:rPr>
        <w:t>而</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7"/>
          <w:sz w:val="20"/>
          <w:szCs w:val="20"/>
        </w:rPr>
        <w:t>下</w:t>
      </w:r>
      <w:r>
        <w:rPr>
          <w:rFonts w:ascii="微软雅黑" w:hAnsi="微软雅黑" w:eastAsia="微软雅黑" w:cs="微软雅黑"/>
          <w:color w:val="231F20"/>
          <w:spacing w:val="-19"/>
          <w:sz w:val="20"/>
          <w:szCs w:val="20"/>
        </w:rPr>
        <w:t xml:space="preserve"> </w:t>
      </w:r>
      <w:r>
        <w:rPr>
          <w:rFonts w:ascii="微软雅黑" w:hAnsi="微软雅黑" w:eastAsia="微软雅黑" w:cs="微软雅黑"/>
          <w:color w:val="231F20"/>
          <w:spacing w:val="7"/>
          <w:sz w:val="20"/>
          <w:szCs w:val="20"/>
        </w:rPr>
        <w:t>的</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pacing w:val="7"/>
          <w:sz w:val="20"/>
          <w:szCs w:val="20"/>
        </w:rPr>
        <w:t>官僚组</w:t>
      </w:r>
      <w:r>
        <w:rPr>
          <w:rFonts w:ascii="微软雅黑" w:hAnsi="微软雅黑" w:eastAsia="微软雅黑" w:cs="微软雅黑"/>
          <w:color w:val="231F20"/>
          <w:spacing w:val="-35"/>
          <w:sz w:val="20"/>
          <w:szCs w:val="20"/>
        </w:rPr>
        <w:t xml:space="preserve"> </w:t>
      </w:r>
      <w:r>
        <w:rPr>
          <w:rFonts w:ascii="微软雅黑" w:hAnsi="微软雅黑" w:eastAsia="微软雅黑" w:cs="微软雅黑"/>
          <w:color w:val="231F20"/>
          <w:spacing w:val="7"/>
          <w:sz w:val="20"/>
          <w:szCs w:val="20"/>
        </w:rPr>
        <w:t>织</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7"/>
          <w:sz w:val="20"/>
          <w:szCs w:val="20"/>
        </w:rPr>
        <w:t>文</w:t>
      </w:r>
      <w:r>
        <w:rPr>
          <w:rFonts w:ascii="微软雅黑" w:hAnsi="微软雅黑" w:eastAsia="微软雅黑" w:cs="微软雅黑"/>
          <w:color w:val="231F20"/>
          <w:spacing w:val="-34"/>
          <w:sz w:val="20"/>
          <w:szCs w:val="20"/>
        </w:rPr>
        <w:t xml:space="preserve"> </w:t>
      </w:r>
      <w:r>
        <w:rPr>
          <w:rFonts w:ascii="微软雅黑" w:hAnsi="微软雅黑" w:eastAsia="微软雅黑" w:cs="微软雅黑"/>
          <w:color w:val="231F20"/>
          <w:spacing w:val="7"/>
          <w:sz w:val="20"/>
          <w:szCs w:val="20"/>
        </w:rPr>
        <w:t>化</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7"/>
          <w:sz w:val="20"/>
          <w:szCs w:val="20"/>
        </w:rPr>
        <w:t>向</w:t>
      </w:r>
    </w:p>
    <w:p>
      <w:pPr>
        <w:spacing w:before="144" w:line="284" w:lineRule="exact"/>
        <w:ind w:firstLine="4188"/>
      </w:pPr>
      <w:r>
        <w:rPr>
          <w:position w:val="-5"/>
        </w:rPr>
        <w:pict>
          <v:group id="_x0000_s1109" o:spid="_x0000_s1109" o:spt="203" style="height:14.25pt;width:39.6pt;" coordsize="791,285">
            <o:lock v:ext="edit"/>
            <v:group id="_x0000_s1110" o:spid="_x0000_s1110" o:spt="203" style="position:absolute;left:0;top:0;height:285;width:791;" coordsize="791,285">
              <o:lock v:ext="edit"/>
              <v:shape id="_x0000_s1111" o:spid="_x0000_s1111" style="position:absolute;left:395;top:0;height:285;width:397;" fillcolor="#C7C8CA" filled="t" stroked="f" coordsize="397,285" path="m396,284l396,0,0,0,0,284,396,284xe">
                <v:path/>
                <v:fill on="t" focussize="0,0"/>
                <v:stroke on="f"/>
                <v:imagedata o:title=""/>
                <o:lock v:ext="edit"/>
              </v:shape>
              <v:shape id="_x0000_s1112" o:spid="_x0000_s1112" style="position:absolute;left:0;top:0;height:285;width:395;" fillcolor="#231F20" filled="t" stroked="f" coordsize="395,285" path="m395,284l395,0,0,0,0,284,395,284xe">
                <v:path/>
                <v:fill on="t" focussize="0,0"/>
                <v:stroke on="f"/>
                <v:imagedata o:title=""/>
                <o:lock v:ext="edit"/>
              </v:shape>
            </v:group>
            <v:shape id="_x0000_s1113" o:spid="_x0000_s1113" o:spt="202" type="#_x0000_t202" style="position:absolute;left:-20;top:-20;height:325;width:831;" filled="f" stroked="f" coordsize="21600,21600">
              <v:path/>
              <v:fill on="f" focussize="0,0"/>
              <v:stroke on="f"/>
              <v:imagedata o:title=""/>
              <o:lock v:ext="edit" aspectratio="f"/>
              <v:textbox inset="0mm,0mm,0mm,0mm">
                <w:txbxContent>
                  <w:p>
                    <w:pPr>
                      <w:spacing w:before="93" w:line="185" w:lineRule="auto"/>
                      <w:ind w:left="126"/>
                      <w:rPr>
                        <w:rFonts w:ascii="仿宋" w:hAnsi="仿宋" w:eastAsia="仿宋" w:cs="仿宋"/>
                        <w:sz w:val="20"/>
                        <w:szCs w:val="20"/>
                      </w:rPr>
                    </w:pPr>
                    <w:r>
                      <w:rPr>
                        <w:rFonts w:ascii="仿宋" w:hAnsi="仿宋" w:eastAsia="仿宋" w:cs="仿宋"/>
                        <w:color w:val="FFFFFF"/>
                        <w:spacing w:val="-2"/>
                        <w:sz w:val="20"/>
                        <w:szCs w:val="20"/>
                      </w:rPr>
                      <w:t>51</w:t>
                    </w:r>
                  </w:p>
                </w:txbxContent>
              </v:textbox>
            </v:shape>
            <w10:wrap type="none"/>
            <w10:anchorlock/>
          </v:group>
        </w:pict>
      </w:r>
    </w:p>
    <w:p>
      <w:pPr>
        <w:spacing w:line="284" w:lineRule="exact"/>
        <w:sectPr>
          <w:type w:val="continuous"/>
          <w:pgSz w:w="10841" w:h="15421"/>
          <w:pgMar w:top="727" w:right="427" w:bottom="547" w:left="407" w:header="346" w:footer="354" w:gutter="0"/>
          <w:cols w:equalWidth="0" w:num="2">
            <w:col w:w="4963" w:space="62"/>
            <w:col w:w="4981"/>
          </w:cols>
        </w:sectPr>
      </w:pPr>
    </w:p>
    <w:p>
      <w:pPr>
        <w:spacing w:line="220" w:lineRule="exact"/>
      </w:pPr>
    </w:p>
    <w:p>
      <w:pPr>
        <w:spacing w:line="220" w:lineRule="exact"/>
        <w:sectPr>
          <w:headerReference r:id="rId108" w:type="default"/>
          <w:footerReference r:id="rId109" w:type="default"/>
          <w:pgSz w:w="10841" w:h="15421"/>
          <w:pgMar w:top="727" w:right="525" w:bottom="354" w:left="407" w:header="346" w:footer="0" w:gutter="0"/>
          <w:cols w:equalWidth="0" w:num="1">
            <w:col w:w="9907"/>
          </w:cols>
        </w:sectPr>
      </w:pPr>
    </w:p>
    <w:p>
      <w:pPr>
        <w:spacing w:before="75" w:line="184" w:lineRule="auto"/>
        <w:ind w:left="81"/>
        <w:rPr>
          <w:rFonts w:ascii="微软雅黑" w:hAnsi="微软雅黑" w:eastAsia="微软雅黑" w:cs="微软雅黑"/>
          <w:sz w:val="20"/>
          <w:szCs w:val="20"/>
        </w:rPr>
      </w:pPr>
      <w:r>
        <w:rPr>
          <w:rFonts w:ascii="微软雅黑" w:hAnsi="微软雅黑" w:eastAsia="微软雅黑" w:cs="微软雅黑"/>
          <w:color w:val="231F20"/>
          <w:sz w:val="20"/>
          <w:szCs w:val="20"/>
        </w:rPr>
        <w:t>“利益共同体</w:t>
      </w:r>
      <w:r>
        <w:rPr>
          <w:rFonts w:ascii="微软雅黑" w:hAnsi="微软雅黑" w:eastAsia="微软雅黑" w:cs="微软雅黑"/>
          <w:color w:val="231F20"/>
          <w:spacing w:val="-32"/>
          <w:sz w:val="20"/>
          <w:szCs w:val="20"/>
        </w:rPr>
        <w:t xml:space="preserve"> </w:t>
      </w:r>
      <w:r>
        <w:rPr>
          <w:rFonts w:ascii="微软雅黑" w:hAnsi="微软雅黑" w:eastAsia="微软雅黑" w:cs="微软雅黑"/>
          <w:color w:val="231F20"/>
          <w:sz w:val="20"/>
          <w:szCs w:val="20"/>
        </w:rPr>
        <w:t>”的组织文化转变。</w:t>
      </w:r>
    </w:p>
    <w:p>
      <w:pPr>
        <w:spacing w:before="42" w:line="212" w:lineRule="auto"/>
        <w:ind w:left="186" w:right="81" w:firstLine="421"/>
        <w:jc w:val="both"/>
        <w:rPr>
          <w:rFonts w:ascii="微软雅黑" w:hAnsi="微软雅黑" w:eastAsia="微软雅黑" w:cs="微软雅黑"/>
          <w:sz w:val="20"/>
          <w:szCs w:val="20"/>
        </w:rPr>
      </w:pPr>
      <w:r>
        <w:rPr>
          <w:rFonts w:ascii="宋体" w:hAnsi="宋体" w:eastAsia="宋体" w:cs="宋体"/>
          <w:color w:val="231F20"/>
          <w:spacing w:val="9"/>
          <w:sz w:val="20"/>
          <w:szCs w:val="20"/>
        </w:rPr>
        <w:t>7.</w:t>
      </w:r>
      <w:r>
        <w:rPr>
          <w:rFonts w:ascii="宋体" w:hAnsi="宋体" w:eastAsia="宋体" w:cs="宋体"/>
          <w:color w:val="231F20"/>
          <w:spacing w:val="-35"/>
          <w:sz w:val="20"/>
          <w:szCs w:val="20"/>
        </w:rPr>
        <w:t xml:space="preserve"> </w:t>
      </w:r>
      <w:r>
        <w:rPr>
          <w:rFonts w:ascii="微软雅黑" w:hAnsi="微软雅黑" w:eastAsia="微软雅黑" w:cs="微软雅黑"/>
          <w:color w:val="231F20"/>
          <w:spacing w:val="9"/>
          <w:sz w:val="20"/>
          <w:szCs w:val="20"/>
        </w:rPr>
        <w:t>质量文化是关于科学管理的文化</w:t>
      </w:r>
      <w:r>
        <w:rPr>
          <w:rFonts w:ascii="微软雅黑" w:hAnsi="微软雅黑" w:eastAsia="微软雅黑" w:cs="微软雅黑"/>
          <w:color w:val="231F20"/>
          <w:spacing w:val="-26"/>
          <w:sz w:val="20"/>
          <w:szCs w:val="20"/>
        </w:rPr>
        <w:t xml:space="preserve"> </w:t>
      </w:r>
      <w:r>
        <w:rPr>
          <w:rFonts w:ascii="微软雅黑" w:hAnsi="微软雅黑" w:eastAsia="微软雅黑" w:cs="微软雅黑"/>
          <w:color w:val="231F20"/>
          <w:spacing w:val="9"/>
          <w:sz w:val="20"/>
          <w:szCs w:val="20"/>
        </w:rPr>
        <w:t>。科学管理</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相对于传统经验管理</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。从欧洲质量文化建设经验得</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出，这种科学管理首先倡导质量保障必须基于数据</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与事实，强调质量保障是可观测，强调底线管理，通</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14"/>
          <w:sz w:val="20"/>
          <w:szCs w:val="20"/>
        </w:rPr>
        <w:t>过设定指标和测定具体数据，对教学质量进行量化</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监测</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。其次科学管理还强调质量保障的完整性和整</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体性，即围绕着人才培养，从目标定位、培养模式、教</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5"/>
          <w:sz w:val="20"/>
          <w:szCs w:val="20"/>
        </w:rPr>
        <w:t>学过程、资源支撑、结果输出建立起“全生命周期</w:t>
      </w:r>
      <w:r>
        <w:rPr>
          <w:rFonts w:ascii="微软雅黑" w:hAnsi="微软雅黑" w:eastAsia="微软雅黑" w:cs="微软雅黑"/>
          <w:color w:val="231F20"/>
          <w:spacing w:val="-31"/>
          <w:sz w:val="20"/>
          <w:szCs w:val="20"/>
        </w:rPr>
        <w:t xml:space="preserve"> </w:t>
      </w:r>
      <w:r>
        <w:rPr>
          <w:rFonts w:ascii="微软雅黑" w:hAnsi="微软雅黑" w:eastAsia="微软雅黑" w:cs="微软雅黑"/>
          <w:color w:val="231F20"/>
          <w:spacing w:val="-5"/>
          <w:sz w:val="20"/>
          <w:szCs w:val="20"/>
        </w:rPr>
        <w:t>”的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质量监控体</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。再者，科学管理体现于质量保障的可</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持续性，突出质量保障的成果导向、闭环管理和持续</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4"/>
          <w:sz w:val="20"/>
          <w:szCs w:val="20"/>
        </w:rPr>
        <w:t>改进，强调对质量保障过程的定期监测反馈、评价和</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4"/>
          <w:sz w:val="20"/>
          <w:szCs w:val="20"/>
        </w:rPr>
        <w:t>及时反馈，走好质量保障闭环的“最后一公里”，形成</w:t>
      </w:r>
      <w:r>
        <w:rPr>
          <w:rFonts w:ascii="微软雅黑" w:hAnsi="微软雅黑" w:eastAsia="微软雅黑" w:cs="微软雅黑"/>
          <w:color w:val="231F20"/>
          <w:spacing w:val="4"/>
          <w:sz w:val="20"/>
          <w:szCs w:val="20"/>
        </w:rPr>
        <w:t xml:space="preserve"> </w:t>
      </w:r>
      <w:r>
        <w:rPr>
          <w:rFonts w:ascii="微软雅黑" w:hAnsi="微软雅黑" w:eastAsia="微软雅黑" w:cs="微软雅黑"/>
          <w:color w:val="231F20"/>
          <w:spacing w:val="12"/>
          <w:sz w:val="20"/>
          <w:szCs w:val="20"/>
        </w:rPr>
        <w:t>质量保障持续改进的闭环管理</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。最后，科学管理还</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体现于质量保障的整体有效性和效率</w:t>
      </w:r>
      <w:r>
        <w:rPr>
          <w:rFonts w:ascii="微软雅黑" w:hAnsi="微软雅黑" w:eastAsia="微软雅黑" w:cs="微软雅黑"/>
          <w:color w:val="231F20"/>
          <w:spacing w:val="-15"/>
          <w:sz w:val="20"/>
          <w:szCs w:val="20"/>
        </w:rPr>
        <w:t xml:space="preserve"> </w:t>
      </w:r>
      <w:r>
        <w:rPr>
          <w:rFonts w:ascii="微软雅黑" w:hAnsi="微软雅黑" w:eastAsia="微软雅黑" w:cs="微软雅黑"/>
          <w:color w:val="231F20"/>
          <w:spacing w:val="12"/>
          <w:sz w:val="20"/>
          <w:szCs w:val="20"/>
        </w:rPr>
        <w:t>。即任何质量</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保障工具手段的使用，应以不增加质量保障系统整</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体负担为原则，强调质量保障的有效性、效率性和经</w:t>
      </w:r>
      <w:r>
        <w:rPr>
          <w:rFonts w:ascii="微软雅黑" w:hAnsi="微软雅黑" w:eastAsia="微软雅黑" w:cs="微软雅黑"/>
          <w:color w:val="231F20"/>
          <w:spacing w:val="16"/>
          <w:w w:val="101"/>
          <w:sz w:val="20"/>
          <w:szCs w:val="20"/>
        </w:rPr>
        <w:t xml:space="preserve"> </w:t>
      </w:r>
      <w:r>
        <w:rPr>
          <w:rFonts w:ascii="微软雅黑" w:hAnsi="微软雅黑" w:eastAsia="微软雅黑" w:cs="微软雅黑"/>
          <w:color w:val="231F20"/>
          <w:spacing w:val="6"/>
          <w:sz w:val="20"/>
          <w:szCs w:val="20"/>
        </w:rPr>
        <w:t>济节约性。</w:t>
      </w:r>
    </w:p>
    <w:p>
      <w:pPr>
        <w:spacing w:before="46" w:line="211" w:lineRule="auto"/>
        <w:ind w:left="187" w:firstLine="428"/>
        <w:jc w:val="both"/>
        <w:rPr>
          <w:rFonts w:ascii="微软雅黑" w:hAnsi="微软雅黑" w:eastAsia="微软雅黑" w:cs="微软雅黑"/>
          <w:sz w:val="20"/>
          <w:szCs w:val="20"/>
        </w:rPr>
      </w:pPr>
      <w:r>
        <w:rPr>
          <w:rFonts w:ascii="微软雅黑" w:hAnsi="微软雅黑" w:eastAsia="微软雅黑" w:cs="微软雅黑"/>
          <w:color w:val="231F20"/>
          <w:spacing w:val="14"/>
          <w:sz w:val="20"/>
          <w:szCs w:val="20"/>
        </w:rPr>
        <w:t>总之，质量文化多视角揭示了质量保障过程中</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价值选择的多元性，也揭示了高等教育质量保障内</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2"/>
          <w:sz w:val="20"/>
          <w:szCs w:val="20"/>
        </w:rPr>
        <w:t>涵的丰富性</w:t>
      </w:r>
      <w:r>
        <w:rPr>
          <w:rFonts w:ascii="微软雅黑" w:hAnsi="微软雅黑" w:eastAsia="微软雅黑" w:cs="微软雅黑"/>
          <w:color w:val="231F20"/>
          <w:spacing w:val="-16"/>
          <w:sz w:val="20"/>
          <w:szCs w:val="20"/>
        </w:rPr>
        <w:t xml:space="preserve"> </w:t>
      </w:r>
      <w:r>
        <w:rPr>
          <w:rFonts w:ascii="微软雅黑" w:hAnsi="微软雅黑" w:eastAsia="微软雅黑" w:cs="微软雅黑"/>
          <w:color w:val="231F20"/>
          <w:spacing w:val="12"/>
          <w:sz w:val="20"/>
          <w:szCs w:val="20"/>
        </w:rPr>
        <w:t>。但是，这种多元性并不是让高等教育</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7"/>
          <w:sz w:val="20"/>
          <w:szCs w:val="20"/>
        </w:rPr>
        <w:t>机构在质量保障过程中陷入自相矛盾的两难选择，</w:t>
      </w:r>
      <w:r>
        <w:rPr>
          <w:rFonts w:ascii="微软雅黑" w:hAnsi="微软雅黑" w:eastAsia="微软雅黑" w:cs="微软雅黑"/>
          <w:color w:val="231F20"/>
          <w:spacing w:val="15"/>
          <w:w w:val="101"/>
          <w:sz w:val="20"/>
          <w:szCs w:val="20"/>
        </w:rPr>
        <w:t xml:space="preserve"> </w:t>
      </w:r>
      <w:r>
        <w:rPr>
          <w:rFonts w:ascii="微软雅黑" w:hAnsi="微软雅黑" w:eastAsia="微软雅黑" w:cs="微软雅黑"/>
          <w:color w:val="231F20"/>
          <w:spacing w:val="14"/>
          <w:sz w:val="20"/>
          <w:szCs w:val="20"/>
        </w:rPr>
        <w:t>相反，质量文化给各高等教育提供了一种反思的工</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14"/>
          <w:sz w:val="20"/>
          <w:szCs w:val="20"/>
        </w:rPr>
        <w:t>具，这种反思使高等教育机构不仅在使用具体的质</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量保障工具时，需要充分考虑工具本身蕴含的价值、</w:t>
      </w:r>
      <w:r>
        <w:rPr>
          <w:rFonts w:ascii="微软雅黑" w:hAnsi="微软雅黑" w:eastAsia="微软雅黑" w:cs="微软雅黑"/>
          <w:color w:val="231F20"/>
          <w:spacing w:val="5"/>
          <w:sz w:val="20"/>
          <w:szCs w:val="20"/>
        </w:rPr>
        <w:t xml:space="preserve"> </w:t>
      </w:r>
      <w:r>
        <w:rPr>
          <w:rFonts w:ascii="微软雅黑" w:hAnsi="微软雅黑" w:eastAsia="微软雅黑" w:cs="微软雅黑"/>
          <w:color w:val="231F20"/>
          <w:spacing w:val="14"/>
          <w:sz w:val="20"/>
          <w:szCs w:val="20"/>
        </w:rPr>
        <w:t>适用场景和优劣，而且在高等教育机构面临着市场</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4"/>
          <w:sz w:val="20"/>
          <w:szCs w:val="20"/>
        </w:rPr>
        <w:t>与学术、学生与教师、教学与科研、问责与改进</w:t>
      </w:r>
      <w:r>
        <w:rPr>
          <w:rFonts w:ascii="微软雅黑" w:hAnsi="微软雅黑" w:eastAsia="微软雅黑" w:cs="微软雅黑"/>
          <w:color w:val="231F20"/>
          <w:spacing w:val="-5"/>
          <w:sz w:val="20"/>
          <w:szCs w:val="20"/>
        </w:rPr>
        <w:t xml:space="preserve">、集权  </w:t>
      </w:r>
      <w:r>
        <w:rPr>
          <w:rFonts w:ascii="微软雅黑" w:hAnsi="微软雅黑" w:eastAsia="微软雅黑" w:cs="微软雅黑"/>
          <w:color w:val="231F20"/>
          <w:spacing w:val="3"/>
          <w:sz w:val="20"/>
          <w:szCs w:val="20"/>
        </w:rPr>
        <w:t xml:space="preserve">与分权、学术与行政等多元价值选择过程中，重新审  </w:t>
      </w:r>
      <w:r>
        <w:rPr>
          <w:rFonts w:ascii="微软雅黑" w:hAnsi="微软雅黑" w:eastAsia="微软雅黑" w:cs="微软雅黑"/>
          <w:color w:val="231F20"/>
          <w:spacing w:val="14"/>
          <w:sz w:val="20"/>
          <w:szCs w:val="20"/>
        </w:rPr>
        <w:t>视质量保障的初衷与使命，并最终与高等教育机构</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8"/>
          <w:sz w:val="20"/>
          <w:szCs w:val="20"/>
        </w:rPr>
        <w:t>自身的战略发展目标联系起来。</w:t>
      </w:r>
    </w:p>
    <w:p>
      <w:pPr>
        <w:spacing w:before="38" w:line="208" w:lineRule="auto"/>
        <w:ind w:left="194" w:right="81" w:firstLine="330"/>
        <w:jc w:val="both"/>
        <w:rPr>
          <w:rFonts w:ascii="微软雅黑" w:hAnsi="微软雅黑" w:eastAsia="微软雅黑" w:cs="微软雅黑"/>
          <w:sz w:val="20"/>
          <w:szCs w:val="20"/>
        </w:rPr>
      </w:pPr>
      <w:r>
        <w:rPr>
          <w:rFonts w:ascii="微软雅黑" w:hAnsi="微软雅黑" w:eastAsia="微软雅黑" w:cs="微软雅黑"/>
          <w:color w:val="231F20"/>
          <w:spacing w:val="8"/>
          <w:sz w:val="20"/>
          <w:szCs w:val="20"/>
        </w:rPr>
        <w:t>（薛成龙，厦门大学教师发展中心副主任，福建</w:t>
      </w:r>
      <w:r>
        <w:rPr>
          <w:rFonts w:ascii="微软雅黑" w:hAnsi="微软雅黑" w:eastAsia="微软雅黑" w:cs="微软雅黑"/>
          <w:color w:val="231F20"/>
          <w:spacing w:val="2"/>
          <w:sz w:val="20"/>
          <w:szCs w:val="20"/>
        </w:rPr>
        <w:t xml:space="preserve"> </w:t>
      </w:r>
      <w:r>
        <w:rPr>
          <w:rFonts w:ascii="微软雅黑" w:hAnsi="微软雅黑" w:eastAsia="微软雅黑" w:cs="微软雅黑"/>
          <w:color w:val="231F20"/>
          <w:spacing w:val="3"/>
          <w:sz w:val="20"/>
          <w:szCs w:val="20"/>
        </w:rPr>
        <w:t>厦门</w:t>
      </w:r>
      <w:r>
        <w:rPr>
          <w:rFonts w:ascii="微软雅黑" w:hAnsi="微软雅黑" w:eastAsia="微软雅黑" w:cs="微软雅黑"/>
          <w:color w:val="231F20"/>
          <w:spacing w:val="17"/>
          <w:sz w:val="20"/>
          <w:szCs w:val="20"/>
        </w:rPr>
        <w:t xml:space="preserve">   </w:t>
      </w:r>
      <w:r>
        <w:rPr>
          <w:rFonts w:ascii="宋体" w:hAnsi="宋体" w:eastAsia="宋体" w:cs="宋体"/>
          <w:color w:val="231F20"/>
          <w:spacing w:val="3"/>
          <w:sz w:val="20"/>
          <w:szCs w:val="20"/>
        </w:rPr>
        <w:t>361005</w:t>
      </w:r>
      <w:r>
        <w:rPr>
          <w:rFonts w:ascii="微软雅黑" w:hAnsi="微软雅黑" w:eastAsia="微软雅黑" w:cs="微软雅黑"/>
          <w:color w:val="231F20"/>
          <w:spacing w:val="3"/>
          <w:sz w:val="20"/>
          <w:szCs w:val="20"/>
        </w:rPr>
        <w:t>；郭玉婷，厦门大学教育研究院</w:t>
      </w:r>
      <w:r>
        <w:rPr>
          <w:rFonts w:ascii="微软雅黑" w:hAnsi="微软雅黑" w:eastAsia="微软雅黑" w:cs="微软雅黑"/>
          <w:color w:val="231F20"/>
          <w:spacing w:val="2"/>
          <w:sz w:val="20"/>
          <w:szCs w:val="20"/>
        </w:rPr>
        <w:t>博士研</w:t>
      </w:r>
      <w:r>
        <w:rPr>
          <w:rFonts w:ascii="微软雅黑" w:hAnsi="微软雅黑" w:eastAsia="微软雅黑" w:cs="微软雅黑"/>
          <w:color w:val="231F20"/>
          <w:sz w:val="20"/>
          <w:szCs w:val="20"/>
        </w:rPr>
        <w:t xml:space="preserve"> </w:t>
      </w:r>
      <w:r>
        <w:rPr>
          <w:rFonts w:ascii="微软雅黑" w:hAnsi="微软雅黑" w:eastAsia="微软雅黑" w:cs="微软雅黑"/>
          <w:color w:val="231F20"/>
          <w:spacing w:val="-3"/>
          <w:sz w:val="20"/>
          <w:szCs w:val="20"/>
        </w:rPr>
        <w:t>究生，福建厦门</w:t>
      </w:r>
      <w:r>
        <w:rPr>
          <w:rFonts w:ascii="微软雅黑" w:hAnsi="微软雅黑" w:eastAsia="微软雅黑" w:cs="微软雅黑"/>
          <w:color w:val="231F20"/>
          <w:spacing w:val="18"/>
          <w:w w:val="101"/>
          <w:sz w:val="20"/>
          <w:szCs w:val="20"/>
        </w:rPr>
        <w:t xml:space="preserve">   </w:t>
      </w:r>
      <w:r>
        <w:rPr>
          <w:rFonts w:ascii="宋体" w:hAnsi="宋体" w:eastAsia="宋体" w:cs="宋体"/>
          <w:color w:val="231F20"/>
          <w:spacing w:val="-3"/>
          <w:sz w:val="20"/>
          <w:szCs w:val="20"/>
        </w:rPr>
        <w:t>361005</w:t>
      </w:r>
      <w:r>
        <w:rPr>
          <w:rFonts w:ascii="微软雅黑" w:hAnsi="微软雅黑" w:eastAsia="微软雅黑" w:cs="微软雅黑"/>
          <w:color w:val="231F20"/>
          <w:spacing w:val="-3"/>
          <w:sz w:val="20"/>
          <w:szCs w:val="20"/>
        </w:rPr>
        <w:t>）</w:t>
      </w:r>
    </w:p>
    <w:p>
      <w:pPr>
        <w:spacing w:before="294" w:line="230" w:lineRule="exact"/>
        <w:ind w:left="2189"/>
        <w:rPr>
          <w:rFonts w:ascii="黑体" w:hAnsi="黑体" w:eastAsia="黑体" w:cs="黑体"/>
          <w:sz w:val="17"/>
          <w:szCs w:val="17"/>
        </w:rPr>
      </w:pPr>
      <w:r>
        <w:rPr>
          <w:rFonts w:ascii="黑体" w:hAnsi="黑体" w:eastAsia="黑体" w:cs="黑体"/>
          <w:color w:val="231F20"/>
          <w:spacing w:val="7"/>
          <w:position w:val="1"/>
          <w:sz w:val="17"/>
          <w:szCs w:val="17"/>
        </w:rPr>
        <w:t>参考文献</w:t>
      </w:r>
    </w:p>
    <w:p>
      <w:pPr>
        <w:spacing w:before="50" w:line="213" w:lineRule="auto"/>
        <w:ind w:left="504" w:right="494" w:hanging="383"/>
        <w:rPr>
          <w:rFonts w:ascii="宋体" w:hAnsi="宋体" w:eastAsia="宋体" w:cs="宋体"/>
          <w:sz w:val="17"/>
          <w:szCs w:val="17"/>
        </w:rPr>
      </w:pPr>
      <w:r>
        <w:rPr>
          <w:rFonts w:ascii="微软雅黑" w:hAnsi="微软雅黑" w:eastAsia="微软雅黑" w:cs="微软雅黑"/>
          <w:color w:val="231F20"/>
          <w:sz w:val="17"/>
          <w:szCs w:val="17"/>
        </w:rPr>
        <w:t>［</w:t>
      </w:r>
      <w:r>
        <w:rPr>
          <w:rFonts w:ascii="宋体" w:hAnsi="宋体" w:eastAsia="宋体" w:cs="宋体"/>
          <w:color w:val="231F20"/>
          <w:sz w:val="17"/>
          <w:szCs w:val="17"/>
        </w:rPr>
        <w:t>1</w:t>
      </w:r>
      <w:r>
        <w:rPr>
          <w:rFonts w:ascii="微软雅黑" w:hAnsi="微软雅黑" w:eastAsia="微软雅黑" w:cs="微软雅黑"/>
          <w:color w:val="231F20"/>
          <w:sz w:val="17"/>
          <w:szCs w:val="17"/>
        </w:rPr>
        <w:t>］</w:t>
      </w:r>
      <w:r>
        <w:rPr>
          <w:rFonts w:ascii="宋体" w:hAnsi="宋体" w:eastAsia="宋体" w:cs="宋体"/>
          <w:color w:val="231F20"/>
          <w:sz w:val="17"/>
          <w:szCs w:val="17"/>
        </w:rPr>
        <w:t>HARVEY</w:t>
      </w:r>
      <w:r>
        <w:rPr>
          <w:rFonts w:ascii="宋体" w:hAnsi="宋体" w:eastAsia="宋体" w:cs="宋体"/>
          <w:color w:val="231F20"/>
          <w:spacing w:val="-31"/>
          <w:sz w:val="17"/>
          <w:szCs w:val="17"/>
        </w:rPr>
        <w:t xml:space="preserve"> </w:t>
      </w:r>
      <w:r>
        <w:rPr>
          <w:rFonts w:ascii="宋体" w:hAnsi="宋体" w:eastAsia="宋体" w:cs="宋体"/>
          <w:color w:val="231F20"/>
          <w:sz w:val="17"/>
          <w:szCs w:val="17"/>
        </w:rPr>
        <w:t>L,</w:t>
      </w:r>
      <w:r>
        <w:rPr>
          <w:rFonts w:ascii="宋体" w:hAnsi="宋体" w:eastAsia="宋体" w:cs="宋体"/>
          <w:color w:val="231F20"/>
          <w:spacing w:val="-31"/>
          <w:sz w:val="17"/>
          <w:szCs w:val="17"/>
        </w:rPr>
        <w:t xml:space="preserve"> </w:t>
      </w:r>
      <w:r>
        <w:rPr>
          <w:rFonts w:ascii="宋体" w:hAnsi="宋体" w:eastAsia="宋体" w:cs="宋体"/>
          <w:color w:val="231F20"/>
          <w:sz w:val="17"/>
          <w:szCs w:val="17"/>
        </w:rPr>
        <w:t>GREEN</w:t>
      </w:r>
      <w:r>
        <w:rPr>
          <w:rFonts w:ascii="宋体" w:hAnsi="宋体" w:eastAsia="宋体" w:cs="宋体"/>
          <w:color w:val="231F20"/>
          <w:spacing w:val="-31"/>
          <w:sz w:val="17"/>
          <w:szCs w:val="17"/>
        </w:rPr>
        <w:t xml:space="preserve"> </w:t>
      </w:r>
      <w:r>
        <w:rPr>
          <w:rFonts w:ascii="宋体" w:hAnsi="宋体" w:eastAsia="宋体" w:cs="宋体"/>
          <w:color w:val="231F20"/>
          <w:sz w:val="17"/>
          <w:szCs w:val="17"/>
        </w:rPr>
        <w:t>D.</w:t>
      </w:r>
      <w:r>
        <w:rPr>
          <w:rFonts w:ascii="宋体" w:hAnsi="宋体" w:eastAsia="宋体" w:cs="宋体"/>
          <w:color w:val="231F20"/>
          <w:spacing w:val="-31"/>
          <w:sz w:val="17"/>
          <w:szCs w:val="17"/>
        </w:rPr>
        <w:t xml:space="preserve"> </w:t>
      </w:r>
      <w:r>
        <w:rPr>
          <w:rFonts w:ascii="宋体" w:hAnsi="宋体" w:eastAsia="宋体" w:cs="宋体"/>
          <w:color w:val="231F20"/>
          <w:sz w:val="17"/>
          <w:szCs w:val="17"/>
        </w:rPr>
        <w:t>Defining</w:t>
      </w:r>
      <w:r>
        <w:rPr>
          <w:rFonts w:ascii="宋体" w:hAnsi="宋体" w:eastAsia="宋体" w:cs="宋体"/>
          <w:color w:val="231F20"/>
          <w:spacing w:val="-33"/>
          <w:sz w:val="17"/>
          <w:szCs w:val="17"/>
        </w:rPr>
        <w:t xml:space="preserve"> </w:t>
      </w:r>
      <w:r>
        <w:rPr>
          <w:rFonts w:ascii="宋体" w:hAnsi="宋体" w:eastAsia="宋体" w:cs="宋体"/>
          <w:color w:val="231F20"/>
          <w:sz w:val="17"/>
          <w:szCs w:val="17"/>
        </w:rPr>
        <w:t>quality,</w:t>
      </w:r>
      <w:r>
        <w:rPr>
          <w:rFonts w:ascii="宋体" w:hAnsi="宋体" w:eastAsia="宋体" w:cs="宋体"/>
          <w:color w:val="231F20"/>
          <w:spacing w:val="-33"/>
          <w:sz w:val="17"/>
          <w:szCs w:val="17"/>
        </w:rPr>
        <w:t xml:space="preserve"> </w:t>
      </w:r>
      <w:r>
        <w:rPr>
          <w:rFonts w:ascii="宋体" w:hAnsi="宋体" w:eastAsia="宋体" w:cs="宋体"/>
          <w:color w:val="231F20"/>
          <w:sz w:val="17"/>
          <w:szCs w:val="17"/>
        </w:rPr>
        <w:t>asses</w:t>
      </w:r>
      <w:r>
        <w:rPr>
          <w:rFonts w:ascii="宋体" w:hAnsi="宋体" w:eastAsia="宋体" w:cs="宋体"/>
          <w:color w:val="231F20"/>
          <w:spacing w:val="-1"/>
          <w:sz w:val="17"/>
          <w:szCs w:val="17"/>
        </w:rPr>
        <w:t>sment</w:t>
      </w:r>
      <w:r>
        <w:rPr>
          <w:rFonts w:ascii="宋体" w:hAnsi="宋体" w:eastAsia="宋体" w:cs="宋体"/>
          <w:color w:val="231F20"/>
          <w:spacing w:val="-33"/>
          <w:sz w:val="17"/>
          <w:szCs w:val="17"/>
        </w:rPr>
        <w:t xml:space="preserve"> </w:t>
      </w:r>
      <w:r>
        <w:rPr>
          <w:rFonts w:ascii="宋体" w:hAnsi="宋体" w:eastAsia="宋体" w:cs="宋体"/>
          <w:color w:val="231F20"/>
          <w:spacing w:val="-1"/>
          <w:sz w:val="17"/>
          <w:szCs w:val="17"/>
        </w:rPr>
        <w:t>&amp;</w:t>
      </w:r>
      <w:r>
        <w:rPr>
          <w:rFonts w:ascii="宋体" w:hAnsi="宋体" w:eastAsia="宋体" w:cs="宋体"/>
          <w:color w:val="231F20"/>
          <w:sz w:val="17"/>
          <w:szCs w:val="17"/>
        </w:rPr>
        <w:t xml:space="preserve"> </w:t>
      </w:r>
      <w:r>
        <w:rPr>
          <w:rFonts w:ascii="宋体" w:hAnsi="宋体" w:eastAsia="宋体" w:cs="宋体"/>
          <w:color w:val="231F20"/>
          <w:spacing w:val="-14"/>
          <w:sz w:val="17"/>
          <w:szCs w:val="17"/>
        </w:rPr>
        <w:t>evaluation</w:t>
      </w:r>
      <w:r>
        <w:rPr>
          <w:rFonts w:ascii="宋体" w:hAnsi="宋体" w:eastAsia="宋体" w:cs="宋体"/>
          <w:color w:val="231F20"/>
          <w:spacing w:val="-32"/>
          <w:sz w:val="17"/>
          <w:szCs w:val="17"/>
        </w:rPr>
        <w:t xml:space="preserve"> </w:t>
      </w:r>
      <w:r>
        <w:rPr>
          <w:rFonts w:ascii="宋体" w:hAnsi="宋体" w:eastAsia="宋体" w:cs="宋体"/>
          <w:color w:val="231F20"/>
          <w:spacing w:val="-14"/>
          <w:sz w:val="17"/>
          <w:szCs w:val="17"/>
        </w:rPr>
        <w:t>in</w:t>
      </w:r>
      <w:r>
        <w:rPr>
          <w:rFonts w:ascii="宋体" w:hAnsi="宋体" w:eastAsia="宋体" w:cs="宋体"/>
          <w:color w:val="231F20"/>
          <w:spacing w:val="-34"/>
          <w:sz w:val="17"/>
          <w:szCs w:val="17"/>
        </w:rPr>
        <w:t xml:space="preserve"> </w:t>
      </w:r>
      <w:r>
        <w:rPr>
          <w:rFonts w:ascii="宋体" w:hAnsi="宋体" w:eastAsia="宋体" w:cs="宋体"/>
          <w:color w:val="231F20"/>
          <w:spacing w:val="-14"/>
          <w:sz w:val="17"/>
          <w:szCs w:val="17"/>
        </w:rPr>
        <w:t>higher</w:t>
      </w:r>
      <w:r>
        <w:rPr>
          <w:rFonts w:ascii="宋体" w:hAnsi="宋体" w:eastAsia="宋体" w:cs="宋体"/>
          <w:color w:val="231F20"/>
          <w:spacing w:val="-34"/>
          <w:sz w:val="17"/>
          <w:szCs w:val="17"/>
        </w:rPr>
        <w:t xml:space="preserve"> </w:t>
      </w:r>
      <w:r>
        <w:rPr>
          <w:rFonts w:ascii="宋体" w:hAnsi="宋体" w:eastAsia="宋体" w:cs="宋体"/>
          <w:color w:val="231F20"/>
          <w:spacing w:val="-14"/>
          <w:sz w:val="17"/>
          <w:szCs w:val="17"/>
        </w:rPr>
        <w:t>education</w:t>
      </w:r>
      <w:r>
        <w:rPr>
          <w:rFonts w:ascii="微软雅黑" w:hAnsi="微软雅黑" w:eastAsia="微软雅黑" w:cs="微软雅黑"/>
          <w:color w:val="231F20"/>
          <w:spacing w:val="-14"/>
          <w:sz w:val="17"/>
          <w:szCs w:val="17"/>
        </w:rPr>
        <w:t>［</w:t>
      </w:r>
      <w:r>
        <w:rPr>
          <w:rFonts w:ascii="宋体" w:hAnsi="宋体" w:eastAsia="宋体" w:cs="宋体"/>
          <w:color w:val="231F20"/>
          <w:spacing w:val="-14"/>
          <w:sz w:val="17"/>
          <w:szCs w:val="17"/>
        </w:rPr>
        <w:t>J</w:t>
      </w:r>
      <w:r>
        <w:rPr>
          <w:rFonts w:ascii="微软雅黑" w:hAnsi="微软雅黑" w:eastAsia="微软雅黑" w:cs="微软雅黑"/>
          <w:color w:val="231F20"/>
          <w:spacing w:val="-14"/>
          <w:sz w:val="17"/>
          <w:szCs w:val="17"/>
        </w:rPr>
        <w:t>］</w:t>
      </w:r>
      <w:r>
        <w:rPr>
          <w:rFonts w:ascii="宋体" w:hAnsi="宋体" w:eastAsia="宋体" w:cs="宋体"/>
          <w:color w:val="231F20"/>
          <w:spacing w:val="-14"/>
          <w:sz w:val="17"/>
          <w:szCs w:val="17"/>
        </w:rPr>
        <w:t>.</w:t>
      </w:r>
      <w:r>
        <w:rPr>
          <w:rFonts w:ascii="宋体" w:hAnsi="宋体" w:eastAsia="宋体" w:cs="宋体"/>
          <w:color w:val="231F20"/>
          <w:spacing w:val="-20"/>
          <w:sz w:val="17"/>
          <w:szCs w:val="17"/>
        </w:rPr>
        <w:t xml:space="preserve"> </w:t>
      </w:r>
      <w:r>
        <w:rPr>
          <w:rFonts w:ascii="宋体" w:hAnsi="宋体" w:eastAsia="宋体" w:cs="宋体"/>
          <w:color w:val="231F20"/>
          <w:spacing w:val="-14"/>
          <w:sz w:val="17"/>
          <w:szCs w:val="17"/>
        </w:rPr>
        <w:t>1993,</w:t>
      </w:r>
      <w:r>
        <w:rPr>
          <w:rFonts w:ascii="宋体" w:hAnsi="宋体" w:eastAsia="宋体" w:cs="宋体"/>
          <w:color w:val="231F20"/>
          <w:spacing w:val="-19"/>
          <w:sz w:val="17"/>
          <w:szCs w:val="17"/>
        </w:rPr>
        <w:t xml:space="preserve"> </w:t>
      </w:r>
      <w:r>
        <w:rPr>
          <w:rFonts w:ascii="宋体" w:hAnsi="宋体" w:eastAsia="宋体" w:cs="宋体"/>
          <w:color w:val="231F20"/>
          <w:spacing w:val="-14"/>
          <w:sz w:val="17"/>
          <w:szCs w:val="17"/>
        </w:rPr>
        <w:t>18(1):</w:t>
      </w:r>
      <w:r>
        <w:rPr>
          <w:rFonts w:ascii="宋体" w:hAnsi="宋体" w:eastAsia="宋体" w:cs="宋体"/>
          <w:color w:val="231F20"/>
          <w:spacing w:val="-34"/>
          <w:sz w:val="17"/>
          <w:szCs w:val="17"/>
        </w:rPr>
        <w:t xml:space="preserve"> </w:t>
      </w:r>
      <w:r>
        <w:rPr>
          <w:rFonts w:ascii="宋体" w:hAnsi="宋体" w:eastAsia="宋体" w:cs="宋体"/>
          <w:color w:val="231F20"/>
          <w:spacing w:val="-15"/>
          <w:sz w:val="17"/>
          <w:szCs w:val="17"/>
        </w:rPr>
        <w:t>9-34.</w:t>
      </w:r>
    </w:p>
    <w:p>
      <w:pPr>
        <w:spacing w:before="35" w:line="198" w:lineRule="auto"/>
        <w:ind w:left="121"/>
        <w:rPr>
          <w:rFonts w:ascii="宋体" w:hAnsi="宋体" w:eastAsia="宋体" w:cs="宋体"/>
          <w:sz w:val="17"/>
          <w:szCs w:val="17"/>
        </w:rPr>
      </w:pPr>
      <w:r>
        <w:rPr>
          <w:rFonts w:ascii="微软雅黑" w:hAnsi="微软雅黑" w:eastAsia="微软雅黑" w:cs="微软雅黑"/>
          <w:color w:val="231F20"/>
          <w:spacing w:val="20"/>
          <w:sz w:val="17"/>
          <w:szCs w:val="17"/>
        </w:rPr>
        <w:t>［</w:t>
      </w:r>
      <w:r>
        <w:rPr>
          <w:rFonts w:ascii="宋体" w:hAnsi="宋体" w:eastAsia="宋体" w:cs="宋体"/>
          <w:color w:val="231F20"/>
          <w:spacing w:val="20"/>
          <w:sz w:val="17"/>
          <w:szCs w:val="17"/>
        </w:rPr>
        <w:t>2</w:t>
      </w:r>
      <w:r>
        <w:rPr>
          <w:rFonts w:ascii="微软雅黑" w:hAnsi="微软雅黑" w:eastAsia="微软雅黑" w:cs="微软雅黑"/>
          <w:color w:val="231F20"/>
          <w:spacing w:val="20"/>
          <w:sz w:val="17"/>
          <w:szCs w:val="17"/>
        </w:rPr>
        <w:t>］</w:t>
      </w:r>
      <w:r>
        <w:rPr>
          <w:rFonts w:ascii="宋体" w:hAnsi="宋体" w:eastAsia="宋体" w:cs="宋体"/>
          <w:color w:val="231F20"/>
          <w:sz w:val="17"/>
          <w:szCs w:val="17"/>
        </w:rPr>
        <w:t>HARVEY</w:t>
      </w:r>
      <w:r>
        <w:rPr>
          <w:rFonts w:ascii="宋体" w:hAnsi="宋体" w:eastAsia="宋体" w:cs="宋体"/>
          <w:color w:val="231F20"/>
          <w:spacing w:val="-32"/>
          <w:sz w:val="17"/>
          <w:szCs w:val="17"/>
        </w:rPr>
        <w:t xml:space="preserve"> </w:t>
      </w:r>
      <w:r>
        <w:rPr>
          <w:rFonts w:ascii="宋体" w:hAnsi="宋体" w:eastAsia="宋体" w:cs="宋体"/>
          <w:color w:val="231F20"/>
          <w:sz w:val="17"/>
          <w:szCs w:val="17"/>
        </w:rPr>
        <w:t>L</w:t>
      </w:r>
      <w:r>
        <w:rPr>
          <w:rFonts w:ascii="宋体" w:hAnsi="宋体" w:eastAsia="宋体" w:cs="宋体"/>
          <w:color w:val="231F20"/>
          <w:spacing w:val="20"/>
          <w:sz w:val="17"/>
          <w:szCs w:val="17"/>
        </w:rPr>
        <w:t>,</w:t>
      </w:r>
      <w:r>
        <w:rPr>
          <w:rFonts w:ascii="宋体" w:hAnsi="宋体" w:eastAsia="宋体" w:cs="宋体"/>
          <w:color w:val="231F20"/>
          <w:spacing w:val="-32"/>
          <w:sz w:val="17"/>
          <w:szCs w:val="17"/>
        </w:rPr>
        <w:t xml:space="preserve"> </w:t>
      </w:r>
      <w:r>
        <w:rPr>
          <w:rFonts w:ascii="宋体" w:hAnsi="宋体" w:eastAsia="宋体" w:cs="宋体"/>
          <w:color w:val="231F20"/>
          <w:sz w:val="17"/>
          <w:szCs w:val="17"/>
        </w:rPr>
        <w:t>STENSAKER</w:t>
      </w:r>
      <w:r>
        <w:rPr>
          <w:rFonts w:ascii="宋体" w:hAnsi="宋体" w:eastAsia="宋体" w:cs="宋体"/>
          <w:color w:val="231F20"/>
          <w:spacing w:val="-30"/>
          <w:sz w:val="17"/>
          <w:szCs w:val="17"/>
        </w:rPr>
        <w:t xml:space="preserve"> </w:t>
      </w:r>
      <w:r>
        <w:rPr>
          <w:rFonts w:ascii="宋体" w:hAnsi="宋体" w:eastAsia="宋体" w:cs="宋体"/>
          <w:color w:val="231F20"/>
          <w:sz w:val="17"/>
          <w:szCs w:val="17"/>
        </w:rPr>
        <w:t>B</w:t>
      </w:r>
      <w:r>
        <w:rPr>
          <w:rFonts w:ascii="宋体" w:hAnsi="宋体" w:eastAsia="宋体" w:cs="宋体"/>
          <w:color w:val="231F20"/>
          <w:spacing w:val="20"/>
          <w:sz w:val="17"/>
          <w:szCs w:val="17"/>
        </w:rPr>
        <w:t>.</w:t>
      </w:r>
      <w:r>
        <w:rPr>
          <w:rFonts w:ascii="宋体" w:hAnsi="宋体" w:eastAsia="宋体" w:cs="宋体"/>
          <w:color w:val="231F20"/>
          <w:spacing w:val="-31"/>
          <w:sz w:val="17"/>
          <w:szCs w:val="17"/>
        </w:rPr>
        <w:t xml:space="preserve"> </w:t>
      </w:r>
      <w:r>
        <w:rPr>
          <w:rFonts w:ascii="宋体" w:hAnsi="宋体" w:eastAsia="宋体" w:cs="宋体"/>
          <w:color w:val="231F20"/>
          <w:sz w:val="17"/>
          <w:szCs w:val="17"/>
        </w:rPr>
        <w:t>Quality</w:t>
      </w:r>
      <w:r>
        <w:rPr>
          <w:rFonts w:ascii="宋体" w:hAnsi="宋体" w:eastAsia="宋体" w:cs="宋体"/>
          <w:color w:val="231F20"/>
          <w:spacing w:val="-33"/>
          <w:sz w:val="17"/>
          <w:szCs w:val="17"/>
        </w:rPr>
        <w:t xml:space="preserve"> </w:t>
      </w:r>
      <w:r>
        <w:rPr>
          <w:rFonts w:ascii="宋体" w:hAnsi="宋体" w:eastAsia="宋体" w:cs="宋体"/>
          <w:color w:val="231F20"/>
          <w:sz w:val="17"/>
          <w:szCs w:val="17"/>
        </w:rPr>
        <w:t>culture</w:t>
      </w:r>
      <w:r>
        <w:rPr>
          <w:rFonts w:ascii="宋体" w:hAnsi="宋体" w:eastAsia="宋体" w:cs="宋体"/>
          <w:color w:val="231F20"/>
          <w:spacing w:val="20"/>
          <w:sz w:val="17"/>
          <w:szCs w:val="17"/>
        </w:rPr>
        <w:t>:</w:t>
      </w:r>
    </w:p>
    <w:p>
      <w:pPr>
        <w:spacing w:before="6" w:line="246" w:lineRule="auto"/>
        <w:ind w:left="499" w:right="573" w:firstLine="3"/>
        <w:rPr>
          <w:rFonts w:ascii="宋体" w:hAnsi="宋体" w:eastAsia="宋体" w:cs="宋体"/>
          <w:sz w:val="17"/>
          <w:szCs w:val="17"/>
        </w:rPr>
      </w:pPr>
      <w:r>
        <w:rPr>
          <w:rFonts w:ascii="宋体" w:hAnsi="宋体" w:eastAsia="宋体" w:cs="宋体"/>
          <w:color w:val="231F20"/>
          <w:spacing w:val="-11"/>
          <w:sz w:val="17"/>
          <w:szCs w:val="17"/>
        </w:rPr>
        <w:t>understandings,</w:t>
      </w:r>
      <w:r>
        <w:rPr>
          <w:rFonts w:ascii="宋体" w:hAnsi="宋体" w:eastAsia="宋体" w:cs="宋体"/>
          <w:color w:val="231F20"/>
          <w:spacing w:val="-35"/>
          <w:sz w:val="17"/>
          <w:szCs w:val="17"/>
        </w:rPr>
        <w:t xml:space="preserve"> </w:t>
      </w:r>
      <w:r>
        <w:rPr>
          <w:rFonts w:ascii="宋体" w:hAnsi="宋体" w:eastAsia="宋体" w:cs="宋体"/>
          <w:color w:val="231F20"/>
          <w:spacing w:val="-11"/>
          <w:sz w:val="17"/>
          <w:szCs w:val="17"/>
        </w:rPr>
        <w:t>boundar</w:t>
      </w:r>
      <w:r>
        <w:rPr>
          <w:rFonts w:ascii="宋体" w:hAnsi="宋体" w:eastAsia="宋体" w:cs="宋体"/>
          <w:color w:val="231F20"/>
          <w:spacing w:val="-12"/>
          <w:sz w:val="17"/>
          <w:szCs w:val="17"/>
        </w:rPr>
        <w:t>ies</w:t>
      </w:r>
      <w:r>
        <w:rPr>
          <w:rFonts w:ascii="宋体" w:hAnsi="宋体" w:eastAsia="宋体" w:cs="宋体"/>
          <w:color w:val="231F20"/>
          <w:spacing w:val="-32"/>
          <w:sz w:val="17"/>
          <w:szCs w:val="17"/>
        </w:rPr>
        <w:t xml:space="preserve"> </w:t>
      </w:r>
      <w:r>
        <w:rPr>
          <w:rFonts w:ascii="宋体" w:hAnsi="宋体" w:eastAsia="宋体" w:cs="宋体"/>
          <w:color w:val="231F20"/>
          <w:spacing w:val="-12"/>
          <w:sz w:val="17"/>
          <w:szCs w:val="17"/>
        </w:rPr>
        <w:t>and</w:t>
      </w:r>
      <w:r>
        <w:rPr>
          <w:rFonts w:ascii="宋体" w:hAnsi="宋体" w:eastAsia="宋体" w:cs="宋体"/>
          <w:color w:val="231F20"/>
          <w:spacing w:val="-35"/>
          <w:sz w:val="17"/>
          <w:szCs w:val="17"/>
        </w:rPr>
        <w:t xml:space="preserve"> </w:t>
      </w:r>
      <w:r>
        <w:rPr>
          <w:rFonts w:ascii="宋体" w:hAnsi="宋体" w:eastAsia="宋体" w:cs="宋体"/>
          <w:color w:val="231F20"/>
          <w:spacing w:val="-12"/>
          <w:sz w:val="17"/>
          <w:szCs w:val="17"/>
        </w:rPr>
        <w:t>linkages</w:t>
      </w:r>
      <w:r>
        <w:rPr>
          <w:rFonts w:ascii="微软雅黑" w:hAnsi="微软雅黑" w:eastAsia="微软雅黑" w:cs="微软雅黑"/>
          <w:color w:val="231F20"/>
          <w:spacing w:val="-12"/>
          <w:sz w:val="17"/>
          <w:szCs w:val="17"/>
        </w:rPr>
        <w:t>［</w:t>
      </w:r>
      <w:r>
        <w:rPr>
          <w:rFonts w:ascii="宋体" w:hAnsi="宋体" w:eastAsia="宋体" w:cs="宋体"/>
          <w:color w:val="231F20"/>
          <w:spacing w:val="-12"/>
          <w:sz w:val="17"/>
          <w:szCs w:val="17"/>
        </w:rPr>
        <w:t>J</w:t>
      </w:r>
      <w:r>
        <w:rPr>
          <w:rFonts w:ascii="微软雅黑" w:hAnsi="微软雅黑" w:eastAsia="微软雅黑" w:cs="微软雅黑"/>
          <w:color w:val="231F20"/>
          <w:spacing w:val="-12"/>
          <w:sz w:val="17"/>
          <w:szCs w:val="17"/>
        </w:rPr>
        <w:t>］</w:t>
      </w:r>
      <w:r>
        <w:rPr>
          <w:rFonts w:ascii="宋体" w:hAnsi="宋体" w:eastAsia="宋体" w:cs="宋体"/>
          <w:color w:val="231F20"/>
          <w:spacing w:val="-12"/>
          <w:sz w:val="17"/>
          <w:szCs w:val="17"/>
        </w:rPr>
        <w:t>.</w:t>
      </w:r>
      <w:r>
        <w:rPr>
          <w:rFonts w:ascii="宋体" w:hAnsi="宋体" w:eastAsia="宋体" w:cs="宋体"/>
          <w:color w:val="231F20"/>
          <w:spacing w:val="-34"/>
          <w:sz w:val="17"/>
          <w:szCs w:val="17"/>
        </w:rPr>
        <w:t xml:space="preserve"> </w:t>
      </w:r>
      <w:r>
        <w:rPr>
          <w:rFonts w:ascii="宋体" w:hAnsi="宋体" w:eastAsia="宋体" w:cs="宋体"/>
          <w:color w:val="231F20"/>
          <w:spacing w:val="-12"/>
          <w:sz w:val="17"/>
          <w:szCs w:val="17"/>
        </w:rPr>
        <w:t>European</w:t>
      </w:r>
      <w:r>
        <w:rPr>
          <w:rFonts w:ascii="宋体" w:hAnsi="宋体" w:eastAsia="宋体" w:cs="宋体"/>
          <w:color w:val="231F20"/>
          <w:sz w:val="17"/>
          <w:szCs w:val="17"/>
        </w:rPr>
        <w:t xml:space="preserve"> </w:t>
      </w:r>
      <w:r>
        <w:rPr>
          <w:rFonts w:ascii="宋体" w:hAnsi="宋体" w:eastAsia="宋体" w:cs="宋体"/>
          <w:color w:val="231F20"/>
          <w:spacing w:val="-8"/>
          <w:sz w:val="17"/>
          <w:szCs w:val="17"/>
        </w:rPr>
        <w:t>Journal</w:t>
      </w:r>
      <w:r>
        <w:rPr>
          <w:rFonts w:ascii="宋体" w:hAnsi="宋体" w:eastAsia="宋体" w:cs="宋体"/>
          <w:color w:val="231F20"/>
          <w:spacing w:val="-20"/>
          <w:sz w:val="17"/>
          <w:szCs w:val="17"/>
        </w:rPr>
        <w:t xml:space="preserve"> </w:t>
      </w:r>
      <w:r>
        <w:rPr>
          <w:rFonts w:ascii="宋体" w:hAnsi="宋体" w:eastAsia="宋体" w:cs="宋体"/>
          <w:color w:val="231F20"/>
          <w:spacing w:val="-8"/>
          <w:sz w:val="17"/>
          <w:szCs w:val="17"/>
        </w:rPr>
        <w:t>of</w:t>
      </w:r>
      <w:r>
        <w:rPr>
          <w:rFonts w:ascii="宋体" w:hAnsi="宋体" w:eastAsia="宋体" w:cs="宋体"/>
          <w:color w:val="231F20"/>
          <w:spacing w:val="-44"/>
          <w:sz w:val="17"/>
          <w:szCs w:val="17"/>
        </w:rPr>
        <w:t xml:space="preserve"> </w:t>
      </w:r>
      <w:r>
        <w:rPr>
          <w:rFonts w:ascii="宋体" w:hAnsi="宋体" w:eastAsia="宋体" w:cs="宋体"/>
          <w:color w:val="231F20"/>
          <w:spacing w:val="-8"/>
          <w:sz w:val="17"/>
          <w:szCs w:val="17"/>
        </w:rPr>
        <w:t>Education,</w:t>
      </w:r>
      <w:r>
        <w:rPr>
          <w:rFonts w:ascii="宋体" w:hAnsi="宋体" w:eastAsia="宋体" w:cs="宋体"/>
          <w:color w:val="231F20"/>
          <w:spacing w:val="-34"/>
          <w:sz w:val="17"/>
          <w:szCs w:val="17"/>
        </w:rPr>
        <w:t xml:space="preserve"> </w:t>
      </w:r>
      <w:r>
        <w:rPr>
          <w:rFonts w:ascii="宋体" w:hAnsi="宋体" w:eastAsia="宋体" w:cs="宋体"/>
          <w:color w:val="231F20"/>
          <w:spacing w:val="-8"/>
          <w:sz w:val="17"/>
          <w:szCs w:val="17"/>
        </w:rPr>
        <w:t>2008,</w:t>
      </w:r>
      <w:r>
        <w:rPr>
          <w:rFonts w:ascii="宋体" w:hAnsi="宋体" w:eastAsia="宋体" w:cs="宋体"/>
          <w:color w:val="231F20"/>
          <w:spacing w:val="-37"/>
          <w:sz w:val="17"/>
          <w:szCs w:val="17"/>
        </w:rPr>
        <w:t xml:space="preserve"> </w:t>
      </w:r>
      <w:r>
        <w:rPr>
          <w:rFonts w:ascii="宋体" w:hAnsi="宋体" w:eastAsia="宋体" w:cs="宋体"/>
          <w:color w:val="231F20"/>
          <w:spacing w:val="-8"/>
          <w:sz w:val="17"/>
          <w:szCs w:val="17"/>
        </w:rPr>
        <w:t>43(4):</w:t>
      </w:r>
      <w:r>
        <w:rPr>
          <w:rFonts w:ascii="宋体" w:hAnsi="宋体" w:eastAsia="宋体" w:cs="宋体"/>
          <w:color w:val="231F20"/>
          <w:spacing w:val="-37"/>
          <w:sz w:val="17"/>
          <w:szCs w:val="17"/>
        </w:rPr>
        <w:t xml:space="preserve"> </w:t>
      </w:r>
      <w:r>
        <w:rPr>
          <w:rFonts w:ascii="宋体" w:hAnsi="宋体" w:eastAsia="宋体" w:cs="宋体"/>
          <w:color w:val="231F20"/>
          <w:spacing w:val="-8"/>
          <w:sz w:val="17"/>
          <w:szCs w:val="17"/>
        </w:rPr>
        <w:t>427-442.</w:t>
      </w:r>
    </w:p>
    <w:p>
      <w:pPr>
        <w:spacing w:before="26" w:line="225" w:lineRule="auto"/>
        <w:ind w:left="435" w:right="267" w:hanging="314"/>
        <w:rPr>
          <w:rFonts w:ascii="宋体" w:hAnsi="宋体" w:eastAsia="宋体" w:cs="宋体"/>
          <w:sz w:val="17"/>
          <w:szCs w:val="17"/>
        </w:rPr>
      </w:pPr>
      <w:r>
        <w:rPr>
          <w:rFonts w:ascii="微软雅黑" w:hAnsi="微软雅黑" w:eastAsia="微软雅黑" w:cs="微软雅黑"/>
          <w:color w:val="231F20"/>
          <w:spacing w:val="-6"/>
          <w:sz w:val="17"/>
          <w:szCs w:val="17"/>
        </w:rPr>
        <w:t>［</w:t>
      </w:r>
      <w:r>
        <w:rPr>
          <w:rFonts w:ascii="宋体" w:hAnsi="宋体" w:eastAsia="宋体" w:cs="宋体"/>
          <w:color w:val="231F20"/>
          <w:spacing w:val="-6"/>
          <w:sz w:val="17"/>
          <w:szCs w:val="17"/>
        </w:rPr>
        <w:t>3</w:t>
      </w:r>
      <w:r>
        <w:rPr>
          <w:rFonts w:ascii="微软雅黑" w:hAnsi="微软雅黑" w:eastAsia="微软雅黑" w:cs="微软雅黑"/>
          <w:color w:val="231F20"/>
          <w:spacing w:val="-6"/>
          <w:sz w:val="17"/>
          <w:szCs w:val="17"/>
        </w:rPr>
        <w:t>］</w:t>
      </w:r>
      <w:r>
        <w:rPr>
          <w:rFonts w:ascii="宋体" w:hAnsi="宋体" w:eastAsia="宋体" w:cs="宋体"/>
          <w:color w:val="231F20"/>
          <w:spacing w:val="-6"/>
          <w:sz w:val="17"/>
          <w:szCs w:val="17"/>
        </w:rPr>
        <w:t>UNESCO.</w:t>
      </w:r>
      <w:r>
        <w:rPr>
          <w:rFonts w:ascii="宋体" w:hAnsi="宋体" w:eastAsia="宋体" w:cs="宋体"/>
          <w:color w:val="231F20"/>
          <w:spacing w:val="-13"/>
          <w:sz w:val="17"/>
          <w:szCs w:val="17"/>
        </w:rPr>
        <w:t xml:space="preserve"> </w:t>
      </w:r>
      <w:r>
        <w:rPr>
          <w:rFonts w:ascii="宋体" w:hAnsi="宋体" w:eastAsia="宋体" w:cs="宋体"/>
          <w:color w:val="231F20"/>
          <w:spacing w:val="-6"/>
          <w:sz w:val="17"/>
          <w:szCs w:val="17"/>
        </w:rPr>
        <w:t>Higher</w:t>
      </w:r>
      <w:r>
        <w:rPr>
          <w:rFonts w:ascii="宋体" w:hAnsi="宋体" w:eastAsia="宋体" w:cs="宋体"/>
          <w:color w:val="231F20"/>
          <w:spacing w:val="-35"/>
          <w:sz w:val="17"/>
          <w:szCs w:val="17"/>
        </w:rPr>
        <w:t xml:space="preserve"> </w:t>
      </w:r>
      <w:r>
        <w:rPr>
          <w:rFonts w:ascii="宋体" w:hAnsi="宋体" w:eastAsia="宋体" w:cs="宋体"/>
          <w:color w:val="231F20"/>
          <w:spacing w:val="-6"/>
          <w:sz w:val="17"/>
          <w:szCs w:val="17"/>
        </w:rPr>
        <w:t>education</w:t>
      </w:r>
      <w:r>
        <w:rPr>
          <w:rFonts w:ascii="宋体" w:hAnsi="宋体" w:eastAsia="宋体" w:cs="宋体"/>
          <w:color w:val="231F20"/>
          <w:spacing w:val="-32"/>
          <w:sz w:val="17"/>
          <w:szCs w:val="17"/>
        </w:rPr>
        <w:t xml:space="preserve"> </w:t>
      </w:r>
      <w:r>
        <w:rPr>
          <w:rFonts w:ascii="宋体" w:hAnsi="宋体" w:eastAsia="宋体" w:cs="宋体"/>
          <w:color w:val="231F20"/>
          <w:spacing w:val="-6"/>
          <w:sz w:val="17"/>
          <w:szCs w:val="17"/>
        </w:rPr>
        <w:t>and</w:t>
      </w:r>
      <w:r>
        <w:rPr>
          <w:rFonts w:ascii="宋体" w:hAnsi="宋体" w:eastAsia="宋体" w:cs="宋体"/>
          <w:color w:val="231F20"/>
          <w:spacing w:val="-34"/>
          <w:sz w:val="17"/>
          <w:szCs w:val="17"/>
        </w:rPr>
        <w:t xml:space="preserve"> </w:t>
      </w:r>
      <w:r>
        <w:rPr>
          <w:rFonts w:ascii="宋体" w:hAnsi="宋体" w:eastAsia="宋体" w:cs="宋体"/>
          <w:color w:val="231F20"/>
          <w:spacing w:val="-6"/>
          <w:sz w:val="17"/>
          <w:szCs w:val="17"/>
        </w:rPr>
        <w:t>research:</w:t>
      </w:r>
      <w:r>
        <w:rPr>
          <w:rFonts w:ascii="宋体" w:hAnsi="宋体" w:eastAsia="宋体" w:cs="宋体"/>
          <w:color w:val="231F20"/>
          <w:spacing w:val="-34"/>
          <w:sz w:val="17"/>
          <w:szCs w:val="17"/>
        </w:rPr>
        <w:t xml:space="preserve"> </w:t>
      </w:r>
      <w:r>
        <w:rPr>
          <w:rFonts w:ascii="宋体" w:hAnsi="宋体" w:eastAsia="宋体" w:cs="宋体"/>
          <w:color w:val="231F20"/>
          <w:spacing w:val="-6"/>
          <w:sz w:val="17"/>
          <w:szCs w:val="17"/>
        </w:rPr>
        <w:t>challenges</w:t>
      </w:r>
      <w:r>
        <w:rPr>
          <w:rFonts w:ascii="宋体" w:hAnsi="宋体" w:eastAsia="宋体" w:cs="宋体"/>
          <w:color w:val="231F20"/>
          <w:spacing w:val="-32"/>
          <w:sz w:val="17"/>
          <w:szCs w:val="17"/>
        </w:rPr>
        <w:t xml:space="preserve"> </w:t>
      </w:r>
      <w:r>
        <w:rPr>
          <w:rFonts w:ascii="宋体" w:hAnsi="宋体" w:eastAsia="宋体" w:cs="宋体"/>
          <w:color w:val="231F20"/>
          <w:spacing w:val="-6"/>
          <w:sz w:val="17"/>
          <w:szCs w:val="17"/>
        </w:rPr>
        <w:t xml:space="preserve">and  </w:t>
      </w:r>
      <w:r>
        <w:rPr>
          <w:rFonts w:ascii="宋体" w:hAnsi="宋体" w:eastAsia="宋体" w:cs="宋体"/>
          <w:color w:val="231F20"/>
          <w:spacing w:val="-10"/>
          <w:sz w:val="17"/>
          <w:szCs w:val="17"/>
        </w:rPr>
        <w:t>opportunities;</w:t>
      </w:r>
      <w:r>
        <w:rPr>
          <w:rFonts w:ascii="宋体" w:hAnsi="宋体" w:eastAsia="宋体" w:cs="宋体"/>
          <w:color w:val="231F20"/>
          <w:spacing w:val="-36"/>
          <w:sz w:val="17"/>
          <w:szCs w:val="17"/>
        </w:rPr>
        <w:t xml:space="preserve"> </w:t>
      </w:r>
      <w:r>
        <w:rPr>
          <w:rFonts w:ascii="宋体" w:hAnsi="宋体" w:eastAsia="宋体" w:cs="宋体"/>
          <w:color w:val="231F20"/>
          <w:spacing w:val="-10"/>
          <w:sz w:val="17"/>
          <w:szCs w:val="17"/>
        </w:rPr>
        <w:t>thematic</w:t>
      </w:r>
      <w:r>
        <w:rPr>
          <w:rFonts w:ascii="宋体" w:hAnsi="宋体" w:eastAsia="宋体" w:cs="宋体"/>
          <w:color w:val="231F20"/>
          <w:spacing w:val="-32"/>
          <w:sz w:val="17"/>
          <w:szCs w:val="17"/>
        </w:rPr>
        <w:t xml:space="preserve"> </w:t>
      </w:r>
      <w:r>
        <w:rPr>
          <w:rFonts w:ascii="宋体" w:hAnsi="宋体" w:eastAsia="宋体" w:cs="宋体"/>
          <w:color w:val="231F20"/>
          <w:spacing w:val="-10"/>
          <w:sz w:val="17"/>
          <w:szCs w:val="17"/>
        </w:rPr>
        <w:t>debate,</w:t>
      </w:r>
      <w:r>
        <w:rPr>
          <w:rFonts w:ascii="宋体" w:hAnsi="宋体" w:eastAsia="宋体" w:cs="宋体"/>
          <w:color w:val="231F20"/>
          <w:spacing w:val="-34"/>
          <w:sz w:val="17"/>
          <w:szCs w:val="17"/>
        </w:rPr>
        <w:t xml:space="preserve"> </w:t>
      </w:r>
      <w:r>
        <w:rPr>
          <w:rFonts w:ascii="宋体" w:hAnsi="宋体" w:eastAsia="宋体" w:cs="宋体"/>
          <w:color w:val="231F20"/>
          <w:spacing w:val="-10"/>
          <w:sz w:val="17"/>
          <w:szCs w:val="17"/>
        </w:rPr>
        <w:t>eorking</w:t>
      </w:r>
      <w:r>
        <w:rPr>
          <w:rFonts w:ascii="宋体" w:hAnsi="宋体" w:eastAsia="宋体" w:cs="宋体"/>
          <w:color w:val="231F20"/>
          <w:spacing w:val="-32"/>
          <w:sz w:val="17"/>
          <w:szCs w:val="17"/>
        </w:rPr>
        <w:t xml:space="preserve"> </w:t>
      </w:r>
      <w:r>
        <w:rPr>
          <w:rFonts w:ascii="宋体" w:hAnsi="宋体" w:eastAsia="宋体" w:cs="宋体"/>
          <w:color w:val="231F20"/>
          <w:spacing w:val="-10"/>
          <w:sz w:val="17"/>
          <w:szCs w:val="17"/>
        </w:rPr>
        <w:t>document</w:t>
      </w:r>
      <w:r>
        <w:rPr>
          <w:rFonts w:ascii="微软雅黑" w:hAnsi="微软雅黑" w:eastAsia="微软雅黑" w:cs="微软雅黑"/>
          <w:color w:val="231F20"/>
          <w:spacing w:val="-10"/>
          <w:sz w:val="17"/>
          <w:szCs w:val="17"/>
        </w:rPr>
        <w:t>［</w:t>
      </w:r>
      <w:r>
        <w:rPr>
          <w:rFonts w:ascii="宋体" w:hAnsi="宋体" w:eastAsia="宋体" w:cs="宋体"/>
          <w:color w:val="231F20"/>
          <w:spacing w:val="-10"/>
          <w:sz w:val="17"/>
          <w:szCs w:val="17"/>
        </w:rPr>
        <w:t>EB/O</w:t>
      </w:r>
      <w:r>
        <w:rPr>
          <w:rFonts w:ascii="宋体" w:hAnsi="宋体" w:eastAsia="宋体" w:cs="宋体"/>
          <w:color w:val="231F20"/>
          <w:spacing w:val="-11"/>
          <w:sz w:val="17"/>
          <w:szCs w:val="17"/>
        </w:rPr>
        <w:t>L</w:t>
      </w:r>
      <w:r>
        <w:rPr>
          <w:rFonts w:ascii="微软雅黑" w:hAnsi="微软雅黑" w:eastAsia="微软雅黑" w:cs="微软雅黑"/>
          <w:color w:val="231F20"/>
          <w:spacing w:val="-11"/>
          <w:sz w:val="17"/>
          <w:szCs w:val="17"/>
        </w:rPr>
        <w:t>］</w:t>
      </w:r>
      <w:r>
        <w:rPr>
          <w:rFonts w:ascii="宋体" w:hAnsi="宋体" w:eastAsia="宋体" w:cs="宋体"/>
          <w:color w:val="231F20"/>
          <w:spacing w:val="-11"/>
          <w:sz w:val="17"/>
          <w:szCs w:val="17"/>
        </w:rPr>
        <w:t>.</w:t>
      </w:r>
      <w:r>
        <w:rPr>
          <w:rFonts w:ascii="宋体" w:hAnsi="宋体" w:eastAsia="宋体" w:cs="宋体"/>
          <w:color w:val="231F20"/>
          <w:sz w:val="17"/>
          <w:szCs w:val="17"/>
        </w:rPr>
        <w:t xml:space="preserve"> </w:t>
      </w:r>
      <w:r>
        <w:rPr>
          <w:rFonts w:ascii="微软雅黑" w:hAnsi="微软雅黑" w:eastAsia="微软雅黑" w:cs="微软雅黑"/>
          <w:color w:val="231F20"/>
          <w:spacing w:val="-10"/>
          <w:sz w:val="17"/>
          <w:szCs w:val="17"/>
        </w:rPr>
        <w:t>［</w:t>
      </w:r>
      <w:r>
        <w:rPr>
          <w:rFonts w:ascii="宋体" w:hAnsi="宋体" w:eastAsia="宋体" w:cs="宋体"/>
          <w:color w:val="231F20"/>
          <w:spacing w:val="-10"/>
          <w:sz w:val="17"/>
          <w:szCs w:val="17"/>
        </w:rPr>
        <w:t>2022-05-06</w:t>
      </w:r>
      <w:r>
        <w:rPr>
          <w:rFonts w:ascii="微软雅黑" w:hAnsi="微软雅黑" w:eastAsia="微软雅黑" w:cs="微软雅黑"/>
          <w:color w:val="231F20"/>
          <w:spacing w:val="-10"/>
          <w:sz w:val="17"/>
          <w:szCs w:val="17"/>
        </w:rPr>
        <w:t>］</w:t>
      </w:r>
      <w:r>
        <w:rPr>
          <w:rFonts w:ascii="宋体" w:hAnsi="宋体" w:eastAsia="宋体" w:cs="宋体"/>
          <w:color w:val="231F20"/>
          <w:spacing w:val="-10"/>
          <w:sz w:val="17"/>
          <w:szCs w:val="17"/>
        </w:rPr>
        <w:t>.</w:t>
      </w:r>
      <w:r>
        <w:fldChar w:fldCharType="begin"/>
      </w:r>
      <w:r>
        <w:instrText xml:space="preserve"> HYPERLINK "https://unesdoc.unesco.org/ark:/48223/" </w:instrText>
      </w:r>
      <w:r>
        <w:fldChar w:fldCharType="separate"/>
      </w:r>
      <w:r>
        <w:rPr>
          <w:rFonts w:ascii="宋体" w:hAnsi="宋体" w:eastAsia="宋体" w:cs="宋体"/>
          <w:color w:val="231F20"/>
          <w:spacing w:val="-10"/>
          <w:sz w:val="17"/>
          <w:szCs w:val="17"/>
        </w:rPr>
        <w:t>https://unesdoc.unesco.org/a</w:t>
      </w:r>
      <w:r>
        <w:rPr>
          <w:rFonts w:ascii="宋体" w:hAnsi="宋体" w:eastAsia="宋体" w:cs="宋体"/>
          <w:color w:val="231F20"/>
          <w:spacing w:val="-11"/>
          <w:sz w:val="17"/>
          <w:szCs w:val="17"/>
        </w:rPr>
        <w:t>rk:/48223/</w:t>
      </w:r>
      <w:r>
        <w:rPr>
          <w:rFonts w:ascii="宋体" w:hAnsi="宋体" w:eastAsia="宋体" w:cs="宋体"/>
          <w:color w:val="231F20"/>
          <w:spacing w:val="-11"/>
          <w:sz w:val="17"/>
          <w:szCs w:val="17"/>
        </w:rPr>
        <w:fldChar w:fldCharType="end"/>
      </w:r>
    </w:p>
    <w:p>
      <w:pPr>
        <w:spacing w:before="6"/>
        <w:ind w:left="502"/>
        <w:rPr>
          <w:rFonts w:ascii="宋体" w:hAnsi="宋体" w:eastAsia="宋体" w:cs="宋体"/>
          <w:sz w:val="17"/>
          <w:szCs w:val="17"/>
        </w:rPr>
      </w:pPr>
      <w:r>
        <w:rPr>
          <w:rFonts w:ascii="宋体" w:hAnsi="宋体" w:eastAsia="宋体" w:cs="宋体"/>
          <w:color w:val="231F20"/>
          <w:sz w:val="17"/>
          <w:szCs w:val="17"/>
        </w:rPr>
        <w:t>pf</w:t>
      </w:r>
      <w:r>
        <w:rPr>
          <w:rFonts w:ascii="宋体" w:hAnsi="宋体" w:eastAsia="宋体" w:cs="宋体"/>
          <w:color w:val="231F20"/>
          <w:spacing w:val="8"/>
          <w:sz w:val="17"/>
          <w:szCs w:val="17"/>
        </w:rPr>
        <w:t>0000141964?1=</w:t>
      </w:r>
      <w:r>
        <w:rPr>
          <w:rFonts w:ascii="宋体" w:hAnsi="宋体" w:eastAsia="宋体" w:cs="宋体"/>
          <w:color w:val="231F20"/>
          <w:sz w:val="17"/>
          <w:szCs w:val="17"/>
        </w:rPr>
        <w:t>null</w:t>
      </w:r>
      <w:r>
        <w:rPr>
          <w:rFonts w:ascii="宋体" w:hAnsi="宋体" w:eastAsia="宋体" w:cs="宋体"/>
          <w:color w:val="231F20"/>
          <w:spacing w:val="8"/>
          <w:sz w:val="17"/>
          <w:szCs w:val="17"/>
        </w:rPr>
        <w:t>&amp;</w:t>
      </w:r>
      <w:r>
        <w:rPr>
          <w:rFonts w:ascii="宋体" w:hAnsi="宋体" w:eastAsia="宋体" w:cs="宋体"/>
          <w:color w:val="231F20"/>
          <w:sz w:val="17"/>
          <w:szCs w:val="17"/>
        </w:rPr>
        <w:t>queryId</w:t>
      </w:r>
      <w:r>
        <w:rPr>
          <w:rFonts w:ascii="宋体" w:hAnsi="宋体" w:eastAsia="宋体" w:cs="宋体"/>
          <w:color w:val="231F20"/>
          <w:spacing w:val="8"/>
          <w:sz w:val="17"/>
          <w:szCs w:val="17"/>
        </w:rPr>
        <w:t>=N-</w:t>
      </w:r>
      <w:r>
        <w:rPr>
          <w:rFonts w:ascii="宋体" w:hAnsi="宋体" w:eastAsia="宋体" w:cs="宋体"/>
          <w:color w:val="231F20"/>
          <w:sz w:val="17"/>
          <w:szCs w:val="17"/>
        </w:rPr>
        <w:t>EXPLORE</w:t>
      </w:r>
      <w:r>
        <w:rPr>
          <w:rFonts w:ascii="宋体" w:hAnsi="宋体" w:eastAsia="宋体" w:cs="宋体"/>
          <w:color w:val="231F20"/>
          <w:spacing w:val="8"/>
          <w:sz w:val="17"/>
          <w:szCs w:val="17"/>
        </w:rPr>
        <w:t>-b3f9a75b-</w:t>
      </w:r>
    </w:p>
    <w:p>
      <w:pPr>
        <w:spacing w:line="14" w:lineRule="auto"/>
        <w:rPr>
          <w:rFonts w:ascii="Arial"/>
          <w:sz w:val="2"/>
        </w:rPr>
      </w:pPr>
      <w:r>
        <w:rPr>
          <w:rFonts w:ascii="Arial" w:hAnsi="Arial" w:eastAsia="Arial" w:cs="Arial"/>
          <w:sz w:val="2"/>
          <w:szCs w:val="2"/>
        </w:rPr>
        <w:br w:type="column"/>
      </w:r>
    </w:p>
    <w:p>
      <w:pPr>
        <w:spacing w:before="42" w:line="271" w:lineRule="exact"/>
        <w:ind w:left="387"/>
        <w:rPr>
          <w:rFonts w:ascii="宋体" w:hAnsi="宋体" w:eastAsia="宋体" w:cs="宋体"/>
          <w:sz w:val="17"/>
          <w:szCs w:val="17"/>
        </w:rPr>
      </w:pPr>
      <w:r>
        <w:rPr>
          <w:rFonts w:ascii="宋体" w:hAnsi="宋体" w:eastAsia="宋体" w:cs="宋体"/>
          <w:color w:val="231F20"/>
          <w:spacing w:val="3"/>
          <w:position w:val="2"/>
          <w:sz w:val="17"/>
          <w:szCs w:val="17"/>
        </w:rPr>
        <w:t>89c9-4d8a-</w:t>
      </w:r>
      <w:r>
        <w:rPr>
          <w:rFonts w:ascii="宋体" w:hAnsi="宋体" w:eastAsia="宋体" w:cs="宋体"/>
          <w:color w:val="231F20"/>
          <w:position w:val="2"/>
          <w:sz w:val="17"/>
          <w:szCs w:val="17"/>
        </w:rPr>
        <w:t>bca</w:t>
      </w:r>
      <w:r>
        <w:rPr>
          <w:rFonts w:ascii="宋体" w:hAnsi="宋体" w:eastAsia="宋体" w:cs="宋体"/>
          <w:color w:val="231F20"/>
          <w:spacing w:val="3"/>
          <w:position w:val="2"/>
          <w:sz w:val="17"/>
          <w:szCs w:val="17"/>
        </w:rPr>
        <w:t>8-</w:t>
      </w:r>
      <w:r>
        <w:rPr>
          <w:rFonts w:ascii="宋体" w:hAnsi="宋体" w:eastAsia="宋体" w:cs="宋体"/>
          <w:color w:val="231F20"/>
          <w:position w:val="2"/>
          <w:sz w:val="17"/>
          <w:szCs w:val="17"/>
        </w:rPr>
        <w:t>ce</w:t>
      </w:r>
      <w:r>
        <w:rPr>
          <w:rFonts w:ascii="宋体" w:hAnsi="宋体" w:eastAsia="宋体" w:cs="宋体"/>
          <w:color w:val="231F20"/>
          <w:spacing w:val="3"/>
          <w:position w:val="2"/>
          <w:sz w:val="17"/>
          <w:szCs w:val="17"/>
        </w:rPr>
        <w:t>3</w:t>
      </w:r>
      <w:r>
        <w:rPr>
          <w:rFonts w:ascii="宋体" w:hAnsi="宋体" w:eastAsia="宋体" w:cs="宋体"/>
          <w:color w:val="231F20"/>
          <w:position w:val="2"/>
          <w:sz w:val="17"/>
          <w:szCs w:val="17"/>
        </w:rPr>
        <w:t>ea</w:t>
      </w:r>
      <w:r>
        <w:rPr>
          <w:rFonts w:ascii="宋体" w:hAnsi="宋体" w:eastAsia="宋体" w:cs="宋体"/>
          <w:color w:val="231F20"/>
          <w:spacing w:val="3"/>
          <w:position w:val="2"/>
          <w:sz w:val="17"/>
          <w:szCs w:val="17"/>
        </w:rPr>
        <w:t>18a4</w:t>
      </w:r>
      <w:r>
        <w:rPr>
          <w:rFonts w:ascii="宋体" w:hAnsi="宋体" w:eastAsia="宋体" w:cs="宋体"/>
          <w:color w:val="231F20"/>
          <w:position w:val="2"/>
          <w:sz w:val="17"/>
          <w:szCs w:val="17"/>
        </w:rPr>
        <w:t>bdb</w:t>
      </w:r>
      <w:r>
        <w:rPr>
          <w:rFonts w:ascii="宋体" w:hAnsi="宋体" w:eastAsia="宋体" w:cs="宋体"/>
          <w:color w:val="231F20"/>
          <w:spacing w:val="3"/>
          <w:position w:val="2"/>
          <w:sz w:val="17"/>
          <w:szCs w:val="17"/>
        </w:rPr>
        <w:t>.</w:t>
      </w:r>
    </w:p>
    <w:p>
      <w:pPr>
        <w:spacing w:before="32" w:line="230" w:lineRule="auto"/>
        <w:ind w:left="313" w:right="312" w:hanging="314"/>
        <w:rPr>
          <w:rFonts w:ascii="宋体" w:hAnsi="宋体" w:eastAsia="宋体" w:cs="宋体"/>
          <w:sz w:val="17"/>
          <w:szCs w:val="17"/>
        </w:rPr>
      </w:pPr>
      <w:r>
        <w:rPr>
          <w:rFonts w:ascii="微软雅黑" w:hAnsi="微软雅黑" w:eastAsia="微软雅黑" w:cs="微软雅黑"/>
          <w:color w:val="231F20"/>
          <w:spacing w:val="-7"/>
          <w:sz w:val="17"/>
          <w:szCs w:val="17"/>
        </w:rPr>
        <w:t>［</w:t>
      </w:r>
      <w:r>
        <w:rPr>
          <w:rFonts w:ascii="宋体" w:hAnsi="宋体" w:eastAsia="宋体" w:cs="宋体"/>
          <w:color w:val="231F20"/>
          <w:spacing w:val="-7"/>
          <w:sz w:val="17"/>
          <w:szCs w:val="17"/>
        </w:rPr>
        <w:t>4</w:t>
      </w:r>
      <w:r>
        <w:rPr>
          <w:rFonts w:ascii="微软雅黑" w:hAnsi="微软雅黑" w:eastAsia="微软雅黑" w:cs="微软雅黑"/>
          <w:color w:val="231F20"/>
          <w:spacing w:val="-7"/>
          <w:sz w:val="17"/>
          <w:szCs w:val="17"/>
        </w:rPr>
        <w:t>］</w:t>
      </w:r>
      <w:r>
        <w:rPr>
          <w:rFonts w:ascii="宋体" w:hAnsi="宋体" w:eastAsia="宋体" w:cs="宋体"/>
          <w:color w:val="231F20"/>
          <w:spacing w:val="-7"/>
          <w:sz w:val="17"/>
          <w:szCs w:val="17"/>
        </w:rPr>
        <w:t>UNESCO.</w:t>
      </w:r>
      <w:r>
        <w:rPr>
          <w:rFonts w:ascii="宋体" w:hAnsi="宋体" w:eastAsia="宋体" w:cs="宋体"/>
          <w:color w:val="231F20"/>
          <w:spacing w:val="-31"/>
          <w:sz w:val="17"/>
          <w:szCs w:val="17"/>
        </w:rPr>
        <w:t xml:space="preserve"> </w:t>
      </w:r>
      <w:r>
        <w:rPr>
          <w:rFonts w:ascii="宋体" w:hAnsi="宋体" w:eastAsia="宋体" w:cs="宋体"/>
          <w:color w:val="231F20"/>
          <w:spacing w:val="-7"/>
          <w:sz w:val="17"/>
          <w:szCs w:val="17"/>
        </w:rPr>
        <w:t>A</w:t>
      </w:r>
      <w:r>
        <w:rPr>
          <w:rFonts w:ascii="宋体" w:hAnsi="宋体" w:eastAsia="宋体" w:cs="宋体"/>
          <w:color w:val="231F20"/>
          <w:spacing w:val="-32"/>
          <w:sz w:val="17"/>
          <w:szCs w:val="17"/>
        </w:rPr>
        <w:t xml:space="preserve"> </w:t>
      </w:r>
      <w:r>
        <w:rPr>
          <w:rFonts w:ascii="宋体" w:hAnsi="宋体" w:eastAsia="宋体" w:cs="宋体"/>
          <w:color w:val="231F20"/>
          <w:spacing w:val="-7"/>
          <w:sz w:val="17"/>
          <w:szCs w:val="17"/>
        </w:rPr>
        <w:t>new</w:t>
      </w:r>
      <w:r>
        <w:rPr>
          <w:rFonts w:ascii="宋体" w:hAnsi="宋体" w:eastAsia="宋体" w:cs="宋体"/>
          <w:color w:val="231F20"/>
          <w:spacing w:val="-33"/>
          <w:sz w:val="17"/>
          <w:szCs w:val="17"/>
        </w:rPr>
        <w:t xml:space="preserve"> </w:t>
      </w:r>
      <w:r>
        <w:rPr>
          <w:rFonts w:ascii="宋体" w:hAnsi="宋体" w:eastAsia="宋体" w:cs="宋体"/>
          <w:color w:val="231F20"/>
          <w:spacing w:val="-7"/>
          <w:sz w:val="17"/>
          <w:szCs w:val="17"/>
        </w:rPr>
        <w:t>generation</w:t>
      </w:r>
      <w:r>
        <w:rPr>
          <w:rFonts w:ascii="宋体" w:hAnsi="宋体" w:eastAsia="宋体" w:cs="宋体"/>
          <w:color w:val="231F20"/>
          <w:spacing w:val="-33"/>
          <w:sz w:val="17"/>
          <w:szCs w:val="17"/>
        </w:rPr>
        <w:t xml:space="preserve"> </w:t>
      </w:r>
      <w:r>
        <w:rPr>
          <w:rFonts w:ascii="宋体" w:hAnsi="宋体" w:eastAsia="宋体" w:cs="宋体"/>
          <w:color w:val="231F20"/>
          <w:spacing w:val="-7"/>
          <w:sz w:val="17"/>
          <w:szCs w:val="17"/>
        </w:rPr>
        <w:t>of</w:t>
      </w:r>
      <w:r>
        <w:rPr>
          <w:rFonts w:ascii="宋体" w:hAnsi="宋体" w:eastAsia="宋体" w:cs="宋体"/>
          <w:color w:val="231F20"/>
          <w:spacing w:val="-43"/>
          <w:sz w:val="17"/>
          <w:szCs w:val="17"/>
        </w:rPr>
        <w:t xml:space="preserve"> </w:t>
      </w:r>
      <w:r>
        <w:rPr>
          <w:rFonts w:ascii="宋体" w:hAnsi="宋体" w:eastAsia="宋体" w:cs="宋体"/>
          <w:color w:val="231F20"/>
          <w:spacing w:val="-7"/>
          <w:sz w:val="17"/>
          <w:szCs w:val="17"/>
        </w:rPr>
        <w:t>external</w:t>
      </w:r>
      <w:r>
        <w:rPr>
          <w:rFonts w:ascii="宋体" w:hAnsi="宋体" w:eastAsia="宋体" w:cs="宋体"/>
          <w:color w:val="231F20"/>
          <w:spacing w:val="-33"/>
          <w:sz w:val="17"/>
          <w:szCs w:val="17"/>
        </w:rPr>
        <w:t xml:space="preserve"> </w:t>
      </w:r>
      <w:r>
        <w:rPr>
          <w:rFonts w:ascii="宋体" w:hAnsi="宋体" w:eastAsia="宋体" w:cs="宋体"/>
          <w:color w:val="231F20"/>
          <w:spacing w:val="-7"/>
          <w:sz w:val="17"/>
          <w:szCs w:val="17"/>
        </w:rPr>
        <w:t>quality</w:t>
      </w:r>
      <w:r>
        <w:rPr>
          <w:rFonts w:ascii="宋体" w:hAnsi="宋体" w:eastAsia="宋体" w:cs="宋体"/>
          <w:color w:val="231F20"/>
          <w:spacing w:val="-33"/>
          <w:sz w:val="17"/>
          <w:szCs w:val="17"/>
        </w:rPr>
        <w:t xml:space="preserve"> </w:t>
      </w:r>
      <w:r>
        <w:rPr>
          <w:rFonts w:ascii="宋体" w:hAnsi="宋体" w:eastAsia="宋体" w:cs="宋体"/>
          <w:color w:val="231F20"/>
          <w:spacing w:val="-7"/>
          <w:sz w:val="17"/>
          <w:szCs w:val="17"/>
        </w:rPr>
        <w:t>assurance</w:t>
      </w:r>
      <w:r>
        <w:rPr>
          <w:rFonts w:ascii="宋体" w:hAnsi="宋体" w:eastAsia="宋体" w:cs="宋体"/>
          <w:color w:val="231F20"/>
          <w:sz w:val="17"/>
          <w:szCs w:val="17"/>
        </w:rPr>
        <w:t xml:space="preserve">  </w:t>
      </w:r>
      <w:r>
        <w:rPr>
          <w:rFonts w:ascii="微软雅黑" w:hAnsi="微软雅黑" w:eastAsia="微软雅黑" w:cs="微软雅黑"/>
          <w:color w:val="231F20"/>
          <w:spacing w:val="-13"/>
          <w:sz w:val="17"/>
          <w:szCs w:val="17"/>
        </w:rPr>
        <w:t>［</w:t>
      </w:r>
      <w:r>
        <w:rPr>
          <w:rFonts w:ascii="宋体" w:hAnsi="宋体" w:eastAsia="宋体" w:cs="宋体"/>
          <w:color w:val="231F20"/>
          <w:spacing w:val="-13"/>
          <w:sz w:val="17"/>
          <w:szCs w:val="17"/>
        </w:rPr>
        <w:t>EB/OL</w:t>
      </w:r>
      <w:r>
        <w:rPr>
          <w:rFonts w:ascii="微软雅黑" w:hAnsi="微软雅黑" w:eastAsia="微软雅黑" w:cs="微软雅黑"/>
          <w:color w:val="231F20"/>
          <w:spacing w:val="-13"/>
          <w:sz w:val="17"/>
          <w:szCs w:val="17"/>
        </w:rPr>
        <w:t>］</w:t>
      </w:r>
      <w:r>
        <w:rPr>
          <w:rFonts w:ascii="宋体" w:hAnsi="宋体" w:eastAsia="宋体" w:cs="宋体"/>
          <w:color w:val="231F20"/>
          <w:spacing w:val="-13"/>
          <w:sz w:val="17"/>
          <w:szCs w:val="17"/>
        </w:rPr>
        <w:t>.</w:t>
      </w:r>
      <w:r>
        <w:rPr>
          <w:rFonts w:ascii="微软雅黑" w:hAnsi="微软雅黑" w:eastAsia="微软雅黑" w:cs="微软雅黑"/>
          <w:color w:val="231F20"/>
          <w:spacing w:val="-13"/>
          <w:sz w:val="17"/>
          <w:szCs w:val="17"/>
        </w:rPr>
        <w:t>［</w:t>
      </w:r>
      <w:r>
        <w:rPr>
          <w:rFonts w:ascii="宋体" w:hAnsi="宋体" w:eastAsia="宋体" w:cs="宋体"/>
          <w:color w:val="231F20"/>
          <w:spacing w:val="-13"/>
          <w:sz w:val="17"/>
          <w:szCs w:val="17"/>
        </w:rPr>
        <w:t>2022-08-06</w:t>
      </w:r>
      <w:r>
        <w:rPr>
          <w:rFonts w:ascii="微软雅黑" w:hAnsi="微软雅黑" w:eastAsia="微软雅黑" w:cs="微软雅黑"/>
          <w:color w:val="231F20"/>
          <w:spacing w:val="-13"/>
          <w:sz w:val="17"/>
          <w:szCs w:val="17"/>
        </w:rPr>
        <w:t>］</w:t>
      </w:r>
      <w:r>
        <w:rPr>
          <w:rFonts w:ascii="宋体" w:hAnsi="宋体" w:eastAsia="宋体" w:cs="宋体"/>
          <w:color w:val="231F20"/>
          <w:spacing w:val="-13"/>
          <w:sz w:val="17"/>
          <w:szCs w:val="17"/>
        </w:rPr>
        <w:t>.</w:t>
      </w:r>
      <w:r>
        <w:rPr>
          <w:rFonts w:ascii="宋体" w:hAnsi="宋体" w:eastAsia="宋体" w:cs="宋体"/>
          <w:color w:val="231F20"/>
          <w:spacing w:val="-29"/>
          <w:sz w:val="17"/>
          <w:szCs w:val="17"/>
        </w:rPr>
        <w:t xml:space="preserve"> </w:t>
      </w:r>
      <w:r>
        <w:rPr>
          <w:rFonts w:ascii="宋体" w:hAnsi="宋体" w:eastAsia="宋体" w:cs="宋体"/>
          <w:color w:val="231F20"/>
          <w:spacing w:val="-13"/>
          <w:sz w:val="17"/>
          <w:szCs w:val="17"/>
        </w:rPr>
        <w:t>https://unesdoc.unesco.org/ark:/</w:t>
      </w:r>
      <w:r>
        <w:rPr>
          <w:rFonts w:ascii="宋体" w:hAnsi="宋体" w:eastAsia="宋体" w:cs="宋体"/>
          <w:color w:val="231F20"/>
          <w:sz w:val="17"/>
          <w:szCs w:val="17"/>
        </w:rPr>
        <w:t xml:space="preserve"> </w:t>
      </w:r>
      <w:r>
        <w:rPr>
          <w:rFonts w:ascii="宋体" w:hAnsi="宋体" w:eastAsia="宋体" w:cs="宋体"/>
          <w:color w:val="231F20"/>
          <w:spacing w:val="1"/>
          <w:sz w:val="17"/>
          <w:szCs w:val="17"/>
        </w:rPr>
        <w:t>48223/</w:t>
      </w:r>
      <w:r>
        <w:rPr>
          <w:rFonts w:ascii="宋体" w:hAnsi="宋体" w:eastAsia="宋体" w:cs="宋体"/>
          <w:color w:val="231F20"/>
          <w:sz w:val="17"/>
          <w:szCs w:val="17"/>
        </w:rPr>
        <w:t>pf</w:t>
      </w:r>
      <w:r>
        <w:rPr>
          <w:rFonts w:ascii="宋体" w:hAnsi="宋体" w:eastAsia="宋体" w:cs="宋体"/>
          <w:color w:val="231F20"/>
          <w:spacing w:val="1"/>
          <w:sz w:val="17"/>
          <w:szCs w:val="17"/>
        </w:rPr>
        <w:t>0000377497/</w:t>
      </w:r>
      <w:r>
        <w:rPr>
          <w:rFonts w:ascii="宋体" w:hAnsi="宋体" w:eastAsia="宋体" w:cs="宋体"/>
          <w:color w:val="231F20"/>
          <w:sz w:val="17"/>
          <w:szCs w:val="17"/>
        </w:rPr>
        <w:t>PDF</w:t>
      </w:r>
      <w:r>
        <w:rPr>
          <w:rFonts w:ascii="宋体" w:hAnsi="宋体" w:eastAsia="宋体" w:cs="宋体"/>
          <w:color w:val="231F20"/>
          <w:spacing w:val="1"/>
          <w:sz w:val="17"/>
          <w:szCs w:val="17"/>
        </w:rPr>
        <w:t>/377497</w:t>
      </w:r>
      <w:r>
        <w:rPr>
          <w:rFonts w:ascii="宋体" w:hAnsi="宋体" w:eastAsia="宋体" w:cs="宋体"/>
          <w:color w:val="231F20"/>
          <w:sz w:val="17"/>
          <w:szCs w:val="17"/>
        </w:rPr>
        <w:t>eng</w:t>
      </w:r>
      <w:r>
        <w:rPr>
          <w:rFonts w:ascii="宋体" w:hAnsi="宋体" w:eastAsia="宋体" w:cs="宋体"/>
          <w:color w:val="231F20"/>
          <w:spacing w:val="1"/>
          <w:sz w:val="17"/>
          <w:szCs w:val="17"/>
        </w:rPr>
        <w:t>.</w:t>
      </w:r>
      <w:r>
        <w:rPr>
          <w:rFonts w:ascii="宋体" w:hAnsi="宋体" w:eastAsia="宋体" w:cs="宋体"/>
          <w:color w:val="231F20"/>
          <w:sz w:val="17"/>
          <w:szCs w:val="17"/>
        </w:rPr>
        <w:t>pdf</w:t>
      </w:r>
      <w:r>
        <w:rPr>
          <w:rFonts w:ascii="宋体" w:hAnsi="宋体" w:eastAsia="宋体" w:cs="宋体"/>
          <w:color w:val="231F20"/>
          <w:spacing w:val="1"/>
          <w:sz w:val="17"/>
          <w:szCs w:val="17"/>
        </w:rPr>
        <w:t>.</w:t>
      </w:r>
    </w:p>
    <w:p>
      <w:pPr>
        <w:spacing w:before="27" w:line="245" w:lineRule="auto"/>
        <w:ind w:left="382" w:right="202" w:hanging="383"/>
        <w:rPr>
          <w:rFonts w:ascii="宋体" w:hAnsi="宋体" w:eastAsia="宋体" w:cs="宋体"/>
          <w:sz w:val="17"/>
          <w:szCs w:val="17"/>
        </w:rPr>
      </w:pPr>
      <w:r>
        <w:rPr>
          <w:rFonts w:ascii="微软雅黑" w:hAnsi="微软雅黑" w:eastAsia="微软雅黑" w:cs="微软雅黑"/>
          <w:color w:val="231F20"/>
          <w:spacing w:val="-2"/>
          <w:sz w:val="17"/>
          <w:szCs w:val="17"/>
        </w:rPr>
        <w:t>［</w:t>
      </w:r>
      <w:r>
        <w:rPr>
          <w:rFonts w:ascii="宋体" w:hAnsi="宋体" w:eastAsia="宋体" w:cs="宋体"/>
          <w:color w:val="231F20"/>
          <w:spacing w:val="-2"/>
          <w:sz w:val="17"/>
          <w:szCs w:val="17"/>
        </w:rPr>
        <w:t>5</w:t>
      </w:r>
      <w:r>
        <w:rPr>
          <w:rFonts w:ascii="微软雅黑" w:hAnsi="微软雅黑" w:eastAsia="微软雅黑" w:cs="微软雅黑"/>
          <w:color w:val="231F20"/>
          <w:spacing w:val="-2"/>
          <w:sz w:val="17"/>
          <w:szCs w:val="17"/>
        </w:rPr>
        <w:t>］</w:t>
      </w:r>
      <w:r>
        <w:rPr>
          <w:rFonts w:ascii="宋体" w:hAnsi="宋体" w:eastAsia="宋体" w:cs="宋体"/>
          <w:color w:val="231F20"/>
          <w:spacing w:val="-2"/>
          <w:sz w:val="17"/>
          <w:szCs w:val="17"/>
        </w:rPr>
        <w:t>BASIR</w:t>
      </w:r>
      <w:r>
        <w:rPr>
          <w:rFonts w:ascii="宋体" w:hAnsi="宋体" w:eastAsia="宋体" w:cs="宋体"/>
          <w:color w:val="231F20"/>
          <w:spacing w:val="-26"/>
          <w:sz w:val="17"/>
          <w:szCs w:val="17"/>
        </w:rPr>
        <w:t xml:space="preserve"> </w:t>
      </w:r>
      <w:r>
        <w:rPr>
          <w:rFonts w:ascii="宋体" w:hAnsi="宋体" w:eastAsia="宋体" w:cs="宋体"/>
          <w:color w:val="231F20"/>
          <w:spacing w:val="-2"/>
          <w:sz w:val="17"/>
          <w:szCs w:val="17"/>
        </w:rPr>
        <w:t>S</w:t>
      </w:r>
      <w:r>
        <w:rPr>
          <w:rFonts w:ascii="宋体" w:hAnsi="宋体" w:eastAsia="宋体" w:cs="宋体"/>
          <w:color w:val="231F20"/>
          <w:spacing w:val="-34"/>
          <w:sz w:val="17"/>
          <w:szCs w:val="17"/>
        </w:rPr>
        <w:t xml:space="preserve"> </w:t>
      </w:r>
      <w:r>
        <w:rPr>
          <w:rFonts w:ascii="宋体" w:hAnsi="宋体" w:eastAsia="宋体" w:cs="宋体"/>
          <w:color w:val="231F20"/>
          <w:spacing w:val="-2"/>
          <w:sz w:val="17"/>
          <w:szCs w:val="17"/>
        </w:rPr>
        <w:t>A,</w:t>
      </w:r>
      <w:r>
        <w:rPr>
          <w:rFonts w:ascii="宋体" w:hAnsi="宋体" w:eastAsia="宋体" w:cs="宋体"/>
          <w:color w:val="231F20"/>
          <w:spacing w:val="-32"/>
          <w:sz w:val="17"/>
          <w:szCs w:val="17"/>
        </w:rPr>
        <w:t xml:space="preserve"> </w:t>
      </w:r>
      <w:r>
        <w:rPr>
          <w:rFonts w:ascii="宋体" w:hAnsi="宋体" w:eastAsia="宋体" w:cs="宋体"/>
          <w:color w:val="231F20"/>
          <w:spacing w:val="-2"/>
          <w:sz w:val="17"/>
          <w:szCs w:val="17"/>
        </w:rPr>
        <w:t>DAVIES</w:t>
      </w:r>
      <w:r>
        <w:rPr>
          <w:rFonts w:ascii="宋体" w:hAnsi="宋体" w:eastAsia="宋体" w:cs="宋体"/>
          <w:color w:val="231F20"/>
          <w:spacing w:val="-37"/>
          <w:sz w:val="17"/>
          <w:szCs w:val="17"/>
        </w:rPr>
        <w:t xml:space="preserve"> </w:t>
      </w:r>
      <w:r>
        <w:rPr>
          <w:rFonts w:ascii="宋体" w:hAnsi="宋体" w:eastAsia="宋体" w:cs="宋体"/>
          <w:color w:val="231F20"/>
          <w:spacing w:val="-2"/>
          <w:sz w:val="17"/>
          <w:szCs w:val="17"/>
        </w:rPr>
        <w:t>J,</w:t>
      </w:r>
      <w:r>
        <w:rPr>
          <w:rFonts w:ascii="宋体" w:hAnsi="宋体" w:eastAsia="宋体" w:cs="宋体"/>
          <w:color w:val="231F20"/>
          <w:spacing w:val="-32"/>
          <w:sz w:val="17"/>
          <w:szCs w:val="17"/>
        </w:rPr>
        <w:t xml:space="preserve"> </w:t>
      </w:r>
      <w:r>
        <w:rPr>
          <w:rFonts w:ascii="宋体" w:hAnsi="宋体" w:eastAsia="宋体" w:cs="宋体"/>
          <w:color w:val="231F20"/>
          <w:spacing w:val="-2"/>
          <w:sz w:val="17"/>
          <w:szCs w:val="17"/>
        </w:rPr>
        <w:t>DOUGLAS</w:t>
      </w:r>
      <w:r>
        <w:rPr>
          <w:rFonts w:ascii="宋体" w:hAnsi="宋体" w:eastAsia="宋体" w:cs="宋体"/>
          <w:color w:val="231F20"/>
          <w:spacing w:val="-38"/>
          <w:sz w:val="17"/>
          <w:szCs w:val="17"/>
        </w:rPr>
        <w:t xml:space="preserve"> </w:t>
      </w:r>
      <w:r>
        <w:rPr>
          <w:rFonts w:ascii="宋体" w:hAnsi="宋体" w:eastAsia="宋体" w:cs="宋体"/>
          <w:color w:val="231F20"/>
          <w:spacing w:val="-2"/>
          <w:sz w:val="17"/>
          <w:szCs w:val="17"/>
        </w:rPr>
        <w:t>J,</w:t>
      </w:r>
      <w:r>
        <w:rPr>
          <w:rFonts w:ascii="宋体" w:hAnsi="宋体" w:eastAsia="宋体" w:cs="宋体"/>
          <w:color w:val="231F20"/>
          <w:spacing w:val="-33"/>
          <w:sz w:val="17"/>
          <w:szCs w:val="17"/>
        </w:rPr>
        <w:t xml:space="preserve"> </w:t>
      </w:r>
      <w:r>
        <w:rPr>
          <w:rFonts w:ascii="宋体" w:hAnsi="宋体" w:eastAsia="宋体" w:cs="宋体"/>
          <w:color w:val="231F20"/>
          <w:spacing w:val="-2"/>
          <w:sz w:val="17"/>
          <w:szCs w:val="17"/>
        </w:rPr>
        <w:t>et</w:t>
      </w:r>
      <w:r>
        <w:rPr>
          <w:rFonts w:ascii="宋体" w:hAnsi="宋体" w:eastAsia="宋体" w:cs="宋体"/>
          <w:color w:val="231F20"/>
          <w:spacing w:val="-33"/>
          <w:sz w:val="17"/>
          <w:szCs w:val="17"/>
        </w:rPr>
        <w:t xml:space="preserve"> </w:t>
      </w:r>
      <w:r>
        <w:rPr>
          <w:rFonts w:ascii="宋体" w:hAnsi="宋体" w:eastAsia="宋体" w:cs="宋体"/>
          <w:color w:val="231F20"/>
          <w:spacing w:val="-2"/>
          <w:sz w:val="17"/>
          <w:szCs w:val="17"/>
        </w:rPr>
        <w:t>al.</w:t>
      </w:r>
      <w:r>
        <w:rPr>
          <w:rFonts w:ascii="宋体" w:hAnsi="宋体" w:eastAsia="宋体" w:cs="宋体"/>
          <w:color w:val="231F20"/>
          <w:spacing w:val="-37"/>
          <w:sz w:val="17"/>
          <w:szCs w:val="17"/>
        </w:rPr>
        <w:t xml:space="preserve"> </w:t>
      </w:r>
      <w:r>
        <w:rPr>
          <w:rFonts w:ascii="宋体" w:hAnsi="宋体" w:eastAsia="宋体" w:cs="宋体"/>
          <w:color w:val="231F20"/>
          <w:spacing w:val="-2"/>
          <w:sz w:val="17"/>
          <w:szCs w:val="17"/>
        </w:rPr>
        <w:t>The</w:t>
      </w:r>
      <w:r>
        <w:rPr>
          <w:rFonts w:ascii="宋体" w:hAnsi="宋体" w:eastAsia="宋体" w:cs="宋体"/>
          <w:color w:val="231F20"/>
          <w:spacing w:val="-33"/>
          <w:sz w:val="17"/>
          <w:szCs w:val="17"/>
        </w:rPr>
        <w:t xml:space="preserve"> </w:t>
      </w:r>
      <w:r>
        <w:rPr>
          <w:rFonts w:ascii="宋体" w:hAnsi="宋体" w:eastAsia="宋体" w:cs="宋体"/>
          <w:color w:val="231F20"/>
          <w:spacing w:val="-2"/>
          <w:sz w:val="17"/>
          <w:szCs w:val="17"/>
        </w:rPr>
        <w:t>influence</w:t>
      </w:r>
      <w:r>
        <w:rPr>
          <w:rFonts w:ascii="宋体" w:hAnsi="宋体" w:eastAsia="宋体" w:cs="宋体"/>
          <w:color w:val="231F20"/>
          <w:spacing w:val="-33"/>
          <w:sz w:val="17"/>
          <w:szCs w:val="17"/>
        </w:rPr>
        <w:t xml:space="preserve"> </w:t>
      </w:r>
      <w:r>
        <w:rPr>
          <w:rFonts w:ascii="宋体" w:hAnsi="宋体" w:eastAsia="宋体" w:cs="宋体"/>
          <w:color w:val="231F20"/>
          <w:spacing w:val="-2"/>
          <w:sz w:val="17"/>
          <w:szCs w:val="17"/>
        </w:rPr>
        <w:t>of</w:t>
      </w:r>
      <w:r>
        <w:rPr>
          <w:rFonts w:ascii="宋体" w:hAnsi="宋体" w:eastAsia="宋体" w:cs="宋体"/>
          <w:color w:val="231F20"/>
          <w:sz w:val="17"/>
          <w:szCs w:val="17"/>
        </w:rPr>
        <w:t xml:space="preserve"> </w:t>
      </w:r>
      <w:r>
        <w:rPr>
          <w:rFonts w:ascii="宋体" w:hAnsi="宋体" w:eastAsia="宋体" w:cs="宋体"/>
          <w:color w:val="231F20"/>
          <w:spacing w:val="-5"/>
          <w:sz w:val="17"/>
          <w:szCs w:val="17"/>
        </w:rPr>
        <w:t>academic</w:t>
      </w:r>
      <w:r>
        <w:rPr>
          <w:rFonts w:ascii="宋体" w:hAnsi="宋体" w:eastAsia="宋体" w:cs="宋体"/>
          <w:color w:val="231F20"/>
          <w:spacing w:val="-31"/>
          <w:sz w:val="17"/>
          <w:szCs w:val="17"/>
        </w:rPr>
        <w:t xml:space="preserve"> </w:t>
      </w:r>
      <w:r>
        <w:rPr>
          <w:rFonts w:ascii="宋体" w:hAnsi="宋体" w:eastAsia="宋体" w:cs="宋体"/>
          <w:color w:val="231F20"/>
          <w:spacing w:val="-5"/>
          <w:sz w:val="17"/>
          <w:szCs w:val="17"/>
        </w:rPr>
        <w:t>culture</w:t>
      </w:r>
      <w:r>
        <w:rPr>
          <w:rFonts w:ascii="宋体" w:hAnsi="宋体" w:eastAsia="宋体" w:cs="宋体"/>
          <w:color w:val="231F20"/>
          <w:spacing w:val="-34"/>
          <w:sz w:val="17"/>
          <w:szCs w:val="17"/>
        </w:rPr>
        <w:t xml:space="preserve"> </w:t>
      </w:r>
      <w:r>
        <w:rPr>
          <w:rFonts w:ascii="宋体" w:hAnsi="宋体" w:eastAsia="宋体" w:cs="宋体"/>
          <w:color w:val="231F20"/>
          <w:spacing w:val="-5"/>
          <w:sz w:val="17"/>
          <w:szCs w:val="17"/>
        </w:rPr>
        <w:t>on</w:t>
      </w:r>
      <w:r>
        <w:rPr>
          <w:rFonts w:ascii="宋体" w:hAnsi="宋体" w:eastAsia="宋体" w:cs="宋体"/>
          <w:color w:val="231F20"/>
          <w:spacing w:val="-32"/>
          <w:sz w:val="17"/>
          <w:szCs w:val="17"/>
        </w:rPr>
        <w:t xml:space="preserve"> </w:t>
      </w:r>
      <w:r>
        <w:rPr>
          <w:rFonts w:ascii="宋体" w:hAnsi="宋体" w:eastAsia="宋体" w:cs="宋体"/>
          <w:color w:val="231F20"/>
          <w:spacing w:val="-5"/>
          <w:sz w:val="17"/>
          <w:szCs w:val="17"/>
        </w:rPr>
        <w:t>quality</w:t>
      </w:r>
      <w:r>
        <w:rPr>
          <w:rFonts w:ascii="宋体" w:hAnsi="宋体" w:eastAsia="宋体" w:cs="宋体"/>
          <w:color w:val="231F20"/>
          <w:spacing w:val="-33"/>
          <w:sz w:val="17"/>
          <w:szCs w:val="17"/>
        </w:rPr>
        <w:t xml:space="preserve"> </w:t>
      </w:r>
      <w:r>
        <w:rPr>
          <w:rFonts w:ascii="宋体" w:hAnsi="宋体" w:eastAsia="宋体" w:cs="宋体"/>
          <w:color w:val="231F20"/>
          <w:spacing w:val="-5"/>
          <w:sz w:val="17"/>
          <w:szCs w:val="17"/>
        </w:rPr>
        <w:t>management</w:t>
      </w:r>
      <w:r>
        <w:rPr>
          <w:rFonts w:ascii="宋体" w:hAnsi="宋体" w:eastAsia="宋体" w:cs="宋体"/>
          <w:color w:val="231F20"/>
          <w:spacing w:val="-32"/>
          <w:sz w:val="17"/>
          <w:szCs w:val="17"/>
        </w:rPr>
        <w:t xml:space="preserve"> </w:t>
      </w:r>
      <w:r>
        <w:rPr>
          <w:rFonts w:ascii="宋体" w:hAnsi="宋体" w:eastAsia="宋体" w:cs="宋体"/>
          <w:color w:val="231F20"/>
          <w:spacing w:val="-5"/>
          <w:sz w:val="17"/>
          <w:szCs w:val="17"/>
        </w:rPr>
        <w:t>system</w:t>
      </w:r>
      <w:r>
        <w:rPr>
          <w:rFonts w:ascii="宋体" w:hAnsi="宋体" w:eastAsia="宋体" w:cs="宋体"/>
          <w:color w:val="231F20"/>
          <w:spacing w:val="-32"/>
          <w:sz w:val="17"/>
          <w:szCs w:val="17"/>
        </w:rPr>
        <w:t xml:space="preserve"> </w:t>
      </w:r>
      <w:r>
        <w:rPr>
          <w:rFonts w:ascii="宋体" w:hAnsi="宋体" w:eastAsia="宋体" w:cs="宋体"/>
          <w:color w:val="231F20"/>
          <w:spacing w:val="-5"/>
          <w:sz w:val="17"/>
          <w:szCs w:val="17"/>
        </w:rPr>
        <w:t>ISO</w:t>
      </w:r>
      <w:r>
        <w:rPr>
          <w:rFonts w:ascii="宋体" w:hAnsi="宋体" w:eastAsia="宋体" w:cs="宋体"/>
          <w:color w:val="231F20"/>
          <w:spacing w:val="-28"/>
          <w:sz w:val="17"/>
          <w:szCs w:val="17"/>
        </w:rPr>
        <w:t xml:space="preserve"> </w:t>
      </w:r>
      <w:r>
        <w:rPr>
          <w:rFonts w:ascii="宋体" w:hAnsi="宋体" w:eastAsia="宋体" w:cs="宋体"/>
          <w:color w:val="231F20"/>
          <w:spacing w:val="-5"/>
          <w:sz w:val="17"/>
          <w:szCs w:val="17"/>
        </w:rPr>
        <w:t>9001</w:t>
      </w:r>
    </w:p>
    <w:p>
      <w:pPr>
        <w:spacing w:before="57" w:line="198" w:lineRule="auto"/>
        <w:ind w:left="382"/>
        <w:rPr>
          <w:rFonts w:ascii="宋体" w:hAnsi="宋体" w:eastAsia="宋体" w:cs="宋体"/>
          <w:sz w:val="17"/>
          <w:szCs w:val="17"/>
        </w:rPr>
      </w:pPr>
      <w:r>
        <w:rPr>
          <w:rFonts w:ascii="宋体" w:hAnsi="宋体" w:eastAsia="宋体" w:cs="宋体"/>
          <w:color w:val="231F20"/>
          <w:spacing w:val="-13"/>
          <w:sz w:val="17"/>
          <w:szCs w:val="17"/>
        </w:rPr>
        <w:t>maintenance</w:t>
      </w:r>
      <w:r>
        <w:rPr>
          <w:rFonts w:ascii="宋体" w:hAnsi="宋体" w:eastAsia="宋体" w:cs="宋体"/>
          <w:color w:val="231F20"/>
          <w:spacing w:val="-38"/>
          <w:sz w:val="17"/>
          <w:szCs w:val="17"/>
        </w:rPr>
        <w:t xml:space="preserve"> </w:t>
      </w:r>
      <w:r>
        <w:rPr>
          <w:rFonts w:ascii="宋体" w:hAnsi="宋体" w:eastAsia="宋体" w:cs="宋体"/>
          <w:color w:val="231F20"/>
          <w:spacing w:val="-13"/>
          <w:sz w:val="17"/>
          <w:szCs w:val="17"/>
        </w:rPr>
        <w:t>within</w:t>
      </w:r>
      <w:r>
        <w:rPr>
          <w:rFonts w:ascii="宋体" w:hAnsi="宋体" w:eastAsia="宋体" w:cs="宋体"/>
          <w:color w:val="231F20"/>
          <w:spacing w:val="-30"/>
          <w:sz w:val="17"/>
          <w:szCs w:val="17"/>
        </w:rPr>
        <w:t xml:space="preserve"> </w:t>
      </w:r>
      <w:r>
        <w:rPr>
          <w:rFonts w:ascii="宋体" w:hAnsi="宋体" w:eastAsia="宋体" w:cs="宋体"/>
          <w:color w:val="231F20"/>
          <w:spacing w:val="-13"/>
          <w:sz w:val="17"/>
          <w:szCs w:val="17"/>
        </w:rPr>
        <w:t>Malaysian</w:t>
      </w:r>
      <w:r>
        <w:rPr>
          <w:rFonts w:ascii="宋体" w:hAnsi="宋体" w:eastAsia="宋体" w:cs="宋体"/>
          <w:color w:val="231F20"/>
          <w:spacing w:val="-35"/>
          <w:sz w:val="17"/>
          <w:szCs w:val="17"/>
        </w:rPr>
        <w:t xml:space="preserve"> </w:t>
      </w:r>
      <w:r>
        <w:rPr>
          <w:rFonts w:ascii="宋体" w:hAnsi="宋体" w:eastAsia="宋体" w:cs="宋体"/>
          <w:color w:val="231F20"/>
          <w:spacing w:val="-13"/>
          <w:sz w:val="17"/>
          <w:szCs w:val="17"/>
        </w:rPr>
        <w:t>univers</w:t>
      </w:r>
      <w:r>
        <w:rPr>
          <w:rFonts w:ascii="宋体" w:hAnsi="宋体" w:eastAsia="宋体" w:cs="宋体"/>
          <w:color w:val="231F20"/>
          <w:spacing w:val="-14"/>
          <w:sz w:val="17"/>
          <w:szCs w:val="17"/>
        </w:rPr>
        <w:t>ities</w:t>
      </w:r>
      <w:r>
        <w:rPr>
          <w:rFonts w:ascii="微软雅黑" w:hAnsi="微软雅黑" w:eastAsia="微软雅黑" w:cs="微软雅黑"/>
          <w:color w:val="231F20"/>
          <w:spacing w:val="-14"/>
          <w:sz w:val="17"/>
          <w:szCs w:val="17"/>
        </w:rPr>
        <w:t>［</w:t>
      </w:r>
      <w:r>
        <w:rPr>
          <w:rFonts w:ascii="宋体" w:hAnsi="宋体" w:eastAsia="宋体" w:cs="宋体"/>
          <w:color w:val="231F20"/>
          <w:spacing w:val="-14"/>
          <w:sz w:val="17"/>
          <w:szCs w:val="17"/>
        </w:rPr>
        <w:t>J</w:t>
      </w:r>
      <w:r>
        <w:rPr>
          <w:rFonts w:ascii="微软雅黑" w:hAnsi="微软雅黑" w:eastAsia="微软雅黑" w:cs="微软雅黑"/>
          <w:color w:val="231F20"/>
          <w:spacing w:val="-14"/>
          <w:sz w:val="17"/>
          <w:szCs w:val="17"/>
        </w:rPr>
        <w:t>］</w:t>
      </w:r>
      <w:r>
        <w:rPr>
          <w:rFonts w:ascii="宋体" w:hAnsi="宋体" w:eastAsia="宋体" w:cs="宋体"/>
          <w:color w:val="231F20"/>
          <w:spacing w:val="-14"/>
          <w:sz w:val="17"/>
          <w:szCs w:val="17"/>
        </w:rPr>
        <w:t>.</w:t>
      </w:r>
      <w:r>
        <w:rPr>
          <w:rFonts w:ascii="宋体" w:hAnsi="宋体" w:eastAsia="宋体" w:cs="宋体"/>
          <w:color w:val="231F20"/>
          <w:spacing w:val="-38"/>
          <w:sz w:val="17"/>
          <w:szCs w:val="17"/>
        </w:rPr>
        <w:t xml:space="preserve"> </w:t>
      </w:r>
      <w:r>
        <w:rPr>
          <w:rFonts w:ascii="宋体" w:hAnsi="宋体" w:eastAsia="宋体" w:cs="宋体"/>
          <w:color w:val="231F20"/>
          <w:spacing w:val="-14"/>
          <w:sz w:val="17"/>
          <w:szCs w:val="17"/>
        </w:rPr>
        <w:t>Journal</w:t>
      </w:r>
      <w:r>
        <w:rPr>
          <w:rFonts w:ascii="宋体" w:hAnsi="宋体" w:eastAsia="宋体" w:cs="宋体"/>
          <w:color w:val="231F20"/>
          <w:spacing w:val="-34"/>
          <w:sz w:val="17"/>
          <w:szCs w:val="17"/>
        </w:rPr>
        <w:t xml:space="preserve"> </w:t>
      </w:r>
      <w:r>
        <w:rPr>
          <w:rFonts w:ascii="宋体" w:hAnsi="宋体" w:eastAsia="宋体" w:cs="宋体"/>
          <w:color w:val="231F20"/>
          <w:spacing w:val="-14"/>
          <w:sz w:val="17"/>
          <w:szCs w:val="17"/>
        </w:rPr>
        <w:t>of</w:t>
      </w:r>
    </w:p>
    <w:p>
      <w:pPr>
        <w:spacing w:before="6" w:line="276" w:lineRule="auto"/>
        <w:ind w:left="384" w:right="109"/>
        <w:rPr>
          <w:rFonts w:ascii="宋体" w:hAnsi="宋体" w:eastAsia="宋体" w:cs="宋体"/>
          <w:sz w:val="17"/>
          <w:szCs w:val="17"/>
        </w:rPr>
      </w:pPr>
      <w:r>
        <w:rPr>
          <w:rFonts w:ascii="宋体" w:hAnsi="宋体" w:eastAsia="宋体" w:cs="宋体"/>
          <w:color w:val="231F20"/>
          <w:spacing w:val="-5"/>
          <w:sz w:val="17"/>
          <w:szCs w:val="17"/>
        </w:rPr>
        <w:t>Higher</w:t>
      </w:r>
      <w:r>
        <w:rPr>
          <w:rFonts w:ascii="宋体" w:hAnsi="宋体" w:eastAsia="宋体" w:cs="宋体"/>
          <w:color w:val="231F20"/>
          <w:spacing w:val="-35"/>
          <w:sz w:val="17"/>
          <w:szCs w:val="17"/>
        </w:rPr>
        <w:t xml:space="preserve"> </w:t>
      </w:r>
      <w:r>
        <w:rPr>
          <w:rFonts w:ascii="宋体" w:hAnsi="宋体" w:eastAsia="宋体" w:cs="宋体"/>
          <w:color w:val="231F20"/>
          <w:spacing w:val="-5"/>
          <w:sz w:val="17"/>
          <w:szCs w:val="17"/>
        </w:rPr>
        <w:t>Education</w:t>
      </w:r>
      <w:r>
        <w:rPr>
          <w:rFonts w:ascii="宋体" w:hAnsi="宋体" w:eastAsia="宋体" w:cs="宋体"/>
          <w:color w:val="231F20"/>
          <w:spacing w:val="-34"/>
          <w:sz w:val="17"/>
          <w:szCs w:val="17"/>
        </w:rPr>
        <w:t xml:space="preserve"> </w:t>
      </w:r>
      <w:r>
        <w:rPr>
          <w:rFonts w:ascii="宋体" w:hAnsi="宋体" w:eastAsia="宋体" w:cs="宋体"/>
          <w:color w:val="231F20"/>
          <w:spacing w:val="-5"/>
          <w:sz w:val="17"/>
          <w:szCs w:val="17"/>
        </w:rPr>
        <w:t>Policy</w:t>
      </w:r>
      <w:r>
        <w:rPr>
          <w:rFonts w:ascii="宋体" w:hAnsi="宋体" w:eastAsia="宋体" w:cs="宋体"/>
          <w:color w:val="231F20"/>
          <w:spacing w:val="-33"/>
          <w:sz w:val="17"/>
          <w:szCs w:val="17"/>
        </w:rPr>
        <w:t xml:space="preserve"> </w:t>
      </w:r>
      <w:r>
        <w:rPr>
          <w:rFonts w:ascii="宋体" w:hAnsi="宋体" w:eastAsia="宋体" w:cs="宋体"/>
          <w:color w:val="231F20"/>
          <w:spacing w:val="-5"/>
          <w:sz w:val="17"/>
          <w:szCs w:val="17"/>
        </w:rPr>
        <w:t>and</w:t>
      </w:r>
      <w:r>
        <w:rPr>
          <w:rFonts w:ascii="宋体" w:hAnsi="宋体" w:eastAsia="宋体" w:cs="宋体"/>
          <w:color w:val="231F20"/>
          <w:spacing w:val="-30"/>
          <w:sz w:val="17"/>
          <w:szCs w:val="17"/>
        </w:rPr>
        <w:t xml:space="preserve"> </w:t>
      </w:r>
      <w:r>
        <w:rPr>
          <w:rFonts w:ascii="宋体" w:hAnsi="宋体" w:eastAsia="宋体" w:cs="宋体"/>
          <w:color w:val="231F20"/>
          <w:spacing w:val="-5"/>
          <w:sz w:val="17"/>
          <w:szCs w:val="17"/>
        </w:rPr>
        <w:t>Manage</w:t>
      </w:r>
      <w:r>
        <w:rPr>
          <w:rFonts w:ascii="宋体" w:hAnsi="宋体" w:eastAsia="宋体" w:cs="宋体"/>
          <w:color w:val="231F20"/>
          <w:spacing w:val="-6"/>
          <w:sz w:val="17"/>
          <w:szCs w:val="17"/>
        </w:rPr>
        <w:t>ment,</w:t>
      </w:r>
      <w:r>
        <w:rPr>
          <w:rFonts w:ascii="宋体" w:hAnsi="宋体" w:eastAsia="宋体" w:cs="宋体"/>
          <w:color w:val="231F20"/>
          <w:spacing w:val="-34"/>
          <w:sz w:val="17"/>
          <w:szCs w:val="17"/>
        </w:rPr>
        <w:t xml:space="preserve"> </w:t>
      </w:r>
      <w:r>
        <w:rPr>
          <w:rFonts w:ascii="宋体" w:hAnsi="宋体" w:eastAsia="宋体" w:cs="宋体"/>
          <w:color w:val="231F20"/>
          <w:spacing w:val="-6"/>
          <w:sz w:val="17"/>
          <w:szCs w:val="17"/>
        </w:rPr>
        <w:t>2017,</w:t>
      </w:r>
      <w:r>
        <w:rPr>
          <w:rFonts w:ascii="宋体" w:hAnsi="宋体" w:eastAsia="宋体" w:cs="宋体"/>
          <w:color w:val="231F20"/>
          <w:spacing w:val="-32"/>
          <w:sz w:val="17"/>
          <w:szCs w:val="17"/>
        </w:rPr>
        <w:t xml:space="preserve"> </w:t>
      </w:r>
      <w:r>
        <w:rPr>
          <w:rFonts w:ascii="宋体" w:hAnsi="宋体" w:eastAsia="宋体" w:cs="宋体"/>
          <w:color w:val="231F20"/>
          <w:spacing w:val="-6"/>
          <w:sz w:val="17"/>
          <w:szCs w:val="17"/>
        </w:rPr>
        <w:t>39(3):</w:t>
      </w:r>
      <w:r>
        <w:rPr>
          <w:rFonts w:ascii="宋体" w:hAnsi="宋体" w:eastAsia="宋体" w:cs="宋体"/>
          <w:color w:val="231F20"/>
          <w:spacing w:val="-31"/>
          <w:sz w:val="17"/>
          <w:szCs w:val="17"/>
        </w:rPr>
        <w:t xml:space="preserve"> </w:t>
      </w:r>
      <w:r>
        <w:rPr>
          <w:rFonts w:ascii="宋体" w:hAnsi="宋体" w:eastAsia="宋体" w:cs="宋体"/>
          <w:color w:val="231F20"/>
          <w:spacing w:val="-6"/>
          <w:sz w:val="17"/>
          <w:szCs w:val="17"/>
        </w:rPr>
        <w:t>320-</w:t>
      </w:r>
      <w:r>
        <w:rPr>
          <w:rFonts w:ascii="宋体" w:hAnsi="宋体" w:eastAsia="宋体" w:cs="宋体"/>
          <w:color w:val="231F20"/>
          <w:sz w:val="17"/>
          <w:szCs w:val="17"/>
        </w:rPr>
        <w:t xml:space="preserve"> </w:t>
      </w:r>
      <w:r>
        <w:rPr>
          <w:rFonts w:ascii="宋体" w:hAnsi="宋体" w:eastAsia="宋体" w:cs="宋体"/>
          <w:color w:val="231F20"/>
          <w:spacing w:val="1"/>
          <w:sz w:val="17"/>
          <w:szCs w:val="17"/>
        </w:rPr>
        <w:t>340.</w:t>
      </w:r>
    </w:p>
    <w:p>
      <w:pPr>
        <w:spacing w:before="72" w:line="236" w:lineRule="auto"/>
        <w:ind w:left="380" w:right="185" w:hanging="380"/>
        <w:rPr>
          <w:rFonts w:ascii="宋体" w:hAnsi="宋体" w:eastAsia="宋体" w:cs="宋体"/>
          <w:sz w:val="17"/>
          <w:szCs w:val="17"/>
        </w:rPr>
      </w:pPr>
      <w:r>
        <w:rPr>
          <w:rFonts w:ascii="微软雅黑" w:hAnsi="微软雅黑" w:eastAsia="微软雅黑" w:cs="微软雅黑"/>
          <w:color w:val="231F20"/>
          <w:spacing w:val="18"/>
          <w:sz w:val="17"/>
          <w:szCs w:val="17"/>
        </w:rPr>
        <w:t>［</w:t>
      </w:r>
      <w:r>
        <w:rPr>
          <w:rFonts w:ascii="宋体" w:hAnsi="宋体" w:eastAsia="宋体" w:cs="宋体"/>
          <w:color w:val="231F20"/>
          <w:spacing w:val="18"/>
          <w:sz w:val="17"/>
          <w:szCs w:val="17"/>
        </w:rPr>
        <w:t>6</w:t>
      </w:r>
      <w:r>
        <w:rPr>
          <w:rFonts w:ascii="微软雅黑" w:hAnsi="微软雅黑" w:eastAsia="微软雅黑" w:cs="微软雅黑"/>
          <w:color w:val="231F20"/>
          <w:spacing w:val="18"/>
          <w:sz w:val="17"/>
          <w:szCs w:val="17"/>
        </w:rPr>
        <w:t>］</w:t>
      </w:r>
      <w:r>
        <w:rPr>
          <w:rFonts w:ascii="宋体" w:hAnsi="宋体" w:eastAsia="宋体" w:cs="宋体"/>
          <w:color w:val="231F20"/>
          <w:spacing w:val="18"/>
          <w:sz w:val="17"/>
          <w:szCs w:val="17"/>
        </w:rPr>
        <w:t>BENDERMACHER</w:t>
      </w:r>
      <w:r>
        <w:rPr>
          <w:rFonts w:ascii="宋体" w:hAnsi="宋体" w:eastAsia="宋体" w:cs="宋体"/>
          <w:color w:val="231F20"/>
          <w:spacing w:val="-29"/>
          <w:sz w:val="17"/>
          <w:szCs w:val="17"/>
        </w:rPr>
        <w:t xml:space="preserve"> </w:t>
      </w:r>
      <w:r>
        <w:rPr>
          <w:rFonts w:ascii="宋体" w:hAnsi="宋体" w:eastAsia="宋体" w:cs="宋体"/>
          <w:color w:val="231F20"/>
          <w:spacing w:val="18"/>
          <w:sz w:val="17"/>
          <w:szCs w:val="17"/>
        </w:rPr>
        <w:t>G,</w:t>
      </w:r>
      <w:r>
        <w:rPr>
          <w:rFonts w:ascii="宋体" w:hAnsi="宋体" w:eastAsia="宋体" w:cs="宋体"/>
          <w:color w:val="231F20"/>
          <w:spacing w:val="-34"/>
          <w:sz w:val="17"/>
          <w:szCs w:val="17"/>
        </w:rPr>
        <w:t xml:space="preserve"> </w:t>
      </w:r>
      <w:r>
        <w:rPr>
          <w:rFonts w:ascii="宋体" w:hAnsi="宋体" w:eastAsia="宋体" w:cs="宋体"/>
          <w:color w:val="231F20"/>
          <w:spacing w:val="18"/>
          <w:sz w:val="17"/>
          <w:szCs w:val="17"/>
        </w:rPr>
        <w:t>EGBRINK</w:t>
      </w:r>
      <w:r>
        <w:rPr>
          <w:rFonts w:ascii="宋体" w:hAnsi="宋体" w:eastAsia="宋体" w:cs="宋体"/>
          <w:color w:val="231F20"/>
          <w:spacing w:val="-30"/>
          <w:sz w:val="17"/>
          <w:szCs w:val="17"/>
        </w:rPr>
        <w:t xml:space="preserve"> </w:t>
      </w:r>
      <w:r>
        <w:rPr>
          <w:rFonts w:ascii="宋体" w:hAnsi="宋体" w:eastAsia="宋体" w:cs="宋体"/>
          <w:color w:val="231F20"/>
          <w:spacing w:val="18"/>
          <w:sz w:val="17"/>
          <w:szCs w:val="17"/>
        </w:rPr>
        <w:t>M</w:t>
      </w:r>
      <w:r>
        <w:rPr>
          <w:rFonts w:ascii="宋体" w:hAnsi="宋体" w:eastAsia="宋体" w:cs="宋体"/>
          <w:color w:val="231F20"/>
          <w:spacing w:val="-29"/>
          <w:sz w:val="17"/>
          <w:szCs w:val="17"/>
        </w:rPr>
        <w:t xml:space="preserve"> </w:t>
      </w:r>
      <w:r>
        <w:rPr>
          <w:rFonts w:ascii="宋体" w:hAnsi="宋体" w:eastAsia="宋体" w:cs="宋体"/>
          <w:color w:val="231F20"/>
          <w:spacing w:val="18"/>
          <w:sz w:val="17"/>
          <w:szCs w:val="17"/>
        </w:rPr>
        <w:t>O,</w:t>
      </w:r>
      <w:r>
        <w:rPr>
          <w:rFonts w:ascii="宋体" w:hAnsi="宋体" w:eastAsia="宋体" w:cs="宋体"/>
          <w:color w:val="231F20"/>
          <w:spacing w:val="-36"/>
          <w:sz w:val="17"/>
          <w:szCs w:val="17"/>
        </w:rPr>
        <w:t xml:space="preserve"> </w:t>
      </w:r>
      <w:r>
        <w:rPr>
          <w:rFonts w:ascii="宋体" w:hAnsi="宋体" w:eastAsia="宋体" w:cs="宋体"/>
          <w:color w:val="231F20"/>
          <w:spacing w:val="18"/>
          <w:sz w:val="17"/>
          <w:szCs w:val="17"/>
        </w:rPr>
        <w:t>WOLFH</w:t>
      </w:r>
      <w:r>
        <w:rPr>
          <w:rFonts w:ascii="宋体" w:hAnsi="宋体" w:eastAsia="宋体" w:cs="宋体"/>
          <w:color w:val="231F20"/>
          <w:spacing w:val="17"/>
          <w:sz w:val="17"/>
          <w:szCs w:val="17"/>
        </w:rPr>
        <w:t>AGEN</w:t>
      </w:r>
      <w:r>
        <w:rPr>
          <w:rFonts w:ascii="宋体" w:hAnsi="宋体" w:eastAsia="宋体" w:cs="宋体"/>
          <w:color w:val="231F20"/>
          <w:spacing w:val="-31"/>
          <w:sz w:val="17"/>
          <w:szCs w:val="17"/>
        </w:rPr>
        <w:t xml:space="preserve"> </w:t>
      </w:r>
      <w:r>
        <w:rPr>
          <w:rFonts w:ascii="宋体" w:hAnsi="宋体" w:eastAsia="宋体" w:cs="宋体"/>
          <w:color w:val="231F20"/>
          <w:spacing w:val="17"/>
          <w:sz w:val="17"/>
          <w:szCs w:val="17"/>
        </w:rPr>
        <w:t>I,</w:t>
      </w:r>
      <w:r>
        <w:rPr>
          <w:rFonts w:ascii="宋体" w:hAnsi="宋体" w:eastAsia="宋体" w:cs="宋体"/>
          <w:color w:val="231F20"/>
          <w:spacing w:val="-34"/>
          <w:sz w:val="17"/>
          <w:szCs w:val="17"/>
        </w:rPr>
        <w:t xml:space="preserve"> </w:t>
      </w:r>
      <w:r>
        <w:rPr>
          <w:rFonts w:ascii="宋体" w:hAnsi="宋体" w:eastAsia="宋体" w:cs="宋体"/>
          <w:color w:val="231F20"/>
          <w:spacing w:val="17"/>
          <w:sz w:val="17"/>
          <w:szCs w:val="17"/>
        </w:rPr>
        <w:t>et</w:t>
      </w:r>
      <w:r>
        <w:rPr>
          <w:rFonts w:ascii="宋体" w:hAnsi="宋体" w:eastAsia="宋体" w:cs="宋体"/>
          <w:color w:val="231F20"/>
          <w:sz w:val="17"/>
          <w:szCs w:val="17"/>
        </w:rPr>
        <w:t xml:space="preserve"> </w:t>
      </w:r>
      <w:r>
        <w:rPr>
          <w:rFonts w:ascii="宋体" w:hAnsi="宋体" w:eastAsia="宋体" w:cs="宋体"/>
          <w:color w:val="231F20"/>
          <w:spacing w:val="-15"/>
          <w:sz w:val="17"/>
          <w:szCs w:val="17"/>
        </w:rPr>
        <w:t>al.</w:t>
      </w:r>
      <w:r>
        <w:rPr>
          <w:rFonts w:ascii="宋体" w:hAnsi="宋体" w:eastAsia="宋体" w:cs="宋体"/>
          <w:color w:val="231F20"/>
          <w:spacing w:val="-33"/>
          <w:sz w:val="17"/>
          <w:szCs w:val="17"/>
        </w:rPr>
        <w:t xml:space="preserve"> </w:t>
      </w:r>
      <w:r>
        <w:rPr>
          <w:rFonts w:ascii="宋体" w:hAnsi="宋体" w:eastAsia="宋体" w:cs="宋体"/>
          <w:color w:val="231F20"/>
          <w:spacing w:val="-15"/>
          <w:sz w:val="17"/>
          <w:szCs w:val="17"/>
        </w:rPr>
        <w:t>Unravelling</w:t>
      </w:r>
      <w:r>
        <w:rPr>
          <w:rFonts w:ascii="宋体" w:hAnsi="宋体" w:eastAsia="宋体" w:cs="宋体"/>
          <w:color w:val="231F20"/>
          <w:spacing w:val="-32"/>
          <w:sz w:val="17"/>
          <w:szCs w:val="17"/>
        </w:rPr>
        <w:t xml:space="preserve"> </w:t>
      </w:r>
      <w:r>
        <w:rPr>
          <w:rFonts w:ascii="宋体" w:hAnsi="宋体" w:eastAsia="宋体" w:cs="宋体"/>
          <w:color w:val="231F20"/>
          <w:spacing w:val="-15"/>
          <w:sz w:val="17"/>
          <w:szCs w:val="17"/>
        </w:rPr>
        <w:t>quality</w:t>
      </w:r>
      <w:r>
        <w:rPr>
          <w:rFonts w:ascii="宋体" w:hAnsi="宋体" w:eastAsia="宋体" w:cs="宋体"/>
          <w:color w:val="231F20"/>
          <w:spacing w:val="-33"/>
          <w:sz w:val="17"/>
          <w:szCs w:val="17"/>
        </w:rPr>
        <w:t xml:space="preserve"> </w:t>
      </w:r>
      <w:r>
        <w:rPr>
          <w:rFonts w:ascii="宋体" w:hAnsi="宋体" w:eastAsia="宋体" w:cs="宋体"/>
          <w:color w:val="231F20"/>
          <w:spacing w:val="-15"/>
          <w:sz w:val="17"/>
          <w:szCs w:val="17"/>
        </w:rPr>
        <w:t>culture</w:t>
      </w:r>
      <w:r>
        <w:rPr>
          <w:rFonts w:ascii="宋体" w:hAnsi="宋体" w:eastAsia="宋体" w:cs="宋体"/>
          <w:color w:val="231F20"/>
          <w:spacing w:val="-33"/>
          <w:sz w:val="17"/>
          <w:szCs w:val="17"/>
        </w:rPr>
        <w:t xml:space="preserve"> </w:t>
      </w:r>
      <w:r>
        <w:rPr>
          <w:rFonts w:ascii="宋体" w:hAnsi="宋体" w:eastAsia="宋体" w:cs="宋体"/>
          <w:color w:val="231F20"/>
          <w:spacing w:val="-15"/>
          <w:sz w:val="17"/>
          <w:szCs w:val="17"/>
        </w:rPr>
        <w:t>in</w:t>
      </w:r>
      <w:r>
        <w:rPr>
          <w:rFonts w:ascii="宋体" w:hAnsi="宋体" w:eastAsia="宋体" w:cs="宋体"/>
          <w:color w:val="231F20"/>
          <w:spacing w:val="-34"/>
          <w:sz w:val="17"/>
          <w:szCs w:val="17"/>
        </w:rPr>
        <w:t xml:space="preserve"> </w:t>
      </w:r>
      <w:r>
        <w:rPr>
          <w:rFonts w:ascii="宋体" w:hAnsi="宋体" w:eastAsia="宋体" w:cs="宋体"/>
          <w:color w:val="231F20"/>
          <w:spacing w:val="-15"/>
          <w:sz w:val="17"/>
          <w:szCs w:val="17"/>
        </w:rPr>
        <w:t>higher</w:t>
      </w:r>
      <w:r>
        <w:rPr>
          <w:rFonts w:ascii="宋体" w:hAnsi="宋体" w:eastAsia="宋体" w:cs="宋体"/>
          <w:color w:val="231F20"/>
          <w:spacing w:val="-34"/>
          <w:sz w:val="17"/>
          <w:szCs w:val="17"/>
        </w:rPr>
        <w:t xml:space="preserve"> </w:t>
      </w:r>
      <w:r>
        <w:rPr>
          <w:rFonts w:ascii="宋体" w:hAnsi="宋体" w:eastAsia="宋体" w:cs="宋体"/>
          <w:color w:val="231F20"/>
          <w:spacing w:val="-15"/>
          <w:sz w:val="17"/>
          <w:szCs w:val="17"/>
        </w:rPr>
        <w:t>education:</w:t>
      </w:r>
      <w:r>
        <w:rPr>
          <w:rFonts w:ascii="宋体" w:hAnsi="宋体" w:eastAsia="宋体" w:cs="宋体"/>
          <w:color w:val="231F20"/>
          <w:spacing w:val="-33"/>
          <w:sz w:val="17"/>
          <w:szCs w:val="17"/>
        </w:rPr>
        <w:t xml:space="preserve"> </w:t>
      </w:r>
      <w:r>
        <w:rPr>
          <w:rFonts w:ascii="宋体" w:hAnsi="宋体" w:eastAsia="宋体" w:cs="宋体"/>
          <w:color w:val="231F20"/>
          <w:spacing w:val="-15"/>
          <w:sz w:val="17"/>
          <w:szCs w:val="17"/>
        </w:rPr>
        <w:t>a</w:t>
      </w:r>
      <w:r>
        <w:rPr>
          <w:rFonts w:ascii="宋体" w:hAnsi="宋体" w:eastAsia="宋体" w:cs="宋体"/>
          <w:color w:val="231F20"/>
          <w:spacing w:val="-35"/>
          <w:sz w:val="17"/>
          <w:szCs w:val="17"/>
        </w:rPr>
        <w:t xml:space="preserve"> </w:t>
      </w:r>
      <w:r>
        <w:rPr>
          <w:rFonts w:ascii="宋体" w:hAnsi="宋体" w:eastAsia="宋体" w:cs="宋体"/>
          <w:color w:val="231F20"/>
          <w:spacing w:val="-15"/>
          <w:sz w:val="17"/>
          <w:szCs w:val="17"/>
        </w:rPr>
        <w:t>real</w:t>
      </w:r>
      <w:r>
        <w:rPr>
          <w:rFonts w:ascii="宋体" w:hAnsi="宋体" w:eastAsia="宋体" w:cs="宋体"/>
          <w:color w:val="231F20"/>
          <w:spacing w:val="-16"/>
          <w:sz w:val="17"/>
          <w:szCs w:val="17"/>
        </w:rPr>
        <w:t>ist</w:t>
      </w:r>
      <w:r>
        <w:rPr>
          <w:rFonts w:ascii="宋体" w:hAnsi="宋体" w:eastAsia="宋体" w:cs="宋体"/>
          <w:color w:val="231F20"/>
          <w:sz w:val="17"/>
          <w:szCs w:val="17"/>
        </w:rPr>
        <w:t xml:space="preserve">  </w:t>
      </w:r>
      <w:r>
        <w:rPr>
          <w:rFonts w:ascii="宋体" w:hAnsi="宋体" w:eastAsia="宋体" w:cs="宋体"/>
          <w:color w:val="231F20"/>
          <w:spacing w:val="-11"/>
          <w:sz w:val="17"/>
          <w:szCs w:val="17"/>
        </w:rPr>
        <w:t>review</w:t>
      </w:r>
      <w:r>
        <w:rPr>
          <w:rFonts w:ascii="微软雅黑" w:hAnsi="微软雅黑" w:eastAsia="微软雅黑" w:cs="微软雅黑"/>
          <w:color w:val="231F20"/>
          <w:spacing w:val="-11"/>
          <w:sz w:val="17"/>
          <w:szCs w:val="17"/>
        </w:rPr>
        <w:t>［</w:t>
      </w:r>
      <w:r>
        <w:rPr>
          <w:rFonts w:ascii="宋体" w:hAnsi="宋体" w:eastAsia="宋体" w:cs="宋体"/>
          <w:color w:val="231F20"/>
          <w:spacing w:val="-11"/>
          <w:sz w:val="17"/>
          <w:szCs w:val="17"/>
        </w:rPr>
        <w:t>J</w:t>
      </w:r>
      <w:r>
        <w:rPr>
          <w:rFonts w:ascii="微软雅黑" w:hAnsi="微软雅黑" w:eastAsia="微软雅黑" w:cs="微软雅黑"/>
          <w:color w:val="231F20"/>
          <w:spacing w:val="-11"/>
          <w:sz w:val="17"/>
          <w:szCs w:val="17"/>
        </w:rPr>
        <w:t>］</w:t>
      </w:r>
      <w:r>
        <w:rPr>
          <w:rFonts w:ascii="宋体" w:hAnsi="宋体" w:eastAsia="宋体" w:cs="宋体"/>
          <w:color w:val="231F20"/>
          <w:spacing w:val="-11"/>
          <w:sz w:val="17"/>
          <w:szCs w:val="17"/>
        </w:rPr>
        <w:t>.</w:t>
      </w:r>
      <w:r>
        <w:rPr>
          <w:rFonts w:ascii="宋体" w:hAnsi="宋体" w:eastAsia="宋体" w:cs="宋体"/>
          <w:color w:val="231F20"/>
          <w:spacing w:val="-32"/>
          <w:sz w:val="17"/>
          <w:szCs w:val="17"/>
        </w:rPr>
        <w:t xml:space="preserve"> </w:t>
      </w:r>
      <w:r>
        <w:rPr>
          <w:rFonts w:ascii="宋体" w:hAnsi="宋体" w:eastAsia="宋体" w:cs="宋体"/>
          <w:color w:val="231F20"/>
          <w:spacing w:val="-11"/>
          <w:sz w:val="17"/>
          <w:szCs w:val="17"/>
        </w:rPr>
        <w:t>Higher</w:t>
      </w:r>
      <w:r>
        <w:rPr>
          <w:rFonts w:ascii="宋体" w:hAnsi="宋体" w:eastAsia="宋体" w:cs="宋体"/>
          <w:color w:val="231F20"/>
          <w:spacing w:val="-35"/>
          <w:sz w:val="17"/>
          <w:szCs w:val="17"/>
        </w:rPr>
        <w:t xml:space="preserve"> </w:t>
      </w:r>
      <w:r>
        <w:rPr>
          <w:rFonts w:ascii="宋体" w:hAnsi="宋体" w:eastAsia="宋体" w:cs="宋体"/>
          <w:color w:val="231F20"/>
          <w:spacing w:val="-11"/>
          <w:sz w:val="17"/>
          <w:szCs w:val="17"/>
        </w:rPr>
        <w:t>Educatio</w:t>
      </w:r>
      <w:r>
        <w:rPr>
          <w:rFonts w:ascii="宋体" w:hAnsi="宋体" w:eastAsia="宋体" w:cs="宋体"/>
          <w:color w:val="231F20"/>
          <w:spacing w:val="-12"/>
          <w:sz w:val="17"/>
          <w:szCs w:val="17"/>
        </w:rPr>
        <w:t>n,</w:t>
      </w:r>
      <w:r>
        <w:rPr>
          <w:rFonts w:ascii="宋体" w:hAnsi="宋体" w:eastAsia="宋体" w:cs="宋体"/>
          <w:color w:val="231F20"/>
          <w:spacing w:val="-33"/>
          <w:sz w:val="17"/>
          <w:szCs w:val="17"/>
        </w:rPr>
        <w:t xml:space="preserve"> </w:t>
      </w:r>
      <w:r>
        <w:rPr>
          <w:rFonts w:ascii="宋体" w:hAnsi="宋体" w:eastAsia="宋体" w:cs="宋体"/>
          <w:color w:val="231F20"/>
          <w:spacing w:val="-12"/>
          <w:sz w:val="17"/>
          <w:szCs w:val="17"/>
        </w:rPr>
        <w:t>2017,</w:t>
      </w:r>
      <w:r>
        <w:rPr>
          <w:rFonts w:ascii="宋体" w:hAnsi="宋体" w:eastAsia="宋体" w:cs="宋体"/>
          <w:color w:val="231F20"/>
          <w:spacing w:val="-36"/>
          <w:sz w:val="17"/>
          <w:szCs w:val="17"/>
        </w:rPr>
        <w:t xml:space="preserve"> </w:t>
      </w:r>
      <w:r>
        <w:rPr>
          <w:rFonts w:ascii="宋体" w:hAnsi="宋体" w:eastAsia="宋体" w:cs="宋体"/>
          <w:color w:val="231F20"/>
          <w:spacing w:val="-12"/>
          <w:sz w:val="17"/>
          <w:szCs w:val="17"/>
        </w:rPr>
        <w:t>73(1):</w:t>
      </w:r>
      <w:r>
        <w:rPr>
          <w:rFonts w:ascii="宋体" w:hAnsi="宋体" w:eastAsia="宋体" w:cs="宋体"/>
          <w:color w:val="231F20"/>
          <w:spacing w:val="-31"/>
          <w:sz w:val="17"/>
          <w:szCs w:val="17"/>
        </w:rPr>
        <w:t xml:space="preserve"> </w:t>
      </w:r>
      <w:r>
        <w:rPr>
          <w:rFonts w:ascii="宋体" w:hAnsi="宋体" w:eastAsia="宋体" w:cs="宋体"/>
          <w:color w:val="231F20"/>
          <w:spacing w:val="-12"/>
          <w:sz w:val="17"/>
          <w:szCs w:val="17"/>
        </w:rPr>
        <w:t>39-60.</w:t>
      </w:r>
    </w:p>
    <w:p>
      <w:pPr>
        <w:spacing w:before="33" w:line="255" w:lineRule="auto"/>
        <w:ind w:left="382" w:right="292" w:hanging="383"/>
        <w:rPr>
          <w:rFonts w:ascii="宋体" w:hAnsi="宋体" w:eastAsia="宋体" w:cs="宋体"/>
          <w:sz w:val="17"/>
          <w:szCs w:val="17"/>
        </w:rPr>
      </w:pPr>
      <w:r>
        <w:rPr>
          <w:rFonts w:ascii="微软雅黑" w:hAnsi="微软雅黑" w:eastAsia="微软雅黑" w:cs="微软雅黑"/>
          <w:color w:val="231F20"/>
          <w:spacing w:val="-9"/>
          <w:sz w:val="17"/>
          <w:szCs w:val="17"/>
        </w:rPr>
        <w:t>［</w:t>
      </w:r>
      <w:r>
        <w:rPr>
          <w:rFonts w:ascii="宋体" w:hAnsi="宋体" w:eastAsia="宋体" w:cs="宋体"/>
          <w:color w:val="231F20"/>
          <w:spacing w:val="-9"/>
          <w:sz w:val="17"/>
          <w:szCs w:val="17"/>
        </w:rPr>
        <w:t>7</w:t>
      </w:r>
      <w:r>
        <w:rPr>
          <w:rFonts w:ascii="微软雅黑" w:hAnsi="微软雅黑" w:eastAsia="微软雅黑" w:cs="微软雅黑"/>
          <w:color w:val="231F20"/>
          <w:spacing w:val="-9"/>
          <w:sz w:val="17"/>
          <w:szCs w:val="17"/>
        </w:rPr>
        <w:t>］</w:t>
      </w:r>
      <w:r>
        <w:rPr>
          <w:rFonts w:ascii="宋体" w:hAnsi="宋体" w:eastAsia="宋体" w:cs="宋体"/>
          <w:color w:val="231F20"/>
          <w:spacing w:val="-9"/>
          <w:sz w:val="17"/>
          <w:szCs w:val="17"/>
        </w:rPr>
        <w:t>EHLERS</w:t>
      </w:r>
      <w:r>
        <w:rPr>
          <w:rFonts w:ascii="宋体" w:hAnsi="宋体" w:eastAsia="宋体" w:cs="宋体"/>
          <w:color w:val="231F20"/>
          <w:spacing w:val="-32"/>
          <w:sz w:val="17"/>
          <w:szCs w:val="17"/>
        </w:rPr>
        <w:t xml:space="preserve"> </w:t>
      </w:r>
      <w:r>
        <w:rPr>
          <w:rFonts w:ascii="宋体" w:hAnsi="宋体" w:eastAsia="宋体" w:cs="宋体"/>
          <w:color w:val="231F20"/>
          <w:spacing w:val="-9"/>
          <w:sz w:val="17"/>
          <w:szCs w:val="17"/>
        </w:rPr>
        <w:t>U</w:t>
      </w:r>
      <w:r>
        <w:rPr>
          <w:rFonts w:ascii="宋体" w:hAnsi="宋体" w:eastAsia="宋体" w:cs="宋体"/>
          <w:color w:val="231F20"/>
          <w:spacing w:val="-30"/>
          <w:sz w:val="17"/>
          <w:szCs w:val="17"/>
        </w:rPr>
        <w:t xml:space="preserve"> </w:t>
      </w:r>
      <w:r>
        <w:rPr>
          <w:rFonts w:ascii="宋体" w:hAnsi="宋体" w:eastAsia="宋体" w:cs="宋体"/>
          <w:color w:val="231F20"/>
          <w:spacing w:val="-9"/>
          <w:sz w:val="17"/>
          <w:szCs w:val="17"/>
        </w:rPr>
        <w:t>D.</w:t>
      </w:r>
      <w:r>
        <w:rPr>
          <w:rFonts w:ascii="宋体" w:hAnsi="宋体" w:eastAsia="宋体" w:cs="宋体"/>
          <w:color w:val="231F20"/>
          <w:spacing w:val="-33"/>
          <w:sz w:val="17"/>
          <w:szCs w:val="17"/>
        </w:rPr>
        <w:t xml:space="preserve"> </w:t>
      </w:r>
      <w:r>
        <w:rPr>
          <w:rFonts w:ascii="宋体" w:hAnsi="宋体" w:eastAsia="宋体" w:cs="宋体"/>
          <w:color w:val="231F20"/>
          <w:spacing w:val="-9"/>
          <w:sz w:val="17"/>
          <w:szCs w:val="17"/>
        </w:rPr>
        <w:t>Understandi</w:t>
      </w:r>
      <w:r>
        <w:rPr>
          <w:rFonts w:ascii="宋体" w:hAnsi="宋体" w:eastAsia="宋体" w:cs="宋体"/>
          <w:color w:val="231F20"/>
          <w:spacing w:val="-10"/>
          <w:sz w:val="17"/>
          <w:szCs w:val="17"/>
        </w:rPr>
        <w:t>ng</w:t>
      </w:r>
      <w:r>
        <w:rPr>
          <w:rFonts w:ascii="宋体" w:hAnsi="宋体" w:eastAsia="宋体" w:cs="宋体"/>
          <w:color w:val="231F20"/>
          <w:spacing w:val="-32"/>
          <w:sz w:val="17"/>
          <w:szCs w:val="17"/>
        </w:rPr>
        <w:t xml:space="preserve"> </w:t>
      </w:r>
      <w:r>
        <w:rPr>
          <w:rFonts w:ascii="宋体" w:hAnsi="宋体" w:eastAsia="宋体" w:cs="宋体"/>
          <w:color w:val="231F20"/>
          <w:spacing w:val="-10"/>
          <w:sz w:val="17"/>
          <w:szCs w:val="17"/>
        </w:rPr>
        <w:t>quality</w:t>
      </w:r>
      <w:r>
        <w:rPr>
          <w:rFonts w:ascii="宋体" w:hAnsi="宋体" w:eastAsia="宋体" w:cs="宋体"/>
          <w:color w:val="231F20"/>
          <w:spacing w:val="-33"/>
          <w:sz w:val="17"/>
          <w:szCs w:val="17"/>
        </w:rPr>
        <w:t xml:space="preserve"> </w:t>
      </w:r>
      <w:r>
        <w:rPr>
          <w:rFonts w:ascii="宋体" w:hAnsi="宋体" w:eastAsia="宋体" w:cs="宋体"/>
          <w:color w:val="231F20"/>
          <w:spacing w:val="-10"/>
          <w:sz w:val="17"/>
          <w:szCs w:val="17"/>
        </w:rPr>
        <w:t>culture</w:t>
      </w:r>
      <w:r>
        <w:rPr>
          <w:rFonts w:ascii="微软雅黑" w:hAnsi="微软雅黑" w:eastAsia="微软雅黑" w:cs="微软雅黑"/>
          <w:color w:val="231F20"/>
          <w:spacing w:val="-10"/>
          <w:sz w:val="17"/>
          <w:szCs w:val="17"/>
        </w:rPr>
        <w:t>［</w:t>
      </w:r>
      <w:r>
        <w:rPr>
          <w:rFonts w:ascii="宋体" w:hAnsi="宋体" w:eastAsia="宋体" w:cs="宋体"/>
          <w:color w:val="231F20"/>
          <w:spacing w:val="-10"/>
          <w:sz w:val="17"/>
          <w:szCs w:val="17"/>
        </w:rPr>
        <w:t>J</w:t>
      </w:r>
      <w:r>
        <w:rPr>
          <w:rFonts w:ascii="微软雅黑" w:hAnsi="微软雅黑" w:eastAsia="微软雅黑" w:cs="微软雅黑"/>
          <w:color w:val="231F20"/>
          <w:spacing w:val="-10"/>
          <w:sz w:val="17"/>
          <w:szCs w:val="17"/>
        </w:rPr>
        <w:t>］</w:t>
      </w:r>
      <w:r>
        <w:rPr>
          <w:rFonts w:ascii="宋体" w:hAnsi="宋体" w:eastAsia="宋体" w:cs="宋体"/>
          <w:color w:val="231F20"/>
          <w:spacing w:val="-10"/>
          <w:sz w:val="17"/>
          <w:szCs w:val="17"/>
        </w:rPr>
        <w:t>.</w:t>
      </w:r>
      <w:r>
        <w:rPr>
          <w:rFonts w:ascii="宋体" w:hAnsi="宋体" w:eastAsia="宋体" w:cs="宋体"/>
          <w:color w:val="231F20"/>
          <w:spacing w:val="-31"/>
          <w:sz w:val="17"/>
          <w:szCs w:val="17"/>
        </w:rPr>
        <w:t xml:space="preserve"> </w:t>
      </w:r>
      <w:r>
        <w:rPr>
          <w:rFonts w:ascii="宋体" w:hAnsi="宋体" w:eastAsia="宋体" w:cs="宋体"/>
          <w:color w:val="231F20"/>
          <w:spacing w:val="-10"/>
          <w:sz w:val="17"/>
          <w:szCs w:val="17"/>
        </w:rPr>
        <w:t>Quality</w:t>
      </w:r>
      <w:r>
        <w:rPr>
          <w:rFonts w:ascii="宋体" w:hAnsi="宋体" w:eastAsia="宋体" w:cs="宋体"/>
          <w:color w:val="231F20"/>
          <w:sz w:val="17"/>
          <w:szCs w:val="17"/>
        </w:rPr>
        <w:t xml:space="preserve">  </w:t>
      </w:r>
      <w:r>
        <w:rPr>
          <w:rFonts w:ascii="宋体" w:hAnsi="宋体" w:eastAsia="宋体" w:cs="宋体"/>
          <w:color w:val="231F20"/>
          <w:spacing w:val="-12"/>
          <w:sz w:val="17"/>
          <w:szCs w:val="17"/>
        </w:rPr>
        <w:t>assurance</w:t>
      </w:r>
      <w:r>
        <w:rPr>
          <w:rFonts w:ascii="宋体" w:hAnsi="宋体" w:eastAsia="宋体" w:cs="宋体"/>
          <w:color w:val="231F20"/>
          <w:spacing w:val="-33"/>
          <w:sz w:val="17"/>
          <w:szCs w:val="17"/>
        </w:rPr>
        <w:t xml:space="preserve"> </w:t>
      </w:r>
      <w:r>
        <w:rPr>
          <w:rFonts w:ascii="宋体" w:hAnsi="宋体" w:eastAsia="宋体" w:cs="宋体"/>
          <w:color w:val="231F20"/>
          <w:spacing w:val="-12"/>
          <w:sz w:val="17"/>
          <w:szCs w:val="17"/>
        </w:rPr>
        <w:t>in</w:t>
      </w:r>
      <w:r>
        <w:rPr>
          <w:rFonts w:ascii="宋体" w:hAnsi="宋体" w:eastAsia="宋体" w:cs="宋体"/>
          <w:color w:val="231F20"/>
          <w:spacing w:val="-32"/>
          <w:sz w:val="17"/>
          <w:szCs w:val="17"/>
        </w:rPr>
        <w:t xml:space="preserve"> </w:t>
      </w:r>
      <w:r>
        <w:rPr>
          <w:rFonts w:ascii="宋体" w:hAnsi="宋体" w:eastAsia="宋体" w:cs="宋体"/>
          <w:color w:val="231F20"/>
          <w:spacing w:val="-12"/>
          <w:sz w:val="17"/>
          <w:szCs w:val="17"/>
        </w:rPr>
        <w:t>education:</w:t>
      </w:r>
      <w:r>
        <w:rPr>
          <w:rFonts w:ascii="宋体" w:hAnsi="宋体" w:eastAsia="宋体" w:cs="宋体"/>
          <w:color w:val="231F20"/>
          <w:spacing w:val="-33"/>
          <w:sz w:val="17"/>
          <w:szCs w:val="17"/>
        </w:rPr>
        <w:t xml:space="preserve"> </w:t>
      </w:r>
      <w:r>
        <w:rPr>
          <w:rFonts w:ascii="宋体" w:hAnsi="宋体" w:eastAsia="宋体" w:cs="宋体"/>
          <w:color w:val="231F20"/>
          <w:spacing w:val="-12"/>
          <w:sz w:val="17"/>
          <w:szCs w:val="17"/>
        </w:rPr>
        <w:t>an</w:t>
      </w:r>
      <w:r>
        <w:rPr>
          <w:rFonts w:ascii="宋体" w:hAnsi="宋体" w:eastAsia="宋体" w:cs="宋体"/>
          <w:color w:val="231F20"/>
          <w:spacing w:val="-33"/>
          <w:sz w:val="17"/>
          <w:szCs w:val="17"/>
        </w:rPr>
        <w:t xml:space="preserve"> </w:t>
      </w:r>
      <w:r>
        <w:rPr>
          <w:rFonts w:ascii="宋体" w:hAnsi="宋体" w:eastAsia="宋体" w:cs="宋体"/>
          <w:color w:val="231F20"/>
          <w:spacing w:val="-12"/>
          <w:sz w:val="17"/>
          <w:szCs w:val="17"/>
        </w:rPr>
        <w:t>international</w:t>
      </w:r>
      <w:r>
        <w:rPr>
          <w:rFonts w:ascii="宋体" w:hAnsi="宋体" w:eastAsia="宋体" w:cs="宋体"/>
          <w:color w:val="231F20"/>
          <w:spacing w:val="-35"/>
          <w:sz w:val="17"/>
          <w:szCs w:val="17"/>
        </w:rPr>
        <w:t xml:space="preserve"> </w:t>
      </w:r>
      <w:r>
        <w:rPr>
          <w:rFonts w:ascii="宋体" w:hAnsi="宋体" w:eastAsia="宋体" w:cs="宋体"/>
          <w:color w:val="231F20"/>
          <w:spacing w:val="-12"/>
          <w:sz w:val="17"/>
          <w:szCs w:val="17"/>
        </w:rPr>
        <w:t>pe</w:t>
      </w:r>
      <w:r>
        <w:rPr>
          <w:rFonts w:ascii="宋体" w:hAnsi="宋体" w:eastAsia="宋体" w:cs="宋体"/>
          <w:color w:val="231F20"/>
          <w:spacing w:val="-13"/>
          <w:sz w:val="17"/>
          <w:szCs w:val="17"/>
        </w:rPr>
        <w:t>rspective,</w:t>
      </w:r>
      <w:r>
        <w:rPr>
          <w:rFonts w:ascii="宋体" w:hAnsi="宋体" w:eastAsia="宋体" w:cs="宋体"/>
          <w:color w:val="231F20"/>
          <w:spacing w:val="-34"/>
          <w:sz w:val="17"/>
          <w:szCs w:val="17"/>
        </w:rPr>
        <w:t xml:space="preserve"> </w:t>
      </w:r>
      <w:r>
        <w:rPr>
          <w:rFonts w:ascii="宋体" w:hAnsi="宋体" w:eastAsia="宋体" w:cs="宋体"/>
          <w:color w:val="231F20"/>
          <w:spacing w:val="-13"/>
          <w:sz w:val="17"/>
          <w:szCs w:val="17"/>
        </w:rPr>
        <w:t>2009,</w:t>
      </w:r>
      <w:r>
        <w:rPr>
          <w:rFonts w:ascii="宋体" w:hAnsi="宋体" w:eastAsia="宋体" w:cs="宋体"/>
          <w:color w:val="231F20"/>
          <w:sz w:val="17"/>
          <w:szCs w:val="17"/>
        </w:rPr>
        <w:t xml:space="preserve"> </w:t>
      </w:r>
      <w:r>
        <w:rPr>
          <w:rFonts w:ascii="宋体" w:hAnsi="宋体" w:eastAsia="宋体" w:cs="宋体"/>
          <w:color w:val="231F20"/>
          <w:spacing w:val="-5"/>
          <w:sz w:val="17"/>
          <w:szCs w:val="17"/>
        </w:rPr>
        <w:t>17(4):</w:t>
      </w:r>
      <w:r>
        <w:rPr>
          <w:rFonts w:ascii="宋体" w:hAnsi="宋体" w:eastAsia="宋体" w:cs="宋体"/>
          <w:color w:val="231F20"/>
          <w:spacing w:val="-30"/>
          <w:sz w:val="17"/>
          <w:szCs w:val="17"/>
        </w:rPr>
        <w:t xml:space="preserve"> </w:t>
      </w:r>
      <w:r>
        <w:rPr>
          <w:rFonts w:ascii="宋体" w:hAnsi="宋体" w:eastAsia="宋体" w:cs="宋体"/>
          <w:color w:val="231F20"/>
          <w:spacing w:val="-5"/>
          <w:sz w:val="17"/>
          <w:szCs w:val="17"/>
        </w:rPr>
        <w:t>343-363.</w:t>
      </w:r>
    </w:p>
    <w:p>
      <w:pPr>
        <w:spacing w:before="49" w:line="198" w:lineRule="auto"/>
        <w:rPr>
          <w:rFonts w:ascii="宋体" w:hAnsi="宋体" w:eastAsia="宋体" w:cs="宋体"/>
          <w:sz w:val="17"/>
          <w:szCs w:val="17"/>
        </w:rPr>
      </w:pPr>
      <w:r>
        <w:rPr>
          <w:rFonts w:ascii="微软雅黑" w:hAnsi="微软雅黑" w:eastAsia="微软雅黑" w:cs="微软雅黑"/>
          <w:color w:val="231F20"/>
          <w:spacing w:val="-11"/>
          <w:sz w:val="17"/>
          <w:szCs w:val="17"/>
        </w:rPr>
        <w:t>［</w:t>
      </w:r>
      <w:r>
        <w:rPr>
          <w:rFonts w:ascii="宋体" w:hAnsi="宋体" w:eastAsia="宋体" w:cs="宋体"/>
          <w:color w:val="231F20"/>
          <w:spacing w:val="-11"/>
          <w:sz w:val="17"/>
          <w:szCs w:val="17"/>
        </w:rPr>
        <w:t>8</w:t>
      </w:r>
      <w:r>
        <w:rPr>
          <w:rFonts w:ascii="微软雅黑" w:hAnsi="微软雅黑" w:eastAsia="微软雅黑" w:cs="微软雅黑"/>
          <w:color w:val="231F20"/>
          <w:spacing w:val="-11"/>
          <w:sz w:val="17"/>
          <w:szCs w:val="17"/>
        </w:rPr>
        <w:t>］</w:t>
      </w:r>
      <w:r>
        <w:rPr>
          <w:rFonts w:ascii="宋体" w:hAnsi="宋体" w:eastAsia="宋体" w:cs="宋体"/>
          <w:color w:val="231F20"/>
          <w:spacing w:val="-11"/>
          <w:sz w:val="17"/>
          <w:szCs w:val="17"/>
        </w:rPr>
        <w:t>European</w:t>
      </w:r>
      <w:r>
        <w:rPr>
          <w:rFonts w:ascii="宋体" w:hAnsi="宋体" w:eastAsia="宋体" w:cs="宋体"/>
          <w:color w:val="231F20"/>
          <w:spacing w:val="-32"/>
          <w:sz w:val="17"/>
          <w:szCs w:val="17"/>
        </w:rPr>
        <w:t xml:space="preserve"> </w:t>
      </w:r>
      <w:r>
        <w:rPr>
          <w:rFonts w:ascii="宋体" w:hAnsi="宋体" w:eastAsia="宋体" w:cs="宋体"/>
          <w:color w:val="231F20"/>
          <w:spacing w:val="-11"/>
          <w:sz w:val="17"/>
          <w:szCs w:val="17"/>
        </w:rPr>
        <w:t>University</w:t>
      </w:r>
      <w:r>
        <w:rPr>
          <w:rFonts w:ascii="宋体" w:hAnsi="宋体" w:eastAsia="宋体" w:cs="宋体"/>
          <w:color w:val="231F20"/>
          <w:spacing w:val="-34"/>
          <w:sz w:val="17"/>
          <w:szCs w:val="17"/>
        </w:rPr>
        <w:t xml:space="preserve"> </w:t>
      </w:r>
      <w:r>
        <w:rPr>
          <w:rFonts w:ascii="宋体" w:hAnsi="宋体" w:eastAsia="宋体" w:cs="宋体"/>
          <w:color w:val="231F20"/>
          <w:spacing w:val="-12"/>
          <w:sz w:val="17"/>
          <w:szCs w:val="17"/>
        </w:rPr>
        <w:t>Association.</w:t>
      </w:r>
      <w:r>
        <w:rPr>
          <w:rFonts w:ascii="宋体" w:hAnsi="宋体" w:eastAsia="宋体" w:cs="宋体"/>
          <w:color w:val="231F20"/>
          <w:spacing w:val="-31"/>
          <w:sz w:val="17"/>
          <w:szCs w:val="17"/>
        </w:rPr>
        <w:t xml:space="preserve"> </w:t>
      </w:r>
      <w:r>
        <w:rPr>
          <w:rFonts w:ascii="宋体" w:hAnsi="宋体" w:eastAsia="宋体" w:cs="宋体"/>
          <w:color w:val="231F20"/>
          <w:spacing w:val="-12"/>
          <w:sz w:val="17"/>
          <w:szCs w:val="17"/>
        </w:rPr>
        <w:t>Quality</w:t>
      </w:r>
      <w:r>
        <w:rPr>
          <w:rFonts w:ascii="宋体" w:hAnsi="宋体" w:eastAsia="宋体" w:cs="宋体"/>
          <w:color w:val="231F20"/>
          <w:spacing w:val="-33"/>
          <w:sz w:val="17"/>
          <w:szCs w:val="17"/>
        </w:rPr>
        <w:t xml:space="preserve"> </w:t>
      </w:r>
      <w:r>
        <w:rPr>
          <w:rFonts w:ascii="宋体" w:hAnsi="宋体" w:eastAsia="宋体" w:cs="宋体"/>
          <w:color w:val="231F20"/>
          <w:spacing w:val="-12"/>
          <w:sz w:val="17"/>
          <w:szCs w:val="17"/>
        </w:rPr>
        <w:t>culture</w:t>
      </w:r>
      <w:r>
        <w:rPr>
          <w:rFonts w:ascii="宋体" w:hAnsi="宋体" w:eastAsia="宋体" w:cs="宋体"/>
          <w:color w:val="231F20"/>
          <w:spacing w:val="-33"/>
          <w:sz w:val="17"/>
          <w:szCs w:val="17"/>
        </w:rPr>
        <w:t xml:space="preserve"> </w:t>
      </w:r>
      <w:r>
        <w:rPr>
          <w:rFonts w:ascii="宋体" w:hAnsi="宋体" w:eastAsia="宋体" w:cs="宋体"/>
          <w:color w:val="231F20"/>
          <w:spacing w:val="-12"/>
          <w:sz w:val="17"/>
          <w:szCs w:val="17"/>
        </w:rPr>
        <w:t>in</w:t>
      </w:r>
    </w:p>
    <w:p>
      <w:pPr>
        <w:spacing w:before="5" w:line="252" w:lineRule="auto"/>
        <w:ind w:left="314" w:right="401" w:firstLine="67"/>
        <w:rPr>
          <w:rFonts w:ascii="宋体" w:hAnsi="宋体" w:eastAsia="宋体" w:cs="宋体"/>
          <w:sz w:val="17"/>
          <w:szCs w:val="17"/>
        </w:rPr>
      </w:pPr>
      <w:r>
        <w:rPr>
          <w:rFonts w:ascii="宋体" w:hAnsi="宋体" w:eastAsia="宋体" w:cs="宋体"/>
          <w:color w:val="231F20"/>
          <w:spacing w:val="-10"/>
          <w:sz w:val="17"/>
          <w:szCs w:val="17"/>
        </w:rPr>
        <w:t>European</w:t>
      </w:r>
      <w:r>
        <w:rPr>
          <w:rFonts w:ascii="宋体" w:hAnsi="宋体" w:eastAsia="宋体" w:cs="宋体"/>
          <w:color w:val="231F20"/>
          <w:spacing w:val="-16"/>
          <w:sz w:val="17"/>
          <w:szCs w:val="17"/>
        </w:rPr>
        <w:t xml:space="preserve"> </w:t>
      </w:r>
      <w:r>
        <w:rPr>
          <w:rFonts w:ascii="宋体" w:hAnsi="宋体" w:eastAsia="宋体" w:cs="宋体"/>
          <w:color w:val="231F20"/>
          <w:spacing w:val="-10"/>
          <w:sz w:val="17"/>
          <w:szCs w:val="17"/>
        </w:rPr>
        <w:t>universities:</w:t>
      </w:r>
      <w:r>
        <w:rPr>
          <w:rFonts w:ascii="宋体" w:hAnsi="宋体" w:eastAsia="宋体" w:cs="宋体"/>
          <w:color w:val="231F20"/>
          <w:spacing w:val="-33"/>
          <w:sz w:val="17"/>
          <w:szCs w:val="17"/>
        </w:rPr>
        <w:t xml:space="preserve"> </w:t>
      </w:r>
      <w:r>
        <w:rPr>
          <w:rFonts w:ascii="宋体" w:hAnsi="宋体" w:eastAsia="宋体" w:cs="宋体"/>
          <w:color w:val="231F20"/>
          <w:spacing w:val="-10"/>
          <w:sz w:val="17"/>
          <w:szCs w:val="17"/>
        </w:rPr>
        <w:t>a</w:t>
      </w:r>
      <w:r>
        <w:rPr>
          <w:rFonts w:ascii="宋体" w:hAnsi="宋体" w:eastAsia="宋体" w:cs="宋体"/>
          <w:color w:val="231F20"/>
          <w:spacing w:val="-35"/>
          <w:sz w:val="17"/>
          <w:szCs w:val="17"/>
        </w:rPr>
        <w:t xml:space="preserve"> </w:t>
      </w:r>
      <w:r>
        <w:rPr>
          <w:rFonts w:ascii="宋体" w:hAnsi="宋体" w:eastAsia="宋体" w:cs="宋体"/>
          <w:color w:val="231F20"/>
          <w:spacing w:val="-10"/>
          <w:sz w:val="17"/>
          <w:szCs w:val="17"/>
        </w:rPr>
        <w:t>bottom-up</w:t>
      </w:r>
      <w:r>
        <w:rPr>
          <w:rFonts w:ascii="宋体" w:hAnsi="宋体" w:eastAsia="宋体" w:cs="宋体"/>
          <w:color w:val="231F20"/>
          <w:spacing w:val="-32"/>
          <w:sz w:val="17"/>
          <w:szCs w:val="17"/>
        </w:rPr>
        <w:t xml:space="preserve"> </w:t>
      </w:r>
      <w:r>
        <w:rPr>
          <w:rFonts w:ascii="宋体" w:hAnsi="宋体" w:eastAsia="宋体" w:cs="宋体"/>
          <w:color w:val="231F20"/>
          <w:spacing w:val="-10"/>
          <w:sz w:val="17"/>
          <w:szCs w:val="17"/>
        </w:rPr>
        <w:t>approach</w:t>
      </w:r>
      <w:r>
        <w:rPr>
          <w:rFonts w:ascii="微软雅黑" w:hAnsi="微软雅黑" w:eastAsia="微软雅黑" w:cs="微软雅黑"/>
          <w:color w:val="231F20"/>
          <w:spacing w:val="-10"/>
          <w:sz w:val="17"/>
          <w:szCs w:val="17"/>
        </w:rPr>
        <w:t>［</w:t>
      </w:r>
      <w:r>
        <w:rPr>
          <w:rFonts w:ascii="宋体" w:hAnsi="宋体" w:eastAsia="宋体" w:cs="宋体"/>
          <w:color w:val="231F20"/>
          <w:spacing w:val="-10"/>
          <w:sz w:val="17"/>
          <w:szCs w:val="17"/>
        </w:rPr>
        <w:t>EB/OL</w:t>
      </w:r>
      <w:r>
        <w:rPr>
          <w:rFonts w:ascii="微软雅黑" w:hAnsi="微软雅黑" w:eastAsia="微软雅黑" w:cs="微软雅黑"/>
          <w:color w:val="231F20"/>
          <w:spacing w:val="-10"/>
          <w:sz w:val="17"/>
          <w:szCs w:val="17"/>
        </w:rPr>
        <w:t>］</w:t>
      </w:r>
      <w:r>
        <w:rPr>
          <w:rFonts w:ascii="宋体" w:hAnsi="宋体" w:eastAsia="宋体" w:cs="宋体"/>
          <w:color w:val="231F20"/>
          <w:spacing w:val="-10"/>
          <w:sz w:val="17"/>
          <w:szCs w:val="17"/>
        </w:rPr>
        <w:t>.</w:t>
      </w:r>
      <w:r>
        <w:rPr>
          <w:rFonts w:ascii="宋体" w:hAnsi="宋体" w:eastAsia="宋体" w:cs="宋体"/>
          <w:color w:val="231F20"/>
          <w:sz w:val="17"/>
          <w:szCs w:val="17"/>
        </w:rPr>
        <w:t xml:space="preserve">  </w:t>
      </w:r>
      <w:r>
        <w:rPr>
          <w:rFonts w:ascii="微软雅黑" w:hAnsi="微软雅黑" w:eastAsia="微软雅黑" w:cs="微软雅黑"/>
          <w:color w:val="231F20"/>
          <w:spacing w:val="-11"/>
          <w:sz w:val="17"/>
          <w:szCs w:val="17"/>
        </w:rPr>
        <w:t>［</w:t>
      </w:r>
      <w:r>
        <w:rPr>
          <w:rFonts w:ascii="宋体" w:hAnsi="宋体" w:eastAsia="宋体" w:cs="宋体"/>
          <w:color w:val="231F20"/>
          <w:spacing w:val="-11"/>
          <w:sz w:val="17"/>
          <w:szCs w:val="17"/>
        </w:rPr>
        <w:t>2022-05-08</w:t>
      </w:r>
      <w:r>
        <w:rPr>
          <w:rFonts w:ascii="微软雅黑" w:hAnsi="微软雅黑" w:eastAsia="微软雅黑" w:cs="微软雅黑"/>
          <w:color w:val="231F20"/>
          <w:spacing w:val="-11"/>
          <w:sz w:val="17"/>
          <w:szCs w:val="17"/>
        </w:rPr>
        <w:t>］</w:t>
      </w:r>
      <w:r>
        <w:rPr>
          <w:rFonts w:ascii="宋体" w:hAnsi="宋体" w:eastAsia="宋体" w:cs="宋体"/>
          <w:color w:val="231F20"/>
          <w:spacing w:val="-11"/>
          <w:sz w:val="17"/>
          <w:szCs w:val="17"/>
        </w:rPr>
        <w:t>.</w:t>
      </w:r>
      <w:r>
        <w:rPr>
          <w:rFonts w:ascii="宋体" w:hAnsi="宋体" w:eastAsia="宋体" w:cs="宋体"/>
          <w:color w:val="231F20"/>
          <w:spacing w:val="-35"/>
          <w:sz w:val="17"/>
          <w:szCs w:val="17"/>
        </w:rPr>
        <w:t xml:space="preserve"> </w:t>
      </w:r>
      <w:r>
        <w:rPr>
          <w:rFonts w:ascii="宋体" w:hAnsi="宋体" w:eastAsia="宋体" w:cs="宋体"/>
          <w:color w:val="231F20"/>
          <w:spacing w:val="-11"/>
          <w:sz w:val="17"/>
          <w:szCs w:val="17"/>
        </w:rPr>
        <w:t>https://e</w:t>
      </w:r>
      <w:r>
        <w:rPr>
          <w:rFonts w:ascii="宋体" w:hAnsi="宋体" w:eastAsia="宋体" w:cs="宋体"/>
          <w:color w:val="231F20"/>
          <w:spacing w:val="-12"/>
          <w:sz w:val="17"/>
          <w:szCs w:val="17"/>
        </w:rPr>
        <w:t>ua.eu/downloads/publications/</w:t>
      </w:r>
      <w:r>
        <w:rPr>
          <w:rFonts w:ascii="宋体" w:hAnsi="宋体" w:eastAsia="宋体" w:cs="宋体"/>
          <w:color w:val="231F20"/>
          <w:sz w:val="17"/>
          <w:szCs w:val="17"/>
        </w:rPr>
        <w:t xml:space="preserve">   </w:t>
      </w:r>
      <w:r>
        <w:rPr>
          <w:rFonts w:ascii="宋体" w:hAnsi="宋体" w:eastAsia="宋体" w:cs="宋体"/>
          <w:color w:val="231F20"/>
          <w:spacing w:val="-1"/>
          <w:sz w:val="17"/>
          <w:szCs w:val="17"/>
        </w:rPr>
        <w:t>quality%20culture%20in%20european%20universities%</w:t>
      </w:r>
      <w:r>
        <w:rPr>
          <w:rFonts w:ascii="宋体" w:hAnsi="宋体" w:eastAsia="宋体" w:cs="宋体"/>
          <w:color w:val="231F20"/>
          <w:spacing w:val="8"/>
          <w:sz w:val="17"/>
          <w:szCs w:val="17"/>
        </w:rPr>
        <w:t xml:space="preserve"> </w:t>
      </w:r>
      <w:r>
        <w:rPr>
          <w:rFonts w:ascii="宋体" w:hAnsi="宋体" w:eastAsia="宋体" w:cs="宋体"/>
          <w:color w:val="231F20"/>
          <w:spacing w:val="10"/>
          <w:sz w:val="17"/>
          <w:szCs w:val="17"/>
        </w:rPr>
        <w:t>20a%20</w:t>
      </w:r>
      <w:r>
        <w:rPr>
          <w:rFonts w:ascii="宋体" w:hAnsi="宋体" w:eastAsia="宋体" w:cs="宋体"/>
          <w:color w:val="231F20"/>
          <w:sz w:val="17"/>
          <w:szCs w:val="17"/>
        </w:rPr>
        <w:t>bottom</w:t>
      </w:r>
      <w:r>
        <w:rPr>
          <w:rFonts w:ascii="宋体" w:hAnsi="宋体" w:eastAsia="宋体" w:cs="宋体"/>
          <w:color w:val="231F20"/>
          <w:spacing w:val="10"/>
          <w:sz w:val="17"/>
          <w:szCs w:val="17"/>
        </w:rPr>
        <w:t>-</w:t>
      </w:r>
      <w:r>
        <w:rPr>
          <w:rFonts w:ascii="宋体" w:hAnsi="宋体" w:eastAsia="宋体" w:cs="宋体"/>
          <w:color w:val="231F20"/>
          <w:sz w:val="17"/>
          <w:szCs w:val="17"/>
        </w:rPr>
        <w:t>up</w:t>
      </w:r>
      <w:r>
        <w:rPr>
          <w:rFonts w:ascii="宋体" w:hAnsi="宋体" w:eastAsia="宋体" w:cs="宋体"/>
          <w:color w:val="231F20"/>
          <w:spacing w:val="10"/>
          <w:sz w:val="17"/>
          <w:szCs w:val="17"/>
        </w:rPr>
        <w:t>%20</w:t>
      </w:r>
      <w:r>
        <w:rPr>
          <w:rFonts w:ascii="宋体" w:hAnsi="宋体" w:eastAsia="宋体" w:cs="宋体"/>
          <w:color w:val="231F20"/>
          <w:sz w:val="17"/>
          <w:szCs w:val="17"/>
        </w:rPr>
        <w:t>approach</w:t>
      </w:r>
      <w:r>
        <w:rPr>
          <w:rFonts w:ascii="宋体" w:hAnsi="宋体" w:eastAsia="宋体" w:cs="宋体"/>
          <w:color w:val="231F20"/>
          <w:spacing w:val="10"/>
          <w:sz w:val="17"/>
          <w:szCs w:val="17"/>
        </w:rPr>
        <w:t>.</w:t>
      </w:r>
      <w:r>
        <w:rPr>
          <w:rFonts w:ascii="宋体" w:hAnsi="宋体" w:eastAsia="宋体" w:cs="宋体"/>
          <w:color w:val="231F20"/>
          <w:sz w:val="17"/>
          <w:szCs w:val="17"/>
        </w:rPr>
        <w:t>pdf</w:t>
      </w:r>
      <w:r>
        <w:rPr>
          <w:rFonts w:ascii="宋体" w:hAnsi="宋体" w:eastAsia="宋体" w:cs="宋体"/>
          <w:color w:val="231F20"/>
          <w:spacing w:val="10"/>
          <w:sz w:val="17"/>
          <w:szCs w:val="17"/>
        </w:rPr>
        <w:t>.</w:t>
      </w:r>
    </w:p>
    <w:p>
      <w:pPr>
        <w:spacing w:before="56" w:line="198" w:lineRule="auto"/>
        <w:rPr>
          <w:rFonts w:ascii="宋体" w:hAnsi="宋体" w:eastAsia="宋体" w:cs="宋体"/>
          <w:sz w:val="17"/>
          <w:szCs w:val="17"/>
        </w:rPr>
      </w:pPr>
      <w:r>
        <w:rPr>
          <w:rFonts w:ascii="微软雅黑" w:hAnsi="微软雅黑" w:eastAsia="微软雅黑" w:cs="微软雅黑"/>
          <w:color w:val="231F20"/>
          <w:spacing w:val="-10"/>
          <w:sz w:val="17"/>
          <w:szCs w:val="17"/>
        </w:rPr>
        <w:t>［</w:t>
      </w:r>
      <w:r>
        <w:rPr>
          <w:rFonts w:ascii="宋体" w:hAnsi="宋体" w:eastAsia="宋体" w:cs="宋体"/>
          <w:color w:val="231F20"/>
          <w:spacing w:val="-10"/>
          <w:sz w:val="17"/>
          <w:szCs w:val="17"/>
        </w:rPr>
        <w:t>9</w:t>
      </w:r>
      <w:r>
        <w:rPr>
          <w:rFonts w:ascii="微软雅黑" w:hAnsi="微软雅黑" w:eastAsia="微软雅黑" w:cs="微软雅黑"/>
          <w:color w:val="231F20"/>
          <w:spacing w:val="-10"/>
          <w:sz w:val="17"/>
          <w:szCs w:val="17"/>
        </w:rPr>
        <w:t>］</w:t>
      </w:r>
      <w:r>
        <w:rPr>
          <w:rFonts w:ascii="宋体" w:hAnsi="宋体" w:eastAsia="宋体" w:cs="宋体"/>
          <w:color w:val="231F20"/>
          <w:spacing w:val="-10"/>
          <w:sz w:val="17"/>
          <w:szCs w:val="17"/>
        </w:rPr>
        <w:t>European</w:t>
      </w:r>
      <w:r>
        <w:rPr>
          <w:rFonts w:ascii="宋体" w:hAnsi="宋体" w:eastAsia="宋体" w:cs="宋体"/>
          <w:color w:val="231F20"/>
          <w:spacing w:val="-14"/>
          <w:sz w:val="17"/>
          <w:szCs w:val="17"/>
        </w:rPr>
        <w:t xml:space="preserve"> </w:t>
      </w:r>
      <w:r>
        <w:rPr>
          <w:rFonts w:ascii="宋体" w:hAnsi="宋体" w:eastAsia="宋体" w:cs="宋体"/>
          <w:color w:val="231F20"/>
          <w:spacing w:val="-10"/>
          <w:sz w:val="17"/>
          <w:szCs w:val="17"/>
        </w:rPr>
        <w:t>University</w:t>
      </w:r>
      <w:r>
        <w:rPr>
          <w:rFonts w:ascii="宋体" w:hAnsi="宋体" w:eastAsia="宋体" w:cs="宋体"/>
          <w:color w:val="231F20"/>
          <w:spacing w:val="-34"/>
          <w:sz w:val="17"/>
          <w:szCs w:val="17"/>
        </w:rPr>
        <w:t xml:space="preserve"> </w:t>
      </w:r>
      <w:r>
        <w:rPr>
          <w:rFonts w:ascii="宋体" w:hAnsi="宋体" w:eastAsia="宋体" w:cs="宋体"/>
          <w:color w:val="231F20"/>
          <w:spacing w:val="-10"/>
          <w:sz w:val="17"/>
          <w:szCs w:val="17"/>
        </w:rPr>
        <w:t>Association.</w:t>
      </w:r>
      <w:r>
        <w:rPr>
          <w:rFonts w:ascii="宋体" w:hAnsi="宋体" w:eastAsia="宋体" w:cs="宋体"/>
          <w:color w:val="231F20"/>
          <w:spacing w:val="-32"/>
          <w:sz w:val="17"/>
          <w:szCs w:val="17"/>
        </w:rPr>
        <w:t xml:space="preserve"> </w:t>
      </w:r>
      <w:r>
        <w:rPr>
          <w:rFonts w:ascii="宋体" w:hAnsi="宋体" w:eastAsia="宋体" w:cs="宋体"/>
          <w:color w:val="231F20"/>
          <w:spacing w:val="-10"/>
          <w:sz w:val="17"/>
          <w:szCs w:val="17"/>
        </w:rPr>
        <w:t>Developing</w:t>
      </w:r>
      <w:r>
        <w:rPr>
          <w:rFonts w:ascii="宋体" w:hAnsi="宋体" w:eastAsia="宋体" w:cs="宋体"/>
          <w:color w:val="231F20"/>
          <w:spacing w:val="-33"/>
          <w:sz w:val="17"/>
          <w:szCs w:val="17"/>
        </w:rPr>
        <w:t xml:space="preserve"> </w:t>
      </w:r>
      <w:r>
        <w:rPr>
          <w:rFonts w:ascii="宋体" w:hAnsi="宋体" w:eastAsia="宋体" w:cs="宋体"/>
          <w:color w:val="231F20"/>
          <w:spacing w:val="-10"/>
          <w:sz w:val="17"/>
          <w:szCs w:val="17"/>
        </w:rPr>
        <w:t>an</w:t>
      </w:r>
      <w:r>
        <w:rPr>
          <w:rFonts w:ascii="宋体" w:hAnsi="宋体" w:eastAsia="宋体" w:cs="宋体"/>
          <w:color w:val="231F20"/>
          <w:spacing w:val="-32"/>
          <w:sz w:val="17"/>
          <w:szCs w:val="17"/>
        </w:rPr>
        <w:t xml:space="preserve"> </w:t>
      </w:r>
      <w:r>
        <w:rPr>
          <w:rFonts w:ascii="宋体" w:hAnsi="宋体" w:eastAsia="宋体" w:cs="宋体"/>
          <w:color w:val="231F20"/>
          <w:spacing w:val="-10"/>
          <w:sz w:val="17"/>
          <w:szCs w:val="17"/>
        </w:rPr>
        <w:t>internal</w:t>
      </w:r>
    </w:p>
    <w:p>
      <w:pPr>
        <w:spacing w:before="7" w:line="238" w:lineRule="auto"/>
        <w:ind w:left="383" w:right="83"/>
        <w:rPr>
          <w:rFonts w:ascii="宋体" w:hAnsi="宋体" w:eastAsia="宋体" w:cs="宋体"/>
          <w:sz w:val="17"/>
          <w:szCs w:val="17"/>
        </w:rPr>
      </w:pPr>
      <w:r>
        <w:rPr>
          <w:rFonts w:ascii="宋体" w:hAnsi="宋体" w:eastAsia="宋体" w:cs="宋体"/>
          <w:color w:val="231F20"/>
          <w:spacing w:val="-11"/>
          <w:sz w:val="17"/>
          <w:szCs w:val="17"/>
        </w:rPr>
        <w:t>quality</w:t>
      </w:r>
      <w:r>
        <w:rPr>
          <w:rFonts w:ascii="宋体" w:hAnsi="宋体" w:eastAsia="宋体" w:cs="宋体"/>
          <w:color w:val="231F20"/>
          <w:spacing w:val="-30"/>
          <w:sz w:val="17"/>
          <w:szCs w:val="17"/>
        </w:rPr>
        <w:t xml:space="preserve"> </w:t>
      </w:r>
      <w:r>
        <w:rPr>
          <w:rFonts w:ascii="宋体" w:hAnsi="宋体" w:eastAsia="宋体" w:cs="宋体"/>
          <w:color w:val="231F20"/>
          <w:spacing w:val="-11"/>
          <w:sz w:val="17"/>
          <w:szCs w:val="17"/>
        </w:rPr>
        <w:t>culture</w:t>
      </w:r>
      <w:r>
        <w:rPr>
          <w:rFonts w:ascii="宋体" w:hAnsi="宋体" w:eastAsia="宋体" w:cs="宋体"/>
          <w:color w:val="231F20"/>
          <w:spacing w:val="-33"/>
          <w:sz w:val="17"/>
          <w:szCs w:val="17"/>
        </w:rPr>
        <w:t xml:space="preserve"> </w:t>
      </w:r>
      <w:r>
        <w:rPr>
          <w:rFonts w:ascii="宋体" w:hAnsi="宋体" w:eastAsia="宋体" w:cs="宋体"/>
          <w:color w:val="231F20"/>
          <w:spacing w:val="-11"/>
          <w:sz w:val="17"/>
          <w:szCs w:val="17"/>
        </w:rPr>
        <w:t>in</w:t>
      </w:r>
      <w:r>
        <w:rPr>
          <w:rFonts w:ascii="宋体" w:hAnsi="宋体" w:eastAsia="宋体" w:cs="宋体"/>
          <w:color w:val="231F20"/>
          <w:spacing w:val="-33"/>
          <w:sz w:val="17"/>
          <w:szCs w:val="17"/>
        </w:rPr>
        <w:t xml:space="preserve"> </w:t>
      </w:r>
      <w:r>
        <w:rPr>
          <w:rFonts w:ascii="宋体" w:hAnsi="宋体" w:eastAsia="宋体" w:cs="宋体"/>
          <w:color w:val="231F20"/>
          <w:spacing w:val="-11"/>
          <w:sz w:val="17"/>
          <w:szCs w:val="17"/>
        </w:rPr>
        <w:t>European</w:t>
      </w:r>
      <w:r>
        <w:rPr>
          <w:rFonts w:ascii="宋体" w:hAnsi="宋体" w:eastAsia="宋体" w:cs="宋体"/>
          <w:color w:val="231F20"/>
          <w:spacing w:val="-34"/>
          <w:sz w:val="17"/>
          <w:szCs w:val="17"/>
        </w:rPr>
        <w:t xml:space="preserve"> </w:t>
      </w:r>
      <w:r>
        <w:rPr>
          <w:rFonts w:ascii="宋体" w:hAnsi="宋体" w:eastAsia="宋体" w:cs="宋体"/>
          <w:color w:val="231F20"/>
          <w:spacing w:val="-11"/>
          <w:sz w:val="17"/>
          <w:szCs w:val="17"/>
        </w:rPr>
        <w:t>universities</w:t>
      </w:r>
      <w:r>
        <w:rPr>
          <w:rFonts w:ascii="微软雅黑" w:hAnsi="微软雅黑" w:eastAsia="微软雅黑" w:cs="微软雅黑"/>
          <w:color w:val="231F20"/>
          <w:spacing w:val="-11"/>
          <w:sz w:val="17"/>
          <w:szCs w:val="17"/>
        </w:rPr>
        <w:t>［</w:t>
      </w:r>
      <w:r>
        <w:rPr>
          <w:rFonts w:ascii="宋体" w:hAnsi="宋体" w:eastAsia="宋体" w:cs="宋体"/>
          <w:color w:val="231F20"/>
          <w:spacing w:val="-11"/>
          <w:sz w:val="17"/>
          <w:szCs w:val="17"/>
        </w:rPr>
        <w:t>EB/OL</w:t>
      </w:r>
      <w:r>
        <w:rPr>
          <w:rFonts w:ascii="微软雅黑" w:hAnsi="微软雅黑" w:eastAsia="微软雅黑" w:cs="微软雅黑"/>
          <w:color w:val="231F20"/>
          <w:spacing w:val="-11"/>
          <w:sz w:val="17"/>
          <w:szCs w:val="17"/>
        </w:rPr>
        <w:t>］</w:t>
      </w:r>
      <w:r>
        <w:rPr>
          <w:rFonts w:ascii="宋体" w:hAnsi="宋体" w:eastAsia="宋体" w:cs="宋体"/>
          <w:color w:val="231F20"/>
          <w:spacing w:val="-11"/>
          <w:sz w:val="17"/>
          <w:szCs w:val="17"/>
        </w:rPr>
        <w:t>.(2005-03-</w:t>
      </w:r>
      <w:r>
        <w:rPr>
          <w:rFonts w:ascii="宋体" w:hAnsi="宋体" w:eastAsia="宋体" w:cs="宋体"/>
          <w:color w:val="231F20"/>
          <w:sz w:val="17"/>
          <w:szCs w:val="17"/>
        </w:rPr>
        <w:t xml:space="preserve">  </w:t>
      </w:r>
      <w:r>
        <w:rPr>
          <w:rFonts w:ascii="宋体" w:hAnsi="宋体" w:eastAsia="宋体" w:cs="宋体"/>
          <w:color w:val="231F20"/>
          <w:spacing w:val="-13"/>
          <w:sz w:val="17"/>
          <w:szCs w:val="17"/>
        </w:rPr>
        <w:t>11)</w:t>
      </w:r>
      <w:r>
        <w:rPr>
          <w:rFonts w:ascii="微软雅黑" w:hAnsi="微软雅黑" w:eastAsia="微软雅黑" w:cs="微软雅黑"/>
          <w:color w:val="231F20"/>
          <w:spacing w:val="-13"/>
          <w:sz w:val="17"/>
          <w:szCs w:val="17"/>
        </w:rPr>
        <w:t>［</w:t>
      </w:r>
      <w:r>
        <w:rPr>
          <w:rFonts w:ascii="宋体" w:hAnsi="宋体" w:eastAsia="宋体" w:cs="宋体"/>
          <w:color w:val="231F20"/>
          <w:spacing w:val="-13"/>
          <w:sz w:val="17"/>
          <w:szCs w:val="17"/>
        </w:rPr>
        <w:t>2022-07-14</w:t>
      </w:r>
      <w:r>
        <w:rPr>
          <w:rFonts w:ascii="微软雅黑" w:hAnsi="微软雅黑" w:eastAsia="微软雅黑" w:cs="微软雅黑"/>
          <w:color w:val="231F20"/>
          <w:spacing w:val="-13"/>
          <w:sz w:val="17"/>
          <w:szCs w:val="17"/>
        </w:rPr>
        <w:t>］</w:t>
      </w:r>
      <w:r>
        <w:rPr>
          <w:rFonts w:ascii="宋体" w:hAnsi="宋体" w:eastAsia="宋体" w:cs="宋体"/>
          <w:color w:val="231F20"/>
          <w:spacing w:val="-13"/>
          <w:sz w:val="17"/>
          <w:szCs w:val="17"/>
        </w:rPr>
        <w:t>.</w:t>
      </w:r>
      <w:r>
        <w:rPr>
          <w:rFonts w:ascii="宋体" w:hAnsi="宋体" w:eastAsia="宋体" w:cs="宋体"/>
          <w:color w:val="231F20"/>
          <w:spacing w:val="-35"/>
          <w:sz w:val="17"/>
          <w:szCs w:val="17"/>
        </w:rPr>
        <w:t xml:space="preserve"> </w:t>
      </w:r>
      <w:r>
        <w:rPr>
          <w:rFonts w:ascii="宋体" w:hAnsi="宋体" w:eastAsia="宋体" w:cs="宋体"/>
          <w:color w:val="231F20"/>
          <w:spacing w:val="-13"/>
          <w:sz w:val="17"/>
          <w:szCs w:val="17"/>
        </w:rPr>
        <w:t>https://eua.eu/reso</w:t>
      </w:r>
      <w:r>
        <w:rPr>
          <w:rFonts w:ascii="宋体" w:hAnsi="宋体" w:eastAsia="宋体" w:cs="宋体"/>
          <w:color w:val="231F20"/>
          <w:spacing w:val="-14"/>
          <w:sz w:val="17"/>
          <w:szCs w:val="17"/>
        </w:rPr>
        <w:t>urces/publications/664:</w:t>
      </w:r>
      <w:r>
        <w:rPr>
          <w:rFonts w:ascii="宋体" w:hAnsi="宋体" w:eastAsia="宋体" w:cs="宋体"/>
          <w:color w:val="231F20"/>
          <w:sz w:val="17"/>
          <w:szCs w:val="17"/>
        </w:rPr>
        <w:t xml:space="preserve"> </w:t>
      </w:r>
      <w:r>
        <w:rPr>
          <w:rFonts w:ascii="宋体" w:hAnsi="宋体" w:eastAsia="宋体" w:cs="宋体"/>
          <w:color w:val="231F20"/>
          <w:spacing w:val="-7"/>
          <w:sz w:val="17"/>
          <w:szCs w:val="17"/>
        </w:rPr>
        <w:t>developing-an-inter</w:t>
      </w:r>
      <w:r>
        <w:rPr>
          <w:rFonts w:ascii="宋体" w:hAnsi="宋体" w:eastAsia="宋体" w:cs="宋体"/>
          <w:color w:val="231F20"/>
          <w:spacing w:val="-8"/>
          <w:sz w:val="17"/>
          <w:szCs w:val="17"/>
        </w:rPr>
        <w:t>nal-quality-culture-in-european-</w:t>
      </w:r>
    </w:p>
    <w:p>
      <w:pPr>
        <w:spacing w:before="28" w:line="271" w:lineRule="exact"/>
        <w:ind w:left="380"/>
        <w:rPr>
          <w:rFonts w:ascii="宋体" w:hAnsi="宋体" w:eastAsia="宋体" w:cs="宋体"/>
          <w:sz w:val="17"/>
          <w:szCs w:val="17"/>
        </w:rPr>
      </w:pPr>
      <w:r>
        <w:rPr>
          <w:rFonts w:ascii="宋体" w:hAnsi="宋体" w:eastAsia="宋体" w:cs="宋体"/>
          <w:color w:val="231F20"/>
          <w:spacing w:val="-15"/>
          <w:position w:val="2"/>
          <w:sz w:val="17"/>
          <w:szCs w:val="17"/>
        </w:rPr>
        <w:t>universities.html.</w:t>
      </w:r>
    </w:p>
    <w:p>
      <w:pPr>
        <w:spacing w:before="33" w:line="232" w:lineRule="auto"/>
        <w:ind w:left="470" w:right="130" w:hanging="471"/>
        <w:rPr>
          <w:rFonts w:ascii="宋体" w:hAnsi="宋体" w:eastAsia="宋体" w:cs="宋体"/>
          <w:sz w:val="17"/>
          <w:szCs w:val="17"/>
        </w:rPr>
      </w:pPr>
      <w:r>
        <w:rPr>
          <w:rFonts w:ascii="微软雅黑" w:hAnsi="微软雅黑" w:eastAsia="微软雅黑" w:cs="微软雅黑"/>
          <w:color w:val="231F20"/>
          <w:spacing w:val="-10"/>
          <w:sz w:val="17"/>
          <w:szCs w:val="17"/>
        </w:rPr>
        <w:t>［</w:t>
      </w:r>
      <w:r>
        <w:rPr>
          <w:rFonts w:ascii="宋体" w:hAnsi="宋体" w:eastAsia="宋体" w:cs="宋体"/>
          <w:color w:val="231F20"/>
          <w:spacing w:val="-10"/>
          <w:sz w:val="17"/>
          <w:szCs w:val="17"/>
        </w:rPr>
        <w:t>10</w:t>
      </w:r>
      <w:r>
        <w:rPr>
          <w:rFonts w:ascii="微软雅黑" w:hAnsi="微软雅黑" w:eastAsia="微软雅黑" w:cs="微软雅黑"/>
          <w:color w:val="231F20"/>
          <w:spacing w:val="-10"/>
          <w:sz w:val="17"/>
          <w:szCs w:val="17"/>
        </w:rPr>
        <w:t>］</w:t>
      </w:r>
      <w:r>
        <w:rPr>
          <w:rFonts w:ascii="宋体" w:hAnsi="宋体" w:eastAsia="宋体" w:cs="宋体"/>
          <w:color w:val="231F20"/>
          <w:spacing w:val="-10"/>
          <w:sz w:val="17"/>
          <w:szCs w:val="17"/>
        </w:rPr>
        <w:t>European</w:t>
      </w:r>
      <w:r>
        <w:rPr>
          <w:rFonts w:ascii="宋体" w:hAnsi="宋体" w:eastAsia="宋体" w:cs="宋体"/>
          <w:color w:val="231F20"/>
          <w:spacing w:val="-27"/>
          <w:sz w:val="17"/>
          <w:szCs w:val="17"/>
        </w:rPr>
        <w:t xml:space="preserve"> </w:t>
      </w:r>
      <w:r>
        <w:rPr>
          <w:rFonts w:ascii="宋体" w:hAnsi="宋体" w:eastAsia="宋体" w:cs="宋体"/>
          <w:color w:val="231F20"/>
          <w:spacing w:val="-10"/>
          <w:sz w:val="17"/>
          <w:szCs w:val="17"/>
        </w:rPr>
        <w:t>University</w:t>
      </w:r>
      <w:r>
        <w:rPr>
          <w:rFonts w:ascii="宋体" w:hAnsi="宋体" w:eastAsia="宋体" w:cs="宋体"/>
          <w:color w:val="231F20"/>
          <w:spacing w:val="-35"/>
          <w:sz w:val="17"/>
          <w:szCs w:val="17"/>
        </w:rPr>
        <w:t xml:space="preserve"> </w:t>
      </w:r>
      <w:r>
        <w:rPr>
          <w:rFonts w:ascii="宋体" w:hAnsi="宋体" w:eastAsia="宋体" w:cs="宋体"/>
          <w:color w:val="231F20"/>
          <w:spacing w:val="-10"/>
          <w:sz w:val="17"/>
          <w:szCs w:val="17"/>
        </w:rPr>
        <w:t>Association.</w:t>
      </w:r>
      <w:r>
        <w:rPr>
          <w:rFonts w:ascii="宋体" w:hAnsi="宋体" w:eastAsia="宋体" w:cs="宋体"/>
          <w:color w:val="231F20"/>
          <w:spacing w:val="-34"/>
          <w:sz w:val="17"/>
          <w:szCs w:val="17"/>
        </w:rPr>
        <w:t xml:space="preserve"> </w:t>
      </w:r>
      <w:r>
        <w:rPr>
          <w:rFonts w:ascii="宋体" w:hAnsi="宋体" w:eastAsia="宋体" w:cs="宋体"/>
          <w:color w:val="231F20"/>
          <w:spacing w:val="-10"/>
          <w:sz w:val="17"/>
          <w:szCs w:val="17"/>
        </w:rPr>
        <w:t>Examining</w:t>
      </w:r>
      <w:r>
        <w:rPr>
          <w:rFonts w:ascii="宋体" w:hAnsi="宋体" w:eastAsia="宋体" w:cs="宋体"/>
          <w:color w:val="231F20"/>
          <w:spacing w:val="-32"/>
          <w:sz w:val="17"/>
          <w:szCs w:val="17"/>
        </w:rPr>
        <w:t xml:space="preserve"> </w:t>
      </w:r>
      <w:r>
        <w:rPr>
          <w:rFonts w:ascii="宋体" w:hAnsi="宋体" w:eastAsia="宋体" w:cs="宋体"/>
          <w:color w:val="231F20"/>
          <w:spacing w:val="-10"/>
          <w:sz w:val="17"/>
          <w:szCs w:val="17"/>
        </w:rPr>
        <w:t>quality</w:t>
      </w:r>
      <w:r>
        <w:rPr>
          <w:rFonts w:ascii="宋体" w:hAnsi="宋体" w:eastAsia="宋体" w:cs="宋体"/>
          <w:color w:val="231F20"/>
          <w:spacing w:val="-33"/>
          <w:sz w:val="17"/>
          <w:szCs w:val="17"/>
        </w:rPr>
        <w:t xml:space="preserve"> </w:t>
      </w:r>
      <w:r>
        <w:rPr>
          <w:rFonts w:ascii="宋体" w:hAnsi="宋体" w:eastAsia="宋体" w:cs="宋体"/>
          <w:color w:val="231F20"/>
          <w:spacing w:val="-10"/>
          <w:sz w:val="17"/>
          <w:szCs w:val="17"/>
        </w:rPr>
        <w:t>culture</w:t>
      </w:r>
      <w:r>
        <w:rPr>
          <w:rFonts w:ascii="宋体" w:hAnsi="宋体" w:eastAsia="宋体" w:cs="宋体"/>
          <w:color w:val="231F20"/>
          <w:sz w:val="17"/>
          <w:szCs w:val="17"/>
        </w:rPr>
        <w:t xml:space="preserve"> </w:t>
      </w:r>
      <w:r>
        <w:rPr>
          <w:rFonts w:ascii="宋体" w:hAnsi="宋体" w:eastAsia="宋体" w:cs="宋体"/>
          <w:color w:val="231F20"/>
          <w:spacing w:val="-12"/>
          <w:sz w:val="17"/>
          <w:szCs w:val="17"/>
        </w:rPr>
        <w:t>part</w:t>
      </w:r>
      <w:r>
        <w:rPr>
          <w:rFonts w:ascii="宋体" w:hAnsi="宋体" w:eastAsia="宋体" w:cs="宋体"/>
          <w:color w:val="231F20"/>
          <w:spacing w:val="-34"/>
          <w:sz w:val="17"/>
          <w:szCs w:val="17"/>
        </w:rPr>
        <w:t xml:space="preserve"> </w:t>
      </w:r>
      <w:r>
        <w:rPr>
          <w:rFonts w:ascii="宋体" w:hAnsi="宋体" w:eastAsia="宋体" w:cs="宋体"/>
          <w:color w:val="231F20"/>
          <w:spacing w:val="-12"/>
          <w:sz w:val="17"/>
          <w:szCs w:val="17"/>
        </w:rPr>
        <w:t>II:</w:t>
      </w:r>
      <w:r>
        <w:rPr>
          <w:rFonts w:ascii="宋体" w:hAnsi="宋体" w:eastAsia="宋体" w:cs="宋体"/>
          <w:color w:val="231F20"/>
          <w:spacing w:val="-35"/>
          <w:sz w:val="17"/>
          <w:szCs w:val="17"/>
        </w:rPr>
        <w:t xml:space="preserve"> </w:t>
      </w:r>
      <w:r>
        <w:rPr>
          <w:rFonts w:ascii="宋体" w:hAnsi="宋体" w:eastAsia="宋体" w:cs="宋体"/>
          <w:color w:val="231F20"/>
          <w:spacing w:val="-12"/>
          <w:sz w:val="17"/>
          <w:szCs w:val="17"/>
        </w:rPr>
        <w:t>processes</w:t>
      </w:r>
      <w:r>
        <w:rPr>
          <w:rFonts w:ascii="宋体" w:hAnsi="宋体" w:eastAsia="宋体" w:cs="宋体"/>
          <w:color w:val="231F20"/>
          <w:spacing w:val="-33"/>
          <w:sz w:val="17"/>
          <w:szCs w:val="17"/>
        </w:rPr>
        <w:t xml:space="preserve"> </w:t>
      </w:r>
      <w:r>
        <w:rPr>
          <w:rFonts w:ascii="宋体" w:hAnsi="宋体" w:eastAsia="宋体" w:cs="宋体"/>
          <w:color w:val="231F20"/>
          <w:spacing w:val="-12"/>
          <w:sz w:val="17"/>
          <w:szCs w:val="17"/>
        </w:rPr>
        <w:t>and</w:t>
      </w:r>
      <w:r>
        <w:rPr>
          <w:rFonts w:ascii="宋体" w:hAnsi="宋体" w:eastAsia="宋体" w:cs="宋体"/>
          <w:color w:val="231F20"/>
          <w:spacing w:val="-35"/>
          <w:sz w:val="17"/>
          <w:szCs w:val="17"/>
        </w:rPr>
        <w:t xml:space="preserve"> </w:t>
      </w:r>
      <w:r>
        <w:rPr>
          <w:rFonts w:ascii="宋体" w:hAnsi="宋体" w:eastAsia="宋体" w:cs="宋体"/>
          <w:color w:val="231F20"/>
          <w:spacing w:val="-13"/>
          <w:sz w:val="17"/>
          <w:szCs w:val="17"/>
        </w:rPr>
        <w:t>tools-participation,</w:t>
      </w:r>
      <w:r>
        <w:rPr>
          <w:rFonts w:ascii="宋体" w:hAnsi="宋体" w:eastAsia="宋体" w:cs="宋体"/>
          <w:color w:val="231F20"/>
          <w:spacing w:val="-34"/>
          <w:sz w:val="17"/>
          <w:szCs w:val="17"/>
        </w:rPr>
        <w:t xml:space="preserve"> </w:t>
      </w:r>
      <w:r>
        <w:rPr>
          <w:rFonts w:ascii="宋体" w:hAnsi="宋体" w:eastAsia="宋体" w:cs="宋体"/>
          <w:color w:val="231F20"/>
          <w:spacing w:val="-13"/>
          <w:sz w:val="17"/>
          <w:szCs w:val="17"/>
        </w:rPr>
        <w:t>ownership</w:t>
      </w:r>
      <w:r>
        <w:rPr>
          <w:rFonts w:ascii="宋体" w:hAnsi="宋体" w:eastAsia="宋体" w:cs="宋体"/>
          <w:color w:val="231F20"/>
          <w:spacing w:val="-32"/>
          <w:sz w:val="17"/>
          <w:szCs w:val="17"/>
        </w:rPr>
        <w:t xml:space="preserve"> </w:t>
      </w:r>
      <w:r>
        <w:rPr>
          <w:rFonts w:ascii="宋体" w:hAnsi="宋体" w:eastAsia="宋体" w:cs="宋体"/>
          <w:color w:val="231F20"/>
          <w:spacing w:val="-13"/>
          <w:sz w:val="17"/>
          <w:szCs w:val="17"/>
        </w:rPr>
        <w:t>and</w:t>
      </w:r>
    </w:p>
    <w:p>
      <w:pPr>
        <w:spacing w:before="27" w:line="222" w:lineRule="auto"/>
        <w:ind w:left="471"/>
        <w:rPr>
          <w:rFonts w:ascii="宋体" w:hAnsi="宋体" w:eastAsia="宋体" w:cs="宋体"/>
          <w:sz w:val="17"/>
          <w:szCs w:val="17"/>
        </w:rPr>
      </w:pPr>
      <w:r>
        <w:rPr>
          <w:rFonts w:ascii="宋体" w:hAnsi="宋体" w:eastAsia="宋体" w:cs="宋体"/>
          <w:color w:val="231F20"/>
          <w:spacing w:val="-12"/>
          <w:sz w:val="17"/>
          <w:szCs w:val="17"/>
        </w:rPr>
        <w:t>bureaucracy</w:t>
      </w:r>
      <w:r>
        <w:rPr>
          <w:rFonts w:ascii="微软雅黑" w:hAnsi="微软雅黑" w:eastAsia="微软雅黑" w:cs="微软雅黑"/>
          <w:color w:val="231F20"/>
          <w:spacing w:val="-12"/>
          <w:sz w:val="17"/>
          <w:szCs w:val="17"/>
        </w:rPr>
        <w:t>［</w:t>
      </w:r>
      <w:r>
        <w:rPr>
          <w:rFonts w:ascii="宋体" w:hAnsi="宋体" w:eastAsia="宋体" w:cs="宋体"/>
          <w:color w:val="231F20"/>
          <w:spacing w:val="-12"/>
          <w:sz w:val="17"/>
          <w:szCs w:val="17"/>
        </w:rPr>
        <w:t>EB/OL</w:t>
      </w:r>
      <w:r>
        <w:rPr>
          <w:rFonts w:ascii="微软雅黑" w:hAnsi="微软雅黑" w:eastAsia="微软雅黑" w:cs="微软雅黑"/>
          <w:color w:val="231F20"/>
          <w:spacing w:val="-12"/>
          <w:sz w:val="17"/>
          <w:szCs w:val="17"/>
        </w:rPr>
        <w:t>］</w:t>
      </w:r>
      <w:r>
        <w:rPr>
          <w:rFonts w:ascii="宋体" w:hAnsi="宋体" w:eastAsia="宋体" w:cs="宋体"/>
          <w:color w:val="231F20"/>
          <w:spacing w:val="-12"/>
          <w:sz w:val="17"/>
          <w:szCs w:val="17"/>
        </w:rPr>
        <w:t>.</w:t>
      </w:r>
      <w:r>
        <w:rPr>
          <w:rFonts w:ascii="微软雅黑" w:hAnsi="微软雅黑" w:eastAsia="微软雅黑" w:cs="微软雅黑"/>
          <w:color w:val="231F20"/>
          <w:spacing w:val="-12"/>
          <w:sz w:val="17"/>
          <w:szCs w:val="17"/>
        </w:rPr>
        <w:t>［</w:t>
      </w:r>
      <w:r>
        <w:rPr>
          <w:rFonts w:ascii="宋体" w:hAnsi="宋体" w:eastAsia="宋体" w:cs="宋体"/>
          <w:color w:val="231F20"/>
          <w:spacing w:val="-12"/>
          <w:sz w:val="17"/>
          <w:szCs w:val="17"/>
        </w:rPr>
        <w:t>2022-05-08</w:t>
      </w:r>
      <w:r>
        <w:rPr>
          <w:rFonts w:ascii="微软雅黑" w:hAnsi="微软雅黑" w:eastAsia="微软雅黑" w:cs="微软雅黑"/>
          <w:color w:val="231F20"/>
          <w:spacing w:val="-12"/>
          <w:sz w:val="17"/>
          <w:szCs w:val="17"/>
        </w:rPr>
        <w:t>］</w:t>
      </w:r>
      <w:r>
        <w:rPr>
          <w:rFonts w:ascii="宋体" w:hAnsi="宋体" w:eastAsia="宋体" w:cs="宋体"/>
          <w:color w:val="231F20"/>
          <w:spacing w:val="-12"/>
          <w:sz w:val="17"/>
          <w:szCs w:val="17"/>
        </w:rPr>
        <w:t>.</w:t>
      </w:r>
      <w:r>
        <w:rPr>
          <w:rFonts w:ascii="宋体" w:hAnsi="宋体" w:eastAsia="宋体" w:cs="宋体"/>
          <w:color w:val="231F20"/>
          <w:spacing w:val="-35"/>
          <w:sz w:val="17"/>
          <w:szCs w:val="17"/>
        </w:rPr>
        <w:t xml:space="preserve"> </w:t>
      </w:r>
      <w:r>
        <w:rPr>
          <w:rFonts w:ascii="宋体" w:hAnsi="宋体" w:eastAsia="宋体" w:cs="宋体"/>
          <w:color w:val="231F20"/>
          <w:spacing w:val="-12"/>
          <w:sz w:val="17"/>
          <w:szCs w:val="17"/>
        </w:rPr>
        <w:t>htt</w:t>
      </w:r>
      <w:r>
        <w:rPr>
          <w:rFonts w:ascii="宋体" w:hAnsi="宋体" w:eastAsia="宋体" w:cs="宋体"/>
          <w:color w:val="231F20"/>
          <w:spacing w:val="-13"/>
          <w:sz w:val="17"/>
          <w:szCs w:val="17"/>
        </w:rPr>
        <w:t>ps://eua.eu/</w:t>
      </w:r>
    </w:p>
    <w:p>
      <w:pPr>
        <w:spacing w:before="6" w:line="284" w:lineRule="auto"/>
        <w:ind w:left="472" w:right="140"/>
        <w:rPr>
          <w:rFonts w:ascii="宋体" w:hAnsi="宋体" w:eastAsia="宋体" w:cs="宋体"/>
          <w:sz w:val="17"/>
          <w:szCs w:val="17"/>
        </w:rPr>
      </w:pPr>
      <w:r>
        <w:rPr>
          <w:rFonts w:ascii="宋体" w:hAnsi="宋体" w:eastAsia="宋体" w:cs="宋体"/>
          <w:color w:val="231F20"/>
          <w:spacing w:val="-5"/>
          <w:sz w:val="17"/>
          <w:szCs w:val="17"/>
        </w:rPr>
        <w:t>downloads/publications/examining%20quali</w:t>
      </w:r>
      <w:r>
        <w:rPr>
          <w:rFonts w:ascii="宋体" w:hAnsi="宋体" w:eastAsia="宋体" w:cs="宋体"/>
          <w:color w:val="231F20"/>
          <w:spacing w:val="-6"/>
          <w:sz w:val="17"/>
          <w:szCs w:val="17"/>
        </w:rPr>
        <w:t>ty%20culture%</w:t>
      </w:r>
      <w:r>
        <w:rPr>
          <w:rFonts w:ascii="宋体" w:hAnsi="宋体" w:eastAsia="宋体" w:cs="宋体"/>
          <w:color w:val="231F20"/>
          <w:sz w:val="17"/>
          <w:szCs w:val="17"/>
        </w:rPr>
        <w:t xml:space="preserve"> </w:t>
      </w:r>
      <w:r>
        <w:rPr>
          <w:rFonts w:ascii="宋体" w:hAnsi="宋体" w:eastAsia="宋体" w:cs="宋体"/>
          <w:color w:val="231F20"/>
          <w:spacing w:val="7"/>
          <w:sz w:val="17"/>
          <w:szCs w:val="17"/>
        </w:rPr>
        <w:t>20</w:t>
      </w:r>
      <w:r>
        <w:rPr>
          <w:rFonts w:ascii="宋体" w:hAnsi="宋体" w:eastAsia="宋体" w:cs="宋体"/>
          <w:color w:val="231F20"/>
          <w:sz w:val="17"/>
          <w:szCs w:val="17"/>
        </w:rPr>
        <w:t>part</w:t>
      </w:r>
      <w:r>
        <w:rPr>
          <w:rFonts w:ascii="宋体" w:hAnsi="宋体" w:eastAsia="宋体" w:cs="宋体"/>
          <w:color w:val="231F20"/>
          <w:spacing w:val="7"/>
          <w:sz w:val="17"/>
          <w:szCs w:val="17"/>
        </w:rPr>
        <w:t>%20</w:t>
      </w:r>
      <w:r>
        <w:rPr>
          <w:rFonts w:ascii="宋体" w:hAnsi="宋体" w:eastAsia="宋体" w:cs="宋体"/>
          <w:color w:val="231F20"/>
          <w:sz w:val="17"/>
          <w:szCs w:val="17"/>
        </w:rPr>
        <w:t>ii</w:t>
      </w:r>
      <w:r>
        <w:rPr>
          <w:rFonts w:ascii="宋体" w:hAnsi="宋体" w:eastAsia="宋体" w:cs="宋体"/>
          <w:color w:val="231F20"/>
          <w:spacing w:val="7"/>
          <w:sz w:val="17"/>
          <w:szCs w:val="17"/>
        </w:rPr>
        <w:t>%20</w:t>
      </w:r>
      <w:r>
        <w:rPr>
          <w:rFonts w:ascii="宋体" w:hAnsi="宋体" w:eastAsia="宋体" w:cs="宋体"/>
          <w:color w:val="231F20"/>
          <w:sz w:val="17"/>
          <w:szCs w:val="17"/>
        </w:rPr>
        <w:t>processes</w:t>
      </w:r>
      <w:r>
        <w:rPr>
          <w:rFonts w:ascii="宋体" w:hAnsi="宋体" w:eastAsia="宋体" w:cs="宋体"/>
          <w:color w:val="231F20"/>
          <w:spacing w:val="7"/>
          <w:sz w:val="17"/>
          <w:szCs w:val="17"/>
        </w:rPr>
        <w:t>%20</w:t>
      </w:r>
      <w:r>
        <w:rPr>
          <w:rFonts w:ascii="宋体" w:hAnsi="宋体" w:eastAsia="宋体" w:cs="宋体"/>
          <w:color w:val="231F20"/>
          <w:sz w:val="17"/>
          <w:szCs w:val="17"/>
        </w:rPr>
        <w:t>and</w:t>
      </w:r>
      <w:r>
        <w:rPr>
          <w:rFonts w:ascii="宋体" w:hAnsi="宋体" w:eastAsia="宋体" w:cs="宋体"/>
          <w:color w:val="231F20"/>
          <w:spacing w:val="7"/>
          <w:sz w:val="17"/>
          <w:szCs w:val="17"/>
        </w:rPr>
        <w:t>%20</w:t>
      </w:r>
      <w:r>
        <w:rPr>
          <w:rFonts w:ascii="宋体" w:hAnsi="宋体" w:eastAsia="宋体" w:cs="宋体"/>
          <w:color w:val="231F20"/>
          <w:sz w:val="17"/>
          <w:szCs w:val="17"/>
        </w:rPr>
        <w:t>tools</w:t>
      </w:r>
      <w:r>
        <w:rPr>
          <w:rFonts w:ascii="宋体" w:hAnsi="宋体" w:eastAsia="宋体" w:cs="宋体"/>
          <w:color w:val="231F20"/>
          <w:spacing w:val="7"/>
          <w:sz w:val="17"/>
          <w:szCs w:val="17"/>
        </w:rPr>
        <w:t>%20-%</w:t>
      </w:r>
    </w:p>
    <w:p>
      <w:pPr>
        <w:spacing w:before="28" w:line="248" w:lineRule="exact"/>
        <w:ind w:left="472"/>
        <w:rPr>
          <w:rFonts w:ascii="宋体" w:hAnsi="宋体" w:eastAsia="宋体" w:cs="宋体"/>
          <w:sz w:val="17"/>
          <w:szCs w:val="17"/>
        </w:rPr>
      </w:pPr>
      <w:r>
        <w:rPr>
          <w:rFonts w:ascii="宋体" w:hAnsi="宋体" w:eastAsia="宋体" w:cs="宋体"/>
          <w:color w:val="231F20"/>
          <w:spacing w:val="-4"/>
          <w:position w:val="2"/>
          <w:sz w:val="17"/>
          <w:szCs w:val="17"/>
        </w:rPr>
        <w:t>20participation%20ownership%20and.pdf.</w:t>
      </w:r>
    </w:p>
    <w:p>
      <w:pPr>
        <w:spacing w:before="55" w:line="232" w:lineRule="auto"/>
        <w:ind w:left="470" w:right="130" w:hanging="471"/>
        <w:rPr>
          <w:rFonts w:ascii="宋体" w:hAnsi="宋体" w:eastAsia="宋体" w:cs="宋体"/>
          <w:sz w:val="17"/>
          <w:szCs w:val="17"/>
        </w:rPr>
      </w:pPr>
      <w:r>
        <w:rPr>
          <w:rFonts w:ascii="微软雅黑" w:hAnsi="微软雅黑" w:eastAsia="微软雅黑" w:cs="微软雅黑"/>
          <w:color w:val="231F20"/>
          <w:spacing w:val="-10"/>
          <w:sz w:val="17"/>
          <w:szCs w:val="17"/>
        </w:rPr>
        <w:t>［</w:t>
      </w:r>
      <w:r>
        <w:rPr>
          <w:rFonts w:ascii="宋体" w:hAnsi="宋体" w:eastAsia="宋体" w:cs="宋体"/>
          <w:color w:val="231F20"/>
          <w:spacing w:val="-10"/>
          <w:sz w:val="17"/>
          <w:szCs w:val="17"/>
        </w:rPr>
        <w:t>11</w:t>
      </w:r>
      <w:r>
        <w:rPr>
          <w:rFonts w:ascii="微软雅黑" w:hAnsi="微软雅黑" w:eastAsia="微软雅黑" w:cs="微软雅黑"/>
          <w:color w:val="231F20"/>
          <w:spacing w:val="-10"/>
          <w:sz w:val="17"/>
          <w:szCs w:val="17"/>
        </w:rPr>
        <w:t>］</w:t>
      </w:r>
      <w:r>
        <w:rPr>
          <w:rFonts w:ascii="宋体" w:hAnsi="宋体" w:eastAsia="宋体" w:cs="宋体"/>
          <w:color w:val="231F20"/>
          <w:spacing w:val="-10"/>
          <w:sz w:val="17"/>
          <w:szCs w:val="17"/>
        </w:rPr>
        <w:t>European</w:t>
      </w:r>
      <w:r>
        <w:rPr>
          <w:rFonts w:ascii="宋体" w:hAnsi="宋体" w:eastAsia="宋体" w:cs="宋体"/>
          <w:color w:val="231F20"/>
          <w:spacing w:val="-27"/>
          <w:sz w:val="17"/>
          <w:szCs w:val="17"/>
        </w:rPr>
        <w:t xml:space="preserve"> </w:t>
      </w:r>
      <w:r>
        <w:rPr>
          <w:rFonts w:ascii="宋体" w:hAnsi="宋体" w:eastAsia="宋体" w:cs="宋体"/>
          <w:color w:val="231F20"/>
          <w:spacing w:val="-10"/>
          <w:sz w:val="17"/>
          <w:szCs w:val="17"/>
        </w:rPr>
        <w:t>University</w:t>
      </w:r>
      <w:r>
        <w:rPr>
          <w:rFonts w:ascii="宋体" w:hAnsi="宋体" w:eastAsia="宋体" w:cs="宋体"/>
          <w:color w:val="231F20"/>
          <w:spacing w:val="-35"/>
          <w:sz w:val="17"/>
          <w:szCs w:val="17"/>
        </w:rPr>
        <w:t xml:space="preserve"> </w:t>
      </w:r>
      <w:r>
        <w:rPr>
          <w:rFonts w:ascii="宋体" w:hAnsi="宋体" w:eastAsia="宋体" w:cs="宋体"/>
          <w:color w:val="231F20"/>
          <w:spacing w:val="-10"/>
          <w:sz w:val="17"/>
          <w:szCs w:val="17"/>
        </w:rPr>
        <w:t>Association.</w:t>
      </w:r>
      <w:r>
        <w:rPr>
          <w:rFonts w:ascii="宋体" w:hAnsi="宋体" w:eastAsia="宋体" w:cs="宋体"/>
          <w:color w:val="231F20"/>
          <w:spacing w:val="-34"/>
          <w:sz w:val="17"/>
          <w:szCs w:val="17"/>
        </w:rPr>
        <w:t xml:space="preserve"> </w:t>
      </w:r>
      <w:r>
        <w:rPr>
          <w:rFonts w:ascii="宋体" w:hAnsi="宋体" w:eastAsia="宋体" w:cs="宋体"/>
          <w:color w:val="231F20"/>
          <w:spacing w:val="-10"/>
          <w:sz w:val="17"/>
          <w:szCs w:val="17"/>
        </w:rPr>
        <w:t>Examining</w:t>
      </w:r>
      <w:r>
        <w:rPr>
          <w:rFonts w:ascii="宋体" w:hAnsi="宋体" w:eastAsia="宋体" w:cs="宋体"/>
          <w:color w:val="231F20"/>
          <w:spacing w:val="-32"/>
          <w:sz w:val="17"/>
          <w:szCs w:val="17"/>
        </w:rPr>
        <w:t xml:space="preserve"> </w:t>
      </w:r>
      <w:r>
        <w:rPr>
          <w:rFonts w:ascii="宋体" w:hAnsi="宋体" w:eastAsia="宋体" w:cs="宋体"/>
          <w:color w:val="231F20"/>
          <w:spacing w:val="-10"/>
          <w:sz w:val="17"/>
          <w:szCs w:val="17"/>
        </w:rPr>
        <w:t>quality</w:t>
      </w:r>
      <w:r>
        <w:rPr>
          <w:rFonts w:ascii="宋体" w:hAnsi="宋体" w:eastAsia="宋体" w:cs="宋体"/>
          <w:color w:val="231F20"/>
          <w:spacing w:val="-33"/>
          <w:sz w:val="17"/>
          <w:szCs w:val="17"/>
        </w:rPr>
        <w:t xml:space="preserve"> </w:t>
      </w:r>
      <w:r>
        <w:rPr>
          <w:rFonts w:ascii="宋体" w:hAnsi="宋体" w:eastAsia="宋体" w:cs="宋体"/>
          <w:color w:val="231F20"/>
          <w:spacing w:val="-10"/>
          <w:sz w:val="17"/>
          <w:szCs w:val="17"/>
        </w:rPr>
        <w:t>culture</w:t>
      </w:r>
      <w:r>
        <w:rPr>
          <w:rFonts w:ascii="宋体" w:hAnsi="宋体" w:eastAsia="宋体" w:cs="宋体"/>
          <w:color w:val="231F20"/>
          <w:sz w:val="17"/>
          <w:szCs w:val="17"/>
        </w:rPr>
        <w:t xml:space="preserve"> </w:t>
      </w:r>
      <w:r>
        <w:rPr>
          <w:rFonts w:ascii="宋体" w:hAnsi="宋体" w:eastAsia="宋体" w:cs="宋体"/>
          <w:color w:val="231F20"/>
          <w:spacing w:val="-11"/>
          <w:sz w:val="17"/>
          <w:szCs w:val="17"/>
        </w:rPr>
        <w:t>part</w:t>
      </w:r>
      <w:r>
        <w:rPr>
          <w:rFonts w:ascii="宋体" w:hAnsi="宋体" w:eastAsia="宋体" w:cs="宋体"/>
          <w:color w:val="231F20"/>
          <w:spacing w:val="-34"/>
          <w:sz w:val="17"/>
          <w:szCs w:val="17"/>
        </w:rPr>
        <w:t xml:space="preserve"> </w:t>
      </w:r>
      <w:r>
        <w:rPr>
          <w:rFonts w:ascii="宋体" w:hAnsi="宋体" w:eastAsia="宋体" w:cs="宋体"/>
          <w:color w:val="231F20"/>
          <w:spacing w:val="-11"/>
          <w:sz w:val="17"/>
          <w:szCs w:val="17"/>
        </w:rPr>
        <w:t>I-quality</w:t>
      </w:r>
      <w:r>
        <w:rPr>
          <w:rFonts w:ascii="宋体" w:hAnsi="宋体" w:eastAsia="宋体" w:cs="宋体"/>
          <w:color w:val="231F20"/>
          <w:spacing w:val="-32"/>
          <w:sz w:val="17"/>
          <w:szCs w:val="17"/>
        </w:rPr>
        <w:t xml:space="preserve"> </w:t>
      </w:r>
      <w:r>
        <w:rPr>
          <w:rFonts w:ascii="宋体" w:hAnsi="宋体" w:eastAsia="宋体" w:cs="宋体"/>
          <w:color w:val="231F20"/>
          <w:spacing w:val="-11"/>
          <w:sz w:val="17"/>
          <w:szCs w:val="17"/>
        </w:rPr>
        <w:t>assurance</w:t>
      </w:r>
      <w:r>
        <w:rPr>
          <w:rFonts w:ascii="宋体" w:hAnsi="宋体" w:eastAsia="宋体" w:cs="宋体"/>
          <w:color w:val="231F20"/>
          <w:spacing w:val="-35"/>
          <w:sz w:val="17"/>
          <w:szCs w:val="17"/>
        </w:rPr>
        <w:t xml:space="preserve"> </w:t>
      </w:r>
      <w:r>
        <w:rPr>
          <w:rFonts w:ascii="宋体" w:hAnsi="宋体" w:eastAsia="宋体" w:cs="宋体"/>
          <w:color w:val="231F20"/>
          <w:spacing w:val="-11"/>
          <w:sz w:val="17"/>
          <w:szCs w:val="17"/>
        </w:rPr>
        <w:t>processes</w:t>
      </w:r>
      <w:r>
        <w:rPr>
          <w:rFonts w:ascii="宋体" w:hAnsi="宋体" w:eastAsia="宋体" w:cs="宋体"/>
          <w:color w:val="231F20"/>
          <w:spacing w:val="-32"/>
          <w:sz w:val="17"/>
          <w:szCs w:val="17"/>
        </w:rPr>
        <w:t xml:space="preserve"> </w:t>
      </w:r>
      <w:r>
        <w:rPr>
          <w:rFonts w:ascii="宋体" w:hAnsi="宋体" w:eastAsia="宋体" w:cs="宋体"/>
          <w:color w:val="231F20"/>
          <w:spacing w:val="-11"/>
          <w:sz w:val="17"/>
          <w:szCs w:val="17"/>
        </w:rPr>
        <w:t>i</w:t>
      </w:r>
      <w:r>
        <w:rPr>
          <w:rFonts w:ascii="宋体" w:hAnsi="宋体" w:eastAsia="宋体" w:cs="宋体"/>
          <w:color w:val="231F20"/>
          <w:spacing w:val="-12"/>
          <w:sz w:val="17"/>
          <w:szCs w:val="17"/>
        </w:rPr>
        <w:t>n</w:t>
      </w:r>
      <w:r>
        <w:rPr>
          <w:rFonts w:ascii="宋体" w:hAnsi="宋体" w:eastAsia="宋体" w:cs="宋体"/>
          <w:color w:val="231F20"/>
          <w:spacing w:val="-34"/>
          <w:sz w:val="17"/>
          <w:szCs w:val="17"/>
        </w:rPr>
        <w:t xml:space="preserve"> </w:t>
      </w:r>
      <w:r>
        <w:rPr>
          <w:rFonts w:ascii="宋体" w:hAnsi="宋体" w:eastAsia="宋体" w:cs="宋体"/>
          <w:color w:val="231F20"/>
          <w:spacing w:val="-12"/>
          <w:sz w:val="17"/>
          <w:szCs w:val="17"/>
        </w:rPr>
        <w:t>higher</w:t>
      </w:r>
      <w:r>
        <w:rPr>
          <w:rFonts w:ascii="宋体" w:hAnsi="宋体" w:eastAsia="宋体" w:cs="宋体"/>
          <w:color w:val="231F20"/>
          <w:spacing w:val="-35"/>
          <w:sz w:val="17"/>
          <w:szCs w:val="17"/>
        </w:rPr>
        <w:t xml:space="preserve"> </w:t>
      </w:r>
      <w:r>
        <w:rPr>
          <w:rFonts w:ascii="宋体" w:hAnsi="宋体" w:eastAsia="宋体" w:cs="宋体"/>
          <w:color w:val="231F20"/>
          <w:spacing w:val="-12"/>
          <w:sz w:val="17"/>
          <w:szCs w:val="17"/>
        </w:rPr>
        <w:t>education</w:t>
      </w:r>
    </w:p>
    <w:p>
      <w:pPr>
        <w:spacing w:before="28" w:line="222" w:lineRule="auto"/>
        <w:ind w:left="472"/>
        <w:rPr>
          <w:rFonts w:ascii="宋体" w:hAnsi="宋体" w:eastAsia="宋体" w:cs="宋体"/>
          <w:sz w:val="17"/>
          <w:szCs w:val="17"/>
        </w:rPr>
      </w:pPr>
      <w:r>
        <w:rPr>
          <w:rFonts w:ascii="宋体" w:hAnsi="宋体" w:eastAsia="宋体" w:cs="宋体"/>
          <w:color w:val="231F20"/>
          <w:spacing w:val="-15"/>
          <w:sz w:val="17"/>
          <w:szCs w:val="17"/>
        </w:rPr>
        <w:t>institutions</w:t>
      </w:r>
      <w:r>
        <w:rPr>
          <w:rFonts w:ascii="微软雅黑" w:hAnsi="微软雅黑" w:eastAsia="微软雅黑" w:cs="微软雅黑"/>
          <w:color w:val="231F20"/>
          <w:spacing w:val="-15"/>
          <w:sz w:val="17"/>
          <w:szCs w:val="17"/>
        </w:rPr>
        <w:t>［</w:t>
      </w:r>
      <w:r>
        <w:rPr>
          <w:rFonts w:ascii="宋体" w:hAnsi="宋体" w:eastAsia="宋体" w:cs="宋体"/>
          <w:color w:val="231F20"/>
          <w:spacing w:val="-15"/>
          <w:sz w:val="17"/>
          <w:szCs w:val="17"/>
        </w:rPr>
        <w:t>EB/OL</w:t>
      </w:r>
      <w:r>
        <w:rPr>
          <w:rFonts w:ascii="微软雅黑" w:hAnsi="微软雅黑" w:eastAsia="微软雅黑" w:cs="微软雅黑"/>
          <w:color w:val="231F20"/>
          <w:spacing w:val="-15"/>
          <w:sz w:val="17"/>
          <w:szCs w:val="17"/>
        </w:rPr>
        <w:t>］</w:t>
      </w:r>
      <w:r>
        <w:rPr>
          <w:rFonts w:ascii="宋体" w:hAnsi="宋体" w:eastAsia="宋体" w:cs="宋体"/>
          <w:color w:val="231F20"/>
          <w:spacing w:val="-15"/>
          <w:sz w:val="17"/>
          <w:szCs w:val="17"/>
        </w:rPr>
        <w:t>.</w:t>
      </w:r>
      <w:r>
        <w:rPr>
          <w:rFonts w:ascii="微软雅黑" w:hAnsi="微软雅黑" w:eastAsia="微软雅黑" w:cs="微软雅黑"/>
          <w:color w:val="231F20"/>
          <w:spacing w:val="-15"/>
          <w:sz w:val="17"/>
          <w:szCs w:val="17"/>
        </w:rPr>
        <w:t>［</w:t>
      </w:r>
      <w:r>
        <w:rPr>
          <w:rFonts w:ascii="宋体" w:hAnsi="宋体" w:eastAsia="宋体" w:cs="宋体"/>
          <w:color w:val="231F20"/>
          <w:spacing w:val="-15"/>
          <w:sz w:val="17"/>
          <w:szCs w:val="17"/>
        </w:rPr>
        <w:t>2022-</w:t>
      </w:r>
      <w:r>
        <w:rPr>
          <w:rFonts w:ascii="宋体" w:hAnsi="宋体" w:eastAsia="宋体" w:cs="宋体"/>
          <w:color w:val="231F20"/>
          <w:spacing w:val="-16"/>
          <w:sz w:val="17"/>
          <w:szCs w:val="17"/>
        </w:rPr>
        <w:t>05-09</w:t>
      </w:r>
      <w:r>
        <w:rPr>
          <w:rFonts w:ascii="微软雅黑" w:hAnsi="微软雅黑" w:eastAsia="微软雅黑" w:cs="微软雅黑"/>
          <w:color w:val="231F20"/>
          <w:spacing w:val="-16"/>
          <w:sz w:val="17"/>
          <w:szCs w:val="17"/>
        </w:rPr>
        <w:t>］</w:t>
      </w:r>
      <w:r>
        <w:rPr>
          <w:rFonts w:ascii="宋体" w:hAnsi="宋体" w:eastAsia="宋体" w:cs="宋体"/>
          <w:color w:val="231F20"/>
          <w:spacing w:val="-16"/>
          <w:sz w:val="17"/>
          <w:szCs w:val="17"/>
        </w:rPr>
        <w:t>.</w:t>
      </w:r>
      <w:r>
        <w:rPr>
          <w:rFonts w:ascii="宋体" w:hAnsi="宋体" w:eastAsia="宋体" w:cs="宋体"/>
          <w:color w:val="231F20"/>
          <w:spacing w:val="-35"/>
          <w:sz w:val="17"/>
          <w:szCs w:val="17"/>
        </w:rPr>
        <w:t xml:space="preserve"> </w:t>
      </w:r>
      <w:r>
        <w:rPr>
          <w:rFonts w:ascii="宋体" w:hAnsi="宋体" w:eastAsia="宋体" w:cs="宋体"/>
          <w:color w:val="231F20"/>
          <w:spacing w:val="-16"/>
          <w:sz w:val="17"/>
          <w:szCs w:val="17"/>
        </w:rPr>
        <w:t>https://eua.eu/</w:t>
      </w:r>
    </w:p>
    <w:p>
      <w:pPr>
        <w:spacing w:before="6" w:line="289" w:lineRule="auto"/>
        <w:ind w:left="472" w:right="140"/>
        <w:rPr>
          <w:rFonts w:ascii="宋体" w:hAnsi="宋体" w:eastAsia="宋体" w:cs="宋体"/>
          <w:sz w:val="17"/>
          <w:szCs w:val="17"/>
        </w:rPr>
      </w:pPr>
      <w:r>
        <w:rPr>
          <w:rFonts w:ascii="宋体" w:hAnsi="宋体" w:eastAsia="宋体" w:cs="宋体"/>
          <w:color w:val="231F20"/>
          <w:spacing w:val="-5"/>
          <w:sz w:val="17"/>
          <w:szCs w:val="17"/>
        </w:rPr>
        <w:t>downloads/publications/examining%20quali</w:t>
      </w:r>
      <w:r>
        <w:rPr>
          <w:rFonts w:ascii="宋体" w:hAnsi="宋体" w:eastAsia="宋体" w:cs="宋体"/>
          <w:color w:val="231F20"/>
          <w:spacing w:val="-6"/>
          <w:sz w:val="17"/>
          <w:szCs w:val="17"/>
        </w:rPr>
        <w:t>ty%20culture%</w:t>
      </w:r>
      <w:r>
        <w:rPr>
          <w:rFonts w:ascii="宋体" w:hAnsi="宋体" w:eastAsia="宋体" w:cs="宋体"/>
          <w:color w:val="231F20"/>
          <w:sz w:val="17"/>
          <w:szCs w:val="17"/>
        </w:rPr>
        <w:t xml:space="preserve"> 20part%20i%20quality%20assurance%20processe</w:t>
      </w:r>
      <w:r>
        <w:rPr>
          <w:rFonts w:ascii="宋体" w:hAnsi="宋体" w:eastAsia="宋体" w:cs="宋体"/>
          <w:color w:val="231F20"/>
          <w:spacing w:val="-1"/>
          <w:sz w:val="17"/>
          <w:szCs w:val="17"/>
        </w:rPr>
        <w:t>s%20in</w:t>
      </w:r>
      <w:r>
        <w:rPr>
          <w:rFonts w:ascii="宋体" w:hAnsi="宋体" w:eastAsia="宋体" w:cs="宋体"/>
          <w:color w:val="231F20"/>
          <w:sz w:val="17"/>
          <w:szCs w:val="17"/>
        </w:rPr>
        <w:t xml:space="preserve">  </w:t>
      </w:r>
      <w:r>
        <w:rPr>
          <w:rFonts w:ascii="宋体" w:hAnsi="宋体" w:eastAsia="宋体" w:cs="宋体"/>
          <w:color w:val="231F20"/>
          <w:spacing w:val="-2"/>
          <w:sz w:val="17"/>
          <w:szCs w:val="17"/>
        </w:rPr>
        <w:t>%20higher%20education%20inst.pdf.</w:t>
      </w:r>
    </w:p>
    <w:p>
      <w:pPr>
        <w:spacing w:before="55" w:line="213" w:lineRule="auto"/>
        <w:ind w:left="470" w:right="231" w:hanging="470"/>
        <w:rPr>
          <w:rFonts w:ascii="宋体" w:hAnsi="宋体" w:eastAsia="宋体" w:cs="宋体"/>
          <w:sz w:val="17"/>
          <w:szCs w:val="17"/>
        </w:rPr>
      </w:pPr>
      <w:r>
        <w:rPr>
          <w:rFonts w:ascii="微软雅黑" w:hAnsi="微软雅黑" w:eastAsia="微软雅黑" w:cs="微软雅黑"/>
          <w:color w:val="231F20"/>
          <w:spacing w:val="-6"/>
          <w:sz w:val="17"/>
          <w:szCs w:val="17"/>
        </w:rPr>
        <w:t>［</w:t>
      </w:r>
      <w:r>
        <w:rPr>
          <w:rFonts w:ascii="宋体" w:hAnsi="宋体" w:eastAsia="宋体" w:cs="宋体"/>
          <w:color w:val="231F20"/>
          <w:spacing w:val="-6"/>
          <w:sz w:val="17"/>
          <w:szCs w:val="17"/>
        </w:rPr>
        <w:t>12</w:t>
      </w:r>
      <w:r>
        <w:rPr>
          <w:rFonts w:ascii="微软雅黑" w:hAnsi="微软雅黑" w:eastAsia="微软雅黑" w:cs="微软雅黑"/>
          <w:color w:val="231F20"/>
          <w:spacing w:val="-6"/>
          <w:sz w:val="17"/>
          <w:szCs w:val="17"/>
        </w:rPr>
        <w:t>］</w:t>
      </w:r>
      <w:r>
        <w:rPr>
          <w:rFonts w:ascii="宋体" w:hAnsi="宋体" w:eastAsia="宋体" w:cs="宋体"/>
          <w:color w:val="231F20"/>
          <w:spacing w:val="-6"/>
          <w:sz w:val="17"/>
          <w:szCs w:val="17"/>
        </w:rPr>
        <w:t>ENQA.</w:t>
      </w:r>
      <w:r>
        <w:rPr>
          <w:rFonts w:ascii="宋体" w:hAnsi="宋体" w:eastAsia="宋体" w:cs="宋体"/>
          <w:color w:val="231F20"/>
          <w:spacing w:val="-32"/>
          <w:sz w:val="17"/>
          <w:szCs w:val="17"/>
        </w:rPr>
        <w:t xml:space="preserve"> </w:t>
      </w:r>
      <w:r>
        <w:rPr>
          <w:rFonts w:ascii="宋体" w:hAnsi="宋体" w:eastAsia="宋体" w:cs="宋体"/>
          <w:color w:val="231F20"/>
          <w:spacing w:val="-6"/>
          <w:sz w:val="17"/>
          <w:szCs w:val="17"/>
        </w:rPr>
        <w:t>Standards</w:t>
      </w:r>
      <w:r>
        <w:rPr>
          <w:rFonts w:ascii="宋体" w:hAnsi="宋体" w:eastAsia="宋体" w:cs="宋体"/>
          <w:color w:val="231F20"/>
          <w:spacing w:val="-33"/>
          <w:sz w:val="17"/>
          <w:szCs w:val="17"/>
        </w:rPr>
        <w:t xml:space="preserve"> </w:t>
      </w:r>
      <w:r>
        <w:rPr>
          <w:rFonts w:ascii="宋体" w:hAnsi="宋体" w:eastAsia="宋体" w:cs="宋体"/>
          <w:color w:val="231F20"/>
          <w:spacing w:val="-6"/>
          <w:sz w:val="17"/>
          <w:szCs w:val="17"/>
        </w:rPr>
        <w:t>a</w:t>
      </w:r>
      <w:r>
        <w:rPr>
          <w:rFonts w:ascii="宋体" w:hAnsi="宋体" w:eastAsia="宋体" w:cs="宋体"/>
          <w:color w:val="231F20"/>
          <w:spacing w:val="-7"/>
          <w:sz w:val="17"/>
          <w:szCs w:val="17"/>
        </w:rPr>
        <w:t>nd</w:t>
      </w:r>
      <w:r>
        <w:rPr>
          <w:rFonts w:ascii="宋体" w:hAnsi="宋体" w:eastAsia="宋体" w:cs="宋体"/>
          <w:color w:val="231F20"/>
          <w:spacing w:val="-30"/>
          <w:sz w:val="17"/>
          <w:szCs w:val="17"/>
        </w:rPr>
        <w:t xml:space="preserve"> </w:t>
      </w:r>
      <w:r>
        <w:rPr>
          <w:rFonts w:ascii="宋体" w:hAnsi="宋体" w:eastAsia="宋体" w:cs="宋体"/>
          <w:color w:val="231F20"/>
          <w:spacing w:val="-7"/>
          <w:sz w:val="17"/>
          <w:szCs w:val="17"/>
        </w:rPr>
        <w:t>Guidelines</w:t>
      </w:r>
      <w:r>
        <w:rPr>
          <w:rFonts w:ascii="宋体" w:hAnsi="宋体" w:eastAsia="宋体" w:cs="宋体"/>
          <w:color w:val="231F20"/>
          <w:spacing w:val="-38"/>
          <w:sz w:val="17"/>
          <w:szCs w:val="17"/>
        </w:rPr>
        <w:t xml:space="preserve"> </w:t>
      </w:r>
      <w:r>
        <w:rPr>
          <w:rFonts w:ascii="宋体" w:hAnsi="宋体" w:eastAsia="宋体" w:cs="宋体"/>
          <w:color w:val="231F20"/>
          <w:spacing w:val="-7"/>
          <w:sz w:val="17"/>
          <w:szCs w:val="17"/>
        </w:rPr>
        <w:t>for</w:t>
      </w:r>
      <w:r>
        <w:rPr>
          <w:rFonts w:ascii="宋体" w:hAnsi="宋体" w:eastAsia="宋体" w:cs="宋体"/>
          <w:color w:val="231F20"/>
          <w:spacing w:val="-32"/>
          <w:sz w:val="17"/>
          <w:szCs w:val="17"/>
        </w:rPr>
        <w:t xml:space="preserve"> </w:t>
      </w:r>
      <w:r>
        <w:rPr>
          <w:rFonts w:ascii="宋体" w:hAnsi="宋体" w:eastAsia="宋体" w:cs="宋体"/>
          <w:color w:val="231F20"/>
          <w:spacing w:val="-7"/>
          <w:sz w:val="17"/>
          <w:szCs w:val="17"/>
        </w:rPr>
        <w:t>Quality</w:t>
      </w:r>
      <w:r>
        <w:rPr>
          <w:rFonts w:ascii="宋体" w:hAnsi="宋体" w:eastAsia="宋体" w:cs="宋体"/>
          <w:color w:val="231F20"/>
          <w:spacing w:val="-34"/>
          <w:sz w:val="17"/>
          <w:szCs w:val="17"/>
        </w:rPr>
        <w:t xml:space="preserve"> </w:t>
      </w:r>
      <w:r>
        <w:rPr>
          <w:rFonts w:ascii="宋体" w:hAnsi="宋体" w:eastAsia="宋体" w:cs="宋体"/>
          <w:color w:val="231F20"/>
          <w:spacing w:val="-7"/>
          <w:sz w:val="17"/>
          <w:szCs w:val="17"/>
        </w:rPr>
        <w:t>Assurance</w:t>
      </w:r>
      <w:r>
        <w:rPr>
          <w:rFonts w:ascii="宋体" w:hAnsi="宋体" w:eastAsia="宋体" w:cs="宋体"/>
          <w:color w:val="231F20"/>
          <w:spacing w:val="-33"/>
          <w:sz w:val="17"/>
          <w:szCs w:val="17"/>
        </w:rPr>
        <w:t xml:space="preserve"> </w:t>
      </w:r>
      <w:r>
        <w:rPr>
          <w:rFonts w:ascii="宋体" w:hAnsi="宋体" w:eastAsia="宋体" w:cs="宋体"/>
          <w:color w:val="231F20"/>
          <w:spacing w:val="-7"/>
          <w:sz w:val="17"/>
          <w:szCs w:val="17"/>
        </w:rPr>
        <w:t>in</w:t>
      </w:r>
      <w:r>
        <w:rPr>
          <w:rFonts w:ascii="宋体" w:hAnsi="宋体" w:eastAsia="宋体" w:cs="宋体"/>
          <w:color w:val="231F20"/>
          <w:sz w:val="17"/>
          <w:szCs w:val="17"/>
        </w:rPr>
        <w:t xml:space="preserve"> </w:t>
      </w:r>
      <w:r>
        <w:rPr>
          <w:rFonts w:ascii="宋体" w:hAnsi="宋体" w:eastAsia="宋体" w:cs="宋体"/>
          <w:color w:val="231F20"/>
          <w:spacing w:val="-5"/>
          <w:sz w:val="17"/>
          <w:szCs w:val="17"/>
        </w:rPr>
        <w:t>the</w:t>
      </w:r>
      <w:r>
        <w:rPr>
          <w:rFonts w:ascii="宋体" w:hAnsi="宋体" w:eastAsia="宋体" w:cs="宋体"/>
          <w:color w:val="231F20"/>
          <w:spacing w:val="-33"/>
          <w:sz w:val="17"/>
          <w:szCs w:val="17"/>
        </w:rPr>
        <w:t xml:space="preserve"> </w:t>
      </w:r>
      <w:r>
        <w:rPr>
          <w:rFonts w:ascii="宋体" w:hAnsi="宋体" w:eastAsia="宋体" w:cs="宋体"/>
          <w:color w:val="231F20"/>
          <w:spacing w:val="-5"/>
          <w:sz w:val="17"/>
          <w:szCs w:val="17"/>
        </w:rPr>
        <w:t>European</w:t>
      </w:r>
      <w:r>
        <w:rPr>
          <w:rFonts w:ascii="宋体" w:hAnsi="宋体" w:eastAsia="宋体" w:cs="宋体"/>
          <w:color w:val="231F20"/>
          <w:spacing w:val="-31"/>
          <w:sz w:val="17"/>
          <w:szCs w:val="17"/>
        </w:rPr>
        <w:t xml:space="preserve"> </w:t>
      </w:r>
      <w:r>
        <w:rPr>
          <w:rFonts w:ascii="宋体" w:hAnsi="宋体" w:eastAsia="宋体" w:cs="宋体"/>
          <w:color w:val="231F20"/>
          <w:spacing w:val="-5"/>
          <w:sz w:val="17"/>
          <w:szCs w:val="17"/>
        </w:rPr>
        <w:t>Higher</w:t>
      </w:r>
      <w:r>
        <w:rPr>
          <w:rFonts w:ascii="宋体" w:hAnsi="宋体" w:eastAsia="宋体" w:cs="宋体"/>
          <w:color w:val="231F20"/>
          <w:spacing w:val="-35"/>
          <w:sz w:val="17"/>
          <w:szCs w:val="17"/>
        </w:rPr>
        <w:t xml:space="preserve"> </w:t>
      </w:r>
      <w:r>
        <w:rPr>
          <w:rFonts w:ascii="宋体" w:hAnsi="宋体" w:eastAsia="宋体" w:cs="宋体"/>
          <w:color w:val="231F20"/>
          <w:spacing w:val="-5"/>
          <w:sz w:val="17"/>
          <w:szCs w:val="17"/>
        </w:rPr>
        <w:t>Education</w:t>
      </w:r>
      <w:r>
        <w:rPr>
          <w:rFonts w:ascii="宋体" w:hAnsi="宋体" w:eastAsia="宋体" w:cs="宋体"/>
          <w:color w:val="231F20"/>
          <w:spacing w:val="-34"/>
          <w:sz w:val="17"/>
          <w:szCs w:val="17"/>
        </w:rPr>
        <w:t xml:space="preserve"> </w:t>
      </w:r>
      <w:r>
        <w:rPr>
          <w:rFonts w:ascii="宋体" w:hAnsi="宋体" w:eastAsia="宋体" w:cs="宋体"/>
          <w:color w:val="231F20"/>
          <w:spacing w:val="-5"/>
          <w:sz w:val="17"/>
          <w:szCs w:val="17"/>
        </w:rPr>
        <w:t>Area</w:t>
      </w:r>
      <w:r>
        <w:rPr>
          <w:rFonts w:ascii="宋体" w:hAnsi="宋体" w:eastAsia="宋体" w:cs="宋体"/>
          <w:color w:val="231F20"/>
          <w:spacing w:val="-34"/>
          <w:sz w:val="17"/>
          <w:szCs w:val="17"/>
        </w:rPr>
        <w:t xml:space="preserve"> </w:t>
      </w:r>
      <w:r>
        <w:rPr>
          <w:rFonts w:ascii="宋体" w:hAnsi="宋体" w:eastAsia="宋体" w:cs="宋体"/>
          <w:color w:val="231F20"/>
          <w:spacing w:val="-6"/>
          <w:sz w:val="17"/>
          <w:szCs w:val="17"/>
        </w:rPr>
        <w:t>(ESG)</w:t>
      </w:r>
      <w:r>
        <w:rPr>
          <w:rFonts w:ascii="微软雅黑" w:hAnsi="微软雅黑" w:eastAsia="微软雅黑" w:cs="微软雅黑"/>
          <w:color w:val="231F20"/>
          <w:spacing w:val="-6"/>
          <w:sz w:val="17"/>
          <w:szCs w:val="17"/>
        </w:rPr>
        <w:t>［</w:t>
      </w:r>
      <w:r>
        <w:rPr>
          <w:rFonts w:ascii="宋体" w:hAnsi="宋体" w:eastAsia="宋体" w:cs="宋体"/>
          <w:color w:val="231F20"/>
          <w:spacing w:val="-6"/>
          <w:sz w:val="17"/>
          <w:szCs w:val="17"/>
        </w:rPr>
        <w:t>EB/OL</w:t>
      </w:r>
      <w:r>
        <w:rPr>
          <w:rFonts w:ascii="微软雅黑" w:hAnsi="微软雅黑" w:eastAsia="微软雅黑" w:cs="微软雅黑"/>
          <w:color w:val="231F20"/>
          <w:spacing w:val="-6"/>
          <w:sz w:val="17"/>
          <w:szCs w:val="17"/>
        </w:rPr>
        <w:t>］</w:t>
      </w:r>
      <w:r>
        <w:rPr>
          <w:rFonts w:ascii="宋体" w:hAnsi="宋体" w:eastAsia="宋体" w:cs="宋体"/>
          <w:color w:val="231F20"/>
          <w:spacing w:val="-6"/>
          <w:sz w:val="17"/>
          <w:szCs w:val="17"/>
        </w:rPr>
        <w:t>.</w:t>
      </w:r>
    </w:p>
    <w:p>
      <w:pPr>
        <w:spacing w:before="5" w:line="245" w:lineRule="auto"/>
        <w:ind w:left="471" w:right="245" w:hanging="67"/>
        <w:rPr>
          <w:rFonts w:ascii="宋体" w:hAnsi="宋体" w:eastAsia="宋体" w:cs="宋体"/>
          <w:sz w:val="17"/>
          <w:szCs w:val="17"/>
        </w:rPr>
      </w:pPr>
      <w:r>
        <w:rPr>
          <w:rFonts w:ascii="微软雅黑" w:hAnsi="微软雅黑" w:eastAsia="微软雅黑" w:cs="微软雅黑"/>
          <w:color w:val="231F20"/>
          <w:spacing w:val="-9"/>
          <w:sz w:val="17"/>
          <w:szCs w:val="17"/>
        </w:rPr>
        <w:t>［</w:t>
      </w:r>
      <w:r>
        <w:rPr>
          <w:rFonts w:ascii="宋体" w:hAnsi="宋体" w:eastAsia="宋体" w:cs="宋体"/>
          <w:color w:val="231F20"/>
          <w:spacing w:val="-9"/>
          <w:sz w:val="17"/>
          <w:szCs w:val="17"/>
        </w:rPr>
        <w:t>2022-05-10</w:t>
      </w:r>
      <w:r>
        <w:rPr>
          <w:rFonts w:ascii="微软雅黑" w:hAnsi="微软雅黑" w:eastAsia="微软雅黑" w:cs="微软雅黑"/>
          <w:color w:val="231F20"/>
          <w:spacing w:val="-9"/>
          <w:sz w:val="17"/>
          <w:szCs w:val="17"/>
        </w:rPr>
        <w:t>］</w:t>
      </w:r>
      <w:r>
        <w:rPr>
          <w:rFonts w:ascii="宋体" w:hAnsi="宋体" w:eastAsia="宋体" w:cs="宋体"/>
          <w:color w:val="231F20"/>
          <w:spacing w:val="-9"/>
          <w:sz w:val="17"/>
          <w:szCs w:val="17"/>
        </w:rPr>
        <w:t>.</w:t>
      </w:r>
      <w:r>
        <w:rPr>
          <w:rFonts w:ascii="宋体" w:hAnsi="宋体" w:eastAsia="宋体" w:cs="宋体"/>
          <w:color w:val="231F20"/>
          <w:spacing w:val="-18"/>
          <w:sz w:val="17"/>
          <w:szCs w:val="17"/>
        </w:rPr>
        <w:t xml:space="preserve"> </w:t>
      </w:r>
      <w:r>
        <w:rPr>
          <w:rFonts w:ascii="宋体" w:hAnsi="宋体" w:eastAsia="宋体" w:cs="宋体"/>
          <w:color w:val="231F20"/>
          <w:spacing w:val="-9"/>
          <w:sz w:val="17"/>
          <w:szCs w:val="17"/>
        </w:rPr>
        <w:t>https://www.enqa.eu/wp-content/uploads/</w:t>
      </w:r>
      <w:r>
        <w:rPr>
          <w:rFonts w:ascii="宋体" w:hAnsi="宋体" w:eastAsia="宋体" w:cs="宋体"/>
          <w:color w:val="231F20"/>
          <w:sz w:val="17"/>
          <w:szCs w:val="17"/>
        </w:rPr>
        <w:t xml:space="preserve"> </w:t>
      </w:r>
      <w:r>
        <w:rPr>
          <w:rFonts w:ascii="宋体" w:hAnsi="宋体" w:eastAsia="宋体" w:cs="宋体"/>
          <w:color w:val="231F20"/>
          <w:spacing w:val="-1"/>
          <w:sz w:val="17"/>
          <w:szCs w:val="17"/>
        </w:rPr>
        <w:t>2015/11/ESG_2015.pdf.</w:t>
      </w:r>
    </w:p>
    <w:p>
      <w:pPr>
        <w:spacing w:before="58" w:line="198" w:lineRule="auto"/>
        <w:rPr>
          <w:rFonts w:ascii="宋体" w:hAnsi="宋体" w:eastAsia="宋体" w:cs="宋体"/>
          <w:sz w:val="17"/>
          <w:szCs w:val="17"/>
        </w:rPr>
      </w:pPr>
      <w:r>
        <w:rPr>
          <w:rFonts w:ascii="微软雅黑" w:hAnsi="微软雅黑" w:eastAsia="微软雅黑" w:cs="微软雅黑"/>
          <w:color w:val="231F20"/>
          <w:spacing w:val="-7"/>
          <w:sz w:val="17"/>
          <w:szCs w:val="17"/>
        </w:rPr>
        <w:t>［</w:t>
      </w:r>
      <w:r>
        <w:rPr>
          <w:rFonts w:ascii="宋体" w:hAnsi="宋体" w:eastAsia="宋体" w:cs="宋体"/>
          <w:color w:val="231F20"/>
          <w:spacing w:val="-7"/>
          <w:sz w:val="17"/>
          <w:szCs w:val="17"/>
        </w:rPr>
        <w:t>13</w:t>
      </w:r>
      <w:r>
        <w:rPr>
          <w:rFonts w:ascii="微软雅黑" w:hAnsi="微软雅黑" w:eastAsia="微软雅黑" w:cs="微软雅黑"/>
          <w:color w:val="231F20"/>
          <w:spacing w:val="-7"/>
          <w:sz w:val="17"/>
          <w:szCs w:val="17"/>
        </w:rPr>
        <w:t>］</w:t>
      </w:r>
      <w:r>
        <w:rPr>
          <w:rFonts w:ascii="宋体" w:hAnsi="宋体" w:eastAsia="宋体" w:cs="宋体"/>
          <w:color w:val="231F20"/>
          <w:spacing w:val="-7"/>
          <w:sz w:val="17"/>
          <w:szCs w:val="17"/>
        </w:rPr>
        <w:t>European</w:t>
      </w:r>
      <w:r>
        <w:rPr>
          <w:rFonts w:ascii="宋体" w:hAnsi="宋体" w:eastAsia="宋体" w:cs="宋体"/>
          <w:color w:val="231F20"/>
          <w:spacing w:val="-32"/>
          <w:sz w:val="17"/>
          <w:szCs w:val="17"/>
        </w:rPr>
        <w:t xml:space="preserve"> </w:t>
      </w:r>
      <w:r>
        <w:rPr>
          <w:rFonts w:ascii="宋体" w:hAnsi="宋体" w:eastAsia="宋体" w:cs="宋体"/>
          <w:color w:val="231F20"/>
          <w:spacing w:val="-7"/>
          <w:sz w:val="17"/>
          <w:szCs w:val="17"/>
        </w:rPr>
        <w:t>University</w:t>
      </w:r>
      <w:r>
        <w:rPr>
          <w:rFonts w:ascii="宋体" w:hAnsi="宋体" w:eastAsia="宋体" w:cs="宋体"/>
          <w:color w:val="231F20"/>
          <w:spacing w:val="-35"/>
          <w:sz w:val="17"/>
          <w:szCs w:val="17"/>
        </w:rPr>
        <w:t xml:space="preserve"> </w:t>
      </w:r>
      <w:r>
        <w:rPr>
          <w:rFonts w:ascii="宋体" w:hAnsi="宋体" w:eastAsia="宋体" w:cs="宋体"/>
          <w:color w:val="231F20"/>
          <w:spacing w:val="-7"/>
          <w:sz w:val="17"/>
          <w:szCs w:val="17"/>
        </w:rPr>
        <w:t>Associat</w:t>
      </w:r>
      <w:r>
        <w:rPr>
          <w:rFonts w:ascii="宋体" w:hAnsi="宋体" w:eastAsia="宋体" w:cs="宋体"/>
          <w:color w:val="231F20"/>
          <w:spacing w:val="-8"/>
          <w:sz w:val="17"/>
          <w:szCs w:val="17"/>
        </w:rPr>
        <w:t>ion.</w:t>
      </w:r>
      <w:r>
        <w:rPr>
          <w:rFonts w:ascii="宋体" w:hAnsi="宋体" w:eastAsia="宋体" w:cs="宋体"/>
          <w:color w:val="231F20"/>
          <w:spacing w:val="-31"/>
          <w:sz w:val="17"/>
          <w:szCs w:val="17"/>
        </w:rPr>
        <w:t xml:space="preserve"> </w:t>
      </w:r>
      <w:r>
        <w:rPr>
          <w:rFonts w:ascii="宋体" w:hAnsi="宋体" w:eastAsia="宋体" w:cs="宋体"/>
          <w:color w:val="231F20"/>
          <w:spacing w:val="-8"/>
          <w:sz w:val="17"/>
          <w:szCs w:val="17"/>
        </w:rPr>
        <w:t>Michael</w:t>
      </w:r>
      <w:r>
        <w:rPr>
          <w:rFonts w:ascii="宋体" w:hAnsi="宋体" w:eastAsia="宋体" w:cs="宋体"/>
          <w:color w:val="231F20"/>
          <w:spacing w:val="-31"/>
          <w:sz w:val="17"/>
          <w:szCs w:val="17"/>
        </w:rPr>
        <w:t xml:space="preserve"> </w:t>
      </w:r>
      <w:r>
        <w:rPr>
          <w:rFonts w:ascii="宋体" w:hAnsi="宋体" w:eastAsia="宋体" w:cs="宋体"/>
          <w:color w:val="231F20"/>
          <w:spacing w:val="-8"/>
          <w:sz w:val="17"/>
          <w:szCs w:val="17"/>
        </w:rPr>
        <w:t>Gaebel</w:t>
      </w:r>
      <w:r>
        <w:rPr>
          <w:rFonts w:ascii="宋体" w:hAnsi="宋体" w:eastAsia="宋体" w:cs="宋体"/>
          <w:color w:val="231F20"/>
          <w:spacing w:val="-33"/>
          <w:sz w:val="17"/>
          <w:szCs w:val="17"/>
        </w:rPr>
        <w:t xml:space="preserve"> </w:t>
      </w:r>
      <w:r>
        <w:rPr>
          <w:rFonts w:ascii="宋体" w:hAnsi="宋体" w:eastAsia="宋体" w:cs="宋体"/>
          <w:color w:val="231F20"/>
          <w:spacing w:val="-8"/>
          <w:sz w:val="17"/>
          <w:szCs w:val="17"/>
        </w:rPr>
        <w:t>&amp;</w:t>
      </w:r>
    </w:p>
    <w:p>
      <w:pPr>
        <w:spacing w:before="62" w:line="243" w:lineRule="auto"/>
        <w:ind w:left="471" w:right="153" w:hanging="2"/>
        <w:rPr>
          <w:rFonts w:ascii="宋体" w:hAnsi="宋体" w:eastAsia="宋体" w:cs="宋体"/>
          <w:sz w:val="17"/>
          <w:szCs w:val="17"/>
        </w:rPr>
      </w:pPr>
      <w:r>
        <w:rPr>
          <w:rFonts w:ascii="宋体" w:hAnsi="宋体" w:eastAsia="宋体" w:cs="宋体"/>
          <w:color w:val="231F20"/>
          <w:spacing w:val="-6"/>
          <w:sz w:val="17"/>
          <w:szCs w:val="17"/>
        </w:rPr>
        <w:t>Thérèse</w:t>
      </w:r>
      <w:r>
        <w:rPr>
          <w:rFonts w:ascii="宋体" w:hAnsi="宋体" w:eastAsia="宋体" w:cs="宋体"/>
          <w:color w:val="231F20"/>
          <w:spacing w:val="-35"/>
          <w:sz w:val="17"/>
          <w:szCs w:val="17"/>
        </w:rPr>
        <w:t xml:space="preserve"> </w:t>
      </w:r>
      <w:r>
        <w:rPr>
          <w:rFonts w:ascii="宋体" w:hAnsi="宋体" w:eastAsia="宋体" w:cs="宋体"/>
          <w:color w:val="231F20"/>
          <w:spacing w:val="-6"/>
          <w:sz w:val="17"/>
          <w:szCs w:val="17"/>
        </w:rPr>
        <w:t>Zhang:</w:t>
      </w:r>
      <w:r>
        <w:rPr>
          <w:rFonts w:ascii="宋体" w:hAnsi="宋体" w:eastAsia="宋体" w:cs="宋体"/>
          <w:color w:val="231F20"/>
          <w:spacing w:val="-37"/>
          <w:sz w:val="17"/>
          <w:szCs w:val="17"/>
        </w:rPr>
        <w:t xml:space="preserve"> </w:t>
      </w:r>
      <w:r>
        <w:rPr>
          <w:rFonts w:ascii="宋体" w:hAnsi="宋体" w:eastAsia="宋体" w:cs="宋体"/>
          <w:color w:val="231F20"/>
          <w:spacing w:val="-6"/>
          <w:sz w:val="17"/>
          <w:szCs w:val="17"/>
        </w:rPr>
        <w:t>Trends</w:t>
      </w:r>
      <w:r>
        <w:rPr>
          <w:rFonts w:ascii="宋体" w:hAnsi="宋体" w:eastAsia="宋体" w:cs="宋体"/>
          <w:color w:val="231F20"/>
          <w:spacing w:val="-33"/>
          <w:sz w:val="17"/>
          <w:szCs w:val="17"/>
        </w:rPr>
        <w:t xml:space="preserve"> </w:t>
      </w:r>
      <w:r>
        <w:rPr>
          <w:rFonts w:ascii="宋体" w:hAnsi="宋体" w:eastAsia="宋体" w:cs="宋体"/>
          <w:color w:val="231F20"/>
          <w:spacing w:val="-6"/>
          <w:sz w:val="17"/>
          <w:szCs w:val="17"/>
        </w:rPr>
        <w:t>2018:</w:t>
      </w:r>
      <w:r>
        <w:rPr>
          <w:rFonts w:ascii="宋体" w:hAnsi="宋体" w:eastAsia="宋体" w:cs="宋体"/>
          <w:color w:val="231F20"/>
          <w:spacing w:val="-33"/>
          <w:sz w:val="17"/>
          <w:szCs w:val="17"/>
        </w:rPr>
        <w:t xml:space="preserve"> </w:t>
      </w:r>
      <w:r>
        <w:rPr>
          <w:rFonts w:ascii="宋体" w:hAnsi="宋体" w:eastAsia="宋体" w:cs="宋体"/>
          <w:color w:val="231F20"/>
          <w:spacing w:val="-6"/>
          <w:sz w:val="17"/>
          <w:szCs w:val="17"/>
        </w:rPr>
        <w:t>Learning</w:t>
      </w:r>
      <w:r>
        <w:rPr>
          <w:rFonts w:ascii="宋体" w:hAnsi="宋体" w:eastAsia="宋体" w:cs="宋体"/>
          <w:color w:val="231F20"/>
          <w:spacing w:val="-32"/>
          <w:sz w:val="17"/>
          <w:szCs w:val="17"/>
        </w:rPr>
        <w:t xml:space="preserve"> </w:t>
      </w:r>
      <w:r>
        <w:rPr>
          <w:rFonts w:ascii="宋体" w:hAnsi="宋体" w:eastAsia="宋体" w:cs="宋体"/>
          <w:color w:val="231F20"/>
          <w:spacing w:val="-6"/>
          <w:sz w:val="17"/>
          <w:szCs w:val="17"/>
        </w:rPr>
        <w:t>and</w:t>
      </w:r>
      <w:r>
        <w:rPr>
          <w:rFonts w:ascii="宋体" w:hAnsi="宋体" w:eastAsia="宋体" w:cs="宋体"/>
          <w:color w:val="231F20"/>
          <w:spacing w:val="-37"/>
          <w:sz w:val="17"/>
          <w:szCs w:val="17"/>
        </w:rPr>
        <w:t xml:space="preserve"> </w:t>
      </w:r>
      <w:r>
        <w:rPr>
          <w:rFonts w:ascii="宋体" w:hAnsi="宋体" w:eastAsia="宋体" w:cs="宋体"/>
          <w:color w:val="231F20"/>
          <w:spacing w:val="-6"/>
          <w:sz w:val="17"/>
          <w:szCs w:val="17"/>
        </w:rPr>
        <w:t>Teachi</w:t>
      </w:r>
      <w:r>
        <w:rPr>
          <w:rFonts w:ascii="宋体" w:hAnsi="宋体" w:eastAsia="宋体" w:cs="宋体"/>
          <w:color w:val="231F20"/>
          <w:spacing w:val="-7"/>
          <w:sz w:val="17"/>
          <w:szCs w:val="17"/>
        </w:rPr>
        <w:t>ng</w:t>
      </w:r>
      <w:r>
        <w:rPr>
          <w:rFonts w:ascii="宋体" w:hAnsi="宋体" w:eastAsia="宋体" w:cs="宋体"/>
          <w:color w:val="231F20"/>
          <w:spacing w:val="-32"/>
          <w:sz w:val="17"/>
          <w:szCs w:val="17"/>
        </w:rPr>
        <w:t xml:space="preserve"> </w:t>
      </w:r>
      <w:r>
        <w:rPr>
          <w:rFonts w:ascii="宋体" w:hAnsi="宋体" w:eastAsia="宋体" w:cs="宋体"/>
          <w:color w:val="231F20"/>
          <w:spacing w:val="-7"/>
          <w:sz w:val="17"/>
          <w:szCs w:val="17"/>
        </w:rPr>
        <w:t>in</w:t>
      </w:r>
      <w:r>
        <w:rPr>
          <w:rFonts w:ascii="宋体" w:hAnsi="宋体" w:eastAsia="宋体" w:cs="宋体"/>
          <w:color w:val="231F20"/>
          <w:spacing w:val="-35"/>
          <w:sz w:val="17"/>
          <w:szCs w:val="17"/>
        </w:rPr>
        <w:t xml:space="preserve"> </w:t>
      </w:r>
      <w:r>
        <w:rPr>
          <w:rFonts w:ascii="宋体" w:hAnsi="宋体" w:eastAsia="宋体" w:cs="宋体"/>
          <w:color w:val="231F20"/>
          <w:spacing w:val="-7"/>
          <w:sz w:val="17"/>
          <w:szCs w:val="17"/>
        </w:rPr>
        <w:t>the</w:t>
      </w:r>
      <w:r>
        <w:rPr>
          <w:rFonts w:ascii="宋体" w:hAnsi="宋体" w:eastAsia="宋体" w:cs="宋体"/>
          <w:color w:val="231F20"/>
          <w:sz w:val="17"/>
          <w:szCs w:val="17"/>
        </w:rPr>
        <w:t xml:space="preserve"> </w:t>
      </w:r>
      <w:r>
        <w:rPr>
          <w:rFonts w:ascii="宋体" w:hAnsi="宋体" w:eastAsia="宋体" w:cs="宋体"/>
          <w:color w:val="231F20"/>
          <w:spacing w:val="-7"/>
          <w:sz w:val="17"/>
          <w:szCs w:val="17"/>
        </w:rPr>
        <w:t>European</w:t>
      </w:r>
      <w:r>
        <w:rPr>
          <w:rFonts w:ascii="宋体" w:hAnsi="宋体" w:eastAsia="宋体" w:cs="宋体"/>
          <w:color w:val="231F20"/>
          <w:spacing w:val="-30"/>
          <w:sz w:val="17"/>
          <w:szCs w:val="17"/>
        </w:rPr>
        <w:t xml:space="preserve"> </w:t>
      </w:r>
      <w:r>
        <w:rPr>
          <w:rFonts w:ascii="宋体" w:hAnsi="宋体" w:eastAsia="宋体" w:cs="宋体"/>
          <w:color w:val="231F20"/>
          <w:spacing w:val="-7"/>
          <w:sz w:val="17"/>
          <w:szCs w:val="17"/>
        </w:rPr>
        <w:t>Higher</w:t>
      </w:r>
      <w:r>
        <w:rPr>
          <w:rFonts w:ascii="宋体" w:hAnsi="宋体" w:eastAsia="宋体" w:cs="宋体"/>
          <w:color w:val="231F20"/>
          <w:spacing w:val="-35"/>
          <w:sz w:val="17"/>
          <w:szCs w:val="17"/>
        </w:rPr>
        <w:t xml:space="preserve"> </w:t>
      </w:r>
      <w:r>
        <w:rPr>
          <w:rFonts w:ascii="宋体" w:hAnsi="宋体" w:eastAsia="宋体" w:cs="宋体"/>
          <w:color w:val="231F20"/>
          <w:spacing w:val="-7"/>
          <w:sz w:val="17"/>
          <w:szCs w:val="17"/>
        </w:rPr>
        <w:t>Education</w:t>
      </w:r>
      <w:r>
        <w:rPr>
          <w:rFonts w:ascii="宋体" w:hAnsi="宋体" w:eastAsia="宋体" w:cs="宋体"/>
          <w:color w:val="231F20"/>
          <w:spacing w:val="-34"/>
          <w:sz w:val="17"/>
          <w:szCs w:val="17"/>
        </w:rPr>
        <w:t xml:space="preserve"> </w:t>
      </w:r>
      <w:r>
        <w:rPr>
          <w:rFonts w:ascii="宋体" w:hAnsi="宋体" w:eastAsia="宋体" w:cs="宋体"/>
          <w:color w:val="231F20"/>
          <w:spacing w:val="-8"/>
          <w:sz w:val="17"/>
          <w:szCs w:val="17"/>
        </w:rPr>
        <w:t>Area</w:t>
      </w:r>
      <w:r>
        <w:rPr>
          <w:rFonts w:ascii="微软雅黑" w:hAnsi="微软雅黑" w:eastAsia="微软雅黑" w:cs="微软雅黑"/>
          <w:color w:val="231F20"/>
          <w:spacing w:val="-8"/>
          <w:sz w:val="17"/>
          <w:szCs w:val="17"/>
        </w:rPr>
        <w:t>［</w:t>
      </w:r>
      <w:r>
        <w:rPr>
          <w:rFonts w:ascii="宋体" w:hAnsi="宋体" w:eastAsia="宋体" w:cs="宋体"/>
          <w:color w:val="231F20"/>
          <w:spacing w:val="-8"/>
          <w:sz w:val="17"/>
          <w:szCs w:val="17"/>
        </w:rPr>
        <w:t>EB/OL</w:t>
      </w:r>
      <w:r>
        <w:rPr>
          <w:rFonts w:ascii="微软雅黑" w:hAnsi="微软雅黑" w:eastAsia="微软雅黑" w:cs="微软雅黑"/>
          <w:color w:val="231F20"/>
          <w:spacing w:val="-8"/>
          <w:sz w:val="17"/>
          <w:szCs w:val="17"/>
        </w:rPr>
        <w:t>］</w:t>
      </w:r>
      <w:r>
        <w:rPr>
          <w:rFonts w:ascii="宋体" w:hAnsi="宋体" w:eastAsia="宋体" w:cs="宋体"/>
          <w:color w:val="231F20"/>
          <w:spacing w:val="-8"/>
          <w:sz w:val="17"/>
          <w:szCs w:val="17"/>
        </w:rPr>
        <w:t>.</w:t>
      </w:r>
      <w:r>
        <w:rPr>
          <w:rFonts w:ascii="微软雅黑" w:hAnsi="微软雅黑" w:eastAsia="微软雅黑" w:cs="微软雅黑"/>
          <w:color w:val="231F20"/>
          <w:spacing w:val="-8"/>
          <w:sz w:val="17"/>
          <w:szCs w:val="17"/>
        </w:rPr>
        <w:t>［</w:t>
      </w:r>
      <w:r>
        <w:rPr>
          <w:rFonts w:ascii="宋体" w:hAnsi="宋体" w:eastAsia="宋体" w:cs="宋体"/>
          <w:color w:val="231F20"/>
          <w:spacing w:val="-8"/>
          <w:sz w:val="17"/>
          <w:szCs w:val="17"/>
        </w:rPr>
        <w:t>2022-05-10</w:t>
      </w:r>
      <w:r>
        <w:rPr>
          <w:rFonts w:ascii="微软雅黑" w:hAnsi="微软雅黑" w:eastAsia="微软雅黑" w:cs="微软雅黑"/>
          <w:color w:val="231F20"/>
          <w:spacing w:val="-8"/>
          <w:sz w:val="17"/>
          <w:szCs w:val="17"/>
        </w:rPr>
        <w:t>］</w:t>
      </w:r>
      <w:r>
        <w:rPr>
          <w:rFonts w:ascii="宋体" w:hAnsi="宋体" w:eastAsia="宋体" w:cs="宋体"/>
          <w:color w:val="231F20"/>
          <w:spacing w:val="-8"/>
          <w:sz w:val="17"/>
          <w:szCs w:val="17"/>
        </w:rPr>
        <w:t>.</w:t>
      </w:r>
      <w:r>
        <w:rPr>
          <w:rFonts w:ascii="宋体" w:hAnsi="宋体" w:eastAsia="宋体" w:cs="宋体"/>
          <w:color w:val="231F20"/>
          <w:sz w:val="17"/>
          <w:szCs w:val="17"/>
        </w:rPr>
        <w:t xml:space="preserve"> </w:t>
      </w:r>
      <w:r>
        <w:rPr>
          <w:rFonts w:ascii="宋体" w:hAnsi="宋体" w:eastAsia="宋体" w:cs="宋体"/>
          <w:color w:val="231F20"/>
          <w:spacing w:val="-11"/>
          <w:sz w:val="17"/>
          <w:szCs w:val="17"/>
        </w:rPr>
        <w:t>https://eua.eu/downloads/publications/trends-2018-</w:t>
      </w:r>
    </w:p>
    <w:p>
      <w:pPr>
        <w:spacing w:before="28" w:line="247" w:lineRule="exact"/>
        <w:ind w:left="470"/>
        <w:rPr>
          <w:rFonts w:ascii="宋体" w:hAnsi="宋体" w:eastAsia="宋体" w:cs="宋体"/>
          <w:sz w:val="17"/>
          <w:szCs w:val="17"/>
        </w:rPr>
      </w:pPr>
      <w:r>
        <w:rPr>
          <w:rFonts w:ascii="宋体" w:hAnsi="宋体" w:eastAsia="宋体" w:cs="宋体"/>
          <w:color w:val="231F20"/>
          <w:spacing w:val="-5"/>
          <w:position w:val="2"/>
          <w:sz w:val="17"/>
          <w:szCs w:val="17"/>
        </w:rPr>
        <w:t>learning-and-teaching-in</w:t>
      </w:r>
      <w:r>
        <w:rPr>
          <w:rFonts w:ascii="宋体" w:hAnsi="宋体" w:eastAsia="宋体" w:cs="宋体"/>
          <w:color w:val="231F20"/>
          <w:spacing w:val="-6"/>
          <w:position w:val="2"/>
          <w:sz w:val="17"/>
          <w:szCs w:val="17"/>
        </w:rPr>
        <w:t>-the-european-higher-</w:t>
      </w:r>
    </w:p>
    <w:p>
      <w:pPr>
        <w:spacing w:before="28" w:line="222" w:lineRule="auto"/>
        <w:jc w:val="right"/>
        <w:rPr>
          <w:rFonts w:ascii="微软雅黑" w:hAnsi="微软雅黑" w:eastAsia="微软雅黑" w:cs="微软雅黑"/>
          <w:sz w:val="17"/>
          <w:szCs w:val="17"/>
        </w:rPr>
      </w:pPr>
      <w:r>
        <w:rPr>
          <w:rFonts w:ascii="宋体" w:hAnsi="宋体" w:eastAsia="宋体" w:cs="宋体"/>
          <w:color w:val="231F20"/>
          <w:spacing w:val="-6"/>
          <w:sz w:val="17"/>
          <w:szCs w:val="17"/>
        </w:rPr>
        <w:t xml:space="preserve">education-area.pdf.                </w:t>
      </w:r>
      <w:r>
        <w:rPr>
          <w:rFonts w:ascii="宋体" w:hAnsi="宋体" w:eastAsia="宋体" w:cs="宋体"/>
          <w:color w:val="231F20"/>
          <w:spacing w:val="-7"/>
          <w:sz w:val="17"/>
          <w:szCs w:val="17"/>
        </w:rPr>
        <w:t xml:space="preserve">     </w:t>
      </w:r>
      <w:r>
        <w:rPr>
          <w:rFonts w:ascii="微软雅黑" w:hAnsi="微软雅黑" w:eastAsia="微软雅黑" w:cs="微软雅黑"/>
          <w:color w:val="231F20"/>
          <w:spacing w:val="-7"/>
          <w:sz w:val="17"/>
          <w:szCs w:val="17"/>
        </w:rPr>
        <w:t>（下转第</w:t>
      </w:r>
      <w:r>
        <w:rPr>
          <w:rFonts w:ascii="微软雅黑" w:hAnsi="微软雅黑" w:eastAsia="微软雅黑" w:cs="微软雅黑"/>
          <w:color w:val="231F20"/>
          <w:spacing w:val="-18"/>
          <w:sz w:val="17"/>
          <w:szCs w:val="17"/>
        </w:rPr>
        <w:t xml:space="preserve"> </w:t>
      </w:r>
      <w:r>
        <w:rPr>
          <w:rFonts w:ascii="宋体" w:hAnsi="宋体" w:eastAsia="宋体" w:cs="宋体"/>
          <w:color w:val="231F20"/>
          <w:spacing w:val="-7"/>
          <w:sz w:val="17"/>
          <w:szCs w:val="17"/>
        </w:rPr>
        <w:t>60</w:t>
      </w:r>
      <w:r>
        <w:rPr>
          <w:rFonts w:ascii="宋体" w:hAnsi="宋体" w:eastAsia="宋体" w:cs="宋体"/>
          <w:color w:val="231F20"/>
          <w:spacing w:val="-39"/>
          <w:sz w:val="17"/>
          <w:szCs w:val="17"/>
        </w:rPr>
        <w:t xml:space="preserve"> </w:t>
      </w:r>
      <w:r>
        <w:rPr>
          <w:rFonts w:ascii="微软雅黑" w:hAnsi="微软雅黑" w:eastAsia="微软雅黑" w:cs="微软雅黑"/>
          <w:color w:val="231F20"/>
          <w:spacing w:val="-7"/>
          <w:sz w:val="17"/>
          <w:szCs w:val="17"/>
        </w:rPr>
        <w:t>页）</w:t>
      </w:r>
    </w:p>
    <w:p>
      <w:pPr>
        <w:spacing w:line="222" w:lineRule="auto"/>
        <w:rPr>
          <w:rFonts w:ascii="微软雅黑" w:hAnsi="微软雅黑" w:eastAsia="微软雅黑" w:cs="微软雅黑"/>
          <w:sz w:val="17"/>
          <w:szCs w:val="17"/>
        </w:rPr>
        <w:sectPr>
          <w:type w:val="continuous"/>
          <w:pgSz w:w="10841" w:h="15421"/>
          <w:pgMar w:top="727" w:right="525" w:bottom="354" w:left="407" w:header="346" w:footer="0" w:gutter="0"/>
          <w:cols w:equalWidth="0" w:num="2">
            <w:col w:w="4979" w:space="86"/>
            <w:col w:w="4842"/>
          </w:cols>
        </w:sectPr>
      </w:pPr>
    </w:p>
    <w:p>
      <w:pPr>
        <w:spacing w:before="18"/>
      </w:pPr>
    </w:p>
    <w:p>
      <w:pPr>
        <w:spacing w:before="17"/>
      </w:pPr>
    </w:p>
    <w:p>
      <w:pPr>
        <w:sectPr>
          <w:type w:val="continuous"/>
          <w:pgSz w:w="10841" w:h="15421"/>
          <w:pgMar w:top="727" w:right="525" w:bottom="354" w:left="407" w:header="346" w:footer="0" w:gutter="0"/>
          <w:cols w:equalWidth="0" w:num="1">
            <w:col w:w="9907"/>
          </w:cols>
        </w:sectPr>
      </w:pPr>
    </w:p>
    <w:p>
      <w:pPr>
        <w:spacing w:line="284" w:lineRule="exact"/>
        <w:ind w:firstLine="19"/>
      </w:pPr>
      <w:r>
        <w:rPr>
          <w:position w:val="-5"/>
        </w:rPr>
        <w:pict>
          <v:group id="_x0000_s1114" o:spid="_x0000_s1114" o:spt="203" style="height:14.25pt;width:39.6pt;" coordsize="791,285">
            <o:lock v:ext="edit"/>
            <v:group id="_x0000_s1115" o:spid="_x0000_s1115" o:spt="203" style="position:absolute;left:0;top:0;height:285;width:791;" coordsize="791,285">
              <o:lock v:ext="edit"/>
              <v:shape id="_x0000_s1116" o:spid="_x0000_s1116" style="position:absolute;left:395;top:0;height:285;width:397;" fillcolor="#231F20" filled="t" stroked="f" coordsize="397,285" path="m0,284l0,0,396,0,396,284,0,284xe">
                <v:path/>
                <v:fill on="t" focussize="0,0"/>
                <v:stroke on="f"/>
                <v:imagedata o:title=""/>
                <o:lock v:ext="edit"/>
              </v:shape>
              <v:shape id="_x0000_s1117" o:spid="_x0000_s1117" style="position:absolute;left:0;top:0;height:285;width:395;" fillcolor="#C7C8CA" filled="t" stroked="f" coordsize="395,285" path="m0,284l0,0,395,0,395,284,0,284xe">
                <v:path/>
                <v:fill on="t" focussize="0,0"/>
                <v:stroke on="f"/>
                <v:imagedata o:title=""/>
                <o:lock v:ext="edit"/>
              </v:shape>
            </v:group>
            <v:shape id="_x0000_s1118" o:spid="_x0000_s1118" o:spt="202" type="#_x0000_t202" style="position:absolute;left:-20;top:-20;height:325;width:831;" filled="f" stroked="f" coordsize="21600,21600">
              <v:path/>
              <v:fill on="f" focussize="0,0"/>
              <v:stroke on="f"/>
              <v:imagedata o:title=""/>
              <o:lock v:ext="edit" aspectratio="f"/>
              <v:textbox inset="0mm,0mm,0mm,0mm">
                <w:txbxContent>
                  <w:p>
                    <w:pPr>
                      <w:spacing w:before="94" w:line="184" w:lineRule="auto"/>
                      <w:ind w:left="522"/>
                      <w:rPr>
                        <w:rFonts w:ascii="仿宋" w:hAnsi="仿宋" w:eastAsia="仿宋" w:cs="仿宋"/>
                        <w:sz w:val="20"/>
                        <w:szCs w:val="20"/>
                      </w:rPr>
                    </w:pPr>
                    <w:r>
                      <w:rPr>
                        <w:rFonts w:ascii="仿宋" w:hAnsi="仿宋" w:eastAsia="仿宋" w:cs="仿宋"/>
                        <w:color w:val="FFFFFF"/>
                        <w:spacing w:val="-2"/>
                        <w:sz w:val="20"/>
                        <w:szCs w:val="20"/>
                      </w:rPr>
                      <w:t>52</w:t>
                    </w:r>
                  </w:p>
                </w:txbxContent>
              </v:textbox>
            </v:shape>
            <w10:wrap type="none"/>
            <w10:anchorlock/>
          </v:group>
        </w:pict>
      </w:r>
    </w:p>
    <w:p>
      <w:pPr>
        <w:spacing w:before="20" w:line="200" w:lineRule="auto"/>
        <w:jc w:val="right"/>
        <w:rPr>
          <w:rFonts w:ascii="Arial" w:hAnsi="Arial" w:eastAsia="Arial" w:cs="Arial"/>
          <w:sz w:val="19"/>
          <w:szCs w:val="19"/>
        </w:rPr>
      </w:pPr>
      <w:r>
        <w:rPr>
          <w:rFonts w:ascii="Arial" w:hAnsi="Arial" w:eastAsia="Arial" w:cs="Arial"/>
          <w:color w:val="999999"/>
          <w:spacing w:val="1"/>
          <w:sz w:val="19"/>
          <w:szCs w:val="19"/>
        </w:rPr>
        <w:t>(C)1994-2022</w:t>
      </w: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p>
    <w:p>
      <w:pPr>
        <w:spacing w:before="55" w:line="202" w:lineRule="auto"/>
        <w:rPr>
          <w:rFonts w:ascii="Arial" w:hAnsi="Arial" w:eastAsia="Arial" w:cs="Arial"/>
          <w:sz w:val="19"/>
          <w:szCs w:val="19"/>
        </w:rPr>
      </w:pPr>
      <w:r>
        <w:rPr>
          <w:rFonts w:ascii="Arial" w:hAnsi="Arial" w:eastAsia="Arial" w:cs="Arial"/>
          <w:color w:val="999999"/>
          <w:spacing w:val="3"/>
          <w:sz w:val="19"/>
          <w:szCs w:val="19"/>
        </w:rPr>
        <w:t>china Academic Journal Electronic publishing House. All rights reserved.</w:t>
      </w: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p>
    <w:p>
      <w:pPr>
        <w:spacing w:before="55" w:line="202" w:lineRule="auto"/>
        <w:rPr>
          <w:rFonts w:ascii="Arial" w:hAnsi="Arial" w:eastAsia="Arial" w:cs="Arial"/>
          <w:sz w:val="19"/>
          <w:szCs w:val="19"/>
        </w:rPr>
      </w:pPr>
      <w:r>
        <w:rPr>
          <w:rFonts w:ascii="Arial" w:hAnsi="Arial" w:eastAsia="Arial" w:cs="Arial"/>
          <w:color w:val="999999"/>
          <w:spacing w:val="5"/>
          <w:sz w:val="19"/>
          <w:szCs w:val="19"/>
        </w:rPr>
        <w:t>http://www.cnki.net</w:t>
      </w:r>
    </w:p>
    <w:p>
      <w:pPr>
        <w:spacing w:line="202" w:lineRule="auto"/>
        <w:rPr>
          <w:rFonts w:ascii="Arial" w:hAnsi="Arial" w:eastAsia="Arial" w:cs="Arial"/>
          <w:sz w:val="19"/>
          <w:szCs w:val="19"/>
        </w:rPr>
        <w:sectPr>
          <w:type w:val="continuous"/>
          <w:pgSz w:w="10841" w:h="15421"/>
          <w:pgMar w:top="727" w:right="525" w:bottom="354" w:left="407" w:header="346" w:footer="0" w:gutter="0"/>
          <w:cols w:equalWidth="0" w:num="3">
            <w:col w:w="1190" w:space="71"/>
            <w:col w:w="6445" w:space="100"/>
            <w:col w:w="2101"/>
          </w:cols>
        </w:sectPr>
      </w:pPr>
    </w:p>
    <w:p>
      <w:pPr>
        <w:spacing w:before="92" w:line="237" w:lineRule="exact"/>
        <w:ind w:firstLine="6744"/>
      </w:pPr>
      <w:r>
        <w:drawing>
          <wp:anchor distT="0" distB="0" distL="0" distR="0" simplePos="0" relativeHeight="251737088" behindDoc="0" locked="0" layoutInCell="0" allowOverlap="1">
            <wp:simplePos x="0" y="0"/>
            <wp:positionH relativeFrom="page">
              <wp:posOffset>609600</wp:posOffset>
            </wp:positionH>
            <wp:positionV relativeFrom="page">
              <wp:posOffset>8063865</wp:posOffset>
            </wp:positionV>
            <wp:extent cx="5044440" cy="12065"/>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33"/>
                    <a:stretch>
                      <a:fillRect/>
                    </a:stretch>
                  </pic:blipFill>
                  <pic:spPr>
                    <a:xfrm>
                      <a:off x="0" y="0"/>
                      <a:ext cx="5044313" cy="12242"/>
                    </a:xfrm>
                    <a:prstGeom prst="rect">
                      <a:avLst/>
                    </a:prstGeom>
                  </pic:spPr>
                </pic:pic>
              </a:graphicData>
            </a:graphic>
          </wp:anchor>
        </w:drawing>
      </w:r>
      <w:r>
        <w:pict>
          <v:shape id="_x0000_s1119" o:spid="_x0000_s1119" o:spt="202" type="#_x0000_t202" style="position:absolute;left:0pt;margin-left:354.5pt;margin-top:190pt;height:55.05pt;width:90.45pt;mso-position-horizontal-relative:page;mso-position-vertical-relative:page;z-index:251736064;mso-width-relative:page;mso-height-relative:page;" filled="f" stroked="f" coordsize="21600,21600" o:allowincell="f">
            <v:path/>
            <v:fill on="f" focussize="0,0"/>
            <v:stroke on="f"/>
            <v:imagedata o:title=""/>
            <o:lock v:ext="edit" aspectratio="f"/>
            <v:textbox inset="0mm,0mm,0mm,0mm">
              <w:txbxContent>
                <w:p>
                  <w:pPr>
                    <w:spacing w:before="20" w:line="197" w:lineRule="auto"/>
                    <w:ind w:left="23"/>
                    <w:rPr>
                      <w:rFonts w:ascii="Arial" w:hAnsi="Arial" w:eastAsia="Arial" w:cs="Arial"/>
                      <w:sz w:val="14"/>
                      <w:szCs w:val="14"/>
                    </w:rPr>
                  </w:pPr>
                  <w:r>
                    <w:rPr>
                      <w:rFonts w:ascii="Arial" w:hAnsi="Arial" w:eastAsia="Arial" w:cs="Arial"/>
                      <w:color w:val="282781"/>
                      <w:spacing w:val="-4"/>
                      <w:sz w:val="14"/>
                      <w:szCs w:val="14"/>
                    </w:rPr>
                    <w:t>KEYWORDS</w:t>
                  </w:r>
                </w:p>
                <w:p>
                  <w:pPr>
                    <w:spacing w:before="25" w:line="213" w:lineRule="auto"/>
                    <w:ind w:left="20"/>
                    <w:rPr>
                      <w:rFonts w:ascii="Arial" w:hAnsi="Arial" w:eastAsia="Arial" w:cs="Arial"/>
                      <w:sz w:val="15"/>
                      <w:szCs w:val="15"/>
                    </w:rPr>
                  </w:pPr>
                  <w:r>
                    <w:rPr>
                      <w:rFonts w:ascii="Arial" w:hAnsi="Arial" w:eastAsia="Arial" w:cs="Arial"/>
                      <w:spacing w:val="-5"/>
                      <w:sz w:val="15"/>
                      <w:szCs w:val="15"/>
                    </w:rPr>
                    <w:t>Quality</w:t>
                  </w:r>
                  <w:r>
                    <w:rPr>
                      <w:rFonts w:ascii="Arial" w:hAnsi="Arial" w:eastAsia="Arial" w:cs="Arial"/>
                      <w:spacing w:val="26"/>
                      <w:w w:val="101"/>
                      <w:sz w:val="15"/>
                      <w:szCs w:val="15"/>
                    </w:rPr>
                    <w:t xml:space="preserve"> </w:t>
                  </w:r>
                  <w:r>
                    <w:rPr>
                      <w:rFonts w:ascii="Arial" w:hAnsi="Arial" w:eastAsia="Arial" w:cs="Arial"/>
                      <w:spacing w:val="-5"/>
                      <w:sz w:val="15"/>
                      <w:szCs w:val="15"/>
                    </w:rPr>
                    <w:t>culture;</w:t>
                  </w:r>
                  <w:r>
                    <w:rPr>
                      <w:rFonts w:ascii="Arial" w:hAnsi="Arial" w:eastAsia="Arial" w:cs="Arial"/>
                      <w:spacing w:val="10"/>
                      <w:w w:val="101"/>
                      <w:sz w:val="15"/>
                      <w:szCs w:val="15"/>
                    </w:rPr>
                    <w:t xml:space="preserve"> </w:t>
                  </w:r>
                  <w:r>
                    <w:rPr>
                      <w:rFonts w:ascii="Arial" w:hAnsi="Arial" w:eastAsia="Arial" w:cs="Arial"/>
                      <w:spacing w:val="-5"/>
                      <w:sz w:val="15"/>
                      <w:szCs w:val="15"/>
                    </w:rPr>
                    <w:t>quality</w:t>
                  </w:r>
                </w:p>
                <w:p>
                  <w:pPr>
                    <w:spacing w:line="179" w:lineRule="exact"/>
                    <w:ind w:left="20"/>
                    <w:rPr>
                      <w:rFonts w:ascii="Arial" w:hAnsi="Arial" w:eastAsia="Arial" w:cs="Arial"/>
                      <w:sz w:val="15"/>
                      <w:szCs w:val="15"/>
                    </w:rPr>
                  </w:pPr>
                  <w:r>
                    <w:rPr>
                      <w:rFonts w:ascii="Arial" w:hAnsi="Arial" w:eastAsia="Arial" w:cs="Arial"/>
                      <w:spacing w:val="-7"/>
                      <w:position w:val="1"/>
                      <w:sz w:val="15"/>
                      <w:szCs w:val="15"/>
                    </w:rPr>
                    <w:t>enhancement;</w:t>
                  </w:r>
                </w:p>
                <w:p>
                  <w:pPr>
                    <w:spacing w:line="180" w:lineRule="exact"/>
                    <w:ind w:left="20"/>
                    <w:rPr>
                      <w:rFonts w:ascii="Arial" w:hAnsi="Arial" w:eastAsia="Arial" w:cs="Arial"/>
                      <w:sz w:val="15"/>
                      <w:szCs w:val="15"/>
                    </w:rPr>
                  </w:pPr>
                  <w:r>
                    <w:rPr>
                      <w:rFonts w:ascii="Arial" w:hAnsi="Arial" w:eastAsia="Arial" w:cs="Arial"/>
                      <w:spacing w:val="-5"/>
                      <w:position w:val="2"/>
                      <w:sz w:val="15"/>
                      <w:szCs w:val="15"/>
                    </w:rPr>
                    <w:t>operationalization;</w:t>
                  </w:r>
                </w:p>
                <w:p>
                  <w:pPr>
                    <w:spacing w:line="271" w:lineRule="auto"/>
                    <w:ind w:left="20" w:right="20"/>
                    <w:rPr>
                      <w:rFonts w:ascii="Arial" w:hAnsi="Arial" w:eastAsia="Arial" w:cs="Arial"/>
                      <w:sz w:val="15"/>
                      <w:szCs w:val="15"/>
                    </w:rPr>
                  </w:pPr>
                  <w:r>
                    <w:rPr>
                      <w:rFonts w:ascii="Arial" w:hAnsi="Arial" w:eastAsia="Arial" w:cs="Arial"/>
                      <w:spacing w:val="-6"/>
                      <w:sz w:val="15"/>
                      <w:szCs w:val="15"/>
                    </w:rPr>
                    <w:t>quantitative</w:t>
                  </w:r>
                  <w:r>
                    <w:rPr>
                      <w:rFonts w:ascii="Arial" w:hAnsi="Arial" w:eastAsia="Arial" w:cs="Arial"/>
                      <w:spacing w:val="21"/>
                      <w:sz w:val="15"/>
                      <w:szCs w:val="15"/>
                    </w:rPr>
                    <w:t xml:space="preserve"> </w:t>
                  </w:r>
                  <w:r>
                    <w:rPr>
                      <w:rFonts w:ascii="Arial" w:hAnsi="Arial" w:eastAsia="Arial" w:cs="Arial"/>
                      <w:spacing w:val="-6"/>
                      <w:sz w:val="15"/>
                      <w:szCs w:val="15"/>
                    </w:rPr>
                    <w:t>research;</w:t>
                  </w:r>
                  <w:r>
                    <w:rPr>
                      <w:rFonts w:ascii="Arial" w:hAnsi="Arial" w:eastAsia="Arial" w:cs="Arial"/>
                      <w:spacing w:val="15"/>
                      <w:w w:val="102"/>
                      <w:sz w:val="15"/>
                      <w:szCs w:val="15"/>
                    </w:rPr>
                    <w:t xml:space="preserve"> </w:t>
                  </w:r>
                  <w:r>
                    <w:rPr>
                      <w:rFonts w:ascii="Arial" w:hAnsi="Arial" w:eastAsia="Arial" w:cs="Arial"/>
                      <w:spacing w:val="-6"/>
                      <w:sz w:val="15"/>
                      <w:szCs w:val="15"/>
                    </w:rPr>
                    <w:t>higher</w:t>
                  </w:r>
                  <w:r>
                    <w:rPr>
                      <w:rFonts w:ascii="Arial" w:hAnsi="Arial" w:eastAsia="Arial" w:cs="Arial"/>
                      <w:sz w:val="15"/>
                      <w:szCs w:val="15"/>
                    </w:rPr>
                    <w:t xml:space="preserve"> </w:t>
                  </w:r>
                  <w:r>
                    <w:rPr>
                      <w:rFonts w:ascii="Arial" w:hAnsi="Arial" w:eastAsia="Arial" w:cs="Arial"/>
                      <w:spacing w:val="-5"/>
                      <w:sz w:val="15"/>
                      <w:szCs w:val="15"/>
                    </w:rPr>
                    <w:t>education</w:t>
                  </w:r>
                </w:p>
              </w:txbxContent>
            </v:textbox>
          </v:shape>
        </w:pict>
      </w:r>
      <w:r>
        <w:rPr>
          <w:position w:val="-4"/>
        </w:rPr>
        <w:drawing>
          <wp:inline distT="0" distB="0" distL="0" distR="0">
            <wp:extent cx="761365" cy="15049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34"/>
                    <a:stretch>
                      <a:fillRect/>
                    </a:stretch>
                  </pic:blipFill>
                  <pic:spPr>
                    <a:xfrm>
                      <a:off x="0" y="0"/>
                      <a:ext cx="761974" cy="150520"/>
                    </a:xfrm>
                    <a:prstGeom prst="rect">
                      <a:avLst/>
                    </a:prstGeom>
                  </pic:spPr>
                </pic:pic>
              </a:graphicData>
            </a:graphic>
          </wp:inline>
        </w:drawing>
      </w:r>
    </w:p>
    <w:p>
      <w:pPr>
        <w:spacing w:before="282" w:line="220" w:lineRule="auto"/>
        <w:ind w:left="17" w:right="7" w:hanging="15"/>
        <w:rPr>
          <w:rFonts w:ascii="Arial" w:hAnsi="Arial" w:eastAsia="Arial" w:cs="Arial"/>
          <w:sz w:val="28"/>
          <w:szCs w:val="28"/>
        </w:rPr>
      </w:pPr>
      <w:bookmarkStart w:id="1" w:name="bookmark5"/>
      <w:bookmarkEnd w:id="1"/>
      <w:r>
        <w:rPr>
          <w:rFonts w:ascii="Arial" w:hAnsi="Arial" w:eastAsia="Arial" w:cs="Arial"/>
          <w:color w:val="282781"/>
          <w:spacing w:val="-4"/>
          <w:sz w:val="28"/>
          <w:szCs w:val="28"/>
        </w:rPr>
        <w:t>The Quality Culture Inventory: a</w:t>
      </w:r>
      <w:r>
        <w:rPr>
          <w:rFonts w:ascii="Arial" w:hAnsi="Arial" w:eastAsia="Arial" w:cs="Arial"/>
          <w:color w:val="282781"/>
          <w:spacing w:val="-5"/>
          <w:sz w:val="28"/>
          <w:szCs w:val="28"/>
        </w:rPr>
        <w:t xml:space="preserve"> comprehensive approach</w:t>
      </w:r>
      <w:r>
        <w:rPr>
          <w:rFonts w:ascii="Arial" w:hAnsi="Arial" w:eastAsia="Arial" w:cs="Arial"/>
          <w:color w:val="282781"/>
          <w:spacing w:val="-15"/>
          <w:sz w:val="28"/>
          <w:szCs w:val="28"/>
        </w:rPr>
        <w:t xml:space="preserve"> </w:t>
      </w:r>
      <w:r>
        <w:rPr>
          <w:rFonts w:ascii="Arial" w:hAnsi="Arial" w:eastAsia="Arial" w:cs="Arial"/>
          <w:color w:val="282781"/>
          <w:spacing w:val="-5"/>
          <w:sz w:val="28"/>
          <w:szCs w:val="28"/>
        </w:rPr>
        <w:t>towards</w:t>
      </w:r>
      <w:r>
        <w:rPr>
          <w:rFonts w:ascii="Arial" w:hAnsi="Arial" w:eastAsia="Arial" w:cs="Arial"/>
          <w:color w:val="282781"/>
          <w:sz w:val="28"/>
          <w:szCs w:val="28"/>
        </w:rPr>
        <w:t xml:space="preserve"> </w:t>
      </w:r>
      <w:r>
        <w:rPr>
          <w:rFonts w:ascii="Arial" w:hAnsi="Arial" w:eastAsia="Arial" w:cs="Arial"/>
          <w:color w:val="282781"/>
          <w:spacing w:val="-1"/>
          <w:sz w:val="28"/>
          <w:szCs w:val="28"/>
        </w:rPr>
        <w:t>measuring quality culture</w:t>
      </w:r>
      <w:r>
        <w:rPr>
          <w:rFonts w:ascii="Arial" w:hAnsi="Arial" w:eastAsia="Arial" w:cs="Arial"/>
          <w:color w:val="282781"/>
          <w:spacing w:val="31"/>
          <w:sz w:val="28"/>
          <w:szCs w:val="28"/>
        </w:rPr>
        <w:t xml:space="preserve"> </w:t>
      </w:r>
      <w:r>
        <w:rPr>
          <w:rFonts w:ascii="Arial" w:hAnsi="Arial" w:eastAsia="Arial" w:cs="Arial"/>
          <w:color w:val="282781"/>
          <w:spacing w:val="-1"/>
          <w:sz w:val="28"/>
          <w:szCs w:val="28"/>
        </w:rPr>
        <w:t>in</w:t>
      </w:r>
      <w:r>
        <w:rPr>
          <w:rFonts w:ascii="Arial" w:hAnsi="Arial" w:eastAsia="Arial" w:cs="Arial"/>
          <w:color w:val="282781"/>
          <w:spacing w:val="25"/>
          <w:sz w:val="28"/>
          <w:szCs w:val="28"/>
        </w:rPr>
        <w:t xml:space="preserve"> </w:t>
      </w:r>
      <w:r>
        <w:rPr>
          <w:rFonts w:ascii="Arial" w:hAnsi="Arial" w:eastAsia="Arial" w:cs="Arial"/>
          <w:color w:val="282781"/>
          <w:spacing w:val="-1"/>
          <w:sz w:val="28"/>
          <w:szCs w:val="28"/>
        </w:rPr>
        <w:t>higher</w:t>
      </w:r>
      <w:r>
        <w:rPr>
          <w:rFonts w:ascii="Arial" w:hAnsi="Arial" w:eastAsia="Arial" w:cs="Arial"/>
          <w:color w:val="282781"/>
          <w:spacing w:val="16"/>
          <w:sz w:val="28"/>
          <w:szCs w:val="28"/>
        </w:rPr>
        <w:t xml:space="preserve"> </w:t>
      </w:r>
      <w:r>
        <w:rPr>
          <w:rFonts w:ascii="Arial" w:hAnsi="Arial" w:eastAsia="Arial" w:cs="Arial"/>
          <w:color w:val="282781"/>
          <w:spacing w:val="-1"/>
          <w:sz w:val="28"/>
          <w:szCs w:val="28"/>
        </w:rPr>
        <w:t>education</w:t>
      </w:r>
    </w:p>
    <w:p>
      <w:pPr>
        <w:spacing w:before="170" w:line="192" w:lineRule="auto"/>
        <w:ind w:left="7"/>
        <w:rPr>
          <w:rFonts w:ascii="Arial" w:hAnsi="Arial" w:eastAsia="Arial" w:cs="Arial"/>
          <w:sz w:val="21"/>
          <w:szCs w:val="21"/>
        </w:rPr>
      </w:pPr>
      <w:r>
        <w:rPr>
          <w:rFonts w:ascii="Arial" w:hAnsi="Arial" w:eastAsia="Arial" w:cs="Arial"/>
          <w:spacing w:val="-8"/>
          <w:sz w:val="21"/>
          <w:szCs w:val="21"/>
        </w:rPr>
        <w:t>Christine</w:t>
      </w:r>
      <w:r>
        <w:rPr>
          <w:rFonts w:ascii="Arial" w:hAnsi="Arial" w:eastAsia="Arial" w:cs="Arial"/>
          <w:spacing w:val="19"/>
          <w:w w:val="101"/>
          <w:sz w:val="21"/>
          <w:szCs w:val="21"/>
        </w:rPr>
        <w:t xml:space="preserve"> </w:t>
      </w:r>
      <w:r>
        <w:rPr>
          <w:rFonts w:ascii="Arial" w:hAnsi="Arial" w:eastAsia="Arial" w:cs="Arial"/>
          <w:spacing w:val="-8"/>
          <w:sz w:val="21"/>
          <w:szCs w:val="21"/>
        </w:rPr>
        <w:t>Hildesheim</w:t>
      </w:r>
      <w:r>
        <w:rPr>
          <w:rFonts w:ascii="Arial" w:hAnsi="Arial" w:eastAsia="Arial" w:cs="Arial"/>
          <w:spacing w:val="10"/>
          <w:sz w:val="21"/>
          <w:szCs w:val="21"/>
        </w:rPr>
        <w:t xml:space="preserve"> </w:t>
      </w:r>
      <w:r>
        <w:rPr>
          <w:rFonts w:ascii="Arial" w:hAnsi="Arial" w:eastAsia="Arial" w:cs="Arial"/>
          <w:spacing w:val="-8"/>
          <w:sz w:val="21"/>
          <w:szCs w:val="21"/>
        </w:rPr>
        <w:t>and</w:t>
      </w:r>
      <w:r>
        <w:rPr>
          <w:rFonts w:ascii="Arial" w:hAnsi="Arial" w:eastAsia="Arial" w:cs="Arial"/>
          <w:spacing w:val="39"/>
          <w:sz w:val="21"/>
          <w:szCs w:val="21"/>
        </w:rPr>
        <w:t xml:space="preserve"> </w:t>
      </w:r>
      <w:r>
        <w:rPr>
          <w:rFonts w:ascii="Arial" w:hAnsi="Arial" w:eastAsia="Arial" w:cs="Arial"/>
          <w:spacing w:val="-8"/>
          <w:sz w:val="21"/>
          <w:szCs w:val="21"/>
        </w:rPr>
        <w:t>Karlheinz</w:t>
      </w:r>
      <w:r>
        <w:rPr>
          <w:rFonts w:ascii="Arial" w:hAnsi="Arial" w:eastAsia="Arial" w:cs="Arial"/>
          <w:spacing w:val="12"/>
          <w:sz w:val="21"/>
          <w:szCs w:val="21"/>
        </w:rPr>
        <w:t xml:space="preserve"> </w:t>
      </w:r>
      <w:r>
        <w:rPr>
          <w:rFonts w:ascii="Arial" w:hAnsi="Arial" w:eastAsia="Arial" w:cs="Arial"/>
          <w:spacing w:val="-8"/>
          <w:sz w:val="21"/>
          <w:szCs w:val="21"/>
        </w:rPr>
        <w:t>Sonntag</w:t>
      </w:r>
    </w:p>
    <w:p>
      <w:pPr>
        <w:spacing w:before="188" w:line="195" w:lineRule="auto"/>
        <w:ind w:left="12"/>
        <w:rPr>
          <w:rFonts w:ascii="Arial" w:hAnsi="Arial" w:eastAsia="Arial" w:cs="Arial"/>
          <w:sz w:val="18"/>
          <w:szCs w:val="18"/>
        </w:rPr>
      </w:pPr>
      <w:r>
        <w:rPr>
          <w:rFonts w:ascii="Arial" w:hAnsi="Arial" w:eastAsia="Arial" w:cs="Arial"/>
          <w:spacing w:val="-13"/>
          <w:sz w:val="18"/>
          <w:szCs w:val="18"/>
        </w:rPr>
        <w:t>Department</w:t>
      </w:r>
      <w:r>
        <w:rPr>
          <w:rFonts w:ascii="Arial" w:hAnsi="Arial" w:eastAsia="Arial" w:cs="Arial"/>
          <w:spacing w:val="21"/>
          <w:sz w:val="18"/>
          <w:szCs w:val="18"/>
        </w:rPr>
        <w:t xml:space="preserve"> </w:t>
      </w:r>
      <w:r>
        <w:rPr>
          <w:rFonts w:ascii="Arial" w:hAnsi="Arial" w:eastAsia="Arial" w:cs="Arial"/>
          <w:spacing w:val="-13"/>
          <w:sz w:val="18"/>
          <w:szCs w:val="18"/>
        </w:rPr>
        <w:t>of Work</w:t>
      </w:r>
      <w:r>
        <w:rPr>
          <w:rFonts w:ascii="Arial" w:hAnsi="Arial" w:eastAsia="Arial" w:cs="Arial"/>
          <w:spacing w:val="8"/>
          <w:sz w:val="18"/>
          <w:szCs w:val="18"/>
        </w:rPr>
        <w:t xml:space="preserve"> </w:t>
      </w:r>
      <w:r>
        <w:rPr>
          <w:rFonts w:ascii="Arial" w:hAnsi="Arial" w:eastAsia="Arial" w:cs="Arial"/>
          <w:spacing w:val="-13"/>
          <w:sz w:val="18"/>
          <w:szCs w:val="18"/>
        </w:rPr>
        <w:t>and</w:t>
      </w:r>
      <w:r>
        <w:rPr>
          <w:rFonts w:ascii="Arial" w:hAnsi="Arial" w:eastAsia="Arial" w:cs="Arial"/>
          <w:spacing w:val="10"/>
          <w:sz w:val="18"/>
          <w:szCs w:val="18"/>
        </w:rPr>
        <w:t xml:space="preserve"> </w:t>
      </w:r>
      <w:r>
        <w:rPr>
          <w:rFonts w:ascii="Arial" w:hAnsi="Arial" w:eastAsia="Arial" w:cs="Arial"/>
          <w:spacing w:val="-13"/>
          <w:sz w:val="18"/>
          <w:szCs w:val="18"/>
        </w:rPr>
        <w:t>Organizational</w:t>
      </w:r>
      <w:r>
        <w:rPr>
          <w:rFonts w:ascii="Arial" w:hAnsi="Arial" w:eastAsia="Arial" w:cs="Arial"/>
          <w:spacing w:val="17"/>
          <w:w w:val="101"/>
          <w:sz w:val="18"/>
          <w:szCs w:val="18"/>
        </w:rPr>
        <w:t xml:space="preserve"> </w:t>
      </w:r>
      <w:r>
        <w:rPr>
          <w:rFonts w:ascii="Arial" w:hAnsi="Arial" w:eastAsia="Arial" w:cs="Arial"/>
          <w:spacing w:val="-13"/>
          <w:sz w:val="18"/>
          <w:szCs w:val="18"/>
        </w:rPr>
        <w:t>Psychology,</w:t>
      </w:r>
      <w:r>
        <w:rPr>
          <w:rFonts w:ascii="Arial" w:hAnsi="Arial" w:eastAsia="Arial" w:cs="Arial"/>
          <w:spacing w:val="16"/>
          <w:w w:val="101"/>
          <w:sz w:val="18"/>
          <w:szCs w:val="18"/>
        </w:rPr>
        <w:t xml:space="preserve"> </w:t>
      </w:r>
      <w:r>
        <w:rPr>
          <w:rFonts w:ascii="Arial" w:hAnsi="Arial" w:eastAsia="Arial" w:cs="Arial"/>
          <w:spacing w:val="-13"/>
          <w:sz w:val="18"/>
          <w:szCs w:val="18"/>
        </w:rPr>
        <w:t>Heidelberg</w:t>
      </w:r>
      <w:r>
        <w:rPr>
          <w:rFonts w:ascii="Arial" w:hAnsi="Arial" w:eastAsia="Arial" w:cs="Arial"/>
          <w:spacing w:val="16"/>
          <w:w w:val="101"/>
          <w:sz w:val="18"/>
          <w:szCs w:val="18"/>
        </w:rPr>
        <w:t xml:space="preserve"> </w:t>
      </w:r>
      <w:r>
        <w:rPr>
          <w:rFonts w:ascii="Arial" w:hAnsi="Arial" w:eastAsia="Arial" w:cs="Arial"/>
          <w:spacing w:val="-13"/>
          <w:sz w:val="18"/>
          <w:szCs w:val="18"/>
        </w:rPr>
        <w:t>University,</w:t>
      </w:r>
      <w:r>
        <w:rPr>
          <w:rFonts w:ascii="Arial" w:hAnsi="Arial" w:eastAsia="Arial" w:cs="Arial"/>
          <w:spacing w:val="17"/>
          <w:sz w:val="18"/>
          <w:szCs w:val="18"/>
        </w:rPr>
        <w:t xml:space="preserve"> </w:t>
      </w:r>
      <w:r>
        <w:rPr>
          <w:rFonts w:ascii="Arial" w:hAnsi="Arial" w:eastAsia="Arial" w:cs="Arial"/>
          <w:spacing w:val="-13"/>
          <w:sz w:val="18"/>
          <w:szCs w:val="18"/>
        </w:rPr>
        <w:t>Heidelberg,</w:t>
      </w:r>
      <w:r>
        <w:rPr>
          <w:rFonts w:ascii="Arial" w:hAnsi="Arial" w:eastAsia="Arial" w:cs="Arial"/>
          <w:spacing w:val="11"/>
          <w:sz w:val="18"/>
          <w:szCs w:val="18"/>
        </w:rPr>
        <w:t xml:space="preserve"> </w:t>
      </w:r>
      <w:r>
        <w:rPr>
          <w:rFonts w:ascii="Arial" w:hAnsi="Arial" w:eastAsia="Arial" w:cs="Arial"/>
          <w:spacing w:val="-13"/>
          <w:sz w:val="18"/>
          <w:szCs w:val="18"/>
        </w:rPr>
        <w:t>Germany</w:t>
      </w:r>
    </w:p>
    <w:p>
      <w:pPr>
        <w:spacing w:before="199" w:line="3969" w:lineRule="exact"/>
      </w:pPr>
      <w:r>
        <w:rPr>
          <w:position w:val="-79"/>
        </w:rPr>
        <w:pict>
          <v:shape id="_x0000_s1120" o:spid="_x0000_s1120" o:spt="202" type="#_x0000_t202" style="height:198.45pt;width:301.25pt;" fillcolor="#E8E9F5" filled="t" stroked="f" coordsize="21600,21600">
            <v:path/>
            <v:fill on="t" focussize="0,0"/>
            <v:stroke on="f"/>
            <v:imagedata o:title=""/>
            <o:lock v:ext="edit" aspectratio="f"/>
            <v:textbox inset="0mm,0mm,0mm,0mm">
              <w:txbxContent>
                <w:p>
                  <w:pPr>
                    <w:spacing w:before="237" w:line="197" w:lineRule="auto"/>
                    <w:ind w:left="241"/>
                    <w:outlineLvl w:val="2"/>
                    <w:rPr>
                      <w:rFonts w:ascii="Arial" w:hAnsi="Arial" w:eastAsia="Arial" w:cs="Arial"/>
                      <w:sz w:val="14"/>
                      <w:szCs w:val="14"/>
                    </w:rPr>
                  </w:pPr>
                  <w:r>
                    <w:rPr>
                      <w:rFonts w:ascii="Arial" w:hAnsi="Arial" w:eastAsia="Arial" w:cs="Arial"/>
                      <w:color w:val="282781"/>
                      <w:spacing w:val="-2"/>
                      <w:sz w:val="14"/>
                      <w:szCs w:val="14"/>
                    </w:rPr>
                    <w:t>ABSTRACT</w:t>
                  </w:r>
                </w:p>
                <w:p>
                  <w:pPr>
                    <w:spacing w:before="27" w:line="230" w:lineRule="auto"/>
                    <w:ind w:left="245" w:right="220"/>
                    <w:jc w:val="both"/>
                    <w:rPr>
                      <w:rFonts w:ascii="Arial" w:hAnsi="Arial" w:eastAsia="Arial" w:cs="Arial"/>
                      <w:sz w:val="18"/>
                      <w:szCs w:val="18"/>
                    </w:rPr>
                  </w:pPr>
                  <w:r>
                    <w:rPr>
                      <w:rFonts w:ascii="Arial" w:hAnsi="Arial" w:eastAsia="Arial" w:cs="Arial"/>
                      <w:spacing w:val="-5"/>
                      <w:sz w:val="18"/>
                      <w:szCs w:val="18"/>
                    </w:rPr>
                    <w:t>Quality assurance and quality</w:t>
                  </w:r>
                  <w:r>
                    <w:rPr>
                      <w:rFonts w:ascii="Arial" w:hAnsi="Arial" w:eastAsia="Arial" w:cs="Arial"/>
                      <w:spacing w:val="-6"/>
                      <w:sz w:val="18"/>
                      <w:szCs w:val="18"/>
                    </w:rPr>
                    <w:t xml:space="preserve"> development represent central challenges of</w:t>
                  </w:r>
                  <w:r>
                    <w:rPr>
                      <w:rFonts w:ascii="Arial" w:hAnsi="Arial" w:eastAsia="Arial" w:cs="Arial"/>
                      <w:sz w:val="18"/>
                      <w:szCs w:val="18"/>
                    </w:rPr>
                    <w:t xml:space="preserve"> </w:t>
                  </w:r>
                  <w:r>
                    <w:rPr>
                      <w:rFonts w:ascii="Arial" w:hAnsi="Arial" w:eastAsia="Arial" w:cs="Arial"/>
                      <w:spacing w:val="-5"/>
                      <w:sz w:val="18"/>
                      <w:szCs w:val="18"/>
                    </w:rPr>
                    <w:t xml:space="preserve">higher education institutions (HEIs). In this context, the term quality culture </w:t>
                  </w:r>
                  <w:r>
                    <w:rPr>
                      <w:rFonts w:ascii="Arial" w:hAnsi="Arial" w:eastAsia="Arial" w:cs="Arial"/>
                      <w:spacing w:val="-4"/>
                      <w:sz w:val="18"/>
                      <w:szCs w:val="18"/>
                    </w:rPr>
                    <w:t>has gained increasing attention. Quality cul</w:t>
                  </w:r>
                  <w:r>
                    <w:rPr>
                      <w:rFonts w:ascii="Arial" w:hAnsi="Arial" w:eastAsia="Arial" w:cs="Arial"/>
                      <w:spacing w:val="-5"/>
                      <w:sz w:val="18"/>
                      <w:szCs w:val="18"/>
                    </w:rPr>
                    <w:t>ture refers to an organizational</w:t>
                  </w:r>
                  <w:r>
                    <w:rPr>
                      <w:rFonts w:ascii="Arial" w:hAnsi="Arial" w:eastAsia="Arial" w:cs="Arial"/>
                      <w:sz w:val="18"/>
                      <w:szCs w:val="18"/>
                    </w:rPr>
                    <w:t xml:space="preserve"> </w:t>
                  </w:r>
                  <w:r>
                    <w:rPr>
                      <w:rFonts w:ascii="Arial" w:hAnsi="Arial" w:eastAsia="Arial" w:cs="Arial"/>
                      <w:spacing w:val="-3"/>
                      <w:sz w:val="18"/>
                      <w:szCs w:val="18"/>
                    </w:rPr>
                    <w:t>culture,   which   emphasizes   the    importa</w:t>
                  </w:r>
                  <w:r>
                    <w:rPr>
                      <w:rFonts w:ascii="Arial" w:hAnsi="Arial" w:eastAsia="Arial" w:cs="Arial"/>
                      <w:spacing w:val="-4"/>
                      <w:sz w:val="18"/>
                      <w:szCs w:val="18"/>
                    </w:rPr>
                    <w:t xml:space="preserve">nce   of   continuous   quality </w:t>
                  </w:r>
                  <w:r>
                    <w:rPr>
                      <w:rFonts w:ascii="Arial" w:hAnsi="Arial" w:eastAsia="Arial" w:cs="Arial"/>
                      <w:spacing w:val="-3"/>
                      <w:sz w:val="18"/>
                      <w:szCs w:val="18"/>
                    </w:rPr>
                    <w:t>improvement,   shared   attitudes,   and   commitment   towa</w:t>
                  </w:r>
                  <w:r>
                    <w:rPr>
                      <w:rFonts w:ascii="Arial" w:hAnsi="Arial" w:eastAsia="Arial" w:cs="Arial"/>
                      <w:spacing w:val="-4"/>
                      <w:sz w:val="18"/>
                      <w:szCs w:val="18"/>
                    </w:rPr>
                    <w:t>rds</w:t>
                  </w:r>
                  <w:r>
                    <w:rPr>
                      <w:rFonts w:ascii="Arial" w:hAnsi="Arial" w:eastAsia="Arial" w:cs="Arial"/>
                      <w:spacing w:val="1"/>
                      <w:sz w:val="18"/>
                      <w:szCs w:val="18"/>
                    </w:rPr>
                    <w:t xml:space="preserve">   </w:t>
                  </w:r>
                  <w:r>
                    <w:rPr>
                      <w:rFonts w:ascii="Arial" w:hAnsi="Arial" w:eastAsia="Arial" w:cs="Arial"/>
                      <w:spacing w:val="-4"/>
                      <w:sz w:val="18"/>
                      <w:szCs w:val="18"/>
                    </w:rPr>
                    <w:t>quality. Despite</w:t>
                  </w:r>
                  <w:r>
                    <w:rPr>
                      <w:rFonts w:ascii="Arial" w:hAnsi="Arial" w:eastAsia="Arial" w:cs="Arial"/>
                      <w:spacing w:val="9"/>
                      <w:sz w:val="18"/>
                      <w:szCs w:val="18"/>
                    </w:rPr>
                    <w:t xml:space="preserve">   </w:t>
                  </w:r>
                  <w:r>
                    <w:rPr>
                      <w:rFonts w:ascii="Arial" w:hAnsi="Arial" w:eastAsia="Arial" w:cs="Arial"/>
                      <w:spacing w:val="-4"/>
                      <w:sz w:val="18"/>
                      <w:szCs w:val="18"/>
                    </w:rPr>
                    <w:t>growing</w:t>
                  </w:r>
                  <w:r>
                    <w:rPr>
                      <w:rFonts w:ascii="Arial" w:hAnsi="Arial" w:eastAsia="Arial" w:cs="Arial"/>
                      <w:spacing w:val="10"/>
                      <w:sz w:val="18"/>
                      <w:szCs w:val="18"/>
                    </w:rPr>
                    <w:t xml:space="preserve">   </w:t>
                  </w:r>
                  <w:r>
                    <w:rPr>
                      <w:rFonts w:ascii="Arial" w:hAnsi="Arial" w:eastAsia="Arial" w:cs="Arial"/>
                      <w:spacing w:val="-4"/>
                      <w:sz w:val="18"/>
                      <w:szCs w:val="18"/>
                    </w:rPr>
                    <w:t>discussion</w:t>
                  </w:r>
                  <w:r>
                    <w:rPr>
                      <w:rFonts w:ascii="Arial" w:hAnsi="Arial" w:eastAsia="Arial" w:cs="Arial"/>
                      <w:spacing w:val="9"/>
                      <w:sz w:val="18"/>
                      <w:szCs w:val="18"/>
                    </w:rPr>
                    <w:t xml:space="preserve">   </w:t>
                  </w:r>
                  <w:r>
                    <w:rPr>
                      <w:rFonts w:ascii="Arial" w:hAnsi="Arial" w:eastAsia="Arial" w:cs="Arial"/>
                      <w:spacing w:val="-4"/>
                      <w:sz w:val="18"/>
                      <w:szCs w:val="18"/>
                    </w:rPr>
                    <w:t>of   quality    cul</w:t>
                  </w:r>
                  <w:r>
                    <w:rPr>
                      <w:rFonts w:ascii="Arial" w:hAnsi="Arial" w:eastAsia="Arial" w:cs="Arial"/>
                      <w:spacing w:val="-5"/>
                      <w:sz w:val="18"/>
                      <w:szCs w:val="18"/>
                    </w:rPr>
                    <w:t>ture,    sound    empirical approaches</w:t>
                  </w:r>
                  <w:r>
                    <w:rPr>
                      <w:rFonts w:ascii="Arial" w:hAnsi="Arial" w:eastAsia="Arial" w:cs="Arial"/>
                      <w:spacing w:val="41"/>
                      <w:sz w:val="18"/>
                      <w:szCs w:val="18"/>
                    </w:rPr>
                    <w:t xml:space="preserve"> </w:t>
                  </w:r>
                  <w:r>
                    <w:rPr>
                      <w:rFonts w:ascii="Arial" w:hAnsi="Arial" w:eastAsia="Arial" w:cs="Arial"/>
                      <w:spacing w:val="-5"/>
                      <w:sz w:val="18"/>
                      <w:szCs w:val="18"/>
                    </w:rPr>
                    <w:t>that</w:t>
                  </w:r>
                  <w:r>
                    <w:rPr>
                      <w:rFonts w:ascii="Arial" w:hAnsi="Arial" w:eastAsia="Arial" w:cs="Arial"/>
                      <w:spacing w:val="43"/>
                      <w:sz w:val="18"/>
                      <w:szCs w:val="18"/>
                    </w:rPr>
                    <w:t xml:space="preserve"> </w:t>
                  </w:r>
                  <w:r>
                    <w:rPr>
                      <w:rFonts w:ascii="Arial" w:hAnsi="Arial" w:eastAsia="Arial" w:cs="Arial"/>
                      <w:spacing w:val="-5"/>
                      <w:sz w:val="18"/>
                      <w:szCs w:val="18"/>
                    </w:rPr>
                    <w:t>capture</w:t>
                  </w:r>
                  <w:r>
                    <w:rPr>
                      <w:rFonts w:ascii="Arial" w:hAnsi="Arial" w:eastAsia="Arial" w:cs="Arial"/>
                      <w:spacing w:val="39"/>
                      <w:w w:val="101"/>
                      <w:sz w:val="18"/>
                      <w:szCs w:val="18"/>
                    </w:rPr>
                    <w:t xml:space="preserve"> </w:t>
                  </w:r>
                  <w:r>
                    <w:rPr>
                      <w:rFonts w:ascii="Arial" w:hAnsi="Arial" w:eastAsia="Arial" w:cs="Arial"/>
                      <w:spacing w:val="-5"/>
                      <w:sz w:val="18"/>
                      <w:szCs w:val="18"/>
                    </w:rPr>
                    <w:t>this  key  construct  have  not  been  developed systematically.</w:t>
                  </w:r>
                  <w:r>
                    <w:rPr>
                      <w:rFonts w:ascii="Arial" w:hAnsi="Arial" w:eastAsia="Arial" w:cs="Arial"/>
                      <w:spacing w:val="37"/>
                      <w:w w:val="101"/>
                      <w:sz w:val="18"/>
                      <w:szCs w:val="18"/>
                    </w:rPr>
                    <w:t xml:space="preserve"> </w:t>
                  </w:r>
                  <w:r>
                    <w:rPr>
                      <w:rFonts w:ascii="Arial" w:hAnsi="Arial" w:eastAsia="Arial" w:cs="Arial"/>
                      <w:spacing w:val="-5"/>
                      <w:sz w:val="18"/>
                      <w:szCs w:val="18"/>
                    </w:rPr>
                    <w:t>Therefore,</w:t>
                  </w:r>
                  <w:r>
                    <w:rPr>
                      <w:rFonts w:ascii="Arial" w:hAnsi="Arial" w:eastAsia="Arial" w:cs="Arial"/>
                      <w:spacing w:val="36"/>
                      <w:sz w:val="18"/>
                      <w:szCs w:val="18"/>
                    </w:rPr>
                    <w:t xml:space="preserve"> </w:t>
                  </w:r>
                  <w:r>
                    <w:rPr>
                      <w:rFonts w:ascii="Arial" w:hAnsi="Arial" w:eastAsia="Arial" w:cs="Arial"/>
                      <w:spacing w:val="-5"/>
                      <w:sz w:val="18"/>
                      <w:szCs w:val="18"/>
                    </w:rPr>
                    <w:t>we</w:t>
                  </w:r>
                  <w:r>
                    <w:rPr>
                      <w:rFonts w:ascii="Arial" w:hAnsi="Arial" w:eastAsia="Arial" w:cs="Arial"/>
                      <w:spacing w:val="39"/>
                      <w:w w:val="101"/>
                      <w:sz w:val="18"/>
                      <w:szCs w:val="18"/>
                    </w:rPr>
                    <w:t xml:space="preserve"> </w:t>
                  </w:r>
                  <w:r>
                    <w:rPr>
                      <w:rFonts w:ascii="Arial" w:hAnsi="Arial" w:eastAsia="Arial" w:cs="Arial"/>
                      <w:spacing w:val="-5"/>
                      <w:sz w:val="18"/>
                      <w:szCs w:val="18"/>
                    </w:rPr>
                    <w:t>developed</w:t>
                  </w:r>
                  <w:r>
                    <w:rPr>
                      <w:rFonts w:ascii="Arial" w:hAnsi="Arial" w:eastAsia="Arial" w:cs="Arial"/>
                      <w:spacing w:val="34"/>
                      <w:w w:val="101"/>
                      <w:sz w:val="18"/>
                      <w:szCs w:val="18"/>
                    </w:rPr>
                    <w:t xml:space="preserve"> </w:t>
                  </w:r>
                  <w:r>
                    <w:rPr>
                      <w:rFonts w:ascii="Arial" w:hAnsi="Arial" w:eastAsia="Arial" w:cs="Arial"/>
                      <w:spacing w:val="-5"/>
                      <w:sz w:val="18"/>
                      <w:szCs w:val="18"/>
                    </w:rPr>
                    <w:t>the</w:t>
                  </w:r>
                  <w:r>
                    <w:rPr>
                      <w:rFonts w:ascii="Arial" w:hAnsi="Arial" w:eastAsia="Arial" w:cs="Arial"/>
                      <w:spacing w:val="28"/>
                      <w:sz w:val="18"/>
                      <w:szCs w:val="18"/>
                    </w:rPr>
                    <w:t xml:space="preserve"> </w:t>
                  </w:r>
                  <w:r>
                    <w:rPr>
                      <w:rFonts w:ascii="Arial" w:hAnsi="Arial" w:eastAsia="Arial" w:cs="Arial"/>
                      <w:spacing w:val="-5"/>
                      <w:sz w:val="18"/>
                      <w:szCs w:val="18"/>
                    </w:rPr>
                    <w:t>‘Quality</w:t>
                  </w:r>
                  <w:r>
                    <w:rPr>
                      <w:rFonts w:ascii="Arial" w:hAnsi="Arial" w:eastAsia="Arial" w:cs="Arial"/>
                      <w:spacing w:val="39"/>
                      <w:sz w:val="18"/>
                      <w:szCs w:val="18"/>
                    </w:rPr>
                    <w:t xml:space="preserve"> </w:t>
                  </w:r>
                  <w:r>
                    <w:rPr>
                      <w:rFonts w:ascii="Arial" w:hAnsi="Arial" w:eastAsia="Arial" w:cs="Arial"/>
                      <w:spacing w:val="-5"/>
                      <w:sz w:val="18"/>
                      <w:szCs w:val="18"/>
                    </w:rPr>
                    <w:t>Culture  Inventory’</w:t>
                  </w:r>
                  <w:r>
                    <w:rPr>
                      <w:rFonts w:ascii="Arial" w:hAnsi="Arial" w:eastAsia="Arial" w:cs="Arial"/>
                      <w:sz w:val="18"/>
                      <w:szCs w:val="18"/>
                    </w:rPr>
                    <w:t xml:space="preserve"> </w:t>
                  </w:r>
                  <w:r>
                    <w:rPr>
                      <w:rFonts w:ascii="Arial" w:hAnsi="Arial" w:eastAsia="Arial" w:cs="Arial"/>
                      <w:spacing w:val="-6"/>
                      <w:sz w:val="18"/>
                      <w:szCs w:val="18"/>
                    </w:rPr>
                    <w:t>(QCI),</w:t>
                  </w:r>
                  <w:r>
                    <w:rPr>
                      <w:rFonts w:ascii="Arial" w:hAnsi="Arial" w:eastAsia="Arial" w:cs="Arial"/>
                      <w:spacing w:val="37"/>
                      <w:w w:val="101"/>
                      <w:sz w:val="18"/>
                      <w:szCs w:val="18"/>
                    </w:rPr>
                    <w:t xml:space="preserve"> </w:t>
                  </w:r>
                  <w:r>
                    <w:rPr>
                      <w:rFonts w:ascii="Arial" w:hAnsi="Arial" w:eastAsia="Arial" w:cs="Arial"/>
                      <w:spacing w:val="-6"/>
                      <w:sz w:val="18"/>
                      <w:szCs w:val="18"/>
                    </w:rPr>
                    <w:t>which  represents</w:t>
                  </w:r>
                  <w:r>
                    <w:rPr>
                      <w:rFonts w:ascii="Arial" w:hAnsi="Arial" w:eastAsia="Arial" w:cs="Arial"/>
                      <w:spacing w:val="39"/>
                      <w:w w:val="101"/>
                      <w:sz w:val="18"/>
                      <w:szCs w:val="18"/>
                    </w:rPr>
                    <w:t xml:space="preserve"> </w:t>
                  </w:r>
                  <w:r>
                    <w:rPr>
                      <w:rFonts w:ascii="Arial" w:hAnsi="Arial" w:eastAsia="Arial" w:cs="Arial"/>
                      <w:spacing w:val="-6"/>
                      <w:sz w:val="18"/>
                      <w:szCs w:val="18"/>
                    </w:rPr>
                    <w:t>a</w:t>
                  </w:r>
                  <w:r>
                    <w:rPr>
                      <w:rFonts w:ascii="Arial" w:hAnsi="Arial" w:eastAsia="Arial" w:cs="Arial"/>
                      <w:spacing w:val="40"/>
                      <w:w w:val="101"/>
                      <w:sz w:val="18"/>
                      <w:szCs w:val="18"/>
                    </w:rPr>
                    <w:t xml:space="preserve"> </w:t>
                  </w:r>
                  <w:r>
                    <w:rPr>
                      <w:rFonts w:ascii="Arial" w:hAnsi="Arial" w:eastAsia="Arial" w:cs="Arial"/>
                      <w:spacing w:val="-6"/>
                      <w:sz w:val="18"/>
                      <w:szCs w:val="18"/>
                    </w:rPr>
                    <w:t>comprehensive</w:t>
                  </w:r>
                  <w:r>
                    <w:rPr>
                      <w:rFonts w:ascii="Arial" w:hAnsi="Arial" w:eastAsia="Arial" w:cs="Arial"/>
                      <w:spacing w:val="39"/>
                      <w:w w:val="101"/>
                      <w:sz w:val="18"/>
                      <w:szCs w:val="18"/>
                    </w:rPr>
                    <w:t xml:space="preserve"> </w:t>
                  </w:r>
                  <w:r>
                    <w:rPr>
                      <w:rFonts w:ascii="Arial" w:hAnsi="Arial" w:eastAsia="Arial" w:cs="Arial"/>
                      <w:spacing w:val="-6"/>
                      <w:sz w:val="18"/>
                      <w:szCs w:val="18"/>
                    </w:rPr>
                    <w:t>approach</w:t>
                  </w:r>
                  <w:r>
                    <w:rPr>
                      <w:rFonts w:ascii="Arial" w:hAnsi="Arial" w:eastAsia="Arial" w:cs="Arial"/>
                      <w:spacing w:val="35"/>
                      <w:w w:val="101"/>
                      <w:sz w:val="18"/>
                      <w:szCs w:val="18"/>
                    </w:rPr>
                    <w:t xml:space="preserve"> </w:t>
                  </w:r>
                  <w:r>
                    <w:rPr>
                      <w:rFonts w:ascii="Arial" w:hAnsi="Arial" w:eastAsia="Arial" w:cs="Arial"/>
                      <w:spacing w:val="-6"/>
                      <w:sz w:val="18"/>
                      <w:szCs w:val="18"/>
                    </w:rPr>
                    <w:t>to</w:t>
                  </w:r>
                  <w:r>
                    <w:rPr>
                      <w:rFonts w:ascii="Arial" w:hAnsi="Arial" w:eastAsia="Arial" w:cs="Arial"/>
                      <w:spacing w:val="41"/>
                      <w:sz w:val="18"/>
                      <w:szCs w:val="18"/>
                    </w:rPr>
                    <w:t xml:space="preserve"> </w:t>
                  </w:r>
                  <w:r>
                    <w:rPr>
                      <w:rFonts w:ascii="Arial" w:hAnsi="Arial" w:eastAsia="Arial" w:cs="Arial"/>
                      <w:spacing w:val="-6"/>
                      <w:sz w:val="18"/>
                      <w:szCs w:val="18"/>
                    </w:rPr>
                    <w:t>operationali</w:t>
                  </w:r>
                  <w:r>
                    <w:rPr>
                      <w:rFonts w:ascii="Arial" w:hAnsi="Arial" w:eastAsia="Arial" w:cs="Arial"/>
                      <w:spacing w:val="-7"/>
                      <w:sz w:val="18"/>
                      <w:szCs w:val="18"/>
                    </w:rPr>
                    <w:t xml:space="preserve">zing </w:t>
                  </w:r>
                  <w:r>
                    <w:rPr>
                      <w:rFonts w:ascii="Arial" w:hAnsi="Arial" w:eastAsia="Arial" w:cs="Arial"/>
                      <w:spacing w:val="-6"/>
                      <w:sz w:val="18"/>
                      <w:szCs w:val="18"/>
                    </w:rPr>
                    <w:t>quality</w:t>
                  </w:r>
                  <w:r>
                    <w:rPr>
                      <w:rFonts w:ascii="Arial" w:hAnsi="Arial" w:eastAsia="Arial" w:cs="Arial"/>
                      <w:spacing w:val="13"/>
                      <w:w w:val="101"/>
                      <w:sz w:val="18"/>
                      <w:szCs w:val="18"/>
                    </w:rPr>
                    <w:t xml:space="preserve">  </w:t>
                  </w:r>
                  <w:r>
                    <w:rPr>
                      <w:rFonts w:ascii="Arial" w:hAnsi="Arial" w:eastAsia="Arial" w:cs="Arial"/>
                      <w:spacing w:val="-6"/>
                      <w:sz w:val="18"/>
                      <w:szCs w:val="18"/>
                    </w:rPr>
                    <w:t>culture</w:t>
                  </w:r>
                  <w:r>
                    <w:rPr>
                      <w:rFonts w:ascii="Arial" w:hAnsi="Arial" w:eastAsia="Arial" w:cs="Arial"/>
                      <w:spacing w:val="15"/>
                      <w:sz w:val="18"/>
                      <w:szCs w:val="18"/>
                    </w:rPr>
                    <w:t xml:space="preserve">  </w:t>
                  </w:r>
                  <w:r>
                    <w:rPr>
                      <w:rFonts w:ascii="Arial" w:hAnsi="Arial" w:eastAsia="Arial" w:cs="Arial"/>
                      <w:spacing w:val="-6"/>
                      <w:sz w:val="18"/>
                      <w:szCs w:val="18"/>
                    </w:rPr>
                    <w:t>in</w:t>
                  </w:r>
                  <w:r>
                    <w:rPr>
                      <w:rFonts w:ascii="Arial" w:hAnsi="Arial" w:eastAsia="Arial" w:cs="Arial"/>
                      <w:spacing w:val="16"/>
                      <w:w w:val="101"/>
                      <w:sz w:val="18"/>
                      <w:szCs w:val="18"/>
                    </w:rPr>
                    <w:t xml:space="preserve">  </w:t>
                  </w:r>
                  <w:r>
                    <w:rPr>
                      <w:rFonts w:ascii="Arial" w:hAnsi="Arial" w:eastAsia="Arial" w:cs="Arial"/>
                      <w:spacing w:val="-6"/>
                      <w:sz w:val="18"/>
                      <w:szCs w:val="18"/>
                    </w:rPr>
                    <w:t>HEIs.</w:t>
                  </w:r>
                  <w:r>
                    <w:rPr>
                      <w:rFonts w:ascii="Arial" w:hAnsi="Arial" w:eastAsia="Arial" w:cs="Arial"/>
                      <w:spacing w:val="17"/>
                      <w:sz w:val="18"/>
                      <w:szCs w:val="18"/>
                    </w:rPr>
                    <w:t xml:space="preserve">  </w:t>
                  </w:r>
                  <w:r>
                    <w:rPr>
                      <w:rFonts w:ascii="Arial" w:hAnsi="Arial" w:eastAsia="Arial" w:cs="Arial"/>
                      <w:spacing w:val="-6"/>
                      <w:sz w:val="18"/>
                      <w:szCs w:val="18"/>
                    </w:rPr>
                    <w:t>In</w:t>
                  </w:r>
                  <w:r>
                    <w:rPr>
                      <w:rFonts w:ascii="Arial" w:hAnsi="Arial" w:eastAsia="Arial" w:cs="Arial"/>
                      <w:spacing w:val="12"/>
                      <w:w w:val="101"/>
                      <w:sz w:val="18"/>
                      <w:szCs w:val="18"/>
                    </w:rPr>
                    <w:t xml:space="preserve">  </w:t>
                  </w:r>
                  <w:r>
                    <w:rPr>
                      <w:rFonts w:ascii="Arial" w:hAnsi="Arial" w:eastAsia="Arial" w:cs="Arial"/>
                      <w:spacing w:val="-6"/>
                      <w:sz w:val="18"/>
                      <w:szCs w:val="18"/>
                    </w:rPr>
                    <w:t>a</w:t>
                  </w:r>
                  <w:r>
                    <w:rPr>
                      <w:rFonts w:ascii="Arial" w:hAnsi="Arial" w:eastAsia="Arial" w:cs="Arial"/>
                      <w:spacing w:val="10"/>
                      <w:sz w:val="18"/>
                      <w:szCs w:val="18"/>
                    </w:rPr>
                    <w:t xml:space="preserve">  </w:t>
                  </w:r>
                  <w:r>
                    <w:rPr>
                      <w:rFonts w:ascii="Arial" w:hAnsi="Arial" w:eastAsia="Arial" w:cs="Arial"/>
                      <w:spacing w:val="-6"/>
                      <w:sz w:val="18"/>
                      <w:szCs w:val="18"/>
                    </w:rPr>
                    <w:t>irst</w:t>
                  </w:r>
                  <w:r>
                    <w:rPr>
                      <w:rFonts w:ascii="Arial" w:hAnsi="Arial" w:eastAsia="Arial" w:cs="Arial"/>
                      <w:spacing w:val="14"/>
                      <w:w w:val="101"/>
                      <w:sz w:val="18"/>
                      <w:szCs w:val="18"/>
                    </w:rPr>
                    <w:t xml:space="preserve">  </w:t>
                  </w:r>
                  <w:r>
                    <w:rPr>
                      <w:rFonts w:ascii="Arial" w:hAnsi="Arial" w:eastAsia="Arial" w:cs="Arial"/>
                      <w:spacing w:val="-6"/>
                      <w:sz w:val="18"/>
                      <w:szCs w:val="18"/>
                    </w:rPr>
                    <w:t>step,</w:t>
                  </w:r>
                  <w:r>
                    <w:rPr>
                      <w:rFonts w:ascii="Arial" w:hAnsi="Arial" w:eastAsia="Arial" w:cs="Arial"/>
                      <w:spacing w:val="11"/>
                      <w:sz w:val="18"/>
                      <w:szCs w:val="18"/>
                    </w:rPr>
                    <w:t xml:space="preserve">  </w:t>
                  </w:r>
                  <w:r>
                    <w:rPr>
                      <w:rFonts w:ascii="Arial" w:hAnsi="Arial" w:eastAsia="Arial" w:cs="Arial"/>
                      <w:spacing w:val="-6"/>
                      <w:sz w:val="18"/>
                      <w:szCs w:val="18"/>
                    </w:rPr>
                    <w:t>this</w:t>
                  </w:r>
                  <w:r>
                    <w:rPr>
                      <w:rFonts w:ascii="Arial" w:hAnsi="Arial" w:eastAsia="Arial" w:cs="Arial"/>
                      <w:spacing w:val="16"/>
                      <w:sz w:val="18"/>
                      <w:szCs w:val="18"/>
                    </w:rPr>
                    <w:t xml:space="preserve">  </w:t>
                  </w:r>
                  <w:r>
                    <w:rPr>
                      <w:rFonts w:ascii="Arial" w:hAnsi="Arial" w:eastAsia="Arial" w:cs="Arial"/>
                      <w:spacing w:val="-7"/>
                      <w:sz w:val="18"/>
                      <w:szCs w:val="18"/>
                    </w:rPr>
                    <w:t>paper</w:t>
                  </w:r>
                  <w:r>
                    <w:rPr>
                      <w:rFonts w:ascii="Arial" w:hAnsi="Arial" w:eastAsia="Arial" w:cs="Arial"/>
                      <w:spacing w:val="13"/>
                      <w:sz w:val="18"/>
                      <w:szCs w:val="18"/>
                    </w:rPr>
                    <w:t xml:space="preserve">  </w:t>
                  </w:r>
                  <w:r>
                    <w:rPr>
                      <w:rFonts w:ascii="Arial" w:hAnsi="Arial" w:eastAsia="Arial" w:cs="Arial"/>
                      <w:spacing w:val="-7"/>
                      <w:sz w:val="18"/>
                      <w:szCs w:val="18"/>
                    </w:rPr>
                    <w:t>summarizes</w:t>
                  </w:r>
                  <w:r>
                    <w:rPr>
                      <w:rFonts w:ascii="Arial" w:hAnsi="Arial" w:eastAsia="Arial" w:cs="Arial"/>
                      <w:spacing w:val="11"/>
                      <w:sz w:val="18"/>
                      <w:szCs w:val="18"/>
                    </w:rPr>
                    <w:t xml:space="preserve">  </w:t>
                  </w:r>
                  <w:r>
                    <w:rPr>
                      <w:rFonts w:ascii="Arial" w:hAnsi="Arial" w:eastAsia="Arial" w:cs="Arial"/>
                      <w:spacing w:val="-7"/>
                      <w:sz w:val="18"/>
                      <w:szCs w:val="18"/>
                    </w:rPr>
                    <w:t xml:space="preserve">the </w:t>
                  </w:r>
                  <w:r>
                    <w:rPr>
                      <w:rFonts w:ascii="Arial" w:hAnsi="Arial" w:eastAsia="Arial" w:cs="Arial"/>
                      <w:spacing w:val="-5"/>
                      <w:sz w:val="18"/>
                      <w:szCs w:val="18"/>
                    </w:rPr>
                    <w:t>development</w:t>
                  </w:r>
                  <w:r>
                    <w:rPr>
                      <w:rFonts w:ascii="Arial" w:hAnsi="Arial" w:eastAsia="Arial" w:cs="Arial"/>
                      <w:spacing w:val="36"/>
                      <w:sz w:val="18"/>
                      <w:szCs w:val="18"/>
                    </w:rPr>
                    <w:t xml:space="preserve"> </w:t>
                  </w:r>
                  <w:r>
                    <w:rPr>
                      <w:rFonts w:ascii="Arial" w:hAnsi="Arial" w:eastAsia="Arial" w:cs="Arial"/>
                      <w:spacing w:val="-5"/>
                      <w:sz w:val="18"/>
                      <w:szCs w:val="18"/>
                    </w:rPr>
                    <w:t>and</w:t>
                  </w:r>
                  <w:r>
                    <w:rPr>
                      <w:rFonts w:ascii="Arial" w:hAnsi="Arial" w:eastAsia="Arial" w:cs="Arial"/>
                      <w:spacing w:val="37"/>
                      <w:w w:val="101"/>
                      <w:sz w:val="18"/>
                      <w:szCs w:val="18"/>
                    </w:rPr>
                    <w:t xml:space="preserve"> </w:t>
                  </w:r>
                  <w:r>
                    <w:rPr>
                      <w:rFonts w:ascii="Arial" w:hAnsi="Arial" w:eastAsia="Arial" w:cs="Arial"/>
                      <w:spacing w:val="-5"/>
                      <w:sz w:val="18"/>
                      <w:szCs w:val="18"/>
                    </w:rPr>
                    <w:t>empirical</w:t>
                  </w:r>
                  <w:r>
                    <w:rPr>
                      <w:rFonts w:ascii="Arial" w:hAnsi="Arial" w:eastAsia="Arial" w:cs="Arial"/>
                      <w:spacing w:val="32"/>
                      <w:sz w:val="18"/>
                      <w:szCs w:val="18"/>
                    </w:rPr>
                    <w:t xml:space="preserve"> </w:t>
                  </w:r>
                  <w:r>
                    <w:rPr>
                      <w:rFonts w:ascii="Arial" w:hAnsi="Arial" w:eastAsia="Arial" w:cs="Arial"/>
                      <w:spacing w:val="-5"/>
                      <w:sz w:val="18"/>
                      <w:szCs w:val="18"/>
                    </w:rPr>
                    <w:t>validation</w:t>
                  </w:r>
                  <w:r>
                    <w:rPr>
                      <w:rFonts w:ascii="Arial" w:hAnsi="Arial" w:eastAsia="Arial" w:cs="Arial"/>
                      <w:spacing w:val="36"/>
                      <w:sz w:val="18"/>
                      <w:szCs w:val="18"/>
                    </w:rPr>
                    <w:t xml:space="preserve"> </w:t>
                  </w:r>
                  <w:r>
                    <w:rPr>
                      <w:rFonts w:ascii="Arial" w:hAnsi="Arial" w:eastAsia="Arial" w:cs="Arial"/>
                      <w:spacing w:val="-5"/>
                      <w:sz w:val="18"/>
                      <w:szCs w:val="18"/>
                    </w:rPr>
                    <w:t>of</w:t>
                  </w:r>
                  <w:r>
                    <w:rPr>
                      <w:rFonts w:ascii="Arial" w:hAnsi="Arial" w:eastAsia="Arial" w:cs="Arial"/>
                      <w:spacing w:val="26"/>
                      <w:w w:val="101"/>
                      <w:sz w:val="18"/>
                      <w:szCs w:val="18"/>
                    </w:rPr>
                    <w:t xml:space="preserve"> </w:t>
                  </w:r>
                  <w:r>
                    <w:rPr>
                      <w:rFonts w:ascii="Arial" w:hAnsi="Arial" w:eastAsia="Arial" w:cs="Arial"/>
                      <w:spacing w:val="-5"/>
                      <w:sz w:val="18"/>
                      <w:szCs w:val="18"/>
                    </w:rPr>
                    <w:t>the</w:t>
                  </w:r>
                  <w:r>
                    <w:rPr>
                      <w:rFonts w:ascii="Arial" w:hAnsi="Arial" w:eastAsia="Arial" w:cs="Arial"/>
                      <w:spacing w:val="35"/>
                      <w:w w:val="101"/>
                      <w:sz w:val="18"/>
                      <w:szCs w:val="18"/>
                    </w:rPr>
                    <w:t xml:space="preserve"> </w:t>
                  </w:r>
                  <w:r>
                    <w:rPr>
                      <w:rFonts w:ascii="Arial" w:hAnsi="Arial" w:eastAsia="Arial" w:cs="Arial"/>
                      <w:spacing w:val="-5"/>
                      <w:sz w:val="18"/>
                      <w:szCs w:val="18"/>
                    </w:rPr>
                    <w:t>QCI,</w:t>
                  </w:r>
                  <w:r>
                    <w:rPr>
                      <w:rFonts w:ascii="Arial" w:hAnsi="Arial" w:eastAsia="Arial" w:cs="Arial"/>
                      <w:spacing w:val="33"/>
                      <w:w w:val="101"/>
                      <w:sz w:val="18"/>
                      <w:szCs w:val="18"/>
                    </w:rPr>
                    <w:t xml:space="preserve"> </w:t>
                  </w:r>
                  <w:r>
                    <w:rPr>
                      <w:rFonts w:ascii="Arial" w:hAnsi="Arial" w:eastAsia="Arial" w:cs="Arial"/>
                      <w:spacing w:val="-5"/>
                      <w:sz w:val="18"/>
                      <w:szCs w:val="18"/>
                    </w:rPr>
                    <w:t>wh</w:t>
                  </w:r>
                  <w:r>
                    <w:rPr>
                      <w:rFonts w:ascii="Arial" w:hAnsi="Arial" w:eastAsia="Arial" w:cs="Arial"/>
                      <w:spacing w:val="-6"/>
                      <w:sz w:val="18"/>
                      <w:szCs w:val="18"/>
                    </w:rPr>
                    <w:t>ich</w:t>
                  </w:r>
                  <w:r>
                    <w:rPr>
                      <w:rFonts w:ascii="Arial" w:hAnsi="Arial" w:eastAsia="Arial" w:cs="Arial"/>
                      <w:spacing w:val="37"/>
                      <w:sz w:val="18"/>
                      <w:szCs w:val="18"/>
                    </w:rPr>
                    <w:t xml:space="preserve"> </w:t>
                  </w:r>
                  <w:r>
                    <w:rPr>
                      <w:rFonts w:ascii="Arial" w:hAnsi="Arial" w:eastAsia="Arial" w:cs="Arial"/>
                      <w:spacing w:val="-6"/>
                      <w:sz w:val="18"/>
                      <w:szCs w:val="18"/>
                    </w:rPr>
                    <w:t>comprises</w:t>
                  </w:r>
                  <w:r>
                    <w:rPr>
                      <w:rFonts w:ascii="Arial" w:hAnsi="Arial" w:eastAsia="Arial" w:cs="Arial"/>
                      <w:spacing w:val="37"/>
                      <w:sz w:val="18"/>
                      <w:szCs w:val="18"/>
                    </w:rPr>
                    <w:t xml:space="preserve"> </w:t>
                  </w:r>
                  <w:r>
                    <w:rPr>
                      <w:rFonts w:ascii="Arial" w:hAnsi="Arial" w:eastAsia="Arial" w:cs="Arial"/>
                      <w:spacing w:val="-6"/>
                      <w:sz w:val="18"/>
                      <w:szCs w:val="18"/>
                    </w:rPr>
                    <w:t xml:space="preserve">six </w:t>
                  </w:r>
                  <w:r>
                    <w:rPr>
                      <w:rFonts w:ascii="Arial" w:hAnsi="Arial" w:eastAsia="Arial" w:cs="Arial"/>
                      <w:spacing w:val="-4"/>
                      <w:sz w:val="18"/>
                      <w:szCs w:val="18"/>
                    </w:rPr>
                    <w:t>dimensions    (e.g.     quality-oriented     commitment,    lead</w:t>
                  </w:r>
                  <w:r>
                    <w:rPr>
                      <w:rFonts w:ascii="Arial" w:hAnsi="Arial" w:eastAsia="Arial" w:cs="Arial"/>
                      <w:spacing w:val="-5"/>
                      <w:sz w:val="18"/>
                      <w:szCs w:val="18"/>
                    </w:rPr>
                    <w:t xml:space="preserve">ership,     and </w:t>
                  </w:r>
                  <w:r>
                    <w:rPr>
                      <w:rFonts w:ascii="Arial" w:hAnsi="Arial" w:eastAsia="Arial" w:cs="Arial"/>
                      <w:spacing w:val="-6"/>
                      <w:sz w:val="18"/>
                      <w:szCs w:val="18"/>
                    </w:rPr>
                    <w:t>communication).   In</w:t>
                  </w:r>
                  <w:r>
                    <w:rPr>
                      <w:rFonts w:ascii="Arial" w:hAnsi="Arial" w:eastAsia="Arial" w:cs="Arial"/>
                      <w:spacing w:val="17"/>
                      <w:sz w:val="18"/>
                      <w:szCs w:val="18"/>
                    </w:rPr>
                    <w:t xml:space="preserve">  </w:t>
                  </w:r>
                  <w:r>
                    <w:rPr>
                      <w:rFonts w:ascii="Arial" w:hAnsi="Arial" w:eastAsia="Arial" w:cs="Arial"/>
                      <w:spacing w:val="-6"/>
                      <w:sz w:val="18"/>
                      <w:szCs w:val="18"/>
                    </w:rPr>
                    <w:t>a   second</w:t>
                  </w:r>
                  <w:r>
                    <w:rPr>
                      <w:rFonts w:ascii="Arial" w:hAnsi="Arial" w:eastAsia="Arial" w:cs="Arial"/>
                      <w:spacing w:val="18"/>
                      <w:w w:val="101"/>
                      <w:sz w:val="18"/>
                      <w:szCs w:val="18"/>
                    </w:rPr>
                    <w:t xml:space="preserve">  </w:t>
                  </w:r>
                  <w:r>
                    <w:rPr>
                      <w:rFonts w:ascii="Arial" w:hAnsi="Arial" w:eastAsia="Arial" w:cs="Arial"/>
                      <w:spacing w:val="-6"/>
                      <w:sz w:val="18"/>
                      <w:szCs w:val="18"/>
                    </w:rPr>
                    <w:t>step,   relationships   between</w:t>
                  </w:r>
                  <w:r>
                    <w:rPr>
                      <w:rFonts w:ascii="Arial" w:hAnsi="Arial" w:eastAsia="Arial" w:cs="Arial"/>
                      <w:spacing w:val="15"/>
                      <w:w w:val="101"/>
                      <w:sz w:val="18"/>
                      <w:szCs w:val="18"/>
                    </w:rPr>
                    <w:t xml:space="preserve">  </w:t>
                  </w:r>
                  <w:r>
                    <w:rPr>
                      <w:rFonts w:ascii="Arial" w:hAnsi="Arial" w:eastAsia="Arial" w:cs="Arial"/>
                      <w:spacing w:val="-6"/>
                      <w:sz w:val="18"/>
                      <w:szCs w:val="18"/>
                    </w:rPr>
                    <w:t>the   QC</w:t>
                  </w:r>
                  <w:r>
                    <w:rPr>
                      <w:rFonts w:ascii="Arial" w:hAnsi="Arial" w:eastAsia="Arial" w:cs="Arial"/>
                      <w:spacing w:val="-7"/>
                      <w:sz w:val="18"/>
                      <w:szCs w:val="18"/>
                    </w:rPr>
                    <w:t xml:space="preserve">I </w:t>
                  </w:r>
                  <w:r>
                    <w:rPr>
                      <w:rFonts w:ascii="Arial" w:hAnsi="Arial" w:eastAsia="Arial" w:cs="Arial"/>
                      <w:spacing w:val="-5"/>
                      <w:sz w:val="18"/>
                      <w:szCs w:val="18"/>
                    </w:rPr>
                    <w:t>dimensions    and    several    potential    outcome    meas</w:t>
                  </w:r>
                  <w:r>
                    <w:rPr>
                      <w:rFonts w:ascii="Arial" w:hAnsi="Arial" w:eastAsia="Arial" w:cs="Arial"/>
                      <w:spacing w:val="-6"/>
                      <w:sz w:val="18"/>
                      <w:szCs w:val="18"/>
                    </w:rPr>
                    <w:t xml:space="preserve">ures    (e.g.    job </w:t>
                  </w:r>
                  <w:r>
                    <w:rPr>
                      <w:rFonts w:ascii="Arial" w:hAnsi="Arial" w:eastAsia="Arial" w:cs="Arial"/>
                      <w:spacing w:val="-7"/>
                      <w:sz w:val="18"/>
                      <w:szCs w:val="18"/>
                    </w:rPr>
                    <w:t>satisfaction)</w:t>
                  </w:r>
                  <w:r>
                    <w:rPr>
                      <w:rFonts w:ascii="Arial" w:hAnsi="Arial" w:eastAsia="Arial" w:cs="Arial"/>
                      <w:spacing w:val="29"/>
                      <w:w w:val="101"/>
                      <w:sz w:val="18"/>
                      <w:szCs w:val="18"/>
                    </w:rPr>
                    <w:t xml:space="preserve"> </w:t>
                  </w:r>
                  <w:r>
                    <w:rPr>
                      <w:rFonts w:ascii="Arial" w:hAnsi="Arial" w:eastAsia="Arial" w:cs="Arial"/>
                      <w:spacing w:val="-7"/>
                      <w:sz w:val="18"/>
                      <w:szCs w:val="18"/>
                    </w:rPr>
                    <w:t>are</w:t>
                  </w:r>
                  <w:r>
                    <w:rPr>
                      <w:rFonts w:ascii="Arial" w:hAnsi="Arial" w:eastAsia="Arial" w:cs="Arial"/>
                      <w:spacing w:val="34"/>
                      <w:w w:val="101"/>
                      <w:sz w:val="18"/>
                      <w:szCs w:val="18"/>
                    </w:rPr>
                    <w:t xml:space="preserve"> </w:t>
                  </w:r>
                  <w:r>
                    <w:rPr>
                      <w:rFonts w:ascii="Arial" w:hAnsi="Arial" w:eastAsia="Arial" w:cs="Arial"/>
                      <w:spacing w:val="-7"/>
                      <w:sz w:val="18"/>
                      <w:szCs w:val="18"/>
                    </w:rPr>
                    <w:t>reported.</w:t>
                  </w:r>
                  <w:r>
                    <w:rPr>
                      <w:rFonts w:ascii="Arial" w:hAnsi="Arial" w:eastAsia="Arial" w:cs="Arial"/>
                      <w:spacing w:val="21"/>
                      <w:w w:val="101"/>
                      <w:sz w:val="18"/>
                      <w:szCs w:val="18"/>
                    </w:rPr>
                    <w:t xml:space="preserve"> </w:t>
                  </w:r>
                  <w:r>
                    <w:rPr>
                      <w:rFonts w:ascii="Arial" w:hAnsi="Arial" w:eastAsia="Arial" w:cs="Arial"/>
                      <w:spacing w:val="-7"/>
                      <w:sz w:val="18"/>
                      <w:szCs w:val="18"/>
                    </w:rPr>
                    <w:t>The</w:t>
                  </w:r>
                  <w:r>
                    <w:rPr>
                      <w:rFonts w:ascii="Arial" w:hAnsi="Arial" w:eastAsia="Arial" w:cs="Arial"/>
                      <w:spacing w:val="28"/>
                      <w:w w:val="101"/>
                      <w:sz w:val="18"/>
                      <w:szCs w:val="18"/>
                    </w:rPr>
                    <w:t xml:space="preserve"> </w:t>
                  </w:r>
                  <w:r>
                    <w:rPr>
                      <w:rFonts w:ascii="Arial" w:hAnsi="Arial" w:eastAsia="Arial" w:cs="Arial"/>
                      <w:spacing w:val="-7"/>
                      <w:sz w:val="18"/>
                      <w:szCs w:val="18"/>
                    </w:rPr>
                    <w:t>QCI</w:t>
                  </w:r>
                  <w:r>
                    <w:rPr>
                      <w:rFonts w:ascii="Arial" w:hAnsi="Arial" w:eastAsia="Arial" w:cs="Arial"/>
                      <w:spacing w:val="28"/>
                      <w:w w:val="101"/>
                      <w:sz w:val="18"/>
                      <w:szCs w:val="18"/>
                    </w:rPr>
                    <w:t xml:space="preserve"> </w:t>
                  </w:r>
                  <w:r>
                    <w:rPr>
                      <w:rFonts w:ascii="Arial" w:hAnsi="Arial" w:eastAsia="Arial" w:cs="Arial"/>
                      <w:spacing w:val="-7"/>
                      <w:sz w:val="18"/>
                      <w:szCs w:val="18"/>
                    </w:rPr>
                    <w:t>allows</w:t>
                  </w:r>
                  <w:r>
                    <w:rPr>
                      <w:rFonts w:ascii="Arial" w:hAnsi="Arial" w:eastAsia="Arial" w:cs="Arial"/>
                      <w:spacing w:val="35"/>
                      <w:sz w:val="18"/>
                      <w:szCs w:val="18"/>
                    </w:rPr>
                    <w:t xml:space="preserve"> </w:t>
                  </w:r>
                  <w:r>
                    <w:rPr>
                      <w:rFonts w:ascii="Arial" w:hAnsi="Arial" w:eastAsia="Arial" w:cs="Arial"/>
                      <w:spacing w:val="-7"/>
                      <w:sz w:val="18"/>
                      <w:szCs w:val="18"/>
                    </w:rPr>
                    <w:t>HEIs</w:t>
                  </w:r>
                  <w:r>
                    <w:rPr>
                      <w:rFonts w:ascii="Arial" w:hAnsi="Arial" w:eastAsia="Arial" w:cs="Arial"/>
                      <w:spacing w:val="26"/>
                      <w:sz w:val="18"/>
                      <w:szCs w:val="18"/>
                    </w:rPr>
                    <w:t xml:space="preserve"> </w:t>
                  </w:r>
                  <w:r>
                    <w:rPr>
                      <w:rFonts w:ascii="Arial" w:hAnsi="Arial" w:eastAsia="Arial" w:cs="Arial"/>
                      <w:spacing w:val="-7"/>
                      <w:sz w:val="18"/>
                      <w:szCs w:val="18"/>
                    </w:rPr>
                    <w:t>to</w:t>
                  </w:r>
                  <w:r>
                    <w:rPr>
                      <w:rFonts w:ascii="Arial" w:hAnsi="Arial" w:eastAsia="Arial" w:cs="Arial"/>
                      <w:spacing w:val="28"/>
                      <w:sz w:val="18"/>
                      <w:szCs w:val="18"/>
                    </w:rPr>
                    <w:t xml:space="preserve"> </w:t>
                  </w:r>
                  <w:r>
                    <w:rPr>
                      <w:rFonts w:ascii="Arial" w:hAnsi="Arial" w:eastAsia="Arial" w:cs="Arial"/>
                      <w:spacing w:val="-7"/>
                      <w:sz w:val="18"/>
                      <w:szCs w:val="18"/>
                    </w:rPr>
                    <w:t>evaluate</w:t>
                  </w:r>
                  <w:r>
                    <w:rPr>
                      <w:rFonts w:ascii="Arial" w:hAnsi="Arial" w:eastAsia="Arial" w:cs="Arial"/>
                      <w:spacing w:val="24"/>
                      <w:w w:val="101"/>
                      <w:sz w:val="18"/>
                      <w:szCs w:val="18"/>
                    </w:rPr>
                    <w:t xml:space="preserve"> </w:t>
                  </w:r>
                  <w:r>
                    <w:rPr>
                      <w:rFonts w:ascii="Arial" w:hAnsi="Arial" w:eastAsia="Arial" w:cs="Arial"/>
                      <w:spacing w:val="-7"/>
                      <w:sz w:val="18"/>
                      <w:szCs w:val="18"/>
                    </w:rPr>
                    <w:t>thei</w:t>
                  </w:r>
                  <w:r>
                    <w:rPr>
                      <w:rFonts w:ascii="Arial" w:hAnsi="Arial" w:eastAsia="Arial" w:cs="Arial"/>
                      <w:spacing w:val="-8"/>
                      <w:sz w:val="18"/>
                      <w:szCs w:val="18"/>
                    </w:rPr>
                    <w:t>r</w:t>
                  </w:r>
                  <w:r>
                    <w:rPr>
                      <w:rFonts w:ascii="Arial" w:hAnsi="Arial" w:eastAsia="Arial" w:cs="Arial"/>
                      <w:spacing w:val="29"/>
                      <w:sz w:val="18"/>
                      <w:szCs w:val="18"/>
                    </w:rPr>
                    <w:t xml:space="preserve"> </w:t>
                  </w:r>
                  <w:r>
                    <w:rPr>
                      <w:rFonts w:ascii="Arial" w:hAnsi="Arial" w:eastAsia="Arial" w:cs="Arial"/>
                      <w:spacing w:val="-8"/>
                      <w:sz w:val="18"/>
                      <w:szCs w:val="18"/>
                    </w:rPr>
                    <w:t>current</w:t>
                  </w:r>
                </w:p>
                <w:p>
                  <w:pPr>
                    <w:spacing w:before="1" w:line="210" w:lineRule="auto"/>
                    <w:ind w:right="240" w:firstLine="246"/>
                    <w:rPr>
                      <w:rFonts w:ascii="Arial" w:hAnsi="Arial" w:eastAsia="Arial" w:cs="Arial"/>
                      <w:sz w:val="18"/>
                      <w:szCs w:val="18"/>
                    </w:rPr>
                  </w:pPr>
                  <w:r>
                    <w:rPr>
                      <w:rFonts w:ascii="Arial" w:hAnsi="Arial" w:eastAsia="Arial" w:cs="Arial"/>
                      <w:spacing w:val="-4"/>
                      <w:sz w:val="18"/>
                      <w:szCs w:val="18"/>
                    </w:rPr>
                    <w:t>state</w:t>
                  </w:r>
                  <w:r>
                    <w:rPr>
                      <w:rFonts w:ascii="Arial" w:hAnsi="Arial" w:eastAsia="Arial" w:cs="Arial"/>
                      <w:spacing w:val="16"/>
                      <w:w w:val="101"/>
                      <w:sz w:val="18"/>
                      <w:szCs w:val="18"/>
                    </w:rPr>
                    <w:t xml:space="preserve"> </w:t>
                  </w:r>
                  <w:r>
                    <w:rPr>
                      <w:rFonts w:ascii="Arial" w:hAnsi="Arial" w:eastAsia="Arial" w:cs="Arial"/>
                      <w:spacing w:val="-4"/>
                      <w:sz w:val="18"/>
                      <w:szCs w:val="18"/>
                    </w:rPr>
                    <w:t>of quality</w:t>
                  </w:r>
                  <w:r>
                    <w:rPr>
                      <w:rFonts w:ascii="Arial" w:hAnsi="Arial" w:eastAsia="Arial" w:cs="Arial"/>
                      <w:spacing w:val="15"/>
                      <w:w w:val="101"/>
                      <w:sz w:val="18"/>
                      <w:szCs w:val="18"/>
                    </w:rPr>
                    <w:t xml:space="preserve"> </w:t>
                  </w:r>
                  <w:r>
                    <w:rPr>
                      <w:rFonts w:ascii="Arial" w:hAnsi="Arial" w:eastAsia="Arial" w:cs="Arial"/>
                      <w:spacing w:val="-4"/>
                      <w:sz w:val="18"/>
                      <w:szCs w:val="18"/>
                    </w:rPr>
                    <w:t>culture</w:t>
                  </w:r>
                  <w:r>
                    <w:rPr>
                      <w:rFonts w:ascii="Arial" w:hAnsi="Arial" w:eastAsia="Arial" w:cs="Arial"/>
                      <w:spacing w:val="22"/>
                      <w:sz w:val="18"/>
                      <w:szCs w:val="18"/>
                    </w:rPr>
                    <w:t xml:space="preserve"> </w:t>
                  </w:r>
                  <w:r>
                    <w:rPr>
                      <w:rFonts w:ascii="Arial" w:hAnsi="Arial" w:eastAsia="Arial" w:cs="Arial"/>
                      <w:spacing w:val="-4"/>
                      <w:sz w:val="18"/>
                      <w:szCs w:val="18"/>
                    </w:rPr>
                    <w:t>base</w:t>
                  </w:r>
                  <w:r>
                    <w:rPr>
                      <w:rFonts w:ascii="Arial" w:hAnsi="Arial" w:eastAsia="Arial" w:cs="Arial"/>
                      <w:spacing w:val="-5"/>
                      <w:sz w:val="18"/>
                      <w:szCs w:val="18"/>
                    </w:rPr>
                    <w:t>d</w:t>
                  </w:r>
                  <w:r>
                    <w:rPr>
                      <w:rFonts w:ascii="Arial" w:hAnsi="Arial" w:eastAsia="Arial" w:cs="Arial"/>
                      <w:spacing w:val="15"/>
                      <w:sz w:val="18"/>
                      <w:szCs w:val="18"/>
                    </w:rPr>
                    <w:t xml:space="preserve"> </w:t>
                  </w:r>
                  <w:r>
                    <w:rPr>
                      <w:rFonts w:ascii="Arial" w:hAnsi="Arial" w:eastAsia="Arial" w:cs="Arial"/>
                      <w:spacing w:val="-5"/>
                      <w:sz w:val="18"/>
                      <w:szCs w:val="18"/>
                    </w:rPr>
                    <w:t>on</w:t>
                  </w:r>
                  <w:r>
                    <w:rPr>
                      <w:rFonts w:ascii="Arial" w:hAnsi="Arial" w:eastAsia="Arial" w:cs="Arial"/>
                      <w:spacing w:val="15"/>
                      <w:sz w:val="18"/>
                      <w:szCs w:val="18"/>
                    </w:rPr>
                    <w:t xml:space="preserve"> </w:t>
                  </w:r>
                  <w:r>
                    <w:rPr>
                      <w:rFonts w:ascii="Arial" w:hAnsi="Arial" w:eastAsia="Arial" w:cs="Arial"/>
                      <w:spacing w:val="-5"/>
                      <w:sz w:val="18"/>
                      <w:szCs w:val="18"/>
                    </w:rPr>
                    <w:t>empirical</w:t>
                  </w:r>
                  <w:r>
                    <w:rPr>
                      <w:rFonts w:ascii="Arial" w:hAnsi="Arial" w:eastAsia="Arial" w:cs="Arial"/>
                      <w:spacing w:val="16"/>
                      <w:sz w:val="18"/>
                      <w:szCs w:val="18"/>
                    </w:rPr>
                    <w:t xml:space="preserve"> </w:t>
                  </w:r>
                  <w:r>
                    <w:rPr>
                      <w:rFonts w:ascii="Arial" w:hAnsi="Arial" w:eastAsia="Arial" w:cs="Arial"/>
                      <w:spacing w:val="-5"/>
                      <w:sz w:val="18"/>
                      <w:szCs w:val="18"/>
                    </w:rPr>
                    <w:t>evidence</w:t>
                  </w:r>
                  <w:r>
                    <w:rPr>
                      <w:rFonts w:ascii="Arial" w:hAnsi="Arial" w:eastAsia="Arial" w:cs="Arial"/>
                      <w:spacing w:val="15"/>
                      <w:sz w:val="18"/>
                      <w:szCs w:val="18"/>
                    </w:rPr>
                    <w:t xml:space="preserve"> </w:t>
                  </w:r>
                  <w:r>
                    <w:rPr>
                      <w:rFonts w:ascii="Arial" w:hAnsi="Arial" w:eastAsia="Arial" w:cs="Arial"/>
                      <w:spacing w:val="-5"/>
                      <w:sz w:val="18"/>
                      <w:szCs w:val="18"/>
                    </w:rPr>
                    <w:t>and</w:t>
                  </w:r>
                  <w:r>
                    <w:rPr>
                      <w:rFonts w:ascii="Arial" w:hAnsi="Arial" w:eastAsia="Arial" w:cs="Arial"/>
                      <w:spacing w:val="15"/>
                      <w:w w:val="101"/>
                      <w:sz w:val="18"/>
                      <w:szCs w:val="18"/>
                    </w:rPr>
                    <w:t xml:space="preserve"> </w:t>
                  </w:r>
                  <w:r>
                    <w:rPr>
                      <w:rFonts w:ascii="Arial" w:hAnsi="Arial" w:eastAsia="Arial" w:cs="Arial"/>
                      <w:spacing w:val="-5"/>
                      <w:sz w:val="18"/>
                      <w:szCs w:val="18"/>
                    </w:rPr>
                    <w:t>develop</w:t>
                  </w:r>
                  <w:r>
                    <w:rPr>
                      <w:rFonts w:ascii="Arial" w:hAnsi="Arial" w:eastAsia="Arial" w:cs="Arial"/>
                      <w:spacing w:val="12"/>
                      <w:sz w:val="18"/>
                      <w:szCs w:val="18"/>
                    </w:rPr>
                    <w:t xml:space="preserve"> </w:t>
                  </w:r>
                  <w:r>
                    <w:rPr>
                      <w:rFonts w:ascii="Arial" w:hAnsi="Arial" w:eastAsia="Arial" w:cs="Arial"/>
                      <w:spacing w:val="-5"/>
                      <w:sz w:val="18"/>
                      <w:szCs w:val="18"/>
                    </w:rPr>
                    <w:t>target-</w:t>
                  </w:r>
                  <w:r>
                    <w:rPr>
                      <w:rFonts w:ascii="Arial" w:hAnsi="Arial" w:eastAsia="Arial" w:cs="Arial"/>
                      <w:sz w:val="18"/>
                      <w:szCs w:val="18"/>
                    </w:rPr>
                    <w:t xml:space="preserve"> </w:t>
                  </w:r>
                  <w:r>
                    <w:rPr>
                      <w:rFonts w:ascii="Arial" w:hAnsi="Arial" w:eastAsia="Arial" w:cs="Arial"/>
                      <w:position w:val="-23"/>
                      <w:sz w:val="18"/>
                      <w:szCs w:val="18"/>
                    </w:rPr>
                    <w:drawing>
                      <wp:inline distT="0" distB="0" distL="0" distR="0">
                        <wp:extent cx="151765" cy="27876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35"/>
                                <a:stretch>
                                  <a:fillRect/>
                                </a:stretch>
                              </pic:blipFill>
                              <pic:spPr>
                                <a:xfrm>
                                  <a:off x="0" y="0"/>
                                  <a:ext cx="151917" cy="278940"/>
                                </a:xfrm>
                                <a:prstGeom prst="rect">
                                  <a:avLst/>
                                </a:prstGeom>
                              </pic:spPr>
                            </pic:pic>
                          </a:graphicData>
                        </a:graphic>
                      </wp:inline>
                    </w:drawing>
                  </w:r>
                  <w:r>
                    <w:rPr>
                      <w:rFonts w:ascii="Arial" w:hAnsi="Arial" w:eastAsia="Arial" w:cs="Arial"/>
                      <w:spacing w:val="-3"/>
                      <w:sz w:val="18"/>
                      <w:szCs w:val="18"/>
                    </w:rPr>
                    <w:t>oriented</w:t>
                  </w:r>
                  <w:r>
                    <w:rPr>
                      <w:rFonts w:ascii="Arial" w:hAnsi="Arial" w:eastAsia="Arial" w:cs="Arial"/>
                      <w:spacing w:val="17"/>
                      <w:w w:val="101"/>
                      <w:sz w:val="18"/>
                      <w:szCs w:val="18"/>
                    </w:rPr>
                    <w:t xml:space="preserve"> </w:t>
                  </w:r>
                  <w:r>
                    <w:rPr>
                      <w:rFonts w:ascii="Arial" w:hAnsi="Arial" w:eastAsia="Arial" w:cs="Arial"/>
                      <w:spacing w:val="-3"/>
                      <w:sz w:val="18"/>
                      <w:szCs w:val="18"/>
                    </w:rPr>
                    <w:t>recommendations for</w:t>
                  </w:r>
                  <w:r>
                    <w:rPr>
                      <w:rFonts w:ascii="Arial" w:hAnsi="Arial" w:eastAsia="Arial" w:cs="Arial"/>
                      <w:spacing w:val="11"/>
                      <w:sz w:val="18"/>
                      <w:szCs w:val="18"/>
                    </w:rPr>
                    <w:t xml:space="preserve"> </w:t>
                  </w:r>
                  <w:r>
                    <w:rPr>
                      <w:rFonts w:ascii="Arial" w:hAnsi="Arial" w:eastAsia="Arial" w:cs="Arial"/>
                      <w:spacing w:val="-3"/>
                      <w:sz w:val="18"/>
                      <w:szCs w:val="18"/>
                    </w:rPr>
                    <w:t>quality</w:t>
                  </w:r>
                  <w:r>
                    <w:rPr>
                      <w:rFonts w:ascii="Arial" w:hAnsi="Arial" w:eastAsia="Arial" w:cs="Arial"/>
                      <w:spacing w:val="15"/>
                      <w:sz w:val="18"/>
                      <w:szCs w:val="18"/>
                    </w:rPr>
                    <w:t xml:space="preserve"> </w:t>
                  </w:r>
                  <w:r>
                    <w:rPr>
                      <w:rFonts w:ascii="Arial" w:hAnsi="Arial" w:eastAsia="Arial" w:cs="Arial"/>
                      <w:spacing w:val="-3"/>
                      <w:sz w:val="18"/>
                      <w:szCs w:val="18"/>
                    </w:rPr>
                    <w:t>improvement.</w:t>
                  </w:r>
                </w:p>
              </w:txbxContent>
            </v:textbox>
            <w10:wrap type="none"/>
            <w10:anchorlock/>
          </v:shape>
        </w:pic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61" w:line="192" w:lineRule="auto"/>
        <w:ind w:left="13"/>
        <w:outlineLvl w:val="2"/>
        <w:rPr>
          <w:rFonts w:ascii="Arial" w:hAnsi="Arial" w:eastAsia="Arial" w:cs="Arial"/>
          <w:sz w:val="21"/>
          <w:szCs w:val="21"/>
        </w:rPr>
      </w:pPr>
      <w:r>
        <w:rPr>
          <w:rFonts w:ascii="Arial" w:hAnsi="Arial" w:eastAsia="Arial" w:cs="Arial"/>
          <w:color w:val="282781"/>
          <w:spacing w:val="4"/>
          <w:sz w:val="21"/>
          <w:szCs w:val="21"/>
        </w:rPr>
        <w:t>Introduction</w:t>
      </w:r>
    </w:p>
    <w:p>
      <w:pPr>
        <w:spacing w:before="176" w:line="258" w:lineRule="auto"/>
        <w:ind w:left="3" w:right="7" w:hanging="3"/>
        <w:jc w:val="both"/>
        <w:rPr>
          <w:rFonts w:ascii="Arial" w:hAnsi="Arial" w:eastAsia="Arial" w:cs="Arial"/>
          <w:sz w:val="19"/>
          <w:szCs w:val="19"/>
        </w:rPr>
      </w:pPr>
      <w:r>
        <w:rPr>
          <w:rFonts w:ascii="Arial" w:hAnsi="Arial" w:eastAsia="Arial" w:cs="Arial"/>
          <w:spacing w:val="-4"/>
          <w:sz w:val="19"/>
          <w:szCs w:val="19"/>
        </w:rPr>
        <w:t>The</w:t>
      </w:r>
      <w:r>
        <w:rPr>
          <w:rFonts w:ascii="Arial" w:hAnsi="Arial" w:eastAsia="Arial" w:cs="Arial"/>
          <w:spacing w:val="37"/>
          <w:sz w:val="19"/>
          <w:szCs w:val="19"/>
        </w:rPr>
        <w:t xml:space="preserve"> </w:t>
      </w:r>
      <w:r>
        <w:rPr>
          <w:rFonts w:ascii="Arial" w:hAnsi="Arial" w:eastAsia="Arial" w:cs="Arial"/>
          <w:spacing w:val="-4"/>
          <w:sz w:val="19"/>
          <w:szCs w:val="19"/>
        </w:rPr>
        <w:t>implementation</w:t>
      </w:r>
      <w:r>
        <w:rPr>
          <w:rFonts w:ascii="Arial" w:hAnsi="Arial" w:eastAsia="Arial" w:cs="Arial"/>
          <w:spacing w:val="33"/>
          <w:w w:val="101"/>
          <w:sz w:val="19"/>
          <w:szCs w:val="19"/>
        </w:rPr>
        <w:t xml:space="preserve"> </w:t>
      </w:r>
      <w:r>
        <w:rPr>
          <w:rFonts w:ascii="Arial" w:hAnsi="Arial" w:eastAsia="Arial" w:cs="Arial"/>
          <w:spacing w:val="-4"/>
          <w:sz w:val="19"/>
          <w:szCs w:val="19"/>
        </w:rPr>
        <w:t>of</w:t>
      </w:r>
      <w:r>
        <w:rPr>
          <w:rFonts w:ascii="Arial" w:hAnsi="Arial" w:eastAsia="Arial" w:cs="Arial"/>
          <w:spacing w:val="25"/>
          <w:w w:val="101"/>
          <w:sz w:val="19"/>
          <w:szCs w:val="19"/>
        </w:rPr>
        <w:t xml:space="preserve"> </w:t>
      </w:r>
      <w:r>
        <w:rPr>
          <w:rFonts w:ascii="Arial" w:hAnsi="Arial" w:eastAsia="Arial" w:cs="Arial"/>
          <w:spacing w:val="-5"/>
          <w:sz w:val="19"/>
          <w:szCs w:val="19"/>
        </w:rPr>
        <w:t>quality</w:t>
      </w:r>
      <w:r>
        <w:rPr>
          <w:rFonts w:ascii="Arial" w:hAnsi="Arial" w:eastAsia="Arial" w:cs="Arial"/>
          <w:spacing w:val="30"/>
          <w:sz w:val="19"/>
          <w:szCs w:val="19"/>
        </w:rPr>
        <w:t xml:space="preserve"> </w:t>
      </w:r>
      <w:r>
        <w:rPr>
          <w:rFonts w:ascii="Arial" w:hAnsi="Arial" w:eastAsia="Arial" w:cs="Arial"/>
          <w:spacing w:val="-5"/>
          <w:sz w:val="19"/>
          <w:szCs w:val="19"/>
        </w:rPr>
        <w:t>tools</w:t>
      </w:r>
      <w:r>
        <w:rPr>
          <w:rFonts w:ascii="Arial" w:hAnsi="Arial" w:eastAsia="Arial" w:cs="Arial"/>
          <w:spacing w:val="33"/>
          <w:sz w:val="19"/>
          <w:szCs w:val="19"/>
        </w:rPr>
        <w:t xml:space="preserve"> </w:t>
      </w:r>
      <w:r>
        <w:rPr>
          <w:rFonts w:ascii="Arial" w:hAnsi="Arial" w:eastAsia="Arial" w:cs="Arial"/>
          <w:spacing w:val="-5"/>
          <w:sz w:val="19"/>
          <w:szCs w:val="19"/>
        </w:rPr>
        <w:t>and</w:t>
      </w:r>
      <w:r>
        <w:rPr>
          <w:rFonts w:ascii="Arial" w:hAnsi="Arial" w:eastAsia="Arial" w:cs="Arial"/>
          <w:spacing w:val="33"/>
          <w:sz w:val="19"/>
          <w:szCs w:val="19"/>
        </w:rPr>
        <w:t xml:space="preserve"> </w:t>
      </w:r>
      <w:r>
        <w:rPr>
          <w:rFonts w:ascii="Arial" w:hAnsi="Arial" w:eastAsia="Arial" w:cs="Arial"/>
          <w:spacing w:val="-5"/>
          <w:sz w:val="19"/>
          <w:szCs w:val="19"/>
        </w:rPr>
        <w:t>quality</w:t>
      </w:r>
      <w:r>
        <w:rPr>
          <w:rFonts w:ascii="Arial" w:hAnsi="Arial" w:eastAsia="Arial" w:cs="Arial"/>
          <w:spacing w:val="39"/>
          <w:w w:val="101"/>
          <w:sz w:val="19"/>
          <w:szCs w:val="19"/>
        </w:rPr>
        <w:t xml:space="preserve"> </w:t>
      </w:r>
      <w:r>
        <w:rPr>
          <w:rFonts w:ascii="Arial" w:hAnsi="Arial" w:eastAsia="Arial" w:cs="Arial"/>
          <w:spacing w:val="-5"/>
          <w:sz w:val="19"/>
          <w:szCs w:val="19"/>
        </w:rPr>
        <w:t>management</w:t>
      </w:r>
      <w:r>
        <w:rPr>
          <w:rFonts w:ascii="Arial" w:hAnsi="Arial" w:eastAsia="Arial" w:cs="Arial"/>
          <w:spacing w:val="38"/>
          <w:sz w:val="19"/>
          <w:szCs w:val="19"/>
        </w:rPr>
        <w:t xml:space="preserve"> </w:t>
      </w:r>
      <w:r>
        <w:rPr>
          <w:rFonts w:ascii="Arial" w:hAnsi="Arial" w:eastAsia="Arial" w:cs="Arial"/>
          <w:spacing w:val="-5"/>
          <w:sz w:val="19"/>
          <w:szCs w:val="19"/>
        </w:rPr>
        <w:t>procedures</w:t>
      </w:r>
      <w:r>
        <w:rPr>
          <w:rFonts w:ascii="Arial" w:hAnsi="Arial" w:eastAsia="Arial" w:cs="Arial"/>
          <w:spacing w:val="39"/>
          <w:sz w:val="19"/>
          <w:szCs w:val="19"/>
        </w:rPr>
        <w:t xml:space="preserve"> </w:t>
      </w:r>
      <w:r>
        <w:rPr>
          <w:rFonts w:ascii="Arial" w:hAnsi="Arial" w:eastAsia="Arial" w:cs="Arial"/>
          <w:spacing w:val="-5"/>
          <w:sz w:val="19"/>
          <w:szCs w:val="19"/>
        </w:rPr>
        <w:t>represents</w:t>
      </w:r>
      <w:r>
        <w:rPr>
          <w:rFonts w:ascii="Arial" w:hAnsi="Arial" w:eastAsia="Arial" w:cs="Arial"/>
          <w:spacing w:val="33"/>
          <w:w w:val="101"/>
          <w:sz w:val="19"/>
          <w:szCs w:val="19"/>
        </w:rPr>
        <w:t xml:space="preserve"> </w:t>
      </w:r>
      <w:r>
        <w:rPr>
          <w:rFonts w:ascii="Arial" w:hAnsi="Arial" w:eastAsia="Arial" w:cs="Arial"/>
          <w:spacing w:val="-5"/>
          <w:sz w:val="19"/>
          <w:szCs w:val="19"/>
        </w:rPr>
        <w:t>one</w:t>
      </w:r>
      <w:r>
        <w:rPr>
          <w:rFonts w:ascii="Arial" w:hAnsi="Arial" w:eastAsia="Arial" w:cs="Arial"/>
          <w:spacing w:val="33"/>
          <w:w w:val="101"/>
          <w:sz w:val="19"/>
          <w:szCs w:val="19"/>
        </w:rPr>
        <w:t xml:space="preserve"> </w:t>
      </w:r>
      <w:r>
        <w:rPr>
          <w:rFonts w:ascii="Arial" w:hAnsi="Arial" w:eastAsia="Arial" w:cs="Arial"/>
          <w:spacing w:val="-5"/>
          <w:sz w:val="19"/>
          <w:szCs w:val="19"/>
        </w:rPr>
        <w:t>of</w:t>
      </w:r>
      <w:r>
        <w:rPr>
          <w:rFonts w:ascii="Arial" w:hAnsi="Arial" w:eastAsia="Arial" w:cs="Arial"/>
          <w:spacing w:val="21"/>
          <w:sz w:val="19"/>
          <w:szCs w:val="19"/>
        </w:rPr>
        <w:t xml:space="preserve"> </w:t>
      </w:r>
      <w:r>
        <w:rPr>
          <w:rFonts w:ascii="Arial" w:hAnsi="Arial" w:eastAsia="Arial" w:cs="Arial"/>
          <w:spacing w:val="-5"/>
          <w:sz w:val="19"/>
          <w:szCs w:val="19"/>
        </w:rPr>
        <w:t>the</w:t>
      </w:r>
      <w:r>
        <w:rPr>
          <w:rFonts w:ascii="Arial" w:hAnsi="Arial" w:eastAsia="Arial" w:cs="Arial"/>
          <w:sz w:val="19"/>
          <w:szCs w:val="19"/>
        </w:rPr>
        <w:t xml:space="preserve"> </w:t>
      </w:r>
      <w:r>
        <w:rPr>
          <w:rFonts w:ascii="Arial" w:hAnsi="Arial" w:eastAsia="Arial" w:cs="Arial"/>
          <w:spacing w:val="-6"/>
          <w:sz w:val="19"/>
          <w:szCs w:val="19"/>
        </w:rPr>
        <w:t>major</w:t>
      </w:r>
      <w:r>
        <w:rPr>
          <w:rFonts w:ascii="Arial" w:hAnsi="Arial" w:eastAsia="Arial" w:cs="Arial"/>
          <w:spacing w:val="20"/>
          <w:sz w:val="19"/>
          <w:szCs w:val="19"/>
        </w:rPr>
        <w:t xml:space="preserve"> </w:t>
      </w:r>
      <w:r>
        <w:rPr>
          <w:rFonts w:ascii="Arial" w:hAnsi="Arial" w:eastAsia="Arial" w:cs="Arial"/>
          <w:spacing w:val="-6"/>
          <w:sz w:val="19"/>
          <w:szCs w:val="19"/>
        </w:rPr>
        <w:t>challenges</w:t>
      </w:r>
      <w:r>
        <w:rPr>
          <w:rFonts w:ascii="Arial" w:hAnsi="Arial" w:eastAsia="Arial" w:cs="Arial"/>
          <w:spacing w:val="12"/>
          <w:sz w:val="19"/>
          <w:szCs w:val="19"/>
        </w:rPr>
        <w:t xml:space="preserve"> </w:t>
      </w:r>
      <w:r>
        <w:rPr>
          <w:rFonts w:ascii="Arial" w:hAnsi="Arial" w:eastAsia="Arial" w:cs="Arial"/>
          <w:spacing w:val="-6"/>
          <w:sz w:val="19"/>
          <w:szCs w:val="19"/>
        </w:rPr>
        <w:t>of today’s</w:t>
      </w:r>
      <w:r>
        <w:rPr>
          <w:rFonts w:ascii="Arial" w:hAnsi="Arial" w:eastAsia="Arial" w:cs="Arial"/>
          <w:spacing w:val="13"/>
          <w:sz w:val="19"/>
          <w:szCs w:val="19"/>
        </w:rPr>
        <w:t xml:space="preserve"> </w:t>
      </w:r>
      <w:r>
        <w:rPr>
          <w:rFonts w:ascii="Arial" w:hAnsi="Arial" w:eastAsia="Arial" w:cs="Arial"/>
          <w:spacing w:val="-6"/>
          <w:sz w:val="19"/>
          <w:szCs w:val="19"/>
        </w:rPr>
        <w:t>globally</w:t>
      </w:r>
      <w:r>
        <w:rPr>
          <w:rFonts w:ascii="Arial" w:hAnsi="Arial" w:eastAsia="Arial" w:cs="Arial"/>
          <w:spacing w:val="12"/>
          <w:sz w:val="19"/>
          <w:szCs w:val="19"/>
        </w:rPr>
        <w:t xml:space="preserve"> </w:t>
      </w:r>
      <w:r>
        <w:rPr>
          <w:rFonts w:ascii="Arial" w:hAnsi="Arial" w:eastAsia="Arial" w:cs="Arial"/>
          <w:spacing w:val="-6"/>
          <w:sz w:val="19"/>
          <w:szCs w:val="19"/>
        </w:rPr>
        <w:t>acting</w:t>
      </w:r>
      <w:r>
        <w:rPr>
          <w:rFonts w:ascii="Arial" w:hAnsi="Arial" w:eastAsia="Arial" w:cs="Arial"/>
          <w:spacing w:val="19"/>
          <w:sz w:val="19"/>
          <w:szCs w:val="19"/>
        </w:rPr>
        <w:t xml:space="preserve"> </w:t>
      </w:r>
      <w:r>
        <w:rPr>
          <w:rFonts w:ascii="Arial" w:hAnsi="Arial" w:eastAsia="Arial" w:cs="Arial"/>
          <w:spacing w:val="-6"/>
          <w:sz w:val="19"/>
          <w:szCs w:val="19"/>
        </w:rPr>
        <w:t>universities.</w:t>
      </w:r>
      <w:r>
        <w:rPr>
          <w:rFonts w:ascii="Arial" w:hAnsi="Arial" w:eastAsia="Arial" w:cs="Arial"/>
          <w:spacing w:val="19"/>
          <w:sz w:val="19"/>
          <w:szCs w:val="19"/>
        </w:rPr>
        <w:t xml:space="preserve"> </w:t>
      </w:r>
      <w:r>
        <w:rPr>
          <w:rFonts w:ascii="Arial" w:hAnsi="Arial" w:eastAsia="Arial" w:cs="Arial"/>
          <w:spacing w:val="-6"/>
          <w:sz w:val="19"/>
          <w:szCs w:val="19"/>
        </w:rPr>
        <w:t>Higher</w:t>
      </w:r>
      <w:r>
        <w:rPr>
          <w:rFonts w:ascii="Arial" w:hAnsi="Arial" w:eastAsia="Arial" w:cs="Arial"/>
          <w:spacing w:val="11"/>
          <w:sz w:val="19"/>
          <w:szCs w:val="19"/>
        </w:rPr>
        <w:t xml:space="preserve"> </w:t>
      </w:r>
      <w:r>
        <w:rPr>
          <w:rFonts w:ascii="Arial" w:hAnsi="Arial" w:eastAsia="Arial" w:cs="Arial"/>
          <w:spacing w:val="-6"/>
          <w:sz w:val="19"/>
          <w:szCs w:val="19"/>
        </w:rPr>
        <w:t>education</w:t>
      </w:r>
      <w:r>
        <w:rPr>
          <w:rFonts w:ascii="Arial" w:hAnsi="Arial" w:eastAsia="Arial" w:cs="Arial"/>
          <w:spacing w:val="18"/>
          <w:sz w:val="19"/>
          <w:szCs w:val="19"/>
        </w:rPr>
        <w:t xml:space="preserve"> </w:t>
      </w:r>
      <w:r>
        <w:rPr>
          <w:rFonts w:ascii="Arial" w:hAnsi="Arial" w:eastAsia="Arial" w:cs="Arial"/>
          <w:spacing w:val="-6"/>
          <w:sz w:val="19"/>
          <w:szCs w:val="19"/>
        </w:rPr>
        <w:t>institutions</w:t>
      </w:r>
      <w:r>
        <w:rPr>
          <w:rFonts w:ascii="Arial" w:hAnsi="Arial" w:eastAsia="Arial" w:cs="Arial"/>
          <w:spacing w:val="18"/>
          <w:sz w:val="19"/>
          <w:szCs w:val="19"/>
        </w:rPr>
        <w:t xml:space="preserve"> </w:t>
      </w:r>
      <w:r>
        <w:rPr>
          <w:rFonts w:ascii="Arial" w:hAnsi="Arial" w:eastAsia="Arial" w:cs="Arial"/>
          <w:spacing w:val="-6"/>
          <w:sz w:val="19"/>
          <w:szCs w:val="19"/>
        </w:rPr>
        <w:t>(HEIs)</w:t>
      </w:r>
      <w:r>
        <w:rPr>
          <w:rFonts w:ascii="Arial" w:hAnsi="Arial" w:eastAsia="Arial" w:cs="Arial"/>
          <w:spacing w:val="9"/>
          <w:sz w:val="19"/>
          <w:szCs w:val="19"/>
        </w:rPr>
        <w:t xml:space="preserve"> </w:t>
      </w:r>
      <w:r>
        <w:rPr>
          <w:rFonts w:ascii="Arial" w:hAnsi="Arial" w:eastAsia="Arial" w:cs="Arial"/>
          <w:spacing w:val="-6"/>
          <w:sz w:val="19"/>
          <w:szCs w:val="19"/>
        </w:rPr>
        <w:t>face</w:t>
      </w:r>
      <w:r>
        <w:rPr>
          <w:rFonts w:ascii="Arial" w:hAnsi="Arial" w:eastAsia="Arial" w:cs="Arial"/>
          <w:spacing w:val="12"/>
          <w:sz w:val="19"/>
          <w:szCs w:val="19"/>
        </w:rPr>
        <w:t xml:space="preserve"> </w:t>
      </w:r>
      <w:r>
        <w:rPr>
          <w:rFonts w:ascii="Arial" w:hAnsi="Arial" w:eastAsia="Arial" w:cs="Arial"/>
          <w:spacing w:val="-6"/>
          <w:sz w:val="19"/>
          <w:szCs w:val="19"/>
        </w:rPr>
        <w:t>an</w:t>
      </w:r>
      <w:r>
        <w:rPr>
          <w:rFonts w:ascii="Arial" w:hAnsi="Arial" w:eastAsia="Arial" w:cs="Arial"/>
          <w:sz w:val="19"/>
          <w:szCs w:val="19"/>
        </w:rPr>
        <w:t xml:space="preserve"> </w:t>
      </w:r>
      <w:r>
        <w:rPr>
          <w:rFonts w:ascii="Arial" w:hAnsi="Arial" w:eastAsia="Arial" w:cs="Arial"/>
          <w:spacing w:val="-4"/>
          <w:sz w:val="19"/>
          <w:szCs w:val="19"/>
        </w:rPr>
        <w:t>increasingly competitive environment, lead</w:t>
      </w:r>
      <w:r>
        <w:rPr>
          <w:rFonts w:ascii="Arial" w:hAnsi="Arial" w:eastAsia="Arial" w:cs="Arial"/>
          <w:spacing w:val="-5"/>
          <w:sz w:val="19"/>
          <w:szCs w:val="19"/>
        </w:rPr>
        <w:t>ing to elevated quality demands in teaching and research</w:t>
      </w:r>
      <w:r>
        <w:rPr>
          <w:rFonts w:ascii="Arial" w:hAnsi="Arial" w:eastAsia="Arial" w:cs="Arial"/>
          <w:sz w:val="19"/>
          <w:szCs w:val="19"/>
        </w:rPr>
        <w:t xml:space="preserve"> </w:t>
      </w:r>
      <w:r>
        <w:rPr>
          <w:rFonts w:ascii="Arial" w:hAnsi="Arial" w:eastAsia="Arial" w:cs="Arial"/>
          <w:spacing w:val="-6"/>
          <w:sz w:val="19"/>
          <w:szCs w:val="19"/>
        </w:rPr>
        <w:t>as well as</w:t>
      </w:r>
      <w:r>
        <w:rPr>
          <w:rFonts w:ascii="Arial" w:hAnsi="Arial" w:eastAsia="Arial" w:cs="Arial"/>
          <w:spacing w:val="8"/>
          <w:sz w:val="19"/>
          <w:szCs w:val="19"/>
        </w:rPr>
        <w:t xml:space="preserve"> </w:t>
      </w:r>
      <w:r>
        <w:rPr>
          <w:rFonts w:ascii="Arial" w:hAnsi="Arial" w:eastAsia="Arial" w:cs="Arial"/>
          <w:spacing w:val="-6"/>
          <w:sz w:val="19"/>
          <w:szCs w:val="19"/>
        </w:rPr>
        <w:t>in service and administ</w:t>
      </w:r>
      <w:r>
        <w:rPr>
          <w:rFonts w:ascii="Arial" w:hAnsi="Arial" w:eastAsia="Arial" w:cs="Arial"/>
          <w:spacing w:val="-7"/>
          <w:sz w:val="19"/>
          <w:szCs w:val="19"/>
        </w:rPr>
        <w:t>ration. At</w:t>
      </w:r>
      <w:r>
        <w:rPr>
          <w:rFonts w:ascii="Arial" w:hAnsi="Arial" w:eastAsia="Arial" w:cs="Arial"/>
          <w:spacing w:val="11"/>
          <w:sz w:val="19"/>
          <w:szCs w:val="19"/>
        </w:rPr>
        <w:t xml:space="preserve"> </w:t>
      </w:r>
      <w:r>
        <w:rPr>
          <w:rFonts w:ascii="Arial" w:hAnsi="Arial" w:eastAsia="Arial" w:cs="Arial"/>
          <w:spacing w:val="-7"/>
          <w:sz w:val="19"/>
          <w:szCs w:val="19"/>
        </w:rPr>
        <w:t>least</w:t>
      </w:r>
      <w:r>
        <w:rPr>
          <w:rFonts w:ascii="Arial" w:hAnsi="Arial" w:eastAsia="Arial" w:cs="Arial"/>
          <w:spacing w:val="4"/>
          <w:sz w:val="19"/>
          <w:szCs w:val="19"/>
        </w:rPr>
        <w:t xml:space="preserve"> </w:t>
      </w:r>
      <w:r>
        <w:rPr>
          <w:rFonts w:ascii="Arial" w:hAnsi="Arial" w:eastAsia="Arial" w:cs="Arial"/>
          <w:spacing w:val="-7"/>
          <w:sz w:val="19"/>
          <w:szCs w:val="19"/>
        </w:rPr>
        <w:t>since the</w:t>
      </w:r>
      <w:r>
        <w:rPr>
          <w:rFonts w:ascii="Arial" w:hAnsi="Arial" w:eastAsia="Arial" w:cs="Arial"/>
          <w:spacing w:val="10"/>
          <w:sz w:val="19"/>
          <w:szCs w:val="19"/>
        </w:rPr>
        <w:t xml:space="preserve"> </w:t>
      </w:r>
      <w:r>
        <w:rPr>
          <w:rFonts w:ascii="Arial" w:hAnsi="Arial" w:eastAsia="Arial" w:cs="Arial"/>
          <w:spacing w:val="-7"/>
          <w:sz w:val="19"/>
          <w:szCs w:val="19"/>
        </w:rPr>
        <w:t>beginning</w:t>
      </w:r>
      <w:r>
        <w:rPr>
          <w:rFonts w:ascii="Arial" w:hAnsi="Arial" w:eastAsia="Arial" w:cs="Arial"/>
          <w:spacing w:val="4"/>
          <w:sz w:val="19"/>
          <w:szCs w:val="19"/>
        </w:rPr>
        <w:t xml:space="preserve"> </w:t>
      </w:r>
      <w:r>
        <w:rPr>
          <w:rFonts w:ascii="Arial" w:hAnsi="Arial" w:eastAsia="Arial" w:cs="Arial"/>
          <w:spacing w:val="-7"/>
          <w:sz w:val="19"/>
          <w:szCs w:val="19"/>
        </w:rPr>
        <w:t>of the</w:t>
      </w:r>
      <w:r>
        <w:rPr>
          <w:rFonts w:ascii="Arial" w:hAnsi="Arial" w:eastAsia="Arial" w:cs="Arial"/>
          <w:spacing w:val="11"/>
          <w:sz w:val="19"/>
          <w:szCs w:val="19"/>
        </w:rPr>
        <w:t xml:space="preserve"> </w:t>
      </w:r>
      <w:r>
        <w:rPr>
          <w:rFonts w:ascii="Arial" w:hAnsi="Arial" w:eastAsia="Arial" w:cs="Arial"/>
          <w:spacing w:val="-7"/>
          <w:sz w:val="19"/>
          <w:szCs w:val="19"/>
        </w:rPr>
        <w:t>Bologna</w:t>
      </w:r>
      <w:r>
        <w:rPr>
          <w:rFonts w:ascii="Arial" w:hAnsi="Arial" w:eastAsia="Arial" w:cs="Arial"/>
          <w:spacing w:val="12"/>
          <w:sz w:val="19"/>
          <w:szCs w:val="19"/>
        </w:rPr>
        <w:t xml:space="preserve"> </w:t>
      </w:r>
      <w:r>
        <w:rPr>
          <w:rFonts w:ascii="Arial" w:hAnsi="Arial" w:eastAsia="Arial" w:cs="Arial"/>
          <w:spacing w:val="-7"/>
          <w:sz w:val="19"/>
          <w:szCs w:val="19"/>
        </w:rPr>
        <w:t>Process</w:t>
      </w:r>
      <w:r>
        <w:rPr>
          <w:rFonts w:ascii="Arial" w:hAnsi="Arial" w:eastAsia="Arial" w:cs="Arial"/>
          <w:spacing w:val="9"/>
          <w:sz w:val="19"/>
          <w:szCs w:val="19"/>
        </w:rPr>
        <w:t xml:space="preserve"> </w:t>
      </w:r>
      <w:r>
        <w:rPr>
          <w:rFonts w:ascii="Arial" w:hAnsi="Arial" w:eastAsia="Arial" w:cs="Arial"/>
          <w:spacing w:val="-7"/>
          <w:sz w:val="19"/>
          <w:szCs w:val="19"/>
        </w:rPr>
        <w:t>in</w:t>
      </w:r>
      <w:r>
        <w:rPr>
          <w:rFonts w:ascii="Arial" w:hAnsi="Arial" w:eastAsia="Arial" w:cs="Arial"/>
          <w:spacing w:val="17"/>
          <w:w w:val="101"/>
          <w:sz w:val="19"/>
          <w:szCs w:val="19"/>
        </w:rPr>
        <w:t xml:space="preserve"> </w:t>
      </w:r>
      <w:r>
        <w:rPr>
          <w:rFonts w:ascii="Arial" w:hAnsi="Arial" w:eastAsia="Arial" w:cs="Arial"/>
          <w:spacing w:val="-7"/>
          <w:sz w:val="19"/>
          <w:szCs w:val="19"/>
        </w:rPr>
        <w:t>1999,</w:t>
      </w:r>
      <w:r>
        <w:rPr>
          <w:rFonts w:ascii="Arial" w:hAnsi="Arial" w:eastAsia="Arial" w:cs="Arial"/>
          <w:sz w:val="19"/>
          <w:szCs w:val="19"/>
        </w:rPr>
        <w:t xml:space="preserve"> </w:t>
      </w:r>
      <w:r>
        <w:rPr>
          <w:rFonts w:ascii="Arial" w:hAnsi="Arial" w:eastAsia="Arial" w:cs="Arial"/>
          <w:spacing w:val="-5"/>
          <w:sz w:val="19"/>
          <w:szCs w:val="19"/>
        </w:rPr>
        <w:t>quality</w:t>
      </w:r>
      <w:r>
        <w:rPr>
          <w:rFonts w:ascii="Arial" w:hAnsi="Arial" w:eastAsia="Arial" w:cs="Arial"/>
          <w:spacing w:val="30"/>
          <w:w w:val="101"/>
          <w:sz w:val="19"/>
          <w:szCs w:val="19"/>
        </w:rPr>
        <w:t xml:space="preserve"> </w:t>
      </w:r>
      <w:r>
        <w:rPr>
          <w:rFonts w:ascii="Arial" w:hAnsi="Arial" w:eastAsia="Arial" w:cs="Arial"/>
          <w:spacing w:val="-5"/>
          <w:sz w:val="19"/>
          <w:szCs w:val="19"/>
        </w:rPr>
        <w:t>has also</w:t>
      </w:r>
      <w:r>
        <w:rPr>
          <w:rFonts w:ascii="Arial" w:hAnsi="Arial" w:eastAsia="Arial" w:cs="Arial"/>
          <w:spacing w:val="11"/>
          <w:sz w:val="19"/>
          <w:szCs w:val="19"/>
        </w:rPr>
        <w:t xml:space="preserve"> </w:t>
      </w:r>
      <w:r>
        <w:rPr>
          <w:rFonts w:ascii="Arial" w:hAnsi="Arial" w:eastAsia="Arial" w:cs="Arial"/>
          <w:spacing w:val="-5"/>
          <w:sz w:val="19"/>
          <w:szCs w:val="19"/>
        </w:rPr>
        <w:t>become one of the</w:t>
      </w:r>
      <w:r>
        <w:rPr>
          <w:rFonts w:ascii="Arial" w:hAnsi="Arial" w:eastAsia="Arial" w:cs="Arial"/>
          <w:spacing w:val="12"/>
          <w:sz w:val="19"/>
          <w:szCs w:val="19"/>
        </w:rPr>
        <w:t xml:space="preserve"> </w:t>
      </w:r>
      <w:r>
        <w:rPr>
          <w:rFonts w:ascii="Arial" w:hAnsi="Arial" w:eastAsia="Arial" w:cs="Arial"/>
          <w:spacing w:val="-5"/>
          <w:sz w:val="19"/>
          <w:szCs w:val="19"/>
        </w:rPr>
        <w:t>most</w:t>
      </w:r>
      <w:r>
        <w:rPr>
          <w:rFonts w:ascii="Arial" w:hAnsi="Arial" w:eastAsia="Arial" w:cs="Arial"/>
          <w:spacing w:val="12"/>
          <w:sz w:val="19"/>
          <w:szCs w:val="19"/>
        </w:rPr>
        <w:t xml:space="preserve"> </w:t>
      </w:r>
      <w:r>
        <w:rPr>
          <w:rFonts w:ascii="Arial" w:hAnsi="Arial" w:eastAsia="Arial" w:cs="Arial"/>
          <w:spacing w:val="-5"/>
          <w:sz w:val="19"/>
          <w:szCs w:val="19"/>
        </w:rPr>
        <w:t>prominent topics of higher</w:t>
      </w:r>
      <w:r>
        <w:rPr>
          <w:rFonts w:ascii="Arial" w:hAnsi="Arial" w:eastAsia="Arial" w:cs="Arial"/>
          <w:spacing w:val="6"/>
          <w:sz w:val="19"/>
          <w:szCs w:val="19"/>
        </w:rPr>
        <w:t xml:space="preserve"> </w:t>
      </w:r>
      <w:r>
        <w:rPr>
          <w:rFonts w:ascii="Arial" w:hAnsi="Arial" w:eastAsia="Arial" w:cs="Arial"/>
          <w:spacing w:val="-5"/>
          <w:sz w:val="19"/>
          <w:szCs w:val="19"/>
        </w:rPr>
        <w:t>education</w:t>
      </w:r>
      <w:r>
        <w:rPr>
          <w:rFonts w:ascii="Arial" w:hAnsi="Arial" w:eastAsia="Arial" w:cs="Arial"/>
          <w:spacing w:val="12"/>
          <w:sz w:val="19"/>
          <w:szCs w:val="19"/>
        </w:rPr>
        <w:t xml:space="preserve"> </w:t>
      </w:r>
      <w:r>
        <w:rPr>
          <w:rFonts w:ascii="Arial" w:hAnsi="Arial" w:eastAsia="Arial" w:cs="Arial"/>
          <w:spacing w:val="-5"/>
          <w:sz w:val="19"/>
          <w:szCs w:val="19"/>
        </w:rPr>
        <w:t>policy</w:t>
      </w:r>
      <w:r>
        <w:rPr>
          <w:rFonts w:ascii="Arial" w:hAnsi="Arial" w:eastAsia="Arial" w:cs="Arial"/>
          <w:spacing w:val="5"/>
          <w:sz w:val="19"/>
          <w:szCs w:val="19"/>
        </w:rPr>
        <w:t xml:space="preserve"> </w:t>
      </w:r>
      <w:r>
        <w:rPr>
          <w:rFonts w:ascii="Arial" w:hAnsi="Arial" w:eastAsia="Arial" w:cs="Arial"/>
          <w:spacing w:val="-5"/>
          <w:sz w:val="19"/>
          <w:szCs w:val="19"/>
        </w:rPr>
        <w:t>discussions</w:t>
      </w:r>
      <w:r>
        <w:rPr>
          <w:rFonts w:ascii="Arial" w:hAnsi="Arial" w:eastAsia="Arial" w:cs="Arial"/>
          <w:spacing w:val="10"/>
          <w:sz w:val="19"/>
          <w:szCs w:val="19"/>
        </w:rPr>
        <w:t xml:space="preserve"> </w:t>
      </w:r>
      <w:r>
        <w:rPr>
          <w:rFonts w:ascii="Arial" w:hAnsi="Arial" w:eastAsia="Arial" w:cs="Arial"/>
          <w:spacing w:val="-5"/>
          <w:sz w:val="19"/>
          <w:szCs w:val="19"/>
        </w:rPr>
        <w:t>in</w:t>
      </w:r>
      <w:r>
        <w:rPr>
          <w:rFonts w:ascii="Arial" w:hAnsi="Arial" w:eastAsia="Arial" w:cs="Arial"/>
          <w:sz w:val="19"/>
          <w:szCs w:val="19"/>
        </w:rPr>
        <w:t xml:space="preserve"> </w:t>
      </w:r>
      <w:r>
        <w:rPr>
          <w:rFonts w:ascii="Arial" w:hAnsi="Arial" w:eastAsia="Arial" w:cs="Arial"/>
          <w:spacing w:val="-4"/>
          <w:sz w:val="19"/>
          <w:szCs w:val="19"/>
        </w:rPr>
        <w:t>Europe.</w:t>
      </w:r>
      <w:r>
        <w:rPr>
          <w:rFonts w:ascii="Arial" w:hAnsi="Arial" w:eastAsia="Arial" w:cs="Arial"/>
          <w:spacing w:val="27"/>
          <w:sz w:val="19"/>
          <w:szCs w:val="19"/>
        </w:rPr>
        <w:t xml:space="preserve"> </w:t>
      </w:r>
      <w:r>
        <w:rPr>
          <w:rFonts w:ascii="Arial" w:hAnsi="Arial" w:eastAsia="Arial" w:cs="Arial"/>
          <w:spacing w:val="-4"/>
          <w:sz w:val="19"/>
          <w:szCs w:val="19"/>
        </w:rPr>
        <w:t>In</w:t>
      </w:r>
      <w:r>
        <w:rPr>
          <w:rFonts w:ascii="Arial" w:hAnsi="Arial" w:eastAsia="Arial" w:cs="Arial"/>
          <w:spacing w:val="14"/>
          <w:w w:val="101"/>
          <w:sz w:val="19"/>
          <w:szCs w:val="19"/>
        </w:rPr>
        <w:t xml:space="preserve"> </w:t>
      </w:r>
      <w:r>
        <w:rPr>
          <w:rFonts w:ascii="Arial" w:hAnsi="Arial" w:eastAsia="Arial" w:cs="Arial"/>
          <w:spacing w:val="-4"/>
          <w:sz w:val="19"/>
          <w:szCs w:val="19"/>
        </w:rPr>
        <w:t>this</w:t>
      </w:r>
      <w:r>
        <w:rPr>
          <w:rFonts w:ascii="Arial" w:hAnsi="Arial" w:eastAsia="Arial" w:cs="Arial"/>
          <w:spacing w:val="19"/>
          <w:sz w:val="19"/>
          <w:szCs w:val="19"/>
        </w:rPr>
        <w:t xml:space="preserve"> </w:t>
      </w:r>
      <w:r>
        <w:rPr>
          <w:rFonts w:ascii="Arial" w:hAnsi="Arial" w:eastAsia="Arial" w:cs="Arial"/>
          <w:spacing w:val="-4"/>
          <w:sz w:val="19"/>
          <w:szCs w:val="19"/>
        </w:rPr>
        <w:t>context</w:t>
      </w:r>
      <w:r>
        <w:rPr>
          <w:rFonts w:ascii="Arial" w:hAnsi="Arial" w:eastAsia="Arial" w:cs="Arial"/>
          <w:spacing w:val="15"/>
          <w:w w:val="101"/>
          <w:sz w:val="19"/>
          <w:szCs w:val="19"/>
        </w:rPr>
        <w:t xml:space="preserve"> </w:t>
      </w:r>
      <w:r>
        <w:rPr>
          <w:rFonts w:ascii="Arial" w:hAnsi="Arial" w:eastAsia="Arial" w:cs="Arial"/>
          <w:spacing w:val="-4"/>
          <w:sz w:val="19"/>
          <w:szCs w:val="19"/>
        </w:rPr>
        <w:t>the</w:t>
      </w:r>
      <w:r>
        <w:rPr>
          <w:rFonts w:ascii="Arial" w:hAnsi="Arial" w:eastAsia="Arial" w:cs="Arial"/>
          <w:spacing w:val="23"/>
          <w:w w:val="101"/>
          <w:sz w:val="19"/>
          <w:szCs w:val="19"/>
        </w:rPr>
        <w:t xml:space="preserve"> </w:t>
      </w:r>
      <w:r>
        <w:rPr>
          <w:rFonts w:ascii="Arial" w:hAnsi="Arial" w:eastAsia="Arial" w:cs="Arial"/>
          <w:spacing w:val="-4"/>
          <w:sz w:val="19"/>
          <w:szCs w:val="19"/>
        </w:rPr>
        <w:t>impor</w:t>
      </w:r>
      <w:r>
        <w:rPr>
          <w:rFonts w:ascii="Arial" w:hAnsi="Arial" w:eastAsia="Arial" w:cs="Arial"/>
          <w:spacing w:val="-5"/>
          <w:sz w:val="19"/>
          <w:szCs w:val="19"/>
        </w:rPr>
        <w:t>tance</w:t>
      </w:r>
      <w:r>
        <w:rPr>
          <w:rFonts w:ascii="Arial" w:hAnsi="Arial" w:eastAsia="Arial" w:cs="Arial"/>
          <w:spacing w:val="20"/>
          <w:sz w:val="19"/>
          <w:szCs w:val="19"/>
        </w:rPr>
        <w:t xml:space="preserve"> </w:t>
      </w:r>
      <w:r>
        <w:rPr>
          <w:rFonts w:ascii="Arial" w:hAnsi="Arial" w:eastAsia="Arial" w:cs="Arial"/>
          <w:spacing w:val="-5"/>
          <w:sz w:val="19"/>
          <w:szCs w:val="19"/>
        </w:rPr>
        <w:t>of</w:t>
      </w:r>
      <w:r>
        <w:rPr>
          <w:rFonts w:ascii="Arial" w:hAnsi="Arial" w:eastAsia="Arial" w:cs="Arial"/>
          <w:spacing w:val="11"/>
          <w:sz w:val="19"/>
          <w:szCs w:val="19"/>
        </w:rPr>
        <w:t xml:space="preserve"> </w:t>
      </w:r>
      <w:r>
        <w:rPr>
          <w:rFonts w:ascii="Arial" w:hAnsi="Arial" w:eastAsia="Arial" w:cs="Arial"/>
          <w:spacing w:val="-5"/>
          <w:sz w:val="19"/>
          <w:szCs w:val="19"/>
        </w:rPr>
        <w:t>developing</w:t>
      </w:r>
      <w:r>
        <w:rPr>
          <w:rFonts w:ascii="Arial" w:hAnsi="Arial" w:eastAsia="Arial" w:cs="Arial"/>
          <w:spacing w:val="18"/>
          <w:w w:val="101"/>
          <w:sz w:val="19"/>
          <w:szCs w:val="19"/>
        </w:rPr>
        <w:t xml:space="preserve"> </w:t>
      </w:r>
      <w:r>
        <w:rPr>
          <w:rFonts w:ascii="Arial" w:hAnsi="Arial" w:eastAsia="Arial" w:cs="Arial"/>
          <w:spacing w:val="-5"/>
          <w:sz w:val="19"/>
          <w:szCs w:val="19"/>
        </w:rPr>
        <w:t>comparable</w:t>
      </w:r>
      <w:r>
        <w:rPr>
          <w:rFonts w:ascii="Arial" w:hAnsi="Arial" w:eastAsia="Arial" w:cs="Arial"/>
          <w:spacing w:val="20"/>
          <w:sz w:val="19"/>
          <w:szCs w:val="19"/>
        </w:rPr>
        <w:t xml:space="preserve"> </w:t>
      </w:r>
      <w:r>
        <w:rPr>
          <w:rFonts w:ascii="Arial" w:hAnsi="Arial" w:eastAsia="Arial" w:cs="Arial"/>
          <w:spacing w:val="-5"/>
          <w:sz w:val="19"/>
          <w:szCs w:val="19"/>
        </w:rPr>
        <w:t>criteria</w:t>
      </w:r>
      <w:r>
        <w:rPr>
          <w:rFonts w:ascii="Arial" w:hAnsi="Arial" w:eastAsia="Arial" w:cs="Arial"/>
          <w:spacing w:val="17"/>
          <w:sz w:val="19"/>
          <w:szCs w:val="19"/>
        </w:rPr>
        <w:t xml:space="preserve"> </w:t>
      </w:r>
      <w:r>
        <w:rPr>
          <w:rFonts w:ascii="Arial" w:hAnsi="Arial" w:eastAsia="Arial" w:cs="Arial"/>
          <w:spacing w:val="-5"/>
          <w:sz w:val="19"/>
          <w:szCs w:val="19"/>
        </w:rPr>
        <w:t>and</w:t>
      </w:r>
      <w:r>
        <w:rPr>
          <w:rFonts w:ascii="Arial" w:hAnsi="Arial" w:eastAsia="Arial" w:cs="Arial"/>
          <w:spacing w:val="25"/>
          <w:sz w:val="19"/>
          <w:szCs w:val="19"/>
        </w:rPr>
        <w:t xml:space="preserve"> </w:t>
      </w:r>
      <w:r>
        <w:rPr>
          <w:rFonts w:ascii="Arial" w:hAnsi="Arial" w:eastAsia="Arial" w:cs="Arial"/>
          <w:spacing w:val="-5"/>
          <w:sz w:val="19"/>
          <w:szCs w:val="19"/>
        </w:rPr>
        <w:t>methods</w:t>
      </w:r>
      <w:r>
        <w:rPr>
          <w:rFonts w:ascii="Arial" w:hAnsi="Arial" w:eastAsia="Arial" w:cs="Arial"/>
          <w:spacing w:val="15"/>
          <w:sz w:val="19"/>
          <w:szCs w:val="19"/>
        </w:rPr>
        <w:t xml:space="preserve"> </w:t>
      </w:r>
      <w:r>
        <w:rPr>
          <w:rFonts w:ascii="Arial" w:hAnsi="Arial" w:eastAsia="Arial" w:cs="Arial"/>
          <w:spacing w:val="-5"/>
          <w:sz w:val="19"/>
          <w:szCs w:val="19"/>
        </w:rPr>
        <w:t>for</w:t>
      </w:r>
      <w:r>
        <w:rPr>
          <w:rFonts w:ascii="Arial" w:hAnsi="Arial" w:eastAsia="Arial" w:cs="Arial"/>
          <w:spacing w:val="19"/>
          <w:w w:val="101"/>
          <w:sz w:val="19"/>
          <w:szCs w:val="19"/>
        </w:rPr>
        <w:t xml:space="preserve"> </w:t>
      </w:r>
      <w:r>
        <w:rPr>
          <w:rFonts w:ascii="Arial" w:hAnsi="Arial" w:eastAsia="Arial" w:cs="Arial"/>
          <w:spacing w:val="-5"/>
          <w:sz w:val="19"/>
          <w:szCs w:val="19"/>
        </w:rPr>
        <w:t>quality</w:t>
      </w:r>
      <w:r>
        <w:rPr>
          <w:rFonts w:ascii="Arial" w:hAnsi="Arial" w:eastAsia="Arial" w:cs="Arial"/>
          <w:sz w:val="19"/>
          <w:szCs w:val="19"/>
        </w:rPr>
        <w:t xml:space="preserve"> </w:t>
      </w:r>
      <w:r>
        <w:rPr>
          <w:rFonts w:ascii="Arial" w:hAnsi="Arial" w:eastAsia="Arial" w:cs="Arial"/>
          <w:spacing w:val="-8"/>
          <w:sz w:val="19"/>
          <w:szCs w:val="19"/>
        </w:rPr>
        <w:t>assurance</w:t>
      </w:r>
      <w:r>
        <w:rPr>
          <w:rFonts w:ascii="Arial" w:hAnsi="Arial" w:eastAsia="Arial" w:cs="Arial"/>
          <w:spacing w:val="42"/>
          <w:w w:val="101"/>
          <w:sz w:val="19"/>
          <w:szCs w:val="19"/>
        </w:rPr>
        <w:t xml:space="preserve"> </w:t>
      </w:r>
      <w:r>
        <w:rPr>
          <w:rFonts w:ascii="Arial" w:hAnsi="Arial" w:eastAsia="Arial" w:cs="Arial"/>
          <w:spacing w:val="-8"/>
          <w:sz w:val="19"/>
          <w:szCs w:val="19"/>
        </w:rPr>
        <w:t>is</w:t>
      </w:r>
      <w:r>
        <w:rPr>
          <w:rFonts w:ascii="Arial" w:hAnsi="Arial" w:eastAsia="Arial" w:cs="Arial"/>
          <w:spacing w:val="36"/>
          <w:w w:val="101"/>
          <w:sz w:val="19"/>
          <w:szCs w:val="19"/>
        </w:rPr>
        <w:t xml:space="preserve"> </w:t>
      </w:r>
      <w:r>
        <w:rPr>
          <w:rFonts w:ascii="Arial" w:hAnsi="Arial" w:eastAsia="Arial" w:cs="Arial"/>
          <w:spacing w:val="-8"/>
          <w:sz w:val="19"/>
          <w:szCs w:val="19"/>
        </w:rPr>
        <w:t>especially</w:t>
      </w:r>
      <w:r>
        <w:rPr>
          <w:rFonts w:ascii="Arial" w:hAnsi="Arial" w:eastAsia="Arial" w:cs="Arial"/>
          <w:spacing w:val="36"/>
          <w:sz w:val="19"/>
          <w:szCs w:val="19"/>
        </w:rPr>
        <w:t xml:space="preserve"> </w:t>
      </w:r>
      <w:r>
        <w:rPr>
          <w:rFonts w:ascii="Arial" w:hAnsi="Arial" w:eastAsia="Arial" w:cs="Arial"/>
          <w:spacing w:val="-8"/>
          <w:sz w:val="19"/>
          <w:szCs w:val="19"/>
        </w:rPr>
        <w:t>emphasized</w:t>
      </w:r>
      <w:r>
        <w:rPr>
          <w:rFonts w:ascii="Arial" w:hAnsi="Arial" w:eastAsia="Arial" w:cs="Arial"/>
          <w:spacing w:val="41"/>
          <w:sz w:val="19"/>
          <w:szCs w:val="19"/>
        </w:rPr>
        <w:t xml:space="preserve"> </w:t>
      </w:r>
      <w:r>
        <w:rPr>
          <w:rFonts w:ascii="Arial" w:hAnsi="Arial" w:eastAsia="Arial" w:cs="Arial"/>
          <w:spacing w:val="-8"/>
          <w:sz w:val="19"/>
          <w:szCs w:val="19"/>
        </w:rPr>
        <w:t>(Bologna</w:t>
      </w:r>
      <w:r>
        <w:rPr>
          <w:rFonts w:ascii="Arial" w:hAnsi="Arial" w:eastAsia="Arial" w:cs="Arial"/>
          <w:spacing w:val="43"/>
          <w:sz w:val="19"/>
          <w:szCs w:val="19"/>
        </w:rPr>
        <w:t xml:space="preserve"> </w:t>
      </w:r>
      <w:r>
        <w:rPr>
          <w:rFonts w:ascii="Arial" w:hAnsi="Arial" w:eastAsia="Arial" w:cs="Arial"/>
          <w:spacing w:val="-8"/>
          <w:sz w:val="19"/>
          <w:szCs w:val="19"/>
        </w:rPr>
        <w:t>Declaration</w:t>
      </w:r>
      <w:r>
        <w:rPr>
          <w:rFonts w:ascii="Arial" w:hAnsi="Arial" w:eastAsia="Arial" w:cs="Arial"/>
          <w:spacing w:val="29"/>
          <w:w w:val="101"/>
          <w:sz w:val="19"/>
          <w:szCs w:val="19"/>
        </w:rPr>
        <w:t xml:space="preserve"> </w:t>
      </w:r>
      <w:r>
        <w:fldChar w:fldCharType="begin"/>
      </w:r>
      <w:r>
        <w:instrText xml:space="preserve"> HYPERLINK \l "bookmark6" </w:instrText>
      </w:r>
      <w:r>
        <w:fldChar w:fldCharType="separate"/>
      </w:r>
      <w:r>
        <w:rPr>
          <w:rFonts w:ascii="Arial" w:hAnsi="Arial" w:eastAsia="Arial" w:cs="Arial"/>
          <w:color w:val="000084"/>
          <w:spacing w:val="-8"/>
          <w:sz w:val="19"/>
          <w:szCs w:val="19"/>
        </w:rPr>
        <w:t>1999</w:t>
      </w:r>
      <w:r>
        <w:rPr>
          <w:rFonts w:ascii="Arial" w:hAnsi="Arial" w:eastAsia="Arial" w:cs="Arial"/>
          <w:color w:val="000084"/>
          <w:spacing w:val="-8"/>
          <w:sz w:val="19"/>
          <w:szCs w:val="19"/>
        </w:rPr>
        <w:fldChar w:fldCharType="end"/>
      </w:r>
      <w:r>
        <w:rPr>
          <w:rFonts w:ascii="Arial" w:hAnsi="Arial" w:eastAsia="Arial" w:cs="Arial"/>
          <w:spacing w:val="-8"/>
          <w:sz w:val="19"/>
          <w:szCs w:val="19"/>
        </w:rPr>
        <w:t>).</w:t>
      </w:r>
      <w:r>
        <w:rPr>
          <w:rFonts w:ascii="Arial" w:hAnsi="Arial" w:eastAsia="Arial" w:cs="Arial"/>
          <w:spacing w:val="33"/>
          <w:w w:val="101"/>
          <w:sz w:val="19"/>
          <w:szCs w:val="19"/>
        </w:rPr>
        <w:t xml:space="preserve"> </w:t>
      </w:r>
      <w:r>
        <w:rPr>
          <w:rFonts w:ascii="Arial" w:hAnsi="Arial" w:eastAsia="Arial" w:cs="Arial"/>
          <w:spacing w:val="-8"/>
          <w:sz w:val="19"/>
          <w:szCs w:val="19"/>
        </w:rPr>
        <w:t>As</w:t>
      </w:r>
      <w:r>
        <w:rPr>
          <w:rFonts w:ascii="Arial" w:hAnsi="Arial" w:eastAsia="Arial" w:cs="Arial"/>
          <w:spacing w:val="36"/>
          <w:sz w:val="19"/>
          <w:szCs w:val="19"/>
        </w:rPr>
        <w:t xml:space="preserve"> </w:t>
      </w:r>
      <w:r>
        <w:rPr>
          <w:rFonts w:ascii="Arial" w:hAnsi="Arial" w:eastAsia="Arial" w:cs="Arial"/>
          <w:spacing w:val="-8"/>
          <w:sz w:val="19"/>
          <w:szCs w:val="19"/>
        </w:rPr>
        <w:t>a</w:t>
      </w:r>
      <w:r>
        <w:rPr>
          <w:rFonts w:ascii="Arial" w:hAnsi="Arial" w:eastAsia="Arial" w:cs="Arial"/>
          <w:spacing w:val="41"/>
          <w:w w:val="101"/>
          <w:sz w:val="19"/>
          <w:szCs w:val="19"/>
        </w:rPr>
        <w:t xml:space="preserve"> </w:t>
      </w:r>
      <w:r>
        <w:rPr>
          <w:rFonts w:ascii="Arial" w:hAnsi="Arial" w:eastAsia="Arial" w:cs="Arial"/>
          <w:spacing w:val="-8"/>
          <w:sz w:val="19"/>
          <w:szCs w:val="19"/>
        </w:rPr>
        <w:t>result,</w:t>
      </w:r>
      <w:r>
        <w:rPr>
          <w:rFonts w:ascii="Arial" w:hAnsi="Arial" w:eastAsia="Arial" w:cs="Arial"/>
          <w:spacing w:val="37"/>
          <w:sz w:val="19"/>
          <w:szCs w:val="19"/>
        </w:rPr>
        <w:t xml:space="preserve"> </w:t>
      </w:r>
      <w:r>
        <w:rPr>
          <w:rFonts w:ascii="Arial" w:hAnsi="Arial" w:eastAsia="Arial" w:cs="Arial"/>
          <w:spacing w:val="-8"/>
          <w:sz w:val="19"/>
          <w:szCs w:val="19"/>
        </w:rPr>
        <w:t>count</w:t>
      </w:r>
      <w:r>
        <w:rPr>
          <w:rFonts w:ascii="Arial" w:hAnsi="Arial" w:eastAsia="Arial" w:cs="Arial"/>
          <w:spacing w:val="-9"/>
          <w:sz w:val="19"/>
          <w:szCs w:val="19"/>
        </w:rPr>
        <w:t>less</w:t>
      </w:r>
      <w:r>
        <w:rPr>
          <w:rFonts w:ascii="Arial" w:hAnsi="Arial" w:eastAsia="Arial" w:cs="Arial"/>
          <w:spacing w:val="38"/>
          <w:sz w:val="19"/>
          <w:szCs w:val="19"/>
        </w:rPr>
        <w:t xml:space="preserve"> </w:t>
      </w:r>
      <w:r>
        <w:rPr>
          <w:rFonts w:ascii="Arial" w:hAnsi="Arial" w:eastAsia="Arial" w:cs="Arial"/>
          <w:spacing w:val="-9"/>
          <w:sz w:val="19"/>
          <w:szCs w:val="19"/>
        </w:rPr>
        <w:t>guidelines</w:t>
      </w:r>
      <w:r>
        <w:rPr>
          <w:rFonts w:ascii="Arial" w:hAnsi="Arial" w:eastAsia="Arial" w:cs="Arial"/>
          <w:sz w:val="19"/>
          <w:szCs w:val="19"/>
        </w:rPr>
        <w:t xml:space="preserve"> </w:t>
      </w:r>
      <w:r>
        <w:rPr>
          <w:rFonts w:ascii="Arial" w:hAnsi="Arial" w:eastAsia="Arial" w:cs="Arial"/>
          <w:spacing w:val="-7"/>
          <w:sz w:val="19"/>
          <w:szCs w:val="19"/>
        </w:rPr>
        <w:t>(e.g. ‘Standards</w:t>
      </w:r>
      <w:r>
        <w:rPr>
          <w:rFonts w:ascii="Arial" w:hAnsi="Arial" w:eastAsia="Arial" w:cs="Arial"/>
          <w:spacing w:val="16"/>
          <w:w w:val="101"/>
          <w:sz w:val="19"/>
          <w:szCs w:val="19"/>
        </w:rPr>
        <w:t xml:space="preserve"> </w:t>
      </w:r>
      <w:r>
        <w:rPr>
          <w:rFonts w:ascii="Arial" w:hAnsi="Arial" w:eastAsia="Arial" w:cs="Arial"/>
          <w:spacing w:val="-7"/>
          <w:sz w:val="19"/>
          <w:szCs w:val="19"/>
        </w:rPr>
        <w:t>and</w:t>
      </w:r>
      <w:r>
        <w:rPr>
          <w:rFonts w:ascii="Arial" w:hAnsi="Arial" w:eastAsia="Arial" w:cs="Arial"/>
          <w:spacing w:val="16"/>
          <w:w w:val="101"/>
          <w:sz w:val="19"/>
          <w:szCs w:val="19"/>
        </w:rPr>
        <w:t xml:space="preserve"> </w:t>
      </w:r>
      <w:r>
        <w:rPr>
          <w:rFonts w:ascii="Arial" w:hAnsi="Arial" w:eastAsia="Arial" w:cs="Arial"/>
          <w:spacing w:val="-7"/>
          <w:sz w:val="19"/>
          <w:szCs w:val="19"/>
        </w:rPr>
        <w:t>Guidelines</w:t>
      </w:r>
      <w:r>
        <w:rPr>
          <w:rFonts w:ascii="Arial" w:hAnsi="Arial" w:eastAsia="Arial" w:cs="Arial"/>
          <w:spacing w:val="13"/>
          <w:sz w:val="19"/>
          <w:szCs w:val="19"/>
        </w:rPr>
        <w:t xml:space="preserve"> </w:t>
      </w:r>
      <w:r>
        <w:rPr>
          <w:rFonts w:ascii="Arial" w:hAnsi="Arial" w:eastAsia="Arial" w:cs="Arial"/>
          <w:spacing w:val="-7"/>
          <w:sz w:val="19"/>
          <w:szCs w:val="19"/>
        </w:rPr>
        <w:t>for</w:t>
      </w:r>
      <w:r>
        <w:rPr>
          <w:rFonts w:ascii="Arial" w:hAnsi="Arial" w:eastAsia="Arial" w:cs="Arial"/>
          <w:spacing w:val="17"/>
          <w:w w:val="101"/>
          <w:sz w:val="19"/>
          <w:szCs w:val="19"/>
        </w:rPr>
        <w:t xml:space="preserve"> </w:t>
      </w:r>
      <w:r>
        <w:rPr>
          <w:rFonts w:ascii="Arial" w:hAnsi="Arial" w:eastAsia="Arial" w:cs="Arial"/>
          <w:spacing w:val="-7"/>
          <w:sz w:val="19"/>
          <w:szCs w:val="19"/>
        </w:rPr>
        <w:t>Quali</w:t>
      </w:r>
      <w:r>
        <w:rPr>
          <w:rFonts w:ascii="Arial" w:hAnsi="Arial" w:eastAsia="Arial" w:cs="Arial"/>
          <w:spacing w:val="-8"/>
          <w:sz w:val="19"/>
          <w:szCs w:val="19"/>
        </w:rPr>
        <w:t>ty</w:t>
      </w:r>
      <w:r>
        <w:rPr>
          <w:rFonts w:ascii="Arial" w:hAnsi="Arial" w:eastAsia="Arial" w:cs="Arial"/>
          <w:spacing w:val="15"/>
          <w:sz w:val="19"/>
          <w:szCs w:val="19"/>
        </w:rPr>
        <w:t xml:space="preserve"> </w:t>
      </w:r>
      <w:r>
        <w:rPr>
          <w:rFonts w:ascii="Arial" w:hAnsi="Arial" w:eastAsia="Arial" w:cs="Arial"/>
          <w:spacing w:val="-8"/>
          <w:sz w:val="19"/>
          <w:szCs w:val="19"/>
        </w:rPr>
        <w:t>Assurance</w:t>
      </w:r>
      <w:r>
        <w:rPr>
          <w:rFonts w:ascii="Arial" w:hAnsi="Arial" w:eastAsia="Arial" w:cs="Arial"/>
          <w:spacing w:val="23"/>
          <w:sz w:val="19"/>
          <w:szCs w:val="19"/>
        </w:rPr>
        <w:t xml:space="preserve"> </w:t>
      </w:r>
      <w:r>
        <w:rPr>
          <w:rFonts w:ascii="Arial" w:hAnsi="Arial" w:eastAsia="Arial" w:cs="Arial"/>
          <w:spacing w:val="-8"/>
          <w:sz w:val="19"/>
          <w:szCs w:val="19"/>
        </w:rPr>
        <w:t>in</w:t>
      </w:r>
      <w:r>
        <w:rPr>
          <w:rFonts w:ascii="Arial" w:hAnsi="Arial" w:eastAsia="Arial" w:cs="Arial"/>
          <w:spacing w:val="13"/>
          <w:sz w:val="19"/>
          <w:szCs w:val="19"/>
        </w:rPr>
        <w:t xml:space="preserve"> </w:t>
      </w:r>
      <w:r>
        <w:rPr>
          <w:rFonts w:ascii="Arial" w:hAnsi="Arial" w:eastAsia="Arial" w:cs="Arial"/>
          <w:spacing w:val="-8"/>
          <w:sz w:val="19"/>
          <w:szCs w:val="19"/>
        </w:rPr>
        <w:t>the</w:t>
      </w:r>
      <w:r>
        <w:rPr>
          <w:rFonts w:ascii="Arial" w:hAnsi="Arial" w:eastAsia="Arial" w:cs="Arial"/>
          <w:spacing w:val="24"/>
          <w:sz w:val="19"/>
          <w:szCs w:val="19"/>
        </w:rPr>
        <w:t xml:space="preserve"> </w:t>
      </w:r>
      <w:r>
        <w:rPr>
          <w:rFonts w:ascii="Arial" w:hAnsi="Arial" w:eastAsia="Arial" w:cs="Arial"/>
          <w:spacing w:val="-8"/>
          <w:sz w:val="19"/>
          <w:szCs w:val="19"/>
        </w:rPr>
        <w:t>European</w:t>
      </w:r>
      <w:r>
        <w:rPr>
          <w:rFonts w:ascii="Arial" w:hAnsi="Arial" w:eastAsia="Arial" w:cs="Arial"/>
          <w:spacing w:val="23"/>
          <w:sz w:val="19"/>
          <w:szCs w:val="19"/>
        </w:rPr>
        <w:t xml:space="preserve"> </w:t>
      </w:r>
      <w:r>
        <w:rPr>
          <w:rFonts w:ascii="Arial" w:hAnsi="Arial" w:eastAsia="Arial" w:cs="Arial"/>
          <w:spacing w:val="-8"/>
          <w:sz w:val="19"/>
          <w:szCs w:val="19"/>
        </w:rPr>
        <w:t>Higher</w:t>
      </w:r>
      <w:r>
        <w:rPr>
          <w:rFonts w:ascii="Arial" w:hAnsi="Arial" w:eastAsia="Arial" w:cs="Arial"/>
          <w:spacing w:val="25"/>
          <w:sz w:val="19"/>
          <w:szCs w:val="19"/>
        </w:rPr>
        <w:t xml:space="preserve"> </w:t>
      </w:r>
      <w:r>
        <w:rPr>
          <w:rFonts w:ascii="Arial" w:hAnsi="Arial" w:eastAsia="Arial" w:cs="Arial"/>
          <w:spacing w:val="-8"/>
          <w:sz w:val="19"/>
          <w:szCs w:val="19"/>
        </w:rPr>
        <w:t>Education</w:t>
      </w:r>
      <w:r>
        <w:rPr>
          <w:rFonts w:ascii="Arial" w:hAnsi="Arial" w:eastAsia="Arial" w:cs="Arial"/>
          <w:spacing w:val="14"/>
          <w:w w:val="101"/>
          <w:sz w:val="19"/>
          <w:szCs w:val="19"/>
        </w:rPr>
        <w:t xml:space="preserve"> </w:t>
      </w:r>
      <w:r>
        <w:rPr>
          <w:rFonts w:ascii="Arial" w:hAnsi="Arial" w:eastAsia="Arial" w:cs="Arial"/>
          <w:spacing w:val="-8"/>
          <w:sz w:val="19"/>
          <w:szCs w:val="19"/>
        </w:rPr>
        <w:t>Area’)</w:t>
      </w:r>
      <w:r>
        <w:rPr>
          <w:rFonts w:ascii="Arial" w:hAnsi="Arial" w:eastAsia="Arial" w:cs="Arial"/>
          <w:spacing w:val="16"/>
          <w:sz w:val="19"/>
          <w:szCs w:val="19"/>
        </w:rPr>
        <w:t xml:space="preserve"> </w:t>
      </w:r>
      <w:r>
        <w:rPr>
          <w:rFonts w:ascii="Arial" w:hAnsi="Arial" w:eastAsia="Arial" w:cs="Arial"/>
          <w:spacing w:val="-8"/>
          <w:sz w:val="19"/>
          <w:szCs w:val="19"/>
        </w:rPr>
        <w:t>and</w:t>
      </w:r>
      <w:r>
        <w:rPr>
          <w:rFonts w:ascii="Arial" w:hAnsi="Arial" w:eastAsia="Arial" w:cs="Arial"/>
          <w:sz w:val="19"/>
          <w:szCs w:val="19"/>
        </w:rPr>
        <w:t xml:space="preserve"> </w:t>
      </w:r>
      <w:r>
        <w:rPr>
          <w:rFonts w:ascii="Arial" w:hAnsi="Arial" w:eastAsia="Arial" w:cs="Arial"/>
          <w:spacing w:val="-6"/>
          <w:sz w:val="19"/>
          <w:szCs w:val="19"/>
        </w:rPr>
        <w:t>tools</w:t>
      </w:r>
      <w:r>
        <w:rPr>
          <w:rFonts w:ascii="Arial" w:hAnsi="Arial" w:eastAsia="Arial" w:cs="Arial"/>
          <w:spacing w:val="47"/>
          <w:sz w:val="19"/>
          <w:szCs w:val="19"/>
        </w:rPr>
        <w:t xml:space="preserve"> </w:t>
      </w:r>
      <w:r>
        <w:rPr>
          <w:rFonts w:ascii="Arial" w:hAnsi="Arial" w:eastAsia="Arial" w:cs="Arial"/>
          <w:spacing w:val="-6"/>
          <w:sz w:val="19"/>
          <w:szCs w:val="19"/>
        </w:rPr>
        <w:t>(e.g.</w:t>
      </w:r>
      <w:r>
        <w:rPr>
          <w:rFonts w:ascii="Arial" w:hAnsi="Arial" w:eastAsia="Arial" w:cs="Arial"/>
          <w:spacing w:val="36"/>
          <w:w w:val="101"/>
          <w:sz w:val="19"/>
          <w:szCs w:val="19"/>
        </w:rPr>
        <w:t xml:space="preserve"> </w:t>
      </w:r>
      <w:r>
        <w:rPr>
          <w:rFonts w:ascii="Arial" w:hAnsi="Arial" w:eastAsia="Arial" w:cs="Arial"/>
          <w:spacing w:val="-6"/>
          <w:sz w:val="19"/>
          <w:szCs w:val="19"/>
        </w:rPr>
        <w:t>accreditation,</w:t>
      </w:r>
      <w:r>
        <w:rPr>
          <w:rFonts w:ascii="Arial" w:hAnsi="Arial" w:eastAsia="Arial" w:cs="Arial"/>
          <w:spacing w:val="37"/>
          <w:sz w:val="19"/>
          <w:szCs w:val="19"/>
        </w:rPr>
        <w:t xml:space="preserve"> </w:t>
      </w:r>
      <w:r>
        <w:rPr>
          <w:rFonts w:ascii="Arial" w:hAnsi="Arial" w:eastAsia="Arial" w:cs="Arial"/>
          <w:spacing w:val="-6"/>
          <w:sz w:val="19"/>
          <w:szCs w:val="19"/>
        </w:rPr>
        <w:t>evaluation,</w:t>
      </w:r>
      <w:r>
        <w:rPr>
          <w:rFonts w:ascii="Arial" w:hAnsi="Arial" w:eastAsia="Arial" w:cs="Arial"/>
          <w:spacing w:val="37"/>
          <w:w w:val="101"/>
          <w:sz w:val="19"/>
          <w:szCs w:val="19"/>
        </w:rPr>
        <w:t xml:space="preserve"> </w:t>
      </w:r>
      <w:r>
        <w:rPr>
          <w:rFonts w:ascii="Arial" w:hAnsi="Arial" w:eastAsia="Arial" w:cs="Arial"/>
          <w:spacing w:val="-6"/>
          <w:sz w:val="19"/>
          <w:szCs w:val="19"/>
        </w:rPr>
        <w:t>audit)</w:t>
      </w:r>
      <w:r>
        <w:rPr>
          <w:rFonts w:ascii="Arial" w:hAnsi="Arial" w:eastAsia="Arial" w:cs="Arial"/>
          <w:spacing w:val="44"/>
          <w:sz w:val="19"/>
          <w:szCs w:val="19"/>
        </w:rPr>
        <w:t xml:space="preserve"> </w:t>
      </w:r>
      <w:r>
        <w:rPr>
          <w:rFonts w:ascii="Arial" w:hAnsi="Arial" w:eastAsia="Arial" w:cs="Arial"/>
          <w:spacing w:val="-6"/>
          <w:sz w:val="19"/>
          <w:szCs w:val="19"/>
        </w:rPr>
        <w:t>have</w:t>
      </w:r>
      <w:r>
        <w:rPr>
          <w:rFonts w:ascii="Arial" w:hAnsi="Arial" w:eastAsia="Arial" w:cs="Arial"/>
          <w:spacing w:val="36"/>
          <w:w w:val="101"/>
          <w:sz w:val="19"/>
          <w:szCs w:val="19"/>
        </w:rPr>
        <w:t xml:space="preserve"> </w:t>
      </w:r>
      <w:r>
        <w:rPr>
          <w:rFonts w:ascii="Arial" w:hAnsi="Arial" w:eastAsia="Arial" w:cs="Arial"/>
          <w:spacing w:val="-6"/>
          <w:sz w:val="19"/>
          <w:szCs w:val="19"/>
        </w:rPr>
        <w:t>emerged</w:t>
      </w:r>
      <w:r>
        <w:rPr>
          <w:rFonts w:ascii="Arial" w:hAnsi="Arial" w:eastAsia="Arial" w:cs="Arial"/>
          <w:spacing w:val="36"/>
          <w:sz w:val="19"/>
          <w:szCs w:val="19"/>
        </w:rPr>
        <w:t xml:space="preserve"> </w:t>
      </w:r>
      <w:r>
        <w:rPr>
          <w:rFonts w:ascii="Arial" w:hAnsi="Arial" w:eastAsia="Arial" w:cs="Arial"/>
          <w:spacing w:val="-6"/>
          <w:sz w:val="19"/>
          <w:szCs w:val="19"/>
        </w:rPr>
        <w:t>over</w:t>
      </w:r>
      <w:r>
        <w:rPr>
          <w:rFonts w:ascii="Arial" w:hAnsi="Arial" w:eastAsia="Arial" w:cs="Arial"/>
          <w:spacing w:val="32"/>
          <w:w w:val="101"/>
          <w:sz w:val="19"/>
          <w:szCs w:val="19"/>
        </w:rPr>
        <w:t xml:space="preserve"> </w:t>
      </w:r>
      <w:r>
        <w:rPr>
          <w:rFonts w:ascii="Arial" w:hAnsi="Arial" w:eastAsia="Arial" w:cs="Arial"/>
          <w:spacing w:val="-6"/>
          <w:sz w:val="19"/>
          <w:szCs w:val="19"/>
        </w:rPr>
        <w:t>the</w:t>
      </w:r>
      <w:r>
        <w:rPr>
          <w:rFonts w:ascii="Arial" w:hAnsi="Arial" w:eastAsia="Arial" w:cs="Arial"/>
          <w:spacing w:val="43"/>
          <w:w w:val="101"/>
          <w:sz w:val="19"/>
          <w:szCs w:val="19"/>
        </w:rPr>
        <w:t xml:space="preserve"> </w:t>
      </w:r>
      <w:r>
        <w:rPr>
          <w:rFonts w:ascii="Arial" w:hAnsi="Arial" w:eastAsia="Arial" w:cs="Arial"/>
          <w:spacing w:val="-6"/>
          <w:sz w:val="19"/>
          <w:szCs w:val="19"/>
        </w:rPr>
        <w:t>last</w:t>
      </w:r>
      <w:r>
        <w:rPr>
          <w:rFonts w:ascii="Arial" w:hAnsi="Arial" w:eastAsia="Arial" w:cs="Arial"/>
          <w:spacing w:val="32"/>
          <w:sz w:val="19"/>
          <w:szCs w:val="19"/>
        </w:rPr>
        <w:t xml:space="preserve"> </w:t>
      </w:r>
      <w:r>
        <w:rPr>
          <w:rFonts w:ascii="Arial" w:hAnsi="Arial" w:eastAsia="Arial" w:cs="Arial"/>
          <w:spacing w:val="-6"/>
          <w:sz w:val="19"/>
          <w:szCs w:val="19"/>
        </w:rPr>
        <w:t>years,</w:t>
      </w:r>
      <w:r>
        <w:rPr>
          <w:rFonts w:ascii="Arial" w:hAnsi="Arial" w:eastAsia="Arial" w:cs="Arial"/>
          <w:spacing w:val="37"/>
          <w:sz w:val="19"/>
          <w:szCs w:val="19"/>
        </w:rPr>
        <w:t xml:space="preserve"> </w:t>
      </w:r>
      <w:r>
        <w:rPr>
          <w:rFonts w:ascii="Arial" w:hAnsi="Arial" w:eastAsia="Arial" w:cs="Arial"/>
          <w:spacing w:val="-6"/>
          <w:sz w:val="19"/>
          <w:szCs w:val="19"/>
        </w:rPr>
        <w:t>aiming</w:t>
      </w:r>
      <w:r>
        <w:rPr>
          <w:rFonts w:ascii="Arial" w:hAnsi="Arial" w:eastAsia="Arial" w:cs="Arial"/>
          <w:spacing w:val="34"/>
          <w:sz w:val="19"/>
          <w:szCs w:val="19"/>
        </w:rPr>
        <w:t xml:space="preserve"> </w:t>
      </w:r>
      <w:r>
        <w:rPr>
          <w:rFonts w:ascii="Arial" w:hAnsi="Arial" w:eastAsia="Arial" w:cs="Arial"/>
          <w:spacing w:val="-6"/>
          <w:sz w:val="19"/>
          <w:szCs w:val="19"/>
        </w:rPr>
        <w:t>to</w:t>
      </w:r>
      <w:r>
        <w:rPr>
          <w:rFonts w:ascii="Arial" w:hAnsi="Arial" w:eastAsia="Arial" w:cs="Arial"/>
          <w:spacing w:val="36"/>
          <w:w w:val="101"/>
          <w:sz w:val="19"/>
          <w:szCs w:val="19"/>
        </w:rPr>
        <w:t xml:space="preserve"> </w:t>
      </w:r>
      <w:r>
        <w:rPr>
          <w:rFonts w:ascii="Arial" w:hAnsi="Arial" w:eastAsia="Arial" w:cs="Arial"/>
          <w:spacing w:val="-6"/>
          <w:sz w:val="19"/>
          <w:szCs w:val="19"/>
        </w:rPr>
        <w:t>support</w:t>
      </w:r>
      <w:r>
        <w:rPr>
          <w:rFonts w:ascii="Arial" w:hAnsi="Arial" w:eastAsia="Arial" w:cs="Arial"/>
          <w:sz w:val="19"/>
          <w:szCs w:val="19"/>
        </w:rPr>
        <w:t xml:space="preserve"> </w:t>
      </w:r>
      <w:r>
        <w:rPr>
          <w:rFonts w:ascii="Arial" w:hAnsi="Arial" w:eastAsia="Arial" w:cs="Arial"/>
          <w:spacing w:val="-7"/>
          <w:sz w:val="19"/>
          <w:szCs w:val="19"/>
        </w:rPr>
        <w:t>HEIs</w:t>
      </w:r>
      <w:r>
        <w:rPr>
          <w:rFonts w:ascii="Arial" w:hAnsi="Arial" w:eastAsia="Arial" w:cs="Arial"/>
          <w:spacing w:val="20"/>
          <w:sz w:val="19"/>
          <w:szCs w:val="19"/>
        </w:rPr>
        <w:t xml:space="preserve"> </w:t>
      </w:r>
      <w:r>
        <w:rPr>
          <w:rFonts w:ascii="Arial" w:hAnsi="Arial" w:eastAsia="Arial" w:cs="Arial"/>
          <w:spacing w:val="-7"/>
          <w:sz w:val="19"/>
          <w:szCs w:val="19"/>
        </w:rPr>
        <w:t>in</w:t>
      </w:r>
      <w:r>
        <w:rPr>
          <w:rFonts w:ascii="Arial" w:hAnsi="Arial" w:eastAsia="Arial" w:cs="Arial"/>
          <w:spacing w:val="8"/>
          <w:sz w:val="19"/>
          <w:szCs w:val="19"/>
        </w:rPr>
        <w:t xml:space="preserve"> </w:t>
      </w:r>
      <w:r>
        <w:rPr>
          <w:rFonts w:ascii="Arial" w:hAnsi="Arial" w:eastAsia="Arial" w:cs="Arial"/>
          <w:spacing w:val="-7"/>
          <w:sz w:val="19"/>
          <w:szCs w:val="19"/>
        </w:rPr>
        <w:t>their</w:t>
      </w:r>
      <w:r>
        <w:rPr>
          <w:rFonts w:ascii="Arial" w:hAnsi="Arial" w:eastAsia="Arial" w:cs="Arial"/>
          <w:spacing w:val="12"/>
          <w:sz w:val="19"/>
          <w:szCs w:val="19"/>
        </w:rPr>
        <w:t xml:space="preserve"> </w:t>
      </w:r>
      <w:r>
        <w:rPr>
          <w:rFonts w:ascii="Arial" w:hAnsi="Arial" w:eastAsia="Arial" w:cs="Arial"/>
          <w:spacing w:val="-7"/>
          <w:sz w:val="19"/>
          <w:szCs w:val="19"/>
        </w:rPr>
        <w:t>strive for</w:t>
      </w:r>
      <w:r>
        <w:rPr>
          <w:rFonts w:ascii="Arial" w:hAnsi="Arial" w:eastAsia="Arial" w:cs="Arial"/>
          <w:spacing w:val="13"/>
          <w:sz w:val="19"/>
          <w:szCs w:val="19"/>
        </w:rPr>
        <w:t xml:space="preserve"> </w:t>
      </w:r>
      <w:r>
        <w:rPr>
          <w:rFonts w:ascii="Arial" w:hAnsi="Arial" w:eastAsia="Arial" w:cs="Arial"/>
          <w:spacing w:val="-7"/>
          <w:sz w:val="19"/>
          <w:szCs w:val="19"/>
        </w:rPr>
        <w:t>autonomous</w:t>
      </w:r>
      <w:r>
        <w:rPr>
          <w:rFonts w:ascii="Arial" w:hAnsi="Arial" w:eastAsia="Arial" w:cs="Arial"/>
          <w:spacing w:val="13"/>
          <w:w w:val="101"/>
          <w:sz w:val="19"/>
          <w:szCs w:val="19"/>
        </w:rPr>
        <w:t xml:space="preserve"> </w:t>
      </w:r>
      <w:r>
        <w:rPr>
          <w:rFonts w:ascii="Arial" w:hAnsi="Arial" w:eastAsia="Arial" w:cs="Arial"/>
          <w:spacing w:val="-7"/>
          <w:sz w:val="19"/>
          <w:szCs w:val="19"/>
        </w:rPr>
        <w:t>quality</w:t>
      </w:r>
      <w:r>
        <w:rPr>
          <w:rFonts w:ascii="Arial" w:hAnsi="Arial" w:eastAsia="Arial" w:cs="Arial"/>
          <w:spacing w:val="12"/>
          <w:sz w:val="19"/>
          <w:szCs w:val="19"/>
        </w:rPr>
        <w:t xml:space="preserve"> </w:t>
      </w:r>
      <w:r>
        <w:rPr>
          <w:rFonts w:ascii="Arial" w:hAnsi="Arial" w:eastAsia="Arial" w:cs="Arial"/>
          <w:spacing w:val="-7"/>
          <w:sz w:val="19"/>
          <w:szCs w:val="19"/>
        </w:rPr>
        <w:t>assurance</w:t>
      </w:r>
      <w:r>
        <w:rPr>
          <w:rFonts w:ascii="Arial" w:hAnsi="Arial" w:eastAsia="Arial" w:cs="Arial"/>
          <w:spacing w:val="14"/>
          <w:sz w:val="19"/>
          <w:szCs w:val="19"/>
        </w:rPr>
        <w:t xml:space="preserve"> </w:t>
      </w:r>
      <w:r>
        <w:rPr>
          <w:rFonts w:ascii="Arial" w:hAnsi="Arial" w:eastAsia="Arial" w:cs="Arial"/>
          <w:spacing w:val="-7"/>
          <w:sz w:val="19"/>
          <w:szCs w:val="19"/>
        </w:rPr>
        <w:t>and</w:t>
      </w:r>
      <w:r>
        <w:rPr>
          <w:rFonts w:ascii="Arial" w:hAnsi="Arial" w:eastAsia="Arial" w:cs="Arial"/>
          <w:spacing w:val="11"/>
          <w:sz w:val="19"/>
          <w:szCs w:val="19"/>
        </w:rPr>
        <w:t xml:space="preserve"> </w:t>
      </w:r>
      <w:r>
        <w:rPr>
          <w:rFonts w:ascii="Arial" w:hAnsi="Arial" w:eastAsia="Arial" w:cs="Arial"/>
          <w:spacing w:val="-7"/>
          <w:sz w:val="19"/>
          <w:szCs w:val="19"/>
        </w:rPr>
        <w:t>development</w:t>
      </w:r>
      <w:r>
        <w:rPr>
          <w:rFonts w:ascii="Arial" w:hAnsi="Arial" w:eastAsia="Arial" w:cs="Arial"/>
          <w:spacing w:val="17"/>
          <w:w w:val="101"/>
          <w:sz w:val="19"/>
          <w:szCs w:val="19"/>
        </w:rPr>
        <w:t xml:space="preserve"> </w:t>
      </w:r>
      <w:r>
        <w:rPr>
          <w:rFonts w:ascii="Arial" w:hAnsi="Arial" w:eastAsia="Arial" w:cs="Arial"/>
          <w:spacing w:val="-7"/>
          <w:sz w:val="19"/>
          <w:szCs w:val="19"/>
        </w:rPr>
        <w:t xml:space="preserve">(ESG </w:t>
      </w:r>
      <w:r>
        <w:fldChar w:fldCharType="begin"/>
      </w:r>
      <w:r>
        <w:instrText xml:space="preserve"> HYPERLINK \l "bookmark7" </w:instrText>
      </w:r>
      <w:r>
        <w:fldChar w:fldCharType="separate"/>
      </w:r>
      <w:r>
        <w:rPr>
          <w:rFonts w:ascii="Arial" w:hAnsi="Arial" w:eastAsia="Arial" w:cs="Arial"/>
          <w:color w:val="000084"/>
          <w:spacing w:val="-7"/>
          <w:sz w:val="19"/>
          <w:szCs w:val="19"/>
        </w:rPr>
        <w:t>2015</w:t>
      </w:r>
      <w:r>
        <w:rPr>
          <w:rFonts w:ascii="Arial" w:hAnsi="Arial" w:eastAsia="Arial" w:cs="Arial"/>
          <w:color w:val="000084"/>
          <w:spacing w:val="-7"/>
          <w:sz w:val="19"/>
          <w:szCs w:val="19"/>
        </w:rPr>
        <w:fldChar w:fldCharType="end"/>
      </w:r>
      <w:r>
        <w:rPr>
          <w:rFonts w:ascii="Arial" w:hAnsi="Arial" w:eastAsia="Arial" w:cs="Arial"/>
          <w:spacing w:val="-7"/>
          <w:sz w:val="19"/>
          <w:szCs w:val="19"/>
        </w:rPr>
        <w:t>).</w:t>
      </w:r>
    </w:p>
    <w:p>
      <w:pPr>
        <w:spacing w:before="53" w:line="254" w:lineRule="auto"/>
        <w:ind w:left="3" w:firstLine="250"/>
        <w:jc w:val="both"/>
        <w:rPr>
          <w:rFonts w:ascii="Arial" w:hAnsi="Arial" w:eastAsia="Arial" w:cs="Arial"/>
          <w:sz w:val="19"/>
          <w:szCs w:val="19"/>
        </w:rPr>
      </w:pPr>
      <w:r>
        <w:rPr>
          <w:rFonts w:ascii="Arial" w:hAnsi="Arial" w:eastAsia="Arial" w:cs="Arial"/>
          <w:spacing w:val="-6"/>
          <w:sz w:val="19"/>
          <w:szCs w:val="19"/>
        </w:rPr>
        <w:t>Extensive</w:t>
      </w:r>
      <w:r>
        <w:rPr>
          <w:rFonts w:ascii="Arial" w:hAnsi="Arial" w:eastAsia="Arial" w:cs="Arial"/>
          <w:spacing w:val="10"/>
          <w:sz w:val="19"/>
          <w:szCs w:val="19"/>
        </w:rPr>
        <w:t xml:space="preserve"> </w:t>
      </w:r>
      <w:r>
        <w:rPr>
          <w:rFonts w:ascii="Arial" w:hAnsi="Arial" w:eastAsia="Arial" w:cs="Arial"/>
          <w:spacing w:val="-6"/>
          <w:sz w:val="19"/>
          <w:szCs w:val="19"/>
        </w:rPr>
        <w:t>deb</w:t>
      </w:r>
      <w:r>
        <w:rPr>
          <w:rFonts w:ascii="Arial" w:hAnsi="Arial" w:eastAsia="Arial" w:cs="Arial"/>
          <w:spacing w:val="-5"/>
          <w:sz w:val="19"/>
          <w:szCs w:val="19"/>
        </w:rPr>
        <w:t>ates</w:t>
      </w:r>
      <w:r>
        <w:rPr>
          <w:rFonts w:ascii="Arial" w:hAnsi="Arial" w:eastAsia="Arial" w:cs="Arial"/>
          <w:spacing w:val="10"/>
          <w:sz w:val="19"/>
          <w:szCs w:val="19"/>
        </w:rPr>
        <w:t xml:space="preserve"> </w:t>
      </w:r>
      <w:r>
        <w:rPr>
          <w:rFonts w:ascii="Arial" w:hAnsi="Arial" w:eastAsia="Arial" w:cs="Arial"/>
          <w:spacing w:val="-5"/>
          <w:sz w:val="19"/>
          <w:szCs w:val="19"/>
        </w:rPr>
        <w:t>on</w:t>
      </w:r>
      <w:r>
        <w:rPr>
          <w:rFonts w:ascii="Arial" w:hAnsi="Arial" w:eastAsia="Arial" w:cs="Arial"/>
          <w:spacing w:val="10"/>
          <w:sz w:val="19"/>
          <w:szCs w:val="19"/>
        </w:rPr>
        <w:t xml:space="preserve"> </w:t>
      </w:r>
      <w:r>
        <w:rPr>
          <w:rFonts w:ascii="Arial" w:hAnsi="Arial" w:eastAsia="Arial" w:cs="Arial"/>
          <w:spacing w:val="-5"/>
          <w:sz w:val="19"/>
          <w:szCs w:val="19"/>
        </w:rPr>
        <w:t>quality</w:t>
      </w:r>
      <w:r>
        <w:rPr>
          <w:rFonts w:ascii="Arial" w:hAnsi="Arial" w:eastAsia="Arial" w:cs="Arial"/>
          <w:spacing w:val="10"/>
          <w:sz w:val="19"/>
          <w:szCs w:val="19"/>
        </w:rPr>
        <w:t xml:space="preserve"> </w:t>
      </w:r>
      <w:r>
        <w:rPr>
          <w:rFonts w:ascii="Arial" w:hAnsi="Arial" w:eastAsia="Arial" w:cs="Arial"/>
          <w:spacing w:val="-5"/>
          <w:sz w:val="19"/>
          <w:szCs w:val="19"/>
        </w:rPr>
        <w:t>as</w:t>
      </w:r>
      <w:r>
        <w:rPr>
          <w:rFonts w:ascii="Arial" w:hAnsi="Arial" w:eastAsia="Arial" w:cs="Arial"/>
          <w:spacing w:val="-6"/>
          <w:sz w:val="19"/>
          <w:szCs w:val="19"/>
        </w:rPr>
        <w:t>surance</w:t>
      </w:r>
      <w:r>
        <w:rPr>
          <w:rFonts w:ascii="Arial" w:hAnsi="Arial" w:eastAsia="Arial" w:cs="Arial"/>
          <w:spacing w:val="10"/>
          <w:sz w:val="19"/>
          <w:szCs w:val="19"/>
        </w:rPr>
        <w:t xml:space="preserve"> </w:t>
      </w:r>
      <w:r>
        <w:rPr>
          <w:rFonts w:ascii="Arial" w:hAnsi="Arial" w:eastAsia="Arial" w:cs="Arial"/>
          <w:spacing w:val="-6"/>
          <w:sz w:val="19"/>
          <w:szCs w:val="19"/>
        </w:rPr>
        <w:t>served</w:t>
      </w:r>
      <w:r>
        <w:rPr>
          <w:rFonts w:ascii="Arial" w:hAnsi="Arial" w:eastAsia="Arial" w:cs="Arial"/>
          <w:spacing w:val="11"/>
          <w:sz w:val="19"/>
          <w:szCs w:val="19"/>
        </w:rPr>
        <w:t xml:space="preserve"> </w:t>
      </w:r>
      <w:r>
        <w:rPr>
          <w:rFonts w:ascii="Arial" w:hAnsi="Arial" w:eastAsia="Arial" w:cs="Arial"/>
          <w:spacing w:val="-6"/>
          <w:sz w:val="19"/>
          <w:szCs w:val="19"/>
        </w:rPr>
        <w:t>as</w:t>
      </w:r>
      <w:r>
        <w:rPr>
          <w:rFonts w:ascii="Arial" w:hAnsi="Arial" w:eastAsia="Arial" w:cs="Arial"/>
          <w:spacing w:val="9"/>
          <w:sz w:val="19"/>
          <w:szCs w:val="19"/>
        </w:rPr>
        <w:t xml:space="preserve"> </w:t>
      </w:r>
      <w:r>
        <w:rPr>
          <w:rFonts w:ascii="Arial" w:hAnsi="Arial" w:eastAsia="Arial" w:cs="Arial"/>
          <w:spacing w:val="-6"/>
          <w:sz w:val="19"/>
          <w:szCs w:val="19"/>
        </w:rPr>
        <w:t>a starting</w:t>
      </w:r>
      <w:r>
        <w:rPr>
          <w:rFonts w:ascii="Arial" w:hAnsi="Arial" w:eastAsia="Arial" w:cs="Arial"/>
          <w:spacing w:val="14"/>
          <w:w w:val="101"/>
          <w:sz w:val="19"/>
          <w:szCs w:val="19"/>
        </w:rPr>
        <w:t xml:space="preserve"> </w:t>
      </w:r>
      <w:r>
        <w:rPr>
          <w:rFonts w:ascii="Arial" w:hAnsi="Arial" w:eastAsia="Arial" w:cs="Arial"/>
          <w:spacing w:val="-6"/>
          <w:sz w:val="19"/>
          <w:szCs w:val="19"/>
        </w:rPr>
        <w:t>point for</w:t>
      </w:r>
      <w:r>
        <w:rPr>
          <w:rFonts w:ascii="Arial" w:hAnsi="Arial" w:eastAsia="Arial" w:cs="Arial"/>
          <w:spacing w:val="15"/>
          <w:w w:val="101"/>
          <w:sz w:val="19"/>
          <w:szCs w:val="19"/>
        </w:rPr>
        <w:t xml:space="preserve"> </w:t>
      </w:r>
      <w:r>
        <w:rPr>
          <w:rFonts w:ascii="Arial" w:hAnsi="Arial" w:eastAsia="Arial" w:cs="Arial"/>
          <w:spacing w:val="-6"/>
          <w:sz w:val="19"/>
          <w:szCs w:val="19"/>
        </w:rPr>
        <w:t>bringing</w:t>
      </w:r>
      <w:r>
        <w:rPr>
          <w:rFonts w:ascii="Arial" w:hAnsi="Arial" w:eastAsia="Arial" w:cs="Arial"/>
          <w:spacing w:val="15"/>
          <w:w w:val="101"/>
          <w:sz w:val="19"/>
          <w:szCs w:val="19"/>
        </w:rPr>
        <w:t xml:space="preserve"> </w:t>
      </w:r>
      <w:r>
        <w:rPr>
          <w:rFonts w:ascii="Arial" w:hAnsi="Arial" w:eastAsia="Arial" w:cs="Arial"/>
          <w:spacing w:val="-6"/>
          <w:sz w:val="19"/>
          <w:szCs w:val="19"/>
        </w:rPr>
        <w:t>up the</w:t>
      </w:r>
      <w:r>
        <w:rPr>
          <w:rFonts w:ascii="Arial" w:hAnsi="Arial" w:eastAsia="Arial" w:cs="Arial"/>
          <w:spacing w:val="9"/>
          <w:sz w:val="19"/>
          <w:szCs w:val="19"/>
        </w:rPr>
        <w:t xml:space="preserve"> </w:t>
      </w:r>
      <w:r>
        <w:rPr>
          <w:rFonts w:ascii="Arial" w:hAnsi="Arial" w:eastAsia="Arial" w:cs="Arial"/>
          <w:spacing w:val="-6"/>
          <w:sz w:val="19"/>
          <w:szCs w:val="19"/>
        </w:rPr>
        <w:t>concept</w:t>
      </w:r>
      <w:r>
        <w:rPr>
          <w:rFonts w:ascii="Arial" w:hAnsi="Arial" w:eastAsia="Arial" w:cs="Arial"/>
          <w:spacing w:val="11"/>
          <w:sz w:val="19"/>
          <w:szCs w:val="19"/>
        </w:rPr>
        <w:t xml:space="preserve"> </w:t>
      </w:r>
      <w:r>
        <w:rPr>
          <w:rFonts w:ascii="Arial" w:hAnsi="Arial" w:eastAsia="Arial" w:cs="Arial"/>
          <w:spacing w:val="-6"/>
          <w:sz w:val="19"/>
          <w:szCs w:val="19"/>
        </w:rPr>
        <w:t>o</w:t>
      </w:r>
      <w:r>
        <w:rPr>
          <w:rFonts w:ascii="Arial" w:hAnsi="Arial" w:eastAsia="Arial" w:cs="Arial"/>
          <w:spacing w:val="6"/>
          <w:sz w:val="19"/>
          <w:szCs w:val="19"/>
        </w:rPr>
        <w:t>f</w:t>
      </w:r>
      <w:r>
        <w:rPr>
          <w:rFonts w:ascii="Arial" w:hAnsi="Arial" w:eastAsia="Arial" w:cs="Arial"/>
          <w:sz w:val="19"/>
          <w:szCs w:val="19"/>
        </w:rPr>
        <w:t xml:space="preserve"> </w:t>
      </w:r>
      <w:r>
        <w:rPr>
          <w:rFonts w:ascii="Arial" w:hAnsi="Arial" w:eastAsia="Arial" w:cs="Arial"/>
          <w:spacing w:val="-5"/>
          <w:sz w:val="19"/>
          <w:szCs w:val="19"/>
        </w:rPr>
        <w:t>quality culture</w:t>
      </w:r>
      <w:r>
        <w:rPr>
          <w:rFonts w:ascii="Arial" w:hAnsi="Arial" w:eastAsia="Arial" w:cs="Arial"/>
          <w:spacing w:val="14"/>
          <w:sz w:val="19"/>
          <w:szCs w:val="19"/>
        </w:rPr>
        <w:t xml:space="preserve"> </w:t>
      </w:r>
      <w:r>
        <w:rPr>
          <w:rFonts w:ascii="Arial" w:hAnsi="Arial" w:eastAsia="Arial" w:cs="Arial"/>
          <w:spacing w:val="-5"/>
          <w:sz w:val="19"/>
          <w:szCs w:val="19"/>
        </w:rPr>
        <w:t xml:space="preserve">(EUA </w:t>
      </w:r>
      <w:r>
        <w:fldChar w:fldCharType="begin"/>
      </w:r>
      <w:r>
        <w:instrText xml:space="preserve"> HYPERLINK \l "bookmark8" </w:instrText>
      </w:r>
      <w:r>
        <w:fldChar w:fldCharType="separate"/>
      </w:r>
      <w:r>
        <w:rPr>
          <w:rFonts w:ascii="Arial" w:hAnsi="Arial" w:eastAsia="Arial" w:cs="Arial"/>
          <w:color w:val="000084"/>
          <w:spacing w:val="-5"/>
          <w:sz w:val="19"/>
          <w:szCs w:val="19"/>
        </w:rPr>
        <w:t>2006</w:t>
      </w:r>
      <w:r>
        <w:rPr>
          <w:rFonts w:ascii="Arial" w:hAnsi="Arial" w:eastAsia="Arial" w:cs="Arial"/>
          <w:color w:val="000084"/>
          <w:spacing w:val="-5"/>
          <w:sz w:val="19"/>
          <w:szCs w:val="19"/>
        </w:rPr>
        <w:fldChar w:fldCharType="end"/>
      </w:r>
      <w:r>
        <w:rPr>
          <w:rFonts w:ascii="Arial" w:hAnsi="Arial" w:eastAsia="Arial" w:cs="Arial"/>
          <w:spacing w:val="-5"/>
          <w:sz w:val="19"/>
          <w:szCs w:val="19"/>
        </w:rPr>
        <w:t>). Quality culture extends</w:t>
      </w:r>
      <w:r>
        <w:rPr>
          <w:rFonts w:ascii="Arial" w:hAnsi="Arial" w:eastAsia="Arial" w:cs="Arial"/>
          <w:spacing w:val="3"/>
          <w:sz w:val="19"/>
          <w:szCs w:val="19"/>
        </w:rPr>
        <w:t xml:space="preserve"> </w:t>
      </w:r>
      <w:r>
        <w:rPr>
          <w:rFonts w:ascii="Arial" w:hAnsi="Arial" w:eastAsia="Arial" w:cs="Arial"/>
          <w:spacing w:val="-5"/>
          <w:sz w:val="19"/>
          <w:szCs w:val="19"/>
        </w:rPr>
        <w:t>the</w:t>
      </w:r>
      <w:r>
        <w:rPr>
          <w:rFonts w:ascii="Arial" w:hAnsi="Arial" w:eastAsia="Arial" w:cs="Arial"/>
          <w:spacing w:val="12"/>
          <w:sz w:val="19"/>
          <w:szCs w:val="19"/>
        </w:rPr>
        <w:t xml:space="preserve"> </w:t>
      </w:r>
      <w:r>
        <w:rPr>
          <w:rFonts w:ascii="Arial" w:hAnsi="Arial" w:eastAsia="Arial" w:cs="Arial"/>
          <w:spacing w:val="-5"/>
          <w:sz w:val="19"/>
          <w:szCs w:val="19"/>
        </w:rPr>
        <w:t>rather</w:t>
      </w:r>
      <w:r>
        <w:rPr>
          <w:rFonts w:ascii="Arial" w:hAnsi="Arial" w:eastAsia="Arial" w:cs="Arial"/>
          <w:spacing w:val="3"/>
          <w:sz w:val="19"/>
          <w:szCs w:val="19"/>
        </w:rPr>
        <w:t xml:space="preserve"> </w:t>
      </w:r>
      <w:r>
        <w:rPr>
          <w:rFonts w:ascii="Arial" w:hAnsi="Arial" w:eastAsia="Arial" w:cs="Arial"/>
          <w:spacing w:val="-5"/>
          <w:sz w:val="19"/>
          <w:szCs w:val="19"/>
        </w:rPr>
        <w:t>technocratic</w:t>
      </w:r>
      <w:r>
        <w:rPr>
          <w:rFonts w:ascii="Arial" w:hAnsi="Arial" w:eastAsia="Arial" w:cs="Arial"/>
          <w:spacing w:val="2"/>
          <w:sz w:val="19"/>
          <w:szCs w:val="19"/>
        </w:rPr>
        <w:t xml:space="preserve"> </w:t>
      </w:r>
      <w:r>
        <w:rPr>
          <w:rFonts w:ascii="Arial" w:hAnsi="Arial" w:eastAsia="Arial" w:cs="Arial"/>
          <w:spacing w:val="-5"/>
          <w:sz w:val="19"/>
          <w:szCs w:val="19"/>
        </w:rPr>
        <w:t>view</w:t>
      </w:r>
      <w:r>
        <w:rPr>
          <w:rFonts w:ascii="Arial" w:hAnsi="Arial" w:eastAsia="Arial" w:cs="Arial"/>
          <w:spacing w:val="7"/>
          <w:sz w:val="19"/>
          <w:szCs w:val="19"/>
        </w:rPr>
        <w:t xml:space="preserve"> </w:t>
      </w:r>
      <w:r>
        <w:rPr>
          <w:rFonts w:ascii="Arial" w:hAnsi="Arial" w:eastAsia="Arial" w:cs="Arial"/>
          <w:spacing w:val="-5"/>
          <w:sz w:val="19"/>
          <w:szCs w:val="19"/>
        </w:rPr>
        <w:t>of q</w:t>
      </w:r>
      <w:r>
        <w:rPr>
          <w:rFonts w:ascii="Arial" w:hAnsi="Arial" w:eastAsia="Arial" w:cs="Arial"/>
          <w:spacing w:val="-6"/>
          <w:sz w:val="19"/>
          <w:szCs w:val="19"/>
        </w:rPr>
        <w:t>uality</w:t>
      </w:r>
      <w:r>
        <w:rPr>
          <w:rFonts w:ascii="Arial" w:hAnsi="Arial" w:eastAsia="Arial" w:cs="Arial"/>
          <w:spacing w:val="7"/>
          <w:sz w:val="19"/>
          <w:szCs w:val="19"/>
        </w:rPr>
        <w:t xml:space="preserve"> </w:t>
      </w:r>
      <w:r>
        <w:rPr>
          <w:rFonts w:ascii="Arial" w:hAnsi="Arial" w:eastAsia="Arial" w:cs="Arial"/>
          <w:spacing w:val="-6"/>
          <w:sz w:val="19"/>
          <w:szCs w:val="19"/>
        </w:rPr>
        <w:t>assurance</w:t>
      </w:r>
      <w:r>
        <w:rPr>
          <w:rFonts w:ascii="Arial" w:hAnsi="Arial" w:eastAsia="Arial" w:cs="Arial"/>
          <w:sz w:val="19"/>
          <w:szCs w:val="19"/>
        </w:rPr>
        <w:t xml:space="preserve"> </w:t>
      </w:r>
      <w:r>
        <w:rPr>
          <w:rFonts w:ascii="Arial" w:hAnsi="Arial" w:eastAsia="Arial" w:cs="Arial"/>
          <w:spacing w:val="-4"/>
          <w:sz w:val="19"/>
          <w:szCs w:val="19"/>
        </w:rPr>
        <w:t>by emphasizing the</w:t>
      </w:r>
      <w:r>
        <w:rPr>
          <w:rFonts w:ascii="Arial" w:hAnsi="Arial" w:eastAsia="Arial" w:cs="Arial"/>
          <w:spacing w:val="21"/>
          <w:sz w:val="19"/>
          <w:szCs w:val="19"/>
        </w:rPr>
        <w:t xml:space="preserve"> </w:t>
      </w:r>
      <w:r>
        <w:rPr>
          <w:rFonts w:ascii="Arial" w:hAnsi="Arial" w:eastAsia="Arial" w:cs="Arial"/>
          <w:spacing w:val="-4"/>
          <w:sz w:val="19"/>
          <w:szCs w:val="19"/>
        </w:rPr>
        <w:t>importance of an</w:t>
      </w:r>
      <w:r>
        <w:rPr>
          <w:rFonts w:ascii="Arial" w:hAnsi="Arial" w:eastAsia="Arial" w:cs="Arial"/>
          <w:spacing w:val="10"/>
          <w:sz w:val="19"/>
          <w:szCs w:val="19"/>
        </w:rPr>
        <w:t xml:space="preserve"> </w:t>
      </w:r>
      <w:r>
        <w:rPr>
          <w:rFonts w:ascii="Arial" w:hAnsi="Arial" w:eastAsia="Arial" w:cs="Arial"/>
          <w:spacing w:val="-4"/>
          <w:sz w:val="19"/>
          <w:szCs w:val="19"/>
        </w:rPr>
        <w:t>organizational-psychological</w:t>
      </w:r>
      <w:r>
        <w:rPr>
          <w:rFonts w:ascii="Arial" w:hAnsi="Arial" w:eastAsia="Arial" w:cs="Arial"/>
          <w:spacing w:val="16"/>
          <w:w w:val="101"/>
          <w:sz w:val="19"/>
          <w:szCs w:val="19"/>
        </w:rPr>
        <w:t xml:space="preserve"> </w:t>
      </w:r>
      <w:r>
        <w:rPr>
          <w:rFonts w:ascii="Arial" w:hAnsi="Arial" w:eastAsia="Arial" w:cs="Arial"/>
          <w:spacing w:val="-4"/>
          <w:sz w:val="19"/>
          <w:szCs w:val="19"/>
        </w:rPr>
        <w:t>perspective</w:t>
      </w:r>
      <w:r>
        <w:rPr>
          <w:rFonts w:ascii="Arial" w:hAnsi="Arial" w:eastAsia="Arial" w:cs="Arial"/>
          <w:spacing w:val="14"/>
          <w:sz w:val="19"/>
          <w:szCs w:val="19"/>
        </w:rPr>
        <w:t xml:space="preserve"> </w:t>
      </w:r>
      <w:r>
        <w:rPr>
          <w:rFonts w:ascii="Arial" w:hAnsi="Arial" w:eastAsia="Arial" w:cs="Arial"/>
          <w:spacing w:val="-4"/>
          <w:sz w:val="19"/>
          <w:szCs w:val="19"/>
        </w:rPr>
        <w:t>in addition</w:t>
      </w:r>
      <w:r>
        <w:rPr>
          <w:rFonts w:ascii="Arial" w:hAnsi="Arial" w:eastAsia="Arial" w:cs="Arial"/>
          <w:spacing w:val="7"/>
          <w:sz w:val="19"/>
          <w:szCs w:val="19"/>
        </w:rPr>
        <w:t xml:space="preserve"> </w:t>
      </w:r>
      <w:r>
        <w:rPr>
          <w:rFonts w:ascii="Arial" w:hAnsi="Arial" w:eastAsia="Arial" w:cs="Arial"/>
          <w:spacing w:val="-4"/>
          <w:sz w:val="19"/>
          <w:szCs w:val="19"/>
        </w:rPr>
        <w:t>to</w:t>
      </w:r>
      <w:r>
        <w:rPr>
          <w:rFonts w:ascii="Arial" w:hAnsi="Arial" w:eastAsia="Arial" w:cs="Arial"/>
          <w:spacing w:val="10"/>
          <w:sz w:val="19"/>
          <w:szCs w:val="19"/>
        </w:rPr>
        <w:t xml:space="preserve"> </w:t>
      </w:r>
      <w:r>
        <w:rPr>
          <w:rFonts w:ascii="Arial" w:hAnsi="Arial" w:eastAsia="Arial" w:cs="Arial"/>
          <w:spacing w:val="-4"/>
          <w:sz w:val="19"/>
          <w:szCs w:val="19"/>
        </w:rPr>
        <w:t>struc-</w:t>
      </w:r>
      <w:r>
        <w:rPr>
          <w:rFonts w:ascii="Arial" w:hAnsi="Arial" w:eastAsia="Arial" w:cs="Arial"/>
          <w:sz w:val="19"/>
          <w:szCs w:val="19"/>
        </w:rPr>
        <w:t xml:space="preserve"> </w:t>
      </w:r>
      <w:r>
        <w:rPr>
          <w:rFonts w:ascii="Arial" w:hAnsi="Arial" w:eastAsia="Arial" w:cs="Arial"/>
          <w:spacing w:val="-4"/>
          <w:sz w:val="19"/>
          <w:szCs w:val="19"/>
        </w:rPr>
        <w:t xml:space="preserve">tural-formal  quality  assurance  tools.  Accordingly,  the  quality  culture  concept  implies  a </w:t>
      </w:r>
      <w:r>
        <w:rPr>
          <w:rFonts w:ascii="Arial" w:hAnsi="Arial" w:eastAsia="Arial" w:cs="Arial"/>
          <w:spacing w:val="-5"/>
          <w:sz w:val="19"/>
          <w:szCs w:val="19"/>
        </w:rPr>
        <w:t xml:space="preserve"> shift  in</w:t>
      </w:r>
      <w:r>
        <w:rPr>
          <w:rFonts w:ascii="Arial" w:hAnsi="Arial" w:eastAsia="Arial" w:cs="Arial"/>
          <w:sz w:val="19"/>
          <w:szCs w:val="19"/>
        </w:rPr>
        <w:t xml:space="preserve"> </w:t>
      </w:r>
      <w:r>
        <w:rPr>
          <w:rFonts w:ascii="Arial" w:hAnsi="Arial" w:eastAsia="Arial" w:cs="Arial"/>
          <w:spacing w:val="-3"/>
          <w:sz w:val="19"/>
          <w:szCs w:val="19"/>
        </w:rPr>
        <w:t>approach</w:t>
      </w:r>
      <w:r>
        <w:rPr>
          <w:rFonts w:ascii="Arial" w:hAnsi="Arial" w:eastAsia="Arial" w:cs="Arial"/>
          <w:spacing w:val="15"/>
          <w:sz w:val="19"/>
          <w:szCs w:val="19"/>
        </w:rPr>
        <w:t xml:space="preserve"> </w:t>
      </w:r>
      <w:r>
        <w:rPr>
          <w:rFonts w:ascii="Arial" w:hAnsi="Arial" w:eastAsia="Arial" w:cs="Arial"/>
          <w:spacing w:val="-3"/>
          <w:sz w:val="19"/>
          <w:szCs w:val="19"/>
        </w:rPr>
        <w:t>from</w:t>
      </w:r>
      <w:r>
        <w:rPr>
          <w:rFonts w:ascii="Arial" w:hAnsi="Arial" w:eastAsia="Arial" w:cs="Arial"/>
          <w:spacing w:val="18"/>
          <w:sz w:val="19"/>
          <w:szCs w:val="19"/>
        </w:rPr>
        <w:t xml:space="preserve"> </w:t>
      </w:r>
      <w:r>
        <w:rPr>
          <w:rFonts w:ascii="Arial" w:hAnsi="Arial" w:eastAsia="Arial" w:cs="Arial"/>
          <w:spacing w:val="-3"/>
          <w:sz w:val="19"/>
          <w:szCs w:val="19"/>
        </w:rPr>
        <w:t>quality</w:t>
      </w:r>
      <w:r>
        <w:rPr>
          <w:rFonts w:ascii="Arial" w:hAnsi="Arial" w:eastAsia="Arial" w:cs="Arial"/>
          <w:spacing w:val="19"/>
          <w:sz w:val="19"/>
          <w:szCs w:val="19"/>
        </w:rPr>
        <w:t xml:space="preserve"> </w:t>
      </w:r>
      <w:r>
        <w:rPr>
          <w:rFonts w:ascii="Arial" w:hAnsi="Arial" w:eastAsia="Arial" w:cs="Arial"/>
          <w:spacing w:val="-3"/>
          <w:sz w:val="19"/>
          <w:szCs w:val="19"/>
        </w:rPr>
        <w:t>control,</w:t>
      </w:r>
      <w:r>
        <w:rPr>
          <w:rFonts w:ascii="Arial" w:hAnsi="Arial" w:eastAsia="Arial" w:cs="Arial"/>
          <w:spacing w:val="17"/>
          <w:w w:val="101"/>
          <w:sz w:val="19"/>
          <w:szCs w:val="19"/>
        </w:rPr>
        <w:t xml:space="preserve"> </w:t>
      </w:r>
      <w:r>
        <w:rPr>
          <w:rFonts w:ascii="Arial" w:hAnsi="Arial" w:eastAsia="Arial" w:cs="Arial"/>
          <w:spacing w:val="-3"/>
          <w:sz w:val="19"/>
          <w:szCs w:val="19"/>
        </w:rPr>
        <w:t>accountability,</w:t>
      </w:r>
      <w:r>
        <w:rPr>
          <w:rFonts w:ascii="Arial" w:hAnsi="Arial" w:eastAsia="Arial" w:cs="Arial"/>
          <w:spacing w:val="17"/>
          <w:w w:val="101"/>
          <w:sz w:val="19"/>
          <w:szCs w:val="19"/>
        </w:rPr>
        <w:t xml:space="preserve"> </w:t>
      </w:r>
      <w:r>
        <w:rPr>
          <w:rFonts w:ascii="Arial" w:hAnsi="Arial" w:eastAsia="Arial" w:cs="Arial"/>
          <w:spacing w:val="-3"/>
          <w:sz w:val="19"/>
          <w:szCs w:val="19"/>
        </w:rPr>
        <w:t>and</w:t>
      </w:r>
      <w:r>
        <w:rPr>
          <w:rFonts w:ascii="Arial" w:hAnsi="Arial" w:eastAsia="Arial" w:cs="Arial"/>
          <w:spacing w:val="24"/>
          <w:sz w:val="19"/>
          <w:szCs w:val="19"/>
        </w:rPr>
        <w:t xml:space="preserve"> </w:t>
      </w:r>
      <w:r>
        <w:rPr>
          <w:rFonts w:ascii="Arial" w:hAnsi="Arial" w:eastAsia="Arial" w:cs="Arial"/>
          <w:spacing w:val="-3"/>
          <w:sz w:val="19"/>
          <w:szCs w:val="19"/>
        </w:rPr>
        <w:t>regulat</w:t>
      </w:r>
      <w:r>
        <w:rPr>
          <w:rFonts w:ascii="Arial" w:hAnsi="Arial" w:eastAsia="Arial" w:cs="Arial"/>
          <w:spacing w:val="-4"/>
          <w:sz w:val="19"/>
          <w:szCs w:val="19"/>
        </w:rPr>
        <w:t>ion</w:t>
      </w:r>
      <w:r>
        <w:rPr>
          <w:rFonts w:ascii="Arial" w:hAnsi="Arial" w:eastAsia="Arial" w:cs="Arial"/>
          <w:spacing w:val="13"/>
          <w:w w:val="101"/>
          <w:sz w:val="19"/>
          <w:szCs w:val="19"/>
        </w:rPr>
        <w:t xml:space="preserve"> </w:t>
      </w:r>
      <w:r>
        <w:rPr>
          <w:rFonts w:ascii="Arial" w:hAnsi="Arial" w:eastAsia="Arial" w:cs="Arial"/>
          <w:spacing w:val="-4"/>
          <w:sz w:val="19"/>
          <w:szCs w:val="19"/>
        </w:rPr>
        <w:t>to</w:t>
      </w:r>
      <w:r>
        <w:rPr>
          <w:rFonts w:ascii="Arial" w:hAnsi="Arial" w:eastAsia="Arial" w:cs="Arial"/>
          <w:spacing w:val="22"/>
          <w:w w:val="101"/>
          <w:sz w:val="19"/>
          <w:szCs w:val="19"/>
        </w:rPr>
        <w:t xml:space="preserve"> </w:t>
      </w:r>
      <w:r>
        <w:rPr>
          <w:rFonts w:ascii="Arial" w:hAnsi="Arial" w:eastAsia="Arial" w:cs="Arial"/>
          <w:spacing w:val="-4"/>
          <w:sz w:val="19"/>
          <w:szCs w:val="19"/>
        </w:rPr>
        <w:t>institutional</w:t>
      </w:r>
      <w:r>
        <w:rPr>
          <w:rFonts w:ascii="Arial" w:hAnsi="Arial" w:eastAsia="Arial" w:cs="Arial"/>
          <w:spacing w:val="17"/>
          <w:w w:val="101"/>
          <w:sz w:val="19"/>
          <w:szCs w:val="19"/>
        </w:rPr>
        <w:t xml:space="preserve"> </w:t>
      </w:r>
      <w:r>
        <w:rPr>
          <w:rFonts w:ascii="Arial" w:hAnsi="Arial" w:eastAsia="Arial" w:cs="Arial"/>
          <w:spacing w:val="-4"/>
          <w:sz w:val="19"/>
          <w:szCs w:val="19"/>
        </w:rPr>
        <w:t>autonomy,</w:t>
      </w:r>
      <w:r>
        <w:rPr>
          <w:rFonts w:ascii="Arial" w:hAnsi="Arial" w:eastAsia="Arial" w:cs="Arial"/>
          <w:spacing w:val="17"/>
          <w:w w:val="101"/>
          <w:sz w:val="19"/>
          <w:szCs w:val="19"/>
        </w:rPr>
        <w:t xml:space="preserve"> </w:t>
      </w:r>
      <w:r>
        <w:rPr>
          <w:rFonts w:ascii="Arial" w:hAnsi="Arial" w:eastAsia="Arial" w:cs="Arial"/>
          <w:spacing w:val="-4"/>
          <w:sz w:val="19"/>
          <w:szCs w:val="19"/>
        </w:rPr>
        <w:t>credibility,</w:t>
      </w:r>
      <w:r>
        <w:rPr>
          <w:rFonts w:ascii="Arial" w:hAnsi="Arial" w:eastAsia="Arial" w:cs="Arial"/>
          <w:sz w:val="19"/>
          <w:szCs w:val="19"/>
        </w:rPr>
        <w:t xml:space="preserve"> </w:t>
      </w:r>
      <w:r>
        <w:rPr>
          <w:rFonts w:ascii="Arial" w:hAnsi="Arial" w:eastAsia="Arial" w:cs="Arial"/>
          <w:spacing w:val="-7"/>
          <w:sz w:val="19"/>
          <w:szCs w:val="19"/>
        </w:rPr>
        <w:t>and</w:t>
      </w:r>
      <w:r>
        <w:rPr>
          <w:rFonts w:ascii="Arial" w:hAnsi="Arial" w:eastAsia="Arial" w:cs="Arial"/>
          <w:spacing w:val="30"/>
          <w:sz w:val="19"/>
          <w:szCs w:val="19"/>
        </w:rPr>
        <w:t xml:space="preserve"> </w:t>
      </w:r>
      <w:r>
        <w:rPr>
          <w:rFonts w:ascii="Arial" w:hAnsi="Arial" w:eastAsia="Arial" w:cs="Arial"/>
          <w:spacing w:val="-7"/>
          <w:sz w:val="19"/>
          <w:szCs w:val="19"/>
        </w:rPr>
        <w:t>quality</w:t>
      </w:r>
      <w:r>
        <w:rPr>
          <w:rFonts w:ascii="Arial" w:hAnsi="Arial" w:eastAsia="Arial" w:cs="Arial"/>
          <w:spacing w:val="30"/>
          <w:sz w:val="19"/>
          <w:szCs w:val="19"/>
        </w:rPr>
        <w:t xml:space="preserve"> </w:t>
      </w:r>
      <w:r>
        <w:rPr>
          <w:rFonts w:ascii="Arial" w:hAnsi="Arial" w:eastAsia="Arial" w:cs="Arial"/>
          <w:spacing w:val="-7"/>
          <w:sz w:val="19"/>
          <w:szCs w:val="19"/>
        </w:rPr>
        <w:t>enhancement</w:t>
      </w:r>
      <w:r>
        <w:rPr>
          <w:rFonts w:ascii="Arial" w:hAnsi="Arial" w:eastAsia="Arial" w:cs="Arial"/>
          <w:spacing w:val="35"/>
          <w:sz w:val="19"/>
          <w:szCs w:val="19"/>
        </w:rPr>
        <w:t xml:space="preserve"> </w:t>
      </w:r>
      <w:r>
        <w:rPr>
          <w:rFonts w:ascii="Arial" w:hAnsi="Arial" w:eastAsia="Arial" w:cs="Arial"/>
          <w:spacing w:val="-7"/>
          <w:sz w:val="19"/>
          <w:szCs w:val="19"/>
        </w:rPr>
        <w:t>(Bendermacher</w:t>
      </w:r>
      <w:r>
        <w:rPr>
          <w:rFonts w:ascii="Arial" w:hAnsi="Arial" w:eastAsia="Arial" w:cs="Arial"/>
          <w:spacing w:val="30"/>
          <w:sz w:val="19"/>
          <w:szCs w:val="19"/>
        </w:rPr>
        <w:t xml:space="preserve"> </w:t>
      </w:r>
      <w:r>
        <w:rPr>
          <w:rFonts w:ascii="Arial" w:hAnsi="Arial" w:eastAsia="Arial" w:cs="Arial"/>
          <w:spacing w:val="-7"/>
          <w:sz w:val="19"/>
          <w:szCs w:val="19"/>
        </w:rPr>
        <w:t>et</w:t>
      </w:r>
      <w:r>
        <w:rPr>
          <w:rFonts w:ascii="Arial" w:hAnsi="Arial" w:eastAsia="Arial" w:cs="Arial"/>
          <w:spacing w:val="29"/>
          <w:sz w:val="19"/>
          <w:szCs w:val="19"/>
        </w:rPr>
        <w:t xml:space="preserve"> </w:t>
      </w:r>
      <w:r>
        <w:rPr>
          <w:rFonts w:ascii="Arial" w:hAnsi="Arial" w:eastAsia="Arial" w:cs="Arial"/>
          <w:spacing w:val="-7"/>
          <w:sz w:val="19"/>
          <w:szCs w:val="19"/>
        </w:rPr>
        <w:t>al.</w:t>
      </w:r>
      <w:r>
        <w:rPr>
          <w:rFonts w:ascii="Arial" w:hAnsi="Arial" w:eastAsia="Arial" w:cs="Arial"/>
          <w:spacing w:val="20"/>
          <w:w w:val="101"/>
          <w:sz w:val="19"/>
          <w:szCs w:val="19"/>
        </w:rPr>
        <w:t xml:space="preserve"> </w:t>
      </w:r>
      <w:r>
        <w:fldChar w:fldCharType="begin"/>
      </w:r>
      <w:r>
        <w:instrText xml:space="preserve"> HYPERLINK \l "bookmark9" </w:instrText>
      </w:r>
      <w:r>
        <w:fldChar w:fldCharType="separate"/>
      </w:r>
      <w:r>
        <w:rPr>
          <w:rFonts w:ascii="Arial" w:hAnsi="Arial" w:eastAsia="Arial" w:cs="Arial"/>
          <w:color w:val="000084"/>
          <w:spacing w:val="-7"/>
          <w:sz w:val="19"/>
          <w:szCs w:val="19"/>
        </w:rPr>
        <w:t>2017</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pacing w:val="25"/>
          <w:sz w:val="19"/>
          <w:szCs w:val="19"/>
        </w:rPr>
        <w:t xml:space="preserve"> </w:t>
      </w:r>
      <w:r>
        <w:rPr>
          <w:rFonts w:ascii="Arial" w:hAnsi="Arial" w:eastAsia="Arial" w:cs="Arial"/>
          <w:spacing w:val="-7"/>
          <w:sz w:val="19"/>
          <w:szCs w:val="19"/>
        </w:rPr>
        <w:t>Whereas</w:t>
      </w:r>
      <w:r>
        <w:rPr>
          <w:rFonts w:ascii="Arial" w:hAnsi="Arial" w:eastAsia="Arial" w:cs="Arial"/>
          <w:spacing w:val="28"/>
          <w:w w:val="101"/>
          <w:sz w:val="19"/>
          <w:szCs w:val="19"/>
        </w:rPr>
        <w:t xml:space="preserve"> </w:t>
      </w:r>
      <w:r>
        <w:rPr>
          <w:rFonts w:ascii="Arial" w:hAnsi="Arial" w:eastAsia="Arial" w:cs="Arial"/>
          <w:spacing w:val="-7"/>
          <w:sz w:val="19"/>
          <w:szCs w:val="19"/>
        </w:rPr>
        <w:t>academics</w:t>
      </w:r>
      <w:r>
        <w:rPr>
          <w:rFonts w:ascii="Arial" w:hAnsi="Arial" w:eastAsia="Arial" w:cs="Arial"/>
          <w:spacing w:val="29"/>
          <w:sz w:val="19"/>
          <w:szCs w:val="19"/>
        </w:rPr>
        <w:t xml:space="preserve"> </w:t>
      </w:r>
      <w:r>
        <w:rPr>
          <w:rFonts w:ascii="Arial" w:hAnsi="Arial" w:eastAsia="Arial" w:cs="Arial"/>
          <w:spacing w:val="-7"/>
          <w:sz w:val="19"/>
          <w:szCs w:val="19"/>
        </w:rPr>
        <w:t>often</w:t>
      </w:r>
      <w:r>
        <w:rPr>
          <w:rFonts w:ascii="Arial" w:hAnsi="Arial" w:eastAsia="Arial" w:cs="Arial"/>
          <w:spacing w:val="29"/>
          <w:w w:val="101"/>
          <w:sz w:val="19"/>
          <w:szCs w:val="19"/>
        </w:rPr>
        <w:t xml:space="preserve"> </w:t>
      </w:r>
      <w:r>
        <w:rPr>
          <w:rFonts w:ascii="Arial" w:hAnsi="Arial" w:eastAsia="Arial" w:cs="Arial"/>
          <w:spacing w:val="-7"/>
          <w:sz w:val="19"/>
          <w:szCs w:val="19"/>
        </w:rPr>
        <w:t>disagree</w:t>
      </w:r>
      <w:r>
        <w:rPr>
          <w:rFonts w:ascii="Arial" w:hAnsi="Arial" w:eastAsia="Arial" w:cs="Arial"/>
          <w:spacing w:val="28"/>
          <w:w w:val="101"/>
          <w:sz w:val="19"/>
          <w:szCs w:val="19"/>
        </w:rPr>
        <w:t xml:space="preserve"> </w:t>
      </w:r>
      <w:r>
        <w:rPr>
          <w:rFonts w:ascii="Arial" w:hAnsi="Arial" w:eastAsia="Arial" w:cs="Arial"/>
          <w:spacing w:val="-7"/>
          <w:sz w:val="19"/>
          <w:szCs w:val="19"/>
        </w:rPr>
        <w:t>on</w:t>
      </w:r>
      <w:r>
        <w:rPr>
          <w:rFonts w:ascii="Arial" w:hAnsi="Arial" w:eastAsia="Arial" w:cs="Arial"/>
          <w:spacing w:val="25"/>
          <w:sz w:val="19"/>
          <w:szCs w:val="19"/>
        </w:rPr>
        <w:t xml:space="preserve"> </w:t>
      </w:r>
      <w:r>
        <w:rPr>
          <w:rFonts w:ascii="Arial" w:hAnsi="Arial" w:eastAsia="Arial" w:cs="Arial"/>
          <w:spacing w:val="-7"/>
          <w:sz w:val="19"/>
          <w:szCs w:val="19"/>
        </w:rPr>
        <w:t>the</w:t>
      </w:r>
    </w:p>
    <w:p>
      <w:pPr>
        <w:spacing w:before="280" w:line="228" w:lineRule="auto"/>
        <w:ind w:left="5" w:right="59"/>
        <w:rPr>
          <w:rFonts w:ascii="Arial" w:hAnsi="Arial" w:eastAsia="Arial" w:cs="Arial"/>
          <w:sz w:val="15"/>
          <w:szCs w:val="15"/>
        </w:rPr>
      </w:pPr>
      <w:r>
        <w:rPr>
          <w:rFonts w:ascii="Arial" w:hAnsi="Arial" w:eastAsia="Arial" w:cs="Arial"/>
          <w:color w:val="282781"/>
          <w:spacing w:val="-6"/>
          <w:sz w:val="15"/>
          <w:szCs w:val="15"/>
        </w:rPr>
        <w:t>CONTACT</w:t>
      </w:r>
      <w:r>
        <w:rPr>
          <w:rFonts w:ascii="Arial" w:hAnsi="Arial" w:eastAsia="Arial" w:cs="Arial"/>
          <w:color w:val="282781"/>
          <w:spacing w:val="9"/>
          <w:sz w:val="15"/>
          <w:szCs w:val="15"/>
        </w:rPr>
        <w:t xml:space="preserve">  </w:t>
      </w:r>
      <w:r>
        <w:rPr>
          <w:rFonts w:ascii="Arial" w:hAnsi="Arial" w:eastAsia="Arial" w:cs="Arial"/>
          <w:spacing w:val="-6"/>
          <w:sz w:val="15"/>
          <w:szCs w:val="15"/>
        </w:rPr>
        <w:t>Christine</w:t>
      </w:r>
      <w:r>
        <w:rPr>
          <w:rFonts w:ascii="Arial" w:hAnsi="Arial" w:eastAsia="Arial" w:cs="Arial"/>
          <w:spacing w:val="17"/>
          <w:w w:val="101"/>
          <w:sz w:val="15"/>
          <w:szCs w:val="15"/>
        </w:rPr>
        <w:t xml:space="preserve"> </w:t>
      </w:r>
      <w:r>
        <w:rPr>
          <w:rFonts w:ascii="Arial" w:hAnsi="Arial" w:eastAsia="Arial" w:cs="Arial"/>
          <w:spacing w:val="-6"/>
          <w:sz w:val="15"/>
          <w:szCs w:val="15"/>
        </w:rPr>
        <w:t xml:space="preserve">Hildesheim </w:t>
      </w:r>
      <w:r>
        <w:rPr>
          <w:position w:val="-6"/>
          <w:sz w:val="15"/>
          <w:szCs w:val="15"/>
        </w:rPr>
        <w:drawing>
          <wp:inline distT="0" distB="0" distL="0" distR="0">
            <wp:extent cx="127000" cy="12700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36"/>
                    <a:stretch>
                      <a:fillRect/>
                    </a:stretch>
                  </pic:blipFill>
                  <pic:spPr>
                    <a:xfrm>
                      <a:off x="0" y="0"/>
                      <a:ext cx="127000" cy="127000"/>
                    </a:xfrm>
                    <a:prstGeom prst="rect">
                      <a:avLst/>
                    </a:prstGeom>
                  </pic:spPr>
                </pic:pic>
              </a:graphicData>
            </a:graphic>
          </wp:inline>
        </w:drawing>
      </w:r>
      <w:r>
        <w:rPr>
          <w:rFonts w:ascii="Arial" w:hAnsi="Arial" w:eastAsia="Arial" w:cs="Arial"/>
          <w:spacing w:val="10"/>
          <w:w w:val="101"/>
          <w:sz w:val="15"/>
          <w:szCs w:val="15"/>
        </w:rPr>
        <w:t xml:space="preserve"> </w:t>
      </w:r>
      <w:r>
        <w:fldChar w:fldCharType="begin"/>
      </w:r>
      <w:r>
        <w:instrText xml:space="preserve"> HYPERLINK "mailto:christine.hildesheim@psychologie.uni-heidelberg.de" </w:instrText>
      </w:r>
      <w:r>
        <w:fldChar w:fldCharType="separate"/>
      </w:r>
      <w:r>
        <w:rPr>
          <w:rFonts w:ascii="Arial" w:hAnsi="Arial" w:eastAsia="Arial" w:cs="Arial"/>
          <w:spacing w:val="-6"/>
          <w:sz w:val="15"/>
          <w:szCs w:val="15"/>
        </w:rPr>
        <w:t>christine.hildesheim@psy</w:t>
      </w:r>
      <w:r>
        <w:rPr>
          <w:rFonts w:ascii="Arial" w:hAnsi="Arial" w:eastAsia="Arial" w:cs="Arial"/>
          <w:spacing w:val="-7"/>
          <w:sz w:val="15"/>
          <w:szCs w:val="15"/>
        </w:rPr>
        <w:t>chologie.uni-heidelberg.de</w:t>
      </w:r>
      <w:r>
        <w:rPr>
          <w:rFonts w:ascii="Arial" w:hAnsi="Arial" w:eastAsia="Arial" w:cs="Arial"/>
          <w:spacing w:val="-7"/>
          <w:sz w:val="15"/>
          <w:szCs w:val="15"/>
        </w:rPr>
        <w:fldChar w:fldCharType="end"/>
      </w:r>
      <w:r>
        <w:rPr>
          <w:rFonts w:ascii="Arial" w:hAnsi="Arial" w:eastAsia="Arial" w:cs="Arial"/>
          <w:spacing w:val="6"/>
          <w:sz w:val="15"/>
          <w:szCs w:val="15"/>
        </w:rPr>
        <w:t xml:space="preserve"> </w:t>
      </w:r>
      <w:r>
        <w:rPr>
          <w:position w:val="-6"/>
          <w:sz w:val="15"/>
          <w:szCs w:val="15"/>
        </w:rPr>
        <w:drawing>
          <wp:inline distT="0" distB="0" distL="0" distR="0">
            <wp:extent cx="127000" cy="12700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37"/>
                    <a:stretch>
                      <a:fillRect/>
                    </a:stretch>
                  </pic:blipFill>
                  <pic:spPr>
                    <a:xfrm>
                      <a:off x="0" y="0"/>
                      <a:ext cx="127000" cy="127000"/>
                    </a:xfrm>
                    <a:prstGeom prst="rect">
                      <a:avLst/>
                    </a:prstGeom>
                  </pic:spPr>
                </pic:pic>
              </a:graphicData>
            </a:graphic>
          </wp:inline>
        </w:drawing>
      </w:r>
      <w:r>
        <w:rPr>
          <w:rFonts w:ascii="Arial" w:hAnsi="Arial" w:eastAsia="Arial" w:cs="Arial"/>
          <w:spacing w:val="21"/>
          <w:w w:val="102"/>
          <w:sz w:val="15"/>
          <w:szCs w:val="15"/>
        </w:rPr>
        <w:t xml:space="preserve"> </w:t>
      </w:r>
      <w:r>
        <w:rPr>
          <w:rFonts w:ascii="Arial" w:hAnsi="Arial" w:eastAsia="Arial" w:cs="Arial"/>
          <w:spacing w:val="-7"/>
          <w:sz w:val="15"/>
          <w:szCs w:val="15"/>
        </w:rPr>
        <w:t>Department</w:t>
      </w:r>
      <w:r>
        <w:rPr>
          <w:rFonts w:ascii="Arial" w:hAnsi="Arial" w:eastAsia="Arial" w:cs="Arial"/>
          <w:spacing w:val="12"/>
          <w:sz w:val="15"/>
          <w:szCs w:val="15"/>
        </w:rPr>
        <w:t xml:space="preserve"> </w:t>
      </w:r>
      <w:r>
        <w:rPr>
          <w:rFonts w:ascii="Arial" w:hAnsi="Arial" w:eastAsia="Arial" w:cs="Arial"/>
          <w:spacing w:val="-7"/>
          <w:sz w:val="15"/>
          <w:szCs w:val="15"/>
        </w:rPr>
        <w:t>of Work</w:t>
      </w:r>
      <w:r>
        <w:rPr>
          <w:rFonts w:ascii="Arial" w:hAnsi="Arial" w:eastAsia="Arial" w:cs="Arial"/>
          <w:spacing w:val="9"/>
          <w:sz w:val="15"/>
          <w:szCs w:val="15"/>
        </w:rPr>
        <w:t xml:space="preserve"> </w:t>
      </w:r>
      <w:r>
        <w:rPr>
          <w:rFonts w:ascii="Arial" w:hAnsi="Arial" w:eastAsia="Arial" w:cs="Arial"/>
          <w:spacing w:val="-7"/>
          <w:sz w:val="15"/>
          <w:szCs w:val="15"/>
        </w:rPr>
        <w:t>and</w:t>
      </w:r>
      <w:r>
        <w:rPr>
          <w:rFonts w:ascii="Arial" w:hAnsi="Arial" w:eastAsia="Arial" w:cs="Arial"/>
          <w:spacing w:val="11"/>
          <w:w w:val="101"/>
          <w:sz w:val="15"/>
          <w:szCs w:val="15"/>
        </w:rPr>
        <w:t xml:space="preserve"> </w:t>
      </w:r>
      <w:r>
        <w:rPr>
          <w:rFonts w:ascii="Arial" w:hAnsi="Arial" w:eastAsia="Arial" w:cs="Arial"/>
          <w:spacing w:val="-7"/>
          <w:sz w:val="15"/>
          <w:szCs w:val="15"/>
        </w:rPr>
        <w:t>Organiz-</w:t>
      </w:r>
      <w:r>
        <w:rPr>
          <w:rFonts w:ascii="Arial" w:hAnsi="Arial" w:eastAsia="Arial" w:cs="Arial"/>
          <w:sz w:val="15"/>
          <w:szCs w:val="15"/>
        </w:rPr>
        <w:t xml:space="preserve"> </w:t>
      </w:r>
      <w:r>
        <w:rPr>
          <w:rFonts w:ascii="Arial" w:hAnsi="Arial" w:eastAsia="Arial" w:cs="Arial"/>
          <w:spacing w:val="-7"/>
          <w:sz w:val="15"/>
          <w:szCs w:val="15"/>
        </w:rPr>
        <w:t>ational</w:t>
      </w:r>
      <w:r>
        <w:rPr>
          <w:rFonts w:ascii="Arial" w:hAnsi="Arial" w:eastAsia="Arial" w:cs="Arial"/>
          <w:spacing w:val="16"/>
          <w:sz w:val="15"/>
          <w:szCs w:val="15"/>
        </w:rPr>
        <w:t xml:space="preserve"> </w:t>
      </w:r>
      <w:r>
        <w:rPr>
          <w:rFonts w:ascii="Arial" w:hAnsi="Arial" w:eastAsia="Arial" w:cs="Arial"/>
          <w:spacing w:val="-7"/>
          <w:sz w:val="15"/>
          <w:szCs w:val="15"/>
        </w:rPr>
        <w:t>Psychology,</w:t>
      </w:r>
      <w:r>
        <w:rPr>
          <w:rFonts w:ascii="Arial" w:hAnsi="Arial" w:eastAsia="Arial" w:cs="Arial"/>
          <w:spacing w:val="19"/>
          <w:sz w:val="15"/>
          <w:szCs w:val="15"/>
        </w:rPr>
        <w:t xml:space="preserve"> </w:t>
      </w:r>
      <w:r>
        <w:rPr>
          <w:rFonts w:ascii="Arial" w:hAnsi="Arial" w:eastAsia="Arial" w:cs="Arial"/>
          <w:spacing w:val="-7"/>
          <w:sz w:val="15"/>
          <w:szCs w:val="15"/>
        </w:rPr>
        <w:t>Heidelberg</w:t>
      </w:r>
      <w:r>
        <w:rPr>
          <w:rFonts w:ascii="Arial" w:hAnsi="Arial" w:eastAsia="Arial" w:cs="Arial"/>
          <w:spacing w:val="17"/>
          <w:sz w:val="15"/>
          <w:szCs w:val="15"/>
        </w:rPr>
        <w:t xml:space="preserve"> </w:t>
      </w:r>
      <w:r>
        <w:rPr>
          <w:rFonts w:ascii="Arial" w:hAnsi="Arial" w:eastAsia="Arial" w:cs="Arial"/>
          <w:spacing w:val="-7"/>
          <w:sz w:val="15"/>
          <w:szCs w:val="15"/>
        </w:rPr>
        <w:t>University,</w:t>
      </w:r>
      <w:r>
        <w:rPr>
          <w:rFonts w:ascii="Arial" w:hAnsi="Arial" w:eastAsia="Arial" w:cs="Arial"/>
          <w:spacing w:val="16"/>
          <w:w w:val="101"/>
          <w:sz w:val="15"/>
          <w:szCs w:val="15"/>
        </w:rPr>
        <w:t xml:space="preserve"> </w:t>
      </w:r>
      <w:r>
        <w:rPr>
          <w:rFonts w:ascii="Arial" w:hAnsi="Arial" w:eastAsia="Arial" w:cs="Arial"/>
          <w:spacing w:val="-7"/>
          <w:sz w:val="15"/>
          <w:szCs w:val="15"/>
        </w:rPr>
        <w:t>Hauptstr.</w:t>
      </w:r>
      <w:r>
        <w:rPr>
          <w:rFonts w:ascii="Arial" w:hAnsi="Arial" w:eastAsia="Arial" w:cs="Arial"/>
          <w:spacing w:val="8"/>
          <w:sz w:val="15"/>
          <w:szCs w:val="15"/>
        </w:rPr>
        <w:t xml:space="preserve"> </w:t>
      </w:r>
      <w:r>
        <w:rPr>
          <w:rFonts w:ascii="Arial" w:hAnsi="Arial" w:eastAsia="Arial" w:cs="Arial"/>
          <w:spacing w:val="-7"/>
          <w:sz w:val="15"/>
          <w:szCs w:val="15"/>
        </w:rPr>
        <w:t>47-51,</w:t>
      </w:r>
      <w:r>
        <w:rPr>
          <w:rFonts w:ascii="Arial" w:hAnsi="Arial" w:eastAsia="Arial" w:cs="Arial"/>
          <w:spacing w:val="11"/>
          <w:sz w:val="15"/>
          <w:szCs w:val="15"/>
        </w:rPr>
        <w:t xml:space="preserve"> </w:t>
      </w:r>
      <w:r>
        <w:rPr>
          <w:rFonts w:ascii="Arial" w:hAnsi="Arial" w:eastAsia="Arial" w:cs="Arial"/>
          <w:spacing w:val="-7"/>
          <w:sz w:val="15"/>
          <w:szCs w:val="15"/>
        </w:rPr>
        <w:t>691</w:t>
      </w:r>
      <w:r>
        <w:rPr>
          <w:rFonts w:ascii="Arial" w:hAnsi="Arial" w:eastAsia="Arial" w:cs="Arial"/>
          <w:spacing w:val="-8"/>
          <w:sz w:val="15"/>
          <w:szCs w:val="15"/>
        </w:rPr>
        <w:t>17</w:t>
      </w:r>
      <w:r>
        <w:rPr>
          <w:rFonts w:ascii="Arial" w:hAnsi="Arial" w:eastAsia="Arial" w:cs="Arial"/>
          <w:spacing w:val="17"/>
          <w:w w:val="101"/>
          <w:sz w:val="15"/>
          <w:szCs w:val="15"/>
        </w:rPr>
        <w:t xml:space="preserve"> </w:t>
      </w:r>
      <w:r>
        <w:rPr>
          <w:rFonts w:ascii="Arial" w:hAnsi="Arial" w:eastAsia="Arial" w:cs="Arial"/>
          <w:spacing w:val="-8"/>
          <w:sz w:val="15"/>
          <w:szCs w:val="15"/>
        </w:rPr>
        <w:t>Heidelberg,</w:t>
      </w:r>
      <w:r>
        <w:rPr>
          <w:rFonts w:ascii="Arial" w:hAnsi="Arial" w:eastAsia="Arial" w:cs="Arial"/>
          <w:spacing w:val="11"/>
          <w:w w:val="101"/>
          <w:sz w:val="15"/>
          <w:szCs w:val="15"/>
        </w:rPr>
        <w:t xml:space="preserve"> </w:t>
      </w:r>
      <w:r>
        <w:rPr>
          <w:rFonts w:ascii="Arial" w:hAnsi="Arial" w:eastAsia="Arial" w:cs="Arial"/>
          <w:spacing w:val="-8"/>
          <w:sz w:val="15"/>
          <w:szCs w:val="15"/>
        </w:rPr>
        <w:t>Germany</w:t>
      </w:r>
    </w:p>
    <w:p>
      <w:pPr>
        <w:spacing w:before="81" w:line="210" w:lineRule="auto"/>
        <w:ind w:left="4"/>
        <w:rPr>
          <w:rFonts w:ascii="Arial" w:hAnsi="Arial" w:eastAsia="Arial" w:cs="Arial"/>
          <w:sz w:val="13"/>
          <w:szCs w:val="13"/>
        </w:rPr>
      </w:pPr>
      <w:r>
        <w:rPr>
          <w:rFonts w:ascii="Arial" w:hAnsi="Arial" w:eastAsia="Arial" w:cs="Arial"/>
          <w:spacing w:val="-6"/>
          <w:sz w:val="13"/>
          <w:szCs w:val="13"/>
        </w:rPr>
        <w:t>©</w:t>
      </w:r>
      <w:r>
        <w:rPr>
          <w:rFonts w:ascii="Arial" w:hAnsi="Arial" w:eastAsia="Arial" w:cs="Arial"/>
          <w:spacing w:val="11"/>
          <w:w w:val="101"/>
          <w:sz w:val="13"/>
          <w:szCs w:val="13"/>
        </w:rPr>
        <w:t xml:space="preserve"> </w:t>
      </w:r>
      <w:r>
        <w:rPr>
          <w:rFonts w:ascii="Arial" w:hAnsi="Arial" w:eastAsia="Arial" w:cs="Arial"/>
          <w:spacing w:val="-6"/>
          <w:sz w:val="13"/>
          <w:szCs w:val="13"/>
        </w:rPr>
        <w:t>2019</w:t>
      </w:r>
      <w:r>
        <w:rPr>
          <w:rFonts w:ascii="Arial" w:hAnsi="Arial" w:eastAsia="Arial" w:cs="Arial"/>
          <w:spacing w:val="12"/>
          <w:w w:val="101"/>
          <w:sz w:val="13"/>
          <w:szCs w:val="13"/>
        </w:rPr>
        <w:t xml:space="preserve"> </w:t>
      </w:r>
      <w:r>
        <w:rPr>
          <w:rFonts w:ascii="Arial" w:hAnsi="Arial" w:eastAsia="Arial" w:cs="Arial"/>
          <w:spacing w:val="-6"/>
          <w:sz w:val="13"/>
          <w:szCs w:val="13"/>
        </w:rPr>
        <w:t>Society</w:t>
      </w:r>
      <w:r>
        <w:rPr>
          <w:rFonts w:ascii="Arial" w:hAnsi="Arial" w:eastAsia="Arial" w:cs="Arial"/>
          <w:spacing w:val="8"/>
          <w:sz w:val="13"/>
          <w:szCs w:val="13"/>
        </w:rPr>
        <w:t xml:space="preserve"> </w:t>
      </w:r>
      <w:r>
        <w:rPr>
          <w:rFonts w:ascii="Arial" w:hAnsi="Arial" w:eastAsia="Arial" w:cs="Arial"/>
          <w:spacing w:val="-6"/>
          <w:sz w:val="13"/>
          <w:szCs w:val="13"/>
        </w:rPr>
        <w:t>for</w:t>
      </w:r>
      <w:r>
        <w:rPr>
          <w:rFonts w:ascii="Arial" w:hAnsi="Arial" w:eastAsia="Arial" w:cs="Arial"/>
          <w:spacing w:val="16"/>
          <w:w w:val="102"/>
          <w:sz w:val="13"/>
          <w:szCs w:val="13"/>
        </w:rPr>
        <w:t xml:space="preserve"> </w:t>
      </w:r>
      <w:r>
        <w:rPr>
          <w:rFonts w:ascii="Arial" w:hAnsi="Arial" w:eastAsia="Arial" w:cs="Arial"/>
          <w:spacing w:val="-6"/>
          <w:sz w:val="13"/>
          <w:szCs w:val="13"/>
        </w:rPr>
        <w:t>Resea</w:t>
      </w:r>
      <w:r>
        <w:rPr>
          <w:rFonts w:ascii="Arial" w:hAnsi="Arial" w:eastAsia="Arial" w:cs="Arial"/>
          <w:spacing w:val="-7"/>
          <w:sz w:val="13"/>
          <w:szCs w:val="13"/>
        </w:rPr>
        <w:t>rch</w:t>
      </w:r>
      <w:r>
        <w:rPr>
          <w:rFonts w:ascii="Arial" w:hAnsi="Arial" w:eastAsia="Arial" w:cs="Arial"/>
          <w:spacing w:val="14"/>
          <w:sz w:val="13"/>
          <w:szCs w:val="13"/>
        </w:rPr>
        <w:t xml:space="preserve"> </w:t>
      </w:r>
      <w:r>
        <w:rPr>
          <w:rFonts w:ascii="Arial" w:hAnsi="Arial" w:eastAsia="Arial" w:cs="Arial"/>
          <w:spacing w:val="-7"/>
          <w:sz w:val="13"/>
          <w:szCs w:val="13"/>
        </w:rPr>
        <w:t>into</w:t>
      </w:r>
      <w:r>
        <w:rPr>
          <w:rFonts w:ascii="Arial" w:hAnsi="Arial" w:eastAsia="Arial" w:cs="Arial"/>
          <w:spacing w:val="16"/>
          <w:w w:val="101"/>
          <w:sz w:val="13"/>
          <w:szCs w:val="13"/>
        </w:rPr>
        <w:t xml:space="preserve"> </w:t>
      </w:r>
      <w:r>
        <w:rPr>
          <w:rFonts w:ascii="Arial" w:hAnsi="Arial" w:eastAsia="Arial" w:cs="Arial"/>
          <w:spacing w:val="-7"/>
          <w:sz w:val="13"/>
          <w:szCs w:val="13"/>
        </w:rPr>
        <w:t>Higher</w:t>
      </w:r>
      <w:r>
        <w:rPr>
          <w:rFonts w:ascii="Arial" w:hAnsi="Arial" w:eastAsia="Arial" w:cs="Arial"/>
          <w:spacing w:val="16"/>
          <w:w w:val="101"/>
          <w:sz w:val="13"/>
          <w:szCs w:val="13"/>
        </w:rPr>
        <w:t xml:space="preserve"> </w:t>
      </w:r>
      <w:r>
        <w:rPr>
          <w:rFonts w:ascii="Arial" w:hAnsi="Arial" w:eastAsia="Arial" w:cs="Arial"/>
          <w:spacing w:val="-7"/>
          <w:sz w:val="13"/>
          <w:szCs w:val="13"/>
        </w:rPr>
        <w:t>Education</w:t>
      </w:r>
    </w:p>
    <w:p>
      <w:pPr>
        <w:spacing w:line="210" w:lineRule="auto"/>
        <w:rPr>
          <w:rFonts w:ascii="Arial" w:hAnsi="Arial" w:eastAsia="Arial" w:cs="Arial"/>
          <w:sz w:val="13"/>
          <w:szCs w:val="13"/>
        </w:rPr>
        <w:sectPr>
          <w:headerReference r:id="rId110" w:type="default"/>
          <w:pgSz w:w="9865" w:h="14060"/>
          <w:pgMar w:top="1460" w:right="952" w:bottom="400" w:left="960" w:header="842" w:footer="0" w:gutter="0"/>
          <w:cols w:space="720" w:num="1"/>
        </w:sectPr>
      </w:pPr>
    </w:p>
    <w:p>
      <w:pPr>
        <w:spacing w:before="103"/>
        <w:ind w:left="6"/>
        <w:rPr>
          <w:rFonts w:ascii="Arial" w:hAnsi="Arial" w:eastAsia="Arial" w:cs="Arial"/>
          <w:sz w:val="14"/>
          <w:szCs w:val="14"/>
        </w:rPr>
      </w:pPr>
      <w:r>
        <w:rPr>
          <w:rFonts w:ascii="Arial" w:hAnsi="Arial" w:eastAsia="Arial" w:cs="Arial"/>
          <w:spacing w:val="-6"/>
          <w:sz w:val="14"/>
          <w:szCs w:val="14"/>
        </w:rPr>
        <w:t xml:space="preserve">2    </w:t>
      </w:r>
      <w:r>
        <w:rPr>
          <w:position w:val="-6"/>
          <w:sz w:val="14"/>
          <w:szCs w:val="14"/>
        </w:rPr>
        <w:drawing>
          <wp:inline distT="0" distB="0" distL="0" distR="0">
            <wp:extent cx="139700" cy="13970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38"/>
                    <a:stretch>
                      <a:fillRect/>
                    </a:stretch>
                  </pic:blipFill>
                  <pic:spPr>
                    <a:xfrm>
                      <a:off x="0" y="0"/>
                      <a:ext cx="139700" cy="139700"/>
                    </a:xfrm>
                    <a:prstGeom prst="rect">
                      <a:avLst/>
                    </a:prstGeom>
                  </pic:spPr>
                </pic:pic>
              </a:graphicData>
            </a:graphic>
          </wp:inline>
        </w:drawing>
      </w:r>
      <w:r>
        <w:rPr>
          <w:rFonts w:ascii="Arial" w:hAnsi="Arial" w:eastAsia="Arial" w:cs="Arial"/>
          <w:spacing w:val="12"/>
          <w:w w:val="102"/>
          <w:sz w:val="14"/>
          <w:szCs w:val="14"/>
        </w:rPr>
        <w:t xml:space="preserve">   </w:t>
      </w:r>
      <w:r>
        <w:rPr>
          <w:rFonts w:ascii="Arial" w:hAnsi="Arial" w:eastAsia="Arial" w:cs="Arial"/>
          <w:spacing w:val="-6"/>
          <w:sz w:val="14"/>
          <w:szCs w:val="14"/>
        </w:rPr>
        <w:t>C.</w:t>
      </w:r>
      <w:r>
        <w:rPr>
          <w:rFonts w:ascii="Arial" w:hAnsi="Arial" w:eastAsia="Arial" w:cs="Arial"/>
          <w:spacing w:val="10"/>
          <w:w w:val="102"/>
          <w:sz w:val="14"/>
          <w:szCs w:val="14"/>
        </w:rPr>
        <w:t xml:space="preserve"> </w:t>
      </w:r>
      <w:r>
        <w:rPr>
          <w:rFonts w:ascii="Arial" w:hAnsi="Arial" w:eastAsia="Arial" w:cs="Arial"/>
          <w:spacing w:val="-6"/>
          <w:sz w:val="14"/>
          <w:szCs w:val="14"/>
        </w:rPr>
        <w:t>HILDESHEIM AND</w:t>
      </w:r>
      <w:r>
        <w:rPr>
          <w:rFonts w:ascii="Arial" w:hAnsi="Arial" w:eastAsia="Arial" w:cs="Arial"/>
          <w:spacing w:val="11"/>
          <w:sz w:val="14"/>
          <w:szCs w:val="14"/>
        </w:rPr>
        <w:t xml:space="preserve"> </w:t>
      </w:r>
      <w:r>
        <w:rPr>
          <w:rFonts w:ascii="Arial" w:hAnsi="Arial" w:eastAsia="Arial" w:cs="Arial"/>
          <w:spacing w:val="-6"/>
          <w:sz w:val="14"/>
          <w:szCs w:val="14"/>
        </w:rPr>
        <w:t>K.</w:t>
      </w:r>
      <w:r>
        <w:rPr>
          <w:rFonts w:ascii="Arial" w:hAnsi="Arial" w:eastAsia="Arial" w:cs="Arial"/>
          <w:spacing w:val="5"/>
          <w:sz w:val="14"/>
          <w:szCs w:val="14"/>
        </w:rPr>
        <w:t xml:space="preserve"> </w:t>
      </w:r>
      <w:r>
        <w:rPr>
          <w:rFonts w:ascii="Arial" w:hAnsi="Arial" w:eastAsia="Arial" w:cs="Arial"/>
          <w:spacing w:val="-6"/>
          <w:sz w:val="14"/>
          <w:szCs w:val="14"/>
        </w:rPr>
        <w:t>SONNTAG</w:t>
      </w:r>
    </w:p>
    <w:p>
      <w:pPr>
        <w:spacing w:line="247" w:lineRule="auto"/>
        <w:rPr>
          <w:rFonts w:ascii="Arial"/>
          <w:sz w:val="21"/>
        </w:rPr>
      </w:pPr>
    </w:p>
    <w:p>
      <w:pPr>
        <w:spacing w:before="54" w:line="235" w:lineRule="auto"/>
        <w:jc w:val="right"/>
        <w:outlineLvl w:val="3"/>
        <w:rPr>
          <w:rFonts w:ascii="Arial" w:hAnsi="Arial" w:eastAsia="Arial" w:cs="Arial"/>
          <w:sz w:val="19"/>
          <w:szCs w:val="19"/>
        </w:rPr>
      </w:pPr>
      <w:bookmarkStart w:id="2" w:name="bookmark10"/>
      <w:bookmarkEnd w:id="2"/>
      <w:r>
        <w:rPr>
          <w:rFonts w:ascii="Arial" w:hAnsi="Arial" w:eastAsia="Arial" w:cs="Arial"/>
          <w:spacing w:val="-4"/>
          <w:sz w:val="19"/>
          <w:szCs w:val="19"/>
        </w:rPr>
        <w:t>comparability</w:t>
      </w:r>
      <w:r>
        <w:rPr>
          <w:rFonts w:ascii="Arial" w:hAnsi="Arial" w:eastAsia="Arial" w:cs="Arial"/>
          <w:spacing w:val="27"/>
          <w:w w:val="101"/>
          <w:sz w:val="19"/>
          <w:szCs w:val="19"/>
        </w:rPr>
        <w:t xml:space="preserve"> </w:t>
      </w:r>
      <w:r>
        <w:rPr>
          <w:rFonts w:ascii="Arial" w:hAnsi="Arial" w:eastAsia="Arial" w:cs="Arial"/>
          <w:spacing w:val="-4"/>
          <w:sz w:val="19"/>
          <w:szCs w:val="19"/>
        </w:rPr>
        <w:t>of</w:t>
      </w:r>
      <w:r>
        <w:rPr>
          <w:rFonts w:ascii="Arial" w:hAnsi="Arial" w:eastAsia="Arial" w:cs="Arial"/>
          <w:spacing w:val="20"/>
          <w:sz w:val="19"/>
          <w:szCs w:val="19"/>
        </w:rPr>
        <w:t xml:space="preserve"> </w:t>
      </w:r>
      <w:r>
        <w:rPr>
          <w:rFonts w:ascii="Arial" w:hAnsi="Arial" w:eastAsia="Arial" w:cs="Arial"/>
          <w:spacing w:val="-4"/>
          <w:sz w:val="19"/>
          <w:szCs w:val="19"/>
        </w:rPr>
        <w:t>quality</w:t>
      </w:r>
      <w:r>
        <w:rPr>
          <w:rFonts w:ascii="Arial" w:hAnsi="Arial" w:eastAsia="Arial" w:cs="Arial"/>
          <w:spacing w:val="29"/>
          <w:sz w:val="19"/>
          <w:szCs w:val="19"/>
        </w:rPr>
        <w:t xml:space="preserve"> </w:t>
      </w:r>
      <w:r>
        <w:rPr>
          <w:rFonts w:ascii="Arial" w:hAnsi="Arial" w:eastAsia="Arial" w:cs="Arial"/>
          <w:spacing w:val="-4"/>
          <w:sz w:val="19"/>
          <w:szCs w:val="19"/>
        </w:rPr>
        <w:t>criteria</w:t>
      </w:r>
      <w:r>
        <w:rPr>
          <w:rFonts w:ascii="Arial" w:hAnsi="Arial" w:eastAsia="Arial" w:cs="Arial"/>
          <w:spacing w:val="31"/>
          <w:w w:val="101"/>
          <w:sz w:val="19"/>
          <w:szCs w:val="19"/>
        </w:rPr>
        <w:t xml:space="preserve"> </w:t>
      </w:r>
      <w:r>
        <w:rPr>
          <w:rFonts w:ascii="Arial" w:hAnsi="Arial" w:eastAsia="Arial" w:cs="Arial"/>
          <w:spacing w:val="-4"/>
          <w:sz w:val="19"/>
          <w:szCs w:val="19"/>
        </w:rPr>
        <w:t>(e.g.</w:t>
      </w:r>
      <w:r>
        <w:rPr>
          <w:rFonts w:ascii="Arial" w:hAnsi="Arial" w:eastAsia="Arial" w:cs="Arial"/>
          <w:spacing w:val="33"/>
          <w:w w:val="101"/>
          <w:sz w:val="19"/>
          <w:szCs w:val="19"/>
        </w:rPr>
        <w:t xml:space="preserve"> </w:t>
      </w:r>
      <w:r>
        <w:rPr>
          <w:rFonts w:ascii="Arial" w:hAnsi="Arial" w:eastAsia="Arial" w:cs="Arial"/>
          <w:spacing w:val="-4"/>
          <w:sz w:val="19"/>
          <w:szCs w:val="19"/>
        </w:rPr>
        <w:t>bibliometric</w:t>
      </w:r>
      <w:r>
        <w:rPr>
          <w:rFonts w:ascii="Arial" w:hAnsi="Arial" w:eastAsia="Arial" w:cs="Arial"/>
          <w:spacing w:val="32"/>
          <w:w w:val="101"/>
          <w:sz w:val="19"/>
          <w:szCs w:val="19"/>
        </w:rPr>
        <w:t xml:space="preserve"> </w:t>
      </w:r>
      <w:r>
        <w:rPr>
          <w:rFonts w:ascii="Arial" w:hAnsi="Arial" w:eastAsia="Arial" w:cs="Arial"/>
          <w:spacing w:val="-4"/>
          <w:sz w:val="19"/>
          <w:szCs w:val="19"/>
        </w:rPr>
        <w:t>indic</w:t>
      </w:r>
      <w:r>
        <w:rPr>
          <w:rFonts w:ascii="Arial" w:hAnsi="Arial" w:eastAsia="Arial" w:cs="Arial"/>
          <w:spacing w:val="-5"/>
          <w:sz w:val="19"/>
          <w:szCs w:val="19"/>
        </w:rPr>
        <w:t>ators),</w:t>
      </w:r>
      <w:r>
        <w:rPr>
          <w:rFonts w:ascii="Arial" w:hAnsi="Arial" w:eastAsia="Arial" w:cs="Arial"/>
          <w:spacing w:val="28"/>
          <w:w w:val="101"/>
          <w:sz w:val="19"/>
          <w:szCs w:val="19"/>
        </w:rPr>
        <w:t xml:space="preserve"> </w:t>
      </w:r>
      <w:r>
        <w:rPr>
          <w:rFonts w:ascii="Arial" w:hAnsi="Arial" w:eastAsia="Arial" w:cs="Arial"/>
          <w:spacing w:val="-5"/>
          <w:sz w:val="19"/>
          <w:szCs w:val="19"/>
        </w:rPr>
        <w:t>quality</w:t>
      </w:r>
      <w:r>
        <w:rPr>
          <w:rFonts w:ascii="Arial" w:hAnsi="Arial" w:eastAsia="Arial" w:cs="Arial"/>
          <w:spacing w:val="29"/>
          <w:sz w:val="19"/>
          <w:szCs w:val="19"/>
        </w:rPr>
        <w:t xml:space="preserve"> </w:t>
      </w:r>
      <w:r>
        <w:rPr>
          <w:rFonts w:ascii="Arial" w:hAnsi="Arial" w:eastAsia="Arial" w:cs="Arial"/>
          <w:spacing w:val="-5"/>
          <w:sz w:val="19"/>
          <w:szCs w:val="19"/>
        </w:rPr>
        <w:t>culture</w:t>
      </w:r>
      <w:r>
        <w:rPr>
          <w:rFonts w:ascii="Arial" w:hAnsi="Arial" w:eastAsia="Arial" w:cs="Arial"/>
          <w:spacing w:val="29"/>
          <w:sz w:val="19"/>
          <w:szCs w:val="19"/>
        </w:rPr>
        <w:t xml:space="preserve"> </w:t>
      </w:r>
      <w:r>
        <w:rPr>
          <w:rFonts w:ascii="Arial" w:hAnsi="Arial" w:eastAsia="Arial" w:cs="Arial"/>
          <w:spacing w:val="-5"/>
          <w:sz w:val="19"/>
          <w:szCs w:val="19"/>
        </w:rPr>
        <w:t>could</w:t>
      </w:r>
      <w:r>
        <w:rPr>
          <w:rFonts w:ascii="Arial" w:hAnsi="Arial" w:eastAsia="Arial" w:cs="Arial"/>
          <w:spacing w:val="23"/>
          <w:sz w:val="19"/>
          <w:szCs w:val="19"/>
        </w:rPr>
        <w:t xml:space="preserve"> </w:t>
      </w:r>
      <w:r>
        <w:rPr>
          <w:rFonts w:ascii="Arial" w:hAnsi="Arial" w:eastAsia="Arial" w:cs="Arial"/>
          <w:spacing w:val="-5"/>
          <w:sz w:val="19"/>
          <w:szCs w:val="19"/>
        </w:rPr>
        <w:t>well</w:t>
      </w:r>
      <w:r>
        <w:rPr>
          <w:rFonts w:ascii="Arial" w:hAnsi="Arial" w:eastAsia="Arial" w:cs="Arial"/>
          <w:spacing w:val="33"/>
          <w:sz w:val="19"/>
          <w:szCs w:val="19"/>
        </w:rPr>
        <w:t xml:space="preserve"> </w:t>
      </w:r>
      <w:r>
        <w:rPr>
          <w:rFonts w:ascii="Arial" w:hAnsi="Arial" w:eastAsia="Arial" w:cs="Arial"/>
          <w:spacing w:val="-5"/>
          <w:sz w:val="19"/>
          <w:szCs w:val="19"/>
        </w:rPr>
        <w:t>become</w:t>
      </w:r>
      <w:r>
        <w:rPr>
          <w:rFonts w:ascii="Arial" w:hAnsi="Arial" w:eastAsia="Arial" w:cs="Arial"/>
          <w:spacing w:val="27"/>
          <w:w w:val="101"/>
          <w:sz w:val="19"/>
          <w:szCs w:val="19"/>
        </w:rPr>
        <w:t xml:space="preserve"> </w:t>
      </w:r>
      <w:r>
        <w:rPr>
          <w:rFonts w:ascii="Arial" w:hAnsi="Arial" w:eastAsia="Arial" w:cs="Arial"/>
          <w:spacing w:val="-5"/>
          <w:sz w:val="19"/>
          <w:szCs w:val="19"/>
        </w:rPr>
        <w:t>a</w:t>
      </w:r>
    </w:p>
    <w:p>
      <w:pPr>
        <w:spacing w:before="26" w:line="235" w:lineRule="auto"/>
        <w:ind w:left="7"/>
        <w:rPr>
          <w:rFonts w:ascii="Arial" w:hAnsi="Arial" w:eastAsia="Arial" w:cs="Arial"/>
          <w:sz w:val="19"/>
          <w:szCs w:val="19"/>
        </w:rPr>
      </w:pPr>
      <w:r>
        <w:rPr>
          <w:rFonts w:ascii="Arial" w:hAnsi="Arial" w:eastAsia="Arial" w:cs="Arial"/>
          <w:spacing w:val="-3"/>
          <w:sz w:val="19"/>
          <w:szCs w:val="19"/>
        </w:rPr>
        <w:t>concept with which they</w:t>
      </w:r>
      <w:r>
        <w:rPr>
          <w:rFonts w:ascii="Arial" w:hAnsi="Arial" w:eastAsia="Arial" w:cs="Arial"/>
          <w:spacing w:val="12"/>
          <w:sz w:val="19"/>
          <w:szCs w:val="19"/>
        </w:rPr>
        <w:t xml:space="preserve"> </w:t>
      </w:r>
      <w:r>
        <w:rPr>
          <w:rFonts w:ascii="Arial" w:hAnsi="Arial" w:eastAsia="Arial" w:cs="Arial"/>
          <w:spacing w:val="-4"/>
          <w:sz w:val="19"/>
          <w:szCs w:val="19"/>
        </w:rPr>
        <w:t>can</w:t>
      </w:r>
      <w:r>
        <w:rPr>
          <w:rFonts w:ascii="Arial" w:hAnsi="Arial" w:eastAsia="Arial" w:cs="Arial"/>
          <w:spacing w:val="11"/>
          <w:sz w:val="19"/>
          <w:szCs w:val="19"/>
        </w:rPr>
        <w:t xml:space="preserve"> </w:t>
      </w:r>
      <w:r>
        <w:rPr>
          <w:rFonts w:ascii="Arial" w:hAnsi="Arial" w:eastAsia="Arial" w:cs="Arial"/>
          <w:spacing w:val="-4"/>
          <w:sz w:val="19"/>
          <w:szCs w:val="19"/>
        </w:rPr>
        <w:t>all</w:t>
      </w:r>
      <w:r>
        <w:rPr>
          <w:rFonts w:ascii="Arial" w:hAnsi="Arial" w:eastAsia="Arial" w:cs="Arial"/>
          <w:spacing w:val="17"/>
          <w:w w:val="101"/>
          <w:sz w:val="19"/>
          <w:szCs w:val="19"/>
        </w:rPr>
        <w:t xml:space="preserve"> </w:t>
      </w:r>
      <w:r>
        <w:rPr>
          <w:rFonts w:ascii="Arial" w:hAnsi="Arial" w:eastAsia="Arial" w:cs="Arial"/>
          <w:spacing w:val="-4"/>
          <w:sz w:val="19"/>
          <w:szCs w:val="19"/>
        </w:rPr>
        <w:t>identify,</w:t>
      </w:r>
      <w:r>
        <w:rPr>
          <w:rFonts w:ascii="Arial" w:hAnsi="Arial" w:eastAsia="Arial" w:cs="Arial"/>
          <w:spacing w:val="19"/>
          <w:sz w:val="19"/>
          <w:szCs w:val="19"/>
        </w:rPr>
        <w:t xml:space="preserve"> </w:t>
      </w:r>
      <w:r>
        <w:rPr>
          <w:rFonts w:ascii="Arial" w:hAnsi="Arial" w:eastAsia="Arial" w:cs="Arial"/>
          <w:spacing w:val="-4"/>
          <w:sz w:val="19"/>
          <w:szCs w:val="19"/>
        </w:rPr>
        <w:t>regardless</w:t>
      </w:r>
      <w:r>
        <w:rPr>
          <w:rFonts w:ascii="Arial" w:hAnsi="Arial" w:eastAsia="Arial" w:cs="Arial"/>
          <w:spacing w:val="13"/>
          <w:sz w:val="19"/>
          <w:szCs w:val="19"/>
        </w:rPr>
        <w:t xml:space="preserve"> </w:t>
      </w:r>
      <w:r>
        <w:rPr>
          <w:rFonts w:ascii="Arial" w:hAnsi="Arial" w:eastAsia="Arial" w:cs="Arial"/>
          <w:spacing w:val="-4"/>
          <w:sz w:val="19"/>
          <w:szCs w:val="19"/>
        </w:rPr>
        <w:t>of their</w:t>
      </w:r>
      <w:r>
        <w:rPr>
          <w:rFonts w:ascii="Arial" w:hAnsi="Arial" w:eastAsia="Arial" w:cs="Arial"/>
          <w:spacing w:val="11"/>
          <w:sz w:val="19"/>
          <w:szCs w:val="19"/>
        </w:rPr>
        <w:t xml:space="preserve"> </w:t>
      </w:r>
      <w:r>
        <w:rPr>
          <w:rFonts w:ascii="Arial" w:hAnsi="Arial" w:eastAsia="Arial" w:cs="Arial"/>
          <w:spacing w:val="-4"/>
          <w:sz w:val="19"/>
          <w:szCs w:val="19"/>
        </w:rPr>
        <w:t>discipline.</w:t>
      </w:r>
    </w:p>
    <w:p>
      <w:pPr>
        <w:spacing w:before="54" w:line="259" w:lineRule="auto"/>
        <w:ind w:left="3" w:firstLine="242"/>
        <w:jc w:val="both"/>
        <w:rPr>
          <w:rFonts w:ascii="Arial" w:hAnsi="Arial" w:eastAsia="Arial" w:cs="Arial"/>
          <w:sz w:val="19"/>
          <w:szCs w:val="19"/>
        </w:rPr>
      </w:pPr>
      <w:r>
        <w:rPr>
          <w:rFonts w:ascii="Arial" w:hAnsi="Arial" w:eastAsia="Arial" w:cs="Arial"/>
          <w:spacing w:val="-6"/>
          <w:sz w:val="19"/>
          <w:szCs w:val="19"/>
        </w:rPr>
        <w:t>Over the</w:t>
      </w:r>
      <w:r>
        <w:rPr>
          <w:rFonts w:ascii="Arial" w:hAnsi="Arial" w:eastAsia="Arial" w:cs="Arial"/>
          <w:spacing w:val="19"/>
          <w:sz w:val="19"/>
          <w:szCs w:val="19"/>
        </w:rPr>
        <w:t xml:space="preserve"> </w:t>
      </w:r>
      <w:r>
        <w:rPr>
          <w:rFonts w:ascii="Arial" w:hAnsi="Arial" w:eastAsia="Arial" w:cs="Arial"/>
          <w:spacing w:val="-6"/>
          <w:sz w:val="19"/>
          <w:szCs w:val="19"/>
        </w:rPr>
        <w:t>last years, the</w:t>
      </w:r>
      <w:r>
        <w:rPr>
          <w:rFonts w:ascii="Arial" w:hAnsi="Arial" w:eastAsia="Arial" w:cs="Arial"/>
          <w:spacing w:val="10"/>
          <w:sz w:val="19"/>
          <w:szCs w:val="19"/>
        </w:rPr>
        <w:t xml:space="preserve"> </w:t>
      </w:r>
      <w:r>
        <w:rPr>
          <w:rFonts w:ascii="Arial" w:hAnsi="Arial" w:eastAsia="Arial" w:cs="Arial"/>
          <w:spacing w:val="-6"/>
          <w:sz w:val="19"/>
          <w:szCs w:val="19"/>
        </w:rPr>
        <w:t>number of case studies and qualitative</w:t>
      </w:r>
      <w:r>
        <w:rPr>
          <w:rFonts w:ascii="Arial" w:hAnsi="Arial" w:eastAsia="Arial" w:cs="Arial"/>
          <w:spacing w:val="12"/>
          <w:sz w:val="19"/>
          <w:szCs w:val="19"/>
        </w:rPr>
        <w:t xml:space="preserve"> </w:t>
      </w:r>
      <w:r>
        <w:rPr>
          <w:rFonts w:ascii="Arial" w:hAnsi="Arial" w:eastAsia="Arial" w:cs="Arial"/>
          <w:spacing w:val="-6"/>
          <w:sz w:val="19"/>
          <w:szCs w:val="19"/>
        </w:rPr>
        <w:t>research</w:t>
      </w:r>
      <w:r>
        <w:rPr>
          <w:rFonts w:ascii="Arial" w:hAnsi="Arial" w:eastAsia="Arial" w:cs="Arial"/>
          <w:spacing w:val="11"/>
          <w:sz w:val="19"/>
          <w:szCs w:val="19"/>
        </w:rPr>
        <w:t xml:space="preserve"> </w:t>
      </w:r>
      <w:r>
        <w:rPr>
          <w:rFonts w:ascii="Arial" w:hAnsi="Arial" w:eastAsia="Arial" w:cs="Arial"/>
          <w:spacing w:val="-6"/>
          <w:sz w:val="19"/>
          <w:szCs w:val="19"/>
        </w:rPr>
        <w:t>papers</w:t>
      </w:r>
      <w:r>
        <w:rPr>
          <w:rFonts w:ascii="Arial" w:hAnsi="Arial" w:eastAsia="Arial" w:cs="Arial"/>
          <w:spacing w:val="5"/>
          <w:sz w:val="19"/>
          <w:szCs w:val="19"/>
        </w:rPr>
        <w:t xml:space="preserve"> </w:t>
      </w:r>
      <w:r>
        <w:rPr>
          <w:rFonts w:ascii="Arial" w:hAnsi="Arial" w:eastAsia="Arial" w:cs="Arial"/>
          <w:spacing w:val="-6"/>
          <w:sz w:val="19"/>
          <w:szCs w:val="19"/>
        </w:rPr>
        <w:t>on</w:t>
      </w:r>
      <w:r>
        <w:rPr>
          <w:rFonts w:ascii="Arial" w:hAnsi="Arial" w:eastAsia="Arial" w:cs="Arial"/>
          <w:spacing w:val="5"/>
          <w:sz w:val="19"/>
          <w:szCs w:val="19"/>
        </w:rPr>
        <w:t xml:space="preserve"> </w:t>
      </w:r>
      <w:r>
        <w:rPr>
          <w:rFonts w:ascii="Arial" w:hAnsi="Arial" w:eastAsia="Arial" w:cs="Arial"/>
          <w:spacing w:val="-6"/>
          <w:sz w:val="19"/>
          <w:szCs w:val="19"/>
        </w:rPr>
        <w:t>quality</w:t>
      </w:r>
      <w:r>
        <w:rPr>
          <w:rFonts w:ascii="Arial" w:hAnsi="Arial" w:eastAsia="Arial" w:cs="Arial"/>
          <w:spacing w:val="5"/>
          <w:sz w:val="19"/>
          <w:szCs w:val="19"/>
        </w:rPr>
        <w:t xml:space="preserve"> </w:t>
      </w:r>
      <w:r>
        <w:rPr>
          <w:rFonts w:ascii="Arial" w:hAnsi="Arial" w:eastAsia="Arial" w:cs="Arial"/>
          <w:spacing w:val="-6"/>
          <w:sz w:val="19"/>
          <w:szCs w:val="19"/>
        </w:rPr>
        <w:t>culture</w:t>
      </w:r>
      <w:r>
        <w:rPr>
          <w:rFonts w:ascii="Arial" w:hAnsi="Arial" w:eastAsia="Arial" w:cs="Arial"/>
          <w:sz w:val="19"/>
          <w:szCs w:val="19"/>
        </w:rPr>
        <w:t xml:space="preserve"> </w:t>
      </w:r>
      <w:r>
        <w:rPr>
          <w:rFonts w:ascii="Arial" w:hAnsi="Arial" w:eastAsia="Arial" w:cs="Arial"/>
          <w:spacing w:val="-8"/>
          <w:sz w:val="19"/>
          <w:szCs w:val="19"/>
        </w:rPr>
        <w:t xml:space="preserve">has clearly increased (e.g. EUA </w:t>
      </w:r>
      <w:r>
        <w:fldChar w:fldCharType="begin"/>
      </w:r>
      <w:r>
        <w:instrText xml:space="preserve"> HYPERLINK \l "bookmark11" </w:instrText>
      </w:r>
      <w:r>
        <w:fldChar w:fldCharType="separate"/>
      </w:r>
      <w:r>
        <w:rPr>
          <w:rFonts w:ascii="Arial" w:hAnsi="Arial" w:eastAsia="Arial" w:cs="Arial"/>
          <w:color w:val="000084"/>
          <w:spacing w:val="-8"/>
          <w:sz w:val="19"/>
          <w:szCs w:val="19"/>
        </w:rPr>
        <w:t>2005</w:t>
      </w:r>
      <w:r>
        <w:rPr>
          <w:rFonts w:ascii="Arial" w:hAnsi="Arial" w:eastAsia="Arial" w:cs="Arial"/>
          <w:color w:val="000084"/>
          <w:spacing w:val="-8"/>
          <w:sz w:val="19"/>
          <w:szCs w:val="19"/>
        </w:rPr>
        <w:fldChar w:fldCharType="end"/>
      </w:r>
      <w:r>
        <w:rPr>
          <w:rFonts w:ascii="Arial" w:hAnsi="Arial" w:eastAsia="Arial" w:cs="Arial"/>
          <w:spacing w:val="-8"/>
          <w:sz w:val="19"/>
          <w:szCs w:val="19"/>
        </w:rPr>
        <w:t>; Huson</w:t>
      </w:r>
      <w:r>
        <w:rPr>
          <w:rFonts w:ascii="Arial" w:hAnsi="Arial" w:eastAsia="Arial" w:cs="Arial"/>
          <w:spacing w:val="-14"/>
          <w:sz w:val="19"/>
          <w:szCs w:val="19"/>
        </w:rPr>
        <w:t xml:space="preserve"> </w:t>
      </w:r>
      <w:r>
        <w:fldChar w:fldCharType="begin"/>
      </w:r>
      <w:r>
        <w:instrText xml:space="preserve"> HYPERLINK \l "bookmark12" </w:instrText>
      </w:r>
      <w:r>
        <w:fldChar w:fldCharType="separate"/>
      </w:r>
      <w:r>
        <w:rPr>
          <w:rFonts w:ascii="Arial" w:hAnsi="Arial" w:eastAsia="Arial" w:cs="Arial"/>
          <w:color w:val="000084"/>
          <w:spacing w:val="-8"/>
          <w:sz w:val="19"/>
          <w:szCs w:val="19"/>
        </w:rPr>
        <w:t>2015</w:t>
      </w:r>
      <w:r>
        <w:rPr>
          <w:rFonts w:ascii="Arial" w:hAnsi="Arial" w:eastAsia="Arial" w:cs="Arial"/>
          <w:color w:val="000084"/>
          <w:spacing w:val="-8"/>
          <w:sz w:val="19"/>
          <w:szCs w:val="19"/>
        </w:rPr>
        <w:fldChar w:fldCharType="end"/>
      </w:r>
      <w:r>
        <w:rPr>
          <w:rFonts w:ascii="Arial" w:hAnsi="Arial" w:eastAsia="Arial" w:cs="Arial"/>
          <w:spacing w:val="-8"/>
          <w:sz w:val="19"/>
          <w:szCs w:val="19"/>
        </w:rPr>
        <w:t>; Lo</w:t>
      </w:r>
      <w:r>
        <w:rPr>
          <w:rFonts w:ascii="Arial" w:hAnsi="Arial" w:eastAsia="Arial" w:cs="Arial"/>
          <w:spacing w:val="-9"/>
          <w:sz w:val="19"/>
          <w:szCs w:val="19"/>
        </w:rPr>
        <w:t>ukkola and Zhang</w:t>
      </w:r>
      <w:r>
        <w:rPr>
          <w:rFonts w:ascii="Arial" w:hAnsi="Arial" w:eastAsia="Arial" w:cs="Arial"/>
          <w:spacing w:val="-13"/>
          <w:sz w:val="19"/>
          <w:szCs w:val="19"/>
        </w:rPr>
        <w:t xml:space="preserve"> </w:t>
      </w:r>
      <w:r>
        <w:fldChar w:fldCharType="begin"/>
      </w:r>
      <w:r>
        <w:instrText xml:space="preserve"> HYPERLINK \l "bookmark13" </w:instrText>
      </w:r>
      <w:r>
        <w:fldChar w:fldCharType="separate"/>
      </w:r>
      <w:r>
        <w:rPr>
          <w:rFonts w:ascii="Arial" w:hAnsi="Arial" w:eastAsia="Arial" w:cs="Arial"/>
          <w:color w:val="000084"/>
          <w:spacing w:val="-9"/>
          <w:sz w:val="19"/>
          <w:szCs w:val="19"/>
        </w:rPr>
        <w:t>2010</w:t>
      </w:r>
      <w:r>
        <w:rPr>
          <w:rFonts w:ascii="Arial" w:hAnsi="Arial" w:eastAsia="Arial" w:cs="Arial"/>
          <w:color w:val="000084"/>
          <w:spacing w:val="-9"/>
          <w:sz w:val="19"/>
          <w:szCs w:val="19"/>
        </w:rPr>
        <w:fldChar w:fldCharType="end"/>
      </w:r>
      <w:r>
        <w:rPr>
          <w:rFonts w:ascii="Arial" w:hAnsi="Arial" w:eastAsia="Arial" w:cs="Arial"/>
          <w:spacing w:val="-9"/>
          <w:sz w:val="19"/>
          <w:szCs w:val="19"/>
        </w:rPr>
        <w:t>; Shah,Uqaili, and Qureshi</w:t>
      </w:r>
      <w:r>
        <w:rPr>
          <w:rFonts w:ascii="Arial" w:hAnsi="Arial" w:eastAsia="Arial" w:cs="Arial"/>
          <w:sz w:val="19"/>
          <w:szCs w:val="19"/>
        </w:rPr>
        <w:t xml:space="preserve"> </w:t>
      </w:r>
      <w:r>
        <w:fldChar w:fldCharType="begin"/>
      </w:r>
      <w:r>
        <w:instrText xml:space="preserve"> HYPERLINK \l "bookmark14" </w:instrText>
      </w:r>
      <w:r>
        <w:fldChar w:fldCharType="separate"/>
      </w:r>
      <w:r>
        <w:rPr>
          <w:rFonts w:ascii="Arial" w:hAnsi="Arial" w:eastAsia="Arial" w:cs="Arial"/>
          <w:color w:val="000084"/>
          <w:spacing w:val="-5"/>
          <w:sz w:val="19"/>
          <w:szCs w:val="19"/>
        </w:rPr>
        <w:t>2017</w:t>
      </w:r>
      <w:r>
        <w:rPr>
          <w:rFonts w:ascii="Arial" w:hAnsi="Arial" w:eastAsia="Arial" w:cs="Arial"/>
          <w:color w:val="000084"/>
          <w:spacing w:val="-5"/>
          <w:sz w:val="19"/>
          <w:szCs w:val="19"/>
        </w:rPr>
        <w:fldChar w:fldCharType="end"/>
      </w:r>
      <w:r>
        <w:rPr>
          <w:rFonts w:ascii="Arial" w:hAnsi="Arial" w:eastAsia="Arial" w:cs="Arial"/>
          <w:spacing w:val="-5"/>
          <w:sz w:val="19"/>
          <w:szCs w:val="19"/>
        </w:rPr>
        <w:t>; Sursock</w:t>
      </w:r>
      <w:r>
        <w:rPr>
          <w:rFonts w:ascii="Arial" w:hAnsi="Arial" w:eastAsia="Arial" w:cs="Arial"/>
          <w:spacing w:val="-13"/>
          <w:sz w:val="19"/>
          <w:szCs w:val="19"/>
        </w:rPr>
        <w:t xml:space="preserve"> </w:t>
      </w:r>
      <w:r>
        <w:fldChar w:fldCharType="begin"/>
      </w:r>
      <w:r>
        <w:instrText xml:space="preserve"> HYPERLINK \l "bookmark15" </w:instrText>
      </w:r>
      <w:r>
        <w:fldChar w:fldCharType="separate"/>
      </w:r>
      <w:r>
        <w:rPr>
          <w:rFonts w:ascii="Arial" w:hAnsi="Arial" w:eastAsia="Arial" w:cs="Arial"/>
          <w:color w:val="000084"/>
          <w:spacing w:val="-5"/>
          <w:sz w:val="19"/>
          <w:szCs w:val="19"/>
        </w:rPr>
        <w:t>2011</w:t>
      </w:r>
      <w:r>
        <w:rPr>
          <w:rFonts w:ascii="Arial" w:hAnsi="Arial" w:eastAsia="Arial" w:cs="Arial"/>
          <w:color w:val="000084"/>
          <w:spacing w:val="-5"/>
          <w:sz w:val="19"/>
          <w:szCs w:val="19"/>
        </w:rPr>
        <w:fldChar w:fldCharType="end"/>
      </w:r>
      <w:r>
        <w:rPr>
          <w:rFonts w:ascii="Arial" w:hAnsi="Arial" w:eastAsia="Arial" w:cs="Arial"/>
          <w:spacing w:val="-5"/>
          <w:sz w:val="19"/>
          <w:szCs w:val="19"/>
        </w:rPr>
        <w:t xml:space="preserve">; Vettori </w:t>
      </w:r>
      <w:r>
        <w:fldChar w:fldCharType="begin"/>
      </w:r>
      <w:r>
        <w:instrText xml:space="preserve"> HYPERLINK \l "bookmark16" </w:instrText>
      </w:r>
      <w:r>
        <w:fldChar w:fldCharType="separate"/>
      </w:r>
      <w:r>
        <w:rPr>
          <w:rFonts w:ascii="Arial" w:hAnsi="Arial" w:eastAsia="Arial" w:cs="Arial"/>
          <w:color w:val="000084"/>
          <w:spacing w:val="-5"/>
          <w:sz w:val="19"/>
          <w:szCs w:val="19"/>
        </w:rPr>
        <w:t>2012</w:t>
      </w:r>
      <w:r>
        <w:rPr>
          <w:rFonts w:ascii="Arial" w:hAnsi="Arial" w:eastAsia="Arial" w:cs="Arial"/>
          <w:color w:val="000084"/>
          <w:spacing w:val="-5"/>
          <w:sz w:val="19"/>
          <w:szCs w:val="19"/>
        </w:rPr>
        <w:fldChar w:fldCharType="end"/>
      </w:r>
      <w:r>
        <w:rPr>
          <w:rFonts w:ascii="Arial" w:hAnsi="Arial" w:eastAsia="Arial" w:cs="Arial"/>
          <w:spacing w:val="-5"/>
          <w:sz w:val="19"/>
          <w:szCs w:val="19"/>
        </w:rPr>
        <w:t xml:space="preserve">), but </w:t>
      </w:r>
      <w:r>
        <w:rPr>
          <w:rFonts w:ascii="Arial" w:hAnsi="Arial" w:eastAsia="Arial" w:cs="Arial"/>
          <w:spacing w:val="-6"/>
          <w:sz w:val="19"/>
          <w:szCs w:val="19"/>
        </w:rPr>
        <w:t>empirical approaches operationalizing this important construct</w:t>
      </w:r>
      <w:r>
        <w:rPr>
          <w:rFonts w:ascii="Arial" w:hAnsi="Arial" w:eastAsia="Arial" w:cs="Arial"/>
          <w:sz w:val="19"/>
          <w:szCs w:val="19"/>
        </w:rPr>
        <w:t xml:space="preserve"> </w:t>
      </w:r>
      <w:r>
        <w:rPr>
          <w:rFonts w:ascii="Arial" w:hAnsi="Arial" w:eastAsia="Arial" w:cs="Arial"/>
          <w:spacing w:val="-6"/>
          <w:sz w:val="19"/>
          <w:szCs w:val="19"/>
        </w:rPr>
        <w:t>have</w:t>
      </w:r>
      <w:r>
        <w:rPr>
          <w:rFonts w:ascii="Arial" w:hAnsi="Arial" w:eastAsia="Arial" w:cs="Arial"/>
          <w:spacing w:val="30"/>
          <w:sz w:val="19"/>
          <w:szCs w:val="19"/>
        </w:rPr>
        <w:t xml:space="preserve"> </w:t>
      </w:r>
      <w:r>
        <w:rPr>
          <w:rFonts w:ascii="Arial" w:hAnsi="Arial" w:eastAsia="Arial" w:cs="Arial"/>
          <w:spacing w:val="-6"/>
          <w:sz w:val="19"/>
          <w:szCs w:val="19"/>
        </w:rPr>
        <w:t>not</w:t>
      </w:r>
      <w:r>
        <w:rPr>
          <w:rFonts w:ascii="Arial" w:hAnsi="Arial" w:eastAsia="Arial" w:cs="Arial"/>
          <w:spacing w:val="29"/>
          <w:w w:val="101"/>
          <w:sz w:val="19"/>
          <w:szCs w:val="19"/>
        </w:rPr>
        <w:t xml:space="preserve"> </w:t>
      </w:r>
      <w:r>
        <w:rPr>
          <w:rFonts w:ascii="Arial" w:hAnsi="Arial" w:eastAsia="Arial" w:cs="Arial"/>
          <w:spacing w:val="-6"/>
          <w:sz w:val="19"/>
          <w:szCs w:val="19"/>
        </w:rPr>
        <w:t>been</w:t>
      </w:r>
      <w:r>
        <w:rPr>
          <w:rFonts w:ascii="Arial" w:hAnsi="Arial" w:eastAsia="Arial" w:cs="Arial"/>
          <w:spacing w:val="23"/>
          <w:sz w:val="19"/>
          <w:szCs w:val="19"/>
        </w:rPr>
        <w:t xml:space="preserve"> </w:t>
      </w:r>
      <w:r>
        <w:rPr>
          <w:rFonts w:ascii="Arial" w:hAnsi="Arial" w:eastAsia="Arial" w:cs="Arial"/>
          <w:spacing w:val="-6"/>
          <w:sz w:val="19"/>
          <w:szCs w:val="19"/>
        </w:rPr>
        <w:t>developed</w:t>
      </w:r>
      <w:r>
        <w:rPr>
          <w:rFonts w:ascii="Arial" w:hAnsi="Arial" w:eastAsia="Arial" w:cs="Arial"/>
          <w:spacing w:val="23"/>
          <w:w w:val="101"/>
          <w:sz w:val="19"/>
          <w:szCs w:val="19"/>
        </w:rPr>
        <w:t xml:space="preserve"> </w:t>
      </w:r>
      <w:r>
        <w:rPr>
          <w:rFonts w:ascii="Arial" w:hAnsi="Arial" w:eastAsia="Arial" w:cs="Arial"/>
          <w:spacing w:val="-6"/>
          <w:sz w:val="19"/>
          <w:szCs w:val="19"/>
        </w:rPr>
        <w:t>suiciently.</w:t>
      </w:r>
      <w:r>
        <w:rPr>
          <w:rFonts w:ascii="Arial" w:hAnsi="Arial" w:eastAsia="Arial" w:cs="Arial"/>
          <w:spacing w:val="20"/>
          <w:w w:val="101"/>
          <w:sz w:val="19"/>
          <w:szCs w:val="19"/>
        </w:rPr>
        <w:t xml:space="preserve"> </w:t>
      </w:r>
      <w:r>
        <w:rPr>
          <w:rFonts w:ascii="Arial" w:hAnsi="Arial" w:eastAsia="Arial" w:cs="Arial"/>
          <w:spacing w:val="-6"/>
          <w:sz w:val="19"/>
          <w:szCs w:val="19"/>
        </w:rPr>
        <w:t>As</w:t>
      </w:r>
      <w:r>
        <w:rPr>
          <w:rFonts w:ascii="Arial" w:hAnsi="Arial" w:eastAsia="Arial" w:cs="Arial"/>
          <w:spacing w:val="30"/>
          <w:sz w:val="19"/>
          <w:szCs w:val="19"/>
        </w:rPr>
        <w:t xml:space="preserve"> </w:t>
      </w:r>
      <w:r>
        <w:rPr>
          <w:rFonts w:ascii="Arial" w:hAnsi="Arial" w:eastAsia="Arial" w:cs="Arial"/>
          <w:spacing w:val="-6"/>
          <w:sz w:val="19"/>
          <w:szCs w:val="19"/>
        </w:rPr>
        <w:t>Bendermacher</w:t>
      </w:r>
      <w:r>
        <w:rPr>
          <w:rFonts w:ascii="Arial" w:hAnsi="Arial" w:eastAsia="Arial" w:cs="Arial"/>
          <w:spacing w:val="23"/>
          <w:w w:val="101"/>
          <w:sz w:val="19"/>
          <w:szCs w:val="19"/>
        </w:rPr>
        <w:t xml:space="preserve"> </w:t>
      </w:r>
      <w:r>
        <w:rPr>
          <w:rFonts w:ascii="Arial" w:hAnsi="Arial" w:eastAsia="Arial" w:cs="Arial"/>
          <w:spacing w:val="-6"/>
          <w:sz w:val="19"/>
          <w:szCs w:val="19"/>
        </w:rPr>
        <w:t>et</w:t>
      </w:r>
      <w:r>
        <w:rPr>
          <w:rFonts w:ascii="Arial" w:hAnsi="Arial" w:eastAsia="Arial" w:cs="Arial"/>
          <w:spacing w:val="22"/>
          <w:sz w:val="19"/>
          <w:szCs w:val="19"/>
        </w:rPr>
        <w:t xml:space="preserve"> </w:t>
      </w:r>
      <w:r>
        <w:rPr>
          <w:rFonts w:ascii="Arial" w:hAnsi="Arial" w:eastAsia="Arial" w:cs="Arial"/>
          <w:spacing w:val="-6"/>
          <w:sz w:val="19"/>
          <w:szCs w:val="19"/>
        </w:rPr>
        <w:t>al.</w:t>
      </w:r>
      <w:r>
        <w:rPr>
          <w:rFonts w:ascii="Arial" w:hAnsi="Arial" w:eastAsia="Arial" w:cs="Arial"/>
          <w:spacing w:val="28"/>
          <w:sz w:val="19"/>
          <w:szCs w:val="19"/>
        </w:rPr>
        <w:t xml:space="preserve"> </w:t>
      </w:r>
      <w:r>
        <w:rPr>
          <w:rFonts w:ascii="Arial" w:hAnsi="Arial" w:eastAsia="Arial" w:cs="Arial"/>
          <w:spacing w:val="-6"/>
          <w:sz w:val="19"/>
          <w:szCs w:val="19"/>
        </w:rPr>
        <w:t>(</w:t>
      </w:r>
      <w:r>
        <w:fldChar w:fldCharType="begin"/>
      </w:r>
      <w:r>
        <w:instrText xml:space="preserve"> HYPERLINK \l "bookmark17" </w:instrText>
      </w:r>
      <w:r>
        <w:fldChar w:fldCharType="separate"/>
      </w:r>
      <w:r>
        <w:rPr>
          <w:rFonts w:ascii="Arial" w:hAnsi="Arial" w:eastAsia="Arial" w:cs="Arial"/>
          <w:color w:val="000084"/>
          <w:spacing w:val="-6"/>
          <w:sz w:val="19"/>
          <w:szCs w:val="19"/>
        </w:rPr>
        <w:t>2017</w:t>
      </w:r>
      <w:r>
        <w:rPr>
          <w:rFonts w:ascii="Arial" w:hAnsi="Arial" w:eastAsia="Arial" w:cs="Arial"/>
          <w:color w:val="000084"/>
          <w:spacing w:val="-6"/>
          <w:sz w:val="19"/>
          <w:szCs w:val="19"/>
        </w:rPr>
        <w:fldChar w:fldCharType="end"/>
      </w:r>
      <w:r>
        <w:rPr>
          <w:rFonts w:ascii="Arial" w:hAnsi="Arial" w:eastAsia="Arial" w:cs="Arial"/>
          <w:spacing w:val="-6"/>
          <w:sz w:val="19"/>
          <w:szCs w:val="19"/>
        </w:rPr>
        <w:t>)</w:t>
      </w:r>
      <w:r>
        <w:rPr>
          <w:rFonts w:ascii="Arial" w:hAnsi="Arial" w:eastAsia="Arial" w:cs="Arial"/>
          <w:spacing w:val="22"/>
          <w:w w:val="101"/>
          <w:sz w:val="19"/>
          <w:szCs w:val="19"/>
        </w:rPr>
        <w:t xml:space="preserve"> </w:t>
      </w:r>
      <w:r>
        <w:rPr>
          <w:rFonts w:ascii="Arial" w:hAnsi="Arial" w:eastAsia="Arial" w:cs="Arial"/>
          <w:spacing w:val="-6"/>
          <w:sz w:val="19"/>
          <w:szCs w:val="19"/>
        </w:rPr>
        <w:t>state</w:t>
      </w:r>
      <w:r>
        <w:rPr>
          <w:rFonts w:ascii="Arial" w:hAnsi="Arial" w:eastAsia="Arial" w:cs="Arial"/>
          <w:spacing w:val="28"/>
          <w:sz w:val="19"/>
          <w:szCs w:val="19"/>
        </w:rPr>
        <w:t xml:space="preserve"> </w:t>
      </w:r>
      <w:r>
        <w:rPr>
          <w:rFonts w:ascii="Arial" w:hAnsi="Arial" w:eastAsia="Arial" w:cs="Arial"/>
          <w:spacing w:val="-6"/>
          <w:sz w:val="19"/>
          <w:szCs w:val="19"/>
        </w:rPr>
        <w:t>in</w:t>
      </w:r>
      <w:r>
        <w:rPr>
          <w:rFonts w:ascii="Arial" w:hAnsi="Arial" w:eastAsia="Arial" w:cs="Arial"/>
          <w:spacing w:val="23"/>
          <w:sz w:val="19"/>
          <w:szCs w:val="19"/>
        </w:rPr>
        <w:t xml:space="preserve"> </w:t>
      </w:r>
      <w:r>
        <w:rPr>
          <w:rFonts w:ascii="Arial" w:hAnsi="Arial" w:eastAsia="Arial" w:cs="Arial"/>
          <w:spacing w:val="-6"/>
          <w:sz w:val="19"/>
          <w:szCs w:val="19"/>
        </w:rPr>
        <w:t>a</w:t>
      </w:r>
      <w:r>
        <w:rPr>
          <w:rFonts w:ascii="Arial" w:hAnsi="Arial" w:eastAsia="Arial" w:cs="Arial"/>
          <w:spacing w:val="28"/>
          <w:sz w:val="19"/>
          <w:szCs w:val="19"/>
        </w:rPr>
        <w:t xml:space="preserve"> </w:t>
      </w:r>
      <w:r>
        <w:rPr>
          <w:rFonts w:ascii="Arial" w:hAnsi="Arial" w:eastAsia="Arial" w:cs="Arial"/>
          <w:spacing w:val="-6"/>
          <w:sz w:val="19"/>
          <w:szCs w:val="19"/>
        </w:rPr>
        <w:t>recent</w:t>
      </w:r>
      <w:r>
        <w:rPr>
          <w:rFonts w:ascii="Arial" w:hAnsi="Arial" w:eastAsia="Arial" w:cs="Arial"/>
          <w:spacing w:val="29"/>
          <w:w w:val="101"/>
          <w:sz w:val="19"/>
          <w:szCs w:val="19"/>
        </w:rPr>
        <w:t xml:space="preserve"> </w:t>
      </w:r>
      <w:r>
        <w:rPr>
          <w:rFonts w:ascii="Arial" w:hAnsi="Arial" w:eastAsia="Arial" w:cs="Arial"/>
          <w:spacing w:val="-6"/>
          <w:sz w:val="19"/>
          <w:szCs w:val="19"/>
        </w:rPr>
        <w:t>review,</w:t>
      </w:r>
      <w:r>
        <w:rPr>
          <w:rFonts w:ascii="Arial" w:hAnsi="Arial" w:eastAsia="Arial" w:cs="Arial"/>
          <w:spacing w:val="19"/>
          <w:w w:val="101"/>
          <w:sz w:val="19"/>
          <w:szCs w:val="19"/>
        </w:rPr>
        <w:t xml:space="preserve"> </w:t>
      </w:r>
      <w:r>
        <w:rPr>
          <w:rFonts w:ascii="Arial" w:hAnsi="Arial" w:eastAsia="Arial" w:cs="Arial"/>
          <w:spacing w:val="-6"/>
          <w:sz w:val="19"/>
          <w:szCs w:val="19"/>
        </w:rPr>
        <w:t>the</w:t>
      </w:r>
      <w:r>
        <w:rPr>
          <w:rFonts w:ascii="Arial" w:hAnsi="Arial" w:eastAsia="Arial" w:cs="Arial"/>
          <w:sz w:val="19"/>
          <w:szCs w:val="19"/>
        </w:rPr>
        <w:t xml:space="preserve"> </w:t>
      </w:r>
      <w:r>
        <w:rPr>
          <w:rFonts w:ascii="Arial" w:hAnsi="Arial" w:eastAsia="Arial" w:cs="Arial"/>
          <w:spacing w:val="-6"/>
          <w:sz w:val="19"/>
          <w:szCs w:val="19"/>
        </w:rPr>
        <w:t>exact</w:t>
      </w:r>
      <w:r>
        <w:rPr>
          <w:rFonts w:ascii="Arial" w:hAnsi="Arial" w:eastAsia="Arial" w:cs="Arial"/>
          <w:spacing w:val="29"/>
          <w:w w:val="101"/>
          <w:sz w:val="19"/>
          <w:szCs w:val="19"/>
        </w:rPr>
        <w:t xml:space="preserve"> </w:t>
      </w:r>
      <w:r>
        <w:rPr>
          <w:rFonts w:ascii="Arial" w:hAnsi="Arial" w:eastAsia="Arial" w:cs="Arial"/>
          <w:spacing w:val="-6"/>
          <w:sz w:val="19"/>
          <w:szCs w:val="19"/>
        </w:rPr>
        <w:t>structure</w:t>
      </w:r>
      <w:r>
        <w:rPr>
          <w:rFonts w:ascii="Arial" w:hAnsi="Arial" w:eastAsia="Arial" w:cs="Arial"/>
          <w:spacing w:val="12"/>
          <w:sz w:val="19"/>
          <w:szCs w:val="19"/>
        </w:rPr>
        <w:t xml:space="preserve"> </w:t>
      </w:r>
      <w:r>
        <w:rPr>
          <w:rFonts w:ascii="Arial" w:hAnsi="Arial" w:eastAsia="Arial" w:cs="Arial"/>
          <w:spacing w:val="-6"/>
          <w:sz w:val="19"/>
          <w:szCs w:val="19"/>
        </w:rPr>
        <w:t>of quality</w:t>
      </w:r>
      <w:r>
        <w:rPr>
          <w:rFonts w:ascii="Arial" w:hAnsi="Arial" w:eastAsia="Arial" w:cs="Arial"/>
          <w:spacing w:val="13"/>
          <w:w w:val="101"/>
          <w:sz w:val="19"/>
          <w:szCs w:val="19"/>
        </w:rPr>
        <w:t xml:space="preserve"> </w:t>
      </w:r>
      <w:r>
        <w:rPr>
          <w:rFonts w:ascii="Arial" w:hAnsi="Arial" w:eastAsia="Arial" w:cs="Arial"/>
          <w:spacing w:val="-6"/>
          <w:sz w:val="19"/>
          <w:szCs w:val="19"/>
        </w:rPr>
        <w:t>culture</w:t>
      </w:r>
      <w:r>
        <w:rPr>
          <w:rFonts w:ascii="Arial" w:hAnsi="Arial" w:eastAsia="Arial" w:cs="Arial"/>
          <w:spacing w:val="20"/>
          <w:sz w:val="19"/>
          <w:szCs w:val="19"/>
        </w:rPr>
        <w:t xml:space="preserve"> </w:t>
      </w:r>
      <w:r>
        <w:rPr>
          <w:rFonts w:ascii="Arial" w:hAnsi="Arial" w:eastAsia="Arial" w:cs="Arial"/>
          <w:spacing w:val="-6"/>
          <w:sz w:val="19"/>
          <w:szCs w:val="19"/>
        </w:rPr>
        <w:t>remains</w:t>
      </w:r>
      <w:r>
        <w:rPr>
          <w:rFonts w:ascii="Arial" w:hAnsi="Arial" w:eastAsia="Arial" w:cs="Arial"/>
          <w:spacing w:val="18"/>
          <w:sz w:val="19"/>
          <w:szCs w:val="19"/>
        </w:rPr>
        <w:t xml:space="preserve"> </w:t>
      </w:r>
      <w:r>
        <w:rPr>
          <w:rFonts w:ascii="Arial" w:hAnsi="Arial" w:eastAsia="Arial" w:cs="Arial"/>
          <w:spacing w:val="-6"/>
          <w:sz w:val="19"/>
          <w:szCs w:val="19"/>
        </w:rPr>
        <w:t>unclear,</w:t>
      </w:r>
      <w:r>
        <w:rPr>
          <w:rFonts w:ascii="Arial" w:hAnsi="Arial" w:eastAsia="Arial" w:cs="Arial"/>
          <w:spacing w:val="12"/>
          <w:sz w:val="19"/>
          <w:szCs w:val="19"/>
        </w:rPr>
        <w:t xml:space="preserve"> </w:t>
      </w:r>
      <w:r>
        <w:rPr>
          <w:rFonts w:ascii="Arial" w:hAnsi="Arial" w:eastAsia="Arial" w:cs="Arial"/>
          <w:spacing w:val="-6"/>
          <w:sz w:val="19"/>
          <w:szCs w:val="19"/>
        </w:rPr>
        <w:t>even</w:t>
      </w:r>
      <w:r>
        <w:rPr>
          <w:rFonts w:ascii="Arial" w:hAnsi="Arial" w:eastAsia="Arial" w:cs="Arial"/>
          <w:spacing w:val="9"/>
          <w:sz w:val="19"/>
          <w:szCs w:val="19"/>
        </w:rPr>
        <w:t xml:space="preserve"> </w:t>
      </w:r>
      <w:r>
        <w:rPr>
          <w:rFonts w:ascii="Arial" w:hAnsi="Arial" w:eastAsia="Arial" w:cs="Arial"/>
          <w:spacing w:val="-6"/>
          <w:sz w:val="19"/>
          <w:szCs w:val="19"/>
        </w:rPr>
        <w:t>though</w:t>
      </w:r>
      <w:r>
        <w:rPr>
          <w:rFonts w:ascii="Arial" w:hAnsi="Arial" w:eastAsia="Arial" w:cs="Arial"/>
          <w:spacing w:val="18"/>
          <w:sz w:val="19"/>
          <w:szCs w:val="19"/>
        </w:rPr>
        <w:t xml:space="preserve"> </w:t>
      </w:r>
      <w:r>
        <w:rPr>
          <w:rFonts w:ascii="Arial" w:hAnsi="Arial" w:eastAsia="Arial" w:cs="Arial"/>
          <w:spacing w:val="-6"/>
          <w:sz w:val="19"/>
          <w:szCs w:val="19"/>
        </w:rPr>
        <w:t>researchers</w:t>
      </w:r>
      <w:r>
        <w:rPr>
          <w:rFonts w:ascii="Arial" w:hAnsi="Arial" w:eastAsia="Arial" w:cs="Arial"/>
          <w:spacing w:val="12"/>
          <w:sz w:val="19"/>
          <w:szCs w:val="19"/>
        </w:rPr>
        <w:t xml:space="preserve"> </w:t>
      </w:r>
      <w:r>
        <w:rPr>
          <w:rFonts w:ascii="Arial" w:hAnsi="Arial" w:eastAsia="Arial" w:cs="Arial"/>
          <w:spacing w:val="-6"/>
          <w:sz w:val="19"/>
          <w:szCs w:val="19"/>
        </w:rPr>
        <w:t>and</w:t>
      </w:r>
      <w:r>
        <w:rPr>
          <w:rFonts w:ascii="Arial" w:hAnsi="Arial" w:eastAsia="Arial" w:cs="Arial"/>
          <w:spacing w:val="19"/>
          <w:sz w:val="19"/>
          <w:szCs w:val="19"/>
        </w:rPr>
        <w:t xml:space="preserve"> </w:t>
      </w:r>
      <w:r>
        <w:rPr>
          <w:rFonts w:ascii="Arial" w:hAnsi="Arial" w:eastAsia="Arial" w:cs="Arial"/>
          <w:spacing w:val="-6"/>
          <w:sz w:val="19"/>
          <w:szCs w:val="19"/>
        </w:rPr>
        <w:t>practitioners</w:t>
      </w:r>
      <w:r>
        <w:rPr>
          <w:rFonts w:ascii="Arial" w:hAnsi="Arial" w:eastAsia="Arial" w:cs="Arial"/>
          <w:spacing w:val="13"/>
          <w:sz w:val="19"/>
          <w:szCs w:val="19"/>
        </w:rPr>
        <w:t xml:space="preserve"> </w:t>
      </w:r>
      <w:r>
        <w:rPr>
          <w:rFonts w:ascii="Arial" w:hAnsi="Arial" w:eastAsia="Arial" w:cs="Arial"/>
          <w:spacing w:val="-6"/>
          <w:sz w:val="19"/>
          <w:szCs w:val="19"/>
        </w:rPr>
        <w:t>agree</w:t>
      </w:r>
      <w:r>
        <w:rPr>
          <w:rFonts w:ascii="Arial" w:hAnsi="Arial" w:eastAsia="Arial" w:cs="Arial"/>
          <w:sz w:val="19"/>
          <w:szCs w:val="19"/>
        </w:rPr>
        <w:t xml:space="preserve"> </w:t>
      </w:r>
      <w:r>
        <w:rPr>
          <w:rFonts w:ascii="Arial" w:hAnsi="Arial" w:eastAsia="Arial" w:cs="Arial"/>
          <w:spacing w:val="-3"/>
          <w:sz w:val="19"/>
          <w:szCs w:val="19"/>
        </w:rPr>
        <w:t>on</w:t>
      </w:r>
      <w:r>
        <w:rPr>
          <w:rFonts w:ascii="Arial" w:hAnsi="Arial" w:eastAsia="Arial" w:cs="Arial"/>
          <w:spacing w:val="15"/>
          <w:w w:val="101"/>
          <w:sz w:val="19"/>
          <w:szCs w:val="19"/>
        </w:rPr>
        <w:t xml:space="preserve"> </w:t>
      </w:r>
      <w:r>
        <w:rPr>
          <w:rFonts w:ascii="Arial" w:hAnsi="Arial" w:eastAsia="Arial" w:cs="Arial"/>
          <w:spacing w:val="-3"/>
          <w:sz w:val="19"/>
          <w:szCs w:val="19"/>
        </w:rPr>
        <w:t>the</w:t>
      </w:r>
      <w:r>
        <w:rPr>
          <w:rFonts w:ascii="Arial" w:hAnsi="Arial" w:eastAsia="Arial" w:cs="Arial"/>
          <w:spacing w:val="24"/>
          <w:w w:val="101"/>
          <w:sz w:val="19"/>
          <w:szCs w:val="19"/>
        </w:rPr>
        <w:t xml:space="preserve"> </w:t>
      </w:r>
      <w:r>
        <w:rPr>
          <w:rFonts w:ascii="Arial" w:hAnsi="Arial" w:eastAsia="Arial" w:cs="Arial"/>
          <w:spacing w:val="-3"/>
          <w:sz w:val="19"/>
          <w:szCs w:val="19"/>
        </w:rPr>
        <w:t>importance</w:t>
      </w:r>
      <w:r>
        <w:rPr>
          <w:rFonts w:ascii="Arial" w:hAnsi="Arial" w:eastAsia="Arial" w:cs="Arial"/>
          <w:spacing w:val="19"/>
          <w:sz w:val="19"/>
          <w:szCs w:val="19"/>
        </w:rPr>
        <w:t xml:space="preserve"> </w:t>
      </w:r>
      <w:r>
        <w:rPr>
          <w:rFonts w:ascii="Arial" w:hAnsi="Arial" w:eastAsia="Arial" w:cs="Arial"/>
          <w:spacing w:val="-3"/>
          <w:sz w:val="19"/>
          <w:szCs w:val="19"/>
        </w:rPr>
        <w:t>of</w:t>
      </w:r>
      <w:r>
        <w:rPr>
          <w:rFonts w:ascii="Arial" w:hAnsi="Arial" w:eastAsia="Arial" w:cs="Arial"/>
          <w:spacing w:val="18"/>
          <w:sz w:val="19"/>
          <w:szCs w:val="19"/>
        </w:rPr>
        <w:t xml:space="preserve"> </w:t>
      </w:r>
      <w:r>
        <w:rPr>
          <w:rFonts w:ascii="Arial" w:hAnsi="Arial" w:eastAsia="Arial" w:cs="Arial"/>
          <w:spacing w:val="-3"/>
          <w:sz w:val="19"/>
          <w:szCs w:val="19"/>
        </w:rPr>
        <w:t>nurturing</w:t>
      </w:r>
      <w:r>
        <w:rPr>
          <w:rFonts w:ascii="Arial" w:hAnsi="Arial" w:eastAsia="Arial" w:cs="Arial"/>
          <w:spacing w:val="18"/>
          <w:w w:val="101"/>
          <w:sz w:val="19"/>
          <w:szCs w:val="19"/>
        </w:rPr>
        <w:t xml:space="preserve"> </w:t>
      </w:r>
      <w:r>
        <w:rPr>
          <w:rFonts w:ascii="Arial" w:hAnsi="Arial" w:eastAsia="Arial" w:cs="Arial"/>
          <w:spacing w:val="-3"/>
          <w:sz w:val="19"/>
          <w:szCs w:val="19"/>
        </w:rPr>
        <w:t>a</w:t>
      </w:r>
      <w:r>
        <w:rPr>
          <w:rFonts w:ascii="Arial" w:hAnsi="Arial" w:eastAsia="Arial" w:cs="Arial"/>
          <w:spacing w:val="19"/>
          <w:w w:val="101"/>
          <w:sz w:val="19"/>
          <w:szCs w:val="19"/>
        </w:rPr>
        <w:t xml:space="preserve"> </w:t>
      </w:r>
      <w:r>
        <w:rPr>
          <w:rFonts w:ascii="Arial" w:hAnsi="Arial" w:eastAsia="Arial" w:cs="Arial"/>
          <w:spacing w:val="-3"/>
          <w:sz w:val="19"/>
          <w:szCs w:val="19"/>
        </w:rPr>
        <w:t>culture</w:t>
      </w:r>
      <w:r>
        <w:rPr>
          <w:rFonts w:ascii="Arial" w:hAnsi="Arial" w:eastAsia="Arial" w:cs="Arial"/>
          <w:spacing w:val="21"/>
          <w:sz w:val="19"/>
          <w:szCs w:val="19"/>
        </w:rPr>
        <w:t xml:space="preserve"> </w:t>
      </w:r>
      <w:r>
        <w:rPr>
          <w:rFonts w:ascii="Arial" w:hAnsi="Arial" w:eastAsia="Arial" w:cs="Arial"/>
          <w:spacing w:val="-3"/>
          <w:sz w:val="19"/>
          <w:szCs w:val="19"/>
        </w:rPr>
        <w:t>of</w:t>
      </w:r>
      <w:r>
        <w:rPr>
          <w:rFonts w:ascii="Arial" w:hAnsi="Arial" w:eastAsia="Arial" w:cs="Arial"/>
          <w:spacing w:val="12"/>
          <w:sz w:val="19"/>
          <w:szCs w:val="19"/>
        </w:rPr>
        <w:t xml:space="preserve"> </w:t>
      </w:r>
      <w:r>
        <w:rPr>
          <w:rFonts w:ascii="Arial" w:hAnsi="Arial" w:eastAsia="Arial" w:cs="Arial"/>
          <w:spacing w:val="-3"/>
          <w:sz w:val="19"/>
          <w:szCs w:val="19"/>
        </w:rPr>
        <w:t>quality</w:t>
      </w:r>
      <w:r>
        <w:rPr>
          <w:rFonts w:ascii="Arial" w:hAnsi="Arial" w:eastAsia="Arial" w:cs="Arial"/>
          <w:spacing w:val="16"/>
          <w:w w:val="101"/>
          <w:sz w:val="19"/>
          <w:szCs w:val="19"/>
        </w:rPr>
        <w:t xml:space="preserve"> </w:t>
      </w:r>
      <w:r>
        <w:rPr>
          <w:rFonts w:ascii="Arial" w:hAnsi="Arial" w:eastAsia="Arial" w:cs="Arial"/>
          <w:spacing w:val="-3"/>
          <w:sz w:val="19"/>
          <w:szCs w:val="19"/>
        </w:rPr>
        <w:t>within</w:t>
      </w:r>
      <w:r>
        <w:rPr>
          <w:rFonts w:ascii="Arial" w:hAnsi="Arial" w:eastAsia="Arial" w:cs="Arial"/>
          <w:spacing w:val="16"/>
          <w:w w:val="101"/>
          <w:sz w:val="19"/>
          <w:szCs w:val="19"/>
        </w:rPr>
        <w:t xml:space="preserve"> </w:t>
      </w:r>
      <w:r>
        <w:rPr>
          <w:rFonts w:ascii="Arial" w:hAnsi="Arial" w:eastAsia="Arial" w:cs="Arial"/>
          <w:spacing w:val="-3"/>
          <w:sz w:val="19"/>
          <w:szCs w:val="19"/>
        </w:rPr>
        <w:t>the</w:t>
      </w:r>
      <w:r>
        <w:rPr>
          <w:rFonts w:ascii="Arial" w:hAnsi="Arial" w:eastAsia="Arial" w:cs="Arial"/>
          <w:spacing w:val="20"/>
          <w:sz w:val="19"/>
          <w:szCs w:val="19"/>
        </w:rPr>
        <w:t xml:space="preserve"> </w:t>
      </w:r>
      <w:r>
        <w:rPr>
          <w:rFonts w:ascii="Arial" w:hAnsi="Arial" w:eastAsia="Arial" w:cs="Arial"/>
          <w:spacing w:val="-3"/>
          <w:sz w:val="19"/>
          <w:szCs w:val="19"/>
        </w:rPr>
        <w:t>context</w:t>
      </w:r>
      <w:r>
        <w:rPr>
          <w:rFonts w:ascii="Arial" w:hAnsi="Arial" w:eastAsia="Arial" w:cs="Arial"/>
          <w:spacing w:val="20"/>
          <w:w w:val="101"/>
          <w:sz w:val="19"/>
          <w:szCs w:val="19"/>
        </w:rPr>
        <w:t xml:space="preserve"> </w:t>
      </w:r>
      <w:r>
        <w:rPr>
          <w:rFonts w:ascii="Arial" w:hAnsi="Arial" w:eastAsia="Arial" w:cs="Arial"/>
          <w:spacing w:val="-3"/>
          <w:sz w:val="19"/>
          <w:szCs w:val="19"/>
        </w:rPr>
        <w:t>of</w:t>
      </w:r>
      <w:r>
        <w:rPr>
          <w:rFonts w:ascii="Arial" w:hAnsi="Arial" w:eastAsia="Arial" w:cs="Arial"/>
          <w:spacing w:val="19"/>
          <w:sz w:val="19"/>
          <w:szCs w:val="19"/>
        </w:rPr>
        <w:t xml:space="preserve"> </w:t>
      </w:r>
      <w:r>
        <w:rPr>
          <w:rFonts w:ascii="Arial" w:hAnsi="Arial" w:eastAsia="Arial" w:cs="Arial"/>
          <w:spacing w:val="-3"/>
          <w:sz w:val="19"/>
          <w:szCs w:val="19"/>
        </w:rPr>
        <w:t>higher</w:t>
      </w:r>
      <w:r>
        <w:rPr>
          <w:rFonts w:ascii="Arial" w:hAnsi="Arial" w:eastAsia="Arial" w:cs="Arial"/>
          <w:spacing w:val="19"/>
          <w:w w:val="101"/>
          <w:sz w:val="19"/>
          <w:szCs w:val="19"/>
        </w:rPr>
        <w:t xml:space="preserve"> </w:t>
      </w:r>
      <w:r>
        <w:rPr>
          <w:rFonts w:ascii="Arial" w:hAnsi="Arial" w:eastAsia="Arial" w:cs="Arial"/>
          <w:spacing w:val="-3"/>
          <w:sz w:val="19"/>
          <w:szCs w:val="19"/>
        </w:rPr>
        <w:t>education,</w:t>
      </w:r>
      <w:r>
        <w:rPr>
          <w:rFonts w:ascii="Arial" w:hAnsi="Arial" w:eastAsia="Arial" w:cs="Arial"/>
          <w:spacing w:val="16"/>
          <w:w w:val="101"/>
          <w:sz w:val="19"/>
          <w:szCs w:val="19"/>
        </w:rPr>
        <w:t xml:space="preserve"> </w:t>
      </w:r>
      <w:r>
        <w:rPr>
          <w:rFonts w:ascii="Arial" w:hAnsi="Arial" w:eastAsia="Arial" w:cs="Arial"/>
          <w:spacing w:val="-3"/>
          <w:sz w:val="19"/>
          <w:szCs w:val="19"/>
        </w:rPr>
        <w:t>wh</w:t>
      </w:r>
      <w:r>
        <w:rPr>
          <w:rFonts w:ascii="Arial" w:hAnsi="Arial" w:eastAsia="Arial" w:cs="Arial"/>
          <w:spacing w:val="-4"/>
          <w:sz w:val="19"/>
          <w:szCs w:val="19"/>
        </w:rPr>
        <w:t>ich</w:t>
      </w:r>
      <w:r>
        <w:rPr>
          <w:rFonts w:ascii="Arial" w:hAnsi="Arial" w:eastAsia="Arial" w:cs="Arial"/>
          <w:sz w:val="19"/>
          <w:szCs w:val="19"/>
        </w:rPr>
        <w:t xml:space="preserve"> </w:t>
      </w:r>
      <w:r>
        <w:rPr>
          <w:rFonts w:ascii="Arial" w:hAnsi="Arial" w:eastAsia="Arial" w:cs="Arial"/>
          <w:spacing w:val="-5"/>
          <w:sz w:val="19"/>
          <w:szCs w:val="19"/>
        </w:rPr>
        <w:t>is assumed to</w:t>
      </w:r>
      <w:r>
        <w:rPr>
          <w:rFonts w:ascii="Arial" w:hAnsi="Arial" w:eastAsia="Arial" w:cs="Arial"/>
          <w:spacing w:val="10"/>
          <w:sz w:val="19"/>
          <w:szCs w:val="19"/>
        </w:rPr>
        <w:t xml:space="preserve"> </w:t>
      </w:r>
      <w:r>
        <w:rPr>
          <w:rFonts w:ascii="Arial" w:hAnsi="Arial" w:eastAsia="Arial" w:cs="Arial"/>
          <w:spacing w:val="-5"/>
          <w:sz w:val="19"/>
          <w:szCs w:val="19"/>
        </w:rPr>
        <w:t>lead to several favorable outcomes (e.g.</w:t>
      </w:r>
      <w:r>
        <w:rPr>
          <w:rFonts w:ascii="Arial" w:hAnsi="Arial" w:eastAsia="Arial" w:cs="Arial"/>
          <w:spacing w:val="4"/>
          <w:sz w:val="19"/>
          <w:szCs w:val="19"/>
        </w:rPr>
        <w:t xml:space="preserve"> </w:t>
      </w:r>
      <w:r>
        <w:rPr>
          <w:rFonts w:ascii="Arial" w:hAnsi="Arial" w:eastAsia="Arial" w:cs="Arial"/>
          <w:spacing w:val="-5"/>
          <w:sz w:val="19"/>
          <w:szCs w:val="19"/>
        </w:rPr>
        <w:t>staf and</w:t>
      </w:r>
      <w:r>
        <w:rPr>
          <w:rFonts w:ascii="Arial" w:hAnsi="Arial" w:eastAsia="Arial" w:cs="Arial"/>
          <w:spacing w:val="-6"/>
          <w:sz w:val="19"/>
          <w:szCs w:val="19"/>
        </w:rPr>
        <w:t xml:space="preserve"> student</w:t>
      </w:r>
      <w:r>
        <w:rPr>
          <w:rFonts w:ascii="Arial" w:hAnsi="Arial" w:eastAsia="Arial" w:cs="Arial"/>
          <w:spacing w:val="2"/>
          <w:sz w:val="19"/>
          <w:szCs w:val="19"/>
        </w:rPr>
        <w:t xml:space="preserve"> </w:t>
      </w:r>
      <w:r>
        <w:rPr>
          <w:rFonts w:ascii="Arial" w:hAnsi="Arial" w:eastAsia="Arial" w:cs="Arial"/>
          <w:spacing w:val="-6"/>
          <w:sz w:val="19"/>
          <w:szCs w:val="19"/>
        </w:rPr>
        <w:t>satisfaction).</w:t>
      </w:r>
      <w:r>
        <w:rPr>
          <w:rFonts w:ascii="Arial" w:hAnsi="Arial" w:eastAsia="Arial" w:cs="Arial"/>
          <w:spacing w:val="8"/>
          <w:sz w:val="19"/>
          <w:szCs w:val="19"/>
        </w:rPr>
        <w:t xml:space="preserve"> </w:t>
      </w:r>
      <w:r>
        <w:rPr>
          <w:rFonts w:ascii="Arial" w:hAnsi="Arial" w:eastAsia="Arial" w:cs="Arial"/>
          <w:spacing w:val="-6"/>
          <w:sz w:val="19"/>
          <w:szCs w:val="19"/>
        </w:rPr>
        <w:t>More</w:t>
      </w:r>
      <w:r>
        <w:rPr>
          <w:rFonts w:ascii="Arial" w:hAnsi="Arial" w:eastAsia="Arial" w:cs="Arial"/>
          <w:spacing w:val="3"/>
          <w:sz w:val="19"/>
          <w:szCs w:val="19"/>
        </w:rPr>
        <w:t xml:space="preserve"> </w:t>
      </w:r>
      <w:r>
        <w:rPr>
          <w:rFonts w:ascii="Arial" w:hAnsi="Arial" w:eastAsia="Arial" w:cs="Arial"/>
          <w:spacing w:val="-6"/>
          <w:sz w:val="19"/>
          <w:szCs w:val="19"/>
        </w:rPr>
        <w:t>empirical</w:t>
      </w:r>
      <w:r>
        <w:rPr>
          <w:rFonts w:ascii="Arial" w:hAnsi="Arial" w:eastAsia="Arial" w:cs="Arial"/>
          <w:sz w:val="19"/>
          <w:szCs w:val="19"/>
        </w:rPr>
        <w:t xml:space="preserve"> </w:t>
      </w:r>
      <w:r>
        <w:rPr>
          <w:rFonts w:ascii="Arial" w:hAnsi="Arial" w:eastAsia="Arial" w:cs="Arial"/>
          <w:spacing w:val="-5"/>
          <w:sz w:val="19"/>
          <w:szCs w:val="19"/>
        </w:rPr>
        <w:t>research</w:t>
      </w:r>
      <w:r>
        <w:rPr>
          <w:rFonts w:ascii="Arial" w:hAnsi="Arial" w:eastAsia="Arial" w:cs="Arial"/>
          <w:spacing w:val="27"/>
          <w:sz w:val="19"/>
          <w:szCs w:val="19"/>
        </w:rPr>
        <w:t xml:space="preserve"> </w:t>
      </w:r>
      <w:r>
        <w:rPr>
          <w:rFonts w:ascii="Arial" w:hAnsi="Arial" w:eastAsia="Arial" w:cs="Arial"/>
          <w:spacing w:val="-5"/>
          <w:sz w:val="19"/>
          <w:szCs w:val="19"/>
        </w:rPr>
        <w:t>is</w:t>
      </w:r>
      <w:r>
        <w:rPr>
          <w:rFonts w:ascii="Arial" w:hAnsi="Arial" w:eastAsia="Arial" w:cs="Arial"/>
          <w:spacing w:val="16"/>
          <w:sz w:val="19"/>
          <w:szCs w:val="19"/>
        </w:rPr>
        <w:t xml:space="preserve"> </w:t>
      </w:r>
      <w:r>
        <w:rPr>
          <w:rFonts w:ascii="Arial" w:hAnsi="Arial" w:eastAsia="Arial" w:cs="Arial"/>
          <w:spacing w:val="-5"/>
          <w:sz w:val="19"/>
          <w:szCs w:val="19"/>
        </w:rPr>
        <w:t>required to</w:t>
      </w:r>
      <w:r>
        <w:rPr>
          <w:rFonts w:ascii="Arial" w:hAnsi="Arial" w:eastAsia="Arial" w:cs="Arial"/>
          <w:spacing w:val="16"/>
          <w:w w:val="101"/>
          <w:sz w:val="19"/>
          <w:szCs w:val="19"/>
        </w:rPr>
        <w:t xml:space="preserve"> </w:t>
      </w:r>
      <w:r>
        <w:rPr>
          <w:rFonts w:ascii="Arial" w:hAnsi="Arial" w:eastAsia="Arial" w:cs="Arial"/>
          <w:spacing w:val="-5"/>
          <w:sz w:val="19"/>
          <w:szCs w:val="19"/>
        </w:rPr>
        <w:t>provide</w:t>
      </w:r>
      <w:r>
        <w:rPr>
          <w:rFonts w:ascii="Arial" w:hAnsi="Arial" w:eastAsia="Arial" w:cs="Arial"/>
          <w:spacing w:val="17"/>
          <w:sz w:val="19"/>
          <w:szCs w:val="19"/>
        </w:rPr>
        <w:t xml:space="preserve"> </w:t>
      </w:r>
      <w:r>
        <w:rPr>
          <w:rFonts w:ascii="Arial" w:hAnsi="Arial" w:eastAsia="Arial" w:cs="Arial"/>
          <w:spacing w:val="-5"/>
          <w:sz w:val="19"/>
          <w:szCs w:val="19"/>
        </w:rPr>
        <w:t>HEIs with a</w:t>
      </w:r>
      <w:r>
        <w:rPr>
          <w:rFonts w:ascii="Arial" w:hAnsi="Arial" w:eastAsia="Arial" w:cs="Arial"/>
          <w:spacing w:val="11"/>
          <w:sz w:val="19"/>
          <w:szCs w:val="19"/>
        </w:rPr>
        <w:t xml:space="preserve"> </w:t>
      </w:r>
      <w:r>
        <w:rPr>
          <w:rFonts w:ascii="Arial" w:hAnsi="Arial" w:eastAsia="Arial" w:cs="Arial"/>
          <w:spacing w:val="-5"/>
          <w:sz w:val="19"/>
          <w:szCs w:val="19"/>
        </w:rPr>
        <w:t>comprehensive</w:t>
      </w:r>
      <w:r>
        <w:rPr>
          <w:rFonts w:ascii="Arial" w:hAnsi="Arial" w:eastAsia="Arial" w:cs="Arial"/>
          <w:spacing w:val="11"/>
          <w:sz w:val="19"/>
          <w:szCs w:val="19"/>
        </w:rPr>
        <w:t xml:space="preserve"> </w:t>
      </w:r>
      <w:r>
        <w:rPr>
          <w:rFonts w:ascii="Arial" w:hAnsi="Arial" w:eastAsia="Arial" w:cs="Arial"/>
          <w:spacing w:val="-5"/>
          <w:sz w:val="19"/>
          <w:szCs w:val="19"/>
        </w:rPr>
        <w:t>deinition,</w:t>
      </w:r>
      <w:r>
        <w:rPr>
          <w:rFonts w:ascii="Arial" w:hAnsi="Arial" w:eastAsia="Arial" w:cs="Arial"/>
          <w:spacing w:val="11"/>
          <w:sz w:val="19"/>
          <w:szCs w:val="19"/>
        </w:rPr>
        <w:t xml:space="preserve"> </w:t>
      </w:r>
      <w:r>
        <w:rPr>
          <w:rFonts w:ascii="Arial" w:hAnsi="Arial" w:eastAsia="Arial" w:cs="Arial"/>
          <w:spacing w:val="-5"/>
          <w:sz w:val="19"/>
          <w:szCs w:val="19"/>
        </w:rPr>
        <w:t>sound</w:t>
      </w:r>
      <w:r>
        <w:rPr>
          <w:rFonts w:ascii="Arial" w:hAnsi="Arial" w:eastAsia="Arial" w:cs="Arial"/>
          <w:spacing w:val="10"/>
          <w:sz w:val="19"/>
          <w:szCs w:val="19"/>
        </w:rPr>
        <w:t xml:space="preserve"> </w:t>
      </w:r>
      <w:r>
        <w:rPr>
          <w:rFonts w:ascii="Arial" w:hAnsi="Arial" w:eastAsia="Arial" w:cs="Arial"/>
          <w:spacing w:val="-5"/>
          <w:sz w:val="19"/>
          <w:szCs w:val="19"/>
        </w:rPr>
        <w:t>conceptualization,</w:t>
      </w:r>
      <w:r>
        <w:rPr>
          <w:rFonts w:ascii="Arial" w:hAnsi="Arial" w:eastAsia="Arial" w:cs="Arial"/>
          <w:spacing w:val="11"/>
          <w:sz w:val="19"/>
          <w:szCs w:val="19"/>
        </w:rPr>
        <w:t xml:space="preserve"> </w:t>
      </w:r>
      <w:r>
        <w:rPr>
          <w:rFonts w:ascii="Arial" w:hAnsi="Arial" w:eastAsia="Arial" w:cs="Arial"/>
          <w:spacing w:val="-5"/>
          <w:sz w:val="19"/>
          <w:szCs w:val="19"/>
        </w:rPr>
        <w:t>and</w:t>
      </w:r>
      <w:r>
        <w:rPr>
          <w:rFonts w:ascii="Arial" w:hAnsi="Arial" w:eastAsia="Arial" w:cs="Arial"/>
          <w:sz w:val="19"/>
          <w:szCs w:val="19"/>
        </w:rPr>
        <w:t xml:space="preserve"> </w:t>
      </w:r>
      <w:r>
        <w:rPr>
          <w:rFonts w:ascii="Arial" w:hAnsi="Arial" w:eastAsia="Arial" w:cs="Arial"/>
          <w:spacing w:val="-7"/>
          <w:sz w:val="19"/>
          <w:szCs w:val="19"/>
        </w:rPr>
        <w:t>measure(s) of quality culture</w:t>
      </w:r>
      <w:r>
        <w:rPr>
          <w:rFonts w:ascii="Arial" w:hAnsi="Arial" w:eastAsia="Arial" w:cs="Arial"/>
          <w:spacing w:val="8"/>
          <w:sz w:val="19"/>
          <w:szCs w:val="19"/>
        </w:rPr>
        <w:t xml:space="preserve"> </w:t>
      </w:r>
      <w:r>
        <w:rPr>
          <w:rFonts w:ascii="Arial" w:hAnsi="Arial" w:eastAsia="Arial" w:cs="Arial"/>
          <w:spacing w:val="-7"/>
          <w:sz w:val="19"/>
          <w:szCs w:val="19"/>
        </w:rPr>
        <w:t xml:space="preserve">(Lanarès </w:t>
      </w:r>
      <w:r>
        <w:fldChar w:fldCharType="begin"/>
      </w:r>
      <w:r>
        <w:instrText xml:space="preserve"> HYPERLINK \l "bookmark18" </w:instrText>
      </w:r>
      <w:r>
        <w:fldChar w:fldCharType="separate"/>
      </w:r>
      <w:r>
        <w:rPr>
          <w:rFonts w:ascii="Arial" w:hAnsi="Arial" w:eastAsia="Arial" w:cs="Arial"/>
          <w:color w:val="000084"/>
          <w:spacing w:val="-7"/>
          <w:sz w:val="19"/>
          <w:szCs w:val="19"/>
        </w:rPr>
        <w:t>2009</w:t>
      </w:r>
      <w:r>
        <w:rPr>
          <w:rFonts w:ascii="Arial" w:hAnsi="Arial" w:eastAsia="Arial" w:cs="Arial"/>
          <w:color w:val="000084"/>
          <w:spacing w:val="-7"/>
          <w:sz w:val="19"/>
          <w:szCs w:val="19"/>
        </w:rPr>
        <w:fldChar w:fldCharType="end"/>
      </w:r>
      <w:r>
        <w:rPr>
          <w:rFonts w:ascii="Arial" w:hAnsi="Arial" w:eastAsia="Arial" w:cs="Arial"/>
          <w:spacing w:val="-7"/>
          <w:sz w:val="19"/>
          <w:szCs w:val="19"/>
        </w:rPr>
        <w:t>). Therefore, we initiated the</w:t>
      </w:r>
      <w:r>
        <w:rPr>
          <w:rFonts w:ascii="Arial" w:hAnsi="Arial" w:eastAsia="Arial" w:cs="Arial"/>
          <w:spacing w:val="8"/>
          <w:sz w:val="19"/>
          <w:szCs w:val="19"/>
        </w:rPr>
        <w:t xml:space="preserve"> </w:t>
      </w:r>
      <w:r>
        <w:rPr>
          <w:rFonts w:ascii="Arial" w:hAnsi="Arial" w:eastAsia="Arial" w:cs="Arial"/>
          <w:spacing w:val="-7"/>
          <w:sz w:val="19"/>
          <w:szCs w:val="19"/>
        </w:rPr>
        <w:t>heiQUALITY Cultur</w:t>
      </w:r>
      <w:r>
        <w:rPr>
          <w:rFonts w:ascii="Arial" w:hAnsi="Arial" w:eastAsia="Arial" w:cs="Arial"/>
          <w:spacing w:val="-8"/>
          <w:sz w:val="19"/>
          <w:szCs w:val="19"/>
        </w:rPr>
        <w:t>es</w:t>
      </w:r>
      <w:r>
        <w:rPr>
          <w:rFonts w:ascii="Arial" w:hAnsi="Arial" w:eastAsia="Arial" w:cs="Arial"/>
          <w:spacing w:val="8"/>
          <w:sz w:val="19"/>
          <w:szCs w:val="19"/>
        </w:rPr>
        <w:t xml:space="preserve"> </w:t>
      </w:r>
      <w:r>
        <w:rPr>
          <w:rFonts w:ascii="Arial" w:hAnsi="Arial" w:eastAsia="Arial" w:cs="Arial"/>
          <w:spacing w:val="-8"/>
          <w:sz w:val="19"/>
          <w:szCs w:val="19"/>
        </w:rPr>
        <w:t>Project,</w:t>
      </w:r>
      <w:r>
        <w:rPr>
          <w:rFonts w:ascii="Arial" w:hAnsi="Arial" w:eastAsia="Arial" w:cs="Arial"/>
          <w:sz w:val="19"/>
          <w:szCs w:val="19"/>
        </w:rPr>
        <w:t xml:space="preserve"> </w:t>
      </w:r>
      <w:r>
        <w:rPr>
          <w:rFonts w:ascii="Arial" w:hAnsi="Arial" w:eastAsia="Arial" w:cs="Arial"/>
          <w:spacing w:val="-5"/>
          <w:sz w:val="19"/>
          <w:szCs w:val="19"/>
        </w:rPr>
        <w:t>which aimed</w:t>
      </w:r>
      <w:r>
        <w:rPr>
          <w:rFonts w:ascii="Arial" w:hAnsi="Arial" w:eastAsia="Arial" w:cs="Arial"/>
          <w:spacing w:val="-4"/>
          <w:sz w:val="19"/>
          <w:szCs w:val="19"/>
        </w:rPr>
        <w:t xml:space="preserve"> at creating an empiric</w:t>
      </w:r>
      <w:r>
        <w:rPr>
          <w:rFonts w:ascii="Arial" w:hAnsi="Arial" w:eastAsia="Arial" w:cs="Arial"/>
          <w:spacing w:val="-5"/>
          <w:sz w:val="19"/>
          <w:szCs w:val="19"/>
        </w:rPr>
        <w:t>al instrument to allow for a sound</w:t>
      </w:r>
      <w:r>
        <w:rPr>
          <w:rFonts w:ascii="Arial" w:hAnsi="Arial" w:eastAsia="Arial" w:cs="Arial"/>
          <w:spacing w:val="3"/>
          <w:sz w:val="19"/>
          <w:szCs w:val="19"/>
        </w:rPr>
        <w:t xml:space="preserve"> </w:t>
      </w:r>
      <w:r>
        <w:rPr>
          <w:rFonts w:ascii="Arial" w:hAnsi="Arial" w:eastAsia="Arial" w:cs="Arial"/>
          <w:spacing w:val="-5"/>
          <w:sz w:val="19"/>
          <w:szCs w:val="19"/>
        </w:rPr>
        <w:t>and economical</w:t>
      </w:r>
      <w:r>
        <w:rPr>
          <w:rFonts w:ascii="Arial" w:hAnsi="Arial" w:eastAsia="Arial" w:cs="Arial"/>
          <w:spacing w:val="2"/>
          <w:sz w:val="19"/>
          <w:szCs w:val="19"/>
        </w:rPr>
        <w:t xml:space="preserve"> </w:t>
      </w:r>
      <w:r>
        <w:rPr>
          <w:rFonts w:ascii="Arial" w:hAnsi="Arial" w:eastAsia="Arial" w:cs="Arial"/>
          <w:spacing w:val="-5"/>
          <w:sz w:val="19"/>
          <w:szCs w:val="19"/>
        </w:rPr>
        <w:t>assessment</w:t>
      </w:r>
      <w:r>
        <w:rPr>
          <w:rFonts w:ascii="Arial" w:hAnsi="Arial" w:eastAsia="Arial" w:cs="Arial"/>
          <w:spacing w:val="2"/>
          <w:sz w:val="19"/>
          <w:szCs w:val="19"/>
        </w:rPr>
        <w:t xml:space="preserve"> </w:t>
      </w:r>
      <w:r>
        <w:rPr>
          <w:rFonts w:ascii="Arial" w:hAnsi="Arial" w:eastAsia="Arial" w:cs="Arial"/>
          <w:spacing w:val="-5"/>
          <w:sz w:val="19"/>
          <w:szCs w:val="19"/>
        </w:rPr>
        <w:t>o</w:t>
      </w:r>
      <w:r>
        <w:rPr>
          <w:rFonts w:ascii="Arial" w:hAnsi="Arial" w:eastAsia="Arial" w:cs="Arial"/>
          <w:spacing w:val="6"/>
          <w:sz w:val="19"/>
          <w:szCs w:val="19"/>
        </w:rPr>
        <w:t>f</w:t>
      </w:r>
      <w:r>
        <w:rPr>
          <w:rFonts w:ascii="Arial" w:hAnsi="Arial" w:eastAsia="Arial" w:cs="Arial"/>
          <w:sz w:val="19"/>
          <w:szCs w:val="19"/>
        </w:rPr>
        <w:t xml:space="preserve"> </w:t>
      </w:r>
      <w:r>
        <w:rPr>
          <w:rFonts w:ascii="Arial" w:hAnsi="Arial" w:eastAsia="Arial" w:cs="Arial"/>
          <w:spacing w:val="-5"/>
          <w:sz w:val="19"/>
          <w:szCs w:val="19"/>
        </w:rPr>
        <w:t>quality</w:t>
      </w:r>
      <w:r>
        <w:rPr>
          <w:rFonts w:ascii="Arial" w:hAnsi="Arial" w:eastAsia="Arial" w:cs="Arial"/>
          <w:spacing w:val="30"/>
          <w:w w:val="101"/>
          <w:sz w:val="19"/>
          <w:szCs w:val="19"/>
        </w:rPr>
        <w:t xml:space="preserve"> </w:t>
      </w:r>
      <w:r>
        <w:rPr>
          <w:rFonts w:ascii="Arial" w:hAnsi="Arial" w:eastAsia="Arial" w:cs="Arial"/>
          <w:spacing w:val="-5"/>
          <w:sz w:val="19"/>
          <w:szCs w:val="19"/>
        </w:rPr>
        <w:t>culture</w:t>
      </w:r>
      <w:r>
        <w:rPr>
          <w:rFonts w:ascii="Arial" w:hAnsi="Arial" w:eastAsia="Arial" w:cs="Arial"/>
          <w:spacing w:val="14"/>
          <w:w w:val="101"/>
          <w:sz w:val="19"/>
          <w:szCs w:val="19"/>
        </w:rPr>
        <w:t xml:space="preserve"> </w:t>
      </w:r>
      <w:r>
        <w:rPr>
          <w:rFonts w:ascii="Arial" w:hAnsi="Arial" w:eastAsia="Arial" w:cs="Arial"/>
          <w:spacing w:val="-5"/>
          <w:sz w:val="19"/>
          <w:szCs w:val="19"/>
        </w:rPr>
        <w:t>within</w:t>
      </w:r>
      <w:r>
        <w:rPr>
          <w:rFonts w:ascii="Arial" w:hAnsi="Arial" w:eastAsia="Arial" w:cs="Arial"/>
          <w:spacing w:val="14"/>
          <w:w w:val="101"/>
          <w:sz w:val="19"/>
          <w:szCs w:val="19"/>
        </w:rPr>
        <w:t xml:space="preserve"> </w:t>
      </w:r>
      <w:r>
        <w:rPr>
          <w:rFonts w:ascii="Arial" w:hAnsi="Arial" w:eastAsia="Arial" w:cs="Arial"/>
          <w:spacing w:val="-5"/>
          <w:sz w:val="19"/>
          <w:szCs w:val="19"/>
        </w:rPr>
        <w:t>the</w:t>
      </w:r>
      <w:r>
        <w:rPr>
          <w:rFonts w:ascii="Arial" w:hAnsi="Arial" w:eastAsia="Arial" w:cs="Arial"/>
          <w:spacing w:val="17"/>
          <w:w w:val="101"/>
          <w:sz w:val="19"/>
          <w:szCs w:val="19"/>
        </w:rPr>
        <w:t xml:space="preserve"> </w:t>
      </w:r>
      <w:r>
        <w:rPr>
          <w:rFonts w:ascii="Arial" w:hAnsi="Arial" w:eastAsia="Arial" w:cs="Arial"/>
          <w:spacing w:val="-5"/>
          <w:sz w:val="19"/>
          <w:szCs w:val="19"/>
        </w:rPr>
        <w:t>context</w:t>
      </w:r>
      <w:r>
        <w:rPr>
          <w:rFonts w:ascii="Arial" w:hAnsi="Arial" w:eastAsia="Arial" w:cs="Arial"/>
          <w:spacing w:val="18"/>
          <w:sz w:val="19"/>
          <w:szCs w:val="19"/>
        </w:rPr>
        <w:t xml:space="preserve"> </w:t>
      </w:r>
      <w:r>
        <w:rPr>
          <w:rFonts w:ascii="Arial" w:hAnsi="Arial" w:eastAsia="Arial" w:cs="Arial"/>
          <w:spacing w:val="-5"/>
          <w:sz w:val="19"/>
          <w:szCs w:val="19"/>
        </w:rPr>
        <w:t>of</w:t>
      </w:r>
      <w:r>
        <w:rPr>
          <w:rFonts w:ascii="Arial" w:hAnsi="Arial" w:eastAsia="Arial" w:cs="Arial"/>
          <w:spacing w:val="16"/>
          <w:w w:val="101"/>
          <w:sz w:val="19"/>
          <w:szCs w:val="19"/>
        </w:rPr>
        <w:t xml:space="preserve"> </w:t>
      </w:r>
      <w:r>
        <w:rPr>
          <w:rFonts w:ascii="Arial" w:hAnsi="Arial" w:eastAsia="Arial" w:cs="Arial"/>
          <w:spacing w:val="-5"/>
          <w:sz w:val="19"/>
          <w:szCs w:val="19"/>
        </w:rPr>
        <w:t>higher</w:t>
      </w:r>
      <w:r>
        <w:rPr>
          <w:rFonts w:ascii="Arial" w:hAnsi="Arial" w:eastAsia="Arial" w:cs="Arial"/>
          <w:spacing w:val="17"/>
          <w:sz w:val="19"/>
          <w:szCs w:val="19"/>
        </w:rPr>
        <w:t xml:space="preserve"> </w:t>
      </w:r>
      <w:r>
        <w:rPr>
          <w:rFonts w:ascii="Arial" w:hAnsi="Arial" w:eastAsia="Arial" w:cs="Arial"/>
          <w:spacing w:val="-5"/>
          <w:sz w:val="19"/>
          <w:szCs w:val="19"/>
        </w:rPr>
        <w:t>education.</w:t>
      </w:r>
      <w:r>
        <w:rPr>
          <w:rFonts w:ascii="Arial" w:hAnsi="Arial" w:eastAsia="Arial" w:cs="Arial"/>
          <w:spacing w:val="25"/>
          <w:w w:val="101"/>
          <w:sz w:val="19"/>
          <w:szCs w:val="19"/>
        </w:rPr>
        <w:t xml:space="preserve"> </w:t>
      </w:r>
      <w:r>
        <w:rPr>
          <w:rFonts w:ascii="Arial" w:hAnsi="Arial" w:eastAsia="Arial" w:cs="Arial"/>
          <w:spacing w:val="-5"/>
          <w:sz w:val="19"/>
          <w:szCs w:val="19"/>
        </w:rPr>
        <w:t>Extensive</w:t>
      </w:r>
      <w:r>
        <w:rPr>
          <w:rFonts w:ascii="Arial" w:hAnsi="Arial" w:eastAsia="Arial" w:cs="Arial"/>
          <w:spacing w:val="24"/>
          <w:sz w:val="19"/>
          <w:szCs w:val="19"/>
        </w:rPr>
        <w:t xml:space="preserve"> </w:t>
      </w:r>
      <w:r>
        <w:rPr>
          <w:rFonts w:ascii="Arial" w:hAnsi="Arial" w:eastAsia="Arial" w:cs="Arial"/>
          <w:spacing w:val="-5"/>
          <w:sz w:val="19"/>
          <w:szCs w:val="19"/>
        </w:rPr>
        <w:t>research</w:t>
      </w:r>
      <w:r>
        <w:rPr>
          <w:rFonts w:ascii="Arial" w:hAnsi="Arial" w:eastAsia="Arial" w:cs="Arial"/>
          <w:spacing w:val="24"/>
          <w:w w:val="101"/>
          <w:sz w:val="19"/>
          <w:szCs w:val="19"/>
        </w:rPr>
        <w:t xml:space="preserve"> </w:t>
      </w:r>
      <w:r>
        <w:rPr>
          <w:rFonts w:ascii="Arial" w:hAnsi="Arial" w:eastAsia="Arial" w:cs="Arial"/>
          <w:spacing w:val="-5"/>
          <w:sz w:val="19"/>
          <w:szCs w:val="19"/>
        </w:rPr>
        <w:t>resulted</w:t>
      </w:r>
      <w:r>
        <w:rPr>
          <w:rFonts w:ascii="Arial" w:hAnsi="Arial" w:eastAsia="Arial" w:cs="Arial"/>
          <w:spacing w:val="22"/>
          <w:sz w:val="19"/>
          <w:szCs w:val="19"/>
        </w:rPr>
        <w:t xml:space="preserve"> </w:t>
      </w:r>
      <w:r>
        <w:rPr>
          <w:rFonts w:ascii="Arial" w:hAnsi="Arial" w:eastAsia="Arial" w:cs="Arial"/>
          <w:spacing w:val="-5"/>
          <w:sz w:val="19"/>
          <w:szCs w:val="19"/>
        </w:rPr>
        <w:t>in</w:t>
      </w:r>
      <w:r>
        <w:rPr>
          <w:rFonts w:ascii="Arial" w:hAnsi="Arial" w:eastAsia="Arial" w:cs="Arial"/>
          <w:spacing w:val="14"/>
          <w:w w:val="101"/>
          <w:sz w:val="19"/>
          <w:szCs w:val="19"/>
        </w:rPr>
        <w:t xml:space="preserve"> </w:t>
      </w:r>
      <w:r>
        <w:rPr>
          <w:rFonts w:ascii="Arial" w:hAnsi="Arial" w:eastAsia="Arial" w:cs="Arial"/>
          <w:spacing w:val="-5"/>
          <w:sz w:val="19"/>
          <w:szCs w:val="19"/>
        </w:rPr>
        <w:t>the</w:t>
      </w:r>
      <w:r>
        <w:rPr>
          <w:rFonts w:ascii="Arial" w:hAnsi="Arial" w:eastAsia="Arial" w:cs="Arial"/>
          <w:spacing w:val="17"/>
          <w:w w:val="101"/>
          <w:sz w:val="19"/>
          <w:szCs w:val="19"/>
        </w:rPr>
        <w:t xml:space="preserve"> </w:t>
      </w:r>
      <w:r>
        <w:rPr>
          <w:rFonts w:ascii="Arial" w:hAnsi="Arial" w:eastAsia="Arial" w:cs="Arial"/>
          <w:spacing w:val="-5"/>
          <w:sz w:val="19"/>
          <w:szCs w:val="19"/>
        </w:rPr>
        <w:t>develop-</w:t>
      </w:r>
      <w:r>
        <w:rPr>
          <w:rFonts w:ascii="Arial" w:hAnsi="Arial" w:eastAsia="Arial" w:cs="Arial"/>
          <w:sz w:val="19"/>
          <w:szCs w:val="19"/>
        </w:rPr>
        <w:t xml:space="preserve"> </w:t>
      </w:r>
      <w:r>
        <w:rPr>
          <w:rFonts w:ascii="Arial" w:hAnsi="Arial" w:eastAsia="Arial" w:cs="Arial"/>
          <w:spacing w:val="-4"/>
          <w:sz w:val="19"/>
          <w:szCs w:val="19"/>
        </w:rPr>
        <w:t>ment</w:t>
      </w:r>
      <w:r>
        <w:rPr>
          <w:rFonts w:ascii="Arial" w:hAnsi="Arial" w:eastAsia="Arial" w:cs="Arial"/>
          <w:spacing w:val="19"/>
          <w:sz w:val="19"/>
          <w:szCs w:val="19"/>
        </w:rPr>
        <w:t xml:space="preserve"> </w:t>
      </w:r>
      <w:r>
        <w:rPr>
          <w:rFonts w:ascii="Arial" w:hAnsi="Arial" w:eastAsia="Arial" w:cs="Arial"/>
          <w:spacing w:val="-4"/>
          <w:sz w:val="19"/>
          <w:szCs w:val="19"/>
        </w:rPr>
        <w:t>of the</w:t>
      </w:r>
      <w:r>
        <w:rPr>
          <w:rFonts w:ascii="Arial" w:hAnsi="Arial" w:eastAsia="Arial" w:cs="Arial"/>
          <w:spacing w:val="19"/>
          <w:w w:val="101"/>
          <w:sz w:val="19"/>
          <w:szCs w:val="19"/>
        </w:rPr>
        <w:t xml:space="preserve"> </w:t>
      </w:r>
      <w:r>
        <w:rPr>
          <w:rFonts w:ascii="Arial" w:hAnsi="Arial" w:eastAsia="Arial" w:cs="Arial"/>
          <w:spacing w:val="-4"/>
          <w:sz w:val="19"/>
          <w:szCs w:val="19"/>
        </w:rPr>
        <w:t>Quality</w:t>
      </w:r>
      <w:r>
        <w:rPr>
          <w:rFonts w:ascii="Arial" w:hAnsi="Arial" w:eastAsia="Arial" w:cs="Arial"/>
          <w:spacing w:val="20"/>
          <w:sz w:val="19"/>
          <w:szCs w:val="19"/>
        </w:rPr>
        <w:t xml:space="preserve"> </w:t>
      </w:r>
      <w:r>
        <w:rPr>
          <w:rFonts w:ascii="Arial" w:hAnsi="Arial" w:eastAsia="Arial" w:cs="Arial"/>
          <w:spacing w:val="-4"/>
          <w:sz w:val="19"/>
          <w:szCs w:val="19"/>
        </w:rPr>
        <w:t>Culture</w:t>
      </w:r>
      <w:r>
        <w:rPr>
          <w:rFonts w:ascii="Arial" w:hAnsi="Arial" w:eastAsia="Arial" w:cs="Arial"/>
          <w:spacing w:val="27"/>
          <w:sz w:val="19"/>
          <w:szCs w:val="19"/>
        </w:rPr>
        <w:t xml:space="preserve"> </w:t>
      </w:r>
      <w:r>
        <w:rPr>
          <w:rFonts w:ascii="Arial" w:hAnsi="Arial" w:eastAsia="Arial" w:cs="Arial"/>
          <w:spacing w:val="-4"/>
          <w:sz w:val="19"/>
          <w:szCs w:val="19"/>
        </w:rPr>
        <w:t>Inventory</w:t>
      </w:r>
      <w:r>
        <w:rPr>
          <w:rFonts w:ascii="Arial" w:hAnsi="Arial" w:eastAsia="Arial" w:cs="Arial"/>
          <w:spacing w:val="24"/>
          <w:w w:val="101"/>
          <w:sz w:val="19"/>
          <w:szCs w:val="19"/>
        </w:rPr>
        <w:t xml:space="preserve"> </w:t>
      </w:r>
      <w:r>
        <w:rPr>
          <w:rFonts w:ascii="Arial" w:hAnsi="Arial" w:eastAsia="Arial" w:cs="Arial"/>
          <w:spacing w:val="-4"/>
          <w:sz w:val="19"/>
          <w:szCs w:val="19"/>
        </w:rPr>
        <w:t>(QCI),</w:t>
      </w:r>
      <w:r>
        <w:rPr>
          <w:rFonts w:ascii="Arial" w:hAnsi="Arial" w:eastAsia="Arial" w:cs="Arial"/>
          <w:spacing w:val="15"/>
          <w:sz w:val="19"/>
          <w:szCs w:val="19"/>
        </w:rPr>
        <w:t xml:space="preserve"> </w:t>
      </w:r>
      <w:r>
        <w:rPr>
          <w:rFonts w:ascii="Arial" w:hAnsi="Arial" w:eastAsia="Arial" w:cs="Arial"/>
          <w:spacing w:val="-4"/>
          <w:sz w:val="19"/>
          <w:szCs w:val="19"/>
        </w:rPr>
        <w:t>the</w:t>
      </w:r>
      <w:r>
        <w:rPr>
          <w:rFonts w:ascii="Arial" w:hAnsi="Arial" w:eastAsia="Arial" w:cs="Arial"/>
          <w:spacing w:val="14"/>
          <w:w w:val="101"/>
          <w:sz w:val="19"/>
          <w:szCs w:val="19"/>
        </w:rPr>
        <w:t xml:space="preserve"> </w:t>
      </w:r>
      <w:r>
        <w:rPr>
          <w:rFonts w:ascii="Arial" w:hAnsi="Arial" w:eastAsia="Arial" w:cs="Arial"/>
          <w:spacing w:val="-4"/>
          <w:sz w:val="19"/>
          <w:szCs w:val="19"/>
        </w:rPr>
        <w:t>irst</w:t>
      </w:r>
      <w:r>
        <w:rPr>
          <w:rFonts w:ascii="Arial" w:hAnsi="Arial" w:eastAsia="Arial" w:cs="Arial"/>
          <w:spacing w:val="19"/>
          <w:w w:val="101"/>
          <w:sz w:val="19"/>
          <w:szCs w:val="19"/>
        </w:rPr>
        <w:t xml:space="preserve"> </w:t>
      </w:r>
      <w:r>
        <w:rPr>
          <w:rFonts w:ascii="Arial" w:hAnsi="Arial" w:eastAsia="Arial" w:cs="Arial"/>
          <w:spacing w:val="-4"/>
          <w:sz w:val="19"/>
          <w:szCs w:val="19"/>
        </w:rPr>
        <w:t>approach</w:t>
      </w:r>
      <w:r>
        <w:rPr>
          <w:rFonts w:ascii="Arial" w:hAnsi="Arial" w:eastAsia="Arial" w:cs="Arial"/>
          <w:spacing w:val="16"/>
          <w:w w:val="101"/>
          <w:sz w:val="19"/>
          <w:szCs w:val="19"/>
        </w:rPr>
        <w:t xml:space="preserve"> </w:t>
      </w:r>
      <w:r>
        <w:rPr>
          <w:rFonts w:ascii="Arial" w:hAnsi="Arial" w:eastAsia="Arial" w:cs="Arial"/>
          <w:spacing w:val="-4"/>
          <w:sz w:val="19"/>
          <w:szCs w:val="19"/>
        </w:rPr>
        <w:t>to</w:t>
      </w:r>
      <w:r>
        <w:rPr>
          <w:rFonts w:ascii="Arial" w:hAnsi="Arial" w:eastAsia="Arial" w:cs="Arial"/>
          <w:spacing w:val="19"/>
          <w:sz w:val="19"/>
          <w:szCs w:val="19"/>
        </w:rPr>
        <w:t xml:space="preserve"> </w:t>
      </w:r>
      <w:r>
        <w:rPr>
          <w:rFonts w:ascii="Arial" w:hAnsi="Arial" w:eastAsia="Arial" w:cs="Arial"/>
          <w:spacing w:val="-4"/>
          <w:sz w:val="19"/>
          <w:szCs w:val="19"/>
        </w:rPr>
        <w:t>allow</w:t>
      </w:r>
      <w:r>
        <w:rPr>
          <w:rFonts w:ascii="Arial" w:hAnsi="Arial" w:eastAsia="Arial" w:cs="Arial"/>
          <w:spacing w:val="23"/>
          <w:w w:val="101"/>
          <w:sz w:val="19"/>
          <w:szCs w:val="19"/>
        </w:rPr>
        <w:t xml:space="preserve"> </w:t>
      </w:r>
      <w:r>
        <w:rPr>
          <w:rFonts w:ascii="Arial" w:hAnsi="Arial" w:eastAsia="Arial" w:cs="Arial"/>
          <w:spacing w:val="-4"/>
          <w:sz w:val="19"/>
          <w:szCs w:val="19"/>
        </w:rPr>
        <w:t>institutions</w:t>
      </w:r>
      <w:r>
        <w:rPr>
          <w:rFonts w:ascii="Arial" w:hAnsi="Arial" w:eastAsia="Arial" w:cs="Arial"/>
          <w:spacing w:val="20"/>
          <w:w w:val="101"/>
          <w:sz w:val="19"/>
          <w:szCs w:val="19"/>
        </w:rPr>
        <w:t xml:space="preserve"> </w:t>
      </w:r>
      <w:r>
        <w:rPr>
          <w:rFonts w:ascii="Arial" w:hAnsi="Arial" w:eastAsia="Arial" w:cs="Arial"/>
          <w:spacing w:val="-4"/>
          <w:sz w:val="19"/>
          <w:szCs w:val="19"/>
        </w:rPr>
        <w:t>of</w:t>
      </w:r>
      <w:r>
        <w:rPr>
          <w:rFonts w:ascii="Arial" w:hAnsi="Arial" w:eastAsia="Arial" w:cs="Arial"/>
          <w:spacing w:val="19"/>
          <w:sz w:val="19"/>
          <w:szCs w:val="19"/>
        </w:rPr>
        <w:t xml:space="preserve"> </w:t>
      </w:r>
      <w:r>
        <w:rPr>
          <w:rFonts w:ascii="Arial" w:hAnsi="Arial" w:eastAsia="Arial" w:cs="Arial"/>
          <w:spacing w:val="-4"/>
          <w:sz w:val="19"/>
          <w:szCs w:val="19"/>
        </w:rPr>
        <w:t>higher</w:t>
      </w:r>
      <w:r>
        <w:rPr>
          <w:rFonts w:ascii="Arial" w:hAnsi="Arial" w:eastAsia="Arial" w:cs="Arial"/>
          <w:spacing w:val="19"/>
          <w:w w:val="101"/>
          <w:sz w:val="19"/>
          <w:szCs w:val="19"/>
        </w:rPr>
        <w:t xml:space="preserve"> </w:t>
      </w:r>
      <w:r>
        <w:rPr>
          <w:rFonts w:ascii="Arial" w:hAnsi="Arial" w:eastAsia="Arial" w:cs="Arial"/>
          <w:spacing w:val="-4"/>
          <w:sz w:val="19"/>
          <w:szCs w:val="19"/>
        </w:rPr>
        <w:t>ed</w:t>
      </w:r>
      <w:r>
        <w:rPr>
          <w:rFonts w:ascii="Arial" w:hAnsi="Arial" w:eastAsia="Arial" w:cs="Arial"/>
          <w:spacing w:val="-5"/>
          <w:sz w:val="19"/>
          <w:szCs w:val="19"/>
        </w:rPr>
        <w:t>u-</w:t>
      </w:r>
      <w:r>
        <w:rPr>
          <w:rFonts w:ascii="Arial" w:hAnsi="Arial" w:eastAsia="Arial" w:cs="Arial"/>
          <w:sz w:val="19"/>
          <w:szCs w:val="19"/>
        </w:rPr>
        <w:t xml:space="preserve"> </w:t>
      </w:r>
      <w:r>
        <w:rPr>
          <w:rFonts w:ascii="Arial" w:hAnsi="Arial" w:eastAsia="Arial" w:cs="Arial"/>
          <w:spacing w:val="-4"/>
          <w:sz w:val="19"/>
          <w:szCs w:val="19"/>
        </w:rPr>
        <w:t>cation to</w:t>
      </w:r>
      <w:r>
        <w:rPr>
          <w:rFonts w:ascii="Arial" w:hAnsi="Arial" w:eastAsia="Arial" w:cs="Arial"/>
          <w:spacing w:val="11"/>
          <w:sz w:val="19"/>
          <w:szCs w:val="19"/>
        </w:rPr>
        <w:t xml:space="preserve"> </w:t>
      </w:r>
      <w:r>
        <w:rPr>
          <w:rFonts w:ascii="Arial" w:hAnsi="Arial" w:eastAsia="Arial" w:cs="Arial"/>
          <w:spacing w:val="-4"/>
          <w:sz w:val="19"/>
          <w:szCs w:val="19"/>
        </w:rPr>
        <w:t>assess their</w:t>
      </w:r>
      <w:r>
        <w:rPr>
          <w:rFonts w:ascii="Arial" w:hAnsi="Arial" w:eastAsia="Arial" w:cs="Arial"/>
          <w:spacing w:val="11"/>
          <w:sz w:val="19"/>
          <w:szCs w:val="19"/>
        </w:rPr>
        <w:t xml:space="preserve"> </w:t>
      </w:r>
      <w:r>
        <w:rPr>
          <w:rFonts w:ascii="Arial" w:hAnsi="Arial" w:eastAsia="Arial" w:cs="Arial"/>
          <w:spacing w:val="-4"/>
          <w:sz w:val="19"/>
          <w:szCs w:val="19"/>
        </w:rPr>
        <w:t>current</w:t>
      </w:r>
      <w:r>
        <w:rPr>
          <w:rFonts w:ascii="Arial" w:hAnsi="Arial" w:eastAsia="Arial" w:cs="Arial"/>
          <w:spacing w:val="14"/>
          <w:sz w:val="19"/>
          <w:szCs w:val="19"/>
        </w:rPr>
        <w:t xml:space="preserve"> </w:t>
      </w:r>
      <w:r>
        <w:rPr>
          <w:rFonts w:ascii="Arial" w:hAnsi="Arial" w:eastAsia="Arial" w:cs="Arial"/>
          <w:spacing w:val="-4"/>
          <w:sz w:val="19"/>
          <w:szCs w:val="19"/>
        </w:rPr>
        <w:t>state</w:t>
      </w:r>
      <w:r>
        <w:rPr>
          <w:rFonts w:ascii="Arial" w:hAnsi="Arial" w:eastAsia="Arial" w:cs="Arial"/>
          <w:spacing w:val="12"/>
          <w:sz w:val="19"/>
          <w:szCs w:val="19"/>
        </w:rPr>
        <w:t xml:space="preserve"> </w:t>
      </w:r>
      <w:r>
        <w:rPr>
          <w:rFonts w:ascii="Arial" w:hAnsi="Arial" w:eastAsia="Arial" w:cs="Arial"/>
          <w:spacing w:val="-4"/>
          <w:sz w:val="19"/>
          <w:szCs w:val="19"/>
        </w:rPr>
        <w:t>of qualit</w:t>
      </w:r>
      <w:r>
        <w:rPr>
          <w:rFonts w:ascii="Arial" w:hAnsi="Arial" w:eastAsia="Arial" w:cs="Arial"/>
          <w:spacing w:val="-5"/>
          <w:sz w:val="19"/>
          <w:szCs w:val="19"/>
        </w:rPr>
        <w:t>y</w:t>
      </w:r>
      <w:r>
        <w:rPr>
          <w:rFonts w:ascii="Arial" w:hAnsi="Arial" w:eastAsia="Arial" w:cs="Arial"/>
          <w:spacing w:val="13"/>
          <w:w w:val="101"/>
          <w:sz w:val="19"/>
          <w:szCs w:val="19"/>
        </w:rPr>
        <w:t xml:space="preserve"> </w:t>
      </w:r>
      <w:r>
        <w:rPr>
          <w:rFonts w:ascii="Arial" w:hAnsi="Arial" w:eastAsia="Arial" w:cs="Arial"/>
          <w:spacing w:val="-5"/>
          <w:sz w:val="19"/>
          <w:szCs w:val="19"/>
        </w:rPr>
        <w:t>culture</w:t>
      </w:r>
      <w:r>
        <w:rPr>
          <w:rFonts w:ascii="Arial" w:hAnsi="Arial" w:eastAsia="Arial" w:cs="Arial"/>
          <w:spacing w:val="13"/>
          <w:sz w:val="19"/>
          <w:szCs w:val="19"/>
        </w:rPr>
        <w:t xml:space="preserve"> </w:t>
      </w:r>
      <w:r>
        <w:rPr>
          <w:rFonts w:ascii="Arial" w:hAnsi="Arial" w:eastAsia="Arial" w:cs="Arial"/>
          <w:spacing w:val="-5"/>
          <w:sz w:val="19"/>
          <w:szCs w:val="19"/>
        </w:rPr>
        <w:t>empirically.</w:t>
      </w:r>
    </w:p>
    <w:p>
      <w:pPr>
        <w:spacing w:before="55" w:line="249" w:lineRule="auto"/>
        <w:ind w:left="7" w:right="6" w:firstLine="246"/>
        <w:jc w:val="both"/>
        <w:rPr>
          <w:rFonts w:ascii="Arial" w:hAnsi="Arial" w:eastAsia="Arial" w:cs="Arial"/>
          <w:sz w:val="19"/>
          <w:szCs w:val="19"/>
        </w:rPr>
      </w:pPr>
      <w:r>
        <w:rPr>
          <w:rFonts w:ascii="Arial" w:hAnsi="Arial" w:eastAsia="Arial" w:cs="Arial"/>
          <w:spacing w:val="-4"/>
          <w:sz w:val="19"/>
          <w:szCs w:val="19"/>
        </w:rPr>
        <w:t>In the following, we provide information about the theoretical framework of</w:t>
      </w:r>
      <w:r>
        <w:rPr>
          <w:rFonts w:ascii="Arial" w:hAnsi="Arial" w:eastAsia="Arial" w:cs="Arial"/>
          <w:spacing w:val="-13"/>
          <w:sz w:val="19"/>
          <w:szCs w:val="19"/>
        </w:rPr>
        <w:t xml:space="preserve"> </w:t>
      </w:r>
      <w:r>
        <w:rPr>
          <w:rFonts w:ascii="Arial" w:hAnsi="Arial" w:eastAsia="Arial" w:cs="Arial"/>
          <w:spacing w:val="-4"/>
          <w:sz w:val="19"/>
          <w:szCs w:val="19"/>
        </w:rPr>
        <w:t>our project and give a</w:t>
      </w:r>
      <w:r>
        <w:rPr>
          <w:rFonts w:ascii="Arial" w:hAnsi="Arial" w:eastAsia="Arial" w:cs="Arial"/>
          <w:sz w:val="19"/>
          <w:szCs w:val="19"/>
        </w:rPr>
        <w:t xml:space="preserve"> </w:t>
      </w:r>
      <w:r>
        <w:rPr>
          <w:rFonts w:ascii="Arial" w:hAnsi="Arial" w:eastAsia="Arial" w:cs="Arial"/>
          <w:spacing w:val="-5"/>
          <w:sz w:val="19"/>
          <w:szCs w:val="19"/>
        </w:rPr>
        <w:t>detailed</w:t>
      </w:r>
      <w:r>
        <w:rPr>
          <w:rFonts w:ascii="Arial" w:hAnsi="Arial" w:eastAsia="Arial" w:cs="Arial"/>
          <w:spacing w:val="45"/>
          <w:w w:val="101"/>
          <w:sz w:val="19"/>
          <w:szCs w:val="19"/>
        </w:rPr>
        <w:t xml:space="preserve"> </w:t>
      </w:r>
      <w:r>
        <w:rPr>
          <w:rFonts w:ascii="Arial" w:hAnsi="Arial" w:eastAsia="Arial" w:cs="Arial"/>
          <w:spacing w:val="-5"/>
          <w:sz w:val="19"/>
          <w:szCs w:val="19"/>
        </w:rPr>
        <w:t>description</w:t>
      </w:r>
      <w:r>
        <w:rPr>
          <w:rFonts w:ascii="Arial" w:hAnsi="Arial" w:eastAsia="Arial" w:cs="Arial"/>
          <w:spacing w:val="45"/>
          <w:w w:val="101"/>
          <w:sz w:val="19"/>
          <w:szCs w:val="19"/>
        </w:rPr>
        <w:t xml:space="preserve"> </w:t>
      </w:r>
      <w:r>
        <w:rPr>
          <w:rFonts w:ascii="Arial" w:hAnsi="Arial" w:eastAsia="Arial" w:cs="Arial"/>
          <w:spacing w:val="-5"/>
          <w:sz w:val="19"/>
          <w:szCs w:val="19"/>
        </w:rPr>
        <w:t>of</w:t>
      </w:r>
      <w:r>
        <w:rPr>
          <w:rFonts w:ascii="Arial" w:hAnsi="Arial" w:eastAsia="Arial" w:cs="Arial"/>
          <w:spacing w:val="37"/>
          <w:sz w:val="19"/>
          <w:szCs w:val="19"/>
        </w:rPr>
        <w:t xml:space="preserve"> </w:t>
      </w:r>
      <w:r>
        <w:rPr>
          <w:rFonts w:ascii="Arial" w:hAnsi="Arial" w:eastAsia="Arial" w:cs="Arial"/>
          <w:spacing w:val="-5"/>
          <w:sz w:val="19"/>
          <w:szCs w:val="19"/>
        </w:rPr>
        <w:t>our  methodological  approach.</w:t>
      </w:r>
      <w:r>
        <w:rPr>
          <w:rFonts w:ascii="Arial" w:hAnsi="Arial" w:eastAsia="Arial" w:cs="Arial"/>
          <w:spacing w:val="40"/>
          <w:w w:val="101"/>
          <w:sz w:val="19"/>
          <w:szCs w:val="19"/>
        </w:rPr>
        <w:t xml:space="preserve"> </w:t>
      </w:r>
      <w:r>
        <w:rPr>
          <w:rFonts w:ascii="Arial" w:hAnsi="Arial" w:eastAsia="Arial" w:cs="Arial"/>
          <w:spacing w:val="-5"/>
          <w:sz w:val="19"/>
          <w:szCs w:val="19"/>
        </w:rPr>
        <w:t>We</w:t>
      </w:r>
      <w:r>
        <w:rPr>
          <w:rFonts w:ascii="Arial" w:hAnsi="Arial" w:eastAsia="Arial" w:cs="Arial"/>
          <w:spacing w:val="41"/>
          <w:w w:val="101"/>
          <w:sz w:val="19"/>
          <w:szCs w:val="19"/>
        </w:rPr>
        <w:t xml:space="preserve"> </w:t>
      </w:r>
      <w:r>
        <w:rPr>
          <w:rFonts w:ascii="Arial" w:hAnsi="Arial" w:eastAsia="Arial" w:cs="Arial"/>
          <w:spacing w:val="-5"/>
          <w:sz w:val="19"/>
          <w:szCs w:val="19"/>
        </w:rPr>
        <w:t xml:space="preserve">then  present  the  results  </w:t>
      </w:r>
      <w:r>
        <w:rPr>
          <w:rFonts w:ascii="Arial" w:hAnsi="Arial" w:eastAsia="Arial" w:cs="Arial"/>
          <w:spacing w:val="-6"/>
          <w:sz w:val="19"/>
          <w:szCs w:val="19"/>
        </w:rPr>
        <w:t>and  discuss</w:t>
      </w:r>
      <w:r>
        <w:rPr>
          <w:rFonts w:ascii="Arial" w:hAnsi="Arial" w:eastAsia="Arial" w:cs="Arial"/>
          <w:sz w:val="19"/>
          <w:szCs w:val="19"/>
        </w:rPr>
        <w:t xml:space="preserve"> </w:t>
      </w:r>
      <w:r>
        <w:rPr>
          <w:rFonts w:ascii="Arial" w:hAnsi="Arial" w:eastAsia="Arial" w:cs="Arial"/>
          <w:spacing w:val="-4"/>
          <w:sz w:val="19"/>
          <w:szCs w:val="19"/>
        </w:rPr>
        <w:t>strengths and</w:t>
      </w:r>
      <w:r>
        <w:rPr>
          <w:rFonts w:ascii="Arial" w:hAnsi="Arial" w:eastAsia="Arial" w:cs="Arial"/>
          <w:spacing w:val="15"/>
          <w:sz w:val="19"/>
          <w:szCs w:val="19"/>
        </w:rPr>
        <w:t xml:space="preserve"> </w:t>
      </w:r>
      <w:r>
        <w:rPr>
          <w:rFonts w:ascii="Arial" w:hAnsi="Arial" w:eastAsia="Arial" w:cs="Arial"/>
          <w:spacing w:val="-4"/>
          <w:sz w:val="19"/>
          <w:szCs w:val="19"/>
        </w:rPr>
        <w:t>limitations of our study, to</w:t>
      </w:r>
      <w:r>
        <w:rPr>
          <w:rFonts w:ascii="Arial" w:hAnsi="Arial" w:eastAsia="Arial" w:cs="Arial"/>
          <w:spacing w:val="8"/>
          <w:sz w:val="19"/>
          <w:szCs w:val="19"/>
        </w:rPr>
        <w:t xml:space="preserve"> </w:t>
      </w:r>
      <w:r>
        <w:rPr>
          <w:rFonts w:ascii="Arial" w:hAnsi="Arial" w:eastAsia="Arial" w:cs="Arial"/>
          <w:spacing w:val="-4"/>
          <w:sz w:val="19"/>
          <w:szCs w:val="19"/>
        </w:rPr>
        <w:t>conclu</w:t>
      </w:r>
      <w:r>
        <w:rPr>
          <w:rFonts w:ascii="Arial" w:hAnsi="Arial" w:eastAsia="Arial" w:cs="Arial"/>
          <w:spacing w:val="-5"/>
          <w:sz w:val="19"/>
          <w:szCs w:val="19"/>
        </w:rPr>
        <w:t>de</w:t>
      </w:r>
      <w:r>
        <w:rPr>
          <w:rFonts w:ascii="Arial" w:hAnsi="Arial" w:eastAsia="Arial" w:cs="Arial"/>
          <w:spacing w:val="3"/>
          <w:sz w:val="19"/>
          <w:szCs w:val="19"/>
        </w:rPr>
        <w:t xml:space="preserve"> </w:t>
      </w:r>
      <w:r>
        <w:rPr>
          <w:rFonts w:ascii="Arial" w:hAnsi="Arial" w:eastAsia="Arial" w:cs="Arial"/>
          <w:spacing w:val="-5"/>
          <w:sz w:val="19"/>
          <w:szCs w:val="19"/>
        </w:rPr>
        <w:t>with</w:t>
      </w:r>
      <w:r>
        <w:rPr>
          <w:rFonts w:ascii="Arial" w:hAnsi="Arial" w:eastAsia="Arial" w:cs="Arial"/>
          <w:spacing w:val="8"/>
          <w:sz w:val="19"/>
          <w:szCs w:val="19"/>
        </w:rPr>
        <w:t xml:space="preserve"> </w:t>
      </w:r>
      <w:r>
        <w:rPr>
          <w:rFonts w:ascii="Arial" w:hAnsi="Arial" w:eastAsia="Arial" w:cs="Arial"/>
          <w:spacing w:val="-5"/>
          <w:sz w:val="19"/>
          <w:szCs w:val="19"/>
        </w:rPr>
        <w:t>a</w:t>
      </w:r>
      <w:r>
        <w:rPr>
          <w:rFonts w:ascii="Arial" w:hAnsi="Arial" w:eastAsia="Arial" w:cs="Arial"/>
          <w:spacing w:val="8"/>
          <w:sz w:val="19"/>
          <w:szCs w:val="19"/>
        </w:rPr>
        <w:t xml:space="preserve"> </w:t>
      </w:r>
      <w:r>
        <w:rPr>
          <w:rFonts w:ascii="Arial" w:hAnsi="Arial" w:eastAsia="Arial" w:cs="Arial"/>
          <w:spacing w:val="-5"/>
          <w:sz w:val="19"/>
          <w:szCs w:val="19"/>
        </w:rPr>
        <w:t>summary</w:t>
      </w:r>
      <w:r>
        <w:rPr>
          <w:rFonts w:ascii="Arial" w:hAnsi="Arial" w:eastAsia="Arial" w:cs="Arial"/>
          <w:spacing w:val="7"/>
          <w:sz w:val="19"/>
          <w:szCs w:val="19"/>
        </w:rPr>
        <w:t xml:space="preserve"> </w:t>
      </w:r>
      <w:r>
        <w:rPr>
          <w:rFonts w:ascii="Arial" w:hAnsi="Arial" w:eastAsia="Arial" w:cs="Arial"/>
          <w:spacing w:val="-5"/>
          <w:sz w:val="19"/>
          <w:szCs w:val="19"/>
        </w:rPr>
        <w:t>and</w:t>
      </w:r>
      <w:r>
        <w:rPr>
          <w:rFonts w:ascii="Arial" w:hAnsi="Arial" w:eastAsia="Arial" w:cs="Arial"/>
          <w:spacing w:val="14"/>
          <w:sz w:val="19"/>
          <w:szCs w:val="19"/>
        </w:rPr>
        <w:t xml:space="preserve"> </w:t>
      </w:r>
      <w:r>
        <w:rPr>
          <w:rFonts w:ascii="Arial" w:hAnsi="Arial" w:eastAsia="Arial" w:cs="Arial"/>
          <w:spacing w:val="-5"/>
          <w:sz w:val="19"/>
          <w:szCs w:val="19"/>
        </w:rPr>
        <w:t>proposal</w:t>
      </w:r>
      <w:r>
        <w:rPr>
          <w:rFonts w:ascii="Arial" w:hAnsi="Arial" w:eastAsia="Arial" w:cs="Arial"/>
          <w:spacing w:val="8"/>
          <w:sz w:val="19"/>
          <w:szCs w:val="19"/>
        </w:rPr>
        <w:t xml:space="preserve"> </w:t>
      </w:r>
      <w:r>
        <w:rPr>
          <w:rFonts w:ascii="Arial" w:hAnsi="Arial" w:eastAsia="Arial" w:cs="Arial"/>
          <w:spacing w:val="-5"/>
          <w:sz w:val="19"/>
          <w:szCs w:val="19"/>
        </w:rPr>
        <w:t>of future</w:t>
      </w:r>
      <w:r>
        <w:rPr>
          <w:rFonts w:ascii="Arial" w:hAnsi="Arial" w:eastAsia="Arial" w:cs="Arial"/>
          <w:spacing w:val="14"/>
          <w:sz w:val="19"/>
          <w:szCs w:val="19"/>
        </w:rPr>
        <w:t xml:space="preserve"> </w:t>
      </w:r>
      <w:r>
        <w:rPr>
          <w:rFonts w:ascii="Arial" w:hAnsi="Arial" w:eastAsia="Arial" w:cs="Arial"/>
          <w:spacing w:val="-5"/>
          <w:sz w:val="19"/>
          <w:szCs w:val="19"/>
        </w:rPr>
        <w:t>research</w:t>
      </w:r>
      <w:r>
        <w:rPr>
          <w:rFonts w:ascii="Arial" w:hAnsi="Arial" w:eastAsia="Arial" w:cs="Arial"/>
          <w:sz w:val="19"/>
          <w:szCs w:val="19"/>
        </w:rPr>
        <w:t xml:space="preserve"> </w:t>
      </w:r>
      <w:r>
        <w:rPr>
          <w:rFonts w:ascii="Arial" w:hAnsi="Arial" w:eastAsia="Arial" w:cs="Arial"/>
          <w:spacing w:val="-6"/>
          <w:sz w:val="19"/>
          <w:szCs w:val="19"/>
        </w:rPr>
        <w:t>questions.</w:t>
      </w:r>
    </w:p>
    <w:p>
      <w:pPr>
        <w:spacing w:line="456" w:lineRule="auto"/>
        <w:rPr>
          <w:rFonts w:ascii="Arial"/>
          <w:sz w:val="21"/>
        </w:rPr>
      </w:pPr>
    </w:p>
    <w:p>
      <w:pPr>
        <w:spacing w:before="60" w:line="194" w:lineRule="auto"/>
        <w:ind w:left="3"/>
        <w:outlineLvl w:val="2"/>
        <w:rPr>
          <w:rFonts w:ascii="Arial" w:hAnsi="Arial" w:eastAsia="Arial" w:cs="Arial"/>
          <w:sz w:val="21"/>
          <w:szCs w:val="21"/>
        </w:rPr>
      </w:pPr>
      <w:r>
        <w:rPr>
          <w:rFonts w:ascii="Arial" w:hAnsi="Arial" w:eastAsia="Arial" w:cs="Arial"/>
          <w:color w:val="282781"/>
          <w:spacing w:val="2"/>
          <w:sz w:val="21"/>
          <w:szCs w:val="21"/>
        </w:rPr>
        <w:t>Theoretical framework</w:t>
      </w:r>
    </w:p>
    <w:p>
      <w:pPr>
        <w:spacing w:before="149" w:line="259" w:lineRule="auto"/>
        <w:ind w:left="3" w:right="6" w:hanging="3"/>
        <w:jc w:val="both"/>
        <w:rPr>
          <w:rFonts w:ascii="Arial" w:hAnsi="Arial" w:eastAsia="Arial" w:cs="Arial"/>
          <w:sz w:val="19"/>
          <w:szCs w:val="19"/>
        </w:rPr>
      </w:pPr>
      <w:r>
        <w:rPr>
          <w:rFonts w:ascii="Arial" w:hAnsi="Arial" w:eastAsia="Arial" w:cs="Arial"/>
          <w:spacing w:val="-4"/>
          <w:sz w:val="19"/>
          <w:szCs w:val="19"/>
        </w:rPr>
        <w:t>The terms</w:t>
      </w:r>
      <w:r>
        <w:rPr>
          <w:rFonts w:ascii="Arial" w:hAnsi="Arial" w:eastAsia="Arial" w:cs="Arial"/>
          <w:spacing w:val="-14"/>
          <w:sz w:val="19"/>
          <w:szCs w:val="19"/>
        </w:rPr>
        <w:t xml:space="preserve"> </w:t>
      </w:r>
      <w:r>
        <w:rPr>
          <w:rFonts w:ascii="Arial" w:hAnsi="Arial" w:eastAsia="Arial" w:cs="Arial"/>
          <w:spacing w:val="-4"/>
          <w:sz w:val="19"/>
          <w:szCs w:val="19"/>
        </w:rPr>
        <w:t>‘quality’,</w:t>
      </w:r>
      <w:r>
        <w:rPr>
          <w:rFonts w:ascii="Arial" w:hAnsi="Arial" w:eastAsia="Arial" w:cs="Arial"/>
          <w:spacing w:val="-13"/>
          <w:sz w:val="19"/>
          <w:szCs w:val="19"/>
        </w:rPr>
        <w:t xml:space="preserve"> </w:t>
      </w:r>
      <w:r>
        <w:rPr>
          <w:rFonts w:ascii="Arial" w:hAnsi="Arial" w:eastAsia="Arial" w:cs="Arial"/>
          <w:spacing w:val="-4"/>
          <w:sz w:val="19"/>
          <w:szCs w:val="19"/>
        </w:rPr>
        <w:t>‘quality assurance’,</w:t>
      </w:r>
      <w:r>
        <w:rPr>
          <w:rFonts w:ascii="Arial" w:hAnsi="Arial" w:eastAsia="Arial" w:cs="Arial"/>
          <w:spacing w:val="-14"/>
          <w:sz w:val="19"/>
          <w:szCs w:val="19"/>
        </w:rPr>
        <w:t xml:space="preserve"> </w:t>
      </w:r>
      <w:r>
        <w:rPr>
          <w:rFonts w:ascii="Arial" w:hAnsi="Arial" w:eastAsia="Arial" w:cs="Arial"/>
          <w:spacing w:val="-4"/>
          <w:sz w:val="19"/>
          <w:szCs w:val="19"/>
        </w:rPr>
        <w:t>‘organizat</w:t>
      </w:r>
      <w:r>
        <w:rPr>
          <w:rFonts w:ascii="Arial" w:hAnsi="Arial" w:eastAsia="Arial" w:cs="Arial"/>
          <w:spacing w:val="-5"/>
          <w:sz w:val="19"/>
          <w:szCs w:val="19"/>
        </w:rPr>
        <w:t>ional culture’ and</w:t>
      </w:r>
      <w:r>
        <w:rPr>
          <w:rFonts w:ascii="Arial" w:hAnsi="Arial" w:eastAsia="Arial" w:cs="Arial"/>
          <w:spacing w:val="-14"/>
          <w:sz w:val="19"/>
          <w:szCs w:val="19"/>
        </w:rPr>
        <w:t xml:space="preserve"> </w:t>
      </w:r>
      <w:r>
        <w:rPr>
          <w:rFonts w:ascii="Arial" w:hAnsi="Arial" w:eastAsia="Arial" w:cs="Arial"/>
          <w:spacing w:val="-5"/>
          <w:sz w:val="19"/>
          <w:szCs w:val="19"/>
        </w:rPr>
        <w:t>‘quality culture’ represent interdis-</w:t>
      </w:r>
      <w:r>
        <w:rPr>
          <w:rFonts w:ascii="Arial" w:hAnsi="Arial" w:eastAsia="Arial" w:cs="Arial"/>
          <w:sz w:val="19"/>
          <w:szCs w:val="19"/>
        </w:rPr>
        <w:t xml:space="preserve"> </w:t>
      </w:r>
      <w:r>
        <w:rPr>
          <w:rFonts w:ascii="Arial" w:hAnsi="Arial" w:eastAsia="Arial" w:cs="Arial"/>
          <w:spacing w:val="-4"/>
          <w:sz w:val="19"/>
          <w:szCs w:val="19"/>
        </w:rPr>
        <w:t xml:space="preserve">ciplinary constructs that play an important role in the context of higher </w:t>
      </w:r>
      <w:r>
        <w:rPr>
          <w:rFonts w:ascii="Arial" w:hAnsi="Arial" w:eastAsia="Arial" w:cs="Arial"/>
          <w:spacing w:val="-5"/>
          <w:sz w:val="19"/>
          <w:szCs w:val="19"/>
        </w:rPr>
        <w:t>education as well as in engin-</w:t>
      </w:r>
      <w:r>
        <w:rPr>
          <w:rFonts w:ascii="Arial" w:hAnsi="Arial" w:eastAsia="Arial" w:cs="Arial"/>
          <w:sz w:val="19"/>
          <w:szCs w:val="19"/>
        </w:rPr>
        <w:t xml:space="preserve"> </w:t>
      </w:r>
      <w:r>
        <w:rPr>
          <w:rFonts w:ascii="Arial" w:hAnsi="Arial" w:eastAsia="Arial" w:cs="Arial"/>
          <w:spacing w:val="-5"/>
          <w:sz w:val="19"/>
          <w:szCs w:val="19"/>
        </w:rPr>
        <w:t>eering,</w:t>
      </w:r>
      <w:r>
        <w:rPr>
          <w:rFonts w:ascii="Arial" w:hAnsi="Arial" w:eastAsia="Arial" w:cs="Arial"/>
          <w:spacing w:val="11"/>
          <w:sz w:val="19"/>
          <w:szCs w:val="19"/>
        </w:rPr>
        <w:t xml:space="preserve"> </w:t>
      </w:r>
      <w:r>
        <w:rPr>
          <w:rFonts w:ascii="Arial" w:hAnsi="Arial" w:eastAsia="Arial" w:cs="Arial"/>
          <w:spacing w:val="-5"/>
          <w:sz w:val="19"/>
          <w:szCs w:val="19"/>
        </w:rPr>
        <w:t>business administration, and soc</w:t>
      </w:r>
      <w:r>
        <w:rPr>
          <w:rFonts w:ascii="Arial" w:hAnsi="Arial" w:eastAsia="Arial" w:cs="Arial"/>
          <w:spacing w:val="-6"/>
          <w:sz w:val="19"/>
          <w:szCs w:val="19"/>
        </w:rPr>
        <w:t>ial sciences. All</w:t>
      </w:r>
      <w:r>
        <w:rPr>
          <w:rFonts w:ascii="Arial" w:hAnsi="Arial" w:eastAsia="Arial" w:cs="Arial"/>
          <w:spacing w:val="5"/>
          <w:sz w:val="19"/>
          <w:szCs w:val="19"/>
        </w:rPr>
        <w:t xml:space="preserve"> </w:t>
      </w:r>
      <w:r>
        <w:rPr>
          <w:rFonts w:ascii="Arial" w:hAnsi="Arial" w:eastAsia="Arial" w:cs="Arial"/>
          <w:spacing w:val="-6"/>
          <w:sz w:val="19"/>
          <w:szCs w:val="19"/>
        </w:rPr>
        <w:t>disciplines</w:t>
      </w:r>
      <w:r>
        <w:rPr>
          <w:rFonts w:ascii="Arial" w:hAnsi="Arial" w:eastAsia="Arial" w:cs="Arial"/>
          <w:spacing w:val="11"/>
          <w:sz w:val="19"/>
          <w:szCs w:val="19"/>
        </w:rPr>
        <w:t xml:space="preserve"> </w:t>
      </w:r>
      <w:r>
        <w:rPr>
          <w:rFonts w:ascii="Arial" w:hAnsi="Arial" w:eastAsia="Arial" w:cs="Arial"/>
          <w:spacing w:val="-6"/>
          <w:sz w:val="19"/>
          <w:szCs w:val="19"/>
        </w:rPr>
        <w:t>have</w:t>
      </w:r>
      <w:r>
        <w:rPr>
          <w:rFonts w:ascii="Arial" w:hAnsi="Arial" w:eastAsia="Arial" w:cs="Arial"/>
          <w:spacing w:val="10"/>
          <w:sz w:val="19"/>
          <w:szCs w:val="19"/>
        </w:rPr>
        <w:t xml:space="preserve"> </w:t>
      </w:r>
      <w:r>
        <w:rPr>
          <w:rFonts w:ascii="Arial" w:hAnsi="Arial" w:eastAsia="Arial" w:cs="Arial"/>
          <w:spacing w:val="-6"/>
          <w:sz w:val="19"/>
          <w:szCs w:val="19"/>
        </w:rPr>
        <w:t>in</w:t>
      </w:r>
      <w:r>
        <w:rPr>
          <w:rFonts w:ascii="Arial" w:hAnsi="Arial" w:eastAsia="Arial" w:cs="Arial"/>
          <w:spacing w:val="5"/>
          <w:sz w:val="19"/>
          <w:szCs w:val="19"/>
        </w:rPr>
        <w:t xml:space="preserve"> </w:t>
      </w:r>
      <w:r>
        <w:rPr>
          <w:rFonts w:ascii="Arial" w:hAnsi="Arial" w:eastAsia="Arial" w:cs="Arial"/>
          <w:spacing w:val="-6"/>
          <w:sz w:val="19"/>
          <w:szCs w:val="19"/>
        </w:rPr>
        <w:t>common,</w:t>
      </w:r>
      <w:r>
        <w:rPr>
          <w:rFonts w:ascii="Arial" w:hAnsi="Arial" w:eastAsia="Arial" w:cs="Arial"/>
          <w:spacing w:val="1"/>
          <w:sz w:val="19"/>
          <w:szCs w:val="19"/>
        </w:rPr>
        <w:t xml:space="preserve"> </w:t>
      </w:r>
      <w:r>
        <w:rPr>
          <w:rFonts w:ascii="Arial" w:hAnsi="Arial" w:eastAsia="Arial" w:cs="Arial"/>
          <w:spacing w:val="-6"/>
          <w:sz w:val="19"/>
          <w:szCs w:val="19"/>
        </w:rPr>
        <w:t>that</w:t>
      </w:r>
      <w:r>
        <w:rPr>
          <w:rFonts w:ascii="Arial" w:hAnsi="Arial" w:eastAsia="Arial" w:cs="Arial"/>
          <w:spacing w:val="2"/>
          <w:sz w:val="19"/>
          <w:szCs w:val="19"/>
        </w:rPr>
        <w:t xml:space="preserve"> </w:t>
      </w:r>
      <w:r>
        <w:rPr>
          <w:rFonts w:ascii="Arial" w:hAnsi="Arial" w:eastAsia="Arial" w:cs="Arial"/>
          <w:spacing w:val="-6"/>
          <w:sz w:val="19"/>
          <w:szCs w:val="19"/>
        </w:rPr>
        <w:t>they</w:t>
      </w:r>
      <w:r>
        <w:rPr>
          <w:rFonts w:ascii="Arial" w:hAnsi="Arial" w:eastAsia="Arial" w:cs="Arial"/>
          <w:spacing w:val="2"/>
          <w:sz w:val="19"/>
          <w:szCs w:val="19"/>
        </w:rPr>
        <w:t xml:space="preserve"> </w:t>
      </w:r>
      <w:r>
        <w:rPr>
          <w:rFonts w:ascii="Arial" w:hAnsi="Arial" w:eastAsia="Arial" w:cs="Arial"/>
          <w:spacing w:val="-6"/>
          <w:sz w:val="19"/>
          <w:szCs w:val="19"/>
        </w:rPr>
        <w:t>thrive</w:t>
      </w:r>
      <w:r>
        <w:rPr>
          <w:rFonts w:ascii="Arial" w:hAnsi="Arial" w:eastAsia="Arial" w:cs="Arial"/>
          <w:sz w:val="19"/>
          <w:szCs w:val="19"/>
        </w:rPr>
        <w:t xml:space="preserve"> </w:t>
      </w:r>
      <w:r>
        <w:rPr>
          <w:rFonts w:ascii="Arial" w:hAnsi="Arial" w:eastAsia="Arial" w:cs="Arial"/>
          <w:spacing w:val="-6"/>
          <w:sz w:val="19"/>
          <w:szCs w:val="19"/>
        </w:rPr>
        <w:t>to improve the quality of products,</w:t>
      </w:r>
      <w:r>
        <w:rPr>
          <w:rFonts w:ascii="Arial" w:hAnsi="Arial" w:eastAsia="Arial" w:cs="Arial"/>
          <w:spacing w:val="9"/>
          <w:sz w:val="19"/>
          <w:szCs w:val="19"/>
        </w:rPr>
        <w:t xml:space="preserve"> </w:t>
      </w:r>
      <w:r>
        <w:rPr>
          <w:rFonts w:ascii="Arial" w:hAnsi="Arial" w:eastAsia="Arial" w:cs="Arial"/>
          <w:spacing w:val="-6"/>
          <w:sz w:val="19"/>
          <w:szCs w:val="19"/>
        </w:rPr>
        <w:t>processes and/or services</w:t>
      </w:r>
      <w:r>
        <w:rPr>
          <w:rFonts w:ascii="Arial" w:hAnsi="Arial" w:eastAsia="Arial" w:cs="Arial"/>
          <w:spacing w:val="8"/>
          <w:sz w:val="19"/>
          <w:szCs w:val="19"/>
        </w:rPr>
        <w:t xml:space="preserve"> </w:t>
      </w:r>
      <w:r>
        <w:rPr>
          <w:rFonts w:ascii="Arial" w:hAnsi="Arial" w:eastAsia="Arial" w:cs="Arial"/>
          <w:spacing w:val="-7"/>
          <w:sz w:val="19"/>
          <w:szCs w:val="19"/>
        </w:rPr>
        <w:t>(cf.</w:t>
      </w:r>
      <w:r>
        <w:rPr>
          <w:rFonts w:ascii="Arial" w:hAnsi="Arial" w:eastAsia="Arial" w:cs="Arial"/>
          <w:spacing w:val="4"/>
          <w:sz w:val="19"/>
          <w:szCs w:val="19"/>
        </w:rPr>
        <w:t xml:space="preserve"> </w:t>
      </w:r>
      <w:r>
        <w:rPr>
          <w:rFonts w:ascii="Arial" w:hAnsi="Arial" w:eastAsia="Arial" w:cs="Arial"/>
          <w:spacing w:val="-7"/>
          <w:sz w:val="19"/>
          <w:szCs w:val="19"/>
        </w:rPr>
        <w:t>Sattler,</w:t>
      </w:r>
      <w:r>
        <w:rPr>
          <w:rFonts w:ascii="Arial" w:hAnsi="Arial" w:eastAsia="Arial" w:cs="Arial"/>
          <w:spacing w:val="4"/>
          <w:sz w:val="19"/>
          <w:szCs w:val="19"/>
        </w:rPr>
        <w:t xml:space="preserve"> </w:t>
      </w:r>
      <w:r>
        <w:rPr>
          <w:rFonts w:ascii="Arial" w:hAnsi="Arial" w:eastAsia="Arial" w:cs="Arial"/>
          <w:spacing w:val="-7"/>
          <w:sz w:val="19"/>
          <w:szCs w:val="19"/>
        </w:rPr>
        <w:t>Sonntag,</w:t>
      </w:r>
      <w:r>
        <w:rPr>
          <w:rFonts w:ascii="Arial" w:hAnsi="Arial" w:eastAsia="Arial" w:cs="Arial"/>
          <w:spacing w:val="1"/>
          <w:sz w:val="19"/>
          <w:szCs w:val="19"/>
        </w:rPr>
        <w:t xml:space="preserve"> </w:t>
      </w:r>
      <w:r>
        <w:rPr>
          <w:rFonts w:ascii="Arial" w:hAnsi="Arial" w:eastAsia="Arial" w:cs="Arial"/>
          <w:spacing w:val="-7"/>
          <w:sz w:val="19"/>
          <w:szCs w:val="19"/>
        </w:rPr>
        <w:t>and</w:t>
      </w:r>
      <w:r>
        <w:rPr>
          <w:rFonts w:ascii="Arial" w:hAnsi="Arial" w:eastAsia="Arial" w:cs="Arial"/>
          <w:spacing w:val="2"/>
          <w:sz w:val="19"/>
          <w:szCs w:val="19"/>
        </w:rPr>
        <w:t xml:space="preserve"> </w:t>
      </w:r>
      <w:r>
        <w:rPr>
          <w:rFonts w:ascii="Arial" w:hAnsi="Arial" w:eastAsia="Arial" w:cs="Arial"/>
          <w:spacing w:val="-7"/>
          <w:sz w:val="19"/>
          <w:szCs w:val="19"/>
        </w:rPr>
        <w:t xml:space="preserve">Götzen </w:t>
      </w:r>
      <w:r>
        <w:fldChar w:fldCharType="begin"/>
      </w:r>
      <w:r>
        <w:instrText xml:space="preserve"> HYPERLINK \l "bookmark19" </w:instrText>
      </w:r>
      <w:r>
        <w:fldChar w:fldCharType="separate"/>
      </w:r>
      <w:r>
        <w:rPr>
          <w:rFonts w:ascii="Arial" w:hAnsi="Arial" w:eastAsia="Arial" w:cs="Arial"/>
          <w:color w:val="000084"/>
          <w:spacing w:val="-7"/>
          <w:sz w:val="19"/>
          <w:szCs w:val="19"/>
        </w:rPr>
        <w:t>2016</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z w:val="19"/>
          <w:szCs w:val="19"/>
        </w:rPr>
        <w:t xml:space="preserve"> </w:t>
      </w:r>
      <w:r>
        <w:rPr>
          <w:rFonts w:ascii="Arial" w:hAnsi="Arial" w:eastAsia="Arial" w:cs="Arial"/>
          <w:spacing w:val="-5"/>
          <w:sz w:val="19"/>
          <w:szCs w:val="19"/>
        </w:rPr>
        <w:t>As this</w:t>
      </w:r>
      <w:r>
        <w:rPr>
          <w:rFonts w:ascii="Arial" w:hAnsi="Arial" w:eastAsia="Arial" w:cs="Arial"/>
          <w:spacing w:val="16"/>
          <w:w w:val="101"/>
          <w:sz w:val="19"/>
          <w:szCs w:val="19"/>
        </w:rPr>
        <w:t xml:space="preserve"> </w:t>
      </w:r>
      <w:r>
        <w:rPr>
          <w:rFonts w:ascii="Arial" w:hAnsi="Arial" w:eastAsia="Arial" w:cs="Arial"/>
          <w:spacing w:val="-5"/>
          <w:sz w:val="19"/>
          <w:szCs w:val="19"/>
        </w:rPr>
        <w:t>paper focuses</w:t>
      </w:r>
      <w:r>
        <w:rPr>
          <w:rFonts w:ascii="Arial" w:hAnsi="Arial" w:eastAsia="Arial" w:cs="Arial"/>
          <w:spacing w:val="11"/>
          <w:sz w:val="19"/>
          <w:szCs w:val="19"/>
        </w:rPr>
        <w:t xml:space="preserve"> </w:t>
      </w:r>
      <w:r>
        <w:rPr>
          <w:rFonts w:ascii="Arial" w:hAnsi="Arial" w:eastAsia="Arial" w:cs="Arial"/>
          <w:spacing w:val="-5"/>
          <w:sz w:val="19"/>
          <w:szCs w:val="19"/>
        </w:rPr>
        <w:t>on the</w:t>
      </w:r>
      <w:r>
        <w:rPr>
          <w:rFonts w:ascii="Arial" w:hAnsi="Arial" w:eastAsia="Arial" w:cs="Arial"/>
          <w:spacing w:val="9"/>
          <w:sz w:val="19"/>
          <w:szCs w:val="19"/>
        </w:rPr>
        <w:t xml:space="preserve"> </w:t>
      </w:r>
      <w:r>
        <w:rPr>
          <w:rFonts w:ascii="Arial" w:hAnsi="Arial" w:eastAsia="Arial" w:cs="Arial"/>
          <w:spacing w:val="-5"/>
          <w:sz w:val="19"/>
          <w:szCs w:val="19"/>
        </w:rPr>
        <w:t>co</w:t>
      </w:r>
      <w:r>
        <w:rPr>
          <w:rFonts w:ascii="Arial" w:hAnsi="Arial" w:eastAsia="Arial" w:cs="Arial"/>
          <w:spacing w:val="-6"/>
          <w:sz w:val="19"/>
          <w:szCs w:val="19"/>
        </w:rPr>
        <w:t>ntext</w:t>
      </w:r>
      <w:r>
        <w:rPr>
          <w:rFonts w:ascii="Arial" w:hAnsi="Arial" w:eastAsia="Arial" w:cs="Arial"/>
          <w:spacing w:val="10"/>
          <w:sz w:val="19"/>
          <w:szCs w:val="19"/>
        </w:rPr>
        <w:t xml:space="preserve"> </w:t>
      </w:r>
      <w:r>
        <w:rPr>
          <w:rFonts w:ascii="Arial" w:hAnsi="Arial" w:eastAsia="Arial" w:cs="Arial"/>
          <w:spacing w:val="-6"/>
          <w:sz w:val="19"/>
          <w:szCs w:val="19"/>
        </w:rPr>
        <w:t>of higher</w:t>
      </w:r>
      <w:r>
        <w:rPr>
          <w:rFonts w:ascii="Arial" w:hAnsi="Arial" w:eastAsia="Arial" w:cs="Arial"/>
          <w:spacing w:val="9"/>
          <w:sz w:val="19"/>
          <w:szCs w:val="19"/>
        </w:rPr>
        <w:t xml:space="preserve"> </w:t>
      </w:r>
      <w:r>
        <w:rPr>
          <w:rFonts w:ascii="Arial" w:hAnsi="Arial" w:eastAsia="Arial" w:cs="Arial"/>
          <w:spacing w:val="-6"/>
          <w:sz w:val="19"/>
          <w:szCs w:val="19"/>
        </w:rPr>
        <w:t>education,</w:t>
      </w:r>
      <w:r>
        <w:rPr>
          <w:rFonts w:ascii="Arial" w:hAnsi="Arial" w:eastAsia="Arial" w:cs="Arial"/>
          <w:spacing w:val="17"/>
          <w:w w:val="101"/>
          <w:sz w:val="19"/>
          <w:szCs w:val="19"/>
        </w:rPr>
        <w:t xml:space="preserve"> </w:t>
      </w:r>
      <w:r>
        <w:rPr>
          <w:rFonts w:ascii="Arial" w:hAnsi="Arial" w:eastAsia="Arial" w:cs="Arial"/>
          <w:spacing w:val="-6"/>
          <w:sz w:val="19"/>
          <w:szCs w:val="19"/>
        </w:rPr>
        <w:t>key</w:t>
      </w:r>
      <w:r>
        <w:rPr>
          <w:rFonts w:ascii="Arial" w:hAnsi="Arial" w:eastAsia="Arial" w:cs="Arial"/>
          <w:spacing w:val="10"/>
          <w:sz w:val="19"/>
          <w:szCs w:val="19"/>
        </w:rPr>
        <w:t xml:space="preserve"> </w:t>
      </w:r>
      <w:r>
        <w:rPr>
          <w:rFonts w:ascii="Arial" w:hAnsi="Arial" w:eastAsia="Arial" w:cs="Arial"/>
          <w:spacing w:val="-6"/>
          <w:sz w:val="19"/>
          <w:szCs w:val="19"/>
        </w:rPr>
        <w:t>constructs</w:t>
      </w:r>
      <w:r>
        <w:rPr>
          <w:rFonts w:ascii="Arial" w:hAnsi="Arial" w:eastAsia="Arial" w:cs="Arial"/>
          <w:spacing w:val="8"/>
          <w:sz w:val="19"/>
          <w:szCs w:val="19"/>
        </w:rPr>
        <w:t xml:space="preserve"> </w:t>
      </w:r>
      <w:r>
        <w:rPr>
          <w:rFonts w:ascii="Arial" w:hAnsi="Arial" w:eastAsia="Arial" w:cs="Arial"/>
          <w:spacing w:val="-6"/>
          <w:sz w:val="19"/>
          <w:szCs w:val="19"/>
        </w:rPr>
        <w:t>are</w:t>
      </w:r>
      <w:r>
        <w:rPr>
          <w:rFonts w:ascii="Arial" w:hAnsi="Arial" w:eastAsia="Arial" w:cs="Arial"/>
          <w:spacing w:val="16"/>
          <w:w w:val="101"/>
          <w:sz w:val="19"/>
          <w:szCs w:val="19"/>
        </w:rPr>
        <w:t xml:space="preserve"> </w:t>
      </w:r>
      <w:r>
        <w:rPr>
          <w:rFonts w:ascii="Arial" w:hAnsi="Arial" w:eastAsia="Arial" w:cs="Arial"/>
          <w:spacing w:val="-6"/>
          <w:sz w:val="19"/>
          <w:szCs w:val="19"/>
        </w:rPr>
        <w:t>mainly</w:t>
      </w:r>
      <w:r>
        <w:rPr>
          <w:rFonts w:ascii="Arial" w:hAnsi="Arial" w:eastAsia="Arial" w:cs="Arial"/>
          <w:spacing w:val="9"/>
          <w:sz w:val="19"/>
          <w:szCs w:val="19"/>
        </w:rPr>
        <w:t xml:space="preserve"> </w:t>
      </w:r>
      <w:r>
        <w:rPr>
          <w:rFonts w:ascii="Arial" w:hAnsi="Arial" w:eastAsia="Arial" w:cs="Arial"/>
          <w:spacing w:val="-6"/>
          <w:sz w:val="19"/>
          <w:szCs w:val="19"/>
        </w:rPr>
        <w:t>discussed</w:t>
      </w:r>
      <w:r>
        <w:rPr>
          <w:rFonts w:ascii="Arial" w:hAnsi="Arial" w:eastAsia="Arial" w:cs="Arial"/>
          <w:spacing w:val="5"/>
          <w:sz w:val="19"/>
          <w:szCs w:val="19"/>
        </w:rPr>
        <w:t xml:space="preserve"> </w:t>
      </w:r>
      <w:r>
        <w:rPr>
          <w:rFonts w:ascii="Arial" w:hAnsi="Arial" w:eastAsia="Arial" w:cs="Arial"/>
          <w:spacing w:val="-6"/>
          <w:sz w:val="19"/>
          <w:szCs w:val="19"/>
        </w:rPr>
        <w:t>from</w:t>
      </w:r>
      <w:r>
        <w:rPr>
          <w:rFonts w:ascii="Arial" w:hAnsi="Arial" w:eastAsia="Arial" w:cs="Arial"/>
          <w:sz w:val="19"/>
          <w:szCs w:val="19"/>
        </w:rPr>
        <w:t xml:space="preserve"> </w:t>
      </w:r>
      <w:r>
        <w:rPr>
          <w:rFonts w:ascii="Arial" w:hAnsi="Arial" w:eastAsia="Arial" w:cs="Arial"/>
          <w:spacing w:val="-4"/>
          <w:sz w:val="19"/>
          <w:szCs w:val="19"/>
        </w:rPr>
        <w:t>this</w:t>
      </w:r>
      <w:r>
        <w:rPr>
          <w:rFonts w:ascii="Arial" w:hAnsi="Arial" w:eastAsia="Arial" w:cs="Arial"/>
          <w:spacing w:val="29"/>
          <w:sz w:val="19"/>
          <w:szCs w:val="19"/>
        </w:rPr>
        <w:t xml:space="preserve"> </w:t>
      </w:r>
      <w:r>
        <w:rPr>
          <w:rFonts w:ascii="Arial" w:hAnsi="Arial" w:eastAsia="Arial" w:cs="Arial"/>
          <w:spacing w:val="-4"/>
          <w:sz w:val="19"/>
          <w:szCs w:val="19"/>
        </w:rPr>
        <w:t>perspective</w:t>
      </w:r>
      <w:r>
        <w:rPr>
          <w:rFonts w:ascii="Arial" w:hAnsi="Arial" w:eastAsia="Arial" w:cs="Arial"/>
          <w:spacing w:val="17"/>
          <w:w w:val="101"/>
          <w:sz w:val="19"/>
          <w:szCs w:val="19"/>
        </w:rPr>
        <w:t xml:space="preserve"> </w:t>
      </w:r>
      <w:r>
        <w:rPr>
          <w:rFonts w:ascii="Arial" w:hAnsi="Arial" w:eastAsia="Arial" w:cs="Arial"/>
          <w:spacing w:val="-4"/>
          <w:sz w:val="19"/>
          <w:szCs w:val="19"/>
        </w:rPr>
        <w:t>in the following</w:t>
      </w:r>
      <w:r>
        <w:rPr>
          <w:rFonts w:ascii="Arial" w:hAnsi="Arial" w:eastAsia="Arial" w:cs="Arial"/>
          <w:spacing w:val="13"/>
          <w:sz w:val="19"/>
          <w:szCs w:val="19"/>
        </w:rPr>
        <w:t xml:space="preserve"> </w:t>
      </w:r>
      <w:r>
        <w:rPr>
          <w:rFonts w:ascii="Arial" w:hAnsi="Arial" w:eastAsia="Arial" w:cs="Arial"/>
          <w:spacing w:val="-4"/>
          <w:sz w:val="19"/>
          <w:szCs w:val="19"/>
        </w:rPr>
        <w:t>sections.</w:t>
      </w:r>
    </w:p>
    <w:p>
      <w:pPr>
        <w:spacing w:line="435" w:lineRule="auto"/>
        <w:rPr>
          <w:rFonts w:ascii="Arial"/>
          <w:sz w:val="21"/>
        </w:rPr>
      </w:pPr>
    </w:p>
    <w:p>
      <w:pPr>
        <w:spacing w:before="58" w:line="237" w:lineRule="auto"/>
        <w:ind w:left="4"/>
        <w:rPr>
          <w:rFonts w:ascii="Arial" w:hAnsi="Arial" w:eastAsia="Arial" w:cs="Arial"/>
          <w:sz w:val="20"/>
          <w:szCs w:val="20"/>
        </w:rPr>
      </w:pPr>
      <w:r>
        <w:rPr>
          <w:rFonts w:ascii="Arial" w:hAnsi="Arial" w:eastAsia="Arial" w:cs="Arial"/>
          <w:color w:val="282781"/>
          <w:spacing w:val="6"/>
          <w:sz w:val="20"/>
          <w:szCs w:val="20"/>
        </w:rPr>
        <w:t>Deinition of</w:t>
      </w:r>
      <w:r>
        <w:rPr>
          <w:rFonts w:ascii="Arial" w:hAnsi="Arial" w:eastAsia="Arial" w:cs="Arial"/>
          <w:color w:val="282781"/>
          <w:spacing w:val="7"/>
          <w:sz w:val="20"/>
          <w:szCs w:val="20"/>
        </w:rPr>
        <w:t xml:space="preserve"> </w:t>
      </w:r>
      <w:r>
        <w:rPr>
          <w:rFonts w:ascii="Arial" w:hAnsi="Arial" w:eastAsia="Arial" w:cs="Arial"/>
          <w:color w:val="282781"/>
          <w:spacing w:val="6"/>
          <w:sz w:val="20"/>
          <w:szCs w:val="20"/>
        </w:rPr>
        <w:t>quality</w:t>
      </w:r>
    </w:p>
    <w:p>
      <w:pPr>
        <w:spacing w:before="145" w:line="257" w:lineRule="auto"/>
        <w:ind w:left="6" w:right="7" w:hanging="2"/>
        <w:jc w:val="both"/>
        <w:rPr>
          <w:rFonts w:ascii="Arial" w:hAnsi="Arial" w:eastAsia="Arial" w:cs="Arial"/>
          <w:sz w:val="19"/>
          <w:szCs w:val="19"/>
        </w:rPr>
      </w:pPr>
      <w:r>
        <w:rPr>
          <w:rFonts w:ascii="Arial" w:hAnsi="Arial" w:eastAsia="Arial" w:cs="Arial"/>
          <w:spacing w:val="-3"/>
          <w:sz w:val="19"/>
          <w:szCs w:val="19"/>
        </w:rPr>
        <w:t>A review of</w:t>
      </w:r>
      <w:r>
        <w:rPr>
          <w:rFonts w:ascii="Arial" w:hAnsi="Arial" w:eastAsia="Arial" w:cs="Arial"/>
          <w:spacing w:val="-11"/>
          <w:sz w:val="19"/>
          <w:szCs w:val="19"/>
        </w:rPr>
        <w:t xml:space="preserve"> </w:t>
      </w:r>
      <w:r>
        <w:rPr>
          <w:rFonts w:ascii="Arial" w:hAnsi="Arial" w:eastAsia="Arial" w:cs="Arial"/>
          <w:spacing w:val="-3"/>
          <w:sz w:val="19"/>
          <w:szCs w:val="19"/>
        </w:rPr>
        <w:t>existing lite</w:t>
      </w:r>
      <w:r>
        <w:rPr>
          <w:rFonts w:ascii="Arial" w:hAnsi="Arial" w:eastAsia="Arial" w:cs="Arial"/>
          <w:spacing w:val="-4"/>
          <w:sz w:val="19"/>
          <w:szCs w:val="19"/>
        </w:rPr>
        <w:t>rature reveals several deinitions of</w:t>
      </w:r>
      <w:r>
        <w:rPr>
          <w:rFonts w:ascii="Arial" w:hAnsi="Arial" w:eastAsia="Arial" w:cs="Arial"/>
          <w:spacing w:val="-24"/>
          <w:sz w:val="19"/>
          <w:szCs w:val="19"/>
        </w:rPr>
        <w:t xml:space="preserve"> </w:t>
      </w:r>
      <w:r>
        <w:rPr>
          <w:rFonts w:ascii="Arial" w:hAnsi="Arial" w:eastAsia="Arial" w:cs="Arial"/>
          <w:spacing w:val="-4"/>
          <w:sz w:val="19"/>
          <w:szCs w:val="19"/>
        </w:rPr>
        <w:t>‘quality’ in the context of higher education</w:t>
      </w:r>
      <w:r>
        <w:rPr>
          <w:rFonts w:ascii="Arial" w:hAnsi="Arial" w:eastAsia="Arial" w:cs="Arial"/>
          <w:sz w:val="19"/>
          <w:szCs w:val="19"/>
        </w:rPr>
        <w:t xml:space="preserve"> </w:t>
      </w:r>
      <w:r>
        <w:rPr>
          <w:rFonts w:ascii="Arial" w:hAnsi="Arial" w:eastAsia="Arial" w:cs="Arial"/>
          <w:spacing w:val="-8"/>
          <w:sz w:val="19"/>
          <w:szCs w:val="19"/>
        </w:rPr>
        <w:t>(e.g. Vlăsceanu,</w:t>
      </w:r>
      <w:r>
        <w:rPr>
          <w:rFonts w:ascii="Arial" w:hAnsi="Arial" w:eastAsia="Arial" w:cs="Arial"/>
          <w:spacing w:val="12"/>
          <w:sz w:val="19"/>
          <w:szCs w:val="19"/>
        </w:rPr>
        <w:t xml:space="preserve"> </w:t>
      </w:r>
      <w:r>
        <w:rPr>
          <w:rFonts w:ascii="Arial" w:hAnsi="Arial" w:eastAsia="Arial" w:cs="Arial"/>
          <w:spacing w:val="-8"/>
          <w:sz w:val="19"/>
          <w:szCs w:val="19"/>
        </w:rPr>
        <w:t>Grünberg,</w:t>
      </w:r>
      <w:r>
        <w:rPr>
          <w:rFonts w:ascii="Arial" w:hAnsi="Arial" w:eastAsia="Arial" w:cs="Arial"/>
          <w:spacing w:val="11"/>
          <w:sz w:val="19"/>
          <w:szCs w:val="19"/>
        </w:rPr>
        <w:t xml:space="preserve"> </w:t>
      </w:r>
      <w:r>
        <w:rPr>
          <w:rFonts w:ascii="Arial" w:hAnsi="Arial" w:eastAsia="Arial" w:cs="Arial"/>
          <w:spacing w:val="-8"/>
          <w:sz w:val="19"/>
          <w:szCs w:val="19"/>
        </w:rPr>
        <w:t>and</w:t>
      </w:r>
      <w:r>
        <w:rPr>
          <w:rFonts w:ascii="Arial" w:hAnsi="Arial" w:eastAsia="Arial" w:cs="Arial"/>
          <w:spacing w:val="21"/>
          <w:sz w:val="19"/>
          <w:szCs w:val="19"/>
        </w:rPr>
        <w:t xml:space="preserve"> </w:t>
      </w:r>
      <w:r>
        <w:rPr>
          <w:rFonts w:ascii="Arial" w:hAnsi="Arial" w:eastAsia="Arial" w:cs="Arial"/>
          <w:spacing w:val="-8"/>
          <w:sz w:val="19"/>
          <w:szCs w:val="19"/>
        </w:rPr>
        <w:t xml:space="preserve">Pârlea </w:t>
      </w:r>
      <w:r>
        <w:fldChar w:fldCharType="begin"/>
      </w:r>
      <w:r>
        <w:instrText xml:space="preserve"> HYPERLINK \l "bookmark20" </w:instrText>
      </w:r>
      <w:r>
        <w:fldChar w:fldCharType="separate"/>
      </w:r>
      <w:r>
        <w:rPr>
          <w:rFonts w:ascii="Arial" w:hAnsi="Arial" w:eastAsia="Arial" w:cs="Arial"/>
          <w:color w:val="000084"/>
          <w:spacing w:val="-8"/>
          <w:sz w:val="19"/>
          <w:szCs w:val="19"/>
        </w:rPr>
        <w:t>2004</w:t>
      </w:r>
      <w:r>
        <w:rPr>
          <w:rFonts w:ascii="Arial" w:hAnsi="Arial" w:eastAsia="Arial" w:cs="Arial"/>
          <w:color w:val="000084"/>
          <w:spacing w:val="-8"/>
          <w:sz w:val="19"/>
          <w:szCs w:val="19"/>
        </w:rPr>
        <w:fldChar w:fldCharType="end"/>
      </w:r>
      <w:r>
        <w:rPr>
          <w:rFonts w:ascii="Arial" w:hAnsi="Arial" w:eastAsia="Arial" w:cs="Arial"/>
          <w:spacing w:val="-8"/>
          <w:sz w:val="19"/>
          <w:szCs w:val="19"/>
        </w:rPr>
        <w:t>;</w:t>
      </w:r>
      <w:r>
        <w:rPr>
          <w:rFonts w:ascii="Arial" w:hAnsi="Arial" w:eastAsia="Arial" w:cs="Arial"/>
          <w:spacing w:val="19"/>
          <w:w w:val="101"/>
          <w:sz w:val="19"/>
          <w:szCs w:val="19"/>
        </w:rPr>
        <w:t xml:space="preserve"> </w:t>
      </w:r>
      <w:r>
        <w:rPr>
          <w:rFonts w:ascii="Arial" w:hAnsi="Arial" w:eastAsia="Arial" w:cs="Arial"/>
          <w:spacing w:val="-8"/>
          <w:sz w:val="19"/>
          <w:szCs w:val="19"/>
        </w:rPr>
        <w:t xml:space="preserve">EUA </w:t>
      </w:r>
      <w:r>
        <w:fldChar w:fldCharType="begin"/>
      </w:r>
      <w:r>
        <w:instrText xml:space="preserve"> HYPERLINK \l "bookmark21" </w:instrText>
      </w:r>
      <w:r>
        <w:fldChar w:fldCharType="separate"/>
      </w:r>
      <w:r>
        <w:rPr>
          <w:rFonts w:ascii="Arial" w:hAnsi="Arial" w:eastAsia="Arial" w:cs="Arial"/>
          <w:color w:val="000084"/>
          <w:spacing w:val="-8"/>
          <w:sz w:val="19"/>
          <w:szCs w:val="19"/>
        </w:rPr>
        <w:t>2006</w:t>
      </w:r>
      <w:r>
        <w:rPr>
          <w:rFonts w:ascii="Arial" w:hAnsi="Arial" w:eastAsia="Arial" w:cs="Arial"/>
          <w:color w:val="000084"/>
          <w:spacing w:val="-8"/>
          <w:sz w:val="19"/>
          <w:szCs w:val="19"/>
        </w:rPr>
        <w:fldChar w:fldCharType="end"/>
      </w:r>
      <w:r>
        <w:rPr>
          <w:rFonts w:ascii="Arial" w:hAnsi="Arial" w:eastAsia="Arial" w:cs="Arial"/>
          <w:spacing w:val="-8"/>
          <w:sz w:val="19"/>
          <w:szCs w:val="19"/>
        </w:rPr>
        <w:t>).</w:t>
      </w:r>
      <w:r>
        <w:rPr>
          <w:rFonts w:ascii="Arial" w:hAnsi="Arial" w:eastAsia="Arial" w:cs="Arial"/>
          <w:spacing w:val="8"/>
          <w:sz w:val="19"/>
          <w:szCs w:val="19"/>
        </w:rPr>
        <w:t xml:space="preserve"> </w:t>
      </w:r>
      <w:r>
        <w:rPr>
          <w:rFonts w:ascii="Arial" w:hAnsi="Arial" w:eastAsia="Arial" w:cs="Arial"/>
          <w:spacing w:val="-8"/>
          <w:sz w:val="19"/>
          <w:szCs w:val="19"/>
        </w:rPr>
        <w:t>We</w:t>
      </w:r>
      <w:r>
        <w:rPr>
          <w:rFonts w:ascii="Arial" w:hAnsi="Arial" w:eastAsia="Arial" w:cs="Arial"/>
          <w:spacing w:val="7"/>
          <w:sz w:val="19"/>
          <w:szCs w:val="19"/>
        </w:rPr>
        <w:t xml:space="preserve"> </w:t>
      </w:r>
      <w:r>
        <w:rPr>
          <w:rFonts w:ascii="Arial" w:hAnsi="Arial" w:eastAsia="Arial" w:cs="Arial"/>
          <w:spacing w:val="-8"/>
          <w:sz w:val="19"/>
          <w:szCs w:val="19"/>
        </w:rPr>
        <w:t>focus</w:t>
      </w:r>
      <w:r>
        <w:rPr>
          <w:rFonts w:ascii="Arial" w:hAnsi="Arial" w:eastAsia="Arial" w:cs="Arial"/>
          <w:spacing w:val="15"/>
          <w:sz w:val="19"/>
          <w:szCs w:val="19"/>
        </w:rPr>
        <w:t xml:space="preserve"> </w:t>
      </w:r>
      <w:r>
        <w:rPr>
          <w:rFonts w:ascii="Arial" w:hAnsi="Arial" w:eastAsia="Arial" w:cs="Arial"/>
          <w:spacing w:val="-8"/>
          <w:sz w:val="19"/>
          <w:szCs w:val="19"/>
        </w:rPr>
        <w:t>on</w:t>
      </w:r>
      <w:r>
        <w:rPr>
          <w:rFonts w:ascii="Arial" w:hAnsi="Arial" w:eastAsia="Arial" w:cs="Arial"/>
          <w:spacing w:val="8"/>
          <w:sz w:val="19"/>
          <w:szCs w:val="19"/>
        </w:rPr>
        <w:t xml:space="preserve"> </w:t>
      </w:r>
      <w:r>
        <w:rPr>
          <w:rFonts w:ascii="Arial" w:hAnsi="Arial" w:eastAsia="Arial" w:cs="Arial"/>
          <w:spacing w:val="-8"/>
          <w:sz w:val="19"/>
          <w:szCs w:val="19"/>
        </w:rPr>
        <w:t>t</w:t>
      </w:r>
      <w:r>
        <w:rPr>
          <w:rFonts w:ascii="Arial" w:hAnsi="Arial" w:eastAsia="Arial" w:cs="Arial"/>
          <w:spacing w:val="-9"/>
          <w:sz w:val="19"/>
          <w:szCs w:val="19"/>
        </w:rPr>
        <w:t>he</w:t>
      </w:r>
      <w:r>
        <w:rPr>
          <w:rFonts w:ascii="Arial" w:hAnsi="Arial" w:eastAsia="Arial" w:cs="Arial"/>
          <w:spacing w:val="19"/>
          <w:sz w:val="19"/>
          <w:szCs w:val="19"/>
        </w:rPr>
        <w:t xml:space="preserve"> </w:t>
      </w:r>
      <w:r>
        <w:rPr>
          <w:rFonts w:ascii="Arial" w:hAnsi="Arial" w:eastAsia="Arial" w:cs="Arial"/>
          <w:spacing w:val="-9"/>
          <w:sz w:val="19"/>
          <w:szCs w:val="19"/>
        </w:rPr>
        <w:t>most</w:t>
      </w:r>
      <w:r>
        <w:rPr>
          <w:rFonts w:ascii="Arial" w:hAnsi="Arial" w:eastAsia="Arial" w:cs="Arial"/>
          <w:spacing w:val="19"/>
          <w:sz w:val="19"/>
          <w:szCs w:val="19"/>
        </w:rPr>
        <w:t xml:space="preserve"> </w:t>
      </w:r>
      <w:r>
        <w:rPr>
          <w:rFonts w:ascii="Arial" w:hAnsi="Arial" w:eastAsia="Arial" w:cs="Arial"/>
          <w:spacing w:val="-9"/>
          <w:sz w:val="19"/>
          <w:szCs w:val="19"/>
        </w:rPr>
        <w:t>prominent</w:t>
      </w:r>
      <w:r>
        <w:rPr>
          <w:rFonts w:ascii="Arial" w:hAnsi="Arial" w:eastAsia="Arial" w:cs="Arial"/>
          <w:spacing w:val="11"/>
          <w:sz w:val="19"/>
          <w:szCs w:val="19"/>
        </w:rPr>
        <w:t xml:space="preserve"> </w:t>
      </w:r>
      <w:r>
        <w:rPr>
          <w:rFonts w:ascii="Arial" w:hAnsi="Arial" w:eastAsia="Arial" w:cs="Arial"/>
          <w:spacing w:val="-9"/>
          <w:sz w:val="19"/>
          <w:szCs w:val="19"/>
        </w:rPr>
        <w:t>and</w:t>
      </w:r>
      <w:r>
        <w:rPr>
          <w:rFonts w:ascii="Arial" w:hAnsi="Arial" w:eastAsia="Arial" w:cs="Arial"/>
          <w:spacing w:val="14"/>
          <w:sz w:val="19"/>
          <w:szCs w:val="19"/>
        </w:rPr>
        <w:t xml:space="preserve"> </w:t>
      </w:r>
      <w:r>
        <w:rPr>
          <w:rFonts w:ascii="Arial" w:hAnsi="Arial" w:eastAsia="Arial" w:cs="Arial"/>
          <w:spacing w:val="-9"/>
          <w:sz w:val="19"/>
          <w:szCs w:val="19"/>
        </w:rPr>
        <w:t>com-</w:t>
      </w:r>
      <w:r>
        <w:rPr>
          <w:rFonts w:ascii="Arial" w:hAnsi="Arial" w:eastAsia="Arial" w:cs="Arial"/>
          <w:sz w:val="19"/>
          <w:szCs w:val="19"/>
        </w:rPr>
        <w:t xml:space="preserve"> </w:t>
      </w:r>
      <w:r>
        <w:rPr>
          <w:rFonts w:ascii="Arial" w:hAnsi="Arial" w:eastAsia="Arial" w:cs="Arial"/>
          <w:spacing w:val="-4"/>
          <w:sz w:val="19"/>
          <w:szCs w:val="19"/>
        </w:rPr>
        <w:t>prehensive</w:t>
      </w:r>
      <w:r>
        <w:rPr>
          <w:rFonts w:ascii="Arial" w:hAnsi="Arial" w:eastAsia="Arial" w:cs="Arial"/>
          <w:spacing w:val="45"/>
          <w:w w:val="101"/>
          <w:sz w:val="19"/>
          <w:szCs w:val="19"/>
        </w:rPr>
        <w:t xml:space="preserve"> </w:t>
      </w:r>
      <w:r>
        <w:rPr>
          <w:rFonts w:ascii="Arial" w:hAnsi="Arial" w:eastAsia="Arial" w:cs="Arial"/>
          <w:spacing w:val="-4"/>
          <w:sz w:val="19"/>
          <w:szCs w:val="19"/>
        </w:rPr>
        <w:t>deinition  provided  by  H</w:t>
      </w:r>
      <w:r>
        <w:rPr>
          <w:rFonts w:ascii="Arial" w:hAnsi="Arial" w:eastAsia="Arial" w:cs="Arial"/>
          <w:spacing w:val="-5"/>
          <w:sz w:val="19"/>
          <w:szCs w:val="19"/>
        </w:rPr>
        <w:t>arvey  and  Green  (</w:t>
      </w:r>
      <w:r>
        <w:fldChar w:fldCharType="begin"/>
      </w:r>
      <w:r>
        <w:instrText xml:space="preserve"> HYPERLINK \l "bookmark22" </w:instrText>
      </w:r>
      <w:r>
        <w:fldChar w:fldCharType="separate"/>
      </w:r>
      <w:r>
        <w:rPr>
          <w:rFonts w:ascii="Arial" w:hAnsi="Arial" w:eastAsia="Arial" w:cs="Arial"/>
          <w:color w:val="000084"/>
          <w:spacing w:val="-5"/>
          <w:sz w:val="19"/>
          <w:szCs w:val="19"/>
        </w:rPr>
        <w:t>1993</w:t>
      </w:r>
      <w:r>
        <w:rPr>
          <w:rFonts w:ascii="Arial" w:hAnsi="Arial" w:eastAsia="Arial" w:cs="Arial"/>
          <w:color w:val="000084"/>
          <w:spacing w:val="-5"/>
          <w:sz w:val="19"/>
          <w:szCs w:val="19"/>
        </w:rPr>
        <w:fldChar w:fldCharType="end"/>
      </w:r>
      <w:r>
        <w:rPr>
          <w:rFonts w:ascii="Arial" w:hAnsi="Arial" w:eastAsia="Arial" w:cs="Arial"/>
          <w:spacing w:val="-5"/>
          <w:sz w:val="19"/>
          <w:szCs w:val="19"/>
        </w:rPr>
        <w:t>),  who  propose  that  quality  can  be</w:t>
      </w:r>
      <w:r>
        <w:rPr>
          <w:rFonts w:ascii="Arial" w:hAnsi="Arial" w:eastAsia="Arial" w:cs="Arial"/>
          <w:sz w:val="19"/>
          <w:szCs w:val="19"/>
        </w:rPr>
        <w:t xml:space="preserve"> </w:t>
      </w:r>
      <w:r>
        <w:rPr>
          <w:rFonts w:ascii="Arial" w:hAnsi="Arial" w:eastAsia="Arial" w:cs="Arial"/>
          <w:spacing w:val="-6"/>
          <w:sz w:val="19"/>
          <w:szCs w:val="19"/>
        </w:rPr>
        <w:t>assessed from ive</w:t>
      </w:r>
      <w:r>
        <w:rPr>
          <w:rFonts w:ascii="Arial" w:hAnsi="Arial" w:eastAsia="Arial" w:cs="Arial"/>
          <w:spacing w:val="27"/>
          <w:w w:val="101"/>
          <w:sz w:val="19"/>
          <w:szCs w:val="19"/>
        </w:rPr>
        <w:t xml:space="preserve"> </w:t>
      </w:r>
      <w:r>
        <w:rPr>
          <w:rFonts w:ascii="Arial" w:hAnsi="Arial" w:eastAsia="Arial" w:cs="Arial"/>
          <w:spacing w:val="-6"/>
          <w:sz w:val="19"/>
          <w:szCs w:val="19"/>
        </w:rPr>
        <w:t>perspectives:</w:t>
      </w:r>
    </w:p>
    <w:p>
      <w:pPr>
        <w:spacing w:before="262" w:line="250" w:lineRule="auto"/>
        <w:ind w:left="331" w:right="6" w:hanging="319"/>
        <w:rPr>
          <w:rFonts w:ascii="Arial" w:hAnsi="Arial" w:eastAsia="Arial" w:cs="Arial"/>
          <w:sz w:val="19"/>
          <w:szCs w:val="19"/>
        </w:rPr>
      </w:pPr>
      <w:r>
        <w:rPr>
          <w:rFonts w:ascii="Arial" w:hAnsi="Arial" w:eastAsia="Arial" w:cs="Arial"/>
          <w:spacing w:val="-7"/>
          <w:sz w:val="19"/>
          <w:szCs w:val="19"/>
        </w:rPr>
        <w:t>(1)</w:t>
      </w:r>
      <w:r>
        <w:rPr>
          <w:rFonts w:ascii="Arial" w:hAnsi="Arial" w:eastAsia="Arial" w:cs="Arial"/>
          <w:spacing w:val="15"/>
          <w:w w:val="101"/>
          <w:sz w:val="19"/>
          <w:szCs w:val="19"/>
        </w:rPr>
        <w:t xml:space="preserve">  </w:t>
      </w:r>
      <w:r>
        <w:rPr>
          <w:rFonts w:ascii="Arial" w:hAnsi="Arial" w:eastAsia="Arial" w:cs="Arial"/>
          <w:spacing w:val="-7"/>
          <w:sz w:val="19"/>
          <w:szCs w:val="19"/>
        </w:rPr>
        <w:t>Quality</w:t>
      </w:r>
      <w:r>
        <w:rPr>
          <w:rFonts w:ascii="Arial" w:hAnsi="Arial" w:eastAsia="Arial" w:cs="Arial"/>
          <w:spacing w:val="31"/>
          <w:w w:val="101"/>
          <w:sz w:val="19"/>
          <w:szCs w:val="19"/>
        </w:rPr>
        <w:t xml:space="preserve"> </w:t>
      </w:r>
      <w:r>
        <w:rPr>
          <w:rFonts w:ascii="Arial" w:hAnsi="Arial" w:eastAsia="Arial" w:cs="Arial"/>
          <w:spacing w:val="-7"/>
          <w:sz w:val="19"/>
          <w:szCs w:val="19"/>
        </w:rPr>
        <w:t>as</w:t>
      </w:r>
      <w:r>
        <w:rPr>
          <w:rFonts w:ascii="Arial" w:hAnsi="Arial" w:eastAsia="Arial" w:cs="Arial"/>
          <w:spacing w:val="31"/>
          <w:sz w:val="19"/>
          <w:szCs w:val="19"/>
        </w:rPr>
        <w:t xml:space="preserve"> </w:t>
      </w:r>
      <w:r>
        <w:rPr>
          <w:rFonts w:ascii="Arial" w:hAnsi="Arial" w:eastAsia="Arial" w:cs="Arial"/>
          <w:spacing w:val="-7"/>
          <w:sz w:val="19"/>
          <w:szCs w:val="19"/>
        </w:rPr>
        <w:t>exception:</w:t>
      </w:r>
      <w:r>
        <w:rPr>
          <w:rFonts w:ascii="Arial" w:hAnsi="Arial" w:eastAsia="Arial" w:cs="Arial"/>
          <w:spacing w:val="31"/>
          <w:sz w:val="19"/>
          <w:szCs w:val="19"/>
        </w:rPr>
        <w:t xml:space="preserve"> </w:t>
      </w:r>
      <w:r>
        <w:rPr>
          <w:rFonts w:ascii="Arial" w:hAnsi="Arial" w:eastAsia="Arial" w:cs="Arial"/>
          <w:spacing w:val="-7"/>
          <w:sz w:val="19"/>
          <w:szCs w:val="19"/>
        </w:rPr>
        <w:t>quality</w:t>
      </w:r>
      <w:r>
        <w:rPr>
          <w:rFonts w:ascii="Arial" w:hAnsi="Arial" w:eastAsia="Arial" w:cs="Arial"/>
          <w:spacing w:val="35"/>
          <w:w w:val="101"/>
          <w:sz w:val="19"/>
          <w:szCs w:val="19"/>
        </w:rPr>
        <w:t xml:space="preserve"> </w:t>
      </w:r>
      <w:r>
        <w:rPr>
          <w:rFonts w:ascii="Arial" w:hAnsi="Arial" w:eastAsia="Arial" w:cs="Arial"/>
          <w:spacing w:val="-7"/>
          <w:sz w:val="19"/>
          <w:szCs w:val="19"/>
        </w:rPr>
        <w:t>is</w:t>
      </w:r>
      <w:r>
        <w:rPr>
          <w:rFonts w:ascii="Arial" w:hAnsi="Arial" w:eastAsia="Arial" w:cs="Arial"/>
          <w:spacing w:val="26"/>
          <w:w w:val="101"/>
          <w:sz w:val="19"/>
          <w:szCs w:val="19"/>
        </w:rPr>
        <w:t xml:space="preserve"> </w:t>
      </w:r>
      <w:r>
        <w:rPr>
          <w:rFonts w:ascii="Arial" w:hAnsi="Arial" w:eastAsia="Arial" w:cs="Arial"/>
          <w:spacing w:val="-7"/>
          <w:sz w:val="19"/>
          <w:szCs w:val="19"/>
        </w:rPr>
        <w:t>viewed</w:t>
      </w:r>
      <w:r>
        <w:rPr>
          <w:rFonts w:ascii="Arial" w:hAnsi="Arial" w:eastAsia="Arial" w:cs="Arial"/>
          <w:spacing w:val="29"/>
          <w:w w:val="101"/>
          <w:sz w:val="19"/>
          <w:szCs w:val="19"/>
        </w:rPr>
        <w:t xml:space="preserve"> </w:t>
      </w:r>
      <w:r>
        <w:rPr>
          <w:rFonts w:ascii="Arial" w:hAnsi="Arial" w:eastAsia="Arial" w:cs="Arial"/>
          <w:spacing w:val="-7"/>
          <w:sz w:val="19"/>
          <w:szCs w:val="19"/>
        </w:rPr>
        <w:t>as</w:t>
      </w:r>
      <w:r>
        <w:rPr>
          <w:rFonts w:ascii="Arial" w:hAnsi="Arial" w:eastAsia="Arial" w:cs="Arial"/>
          <w:spacing w:val="31"/>
          <w:w w:val="101"/>
          <w:sz w:val="19"/>
          <w:szCs w:val="19"/>
        </w:rPr>
        <w:t xml:space="preserve"> </w:t>
      </w:r>
      <w:r>
        <w:rPr>
          <w:rFonts w:ascii="Arial" w:hAnsi="Arial" w:eastAsia="Arial" w:cs="Arial"/>
          <w:spacing w:val="-7"/>
          <w:sz w:val="19"/>
          <w:szCs w:val="19"/>
        </w:rPr>
        <w:t>something</w:t>
      </w:r>
      <w:r>
        <w:rPr>
          <w:rFonts w:ascii="Arial" w:hAnsi="Arial" w:eastAsia="Arial" w:cs="Arial"/>
          <w:spacing w:val="32"/>
          <w:w w:val="101"/>
          <w:sz w:val="19"/>
          <w:szCs w:val="19"/>
        </w:rPr>
        <w:t xml:space="preserve"> </w:t>
      </w:r>
      <w:r>
        <w:rPr>
          <w:rFonts w:ascii="Arial" w:hAnsi="Arial" w:eastAsia="Arial" w:cs="Arial"/>
          <w:spacing w:val="-7"/>
          <w:sz w:val="19"/>
          <w:szCs w:val="19"/>
        </w:rPr>
        <w:t>special</w:t>
      </w:r>
      <w:r>
        <w:rPr>
          <w:rFonts w:ascii="Arial" w:hAnsi="Arial" w:eastAsia="Arial" w:cs="Arial"/>
          <w:spacing w:val="31"/>
          <w:sz w:val="19"/>
          <w:szCs w:val="19"/>
        </w:rPr>
        <w:t xml:space="preserve"> </w:t>
      </w:r>
      <w:r>
        <w:rPr>
          <w:rFonts w:ascii="Arial" w:hAnsi="Arial" w:eastAsia="Arial" w:cs="Arial"/>
          <w:spacing w:val="-7"/>
          <w:sz w:val="19"/>
          <w:szCs w:val="19"/>
        </w:rPr>
        <w:t>and</w:t>
      </w:r>
      <w:r>
        <w:rPr>
          <w:rFonts w:ascii="Arial" w:hAnsi="Arial" w:eastAsia="Arial" w:cs="Arial"/>
          <w:spacing w:val="31"/>
          <w:w w:val="101"/>
          <w:sz w:val="19"/>
          <w:szCs w:val="19"/>
        </w:rPr>
        <w:t xml:space="preserve"> </w:t>
      </w:r>
      <w:r>
        <w:rPr>
          <w:rFonts w:ascii="Arial" w:hAnsi="Arial" w:eastAsia="Arial" w:cs="Arial"/>
          <w:spacing w:val="-7"/>
          <w:sz w:val="19"/>
          <w:szCs w:val="19"/>
        </w:rPr>
        <w:t>exceptional</w:t>
      </w:r>
      <w:r>
        <w:rPr>
          <w:rFonts w:ascii="Arial" w:hAnsi="Arial" w:eastAsia="Arial" w:cs="Arial"/>
          <w:spacing w:val="37"/>
          <w:sz w:val="19"/>
          <w:szCs w:val="19"/>
        </w:rPr>
        <w:t xml:space="preserve"> </w:t>
      </w:r>
      <w:r>
        <w:rPr>
          <w:rFonts w:ascii="Arial" w:hAnsi="Arial" w:eastAsia="Arial" w:cs="Arial"/>
          <w:spacing w:val="-7"/>
          <w:sz w:val="19"/>
          <w:szCs w:val="19"/>
        </w:rPr>
        <w:t>(e.g.</w:t>
      </w:r>
      <w:r>
        <w:rPr>
          <w:rFonts w:ascii="Arial" w:hAnsi="Arial" w:eastAsia="Arial" w:cs="Arial"/>
          <w:spacing w:val="31"/>
          <w:w w:val="101"/>
          <w:sz w:val="19"/>
          <w:szCs w:val="19"/>
        </w:rPr>
        <w:t xml:space="preserve"> </w:t>
      </w:r>
      <w:r>
        <w:rPr>
          <w:rFonts w:ascii="Arial" w:hAnsi="Arial" w:eastAsia="Arial" w:cs="Arial"/>
          <w:spacing w:val="-7"/>
          <w:sz w:val="19"/>
          <w:szCs w:val="19"/>
        </w:rPr>
        <w:t>exceeding</w:t>
      </w:r>
      <w:r>
        <w:rPr>
          <w:rFonts w:ascii="Arial" w:hAnsi="Arial" w:eastAsia="Arial" w:cs="Arial"/>
          <w:sz w:val="19"/>
          <w:szCs w:val="19"/>
        </w:rPr>
        <w:t xml:space="preserve"> </w:t>
      </w:r>
      <w:r>
        <w:rPr>
          <w:rFonts w:ascii="Arial" w:hAnsi="Arial" w:eastAsia="Arial" w:cs="Arial"/>
          <w:spacing w:val="-3"/>
          <w:sz w:val="19"/>
          <w:szCs w:val="19"/>
        </w:rPr>
        <w:t>deined</w:t>
      </w:r>
      <w:r>
        <w:rPr>
          <w:rFonts w:ascii="Arial" w:hAnsi="Arial" w:eastAsia="Arial" w:cs="Arial"/>
          <w:spacing w:val="16"/>
          <w:sz w:val="19"/>
          <w:szCs w:val="19"/>
        </w:rPr>
        <w:t xml:space="preserve"> </w:t>
      </w:r>
      <w:r>
        <w:rPr>
          <w:rFonts w:ascii="Arial" w:hAnsi="Arial" w:eastAsia="Arial" w:cs="Arial"/>
          <w:spacing w:val="-3"/>
          <w:sz w:val="19"/>
          <w:szCs w:val="19"/>
        </w:rPr>
        <w:t>standards)</w:t>
      </w:r>
    </w:p>
    <w:p>
      <w:pPr>
        <w:spacing w:before="24" w:line="250" w:lineRule="auto"/>
        <w:ind w:left="337" w:right="8" w:hanging="325"/>
        <w:rPr>
          <w:rFonts w:ascii="Arial" w:hAnsi="Arial" w:eastAsia="Arial" w:cs="Arial"/>
          <w:sz w:val="19"/>
          <w:szCs w:val="19"/>
        </w:rPr>
      </w:pPr>
      <w:r>
        <w:rPr>
          <w:rFonts w:ascii="Arial" w:hAnsi="Arial" w:eastAsia="Arial" w:cs="Arial"/>
          <w:spacing w:val="-4"/>
          <w:sz w:val="19"/>
          <w:szCs w:val="19"/>
        </w:rPr>
        <w:t>(2)</w:t>
      </w:r>
      <w:r>
        <w:rPr>
          <w:rFonts w:ascii="Arial" w:hAnsi="Arial" w:eastAsia="Arial" w:cs="Arial"/>
          <w:spacing w:val="14"/>
          <w:w w:val="101"/>
          <w:sz w:val="19"/>
          <w:szCs w:val="19"/>
        </w:rPr>
        <w:t xml:space="preserve">  </w:t>
      </w:r>
      <w:r>
        <w:rPr>
          <w:rFonts w:ascii="Arial" w:hAnsi="Arial" w:eastAsia="Arial" w:cs="Arial"/>
          <w:spacing w:val="-4"/>
          <w:sz w:val="19"/>
          <w:szCs w:val="19"/>
        </w:rPr>
        <w:t>Quality</w:t>
      </w:r>
      <w:r>
        <w:rPr>
          <w:rFonts w:ascii="Arial" w:hAnsi="Arial" w:eastAsia="Arial" w:cs="Arial"/>
          <w:spacing w:val="10"/>
          <w:sz w:val="19"/>
          <w:szCs w:val="19"/>
        </w:rPr>
        <w:t xml:space="preserve"> </w:t>
      </w:r>
      <w:r>
        <w:rPr>
          <w:rFonts w:ascii="Arial" w:hAnsi="Arial" w:eastAsia="Arial" w:cs="Arial"/>
          <w:spacing w:val="-4"/>
          <w:sz w:val="19"/>
          <w:szCs w:val="19"/>
        </w:rPr>
        <w:t>as</w:t>
      </w:r>
      <w:r>
        <w:rPr>
          <w:rFonts w:ascii="Arial" w:hAnsi="Arial" w:eastAsia="Arial" w:cs="Arial"/>
          <w:spacing w:val="17"/>
          <w:sz w:val="19"/>
          <w:szCs w:val="19"/>
        </w:rPr>
        <w:t xml:space="preserve"> </w:t>
      </w:r>
      <w:r>
        <w:rPr>
          <w:rFonts w:ascii="Arial" w:hAnsi="Arial" w:eastAsia="Arial" w:cs="Arial"/>
          <w:spacing w:val="-4"/>
          <w:sz w:val="19"/>
          <w:szCs w:val="19"/>
        </w:rPr>
        <w:t>perfection</w:t>
      </w:r>
      <w:r>
        <w:rPr>
          <w:rFonts w:ascii="Arial" w:hAnsi="Arial" w:eastAsia="Arial" w:cs="Arial"/>
          <w:spacing w:val="11"/>
          <w:sz w:val="19"/>
          <w:szCs w:val="19"/>
        </w:rPr>
        <w:t xml:space="preserve"> </w:t>
      </w:r>
      <w:r>
        <w:rPr>
          <w:rFonts w:ascii="Arial" w:hAnsi="Arial" w:eastAsia="Arial" w:cs="Arial"/>
          <w:spacing w:val="-4"/>
          <w:sz w:val="19"/>
          <w:szCs w:val="19"/>
        </w:rPr>
        <w:t>or</w:t>
      </w:r>
      <w:r>
        <w:rPr>
          <w:rFonts w:ascii="Arial" w:hAnsi="Arial" w:eastAsia="Arial" w:cs="Arial"/>
          <w:spacing w:val="10"/>
          <w:sz w:val="19"/>
          <w:szCs w:val="19"/>
        </w:rPr>
        <w:t xml:space="preserve"> </w:t>
      </w:r>
      <w:r>
        <w:rPr>
          <w:rFonts w:ascii="Arial" w:hAnsi="Arial" w:eastAsia="Arial" w:cs="Arial"/>
          <w:spacing w:val="-4"/>
          <w:sz w:val="19"/>
          <w:szCs w:val="19"/>
        </w:rPr>
        <w:t>consistency:</w:t>
      </w:r>
      <w:r>
        <w:rPr>
          <w:rFonts w:ascii="Arial" w:hAnsi="Arial" w:eastAsia="Arial" w:cs="Arial"/>
          <w:spacing w:val="11"/>
          <w:sz w:val="19"/>
          <w:szCs w:val="19"/>
        </w:rPr>
        <w:t xml:space="preserve"> </w:t>
      </w:r>
      <w:r>
        <w:rPr>
          <w:rFonts w:ascii="Arial" w:hAnsi="Arial" w:eastAsia="Arial" w:cs="Arial"/>
          <w:spacing w:val="-4"/>
          <w:sz w:val="19"/>
          <w:szCs w:val="19"/>
        </w:rPr>
        <w:t>quality</w:t>
      </w:r>
      <w:r>
        <w:rPr>
          <w:rFonts w:ascii="Arial" w:hAnsi="Arial" w:eastAsia="Arial" w:cs="Arial"/>
          <w:spacing w:val="11"/>
          <w:sz w:val="19"/>
          <w:szCs w:val="19"/>
        </w:rPr>
        <w:t xml:space="preserve"> </w:t>
      </w:r>
      <w:r>
        <w:rPr>
          <w:rFonts w:ascii="Arial" w:hAnsi="Arial" w:eastAsia="Arial" w:cs="Arial"/>
          <w:spacing w:val="-4"/>
          <w:sz w:val="19"/>
          <w:szCs w:val="19"/>
        </w:rPr>
        <w:t>as the fulillment</w:t>
      </w:r>
      <w:r>
        <w:rPr>
          <w:rFonts w:ascii="Arial" w:hAnsi="Arial" w:eastAsia="Arial" w:cs="Arial"/>
          <w:spacing w:val="10"/>
          <w:sz w:val="19"/>
          <w:szCs w:val="19"/>
        </w:rPr>
        <w:t xml:space="preserve"> </w:t>
      </w:r>
      <w:r>
        <w:rPr>
          <w:rFonts w:ascii="Arial" w:hAnsi="Arial" w:eastAsia="Arial" w:cs="Arial"/>
          <w:spacing w:val="-4"/>
          <w:sz w:val="19"/>
          <w:szCs w:val="19"/>
        </w:rPr>
        <w:t>of high</w:t>
      </w:r>
      <w:r>
        <w:rPr>
          <w:rFonts w:ascii="Arial" w:hAnsi="Arial" w:eastAsia="Arial" w:cs="Arial"/>
          <w:spacing w:val="10"/>
          <w:sz w:val="19"/>
          <w:szCs w:val="19"/>
        </w:rPr>
        <w:t xml:space="preserve"> </w:t>
      </w:r>
      <w:r>
        <w:rPr>
          <w:rFonts w:ascii="Arial" w:hAnsi="Arial" w:eastAsia="Arial" w:cs="Arial"/>
          <w:spacing w:val="-4"/>
          <w:sz w:val="19"/>
          <w:szCs w:val="19"/>
        </w:rPr>
        <w:t>standards</w:t>
      </w:r>
      <w:r>
        <w:rPr>
          <w:rFonts w:ascii="Arial" w:hAnsi="Arial" w:eastAsia="Arial" w:cs="Arial"/>
          <w:spacing w:val="14"/>
          <w:w w:val="101"/>
          <w:sz w:val="19"/>
          <w:szCs w:val="19"/>
        </w:rPr>
        <w:t xml:space="preserve"> </w:t>
      </w:r>
      <w:r>
        <w:rPr>
          <w:rFonts w:ascii="Arial" w:hAnsi="Arial" w:eastAsia="Arial" w:cs="Arial"/>
          <w:spacing w:val="-4"/>
          <w:sz w:val="19"/>
          <w:szCs w:val="19"/>
        </w:rPr>
        <w:t>(‘getting things</w:t>
      </w:r>
      <w:r>
        <w:rPr>
          <w:rFonts w:ascii="Arial" w:hAnsi="Arial" w:eastAsia="Arial" w:cs="Arial"/>
          <w:sz w:val="19"/>
          <w:szCs w:val="19"/>
        </w:rPr>
        <w:t xml:space="preserve"> </w:t>
      </w:r>
      <w:r>
        <w:rPr>
          <w:rFonts w:ascii="Arial" w:hAnsi="Arial" w:eastAsia="Arial" w:cs="Arial"/>
          <w:spacing w:val="-3"/>
          <w:sz w:val="19"/>
          <w:szCs w:val="19"/>
        </w:rPr>
        <w:t>right the irst time’,</w:t>
      </w:r>
      <w:r>
        <w:rPr>
          <w:rFonts w:ascii="Arial" w:hAnsi="Arial" w:eastAsia="Arial" w:cs="Arial"/>
          <w:spacing w:val="13"/>
          <w:sz w:val="19"/>
          <w:szCs w:val="19"/>
        </w:rPr>
        <w:t xml:space="preserve"> </w:t>
      </w:r>
      <w:r>
        <w:rPr>
          <w:rFonts w:ascii="Arial" w:hAnsi="Arial" w:eastAsia="Arial" w:cs="Arial"/>
          <w:spacing w:val="-3"/>
          <w:sz w:val="19"/>
          <w:szCs w:val="19"/>
        </w:rPr>
        <w:t>e.g.</w:t>
      </w:r>
      <w:r>
        <w:rPr>
          <w:rFonts w:ascii="Arial" w:hAnsi="Arial" w:eastAsia="Arial" w:cs="Arial"/>
          <w:spacing w:val="11"/>
          <w:sz w:val="19"/>
          <w:szCs w:val="19"/>
        </w:rPr>
        <w:t xml:space="preserve"> </w:t>
      </w:r>
      <w:r>
        <w:rPr>
          <w:rFonts w:ascii="Arial" w:hAnsi="Arial" w:eastAsia="Arial" w:cs="Arial"/>
          <w:spacing w:val="-4"/>
          <w:sz w:val="19"/>
          <w:szCs w:val="19"/>
        </w:rPr>
        <w:t>administration</w:t>
      </w:r>
      <w:r>
        <w:rPr>
          <w:rFonts w:ascii="Arial" w:hAnsi="Arial" w:eastAsia="Arial" w:cs="Arial"/>
          <w:spacing w:val="19"/>
          <w:sz w:val="19"/>
          <w:szCs w:val="19"/>
        </w:rPr>
        <w:t xml:space="preserve"> </w:t>
      </w:r>
      <w:r>
        <w:rPr>
          <w:rFonts w:ascii="Arial" w:hAnsi="Arial" w:eastAsia="Arial" w:cs="Arial"/>
          <w:spacing w:val="-4"/>
          <w:sz w:val="19"/>
          <w:szCs w:val="19"/>
        </w:rPr>
        <w:t>processes)</w:t>
      </w:r>
    </w:p>
    <w:p>
      <w:pPr>
        <w:spacing w:before="27" w:line="249" w:lineRule="auto"/>
        <w:ind w:left="337" w:right="7" w:hanging="325"/>
        <w:rPr>
          <w:rFonts w:ascii="Arial" w:hAnsi="Arial" w:eastAsia="Arial" w:cs="Arial"/>
          <w:sz w:val="19"/>
          <w:szCs w:val="19"/>
        </w:rPr>
      </w:pPr>
      <w:r>
        <w:rPr>
          <w:rFonts w:ascii="Arial" w:hAnsi="Arial" w:eastAsia="Arial" w:cs="Arial"/>
          <w:spacing w:val="-3"/>
          <w:sz w:val="19"/>
          <w:szCs w:val="19"/>
        </w:rPr>
        <w:t>(3)</w:t>
      </w:r>
      <w:r>
        <w:rPr>
          <w:rFonts w:ascii="Arial" w:hAnsi="Arial" w:eastAsia="Arial" w:cs="Arial"/>
          <w:spacing w:val="11"/>
          <w:sz w:val="19"/>
          <w:szCs w:val="19"/>
        </w:rPr>
        <w:t xml:space="preserve">  </w:t>
      </w:r>
      <w:r>
        <w:rPr>
          <w:rFonts w:ascii="Arial" w:hAnsi="Arial" w:eastAsia="Arial" w:cs="Arial"/>
          <w:spacing w:val="-3"/>
          <w:sz w:val="19"/>
          <w:szCs w:val="19"/>
        </w:rPr>
        <w:t>Quality as itness for purpose: quality is</w:t>
      </w:r>
      <w:r>
        <w:rPr>
          <w:rFonts w:ascii="Arial" w:hAnsi="Arial" w:eastAsia="Arial" w:cs="Arial"/>
          <w:spacing w:val="-14"/>
          <w:sz w:val="19"/>
          <w:szCs w:val="19"/>
        </w:rPr>
        <w:t xml:space="preserve"> </w:t>
      </w:r>
      <w:r>
        <w:rPr>
          <w:rFonts w:ascii="Arial" w:hAnsi="Arial" w:eastAsia="Arial" w:cs="Arial"/>
          <w:spacing w:val="-3"/>
          <w:sz w:val="19"/>
          <w:szCs w:val="19"/>
        </w:rPr>
        <w:t xml:space="preserve">judged </w:t>
      </w:r>
      <w:r>
        <w:rPr>
          <w:rFonts w:ascii="Arial" w:hAnsi="Arial" w:eastAsia="Arial" w:cs="Arial"/>
          <w:spacing w:val="-4"/>
          <w:sz w:val="19"/>
          <w:szCs w:val="19"/>
        </w:rPr>
        <w:t>to the extent to which a product or service its</w:t>
      </w:r>
      <w:r>
        <w:rPr>
          <w:rFonts w:ascii="Arial" w:hAnsi="Arial" w:eastAsia="Arial" w:cs="Arial"/>
          <w:spacing w:val="5"/>
          <w:sz w:val="19"/>
          <w:szCs w:val="19"/>
        </w:rPr>
        <w:t xml:space="preserve"> </w:t>
      </w:r>
      <w:r>
        <w:rPr>
          <w:rFonts w:ascii="Arial" w:hAnsi="Arial" w:eastAsia="Arial" w:cs="Arial"/>
          <w:spacing w:val="-4"/>
          <w:sz w:val="19"/>
          <w:szCs w:val="19"/>
        </w:rPr>
        <w:t>its</w:t>
      </w:r>
      <w:r>
        <w:rPr>
          <w:rFonts w:ascii="Arial" w:hAnsi="Arial" w:eastAsia="Arial" w:cs="Arial"/>
          <w:sz w:val="19"/>
          <w:szCs w:val="19"/>
        </w:rPr>
        <w:t xml:space="preserve"> </w:t>
      </w:r>
      <w:r>
        <w:rPr>
          <w:rFonts w:ascii="Arial" w:hAnsi="Arial" w:eastAsia="Arial" w:cs="Arial"/>
          <w:spacing w:val="-5"/>
          <w:sz w:val="19"/>
          <w:szCs w:val="19"/>
        </w:rPr>
        <w:t>purpose</w:t>
      </w:r>
      <w:r>
        <w:rPr>
          <w:rFonts w:ascii="Arial" w:hAnsi="Arial" w:eastAsia="Arial" w:cs="Arial"/>
          <w:spacing w:val="18"/>
          <w:sz w:val="19"/>
          <w:szCs w:val="19"/>
        </w:rPr>
        <w:t xml:space="preserve"> </w:t>
      </w:r>
      <w:r>
        <w:rPr>
          <w:rFonts w:ascii="Arial" w:hAnsi="Arial" w:eastAsia="Arial" w:cs="Arial"/>
          <w:spacing w:val="-5"/>
          <w:sz w:val="19"/>
          <w:szCs w:val="19"/>
        </w:rPr>
        <w:t>(stakeholder-dependent,</w:t>
      </w:r>
      <w:r>
        <w:rPr>
          <w:rFonts w:ascii="Arial" w:hAnsi="Arial" w:eastAsia="Arial" w:cs="Arial"/>
          <w:spacing w:val="12"/>
          <w:sz w:val="19"/>
          <w:szCs w:val="19"/>
        </w:rPr>
        <w:t xml:space="preserve"> </w:t>
      </w:r>
      <w:r>
        <w:rPr>
          <w:rFonts w:ascii="Arial" w:hAnsi="Arial" w:eastAsia="Arial" w:cs="Arial"/>
          <w:spacing w:val="-5"/>
          <w:sz w:val="19"/>
          <w:szCs w:val="19"/>
        </w:rPr>
        <w:t>e.g.</w:t>
      </w:r>
      <w:r>
        <w:rPr>
          <w:rFonts w:ascii="Arial" w:hAnsi="Arial" w:eastAsia="Arial" w:cs="Arial"/>
          <w:spacing w:val="12"/>
          <w:sz w:val="19"/>
          <w:szCs w:val="19"/>
        </w:rPr>
        <w:t xml:space="preserve"> </w:t>
      </w:r>
      <w:r>
        <w:rPr>
          <w:rFonts w:ascii="Arial" w:hAnsi="Arial" w:eastAsia="Arial" w:cs="Arial"/>
          <w:spacing w:val="-5"/>
          <w:sz w:val="19"/>
          <w:szCs w:val="19"/>
        </w:rPr>
        <w:t>demands</w:t>
      </w:r>
      <w:r>
        <w:rPr>
          <w:rFonts w:ascii="Arial" w:hAnsi="Arial" w:eastAsia="Arial" w:cs="Arial"/>
          <w:spacing w:val="12"/>
          <w:sz w:val="19"/>
          <w:szCs w:val="19"/>
        </w:rPr>
        <w:t xml:space="preserve"> </w:t>
      </w:r>
      <w:r>
        <w:rPr>
          <w:rFonts w:ascii="Arial" w:hAnsi="Arial" w:eastAsia="Arial" w:cs="Arial"/>
          <w:spacing w:val="-5"/>
          <w:sz w:val="19"/>
          <w:szCs w:val="19"/>
        </w:rPr>
        <w:t>of students</w:t>
      </w:r>
      <w:r>
        <w:rPr>
          <w:rFonts w:ascii="Arial" w:hAnsi="Arial" w:eastAsia="Arial" w:cs="Arial"/>
          <w:spacing w:val="-6"/>
          <w:sz w:val="19"/>
          <w:szCs w:val="19"/>
        </w:rPr>
        <w:t xml:space="preserve"> vs.</w:t>
      </w:r>
      <w:r>
        <w:rPr>
          <w:rFonts w:ascii="Arial" w:hAnsi="Arial" w:eastAsia="Arial" w:cs="Arial"/>
          <w:spacing w:val="12"/>
          <w:sz w:val="19"/>
          <w:szCs w:val="19"/>
        </w:rPr>
        <w:t xml:space="preserve"> </w:t>
      </w:r>
      <w:r>
        <w:rPr>
          <w:rFonts w:ascii="Arial" w:hAnsi="Arial" w:eastAsia="Arial" w:cs="Arial"/>
          <w:spacing w:val="-6"/>
          <w:sz w:val="19"/>
          <w:szCs w:val="19"/>
        </w:rPr>
        <w:t>external funding)</w:t>
      </w:r>
    </w:p>
    <w:p>
      <w:pPr>
        <w:spacing w:before="56" w:line="233" w:lineRule="auto"/>
        <w:ind w:left="337" w:right="6" w:hanging="325"/>
        <w:rPr>
          <w:rFonts w:ascii="Arial" w:hAnsi="Arial" w:eastAsia="Arial" w:cs="Arial"/>
          <w:sz w:val="19"/>
          <w:szCs w:val="19"/>
        </w:rPr>
      </w:pPr>
      <w:r>
        <w:rPr>
          <w:rFonts w:ascii="Arial" w:hAnsi="Arial" w:eastAsia="Arial" w:cs="Arial"/>
          <w:spacing w:val="-6"/>
          <w:sz w:val="19"/>
          <w:szCs w:val="19"/>
        </w:rPr>
        <w:t>(4)</w:t>
      </w:r>
      <w:r>
        <w:rPr>
          <w:rFonts w:ascii="Arial" w:hAnsi="Arial" w:eastAsia="Arial" w:cs="Arial"/>
          <w:spacing w:val="11"/>
          <w:sz w:val="19"/>
          <w:szCs w:val="19"/>
        </w:rPr>
        <w:t xml:space="preserve">  </w:t>
      </w:r>
      <w:r>
        <w:rPr>
          <w:rFonts w:ascii="Arial" w:hAnsi="Arial" w:eastAsia="Arial" w:cs="Arial"/>
          <w:spacing w:val="-6"/>
          <w:sz w:val="19"/>
          <w:szCs w:val="19"/>
        </w:rPr>
        <w:t>Quality</w:t>
      </w:r>
      <w:r>
        <w:rPr>
          <w:rFonts w:ascii="Arial" w:hAnsi="Arial" w:eastAsia="Arial" w:cs="Arial"/>
          <w:spacing w:val="30"/>
          <w:sz w:val="19"/>
          <w:szCs w:val="19"/>
        </w:rPr>
        <w:t xml:space="preserve"> </w:t>
      </w:r>
      <w:r>
        <w:rPr>
          <w:rFonts w:ascii="Arial" w:hAnsi="Arial" w:eastAsia="Arial" w:cs="Arial"/>
          <w:spacing w:val="-6"/>
          <w:sz w:val="19"/>
          <w:szCs w:val="19"/>
        </w:rPr>
        <w:t>as</w:t>
      </w:r>
      <w:r>
        <w:rPr>
          <w:rFonts w:ascii="Arial" w:hAnsi="Arial" w:eastAsia="Arial" w:cs="Arial"/>
          <w:spacing w:val="25"/>
          <w:sz w:val="19"/>
          <w:szCs w:val="19"/>
        </w:rPr>
        <w:t xml:space="preserve"> </w:t>
      </w:r>
      <w:r>
        <w:rPr>
          <w:rFonts w:ascii="Arial" w:hAnsi="Arial" w:eastAsia="Arial" w:cs="Arial"/>
          <w:spacing w:val="-6"/>
          <w:sz w:val="19"/>
          <w:szCs w:val="19"/>
        </w:rPr>
        <w:t>value</w:t>
      </w:r>
      <w:r>
        <w:rPr>
          <w:rFonts w:ascii="Arial" w:hAnsi="Arial" w:eastAsia="Arial" w:cs="Arial"/>
          <w:spacing w:val="25"/>
          <w:w w:val="101"/>
          <w:sz w:val="19"/>
          <w:szCs w:val="19"/>
        </w:rPr>
        <w:t xml:space="preserve"> </w:t>
      </w:r>
      <w:r>
        <w:rPr>
          <w:rFonts w:ascii="Arial" w:hAnsi="Arial" w:eastAsia="Arial" w:cs="Arial"/>
          <w:spacing w:val="-6"/>
          <w:sz w:val="19"/>
          <w:szCs w:val="19"/>
        </w:rPr>
        <w:t>for</w:t>
      </w:r>
      <w:r>
        <w:rPr>
          <w:rFonts w:ascii="Arial" w:hAnsi="Arial" w:eastAsia="Arial" w:cs="Arial"/>
          <w:spacing w:val="36"/>
          <w:sz w:val="19"/>
          <w:szCs w:val="19"/>
        </w:rPr>
        <w:t xml:space="preserve"> </w:t>
      </w:r>
      <w:r>
        <w:rPr>
          <w:rFonts w:ascii="Arial" w:hAnsi="Arial" w:eastAsia="Arial" w:cs="Arial"/>
          <w:spacing w:val="-6"/>
          <w:sz w:val="19"/>
          <w:szCs w:val="19"/>
        </w:rPr>
        <w:t>money:</w:t>
      </w:r>
      <w:r>
        <w:rPr>
          <w:rFonts w:ascii="Arial" w:hAnsi="Arial" w:eastAsia="Arial" w:cs="Arial"/>
          <w:spacing w:val="30"/>
          <w:sz w:val="19"/>
          <w:szCs w:val="19"/>
        </w:rPr>
        <w:t xml:space="preserve"> </w:t>
      </w:r>
      <w:r>
        <w:rPr>
          <w:rFonts w:ascii="Arial" w:hAnsi="Arial" w:eastAsia="Arial" w:cs="Arial"/>
          <w:spacing w:val="-6"/>
          <w:sz w:val="19"/>
          <w:szCs w:val="19"/>
        </w:rPr>
        <w:t>quality</w:t>
      </w:r>
      <w:r>
        <w:rPr>
          <w:rFonts w:ascii="Arial" w:hAnsi="Arial" w:eastAsia="Arial" w:cs="Arial"/>
          <w:spacing w:val="35"/>
          <w:sz w:val="19"/>
          <w:szCs w:val="19"/>
        </w:rPr>
        <w:t xml:space="preserve"> </w:t>
      </w:r>
      <w:r>
        <w:rPr>
          <w:rFonts w:ascii="Arial" w:hAnsi="Arial" w:eastAsia="Arial" w:cs="Arial"/>
          <w:spacing w:val="-6"/>
          <w:sz w:val="19"/>
          <w:szCs w:val="19"/>
        </w:rPr>
        <w:t>is</w:t>
      </w:r>
      <w:r>
        <w:rPr>
          <w:rFonts w:ascii="Arial" w:hAnsi="Arial" w:eastAsia="Arial" w:cs="Arial"/>
          <w:spacing w:val="35"/>
          <w:w w:val="101"/>
          <w:sz w:val="19"/>
          <w:szCs w:val="19"/>
        </w:rPr>
        <w:t xml:space="preserve"> </w:t>
      </w:r>
      <w:r>
        <w:rPr>
          <w:rFonts w:ascii="Arial" w:hAnsi="Arial" w:eastAsia="Arial" w:cs="Arial"/>
          <w:spacing w:val="-6"/>
          <w:sz w:val="19"/>
          <w:szCs w:val="19"/>
        </w:rPr>
        <w:t>measured</w:t>
      </w:r>
      <w:r>
        <w:rPr>
          <w:rFonts w:ascii="Arial" w:hAnsi="Arial" w:eastAsia="Arial" w:cs="Arial"/>
          <w:spacing w:val="35"/>
          <w:w w:val="101"/>
          <w:sz w:val="19"/>
          <w:szCs w:val="19"/>
        </w:rPr>
        <w:t xml:space="preserve"> </w:t>
      </w:r>
      <w:r>
        <w:rPr>
          <w:rFonts w:ascii="Arial" w:hAnsi="Arial" w:eastAsia="Arial" w:cs="Arial"/>
          <w:spacing w:val="-6"/>
          <w:sz w:val="19"/>
          <w:szCs w:val="19"/>
        </w:rPr>
        <w:t>by</w:t>
      </w:r>
      <w:r>
        <w:rPr>
          <w:rFonts w:ascii="Arial" w:hAnsi="Arial" w:eastAsia="Arial" w:cs="Arial"/>
          <w:spacing w:val="35"/>
          <w:w w:val="101"/>
          <w:sz w:val="19"/>
          <w:szCs w:val="19"/>
        </w:rPr>
        <w:t xml:space="preserve"> </w:t>
      </w:r>
      <w:r>
        <w:rPr>
          <w:rFonts w:ascii="Arial" w:hAnsi="Arial" w:eastAsia="Arial" w:cs="Arial"/>
          <w:spacing w:val="-6"/>
          <w:sz w:val="19"/>
          <w:szCs w:val="19"/>
        </w:rPr>
        <w:t>performance</w:t>
      </w:r>
      <w:r>
        <w:rPr>
          <w:rFonts w:ascii="Arial" w:hAnsi="Arial" w:eastAsia="Arial" w:cs="Arial"/>
          <w:spacing w:val="35"/>
          <w:sz w:val="19"/>
          <w:szCs w:val="19"/>
        </w:rPr>
        <w:t xml:space="preserve"> </w:t>
      </w:r>
      <w:r>
        <w:rPr>
          <w:rFonts w:ascii="Arial" w:hAnsi="Arial" w:eastAsia="Arial" w:cs="Arial"/>
          <w:spacing w:val="-6"/>
          <w:sz w:val="19"/>
          <w:szCs w:val="19"/>
        </w:rPr>
        <w:t>indicators</w:t>
      </w:r>
      <w:r>
        <w:rPr>
          <w:rFonts w:ascii="Arial" w:hAnsi="Arial" w:eastAsia="Arial" w:cs="Arial"/>
          <w:spacing w:val="25"/>
          <w:sz w:val="19"/>
          <w:szCs w:val="19"/>
        </w:rPr>
        <w:t xml:space="preserve"> </w:t>
      </w:r>
      <w:r>
        <w:rPr>
          <w:rFonts w:ascii="Arial" w:hAnsi="Arial" w:eastAsia="Arial" w:cs="Arial"/>
          <w:spacing w:val="-6"/>
          <w:sz w:val="19"/>
          <w:szCs w:val="19"/>
        </w:rPr>
        <w:t>to</w:t>
      </w:r>
      <w:r>
        <w:rPr>
          <w:rFonts w:ascii="Arial" w:hAnsi="Arial" w:eastAsia="Arial" w:cs="Arial"/>
          <w:spacing w:val="29"/>
          <w:w w:val="101"/>
          <w:sz w:val="19"/>
          <w:szCs w:val="19"/>
        </w:rPr>
        <w:t xml:space="preserve"> </w:t>
      </w:r>
      <w:r>
        <w:rPr>
          <w:rFonts w:ascii="Arial" w:hAnsi="Arial" w:eastAsia="Arial" w:cs="Arial"/>
          <w:spacing w:val="-6"/>
          <w:sz w:val="19"/>
          <w:szCs w:val="19"/>
        </w:rPr>
        <w:t>det</w:t>
      </w:r>
      <w:r>
        <w:rPr>
          <w:rFonts w:ascii="Arial" w:hAnsi="Arial" w:eastAsia="Arial" w:cs="Arial"/>
          <w:spacing w:val="-7"/>
          <w:sz w:val="19"/>
          <w:szCs w:val="19"/>
        </w:rPr>
        <w:t>ermine</w:t>
      </w:r>
      <w:r>
        <w:rPr>
          <w:rFonts w:ascii="Arial" w:hAnsi="Arial" w:eastAsia="Arial" w:cs="Arial"/>
          <w:spacing w:val="26"/>
          <w:sz w:val="19"/>
          <w:szCs w:val="19"/>
        </w:rPr>
        <w:t xml:space="preserve"> </w:t>
      </w:r>
      <w:r>
        <w:rPr>
          <w:rFonts w:ascii="Arial" w:hAnsi="Arial" w:eastAsia="Arial" w:cs="Arial"/>
          <w:spacing w:val="-7"/>
          <w:sz w:val="19"/>
          <w:szCs w:val="19"/>
        </w:rPr>
        <w:t>the</w:t>
      </w:r>
      <w:r>
        <w:rPr>
          <w:rFonts w:ascii="Arial" w:hAnsi="Arial" w:eastAsia="Arial" w:cs="Arial"/>
          <w:sz w:val="19"/>
          <w:szCs w:val="19"/>
        </w:rPr>
        <w:t xml:space="preserve"> </w:t>
      </w:r>
      <w:r>
        <w:rPr>
          <w:rFonts w:ascii="Arial" w:hAnsi="Arial" w:eastAsia="Arial" w:cs="Arial"/>
          <w:spacing w:val="-5"/>
          <w:sz w:val="19"/>
          <w:szCs w:val="19"/>
        </w:rPr>
        <w:t>return</w:t>
      </w:r>
      <w:r>
        <w:rPr>
          <w:rFonts w:ascii="Arial" w:hAnsi="Arial" w:eastAsia="Arial" w:cs="Arial"/>
          <w:spacing w:val="13"/>
          <w:sz w:val="19"/>
          <w:szCs w:val="19"/>
        </w:rPr>
        <w:t xml:space="preserve"> </w:t>
      </w:r>
      <w:r>
        <w:rPr>
          <w:rFonts w:ascii="Arial" w:hAnsi="Arial" w:eastAsia="Arial" w:cs="Arial"/>
          <w:spacing w:val="-5"/>
          <w:sz w:val="19"/>
          <w:szCs w:val="19"/>
        </w:rPr>
        <w:t>on</w:t>
      </w:r>
      <w:r>
        <w:rPr>
          <w:rFonts w:ascii="Arial" w:hAnsi="Arial" w:eastAsia="Arial" w:cs="Arial"/>
          <w:spacing w:val="16"/>
          <w:w w:val="101"/>
          <w:sz w:val="19"/>
          <w:szCs w:val="19"/>
        </w:rPr>
        <w:t xml:space="preserve"> </w:t>
      </w:r>
      <w:r>
        <w:rPr>
          <w:rFonts w:ascii="Arial" w:hAnsi="Arial" w:eastAsia="Arial" w:cs="Arial"/>
          <w:spacing w:val="-5"/>
          <w:sz w:val="19"/>
          <w:szCs w:val="19"/>
        </w:rPr>
        <w:t>investment</w:t>
      </w:r>
      <w:r>
        <w:rPr>
          <w:rFonts w:ascii="Arial" w:hAnsi="Arial" w:eastAsia="Arial" w:cs="Arial"/>
          <w:spacing w:val="17"/>
          <w:sz w:val="19"/>
          <w:szCs w:val="19"/>
        </w:rPr>
        <w:t xml:space="preserve"> </w:t>
      </w:r>
      <w:r>
        <w:rPr>
          <w:rFonts w:ascii="Arial" w:hAnsi="Arial" w:eastAsia="Arial" w:cs="Arial"/>
          <w:spacing w:val="-5"/>
          <w:sz w:val="19"/>
          <w:szCs w:val="19"/>
        </w:rPr>
        <w:t>(e.g.</w:t>
      </w:r>
      <w:r>
        <w:rPr>
          <w:rFonts w:ascii="Arial" w:hAnsi="Arial" w:eastAsia="Arial" w:cs="Arial"/>
          <w:spacing w:val="11"/>
          <w:sz w:val="19"/>
          <w:szCs w:val="19"/>
        </w:rPr>
        <w:t xml:space="preserve"> </w:t>
      </w:r>
      <w:r>
        <w:rPr>
          <w:rFonts w:ascii="Arial" w:hAnsi="Arial" w:eastAsia="Arial" w:cs="Arial"/>
          <w:spacing w:val="-5"/>
          <w:sz w:val="19"/>
          <w:szCs w:val="19"/>
        </w:rPr>
        <w:t>cita</w:t>
      </w:r>
      <w:r>
        <w:rPr>
          <w:rFonts w:ascii="Arial" w:hAnsi="Arial" w:eastAsia="Arial" w:cs="Arial"/>
          <w:spacing w:val="-6"/>
          <w:sz w:val="19"/>
          <w:szCs w:val="19"/>
        </w:rPr>
        <w:t>tion</w:t>
      </w:r>
      <w:r>
        <w:rPr>
          <w:rFonts w:ascii="Arial" w:hAnsi="Arial" w:eastAsia="Arial" w:cs="Arial"/>
          <w:spacing w:val="17"/>
          <w:sz w:val="19"/>
          <w:szCs w:val="19"/>
        </w:rPr>
        <w:t xml:space="preserve"> </w:t>
      </w:r>
      <w:r>
        <w:rPr>
          <w:rFonts w:ascii="Arial" w:hAnsi="Arial" w:eastAsia="Arial" w:cs="Arial"/>
          <w:spacing w:val="-6"/>
          <w:sz w:val="19"/>
          <w:szCs w:val="19"/>
        </w:rPr>
        <w:t>indices)</w:t>
      </w:r>
    </w:p>
    <w:p>
      <w:pPr>
        <w:spacing w:before="24" w:line="250" w:lineRule="auto"/>
        <w:ind w:left="331" w:right="7" w:hanging="319"/>
        <w:rPr>
          <w:rFonts w:ascii="Arial" w:hAnsi="Arial" w:eastAsia="Arial" w:cs="Arial"/>
          <w:sz w:val="19"/>
          <w:szCs w:val="19"/>
        </w:rPr>
      </w:pPr>
      <w:r>
        <w:rPr>
          <w:rFonts w:ascii="Arial" w:hAnsi="Arial" w:eastAsia="Arial" w:cs="Arial"/>
          <w:spacing w:val="-7"/>
          <w:sz w:val="19"/>
          <w:szCs w:val="19"/>
        </w:rPr>
        <w:t>(5)</w:t>
      </w:r>
      <w:r>
        <w:rPr>
          <w:rFonts w:ascii="Arial" w:hAnsi="Arial" w:eastAsia="Arial" w:cs="Arial"/>
          <w:spacing w:val="11"/>
          <w:sz w:val="19"/>
          <w:szCs w:val="19"/>
        </w:rPr>
        <w:t xml:space="preserve">  </w:t>
      </w:r>
      <w:r>
        <w:rPr>
          <w:rFonts w:ascii="Arial" w:hAnsi="Arial" w:eastAsia="Arial" w:cs="Arial"/>
          <w:spacing w:val="-7"/>
          <w:sz w:val="19"/>
          <w:szCs w:val="19"/>
        </w:rPr>
        <w:t>Quality</w:t>
      </w:r>
      <w:r>
        <w:rPr>
          <w:rFonts w:ascii="Arial" w:hAnsi="Arial" w:eastAsia="Arial" w:cs="Arial"/>
          <w:spacing w:val="24"/>
          <w:w w:val="101"/>
          <w:sz w:val="19"/>
          <w:szCs w:val="19"/>
        </w:rPr>
        <w:t xml:space="preserve"> </w:t>
      </w:r>
      <w:r>
        <w:rPr>
          <w:rFonts w:ascii="Arial" w:hAnsi="Arial" w:eastAsia="Arial" w:cs="Arial"/>
          <w:spacing w:val="-7"/>
          <w:sz w:val="19"/>
          <w:szCs w:val="19"/>
        </w:rPr>
        <w:t>as</w:t>
      </w:r>
      <w:r>
        <w:rPr>
          <w:rFonts w:ascii="Arial" w:hAnsi="Arial" w:eastAsia="Arial" w:cs="Arial"/>
          <w:spacing w:val="20"/>
          <w:w w:val="101"/>
          <w:sz w:val="19"/>
          <w:szCs w:val="19"/>
        </w:rPr>
        <w:t xml:space="preserve"> </w:t>
      </w:r>
      <w:r>
        <w:rPr>
          <w:rFonts w:ascii="Arial" w:hAnsi="Arial" w:eastAsia="Arial" w:cs="Arial"/>
          <w:spacing w:val="-7"/>
          <w:sz w:val="19"/>
          <w:szCs w:val="19"/>
        </w:rPr>
        <w:t>transformation:</w:t>
      </w:r>
      <w:r>
        <w:rPr>
          <w:rFonts w:ascii="Arial" w:hAnsi="Arial" w:eastAsia="Arial" w:cs="Arial"/>
          <w:spacing w:val="25"/>
          <w:sz w:val="19"/>
          <w:szCs w:val="19"/>
        </w:rPr>
        <w:t xml:space="preserve"> </w:t>
      </w:r>
      <w:r>
        <w:rPr>
          <w:rFonts w:ascii="Arial" w:hAnsi="Arial" w:eastAsia="Arial" w:cs="Arial"/>
          <w:spacing w:val="-7"/>
          <w:sz w:val="19"/>
          <w:szCs w:val="19"/>
        </w:rPr>
        <w:t>quality</w:t>
      </w:r>
      <w:r>
        <w:rPr>
          <w:rFonts w:ascii="Arial" w:hAnsi="Arial" w:eastAsia="Arial" w:cs="Arial"/>
          <w:spacing w:val="23"/>
          <w:w w:val="101"/>
          <w:sz w:val="19"/>
          <w:szCs w:val="19"/>
        </w:rPr>
        <w:t xml:space="preserve"> </w:t>
      </w:r>
      <w:r>
        <w:rPr>
          <w:rFonts w:ascii="Arial" w:hAnsi="Arial" w:eastAsia="Arial" w:cs="Arial"/>
          <w:spacing w:val="-7"/>
          <w:sz w:val="19"/>
          <w:szCs w:val="19"/>
        </w:rPr>
        <w:t>as</w:t>
      </w:r>
      <w:r>
        <w:rPr>
          <w:rFonts w:ascii="Arial" w:hAnsi="Arial" w:eastAsia="Arial" w:cs="Arial"/>
          <w:spacing w:val="24"/>
          <w:sz w:val="19"/>
          <w:szCs w:val="19"/>
        </w:rPr>
        <w:t xml:space="preserve"> </w:t>
      </w:r>
      <w:r>
        <w:rPr>
          <w:rFonts w:ascii="Arial" w:hAnsi="Arial" w:eastAsia="Arial" w:cs="Arial"/>
          <w:spacing w:val="-7"/>
          <w:sz w:val="19"/>
          <w:szCs w:val="19"/>
        </w:rPr>
        <w:t>a</w:t>
      </w:r>
      <w:r>
        <w:rPr>
          <w:rFonts w:ascii="Arial" w:hAnsi="Arial" w:eastAsia="Arial" w:cs="Arial"/>
          <w:spacing w:val="20"/>
          <w:w w:val="101"/>
          <w:sz w:val="19"/>
          <w:szCs w:val="19"/>
        </w:rPr>
        <w:t xml:space="preserve"> </w:t>
      </w:r>
      <w:r>
        <w:rPr>
          <w:rFonts w:ascii="Arial" w:hAnsi="Arial" w:eastAsia="Arial" w:cs="Arial"/>
          <w:spacing w:val="-7"/>
          <w:sz w:val="19"/>
          <w:szCs w:val="19"/>
        </w:rPr>
        <w:t>transformational</w:t>
      </w:r>
      <w:r>
        <w:rPr>
          <w:rFonts w:ascii="Arial" w:hAnsi="Arial" w:eastAsia="Arial" w:cs="Arial"/>
          <w:spacing w:val="30"/>
          <w:sz w:val="19"/>
          <w:szCs w:val="19"/>
        </w:rPr>
        <w:t xml:space="preserve"> </w:t>
      </w:r>
      <w:r>
        <w:rPr>
          <w:rFonts w:ascii="Arial" w:hAnsi="Arial" w:eastAsia="Arial" w:cs="Arial"/>
          <w:spacing w:val="-7"/>
          <w:sz w:val="19"/>
          <w:szCs w:val="19"/>
        </w:rPr>
        <w:t>pr</w:t>
      </w:r>
      <w:r>
        <w:rPr>
          <w:rFonts w:ascii="Arial" w:hAnsi="Arial" w:eastAsia="Arial" w:cs="Arial"/>
          <w:spacing w:val="-8"/>
          <w:sz w:val="19"/>
          <w:szCs w:val="19"/>
        </w:rPr>
        <w:t>ocess</w:t>
      </w:r>
      <w:r>
        <w:rPr>
          <w:rFonts w:ascii="Arial" w:hAnsi="Arial" w:eastAsia="Arial" w:cs="Arial"/>
          <w:spacing w:val="20"/>
          <w:w w:val="101"/>
          <w:sz w:val="19"/>
          <w:szCs w:val="19"/>
        </w:rPr>
        <w:t xml:space="preserve"> </w:t>
      </w:r>
      <w:r>
        <w:rPr>
          <w:rFonts w:ascii="Arial" w:hAnsi="Arial" w:eastAsia="Arial" w:cs="Arial"/>
          <w:spacing w:val="-8"/>
          <w:sz w:val="19"/>
          <w:szCs w:val="19"/>
        </w:rPr>
        <w:t>that</w:t>
      </w:r>
      <w:r>
        <w:rPr>
          <w:rFonts w:ascii="Arial" w:hAnsi="Arial" w:eastAsia="Arial" w:cs="Arial"/>
          <w:spacing w:val="24"/>
          <w:sz w:val="19"/>
          <w:szCs w:val="19"/>
        </w:rPr>
        <w:t xml:space="preserve"> </w:t>
      </w:r>
      <w:r>
        <w:rPr>
          <w:rFonts w:ascii="Arial" w:hAnsi="Arial" w:eastAsia="Arial" w:cs="Arial"/>
          <w:spacing w:val="-8"/>
          <w:sz w:val="19"/>
          <w:szCs w:val="19"/>
        </w:rPr>
        <w:t>causes</w:t>
      </w:r>
      <w:r>
        <w:rPr>
          <w:rFonts w:ascii="Arial" w:hAnsi="Arial" w:eastAsia="Arial" w:cs="Arial"/>
          <w:spacing w:val="26"/>
          <w:sz w:val="19"/>
          <w:szCs w:val="19"/>
        </w:rPr>
        <w:t xml:space="preserve"> </w:t>
      </w:r>
      <w:r>
        <w:rPr>
          <w:rFonts w:ascii="Arial" w:hAnsi="Arial" w:eastAsia="Arial" w:cs="Arial"/>
          <w:spacing w:val="-8"/>
          <w:sz w:val="19"/>
          <w:szCs w:val="19"/>
        </w:rPr>
        <w:t>changes</w:t>
      </w:r>
      <w:r>
        <w:rPr>
          <w:rFonts w:ascii="Arial" w:hAnsi="Arial" w:eastAsia="Arial" w:cs="Arial"/>
          <w:spacing w:val="30"/>
          <w:sz w:val="19"/>
          <w:szCs w:val="19"/>
        </w:rPr>
        <w:t xml:space="preserve"> </w:t>
      </w:r>
      <w:r>
        <w:rPr>
          <w:rFonts w:ascii="Arial" w:hAnsi="Arial" w:eastAsia="Arial" w:cs="Arial"/>
          <w:spacing w:val="-8"/>
          <w:sz w:val="19"/>
          <w:szCs w:val="19"/>
        </w:rPr>
        <w:t>(e.g.</w:t>
      </w:r>
      <w:r>
        <w:rPr>
          <w:rFonts w:ascii="Arial" w:hAnsi="Arial" w:eastAsia="Arial" w:cs="Arial"/>
          <w:spacing w:val="24"/>
          <w:w w:val="101"/>
          <w:sz w:val="19"/>
          <w:szCs w:val="19"/>
        </w:rPr>
        <w:t xml:space="preserve"> </w:t>
      </w:r>
      <w:r>
        <w:rPr>
          <w:rFonts w:ascii="Arial" w:hAnsi="Arial" w:eastAsia="Arial" w:cs="Arial"/>
          <w:spacing w:val="-8"/>
          <w:sz w:val="19"/>
          <w:szCs w:val="19"/>
        </w:rPr>
        <w:t>stu-</w:t>
      </w:r>
      <w:r>
        <w:rPr>
          <w:rFonts w:ascii="Arial" w:hAnsi="Arial" w:eastAsia="Arial" w:cs="Arial"/>
          <w:sz w:val="19"/>
          <w:szCs w:val="19"/>
        </w:rPr>
        <w:t xml:space="preserve"> </w:t>
      </w:r>
      <w:r>
        <w:rPr>
          <w:rFonts w:ascii="Arial" w:hAnsi="Arial" w:eastAsia="Arial" w:cs="Arial"/>
          <w:spacing w:val="-5"/>
          <w:sz w:val="19"/>
          <w:szCs w:val="19"/>
        </w:rPr>
        <w:t>dents</w:t>
      </w:r>
      <w:r>
        <w:rPr>
          <w:rFonts w:ascii="Arial" w:hAnsi="Arial" w:eastAsia="Arial" w:cs="Arial"/>
          <w:spacing w:val="25"/>
          <w:w w:val="101"/>
          <w:sz w:val="19"/>
          <w:szCs w:val="19"/>
        </w:rPr>
        <w:t xml:space="preserve"> </w:t>
      </w:r>
      <w:r>
        <w:rPr>
          <w:rFonts w:ascii="Arial" w:hAnsi="Arial" w:eastAsia="Arial" w:cs="Arial"/>
          <w:spacing w:val="-5"/>
          <w:sz w:val="19"/>
          <w:szCs w:val="19"/>
        </w:rPr>
        <w:t>acquiring</w:t>
      </w:r>
      <w:r>
        <w:rPr>
          <w:rFonts w:ascii="Arial" w:hAnsi="Arial" w:eastAsia="Arial" w:cs="Arial"/>
          <w:spacing w:val="18"/>
          <w:w w:val="101"/>
          <w:sz w:val="19"/>
          <w:szCs w:val="19"/>
        </w:rPr>
        <w:t xml:space="preserve"> </w:t>
      </w:r>
      <w:r>
        <w:rPr>
          <w:rFonts w:ascii="Arial" w:hAnsi="Arial" w:eastAsia="Arial" w:cs="Arial"/>
          <w:spacing w:val="-5"/>
          <w:sz w:val="19"/>
          <w:szCs w:val="19"/>
        </w:rPr>
        <w:t>knowledge)</w:t>
      </w:r>
    </w:p>
    <w:p>
      <w:pPr>
        <w:spacing w:before="267" w:line="254" w:lineRule="auto"/>
        <w:ind w:left="2" w:hanging="2"/>
        <w:jc w:val="both"/>
        <w:rPr>
          <w:rFonts w:ascii="Arial" w:hAnsi="Arial" w:eastAsia="Arial" w:cs="Arial"/>
          <w:sz w:val="19"/>
          <w:szCs w:val="19"/>
        </w:rPr>
      </w:pPr>
      <w:r>
        <w:rPr>
          <w:rFonts w:ascii="Arial" w:hAnsi="Arial" w:eastAsia="Arial" w:cs="Arial"/>
          <w:spacing w:val="-4"/>
          <w:sz w:val="19"/>
          <w:szCs w:val="19"/>
        </w:rPr>
        <w:t xml:space="preserve">The deinitions proposed by Harvey and Green clearly illustrate how dificult, if not impossible, it is, </w:t>
      </w:r>
      <w:r>
        <w:rPr>
          <w:rFonts w:ascii="Arial" w:hAnsi="Arial" w:eastAsia="Arial" w:cs="Arial"/>
          <w:spacing w:val="-5"/>
          <w:sz w:val="19"/>
          <w:szCs w:val="19"/>
        </w:rPr>
        <w:t>to</w:t>
      </w:r>
      <w:r>
        <w:rPr>
          <w:rFonts w:ascii="Arial" w:hAnsi="Arial" w:eastAsia="Arial" w:cs="Arial"/>
          <w:sz w:val="19"/>
          <w:szCs w:val="19"/>
        </w:rPr>
        <w:t xml:space="preserve"> </w:t>
      </w:r>
      <w:r>
        <w:rPr>
          <w:rFonts w:ascii="Arial" w:hAnsi="Arial" w:eastAsia="Arial" w:cs="Arial"/>
          <w:spacing w:val="-5"/>
          <w:sz w:val="19"/>
          <w:szCs w:val="19"/>
        </w:rPr>
        <w:t>provide</w:t>
      </w:r>
      <w:r>
        <w:rPr>
          <w:rFonts w:ascii="Arial" w:hAnsi="Arial" w:eastAsia="Arial" w:cs="Arial"/>
          <w:spacing w:val="26"/>
          <w:w w:val="101"/>
          <w:sz w:val="19"/>
          <w:szCs w:val="19"/>
        </w:rPr>
        <w:t xml:space="preserve"> </w:t>
      </w:r>
      <w:r>
        <w:rPr>
          <w:rFonts w:ascii="Arial" w:hAnsi="Arial" w:eastAsia="Arial" w:cs="Arial"/>
          <w:spacing w:val="-5"/>
          <w:sz w:val="19"/>
          <w:szCs w:val="19"/>
        </w:rPr>
        <w:t>a</w:t>
      </w:r>
      <w:r>
        <w:rPr>
          <w:rFonts w:ascii="Arial" w:hAnsi="Arial" w:eastAsia="Arial" w:cs="Arial"/>
          <w:spacing w:val="26"/>
          <w:sz w:val="19"/>
          <w:szCs w:val="19"/>
        </w:rPr>
        <w:t xml:space="preserve"> </w:t>
      </w:r>
      <w:r>
        <w:rPr>
          <w:rFonts w:ascii="Arial" w:hAnsi="Arial" w:eastAsia="Arial" w:cs="Arial"/>
          <w:spacing w:val="-5"/>
          <w:sz w:val="19"/>
          <w:szCs w:val="19"/>
        </w:rPr>
        <w:t>sim</w:t>
      </w:r>
      <w:r>
        <w:rPr>
          <w:rFonts w:ascii="Arial" w:hAnsi="Arial" w:eastAsia="Arial" w:cs="Arial"/>
          <w:spacing w:val="-4"/>
          <w:sz w:val="19"/>
          <w:szCs w:val="19"/>
        </w:rPr>
        <w:t>ple</w:t>
      </w:r>
      <w:r>
        <w:rPr>
          <w:rFonts w:ascii="Arial" w:hAnsi="Arial" w:eastAsia="Arial" w:cs="Arial"/>
          <w:spacing w:val="26"/>
          <w:w w:val="101"/>
          <w:sz w:val="19"/>
          <w:szCs w:val="19"/>
        </w:rPr>
        <w:t xml:space="preserve"> </w:t>
      </w:r>
      <w:r>
        <w:rPr>
          <w:rFonts w:ascii="Arial" w:hAnsi="Arial" w:eastAsia="Arial" w:cs="Arial"/>
          <w:spacing w:val="-4"/>
          <w:sz w:val="19"/>
          <w:szCs w:val="19"/>
        </w:rPr>
        <w:t>or</w:t>
      </w:r>
      <w:r>
        <w:rPr>
          <w:rFonts w:ascii="Arial" w:hAnsi="Arial" w:eastAsia="Arial" w:cs="Arial"/>
          <w:spacing w:val="32"/>
          <w:sz w:val="19"/>
          <w:szCs w:val="19"/>
        </w:rPr>
        <w:t xml:space="preserve"> </w:t>
      </w:r>
      <w:r>
        <w:rPr>
          <w:rFonts w:ascii="Arial" w:hAnsi="Arial" w:eastAsia="Arial" w:cs="Arial"/>
          <w:spacing w:val="-4"/>
          <w:sz w:val="19"/>
          <w:szCs w:val="19"/>
        </w:rPr>
        <w:t>universal</w:t>
      </w:r>
      <w:r>
        <w:rPr>
          <w:rFonts w:ascii="Arial" w:hAnsi="Arial" w:eastAsia="Arial" w:cs="Arial"/>
          <w:spacing w:val="26"/>
          <w:w w:val="101"/>
          <w:sz w:val="19"/>
          <w:szCs w:val="19"/>
        </w:rPr>
        <w:t xml:space="preserve"> </w:t>
      </w:r>
      <w:r>
        <w:rPr>
          <w:rFonts w:ascii="Arial" w:hAnsi="Arial" w:eastAsia="Arial" w:cs="Arial"/>
          <w:spacing w:val="-4"/>
          <w:sz w:val="19"/>
          <w:szCs w:val="19"/>
        </w:rPr>
        <w:t>deinition</w:t>
      </w:r>
      <w:r>
        <w:rPr>
          <w:rFonts w:ascii="Arial" w:hAnsi="Arial" w:eastAsia="Arial" w:cs="Arial"/>
          <w:spacing w:val="25"/>
          <w:sz w:val="19"/>
          <w:szCs w:val="19"/>
        </w:rPr>
        <w:t xml:space="preserve"> </w:t>
      </w:r>
      <w:r>
        <w:rPr>
          <w:rFonts w:ascii="Arial" w:hAnsi="Arial" w:eastAsia="Arial" w:cs="Arial"/>
          <w:spacing w:val="-4"/>
          <w:sz w:val="19"/>
          <w:szCs w:val="19"/>
        </w:rPr>
        <w:t>of ‘quality’,</w:t>
      </w:r>
      <w:r>
        <w:rPr>
          <w:rFonts w:ascii="Arial" w:hAnsi="Arial" w:eastAsia="Arial" w:cs="Arial"/>
          <w:spacing w:val="25"/>
          <w:w w:val="101"/>
          <w:sz w:val="19"/>
          <w:szCs w:val="19"/>
        </w:rPr>
        <w:t xml:space="preserve"> </w:t>
      </w:r>
      <w:r>
        <w:rPr>
          <w:rFonts w:ascii="Arial" w:hAnsi="Arial" w:eastAsia="Arial" w:cs="Arial"/>
          <w:spacing w:val="-4"/>
          <w:sz w:val="19"/>
          <w:szCs w:val="19"/>
        </w:rPr>
        <w:t>as</w:t>
      </w:r>
      <w:r>
        <w:rPr>
          <w:rFonts w:ascii="Arial" w:hAnsi="Arial" w:eastAsia="Arial" w:cs="Arial"/>
          <w:spacing w:val="21"/>
          <w:w w:val="101"/>
          <w:sz w:val="19"/>
          <w:szCs w:val="19"/>
        </w:rPr>
        <w:t xml:space="preserve"> </w:t>
      </w:r>
      <w:r>
        <w:rPr>
          <w:rFonts w:ascii="Arial" w:hAnsi="Arial" w:eastAsia="Arial" w:cs="Arial"/>
          <w:spacing w:val="-4"/>
          <w:sz w:val="19"/>
          <w:szCs w:val="19"/>
        </w:rPr>
        <w:t>the</w:t>
      </w:r>
      <w:r>
        <w:rPr>
          <w:rFonts w:ascii="Arial" w:hAnsi="Arial" w:eastAsia="Arial" w:cs="Arial"/>
          <w:spacing w:val="33"/>
          <w:w w:val="101"/>
          <w:sz w:val="19"/>
          <w:szCs w:val="19"/>
        </w:rPr>
        <w:t xml:space="preserve"> </w:t>
      </w:r>
      <w:r>
        <w:rPr>
          <w:rFonts w:ascii="Arial" w:hAnsi="Arial" w:eastAsia="Arial" w:cs="Arial"/>
          <w:spacing w:val="-4"/>
          <w:sz w:val="19"/>
          <w:szCs w:val="19"/>
        </w:rPr>
        <w:t>latter</w:t>
      </w:r>
      <w:r>
        <w:rPr>
          <w:rFonts w:ascii="Arial" w:hAnsi="Arial" w:eastAsia="Arial" w:cs="Arial"/>
          <w:spacing w:val="26"/>
          <w:sz w:val="19"/>
          <w:szCs w:val="19"/>
        </w:rPr>
        <w:t xml:space="preserve"> </w:t>
      </w:r>
      <w:r>
        <w:rPr>
          <w:rFonts w:ascii="Arial" w:hAnsi="Arial" w:eastAsia="Arial" w:cs="Arial"/>
          <w:spacing w:val="-4"/>
          <w:sz w:val="19"/>
          <w:szCs w:val="19"/>
        </w:rPr>
        <w:t>alw</w:t>
      </w:r>
      <w:r>
        <w:rPr>
          <w:rFonts w:ascii="Arial" w:hAnsi="Arial" w:eastAsia="Arial" w:cs="Arial"/>
          <w:spacing w:val="-5"/>
          <w:sz w:val="19"/>
          <w:szCs w:val="19"/>
        </w:rPr>
        <w:t>ays</w:t>
      </w:r>
      <w:r>
        <w:rPr>
          <w:rFonts w:ascii="Arial" w:hAnsi="Arial" w:eastAsia="Arial" w:cs="Arial"/>
          <w:spacing w:val="26"/>
          <w:sz w:val="19"/>
          <w:szCs w:val="19"/>
        </w:rPr>
        <w:t xml:space="preserve"> </w:t>
      </w:r>
      <w:r>
        <w:rPr>
          <w:rFonts w:ascii="Arial" w:hAnsi="Arial" w:eastAsia="Arial" w:cs="Arial"/>
          <w:spacing w:val="-5"/>
          <w:sz w:val="19"/>
          <w:szCs w:val="19"/>
        </w:rPr>
        <w:t>depends</w:t>
      </w:r>
      <w:r>
        <w:rPr>
          <w:rFonts w:ascii="Arial" w:hAnsi="Arial" w:eastAsia="Arial" w:cs="Arial"/>
          <w:spacing w:val="25"/>
          <w:w w:val="101"/>
          <w:sz w:val="19"/>
          <w:szCs w:val="19"/>
        </w:rPr>
        <w:t xml:space="preserve"> </w:t>
      </w:r>
      <w:r>
        <w:rPr>
          <w:rFonts w:ascii="Arial" w:hAnsi="Arial" w:eastAsia="Arial" w:cs="Arial"/>
          <w:spacing w:val="-5"/>
          <w:sz w:val="19"/>
          <w:szCs w:val="19"/>
        </w:rPr>
        <w:t>on</w:t>
      </w:r>
      <w:r>
        <w:rPr>
          <w:rFonts w:ascii="Arial" w:hAnsi="Arial" w:eastAsia="Arial" w:cs="Arial"/>
          <w:spacing w:val="22"/>
          <w:sz w:val="19"/>
          <w:szCs w:val="19"/>
        </w:rPr>
        <w:t xml:space="preserve"> </w:t>
      </w:r>
      <w:r>
        <w:rPr>
          <w:rFonts w:ascii="Arial" w:hAnsi="Arial" w:eastAsia="Arial" w:cs="Arial"/>
          <w:spacing w:val="-5"/>
          <w:sz w:val="19"/>
          <w:szCs w:val="19"/>
        </w:rPr>
        <w:t>the</w:t>
      </w:r>
      <w:r>
        <w:rPr>
          <w:rFonts w:ascii="Arial" w:hAnsi="Arial" w:eastAsia="Arial" w:cs="Arial"/>
          <w:spacing w:val="22"/>
          <w:sz w:val="19"/>
          <w:szCs w:val="19"/>
        </w:rPr>
        <w:t xml:space="preserve"> </w:t>
      </w:r>
      <w:r>
        <w:rPr>
          <w:rFonts w:ascii="Arial" w:hAnsi="Arial" w:eastAsia="Arial" w:cs="Arial"/>
          <w:spacing w:val="-5"/>
          <w:sz w:val="19"/>
          <w:szCs w:val="19"/>
        </w:rPr>
        <w:t>views</w:t>
      </w:r>
      <w:r>
        <w:rPr>
          <w:rFonts w:ascii="Arial" w:hAnsi="Arial" w:eastAsia="Arial" w:cs="Arial"/>
          <w:spacing w:val="26"/>
          <w:sz w:val="19"/>
          <w:szCs w:val="19"/>
        </w:rPr>
        <w:t xml:space="preserve"> </w:t>
      </w:r>
      <w:r>
        <w:rPr>
          <w:rFonts w:ascii="Arial" w:hAnsi="Arial" w:eastAsia="Arial" w:cs="Arial"/>
          <w:spacing w:val="-5"/>
          <w:sz w:val="19"/>
          <w:szCs w:val="19"/>
        </w:rPr>
        <w:t>o</w:t>
      </w:r>
      <w:r>
        <w:rPr>
          <w:rFonts w:ascii="Arial" w:hAnsi="Arial" w:eastAsia="Arial" w:cs="Arial"/>
          <w:spacing w:val="6"/>
          <w:sz w:val="19"/>
          <w:szCs w:val="19"/>
        </w:rPr>
        <w:t>f</w:t>
      </w:r>
      <w:r>
        <w:rPr>
          <w:rFonts w:ascii="Arial" w:hAnsi="Arial" w:eastAsia="Arial" w:cs="Arial"/>
          <w:sz w:val="19"/>
          <w:szCs w:val="19"/>
        </w:rPr>
        <w:t xml:space="preserve"> </w:t>
      </w:r>
      <w:r>
        <w:rPr>
          <w:rFonts w:ascii="Arial" w:hAnsi="Arial" w:eastAsia="Arial" w:cs="Arial"/>
          <w:spacing w:val="-6"/>
          <w:sz w:val="19"/>
          <w:szCs w:val="19"/>
        </w:rPr>
        <w:t>various</w:t>
      </w:r>
      <w:r>
        <w:rPr>
          <w:rFonts w:ascii="Arial" w:hAnsi="Arial" w:eastAsia="Arial" w:cs="Arial"/>
          <w:spacing w:val="27"/>
          <w:w w:val="101"/>
          <w:sz w:val="19"/>
          <w:szCs w:val="19"/>
        </w:rPr>
        <w:t xml:space="preserve"> </w:t>
      </w:r>
      <w:r>
        <w:rPr>
          <w:rFonts w:ascii="Arial" w:hAnsi="Arial" w:eastAsia="Arial" w:cs="Arial"/>
          <w:spacing w:val="-6"/>
          <w:sz w:val="19"/>
          <w:szCs w:val="19"/>
        </w:rPr>
        <w:t>stakeholders</w:t>
      </w:r>
      <w:r>
        <w:rPr>
          <w:rFonts w:ascii="Arial" w:hAnsi="Arial" w:eastAsia="Arial" w:cs="Arial"/>
          <w:spacing w:val="25"/>
          <w:sz w:val="19"/>
          <w:szCs w:val="19"/>
        </w:rPr>
        <w:t xml:space="preserve"> </w:t>
      </w:r>
      <w:r>
        <w:rPr>
          <w:rFonts w:ascii="Arial" w:hAnsi="Arial" w:eastAsia="Arial" w:cs="Arial"/>
          <w:spacing w:val="-6"/>
          <w:sz w:val="19"/>
          <w:szCs w:val="19"/>
        </w:rPr>
        <w:t>and</w:t>
      </w:r>
      <w:r>
        <w:rPr>
          <w:rFonts w:ascii="Arial" w:hAnsi="Arial" w:eastAsia="Arial" w:cs="Arial"/>
          <w:spacing w:val="22"/>
          <w:sz w:val="19"/>
          <w:szCs w:val="19"/>
        </w:rPr>
        <w:t xml:space="preserve"> </w:t>
      </w:r>
      <w:r>
        <w:rPr>
          <w:rFonts w:ascii="Arial" w:hAnsi="Arial" w:eastAsia="Arial" w:cs="Arial"/>
          <w:spacing w:val="-6"/>
          <w:sz w:val="19"/>
          <w:szCs w:val="19"/>
        </w:rPr>
        <w:t>the</w:t>
      </w:r>
      <w:r>
        <w:rPr>
          <w:rFonts w:ascii="Arial" w:hAnsi="Arial" w:eastAsia="Arial" w:cs="Arial"/>
          <w:spacing w:val="31"/>
          <w:w w:val="101"/>
          <w:sz w:val="19"/>
          <w:szCs w:val="19"/>
        </w:rPr>
        <w:t xml:space="preserve"> </w:t>
      </w:r>
      <w:r>
        <w:rPr>
          <w:rFonts w:ascii="Arial" w:hAnsi="Arial" w:eastAsia="Arial" w:cs="Arial"/>
          <w:spacing w:val="-6"/>
          <w:sz w:val="19"/>
          <w:szCs w:val="19"/>
        </w:rPr>
        <w:t>particular</w:t>
      </w:r>
      <w:r>
        <w:rPr>
          <w:rFonts w:ascii="Arial" w:hAnsi="Arial" w:eastAsia="Arial" w:cs="Arial"/>
          <w:spacing w:val="27"/>
          <w:w w:val="101"/>
          <w:sz w:val="19"/>
          <w:szCs w:val="19"/>
        </w:rPr>
        <w:t xml:space="preserve"> </w:t>
      </w:r>
      <w:r>
        <w:rPr>
          <w:rFonts w:ascii="Arial" w:hAnsi="Arial" w:eastAsia="Arial" w:cs="Arial"/>
          <w:spacing w:val="-6"/>
          <w:sz w:val="19"/>
          <w:szCs w:val="19"/>
        </w:rPr>
        <w:t>context.</w:t>
      </w:r>
      <w:r>
        <w:rPr>
          <w:rFonts w:ascii="Arial" w:hAnsi="Arial" w:eastAsia="Arial" w:cs="Arial"/>
          <w:spacing w:val="33"/>
          <w:w w:val="101"/>
          <w:sz w:val="19"/>
          <w:szCs w:val="19"/>
        </w:rPr>
        <w:t xml:space="preserve"> </w:t>
      </w:r>
      <w:r>
        <w:rPr>
          <w:rFonts w:ascii="Arial" w:hAnsi="Arial" w:eastAsia="Arial" w:cs="Arial"/>
          <w:spacing w:val="-6"/>
          <w:sz w:val="19"/>
          <w:szCs w:val="19"/>
        </w:rPr>
        <w:t>However,</w:t>
      </w:r>
      <w:r>
        <w:rPr>
          <w:rFonts w:ascii="Arial" w:hAnsi="Arial" w:eastAsia="Arial" w:cs="Arial"/>
          <w:spacing w:val="22"/>
          <w:sz w:val="19"/>
          <w:szCs w:val="19"/>
        </w:rPr>
        <w:t xml:space="preserve"> </w:t>
      </w:r>
      <w:r>
        <w:rPr>
          <w:rFonts w:ascii="Arial" w:hAnsi="Arial" w:eastAsia="Arial" w:cs="Arial"/>
          <w:spacing w:val="-6"/>
          <w:sz w:val="19"/>
          <w:szCs w:val="19"/>
        </w:rPr>
        <w:t>what</w:t>
      </w:r>
      <w:r>
        <w:rPr>
          <w:rFonts w:ascii="Arial" w:hAnsi="Arial" w:eastAsia="Arial" w:cs="Arial"/>
          <w:spacing w:val="25"/>
          <w:w w:val="101"/>
          <w:sz w:val="19"/>
          <w:szCs w:val="19"/>
        </w:rPr>
        <w:t xml:space="preserve"> </w:t>
      </w:r>
      <w:r>
        <w:rPr>
          <w:rFonts w:ascii="Arial" w:hAnsi="Arial" w:eastAsia="Arial" w:cs="Arial"/>
          <w:spacing w:val="-6"/>
          <w:sz w:val="19"/>
          <w:szCs w:val="19"/>
        </w:rPr>
        <w:t>all</w:t>
      </w:r>
      <w:r>
        <w:rPr>
          <w:rFonts w:ascii="Arial" w:hAnsi="Arial" w:eastAsia="Arial" w:cs="Arial"/>
          <w:spacing w:val="26"/>
          <w:sz w:val="19"/>
          <w:szCs w:val="19"/>
        </w:rPr>
        <w:t xml:space="preserve"> </w:t>
      </w:r>
      <w:r>
        <w:rPr>
          <w:rFonts w:ascii="Arial" w:hAnsi="Arial" w:eastAsia="Arial" w:cs="Arial"/>
          <w:spacing w:val="-6"/>
          <w:sz w:val="19"/>
          <w:szCs w:val="19"/>
        </w:rPr>
        <w:t>of</w:t>
      </w:r>
      <w:r>
        <w:rPr>
          <w:rFonts w:ascii="Arial" w:hAnsi="Arial" w:eastAsia="Arial" w:cs="Arial"/>
          <w:spacing w:val="14"/>
          <w:sz w:val="19"/>
          <w:szCs w:val="19"/>
        </w:rPr>
        <w:t xml:space="preserve"> </w:t>
      </w:r>
      <w:r>
        <w:rPr>
          <w:rFonts w:ascii="Arial" w:hAnsi="Arial" w:eastAsia="Arial" w:cs="Arial"/>
          <w:spacing w:val="-6"/>
          <w:sz w:val="19"/>
          <w:szCs w:val="19"/>
        </w:rPr>
        <w:t>these</w:t>
      </w:r>
      <w:r>
        <w:rPr>
          <w:rFonts w:ascii="Arial" w:hAnsi="Arial" w:eastAsia="Arial" w:cs="Arial"/>
          <w:spacing w:val="31"/>
          <w:w w:val="101"/>
          <w:sz w:val="19"/>
          <w:szCs w:val="19"/>
        </w:rPr>
        <w:t xml:space="preserve"> </w:t>
      </w:r>
      <w:r>
        <w:rPr>
          <w:rFonts w:ascii="Arial" w:hAnsi="Arial" w:eastAsia="Arial" w:cs="Arial"/>
          <w:spacing w:val="-6"/>
          <w:sz w:val="19"/>
          <w:szCs w:val="19"/>
        </w:rPr>
        <w:t>p</w:t>
      </w:r>
      <w:r>
        <w:rPr>
          <w:rFonts w:ascii="Arial" w:hAnsi="Arial" w:eastAsia="Arial" w:cs="Arial"/>
          <w:spacing w:val="-7"/>
          <w:sz w:val="19"/>
          <w:szCs w:val="19"/>
        </w:rPr>
        <w:t>erspectives</w:t>
      </w:r>
      <w:r>
        <w:rPr>
          <w:rFonts w:ascii="Arial" w:hAnsi="Arial" w:eastAsia="Arial" w:cs="Arial"/>
          <w:spacing w:val="31"/>
          <w:sz w:val="19"/>
          <w:szCs w:val="19"/>
        </w:rPr>
        <w:t xml:space="preserve"> </w:t>
      </w:r>
      <w:r>
        <w:rPr>
          <w:rFonts w:ascii="Arial" w:hAnsi="Arial" w:eastAsia="Arial" w:cs="Arial"/>
          <w:spacing w:val="-7"/>
          <w:sz w:val="19"/>
          <w:szCs w:val="19"/>
        </w:rPr>
        <w:t>imply,</w:t>
      </w:r>
      <w:r>
        <w:rPr>
          <w:rFonts w:ascii="Arial" w:hAnsi="Arial" w:eastAsia="Arial" w:cs="Arial"/>
          <w:spacing w:val="30"/>
          <w:w w:val="101"/>
          <w:sz w:val="19"/>
          <w:szCs w:val="19"/>
        </w:rPr>
        <w:t xml:space="preserve"> </w:t>
      </w:r>
      <w:r>
        <w:rPr>
          <w:rFonts w:ascii="Arial" w:hAnsi="Arial" w:eastAsia="Arial" w:cs="Arial"/>
          <w:spacing w:val="-7"/>
          <w:sz w:val="19"/>
          <w:szCs w:val="19"/>
        </w:rPr>
        <w:t>is</w:t>
      </w:r>
    </w:p>
    <w:p>
      <w:pPr>
        <w:spacing w:line="254" w:lineRule="auto"/>
        <w:rPr>
          <w:rFonts w:ascii="Arial" w:hAnsi="Arial" w:eastAsia="Arial" w:cs="Arial"/>
          <w:sz w:val="19"/>
          <w:szCs w:val="19"/>
        </w:rPr>
        <w:sectPr>
          <w:headerReference r:id="rId111" w:type="default"/>
          <w:pgSz w:w="9865" w:h="14060"/>
          <w:pgMar w:top="400" w:right="952" w:bottom="400" w:left="960" w:header="0" w:footer="0" w:gutter="0"/>
          <w:cols w:space="720" w:num="1"/>
        </w:sectPr>
      </w:pPr>
    </w:p>
    <w:p>
      <w:pPr>
        <w:spacing w:before="103"/>
        <w:jc w:val="right"/>
        <w:rPr>
          <w:rFonts w:ascii="Arial" w:hAnsi="Arial" w:eastAsia="Arial" w:cs="Arial"/>
          <w:sz w:val="14"/>
          <w:szCs w:val="14"/>
        </w:rPr>
      </w:pPr>
      <w:r>
        <w:rPr>
          <w:rFonts w:ascii="Arial" w:hAnsi="Arial" w:eastAsia="Arial" w:cs="Arial"/>
          <w:spacing w:val="-9"/>
          <w:sz w:val="14"/>
          <w:szCs w:val="14"/>
        </w:rPr>
        <w:t>S</w:t>
      </w:r>
      <w:r>
        <w:rPr>
          <w:rFonts w:ascii="Arial" w:hAnsi="Arial" w:eastAsia="Arial" w:cs="Arial"/>
          <w:spacing w:val="-8"/>
          <w:sz w:val="14"/>
          <w:szCs w:val="14"/>
        </w:rPr>
        <w:t>TUDIES</w:t>
      </w:r>
      <w:r>
        <w:rPr>
          <w:rFonts w:ascii="Arial" w:hAnsi="Arial" w:eastAsia="Arial" w:cs="Arial"/>
          <w:spacing w:val="20"/>
          <w:sz w:val="14"/>
          <w:szCs w:val="14"/>
        </w:rPr>
        <w:t xml:space="preserve"> </w:t>
      </w:r>
      <w:r>
        <w:rPr>
          <w:rFonts w:ascii="Arial" w:hAnsi="Arial" w:eastAsia="Arial" w:cs="Arial"/>
          <w:spacing w:val="-8"/>
          <w:sz w:val="14"/>
          <w:szCs w:val="14"/>
        </w:rPr>
        <w:t>IN</w:t>
      </w:r>
      <w:r>
        <w:rPr>
          <w:rFonts w:ascii="Arial" w:hAnsi="Arial" w:eastAsia="Arial" w:cs="Arial"/>
          <w:spacing w:val="11"/>
          <w:w w:val="101"/>
          <w:sz w:val="14"/>
          <w:szCs w:val="14"/>
        </w:rPr>
        <w:t xml:space="preserve"> </w:t>
      </w:r>
      <w:r>
        <w:rPr>
          <w:rFonts w:ascii="Arial" w:hAnsi="Arial" w:eastAsia="Arial" w:cs="Arial"/>
          <w:spacing w:val="-8"/>
          <w:sz w:val="14"/>
          <w:szCs w:val="14"/>
        </w:rPr>
        <w:t>HIGHER</w:t>
      </w:r>
      <w:r>
        <w:rPr>
          <w:rFonts w:ascii="Arial" w:hAnsi="Arial" w:eastAsia="Arial" w:cs="Arial"/>
          <w:spacing w:val="10"/>
          <w:w w:val="102"/>
          <w:sz w:val="14"/>
          <w:szCs w:val="14"/>
        </w:rPr>
        <w:t xml:space="preserve"> </w:t>
      </w:r>
      <w:r>
        <w:rPr>
          <w:rFonts w:ascii="Arial" w:hAnsi="Arial" w:eastAsia="Arial" w:cs="Arial"/>
          <w:spacing w:val="-8"/>
          <w:sz w:val="14"/>
          <w:szCs w:val="14"/>
        </w:rPr>
        <w:t xml:space="preserve">EDUCATION    </w:t>
      </w:r>
      <w:r>
        <w:rPr>
          <w:position w:val="-6"/>
          <w:sz w:val="14"/>
          <w:szCs w:val="14"/>
        </w:rPr>
        <w:drawing>
          <wp:inline distT="0" distB="0" distL="0" distR="0">
            <wp:extent cx="139700" cy="13970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39"/>
                    <a:stretch>
                      <a:fillRect/>
                    </a:stretch>
                  </pic:blipFill>
                  <pic:spPr>
                    <a:xfrm>
                      <a:off x="0" y="0"/>
                      <a:ext cx="139700" cy="139700"/>
                    </a:xfrm>
                    <a:prstGeom prst="rect">
                      <a:avLst/>
                    </a:prstGeom>
                  </pic:spPr>
                </pic:pic>
              </a:graphicData>
            </a:graphic>
          </wp:inline>
        </w:drawing>
      </w:r>
      <w:r>
        <w:rPr>
          <w:rFonts w:ascii="Arial" w:hAnsi="Arial" w:eastAsia="Arial" w:cs="Arial"/>
          <w:sz w:val="14"/>
          <w:szCs w:val="14"/>
        </w:rPr>
        <w:t xml:space="preserve">    </w:t>
      </w:r>
      <w:r>
        <w:rPr>
          <w:rFonts w:ascii="Arial" w:hAnsi="Arial" w:eastAsia="Arial" w:cs="Arial"/>
          <w:spacing w:val="-7"/>
          <w:sz w:val="14"/>
          <w:szCs w:val="14"/>
        </w:rPr>
        <w:t>3</w:t>
      </w:r>
    </w:p>
    <w:p>
      <w:pPr>
        <w:spacing w:line="246" w:lineRule="auto"/>
        <w:rPr>
          <w:rFonts w:ascii="Arial"/>
          <w:sz w:val="21"/>
        </w:rPr>
      </w:pPr>
    </w:p>
    <w:p>
      <w:pPr>
        <w:spacing w:before="54" w:line="250" w:lineRule="auto"/>
        <w:ind w:left="6" w:right="2" w:hanging="3"/>
        <w:rPr>
          <w:rFonts w:ascii="Arial" w:hAnsi="Arial" w:eastAsia="Arial" w:cs="Arial"/>
          <w:sz w:val="19"/>
          <w:szCs w:val="19"/>
        </w:rPr>
      </w:pPr>
      <w:r>
        <w:rPr>
          <w:rFonts w:ascii="Arial" w:hAnsi="Arial" w:eastAsia="Arial" w:cs="Arial"/>
          <w:spacing w:val="-6"/>
          <w:sz w:val="19"/>
          <w:szCs w:val="19"/>
        </w:rPr>
        <w:t>that</w:t>
      </w:r>
      <w:r>
        <w:rPr>
          <w:rFonts w:ascii="Arial" w:hAnsi="Arial" w:eastAsia="Arial" w:cs="Arial"/>
          <w:spacing w:val="17"/>
          <w:w w:val="101"/>
          <w:sz w:val="19"/>
          <w:szCs w:val="19"/>
        </w:rPr>
        <w:t xml:space="preserve"> </w:t>
      </w:r>
      <w:r>
        <w:rPr>
          <w:rFonts w:ascii="Arial" w:hAnsi="Arial" w:eastAsia="Arial" w:cs="Arial"/>
          <w:spacing w:val="-6"/>
          <w:sz w:val="19"/>
          <w:szCs w:val="19"/>
        </w:rPr>
        <w:t>quality</w:t>
      </w:r>
      <w:r>
        <w:rPr>
          <w:rFonts w:ascii="Arial" w:hAnsi="Arial" w:eastAsia="Arial" w:cs="Arial"/>
          <w:spacing w:val="23"/>
          <w:sz w:val="19"/>
          <w:szCs w:val="19"/>
        </w:rPr>
        <w:t xml:space="preserve"> </w:t>
      </w:r>
      <w:r>
        <w:rPr>
          <w:rFonts w:ascii="Arial" w:hAnsi="Arial" w:eastAsia="Arial" w:cs="Arial"/>
          <w:spacing w:val="-6"/>
          <w:sz w:val="19"/>
          <w:szCs w:val="19"/>
        </w:rPr>
        <w:t>needs</w:t>
      </w:r>
      <w:r>
        <w:rPr>
          <w:rFonts w:ascii="Arial" w:hAnsi="Arial" w:eastAsia="Arial" w:cs="Arial"/>
          <w:spacing w:val="15"/>
          <w:sz w:val="19"/>
          <w:szCs w:val="19"/>
        </w:rPr>
        <w:t xml:space="preserve"> </w:t>
      </w:r>
      <w:r>
        <w:rPr>
          <w:rFonts w:ascii="Arial" w:hAnsi="Arial" w:eastAsia="Arial" w:cs="Arial"/>
          <w:spacing w:val="-6"/>
          <w:sz w:val="19"/>
          <w:szCs w:val="19"/>
        </w:rPr>
        <w:t>to</w:t>
      </w:r>
      <w:r>
        <w:rPr>
          <w:rFonts w:ascii="Arial" w:hAnsi="Arial" w:eastAsia="Arial" w:cs="Arial"/>
          <w:spacing w:val="24"/>
          <w:sz w:val="19"/>
          <w:szCs w:val="19"/>
        </w:rPr>
        <w:t xml:space="preserve"> </w:t>
      </w:r>
      <w:r>
        <w:rPr>
          <w:rFonts w:ascii="Arial" w:hAnsi="Arial" w:eastAsia="Arial" w:cs="Arial"/>
          <w:spacing w:val="-6"/>
          <w:sz w:val="19"/>
          <w:szCs w:val="19"/>
        </w:rPr>
        <w:t>be</w:t>
      </w:r>
      <w:r>
        <w:rPr>
          <w:rFonts w:ascii="Arial" w:hAnsi="Arial" w:eastAsia="Arial" w:cs="Arial"/>
          <w:spacing w:val="23"/>
          <w:sz w:val="19"/>
          <w:szCs w:val="19"/>
        </w:rPr>
        <w:t xml:space="preserve"> </w:t>
      </w:r>
      <w:r>
        <w:rPr>
          <w:rFonts w:ascii="Arial" w:hAnsi="Arial" w:eastAsia="Arial" w:cs="Arial"/>
          <w:spacing w:val="-6"/>
          <w:sz w:val="19"/>
          <w:szCs w:val="19"/>
        </w:rPr>
        <w:t>measured</w:t>
      </w:r>
      <w:r>
        <w:rPr>
          <w:rFonts w:ascii="Arial" w:hAnsi="Arial" w:eastAsia="Arial" w:cs="Arial"/>
          <w:spacing w:val="14"/>
          <w:sz w:val="19"/>
          <w:szCs w:val="19"/>
        </w:rPr>
        <w:t xml:space="preserve"> </w:t>
      </w:r>
      <w:r>
        <w:rPr>
          <w:rFonts w:ascii="Arial" w:hAnsi="Arial" w:eastAsia="Arial" w:cs="Arial"/>
          <w:spacing w:val="-6"/>
          <w:sz w:val="19"/>
          <w:szCs w:val="19"/>
        </w:rPr>
        <w:t>to</w:t>
      </w:r>
      <w:r>
        <w:rPr>
          <w:rFonts w:ascii="Arial" w:hAnsi="Arial" w:eastAsia="Arial" w:cs="Arial"/>
          <w:spacing w:val="23"/>
          <w:sz w:val="19"/>
          <w:szCs w:val="19"/>
        </w:rPr>
        <w:t xml:space="preserve"> </w:t>
      </w:r>
      <w:r>
        <w:rPr>
          <w:rFonts w:ascii="Arial" w:hAnsi="Arial" w:eastAsia="Arial" w:cs="Arial"/>
          <w:spacing w:val="-6"/>
          <w:sz w:val="19"/>
          <w:szCs w:val="19"/>
        </w:rPr>
        <w:t>be</w:t>
      </w:r>
      <w:r>
        <w:rPr>
          <w:rFonts w:ascii="Arial" w:hAnsi="Arial" w:eastAsia="Arial" w:cs="Arial"/>
          <w:spacing w:val="18"/>
          <w:sz w:val="19"/>
          <w:szCs w:val="19"/>
        </w:rPr>
        <w:t xml:space="preserve"> </w:t>
      </w:r>
      <w:r>
        <w:rPr>
          <w:rFonts w:ascii="Arial" w:hAnsi="Arial" w:eastAsia="Arial" w:cs="Arial"/>
          <w:spacing w:val="-6"/>
          <w:sz w:val="19"/>
          <w:szCs w:val="19"/>
        </w:rPr>
        <w:t>evaluable:</w:t>
      </w:r>
      <w:r>
        <w:rPr>
          <w:rFonts w:ascii="Arial" w:hAnsi="Arial" w:eastAsia="Arial" w:cs="Arial"/>
          <w:spacing w:val="15"/>
          <w:w w:val="101"/>
          <w:sz w:val="19"/>
          <w:szCs w:val="19"/>
        </w:rPr>
        <w:t xml:space="preserve"> </w:t>
      </w:r>
      <w:r>
        <w:rPr>
          <w:rFonts w:ascii="Arial" w:hAnsi="Arial" w:eastAsia="Arial" w:cs="Arial"/>
          <w:spacing w:val="-6"/>
          <w:sz w:val="19"/>
          <w:szCs w:val="19"/>
        </w:rPr>
        <w:t>this</w:t>
      </w:r>
      <w:r>
        <w:rPr>
          <w:rFonts w:ascii="Arial" w:hAnsi="Arial" w:eastAsia="Arial" w:cs="Arial"/>
          <w:spacing w:val="22"/>
          <w:w w:val="101"/>
          <w:sz w:val="19"/>
          <w:szCs w:val="19"/>
        </w:rPr>
        <w:t xml:space="preserve"> </w:t>
      </w:r>
      <w:r>
        <w:rPr>
          <w:rFonts w:ascii="Arial" w:hAnsi="Arial" w:eastAsia="Arial" w:cs="Arial"/>
          <w:spacing w:val="-6"/>
          <w:sz w:val="19"/>
          <w:szCs w:val="19"/>
        </w:rPr>
        <w:t>is</w:t>
      </w:r>
      <w:r>
        <w:rPr>
          <w:rFonts w:ascii="Arial" w:hAnsi="Arial" w:eastAsia="Arial" w:cs="Arial"/>
          <w:spacing w:val="13"/>
          <w:w w:val="101"/>
          <w:sz w:val="19"/>
          <w:szCs w:val="19"/>
        </w:rPr>
        <w:t xml:space="preserve"> </w:t>
      </w:r>
      <w:r>
        <w:rPr>
          <w:rFonts w:ascii="Arial" w:hAnsi="Arial" w:eastAsia="Arial" w:cs="Arial"/>
          <w:spacing w:val="-6"/>
          <w:sz w:val="19"/>
          <w:szCs w:val="19"/>
        </w:rPr>
        <w:t>where</w:t>
      </w:r>
      <w:r>
        <w:rPr>
          <w:rFonts w:ascii="Arial" w:hAnsi="Arial" w:eastAsia="Arial" w:cs="Arial"/>
          <w:spacing w:val="14"/>
          <w:sz w:val="19"/>
          <w:szCs w:val="19"/>
        </w:rPr>
        <w:t xml:space="preserve"> </w:t>
      </w:r>
      <w:r>
        <w:rPr>
          <w:rFonts w:ascii="Arial" w:hAnsi="Arial" w:eastAsia="Arial" w:cs="Arial"/>
          <w:spacing w:val="-6"/>
          <w:sz w:val="19"/>
          <w:szCs w:val="19"/>
        </w:rPr>
        <w:t>the</w:t>
      </w:r>
      <w:r>
        <w:rPr>
          <w:rFonts w:ascii="Arial" w:hAnsi="Arial" w:eastAsia="Arial" w:cs="Arial"/>
          <w:spacing w:val="18"/>
          <w:w w:val="101"/>
          <w:sz w:val="19"/>
          <w:szCs w:val="19"/>
        </w:rPr>
        <w:t xml:space="preserve"> </w:t>
      </w:r>
      <w:r>
        <w:rPr>
          <w:rFonts w:ascii="Arial" w:hAnsi="Arial" w:eastAsia="Arial" w:cs="Arial"/>
          <w:spacing w:val="-6"/>
          <w:sz w:val="19"/>
          <w:szCs w:val="19"/>
        </w:rPr>
        <w:t>concept</w:t>
      </w:r>
      <w:r>
        <w:rPr>
          <w:rFonts w:ascii="Arial" w:hAnsi="Arial" w:eastAsia="Arial" w:cs="Arial"/>
          <w:spacing w:val="18"/>
          <w:sz w:val="19"/>
          <w:szCs w:val="19"/>
        </w:rPr>
        <w:t xml:space="preserve"> </w:t>
      </w:r>
      <w:r>
        <w:rPr>
          <w:rFonts w:ascii="Arial" w:hAnsi="Arial" w:eastAsia="Arial" w:cs="Arial"/>
          <w:spacing w:val="-6"/>
          <w:sz w:val="19"/>
          <w:szCs w:val="19"/>
        </w:rPr>
        <w:t>of</w:t>
      </w:r>
      <w:r>
        <w:rPr>
          <w:rFonts w:ascii="Arial" w:hAnsi="Arial" w:eastAsia="Arial" w:cs="Arial"/>
          <w:spacing w:val="11"/>
          <w:sz w:val="19"/>
          <w:szCs w:val="19"/>
        </w:rPr>
        <w:t xml:space="preserve"> </w:t>
      </w:r>
      <w:r>
        <w:rPr>
          <w:rFonts w:ascii="Arial" w:hAnsi="Arial" w:eastAsia="Arial" w:cs="Arial"/>
          <w:spacing w:val="-6"/>
          <w:sz w:val="19"/>
          <w:szCs w:val="19"/>
        </w:rPr>
        <w:t>quality</w:t>
      </w:r>
      <w:r>
        <w:rPr>
          <w:rFonts w:ascii="Arial" w:hAnsi="Arial" w:eastAsia="Arial" w:cs="Arial"/>
          <w:spacing w:val="17"/>
          <w:w w:val="101"/>
          <w:sz w:val="19"/>
          <w:szCs w:val="19"/>
        </w:rPr>
        <w:t xml:space="preserve"> </w:t>
      </w:r>
      <w:r>
        <w:rPr>
          <w:rFonts w:ascii="Arial" w:hAnsi="Arial" w:eastAsia="Arial" w:cs="Arial"/>
          <w:spacing w:val="-6"/>
          <w:sz w:val="19"/>
          <w:szCs w:val="19"/>
        </w:rPr>
        <w:t>as</w:t>
      </w:r>
      <w:r>
        <w:rPr>
          <w:rFonts w:ascii="Arial" w:hAnsi="Arial" w:eastAsia="Arial" w:cs="Arial"/>
          <w:spacing w:val="-7"/>
          <w:sz w:val="19"/>
          <w:szCs w:val="19"/>
        </w:rPr>
        <w:t>surance</w:t>
      </w:r>
      <w:r>
        <w:rPr>
          <w:rFonts w:ascii="Arial" w:hAnsi="Arial" w:eastAsia="Arial" w:cs="Arial"/>
          <w:sz w:val="19"/>
          <w:szCs w:val="19"/>
        </w:rPr>
        <w:t xml:space="preserve"> </w:t>
      </w:r>
      <w:bookmarkStart w:id="3" w:name="bookmark23"/>
      <w:bookmarkEnd w:id="3"/>
      <w:r>
        <w:rPr>
          <w:rFonts w:ascii="Arial" w:hAnsi="Arial" w:eastAsia="Arial" w:cs="Arial"/>
          <w:spacing w:val="-7"/>
          <w:sz w:val="19"/>
          <w:szCs w:val="19"/>
        </w:rPr>
        <w:t>comes</w:t>
      </w:r>
      <w:r>
        <w:rPr>
          <w:rFonts w:ascii="Arial" w:hAnsi="Arial" w:eastAsia="Arial" w:cs="Arial"/>
          <w:spacing w:val="25"/>
          <w:w w:val="101"/>
          <w:sz w:val="19"/>
          <w:szCs w:val="19"/>
        </w:rPr>
        <w:t xml:space="preserve"> </w:t>
      </w:r>
      <w:r>
        <w:rPr>
          <w:rFonts w:ascii="Arial" w:hAnsi="Arial" w:eastAsia="Arial" w:cs="Arial"/>
          <w:spacing w:val="-7"/>
          <w:sz w:val="19"/>
          <w:szCs w:val="19"/>
        </w:rPr>
        <w:t>into</w:t>
      </w:r>
      <w:r>
        <w:rPr>
          <w:rFonts w:ascii="Arial" w:hAnsi="Arial" w:eastAsia="Arial" w:cs="Arial"/>
          <w:spacing w:val="18"/>
          <w:w w:val="101"/>
          <w:sz w:val="19"/>
          <w:szCs w:val="19"/>
        </w:rPr>
        <w:t xml:space="preserve"> </w:t>
      </w:r>
      <w:r>
        <w:rPr>
          <w:rFonts w:ascii="Arial" w:hAnsi="Arial" w:eastAsia="Arial" w:cs="Arial"/>
          <w:spacing w:val="-7"/>
          <w:sz w:val="19"/>
          <w:szCs w:val="19"/>
        </w:rPr>
        <w:t>play.</w:t>
      </w:r>
    </w:p>
    <w:p>
      <w:pPr>
        <w:spacing w:line="290" w:lineRule="auto"/>
        <w:rPr>
          <w:rFonts w:ascii="Arial"/>
          <w:sz w:val="21"/>
        </w:rPr>
      </w:pPr>
    </w:p>
    <w:p>
      <w:pPr>
        <w:spacing w:before="58" w:line="195" w:lineRule="auto"/>
        <w:ind w:left="9"/>
        <w:outlineLvl w:val="3"/>
        <w:rPr>
          <w:rFonts w:ascii="Arial" w:hAnsi="Arial" w:eastAsia="Arial" w:cs="Arial"/>
          <w:sz w:val="20"/>
          <w:szCs w:val="20"/>
        </w:rPr>
      </w:pPr>
      <w:r>
        <w:rPr>
          <w:rFonts w:ascii="Arial" w:hAnsi="Arial" w:eastAsia="Arial" w:cs="Arial"/>
          <w:color w:val="282781"/>
          <w:spacing w:val="-3"/>
          <w:sz w:val="20"/>
          <w:szCs w:val="20"/>
        </w:rPr>
        <w:t>Quality assurance</w:t>
      </w:r>
    </w:p>
    <w:p>
      <w:pPr>
        <w:spacing w:before="148" w:line="259" w:lineRule="auto"/>
        <w:ind w:left="3" w:right="1" w:firstLine="3"/>
        <w:jc w:val="both"/>
        <w:rPr>
          <w:rFonts w:ascii="Arial" w:hAnsi="Arial" w:eastAsia="Arial" w:cs="Arial"/>
          <w:sz w:val="19"/>
          <w:szCs w:val="19"/>
        </w:rPr>
      </w:pPr>
      <w:r>
        <w:rPr>
          <w:rFonts w:ascii="Arial" w:hAnsi="Arial" w:eastAsia="Arial" w:cs="Arial"/>
          <w:spacing w:val="-2"/>
          <w:sz w:val="19"/>
          <w:szCs w:val="19"/>
        </w:rPr>
        <w:t>Quality</w:t>
      </w:r>
      <w:r>
        <w:rPr>
          <w:rFonts w:ascii="Arial" w:hAnsi="Arial" w:eastAsia="Arial" w:cs="Arial"/>
          <w:spacing w:val="17"/>
          <w:sz w:val="19"/>
          <w:szCs w:val="19"/>
        </w:rPr>
        <w:t xml:space="preserve"> </w:t>
      </w:r>
      <w:r>
        <w:rPr>
          <w:rFonts w:ascii="Arial" w:hAnsi="Arial" w:eastAsia="Arial" w:cs="Arial"/>
          <w:spacing w:val="-2"/>
          <w:sz w:val="19"/>
          <w:szCs w:val="19"/>
        </w:rPr>
        <w:t>ranks among the</w:t>
      </w:r>
      <w:r>
        <w:rPr>
          <w:rFonts w:ascii="Arial" w:hAnsi="Arial" w:eastAsia="Arial" w:cs="Arial"/>
          <w:spacing w:val="16"/>
          <w:sz w:val="19"/>
          <w:szCs w:val="19"/>
        </w:rPr>
        <w:t xml:space="preserve"> </w:t>
      </w:r>
      <w:r>
        <w:rPr>
          <w:rFonts w:ascii="Arial" w:hAnsi="Arial" w:eastAsia="Arial" w:cs="Arial"/>
          <w:spacing w:val="-2"/>
          <w:sz w:val="19"/>
          <w:szCs w:val="19"/>
        </w:rPr>
        <w:t>most</w:t>
      </w:r>
      <w:r>
        <w:rPr>
          <w:rFonts w:ascii="Arial" w:hAnsi="Arial" w:eastAsia="Arial" w:cs="Arial"/>
          <w:spacing w:val="15"/>
          <w:sz w:val="19"/>
          <w:szCs w:val="19"/>
        </w:rPr>
        <w:t xml:space="preserve"> </w:t>
      </w:r>
      <w:r>
        <w:rPr>
          <w:rFonts w:ascii="Arial" w:hAnsi="Arial" w:eastAsia="Arial" w:cs="Arial"/>
          <w:spacing w:val="-2"/>
          <w:sz w:val="19"/>
          <w:szCs w:val="19"/>
        </w:rPr>
        <w:t>important competitive factors</w:t>
      </w:r>
      <w:r>
        <w:rPr>
          <w:rFonts w:ascii="Arial" w:hAnsi="Arial" w:eastAsia="Arial" w:cs="Arial"/>
          <w:spacing w:val="11"/>
          <w:sz w:val="19"/>
          <w:szCs w:val="19"/>
        </w:rPr>
        <w:t xml:space="preserve"> </w:t>
      </w:r>
      <w:r>
        <w:rPr>
          <w:rFonts w:ascii="Arial" w:hAnsi="Arial" w:eastAsia="Arial" w:cs="Arial"/>
          <w:spacing w:val="-2"/>
          <w:sz w:val="19"/>
          <w:szCs w:val="19"/>
        </w:rPr>
        <w:t>of pr</w:t>
      </w:r>
      <w:r>
        <w:rPr>
          <w:rFonts w:ascii="Arial" w:hAnsi="Arial" w:eastAsia="Arial" w:cs="Arial"/>
          <w:spacing w:val="-3"/>
          <w:sz w:val="19"/>
          <w:szCs w:val="19"/>
        </w:rPr>
        <w:t>oit</w:t>
      </w:r>
      <w:r>
        <w:rPr>
          <w:rFonts w:ascii="Arial" w:hAnsi="Arial" w:eastAsia="Arial" w:cs="Arial"/>
          <w:spacing w:val="10"/>
          <w:sz w:val="19"/>
          <w:szCs w:val="19"/>
        </w:rPr>
        <w:t xml:space="preserve"> </w:t>
      </w:r>
      <w:r>
        <w:rPr>
          <w:rFonts w:ascii="Arial" w:hAnsi="Arial" w:eastAsia="Arial" w:cs="Arial"/>
          <w:spacing w:val="-3"/>
          <w:sz w:val="19"/>
          <w:szCs w:val="19"/>
        </w:rPr>
        <w:t>and</w:t>
      </w:r>
      <w:r>
        <w:rPr>
          <w:rFonts w:ascii="Arial" w:hAnsi="Arial" w:eastAsia="Arial" w:cs="Arial"/>
          <w:spacing w:val="16"/>
          <w:sz w:val="19"/>
          <w:szCs w:val="19"/>
        </w:rPr>
        <w:t xml:space="preserve"> </w:t>
      </w:r>
      <w:r>
        <w:rPr>
          <w:rFonts w:ascii="Arial" w:hAnsi="Arial" w:eastAsia="Arial" w:cs="Arial"/>
          <w:spacing w:val="-3"/>
          <w:sz w:val="19"/>
          <w:szCs w:val="19"/>
        </w:rPr>
        <w:t>non-proit</w:t>
      </w:r>
      <w:r>
        <w:rPr>
          <w:rFonts w:ascii="Arial" w:hAnsi="Arial" w:eastAsia="Arial" w:cs="Arial"/>
          <w:spacing w:val="10"/>
          <w:sz w:val="19"/>
          <w:szCs w:val="19"/>
        </w:rPr>
        <w:t xml:space="preserve"> </w:t>
      </w:r>
      <w:r>
        <w:rPr>
          <w:rFonts w:ascii="Arial" w:hAnsi="Arial" w:eastAsia="Arial" w:cs="Arial"/>
          <w:spacing w:val="-3"/>
          <w:sz w:val="19"/>
          <w:szCs w:val="19"/>
        </w:rPr>
        <w:t>organizations.</w:t>
      </w:r>
      <w:r>
        <w:rPr>
          <w:rFonts w:ascii="Arial" w:hAnsi="Arial" w:eastAsia="Arial" w:cs="Arial"/>
          <w:sz w:val="19"/>
          <w:szCs w:val="19"/>
        </w:rPr>
        <w:t xml:space="preserve"> </w:t>
      </w:r>
      <w:r>
        <w:rPr>
          <w:rFonts w:ascii="Arial" w:hAnsi="Arial" w:eastAsia="Arial" w:cs="Arial"/>
          <w:spacing w:val="-5"/>
          <w:sz w:val="19"/>
          <w:szCs w:val="19"/>
        </w:rPr>
        <w:t>Accordingly, quality assurance and quality</w:t>
      </w:r>
      <w:r>
        <w:rPr>
          <w:rFonts w:ascii="Arial" w:hAnsi="Arial" w:eastAsia="Arial" w:cs="Arial"/>
          <w:spacing w:val="21"/>
          <w:sz w:val="19"/>
          <w:szCs w:val="19"/>
        </w:rPr>
        <w:t xml:space="preserve"> </w:t>
      </w:r>
      <w:r>
        <w:rPr>
          <w:rFonts w:ascii="Arial" w:hAnsi="Arial" w:eastAsia="Arial" w:cs="Arial"/>
          <w:spacing w:val="-5"/>
          <w:sz w:val="19"/>
          <w:szCs w:val="19"/>
        </w:rPr>
        <w:t>management</w:t>
      </w:r>
      <w:r>
        <w:rPr>
          <w:rFonts w:ascii="Arial" w:hAnsi="Arial" w:eastAsia="Arial" w:cs="Arial"/>
          <w:spacing w:val="15"/>
          <w:sz w:val="19"/>
          <w:szCs w:val="19"/>
        </w:rPr>
        <w:t xml:space="preserve"> </w:t>
      </w:r>
      <w:r>
        <w:rPr>
          <w:rFonts w:ascii="Arial" w:hAnsi="Arial" w:eastAsia="Arial" w:cs="Arial"/>
          <w:spacing w:val="-5"/>
          <w:sz w:val="19"/>
          <w:szCs w:val="19"/>
        </w:rPr>
        <w:t>procedures</w:t>
      </w:r>
      <w:r>
        <w:rPr>
          <w:rFonts w:ascii="Arial" w:hAnsi="Arial" w:eastAsia="Arial" w:cs="Arial"/>
          <w:spacing w:val="7"/>
          <w:sz w:val="19"/>
          <w:szCs w:val="19"/>
        </w:rPr>
        <w:t xml:space="preserve"> </w:t>
      </w:r>
      <w:r>
        <w:rPr>
          <w:rFonts w:ascii="Arial" w:hAnsi="Arial" w:eastAsia="Arial" w:cs="Arial"/>
          <w:spacing w:val="-5"/>
          <w:sz w:val="19"/>
          <w:szCs w:val="19"/>
        </w:rPr>
        <w:t>constitute</w:t>
      </w:r>
      <w:r>
        <w:rPr>
          <w:rFonts w:ascii="Arial" w:hAnsi="Arial" w:eastAsia="Arial" w:cs="Arial"/>
          <w:spacing w:val="9"/>
          <w:sz w:val="19"/>
          <w:szCs w:val="19"/>
        </w:rPr>
        <w:t xml:space="preserve"> </w:t>
      </w:r>
      <w:r>
        <w:rPr>
          <w:rFonts w:ascii="Arial" w:hAnsi="Arial" w:eastAsia="Arial" w:cs="Arial"/>
          <w:spacing w:val="-5"/>
          <w:sz w:val="19"/>
          <w:szCs w:val="19"/>
        </w:rPr>
        <w:t>central</w:t>
      </w:r>
      <w:r>
        <w:rPr>
          <w:rFonts w:ascii="Arial" w:hAnsi="Arial" w:eastAsia="Arial" w:cs="Arial"/>
          <w:spacing w:val="14"/>
          <w:sz w:val="19"/>
          <w:szCs w:val="19"/>
        </w:rPr>
        <w:t xml:space="preserve"> </w:t>
      </w:r>
      <w:r>
        <w:rPr>
          <w:rFonts w:ascii="Arial" w:hAnsi="Arial" w:eastAsia="Arial" w:cs="Arial"/>
          <w:spacing w:val="-5"/>
          <w:sz w:val="19"/>
          <w:szCs w:val="19"/>
        </w:rPr>
        <w:t>issues</w:t>
      </w:r>
      <w:r>
        <w:rPr>
          <w:rFonts w:ascii="Arial" w:hAnsi="Arial" w:eastAsia="Arial" w:cs="Arial"/>
          <w:spacing w:val="6"/>
          <w:sz w:val="19"/>
          <w:szCs w:val="19"/>
        </w:rPr>
        <w:t xml:space="preserve"> </w:t>
      </w:r>
      <w:r>
        <w:rPr>
          <w:rFonts w:ascii="Arial" w:hAnsi="Arial" w:eastAsia="Arial" w:cs="Arial"/>
          <w:spacing w:val="-5"/>
          <w:sz w:val="19"/>
          <w:szCs w:val="19"/>
        </w:rPr>
        <w:t>within</w:t>
      </w:r>
      <w:r>
        <w:rPr>
          <w:rFonts w:ascii="Arial" w:hAnsi="Arial" w:eastAsia="Arial" w:cs="Arial"/>
          <w:sz w:val="19"/>
          <w:szCs w:val="19"/>
        </w:rPr>
        <w:t xml:space="preserve"> </w:t>
      </w:r>
      <w:r>
        <w:rPr>
          <w:rFonts w:ascii="Arial" w:hAnsi="Arial" w:eastAsia="Arial" w:cs="Arial"/>
          <w:spacing w:val="-6"/>
          <w:sz w:val="19"/>
          <w:szCs w:val="19"/>
        </w:rPr>
        <w:t>the</w:t>
      </w:r>
      <w:r>
        <w:rPr>
          <w:rFonts w:ascii="Arial" w:hAnsi="Arial" w:eastAsia="Arial" w:cs="Arial"/>
          <w:spacing w:val="14"/>
          <w:w w:val="101"/>
          <w:sz w:val="19"/>
          <w:szCs w:val="19"/>
        </w:rPr>
        <w:t xml:space="preserve"> </w:t>
      </w:r>
      <w:r>
        <w:rPr>
          <w:rFonts w:ascii="Arial" w:hAnsi="Arial" w:eastAsia="Arial" w:cs="Arial"/>
          <w:spacing w:val="-6"/>
          <w:sz w:val="19"/>
          <w:szCs w:val="19"/>
        </w:rPr>
        <w:t>management</w:t>
      </w:r>
      <w:r>
        <w:rPr>
          <w:rFonts w:ascii="Arial" w:hAnsi="Arial" w:eastAsia="Arial" w:cs="Arial"/>
          <w:spacing w:val="9"/>
          <w:sz w:val="19"/>
          <w:szCs w:val="19"/>
        </w:rPr>
        <w:t xml:space="preserve"> </w:t>
      </w:r>
      <w:r>
        <w:rPr>
          <w:rFonts w:ascii="Arial" w:hAnsi="Arial" w:eastAsia="Arial" w:cs="Arial"/>
          <w:spacing w:val="-6"/>
          <w:sz w:val="19"/>
          <w:szCs w:val="19"/>
        </w:rPr>
        <w:t>strategy</w:t>
      </w:r>
      <w:r>
        <w:rPr>
          <w:rFonts w:ascii="Arial" w:hAnsi="Arial" w:eastAsia="Arial" w:cs="Arial"/>
          <w:spacing w:val="9"/>
          <w:sz w:val="19"/>
          <w:szCs w:val="19"/>
        </w:rPr>
        <w:t xml:space="preserve"> </w:t>
      </w:r>
      <w:r>
        <w:rPr>
          <w:rFonts w:ascii="Arial" w:hAnsi="Arial" w:eastAsia="Arial" w:cs="Arial"/>
          <w:spacing w:val="-6"/>
          <w:sz w:val="19"/>
          <w:szCs w:val="19"/>
        </w:rPr>
        <w:t xml:space="preserve">of </w:t>
      </w:r>
      <w:r>
        <w:rPr>
          <w:rFonts w:ascii="Arial" w:hAnsi="Arial" w:eastAsia="Arial" w:cs="Arial"/>
          <w:spacing w:val="-7"/>
          <w:sz w:val="19"/>
          <w:szCs w:val="19"/>
        </w:rPr>
        <w:t>numerous</w:t>
      </w:r>
      <w:r>
        <w:rPr>
          <w:rFonts w:ascii="Arial" w:hAnsi="Arial" w:eastAsia="Arial" w:cs="Arial"/>
          <w:spacing w:val="11"/>
          <w:sz w:val="19"/>
          <w:szCs w:val="19"/>
        </w:rPr>
        <w:t xml:space="preserve"> </w:t>
      </w:r>
      <w:r>
        <w:rPr>
          <w:rFonts w:ascii="Arial" w:hAnsi="Arial" w:eastAsia="Arial" w:cs="Arial"/>
          <w:spacing w:val="-7"/>
          <w:sz w:val="19"/>
          <w:szCs w:val="19"/>
        </w:rPr>
        <w:t>organizations.</w:t>
      </w:r>
      <w:r>
        <w:rPr>
          <w:rFonts w:ascii="Arial" w:hAnsi="Arial" w:eastAsia="Arial" w:cs="Arial"/>
          <w:spacing w:val="16"/>
          <w:sz w:val="19"/>
          <w:szCs w:val="19"/>
        </w:rPr>
        <w:t xml:space="preserve"> </w:t>
      </w:r>
      <w:r>
        <w:rPr>
          <w:rFonts w:ascii="Arial" w:hAnsi="Arial" w:eastAsia="Arial" w:cs="Arial"/>
          <w:spacing w:val="-7"/>
          <w:sz w:val="19"/>
          <w:szCs w:val="19"/>
        </w:rPr>
        <w:t>Intensive</w:t>
      </w:r>
      <w:r>
        <w:rPr>
          <w:rFonts w:ascii="Arial" w:hAnsi="Arial" w:eastAsia="Arial" w:cs="Arial"/>
          <w:spacing w:val="15"/>
          <w:sz w:val="19"/>
          <w:szCs w:val="19"/>
        </w:rPr>
        <w:t xml:space="preserve"> </w:t>
      </w:r>
      <w:r>
        <w:rPr>
          <w:rFonts w:ascii="Arial" w:hAnsi="Arial" w:eastAsia="Arial" w:cs="Arial"/>
          <w:spacing w:val="-7"/>
          <w:sz w:val="19"/>
          <w:szCs w:val="19"/>
        </w:rPr>
        <w:t>research</w:t>
      </w:r>
      <w:r>
        <w:rPr>
          <w:rFonts w:ascii="Arial" w:hAnsi="Arial" w:eastAsia="Arial" w:cs="Arial"/>
          <w:spacing w:val="10"/>
          <w:sz w:val="19"/>
          <w:szCs w:val="19"/>
        </w:rPr>
        <w:t xml:space="preserve"> </w:t>
      </w:r>
      <w:r>
        <w:rPr>
          <w:rFonts w:ascii="Arial" w:hAnsi="Arial" w:eastAsia="Arial" w:cs="Arial"/>
          <w:spacing w:val="-7"/>
          <w:sz w:val="19"/>
          <w:szCs w:val="19"/>
        </w:rPr>
        <w:t>over the</w:t>
      </w:r>
      <w:r>
        <w:rPr>
          <w:rFonts w:ascii="Arial" w:hAnsi="Arial" w:eastAsia="Arial" w:cs="Arial"/>
          <w:spacing w:val="14"/>
          <w:w w:val="101"/>
          <w:sz w:val="19"/>
          <w:szCs w:val="19"/>
        </w:rPr>
        <w:t xml:space="preserve"> </w:t>
      </w:r>
      <w:r>
        <w:rPr>
          <w:rFonts w:ascii="Arial" w:hAnsi="Arial" w:eastAsia="Arial" w:cs="Arial"/>
          <w:spacing w:val="-7"/>
          <w:sz w:val="19"/>
          <w:szCs w:val="19"/>
        </w:rPr>
        <w:t>past</w:t>
      </w:r>
      <w:r>
        <w:rPr>
          <w:rFonts w:ascii="Arial" w:hAnsi="Arial" w:eastAsia="Arial" w:cs="Arial"/>
          <w:spacing w:val="9"/>
          <w:sz w:val="19"/>
          <w:szCs w:val="19"/>
        </w:rPr>
        <w:t xml:space="preserve"> </w:t>
      </w:r>
      <w:r>
        <w:rPr>
          <w:rFonts w:ascii="Arial" w:hAnsi="Arial" w:eastAsia="Arial" w:cs="Arial"/>
          <w:spacing w:val="-7"/>
          <w:sz w:val="19"/>
          <w:szCs w:val="19"/>
        </w:rPr>
        <w:t>decades</w:t>
      </w:r>
      <w:r>
        <w:rPr>
          <w:rFonts w:ascii="Arial" w:hAnsi="Arial" w:eastAsia="Arial" w:cs="Arial"/>
          <w:spacing w:val="16"/>
          <w:w w:val="101"/>
          <w:sz w:val="19"/>
          <w:szCs w:val="19"/>
        </w:rPr>
        <w:t xml:space="preserve"> </w:t>
      </w:r>
      <w:r>
        <w:rPr>
          <w:rFonts w:ascii="Arial" w:hAnsi="Arial" w:eastAsia="Arial" w:cs="Arial"/>
          <w:spacing w:val="-7"/>
          <w:sz w:val="19"/>
          <w:szCs w:val="19"/>
        </w:rPr>
        <w:t>has</w:t>
      </w:r>
      <w:r>
        <w:rPr>
          <w:rFonts w:ascii="Arial" w:hAnsi="Arial" w:eastAsia="Arial" w:cs="Arial"/>
          <w:sz w:val="19"/>
          <w:szCs w:val="19"/>
        </w:rPr>
        <w:t xml:space="preserve"> </w:t>
      </w:r>
      <w:r>
        <w:rPr>
          <w:rFonts w:ascii="Arial" w:hAnsi="Arial" w:eastAsia="Arial" w:cs="Arial"/>
          <w:spacing w:val="-5"/>
          <w:sz w:val="19"/>
          <w:szCs w:val="19"/>
        </w:rPr>
        <w:t>l</w:t>
      </w:r>
      <w:r>
        <w:rPr>
          <w:rFonts w:ascii="Arial" w:hAnsi="Arial" w:eastAsia="Arial" w:cs="Arial"/>
          <w:spacing w:val="-4"/>
          <w:sz w:val="19"/>
          <w:szCs w:val="19"/>
        </w:rPr>
        <w:t>ed to countless quality assurance concepts and tools allowing organizations not only to monito</w:t>
      </w:r>
      <w:r>
        <w:rPr>
          <w:rFonts w:ascii="Arial" w:hAnsi="Arial" w:eastAsia="Arial" w:cs="Arial"/>
          <w:spacing w:val="-5"/>
          <w:sz w:val="19"/>
          <w:szCs w:val="19"/>
        </w:rPr>
        <w:t>r bu</w:t>
      </w:r>
      <w:r>
        <w:rPr>
          <w:rFonts w:ascii="Arial" w:hAnsi="Arial" w:eastAsia="Arial" w:cs="Arial"/>
          <w:spacing w:val="-4"/>
          <w:sz w:val="19"/>
          <w:szCs w:val="19"/>
        </w:rPr>
        <w:t>t</w:t>
      </w:r>
      <w:r>
        <w:rPr>
          <w:rFonts w:ascii="Arial" w:hAnsi="Arial" w:eastAsia="Arial" w:cs="Arial"/>
          <w:sz w:val="19"/>
          <w:szCs w:val="19"/>
        </w:rPr>
        <w:t xml:space="preserve"> </w:t>
      </w:r>
      <w:r>
        <w:rPr>
          <w:rFonts w:ascii="Arial" w:hAnsi="Arial" w:eastAsia="Arial" w:cs="Arial"/>
          <w:spacing w:val="-9"/>
          <w:sz w:val="19"/>
          <w:szCs w:val="19"/>
        </w:rPr>
        <w:t>also</w:t>
      </w:r>
      <w:r>
        <w:rPr>
          <w:rFonts w:ascii="Arial" w:hAnsi="Arial" w:eastAsia="Arial" w:cs="Arial"/>
          <w:spacing w:val="43"/>
          <w:w w:val="101"/>
          <w:sz w:val="19"/>
          <w:szCs w:val="19"/>
        </w:rPr>
        <w:t xml:space="preserve"> </w:t>
      </w:r>
      <w:r>
        <w:rPr>
          <w:rFonts w:ascii="Arial" w:hAnsi="Arial" w:eastAsia="Arial" w:cs="Arial"/>
          <w:spacing w:val="-9"/>
          <w:sz w:val="19"/>
          <w:szCs w:val="19"/>
        </w:rPr>
        <w:t>d</w:t>
      </w:r>
      <w:r>
        <w:rPr>
          <w:rFonts w:ascii="Arial" w:hAnsi="Arial" w:eastAsia="Arial" w:cs="Arial"/>
          <w:spacing w:val="-8"/>
          <w:sz w:val="19"/>
          <w:szCs w:val="19"/>
        </w:rPr>
        <w:t>evelop</w:t>
      </w:r>
      <w:r>
        <w:rPr>
          <w:rFonts w:ascii="Arial" w:hAnsi="Arial" w:eastAsia="Arial" w:cs="Arial"/>
          <w:spacing w:val="30"/>
          <w:w w:val="101"/>
          <w:sz w:val="19"/>
          <w:szCs w:val="19"/>
        </w:rPr>
        <w:t xml:space="preserve"> </w:t>
      </w:r>
      <w:r>
        <w:rPr>
          <w:rFonts w:ascii="Arial" w:hAnsi="Arial" w:eastAsia="Arial" w:cs="Arial"/>
          <w:spacing w:val="-8"/>
          <w:sz w:val="19"/>
          <w:szCs w:val="19"/>
        </w:rPr>
        <w:t>their</w:t>
      </w:r>
      <w:r>
        <w:rPr>
          <w:rFonts w:ascii="Arial" w:hAnsi="Arial" w:eastAsia="Arial" w:cs="Arial"/>
          <w:spacing w:val="33"/>
          <w:w w:val="101"/>
          <w:sz w:val="19"/>
          <w:szCs w:val="19"/>
        </w:rPr>
        <w:t xml:space="preserve"> </w:t>
      </w:r>
      <w:r>
        <w:rPr>
          <w:rFonts w:ascii="Arial" w:hAnsi="Arial" w:eastAsia="Arial" w:cs="Arial"/>
          <w:spacing w:val="-8"/>
          <w:sz w:val="19"/>
          <w:szCs w:val="19"/>
        </w:rPr>
        <w:t>quality</w:t>
      </w:r>
      <w:r>
        <w:rPr>
          <w:rFonts w:ascii="Arial" w:hAnsi="Arial" w:eastAsia="Arial" w:cs="Arial"/>
          <w:spacing w:val="34"/>
          <w:w w:val="101"/>
          <w:sz w:val="19"/>
          <w:szCs w:val="19"/>
        </w:rPr>
        <w:t xml:space="preserve"> </w:t>
      </w:r>
      <w:r>
        <w:rPr>
          <w:rFonts w:ascii="Arial" w:hAnsi="Arial" w:eastAsia="Arial" w:cs="Arial"/>
          <w:spacing w:val="-8"/>
          <w:sz w:val="19"/>
          <w:szCs w:val="19"/>
        </w:rPr>
        <w:t>standards</w:t>
      </w:r>
      <w:r>
        <w:rPr>
          <w:rFonts w:ascii="Arial" w:hAnsi="Arial" w:eastAsia="Arial" w:cs="Arial"/>
          <w:spacing w:val="40"/>
          <w:w w:val="101"/>
          <w:sz w:val="19"/>
          <w:szCs w:val="19"/>
        </w:rPr>
        <w:t xml:space="preserve"> </w:t>
      </w:r>
      <w:r>
        <w:rPr>
          <w:rFonts w:ascii="Arial" w:hAnsi="Arial" w:eastAsia="Arial" w:cs="Arial"/>
          <w:spacing w:val="-8"/>
          <w:sz w:val="19"/>
          <w:szCs w:val="19"/>
        </w:rPr>
        <w:t>(e.g.</w:t>
      </w:r>
      <w:r>
        <w:rPr>
          <w:rFonts w:ascii="Arial" w:hAnsi="Arial" w:eastAsia="Arial" w:cs="Arial"/>
          <w:spacing w:val="42"/>
          <w:sz w:val="19"/>
          <w:szCs w:val="19"/>
        </w:rPr>
        <w:t xml:space="preserve"> </w:t>
      </w:r>
      <w:r>
        <w:rPr>
          <w:rFonts w:ascii="Arial" w:hAnsi="Arial" w:eastAsia="Arial" w:cs="Arial"/>
          <w:spacing w:val="-8"/>
          <w:sz w:val="19"/>
          <w:szCs w:val="19"/>
        </w:rPr>
        <w:t>DIN</w:t>
      </w:r>
      <w:r>
        <w:rPr>
          <w:rFonts w:ascii="Arial" w:hAnsi="Arial" w:eastAsia="Arial" w:cs="Arial"/>
          <w:spacing w:val="41"/>
          <w:w w:val="101"/>
          <w:sz w:val="19"/>
          <w:szCs w:val="19"/>
        </w:rPr>
        <w:t xml:space="preserve"> </w:t>
      </w:r>
      <w:r>
        <w:rPr>
          <w:rFonts w:ascii="Arial" w:hAnsi="Arial" w:eastAsia="Arial" w:cs="Arial"/>
          <w:spacing w:val="-8"/>
          <w:sz w:val="19"/>
          <w:szCs w:val="19"/>
        </w:rPr>
        <w:t>EN</w:t>
      </w:r>
      <w:r>
        <w:rPr>
          <w:rFonts w:ascii="Arial" w:hAnsi="Arial" w:eastAsia="Arial" w:cs="Arial"/>
          <w:spacing w:val="42"/>
          <w:w w:val="101"/>
          <w:sz w:val="19"/>
          <w:szCs w:val="19"/>
        </w:rPr>
        <w:t xml:space="preserve"> </w:t>
      </w:r>
      <w:r>
        <w:rPr>
          <w:rFonts w:ascii="Arial" w:hAnsi="Arial" w:eastAsia="Arial" w:cs="Arial"/>
          <w:spacing w:val="-8"/>
          <w:sz w:val="19"/>
          <w:szCs w:val="19"/>
        </w:rPr>
        <w:t>ISO</w:t>
      </w:r>
      <w:r>
        <w:rPr>
          <w:rFonts w:ascii="Arial" w:hAnsi="Arial" w:eastAsia="Arial" w:cs="Arial"/>
          <w:spacing w:val="35"/>
          <w:sz w:val="19"/>
          <w:szCs w:val="19"/>
        </w:rPr>
        <w:t xml:space="preserve"> </w:t>
      </w:r>
      <w:r>
        <w:rPr>
          <w:rFonts w:ascii="Arial" w:hAnsi="Arial" w:eastAsia="Arial" w:cs="Arial"/>
          <w:spacing w:val="-8"/>
          <w:sz w:val="19"/>
          <w:szCs w:val="19"/>
        </w:rPr>
        <w:t>9000/9001</w:t>
      </w:r>
      <w:r>
        <w:rPr>
          <w:rFonts w:ascii="Arial" w:hAnsi="Arial" w:eastAsia="Arial" w:cs="Arial"/>
          <w:spacing w:val="34"/>
          <w:w w:val="101"/>
          <w:sz w:val="19"/>
          <w:szCs w:val="19"/>
        </w:rPr>
        <w:t xml:space="preserve"> </w:t>
      </w:r>
      <w:r>
        <w:rPr>
          <w:rFonts w:ascii="Arial" w:hAnsi="Arial" w:eastAsia="Arial" w:cs="Arial"/>
          <w:spacing w:val="-8"/>
          <w:sz w:val="19"/>
          <w:szCs w:val="19"/>
        </w:rPr>
        <w:t>and</w:t>
      </w:r>
      <w:r>
        <w:rPr>
          <w:rFonts w:ascii="Arial" w:hAnsi="Arial" w:eastAsia="Arial" w:cs="Arial"/>
          <w:spacing w:val="28"/>
          <w:sz w:val="19"/>
          <w:szCs w:val="19"/>
        </w:rPr>
        <w:t xml:space="preserve"> </w:t>
      </w:r>
      <w:r>
        <w:rPr>
          <w:rFonts w:ascii="Arial" w:hAnsi="Arial" w:eastAsia="Arial" w:cs="Arial"/>
          <w:spacing w:val="-8"/>
          <w:sz w:val="19"/>
          <w:szCs w:val="19"/>
        </w:rPr>
        <w:t>Total</w:t>
      </w:r>
      <w:r>
        <w:rPr>
          <w:rFonts w:ascii="Arial" w:hAnsi="Arial" w:eastAsia="Arial" w:cs="Arial"/>
          <w:spacing w:val="35"/>
          <w:sz w:val="19"/>
          <w:szCs w:val="19"/>
        </w:rPr>
        <w:t xml:space="preserve"> </w:t>
      </w:r>
      <w:r>
        <w:rPr>
          <w:rFonts w:ascii="Arial" w:hAnsi="Arial" w:eastAsia="Arial" w:cs="Arial"/>
          <w:spacing w:val="-8"/>
          <w:sz w:val="19"/>
          <w:szCs w:val="19"/>
        </w:rPr>
        <w:t>Quality</w:t>
      </w:r>
      <w:r>
        <w:rPr>
          <w:rFonts w:ascii="Arial" w:hAnsi="Arial" w:eastAsia="Arial" w:cs="Arial"/>
          <w:spacing w:val="40"/>
          <w:sz w:val="19"/>
          <w:szCs w:val="19"/>
        </w:rPr>
        <w:t xml:space="preserve"> </w:t>
      </w:r>
      <w:r>
        <w:rPr>
          <w:rFonts w:ascii="Arial" w:hAnsi="Arial" w:eastAsia="Arial" w:cs="Arial"/>
          <w:spacing w:val="-8"/>
          <w:sz w:val="19"/>
          <w:szCs w:val="19"/>
        </w:rPr>
        <w:t>Managemen</w:t>
      </w:r>
      <w:r>
        <w:rPr>
          <w:rFonts w:ascii="Arial" w:hAnsi="Arial" w:eastAsia="Arial" w:cs="Arial"/>
          <w:spacing w:val="-3"/>
          <w:sz w:val="19"/>
          <w:szCs w:val="19"/>
        </w:rPr>
        <w:t>t</w:t>
      </w:r>
      <w:r>
        <w:rPr>
          <w:rFonts w:ascii="Arial" w:hAnsi="Arial" w:eastAsia="Arial" w:cs="Arial"/>
          <w:sz w:val="19"/>
          <w:szCs w:val="19"/>
        </w:rPr>
        <w:t xml:space="preserve"> </w:t>
      </w:r>
      <w:r>
        <w:rPr>
          <w:rFonts w:ascii="Arial" w:hAnsi="Arial" w:eastAsia="Arial" w:cs="Arial"/>
          <w:spacing w:val="-8"/>
          <w:sz w:val="19"/>
          <w:szCs w:val="19"/>
        </w:rPr>
        <w:t>(TQM);</w:t>
      </w:r>
      <w:r>
        <w:rPr>
          <w:rFonts w:ascii="Arial" w:hAnsi="Arial" w:eastAsia="Arial" w:cs="Arial"/>
          <w:spacing w:val="13"/>
          <w:sz w:val="19"/>
          <w:szCs w:val="19"/>
        </w:rPr>
        <w:t xml:space="preserve"> </w:t>
      </w:r>
      <w:r>
        <w:rPr>
          <w:rFonts w:ascii="Arial" w:hAnsi="Arial" w:eastAsia="Arial" w:cs="Arial"/>
          <w:spacing w:val="-8"/>
          <w:sz w:val="19"/>
          <w:szCs w:val="19"/>
        </w:rPr>
        <w:t>cf.</w:t>
      </w:r>
      <w:r>
        <w:rPr>
          <w:rFonts w:ascii="Arial" w:hAnsi="Arial" w:eastAsia="Arial" w:cs="Arial"/>
          <w:spacing w:val="12"/>
          <w:sz w:val="19"/>
          <w:szCs w:val="19"/>
        </w:rPr>
        <w:t xml:space="preserve"> </w:t>
      </w:r>
      <w:r>
        <w:rPr>
          <w:rFonts w:ascii="Arial" w:hAnsi="Arial" w:eastAsia="Arial" w:cs="Arial"/>
          <w:spacing w:val="-8"/>
          <w:sz w:val="19"/>
          <w:szCs w:val="19"/>
        </w:rPr>
        <w:t>Sattler,</w:t>
      </w:r>
      <w:r>
        <w:rPr>
          <w:rFonts w:ascii="Arial" w:hAnsi="Arial" w:eastAsia="Arial" w:cs="Arial"/>
          <w:spacing w:val="12"/>
          <w:sz w:val="19"/>
          <w:szCs w:val="19"/>
        </w:rPr>
        <w:t xml:space="preserve"> </w:t>
      </w:r>
      <w:r>
        <w:rPr>
          <w:rFonts w:ascii="Arial" w:hAnsi="Arial" w:eastAsia="Arial" w:cs="Arial"/>
          <w:spacing w:val="-8"/>
          <w:sz w:val="19"/>
          <w:szCs w:val="19"/>
        </w:rPr>
        <w:t>Sonn</w:t>
      </w:r>
      <w:r>
        <w:rPr>
          <w:rFonts w:ascii="Arial" w:hAnsi="Arial" w:eastAsia="Arial" w:cs="Arial"/>
          <w:spacing w:val="-9"/>
          <w:sz w:val="19"/>
          <w:szCs w:val="19"/>
        </w:rPr>
        <w:t>tag,</w:t>
      </w:r>
      <w:r>
        <w:rPr>
          <w:rFonts w:ascii="Arial" w:hAnsi="Arial" w:eastAsia="Arial" w:cs="Arial"/>
          <w:spacing w:val="11"/>
          <w:sz w:val="19"/>
          <w:szCs w:val="19"/>
        </w:rPr>
        <w:t xml:space="preserve"> </w:t>
      </w:r>
      <w:r>
        <w:rPr>
          <w:rFonts w:ascii="Arial" w:hAnsi="Arial" w:eastAsia="Arial" w:cs="Arial"/>
          <w:spacing w:val="-9"/>
          <w:sz w:val="19"/>
          <w:szCs w:val="19"/>
        </w:rPr>
        <w:t>and</w:t>
      </w:r>
      <w:r>
        <w:rPr>
          <w:rFonts w:ascii="Arial" w:hAnsi="Arial" w:eastAsia="Arial" w:cs="Arial"/>
          <w:spacing w:val="11"/>
          <w:sz w:val="19"/>
          <w:szCs w:val="19"/>
        </w:rPr>
        <w:t xml:space="preserve"> </w:t>
      </w:r>
      <w:r>
        <w:rPr>
          <w:rFonts w:ascii="Arial" w:hAnsi="Arial" w:eastAsia="Arial" w:cs="Arial"/>
          <w:spacing w:val="-9"/>
          <w:sz w:val="19"/>
          <w:szCs w:val="19"/>
        </w:rPr>
        <w:t xml:space="preserve">Götzen </w:t>
      </w:r>
      <w:r>
        <w:fldChar w:fldCharType="begin"/>
      </w:r>
      <w:r>
        <w:instrText xml:space="preserve"> HYPERLINK \l "bookmark24" </w:instrText>
      </w:r>
      <w:r>
        <w:fldChar w:fldCharType="separate"/>
      </w:r>
      <w:r>
        <w:rPr>
          <w:rFonts w:ascii="Arial" w:hAnsi="Arial" w:eastAsia="Arial" w:cs="Arial"/>
          <w:color w:val="000084"/>
          <w:spacing w:val="-9"/>
          <w:sz w:val="19"/>
          <w:szCs w:val="19"/>
        </w:rPr>
        <w:t>2016</w:t>
      </w:r>
      <w:r>
        <w:rPr>
          <w:rFonts w:ascii="Arial" w:hAnsi="Arial" w:eastAsia="Arial" w:cs="Arial"/>
          <w:color w:val="000084"/>
          <w:spacing w:val="-9"/>
          <w:sz w:val="19"/>
          <w:szCs w:val="19"/>
        </w:rPr>
        <w:fldChar w:fldCharType="end"/>
      </w:r>
      <w:r>
        <w:rPr>
          <w:rFonts w:ascii="Arial" w:hAnsi="Arial" w:eastAsia="Arial" w:cs="Arial"/>
          <w:spacing w:val="-9"/>
          <w:sz w:val="19"/>
          <w:szCs w:val="19"/>
        </w:rPr>
        <w:t>).</w:t>
      </w:r>
    </w:p>
    <w:p>
      <w:pPr>
        <w:spacing w:before="29" w:line="262" w:lineRule="auto"/>
        <w:ind w:firstLine="252"/>
        <w:jc w:val="both"/>
        <w:rPr>
          <w:rFonts w:ascii="Arial" w:hAnsi="Arial" w:eastAsia="Arial" w:cs="Arial"/>
          <w:sz w:val="19"/>
          <w:szCs w:val="19"/>
        </w:rPr>
      </w:pPr>
      <w:r>
        <w:rPr>
          <w:rFonts w:ascii="Arial" w:hAnsi="Arial" w:eastAsia="Arial" w:cs="Arial"/>
          <w:spacing w:val="-4"/>
          <w:sz w:val="19"/>
          <w:szCs w:val="19"/>
        </w:rPr>
        <w:t>In the context of higher education, quali</w:t>
      </w:r>
      <w:r>
        <w:rPr>
          <w:rFonts w:ascii="Arial" w:hAnsi="Arial" w:eastAsia="Arial" w:cs="Arial"/>
          <w:spacing w:val="-5"/>
          <w:sz w:val="19"/>
          <w:szCs w:val="19"/>
        </w:rPr>
        <w:t>ty assurance is deined as</w:t>
      </w:r>
      <w:r>
        <w:rPr>
          <w:rFonts w:ascii="Arial" w:hAnsi="Arial" w:eastAsia="Arial" w:cs="Arial"/>
          <w:spacing w:val="-15"/>
          <w:sz w:val="19"/>
          <w:szCs w:val="19"/>
        </w:rPr>
        <w:t xml:space="preserve"> </w:t>
      </w:r>
      <w:r>
        <w:rPr>
          <w:rFonts w:ascii="Arial" w:hAnsi="Arial" w:eastAsia="Arial" w:cs="Arial"/>
          <w:spacing w:val="-5"/>
          <w:sz w:val="19"/>
          <w:szCs w:val="19"/>
        </w:rPr>
        <w:t>‘an all-embracing term referring</w:t>
      </w:r>
      <w:r>
        <w:rPr>
          <w:rFonts w:ascii="Arial" w:hAnsi="Arial" w:eastAsia="Arial" w:cs="Arial"/>
          <w:sz w:val="19"/>
          <w:szCs w:val="19"/>
        </w:rPr>
        <w:t xml:space="preserve"> </w:t>
      </w:r>
      <w:r>
        <w:rPr>
          <w:rFonts w:ascii="Arial" w:hAnsi="Arial" w:eastAsia="Arial" w:cs="Arial"/>
          <w:spacing w:val="-5"/>
          <w:sz w:val="19"/>
          <w:szCs w:val="19"/>
        </w:rPr>
        <w:t>to an ongoing, continuous</w:t>
      </w:r>
      <w:r>
        <w:rPr>
          <w:rFonts w:ascii="Arial" w:hAnsi="Arial" w:eastAsia="Arial" w:cs="Arial"/>
          <w:spacing w:val="15"/>
          <w:sz w:val="19"/>
          <w:szCs w:val="19"/>
        </w:rPr>
        <w:t xml:space="preserve"> </w:t>
      </w:r>
      <w:r>
        <w:rPr>
          <w:rFonts w:ascii="Arial" w:hAnsi="Arial" w:eastAsia="Arial" w:cs="Arial"/>
          <w:spacing w:val="-5"/>
          <w:sz w:val="19"/>
          <w:szCs w:val="19"/>
        </w:rPr>
        <w:t>process</w:t>
      </w:r>
      <w:r>
        <w:rPr>
          <w:rFonts w:ascii="Arial" w:hAnsi="Arial" w:eastAsia="Arial" w:cs="Arial"/>
          <w:spacing w:val="9"/>
          <w:sz w:val="19"/>
          <w:szCs w:val="19"/>
        </w:rPr>
        <w:t xml:space="preserve"> </w:t>
      </w:r>
      <w:r>
        <w:rPr>
          <w:rFonts w:ascii="Arial" w:hAnsi="Arial" w:eastAsia="Arial" w:cs="Arial"/>
          <w:spacing w:val="-5"/>
          <w:sz w:val="19"/>
          <w:szCs w:val="19"/>
        </w:rPr>
        <w:t>of evaluating</w:t>
      </w:r>
      <w:r>
        <w:rPr>
          <w:rFonts w:ascii="Arial" w:hAnsi="Arial" w:eastAsia="Arial" w:cs="Arial"/>
          <w:spacing w:val="13"/>
          <w:w w:val="101"/>
          <w:sz w:val="19"/>
          <w:szCs w:val="19"/>
        </w:rPr>
        <w:t xml:space="preserve"> </w:t>
      </w:r>
      <w:r>
        <w:rPr>
          <w:rFonts w:ascii="Arial" w:hAnsi="Arial" w:eastAsia="Arial" w:cs="Arial"/>
          <w:spacing w:val="-5"/>
          <w:sz w:val="19"/>
          <w:szCs w:val="19"/>
        </w:rPr>
        <w:t>(assessing,</w:t>
      </w:r>
      <w:r>
        <w:rPr>
          <w:rFonts w:ascii="Arial" w:hAnsi="Arial" w:eastAsia="Arial" w:cs="Arial"/>
          <w:spacing w:val="16"/>
          <w:sz w:val="19"/>
          <w:szCs w:val="19"/>
        </w:rPr>
        <w:t xml:space="preserve"> </w:t>
      </w:r>
      <w:r>
        <w:rPr>
          <w:rFonts w:ascii="Arial" w:hAnsi="Arial" w:eastAsia="Arial" w:cs="Arial"/>
          <w:spacing w:val="-5"/>
          <w:sz w:val="19"/>
          <w:szCs w:val="19"/>
        </w:rPr>
        <w:t>monitoring,</w:t>
      </w:r>
      <w:r>
        <w:rPr>
          <w:rFonts w:ascii="Arial" w:hAnsi="Arial" w:eastAsia="Arial" w:cs="Arial"/>
          <w:spacing w:val="9"/>
          <w:sz w:val="19"/>
          <w:szCs w:val="19"/>
        </w:rPr>
        <w:t xml:space="preserve"> </w:t>
      </w:r>
      <w:r>
        <w:rPr>
          <w:rFonts w:ascii="Arial" w:hAnsi="Arial" w:eastAsia="Arial" w:cs="Arial"/>
          <w:spacing w:val="-5"/>
          <w:sz w:val="19"/>
          <w:szCs w:val="19"/>
        </w:rPr>
        <w:t>guaranteeing,</w:t>
      </w:r>
      <w:r>
        <w:rPr>
          <w:rFonts w:ascii="Arial" w:hAnsi="Arial" w:eastAsia="Arial" w:cs="Arial"/>
          <w:spacing w:val="15"/>
          <w:w w:val="101"/>
          <w:sz w:val="19"/>
          <w:szCs w:val="19"/>
        </w:rPr>
        <w:t xml:space="preserve"> </w:t>
      </w:r>
      <w:r>
        <w:rPr>
          <w:rFonts w:ascii="Arial" w:hAnsi="Arial" w:eastAsia="Arial" w:cs="Arial"/>
          <w:spacing w:val="-5"/>
          <w:sz w:val="19"/>
          <w:szCs w:val="19"/>
        </w:rPr>
        <w:t>maintaining,</w:t>
      </w:r>
      <w:r>
        <w:rPr>
          <w:rFonts w:ascii="Arial" w:hAnsi="Arial" w:eastAsia="Arial" w:cs="Arial"/>
          <w:sz w:val="19"/>
          <w:szCs w:val="19"/>
        </w:rPr>
        <w:t xml:space="preserve"> </w:t>
      </w:r>
      <w:r>
        <w:rPr>
          <w:rFonts w:ascii="Arial" w:hAnsi="Arial" w:eastAsia="Arial" w:cs="Arial"/>
          <w:spacing w:val="-5"/>
          <w:sz w:val="19"/>
          <w:szCs w:val="19"/>
        </w:rPr>
        <w:t>and</w:t>
      </w:r>
      <w:r>
        <w:rPr>
          <w:rFonts w:ascii="Arial" w:hAnsi="Arial" w:eastAsia="Arial" w:cs="Arial"/>
          <w:spacing w:val="25"/>
          <w:sz w:val="19"/>
          <w:szCs w:val="19"/>
        </w:rPr>
        <w:t xml:space="preserve"> </w:t>
      </w:r>
      <w:r>
        <w:rPr>
          <w:rFonts w:ascii="Arial" w:hAnsi="Arial" w:eastAsia="Arial" w:cs="Arial"/>
          <w:spacing w:val="-5"/>
          <w:sz w:val="19"/>
          <w:szCs w:val="19"/>
        </w:rPr>
        <w:t>improving)</w:t>
      </w:r>
      <w:r>
        <w:rPr>
          <w:rFonts w:ascii="Arial" w:hAnsi="Arial" w:eastAsia="Arial" w:cs="Arial"/>
          <w:spacing w:val="17"/>
          <w:w w:val="101"/>
          <w:sz w:val="19"/>
          <w:szCs w:val="19"/>
        </w:rPr>
        <w:t xml:space="preserve"> </w:t>
      </w:r>
      <w:r>
        <w:rPr>
          <w:rFonts w:ascii="Arial" w:hAnsi="Arial" w:eastAsia="Arial" w:cs="Arial"/>
          <w:spacing w:val="-5"/>
          <w:sz w:val="19"/>
          <w:szCs w:val="19"/>
        </w:rPr>
        <w:t>the</w:t>
      </w:r>
      <w:r>
        <w:rPr>
          <w:rFonts w:ascii="Arial" w:hAnsi="Arial" w:eastAsia="Arial" w:cs="Arial"/>
          <w:spacing w:val="20"/>
          <w:sz w:val="19"/>
          <w:szCs w:val="19"/>
        </w:rPr>
        <w:t xml:space="preserve"> </w:t>
      </w:r>
      <w:r>
        <w:rPr>
          <w:rFonts w:ascii="Arial" w:hAnsi="Arial" w:eastAsia="Arial" w:cs="Arial"/>
          <w:spacing w:val="-5"/>
          <w:sz w:val="19"/>
          <w:szCs w:val="19"/>
        </w:rPr>
        <w:t>quality</w:t>
      </w:r>
      <w:r>
        <w:rPr>
          <w:rFonts w:ascii="Arial" w:hAnsi="Arial" w:eastAsia="Arial" w:cs="Arial"/>
          <w:spacing w:val="20"/>
          <w:w w:val="101"/>
          <w:sz w:val="19"/>
          <w:szCs w:val="19"/>
        </w:rPr>
        <w:t xml:space="preserve"> </w:t>
      </w:r>
      <w:r>
        <w:rPr>
          <w:rFonts w:ascii="Arial" w:hAnsi="Arial" w:eastAsia="Arial" w:cs="Arial"/>
          <w:spacing w:val="-5"/>
          <w:sz w:val="19"/>
          <w:szCs w:val="19"/>
        </w:rPr>
        <w:t>of</w:t>
      </w:r>
      <w:r>
        <w:rPr>
          <w:rFonts w:ascii="Arial" w:hAnsi="Arial" w:eastAsia="Arial" w:cs="Arial"/>
          <w:spacing w:val="12"/>
          <w:sz w:val="19"/>
          <w:szCs w:val="19"/>
        </w:rPr>
        <w:t xml:space="preserve"> </w:t>
      </w:r>
      <w:r>
        <w:rPr>
          <w:rFonts w:ascii="Arial" w:hAnsi="Arial" w:eastAsia="Arial" w:cs="Arial"/>
          <w:spacing w:val="-5"/>
          <w:sz w:val="19"/>
          <w:szCs w:val="19"/>
        </w:rPr>
        <w:t>a</w:t>
      </w:r>
      <w:r>
        <w:rPr>
          <w:rFonts w:ascii="Arial" w:hAnsi="Arial" w:eastAsia="Arial" w:cs="Arial"/>
          <w:spacing w:val="28"/>
          <w:w w:val="101"/>
          <w:sz w:val="19"/>
          <w:szCs w:val="19"/>
        </w:rPr>
        <w:t xml:space="preserve"> </w:t>
      </w:r>
      <w:r>
        <w:rPr>
          <w:rFonts w:ascii="Arial" w:hAnsi="Arial" w:eastAsia="Arial" w:cs="Arial"/>
          <w:spacing w:val="-5"/>
          <w:sz w:val="19"/>
          <w:szCs w:val="19"/>
        </w:rPr>
        <w:t>higher</w:t>
      </w:r>
      <w:r>
        <w:rPr>
          <w:rFonts w:ascii="Arial" w:hAnsi="Arial" w:eastAsia="Arial" w:cs="Arial"/>
          <w:spacing w:val="20"/>
          <w:w w:val="101"/>
          <w:sz w:val="19"/>
          <w:szCs w:val="19"/>
        </w:rPr>
        <w:t xml:space="preserve"> </w:t>
      </w:r>
      <w:r>
        <w:rPr>
          <w:rFonts w:ascii="Arial" w:hAnsi="Arial" w:eastAsia="Arial" w:cs="Arial"/>
          <w:spacing w:val="-5"/>
          <w:sz w:val="19"/>
          <w:szCs w:val="19"/>
        </w:rPr>
        <w:t>ed</w:t>
      </w:r>
      <w:r>
        <w:rPr>
          <w:rFonts w:ascii="Arial" w:hAnsi="Arial" w:eastAsia="Arial" w:cs="Arial"/>
          <w:spacing w:val="-6"/>
          <w:sz w:val="19"/>
          <w:szCs w:val="19"/>
        </w:rPr>
        <w:t>ucation</w:t>
      </w:r>
      <w:r>
        <w:rPr>
          <w:rFonts w:ascii="Arial" w:hAnsi="Arial" w:eastAsia="Arial" w:cs="Arial"/>
          <w:spacing w:val="20"/>
          <w:w w:val="101"/>
          <w:sz w:val="19"/>
          <w:szCs w:val="19"/>
        </w:rPr>
        <w:t xml:space="preserve"> </w:t>
      </w:r>
      <w:r>
        <w:rPr>
          <w:rFonts w:ascii="Arial" w:hAnsi="Arial" w:eastAsia="Arial" w:cs="Arial"/>
          <w:spacing w:val="-6"/>
          <w:sz w:val="19"/>
          <w:szCs w:val="19"/>
        </w:rPr>
        <w:t>system,</w:t>
      </w:r>
      <w:r>
        <w:rPr>
          <w:rFonts w:ascii="Arial" w:hAnsi="Arial" w:eastAsia="Arial" w:cs="Arial"/>
          <w:spacing w:val="25"/>
          <w:sz w:val="19"/>
          <w:szCs w:val="19"/>
        </w:rPr>
        <w:t xml:space="preserve"> </w:t>
      </w:r>
      <w:r>
        <w:rPr>
          <w:rFonts w:ascii="Arial" w:hAnsi="Arial" w:eastAsia="Arial" w:cs="Arial"/>
          <w:spacing w:val="-6"/>
          <w:sz w:val="19"/>
          <w:szCs w:val="19"/>
        </w:rPr>
        <w:t>institutions,</w:t>
      </w:r>
      <w:r>
        <w:rPr>
          <w:rFonts w:ascii="Arial" w:hAnsi="Arial" w:eastAsia="Arial" w:cs="Arial"/>
          <w:spacing w:val="21"/>
          <w:sz w:val="19"/>
          <w:szCs w:val="19"/>
        </w:rPr>
        <w:t xml:space="preserve"> </w:t>
      </w:r>
      <w:r>
        <w:rPr>
          <w:rFonts w:ascii="Arial" w:hAnsi="Arial" w:eastAsia="Arial" w:cs="Arial"/>
          <w:spacing w:val="-6"/>
          <w:sz w:val="19"/>
          <w:szCs w:val="19"/>
        </w:rPr>
        <w:t>or</w:t>
      </w:r>
      <w:r>
        <w:rPr>
          <w:rFonts w:ascii="Arial" w:hAnsi="Arial" w:eastAsia="Arial" w:cs="Arial"/>
          <w:spacing w:val="27"/>
          <w:w w:val="101"/>
          <w:sz w:val="19"/>
          <w:szCs w:val="19"/>
        </w:rPr>
        <w:t xml:space="preserve"> </w:t>
      </w:r>
      <w:r>
        <w:rPr>
          <w:rFonts w:ascii="Arial" w:hAnsi="Arial" w:eastAsia="Arial" w:cs="Arial"/>
          <w:spacing w:val="-6"/>
          <w:sz w:val="19"/>
          <w:szCs w:val="19"/>
        </w:rPr>
        <w:t>programmes’</w:t>
      </w:r>
      <w:r>
        <w:rPr>
          <w:rFonts w:ascii="Arial" w:hAnsi="Arial" w:eastAsia="Arial" w:cs="Arial"/>
          <w:spacing w:val="26"/>
          <w:sz w:val="19"/>
          <w:szCs w:val="19"/>
        </w:rPr>
        <w:t xml:space="preserve"> </w:t>
      </w:r>
      <w:r>
        <w:rPr>
          <w:rFonts w:ascii="Arial" w:hAnsi="Arial" w:eastAsia="Arial" w:cs="Arial"/>
          <w:spacing w:val="-6"/>
          <w:sz w:val="19"/>
          <w:szCs w:val="19"/>
        </w:rPr>
        <w:t>(Vlăsceanu,</w:t>
      </w:r>
      <w:r>
        <w:rPr>
          <w:rFonts w:ascii="Arial" w:hAnsi="Arial" w:eastAsia="Arial" w:cs="Arial"/>
          <w:sz w:val="19"/>
          <w:szCs w:val="19"/>
        </w:rPr>
        <w:t xml:space="preserve"> </w:t>
      </w:r>
      <w:r>
        <w:rPr>
          <w:rFonts w:ascii="Arial" w:hAnsi="Arial" w:eastAsia="Arial" w:cs="Arial"/>
          <w:spacing w:val="-6"/>
          <w:sz w:val="19"/>
          <w:szCs w:val="19"/>
        </w:rPr>
        <w:t>Grünberg,</w:t>
      </w:r>
      <w:r>
        <w:rPr>
          <w:rFonts w:ascii="Arial" w:hAnsi="Arial" w:eastAsia="Arial" w:cs="Arial"/>
          <w:spacing w:val="31"/>
          <w:sz w:val="19"/>
          <w:szCs w:val="19"/>
        </w:rPr>
        <w:t xml:space="preserve"> </w:t>
      </w:r>
      <w:r>
        <w:rPr>
          <w:rFonts w:ascii="Arial" w:hAnsi="Arial" w:eastAsia="Arial" w:cs="Arial"/>
          <w:spacing w:val="-6"/>
          <w:sz w:val="19"/>
          <w:szCs w:val="19"/>
        </w:rPr>
        <w:t>and</w:t>
      </w:r>
      <w:r>
        <w:rPr>
          <w:rFonts w:ascii="Arial" w:hAnsi="Arial" w:eastAsia="Arial" w:cs="Arial"/>
          <w:spacing w:val="36"/>
          <w:w w:val="101"/>
          <w:sz w:val="19"/>
          <w:szCs w:val="19"/>
        </w:rPr>
        <w:t xml:space="preserve"> </w:t>
      </w:r>
      <w:r>
        <w:rPr>
          <w:rFonts w:ascii="Arial" w:hAnsi="Arial" w:eastAsia="Arial" w:cs="Arial"/>
          <w:spacing w:val="-6"/>
          <w:sz w:val="19"/>
          <w:szCs w:val="19"/>
        </w:rPr>
        <w:t>Pârlea</w:t>
      </w:r>
      <w:r>
        <w:rPr>
          <w:rFonts w:ascii="Arial" w:hAnsi="Arial" w:eastAsia="Arial" w:cs="Arial"/>
          <w:spacing w:val="22"/>
          <w:sz w:val="19"/>
          <w:szCs w:val="19"/>
        </w:rPr>
        <w:t xml:space="preserve"> </w:t>
      </w:r>
      <w:r>
        <w:fldChar w:fldCharType="begin"/>
      </w:r>
      <w:r>
        <w:instrText xml:space="preserve"> HYPERLINK \l "bookmark25" </w:instrText>
      </w:r>
      <w:r>
        <w:fldChar w:fldCharType="separate"/>
      </w:r>
      <w:r>
        <w:rPr>
          <w:rFonts w:ascii="Arial" w:hAnsi="Arial" w:eastAsia="Arial" w:cs="Arial"/>
          <w:color w:val="000084"/>
          <w:spacing w:val="-6"/>
          <w:sz w:val="19"/>
          <w:szCs w:val="19"/>
        </w:rPr>
        <w:t>2004</w:t>
      </w:r>
      <w:r>
        <w:rPr>
          <w:rFonts w:ascii="Arial" w:hAnsi="Arial" w:eastAsia="Arial" w:cs="Arial"/>
          <w:color w:val="000084"/>
          <w:spacing w:val="-6"/>
          <w:sz w:val="19"/>
          <w:szCs w:val="19"/>
        </w:rPr>
        <w:fldChar w:fldCharType="end"/>
      </w:r>
      <w:r>
        <w:rPr>
          <w:rFonts w:ascii="Arial" w:hAnsi="Arial" w:eastAsia="Arial" w:cs="Arial"/>
          <w:spacing w:val="-6"/>
          <w:sz w:val="19"/>
          <w:szCs w:val="19"/>
        </w:rPr>
        <w:t>,</w:t>
      </w:r>
      <w:r>
        <w:rPr>
          <w:rFonts w:ascii="Arial" w:hAnsi="Arial" w:eastAsia="Arial" w:cs="Arial"/>
          <w:spacing w:val="32"/>
          <w:w w:val="101"/>
          <w:sz w:val="19"/>
          <w:szCs w:val="19"/>
        </w:rPr>
        <w:t xml:space="preserve"> </w:t>
      </w:r>
      <w:r>
        <w:rPr>
          <w:rFonts w:ascii="Arial" w:hAnsi="Arial" w:eastAsia="Arial" w:cs="Arial"/>
          <w:spacing w:val="-6"/>
          <w:sz w:val="19"/>
          <w:szCs w:val="19"/>
        </w:rPr>
        <w:t>74).</w:t>
      </w:r>
      <w:r>
        <w:rPr>
          <w:rFonts w:ascii="Arial" w:hAnsi="Arial" w:eastAsia="Arial" w:cs="Arial"/>
          <w:spacing w:val="36"/>
          <w:w w:val="101"/>
          <w:sz w:val="19"/>
          <w:szCs w:val="19"/>
        </w:rPr>
        <w:t xml:space="preserve"> </w:t>
      </w:r>
      <w:r>
        <w:rPr>
          <w:rFonts w:ascii="Arial" w:hAnsi="Arial" w:eastAsia="Arial" w:cs="Arial"/>
          <w:spacing w:val="-6"/>
          <w:sz w:val="19"/>
          <w:szCs w:val="19"/>
        </w:rPr>
        <w:t>In</w:t>
      </w:r>
      <w:r>
        <w:rPr>
          <w:rFonts w:ascii="Arial" w:hAnsi="Arial" w:eastAsia="Arial" w:cs="Arial"/>
          <w:spacing w:val="36"/>
          <w:sz w:val="19"/>
          <w:szCs w:val="19"/>
        </w:rPr>
        <w:t xml:space="preserve"> </w:t>
      </w:r>
      <w:r>
        <w:rPr>
          <w:rFonts w:ascii="Arial" w:hAnsi="Arial" w:eastAsia="Arial" w:cs="Arial"/>
          <w:spacing w:val="-6"/>
          <w:sz w:val="19"/>
          <w:szCs w:val="19"/>
        </w:rPr>
        <w:t>line</w:t>
      </w:r>
      <w:r>
        <w:rPr>
          <w:rFonts w:ascii="Arial" w:hAnsi="Arial" w:eastAsia="Arial" w:cs="Arial"/>
          <w:spacing w:val="26"/>
          <w:w w:val="101"/>
          <w:sz w:val="19"/>
          <w:szCs w:val="19"/>
        </w:rPr>
        <w:t xml:space="preserve"> </w:t>
      </w:r>
      <w:r>
        <w:rPr>
          <w:rFonts w:ascii="Arial" w:hAnsi="Arial" w:eastAsia="Arial" w:cs="Arial"/>
          <w:spacing w:val="-6"/>
          <w:sz w:val="19"/>
          <w:szCs w:val="19"/>
        </w:rPr>
        <w:t>with</w:t>
      </w:r>
      <w:r>
        <w:rPr>
          <w:rFonts w:ascii="Arial" w:hAnsi="Arial" w:eastAsia="Arial" w:cs="Arial"/>
          <w:spacing w:val="25"/>
          <w:w w:val="101"/>
          <w:sz w:val="19"/>
          <w:szCs w:val="19"/>
        </w:rPr>
        <w:t xml:space="preserve"> </w:t>
      </w:r>
      <w:r>
        <w:rPr>
          <w:rFonts w:ascii="Arial" w:hAnsi="Arial" w:eastAsia="Arial" w:cs="Arial"/>
          <w:spacing w:val="-6"/>
          <w:sz w:val="19"/>
          <w:szCs w:val="19"/>
        </w:rPr>
        <w:t>this</w:t>
      </w:r>
      <w:r>
        <w:rPr>
          <w:rFonts w:ascii="Arial" w:hAnsi="Arial" w:eastAsia="Arial" w:cs="Arial"/>
          <w:spacing w:val="30"/>
          <w:w w:val="101"/>
          <w:sz w:val="19"/>
          <w:szCs w:val="19"/>
        </w:rPr>
        <w:t xml:space="preserve"> </w:t>
      </w:r>
      <w:r>
        <w:rPr>
          <w:rFonts w:ascii="Arial" w:hAnsi="Arial" w:eastAsia="Arial" w:cs="Arial"/>
          <w:spacing w:val="-6"/>
          <w:sz w:val="19"/>
          <w:szCs w:val="19"/>
        </w:rPr>
        <w:t>d</w:t>
      </w:r>
      <w:r>
        <w:rPr>
          <w:rFonts w:ascii="Arial" w:hAnsi="Arial" w:eastAsia="Arial" w:cs="Arial"/>
          <w:spacing w:val="-7"/>
          <w:sz w:val="19"/>
          <w:szCs w:val="19"/>
        </w:rPr>
        <w:t>einition,</w:t>
      </w:r>
      <w:r>
        <w:rPr>
          <w:rFonts w:ascii="Arial" w:hAnsi="Arial" w:eastAsia="Arial" w:cs="Arial"/>
          <w:spacing w:val="30"/>
          <w:sz w:val="19"/>
          <w:szCs w:val="19"/>
        </w:rPr>
        <w:t xml:space="preserve"> </w:t>
      </w:r>
      <w:r>
        <w:rPr>
          <w:rFonts w:ascii="Arial" w:hAnsi="Arial" w:eastAsia="Arial" w:cs="Arial"/>
          <w:spacing w:val="-7"/>
          <w:sz w:val="19"/>
          <w:szCs w:val="19"/>
        </w:rPr>
        <w:t>quality</w:t>
      </w:r>
      <w:r>
        <w:rPr>
          <w:rFonts w:ascii="Arial" w:hAnsi="Arial" w:eastAsia="Arial" w:cs="Arial"/>
          <w:spacing w:val="30"/>
          <w:w w:val="101"/>
          <w:sz w:val="19"/>
          <w:szCs w:val="19"/>
        </w:rPr>
        <w:t xml:space="preserve"> </w:t>
      </w:r>
      <w:r>
        <w:rPr>
          <w:rFonts w:ascii="Arial" w:hAnsi="Arial" w:eastAsia="Arial" w:cs="Arial"/>
          <w:spacing w:val="-7"/>
          <w:sz w:val="19"/>
          <w:szCs w:val="19"/>
        </w:rPr>
        <w:t>assurance</w:t>
      </w:r>
      <w:r>
        <w:rPr>
          <w:rFonts w:ascii="Arial" w:hAnsi="Arial" w:eastAsia="Arial" w:cs="Arial"/>
          <w:spacing w:val="31"/>
          <w:sz w:val="19"/>
          <w:szCs w:val="19"/>
        </w:rPr>
        <w:t xml:space="preserve"> </w:t>
      </w:r>
      <w:r>
        <w:rPr>
          <w:rFonts w:ascii="Arial" w:hAnsi="Arial" w:eastAsia="Arial" w:cs="Arial"/>
          <w:spacing w:val="-7"/>
          <w:sz w:val="19"/>
          <w:szCs w:val="19"/>
        </w:rPr>
        <w:t>serves</w:t>
      </w:r>
      <w:r>
        <w:rPr>
          <w:rFonts w:ascii="Arial" w:hAnsi="Arial" w:eastAsia="Arial" w:cs="Arial"/>
          <w:spacing w:val="26"/>
          <w:w w:val="101"/>
          <w:sz w:val="19"/>
          <w:szCs w:val="19"/>
        </w:rPr>
        <w:t xml:space="preserve"> </w:t>
      </w:r>
      <w:r>
        <w:rPr>
          <w:rFonts w:ascii="Arial" w:hAnsi="Arial" w:eastAsia="Arial" w:cs="Arial"/>
          <w:spacing w:val="-7"/>
          <w:sz w:val="19"/>
          <w:szCs w:val="19"/>
        </w:rPr>
        <w:t>the</w:t>
      </w:r>
      <w:r>
        <w:rPr>
          <w:rFonts w:ascii="Arial" w:hAnsi="Arial" w:eastAsia="Arial" w:cs="Arial"/>
          <w:spacing w:val="36"/>
          <w:sz w:val="19"/>
          <w:szCs w:val="19"/>
        </w:rPr>
        <w:t xml:space="preserve"> </w:t>
      </w:r>
      <w:r>
        <w:rPr>
          <w:rFonts w:ascii="Arial" w:hAnsi="Arial" w:eastAsia="Arial" w:cs="Arial"/>
          <w:spacing w:val="-7"/>
          <w:sz w:val="19"/>
          <w:szCs w:val="19"/>
        </w:rPr>
        <w:t>purpose</w:t>
      </w:r>
      <w:r>
        <w:rPr>
          <w:rFonts w:ascii="Arial" w:hAnsi="Arial" w:eastAsia="Arial" w:cs="Arial"/>
          <w:sz w:val="19"/>
          <w:szCs w:val="19"/>
        </w:rPr>
        <w:t xml:space="preserve"> </w:t>
      </w:r>
      <w:r>
        <w:rPr>
          <w:rFonts w:ascii="Arial" w:hAnsi="Arial" w:eastAsia="Arial" w:cs="Arial"/>
          <w:spacing w:val="-3"/>
          <w:sz w:val="19"/>
          <w:szCs w:val="19"/>
        </w:rPr>
        <w:t>both  of</w:t>
      </w:r>
      <w:r>
        <w:rPr>
          <w:rFonts w:ascii="Arial" w:hAnsi="Arial" w:eastAsia="Arial" w:cs="Arial"/>
          <w:spacing w:val="41"/>
          <w:w w:val="101"/>
          <w:sz w:val="19"/>
          <w:szCs w:val="19"/>
        </w:rPr>
        <w:t xml:space="preserve"> </w:t>
      </w:r>
      <w:r>
        <w:rPr>
          <w:rFonts w:ascii="Arial" w:hAnsi="Arial" w:eastAsia="Arial" w:cs="Arial"/>
          <w:spacing w:val="-3"/>
          <w:sz w:val="19"/>
          <w:szCs w:val="19"/>
        </w:rPr>
        <w:t>accountability  and  quality  improvement.  At  leas</w:t>
      </w:r>
      <w:r>
        <w:rPr>
          <w:rFonts w:ascii="Arial" w:hAnsi="Arial" w:eastAsia="Arial" w:cs="Arial"/>
          <w:spacing w:val="-4"/>
          <w:sz w:val="19"/>
          <w:szCs w:val="19"/>
        </w:rPr>
        <w:t>t  since  the  beginning  of  the  Bologna</w:t>
      </w:r>
      <w:r>
        <w:rPr>
          <w:rFonts w:ascii="Arial" w:hAnsi="Arial" w:eastAsia="Arial" w:cs="Arial"/>
          <w:sz w:val="19"/>
          <w:szCs w:val="19"/>
        </w:rPr>
        <w:t xml:space="preserve"> </w:t>
      </w:r>
      <w:r>
        <w:rPr>
          <w:rFonts w:ascii="Arial" w:hAnsi="Arial" w:eastAsia="Arial" w:cs="Arial"/>
          <w:spacing w:val="-9"/>
          <w:sz w:val="19"/>
          <w:szCs w:val="19"/>
        </w:rPr>
        <w:t>P</w:t>
      </w:r>
      <w:r>
        <w:rPr>
          <w:rFonts w:ascii="Arial" w:hAnsi="Arial" w:eastAsia="Arial" w:cs="Arial"/>
          <w:spacing w:val="-8"/>
          <w:sz w:val="19"/>
          <w:szCs w:val="19"/>
        </w:rPr>
        <w:t>rocess</w:t>
      </w:r>
      <w:r>
        <w:rPr>
          <w:rFonts w:ascii="Arial" w:hAnsi="Arial" w:eastAsia="Arial" w:cs="Arial"/>
          <w:spacing w:val="17"/>
          <w:sz w:val="19"/>
          <w:szCs w:val="19"/>
        </w:rPr>
        <w:t xml:space="preserve"> </w:t>
      </w:r>
      <w:r>
        <w:rPr>
          <w:rFonts w:ascii="Arial" w:hAnsi="Arial" w:eastAsia="Arial" w:cs="Arial"/>
          <w:spacing w:val="-8"/>
          <w:sz w:val="19"/>
          <w:szCs w:val="19"/>
        </w:rPr>
        <w:t>in the</w:t>
      </w:r>
      <w:r>
        <w:rPr>
          <w:rFonts w:ascii="Arial" w:hAnsi="Arial" w:eastAsia="Arial" w:cs="Arial"/>
          <w:spacing w:val="23"/>
          <w:sz w:val="19"/>
          <w:szCs w:val="19"/>
        </w:rPr>
        <w:t xml:space="preserve"> </w:t>
      </w:r>
      <w:r>
        <w:rPr>
          <w:rFonts w:ascii="Arial" w:hAnsi="Arial" w:eastAsia="Arial" w:cs="Arial"/>
          <w:spacing w:val="-8"/>
          <w:sz w:val="19"/>
          <w:szCs w:val="19"/>
        </w:rPr>
        <w:t>1990s,</w:t>
      </w:r>
      <w:r>
        <w:rPr>
          <w:rFonts w:ascii="Arial" w:hAnsi="Arial" w:eastAsia="Arial" w:cs="Arial"/>
          <w:spacing w:val="12"/>
          <w:sz w:val="19"/>
          <w:szCs w:val="19"/>
        </w:rPr>
        <w:t xml:space="preserve"> </w:t>
      </w:r>
      <w:r>
        <w:rPr>
          <w:rFonts w:ascii="Arial" w:hAnsi="Arial" w:eastAsia="Arial" w:cs="Arial"/>
          <w:spacing w:val="-8"/>
          <w:sz w:val="19"/>
          <w:szCs w:val="19"/>
        </w:rPr>
        <w:t>quality</w:t>
      </w:r>
      <w:r>
        <w:rPr>
          <w:rFonts w:ascii="Arial" w:hAnsi="Arial" w:eastAsia="Arial" w:cs="Arial"/>
          <w:spacing w:val="13"/>
          <w:sz w:val="19"/>
          <w:szCs w:val="19"/>
        </w:rPr>
        <w:t xml:space="preserve"> </w:t>
      </w:r>
      <w:r>
        <w:rPr>
          <w:rFonts w:ascii="Arial" w:hAnsi="Arial" w:eastAsia="Arial" w:cs="Arial"/>
          <w:spacing w:val="-8"/>
          <w:sz w:val="19"/>
          <w:szCs w:val="19"/>
        </w:rPr>
        <w:t>assurance</w:t>
      </w:r>
      <w:r>
        <w:rPr>
          <w:rFonts w:ascii="Arial" w:hAnsi="Arial" w:eastAsia="Arial" w:cs="Arial"/>
          <w:spacing w:val="19"/>
          <w:sz w:val="19"/>
          <w:szCs w:val="19"/>
        </w:rPr>
        <w:t xml:space="preserve"> </w:t>
      </w:r>
      <w:r>
        <w:rPr>
          <w:rFonts w:ascii="Arial" w:hAnsi="Arial" w:eastAsia="Arial" w:cs="Arial"/>
          <w:spacing w:val="-8"/>
          <w:sz w:val="19"/>
          <w:szCs w:val="19"/>
        </w:rPr>
        <w:t>has</w:t>
      </w:r>
      <w:r>
        <w:rPr>
          <w:rFonts w:ascii="Arial" w:hAnsi="Arial" w:eastAsia="Arial" w:cs="Arial"/>
          <w:spacing w:val="17"/>
          <w:w w:val="101"/>
          <w:sz w:val="19"/>
          <w:szCs w:val="19"/>
        </w:rPr>
        <w:t xml:space="preserve"> </w:t>
      </w:r>
      <w:r>
        <w:rPr>
          <w:rFonts w:ascii="Arial" w:hAnsi="Arial" w:eastAsia="Arial" w:cs="Arial"/>
          <w:spacing w:val="-8"/>
          <w:sz w:val="19"/>
          <w:szCs w:val="19"/>
        </w:rPr>
        <w:t>become</w:t>
      </w:r>
      <w:r>
        <w:rPr>
          <w:rFonts w:ascii="Arial" w:hAnsi="Arial" w:eastAsia="Arial" w:cs="Arial"/>
          <w:spacing w:val="10"/>
          <w:sz w:val="19"/>
          <w:szCs w:val="19"/>
        </w:rPr>
        <w:t xml:space="preserve"> </w:t>
      </w:r>
      <w:r>
        <w:rPr>
          <w:rFonts w:ascii="Arial" w:hAnsi="Arial" w:eastAsia="Arial" w:cs="Arial"/>
          <w:spacing w:val="-8"/>
          <w:sz w:val="19"/>
          <w:szCs w:val="19"/>
        </w:rPr>
        <w:t>an</w:t>
      </w:r>
      <w:r>
        <w:rPr>
          <w:rFonts w:ascii="Arial" w:hAnsi="Arial" w:eastAsia="Arial" w:cs="Arial"/>
          <w:spacing w:val="16"/>
          <w:sz w:val="19"/>
          <w:szCs w:val="19"/>
        </w:rPr>
        <w:t xml:space="preserve"> </w:t>
      </w:r>
      <w:r>
        <w:rPr>
          <w:rFonts w:ascii="Arial" w:hAnsi="Arial" w:eastAsia="Arial" w:cs="Arial"/>
          <w:spacing w:val="-8"/>
          <w:sz w:val="19"/>
          <w:szCs w:val="19"/>
        </w:rPr>
        <w:t>indispensable</w:t>
      </w:r>
      <w:r>
        <w:rPr>
          <w:rFonts w:ascii="Arial" w:hAnsi="Arial" w:eastAsia="Arial" w:cs="Arial"/>
          <w:spacing w:val="18"/>
          <w:sz w:val="19"/>
          <w:szCs w:val="19"/>
        </w:rPr>
        <w:t xml:space="preserve"> </w:t>
      </w:r>
      <w:r>
        <w:rPr>
          <w:rFonts w:ascii="Arial" w:hAnsi="Arial" w:eastAsia="Arial" w:cs="Arial"/>
          <w:spacing w:val="-8"/>
          <w:sz w:val="19"/>
          <w:szCs w:val="19"/>
        </w:rPr>
        <w:t>part</w:t>
      </w:r>
      <w:r>
        <w:rPr>
          <w:rFonts w:ascii="Arial" w:hAnsi="Arial" w:eastAsia="Arial" w:cs="Arial"/>
          <w:spacing w:val="11"/>
          <w:sz w:val="19"/>
          <w:szCs w:val="19"/>
        </w:rPr>
        <w:t xml:space="preserve"> </w:t>
      </w:r>
      <w:r>
        <w:rPr>
          <w:rFonts w:ascii="Arial" w:hAnsi="Arial" w:eastAsia="Arial" w:cs="Arial"/>
          <w:spacing w:val="-8"/>
          <w:sz w:val="19"/>
          <w:szCs w:val="19"/>
        </w:rPr>
        <w:t>of</w:t>
      </w:r>
      <w:r>
        <w:rPr>
          <w:rFonts w:ascii="Arial" w:hAnsi="Arial" w:eastAsia="Arial" w:cs="Arial"/>
          <w:spacing w:val="12"/>
          <w:sz w:val="19"/>
          <w:szCs w:val="19"/>
        </w:rPr>
        <w:t xml:space="preserve"> </w:t>
      </w:r>
      <w:r>
        <w:rPr>
          <w:rFonts w:ascii="Arial" w:hAnsi="Arial" w:eastAsia="Arial" w:cs="Arial"/>
          <w:spacing w:val="-8"/>
          <w:sz w:val="19"/>
          <w:szCs w:val="19"/>
        </w:rPr>
        <w:t>European</w:t>
      </w:r>
      <w:r>
        <w:rPr>
          <w:rFonts w:ascii="Arial" w:hAnsi="Arial" w:eastAsia="Arial" w:cs="Arial"/>
          <w:spacing w:val="19"/>
          <w:sz w:val="19"/>
          <w:szCs w:val="19"/>
        </w:rPr>
        <w:t xml:space="preserve"> </w:t>
      </w:r>
      <w:r>
        <w:rPr>
          <w:rFonts w:ascii="Arial" w:hAnsi="Arial" w:eastAsia="Arial" w:cs="Arial"/>
          <w:spacing w:val="-8"/>
          <w:sz w:val="19"/>
          <w:szCs w:val="19"/>
        </w:rPr>
        <w:t>higher</w:t>
      </w:r>
      <w:r>
        <w:rPr>
          <w:rFonts w:ascii="Arial" w:hAnsi="Arial" w:eastAsia="Arial" w:cs="Arial"/>
          <w:spacing w:val="11"/>
          <w:sz w:val="19"/>
          <w:szCs w:val="19"/>
        </w:rPr>
        <w:t xml:space="preserve"> </w:t>
      </w:r>
      <w:r>
        <w:rPr>
          <w:rFonts w:ascii="Arial" w:hAnsi="Arial" w:eastAsia="Arial" w:cs="Arial"/>
          <w:spacing w:val="-8"/>
          <w:sz w:val="19"/>
          <w:szCs w:val="19"/>
        </w:rPr>
        <w:t>edu</w:t>
      </w:r>
      <w:r>
        <w:rPr>
          <w:rFonts w:ascii="Arial" w:hAnsi="Arial" w:eastAsia="Arial" w:cs="Arial"/>
          <w:spacing w:val="-7"/>
          <w:sz w:val="19"/>
          <w:szCs w:val="19"/>
        </w:rPr>
        <w:t>-</w:t>
      </w:r>
      <w:r>
        <w:rPr>
          <w:rFonts w:ascii="Arial" w:hAnsi="Arial" w:eastAsia="Arial" w:cs="Arial"/>
          <w:sz w:val="19"/>
          <w:szCs w:val="19"/>
        </w:rPr>
        <w:t xml:space="preserve"> </w:t>
      </w:r>
      <w:r>
        <w:rPr>
          <w:rFonts w:ascii="Arial" w:hAnsi="Arial" w:eastAsia="Arial" w:cs="Arial"/>
          <w:spacing w:val="-7"/>
          <w:sz w:val="19"/>
          <w:szCs w:val="19"/>
        </w:rPr>
        <w:t>cation.</w:t>
      </w:r>
      <w:r>
        <w:rPr>
          <w:rFonts w:ascii="Arial" w:hAnsi="Arial" w:eastAsia="Arial" w:cs="Arial"/>
          <w:spacing w:val="-6"/>
          <w:sz w:val="19"/>
          <w:szCs w:val="19"/>
        </w:rPr>
        <w:t xml:space="preserve"> Over the last years, various guidelines and tools have emerged, aiming to suppo</w:t>
      </w:r>
      <w:r>
        <w:rPr>
          <w:rFonts w:ascii="Arial" w:hAnsi="Arial" w:eastAsia="Arial" w:cs="Arial"/>
          <w:spacing w:val="-7"/>
          <w:sz w:val="19"/>
          <w:szCs w:val="19"/>
        </w:rPr>
        <w:t>rt HEIs in thei</w:t>
      </w:r>
      <w:r>
        <w:rPr>
          <w:rFonts w:ascii="Arial" w:hAnsi="Arial" w:eastAsia="Arial" w:cs="Arial"/>
          <w:sz w:val="19"/>
          <w:szCs w:val="19"/>
        </w:rPr>
        <w:t xml:space="preserve">r </w:t>
      </w:r>
      <w:r>
        <w:rPr>
          <w:rFonts w:ascii="Arial" w:hAnsi="Arial" w:eastAsia="Arial" w:cs="Arial"/>
          <w:spacing w:val="-7"/>
          <w:sz w:val="19"/>
          <w:szCs w:val="19"/>
        </w:rPr>
        <w:t>quality</w:t>
      </w:r>
      <w:r>
        <w:rPr>
          <w:rFonts w:ascii="Arial" w:hAnsi="Arial" w:eastAsia="Arial" w:cs="Arial"/>
          <w:spacing w:val="19"/>
          <w:sz w:val="19"/>
          <w:szCs w:val="19"/>
        </w:rPr>
        <w:t xml:space="preserve"> </w:t>
      </w:r>
      <w:r>
        <w:rPr>
          <w:rFonts w:ascii="Arial" w:hAnsi="Arial" w:eastAsia="Arial" w:cs="Arial"/>
          <w:spacing w:val="-7"/>
          <w:sz w:val="19"/>
          <w:szCs w:val="19"/>
        </w:rPr>
        <w:t>assurance</w:t>
      </w:r>
      <w:r>
        <w:rPr>
          <w:rFonts w:ascii="Arial" w:hAnsi="Arial" w:eastAsia="Arial" w:cs="Arial"/>
          <w:spacing w:val="19"/>
          <w:w w:val="101"/>
          <w:sz w:val="19"/>
          <w:szCs w:val="19"/>
        </w:rPr>
        <w:t xml:space="preserve"> </w:t>
      </w:r>
      <w:r>
        <w:rPr>
          <w:rFonts w:ascii="Arial" w:hAnsi="Arial" w:eastAsia="Arial" w:cs="Arial"/>
          <w:spacing w:val="-7"/>
          <w:sz w:val="19"/>
          <w:szCs w:val="19"/>
        </w:rPr>
        <w:t>eforts</w:t>
      </w:r>
      <w:r>
        <w:rPr>
          <w:rFonts w:ascii="Arial" w:hAnsi="Arial" w:eastAsia="Arial" w:cs="Arial"/>
          <w:spacing w:val="24"/>
          <w:sz w:val="19"/>
          <w:szCs w:val="19"/>
        </w:rPr>
        <w:t xml:space="preserve"> </w:t>
      </w:r>
      <w:r>
        <w:rPr>
          <w:rFonts w:ascii="Arial" w:hAnsi="Arial" w:eastAsia="Arial" w:cs="Arial"/>
          <w:spacing w:val="-7"/>
          <w:sz w:val="19"/>
          <w:szCs w:val="19"/>
        </w:rPr>
        <w:t>(ESG</w:t>
      </w:r>
      <w:r>
        <w:rPr>
          <w:rFonts w:ascii="Arial" w:hAnsi="Arial" w:eastAsia="Arial" w:cs="Arial"/>
          <w:spacing w:val="11"/>
          <w:sz w:val="19"/>
          <w:szCs w:val="19"/>
        </w:rPr>
        <w:t xml:space="preserve"> </w:t>
      </w:r>
      <w:r>
        <w:fldChar w:fldCharType="begin"/>
      </w:r>
      <w:r>
        <w:instrText xml:space="preserve"> HYPERLINK \l "bookmark26" </w:instrText>
      </w:r>
      <w:r>
        <w:fldChar w:fldCharType="separate"/>
      </w:r>
      <w:r>
        <w:rPr>
          <w:rFonts w:ascii="Arial" w:hAnsi="Arial" w:eastAsia="Arial" w:cs="Arial"/>
          <w:color w:val="000084"/>
          <w:spacing w:val="-7"/>
          <w:sz w:val="19"/>
          <w:szCs w:val="19"/>
        </w:rPr>
        <w:t>2015</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pacing w:val="27"/>
          <w:sz w:val="19"/>
          <w:szCs w:val="19"/>
        </w:rPr>
        <w:t xml:space="preserve"> </w:t>
      </w:r>
      <w:r>
        <w:rPr>
          <w:rFonts w:ascii="Arial" w:hAnsi="Arial" w:eastAsia="Arial" w:cs="Arial"/>
          <w:spacing w:val="-7"/>
          <w:sz w:val="19"/>
          <w:szCs w:val="19"/>
        </w:rPr>
        <w:t>Reich</w:t>
      </w:r>
      <w:r>
        <w:rPr>
          <w:rFonts w:ascii="Arial" w:hAnsi="Arial" w:eastAsia="Arial" w:cs="Arial"/>
          <w:spacing w:val="-8"/>
          <w:sz w:val="19"/>
          <w:szCs w:val="19"/>
        </w:rPr>
        <w:t>ert</w:t>
      </w:r>
      <w:r>
        <w:rPr>
          <w:rFonts w:ascii="Arial" w:hAnsi="Arial" w:eastAsia="Arial" w:cs="Arial"/>
          <w:spacing w:val="12"/>
          <w:sz w:val="19"/>
          <w:szCs w:val="19"/>
        </w:rPr>
        <w:t xml:space="preserve"> </w:t>
      </w:r>
      <w:r>
        <w:fldChar w:fldCharType="begin"/>
      </w:r>
      <w:r>
        <w:instrText xml:space="preserve"> HYPERLINK \l "bookmark27" </w:instrText>
      </w:r>
      <w:r>
        <w:fldChar w:fldCharType="separate"/>
      </w:r>
      <w:r>
        <w:rPr>
          <w:rFonts w:ascii="Arial" w:hAnsi="Arial" w:eastAsia="Arial" w:cs="Arial"/>
          <w:color w:val="000084"/>
          <w:spacing w:val="-8"/>
          <w:sz w:val="19"/>
          <w:szCs w:val="19"/>
        </w:rPr>
        <w:t>2010</w:t>
      </w:r>
      <w:r>
        <w:rPr>
          <w:rFonts w:ascii="Arial" w:hAnsi="Arial" w:eastAsia="Arial" w:cs="Arial"/>
          <w:color w:val="000084"/>
          <w:spacing w:val="-8"/>
          <w:sz w:val="19"/>
          <w:szCs w:val="19"/>
        </w:rPr>
        <w:fldChar w:fldCharType="end"/>
      </w:r>
      <w:r>
        <w:rPr>
          <w:rFonts w:ascii="Arial" w:hAnsi="Arial" w:eastAsia="Arial" w:cs="Arial"/>
          <w:spacing w:val="-8"/>
          <w:sz w:val="19"/>
          <w:szCs w:val="19"/>
        </w:rPr>
        <w:t>).</w:t>
      </w:r>
      <w:r>
        <w:rPr>
          <w:rFonts w:ascii="Arial" w:hAnsi="Arial" w:eastAsia="Arial" w:cs="Arial"/>
          <w:spacing w:val="11"/>
          <w:sz w:val="19"/>
          <w:szCs w:val="19"/>
        </w:rPr>
        <w:t xml:space="preserve"> </w:t>
      </w:r>
      <w:r>
        <w:rPr>
          <w:rFonts w:ascii="Arial" w:hAnsi="Arial" w:eastAsia="Arial" w:cs="Arial"/>
          <w:spacing w:val="-8"/>
          <w:sz w:val="19"/>
          <w:szCs w:val="19"/>
        </w:rPr>
        <w:t>These</w:t>
      </w:r>
      <w:r>
        <w:rPr>
          <w:rFonts w:ascii="Arial" w:hAnsi="Arial" w:eastAsia="Arial" w:cs="Arial"/>
          <w:spacing w:val="23"/>
          <w:sz w:val="19"/>
          <w:szCs w:val="19"/>
        </w:rPr>
        <w:t xml:space="preserve"> </w:t>
      </w:r>
      <w:r>
        <w:rPr>
          <w:rFonts w:ascii="Arial" w:hAnsi="Arial" w:eastAsia="Arial" w:cs="Arial"/>
          <w:spacing w:val="-8"/>
          <w:sz w:val="19"/>
          <w:szCs w:val="19"/>
        </w:rPr>
        <w:t>include</w:t>
      </w:r>
      <w:r>
        <w:rPr>
          <w:rFonts w:ascii="Arial" w:hAnsi="Arial" w:eastAsia="Arial" w:cs="Arial"/>
          <w:spacing w:val="24"/>
          <w:sz w:val="19"/>
          <w:szCs w:val="19"/>
        </w:rPr>
        <w:t xml:space="preserve"> </w:t>
      </w:r>
      <w:r>
        <w:rPr>
          <w:rFonts w:ascii="Arial" w:hAnsi="Arial" w:eastAsia="Arial" w:cs="Arial"/>
          <w:spacing w:val="-8"/>
          <w:sz w:val="19"/>
          <w:szCs w:val="19"/>
        </w:rPr>
        <w:t>internal</w:t>
      </w:r>
      <w:r>
        <w:rPr>
          <w:rFonts w:ascii="Arial" w:hAnsi="Arial" w:eastAsia="Arial" w:cs="Arial"/>
          <w:spacing w:val="22"/>
          <w:w w:val="101"/>
          <w:sz w:val="19"/>
          <w:szCs w:val="19"/>
        </w:rPr>
        <w:t xml:space="preserve"> </w:t>
      </w:r>
      <w:r>
        <w:rPr>
          <w:rFonts w:ascii="Arial" w:hAnsi="Arial" w:eastAsia="Arial" w:cs="Arial"/>
          <w:spacing w:val="-8"/>
          <w:sz w:val="19"/>
          <w:szCs w:val="19"/>
        </w:rPr>
        <w:t>(e.g.</w:t>
      </w:r>
      <w:r>
        <w:rPr>
          <w:rFonts w:ascii="Arial" w:hAnsi="Arial" w:eastAsia="Arial" w:cs="Arial"/>
          <w:spacing w:val="24"/>
          <w:w w:val="101"/>
          <w:sz w:val="19"/>
          <w:szCs w:val="19"/>
        </w:rPr>
        <w:t xml:space="preserve"> </w:t>
      </w:r>
      <w:r>
        <w:rPr>
          <w:rFonts w:ascii="Arial" w:hAnsi="Arial" w:eastAsia="Arial" w:cs="Arial"/>
          <w:spacing w:val="-8"/>
          <w:sz w:val="19"/>
          <w:szCs w:val="19"/>
        </w:rPr>
        <w:t>monitoring,</w:t>
      </w:r>
      <w:r>
        <w:rPr>
          <w:rFonts w:ascii="Arial" w:hAnsi="Arial" w:eastAsia="Arial" w:cs="Arial"/>
          <w:spacing w:val="19"/>
          <w:sz w:val="19"/>
          <w:szCs w:val="19"/>
        </w:rPr>
        <w:t xml:space="preserve"> </w:t>
      </w:r>
      <w:r>
        <w:rPr>
          <w:rFonts w:ascii="Arial" w:hAnsi="Arial" w:eastAsia="Arial" w:cs="Arial"/>
          <w:spacing w:val="-8"/>
          <w:sz w:val="19"/>
          <w:szCs w:val="19"/>
        </w:rPr>
        <w:t>course</w:t>
      </w:r>
      <w:r>
        <w:rPr>
          <w:rFonts w:ascii="Arial" w:hAnsi="Arial" w:eastAsia="Arial" w:cs="Arial"/>
          <w:sz w:val="19"/>
          <w:szCs w:val="19"/>
        </w:rPr>
        <w:t xml:space="preserve"> </w:t>
      </w:r>
      <w:r>
        <w:rPr>
          <w:rFonts w:ascii="Arial" w:hAnsi="Arial" w:eastAsia="Arial" w:cs="Arial"/>
          <w:spacing w:val="-6"/>
          <w:sz w:val="19"/>
          <w:szCs w:val="19"/>
        </w:rPr>
        <w:t>evaluation)</w:t>
      </w:r>
      <w:r>
        <w:rPr>
          <w:rFonts w:ascii="Arial" w:hAnsi="Arial" w:eastAsia="Arial" w:cs="Arial"/>
          <w:spacing w:val="22"/>
          <w:sz w:val="19"/>
          <w:szCs w:val="19"/>
        </w:rPr>
        <w:t xml:space="preserve"> </w:t>
      </w:r>
      <w:r>
        <w:rPr>
          <w:rFonts w:ascii="Arial" w:hAnsi="Arial" w:eastAsia="Arial" w:cs="Arial"/>
          <w:spacing w:val="-6"/>
          <w:sz w:val="19"/>
          <w:szCs w:val="19"/>
        </w:rPr>
        <w:t>and</w:t>
      </w:r>
      <w:r>
        <w:rPr>
          <w:rFonts w:ascii="Arial" w:hAnsi="Arial" w:eastAsia="Arial" w:cs="Arial"/>
          <w:spacing w:val="20"/>
          <w:sz w:val="19"/>
          <w:szCs w:val="19"/>
        </w:rPr>
        <w:t xml:space="preserve"> </w:t>
      </w:r>
      <w:r>
        <w:rPr>
          <w:rFonts w:ascii="Arial" w:hAnsi="Arial" w:eastAsia="Arial" w:cs="Arial"/>
          <w:spacing w:val="-6"/>
          <w:sz w:val="19"/>
          <w:szCs w:val="19"/>
        </w:rPr>
        <w:t>external</w:t>
      </w:r>
      <w:r>
        <w:rPr>
          <w:rFonts w:ascii="Arial" w:hAnsi="Arial" w:eastAsia="Arial" w:cs="Arial"/>
          <w:spacing w:val="27"/>
          <w:sz w:val="19"/>
          <w:szCs w:val="19"/>
        </w:rPr>
        <w:t xml:space="preserve"> </w:t>
      </w:r>
      <w:r>
        <w:rPr>
          <w:rFonts w:ascii="Arial" w:hAnsi="Arial" w:eastAsia="Arial" w:cs="Arial"/>
          <w:spacing w:val="-6"/>
          <w:sz w:val="19"/>
          <w:szCs w:val="19"/>
        </w:rPr>
        <w:t>(e.g.</w:t>
      </w:r>
      <w:r>
        <w:rPr>
          <w:rFonts w:ascii="Arial" w:hAnsi="Arial" w:eastAsia="Arial" w:cs="Arial"/>
          <w:spacing w:val="20"/>
          <w:w w:val="101"/>
          <w:sz w:val="19"/>
          <w:szCs w:val="19"/>
        </w:rPr>
        <w:t xml:space="preserve"> </w:t>
      </w:r>
      <w:r>
        <w:rPr>
          <w:rFonts w:ascii="Arial" w:hAnsi="Arial" w:eastAsia="Arial" w:cs="Arial"/>
          <w:spacing w:val="-6"/>
          <w:sz w:val="19"/>
          <w:szCs w:val="19"/>
        </w:rPr>
        <w:t>accreditation,</w:t>
      </w:r>
      <w:r>
        <w:rPr>
          <w:rFonts w:ascii="Arial" w:hAnsi="Arial" w:eastAsia="Arial" w:cs="Arial"/>
          <w:spacing w:val="19"/>
          <w:w w:val="101"/>
          <w:sz w:val="19"/>
          <w:szCs w:val="19"/>
        </w:rPr>
        <w:t xml:space="preserve"> </w:t>
      </w:r>
      <w:r>
        <w:rPr>
          <w:rFonts w:ascii="Arial" w:hAnsi="Arial" w:eastAsia="Arial" w:cs="Arial"/>
          <w:spacing w:val="-6"/>
          <w:sz w:val="19"/>
          <w:szCs w:val="19"/>
        </w:rPr>
        <w:t>audit)</w:t>
      </w:r>
      <w:r>
        <w:rPr>
          <w:rFonts w:ascii="Arial" w:hAnsi="Arial" w:eastAsia="Arial" w:cs="Arial"/>
          <w:spacing w:val="20"/>
          <w:sz w:val="19"/>
          <w:szCs w:val="19"/>
        </w:rPr>
        <w:t xml:space="preserve"> </w:t>
      </w:r>
      <w:r>
        <w:rPr>
          <w:rFonts w:ascii="Arial" w:hAnsi="Arial" w:eastAsia="Arial" w:cs="Arial"/>
          <w:spacing w:val="-6"/>
          <w:sz w:val="19"/>
          <w:szCs w:val="19"/>
        </w:rPr>
        <w:t>qua</w:t>
      </w:r>
      <w:r>
        <w:rPr>
          <w:rFonts w:ascii="Arial" w:hAnsi="Arial" w:eastAsia="Arial" w:cs="Arial"/>
          <w:spacing w:val="-7"/>
          <w:sz w:val="19"/>
          <w:szCs w:val="19"/>
        </w:rPr>
        <w:t>lity</w:t>
      </w:r>
      <w:r>
        <w:rPr>
          <w:rFonts w:ascii="Arial" w:hAnsi="Arial" w:eastAsia="Arial" w:cs="Arial"/>
          <w:spacing w:val="20"/>
          <w:w w:val="101"/>
          <w:sz w:val="19"/>
          <w:szCs w:val="19"/>
        </w:rPr>
        <w:t xml:space="preserve"> </w:t>
      </w:r>
      <w:r>
        <w:rPr>
          <w:rFonts w:ascii="Arial" w:hAnsi="Arial" w:eastAsia="Arial" w:cs="Arial"/>
          <w:spacing w:val="-7"/>
          <w:sz w:val="19"/>
          <w:szCs w:val="19"/>
        </w:rPr>
        <w:t>assurance</w:t>
      </w:r>
      <w:r>
        <w:rPr>
          <w:rFonts w:ascii="Arial" w:hAnsi="Arial" w:eastAsia="Arial" w:cs="Arial"/>
          <w:spacing w:val="21"/>
          <w:sz w:val="19"/>
          <w:szCs w:val="19"/>
        </w:rPr>
        <w:t xml:space="preserve"> </w:t>
      </w:r>
      <w:r>
        <w:rPr>
          <w:rFonts w:ascii="Arial" w:hAnsi="Arial" w:eastAsia="Arial" w:cs="Arial"/>
          <w:spacing w:val="-7"/>
          <w:sz w:val="19"/>
          <w:szCs w:val="19"/>
        </w:rPr>
        <w:t>approaches.</w:t>
      </w:r>
      <w:r>
        <w:rPr>
          <w:rFonts w:ascii="Arial" w:hAnsi="Arial" w:eastAsia="Arial" w:cs="Arial"/>
          <w:spacing w:val="16"/>
          <w:w w:val="101"/>
          <w:sz w:val="19"/>
          <w:szCs w:val="19"/>
        </w:rPr>
        <w:t xml:space="preserve"> </w:t>
      </w:r>
      <w:r>
        <w:rPr>
          <w:rFonts w:ascii="Arial" w:hAnsi="Arial" w:eastAsia="Arial" w:cs="Arial"/>
          <w:spacing w:val="-7"/>
          <w:sz w:val="19"/>
          <w:szCs w:val="19"/>
        </w:rPr>
        <w:t>What</w:t>
      </w:r>
      <w:r>
        <w:rPr>
          <w:rFonts w:ascii="Arial" w:hAnsi="Arial" w:eastAsia="Arial" w:cs="Arial"/>
          <w:spacing w:val="20"/>
          <w:w w:val="101"/>
          <w:sz w:val="19"/>
          <w:szCs w:val="19"/>
        </w:rPr>
        <w:t xml:space="preserve"> </w:t>
      </w:r>
      <w:r>
        <w:rPr>
          <w:rFonts w:ascii="Arial" w:hAnsi="Arial" w:eastAsia="Arial" w:cs="Arial"/>
          <w:spacing w:val="-7"/>
          <w:sz w:val="19"/>
          <w:szCs w:val="19"/>
        </w:rPr>
        <w:t>all</w:t>
      </w:r>
      <w:r>
        <w:rPr>
          <w:rFonts w:ascii="Arial" w:hAnsi="Arial" w:eastAsia="Arial" w:cs="Arial"/>
          <w:spacing w:val="20"/>
          <w:sz w:val="19"/>
          <w:szCs w:val="19"/>
        </w:rPr>
        <w:t xml:space="preserve"> </w:t>
      </w:r>
      <w:r>
        <w:rPr>
          <w:rFonts w:ascii="Arial" w:hAnsi="Arial" w:eastAsia="Arial" w:cs="Arial"/>
          <w:spacing w:val="-7"/>
          <w:sz w:val="19"/>
          <w:szCs w:val="19"/>
        </w:rPr>
        <w:t>of</w:t>
      </w:r>
      <w:r>
        <w:rPr>
          <w:rFonts w:ascii="Arial" w:hAnsi="Arial" w:eastAsia="Arial" w:cs="Arial"/>
          <w:spacing w:val="9"/>
          <w:sz w:val="19"/>
          <w:szCs w:val="19"/>
        </w:rPr>
        <w:t xml:space="preserve"> </w:t>
      </w:r>
      <w:r>
        <w:rPr>
          <w:rFonts w:ascii="Arial" w:hAnsi="Arial" w:eastAsia="Arial" w:cs="Arial"/>
          <w:spacing w:val="-7"/>
          <w:sz w:val="19"/>
          <w:szCs w:val="19"/>
        </w:rPr>
        <w:t>these</w:t>
      </w:r>
      <w:r>
        <w:rPr>
          <w:rFonts w:ascii="Arial" w:hAnsi="Arial" w:eastAsia="Arial" w:cs="Arial"/>
          <w:sz w:val="19"/>
          <w:szCs w:val="19"/>
        </w:rPr>
        <w:t xml:space="preserve"> </w:t>
      </w:r>
      <w:r>
        <w:rPr>
          <w:rFonts w:ascii="Arial" w:hAnsi="Arial" w:eastAsia="Arial" w:cs="Arial"/>
          <w:spacing w:val="-4"/>
          <w:sz w:val="19"/>
          <w:szCs w:val="19"/>
        </w:rPr>
        <w:t>approaches</w:t>
      </w:r>
      <w:r>
        <w:rPr>
          <w:rFonts w:ascii="Arial" w:hAnsi="Arial" w:eastAsia="Arial" w:cs="Arial"/>
          <w:spacing w:val="27"/>
          <w:w w:val="101"/>
          <w:sz w:val="19"/>
          <w:szCs w:val="19"/>
        </w:rPr>
        <w:t xml:space="preserve"> </w:t>
      </w:r>
      <w:r>
        <w:rPr>
          <w:rFonts w:ascii="Arial" w:hAnsi="Arial" w:eastAsia="Arial" w:cs="Arial"/>
          <w:spacing w:val="-4"/>
          <w:sz w:val="19"/>
          <w:szCs w:val="19"/>
        </w:rPr>
        <w:t>have</w:t>
      </w:r>
      <w:r>
        <w:rPr>
          <w:rFonts w:ascii="Arial" w:hAnsi="Arial" w:eastAsia="Arial" w:cs="Arial"/>
          <w:spacing w:val="24"/>
          <w:sz w:val="19"/>
          <w:szCs w:val="19"/>
        </w:rPr>
        <w:t xml:space="preserve"> </w:t>
      </w:r>
      <w:r>
        <w:rPr>
          <w:rFonts w:ascii="Arial" w:hAnsi="Arial" w:eastAsia="Arial" w:cs="Arial"/>
          <w:spacing w:val="-4"/>
          <w:sz w:val="19"/>
          <w:szCs w:val="19"/>
        </w:rPr>
        <w:t>in</w:t>
      </w:r>
      <w:r>
        <w:rPr>
          <w:rFonts w:ascii="Arial" w:hAnsi="Arial" w:eastAsia="Arial" w:cs="Arial"/>
          <w:spacing w:val="19"/>
          <w:sz w:val="19"/>
          <w:szCs w:val="19"/>
        </w:rPr>
        <w:t xml:space="preserve"> </w:t>
      </w:r>
      <w:r>
        <w:rPr>
          <w:rFonts w:ascii="Arial" w:hAnsi="Arial" w:eastAsia="Arial" w:cs="Arial"/>
          <w:spacing w:val="-4"/>
          <w:sz w:val="19"/>
          <w:szCs w:val="19"/>
        </w:rPr>
        <w:t>common,</w:t>
      </w:r>
      <w:r>
        <w:rPr>
          <w:rFonts w:ascii="Arial" w:hAnsi="Arial" w:eastAsia="Arial" w:cs="Arial"/>
          <w:spacing w:val="23"/>
          <w:sz w:val="19"/>
          <w:szCs w:val="19"/>
        </w:rPr>
        <w:t xml:space="preserve"> </w:t>
      </w:r>
      <w:r>
        <w:rPr>
          <w:rFonts w:ascii="Arial" w:hAnsi="Arial" w:eastAsia="Arial" w:cs="Arial"/>
          <w:spacing w:val="-4"/>
          <w:sz w:val="19"/>
          <w:szCs w:val="19"/>
        </w:rPr>
        <w:t>is</w:t>
      </w:r>
      <w:r>
        <w:rPr>
          <w:rFonts w:ascii="Arial" w:hAnsi="Arial" w:eastAsia="Arial" w:cs="Arial"/>
          <w:spacing w:val="16"/>
          <w:sz w:val="19"/>
          <w:szCs w:val="19"/>
        </w:rPr>
        <w:t xml:space="preserve"> </w:t>
      </w:r>
      <w:r>
        <w:rPr>
          <w:rFonts w:ascii="Arial" w:hAnsi="Arial" w:eastAsia="Arial" w:cs="Arial"/>
          <w:spacing w:val="-4"/>
          <w:sz w:val="19"/>
          <w:szCs w:val="19"/>
        </w:rPr>
        <w:t>that ‘quality’</w:t>
      </w:r>
      <w:r>
        <w:rPr>
          <w:rFonts w:ascii="Arial" w:hAnsi="Arial" w:eastAsia="Arial" w:cs="Arial"/>
          <w:spacing w:val="24"/>
          <w:w w:val="101"/>
          <w:sz w:val="19"/>
          <w:szCs w:val="19"/>
        </w:rPr>
        <w:t xml:space="preserve"> </w:t>
      </w:r>
      <w:r>
        <w:rPr>
          <w:rFonts w:ascii="Arial" w:hAnsi="Arial" w:eastAsia="Arial" w:cs="Arial"/>
          <w:spacing w:val="-4"/>
          <w:sz w:val="19"/>
          <w:szCs w:val="19"/>
        </w:rPr>
        <w:t>must</w:t>
      </w:r>
      <w:r>
        <w:rPr>
          <w:rFonts w:ascii="Arial" w:hAnsi="Arial" w:eastAsia="Arial" w:cs="Arial"/>
          <w:spacing w:val="24"/>
          <w:sz w:val="19"/>
          <w:szCs w:val="19"/>
        </w:rPr>
        <w:t xml:space="preserve"> </w:t>
      </w:r>
      <w:r>
        <w:rPr>
          <w:rFonts w:ascii="Arial" w:hAnsi="Arial" w:eastAsia="Arial" w:cs="Arial"/>
          <w:spacing w:val="-4"/>
          <w:sz w:val="19"/>
          <w:szCs w:val="19"/>
        </w:rPr>
        <w:t>be</w:t>
      </w:r>
      <w:r>
        <w:rPr>
          <w:rFonts w:ascii="Arial" w:hAnsi="Arial" w:eastAsia="Arial" w:cs="Arial"/>
          <w:spacing w:val="19"/>
          <w:sz w:val="19"/>
          <w:szCs w:val="19"/>
        </w:rPr>
        <w:t xml:space="preserve"> </w:t>
      </w:r>
      <w:r>
        <w:rPr>
          <w:rFonts w:ascii="Arial" w:hAnsi="Arial" w:eastAsia="Arial" w:cs="Arial"/>
          <w:spacing w:val="-4"/>
          <w:sz w:val="19"/>
          <w:szCs w:val="19"/>
        </w:rPr>
        <w:t>deined</w:t>
      </w:r>
      <w:r>
        <w:rPr>
          <w:rFonts w:ascii="Arial" w:hAnsi="Arial" w:eastAsia="Arial" w:cs="Arial"/>
          <w:spacing w:val="19"/>
          <w:w w:val="101"/>
          <w:sz w:val="19"/>
          <w:szCs w:val="19"/>
        </w:rPr>
        <w:t xml:space="preserve"> </w:t>
      </w:r>
      <w:r>
        <w:rPr>
          <w:rFonts w:ascii="Arial" w:hAnsi="Arial" w:eastAsia="Arial" w:cs="Arial"/>
          <w:spacing w:val="-4"/>
          <w:sz w:val="19"/>
          <w:szCs w:val="19"/>
        </w:rPr>
        <w:t>o</w:t>
      </w:r>
      <w:r>
        <w:rPr>
          <w:rFonts w:ascii="Arial" w:hAnsi="Arial" w:eastAsia="Arial" w:cs="Arial"/>
          <w:spacing w:val="-5"/>
          <w:sz w:val="19"/>
          <w:szCs w:val="19"/>
        </w:rPr>
        <w:t>n</w:t>
      </w:r>
      <w:r>
        <w:rPr>
          <w:rFonts w:ascii="Arial" w:hAnsi="Arial" w:eastAsia="Arial" w:cs="Arial"/>
          <w:spacing w:val="15"/>
          <w:sz w:val="19"/>
          <w:szCs w:val="19"/>
        </w:rPr>
        <w:t xml:space="preserve"> </w:t>
      </w:r>
      <w:r>
        <w:rPr>
          <w:rFonts w:ascii="Arial" w:hAnsi="Arial" w:eastAsia="Arial" w:cs="Arial"/>
          <w:spacing w:val="-5"/>
          <w:sz w:val="19"/>
          <w:szCs w:val="19"/>
        </w:rPr>
        <w:t>the</w:t>
      </w:r>
      <w:r>
        <w:rPr>
          <w:rFonts w:ascii="Arial" w:hAnsi="Arial" w:eastAsia="Arial" w:cs="Arial"/>
          <w:spacing w:val="25"/>
          <w:sz w:val="19"/>
          <w:szCs w:val="19"/>
        </w:rPr>
        <w:t xml:space="preserve"> </w:t>
      </w:r>
      <w:r>
        <w:rPr>
          <w:rFonts w:ascii="Arial" w:hAnsi="Arial" w:eastAsia="Arial" w:cs="Arial"/>
          <w:spacing w:val="-5"/>
          <w:sz w:val="19"/>
          <w:szCs w:val="19"/>
        </w:rPr>
        <w:t>basis</w:t>
      </w:r>
      <w:r>
        <w:rPr>
          <w:rFonts w:ascii="Arial" w:hAnsi="Arial" w:eastAsia="Arial" w:cs="Arial"/>
          <w:spacing w:val="20"/>
          <w:sz w:val="19"/>
          <w:szCs w:val="19"/>
        </w:rPr>
        <w:t xml:space="preserve"> </w:t>
      </w:r>
      <w:r>
        <w:rPr>
          <w:rFonts w:ascii="Arial" w:hAnsi="Arial" w:eastAsia="Arial" w:cs="Arial"/>
          <w:spacing w:val="-5"/>
          <w:sz w:val="19"/>
          <w:szCs w:val="19"/>
        </w:rPr>
        <w:t>of</w:t>
      </w:r>
      <w:r>
        <w:rPr>
          <w:rFonts w:ascii="Arial" w:hAnsi="Arial" w:eastAsia="Arial" w:cs="Arial"/>
          <w:spacing w:val="11"/>
          <w:sz w:val="19"/>
          <w:szCs w:val="19"/>
        </w:rPr>
        <w:t xml:space="preserve"> </w:t>
      </w:r>
      <w:r>
        <w:rPr>
          <w:rFonts w:ascii="Arial" w:hAnsi="Arial" w:eastAsia="Arial" w:cs="Arial"/>
          <w:spacing w:val="-5"/>
          <w:sz w:val="19"/>
          <w:szCs w:val="19"/>
        </w:rPr>
        <w:t>clear</w:t>
      </w:r>
      <w:r>
        <w:rPr>
          <w:rFonts w:ascii="Arial" w:hAnsi="Arial" w:eastAsia="Arial" w:cs="Arial"/>
          <w:spacing w:val="20"/>
          <w:sz w:val="19"/>
          <w:szCs w:val="19"/>
        </w:rPr>
        <w:t xml:space="preserve"> </w:t>
      </w:r>
      <w:r>
        <w:rPr>
          <w:rFonts w:ascii="Arial" w:hAnsi="Arial" w:eastAsia="Arial" w:cs="Arial"/>
          <w:spacing w:val="-5"/>
          <w:sz w:val="19"/>
          <w:szCs w:val="19"/>
        </w:rPr>
        <w:t>criteria</w:t>
      </w:r>
      <w:r>
        <w:rPr>
          <w:rFonts w:ascii="Arial" w:hAnsi="Arial" w:eastAsia="Arial" w:cs="Arial"/>
          <w:spacing w:val="14"/>
          <w:sz w:val="19"/>
          <w:szCs w:val="19"/>
        </w:rPr>
        <w:t xml:space="preserve"> </w:t>
      </w:r>
      <w:r>
        <w:rPr>
          <w:rFonts w:ascii="Arial" w:hAnsi="Arial" w:eastAsia="Arial" w:cs="Arial"/>
          <w:spacing w:val="-5"/>
          <w:sz w:val="19"/>
          <w:szCs w:val="19"/>
        </w:rPr>
        <w:t>irst</w:t>
      </w:r>
      <w:r>
        <w:rPr>
          <w:rFonts w:ascii="Arial" w:hAnsi="Arial" w:eastAsia="Arial" w:cs="Arial"/>
          <w:spacing w:val="24"/>
          <w:w w:val="101"/>
          <w:sz w:val="19"/>
          <w:szCs w:val="19"/>
        </w:rPr>
        <w:t xml:space="preserve"> </w:t>
      </w:r>
      <w:r>
        <w:rPr>
          <w:rFonts w:ascii="Arial" w:hAnsi="Arial" w:eastAsia="Arial" w:cs="Arial"/>
          <w:spacing w:val="-5"/>
          <w:sz w:val="19"/>
          <w:szCs w:val="19"/>
        </w:rPr>
        <w:t>in</w:t>
      </w:r>
      <w:r>
        <w:rPr>
          <w:rFonts w:ascii="Arial" w:hAnsi="Arial" w:eastAsia="Arial" w:cs="Arial"/>
          <w:sz w:val="19"/>
          <w:szCs w:val="19"/>
        </w:rPr>
        <w:t xml:space="preserve"> </w:t>
      </w:r>
      <w:r>
        <w:rPr>
          <w:rFonts w:ascii="Arial" w:hAnsi="Arial" w:eastAsia="Arial" w:cs="Arial"/>
          <w:spacing w:val="-6"/>
          <w:sz w:val="19"/>
          <w:szCs w:val="19"/>
        </w:rPr>
        <w:t>order</w:t>
      </w:r>
      <w:r>
        <w:rPr>
          <w:rFonts w:ascii="Arial" w:hAnsi="Arial" w:eastAsia="Arial" w:cs="Arial"/>
          <w:spacing w:val="9"/>
          <w:sz w:val="19"/>
          <w:szCs w:val="19"/>
        </w:rPr>
        <w:t xml:space="preserve"> </w:t>
      </w:r>
      <w:r>
        <w:rPr>
          <w:rFonts w:ascii="Arial" w:hAnsi="Arial" w:eastAsia="Arial" w:cs="Arial"/>
          <w:spacing w:val="-6"/>
          <w:sz w:val="19"/>
          <w:szCs w:val="19"/>
        </w:rPr>
        <w:t>to</w:t>
      </w:r>
      <w:r>
        <w:rPr>
          <w:rFonts w:ascii="Arial" w:hAnsi="Arial" w:eastAsia="Arial" w:cs="Arial"/>
          <w:spacing w:val="18"/>
          <w:sz w:val="19"/>
          <w:szCs w:val="19"/>
        </w:rPr>
        <w:t xml:space="preserve"> </w:t>
      </w:r>
      <w:r>
        <w:rPr>
          <w:rFonts w:ascii="Arial" w:hAnsi="Arial" w:eastAsia="Arial" w:cs="Arial"/>
          <w:spacing w:val="-6"/>
          <w:sz w:val="19"/>
          <w:szCs w:val="19"/>
        </w:rPr>
        <w:t>be</w:t>
      </w:r>
      <w:r>
        <w:rPr>
          <w:rFonts w:ascii="Arial" w:hAnsi="Arial" w:eastAsia="Arial" w:cs="Arial"/>
          <w:spacing w:val="17"/>
          <w:sz w:val="19"/>
          <w:szCs w:val="19"/>
        </w:rPr>
        <w:t xml:space="preserve"> </w:t>
      </w:r>
      <w:r>
        <w:rPr>
          <w:rFonts w:ascii="Arial" w:hAnsi="Arial" w:eastAsia="Arial" w:cs="Arial"/>
          <w:spacing w:val="-6"/>
          <w:sz w:val="19"/>
          <w:szCs w:val="19"/>
        </w:rPr>
        <w:t>measurable.</w:t>
      </w:r>
      <w:r>
        <w:rPr>
          <w:rFonts w:ascii="Arial" w:hAnsi="Arial" w:eastAsia="Arial" w:cs="Arial"/>
          <w:spacing w:val="17"/>
          <w:sz w:val="19"/>
          <w:szCs w:val="19"/>
        </w:rPr>
        <w:t xml:space="preserve"> </w:t>
      </w:r>
      <w:r>
        <w:rPr>
          <w:rFonts w:ascii="Arial" w:hAnsi="Arial" w:eastAsia="Arial" w:cs="Arial"/>
          <w:spacing w:val="-6"/>
          <w:sz w:val="19"/>
          <w:szCs w:val="19"/>
        </w:rPr>
        <w:t>Moreover,</w:t>
      </w:r>
      <w:r>
        <w:rPr>
          <w:rFonts w:ascii="Arial" w:hAnsi="Arial" w:eastAsia="Arial" w:cs="Arial"/>
          <w:spacing w:val="16"/>
          <w:sz w:val="19"/>
          <w:szCs w:val="19"/>
        </w:rPr>
        <w:t xml:space="preserve"> </w:t>
      </w:r>
      <w:r>
        <w:rPr>
          <w:rFonts w:ascii="Arial" w:hAnsi="Arial" w:eastAsia="Arial" w:cs="Arial"/>
          <w:spacing w:val="-6"/>
          <w:sz w:val="19"/>
          <w:szCs w:val="19"/>
        </w:rPr>
        <w:t>it</w:t>
      </w:r>
      <w:r>
        <w:rPr>
          <w:rFonts w:ascii="Arial" w:hAnsi="Arial" w:eastAsia="Arial" w:cs="Arial"/>
          <w:spacing w:val="16"/>
          <w:sz w:val="19"/>
          <w:szCs w:val="19"/>
        </w:rPr>
        <w:t xml:space="preserve"> </w:t>
      </w:r>
      <w:r>
        <w:rPr>
          <w:rFonts w:ascii="Arial" w:hAnsi="Arial" w:eastAsia="Arial" w:cs="Arial"/>
          <w:spacing w:val="-6"/>
          <w:sz w:val="19"/>
          <w:szCs w:val="19"/>
        </w:rPr>
        <w:t>is vital that</w:t>
      </w:r>
      <w:r>
        <w:rPr>
          <w:rFonts w:ascii="Arial" w:hAnsi="Arial" w:eastAsia="Arial" w:cs="Arial"/>
          <w:spacing w:val="11"/>
          <w:sz w:val="19"/>
          <w:szCs w:val="19"/>
        </w:rPr>
        <w:t xml:space="preserve"> </w:t>
      </w:r>
      <w:r>
        <w:rPr>
          <w:rFonts w:ascii="Arial" w:hAnsi="Arial" w:eastAsia="Arial" w:cs="Arial"/>
          <w:spacing w:val="-6"/>
          <w:sz w:val="19"/>
          <w:szCs w:val="19"/>
        </w:rPr>
        <w:t>quality</w:t>
      </w:r>
      <w:r>
        <w:rPr>
          <w:rFonts w:ascii="Arial" w:hAnsi="Arial" w:eastAsia="Arial" w:cs="Arial"/>
          <w:spacing w:val="11"/>
          <w:sz w:val="19"/>
          <w:szCs w:val="19"/>
        </w:rPr>
        <w:t xml:space="preserve"> </w:t>
      </w:r>
      <w:r>
        <w:rPr>
          <w:rFonts w:ascii="Arial" w:hAnsi="Arial" w:eastAsia="Arial" w:cs="Arial"/>
          <w:spacing w:val="-6"/>
          <w:sz w:val="19"/>
          <w:szCs w:val="19"/>
        </w:rPr>
        <w:t>assurance</w:t>
      </w:r>
      <w:r>
        <w:rPr>
          <w:rFonts w:ascii="Arial" w:hAnsi="Arial" w:eastAsia="Arial" w:cs="Arial"/>
          <w:spacing w:val="18"/>
          <w:sz w:val="19"/>
          <w:szCs w:val="19"/>
        </w:rPr>
        <w:t xml:space="preserve"> </w:t>
      </w:r>
      <w:r>
        <w:rPr>
          <w:rFonts w:ascii="Arial" w:hAnsi="Arial" w:eastAsia="Arial" w:cs="Arial"/>
          <w:spacing w:val="-6"/>
          <w:sz w:val="19"/>
          <w:szCs w:val="19"/>
        </w:rPr>
        <w:t>me</w:t>
      </w:r>
      <w:r>
        <w:rPr>
          <w:rFonts w:ascii="Arial" w:hAnsi="Arial" w:eastAsia="Arial" w:cs="Arial"/>
          <w:spacing w:val="-7"/>
          <w:sz w:val="19"/>
          <w:szCs w:val="19"/>
        </w:rPr>
        <w:t>asures</w:t>
      </w:r>
      <w:r>
        <w:rPr>
          <w:rFonts w:ascii="Arial" w:hAnsi="Arial" w:eastAsia="Arial" w:cs="Arial"/>
          <w:spacing w:val="11"/>
          <w:sz w:val="19"/>
          <w:szCs w:val="19"/>
        </w:rPr>
        <w:t xml:space="preserve"> </w:t>
      </w:r>
      <w:r>
        <w:rPr>
          <w:rFonts w:ascii="Arial" w:hAnsi="Arial" w:eastAsia="Arial" w:cs="Arial"/>
          <w:spacing w:val="-7"/>
          <w:sz w:val="19"/>
          <w:szCs w:val="19"/>
        </w:rPr>
        <w:t>are</w:t>
      </w:r>
      <w:r>
        <w:rPr>
          <w:rFonts w:ascii="Arial" w:hAnsi="Arial" w:eastAsia="Arial" w:cs="Arial"/>
          <w:spacing w:val="18"/>
          <w:sz w:val="19"/>
          <w:szCs w:val="19"/>
        </w:rPr>
        <w:t xml:space="preserve"> </w:t>
      </w:r>
      <w:r>
        <w:rPr>
          <w:rFonts w:ascii="Arial" w:hAnsi="Arial" w:eastAsia="Arial" w:cs="Arial"/>
          <w:spacing w:val="-7"/>
          <w:sz w:val="19"/>
          <w:szCs w:val="19"/>
        </w:rPr>
        <w:t>not</w:t>
      </w:r>
      <w:r>
        <w:rPr>
          <w:rFonts w:ascii="Arial" w:hAnsi="Arial" w:eastAsia="Arial" w:cs="Arial"/>
          <w:spacing w:val="12"/>
          <w:sz w:val="19"/>
          <w:szCs w:val="19"/>
        </w:rPr>
        <w:t xml:space="preserve"> </w:t>
      </w:r>
      <w:r>
        <w:rPr>
          <w:rFonts w:ascii="Arial" w:hAnsi="Arial" w:eastAsia="Arial" w:cs="Arial"/>
          <w:spacing w:val="-7"/>
          <w:sz w:val="19"/>
          <w:szCs w:val="19"/>
        </w:rPr>
        <w:t>ends</w:t>
      </w:r>
      <w:r>
        <w:rPr>
          <w:rFonts w:ascii="Arial" w:hAnsi="Arial" w:eastAsia="Arial" w:cs="Arial"/>
          <w:spacing w:val="17"/>
          <w:w w:val="101"/>
          <w:sz w:val="19"/>
          <w:szCs w:val="19"/>
        </w:rPr>
        <w:t xml:space="preserve"> </w:t>
      </w:r>
      <w:r>
        <w:rPr>
          <w:rFonts w:ascii="Arial" w:hAnsi="Arial" w:eastAsia="Arial" w:cs="Arial"/>
          <w:spacing w:val="-7"/>
          <w:sz w:val="19"/>
          <w:szCs w:val="19"/>
        </w:rPr>
        <w:t>in them-</w:t>
      </w:r>
      <w:r>
        <w:rPr>
          <w:rFonts w:ascii="Arial" w:hAnsi="Arial" w:eastAsia="Arial" w:cs="Arial"/>
          <w:sz w:val="19"/>
          <w:szCs w:val="19"/>
        </w:rPr>
        <w:t xml:space="preserve"> </w:t>
      </w:r>
      <w:r>
        <w:rPr>
          <w:rFonts w:ascii="Arial" w:hAnsi="Arial" w:eastAsia="Arial" w:cs="Arial"/>
          <w:spacing w:val="-4"/>
          <w:sz w:val="19"/>
          <w:szCs w:val="19"/>
        </w:rPr>
        <w:t>selves if</w:t>
      </w:r>
      <w:r>
        <w:rPr>
          <w:rFonts w:ascii="Arial" w:hAnsi="Arial" w:eastAsia="Arial" w:cs="Arial"/>
          <w:spacing w:val="-15"/>
          <w:sz w:val="19"/>
          <w:szCs w:val="19"/>
        </w:rPr>
        <w:t xml:space="preserve"> </w:t>
      </w:r>
      <w:r>
        <w:rPr>
          <w:rFonts w:ascii="Arial" w:hAnsi="Arial" w:eastAsia="Arial" w:cs="Arial"/>
          <w:spacing w:val="-4"/>
          <w:sz w:val="19"/>
          <w:szCs w:val="19"/>
        </w:rPr>
        <w:t>they are to contribute to actual quality development: results and i</w:t>
      </w:r>
      <w:r>
        <w:rPr>
          <w:rFonts w:ascii="Arial" w:hAnsi="Arial" w:eastAsia="Arial" w:cs="Arial"/>
          <w:spacing w:val="-5"/>
          <w:sz w:val="19"/>
          <w:szCs w:val="19"/>
        </w:rPr>
        <w:t>ndings have to be system-</w:t>
      </w:r>
      <w:r>
        <w:rPr>
          <w:rFonts w:ascii="Arial" w:hAnsi="Arial" w:eastAsia="Arial" w:cs="Arial"/>
          <w:sz w:val="19"/>
          <w:szCs w:val="19"/>
        </w:rPr>
        <w:t xml:space="preserve"> </w:t>
      </w:r>
      <w:r>
        <w:rPr>
          <w:rFonts w:ascii="Arial" w:hAnsi="Arial" w:eastAsia="Arial" w:cs="Arial"/>
          <w:spacing w:val="-4"/>
          <w:sz w:val="19"/>
          <w:szCs w:val="19"/>
        </w:rPr>
        <w:t>atically  integrated  into  a  continuous  quality</w:t>
      </w:r>
      <w:r>
        <w:rPr>
          <w:rFonts w:ascii="Arial" w:hAnsi="Arial" w:eastAsia="Arial" w:cs="Arial"/>
          <w:spacing w:val="1"/>
          <w:sz w:val="19"/>
          <w:szCs w:val="19"/>
        </w:rPr>
        <w:t xml:space="preserve">  </w:t>
      </w:r>
      <w:r>
        <w:rPr>
          <w:rFonts w:ascii="Arial" w:hAnsi="Arial" w:eastAsia="Arial" w:cs="Arial"/>
          <w:spacing w:val="-4"/>
          <w:sz w:val="19"/>
          <w:szCs w:val="19"/>
        </w:rPr>
        <w:t>evaluation</w:t>
      </w:r>
      <w:r>
        <w:rPr>
          <w:rFonts w:ascii="Arial" w:hAnsi="Arial" w:eastAsia="Arial" w:cs="Arial"/>
          <w:spacing w:val="1"/>
          <w:sz w:val="19"/>
          <w:szCs w:val="19"/>
        </w:rPr>
        <w:t xml:space="preserve">  </w:t>
      </w:r>
      <w:r>
        <w:rPr>
          <w:rFonts w:ascii="Arial" w:hAnsi="Arial" w:eastAsia="Arial" w:cs="Arial"/>
          <w:spacing w:val="-4"/>
          <w:sz w:val="19"/>
          <w:szCs w:val="19"/>
        </w:rPr>
        <w:t>cycle</w:t>
      </w:r>
      <w:r>
        <w:rPr>
          <w:rFonts w:ascii="Arial" w:hAnsi="Arial" w:eastAsia="Arial" w:cs="Arial"/>
          <w:spacing w:val="3"/>
          <w:sz w:val="19"/>
          <w:szCs w:val="19"/>
        </w:rPr>
        <w:t xml:space="preserve">  </w:t>
      </w:r>
      <w:r>
        <w:rPr>
          <w:rFonts w:ascii="Arial" w:hAnsi="Arial" w:eastAsia="Arial" w:cs="Arial"/>
          <w:spacing w:val="-4"/>
          <w:sz w:val="19"/>
          <w:szCs w:val="19"/>
        </w:rPr>
        <w:t>in</w:t>
      </w:r>
      <w:r>
        <w:rPr>
          <w:rFonts w:ascii="Arial" w:hAnsi="Arial" w:eastAsia="Arial" w:cs="Arial"/>
          <w:spacing w:val="1"/>
          <w:sz w:val="19"/>
          <w:szCs w:val="19"/>
        </w:rPr>
        <w:t xml:space="preserve">  </w:t>
      </w:r>
      <w:r>
        <w:rPr>
          <w:rFonts w:ascii="Arial" w:hAnsi="Arial" w:eastAsia="Arial" w:cs="Arial"/>
          <w:spacing w:val="-4"/>
          <w:sz w:val="19"/>
          <w:szCs w:val="19"/>
        </w:rPr>
        <w:t>order</w:t>
      </w:r>
      <w:r>
        <w:rPr>
          <w:rFonts w:ascii="Arial" w:hAnsi="Arial" w:eastAsia="Arial" w:cs="Arial"/>
          <w:spacing w:val="51"/>
          <w:w w:val="101"/>
          <w:sz w:val="19"/>
          <w:szCs w:val="19"/>
        </w:rPr>
        <w:t xml:space="preserve"> </w:t>
      </w:r>
      <w:r>
        <w:rPr>
          <w:rFonts w:ascii="Arial" w:hAnsi="Arial" w:eastAsia="Arial" w:cs="Arial"/>
          <w:spacing w:val="-4"/>
          <w:sz w:val="19"/>
          <w:szCs w:val="19"/>
        </w:rPr>
        <w:t>to</w:t>
      </w:r>
      <w:r>
        <w:rPr>
          <w:rFonts w:ascii="Arial" w:hAnsi="Arial" w:eastAsia="Arial" w:cs="Arial"/>
          <w:spacing w:val="1"/>
          <w:sz w:val="19"/>
          <w:szCs w:val="19"/>
        </w:rPr>
        <w:t xml:space="preserve">  </w:t>
      </w:r>
      <w:r>
        <w:rPr>
          <w:rFonts w:ascii="Arial" w:hAnsi="Arial" w:eastAsia="Arial" w:cs="Arial"/>
          <w:spacing w:val="-4"/>
          <w:sz w:val="19"/>
          <w:szCs w:val="19"/>
        </w:rPr>
        <w:t>serve</w:t>
      </w:r>
      <w:r>
        <w:rPr>
          <w:rFonts w:ascii="Arial" w:hAnsi="Arial" w:eastAsia="Arial" w:cs="Arial"/>
          <w:spacing w:val="51"/>
          <w:w w:val="101"/>
          <w:sz w:val="19"/>
          <w:szCs w:val="19"/>
        </w:rPr>
        <w:t xml:space="preserve"> </w:t>
      </w:r>
      <w:r>
        <w:rPr>
          <w:rFonts w:ascii="Arial" w:hAnsi="Arial" w:eastAsia="Arial" w:cs="Arial"/>
          <w:spacing w:val="-4"/>
          <w:sz w:val="19"/>
          <w:szCs w:val="19"/>
        </w:rPr>
        <w:t>t</w:t>
      </w:r>
      <w:r>
        <w:rPr>
          <w:rFonts w:ascii="Arial" w:hAnsi="Arial" w:eastAsia="Arial" w:cs="Arial"/>
          <w:spacing w:val="-5"/>
          <w:sz w:val="19"/>
          <w:szCs w:val="19"/>
        </w:rPr>
        <w:t>heir</w:t>
      </w:r>
      <w:r>
        <w:rPr>
          <w:rFonts w:ascii="Arial" w:hAnsi="Arial" w:eastAsia="Arial" w:cs="Arial"/>
          <w:spacing w:val="4"/>
          <w:sz w:val="19"/>
          <w:szCs w:val="19"/>
        </w:rPr>
        <w:t xml:space="preserve">  </w:t>
      </w:r>
      <w:r>
        <w:rPr>
          <w:rFonts w:ascii="Arial" w:hAnsi="Arial" w:eastAsia="Arial" w:cs="Arial"/>
          <w:spacing w:val="-5"/>
          <w:sz w:val="19"/>
          <w:szCs w:val="19"/>
        </w:rPr>
        <w:t>purpose.</w:t>
      </w:r>
      <w:r>
        <w:rPr>
          <w:rFonts w:ascii="Arial" w:hAnsi="Arial" w:eastAsia="Arial" w:cs="Arial"/>
          <w:sz w:val="19"/>
          <w:szCs w:val="19"/>
        </w:rPr>
        <w:t xml:space="preserve"> </w:t>
      </w:r>
      <w:r>
        <w:rPr>
          <w:rFonts w:ascii="Arial" w:hAnsi="Arial" w:eastAsia="Arial" w:cs="Arial"/>
          <w:spacing w:val="-8"/>
          <w:sz w:val="19"/>
          <w:szCs w:val="19"/>
        </w:rPr>
        <w:t>Vlăsceanu,</w:t>
      </w:r>
      <w:r>
        <w:rPr>
          <w:rFonts w:ascii="Arial" w:hAnsi="Arial" w:eastAsia="Arial" w:cs="Arial"/>
          <w:spacing w:val="35"/>
          <w:w w:val="101"/>
          <w:sz w:val="19"/>
          <w:szCs w:val="19"/>
        </w:rPr>
        <w:t xml:space="preserve"> </w:t>
      </w:r>
      <w:r>
        <w:rPr>
          <w:rFonts w:ascii="Arial" w:hAnsi="Arial" w:eastAsia="Arial" w:cs="Arial"/>
          <w:spacing w:val="-8"/>
          <w:sz w:val="19"/>
          <w:szCs w:val="19"/>
        </w:rPr>
        <w:t>Grünberg,</w:t>
      </w:r>
      <w:r>
        <w:rPr>
          <w:rFonts w:ascii="Arial" w:hAnsi="Arial" w:eastAsia="Arial" w:cs="Arial"/>
          <w:spacing w:val="29"/>
          <w:sz w:val="19"/>
          <w:szCs w:val="19"/>
        </w:rPr>
        <w:t xml:space="preserve"> </w:t>
      </w:r>
      <w:r>
        <w:rPr>
          <w:rFonts w:ascii="Arial" w:hAnsi="Arial" w:eastAsia="Arial" w:cs="Arial"/>
          <w:spacing w:val="-8"/>
          <w:sz w:val="19"/>
          <w:szCs w:val="19"/>
        </w:rPr>
        <w:t>and</w:t>
      </w:r>
      <w:r>
        <w:rPr>
          <w:rFonts w:ascii="Arial" w:hAnsi="Arial" w:eastAsia="Arial" w:cs="Arial"/>
          <w:spacing w:val="35"/>
          <w:w w:val="101"/>
          <w:sz w:val="19"/>
          <w:szCs w:val="19"/>
        </w:rPr>
        <w:t xml:space="preserve"> </w:t>
      </w:r>
      <w:r>
        <w:rPr>
          <w:rFonts w:ascii="Arial" w:hAnsi="Arial" w:eastAsia="Arial" w:cs="Arial"/>
          <w:spacing w:val="-8"/>
          <w:sz w:val="19"/>
          <w:szCs w:val="19"/>
        </w:rPr>
        <w:t>Pârlea</w:t>
      </w:r>
      <w:r>
        <w:rPr>
          <w:rFonts w:ascii="Arial" w:hAnsi="Arial" w:eastAsia="Arial" w:cs="Arial"/>
          <w:spacing w:val="33"/>
          <w:w w:val="101"/>
          <w:sz w:val="19"/>
          <w:szCs w:val="19"/>
        </w:rPr>
        <w:t xml:space="preserve"> </w:t>
      </w:r>
      <w:r>
        <w:rPr>
          <w:rFonts w:ascii="Arial" w:hAnsi="Arial" w:eastAsia="Arial" w:cs="Arial"/>
          <w:spacing w:val="-8"/>
          <w:sz w:val="19"/>
          <w:szCs w:val="19"/>
        </w:rPr>
        <w:t>(</w:t>
      </w:r>
      <w:r>
        <w:fldChar w:fldCharType="begin"/>
      </w:r>
      <w:r>
        <w:instrText xml:space="preserve"> HYPERLINK \l "bookmark28" </w:instrText>
      </w:r>
      <w:r>
        <w:fldChar w:fldCharType="separate"/>
      </w:r>
      <w:r>
        <w:rPr>
          <w:rFonts w:ascii="Arial" w:hAnsi="Arial" w:eastAsia="Arial" w:cs="Arial"/>
          <w:color w:val="000084"/>
          <w:spacing w:val="-8"/>
          <w:sz w:val="19"/>
          <w:szCs w:val="19"/>
        </w:rPr>
        <w:t>2004</w:t>
      </w:r>
      <w:r>
        <w:rPr>
          <w:rFonts w:ascii="Arial" w:hAnsi="Arial" w:eastAsia="Arial" w:cs="Arial"/>
          <w:color w:val="000084"/>
          <w:spacing w:val="-8"/>
          <w:sz w:val="19"/>
          <w:szCs w:val="19"/>
        </w:rPr>
        <w:fldChar w:fldCharType="end"/>
      </w:r>
      <w:r>
        <w:rPr>
          <w:rFonts w:ascii="Arial" w:hAnsi="Arial" w:eastAsia="Arial" w:cs="Arial"/>
          <w:spacing w:val="-8"/>
          <w:sz w:val="19"/>
          <w:szCs w:val="19"/>
        </w:rPr>
        <w:t>)</w:t>
      </w:r>
      <w:r>
        <w:rPr>
          <w:rFonts w:ascii="Arial" w:hAnsi="Arial" w:eastAsia="Arial" w:cs="Arial"/>
          <w:spacing w:val="34"/>
          <w:sz w:val="19"/>
          <w:szCs w:val="19"/>
        </w:rPr>
        <w:t xml:space="preserve"> </w:t>
      </w:r>
      <w:r>
        <w:rPr>
          <w:rFonts w:ascii="Arial" w:hAnsi="Arial" w:eastAsia="Arial" w:cs="Arial"/>
          <w:spacing w:val="-8"/>
          <w:sz w:val="19"/>
          <w:szCs w:val="19"/>
        </w:rPr>
        <w:t>propose</w:t>
      </w:r>
      <w:r>
        <w:rPr>
          <w:rFonts w:ascii="Arial" w:hAnsi="Arial" w:eastAsia="Arial" w:cs="Arial"/>
          <w:spacing w:val="26"/>
          <w:sz w:val="19"/>
          <w:szCs w:val="19"/>
        </w:rPr>
        <w:t xml:space="preserve"> </w:t>
      </w:r>
      <w:r>
        <w:rPr>
          <w:rFonts w:ascii="Arial" w:hAnsi="Arial" w:eastAsia="Arial" w:cs="Arial"/>
          <w:spacing w:val="-8"/>
          <w:sz w:val="19"/>
          <w:szCs w:val="19"/>
        </w:rPr>
        <w:t>that</w:t>
      </w:r>
      <w:r>
        <w:rPr>
          <w:rFonts w:ascii="Arial" w:hAnsi="Arial" w:eastAsia="Arial" w:cs="Arial"/>
          <w:spacing w:val="28"/>
          <w:sz w:val="19"/>
          <w:szCs w:val="19"/>
        </w:rPr>
        <w:t xml:space="preserve"> </w:t>
      </w:r>
      <w:r>
        <w:rPr>
          <w:rFonts w:ascii="Arial" w:hAnsi="Arial" w:eastAsia="Arial" w:cs="Arial"/>
          <w:spacing w:val="-8"/>
          <w:sz w:val="19"/>
          <w:szCs w:val="19"/>
        </w:rPr>
        <w:t>quality</w:t>
      </w:r>
      <w:r>
        <w:rPr>
          <w:rFonts w:ascii="Arial" w:hAnsi="Arial" w:eastAsia="Arial" w:cs="Arial"/>
          <w:spacing w:val="28"/>
          <w:w w:val="101"/>
          <w:sz w:val="19"/>
          <w:szCs w:val="19"/>
        </w:rPr>
        <w:t xml:space="preserve"> </w:t>
      </w:r>
      <w:r>
        <w:rPr>
          <w:rFonts w:ascii="Arial" w:hAnsi="Arial" w:eastAsia="Arial" w:cs="Arial"/>
          <w:spacing w:val="-8"/>
          <w:sz w:val="19"/>
          <w:szCs w:val="19"/>
        </w:rPr>
        <w:t>assurance</w:t>
      </w:r>
      <w:r>
        <w:rPr>
          <w:rFonts w:ascii="Arial" w:hAnsi="Arial" w:eastAsia="Arial" w:cs="Arial"/>
          <w:spacing w:val="27"/>
          <w:sz w:val="19"/>
          <w:szCs w:val="19"/>
        </w:rPr>
        <w:t xml:space="preserve"> </w:t>
      </w:r>
      <w:r>
        <w:rPr>
          <w:rFonts w:ascii="Arial" w:hAnsi="Arial" w:eastAsia="Arial" w:cs="Arial"/>
          <w:spacing w:val="-8"/>
          <w:sz w:val="19"/>
          <w:szCs w:val="19"/>
        </w:rPr>
        <w:t>activities</w:t>
      </w:r>
      <w:r>
        <w:rPr>
          <w:rFonts w:ascii="Arial" w:hAnsi="Arial" w:eastAsia="Arial" w:cs="Arial"/>
          <w:spacing w:val="34"/>
          <w:w w:val="101"/>
          <w:sz w:val="19"/>
          <w:szCs w:val="19"/>
        </w:rPr>
        <w:t xml:space="preserve"> </w:t>
      </w:r>
      <w:r>
        <w:rPr>
          <w:rFonts w:ascii="Arial" w:hAnsi="Arial" w:eastAsia="Arial" w:cs="Arial"/>
          <w:spacing w:val="-8"/>
          <w:sz w:val="19"/>
          <w:szCs w:val="19"/>
        </w:rPr>
        <w:t>have</w:t>
      </w:r>
      <w:r>
        <w:rPr>
          <w:rFonts w:ascii="Arial" w:hAnsi="Arial" w:eastAsia="Arial" w:cs="Arial"/>
          <w:spacing w:val="24"/>
          <w:w w:val="101"/>
          <w:sz w:val="19"/>
          <w:szCs w:val="19"/>
        </w:rPr>
        <w:t xml:space="preserve"> </w:t>
      </w:r>
      <w:r>
        <w:rPr>
          <w:rFonts w:ascii="Arial" w:hAnsi="Arial" w:eastAsia="Arial" w:cs="Arial"/>
          <w:spacing w:val="-8"/>
          <w:sz w:val="19"/>
          <w:szCs w:val="19"/>
        </w:rPr>
        <w:t>to</w:t>
      </w:r>
      <w:r>
        <w:rPr>
          <w:rFonts w:ascii="Arial" w:hAnsi="Arial" w:eastAsia="Arial" w:cs="Arial"/>
          <w:spacing w:val="34"/>
          <w:w w:val="101"/>
          <w:sz w:val="19"/>
          <w:szCs w:val="19"/>
        </w:rPr>
        <w:t xml:space="preserve"> </w:t>
      </w:r>
      <w:r>
        <w:rPr>
          <w:rFonts w:ascii="Arial" w:hAnsi="Arial" w:eastAsia="Arial" w:cs="Arial"/>
          <w:spacing w:val="-8"/>
          <w:sz w:val="19"/>
          <w:szCs w:val="19"/>
        </w:rPr>
        <w:t>be</w:t>
      </w:r>
      <w:r>
        <w:rPr>
          <w:rFonts w:ascii="Arial" w:hAnsi="Arial" w:eastAsia="Arial" w:cs="Arial"/>
          <w:spacing w:val="28"/>
          <w:w w:val="101"/>
          <w:sz w:val="19"/>
          <w:szCs w:val="19"/>
        </w:rPr>
        <w:t xml:space="preserve"> </w:t>
      </w:r>
      <w:r>
        <w:rPr>
          <w:rFonts w:ascii="Arial" w:hAnsi="Arial" w:eastAsia="Arial" w:cs="Arial"/>
          <w:spacing w:val="-8"/>
          <w:sz w:val="19"/>
          <w:szCs w:val="19"/>
        </w:rPr>
        <w:t>sup-</w:t>
      </w:r>
      <w:r>
        <w:rPr>
          <w:rFonts w:ascii="Arial" w:hAnsi="Arial" w:eastAsia="Arial" w:cs="Arial"/>
          <w:sz w:val="19"/>
          <w:szCs w:val="19"/>
        </w:rPr>
        <w:t xml:space="preserve"> </w:t>
      </w:r>
      <w:r>
        <w:rPr>
          <w:rFonts w:ascii="Arial" w:hAnsi="Arial" w:eastAsia="Arial" w:cs="Arial"/>
          <w:spacing w:val="-3"/>
          <w:sz w:val="19"/>
          <w:szCs w:val="19"/>
        </w:rPr>
        <w:t>ported by both instituti</w:t>
      </w:r>
      <w:r>
        <w:rPr>
          <w:rFonts w:ascii="Arial" w:hAnsi="Arial" w:eastAsia="Arial" w:cs="Arial"/>
          <w:spacing w:val="-4"/>
          <w:sz w:val="19"/>
          <w:szCs w:val="19"/>
        </w:rPr>
        <w:t>onal mechanisms and a solid institutional culture of quality in order to be suc-</w:t>
      </w:r>
      <w:r>
        <w:rPr>
          <w:rFonts w:ascii="Arial" w:hAnsi="Arial" w:eastAsia="Arial" w:cs="Arial"/>
          <w:sz w:val="19"/>
          <w:szCs w:val="19"/>
        </w:rPr>
        <w:t xml:space="preserve"> </w:t>
      </w:r>
      <w:r>
        <w:rPr>
          <w:rFonts w:ascii="Arial" w:hAnsi="Arial" w:eastAsia="Arial" w:cs="Arial"/>
          <w:spacing w:val="-7"/>
          <w:sz w:val="19"/>
          <w:szCs w:val="19"/>
        </w:rPr>
        <w:t>cessfu</w:t>
      </w:r>
      <w:r>
        <w:rPr>
          <w:rFonts w:ascii="Arial" w:hAnsi="Arial" w:eastAsia="Arial" w:cs="Arial"/>
          <w:spacing w:val="-6"/>
          <w:sz w:val="19"/>
          <w:szCs w:val="19"/>
        </w:rPr>
        <w:t>l:</w:t>
      </w:r>
      <w:r>
        <w:rPr>
          <w:rFonts w:ascii="Arial" w:hAnsi="Arial" w:eastAsia="Arial" w:cs="Arial"/>
          <w:spacing w:val="17"/>
          <w:sz w:val="19"/>
          <w:szCs w:val="19"/>
        </w:rPr>
        <w:t xml:space="preserve"> </w:t>
      </w:r>
      <w:r>
        <w:rPr>
          <w:rFonts w:ascii="Arial" w:hAnsi="Arial" w:eastAsia="Arial" w:cs="Arial"/>
          <w:spacing w:val="-6"/>
          <w:sz w:val="19"/>
          <w:szCs w:val="19"/>
        </w:rPr>
        <w:t>in this</w:t>
      </w:r>
      <w:r>
        <w:rPr>
          <w:rFonts w:ascii="Arial" w:hAnsi="Arial" w:eastAsia="Arial" w:cs="Arial"/>
          <w:spacing w:val="11"/>
          <w:sz w:val="19"/>
          <w:szCs w:val="19"/>
        </w:rPr>
        <w:t xml:space="preserve"> </w:t>
      </w:r>
      <w:r>
        <w:rPr>
          <w:rFonts w:ascii="Arial" w:hAnsi="Arial" w:eastAsia="Arial" w:cs="Arial"/>
          <w:spacing w:val="-6"/>
          <w:sz w:val="19"/>
          <w:szCs w:val="19"/>
        </w:rPr>
        <w:t>context,</w:t>
      </w:r>
      <w:r>
        <w:rPr>
          <w:rFonts w:ascii="Arial" w:hAnsi="Arial" w:eastAsia="Arial" w:cs="Arial"/>
          <w:spacing w:val="13"/>
          <w:sz w:val="19"/>
          <w:szCs w:val="19"/>
        </w:rPr>
        <w:t xml:space="preserve"> </w:t>
      </w:r>
      <w:r>
        <w:rPr>
          <w:rFonts w:ascii="Arial" w:hAnsi="Arial" w:eastAsia="Arial" w:cs="Arial"/>
          <w:spacing w:val="-6"/>
          <w:sz w:val="19"/>
          <w:szCs w:val="19"/>
        </w:rPr>
        <w:t>some</w:t>
      </w:r>
      <w:r>
        <w:rPr>
          <w:rFonts w:ascii="Arial" w:hAnsi="Arial" w:eastAsia="Arial" w:cs="Arial"/>
          <w:spacing w:val="11"/>
          <w:sz w:val="19"/>
          <w:szCs w:val="19"/>
        </w:rPr>
        <w:t xml:space="preserve"> </w:t>
      </w:r>
      <w:r>
        <w:rPr>
          <w:rFonts w:ascii="Arial" w:hAnsi="Arial" w:eastAsia="Arial" w:cs="Arial"/>
          <w:spacing w:val="-6"/>
          <w:sz w:val="19"/>
          <w:szCs w:val="19"/>
        </w:rPr>
        <w:t>authors</w:t>
      </w:r>
      <w:r>
        <w:rPr>
          <w:rFonts w:ascii="Arial" w:hAnsi="Arial" w:eastAsia="Arial" w:cs="Arial"/>
          <w:spacing w:val="19"/>
          <w:sz w:val="19"/>
          <w:szCs w:val="19"/>
        </w:rPr>
        <w:t xml:space="preserve"> </w:t>
      </w:r>
      <w:r>
        <w:rPr>
          <w:rFonts w:ascii="Arial" w:hAnsi="Arial" w:eastAsia="Arial" w:cs="Arial"/>
          <w:spacing w:val="-6"/>
          <w:sz w:val="19"/>
          <w:szCs w:val="19"/>
        </w:rPr>
        <w:t>have</w:t>
      </w:r>
      <w:r>
        <w:rPr>
          <w:rFonts w:ascii="Arial" w:hAnsi="Arial" w:eastAsia="Arial" w:cs="Arial"/>
          <w:spacing w:val="11"/>
          <w:sz w:val="19"/>
          <w:szCs w:val="19"/>
        </w:rPr>
        <w:t xml:space="preserve"> </w:t>
      </w:r>
      <w:r>
        <w:rPr>
          <w:rFonts w:ascii="Arial" w:hAnsi="Arial" w:eastAsia="Arial" w:cs="Arial"/>
          <w:spacing w:val="-6"/>
          <w:sz w:val="19"/>
          <w:szCs w:val="19"/>
        </w:rPr>
        <w:t>also</w:t>
      </w:r>
      <w:r>
        <w:rPr>
          <w:rFonts w:ascii="Arial" w:hAnsi="Arial" w:eastAsia="Arial" w:cs="Arial"/>
          <w:spacing w:val="17"/>
          <w:w w:val="101"/>
          <w:sz w:val="19"/>
          <w:szCs w:val="19"/>
        </w:rPr>
        <w:t xml:space="preserve"> </w:t>
      </w:r>
      <w:r>
        <w:rPr>
          <w:rFonts w:ascii="Arial" w:hAnsi="Arial" w:eastAsia="Arial" w:cs="Arial"/>
          <w:spacing w:val="-6"/>
          <w:sz w:val="19"/>
          <w:szCs w:val="19"/>
        </w:rPr>
        <w:t>used the term ‘quality</w:t>
      </w:r>
      <w:r>
        <w:rPr>
          <w:rFonts w:ascii="Arial" w:hAnsi="Arial" w:eastAsia="Arial" w:cs="Arial"/>
          <w:spacing w:val="11"/>
          <w:sz w:val="19"/>
          <w:szCs w:val="19"/>
        </w:rPr>
        <w:t xml:space="preserve"> </w:t>
      </w:r>
      <w:r>
        <w:rPr>
          <w:rFonts w:ascii="Arial" w:hAnsi="Arial" w:eastAsia="Arial" w:cs="Arial"/>
          <w:spacing w:val="-6"/>
          <w:sz w:val="19"/>
          <w:szCs w:val="19"/>
        </w:rPr>
        <w:t>assurance</w:t>
      </w:r>
      <w:r>
        <w:rPr>
          <w:rFonts w:ascii="Arial" w:hAnsi="Arial" w:eastAsia="Arial" w:cs="Arial"/>
          <w:spacing w:val="11"/>
          <w:sz w:val="19"/>
          <w:szCs w:val="19"/>
        </w:rPr>
        <w:t xml:space="preserve"> </w:t>
      </w:r>
      <w:r>
        <w:rPr>
          <w:rFonts w:ascii="Arial" w:hAnsi="Arial" w:eastAsia="Arial" w:cs="Arial"/>
          <w:spacing w:val="-6"/>
          <w:sz w:val="19"/>
          <w:szCs w:val="19"/>
        </w:rPr>
        <w:t>culture’</w:t>
      </w:r>
      <w:r>
        <w:rPr>
          <w:rFonts w:ascii="Arial" w:hAnsi="Arial" w:eastAsia="Arial" w:cs="Arial"/>
          <w:spacing w:val="16"/>
          <w:sz w:val="19"/>
          <w:szCs w:val="19"/>
        </w:rPr>
        <w:t xml:space="preserve"> </w:t>
      </w:r>
      <w:r>
        <w:rPr>
          <w:rFonts w:ascii="Arial" w:hAnsi="Arial" w:eastAsia="Arial" w:cs="Arial"/>
          <w:spacing w:val="-6"/>
          <w:sz w:val="19"/>
          <w:szCs w:val="19"/>
        </w:rPr>
        <w:t>(</w:t>
      </w:r>
      <w:r>
        <w:rPr>
          <w:rFonts w:ascii="Arial" w:hAnsi="Arial" w:eastAsia="Arial" w:cs="Arial"/>
          <w:spacing w:val="-7"/>
          <w:sz w:val="19"/>
          <w:szCs w:val="19"/>
        </w:rPr>
        <w:t>Kohoute</w:t>
      </w:r>
      <w:r>
        <w:rPr>
          <w:rFonts w:ascii="Arial" w:hAnsi="Arial" w:eastAsia="Arial" w:cs="Arial"/>
          <w:spacing w:val="-1"/>
          <w:sz w:val="19"/>
          <w:szCs w:val="19"/>
        </w:rPr>
        <w:t>k</w:t>
      </w:r>
      <w:r>
        <w:rPr>
          <w:rFonts w:ascii="Arial" w:hAnsi="Arial" w:eastAsia="Arial" w:cs="Arial"/>
          <w:sz w:val="19"/>
          <w:szCs w:val="19"/>
        </w:rPr>
        <w:t xml:space="preserve"> </w:t>
      </w:r>
      <w:r>
        <w:fldChar w:fldCharType="begin"/>
      </w:r>
      <w:r>
        <w:instrText xml:space="preserve"> HYPERLINK \l "bookmark29" </w:instrText>
      </w:r>
      <w:r>
        <w:fldChar w:fldCharType="separate"/>
      </w:r>
      <w:r>
        <w:rPr>
          <w:rFonts w:ascii="Arial" w:hAnsi="Arial" w:eastAsia="Arial" w:cs="Arial"/>
          <w:color w:val="000084"/>
          <w:spacing w:val="-6"/>
          <w:sz w:val="19"/>
          <w:szCs w:val="19"/>
        </w:rPr>
        <w:t>2016</w:t>
      </w:r>
      <w:r>
        <w:rPr>
          <w:rFonts w:ascii="Arial" w:hAnsi="Arial" w:eastAsia="Arial" w:cs="Arial"/>
          <w:color w:val="000084"/>
          <w:spacing w:val="-6"/>
          <w:sz w:val="19"/>
          <w:szCs w:val="19"/>
        </w:rPr>
        <w:fldChar w:fldCharType="end"/>
      </w:r>
      <w:r>
        <w:rPr>
          <w:rFonts w:ascii="Arial" w:hAnsi="Arial" w:eastAsia="Arial" w:cs="Arial"/>
          <w:spacing w:val="-6"/>
          <w:sz w:val="19"/>
          <w:szCs w:val="19"/>
        </w:rPr>
        <w:t>;</w:t>
      </w:r>
      <w:r>
        <w:rPr>
          <w:rFonts w:ascii="Arial" w:hAnsi="Arial" w:eastAsia="Arial" w:cs="Arial"/>
          <w:spacing w:val="22"/>
          <w:sz w:val="19"/>
          <w:szCs w:val="19"/>
        </w:rPr>
        <w:t xml:space="preserve"> </w:t>
      </w:r>
      <w:r>
        <w:rPr>
          <w:rFonts w:ascii="Arial" w:hAnsi="Arial" w:eastAsia="Arial" w:cs="Arial"/>
          <w:spacing w:val="-6"/>
          <w:sz w:val="19"/>
          <w:szCs w:val="19"/>
        </w:rPr>
        <w:t xml:space="preserve">Ntim </w:t>
      </w:r>
      <w:r>
        <w:fldChar w:fldCharType="begin"/>
      </w:r>
      <w:r>
        <w:instrText xml:space="preserve"> HYPERLINK \l "bookmark30" </w:instrText>
      </w:r>
      <w:r>
        <w:fldChar w:fldCharType="separate"/>
      </w:r>
      <w:r>
        <w:rPr>
          <w:rFonts w:ascii="Arial" w:hAnsi="Arial" w:eastAsia="Arial" w:cs="Arial"/>
          <w:color w:val="000084"/>
          <w:spacing w:val="-6"/>
          <w:sz w:val="19"/>
          <w:szCs w:val="19"/>
        </w:rPr>
        <w:t>2014</w:t>
      </w:r>
      <w:r>
        <w:rPr>
          <w:rFonts w:ascii="Arial" w:hAnsi="Arial" w:eastAsia="Arial" w:cs="Arial"/>
          <w:color w:val="000084"/>
          <w:spacing w:val="-6"/>
          <w:sz w:val="19"/>
          <w:szCs w:val="19"/>
        </w:rPr>
        <w:fldChar w:fldCharType="end"/>
      </w:r>
      <w:r>
        <w:rPr>
          <w:rFonts w:ascii="Arial" w:hAnsi="Arial" w:eastAsia="Arial" w:cs="Arial"/>
          <w:spacing w:val="-6"/>
          <w:sz w:val="19"/>
          <w:szCs w:val="19"/>
        </w:rPr>
        <w:t>).</w:t>
      </w:r>
      <w:r>
        <w:rPr>
          <w:rFonts w:ascii="Arial" w:hAnsi="Arial" w:eastAsia="Arial" w:cs="Arial"/>
          <w:spacing w:val="10"/>
          <w:sz w:val="19"/>
          <w:szCs w:val="19"/>
        </w:rPr>
        <w:t xml:space="preserve"> </w:t>
      </w:r>
      <w:r>
        <w:rPr>
          <w:rFonts w:ascii="Arial" w:hAnsi="Arial" w:eastAsia="Arial" w:cs="Arial"/>
          <w:spacing w:val="-6"/>
          <w:sz w:val="19"/>
          <w:szCs w:val="19"/>
        </w:rPr>
        <w:t>When</w:t>
      </w:r>
      <w:r>
        <w:rPr>
          <w:rFonts w:ascii="Arial" w:hAnsi="Arial" w:eastAsia="Arial" w:cs="Arial"/>
          <w:spacing w:val="14"/>
          <w:sz w:val="19"/>
          <w:szCs w:val="19"/>
        </w:rPr>
        <w:t xml:space="preserve"> </w:t>
      </w:r>
      <w:r>
        <w:rPr>
          <w:rFonts w:ascii="Arial" w:hAnsi="Arial" w:eastAsia="Arial" w:cs="Arial"/>
          <w:spacing w:val="-6"/>
          <w:sz w:val="19"/>
          <w:szCs w:val="19"/>
        </w:rPr>
        <w:t>discussing</w:t>
      </w:r>
      <w:r>
        <w:rPr>
          <w:rFonts w:ascii="Arial" w:hAnsi="Arial" w:eastAsia="Arial" w:cs="Arial"/>
          <w:spacing w:val="11"/>
          <w:sz w:val="19"/>
          <w:szCs w:val="19"/>
        </w:rPr>
        <w:t xml:space="preserve"> </w:t>
      </w:r>
      <w:r>
        <w:rPr>
          <w:rFonts w:ascii="Arial" w:hAnsi="Arial" w:eastAsia="Arial" w:cs="Arial"/>
          <w:spacing w:val="-6"/>
          <w:sz w:val="19"/>
          <w:szCs w:val="19"/>
        </w:rPr>
        <w:t>the</w:t>
      </w:r>
      <w:r>
        <w:rPr>
          <w:rFonts w:ascii="Arial" w:hAnsi="Arial" w:eastAsia="Arial" w:cs="Arial"/>
          <w:spacing w:val="21"/>
          <w:sz w:val="19"/>
          <w:szCs w:val="19"/>
        </w:rPr>
        <w:t xml:space="preserve"> </w:t>
      </w:r>
      <w:r>
        <w:rPr>
          <w:rFonts w:ascii="Arial" w:hAnsi="Arial" w:eastAsia="Arial" w:cs="Arial"/>
          <w:spacing w:val="-6"/>
          <w:sz w:val="19"/>
          <w:szCs w:val="19"/>
        </w:rPr>
        <w:t>relationship</w:t>
      </w:r>
      <w:r>
        <w:rPr>
          <w:rFonts w:ascii="Arial" w:hAnsi="Arial" w:eastAsia="Arial" w:cs="Arial"/>
          <w:spacing w:val="20"/>
          <w:w w:val="101"/>
          <w:sz w:val="19"/>
          <w:szCs w:val="19"/>
        </w:rPr>
        <w:t xml:space="preserve"> </w:t>
      </w:r>
      <w:r>
        <w:rPr>
          <w:rFonts w:ascii="Arial" w:hAnsi="Arial" w:eastAsia="Arial" w:cs="Arial"/>
          <w:spacing w:val="-6"/>
          <w:sz w:val="19"/>
          <w:szCs w:val="19"/>
        </w:rPr>
        <w:t>between</w:t>
      </w:r>
      <w:r>
        <w:rPr>
          <w:rFonts w:ascii="Arial" w:hAnsi="Arial" w:eastAsia="Arial" w:cs="Arial"/>
          <w:spacing w:val="14"/>
          <w:sz w:val="19"/>
          <w:szCs w:val="19"/>
        </w:rPr>
        <w:t xml:space="preserve"> </w:t>
      </w:r>
      <w:r>
        <w:rPr>
          <w:rFonts w:ascii="Arial" w:hAnsi="Arial" w:eastAsia="Arial" w:cs="Arial"/>
          <w:spacing w:val="-6"/>
          <w:sz w:val="19"/>
          <w:szCs w:val="19"/>
        </w:rPr>
        <w:t>quality</w:t>
      </w:r>
      <w:r>
        <w:rPr>
          <w:rFonts w:ascii="Arial" w:hAnsi="Arial" w:eastAsia="Arial" w:cs="Arial"/>
          <w:spacing w:val="15"/>
          <w:sz w:val="19"/>
          <w:szCs w:val="19"/>
        </w:rPr>
        <w:t xml:space="preserve"> </w:t>
      </w:r>
      <w:r>
        <w:rPr>
          <w:rFonts w:ascii="Arial" w:hAnsi="Arial" w:eastAsia="Arial" w:cs="Arial"/>
          <w:spacing w:val="-6"/>
          <w:sz w:val="19"/>
          <w:szCs w:val="19"/>
        </w:rPr>
        <w:t>assurance</w:t>
      </w:r>
      <w:r>
        <w:rPr>
          <w:rFonts w:ascii="Arial" w:hAnsi="Arial" w:eastAsia="Arial" w:cs="Arial"/>
          <w:spacing w:val="15"/>
          <w:w w:val="101"/>
          <w:sz w:val="19"/>
          <w:szCs w:val="19"/>
        </w:rPr>
        <w:t xml:space="preserve"> </w:t>
      </w:r>
      <w:r>
        <w:rPr>
          <w:rFonts w:ascii="Arial" w:hAnsi="Arial" w:eastAsia="Arial" w:cs="Arial"/>
          <w:spacing w:val="-6"/>
          <w:sz w:val="19"/>
          <w:szCs w:val="19"/>
        </w:rPr>
        <w:t>and</w:t>
      </w:r>
      <w:r>
        <w:rPr>
          <w:rFonts w:ascii="Arial" w:hAnsi="Arial" w:eastAsia="Arial" w:cs="Arial"/>
          <w:spacing w:val="14"/>
          <w:w w:val="101"/>
          <w:sz w:val="19"/>
          <w:szCs w:val="19"/>
        </w:rPr>
        <w:t xml:space="preserve"> </w:t>
      </w:r>
      <w:r>
        <w:rPr>
          <w:rFonts w:ascii="Arial" w:hAnsi="Arial" w:eastAsia="Arial" w:cs="Arial"/>
          <w:spacing w:val="-6"/>
          <w:sz w:val="19"/>
          <w:szCs w:val="19"/>
        </w:rPr>
        <w:t>quality</w:t>
      </w:r>
      <w:r>
        <w:rPr>
          <w:rFonts w:ascii="Arial" w:hAnsi="Arial" w:eastAsia="Arial" w:cs="Arial"/>
          <w:spacing w:val="15"/>
          <w:w w:val="101"/>
          <w:sz w:val="19"/>
          <w:szCs w:val="19"/>
        </w:rPr>
        <w:t xml:space="preserve"> </w:t>
      </w:r>
      <w:r>
        <w:rPr>
          <w:rFonts w:ascii="Arial" w:hAnsi="Arial" w:eastAsia="Arial" w:cs="Arial"/>
          <w:spacing w:val="-7"/>
          <w:sz w:val="19"/>
          <w:szCs w:val="19"/>
        </w:rPr>
        <w:t>culture,</w:t>
      </w:r>
      <w:r>
        <w:rPr>
          <w:rFonts w:ascii="Arial" w:hAnsi="Arial" w:eastAsia="Arial" w:cs="Arial"/>
          <w:sz w:val="19"/>
          <w:szCs w:val="19"/>
        </w:rPr>
        <w:t xml:space="preserve"> </w:t>
      </w:r>
      <w:r>
        <w:rPr>
          <w:rFonts w:ascii="Arial" w:hAnsi="Arial" w:eastAsia="Arial" w:cs="Arial"/>
          <w:spacing w:val="-6"/>
          <w:sz w:val="19"/>
          <w:szCs w:val="19"/>
        </w:rPr>
        <w:t>most</w:t>
      </w:r>
      <w:r>
        <w:rPr>
          <w:rFonts w:ascii="Arial" w:hAnsi="Arial" w:eastAsia="Arial" w:cs="Arial"/>
          <w:spacing w:val="42"/>
          <w:w w:val="101"/>
          <w:sz w:val="19"/>
          <w:szCs w:val="19"/>
        </w:rPr>
        <w:t xml:space="preserve"> </w:t>
      </w:r>
      <w:r>
        <w:rPr>
          <w:rFonts w:ascii="Arial" w:hAnsi="Arial" w:eastAsia="Arial" w:cs="Arial"/>
          <w:spacing w:val="-6"/>
          <w:sz w:val="19"/>
          <w:szCs w:val="19"/>
        </w:rPr>
        <w:t>authors</w:t>
      </w:r>
      <w:r>
        <w:rPr>
          <w:rFonts w:ascii="Arial" w:hAnsi="Arial" w:eastAsia="Arial" w:cs="Arial"/>
          <w:spacing w:val="33"/>
          <w:sz w:val="19"/>
          <w:szCs w:val="19"/>
        </w:rPr>
        <w:t xml:space="preserve"> </w:t>
      </w:r>
      <w:r>
        <w:rPr>
          <w:rFonts w:ascii="Arial" w:hAnsi="Arial" w:eastAsia="Arial" w:cs="Arial"/>
          <w:spacing w:val="-6"/>
          <w:sz w:val="19"/>
          <w:szCs w:val="19"/>
        </w:rPr>
        <w:t>state</w:t>
      </w:r>
      <w:r>
        <w:rPr>
          <w:rFonts w:ascii="Arial" w:hAnsi="Arial" w:eastAsia="Arial" w:cs="Arial"/>
          <w:spacing w:val="27"/>
          <w:w w:val="101"/>
          <w:sz w:val="19"/>
          <w:szCs w:val="19"/>
        </w:rPr>
        <w:t xml:space="preserve"> </w:t>
      </w:r>
      <w:r>
        <w:rPr>
          <w:rFonts w:ascii="Arial" w:hAnsi="Arial" w:eastAsia="Arial" w:cs="Arial"/>
          <w:spacing w:val="-6"/>
          <w:sz w:val="19"/>
          <w:szCs w:val="19"/>
        </w:rPr>
        <w:t>that</w:t>
      </w:r>
      <w:r>
        <w:rPr>
          <w:rFonts w:ascii="Arial" w:hAnsi="Arial" w:eastAsia="Arial" w:cs="Arial"/>
          <w:spacing w:val="30"/>
          <w:w w:val="101"/>
          <w:sz w:val="19"/>
          <w:szCs w:val="19"/>
        </w:rPr>
        <w:t xml:space="preserve"> </w:t>
      </w:r>
      <w:r>
        <w:rPr>
          <w:rFonts w:ascii="Arial" w:hAnsi="Arial" w:eastAsia="Arial" w:cs="Arial"/>
          <w:spacing w:val="-6"/>
          <w:sz w:val="19"/>
          <w:szCs w:val="19"/>
        </w:rPr>
        <w:t>quality</w:t>
      </w:r>
      <w:r>
        <w:rPr>
          <w:rFonts w:ascii="Arial" w:hAnsi="Arial" w:eastAsia="Arial" w:cs="Arial"/>
          <w:spacing w:val="30"/>
          <w:w w:val="101"/>
          <w:sz w:val="19"/>
          <w:szCs w:val="19"/>
        </w:rPr>
        <w:t xml:space="preserve"> </w:t>
      </w:r>
      <w:r>
        <w:rPr>
          <w:rFonts w:ascii="Arial" w:hAnsi="Arial" w:eastAsia="Arial" w:cs="Arial"/>
          <w:spacing w:val="-6"/>
          <w:sz w:val="19"/>
          <w:szCs w:val="19"/>
        </w:rPr>
        <w:t>assurance</w:t>
      </w:r>
      <w:r>
        <w:rPr>
          <w:rFonts w:ascii="Arial" w:hAnsi="Arial" w:eastAsia="Arial" w:cs="Arial"/>
          <w:spacing w:val="31"/>
          <w:w w:val="101"/>
          <w:sz w:val="19"/>
          <w:szCs w:val="19"/>
        </w:rPr>
        <w:t xml:space="preserve"> </w:t>
      </w:r>
      <w:r>
        <w:rPr>
          <w:rFonts w:ascii="Arial" w:hAnsi="Arial" w:eastAsia="Arial" w:cs="Arial"/>
          <w:spacing w:val="-6"/>
          <w:sz w:val="19"/>
          <w:szCs w:val="19"/>
        </w:rPr>
        <w:t>can</w:t>
      </w:r>
      <w:r>
        <w:rPr>
          <w:rFonts w:ascii="Arial" w:hAnsi="Arial" w:eastAsia="Arial" w:cs="Arial"/>
          <w:spacing w:val="36"/>
          <w:w w:val="101"/>
          <w:sz w:val="19"/>
          <w:szCs w:val="19"/>
        </w:rPr>
        <w:t xml:space="preserve"> </w:t>
      </w:r>
      <w:r>
        <w:rPr>
          <w:rFonts w:ascii="Arial" w:hAnsi="Arial" w:eastAsia="Arial" w:cs="Arial"/>
          <w:spacing w:val="-6"/>
          <w:sz w:val="19"/>
          <w:szCs w:val="19"/>
        </w:rPr>
        <w:t>be</w:t>
      </w:r>
      <w:r>
        <w:rPr>
          <w:rFonts w:ascii="Arial" w:hAnsi="Arial" w:eastAsia="Arial" w:cs="Arial"/>
          <w:spacing w:val="38"/>
          <w:sz w:val="19"/>
          <w:szCs w:val="19"/>
        </w:rPr>
        <w:t xml:space="preserve"> </w:t>
      </w:r>
      <w:r>
        <w:rPr>
          <w:rFonts w:ascii="Arial" w:hAnsi="Arial" w:eastAsia="Arial" w:cs="Arial"/>
          <w:spacing w:val="-6"/>
          <w:sz w:val="19"/>
          <w:szCs w:val="19"/>
        </w:rPr>
        <w:t>understood</w:t>
      </w:r>
      <w:r>
        <w:rPr>
          <w:rFonts w:ascii="Arial" w:hAnsi="Arial" w:eastAsia="Arial" w:cs="Arial"/>
          <w:spacing w:val="30"/>
          <w:sz w:val="19"/>
          <w:szCs w:val="19"/>
        </w:rPr>
        <w:t xml:space="preserve"> </w:t>
      </w:r>
      <w:r>
        <w:rPr>
          <w:rFonts w:ascii="Arial" w:hAnsi="Arial" w:eastAsia="Arial" w:cs="Arial"/>
          <w:spacing w:val="-6"/>
          <w:sz w:val="19"/>
          <w:szCs w:val="19"/>
        </w:rPr>
        <w:t>as</w:t>
      </w:r>
      <w:r>
        <w:rPr>
          <w:rFonts w:ascii="Arial" w:hAnsi="Arial" w:eastAsia="Arial" w:cs="Arial"/>
          <w:spacing w:val="30"/>
          <w:w w:val="101"/>
          <w:sz w:val="19"/>
          <w:szCs w:val="19"/>
        </w:rPr>
        <w:t xml:space="preserve"> </w:t>
      </w:r>
      <w:r>
        <w:rPr>
          <w:rFonts w:ascii="Arial" w:hAnsi="Arial" w:eastAsia="Arial" w:cs="Arial"/>
          <w:spacing w:val="-6"/>
          <w:sz w:val="19"/>
          <w:szCs w:val="19"/>
        </w:rPr>
        <w:t>a</w:t>
      </w:r>
      <w:r>
        <w:rPr>
          <w:rFonts w:ascii="Arial" w:hAnsi="Arial" w:eastAsia="Arial" w:cs="Arial"/>
          <w:spacing w:val="30"/>
          <w:sz w:val="19"/>
          <w:szCs w:val="19"/>
        </w:rPr>
        <w:t xml:space="preserve"> </w:t>
      </w:r>
      <w:r>
        <w:rPr>
          <w:rFonts w:ascii="Arial" w:hAnsi="Arial" w:eastAsia="Arial" w:cs="Arial"/>
          <w:spacing w:val="-6"/>
          <w:sz w:val="19"/>
          <w:szCs w:val="19"/>
        </w:rPr>
        <w:t>central</w:t>
      </w:r>
      <w:r>
        <w:rPr>
          <w:rFonts w:ascii="Arial" w:hAnsi="Arial" w:eastAsia="Arial" w:cs="Arial"/>
          <w:spacing w:val="37"/>
          <w:sz w:val="19"/>
          <w:szCs w:val="19"/>
        </w:rPr>
        <w:t xml:space="preserve"> </w:t>
      </w:r>
      <w:r>
        <w:rPr>
          <w:rFonts w:ascii="Arial" w:hAnsi="Arial" w:eastAsia="Arial" w:cs="Arial"/>
          <w:spacing w:val="-6"/>
          <w:sz w:val="19"/>
          <w:szCs w:val="19"/>
        </w:rPr>
        <w:t>part</w:t>
      </w:r>
      <w:r>
        <w:rPr>
          <w:rFonts w:ascii="Arial" w:hAnsi="Arial" w:eastAsia="Arial" w:cs="Arial"/>
          <w:spacing w:val="31"/>
          <w:sz w:val="19"/>
          <w:szCs w:val="19"/>
        </w:rPr>
        <w:t xml:space="preserve"> </w:t>
      </w:r>
      <w:r>
        <w:rPr>
          <w:rFonts w:ascii="Arial" w:hAnsi="Arial" w:eastAsia="Arial" w:cs="Arial"/>
          <w:spacing w:val="-6"/>
          <w:sz w:val="19"/>
          <w:szCs w:val="19"/>
        </w:rPr>
        <w:t>of</w:t>
      </w:r>
      <w:r>
        <w:rPr>
          <w:rFonts w:ascii="Arial" w:hAnsi="Arial" w:eastAsia="Arial" w:cs="Arial"/>
          <w:spacing w:val="23"/>
          <w:w w:val="101"/>
          <w:sz w:val="19"/>
          <w:szCs w:val="19"/>
        </w:rPr>
        <w:t xml:space="preserve"> </w:t>
      </w:r>
      <w:r>
        <w:rPr>
          <w:rFonts w:ascii="Arial" w:hAnsi="Arial" w:eastAsia="Arial" w:cs="Arial"/>
          <w:spacing w:val="-6"/>
          <w:sz w:val="19"/>
          <w:szCs w:val="19"/>
        </w:rPr>
        <w:t>quality</w:t>
      </w:r>
      <w:r>
        <w:rPr>
          <w:rFonts w:ascii="Arial" w:hAnsi="Arial" w:eastAsia="Arial" w:cs="Arial"/>
          <w:spacing w:val="31"/>
          <w:w w:val="101"/>
          <w:sz w:val="19"/>
          <w:szCs w:val="19"/>
        </w:rPr>
        <w:t xml:space="preserve"> </w:t>
      </w:r>
      <w:r>
        <w:rPr>
          <w:rFonts w:ascii="Arial" w:hAnsi="Arial" w:eastAsia="Arial" w:cs="Arial"/>
          <w:spacing w:val="-6"/>
          <w:sz w:val="19"/>
          <w:szCs w:val="19"/>
        </w:rPr>
        <w:t>culture</w:t>
      </w:r>
      <w:r>
        <w:rPr>
          <w:rFonts w:ascii="Arial" w:hAnsi="Arial" w:eastAsia="Arial" w:cs="Arial"/>
          <w:sz w:val="19"/>
          <w:szCs w:val="19"/>
        </w:rPr>
        <w:t xml:space="preserve"> </w:t>
      </w:r>
      <w:r>
        <w:rPr>
          <w:rFonts w:ascii="Arial" w:hAnsi="Arial" w:eastAsia="Arial" w:cs="Arial"/>
          <w:spacing w:val="-7"/>
          <w:sz w:val="19"/>
          <w:szCs w:val="19"/>
        </w:rPr>
        <w:t>(e.g. Vlăsceanu, Grü</w:t>
      </w:r>
      <w:r>
        <w:rPr>
          <w:rFonts w:ascii="Arial" w:hAnsi="Arial" w:eastAsia="Arial" w:cs="Arial"/>
          <w:spacing w:val="-8"/>
          <w:sz w:val="19"/>
          <w:szCs w:val="19"/>
        </w:rPr>
        <w:t>nberg, and Pârlea</w:t>
      </w:r>
      <w:r>
        <w:rPr>
          <w:rFonts w:ascii="Arial" w:hAnsi="Arial" w:eastAsia="Arial" w:cs="Arial"/>
          <w:spacing w:val="-13"/>
          <w:sz w:val="19"/>
          <w:szCs w:val="19"/>
        </w:rPr>
        <w:t xml:space="preserve"> </w:t>
      </w:r>
      <w:r>
        <w:fldChar w:fldCharType="begin"/>
      </w:r>
      <w:r>
        <w:instrText xml:space="preserve"> HYPERLINK \l "bookmark31" </w:instrText>
      </w:r>
      <w:r>
        <w:fldChar w:fldCharType="separate"/>
      </w:r>
      <w:r>
        <w:rPr>
          <w:rFonts w:ascii="Arial" w:hAnsi="Arial" w:eastAsia="Arial" w:cs="Arial"/>
          <w:color w:val="000084"/>
          <w:spacing w:val="-8"/>
          <w:sz w:val="19"/>
          <w:szCs w:val="19"/>
        </w:rPr>
        <w:t>2004</w:t>
      </w:r>
      <w:r>
        <w:rPr>
          <w:rFonts w:ascii="Arial" w:hAnsi="Arial" w:eastAsia="Arial" w:cs="Arial"/>
          <w:color w:val="000084"/>
          <w:spacing w:val="-8"/>
          <w:sz w:val="19"/>
          <w:szCs w:val="19"/>
        </w:rPr>
        <w:fldChar w:fldCharType="end"/>
      </w:r>
      <w:r>
        <w:rPr>
          <w:rFonts w:ascii="Arial" w:hAnsi="Arial" w:eastAsia="Arial" w:cs="Arial"/>
          <w:spacing w:val="-8"/>
          <w:sz w:val="19"/>
          <w:szCs w:val="19"/>
        </w:rPr>
        <w:t xml:space="preserve">; EUA </w:t>
      </w:r>
      <w:r>
        <w:fldChar w:fldCharType="begin"/>
      </w:r>
      <w:r>
        <w:instrText xml:space="preserve"> HYPERLINK \l "bookmark32" </w:instrText>
      </w:r>
      <w:r>
        <w:fldChar w:fldCharType="separate"/>
      </w:r>
      <w:r>
        <w:rPr>
          <w:rFonts w:ascii="Arial" w:hAnsi="Arial" w:eastAsia="Arial" w:cs="Arial"/>
          <w:color w:val="000084"/>
          <w:spacing w:val="-8"/>
          <w:sz w:val="19"/>
          <w:szCs w:val="19"/>
        </w:rPr>
        <w:t>2006</w:t>
      </w:r>
      <w:r>
        <w:rPr>
          <w:rFonts w:ascii="Arial" w:hAnsi="Arial" w:eastAsia="Arial" w:cs="Arial"/>
          <w:color w:val="000084"/>
          <w:spacing w:val="-8"/>
          <w:sz w:val="19"/>
          <w:szCs w:val="19"/>
        </w:rPr>
        <w:fldChar w:fldCharType="end"/>
      </w:r>
      <w:r>
        <w:rPr>
          <w:rFonts w:ascii="Arial" w:hAnsi="Arial" w:eastAsia="Arial" w:cs="Arial"/>
          <w:spacing w:val="-8"/>
          <w:sz w:val="19"/>
          <w:szCs w:val="19"/>
        </w:rPr>
        <w:t>). At the same time, the quality culture approach</w:t>
      </w:r>
      <w:r>
        <w:rPr>
          <w:rFonts w:ascii="Arial" w:hAnsi="Arial" w:eastAsia="Arial" w:cs="Arial"/>
          <w:sz w:val="19"/>
          <w:szCs w:val="19"/>
        </w:rPr>
        <w:t xml:space="preserve"> </w:t>
      </w:r>
      <w:r>
        <w:rPr>
          <w:rFonts w:ascii="Arial" w:hAnsi="Arial" w:eastAsia="Arial" w:cs="Arial"/>
          <w:spacing w:val="-3"/>
          <w:sz w:val="19"/>
          <w:szCs w:val="19"/>
        </w:rPr>
        <w:t>is</w:t>
      </w:r>
      <w:r>
        <w:rPr>
          <w:rFonts w:ascii="Arial" w:hAnsi="Arial" w:eastAsia="Arial" w:cs="Arial"/>
          <w:spacing w:val="18"/>
          <w:w w:val="101"/>
          <w:sz w:val="19"/>
          <w:szCs w:val="19"/>
        </w:rPr>
        <w:t xml:space="preserve"> </w:t>
      </w:r>
      <w:r>
        <w:rPr>
          <w:rFonts w:ascii="Arial" w:hAnsi="Arial" w:eastAsia="Arial" w:cs="Arial"/>
          <w:spacing w:val="-3"/>
          <w:sz w:val="19"/>
          <w:szCs w:val="19"/>
        </w:rPr>
        <w:t>highly</w:t>
      </w:r>
      <w:r>
        <w:rPr>
          <w:rFonts w:ascii="Arial" w:hAnsi="Arial" w:eastAsia="Arial" w:cs="Arial"/>
          <w:spacing w:val="18"/>
          <w:w w:val="101"/>
          <w:sz w:val="19"/>
          <w:szCs w:val="19"/>
        </w:rPr>
        <w:t xml:space="preserve"> </w:t>
      </w:r>
      <w:r>
        <w:rPr>
          <w:rFonts w:ascii="Arial" w:hAnsi="Arial" w:eastAsia="Arial" w:cs="Arial"/>
          <w:spacing w:val="-3"/>
          <w:sz w:val="19"/>
          <w:szCs w:val="19"/>
        </w:rPr>
        <w:t>related to the</w:t>
      </w:r>
      <w:r>
        <w:rPr>
          <w:rFonts w:ascii="Arial" w:hAnsi="Arial" w:eastAsia="Arial" w:cs="Arial"/>
          <w:spacing w:val="12"/>
          <w:sz w:val="19"/>
          <w:szCs w:val="19"/>
        </w:rPr>
        <w:t xml:space="preserve"> </w:t>
      </w:r>
      <w:r>
        <w:rPr>
          <w:rFonts w:ascii="Arial" w:hAnsi="Arial" w:eastAsia="Arial" w:cs="Arial"/>
          <w:spacing w:val="-3"/>
          <w:sz w:val="19"/>
          <w:szCs w:val="19"/>
        </w:rPr>
        <w:t>concept</w:t>
      </w:r>
      <w:r>
        <w:rPr>
          <w:rFonts w:ascii="Arial" w:hAnsi="Arial" w:eastAsia="Arial" w:cs="Arial"/>
          <w:spacing w:val="13"/>
          <w:w w:val="101"/>
          <w:sz w:val="19"/>
          <w:szCs w:val="19"/>
        </w:rPr>
        <w:t xml:space="preserve"> </w:t>
      </w:r>
      <w:r>
        <w:rPr>
          <w:rFonts w:ascii="Arial" w:hAnsi="Arial" w:eastAsia="Arial" w:cs="Arial"/>
          <w:spacing w:val="-3"/>
          <w:sz w:val="19"/>
          <w:szCs w:val="19"/>
        </w:rPr>
        <w:t>of</w:t>
      </w:r>
      <w:r>
        <w:rPr>
          <w:rFonts w:ascii="Arial" w:hAnsi="Arial" w:eastAsia="Arial" w:cs="Arial"/>
          <w:spacing w:val="-4"/>
          <w:sz w:val="19"/>
          <w:szCs w:val="19"/>
        </w:rPr>
        <w:t xml:space="preserve"> ‘organizational</w:t>
      </w:r>
      <w:r>
        <w:rPr>
          <w:rFonts w:ascii="Arial" w:hAnsi="Arial" w:eastAsia="Arial" w:cs="Arial"/>
          <w:spacing w:val="12"/>
          <w:sz w:val="19"/>
          <w:szCs w:val="19"/>
        </w:rPr>
        <w:t xml:space="preserve"> </w:t>
      </w:r>
      <w:r>
        <w:rPr>
          <w:rFonts w:ascii="Arial" w:hAnsi="Arial" w:eastAsia="Arial" w:cs="Arial"/>
          <w:spacing w:val="-4"/>
          <w:sz w:val="19"/>
          <w:szCs w:val="19"/>
        </w:rPr>
        <w:t>culture’</w:t>
      </w:r>
      <w:r>
        <w:rPr>
          <w:rFonts w:ascii="Arial" w:hAnsi="Arial" w:eastAsia="Arial" w:cs="Arial"/>
          <w:spacing w:val="-42"/>
          <w:sz w:val="19"/>
          <w:szCs w:val="19"/>
        </w:rPr>
        <w:t xml:space="preserve"> </w:t>
      </w:r>
      <w:r>
        <w:rPr>
          <w:rFonts w:ascii="Arial" w:hAnsi="Arial" w:eastAsia="Arial" w:cs="Arial"/>
          <w:spacing w:val="-4"/>
          <w:sz w:val="19"/>
          <w:szCs w:val="19"/>
        </w:rPr>
        <w:t>.</w:t>
      </w:r>
    </w:p>
    <w:p>
      <w:pPr>
        <w:spacing w:line="411" w:lineRule="auto"/>
        <w:rPr>
          <w:rFonts w:ascii="Arial"/>
          <w:sz w:val="21"/>
        </w:rPr>
      </w:pPr>
    </w:p>
    <w:p>
      <w:pPr>
        <w:spacing w:before="58" w:line="195" w:lineRule="auto"/>
        <w:ind w:left="9"/>
        <w:outlineLvl w:val="3"/>
        <w:rPr>
          <w:rFonts w:ascii="Arial" w:hAnsi="Arial" w:eastAsia="Arial" w:cs="Arial"/>
          <w:sz w:val="20"/>
          <w:szCs w:val="20"/>
        </w:rPr>
      </w:pPr>
      <w:r>
        <w:rPr>
          <w:rFonts w:ascii="Arial" w:hAnsi="Arial" w:eastAsia="Arial" w:cs="Arial"/>
          <w:color w:val="282781"/>
          <w:sz w:val="20"/>
          <w:szCs w:val="20"/>
        </w:rPr>
        <w:t>Organizational</w:t>
      </w:r>
      <w:r>
        <w:rPr>
          <w:rFonts w:ascii="Arial" w:hAnsi="Arial" w:eastAsia="Arial" w:cs="Arial"/>
          <w:color w:val="282781"/>
          <w:spacing w:val="12"/>
          <w:sz w:val="20"/>
          <w:szCs w:val="20"/>
        </w:rPr>
        <w:t xml:space="preserve"> </w:t>
      </w:r>
      <w:r>
        <w:rPr>
          <w:rFonts w:ascii="Arial" w:hAnsi="Arial" w:eastAsia="Arial" w:cs="Arial"/>
          <w:color w:val="282781"/>
          <w:sz w:val="20"/>
          <w:szCs w:val="20"/>
        </w:rPr>
        <w:t>culture</w:t>
      </w:r>
      <w:r>
        <w:rPr>
          <w:rFonts w:ascii="Arial" w:hAnsi="Arial" w:eastAsia="Arial" w:cs="Arial"/>
          <w:color w:val="282781"/>
          <w:spacing w:val="12"/>
          <w:sz w:val="20"/>
          <w:szCs w:val="20"/>
        </w:rPr>
        <w:t xml:space="preserve"> </w:t>
      </w:r>
      <w:r>
        <w:rPr>
          <w:rFonts w:ascii="Arial" w:hAnsi="Arial" w:eastAsia="Arial" w:cs="Arial"/>
          <w:color w:val="282781"/>
          <w:sz w:val="20"/>
          <w:szCs w:val="20"/>
        </w:rPr>
        <w:t>and</w:t>
      </w:r>
      <w:r>
        <w:rPr>
          <w:rFonts w:ascii="Arial" w:hAnsi="Arial" w:eastAsia="Arial" w:cs="Arial"/>
          <w:color w:val="282781"/>
          <w:spacing w:val="12"/>
          <w:sz w:val="20"/>
          <w:szCs w:val="20"/>
        </w:rPr>
        <w:t xml:space="preserve"> </w:t>
      </w:r>
      <w:r>
        <w:rPr>
          <w:rFonts w:ascii="Arial" w:hAnsi="Arial" w:eastAsia="Arial" w:cs="Arial"/>
          <w:color w:val="282781"/>
          <w:sz w:val="20"/>
          <w:szCs w:val="20"/>
        </w:rPr>
        <w:t>quality</w:t>
      </w:r>
      <w:r>
        <w:rPr>
          <w:rFonts w:ascii="Arial" w:hAnsi="Arial" w:eastAsia="Arial" w:cs="Arial"/>
          <w:color w:val="282781"/>
          <w:spacing w:val="12"/>
          <w:sz w:val="20"/>
          <w:szCs w:val="20"/>
        </w:rPr>
        <w:t xml:space="preserve"> </w:t>
      </w:r>
      <w:r>
        <w:rPr>
          <w:rFonts w:ascii="Arial" w:hAnsi="Arial" w:eastAsia="Arial" w:cs="Arial"/>
          <w:color w:val="282781"/>
          <w:sz w:val="20"/>
          <w:szCs w:val="20"/>
        </w:rPr>
        <w:t>culture</w:t>
      </w:r>
    </w:p>
    <w:p>
      <w:pPr>
        <w:spacing w:before="150" w:line="261" w:lineRule="auto"/>
        <w:ind w:right="1" w:firstLine="4"/>
        <w:jc w:val="both"/>
        <w:rPr>
          <w:rFonts w:ascii="Arial" w:hAnsi="Arial" w:eastAsia="Arial" w:cs="Arial"/>
          <w:sz w:val="19"/>
          <w:szCs w:val="19"/>
        </w:rPr>
      </w:pPr>
      <w:r>
        <w:rPr>
          <w:rFonts w:ascii="Arial" w:hAnsi="Arial" w:eastAsia="Arial" w:cs="Arial"/>
          <w:spacing w:val="-6"/>
          <w:sz w:val="19"/>
          <w:szCs w:val="19"/>
        </w:rPr>
        <w:t>According</w:t>
      </w:r>
      <w:r>
        <w:rPr>
          <w:rFonts w:ascii="Arial" w:hAnsi="Arial" w:eastAsia="Arial" w:cs="Arial"/>
          <w:spacing w:val="13"/>
          <w:sz w:val="19"/>
          <w:szCs w:val="19"/>
        </w:rPr>
        <w:t xml:space="preserve"> </w:t>
      </w:r>
      <w:r>
        <w:rPr>
          <w:rFonts w:ascii="Arial" w:hAnsi="Arial" w:eastAsia="Arial" w:cs="Arial"/>
          <w:spacing w:val="-6"/>
          <w:sz w:val="19"/>
          <w:szCs w:val="19"/>
        </w:rPr>
        <w:t>to</w:t>
      </w:r>
      <w:r>
        <w:rPr>
          <w:rFonts w:ascii="Arial" w:hAnsi="Arial" w:eastAsia="Arial" w:cs="Arial"/>
          <w:spacing w:val="15"/>
          <w:w w:val="101"/>
          <w:sz w:val="19"/>
          <w:szCs w:val="19"/>
        </w:rPr>
        <w:t xml:space="preserve"> </w:t>
      </w:r>
      <w:r>
        <w:rPr>
          <w:rFonts w:ascii="Arial" w:hAnsi="Arial" w:eastAsia="Arial" w:cs="Arial"/>
          <w:spacing w:val="-6"/>
          <w:sz w:val="19"/>
          <w:szCs w:val="19"/>
        </w:rPr>
        <w:t>Schein</w:t>
      </w:r>
      <w:r>
        <w:rPr>
          <w:rFonts w:ascii="Arial" w:hAnsi="Arial" w:eastAsia="Arial" w:cs="Arial"/>
          <w:spacing w:val="15"/>
          <w:sz w:val="19"/>
          <w:szCs w:val="19"/>
        </w:rPr>
        <w:t xml:space="preserve"> </w:t>
      </w:r>
      <w:r>
        <w:rPr>
          <w:rFonts w:ascii="Arial" w:hAnsi="Arial" w:eastAsia="Arial" w:cs="Arial"/>
          <w:spacing w:val="-6"/>
          <w:sz w:val="19"/>
          <w:szCs w:val="19"/>
        </w:rPr>
        <w:t>and</w:t>
      </w:r>
      <w:r>
        <w:rPr>
          <w:rFonts w:ascii="Arial" w:hAnsi="Arial" w:eastAsia="Arial" w:cs="Arial"/>
          <w:spacing w:val="15"/>
          <w:w w:val="101"/>
          <w:sz w:val="19"/>
          <w:szCs w:val="19"/>
        </w:rPr>
        <w:t xml:space="preserve"> </w:t>
      </w:r>
      <w:r>
        <w:rPr>
          <w:rFonts w:ascii="Arial" w:hAnsi="Arial" w:eastAsia="Arial" w:cs="Arial"/>
          <w:spacing w:val="-6"/>
          <w:sz w:val="19"/>
          <w:szCs w:val="19"/>
        </w:rPr>
        <w:t>Schein</w:t>
      </w:r>
      <w:r>
        <w:rPr>
          <w:rFonts w:ascii="Arial" w:hAnsi="Arial" w:eastAsia="Arial" w:cs="Arial"/>
          <w:spacing w:val="19"/>
          <w:sz w:val="19"/>
          <w:szCs w:val="19"/>
        </w:rPr>
        <w:t xml:space="preserve"> </w:t>
      </w:r>
      <w:r>
        <w:rPr>
          <w:rFonts w:ascii="Arial" w:hAnsi="Arial" w:eastAsia="Arial" w:cs="Arial"/>
          <w:spacing w:val="-6"/>
          <w:sz w:val="19"/>
          <w:szCs w:val="19"/>
        </w:rPr>
        <w:t>(</w:t>
      </w:r>
      <w:r>
        <w:fldChar w:fldCharType="begin"/>
      </w:r>
      <w:r>
        <w:instrText xml:space="preserve"> HYPERLINK \l "bookmark33" </w:instrText>
      </w:r>
      <w:r>
        <w:fldChar w:fldCharType="separate"/>
      </w:r>
      <w:r>
        <w:rPr>
          <w:rFonts w:ascii="Arial" w:hAnsi="Arial" w:eastAsia="Arial" w:cs="Arial"/>
          <w:color w:val="000084"/>
          <w:spacing w:val="-6"/>
          <w:sz w:val="19"/>
          <w:szCs w:val="19"/>
        </w:rPr>
        <w:t>2017</w:t>
      </w:r>
      <w:r>
        <w:rPr>
          <w:rFonts w:ascii="Arial" w:hAnsi="Arial" w:eastAsia="Arial" w:cs="Arial"/>
          <w:color w:val="000084"/>
          <w:spacing w:val="-6"/>
          <w:sz w:val="19"/>
          <w:szCs w:val="19"/>
        </w:rPr>
        <w:fldChar w:fldCharType="end"/>
      </w:r>
      <w:r>
        <w:rPr>
          <w:rFonts w:ascii="Arial" w:hAnsi="Arial" w:eastAsia="Arial" w:cs="Arial"/>
          <w:spacing w:val="-6"/>
          <w:sz w:val="19"/>
          <w:szCs w:val="19"/>
        </w:rPr>
        <w:t>),</w:t>
      </w:r>
      <w:r>
        <w:rPr>
          <w:rFonts w:ascii="Arial" w:hAnsi="Arial" w:eastAsia="Arial" w:cs="Arial"/>
          <w:spacing w:val="11"/>
          <w:sz w:val="19"/>
          <w:szCs w:val="19"/>
        </w:rPr>
        <w:t xml:space="preserve"> </w:t>
      </w:r>
      <w:r>
        <w:rPr>
          <w:rFonts w:ascii="Arial" w:hAnsi="Arial" w:eastAsia="Arial" w:cs="Arial"/>
          <w:spacing w:val="-6"/>
          <w:sz w:val="19"/>
          <w:szCs w:val="19"/>
        </w:rPr>
        <w:t>the</w:t>
      </w:r>
      <w:r>
        <w:rPr>
          <w:rFonts w:ascii="Arial" w:hAnsi="Arial" w:eastAsia="Arial" w:cs="Arial"/>
          <w:spacing w:val="15"/>
          <w:sz w:val="19"/>
          <w:szCs w:val="19"/>
        </w:rPr>
        <w:t xml:space="preserve"> </w:t>
      </w:r>
      <w:r>
        <w:rPr>
          <w:rFonts w:ascii="Arial" w:hAnsi="Arial" w:eastAsia="Arial" w:cs="Arial"/>
          <w:spacing w:val="-6"/>
          <w:sz w:val="19"/>
          <w:szCs w:val="19"/>
        </w:rPr>
        <w:t>culture</w:t>
      </w:r>
      <w:r>
        <w:rPr>
          <w:rFonts w:ascii="Arial" w:hAnsi="Arial" w:eastAsia="Arial" w:cs="Arial"/>
          <w:spacing w:val="15"/>
          <w:sz w:val="19"/>
          <w:szCs w:val="19"/>
        </w:rPr>
        <w:t xml:space="preserve"> </w:t>
      </w:r>
      <w:r>
        <w:rPr>
          <w:rFonts w:ascii="Arial" w:hAnsi="Arial" w:eastAsia="Arial" w:cs="Arial"/>
          <w:spacing w:val="-6"/>
          <w:sz w:val="19"/>
          <w:szCs w:val="19"/>
        </w:rPr>
        <w:t>of each</w:t>
      </w:r>
      <w:r>
        <w:rPr>
          <w:rFonts w:ascii="Arial" w:hAnsi="Arial" w:eastAsia="Arial" w:cs="Arial"/>
          <w:spacing w:val="15"/>
          <w:sz w:val="19"/>
          <w:szCs w:val="19"/>
        </w:rPr>
        <w:t xml:space="preserve"> </w:t>
      </w:r>
      <w:r>
        <w:rPr>
          <w:rFonts w:ascii="Arial" w:hAnsi="Arial" w:eastAsia="Arial" w:cs="Arial"/>
          <w:spacing w:val="-6"/>
          <w:sz w:val="19"/>
          <w:szCs w:val="19"/>
        </w:rPr>
        <w:t>organizat</w:t>
      </w:r>
      <w:r>
        <w:rPr>
          <w:rFonts w:ascii="Arial" w:hAnsi="Arial" w:eastAsia="Arial" w:cs="Arial"/>
          <w:spacing w:val="-7"/>
          <w:sz w:val="19"/>
          <w:szCs w:val="19"/>
        </w:rPr>
        <w:t>ion</w:t>
      </w:r>
      <w:r>
        <w:rPr>
          <w:rFonts w:ascii="Arial" w:hAnsi="Arial" w:eastAsia="Arial" w:cs="Arial"/>
          <w:spacing w:val="15"/>
          <w:w w:val="101"/>
          <w:sz w:val="19"/>
          <w:szCs w:val="19"/>
        </w:rPr>
        <w:t xml:space="preserve"> </w:t>
      </w:r>
      <w:r>
        <w:rPr>
          <w:rFonts w:ascii="Arial" w:hAnsi="Arial" w:eastAsia="Arial" w:cs="Arial"/>
          <w:spacing w:val="-7"/>
          <w:sz w:val="19"/>
          <w:szCs w:val="19"/>
        </w:rPr>
        <w:t>can</w:t>
      </w:r>
      <w:r>
        <w:rPr>
          <w:rFonts w:ascii="Arial" w:hAnsi="Arial" w:eastAsia="Arial" w:cs="Arial"/>
          <w:spacing w:val="20"/>
          <w:w w:val="101"/>
          <w:sz w:val="19"/>
          <w:szCs w:val="19"/>
        </w:rPr>
        <w:t xml:space="preserve"> </w:t>
      </w:r>
      <w:r>
        <w:rPr>
          <w:rFonts w:ascii="Arial" w:hAnsi="Arial" w:eastAsia="Arial" w:cs="Arial"/>
          <w:spacing w:val="-7"/>
          <w:sz w:val="19"/>
          <w:szCs w:val="19"/>
        </w:rPr>
        <w:t>be</w:t>
      </w:r>
      <w:r>
        <w:rPr>
          <w:rFonts w:ascii="Arial" w:hAnsi="Arial" w:eastAsia="Arial" w:cs="Arial"/>
          <w:spacing w:val="14"/>
          <w:w w:val="101"/>
          <w:sz w:val="19"/>
          <w:szCs w:val="19"/>
        </w:rPr>
        <w:t xml:space="preserve"> </w:t>
      </w:r>
      <w:r>
        <w:rPr>
          <w:rFonts w:ascii="Arial" w:hAnsi="Arial" w:eastAsia="Arial" w:cs="Arial"/>
          <w:spacing w:val="-7"/>
          <w:sz w:val="19"/>
          <w:szCs w:val="19"/>
        </w:rPr>
        <w:t>described</w:t>
      </w:r>
      <w:r>
        <w:rPr>
          <w:rFonts w:ascii="Arial" w:hAnsi="Arial" w:eastAsia="Arial" w:cs="Arial"/>
          <w:spacing w:val="14"/>
          <w:w w:val="101"/>
          <w:sz w:val="19"/>
          <w:szCs w:val="19"/>
        </w:rPr>
        <w:t xml:space="preserve"> </w:t>
      </w:r>
      <w:r>
        <w:rPr>
          <w:rFonts w:ascii="Arial" w:hAnsi="Arial" w:eastAsia="Arial" w:cs="Arial"/>
          <w:spacing w:val="-7"/>
          <w:sz w:val="19"/>
          <w:szCs w:val="19"/>
        </w:rPr>
        <w:t>at</w:t>
      </w:r>
      <w:r>
        <w:rPr>
          <w:rFonts w:ascii="Arial" w:hAnsi="Arial" w:eastAsia="Arial" w:cs="Arial"/>
          <w:spacing w:val="10"/>
          <w:sz w:val="19"/>
          <w:szCs w:val="19"/>
        </w:rPr>
        <w:t xml:space="preserve"> </w:t>
      </w:r>
      <w:r>
        <w:rPr>
          <w:rFonts w:ascii="Arial" w:hAnsi="Arial" w:eastAsia="Arial" w:cs="Arial"/>
          <w:spacing w:val="-7"/>
          <w:sz w:val="19"/>
          <w:szCs w:val="19"/>
        </w:rPr>
        <w:t>three</w:t>
      </w:r>
      <w:r>
        <w:rPr>
          <w:rFonts w:ascii="Arial" w:hAnsi="Arial" w:eastAsia="Arial" w:cs="Arial"/>
          <w:sz w:val="19"/>
          <w:szCs w:val="19"/>
        </w:rPr>
        <w:t xml:space="preserve"> </w:t>
      </w:r>
      <w:r>
        <w:rPr>
          <w:rFonts w:ascii="Arial" w:hAnsi="Arial" w:eastAsia="Arial" w:cs="Arial"/>
          <w:spacing w:val="-6"/>
          <w:sz w:val="19"/>
          <w:szCs w:val="19"/>
        </w:rPr>
        <w:t>distinct</w:t>
      </w:r>
      <w:r>
        <w:rPr>
          <w:rFonts w:ascii="Arial" w:hAnsi="Arial" w:eastAsia="Arial" w:cs="Arial"/>
          <w:spacing w:val="26"/>
          <w:sz w:val="19"/>
          <w:szCs w:val="19"/>
        </w:rPr>
        <w:t xml:space="preserve"> </w:t>
      </w:r>
      <w:r>
        <w:rPr>
          <w:rFonts w:ascii="Arial" w:hAnsi="Arial" w:eastAsia="Arial" w:cs="Arial"/>
          <w:spacing w:val="-6"/>
          <w:sz w:val="19"/>
          <w:szCs w:val="19"/>
        </w:rPr>
        <w:t>levels:</w:t>
      </w:r>
      <w:r>
        <w:rPr>
          <w:rFonts w:ascii="Arial" w:hAnsi="Arial" w:eastAsia="Arial" w:cs="Arial"/>
          <w:spacing w:val="15"/>
          <w:w w:val="101"/>
          <w:sz w:val="19"/>
          <w:szCs w:val="19"/>
        </w:rPr>
        <w:t xml:space="preserve"> </w:t>
      </w:r>
      <w:r>
        <w:rPr>
          <w:rFonts w:ascii="Arial" w:hAnsi="Arial" w:eastAsia="Arial" w:cs="Arial"/>
          <w:spacing w:val="-6"/>
          <w:sz w:val="19"/>
          <w:szCs w:val="19"/>
        </w:rPr>
        <w:t>Artifacts</w:t>
      </w:r>
      <w:r>
        <w:rPr>
          <w:rFonts w:ascii="Arial" w:hAnsi="Arial" w:eastAsia="Arial" w:cs="Arial"/>
          <w:spacing w:val="23"/>
          <w:w w:val="101"/>
          <w:sz w:val="19"/>
          <w:szCs w:val="19"/>
        </w:rPr>
        <w:t xml:space="preserve"> </w:t>
      </w:r>
      <w:r>
        <w:rPr>
          <w:rFonts w:ascii="Arial" w:hAnsi="Arial" w:eastAsia="Arial" w:cs="Arial"/>
          <w:spacing w:val="-6"/>
          <w:sz w:val="19"/>
          <w:szCs w:val="19"/>
        </w:rPr>
        <w:t>(e.g.</w:t>
      </w:r>
      <w:r>
        <w:rPr>
          <w:rFonts w:ascii="Arial" w:hAnsi="Arial" w:eastAsia="Arial" w:cs="Arial"/>
          <w:spacing w:val="13"/>
          <w:sz w:val="19"/>
          <w:szCs w:val="19"/>
        </w:rPr>
        <w:t xml:space="preserve"> </w:t>
      </w:r>
      <w:r>
        <w:rPr>
          <w:rFonts w:ascii="Arial" w:hAnsi="Arial" w:eastAsia="Arial" w:cs="Arial"/>
          <w:spacing w:val="-6"/>
          <w:sz w:val="19"/>
          <w:szCs w:val="19"/>
        </w:rPr>
        <w:t>furnitur</w:t>
      </w:r>
      <w:r>
        <w:rPr>
          <w:rFonts w:ascii="Arial" w:hAnsi="Arial" w:eastAsia="Arial" w:cs="Arial"/>
          <w:spacing w:val="-7"/>
          <w:sz w:val="19"/>
          <w:szCs w:val="19"/>
        </w:rPr>
        <w:t>e,</w:t>
      </w:r>
      <w:r>
        <w:rPr>
          <w:rFonts w:ascii="Arial" w:hAnsi="Arial" w:eastAsia="Arial" w:cs="Arial"/>
          <w:spacing w:val="19"/>
          <w:sz w:val="19"/>
          <w:szCs w:val="19"/>
        </w:rPr>
        <w:t xml:space="preserve"> </w:t>
      </w:r>
      <w:r>
        <w:rPr>
          <w:rFonts w:ascii="Arial" w:hAnsi="Arial" w:eastAsia="Arial" w:cs="Arial"/>
          <w:spacing w:val="-7"/>
          <w:sz w:val="19"/>
          <w:szCs w:val="19"/>
        </w:rPr>
        <w:t>dress</w:t>
      </w:r>
      <w:r>
        <w:rPr>
          <w:rFonts w:ascii="Arial" w:hAnsi="Arial" w:eastAsia="Arial" w:cs="Arial"/>
          <w:spacing w:val="17"/>
          <w:w w:val="101"/>
          <w:sz w:val="19"/>
          <w:szCs w:val="19"/>
        </w:rPr>
        <w:t xml:space="preserve"> </w:t>
      </w:r>
      <w:r>
        <w:rPr>
          <w:rFonts w:ascii="Arial" w:hAnsi="Arial" w:eastAsia="Arial" w:cs="Arial"/>
          <w:spacing w:val="-7"/>
          <w:sz w:val="19"/>
          <w:szCs w:val="19"/>
        </w:rPr>
        <w:t>code)</w:t>
      </w:r>
      <w:r>
        <w:rPr>
          <w:rFonts w:ascii="Arial" w:hAnsi="Arial" w:eastAsia="Arial" w:cs="Arial"/>
          <w:spacing w:val="16"/>
          <w:w w:val="101"/>
          <w:sz w:val="19"/>
          <w:szCs w:val="19"/>
        </w:rPr>
        <w:t xml:space="preserve"> </w:t>
      </w:r>
      <w:r>
        <w:rPr>
          <w:rFonts w:ascii="Arial" w:hAnsi="Arial" w:eastAsia="Arial" w:cs="Arial"/>
          <w:spacing w:val="-7"/>
          <w:sz w:val="19"/>
          <w:szCs w:val="19"/>
        </w:rPr>
        <w:t>and</w:t>
      </w:r>
      <w:r>
        <w:rPr>
          <w:rFonts w:ascii="Arial" w:hAnsi="Arial" w:eastAsia="Arial" w:cs="Arial"/>
          <w:spacing w:val="18"/>
          <w:sz w:val="19"/>
          <w:szCs w:val="19"/>
        </w:rPr>
        <w:t xml:space="preserve"> </w:t>
      </w:r>
      <w:r>
        <w:rPr>
          <w:rFonts w:ascii="Arial" w:hAnsi="Arial" w:eastAsia="Arial" w:cs="Arial"/>
          <w:spacing w:val="-7"/>
          <w:sz w:val="19"/>
          <w:szCs w:val="19"/>
        </w:rPr>
        <w:t>espoused</w:t>
      </w:r>
      <w:r>
        <w:rPr>
          <w:rFonts w:ascii="Arial" w:hAnsi="Arial" w:eastAsia="Arial" w:cs="Arial"/>
          <w:spacing w:val="13"/>
          <w:w w:val="101"/>
          <w:sz w:val="19"/>
          <w:szCs w:val="19"/>
        </w:rPr>
        <w:t xml:space="preserve"> </w:t>
      </w:r>
      <w:r>
        <w:rPr>
          <w:rFonts w:ascii="Arial" w:hAnsi="Arial" w:eastAsia="Arial" w:cs="Arial"/>
          <w:spacing w:val="-7"/>
          <w:sz w:val="19"/>
          <w:szCs w:val="19"/>
        </w:rPr>
        <w:t>values</w:t>
      </w:r>
      <w:r>
        <w:rPr>
          <w:rFonts w:ascii="Arial" w:hAnsi="Arial" w:eastAsia="Arial" w:cs="Arial"/>
          <w:spacing w:val="23"/>
          <w:w w:val="101"/>
          <w:sz w:val="19"/>
          <w:szCs w:val="19"/>
        </w:rPr>
        <w:t xml:space="preserve"> </w:t>
      </w:r>
      <w:r>
        <w:rPr>
          <w:rFonts w:ascii="Arial" w:hAnsi="Arial" w:eastAsia="Arial" w:cs="Arial"/>
          <w:spacing w:val="-7"/>
          <w:sz w:val="19"/>
          <w:szCs w:val="19"/>
        </w:rPr>
        <w:t>(e.g.</w:t>
      </w:r>
      <w:r>
        <w:rPr>
          <w:rFonts w:ascii="Arial" w:hAnsi="Arial" w:eastAsia="Arial" w:cs="Arial"/>
          <w:spacing w:val="17"/>
          <w:w w:val="101"/>
          <w:sz w:val="19"/>
          <w:szCs w:val="19"/>
        </w:rPr>
        <w:t xml:space="preserve"> </w:t>
      </w:r>
      <w:r>
        <w:rPr>
          <w:rFonts w:ascii="Arial" w:hAnsi="Arial" w:eastAsia="Arial" w:cs="Arial"/>
          <w:spacing w:val="-7"/>
          <w:sz w:val="19"/>
          <w:szCs w:val="19"/>
        </w:rPr>
        <w:t>customer</w:t>
      </w:r>
      <w:r>
        <w:rPr>
          <w:rFonts w:ascii="Arial" w:hAnsi="Arial" w:eastAsia="Arial" w:cs="Arial"/>
          <w:spacing w:val="17"/>
          <w:sz w:val="19"/>
          <w:szCs w:val="19"/>
        </w:rPr>
        <w:t xml:space="preserve"> </w:t>
      </w:r>
      <w:r>
        <w:rPr>
          <w:rFonts w:ascii="Arial" w:hAnsi="Arial" w:eastAsia="Arial" w:cs="Arial"/>
          <w:spacing w:val="-7"/>
          <w:sz w:val="19"/>
          <w:szCs w:val="19"/>
        </w:rPr>
        <w:t>orientation)</w:t>
      </w:r>
      <w:r>
        <w:rPr>
          <w:rFonts w:ascii="Arial" w:hAnsi="Arial" w:eastAsia="Arial" w:cs="Arial"/>
          <w:sz w:val="19"/>
          <w:szCs w:val="19"/>
        </w:rPr>
        <w:t xml:space="preserve"> </w:t>
      </w:r>
      <w:r>
        <w:rPr>
          <w:rFonts w:ascii="Arial" w:hAnsi="Arial" w:eastAsia="Arial" w:cs="Arial"/>
          <w:spacing w:val="-4"/>
          <w:sz w:val="19"/>
          <w:szCs w:val="19"/>
        </w:rPr>
        <w:t>represent tangible elements of culture th</w:t>
      </w:r>
      <w:r>
        <w:rPr>
          <w:rFonts w:ascii="Arial" w:hAnsi="Arial" w:eastAsia="Arial" w:cs="Arial"/>
          <w:spacing w:val="-5"/>
          <w:sz w:val="19"/>
          <w:szCs w:val="19"/>
        </w:rPr>
        <w:t>at</w:t>
      </w:r>
      <w:r>
        <w:rPr>
          <w:rFonts w:ascii="Arial" w:hAnsi="Arial" w:eastAsia="Arial" w:cs="Arial"/>
          <w:spacing w:val="8"/>
          <w:sz w:val="19"/>
          <w:szCs w:val="19"/>
        </w:rPr>
        <w:t xml:space="preserve"> </w:t>
      </w:r>
      <w:r>
        <w:rPr>
          <w:rFonts w:ascii="Arial" w:hAnsi="Arial" w:eastAsia="Arial" w:cs="Arial"/>
          <w:spacing w:val="-5"/>
          <w:sz w:val="19"/>
          <w:szCs w:val="19"/>
        </w:rPr>
        <w:t>are</w:t>
      </w:r>
      <w:r>
        <w:rPr>
          <w:rFonts w:ascii="Arial" w:hAnsi="Arial" w:eastAsia="Arial" w:cs="Arial"/>
          <w:spacing w:val="15"/>
          <w:w w:val="101"/>
          <w:sz w:val="19"/>
          <w:szCs w:val="19"/>
        </w:rPr>
        <w:t xml:space="preserve"> </w:t>
      </w:r>
      <w:r>
        <w:rPr>
          <w:rFonts w:ascii="Arial" w:hAnsi="Arial" w:eastAsia="Arial" w:cs="Arial"/>
          <w:spacing w:val="-5"/>
          <w:sz w:val="19"/>
          <w:szCs w:val="19"/>
        </w:rPr>
        <w:t>rather</w:t>
      </w:r>
      <w:r>
        <w:rPr>
          <w:rFonts w:ascii="Arial" w:hAnsi="Arial" w:eastAsia="Arial" w:cs="Arial"/>
          <w:spacing w:val="9"/>
          <w:sz w:val="19"/>
          <w:szCs w:val="19"/>
        </w:rPr>
        <w:t xml:space="preserve"> </w:t>
      </w:r>
      <w:r>
        <w:rPr>
          <w:rFonts w:ascii="Arial" w:hAnsi="Arial" w:eastAsia="Arial" w:cs="Arial"/>
          <w:spacing w:val="-5"/>
          <w:sz w:val="19"/>
          <w:szCs w:val="19"/>
        </w:rPr>
        <w:t>easily</w:t>
      </w:r>
      <w:r>
        <w:rPr>
          <w:rFonts w:ascii="Arial" w:hAnsi="Arial" w:eastAsia="Arial" w:cs="Arial"/>
          <w:spacing w:val="8"/>
          <w:sz w:val="19"/>
          <w:szCs w:val="19"/>
        </w:rPr>
        <w:t xml:space="preserve"> </w:t>
      </w:r>
      <w:r>
        <w:rPr>
          <w:rFonts w:ascii="Arial" w:hAnsi="Arial" w:eastAsia="Arial" w:cs="Arial"/>
          <w:spacing w:val="-5"/>
          <w:sz w:val="19"/>
          <w:szCs w:val="19"/>
        </w:rPr>
        <w:t>available</w:t>
      </w:r>
      <w:r>
        <w:rPr>
          <w:rFonts w:ascii="Arial" w:hAnsi="Arial" w:eastAsia="Arial" w:cs="Arial"/>
          <w:spacing w:val="5"/>
          <w:sz w:val="19"/>
          <w:szCs w:val="19"/>
        </w:rPr>
        <w:t xml:space="preserve"> </w:t>
      </w:r>
      <w:r>
        <w:rPr>
          <w:rFonts w:ascii="Arial" w:hAnsi="Arial" w:eastAsia="Arial" w:cs="Arial"/>
          <w:spacing w:val="-5"/>
          <w:sz w:val="19"/>
          <w:szCs w:val="19"/>
        </w:rPr>
        <w:t>to</w:t>
      </w:r>
      <w:r>
        <w:rPr>
          <w:rFonts w:ascii="Arial" w:hAnsi="Arial" w:eastAsia="Arial" w:cs="Arial"/>
          <w:spacing w:val="14"/>
          <w:sz w:val="19"/>
          <w:szCs w:val="19"/>
        </w:rPr>
        <w:t xml:space="preserve"> </w:t>
      </w:r>
      <w:r>
        <w:rPr>
          <w:rFonts w:ascii="Arial" w:hAnsi="Arial" w:eastAsia="Arial" w:cs="Arial"/>
          <w:spacing w:val="-5"/>
          <w:sz w:val="19"/>
          <w:szCs w:val="19"/>
        </w:rPr>
        <w:t>non-members</w:t>
      </w:r>
      <w:r>
        <w:rPr>
          <w:rFonts w:ascii="Arial" w:hAnsi="Arial" w:eastAsia="Arial" w:cs="Arial"/>
          <w:spacing w:val="7"/>
          <w:sz w:val="19"/>
          <w:szCs w:val="19"/>
        </w:rPr>
        <w:t xml:space="preserve"> </w:t>
      </w:r>
      <w:r>
        <w:rPr>
          <w:rFonts w:ascii="Arial" w:hAnsi="Arial" w:eastAsia="Arial" w:cs="Arial"/>
          <w:spacing w:val="-5"/>
          <w:sz w:val="19"/>
          <w:szCs w:val="19"/>
        </w:rPr>
        <w:t>of an</w:t>
      </w:r>
      <w:r>
        <w:rPr>
          <w:rFonts w:ascii="Arial" w:hAnsi="Arial" w:eastAsia="Arial" w:cs="Arial"/>
          <w:spacing w:val="9"/>
          <w:sz w:val="19"/>
          <w:szCs w:val="19"/>
        </w:rPr>
        <w:t xml:space="preserve"> </w:t>
      </w:r>
      <w:r>
        <w:rPr>
          <w:rFonts w:ascii="Arial" w:hAnsi="Arial" w:eastAsia="Arial" w:cs="Arial"/>
          <w:spacing w:val="-5"/>
          <w:sz w:val="19"/>
          <w:szCs w:val="19"/>
        </w:rPr>
        <w:t>organ-</w:t>
      </w:r>
      <w:r>
        <w:rPr>
          <w:rFonts w:ascii="Arial" w:hAnsi="Arial" w:eastAsia="Arial" w:cs="Arial"/>
          <w:sz w:val="19"/>
          <w:szCs w:val="19"/>
        </w:rPr>
        <w:t xml:space="preserve"> </w:t>
      </w:r>
      <w:r>
        <w:rPr>
          <w:rFonts w:ascii="Arial" w:hAnsi="Arial" w:eastAsia="Arial" w:cs="Arial"/>
          <w:spacing w:val="-7"/>
          <w:sz w:val="19"/>
          <w:szCs w:val="19"/>
        </w:rPr>
        <w:t>izati</w:t>
      </w:r>
      <w:r>
        <w:rPr>
          <w:rFonts w:ascii="Arial" w:hAnsi="Arial" w:eastAsia="Arial" w:cs="Arial"/>
          <w:spacing w:val="-6"/>
          <w:sz w:val="19"/>
          <w:szCs w:val="19"/>
        </w:rPr>
        <w:t>on.</w:t>
      </w:r>
      <w:r>
        <w:rPr>
          <w:rFonts w:ascii="Arial" w:hAnsi="Arial" w:eastAsia="Arial" w:cs="Arial"/>
          <w:spacing w:val="31"/>
          <w:w w:val="101"/>
          <w:sz w:val="19"/>
          <w:szCs w:val="19"/>
        </w:rPr>
        <w:t xml:space="preserve"> </w:t>
      </w:r>
      <w:r>
        <w:rPr>
          <w:rFonts w:ascii="Arial" w:hAnsi="Arial" w:eastAsia="Arial" w:cs="Arial"/>
          <w:spacing w:val="-6"/>
          <w:sz w:val="19"/>
          <w:szCs w:val="19"/>
        </w:rPr>
        <w:t>In contrast, shared</w:t>
      </w:r>
      <w:r>
        <w:rPr>
          <w:rFonts w:ascii="Arial" w:hAnsi="Arial" w:eastAsia="Arial" w:cs="Arial"/>
          <w:spacing w:val="12"/>
          <w:sz w:val="19"/>
          <w:szCs w:val="19"/>
        </w:rPr>
        <w:t xml:space="preserve"> </w:t>
      </w:r>
      <w:r>
        <w:rPr>
          <w:rFonts w:ascii="Arial" w:hAnsi="Arial" w:eastAsia="Arial" w:cs="Arial"/>
          <w:spacing w:val="-6"/>
          <w:sz w:val="19"/>
          <w:szCs w:val="19"/>
        </w:rPr>
        <w:t>basic assumptions</w:t>
      </w:r>
      <w:r>
        <w:rPr>
          <w:rFonts w:ascii="Arial" w:hAnsi="Arial" w:eastAsia="Arial" w:cs="Arial"/>
          <w:spacing w:val="14"/>
          <w:sz w:val="19"/>
          <w:szCs w:val="19"/>
        </w:rPr>
        <w:t xml:space="preserve"> </w:t>
      </w:r>
      <w:r>
        <w:rPr>
          <w:rFonts w:ascii="Arial" w:hAnsi="Arial" w:eastAsia="Arial" w:cs="Arial"/>
          <w:spacing w:val="-6"/>
          <w:sz w:val="19"/>
          <w:szCs w:val="19"/>
        </w:rPr>
        <w:t>represent</w:t>
      </w:r>
      <w:r>
        <w:rPr>
          <w:rFonts w:ascii="Arial" w:hAnsi="Arial" w:eastAsia="Arial" w:cs="Arial"/>
          <w:spacing w:val="13"/>
          <w:w w:val="101"/>
          <w:sz w:val="19"/>
          <w:szCs w:val="19"/>
        </w:rPr>
        <w:t xml:space="preserve"> </w:t>
      </w:r>
      <w:r>
        <w:rPr>
          <w:rFonts w:ascii="Arial" w:hAnsi="Arial" w:eastAsia="Arial" w:cs="Arial"/>
          <w:spacing w:val="-6"/>
          <w:sz w:val="19"/>
          <w:szCs w:val="19"/>
        </w:rPr>
        <w:t>unconscious</w:t>
      </w:r>
      <w:r>
        <w:rPr>
          <w:rFonts w:ascii="Arial" w:hAnsi="Arial" w:eastAsia="Arial" w:cs="Arial"/>
          <w:spacing w:val="13"/>
          <w:sz w:val="19"/>
          <w:szCs w:val="19"/>
        </w:rPr>
        <w:t xml:space="preserve"> </w:t>
      </w:r>
      <w:r>
        <w:rPr>
          <w:rFonts w:ascii="Arial" w:hAnsi="Arial" w:eastAsia="Arial" w:cs="Arial"/>
          <w:spacing w:val="-6"/>
          <w:sz w:val="19"/>
          <w:szCs w:val="19"/>
        </w:rPr>
        <w:t>beliefs that</w:t>
      </w:r>
      <w:r>
        <w:rPr>
          <w:rFonts w:ascii="Arial" w:hAnsi="Arial" w:eastAsia="Arial" w:cs="Arial"/>
          <w:spacing w:val="7"/>
          <w:sz w:val="19"/>
          <w:szCs w:val="19"/>
        </w:rPr>
        <w:t xml:space="preserve"> </w:t>
      </w:r>
      <w:r>
        <w:rPr>
          <w:rFonts w:ascii="Arial" w:hAnsi="Arial" w:eastAsia="Arial" w:cs="Arial"/>
          <w:spacing w:val="-6"/>
          <w:sz w:val="19"/>
          <w:szCs w:val="19"/>
        </w:rPr>
        <w:t>guide the</w:t>
      </w:r>
      <w:r>
        <w:rPr>
          <w:rFonts w:ascii="Arial" w:hAnsi="Arial" w:eastAsia="Arial" w:cs="Arial"/>
          <w:spacing w:val="12"/>
          <w:sz w:val="19"/>
          <w:szCs w:val="19"/>
        </w:rPr>
        <w:t xml:space="preserve"> </w:t>
      </w:r>
      <w:r>
        <w:rPr>
          <w:rFonts w:ascii="Arial" w:hAnsi="Arial" w:eastAsia="Arial" w:cs="Arial"/>
          <w:spacing w:val="-6"/>
          <w:sz w:val="19"/>
          <w:szCs w:val="19"/>
        </w:rPr>
        <w:t>behavio</w:t>
      </w:r>
      <w:r>
        <w:rPr>
          <w:rFonts w:ascii="Arial" w:hAnsi="Arial" w:eastAsia="Arial" w:cs="Arial"/>
          <w:spacing w:val="-1"/>
          <w:sz w:val="19"/>
          <w:szCs w:val="19"/>
        </w:rPr>
        <w:t>r</w:t>
      </w:r>
      <w:r>
        <w:rPr>
          <w:rFonts w:ascii="Arial" w:hAnsi="Arial" w:eastAsia="Arial" w:cs="Arial"/>
          <w:sz w:val="19"/>
          <w:szCs w:val="19"/>
        </w:rPr>
        <w:t xml:space="preserve"> </w:t>
      </w:r>
      <w:r>
        <w:rPr>
          <w:rFonts w:ascii="Arial" w:hAnsi="Arial" w:eastAsia="Arial" w:cs="Arial"/>
          <w:spacing w:val="-5"/>
          <w:sz w:val="19"/>
          <w:szCs w:val="19"/>
        </w:rPr>
        <w:t>of</w:t>
      </w:r>
      <w:r>
        <w:rPr>
          <w:rFonts w:ascii="Arial" w:hAnsi="Arial" w:eastAsia="Arial" w:cs="Arial"/>
          <w:spacing w:val="13"/>
          <w:sz w:val="19"/>
          <w:szCs w:val="19"/>
        </w:rPr>
        <w:t xml:space="preserve"> </w:t>
      </w:r>
      <w:r>
        <w:rPr>
          <w:rFonts w:ascii="Arial" w:hAnsi="Arial" w:eastAsia="Arial" w:cs="Arial"/>
          <w:spacing w:val="-5"/>
          <w:sz w:val="19"/>
          <w:szCs w:val="19"/>
        </w:rPr>
        <w:t>organizational</w:t>
      </w:r>
      <w:r>
        <w:rPr>
          <w:rFonts w:ascii="Arial" w:hAnsi="Arial" w:eastAsia="Arial" w:cs="Arial"/>
          <w:spacing w:val="26"/>
          <w:sz w:val="19"/>
          <w:szCs w:val="19"/>
        </w:rPr>
        <w:t xml:space="preserve"> </w:t>
      </w:r>
      <w:r>
        <w:rPr>
          <w:rFonts w:ascii="Arial" w:hAnsi="Arial" w:eastAsia="Arial" w:cs="Arial"/>
          <w:spacing w:val="-5"/>
          <w:sz w:val="19"/>
          <w:szCs w:val="19"/>
        </w:rPr>
        <w:t>members</w:t>
      </w:r>
      <w:r>
        <w:rPr>
          <w:rFonts w:ascii="Arial" w:hAnsi="Arial" w:eastAsia="Arial" w:cs="Arial"/>
          <w:spacing w:val="20"/>
          <w:sz w:val="19"/>
          <w:szCs w:val="19"/>
        </w:rPr>
        <w:t xml:space="preserve"> </w:t>
      </w:r>
      <w:r>
        <w:rPr>
          <w:rFonts w:ascii="Arial" w:hAnsi="Arial" w:eastAsia="Arial" w:cs="Arial"/>
          <w:spacing w:val="-5"/>
          <w:sz w:val="19"/>
          <w:szCs w:val="19"/>
        </w:rPr>
        <w:t>and</w:t>
      </w:r>
      <w:r>
        <w:rPr>
          <w:rFonts w:ascii="Arial" w:hAnsi="Arial" w:eastAsia="Arial" w:cs="Arial"/>
          <w:spacing w:val="19"/>
          <w:w w:val="101"/>
          <w:sz w:val="19"/>
          <w:szCs w:val="19"/>
        </w:rPr>
        <w:t xml:space="preserve"> </w:t>
      </w:r>
      <w:r>
        <w:rPr>
          <w:rFonts w:ascii="Arial" w:hAnsi="Arial" w:eastAsia="Arial" w:cs="Arial"/>
          <w:spacing w:val="-5"/>
          <w:sz w:val="19"/>
          <w:szCs w:val="19"/>
        </w:rPr>
        <w:t>are</w:t>
      </w:r>
      <w:r>
        <w:rPr>
          <w:rFonts w:ascii="Arial" w:hAnsi="Arial" w:eastAsia="Arial" w:cs="Arial"/>
          <w:spacing w:val="26"/>
          <w:sz w:val="19"/>
          <w:szCs w:val="19"/>
        </w:rPr>
        <w:t xml:space="preserve"> </w:t>
      </w:r>
      <w:r>
        <w:rPr>
          <w:rFonts w:ascii="Arial" w:hAnsi="Arial" w:eastAsia="Arial" w:cs="Arial"/>
          <w:spacing w:val="-5"/>
          <w:sz w:val="19"/>
          <w:szCs w:val="19"/>
        </w:rPr>
        <w:t>rather</w:t>
      </w:r>
      <w:r>
        <w:rPr>
          <w:rFonts w:ascii="Arial" w:hAnsi="Arial" w:eastAsia="Arial" w:cs="Arial"/>
          <w:spacing w:val="21"/>
          <w:sz w:val="19"/>
          <w:szCs w:val="19"/>
        </w:rPr>
        <w:t xml:space="preserve"> </w:t>
      </w:r>
      <w:r>
        <w:rPr>
          <w:rFonts w:ascii="Arial" w:hAnsi="Arial" w:eastAsia="Arial" w:cs="Arial"/>
          <w:spacing w:val="-5"/>
          <w:sz w:val="19"/>
          <w:szCs w:val="19"/>
        </w:rPr>
        <w:t>diicult</w:t>
      </w:r>
      <w:r>
        <w:rPr>
          <w:rFonts w:ascii="Arial" w:hAnsi="Arial" w:eastAsia="Arial" w:cs="Arial"/>
          <w:spacing w:val="16"/>
          <w:w w:val="101"/>
          <w:sz w:val="19"/>
          <w:szCs w:val="19"/>
        </w:rPr>
        <w:t xml:space="preserve"> </w:t>
      </w:r>
      <w:r>
        <w:rPr>
          <w:rFonts w:ascii="Arial" w:hAnsi="Arial" w:eastAsia="Arial" w:cs="Arial"/>
          <w:spacing w:val="-5"/>
          <w:sz w:val="19"/>
          <w:szCs w:val="19"/>
        </w:rPr>
        <w:t>to</w:t>
      </w:r>
      <w:r>
        <w:rPr>
          <w:rFonts w:ascii="Arial" w:hAnsi="Arial" w:eastAsia="Arial" w:cs="Arial"/>
          <w:spacing w:val="19"/>
          <w:w w:val="101"/>
          <w:sz w:val="19"/>
          <w:szCs w:val="19"/>
        </w:rPr>
        <w:t xml:space="preserve"> </w:t>
      </w:r>
      <w:r>
        <w:rPr>
          <w:rFonts w:ascii="Arial" w:hAnsi="Arial" w:eastAsia="Arial" w:cs="Arial"/>
          <w:spacing w:val="-5"/>
          <w:sz w:val="19"/>
          <w:szCs w:val="19"/>
        </w:rPr>
        <w:t>specify.</w:t>
      </w:r>
      <w:r>
        <w:rPr>
          <w:rFonts w:ascii="Arial" w:hAnsi="Arial" w:eastAsia="Arial" w:cs="Arial"/>
          <w:spacing w:val="20"/>
          <w:w w:val="101"/>
          <w:sz w:val="19"/>
          <w:szCs w:val="19"/>
        </w:rPr>
        <w:t xml:space="preserve"> </w:t>
      </w:r>
      <w:r>
        <w:rPr>
          <w:rFonts w:ascii="Arial" w:hAnsi="Arial" w:eastAsia="Arial" w:cs="Arial"/>
          <w:spacing w:val="-5"/>
          <w:sz w:val="19"/>
          <w:szCs w:val="19"/>
        </w:rPr>
        <w:t>Shared</w:t>
      </w:r>
      <w:r>
        <w:rPr>
          <w:rFonts w:ascii="Arial" w:hAnsi="Arial" w:eastAsia="Arial" w:cs="Arial"/>
          <w:spacing w:val="26"/>
          <w:w w:val="101"/>
          <w:sz w:val="19"/>
          <w:szCs w:val="19"/>
        </w:rPr>
        <w:t xml:space="preserve"> </w:t>
      </w:r>
      <w:r>
        <w:rPr>
          <w:rFonts w:ascii="Arial" w:hAnsi="Arial" w:eastAsia="Arial" w:cs="Arial"/>
          <w:spacing w:val="-5"/>
          <w:sz w:val="19"/>
          <w:szCs w:val="19"/>
        </w:rPr>
        <w:t>basic</w:t>
      </w:r>
      <w:r>
        <w:rPr>
          <w:rFonts w:ascii="Arial" w:hAnsi="Arial" w:eastAsia="Arial" w:cs="Arial"/>
          <w:spacing w:val="20"/>
          <w:sz w:val="19"/>
          <w:szCs w:val="19"/>
        </w:rPr>
        <w:t xml:space="preserve"> </w:t>
      </w:r>
      <w:r>
        <w:rPr>
          <w:rFonts w:ascii="Arial" w:hAnsi="Arial" w:eastAsia="Arial" w:cs="Arial"/>
          <w:spacing w:val="-5"/>
          <w:sz w:val="19"/>
          <w:szCs w:val="19"/>
        </w:rPr>
        <w:t>assumptions</w:t>
      </w:r>
      <w:r>
        <w:rPr>
          <w:rFonts w:ascii="Arial" w:hAnsi="Arial" w:eastAsia="Arial" w:cs="Arial"/>
          <w:spacing w:val="20"/>
          <w:sz w:val="19"/>
          <w:szCs w:val="19"/>
        </w:rPr>
        <w:t xml:space="preserve"> </w:t>
      </w:r>
      <w:r>
        <w:rPr>
          <w:rFonts w:ascii="Arial" w:hAnsi="Arial" w:eastAsia="Arial" w:cs="Arial"/>
          <w:spacing w:val="-5"/>
          <w:sz w:val="19"/>
          <w:szCs w:val="19"/>
        </w:rPr>
        <w:t>are</w:t>
      </w:r>
      <w:r>
        <w:rPr>
          <w:rFonts w:ascii="Arial" w:hAnsi="Arial" w:eastAsia="Arial" w:cs="Arial"/>
          <w:spacing w:val="18"/>
          <w:w w:val="101"/>
          <w:sz w:val="19"/>
          <w:szCs w:val="19"/>
        </w:rPr>
        <w:t xml:space="preserve"> </w:t>
      </w:r>
      <w:r>
        <w:rPr>
          <w:rFonts w:ascii="Arial" w:hAnsi="Arial" w:eastAsia="Arial" w:cs="Arial"/>
          <w:spacing w:val="-5"/>
          <w:sz w:val="19"/>
          <w:szCs w:val="19"/>
        </w:rPr>
        <w:t>at</w:t>
      </w:r>
      <w:r>
        <w:rPr>
          <w:rFonts w:ascii="Arial" w:hAnsi="Arial" w:eastAsia="Arial" w:cs="Arial"/>
          <w:spacing w:val="16"/>
          <w:sz w:val="19"/>
          <w:szCs w:val="19"/>
        </w:rPr>
        <w:t xml:space="preserve"> </w:t>
      </w:r>
      <w:r>
        <w:rPr>
          <w:rFonts w:ascii="Arial" w:hAnsi="Arial" w:eastAsia="Arial" w:cs="Arial"/>
          <w:spacing w:val="-5"/>
          <w:sz w:val="19"/>
          <w:szCs w:val="19"/>
        </w:rPr>
        <w:t>the</w:t>
      </w:r>
      <w:r>
        <w:rPr>
          <w:rFonts w:ascii="Arial" w:hAnsi="Arial" w:eastAsia="Arial" w:cs="Arial"/>
          <w:sz w:val="19"/>
          <w:szCs w:val="19"/>
        </w:rPr>
        <w:t xml:space="preserve"> </w:t>
      </w:r>
      <w:r>
        <w:rPr>
          <w:rFonts w:ascii="Arial" w:hAnsi="Arial" w:eastAsia="Arial" w:cs="Arial"/>
          <w:spacing w:val="-5"/>
          <w:sz w:val="19"/>
          <w:szCs w:val="19"/>
        </w:rPr>
        <w:t>core</w:t>
      </w:r>
      <w:r>
        <w:rPr>
          <w:rFonts w:ascii="Arial" w:hAnsi="Arial" w:eastAsia="Arial" w:cs="Arial"/>
          <w:spacing w:val="27"/>
          <w:w w:val="101"/>
          <w:sz w:val="19"/>
          <w:szCs w:val="19"/>
        </w:rPr>
        <w:t xml:space="preserve"> </w:t>
      </w:r>
      <w:r>
        <w:rPr>
          <w:rFonts w:ascii="Arial" w:hAnsi="Arial" w:eastAsia="Arial" w:cs="Arial"/>
          <w:spacing w:val="-5"/>
          <w:sz w:val="19"/>
          <w:szCs w:val="19"/>
        </w:rPr>
        <w:t>of</w:t>
      </w:r>
      <w:r>
        <w:rPr>
          <w:rFonts w:ascii="Arial" w:hAnsi="Arial" w:eastAsia="Arial" w:cs="Arial"/>
          <w:spacing w:val="19"/>
          <w:w w:val="101"/>
          <w:sz w:val="19"/>
          <w:szCs w:val="19"/>
        </w:rPr>
        <w:t xml:space="preserve"> </w:t>
      </w:r>
      <w:r>
        <w:rPr>
          <w:rFonts w:ascii="Arial" w:hAnsi="Arial" w:eastAsia="Arial" w:cs="Arial"/>
          <w:spacing w:val="-5"/>
          <w:sz w:val="19"/>
          <w:szCs w:val="19"/>
        </w:rPr>
        <w:t>an</w:t>
      </w:r>
      <w:r>
        <w:rPr>
          <w:rFonts w:ascii="Arial" w:hAnsi="Arial" w:eastAsia="Arial" w:cs="Arial"/>
          <w:spacing w:val="27"/>
          <w:w w:val="101"/>
          <w:sz w:val="19"/>
          <w:szCs w:val="19"/>
        </w:rPr>
        <w:t xml:space="preserve"> </w:t>
      </w:r>
      <w:r>
        <w:rPr>
          <w:rFonts w:ascii="Arial" w:hAnsi="Arial" w:eastAsia="Arial" w:cs="Arial"/>
          <w:spacing w:val="-5"/>
          <w:sz w:val="19"/>
          <w:szCs w:val="19"/>
        </w:rPr>
        <w:t>organization:</w:t>
      </w:r>
      <w:r>
        <w:rPr>
          <w:rFonts w:ascii="Arial" w:hAnsi="Arial" w:eastAsia="Arial" w:cs="Arial"/>
          <w:spacing w:val="23"/>
          <w:w w:val="101"/>
          <w:sz w:val="19"/>
          <w:szCs w:val="19"/>
        </w:rPr>
        <w:t xml:space="preserve"> </w:t>
      </w:r>
      <w:r>
        <w:rPr>
          <w:rFonts w:ascii="Arial" w:hAnsi="Arial" w:eastAsia="Arial" w:cs="Arial"/>
          <w:spacing w:val="-5"/>
          <w:sz w:val="19"/>
          <w:szCs w:val="19"/>
        </w:rPr>
        <w:t>they</w:t>
      </w:r>
      <w:r>
        <w:rPr>
          <w:rFonts w:ascii="Arial" w:hAnsi="Arial" w:eastAsia="Arial" w:cs="Arial"/>
          <w:spacing w:val="28"/>
          <w:sz w:val="19"/>
          <w:szCs w:val="19"/>
        </w:rPr>
        <w:t xml:space="preserve"> </w:t>
      </w:r>
      <w:r>
        <w:rPr>
          <w:rFonts w:ascii="Arial" w:hAnsi="Arial" w:eastAsia="Arial" w:cs="Arial"/>
          <w:spacing w:val="-5"/>
          <w:sz w:val="19"/>
          <w:szCs w:val="19"/>
        </w:rPr>
        <w:t>are</w:t>
      </w:r>
      <w:r>
        <w:rPr>
          <w:rFonts w:ascii="Arial" w:hAnsi="Arial" w:eastAsia="Arial" w:cs="Arial"/>
          <w:spacing w:val="33"/>
          <w:sz w:val="19"/>
          <w:szCs w:val="19"/>
        </w:rPr>
        <w:t xml:space="preserve"> </w:t>
      </w:r>
      <w:r>
        <w:rPr>
          <w:rFonts w:ascii="Arial" w:hAnsi="Arial" w:eastAsia="Arial" w:cs="Arial"/>
          <w:spacing w:val="-5"/>
          <w:sz w:val="19"/>
          <w:szCs w:val="19"/>
        </w:rPr>
        <w:t>perceived</w:t>
      </w:r>
      <w:r>
        <w:rPr>
          <w:rFonts w:ascii="Arial" w:hAnsi="Arial" w:eastAsia="Arial" w:cs="Arial"/>
          <w:spacing w:val="27"/>
          <w:sz w:val="19"/>
          <w:szCs w:val="19"/>
        </w:rPr>
        <w:t xml:space="preserve"> </w:t>
      </w:r>
      <w:r>
        <w:rPr>
          <w:rFonts w:ascii="Arial" w:hAnsi="Arial" w:eastAsia="Arial" w:cs="Arial"/>
          <w:spacing w:val="-5"/>
          <w:sz w:val="19"/>
          <w:szCs w:val="19"/>
        </w:rPr>
        <w:t>as</w:t>
      </w:r>
      <w:r>
        <w:rPr>
          <w:rFonts w:ascii="Arial" w:hAnsi="Arial" w:eastAsia="Arial" w:cs="Arial"/>
          <w:spacing w:val="27"/>
          <w:w w:val="101"/>
          <w:sz w:val="19"/>
          <w:szCs w:val="19"/>
        </w:rPr>
        <w:t xml:space="preserve"> </w:t>
      </w:r>
      <w:r>
        <w:rPr>
          <w:rFonts w:ascii="Arial" w:hAnsi="Arial" w:eastAsia="Arial" w:cs="Arial"/>
          <w:spacing w:val="-6"/>
          <w:sz w:val="19"/>
          <w:szCs w:val="19"/>
        </w:rPr>
        <w:t>self-evident</w:t>
      </w:r>
      <w:r>
        <w:rPr>
          <w:rFonts w:ascii="Arial" w:hAnsi="Arial" w:eastAsia="Arial" w:cs="Arial"/>
          <w:spacing w:val="27"/>
          <w:w w:val="101"/>
          <w:sz w:val="19"/>
          <w:szCs w:val="19"/>
        </w:rPr>
        <w:t xml:space="preserve"> </w:t>
      </w:r>
      <w:r>
        <w:rPr>
          <w:rFonts w:ascii="Arial" w:hAnsi="Arial" w:eastAsia="Arial" w:cs="Arial"/>
          <w:spacing w:val="-6"/>
          <w:sz w:val="19"/>
          <w:szCs w:val="19"/>
        </w:rPr>
        <w:t>and</w:t>
      </w:r>
      <w:r>
        <w:rPr>
          <w:rFonts w:ascii="Arial" w:hAnsi="Arial" w:eastAsia="Arial" w:cs="Arial"/>
          <w:spacing w:val="33"/>
          <w:sz w:val="19"/>
          <w:szCs w:val="19"/>
        </w:rPr>
        <w:t xml:space="preserve"> </w:t>
      </w:r>
      <w:r>
        <w:rPr>
          <w:rFonts w:ascii="Arial" w:hAnsi="Arial" w:eastAsia="Arial" w:cs="Arial"/>
          <w:spacing w:val="-6"/>
          <w:sz w:val="19"/>
          <w:szCs w:val="19"/>
        </w:rPr>
        <w:t>not</w:t>
      </w:r>
      <w:r>
        <w:rPr>
          <w:rFonts w:ascii="Arial" w:hAnsi="Arial" w:eastAsia="Arial" w:cs="Arial"/>
          <w:spacing w:val="28"/>
          <w:sz w:val="19"/>
          <w:szCs w:val="19"/>
        </w:rPr>
        <w:t xml:space="preserve"> </w:t>
      </w:r>
      <w:r>
        <w:rPr>
          <w:rFonts w:ascii="Arial" w:hAnsi="Arial" w:eastAsia="Arial" w:cs="Arial"/>
          <w:spacing w:val="-6"/>
          <w:sz w:val="19"/>
          <w:szCs w:val="19"/>
        </w:rPr>
        <w:t>questioned</w:t>
      </w:r>
      <w:r>
        <w:rPr>
          <w:rFonts w:ascii="Arial" w:hAnsi="Arial" w:eastAsia="Arial" w:cs="Arial"/>
          <w:spacing w:val="33"/>
          <w:sz w:val="19"/>
          <w:szCs w:val="19"/>
        </w:rPr>
        <w:t xml:space="preserve"> </w:t>
      </w:r>
      <w:r>
        <w:rPr>
          <w:rFonts w:ascii="Arial" w:hAnsi="Arial" w:eastAsia="Arial" w:cs="Arial"/>
          <w:spacing w:val="-6"/>
          <w:sz w:val="19"/>
          <w:szCs w:val="19"/>
        </w:rPr>
        <w:t>by</w:t>
      </w:r>
      <w:r>
        <w:rPr>
          <w:rFonts w:ascii="Arial" w:hAnsi="Arial" w:eastAsia="Arial" w:cs="Arial"/>
          <w:spacing w:val="28"/>
          <w:w w:val="101"/>
          <w:sz w:val="19"/>
          <w:szCs w:val="19"/>
        </w:rPr>
        <w:t xml:space="preserve"> </w:t>
      </w:r>
      <w:r>
        <w:rPr>
          <w:rFonts w:ascii="Arial" w:hAnsi="Arial" w:eastAsia="Arial" w:cs="Arial"/>
          <w:spacing w:val="-6"/>
          <w:sz w:val="19"/>
          <w:szCs w:val="19"/>
        </w:rPr>
        <w:t>organizational</w:t>
      </w:r>
      <w:r>
        <w:rPr>
          <w:rFonts w:ascii="Arial" w:hAnsi="Arial" w:eastAsia="Arial" w:cs="Arial"/>
          <w:sz w:val="19"/>
          <w:szCs w:val="19"/>
        </w:rPr>
        <w:t xml:space="preserve"> </w:t>
      </w:r>
      <w:r>
        <w:rPr>
          <w:rFonts w:ascii="Arial" w:hAnsi="Arial" w:eastAsia="Arial" w:cs="Arial"/>
          <w:spacing w:val="-4"/>
          <w:sz w:val="19"/>
          <w:szCs w:val="19"/>
        </w:rPr>
        <w:t>members,</w:t>
      </w:r>
      <w:r>
        <w:rPr>
          <w:rFonts w:ascii="Arial" w:hAnsi="Arial" w:eastAsia="Arial" w:cs="Arial"/>
          <w:spacing w:val="27"/>
          <w:sz w:val="19"/>
          <w:szCs w:val="19"/>
        </w:rPr>
        <w:t xml:space="preserve"> </w:t>
      </w:r>
      <w:r>
        <w:rPr>
          <w:rFonts w:ascii="Arial" w:hAnsi="Arial" w:eastAsia="Arial" w:cs="Arial"/>
          <w:spacing w:val="-4"/>
          <w:sz w:val="19"/>
          <w:szCs w:val="19"/>
        </w:rPr>
        <w:t>thereby</w:t>
      </w:r>
      <w:r>
        <w:rPr>
          <w:rFonts w:ascii="Arial" w:hAnsi="Arial" w:eastAsia="Arial" w:cs="Arial"/>
          <w:spacing w:val="29"/>
          <w:sz w:val="19"/>
          <w:szCs w:val="19"/>
        </w:rPr>
        <w:t xml:space="preserve"> </w:t>
      </w:r>
      <w:r>
        <w:rPr>
          <w:rFonts w:ascii="Arial" w:hAnsi="Arial" w:eastAsia="Arial" w:cs="Arial"/>
          <w:spacing w:val="-4"/>
          <w:sz w:val="19"/>
          <w:szCs w:val="19"/>
        </w:rPr>
        <w:t>strongly</w:t>
      </w:r>
      <w:r>
        <w:rPr>
          <w:rFonts w:ascii="Arial" w:hAnsi="Arial" w:eastAsia="Arial" w:cs="Arial"/>
          <w:spacing w:val="33"/>
          <w:w w:val="101"/>
          <w:sz w:val="19"/>
          <w:szCs w:val="19"/>
        </w:rPr>
        <w:t xml:space="preserve"> </w:t>
      </w:r>
      <w:r>
        <w:rPr>
          <w:rFonts w:ascii="Arial" w:hAnsi="Arial" w:eastAsia="Arial" w:cs="Arial"/>
          <w:spacing w:val="-4"/>
          <w:sz w:val="19"/>
          <w:szCs w:val="19"/>
        </w:rPr>
        <w:t>inluencing</w:t>
      </w:r>
      <w:r>
        <w:rPr>
          <w:rFonts w:ascii="Arial" w:hAnsi="Arial" w:eastAsia="Arial" w:cs="Arial"/>
          <w:spacing w:val="26"/>
          <w:w w:val="101"/>
          <w:sz w:val="19"/>
          <w:szCs w:val="19"/>
        </w:rPr>
        <w:t xml:space="preserve"> </w:t>
      </w:r>
      <w:r>
        <w:rPr>
          <w:rFonts w:ascii="Arial" w:hAnsi="Arial" w:eastAsia="Arial" w:cs="Arial"/>
          <w:spacing w:val="-4"/>
          <w:sz w:val="19"/>
          <w:szCs w:val="19"/>
        </w:rPr>
        <w:t>the</w:t>
      </w:r>
      <w:r>
        <w:rPr>
          <w:rFonts w:ascii="Arial" w:hAnsi="Arial" w:eastAsia="Arial" w:cs="Arial"/>
          <w:spacing w:val="26"/>
          <w:w w:val="101"/>
          <w:sz w:val="19"/>
          <w:szCs w:val="19"/>
        </w:rPr>
        <w:t xml:space="preserve"> </w:t>
      </w:r>
      <w:r>
        <w:rPr>
          <w:rFonts w:ascii="Arial" w:hAnsi="Arial" w:eastAsia="Arial" w:cs="Arial"/>
          <w:spacing w:val="-4"/>
          <w:sz w:val="19"/>
          <w:szCs w:val="19"/>
        </w:rPr>
        <w:t>way</w:t>
      </w:r>
      <w:r>
        <w:rPr>
          <w:rFonts w:ascii="Arial" w:hAnsi="Arial" w:eastAsia="Arial" w:cs="Arial"/>
          <w:spacing w:val="35"/>
          <w:sz w:val="19"/>
          <w:szCs w:val="19"/>
        </w:rPr>
        <w:t xml:space="preserve"> </w:t>
      </w:r>
      <w:r>
        <w:rPr>
          <w:rFonts w:ascii="Arial" w:hAnsi="Arial" w:eastAsia="Arial" w:cs="Arial"/>
          <w:spacing w:val="-4"/>
          <w:sz w:val="19"/>
          <w:szCs w:val="19"/>
        </w:rPr>
        <w:t>in</w:t>
      </w:r>
      <w:r>
        <w:rPr>
          <w:rFonts w:ascii="Arial" w:hAnsi="Arial" w:eastAsia="Arial" w:cs="Arial"/>
          <w:spacing w:val="25"/>
          <w:w w:val="101"/>
          <w:sz w:val="19"/>
          <w:szCs w:val="19"/>
        </w:rPr>
        <w:t xml:space="preserve"> </w:t>
      </w:r>
      <w:r>
        <w:rPr>
          <w:rFonts w:ascii="Arial" w:hAnsi="Arial" w:eastAsia="Arial" w:cs="Arial"/>
          <w:spacing w:val="-4"/>
          <w:sz w:val="19"/>
          <w:szCs w:val="19"/>
        </w:rPr>
        <w:t>which</w:t>
      </w:r>
      <w:r>
        <w:rPr>
          <w:rFonts w:ascii="Arial" w:hAnsi="Arial" w:eastAsia="Arial" w:cs="Arial"/>
          <w:spacing w:val="30"/>
          <w:sz w:val="19"/>
          <w:szCs w:val="19"/>
        </w:rPr>
        <w:t xml:space="preserve"> </w:t>
      </w:r>
      <w:r>
        <w:rPr>
          <w:rFonts w:ascii="Arial" w:hAnsi="Arial" w:eastAsia="Arial" w:cs="Arial"/>
          <w:spacing w:val="-4"/>
          <w:sz w:val="19"/>
          <w:szCs w:val="19"/>
        </w:rPr>
        <w:t>organizational</w:t>
      </w:r>
      <w:r>
        <w:rPr>
          <w:rFonts w:ascii="Arial" w:hAnsi="Arial" w:eastAsia="Arial" w:cs="Arial"/>
          <w:spacing w:val="35"/>
          <w:w w:val="101"/>
          <w:sz w:val="19"/>
          <w:szCs w:val="19"/>
        </w:rPr>
        <w:t xml:space="preserve"> </w:t>
      </w:r>
      <w:r>
        <w:rPr>
          <w:rFonts w:ascii="Arial" w:hAnsi="Arial" w:eastAsia="Arial" w:cs="Arial"/>
          <w:spacing w:val="-4"/>
          <w:sz w:val="19"/>
          <w:szCs w:val="19"/>
        </w:rPr>
        <w:t>member</w:t>
      </w:r>
      <w:r>
        <w:rPr>
          <w:rFonts w:ascii="Arial" w:hAnsi="Arial" w:eastAsia="Arial" w:cs="Arial"/>
          <w:spacing w:val="-5"/>
          <w:sz w:val="19"/>
          <w:szCs w:val="19"/>
        </w:rPr>
        <w:t>s</w:t>
      </w:r>
      <w:r>
        <w:rPr>
          <w:rFonts w:ascii="Arial" w:hAnsi="Arial" w:eastAsia="Arial" w:cs="Arial"/>
          <w:spacing w:val="31"/>
          <w:sz w:val="19"/>
          <w:szCs w:val="19"/>
        </w:rPr>
        <w:t xml:space="preserve"> </w:t>
      </w:r>
      <w:r>
        <w:rPr>
          <w:rFonts w:ascii="Arial" w:hAnsi="Arial" w:eastAsia="Arial" w:cs="Arial"/>
          <w:spacing w:val="-5"/>
          <w:sz w:val="19"/>
          <w:szCs w:val="19"/>
        </w:rPr>
        <w:t>act,</w:t>
      </w:r>
      <w:r>
        <w:rPr>
          <w:rFonts w:ascii="Arial" w:hAnsi="Arial" w:eastAsia="Arial" w:cs="Arial"/>
          <w:spacing w:val="26"/>
          <w:sz w:val="19"/>
          <w:szCs w:val="19"/>
        </w:rPr>
        <w:t xml:space="preserve"> </w:t>
      </w:r>
      <w:r>
        <w:rPr>
          <w:rFonts w:ascii="Arial" w:hAnsi="Arial" w:eastAsia="Arial" w:cs="Arial"/>
          <w:spacing w:val="-5"/>
          <w:sz w:val="19"/>
          <w:szCs w:val="19"/>
        </w:rPr>
        <w:t>think,</w:t>
      </w:r>
      <w:r>
        <w:rPr>
          <w:rFonts w:ascii="Arial" w:hAnsi="Arial" w:eastAsia="Arial" w:cs="Arial"/>
          <w:spacing w:val="30"/>
          <w:w w:val="101"/>
          <w:sz w:val="19"/>
          <w:szCs w:val="19"/>
        </w:rPr>
        <w:t xml:space="preserve"> </w:t>
      </w:r>
      <w:r>
        <w:rPr>
          <w:rFonts w:ascii="Arial" w:hAnsi="Arial" w:eastAsia="Arial" w:cs="Arial"/>
          <w:spacing w:val="-5"/>
          <w:sz w:val="19"/>
          <w:szCs w:val="19"/>
        </w:rPr>
        <w:t>and</w:t>
      </w:r>
      <w:r>
        <w:rPr>
          <w:rFonts w:ascii="Arial" w:hAnsi="Arial" w:eastAsia="Arial" w:cs="Arial"/>
          <w:sz w:val="19"/>
          <w:szCs w:val="19"/>
        </w:rPr>
        <w:t xml:space="preserve"> </w:t>
      </w:r>
      <w:r>
        <w:rPr>
          <w:rFonts w:ascii="Arial" w:hAnsi="Arial" w:eastAsia="Arial" w:cs="Arial"/>
          <w:spacing w:val="-5"/>
          <w:sz w:val="19"/>
          <w:szCs w:val="19"/>
        </w:rPr>
        <w:t>feel</w:t>
      </w:r>
      <w:r>
        <w:rPr>
          <w:rFonts w:ascii="Arial" w:hAnsi="Arial" w:eastAsia="Arial" w:cs="Arial"/>
          <w:spacing w:val="16"/>
          <w:w w:val="101"/>
          <w:sz w:val="19"/>
          <w:szCs w:val="19"/>
        </w:rPr>
        <w:t xml:space="preserve"> </w:t>
      </w:r>
      <w:r>
        <w:rPr>
          <w:rFonts w:ascii="Arial" w:hAnsi="Arial" w:eastAsia="Arial" w:cs="Arial"/>
          <w:spacing w:val="-5"/>
          <w:sz w:val="19"/>
          <w:szCs w:val="19"/>
        </w:rPr>
        <w:t>in the</w:t>
      </w:r>
      <w:r>
        <w:rPr>
          <w:rFonts w:ascii="Arial" w:hAnsi="Arial" w:eastAsia="Arial" w:cs="Arial"/>
          <w:spacing w:val="12"/>
          <w:sz w:val="19"/>
          <w:szCs w:val="19"/>
        </w:rPr>
        <w:t xml:space="preserve"> </w:t>
      </w:r>
      <w:r>
        <w:rPr>
          <w:rFonts w:ascii="Arial" w:hAnsi="Arial" w:eastAsia="Arial" w:cs="Arial"/>
          <w:spacing w:val="-5"/>
          <w:sz w:val="19"/>
          <w:szCs w:val="19"/>
        </w:rPr>
        <w:t>organizational</w:t>
      </w:r>
      <w:r>
        <w:rPr>
          <w:rFonts w:ascii="Arial" w:hAnsi="Arial" w:eastAsia="Arial" w:cs="Arial"/>
          <w:spacing w:val="12"/>
          <w:sz w:val="19"/>
          <w:szCs w:val="19"/>
        </w:rPr>
        <w:t xml:space="preserve"> </w:t>
      </w:r>
      <w:r>
        <w:rPr>
          <w:rFonts w:ascii="Arial" w:hAnsi="Arial" w:eastAsia="Arial" w:cs="Arial"/>
          <w:spacing w:val="-6"/>
          <w:sz w:val="19"/>
          <w:szCs w:val="19"/>
        </w:rPr>
        <w:t>context.</w:t>
      </w:r>
      <w:r>
        <w:rPr>
          <w:rFonts w:ascii="Arial" w:hAnsi="Arial" w:eastAsia="Arial" w:cs="Arial"/>
          <w:spacing w:val="21"/>
          <w:w w:val="101"/>
          <w:sz w:val="19"/>
          <w:szCs w:val="19"/>
        </w:rPr>
        <w:t xml:space="preserve"> </w:t>
      </w:r>
      <w:r>
        <w:rPr>
          <w:rFonts w:ascii="Arial" w:hAnsi="Arial" w:eastAsia="Arial" w:cs="Arial"/>
          <w:spacing w:val="-6"/>
          <w:sz w:val="19"/>
          <w:szCs w:val="19"/>
        </w:rPr>
        <w:t>For</w:t>
      </w:r>
      <w:r>
        <w:rPr>
          <w:rFonts w:ascii="Arial" w:hAnsi="Arial" w:eastAsia="Arial" w:cs="Arial"/>
          <w:spacing w:val="12"/>
          <w:sz w:val="19"/>
          <w:szCs w:val="19"/>
        </w:rPr>
        <w:t xml:space="preserve"> </w:t>
      </w:r>
      <w:r>
        <w:rPr>
          <w:rFonts w:ascii="Arial" w:hAnsi="Arial" w:eastAsia="Arial" w:cs="Arial"/>
          <w:spacing w:val="-6"/>
          <w:sz w:val="19"/>
          <w:szCs w:val="19"/>
        </w:rPr>
        <w:t>example</w:t>
      </w:r>
      <w:r>
        <w:rPr>
          <w:rFonts w:ascii="Arial" w:hAnsi="Arial" w:eastAsia="Arial" w:cs="Arial"/>
          <w:spacing w:val="12"/>
          <w:sz w:val="19"/>
          <w:szCs w:val="19"/>
        </w:rPr>
        <w:t xml:space="preserve"> </w:t>
      </w:r>
      <w:r>
        <w:rPr>
          <w:rFonts w:ascii="Arial" w:hAnsi="Arial" w:eastAsia="Arial" w:cs="Arial"/>
          <w:spacing w:val="-6"/>
          <w:sz w:val="19"/>
          <w:szCs w:val="19"/>
        </w:rPr>
        <w:t>a</w:t>
      </w:r>
      <w:r>
        <w:rPr>
          <w:rFonts w:ascii="Arial" w:hAnsi="Arial" w:eastAsia="Arial" w:cs="Arial"/>
          <w:spacing w:val="12"/>
          <w:sz w:val="19"/>
          <w:szCs w:val="19"/>
        </w:rPr>
        <w:t xml:space="preserve"> </w:t>
      </w:r>
      <w:r>
        <w:rPr>
          <w:rFonts w:ascii="Arial" w:hAnsi="Arial" w:eastAsia="Arial" w:cs="Arial"/>
          <w:spacing w:val="-6"/>
          <w:sz w:val="19"/>
          <w:szCs w:val="19"/>
        </w:rPr>
        <w:t>shared</w:t>
      </w:r>
      <w:r>
        <w:rPr>
          <w:rFonts w:ascii="Arial" w:hAnsi="Arial" w:eastAsia="Arial" w:cs="Arial"/>
          <w:spacing w:val="18"/>
          <w:w w:val="101"/>
          <w:sz w:val="19"/>
          <w:szCs w:val="19"/>
        </w:rPr>
        <w:t xml:space="preserve"> </w:t>
      </w:r>
      <w:r>
        <w:rPr>
          <w:rFonts w:ascii="Arial" w:hAnsi="Arial" w:eastAsia="Arial" w:cs="Arial"/>
          <w:spacing w:val="-6"/>
          <w:sz w:val="19"/>
          <w:szCs w:val="19"/>
        </w:rPr>
        <w:t>basic</w:t>
      </w:r>
      <w:r>
        <w:rPr>
          <w:rFonts w:ascii="Arial" w:hAnsi="Arial" w:eastAsia="Arial" w:cs="Arial"/>
          <w:spacing w:val="13"/>
          <w:sz w:val="19"/>
          <w:szCs w:val="19"/>
        </w:rPr>
        <w:t xml:space="preserve"> </w:t>
      </w:r>
      <w:r>
        <w:rPr>
          <w:rFonts w:ascii="Arial" w:hAnsi="Arial" w:eastAsia="Arial" w:cs="Arial"/>
          <w:spacing w:val="-6"/>
          <w:sz w:val="19"/>
          <w:szCs w:val="19"/>
        </w:rPr>
        <w:t>assumption</w:t>
      </w:r>
      <w:r>
        <w:rPr>
          <w:rFonts w:ascii="Arial" w:hAnsi="Arial" w:eastAsia="Arial" w:cs="Arial"/>
          <w:spacing w:val="12"/>
          <w:sz w:val="19"/>
          <w:szCs w:val="19"/>
        </w:rPr>
        <w:t xml:space="preserve"> </w:t>
      </w:r>
      <w:r>
        <w:rPr>
          <w:rFonts w:ascii="Arial" w:hAnsi="Arial" w:eastAsia="Arial" w:cs="Arial"/>
          <w:spacing w:val="-6"/>
          <w:sz w:val="19"/>
          <w:szCs w:val="19"/>
        </w:rPr>
        <w:t>of an</w:t>
      </w:r>
      <w:r>
        <w:rPr>
          <w:rFonts w:ascii="Arial" w:hAnsi="Arial" w:eastAsia="Arial" w:cs="Arial"/>
          <w:spacing w:val="11"/>
          <w:sz w:val="19"/>
          <w:szCs w:val="19"/>
        </w:rPr>
        <w:t xml:space="preserve"> </w:t>
      </w:r>
      <w:r>
        <w:rPr>
          <w:rFonts w:ascii="Arial" w:hAnsi="Arial" w:eastAsia="Arial" w:cs="Arial"/>
          <w:spacing w:val="-6"/>
          <w:sz w:val="19"/>
          <w:szCs w:val="19"/>
        </w:rPr>
        <w:t>organization</w:t>
      </w:r>
      <w:r>
        <w:rPr>
          <w:rFonts w:ascii="Arial" w:hAnsi="Arial" w:eastAsia="Arial" w:cs="Arial"/>
          <w:spacing w:val="12"/>
          <w:sz w:val="19"/>
          <w:szCs w:val="19"/>
        </w:rPr>
        <w:t xml:space="preserve"> </w:t>
      </w:r>
      <w:r>
        <w:rPr>
          <w:rFonts w:ascii="Arial" w:hAnsi="Arial" w:eastAsia="Arial" w:cs="Arial"/>
          <w:spacing w:val="-6"/>
          <w:sz w:val="19"/>
          <w:szCs w:val="19"/>
        </w:rPr>
        <w:t>could</w:t>
      </w:r>
      <w:r>
        <w:rPr>
          <w:rFonts w:ascii="Arial" w:hAnsi="Arial" w:eastAsia="Arial" w:cs="Arial"/>
          <w:sz w:val="19"/>
          <w:szCs w:val="19"/>
        </w:rPr>
        <w:t xml:space="preserve"> </w:t>
      </w:r>
      <w:r>
        <w:rPr>
          <w:rFonts w:ascii="Arial" w:hAnsi="Arial" w:eastAsia="Arial" w:cs="Arial"/>
          <w:spacing w:val="-4"/>
          <w:sz w:val="19"/>
          <w:szCs w:val="19"/>
        </w:rPr>
        <w:t>be</w:t>
      </w:r>
      <w:r>
        <w:rPr>
          <w:rFonts w:ascii="Arial" w:hAnsi="Arial" w:eastAsia="Arial" w:cs="Arial"/>
          <w:spacing w:val="28"/>
          <w:sz w:val="19"/>
          <w:szCs w:val="19"/>
        </w:rPr>
        <w:t xml:space="preserve"> </w:t>
      </w:r>
      <w:r>
        <w:rPr>
          <w:rFonts w:ascii="Arial" w:hAnsi="Arial" w:eastAsia="Arial" w:cs="Arial"/>
          <w:spacing w:val="-4"/>
          <w:sz w:val="19"/>
          <w:szCs w:val="19"/>
        </w:rPr>
        <w:t>that</w:t>
      </w:r>
      <w:r>
        <w:rPr>
          <w:rFonts w:ascii="Arial" w:hAnsi="Arial" w:eastAsia="Arial" w:cs="Arial"/>
          <w:spacing w:val="32"/>
          <w:w w:val="101"/>
          <w:sz w:val="19"/>
          <w:szCs w:val="19"/>
        </w:rPr>
        <w:t xml:space="preserve"> </w:t>
      </w:r>
      <w:r>
        <w:rPr>
          <w:rFonts w:ascii="Arial" w:hAnsi="Arial" w:eastAsia="Arial" w:cs="Arial"/>
          <w:spacing w:val="-4"/>
          <w:sz w:val="19"/>
          <w:szCs w:val="19"/>
        </w:rPr>
        <w:t>all</w:t>
      </w:r>
      <w:r>
        <w:rPr>
          <w:rFonts w:ascii="Arial" w:hAnsi="Arial" w:eastAsia="Arial" w:cs="Arial"/>
          <w:spacing w:val="31"/>
          <w:w w:val="101"/>
          <w:sz w:val="19"/>
          <w:szCs w:val="19"/>
        </w:rPr>
        <w:t xml:space="preserve"> </w:t>
      </w:r>
      <w:r>
        <w:rPr>
          <w:rFonts w:ascii="Arial" w:hAnsi="Arial" w:eastAsia="Arial" w:cs="Arial"/>
          <w:spacing w:val="-4"/>
          <w:sz w:val="19"/>
          <w:szCs w:val="19"/>
        </w:rPr>
        <w:t>organizatio</w:t>
      </w:r>
      <w:r>
        <w:rPr>
          <w:rFonts w:ascii="Arial" w:hAnsi="Arial" w:eastAsia="Arial" w:cs="Arial"/>
          <w:spacing w:val="-5"/>
          <w:sz w:val="19"/>
          <w:szCs w:val="19"/>
        </w:rPr>
        <w:t>nal</w:t>
      </w:r>
      <w:r>
        <w:rPr>
          <w:rFonts w:ascii="Arial" w:hAnsi="Arial" w:eastAsia="Arial" w:cs="Arial"/>
          <w:spacing w:val="37"/>
          <w:w w:val="101"/>
          <w:sz w:val="19"/>
          <w:szCs w:val="19"/>
        </w:rPr>
        <w:t xml:space="preserve"> </w:t>
      </w:r>
      <w:r>
        <w:rPr>
          <w:rFonts w:ascii="Arial" w:hAnsi="Arial" w:eastAsia="Arial" w:cs="Arial"/>
          <w:spacing w:val="-5"/>
          <w:sz w:val="19"/>
          <w:szCs w:val="19"/>
        </w:rPr>
        <w:t>members</w:t>
      </w:r>
      <w:r>
        <w:rPr>
          <w:rFonts w:ascii="Arial" w:hAnsi="Arial" w:eastAsia="Arial" w:cs="Arial"/>
          <w:spacing w:val="30"/>
          <w:w w:val="101"/>
          <w:sz w:val="19"/>
          <w:szCs w:val="19"/>
        </w:rPr>
        <w:t xml:space="preserve"> </w:t>
      </w:r>
      <w:r>
        <w:rPr>
          <w:rFonts w:ascii="Arial" w:hAnsi="Arial" w:eastAsia="Arial" w:cs="Arial"/>
          <w:spacing w:val="-5"/>
          <w:sz w:val="19"/>
          <w:szCs w:val="19"/>
        </w:rPr>
        <w:t>are</w:t>
      </w:r>
      <w:r>
        <w:rPr>
          <w:rFonts w:ascii="Arial" w:hAnsi="Arial" w:eastAsia="Arial" w:cs="Arial"/>
          <w:spacing w:val="39"/>
          <w:w w:val="101"/>
          <w:sz w:val="19"/>
          <w:szCs w:val="19"/>
        </w:rPr>
        <w:t xml:space="preserve"> </w:t>
      </w:r>
      <w:r>
        <w:rPr>
          <w:rFonts w:ascii="Arial" w:hAnsi="Arial" w:eastAsia="Arial" w:cs="Arial"/>
          <w:spacing w:val="-5"/>
          <w:sz w:val="19"/>
          <w:szCs w:val="19"/>
        </w:rPr>
        <w:t>highly</w:t>
      </w:r>
      <w:r>
        <w:rPr>
          <w:rFonts w:ascii="Arial" w:hAnsi="Arial" w:eastAsia="Arial" w:cs="Arial"/>
          <w:spacing w:val="38"/>
          <w:sz w:val="19"/>
          <w:szCs w:val="19"/>
        </w:rPr>
        <w:t xml:space="preserve"> </w:t>
      </w:r>
      <w:r>
        <w:rPr>
          <w:rFonts w:ascii="Arial" w:hAnsi="Arial" w:eastAsia="Arial" w:cs="Arial"/>
          <w:spacing w:val="-5"/>
          <w:sz w:val="19"/>
          <w:szCs w:val="19"/>
        </w:rPr>
        <w:t>motivated</w:t>
      </w:r>
      <w:r>
        <w:rPr>
          <w:rFonts w:ascii="Arial" w:hAnsi="Arial" w:eastAsia="Arial" w:cs="Arial"/>
          <w:spacing w:val="28"/>
          <w:sz w:val="19"/>
          <w:szCs w:val="19"/>
        </w:rPr>
        <w:t xml:space="preserve"> </w:t>
      </w:r>
      <w:r>
        <w:rPr>
          <w:rFonts w:ascii="Arial" w:hAnsi="Arial" w:eastAsia="Arial" w:cs="Arial"/>
          <w:spacing w:val="-5"/>
          <w:sz w:val="19"/>
          <w:szCs w:val="19"/>
        </w:rPr>
        <w:t>to</w:t>
      </w:r>
      <w:r>
        <w:rPr>
          <w:rFonts w:ascii="Arial" w:hAnsi="Arial" w:eastAsia="Arial" w:cs="Arial"/>
          <w:spacing w:val="27"/>
          <w:w w:val="101"/>
          <w:sz w:val="19"/>
          <w:szCs w:val="19"/>
        </w:rPr>
        <w:t xml:space="preserve"> </w:t>
      </w:r>
      <w:r>
        <w:rPr>
          <w:rFonts w:ascii="Arial" w:hAnsi="Arial" w:eastAsia="Arial" w:cs="Arial"/>
          <w:spacing w:val="-5"/>
          <w:sz w:val="19"/>
          <w:szCs w:val="19"/>
        </w:rPr>
        <w:t>fulill</w:t>
      </w:r>
      <w:r>
        <w:rPr>
          <w:rFonts w:ascii="Arial" w:hAnsi="Arial" w:eastAsia="Arial" w:cs="Arial"/>
          <w:spacing w:val="28"/>
          <w:sz w:val="19"/>
          <w:szCs w:val="19"/>
        </w:rPr>
        <w:t xml:space="preserve"> </w:t>
      </w:r>
      <w:r>
        <w:rPr>
          <w:rFonts w:ascii="Arial" w:hAnsi="Arial" w:eastAsia="Arial" w:cs="Arial"/>
          <w:spacing w:val="-5"/>
          <w:sz w:val="19"/>
          <w:szCs w:val="19"/>
        </w:rPr>
        <w:t>their</w:t>
      </w:r>
      <w:r>
        <w:rPr>
          <w:rFonts w:ascii="Arial" w:hAnsi="Arial" w:eastAsia="Arial" w:cs="Arial"/>
          <w:spacing w:val="28"/>
          <w:sz w:val="19"/>
          <w:szCs w:val="19"/>
        </w:rPr>
        <w:t xml:space="preserve"> </w:t>
      </w:r>
      <w:r>
        <w:rPr>
          <w:rFonts w:ascii="Arial" w:hAnsi="Arial" w:eastAsia="Arial" w:cs="Arial"/>
          <w:spacing w:val="-5"/>
          <w:sz w:val="19"/>
          <w:szCs w:val="19"/>
        </w:rPr>
        <w:t>tasks</w:t>
      </w:r>
      <w:r>
        <w:rPr>
          <w:rFonts w:ascii="Arial" w:hAnsi="Arial" w:eastAsia="Arial" w:cs="Arial"/>
          <w:spacing w:val="33"/>
          <w:w w:val="101"/>
          <w:sz w:val="19"/>
          <w:szCs w:val="19"/>
        </w:rPr>
        <w:t xml:space="preserve"> </w:t>
      </w:r>
      <w:r>
        <w:rPr>
          <w:rFonts w:ascii="Arial" w:hAnsi="Arial" w:eastAsia="Arial" w:cs="Arial"/>
          <w:spacing w:val="-5"/>
          <w:sz w:val="19"/>
          <w:szCs w:val="19"/>
        </w:rPr>
        <w:t>as</w:t>
      </w:r>
      <w:r>
        <w:rPr>
          <w:rFonts w:ascii="Arial" w:hAnsi="Arial" w:eastAsia="Arial" w:cs="Arial"/>
          <w:spacing w:val="27"/>
          <w:sz w:val="19"/>
          <w:szCs w:val="19"/>
        </w:rPr>
        <w:t xml:space="preserve"> </w:t>
      </w:r>
      <w:r>
        <w:rPr>
          <w:rFonts w:ascii="Arial" w:hAnsi="Arial" w:eastAsia="Arial" w:cs="Arial"/>
          <w:spacing w:val="-5"/>
          <w:sz w:val="19"/>
          <w:szCs w:val="19"/>
        </w:rPr>
        <w:t>well</w:t>
      </w:r>
      <w:r>
        <w:rPr>
          <w:rFonts w:ascii="Arial" w:hAnsi="Arial" w:eastAsia="Arial" w:cs="Arial"/>
          <w:spacing w:val="31"/>
          <w:w w:val="101"/>
          <w:sz w:val="19"/>
          <w:szCs w:val="19"/>
        </w:rPr>
        <w:t xml:space="preserve"> </w:t>
      </w:r>
      <w:r>
        <w:rPr>
          <w:rFonts w:ascii="Arial" w:hAnsi="Arial" w:eastAsia="Arial" w:cs="Arial"/>
          <w:spacing w:val="-5"/>
          <w:sz w:val="19"/>
          <w:szCs w:val="19"/>
        </w:rPr>
        <w:t>as</w:t>
      </w:r>
      <w:r>
        <w:rPr>
          <w:rFonts w:ascii="Arial" w:hAnsi="Arial" w:eastAsia="Arial" w:cs="Arial"/>
          <w:spacing w:val="38"/>
          <w:sz w:val="19"/>
          <w:szCs w:val="19"/>
        </w:rPr>
        <w:t xml:space="preserve"> </w:t>
      </w:r>
      <w:r>
        <w:rPr>
          <w:rFonts w:ascii="Arial" w:hAnsi="Arial" w:eastAsia="Arial" w:cs="Arial"/>
          <w:spacing w:val="-5"/>
          <w:sz w:val="19"/>
          <w:szCs w:val="19"/>
        </w:rPr>
        <w:t>possible.</w:t>
      </w:r>
      <w:r>
        <w:rPr>
          <w:rFonts w:ascii="Arial" w:hAnsi="Arial" w:eastAsia="Arial" w:cs="Arial"/>
          <w:sz w:val="19"/>
          <w:szCs w:val="19"/>
        </w:rPr>
        <w:t xml:space="preserve"> </w:t>
      </w:r>
      <w:r>
        <w:rPr>
          <w:rFonts w:ascii="Arial" w:hAnsi="Arial" w:eastAsia="Arial" w:cs="Arial"/>
          <w:spacing w:val="-6"/>
          <w:sz w:val="19"/>
          <w:szCs w:val="19"/>
        </w:rPr>
        <w:t>This</w:t>
      </w:r>
      <w:r>
        <w:rPr>
          <w:rFonts w:ascii="Arial" w:hAnsi="Arial" w:eastAsia="Arial" w:cs="Arial"/>
          <w:spacing w:val="24"/>
          <w:sz w:val="19"/>
          <w:szCs w:val="19"/>
        </w:rPr>
        <w:t xml:space="preserve"> </w:t>
      </w:r>
      <w:r>
        <w:rPr>
          <w:rFonts w:ascii="Arial" w:hAnsi="Arial" w:eastAsia="Arial" w:cs="Arial"/>
          <w:spacing w:val="-6"/>
          <w:sz w:val="19"/>
          <w:szCs w:val="19"/>
        </w:rPr>
        <w:t>assumption</w:t>
      </w:r>
      <w:r>
        <w:rPr>
          <w:rFonts w:ascii="Arial" w:hAnsi="Arial" w:eastAsia="Arial" w:cs="Arial"/>
          <w:spacing w:val="30"/>
          <w:sz w:val="19"/>
          <w:szCs w:val="19"/>
        </w:rPr>
        <w:t xml:space="preserve"> </w:t>
      </w:r>
      <w:r>
        <w:rPr>
          <w:rFonts w:ascii="Arial" w:hAnsi="Arial" w:eastAsia="Arial" w:cs="Arial"/>
          <w:spacing w:val="-6"/>
          <w:sz w:val="19"/>
          <w:szCs w:val="19"/>
        </w:rPr>
        <w:t>is</w:t>
      </w:r>
      <w:r>
        <w:rPr>
          <w:rFonts w:ascii="Arial" w:hAnsi="Arial" w:eastAsia="Arial" w:cs="Arial"/>
          <w:spacing w:val="31"/>
          <w:sz w:val="19"/>
          <w:szCs w:val="19"/>
        </w:rPr>
        <w:t xml:space="preserve"> </w:t>
      </w:r>
      <w:r>
        <w:rPr>
          <w:rFonts w:ascii="Arial" w:hAnsi="Arial" w:eastAsia="Arial" w:cs="Arial"/>
          <w:spacing w:val="-6"/>
          <w:sz w:val="19"/>
          <w:szCs w:val="19"/>
        </w:rPr>
        <w:t>likely</w:t>
      </w:r>
      <w:r>
        <w:rPr>
          <w:rFonts w:ascii="Arial" w:hAnsi="Arial" w:eastAsia="Arial" w:cs="Arial"/>
          <w:spacing w:val="22"/>
          <w:sz w:val="19"/>
          <w:szCs w:val="19"/>
        </w:rPr>
        <w:t xml:space="preserve"> </w:t>
      </w:r>
      <w:r>
        <w:rPr>
          <w:rFonts w:ascii="Arial" w:hAnsi="Arial" w:eastAsia="Arial" w:cs="Arial"/>
          <w:spacing w:val="-6"/>
          <w:sz w:val="19"/>
          <w:szCs w:val="19"/>
        </w:rPr>
        <w:t>to</w:t>
      </w:r>
      <w:r>
        <w:rPr>
          <w:rFonts w:ascii="Arial" w:hAnsi="Arial" w:eastAsia="Arial" w:cs="Arial"/>
          <w:spacing w:val="32"/>
          <w:sz w:val="19"/>
          <w:szCs w:val="19"/>
        </w:rPr>
        <w:t xml:space="preserve"> </w:t>
      </w:r>
      <w:r>
        <w:rPr>
          <w:rFonts w:ascii="Arial" w:hAnsi="Arial" w:eastAsia="Arial" w:cs="Arial"/>
          <w:spacing w:val="-6"/>
          <w:sz w:val="19"/>
          <w:szCs w:val="19"/>
        </w:rPr>
        <w:t>lead</w:t>
      </w:r>
      <w:r>
        <w:rPr>
          <w:rFonts w:ascii="Arial" w:hAnsi="Arial" w:eastAsia="Arial" w:cs="Arial"/>
          <w:spacing w:val="21"/>
          <w:w w:val="101"/>
          <w:sz w:val="19"/>
          <w:szCs w:val="19"/>
        </w:rPr>
        <w:t xml:space="preserve"> </w:t>
      </w:r>
      <w:r>
        <w:rPr>
          <w:rFonts w:ascii="Arial" w:hAnsi="Arial" w:eastAsia="Arial" w:cs="Arial"/>
          <w:spacing w:val="-6"/>
          <w:sz w:val="19"/>
          <w:szCs w:val="19"/>
        </w:rPr>
        <w:t>to</w:t>
      </w:r>
      <w:r>
        <w:rPr>
          <w:rFonts w:ascii="Arial" w:hAnsi="Arial" w:eastAsia="Arial" w:cs="Arial"/>
          <w:spacing w:val="24"/>
          <w:w w:val="101"/>
          <w:sz w:val="19"/>
          <w:szCs w:val="19"/>
        </w:rPr>
        <w:t xml:space="preserve"> </w:t>
      </w:r>
      <w:r>
        <w:rPr>
          <w:rFonts w:ascii="Arial" w:hAnsi="Arial" w:eastAsia="Arial" w:cs="Arial"/>
          <w:spacing w:val="-6"/>
          <w:sz w:val="19"/>
          <w:szCs w:val="19"/>
        </w:rPr>
        <w:t>an</w:t>
      </w:r>
      <w:r>
        <w:rPr>
          <w:rFonts w:ascii="Arial" w:hAnsi="Arial" w:eastAsia="Arial" w:cs="Arial"/>
          <w:spacing w:val="24"/>
          <w:sz w:val="19"/>
          <w:szCs w:val="19"/>
        </w:rPr>
        <w:t xml:space="preserve"> </w:t>
      </w:r>
      <w:r>
        <w:rPr>
          <w:rFonts w:ascii="Arial" w:hAnsi="Arial" w:eastAsia="Arial" w:cs="Arial"/>
          <w:spacing w:val="-6"/>
          <w:sz w:val="19"/>
          <w:szCs w:val="19"/>
        </w:rPr>
        <w:t>organization</w:t>
      </w:r>
      <w:r>
        <w:rPr>
          <w:rFonts w:ascii="Arial" w:hAnsi="Arial" w:eastAsia="Arial" w:cs="Arial"/>
          <w:spacing w:val="22"/>
          <w:sz w:val="19"/>
          <w:szCs w:val="19"/>
        </w:rPr>
        <w:t xml:space="preserve"> </w:t>
      </w:r>
      <w:r>
        <w:rPr>
          <w:rFonts w:ascii="Arial" w:hAnsi="Arial" w:eastAsia="Arial" w:cs="Arial"/>
          <w:spacing w:val="-6"/>
          <w:sz w:val="19"/>
          <w:szCs w:val="19"/>
        </w:rPr>
        <w:t>whose</w:t>
      </w:r>
      <w:r>
        <w:rPr>
          <w:rFonts w:ascii="Arial" w:hAnsi="Arial" w:eastAsia="Arial" w:cs="Arial"/>
          <w:spacing w:val="31"/>
          <w:w w:val="101"/>
          <w:sz w:val="19"/>
          <w:szCs w:val="19"/>
        </w:rPr>
        <w:t xml:space="preserve"> </w:t>
      </w:r>
      <w:r>
        <w:rPr>
          <w:rFonts w:ascii="Arial" w:hAnsi="Arial" w:eastAsia="Arial" w:cs="Arial"/>
          <w:spacing w:val="-6"/>
          <w:sz w:val="19"/>
          <w:szCs w:val="19"/>
        </w:rPr>
        <w:t>member</w:t>
      </w:r>
      <w:r>
        <w:rPr>
          <w:rFonts w:ascii="Arial" w:hAnsi="Arial" w:eastAsia="Arial" w:cs="Arial"/>
          <w:spacing w:val="-7"/>
          <w:sz w:val="19"/>
          <w:szCs w:val="19"/>
        </w:rPr>
        <w:t>s</w:t>
      </w:r>
      <w:r>
        <w:rPr>
          <w:rFonts w:ascii="Arial" w:hAnsi="Arial" w:eastAsia="Arial" w:cs="Arial"/>
          <w:spacing w:val="25"/>
          <w:w w:val="101"/>
          <w:sz w:val="19"/>
          <w:szCs w:val="19"/>
        </w:rPr>
        <w:t xml:space="preserve"> </w:t>
      </w:r>
      <w:r>
        <w:rPr>
          <w:rFonts w:ascii="Arial" w:hAnsi="Arial" w:eastAsia="Arial" w:cs="Arial"/>
          <w:spacing w:val="-7"/>
          <w:sz w:val="19"/>
          <w:szCs w:val="19"/>
        </w:rPr>
        <w:t>enjoy</w:t>
      </w:r>
      <w:r>
        <w:rPr>
          <w:rFonts w:ascii="Arial" w:hAnsi="Arial" w:eastAsia="Arial" w:cs="Arial"/>
          <w:spacing w:val="26"/>
          <w:sz w:val="19"/>
          <w:szCs w:val="19"/>
        </w:rPr>
        <w:t xml:space="preserve"> </w:t>
      </w:r>
      <w:r>
        <w:rPr>
          <w:rFonts w:ascii="Arial" w:hAnsi="Arial" w:eastAsia="Arial" w:cs="Arial"/>
          <w:spacing w:val="-7"/>
          <w:sz w:val="19"/>
          <w:szCs w:val="19"/>
        </w:rPr>
        <w:t>a</w:t>
      </w:r>
      <w:r>
        <w:rPr>
          <w:rFonts w:ascii="Arial" w:hAnsi="Arial" w:eastAsia="Arial" w:cs="Arial"/>
          <w:spacing w:val="31"/>
          <w:w w:val="101"/>
          <w:sz w:val="19"/>
          <w:szCs w:val="19"/>
        </w:rPr>
        <w:t xml:space="preserve"> </w:t>
      </w:r>
      <w:r>
        <w:rPr>
          <w:rFonts w:ascii="Arial" w:hAnsi="Arial" w:eastAsia="Arial" w:cs="Arial"/>
          <w:spacing w:val="-7"/>
          <w:sz w:val="19"/>
          <w:szCs w:val="19"/>
        </w:rPr>
        <w:t>high</w:t>
      </w:r>
      <w:r>
        <w:rPr>
          <w:rFonts w:ascii="Arial" w:hAnsi="Arial" w:eastAsia="Arial" w:cs="Arial"/>
          <w:spacing w:val="24"/>
          <w:w w:val="101"/>
          <w:sz w:val="19"/>
          <w:szCs w:val="19"/>
        </w:rPr>
        <w:t xml:space="preserve"> </w:t>
      </w:r>
      <w:r>
        <w:rPr>
          <w:rFonts w:ascii="Arial" w:hAnsi="Arial" w:eastAsia="Arial" w:cs="Arial"/>
          <w:spacing w:val="-7"/>
          <w:sz w:val="19"/>
          <w:szCs w:val="19"/>
        </w:rPr>
        <w:t>degree</w:t>
      </w:r>
      <w:r>
        <w:rPr>
          <w:rFonts w:ascii="Arial" w:hAnsi="Arial" w:eastAsia="Arial" w:cs="Arial"/>
          <w:spacing w:val="26"/>
          <w:sz w:val="19"/>
          <w:szCs w:val="19"/>
        </w:rPr>
        <w:t xml:space="preserve"> </w:t>
      </w:r>
      <w:r>
        <w:rPr>
          <w:rFonts w:ascii="Arial" w:hAnsi="Arial" w:eastAsia="Arial" w:cs="Arial"/>
          <w:spacing w:val="-7"/>
          <w:sz w:val="19"/>
          <w:szCs w:val="19"/>
        </w:rPr>
        <w:t>of</w:t>
      </w:r>
      <w:r>
        <w:rPr>
          <w:rFonts w:ascii="Arial" w:hAnsi="Arial" w:eastAsia="Arial" w:cs="Arial"/>
          <w:spacing w:val="16"/>
          <w:w w:val="101"/>
          <w:sz w:val="19"/>
          <w:szCs w:val="19"/>
        </w:rPr>
        <w:t xml:space="preserve"> </w:t>
      </w:r>
      <w:r>
        <w:rPr>
          <w:rFonts w:ascii="Arial" w:hAnsi="Arial" w:eastAsia="Arial" w:cs="Arial"/>
          <w:spacing w:val="-7"/>
          <w:sz w:val="19"/>
          <w:szCs w:val="19"/>
        </w:rPr>
        <w:t>self-</w:t>
      </w:r>
      <w:r>
        <w:rPr>
          <w:rFonts w:ascii="Arial" w:hAnsi="Arial" w:eastAsia="Arial" w:cs="Arial"/>
          <w:sz w:val="19"/>
          <w:szCs w:val="19"/>
        </w:rPr>
        <w:t xml:space="preserve"> </w:t>
      </w:r>
      <w:r>
        <w:rPr>
          <w:rFonts w:ascii="Arial" w:hAnsi="Arial" w:eastAsia="Arial" w:cs="Arial"/>
          <w:spacing w:val="-4"/>
          <w:sz w:val="19"/>
          <w:szCs w:val="19"/>
        </w:rPr>
        <w:t>responsibility</w:t>
      </w:r>
      <w:r>
        <w:rPr>
          <w:rFonts w:ascii="Arial" w:hAnsi="Arial" w:eastAsia="Arial" w:cs="Arial"/>
          <w:spacing w:val="13"/>
          <w:w w:val="101"/>
          <w:sz w:val="19"/>
          <w:szCs w:val="19"/>
        </w:rPr>
        <w:t xml:space="preserve"> </w:t>
      </w:r>
      <w:r>
        <w:rPr>
          <w:rFonts w:ascii="Arial" w:hAnsi="Arial" w:eastAsia="Arial" w:cs="Arial"/>
          <w:spacing w:val="-4"/>
          <w:sz w:val="19"/>
          <w:szCs w:val="19"/>
        </w:rPr>
        <w:t>and</w:t>
      </w:r>
      <w:r>
        <w:rPr>
          <w:rFonts w:ascii="Arial" w:hAnsi="Arial" w:eastAsia="Arial" w:cs="Arial"/>
          <w:spacing w:val="13"/>
          <w:sz w:val="19"/>
          <w:szCs w:val="19"/>
        </w:rPr>
        <w:t xml:space="preserve"> </w:t>
      </w:r>
      <w:r>
        <w:rPr>
          <w:rFonts w:ascii="Arial" w:hAnsi="Arial" w:eastAsia="Arial" w:cs="Arial"/>
          <w:spacing w:val="-4"/>
          <w:sz w:val="19"/>
          <w:szCs w:val="19"/>
        </w:rPr>
        <w:t>autonomy</w:t>
      </w:r>
      <w:r>
        <w:rPr>
          <w:rFonts w:ascii="Arial" w:hAnsi="Arial" w:eastAsia="Arial" w:cs="Arial"/>
          <w:spacing w:val="14"/>
          <w:sz w:val="19"/>
          <w:szCs w:val="19"/>
        </w:rPr>
        <w:t xml:space="preserve"> </w:t>
      </w:r>
      <w:r>
        <w:rPr>
          <w:rFonts w:ascii="Arial" w:hAnsi="Arial" w:eastAsia="Arial" w:cs="Arial"/>
          <w:spacing w:val="-4"/>
          <w:sz w:val="19"/>
          <w:szCs w:val="19"/>
        </w:rPr>
        <w:t>at</w:t>
      </w:r>
      <w:r>
        <w:rPr>
          <w:rFonts w:ascii="Arial" w:hAnsi="Arial" w:eastAsia="Arial" w:cs="Arial"/>
          <w:spacing w:val="10"/>
          <w:sz w:val="19"/>
          <w:szCs w:val="19"/>
        </w:rPr>
        <w:t xml:space="preserve"> </w:t>
      </w:r>
      <w:r>
        <w:rPr>
          <w:rFonts w:ascii="Arial" w:hAnsi="Arial" w:eastAsia="Arial" w:cs="Arial"/>
          <w:spacing w:val="-4"/>
          <w:sz w:val="19"/>
          <w:szCs w:val="19"/>
        </w:rPr>
        <w:t>work.</w:t>
      </w:r>
      <w:r>
        <w:rPr>
          <w:rFonts w:ascii="Arial" w:hAnsi="Arial" w:eastAsia="Arial" w:cs="Arial"/>
          <w:spacing w:val="22"/>
          <w:sz w:val="19"/>
          <w:szCs w:val="19"/>
        </w:rPr>
        <w:t xml:space="preserve"> </w:t>
      </w:r>
      <w:r>
        <w:rPr>
          <w:rFonts w:ascii="Arial" w:hAnsi="Arial" w:eastAsia="Arial" w:cs="Arial"/>
          <w:spacing w:val="-4"/>
          <w:sz w:val="19"/>
          <w:szCs w:val="19"/>
        </w:rPr>
        <w:t>In</w:t>
      </w:r>
      <w:r>
        <w:rPr>
          <w:rFonts w:ascii="Arial" w:hAnsi="Arial" w:eastAsia="Arial" w:cs="Arial"/>
          <w:spacing w:val="14"/>
          <w:w w:val="101"/>
          <w:sz w:val="19"/>
          <w:szCs w:val="19"/>
        </w:rPr>
        <w:t xml:space="preserve"> </w:t>
      </w:r>
      <w:r>
        <w:rPr>
          <w:rFonts w:ascii="Arial" w:hAnsi="Arial" w:eastAsia="Arial" w:cs="Arial"/>
          <w:spacing w:val="-4"/>
          <w:sz w:val="19"/>
          <w:szCs w:val="19"/>
        </w:rPr>
        <w:t>contrast,</w:t>
      </w:r>
      <w:r>
        <w:rPr>
          <w:rFonts w:ascii="Arial" w:hAnsi="Arial" w:eastAsia="Arial" w:cs="Arial"/>
          <w:spacing w:val="15"/>
          <w:sz w:val="19"/>
          <w:szCs w:val="19"/>
        </w:rPr>
        <w:t xml:space="preserve"> </w:t>
      </w:r>
      <w:r>
        <w:rPr>
          <w:rFonts w:ascii="Arial" w:hAnsi="Arial" w:eastAsia="Arial" w:cs="Arial"/>
          <w:spacing w:val="-4"/>
          <w:sz w:val="19"/>
          <w:szCs w:val="19"/>
        </w:rPr>
        <w:t>an</w:t>
      </w:r>
      <w:r>
        <w:rPr>
          <w:rFonts w:ascii="Arial" w:hAnsi="Arial" w:eastAsia="Arial" w:cs="Arial"/>
          <w:spacing w:val="13"/>
          <w:w w:val="101"/>
          <w:sz w:val="19"/>
          <w:szCs w:val="19"/>
        </w:rPr>
        <w:t xml:space="preserve"> </w:t>
      </w:r>
      <w:r>
        <w:rPr>
          <w:rFonts w:ascii="Arial" w:hAnsi="Arial" w:eastAsia="Arial" w:cs="Arial"/>
          <w:spacing w:val="-4"/>
          <w:sz w:val="19"/>
          <w:szCs w:val="19"/>
        </w:rPr>
        <w:t>organization</w:t>
      </w:r>
      <w:r>
        <w:rPr>
          <w:rFonts w:ascii="Arial" w:hAnsi="Arial" w:eastAsia="Arial" w:cs="Arial"/>
          <w:spacing w:val="10"/>
          <w:sz w:val="19"/>
          <w:szCs w:val="19"/>
        </w:rPr>
        <w:t xml:space="preserve"> </w:t>
      </w:r>
      <w:r>
        <w:rPr>
          <w:rFonts w:ascii="Arial" w:hAnsi="Arial" w:eastAsia="Arial" w:cs="Arial"/>
          <w:spacing w:val="-4"/>
          <w:sz w:val="19"/>
          <w:szCs w:val="19"/>
        </w:rPr>
        <w:t>that</w:t>
      </w:r>
      <w:r>
        <w:rPr>
          <w:rFonts w:ascii="Arial" w:hAnsi="Arial" w:eastAsia="Arial" w:cs="Arial"/>
          <w:spacing w:val="15"/>
          <w:w w:val="101"/>
          <w:sz w:val="19"/>
          <w:szCs w:val="19"/>
        </w:rPr>
        <w:t xml:space="preserve"> </w:t>
      </w:r>
      <w:r>
        <w:rPr>
          <w:rFonts w:ascii="Arial" w:hAnsi="Arial" w:eastAsia="Arial" w:cs="Arial"/>
          <w:spacing w:val="-4"/>
          <w:sz w:val="19"/>
          <w:szCs w:val="19"/>
        </w:rPr>
        <w:t>doubts</w:t>
      </w:r>
      <w:r>
        <w:rPr>
          <w:rFonts w:ascii="Arial" w:hAnsi="Arial" w:eastAsia="Arial" w:cs="Arial"/>
          <w:spacing w:val="11"/>
          <w:sz w:val="19"/>
          <w:szCs w:val="19"/>
        </w:rPr>
        <w:t xml:space="preserve"> </w:t>
      </w:r>
      <w:r>
        <w:rPr>
          <w:rFonts w:ascii="Arial" w:hAnsi="Arial" w:eastAsia="Arial" w:cs="Arial"/>
          <w:spacing w:val="-4"/>
          <w:sz w:val="19"/>
          <w:szCs w:val="19"/>
        </w:rPr>
        <w:t>th</w:t>
      </w:r>
      <w:r>
        <w:rPr>
          <w:rFonts w:ascii="Arial" w:hAnsi="Arial" w:eastAsia="Arial" w:cs="Arial"/>
          <w:spacing w:val="-5"/>
          <w:sz w:val="19"/>
          <w:szCs w:val="19"/>
        </w:rPr>
        <w:t>e</w:t>
      </w:r>
      <w:r>
        <w:rPr>
          <w:rFonts w:ascii="Arial" w:hAnsi="Arial" w:eastAsia="Arial" w:cs="Arial"/>
          <w:spacing w:val="20"/>
          <w:sz w:val="19"/>
          <w:szCs w:val="19"/>
        </w:rPr>
        <w:t xml:space="preserve"> </w:t>
      </w:r>
      <w:r>
        <w:rPr>
          <w:rFonts w:ascii="Arial" w:hAnsi="Arial" w:eastAsia="Arial" w:cs="Arial"/>
          <w:spacing w:val="-5"/>
          <w:sz w:val="19"/>
          <w:szCs w:val="19"/>
        </w:rPr>
        <w:t>motivation</w:t>
      </w:r>
      <w:r>
        <w:rPr>
          <w:rFonts w:ascii="Arial" w:hAnsi="Arial" w:eastAsia="Arial" w:cs="Arial"/>
          <w:spacing w:val="14"/>
          <w:w w:val="101"/>
          <w:sz w:val="19"/>
          <w:szCs w:val="19"/>
        </w:rPr>
        <w:t xml:space="preserve"> </w:t>
      </w:r>
      <w:r>
        <w:rPr>
          <w:rFonts w:ascii="Arial" w:hAnsi="Arial" w:eastAsia="Arial" w:cs="Arial"/>
          <w:spacing w:val="-5"/>
          <w:sz w:val="19"/>
          <w:szCs w:val="19"/>
        </w:rPr>
        <w:t>of</w:t>
      </w:r>
      <w:r>
        <w:rPr>
          <w:rFonts w:ascii="Arial" w:hAnsi="Arial" w:eastAsia="Arial" w:cs="Arial"/>
          <w:spacing w:val="11"/>
          <w:sz w:val="19"/>
          <w:szCs w:val="19"/>
        </w:rPr>
        <w:t xml:space="preserve"> </w:t>
      </w:r>
      <w:r>
        <w:rPr>
          <w:rFonts w:ascii="Arial" w:hAnsi="Arial" w:eastAsia="Arial" w:cs="Arial"/>
          <w:spacing w:val="-5"/>
          <w:sz w:val="19"/>
          <w:szCs w:val="19"/>
        </w:rPr>
        <w:t>its</w:t>
      </w:r>
      <w:r>
        <w:rPr>
          <w:rFonts w:ascii="Arial" w:hAnsi="Arial" w:eastAsia="Arial" w:cs="Arial"/>
          <w:sz w:val="19"/>
          <w:szCs w:val="19"/>
        </w:rPr>
        <w:t xml:space="preserve"> </w:t>
      </w:r>
      <w:r>
        <w:rPr>
          <w:rFonts w:ascii="Arial" w:hAnsi="Arial" w:eastAsia="Arial" w:cs="Arial"/>
          <w:spacing w:val="-5"/>
          <w:sz w:val="19"/>
          <w:szCs w:val="19"/>
        </w:rPr>
        <w:t>employees would</w:t>
      </w:r>
      <w:r>
        <w:rPr>
          <w:rFonts w:ascii="Arial" w:hAnsi="Arial" w:eastAsia="Arial" w:cs="Arial"/>
          <w:spacing w:val="17"/>
          <w:w w:val="101"/>
          <w:sz w:val="19"/>
          <w:szCs w:val="19"/>
        </w:rPr>
        <w:t xml:space="preserve"> </w:t>
      </w:r>
      <w:r>
        <w:rPr>
          <w:rFonts w:ascii="Arial" w:hAnsi="Arial" w:eastAsia="Arial" w:cs="Arial"/>
          <w:spacing w:val="-5"/>
          <w:sz w:val="19"/>
          <w:szCs w:val="19"/>
        </w:rPr>
        <w:t>rather</w:t>
      </w:r>
      <w:r>
        <w:rPr>
          <w:rFonts w:ascii="Arial" w:hAnsi="Arial" w:eastAsia="Arial" w:cs="Arial"/>
          <w:spacing w:val="19"/>
          <w:sz w:val="19"/>
          <w:szCs w:val="19"/>
        </w:rPr>
        <w:t xml:space="preserve"> </w:t>
      </w:r>
      <w:r>
        <w:rPr>
          <w:rFonts w:ascii="Arial" w:hAnsi="Arial" w:eastAsia="Arial" w:cs="Arial"/>
          <w:spacing w:val="-5"/>
          <w:sz w:val="19"/>
          <w:szCs w:val="19"/>
        </w:rPr>
        <w:t>be</w:t>
      </w:r>
      <w:r>
        <w:rPr>
          <w:rFonts w:ascii="Arial" w:hAnsi="Arial" w:eastAsia="Arial" w:cs="Arial"/>
          <w:spacing w:val="11"/>
          <w:sz w:val="19"/>
          <w:szCs w:val="19"/>
        </w:rPr>
        <w:t xml:space="preserve"> </w:t>
      </w:r>
      <w:r>
        <w:rPr>
          <w:rFonts w:ascii="Arial" w:hAnsi="Arial" w:eastAsia="Arial" w:cs="Arial"/>
          <w:spacing w:val="-5"/>
          <w:sz w:val="19"/>
          <w:szCs w:val="19"/>
        </w:rPr>
        <w:t>characterized</w:t>
      </w:r>
      <w:r>
        <w:rPr>
          <w:rFonts w:ascii="Arial" w:hAnsi="Arial" w:eastAsia="Arial" w:cs="Arial"/>
          <w:spacing w:val="18"/>
          <w:w w:val="101"/>
          <w:sz w:val="19"/>
          <w:szCs w:val="19"/>
        </w:rPr>
        <w:t xml:space="preserve"> </w:t>
      </w:r>
      <w:r>
        <w:rPr>
          <w:rFonts w:ascii="Arial" w:hAnsi="Arial" w:eastAsia="Arial" w:cs="Arial"/>
          <w:spacing w:val="-5"/>
          <w:sz w:val="19"/>
          <w:szCs w:val="19"/>
        </w:rPr>
        <w:t>by</w:t>
      </w:r>
      <w:r>
        <w:rPr>
          <w:rFonts w:ascii="Arial" w:hAnsi="Arial" w:eastAsia="Arial" w:cs="Arial"/>
          <w:spacing w:val="18"/>
          <w:w w:val="101"/>
          <w:sz w:val="19"/>
          <w:szCs w:val="19"/>
        </w:rPr>
        <w:t xml:space="preserve"> </w:t>
      </w:r>
      <w:r>
        <w:rPr>
          <w:rFonts w:ascii="Arial" w:hAnsi="Arial" w:eastAsia="Arial" w:cs="Arial"/>
          <w:spacing w:val="-5"/>
          <w:sz w:val="19"/>
          <w:szCs w:val="19"/>
        </w:rPr>
        <w:t>regulations</w:t>
      </w:r>
      <w:r>
        <w:rPr>
          <w:rFonts w:ascii="Arial" w:hAnsi="Arial" w:eastAsia="Arial" w:cs="Arial"/>
          <w:spacing w:val="13"/>
          <w:sz w:val="19"/>
          <w:szCs w:val="19"/>
        </w:rPr>
        <w:t xml:space="preserve"> </w:t>
      </w:r>
      <w:r>
        <w:rPr>
          <w:rFonts w:ascii="Arial" w:hAnsi="Arial" w:eastAsia="Arial" w:cs="Arial"/>
          <w:spacing w:val="-5"/>
          <w:sz w:val="19"/>
          <w:szCs w:val="19"/>
        </w:rPr>
        <w:t>and</w:t>
      </w:r>
      <w:r>
        <w:rPr>
          <w:rFonts w:ascii="Arial" w:hAnsi="Arial" w:eastAsia="Arial" w:cs="Arial"/>
          <w:spacing w:val="11"/>
          <w:sz w:val="19"/>
          <w:szCs w:val="19"/>
        </w:rPr>
        <w:t xml:space="preserve"> </w:t>
      </w:r>
      <w:r>
        <w:rPr>
          <w:rFonts w:ascii="Arial" w:hAnsi="Arial" w:eastAsia="Arial" w:cs="Arial"/>
          <w:spacing w:val="-5"/>
          <w:sz w:val="19"/>
          <w:szCs w:val="19"/>
        </w:rPr>
        <w:t>an</w:t>
      </w:r>
      <w:r>
        <w:rPr>
          <w:rFonts w:ascii="Arial" w:hAnsi="Arial" w:eastAsia="Arial" w:cs="Arial"/>
          <w:spacing w:val="11"/>
          <w:sz w:val="19"/>
          <w:szCs w:val="19"/>
        </w:rPr>
        <w:t xml:space="preserve"> </w:t>
      </w:r>
      <w:r>
        <w:rPr>
          <w:rFonts w:ascii="Arial" w:hAnsi="Arial" w:eastAsia="Arial" w:cs="Arial"/>
          <w:spacing w:val="-5"/>
          <w:sz w:val="19"/>
          <w:szCs w:val="19"/>
        </w:rPr>
        <w:t>atmosphere</w:t>
      </w:r>
      <w:r>
        <w:rPr>
          <w:rFonts w:ascii="Arial" w:hAnsi="Arial" w:eastAsia="Arial" w:cs="Arial"/>
          <w:spacing w:val="12"/>
          <w:sz w:val="19"/>
          <w:szCs w:val="19"/>
        </w:rPr>
        <w:t xml:space="preserve"> </w:t>
      </w:r>
      <w:r>
        <w:rPr>
          <w:rFonts w:ascii="Arial" w:hAnsi="Arial" w:eastAsia="Arial" w:cs="Arial"/>
          <w:spacing w:val="-5"/>
          <w:sz w:val="19"/>
          <w:szCs w:val="19"/>
        </w:rPr>
        <w:t>of</w:t>
      </w:r>
      <w:r>
        <w:rPr>
          <w:rFonts w:ascii="Arial" w:hAnsi="Arial" w:eastAsia="Arial" w:cs="Arial"/>
          <w:spacing w:val="-6"/>
          <w:sz w:val="19"/>
          <w:szCs w:val="19"/>
        </w:rPr>
        <w:t xml:space="preserve"> control.</w:t>
      </w:r>
    </w:p>
    <w:p>
      <w:pPr>
        <w:spacing w:before="54" w:line="252" w:lineRule="auto"/>
        <w:ind w:left="3" w:right="1" w:firstLine="243"/>
        <w:jc w:val="both"/>
        <w:rPr>
          <w:rFonts w:ascii="Arial" w:hAnsi="Arial" w:eastAsia="Arial" w:cs="Arial"/>
          <w:sz w:val="19"/>
          <w:szCs w:val="19"/>
        </w:rPr>
      </w:pPr>
      <w:r>
        <w:rPr>
          <w:rFonts w:ascii="Arial" w:hAnsi="Arial" w:eastAsia="Arial" w:cs="Arial"/>
          <w:spacing w:val="-4"/>
          <w:sz w:val="19"/>
          <w:szCs w:val="19"/>
        </w:rPr>
        <w:t xml:space="preserve">Schein and Schein`s conceptualization </w:t>
      </w:r>
      <w:r>
        <w:rPr>
          <w:rFonts w:ascii="Arial" w:hAnsi="Arial" w:eastAsia="Arial" w:cs="Arial"/>
          <w:spacing w:val="-5"/>
          <w:sz w:val="19"/>
          <w:szCs w:val="19"/>
        </w:rPr>
        <w:t>of organizational culture</w:t>
      </w:r>
      <w:r>
        <w:rPr>
          <w:rFonts w:ascii="Arial" w:hAnsi="Arial" w:eastAsia="Arial" w:cs="Arial"/>
          <w:spacing w:val="10"/>
          <w:sz w:val="19"/>
          <w:szCs w:val="19"/>
        </w:rPr>
        <w:t xml:space="preserve"> </w:t>
      </w:r>
      <w:r>
        <w:rPr>
          <w:rFonts w:ascii="Arial" w:hAnsi="Arial" w:eastAsia="Arial" w:cs="Arial"/>
          <w:spacing w:val="-5"/>
          <w:sz w:val="19"/>
          <w:szCs w:val="19"/>
        </w:rPr>
        <w:t>provides valuable information on</w:t>
      </w:r>
      <w:r>
        <w:rPr>
          <w:rFonts w:ascii="Arial" w:hAnsi="Arial" w:eastAsia="Arial" w:cs="Arial"/>
          <w:sz w:val="19"/>
          <w:szCs w:val="19"/>
        </w:rPr>
        <w:t xml:space="preserve"> </w:t>
      </w:r>
      <w:r>
        <w:rPr>
          <w:rFonts w:ascii="Arial" w:hAnsi="Arial" w:eastAsia="Arial" w:cs="Arial"/>
          <w:spacing w:val="-4"/>
          <w:sz w:val="19"/>
          <w:szCs w:val="19"/>
        </w:rPr>
        <w:t>the</w:t>
      </w:r>
      <w:r>
        <w:rPr>
          <w:rFonts w:ascii="Arial" w:hAnsi="Arial" w:eastAsia="Arial" w:cs="Arial"/>
          <w:spacing w:val="17"/>
          <w:w w:val="101"/>
          <w:sz w:val="19"/>
          <w:szCs w:val="19"/>
        </w:rPr>
        <w:t xml:space="preserve"> </w:t>
      </w:r>
      <w:r>
        <w:rPr>
          <w:rFonts w:ascii="Arial" w:hAnsi="Arial" w:eastAsia="Arial" w:cs="Arial"/>
          <w:spacing w:val="-4"/>
          <w:sz w:val="19"/>
          <w:szCs w:val="19"/>
        </w:rPr>
        <w:t>diferent</w:t>
      </w:r>
      <w:r>
        <w:rPr>
          <w:rFonts w:ascii="Arial" w:hAnsi="Arial" w:eastAsia="Arial" w:cs="Arial"/>
          <w:spacing w:val="25"/>
          <w:w w:val="101"/>
          <w:sz w:val="19"/>
          <w:szCs w:val="19"/>
        </w:rPr>
        <w:t xml:space="preserve"> </w:t>
      </w:r>
      <w:r>
        <w:rPr>
          <w:rFonts w:ascii="Arial" w:hAnsi="Arial" w:eastAsia="Arial" w:cs="Arial"/>
          <w:spacing w:val="-4"/>
          <w:sz w:val="19"/>
          <w:szCs w:val="19"/>
        </w:rPr>
        <w:t>levels</w:t>
      </w:r>
      <w:r>
        <w:rPr>
          <w:rFonts w:ascii="Arial" w:hAnsi="Arial" w:eastAsia="Arial" w:cs="Arial"/>
          <w:spacing w:val="14"/>
          <w:w w:val="101"/>
          <w:sz w:val="19"/>
          <w:szCs w:val="19"/>
        </w:rPr>
        <w:t xml:space="preserve"> </w:t>
      </w:r>
      <w:r>
        <w:rPr>
          <w:rFonts w:ascii="Arial" w:hAnsi="Arial" w:eastAsia="Arial" w:cs="Arial"/>
          <w:spacing w:val="-4"/>
          <w:sz w:val="19"/>
          <w:szCs w:val="19"/>
        </w:rPr>
        <w:t>that</w:t>
      </w:r>
      <w:r>
        <w:rPr>
          <w:rFonts w:ascii="Arial" w:hAnsi="Arial" w:eastAsia="Arial" w:cs="Arial"/>
          <w:spacing w:val="24"/>
          <w:sz w:val="19"/>
          <w:szCs w:val="19"/>
        </w:rPr>
        <w:t xml:space="preserve"> </w:t>
      </w:r>
      <w:r>
        <w:rPr>
          <w:rFonts w:ascii="Arial" w:hAnsi="Arial" w:eastAsia="Arial" w:cs="Arial"/>
          <w:spacing w:val="-4"/>
          <w:sz w:val="19"/>
          <w:szCs w:val="19"/>
        </w:rPr>
        <w:t>ne</w:t>
      </w:r>
      <w:r>
        <w:rPr>
          <w:rFonts w:ascii="Arial" w:hAnsi="Arial" w:eastAsia="Arial" w:cs="Arial"/>
          <w:spacing w:val="-5"/>
          <w:sz w:val="19"/>
          <w:szCs w:val="19"/>
        </w:rPr>
        <w:t>ed</w:t>
      </w:r>
      <w:r>
        <w:rPr>
          <w:rFonts w:ascii="Arial" w:hAnsi="Arial" w:eastAsia="Arial" w:cs="Arial"/>
          <w:spacing w:val="15"/>
          <w:sz w:val="19"/>
          <w:szCs w:val="19"/>
        </w:rPr>
        <w:t xml:space="preserve"> </w:t>
      </w:r>
      <w:r>
        <w:rPr>
          <w:rFonts w:ascii="Arial" w:hAnsi="Arial" w:eastAsia="Arial" w:cs="Arial"/>
          <w:spacing w:val="-5"/>
          <w:sz w:val="19"/>
          <w:szCs w:val="19"/>
        </w:rPr>
        <w:t>to</w:t>
      </w:r>
      <w:r>
        <w:rPr>
          <w:rFonts w:ascii="Arial" w:hAnsi="Arial" w:eastAsia="Arial" w:cs="Arial"/>
          <w:spacing w:val="23"/>
          <w:w w:val="101"/>
          <w:sz w:val="19"/>
          <w:szCs w:val="19"/>
        </w:rPr>
        <w:t xml:space="preserve"> </w:t>
      </w:r>
      <w:r>
        <w:rPr>
          <w:rFonts w:ascii="Arial" w:hAnsi="Arial" w:eastAsia="Arial" w:cs="Arial"/>
          <w:spacing w:val="-5"/>
          <w:sz w:val="19"/>
          <w:szCs w:val="19"/>
        </w:rPr>
        <w:t>be</w:t>
      </w:r>
      <w:r>
        <w:rPr>
          <w:rFonts w:ascii="Arial" w:hAnsi="Arial" w:eastAsia="Arial" w:cs="Arial"/>
          <w:spacing w:val="18"/>
          <w:sz w:val="19"/>
          <w:szCs w:val="19"/>
        </w:rPr>
        <w:t xml:space="preserve"> </w:t>
      </w:r>
      <w:r>
        <w:rPr>
          <w:rFonts w:ascii="Arial" w:hAnsi="Arial" w:eastAsia="Arial" w:cs="Arial"/>
          <w:spacing w:val="-5"/>
          <w:sz w:val="19"/>
          <w:szCs w:val="19"/>
        </w:rPr>
        <w:t>considered</w:t>
      </w:r>
      <w:r>
        <w:rPr>
          <w:rFonts w:ascii="Arial" w:hAnsi="Arial" w:eastAsia="Arial" w:cs="Arial"/>
          <w:spacing w:val="15"/>
          <w:sz w:val="19"/>
          <w:szCs w:val="19"/>
        </w:rPr>
        <w:t xml:space="preserve"> </w:t>
      </w:r>
      <w:r>
        <w:rPr>
          <w:rFonts w:ascii="Arial" w:hAnsi="Arial" w:eastAsia="Arial" w:cs="Arial"/>
          <w:spacing w:val="-5"/>
          <w:sz w:val="19"/>
          <w:szCs w:val="19"/>
        </w:rPr>
        <w:t>when</w:t>
      </w:r>
      <w:r>
        <w:rPr>
          <w:rFonts w:ascii="Arial" w:hAnsi="Arial" w:eastAsia="Arial" w:cs="Arial"/>
          <w:spacing w:val="17"/>
          <w:sz w:val="19"/>
          <w:szCs w:val="19"/>
        </w:rPr>
        <w:t xml:space="preserve"> </w:t>
      </w:r>
      <w:r>
        <w:rPr>
          <w:rFonts w:ascii="Arial" w:hAnsi="Arial" w:eastAsia="Arial" w:cs="Arial"/>
          <w:spacing w:val="-5"/>
          <w:sz w:val="19"/>
          <w:szCs w:val="19"/>
        </w:rPr>
        <w:t>analyzing</w:t>
      </w:r>
      <w:r>
        <w:rPr>
          <w:rFonts w:ascii="Arial" w:hAnsi="Arial" w:eastAsia="Arial" w:cs="Arial"/>
          <w:spacing w:val="16"/>
          <w:sz w:val="19"/>
          <w:szCs w:val="19"/>
        </w:rPr>
        <w:t xml:space="preserve"> </w:t>
      </w:r>
      <w:r>
        <w:rPr>
          <w:rFonts w:ascii="Arial" w:hAnsi="Arial" w:eastAsia="Arial" w:cs="Arial"/>
          <w:spacing w:val="-5"/>
          <w:sz w:val="19"/>
          <w:szCs w:val="19"/>
        </w:rPr>
        <w:t>the</w:t>
      </w:r>
      <w:r>
        <w:rPr>
          <w:rFonts w:ascii="Arial" w:hAnsi="Arial" w:eastAsia="Arial" w:cs="Arial"/>
          <w:spacing w:val="17"/>
          <w:w w:val="101"/>
          <w:sz w:val="19"/>
          <w:szCs w:val="19"/>
        </w:rPr>
        <w:t xml:space="preserve"> </w:t>
      </w:r>
      <w:r>
        <w:rPr>
          <w:rFonts w:ascii="Arial" w:hAnsi="Arial" w:eastAsia="Arial" w:cs="Arial"/>
          <w:spacing w:val="-5"/>
          <w:sz w:val="19"/>
          <w:szCs w:val="19"/>
        </w:rPr>
        <w:t>cultural</w:t>
      </w:r>
      <w:r>
        <w:rPr>
          <w:rFonts w:ascii="Arial" w:hAnsi="Arial" w:eastAsia="Arial" w:cs="Arial"/>
          <w:spacing w:val="18"/>
          <w:w w:val="101"/>
          <w:sz w:val="19"/>
          <w:szCs w:val="19"/>
        </w:rPr>
        <w:t xml:space="preserve"> </w:t>
      </w:r>
      <w:r>
        <w:rPr>
          <w:rFonts w:ascii="Arial" w:hAnsi="Arial" w:eastAsia="Arial" w:cs="Arial"/>
          <w:spacing w:val="-5"/>
          <w:sz w:val="19"/>
          <w:szCs w:val="19"/>
        </w:rPr>
        <w:t>aspects</w:t>
      </w:r>
      <w:r>
        <w:rPr>
          <w:rFonts w:ascii="Arial" w:hAnsi="Arial" w:eastAsia="Arial" w:cs="Arial"/>
          <w:spacing w:val="18"/>
          <w:sz w:val="19"/>
          <w:szCs w:val="19"/>
        </w:rPr>
        <w:t xml:space="preserve"> </w:t>
      </w:r>
      <w:r>
        <w:rPr>
          <w:rFonts w:ascii="Arial" w:hAnsi="Arial" w:eastAsia="Arial" w:cs="Arial"/>
          <w:spacing w:val="-5"/>
          <w:sz w:val="19"/>
          <w:szCs w:val="19"/>
        </w:rPr>
        <w:t>of</w:t>
      </w:r>
      <w:r>
        <w:rPr>
          <w:rFonts w:ascii="Arial" w:hAnsi="Arial" w:eastAsia="Arial" w:cs="Arial"/>
          <w:spacing w:val="10"/>
          <w:sz w:val="19"/>
          <w:szCs w:val="19"/>
        </w:rPr>
        <w:t xml:space="preserve"> </w:t>
      </w:r>
      <w:r>
        <w:rPr>
          <w:rFonts w:ascii="Arial" w:hAnsi="Arial" w:eastAsia="Arial" w:cs="Arial"/>
          <w:spacing w:val="-5"/>
          <w:sz w:val="19"/>
          <w:szCs w:val="19"/>
        </w:rPr>
        <w:t>an</w:t>
      </w:r>
      <w:r>
        <w:rPr>
          <w:rFonts w:ascii="Arial" w:hAnsi="Arial" w:eastAsia="Arial" w:cs="Arial"/>
          <w:spacing w:val="17"/>
          <w:w w:val="101"/>
          <w:sz w:val="19"/>
          <w:szCs w:val="19"/>
        </w:rPr>
        <w:t xml:space="preserve"> </w:t>
      </w:r>
      <w:r>
        <w:rPr>
          <w:rFonts w:ascii="Arial" w:hAnsi="Arial" w:eastAsia="Arial" w:cs="Arial"/>
          <w:spacing w:val="-5"/>
          <w:sz w:val="19"/>
          <w:szCs w:val="19"/>
        </w:rPr>
        <w:t>organiz-</w:t>
      </w:r>
      <w:r>
        <w:rPr>
          <w:rFonts w:ascii="Arial" w:hAnsi="Arial" w:eastAsia="Arial" w:cs="Arial"/>
          <w:sz w:val="19"/>
          <w:szCs w:val="19"/>
        </w:rPr>
        <w:t xml:space="preserve"> </w:t>
      </w:r>
      <w:r>
        <w:rPr>
          <w:rFonts w:ascii="Arial" w:hAnsi="Arial" w:eastAsia="Arial" w:cs="Arial"/>
          <w:spacing w:val="-5"/>
          <w:sz w:val="19"/>
          <w:szCs w:val="19"/>
        </w:rPr>
        <w:t>ation. In terms of assessing quality culture, it appears essential to consider the visible</w:t>
      </w:r>
      <w:r>
        <w:rPr>
          <w:rFonts w:ascii="Arial" w:hAnsi="Arial" w:eastAsia="Arial" w:cs="Arial"/>
          <w:spacing w:val="1"/>
          <w:sz w:val="19"/>
          <w:szCs w:val="19"/>
        </w:rPr>
        <w:t xml:space="preserve"> </w:t>
      </w:r>
      <w:r>
        <w:rPr>
          <w:rFonts w:ascii="Arial" w:hAnsi="Arial" w:eastAsia="Arial" w:cs="Arial"/>
          <w:spacing w:val="-5"/>
          <w:sz w:val="19"/>
          <w:szCs w:val="19"/>
        </w:rPr>
        <w:t>q</w:t>
      </w:r>
      <w:r>
        <w:rPr>
          <w:rFonts w:ascii="Arial" w:hAnsi="Arial" w:eastAsia="Arial" w:cs="Arial"/>
          <w:spacing w:val="-6"/>
          <w:sz w:val="19"/>
          <w:szCs w:val="19"/>
        </w:rPr>
        <w:t>uality</w:t>
      </w:r>
      <w:r>
        <w:rPr>
          <w:rFonts w:ascii="Arial" w:hAnsi="Arial" w:eastAsia="Arial" w:cs="Arial"/>
          <w:spacing w:val="1"/>
          <w:sz w:val="19"/>
          <w:szCs w:val="19"/>
        </w:rPr>
        <w:t xml:space="preserve"> </w:t>
      </w:r>
      <w:r>
        <w:rPr>
          <w:rFonts w:ascii="Arial" w:hAnsi="Arial" w:eastAsia="Arial" w:cs="Arial"/>
          <w:spacing w:val="-6"/>
          <w:sz w:val="19"/>
          <w:szCs w:val="19"/>
        </w:rPr>
        <w:t>artifacts</w:t>
      </w:r>
      <w:r>
        <w:rPr>
          <w:rFonts w:ascii="Arial" w:hAnsi="Arial" w:eastAsia="Arial" w:cs="Arial"/>
          <w:sz w:val="19"/>
          <w:szCs w:val="19"/>
        </w:rPr>
        <w:t xml:space="preserve"> </w:t>
      </w:r>
      <w:r>
        <w:rPr>
          <w:rFonts w:ascii="Arial" w:hAnsi="Arial" w:eastAsia="Arial" w:cs="Arial"/>
          <w:spacing w:val="-9"/>
          <w:sz w:val="19"/>
          <w:szCs w:val="19"/>
        </w:rPr>
        <w:t>(e.</w:t>
      </w:r>
      <w:r>
        <w:rPr>
          <w:rFonts w:ascii="Arial" w:hAnsi="Arial" w:eastAsia="Arial" w:cs="Arial"/>
          <w:spacing w:val="-8"/>
          <w:sz w:val="19"/>
          <w:szCs w:val="19"/>
        </w:rPr>
        <w:t>g.</w:t>
      </w:r>
      <w:r>
        <w:rPr>
          <w:rFonts w:ascii="Arial" w:hAnsi="Arial" w:eastAsia="Arial" w:cs="Arial"/>
          <w:spacing w:val="32"/>
          <w:w w:val="101"/>
          <w:sz w:val="19"/>
          <w:szCs w:val="19"/>
        </w:rPr>
        <w:t xml:space="preserve"> </w:t>
      </w:r>
      <w:r>
        <w:rPr>
          <w:rFonts w:ascii="Arial" w:hAnsi="Arial" w:eastAsia="Arial" w:cs="Arial"/>
          <w:spacing w:val="-8"/>
          <w:sz w:val="19"/>
          <w:szCs w:val="19"/>
        </w:rPr>
        <w:t>quality</w:t>
      </w:r>
      <w:r>
        <w:rPr>
          <w:rFonts w:ascii="Arial" w:hAnsi="Arial" w:eastAsia="Arial" w:cs="Arial"/>
          <w:spacing w:val="24"/>
          <w:sz w:val="19"/>
          <w:szCs w:val="19"/>
        </w:rPr>
        <w:t xml:space="preserve"> </w:t>
      </w:r>
      <w:r>
        <w:rPr>
          <w:rFonts w:ascii="Arial" w:hAnsi="Arial" w:eastAsia="Arial" w:cs="Arial"/>
          <w:spacing w:val="-8"/>
          <w:sz w:val="19"/>
          <w:szCs w:val="19"/>
        </w:rPr>
        <w:t>assessment</w:t>
      </w:r>
      <w:r>
        <w:rPr>
          <w:rFonts w:ascii="Arial" w:hAnsi="Arial" w:eastAsia="Arial" w:cs="Arial"/>
          <w:spacing w:val="19"/>
          <w:sz w:val="19"/>
          <w:szCs w:val="19"/>
        </w:rPr>
        <w:t xml:space="preserve"> </w:t>
      </w:r>
      <w:r>
        <w:rPr>
          <w:rFonts w:ascii="Arial" w:hAnsi="Arial" w:eastAsia="Arial" w:cs="Arial"/>
          <w:spacing w:val="-8"/>
          <w:sz w:val="19"/>
          <w:szCs w:val="19"/>
        </w:rPr>
        <w:t>tools),</w:t>
      </w:r>
      <w:r>
        <w:rPr>
          <w:rFonts w:ascii="Arial" w:hAnsi="Arial" w:eastAsia="Arial" w:cs="Arial"/>
          <w:spacing w:val="24"/>
          <w:sz w:val="19"/>
          <w:szCs w:val="19"/>
        </w:rPr>
        <w:t xml:space="preserve"> </w:t>
      </w:r>
      <w:r>
        <w:rPr>
          <w:rFonts w:ascii="Arial" w:hAnsi="Arial" w:eastAsia="Arial" w:cs="Arial"/>
          <w:spacing w:val="-8"/>
          <w:sz w:val="19"/>
          <w:szCs w:val="19"/>
        </w:rPr>
        <w:t>espoused</w:t>
      </w:r>
      <w:r>
        <w:rPr>
          <w:rFonts w:ascii="Arial" w:hAnsi="Arial" w:eastAsia="Arial" w:cs="Arial"/>
          <w:spacing w:val="23"/>
          <w:w w:val="101"/>
          <w:sz w:val="19"/>
          <w:szCs w:val="19"/>
        </w:rPr>
        <w:t xml:space="preserve"> </w:t>
      </w:r>
      <w:r>
        <w:rPr>
          <w:rFonts w:ascii="Arial" w:hAnsi="Arial" w:eastAsia="Arial" w:cs="Arial"/>
          <w:spacing w:val="-8"/>
          <w:sz w:val="19"/>
          <w:szCs w:val="19"/>
        </w:rPr>
        <w:t>quality</w:t>
      </w:r>
      <w:r>
        <w:rPr>
          <w:rFonts w:ascii="Arial" w:hAnsi="Arial" w:eastAsia="Arial" w:cs="Arial"/>
          <w:spacing w:val="19"/>
          <w:w w:val="101"/>
          <w:sz w:val="19"/>
          <w:szCs w:val="19"/>
        </w:rPr>
        <w:t xml:space="preserve"> </w:t>
      </w:r>
      <w:r>
        <w:rPr>
          <w:rFonts w:ascii="Arial" w:hAnsi="Arial" w:eastAsia="Arial" w:cs="Arial"/>
          <w:spacing w:val="-8"/>
          <w:sz w:val="19"/>
          <w:szCs w:val="19"/>
        </w:rPr>
        <w:t>values</w:t>
      </w:r>
      <w:r>
        <w:rPr>
          <w:rFonts w:ascii="Arial" w:hAnsi="Arial" w:eastAsia="Arial" w:cs="Arial"/>
          <w:spacing w:val="29"/>
          <w:sz w:val="19"/>
          <w:szCs w:val="19"/>
        </w:rPr>
        <w:t xml:space="preserve"> </w:t>
      </w:r>
      <w:r>
        <w:rPr>
          <w:rFonts w:ascii="Arial" w:hAnsi="Arial" w:eastAsia="Arial" w:cs="Arial"/>
          <w:spacing w:val="-8"/>
          <w:sz w:val="19"/>
          <w:szCs w:val="19"/>
        </w:rPr>
        <w:t>(e.g.</w:t>
      </w:r>
      <w:r>
        <w:rPr>
          <w:rFonts w:ascii="Arial" w:hAnsi="Arial" w:eastAsia="Arial" w:cs="Arial"/>
          <w:spacing w:val="29"/>
          <w:sz w:val="19"/>
          <w:szCs w:val="19"/>
        </w:rPr>
        <w:t xml:space="preserve"> </w:t>
      </w:r>
      <w:r>
        <w:rPr>
          <w:rFonts w:ascii="Arial" w:hAnsi="Arial" w:eastAsia="Arial" w:cs="Arial"/>
          <w:spacing w:val="-8"/>
          <w:sz w:val="19"/>
          <w:szCs w:val="19"/>
        </w:rPr>
        <w:t>mission</w:t>
      </w:r>
      <w:r>
        <w:rPr>
          <w:rFonts w:ascii="Arial" w:hAnsi="Arial" w:eastAsia="Arial" w:cs="Arial"/>
          <w:spacing w:val="23"/>
          <w:w w:val="101"/>
          <w:sz w:val="19"/>
          <w:szCs w:val="19"/>
        </w:rPr>
        <w:t xml:space="preserve"> </w:t>
      </w:r>
      <w:r>
        <w:rPr>
          <w:rFonts w:ascii="Arial" w:hAnsi="Arial" w:eastAsia="Arial" w:cs="Arial"/>
          <w:spacing w:val="-8"/>
          <w:sz w:val="19"/>
          <w:szCs w:val="19"/>
        </w:rPr>
        <w:t>statement),</w:t>
      </w:r>
      <w:r>
        <w:rPr>
          <w:rFonts w:ascii="Arial" w:hAnsi="Arial" w:eastAsia="Arial" w:cs="Arial"/>
          <w:spacing w:val="24"/>
          <w:sz w:val="19"/>
          <w:szCs w:val="19"/>
        </w:rPr>
        <w:t xml:space="preserve"> </w:t>
      </w:r>
      <w:r>
        <w:rPr>
          <w:rFonts w:ascii="Arial" w:hAnsi="Arial" w:eastAsia="Arial" w:cs="Arial"/>
          <w:spacing w:val="-8"/>
          <w:sz w:val="19"/>
          <w:szCs w:val="19"/>
        </w:rPr>
        <w:t>and</w:t>
      </w:r>
      <w:r>
        <w:rPr>
          <w:rFonts w:ascii="Arial" w:hAnsi="Arial" w:eastAsia="Arial" w:cs="Arial"/>
          <w:spacing w:val="24"/>
          <w:sz w:val="19"/>
          <w:szCs w:val="19"/>
        </w:rPr>
        <w:t xml:space="preserve"> </w:t>
      </w:r>
      <w:r>
        <w:rPr>
          <w:rFonts w:ascii="Arial" w:hAnsi="Arial" w:eastAsia="Arial" w:cs="Arial"/>
          <w:spacing w:val="-8"/>
          <w:sz w:val="19"/>
          <w:szCs w:val="19"/>
        </w:rPr>
        <w:t>shared</w:t>
      </w:r>
      <w:r>
        <w:rPr>
          <w:rFonts w:ascii="Arial" w:hAnsi="Arial" w:eastAsia="Arial" w:cs="Arial"/>
          <w:spacing w:val="29"/>
          <w:w w:val="101"/>
          <w:sz w:val="19"/>
          <w:szCs w:val="19"/>
        </w:rPr>
        <w:t xml:space="preserve"> </w:t>
      </w:r>
      <w:r>
        <w:rPr>
          <w:rFonts w:ascii="Arial" w:hAnsi="Arial" w:eastAsia="Arial" w:cs="Arial"/>
          <w:spacing w:val="-8"/>
          <w:sz w:val="19"/>
          <w:szCs w:val="19"/>
        </w:rPr>
        <w:t>basi</w:t>
      </w:r>
      <w:r>
        <w:rPr>
          <w:rFonts w:ascii="Arial" w:hAnsi="Arial" w:eastAsia="Arial" w:cs="Arial"/>
          <w:spacing w:val="-5"/>
          <w:sz w:val="19"/>
          <w:szCs w:val="19"/>
        </w:rPr>
        <w:t>c</w:t>
      </w:r>
      <w:r>
        <w:rPr>
          <w:rFonts w:ascii="Arial" w:hAnsi="Arial" w:eastAsia="Arial" w:cs="Arial"/>
          <w:sz w:val="19"/>
          <w:szCs w:val="19"/>
        </w:rPr>
        <w:t xml:space="preserve"> </w:t>
      </w:r>
      <w:r>
        <w:rPr>
          <w:rFonts w:ascii="Arial" w:hAnsi="Arial" w:eastAsia="Arial" w:cs="Arial"/>
          <w:spacing w:val="-4"/>
          <w:sz w:val="19"/>
          <w:szCs w:val="19"/>
        </w:rPr>
        <w:t>quality</w:t>
      </w:r>
      <w:r>
        <w:rPr>
          <w:rFonts w:ascii="Arial" w:hAnsi="Arial" w:eastAsia="Arial" w:cs="Arial"/>
          <w:spacing w:val="12"/>
          <w:sz w:val="19"/>
          <w:szCs w:val="19"/>
        </w:rPr>
        <w:t xml:space="preserve"> </w:t>
      </w:r>
      <w:r>
        <w:rPr>
          <w:rFonts w:ascii="Arial" w:hAnsi="Arial" w:eastAsia="Arial" w:cs="Arial"/>
          <w:spacing w:val="-4"/>
          <w:sz w:val="19"/>
          <w:szCs w:val="19"/>
        </w:rPr>
        <w:t>assumptions</w:t>
      </w:r>
      <w:r>
        <w:rPr>
          <w:rFonts w:ascii="Arial" w:hAnsi="Arial" w:eastAsia="Arial" w:cs="Arial"/>
          <w:spacing w:val="18"/>
          <w:w w:val="101"/>
          <w:sz w:val="19"/>
          <w:szCs w:val="19"/>
        </w:rPr>
        <w:t xml:space="preserve"> </w:t>
      </w:r>
      <w:r>
        <w:rPr>
          <w:rFonts w:ascii="Arial" w:hAnsi="Arial" w:eastAsia="Arial" w:cs="Arial"/>
          <w:spacing w:val="-4"/>
          <w:sz w:val="19"/>
          <w:szCs w:val="19"/>
        </w:rPr>
        <w:t>(e.g.</w:t>
      </w:r>
      <w:r>
        <w:rPr>
          <w:rFonts w:ascii="Arial" w:hAnsi="Arial" w:eastAsia="Arial" w:cs="Arial"/>
          <w:spacing w:val="11"/>
          <w:sz w:val="19"/>
          <w:szCs w:val="19"/>
        </w:rPr>
        <w:t xml:space="preserve"> </w:t>
      </w:r>
      <w:r>
        <w:rPr>
          <w:rFonts w:ascii="Arial" w:hAnsi="Arial" w:eastAsia="Arial" w:cs="Arial"/>
          <w:spacing w:val="-4"/>
          <w:sz w:val="19"/>
          <w:szCs w:val="19"/>
        </w:rPr>
        <w:t>quality</w:t>
      </w:r>
      <w:r>
        <w:rPr>
          <w:rFonts w:ascii="Arial" w:hAnsi="Arial" w:eastAsia="Arial" w:cs="Arial"/>
          <w:spacing w:val="14"/>
          <w:sz w:val="19"/>
          <w:szCs w:val="19"/>
        </w:rPr>
        <w:t xml:space="preserve"> </w:t>
      </w:r>
      <w:r>
        <w:rPr>
          <w:rFonts w:ascii="Arial" w:hAnsi="Arial" w:eastAsia="Arial" w:cs="Arial"/>
          <w:spacing w:val="-4"/>
          <w:sz w:val="19"/>
          <w:szCs w:val="19"/>
        </w:rPr>
        <w:t>com</w:t>
      </w:r>
      <w:r>
        <w:rPr>
          <w:rFonts w:ascii="Arial" w:hAnsi="Arial" w:eastAsia="Arial" w:cs="Arial"/>
          <w:spacing w:val="-5"/>
          <w:sz w:val="19"/>
          <w:szCs w:val="19"/>
        </w:rPr>
        <w:t>mitment)</w:t>
      </w:r>
      <w:r>
        <w:rPr>
          <w:rFonts w:ascii="Arial" w:hAnsi="Arial" w:eastAsia="Arial" w:cs="Arial"/>
          <w:spacing w:val="12"/>
          <w:sz w:val="19"/>
          <w:szCs w:val="19"/>
        </w:rPr>
        <w:t xml:space="preserve"> </w:t>
      </w:r>
      <w:r>
        <w:rPr>
          <w:rFonts w:ascii="Arial" w:hAnsi="Arial" w:eastAsia="Arial" w:cs="Arial"/>
          <w:spacing w:val="-5"/>
          <w:sz w:val="19"/>
          <w:szCs w:val="19"/>
        </w:rPr>
        <w:t>of an</w:t>
      </w:r>
      <w:r>
        <w:rPr>
          <w:rFonts w:ascii="Arial" w:hAnsi="Arial" w:eastAsia="Arial" w:cs="Arial"/>
          <w:spacing w:val="11"/>
          <w:sz w:val="19"/>
          <w:szCs w:val="19"/>
        </w:rPr>
        <w:t xml:space="preserve"> </w:t>
      </w:r>
      <w:r>
        <w:rPr>
          <w:rFonts w:ascii="Arial" w:hAnsi="Arial" w:eastAsia="Arial" w:cs="Arial"/>
          <w:spacing w:val="-5"/>
          <w:sz w:val="19"/>
          <w:szCs w:val="19"/>
        </w:rPr>
        <w:t>organization.</w:t>
      </w:r>
    </w:p>
    <w:p>
      <w:pPr>
        <w:spacing w:line="252" w:lineRule="auto"/>
        <w:rPr>
          <w:rFonts w:ascii="Arial" w:hAnsi="Arial" w:eastAsia="Arial" w:cs="Arial"/>
          <w:sz w:val="19"/>
          <w:szCs w:val="19"/>
        </w:rPr>
        <w:sectPr>
          <w:pgSz w:w="9865" w:h="14060"/>
          <w:pgMar w:top="400" w:right="958" w:bottom="400" w:left="960" w:header="0" w:footer="0" w:gutter="0"/>
          <w:cols w:space="720" w:num="1"/>
        </w:sectPr>
      </w:pPr>
    </w:p>
    <w:p>
      <w:pPr>
        <w:spacing w:before="103"/>
        <w:ind w:left="17"/>
        <w:rPr>
          <w:rFonts w:ascii="Arial" w:hAnsi="Arial" w:eastAsia="Arial" w:cs="Arial"/>
          <w:sz w:val="14"/>
          <w:szCs w:val="14"/>
        </w:rPr>
      </w:pPr>
      <w:r>
        <w:rPr>
          <w:rFonts w:ascii="Arial" w:hAnsi="Arial" w:eastAsia="Arial" w:cs="Arial"/>
          <w:spacing w:val="-6"/>
          <w:sz w:val="14"/>
          <w:szCs w:val="14"/>
        </w:rPr>
        <w:t xml:space="preserve">4    </w:t>
      </w:r>
      <w:r>
        <w:rPr>
          <w:position w:val="-6"/>
          <w:sz w:val="14"/>
          <w:szCs w:val="14"/>
        </w:rPr>
        <w:drawing>
          <wp:inline distT="0" distB="0" distL="0" distR="0">
            <wp:extent cx="139700" cy="13970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38"/>
                    <a:stretch>
                      <a:fillRect/>
                    </a:stretch>
                  </pic:blipFill>
                  <pic:spPr>
                    <a:xfrm>
                      <a:off x="0" y="0"/>
                      <a:ext cx="139700" cy="139700"/>
                    </a:xfrm>
                    <a:prstGeom prst="rect">
                      <a:avLst/>
                    </a:prstGeom>
                  </pic:spPr>
                </pic:pic>
              </a:graphicData>
            </a:graphic>
          </wp:inline>
        </w:drawing>
      </w:r>
      <w:r>
        <w:rPr>
          <w:rFonts w:ascii="Arial" w:hAnsi="Arial" w:eastAsia="Arial" w:cs="Arial"/>
          <w:spacing w:val="14"/>
          <w:sz w:val="14"/>
          <w:szCs w:val="14"/>
        </w:rPr>
        <w:t xml:space="preserve">   </w:t>
      </w:r>
      <w:r>
        <w:rPr>
          <w:rFonts w:ascii="Arial" w:hAnsi="Arial" w:eastAsia="Arial" w:cs="Arial"/>
          <w:spacing w:val="-6"/>
          <w:sz w:val="14"/>
          <w:szCs w:val="14"/>
        </w:rPr>
        <w:t>C.</w:t>
      </w:r>
      <w:r>
        <w:rPr>
          <w:rFonts w:ascii="Arial" w:hAnsi="Arial" w:eastAsia="Arial" w:cs="Arial"/>
          <w:spacing w:val="11"/>
          <w:sz w:val="14"/>
          <w:szCs w:val="14"/>
        </w:rPr>
        <w:t xml:space="preserve"> </w:t>
      </w:r>
      <w:r>
        <w:rPr>
          <w:rFonts w:ascii="Arial" w:hAnsi="Arial" w:eastAsia="Arial" w:cs="Arial"/>
          <w:spacing w:val="-6"/>
          <w:sz w:val="14"/>
          <w:szCs w:val="14"/>
        </w:rPr>
        <w:t>HILDESHEIM AND</w:t>
      </w:r>
      <w:r>
        <w:rPr>
          <w:rFonts w:ascii="Arial" w:hAnsi="Arial" w:eastAsia="Arial" w:cs="Arial"/>
          <w:spacing w:val="11"/>
          <w:w w:val="101"/>
          <w:sz w:val="14"/>
          <w:szCs w:val="14"/>
        </w:rPr>
        <w:t xml:space="preserve"> </w:t>
      </w:r>
      <w:r>
        <w:rPr>
          <w:rFonts w:ascii="Arial" w:hAnsi="Arial" w:eastAsia="Arial" w:cs="Arial"/>
          <w:spacing w:val="-6"/>
          <w:sz w:val="14"/>
          <w:szCs w:val="14"/>
        </w:rPr>
        <w:t>K.</w:t>
      </w:r>
      <w:r>
        <w:rPr>
          <w:rFonts w:ascii="Arial" w:hAnsi="Arial" w:eastAsia="Arial" w:cs="Arial"/>
          <w:spacing w:val="6"/>
          <w:sz w:val="14"/>
          <w:szCs w:val="14"/>
        </w:rPr>
        <w:t xml:space="preserve"> </w:t>
      </w:r>
      <w:r>
        <w:rPr>
          <w:rFonts w:ascii="Arial" w:hAnsi="Arial" w:eastAsia="Arial" w:cs="Arial"/>
          <w:spacing w:val="-6"/>
          <w:sz w:val="14"/>
          <w:szCs w:val="14"/>
        </w:rPr>
        <w:t>SONNTAG</w:t>
      </w:r>
    </w:p>
    <w:p>
      <w:pPr>
        <w:spacing w:line="247" w:lineRule="auto"/>
        <w:rPr>
          <w:rFonts w:ascii="Arial"/>
          <w:sz w:val="21"/>
        </w:rPr>
      </w:pPr>
    </w:p>
    <w:p>
      <w:pPr>
        <w:spacing w:before="54" w:line="236" w:lineRule="auto"/>
        <w:ind w:left="19" w:right="7" w:firstLine="234"/>
        <w:rPr>
          <w:rFonts w:ascii="Arial" w:hAnsi="Arial" w:eastAsia="Arial" w:cs="Arial"/>
          <w:sz w:val="19"/>
          <w:szCs w:val="19"/>
        </w:rPr>
      </w:pPr>
      <w:r>
        <w:rPr>
          <w:rFonts w:ascii="Arial" w:hAnsi="Arial" w:eastAsia="Arial" w:cs="Arial"/>
          <w:spacing w:val="-3"/>
          <w:sz w:val="19"/>
          <w:szCs w:val="19"/>
        </w:rPr>
        <w:t>The</w:t>
      </w:r>
      <w:r>
        <w:rPr>
          <w:rFonts w:ascii="Arial" w:hAnsi="Arial" w:eastAsia="Arial" w:cs="Arial"/>
          <w:spacing w:val="11"/>
          <w:sz w:val="19"/>
          <w:szCs w:val="19"/>
        </w:rPr>
        <w:t xml:space="preserve"> </w:t>
      </w:r>
      <w:r>
        <w:rPr>
          <w:rFonts w:ascii="Arial" w:hAnsi="Arial" w:eastAsia="Arial" w:cs="Arial"/>
          <w:spacing w:val="-3"/>
          <w:sz w:val="19"/>
          <w:szCs w:val="19"/>
        </w:rPr>
        <w:t>irst</w:t>
      </w:r>
      <w:r>
        <w:rPr>
          <w:rFonts w:ascii="Arial" w:hAnsi="Arial" w:eastAsia="Arial" w:cs="Arial"/>
          <w:spacing w:val="15"/>
          <w:w w:val="101"/>
          <w:sz w:val="19"/>
          <w:szCs w:val="19"/>
        </w:rPr>
        <w:t xml:space="preserve"> </w:t>
      </w:r>
      <w:r>
        <w:rPr>
          <w:rFonts w:ascii="Arial" w:hAnsi="Arial" w:eastAsia="Arial" w:cs="Arial"/>
          <w:spacing w:val="-3"/>
          <w:sz w:val="19"/>
          <w:szCs w:val="19"/>
        </w:rPr>
        <w:t>comprehensive</w:t>
      </w:r>
      <w:r>
        <w:rPr>
          <w:rFonts w:ascii="Arial" w:hAnsi="Arial" w:eastAsia="Arial" w:cs="Arial"/>
          <w:spacing w:val="15"/>
          <w:sz w:val="19"/>
          <w:szCs w:val="19"/>
        </w:rPr>
        <w:t xml:space="preserve"> </w:t>
      </w:r>
      <w:r>
        <w:rPr>
          <w:rFonts w:ascii="Arial" w:hAnsi="Arial" w:eastAsia="Arial" w:cs="Arial"/>
          <w:spacing w:val="-3"/>
          <w:sz w:val="19"/>
          <w:szCs w:val="19"/>
        </w:rPr>
        <w:t>d</w:t>
      </w:r>
      <w:r>
        <w:rPr>
          <w:rFonts w:ascii="Arial" w:hAnsi="Arial" w:eastAsia="Arial" w:cs="Arial"/>
          <w:spacing w:val="-4"/>
          <w:sz w:val="19"/>
          <w:szCs w:val="19"/>
        </w:rPr>
        <w:t>einition</w:t>
      </w:r>
      <w:r>
        <w:rPr>
          <w:rFonts w:ascii="Arial" w:hAnsi="Arial" w:eastAsia="Arial" w:cs="Arial"/>
          <w:spacing w:val="16"/>
          <w:w w:val="101"/>
          <w:sz w:val="19"/>
          <w:szCs w:val="19"/>
        </w:rPr>
        <w:t xml:space="preserve"> </w:t>
      </w:r>
      <w:r>
        <w:rPr>
          <w:rFonts w:ascii="Arial" w:hAnsi="Arial" w:eastAsia="Arial" w:cs="Arial"/>
          <w:spacing w:val="-4"/>
          <w:sz w:val="19"/>
          <w:szCs w:val="19"/>
        </w:rPr>
        <w:t>of quality</w:t>
      </w:r>
      <w:r>
        <w:rPr>
          <w:rFonts w:ascii="Arial" w:hAnsi="Arial" w:eastAsia="Arial" w:cs="Arial"/>
          <w:spacing w:val="15"/>
          <w:w w:val="101"/>
          <w:sz w:val="19"/>
          <w:szCs w:val="19"/>
        </w:rPr>
        <w:t xml:space="preserve"> </w:t>
      </w:r>
      <w:r>
        <w:rPr>
          <w:rFonts w:ascii="Arial" w:hAnsi="Arial" w:eastAsia="Arial" w:cs="Arial"/>
          <w:spacing w:val="-4"/>
          <w:sz w:val="19"/>
          <w:szCs w:val="19"/>
        </w:rPr>
        <w:t>culture</w:t>
      </w:r>
      <w:r>
        <w:rPr>
          <w:rFonts w:ascii="Arial" w:hAnsi="Arial" w:eastAsia="Arial" w:cs="Arial"/>
          <w:spacing w:val="11"/>
          <w:sz w:val="19"/>
          <w:szCs w:val="19"/>
        </w:rPr>
        <w:t xml:space="preserve"> </w:t>
      </w:r>
      <w:r>
        <w:rPr>
          <w:rFonts w:ascii="Arial" w:hAnsi="Arial" w:eastAsia="Arial" w:cs="Arial"/>
          <w:spacing w:val="-4"/>
          <w:sz w:val="19"/>
          <w:szCs w:val="19"/>
        </w:rPr>
        <w:t>was</w:t>
      </w:r>
      <w:r>
        <w:rPr>
          <w:rFonts w:ascii="Arial" w:hAnsi="Arial" w:eastAsia="Arial" w:cs="Arial"/>
          <w:spacing w:val="16"/>
          <w:sz w:val="19"/>
          <w:szCs w:val="19"/>
        </w:rPr>
        <w:t xml:space="preserve"> </w:t>
      </w:r>
      <w:r>
        <w:rPr>
          <w:rFonts w:ascii="Arial" w:hAnsi="Arial" w:eastAsia="Arial" w:cs="Arial"/>
          <w:spacing w:val="-4"/>
          <w:sz w:val="19"/>
          <w:szCs w:val="19"/>
        </w:rPr>
        <w:t>developed</w:t>
      </w:r>
      <w:r>
        <w:rPr>
          <w:rFonts w:ascii="Arial" w:hAnsi="Arial" w:eastAsia="Arial" w:cs="Arial"/>
          <w:spacing w:val="22"/>
          <w:w w:val="101"/>
          <w:sz w:val="19"/>
          <w:szCs w:val="19"/>
        </w:rPr>
        <w:t xml:space="preserve"> </w:t>
      </w:r>
      <w:r>
        <w:rPr>
          <w:rFonts w:ascii="Arial" w:hAnsi="Arial" w:eastAsia="Arial" w:cs="Arial"/>
          <w:spacing w:val="-4"/>
          <w:sz w:val="19"/>
          <w:szCs w:val="19"/>
        </w:rPr>
        <w:t>by</w:t>
      </w:r>
      <w:r>
        <w:rPr>
          <w:rFonts w:ascii="Arial" w:hAnsi="Arial" w:eastAsia="Arial" w:cs="Arial"/>
          <w:spacing w:val="11"/>
          <w:sz w:val="19"/>
          <w:szCs w:val="19"/>
        </w:rPr>
        <w:t xml:space="preserve"> </w:t>
      </w:r>
      <w:r>
        <w:rPr>
          <w:rFonts w:ascii="Arial" w:hAnsi="Arial" w:eastAsia="Arial" w:cs="Arial"/>
          <w:spacing w:val="-4"/>
          <w:sz w:val="19"/>
          <w:szCs w:val="19"/>
        </w:rPr>
        <w:t>the</w:t>
      </w:r>
      <w:r>
        <w:rPr>
          <w:rFonts w:ascii="Arial" w:hAnsi="Arial" w:eastAsia="Arial" w:cs="Arial"/>
          <w:spacing w:val="23"/>
          <w:sz w:val="19"/>
          <w:szCs w:val="19"/>
        </w:rPr>
        <w:t xml:space="preserve"> </w:t>
      </w:r>
      <w:r>
        <w:rPr>
          <w:rFonts w:ascii="Arial" w:hAnsi="Arial" w:eastAsia="Arial" w:cs="Arial"/>
          <w:spacing w:val="-4"/>
          <w:sz w:val="19"/>
          <w:szCs w:val="19"/>
        </w:rPr>
        <w:t>European</w:t>
      </w:r>
      <w:r>
        <w:rPr>
          <w:rFonts w:ascii="Arial" w:hAnsi="Arial" w:eastAsia="Arial" w:cs="Arial"/>
          <w:spacing w:val="22"/>
          <w:w w:val="101"/>
          <w:sz w:val="19"/>
          <w:szCs w:val="19"/>
        </w:rPr>
        <w:t xml:space="preserve"> </w:t>
      </w:r>
      <w:r>
        <w:rPr>
          <w:rFonts w:ascii="Arial" w:hAnsi="Arial" w:eastAsia="Arial" w:cs="Arial"/>
          <w:spacing w:val="-4"/>
          <w:sz w:val="19"/>
          <w:szCs w:val="19"/>
        </w:rPr>
        <w:t>University</w:t>
      </w:r>
      <w:r>
        <w:rPr>
          <w:rFonts w:ascii="Arial" w:hAnsi="Arial" w:eastAsia="Arial" w:cs="Arial"/>
          <w:sz w:val="19"/>
          <w:szCs w:val="19"/>
        </w:rPr>
        <w:t xml:space="preserve"> </w:t>
      </w:r>
      <w:bookmarkStart w:id="4" w:name="bookmark34"/>
      <w:bookmarkEnd w:id="4"/>
      <w:r>
        <w:rPr>
          <w:rFonts w:ascii="Arial" w:hAnsi="Arial" w:eastAsia="Arial" w:cs="Arial"/>
          <w:spacing w:val="-10"/>
          <w:sz w:val="19"/>
          <w:szCs w:val="19"/>
        </w:rPr>
        <w:t>Association</w:t>
      </w:r>
      <w:r>
        <w:rPr>
          <w:rFonts w:ascii="Arial" w:hAnsi="Arial" w:eastAsia="Arial" w:cs="Arial"/>
          <w:spacing w:val="15"/>
          <w:w w:val="101"/>
          <w:sz w:val="19"/>
          <w:szCs w:val="19"/>
        </w:rPr>
        <w:t xml:space="preserve"> </w:t>
      </w:r>
      <w:r>
        <w:rPr>
          <w:rFonts w:ascii="Arial" w:hAnsi="Arial" w:eastAsia="Arial" w:cs="Arial"/>
          <w:spacing w:val="-10"/>
          <w:sz w:val="19"/>
          <w:szCs w:val="19"/>
        </w:rPr>
        <w:t>(EUA):</w:t>
      </w:r>
    </w:p>
    <w:p>
      <w:pPr>
        <w:spacing w:before="221" w:line="263" w:lineRule="auto"/>
        <w:ind w:left="257" w:right="245" w:firstLine="2"/>
        <w:jc w:val="both"/>
        <w:rPr>
          <w:rFonts w:ascii="Arial" w:hAnsi="Arial" w:eastAsia="Arial" w:cs="Arial"/>
          <w:sz w:val="15"/>
          <w:szCs w:val="15"/>
        </w:rPr>
      </w:pPr>
      <w:r>
        <w:rPr>
          <w:rFonts w:ascii="Arial" w:hAnsi="Arial" w:eastAsia="Arial" w:cs="Arial"/>
          <w:sz w:val="15"/>
          <w:szCs w:val="15"/>
        </w:rPr>
        <w:t>Quality</w:t>
      </w:r>
      <w:r>
        <w:rPr>
          <w:rFonts w:ascii="Arial" w:hAnsi="Arial" w:eastAsia="Arial" w:cs="Arial"/>
          <w:spacing w:val="5"/>
          <w:sz w:val="15"/>
          <w:szCs w:val="15"/>
        </w:rPr>
        <w:t xml:space="preserve"> </w:t>
      </w:r>
      <w:r>
        <w:rPr>
          <w:rFonts w:ascii="Arial" w:hAnsi="Arial" w:eastAsia="Arial" w:cs="Arial"/>
          <w:sz w:val="15"/>
          <w:szCs w:val="15"/>
        </w:rPr>
        <w:t>Culture</w:t>
      </w:r>
      <w:r>
        <w:rPr>
          <w:rFonts w:ascii="Arial" w:hAnsi="Arial" w:eastAsia="Arial" w:cs="Arial"/>
          <w:spacing w:val="5"/>
          <w:sz w:val="15"/>
          <w:szCs w:val="15"/>
        </w:rPr>
        <w:t xml:space="preserve"> </w:t>
      </w:r>
      <w:r>
        <w:rPr>
          <w:rFonts w:ascii="Arial" w:hAnsi="Arial" w:eastAsia="Arial" w:cs="Arial"/>
          <w:sz w:val="15"/>
          <w:szCs w:val="15"/>
        </w:rPr>
        <w:t>refers</w:t>
      </w:r>
      <w:r>
        <w:rPr>
          <w:rFonts w:ascii="Arial" w:hAnsi="Arial" w:eastAsia="Arial" w:cs="Arial"/>
          <w:spacing w:val="5"/>
          <w:sz w:val="15"/>
          <w:szCs w:val="15"/>
        </w:rPr>
        <w:t xml:space="preserve"> </w:t>
      </w:r>
      <w:r>
        <w:rPr>
          <w:rFonts w:ascii="Arial" w:hAnsi="Arial" w:eastAsia="Arial" w:cs="Arial"/>
          <w:sz w:val="15"/>
          <w:szCs w:val="15"/>
        </w:rPr>
        <w:t>to</w:t>
      </w:r>
      <w:r>
        <w:rPr>
          <w:rFonts w:ascii="Arial" w:hAnsi="Arial" w:eastAsia="Arial" w:cs="Arial"/>
          <w:spacing w:val="5"/>
          <w:sz w:val="15"/>
          <w:szCs w:val="15"/>
        </w:rPr>
        <w:t xml:space="preserve"> </w:t>
      </w:r>
      <w:r>
        <w:rPr>
          <w:rFonts w:ascii="Arial" w:hAnsi="Arial" w:eastAsia="Arial" w:cs="Arial"/>
          <w:sz w:val="15"/>
          <w:szCs w:val="15"/>
        </w:rPr>
        <w:t>an</w:t>
      </w:r>
      <w:r>
        <w:rPr>
          <w:rFonts w:ascii="Arial" w:hAnsi="Arial" w:eastAsia="Arial" w:cs="Arial"/>
          <w:spacing w:val="5"/>
          <w:sz w:val="15"/>
          <w:szCs w:val="15"/>
        </w:rPr>
        <w:t xml:space="preserve"> </w:t>
      </w:r>
      <w:r>
        <w:rPr>
          <w:rFonts w:ascii="Arial" w:hAnsi="Arial" w:eastAsia="Arial" w:cs="Arial"/>
          <w:sz w:val="15"/>
          <w:szCs w:val="15"/>
        </w:rPr>
        <w:t>organisational</w:t>
      </w:r>
      <w:r>
        <w:rPr>
          <w:rFonts w:ascii="Arial" w:hAnsi="Arial" w:eastAsia="Arial" w:cs="Arial"/>
          <w:spacing w:val="5"/>
          <w:sz w:val="15"/>
          <w:szCs w:val="15"/>
        </w:rPr>
        <w:t xml:space="preserve"> </w:t>
      </w:r>
      <w:r>
        <w:rPr>
          <w:rFonts w:ascii="Arial" w:hAnsi="Arial" w:eastAsia="Arial" w:cs="Arial"/>
          <w:sz w:val="15"/>
          <w:szCs w:val="15"/>
        </w:rPr>
        <w:t>culture</w:t>
      </w:r>
      <w:r>
        <w:rPr>
          <w:rFonts w:ascii="Arial" w:hAnsi="Arial" w:eastAsia="Arial" w:cs="Arial"/>
          <w:spacing w:val="5"/>
          <w:sz w:val="15"/>
          <w:szCs w:val="15"/>
        </w:rPr>
        <w:t xml:space="preserve"> </w:t>
      </w:r>
      <w:r>
        <w:rPr>
          <w:rFonts w:ascii="Arial" w:hAnsi="Arial" w:eastAsia="Arial" w:cs="Arial"/>
          <w:sz w:val="15"/>
          <w:szCs w:val="15"/>
        </w:rPr>
        <w:t>that</w:t>
      </w:r>
      <w:r>
        <w:rPr>
          <w:rFonts w:ascii="Arial" w:hAnsi="Arial" w:eastAsia="Arial" w:cs="Arial"/>
          <w:spacing w:val="11"/>
          <w:w w:val="102"/>
          <w:sz w:val="15"/>
          <w:szCs w:val="15"/>
        </w:rPr>
        <w:t xml:space="preserve"> </w:t>
      </w:r>
      <w:r>
        <w:rPr>
          <w:rFonts w:ascii="Arial" w:hAnsi="Arial" w:eastAsia="Arial" w:cs="Arial"/>
          <w:sz w:val="15"/>
          <w:szCs w:val="15"/>
        </w:rPr>
        <w:t>intends</w:t>
      </w:r>
      <w:r>
        <w:rPr>
          <w:rFonts w:ascii="Arial" w:hAnsi="Arial" w:eastAsia="Arial" w:cs="Arial"/>
          <w:spacing w:val="2"/>
          <w:sz w:val="15"/>
          <w:szCs w:val="15"/>
        </w:rPr>
        <w:t xml:space="preserve"> </w:t>
      </w:r>
      <w:r>
        <w:rPr>
          <w:rFonts w:ascii="Arial" w:hAnsi="Arial" w:eastAsia="Arial" w:cs="Arial"/>
          <w:sz w:val="15"/>
          <w:szCs w:val="15"/>
        </w:rPr>
        <w:t>to</w:t>
      </w:r>
      <w:r>
        <w:rPr>
          <w:rFonts w:ascii="Arial" w:hAnsi="Arial" w:eastAsia="Arial" w:cs="Arial"/>
          <w:spacing w:val="6"/>
          <w:sz w:val="15"/>
          <w:szCs w:val="15"/>
        </w:rPr>
        <w:t xml:space="preserve"> </w:t>
      </w:r>
      <w:r>
        <w:rPr>
          <w:rFonts w:ascii="Arial" w:hAnsi="Arial" w:eastAsia="Arial" w:cs="Arial"/>
          <w:sz w:val="15"/>
          <w:szCs w:val="15"/>
        </w:rPr>
        <w:t>enhance</w:t>
      </w:r>
      <w:r>
        <w:rPr>
          <w:rFonts w:ascii="Arial" w:hAnsi="Arial" w:eastAsia="Arial" w:cs="Arial"/>
          <w:spacing w:val="6"/>
          <w:sz w:val="15"/>
          <w:szCs w:val="15"/>
        </w:rPr>
        <w:t xml:space="preserve"> </w:t>
      </w:r>
      <w:r>
        <w:rPr>
          <w:rFonts w:ascii="Arial" w:hAnsi="Arial" w:eastAsia="Arial" w:cs="Arial"/>
          <w:sz w:val="15"/>
          <w:szCs w:val="15"/>
        </w:rPr>
        <w:t>quality</w:t>
      </w:r>
      <w:r>
        <w:rPr>
          <w:rFonts w:ascii="Arial" w:hAnsi="Arial" w:eastAsia="Arial" w:cs="Arial"/>
          <w:spacing w:val="10"/>
          <w:sz w:val="15"/>
          <w:szCs w:val="15"/>
        </w:rPr>
        <w:t xml:space="preserve"> </w:t>
      </w:r>
      <w:r>
        <w:rPr>
          <w:rFonts w:ascii="Arial" w:hAnsi="Arial" w:eastAsia="Arial" w:cs="Arial"/>
          <w:sz w:val="15"/>
          <w:szCs w:val="15"/>
        </w:rPr>
        <w:t>permanently</w:t>
      </w:r>
      <w:r>
        <w:rPr>
          <w:rFonts w:ascii="Arial" w:hAnsi="Arial" w:eastAsia="Arial" w:cs="Arial"/>
          <w:spacing w:val="4"/>
          <w:sz w:val="15"/>
          <w:szCs w:val="15"/>
        </w:rPr>
        <w:t xml:space="preserve"> </w:t>
      </w:r>
      <w:r>
        <w:rPr>
          <w:rFonts w:ascii="Arial" w:hAnsi="Arial" w:eastAsia="Arial" w:cs="Arial"/>
          <w:sz w:val="15"/>
          <w:szCs w:val="15"/>
        </w:rPr>
        <w:t>and</w:t>
      </w:r>
      <w:r>
        <w:rPr>
          <w:rFonts w:ascii="Arial" w:hAnsi="Arial" w:eastAsia="Arial" w:cs="Arial"/>
          <w:spacing w:val="10"/>
          <w:w w:val="101"/>
          <w:sz w:val="15"/>
          <w:szCs w:val="15"/>
        </w:rPr>
        <w:t xml:space="preserve"> </w:t>
      </w:r>
      <w:r>
        <w:rPr>
          <w:rFonts w:ascii="Arial" w:hAnsi="Arial" w:eastAsia="Arial" w:cs="Arial"/>
          <w:sz w:val="15"/>
          <w:szCs w:val="15"/>
        </w:rPr>
        <w:t>is</w:t>
      </w:r>
      <w:r>
        <w:rPr>
          <w:rFonts w:ascii="Arial" w:hAnsi="Arial" w:eastAsia="Arial" w:cs="Arial"/>
          <w:spacing w:val="6"/>
          <w:sz w:val="15"/>
          <w:szCs w:val="15"/>
        </w:rPr>
        <w:t xml:space="preserve"> </w:t>
      </w:r>
      <w:r>
        <w:rPr>
          <w:rFonts w:ascii="Arial" w:hAnsi="Arial" w:eastAsia="Arial" w:cs="Arial"/>
          <w:sz w:val="15"/>
          <w:szCs w:val="15"/>
        </w:rPr>
        <w:t>character</w:t>
      </w:r>
      <w:r>
        <w:rPr>
          <w:rFonts w:ascii="Arial" w:hAnsi="Arial" w:eastAsia="Arial" w:cs="Arial"/>
          <w:spacing w:val="5"/>
          <w:sz w:val="15"/>
          <w:szCs w:val="15"/>
        </w:rPr>
        <w:t>-</w:t>
      </w:r>
      <w:r>
        <w:rPr>
          <w:rFonts w:ascii="Arial" w:hAnsi="Arial" w:eastAsia="Arial" w:cs="Arial"/>
          <w:sz w:val="15"/>
          <w:szCs w:val="15"/>
        </w:rPr>
        <w:t xml:space="preserve"> ised by two distinct elements: on the one hand, a cultural/psychological element of shared values</w:t>
      </w:r>
      <w:r>
        <w:rPr>
          <w:rFonts w:ascii="Arial" w:hAnsi="Arial" w:eastAsia="Arial" w:cs="Arial"/>
          <w:spacing w:val="-1"/>
          <w:sz w:val="15"/>
          <w:szCs w:val="15"/>
        </w:rPr>
        <w:t>, beliefs, expec-</w:t>
      </w:r>
      <w:r>
        <w:rPr>
          <w:rFonts w:ascii="Arial" w:hAnsi="Arial" w:eastAsia="Arial" w:cs="Arial"/>
          <w:sz w:val="15"/>
          <w:szCs w:val="15"/>
        </w:rPr>
        <w:t xml:space="preserve"> </w:t>
      </w:r>
      <w:r>
        <w:rPr>
          <w:rFonts w:ascii="Arial" w:hAnsi="Arial" w:eastAsia="Arial" w:cs="Arial"/>
          <w:spacing w:val="2"/>
          <w:sz w:val="15"/>
          <w:szCs w:val="15"/>
        </w:rPr>
        <w:t>tations and commitment towards quality and,</w:t>
      </w:r>
      <w:r>
        <w:rPr>
          <w:rFonts w:ascii="Arial" w:hAnsi="Arial" w:eastAsia="Arial" w:cs="Arial"/>
          <w:spacing w:val="20"/>
          <w:w w:val="101"/>
          <w:sz w:val="15"/>
          <w:szCs w:val="15"/>
        </w:rPr>
        <w:t xml:space="preserve"> </w:t>
      </w:r>
      <w:r>
        <w:rPr>
          <w:rFonts w:ascii="Arial" w:hAnsi="Arial" w:eastAsia="Arial" w:cs="Arial"/>
          <w:spacing w:val="2"/>
          <w:sz w:val="15"/>
          <w:szCs w:val="15"/>
        </w:rPr>
        <w:t>on</w:t>
      </w:r>
      <w:r>
        <w:rPr>
          <w:rFonts w:ascii="Arial" w:hAnsi="Arial" w:eastAsia="Arial" w:cs="Arial"/>
          <w:spacing w:val="7"/>
          <w:sz w:val="15"/>
          <w:szCs w:val="15"/>
        </w:rPr>
        <w:t xml:space="preserve"> </w:t>
      </w:r>
      <w:r>
        <w:rPr>
          <w:rFonts w:ascii="Arial" w:hAnsi="Arial" w:eastAsia="Arial" w:cs="Arial"/>
          <w:spacing w:val="2"/>
          <w:sz w:val="15"/>
          <w:szCs w:val="15"/>
        </w:rPr>
        <w:t>the</w:t>
      </w:r>
      <w:r>
        <w:rPr>
          <w:rFonts w:ascii="Arial" w:hAnsi="Arial" w:eastAsia="Arial" w:cs="Arial"/>
          <w:spacing w:val="10"/>
          <w:w w:val="101"/>
          <w:sz w:val="15"/>
          <w:szCs w:val="15"/>
        </w:rPr>
        <w:t xml:space="preserve"> </w:t>
      </w:r>
      <w:r>
        <w:rPr>
          <w:rFonts w:ascii="Arial" w:hAnsi="Arial" w:eastAsia="Arial" w:cs="Arial"/>
          <w:spacing w:val="2"/>
          <w:sz w:val="15"/>
          <w:szCs w:val="15"/>
        </w:rPr>
        <w:t>other</w:t>
      </w:r>
      <w:r>
        <w:rPr>
          <w:rFonts w:ascii="Arial" w:hAnsi="Arial" w:eastAsia="Arial" w:cs="Arial"/>
          <w:spacing w:val="15"/>
          <w:w w:val="102"/>
          <w:sz w:val="15"/>
          <w:szCs w:val="15"/>
        </w:rPr>
        <w:t xml:space="preserve"> </w:t>
      </w:r>
      <w:r>
        <w:rPr>
          <w:rFonts w:ascii="Arial" w:hAnsi="Arial" w:eastAsia="Arial" w:cs="Arial"/>
          <w:spacing w:val="2"/>
          <w:sz w:val="15"/>
          <w:szCs w:val="15"/>
        </w:rPr>
        <w:t>hand,</w:t>
      </w:r>
      <w:r>
        <w:rPr>
          <w:rFonts w:ascii="Arial" w:hAnsi="Arial" w:eastAsia="Arial" w:cs="Arial"/>
          <w:spacing w:val="8"/>
          <w:sz w:val="15"/>
          <w:szCs w:val="15"/>
        </w:rPr>
        <w:t xml:space="preserve"> </w:t>
      </w:r>
      <w:r>
        <w:rPr>
          <w:rFonts w:ascii="Arial" w:hAnsi="Arial" w:eastAsia="Arial" w:cs="Arial"/>
          <w:spacing w:val="2"/>
          <w:sz w:val="15"/>
          <w:szCs w:val="15"/>
        </w:rPr>
        <w:t>a</w:t>
      </w:r>
      <w:r>
        <w:rPr>
          <w:rFonts w:ascii="Arial" w:hAnsi="Arial" w:eastAsia="Arial" w:cs="Arial"/>
          <w:spacing w:val="11"/>
          <w:sz w:val="15"/>
          <w:szCs w:val="15"/>
        </w:rPr>
        <w:t xml:space="preserve"> </w:t>
      </w:r>
      <w:r>
        <w:rPr>
          <w:rFonts w:ascii="Arial" w:hAnsi="Arial" w:eastAsia="Arial" w:cs="Arial"/>
          <w:spacing w:val="2"/>
          <w:sz w:val="15"/>
          <w:szCs w:val="15"/>
        </w:rPr>
        <w:t>structural/managerial</w:t>
      </w:r>
      <w:r>
        <w:rPr>
          <w:rFonts w:ascii="Arial" w:hAnsi="Arial" w:eastAsia="Arial" w:cs="Arial"/>
          <w:spacing w:val="9"/>
          <w:sz w:val="15"/>
          <w:szCs w:val="15"/>
        </w:rPr>
        <w:t xml:space="preserve"> </w:t>
      </w:r>
      <w:r>
        <w:rPr>
          <w:rFonts w:ascii="Arial" w:hAnsi="Arial" w:eastAsia="Arial" w:cs="Arial"/>
          <w:spacing w:val="2"/>
          <w:sz w:val="15"/>
          <w:szCs w:val="15"/>
        </w:rPr>
        <w:t>element</w:t>
      </w:r>
      <w:r>
        <w:rPr>
          <w:rFonts w:ascii="Arial" w:hAnsi="Arial" w:eastAsia="Arial" w:cs="Arial"/>
          <w:spacing w:val="5"/>
          <w:sz w:val="15"/>
          <w:szCs w:val="15"/>
        </w:rPr>
        <w:t xml:space="preserve"> </w:t>
      </w:r>
      <w:r>
        <w:rPr>
          <w:rFonts w:ascii="Arial" w:hAnsi="Arial" w:eastAsia="Arial" w:cs="Arial"/>
          <w:spacing w:val="2"/>
          <w:sz w:val="15"/>
          <w:szCs w:val="15"/>
        </w:rPr>
        <w:t>with</w:t>
      </w:r>
      <w:r>
        <w:rPr>
          <w:rFonts w:ascii="Arial" w:hAnsi="Arial" w:eastAsia="Arial" w:cs="Arial"/>
          <w:spacing w:val="10"/>
          <w:w w:val="102"/>
          <w:sz w:val="15"/>
          <w:szCs w:val="15"/>
        </w:rPr>
        <w:t xml:space="preserve"> </w:t>
      </w:r>
      <w:r>
        <w:rPr>
          <w:rFonts w:ascii="Arial" w:hAnsi="Arial" w:eastAsia="Arial" w:cs="Arial"/>
          <w:spacing w:val="2"/>
          <w:sz w:val="15"/>
          <w:szCs w:val="15"/>
        </w:rPr>
        <w:t>deined</w:t>
      </w:r>
      <w:r>
        <w:rPr>
          <w:rFonts w:ascii="Arial" w:hAnsi="Arial" w:eastAsia="Arial" w:cs="Arial"/>
          <w:sz w:val="15"/>
          <w:szCs w:val="15"/>
        </w:rPr>
        <w:t xml:space="preserve"> processes that</w:t>
      </w:r>
      <w:r>
        <w:rPr>
          <w:rFonts w:ascii="Arial" w:hAnsi="Arial" w:eastAsia="Arial" w:cs="Arial"/>
          <w:spacing w:val="12"/>
          <w:w w:val="102"/>
          <w:sz w:val="15"/>
          <w:szCs w:val="15"/>
        </w:rPr>
        <w:t xml:space="preserve"> </w:t>
      </w:r>
      <w:r>
        <w:rPr>
          <w:rFonts w:ascii="Arial" w:hAnsi="Arial" w:eastAsia="Arial" w:cs="Arial"/>
          <w:sz w:val="15"/>
          <w:szCs w:val="15"/>
        </w:rPr>
        <w:t>enhance</w:t>
      </w:r>
      <w:r>
        <w:rPr>
          <w:rFonts w:ascii="Arial" w:hAnsi="Arial" w:eastAsia="Arial" w:cs="Arial"/>
          <w:spacing w:val="11"/>
          <w:w w:val="101"/>
          <w:sz w:val="15"/>
          <w:szCs w:val="15"/>
        </w:rPr>
        <w:t xml:space="preserve"> </w:t>
      </w:r>
      <w:r>
        <w:rPr>
          <w:rFonts w:ascii="Arial" w:hAnsi="Arial" w:eastAsia="Arial" w:cs="Arial"/>
          <w:sz w:val="15"/>
          <w:szCs w:val="15"/>
        </w:rPr>
        <w:t>quality</w:t>
      </w:r>
      <w:r>
        <w:rPr>
          <w:rFonts w:ascii="Arial" w:hAnsi="Arial" w:eastAsia="Arial" w:cs="Arial"/>
          <w:spacing w:val="11"/>
          <w:sz w:val="15"/>
          <w:szCs w:val="15"/>
        </w:rPr>
        <w:t xml:space="preserve"> </w:t>
      </w:r>
      <w:r>
        <w:rPr>
          <w:rFonts w:ascii="Arial" w:hAnsi="Arial" w:eastAsia="Arial" w:cs="Arial"/>
          <w:sz w:val="15"/>
          <w:szCs w:val="15"/>
        </w:rPr>
        <w:t>and</w:t>
      </w:r>
      <w:r>
        <w:rPr>
          <w:rFonts w:ascii="Arial" w:hAnsi="Arial" w:eastAsia="Arial" w:cs="Arial"/>
          <w:spacing w:val="10"/>
          <w:w w:val="102"/>
          <w:sz w:val="15"/>
          <w:szCs w:val="15"/>
        </w:rPr>
        <w:t xml:space="preserve"> </w:t>
      </w:r>
      <w:r>
        <w:rPr>
          <w:rFonts w:ascii="Arial" w:hAnsi="Arial" w:eastAsia="Arial" w:cs="Arial"/>
          <w:sz w:val="15"/>
          <w:szCs w:val="15"/>
        </w:rPr>
        <w:t>aim</w:t>
      </w:r>
      <w:r>
        <w:rPr>
          <w:rFonts w:ascii="Arial" w:hAnsi="Arial" w:eastAsia="Arial" w:cs="Arial"/>
          <w:spacing w:val="11"/>
          <w:sz w:val="15"/>
          <w:szCs w:val="15"/>
        </w:rPr>
        <w:t xml:space="preserve"> </w:t>
      </w:r>
      <w:r>
        <w:rPr>
          <w:rFonts w:ascii="Arial" w:hAnsi="Arial" w:eastAsia="Arial" w:cs="Arial"/>
          <w:sz w:val="15"/>
          <w:szCs w:val="15"/>
        </w:rPr>
        <w:t>at</w:t>
      </w:r>
      <w:r>
        <w:rPr>
          <w:rFonts w:ascii="Arial" w:hAnsi="Arial" w:eastAsia="Arial" w:cs="Arial"/>
          <w:spacing w:val="12"/>
          <w:sz w:val="15"/>
          <w:szCs w:val="15"/>
        </w:rPr>
        <w:t xml:space="preserve"> </w:t>
      </w:r>
      <w:r>
        <w:rPr>
          <w:rFonts w:ascii="Arial" w:hAnsi="Arial" w:eastAsia="Arial" w:cs="Arial"/>
          <w:sz w:val="15"/>
          <w:szCs w:val="15"/>
        </w:rPr>
        <w:t>coordinating</w:t>
      </w:r>
      <w:r>
        <w:rPr>
          <w:rFonts w:ascii="Arial" w:hAnsi="Arial" w:eastAsia="Arial" w:cs="Arial"/>
          <w:spacing w:val="15"/>
          <w:sz w:val="15"/>
          <w:szCs w:val="15"/>
        </w:rPr>
        <w:t xml:space="preserve"> </w:t>
      </w:r>
      <w:r>
        <w:rPr>
          <w:rFonts w:ascii="Arial" w:hAnsi="Arial" w:eastAsia="Arial" w:cs="Arial"/>
          <w:sz w:val="15"/>
          <w:szCs w:val="15"/>
        </w:rPr>
        <w:t>individual</w:t>
      </w:r>
      <w:r>
        <w:rPr>
          <w:rFonts w:ascii="Arial" w:hAnsi="Arial" w:eastAsia="Arial" w:cs="Arial"/>
          <w:spacing w:val="10"/>
          <w:w w:val="101"/>
          <w:sz w:val="15"/>
          <w:szCs w:val="15"/>
        </w:rPr>
        <w:t xml:space="preserve"> </w:t>
      </w:r>
      <w:r>
        <w:rPr>
          <w:rFonts w:ascii="Arial" w:hAnsi="Arial" w:eastAsia="Arial" w:cs="Arial"/>
          <w:sz w:val="15"/>
          <w:szCs w:val="15"/>
        </w:rPr>
        <w:t>eforts</w:t>
      </w:r>
      <w:r>
        <w:rPr>
          <w:rFonts w:ascii="Arial" w:hAnsi="Arial" w:eastAsia="Arial" w:cs="Arial"/>
          <w:spacing w:val="16"/>
          <w:w w:val="101"/>
          <w:sz w:val="15"/>
          <w:szCs w:val="15"/>
        </w:rPr>
        <w:t xml:space="preserve"> </w:t>
      </w:r>
      <w:r>
        <w:rPr>
          <w:rFonts w:ascii="Arial" w:hAnsi="Arial" w:eastAsia="Arial" w:cs="Arial"/>
          <w:sz w:val="15"/>
          <w:szCs w:val="15"/>
        </w:rPr>
        <w:t xml:space="preserve">(EUA </w:t>
      </w:r>
      <w:r>
        <w:fldChar w:fldCharType="begin"/>
      </w:r>
      <w:r>
        <w:instrText xml:space="preserve"> HYPERLINK \l "bookmark35" </w:instrText>
      </w:r>
      <w:r>
        <w:fldChar w:fldCharType="separate"/>
      </w:r>
      <w:r>
        <w:rPr>
          <w:rFonts w:ascii="Arial" w:hAnsi="Arial" w:eastAsia="Arial" w:cs="Arial"/>
          <w:color w:val="000084"/>
          <w:sz w:val="15"/>
          <w:szCs w:val="15"/>
        </w:rPr>
        <w:t>2006</w:t>
      </w:r>
      <w:r>
        <w:rPr>
          <w:rFonts w:ascii="Arial" w:hAnsi="Arial" w:eastAsia="Arial" w:cs="Arial"/>
          <w:color w:val="000084"/>
          <w:sz w:val="15"/>
          <w:szCs w:val="15"/>
        </w:rPr>
        <w:fldChar w:fldCharType="end"/>
      </w:r>
      <w:r>
        <w:rPr>
          <w:rFonts w:ascii="Arial" w:hAnsi="Arial" w:eastAsia="Arial" w:cs="Arial"/>
          <w:sz w:val="15"/>
          <w:szCs w:val="15"/>
        </w:rPr>
        <w:t>,</w:t>
      </w:r>
      <w:r>
        <w:rPr>
          <w:rFonts w:ascii="Arial" w:hAnsi="Arial" w:eastAsia="Arial" w:cs="Arial"/>
          <w:spacing w:val="22"/>
          <w:w w:val="102"/>
          <w:sz w:val="15"/>
          <w:szCs w:val="15"/>
        </w:rPr>
        <w:t xml:space="preserve"> </w:t>
      </w:r>
      <w:r>
        <w:rPr>
          <w:rFonts w:ascii="Arial" w:hAnsi="Arial" w:eastAsia="Arial" w:cs="Arial"/>
          <w:sz w:val="15"/>
          <w:szCs w:val="15"/>
        </w:rPr>
        <w:t>10).</w:t>
      </w:r>
    </w:p>
    <w:p>
      <w:pPr>
        <w:spacing w:before="149" w:line="262" w:lineRule="auto"/>
        <w:ind w:left="18" w:right="6" w:firstLine="1"/>
        <w:jc w:val="both"/>
        <w:rPr>
          <w:rFonts w:ascii="Arial" w:hAnsi="Arial" w:eastAsia="Arial" w:cs="Arial"/>
          <w:sz w:val="19"/>
          <w:szCs w:val="19"/>
        </w:rPr>
      </w:pPr>
      <w:r>
        <w:rPr>
          <w:rFonts w:ascii="Arial" w:hAnsi="Arial" w:eastAsia="Arial" w:cs="Arial"/>
          <w:spacing w:val="-5"/>
          <w:sz w:val="19"/>
          <w:szCs w:val="19"/>
        </w:rPr>
        <w:t>According</w:t>
      </w:r>
      <w:r>
        <w:rPr>
          <w:rFonts w:ascii="Arial" w:hAnsi="Arial" w:eastAsia="Arial" w:cs="Arial"/>
          <w:spacing w:val="42"/>
          <w:sz w:val="19"/>
          <w:szCs w:val="19"/>
        </w:rPr>
        <w:t xml:space="preserve"> </w:t>
      </w:r>
      <w:r>
        <w:rPr>
          <w:rFonts w:ascii="Arial" w:hAnsi="Arial" w:eastAsia="Arial" w:cs="Arial"/>
          <w:spacing w:val="-5"/>
          <w:sz w:val="19"/>
          <w:szCs w:val="19"/>
        </w:rPr>
        <w:t>to</w:t>
      </w:r>
      <w:r>
        <w:rPr>
          <w:rFonts w:ascii="Arial" w:hAnsi="Arial" w:eastAsia="Arial" w:cs="Arial"/>
          <w:spacing w:val="25"/>
          <w:sz w:val="19"/>
          <w:szCs w:val="19"/>
        </w:rPr>
        <w:t xml:space="preserve"> </w:t>
      </w:r>
      <w:r>
        <w:rPr>
          <w:rFonts w:ascii="Arial" w:hAnsi="Arial" w:eastAsia="Arial" w:cs="Arial"/>
          <w:spacing w:val="-5"/>
          <w:sz w:val="19"/>
          <w:szCs w:val="19"/>
        </w:rPr>
        <w:t>this</w:t>
      </w:r>
      <w:r>
        <w:rPr>
          <w:rFonts w:ascii="Arial" w:hAnsi="Arial" w:eastAsia="Arial" w:cs="Arial"/>
          <w:spacing w:val="28"/>
          <w:sz w:val="19"/>
          <w:szCs w:val="19"/>
        </w:rPr>
        <w:t xml:space="preserve"> </w:t>
      </w:r>
      <w:r>
        <w:rPr>
          <w:rFonts w:ascii="Arial" w:hAnsi="Arial" w:eastAsia="Arial" w:cs="Arial"/>
          <w:spacing w:val="-5"/>
          <w:sz w:val="19"/>
          <w:szCs w:val="19"/>
        </w:rPr>
        <w:t>deinition,</w:t>
      </w:r>
      <w:r>
        <w:rPr>
          <w:rFonts w:ascii="Arial" w:hAnsi="Arial" w:eastAsia="Arial" w:cs="Arial"/>
          <w:spacing w:val="28"/>
          <w:w w:val="101"/>
          <w:sz w:val="19"/>
          <w:szCs w:val="19"/>
        </w:rPr>
        <w:t xml:space="preserve"> </w:t>
      </w:r>
      <w:r>
        <w:rPr>
          <w:rFonts w:ascii="Arial" w:hAnsi="Arial" w:eastAsia="Arial" w:cs="Arial"/>
          <w:spacing w:val="-5"/>
          <w:sz w:val="19"/>
          <w:szCs w:val="19"/>
        </w:rPr>
        <w:t>quality</w:t>
      </w:r>
      <w:r>
        <w:rPr>
          <w:rFonts w:ascii="Arial" w:hAnsi="Arial" w:eastAsia="Arial" w:cs="Arial"/>
          <w:spacing w:val="29"/>
          <w:sz w:val="19"/>
          <w:szCs w:val="19"/>
        </w:rPr>
        <w:t xml:space="preserve"> </w:t>
      </w:r>
      <w:r>
        <w:rPr>
          <w:rFonts w:ascii="Arial" w:hAnsi="Arial" w:eastAsia="Arial" w:cs="Arial"/>
          <w:spacing w:val="-5"/>
          <w:sz w:val="19"/>
          <w:szCs w:val="19"/>
        </w:rPr>
        <w:t>culture</w:t>
      </w:r>
      <w:r>
        <w:rPr>
          <w:rFonts w:ascii="Arial" w:hAnsi="Arial" w:eastAsia="Arial" w:cs="Arial"/>
          <w:spacing w:val="29"/>
          <w:sz w:val="19"/>
          <w:szCs w:val="19"/>
        </w:rPr>
        <w:t xml:space="preserve"> </w:t>
      </w:r>
      <w:r>
        <w:rPr>
          <w:rFonts w:ascii="Arial" w:hAnsi="Arial" w:eastAsia="Arial" w:cs="Arial"/>
          <w:spacing w:val="-5"/>
          <w:sz w:val="19"/>
          <w:szCs w:val="19"/>
        </w:rPr>
        <w:t>comprises</w:t>
      </w:r>
      <w:r>
        <w:rPr>
          <w:rFonts w:ascii="Arial" w:hAnsi="Arial" w:eastAsia="Arial" w:cs="Arial"/>
          <w:spacing w:val="27"/>
          <w:sz w:val="19"/>
          <w:szCs w:val="19"/>
        </w:rPr>
        <w:t xml:space="preserve"> </w:t>
      </w:r>
      <w:r>
        <w:rPr>
          <w:rFonts w:ascii="Arial" w:hAnsi="Arial" w:eastAsia="Arial" w:cs="Arial"/>
          <w:spacing w:val="-5"/>
          <w:sz w:val="19"/>
          <w:szCs w:val="19"/>
        </w:rPr>
        <w:t>aspects</w:t>
      </w:r>
      <w:r>
        <w:rPr>
          <w:rFonts w:ascii="Arial" w:hAnsi="Arial" w:eastAsia="Arial" w:cs="Arial"/>
          <w:spacing w:val="28"/>
          <w:w w:val="101"/>
          <w:sz w:val="19"/>
          <w:szCs w:val="19"/>
        </w:rPr>
        <w:t xml:space="preserve"> </w:t>
      </w:r>
      <w:r>
        <w:rPr>
          <w:rFonts w:ascii="Arial" w:hAnsi="Arial" w:eastAsia="Arial" w:cs="Arial"/>
          <w:spacing w:val="-5"/>
          <w:sz w:val="19"/>
          <w:szCs w:val="19"/>
        </w:rPr>
        <w:t>of</w:t>
      </w:r>
      <w:r>
        <w:rPr>
          <w:rFonts w:ascii="Arial" w:hAnsi="Arial" w:eastAsia="Arial" w:cs="Arial"/>
          <w:spacing w:val="20"/>
          <w:sz w:val="19"/>
          <w:szCs w:val="19"/>
        </w:rPr>
        <w:t xml:space="preserve"> </w:t>
      </w:r>
      <w:r>
        <w:rPr>
          <w:rFonts w:ascii="Arial" w:hAnsi="Arial" w:eastAsia="Arial" w:cs="Arial"/>
          <w:spacing w:val="-5"/>
          <w:sz w:val="19"/>
          <w:szCs w:val="19"/>
        </w:rPr>
        <w:t>quality</w:t>
      </w:r>
      <w:r>
        <w:rPr>
          <w:rFonts w:ascii="Arial" w:hAnsi="Arial" w:eastAsia="Arial" w:cs="Arial"/>
          <w:spacing w:val="28"/>
          <w:w w:val="101"/>
          <w:sz w:val="19"/>
          <w:szCs w:val="19"/>
        </w:rPr>
        <w:t xml:space="preserve"> </w:t>
      </w:r>
      <w:r>
        <w:rPr>
          <w:rFonts w:ascii="Arial" w:hAnsi="Arial" w:eastAsia="Arial" w:cs="Arial"/>
          <w:spacing w:val="-5"/>
          <w:sz w:val="19"/>
          <w:szCs w:val="19"/>
        </w:rPr>
        <w:t>assurance</w:t>
      </w:r>
      <w:r>
        <w:rPr>
          <w:rFonts w:ascii="Arial" w:hAnsi="Arial" w:eastAsia="Arial" w:cs="Arial"/>
          <w:spacing w:val="33"/>
          <w:sz w:val="19"/>
          <w:szCs w:val="19"/>
        </w:rPr>
        <w:t xml:space="preserve"> </w:t>
      </w:r>
      <w:r>
        <w:rPr>
          <w:rFonts w:ascii="Arial" w:hAnsi="Arial" w:eastAsia="Arial" w:cs="Arial"/>
          <w:spacing w:val="-5"/>
          <w:sz w:val="19"/>
          <w:szCs w:val="19"/>
        </w:rPr>
        <w:t>(artifacts)</w:t>
      </w:r>
      <w:r>
        <w:rPr>
          <w:rFonts w:ascii="Arial" w:hAnsi="Arial" w:eastAsia="Arial" w:cs="Arial"/>
          <w:spacing w:val="28"/>
          <w:sz w:val="19"/>
          <w:szCs w:val="19"/>
        </w:rPr>
        <w:t xml:space="preserve"> </w:t>
      </w:r>
      <w:r>
        <w:rPr>
          <w:rFonts w:ascii="Arial" w:hAnsi="Arial" w:eastAsia="Arial" w:cs="Arial"/>
          <w:spacing w:val="-5"/>
          <w:sz w:val="19"/>
          <w:szCs w:val="19"/>
        </w:rPr>
        <w:t>and</w:t>
      </w:r>
      <w:r>
        <w:rPr>
          <w:rFonts w:ascii="Arial" w:hAnsi="Arial" w:eastAsia="Arial" w:cs="Arial"/>
          <w:sz w:val="19"/>
          <w:szCs w:val="19"/>
        </w:rPr>
        <w:t xml:space="preserve"> </w:t>
      </w:r>
      <w:r>
        <w:rPr>
          <w:rFonts w:ascii="Arial" w:hAnsi="Arial" w:eastAsia="Arial" w:cs="Arial"/>
          <w:spacing w:val="-6"/>
          <w:sz w:val="19"/>
          <w:szCs w:val="19"/>
        </w:rPr>
        <w:t>important</w:t>
      </w:r>
      <w:r>
        <w:rPr>
          <w:rFonts w:ascii="Arial" w:hAnsi="Arial" w:eastAsia="Arial" w:cs="Arial"/>
          <w:spacing w:val="14"/>
          <w:w w:val="101"/>
          <w:sz w:val="19"/>
          <w:szCs w:val="19"/>
        </w:rPr>
        <w:t xml:space="preserve"> </w:t>
      </w:r>
      <w:r>
        <w:rPr>
          <w:rFonts w:ascii="Arial" w:hAnsi="Arial" w:eastAsia="Arial" w:cs="Arial"/>
          <w:spacing w:val="-6"/>
          <w:sz w:val="19"/>
          <w:szCs w:val="19"/>
        </w:rPr>
        <w:t>organizational-psychological</w:t>
      </w:r>
      <w:r>
        <w:rPr>
          <w:rFonts w:ascii="Arial" w:hAnsi="Arial" w:eastAsia="Arial" w:cs="Arial"/>
          <w:spacing w:val="9"/>
          <w:sz w:val="19"/>
          <w:szCs w:val="19"/>
        </w:rPr>
        <w:t xml:space="preserve"> </w:t>
      </w:r>
      <w:r>
        <w:rPr>
          <w:rFonts w:ascii="Arial" w:hAnsi="Arial" w:eastAsia="Arial" w:cs="Arial"/>
          <w:spacing w:val="-6"/>
          <w:sz w:val="19"/>
          <w:szCs w:val="19"/>
        </w:rPr>
        <w:t>factors,</w:t>
      </w:r>
      <w:r>
        <w:rPr>
          <w:rFonts w:ascii="Arial" w:hAnsi="Arial" w:eastAsia="Arial" w:cs="Arial"/>
          <w:spacing w:val="14"/>
          <w:sz w:val="19"/>
          <w:szCs w:val="19"/>
        </w:rPr>
        <w:t xml:space="preserve"> </w:t>
      </w:r>
      <w:r>
        <w:rPr>
          <w:rFonts w:ascii="Arial" w:hAnsi="Arial" w:eastAsia="Arial" w:cs="Arial"/>
          <w:spacing w:val="-6"/>
          <w:sz w:val="19"/>
          <w:szCs w:val="19"/>
        </w:rPr>
        <w:t>such</w:t>
      </w:r>
      <w:r>
        <w:rPr>
          <w:rFonts w:ascii="Arial" w:hAnsi="Arial" w:eastAsia="Arial" w:cs="Arial"/>
          <w:spacing w:val="13"/>
          <w:w w:val="101"/>
          <w:sz w:val="19"/>
          <w:szCs w:val="19"/>
        </w:rPr>
        <w:t xml:space="preserve"> </w:t>
      </w:r>
      <w:r>
        <w:rPr>
          <w:rFonts w:ascii="Arial" w:hAnsi="Arial" w:eastAsia="Arial" w:cs="Arial"/>
          <w:spacing w:val="-6"/>
          <w:sz w:val="19"/>
          <w:szCs w:val="19"/>
        </w:rPr>
        <w:t>as va</w:t>
      </w:r>
      <w:r>
        <w:rPr>
          <w:rFonts w:ascii="Arial" w:hAnsi="Arial" w:eastAsia="Arial" w:cs="Arial"/>
          <w:spacing w:val="-7"/>
          <w:sz w:val="19"/>
          <w:szCs w:val="19"/>
        </w:rPr>
        <w:t>lues</w:t>
      </w:r>
      <w:r>
        <w:rPr>
          <w:rFonts w:ascii="Arial" w:hAnsi="Arial" w:eastAsia="Arial" w:cs="Arial"/>
          <w:spacing w:val="17"/>
          <w:w w:val="101"/>
          <w:sz w:val="19"/>
          <w:szCs w:val="19"/>
        </w:rPr>
        <w:t xml:space="preserve"> </w:t>
      </w:r>
      <w:r>
        <w:rPr>
          <w:rFonts w:ascii="Arial" w:hAnsi="Arial" w:eastAsia="Arial" w:cs="Arial"/>
          <w:spacing w:val="-7"/>
          <w:sz w:val="19"/>
          <w:szCs w:val="19"/>
        </w:rPr>
        <w:t>(espoused</w:t>
      </w:r>
      <w:r>
        <w:rPr>
          <w:rFonts w:ascii="Arial" w:hAnsi="Arial" w:eastAsia="Arial" w:cs="Arial"/>
          <w:spacing w:val="10"/>
          <w:sz w:val="19"/>
          <w:szCs w:val="19"/>
        </w:rPr>
        <w:t xml:space="preserve"> </w:t>
      </w:r>
      <w:r>
        <w:rPr>
          <w:rFonts w:ascii="Arial" w:hAnsi="Arial" w:eastAsia="Arial" w:cs="Arial"/>
          <w:spacing w:val="-7"/>
          <w:sz w:val="19"/>
          <w:szCs w:val="19"/>
        </w:rPr>
        <w:t>values),</w:t>
      </w:r>
      <w:r>
        <w:rPr>
          <w:rFonts w:ascii="Arial" w:hAnsi="Arial" w:eastAsia="Arial" w:cs="Arial"/>
          <w:spacing w:val="14"/>
          <w:sz w:val="19"/>
          <w:szCs w:val="19"/>
        </w:rPr>
        <w:t xml:space="preserve"> </w:t>
      </w:r>
      <w:r>
        <w:rPr>
          <w:rFonts w:ascii="Arial" w:hAnsi="Arial" w:eastAsia="Arial" w:cs="Arial"/>
          <w:spacing w:val="-7"/>
          <w:sz w:val="19"/>
          <w:szCs w:val="19"/>
        </w:rPr>
        <w:t>expectations,</w:t>
      </w:r>
      <w:r>
        <w:rPr>
          <w:rFonts w:ascii="Arial" w:hAnsi="Arial" w:eastAsia="Arial" w:cs="Arial"/>
          <w:spacing w:val="11"/>
          <w:sz w:val="19"/>
          <w:szCs w:val="19"/>
        </w:rPr>
        <w:t xml:space="preserve"> </w:t>
      </w:r>
      <w:r>
        <w:rPr>
          <w:rFonts w:ascii="Arial" w:hAnsi="Arial" w:eastAsia="Arial" w:cs="Arial"/>
          <w:spacing w:val="-7"/>
          <w:sz w:val="19"/>
          <w:szCs w:val="19"/>
        </w:rPr>
        <w:t>and</w:t>
      </w:r>
      <w:r>
        <w:rPr>
          <w:rFonts w:ascii="Arial" w:hAnsi="Arial" w:eastAsia="Arial" w:cs="Arial"/>
          <w:sz w:val="19"/>
          <w:szCs w:val="19"/>
        </w:rPr>
        <w:t xml:space="preserve"> </w:t>
      </w:r>
      <w:r>
        <w:rPr>
          <w:rFonts w:ascii="Arial" w:hAnsi="Arial" w:eastAsia="Arial" w:cs="Arial"/>
          <w:spacing w:val="-4"/>
          <w:sz w:val="19"/>
          <w:szCs w:val="19"/>
        </w:rPr>
        <w:t>commitment  towards  quali</w:t>
      </w:r>
      <w:r>
        <w:rPr>
          <w:rFonts w:ascii="Arial" w:hAnsi="Arial" w:eastAsia="Arial" w:cs="Arial"/>
          <w:spacing w:val="-5"/>
          <w:sz w:val="19"/>
          <w:szCs w:val="19"/>
        </w:rPr>
        <w:t>ty  (shared</w:t>
      </w:r>
      <w:r>
        <w:rPr>
          <w:rFonts w:ascii="Arial" w:hAnsi="Arial" w:eastAsia="Arial" w:cs="Arial"/>
          <w:spacing w:val="5"/>
          <w:sz w:val="19"/>
          <w:szCs w:val="19"/>
        </w:rPr>
        <w:t xml:space="preserve">  </w:t>
      </w:r>
      <w:r>
        <w:rPr>
          <w:rFonts w:ascii="Arial" w:hAnsi="Arial" w:eastAsia="Arial" w:cs="Arial"/>
          <w:spacing w:val="-5"/>
          <w:sz w:val="19"/>
          <w:szCs w:val="19"/>
        </w:rPr>
        <w:t>basic  assumptions).  This</w:t>
      </w:r>
      <w:r>
        <w:rPr>
          <w:rFonts w:ascii="Arial" w:hAnsi="Arial" w:eastAsia="Arial" w:cs="Arial"/>
          <w:spacing w:val="52"/>
          <w:w w:val="101"/>
          <w:sz w:val="19"/>
          <w:szCs w:val="19"/>
        </w:rPr>
        <w:t xml:space="preserve"> </w:t>
      </w:r>
      <w:r>
        <w:rPr>
          <w:rFonts w:ascii="Arial" w:hAnsi="Arial" w:eastAsia="Arial" w:cs="Arial"/>
          <w:spacing w:val="-5"/>
          <w:sz w:val="19"/>
          <w:szCs w:val="19"/>
        </w:rPr>
        <w:t>view</w:t>
      </w:r>
      <w:r>
        <w:rPr>
          <w:rFonts w:ascii="Arial" w:hAnsi="Arial" w:eastAsia="Arial" w:cs="Arial"/>
          <w:spacing w:val="2"/>
          <w:sz w:val="19"/>
          <w:szCs w:val="19"/>
        </w:rPr>
        <w:t xml:space="preserve">  </w:t>
      </w:r>
      <w:r>
        <w:rPr>
          <w:rFonts w:ascii="Arial" w:hAnsi="Arial" w:eastAsia="Arial" w:cs="Arial"/>
          <w:spacing w:val="-5"/>
          <w:sz w:val="19"/>
          <w:szCs w:val="19"/>
        </w:rPr>
        <w:t>clearly</w:t>
      </w:r>
      <w:r>
        <w:rPr>
          <w:rFonts w:ascii="Arial" w:hAnsi="Arial" w:eastAsia="Arial" w:cs="Arial"/>
          <w:spacing w:val="3"/>
          <w:sz w:val="19"/>
          <w:szCs w:val="19"/>
        </w:rPr>
        <w:t xml:space="preserve">  </w:t>
      </w:r>
      <w:r>
        <w:rPr>
          <w:rFonts w:ascii="Arial" w:hAnsi="Arial" w:eastAsia="Arial" w:cs="Arial"/>
          <w:spacing w:val="-5"/>
          <w:sz w:val="19"/>
          <w:szCs w:val="19"/>
        </w:rPr>
        <w:t>extends</w:t>
      </w:r>
      <w:r>
        <w:rPr>
          <w:rFonts w:ascii="Arial" w:hAnsi="Arial" w:eastAsia="Arial" w:cs="Arial"/>
          <w:sz w:val="19"/>
          <w:szCs w:val="19"/>
        </w:rPr>
        <w:t xml:space="preserve">  </w:t>
      </w:r>
      <w:r>
        <w:rPr>
          <w:rFonts w:ascii="Arial" w:hAnsi="Arial" w:eastAsia="Arial" w:cs="Arial"/>
          <w:spacing w:val="-5"/>
          <w:sz w:val="19"/>
          <w:szCs w:val="19"/>
        </w:rPr>
        <w:t>traditional</w:t>
      </w:r>
      <w:r>
        <w:rPr>
          <w:rFonts w:ascii="Arial" w:hAnsi="Arial" w:eastAsia="Arial" w:cs="Arial"/>
          <w:spacing w:val="1"/>
          <w:sz w:val="19"/>
          <w:szCs w:val="19"/>
        </w:rPr>
        <w:t xml:space="preserve"> </w:t>
      </w:r>
      <w:r>
        <w:rPr>
          <w:rFonts w:ascii="Arial" w:hAnsi="Arial" w:eastAsia="Arial" w:cs="Arial"/>
          <w:spacing w:val="-4"/>
          <w:sz w:val="19"/>
          <w:szCs w:val="19"/>
        </w:rPr>
        <w:t>approaches</w:t>
      </w:r>
      <w:r>
        <w:rPr>
          <w:rFonts w:ascii="Arial" w:hAnsi="Arial" w:eastAsia="Arial" w:cs="Arial"/>
          <w:spacing w:val="12"/>
          <w:sz w:val="19"/>
          <w:szCs w:val="19"/>
        </w:rPr>
        <w:t xml:space="preserve"> </w:t>
      </w:r>
      <w:r>
        <w:rPr>
          <w:rFonts w:ascii="Arial" w:hAnsi="Arial" w:eastAsia="Arial" w:cs="Arial"/>
          <w:spacing w:val="-4"/>
          <w:sz w:val="19"/>
          <w:szCs w:val="19"/>
        </w:rPr>
        <w:t>of quality assuranc</w:t>
      </w:r>
      <w:r>
        <w:rPr>
          <w:rFonts w:ascii="Arial" w:hAnsi="Arial" w:eastAsia="Arial" w:cs="Arial"/>
          <w:spacing w:val="-5"/>
          <w:sz w:val="19"/>
          <w:szCs w:val="19"/>
        </w:rPr>
        <w:t>e and development,</w:t>
      </w:r>
      <w:r>
        <w:rPr>
          <w:rFonts w:ascii="Arial" w:hAnsi="Arial" w:eastAsia="Arial" w:cs="Arial"/>
          <w:spacing w:val="6"/>
          <w:sz w:val="19"/>
          <w:szCs w:val="19"/>
        </w:rPr>
        <w:t xml:space="preserve"> </w:t>
      </w:r>
      <w:r>
        <w:rPr>
          <w:rFonts w:ascii="Arial" w:hAnsi="Arial" w:eastAsia="Arial" w:cs="Arial"/>
          <w:spacing w:val="-5"/>
          <w:sz w:val="19"/>
          <w:szCs w:val="19"/>
        </w:rPr>
        <w:t>which</w:t>
      </w:r>
      <w:r>
        <w:rPr>
          <w:rFonts w:ascii="Arial" w:hAnsi="Arial" w:eastAsia="Arial" w:cs="Arial"/>
          <w:spacing w:val="10"/>
          <w:sz w:val="19"/>
          <w:szCs w:val="19"/>
        </w:rPr>
        <w:t xml:space="preserve"> </w:t>
      </w:r>
      <w:r>
        <w:rPr>
          <w:rFonts w:ascii="Arial" w:hAnsi="Arial" w:eastAsia="Arial" w:cs="Arial"/>
          <w:spacing w:val="-5"/>
          <w:sz w:val="19"/>
          <w:szCs w:val="19"/>
        </w:rPr>
        <w:t>are</w:t>
      </w:r>
      <w:r>
        <w:rPr>
          <w:rFonts w:ascii="Arial" w:hAnsi="Arial" w:eastAsia="Arial" w:cs="Arial"/>
          <w:spacing w:val="10"/>
          <w:sz w:val="19"/>
          <w:szCs w:val="19"/>
        </w:rPr>
        <w:t xml:space="preserve"> </w:t>
      </w:r>
      <w:r>
        <w:rPr>
          <w:rFonts w:ascii="Arial" w:hAnsi="Arial" w:eastAsia="Arial" w:cs="Arial"/>
          <w:spacing w:val="-5"/>
          <w:sz w:val="19"/>
          <w:szCs w:val="19"/>
        </w:rPr>
        <w:t>often</w:t>
      </w:r>
      <w:r>
        <w:rPr>
          <w:rFonts w:ascii="Arial" w:hAnsi="Arial" w:eastAsia="Arial" w:cs="Arial"/>
          <w:spacing w:val="17"/>
          <w:w w:val="101"/>
          <w:sz w:val="19"/>
          <w:szCs w:val="19"/>
        </w:rPr>
        <w:t xml:space="preserve"> </w:t>
      </w:r>
      <w:r>
        <w:rPr>
          <w:rFonts w:ascii="Arial" w:hAnsi="Arial" w:eastAsia="Arial" w:cs="Arial"/>
          <w:spacing w:val="-5"/>
          <w:sz w:val="19"/>
          <w:szCs w:val="19"/>
        </w:rPr>
        <w:t>limited to</w:t>
      </w:r>
      <w:r>
        <w:rPr>
          <w:rFonts w:ascii="Arial" w:hAnsi="Arial" w:eastAsia="Arial" w:cs="Arial"/>
          <w:spacing w:val="16"/>
          <w:w w:val="101"/>
          <w:sz w:val="19"/>
          <w:szCs w:val="19"/>
        </w:rPr>
        <w:t xml:space="preserve"> </w:t>
      </w:r>
      <w:r>
        <w:rPr>
          <w:rFonts w:ascii="Arial" w:hAnsi="Arial" w:eastAsia="Arial" w:cs="Arial"/>
          <w:spacing w:val="-5"/>
          <w:sz w:val="19"/>
          <w:szCs w:val="19"/>
        </w:rPr>
        <w:t>managerial</w:t>
      </w:r>
      <w:r>
        <w:rPr>
          <w:rFonts w:ascii="Arial" w:hAnsi="Arial" w:eastAsia="Arial" w:cs="Arial"/>
          <w:spacing w:val="9"/>
          <w:sz w:val="19"/>
          <w:szCs w:val="19"/>
        </w:rPr>
        <w:t xml:space="preserve"> </w:t>
      </w:r>
      <w:r>
        <w:rPr>
          <w:rFonts w:ascii="Arial" w:hAnsi="Arial" w:eastAsia="Arial" w:cs="Arial"/>
          <w:spacing w:val="-5"/>
          <w:sz w:val="19"/>
          <w:szCs w:val="19"/>
        </w:rPr>
        <w:t>elements</w:t>
      </w:r>
      <w:r>
        <w:rPr>
          <w:rFonts w:ascii="Arial" w:hAnsi="Arial" w:eastAsia="Arial" w:cs="Arial"/>
          <w:sz w:val="19"/>
          <w:szCs w:val="19"/>
        </w:rPr>
        <w:t xml:space="preserve"> </w:t>
      </w:r>
      <w:r>
        <w:rPr>
          <w:rFonts w:ascii="Arial" w:hAnsi="Arial" w:eastAsia="Arial" w:cs="Arial"/>
          <w:spacing w:val="-5"/>
          <w:sz w:val="19"/>
          <w:szCs w:val="19"/>
        </w:rPr>
        <w:t>(artifacts)</w:t>
      </w:r>
      <w:r>
        <w:rPr>
          <w:rFonts w:ascii="Arial" w:hAnsi="Arial" w:eastAsia="Arial" w:cs="Arial"/>
          <w:spacing w:val="33"/>
          <w:sz w:val="19"/>
          <w:szCs w:val="19"/>
        </w:rPr>
        <w:t xml:space="preserve"> </w:t>
      </w:r>
      <w:r>
        <w:rPr>
          <w:rFonts w:ascii="Arial" w:hAnsi="Arial" w:eastAsia="Arial" w:cs="Arial"/>
          <w:spacing w:val="-5"/>
          <w:sz w:val="19"/>
          <w:szCs w:val="19"/>
        </w:rPr>
        <w:t>and</w:t>
      </w:r>
      <w:r>
        <w:rPr>
          <w:rFonts w:ascii="Arial" w:hAnsi="Arial" w:eastAsia="Arial" w:cs="Arial"/>
          <w:spacing w:val="37"/>
          <w:w w:val="101"/>
          <w:sz w:val="19"/>
          <w:szCs w:val="19"/>
        </w:rPr>
        <w:t xml:space="preserve"> </w:t>
      </w:r>
      <w:r>
        <w:rPr>
          <w:rFonts w:ascii="Arial" w:hAnsi="Arial" w:eastAsia="Arial" w:cs="Arial"/>
          <w:spacing w:val="-5"/>
          <w:sz w:val="19"/>
          <w:szCs w:val="19"/>
        </w:rPr>
        <w:t>neglect</w:t>
      </w:r>
      <w:r>
        <w:rPr>
          <w:rFonts w:ascii="Arial" w:hAnsi="Arial" w:eastAsia="Arial" w:cs="Arial"/>
          <w:spacing w:val="27"/>
          <w:w w:val="101"/>
          <w:sz w:val="19"/>
          <w:szCs w:val="19"/>
        </w:rPr>
        <w:t xml:space="preserve"> </w:t>
      </w:r>
      <w:r>
        <w:rPr>
          <w:rFonts w:ascii="Arial" w:hAnsi="Arial" w:eastAsia="Arial" w:cs="Arial"/>
          <w:spacing w:val="-5"/>
          <w:sz w:val="19"/>
          <w:szCs w:val="19"/>
        </w:rPr>
        <w:t>the</w:t>
      </w:r>
      <w:r>
        <w:rPr>
          <w:rFonts w:ascii="Arial" w:hAnsi="Arial" w:eastAsia="Arial" w:cs="Arial"/>
          <w:spacing w:val="37"/>
          <w:sz w:val="19"/>
          <w:szCs w:val="19"/>
        </w:rPr>
        <w:t xml:space="preserve"> </w:t>
      </w:r>
      <w:r>
        <w:rPr>
          <w:rFonts w:ascii="Arial" w:hAnsi="Arial" w:eastAsia="Arial" w:cs="Arial"/>
          <w:spacing w:val="-5"/>
          <w:sz w:val="19"/>
          <w:szCs w:val="19"/>
        </w:rPr>
        <w:t>importance</w:t>
      </w:r>
      <w:r>
        <w:rPr>
          <w:rFonts w:ascii="Arial" w:hAnsi="Arial" w:eastAsia="Arial" w:cs="Arial"/>
          <w:spacing w:val="32"/>
          <w:w w:val="101"/>
          <w:sz w:val="19"/>
          <w:szCs w:val="19"/>
        </w:rPr>
        <w:t xml:space="preserve"> </w:t>
      </w:r>
      <w:r>
        <w:rPr>
          <w:rFonts w:ascii="Arial" w:hAnsi="Arial" w:eastAsia="Arial" w:cs="Arial"/>
          <w:spacing w:val="-5"/>
          <w:sz w:val="19"/>
          <w:szCs w:val="19"/>
        </w:rPr>
        <w:t>of</w:t>
      </w:r>
      <w:r>
        <w:rPr>
          <w:rFonts w:ascii="Arial" w:hAnsi="Arial" w:eastAsia="Arial" w:cs="Arial"/>
          <w:spacing w:val="30"/>
          <w:w w:val="101"/>
          <w:sz w:val="19"/>
          <w:szCs w:val="19"/>
        </w:rPr>
        <w:t xml:space="preserve"> </w:t>
      </w:r>
      <w:r>
        <w:rPr>
          <w:rFonts w:ascii="Arial" w:hAnsi="Arial" w:eastAsia="Arial" w:cs="Arial"/>
          <w:spacing w:val="-5"/>
          <w:sz w:val="19"/>
          <w:szCs w:val="19"/>
        </w:rPr>
        <w:t>psychologica</w:t>
      </w:r>
      <w:r>
        <w:rPr>
          <w:rFonts w:ascii="Arial" w:hAnsi="Arial" w:eastAsia="Arial" w:cs="Arial"/>
          <w:spacing w:val="-6"/>
          <w:sz w:val="19"/>
          <w:szCs w:val="19"/>
        </w:rPr>
        <w:t>l</w:t>
      </w:r>
      <w:r>
        <w:rPr>
          <w:rFonts w:ascii="Arial" w:hAnsi="Arial" w:eastAsia="Arial" w:cs="Arial"/>
          <w:spacing w:val="28"/>
          <w:sz w:val="19"/>
          <w:szCs w:val="19"/>
        </w:rPr>
        <w:t xml:space="preserve"> </w:t>
      </w:r>
      <w:r>
        <w:rPr>
          <w:rFonts w:ascii="Arial" w:hAnsi="Arial" w:eastAsia="Arial" w:cs="Arial"/>
          <w:spacing w:val="-6"/>
          <w:sz w:val="19"/>
          <w:szCs w:val="19"/>
        </w:rPr>
        <w:t>factors</w:t>
      </w:r>
      <w:r>
        <w:rPr>
          <w:rFonts w:ascii="Arial" w:hAnsi="Arial" w:eastAsia="Arial" w:cs="Arial"/>
          <w:spacing w:val="37"/>
          <w:w w:val="101"/>
          <w:sz w:val="19"/>
          <w:szCs w:val="19"/>
        </w:rPr>
        <w:t xml:space="preserve"> </w:t>
      </w:r>
      <w:r>
        <w:rPr>
          <w:rFonts w:ascii="Arial" w:hAnsi="Arial" w:eastAsia="Arial" w:cs="Arial"/>
          <w:spacing w:val="-6"/>
          <w:sz w:val="19"/>
          <w:szCs w:val="19"/>
        </w:rPr>
        <w:t>in</w:t>
      </w:r>
      <w:r>
        <w:rPr>
          <w:rFonts w:ascii="Arial" w:hAnsi="Arial" w:eastAsia="Arial" w:cs="Arial"/>
          <w:spacing w:val="27"/>
          <w:sz w:val="19"/>
          <w:szCs w:val="19"/>
        </w:rPr>
        <w:t xml:space="preserve"> </w:t>
      </w:r>
      <w:r>
        <w:rPr>
          <w:rFonts w:ascii="Arial" w:hAnsi="Arial" w:eastAsia="Arial" w:cs="Arial"/>
          <w:spacing w:val="-6"/>
          <w:sz w:val="19"/>
          <w:szCs w:val="19"/>
        </w:rPr>
        <w:t>their</w:t>
      </w:r>
      <w:r>
        <w:rPr>
          <w:rFonts w:ascii="Arial" w:hAnsi="Arial" w:eastAsia="Arial" w:cs="Arial"/>
          <w:spacing w:val="36"/>
          <w:sz w:val="19"/>
          <w:szCs w:val="19"/>
        </w:rPr>
        <w:t xml:space="preserve"> </w:t>
      </w:r>
      <w:r>
        <w:rPr>
          <w:rFonts w:ascii="Arial" w:hAnsi="Arial" w:eastAsia="Arial" w:cs="Arial"/>
          <w:spacing w:val="-6"/>
          <w:sz w:val="19"/>
          <w:szCs w:val="19"/>
        </w:rPr>
        <w:t>implementation.</w:t>
      </w:r>
      <w:r>
        <w:rPr>
          <w:rFonts w:ascii="Arial" w:hAnsi="Arial" w:eastAsia="Arial" w:cs="Arial"/>
          <w:spacing w:val="25"/>
          <w:sz w:val="19"/>
          <w:szCs w:val="19"/>
        </w:rPr>
        <w:t xml:space="preserve"> </w:t>
      </w:r>
      <w:r>
        <w:rPr>
          <w:rFonts w:ascii="Arial" w:hAnsi="Arial" w:eastAsia="Arial" w:cs="Arial"/>
          <w:spacing w:val="-6"/>
          <w:sz w:val="19"/>
          <w:szCs w:val="19"/>
        </w:rPr>
        <w:t>The</w:t>
      </w:r>
      <w:r>
        <w:rPr>
          <w:rFonts w:ascii="Arial" w:hAnsi="Arial" w:eastAsia="Arial" w:cs="Arial"/>
          <w:spacing w:val="38"/>
          <w:w w:val="101"/>
          <w:sz w:val="19"/>
          <w:szCs w:val="19"/>
        </w:rPr>
        <w:t xml:space="preserve"> </w:t>
      </w:r>
      <w:r>
        <w:rPr>
          <w:rFonts w:ascii="Arial" w:hAnsi="Arial" w:eastAsia="Arial" w:cs="Arial"/>
          <w:spacing w:val="-6"/>
          <w:sz w:val="19"/>
          <w:szCs w:val="19"/>
        </w:rPr>
        <w:t>EUA</w:t>
      </w:r>
      <w:r>
        <w:rPr>
          <w:rFonts w:ascii="Arial" w:hAnsi="Arial" w:eastAsia="Arial" w:cs="Arial"/>
          <w:sz w:val="19"/>
          <w:szCs w:val="19"/>
        </w:rPr>
        <w:t xml:space="preserve"> </w:t>
      </w:r>
      <w:r>
        <w:rPr>
          <w:rFonts w:ascii="Arial" w:hAnsi="Arial" w:eastAsia="Arial" w:cs="Arial"/>
          <w:spacing w:val="-5"/>
          <w:sz w:val="19"/>
          <w:szCs w:val="19"/>
        </w:rPr>
        <w:t>assumes</w:t>
      </w:r>
      <w:r>
        <w:rPr>
          <w:rFonts w:ascii="Arial" w:hAnsi="Arial" w:eastAsia="Arial" w:cs="Arial"/>
          <w:spacing w:val="20"/>
          <w:w w:val="101"/>
          <w:sz w:val="19"/>
          <w:szCs w:val="19"/>
        </w:rPr>
        <w:t xml:space="preserve"> </w:t>
      </w:r>
      <w:r>
        <w:rPr>
          <w:rFonts w:ascii="Arial" w:hAnsi="Arial" w:eastAsia="Arial" w:cs="Arial"/>
          <w:spacing w:val="-5"/>
          <w:sz w:val="19"/>
          <w:szCs w:val="19"/>
        </w:rPr>
        <w:t>that</w:t>
      </w:r>
      <w:r>
        <w:rPr>
          <w:rFonts w:ascii="Arial" w:hAnsi="Arial" w:eastAsia="Arial" w:cs="Arial"/>
          <w:spacing w:val="19"/>
          <w:sz w:val="19"/>
          <w:szCs w:val="19"/>
        </w:rPr>
        <w:t xml:space="preserve"> </w:t>
      </w:r>
      <w:r>
        <w:rPr>
          <w:rFonts w:ascii="Arial" w:hAnsi="Arial" w:eastAsia="Arial" w:cs="Arial"/>
          <w:spacing w:val="-5"/>
          <w:sz w:val="19"/>
          <w:szCs w:val="19"/>
        </w:rPr>
        <w:t>the</w:t>
      </w:r>
      <w:r>
        <w:rPr>
          <w:rFonts w:ascii="Arial" w:hAnsi="Arial" w:eastAsia="Arial" w:cs="Arial"/>
          <w:spacing w:val="22"/>
          <w:sz w:val="19"/>
          <w:szCs w:val="19"/>
        </w:rPr>
        <w:t xml:space="preserve"> </w:t>
      </w:r>
      <w:r>
        <w:rPr>
          <w:rFonts w:ascii="Arial" w:hAnsi="Arial" w:eastAsia="Arial" w:cs="Arial"/>
          <w:spacing w:val="-5"/>
          <w:sz w:val="19"/>
          <w:szCs w:val="19"/>
        </w:rPr>
        <w:t>structura</w:t>
      </w:r>
      <w:r>
        <w:rPr>
          <w:rFonts w:ascii="Arial" w:hAnsi="Arial" w:eastAsia="Arial" w:cs="Arial"/>
          <w:spacing w:val="-6"/>
          <w:sz w:val="19"/>
          <w:szCs w:val="19"/>
        </w:rPr>
        <w:t>l-formal</w:t>
      </w:r>
      <w:r>
        <w:rPr>
          <w:rFonts w:ascii="Arial" w:hAnsi="Arial" w:eastAsia="Arial" w:cs="Arial"/>
          <w:spacing w:val="22"/>
          <w:w w:val="101"/>
          <w:sz w:val="19"/>
          <w:szCs w:val="19"/>
        </w:rPr>
        <w:t xml:space="preserve"> </w:t>
      </w:r>
      <w:r>
        <w:rPr>
          <w:rFonts w:ascii="Arial" w:hAnsi="Arial" w:eastAsia="Arial" w:cs="Arial"/>
          <w:spacing w:val="-6"/>
          <w:sz w:val="19"/>
          <w:szCs w:val="19"/>
        </w:rPr>
        <w:t>aspect</w:t>
      </w:r>
      <w:r>
        <w:rPr>
          <w:rFonts w:ascii="Arial" w:hAnsi="Arial" w:eastAsia="Arial" w:cs="Arial"/>
          <w:spacing w:val="23"/>
          <w:sz w:val="19"/>
          <w:szCs w:val="19"/>
        </w:rPr>
        <w:t xml:space="preserve"> </w:t>
      </w:r>
      <w:r>
        <w:rPr>
          <w:rFonts w:ascii="Arial" w:hAnsi="Arial" w:eastAsia="Arial" w:cs="Arial"/>
          <w:spacing w:val="-6"/>
          <w:sz w:val="19"/>
          <w:szCs w:val="19"/>
        </w:rPr>
        <w:t>of</w:t>
      </w:r>
      <w:r>
        <w:rPr>
          <w:rFonts w:ascii="Arial" w:hAnsi="Arial" w:eastAsia="Arial" w:cs="Arial"/>
          <w:spacing w:val="14"/>
          <w:w w:val="101"/>
          <w:sz w:val="19"/>
          <w:szCs w:val="19"/>
        </w:rPr>
        <w:t xml:space="preserve"> </w:t>
      </w:r>
      <w:r>
        <w:rPr>
          <w:rFonts w:ascii="Arial" w:hAnsi="Arial" w:eastAsia="Arial" w:cs="Arial"/>
          <w:spacing w:val="-6"/>
          <w:sz w:val="19"/>
          <w:szCs w:val="19"/>
        </w:rPr>
        <w:t>quality</w:t>
      </w:r>
      <w:r>
        <w:rPr>
          <w:rFonts w:ascii="Arial" w:hAnsi="Arial" w:eastAsia="Arial" w:cs="Arial"/>
          <w:spacing w:val="23"/>
          <w:sz w:val="19"/>
          <w:szCs w:val="19"/>
        </w:rPr>
        <w:t xml:space="preserve"> </w:t>
      </w:r>
      <w:r>
        <w:rPr>
          <w:rFonts w:ascii="Arial" w:hAnsi="Arial" w:eastAsia="Arial" w:cs="Arial"/>
          <w:spacing w:val="-6"/>
          <w:sz w:val="19"/>
          <w:szCs w:val="19"/>
        </w:rPr>
        <w:t>culture</w:t>
      </w:r>
      <w:r>
        <w:rPr>
          <w:rFonts w:ascii="Arial" w:hAnsi="Arial" w:eastAsia="Arial" w:cs="Arial"/>
          <w:spacing w:val="29"/>
          <w:sz w:val="19"/>
          <w:szCs w:val="19"/>
        </w:rPr>
        <w:t xml:space="preserve"> </w:t>
      </w:r>
      <w:r>
        <w:rPr>
          <w:rFonts w:ascii="Arial" w:hAnsi="Arial" w:eastAsia="Arial" w:cs="Arial"/>
          <w:spacing w:val="-6"/>
          <w:sz w:val="19"/>
          <w:szCs w:val="19"/>
        </w:rPr>
        <w:t>is</w:t>
      </w:r>
      <w:r>
        <w:rPr>
          <w:rFonts w:ascii="Arial" w:hAnsi="Arial" w:eastAsia="Arial" w:cs="Arial"/>
          <w:spacing w:val="28"/>
          <w:sz w:val="19"/>
          <w:szCs w:val="19"/>
        </w:rPr>
        <w:t xml:space="preserve"> </w:t>
      </w:r>
      <w:r>
        <w:rPr>
          <w:rFonts w:ascii="Arial" w:hAnsi="Arial" w:eastAsia="Arial" w:cs="Arial"/>
          <w:spacing w:val="-6"/>
          <w:sz w:val="19"/>
          <w:szCs w:val="19"/>
        </w:rPr>
        <w:t>manifested</w:t>
      </w:r>
      <w:r>
        <w:rPr>
          <w:rFonts w:ascii="Arial" w:hAnsi="Arial" w:eastAsia="Arial" w:cs="Arial"/>
          <w:spacing w:val="22"/>
          <w:w w:val="101"/>
          <w:sz w:val="19"/>
          <w:szCs w:val="19"/>
        </w:rPr>
        <w:t xml:space="preserve"> </w:t>
      </w:r>
      <w:r>
        <w:rPr>
          <w:rFonts w:ascii="Arial" w:hAnsi="Arial" w:eastAsia="Arial" w:cs="Arial"/>
          <w:spacing w:val="-6"/>
          <w:sz w:val="19"/>
          <w:szCs w:val="19"/>
        </w:rPr>
        <w:t>as</w:t>
      </w:r>
      <w:r>
        <w:rPr>
          <w:rFonts w:ascii="Arial" w:hAnsi="Arial" w:eastAsia="Arial" w:cs="Arial"/>
          <w:spacing w:val="22"/>
          <w:w w:val="101"/>
          <w:sz w:val="19"/>
          <w:szCs w:val="19"/>
        </w:rPr>
        <w:t xml:space="preserve"> </w:t>
      </w:r>
      <w:r>
        <w:rPr>
          <w:rFonts w:ascii="Arial" w:hAnsi="Arial" w:eastAsia="Arial" w:cs="Arial"/>
          <w:spacing w:val="-6"/>
          <w:sz w:val="19"/>
          <w:szCs w:val="19"/>
        </w:rPr>
        <w:t>a</w:t>
      </w:r>
      <w:r>
        <w:rPr>
          <w:rFonts w:ascii="Arial" w:hAnsi="Arial" w:eastAsia="Arial" w:cs="Arial"/>
          <w:spacing w:val="10"/>
          <w:sz w:val="19"/>
          <w:szCs w:val="19"/>
        </w:rPr>
        <w:t xml:space="preserve"> </w:t>
      </w:r>
      <w:r>
        <w:rPr>
          <w:rFonts w:ascii="Arial" w:hAnsi="Arial" w:eastAsia="Arial" w:cs="Arial"/>
          <w:spacing w:val="-6"/>
          <w:sz w:val="19"/>
          <w:szCs w:val="19"/>
        </w:rPr>
        <w:t>‘top-down’</w:t>
      </w:r>
      <w:r>
        <w:rPr>
          <w:rFonts w:ascii="Arial" w:hAnsi="Arial" w:eastAsia="Arial" w:cs="Arial"/>
          <w:spacing w:val="27"/>
          <w:sz w:val="19"/>
          <w:szCs w:val="19"/>
        </w:rPr>
        <w:t xml:space="preserve"> </w:t>
      </w:r>
      <w:r>
        <w:rPr>
          <w:rFonts w:ascii="Arial" w:hAnsi="Arial" w:eastAsia="Arial" w:cs="Arial"/>
          <w:spacing w:val="-6"/>
          <w:sz w:val="19"/>
          <w:szCs w:val="19"/>
        </w:rPr>
        <w:t>process</w:t>
      </w:r>
      <w:r>
        <w:rPr>
          <w:rFonts w:ascii="Arial" w:hAnsi="Arial" w:eastAsia="Arial" w:cs="Arial"/>
          <w:sz w:val="19"/>
          <w:szCs w:val="19"/>
        </w:rPr>
        <w:t xml:space="preserve"> </w:t>
      </w:r>
      <w:r>
        <w:rPr>
          <w:rFonts w:ascii="Arial" w:hAnsi="Arial" w:eastAsia="Arial" w:cs="Arial"/>
          <w:spacing w:val="-5"/>
          <w:sz w:val="19"/>
          <w:szCs w:val="19"/>
        </w:rPr>
        <w:t>since tools and mechanisms for measuring, evaluating, assu</w:t>
      </w:r>
      <w:r>
        <w:rPr>
          <w:rFonts w:ascii="Arial" w:hAnsi="Arial" w:eastAsia="Arial" w:cs="Arial"/>
          <w:spacing w:val="-6"/>
          <w:sz w:val="19"/>
          <w:szCs w:val="19"/>
        </w:rPr>
        <w:t>ring, and</w:t>
      </w:r>
      <w:r>
        <w:rPr>
          <w:rFonts w:ascii="Arial" w:hAnsi="Arial" w:eastAsia="Arial" w:cs="Arial"/>
          <w:spacing w:val="6"/>
          <w:sz w:val="19"/>
          <w:szCs w:val="19"/>
        </w:rPr>
        <w:t xml:space="preserve"> </w:t>
      </w:r>
      <w:r>
        <w:rPr>
          <w:rFonts w:ascii="Arial" w:hAnsi="Arial" w:eastAsia="Arial" w:cs="Arial"/>
          <w:spacing w:val="-6"/>
          <w:sz w:val="19"/>
          <w:szCs w:val="19"/>
        </w:rPr>
        <w:t>improving quality</w:t>
      </w:r>
      <w:r>
        <w:rPr>
          <w:rFonts w:ascii="Arial" w:hAnsi="Arial" w:eastAsia="Arial" w:cs="Arial"/>
          <w:spacing w:val="2"/>
          <w:sz w:val="19"/>
          <w:szCs w:val="19"/>
        </w:rPr>
        <w:t xml:space="preserve"> </w:t>
      </w:r>
      <w:r>
        <w:rPr>
          <w:rFonts w:ascii="Arial" w:hAnsi="Arial" w:eastAsia="Arial" w:cs="Arial"/>
          <w:spacing w:val="-6"/>
          <w:sz w:val="19"/>
          <w:szCs w:val="19"/>
        </w:rPr>
        <w:t>are</w:t>
      </w:r>
      <w:r>
        <w:rPr>
          <w:rFonts w:ascii="Arial" w:hAnsi="Arial" w:eastAsia="Arial" w:cs="Arial"/>
          <w:spacing w:val="1"/>
          <w:sz w:val="19"/>
          <w:szCs w:val="19"/>
        </w:rPr>
        <w:t xml:space="preserve"> </w:t>
      </w:r>
      <w:r>
        <w:rPr>
          <w:rFonts w:ascii="Arial" w:hAnsi="Arial" w:eastAsia="Arial" w:cs="Arial"/>
          <w:spacing w:val="-6"/>
          <w:sz w:val="19"/>
          <w:szCs w:val="19"/>
        </w:rPr>
        <w:t>generally</w:t>
      </w:r>
      <w:r>
        <w:rPr>
          <w:rFonts w:ascii="Arial" w:hAnsi="Arial" w:eastAsia="Arial" w:cs="Arial"/>
          <w:sz w:val="19"/>
          <w:szCs w:val="19"/>
        </w:rPr>
        <w:t xml:space="preserve"> </w:t>
      </w:r>
      <w:r>
        <w:rPr>
          <w:rFonts w:ascii="Arial" w:hAnsi="Arial" w:eastAsia="Arial" w:cs="Arial"/>
          <w:spacing w:val="-4"/>
          <w:sz w:val="19"/>
          <w:szCs w:val="19"/>
        </w:rPr>
        <w:t>deined</w:t>
      </w:r>
      <w:r>
        <w:rPr>
          <w:rFonts w:ascii="Arial" w:hAnsi="Arial" w:eastAsia="Arial" w:cs="Arial"/>
          <w:spacing w:val="22"/>
          <w:w w:val="101"/>
          <w:sz w:val="19"/>
          <w:szCs w:val="19"/>
        </w:rPr>
        <w:t xml:space="preserve"> </w:t>
      </w:r>
      <w:r>
        <w:rPr>
          <w:rFonts w:ascii="Arial" w:hAnsi="Arial" w:eastAsia="Arial" w:cs="Arial"/>
          <w:spacing w:val="-4"/>
          <w:sz w:val="19"/>
          <w:szCs w:val="19"/>
        </w:rPr>
        <w:t>and</w:t>
      </w:r>
      <w:r>
        <w:rPr>
          <w:rFonts w:ascii="Arial" w:hAnsi="Arial" w:eastAsia="Arial" w:cs="Arial"/>
          <w:spacing w:val="26"/>
          <w:sz w:val="19"/>
          <w:szCs w:val="19"/>
        </w:rPr>
        <w:t xml:space="preserve"> </w:t>
      </w:r>
      <w:r>
        <w:rPr>
          <w:rFonts w:ascii="Arial" w:hAnsi="Arial" w:eastAsia="Arial" w:cs="Arial"/>
          <w:spacing w:val="-4"/>
          <w:sz w:val="19"/>
          <w:szCs w:val="19"/>
        </w:rPr>
        <w:t>implemented</w:t>
      </w:r>
      <w:r>
        <w:rPr>
          <w:rFonts w:ascii="Arial" w:hAnsi="Arial" w:eastAsia="Arial" w:cs="Arial"/>
          <w:spacing w:val="29"/>
          <w:sz w:val="19"/>
          <w:szCs w:val="19"/>
        </w:rPr>
        <w:t xml:space="preserve"> </w:t>
      </w:r>
      <w:r>
        <w:rPr>
          <w:rFonts w:ascii="Arial" w:hAnsi="Arial" w:eastAsia="Arial" w:cs="Arial"/>
          <w:spacing w:val="-4"/>
          <w:sz w:val="19"/>
          <w:szCs w:val="19"/>
        </w:rPr>
        <w:t>by</w:t>
      </w:r>
      <w:r>
        <w:rPr>
          <w:rFonts w:ascii="Arial" w:hAnsi="Arial" w:eastAsia="Arial" w:cs="Arial"/>
          <w:spacing w:val="18"/>
          <w:sz w:val="19"/>
          <w:szCs w:val="19"/>
        </w:rPr>
        <w:t xml:space="preserve"> </w:t>
      </w:r>
      <w:r>
        <w:rPr>
          <w:rFonts w:ascii="Arial" w:hAnsi="Arial" w:eastAsia="Arial" w:cs="Arial"/>
          <w:spacing w:val="-4"/>
          <w:sz w:val="19"/>
          <w:szCs w:val="19"/>
        </w:rPr>
        <w:t>the</w:t>
      </w:r>
      <w:r>
        <w:rPr>
          <w:rFonts w:ascii="Arial" w:hAnsi="Arial" w:eastAsia="Arial" w:cs="Arial"/>
          <w:spacing w:val="28"/>
          <w:sz w:val="19"/>
          <w:szCs w:val="19"/>
        </w:rPr>
        <w:t xml:space="preserve"> </w:t>
      </w:r>
      <w:r>
        <w:rPr>
          <w:rFonts w:ascii="Arial" w:hAnsi="Arial" w:eastAsia="Arial" w:cs="Arial"/>
          <w:spacing w:val="-4"/>
          <w:sz w:val="19"/>
          <w:szCs w:val="19"/>
        </w:rPr>
        <w:t>management</w:t>
      </w:r>
      <w:r>
        <w:rPr>
          <w:rFonts w:ascii="Arial" w:hAnsi="Arial" w:eastAsia="Arial" w:cs="Arial"/>
          <w:spacing w:val="29"/>
          <w:sz w:val="19"/>
          <w:szCs w:val="19"/>
        </w:rPr>
        <w:t xml:space="preserve"> </w:t>
      </w:r>
      <w:r>
        <w:rPr>
          <w:rFonts w:ascii="Arial" w:hAnsi="Arial" w:eastAsia="Arial" w:cs="Arial"/>
          <w:spacing w:val="-4"/>
          <w:sz w:val="19"/>
          <w:szCs w:val="19"/>
        </w:rPr>
        <w:t>level.</w:t>
      </w:r>
      <w:r>
        <w:rPr>
          <w:rFonts w:ascii="Arial" w:hAnsi="Arial" w:eastAsia="Arial" w:cs="Arial"/>
          <w:spacing w:val="29"/>
          <w:sz w:val="19"/>
          <w:szCs w:val="19"/>
        </w:rPr>
        <w:t xml:space="preserve"> </w:t>
      </w:r>
      <w:r>
        <w:rPr>
          <w:rFonts w:ascii="Arial" w:hAnsi="Arial" w:eastAsia="Arial" w:cs="Arial"/>
          <w:spacing w:val="-4"/>
          <w:sz w:val="19"/>
          <w:szCs w:val="19"/>
        </w:rPr>
        <w:t>In</w:t>
      </w:r>
      <w:r>
        <w:rPr>
          <w:rFonts w:ascii="Arial" w:hAnsi="Arial" w:eastAsia="Arial" w:cs="Arial"/>
          <w:spacing w:val="22"/>
          <w:w w:val="101"/>
          <w:sz w:val="19"/>
          <w:szCs w:val="19"/>
        </w:rPr>
        <w:t xml:space="preserve"> </w:t>
      </w:r>
      <w:r>
        <w:rPr>
          <w:rFonts w:ascii="Arial" w:hAnsi="Arial" w:eastAsia="Arial" w:cs="Arial"/>
          <w:spacing w:val="-4"/>
          <w:sz w:val="19"/>
          <w:szCs w:val="19"/>
        </w:rPr>
        <w:t>contra</w:t>
      </w:r>
      <w:r>
        <w:rPr>
          <w:rFonts w:ascii="Arial" w:hAnsi="Arial" w:eastAsia="Arial" w:cs="Arial"/>
          <w:spacing w:val="-5"/>
          <w:sz w:val="19"/>
          <w:szCs w:val="19"/>
        </w:rPr>
        <w:t>st,</w:t>
      </w:r>
      <w:r>
        <w:rPr>
          <w:rFonts w:ascii="Arial" w:hAnsi="Arial" w:eastAsia="Arial" w:cs="Arial"/>
          <w:spacing w:val="19"/>
          <w:w w:val="101"/>
          <w:sz w:val="19"/>
          <w:szCs w:val="19"/>
        </w:rPr>
        <w:t xml:space="preserve"> </w:t>
      </w:r>
      <w:r>
        <w:rPr>
          <w:rFonts w:ascii="Arial" w:hAnsi="Arial" w:eastAsia="Arial" w:cs="Arial"/>
          <w:spacing w:val="-5"/>
          <w:sz w:val="19"/>
          <w:szCs w:val="19"/>
        </w:rPr>
        <w:t>the</w:t>
      </w:r>
      <w:r>
        <w:rPr>
          <w:rFonts w:ascii="Arial" w:hAnsi="Arial" w:eastAsia="Arial" w:cs="Arial"/>
          <w:spacing w:val="22"/>
          <w:sz w:val="19"/>
          <w:szCs w:val="19"/>
        </w:rPr>
        <w:t xml:space="preserve"> </w:t>
      </w:r>
      <w:r>
        <w:rPr>
          <w:rFonts w:ascii="Arial" w:hAnsi="Arial" w:eastAsia="Arial" w:cs="Arial"/>
          <w:spacing w:val="-5"/>
          <w:sz w:val="19"/>
          <w:szCs w:val="19"/>
        </w:rPr>
        <w:t>organizational-psychological</w:t>
      </w:r>
      <w:r>
        <w:rPr>
          <w:rFonts w:ascii="Arial" w:hAnsi="Arial" w:eastAsia="Arial" w:cs="Arial"/>
          <w:sz w:val="19"/>
          <w:szCs w:val="19"/>
        </w:rPr>
        <w:t xml:space="preserve"> </w:t>
      </w:r>
      <w:r>
        <w:rPr>
          <w:rFonts w:ascii="Arial" w:hAnsi="Arial" w:eastAsia="Arial" w:cs="Arial"/>
          <w:spacing w:val="-6"/>
          <w:sz w:val="19"/>
          <w:szCs w:val="19"/>
        </w:rPr>
        <w:t>level</w:t>
      </w:r>
      <w:r>
        <w:rPr>
          <w:rFonts w:ascii="Arial" w:hAnsi="Arial" w:eastAsia="Arial" w:cs="Arial"/>
          <w:spacing w:val="34"/>
          <w:sz w:val="19"/>
          <w:szCs w:val="19"/>
        </w:rPr>
        <w:t xml:space="preserve"> </w:t>
      </w:r>
      <w:r>
        <w:rPr>
          <w:rFonts w:ascii="Arial" w:hAnsi="Arial" w:eastAsia="Arial" w:cs="Arial"/>
          <w:spacing w:val="-6"/>
          <w:sz w:val="19"/>
          <w:szCs w:val="19"/>
        </w:rPr>
        <w:t>is</w:t>
      </w:r>
      <w:r>
        <w:rPr>
          <w:rFonts w:ascii="Arial" w:hAnsi="Arial" w:eastAsia="Arial" w:cs="Arial"/>
          <w:spacing w:val="23"/>
          <w:w w:val="101"/>
          <w:sz w:val="19"/>
          <w:szCs w:val="19"/>
        </w:rPr>
        <w:t xml:space="preserve"> </w:t>
      </w:r>
      <w:r>
        <w:rPr>
          <w:rFonts w:ascii="Arial" w:hAnsi="Arial" w:eastAsia="Arial" w:cs="Arial"/>
          <w:spacing w:val="-6"/>
          <w:sz w:val="19"/>
          <w:szCs w:val="19"/>
        </w:rPr>
        <w:t>understood</w:t>
      </w:r>
      <w:r>
        <w:rPr>
          <w:rFonts w:ascii="Arial" w:hAnsi="Arial" w:eastAsia="Arial" w:cs="Arial"/>
          <w:spacing w:val="19"/>
          <w:sz w:val="19"/>
          <w:szCs w:val="19"/>
        </w:rPr>
        <w:t xml:space="preserve"> </w:t>
      </w:r>
      <w:r>
        <w:rPr>
          <w:rFonts w:ascii="Arial" w:hAnsi="Arial" w:eastAsia="Arial" w:cs="Arial"/>
          <w:spacing w:val="-6"/>
          <w:sz w:val="19"/>
          <w:szCs w:val="19"/>
        </w:rPr>
        <w:t>as</w:t>
      </w:r>
      <w:r>
        <w:rPr>
          <w:rFonts w:ascii="Arial" w:hAnsi="Arial" w:eastAsia="Arial" w:cs="Arial"/>
          <w:spacing w:val="17"/>
          <w:sz w:val="19"/>
          <w:szCs w:val="19"/>
        </w:rPr>
        <w:t xml:space="preserve"> </w:t>
      </w:r>
      <w:r>
        <w:rPr>
          <w:rFonts w:ascii="Arial" w:hAnsi="Arial" w:eastAsia="Arial" w:cs="Arial"/>
          <w:spacing w:val="-6"/>
          <w:sz w:val="19"/>
          <w:szCs w:val="19"/>
        </w:rPr>
        <w:t>a ‘bottom-up’</w:t>
      </w:r>
      <w:r>
        <w:rPr>
          <w:rFonts w:ascii="Arial" w:hAnsi="Arial" w:eastAsia="Arial" w:cs="Arial"/>
          <w:spacing w:val="22"/>
          <w:w w:val="101"/>
          <w:sz w:val="19"/>
          <w:szCs w:val="19"/>
        </w:rPr>
        <w:t xml:space="preserve"> </w:t>
      </w:r>
      <w:r>
        <w:rPr>
          <w:rFonts w:ascii="Arial" w:hAnsi="Arial" w:eastAsia="Arial" w:cs="Arial"/>
          <w:spacing w:val="-6"/>
          <w:sz w:val="19"/>
          <w:szCs w:val="19"/>
        </w:rPr>
        <w:t>process,</w:t>
      </w:r>
      <w:r>
        <w:rPr>
          <w:rFonts w:ascii="Arial" w:hAnsi="Arial" w:eastAsia="Arial" w:cs="Arial"/>
          <w:spacing w:val="17"/>
          <w:w w:val="101"/>
          <w:sz w:val="19"/>
          <w:szCs w:val="19"/>
        </w:rPr>
        <w:t xml:space="preserve"> </w:t>
      </w:r>
      <w:r>
        <w:rPr>
          <w:rFonts w:ascii="Arial" w:hAnsi="Arial" w:eastAsia="Arial" w:cs="Arial"/>
          <w:spacing w:val="-6"/>
          <w:sz w:val="19"/>
          <w:szCs w:val="19"/>
        </w:rPr>
        <w:t>emphasizing</w:t>
      </w:r>
      <w:r>
        <w:rPr>
          <w:rFonts w:ascii="Arial" w:hAnsi="Arial" w:eastAsia="Arial" w:cs="Arial"/>
          <w:spacing w:val="12"/>
          <w:sz w:val="19"/>
          <w:szCs w:val="19"/>
        </w:rPr>
        <w:t xml:space="preserve"> </w:t>
      </w:r>
      <w:r>
        <w:rPr>
          <w:rFonts w:ascii="Arial" w:hAnsi="Arial" w:eastAsia="Arial" w:cs="Arial"/>
          <w:spacing w:val="-6"/>
          <w:sz w:val="19"/>
          <w:szCs w:val="19"/>
        </w:rPr>
        <w:t>the</w:t>
      </w:r>
      <w:r>
        <w:rPr>
          <w:rFonts w:ascii="Arial" w:hAnsi="Arial" w:eastAsia="Arial" w:cs="Arial"/>
          <w:spacing w:val="18"/>
          <w:sz w:val="19"/>
          <w:szCs w:val="19"/>
        </w:rPr>
        <w:t xml:space="preserve"> </w:t>
      </w:r>
      <w:r>
        <w:rPr>
          <w:rFonts w:ascii="Arial" w:hAnsi="Arial" w:eastAsia="Arial" w:cs="Arial"/>
          <w:spacing w:val="-6"/>
          <w:sz w:val="19"/>
          <w:szCs w:val="19"/>
        </w:rPr>
        <w:t>signiicance</w:t>
      </w:r>
      <w:r>
        <w:rPr>
          <w:rFonts w:ascii="Arial" w:hAnsi="Arial" w:eastAsia="Arial" w:cs="Arial"/>
          <w:spacing w:val="17"/>
          <w:sz w:val="19"/>
          <w:szCs w:val="19"/>
        </w:rPr>
        <w:t xml:space="preserve"> </w:t>
      </w:r>
      <w:r>
        <w:rPr>
          <w:rFonts w:ascii="Arial" w:hAnsi="Arial" w:eastAsia="Arial" w:cs="Arial"/>
          <w:spacing w:val="-6"/>
          <w:sz w:val="19"/>
          <w:szCs w:val="19"/>
        </w:rPr>
        <w:t>of each</w:t>
      </w:r>
      <w:r>
        <w:rPr>
          <w:rFonts w:ascii="Arial" w:hAnsi="Arial" w:eastAsia="Arial" w:cs="Arial"/>
          <w:spacing w:val="26"/>
          <w:sz w:val="19"/>
          <w:szCs w:val="19"/>
        </w:rPr>
        <w:t xml:space="preserve"> </w:t>
      </w:r>
      <w:r>
        <w:rPr>
          <w:rFonts w:ascii="Arial" w:hAnsi="Arial" w:eastAsia="Arial" w:cs="Arial"/>
          <w:spacing w:val="-6"/>
          <w:sz w:val="19"/>
          <w:szCs w:val="19"/>
        </w:rPr>
        <w:t>HEI</w:t>
      </w:r>
      <w:r>
        <w:rPr>
          <w:rFonts w:ascii="Arial" w:hAnsi="Arial" w:eastAsia="Arial" w:cs="Arial"/>
          <w:spacing w:val="23"/>
          <w:w w:val="101"/>
          <w:sz w:val="19"/>
          <w:szCs w:val="19"/>
        </w:rPr>
        <w:t xml:space="preserve"> </w:t>
      </w:r>
      <w:r>
        <w:rPr>
          <w:rFonts w:ascii="Arial" w:hAnsi="Arial" w:eastAsia="Arial" w:cs="Arial"/>
          <w:spacing w:val="-6"/>
          <w:sz w:val="19"/>
          <w:szCs w:val="19"/>
        </w:rPr>
        <w:t>member</w:t>
      </w:r>
      <w:r>
        <w:rPr>
          <w:rFonts w:ascii="Arial" w:hAnsi="Arial" w:eastAsia="Arial" w:cs="Arial"/>
          <w:spacing w:val="22"/>
          <w:w w:val="101"/>
          <w:sz w:val="19"/>
          <w:szCs w:val="19"/>
        </w:rPr>
        <w:t xml:space="preserve"> </w:t>
      </w:r>
      <w:r>
        <w:rPr>
          <w:rFonts w:ascii="Arial" w:hAnsi="Arial" w:eastAsia="Arial" w:cs="Arial"/>
          <w:spacing w:val="-6"/>
          <w:sz w:val="19"/>
          <w:szCs w:val="19"/>
        </w:rPr>
        <w:t>in</w:t>
      </w:r>
      <w:r>
        <w:rPr>
          <w:rFonts w:ascii="Arial" w:hAnsi="Arial" w:eastAsia="Arial" w:cs="Arial"/>
          <w:sz w:val="19"/>
          <w:szCs w:val="19"/>
        </w:rPr>
        <w:t xml:space="preserve"> </w:t>
      </w:r>
      <w:r>
        <w:rPr>
          <w:rFonts w:ascii="Arial" w:hAnsi="Arial" w:eastAsia="Arial" w:cs="Arial"/>
          <w:spacing w:val="-4"/>
          <w:sz w:val="19"/>
          <w:szCs w:val="19"/>
        </w:rPr>
        <w:t>actually  putting  a  culture  of</w:t>
      </w:r>
      <w:r>
        <w:rPr>
          <w:rFonts w:ascii="Arial" w:hAnsi="Arial" w:eastAsia="Arial" w:cs="Arial"/>
          <w:spacing w:val="39"/>
          <w:sz w:val="19"/>
          <w:szCs w:val="19"/>
        </w:rPr>
        <w:t xml:space="preserve"> </w:t>
      </w:r>
      <w:r>
        <w:rPr>
          <w:rFonts w:ascii="Arial" w:hAnsi="Arial" w:eastAsia="Arial" w:cs="Arial"/>
          <w:spacing w:val="-4"/>
          <w:sz w:val="19"/>
          <w:szCs w:val="19"/>
        </w:rPr>
        <w:t>quality  into  efect.  Finally,  the  EUA  assumes  that  the  t</w:t>
      </w:r>
      <w:r>
        <w:rPr>
          <w:rFonts w:ascii="Arial" w:hAnsi="Arial" w:eastAsia="Arial" w:cs="Arial"/>
          <w:spacing w:val="-5"/>
          <w:sz w:val="19"/>
          <w:szCs w:val="19"/>
        </w:rPr>
        <w:t>wo  quality</w:t>
      </w:r>
      <w:r>
        <w:rPr>
          <w:rFonts w:ascii="Arial" w:hAnsi="Arial" w:eastAsia="Arial" w:cs="Arial"/>
          <w:sz w:val="19"/>
          <w:szCs w:val="19"/>
        </w:rPr>
        <w:t xml:space="preserve"> </w:t>
      </w:r>
      <w:r>
        <w:rPr>
          <w:rFonts w:ascii="Arial" w:hAnsi="Arial" w:eastAsia="Arial" w:cs="Arial"/>
          <w:spacing w:val="-4"/>
          <w:sz w:val="19"/>
          <w:szCs w:val="19"/>
        </w:rPr>
        <w:t>culture</w:t>
      </w:r>
      <w:r>
        <w:rPr>
          <w:rFonts w:ascii="Arial" w:hAnsi="Arial" w:eastAsia="Arial" w:cs="Arial"/>
          <w:spacing w:val="14"/>
          <w:w w:val="101"/>
          <w:sz w:val="19"/>
          <w:szCs w:val="19"/>
        </w:rPr>
        <w:t xml:space="preserve"> </w:t>
      </w:r>
      <w:r>
        <w:rPr>
          <w:rFonts w:ascii="Arial" w:hAnsi="Arial" w:eastAsia="Arial" w:cs="Arial"/>
          <w:spacing w:val="-4"/>
          <w:sz w:val="19"/>
          <w:szCs w:val="19"/>
        </w:rPr>
        <w:t>elements</w:t>
      </w:r>
      <w:r>
        <w:rPr>
          <w:rFonts w:ascii="Arial" w:hAnsi="Arial" w:eastAsia="Arial" w:cs="Arial"/>
          <w:spacing w:val="13"/>
          <w:sz w:val="19"/>
          <w:szCs w:val="19"/>
        </w:rPr>
        <w:t xml:space="preserve"> </w:t>
      </w:r>
      <w:r>
        <w:rPr>
          <w:rFonts w:ascii="Arial" w:hAnsi="Arial" w:eastAsia="Arial" w:cs="Arial"/>
          <w:spacing w:val="-4"/>
          <w:sz w:val="19"/>
          <w:szCs w:val="19"/>
        </w:rPr>
        <w:t>do</w:t>
      </w:r>
      <w:r>
        <w:rPr>
          <w:rFonts w:ascii="Arial" w:hAnsi="Arial" w:eastAsia="Arial" w:cs="Arial"/>
          <w:spacing w:val="18"/>
          <w:w w:val="101"/>
          <w:sz w:val="19"/>
          <w:szCs w:val="19"/>
        </w:rPr>
        <w:t xml:space="preserve"> </w:t>
      </w:r>
      <w:r>
        <w:rPr>
          <w:rFonts w:ascii="Arial" w:hAnsi="Arial" w:eastAsia="Arial" w:cs="Arial"/>
          <w:spacing w:val="-4"/>
          <w:sz w:val="19"/>
          <w:szCs w:val="19"/>
        </w:rPr>
        <w:t>not</w:t>
      </w:r>
      <w:r>
        <w:rPr>
          <w:rFonts w:ascii="Arial" w:hAnsi="Arial" w:eastAsia="Arial" w:cs="Arial"/>
          <w:spacing w:val="13"/>
          <w:sz w:val="19"/>
          <w:szCs w:val="19"/>
        </w:rPr>
        <w:t xml:space="preserve"> </w:t>
      </w:r>
      <w:r>
        <w:rPr>
          <w:rFonts w:ascii="Arial" w:hAnsi="Arial" w:eastAsia="Arial" w:cs="Arial"/>
          <w:spacing w:val="-4"/>
          <w:sz w:val="19"/>
          <w:szCs w:val="19"/>
        </w:rPr>
        <w:t>exist</w:t>
      </w:r>
      <w:r>
        <w:rPr>
          <w:rFonts w:ascii="Arial" w:hAnsi="Arial" w:eastAsia="Arial" w:cs="Arial"/>
          <w:spacing w:val="12"/>
          <w:sz w:val="19"/>
          <w:szCs w:val="19"/>
        </w:rPr>
        <w:t xml:space="preserve"> </w:t>
      </w:r>
      <w:r>
        <w:rPr>
          <w:rFonts w:ascii="Arial" w:hAnsi="Arial" w:eastAsia="Arial" w:cs="Arial"/>
          <w:spacing w:val="-4"/>
          <w:sz w:val="19"/>
          <w:szCs w:val="19"/>
        </w:rPr>
        <w:t>separately,</w:t>
      </w:r>
      <w:r>
        <w:rPr>
          <w:rFonts w:ascii="Arial" w:hAnsi="Arial" w:eastAsia="Arial" w:cs="Arial"/>
          <w:spacing w:val="20"/>
          <w:sz w:val="19"/>
          <w:szCs w:val="19"/>
        </w:rPr>
        <w:t xml:space="preserve"> </w:t>
      </w:r>
      <w:r>
        <w:rPr>
          <w:rFonts w:ascii="Arial" w:hAnsi="Arial" w:eastAsia="Arial" w:cs="Arial"/>
          <w:spacing w:val="-4"/>
          <w:sz w:val="19"/>
          <w:szCs w:val="19"/>
        </w:rPr>
        <w:t>but</w:t>
      </w:r>
      <w:r>
        <w:rPr>
          <w:rFonts w:ascii="Arial" w:hAnsi="Arial" w:eastAsia="Arial" w:cs="Arial"/>
          <w:spacing w:val="12"/>
          <w:sz w:val="19"/>
          <w:szCs w:val="19"/>
        </w:rPr>
        <w:t xml:space="preserve"> </w:t>
      </w:r>
      <w:r>
        <w:rPr>
          <w:rFonts w:ascii="Arial" w:hAnsi="Arial" w:eastAsia="Arial" w:cs="Arial"/>
          <w:spacing w:val="-4"/>
          <w:sz w:val="19"/>
          <w:szCs w:val="19"/>
        </w:rPr>
        <w:t>a</w:t>
      </w:r>
      <w:r>
        <w:rPr>
          <w:rFonts w:ascii="Arial" w:hAnsi="Arial" w:eastAsia="Arial" w:cs="Arial"/>
          <w:spacing w:val="-5"/>
          <w:sz w:val="19"/>
          <w:szCs w:val="19"/>
        </w:rPr>
        <w:t>re</w:t>
      </w:r>
      <w:r>
        <w:rPr>
          <w:rFonts w:ascii="Arial" w:hAnsi="Arial" w:eastAsia="Arial" w:cs="Arial"/>
          <w:spacing w:val="13"/>
          <w:w w:val="101"/>
          <w:sz w:val="19"/>
          <w:szCs w:val="19"/>
        </w:rPr>
        <w:t xml:space="preserve"> </w:t>
      </w:r>
      <w:r>
        <w:rPr>
          <w:rFonts w:ascii="Arial" w:hAnsi="Arial" w:eastAsia="Arial" w:cs="Arial"/>
          <w:spacing w:val="-5"/>
          <w:sz w:val="19"/>
          <w:szCs w:val="19"/>
        </w:rPr>
        <w:t>connected through</w:t>
      </w:r>
      <w:r>
        <w:rPr>
          <w:rFonts w:ascii="Arial" w:hAnsi="Arial" w:eastAsia="Arial" w:cs="Arial"/>
          <w:spacing w:val="12"/>
          <w:sz w:val="19"/>
          <w:szCs w:val="19"/>
        </w:rPr>
        <w:t xml:space="preserve"> </w:t>
      </w:r>
      <w:r>
        <w:rPr>
          <w:rFonts w:ascii="Arial" w:hAnsi="Arial" w:eastAsia="Arial" w:cs="Arial"/>
          <w:spacing w:val="-5"/>
          <w:sz w:val="19"/>
          <w:szCs w:val="19"/>
        </w:rPr>
        <w:t>communication,</w:t>
      </w:r>
      <w:r>
        <w:rPr>
          <w:rFonts w:ascii="Arial" w:hAnsi="Arial" w:eastAsia="Arial" w:cs="Arial"/>
          <w:spacing w:val="19"/>
          <w:sz w:val="19"/>
          <w:szCs w:val="19"/>
        </w:rPr>
        <w:t xml:space="preserve"> </w:t>
      </w:r>
      <w:r>
        <w:rPr>
          <w:rFonts w:ascii="Arial" w:hAnsi="Arial" w:eastAsia="Arial" w:cs="Arial"/>
          <w:spacing w:val="-5"/>
          <w:sz w:val="19"/>
          <w:szCs w:val="19"/>
        </w:rPr>
        <w:t>participation,</w:t>
      </w:r>
      <w:r>
        <w:rPr>
          <w:rFonts w:ascii="Arial" w:hAnsi="Arial" w:eastAsia="Arial" w:cs="Arial"/>
          <w:sz w:val="19"/>
          <w:szCs w:val="19"/>
        </w:rPr>
        <w:t xml:space="preserve"> </w:t>
      </w:r>
      <w:r>
        <w:rPr>
          <w:rFonts w:ascii="Arial" w:hAnsi="Arial" w:eastAsia="Arial" w:cs="Arial"/>
          <w:spacing w:val="-3"/>
          <w:sz w:val="19"/>
          <w:szCs w:val="19"/>
        </w:rPr>
        <w:t>and trust, which facilitate the</w:t>
      </w:r>
      <w:r>
        <w:rPr>
          <w:rFonts w:ascii="Arial" w:hAnsi="Arial" w:eastAsia="Arial" w:cs="Arial"/>
          <w:spacing w:val="18"/>
          <w:sz w:val="19"/>
          <w:szCs w:val="19"/>
        </w:rPr>
        <w:t xml:space="preserve"> </w:t>
      </w:r>
      <w:r>
        <w:rPr>
          <w:rFonts w:ascii="Arial" w:hAnsi="Arial" w:eastAsia="Arial" w:cs="Arial"/>
          <w:spacing w:val="-3"/>
          <w:sz w:val="19"/>
          <w:szCs w:val="19"/>
        </w:rPr>
        <w:t>bottom-up</w:t>
      </w:r>
      <w:r>
        <w:rPr>
          <w:rFonts w:ascii="Arial" w:hAnsi="Arial" w:eastAsia="Arial" w:cs="Arial"/>
          <w:spacing w:val="18"/>
          <w:sz w:val="19"/>
          <w:szCs w:val="19"/>
        </w:rPr>
        <w:t xml:space="preserve"> </w:t>
      </w:r>
      <w:r>
        <w:rPr>
          <w:rFonts w:ascii="Arial" w:hAnsi="Arial" w:eastAsia="Arial" w:cs="Arial"/>
          <w:spacing w:val="-3"/>
          <w:sz w:val="19"/>
          <w:szCs w:val="19"/>
        </w:rPr>
        <w:t>pro</w:t>
      </w:r>
      <w:r>
        <w:rPr>
          <w:rFonts w:ascii="Arial" w:hAnsi="Arial" w:eastAsia="Arial" w:cs="Arial"/>
          <w:spacing w:val="-4"/>
          <w:sz w:val="19"/>
          <w:szCs w:val="19"/>
        </w:rPr>
        <w:t>cess</w:t>
      </w:r>
      <w:r>
        <w:rPr>
          <w:rFonts w:ascii="Arial" w:hAnsi="Arial" w:eastAsia="Arial" w:cs="Arial"/>
          <w:spacing w:val="11"/>
          <w:sz w:val="19"/>
          <w:szCs w:val="19"/>
        </w:rPr>
        <w:t xml:space="preserve"> </w:t>
      </w:r>
      <w:r>
        <w:rPr>
          <w:rFonts w:ascii="Arial" w:hAnsi="Arial" w:eastAsia="Arial" w:cs="Arial"/>
          <w:spacing w:val="-4"/>
          <w:sz w:val="19"/>
          <w:szCs w:val="19"/>
        </w:rPr>
        <w:t>of quality</w:t>
      </w:r>
      <w:r>
        <w:rPr>
          <w:rFonts w:ascii="Arial" w:hAnsi="Arial" w:eastAsia="Arial" w:cs="Arial"/>
          <w:spacing w:val="14"/>
          <w:sz w:val="19"/>
          <w:szCs w:val="19"/>
        </w:rPr>
        <w:t xml:space="preserve"> </w:t>
      </w:r>
      <w:r>
        <w:rPr>
          <w:rFonts w:ascii="Arial" w:hAnsi="Arial" w:eastAsia="Arial" w:cs="Arial"/>
          <w:spacing w:val="-4"/>
          <w:sz w:val="19"/>
          <w:szCs w:val="19"/>
        </w:rPr>
        <w:t>culture</w:t>
      </w:r>
      <w:r>
        <w:rPr>
          <w:rFonts w:ascii="Arial" w:hAnsi="Arial" w:eastAsia="Arial" w:cs="Arial"/>
          <w:spacing w:val="12"/>
          <w:sz w:val="19"/>
          <w:szCs w:val="19"/>
        </w:rPr>
        <w:t xml:space="preserve"> </w:t>
      </w:r>
      <w:r>
        <w:rPr>
          <w:rFonts w:ascii="Arial" w:hAnsi="Arial" w:eastAsia="Arial" w:cs="Arial"/>
          <w:spacing w:val="-4"/>
          <w:sz w:val="19"/>
          <w:szCs w:val="19"/>
        </w:rPr>
        <w:t>development</w:t>
      </w:r>
      <w:r>
        <w:rPr>
          <w:rFonts w:ascii="Arial" w:hAnsi="Arial" w:eastAsia="Arial" w:cs="Arial"/>
          <w:spacing w:val="18"/>
          <w:sz w:val="19"/>
          <w:szCs w:val="19"/>
        </w:rPr>
        <w:t xml:space="preserve"> </w:t>
      </w:r>
      <w:r>
        <w:rPr>
          <w:rFonts w:ascii="Arial" w:hAnsi="Arial" w:eastAsia="Arial" w:cs="Arial"/>
          <w:spacing w:val="-4"/>
          <w:sz w:val="19"/>
          <w:szCs w:val="19"/>
        </w:rPr>
        <w:t>(for</w:t>
      </w:r>
      <w:r>
        <w:rPr>
          <w:rFonts w:ascii="Arial" w:hAnsi="Arial" w:eastAsia="Arial" w:cs="Arial"/>
          <w:spacing w:val="11"/>
          <w:sz w:val="19"/>
          <w:szCs w:val="19"/>
        </w:rPr>
        <w:t xml:space="preserve"> </w:t>
      </w:r>
      <w:r>
        <w:rPr>
          <w:rFonts w:ascii="Arial" w:hAnsi="Arial" w:eastAsia="Arial" w:cs="Arial"/>
          <w:spacing w:val="-4"/>
          <w:sz w:val="19"/>
          <w:szCs w:val="19"/>
        </w:rPr>
        <w:t>a</w:t>
      </w:r>
      <w:r>
        <w:rPr>
          <w:rFonts w:ascii="Arial" w:hAnsi="Arial" w:eastAsia="Arial" w:cs="Arial"/>
          <w:spacing w:val="12"/>
          <w:sz w:val="19"/>
          <w:szCs w:val="19"/>
        </w:rPr>
        <w:t xml:space="preserve"> </w:t>
      </w:r>
      <w:r>
        <w:rPr>
          <w:rFonts w:ascii="Arial" w:hAnsi="Arial" w:eastAsia="Arial" w:cs="Arial"/>
          <w:spacing w:val="-4"/>
          <w:sz w:val="19"/>
          <w:szCs w:val="19"/>
        </w:rPr>
        <w:t>comparable</w:t>
      </w:r>
      <w:r>
        <w:rPr>
          <w:rFonts w:ascii="Arial" w:hAnsi="Arial" w:eastAsia="Arial" w:cs="Arial"/>
          <w:sz w:val="19"/>
          <w:szCs w:val="19"/>
        </w:rPr>
        <w:t xml:space="preserve"> </w:t>
      </w:r>
      <w:r>
        <w:rPr>
          <w:rFonts w:ascii="Arial" w:hAnsi="Arial" w:eastAsia="Arial" w:cs="Arial"/>
          <w:spacing w:val="-8"/>
          <w:sz w:val="19"/>
          <w:szCs w:val="19"/>
        </w:rPr>
        <w:t>approach,</w:t>
      </w:r>
      <w:r>
        <w:rPr>
          <w:rFonts w:ascii="Arial" w:hAnsi="Arial" w:eastAsia="Arial" w:cs="Arial"/>
          <w:spacing w:val="38"/>
          <w:sz w:val="19"/>
          <w:szCs w:val="19"/>
        </w:rPr>
        <w:t xml:space="preserve"> </w:t>
      </w:r>
      <w:r>
        <w:rPr>
          <w:rFonts w:ascii="Arial" w:hAnsi="Arial" w:eastAsia="Arial" w:cs="Arial"/>
          <w:spacing w:val="-8"/>
          <w:sz w:val="19"/>
          <w:szCs w:val="19"/>
        </w:rPr>
        <w:t>see</w:t>
      </w:r>
      <w:r>
        <w:rPr>
          <w:rFonts w:ascii="Arial" w:hAnsi="Arial" w:eastAsia="Arial" w:cs="Arial"/>
          <w:spacing w:val="32"/>
          <w:w w:val="101"/>
          <w:sz w:val="19"/>
          <w:szCs w:val="19"/>
        </w:rPr>
        <w:t xml:space="preserve"> </w:t>
      </w:r>
      <w:r>
        <w:rPr>
          <w:rFonts w:ascii="Arial" w:hAnsi="Arial" w:eastAsia="Arial" w:cs="Arial"/>
          <w:spacing w:val="-8"/>
          <w:sz w:val="19"/>
          <w:szCs w:val="19"/>
        </w:rPr>
        <w:t>Ehlers</w:t>
      </w:r>
      <w:r>
        <w:rPr>
          <w:rFonts w:ascii="Arial" w:hAnsi="Arial" w:eastAsia="Arial" w:cs="Arial"/>
          <w:spacing w:val="18"/>
          <w:sz w:val="19"/>
          <w:szCs w:val="19"/>
        </w:rPr>
        <w:t xml:space="preserve"> </w:t>
      </w:r>
      <w:r>
        <w:fldChar w:fldCharType="begin"/>
      </w:r>
      <w:r>
        <w:instrText xml:space="preserve"> HYPERLINK \l "bookmark36" </w:instrText>
      </w:r>
      <w:r>
        <w:fldChar w:fldCharType="separate"/>
      </w:r>
      <w:r>
        <w:rPr>
          <w:rFonts w:ascii="Arial" w:hAnsi="Arial" w:eastAsia="Arial" w:cs="Arial"/>
          <w:color w:val="000084"/>
          <w:spacing w:val="-8"/>
          <w:sz w:val="19"/>
          <w:szCs w:val="19"/>
        </w:rPr>
        <w:t>2009</w:t>
      </w:r>
      <w:r>
        <w:rPr>
          <w:rFonts w:ascii="Arial" w:hAnsi="Arial" w:eastAsia="Arial" w:cs="Arial"/>
          <w:color w:val="000084"/>
          <w:spacing w:val="-8"/>
          <w:sz w:val="19"/>
          <w:szCs w:val="19"/>
        </w:rPr>
        <w:fldChar w:fldCharType="end"/>
      </w:r>
      <w:r>
        <w:rPr>
          <w:rFonts w:ascii="Arial" w:hAnsi="Arial" w:eastAsia="Arial" w:cs="Arial"/>
          <w:spacing w:val="-8"/>
          <w:sz w:val="19"/>
          <w:szCs w:val="19"/>
        </w:rPr>
        <w:t>).</w:t>
      </w:r>
      <w:r>
        <w:rPr>
          <w:rFonts w:ascii="Arial" w:hAnsi="Arial" w:eastAsia="Arial" w:cs="Arial"/>
          <w:spacing w:val="21"/>
          <w:sz w:val="19"/>
          <w:szCs w:val="19"/>
        </w:rPr>
        <w:t xml:space="preserve"> </w:t>
      </w:r>
      <w:r>
        <w:rPr>
          <w:rFonts w:ascii="Arial" w:hAnsi="Arial" w:eastAsia="Arial" w:cs="Arial"/>
          <w:spacing w:val="-8"/>
          <w:sz w:val="19"/>
          <w:szCs w:val="19"/>
        </w:rPr>
        <w:t>Accordingly,</w:t>
      </w:r>
      <w:r>
        <w:rPr>
          <w:rFonts w:ascii="Arial" w:hAnsi="Arial" w:eastAsia="Arial" w:cs="Arial"/>
          <w:spacing w:val="31"/>
          <w:w w:val="101"/>
          <w:sz w:val="19"/>
          <w:szCs w:val="19"/>
        </w:rPr>
        <w:t xml:space="preserve"> </w:t>
      </w:r>
      <w:r>
        <w:rPr>
          <w:rFonts w:ascii="Arial" w:hAnsi="Arial" w:eastAsia="Arial" w:cs="Arial"/>
          <w:spacing w:val="-8"/>
          <w:sz w:val="19"/>
          <w:szCs w:val="19"/>
        </w:rPr>
        <w:t>Loukkola</w:t>
      </w:r>
      <w:r>
        <w:rPr>
          <w:rFonts w:ascii="Arial" w:hAnsi="Arial" w:eastAsia="Arial" w:cs="Arial"/>
          <w:spacing w:val="23"/>
          <w:w w:val="101"/>
          <w:sz w:val="19"/>
          <w:szCs w:val="19"/>
        </w:rPr>
        <w:t xml:space="preserve"> </w:t>
      </w:r>
      <w:r>
        <w:rPr>
          <w:rFonts w:ascii="Arial" w:hAnsi="Arial" w:eastAsia="Arial" w:cs="Arial"/>
          <w:spacing w:val="-8"/>
          <w:sz w:val="19"/>
          <w:szCs w:val="19"/>
        </w:rPr>
        <w:t>and</w:t>
      </w:r>
      <w:r>
        <w:rPr>
          <w:rFonts w:ascii="Arial" w:hAnsi="Arial" w:eastAsia="Arial" w:cs="Arial"/>
          <w:spacing w:val="23"/>
          <w:w w:val="101"/>
          <w:sz w:val="19"/>
          <w:szCs w:val="19"/>
        </w:rPr>
        <w:t xml:space="preserve"> </w:t>
      </w:r>
      <w:r>
        <w:rPr>
          <w:rFonts w:ascii="Arial" w:hAnsi="Arial" w:eastAsia="Arial" w:cs="Arial"/>
          <w:spacing w:val="-8"/>
          <w:sz w:val="19"/>
          <w:szCs w:val="19"/>
        </w:rPr>
        <w:t>Zhang</w:t>
      </w:r>
      <w:r>
        <w:rPr>
          <w:rFonts w:ascii="Arial" w:hAnsi="Arial" w:eastAsia="Arial" w:cs="Arial"/>
          <w:spacing w:val="29"/>
          <w:sz w:val="19"/>
          <w:szCs w:val="19"/>
        </w:rPr>
        <w:t xml:space="preserve"> </w:t>
      </w:r>
      <w:r>
        <w:rPr>
          <w:rFonts w:ascii="Arial" w:hAnsi="Arial" w:eastAsia="Arial" w:cs="Arial"/>
          <w:spacing w:val="-8"/>
          <w:sz w:val="19"/>
          <w:szCs w:val="19"/>
        </w:rPr>
        <w:t>(</w:t>
      </w:r>
      <w:r>
        <w:fldChar w:fldCharType="begin"/>
      </w:r>
      <w:r>
        <w:instrText xml:space="preserve"> HYPERLINK \l "bookmark37" </w:instrText>
      </w:r>
      <w:r>
        <w:fldChar w:fldCharType="separate"/>
      </w:r>
      <w:r>
        <w:rPr>
          <w:rFonts w:ascii="Arial" w:hAnsi="Arial" w:eastAsia="Arial" w:cs="Arial"/>
          <w:color w:val="000084"/>
          <w:spacing w:val="-8"/>
          <w:sz w:val="19"/>
          <w:szCs w:val="19"/>
        </w:rPr>
        <w:t>2010</w:t>
      </w:r>
      <w:r>
        <w:rPr>
          <w:rFonts w:ascii="Arial" w:hAnsi="Arial" w:eastAsia="Arial" w:cs="Arial"/>
          <w:color w:val="000084"/>
          <w:spacing w:val="-8"/>
          <w:sz w:val="19"/>
          <w:szCs w:val="19"/>
        </w:rPr>
        <w:fldChar w:fldCharType="end"/>
      </w:r>
      <w:r>
        <w:rPr>
          <w:rFonts w:ascii="Arial" w:hAnsi="Arial" w:eastAsia="Arial" w:cs="Arial"/>
          <w:spacing w:val="-8"/>
          <w:sz w:val="19"/>
          <w:szCs w:val="19"/>
        </w:rPr>
        <w:t>)</w:t>
      </w:r>
      <w:r>
        <w:rPr>
          <w:rFonts w:ascii="Arial" w:hAnsi="Arial" w:eastAsia="Arial" w:cs="Arial"/>
          <w:spacing w:val="23"/>
          <w:sz w:val="19"/>
          <w:szCs w:val="19"/>
        </w:rPr>
        <w:t xml:space="preserve"> </w:t>
      </w:r>
      <w:r>
        <w:rPr>
          <w:rFonts w:ascii="Arial" w:hAnsi="Arial" w:eastAsia="Arial" w:cs="Arial"/>
          <w:spacing w:val="-8"/>
          <w:sz w:val="19"/>
          <w:szCs w:val="19"/>
        </w:rPr>
        <w:t>argue</w:t>
      </w:r>
      <w:r>
        <w:rPr>
          <w:rFonts w:ascii="Arial" w:hAnsi="Arial" w:eastAsia="Arial" w:cs="Arial"/>
          <w:spacing w:val="20"/>
          <w:sz w:val="19"/>
          <w:szCs w:val="19"/>
        </w:rPr>
        <w:t xml:space="preserve"> </w:t>
      </w:r>
      <w:r>
        <w:rPr>
          <w:rFonts w:ascii="Arial" w:hAnsi="Arial" w:eastAsia="Arial" w:cs="Arial"/>
          <w:spacing w:val="-8"/>
          <w:sz w:val="19"/>
          <w:szCs w:val="19"/>
        </w:rPr>
        <w:t>that</w:t>
      </w:r>
      <w:r>
        <w:rPr>
          <w:rFonts w:ascii="Arial" w:hAnsi="Arial" w:eastAsia="Arial" w:cs="Arial"/>
          <w:spacing w:val="25"/>
          <w:w w:val="101"/>
          <w:sz w:val="19"/>
          <w:szCs w:val="19"/>
        </w:rPr>
        <w:t xml:space="preserve"> </w:t>
      </w:r>
      <w:r>
        <w:rPr>
          <w:rFonts w:ascii="Arial" w:hAnsi="Arial" w:eastAsia="Arial" w:cs="Arial"/>
          <w:spacing w:val="-8"/>
          <w:sz w:val="19"/>
          <w:szCs w:val="19"/>
        </w:rPr>
        <w:t>quality</w:t>
      </w:r>
      <w:r>
        <w:rPr>
          <w:rFonts w:ascii="Arial" w:hAnsi="Arial" w:eastAsia="Arial" w:cs="Arial"/>
          <w:spacing w:val="25"/>
          <w:sz w:val="19"/>
          <w:szCs w:val="19"/>
        </w:rPr>
        <w:t xml:space="preserve"> </w:t>
      </w:r>
      <w:r>
        <w:rPr>
          <w:rFonts w:ascii="Arial" w:hAnsi="Arial" w:eastAsia="Arial" w:cs="Arial"/>
          <w:spacing w:val="-8"/>
          <w:sz w:val="19"/>
          <w:szCs w:val="19"/>
        </w:rPr>
        <w:t>assurance</w:t>
      </w:r>
      <w:r>
        <w:rPr>
          <w:rFonts w:ascii="Arial" w:hAnsi="Arial" w:eastAsia="Arial" w:cs="Arial"/>
          <w:sz w:val="19"/>
          <w:szCs w:val="19"/>
        </w:rPr>
        <w:t xml:space="preserve"> </w:t>
      </w:r>
      <w:r>
        <w:rPr>
          <w:rFonts w:ascii="Arial" w:hAnsi="Arial" w:eastAsia="Arial" w:cs="Arial"/>
          <w:spacing w:val="-4"/>
          <w:sz w:val="19"/>
          <w:szCs w:val="19"/>
        </w:rPr>
        <w:t>and quality culture are highly interrelated as a</w:t>
      </w:r>
      <w:r>
        <w:rPr>
          <w:rFonts w:ascii="Arial" w:hAnsi="Arial" w:eastAsia="Arial" w:cs="Arial"/>
          <w:spacing w:val="-15"/>
          <w:sz w:val="19"/>
          <w:szCs w:val="19"/>
        </w:rPr>
        <w:t xml:space="preserve"> </w:t>
      </w:r>
      <w:r>
        <w:rPr>
          <w:rFonts w:ascii="Arial" w:hAnsi="Arial" w:eastAsia="Arial" w:cs="Arial"/>
          <w:spacing w:val="-4"/>
          <w:sz w:val="19"/>
          <w:szCs w:val="19"/>
        </w:rPr>
        <w:t>‘quality culture can bee</w:t>
      </w:r>
      <w:r>
        <w:rPr>
          <w:rFonts w:ascii="Arial" w:hAnsi="Arial" w:eastAsia="Arial" w:cs="Arial"/>
          <w:spacing w:val="-5"/>
          <w:sz w:val="19"/>
          <w:szCs w:val="19"/>
        </w:rPr>
        <w:t>nforced by structural decisions</w:t>
      </w:r>
      <w:r>
        <w:rPr>
          <w:rFonts w:ascii="Arial" w:hAnsi="Arial" w:eastAsia="Arial" w:cs="Arial"/>
          <w:sz w:val="19"/>
          <w:szCs w:val="19"/>
        </w:rPr>
        <w:t xml:space="preserve"> </w:t>
      </w:r>
      <w:r>
        <w:rPr>
          <w:rFonts w:ascii="Arial" w:hAnsi="Arial" w:eastAsia="Arial" w:cs="Arial"/>
          <w:spacing w:val="-7"/>
          <w:sz w:val="19"/>
          <w:szCs w:val="19"/>
        </w:rPr>
        <w:t>which</w:t>
      </w:r>
      <w:r>
        <w:rPr>
          <w:rFonts w:ascii="Arial" w:hAnsi="Arial" w:eastAsia="Arial" w:cs="Arial"/>
          <w:spacing w:val="12"/>
          <w:sz w:val="19"/>
          <w:szCs w:val="19"/>
        </w:rPr>
        <w:t xml:space="preserve"> </w:t>
      </w:r>
      <w:r>
        <w:rPr>
          <w:rFonts w:ascii="Arial" w:hAnsi="Arial" w:eastAsia="Arial" w:cs="Arial"/>
          <w:spacing w:val="-7"/>
          <w:sz w:val="19"/>
          <w:szCs w:val="19"/>
        </w:rPr>
        <w:t>stimulate</w:t>
      </w:r>
      <w:r>
        <w:rPr>
          <w:rFonts w:ascii="Arial" w:hAnsi="Arial" w:eastAsia="Arial" w:cs="Arial"/>
          <w:spacing w:val="11"/>
          <w:sz w:val="19"/>
          <w:szCs w:val="19"/>
        </w:rPr>
        <w:t xml:space="preserve"> </w:t>
      </w:r>
      <w:r>
        <w:rPr>
          <w:rFonts w:ascii="Arial" w:hAnsi="Arial" w:eastAsia="Arial" w:cs="Arial"/>
          <w:spacing w:val="-7"/>
          <w:sz w:val="19"/>
          <w:szCs w:val="19"/>
        </w:rPr>
        <w:t>shared</w:t>
      </w:r>
      <w:r>
        <w:rPr>
          <w:rFonts w:ascii="Arial" w:hAnsi="Arial" w:eastAsia="Arial" w:cs="Arial"/>
          <w:spacing w:val="9"/>
          <w:sz w:val="19"/>
          <w:szCs w:val="19"/>
        </w:rPr>
        <w:t xml:space="preserve"> </w:t>
      </w:r>
      <w:r>
        <w:rPr>
          <w:rFonts w:ascii="Arial" w:hAnsi="Arial" w:eastAsia="Arial" w:cs="Arial"/>
          <w:spacing w:val="-7"/>
          <w:sz w:val="19"/>
          <w:szCs w:val="19"/>
        </w:rPr>
        <w:t>values</w:t>
      </w:r>
      <w:r>
        <w:rPr>
          <w:rFonts w:ascii="Arial" w:hAnsi="Arial" w:eastAsia="Arial" w:cs="Arial"/>
          <w:spacing w:val="11"/>
          <w:sz w:val="19"/>
          <w:szCs w:val="19"/>
        </w:rPr>
        <w:t xml:space="preserve"> </w:t>
      </w:r>
      <w:r>
        <w:rPr>
          <w:rFonts w:ascii="Arial" w:hAnsi="Arial" w:eastAsia="Arial" w:cs="Arial"/>
          <w:spacing w:val="-8"/>
          <w:sz w:val="19"/>
          <w:szCs w:val="19"/>
        </w:rPr>
        <w:t>and</w:t>
      </w:r>
      <w:r>
        <w:rPr>
          <w:rFonts w:ascii="Arial" w:hAnsi="Arial" w:eastAsia="Arial" w:cs="Arial"/>
          <w:spacing w:val="17"/>
          <w:sz w:val="19"/>
          <w:szCs w:val="19"/>
        </w:rPr>
        <w:t xml:space="preserve"> </w:t>
      </w:r>
      <w:r>
        <w:rPr>
          <w:rFonts w:ascii="Arial" w:hAnsi="Arial" w:eastAsia="Arial" w:cs="Arial"/>
          <w:spacing w:val="-8"/>
          <w:sz w:val="19"/>
          <w:szCs w:val="19"/>
        </w:rPr>
        <w:t>beliefs’</w:t>
      </w:r>
      <w:r>
        <w:rPr>
          <w:rFonts w:ascii="Arial" w:hAnsi="Arial" w:eastAsia="Arial" w:cs="Arial"/>
          <w:spacing w:val="16"/>
          <w:sz w:val="19"/>
          <w:szCs w:val="19"/>
        </w:rPr>
        <w:t xml:space="preserve"> </w:t>
      </w:r>
      <w:r>
        <w:rPr>
          <w:rFonts w:ascii="Arial" w:hAnsi="Arial" w:eastAsia="Arial" w:cs="Arial"/>
          <w:spacing w:val="-8"/>
          <w:sz w:val="19"/>
          <w:szCs w:val="19"/>
        </w:rPr>
        <w:t>(17;</w:t>
      </w:r>
      <w:r>
        <w:rPr>
          <w:rFonts w:ascii="Arial" w:hAnsi="Arial" w:eastAsia="Arial" w:cs="Arial"/>
          <w:spacing w:val="12"/>
          <w:sz w:val="19"/>
          <w:szCs w:val="19"/>
        </w:rPr>
        <w:t xml:space="preserve"> </w:t>
      </w:r>
      <w:r>
        <w:rPr>
          <w:rFonts w:ascii="Arial" w:hAnsi="Arial" w:eastAsia="Arial" w:cs="Arial"/>
          <w:spacing w:val="-8"/>
          <w:sz w:val="19"/>
          <w:szCs w:val="19"/>
        </w:rPr>
        <w:t>cf.</w:t>
      </w:r>
      <w:r>
        <w:rPr>
          <w:rFonts w:ascii="Arial" w:hAnsi="Arial" w:eastAsia="Arial" w:cs="Arial"/>
          <w:spacing w:val="20"/>
          <w:sz w:val="19"/>
          <w:szCs w:val="19"/>
        </w:rPr>
        <w:t xml:space="preserve"> </w:t>
      </w:r>
      <w:r>
        <w:rPr>
          <w:rFonts w:ascii="Arial" w:hAnsi="Arial" w:eastAsia="Arial" w:cs="Arial"/>
          <w:spacing w:val="-8"/>
          <w:sz w:val="19"/>
          <w:szCs w:val="19"/>
        </w:rPr>
        <w:t>Harvey</w:t>
      </w:r>
      <w:r>
        <w:rPr>
          <w:rFonts w:ascii="Arial" w:hAnsi="Arial" w:eastAsia="Arial" w:cs="Arial"/>
          <w:spacing w:val="12"/>
          <w:sz w:val="19"/>
          <w:szCs w:val="19"/>
        </w:rPr>
        <w:t xml:space="preserve"> </w:t>
      </w:r>
      <w:r>
        <w:rPr>
          <w:rFonts w:ascii="Arial" w:hAnsi="Arial" w:eastAsia="Arial" w:cs="Arial"/>
          <w:spacing w:val="-8"/>
          <w:sz w:val="19"/>
          <w:szCs w:val="19"/>
        </w:rPr>
        <w:t>and</w:t>
      </w:r>
      <w:r>
        <w:rPr>
          <w:rFonts w:ascii="Arial" w:hAnsi="Arial" w:eastAsia="Arial" w:cs="Arial"/>
          <w:spacing w:val="13"/>
          <w:sz w:val="19"/>
          <w:szCs w:val="19"/>
        </w:rPr>
        <w:t xml:space="preserve"> </w:t>
      </w:r>
      <w:r>
        <w:rPr>
          <w:rFonts w:ascii="Arial" w:hAnsi="Arial" w:eastAsia="Arial" w:cs="Arial"/>
          <w:spacing w:val="-8"/>
          <w:sz w:val="19"/>
          <w:szCs w:val="19"/>
        </w:rPr>
        <w:t xml:space="preserve">Stensaker </w:t>
      </w:r>
      <w:r>
        <w:fldChar w:fldCharType="begin"/>
      </w:r>
      <w:r>
        <w:instrText xml:space="preserve"> HYPERLINK \l "bookmark38" </w:instrText>
      </w:r>
      <w:r>
        <w:fldChar w:fldCharType="separate"/>
      </w:r>
      <w:r>
        <w:rPr>
          <w:rFonts w:ascii="Arial" w:hAnsi="Arial" w:eastAsia="Arial" w:cs="Arial"/>
          <w:color w:val="000084"/>
          <w:spacing w:val="-8"/>
          <w:sz w:val="19"/>
          <w:szCs w:val="19"/>
        </w:rPr>
        <w:t>2008</w:t>
      </w:r>
      <w:r>
        <w:rPr>
          <w:rFonts w:ascii="Arial" w:hAnsi="Arial" w:eastAsia="Arial" w:cs="Arial"/>
          <w:color w:val="000084"/>
          <w:spacing w:val="-8"/>
          <w:sz w:val="19"/>
          <w:szCs w:val="19"/>
        </w:rPr>
        <w:fldChar w:fldCharType="end"/>
      </w:r>
      <w:r>
        <w:rPr>
          <w:rFonts w:ascii="Arial" w:hAnsi="Arial" w:eastAsia="Arial" w:cs="Arial"/>
          <w:spacing w:val="-8"/>
          <w:sz w:val="19"/>
          <w:szCs w:val="19"/>
        </w:rPr>
        <w:t>).</w:t>
      </w:r>
    </w:p>
    <w:p>
      <w:pPr>
        <w:spacing w:before="53" w:line="252" w:lineRule="auto"/>
        <w:ind w:right="7" w:firstLine="268"/>
        <w:jc w:val="both"/>
        <w:rPr>
          <w:rFonts w:ascii="Arial" w:hAnsi="Arial" w:eastAsia="Arial" w:cs="Arial"/>
          <w:sz w:val="19"/>
          <w:szCs w:val="19"/>
        </w:rPr>
      </w:pPr>
      <w:r>
        <w:rPr>
          <w:rFonts w:ascii="Arial" w:hAnsi="Arial" w:eastAsia="Arial" w:cs="Arial"/>
          <w:spacing w:val="-5"/>
          <w:sz w:val="19"/>
          <w:szCs w:val="19"/>
        </w:rPr>
        <w:t>Despite</w:t>
      </w:r>
      <w:r>
        <w:rPr>
          <w:rFonts w:ascii="Arial" w:hAnsi="Arial" w:eastAsia="Arial" w:cs="Arial"/>
          <w:spacing w:val="19"/>
          <w:sz w:val="19"/>
          <w:szCs w:val="19"/>
        </w:rPr>
        <w:t xml:space="preserve"> </w:t>
      </w:r>
      <w:r>
        <w:rPr>
          <w:rFonts w:ascii="Arial" w:hAnsi="Arial" w:eastAsia="Arial" w:cs="Arial"/>
          <w:spacing w:val="-5"/>
          <w:sz w:val="19"/>
          <w:szCs w:val="19"/>
        </w:rPr>
        <w:t>the</w:t>
      </w:r>
      <w:r>
        <w:rPr>
          <w:rFonts w:ascii="Arial" w:hAnsi="Arial" w:eastAsia="Arial" w:cs="Arial"/>
          <w:spacing w:val="28"/>
          <w:sz w:val="19"/>
          <w:szCs w:val="19"/>
        </w:rPr>
        <w:t xml:space="preserve"> </w:t>
      </w:r>
      <w:r>
        <w:rPr>
          <w:rFonts w:ascii="Arial" w:hAnsi="Arial" w:eastAsia="Arial" w:cs="Arial"/>
          <w:spacing w:val="-5"/>
          <w:sz w:val="19"/>
          <w:szCs w:val="19"/>
        </w:rPr>
        <w:t>increasing</w:t>
      </w:r>
      <w:r>
        <w:rPr>
          <w:rFonts w:ascii="Arial" w:hAnsi="Arial" w:eastAsia="Arial" w:cs="Arial"/>
          <w:spacing w:val="30"/>
          <w:w w:val="101"/>
          <w:sz w:val="19"/>
          <w:szCs w:val="19"/>
        </w:rPr>
        <w:t xml:space="preserve"> </w:t>
      </w:r>
      <w:r>
        <w:rPr>
          <w:rFonts w:ascii="Arial" w:hAnsi="Arial" w:eastAsia="Arial" w:cs="Arial"/>
          <w:spacing w:val="-5"/>
          <w:sz w:val="19"/>
          <w:szCs w:val="19"/>
        </w:rPr>
        <w:t>number</w:t>
      </w:r>
      <w:r>
        <w:rPr>
          <w:rFonts w:ascii="Arial" w:hAnsi="Arial" w:eastAsia="Arial" w:cs="Arial"/>
          <w:spacing w:val="24"/>
          <w:sz w:val="19"/>
          <w:szCs w:val="19"/>
        </w:rPr>
        <w:t xml:space="preserve"> </w:t>
      </w:r>
      <w:r>
        <w:rPr>
          <w:rFonts w:ascii="Arial" w:hAnsi="Arial" w:eastAsia="Arial" w:cs="Arial"/>
          <w:spacing w:val="-5"/>
          <w:sz w:val="19"/>
          <w:szCs w:val="19"/>
        </w:rPr>
        <w:t>of</w:t>
      </w:r>
      <w:r>
        <w:rPr>
          <w:rFonts w:ascii="Arial" w:hAnsi="Arial" w:eastAsia="Arial" w:cs="Arial"/>
          <w:spacing w:val="15"/>
          <w:w w:val="101"/>
          <w:sz w:val="19"/>
          <w:szCs w:val="19"/>
        </w:rPr>
        <w:t xml:space="preserve"> </w:t>
      </w:r>
      <w:r>
        <w:rPr>
          <w:rFonts w:ascii="Arial" w:hAnsi="Arial" w:eastAsia="Arial" w:cs="Arial"/>
          <w:spacing w:val="-5"/>
          <w:sz w:val="19"/>
          <w:szCs w:val="19"/>
        </w:rPr>
        <w:t>quali</w:t>
      </w:r>
      <w:r>
        <w:rPr>
          <w:rFonts w:ascii="Arial" w:hAnsi="Arial" w:eastAsia="Arial" w:cs="Arial"/>
          <w:spacing w:val="-6"/>
          <w:sz w:val="19"/>
          <w:szCs w:val="19"/>
        </w:rPr>
        <w:t>tative</w:t>
      </w:r>
      <w:r>
        <w:rPr>
          <w:rFonts w:ascii="Arial" w:hAnsi="Arial" w:eastAsia="Arial" w:cs="Arial"/>
          <w:spacing w:val="30"/>
          <w:sz w:val="19"/>
          <w:szCs w:val="19"/>
        </w:rPr>
        <w:t xml:space="preserve"> </w:t>
      </w:r>
      <w:r>
        <w:rPr>
          <w:rFonts w:ascii="Arial" w:hAnsi="Arial" w:eastAsia="Arial" w:cs="Arial"/>
          <w:spacing w:val="-6"/>
          <w:sz w:val="19"/>
          <w:szCs w:val="19"/>
        </w:rPr>
        <w:t>research</w:t>
      </w:r>
      <w:r>
        <w:rPr>
          <w:rFonts w:ascii="Arial" w:hAnsi="Arial" w:eastAsia="Arial" w:cs="Arial"/>
          <w:spacing w:val="24"/>
          <w:w w:val="101"/>
          <w:sz w:val="19"/>
          <w:szCs w:val="19"/>
        </w:rPr>
        <w:t xml:space="preserve"> </w:t>
      </w:r>
      <w:r>
        <w:rPr>
          <w:rFonts w:ascii="Arial" w:hAnsi="Arial" w:eastAsia="Arial" w:cs="Arial"/>
          <w:spacing w:val="-6"/>
          <w:sz w:val="19"/>
          <w:szCs w:val="19"/>
        </w:rPr>
        <w:t>on</w:t>
      </w:r>
      <w:r>
        <w:rPr>
          <w:rFonts w:ascii="Arial" w:hAnsi="Arial" w:eastAsia="Arial" w:cs="Arial"/>
          <w:spacing w:val="22"/>
          <w:sz w:val="19"/>
          <w:szCs w:val="19"/>
        </w:rPr>
        <w:t xml:space="preserve"> </w:t>
      </w:r>
      <w:r>
        <w:rPr>
          <w:rFonts w:ascii="Arial" w:hAnsi="Arial" w:eastAsia="Arial" w:cs="Arial"/>
          <w:spacing w:val="-6"/>
          <w:sz w:val="19"/>
          <w:szCs w:val="19"/>
        </w:rPr>
        <w:t>quality</w:t>
      </w:r>
      <w:r>
        <w:rPr>
          <w:rFonts w:ascii="Arial" w:hAnsi="Arial" w:eastAsia="Arial" w:cs="Arial"/>
          <w:spacing w:val="24"/>
          <w:w w:val="101"/>
          <w:sz w:val="19"/>
          <w:szCs w:val="19"/>
        </w:rPr>
        <w:t xml:space="preserve"> </w:t>
      </w:r>
      <w:r>
        <w:rPr>
          <w:rFonts w:ascii="Arial" w:hAnsi="Arial" w:eastAsia="Arial" w:cs="Arial"/>
          <w:spacing w:val="-6"/>
          <w:sz w:val="19"/>
          <w:szCs w:val="19"/>
        </w:rPr>
        <w:t>culture,</w:t>
      </w:r>
      <w:r>
        <w:rPr>
          <w:rFonts w:ascii="Arial" w:hAnsi="Arial" w:eastAsia="Arial" w:cs="Arial"/>
          <w:spacing w:val="24"/>
          <w:w w:val="101"/>
          <w:sz w:val="19"/>
          <w:szCs w:val="19"/>
        </w:rPr>
        <w:t xml:space="preserve"> </w:t>
      </w:r>
      <w:r>
        <w:rPr>
          <w:rFonts w:ascii="Arial" w:hAnsi="Arial" w:eastAsia="Arial" w:cs="Arial"/>
          <w:spacing w:val="-6"/>
          <w:sz w:val="19"/>
          <w:szCs w:val="19"/>
        </w:rPr>
        <w:t>empirical</w:t>
      </w:r>
      <w:r>
        <w:rPr>
          <w:rFonts w:ascii="Arial" w:hAnsi="Arial" w:eastAsia="Arial" w:cs="Arial"/>
          <w:spacing w:val="21"/>
          <w:w w:val="101"/>
          <w:sz w:val="19"/>
          <w:szCs w:val="19"/>
        </w:rPr>
        <w:t xml:space="preserve"> </w:t>
      </w:r>
      <w:r>
        <w:rPr>
          <w:rFonts w:ascii="Arial" w:hAnsi="Arial" w:eastAsia="Arial" w:cs="Arial"/>
          <w:spacing w:val="-6"/>
          <w:sz w:val="19"/>
          <w:szCs w:val="19"/>
        </w:rPr>
        <w:t>approaches</w:t>
      </w:r>
      <w:r>
        <w:rPr>
          <w:rFonts w:ascii="Arial" w:hAnsi="Arial" w:eastAsia="Arial" w:cs="Arial"/>
          <w:sz w:val="19"/>
          <w:szCs w:val="19"/>
        </w:rPr>
        <w:t xml:space="preserve"> </w:t>
      </w:r>
      <w:r>
        <w:rPr>
          <w:rFonts w:ascii="Arial" w:hAnsi="Arial" w:eastAsia="Arial" w:cs="Arial"/>
          <w:spacing w:val="-3"/>
          <w:sz w:val="19"/>
          <w:szCs w:val="19"/>
        </w:rPr>
        <w:t>operationalizing</w:t>
      </w:r>
      <w:r>
        <w:rPr>
          <w:rFonts w:ascii="Arial" w:hAnsi="Arial" w:eastAsia="Arial" w:cs="Arial"/>
          <w:spacing w:val="20"/>
          <w:w w:val="101"/>
          <w:sz w:val="19"/>
          <w:szCs w:val="19"/>
        </w:rPr>
        <w:t xml:space="preserve"> </w:t>
      </w:r>
      <w:r>
        <w:rPr>
          <w:rFonts w:ascii="Arial" w:hAnsi="Arial" w:eastAsia="Arial" w:cs="Arial"/>
          <w:spacing w:val="-3"/>
          <w:sz w:val="19"/>
          <w:szCs w:val="19"/>
        </w:rPr>
        <w:t>this</w:t>
      </w:r>
      <w:r>
        <w:rPr>
          <w:rFonts w:ascii="Arial" w:hAnsi="Arial" w:eastAsia="Arial" w:cs="Arial"/>
          <w:spacing w:val="31"/>
          <w:w w:val="101"/>
          <w:sz w:val="19"/>
          <w:szCs w:val="19"/>
        </w:rPr>
        <w:t xml:space="preserve"> </w:t>
      </w:r>
      <w:r>
        <w:rPr>
          <w:rFonts w:ascii="Arial" w:hAnsi="Arial" w:eastAsia="Arial" w:cs="Arial"/>
          <w:spacing w:val="-3"/>
          <w:sz w:val="19"/>
          <w:szCs w:val="19"/>
        </w:rPr>
        <w:t>phenomenon</w:t>
      </w:r>
      <w:r>
        <w:rPr>
          <w:rFonts w:ascii="Arial" w:hAnsi="Arial" w:eastAsia="Arial" w:cs="Arial"/>
          <w:spacing w:val="31"/>
          <w:sz w:val="19"/>
          <w:szCs w:val="19"/>
        </w:rPr>
        <w:t xml:space="preserve"> </w:t>
      </w:r>
      <w:r>
        <w:rPr>
          <w:rFonts w:ascii="Arial" w:hAnsi="Arial" w:eastAsia="Arial" w:cs="Arial"/>
          <w:spacing w:val="-3"/>
          <w:sz w:val="19"/>
          <w:szCs w:val="19"/>
        </w:rPr>
        <w:t>have</w:t>
      </w:r>
      <w:r>
        <w:rPr>
          <w:rFonts w:ascii="Arial" w:hAnsi="Arial" w:eastAsia="Arial" w:cs="Arial"/>
          <w:spacing w:val="30"/>
          <w:w w:val="101"/>
          <w:sz w:val="19"/>
          <w:szCs w:val="19"/>
        </w:rPr>
        <w:t xml:space="preserve"> </w:t>
      </w:r>
      <w:r>
        <w:rPr>
          <w:rFonts w:ascii="Arial" w:hAnsi="Arial" w:eastAsia="Arial" w:cs="Arial"/>
          <w:spacing w:val="-3"/>
          <w:sz w:val="19"/>
          <w:szCs w:val="19"/>
        </w:rPr>
        <w:t>not</w:t>
      </w:r>
      <w:r>
        <w:rPr>
          <w:rFonts w:ascii="Arial" w:hAnsi="Arial" w:eastAsia="Arial" w:cs="Arial"/>
          <w:spacing w:val="31"/>
          <w:w w:val="101"/>
          <w:sz w:val="19"/>
          <w:szCs w:val="19"/>
        </w:rPr>
        <w:t xml:space="preserve"> </w:t>
      </w:r>
      <w:r>
        <w:rPr>
          <w:rFonts w:ascii="Arial" w:hAnsi="Arial" w:eastAsia="Arial" w:cs="Arial"/>
          <w:spacing w:val="-3"/>
          <w:sz w:val="19"/>
          <w:szCs w:val="19"/>
        </w:rPr>
        <w:t>been</w:t>
      </w:r>
      <w:r>
        <w:rPr>
          <w:rFonts w:ascii="Arial" w:hAnsi="Arial" w:eastAsia="Arial" w:cs="Arial"/>
          <w:spacing w:val="25"/>
          <w:w w:val="101"/>
          <w:sz w:val="19"/>
          <w:szCs w:val="19"/>
        </w:rPr>
        <w:t xml:space="preserve"> </w:t>
      </w:r>
      <w:r>
        <w:rPr>
          <w:rFonts w:ascii="Arial" w:hAnsi="Arial" w:eastAsia="Arial" w:cs="Arial"/>
          <w:spacing w:val="-3"/>
          <w:sz w:val="19"/>
          <w:szCs w:val="19"/>
        </w:rPr>
        <w:t>developed</w:t>
      </w:r>
      <w:r>
        <w:rPr>
          <w:rFonts w:ascii="Arial" w:hAnsi="Arial" w:eastAsia="Arial" w:cs="Arial"/>
          <w:spacing w:val="25"/>
          <w:w w:val="101"/>
          <w:sz w:val="19"/>
          <w:szCs w:val="19"/>
        </w:rPr>
        <w:t xml:space="preserve"> </w:t>
      </w:r>
      <w:r>
        <w:rPr>
          <w:rFonts w:ascii="Arial" w:hAnsi="Arial" w:eastAsia="Arial" w:cs="Arial"/>
          <w:spacing w:val="-3"/>
          <w:sz w:val="19"/>
          <w:szCs w:val="19"/>
        </w:rPr>
        <w:t>suiciently.</w:t>
      </w:r>
      <w:r>
        <w:rPr>
          <w:rFonts w:ascii="Arial" w:hAnsi="Arial" w:eastAsia="Arial" w:cs="Arial"/>
          <w:spacing w:val="21"/>
          <w:w w:val="101"/>
          <w:sz w:val="19"/>
          <w:szCs w:val="19"/>
        </w:rPr>
        <w:t xml:space="preserve"> </w:t>
      </w:r>
      <w:r>
        <w:rPr>
          <w:rFonts w:ascii="Arial" w:hAnsi="Arial" w:eastAsia="Arial" w:cs="Arial"/>
          <w:spacing w:val="-3"/>
          <w:sz w:val="19"/>
          <w:szCs w:val="19"/>
        </w:rPr>
        <w:t>We</w:t>
      </w:r>
      <w:r>
        <w:rPr>
          <w:rFonts w:ascii="Arial" w:hAnsi="Arial" w:eastAsia="Arial" w:cs="Arial"/>
          <w:spacing w:val="30"/>
          <w:sz w:val="19"/>
          <w:szCs w:val="19"/>
        </w:rPr>
        <w:t xml:space="preserve"> </w:t>
      </w:r>
      <w:r>
        <w:rPr>
          <w:rFonts w:ascii="Arial" w:hAnsi="Arial" w:eastAsia="Arial" w:cs="Arial"/>
          <w:spacing w:val="-3"/>
          <w:sz w:val="19"/>
          <w:szCs w:val="19"/>
        </w:rPr>
        <w:t>initiated</w:t>
      </w:r>
      <w:r>
        <w:rPr>
          <w:rFonts w:ascii="Arial" w:hAnsi="Arial" w:eastAsia="Arial" w:cs="Arial"/>
          <w:spacing w:val="22"/>
          <w:w w:val="101"/>
          <w:sz w:val="19"/>
          <w:szCs w:val="19"/>
        </w:rPr>
        <w:t xml:space="preserve"> </w:t>
      </w:r>
      <w:r>
        <w:rPr>
          <w:rFonts w:ascii="Arial" w:hAnsi="Arial" w:eastAsia="Arial" w:cs="Arial"/>
          <w:spacing w:val="-3"/>
          <w:sz w:val="19"/>
          <w:szCs w:val="19"/>
        </w:rPr>
        <w:t>the</w:t>
      </w:r>
      <w:r>
        <w:rPr>
          <w:rFonts w:ascii="Arial" w:hAnsi="Arial" w:eastAsia="Arial" w:cs="Arial"/>
          <w:spacing w:val="30"/>
          <w:w w:val="101"/>
          <w:sz w:val="19"/>
          <w:szCs w:val="19"/>
        </w:rPr>
        <w:t xml:space="preserve"> </w:t>
      </w:r>
      <w:r>
        <w:rPr>
          <w:rFonts w:ascii="Arial" w:hAnsi="Arial" w:eastAsia="Arial" w:cs="Arial"/>
          <w:spacing w:val="-3"/>
          <w:sz w:val="19"/>
          <w:szCs w:val="19"/>
        </w:rPr>
        <w:t>project</w:t>
      </w:r>
      <w:r>
        <w:rPr>
          <w:rFonts w:ascii="Arial" w:hAnsi="Arial" w:eastAsia="Arial" w:cs="Arial"/>
          <w:sz w:val="19"/>
          <w:szCs w:val="19"/>
        </w:rPr>
        <w:t xml:space="preserve"> </w:t>
      </w:r>
      <w:r>
        <w:rPr>
          <w:rFonts w:ascii="Arial" w:hAnsi="Arial" w:eastAsia="Arial" w:cs="Arial"/>
          <w:spacing w:val="-6"/>
          <w:sz w:val="19"/>
          <w:szCs w:val="19"/>
        </w:rPr>
        <w:t>‘heiQUALITY Cultures’ to address this very important research gap and cr</w:t>
      </w:r>
      <w:r>
        <w:rPr>
          <w:rFonts w:ascii="Arial" w:hAnsi="Arial" w:eastAsia="Arial" w:cs="Arial"/>
          <w:spacing w:val="-7"/>
          <w:sz w:val="19"/>
          <w:szCs w:val="19"/>
        </w:rPr>
        <w:t>eate an empirical instrument</w:t>
      </w:r>
      <w:r>
        <w:rPr>
          <w:rFonts w:ascii="Arial" w:hAnsi="Arial" w:eastAsia="Arial" w:cs="Arial"/>
          <w:sz w:val="19"/>
          <w:szCs w:val="19"/>
        </w:rPr>
        <w:t xml:space="preserve"> </w:t>
      </w:r>
      <w:r>
        <w:rPr>
          <w:rFonts w:ascii="Arial" w:hAnsi="Arial" w:eastAsia="Arial" w:cs="Arial"/>
          <w:spacing w:val="-3"/>
          <w:sz w:val="19"/>
          <w:szCs w:val="19"/>
        </w:rPr>
        <w:t>for the organizational diagnosis of</w:t>
      </w:r>
      <w:r>
        <w:rPr>
          <w:rFonts w:ascii="Arial" w:hAnsi="Arial" w:eastAsia="Arial" w:cs="Arial"/>
          <w:spacing w:val="-12"/>
          <w:sz w:val="19"/>
          <w:szCs w:val="19"/>
        </w:rPr>
        <w:t xml:space="preserve"> </w:t>
      </w:r>
      <w:r>
        <w:rPr>
          <w:rFonts w:ascii="Arial" w:hAnsi="Arial" w:eastAsia="Arial" w:cs="Arial"/>
          <w:spacing w:val="-3"/>
          <w:sz w:val="19"/>
          <w:szCs w:val="19"/>
        </w:rPr>
        <w:t xml:space="preserve">quality </w:t>
      </w:r>
      <w:r>
        <w:rPr>
          <w:rFonts w:ascii="Arial" w:hAnsi="Arial" w:eastAsia="Arial" w:cs="Arial"/>
          <w:spacing w:val="-4"/>
          <w:sz w:val="19"/>
          <w:szCs w:val="19"/>
        </w:rPr>
        <w:t>culture within the context of higher education, considering</w:t>
      </w:r>
      <w:r>
        <w:rPr>
          <w:rFonts w:ascii="Arial" w:hAnsi="Arial" w:eastAsia="Arial" w:cs="Arial"/>
          <w:sz w:val="19"/>
          <w:szCs w:val="19"/>
        </w:rPr>
        <w:t xml:space="preserve"> </w:t>
      </w:r>
      <w:r>
        <w:rPr>
          <w:rFonts w:ascii="Arial" w:hAnsi="Arial" w:eastAsia="Arial" w:cs="Arial"/>
          <w:spacing w:val="-6"/>
          <w:sz w:val="19"/>
          <w:szCs w:val="19"/>
        </w:rPr>
        <w:t>both</w:t>
      </w:r>
      <w:r>
        <w:rPr>
          <w:rFonts w:ascii="Arial" w:hAnsi="Arial" w:eastAsia="Arial" w:cs="Arial"/>
          <w:spacing w:val="13"/>
          <w:sz w:val="19"/>
          <w:szCs w:val="19"/>
        </w:rPr>
        <w:t xml:space="preserve"> </w:t>
      </w:r>
      <w:r>
        <w:rPr>
          <w:rFonts w:ascii="Arial" w:hAnsi="Arial" w:eastAsia="Arial" w:cs="Arial"/>
          <w:spacing w:val="-6"/>
          <w:sz w:val="19"/>
          <w:szCs w:val="19"/>
        </w:rPr>
        <w:t>structural</w:t>
      </w:r>
      <w:r>
        <w:rPr>
          <w:rFonts w:ascii="Arial" w:hAnsi="Arial" w:eastAsia="Arial" w:cs="Arial"/>
          <w:spacing w:val="10"/>
          <w:sz w:val="19"/>
          <w:szCs w:val="19"/>
        </w:rPr>
        <w:t xml:space="preserve"> </w:t>
      </w:r>
      <w:r>
        <w:rPr>
          <w:rFonts w:ascii="Arial" w:hAnsi="Arial" w:eastAsia="Arial" w:cs="Arial"/>
          <w:spacing w:val="-6"/>
          <w:sz w:val="19"/>
          <w:szCs w:val="19"/>
        </w:rPr>
        <w:t>and</w:t>
      </w:r>
      <w:r>
        <w:rPr>
          <w:rFonts w:ascii="Arial" w:hAnsi="Arial" w:eastAsia="Arial" w:cs="Arial"/>
          <w:spacing w:val="12"/>
          <w:sz w:val="19"/>
          <w:szCs w:val="19"/>
        </w:rPr>
        <w:t xml:space="preserve"> </w:t>
      </w:r>
      <w:r>
        <w:rPr>
          <w:rFonts w:ascii="Arial" w:hAnsi="Arial" w:eastAsia="Arial" w:cs="Arial"/>
          <w:spacing w:val="-6"/>
          <w:sz w:val="19"/>
          <w:szCs w:val="19"/>
        </w:rPr>
        <w:t>cultural</w:t>
      </w:r>
      <w:r>
        <w:rPr>
          <w:rFonts w:ascii="Arial" w:hAnsi="Arial" w:eastAsia="Arial" w:cs="Arial"/>
          <w:spacing w:val="13"/>
          <w:sz w:val="19"/>
          <w:szCs w:val="19"/>
        </w:rPr>
        <w:t xml:space="preserve"> </w:t>
      </w:r>
      <w:r>
        <w:rPr>
          <w:rFonts w:ascii="Arial" w:hAnsi="Arial" w:eastAsia="Arial" w:cs="Arial"/>
          <w:spacing w:val="-6"/>
          <w:sz w:val="19"/>
          <w:szCs w:val="19"/>
        </w:rPr>
        <w:t>aspects</w:t>
      </w:r>
      <w:r>
        <w:rPr>
          <w:rFonts w:ascii="Arial" w:hAnsi="Arial" w:eastAsia="Arial" w:cs="Arial"/>
          <w:spacing w:val="16"/>
          <w:sz w:val="19"/>
          <w:szCs w:val="19"/>
        </w:rPr>
        <w:t xml:space="preserve"> </w:t>
      </w:r>
      <w:r>
        <w:rPr>
          <w:rFonts w:ascii="Arial" w:hAnsi="Arial" w:eastAsia="Arial" w:cs="Arial"/>
          <w:spacing w:val="-6"/>
          <w:sz w:val="19"/>
          <w:szCs w:val="19"/>
        </w:rPr>
        <w:t>(Sonn</w:t>
      </w:r>
      <w:r>
        <w:rPr>
          <w:rFonts w:ascii="Arial" w:hAnsi="Arial" w:eastAsia="Arial" w:cs="Arial"/>
          <w:spacing w:val="-7"/>
          <w:sz w:val="19"/>
          <w:szCs w:val="19"/>
        </w:rPr>
        <w:t>tag,</w:t>
      </w:r>
      <w:r>
        <w:rPr>
          <w:rFonts w:ascii="Arial" w:hAnsi="Arial" w:eastAsia="Arial" w:cs="Arial"/>
          <w:spacing w:val="13"/>
          <w:sz w:val="19"/>
          <w:szCs w:val="19"/>
        </w:rPr>
        <w:t xml:space="preserve"> </w:t>
      </w:r>
      <w:r>
        <w:rPr>
          <w:rFonts w:ascii="Arial" w:hAnsi="Arial" w:eastAsia="Arial" w:cs="Arial"/>
          <w:spacing w:val="-7"/>
          <w:sz w:val="19"/>
          <w:szCs w:val="19"/>
        </w:rPr>
        <w:t>Stegmaier,</w:t>
      </w:r>
      <w:r>
        <w:rPr>
          <w:rFonts w:ascii="Arial" w:hAnsi="Arial" w:eastAsia="Arial" w:cs="Arial"/>
          <w:spacing w:val="13"/>
          <w:sz w:val="19"/>
          <w:szCs w:val="19"/>
        </w:rPr>
        <w:t xml:space="preserve"> </w:t>
      </w:r>
      <w:r>
        <w:rPr>
          <w:rFonts w:ascii="Arial" w:hAnsi="Arial" w:eastAsia="Arial" w:cs="Arial"/>
          <w:spacing w:val="-7"/>
          <w:sz w:val="19"/>
          <w:szCs w:val="19"/>
        </w:rPr>
        <w:t>and</w:t>
      </w:r>
      <w:r>
        <w:rPr>
          <w:rFonts w:ascii="Arial" w:hAnsi="Arial" w:eastAsia="Arial" w:cs="Arial"/>
          <w:spacing w:val="13"/>
          <w:sz w:val="19"/>
          <w:szCs w:val="19"/>
        </w:rPr>
        <w:t xml:space="preserve"> </w:t>
      </w:r>
      <w:r>
        <w:rPr>
          <w:rFonts w:ascii="Arial" w:hAnsi="Arial" w:eastAsia="Arial" w:cs="Arial"/>
          <w:spacing w:val="-7"/>
          <w:sz w:val="19"/>
          <w:szCs w:val="19"/>
        </w:rPr>
        <w:t xml:space="preserve">Schaper </w:t>
      </w:r>
      <w:r>
        <w:fldChar w:fldCharType="begin"/>
      </w:r>
      <w:r>
        <w:instrText xml:space="preserve"> HYPERLINK \l "bookmark39" </w:instrText>
      </w:r>
      <w:r>
        <w:fldChar w:fldCharType="separate"/>
      </w:r>
      <w:r>
        <w:rPr>
          <w:rFonts w:ascii="Arial" w:hAnsi="Arial" w:eastAsia="Arial" w:cs="Arial"/>
          <w:color w:val="000084"/>
          <w:spacing w:val="-7"/>
          <w:sz w:val="19"/>
          <w:szCs w:val="19"/>
        </w:rPr>
        <w:t>2016</w:t>
      </w:r>
      <w:r>
        <w:rPr>
          <w:rFonts w:ascii="Arial" w:hAnsi="Arial" w:eastAsia="Arial" w:cs="Arial"/>
          <w:color w:val="000084"/>
          <w:spacing w:val="-7"/>
          <w:sz w:val="19"/>
          <w:szCs w:val="19"/>
        </w:rPr>
        <w:fldChar w:fldCharType="end"/>
      </w:r>
      <w:r>
        <w:rPr>
          <w:rFonts w:ascii="Arial" w:hAnsi="Arial" w:eastAsia="Arial" w:cs="Arial"/>
          <w:spacing w:val="-7"/>
          <w:sz w:val="19"/>
          <w:szCs w:val="19"/>
        </w:rPr>
        <w:t>).</w:t>
      </w:r>
    </w:p>
    <w:p>
      <w:pPr>
        <w:spacing w:line="340" w:lineRule="auto"/>
        <w:rPr>
          <w:rFonts w:ascii="Arial"/>
          <w:sz w:val="21"/>
        </w:rPr>
      </w:pPr>
    </w:p>
    <w:p>
      <w:pPr>
        <w:spacing w:before="61" w:line="193" w:lineRule="auto"/>
        <w:ind w:left="18"/>
        <w:outlineLvl w:val="2"/>
        <w:rPr>
          <w:rFonts w:ascii="Arial" w:hAnsi="Arial" w:eastAsia="Arial" w:cs="Arial"/>
          <w:sz w:val="21"/>
          <w:szCs w:val="21"/>
        </w:rPr>
      </w:pPr>
      <w:r>
        <w:rPr>
          <w:rFonts w:ascii="Arial" w:hAnsi="Arial" w:eastAsia="Arial" w:cs="Arial"/>
          <w:color w:val="282781"/>
          <w:spacing w:val="-3"/>
          <w:sz w:val="21"/>
          <w:szCs w:val="21"/>
        </w:rPr>
        <w:t>The</w:t>
      </w:r>
      <w:r>
        <w:rPr>
          <w:rFonts w:ascii="Arial" w:hAnsi="Arial" w:eastAsia="Arial" w:cs="Arial"/>
          <w:color w:val="282781"/>
          <w:spacing w:val="25"/>
          <w:w w:val="101"/>
          <w:sz w:val="21"/>
          <w:szCs w:val="21"/>
        </w:rPr>
        <w:t xml:space="preserve"> </w:t>
      </w:r>
      <w:r>
        <w:rPr>
          <w:rFonts w:ascii="Arial" w:hAnsi="Arial" w:eastAsia="Arial" w:cs="Arial"/>
          <w:color w:val="282781"/>
          <w:spacing w:val="-3"/>
          <w:sz w:val="21"/>
          <w:szCs w:val="21"/>
        </w:rPr>
        <w:t>heiQUALITY Cultures</w:t>
      </w:r>
      <w:r>
        <w:rPr>
          <w:rFonts w:ascii="Arial" w:hAnsi="Arial" w:eastAsia="Arial" w:cs="Arial"/>
          <w:color w:val="282781"/>
          <w:spacing w:val="16"/>
          <w:sz w:val="21"/>
          <w:szCs w:val="21"/>
        </w:rPr>
        <w:t xml:space="preserve"> </w:t>
      </w:r>
      <w:r>
        <w:rPr>
          <w:rFonts w:ascii="Arial" w:hAnsi="Arial" w:eastAsia="Arial" w:cs="Arial"/>
          <w:color w:val="282781"/>
          <w:spacing w:val="-3"/>
          <w:sz w:val="21"/>
          <w:szCs w:val="21"/>
        </w:rPr>
        <w:t>project</w:t>
      </w:r>
    </w:p>
    <w:p>
      <w:pPr>
        <w:spacing w:before="179" w:line="243" w:lineRule="auto"/>
        <w:ind w:left="21" w:right="6" w:hanging="6"/>
        <w:jc w:val="both"/>
        <w:rPr>
          <w:rFonts w:ascii="Arial" w:hAnsi="Arial" w:eastAsia="Arial" w:cs="Arial"/>
          <w:sz w:val="19"/>
          <w:szCs w:val="19"/>
        </w:rPr>
      </w:pPr>
      <w:r>
        <w:rPr>
          <w:rFonts w:ascii="Arial" w:hAnsi="Arial" w:eastAsia="Arial" w:cs="Arial"/>
          <w:spacing w:val="-5"/>
          <w:sz w:val="19"/>
          <w:szCs w:val="19"/>
        </w:rPr>
        <w:t>The following</w:t>
      </w:r>
      <w:r>
        <w:rPr>
          <w:rFonts w:ascii="Arial" w:hAnsi="Arial" w:eastAsia="Arial" w:cs="Arial"/>
          <w:spacing w:val="12"/>
          <w:sz w:val="19"/>
          <w:szCs w:val="19"/>
        </w:rPr>
        <w:t xml:space="preserve"> </w:t>
      </w:r>
      <w:r>
        <w:rPr>
          <w:rFonts w:ascii="Arial" w:hAnsi="Arial" w:eastAsia="Arial" w:cs="Arial"/>
          <w:spacing w:val="-5"/>
          <w:sz w:val="19"/>
          <w:szCs w:val="19"/>
        </w:rPr>
        <w:t>section</w:t>
      </w:r>
      <w:r>
        <w:rPr>
          <w:rFonts w:ascii="Arial" w:hAnsi="Arial" w:eastAsia="Arial" w:cs="Arial"/>
          <w:spacing w:val="18"/>
          <w:sz w:val="19"/>
          <w:szCs w:val="19"/>
        </w:rPr>
        <w:t xml:space="preserve"> </w:t>
      </w:r>
      <w:r>
        <w:rPr>
          <w:rFonts w:ascii="Arial" w:hAnsi="Arial" w:eastAsia="Arial" w:cs="Arial"/>
          <w:spacing w:val="-5"/>
          <w:sz w:val="19"/>
          <w:szCs w:val="19"/>
        </w:rPr>
        <w:t>provides</w:t>
      </w:r>
      <w:r>
        <w:rPr>
          <w:rFonts w:ascii="Arial" w:hAnsi="Arial" w:eastAsia="Arial" w:cs="Arial"/>
          <w:spacing w:val="11"/>
          <w:sz w:val="19"/>
          <w:szCs w:val="19"/>
        </w:rPr>
        <w:t xml:space="preserve"> </w:t>
      </w:r>
      <w:r>
        <w:rPr>
          <w:rFonts w:ascii="Arial" w:hAnsi="Arial" w:eastAsia="Arial" w:cs="Arial"/>
          <w:spacing w:val="-5"/>
          <w:sz w:val="19"/>
          <w:szCs w:val="19"/>
        </w:rPr>
        <w:t>a</w:t>
      </w:r>
      <w:r>
        <w:rPr>
          <w:rFonts w:ascii="Arial" w:hAnsi="Arial" w:eastAsia="Arial" w:cs="Arial"/>
          <w:spacing w:val="14"/>
          <w:sz w:val="19"/>
          <w:szCs w:val="19"/>
        </w:rPr>
        <w:t xml:space="preserve"> </w:t>
      </w:r>
      <w:r>
        <w:rPr>
          <w:rFonts w:ascii="Arial" w:hAnsi="Arial" w:eastAsia="Arial" w:cs="Arial"/>
          <w:spacing w:val="-5"/>
          <w:sz w:val="19"/>
          <w:szCs w:val="19"/>
        </w:rPr>
        <w:t>short</w:t>
      </w:r>
      <w:r>
        <w:rPr>
          <w:rFonts w:ascii="Arial" w:hAnsi="Arial" w:eastAsia="Arial" w:cs="Arial"/>
          <w:spacing w:val="13"/>
          <w:sz w:val="19"/>
          <w:szCs w:val="19"/>
        </w:rPr>
        <w:t xml:space="preserve"> </w:t>
      </w:r>
      <w:r>
        <w:rPr>
          <w:rFonts w:ascii="Arial" w:hAnsi="Arial" w:eastAsia="Arial" w:cs="Arial"/>
          <w:spacing w:val="-5"/>
          <w:sz w:val="19"/>
          <w:szCs w:val="19"/>
        </w:rPr>
        <w:t>overvi</w:t>
      </w:r>
      <w:r>
        <w:rPr>
          <w:rFonts w:ascii="Arial" w:hAnsi="Arial" w:eastAsia="Arial" w:cs="Arial"/>
          <w:spacing w:val="-6"/>
          <w:sz w:val="19"/>
          <w:szCs w:val="19"/>
        </w:rPr>
        <w:t>ew</w:t>
      </w:r>
      <w:r>
        <w:rPr>
          <w:rFonts w:ascii="Arial" w:hAnsi="Arial" w:eastAsia="Arial" w:cs="Arial"/>
          <w:spacing w:val="12"/>
          <w:sz w:val="19"/>
          <w:szCs w:val="19"/>
        </w:rPr>
        <w:t xml:space="preserve"> </w:t>
      </w:r>
      <w:r>
        <w:rPr>
          <w:rFonts w:ascii="Arial" w:hAnsi="Arial" w:eastAsia="Arial" w:cs="Arial"/>
          <w:spacing w:val="-6"/>
          <w:sz w:val="19"/>
          <w:szCs w:val="19"/>
        </w:rPr>
        <w:t>of our</w:t>
      </w:r>
      <w:r>
        <w:rPr>
          <w:rFonts w:ascii="Arial" w:hAnsi="Arial" w:eastAsia="Arial" w:cs="Arial"/>
          <w:spacing w:val="19"/>
          <w:w w:val="101"/>
          <w:sz w:val="19"/>
          <w:szCs w:val="19"/>
        </w:rPr>
        <w:t xml:space="preserve"> </w:t>
      </w:r>
      <w:r>
        <w:rPr>
          <w:rFonts w:ascii="Arial" w:hAnsi="Arial" w:eastAsia="Arial" w:cs="Arial"/>
          <w:spacing w:val="-6"/>
          <w:sz w:val="19"/>
          <w:szCs w:val="19"/>
        </w:rPr>
        <w:t>research</w:t>
      </w:r>
      <w:r>
        <w:rPr>
          <w:rFonts w:ascii="Arial" w:hAnsi="Arial" w:eastAsia="Arial" w:cs="Arial"/>
          <w:spacing w:val="14"/>
          <w:sz w:val="19"/>
          <w:szCs w:val="19"/>
        </w:rPr>
        <w:t xml:space="preserve"> </w:t>
      </w:r>
      <w:r>
        <w:rPr>
          <w:rFonts w:ascii="Arial" w:hAnsi="Arial" w:eastAsia="Arial" w:cs="Arial"/>
          <w:spacing w:val="-6"/>
          <w:sz w:val="19"/>
          <w:szCs w:val="19"/>
        </w:rPr>
        <w:t>approach.</w:t>
      </w:r>
      <w:r>
        <w:rPr>
          <w:rFonts w:ascii="Arial" w:hAnsi="Arial" w:eastAsia="Arial" w:cs="Arial"/>
          <w:spacing w:val="20"/>
          <w:sz w:val="19"/>
          <w:szCs w:val="19"/>
        </w:rPr>
        <w:t xml:space="preserve"> </w:t>
      </w:r>
      <w:r>
        <w:rPr>
          <w:rFonts w:ascii="Arial" w:hAnsi="Arial" w:eastAsia="Arial" w:cs="Arial"/>
          <w:spacing w:val="-6"/>
          <w:sz w:val="19"/>
          <w:szCs w:val="19"/>
        </w:rPr>
        <w:t>For</w:t>
      </w:r>
      <w:r>
        <w:rPr>
          <w:rFonts w:ascii="Arial" w:hAnsi="Arial" w:eastAsia="Arial" w:cs="Arial"/>
          <w:spacing w:val="18"/>
          <w:sz w:val="19"/>
          <w:szCs w:val="19"/>
        </w:rPr>
        <w:t xml:space="preserve"> </w:t>
      </w:r>
      <w:r>
        <w:rPr>
          <w:rFonts w:ascii="Arial" w:hAnsi="Arial" w:eastAsia="Arial" w:cs="Arial"/>
          <w:spacing w:val="-6"/>
          <w:sz w:val="19"/>
          <w:szCs w:val="19"/>
        </w:rPr>
        <w:t>more</w:t>
      </w:r>
      <w:r>
        <w:rPr>
          <w:rFonts w:ascii="Arial" w:hAnsi="Arial" w:eastAsia="Arial" w:cs="Arial"/>
          <w:spacing w:val="13"/>
          <w:w w:val="101"/>
          <w:sz w:val="19"/>
          <w:szCs w:val="19"/>
        </w:rPr>
        <w:t xml:space="preserve"> </w:t>
      </w:r>
      <w:r>
        <w:rPr>
          <w:rFonts w:ascii="Arial" w:hAnsi="Arial" w:eastAsia="Arial" w:cs="Arial"/>
          <w:spacing w:val="-6"/>
          <w:sz w:val="19"/>
          <w:szCs w:val="19"/>
        </w:rPr>
        <w:t>detailed</w:t>
      </w:r>
      <w:r>
        <w:rPr>
          <w:rFonts w:ascii="Arial" w:hAnsi="Arial" w:eastAsia="Arial" w:cs="Arial"/>
          <w:spacing w:val="16"/>
          <w:w w:val="101"/>
          <w:sz w:val="19"/>
          <w:szCs w:val="19"/>
        </w:rPr>
        <w:t xml:space="preserve"> </w:t>
      </w:r>
      <w:r>
        <w:rPr>
          <w:rFonts w:ascii="Arial" w:hAnsi="Arial" w:eastAsia="Arial" w:cs="Arial"/>
          <w:spacing w:val="-6"/>
          <w:sz w:val="19"/>
          <w:szCs w:val="19"/>
        </w:rPr>
        <w:t>infor-</w:t>
      </w:r>
      <w:r>
        <w:rPr>
          <w:rFonts w:ascii="Arial" w:hAnsi="Arial" w:eastAsia="Arial" w:cs="Arial"/>
          <w:sz w:val="19"/>
          <w:szCs w:val="19"/>
        </w:rPr>
        <w:t xml:space="preserve"> </w:t>
      </w:r>
      <w:r>
        <w:rPr>
          <w:rFonts w:ascii="Arial" w:hAnsi="Arial" w:eastAsia="Arial" w:cs="Arial"/>
          <w:spacing w:val="-9"/>
          <w:sz w:val="19"/>
          <w:szCs w:val="19"/>
        </w:rPr>
        <w:t>mat</w:t>
      </w:r>
      <w:r>
        <w:rPr>
          <w:rFonts w:ascii="Arial" w:hAnsi="Arial" w:eastAsia="Arial" w:cs="Arial"/>
          <w:spacing w:val="-8"/>
          <w:sz w:val="19"/>
          <w:szCs w:val="19"/>
        </w:rPr>
        <w:t>ion</w:t>
      </w:r>
      <w:r>
        <w:rPr>
          <w:rFonts w:ascii="Arial" w:hAnsi="Arial" w:eastAsia="Arial" w:cs="Arial"/>
          <w:spacing w:val="13"/>
          <w:sz w:val="19"/>
          <w:szCs w:val="19"/>
        </w:rPr>
        <w:t xml:space="preserve"> </w:t>
      </w:r>
      <w:r>
        <w:rPr>
          <w:rFonts w:ascii="Arial" w:hAnsi="Arial" w:eastAsia="Arial" w:cs="Arial"/>
          <w:spacing w:val="-8"/>
          <w:sz w:val="19"/>
          <w:szCs w:val="19"/>
        </w:rPr>
        <w:t>about</w:t>
      </w:r>
      <w:r>
        <w:rPr>
          <w:rFonts w:ascii="Arial" w:hAnsi="Arial" w:eastAsia="Arial" w:cs="Arial"/>
          <w:spacing w:val="9"/>
          <w:sz w:val="19"/>
          <w:szCs w:val="19"/>
        </w:rPr>
        <w:t xml:space="preserve"> </w:t>
      </w:r>
      <w:r>
        <w:rPr>
          <w:rFonts w:ascii="Arial" w:hAnsi="Arial" w:eastAsia="Arial" w:cs="Arial"/>
          <w:spacing w:val="-8"/>
          <w:sz w:val="19"/>
          <w:szCs w:val="19"/>
        </w:rPr>
        <w:t>the</w:t>
      </w:r>
      <w:r>
        <w:rPr>
          <w:rFonts w:ascii="Arial" w:hAnsi="Arial" w:eastAsia="Arial" w:cs="Arial"/>
          <w:spacing w:val="18"/>
          <w:w w:val="101"/>
          <w:sz w:val="19"/>
          <w:szCs w:val="19"/>
        </w:rPr>
        <w:t xml:space="preserve"> </w:t>
      </w:r>
      <w:r>
        <w:rPr>
          <w:rFonts w:ascii="Arial" w:hAnsi="Arial" w:eastAsia="Arial" w:cs="Arial"/>
          <w:spacing w:val="-8"/>
          <w:sz w:val="19"/>
          <w:szCs w:val="19"/>
        </w:rPr>
        <w:t>heiQUALITY</w:t>
      </w:r>
      <w:r>
        <w:rPr>
          <w:rFonts w:ascii="Arial" w:hAnsi="Arial" w:eastAsia="Arial" w:cs="Arial"/>
          <w:spacing w:val="10"/>
          <w:sz w:val="19"/>
          <w:szCs w:val="19"/>
        </w:rPr>
        <w:t xml:space="preserve"> </w:t>
      </w:r>
      <w:r>
        <w:rPr>
          <w:rFonts w:ascii="Arial" w:hAnsi="Arial" w:eastAsia="Arial" w:cs="Arial"/>
          <w:spacing w:val="-8"/>
          <w:sz w:val="19"/>
          <w:szCs w:val="19"/>
        </w:rPr>
        <w:t>Cultures</w:t>
      </w:r>
      <w:r>
        <w:rPr>
          <w:rFonts w:ascii="Arial" w:hAnsi="Arial" w:eastAsia="Arial" w:cs="Arial"/>
          <w:spacing w:val="19"/>
          <w:sz w:val="19"/>
          <w:szCs w:val="19"/>
        </w:rPr>
        <w:t xml:space="preserve"> </w:t>
      </w:r>
      <w:r>
        <w:rPr>
          <w:rFonts w:ascii="Arial" w:hAnsi="Arial" w:eastAsia="Arial" w:cs="Arial"/>
          <w:spacing w:val="-8"/>
          <w:sz w:val="19"/>
          <w:szCs w:val="19"/>
        </w:rPr>
        <w:t>Project,</w:t>
      </w:r>
      <w:r>
        <w:rPr>
          <w:rFonts w:ascii="Arial" w:hAnsi="Arial" w:eastAsia="Arial" w:cs="Arial"/>
          <w:spacing w:val="13"/>
          <w:w w:val="101"/>
          <w:sz w:val="19"/>
          <w:szCs w:val="19"/>
        </w:rPr>
        <w:t xml:space="preserve"> </w:t>
      </w:r>
      <w:r>
        <w:rPr>
          <w:rFonts w:ascii="Arial" w:hAnsi="Arial" w:eastAsia="Arial" w:cs="Arial"/>
          <w:spacing w:val="-8"/>
          <w:sz w:val="19"/>
          <w:szCs w:val="19"/>
        </w:rPr>
        <w:t>se</w:t>
      </w:r>
      <w:r>
        <w:rPr>
          <w:rFonts w:ascii="Arial" w:hAnsi="Arial" w:eastAsia="Arial" w:cs="Arial"/>
          <w:spacing w:val="-9"/>
          <w:sz w:val="19"/>
          <w:szCs w:val="19"/>
        </w:rPr>
        <w:t>e</w:t>
      </w:r>
      <w:r>
        <w:rPr>
          <w:rFonts w:ascii="Arial" w:hAnsi="Arial" w:eastAsia="Arial" w:cs="Arial"/>
          <w:spacing w:val="13"/>
          <w:sz w:val="19"/>
          <w:szCs w:val="19"/>
        </w:rPr>
        <w:t xml:space="preserve"> </w:t>
      </w:r>
      <w:r>
        <w:rPr>
          <w:rFonts w:ascii="Arial" w:hAnsi="Arial" w:eastAsia="Arial" w:cs="Arial"/>
          <w:spacing w:val="-9"/>
          <w:sz w:val="19"/>
          <w:szCs w:val="19"/>
        </w:rPr>
        <w:t>Sattler,</w:t>
      </w:r>
      <w:r>
        <w:rPr>
          <w:rFonts w:ascii="Arial" w:hAnsi="Arial" w:eastAsia="Arial" w:cs="Arial"/>
          <w:spacing w:val="14"/>
          <w:sz w:val="19"/>
          <w:szCs w:val="19"/>
        </w:rPr>
        <w:t xml:space="preserve"> </w:t>
      </w:r>
      <w:r>
        <w:rPr>
          <w:rFonts w:ascii="Arial" w:hAnsi="Arial" w:eastAsia="Arial" w:cs="Arial"/>
          <w:spacing w:val="-9"/>
          <w:sz w:val="19"/>
          <w:szCs w:val="19"/>
        </w:rPr>
        <w:t>Sonntag,</w:t>
      </w:r>
      <w:r>
        <w:rPr>
          <w:rFonts w:ascii="Arial" w:hAnsi="Arial" w:eastAsia="Arial" w:cs="Arial"/>
          <w:spacing w:val="12"/>
          <w:sz w:val="19"/>
          <w:szCs w:val="19"/>
        </w:rPr>
        <w:t xml:space="preserve"> </w:t>
      </w:r>
      <w:r>
        <w:rPr>
          <w:rFonts w:ascii="Arial" w:hAnsi="Arial" w:eastAsia="Arial" w:cs="Arial"/>
          <w:spacing w:val="-9"/>
          <w:sz w:val="19"/>
          <w:szCs w:val="19"/>
        </w:rPr>
        <w:t>and</w:t>
      </w:r>
      <w:r>
        <w:rPr>
          <w:rFonts w:ascii="Arial" w:hAnsi="Arial" w:eastAsia="Arial" w:cs="Arial"/>
          <w:spacing w:val="12"/>
          <w:sz w:val="19"/>
          <w:szCs w:val="19"/>
        </w:rPr>
        <w:t xml:space="preserve"> </w:t>
      </w:r>
      <w:r>
        <w:rPr>
          <w:rFonts w:ascii="Arial" w:hAnsi="Arial" w:eastAsia="Arial" w:cs="Arial"/>
          <w:spacing w:val="-9"/>
          <w:sz w:val="19"/>
          <w:szCs w:val="19"/>
        </w:rPr>
        <w:t>Götzen</w:t>
      </w:r>
      <w:r>
        <w:rPr>
          <w:rFonts w:ascii="Arial" w:hAnsi="Arial" w:eastAsia="Arial" w:cs="Arial"/>
          <w:spacing w:val="18"/>
          <w:w w:val="101"/>
          <w:sz w:val="19"/>
          <w:szCs w:val="19"/>
        </w:rPr>
        <w:t xml:space="preserve"> </w:t>
      </w:r>
      <w:r>
        <w:rPr>
          <w:rFonts w:ascii="Arial" w:hAnsi="Arial" w:eastAsia="Arial" w:cs="Arial"/>
          <w:spacing w:val="-9"/>
          <w:sz w:val="19"/>
          <w:szCs w:val="19"/>
        </w:rPr>
        <w:t>(</w:t>
      </w:r>
      <w:r>
        <w:fldChar w:fldCharType="begin"/>
      </w:r>
      <w:r>
        <w:instrText xml:space="preserve"> HYPERLINK \l "bookmark40" </w:instrText>
      </w:r>
      <w:r>
        <w:fldChar w:fldCharType="separate"/>
      </w:r>
      <w:r>
        <w:rPr>
          <w:rFonts w:ascii="Arial" w:hAnsi="Arial" w:eastAsia="Arial" w:cs="Arial"/>
          <w:color w:val="000084"/>
          <w:spacing w:val="-9"/>
          <w:sz w:val="19"/>
          <w:szCs w:val="19"/>
        </w:rPr>
        <w:t>2016</w:t>
      </w:r>
      <w:r>
        <w:rPr>
          <w:rFonts w:ascii="Arial" w:hAnsi="Arial" w:eastAsia="Arial" w:cs="Arial"/>
          <w:color w:val="000084"/>
          <w:spacing w:val="-9"/>
          <w:sz w:val="19"/>
          <w:szCs w:val="19"/>
        </w:rPr>
        <w:fldChar w:fldCharType="end"/>
      </w:r>
      <w:r>
        <w:rPr>
          <w:rFonts w:ascii="Arial" w:hAnsi="Arial" w:eastAsia="Arial" w:cs="Arial"/>
          <w:spacing w:val="-9"/>
          <w:sz w:val="19"/>
          <w:szCs w:val="19"/>
        </w:rPr>
        <w:t>),</w:t>
      </w:r>
      <w:r>
        <w:rPr>
          <w:rFonts w:ascii="Arial" w:hAnsi="Arial" w:eastAsia="Arial" w:cs="Arial"/>
          <w:spacing w:val="11"/>
          <w:sz w:val="19"/>
          <w:szCs w:val="19"/>
        </w:rPr>
        <w:t xml:space="preserve"> </w:t>
      </w:r>
      <w:r>
        <w:rPr>
          <w:rFonts w:ascii="Arial" w:hAnsi="Arial" w:eastAsia="Arial" w:cs="Arial"/>
          <w:spacing w:val="-9"/>
          <w:sz w:val="19"/>
          <w:szCs w:val="19"/>
        </w:rPr>
        <w:t>and</w:t>
      </w:r>
      <w:r>
        <w:rPr>
          <w:rFonts w:ascii="Arial" w:hAnsi="Arial" w:eastAsia="Arial" w:cs="Arial"/>
          <w:spacing w:val="13"/>
          <w:w w:val="101"/>
          <w:sz w:val="19"/>
          <w:szCs w:val="19"/>
        </w:rPr>
        <w:t xml:space="preserve"> </w:t>
      </w:r>
      <w:r>
        <w:rPr>
          <w:rFonts w:ascii="Arial" w:hAnsi="Arial" w:eastAsia="Arial" w:cs="Arial"/>
          <w:spacing w:val="-9"/>
          <w:sz w:val="19"/>
          <w:szCs w:val="19"/>
        </w:rPr>
        <w:t>Sattle</w:t>
      </w:r>
      <w:r>
        <w:rPr>
          <w:rFonts w:ascii="Arial" w:hAnsi="Arial" w:eastAsia="Arial" w:cs="Arial"/>
          <w:spacing w:val="-6"/>
          <w:sz w:val="19"/>
          <w:szCs w:val="19"/>
        </w:rPr>
        <w:t>r</w:t>
      </w:r>
      <w:r>
        <w:rPr>
          <w:rFonts w:ascii="Arial" w:hAnsi="Arial" w:eastAsia="Arial" w:cs="Arial"/>
          <w:sz w:val="19"/>
          <w:szCs w:val="19"/>
        </w:rPr>
        <w:t xml:space="preserve"> </w:t>
      </w:r>
      <w:r>
        <w:rPr>
          <w:rFonts w:ascii="Arial" w:hAnsi="Arial" w:eastAsia="Arial" w:cs="Arial"/>
          <w:spacing w:val="-8"/>
          <w:sz w:val="19"/>
          <w:szCs w:val="19"/>
        </w:rPr>
        <w:t>and</w:t>
      </w:r>
      <w:r>
        <w:rPr>
          <w:rFonts w:ascii="Arial" w:hAnsi="Arial" w:eastAsia="Arial" w:cs="Arial"/>
          <w:spacing w:val="18"/>
          <w:sz w:val="19"/>
          <w:szCs w:val="19"/>
        </w:rPr>
        <w:t xml:space="preserve"> </w:t>
      </w:r>
      <w:r>
        <w:rPr>
          <w:rFonts w:ascii="Arial" w:hAnsi="Arial" w:eastAsia="Arial" w:cs="Arial"/>
          <w:spacing w:val="-8"/>
          <w:sz w:val="19"/>
          <w:szCs w:val="19"/>
        </w:rPr>
        <w:t>Sonntag</w:t>
      </w:r>
      <w:r>
        <w:rPr>
          <w:rFonts w:ascii="Arial" w:hAnsi="Arial" w:eastAsia="Arial" w:cs="Arial"/>
          <w:spacing w:val="16"/>
          <w:w w:val="101"/>
          <w:sz w:val="19"/>
          <w:szCs w:val="19"/>
        </w:rPr>
        <w:t xml:space="preserve"> </w:t>
      </w:r>
      <w:r>
        <w:rPr>
          <w:rFonts w:ascii="Arial" w:hAnsi="Arial" w:eastAsia="Arial" w:cs="Arial"/>
          <w:spacing w:val="-8"/>
          <w:sz w:val="19"/>
          <w:szCs w:val="19"/>
        </w:rPr>
        <w:t>(</w:t>
      </w:r>
      <w:r>
        <w:fldChar w:fldCharType="begin"/>
      </w:r>
      <w:r>
        <w:instrText xml:space="preserve"> HYPERLINK \l "bookmark41" </w:instrText>
      </w:r>
      <w:r>
        <w:fldChar w:fldCharType="separate"/>
      </w:r>
      <w:r>
        <w:rPr>
          <w:rFonts w:ascii="Arial" w:hAnsi="Arial" w:eastAsia="Arial" w:cs="Arial"/>
          <w:color w:val="000084"/>
          <w:spacing w:val="-8"/>
          <w:sz w:val="19"/>
          <w:szCs w:val="19"/>
        </w:rPr>
        <w:t>2018</w:t>
      </w:r>
      <w:r>
        <w:rPr>
          <w:rFonts w:ascii="Arial" w:hAnsi="Arial" w:eastAsia="Arial" w:cs="Arial"/>
          <w:color w:val="000084"/>
          <w:spacing w:val="-8"/>
          <w:sz w:val="19"/>
          <w:szCs w:val="19"/>
        </w:rPr>
        <w:fldChar w:fldCharType="end"/>
      </w:r>
      <w:r>
        <w:rPr>
          <w:rFonts w:ascii="Arial" w:hAnsi="Arial" w:eastAsia="Arial" w:cs="Arial"/>
          <w:spacing w:val="-8"/>
          <w:sz w:val="19"/>
          <w:szCs w:val="19"/>
        </w:rPr>
        <w:t>).</w:t>
      </w:r>
    </w:p>
    <w:p>
      <w:pPr>
        <w:spacing w:before="58" w:line="253" w:lineRule="auto"/>
        <w:ind w:left="18" w:right="6" w:firstLine="235"/>
        <w:jc w:val="both"/>
        <w:rPr>
          <w:rFonts w:ascii="Arial" w:hAnsi="Arial" w:eastAsia="Arial" w:cs="Arial"/>
          <w:sz w:val="19"/>
          <w:szCs w:val="19"/>
        </w:rPr>
      </w:pPr>
      <w:r>
        <w:rPr>
          <w:rFonts w:ascii="Arial" w:hAnsi="Arial" w:eastAsia="Arial" w:cs="Arial"/>
          <w:spacing w:val="-6"/>
          <w:sz w:val="19"/>
          <w:szCs w:val="19"/>
        </w:rPr>
        <w:t>The</w:t>
      </w:r>
      <w:r>
        <w:rPr>
          <w:rFonts w:ascii="Arial" w:hAnsi="Arial" w:eastAsia="Arial" w:cs="Arial"/>
          <w:spacing w:val="12"/>
          <w:sz w:val="19"/>
          <w:szCs w:val="19"/>
        </w:rPr>
        <w:t xml:space="preserve"> </w:t>
      </w:r>
      <w:r>
        <w:rPr>
          <w:rFonts w:ascii="Arial" w:hAnsi="Arial" w:eastAsia="Arial" w:cs="Arial"/>
          <w:spacing w:val="-6"/>
          <w:sz w:val="19"/>
          <w:szCs w:val="19"/>
        </w:rPr>
        <w:t>heiQUALITY Cultures</w:t>
      </w:r>
      <w:r>
        <w:rPr>
          <w:rFonts w:ascii="Arial" w:hAnsi="Arial" w:eastAsia="Arial" w:cs="Arial"/>
          <w:spacing w:val="11"/>
          <w:sz w:val="19"/>
          <w:szCs w:val="19"/>
        </w:rPr>
        <w:t xml:space="preserve"> </w:t>
      </w:r>
      <w:r>
        <w:rPr>
          <w:rFonts w:ascii="Arial" w:hAnsi="Arial" w:eastAsia="Arial" w:cs="Arial"/>
          <w:spacing w:val="-6"/>
          <w:sz w:val="19"/>
          <w:szCs w:val="19"/>
        </w:rPr>
        <w:t>Project</w:t>
      </w:r>
      <w:r>
        <w:rPr>
          <w:rFonts w:ascii="Arial" w:hAnsi="Arial" w:eastAsia="Arial" w:cs="Arial"/>
          <w:spacing w:val="9"/>
          <w:sz w:val="19"/>
          <w:szCs w:val="19"/>
        </w:rPr>
        <w:t xml:space="preserve"> </w:t>
      </w:r>
      <w:r>
        <w:rPr>
          <w:rFonts w:ascii="Arial" w:hAnsi="Arial" w:eastAsia="Arial" w:cs="Arial"/>
          <w:spacing w:val="-6"/>
          <w:sz w:val="19"/>
          <w:szCs w:val="19"/>
        </w:rPr>
        <w:t>(‘</w:t>
      </w:r>
      <w:r>
        <w:rPr>
          <w:rFonts w:ascii="Arial" w:hAnsi="Arial" w:eastAsia="Arial" w:cs="Arial"/>
          <w:spacing w:val="-37"/>
          <w:sz w:val="19"/>
          <w:szCs w:val="19"/>
        </w:rPr>
        <w:t xml:space="preserve"> </w:t>
      </w:r>
      <w:r>
        <w:rPr>
          <w:rFonts w:ascii="Arial" w:hAnsi="Arial" w:eastAsia="Arial" w:cs="Arial"/>
          <w:spacing w:val="-6"/>
          <w:sz w:val="19"/>
          <w:szCs w:val="19"/>
        </w:rPr>
        <w:t>Development and Testing of a</w:t>
      </w:r>
      <w:r>
        <w:rPr>
          <w:rFonts w:ascii="Arial" w:hAnsi="Arial" w:eastAsia="Arial" w:cs="Arial"/>
          <w:spacing w:val="-7"/>
          <w:sz w:val="19"/>
          <w:szCs w:val="19"/>
        </w:rPr>
        <w:t>n</w:t>
      </w:r>
      <w:r>
        <w:rPr>
          <w:rFonts w:ascii="Arial" w:hAnsi="Arial" w:eastAsia="Arial" w:cs="Arial"/>
          <w:spacing w:val="12"/>
          <w:sz w:val="19"/>
          <w:szCs w:val="19"/>
        </w:rPr>
        <w:t xml:space="preserve"> </w:t>
      </w:r>
      <w:r>
        <w:rPr>
          <w:rFonts w:ascii="Arial" w:hAnsi="Arial" w:eastAsia="Arial" w:cs="Arial"/>
          <w:spacing w:val="-7"/>
          <w:sz w:val="19"/>
          <w:szCs w:val="19"/>
        </w:rPr>
        <w:t>Instrument for the</w:t>
      </w:r>
      <w:r>
        <w:rPr>
          <w:rFonts w:ascii="Arial" w:hAnsi="Arial" w:eastAsia="Arial" w:cs="Arial"/>
          <w:spacing w:val="11"/>
          <w:sz w:val="19"/>
          <w:szCs w:val="19"/>
        </w:rPr>
        <w:t xml:space="preserve"> </w:t>
      </w:r>
      <w:r>
        <w:rPr>
          <w:rFonts w:ascii="Arial" w:hAnsi="Arial" w:eastAsia="Arial" w:cs="Arial"/>
          <w:spacing w:val="-7"/>
          <w:sz w:val="19"/>
          <w:szCs w:val="19"/>
        </w:rPr>
        <w:t>Description</w:t>
      </w:r>
      <w:r>
        <w:rPr>
          <w:rFonts w:ascii="Arial" w:hAnsi="Arial" w:eastAsia="Arial" w:cs="Arial"/>
          <w:sz w:val="19"/>
          <w:szCs w:val="19"/>
        </w:rPr>
        <w:t xml:space="preserve"> </w:t>
      </w:r>
      <w:r>
        <w:rPr>
          <w:rFonts w:ascii="Arial" w:hAnsi="Arial" w:eastAsia="Arial" w:cs="Arial"/>
          <w:spacing w:val="-6"/>
          <w:sz w:val="19"/>
          <w:szCs w:val="19"/>
        </w:rPr>
        <w:t>and Assessment of Quality Cultures</w:t>
      </w:r>
      <w:r>
        <w:rPr>
          <w:rFonts w:ascii="Arial" w:hAnsi="Arial" w:eastAsia="Arial" w:cs="Arial"/>
          <w:spacing w:val="15"/>
          <w:sz w:val="19"/>
          <w:szCs w:val="19"/>
        </w:rPr>
        <w:t xml:space="preserve"> </w:t>
      </w:r>
      <w:r>
        <w:rPr>
          <w:rFonts w:ascii="Arial" w:hAnsi="Arial" w:eastAsia="Arial" w:cs="Arial"/>
          <w:spacing w:val="-6"/>
          <w:sz w:val="19"/>
          <w:szCs w:val="19"/>
        </w:rPr>
        <w:t>at</w:t>
      </w:r>
      <w:r>
        <w:rPr>
          <w:rFonts w:ascii="Arial" w:hAnsi="Arial" w:eastAsia="Arial" w:cs="Arial"/>
          <w:spacing w:val="15"/>
          <w:sz w:val="19"/>
          <w:szCs w:val="19"/>
        </w:rPr>
        <w:t xml:space="preserve"> </w:t>
      </w:r>
      <w:r>
        <w:rPr>
          <w:rFonts w:ascii="Arial" w:hAnsi="Arial" w:eastAsia="Arial" w:cs="Arial"/>
          <w:spacing w:val="-6"/>
          <w:sz w:val="19"/>
          <w:szCs w:val="19"/>
        </w:rPr>
        <w:t>Higher</w:t>
      </w:r>
      <w:r>
        <w:rPr>
          <w:rFonts w:ascii="Arial" w:hAnsi="Arial" w:eastAsia="Arial" w:cs="Arial"/>
          <w:spacing w:val="17"/>
          <w:sz w:val="19"/>
          <w:szCs w:val="19"/>
        </w:rPr>
        <w:t xml:space="preserve"> </w:t>
      </w:r>
      <w:r>
        <w:rPr>
          <w:rFonts w:ascii="Arial" w:hAnsi="Arial" w:eastAsia="Arial" w:cs="Arial"/>
          <w:spacing w:val="-6"/>
          <w:sz w:val="19"/>
          <w:szCs w:val="19"/>
        </w:rPr>
        <w:t>Education</w:t>
      </w:r>
      <w:r>
        <w:rPr>
          <w:rFonts w:ascii="Arial" w:hAnsi="Arial" w:eastAsia="Arial" w:cs="Arial"/>
          <w:spacing w:val="17"/>
          <w:sz w:val="19"/>
          <w:szCs w:val="19"/>
        </w:rPr>
        <w:t xml:space="preserve"> </w:t>
      </w:r>
      <w:r>
        <w:rPr>
          <w:rFonts w:ascii="Arial" w:hAnsi="Arial" w:eastAsia="Arial" w:cs="Arial"/>
          <w:spacing w:val="-6"/>
          <w:sz w:val="19"/>
          <w:szCs w:val="19"/>
        </w:rPr>
        <w:t>Institutions’) was</w:t>
      </w:r>
      <w:r>
        <w:rPr>
          <w:rFonts w:ascii="Arial" w:hAnsi="Arial" w:eastAsia="Arial" w:cs="Arial"/>
          <w:spacing w:val="9"/>
          <w:sz w:val="19"/>
          <w:szCs w:val="19"/>
        </w:rPr>
        <w:t xml:space="preserve"> </w:t>
      </w:r>
      <w:r>
        <w:rPr>
          <w:rFonts w:ascii="Arial" w:hAnsi="Arial" w:eastAsia="Arial" w:cs="Arial"/>
          <w:spacing w:val="-6"/>
          <w:sz w:val="19"/>
          <w:szCs w:val="19"/>
        </w:rPr>
        <w:t>conducted</w:t>
      </w:r>
      <w:r>
        <w:rPr>
          <w:rFonts w:ascii="Arial" w:hAnsi="Arial" w:eastAsia="Arial" w:cs="Arial"/>
          <w:spacing w:val="15"/>
          <w:sz w:val="19"/>
          <w:szCs w:val="19"/>
        </w:rPr>
        <w:t xml:space="preserve"> </w:t>
      </w:r>
      <w:r>
        <w:rPr>
          <w:rFonts w:ascii="Arial" w:hAnsi="Arial" w:eastAsia="Arial" w:cs="Arial"/>
          <w:spacing w:val="-6"/>
          <w:sz w:val="19"/>
          <w:szCs w:val="19"/>
        </w:rPr>
        <w:t>between</w:t>
      </w:r>
      <w:r>
        <w:rPr>
          <w:rFonts w:ascii="Arial" w:hAnsi="Arial" w:eastAsia="Arial" w:cs="Arial"/>
          <w:spacing w:val="10"/>
          <w:sz w:val="19"/>
          <w:szCs w:val="19"/>
        </w:rPr>
        <w:t xml:space="preserve"> </w:t>
      </w:r>
      <w:r>
        <w:rPr>
          <w:rFonts w:ascii="Arial" w:hAnsi="Arial" w:eastAsia="Arial" w:cs="Arial"/>
          <w:spacing w:val="-6"/>
          <w:sz w:val="19"/>
          <w:szCs w:val="19"/>
        </w:rPr>
        <w:t>2012</w:t>
      </w:r>
      <w:r>
        <w:rPr>
          <w:rFonts w:ascii="Arial" w:hAnsi="Arial" w:eastAsia="Arial" w:cs="Arial"/>
          <w:sz w:val="19"/>
          <w:szCs w:val="19"/>
        </w:rPr>
        <w:t xml:space="preserve"> </w:t>
      </w:r>
      <w:r>
        <w:rPr>
          <w:rFonts w:ascii="Arial" w:hAnsi="Arial" w:eastAsia="Arial" w:cs="Arial"/>
          <w:spacing w:val="-6"/>
          <w:sz w:val="19"/>
          <w:szCs w:val="19"/>
        </w:rPr>
        <w:t>and 2015. It was designed as a multidisciplinary coopera</w:t>
      </w:r>
      <w:r>
        <w:rPr>
          <w:rFonts w:ascii="Arial" w:hAnsi="Arial" w:eastAsia="Arial" w:cs="Arial"/>
          <w:spacing w:val="-7"/>
          <w:sz w:val="19"/>
          <w:szCs w:val="19"/>
        </w:rPr>
        <w:t>tion project between three German HEIs, one</w:t>
      </w:r>
      <w:r>
        <w:rPr>
          <w:rFonts w:ascii="Arial" w:hAnsi="Arial" w:eastAsia="Arial" w:cs="Arial"/>
          <w:sz w:val="19"/>
          <w:szCs w:val="19"/>
        </w:rPr>
        <w:t xml:space="preserve"> </w:t>
      </w:r>
      <w:r>
        <w:rPr>
          <w:rFonts w:ascii="Arial" w:hAnsi="Arial" w:eastAsia="Arial" w:cs="Arial"/>
          <w:spacing w:val="-6"/>
          <w:sz w:val="19"/>
          <w:szCs w:val="19"/>
        </w:rPr>
        <w:t>of which</w:t>
      </w:r>
      <w:r>
        <w:rPr>
          <w:rFonts w:ascii="Arial" w:hAnsi="Arial" w:eastAsia="Arial" w:cs="Arial"/>
          <w:spacing w:val="35"/>
          <w:w w:val="101"/>
          <w:sz w:val="19"/>
          <w:szCs w:val="19"/>
        </w:rPr>
        <w:t xml:space="preserve"> </w:t>
      </w:r>
      <w:r>
        <w:rPr>
          <w:rFonts w:ascii="Arial" w:hAnsi="Arial" w:eastAsia="Arial" w:cs="Arial"/>
          <w:spacing w:val="-6"/>
          <w:sz w:val="19"/>
          <w:szCs w:val="19"/>
        </w:rPr>
        <w:t>is</w:t>
      </w:r>
      <w:r>
        <w:rPr>
          <w:rFonts w:ascii="Arial" w:hAnsi="Arial" w:eastAsia="Arial" w:cs="Arial"/>
          <w:spacing w:val="15"/>
          <w:w w:val="101"/>
          <w:sz w:val="19"/>
          <w:szCs w:val="19"/>
        </w:rPr>
        <w:t xml:space="preserve"> </w:t>
      </w:r>
      <w:r>
        <w:rPr>
          <w:rFonts w:ascii="Arial" w:hAnsi="Arial" w:eastAsia="Arial" w:cs="Arial"/>
          <w:spacing w:val="-6"/>
          <w:sz w:val="19"/>
          <w:szCs w:val="19"/>
        </w:rPr>
        <w:t>a</w:t>
      </w:r>
      <w:r>
        <w:rPr>
          <w:rFonts w:ascii="Arial" w:hAnsi="Arial" w:eastAsia="Arial" w:cs="Arial"/>
          <w:spacing w:val="20"/>
          <w:sz w:val="19"/>
          <w:szCs w:val="19"/>
        </w:rPr>
        <w:t xml:space="preserve"> </w:t>
      </w:r>
      <w:r>
        <w:rPr>
          <w:rFonts w:ascii="Arial" w:hAnsi="Arial" w:eastAsia="Arial" w:cs="Arial"/>
          <w:spacing w:val="-6"/>
          <w:sz w:val="19"/>
          <w:szCs w:val="19"/>
        </w:rPr>
        <w:t>public</w:t>
      </w:r>
      <w:r>
        <w:rPr>
          <w:rFonts w:ascii="Arial" w:hAnsi="Arial" w:eastAsia="Arial" w:cs="Arial"/>
          <w:spacing w:val="20"/>
          <w:sz w:val="19"/>
          <w:szCs w:val="19"/>
        </w:rPr>
        <w:t xml:space="preserve"> </w:t>
      </w:r>
      <w:r>
        <w:rPr>
          <w:rFonts w:ascii="Arial" w:hAnsi="Arial" w:eastAsia="Arial" w:cs="Arial"/>
          <w:spacing w:val="-6"/>
          <w:sz w:val="19"/>
          <w:szCs w:val="19"/>
        </w:rPr>
        <w:t>research</w:t>
      </w:r>
      <w:r>
        <w:rPr>
          <w:rFonts w:ascii="Arial" w:hAnsi="Arial" w:eastAsia="Arial" w:cs="Arial"/>
          <w:spacing w:val="22"/>
          <w:sz w:val="19"/>
          <w:szCs w:val="19"/>
        </w:rPr>
        <w:t xml:space="preserve"> </w:t>
      </w:r>
      <w:r>
        <w:rPr>
          <w:rFonts w:ascii="Arial" w:hAnsi="Arial" w:eastAsia="Arial" w:cs="Arial"/>
          <w:spacing w:val="-6"/>
          <w:sz w:val="19"/>
          <w:szCs w:val="19"/>
        </w:rPr>
        <w:t>university</w:t>
      </w:r>
      <w:r>
        <w:rPr>
          <w:rFonts w:ascii="Arial" w:hAnsi="Arial" w:eastAsia="Arial" w:cs="Arial"/>
          <w:spacing w:val="13"/>
          <w:sz w:val="19"/>
          <w:szCs w:val="19"/>
        </w:rPr>
        <w:t xml:space="preserve"> </w:t>
      </w:r>
      <w:r>
        <w:rPr>
          <w:rFonts w:ascii="Arial" w:hAnsi="Arial" w:eastAsia="Arial" w:cs="Arial"/>
          <w:spacing w:val="-6"/>
          <w:sz w:val="19"/>
          <w:szCs w:val="19"/>
        </w:rPr>
        <w:t>while</w:t>
      </w:r>
      <w:r>
        <w:rPr>
          <w:rFonts w:ascii="Arial" w:hAnsi="Arial" w:eastAsia="Arial" w:cs="Arial"/>
          <w:spacing w:val="11"/>
          <w:sz w:val="19"/>
          <w:szCs w:val="19"/>
        </w:rPr>
        <w:t xml:space="preserve"> </w:t>
      </w:r>
      <w:r>
        <w:rPr>
          <w:rFonts w:ascii="Arial" w:hAnsi="Arial" w:eastAsia="Arial" w:cs="Arial"/>
          <w:spacing w:val="-6"/>
          <w:sz w:val="19"/>
          <w:szCs w:val="19"/>
        </w:rPr>
        <w:t>the</w:t>
      </w:r>
      <w:r>
        <w:rPr>
          <w:rFonts w:ascii="Arial" w:hAnsi="Arial" w:eastAsia="Arial" w:cs="Arial"/>
          <w:spacing w:val="16"/>
          <w:sz w:val="19"/>
          <w:szCs w:val="19"/>
        </w:rPr>
        <w:t xml:space="preserve"> </w:t>
      </w:r>
      <w:r>
        <w:rPr>
          <w:rFonts w:ascii="Arial" w:hAnsi="Arial" w:eastAsia="Arial" w:cs="Arial"/>
          <w:spacing w:val="-6"/>
          <w:sz w:val="19"/>
          <w:szCs w:val="19"/>
        </w:rPr>
        <w:t>other</w:t>
      </w:r>
      <w:r>
        <w:rPr>
          <w:rFonts w:ascii="Arial" w:hAnsi="Arial" w:eastAsia="Arial" w:cs="Arial"/>
          <w:spacing w:val="11"/>
          <w:sz w:val="19"/>
          <w:szCs w:val="19"/>
        </w:rPr>
        <w:t xml:space="preserve"> </w:t>
      </w:r>
      <w:r>
        <w:rPr>
          <w:rFonts w:ascii="Arial" w:hAnsi="Arial" w:eastAsia="Arial" w:cs="Arial"/>
          <w:spacing w:val="-6"/>
          <w:sz w:val="19"/>
          <w:szCs w:val="19"/>
        </w:rPr>
        <w:t>two</w:t>
      </w:r>
      <w:r>
        <w:rPr>
          <w:rFonts w:ascii="Arial" w:hAnsi="Arial" w:eastAsia="Arial" w:cs="Arial"/>
          <w:spacing w:val="14"/>
          <w:w w:val="101"/>
          <w:sz w:val="19"/>
          <w:szCs w:val="19"/>
        </w:rPr>
        <w:t xml:space="preserve"> </w:t>
      </w:r>
      <w:r>
        <w:rPr>
          <w:rFonts w:ascii="Arial" w:hAnsi="Arial" w:eastAsia="Arial" w:cs="Arial"/>
          <w:spacing w:val="-6"/>
          <w:sz w:val="19"/>
          <w:szCs w:val="19"/>
        </w:rPr>
        <w:t>are</w:t>
      </w:r>
      <w:r>
        <w:rPr>
          <w:rFonts w:ascii="Arial" w:hAnsi="Arial" w:eastAsia="Arial" w:cs="Arial"/>
          <w:spacing w:val="22"/>
          <w:sz w:val="19"/>
          <w:szCs w:val="19"/>
        </w:rPr>
        <w:t xml:space="preserve"> </w:t>
      </w:r>
      <w:r>
        <w:rPr>
          <w:rFonts w:ascii="Arial" w:hAnsi="Arial" w:eastAsia="Arial" w:cs="Arial"/>
          <w:spacing w:val="-6"/>
          <w:sz w:val="19"/>
          <w:szCs w:val="19"/>
        </w:rPr>
        <w:t>universities</w:t>
      </w:r>
      <w:r>
        <w:rPr>
          <w:rFonts w:ascii="Arial" w:hAnsi="Arial" w:eastAsia="Arial" w:cs="Arial"/>
          <w:spacing w:val="16"/>
          <w:sz w:val="19"/>
          <w:szCs w:val="19"/>
        </w:rPr>
        <w:t xml:space="preserve"> </w:t>
      </w:r>
      <w:r>
        <w:rPr>
          <w:rFonts w:ascii="Arial" w:hAnsi="Arial" w:eastAsia="Arial" w:cs="Arial"/>
          <w:spacing w:val="-6"/>
          <w:sz w:val="19"/>
          <w:szCs w:val="19"/>
        </w:rPr>
        <w:t>of applied</w:t>
      </w:r>
      <w:r>
        <w:rPr>
          <w:rFonts w:ascii="Arial" w:hAnsi="Arial" w:eastAsia="Arial" w:cs="Arial"/>
          <w:spacing w:val="16"/>
          <w:w w:val="101"/>
          <w:sz w:val="19"/>
          <w:szCs w:val="19"/>
        </w:rPr>
        <w:t xml:space="preserve"> </w:t>
      </w:r>
      <w:r>
        <w:rPr>
          <w:rFonts w:ascii="Arial" w:hAnsi="Arial" w:eastAsia="Arial" w:cs="Arial"/>
          <w:spacing w:val="-6"/>
          <w:sz w:val="19"/>
          <w:szCs w:val="19"/>
        </w:rPr>
        <w:t>sciences.</w:t>
      </w:r>
      <w:r>
        <w:rPr>
          <w:rFonts w:ascii="Arial" w:hAnsi="Arial" w:eastAsia="Arial" w:cs="Arial"/>
          <w:spacing w:val="23"/>
          <w:sz w:val="19"/>
          <w:szCs w:val="19"/>
        </w:rPr>
        <w:t xml:space="preserve"> </w:t>
      </w:r>
      <w:r>
        <w:rPr>
          <w:rFonts w:ascii="Arial" w:hAnsi="Arial" w:eastAsia="Arial" w:cs="Arial"/>
          <w:spacing w:val="-6"/>
          <w:sz w:val="19"/>
          <w:szCs w:val="19"/>
        </w:rPr>
        <w:t>By</w:t>
      </w:r>
      <w:r>
        <w:rPr>
          <w:rFonts w:ascii="Arial" w:hAnsi="Arial" w:eastAsia="Arial" w:cs="Arial"/>
          <w:sz w:val="19"/>
          <w:szCs w:val="19"/>
        </w:rPr>
        <w:t xml:space="preserve"> </w:t>
      </w:r>
      <w:r>
        <w:rPr>
          <w:rFonts w:ascii="Arial" w:hAnsi="Arial" w:eastAsia="Arial" w:cs="Arial"/>
          <w:spacing w:val="-4"/>
          <w:sz w:val="19"/>
          <w:szCs w:val="19"/>
        </w:rPr>
        <w:t>involving somewhat diferent types of HEI, the project aimed at taking multiple professional pers</w:t>
      </w:r>
      <w:r>
        <w:rPr>
          <w:rFonts w:ascii="Arial" w:hAnsi="Arial" w:eastAsia="Arial" w:cs="Arial"/>
          <w:spacing w:val="-5"/>
          <w:sz w:val="19"/>
          <w:szCs w:val="19"/>
        </w:rPr>
        <w:t>pec-</w:t>
      </w:r>
      <w:r>
        <w:rPr>
          <w:rFonts w:ascii="Arial" w:hAnsi="Arial" w:eastAsia="Arial" w:cs="Arial"/>
          <w:sz w:val="19"/>
          <w:szCs w:val="19"/>
        </w:rPr>
        <w:t xml:space="preserve"> </w:t>
      </w:r>
      <w:r>
        <w:rPr>
          <w:rFonts w:ascii="Arial" w:hAnsi="Arial" w:eastAsia="Arial" w:cs="Arial"/>
          <w:spacing w:val="-4"/>
          <w:sz w:val="19"/>
          <w:szCs w:val="19"/>
        </w:rPr>
        <w:t>tives</w:t>
      </w:r>
      <w:r>
        <w:rPr>
          <w:rFonts w:ascii="Arial" w:hAnsi="Arial" w:eastAsia="Arial" w:cs="Arial"/>
          <w:spacing w:val="16"/>
          <w:w w:val="101"/>
          <w:sz w:val="19"/>
          <w:szCs w:val="19"/>
        </w:rPr>
        <w:t xml:space="preserve"> </w:t>
      </w:r>
      <w:r>
        <w:rPr>
          <w:rFonts w:ascii="Arial" w:hAnsi="Arial" w:eastAsia="Arial" w:cs="Arial"/>
          <w:spacing w:val="-4"/>
          <w:sz w:val="19"/>
          <w:szCs w:val="19"/>
        </w:rPr>
        <w:t>into</w:t>
      </w:r>
      <w:r>
        <w:rPr>
          <w:rFonts w:ascii="Arial" w:hAnsi="Arial" w:eastAsia="Arial" w:cs="Arial"/>
          <w:spacing w:val="12"/>
          <w:sz w:val="19"/>
          <w:szCs w:val="19"/>
        </w:rPr>
        <w:t xml:space="preserve"> </w:t>
      </w:r>
      <w:r>
        <w:rPr>
          <w:rFonts w:ascii="Arial" w:hAnsi="Arial" w:eastAsia="Arial" w:cs="Arial"/>
          <w:spacing w:val="-4"/>
          <w:sz w:val="19"/>
          <w:szCs w:val="19"/>
        </w:rPr>
        <w:t>account</w:t>
      </w:r>
      <w:r>
        <w:rPr>
          <w:rFonts w:ascii="Arial" w:hAnsi="Arial" w:eastAsia="Arial" w:cs="Arial"/>
          <w:spacing w:val="13"/>
          <w:w w:val="101"/>
          <w:sz w:val="19"/>
          <w:szCs w:val="19"/>
        </w:rPr>
        <w:t xml:space="preserve"> </w:t>
      </w:r>
      <w:r>
        <w:rPr>
          <w:rFonts w:ascii="Arial" w:hAnsi="Arial" w:eastAsia="Arial" w:cs="Arial"/>
          <w:spacing w:val="-4"/>
          <w:sz w:val="19"/>
          <w:szCs w:val="19"/>
        </w:rPr>
        <w:t>and</w:t>
      </w:r>
      <w:r>
        <w:rPr>
          <w:rFonts w:ascii="Arial" w:hAnsi="Arial" w:eastAsia="Arial" w:cs="Arial"/>
          <w:spacing w:val="10"/>
          <w:sz w:val="19"/>
          <w:szCs w:val="19"/>
        </w:rPr>
        <w:t xml:space="preserve"> </w:t>
      </w:r>
      <w:r>
        <w:rPr>
          <w:rFonts w:ascii="Arial" w:hAnsi="Arial" w:eastAsia="Arial" w:cs="Arial"/>
          <w:spacing w:val="-4"/>
          <w:sz w:val="19"/>
          <w:szCs w:val="19"/>
        </w:rPr>
        <w:t>allowed for</w:t>
      </w:r>
      <w:r>
        <w:rPr>
          <w:rFonts w:ascii="Arial" w:hAnsi="Arial" w:eastAsia="Arial" w:cs="Arial"/>
          <w:spacing w:val="13"/>
          <w:sz w:val="19"/>
          <w:szCs w:val="19"/>
        </w:rPr>
        <w:t xml:space="preserve"> </w:t>
      </w:r>
      <w:r>
        <w:rPr>
          <w:rFonts w:ascii="Arial" w:hAnsi="Arial" w:eastAsia="Arial" w:cs="Arial"/>
          <w:spacing w:val="-4"/>
          <w:sz w:val="19"/>
          <w:szCs w:val="19"/>
        </w:rPr>
        <w:t>an</w:t>
      </w:r>
      <w:r>
        <w:rPr>
          <w:rFonts w:ascii="Arial" w:hAnsi="Arial" w:eastAsia="Arial" w:cs="Arial"/>
          <w:spacing w:val="16"/>
          <w:sz w:val="19"/>
          <w:szCs w:val="19"/>
        </w:rPr>
        <w:t xml:space="preserve"> </w:t>
      </w:r>
      <w:r>
        <w:rPr>
          <w:rFonts w:ascii="Arial" w:hAnsi="Arial" w:eastAsia="Arial" w:cs="Arial"/>
          <w:spacing w:val="-4"/>
          <w:sz w:val="19"/>
          <w:szCs w:val="19"/>
        </w:rPr>
        <w:t>investigation</w:t>
      </w:r>
      <w:r>
        <w:rPr>
          <w:rFonts w:ascii="Arial" w:hAnsi="Arial" w:eastAsia="Arial" w:cs="Arial"/>
          <w:spacing w:val="12"/>
          <w:sz w:val="19"/>
          <w:szCs w:val="19"/>
        </w:rPr>
        <w:t xml:space="preserve"> </w:t>
      </w:r>
      <w:r>
        <w:rPr>
          <w:rFonts w:ascii="Arial" w:hAnsi="Arial" w:eastAsia="Arial" w:cs="Arial"/>
          <w:spacing w:val="-4"/>
          <w:sz w:val="19"/>
          <w:szCs w:val="19"/>
        </w:rPr>
        <w:t>of</w:t>
      </w:r>
      <w:r>
        <w:rPr>
          <w:rFonts w:ascii="Arial" w:hAnsi="Arial" w:eastAsia="Arial" w:cs="Arial"/>
          <w:spacing w:val="12"/>
          <w:sz w:val="19"/>
          <w:szCs w:val="19"/>
        </w:rPr>
        <w:t xml:space="preserve"> </w:t>
      </w:r>
      <w:r>
        <w:rPr>
          <w:rFonts w:ascii="Arial" w:hAnsi="Arial" w:eastAsia="Arial" w:cs="Arial"/>
          <w:spacing w:val="-4"/>
          <w:sz w:val="19"/>
          <w:szCs w:val="19"/>
        </w:rPr>
        <w:t>H</w:t>
      </w:r>
      <w:r>
        <w:rPr>
          <w:rFonts w:ascii="Arial" w:hAnsi="Arial" w:eastAsia="Arial" w:cs="Arial"/>
          <w:spacing w:val="-5"/>
          <w:sz w:val="19"/>
          <w:szCs w:val="19"/>
        </w:rPr>
        <w:t>EI-speciic</w:t>
      </w:r>
      <w:r>
        <w:rPr>
          <w:rFonts w:ascii="Arial" w:hAnsi="Arial" w:eastAsia="Arial" w:cs="Arial"/>
          <w:spacing w:val="11"/>
          <w:sz w:val="19"/>
          <w:szCs w:val="19"/>
        </w:rPr>
        <w:t xml:space="preserve"> </w:t>
      </w:r>
      <w:r>
        <w:rPr>
          <w:rFonts w:ascii="Arial" w:hAnsi="Arial" w:eastAsia="Arial" w:cs="Arial"/>
          <w:spacing w:val="-5"/>
          <w:sz w:val="19"/>
          <w:szCs w:val="19"/>
        </w:rPr>
        <w:t>quality</w:t>
      </w:r>
      <w:r>
        <w:rPr>
          <w:rFonts w:ascii="Arial" w:hAnsi="Arial" w:eastAsia="Arial" w:cs="Arial"/>
          <w:spacing w:val="13"/>
          <w:sz w:val="19"/>
          <w:szCs w:val="19"/>
        </w:rPr>
        <w:t xml:space="preserve"> </w:t>
      </w:r>
      <w:r>
        <w:rPr>
          <w:rFonts w:ascii="Arial" w:hAnsi="Arial" w:eastAsia="Arial" w:cs="Arial"/>
          <w:spacing w:val="-5"/>
          <w:sz w:val="19"/>
          <w:szCs w:val="19"/>
        </w:rPr>
        <w:t>cultures.</w:t>
      </w:r>
    </w:p>
    <w:p>
      <w:pPr>
        <w:spacing w:before="55" w:line="195" w:lineRule="auto"/>
        <w:ind w:left="254"/>
        <w:rPr>
          <w:rFonts w:ascii="Arial" w:hAnsi="Arial" w:eastAsia="Arial" w:cs="Arial"/>
          <w:sz w:val="19"/>
          <w:szCs w:val="19"/>
        </w:rPr>
      </w:pPr>
      <w:r>
        <w:rPr>
          <w:rFonts w:ascii="Arial" w:hAnsi="Arial" w:eastAsia="Arial" w:cs="Arial"/>
          <w:spacing w:val="-5"/>
          <w:sz w:val="19"/>
          <w:szCs w:val="19"/>
        </w:rPr>
        <w:t>The</w:t>
      </w:r>
      <w:r>
        <w:rPr>
          <w:rFonts w:ascii="Arial" w:hAnsi="Arial" w:eastAsia="Arial" w:cs="Arial"/>
          <w:spacing w:val="18"/>
          <w:w w:val="101"/>
          <w:sz w:val="19"/>
          <w:szCs w:val="19"/>
        </w:rPr>
        <w:t xml:space="preserve"> </w:t>
      </w:r>
      <w:r>
        <w:rPr>
          <w:rFonts w:ascii="Arial" w:hAnsi="Arial" w:eastAsia="Arial" w:cs="Arial"/>
          <w:spacing w:val="-5"/>
          <w:sz w:val="19"/>
          <w:szCs w:val="19"/>
        </w:rPr>
        <w:t>main</w:t>
      </w:r>
      <w:r>
        <w:rPr>
          <w:rFonts w:ascii="Arial" w:hAnsi="Arial" w:eastAsia="Arial" w:cs="Arial"/>
          <w:spacing w:val="11"/>
          <w:sz w:val="19"/>
          <w:szCs w:val="19"/>
        </w:rPr>
        <w:t xml:space="preserve"> </w:t>
      </w:r>
      <w:r>
        <w:rPr>
          <w:rFonts w:ascii="Arial" w:hAnsi="Arial" w:eastAsia="Arial" w:cs="Arial"/>
          <w:spacing w:val="-5"/>
          <w:sz w:val="19"/>
          <w:szCs w:val="19"/>
        </w:rPr>
        <w:t>objectives</w:t>
      </w:r>
      <w:r>
        <w:rPr>
          <w:rFonts w:ascii="Arial" w:hAnsi="Arial" w:eastAsia="Arial" w:cs="Arial"/>
          <w:spacing w:val="11"/>
          <w:sz w:val="19"/>
          <w:szCs w:val="19"/>
        </w:rPr>
        <w:t xml:space="preserve"> </w:t>
      </w:r>
      <w:r>
        <w:rPr>
          <w:rFonts w:ascii="Arial" w:hAnsi="Arial" w:eastAsia="Arial" w:cs="Arial"/>
          <w:spacing w:val="-5"/>
          <w:sz w:val="19"/>
          <w:szCs w:val="19"/>
        </w:rPr>
        <w:t>of the</w:t>
      </w:r>
      <w:r>
        <w:rPr>
          <w:rFonts w:ascii="Arial" w:hAnsi="Arial" w:eastAsia="Arial" w:cs="Arial"/>
          <w:spacing w:val="18"/>
          <w:sz w:val="19"/>
          <w:szCs w:val="19"/>
        </w:rPr>
        <w:t xml:space="preserve"> </w:t>
      </w:r>
      <w:r>
        <w:rPr>
          <w:rFonts w:ascii="Arial" w:hAnsi="Arial" w:eastAsia="Arial" w:cs="Arial"/>
          <w:spacing w:val="-5"/>
          <w:sz w:val="19"/>
          <w:szCs w:val="19"/>
        </w:rPr>
        <w:t>project</w:t>
      </w:r>
      <w:r>
        <w:rPr>
          <w:rFonts w:ascii="Arial" w:hAnsi="Arial" w:eastAsia="Arial" w:cs="Arial"/>
          <w:spacing w:val="10"/>
          <w:sz w:val="19"/>
          <w:szCs w:val="19"/>
        </w:rPr>
        <w:t xml:space="preserve"> </w:t>
      </w:r>
      <w:r>
        <w:rPr>
          <w:rFonts w:ascii="Arial" w:hAnsi="Arial" w:eastAsia="Arial" w:cs="Arial"/>
          <w:spacing w:val="-6"/>
          <w:sz w:val="19"/>
          <w:szCs w:val="19"/>
        </w:rPr>
        <w:t>were:</w:t>
      </w:r>
    </w:p>
    <w:p>
      <w:pPr>
        <w:spacing w:before="273" w:line="235" w:lineRule="auto"/>
        <w:ind w:left="27"/>
        <w:rPr>
          <w:rFonts w:ascii="Arial" w:hAnsi="Arial" w:eastAsia="Arial" w:cs="Arial"/>
          <w:sz w:val="19"/>
          <w:szCs w:val="19"/>
        </w:rPr>
      </w:pPr>
      <w:r>
        <w:rPr>
          <w:rFonts w:ascii="Arial" w:hAnsi="Arial" w:eastAsia="Arial" w:cs="Arial"/>
          <w:spacing w:val="-4"/>
          <w:sz w:val="19"/>
          <w:szCs w:val="19"/>
        </w:rPr>
        <w:t>(1)  to</w:t>
      </w:r>
      <w:r>
        <w:rPr>
          <w:rFonts w:ascii="Arial" w:hAnsi="Arial" w:eastAsia="Arial" w:cs="Arial"/>
          <w:spacing w:val="11"/>
          <w:sz w:val="19"/>
          <w:szCs w:val="19"/>
        </w:rPr>
        <w:t xml:space="preserve"> </w:t>
      </w:r>
      <w:r>
        <w:rPr>
          <w:rFonts w:ascii="Arial" w:hAnsi="Arial" w:eastAsia="Arial" w:cs="Arial"/>
          <w:spacing w:val="-4"/>
          <w:sz w:val="19"/>
          <w:szCs w:val="19"/>
        </w:rPr>
        <w:t>develop</w:t>
      </w:r>
      <w:r>
        <w:rPr>
          <w:rFonts w:ascii="Arial" w:hAnsi="Arial" w:eastAsia="Arial" w:cs="Arial"/>
          <w:spacing w:val="13"/>
          <w:sz w:val="19"/>
          <w:szCs w:val="19"/>
        </w:rPr>
        <w:t xml:space="preserve"> </w:t>
      </w:r>
      <w:r>
        <w:rPr>
          <w:rFonts w:ascii="Arial" w:hAnsi="Arial" w:eastAsia="Arial" w:cs="Arial"/>
          <w:spacing w:val="-4"/>
          <w:sz w:val="19"/>
          <w:szCs w:val="19"/>
        </w:rPr>
        <w:t>a</w:t>
      </w:r>
      <w:r>
        <w:rPr>
          <w:rFonts w:ascii="Arial" w:hAnsi="Arial" w:eastAsia="Arial" w:cs="Arial"/>
          <w:spacing w:val="11"/>
          <w:sz w:val="19"/>
          <w:szCs w:val="19"/>
        </w:rPr>
        <w:t xml:space="preserve"> </w:t>
      </w:r>
      <w:r>
        <w:rPr>
          <w:rFonts w:ascii="Arial" w:hAnsi="Arial" w:eastAsia="Arial" w:cs="Arial"/>
          <w:spacing w:val="-4"/>
          <w:sz w:val="19"/>
          <w:szCs w:val="19"/>
        </w:rPr>
        <w:t>comprehensive</w:t>
      </w:r>
      <w:r>
        <w:rPr>
          <w:rFonts w:ascii="Arial" w:hAnsi="Arial" w:eastAsia="Arial" w:cs="Arial"/>
          <w:spacing w:val="12"/>
          <w:sz w:val="19"/>
          <w:szCs w:val="19"/>
        </w:rPr>
        <w:t xml:space="preserve"> </w:t>
      </w:r>
      <w:r>
        <w:rPr>
          <w:rFonts w:ascii="Arial" w:hAnsi="Arial" w:eastAsia="Arial" w:cs="Arial"/>
          <w:spacing w:val="-4"/>
          <w:sz w:val="19"/>
          <w:szCs w:val="19"/>
        </w:rPr>
        <w:t>deinition</w:t>
      </w:r>
      <w:r>
        <w:rPr>
          <w:rFonts w:ascii="Arial" w:hAnsi="Arial" w:eastAsia="Arial" w:cs="Arial"/>
          <w:spacing w:val="12"/>
          <w:sz w:val="19"/>
          <w:szCs w:val="19"/>
        </w:rPr>
        <w:t xml:space="preserve"> </w:t>
      </w:r>
      <w:r>
        <w:rPr>
          <w:rFonts w:ascii="Arial" w:hAnsi="Arial" w:eastAsia="Arial" w:cs="Arial"/>
          <w:spacing w:val="-4"/>
          <w:sz w:val="19"/>
          <w:szCs w:val="19"/>
        </w:rPr>
        <w:t>and</w:t>
      </w:r>
      <w:r>
        <w:rPr>
          <w:rFonts w:ascii="Arial" w:hAnsi="Arial" w:eastAsia="Arial" w:cs="Arial"/>
          <w:spacing w:val="18"/>
          <w:w w:val="101"/>
          <w:sz w:val="19"/>
          <w:szCs w:val="19"/>
        </w:rPr>
        <w:t xml:space="preserve"> </w:t>
      </w:r>
      <w:r>
        <w:rPr>
          <w:rFonts w:ascii="Arial" w:hAnsi="Arial" w:eastAsia="Arial" w:cs="Arial"/>
          <w:spacing w:val="-4"/>
          <w:sz w:val="19"/>
          <w:szCs w:val="19"/>
        </w:rPr>
        <w:t>practical</w:t>
      </w:r>
      <w:r>
        <w:rPr>
          <w:rFonts w:ascii="Arial" w:hAnsi="Arial" w:eastAsia="Arial" w:cs="Arial"/>
          <w:spacing w:val="13"/>
          <w:sz w:val="19"/>
          <w:szCs w:val="19"/>
        </w:rPr>
        <w:t xml:space="preserve"> </w:t>
      </w:r>
      <w:r>
        <w:rPr>
          <w:rFonts w:ascii="Arial" w:hAnsi="Arial" w:eastAsia="Arial" w:cs="Arial"/>
          <w:spacing w:val="-4"/>
          <w:sz w:val="19"/>
          <w:szCs w:val="19"/>
        </w:rPr>
        <w:t>assess</w:t>
      </w:r>
      <w:r>
        <w:rPr>
          <w:rFonts w:ascii="Arial" w:hAnsi="Arial" w:eastAsia="Arial" w:cs="Arial"/>
          <w:spacing w:val="-5"/>
          <w:sz w:val="19"/>
          <w:szCs w:val="19"/>
        </w:rPr>
        <w:t>ment</w:t>
      </w:r>
      <w:r>
        <w:rPr>
          <w:rFonts w:ascii="Arial" w:hAnsi="Arial" w:eastAsia="Arial" w:cs="Arial"/>
          <w:spacing w:val="19"/>
          <w:w w:val="101"/>
          <w:sz w:val="19"/>
          <w:szCs w:val="19"/>
        </w:rPr>
        <w:t xml:space="preserve"> </w:t>
      </w:r>
      <w:r>
        <w:rPr>
          <w:rFonts w:ascii="Arial" w:hAnsi="Arial" w:eastAsia="Arial" w:cs="Arial"/>
          <w:spacing w:val="-5"/>
          <w:sz w:val="19"/>
          <w:szCs w:val="19"/>
        </w:rPr>
        <w:t>model</w:t>
      </w:r>
      <w:r>
        <w:rPr>
          <w:rFonts w:ascii="Arial" w:hAnsi="Arial" w:eastAsia="Arial" w:cs="Arial"/>
          <w:spacing w:val="11"/>
          <w:sz w:val="19"/>
          <w:szCs w:val="19"/>
        </w:rPr>
        <w:t xml:space="preserve"> </w:t>
      </w:r>
      <w:r>
        <w:rPr>
          <w:rFonts w:ascii="Arial" w:hAnsi="Arial" w:eastAsia="Arial" w:cs="Arial"/>
          <w:spacing w:val="-5"/>
          <w:sz w:val="19"/>
          <w:szCs w:val="19"/>
        </w:rPr>
        <w:t>of quality</w:t>
      </w:r>
      <w:r>
        <w:rPr>
          <w:rFonts w:ascii="Arial" w:hAnsi="Arial" w:eastAsia="Arial" w:cs="Arial"/>
          <w:spacing w:val="12"/>
          <w:sz w:val="19"/>
          <w:szCs w:val="19"/>
        </w:rPr>
        <w:t xml:space="preserve"> </w:t>
      </w:r>
      <w:r>
        <w:rPr>
          <w:rFonts w:ascii="Arial" w:hAnsi="Arial" w:eastAsia="Arial" w:cs="Arial"/>
          <w:spacing w:val="-5"/>
          <w:sz w:val="19"/>
          <w:szCs w:val="19"/>
        </w:rPr>
        <w:t>culture</w:t>
      </w:r>
    </w:p>
    <w:p>
      <w:pPr>
        <w:spacing w:before="26" w:line="249" w:lineRule="auto"/>
        <w:ind w:left="345" w:right="6" w:hanging="318"/>
        <w:rPr>
          <w:rFonts w:ascii="Arial" w:hAnsi="Arial" w:eastAsia="Arial" w:cs="Arial"/>
          <w:sz w:val="19"/>
          <w:szCs w:val="19"/>
        </w:rPr>
      </w:pPr>
      <w:r>
        <w:rPr>
          <w:rFonts w:ascii="Arial" w:hAnsi="Arial" w:eastAsia="Arial" w:cs="Arial"/>
          <w:spacing w:val="-4"/>
          <w:sz w:val="19"/>
          <w:szCs w:val="19"/>
        </w:rPr>
        <w:t>(2)  to</w:t>
      </w:r>
      <w:r>
        <w:rPr>
          <w:rFonts w:ascii="Arial" w:hAnsi="Arial" w:eastAsia="Arial" w:cs="Arial"/>
          <w:spacing w:val="10"/>
          <w:sz w:val="19"/>
          <w:szCs w:val="19"/>
        </w:rPr>
        <w:t xml:space="preserve"> </w:t>
      </w:r>
      <w:r>
        <w:rPr>
          <w:rFonts w:ascii="Arial" w:hAnsi="Arial" w:eastAsia="Arial" w:cs="Arial"/>
          <w:spacing w:val="-4"/>
          <w:sz w:val="19"/>
          <w:szCs w:val="19"/>
        </w:rPr>
        <w:t>develop</w:t>
      </w:r>
      <w:r>
        <w:rPr>
          <w:rFonts w:ascii="Arial" w:hAnsi="Arial" w:eastAsia="Arial" w:cs="Arial"/>
          <w:spacing w:val="12"/>
          <w:sz w:val="19"/>
          <w:szCs w:val="19"/>
        </w:rPr>
        <w:t xml:space="preserve"> </w:t>
      </w:r>
      <w:r>
        <w:rPr>
          <w:rFonts w:ascii="Arial" w:hAnsi="Arial" w:eastAsia="Arial" w:cs="Arial"/>
          <w:spacing w:val="-4"/>
          <w:sz w:val="19"/>
          <w:szCs w:val="19"/>
        </w:rPr>
        <w:t>an</w:t>
      </w:r>
      <w:r>
        <w:rPr>
          <w:rFonts w:ascii="Arial" w:hAnsi="Arial" w:eastAsia="Arial" w:cs="Arial"/>
          <w:spacing w:val="11"/>
          <w:sz w:val="19"/>
          <w:szCs w:val="19"/>
        </w:rPr>
        <w:t xml:space="preserve"> </w:t>
      </w:r>
      <w:r>
        <w:rPr>
          <w:rFonts w:ascii="Arial" w:hAnsi="Arial" w:eastAsia="Arial" w:cs="Arial"/>
          <w:spacing w:val="-4"/>
          <w:sz w:val="19"/>
          <w:szCs w:val="19"/>
        </w:rPr>
        <w:t>empirically-ba</w:t>
      </w:r>
      <w:r>
        <w:rPr>
          <w:rFonts w:ascii="Arial" w:hAnsi="Arial" w:eastAsia="Arial" w:cs="Arial"/>
          <w:spacing w:val="-5"/>
          <w:sz w:val="19"/>
          <w:szCs w:val="19"/>
        </w:rPr>
        <w:t>sed</w:t>
      </w:r>
      <w:r>
        <w:rPr>
          <w:rFonts w:ascii="Arial" w:hAnsi="Arial" w:eastAsia="Arial" w:cs="Arial"/>
          <w:spacing w:val="12"/>
          <w:sz w:val="19"/>
          <w:szCs w:val="19"/>
        </w:rPr>
        <w:t xml:space="preserve"> </w:t>
      </w:r>
      <w:r>
        <w:rPr>
          <w:rFonts w:ascii="Arial" w:hAnsi="Arial" w:eastAsia="Arial" w:cs="Arial"/>
          <w:spacing w:val="-5"/>
          <w:sz w:val="19"/>
          <w:szCs w:val="19"/>
        </w:rPr>
        <w:t>Quality</w:t>
      </w:r>
      <w:r>
        <w:rPr>
          <w:rFonts w:ascii="Arial" w:hAnsi="Arial" w:eastAsia="Arial" w:cs="Arial"/>
          <w:spacing w:val="12"/>
          <w:sz w:val="19"/>
          <w:szCs w:val="19"/>
        </w:rPr>
        <w:t xml:space="preserve"> </w:t>
      </w:r>
      <w:r>
        <w:rPr>
          <w:rFonts w:ascii="Arial" w:hAnsi="Arial" w:eastAsia="Arial" w:cs="Arial"/>
          <w:spacing w:val="-5"/>
          <w:sz w:val="19"/>
          <w:szCs w:val="19"/>
        </w:rPr>
        <w:t>Culture</w:t>
      </w:r>
      <w:r>
        <w:rPr>
          <w:rFonts w:ascii="Arial" w:hAnsi="Arial" w:eastAsia="Arial" w:cs="Arial"/>
          <w:spacing w:val="19"/>
          <w:sz w:val="19"/>
          <w:szCs w:val="19"/>
        </w:rPr>
        <w:t xml:space="preserve"> </w:t>
      </w:r>
      <w:r>
        <w:rPr>
          <w:rFonts w:ascii="Arial" w:hAnsi="Arial" w:eastAsia="Arial" w:cs="Arial"/>
          <w:spacing w:val="-5"/>
          <w:sz w:val="19"/>
          <w:szCs w:val="19"/>
        </w:rPr>
        <w:t>Inventory that</w:t>
      </w:r>
      <w:r>
        <w:rPr>
          <w:rFonts w:ascii="Arial" w:hAnsi="Arial" w:eastAsia="Arial" w:cs="Arial"/>
          <w:spacing w:val="11"/>
          <w:sz w:val="19"/>
          <w:szCs w:val="19"/>
        </w:rPr>
        <w:t xml:space="preserve"> </w:t>
      </w:r>
      <w:r>
        <w:rPr>
          <w:rFonts w:ascii="Arial" w:hAnsi="Arial" w:eastAsia="Arial" w:cs="Arial"/>
          <w:spacing w:val="-5"/>
          <w:sz w:val="19"/>
          <w:szCs w:val="19"/>
        </w:rPr>
        <w:t>considers</w:t>
      </w:r>
      <w:r>
        <w:rPr>
          <w:rFonts w:ascii="Arial" w:hAnsi="Arial" w:eastAsia="Arial" w:cs="Arial"/>
          <w:spacing w:val="19"/>
          <w:sz w:val="19"/>
          <w:szCs w:val="19"/>
        </w:rPr>
        <w:t xml:space="preserve"> </w:t>
      </w:r>
      <w:r>
        <w:rPr>
          <w:rFonts w:ascii="Arial" w:hAnsi="Arial" w:eastAsia="Arial" w:cs="Arial"/>
          <w:spacing w:val="-5"/>
          <w:sz w:val="19"/>
          <w:szCs w:val="19"/>
        </w:rPr>
        <w:t>both</w:t>
      </w:r>
      <w:r>
        <w:rPr>
          <w:rFonts w:ascii="Arial" w:hAnsi="Arial" w:eastAsia="Arial" w:cs="Arial"/>
          <w:spacing w:val="12"/>
          <w:sz w:val="19"/>
          <w:szCs w:val="19"/>
        </w:rPr>
        <w:t xml:space="preserve"> </w:t>
      </w:r>
      <w:r>
        <w:rPr>
          <w:rFonts w:ascii="Arial" w:hAnsi="Arial" w:eastAsia="Arial" w:cs="Arial"/>
          <w:spacing w:val="-5"/>
          <w:sz w:val="19"/>
          <w:szCs w:val="19"/>
        </w:rPr>
        <w:t>structural-formal</w:t>
      </w:r>
      <w:r>
        <w:rPr>
          <w:rFonts w:ascii="Arial" w:hAnsi="Arial" w:eastAsia="Arial" w:cs="Arial"/>
          <w:sz w:val="19"/>
          <w:szCs w:val="19"/>
        </w:rPr>
        <w:t xml:space="preserve"> </w:t>
      </w:r>
      <w:r>
        <w:rPr>
          <w:rFonts w:ascii="Arial" w:hAnsi="Arial" w:eastAsia="Arial" w:cs="Arial"/>
          <w:spacing w:val="-6"/>
          <w:sz w:val="19"/>
          <w:szCs w:val="19"/>
        </w:rPr>
        <w:t>and</w:t>
      </w:r>
      <w:r>
        <w:rPr>
          <w:rFonts w:ascii="Arial" w:hAnsi="Arial" w:eastAsia="Arial" w:cs="Arial"/>
          <w:spacing w:val="27"/>
          <w:sz w:val="19"/>
          <w:szCs w:val="19"/>
        </w:rPr>
        <w:t xml:space="preserve"> </w:t>
      </w:r>
      <w:r>
        <w:rPr>
          <w:rFonts w:ascii="Arial" w:hAnsi="Arial" w:eastAsia="Arial" w:cs="Arial"/>
          <w:spacing w:val="-6"/>
          <w:sz w:val="19"/>
          <w:szCs w:val="19"/>
        </w:rPr>
        <w:t>organizational-psychological</w:t>
      </w:r>
      <w:r>
        <w:rPr>
          <w:rFonts w:ascii="Arial" w:hAnsi="Arial" w:eastAsia="Arial" w:cs="Arial"/>
          <w:spacing w:val="11"/>
          <w:sz w:val="19"/>
          <w:szCs w:val="19"/>
        </w:rPr>
        <w:t xml:space="preserve"> </w:t>
      </w:r>
      <w:r>
        <w:rPr>
          <w:rFonts w:ascii="Arial" w:hAnsi="Arial" w:eastAsia="Arial" w:cs="Arial"/>
          <w:spacing w:val="-6"/>
          <w:sz w:val="19"/>
          <w:szCs w:val="19"/>
        </w:rPr>
        <w:t>aspects</w:t>
      </w:r>
    </w:p>
    <w:p>
      <w:pPr>
        <w:spacing w:line="470" w:lineRule="auto"/>
        <w:rPr>
          <w:rFonts w:ascii="Arial"/>
          <w:sz w:val="21"/>
        </w:rPr>
      </w:pPr>
    </w:p>
    <w:p>
      <w:pPr>
        <w:spacing w:before="58" w:line="192" w:lineRule="auto"/>
        <w:ind w:left="18"/>
        <w:outlineLvl w:val="3"/>
        <w:rPr>
          <w:rFonts w:ascii="Arial" w:hAnsi="Arial" w:eastAsia="Arial" w:cs="Arial"/>
          <w:sz w:val="20"/>
          <w:szCs w:val="20"/>
        </w:rPr>
      </w:pPr>
      <w:r>
        <w:rPr>
          <w:rFonts w:ascii="Arial" w:hAnsi="Arial" w:eastAsia="Arial" w:cs="Arial"/>
          <w:color w:val="282781"/>
          <w:spacing w:val="-3"/>
          <w:sz w:val="20"/>
          <w:szCs w:val="20"/>
        </w:rPr>
        <w:t>Project milestones</w:t>
      </w:r>
    </w:p>
    <w:p>
      <w:pPr>
        <w:spacing w:before="183" w:line="248" w:lineRule="auto"/>
        <w:ind w:left="18" w:firstLine="11"/>
        <w:jc w:val="both"/>
        <w:rPr>
          <w:rFonts w:ascii="Arial" w:hAnsi="Arial" w:eastAsia="Arial" w:cs="Arial"/>
          <w:sz w:val="19"/>
          <w:szCs w:val="19"/>
        </w:rPr>
      </w:pPr>
      <w:r>
        <w:rPr>
          <w:rFonts w:ascii="Arial" w:hAnsi="Arial" w:eastAsia="Arial" w:cs="Arial"/>
          <w:spacing w:val="-5"/>
          <w:sz w:val="19"/>
          <w:szCs w:val="19"/>
        </w:rPr>
        <w:t>First of</w:t>
      </w:r>
      <w:r>
        <w:rPr>
          <w:rFonts w:ascii="Arial" w:hAnsi="Arial" w:eastAsia="Arial" w:cs="Arial"/>
          <w:spacing w:val="-14"/>
          <w:sz w:val="19"/>
          <w:szCs w:val="19"/>
        </w:rPr>
        <w:t xml:space="preserve"> </w:t>
      </w:r>
      <w:r>
        <w:rPr>
          <w:rFonts w:ascii="Arial" w:hAnsi="Arial" w:eastAsia="Arial" w:cs="Arial"/>
          <w:spacing w:val="-5"/>
          <w:sz w:val="19"/>
          <w:szCs w:val="19"/>
        </w:rPr>
        <w:t>all, we conducted a systematic literature review in order to identify previous studies rel</w:t>
      </w:r>
      <w:r>
        <w:rPr>
          <w:rFonts w:ascii="Arial" w:hAnsi="Arial" w:eastAsia="Arial" w:cs="Arial"/>
          <w:spacing w:val="-6"/>
          <w:sz w:val="19"/>
          <w:szCs w:val="19"/>
        </w:rPr>
        <w:t>ating to</w:t>
      </w:r>
      <w:r>
        <w:rPr>
          <w:rFonts w:ascii="Arial" w:hAnsi="Arial" w:eastAsia="Arial" w:cs="Arial"/>
          <w:sz w:val="19"/>
          <w:szCs w:val="19"/>
        </w:rPr>
        <w:t xml:space="preserve"> </w:t>
      </w:r>
      <w:r>
        <w:rPr>
          <w:rFonts w:ascii="Arial" w:hAnsi="Arial" w:eastAsia="Arial" w:cs="Arial"/>
          <w:spacing w:val="-5"/>
          <w:sz w:val="19"/>
          <w:szCs w:val="19"/>
        </w:rPr>
        <w:t>the operationalization of quality culture. Our search include</w:t>
      </w:r>
      <w:r>
        <w:rPr>
          <w:rFonts w:ascii="Arial" w:hAnsi="Arial" w:eastAsia="Arial" w:cs="Arial"/>
          <w:spacing w:val="-6"/>
          <w:sz w:val="19"/>
          <w:szCs w:val="19"/>
        </w:rPr>
        <w:t>d three databases: HEIDI (interdisciplinary</w:t>
      </w:r>
      <w:r>
        <w:rPr>
          <w:rFonts w:ascii="Arial" w:hAnsi="Arial" w:eastAsia="Arial" w:cs="Arial"/>
          <w:sz w:val="19"/>
          <w:szCs w:val="19"/>
        </w:rPr>
        <w:t xml:space="preserve"> </w:t>
      </w:r>
      <w:r>
        <w:rPr>
          <w:rFonts w:ascii="Arial" w:hAnsi="Arial" w:eastAsia="Arial" w:cs="Arial"/>
          <w:spacing w:val="-8"/>
          <w:sz w:val="19"/>
          <w:szCs w:val="19"/>
        </w:rPr>
        <w:t>database</w:t>
      </w:r>
      <w:r>
        <w:rPr>
          <w:rFonts w:ascii="Arial" w:hAnsi="Arial" w:eastAsia="Arial" w:cs="Arial"/>
          <w:spacing w:val="29"/>
          <w:sz w:val="19"/>
          <w:szCs w:val="19"/>
        </w:rPr>
        <w:t xml:space="preserve"> </w:t>
      </w:r>
      <w:r>
        <w:rPr>
          <w:rFonts w:ascii="Arial" w:hAnsi="Arial" w:eastAsia="Arial" w:cs="Arial"/>
          <w:spacing w:val="-8"/>
          <w:sz w:val="19"/>
          <w:szCs w:val="19"/>
        </w:rPr>
        <w:t>of</w:t>
      </w:r>
      <w:r>
        <w:rPr>
          <w:rFonts w:ascii="Arial" w:hAnsi="Arial" w:eastAsia="Arial" w:cs="Arial"/>
          <w:spacing w:val="26"/>
          <w:sz w:val="19"/>
          <w:szCs w:val="19"/>
        </w:rPr>
        <w:t xml:space="preserve"> </w:t>
      </w:r>
      <w:r>
        <w:rPr>
          <w:rFonts w:ascii="Arial" w:hAnsi="Arial" w:eastAsia="Arial" w:cs="Arial"/>
          <w:spacing w:val="-8"/>
          <w:sz w:val="19"/>
          <w:szCs w:val="19"/>
        </w:rPr>
        <w:t>Heidelberg</w:t>
      </w:r>
      <w:r>
        <w:rPr>
          <w:rFonts w:ascii="Arial" w:hAnsi="Arial" w:eastAsia="Arial" w:cs="Arial"/>
          <w:spacing w:val="33"/>
          <w:w w:val="101"/>
          <w:sz w:val="19"/>
          <w:szCs w:val="19"/>
        </w:rPr>
        <w:t xml:space="preserve"> </w:t>
      </w:r>
      <w:r>
        <w:rPr>
          <w:rFonts w:ascii="Arial" w:hAnsi="Arial" w:eastAsia="Arial" w:cs="Arial"/>
          <w:spacing w:val="-8"/>
          <w:sz w:val="19"/>
          <w:szCs w:val="19"/>
        </w:rPr>
        <w:t>Uni</w:t>
      </w:r>
      <w:r>
        <w:rPr>
          <w:rFonts w:ascii="Arial" w:hAnsi="Arial" w:eastAsia="Arial" w:cs="Arial"/>
          <w:spacing w:val="-9"/>
          <w:sz w:val="19"/>
          <w:szCs w:val="19"/>
        </w:rPr>
        <w:t>versity),</w:t>
      </w:r>
      <w:r>
        <w:rPr>
          <w:rFonts w:ascii="Arial" w:hAnsi="Arial" w:eastAsia="Arial" w:cs="Arial"/>
          <w:spacing w:val="34"/>
          <w:w w:val="101"/>
          <w:sz w:val="19"/>
          <w:szCs w:val="19"/>
        </w:rPr>
        <w:t xml:space="preserve"> </w:t>
      </w:r>
      <w:r>
        <w:rPr>
          <w:rFonts w:ascii="Arial" w:hAnsi="Arial" w:eastAsia="Arial" w:cs="Arial"/>
          <w:spacing w:val="-9"/>
          <w:sz w:val="19"/>
          <w:szCs w:val="19"/>
        </w:rPr>
        <w:t>PSYNDEX,</w:t>
      </w:r>
      <w:r>
        <w:rPr>
          <w:rFonts w:ascii="Arial" w:hAnsi="Arial" w:eastAsia="Arial" w:cs="Arial"/>
          <w:spacing w:val="27"/>
          <w:w w:val="101"/>
          <w:sz w:val="19"/>
          <w:szCs w:val="19"/>
        </w:rPr>
        <w:t xml:space="preserve"> </w:t>
      </w:r>
      <w:r>
        <w:rPr>
          <w:rFonts w:ascii="Arial" w:hAnsi="Arial" w:eastAsia="Arial" w:cs="Arial"/>
          <w:spacing w:val="-9"/>
          <w:sz w:val="19"/>
          <w:szCs w:val="19"/>
        </w:rPr>
        <w:t>and</w:t>
      </w:r>
      <w:r>
        <w:rPr>
          <w:rFonts w:ascii="Arial" w:hAnsi="Arial" w:eastAsia="Arial" w:cs="Arial"/>
          <w:spacing w:val="34"/>
          <w:w w:val="101"/>
          <w:sz w:val="19"/>
          <w:szCs w:val="19"/>
        </w:rPr>
        <w:t xml:space="preserve"> </w:t>
      </w:r>
      <w:r>
        <w:rPr>
          <w:rFonts w:ascii="Arial" w:hAnsi="Arial" w:eastAsia="Arial" w:cs="Arial"/>
          <w:spacing w:val="-9"/>
          <w:sz w:val="19"/>
          <w:szCs w:val="19"/>
        </w:rPr>
        <w:t>PsycINFO.</w:t>
      </w:r>
      <w:r>
        <w:rPr>
          <w:rFonts w:ascii="Arial" w:hAnsi="Arial" w:eastAsia="Arial" w:cs="Arial"/>
          <w:spacing w:val="25"/>
          <w:w w:val="101"/>
          <w:sz w:val="19"/>
          <w:szCs w:val="19"/>
        </w:rPr>
        <w:t xml:space="preserve"> </w:t>
      </w:r>
      <w:r>
        <w:rPr>
          <w:rFonts w:ascii="Arial" w:hAnsi="Arial" w:eastAsia="Arial" w:cs="Arial"/>
          <w:spacing w:val="-9"/>
          <w:sz w:val="19"/>
          <w:szCs w:val="19"/>
        </w:rPr>
        <w:t>As</w:t>
      </w:r>
      <w:r>
        <w:rPr>
          <w:rFonts w:ascii="Arial" w:hAnsi="Arial" w:eastAsia="Arial" w:cs="Arial"/>
          <w:spacing w:val="26"/>
          <w:sz w:val="19"/>
          <w:szCs w:val="19"/>
        </w:rPr>
        <w:t xml:space="preserve"> </w:t>
      </w:r>
      <w:r>
        <w:rPr>
          <w:rFonts w:ascii="Arial" w:hAnsi="Arial" w:eastAsia="Arial" w:cs="Arial"/>
          <w:spacing w:val="-9"/>
          <w:sz w:val="19"/>
          <w:szCs w:val="19"/>
        </w:rPr>
        <w:t>a</w:t>
      </w:r>
      <w:r>
        <w:rPr>
          <w:rFonts w:ascii="Arial" w:hAnsi="Arial" w:eastAsia="Arial" w:cs="Arial"/>
          <w:spacing w:val="21"/>
          <w:w w:val="101"/>
          <w:sz w:val="19"/>
          <w:szCs w:val="19"/>
        </w:rPr>
        <w:t xml:space="preserve"> </w:t>
      </w:r>
      <w:r>
        <w:rPr>
          <w:rFonts w:ascii="Arial" w:hAnsi="Arial" w:eastAsia="Arial" w:cs="Arial"/>
          <w:spacing w:val="-9"/>
          <w:sz w:val="19"/>
          <w:szCs w:val="19"/>
        </w:rPr>
        <w:t>irst</w:t>
      </w:r>
      <w:r>
        <w:rPr>
          <w:rFonts w:ascii="Arial" w:hAnsi="Arial" w:eastAsia="Arial" w:cs="Arial"/>
          <w:spacing w:val="27"/>
          <w:sz w:val="19"/>
          <w:szCs w:val="19"/>
        </w:rPr>
        <w:t xml:space="preserve"> </w:t>
      </w:r>
      <w:r>
        <w:rPr>
          <w:rFonts w:ascii="Arial" w:hAnsi="Arial" w:eastAsia="Arial" w:cs="Arial"/>
          <w:spacing w:val="-9"/>
          <w:sz w:val="19"/>
          <w:szCs w:val="19"/>
        </w:rPr>
        <w:t>step,</w:t>
      </w:r>
      <w:r>
        <w:rPr>
          <w:rFonts w:ascii="Arial" w:hAnsi="Arial" w:eastAsia="Arial" w:cs="Arial"/>
          <w:spacing w:val="23"/>
          <w:w w:val="101"/>
          <w:sz w:val="19"/>
          <w:szCs w:val="19"/>
        </w:rPr>
        <w:t xml:space="preserve"> </w:t>
      </w:r>
      <w:r>
        <w:rPr>
          <w:rFonts w:ascii="Arial" w:hAnsi="Arial" w:eastAsia="Arial" w:cs="Arial"/>
          <w:spacing w:val="-9"/>
          <w:sz w:val="19"/>
          <w:szCs w:val="19"/>
        </w:rPr>
        <w:t>we</w:t>
      </w:r>
      <w:r>
        <w:rPr>
          <w:rFonts w:ascii="Arial" w:hAnsi="Arial" w:eastAsia="Arial" w:cs="Arial"/>
          <w:spacing w:val="27"/>
          <w:sz w:val="19"/>
          <w:szCs w:val="19"/>
        </w:rPr>
        <w:t xml:space="preserve"> </w:t>
      </w:r>
      <w:r>
        <w:rPr>
          <w:rFonts w:ascii="Arial" w:hAnsi="Arial" w:eastAsia="Arial" w:cs="Arial"/>
          <w:spacing w:val="-9"/>
          <w:sz w:val="19"/>
          <w:szCs w:val="19"/>
        </w:rPr>
        <w:t>conducted</w:t>
      </w:r>
      <w:r>
        <w:rPr>
          <w:rFonts w:ascii="Arial" w:hAnsi="Arial" w:eastAsia="Arial" w:cs="Arial"/>
          <w:spacing w:val="28"/>
          <w:sz w:val="19"/>
          <w:szCs w:val="19"/>
        </w:rPr>
        <w:t xml:space="preserve"> </w:t>
      </w:r>
      <w:r>
        <w:rPr>
          <w:rFonts w:ascii="Arial" w:hAnsi="Arial" w:eastAsia="Arial" w:cs="Arial"/>
          <w:spacing w:val="-9"/>
          <w:sz w:val="19"/>
          <w:szCs w:val="19"/>
        </w:rPr>
        <w:t>a</w:t>
      </w:r>
      <w:r>
        <w:rPr>
          <w:rFonts w:ascii="Arial" w:hAnsi="Arial" w:eastAsia="Arial" w:cs="Arial"/>
          <w:spacing w:val="22"/>
          <w:w w:val="101"/>
          <w:sz w:val="19"/>
          <w:szCs w:val="19"/>
        </w:rPr>
        <w:t xml:space="preserve"> </w:t>
      </w:r>
      <w:r>
        <w:rPr>
          <w:rFonts w:ascii="Arial" w:hAnsi="Arial" w:eastAsia="Arial" w:cs="Arial"/>
          <w:spacing w:val="-9"/>
          <w:sz w:val="19"/>
          <w:szCs w:val="19"/>
        </w:rPr>
        <w:t>title</w:t>
      </w:r>
      <w:r>
        <w:rPr>
          <w:rFonts w:ascii="Arial" w:hAnsi="Arial" w:eastAsia="Arial" w:cs="Arial"/>
          <w:sz w:val="19"/>
          <w:szCs w:val="19"/>
        </w:rPr>
        <w:t xml:space="preserve"> </w:t>
      </w:r>
      <w:r>
        <w:rPr>
          <w:rFonts w:ascii="Arial" w:hAnsi="Arial" w:eastAsia="Arial" w:cs="Arial"/>
          <w:spacing w:val="-6"/>
          <w:sz w:val="19"/>
          <w:szCs w:val="19"/>
        </w:rPr>
        <w:t>search</w:t>
      </w:r>
      <w:r>
        <w:rPr>
          <w:rFonts w:ascii="Arial" w:hAnsi="Arial" w:eastAsia="Arial" w:cs="Arial"/>
          <w:spacing w:val="18"/>
          <w:sz w:val="19"/>
          <w:szCs w:val="19"/>
        </w:rPr>
        <w:t xml:space="preserve"> </w:t>
      </w:r>
      <w:r>
        <w:rPr>
          <w:rFonts w:ascii="Arial" w:hAnsi="Arial" w:eastAsia="Arial" w:cs="Arial"/>
          <w:spacing w:val="-6"/>
          <w:sz w:val="19"/>
          <w:szCs w:val="19"/>
        </w:rPr>
        <w:t>on</w:t>
      </w:r>
      <w:r>
        <w:rPr>
          <w:rFonts w:ascii="Arial" w:hAnsi="Arial" w:eastAsia="Arial" w:cs="Arial"/>
          <w:spacing w:val="13"/>
          <w:sz w:val="19"/>
          <w:szCs w:val="19"/>
        </w:rPr>
        <w:t xml:space="preserve"> </w:t>
      </w:r>
      <w:r>
        <w:rPr>
          <w:rFonts w:ascii="Arial" w:hAnsi="Arial" w:eastAsia="Arial" w:cs="Arial"/>
          <w:spacing w:val="-6"/>
          <w:sz w:val="19"/>
          <w:szCs w:val="19"/>
        </w:rPr>
        <w:t>the</w:t>
      </w:r>
      <w:r>
        <w:rPr>
          <w:rFonts w:ascii="Arial" w:hAnsi="Arial" w:eastAsia="Arial" w:cs="Arial"/>
          <w:spacing w:val="24"/>
          <w:w w:val="101"/>
          <w:sz w:val="19"/>
          <w:szCs w:val="19"/>
        </w:rPr>
        <w:t xml:space="preserve"> </w:t>
      </w:r>
      <w:r>
        <w:rPr>
          <w:rFonts w:ascii="Arial" w:hAnsi="Arial" w:eastAsia="Arial" w:cs="Arial"/>
          <w:spacing w:val="-6"/>
          <w:sz w:val="19"/>
          <w:szCs w:val="19"/>
        </w:rPr>
        <w:t>k</w:t>
      </w:r>
      <w:r>
        <w:rPr>
          <w:rFonts w:ascii="Arial" w:hAnsi="Arial" w:eastAsia="Arial" w:cs="Arial"/>
          <w:spacing w:val="-5"/>
          <w:sz w:val="19"/>
          <w:szCs w:val="19"/>
        </w:rPr>
        <w:t>ey</w:t>
      </w:r>
      <w:r>
        <w:rPr>
          <w:rFonts w:ascii="Arial" w:hAnsi="Arial" w:eastAsia="Arial" w:cs="Arial"/>
          <w:spacing w:val="17"/>
          <w:sz w:val="19"/>
          <w:szCs w:val="19"/>
        </w:rPr>
        <w:t xml:space="preserve"> </w:t>
      </w:r>
      <w:r>
        <w:rPr>
          <w:rFonts w:ascii="Arial" w:hAnsi="Arial" w:eastAsia="Arial" w:cs="Arial"/>
          <w:spacing w:val="-5"/>
          <w:sz w:val="19"/>
          <w:szCs w:val="19"/>
        </w:rPr>
        <w:t>search</w:t>
      </w:r>
      <w:r>
        <w:rPr>
          <w:rFonts w:ascii="Arial" w:hAnsi="Arial" w:eastAsia="Arial" w:cs="Arial"/>
          <w:spacing w:val="15"/>
          <w:sz w:val="19"/>
          <w:szCs w:val="19"/>
        </w:rPr>
        <w:t xml:space="preserve"> </w:t>
      </w:r>
      <w:r>
        <w:rPr>
          <w:rFonts w:ascii="Arial" w:hAnsi="Arial" w:eastAsia="Arial" w:cs="Arial"/>
          <w:spacing w:val="-5"/>
          <w:sz w:val="19"/>
          <w:szCs w:val="19"/>
        </w:rPr>
        <w:t>term ‘qual</w:t>
      </w:r>
      <w:r>
        <w:rPr>
          <w:rFonts w:ascii="Arial" w:hAnsi="Arial" w:eastAsia="Arial" w:cs="Arial"/>
          <w:spacing w:val="-6"/>
          <w:sz w:val="19"/>
          <w:szCs w:val="19"/>
        </w:rPr>
        <w:t>ity</w:t>
      </w:r>
      <w:r>
        <w:rPr>
          <w:rFonts w:ascii="Arial" w:hAnsi="Arial" w:eastAsia="Arial" w:cs="Arial"/>
          <w:spacing w:val="17"/>
          <w:w w:val="101"/>
          <w:sz w:val="19"/>
          <w:szCs w:val="19"/>
        </w:rPr>
        <w:t xml:space="preserve"> </w:t>
      </w:r>
      <w:r>
        <w:rPr>
          <w:rFonts w:ascii="Arial" w:hAnsi="Arial" w:eastAsia="Arial" w:cs="Arial"/>
          <w:spacing w:val="-6"/>
          <w:sz w:val="19"/>
          <w:szCs w:val="19"/>
        </w:rPr>
        <w:t>culture’.</w:t>
      </w:r>
      <w:r>
        <w:rPr>
          <w:rFonts w:ascii="Arial" w:hAnsi="Arial" w:eastAsia="Arial" w:cs="Arial"/>
          <w:spacing w:val="14"/>
          <w:w w:val="101"/>
          <w:sz w:val="19"/>
          <w:szCs w:val="19"/>
        </w:rPr>
        <w:t xml:space="preserve"> </w:t>
      </w:r>
      <w:r>
        <w:rPr>
          <w:rFonts w:ascii="Arial" w:hAnsi="Arial" w:eastAsia="Arial" w:cs="Arial"/>
          <w:spacing w:val="-6"/>
          <w:sz w:val="19"/>
          <w:szCs w:val="19"/>
        </w:rPr>
        <w:t>A</w:t>
      </w:r>
      <w:r>
        <w:rPr>
          <w:rFonts w:ascii="Arial" w:hAnsi="Arial" w:eastAsia="Arial" w:cs="Arial"/>
          <w:spacing w:val="17"/>
          <w:w w:val="101"/>
          <w:sz w:val="19"/>
          <w:szCs w:val="19"/>
        </w:rPr>
        <w:t xml:space="preserve"> </w:t>
      </w:r>
      <w:r>
        <w:rPr>
          <w:rFonts w:ascii="Arial" w:hAnsi="Arial" w:eastAsia="Arial" w:cs="Arial"/>
          <w:spacing w:val="-6"/>
          <w:sz w:val="19"/>
          <w:szCs w:val="19"/>
        </w:rPr>
        <w:t>second</w:t>
      </w:r>
      <w:r>
        <w:rPr>
          <w:rFonts w:ascii="Arial" w:hAnsi="Arial" w:eastAsia="Arial" w:cs="Arial"/>
          <w:spacing w:val="14"/>
          <w:sz w:val="19"/>
          <w:szCs w:val="19"/>
        </w:rPr>
        <w:t xml:space="preserve"> </w:t>
      </w:r>
      <w:r>
        <w:rPr>
          <w:rFonts w:ascii="Arial" w:hAnsi="Arial" w:eastAsia="Arial" w:cs="Arial"/>
          <w:spacing w:val="-6"/>
          <w:sz w:val="19"/>
          <w:szCs w:val="19"/>
        </w:rPr>
        <w:t>title</w:t>
      </w:r>
      <w:r>
        <w:rPr>
          <w:rFonts w:ascii="Arial" w:hAnsi="Arial" w:eastAsia="Arial" w:cs="Arial"/>
          <w:spacing w:val="19"/>
          <w:sz w:val="19"/>
          <w:szCs w:val="19"/>
        </w:rPr>
        <w:t xml:space="preserve"> </w:t>
      </w:r>
      <w:r>
        <w:rPr>
          <w:rFonts w:ascii="Arial" w:hAnsi="Arial" w:eastAsia="Arial" w:cs="Arial"/>
          <w:spacing w:val="-6"/>
          <w:sz w:val="19"/>
          <w:szCs w:val="19"/>
        </w:rPr>
        <w:t>search</w:t>
      </w:r>
      <w:r>
        <w:rPr>
          <w:rFonts w:ascii="Arial" w:hAnsi="Arial" w:eastAsia="Arial" w:cs="Arial"/>
          <w:spacing w:val="12"/>
          <w:sz w:val="19"/>
          <w:szCs w:val="19"/>
        </w:rPr>
        <w:t xml:space="preserve"> </w:t>
      </w:r>
      <w:r>
        <w:rPr>
          <w:rFonts w:ascii="Arial" w:hAnsi="Arial" w:eastAsia="Arial" w:cs="Arial"/>
          <w:spacing w:val="-6"/>
          <w:sz w:val="19"/>
          <w:szCs w:val="19"/>
        </w:rPr>
        <w:t>focused</w:t>
      </w:r>
      <w:r>
        <w:rPr>
          <w:rFonts w:ascii="Arial" w:hAnsi="Arial" w:eastAsia="Arial" w:cs="Arial"/>
          <w:spacing w:val="17"/>
          <w:w w:val="101"/>
          <w:sz w:val="19"/>
          <w:szCs w:val="19"/>
        </w:rPr>
        <w:t xml:space="preserve"> </w:t>
      </w:r>
      <w:r>
        <w:rPr>
          <w:rFonts w:ascii="Arial" w:hAnsi="Arial" w:eastAsia="Arial" w:cs="Arial"/>
          <w:spacing w:val="-6"/>
          <w:sz w:val="19"/>
          <w:szCs w:val="19"/>
        </w:rPr>
        <w:t>on</w:t>
      </w:r>
      <w:r>
        <w:rPr>
          <w:rFonts w:ascii="Arial" w:hAnsi="Arial" w:eastAsia="Arial" w:cs="Arial"/>
          <w:spacing w:val="17"/>
          <w:sz w:val="19"/>
          <w:szCs w:val="19"/>
        </w:rPr>
        <w:t xml:space="preserve"> </w:t>
      </w:r>
      <w:r>
        <w:rPr>
          <w:rFonts w:ascii="Arial" w:hAnsi="Arial" w:eastAsia="Arial" w:cs="Arial"/>
          <w:spacing w:val="-6"/>
          <w:sz w:val="19"/>
          <w:szCs w:val="19"/>
        </w:rPr>
        <w:t>a</w:t>
      </w:r>
      <w:r>
        <w:rPr>
          <w:rFonts w:ascii="Arial" w:hAnsi="Arial" w:eastAsia="Arial" w:cs="Arial"/>
          <w:spacing w:val="16"/>
          <w:w w:val="101"/>
          <w:sz w:val="19"/>
          <w:szCs w:val="19"/>
        </w:rPr>
        <w:t xml:space="preserve"> </w:t>
      </w:r>
      <w:r>
        <w:rPr>
          <w:rFonts w:ascii="Arial" w:hAnsi="Arial" w:eastAsia="Arial" w:cs="Arial"/>
          <w:spacing w:val="-6"/>
          <w:sz w:val="19"/>
          <w:szCs w:val="19"/>
        </w:rPr>
        <w:t>combination</w:t>
      </w:r>
      <w:r>
        <w:rPr>
          <w:rFonts w:ascii="Arial" w:hAnsi="Arial" w:eastAsia="Arial" w:cs="Arial"/>
          <w:spacing w:val="17"/>
          <w:sz w:val="19"/>
          <w:szCs w:val="19"/>
        </w:rPr>
        <w:t xml:space="preserve"> </w:t>
      </w:r>
      <w:r>
        <w:rPr>
          <w:rFonts w:ascii="Arial" w:hAnsi="Arial" w:eastAsia="Arial" w:cs="Arial"/>
          <w:spacing w:val="-6"/>
          <w:sz w:val="19"/>
          <w:szCs w:val="19"/>
        </w:rPr>
        <w:t>o</w:t>
      </w:r>
      <w:r>
        <w:rPr>
          <w:rFonts w:ascii="Arial" w:hAnsi="Arial" w:eastAsia="Arial" w:cs="Arial"/>
          <w:spacing w:val="6"/>
          <w:sz w:val="19"/>
          <w:szCs w:val="19"/>
        </w:rPr>
        <w:t>f</w:t>
      </w:r>
    </w:p>
    <w:p>
      <w:pPr>
        <w:spacing w:line="248" w:lineRule="auto"/>
        <w:rPr>
          <w:rFonts w:ascii="Arial" w:hAnsi="Arial" w:eastAsia="Arial" w:cs="Arial"/>
          <w:sz w:val="19"/>
          <w:szCs w:val="19"/>
        </w:rPr>
        <w:sectPr>
          <w:pgSz w:w="9865" w:h="14060"/>
          <w:pgMar w:top="400" w:right="953" w:bottom="400" w:left="945" w:header="0" w:footer="0" w:gutter="0"/>
          <w:cols w:space="720" w:num="1"/>
        </w:sectPr>
      </w:pPr>
    </w:p>
    <w:p>
      <w:pPr>
        <w:spacing w:before="103"/>
        <w:jc w:val="right"/>
        <w:rPr>
          <w:rFonts w:ascii="Arial" w:hAnsi="Arial" w:eastAsia="Arial" w:cs="Arial"/>
          <w:sz w:val="14"/>
          <w:szCs w:val="14"/>
        </w:rPr>
      </w:pPr>
      <w:r>
        <w:rPr>
          <w:rFonts w:ascii="Arial" w:hAnsi="Arial" w:eastAsia="Arial" w:cs="Arial"/>
          <w:spacing w:val="-9"/>
          <w:sz w:val="14"/>
          <w:szCs w:val="14"/>
        </w:rPr>
        <w:t>ST</w:t>
      </w:r>
      <w:r>
        <w:rPr>
          <w:rFonts w:ascii="Arial" w:hAnsi="Arial" w:eastAsia="Arial" w:cs="Arial"/>
          <w:spacing w:val="-8"/>
          <w:sz w:val="14"/>
          <w:szCs w:val="14"/>
        </w:rPr>
        <w:t>UDIES</w:t>
      </w:r>
      <w:r>
        <w:rPr>
          <w:rFonts w:ascii="Arial" w:hAnsi="Arial" w:eastAsia="Arial" w:cs="Arial"/>
          <w:spacing w:val="20"/>
          <w:sz w:val="14"/>
          <w:szCs w:val="14"/>
        </w:rPr>
        <w:t xml:space="preserve"> </w:t>
      </w:r>
      <w:r>
        <w:rPr>
          <w:rFonts w:ascii="Arial" w:hAnsi="Arial" w:eastAsia="Arial" w:cs="Arial"/>
          <w:spacing w:val="-8"/>
          <w:sz w:val="14"/>
          <w:szCs w:val="14"/>
        </w:rPr>
        <w:t>IN</w:t>
      </w:r>
      <w:r>
        <w:rPr>
          <w:rFonts w:ascii="Arial" w:hAnsi="Arial" w:eastAsia="Arial" w:cs="Arial"/>
          <w:spacing w:val="11"/>
          <w:w w:val="101"/>
          <w:sz w:val="14"/>
          <w:szCs w:val="14"/>
        </w:rPr>
        <w:t xml:space="preserve"> </w:t>
      </w:r>
      <w:r>
        <w:rPr>
          <w:rFonts w:ascii="Arial" w:hAnsi="Arial" w:eastAsia="Arial" w:cs="Arial"/>
          <w:spacing w:val="-8"/>
          <w:sz w:val="14"/>
          <w:szCs w:val="14"/>
        </w:rPr>
        <w:t>HIGHER</w:t>
      </w:r>
      <w:r>
        <w:rPr>
          <w:rFonts w:ascii="Arial" w:hAnsi="Arial" w:eastAsia="Arial" w:cs="Arial"/>
          <w:spacing w:val="10"/>
          <w:w w:val="102"/>
          <w:sz w:val="14"/>
          <w:szCs w:val="14"/>
        </w:rPr>
        <w:t xml:space="preserve"> </w:t>
      </w:r>
      <w:r>
        <w:rPr>
          <w:rFonts w:ascii="Arial" w:hAnsi="Arial" w:eastAsia="Arial" w:cs="Arial"/>
          <w:spacing w:val="-8"/>
          <w:sz w:val="14"/>
          <w:szCs w:val="14"/>
        </w:rPr>
        <w:t xml:space="preserve">EDUCATION    </w:t>
      </w:r>
      <w:r>
        <w:rPr>
          <w:position w:val="-6"/>
          <w:sz w:val="14"/>
          <w:szCs w:val="14"/>
        </w:rPr>
        <w:drawing>
          <wp:inline distT="0" distB="0" distL="0" distR="0">
            <wp:extent cx="139700" cy="13970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39"/>
                    <a:stretch>
                      <a:fillRect/>
                    </a:stretch>
                  </pic:blipFill>
                  <pic:spPr>
                    <a:xfrm>
                      <a:off x="0" y="0"/>
                      <a:ext cx="139700" cy="139700"/>
                    </a:xfrm>
                    <a:prstGeom prst="rect">
                      <a:avLst/>
                    </a:prstGeom>
                  </pic:spPr>
                </pic:pic>
              </a:graphicData>
            </a:graphic>
          </wp:inline>
        </w:drawing>
      </w:r>
      <w:r>
        <w:rPr>
          <w:rFonts w:ascii="Arial" w:hAnsi="Arial" w:eastAsia="Arial" w:cs="Arial"/>
          <w:sz w:val="14"/>
          <w:szCs w:val="14"/>
        </w:rPr>
        <w:t xml:space="preserve">    </w:t>
      </w:r>
      <w:r>
        <w:rPr>
          <w:rFonts w:ascii="Arial" w:hAnsi="Arial" w:eastAsia="Arial" w:cs="Arial"/>
          <w:spacing w:val="-6"/>
          <w:sz w:val="14"/>
          <w:szCs w:val="14"/>
        </w:rPr>
        <w:t>5</w:t>
      </w:r>
    </w:p>
    <w:p>
      <w:pPr>
        <w:spacing w:line="243" w:lineRule="auto"/>
        <w:rPr>
          <w:rFonts w:ascii="Arial"/>
          <w:sz w:val="21"/>
        </w:rPr>
      </w:pPr>
    </w:p>
    <w:p>
      <w:pPr>
        <w:spacing w:before="55" w:line="261" w:lineRule="auto"/>
        <w:ind w:firstLine="2"/>
        <w:jc w:val="both"/>
        <w:rPr>
          <w:rFonts w:ascii="Arial" w:hAnsi="Arial" w:eastAsia="Arial" w:cs="Arial"/>
          <w:sz w:val="19"/>
          <w:szCs w:val="19"/>
        </w:rPr>
      </w:pPr>
      <w:bookmarkStart w:id="5" w:name="bookmark42"/>
      <w:bookmarkEnd w:id="5"/>
      <w:r>
        <w:rPr>
          <w:rFonts w:ascii="Arial" w:hAnsi="Arial" w:eastAsia="Arial" w:cs="Arial"/>
          <w:spacing w:val="-4"/>
          <w:sz w:val="19"/>
          <w:szCs w:val="19"/>
        </w:rPr>
        <w:t>the terms</w:t>
      </w:r>
      <w:r>
        <w:rPr>
          <w:rFonts w:ascii="Arial" w:hAnsi="Arial" w:eastAsia="Arial" w:cs="Arial"/>
          <w:spacing w:val="-18"/>
          <w:sz w:val="19"/>
          <w:szCs w:val="19"/>
        </w:rPr>
        <w:t xml:space="preserve"> </w:t>
      </w:r>
      <w:r>
        <w:rPr>
          <w:rFonts w:ascii="Arial" w:hAnsi="Arial" w:eastAsia="Arial" w:cs="Arial"/>
          <w:spacing w:val="-4"/>
          <w:sz w:val="19"/>
          <w:szCs w:val="19"/>
        </w:rPr>
        <w:t>‘quality’,</w:t>
      </w:r>
      <w:r>
        <w:rPr>
          <w:rFonts w:ascii="Arial" w:hAnsi="Arial" w:eastAsia="Arial" w:cs="Arial"/>
          <w:spacing w:val="-19"/>
          <w:sz w:val="19"/>
          <w:szCs w:val="19"/>
        </w:rPr>
        <w:t xml:space="preserve"> </w:t>
      </w:r>
      <w:r>
        <w:rPr>
          <w:rFonts w:ascii="Arial" w:hAnsi="Arial" w:eastAsia="Arial" w:cs="Arial"/>
          <w:spacing w:val="-5"/>
          <w:sz w:val="19"/>
          <w:szCs w:val="19"/>
        </w:rPr>
        <w:t>‘</w:t>
      </w:r>
      <w:r>
        <w:rPr>
          <w:rFonts w:ascii="Arial" w:hAnsi="Arial" w:eastAsia="Arial" w:cs="Arial"/>
          <w:spacing w:val="-38"/>
          <w:sz w:val="19"/>
          <w:szCs w:val="19"/>
        </w:rPr>
        <w:t xml:space="preserve"> </w:t>
      </w:r>
      <w:r>
        <w:rPr>
          <w:rFonts w:ascii="Arial" w:hAnsi="Arial" w:eastAsia="Arial" w:cs="Arial"/>
          <w:spacing w:val="-5"/>
          <w:sz w:val="19"/>
          <w:szCs w:val="19"/>
        </w:rPr>
        <w:t>higher education’, and</w:t>
      </w:r>
      <w:r>
        <w:rPr>
          <w:rFonts w:ascii="Arial" w:hAnsi="Arial" w:eastAsia="Arial" w:cs="Arial"/>
          <w:spacing w:val="-19"/>
          <w:sz w:val="19"/>
          <w:szCs w:val="19"/>
        </w:rPr>
        <w:t xml:space="preserve"> </w:t>
      </w:r>
      <w:r>
        <w:rPr>
          <w:rFonts w:ascii="Arial" w:hAnsi="Arial" w:eastAsia="Arial" w:cs="Arial"/>
          <w:spacing w:val="-5"/>
          <w:sz w:val="19"/>
          <w:szCs w:val="19"/>
        </w:rPr>
        <w:t>‘dimension’.</w:t>
      </w:r>
      <w:r>
        <w:rPr>
          <w:rFonts w:ascii="Arial" w:hAnsi="Arial" w:eastAsia="Arial" w:cs="Arial"/>
          <w:spacing w:val="-14"/>
          <w:sz w:val="19"/>
          <w:szCs w:val="19"/>
        </w:rPr>
        <w:t xml:space="preserve"> </w:t>
      </w:r>
      <w:r>
        <w:rPr>
          <w:rFonts w:ascii="Arial" w:hAnsi="Arial" w:eastAsia="Arial" w:cs="Arial"/>
          <w:spacing w:val="-5"/>
          <w:sz w:val="19"/>
          <w:szCs w:val="19"/>
        </w:rPr>
        <w:t>The systematic literature review was limited to</w:t>
      </w:r>
      <w:r>
        <w:rPr>
          <w:rFonts w:ascii="Arial" w:hAnsi="Arial" w:eastAsia="Arial" w:cs="Arial"/>
          <w:sz w:val="19"/>
          <w:szCs w:val="19"/>
        </w:rPr>
        <w:t xml:space="preserve"> </w:t>
      </w:r>
      <w:r>
        <w:rPr>
          <w:rFonts w:ascii="Arial" w:hAnsi="Arial" w:eastAsia="Arial" w:cs="Arial"/>
          <w:spacing w:val="-7"/>
          <w:sz w:val="19"/>
          <w:szCs w:val="19"/>
        </w:rPr>
        <w:t>Eng</w:t>
      </w:r>
      <w:r>
        <w:rPr>
          <w:rFonts w:ascii="Arial" w:hAnsi="Arial" w:eastAsia="Arial" w:cs="Arial"/>
          <w:spacing w:val="-6"/>
          <w:sz w:val="19"/>
          <w:szCs w:val="19"/>
        </w:rPr>
        <w:t>lish</w:t>
      </w:r>
      <w:r>
        <w:rPr>
          <w:rFonts w:ascii="Arial" w:hAnsi="Arial" w:eastAsia="Arial" w:cs="Arial"/>
          <w:spacing w:val="13"/>
          <w:sz w:val="19"/>
          <w:szCs w:val="19"/>
        </w:rPr>
        <w:t xml:space="preserve"> </w:t>
      </w:r>
      <w:r>
        <w:rPr>
          <w:rFonts w:ascii="Arial" w:hAnsi="Arial" w:eastAsia="Arial" w:cs="Arial"/>
          <w:spacing w:val="-6"/>
          <w:sz w:val="19"/>
          <w:szCs w:val="19"/>
        </w:rPr>
        <w:t>and</w:t>
      </w:r>
      <w:r>
        <w:rPr>
          <w:rFonts w:ascii="Arial" w:hAnsi="Arial" w:eastAsia="Arial" w:cs="Arial"/>
          <w:spacing w:val="11"/>
          <w:sz w:val="19"/>
          <w:szCs w:val="19"/>
        </w:rPr>
        <w:t xml:space="preserve"> </w:t>
      </w:r>
      <w:r>
        <w:rPr>
          <w:rFonts w:ascii="Arial" w:hAnsi="Arial" w:eastAsia="Arial" w:cs="Arial"/>
          <w:spacing w:val="-6"/>
          <w:sz w:val="19"/>
          <w:szCs w:val="19"/>
        </w:rPr>
        <w:t>German</w:t>
      </w:r>
      <w:r>
        <w:rPr>
          <w:rFonts w:ascii="Arial" w:hAnsi="Arial" w:eastAsia="Arial" w:cs="Arial"/>
          <w:spacing w:val="17"/>
          <w:sz w:val="19"/>
          <w:szCs w:val="19"/>
        </w:rPr>
        <w:t xml:space="preserve"> </w:t>
      </w:r>
      <w:r>
        <w:rPr>
          <w:rFonts w:ascii="Arial" w:hAnsi="Arial" w:eastAsia="Arial" w:cs="Arial"/>
          <w:spacing w:val="-6"/>
          <w:sz w:val="19"/>
          <w:szCs w:val="19"/>
        </w:rPr>
        <w:t>peer-reviewed</w:t>
      </w:r>
      <w:r>
        <w:rPr>
          <w:rFonts w:ascii="Arial" w:hAnsi="Arial" w:eastAsia="Arial" w:cs="Arial"/>
          <w:spacing w:val="18"/>
          <w:w w:val="101"/>
          <w:sz w:val="19"/>
          <w:szCs w:val="19"/>
        </w:rPr>
        <w:t xml:space="preserve"> </w:t>
      </w:r>
      <w:r>
        <w:rPr>
          <w:rFonts w:ascii="Arial" w:hAnsi="Arial" w:eastAsia="Arial" w:cs="Arial"/>
          <w:spacing w:val="-6"/>
          <w:sz w:val="19"/>
          <w:szCs w:val="19"/>
        </w:rPr>
        <w:t>publications</w:t>
      </w:r>
      <w:r>
        <w:rPr>
          <w:rFonts w:ascii="Arial" w:hAnsi="Arial" w:eastAsia="Arial" w:cs="Arial"/>
          <w:spacing w:val="18"/>
          <w:w w:val="101"/>
          <w:sz w:val="19"/>
          <w:szCs w:val="19"/>
        </w:rPr>
        <w:t xml:space="preserve"> </w:t>
      </w:r>
      <w:r>
        <w:rPr>
          <w:rFonts w:ascii="Arial" w:hAnsi="Arial" w:eastAsia="Arial" w:cs="Arial"/>
          <w:spacing w:val="-6"/>
          <w:sz w:val="19"/>
          <w:szCs w:val="19"/>
        </w:rPr>
        <w:t>up t</w:t>
      </w:r>
      <w:r>
        <w:rPr>
          <w:rFonts w:ascii="Arial" w:hAnsi="Arial" w:eastAsia="Arial" w:cs="Arial"/>
          <w:spacing w:val="-7"/>
          <w:sz w:val="19"/>
          <w:szCs w:val="19"/>
        </w:rPr>
        <w:t>o</w:t>
      </w:r>
      <w:r>
        <w:rPr>
          <w:rFonts w:ascii="Arial" w:hAnsi="Arial" w:eastAsia="Arial" w:cs="Arial"/>
          <w:spacing w:val="20"/>
          <w:sz w:val="19"/>
          <w:szCs w:val="19"/>
        </w:rPr>
        <w:t xml:space="preserve"> </w:t>
      </w:r>
      <w:r>
        <w:rPr>
          <w:rFonts w:ascii="Arial" w:hAnsi="Arial" w:eastAsia="Arial" w:cs="Arial"/>
          <w:spacing w:val="-7"/>
          <w:sz w:val="19"/>
          <w:szCs w:val="19"/>
        </w:rPr>
        <w:t>December</w:t>
      </w:r>
      <w:r>
        <w:rPr>
          <w:rFonts w:ascii="Arial" w:hAnsi="Arial" w:eastAsia="Arial" w:cs="Arial"/>
          <w:spacing w:val="15"/>
          <w:sz w:val="19"/>
          <w:szCs w:val="19"/>
        </w:rPr>
        <w:t xml:space="preserve"> </w:t>
      </w:r>
      <w:r>
        <w:rPr>
          <w:rFonts w:ascii="Arial" w:hAnsi="Arial" w:eastAsia="Arial" w:cs="Arial"/>
          <w:spacing w:val="-7"/>
          <w:sz w:val="19"/>
          <w:szCs w:val="19"/>
        </w:rPr>
        <w:t>2012.</w:t>
      </w:r>
      <w:r>
        <w:rPr>
          <w:rFonts w:ascii="Arial" w:hAnsi="Arial" w:eastAsia="Arial" w:cs="Arial"/>
          <w:spacing w:val="12"/>
          <w:sz w:val="19"/>
          <w:szCs w:val="19"/>
        </w:rPr>
        <w:t xml:space="preserve"> </w:t>
      </w:r>
      <w:r>
        <w:rPr>
          <w:rFonts w:ascii="Arial" w:hAnsi="Arial" w:eastAsia="Arial" w:cs="Arial"/>
          <w:spacing w:val="-7"/>
          <w:sz w:val="19"/>
          <w:szCs w:val="19"/>
        </w:rPr>
        <w:t>Our</w:t>
      </w:r>
      <w:r>
        <w:rPr>
          <w:rFonts w:ascii="Arial" w:hAnsi="Arial" w:eastAsia="Arial" w:cs="Arial"/>
          <w:spacing w:val="13"/>
          <w:sz w:val="19"/>
          <w:szCs w:val="19"/>
        </w:rPr>
        <w:t xml:space="preserve"> </w:t>
      </w:r>
      <w:r>
        <w:rPr>
          <w:rFonts w:ascii="Arial" w:hAnsi="Arial" w:eastAsia="Arial" w:cs="Arial"/>
          <w:spacing w:val="-7"/>
          <w:sz w:val="19"/>
          <w:szCs w:val="19"/>
        </w:rPr>
        <w:t>search</w:t>
      </w:r>
      <w:r>
        <w:rPr>
          <w:rFonts w:ascii="Arial" w:hAnsi="Arial" w:eastAsia="Arial" w:cs="Arial"/>
          <w:spacing w:val="12"/>
          <w:sz w:val="19"/>
          <w:szCs w:val="19"/>
        </w:rPr>
        <w:t xml:space="preserve"> </w:t>
      </w:r>
      <w:r>
        <w:rPr>
          <w:rFonts w:ascii="Arial" w:hAnsi="Arial" w:eastAsia="Arial" w:cs="Arial"/>
          <w:spacing w:val="-7"/>
          <w:sz w:val="19"/>
          <w:szCs w:val="19"/>
        </w:rPr>
        <w:t>strategy</w:t>
      </w:r>
      <w:r>
        <w:rPr>
          <w:rFonts w:ascii="Arial" w:hAnsi="Arial" w:eastAsia="Arial" w:cs="Arial"/>
          <w:spacing w:val="18"/>
          <w:w w:val="101"/>
          <w:sz w:val="19"/>
          <w:szCs w:val="19"/>
        </w:rPr>
        <w:t xml:space="preserve"> </w:t>
      </w:r>
      <w:r>
        <w:rPr>
          <w:rFonts w:ascii="Arial" w:hAnsi="Arial" w:eastAsia="Arial" w:cs="Arial"/>
          <w:spacing w:val="-7"/>
          <w:sz w:val="19"/>
          <w:szCs w:val="19"/>
        </w:rPr>
        <w:t>initiall</w:t>
      </w:r>
      <w:r>
        <w:rPr>
          <w:rFonts w:ascii="Arial" w:hAnsi="Arial" w:eastAsia="Arial" w:cs="Arial"/>
          <w:spacing w:val="-4"/>
          <w:sz w:val="19"/>
          <w:szCs w:val="19"/>
        </w:rPr>
        <w:t>y</w:t>
      </w:r>
      <w:r>
        <w:rPr>
          <w:rFonts w:ascii="Arial" w:hAnsi="Arial" w:eastAsia="Arial" w:cs="Arial"/>
          <w:sz w:val="19"/>
          <w:szCs w:val="19"/>
        </w:rPr>
        <w:t xml:space="preserve"> </w:t>
      </w:r>
      <w:r>
        <w:rPr>
          <w:rFonts w:ascii="Arial" w:hAnsi="Arial" w:eastAsia="Arial" w:cs="Arial"/>
          <w:spacing w:val="-5"/>
          <w:sz w:val="19"/>
          <w:szCs w:val="19"/>
        </w:rPr>
        <w:t>identiied 786 publications. However, only 17 studies were considered relevant to our research objec-</w:t>
      </w:r>
      <w:r>
        <w:rPr>
          <w:rFonts w:ascii="Arial" w:hAnsi="Arial" w:eastAsia="Arial" w:cs="Arial"/>
          <w:spacing w:val="2"/>
          <w:sz w:val="19"/>
          <w:szCs w:val="19"/>
        </w:rPr>
        <w:t xml:space="preserve"> </w:t>
      </w:r>
      <w:r>
        <w:rPr>
          <w:rFonts w:ascii="Arial" w:hAnsi="Arial" w:eastAsia="Arial" w:cs="Arial"/>
          <w:spacing w:val="-5"/>
          <w:sz w:val="19"/>
          <w:szCs w:val="19"/>
        </w:rPr>
        <w:t>tives after careful evaluation of</w:t>
      </w:r>
      <w:r>
        <w:rPr>
          <w:rFonts w:ascii="Arial" w:hAnsi="Arial" w:eastAsia="Arial" w:cs="Arial"/>
          <w:spacing w:val="-18"/>
          <w:sz w:val="19"/>
          <w:szCs w:val="19"/>
        </w:rPr>
        <w:t xml:space="preserve"> </w:t>
      </w:r>
      <w:r>
        <w:rPr>
          <w:rFonts w:ascii="Arial" w:hAnsi="Arial" w:eastAsia="Arial" w:cs="Arial"/>
          <w:spacing w:val="-5"/>
          <w:sz w:val="19"/>
          <w:szCs w:val="19"/>
        </w:rPr>
        <w:t>th</w:t>
      </w:r>
      <w:r>
        <w:rPr>
          <w:rFonts w:ascii="Arial" w:hAnsi="Arial" w:eastAsia="Arial" w:cs="Arial"/>
          <w:spacing w:val="-6"/>
          <w:sz w:val="19"/>
          <w:szCs w:val="19"/>
        </w:rPr>
        <w:t>e corresponding abstracts. Strikingly, only 3 of</w:t>
      </w:r>
      <w:r>
        <w:rPr>
          <w:rFonts w:ascii="Arial" w:hAnsi="Arial" w:eastAsia="Arial" w:cs="Arial"/>
          <w:spacing w:val="-18"/>
          <w:sz w:val="19"/>
          <w:szCs w:val="19"/>
        </w:rPr>
        <w:t xml:space="preserve"> </w:t>
      </w:r>
      <w:r>
        <w:rPr>
          <w:rFonts w:ascii="Arial" w:hAnsi="Arial" w:eastAsia="Arial" w:cs="Arial"/>
          <w:spacing w:val="-6"/>
          <w:sz w:val="19"/>
          <w:szCs w:val="19"/>
        </w:rPr>
        <w:t>these studies focused</w:t>
      </w:r>
      <w:r>
        <w:rPr>
          <w:rFonts w:ascii="Arial" w:hAnsi="Arial" w:eastAsia="Arial" w:cs="Arial"/>
          <w:sz w:val="19"/>
          <w:szCs w:val="19"/>
        </w:rPr>
        <w:t xml:space="preserve"> </w:t>
      </w:r>
      <w:r>
        <w:rPr>
          <w:rFonts w:ascii="Arial" w:hAnsi="Arial" w:eastAsia="Arial" w:cs="Arial"/>
          <w:spacing w:val="-5"/>
          <w:sz w:val="19"/>
          <w:szCs w:val="19"/>
        </w:rPr>
        <w:t>on the</w:t>
      </w:r>
      <w:r>
        <w:rPr>
          <w:rFonts w:ascii="Arial" w:hAnsi="Arial" w:eastAsia="Arial" w:cs="Arial"/>
          <w:spacing w:val="13"/>
          <w:sz w:val="19"/>
          <w:szCs w:val="19"/>
        </w:rPr>
        <w:t xml:space="preserve"> </w:t>
      </w:r>
      <w:r>
        <w:rPr>
          <w:rFonts w:ascii="Arial" w:hAnsi="Arial" w:eastAsia="Arial" w:cs="Arial"/>
          <w:spacing w:val="-5"/>
          <w:sz w:val="19"/>
          <w:szCs w:val="19"/>
        </w:rPr>
        <w:t>quality</w:t>
      </w:r>
      <w:r>
        <w:rPr>
          <w:rFonts w:ascii="Arial" w:hAnsi="Arial" w:eastAsia="Arial" w:cs="Arial"/>
          <w:spacing w:val="14"/>
          <w:w w:val="101"/>
          <w:sz w:val="19"/>
          <w:szCs w:val="19"/>
        </w:rPr>
        <w:t xml:space="preserve"> </w:t>
      </w:r>
      <w:r>
        <w:rPr>
          <w:rFonts w:ascii="Arial" w:hAnsi="Arial" w:eastAsia="Arial" w:cs="Arial"/>
          <w:spacing w:val="-5"/>
          <w:sz w:val="19"/>
          <w:szCs w:val="19"/>
        </w:rPr>
        <w:t>culture</w:t>
      </w:r>
      <w:r>
        <w:rPr>
          <w:rFonts w:ascii="Arial" w:hAnsi="Arial" w:eastAsia="Arial" w:cs="Arial"/>
          <w:spacing w:val="13"/>
          <w:sz w:val="19"/>
          <w:szCs w:val="19"/>
        </w:rPr>
        <w:t xml:space="preserve"> </w:t>
      </w:r>
      <w:r>
        <w:rPr>
          <w:rFonts w:ascii="Arial" w:hAnsi="Arial" w:eastAsia="Arial" w:cs="Arial"/>
          <w:spacing w:val="-5"/>
          <w:sz w:val="19"/>
          <w:szCs w:val="19"/>
        </w:rPr>
        <w:t>construct</w:t>
      </w:r>
      <w:r>
        <w:rPr>
          <w:rFonts w:ascii="Arial" w:hAnsi="Arial" w:eastAsia="Arial" w:cs="Arial"/>
          <w:spacing w:val="12"/>
          <w:sz w:val="19"/>
          <w:szCs w:val="19"/>
        </w:rPr>
        <w:t xml:space="preserve"> </w:t>
      </w:r>
      <w:r>
        <w:rPr>
          <w:rFonts w:ascii="Arial" w:hAnsi="Arial" w:eastAsia="Arial" w:cs="Arial"/>
          <w:spacing w:val="-5"/>
          <w:sz w:val="19"/>
          <w:szCs w:val="19"/>
        </w:rPr>
        <w:t>directly</w:t>
      </w:r>
      <w:r>
        <w:rPr>
          <w:rFonts w:ascii="Arial" w:hAnsi="Arial" w:eastAsia="Arial" w:cs="Arial"/>
          <w:spacing w:val="18"/>
          <w:sz w:val="19"/>
          <w:szCs w:val="19"/>
        </w:rPr>
        <w:t xml:space="preserve"> </w:t>
      </w:r>
      <w:r>
        <w:rPr>
          <w:rFonts w:ascii="Arial" w:hAnsi="Arial" w:eastAsia="Arial" w:cs="Arial"/>
          <w:spacing w:val="-5"/>
          <w:sz w:val="19"/>
          <w:szCs w:val="19"/>
        </w:rPr>
        <w:t>(Ali</w:t>
      </w:r>
      <w:r>
        <w:rPr>
          <w:rFonts w:ascii="Arial" w:hAnsi="Arial" w:eastAsia="Arial" w:cs="Arial"/>
          <w:spacing w:val="12"/>
          <w:sz w:val="19"/>
          <w:szCs w:val="19"/>
        </w:rPr>
        <w:t xml:space="preserve"> </w:t>
      </w:r>
      <w:r>
        <w:rPr>
          <w:rFonts w:ascii="Arial" w:hAnsi="Arial" w:eastAsia="Arial" w:cs="Arial"/>
          <w:spacing w:val="-5"/>
          <w:sz w:val="19"/>
          <w:szCs w:val="19"/>
        </w:rPr>
        <w:t>and</w:t>
      </w:r>
      <w:r>
        <w:rPr>
          <w:rFonts w:ascii="Arial" w:hAnsi="Arial" w:eastAsia="Arial" w:cs="Arial"/>
          <w:spacing w:val="17"/>
          <w:sz w:val="19"/>
          <w:szCs w:val="19"/>
        </w:rPr>
        <w:t xml:space="preserve"> </w:t>
      </w:r>
      <w:r>
        <w:rPr>
          <w:rFonts w:ascii="Arial" w:hAnsi="Arial" w:eastAsia="Arial" w:cs="Arial"/>
          <w:spacing w:val="-5"/>
          <w:sz w:val="19"/>
          <w:szCs w:val="19"/>
        </w:rPr>
        <w:t>Mus</w:t>
      </w:r>
      <w:r>
        <w:rPr>
          <w:rFonts w:ascii="Arial" w:hAnsi="Arial" w:eastAsia="Arial" w:cs="Arial"/>
          <w:spacing w:val="-6"/>
          <w:sz w:val="19"/>
          <w:szCs w:val="19"/>
        </w:rPr>
        <w:t xml:space="preserve">ah </w:t>
      </w:r>
      <w:r>
        <w:fldChar w:fldCharType="begin"/>
      </w:r>
      <w:r>
        <w:instrText xml:space="preserve"> HYPERLINK \l "bookmark43" </w:instrText>
      </w:r>
      <w:r>
        <w:fldChar w:fldCharType="separate"/>
      </w:r>
      <w:r>
        <w:rPr>
          <w:rFonts w:ascii="Arial" w:hAnsi="Arial" w:eastAsia="Arial" w:cs="Arial"/>
          <w:color w:val="000084"/>
          <w:spacing w:val="-6"/>
          <w:sz w:val="19"/>
          <w:szCs w:val="19"/>
        </w:rPr>
        <w:t>2012</w:t>
      </w:r>
      <w:r>
        <w:rPr>
          <w:rFonts w:ascii="Arial" w:hAnsi="Arial" w:eastAsia="Arial" w:cs="Arial"/>
          <w:color w:val="000084"/>
          <w:spacing w:val="-6"/>
          <w:sz w:val="19"/>
          <w:szCs w:val="19"/>
        </w:rPr>
        <w:fldChar w:fldCharType="end"/>
      </w:r>
      <w:r>
        <w:rPr>
          <w:rFonts w:ascii="Arial" w:hAnsi="Arial" w:eastAsia="Arial" w:cs="Arial"/>
          <w:spacing w:val="-6"/>
          <w:sz w:val="19"/>
          <w:szCs w:val="19"/>
        </w:rPr>
        <w:t>; Trivellas</w:t>
      </w:r>
      <w:r>
        <w:rPr>
          <w:rFonts w:ascii="Arial" w:hAnsi="Arial" w:eastAsia="Arial" w:cs="Arial"/>
          <w:spacing w:val="13"/>
          <w:w w:val="101"/>
          <w:sz w:val="19"/>
          <w:szCs w:val="19"/>
        </w:rPr>
        <w:t xml:space="preserve"> </w:t>
      </w:r>
      <w:r>
        <w:rPr>
          <w:rFonts w:ascii="Arial" w:hAnsi="Arial" w:eastAsia="Arial" w:cs="Arial"/>
          <w:spacing w:val="-6"/>
          <w:sz w:val="19"/>
          <w:szCs w:val="19"/>
        </w:rPr>
        <w:t>and</w:t>
      </w:r>
      <w:r>
        <w:rPr>
          <w:rFonts w:ascii="Arial" w:hAnsi="Arial" w:eastAsia="Arial" w:cs="Arial"/>
          <w:spacing w:val="19"/>
          <w:w w:val="101"/>
          <w:sz w:val="19"/>
          <w:szCs w:val="19"/>
        </w:rPr>
        <w:t xml:space="preserve"> </w:t>
      </w:r>
      <w:r>
        <w:rPr>
          <w:rFonts w:ascii="Arial" w:hAnsi="Arial" w:eastAsia="Arial" w:cs="Arial"/>
          <w:spacing w:val="-6"/>
          <w:sz w:val="19"/>
          <w:szCs w:val="19"/>
        </w:rPr>
        <w:t xml:space="preserve">Dargenidou </w:t>
      </w:r>
      <w:r>
        <w:fldChar w:fldCharType="begin"/>
      </w:r>
      <w:r>
        <w:instrText xml:space="preserve"> HYPERLINK \l "bookmark44" </w:instrText>
      </w:r>
      <w:r>
        <w:fldChar w:fldCharType="separate"/>
      </w:r>
      <w:r>
        <w:rPr>
          <w:rFonts w:ascii="Arial" w:hAnsi="Arial" w:eastAsia="Arial" w:cs="Arial"/>
          <w:color w:val="000084"/>
          <w:spacing w:val="-6"/>
          <w:sz w:val="19"/>
          <w:szCs w:val="19"/>
        </w:rPr>
        <w:t>2009</w:t>
      </w:r>
      <w:r>
        <w:rPr>
          <w:rFonts w:ascii="Arial" w:hAnsi="Arial" w:eastAsia="Arial" w:cs="Arial"/>
          <w:color w:val="000084"/>
          <w:spacing w:val="-6"/>
          <w:sz w:val="19"/>
          <w:szCs w:val="19"/>
        </w:rPr>
        <w:fldChar w:fldCharType="end"/>
      </w:r>
      <w:r>
        <w:rPr>
          <w:rFonts w:ascii="Arial" w:hAnsi="Arial" w:eastAsia="Arial" w:cs="Arial"/>
          <w:spacing w:val="-6"/>
          <w:sz w:val="19"/>
          <w:szCs w:val="19"/>
        </w:rPr>
        <w:t>;</w:t>
      </w:r>
      <w:r>
        <w:rPr>
          <w:rFonts w:ascii="Arial" w:hAnsi="Arial" w:eastAsia="Arial" w:cs="Arial"/>
          <w:spacing w:val="10"/>
          <w:sz w:val="19"/>
          <w:szCs w:val="19"/>
        </w:rPr>
        <w:t xml:space="preserve"> </w:t>
      </w:r>
      <w:r>
        <w:rPr>
          <w:rFonts w:ascii="Arial" w:hAnsi="Arial" w:eastAsia="Arial" w:cs="Arial"/>
          <w:spacing w:val="-6"/>
          <w:sz w:val="19"/>
          <w:szCs w:val="19"/>
        </w:rPr>
        <w:t>Zeitz,</w:t>
      </w:r>
      <w:r>
        <w:rPr>
          <w:rFonts w:ascii="Arial" w:hAnsi="Arial" w:eastAsia="Arial" w:cs="Arial"/>
          <w:sz w:val="19"/>
          <w:szCs w:val="19"/>
        </w:rPr>
        <w:t xml:space="preserve"> </w:t>
      </w:r>
      <w:r>
        <w:rPr>
          <w:rFonts w:ascii="Arial" w:hAnsi="Arial" w:eastAsia="Arial" w:cs="Arial"/>
          <w:spacing w:val="-6"/>
          <w:sz w:val="19"/>
          <w:szCs w:val="19"/>
        </w:rPr>
        <w:t>Johannesson, and</w:t>
      </w:r>
      <w:r>
        <w:rPr>
          <w:rFonts w:ascii="Arial" w:hAnsi="Arial" w:eastAsia="Arial" w:cs="Arial"/>
          <w:spacing w:val="18"/>
          <w:sz w:val="19"/>
          <w:szCs w:val="19"/>
        </w:rPr>
        <w:t xml:space="preserve"> </w:t>
      </w:r>
      <w:r>
        <w:rPr>
          <w:rFonts w:ascii="Arial" w:hAnsi="Arial" w:eastAsia="Arial" w:cs="Arial"/>
          <w:spacing w:val="-6"/>
          <w:sz w:val="19"/>
          <w:szCs w:val="19"/>
        </w:rPr>
        <w:t xml:space="preserve">Ritchie </w:t>
      </w:r>
      <w:r>
        <w:fldChar w:fldCharType="begin"/>
      </w:r>
      <w:r>
        <w:instrText xml:space="preserve"> HYPERLINK \l "bookmark45" </w:instrText>
      </w:r>
      <w:r>
        <w:fldChar w:fldCharType="separate"/>
      </w:r>
      <w:r>
        <w:rPr>
          <w:rFonts w:ascii="Arial" w:hAnsi="Arial" w:eastAsia="Arial" w:cs="Arial"/>
          <w:color w:val="000084"/>
          <w:spacing w:val="-6"/>
          <w:sz w:val="19"/>
          <w:szCs w:val="19"/>
        </w:rPr>
        <w:t>1997</w:t>
      </w:r>
      <w:r>
        <w:rPr>
          <w:rFonts w:ascii="Arial" w:hAnsi="Arial" w:eastAsia="Arial" w:cs="Arial"/>
          <w:color w:val="000084"/>
          <w:spacing w:val="-6"/>
          <w:sz w:val="19"/>
          <w:szCs w:val="19"/>
        </w:rPr>
        <w:fldChar w:fldCharType="end"/>
      </w:r>
      <w:r>
        <w:rPr>
          <w:rFonts w:ascii="Arial" w:hAnsi="Arial" w:eastAsia="Arial" w:cs="Arial"/>
          <w:spacing w:val="-6"/>
          <w:sz w:val="19"/>
          <w:szCs w:val="19"/>
        </w:rPr>
        <w:t>).</w:t>
      </w:r>
      <w:r>
        <w:rPr>
          <w:rFonts w:ascii="Arial" w:hAnsi="Arial" w:eastAsia="Arial" w:cs="Arial"/>
          <w:spacing w:val="12"/>
          <w:sz w:val="19"/>
          <w:szCs w:val="19"/>
        </w:rPr>
        <w:t xml:space="preserve"> </w:t>
      </w:r>
      <w:r>
        <w:rPr>
          <w:rFonts w:ascii="Arial" w:hAnsi="Arial" w:eastAsia="Arial" w:cs="Arial"/>
          <w:spacing w:val="-6"/>
          <w:sz w:val="19"/>
          <w:szCs w:val="19"/>
        </w:rPr>
        <w:t>Moreover, these</w:t>
      </w:r>
      <w:r>
        <w:rPr>
          <w:rFonts w:ascii="Arial" w:hAnsi="Arial" w:eastAsia="Arial" w:cs="Arial"/>
          <w:spacing w:val="10"/>
          <w:sz w:val="19"/>
          <w:szCs w:val="19"/>
        </w:rPr>
        <w:t xml:space="preserve"> </w:t>
      </w:r>
      <w:r>
        <w:rPr>
          <w:rFonts w:ascii="Arial" w:hAnsi="Arial" w:eastAsia="Arial" w:cs="Arial"/>
          <w:spacing w:val="-6"/>
          <w:sz w:val="19"/>
          <w:szCs w:val="19"/>
        </w:rPr>
        <w:t>studies</w:t>
      </w:r>
      <w:r>
        <w:rPr>
          <w:rFonts w:ascii="Arial" w:hAnsi="Arial" w:eastAsia="Arial" w:cs="Arial"/>
          <w:spacing w:val="9"/>
          <w:sz w:val="19"/>
          <w:szCs w:val="19"/>
        </w:rPr>
        <w:t xml:space="preserve"> </w:t>
      </w:r>
      <w:r>
        <w:rPr>
          <w:rFonts w:ascii="Arial" w:hAnsi="Arial" w:eastAsia="Arial" w:cs="Arial"/>
          <w:spacing w:val="-6"/>
          <w:sz w:val="19"/>
          <w:szCs w:val="19"/>
        </w:rPr>
        <w:t>applied very</w:t>
      </w:r>
      <w:r>
        <w:rPr>
          <w:rFonts w:ascii="Arial" w:hAnsi="Arial" w:eastAsia="Arial" w:cs="Arial"/>
          <w:spacing w:val="15"/>
          <w:w w:val="101"/>
          <w:sz w:val="19"/>
          <w:szCs w:val="19"/>
        </w:rPr>
        <w:t xml:space="preserve"> </w:t>
      </w:r>
      <w:r>
        <w:rPr>
          <w:rFonts w:ascii="Arial" w:hAnsi="Arial" w:eastAsia="Arial" w:cs="Arial"/>
          <w:spacing w:val="-6"/>
          <w:sz w:val="19"/>
          <w:szCs w:val="19"/>
        </w:rPr>
        <w:t>heterogeneous</w:t>
      </w:r>
      <w:r>
        <w:rPr>
          <w:rFonts w:ascii="Arial" w:hAnsi="Arial" w:eastAsia="Arial" w:cs="Arial"/>
          <w:spacing w:val="15"/>
          <w:sz w:val="19"/>
          <w:szCs w:val="19"/>
        </w:rPr>
        <w:t xml:space="preserve"> </w:t>
      </w:r>
      <w:r>
        <w:rPr>
          <w:rFonts w:ascii="Arial" w:hAnsi="Arial" w:eastAsia="Arial" w:cs="Arial"/>
          <w:spacing w:val="-7"/>
          <w:sz w:val="19"/>
          <w:szCs w:val="19"/>
        </w:rPr>
        <w:t>methodologi-</w:t>
      </w:r>
      <w:r>
        <w:rPr>
          <w:rFonts w:ascii="Arial" w:hAnsi="Arial" w:eastAsia="Arial" w:cs="Arial"/>
          <w:sz w:val="19"/>
          <w:szCs w:val="19"/>
        </w:rPr>
        <w:t xml:space="preserve"> </w:t>
      </w:r>
      <w:r>
        <w:rPr>
          <w:rFonts w:ascii="Arial" w:hAnsi="Arial" w:eastAsia="Arial" w:cs="Arial"/>
          <w:spacing w:val="-5"/>
          <w:sz w:val="19"/>
          <w:szCs w:val="19"/>
        </w:rPr>
        <w:t>ca</w:t>
      </w:r>
      <w:r>
        <w:rPr>
          <w:rFonts w:ascii="Arial" w:hAnsi="Arial" w:eastAsia="Arial" w:cs="Arial"/>
          <w:spacing w:val="-4"/>
          <w:sz w:val="19"/>
          <w:szCs w:val="19"/>
        </w:rPr>
        <w:t>l</w:t>
      </w:r>
      <w:r>
        <w:rPr>
          <w:rFonts w:ascii="Arial" w:hAnsi="Arial" w:eastAsia="Arial" w:cs="Arial"/>
          <w:spacing w:val="45"/>
          <w:sz w:val="19"/>
          <w:szCs w:val="19"/>
        </w:rPr>
        <w:t xml:space="preserve"> </w:t>
      </w:r>
      <w:r>
        <w:rPr>
          <w:rFonts w:ascii="Arial" w:hAnsi="Arial" w:eastAsia="Arial" w:cs="Arial"/>
          <w:spacing w:val="-4"/>
          <w:sz w:val="19"/>
          <w:szCs w:val="19"/>
        </w:rPr>
        <w:t>approaches,</w:t>
      </w:r>
      <w:r>
        <w:rPr>
          <w:rFonts w:ascii="Arial" w:hAnsi="Arial" w:eastAsia="Arial" w:cs="Arial"/>
          <w:spacing w:val="45"/>
          <w:sz w:val="19"/>
          <w:szCs w:val="19"/>
        </w:rPr>
        <w:t xml:space="preserve"> </w:t>
      </w:r>
      <w:r>
        <w:rPr>
          <w:rFonts w:ascii="Arial" w:hAnsi="Arial" w:eastAsia="Arial" w:cs="Arial"/>
          <w:spacing w:val="-4"/>
          <w:sz w:val="19"/>
          <w:szCs w:val="19"/>
        </w:rPr>
        <w:t>giving</w:t>
      </w:r>
      <w:r>
        <w:rPr>
          <w:rFonts w:ascii="Arial" w:hAnsi="Arial" w:eastAsia="Arial" w:cs="Arial"/>
          <w:spacing w:val="41"/>
          <w:sz w:val="19"/>
          <w:szCs w:val="19"/>
        </w:rPr>
        <w:t xml:space="preserve"> </w:t>
      </w:r>
      <w:r>
        <w:rPr>
          <w:rFonts w:ascii="Arial" w:hAnsi="Arial" w:eastAsia="Arial" w:cs="Arial"/>
          <w:spacing w:val="-4"/>
          <w:sz w:val="19"/>
          <w:szCs w:val="19"/>
        </w:rPr>
        <w:t>further</w:t>
      </w:r>
      <w:r>
        <w:rPr>
          <w:rFonts w:ascii="Arial" w:hAnsi="Arial" w:eastAsia="Arial" w:cs="Arial"/>
          <w:spacing w:val="43"/>
          <w:sz w:val="19"/>
          <w:szCs w:val="19"/>
        </w:rPr>
        <w:t xml:space="preserve"> </w:t>
      </w:r>
      <w:r>
        <w:rPr>
          <w:rFonts w:ascii="Arial" w:hAnsi="Arial" w:eastAsia="Arial" w:cs="Arial"/>
          <w:spacing w:val="-4"/>
          <w:sz w:val="19"/>
          <w:szCs w:val="19"/>
        </w:rPr>
        <w:t>weight</w:t>
      </w:r>
      <w:r>
        <w:rPr>
          <w:rFonts w:ascii="Arial" w:hAnsi="Arial" w:eastAsia="Arial" w:cs="Arial"/>
          <w:spacing w:val="42"/>
          <w:w w:val="101"/>
          <w:sz w:val="19"/>
          <w:szCs w:val="19"/>
        </w:rPr>
        <w:t xml:space="preserve"> </w:t>
      </w:r>
      <w:r>
        <w:rPr>
          <w:rFonts w:ascii="Arial" w:hAnsi="Arial" w:eastAsia="Arial" w:cs="Arial"/>
          <w:spacing w:val="-4"/>
          <w:sz w:val="19"/>
          <w:szCs w:val="19"/>
        </w:rPr>
        <w:t>to</w:t>
      </w:r>
      <w:r>
        <w:rPr>
          <w:rFonts w:ascii="Arial" w:hAnsi="Arial" w:eastAsia="Arial" w:cs="Arial"/>
          <w:spacing w:val="45"/>
          <w:w w:val="101"/>
          <w:sz w:val="19"/>
          <w:szCs w:val="19"/>
        </w:rPr>
        <w:t xml:space="preserve"> </w:t>
      </w:r>
      <w:r>
        <w:rPr>
          <w:rFonts w:ascii="Arial" w:hAnsi="Arial" w:eastAsia="Arial" w:cs="Arial"/>
          <w:spacing w:val="-4"/>
          <w:sz w:val="19"/>
          <w:szCs w:val="19"/>
        </w:rPr>
        <w:t xml:space="preserve">our  research  </w:t>
      </w:r>
      <w:r>
        <w:rPr>
          <w:rFonts w:ascii="Arial" w:hAnsi="Arial" w:eastAsia="Arial" w:cs="Arial"/>
          <w:spacing w:val="-5"/>
          <w:sz w:val="19"/>
          <w:szCs w:val="19"/>
        </w:rPr>
        <w:t>objective  of</w:t>
      </w:r>
      <w:r>
        <w:rPr>
          <w:rFonts w:ascii="Arial" w:hAnsi="Arial" w:eastAsia="Arial" w:cs="Arial"/>
          <w:spacing w:val="43"/>
          <w:sz w:val="19"/>
          <w:szCs w:val="19"/>
        </w:rPr>
        <w:t xml:space="preserve"> </w:t>
      </w:r>
      <w:r>
        <w:rPr>
          <w:rFonts w:ascii="Arial" w:hAnsi="Arial" w:eastAsia="Arial" w:cs="Arial"/>
          <w:spacing w:val="-5"/>
          <w:sz w:val="19"/>
          <w:szCs w:val="19"/>
        </w:rPr>
        <w:t>promoting  more  systemati</w:t>
      </w:r>
      <w:r>
        <w:rPr>
          <w:rFonts w:ascii="Arial" w:hAnsi="Arial" w:eastAsia="Arial" w:cs="Arial"/>
          <w:spacing w:val="-3"/>
          <w:sz w:val="19"/>
          <w:szCs w:val="19"/>
        </w:rPr>
        <w:t>c</w:t>
      </w:r>
      <w:r>
        <w:rPr>
          <w:rFonts w:ascii="Arial" w:hAnsi="Arial" w:eastAsia="Arial" w:cs="Arial"/>
          <w:sz w:val="19"/>
          <w:szCs w:val="19"/>
        </w:rPr>
        <w:t xml:space="preserve"> </w:t>
      </w:r>
      <w:r>
        <w:rPr>
          <w:rFonts w:ascii="Arial" w:hAnsi="Arial" w:eastAsia="Arial" w:cs="Arial"/>
          <w:spacing w:val="-4"/>
          <w:sz w:val="19"/>
          <w:szCs w:val="19"/>
        </w:rPr>
        <w:t>research in this ield (for a more detailed description of</w:t>
      </w:r>
      <w:r>
        <w:rPr>
          <w:rFonts w:ascii="Arial" w:hAnsi="Arial" w:eastAsia="Arial" w:cs="Arial"/>
          <w:spacing w:val="-16"/>
          <w:sz w:val="19"/>
          <w:szCs w:val="19"/>
        </w:rPr>
        <w:t xml:space="preserve"> </w:t>
      </w:r>
      <w:r>
        <w:rPr>
          <w:rFonts w:ascii="Arial" w:hAnsi="Arial" w:eastAsia="Arial" w:cs="Arial"/>
          <w:spacing w:val="-4"/>
          <w:sz w:val="19"/>
          <w:szCs w:val="19"/>
        </w:rPr>
        <w:t>the systematic lite</w:t>
      </w:r>
      <w:r>
        <w:rPr>
          <w:rFonts w:ascii="Arial" w:hAnsi="Arial" w:eastAsia="Arial" w:cs="Arial"/>
          <w:spacing w:val="-5"/>
          <w:sz w:val="19"/>
          <w:szCs w:val="19"/>
        </w:rPr>
        <w:t>rature review results includ-</w:t>
      </w:r>
      <w:r>
        <w:rPr>
          <w:rFonts w:ascii="Arial" w:hAnsi="Arial" w:eastAsia="Arial" w:cs="Arial"/>
          <w:sz w:val="19"/>
          <w:szCs w:val="19"/>
        </w:rPr>
        <w:t xml:space="preserve"> </w:t>
      </w:r>
      <w:r>
        <w:rPr>
          <w:rFonts w:ascii="Arial" w:hAnsi="Arial" w:eastAsia="Arial" w:cs="Arial"/>
          <w:spacing w:val="-6"/>
          <w:sz w:val="19"/>
          <w:szCs w:val="19"/>
        </w:rPr>
        <w:t>ing</w:t>
      </w:r>
      <w:r>
        <w:rPr>
          <w:rFonts w:ascii="Arial" w:hAnsi="Arial" w:eastAsia="Arial" w:cs="Arial"/>
          <w:spacing w:val="23"/>
          <w:sz w:val="19"/>
          <w:szCs w:val="19"/>
        </w:rPr>
        <w:t xml:space="preserve"> </w:t>
      </w:r>
      <w:r>
        <w:rPr>
          <w:rFonts w:ascii="Arial" w:hAnsi="Arial" w:eastAsia="Arial" w:cs="Arial"/>
          <w:spacing w:val="-6"/>
          <w:sz w:val="19"/>
          <w:szCs w:val="19"/>
        </w:rPr>
        <w:t>critical</w:t>
      </w:r>
      <w:r>
        <w:rPr>
          <w:rFonts w:ascii="Arial" w:hAnsi="Arial" w:eastAsia="Arial" w:cs="Arial"/>
          <w:spacing w:val="13"/>
          <w:sz w:val="19"/>
          <w:szCs w:val="19"/>
        </w:rPr>
        <w:t xml:space="preserve"> </w:t>
      </w:r>
      <w:r>
        <w:rPr>
          <w:rFonts w:ascii="Arial" w:hAnsi="Arial" w:eastAsia="Arial" w:cs="Arial"/>
          <w:spacing w:val="-6"/>
          <w:sz w:val="19"/>
          <w:szCs w:val="19"/>
        </w:rPr>
        <w:t>comments</w:t>
      </w:r>
      <w:r>
        <w:rPr>
          <w:rFonts w:ascii="Arial" w:hAnsi="Arial" w:eastAsia="Arial" w:cs="Arial"/>
          <w:spacing w:val="13"/>
          <w:w w:val="101"/>
          <w:sz w:val="19"/>
          <w:szCs w:val="19"/>
        </w:rPr>
        <w:t xml:space="preserve"> </w:t>
      </w:r>
      <w:r>
        <w:rPr>
          <w:rFonts w:ascii="Arial" w:hAnsi="Arial" w:eastAsia="Arial" w:cs="Arial"/>
          <w:spacing w:val="-6"/>
          <w:sz w:val="19"/>
          <w:szCs w:val="19"/>
        </w:rPr>
        <w:t>on the</w:t>
      </w:r>
      <w:r>
        <w:rPr>
          <w:rFonts w:ascii="Arial" w:hAnsi="Arial" w:eastAsia="Arial" w:cs="Arial"/>
          <w:spacing w:val="12"/>
          <w:sz w:val="19"/>
          <w:szCs w:val="19"/>
        </w:rPr>
        <w:t xml:space="preserve"> </w:t>
      </w:r>
      <w:r>
        <w:rPr>
          <w:rFonts w:ascii="Arial" w:hAnsi="Arial" w:eastAsia="Arial" w:cs="Arial"/>
          <w:spacing w:val="-6"/>
          <w:sz w:val="19"/>
          <w:szCs w:val="19"/>
        </w:rPr>
        <w:t>studies</w:t>
      </w:r>
      <w:r>
        <w:rPr>
          <w:rFonts w:ascii="Arial" w:hAnsi="Arial" w:eastAsia="Arial" w:cs="Arial"/>
          <w:spacing w:val="18"/>
          <w:sz w:val="19"/>
          <w:szCs w:val="19"/>
        </w:rPr>
        <w:t xml:space="preserve"> </w:t>
      </w:r>
      <w:r>
        <w:rPr>
          <w:rFonts w:ascii="Arial" w:hAnsi="Arial" w:eastAsia="Arial" w:cs="Arial"/>
          <w:spacing w:val="-6"/>
          <w:sz w:val="19"/>
          <w:szCs w:val="19"/>
        </w:rPr>
        <w:t>included,</w:t>
      </w:r>
      <w:r>
        <w:rPr>
          <w:rFonts w:ascii="Arial" w:hAnsi="Arial" w:eastAsia="Arial" w:cs="Arial"/>
          <w:spacing w:val="12"/>
          <w:sz w:val="19"/>
          <w:szCs w:val="19"/>
        </w:rPr>
        <w:t xml:space="preserve"> </w:t>
      </w:r>
      <w:r>
        <w:rPr>
          <w:rFonts w:ascii="Arial" w:hAnsi="Arial" w:eastAsia="Arial" w:cs="Arial"/>
          <w:spacing w:val="-6"/>
          <w:sz w:val="19"/>
          <w:szCs w:val="19"/>
        </w:rPr>
        <w:t>see</w:t>
      </w:r>
      <w:r>
        <w:rPr>
          <w:rFonts w:ascii="Arial" w:hAnsi="Arial" w:eastAsia="Arial" w:cs="Arial"/>
          <w:spacing w:val="13"/>
          <w:w w:val="101"/>
          <w:sz w:val="19"/>
          <w:szCs w:val="19"/>
        </w:rPr>
        <w:t xml:space="preserve"> </w:t>
      </w:r>
      <w:r>
        <w:rPr>
          <w:rFonts w:ascii="Arial" w:hAnsi="Arial" w:eastAsia="Arial" w:cs="Arial"/>
          <w:spacing w:val="-6"/>
          <w:sz w:val="19"/>
          <w:szCs w:val="19"/>
        </w:rPr>
        <w:t>Sattler</w:t>
      </w:r>
      <w:r>
        <w:rPr>
          <w:rFonts w:ascii="Arial" w:hAnsi="Arial" w:eastAsia="Arial" w:cs="Arial"/>
          <w:spacing w:val="13"/>
          <w:sz w:val="19"/>
          <w:szCs w:val="19"/>
        </w:rPr>
        <w:t xml:space="preserve"> </w:t>
      </w:r>
      <w:r>
        <w:rPr>
          <w:rFonts w:ascii="Arial" w:hAnsi="Arial" w:eastAsia="Arial" w:cs="Arial"/>
          <w:spacing w:val="-6"/>
          <w:sz w:val="19"/>
          <w:szCs w:val="19"/>
        </w:rPr>
        <w:t>et</w:t>
      </w:r>
      <w:r>
        <w:rPr>
          <w:rFonts w:ascii="Arial" w:hAnsi="Arial" w:eastAsia="Arial" w:cs="Arial"/>
          <w:spacing w:val="11"/>
          <w:sz w:val="19"/>
          <w:szCs w:val="19"/>
        </w:rPr>
        <w:t xml:space="preserve"> </w:t>
      </w:r>
      <w:r>
        <w:rPr>
          <w:rFonts w:ascii="Arial" w:hAnsi="Arial" w:eastAsia="Arial" w:cs="Arial"/>
          <w:spacing w:val="-6"/>
          <w:sz w:val="19"/>
          <w:szCs w:val="19"/>
        </w:rPr>
        <w:t xml:space="preserve">al. </w:t>
      </w:r>
      <w:r>
        <w:fldChar w:fldCharType="begin"/>
      </w:r>
      <w:r>
        <w:instrText xml:space="preserve"> HYPERLINK \l "bookmark46" </w:instrText>
      </w:r>
      <w:r>
        <w:fldChar w:fldCharType="separate"/>
      </w:r>
      <w:r>
        <w:rPr>
          <w:rFonts w:ascii="Arial" w:hAnsi="Arial" w:eastAsia="Arial" w:cs="Arial"/>
          <w:color w:val="000084"/>
          <w:spacing w:val="-6"/>
          <w:sz w:val="19"/>
          <w:szCs w:val="19"/>
        </w:rPr>
        <w:t>2013</w:t>
      </w:r>
      <w:r>
        <w:rPr>
          <w:rFonts w:ascii="Arial" w:hAnsi="Arial" w:eastAsia="Arial" w:cs="Arial"/>
          <w:color w:val="000084"/>
          <w:spacing w:val="-6"/>
          <w:sz w:val="19"/>
          <w:szCs w:val="19"/>
        </w:rPr>
        <w:fldChar w:fldCharType="end"/>
      </w:r>
      <w:r>
        <w:rPr>
          <w:rFonts w:ascii="Arial" w:hAnsi="Arial" w:eastAsia="Arial" w:cs="Arial"/>
          <w:spacing w:val="-6"/>
          <w:sz w:val="19"/>
          <w:szCs w:val="19"/>
        </w:rPr>
        <w:t xml:space="preserve">, </w:t>
      </w:r>
      <w:r>
        <w:fldChar w:fldCharType="begin"/>
      </w:r>
      <w:r>
        <w:instrText xml:space="preserve"> HYPERLINK \l "bookmark47" </w:instrText>
      </w:r>
      <w:r>
        <w:fldChar w:fldCharType="separate"/>
      </w:r>
      <w:r>
        <w:rPr>
          <w:rFonts w:ascii="Arial" w:hAnsi="Arial" w:eastAsia="Arial" w:cs="Arial"/>
          <w:color w:val="000084"/>
          <w:spacing w:val="-6"/>
          <w:sz w:val="19"/>
          <w:szCs w:val="19"/>
        </w:rPr>
        <w:t>2016</w:t>
      </w:r>
      <w:r>
        <w:rPr>
          <w:rFonts w:ascii="Arial" w:hAnsi="Arial" w:eastAsia="Arial" w:cs="Arial"/>
          <w:color w:val="000084"/>
          <w:spacing w:val="-6"/>
          <w:sz w:val="19"/>
          <w:szCs w:val="19"/>
        </w:rPr>
        <w:fldChar w:fldCharType="end"/>
      </w:r>
      <w:r>
        <w:rPr>
          <w:rFonts w:ascii="Arial" w:hAnsi="Arial" w:eastAsia="Arial" w:cs="Arial"/>
          <w:spacing w:val="-6"/>
          <w:sz w:val="19"/>
          <w:szCs w:val="19"/>
        </w:rPr>
        <w:t>).</w:t>
      </w:r>
    </w:p>
    <w:p>
      <w:pPr>
        <w:spacing w:before="54" w:line="255" w:lineRule="auto"/>
        <w:ind w:left="2" w:firstLine="250"/>
        <w:jc w:val="both"/>
        <w:rPr>
          <w:rFonts w:ascii="Arial" w:hAnsi="Arial" w:eastAsia="Arial" w:cs="Arial"/>
          <w:sz w:val="19"/>
          <w:szCs w:val="19"/>
        </w:rPr>
      </w:pPr>
      <w:r>
        <w:rPr>
          <w:rFonts w:ascii="Arial" w:hAnsi="Arial" w:eastAsia="Arial" w:cs="Arial"/>
          <w:spacing w:val="-7"/>
          <w:sz w:val="19"/>
          <w:szCs w:val="19"/>
        </w:rPr>
        <w:t>Results</w:t>
      </w:r>
      <w:r>
        <w:rPr>
          <w:rFonts w:ascii="Arial" w:hAnsi="Arial" w:eastAsia="Arial" w:cs="Arial"/>
          <w:spacing w:val="40"/>
          <w:sz w:val="19"/>
          <w:szCs w:val="19"/>
        </w:rPr>
        <w:t xml:space="preserve"> </w:t>
      </w:r>
      <w:r>
        <w:rPr>
          <w:rFonts w:ascii="Arial" w:hAnsi="Arial" w:eastAsia="Arial" w:cs="Arial"/>
          <w:spacing w:val="-7"/>
          <w:sz w:val="19"/>
          <w:szCs w:val="19"/>
        </w:rPr>
        <w:t>of</w:t>
      </w:r>
      <w:r>
        <w:rPr>
          <w:rFonts w:ascii="Arial" w:hAnsi="Arial" w:eastAsia="Arial" w:cs="Arial"/>
          <w:spacing w:val="10"/>
          <w:sz w:val="19"/>
          <w:szCs w:val="19"/>
        </w:rPr>
        <w:t xml:space="preserve"> </w:t>
      </w:r>
      <w:r>
        <w:rPr>
          <w:rFonts w:ascii="Arial" w:hAnsi="Arial" w:eastAsia="Arial" w:cs="Arial"/>
          <w:spacing w:val="-7"/>
          <w:sz w:val="19"/>
          <w:szCs w:val="19"/>
        </w:rPr>
        <w:t>the</w:t>
      </w:r>
      <w:r>
        <w:rPr>
          <w:rFonts w:ascii="Arial" w:hAnsi="Arial" w:eastAsia="Arial" w:cs="Arial"/>
          <w:spacing w:val="23"/>
          <w:sz w:val="19"/>
          <w:szCs w:val="19"/>
        </w:rPr>
        <w:t xml:space="preserve"> </w:t>
      </w:r>
      <w:r>
        <w:rPr>
          <w:rFonts w:ascii="Arial" w:hAnsi="Arial" w:eastAsia="Arial" w:cs="Arial"/>
          <w:spacing w:val="-7"/>
          <w:sz w:val="19"/>
          <w:szCs w:val="19"/>
        </w:rPr>
        <w:t>systematic</w:t>
      </w:r>
      <w:r>
        <w:rPr>
          <w:rFonts w:ascii="Arial" w:hAnsi="Arial" w:eastAsia="Arial" w:cs="Arial"/>
          <w:spacing w:val="28"/>
          <w:sz w:val="19"/>
          <w:szCs w:val="19"/>
        </w:rPr>
        <w:t xml:space="preserve"> </w:t>
      </w:r>
      <w:r>
        <w:rPr>
          <w:rFonts w:ascii="Arial" w:hAnsi="Arial" w:eastAsia="Arial" w:cs="Arial"/>
          <w:spacing w:val="-7"/>
          <w:sz w:val="19"/>
          <w:szCs w:val="19"/>
        </w:rPr>
        <w:t>literature</w:t>
      </w:r>
      <w:r>
        <w:rPr>
          <w:rFonts w:ascii="Arial" w:hAnsi="Arial" w:eastAsia="Arial" w:cs="Arial"/>
          <w:spacing w:val="27"/>
          <w:w w:val="101"/>
          <w:sz w:val="19"/>
          <w:szCs w:val="19"/>
        </w:rPr>
        <w:t xml:space="preserve"> </w:t>
      </w:r>
      <w:r>
        <w:rPr>
          <w:rFonts w:ascii="Arial" w:hAnsi="Arial" w:eastAsia="Arial" w:cs="Arial"/>
          <w:spacing w:val="-7"/>
          <w:sz w:val="19"/>
          <w:szCs w:val="19"/>
        </w:rPr>
        <w:t>review</w:t>
      </w:r>
      <w:r>
        <w:rPr>
          <w:rFonts w:ascii="Arial" w:hAnsi="Arial" w:eastAsia="Arial" w:cs="Arial"/>
          <w:spacing w:val="22"/>
          <w:w w:val="101"/>
          <w:sz w:val="19"/>
          <w:szCs w:val="19"/>
        </w:rPr>
        <w:t xml:space="preserve"> </w:t>
      </w:r>
      <w:r>
        <w:rPr>
          <w:rFonts w:ascii="Arial" w:hAnsi="Arial" w:eastAsia="Arial" w:cs="Arial"/>
          <w:spacing w:val="-7"/>
          <w:sz w:val="19"/>
          <w:szCs w:val="19"/>
        </w:rPr>
        <w:t>served</w:t>
      </w:r>
      <w:r>
        <w:rPr>
          <w:rFonts w:ascii="Arial" w:hAnsi="Arial" w:eastAsia="Arial" w:cs="Arial"/>
          <w:spacing w:val="23"/>
          <w:sz w:val="19"/>
          <w:szCs w:val="19"/>
        </w:rPr>
        <w:t xml:space="preserve"> </w:t>
      </w:r>
      <w:r>
        <w:rPr>
          <w:rFonts w:ascii="Arial" w:hAnsi="Arial" w:eastAsia="Arial" w:cs="Arial"/>
          <w:spacing w:val="-7"/>
          <w:sz w:val="19"/>
          <w:szCs w:val="19"/>
        </w:rPr>
        <w:t>as</w:t>
      </w:r>
      <w:r>
        <w:rPr>
          <w:rFonts w:ascii="Arial" w:hAnsi="Arial" w:eastAsia="Arial" w:cs="Arial"/>
          <w:spacing w:val="21"/>
          <w:sz w:val="19"/>
          <w:szCs w:val="19"/>
        </w:rPr>
        <w:t xml:space="preserve"> </w:t>
      </w:r>
      <w:r>
        <w:rPr>
          <w:rFonts w:ascii="Arial" w:hAnsi="Arial" w:eastAsia="Arial" w:cs="Arial"/>
          <w:spacing w:val="-7"/>
          <w:sz w:val="19"/>
          <w:szCs w:val="19"/>
        </w:rPr>
        <w:t>a</w:t>
      </w:r>
      <w:r>
        <w:rPr>
          <w:rFonts w:ascii="Arial" w:hAnsi="Arial" w:eastAsia="Arial" w:cs="Arial"/>
          <w:spacing w:val="21"/>
          <w:w w:val="101"/>
          <w:sz w:val="19"/>
          <w:szCs w:val="19"/>
        </w:rPr>
        <w:t xml:space="preserve"> </w:t>
      </w:r>
      <w:r>
        <w:rPr>
          <w:rFonts w:ascii="Arial" w:hAnsi="Arial" w:eastAsia="Arial" w:cs="Arial"/>
          <w:spacing w:val="-7"/>
          <w:sz w:val="19"/>
          <w:szCs w:val="19"/>
        </w:rPr>
        <w:t>sound</w:t>
      </w:r>
      <w:r>
        <w:rPr>
          <w:rFonts w:ascii="Arial" w:hAnsi="Arial" w:eastAsia="Arial" w:cs="Arial"/>
          <w:spacing w:val="21"/>
          <w:w w:val="101"/>
          <w:sz w:val="19"/>
          <w:szCs w:val="19"/>
        </w:rPr>
        <w:t xml:space="preserve"> </w:t>
      </w:r>
      <w:r>
        <w:rPr>
          <w:rFonts w:ascii="Arial" w:hAnsi="Arial" w:eastAsia="Arial" w:cs="Arial"/>
          <w:spacing w:val="-7"/>
          <w:sz w:val="19"/>
          <w:szCs w:val="19"/>
        </w:rPr>
        <w:t>empirical</w:t>
      </w:r>
      <w:r>
        <w:rPr>
          <w:rFonts w:ascii="Arial" w:hAnsi="Arial" w:eastAsia="Arial" w:cs="Arial"/>
          <w:spacing w:val="27"/>
          <w:sz w:val="19"/>
          <w:szCs w:val="19"/>
        </w:rPr>
        <w:t xml:space="preserve"> </w:t>
      </w:r>
      <w:r>
        <w:rPr>
          <w:rFonts w:ascii="Arial" w:hAnsi="Arial" w:eastAsia="Arial" w:cs="Arial"/>
          <w:spacing w:val="-7"/>
          <w:sz w:val="19"/>
          <w:szCs w:val="19"/>
        </w:rPr>
        <w:t>basis</w:t>
      </w:r>
      <w:r>
        <w:rPr>
          <w:rFonts w:ascii="Arial" w:hAnsi="Arial" w:eastAsia="Arial" w:cs="Arial"/>
          <w:spacing w:val="17"/>
          <w:sz w:val="19"/>
          <w:szCs w:val="19"/>
        </w:rPr>
        <w:t xml:space="preserve"> </w:t>
      </w:r>
      <w:r>
        <w:rPr>
          <w:rFonts w:ascii="Arial" w:hAnsi="Arial" w:eastAsia="Arial" w:cs="Arial"/>
          <w:spacing w:val="-7"/>
          <w:sz w:val="19"/>
          <w:szCs w:val="19"/>
        </w:rPr>
        <w:t>for</w:t>
      </w:r>
      <w:r>
        <w:rPr>
          <w:rFonts w:ascii="Arial" w:hAnsi="Arial" w:eastAsia="Arial" w:cs="Arial"/>
          <w:spacing w:val="22"/>
          <w:sz w:val="19"/>
          <w:szCs w:val="19"/>
        </w:rPr>
        <w:t xml:space="preserve"> </w:t>
      </w:r>
      <w:r>
        <w:rPr>
          <w:rFonts w:ascii="Arial" w:hAnsi="Arial" w:eastAsia="Arial" w:cs="Arial"/>
          <w:spacing w:val="-7"/>
          <w:sz w:val="19"/>
          <w:szCs w:val="19"/>
        </w:rPr>
        <w:t>developing</w:t>
      </w:r>
      <w:r>
        <w:rPr>
          <w:rFonts w:ascii="Arial" w:hAnsi="Arial" w:eastAsia="Arial" w:cs="Arial"/>
          <w:spacing w:val="20"/>
          <w:w w:val="101"/>
          <w:sz w:val="19"/>
          <w:szCs w:val="19"/>
        </w:rPr>
        <w:t xml:space="preserve"> </w:t>
      </w:r>
      <w:r>
        <w:rPr>
          <w:rFonts w:ascii="Arial" w:hAnsi="Arial" w:eastAsia="Arial" w:cs="Arial"/>
          <w:spacing w:val="-7"/>
          <w:sz w:val="19"/>
          <w:szCs w:val="19"/>
        </w:rPr>
        <w:t>an</w:t>
      </w:r>
      <w:r>
        <w:rPr>
          <w:rFonts w:ascii="Arial" w:hAnsi="Arial" w:eastAsia="Arial" w:cs="Arial"/>
          <w:sz w:val="19"/>
          <w:szCs w:val="19"/>
        </w:rPr>
        <w:t xml:space="preserve"> </w:t>
      </w:r>
      <w:r>
        <w:rPr>
          <w:rFonts w:ascii="Arial" w:hAnsi="Arial" w:eastAsia="Arial" w:cs="Arial"/>
          <w:spacing w:val="-4"/>
          <w:sz w:val="19"/>
          <w:szCs w:val="19"/>
        </w:rPr>
        <w:t>initial quality culture</w:t>
      </w:r>
      <w:r>
        <w:rPr>
          <w:rFonts w:ascii="Arial" w:hAnsi="Arial" w:eastAsia="Arial" w:cs="Arial"/>
          <w:spacing w:val="15"/>
          <w:sz w:val="19"/>
          <w:szCs w:val="19"/>
        </w:rPr>
        <w:t xml:space="preserve"> </w:t>
      </w:r>
      <w:r>
        <w:rPr>
          <w:rFonts w:ascii="Arial" w:hAnsi="Arial" w:eastAsia="Arial" w:cs="Arial"/>
          <w:spacing w:val="-4"/>
          <w:sz w:val="19"/>
          <w:szCs w:val="19"/>
        </w:rPr>
        <w:t>model</w:t>
      </w:r>
      <w:r>
        <w:rPr>
          <w:rFonts w:ascii="Arial" w:hAnsi="Arial" w:eastAsia="Arial" w:cs="Arial"/>
          <w:spacing w:val="12"/>
          <w:sz w:val="19"/>
          <w:szCs w:val="19"/>
        </w:rPr>
        <w:t xml:space="preserve"> </w:t>
      </w:r>
      <w:r>
        <w:rPr>
          <w:rFonts w:ascii="Arial" w:hAnsi="Arial" w:eastAsia="Arial" w:cs="Arial"/>
          <w:spacing w:val="-4"/>
          <w:sz w:val="19"/>
          <w:szCs w:val="19"/>
        </w:rPr>
        <w:t>(this</w:t>
      </w:r>
      <w:r>
        <w:rPr>
          <w:rFonts w:ascii="Arial" w:hAnsi="Arial" w:eastAsia="Arial" w:cs="Arial"/>
          <w:spacing w:val="12"/>
          <w:sz w:val="19"/>
          <w:szCs w:val="19"/>
        </w:rPr>
        <w:t xml:space="preserve"> </w:t>
      </w:r>
      <w:r>
        <w:rPr>
          <w:rFonts w:ascii="Arial" w:hAnsi="Arial" w:eastAsia="Arial" w:cs="Arial"/>
          <w:spacing w:val="-4"/>
          <w:sz w:val="19"/>
          <w:szCs w:val="19"/>
        </w:rPr>
        <w:t>mode</w:t>
      </w:r>
      <w:r>
        <w:rPr>
          <w:rFonts w:ascii="Arial" w:hAnsi="Arial" w:eastAsia="Arial" w:cs="Arial"/>
          <w:spacing w:val="-5"/>
          <w:sz w:val="19"/>
          <w:szCs w:val="19"/>
        </w:rPr>
        <w:t>l</w:t>
      </w:r>
      <w:r>
        <w:rPr>
          <w:rFonts w:ascii="Arial" w:hAnsi="Arial" w:eastAsia="Arial" w:cs="Arial"/>
          <w:spacing w:val="10"/>
          <w:sz w:val="19"/>
          <w:szCs w:val="19"/>
        </w:rPr>
        <w:t xml:space="preserve"> </w:t>
      </w:r>
      <w:r>
        <w:rPr>
          <w:rFonts w:ascii="Arial" w:hAnsi="Arial" w:eastAsia="Arial" w:cs="Arial"/>
          <w:spacing w:val="-5"/>
          <w:sz w:val="19"/>
          <w:szCs w:val="19"/>
        </w:rPr>
        <w:t>is available from the</w:t>
      </w:r>
      <w:r>
        <w:rPr>
          <w:rFonts w:ascii="Arial" w:hAnsi="Arial" w:eastAsia="Arial" w:cs="Arial"/>
          <w:spacing w:val="7"/>
          <w:sz w:val="19"/>
          <w:szCs w:val="19"/>
        </w:rPr>
        <w:t xml:space="preserve"> </w:t>
      </w:r>
      <w:r>
        <w:rPr>
          <w:rFonts w:ascii="Arial" w:hAnsi="Arial" w:eastAsia="Arial" w:cs="Arial"/>
          <w:spacing w:val="-5"/>
          <w:sz w:val="19"/>
          <w:szCs w:val="19"/>
        </w:rPr>
        <w:t>authors</w:t>
      </w:r>
      <w:r>
        <w:rPr>
          <w:rFonts w:ascii="Arial" w:hAnsi="Arial" w:eastAsia="Arial" w:cs="Arial"/>
          <w:spacing w:val="14"/>
          <w:sz w:val="19"/>
          <w:szCs w:val="19"/>
        </w:rPr>
        <w:t xml:space="preserve"> </w:t>
      </w:r>
      <w:r>
        <w:rPr>
          <w:rFonts w:ascii="Arial" w:hAnsi="Arial" w:eastAsia="Arial" w:cs="Arial"/>
          <w:spacing w:val="-5"/>
          <w:sz w:val="19"/>
          <w:szCs w:val="19"/>
        </w:rPr>
        <w:t>upon</w:t>
      </w:r>
      <w:r>
        <w:rPr>
          <w:rFonts w:ascii="Arial" w:hAnsi="Arial" w:eastAsia="Arial" w:cs="Arial"/>
          <w:spacing w:val="12"/>
          <w:sz w:val="19"/>
          <w:szCs w:val="19"/>
        </w:rPr>
        <w:t xml:space="preserve"> </w:t>
      </w:r>
      <w:r>
        <w:rPr>
          <w:rFonts w:ascii="Arial" w:hAnsi="Arial" w:eastAsia="Arial" w:cs="Arial"/>
          <w:spacing w:val="-5"/>
          <w:sz w:val="19"/>
          <w:szCs w:val="19"/>
        </w:rPr>
        <w:t>request), which</w:t>
      </w:r>
      <w:r>
        <w:rPr>
          <w:rFonts w:ascii="Arial" w:hAnsi="Arial" w:eastAsia="Arial" w:cs="Arial"/>
          <w:spacing w:val="3"/>
          <w:sz w:val="19"/>
          <w:szCs w:val="19"/>
        </w:rPr>
        <w:t xml:space="preserve"> </w:t>
      </w:r>
      <w:r>
        <w:rPr>
          <w:rFonts w:ascii="Arial" w:hAnsi="Arial" w:eastAsia="Arial" w:cs="Arial"/>
          <w:spacing w:val="-5"/>
          <w:sz w:val="19"/>
          <w:szCs w:val="19"/>
        </w:rPr>
        <w:t>was</w:t>
      </w:r>
      <w:r>
        <w:rPr>
          <w:rFonts w:ascii="Arial" w:hAnsi="Arial" w:eastAsia="Arial" w:cs="Arial"/>
          <w:spacing w:val="8"/>
          <w:sz w:val="19"/>
          <w:szCs w:val="19"/>
        </w:rPr>
        <w:t xml:space="preserve"> </w:t>
      </w:r>
      <w:r>
        <w:rPr>
          <w:rFonts w:ascii="Arial" w:hAnsi="Arial" w:eastAsia="Arial" w:cs="Arial"/>
          <w:spacing w:val="-5"/>
          <w:sz w:val="19"/>
          <w:szCs w:val="19"/>
        </w:rPr>
        <w:t>sub-</w:t>
      </w:r>
      <w:r>
        <w:rPr>
          <w:rFonts w:ascii="Arial" w:hAnsi="Arial" w:eastAsia="Arial" w:cs="Arial"/>
          <w:sz w:val="19"/>
          <w:szCs w:val="19"/>
        </w:rPr>
        <w:t xml:space="preserve"> </w:t>
      </w:r>
      <w:r>
        <w:rPr>
          <w:rFonts w:ascii="Arial" w:hAnsi="Arial" w:eastAsia="Arial" w:cs="Arial"/>
          <w:spacing w:val="-5"/>
          <w:sz w:val="19"/>
          <w:szCs w:val="19"/>
        </w:rPr>
        <w:t>sequently challenged and discussed in the course of 41 international</w:t>
      </w:r>
      <w:r>
        <w:rPr>
          <w:rFonts w:ascii="Arial" w:hAnsi="Arial" w:eastAsia="Arial" w:cs="Arial"/>
          <w:spacing w:val="1"/>
          <w:sz w:val="19"/>
          <w:szCs w:val="19"/>
        </w:rPr>
        <w:t xml:space="preserve"> </w:t>
      </w:r>
      <w:r>
        <w:rPr>
          <w:rFonts w:ascii="Arial" w:hAnsi="Arial" w:eastAsia="Arial" w:cs="Arial"/>
          <w:spacing w:val="-5"/>
          <w:sz w:val="19"/>
          <w:szCs w:val="19"/>
        </w:rPr>
        <w:t>expert</w:t>
      </w:r>
      <w:r>
        <w:rPr>
          <w:rFonts w:ascii="Arial" w:hAnsi="Arial" w:eastAsia="Arial" w:cs="Arial"/>
          <w:spacing w:val="8"/>
          <w:sz w:val="19"/>
          <w:szCs w:val="19"/>
        </w:rPr>
        <w:t xml:space="preserve"> </w:t>
      </w:r>
      <w:r>
        <w:rPr>
          <w:rFonts w:ascii="Arial" w:hAnsi="Arial" w:eastAsia="Arial" w:cs="Arial"/>
          <w:spacing w:val="-5"/>
          <w:sz w:val="19"/>
          <w:szCs w:val="19"/>
        </w:rPr>
        <w:t>interviews.</w:t>
      </w:r>
      <w:r>
        <w:rPr>
          <w:rFonts w:ascii="Arial" w:hAnsi="Arial" w:eastAsia="Arial" w:cs="Arial"/>
          <w:spacing w:val="11"/>
          <w:sz w:val="19"/>
          <w:szCs w:val="19"/>
        </w:rPr>
        <w:t xml:space="preserve"> </w:t>
      </w:r>
      <w:r>
        <w:rPr>
          <w:rFonts w:ascii="Arial" w:hAnsi="Arial" w:eastAsia="Arial" w:cs="Arial"/>
          <w:spacing w:val="-5"/>
          <w:sz w:val="19"/>
          <w:szCs w:val="19"/>
        </w:rPr>
        <w:t>Intervie</w:t>
      </w:r>
      <w:r>
        <w:rPr>
          <w:rFonts w:ascii="Arial" w:hAnsi="Arial" w:eastAsia="Arial" w:cs="Arial"/>
          <w:spacing w:val="-6"/>
          <w:sz w:val="19"/>
          <w:szCs w:val="19"/>
        </w:rPr>
        <w:t>wees</w:t>
      </w:r>
      <w:r>
        <w:rPr>
          <w:rFonts w:ascii="Arial" w:hAnsi="Arial" w:eastAsia="Arial" w:cs="Arial"/>
          <w:sz w:val="19"/>
          <w:szCs w:val="19"/>
        </w:rPr>
        <w:t xml:space="preserve"> </w:t>
      </w:r>
      <w:r>
        <w:rPr>
          <w:rFonts w:ascii="Arial" w:hAnsi="Arial" w:eastAsia="Arial" w:cs="Arial"/>
          <w:spacing w:val="-4"/>
          <w:sz w:val="19"/>
          <w:szCs w:val="19"/>
        </w:rPr>
        <w:t>qualiied as experts</w:t>
      </w:r>
      <w:r>
        <w:rPr>
          <w:rFonts w:ascii="Arial" w:hAnsi="Arial" w:eastAsia="Arial" w:cs="Arial"/>
          <w:spacing w:val="9"/>
          <w:sz w:val="19"/>
          <w:szCs w:val="19"/>
        </w:rPr>
        <w:t xml:space="preserve"> </w:t>
      </w:r>
      <w:r>
        <w:rPr>
          <w:rFonts w:ascii="Arial" w:hAnsi="Arial" w:eastAsia="Arial" w:cs="Arial"/>
          <w:spacing w:val="-4"/>
          <w:sz w:val="19"/>
          <w:szCs w:val="19"/>
        </w:rPr>
        <w:t>by</w:t>
      </w:r>
      <w:r>
        <w:rPr>
          <w:rFonts w:ascii="Arial" w:hAnsi="Arial" w:eastAsia="Arial" w:cs="Arial"/>
          <w:spacing w:val="10"/>
          <w:sz w:val="19"/>
          <w:szCs w:val="19"/>
        </w:rPr>
        <w:t xml:space="preserve"> </w:t>
      </w:r>
      <w:r>
        <w:rPr>
          <w:rFonts w:ascii="Arial" w:hAnsi="Arial" w:eastAsia="Arial" w:cs="Arial"/>
          <w:spacing w:val="-4"/>
          <w:sz w:val="19"/>
          <w:szCs w:val="19"/>
        </w:rPr>
        <w:t>meetin</w:t>
      </w:r>
      <w:r>
        <w:rPr>
          <w:rFonts w:ascii="Arial" w:hAnsi="Arial" w:eastAsia="Arial" w:cs="Arial"/>
          <w:spacing w:val="-5"/>
          <w:sz w:val="19"/>
          <w:szCs w:val="19"/>
        </w:rPr>
        <w:t>g at</w:t>
      </w:r>
      <w:r>
        <w:rPr>
          <w:rFonts w:ascii="Arial" w:hAnsi="Arial" w:eastAsia="Arial" w:cs="Arial"/>
          <w:spacing w:val="10"/>
          <w:sz w:val="19"/>
          <w:szCs w:val="19"/>
        </w:rPr>
        <w:t xml:space="preserve"> </w:t>
      </w:r>
      <w:r>
        <w:rPr>
          <w:rFonts w:ascii="Arial" w:hAnsi="Arial" w:eastAsia="Arial" w:cs="Arial"/>
          <w:spacing w:val="-5"/>
          <w:sz w:val="19"/>
          <w:szCs w:val="19"/>
        </w:rPr>
        <w:t>least one of the following inclusion criteria:</w:t>
      </w:r>
      <w:r>
        <w:rPr>
          <w:rFonts w:ascii="Arial" w:hAnsi="Arial" w:eastAsia="Arial" w:cs="Arial"/>
          <w:spacing w:val="16"/>
          <w:sz w:val="19"/>
          <w:szCs w:val="19"/>
        </w:rPr>
        <w:t xml:space="preserve"> </w:t>
      </w:r>
      <w:r>
        <w:rPr>
          <w:rFonts w:ascii="Arial" w:hAnsi="Arial" w:eastAsia="Arial" w:cs="Arial"/>
          <w:spacing w:val="-5"/>
          <w:sz w:val="19"/>
          <w:szCs w:val="19"/>
        </w:rPr>
        <w:t>1)</w:t>
      </w:r>
      <w:r>
        <w:rPr>
          <w:rFonts w:ascii="Arial" w:hAnsi="Arial" w:eastAsia="Arial" w:cs="Arial"/>
          <w:spacing w:val="11"/>
          <w:sz w:val="19"/>
          <w:szCs w:val="19"/>
        </w:rPr>
        <w:t xml:space="preserve"> </w:t>
      </w:r>
      <w:r>
        <w:rPr>
          <w:rFonts w:ascii="Arial" w:hAnsi="Arial" w:eastAsia="Arial" w:cs="Arial"/>
          <w:spacing w:val="-5"/>
          <w:sz w:val="19"/>
          <w:szCs w:val="19"/>
        </w:rPr>
        <w:t>Professional</w:t>
      </w:r>
      <w:r>
        <w:rPr>
          <w:rFonts w:ascii="Arial" w:hAnsi="Arial" w:eastAsia="Arial" w:cs="Arial"/>
          <w:spacing w:val="2"/>
          <w:sz w:val="19"/>
          <w:szCs w:val="19"/>
        </w:rPr>
        <w:t xml:space="preserve"> </w:t>
      </w:r>
      <w:r>
        <w:rPr>
          <w:rFonts w:ascii="Arial" w:hAnsi="Arial" w:eastAsia="Arial" w:cs="Arial"/>
          <w:spacing w:val="-5"/>
          <w:sz w:val="19"/>
          <w:szCs w:val="19"/>
        </w:rPr>
        <w:t>experi-</w:t>
      </w:r>
      <w:r>
        <w:rPr>
          <w:rFonts w:ascii="Arial" w:hAnsi="Arial" w:eastAsia="Arial" w:cs="Arial"/>
          <w:sz w:val="19"/>
          <w:szCs w:val="19"/>
        </w:rPr>
        <w:t xml:space="preserve"> </w:t>
      </w:r>
      <w:r>
        <w:rPr>
          <w:rFonts w:ascii="Arial" w:hAnsi="Arial" w:eastAsia="Arial" w:cs="Arial"/>
          <w:spacing w:val="-6"/>
          <w:sz w:val="19"/>
          <w:szCs w:val="19"/>
        </w:rPr>
        <w:t>ence</w:t>
      </w:r>
      <w:r>
        <w:rPr>
          <w:rFonts w:ascii="Arial" w:hAnsi="Arial" w:eastAsia="Arial" w:cs="Arial"/>
          <w:spacing w:val="20"/>
          <w:w w:val="101"/>
          <w:sz w:val="19"/>
          <w:szCs w:val="19"/>
        </w:rPr>
        <w:t xml:space="preserve"> </w:t>
      </w:r>
      <w:r>
        <w:rPr>
          <w:rFonts w:ascii="Arial" w:hAnsi="Arial" w:eastAsia="Arial" w:cs="Arial"/>
          <w:spacing w:val="-6"/>
          <w:sz w:val="19"/>
          <w:szCs w:val="19"/>
        </w:rPr>
        <w:t>based</w:t>
      </w:r>
      <w:r>
        <w:rPr>
          <w:rFonts w:ascii="Arial" w:hAnsi="Arial" w:eastAsia="Arial" w:cs="Arial"/>
          <w:spacing w:val="13"/>
          <w:sz w:val="19"/>
          <w:szCs w:val="19"/>
        </w:rPr>
        <w:t xml:space="preserve"> </w:t>
      </w:r>
      <w:r>
        <w:rPr>
          <w:rFonts w:ascii="Arial" w:hAnsi="Arial" w:eastAsia="Arial" w:cs="Arial"/>
          <w:spacing w:val="-6"/>
          <w:sz w:val="19"/>
          <w:szCs w:val="19"/>
        </w:rPr>
        <w:t>on working for</w:t>
      </w:r>
      <w:r>
        <w:rPr>
          <w:rFonts w:ascii="Arial" w:hAnsi="Arial" w:eastAsia="Arial" w:cs="Arial"/>
          <w:spacing w:val="12"/>
          <w:sz w:val="19"/>
          <w:szCs w:val="19"/>
        </w:rPr>
        <w:t xml:space="preserve"> </w:t>
      </w:r>
      <w:r>
        <w:rPr>
          <w:rFonts w:ascii="Arial" w:hAnsi="Arial" w:eastAsia="Arial" w:cs="Arial"/>
          <w:spacing w:val="-6"/>
          <w:sz w:val="19"/>
          <w:szCs w:val="19"/>
        </w:rPr>
        <w:t>an</w:t>
      </w:r>
      <w:r>
        <w:rPr>
          <w:rFonts w:ascii="Arial" w:hAnsi="Arial" w:eastAsia="Arial" w:cs="Arial"/>
          <w:spacing w:val="12"/>
          <w:sz w:val="19"/>
          <w:szCs w:val="19"/>
        </w:rPr>
        <w:t xml:space="preserve"> </w:t>
      </w:r>
      <w:r>
        <w:rPr>
          <w:rFonts w:ascii="Arial" w:hAnsi="Arial" w:eastAsia="Arial" w:cs="Arial"/>
          <w:spacing w:val="-6"/>
          <w:sz w:val="19"/>
          <w:szCs w:val="19"/>
        </w:rPr>
        <w:t>accredited</w:t>
      </w:r>
      <w:r>
        <w:rPr>
          <w:rFonts w:ascii="Arial" w:hAnsi="Arial" w:eastAsia="Arial" w:cs="Arial"/>
          <w:spacing w:val="11"/>
          <w:sz w:val="19"/>
          <w:szCs w:val="19"/>
        </w:rPr>
        <w:t xml:space="preserve"> </w:t>
      </w:r>
      <w:r>
        <w:rPr>
          <w:rFonts w:ascii="Arial" w:hAnsi="Arial" w:eastAsia="Arial" w:cs="Arial"/>
          <w:spacing w:val="-6"/>
          <w:sz w:val="19"/>
          <w:szCs w:val="19"/>
        </w:rPr>
        <w:t>quality</w:t>
      </w:r>
      <w:r>
        <w:rPr>
          <w:rFonts w:ascii="Arial" w:hAnsi="Arial" w:eastAsia="Arial" w:cs="Arial"/>
          <w:spacing w:val="11"/>
          <w:sz w:val="19"/>
          <w:szCs w:val="19"/>
        </w:rPr>
        <w:t xml:space="preserve"> </w:t>
      </w:r>
      <w:r>
        <w:rPr>
          <w:rFonts w:ascii="Arial" w:hAnsi="Arial" w:eastAsia="Arial" w:cs="Arial"/>
          <w:spacing w:val="-6"/>
          <w:sz w:val="19"/>
          <w:szCs w:val="19"/>
        </w:rPr>
        <w:t>assurance</w:t>
      </w:r>
      <w:r>
        <w:rPr>
          <w:rFonts w:ascii="Arial" w:hAnsi="Arial" w:eastAsia="Arial" w:cs="Arial"/>
          <w:spacing w:val="12"/>
          <w:sz w:val="19"/>
          <w:szCs w:val="19"/>
        </w:rPr>
        <w:t xml:space="preserve"> </w:t>
      </w:r>
      <w:r>
        <w:rPr>
          <w:rFonts w:ascii="Arial" w:hAnsi="Arial" w:eastAsia="Arial" w:cs="Arial"/>
          <w:spacing w:val="-6"/>
          <w:sz w:val="19"/>
          <w:szCs w:val="19"/>
        </w:rPr>
        <w:t>agency;</w:t>
      </w:r>
      <w:r>
        <w:rPr>
          <w:rFonts w:ascii="Arial" w:hAnsi="Arial" w:eastAsia="Arial" w:cs="Arial"/>
          <w:spacing w:val="15"/>
          <w:sz w:val="19"/>
          <w:szCs w:val="19"/>
        </w:rPr>
        <w:t xml:space="preserve"> </w:t>
      </w:r>
      <w:r>
        <w:rPr>
          <w:rFonts w:ascii="Arial" w:hAnsi="Arial" w:eastAsia="Arial" w:cs="Arial"/>
          <w:spacing w:val="-6"/>
          <w:sz w:val="19"/>
          <w:szCs w:val="19"/>
        </w:rPr>
        <w:t>2)</w:t>
      </w:r>
      <w:r>
        <w:rPr>
          <w:rFonts w:ascii="Arial" w:hAnsi="Arial" w:eastAsia="Arial" w:cs="Arial"/>
          <w:spacing w:val="11"/>
          <w:sz w:val="19"/>
          <w:szCs w:val="19"/>
        </w:rPr>
        <w:t xml:space="preserve"> </w:t>
      </w:r>
      <w:r>
        <w:rPr>
          <w:rFonts w:ascii="Arial" w:hAnsi="Arial" w:eastAsia="Arial" w:cs="Arial"/>
          <w:spacing w:val="-6"/>
          <w:sz w:val="19"/>
          <w:szCs w:val="19"/>
        </w:rPr>
        <w:t>an</w:t>
      </w:r>
      <w:r>
        <w:rPr>
          <w:rFonts w:ascii="Arial" w:hAnsi="Arial" w:eastAsia="Arial" w:cs="Arial"/>
          <w:spacing w:val="17"/>
          <w:sz w:val="19"/>
          <w:szCs w:val="19"/>
        </w:rPr>
        <w:t xml:space="preserve"> </w:t>
      </w:r>
      <w:r>
        <w:rPr>
          <w:rFonts w:ascii="Arial" w:hAnsi="Arial" w:eastAsia="Arial" w:cs="Arial"/>
          <w:spacing w:val="-6"/>
          <w:sz w:val="19"/>
          <w:szCs w:val="19"/>
        </w:rPr>
        <w:t>independent</w:t>
      </w:r>
      <w:r>
        <w:rPr>
          <w:rFonts w:ascii="Arial" w:hAnsi="Arial" w:eastAsia="Arial" w:cs="Arial"/>
          <w:spacing w:val="19"/>
          <w:sz w:val="19"/>
          <w:szCs w:val="19"/>
        </w:rPr>
        <w:t xml:space="preserve"> </w:t>
      </w:r>
      <w:r>
        <w:rPr>
          <w:rFonts w:ascii="Arial" w:hAnsi="Arial" w:eastAsia="Arial" w:cs="Arial"/>
          <w:spacing w:val="-6"/>
          <w:sz w:val="19"/>
          <w:szCs w:val="19"/>
        </w:rPr>
        <w:t>higher</w:t>
      </w:r>
      <w:r>
        <w:rPr>
          <w:rFonts w:ascii="Arial" w:hAnsi="Arial" w:eastAsia="Arial" w:cs="Arial"/>
          <w:spacing w:val="12"/>
          <w:sz w:val="19"/>
          <w:szCs w:val="19"/>
        </w:rPr>
        <w:t xml:space="preserve"> </w:t>
      </w:r>
      <w:r>
        <w:rPr>
          <w:rFonts w:ascii="Arial" w:hAnsi="Arial" w:eastAsia="Arial" w:cs="Arial"/>
          <w:spacing w:val="-6"/>
          <w:sz w:val="19"/>
          <w:szCs w:val="19"/>
        </w:rPr>
        <w:t>edu-</w:t>
      </w:r>
      <w:r>
        <w:rPr>
          <w:rFonts w:ascii="Arial" w:hAnsi="Arial" w:eastAsia="Arial" w:cs="Arial"/>
          <w:sz w:val="19"/>
          <w:szCs w:val="19"/>
        </w:rPr>
        <w:t xml:space="preserve"> </w:t>
      </w:r>
      <w:r>
        <w:rPr>
          <w:rFonts w:ascii="Arial" w:hAnsi="Arial" w:eastAsia="Arial" w:cs="Arial"/>
          <w:spacing w:val="-7"/>
          <w:sz w:val="19"/>
          <w:szCs w:val="19"/>
        </w:rPr>
        <w:t>cati</w:t>
      </w:r>
      <w:r>
        <w:rPr>
          <w:rFonts w:ascii="Arial" w:hAnsi="Arial" w:eastAsia="Arial" w:cs="Arial"/>
          <w:spacing w:val="-6"/>
          <w:sz w:val="19"/>
          <w:szCs w:val="19"/>
        </w:rPr>
        <w:t>on</w:t>
      </w:r>
      <w:r>
        <w:rPr>
          <w:rFonts w:ascii="Arial" w:hAnsi="Arial" w:eastAsia="Arial" w:cs="Arial"/>
          <w:spacing w:val="21"/>
          <w:w w:val="101"/>
          <w:sz w:val="19"/>
          <w:szCs w:val="19"/>
        </w:rPr>
        <w:t xml:space="preserve"> </w:t>
      </w:r>
      <w:r>
        <w:rPr>
          <w:rFonts w:ascii="Arial" w:hAnsi="Arial" w:eastAsia="Arial" w:cs="Arial"/>
          <w:spacing w:val="-6"/>
          <w:sz w:val="19"/>
          <w:szCs w:val="19"/>
        </w:rPr>
        <w:t>organization</w:t>
      </w:r>
      <w:r>
        <w:rPr>
          <w:rFonts w:ascii="Arial" w:hAnsi="Arial" w:eastAsia="Arial" w:cs="Arial"/>
          <w:spacing w:val="26"/>
          <w:sz w:val="19"/>
          <w:szCs w:val="19"/>
        </w:rPr>
        <w:t xml:space="preserve"> </w:t>
      </w:r>
      <w:r>
        <w:rPr>
          <w:rFonts w:ascii="Arial" w:hAnsi="Arial" w:eastAsia="Arial" w:cs="Arial"/>
          <w:spacing w:val="-6"/>
          <w:sz w:val="19"/>
          <w:szCs w:val="19"/>
        </w:rPr>
        <w:t>(e.g.</w:t>
      </w:r>
      <w:r>
        <w:rPr>
          <w:rFonts w:ascii="Arial" w:hAnsi="Arial" w:eastAsia="Arial" w:cs="Arial"/>
          <w:spacing w:val="29"/>
          <w:sz w:val="19"/>
          <w:szCs w:val="19"/>
        </w:rPr>
        <w:t xml:space="preserve"> </w:t>
      </w:r>
      <w:r>
        <w:rPr>
          <w:rFonts w:ascii="Arial" w:hAnsi="Arial" w:eastAsia="Arial" w:cs="Arial"/>
          <w:spacing w:val="-6"/>
          <w:sz w:val="19"/>
          <w:szCs w:val="19"/>
        </w:rPr>
        <w:t>EUA);</w:t>
      </w:r>
      <w:r>
        <w:rPr>
          <w:rFonts w:ascii="Arial" w:hAnsi="Arial" w:eastAsia="Arial" w:cs="Arial"/>
          <w:spacing w:val="23"/>
          <w:sz w:val="19"/>
          <w:szCs w:val="19"/>
        </w:rPr>
        <w:t xml:space="preserve"> </w:t>
      </w:r>
      <w:r>
        <w:rPr>
          <w:rFonts w:ascii="Arial" w:hAnsi="Arial" w:eastAsia="Arial" w:cs="Arial"/>
          <w:spacing w:val="-6"/>
          <w:sz w:val="19"/>
          <w:szCs w:val="19"/>
        </w:rPr>
        <w:t>3)</w:t>
      </w:r>
      <w:r>
        <w:rPr>
          <w:rFonts w:ascii="Arial" w:hAnsi="Arial" w:eastAsia="Arial" w:cs="Arial"/>
          <w:spacing w:val="26"/>
          <w:w w:val="101"/>
          <w:sz w:val="19"/>
          <w:szCs w:val="19"/>
        </w:rPr>
        <w:t xml:space="preserve"> </w:t>
      </w:r>
      <w:r>
        <w:rPr>
          <w:rFonts w:ascii="Arial" w:hAnsi="Arial" w:eastAsia="Arial" w:cs="Arial"/>
          <w:spacing w:val="-6"/>
          <w:sz w:val="19"/>
          <w:szCs w:val="19"/>
        </w:rPr>
        <w:t>practical</w:t>
      </w:r>
      <w:r>
        <w:rPr>
          <w:rFonts w:ascii="Arial" w:hAnsi="Arial" w:eastAsia="Arial" w:cs="Arial"/>
          <w:spacing w:val="21"/>
          <w:w w:val="101"/>
          <w:sz w:val="19"/>
          <w:szCs w:val="19"/>
        </w:rPr>
        <w:t xml:space="preserve"> </w:t>
      </w:r>
      <w:r>
        <w:rPr>
          <w:rFonts w:ascii="Arial" w:hAnsi="Arial" w:eastAsia="Arial" w:cs="Arial"/>
          <w:spacing w:val="-6"/>
          <w:sz w:val="19"/>
          <w:szCs w:val="19"/>
        </w:rPr>
        <w:t>exper</w:t>
      </w:r>
      <w:r>
        <w:rPr>
          <w:rFonts w:ascii="Arial" w:hAnsi="Arial" w:eastAsia="Arial" w:cs="Arial"/>
          <w:spacing w:val="-7"/>
          <w:sz w:val="19"/>
          <w:szCs w:val="19"/>
        </w:rPr>
        <w:t>ience</w:t>
      </w:r>
      <w:r>
        <w:rPr>
          <w:rFonts w:ascii="Arial" w:hAnsi="Arial" w:eastAsia="Arial" w:cs="Arial"/>
          <w:spacing w:val="21"/>
          <w:sz w:val="19"/>
          <w:szCs w:val="19"/>
        </w:rPr>
        <w:t xml:space="preserve"> </w:t>
      </w:r>
      <w:r>
        <w:rPr>
          <w:rFonts w:ascii="Arial" w:hAnsi="Arial" w:eastAsia="Arial" w:cs="Arial"/>
          <w:spacing w:val="-7"/>
          <w:sz w:val="19"/>
          <w:szCs w:val="19"/>
        </w:rPr>
        <w:t>concerning</w:t>
      </w:r>
      <w:r>
        <w:rPr>
          <w:rFonts w:ascii="Arial" w:hAnsi="Arial" w:eastAsia="Arial" w:cs="Arial"/>
          <w:spacing w:val="21"/>
          <w:sz w:val="19"/>
          <w:szCs w:val="19"/>
        </w:rPr>
        <w:t xml:space="preserve"> </w:t>
      </w:r>
      <w:r>
        <w:rPr>
          <w:rFonts w:ascii="Arial" w:hAnsi="Arial" w:eastAsia="Arial" w:cs="Arial"/>
          <w:spacing w:val="-7"/>
          <w:sz w:val="19"/>
          <w:szCs w:val="19"/>
        </w:rPr>
        <w:t>quality</w:t>
      </w:r>
      <w:r>
        <w:rPr>
          <w:rFonts w:ascii="Arial" w:hAnsi="Arial" w:eastAsia="Arial" w:cs="Arial"/>
          <w:spacing w:val="21"/>
          <w:w w:val="101"/>
          <w:sz w:val="19"/>
          <w:szCs w:val="19"/>
        </w:rPr>
        <w:t xml:space="preserve"> </w:t>
      </w:r>
      <w:r>
        <w:rPr>
          <w:rFonts w:ascii="Arial" w:hAnsi="Arial" w:eastAsia="Arial" w:cs="Arial"/>
          <w:spacing w:val="-7"/>
          <w:sz w:val="19"/>
          <w:szCs w:val="19"/>
        </w:rPr>
        <w:t>assurance</w:t>
      </w:r>
      <w:r>
        <w:rPr>
          <w:rFonts w:ascii="Arial" w:hAnsi="Arial" w:eastAsia="Arial" w:cs="Arial"/>
          <w:spacing w:val="20"/>
          <w:w w:val="101"/>
          <w:sz w:val="19"/>
          <w:szCs w:val="19"/>
        </w:rPr>
        <w:t xml:space="preserve"> </w:t>
      </w:r>
      <w:r>
        <w:rPr>
          <w:rFonts w:ascii="Arial" w:hAnsi="Arial" w:eastAsia="Arial" w:cs="Arial"/>
          <w:spacing w:val="-7"/>
          <w:sz w:val="19"/>
          <w:szCs w:val="19"/>
        </w:rPr>
        <w:t>and/or</w:t>
      </w:r>
      <w:r>
        <w:rPr>
          <w:rFonts w:ascii="Arial" w:hAnsi="Arial" w:eastAsia="Arial" w:cs="Arial"/>
          <w:spacing w:val="20"/>
          <w:w w:val="101"/>
          <w:sz w:val="19"/>
          <w:szCs w:val="19"/>
        </w:rPr>
        <w:t xml:space="preserve"> </w:t>
      </w:r>
      <w:r>
        <w:rPr>
          <w:rFonts w:ascii="Arial" w:hAnsi="Arial" w:eastAsia="Arial" w:cs="Arial"/>
          <w:spacing w:val="-7"/>
          <w:sz w:val="19"/>
          <w:szCs w:val="19"/>
        </w:rPr>
        <w:t>qualit</w:t>
      </w:r>
      <w:r>
        <w:rPr>
          <w:rFonts w:ascii="Arial" w:hAnsi="Arial" w:eastAsia="Arial" w:cs="Arial"/>
          <w:spacing w:val="-3"/>
          <w:sz w:val="19"/>
          <w:szCs w:val="19"/>
        </w:rPr>
        <w:t>y</w:t>
      </w:r>
      <w:r>
        <w:rPr>
          <w:rFonts w:ascii="Arial" w:hAnsi="Arial" w:eastAsia="Arial" w:cs="Arial"/>
          <w:sz w:val="19"/>
          <w:szCs w:val="19"/>
        </w:rPr>
        <w:t xml:space="preserve"> </w:t>
      </w:r>
      <w:r>
        <w:rPr>
          <w:rFonts w:ascii="Arial" w:hAnsi="Arial" w:eastAsia="Arial" w:cs="Arial"/>
          <w:spacing w:val="-6"/>
          <w:sz w:val="19"/>
          <w:szCs w:val="19"/>
        </w:rPr>
        <w:t>management</w:t>
      </w:r>
      <w:r>
        <w:rPr>
          <w:rFonts w:ascii="Arial" w:hAnsi="Arial" w:eastAsia="Arial" w:cs="Arial"/>
          <w:spacing w:val="37"/>
          <w:w w:val="101"/>
          <w:sz w:val="19"/>
          <w:szCs w:val="19"/>
        </w:rPr>
        <w:t xml:space="preserve"> </w:t>
      </w:r>
      <w:r>
        <w:rPr>
          <w:rFonts w:ascii="Arial" w:hAnsi="Arial" w:eastAsia="Arial" w:cs="Arial"/>
          <w:spacing w:val="-6"/>
          <w:sz w:val="19"/>
          <w:szCs w:val="19"/>
        </w:rPr>
        <w:t>within  HEIs  (e.g.  quality  managers);  or  4)  research  publications  on  quality</w:t>
      </w:r>
      <w:r>
        <w:rPr>
          <w:rFonts w:ascii="Arial" w:hAnsi="Arial" w:eastAsia="Arial" w:cs="Arial"/>
          <w:spacing w:val="42"/>
          <w:w w:val="101"/>
          <w:sz w:val="19"/>
          <w:szCs w:val="19"/>
        </w:rPr>
        <w:t xml:space="preserve"> </w:t>
      </w:r>
      <w:r>
        <w:rPr>
          <w:rFonts w:ascii="Arial" w:hAnsi="Arial" w:eastAsia="Arial" w:cs="Arial"/>
          <w:spacing w:val="-6"/>
          <w:sz w:val="19"/>
          <w:szCs w:val="19"/>
        </w:rPr>
        <w:t>culture</w:t>
      </w:r>
      <w:r>
        <w:rPr>
          <w:rFonts w:ascii="Arial" w:hAnsi="Arial" w:eastAsia="Arial" w:cs="Arial"/>
          <w:sz w:val="19"/>
          <w:szCs w:val="19"/>
        </w:rPr>
        <w:t xml:space="preserve"> </w:t>
      </w:r>
      <w:r>
        <w:rPr>
          <w:rFonts w:ascii="Arial" w:hAnsi="Arial" w:eastAsia="Arial" w:cs="Arial"/>
          <w:spacing w:val="-5"/>
          <w:sz w:val="19"/>
          <w:szCs w:val="19"/>
        </w:rPr>
        <w:t>within the</w:t>
      </w:r>
      <w:r>
        <w:rPr>
          <w:rFonts w:ascii="Arial" w:hAnsi="Arial" w:eastAsia="Arial" w:cs="Arial"/>
          <w:spacing w:val="37"/>
          <w:w w:val="101"/>
          <w:sz w:val="19"/>
          <w:szCs w:val="19"/>
        </w:rPr>
        <w:t xml:space="preserve"> </w:t>
      </w:r>
      <w:r>
        <w:rPr>
          <w:rFonts w:ascii="Arial" w:hAnsi="Arial" w:eastAsia="Arial" w:cs="Arial"/>
          <w:spacing w:val="-5"/>
          <w:sz w:val="19"/>
          <w:szCs w:val="19"/>
        </w:rPr>
        <w:t>HEI</w:t>
      </w:r>
      <w:r>
        <w:rPr>
          <w:rFonts w:ascii="Arial" w:hAnsi="Arial" w:eastAsia="Arial" w:cs="Arial"/>
          <w:spacing w:val="11"/>
          <w:sz w:val="19"/>
          <w:szCs w:val="19"/>
        </w:rPr>
        <w:t xml:space="preserve"> </w:t>
      </w:r>
      <w:r>
        <w:rPr>
          <w:rFonts w:ascii="Arial" w:hAnsi="Arial" w:eastAsia="Arial" w:cs="Arial"/>
          <w:spacing w:val="-5"/>
          <w:sz w:val="19"/>
          <w:szCs w:val="19"/>
        </w:rPr>
        <w:t>context.</w:t>
      </w:r>
    </w:p>
    <w:p>
      <w:pPr>
        <w:spacing w:before="61" w:line="254" w:lineRule="auto"/>
        <w:ind w:left="2" w:firstLine="238"/>
        <w:jc w:val="both"/>
        <w:rPr>
          <w:rFonts w:ascii="Arial" w:hAnsi="Arial" w:eastAsia="Arial" w:cs="Arial"/>
          <w:sz w:val="19"/>
          <w:szCs w:val="19"/>
        </w:rPr>
      </w:pPr>
      <w:r>
        <w:rPr>
          <w:rFonts w:ascii="Arial" w:hAnsi="Arial" w:eastAsia="Arial" w:cs="Arial"/>
          <w:spacing w:val="-5"/>
          <w:sz w:val="19"/>
          <w:szCs w:val="19"/>
        </w:rPr>
        <w:t>When</w:t>
      </w:r>
      <w:r>
        <w:rPr>
          <w:rFonts w:ascii="Arial" w:hAnsi="Arial" w:eastAsia="Arial" w:cs="Arial"/>
          <w:spacing w:val="22"/>
          <w:sz w:val="19"/>
          <w:szCs w:val="19"/>
        </w:rPr>
        <w:t xml:space="preserve"> </w:t>
      </w:r>
      <w:r>
        <w:rPr>
          <w:rFonts w:ascii="Arial" w:hAnsi="Arial" w:eastAsia="Arial" w:cs="Arial"/>
          <w:spacing w:val="-5"/>
          <w:sz w:val="19"/>
          <w:szCs w:val="19"/>
        </w:rPr>
        <w:t>asked</w:t>
      </w:r>
      <w:r>
        <w:rPr>
          <w:rFonts w:ascii="Arial" w:hAnsi="Arial" w:eastAsia="Arial" w:cs="Arial"/>
          <w:spacing w:val="18"/>
          <w:w w:val="101"/>
          <w:sz w:val="19"/>
          <w:szCs w:val="19"/>
        </w:rPr>
        <w:t xml:space="preserve"> </w:t>
      </w:r>
      <w:r>
        <w:rPr>
          <w:rFonts w:ascii="Arial" w:hAnsi="Arial" w:eastAsia="Arial" w:cs="Arial"/>
          <w:spacing w:val="-5"/>
          <w:sz w:val="19"/>
          <w:szCs w:val="19"/>
        </w:rPr>
        <w:t>to</w:t>
      </w:r>
      <w:r>
        <w:rPr>
          <w:rFonts w:ascii="Arial" w:hAnsi="Arial" w:eastAsia="Arial" w:cs="Arial"/>
          <w:spacing w:val="24"/>
          <w:sz w:val="19"/>
          <w:szCs w:val="19"/>
        </w:rPr>
        <w:t xml:space="preserve"> </w:t>
      </w:r>
      <w:r>
        <w:rPr>
          <w:rFonts w:ascii="Arial" w:hAnsi="Arial" w:eastAsia="Arial" w:cs="Arial"/>
          <w:spacing w:val="-5"/>
          <w:sz w:val="19"/>
          <w:szCs w:val="19"/>
        </w:rPr>
        <w:t>elaborate</w:t>
      </w:r>
      <w:r>
        <w:rPr>
          <w:rFonts w:ascii="Arial" w:hAnsi="Arial" w:eastAsia="Arial" w:cs="Arial"/>
          <w:spacing w:val="24"/>
          <w:w w:val="101"/>
          <w:sz w:val="19"/>
          <w:szCs w:val="19"/>
        </w:rPr>
        <w:t xml:space="preserve"> </w:t>
      </w:r>
      <w:r>
        <w:rPr>
          <w:rFonts w:ascii="Arial" w:hAnsi="Arial" w:eastAsia="Arial" w:cs="Arial"/>
          <w:spacing w:val="-5"/>
          <w:sz w:val="19"/>
          <w:szCs w:val="19"/>
        </w:rPr>
        <w:t>on</w:t>
      </w:r>
      <w:r>
        <w:rPr>
          <w:rFonts w:ascii="Arial" w:hAnsi="Arial" w:eastAsia="Arial" w:cs="Arial"/>
          <w:spacing w:val="28"/>
          <w:sz w:val="19"/>
          <w:szCs w:val="19"/>
        </w:rPr>
        <w:t xml:space="preserve"> </w:t>
      </w:r>
      <w:r>
        <w:rPr>
          <w:rFonts w:ascii="Arial" w:hAnsi="Arial" w:eastAsia="Arial" w:cs="Arial"/>
          <w:spacing w:val="-5"/>
          <w:sz w:val="19"/>
          <w:szCs w:val="19"/>
        </w:rPr>
        <w:t>relevant</w:t>
      </w:r>
      <w:r>
        <w:rPr>
          <w:rFonts w:ascii="Arial" w:hAnsi="Arial" w:eastAsia="Arial" w:cs="Arial"/>
          <w:spacing w:val="23"/>
          <w:sz w:val="19"/>
          <w:szCs w:val="19"/>
        </w:rPr>
        <w:t xml:space="preserve"> </w:t>
      </w:r>
      <w:r>
        <w:rPr>
          <w:rFonts w:ascii="Arial" w:hAnsi="Arial" w:eastAsia="Arial" w:cs="Arial"/>
          <w:spacing w:val="-5"/>
          <w:sz w:val="19"/>
          <w:szCs w:val="19"/>
        </w:rPr>
        <w:t>qu</w:t>
      </w:r>
      <w:r>
        <w:rPr>
          <w:rFonts w:ascii="Arial" w:hAnsi="Arial" w:eastAsia="Arial" w:cs="Arial"/>
          <w:spacing w:val="-6"/>
          <w:sz w:val="19"/>
          <w:szCs w:val="19"/>
        </w:rPr>
        <w:t>ality</w:t>
      </w:r>
      <w:r>
        <w:rPr>
          <w:rFonts w:ascii="Arial" w:hAnsi="Arial" w:eastAsia="Arial" w:cs="Arial"/>
          <w:spacing w:val="23"/>
          <w:w w:val="101"/>
          <w:sz w:val="19"/>
          <w:szCs w:val="19"/>
        </w:rPr>
        <w:t xml:space="preserve"> </w:t>
      </w:r>
      <w:r>
        <w:rPr>
          <w:rFonts w:ascii="Arial" w:hAnsi="Arial" w:eastAsia="Arial" w:cs="Arial"/>
          <w:spacing w:val="-6"/>
          <w:sz w:val="19"/>
          <w:szCs w:val="19"/>
        </w:rPr>
        <w:t>culture</w:t>
      </w:r>
      <w:r>
        <w:rPr>
          <w:rFonts w:ascii="Arial" w:hAnsi="Arial" w:eastAsia="Arial" w:cs="Arial"/>
          <w:spacing w:val="24"/>
          <w:sz w:val="19"/>
          <w:szCs w:val="19"/>
        </w:rPr>
        <w:t xml:space="preserve"> </w:t>
      </w:r>
      <w:r>
        <w:rPr>
          <w:rFonts w:ascii="Arial" w:hAnsi="Arial" w:eastAsia="Arial" w:cs="Arial"/>
          <w:spacing w:val="-6"/>
          <w:sz w:val="19"/>
          <w:szCs w:val="19"/>
        </w:rPr>
        <w:t>dimensions,</w:t>
      </w:r>
      <w:r>
        <w:rPr>
          <w:rFonts w:ascii="Arial" w:hAnsi="Arial" w:eastAsia="Arial" w:cs="Arial"/>
          <w:spacing w:val="23"/>
          <w:w w:val="101"/>
          <w:sz w:val="19"/>
          <w:szCs w:val="19"/>
        </w:rPr>
        <w:t xml:space="preserve"> </w:t>
      </w:r>
      <w:r>
        <w:rPr>
          <w:rFonts w:ascii="Arial" w:hAnsi="Arial" w:eastAsia="Arial" w:cs="Arial"/>
          <w:spacing w:val="-6"/>
          <w:sz w:val="19"/>
          <w:szCs w:val="19"/>
        </w:rPr>
        <w:t>a</w:t>
      </w:r>
      <w:r>
        <w:rPr>
          <w:rFonts w:ascii="Arial" w:hAnsi="Arial" w:eastAsia="Arial" w:cs="Arial"/>
          <w:spacing w:val="18"/>
          <w:w w:val="101"/>
          <w:sz w:val="19"/>
          <w:szCs w:val="19"/>
        </w:rPr>
        <w:t xml:space="preserve"> </w:t>
      </w:r>
      <w:r>
        <w:rPr>
          <w:rFonts w:ascii="Arial" w:hAnsi="Arial" w:eastAsia="Arial" w:cs="Arial"/>
          <w:spacing w:val="-6"/>
          <w:sz w:val="19"/>
          <w:szCs w:val="19"/>
        </w:rPr>
        <w:t>total</w:t>
      </w:r>
      <w:r>
        <w:rPr>
          <w:rFonts w:ascii="Arial" w:hAnsi="Arial" w:eastAsia="Arial" w:cs="Arial"/>
          <w:spacing w:val="29"/>
          <w:sz w:val="19"/>
          <w:szCs w:val="19"/>
        </w:rPr>
        <w:t xml:space="preserve"> </w:t>
      </w:r>
      <w:r>
        <w:rPr>
          <w:rFonts w:ascii="Arial" w:hAnsi="Arial" w:eastAsia="Arial" w:cs="Arial"/>
          <w:spacing w:val="-6"/>
          <w:sz w:val="19"/>
          <w:szCs w:val="19"/>
        </w:rPr>
        <w:t>number</w:t>
      </w:r>
      <w:r>
        <w:rPr>
          <w:rFonts w:ascii="Arial" w:hAnsi="Arial" w:eastAsia="Arial" w:cs="Arial"/>
          <w:spacing w:val="24"/>
          <w:sz w:val="19"/>
          <w:szCs w:val="19"/>
        </w:rPr>
        <w:t xml:space="preserve"> </w:t>
      </w:r>
      <w:r>
        <w:rPr>
          <w:rFonts w:ascii="Arial" w:hAnsi="Arial" w:eastAsia="Arial" w:cs="Arial"/>
          <w:spacing w:val="-6"/>
          <w:sz w:val="19"/>
          <w:szCs w:val="19"/>
        </w:rPr>
        <w:t>of</w:t>
      </w:r>
      <w:r>
        <w:rPr>
          <w:rFonts w:ascii="Arial" w:hAnsi="Arial" w:eastAsia="Arial" w:cs="Arial"/>
          <w:spacing w:val="16"/>
          <w:sz w:val="19"/>
          <w:szCs w:val="19"/>
        </w:rPr>
        <w:t xml:space="preserve"> </w:t>
      </w:r>
      <w:r>
        <w:rPr>
          <w:rFonts w:ascii="Arial" w:hAnsi="Arial" w:eastAsia="Arial" w:cs="Arial"/>
          <w:spacing w:val="-6"/>
          <w:sz w:val="19"/>
          <w:szCs w:val="19"/>
        </w:rPr>
        <w:t>39</w:t>
      </w:r>
      <w:r>
        <w:rPr>
          <w:rFonts w:ascii="Arial" w:hAnsi="Arial" w:eastAsia="Arial" w:cs="Arial"/>
          <w:spacing w:val="22"/>
          <w:w w:val="101"/>
          <w:sz w:val="19"/>
          <w:szCs w:val="19"/>
        </w:rPr>
        <w:t xml:space="preserve"> </w:t>
      </w:r>
      <w:r>
        <w:rPr>
          <w:rFonts w:ascii="Arial" w:hAnsi="Arial" w:eastAsia="Arial" w:cs="Arial"/>
          <w:spacing w:val="-6"/>
          <w:sz w:val="19"/>
          <w:szCs w:val="19"/>
        </w:rPr>
        <w:t>experts</w:t>
      </w:r>
      <w:r>
        <w:rPr>
          <w:rFonts w:ascii="Arial" w:hAnsi="Arial" w:eastAsia="Arial" w:cs="Arial"/>
          <w:sz w:val="19"/>
          <w:szCs w:val="19"/>
        </w:rPr>
        <w:t xml:space="preserve"> </w:t>
      </w:r>
      <w:r>
        <w:rPr>
          <w:rFonts w:ascii="Arial" w:hAnsi="Arial" w:eastAsia="Arial" w:cs="Arial"/>
          <w:spacing w:val="-6"/>
          <w:sz w:val="19"/>
          <w:szCs w:val="19"/>
        </w:rPr>
        <w:t>(95.1%)</w:t>
      </w:r>
      <w:r>
        <w:rPr>
          <w:rFonts w:ascii="Arial" w:hAnsi="Arial" w:eastAsia="Arial" w:cs="Arial"/>
          <w:spacing w:val="41"/>
          <w:w w:val="101"/>
          <w:sz w:val="19"/>
          <w:szCs w:val="19"/>
        </w:rPr>
        <w:t xml:space="preserve"> </w:t>
      </w:r>
      <w:r>
        <w:rPr>
          <w:rFonts w:ascii="Arial" w:hAnsi="Arial" w:eastAsia="Arial" w:cs="Arial"/>
          <w:spacing w:val="-6"/>
          <w:sz w:val="19"/>
          <w:szCs w:val="19"/>
        </w:rPr>
        <w:t>emphasized</w:t>
      </w:r>
      <w:r>
        <w:rPr>
          <w:rFonts w:ascii="Arial" w:hAnsi="Arial" w:eastAsia="Arial" w:cs="Arial"/>
          <w:spacing w:val="19"/>
          <w:w w:val="101"/>
          <w:sz w:val="19"/>
          <w:szCs w:val="19"/>
        </w:rPr>
        <w:t xml:space="preserve"> </w:t>
      </w:r>
      <w:r>
        <w:rPr>
          <w:rFonts w:ascii="Arial" w:hAnsi="Arial" w:eastAsia="Arial" w:cs="Arial"/>
          <w:spacing w:val="-6"/>
          <w:sz w:val="19"/>
          <w:szCs w:val="19"/>
        </w:rPr>
        <w:t>the</w:t>
      </w:r>
      <w:r>
        <w:rPr>
          <w:rFonts w:ascii="Arial" w:hAnsi="Arial" w:eastAsia="Arial" w:cs="Arial"/>
          <w:spacing w:val="26"/>
          <w:w w:val="101"/>
          <w:sz w:val="19"/>
          <w:szCs w:val="19"/>
        </w:rPr>
        <w:t xml:space="preserve"> </w:t>
      </w:r>
      <w:r>
        <w:rPr>
          <w:rFonts w:ascii="Arial" w:hAnsi="Arial" w:eastAsia="Arial" w:cs="Arial"/>
          <w:spacing w:val="-6"/>
          <w:sz w:val="19"/>
          <w:szCs w:val="19"/>
        </w:rPr>
        <w:t>importance</w:t>
      </w:r>
      <w:r>
        <w:rPr>
          <w:rFonts w:ascii="Arial" w:hAnsi="Arial" w:eastAsia="Arial" w:cs="Arial"/>
          <w:spacing w:val="22"/>
          <w:w w:val="101"/>
          <w:sz w:val="19"/>
          <w:szCs w:val="19"/>
        </w:rPr>
        <w:t xml:space="preserve"> </w:t>
      </w:r>
      <w:r>
        <w:rPr>
          <w:rFonts w:ascii="Arial" w:hAnsi="Arial" w:eastAsia="Arial" w:cs="Arial"/>
          <w:spacing w:val="-6"/>
          <w:sz w:val="19"/>
          <w:szCs w:val="19"/>
        </w:rPr>
        <w:t>of</w:t>
      </w:r>
      <w:r>
        <w:rPr>
          <w:rFonts w:ascii="Arial" w:hAnsi="Arial" w:eastAsia="Arial" w:cs="Arial"/>
          <w:spacing w:val="14"/>
          <w:sz w:val="19"/>
          <w:szCs w:val="19"/>
        </w:rPr>
        <w:t xml:space="preserve"> </w:t>
      </w:r>
      <w:r>
        <w:rPr>
          <w:rFonts w:ascii="Arial" w:hAnsi="Arial" w:eastAsia="Arial" w:cs="Arial"/>
          <w:spacing w:val="-6"/>
          <w:sz w:val="19"/>
          <w:szCs w:val="19"/>
        </w:rPr>
        <w:t>quality-oriented</w:t>
      </w:r>
      <w:r>
        <w:rPr>
          <w:rFonts w:ascii="Arial" w:hAnsi="Arial" w:eastAsia="Arial" w:cs="Arial"/>
          <w:spacing w:val="29"/>
          <w:w w:val="101"/>
          <w:sz w:val="19"/>
          <w:szCs w:val="19"/>
        </w:rPr>
        <w:t xml:space="preserve"> </w:t>
      </w:r>
      <w:r>
        <w:rPr>
          <w:rFonts w:ascii="Arial" w:hAnsi="Arial" w:eastAsia="Arial" w:cs="Arial"/>
          <w:spacing w:val="-6"/>
          <w:sz w:val="19"/>
          <w:szCs w:val="19"/>
        </w:rPr>
        <w:t>leadership</w:t>
      </w:r>
      <w:r>
        <w:rPr>
          <w:rFonts w:ascii="Arial" w:hAnsi="Arial" w:eastAsia="Arial" w:cs="Arial"/>
          <w:spacing w:val="22"/>
          <w:sz w:val="19"/>
          <w:szCs w:val="19"/>
        </w:rPr>
        <w:t xml:space="preserve"> </w:t>
      </w:r>
      <w:r>
        <w:rPr>
          <w:rFonts w:ascii="Arial" w:hAnsi="Arial" w:eastAsia="Arial" w:cs="Arial"/>
          <w:spacing w:val="-6"/>
          <w:sz w:val="19"/>
          <w:szCs w:val="19"/>
        </w:rPr>
        <w:t>and</w:t>
      </w:r>
      <w:r>
        <w:rPr>
          <w:rFonts w:ascii="Arial" w:hAnsi="Arial" w:eastAsia="Arial" w:cs="Arial"/>
          <w:spacing w:val="22"/>
          <w:w w:val="101"/>
          <w:sz w:val="19"/>
          <w:szCs w:val="19"/>
        </w:rPr>
        <w:t xml:space="preserve"> </w:t>
      </w:r>
      <w:r>
        <w:rPr>
          <w:rFonts w:ascii="Arial" w:hAnsi="Arial" w:eastAsia="Arial" w:cs="Arial"/>
          <w:spacing w:val="-6"/>
          <w:sz w:val="19"/>
          <w:szCs w:val="19"/>
        </w:rPr>
        <w:t>communication</w:t>
      </w:r>
      <w:r>
        <w:rPr>
          <w:rFonts w:ascii="Arial" w:hAnsi="Arial" w:eastAsia="Arial" w:cs="Arial"/>
          <w:spacing w:val="28"/>
          <w:sz w:val="19"/>
          <w:szCs w:val="19"/>
        </w:rPr>
        <w:t xml:space="preserve"> </w:t>
      </w:r>
      <w:r>
        <w:rPr>
          <w:rFonts w:ascii="Arial" w:hAnsi="Arial" w:eastAsia="Arial" w:cs="Arial"/>
          <w:spacing w:val="-6"/>
          <w:sz w:val="19"/>
          <w:szCs w:val="19"/>
        </w:rPr>
        <w:t>(see</w:t>
      </w:r>
      <w:r>
        <w:rPr>
          <w:rFonts w:ascii="Arial" w:hAnsi="Arial" w:eastAsia="Arial" w:cs="Arial"/>
          <w:spacing w:val="15"/>
          <w:sz w:val="19"/>
          <w:szCs w:val="19"/>
        </w:rPr>
        <w:t xml:space="preserve"> </w:t>
      </w:r>
      <w:r>
        <w:fldChar w:fldCharType="begin"/>
      </w:r>
      <w:r>
        <w:instrText xml:space="preserve"> HYPERLINK \l "bookmark42" </w:instrText>
      </w:r>
      <w:r>
        <w:fldChar w:fldCharType="separate"/>
      </w:r>
      <w:r>
        <w:rPr>
          <w:rFonts w:ascii="Arial" w:hAnsi="Arial" w:eastAsia="Arial" w:cs="Arial"/>
          <w:color w:val="000084"/>
          <w:spacing w:val="-6"/>
          <w:sz w:val="19"/>
          <w:szCs w:val="19"/>
        </w:rPr>
        <w:t>Table</w:t>
      </w:r>
      <w:r>
        <w:rPr>
          <w:rFonts w:ascii="Arial" w:hAnsi="Arial" w:eastAsia="Arial" w:cs="Arial"/>
          <w:color w:val="000084"/>
          <w:spacing w:val="-6"/>
          <w:sz w:val="19"/>
          <w:szCs w:val="19"/>
        </w:rPr>
        <w:fldChar w:fldCharType="end"/>
      </w:r>
      <w:r>
        <w:rPr>
          <w:rFonts w:ascii="Arial" w:hAnsi="Arial" w:eastAsia="Arial" w:cs="Arial"/>
          <w:color w:val="000084"/>
          <w:sz w:val="19"/>
          <w:szCs w:val="19"/>
        </w:rPr>
        <w:t xml:space="preserve"> </w:t>
      </w:r>
      <w:r>
        <w:fldChar w:fldCharType="begin"/>
      </w:r>
      <w:r>
        <w:instrText xml:space="preserve"> HYPERLINK \l "bookmark42" </w:instrText>
      </w:r>
      <w:r>
        <w:fldChar w:fldCharType="separate"/>
      </w:r>
      <w:r>
        <w:rPr>
          <w:rFonts w:ascii="Arial" w:hAnsi="Arial" w:eastAsia="Arial" w:cs="Arial"/>
          <w:color w:val="000084"/>
          <w:spacing w:val="-4"/>
          <w:sz w:val="19"/>
          <w:szCs w:val="19"/>
        </w:rPr>
        <w:t>1</w:t>
      </w:r>
      <w:r>
        <w:rPr>
          <w:rFonts w:ascii="Arial" w:hAnsi="Arial" w:eastAsia="Arial" w:cs="Arial"/>
          <w:color w:val="000084"/>
          <w:spacing w:val="-4"/>
          <w:sz w:val="19"/>
          <w:szCs w:val="19"/>
        </w:rPr>
        <w:fldChar w:fldCharType="end"/>
      </w:r>
      <w:r>
        <w:rPr>
          <w:rFonts w:ascii="Arial" w:hAnsi="Arial" w:eastAsia="Arial" w:cs="Arial"/>
          <w:spacing w:val="-4"/>
          <w:sz w:val="19"/>
          <w:szCs w:val="19"/>
        </w:rPr>
        <w:t>). Moreover, more than 70% of</w:t>
      </w:r>
      <w:r>
        <w:rPr>
          <w:rFonts w:ascii="Arial" w:hAnsi="Arial" w:eastAsia="Arial" w:cs="Arial"/>
          <w:spacing w:val="-12"/>
          <w:sz w:val="19"/>
          <w:szCs w:val="19"/>
        </w:rPr>
        <w:t xml:space="preserve"> </w:t>
      </w:r>
      <w:r>
        <w:rPr>
          <w:rFonts w:ascii="Arial" w:hAnsi="Arial" w:eastAsia="Arial" w:cs="Arial"/>
          <w:spacing w:val="-4"/>
          <w:sz w:val="19"/>
          <w:szCs w:val="19"/>
        </w:rPr>
        <w:t>the experts referred to commitment, participat</w:t>
      </w:r>
      <w:r>
        <w:rPr>
          <w:rFonts w:ascii="Arial" w:hAnsi="Arial" w:eastAsia="Arial" w:cs="Arial"/>
          <w:spacing w:val="-5"/>
          <w:sz w:val="19"/>
          <w:szCs w:val="19"/>
        </w:rPr>
        <w:t>ion and quality objec-</w:t>
      </w:r>
      <w:r>
        <w:rPr>
          <w:rFonts w:ascii="Arial" w:hAnsi="Arial" w:eastAsia="Arial" w:cs="Arial"/>
          <w:sz w:val="19"/>
          <w:szCs w:val="19"/>
        </w:rPr>
        <w:t xml:space="preserve"> </w:t>
      </w:r>
      <w:r>
        <w:rPr>
          <w:rFonts w:ascii="Arial" w:hAnsi="Arial" w:eastAsia="Arial" w:cs="Arial"/>
          <w:spacing w:val="-4"/>
          <w:sz w:val="19"/>
          <w:szCs w:val="19"/>
        </w:rPr>
        <w:t>tives. Additionally, shared qu</w:t>
      </w:r>
      <w:r>
        <w:rPr>
          <w:rFonts w:ascii="Arial" w:hAnsi="Arial" w:eastAsia="Arial" w:cs="Arial"/>
          <w:spacing w:val="-5"/>
          <w:sz w:val="19"/>
          <w:szCs w:val="19"/>
        </w:rPr>
        <w:t>ality values, mutual trust, individual responsibility, recognition, and infor-</w:t>
      </w:r>
      <w:r>
        <w:rPr>
          <w:rFonts w:ascii="Arial" w:hAnsi="Arial" w:eastAsia="Arial" w:cs="Arial"/>
          <w:sz w:val="19"/>
          <w:szCs w:val="19"/>
        </w:rPr>
        <w:t xml:space="preserve"> </w:t>
      </w:r>
      <w:r>
        <w:rPr>
          <w:rFonts w:ascii="Arial" w:hAnsi="Arial" w:eastAsia="Arial" w:cs="Arial"/>
          <w:spacing w:val="-4"/>
          <w:sz w:val="19"/>
          <w:szCs w:val="19"/>
        </w:rPr>
        <w:t>mation</w:t>
      </w:r>
      <w:r>
        <w:rPr>
          <w:rFonts w:ascii="Arial" w:hAnsi="Arial" w:eastAsia="Arial" w:cs="Arial"/>
          <w:spacing w:val="16"/>
          <w:sz w:val="19"/>
          <w:szCs w:val="19"/>
        </w:rPr>
        <w:t xml:space="preserve"> </w:t>
      </w:r>
      <w:r>
        <w:rPr>
          <w:rFonts w:ascii="Arial" w:hAnsi="Arial" w:eastAsia="Arial" w:cs="Arial"/>
          <w:spacing w:val="-4"/>
          <w:sz w:val="19"/>
          <w:szCs w:val="19"/>
        </w:rPr>
        <w:t>ranked among the</w:t>
      </w:r>
      <w:r>
        <w:rPr>
          <w:rFonts w:ascii="Arial" w:hAnsi="Arial" w:eastAsia="Arial" w:cs="Arial"/>
          <w:spacing w:val="22"/>
          <w:sz w:val="19"/>
          <w:szCs w:val="19"/>
        </w:rPr>
        <w:t xml:space="preserve"> </w:t>
      </w:r>
      <w:r>
        <w:rPr>
          <w:rFonts w:ascii="Arial" w:hAnsi="Arial" w:eastAsia="Arial" w:cs="Arial"/>
          <w:spacing w:val="-4"/>
          <w:sz w:val="19"/>
          <w:szCs w:val="19"/>
        </w:rPr>
        <w:t>10</w:t>
      </w:r>
      <w:r>
        <w:rPr>
          <w:rFonts w:ascii="Arial" w:hAnsi="Arial" w:eastAsia="Arial" w:cs="Arial"/>
          <w:spacing w:val="15"/>
          <w:sz w:val="19"/>
          <w:szCs w:val="19"/>
        </w:rPr>
        <w:t xml:space="preserve"> </w:t>
      </w:r>
      <w:r>
        <w:rPr>
          <w:rFonts w:ascii="Arial" w:hAnsi="Arial" w:eastAsia="Arial" w:cs="Arial"/>
          <w:spacing w:val="-4"/>
          <w:sz w:val="19"/>
          <w:szCs w:val="19"/>
        </w:rPr>
        <w:t>most frequently</w:t>
      </w:r>
      <w:r>
        <w:rPr>
          <w:rFonts w:ascii="Arial" w:hAnsi="Arial" w:eastAsia="Arial" w:cs="Arial"/>
          <w:spacing w:val="15"/>
          <w:sz w:val="19"/>
          <w:szCs w:val="19"/>
        </w:rPr>
        <w:t xml:space="preserve"> </w:t>
      </w:r>
      <w:r>
        <w:rPr>
          <w:rFonts w:ascii="Arial" w:hAnsi="Arial" w:eastAsia="Arial" w:cs="Arial"/>
          <w:spacing w:val="-4"/>
          <w:sz w:val="19"/>
          <w:szCs w:val="19"/>
        </w:rPr>
        <w:t>mentioned</w:t>
      </w:r>
      <w:r>
        <w:rPr>
          <w:rFonts w:ascii="Arial" w:hAnsi="Arial" w:eastAsia="Arial" w:cs="Arial"/>
          <w:spacing w:val="11"/>
          <w:sz w:val="19"/>
          <w:szCs w:val="19"/>
        </w:rPr>
        <w:t xml:space="preserve"> </w:t>
      </w:r>
      <w:r>
        <w:rPr>
          <w:rFonts w:ascii="Arial" w:hAnsi="Arial" w:eastAsia="Arial" w:cs="Arial"/>
          <w:spacing w:val="-4"/>
          <w:sz w:val="19"/>
          <w:szCs w:val="19"/>
        </w:rPr>
        <w:t>quality</w:t>
      </w:r>
      <w:r>
        <w:rPr>
          <w:rFonts w:ascii="Arial" w:hAnsi="Arial" w:eastAsia="Arial" w:cs="Arial"/>
          <w:spacing w:val="11"/>
          <w:sz w:val="19"/>
          <w:szCs w:val="19"/>
        </w:rPr>
        <w:t xml:space="preserve"> </w:t>
      </w:r>
      <w:r>
        <w:rPr>
          <w:rFonts w:ascii="Arial" w:hAnsi="Arial" w:eastAsia="Arial" w:cs="Arial"/>
          <w:spacing w:val="-4"/>
          <w:sz w:val="19"/>
          <w:szCs w:val="19"/>
        </w:rPr>
        <w:t>culture</w:t>
      </w:r>
      <w:r>
        <w:rPr>
          <w:rFonts w:ascii="Arial" w:hAnsi="Arial" w:eastAsia="Arial" w:cs="Arial"/>
          <w:spacing w:val="10"/>
          <w:sz w:val="19"/>
          <w:szCs w:val="19"/>
        </w:rPr>
        <w:t xml:space="preserve"> </w:t>
      </w:r>
      <w:r>
        <w:rPr>
          <w:rFonts w:ascii="Arial" w:hAnsi="Arial" w:eastAsia="Arial" w:cs="Arial"/>
          <w:spacing w:val="-4"/>
          <w:sz w:val="19"/>
          <w:szCs w:val="19"/>
        </w:rPr>
        <w:t>dimensions</w:t>
      </w:r>
      <w:r>
        <w:rPr>
          <w:rFonts w:ascii="Arial" w:hAnsi="Arial" w:eastAsia="Arial" w:cs="Arial"/>
          <w:spacing w:val="16"/>
          <w:w w:val="101"/>
          <w:sz w:val="19"/>
          <w:szCs w:val="19"/>
        </w:rPr>
        <w:t xml:space="preserve"> </w:t>
      </w:r>
      <w:r>
        <w:rPr>
          <w:rFonts w:ascii="Arial" w:hAnsi="Arial" w:eastAsia="Arial" w:cs="Arial"/>
          <w:spacing w:val="-4"/>
          <w:sz w:val="19"/>
          <w:szCs w:val="19"/>
        </w:rPr>
        <w:t>(for a</w:t>
      </w:r>
      <w:r>
        <w:rPr>
          <w:rFonts w:ascii="Arial" w:hAnsi="Arial" w:eastAsia="Arial" w:cs="Arial"/>
          <w:spacing w:val="8"/>
          <w:sz w:val="19"/>
          <w:szCs w:val="19"/>
        </w:rPr>
        <w:t xml:space="preserve"> </w:t>
      </w:r>
      <w:r>
        <w:rPr>
          <w:rFonts w:ascii="Arial" w:hAnsi="Arial" w:eastAsia="Arial" w:cs="Arial"/>
          <w:spacing w:val="-4"/>
          <w:sz w:val="19"/>
          <w:szCs w:val="19"/>
        </w:rPr>
        <w:t>det</w:t>
      </w:r>
      <w:r>
        <w:rPr>
          <w:rFonts w:ascii="Arial" w:hAnsi="Arial" w:eastAsia="Arial" w:cs="Arial"/>
          <w:spacing w:val="-5"/>
          <w:sz w:val="19"/>
          <w:szCs w:val="19"/>
        </w:rPr>
        <w:t>ailed</w:t>
      </w:r>
      <w:r>
        <w:rPr>
          <w:rFonts w:ascii="Arial" w:hAnsi="Arial" w:eastAsia="Arial" w:cs="Arial"/>
          <w:sz w:val="19"/>
          <w:szCs w:val="19"/>
        </w:rPr>
        <w:t xml:space="preserve"> </w:t>
      </w:r>
      <w:r>
        <w:rPr>
          <w:rFonts w:ascii="Arial" w:hAnsi="Arial" w:eastAsia="Arial" w:cs="Arial"/>
          <w:spacing w:val="-5"/>
          <w:sz w:val="19"/>
          <w:szCs w:val="19"/>
        </w:rPr>
        <w:t>description</w:t>
      </w:r>
      <w:r>
        <w:rPr>
          <w:rFonts w:ascii="Arial" w:hAnsi="Arial" w:eastAsia="Arial" w:cs="Arial"/>
          <w:spacing w:val="13"/>
          <w:w w:val="101"/>
          <w:sz w:val="19"/>
          <w:szCs w:val="19"/>
        </w:rPr>
        <w:t xml:space="preserve"> </w:t>
      </w:r>
      <w:r>
        <w:rPr>
          <w:rFonts w:ascii="Arial" w:hAnsi="Arial" w:eastAsia="Arial" w:cs="Arial"/>
          <w:spacing w:val="-5"/>
          <w:sz w:val="19"/>
          <w:szCs w:val="19"/>
        </w:rPr>
        <w:t>of additiona</w:t>
      </w:r>
      <w:r>
        <w:rPr>
          <w:rFonts w:ascii="Arial" w:hAnsi="Arial" w:eastAsia="Arial" w:cs="Arial"/>
          <w:spacing w:val="-6"/>
          <w:sz w:val="19"/>
          <w:szCs w:val="19"/>
        </w:rPr>
        <w:t>l</w:t>
      </w:r>
      <w:r>
        <w:rPr>
          <w:rFonts w:ascii="Arial" w:hAnsi="Arial" w:eastAsia="Arial" w:cs="Arial"/>
          <w:spacing w:val="11"/>
          <w:sz w:val="19"/>
          <w:szCs w:val="19"/>
        </w:rPr>
        <w:t xml:space="preserve"> </w:t>
      </w:r>
      <w:r>
        <w:rPr>
          <w:rFonts w:ascii="Arial" w:hAnsi="Arial" w:eastAsia="Arial" w:cs="Arial"/>
          <w:spacing w:val="-6"/>
          <w:sz w:val="19"/>
          <w:szCs w:val="19"/>
        </w:rPr>
        <w:t>expert</w:t>
      </w:r>
      <w:r>
        <w:rPr>
          <w:rFonts w:ascii="Arial" w:hAnsi="Arial" w:eastAsia="Arial" w:cs="Arial"/>
          <w:spacing w:val="16"/>
          <w:sz w:val="19"/>
          <w:szCs w:val="19"/>
        </w:rPr>
        <w:t xml:space="preserve"> </w:t>
      </w:r>
      <w:r>
        <w:rPr>
          <w:rFonts w:ascii="Arial" w:hAnsi="Arial" w:eastAsia="Arial" w:cs="Arial"/>
          <w:spacing w:val="-6"/>
          <w:sz w:val="19"/>
          <w:szCs w:val="19"/>
        </w:rPr>
        <w:t>interview</w:t>
      </w:r>
      <w:r>
        <w:rPr>
          <w:rFonts w:ascii="Arial" w:hAnsi="Arial" w:eastAsia="Arial" w:cs="Arial"/>
          <w:spacing w:val="17"/>
          <w:w w:val="101"/>
          <w:sz w:val="19"/>
          <w:szCs w:val="19"/>
        </w:rPr>
        <w:t xml:space="preserve"> </w:t>
      </w:r>
      <w:r>
        <w:rPr>
          <w:rFonts w:ascii="Arial" w:hAnsi="Arial" w:eastAsia="Arial" w:cs="Arial"/>
          <w:spacing w:val="-6"/>
          <w:sz w:val="19"/>
          <w:szCs w:val="19"/>
        </w:rPr>
        <w:t>results,</w:t>
      </w:r>
      <w:r>
        <w:rPr>
          <w:rFonts w:ascii="Arial" w:hAnsi="Arial" w:eastAsia="Arial" w:cs="Arial"/>
          <w:spacing w:val="13"/>
          <w:w w:val="101"/>
          <w:sz w:val="19"/>
          <w:szCs w:val="19"/>
        </w:rPr>
        <w:t xml:space="preserve"> </w:t>
      </w:r>
      <w:r>
        <w:rPr>
          <w:rFonts w:ascii="Arial" w:hAnsi="Arial" w:eastAsia="Arial" w:cs="Arial"/>
          <w:spacing w:val="-6"/>
          <w:sz w:val="19"/>
          <w:szCs w:val="19"/>
        </w:rPr>
        <w:t>see</w:t>
      </w:r>
      <w:r>
        <w:rPr>
          <w:rFonts w:ascii="Arial" w:hAnsi="Arial" w:eastAsia="Arial" w:cs="Arial"/>
          <w:spacing w:val="12"/>
          <w:sz w:val="19"/>
          <w:szCs w:val="19"/>
        </w:rPr>
        <w:t xml:space="preserve"> </w:t>
      </w:r>
      <w:r>
        <w:rPr>
          <w:rFonts w:ascii="Arial" w:hAnsi="Arial" w:eastAsia="Arial" w:cs="Arial"/>
          <w:spacing w:val="-6"/>
          <w:sz w:val="19"/>
          <w:szCs w:val="19"/>
        </w:rPr>
        <w:t>Sattler,</w:t>
      </w:r>
      <w:r>
        <w:rPr>
          <w:rFonts w:ascii="Arial" w:hAnsi="Arial" w:eastAsia="Arial" w:cs="Arial"/>
          <w:spacing w:val="13"/>
          <w:w w:val="101"/>
          <w:sz w:val="19"/>
          <w:szCs w:val="19"/>
        </w:rPr>
        <w:t xml:space="preserve"> </w:t>
      </w:r>
      <w:r>
        <w:rPr>
          <w:rFonts w:ascii="Arial" w:hAnsi="Arial" w:eastAsia="Arial" w:cs="Arial"/>
          <w:spacing w:val="-6"/>
          <w:sz w:val="19"/>
          <w:szCs w:val="19"/>
        </w:rPr>
        <w:t>Sonntag,</w:t>
      </w:r>
      <w:r>
        <w:rPr>
          <w:rFonts w:ascii="Arial" w:hAnsi="Arial" w:eastAsia="Arial" w:cs="Arial"/>
          <w:spacing w:val="12"/>
          <w:sz w:val="19"/>
          <w:szCs w:val="19"/>
        </w:rPr>
        <w:t xml:space="preserve"> </w:t>
      </w:r>
      <w:r>
        <w:rPr>
          <w:rFonts w:ascii="Arial" w:hAnsi="Arial" w:eastAsia="Arial" w:cs="Arial"/>
          <w:spacing w:val="-6"/>
          <w:sz w:val="19"/>
          <w:szCs w:val="19"/>
        </w:rPr>
        <w:t>and</w:t>
      </w:r>
      <w:r>
        <w:rPr>
          <w:rFonts w:ascii="Arial" w:hAnsi="Arial" w:eastAsia="Arial" w:cs="Arial"/>
          <w:spacing w:val="11"/>
          <w:sz w:val="19"/>
          <w:szCs w:val="19"/>
        </w:rPr>
        <w:t xml:space="preserve"> </w:t>
      </w:r>
      <w:r>
        <w:rPr>
          <w:rFonts w:ascii="Arial" w:hAnsi="Arial" w:eastAsia="Arial" w:cs="Arial"/>
          <w:spacing w:val="-6"/>
          <w:sz w:val="19"/>
          <w:szCs w:val="19"/>
        </w:rPr>
        <w:t xml:space="preserve">Götzen </w:t>
      </w:r>
      <w:r>
        <w:fldChar w:fldCharType="begin"/>
      </w:r>
      <w:r>
        <w:instrText xml:space="preserve"> HYPERLINK \l "bookmark48" </w:instrText>
      </w:r>
      <w:r>
        <w:fldChar w:fldCharType="separate"/>
      </w:r>
      <w:r>
        <w:rPr>
          <w:rFonts w:ascii="Arial" w:hAnsi="Arial" w:eastAsia="Arial" w:cs="Arial"/>
          <w:color w:val="000084"/>
          <w:spacing w:val="-6"/>
          <w:sz w:val="19"/>
          <w:szCs w:val="19"/>
        </w:rPr>
        <w:t>2016</w:t>
      </w:r>
      <w:r>
        <w:rPr>
          <w:rFonts w:ascii="Arial" w:hAnsi="Arial" w:eastAsia="Arial" w:cs="Arial"/>
          <w:color w:val="000084"/>
          <w:spacing w:val="-6"/>
          <w:sz w:val="19"/>
          <w:szCs w:val="19"/>
        </w:rPr>
        <w:fldChar w:fldCharType="end"/>
      </w:r>
      <w:r>
        <w:rPr>
          <w:rFonts w:ascii="Arial" w:hAnsi="Arial" w:eastAsia="Arial" w:cs="Arial"/>
          <w:spacing w:val="-6"/>
          <w:sz w:val="19"/>
          <w:szCs w:val="19"/>
        </w:rPr>
        <w:t>).</w:t>
      </w:r>
    </w:p>
    <w:p>
      <w:pPr>
        <w:spacing w:before="26" w:line="249" w:lineRule="auto"/>
        <w:ind w:left="6" w:firstLine="246"/>
        <w:rPr>
          <w:rFonts w:ascii="Arial" w:hAnsi="Arial" w:eastAsia="Arial" w:cs="Arial"/>
          <w:sz w:val="19"/>
          <w:szCs w:val="19"/>
        </w:rPr>
      </w:pPr>
      <w:r>
        <w:rPr>
          <w:rFonts w:ascii="Arial" w:hAnsi="Arial" w:eastAsia="Arial" w:cs="Arial"/>
          <w:spacing w:val="-3"/>
          <w:sz w:val="19"/>
          <w:szCs w:val="19"/>
        </w:rPr>
        <w:t>Expert suggestions</w:t>
      </w:r>
      <w:r>
        <w:rPr>
          <w:rFonts w:ascii="Arial" w:hAnsi="Arial" w:eastAsia="Arial" w:cs="Arial"/>
          <w:spacing w:val="15"/>
          <w:w w:val="101"/>
          <w:sz w:val="19"/>
          <w:szCs w:val="19"/>
        </w:rPr>
        <w:t xml:space="preserve"> </w:t>
      </w:r>
      <w:r>
        <w:rPr>
          <w:rFonts w:ascii="Arial" w:hAnsi="Arial" w:eastAsia="Arial" w:cs="Arial"/>
          <w:spacing w:val="-3"/>
          <w:sz w:val="19"/>
          <w:szCs w:val="19"/>
        </w:rPr>
        <w:t>led to</w:t>
      </w:r>
      <w:r>
        <w:rPr>
          <w:rFonts w:ascii="Arial" w:hAnsi="Arial" w:eastAsia="Arial" w:cs="Arial"/>
          <w:spacing w:val="13"/>
          <w:sz w:val="19"/>
          <w:szCs w:val="19"/>
        </w:rPr>
        <w:t xml:space="preserve"> </w:t>
      </w:r>
      <w:r>
        <w:rPr>
          <w:rFonts w:ascii="Arial" w:hAnsi="Arial" w:eastAsia="Arial" w:cs="Arial"/>
          <w:spacing w:val="-3"/>
          <w:sz w:val="19"/>
          <w:szCs w:val="19"/>
        </w:rPr>
        <w:t>minor</w:t>
      </w:r>
      <w:r>
        <w:rPr>
          <w:rFonts w:ascii="Arial" w:hAnsi="Arial" w:eastAsia="Arial" w:cs="Arial"/>
          <w:spacing w:val="12"/>
          <w:sz w:val="19"/>
          <w:szCs w:val="19"/>
        </w:rPr>
        <w:t xml:space="preserve"> </w:t>
      </w:r>
      <w:r>
        <w:rPr>
          <w:rFonts w:ascii="Arial" w:hAnsi="Arial" w:eastAsia="Arial" w:cs="Arial"/>
          <w:spacing w:val="-3"/>
          <w:sz w:val="19"/>
          <w:szCs w:val="19"/>
        </w:rPr>
        <w:t>revisions of ou</w:t>
      </w:r>
      <w:r>
        <w:rPr>
          <w:rFonts w:ascii="Arial" w:hAnsi="Arial" w:eastAsia="Arial" w:cs="Arial"/>
          <w:spacing w:val="-4"/>
          <w:sz w:val="19"/>
          <w:szCs w:val="19"/>
        </w:rPr>
        <w:t>r</w:t>
      </w:r>
      <w:r>
        <w:rPr>
          <w:rFonts w:ascii="Arial" w:hAnsi="Arial" w:eastAsia="Arial" w:cs="Arial"/>
          <w:spacing w:val="12"/>
          <w:sz w:val="19"/>
          <w:szCs w:val="19"/>
        </w:rPr>
        <w:t xml:space="preserve"> </w:t>
      </w:r>
      <w:r>
        <w:rPr>
          <w:rFonts w:ascii="Arial" w:hAnsi="Arial" w:eastAsia="Arial" w:cs="Arial"/>
          <w:spacing w:val="-4"/>
          <w:sz w:val="19"/>
          <w:szCs w:val="19"/>
        </w:rPr>
        <w:t>initial quality culture</w:t>
      </w:r>
      <w:r>
        <w:rPr>
          <w:rFonts w:ascii="Arial" w:hAnsi="Arial" w:eastAsia="Arial" w:cs="Arial"/>
          <w:spacing w:val="14"/>
          <w:sz w:val="19"/>
          <w:szCs w:val="19"/>
        </w:rPr>
        <w:t xml:space="preserve"> </w:t>
      </w:r>
      <w:r>
        <w:rPr>
          <w:rFonts w:ascii="Arial" w:hAnsi="Arial" w:eastAsia="Arial" w:cs="Arial"/>
          <w:spacing w:val="-4"/>
          <w:sz w:val="19"/>
          <w:szCs w:val="19"/>
        </w:rPr>
        <w:t>model</w:t>
      </w:r>
      <w:r>
        <w:rPr>
          <w:rFonts w:ascii="Arial" w:hAnsi="Arial" w:eastAsia="Arial" w:cs="Arial"/>
          <w:spacing w:val="13"/>
          <w:sz w:val="19"/>
          <w:szCs w:val="19"/>
        </w:rPr>
        <w:t xml:space="preserve"> </w:t>
      </w:r>
      <w:r>
        <w:rPr>
          <w:rFonts w:ascii="Arial" w:hAnsi="Arial" w:eastAsia="Arial" w:cs="Arial"/>
          <w:spacing w:val="-4"/>
          <w:sz w:val="19"/>
          <w:szCs w:val="19"/>
        </w:rPr>
        <w:t>resulting</w:t>
      </w:r>
      <w:r>
        <w:rPr>
          <w:rFonts w:ascii="Arial" w:hAnsi="Arial" w:eastAsia="Arial" w:cs="Arial"/>
          <w:spacing w:val="10"/>
          <w:sz w:val="19"/>
          <w:szCs w:val="19"/>
        </w:rPr>
        <w:t xml:space="preserve"> </w:t>
      </w:r>
      <w:r>
        <w:rPr>
          <w:rFonts w:ascii="Arial" w:hAnsi="Arial" w:eastAsia="Arial" w:cs="Arial"/>
          <w:spacing w:val="-4"/>
          <w:sz w:val="19"/>
          <w:szCs w:val="19"/>
        </w:rPr>
        <w:t>in</w:t>
      </w:r>
      <w:r>
        <w:rPr>
          <w:rFonts w:ascii="Arial" w:hAnsi="Arial" w:eastAsia="Arial" w:cs="Arial"/>
          <w:spacing w:val="3"/>
          <w:sz w:val="19"/>
          <w:szCs w:val="19"/>
        </w:rPr>
        <w:t xml:space="preserve"> </w:t>
      </w:r>
      <w:r>
        <w:rPr>
          <w:rFonts w:ascii="Arial" w:hAnsi="Arial" w:eastAsia="Arial" w:cs="Arial"/>
          <w:spacing w:val="-4"/>
          <w:sz w:val="19"/>
          <w:szCs w:val="19"/>
        </w:rPr>
        <w:t>the inal</w:t>
      </w:r>
      <w:r>
        <w:rPr>
          <w:rFonts w:ascii="Arial" w:hAnsi="Arial" w:eastAsia="Arial" w:cs="Arial"/>
          <w:sz w:val="19"/>
          <w:szCs w:val="19"/>
        </w:rPr>
        <w:t xml:space="preserve"> </w:t>
      </w:r>
      <w:r>
        <w:rPr>
          <w:rFonts w:ascii="Arial" w:hAnsi="Arial" w:eastAsia="Arial" w:cs="Arial"/>
          <w:spacing w:val="-5"/>
          <w:sz w:val="19"/>
          <w:szCs w:val="19"/>
        </w:rPr>
        <w:t>quality</w:t>
      </w:r>
      <w:r>
        <w:rPr>
          <w:rFonts w:ascii="Arial" w:hAnsi="Arial" w:eastAsia="Arial" w:cs="Arial"/>
          <w:spacing w:val="18"/>
          <w:sz w:val="19"/>
          <w:szCs w:val="19"/>
        </w:rPr>
        <w:t xml:space="preserve"> </w:t>
      </w:r>
      <w:r>
        <w:rPr>
          <w:rFonts w:ascii="Arial" w:hAnsi="Arial" w:eastAsia="Arial" w:cs="Arial"/>
          <w:spacing w:val="-5"/>
          <w:sz w:val="19"/>
          <w:szCs w:val="19"/>
        </w:rPr>
        <w:t>culture</w:t>
      </w:r>
      <w:r>
        <w:rPr>
          <w:rFonts w:ascii="Arial" w:hAnsi="Arial" w:eastAsia="Arial" w:cs="Arial"/>
          <w:spacing w:val="17"/>
          <w:sz w:val="19"/>
          <w:szCs w:val="19"/>
        </w:rPr>
        <w:t xml:space="preserve"> </w:t>
      </w:r>
      <w:r>
        <w:rPr>
          <w:rFonts w:ascii="Arial" w:hAnsi="Arial" w:eastAsia="Arial" w:cs="Arial"/>
          <w:spacing w:val="-5"/>
          <w:sz w:val="19"/>
          <w:szCs w:val="19"/>
        </w:rPr>
        <w:t>model</w:t>
      </w:r>
      <w:r>
        <w:rPr>
          <w:rFonts w:ascii="Arial" w:hAnsi="Arial" w:eastAsia="Arial" w:cs="Arial"/>
          <w:spacing w:val="17"/>
          <w:sz w:val="19"/>
          <w:szCs w:val="19"/>
        </w:rPr>
        <w:t xml:space="preserve"> </w:t>
      </w:r>
      <w:r>
        <w:rPr>
          <w:rFonts w:ascii="Arial" w:hAnsi="Arial" w:eastAsia="Arial" w:cs="Arial"/>
          <w:spacing w:val="-5"/>
          <w:sz w:val="19"/>
          <w:szCs w:val="19"/>
        </w:rPr>
        <w:t>presented</w:t>
      </w:r>
      <w:r>
        <w:rPr>
          <w:rFonts w:ascii="Arial" w:hAnsi="Arial" w:eastAsia="Arial" w:cs="Arial"/>
          <w:spacing w:val="17"/>
          <w:sz w:val="19"/>
          <w:szCs w:val="19"/>
        </w:rPr>
        <w:t xml:space="preserve"> </w:t>
      </w:r>
      <w:r>
        <w:rPr>
          <w:rFonts w:ascii="Arial" w:hAnsi="Arial" w:eastAsia="Arial" w:cs="Arial"/>
          <w:spacing w:val="-5"/>
          <w:sz w:val="19"/>
          <w:szCs w:val="19"/>
        </w:rPr>
        <w:t xml:space="preserve">in </w:t>
      </w:r>
      <w:r>
        <w:fldChar w:fldCharType="begin"/>
      </w:r>
      <w:r>
        <w:instrText xml:space="preserve"> HYPERLINK \l "bookmark49" </w:instrText>
      </w:r>
      <w:r>
        <w:fldChar w:fldCharType="separate"/>
      </w:r>
      <w:r>
        <w:rPr>
          <w:rFonts w:ascii="Arial" w:hAnsi="Arial" w:eastAsia="Arial" w:cs="Arial"/>
          <w:color w:val="000084"/>
          <w:spacing w:val="-5"/>
          <w:sz w:val="19"/>
          <w:szCs w:val="19"/>
        </w:rPr>
        <w:t>Figure</w:t>
      </w:r>
      <w:r>
        <w:rPr>
          <w:rFonts w:ascii="Arial" w:hAnsi="Arial" w:eastAsia="Arial" w:cs="Arial"/>
          <w:color w:val="000084"/>
          <w:spacing w:val="25"/>
          <w:w w:val="101"/>
          <w:sz w:val="19"/>
          <w:szCs w:val="19"/>
        </w:rPr>
        <w:t xml:space="preserve"> </w:t>
      </w:r>
      <w:r>
        <w:rPr>
          <w:rFonts w:ascii="Arial" w:hAnsi="Arial" w:eastAsia="Arial" w:cs="Arial"/>
          <w:color w:val="000084"/>
          <w:spacing w:val="-5"/>
          <w:sz w:val="19"/>
          <w:szCs w:val="19"/>
        </w:rPr>
        <w:t>1</w:t>
      </w:r>
      <w:r>
        <w:rPr>
          <w:rFonts w:ascii="Arial" w:hAnsi="Arial" w:eastAsia="Arial" w:cs="Arial"/>
          <w:color w:val="000084"/>
          <w:spacing w:val="-5"/>
          <w:sz w:val="19"/>
          <w:szCs w:val="19"/>
        </w:rPr>
        <w:fldChar w:fldCharType="end"/>
      </w:r>
      <w:r>
        <w:rPr>
          <w:rFonts w:ascii="Arial" w:hAnsi="Arial" w:eastAsia="Arial" w:cs="Arial"/>
          <w:spacing w:val="-5"/>
          <w:sz w:val="19"/>
          <w:szCs w:val="19"/>
        </w:rPr>
        <w:t>.</w:t>
      </w:r>
    </w:p>
    <w:p>
      <w:pPr>
        <w:spacing w:line="446" w:lineRule="auto"/>
        <w:rPr>
          <w:rFonts w:ascii="Arial"/>
          <w:sz w:val="21"/>
        </w:rPr>
      </w:pPr>
    </w:p>
    <w:p>
      <w:pPr>
        <w:spacing w:before="57" w:line="195" w:lineRule="auto"/>
        <w:ind w:left="8"/>
        <w:outlineLvl w:val="3"/>
        <w:rPr>
          <w:rFonts w:ascii="Arial" w:hAnsi="Arial" w:eastAsia="Arial" w:cs="Arial"/>
          <w:sz w:val="20"/>
          <w:szCs w:val="20"/>
        </w:rPr>
      </w:pPr>
      <w:r>
        <w:rPr>
          <w:rFonts w:ascii="Arial" w:hAnsi="Arial" w:eastAsia="Arial" w:cs="Arial"/>
          <w:color w:val="282781"/>
          <w:sz w:val="20"/>
          <w:szCs w:val="20"/>
        </w:rPr>
        <w:t>Quality</w:t>
      </w:r>
      <w:r>
        <w:rPr>
          <w:rFonts w:ascii="Arial" w:hAnsi="Arial" w:eastAsia="Arial" w:cs="Arial"/>
          <w:color w:val="282781"/>
          <w:spacing w:val="4"/>
          <w:sz w:val="20"/>
          <w:szCs w:val="20"/>
        </w:rPr>
        <w:t xml:space="preserve"> </w:t>
      </w:r>
      <w:r>
        <w:rPr>
          <w:rFonts w:ascii="Arial" w:hAnsi="Arial" w:eastAsia="Arial" w:cs="Arial"/>
          <w:color w:val="282781"/>
          <w:sz w:val="20"/>
          <w:szCs w:val="20"/>
        </w:rPr>
        <w:t>culture</w:t>
      </w:r>
      <w:r>
        <w:rPr>
          <w:rFonts w:ascii="Arial" w:hAnsi="Arial" w:eastAsia="Arial" w:cs="Arial"/>
          <w:color w:val="282781"/>
          <w:spacing w:val="4"/>
          <w:sz w:val="20"/>
          <w:szCs w:val="20"/>
        </w:rPr>
        <w:t xml:space="preserve"> </w:t>
      </w:r>
      <w:r>
        <w:rPr>
          <w:rFonts w:ascii="Arial" w:hAnsi="Arial" w:eastAsia="Arial" w:cs="Arial"/>
          <w:color w:val="282781"/>
          <w:sz w:val="20"/>
          <w:szCs w:val="20"/>
        </w:rPr>
        <w:t>model</w:t>
      </w:r>
    </w:p>
    <w:p>
      <w:pPr>
        <w:spacing w:before="149" w:line="249" w:lineRule="auto"/>
        <w:ind w:left="5"/>
        <w:rPr>
          <w:rFonts w:ascii="Arial" w:hAnsi="Arial" w:eastAsia="Arial" w:cs="Arial"/>
          <w:sz w:val="19"/>
          <w:szCs w:val="19"/>
        </w:rPr>
      </w:pPr>
      <w:r>
        <w:rPr>
          <w:rFonts w:ascii="Arial" w:hAnsi="Arial" w:eastAsia="Arial" w:cs="Arial"/>
          <w:spacing w:val="-4"/>
          <w:sz w:val="19"/>
          <w:szCs w:val="19"/>
        </w:rPr>
        <w:t>Our inal quality</w:t>
      </w:r>
      <w:r>
        <w:rPr>
          <w:rFonts w:ascii="Arial" w:hAnsi="Arial" w:eastAsia="Arial" w:cs="Arial"/>
          <w:spacing w:val="11"/>
          <w:sz w:val="19"/>
          <w:szCs w:val="19"/>
        </w:rPr>
        <w:t xml:space="preserve"> </w:t>
      </w:r>
      <w:r>
        <w:rPr>
          <w:rFonts w:ascii="Arial" w:hAnsi="Arial" w:eastAsia="Arial" w:cs="Arial"/>
          <w:spacing w:val="-4"/>
          <w:sz w:val="19"/>
          <w:szCs w:val="19"/>
        </w:rPr>
        <w:t>culture</w:t>
      </w:r>
      <w:r>
        <w:rPr>
          <w:rFonts w:ascii="Arial" w:hAnsi="Arial" w:eastAsia="Arial" w:cs="Arial"/>
          <w:spacing w:val="16"/>
          <w:w w:val="101"/>
          <w:sz w:val="19"/>
          <w:szCs w:val="19"/>
        </w:rPr>
        <w:t xml:space="preserve"> </w:t>
      </w:r>
      <w:r>
        <w:rPr>
          <w:rFonts w:ascii="Arial" w:hAnsi="Arial" w:eastAsia="Arial" w:cs="Arial"/>
          <w:spacing w:val="-4"/>
          <w:sz w:val="19"/>
          <w:szCs w:val="19"/>
        </w:rPr>
        <w:t>model</w:t>
      </w:r>
      <w:r>
        <w:rPr>
          <w:rFonts w:ascii="Arial" w:hAnsi="Arial" w:eastAsia="Arial" w:cs="Arial"/>
          <w:spacing w:val="16"/>
          <w:sz w:val="19"/>
          <w:szCs w:val="19"/>
        </w:rPr>
        <w:t xml:space="preserve"> </w:t>
      </w:r>
      <w:r>
        <w:rPr>
          <w:rFonts w:ascii="Arial" w:hAnsi="Arial" w:eastAsia="Arial" w:cs="Arial"/>
          <w:spacing w:val="-4"/>
          <w:sz w:val="19"/>
          <w:szCs w:val="19"/>
        </w:rPr>
        <w:t>is</w:t>
      </w:r>
      <w:r>
        <w:rPr>
          <w:rFonts w:ascii="Arial" w:hAnsi="Arial" w:eastAsia="Arial" w:cs="Arial"/>
          <w:spacing w:val="15"/>
          <w:w w:val="101"/>
          <w:sz w:val="19"/>
          <w:szCs w:val="19"/>
        </w:rPr>
        <w:t xml:space="preserve"> </w:t>
      </w:r>
      <w:r>
        <w:rPr>
          <w:rFonts w:ascii="Arial" w:hAnsi="Arial" w:eastAsia="Arial" w:cs="Arial"/>
          <w:spacing w:val="-4"/>
          <w:sz w:val="19"/>
          <w:szCs w:val="19"/>
        </w:rPr>
        <w:t>based</w:t>
      </w:r>
      <w:r>
        <w:rPr>
          <w:rFonts w:ascii="Arial" w:hAnsi="Arial" w:eastAsia="Arial" w:cs="Arial"/>
          <w:spacing w:val="10"/>
          <w:sz w:val="19"/>
          <w:szCs w:val="19"/>
        </w:rPr>
        <w:t xml:space="preserve"> </w:t>
      </w:r>
      <w:r>
        <w:rPr>
          <w:rFonts w:ascii="Arial" w:hAnsi="Arial" w:eastAsia="Arial" w:cs="Arial"/>
          <w:spacing w:val="-4"/>
          <w:sz w:val="19"/>
          <w:szCs w:val="19"/>
        </w:rPr>
        <w:t>on the</w:t>
      </w:r>
      <w:r>
        <w:rPr>
          <w:rFonts w:ascii="Arial" w:hAnsi="Arial" w:eastAsia="Arial" w:cs="Arial"/>
          <w:spacing w:val="18"/>
          <w:sz w:val="19"/>
          <w:szCs w:val="19"/>
        </w:rPr>
        <w:t xml:space="preserve"> </w:t>
      </w:r>
      <w:r>
        <w:rPr>
          <w:rFonts w:ascii="Arial" w:hAnsi="Arial" w:eastAsia="Arial" w:cs="Arial"/>
          <w:spacing w:val="-4"/>
          <w:sz w:val="19"/>
          <w:szCs w:val="19"/>
        </w:rPr>
        <w:t>EUA</w:t>
      </w:r>
      <w:r>
        <w:rPr>
          <w:rFonts w:ascii="Arial" w:hAnsi="Arial" w:eastAsia="Arial" w:cs="Arial"/>
          <w:spacing w:val="10"/>
          <w:sz w:val="19"/>
          <w:szCs w:val="19"/>
        </w:rPr>
        <w:t xml:space="preserve"> </w:t>
      </w:r>
      <w:r>
        <w:rPr>
          <w:rFonts w:ascii="Arial" w:hAnsi="Arial" w:eastAsia="Arial" w:cs="Arial"/>
          <w:spacing w:val="-4"/>
          <w:sz w:val="19"/>
          <w:szCs w:val="19"/>
        </w:rPr>
        <w:t>deinition, the</w:t>
      </w:r>
      <w:r>
        <w:rPr>
          <w:rFonts w:ascii="Arial" w:hAnsi="Arial" w:eastAsia="Arial" w:cs="Arial"/>
          <w:spacing w:val="11"/>
          <w:sz w:val="19"/>
          <w:szCs w:val="19"/>
        </w:rPr>
        <w:t xml:space="preserve"> </w:t>
      </w:r>
      <w:r>
        <w:rPr>
          <w:rFonts w:ascii="Arial" w:hAnsi="Arial" w:eastAsia="Arial" w:cs="Arial"/>
          <w:spacing w:val="-4"/>
          <w:sz w:val="19"/>
          <w:szCs w:val="19"/>
        </w:rPr>
        <w:t>systematic</w:t>
      </w:r>
      <w:r>
        <w:rPr>
          <w:rFonts w:ascii="Arial" w:hAnsi="Arial" w:eastAsia="Arial" w:cs="Arial"/>
          <w:spacing w:val="17"/>
          <w:w w:val="101"/>
          <w:sz w:val="19"/>
          <w:szCs w:val="19"/>
        </w:rPr>
        <w:t xml:space="preserve"> </w:t>
      </w:r>
      <w:r>
        <w:rPr>
          <w:rFonts w:ascii="Arial" w:hAnsi="Arial" w:eastAsia="Arial" w:cs="Arial"/>
          <w:spacing w:val="-4"/>
          <w:sz w:val="19"/>
          <w:szCs w:val="19"/>
        </w:rPr>
        <w:t>literature</w:t>
      </w:r>
      <w:r>
        <w:rPr>
          <w:rFonts w:ascii="Arial" w:hAnsi="Arial" w:eastAsia="Arial" w:cs="Arial"/>
          <w:spacing w:val="17"/>
          <w:sz w:val="19"/>
          <w:szCs w:val="19"/>
        </w:rPr>
        <w:t xml:space="preserve"> </w:t>
      </w:r>
      <w:r>
        <w:rPr>
          <w:rFonts w:ascii="Arial" w:hAnsi="Arial" w:eastAsia="Arial" w:cs="Arial"/>
          <w:spacing w:val="-4"/>
          <w:sz w:val="19"/>
          <w:szCs w:val="19"/>
        </w:rPr>
        <w:t>rev</w:t>
      </w:r>
      <w:r>
        <w:rPr>
          <w:rFonts w:ascii="Arial" w:hAnsi="Arial" w:eastAsia="Arial" w:cs="Arial"/>
          <w:spacing w:val="-5"/>
          <w:sz w:val="19"/>
          <w:szCs w:val="19"/>
        </w:rPr>
        <w:t>iew,</w:t>
      </w:r>
      <w:r>
        <w:rPr>
          <w:rFonts w:ascii="Arial" w:hAnsi="Arial" w:eastAsia="Arial" w:cs="Arial"/>
          <w:spacing w:val="9"/>
          <w:sz w:val="19"/>
          <w:szCs w:val="19"/>
        </w:rPr>
        <w:t xml:space="preserve"> </w:t>
      </w:r>
      <w:r>
        <w:rPr>
          <w:rFonts w:ascii="Arial" w:hAnsi="Arial" w:eastAsia="Arial" w:cs="Arial"/>
          <w:spacing w:val="-5"/>
          <w:sz w:val="19"/>
          <w:szCs w:val="19"/>
        </w:rPr>
        <w:t>and</w:t>
      </w:r>
      <w:r>
        <w:rPr>
          <w:rFonts w:ascii="Arial" w:hAnsi="Arial" w:eastAsia="Arial" w:cs="Arial"/>
          <w:sz w:val="19"/>
          <w:szCs w:val="19"/>
        </w:rPr>
        <w:t xml:space="preserve"> </w:t>
      </w:r>
      <w:r>
        <w:rPr>
          <w:rFonts w:ascii="Arial" w:hAnsi="Arial" w:eastAsia="Arial" w:cs="Arial"/>
          <w:spacing w:val="-6"/>
          <w:sz w:val="19"/>
          <w:szCs w:val="19"/>
        </w:rPr>
        <w:t>our</w:t>
      </w:r>
      <w:r>
        <w:rPr>
          <w:rFonts w:ascii="Arial" w:hAnsi="Arial" w:eastAsia="Arial" w:cs="Arial"/>
          <w:spacing w:val="33"/>
          <w:w w:val="101"/>
          <w:sz w:val="19"/>
          <w:szCs w:val="19"/>
        </w:rPr>
        <w:t xml:space="preserve"> </w:t>
      </w:r>
      <w:r>
        <w:rPr>
          <w:rFonts w:ascii="Arial" w:hAnsi="Arial" w:eastAsia="Arial" w:cs="Arial"/>
          <w:spacing w:val="-6"/>
          <w:sz w:val="19"/>
          <w:szCs w:val="19"/>
        </w:rPr>
        <w:t>international</w:t>
      </w:r>
      <w:r>
        <w:rPr>
          <w:rFonts w:ascii="Arial" w:hAnsi="Arial" w:eastAsia="Arial" w:cs="Arial"/>
          <w:spacing w:val="12"/>
          <w:sz w:val="19"/>
          <w:szCs w:val="19"/>
        </w:rPr>
        <w:t xml:space="preserve"> </w:t>
      </w:r>
      <w:r>
        <w:rPr>
          <w:rFonts w:ascii="Arial" w:hAnsi="Arial" w:eastAsia="Arial" w:cs="Arial"/>
          <w:spacing w:val="-6"/>
          <w:sz w:val="19"/>
          <w:szCs w:val="19"/>
        </w:rPr>
        <w:t>expert</w:t>
      </w:r>
      <w:r>
        <w:rPr>
          <w:rFonts w:ascii="Arial" w:hAnsi="Arial" w:eastAsia="Arial" w:cs="Arial"/>
          <w:spacing w:val="18"/>
          <w:sz w:val="19"/>
          <w:szCs w:val="19"/>
        </w:rPr>
        <w:t xml:space="preserve"> </w:t>
      </w:r>
      <w:r>
        <w:rPr>
          <w:rFonts w:ascii="Arial" w:hAnsi="Arial" w:eastAsia="Arial" w:cs="Arial"/>
          <w:spacing w:val="-6"/>
          <w:sz w:val="19"/>
          <w:szCs w:val="19"/>
        </w:rPr>
        <w:t>interview</w:t>
      </w:r>
      <w:r>
        <w:rPr>
          <w:rFonts w:ascii="Arial" w:hAnsi="Arial" w:eastAsia="Arial" w:cs="Arial"/>
          <w:spacing w:val="18"/>
          <w:sz w:val="19"/>
          <w:szCs w:val="19"/>
        </w:rPr>
        <w:t xml:space="preserve"> </w:t>
      </w:r>
      <w:r>
        <w:rPr>
          <w:rFonts w:ascii="Arial" w:hAnsi="Arial" w:eastAsia="Arial" w:cs="Arial"/>
          <w:spacing w:val="-6"/>
          <w:sz w:val="19"/>
          <w:szCs w:val="19"/>
        </w:rPr>
        <w:t>results</w:t>
      </w:r>
      <w:r>
        <w:rPr>
          <w:rFonts w:ascii="Arial" w:hAnsi="Arial" w:eastAsia="Arial" w:cs="Arial"/>
          <w:spacing w:val="16"/>
          <w:w w:val="101"/>
          <w:sz w:val="19"/>
          <w:szCs w:val="19"/>
        </w:rPr>
        <w:t xml:space="preserve"> </w:t>
      </w:r>
      <w:r>
        <w:rPr>
          <w:rFonts w:ascii="Arial" w:hAnsi="Arial" w:eastAsia="Arial" w:cs="Arial"/>
          <w:spacing w:val="-6"/>
          <w:sz w:val="19"/>
          <w:szCs w:val="19"/>
        </w:rPr>
        <w:t xml:space="preserve">(see </w:t>
      </w:r>
      <w:r>
        <w:fldChar w:fldCharType="begin"/>
      </w:r>
      <w:r>
        <w:instrText xml:space="preserve"> HYPERLINK \l "bookmark50" </w:instrText>
      </w:r>
      <w:r>
        <w:fldChar w:fldCharType="separate"/>
      </w:r>
      <w:r>
        <w:rPr>
          <w:rFonts w:ascii="Arial" w:hAnsi="Arial" w:eastAsia="Arial" w:cs="Arial"/>
          <w:color w:val="000084"/>
          <w:spacing w:val="-6"/>
          <w:sz w:val="19"/>
          <w:szCs w:val="19"/>
        </w:rPr>
        <w:t>Figure</w:t>
      </w:r>
      <w:r>
        <w:rPr>
          <w:rFonts w:ascii="Arial" w:hAnsi="Arial" w:eastAsia="Arial" w:cs="Arial"/>
          <w:color w:val="000084"/>
          <w:spacing w:val="25"/>
          <w:w w:val="101"/>
          <w:sz w:val="19"/>
          <w:szCs w:val="19"/>
        </w:rPr>
        <w:t xml:space="preserve"> </w:t>
      </w:r>
      <w:r>
        <w:rPr>
          <w:rFonts w:ascii="Arial" w:hAnsi="Arial" w:eastAsia="Arial" w:cs="Arial"/>
          <w:color w:val="000084"/>
          <w:spacing w:val="-6"/>
          <w:sz w:val="19"/>
          <w:szCs w:val="19"/>
        </w:rPr>
        <w:t>1</w:t>
      </w:r>
      <w:r>
        <w:rPr>
          <w:rFonts w:ascii="Arial" w:hAnsi="Arial" w:eastAsia="Arial" w:cs="Arial"/>
          <w:color w:val="000084"/>
          <w:spacing w:val="-6"/>
          <w:sz w:val="19"/>
          <w:szCs w:val="19"/>
        </w:rPr>
        <w:fldChar w:fldCharType="end"/>
      </w:r>
      <w:r>
        <w:rPr>
          <w:rFonts w:ascii="Arial" w:hAnsi="Arial" w:eastAsia="Arial" w:cs="Arial"/>
          <w:spacing w:val="-6"/>
          <w:sz w:val="19"/>
          <w:szCs w:val="19"/>
        </w:rPr>
        <w:t>).</w:t>
      </w:r>
    </w:p>
    <w:p>
      <w:pPr>
        <w:spacing w:before="29" w:line="259" w:lineRule="auto"/>
        <w:ind w:left="2" w:firstLine="240"/>
        <w:jc w:val="both"/>
        <w:rPr>
          <w:rFonts w:ascii="Arial" w:hAnsi="Arial" w:eastAsia="Arial" w:cs="Arial"/>
          <w:sz w:val="19"/>
          <w:szCs w:val="19"/>
        </w:rPr>
      </w:pPr>
      <w:r>
        <w:rPr>
          <w:rFonts w:ascii="Arial" w:hAnsi="Arial" w:eastAsia="Arial" w:cs="Arial"/>
          <w:spacing w:val="-4"/>
          <w:sz w:val="19"/>
          <w:szCs w:val="19"/>
        </w:rPr>
        <w:t>According</w:t>
      </w:r>
      <w:r>
        <w:rPr>
          <w:rFonts w:ascii="Arial" w:hAnsi="Arial" w:eastAsia="Arial" w:cs="Arial"/>
          <w:spacing w:val="16"/>
          <w:w w:val="101"/>
          <w:sz w:val="19"/>
          <w:szCs w:val="19"/>
        </w:rPr>
        <w:t xml:space="preserve"> </w:t>
      </w:r>
      <w:r>
        <w:rPr>
          <w:rFonts w:ascii="Arial" w:hAnsi="Arial" w:eastAsia="Arial" w:cs="Arial"/>
          <w:spacing w:val="-4"/>
          <w:sz w:val="19"/>
          <w:szCs w:val="19"/>
        </w:rPr>
        <w:t>to</w:t>
      </w:r>
      <w:r>
        <w:rPr>
          <w:rFonts w:ascii="Arial" w:hAnsi="Arial" w:eastAsia="Arial" w:cs="Arial"/>
          <w:spacing w:val="20"/>
          <w:w w:val="101"/>
          <w:sz w:val="19"/>
          <w:szCs w:val="19"/>
        </w:rPr>
        <w:t xml:space="preserve"> </w:t>
      </w:r>
      <w:r>
        <w:rPr>
          <w:rFonts w:ascii="Arial" w:hAnsi="Arial" w:eastAsia="Arial" w:cs="Arial"/>
          <w:spacing w:val="-4"/>
          <w:sz w:val="19"/>
          <w:szCs w:val="19"/>
        </w:rPr>
        <w:t>our</w:t>
      </w:r>
      <w:r>
        <w:rPr>
          <w:rFonts w:ascii="Arial" w:hAnsi="Arial" w:eastAsia="Arial" w:cs="Arial"/>
          <w:spacing w:val="26"/>
          <w:sz w:val="19"/>
          <w:szCs w:val="19"/>
        </w:rPr>
        <w:t xml:space="preserve"> </w:t>
      </w:r>
      <w:r>
        <w:rPr>
          <w:rFonts w:ascii="Arial" w:hAnsi="Arial" w:eastAsia="Arial" w:cs="Arial"/>
          <w:spacing w:val="-4"/>
          <w:sz w:val="19"/>
          <w:szCs w:val="19"/>
        </w:rPr>
        <w:t>model,</w:t>
      </w:r>
      <w:r>
        <w:rPr>
          <w:rFonts w:ascii="Arial" w:hAnsi="Arial" w:eastAsia="Arial" w:cs="Arial"/>
          <w:spacing w:val="20"/>
          <w:sz w:val="19"/>
          <w:szCs w:val="19"/>
        </w:rPr>
        <w:t xml:space="preserve"> </w:t>
      </w:r>
      <w:r>
        <w:rPr>
          <w:rFonts w:ascii="Arial" w:hAnsi="Arial" w:eastAsia="Arial" w:cs="Arial"/>
          <w:spacing w:val="-4"/>
          <w:sz w:val="19"/>
          <w:szCs w:val="19"/>
        </w:rPr>
        <w:t>quality</w:t>
      </w:r>
      <w:r>
        <w:rPr>
          <w:rFonts w:ascii="Arial" w:hAnsi="Arial" w:eastAsia="Arial" w:cs="Arial"/>
          <w:spacing w:val="21"/>
          <w:sz w:val="19"/>
          <w:szCs w:val="19"/>
        </w:rPr>
        <w:t xml:space="preserve"> </w:t>
      </w:r>
      <w:r>
        <w:rPr>
          <w:rFonts w:ascii="Arial" w:hAnsi="Arial" w:eastAsia="Arial" w:cs="Arial"/>
          <w:spacing w:val="-4"/>
          <w:sz w:val="19"/>
          <w:szCs w:val="19"/>
        </w:rPr>
        <w:t>c</w:t>
      </w:r>
      <w:r>
        <w:rPr>
          <w:rFonts w:ascii="Arial" w:hAnsi="Arial" w:eastAsia="Arial" w:cs="Arial"/>
          <w:spacing w:val="-5"/>
          <w:sz w:val="19"/>
          <w:szCs w:val="19"/>
        </w:rPr>
        <w:t>ulture</w:t>
      </w:r>
      <w:r>
        <w:rPr>
          <w:rFonts w:ascii="Arial" w:hAnsi="Arial" w:eastAsia="Arial" w:cs="Arial"/>
          <w:spacing w:val="21"/>
          <w:sz w:val="19"/>
          <w:szCs w:val="19"/>
        </w:rPr>
        <w:t xml:space="preserve"> </w:t>
      </w:r>
      <w:r>
        <w:rPr>
          <w:rFonts w:ascii="Arial" w:hAnsi="Arial" w:eastAsia="Arial" w:cs="Arial"/>
          <w:spacing w:val="-5"/>
          <w:sz w:val="19"/>
          <w:szCs w:val="19"/>
        </w:rPr>
        <w:t>comprises</w:t>
      </w:r>
      <w:r>
        <w:rPr>
          <w:rFonts w:ascii="Arial" w:hAnsi="Arial" w:eastAsia="Arial" w:cs="Arial"/>
          <w:spacing w:val="21"/>
          <w:sz w:val="19"/>
          <w:szCs w:val="19"/>
        </w:rPr>
        <w:t xml:space="preserve"> </w:t>
      </w:r>
      <w:r>
        <w:rPr>
          <w:rFonts w:ascii="Arial" w:hAnsi="Arial" w:eastAsia="Arial" w:cs="Arial"/>
          <w:spacing w:val="-5"/>
          <w:sz w:val="19"/>
          <w:szCs w:val="19"/>
        </w:rPr>
        <w:t>structural-formal</w:t>
      </w:r>
      <w:r>
        <w:rPr>
          <w:rFonts w:ascii="Arial" w:hAnsi="Arial" w:eastAsia="Arial" w:cs="Arial"/>
          <w:spacing w:val="20"/>
          <w:sz w:val="19"/>
          <w:szCs w:val="19"/>
        </w:rPr>
        <w:t xml:space="preserve"> </w:t>
      </w:r>
      <w:r>
        <w:rPr>
          <w:rFonts w:ascii="Arial" w:hAnsi="Arial" w:eastAsia="Arial" w:cs="Arial"/>
          <w:spacing w:val="-5"/>
          <w:sz w:val="19"/>
          <w:szCs w:val="19"/>
        </w:rPr>
        <w:t>and</w:t>
      </w:r>
      <w:r>
        <w:rPr>
          <w:rFonts w:ascii="Arial" w:hAnsi="Arial" w:eastAsia="Arial" w:cs="Arial"/>
          <w:spacing w:val="20"/>
          <w:w w:val="101"/>
          <w:sz w:val="19"/>
          <w:szCs w:val="19"/>
        </w:rPr>
        <w:t xml:space="preserve"> </w:t>
      </w:r>
      <w:r>
        <w:rPr>
          <w:rFonts w:ascii="Arial" w:hAnsi="Arial" w:eastAsia="Arial" w:cs="Arial"/>
          <w:spacing w:val="-5"/>
          <w:sz w:val="19"/>
          <w:szCs w:val="19"/>
        </w:rPr>
        <w:t>organizational-psycho-</w:t>
      </w:r>
      <w:r>
        <w:rPr>
          <w:rFonts w:ascii="Arial" w:hAnsi="Arial" w:eastAsia="Arial" w:cs="Arial"/>
          <w:sz w:val="19"/>
          <w:szCs w:val="19"/>
        </w:rPr>
        <w:t xml:space="preserve"> </w:t>
      </w:r>
      <w:r>
        <w:rPr>
          <w:rFonts w:ascii="Arial" w:hAnsi="Arial" w:eastAsia="Arial" w:cs="Arial"/>
          <w:spacing w:val="-6"/>
          <w:sz w:val="19"/>
          <w:szCs w:val="19"/>
        </w:rPr>
        <w:t>logical</w:t>
      </w:r>
      <w:r>
        <w:rPr>
          <w:rFonts w:ascii="Arial" w:hAnsi="Arial" w:eastAsia="Arial" w:cs="Arial"/>
          <w:spacing w:val="13"/>
          <w:sz w:val="19"/>
          <w:szCs w:val="19"/>
        </w:rPr>
        <w:t xml:space="preserve"> </w:t>
      </w:r>
      <w:r>
        <w:rPr>
          <w:rFonts w:ascii="Arial" w:hAnsi="Arial" w:eastAsia="Arial" w:cs="Arial"/>
          <w:spacing w:val="-6"/>
          <w:sz w:val="19"/>
          <w:szCs w:val="19"/>
        </w:rPr>
        <w:t>elements</w:t>
      </w:r>
      <w:r>
        <w:rPr>
          <w:rFonts w:ascii="Arial" w:hAnsi="Arial" w:eastAsia="Arial" w:cs="Arial"/>
          <w:spacing w:val="17"/>
          <w:w w:val="101"/>
          <w:sz w:val="19"/>
          <w:szCs w:val="19"/>
        </w:rPr>
        <w:t xml:space="preserve"> </w:t>
      </w:r>
      <w:r>
        <w:rPr>
          <w:rFonts w:ascii="Arial" w:hAnsi="Arial" w:eastAsia="Arial" w:cs="Arial"/>
          <w:spacing w:val="-6"/>
          <w:sz w:val="19"/>
          <w:szCs w:val="19"/>
        </w:rPr>
        <w:t>(Ehlers</w:t>
      </w:r>
      <w:r>
        <w:rPr>
          <w:rFonts w:ascii="Arial" w:hAnsi="Arial" w:eastAsia="Arial" w:cs="Arial"/>
          <w:spacing w:val="-7"/>
          <w:sz w:val="19"/>
          <w:szCs w:val="19"/>
        </w:rPr>
        <w:t xml:space="preserve"> </w:t>
      </w:r>
      <w:r>
        <w:fldChar w:fldCharType="begin"/>
      </w:r>
      <w:r>
        <w:instrText xml:space="preserve"> HYPERLINK \l "bookmark51" </w:instrText>
      </w:r>
      <w:r>
        <w:fldChar w:fldCharType="separate"/>
      </w:r>
      <w:r>
        <w:rPr>
          <w:rFonts w:ascii="Arial" w:hAnsi="Arial" w:eastAsia="Arial" w:cs="Arial"/>
          <w:color w:val="000084"/>
          <w:spacing w:val="-7"/>
          <w:sz w:val="19"/>
          <w:szCs w:val="19"/>
        </w:rPr>
        <w:t>2009</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pacing w:val="19"/>
          <w:w w:val="101"/>
          <w:sz w:val="19"/>
          <w:szCs w:val="19"/>
        </w:rPr>
        <w:t xml:space="preserve"> </w:t>
      </w:r>
      <w:r>
        <w:rPr>
          <w:rFonts w:ascii="Arial" w:hAnsi="Arial" w:eastAsia="Arial" w:cs="Arial"/>
          <w:spacing w:val="-7"/>
          <w:sz w:val="19"/>
          <w:szCs w:val="19"/>
        </w:rPr>
        <w:t xml:space="preserve">EUA </w:t>
      </w:r>
      <w:r>
        <w:fldChar w:fldCharType="begin"/>
      </w:r>
      <w:r>
        <w:instrText xml:space="preserve"> HYPERLINK \l "bookmark52" </w:instrText>
      </w:r>
      <w:r>
        <w:fldChar w:fldCharType="separate"/>
      </w:r>
      <w:r>
        <w:rPr>
          <w:rFonts w:ascii="Arial" w:hAnsi="Arial" w:eastAsia="Arial" w:cs="Arial"/>
          <w:color w:val="000084"/>
          <w:spacing w:val="-7"/>
          <w:sz w:val="19"/>
          <w:szCs w:val="19"/>
        </w:rPr>
        <w:t>2006</w:t>
      </w:r>
      <w:r>
        <w:rPr>
          <w:rFonts w:ascii="Arial" w:hAnsi="Arial" w:eastAsia="Arial" w:cs="Arial"/>
          <w:color w:val="000084"/>
          <w:spacing w:val="-7"/>
          <w:sz w:val="19"/>
          <w:szCs w:val="19"/>
        </w:rPr>
        <w:fldChar w:fldCharType="end"/>
      </w:r>
      <w:r>
        <w:rPr>
          <w:rFonts w:ascii="Arial" w:hAnsi="Arial" w:eastAsia="Arial" w:cs="Arial"/>
          <w:spacing w:val="-7"/>
          <w:sz w:val="19"/>
          <w:szCs w:val="19"/>
        </w:rPr>
        <w:t>). The</w:t>
      </w:r>
      <w:r>
        <w:rPr>
          <w:rFonts w:ascii="Arial" w:hAnsi="Arial" w:eastAsia="Arial" w:cs="Arial"/>
          <w:spacing w:val="12"/>
          <w:sz w:val="19"/>
          <w:szCs w:val="19"/>
        </w:rPr>
        <w:t xml:space="preserve"> </w:t>
      </w:r>
      <w:r>
        <w:rPr>
          <w:rFonts w:ascii="Arial" w:hAnsi="Arial" w:eastAsia="Arial" w:cs="Arial"/>
          <w:spacing w:val="-7"/>
          <w:sz w:val="19"/>
          <w:szCs w:val="19"/>
        </w:rPr>
        <w:t>structural-formal</w:t>
      </w:r>
      <w:r>
        <w:rPr>
          <w:rFonts w:ascii="Arial" w:hAnsi="Arial" w:eastAsia="Arial" w:cs="Arial"/>
          <w:spacing w:val="19"/>
          <w:w w:val="101"/>
          <w:sz w:val="19"/>
          <w:szCs w:val="19"/>
        </w:rPr>
        <w:t xml:space="preserve"> </w:t>
      </w:r>
      <w:r>
        <w:rPr>
          <w:rFonts w:ascii="Arial" w:hAnsi="Arial" w:eastAsia="Arial" w:cs="Arial"/>
          <w:spacing w:val="-7"/>
          <w:sz w:val="19"/>
          <w:szCs w:val="19"/>
        </w:rPr>
        <w:t>level</w:t>
      </w:r>
      <w:r>
        <w:rPr>
          <w:rFonts w:ascii="Arial" w:hAnsi="Arial" w:eastAsia="Arial" w:cs="Arial"/>
          <w:spacing w:val="17"/>
          <w:sz w:val="19"/>
          <w:szCs w:val="19"/>
        </w:rPr>
        <w:t xml:space="preserve"> </w:t>
      </w:r>
      <w:r>
        <w:rPr>
          <w:rFonts w:ascii="Arial" w:hAnsi="Arial" w:eastAsia="Arial" w:cs="Arial"/>
          <w:spacing w:val="-7"/>
          <w:sz w:val="19"/>
          <w:szCs w:val="19"/>
        </w:rPr>
        <w:t>is further</w:t>
      </w:r>
      <w:r>
        <w:rPr>
          <w:rFonts w:ascii="Arial" w:hAnsi="Arial" w:eastAsia="Arial" w:cs="Arial"/>
          <w:spacing w:val="13"/>
          <w:sz w:val="19"/>
          <w:szCs w:val="19"/>
        </w:rPr>
        <w:t xml:space="preserve"> </w:t>
      </w:r>
      <w:r>
        <w:rPr>
          <w:rFonts w:ascii="Arial" w:hAnsi="Arial" w:eastAsia="Arial" w:cs="Arial"/>
          <w:spacing w:val="-7"/>
          <w:sz w:val="19"/>
          <w:szCs w:val="19"/>
        </w:rPr>
        <w:t>described</w:t>
      </w:r>
      <w:r>
        <w:rPr>
          <w:rFonts w:ascii="Arial" w:hAnsi="Arial" w:eastAsia="Arial" w:cs="Arial"/>
          <w:spacing w:val="18"/>
          <w:sz w:val="19"/>
          <w:szCs w:val="19"/>
        </w:rPr>
        <w:t xml:space="preserve"> </w:t>
      </w:r>
      <w:r>
        <w:rPr>
          <w:rFonts w:ascii="Arial" w:hAnsi="Arial" w:eastAsia="Arial" w:cs="Arial"/>
          <w:spacing w:val="-7"/>
          <w:sz w:val="19"/>
          <w:szCs w:val="19"/>
        </w:rPr>
        <w:t>by</w:t>
      </w:r>
      <w:r>
        <w:rPr>
          <w:rFonts w:ascii="Arial" w:hAnsi="Arial" w:eastAsia="Arial" w:cs="Arial"/>
          <w:spacing w:val="18"/>
          <w:w w:val="101"/>
          <w:sz w:val="19"/>
          <w:szCs w:val="19"/>
        </w:rPr>
        <w:t xml:space="preserve"> </w:t>
      </w:r>
      <w:r>
        <w:rPr>
          <w:rFonts w:ascii="Arial" w:hAnsi="Arial" w:eastAsia="Arial" w:cs="Arial"/>
          <w:spacing w:val="-7"/>
          <w:sz w:val="19"/>
          <w:szCs w:val="19"/>
        </w:rPr>
        <w:t>norma-</w:t>
      </w:r>
      <w:r>
        <w:rPr>
          <w:rFonts w:ascii="Arial" w:hAnsi="Arial" w:eastAsia="Arial" w:cs="Arial"/>
          <w:sz w:val="19"/>
          <w:szCs w:val="19"/>
        </w:rPr>
        <w:t xml:space="preserve"> </w:t>
      </w:r>
      <w:r>
        <w:rPr>
          <w:rFonts w:ascii="Arial" w:hAnsi="Arial" w:eastAsia="Arial" w:cs="Arial"/>
          <w:spacing w:val="-8"/>
          <w:sz w:val="19"/>
          <w:szCs w:val="19"/>
        </w:rPr>
        <w:t>tive,</w:t>
      </w:r>
      <w:r>
        <w:rPr>
          <w:rFonts w:ascii="Arial" w:hAnsi="Arial" w:eastAsia="Arial" w:cs="Arial"/>
          <w:spacing w:val="29"/>
          <w:sz w:val="19"/>
          <w:szCs w:val="19"/>
        </w:rPr>
        <w:t xml:space="preserve"> </w:t>
      </w:r>
      <w:r>
        <w:rPr>
          <w:rFonts w:ascii="Arial" w:hAnsi="Arial" w:eastAsia="Arial" w:cs="Arial"/>
          <w:spacing w:val="-8"/>
          <w:sz w:val="19"/>
          <w:szCs w:val="19"/>
        </w:rPr>
        <w:t>str</w:t>
      </w:r>
      <w:r>
        <w:rPr>
          <w:rFonts w:ascii="Arial" w:hAnsi="Arial" w:eastAsia="Arial" w:cs="Arial"/>
          <w:spacing w:val="-7"/>
          <w:sz w:val="19"/>
          <w:szCs w:val="19"/>
        </w:rPr>
        <w:t>ategic,</w:t>
      </w:r>
      <w:r>
        <w:rPr>
          <w:rFonts w:ascii="Arial" w:hAnsi="Arial" w:eastAsia="Arial" w:cs="Arial"/>
          <w:spacing w:val="28"/>
          <w:sz w:val="19"/>
          <w:szCs w:val="19"/>
        </w:rPr>
        <w:t xml:space="preserve"> </w:t>
      </w:r>
      <w:r>
        <w:rPr>
          <w:rFonts w:ascii="Arial" w:hAnsi="Arial" w:eastAsia="Arial" w:cs="Arial"/>
          <w:spacing w:val="-7"/>
          <w:sz w:val="19"/>
          <w:szCs w:val="19"/>
        </w:rPr>
        <w:t>and</w:t>
      </w:r>
      <w:r>
        <w:rPr>
          <w:rFonts w:ascii="Arial" w:hAnsi="Arial" w:eastAsia="Arial" w:cs="Arial"/>
          <w:spacing w:val="28"/>
          <w:sz w:val="19"/>
          <w:szCs w:val="19"/>
        </w:rPr>
        <w:t xml:space="preserve"> </w:t>
      </w:r>
      <w:r>
        <w:rPr>
          <w:rFonts w:ascii="Arial" w:hAnsi="Arial" w:eastAsia="Arial" w:cs="Arial"/>
          <w:spacing w:val="-7"/>
          <w:sz w:val="19"/>
          <w:szCs w:val="19"/>
        </w:rPr>
        <w:t>operative</w:t>
      </w:r>
      <w:r>
        <w:rPr>
          <w:rFonts w:ascii="Arial" w:hAnsi="Arial" w:eastAsia="Arial" w:cs="Arial"/>
          <w:spacing w:val="29"/>
          <w:sz w:val="19"/>
          <w:szCs w:val="19"/>
        </w:rPr>
        <w:t xml:space="preserve"> </w:t>
      </w:r>
      <w:r>
        <w:rPr>
          <w:rFonts w:ascii="Arial" w:hAnsi="Arial" w:eastAsia="Arial" w:cs="Arial"/>
          <w:spacing w:val="-7"/>
          <w:sz w:val="19"/>
          <w:szCs w:val="19"/>
        </w:rPr>
        <w:t>aspects</w:t>
      </w:r>
      <w:r>
        <w:rPr>
          <w:rFonts w:ascii="Arial" w:hAnsi="Arial" w:eastAsia="Arial" w:cs="Arial"/>
          <w:spacing w:val="30"/>
          <w:sz w:val="19"/>
          <w:szCs w:val="19"/>
        </w:rPr>
        <w:t xml:space="preserve"> </w:t>
      </w:r>
      <w:r>
        <w:rPr>
          <w:rFonts w:ascii="Arial" w:hAnsi="Arial" w:eastAsia="Arial" w:cs="Arial"/>
          <w:spacing w:val="-7"/>
          <w:sz w:val="19"/>
          <w:szCs w:val="19"/>
        </w:rPr>
        <w:t>of</w:t>
      </w:r>
      <w:r>
        <w:rPr>
          <w:rFonts w:ascii="Arial" w:hAnsi="Arial" w:eastAsia="Arial" w:cs="Arial"/>
          <w:spacing w:val="21"/>
          <w:sz w:val="19"/>
          <w:szCs w:val="19"/>
        </w:rPr>
        <w:t xml:space="preserve"> </w:t>
      </w:r>
      <w:r>
        <w:rPr>
          <w:rFonts w:ascii="Arial" w:hAnsi="Arial" w:eastAsia="Arial" w:cs="Arial"/>
          <w:spacing w:val="-7"/>
          <w:sz w:val="19"/>
          <w:szCs w:val="19"/>
        </w:rPr>
        <w:t>quality</w:t>
      </w:r>
      <w:r>
        <w:rPr>
          <w:rFonts w:ascii="Arial" w:hAnsi="Arial" w:eastAsia="Arial" w:cs="Arial"/>
          <w:spacing w:val="30"/>
          <w:sz w:val="19"/>
          <w:szCs w:val="19"/>
        </w:rPr>
        <w:t xml:space="preserve"> </w:t>
      </w:r>
      <w:r>
        <w:rPr>
          <w:rFonts w:ascii="Arial" w:hAnsi="Arial" w:eastAsia="Arial" w:cs="Arial"/>
          <w:spacing w:val="-7"/>
          <w:sz w:val="19"/>
          <w:szCs w:val="19"/>
        </w:rPr>
        <w:t>assurance</w:t>
      </w:r>
      <w:r>
        <w:rPr>
          <w:rFonts w:ascii="Arial" w:hAnsi="Arial" w:eastAsia="Arial" w:cs="Arial"/>
          <w:spacing w:val="33"/>
          <w:sz w:val="19"/>
          <w:szCs w:val="19"/>
        </w:rPr>
        <w:t xml:space="preserve"> </w:t>
      </w:r>
      <w:r>
        <w:rPr>
          <w:rFonts w:ascii="Arial" w:hAnsi="Arial" w:eastAsia="Arial" w:cs="Arial"/>
          <w:spacing w:val="-7"/>
          <w:sz w:val="19"/>
          <w:szCs w:val="19"/>
        </w:rPr>
        <w:t>(Bleicher</w:t>
      </w:r>
      <w:r>
        <w:rPr>
          <w:rFonts w:ascii="Arial" w:hAnsi="Arial" w:eastAsia="Arial" w:cs="Arial"/>
          <w:spacing w:val="21"/>
          <w:sz w:val="19"/>
          <w:szCs w:val="19"/>
        </w:rPr>
        <w:t xml:space="preserve"> </w:t>
      </w:r>
      <w:r>
        <w:fldChar w:fldCharType="begin"/>
      </w:r>
      <w:r>
        <w:instrText xml:space="preserve"> HYPERLINK \l "bookmark53" </w:instrText>
      </w:r>
      <w:r>
        <w:fldChar w:fldCharType="separate"/>
      </w:r>
      <w:r>
        <w:rPr>
          <w:rFonts w:ascii="Arial" w:hAnsi="Arial" w:eastAsia="Arial" w:cs="Arial"/>
          <w:color w:val="000084"/>
          <w:spacing w:val="-7"/>
          <w:sz w:val="19"/>
          <w:szCs w:val="19"/>
        </w:rPr>
        <w:t>2011</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pacing w:val="29"/>
          <w:sz w:val="19"/>
          <w:szCs w:val="19"/>
        </w:rPr>
        <w:t xml:space="preserve"> </w:t>
      </w:r>
      <w:r>
        <w:rPr>
          <w:rFonts w:ascii="Arial" w:hAnsi="Arial" w:eastAsia="Arial" w:cs="Arial"/>
          <w:spacing w:val="-7"/>
          <w:sz w:val="19"/>
          <w:szCs w:val="19"/>
        </w:rPr>
        <w:t>Sonntag</w:t>
      </w:r>
      <w:r>
        <w:rPr>
          <w:rFonts w:ascii="Arial" w:hAnsi="Arial" w:eastAsia="Arial" w:cs="Arial"/>
          <w:spacing w:val="29"/>
          <w:sz w:val="19"/>
          <w:szCs w:val="19"/>
        </w:rPr>
        <w:t xml:space="preserve"> </w:t>
      </w:r>
      <w:r>
        <w:rPr>
          <w:rFonts w:ascii="Arial" w:hAnsi="Arial" w:eastAsia="Arial" w:cs="Arial"/>
          <w:spacing w:val="-7"/>
          <w:sz w:val="19"/>
          <w:szCs w:val="19"/>
        </w:rPr>
        <w:t>and</w:t>
      </w:r>
      <w:r>
        <w:rPr>
          <w:rFonts w:ascii="Arial" w:hAnsi="Arial" w:eastAsia="Arial" w:cs="Arial"/>
          <w:spacing w:val="29"/>
          <w:sz w:val="19"/>
          <w:szCs w:val="19"/>
        </w:rPr>
        <w:t xml:space="preserve"> </w:t>
      </w:r>
      <w:r>
        <w:rPr>
          <w:rFonts w:ascii="Arial" w:hAnsi="Arial" w:eastAsia="Arial" w:cs="Arial"/>
          <w:spacing w:val="-8"/>
          <w:sz w:val="19"/>
          <w:szCs w:val="19"/>
        </w:rPr>
        <w:t>Stegmaie</w:t>
      </w:r>
      <w:r>
        <w:rPr>
          <w:rFonts w:ascii="Arial" w:hAnsi="Arial" w:eastAsia="Arial" w:cs="Arial"/>
          <w:sz w:val="19"/>
          <w:szCs w:val="19"/>
        </w:rPr>
        <w:t xml:space="preserve">r </w:t>
      </w:r>
      <w:r>
        <w:fldChar w:fldCharType="begin"/>
      </w:r>
      <w:r>
        <w:instrText xml:space="preserve"> HYPERLINK \l "bookmark54" </w:instrText>
      </w:r>
      <w:r>
        <w:fldChar w:fldCharType="separate"/>
      </w:r>
      <w:r>
        <w:rPr>
          <w:rFonts w:ascii="Arial" w:hAnsi="Arial" w:eastAsia="Arial" w:cs="Arial"/>
          <w:color w:val="000084"/>
          <w:spacing w:val="-4"/>
          <w:sz w:val="19"/>
          <w:szCs w:val="19"/>
        </w:rPr>
        <w:t>2007</w:t>
      </w:r>
      <w:r>
        <w:rPr>
          <w:rFonts w:ascii="Arial" w:hAnsi="Arial" w:eastAsia="Arial" w:cs="Arial"/>
          <w:color w:val="000084"/>
          <w:spacing w:val="-4"/>
          <w:sz w:val="19"/>
          <w:szCs w:val="19"/>
        </w:rPr>
        <w:fldChar w:fldCharType="end"/>
      </w:r>
      <w:r>
        <w:rPr>
          <w:rFonts w:ascii="Arial" w:hAnsi="Arial" w:eastAsia="Arial" w:cs="Arial"/>
          <w:spacing w:val="-4"/>
          <w:sz w:val="19"/>
          <w:szCs w:val="19"/>
        </w:rPr>
        <w:t>):</w:t>
      </w:r>
      <w:r>
        <w:rPr>
          <w:rFonts w:ascii="Arial" w:hAnsi="Arial" w:eastAsia="Arial" w:cs="Arial"/>
          <w:spacing w:val="13"/>
          <w:sz w:val="19"/>
          <w:szCs w:val="19"/>
        </w:rPr>
        <w:t xml:space="preserve"> </w:t>
      </w:r>
      <w:r>
        <w:rPr>
          <w:rFonts w:ascii="Arial" w:hAnsi="Arial" w:eastAsia="Arial" w:cs="Arial"/>
          <w:spacing w:val="-4"/>
          <w:sz w:val="19"/>
          <w:szCs w:val="19"/>
        </w:rPr>
        <w:t>Quality</w:t>
      </w:r>
      <w:r>
        <w:rPr>
          <w:rFonts w:ascii="Arial" w:hAnsi="Arial" w:eastAsia="Arial" w:cs="Arial"/>
          <w:spacing w:val="13"/>
          <w:w w:val="101"/>
          <w:sz w:val="19"/>
          <w:szCs w:val="19"/>
        </w:rPr>
        <w:t xml:space="preserve"> </w:t>
      </w:r>
      <w:r>
        <w:rPr>
          <w:rFonts w:ascii="Arial" w:hAnsi="Arial" w:eastAsia="Arial" w:cs="Arial"/>
          <w:spacing w:val="-4"/>
          <w:sz w:val="19"/>
          <w:szCs w:val="19"/>
        </w:rPr>
        <w:t>goals</w:t>
      </w:r>
      <w:r>
        <w:rPr>
          <w:rFonts w:ascii="Arial" w:hAnsi="Arial" w:eastAsia="Arial" w:cs="Arial"/>
          <w:spacing w:val="11"/>
          <w:sz w:val="19"/>
          <w:szCs w:val="19"/>
        </w:rPr>
        <w:t xml:space="preserve"> </w:t>
      </w:r>
      <w:r>
        <w:rPr>
          <w:rFonts w:ascii="Arial" w:hAnsi="Arial" w:eastAsia="Arial" w:cs="Arial"/>
          <w:spacing w:val="-4"/>
          <w:sz w:val="19"/>
          <w:szCs w:val="19"/>
        </w:rPr>
        <w:t>and/or</w:t>
      </w:r>
      <w:r>
        <w:rPr>
          <w:rFonts w:ascii="Arial" w:hAnsi="Arial" w:eastAsia="Arial" w:cs="Arial"/>
          <w:spacing w:val="19"/>
          <w:sz w:val="19"/>
          <w:szCs w:val="19"/>
        </w:rPr>
        <w:t xml:space="preserve"> </w:t>
      </w:r>
      <w:r>
        <w:rPr>
          <w:rFonts w:ascii="Arial" w:hAnsi="Arial" w:eastAsia="Arial" w:cs="Arial"/>
          <w:spacing w:val="-4"/>
          <w:sz w:val="19"/>
          <w:szCs w:val="19"/>
        </w:rPr>
        <w:t>mission</w:t>
      </w:r>
      <w:r>
        <w:rPr>
          <w:rFonts w:ascii="Arial" w:hAnsi="Arial" w:eastAsia="Arial" w:cs="Arial"/>
          <w:spacing w:val="13"/>
          <w:w w:val="101"/>
          <w:sz w:val="19"/>
          <w:szCs w:val="19"/>
        </w:rPr>
        <w:t xml:space="preserve"> </w:t>
      </w:r>
      <w:r>
        <w:rPr>
          <w:rFonts w:ascii="Arial" w:hAnsi="Arial" w:eastAsia="Arial" w:cs="Arial"/>
          <w:spacing w:val="-4"/>
          <w:sz w:val="19"/>
          <w:szCs w:val="19"/>
        </w:rPr>
        <w:t>statements</w:t>
      </w:r>
      <w:r>
        <w:rPr>
          <w:rFonts w:ascii="Arial" w:hAnsi="Arial" w:eastAsia="Arial" w:cs="Arial"/>
          <w:spacing w:val="11"/>
          <w:sz w:val="19"/>
          <w:szCs w:val="19"/>
        </w:rPr>
        <w:t xml:space="preserve"> </w:t>
      </w:r>
      <w:r>
        <w:rPr>
          <w:rFonts w:ascii="Arial" w:hAnsi="Arial" w:eastAsia="Arial" w:cs="Arial"/>
          <w:spacing w:val="-4"/>
          <w:sz w:val="19"/>
          <w:szCs w:val="19"/>
        </w:rPr>
        <w:t>are</w:t>
      </w:r>
      <w:r>
        <w:rPr>
          <w:rFonts w:ascii="Arial" w:hAnsi="Arial" w:eastAsia="Arial" w:cs="Arial"/>
          <w:spacing w:val="20"/>
          <w:sz w:val="19"/>
          <w:szCs w:val="19"/>
        </w:rPr>
        <w:t xml:space="preserve"> </w:t>
      </w:r>
      <w:r>
        <w:rPr>
          <w:rFonts w:ascii="Arial" w:hAnsi="Arial" w:eastAsia="Arial" w:cs="Arial"/>
          <w:spacing w:val="-4"/>
          <w:sz w:val="19"/>
          <w:szCs w:val="19"/>
        </w:rPr>
        <w:t>part</w:t>
      </w:r>
      <w:r>
        <w:rPr>
          <w:rFonts w:ascii="Arial" w:hAnsi="Arial" w:eastAsia="Arial" w:cs="Arial"/>
          <w:spacing w:val="13"/>
          <w:sz w:val="19"/>
          <w:szCs w:val="19"/>
        </w:rPr>
        <w:t xml:space="preserve"> </w:t>
      </w:r>
      <w:r>
        <w:rPr>
          <w:rFonts w:ascii="Arial" w:hAnsi="Arial" w:eastAsia="Arial" w:cs="Arial"/>
          <w:spacing w:val="-4"/>
          <w:sz w:val="19"/>
          <w:szCs w:val="19"/>
        </w:rPr>
        <w:t>of the</w:t>
      </w:r>
      <w:r>
        <w:rPr>
          <w:rFonts w:ascii="Arial" w:hAnsi="Arial" w:eastAsia="Arial" w:cs="Arial"/>
          <w:spacing w:val="19"/>
          <w:sz w:val="19"/>
          <w:szCs w:val="19"/>
        </w:rPr>
        <w:t xml:space="preserve"> </w:t>
      </w:r>
      <w:r>
        <w:rPr>
          <w:rFonts w:ascii="Arial" w:hAnsi="Arial" w:eastAsia="Arial" w:cs="Arial"/>
          <w:spacing w:val="-4"/>
          <w:sz w:val="19"/>
          <w:szCs w:val="19"/>
        </w:rPr>
        <w:t>normative</w:t>
      </w:r>
      <w:r>
        <w:rPr>
          <w:rFonts w:ascii="Arial" w:hAnsi="Arial" w:eastAsia="Arial" w:cs="Arial"/>
          <w:spacing w:val="21"/>
          <w:sz w:val="19"/>
          <w:szCs w:val="19"/>
        </w:rPr>
        <w:t xml:space="preserve"> </w:t>
      </w:r>
      <w:r>
        <w:rPr>
          <w:rFonts w:ascii="Arial" w:hAnsi="Arial" w:eastAsia="Arial" w:cs="Arial"/>
          <w:spacing w:val="-4"/>
          <w:sz w:val="19"/>
          <w:szCs w:val="19"/>
        </w:rPr>
        <w:t>level,</w:t>
      </w:r>
      <w:r>
        <w:rPr>
          <w:rFonts w:ascii="Arial" w:hAnsi="Arial" w:eastAsia="Arial" w:cs="Arial"/>
          <w:spacing w:val="-5"/>
          <w:sz w:val="19"/>
          <w:szCs w:val="19"/>
        </w:rPr>
        <w:t xml:space="preserve"> while the</w:t>
      </w:r>
      <w:r>
        <w:rPr>
          <w:rFonts w:ascii="Arial" w:hAnsi="Arial" w:eastAsia="Arial" w:cs="Arial"/>
          <w:spacing w:val="13"/>
          <w:sz w:val="19"/>
          <w:szCs w:val="19"/>
        </w:rPr>
        <w:t xml:space="preserve"> </w:t>
      </w:r>
      <w:r>
        <w:rPr>
          <w:rFonts w:ascii="Arial" w:hAnsi="Arial" w:eastAsia="Arial" w:cs="Arial"/>
          <w:spacing w:val="-5"/>
          <w:sz w:val="19"/>
          <w:szCs w:val="19"/>
        </w:rPr>
        <w:t>deinition</w:t>
      </w:r>
      <w:r>
        <w:rPr>
          <w:rFonts w:ascii="Arial" w:hAnsi="Arial" w:eastAsia="Arial" w:cs="Arial"/>
          <w:sz w:val="19"/>
          <w:szCs w:val="19"/>
        </w:rPr>
        <w:t xml:space="preserve"> </w:t>
      </w:r>
      <w:r>
        <w:rPr>
          <w:rFonts w:ascii="Arial" w:hAnsi="Arial" w:eastAsia="Arial" w:cs="Arial"/>
          <w:spacing w:val="-5"/>
          <w:sz w:val="19"/>
          <w:szCs w:val="19"/>
        </w:rPr>
        <w:t>of  responsibilities   belongs  to   strate</w:t>
      </w:r>
      <w:r>
        <w:rPr>
          <w:rFonts w:ascii="Arial" w:hAnsi="Arial" w:eastAsia="Arial" w:cs="Arial"/>
          <w:spacing w:val="-6"/>
          <w:sz w:val="19"/>
          <w:szCs w:val="19"/>
        </w:rPr>
        <w:t>gic  quality   assurance</w:t>
      </w:r>
      <w:r>
        <w:rPr>
          <w:rFonts w:ascii="Arial" w:hAnsi="Arial" w:eastAsia="Arial" w:cs="Arial"/>
          <w:spacing w:val="11"/>
          <w:sz w:val="19"/>
          <w:szCs w:val="19"/>
        </w:rPr>
        <w:t xml:space="preserve">  </w:t>
      </w:r>
      <w:r>
        <w:rPr>
          <w:rFonts w:ascii="Arial" w:hAnsi="Arial" w:eastAsia="Arial" w:cs="Arial"/>
          <w:spacing w:val="-6"/>
          <w:sz w:val="19"/>
          <w:szCs w:val="19"/>
        </w:rPr>
        <w:t>(e.g.  central   quality  assurance   unit;</w:t>
      </w:r>
      <w:r>
        <w:rPr>
          <w:rFonts w:ascii="Arial" w:hAnsi="Arial" w:eastAsia="Arial" w:cs="Arial"/>
          <w:sz w:val="19"/>
          <w:szCs w:val="19"/>
        </w:rPr>
        <w:t xml:space="preserve"> </w:t>
      </w:r>
      <w:r>
        <w:rPr>
          <w:rFonts w:ascii="Arial" w:hAnsi="Arial" w:eastAsia="Arial" w:cs="Arial"/>
          <w:spacing w:val="-7"/>
          <w:sz w:val="19"/>
          <w:szCs w:val="19"/>
        </w:rPr>
        <w:t>Surs</w:t>
      </w:r>
      <w:r>
        <w:rPr>
          <w:rFonts w:ascii="Arial" w:hAnsi="Arial" w:eastAsia="Arial" w:cs="Arial"/>
          <w:spacing w:val="-6"/>
          <w:sz w:val="19"/>
          <w:szCs w:val="19"/>
        </w:rPr>
        <w:t>ock</w:t>
      </w:r>
      <w:r>
        <w:rPr>
          <w:rFonts w:ascii="Arial" w:hAnsi="Arial" w:eastAsia="Arial" w:cs="Arial"/>
          <w:spacing w:val="16"/>
          <w:w w:val="101"/>
          <w:sz w:val="19"/>
          <w:szCs w:val="19"/>
        </w:rPr>
        <w:t xml:space="preserve"> </w:t>
      </w:r>
      <w:r>
        <w:fldChar w:fldCharType="begin"/>
      </w:r>
      <w:r>
        <w:instrText xml:space="preserve"> HYPERLINK \l "bookmark55" </w:instrText>
      </w:r>
      <w:r>
        <w:fldChar w:fldCharType="separate"/>
      </w:r>
      <w:r>
        <w:rPr>
          <w:rFonts w:ascii="Arial" w:hAnsi="Arial" w:eastAsia="Arial" w:cs="Arial"/>
          <w:color w:val="000084"/>
          <w:spacing w:val="-6"/>
          <w:sz w:val="19"/>
          <w:szCs w:val="19"/>
        </w:rPr>
        <w:t>2011</w:t>
      </w:r>
      <w:r>
        <w:rPr>
          <w:rFonts w:ascii="Arial" w:hAnsi="Arial" w:eastAsia="Arial" w:cs="Arial"/>
          <w:color w:val="000084"/>
          <w:spacing w:val="-6"/>
          <w:sz w:val="19"/>
          <w:szCs w:val="19"/>
        </w:rPr>
        <w:fldChar w:fldCharType="end"/>
      </w:r>
      <w:r>
        <w:rPr>
          <w:rFonts w:ascii="Arial" w:hAnsi="Arial" w:eastAsia="Arial" w:cs="Arial"/>
          <w:spacing w:val="-6"/>
          <w:sz w:val="19"/>
          <w:szCs w:val="19"/>
        </w:rPr>
        <w:t>).</w:t>
      </w:r>
      <w:r>
        <w:rPr>
          <w:rFonts w:ascii="Arial" w:hAnsi="Arial" w:eastAsia="Arial" w:cs="Arial"/>
          <w:spacing w:val="30"/>
          <w:w w:val="101"/>
          <w:sz w:val="19"/>
          <w:szCs w:val="19"/>
        </w:rPr>
        <w:t xml:space="preserve"> </w:t>
      </w:r>
      <w:r>
        <w:rPr>
          <w:rFonts w:ascii="Arial" w:hAnsi="Arial" w:eastAsia="Arial" w:cs="Arial"/>
          <w:spacing w:val="-6"/>
          <w:sz w:val="19"/>
          <w:szCs w:val="19"/>
        </w:rPr>
        <w:t>Finally,</w:t>
      </w:r>
      <w:r>
        <w:rPr>
          <w:rFonts w:ascii="Arial" w:hAnsi="Arial" w:eastAsia="Arial" w:cs="Arial"/>
          <w:spacing w:val="24"/>
          <w:sz w:val="19"/>
          <w:szCs w:val="19"/>
        </w:rPr>
        <w:t xml:space="preserve"> </w:t>
      </w:r>
      <w:r>
        <w:rPr>
          <w:rFonts w:ascii="Arial" w:hAnsi="Arial" w:eastAsia="Arial" w:cs="Arial"/>
          <w:spacing w:val="-6"/>
          <w:sz w:val="19"/>
          <w:szCs w:val="19"/>
        </w:rPr>
        <w:t>speciic</w:t>
      </w:r>
      <w:r>
        <w:rPr>
          <w:rFonts w:ascii="Arial" w:hAnsi="Arial" w:eastAsia="Arial" w:cs="Arial"/>
          <w:spacing w:val="24"/>
          <w:sz w:val="19"/>
          <w:szCs w:val="19"/>
        </w:rPr>
        <w:t xml:space="preserve"> </w:t>
      </w:r>
      <w:r>
        <w:rPr>
          <w:rFonts w:ascii="Arial" w:hAnsi="Arial" w:eastAsia="Arial" w:cs="Arial"/>
          <w:spacing w:val="-6"/>
          <w:sz w:val="19"/>
          <w:szCs w:val="19"/>
        </w:rPr>
        <w:t>quality</w:t>
      </w:r>
      <w:r>
        <w:rPr>
          <w:rFonts w:ascii="Arial" w:hAnsi="Arial" w:eastAsia="Arial" w:cs="Arial"/>
          <w:spacing w:val="20"/>
          <w:w w:val="101"/>
          <w:sz w:val="19"/>
          <w:szCs w:val="19"/>
        </w:rPr>
        <w:t xml:space="preserve"> </w:t>
      </w:r>
      <w:r>
        <w:rPr>
          <w:rFonts w:ascii="Arial" w:hAnsi="Arial" w:eastAsia="Arial" w:cs="Arial"/>
          <w:spacing w:val="-6"/>
          <w:sz w:val="19"/>
          <w:szCs w:val="19"/>
        </w:rPr>
        <w:t>tools</w:t>
      </w:r>
      <w:r>
        <w:rPr>
          <w:rFonts w:ascii="Arial" w:hAnsi="Arial" w:eastAsia="Arial" w:cs="Arial"/>
          <w:spacing w:val="23"/>
          <w:sz w:val="19"/>
          <w:szCs w:val="19"/>
        </w:rPr>
        <w:t xml:space="preserve"> </w:t>
      </w:r>
      <w:r>
        <w:rPr>
          <w:rFonts w:ascii="Arial" w:hAnsi="Arial" w:eastAsia="Arial" w:cs="Arial"/>
          <w:spacing w:val="-6"/>
          <w:sz w:val="19"/>
          <w:szCs w:val="19"/>
        </w:rPr>
        <w:t>and</w:t>
      </w:r>
      <w:r>
        <w:rPr>
          <w:rFonts w:ascii="Arial" w:hAnsi="Arial" w:eastAsia="Arial" w:cs="Arial"/>
          <w:spacing w:val="30"/>
          <w:w w:val="101"/>
          <w:sz w:val="19"/>
          <w:szCs w:val="19"/>
        </w:rPr>
        <w:t xml:space="preserve"> </w:t>
      </w:r>
      <w:r>
        <w:rPr>
          <w:rFonts w:ascii="Arial" w:hAnsi="Arial" w:eastAsia="Arial" w:cs="Arial"/>
          <w:spacing w:val="-6"/>
          <w:sz w:val="19"/>
          <w:szCs w:val="19"/>
        </w:rPr>
        <w:t>measures</w:t>
      </w:r>
      <w:r>
        <w:rPr>
          <w:rFonts w:ascii="Arial" w:hAnsi="Arial" w:eastAsia="Arial" w:cs="Arial"/>
          <w:spacing w:val="29"/>
          <w:w w:val="101"/>
          <w:sz w:val="19"/>
          <w:szCs w:val="19"/>
        </w:rPr>
        <w:t xml:space="preserve"> </w:t>
      </w:r>
      <w:r>
        <w:rPr>
          <w:rFonts w:ascii="Arial" w:hAnsi="Arial" w:eastAsia="Arial" w:cs="Arial"/>
          <w:spacing w:val="-6"/>
          <w:sz w:val="19"/>
          <w:szCs w:val="19"/>
        </w:rPr>
        <w:t>represent</w:t>
      </w:r>
      <w:r>
        <w:rPr>
          <w:rFonts w:ascii="Arial" w:hAnsi="Arial" w:eastAsia="Arial" w:cs="Arial"/>
          <w:spacing w:val="22"/>
          <w:sz w:val="19"/>
          <w:szCs w:val="19"/>
        </w:rPr>
        <w:t xml:space="preserve"> </w:t>
      </w:r>
      <w:r>
        <w:rPr>
          <w:rFonts w:ascii="Arial" w:hAnsi="Arial" w:eastAsia="Arial" w:cs="Arial"/>
          <w:spacing w:val="-6"/>
          <w:sz w:val="19"/>
          <w:szCs w:val="19"/>
        </w:rPr>
        <w:t>the</w:t>
      </w:r>
      <w:r>
        <w:rPr>
          <w:rFonts w:ascii="Arial" w:hAnsi="Arial" w:eastAsia="Arial" w:cs="Arial"/>
          <w:spacing w:val="23"/>
          <w:w w:val="101"/>
          <w:sz w:val="19"/>
          <w:szCs w:val="19"/>
        </w:rPr>
        <w:t xml:space="preserve"> </w:t>
      </w:r>
      <w:r>
        <w:rPr>
          <w:rFonts w:ascii="Arial" w:hAnsi="Arial" w:eastAsia="Arial" w:cs="Arial"/>
          <w:spacing w:val="-6"/>
          <w:sz w:val="19"/>
          <w:szCs w:val="19"/>
        </w:rPr>
        <w:t>operative</w:t>
      </w:r>
      <w:r>
        <w:rPr>
          <w:rFonts w:ascii="Arial" w:hAnsi="Arial" w:eastAsia="Arial" w:cs="Arial"/>
          <w:spacing w:val="30"/>
          <w:w w:val="101"/>
          <w:sz w:val="19"/>
          <w:szCs w:val="19"/>
        </w:rPr>
        <w:t xml:space="preserve"> </w:t>
      </w:r>
      <w:r>
        <w:rPr>
          <w:rFonts w:ascii="Arial" w:hAnsi="Arial" w:eastAsia="Arial" w:cs="Arial"/>
          <w:spacing w:val="-6"/>
          <w:sz w:val="19"/>
          <w:szCs w:val="19"/>
        </w:rPr>
        <w:t>level</w:t>
      </w:r>
      <w:r>
        <w:rPr>
          <w:rFonts w:ascii="Arial" w:hAnsi="Arial" w:eastAsia="Arial" w:cs="Arial"/>
          <w:spacing w:val="24"/>
          <w:sz w:val="19"/>
          <w:szCs w:val="19"/>
        </w:rPr>
        <w:t xml:space="preserve"> </w:t>
      </w:r>
      <w:r>
        <w:rPr>
          <w:rFonts w:ascii="Arial" w:hAnsi="Arial" w:eastAsia="Arial" w:cs="Arial"/>
          <w:spacing w:val="-6"/>
          <w:sz w:val="19"/>
          <w:szCs w:val="19"/>
        </w:rPr>
        <w:t>of</w:t>
      </w:r>
      <w:r>
        <w:rPr>
          <w:rFonts w:ascii="Arial" w:hAnsi="Arial" w:eastAsia="Arial" w:cs="Arial"/>
          <w:spacing w:val="17"/>
          <w:sz w:val="19"/>
          <w:szCs w:val="19"/>
        </w:rPr>
        <w:t xml:space="preserve"> </w:t>
      </w:r>
      <w:r>
        <w:rPr>
          <w:rFonts w:ascii="Arial" w:hAnsi="Arial" w:eastAsia="Arial" w:cs="Arial"/>
          <w:spacing w:val="-6"/>
          <w:sz w:val="19"/>
          <w:szCs w:val="19"/>
        </w:rPr>
        <w:t>qual</w:t>
      </w:r>
      <w:r>
        <w:rPr>
          <w:rFonts w:ascii="Arial" w:hAnsi="Arial" w:eastAsia="Arial" w:cs="Arial"/>
          <w:spacing w:val="-7"/>
          <w:sz w:val="19"/>
          <w:szCs w:val="19"/>
        </w:rPr>
        <w:t>it</w:t>
      </w:r>
      <w:r>
        <w:rPr>
          <w:rFonts w:ascii="Arial" w:hAnsi="Arial" w:eastAsia="Arial" w:cs="Arial"/>
          <w:spacing w:val="-3"/>
          <w:sz w:val="19"/>
          <w:szCs w:val="19"/>
        </w:rPr>
        <w:t>y</w:t>
      </w:r>
      <w:r>
        <w:rPr>
          <w:rFonts w:ascii="Arial" w:hAnsi="Arial" w:eastAsia="Arial" w:cs="Arial"/>
          <w:sz w:val="19"/>
          <w:szCs w:val="19"/>
        </w:rPr>
        <w:t xml:space="preserve"> </w:t>
      </w:r>
      <w:r>
        <w:rPr>
          <w:rFonts w:ascii="Arial" w:hAnsi="Arial" w:eastAsia="Arial" w:cs="Arial"/>
          <w:spacing w:val="-8"/>
          <w:sz w:val="19"/>
          <w:szCs w:val="19"/>
        </w:rPr>
        <w:t>assurance</w:t>
      </w:r>
      <w:r>
        <w:rPr>
          <w:rFonts w:ascii="Arial" w:hAnsi="Arial" w:eastAsia="Arial" w:cs="Arial"/>
          <w:spacing w:val="22"/>
          <w:w w:val="101"/>
          <w:sz w:val="19"/>
          <w:szCs w:val="19"/>
        </w:rPr>
        <w:t xml:space="preserve"> </w:t>
      </w:r>
      <w:r>
        <w:rPr>
          <w:rFonts w:ascii="Arial" w:hAnsi="Arial" w:eastAsia="Arial" w:cs="Arial"/>
          <w:spacing w:val="-8"/>
          <w:sz w:val="19"/>
          <w:szCs w:val="19"/>
        </w:rPr>
        <w:t>(e.g.</w:t>
      </w:r>
      <w:r>
        <w:rPr>
          <w:rFonts w:ascii="Arial" w:hAnsi="Arial" w:eastAsia="Arial" w:cs="Arial"/>
          <w:spacing w:val="16"/>
          <w:sz w:val="19"/>
          <w:szCs w:val="19"/>
        </w:rPr>
        <w:t xml:space="preserve"> </w:t>
      </w:r>
      <w:r>
        <w:rPr>
          <w:rFonts w:ascii="Arial" w:hAnsi="Arial" w:eastAsia="Arial" w:cs="Arial"/>
          <w:spacing w:val="-8"/>
          <w:sz w:val="19"/>
          <w:szCs w:val="19"/>
        </w:rPr>
        <w:t>evaluation;</w:t>
      </w:r>
      <w:r>
        <w:rPr>
          <w:rFonts w:ascii="Arial" w:hAnsi="Arial" w:eastAsia="Arial" w:cs="Arial"/>
          <w:spacing w:val="24"/>
          <w:sz w:val="19"/>
          <w:szCs w:val="19"/>
        </w:rPr>
        <w:t xml:space="preserve"> </w:t>
      </w:r>
      <w:r>
        <w:rPr>
          <w:rFonts w:ascii="Arial" w:hAnsi="Arial" w:eastAsia="Arial" w:cs="Arial"/>
          <w:spacing w:val="-8"/>
          <w:sz w:val="19"/>
          <w:szCs w:val="19"/>
        </w:rPr>
        <w:t>EUA</w:t>
      </w:r>
      <w:r>
        <w:rPr>
          <w:rFonts w:ascii="Arial" w:hAnsi="Arial" w:eastAsia="Arial" w:cs="Arial"/>
          <w:spacing w:val="9"/>
          <w:sz w:val="19"/>
          <w:szCs w:val="19"/>
        </w:rPr>
        <w:t xml:space="preserve"> </w:t>
      </w:r>
      <w:r>
        <w:fldChar w:fldCharType="begin"/>
      </w:r>
      <w:r>
        <w:instrText xml:space="preserve"> HYPERLINK \l "bookmark56" </w:instrText>
      </w:r>
      <w:r>
        <w:fldChar w:fldCharType="separate"/>
      </w:r>
      <w:r>
        <w:rPr>
          <w:rFonts w:ascii="Arial" w:hAnsi="Arial" w:eastAsia="Arial" w:cs="Arial"/>
          <w:color w:val="000084"/>
          <w:spacing w:val="-8"/>
          <w:sz w:val="19"/>
          <w:szCs w:val="19"/>
        </w:rPr>
        <w:t>2005</w:t>
      </w:r>
      <w:r>
        <w:rPr>
          <w:rFonts w:ascii="Arial" w:hAnsi="Arial" w:eastAsia="Arial" w:cs="Arial"/>
          <w:color w:val="000084"/>
          <w:spacing w:val="-8"/>
          <w:sz w:val="19"/>
          <w:szCs w:val="19"/>
        </w:rPr>
        <w:fldChar w:fldCharType="end"/>
      </w:r>
      <w:r>
        <w:rPr>
          <w:rFonts w:ascii="Arial" w:hAnsi="Arial" w:eastAsia="Arial" w:cs="Arial"/>
          <w:spacing w:val="-8"/>
          <w:sz w:val="19"/>
          <w:szCs w:val="19"/>
        </w:rPr>
        <w:t>).</w:t>
      </w:r>
      <w:r>
        <w:rPr>
          <w:rFonts w:ascii="Arial" w:hAnsi="Arial" w:eastAsia="Arial" w:cs="Arial"/>
          <w:spacing w:val="23"/>
          <w:w w:val="101"/>
          <w:sz w:val="19"/>
          <w:szCs w:val="19"/>
        </w:rPr>
        <w:t xml:space="preserve"> </w:t>
      </w:r>
      <w:r>
        <w:rPr>
          <w:rFonts w:ascii="Arial" w:hAnsi="Arial" w:eastAsia="Arial" w:cs="Arial"/>
          <w:spacing w:val="-8"/>
          <w:sz w:val="19"/>
          <w:szCs w:val="19"/>
        </w:rPr>
        <w:t>It</w:t>
      </w:r>
      <w:r>
        <w:rPr>
          <w:rFonts w:ascii="Arial" w:hAnsi="Arial" w:eastAsia="Arial" w:cs="Arial"/>
          <w:spacing w:val="19"/>
          <w:w w:val="101"/>
          <w:sz w:val="19"/>
          <w:szCs w:val="19"/>
        </w:rPr>
        <w:t xml:space="preserve"> </w:t>
      </w:r>
      <w:r>
        <w:rPr>
          <w:rFonts w:ascii="Arial" w:hAnsi="Arial" w:eastAsia="Arial" w:cs="Arial"/>
          <w:spacing w:val="-8"/>
          <w:sz w:val="19"/>
          <w:szCs w:val="19"/>
        </w:rPr>
        <w:t>is</w:t>
      </w:r>
      <w:r>
        <w:rPr>
          <w:rFonts w:ascii="Arial" w:hAnsi="Arial" w:eastAsia="Arial" w:cs="Arial"/>
          <w:spacing w:val="15"/>
          <w:w w:val="101"/>
          <w:sz w:val="19"/>
          <w:szCs w:val="19"/>
        </w:rPr>
        <w:t xml:space="preserve"> </w:t>
      </w:r>
      <w:r>
        <w:rPr>
          <w:rFonts w:ascii="Arial" w:hAnsi="Arial" w:eastAsia="Arial" w:cs="Arial"/>
          <w:spacing w:val="-8"/>
          <w:sz w:val="19"/>
          <w:szCs w:val="19"/>
        </w:rPr>
        <w:t>assumed</w:t>
      </w:r>
      <w:r>
        <w:rPr>
          <w:rFonts w:ascii="Arial" w:hAnsi="Arial" w:eastAsia="Arial" w:cs="Arial"/>
          <w:spacing w:val="13"/>
          <w:w w:val="101"/>
          <w:sz w:val="19"/>
          <w:szCs w:val="19"/>
        </w:rPr>
        <w:t xml:space="preserve"> </w:t>
      </w:r>
      <w:r>
        <w:rPr>
          <w:rFonts w:ascii="Arial" w:hAnsi="Arial" w:eastAsia="Arial" w:cs="Arial"/>
          <w:spacing w:val="-8"/>
          <w:sz w:val="19"/>
          <w:szCs w:val="19"/>
        </w:rPr>
        <w:t>that</w:t>
      </w:r>
      <w:r>
        <w:rPr>
          <w:rFonts w:ascii="Arial" w:hAnsi="Arial" w:eastAsia="Arial" w:cs="Arial"/>
          <w:spacing w:val="16"/>
          <w:sz w:val="19"/>
          <w:szCs w:val="19"/>
        </w:rPr>
        <w:t xml:space="preserve"> </w:t>
      </w:r>
      <w:r>
        <w:rPr>
          <w:rFonts w:ascii="Arial" w:hAnsi="Arial" w:eastAsia="Arial" w:cs="Arial"/>
          <w:spacing w:val="-8"/>
          <w:sz w:val="19"/>
          <w:szCs w:val="19"/>
        </w:rPr>
        <w:t>e</w:t>
      </w:r>
      <w:r>
        <w:rPr>
          <w:rFonts w:ascii="Arial" w:hAnsi="Arial" w:eastAsia="Arial" w:cs="Arial"/>
          <w:spacing w:val="-9"/>
          <w:sz w:val="19"/>
          <w:szCs w:val="19"/>
        </w:rPr>
        <w:t>ach</w:t>
      </w:r>
      <w:r>
        <w:rPr>
          <w:rFonts w:ascii="Arial" w:hAnsi="Arial" w:eastAsia="Arial" w:cs="Arial"/>
          <w:spacing w:val="16"/>
          <w:w w:val="101"/>
          <w:sz w:val="19"/>
          <w:szCs w:val="19"/>
        </w:rPr>
        <w:t xml:space="preserve"> </w:t>
      </w:r>
      <w:r>
        <w:rPr>
          <w:rFonts w:ascii="Arial" w:hAnsi="Arial" w:eastAsia="Arial" w:cs="Arial"/>
          <w:spacing w:val="-9"/>
          <w:sz w:val="19"/>
          <w:szCs w:val="19"/>
        </w:rPr>
        <w:t>structural-formal</w:t>
      </w:r>
      <w:r>
        <w:rPr>
          <w:rFonts w:ascii="Arial" w:hAnsi="Arial" w:eastAsia="Arial" w:cs="Arial"/>
          <w:spacing w:val="14"/>
          <w:w w:val="101"/>
          <w:sz w:val="19"/>
          <w:szCs w:val="19"/>
        </w:rPr>
        <w:t xml:space="preserve"> </w:t>
      </w:r>
      <w:r>
        <w:rPr>
          <w:rFonts w:ascii="Arial" w:hAnsi="Arial" w:eastAsia="Arial" w:cs="Arial"/>
          <w:spacing w:val="-9"/>
          <w:sz w:val="19"/>
          <w:szCs w:val="19"/>
        </w:rPr>
        <w:t>aspect</w:t>
      </w:r>
      <w:r>
        <w:rPr>
          <w:rFonts w:ascii="Arial" w:hAnsi="Arial" w:eastAsia="Arial" w:cs="Arial"/>
          <w:spacing w:val="22"/>
          <w:w w:val="101"/>
          <w:sz w:val="19"/>
          <w:szCs w:val="19"/>
        </w:rPr>
        <w:t xml:space="preserve"> </w:t>
      </w:r>
      <w:r>
        <w:rPr>
          <w:rFonts w:ascii="Arial" w:hAnsi="Arial" w:eastAsia="Arial" w:cs="Arial"/>
          <w:spacing w:val="-9"/>
          <w:sz w:val="19"/>
          <w:szCs w:val="19"/>
        </w:rPr>
        <w:t>needs</w:t>
      </w:r>
      <w:r>
        <w:rPr>
          <w:rFonts w:ascii="Arial" w:hAnsi="Arial" w:eastAsia="Arial" w:cs="Arial"/>
          <w:spacing w:val="12"/>
          <w:sz w:val="19"/>
          <w:szCs w:val="19"/>
        </w:rPr>
        <w:t xml:space="preserve"> </w:t>
      </w:r>
      <w:r>
        <w:rPr>
          <w:rFonts w:ascii="Arial" w:hAnsi="Arial" w:eastAsia="Arial" w:cs="Arial"/>
          <w:spacing w:val="-9"/>
          <w:sz w:val="19"/>
          <w:szCs w:val="19"/>
        </w:rPr>
        <w:t>to</w:t>
      </w:r>
      <w:r>
        <w:rPr>
          <w:rFonts w:ascii="Arial" w:hAnsi="Arial" w:eastAsia="Arial" w:cs="Arial"/>
          <w:spacing w:val="22"/>
          <w:w w:val="101"/>
          <w:sz w:val="19"/>
          <w:szCs w:val="19"/>
        </w:rPr>
        <w:t xml:space="preserve"> </w:t>
      </w:r>
      <w:r>
        <w:rPr>
          <w:rFonts w:ascii="Arial" w:hAnsi="Arial" w:eastAsia="Arial" w:cs="Arial"/>
          <w:spacing w:val="-9"/>
          <w:sz w:val="19"/>
          <w:szCs w:val="19"/>
        </w:rPr>
        <w:t>be</w:t>
      </w:r>
      <w:r>
        <w:rPr>
          <w:rFonts w:ascii="Arial" w:hAnsi="Arial" w:eastAsia="Arial" w:cs="Arial"/>
          <w:sz w:val="19"/>
          <w:szCs w:val="19"/>
        </w:rPr>
        <w:t xml:space="preserve"> </w:t>
      </w:r>
      <w:r>
        <w:rPr>
          <w:rFonts w:ascii="Arial" w:hAnsi="Arial" w:eastAsia="Arial" w:cs="Arial"/>
          <w:spacing w:val="-5"/>
          <w:sz w:val="19"/>
          <w:szCs w:val="19"/>
        </w:rPr>
        <w:t>considered  in  order  to  establish  a  comprehensive  and  suc</w:t>
      </w:r>
      <w:r>
        <w:rPr>
          <w:rFonts w:ascii="Arial" w:hAnsi="Arial" w:eastAsia="Arial" w:cs="Arial"/>
          <w:spacing w:val="-6"/>
          <w:sz w:val="19"/>
          <w:szCs w:val="19"/>
        </w:rPr>
        <w:t>cessful  quality</w:t>
      </w:r>
      <w:r>
        <w:rPr>
          <w:rFonts w:ascii="Arial" w:hAnsi="Arial" w:eastAsia="Arial" w:cs="Arial"/>
          <w:spacing w:val="2"/>
          <w:sz w:val="19"/>
          <w:szCs w:val="19"/>
        </w:rPr>
        <w:t xml:space="preserve">  </w:t>
      </w:r>
      <w:r>
        <w:rPr>
          <w:rFonts w:ascii="Arial" w:hAnsi="Arial" w:eastAsia="Arial" w:cs="Arial"/>
          <w:spacing w:val="-6"/>
          <w:sz w:val="19"/>
          <w:szCs w:val="19"/>
        </w:rPr>
        <w:t>management</w:t>
      </w:r>
      <w:r>
        <w:rPr>
          <w:rFonts w:ascii="Arial" w:hAnsi="Arial" w:eastAsia="Arial" w:cs="Arial"/>
          <w:spacing w:val="51"/>
          <w:sz w:val="19"/>
          <w:szCs w:val="19"/>
        </w:rPr>
        <w:t xml:space="preserve"> </w:t>
      </w:r>
      <w:r>
        <w:rPr>
          <w:rFonts w:ascii="Arial" w:hAnsi="Arial" w:eastAsia="Arial" w:cs="Arial"/>
          <w:spacing w:val="-6"/>
          <w:sz w:val="19"/>
          <w:szCs w:val="19"/>
        </w:rPr>
        <w:t>system</w:t>
      </w:r>
      <w:r>
        <w:rPr>
          <w:rFonts w:ascii="Arial" w:hAnsi="Arial" w:eastAsia="Arial" w:cs="Arial"/>
          <w:sz w:val="19"/>
          <w:szCs w:val="19"/>
        </w:rPr>
        <w:t xml:space="preserve"> </w:t>
      </w:r>
      <w:r>
        <w:rPr>
          <w:rFonts w:ascii="Arial" w:hAnsi="Arial" w:eastAsia="Arial" w:cs="Arial"/>
          <w:spacing w:val="-8"/>
          <w:sz w:val="19"/>
          <w:szCs w:val="19"/>
        </w:rPr>
        <w:t>within</w:t>
      </w:r>
      <w:r>
        <w:rPr>
          <w:rFonts w:ascii="Arial" w:hAnsi="Arial" w:eastAsia="Arial" w:cs="Arial"/>
          <w:spacing w:val="21"/>
          <w:w w:val="101"/>
          <w:sz w:val="19"/>
          <w:szCs w:val="19"/>
        </w:rPr>
        <w:t xml:space="preserve"> </w:t>
      </w:r>
      <w:r>
        <w:rPr>
          <w:rFonts w:ascii="Arial" w:hAnsi="Arial" w:eastAsia="Arial" w:cs="Arial"/>
          <w:spacing w:val="-8"/>
          <w:sz w:val="19"/>
          <w:szCs w:val="19"/>
        </w:rPr>
        <w:t>HEIs.</w:t>
      </w:r>
    </w:p>
    <w:p>
      <w:pPr>
        <w:spacing w:line="392" w:lineRule="auto"/>
        <w:rPr>
          <w:rFonts w:ascii="Arial"/>
          <w:sz w:val="21"/>
        </w:rPr>
      </w:pPr>
    </w:p>
    <w:p>
      <w:pPr>
        <w:spacing w:before="44" w:line="206" w:lineRule="auto"/>
        <w:ind w:left="1001"/>
        <w:rPr>
          <w:rFonts w:ascii="Arial" w:hAnsi="Arial" w:eastAsia="Arial" w:cs="Arial"/>
          <w:sz w:val="15"/>
          <w:szCs w:val="15"/>
        </w:rPr>
      </w:pPr>
      <w:r>
        <w:rPr>
          <w:rFonts w:ascii="Arial" w:hAnsi="Arial" w:eastAsia="Arial" w:cs="Arial"/>
          <w:color w:val="282781"/>
          <w:spacing w:val="-5"/>
          <w:sz w:val="15"/>
          <w:szCs w:val="15"/>
        </w:rPr>
        <w:t>Table</w:t>
      </w:r>
      <w:r>
        <w:rPr>
          <w:rFonts w:ascii="Arial" w:hAnsi="Arial" w:eastAsia="Arial" w:cs="Arial"/>
          <w:color w:val="282781"/>
          <w:spacing w:val="16"/>
          <w:w w:val="101"/>
          <w:sz w:val="15"/>
          <w:szCs w:val="15"/>
        </w:rPr>
        <w:t xml:space="preserve"> </w:t>
      </w:r>
      <w:r>
        <w:rPr>
          <w:rFonts w:ascii="Arial" w:hAnsi="Arial" w:eastAsia="Arial" w:cs="Arial"/>
          <w:color w:val="282781"/>
          <w:spacing w:val="-5"/>
          <w:sz w:val="15"/>
          <w:szCs w:val="15"/>
        </w:rPr>
        <w:t>1.</w:t>
      </w:r>
      <w:r>
        <w:rPr>
          <w:rFonts w:ascii="Arial" w:hAnsi="Arial" w:eastAsia="Arial" w:cs="Arial"/>
          <w:color w:val="282781"/>
          <w:spacing w:val="12"/>
          <w:w w:val="101"/>
          <w:sz w:val="15"/>
          <w:szCs w:val="15"/>
        </w:rPr>
        <w:t xml:space="preserve"> </w:t>
      </w:r>
      <w:r>
        <w:rPr>
          <w:rFonts w:ascii="Arial" w:hAnsi="Arial" w:eastAsia="Arial" w:cs="Arial"/>
          <w:spacing w:val="-5"/>
          <w:sz w:val="15"/>
          <w:szCs w:val="15"/>
        </w:rPr>
        <w:t>Quality</w:t>
      </w:r>
      <w:r>
        <w:rPr>
          <w:rFonts w:ascii="Arial" w:hAnsi="Arial" w:eastAsia="Arial" w:cs="Arial"/>
          <w:spacing w:val="10"/>
          <w:w w:val="101"/>
          <w:sz w:val="15"/>
          <w:szCs w:val="15"/>
        </w:rPr>
        <w:t xml:space="preserve"> </w:t>
      </w:r>
      <w:r>
        <w:rPr>
          <w:rFonts w:ascii="Arial" w:hAnsi="Arial" w:eastAsia="Arial" w:cs="Arial"/>
          <w:spacing w:val="-5"/>
          <w:sz w:val="15"/>
          <w:szCs w:val="15"/>
        </w:rPr>
        <w:t>culture</w:t>
      </w:r>
      <w:r>
        <w:rPr>
          <w:rFonts w:ascii="Arial" w:hAnsi="Arial" w:eastAsia="Arial" w:cs="Arial"/>
          <w:spacing w:val="11"/>
          <w:sz w:val="15"/>
          <w:szCs w:val="15"/>
        </w:rPr>
        <w:t xml:space="preserve"> </w:t>
      </w:r>
      <w:r>
        <w:rPr>
          <w:rFonts w:ascii="Arial" w:hAnsi="Arial" w:eastAsia="Arial" w:cs="Arial"/>
          <w:spacing w:val="-5"/>
          <w:sz w:val="15"/>
          <w:szCs w:val="15"/>
        </w:rPr>
        <w:t>dimensions</w:t>
      </w:r>
      <w:r>
        <w:rPr>
          <w:rFonts w:ascii="Arial" w:hAnsi="Arial" w:eastAsia="Arial" w:cs="Arial"/>
          <w:spacing w:val="11"/>
          <w:sz w:val="15"/>
          <w:szCs w:val="15"/>
        </w:rPr>
        <w:t xml:space="preserve"> </w:t>
      </w:r>
      <w:r>
        <w:rPr>
          <w:rFonts w:ascii="Arial" w:hAnsi="Arial" w:eastAsia="Arial" w:cs="Arial"/>
          <w:spacing w:val="-5"/>
          <w:sz w:val="15"/>
          <w:szCs w:val="15"/>
        </w:rPr>
        <w:t>accord</w:t>
      </w:r>
      <w:r>
        <w:rPr>
          <w:rFonts w:ascii="Arial" w:hAnsi="Arial" w:eastAsia="Arial" w:cs="Arial"/>
          <w:spacing w:val="-6"/>
          <w:sz w:val="15"/>
          <w:szCs w:val="15"/>
        </w:rPr>
        <w:t>ing</w:t>
      </w:r>
      <w:r>
        <w:rPr>
          <w:rFonts w:ascii="Arial" w:hAnsi="Arial" w:eastAsia="Arial" w:cs="Arial"/>
          <w:spacing w:val="9"/>
          <w:sz w:val="15"/>
          <w:szCs w:val="15"/>
        </w:rPr>
        <w:t xml:space="preserve"> </w:t>
      </w:r>
      <w:r>
        <w:rPr>
          <w:rFonts w:ascii="Arial" w:hAnsi="Arial" w:eastAsia="Arial" w:cs="Arial"/>
          <w:spacing w:val="-6"/>
          <w:sz w:val="15"/>
          <w:szCs w:val="15"/>
        </w:rPr>
        <w:t>to</w:t>
      </w:r>
      <w:r>
        <w:rPr>
          <w:rFonts w:ascii="Arial" w:hAnsi="Arial" w:eastAsia="Arial" w:cs="Arial"/>
          <w:spacing w:val="15"/>
          <w:w w:val="101"/>
          <w:sz w:val="15"/>
          <w:szCs w:val="15"/>
        </w:rPr>
        <w:t xml:space="preserve"> </w:t>
      </w:r>
      <w:r>
        <w:rPr>
          <w:rFonts w:ascii="Arial" w:hAnsi="Arial" w:eastAsia="Arial" w:cs="Arial"/>
          <w:spacing w:val="-6"/>
          <w:sz w:val="15"/>
          <w:szCs w:val="15"/>
        </w:rPr>
        <w:t>international</w:t>
      </w:r>
      <w:r>
        <w:rPr>
          <w:rFonts w:ascii="Arial" w:hAnsi="Arial" w:eastAsia="Arial" w:cs="Arial"/>
          <w:spacing w:val="12"/>
          <w:sz w:val="15"/>
          <w:szCs w:val="15"/>
        </w:rPr>
        <w:t xml:space="preserve"> </w:t>
      </w:r>
      <w:r>
        <w:rPr>
          <w:rFonts w:ascii="Arial" w:hAnsi="Arial" w:eastAsia="Arial" w:cs="Arial"/>
          <w:spacing w:val="-6"/>
          <w:sz w:val="15"/>
          <w:szCs w:val="15"/>
        </w:rPr>
        <w:t>experts</w:t>
      </w:r>
      <w:r>
        <w:rPr>
          <w:rFonts w:ascii="Arial" w:hAnsi="Arial" w:eastAsia="Arial" w:cs="Arial"/>
          <w:spacing w:val="15"/>
          <w:w w:val="102"/>
          <w:sz w:val="15"/>
          <w:szCs w:val="15"/>
        </w:rPr>
        <w:t xml:space="preserve"> </w:t>
      </w:r>
      <w:r>
        <w:rPr>
          <w:rFonts w:ascii="Arial" w:hAnsi="Arial" w:eastAsia="Arial" w:cs="Arial"/>
          <w:spacing w:val="-6"/>
          <w:sz w:val="15"/>
          <w:szCs w:val="15"/>
        </w:rPr>
        <w:t>(N = 41).</w:t>
      </w:r>
    </w:p>
    <w:p>
      <w:pPr>
        <w:spacing w:line="25" w:lineRule="exact"/>
      </w:pPr>
    </w:p>
    <w:tbl>
      <w:tblPr>
        <w:tblStyle w:val="5"/>
        <w:tblW w:w="5944" w:type="dxa"/>
        <w:tblInd w:w="9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250"/>
        <w:gridCol w:w="269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3250" w:type="dxa"/>
            <w:tcBorders>
              <w:top w:val="single" w:color="282781" w:sz="2" w:space="0"/>
              <w:bottom w:val="single" w:color="282781" w:sz="4" w:space="0"/>
            </w:tcBorders>
            <w:vAlign w:val="top"/>
          </w:tcPr>
          <w:p>
            <w:pPr>
              <w:spacing w:before="70" w:line="195" w:lineRule="auto"/>
              <w:ind w:left="11"/>
              <w:rPr>
                <w:rFonts w:ascii="Arial" w:hAnsi="Arial" w:eastAsia="Arial" w:cs="Arial"/>
                <w:sz w:val="15"/>
                <w:szCs w:val="15"/>
              </w:rPr>
            </w:pPr>
            <w:r>
              <w:rPr>
                <w:rFonts w:ascii="Arial" w:hAnsi="Arial" w:eastAsia="Arial" w:cs="Arial"/>
                <w:spacing w:val="-8"/>
                <w:sz w:val="15"/>
                <w:szCs w:val="15"/>
              </w:rPr>
              <w:t>Dimension</w:t>
            </w:r>
          </w:p>
        </w:tc>
        <w:tc>
          <w:tcPr>
            <w:tcW w:w="2694" w:type="dxa"/>
            <w:tcBorders>
              <w:top w:val="single" w:color="282781" w:sz="2" w:space="0"/>
              <w:bottom w:val="single" w:color="282781" w:sz="4" w:space="0"/>
            </w:tcBorders>
            <w:vAlign w:val="top"/>
          </w:tcPr>
          <w:p>
            <w:pPr>
              <w:spacing w:before="67" w:line="181" w:lineRule="auto"/>
              <w:ind w:left="2261"/>
              <w:rPr>
                <w:rFonts w:ascii="Arial" w:hAnsi="Arial" w:eastAsia="Arial" w:cs="Arial"/>
                <w:sz w:val="15"/>
                <w:szCs w:val="15"/>
              </w:rPr>
            </w:pPr>
            <w:r>
              <w:rPr>
                <w:rFonts w:ascii="Arial" w:hAnsi="Arial" w:eastAsia="Arial" w:cs="Arial"/>
                <w:spacing w:val="-14"/>
                <w:sz w:val="15"/>
                <w:szCs w:val="15"/>
              </w:rPr>
              <w:t>N</w:t>
            </w:r>
            <w:r>
              <w:rPr>
                <w:rFonts w:ascii="Arial" w:hAnsi="Arial" w:eastAsia="Arial" w:cs="Arial"/>
                <w:spacing w:val="16"/>
                <w:sz w:val="15"/>
                <w:szCs w:val="15"/>
              </w:rPr>
              <w:t xml:space="preserve"> </w:t>
            </w:r>
            <w:r>
              <w:rPr>
                <w:rFonts w:ascii="Arial" w:hAnsi="Arial" w:eastAsia="Arial" w:cs="Arial"/>
                <w:spacing w:val="-14"/>
                <w:sz w:val="15"/>
                <w:szCs w:val="1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4" w:hRule="atLeast"/>
        </w:trPr>
        <w:tc>
          <w:tcPr>
            <w:tcW w:w="3250" w:type="dxa"/>
            <w:tcBorders>
              <w:top w:val="single" w:color="282781" w:sz="4" w:space="0"/>
            </w:tcBorders>
            <w:vAlign w:val="top"/>
          </w:tcPr>
          <w:p>
            <w:pPr>
              <w:spacing w:before="53" w:line="203" w:lineRule="auto"/>
              <w:ind w:left="11"/>
              <w:rPr>
                <w:rFonts w:ascii="Arial" w:hAnsi="Arial" w:eastAsia="Arial" w:cs="Arial"/>
                <w:sz w:val="15"/>
                <w:szCs w:val="15"/>
              </w:rPr>
            </w:pPr>
            <w:r>
              <w:rPr>
                <w:rFonts w:ascii="Arial" w:hAnsi="Arial" w:eastAsia="Arial" w:cs="Arial"/>
                <w:spacing w:val="-9"/>
                <w:sz w:val="15"/>
                <w:szCs w:val="15"/>
              </w:rPr>
              <w:t>Leadership</w:t>
            </w:r>
          </w:p>
        </w:tc>
        <w:tc>
          <w:tcPr>
            <w:tcW w:w="2694" w:type="dxa"/>
            <w:tcBorders>
              <w:top w:val="single" w:color="282781" w:sz="4" w:space="0"/>
            </w:tcBorders>
            <w:vAlign w:val="top"/>
          </w:tcPr>
          <w:p>
            <w:pPr>
              <w:spacing w:before="55" w:line="181" w:lineRule="auto"/>
              <w:jc w:val="right"/>
              <w:rPr>
                <w:rFonts w:ascii="Arial" w:hAnsi="Arial" w:eastAsia="Arial" w:cs="Arial"/>
                <w:sz w:val="15"/>
                <w:szCs w:val="15"/>
              </w:rPr>
            </w:pPr>
            <w:r>
              <w:rPr>
                <w:rFonts w:ascii="Arial" w:hAnsi="Arial" w:eastAsia="Arial" w:cs="Arial"/>
                <w:spacing w:val="-12"/>
                <w:sz w:val="15"/>
                <w:szCs w:val="15"/>
              </w:rPr>
              <w:t>39</w:t>
            </w:r>
            <w:r>
              <w:rPr>
                <w:rFonts w:ascii="Arial" w:hAnsi="Arial" w:eastAsia="Arial" w:cs="Arial"/>
                <w:spacing w:val="20"/>
                <w:w w:val="101"/>
                <w:sz w:val="15"/>
                <w:szCs w:val="15"/>
              </w:rPr>
              <w:t xml:space="preserve"> </w:t>
            </w:r>
            <w:r>
              <w:rPr>
                <w:rFonts w:ascii="Arial" w:hAnsi="Arial" w:eastAsia="Arial" w:cs="Arial"/>
                <w:spacing w:val="-12"/>
                <w:sz w:val="15"/>
                <w:szCs w:val="15"/>
              </w:rPr>
              <w:t>(95</w:t>
            </w:r>
            <w:r>
              <w:rPr>
                <w:rFonts w:ascii="Arial" w:hAnsi="Arial" w:eastAsia="Arial" w:cs="Arial"/>
                <w:spacing w:val="-11"/>
                <w:sz w:val="15"/>
                <w:szCs w:val="15"/>
              </w:rPr>
              <w:t>.1</w:t>
            </w:r>
            <w:r>
              <w:rPr>
                <w:rFonts w:ascii="Arial" w:hAnsi="Arial" w:eastAsia="Arial" w:cs="Arial"/>
                <w:spacing w:val="-6"/>
                <w:sz w:val="15"/>
                <w:szCs w:val="1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3" w:hRule="atLeast"/>
        </w:trPr>
        <w:tc>
          <w:tcPr>
            <w:tcW w:w="3250" w:type="dxa"/>
            <w:vAlign w:val="top"/>
          </w:tcPr>
          <w:p>
            <w:pPr>
              <w:spacing w:before="21" w:line="196" w:lineRule="auto"/>
              <w:ind w:left="5"/>
              <w:rPr>
                <w:rFonts w:ascii="Arial" w:hAnsi="Arial" w:eastAsia="Arial" w:cs="Arial"/>
                <w:sz w:val="15"/>
                <w:szCs w:val="15"/>
              </w:rPr>
            </w:pPr>
            <w:r>
              <w:rPr>
                <w:rFonts w:ascii="Arial" w:hAnsi="Arial" w:eastAsia="Arial" w:cs="Arial"/>
                <w:spacing w:val="-6"/>
                <w:sz w:val="15"/>
                <w:szCs w:val="15"/>
              </w:rPr>
              <w:t>Communication</w:t>
            </w:r>
          </w:p>
        </w:tc>
        <w:tc>
          <w:tcPr>
            <w:tcW w:w="2694" w:type="dxa"/>
            <w:vAlign w:val="top"/>
          </w:tcPr>
          <w:p>
            <w:pPr>
              <w:spacing w:before="20" w:line="181" w:lineRule="auto"/>
              <w:jc w:val="right"/>
              <w:rPr>
                <w:rFonts w:ascii="Arial" w:hAnsi="Arial" w:eastAsia="Arial" w:cs="Arial"/>
                <w:sz w:val="15"/>
                <w:szCs w:val="15"/>
              </w:rPr>
            </w:pPr>
            <w:r>
              <w:rPr>
                <w:rFonts w:ascii="Arial" w:hAnsi="Arial" w:eastAsia="Arial" w:cs="Arial"/>
                <w:spacing w:val="-12"/>
                <w:sz w:val="15"/>
                <w:szCs w:val="15"/>
              </w:rPr>
              <w:t>39</w:t>
            </w:r>
            <w:r>
              <w:rPr>
                <w:rFonts w:ascii="Arial" w:hAnsi="Arial" w:eastAsia="Arial" w:cs="Arial"/>
                <w:spacing w:val="20"/>
                <w:w w:val="101"/>
                <w:sz w:val="15"/>
                <w:szCs w:val="15"/>
              </w:rPr>
              <w:t xml:space="preserve"> </w:t>
            </w:r>
            <w:r>
              <w:rPr>
                <w:rFonts w:ascii="Arial" w:hAnsi="Arial" w:eastAsia="Arial" w:cs="Arial"/>
                <w:spacing w:val="-12"/>
                <w:sz w:val="15"/>
                <w:szCs w:val="15"/>
              </w:rPr>
              <w:t>(95</w:t>
            </w:r>
            <w:r>
              <w:rPr>
                <w:rFonts w:ascii="Arial" w:hAnsi="Arial" w:eastAsia="Arial" w:cs="Arial"/>
                <w:spacing w:val="-11"/>
                <w:sz w:val="15"/>
                <w:szCs w:val="15"/>
              </w:rPr>
              <w:t>.1</w:t>
            </w:r>
            <w:r>
              <w:rPr>
                <w:rFonts w:ascii="Arial" w:hAnsi="Arial" w:eastAsia="Arial" w:cs="Arial"/>
                <w:spacing w:val="-6"/>
                <w:sz w:val="15"/>
                <w:szCs w:val="1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1" w:hRule="atLeast"/>
        </w:trPr>
        <w:tc>
          <w:tcPr>
            <w:tcW w:w="3250" w:type="dxa"/>
            <w:vAlign w:val="top"/>
          </w:tcPr>
          <w:p>
            <w:pPr>
              <w:spacing w:before="30" w:line="182" w:lineRule="auto"/>
              <w:ind w:left="11"/>
              <w:rPr>
                <w:rFonts w:ascii="Arial" w:hAnsi="Arial" w:eastAsia="Arial" w:cs="Arial"/>
                <w:sz w:val="15"/>
                <w:szCs w:val="15"/>
              </w:rPr>
            </w:pPr>
            <w:r>
              <w:rPr>
                <w:rFonts w:ascii="Arial" w:hAnsi="Arial" w:eastAsia="Arial" w:cs="Arial"/>
                <w:spacing w:val="-5"/>
                <w:sz w:val="15"/>
                <w:szCs w:val="15"/>
              </w:rPr>
              <w:t>Participation</w:t>
            </w:r>
          </w:p>
        </w:tc>
        <w:tc>
          <w:tcPr>
            <w:tcW w:w="2694" w:type="dxa"/>
            <w:vAlign w:val="top"/>
          </w:tcPr>
          <w:p>
            <w:pPr>
              <w:spacing w:before="27" w:line="181" w:lineRule="auto"/>
              <w:jc w:val="right"/>
              <w:rPr>
                <w:rFonts w:ascii="Arial" w:hAnsi="Arial" w:eastAsia="Arial" w:cs="Arial"/>
                <w:sz w:val="15"/>
                <w:szCs w:val="15"/>
              </w:rPr>
            </w:pPr>
            <w:r>
              <w:rPr>
                <w:rFonts w:ascii="Arial" w:hAnsi="Arial" w:eastAsia="Arial" w:cs="Arial"/>
                <w:spacing w:val="-12"/>
                <w:sz w:val="15"/>
                <w:szCs w:val="15"/>
              </w:rPr>
              <w:t>32</w:t>
            </w:r>
            <w:r>
              <w:rPr>
                <w:rFonts w:ascii="Arial" w:hAnsi="Arial" w:eastAsia="Arial" w:cs="Arial"/>
                <w:spacing w:val="20"/>
                <w:w w:val="101"/>
                <w:sz w:val="15"/>
                <w:szCs w:val="15"/>
              </w:rPr>
              <w:t xml:space="preserve"> </w:t>
            </w:r>
            <w:r>
              <w:rPr>
                <w:rFonts w:ascii="Arial" w:hAnsi="Arial" w:eastAsia="Arial" w:cs="Arial"/>
                <w:spacing w:val="-12"/>
                <w:sz w:val="15"/>
                <w:szCs w:val="15"/>
              </w:rPr>
              <w:t>(78</w:t>
            </w:r>
            <w:r>
              <w:rPr>
                <w:rFonts w:ascii="Arial" w:hAnsi="Arial" w:eastAsia="Arial" w:cs="Arial"/>
                <w:spacing w:val="-11"/>
                <w:sz w:val="15"/>
                <w:szCs w:val="15"/>
              </w:rPr>
              <w:t>.0</w:t>
            </w:r>
            <w:r>
              <w:rPr>
                <w:rFonts w:ascii="Arial" w:hAnsi="Arial" w:eastAsia="Arial" w:cs="Arial"/>
                <w:spacing w:val="-6"/>
                <w:sz w:val="15"/>
                <w:szCs w:val="1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8" w:hRule="atLeast"/>
        </w:trPr>
        <w:tc>
          <w:tcPr>
            <w:tcW w:w="3250" w:type="dxa"/>
            <w:vAlign w:val="top"/>
          </w:tcPr>
          <w:p>
            <w:pPr>
              <w:spacing w:before="34" w:line="206" w:lineRule="auto"/>
              <w:ind w:left="5"/>
              <w:rPr>
                <w:rFonts w:ascii="Arial" w:hAnsi="Arial" w:eastAsia="Arial" w:cs="Arial"/>
                <w:sz w:val="15"/>
                <w:szCs w:val="15"/>
              </w:rPr>
            </w:pPr>
            <w:r>
              <w:rPr>
                <w:rFonts w:ascii="Arial" w:hAnsi="Arial" w:eastAsia="Arial" w:cs="Arial"/>
                <w:spacing w:val="-6"/>
                <w:sz w:val="15"/>
                <w:szCs w:val="15"/>
              </w:rPr>
              <w:t>Quality</w:t>
            </w:r>
            <w:r>
              <w:rPr>
                <w:rFonts w:ascii="Arial" w:hAnsi="Arial" w:eastAsia="Arial" w:cs="Arial"/>
                <w:spacing w:val="21"/>
                <w:w w:val="101"/>
                <w:sz w:val="15"/>
                <w:szCs w:val="15"/>
              </w:rPr>
              <w:t xml:space="preserve"> </w:t>
            </w:r>
            <w:r>
              <w:rPr>
                <w:rFonts w:ascii="Arial" w:hAnsi="Arial" w:eastAsia="Arial" w:cs="Arial"/>
                <w:spacing w:val="-6"/>
                <w:sz w:val="15"/>
                <w:szCs w:val="15"/>
              </w:rPr>
              <w:t>objectives</w:t>
            </w:r>
          </w:p>
        </w:tc>
        <w:tc>
          <w:tcPr>
            <w:tcW w:w="2694" w:type="dxa"/>
            <w:vAlign w:val="top"/>
          </w:tcPr>
          <w:p>
            <w:pPr>
              <w:spacing w:before="37" w:line="181" w:lineRule="auto"/>
              <w:jc w:val="right"/>
              <w:rPr>
                <w:rFonts w:ascii="Arial" w:hAnsi="Arial" w:eastAsia="Arial" w:cs="Arial"/>
                <w:sz w:val="15"/>
                <w:szCs w:val="15"/>
              </w:rPr>
            </w:pPr>
            <w:r>
              <w:rPr>
                <w:rFonts w:ascii="Arial" w:hAnsi="Arial" w:eastAsia="Arial" w:cs="Arial"/>
                <w:spacing w:val="-12"/>
                <w:sz w:val="15"/>
                <w:szCs w:val="15"/>
              </w:rPr>
              <w:t>30</w:t>
            </w:r>
            <w:r>
              <w:rPr>
                <w:rFonts w:ascii="Arial" w:hAnsi="Arial" w:eastAsia="Arial" w:cs="Arial"/>
                <w:spacing w:val="20"/>
                <w:w w:val="101"/>
                <w:sz w:val="15"/>
                <w:szCs w:val="15"/>
              </w:rPr>
              <w:t xml:space="preserve"> </w:t>
            </w:r>
            <w:r>
              <w:rPr>
                <w:rFonts w:ascii="Arial" w:hAnsi="Arial" w:eastAsia="Arial" w:cs="Arial"/>
                <w:spacing w:val="-12"/>
                <w:sz w:val="15"/>
                <w:szCs w:val="15"/>
              </w:rPr>
              <w:t>(73</w:t>
            </w:r>
            <w:r>
              <w:rPr>
                <w:rFonts w:ascii="Arial" w:hAnsi="Arial" w:eastAsia="Arial" w:cs="Arial"/>
                <w:spacing w:val="-11"/>
                <w:sz w:val="15"/>
                <w:szCs w:val="15"/>
              </w:rPr>
              <w:t>.2</w:t>
            </w:r>
            <w:r>
              <w:rPr>
                <w:rFonts w:ascii="Arial" w:hAnsi="Arial" w:eastAsia="Arial" w:cs="Arial"/>
                <w:spacing w:val="-6"/>
                <w:sz w:val="15"/>
                <w:szCs w:val="1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4" w:hRule="atLeast"/>
        </w:trPr>
        <w:tc>
          <w:tcPr>
            <w:tcW w:w="3250" w:type="dxa"/>
            <w:vAlign w:val="top"/>
          </w:tcPr>
          <w:p>
            <w:pPr>
              <w:spacing w:before="21" w:line="171" w:lineRule="auto"/>
              <w:ind w:left="5"/>
              <w:rPr>
                <w:rFonts w:ascii="Arial" w:hAnsi="Arial" w:eastAsia="Arial" w:cs="Arial"/>
                <w:sz w:val="15"/>
                <w:szCs w:val="15"/>
              </w:rPr>
            </w:pPr>
            <w:r>
              <w:rPr>
                <w:rFonts w:ascii="Arial" w:hAnsi="Arial" w:eastAsia="Arial" w:cs="Arial"/>
                <w:spacing w:val="-5"/>
                <w:sz w:val="15"/>
                <w:szCs w:val="15"/>
              </w:rPr>
              <w:t>Commitment</w:t>
            </w:r>
          </w:p>
        </w:tc>
        <w:tc>
          <w:tcPr>
            <w:tcW w:w="2694" w:type="dxa"/>
            <w:vAlign w:val="top"/>
          </w:tcPr>
          <w:p>
            <w:pPr>
              <w:spacing w:before="18" w:line="174" w:lineRule="auto"/>
              <w:jc w:val="right"/>
              <w:rPr>
                <w:rFonts w:ascii="Arial" w:hAnsi="Arial" w:eastAsia="Arial" w:cs="Arial"/>
                <w:sz w:val="15"/>
                <w:szCs w:val="15"/>
              </w:rPr>
            </w:pPr>
            <w:r>
              <w:rPr>
                <w:rFonts w:ascii="Arial" w:hAnsi="Arial" w:eastAsia="Arial" w:cs="Arial"/>
                <w:spacing w:val="-12"/>
                <w:sz w:val="15"/>
                <w:szCs w:val="15"/>
              </w:rPr>
              <w:t>29</w:t>
            </w:r>
            <w:r>
              <w:rPr>
                <w:rFonts w:ascii="Arial" w:hAnsi="Arial" w:eastAsia="Arial" w:cs="Arial"/>
                <w:spacing w:val="20"/>
                <w:sz w:val="15"/>
                <w:szCs w:val="15"/>
              </w:rPr>
              <w:t xml:space="preserve"> </w:t>
            </w:r>
            <w:r>
              <w:rPr>
                <w:rFonts w:ascii="Arial" w:hAnsi="Arial" w:eastAsia="Arial" w:cs="Arial"/>
                <w:spacing w:val="-12"/>
                <w:sz w:val="15"/>
                <w:szCs w:val="15"/>
              </w:rPr>
              <w:t>(70</w:t>
            </w:r>
            <w:r>
              <w:rPr>
                <w:rFonts w:ascii="Arial" w:hAnsi="Arial" w:eastAsia="Arial" w:cs="Arial"/>
                <w:spacing w:val="-11"/>
                <w:sz w:val="15"/>
                <w:szCs w:val="15"/>
              </w:rPr>
              <w:t>.7</w:t>
            </w:r>
            <w:r>
              <w:rPr>
                <w:rFonts w:ascii="Arial" w:hAnsi="Arial" w:eastAsia="Arial" w:cs="Arial"/>
                <w:spacing w:val="-6"/>
                <w:sz w:val="15"/>
                <w:szCs w:val="1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04" w:hRule="atLeast"/>
        </w:trPr>
        <w:tc>
          <w:tcPr>
            <w:tcW w:w="3250" w:type="dxa"/>
            <w:vAlign w:val="top"/>
          </w:tcPr>
          <w:p>
            <w:pPr>
              <w:spacing w:before="42" w:line="206" w:lineRule="auto"/>
              <w:ind w:left="5"/>
              <w:rPr>
                <w:rFonts w:ascii="Arial" w:hAnsi="Arial" w:eastAsia="Arial" w:cs="Arial"/>
                <w:sz w:val="15"/>
                <w:szCs w:val="15"/>
              </w:rPr>
            </w:pPr>
            <w:r>
              <w:rPr>
                <w:rFonts w:ascii="Arial" w:hAnsi="Arial" w:eastAsia="Arial" w:cs="Arial"/>
                <w:spacing w:val="-7"/>
                <w:sz w:val="15"/>
                <w:szCs w:val="15"/>
              </w:rPr>
              <w:t>Quality</w:t>
            </w:r>
            <w:r>
              <w:rPr>
                <w:rFonts w:ascii="Arial" w:hAnsi="Arial" w:eastAsia="Arial" w:cs="Arial"/>
                <w:spacing w:val="16"/>
                <w:w w:val="101"/>
                <w:sz w:val="15"/>
                <w:szCs w:val="15"/>
              </w:rPr>
              <w:t xml:space="preserve"> </w:t>
            </w:r>
            <w:r>
              <w:rPr>
                <w:rFonts w:ascii="Arial" w:hAnsi="Arial" w:eastAsia="Arial" w:cs="Arial"/>
                <w:spacing w:val="-7"/>
                <w:sz w:val="15"/>
                <w:szCs w:val="15"/>
              </w:rPr>
              <w:t>values</w:t>
            </w:r>
          </w:p>
        </w:tc>
        <w:tc>
          <w:tcPr>
            <w:tcW w:w="2694" w:type="dxa"/>
            <w:vAlign w:val="top"/>
          </w:tcPr>
          <w:p>
            <w:pPr>
              <w:spacing w:before="44" w:line="181" w:lineRule="auto"/>
              <w:jc w:val="right"/>
              <w:rPr>
                <w:rFonts w:ascii="Arial" w:hAnsi="Arial" w:eastAsia="Arial" w:cs="Arial"/>
                <w:sz w:val="15"/>
                <w:szCs w:val="15"/>
              </w:rPr>
            </w:pPr>
            <w:r>
              <w:rPr>
                <w:rFonts w:ascii="Arial" w:hAnsi="Arial" w:eastAsia="Arial" w:cs="Arial"/>
                <w:spacing w:val="-12"/>
                <w:sz w:val="15"/>
                <w:szCs w:val="15"/>
              </w:rPr>
              <w:t>28</w:t>
            </w:r>
            <w:r>
              <w:rPr>
                <w:rFonts w:ascii="Arial" w:hAnsi="Arial" w:eastAsia="Arial" w:cs="Arial"/>
                <w:spacing w:val="20"/>
                <w:sz w:val="15"/>
                <w:szCs w:val="15"/>
              </w:rPr>
              <w:t xml:space="preserve"> </w:t>
            </w:r>
            <w:r>
              <w:rPr>
                <w:rFonts w:ascii="Arial" w:hAnsi="Arial" w:eastAsia="Arial" w:cs="Arial"/>
                <w:spacing w:val="-12"/>
                <w:sz w:val="15"/>
                <w:szCs w:val="15"/>
              </w:rPr>
              <w:t>(68</w:t>
            </w:r>
            <w:r>
              <w:rPr>
                <w:rFonts w:ascii="Arial" w:hAnsi="Arial" w:eastAsia="Arial" w:cs="Arial"/>
                <w:spacing w:val="-11"/>
                <w:sz w:val="15"/>
                <w:szCs w:val="15"/>
              </w:rPr>
              <w:t>.3</w:t>
            </w:r>
            <w:r>
              <w:rPr>
                <w:rFonts w:ascii="Arial" w:hAnsi="Arial" w:eastAsia="Arial" w:cs="Arial"/>
                <w:spacing w:val="-6"/>
                <w:sz w:val="15"/>
                <w:szCs w:val="1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4" w:hRule="atLeast"/>
        </w:trPr>
        <w:tc>
          <w:tcPr>
            <w:tcW w:w="3250" w:type="dxa"/>
            <w:vAlign w:val="top"/>
          </w:tcPr>
          <w:p>
            <w:pPr>
              <w:spacing w:before="23" w:line="167" w:lineRule="auto"/>
              <w:rPr>
                <w:rFonts w:ascii="Arial" w:hAnsi="Arial" w:eastAsia="Arial" w:cs="Arial"/>
                <w:sz w:val="15"/>
                <w:szCs w:val="15"/>
              </w:rPr>
            </w:pPr>
            <w:r>
              <w:rPr>
                <w:rFonts w:ascii="Arial" w:hAnsi="Arial" w:eastAsia="Arial" w:cs="Arial"/>
                <w:spacing w:val="-7"/>
                <w:sz w:val="15"/>
                <w:szCs w:val="15"/>
              </w:rPr>
              <w:t>Trust</w:t>
            </w:r>
          </w:p>
        </w:tc>
        <w:tc>
          <w:tcPr>
            <w:tcW w:w="2694" w:type="dxa"/>
            <w:vAlign w:val="top"/>
          </w:tcPr>
          <w:p>
            <w:pPr>
              <w:spacing w:before="20" w:line="172" w:lineRule="auto"/>
              <w:jc w:val="right"/>
              <w:rPr>
                <w:rFonts w:ascii="Arial" w:hAnsi="Arial" w:eastAsia="Arial" w:cs="Arial"/>
                <w:sz w:val="15"/>
                <w:szCs w:val="15"/>
              </w:rPr>
            </w:pPr>
            <w:r>
              <w:rPr>
                <w:rFonts w:ascii="Arial" w:hAnsi="Arial" w:eastAsia="Arial" w:cs="Arial"/>
                <w:spacing w:val="-12"/>
                <w:sz w:val="15"/>
                <w:szCs w:val="15"/>
              </w:rPr>
              <w:t>28</w:t>
            </w:r>
            <w:r>
              <w:rPr>
                <w:rFonts w:ascii="Arial" w:hAnsi="Arial" w:eastAsia="Arial" w:cs="Arial"/>
                <w:spacing w:val="20"/>
                <w:sz w:val="15"/>
                <w:szCs w:val="15"/>
              </w:rPr>
              <w:t xml:space="preserve"> </w:t>
            </w:r>
            <w:r>
              <w:rPr>
                <w:rFonts w:ascii="Arial" w:hAnsi="Arial" w:eastAsia="Arial" w:cs="Arial"/>
                <w:spacing w:val="-12"/>
                <w:sz w:val="15"/>
                <w:szCs w:val="15"/>
              </w:rPr>
              <w:t>(68</w:t>
            </w:r>
            <w:r>
              <w:rPr>
                <w:rFonts w:ascii="Arial" w:hAnsi="Arial" w:eastAsia="Arial" w:cs="Arial"/>
                <w:spacing w:val="-11"/>
                <w:sz w:val="15"/>
                <w:szCs w:val="15"/>
              </w:rPr>
              <w:t>.3</w:t>
            </w:r>
            <w:r>
              <w:rPr>
                <w:rFonts w:ascii="Arial" w:hAnsi="Arial" w:eastAsia="Arial" w:cs="Arial"/>
                <w:spacing w:val="-6"/>
                <w:sz w:val="15"/>
                <w:szCs w:val="1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04" w:hRule="atLeast"/>
        </w:trPr>
        <w:tc>
          <w:tcPr>
            <w:tcW w:w="3250" w:type="dxa"/>
            <w:vAlign w:val="top"/>
          </w:tcPr>
          <w:p>
            <w:pPr>
              <w:spacing w:before="44" w:line="206" w:lineRule="auto"/>
              <w:ind w:left="11"/>
              <w:rPr>
                <w:rFonts w:ascii="Arial" w:hAnsi="Arial" w:eastAsia="Arial" w:cs="Arial"/>
                <w:sz w:val="15"/>
                <w:szCs w:val="15"/>
              </w:rPr>
            </w:pPr>
            <w:r>
              <w:rPr>
                <w:rFonts w:ascii="Arial" w:hAnsi="Arial" w:eastAsia="Arial" w:cs="Arial"/>
                <w:spacing w:val="-7"/>
                <w:sz w:val="15"/>
                <w:szCs w:val="15"/>
              </w:rPr>
              <w:t>Responsibility</w:t>
            </w:r>
          </w:p>
        </w:tc>
        <w:tc>
          <w:tcPr>
            <w:tcW w:w="2694" w:type="dxa"/>
            <w:vAlign w:val="top"/>
          </w:tcPr>
          <w:p>
            <w:pPr>
              <w:spacing w:before="47" w:line="181" w:lineRule="auto"/>
              <w:jc w:val="right"/>
              <w:rPr>
                <w:rFonts w:ascii="Arial" w:hAnsi="Arial" w:eastAsia="Arial" w:cs="Arial"/>
                <w:sz w:val="15"/>
                <w:szCs w:val="15"/>
              </w:rPr>
            </w:pPr>
            <w:r>
              <w:rPr>
                <w:rFonts w:ascii="Arial" w:hAnsi="Arial" w:eastAsia="Arial" w:cs="Arial"/>
                <w:spacing w:val="-12"/>
                <w:sz w:val="15"/>
                <w:szCs w:val="15"/>
              </w:rPr>
              <w:t>27</w:t>
            </w:r>
            <w:r>
              <w:rPr>
                <w:rFonts w:ascii="Arial" w:hAnsi="Arial" w:eastAsia="Arial" w:cs="Arial"/>
                <w:spacing w:val="20"/>
                <w:sz w:val="15"/>
                <w:szCs w:val="15"/>
              </w:rPr>
              <w:t xml:space="preserve"> </w:t>
            </w:r>
            <w:r>
              <w:rPr>
                <w:rFonts w:ascii="Arial" w:hAnsi="Arial" w:eastAsia="Arial" w:cs="Arial"/>
                <w:spacing w:val="-12"/>
                <w:sz w:val="15"/>
                <w:szCs w:val="15"/>
              </w:rPr>
              <w:t>(65</w:t>
            </w:r>
            <w:r>
              <w:rPr>
                <w:rFonts w:ascii="Arial" w:hAnsi="Arial" w:eastAsia="Arial" w:cs="Arial"/>
                <w:spacing w:val="-11"/>
                <w:sz w:val="15"/>
                <w:szCs w:val="15"/>
              </w:rPr>
              <w:t>.9</w:t>
            </w:r>
            <w:r>
              <w:rPr>
                <w:rFonts w:ascii="Arial" w:hAnsi="Arial" w:eastAsia="Arial" w:cs="Arial"/>
                <w:spacing w:val="-6"/>
                <w:sz w:val="15"/>
                <w:szCs w:val="1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4" w:hRule="atLeast"/>
        </w:trPr>
        <w:tc>
          <w:tcPr>
            <w:tcW w:w="3250" w:type="dxa"/>
            <w:vAlign w:val="top"/>
          </w:tcPr>
          <w:p>
            <w:pPr>
              <w:spacing w:before="26" w:line="192" w:lineRule="auto"/>
              <w:ind w:left="11"/>
              <w:rPr>
                <w:rFonts w:ascii="Arial" w:hAnsi="Arial" w:eastAsia="Arial" w:cs="Arial"/>
                <w:sz w:val="15"/>
                <w:szCs w:val="15"/>
              </w:rPr>
            </w:pPr>
            <w:r>
              <w:rPr>
                <w:rFonts w:ascii="Arial" w:hAnsi="Arial" w:eastAsia="Arial" w:cs="Arial"/>
                <w:spacing w:val="-7"/>
                <w:sz w:val="15"/>
                <w:szCs w:val="15"/>
              </w:rPr>
              <w:t>Recognition</w:t>
            </w:r>
          </w:p>
        </w:tc>
        <w:tc>
          <w:tcPr>
            <w:tcW w:w="2694" w:type="dxa"/>
            <w:vAlign w:val="top"/>
          </w:tcPr>
          <w:p>
            <w:pPr>
              <w:spacing w:before="23" w:line="181" w:lineRule="auto"/>
              <w:jc w:val="right"/>
              <w:rPr>
                <w:rFonts w:ascii="Arial" w:hAnsi="Arial" w:eastAsia="Arial" w:cs="Arial"/>
                <w:sz w:val="15"/>
                <w:szCs w:val="15"/>
              </w:rPr>
            </w:pPr>
            <w:r>
              <w:rPr>
                <w:rFonts w:ascii="Arial" w:hAnsi="Arial" w:eastAsia="Arial" w:cs="Arial"/>
                <w:spacing w:val="-12"/>
                <w:sz w:val="15"/>
                <w:szCs w:val="15"/>
              </w:rPr>
              <w:t>27</w:t>
            </w:r>
            <w:r>
              <w:rPr>
                <w:rFonts w:ascii="Arial" w:hAnsi="Arial" w:eastAsia="Arial" w:cs="Arial"/>
                <w:spacing w:val="20"/>
                <w:sz w:val="15"/>
                <w:szCs w:val="15"/>
              </w:rPr>
              <w:t xml:space="preserve"> </w:t>
            </w:r>
            <w:r>
              <w:rPr>
                <w:rFonts w:ascii="Arial" w:hAnsi="Arial" w:eastAsia="Arial" w:cs="Arial"/>
                <w:spacing w:val="-12"/>
                <w:sz w:val="15"/>
                <w:szCs w:val="15"/>
              </w:rPr>
              <w:t>(65</w:t>
            </w:r>
            <w:r>
              <w:rPr>
                <w:rFonts w:ascii="Arial" w:hAnsi="Arial" w:eastAsia="Arial" w:cs="Arial"/>
                <w:spacing w:val="-11"/>
                <w:sz w:val="15"/>
                <w:szCs w:val="15"/>
              </w:rPr>
              <w:t>.9</w:t>
            </w:r>
            <w:r>
              <w:rPr>
                <w:rFonts w:ascii="Arial" w:hAnsi="Arial" w:eastAsia="Arial" w:cs="Arial"/>
                <w:spacing w:val="-6"/>
                <w:sz w:val="15"/>
                <w:szCs w:val="1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9" w:hRule="atLeast"/>
        </w:trPr>
        <w:tc>
          <w:tcPr>
            <w:tcW w:w="3250" w:type="dxa"/>
            <w:tcBorders>
              <w:bottom w:val="single" w:color="282781" w:sz="4" w:space="0"/>
            </w:tcBorders>
            <w:vAlign w:val="top"/>
          </w:tcPr>
          <w:p>
            <w:pPr>
              <w:spacing w:before="25" w:line="203" w:lineRule="auto"/>
              <w:ind w:left="11"/>
              <w:rPr>
                <w:rFonts w:ascii="Arial" w:hAnsi="Arial" w:eastAsia="Arial" w:cs="Arial"/>
                <w:sz w:val="15"/>
                <w:szCs w:val="15"/>
              </w:rPr>
            </w:pPr>
            <w:r>
              <w:rPr>
                <w:rFonts w:ascii="Arial" w:hAnsi="Arial" w:eastAsia="Arial" w:cs="Arial"/>
                <w:spacing w:val="-4"/>
                <w:sz w:val="15"/>
                <w:szCs w:val="15"/>
              </w:rPr>
              <w:t>Information</w:t>
            </w:r>
          </w:p>
        </w:tc>
        <w:tc>
          <w:tcPr>
            <w:tcW w:w="2694" w:type="dxa"/>
            <w:tcBorders>
              <w:bottom w:val="single" w:color="282781" w:sz="4" w:space="0"/>
            </w:tcBorders>
            <w:vAlign w:val="top"/>
          </w:tcPr>
          <w:p>
            <w:pPr>
              <w:spacing w:before="28" w:line="181" w:lineRule="auto"/>
              <w:jc w:val="right"/>
              <w:rPr>
                <w:rFonts w:ascii="Arial" w:hAnsi="Arial" w:eastAsia="Arial" w:cs="Arial"/>
                <w:sz w:val="15"/>
                <w:szCs w:val="15"/>
              </w:rPr>
            </w:pPr>
            <w:r>
              <w:rPr>
                <w:rFonts w:ascii="Arial" w:hAnsi="Arial" w:eastAsia="Arial" w:cs="Arial"/>
                <w:spacing w:val="-12"/>
                <w:sz w:val="15"/>
                <w:szCs w:val="15"/>
              </w:rPr>
              <w:t>27</w:t>
            </w:r>
            <w:r>
              <w:rPr>
                <w:rFonts w:ascii="Arial" w:hAnsi="Arial" w:eastAsia="Arial" w:cs="Arial"/>
                <w:spacing w:val="20"/>
                <w:sz w:val="15"/>
                <w:szCs w:val="15"/>
              </w:rPr>
              <w:t xml:space="preserve"> </w:t>
            </w:r>
            <w:r>
              <w:rPr>
                <w:rFonts w:ascii="Arial" w:hAnsi="Arial" w:eastAsia="Arial" w:cs="Arial"/>
                <w:spacing w:val="-12"/>
                <w:sz w:val="15"/>
                <w:szCs w:val="15"/>
              </w:rPr>
              <w:t>(65</w:t>
            </w:r>
            <w:r>
              <w:rPr>
                <w:rFonts w:ascii="Arial" w:hAnsi="Arial" w:eastAsia="Arial" w:cs="Arial"/>
                <w:spacing w:val="-11"/>
                <w:sz w:val="15"/>
                <w:szCs w:val="15"/>
              </w:rPr>
              <w:t>.9</w:t>
            </w:r>
            <w:r>
              <w:rPr>
                <w:rFonts w:ascii="Arial" w:hAnsi="Arial" w:eastAsia="Arial" w:cs="Arial"/>
                <w:spacing w:val="-6"/>
                <w:sz w:val="15"/>
                <w:szCs w:val="15"/>
              </w:rPr>
              <w:t>)</w:t>
            </w:r>
          </w:p>
        </w:tc>
      </w:tr>
    </w:tbl>
    <w:p>
      <w:pPr>
        <w:rPr>
          <w:rFonts w:ascii="Arial"/>
          <w:sz w:val="21"/>
        </w:rPr>
      </w:pPr>
    </w:p>
    <w:p>
      <w:pPr>
        <w:rPr>
          <w:rFonts w:ascii="Arial" w:hAnsi="Arial" w:eastAsia="Arial" w:cs="Arial"/>
          <w:sz w:val="21"/>
          <w:szCs w:val="21"/>
        </w:rPr>
        <w:sectPr>
          <w:pgSz w:w="9865" w:h="14060"/>
          <w:pgMar w:top="400" w:right="959" w:bottom="400" w:left="961" w:header="0" w:footer="0" w:gutter="0"/>
          <w:cols w:space="720" w:num="1"/>
        </w:sectPr>
      </w:pPr>
    </w:p>
    <w:p>
      <w:pPr>
        <w:spacing w:line="82" w:lineRule="exact"/>
      </w:pPr>
      <w:r>
        <w:drawing>
          <wp:anchor distT="0" distB="0" distL="0" distR="0" simplePos="0" relativeHeight="251741184" behindDoc="0" locked="0" layoutInCell="0" allowOverlap="1">
            <wp:simplePos x="0" y="0"/>
            <wp:positionH relativeFrom="page">
              <wp:posOffset>755015</wp:posOffset>
            </wp:positionH>
            <wp:positionV relativeFrom="page">
              <wp:posOffset>319405</wp:posOffset>
            </wp:positionV>
            <wp:extent cx="139700" cy="13970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40"/>
                    <a:stretch>
                      <a:fillRect/>
                    </a:stretch>
                  </pic:blipFill>
                  <pic:spPr>
                    <a:xfrm>
                      <a:off x="0" y="0"/>
                      <a:ext cx="139700" cy="139700"/>
                    </a:xfrm>
                    <a:prstGeom prst="rect">
                      <a:avLst/>
                    </a:prstGeom>
                  </pic:spPr>
                </pic:pic>
              </a:graphicData>
            </a:graphic>
          </wp:anchor>
        </w:drawing>
      </w:r>
    </w:p>
    <w:p>
      <w:pPr>
        <w:spacing w:line="82" w:lineRule="exact"/>
        <w:sectPr>
          <w:pgSz w:w="9865" w:h="14060"/>
          <w:pgMar w:top="400" w:right="953" w:bottom="400" w:left="689" w:header="0" w:footer="0" w:gutter="0"/>
          <w:cols w:equalWidth="0" w:num="1">
            <w:col w:w="8223"/>
          </w:cols>
        </w:sectPr>
      </w:pPr>
    </w:p>
    <w:p>
      <w:pPr>
        <w:spacing w:before="78" w:line="192" w:lineRule="auto"/>
        <w:ind w:left="276"/>
        <w:rPr>
          <w:rFonts w:ascii="Arial" w:hAnsi="Arial" w:eastAsia="Arial" w:cs="Arial"/>
          <w:sz w:val="14"/>
          <w:szCs w:val="14"/>
        </w:rPr>
      </w:pPr>
      <w:bookmarkStart w:id="6" w:name="bookmark49"/>
      <w:bookmarkEnd w:id="6"/>
      <w:bookmarkStart w:id="7" w:name="bookmark50"/>
      <w:bookmarkEnd w:id="7"/>
      <w:r>
        <w:rPr>
          <w:rFonts w:ascii="Arial" w:hAnsi="Arial" w:eastAsia="Arial" w:cs="Arial"/>
          <w:sz w:val="14"/>
          <w:szCs w:val="14"/>
        </w:rPr>
        <w:t>6</w:t>
      </w:r>
    </w:p>
    <w:p>
      <w:pPr>
        <w:spacing w:line="34" w:lineRule="exact"/>
      </w:pPr>
    </w:p>
    <w:p>
      <w:pPr>
        <w:spacing w:line="14" w:lineRule="auto"/>
        <w:rPr>
          <w:rFonts w:ascii="Arial"/>
          <w:sz w:val="2"/>
        </w:rPr>
      </w:pPr>
      <w:r>
        <w:rPr>
          <w:rFonts w:ascii="Arial" w:hAnsi="Arial" w:eastAsia="Arial" w:cs="Arial"/>
          <w:sz w:val="2"/>
          <w:szCs w:val="2"/>
        </w:rPr>
        <w:br w:type="column"/>
      </w:r>
    </w:p>
    <w:p>
      <w:pPr>
        <w:spacing w:before="73" w:line="197" w:lineRule="auto"/>
        <w:rPr>
          <w:rFonts w:ascii="Arial" w:hAnsi="Arial" w:eastAsia="Arial" w:cs="Arial"/>
          <w:sz w:val="14"/>
          <w:szCs w:val="14"/>
        </w:rPr>
      </w:pPr>
      <w:r>
        <w:rPr>
          <w:rFonts w:ascii="Arial" w:hAnsi="Arial" w:eastAsia="Arial" w:cs="Arial"/>
          <w:spacing w:val="-7"/>
          <w:sz w:val="14"/>
          <w:szCs w:val="14"/>
        </w:rPr>
        <w:t>C.</w:t>
      </w:r>
      <w:r>
        <w:rPr>
          <w:rFonts w:ascii="Arial" w:hAnsi="Arial" w:eastAsia="Arial" w:cs="Arial"/>
          <w:spacing w:val="29"/>
          <w:w w:val="101"/>
          <w:sz w:val="14"/>
          <w:szCs w:val="14"/>
        </w:rPr>
        <w:t xml:space="preserve"> </w:t>
      </w:r>
      <w:r>
        <w:rPr>
          <w:rFonts w:ascii="Arial" w:hAnsi="Arial" w:eastAsia="Arial" w:cs="Arial"/>
          <w:spacing w:val="-7"/>
          <w:sz w:val="14"/>
          <w:szCs w:val="14"/>
        </w:rPr>
        <w:t>HILDESHEIM AND</w:t>
      </w:r>
      <w:r>
        <w:rPr>
          <w:rFonts w:ascii="Arial" w:hAnsi="Arial" w:eastAsia="Arial" w:cs="Arial"/>
          <w:spacing w:val="11"/>
          <w:w w:val="101"/>
          <w:sz w:val="14"/>
          <w:szCs w:val="14"/>
        </w:rPr>
        <w:t xml:space="preserve"> </w:t>
      </w:r>
      <w:r>
        <w:rPr>
          <w:rFonts w:ascii="Arial" w:hAnsi="Arial" w:eastAsia="Arial" w:cs="Arial"/>
          <w:spacing w:val="-7"/>
          <w:sz w:val="14"/>
          <w:szCs w:val="14"/>
        </w:rPr>
        <w:t>K. SONNTAG</w:t>
      </w:r>
    </w:p>
    <w:p>
      <w:pPr>
        <w:spacing w:line="197" w:lineRule="auto"/>
        <w:rPr>
          <w:rFonts w:ascii="Arial" w:hAnsi="Arial" w:eastAsia="Arial" w:cs="Arial"/>
          <w:sz w:val="14"/>
          <w:szCs w:val="14"/>
        </w:rPr>
        <w:sectPr>
          <w:type w:val="continuous"/>
          <w:pgSz w:w="9865" w:h="14060"/>
          <w:pgMar w:top="400" w:right="953" w:bottom="400" w:left="689" w:header="0" w:footer="0" w:gutter="0"/>
          <w:cols w:equalWidth="0" w:num="2">
            <w:col w:w="776" w:space="100"/>
            <w:col w:w="7347"/>
          </w:cols>
        </w:sectPr>
      </w:pPr>
    </w:p>
    <w:p>
      <w:pPr>
        <w:spacing w:line="340" w:lineRule="auto"/>
        <w:rPr>
          <w:rFonts w:ascii="Arial"/>
          <w:sz w:val="21"/>
        </w:rPr>
      </w:pPr>
    </w:p>
    <w:p>
      <w:pPr>
        <w:spacing w:line="5196" w:lineRule="exact"/>
        <w:ind w:firstLine="724"/>
      </w:pPr>
      <w:r>
        <w:rPr>
          <w:position w:val="-103"/>
        </w:rPr>
        <w:drawing>
          <wp:inline distT="0" distB="0" distL="0" distR="0">
            <wp:extent cx="4495165" cy="329946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41"/>
                    <a:stretch>
                      <a:fillRect/>
                    </a:stretch>
                  </pic:blipFill>
                  <pic:spPr>
                    <a:xfrm>
                      <a:off x="0" y="0"/>
                      <a:ext cx="4495672" cy="3299764"/>
                    </a:xfrm>
                    <a:prstGeom prst="rect">
                      <a:avLst/>
                    </a:prstGeom>
                  </pic:spPr>
                </pic:pic>
              </a:graphicData>
            </a:graphic>
          </wp:inline>
        </w:drawing>
      </w:r>
    </w:p>
    <w:p>
      <w:pPr>
        <w:spacing w:before="235" w:line="208" w:lineRule="auto"/>
        <w:ind w:left="281"/>
        <w:rPr>
          <w:rFonts w:ascii="Arial" w:hAnsi="Arial" w:eastAsia="Arial" w:cs="Arial"/>
          <w:sz w:val="15"/>
          <w:szCs w:val="15"/>
        </w:rPr>
      </w:pPr>
      <w:r>
        <w:rPr>
          <w:rFonts w:ascii="Arial" w:hAnsi="Arial" w:eastAsia="Arial" w:cs="Arial"/>
          <w:color w:val="282781"/>
          <w:spacing w:val="-6"/>
          <w:sz w:val="15"/>
          <w:szCs w:val="15"/>
        </w:rPr>
        <w:t>Figure</w:t>
      </w:r>
      <w:r>
        <w:rPr>
          <w:rFonts w:ascii="Arial" w:hAnsi="Arial" w:eastAsia="Arial" w:cs="Arial"/>
          <w:color w:val="282781"/>
          <w:spacing w:val="25"/>
          <w:w w:val="101"/>
          <w:sz w:val="15"/>
          <w:szCs w:val="15"/>
        </w:rPr>
        <w:t xml:space="preserve"> </w:t>
      </w:r>
      <w:r>
        <w:rPr>
          <w:rFonts w:ascii="Arial" w:hAnsi="Arial" w:eastAsia="Arial" w:cs="Arial"/>
          <w:color w:val="282781"/>
          <w:spacing w:val="-6"/>
          <w:sz w:val="15"/>
          <w:szCs w:val="15"/>
        </w:rPr>
        <w:t>1.</w:t>
      </w:r>
      <w:r>
        <w:rPr>
          <w:rFonts w:ascii="Arial" w:hAnsi="Arial" w:eastAsia="Arial" w:cs="Arial"/>
          <w:color w:val="282781"/>
          <w:spacing w:val="17"/>
          <w:w w:val="101"/>
          <w:sz w:val="15"/>
          <w:szCs w:val="15"/>
        </w:rPr>
        <w:t xml:space="preserve"> </w:t>
      </w:r>
      <w:r>
        <w:rPr>
          <w:rFonts w:ascii="Arial" w:hAnsi="Arial" w:eastAsia="Arial" w:cs="Arial"/>
          <w:spacing w:val="-6"/>
          <w:sz w:val="15"/>
          <w:szCs w:val="15"/>
        </w:rPr>
        <w:t>Final</w:t>
      </w:r>
      <w:r>
        <w:rPr>
          <w:rFonts w:ascii="Arial" w:hAnsi="Arial" w:eastAsia="Arial" w:cs="Arial"/>
          <w:spacing w:val="11"/>
          <w:w w:val="102"/>
          <w:sz w:val="15"/>
          <w:szCs w:val="15"/>
        </w:rPr>
        <w:t xml:space="preserve"> </w:t>
      </w:r>
      <w:r>
        <w:rPr>
          <w:rFonts w:ascii="Arial" w:hAnsi="Arial" w:eastAsia="Arial" w:cs="Arial"/>
          <w:spacing w:val="-6"/>
          <w:sz w:val="15"/>
          <w:szCs w:val="15"/>
        </w:rPr>
        <w:t>assessment</w:t>
      </w:r>
      <w:r>
        <w:rPr>
          <w:rFonts w:ascii="Arial" w:hAnsi="Arial" w:eastAsia="Arial" w:cs="Arial"/>
          <w:spacing w:val="17"/>
          <w:sz w:val="15"/>
          <w:szCs w:val="15"/>
        </w:rPr>
        <w:t xml:space="preserve"> </w:t>
      </w:r>
      <w:r>
        <w:rPr>
          <w:rFonts w:ascii="Arial" w:hAnsi="Arial" w:eastAsia="Arial" w:cs="Arial"/>
          <w:spacing w:val="-6"/>
          <w:sz w:val="15"/>
          <w:szCs w:val="15"/>
        </w:rPr>
        <w:t>model</w:t>
      </w:r>
      <w:r>
        <w:rPr>
          <w:rFonts w:ascii="Arial" w:hAnsi="Arial" w:eastAsia="Arial" w:cs="Arial"/>
          <w:spacing w:val="11"/>
          <w:sz w:val="15"/>
          <w:szCs w:val="15"/>
        </w:rPr>
        <w:t xml:space="preserve"> </w:t>
      </w:r>
      <w:r>
        <w:rPr>
          <w:rFonts w:ascii="Arial" w:hAnsi="Arial" w:eastAsia="Arial" w:cs="Arial"/>
          <w:spacing w:val="-6"/>
          <w:sz w:val="15"/>
          <w:szCs w:val="15"/>
        </w:rPr>
        <w:t>of quality</w:t>
      </w:r>
      <w:r>
        <w:rPr>
          <w:rFonts w:ascii="Arial" w:hAnsi="Arial" w:eastAsia="Arial" w:cs="Arial"/>
          <w:spacing w:val="11"/>
          <w:sz w:val="15"/>
          <w:szCs w:val="15"/>
        </w:rPr>
        <w:t xml:space="preserve"> </w:t>
      </w:r>
      <w:r>
        <w:rPr>
          <w:rFonts w:ascii="Arial" w:hAnsi="Arial" w:eastAsia="Arial" w:cs="Arial"/>
          <w:spacing w:val="-6"/>
          <w:sz w:val="15"/>
          <w:szCs w:val="15"/>
        </w:rPr>
        <w:t>culture.</w:t>
      </w:r>
    </w:p>
    <w:p>
      <w:pPr>
        <w:spacing w:line="354" w:lineRule="auto"/>
        <w:rPr>
          <w:rFonts w:ascii="Arial"/>
          <w:sz w:val="21"/>
        </w:rPr>
      </w:pPr>
    </w:p>
    <w:p>
      <w:pPr>
        <w:spacing w:before="55" w:line="260" w:lineRule="auto"/>
        <w:ind w:left="278" w:firstLine="232"/>
        <w:jc w:val="both"/>
        <w:rPr>
          <w:rFonts w:ascii="Arial" w:hAnsi="Arial" w:eastAsia="Arial" w:cs="Arial"/>
          <w:sz w:val="19"/>
          <w:szCs w:val="19"/>
        </w:rPr>
      </w:pPr>
      <w:r>
        <w:rPr>
          <w:rFonts w:ascii="Arial" w:hAnsi="Arial" w:eastAsia="Arial" w:cs="Arial"/>
          <w:spacing w:val="-6"/>
          <w:sz w:val="19"/>
          <w:szCs w:val="19"/>
        </w:rPr>
        <w:t>The organiz</w:t>
      </w:r>
      <w:r>
        <w:rPr>
          <w:rFonts w:ascii="Arial" w:hAnsi="Arial" w:eastAsia="Arial" w:cs="Arial"/>
          <w:spacing w:val="-5"/>
          <w:sz w:val="19"/>
          <w:szCs w:val="19"/>
        </w:rPr>
        <w:t>ational-psychological</w:t>
      </w:r>
      <w:r>
        <w:rPr>
          <w:rFonts w:ascii="Arial" w:hAnsi="Arial" w:eastAsia="Arial" w:cs="Arial"/>
          <w:spacing w:val="29"/>
          <w:w w:val="101"/>
          <w:sz w:val="19"/>
          <w:szCs w:val="19"/>
        </w:rPr>
        <w:t xml:space="preserve"> </w:t>
      </w:r>
      <w:r>
        <w:rPr>
          <w:rFonts w:ascii="Arial" w:hAnsi="Arial" w:eastAsia="Arial" w:cs="Arial"/>
          <w:spacing w:val="-5"/>
          <w:sz w:val="19"/>
          <w:szCs w:val="19"/>
        </w:rPr>
        <w:t>level</w:t>
      </w:r>
      <w:r>
        <w:rPr>
          <w:rFonts w:ascii="Arial" w:hAnsi="Arial" w:eastAsia="Arial" w:cs="Arial"/>
          <w:spacing w:val="10"/>
          <w:sz w:val="19"/>
          <w:szCs w:val="19"/>
        </w:rPr>
        <w:t xml:space="preserve"> </w:t>
      </w:r>
      <w:r>
        <w:rPr>
          <w:rFonts w:ascii="Arial" w:hAnsi="Arial" w:eastAsia="Arial" w:cs="Arial"/>
          <w:spacing w:val="-5"/>
          <w:sz w:val="19"/>
          <w:szCs w:val="19"/>
        </w:rPr>
        <w:t>is further described</w:t>
      </w:r>
      <w:r>
        <w:rPr>
          <w:rFonts w:ascii="Arial" w:hAnsi="Arial" w:eastAsia="Arial" w:cs="Arial"/>
          <w:spacing w:val="11"/>
          <w:sz w:val="19"/>
          <w:szCs w:val="19"/>
        </w:rPr>
        <w:t xml:space="preserve"> </w:t>
      </w:r>
      <w:r>
        <w:rPr>
          <w:rFonts w:ascii="Arial" w:hAnsi="Arial" w:eastAsia="Arial" w:cs="Arial"/>
          <w:spacing w:val="-5"/>
          <w:sz w:val="19"/>
          <w:szCs w:val="19"/>
        </w:rPr>
        <w:t>by collective and</w:t>
      </w:r>
      <w:r>
        <w:rPr>
          <w:rFonts w:ascii="Arial" w:hAnsi="Arial" w:eastAsia="Arial" w:cs="Arial"/>
          <w:spacing w:val="12"/>
          <w:sz w:val="19"/>
          <w:szCs w:val="19"/>
        </w:rPr>
        <w:t xml:space="preserve"> </w:t>
      </w:r>
      <w:r>
        <w:rPr>
          <w:rFonts w:ascii="Arial" w:hAnsi="Arial" w:eastAsia="Arial" w:cs="Arial"/>
          <w:spacing w:val="-5"/>
          <w:sz w:val="19"/>
          <w:szCs w:val="19"/>
        </w:rPr>
        <w:t>individual</w:t>
      </w:r>
      <w:r>
        <w:rPr>
          <w:rFonts w:ascii="Arial" w:hAnsi="Arial" w:eastAsia="Arial" w:cs="Arial"/>
          <w:spacing w:val="6"/>
          <w:sz w:val="19"/>
          <w:szCs w:val="19"/>
        </w:rPr>
        <w:t xml:space="preserve"> </w:t>
      </w:r>
      <w:r>
        <w:rPr>
          <w:rFonts w:ascii="Arial" w:hAnsi="Arial" w:eastAsia="Arial" w:cs="Arial"/>
          <w:spacing w:val="-5"/>
          <w:sz w:val="19"/>
          <w:szCs w:val="19"/>
        </w:rPr>
        <w:t>aspects</w:t>
      </w:r>
      <w:r>
        <w:rPr>
          <w:rFonts w:ascii="Arial" w:hAnsi="Arial" w:eastAsia="Arial" w:cs="Arial"/>
          <w:spacing w:val="6"/>
          <w:sz w:val="19"/>
          <w:szCs w:val="19"/>
        </w:rPr>
        <w:t xml:space="preserve"> </w:t>
      </w:r>
      <w:r>
        <w:rPr>
          <w:rFonts w:ascii="Arial" w:hAnsi="Arial" w:eastAsia="Arial" w:cs="Arial"/>
          <w:spacing w:val="-5"/>
          <w:sz w:val="19"/>
          <w:szCs w:val="19"/>
        </w:rPr>
        <w:t>o</w:t>
      </w:r>
      <w:r>
        <w:rPr>
          <w:rFonts w:ascii="Arial" w:hAnsi="Arial" w:eastAsia="Arial" w:cs="Arial"/>
          <w:spacing w:val="6"/>
          <w:sz w:val="19"/>
          <w:szCs w:val="19"/>
        </w:rPr>
        <w:t>f</w:t>
      </w:r>
      <w:r>
        <w:rPr>
          <w:rFonts w:ascii="Arial" w:hAnsi="Arial" w:eastAsia="Arial" w:cs="Arial"/>
          <w:sz w:val="19"/>
          <w:szCs w:val="19"/>
        </w:rPr>
        <w:t xml:space="preserve"> </w:t>
      </w:r>
      <w:r>
        <w:rPr>
          <w:rFonts w:ascii="Arial" w:hAnsi="Arial" w:eastAsia="Arial" w:cs="Arial"/>
          <w:spacing w:val="-4"/>
          <w:sz w:val="19"/>
          <w:szCs w:val="19"/>
        </w:rPr>
        <w:t>quality</w:t>
      </w:r>
      <w:r>
        <w:rPr>
          <w:rFonts w:ascii="Arial" w:hAnsi="Arial" w:eastAsia="Arial" w:cs="Arial"/>
          <w:spacing w:val="19"/>
          <w:sz w:val="19"/>
          <w:szCs w:val="19"/>
        </w:rPr>
        <w:t xml:space="preserve"> </w:t>
      </w:r>
      <w:r>
        <w:rPr>
          <w:rFonts w:ascii="Arial" w:hAnsi="Arial" w:eastAsia="Arial" w:cs="Arial"/>
          <w:spacing w:val="-4"/>
          <w:sz w:val="19"/>
          <w:szCs w:val="19"/>
        </w:rPr>
        <w:t>culture:</w:t>
      </w:r>
      <w:r>
        <w:rPr>
          <w:rFonts w:ascii="Arial" w:hAnsi="Arial" w:eastAsia="Arial" w:cs="Arial"/>
          <w:spacing w:val="18"/>
          <w:w w:val="101"/>
          <w:sz w:val="19"/>
          <w:szCs w:val="19"/>
        </w:rPr>
        <w:t xml:space="preserve"> </w:t>
      </w:r>
      <w:r>
        <w:rPr>
          <w:rFonts w:ascii="Arial" w:hAnsi="Arial" w:eastAsia="Arial" w:cs="Arial"/>
          <w:spacing w:val="-4"/>
          <w:sz w:val="19"/>
          <w:szCs w:val="19"/>
        </w:rPr>
        <w:t>On</w:t>
      </w:r>
      <w:r>
        <w:rPr>
          <w:rFonts w:ascii="Arial" w:hAnsi="Arial" w:eastAsia="Arial" w:cs="Arial"/>
          <w:spacing w:val="13"/>
          <w:w w:val="101"/>
          <w:sz w:val="19"/>
          <w:szCs w:val="19"/>
        </w:rPr>
        <w:t xml:space="preserve"> </w:t>
      </w:r>
      <w:r>
        <w:rPr>
          <w:rFonts w:ascii="Arial" w:hAnsi="Arial" w:eastAsia="Arial" w:cs="Arial"/>
          <w:spacing w:val="-4"/>
          <w:sz w:val="19"/>
          <w:szCs w:val="19"/>
        </w:rPr>
        <w:t>the</w:t>
      </w:r>
      <w:r>
        <w:rPr>
          <w:rFonts w:ascii="Arial" w:hAnsi="Arial" w:eastAsia="Arial" w:cs="Arial"/>
          <w:spacing w:val="22"/>
          <w:sz w:val="19"/>
          <w:szCs w:val="19"/>
        </w:rPr>
        <w:t xml:space="preserve"> </w:t>
      </w:r>
      <w:r>
        <w:rPr>
          <w:rFonts w:ascii="Arial" w:hAnsi="Arial" w:eastAsia="Arial" w:cs="Arial"/>
          <w:spacing w:val="-4"/>
          <w:sz w:val="19"/>
          <w:szCs w:val="19"/>
        </w:rPr>
        <w:t>individu</w:t>
      </w:r>
      <w:r>
        <w:rPr>
          <w:rFonts w:ascii="Arial" w:hAnsi="Arial" w:eastAsia="Arial" w:cs="Arial"/>
          <w:spacing w:val="-5"/>
          <w:sz w:val="19"/>
          <w:szCs w:val="19"/>
        </w:rPr>
        <w:t>al</w:t>
      </w:r>
      <w:r>
        <w:rPr>
          <w:rFonts w:ascii="Arial" w:hAnsi="Arial" w:eastAsia="Arial" w:cs="Arial"/>
          <w:spacing w:val="25"/>
          <w:sz w:val="19"/>
          <w:szCs w:val="19"/>
        </w:rPr>
        <w:t xml:space="preserve"> </w:t>
      </w:r>
      <w:r>
        <w:rPr>
          <w:rFonts w:ascii="Arial" w:hAnsi="Arial" w:eastAsia="Arial" w:cs="Arial"/>
          <w:spacing w:val="-5"/>
          <w:sz w:val="19"/>
          <w:szCs w:val="19"/>
        </w:rPr>
        <w:t>level,</w:t>
      </w:r>
      <w:r>
        <w:rPr>
          <w:rFonts w:ascii="Arial" w:hAnsi="Arial" w:eastAsia="Arial" w:cs="Arial"/>
          <w:spacing w:val="18"/>
          <w:w w:val="101"/>
          <w:sz w:val="19"/>
          <w:szCs w:val="19"/>
        </w:rPr>
        <w:t xml:space="preserve"> </w:t>
      </w:r>
      <w:r>
        <w:rPr>
          <w:rFonts w:ascii="Arial" w:hAnsi="Arial" w:eastAsia="Arial" w:cs="Arial"/>
          <w:spacing w:val="-5"/>
          <w:sz w:val="19"/>
          <w:szCs w:val="19"/>
        </w:rPr>
        <w:t>quality</w:t>
      </w:r>
      <w:r>
        <w:rPr>
          <w:rFonts w:ascii="Arial" w:hAnsi="Arial" w:eastAsia="Arial" w:cs="Arial"/>
          <w:spacing w:val="17"/>
          <w:w w:val="101"/>
          <w:sz w:val="19"/>
          <w:szCs w:val="19"/>
        </w:rPr>
        <w:t xml:space="preserve"> </w:t>
      </w:r>
      <w:r>
        <w:rPr>
          <w:rFonts w:ascii="Arial" w:hAnsi="Arial" w:eastAsia="Arial" w:cs="Arial"/>
          <w:spacing w:val="-5"/>
          <w:sz w:val="19"/>
          <w:szCs w:val="19"/>
        </w:rPr>
        <w:t>culture</w:t>
      </w:r>
      <w:r>
        <w:rPr>
          <w:rFonts w:ascii="Arial" w:hAnsi="Arial" w:eastAsia="Arial" w:cs="Arial"/>
          <w:spacing w:val="23"/>
          <w:sz w:val="19"/>
          <w:szCs w:val="19"/>
        </w:rPr>
        <w:t xml:space="preserve"> </w:t>
      </w:r>
      <w:r>
        <w:rPr>
          <w:rFonts w:ascii="Arial" w:hAnsi="Arial" w:eastAsia="Arial" w:cs="Arial"/>
          <w:spacing w:val="-5"/>
          <w:sz w:val="19"/>
          <w:szCs w:val="19"/>
        </w:rPr>
        <w:t>is</w:t>
      </w:r>
      <w:r>
        <w:rPr>
          <w:rFonts w:ascii="Arial" w:hAnsi="Arial" w:eastAsia="Arial" w:cs="Arial"/>
          <w:spacing w:val="17"/>
          <w:sz w:val="19"/>
          <w:szCs w:val="19"/>
        </w:rPr>
        <w:t xml:space="preserve"> </w:t>
      </w:r>
      <w:r>
        <w:rPr>
          <w:rFonts w:ascii="Arial" w:hAnsi="Arial" w:eastAsia="Arial" w:cs="Arial"/>
          <w:spacing w:val="-5"/>
          <w:sz w:val="19"/>
          <w:szCs w:val="19"/>
        </w:rPr>
        <w:t>expressed</w:t>
      </w:r>
      <w:r>
        <w:rPr>
          <w:rFonts w:ascii="Arial" w:hAnsi="Arial" w:eastAsia="Arial" w:cs="Arial"/>
          <w:spacing w:val="25"/>
          <w:w w:val="101"/>
          <w:sz w:val="19"/>
          <w:szCs w:val="19"/>
        </w:rPr>
        <w:t xml:space="preserve"> </w:t>
      </w:r>
      <w:r>
        <w:rPr>
          <w:rFonts w:ascii="Arial" w:hAnsi="Arial" w:eastAsia="Arial" w:cs="Arial"/>
          <w:spacing w:val="-5"/>
          <w:sz w:val="19"/>
          <w:szCs w:val="19"/>
        </w:rPr>
        <w:t>by</w:t>
      </w:r>
      <w:r>
        <w:rPr>
          <w:rFonts w:ascii="Arial" w:hAnsi="Arial" w:eastAsia="Arial" w:cs="Arial"/>
          <w:spacing w:val="13"/>
          <w:w w:val="101"/>
          <w:sz w:val="19"/>
          <w:szCs w:val="19"/>
        </w:rPr>
        <w:t xml:space="preserve"> </w:t>
      </w:r>
      <w:r>
        <w:rPr>
          <w:rFonts w:ascii="Arial" w:hAnsi="Arial" w:eastAsia="Arial" w:cs="Arial"/>
          <w:spacing w:val="-5"/>
          <w:sz w:val="19"/>
          <w:szCs w:val="19"/>
        </w:rPr>
        <w:t>the</w:t>
      </w:r>
      <w:r>
        <w:rPr>
          <w:rFonts w:ascii="Arial" w:hAnsi="Arial" w:eastAsia="Arial" w:cs="Arial"/>
          <w:spacing w:val="22"/>
          <w:sz w:val="19"/>
          <w:szCs w:val="19"/>
        </w:rPr>
        <w:t xml:space="preserve"> </w:t>
      </w:r>
      <w:r>
        <w:rPr>
          <w:rFonts w:ascii="Arial" w:hAnsi="Arial" w:eastAsia="Arial" w:cs="Arial"/>
          <w:spacing w:val="-5"/>
          <w:sz w:val="19"/>
          <w:szCs w:val="19"/>
        </w:rPr>
        <w:t>individual</w:t>
      </w:r>
      <w:r>
        <w:rPr>
          <w:rFonts w:ascii="Arial" w:hAnsi="Arial" w:eastAsia="Arial" w:cs="Arial"/>
          <w:spacing w:val="18"/>
          <w:sz w:val="19"/>
          <w:szCs w:val="19"/>
        </w:rPr>
        <w:t xml:space="preserve"> </w:t>
      </w:r>
      <w:r>
        <w:rPr>
          <w:rFonts w:ascii="Arial" w:hAnsi="Arial" w:eastAsia="Arial" w:cs="Arial"/>
          <w:spacing w:val="-5"/>
          <w:sz w:val="19"/>
          <w:szCs w:val="19"/>
        </w:rPr>
        <w:t>commitment,</w:t>
      </w:r>
      <w:r>
        <w:rPr>
          <w:rFonts w:ascii="Arial" w:hAnsi="Arial" w:eastAsia="Arial" w:cs="Arial"/>
          <w:sz w:val="19"/>
          <w:szCs w:val="19"/>
        </w:rPr>
        <w:t xml:space="preserve"> </w:t>
      </w:r>
      <w:r>
        <w:rPr>
          <w:rFonts w:ascii="Arial" w:hAnsi="Arial" w:eastAsia="Arial" w:cs="Arial"/>
          <w:spacing w:val="-6"/>
          <w:sz w:val="19"/>
          <w:szCs w:val="19"/>
        </w:rPr>
        <w:t>responsibility,  and  engagement  towards</w:t>
      </w:r>
      <w:r>
        <w:rPr>
          <w:rFonts w:ascii="Arial" w:hAnsi="Arial" w:eastAsia="Arial" w:cs="Arial"/>
          <w:spacing w:val="4"/>
          <w:sz w:val="19"/>
          <w:szCs w:val="19"/>
        </w:rPr>
        <w:t xml:space="preserve">  </w:t>
      </w:r>
      <w:r>
        <w:rPr>
          <w:rFonts w:ascii="Arial" w:hAnsi="Arial" w:eastAsia="Arial" w:cs="Arial"/>
          <w:spacing w:val="-6"/>
          <w:sz w:val="19"/>
          <w:szCs w:val="19"/>
        </w:rPr>
        <w:t>quality</w:t>
      </w:r>
      <w:r>
        <w:rPr>
          <w:rFonts w:ascii="Arial" w:hAnsi="Arial" w:eastAsia="Arial" w:cs="Arial"/>
          <w:spacing w:val="6"/>
          <w:sz w:val="19"/>
          <w:szCs w:val="19"/>
        </w:rPr>
        <w:t xml:space="preserve">  </w:t>
      </w:r>
      <w:r>
        <w:rPr>
          <w:rFonts w:ascii="Arial" w:hAnsi="Arial" w:eastAsia="Arial" w:cs="Arial"/>
          <w:spacing w:val="-6"/>
          <w:sz w:val="19"/>
          <w:szCs w:val="19"/>
        </w:rPr>
        <w:t>(e.g.</w:t>
      </w:r>
      <w:r>
        <w:rPr>
          <w:rFonts w:ascii="Arial" w:hAnsi="Arial" w:eastAsia="Arial" w:cs="Arial"/>
          <w:spacing w:val="2"/>
          <w:sz w:val="19"/>
          <w:szCs w:val="19"/>
        </w:rPr>
        <w:t xml:space="preserve">  </w:t>
      </w:r>
      <w:r>
        <w:rPr>
          <w:rFonts w:ascii="Arial" w:hAnsi="Arial" w:eastAsia="Arial" w:cs="Arial"/>
          <w:spacing w:val="-6"/>
          <w:sz w:val="19"/>
          <w:szCs w:val="19"/>
        </w:rPr>
        <w:t>Ali</w:t>
      </w:r>
      <w:r>
        <w:rPr>
          <w:rFonts w:ascii="Arial" w:hAnsi="Arial" w:eastAsia="Arial" w:cs="Arial"/>
          <w:spacing w:val="3"/>
          <w:sz w:val="19"/>
          <w:szCs w:val="19"/>
        </w:rPr>
        <w:t xml:space="preserve">  </w:t>
      </w:r>
      <w:r>
        <w:rPr>
          <w:rFonts w:ascii="Arial" w:hAnsi="Arial" w:eastAsia="Arial" w:cs="Arial"/>
          <w:spacing w:val="-6"/>
          <w:sz w:val="19"/>
          <w:szCs w:val="19"/>
        </w:rPr>
        <w:t>and</w:t>
      </w:r>
      <w:r>
        <w:rPr>
          <w:rFonts w:ascii="Arial" w:hAnsi="Arial" w:eastAsia="Arial" w:cs="Arial"/>
          <w:spacing w:val="6"/>
          <w:sz w:val="19"/>
          <w:szCs w:val="19"/>
        </w:rPr>
        <w:t xml:space="preserve">  </w:t>
      </w:r>
      <w:r>
        <w:rPr>
          <w:rFonts w:ascii="Arial" w:hAnsi="Arial" w:eastAsia="Arial" w:cs="Arial"/>
          <w:spacing w:val="-6"/>
          <w:sz w:val="19"/>
          <w:szCs w:val="19"/>
        </w:rPr>
        <w:t xml:space="preserve">Musah  </w:t>
      </w:r>
      <w:r>
        <w:fldChar w:fldCharType="begin"/>
      </w:r>
      <w:r>
        <w:instrText xml:space="preserve"> HYPERLINK \l "bookmark57" </w:instrText>
      </w:r>
      <w:r>
        <w:fldChar w:fldCharType="separate"/>
      </w:r>
      <w:r>
        <w:rPr>
          <w:rFonts w:ascii="Arial" w:hAnsi="Arial" w:eastAsia="Arial" w:cs="Arial"/>
          <w:color w:val="000084"/>
          <w:spacing w:val="-6"/>
          <w:sz w:val="19"/>
          <w:szCs w:val="19"/>
        </w:rPr>
        <w:t>2012</w:t>
      </w:r>
      <w:r>
        <w:rPr>
          <w:rFonts w:ascii="Arial" w:hAnsi="Arial" w:eastAsia="Arial" w:cs="Arial"/>
          <w:color w:val="000084"/>
          <w:spacing w:val="-6"/>
          <w:sz w:val="19"/>
          <w:szCs w:val="19"/>
        </w:rPr>
        <w:fldChar w:fldCharType="end"/>
      </w:r>
      <w:r>
        <w:rPr>
          <w:rFonts w:ascii="Arial" w:hAnsi="Arial" w:eastAsia="Arial" w:cs="Arial"/>
          <w:spacing w:val="-6"/>
          <w:sz w:val="19"/>
          <w:szCs w:val="19"/>
        </w:rPr>
        <w:t>;</w:t>
      </w:r>
      <w:r>
        <w:rPr>
          <w:rFonts w:ascii="Arial" w:hAnsi="Arial" w:eastAsia="Arial" w:cs="Arial"/>
          <w:spacing w:val="2"/>
          <w:sz w:val="19"/>
          <w:szCs w:val="19"/>
        </w:rPr>
        <w:t xml:space="preserve">  </w:t>
      </w:r>
      <w:r>
        <w:rPr>
          <w:rFonts w:ascii="Arial" w:hAnsi="Arial" w:eastAsia="Arial" w:cs="Arial"/>
          <w:spacing w:val="-6"/>
          <w:sz w:val="19"/>
          <w:szCs w:val="19"/>
        </w:rPr>
        <w:t>Gva</w:t>
      </w:r>
      <w:r>
        <w:rPr>
          <w:rFonts w:ascii="Arial" w:hAnsi="Arial" w:eastAsia="Arial" w:cs="Arial"/>
          <w:spacing w:val="-7"/>
          <w:sz w:val="19"/>
          <w:szCs w:val="19"/>
        </w:rPr>
        <w:t>ramadze</w:t>
      </w:r>
      <w:r>
        <w:rPr>
          <w:rFonts w:ascii="Arial" w:hAnsi="Arial" w:eastAsia="Arial" w:cs="Arial"/>
          <w:spacing w:val="53"/>
          <w:sz w:val="19"/>
          <w:szCs w:val="19"/>
        </w:rPr>
        <w:t xml:space="preserve"> </w:t>
      </w:r>
      <w:r>
        <w:fldChar w:fldCharType="begin"/>
      </w:r>
      <w:r>
        <w:instrText xml:space="preserve"> HYPERLINK \l "bookmark58" </w:instrText>
      </w:r>
      <w:r>
        <w:fldChar w:fldCharType="separate"/>
      </w:r>
      <w:r>
        <w:rPr>
          <w:rFonts w:ascii="Arial" w:hAnsi="Arial" w:eastAsia="Arial" w:cs="Arial"/>
          <w:color w:val="000084"/>
          <w:spacing w:val="-7"/>
          <w:sz w:val="19"/>
          <w:szCs w:val="19"/>
        </w:rPr>
        <w:t>2008</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z w:val="19"/>
          <w:szCs w:val="19"/>
        </w:rPr>
        <w:t xml:space="preserve"> </w:t>
      </w:r>
      <w:r>
        <w:rPr>
          <w:rFonts w:ascii="Arial" w:hAnsi="Arial" w:eastAsia="Arial" w:cs="Arial"/>
          <w:spacing w:val="-9"/>
          <w:sz w:val="19"/>
          <w:szCs w:val="19"/>
        </w:rPr>
        <w:t>Harvey</w:t>
      </w:r>
      <w:r>
        <w:rPr>
          <w:rFonts w:ascii="Arial" w:hAnsi="Arial" w:eastAsia="Arial" w:cs="Arial"/>
          <w:spacing w:val="21"/>
          <w:sz w:val="19"/>
          <w:szCs w:val="19"/>
        </w:rPr>
        <w:t xml:space="preserve"> </w:t>
      </w:r>
      <w:r>
        <w:rPr>
          <w:rFonts w:ascii="Arial" w:hAnsi="Arial" w:eastAsia="Arial" w:cs="Arial"/>
          <w:spacing w:val="-9"/>
          <w:sz w:val="19"/>
          <w:szCs w:val="19"/>
        </w:rPr>
        <w:t>and</w:t>
      </w:r>
      <w:r>
        <w:rPr>
          <w:rFonts w:ascii="Arial" w:hAnsi="Arial" w:eastAsia="Arial" w:cs="Arial"/>
          <w:spacing w:val="19"/>
          <w:w w:val="101"/>
          <w:sz w:val="19"/>
          <w:szCs w:val="19"/>
        </w:rPr>
        <w:t xml:space="preserve"> </w:t>
      </w:r>
      <w:r>
        <w:rPr>
          <w:rFonts w:ascii="Arial" w:hAnsi="Arial" w:eastAsia="Arial" w:cs="Arial"/>
          <w:spacing w:val="-9"/>
          <w:sz w:val="19"/>
          <w:szCs w:val="19"/>
        </w:rPr>
        <w:t>Stensaker</w:t>
      </w:r>
      <w:r>
        <w:rPr>
          <w:rFonts w:ascii="Arial" w:hAnsi="Arial" w:eastAsia="Arial" w:cs="Arial"/>
          <w:spacing w:val="12"/>
          <w:sz w:val="19"/>
          <w:szCs w:val="19"/>
        </w:rPr>
        <w:t xml:space="preserve"> </w:t>
      </w:r>
      <w:r>
        <w:fldChar w:fldCharType="begin"/>
      </w:r>
      <w:r>
        <w:instrText xml:space="preserve"> HYPERLINK \l "bookmark59" </w:instrText>
      </w:r>
      <w:r>
        <w:fldChar w:fldCharType="separate"/>
      </w:r>
      <w:r>
        <w:rPr>
          <w:rFonts w:ascii="Arial" w:hAnsi="Arial" w:eastAsia="Arial" w:cs="Arial"/>
          <w:color w:val="000084"/>
          <w:spacing w:val="-9"/>
          <w:sz w:val="19"/>
          <w:szCs w:val="19"/>
        </w:rPr>
        <w:t>2008</w:t>
      </w:r>
      <w:r>
        <w:rPr>
          <w:rFonts w:ascii="Arial" w:hAnsi="Arial" w:eastAsia="Arial" w:cs="Arial"/>
          <w:color w:val="000084"/>
          <w:spacing w:val="-9"/>
          <w:sz w:val="19"/>
          <w:szCs w:val="19"/>
        </w:rPr>
        <w:fldChar w:fldCharType="end"/>
      </w:r>
      <w:r>
        <w:rPr>
          <w:rFonts w:ascii="Arial" w:hAnsi="Arial" w:eastAsia="Arial" w:cs="Arial"/>
          <w:spacing w:val="-9"/>
          <w:sz w:val="19"/>
          <w:szCs w:val="19"/>
        </w:rPr>
        <w:t>).</w:t>
      </w:r>
      <w:r>
        <w:rPr>
          <w:rFonts w:ascii="Arial" w:hAnsi="Arial" w:eastAsia="Arial" w:cs="Arial"/>
          <w:spacing w:val="19"/>
          <w:w w:val="101"/>
          <w:sz w:val="19"/>
          <w:szCs w:val="19"/>
        </w:rPr>
        <w:t xml:space="preserve"> </w:t>
      </w:r>
      <w:r>
        <w:rPr>
          <w:rFonts w:ascii="Arial" w:hAnsi="Arial" w:eastAsia="Arial" w:cs="Arial"/>
          <w:spacing w:val="-9"/>
          <w:sz w:val="19"/>
          <w:szCs w:val="19"/>
        </w:rPr>
        <w:t>On</w:t>
      </w:r>
      <w:r>
        <w:rPr>
          <w:rFonts w:ascii="Arial" w:hAnsi="Arial" w:eastAsia="Arial" w:cs="Arial"/>
          <w:spacing w:val="15"/>
          <w:w w:val="101"/>
          <w:sz w:val="19"/>
          <w:szCs w:val="19"/>
        </w:rPr>
        <w:t xml:space="preserve"> </w:t>
      </w:r>
      <w:r>
        <w:rPr>
          <w:rFonts w:ascii="Arial" w:hAnsi="Arial" w:eastAsia="Arial" w:cs="Arial"/>
          <w:spacing w:val="-9"/>
          <w:sz w:val="19"/>
          <w:szCs w:val="19"/>
        </w:rPr>
        <w:t>the</w:t>
      </w:r>
      <w:r>
        <w:rPr>
          <w:rFonts w:ascii="Arial" w:hAnsi="Arial" w:eastAsia="Arial" w:cs="Arial"/>
          <w:spacing w:val="20"/>
          <w:sz w:val="19"/>
          <w:szCs w:val="19"/>
        </w:rPr>
        <w:t xml:space="preserve"> </w:t>
      </w:r>
      <w:r>
        <w:rPr>
          <w:rFonts w:ascii="Arial" w:hAnsi="Arial" w:eastAsia="Arial" w:cs="Arial"/>
          <w:spacing w:val="-9"/>
          <w:sz w:val="19"/>
          <w:szCs w:val="19"/>
        </w:rPr>
        <w:t>collective</w:t>
      </w:r>
      <w:r>
        <w:rPr>
          <w:rFonts w:ascii="Arial" w:hAnsi="Arial" w:eastAsia="Arial" w:cs="Arial"/>
          <w:spacing w:val="26"/>
          <w:w w:val="101"/>
          <w:sz w:val="19"/>
          <w:szCs w:val="19"/>
        </w:rPr>
        <w:t xml:space="preserve"> </w:t>
      </w:r>
      <w:r>
        <w:rPr>
          <w:rFonts w:ascii="Arial" w:hAnsi="Arial" w:eastAsia="Arial" w:cs="Arial"/>
          <w:spacing w:val="-9"/>
          <w:sz w:val="19"/>
          <w:szCs w:val="19"/>
        </w:rPr>
        <w:t>level,</w:t>
      </w:r>
      <w:r>
        <w:rPr>
          <w:rFonts w:ascii="Arial" w:hAnsi="Arial" w:eastAsia="Arial" w:cs="Arial"/>
          <w:spacing w:val="19"/>
          <w:w w:val="101"/>
          <w:sz w:val="19"/>
          <w:szCs w:val="19"/>
        </w:rPr>
        <w:t xml:space="preserve"> </w:t>
      </w:r>
      <w:r>
        <w:rPr>
          <w:rFonts w:ascii="Arial" w:hAnsi="Arial" w:eastAsia="Arial" w:cs="Arial"/>
          <w:spacing w:val="-9"/>
          <w:sz w:val="19"/>
          <w:szCs w:val="19"/>
        </w:rPr>
        <w:t>shared</w:t>
      </w:r>
      <w:r>
        <w:rPr>
          <w:rFonts w:ascii="Arial" w:hAnsi="Arial" w:eastAsia="Arial" w:cs="Arial"/>
          <w:spacing w:val="15"/>
          <w:w w:val="101"/>
          <w:sz w:val="19"/>
          <w:szCs w:val="19"/>
        </w:rPr>
        <w:t xml:space="preserve"> </w:t>
      </w:r>
      <w:r>
        <w:rPr>
          <w:rFonts w:ascii="Arial" w:hAnsi="Arial" w:eastAsia="Arial" w:cs="Arial"/>
          <w:spacing w:val="-9"/>
          <w:sz w:val="19"/>
          <w:szCs w:val="19"/>
        </w:rPr>
        <w:t>values</w:t>
      </w:r>
      <w:r>
        <w:rPr>
          <w:rFonts w:ascii="Arial" w:hAnsi="Arial" w:eastAsia="Arial" w:cs="Arial"/>
          <w:spacing w:val="24"/>
          <w:w w:val="101"/>
          <w:sz w:val="19"/>
          <w:szCs w:val="19"/>
        </w:rPr>
        <w:t xml:space="preserve"> </w:t>
      </w:r>
      <w:r>
        <w:rPr>
          <w:rFonts w:ascii="Arial" w:hAnsi="Arial" w:eastAsia="Arial" w:cs="Arial"/>
          <w:spacing w:val="-9"/>
          <w:sz w:val="19"/>
          <w:szCs w:val="19"/>
        </w:rPr>
        <w:t>(e.g.</w:t>
      </w:r>
      <w:r>
        <w:rPr>
          <w:rFonts w:ascii="Arial" w:hAnsi="Arial" w:eastAsia="Arial" w:cs="Arial"/>
          <w:spacing w:val="27"/>
          <w:sz w:val="19"/>
          <w:szCs w:val="19"/>
        </w:rPr>
        <w:t xml:space="preserve"> </w:t>
      </w:r>
      <w:r>
        <w:rPr>
          <w:rFonts w:ascii="Arial" w:hAnsi="Arial" w:eastAsia="Arial" w:cs="Arial"/>
          <w:spacing w:val="-9"/>
          <w:sz w:val="19"/>
          <w:szCs w:val="19"/>
        </w:rPr>
        <w:t>Ehlers</w:t>
      </w:r>
      <w:r>
        <w:rPr>
          <w:rFonts w:ascii="Arial" w:hAnsi="Arial" w:eastAsia="Arial" w:cs="Arial"/>
          <w:spacing w:val="11"/>
          <w:sz w:val="19"/>
          <w:szCs w:val="19"/>
        </w:rPr>
        <w:t xml:space="preserve"> </w:t>
      </w:r>
      <w:r>
        <w:fldChar w:fldCharType="begin"/>
      </w:r>
      <w:r>
        <w:instrText xml:space="preserve"> HYPERLINK \l "bookmark60" </w:instrText>
      </w:r>
      <w:r>
        <w:fldChar w:fldCharType="separate"/>
      </w:r>
      <w:r>
        <w:rPr>
          <w:rFonts w:ascii="Arial" w:hAnsi="Arial" w:eastAsia="Arial" w:cs="Arial"/>
          <w:color w:val="000084"/>
          <w:spacing w:val="-9"/>
          <w:sz w:val="19"/>
          <w:szCs w:val="19"/>
        </w:rPr>
        <w:t>2009</w:t>
      </w:r>
      <w:r>
        <w:rPr>
          <w:rFonts w:ascii="Arial" w:hAnsi="Arial" w:eastAsia="Arial" w:cs="Arial"/>
          <w:color w:val="000084"/>
          <w:spacing w:val="-9"/>
          <w:sz w:val="19"/>
          <w:szCs w:val="19"/>
        </w:rPr>
        <w:fldChar w:fldCharType="end"/>
      </w:r>
      <w:r>
        <w:rPr>
          <w:rFonts w:ascii="Arial" w:hAnsi="Arial" w:eastAsia="Arial" w:cs="Arial"/>
          <w:spacing w:val="-9"/>
          <w:sz w:val="19"/>
          <w:szCs w:val="19"/>
        </w:rPr>
        <w:t>;</w:t>
      </w:r>
      <w:r>
        <w:rPr>
          <w:rFonts w:ascii="Arial" w:hAnsi="Arial" w:eastAsia="Arial" w:cs="Arial"/>
          <w:spacing w:val="19"/>
          <w:sz w:val="19"/>
          <w:szCs w:val="19"/>
        </w:rPr>
        <w:t xml:space="preserve"> </w:t>
      </w:r>
      <w:r>
        <w:rPr>
          <w:rFonts w:ascii="Arial" w:hAnsi="Arial" w:eastAsia="Arial" w:cs="Arial"/>
          <w:spacing w:val="-9"/>
          <w:sz w:val="19"/>
          <w:szCs w:val="19"/>
        </w:rPr>
        <w:t>Gordon</w:t>
      </w:r>
      <w:r>
        <w:rPr>
          <w:rFonts w:ascii="Arial" w:hAnsi="Arial" w:eastAsia="Arial" w:cs="Arial"/>
          <w:spacing w:val="13"/>
          <w:sz w:val="19"/>
          <w:szCs w:val="19"/>
        </w:rPr>
        <w:t xml:space="preserve"> </w:t>
      </w:r>
      <w:r>
        <w:fldChar w:fldCharType="begin"/>
      </w:r>
      <w:r>
        <w:instrText xml:space="preserve"> HYPERLINK \l "bookmark61" </w:instrText>
      </w:r>
      <w:r>
        <w:fldChar w:fldCharType="separate"/>
      </w:r>
      <w:r>
        <w:rPr>
          <w:rFonts w:ascii="Arial" w:hAnsi="Arial" w:eastAsia="Arial" w:cs="Arial"/>
          <w:color w:val="000084"/>
          <w:spacing w:val="-9"/>
          <w:sz w:val="19"/>
          <w:szCs w:val="19"/>
        </w:rPr>
        <w:t>2002</w:t>
      </w:r>
      <w:r>
        <w:rPr>
          <w:rFonts w:ascii="Arial" w:hAnsi="Arial" w:eastAsia="Arial" w:cs="Arial"/>
          <w:color w:val="000084"/>
          <w:spacing w:val="-9"/>
          <w:sz w:val="19"/>
          <w:szCs w:val="19"/>
        </w:rPr>
        <w:fldChar w:fldCharType="end"/>
      </w:r>
      <w:r>
        <w:rPr>
          <w:rFonts w:ascii="Arial" w:hAnsi="Arial" w:eastAsia="Arial" w:cs="Arial"/>
          <w:spacing w:val="-9"/>
          <w:sz w:val="19"/>
          <w:szCs w:val="19"/>
        </w:rPr>
        <w:t>;</w:t>
      </w:r>
      <w:r>
        <w:rPr>
          <w:rFonts w:ascii="Arial" w:hAnsi="Arial" w:eastAsia="Arial" w:cs="Arial"/>
          <w:sz w:val="19"/>
          <w:szCs w:val="19"/>
        </w:rPr>
        <w:t xml:space="preserve"> </w:t>
      </w:r>
      <w:r>
        <w:rPr>
          <w:rFonts w:ascii="Arial" w:hAnsi="Arial" w:eastAsia="Arial" w:cs="Arial"/>
          <w:spacing w:val="-9"/>
          <w:sz w:val="19"/>
          <w:szCs w:val="19"/>
        </w:rPr>
        <w:t>Harvey</w:t>
      </w:r>
      <w:r>
        <w:rPr>
          <w:rFonts w:ascii="Arial" w:hAnsi="Arial" w:eastAsia="Arial" w:cs="Arial"/>
          <w:spacing w:val="34"/>
          <w:sz w:val="19"/>
          <w:szCs w:val="19"/>
        </w:rPr>
        <w:t xml:space="preserve"> </w:t>
      </w:r>
      <w:r>
        <w:rPr>
          <w:rFonts w:ascii="Arial" w:hAnsi="Arial" w:eastAsia="Arial" w:cs="Arial"/>
          <w:spacing w:val="-9"/>
          <w:sz w:val="19"/>
          <w:szCs w:val="19"/>
        </w:rPr>
        <w:t>and</w:t>
      </w:r>
      <w:r>
        <w:rPr>
          <w:rFonts w:ascii="Arial" w:hAnsi="Arial" w:eastAsia="Arial" w:cs="Arial"/>
          <w:spacing w:val="33"/>
          <w:w w:val="101"/>
          <w:sz w:val="19"/>
          <w:szCs w:val="19"/>
        </w:rPr>
        <w:t xml:space="preserve"> </w:t>
      </w:r>
      <w:r>
        <w:rPr>
          <w:rFonts w:ascii="Arial" w:hAnsi="Arial" w:eastAsia="Arial" w:cs="Arial"/>
          <w:spacing w:val="-9"/>
          <w:sz w:val="19"/>
          <w:szCs w:val="19"/>
        </w:rPr>
        <w:t>Green</w:t>
      </w:r>
      <w:r>
        <w:rPr>
          <w:rFonts w:ascii="Arial" w:hAnsi="Arial" w:eastAsia="Arial" w:cs="Arial"/>
          <w:spacing w:val="27"/>
          <w:sz w:val="19"/>
          <w:szCs w:val="19"/>
        </w:rPr>
        <w:t xml:space="preserve"> </w:t>
      </w:r>
      <w:r>
        <w:fldChar w:fldCharType="begin"/>
      </w:r>
      <w:r>
        <w:instrText xml:space="preserve"> HYPERLINK \l "bookmark62" </w:instrText>
      </w:r>
      <w:r>
        <w:fldChar w:fldCharType="separate"/>
      </w:r>
      <w:r>
        <w:rPr>
          <w:rFonts w:ascii="Arial" w:hAnsi="Arial" w:eastAsia="Arial" w:cs="Arial"/>
          <w:color w:val="000084"/>
          <w:spacing w:val="-9"/>
          <w:sz w:val="19"/>
          <w:szCs w:val="19"/>
        </w:rPr>
        <w:t>1993</w:t>
      </w:r>
      <w:r>
        <w:rPr>
          <w:rFonts w:ascii="Arial" w:hAnsi="Arial" w:eastAsia="Arial" w:cs="Arial"/>
          <w:color w:val="000084"/>
          <w:spacing w:val="-9"/>
          <w:sz w:val="19"/>
          <w:szCs w:val="19"/>
        </w:rPr>
        <w:fldChar w:fldCharType="end"/>
      </w:r>
      <w:r>
        <w:rPr>
          <w:rFonts w:ascii="Arial" w:hAnsi="Arial" w:eastAsia="Arial" w:cs="Arial"/>
          <w:spacing w:val="-9"/>
          <w:sz w:val="19"/>
          <w:szCs w:val="19"/>
        </w:rPr>
        <w:t>)</w:t>
      </w:r>
      <w:r>
        <w:rPr>
          <w:rFonts w:ascii="Arial" w:hAnsi="Arial" w:eastAsia="Arial" w:cs="Arial"/>
          <w:spacing w:val="33"/>
          <w:sz w:val="19"/>
          <w:szCs w:val="19"/>
        </w:rPr>
        <w:t xml:space="preserve"> </w:t>
      </w:r>
      <w:r>
        <w:rPr>
          <w:rFonts w:ascii="Arial" w:hAnsi="Arial" w:eastAsia="Arial" w:cs="Arial"/>
          <w:spacing w:val="-9"/>
          <w:sz w:val="19"/>
          <w:szCs w:val="19"/>
        </w:rPr>
        <w:t>and</w:t>
      </w:r>
      <w:r>
        <w:rPr>
          <w:rFonts w:ascii="Arial" w:hAnsi="Arial" w:eastAsia="Arial" w:cs="Arial"/>
          <w:spacing w:val="30"/>
          <w:w w:val="101"/>
          <w:sz w:val="19"/>
          <w:szCs w:val="19"/>
        </w:rPr>
        <w:t xml:space="preserve"> </w:t>
      </w:r>
      <w:r>
        <w:rPr>
          <w:rFonts w:ascii="Arial" w:hAnsi="Arial" w:eastAsia="Arial" w:cs="Arial"/>
          <w:spacing w:val="-9"/>
          <w:sz w:val="19"/>
          <w:szCs w:val="19"/>
        </w:rPr>
        <w:t>trust</w:t>
      </w:r>
      <w:r>
        <w:rPr>
          <w:rFonts w:ascii="Arial" w:hAnsi="Arial" w:eastAsia="Arial" w:cs="Arial"/>
          <w:spacing w:val="39"/>
          <w:sz w:val="19"/>
          <w:szCs w:val="19"/>
        </w:rPr>
        <w:t xml:space="preserve"> </w:t>
      </w:r>
      <w:r>
        <w:rPr>
          <w:rFonts w:ascii="Arial" w:hAnsi="Arial" w:eastAsia="Arial" w:cs="Arial"/>
          <w:spacing w:val="-9"/>
          <w:sz w:val="19"/>
          <w:szCs w:val="19"/>
        </w:rPr>
        <w:t>(e.g.</w:t>
      </w:r>
      <w:r>
        <w:rPr>
          <w:rFonts w:ascii="Arial" w:hAnsi="Arial" w:eastAsia="Arial" w:cs="Arial"/>
          <w:spacing w:val="41"/>
          <w:w w:val="101"/>
          <w:sz w:val="19"/>
          <w:szCs w:val="19"/>
        </w:rPr>
        <w:t xml:space="preserve"> </w:t>
      </w:r>
      <w:r>
        <w:rPr>
          <w:rFonts w:ascii="Arial" w:hAnsi="Arial" w:eastAsia="Arial" w:cs="Arial"/>
          <w:spacing w:val="-9"/>
          <w:sz w:val="19"/>
          <w:szCs w:val="19"/>
        </w:rPr>
        <w:t>Ehlers</w:t>
      </w:r>
      <w:r>
        <w:rPr>
          <w:rFonts w:ascii="Arial" w:hAnsi="Arial" w:eastAsia="Arial" w:cs="Arial"/>
          <w:spacing w:val="26"/>
          <w:w w:val="101"/>
          <w:sz w:val="19"/>
          <w:szCs w:val="19"/>
        </w:rPr>
        <w:t xml:space="preserve"> </w:t>
      </w:r>
      <w:r>
        <w:fldChar w:fldCharType="begin"/>
      </w:r>
      <w:r>
        <w:instrText xml:space="preserve"> HYPERLINK \l "bookmark63" </w:instrText>
      </w:r>
      <w:r>
        <w:fldChar w:fldCharType="separate"/>
      </w:r>
      <w:r>
        <w:rPr>
          <w:rFonts w:ascii="Arial" w:hAnsi="Arial" w:eastAsia="Arial" w:cs="Arial"/>
          <w:color w:val="000084"/>
          <w:spacing w:val="-9"/>
          <w:sz w:val="19"/>
          <w:szCs w:val="19"/>
        </w:rPr>
        <w:t>2009</w:t>
      </w:r>
      <w:r>
        <w:rPr>
          <w:rFonts w:ascii="Arial" w:hAnsi="Arial" w:eastAsia="Arial" w:cs="Arial"/>
          <w:color w:val="000084"/>
          <w:spacing w:val="-9"/>
          <w:sz w:val="19"/>
          <w:szCs w:val="19"/>
        </w:rPr>
        <w:fldChar w:fldCharType="end"/>
      </w:r>
      <w:r>
        <w:rPr>
          <w:rFonts w:ascii="Arial" w:hAnsi="Arial" w:eastAsia="Arial" w:cs="Arial"/>
          <w:spacing w:val="-9"/>
          <w:sz w:val="19"/>
          <w:szCs w:val="19"/>
        </w:rPr>
        <w:t>;</w:t>
      </w:r>
      <w:r>
        <w:rPr>
          <w:rFonts w:ascii="Arial" w:hAnsi="Arial" w:eastAsia="Arial" w:cs="Arial"/>
          <w:spacing w:val="40"/>
          <w:sz w:val="19"/>
          <w:szCs w:val="19"/>
        </w:rPr>
        <w:t xml:space="preserve"> </w:t>
      </w:r>
      <w:r>
        <w:rPr>
          <w:rFonts w:ascii="Arial" w:hAnsi="Arial" w:eastAsia="Arial" w:cs="Arial"/>
          <w:spacing w:val="-9"/>
          <w:sz w:val="19"/>
          <w:szCs w:val="19"/>
        </w:rPr>
        <w:t>Loukkola</w:t>
      </w:r>
      <w:r>
        <w:rPr>
          <w:rFonts w:ascii="Arial" w:hAnsi="Arial" w:eastAsia="Arial" w:cs="Arial"/>
          <w:spacing w:val="32"/>
          <w:w w:val="101"/>
          <w:sz w:val="19"/>
          <w:szCs w:val="19"/>
        </w:rPr>
        <w:t xml:space="preserve"> </w:t>
      </w:r>
      <w:r>
        <w:rPr>
          <w:rFonts w:ascii="Arial" w:hAnsi="Arial" w:eastAsia="Arial" w:cs="Arial"/>
          <w:spacing w:val="-9"/>
          <w:sz w:val="19"/>
          <w:szCs w:val="19"/>
        </w:rPr>
        <w:t>and</w:t>
      </w:r>
      <w:r>
        <w:rPr>
          <w:rFonts w:ascii="Arial" w:hAnsi="Arial" w:eastAsia="Arial" w:cs="Arial"/>
          <w:spacing w:val="32"/>
          <w:w w:val="101"/>
          <w:sz w:val="19"/>
          <w:szCs w:val="19"/>
        </w:rPr>
        <w:t xml:space="preserve"> </w:t>
      </w:r>
      <w:r>
        <w:rPr>
          <w:rFonts w:ascii="Arial" w:hAnsi="Arial" w:eastAsia="Arial" w:cs="Arial"/>
          <w:spacing w:val="-9"/>
          <w:sz w:val="19"/>
          <w:szCs w:val="19"/>
        </w:rPr>
        <w:t>Zhang</w:t>
      </w:r>
      <w:r>
        <w:rPr>
          <w:rFonts w:ascii="Arial" w:hAnsi="Arial" w:eastAsia="Arial" w:cs="Arial"/>
          <w:spacing w:val="25"/>
          <w:w w:val="101"/>
          <w:sz w:val="19"/>
          <w:szCs w:val="19"/>
        </w:rPr>
        <w:t xml:space="preserve"> </w:t>
      </w:r>
      <w:r>
        <w:fldChar w:fldCharType="begin"/>
      </w:r>
      <w:r>
        <w:instrText xml:space="preserve"> HYPERLINK \l "bookmark64" </w:instrText>
      </w:r>
      <w:r>
        <w:fldChar w:fldCharType="separate"/>
      </w:r>
      <w:r>
        <w:rPr>
          <w:rFonts w:ascii="Arial" w:hAnsi="Arial" w:eastAsia="Arial" w:cs="Arial"/>
          <w:color w:val="000084"/>
          <w:spacing w:val="-9"/>
          <w:sz w:val="19"/>
          <w:szCs w:val="19"/>
        </w:rPr>
        <w:t>2010</w:t>
      </w:r>
      <w:r>
        <w:rPr>
          <w:rFonts w:ascii="Arial" w:hAnsi="Arial" w:eastAsia="Arial" w:cs="Arial"/>
          <w:color w:val="000084"/>
          <w:spacing w:val="-9"/>
          <w:sz w:val="19"/>
          <w:szCs w:val="19"/>
        </w:rPr>
        <w:fldChar w:fldCharType="end"/>
      </w:r>
      <w:r>
        <w:rPr>
          <w:rFonts w:ascii="Arial" w:hAnsi="Arial" w:eastAsia="Arial" w:cs="Arial"/>
          <w:spacing w:val="-9"/>
          <w:sz w:val="19"/>
          <w:szCs w:val="19"/>
        </w:rPr>
        <w:t>;</w:t>
      </w:r>
      <w:r>
        <w:rPr>
          <w:rFonts w:ascii="Arial" w:hAnsi="Arial" w:eastAsia="Arial" w:cs="Arial"/>
          <w:spacing w:val="29"/>
          <w:sz w:val="19"/>
          <w:szCs w:val="19"/>
        </w:rPr>
        <w:t xml:space="preserve"> </w:t>
      </w:r>
      <w:r>
        <w:rPr>
          <w:rFonts w:ascii="Arial" w:hAnsi="Arial" w:eastAsia="Arial" w:cs="Arial"/>
          <w:spacing w:val="-9"/>
          <w:sz w:val="19"/>
          <w:szCs w:val="19"/>
        </w:rPr>
        <w:t>Yor</w:t>
      </w:r>
      <w:r>
        <w:rPr>
          <w:rFonts w:ascii="Arial" w:hAnsi="Arial" w:eastAsia="Arial" w:cs="Arial"/>
          <w:spacing w:val="-10"/>
          <w:sz w:val="19"/>
          <w:szCs w:val="19"/>
        </w:rPr>
        <w:t>ke</w:t>
      </w:r>
      <w:r>
        <w:rPr>
          <w:rFonts w:ascii="Arial" w:hAnsi="Arial" w:eastAsia="Arial" w:cs="Arial"/>
          <w:spacing w:val="27"/>
          <w:sz w:val="19"/>
          <w:szCs w:val="19"/>
        </w:rPr>
        <w:t xml:space="preserve"> </w:t>
      </w:r>
      <w:r>
        <w:fldChar w:fldCharType="begin"/>
      </w:r>
      <w:r>
        <w:instrText xml:space="preserve"> HYPERLINK \l "bookmark65" </w:instrText>
      </w:r>
      <w:r>
        <w:fldChar w:fldCharType="separate"/>
      </w:r>
      <w:r>
        <w:rPr>
          <w:rFonts w:ascii="Arial" w:hAnsi="Arial" w:eastAsia="Arial" w:cs="Arial"/>
          <w:color w:val="000084"/>
          <w:spacing w:val="-10"/>
          <w:sz w:val="19"/>
          <w:szCs w:val="19"/>
        </w:rPr>
        <w:t>2000</w:t>
      </w:r>
      <w:r>
        <w:rPr>
          <w:rFonts w:ascii="Arial" w:hAnsi="Arial" w:eastAsia="Arial" w:cs="Arial"/>
          <w:color w:val="000084"/>
          <w:spacing w:val="-10"/>
          <w:sz w:val="19"/>
          <w:szCs w:val="19"/>
        </w:rPr>
        <w:fldChar w:fldCharType="end"/>
      </w:r>
      <w:r>
        <w:rPr>
          <w:rFonts w:ascii="Arial" w:hAnsi="Arial" w:eastAsia="Arial" w:cs="Arial"/>
          <w:spacing w:val="-10"/>
          <w:sz w:val="19"/>
          <w:szCs w:val="19"/>
        </w:rPr>
        <w:t>)</w:t>
      </w:r>
      <w:r>
        <w:rPr>
          <w:rFonts w:ascii="Arial" w:hAnsi="Arial" w:eastAsia="Arial" w:cs="Arial"/>
          <w:spacing w:val="33"/>
          <w:sz w:val="19"/>
          <w:szCs w:val="19"/>
        </w:rPr>
        <w:t xml:space="preserve"> </w:t>
      </w:r>
      <w:r>
        <w:rPr>
          <w:rFonts w:ascii="Arial" w:hAnsi="Arial" w:eastAsia="Arial" w:cs="Arial"/>
          <w:spacing w:val="-10"/>
          <w:sz w:val="19"/>
          <w:szCs w:val="19"/>
        </w:rPr>
        <w:t>are</w:t>
      </w:r>
      <w:r>
        <w:rPr>
          <w:rFonts w:ascii="Arial" w:hAnsi="Arial" w:eastAsia="Arial" w:cs="Arial"/>
          <w:sz w:val="19"/>
          <w:szCs w:val="19"/>
        </w:rPr>
        <w:t xml:space="preserve"> </w:t>
      </w:r>
      <w:r>
        <w:rPr>
          <w:rFonts w:ascii="Arial" w:hAnsi="Arial" w:eastAsia="Arial" w:cs="Arial"/>
          <w:spacing w:val="-6"/>
          <w:sz w:val="19"/>
          <w:szCs w:val="19"/>
        </w:rPr>
        <w:t>assumed</w:t>
      </w:r>
      <w:r>
        <w:rPr>
          <w:rFonts w:ascii="Arial" w:hAnsi="Arial" w:eastAsia="Arial" w:cs="Arial"/>
          <w:spacing w:val="31"/>
          <w:sz w:val="19"/>
          <w:szCs w:val="19"/>
        </w:rPr>
        <w:t xml:space="preserve"> </w:t>
      </w:r>
      <w:r>
        <w:rPr>
          <w:rFonts w:ascii="Arial" w:hAnsi="Arial" w:eastAsia="Arial" w:cs="Arial"/>
          <w:spacing w:val="-6"/>
          <w:sz w:val="19"/>
          <w:szCs w:val="19"/>
        </w:rPr>
        <w:t>to</w:t>
      </w:r>
      <w:r>
        <w:rPr>
          <w:rFonts w:ascii="Arial" w:hAnsi="Arial" w:eastAsia="Arial" w:cs="Arial"/>
          <w:spacing w:val="19"/>
          <w:w w:val="101"/>
          <w:sz w:val="19"/>
          <w:szCs w:val="19"/>
        </w:rPr>
        <w:t xml:space="preserve"> </w:t>
      </w:r>
      <w:r>
        <w:rPr>
          <w:rFonts w:ascii="Arial" w:hAnsi="Arial" w:eastAsia="Arial" w:cs="Arial"/>
          <w:spacing w:val="-6"/>
          <w:sz w:val="19"/>
          <w:szCs w:val="19"/>
        </w:rPr>
        <w:t>serve</w:t>
      </w:r>
      <w:r>
        <w:rPr>
          <w:rFonts w:ascii="Arial" w:hAnsi="Arial" w:eastAsia="Arial" w:cs="Arial"/>
          <w:spacing w:val="21"/>
          <w:sz w:val="19"/>
          <w:szCs w:val="19"/>
        </w:rPr>
        <w:t xml:space="preserve"> </w:t>
      </w:r>
      <w:r>
        <w:rPr>
          <w:rFonts w:ascii="Arial" w:hAnsi="Arial" w:eastAsia="Arial" w:cs="Arial"/>
          <w:spacing w:val="-6"/>
          <w:sz w:val="19"/>
          <w:szCs w:val="19"/>
        </w:rPr>
        <w:t>as</w:t>
      </w:r>
      <w:r>
        <w:rPr>
          <w:rFonts w:ascii="Arial" w:hAnsi="Arial" w:eastAsia="Arial" w:cs="Arial"/>
          <w:spacing w:val="17"/>
          <w:sz w:val="19"/>
          <w:szCs w:val="19"/>
        </w:rPr>
        <w:t xml:space="preserve"> </w:t>
      </w:r>
      <w:r>
        <w:rPr>
          <w:rFonts w:ascii="Arial" w:hAnsi="Arial" w:eastAsia="Arial" w:cs="Arial"/>
          <w:spacing w:val="-6"/>
          <w:sz w:val="19"/>
          <w:szCs w:val="19"/>
        </w:rPr>
        <w:t>the</w:t>
      </w:r>
      <w:r>
        <w:rPr>
          <w:rFonts w:ascii="Arial" w:hAnsi="Arial" w:eastAsia="Arial" w:cs="Arial"/>
          <w:spacing w:val="26"/>
          <w:sz w:val="19"/>
          <w:szCs w:val="19"/>
        </w:rPr>
        <w:t xml:space="preserve"> </w:t>
      </w:r>
      <w:r>
        <w:rPr>
          <w:rFonts w:ascii="Arial" w:hAnsi="Arial" w:eastAsia="Arial" w:cs="Arial"/>
          <w:spacing w:val="-6"/>
          <w:sz w:val="19"/>
          <w:szCs w:val="19"/>
        </w:rPr>
        <w:t>mutual</w:t>
      </w:r>
      <w:r>
        <w:rPr>
          <w:rFonts w:ascii="Arial" w:hAnsi="Arial" w:eastAsia="Arial" w:cs="Arial"/>
          <w:spacing w:val="26"/>
          <w:w w:val="101"/>
          <w:sz w:val="19"/>
          <w:szCs w:val="19"/>
        </w:rPr>
        <w:t xml:space="preserve"> </w:t>
      </w:r>
      <w:r>
        <w:rPr>
          <w:rFonts w:ascii="Arial" w:hAnsi="Arial" w:eastAsia="Arial" w:cs="Arial"/>
          <w:spacing w:val="-6"/>
          <w:sz w:val="19"/>
          <w:szCs w:val="19"/>
        </w:rPr>
        <w:t>basis</w:t>
      </w:r>
      <w:r>
        <w:rPr>
          <w:rFonts w:ascii="Arial" w:hAnsi="Arial" w:eastAsia="Arial" w:cs="Arial"/>
          <w:spacing w:val="15"/>
          <w:sz w:val="19"/>
          <w:szCs w:val="19"/>
        </w:rPr>
        <w:t xml:space="preserve"> </w:t>
      </w:r>
      <w:r>
        <w:rPr>
          <w:rFonts w:ascii="Arial" w:hAnsi="Arial" w:eastAsia="Arial" w:cs="Arial"/>
          <w:spacing w:val="-6"/>
          <w:sz w:val="19"/>
          <w:szCs w:val="19"/>
        </w:rPr>
        <w:t>for</w:t>
      </w:r>
      <w:r>
        <w:rPr>
          <w:rFonts w:ascii="Arial" w:hAnsi="Arial" w:eastAsia="Arial" w:cs="Arial"/>
          <w:spacing w:val="21"/>
          <w:sz w:val="19"/>
          <w:szCs w:val="19"/>
        </w:rPr>
        <w:t xml:space="preserve"> </w:t>
      </w:r>
      <w:r>
        <w:rPr>
          <w:rFonts w:ascii="Arial" w:hAnsi="Arial" w:eastAsia="Arial" w:cs="Arial"/>
          <w:spacing w:val="-6"/>
          <w:sz w:val="19"/>
          <w:szCs w:val="19"/>
        </w:rPr>
        <w:t>quality-oriented</w:t>
      </w:r>
      <w:r>
        <w:rPr>
          <w:rFonts w:ascii="Arial" w:hAnsi="Arial" w:eastAsia="Arial" w:cs="Arial"/>
          <w:spacing w:val="26"/>
          <w:w w:val="101"/>
          <w:sz w:val="19"/>
          <w:szCs w:val="19"/>
        </w:rPr>
        <w:t xml:space="preserve"> </w:t>
      </w:r>
      <w:r>
        <w:rPr>
          <w:rFonts w:ascii="Arial" w:hAnsi="Arial" w:eastAsia="Arial" w:cs="Arial"/>
          <w:spacing w:val="-6"/>
          <w:sz w:val="19"/>
          <w:szCs w:val="19"/>
        </w:rPr>
        <w:t>leadership,</w:t>
      </w:r>
      <w:r>
        <w:rPr>
          <w:rFonts w:ascii="Arial" w:hAnsi="Arial" w:eastAsia="Arial" w:cs="Arial"/>
          <w:spacing w:val="21"/>
          <w:w w:val="101"/>
          <w:sz w:val="19"/>
          <w:szCs w:val="19"/>
        </w:rPr>
        <w:t xml:space="preserve"> </w:t>
      </w:r>
      <w:r>
        <w:rPr>
          <w:rFonts w:ascii="Arial" w:hAnsi="Arial" w:eastAsia="Arial" w:cs="Arial"/>
          <w:spacing w:val="-6"/>
          <w:sz w:val="19"/>
          <w:szCs w:val="19"/>
        </w:rPr>
        <w:t>communication,</w:t>
      </w:r>
      <w:r>
        <w:rPr>
          <w:rFonts w:ascii="Arial" w:hAnsi="Arial" w:eastAsia="Arial" w:cs="Arial"/>
          <w:spacing w:val="19"/>
          <w:sz w:val="19"/>
          <w:szCs w:val="19"/>
        </w:rPr>
        <w:t xml:space="preserve"> </w:t>
      </w:r>
      <w:r>
        <w:rPr>
          <w:rFonts w:ascii="Arial" w:hAnsi="Arial" w:eastAsia="Arial" w:cs="Arial"/>
          <w:spacing w:val="-6"/>
          <w:sz w:val="19"/>
          <w:szCs w:val="19"/>
        </w:rPr>
        <w:t>and</w:t>
      </w:r>
      <w:r>
        <w:rPr>
          <w:rFonts w:ascii="Arial" w:hAnsi="Arial" w:eastAsia="Arial" w:cs="Arial"/>
          <w:spacing w:val="26"/>
          <w:w w:val="101"/>
          <w:sz w:val="19"/>
          <w:szCs w:val="19"/>
        </w:rPr>
        <w:t xml:space="preserve"> </w:t>
      </w:r>
      <w:r>
        <w:rPr>
          <w:rFonts w:ascii="Arial" w:hAnsi="Arial" w:eastAsia="Arial" w:cs="Arial"/>
          <w:spacing w:val="-6"/>
          <w:sz w:val="19"/>
          <w:szCs w:val="19"/>
        </w:rPr>
        <w:t>partici-</w:t>
      </w:r>
      <w:r>
        <w:rPr>
          <w:rFonts w:ascii="Arial" w:hAnsi="Arial" w:eastAsia="Arial" w:cs="Arial"/>
          <w:sz w:val="19"/>
          <w:szCs w:val="19"/>
        </w:rPr>
        <w:t xml:space="preserve"> </w:t>
      </w:r>
      <w:r>
        <w:rPr>
          <w:rFonts w:ascii="Arial" w:hAnsi="Arial" w:eastAsia="Arial" w:cs="Arial"/>
          <w:spacing w:val="-7"/>
          <w:sz w:val="19"/>
          <w:szCs w:val="19"/>
        </w:rPr>
        <w:t>pation</w:t>
      </w:r>
      <w:r>
        <w:rPr>
          <w:rFonts w:ascii="Arial" w:hAnsi="Arial" w:eastAsia="Arial" w:cs="Arial"/>
          <w:spacing w:val="21"/>
          <w:sz w:val="19"/>
          <w:szCs w:val="19"/>
        </w:rPr>
        <w:t xml:space="preserve"> </w:t>
      </w:r>
      <w:r>
        <w:rPr>
          <w:rFonts w:ascii="Arial" w:hAnsi="Arial" w:eastAsia="Arial" w:cs="Arial"/>
          <w:spacing w:val="-7"/>
          <w:sz w:val="19"/>
          <w:szCs w:val="19"/>
        </w:rPr>
        <w:t>(e.g.</w:t>
      </w:r>
      <w:r>
        <w:rPr>
          <w:rFonts w:ascii="Arial" w:hAnsi="Arial" w:eastAsia="Arial" w:cs="Arial"/>
          <w:spacing w:val="22"/>
          <w:w w:val="101"/>
          <w:sz w:val="19"/>
          <w:szCs w:val="19"/>
        </w:rPr>
        <w:t xml:space="preserve"> </w:t>
      </w:r>
      <w:r>
        <w:rPr>
          <w:rFonts w:ascii="Arial" w:hAnsi="Arial" w:eastAsia="Arial" w:cs="Arial"/>
          <w:spacing w:val="-7"/>
          <w:sz w:val="19"/>
          <w:szCs w:val="19"/>
        </w:rPr>
        <w:t>EUA</w:t>
      </w:r>
      <w:r>
        <w:rPr>
          <w:rFonts w:ascii="Arial" w:hAnsi="Arial" w:eastAsia="Arial" w:cs="Arial"/>
          <w:spacing w:val="8"/>
          <w:sz w:val="19"/>
          <w:szCs w:val="19"/>
        </w:rPr>
        <w:t xml:space="preserve"> </w:t>
      </w:r>
      <w:r>
        <w:fldChar w:fldCharType="begin"/>
      </w:r>
      <w:r>
        <w:instrText xml:space="preserve"> HYPERLINK \l "bookmark66" </w:instrText>
      </w:r>
      <w:r>
        <w:fldChar w:fldCharType="separate"/>
      </w:r>
      <w:r>
        <w:rPr>
          <w:rFonts w:ascii="Arial" w:hAnsi="Arial" w:eastAsia="Arial" w:cs="Arial"/>
          <w:color w:val="000084"/>
          <w:spacing w:val="-7"/>
          <w:sz w:val="19"/>
          <w:szCs w:val="19"/>
        </w:rPr>
        <w:t>2006</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pacing w:val="14"/>
          <w:sz w:val="19"/>
          <w:szCs w:val="19"/>
        </w:rPr>
        <w:t xml:space="preserve"> </w:t>
      </w:r>
      <w:r>
        <w:rPr>
          <w:rFonts w:ascii="Arial" w:hAnsi="Arial" w:eastAsia="Arial" w:cs="Arial"/>
          <w:spacing w:val="-7"/>
          <w:sz w:val="19"/>
          <w:szCs w:val="19"/>
        </w:rPr>
        <w:t>Gordon</w:t>
      </w:r>
      <w:r>
        <w:rPr>
          <w:rFonts w:ascii="Arial" w:hAnsi="Arial" w:eastAsia="Arial" w:cs="Arial"/>
          <w:spacing w:val="8"/>
          <w:sz w:val="19"/>
          <w:szCs w:val="19"/>
        </w:rPr>
        <w:t xml:space="preserve"> </w:t>
      </w:r>
      <w:r>
        <w:fldChar w:fldCharType="begin"/>
      </w:r>
      <w:r>
        <w:instrText xml:space="preserve"> HYPERLINK \l "bookmark67" </w:instrText>
      </w:r>
      <w:r>
        <w:fldChar w:fldCharType="separate"/>
      </w:r>
      <w:r>
        <w:rPr>
          <w:rFonts w:ascii="Arial" w:hAnsi="Arial" w:eastAsia="Arial" w:cs="Arial"/>
          <w:color w:val="000084"/>
          <w:spacing w:val="-7"/>
          <w:sz w:val="19"/>
          <w:szCs w:val="19"/>
        </w:rPr>
        <w:t>2002</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pacing w:val="22"/>
          <w:sz w:val="19"/>
          <w:szCs w:val="19"/>
        </w:rPr>
        <w:t xml:space="preserve"> </w:t>
      </w:r>
      <w:r>
        <w:rPr>
          <w:rFonts w:ascii="Arial" w:hAnsi="Arial" w:eastAsia="Arial" w:cs="Arial"/>
          <w:spacing w:val="-7"/>
          <w:sz w:val="19"/>
          <w:szCs w:val="19"/>
        </w:rPr>
        <w:t>Loukkola</w:t>
      </w:r>
      <w:r>
        <w:rPr>
          <w:rFonts w:ascii="Arial" w:hAnsi="Arial" w:eastAsia="Arial" w:cs="Arial"/>
          <w:spacing w:val="14"/>
          <w:sz w:val="19"/>
          <w:szCs w:val="19"/>
        </w:rPr>
        <w:t xml:space="preserve"> </w:t>
      </w:r>
      <w:r>
        <w:rPr>
          <w:rFonts w:ascii="Arial" w:hAnsi="Arial" w:eastAsia="Arial" w:cs="Arial"/>
          <w:spacing w:val="-7"/>
          <w:sz w:val="19"/>
          <w:szCs w:val="19"/>
        </w:rPr>
        <w:t>and</w:t>
      </w:r>
      <w:r>
        <w:rPr>
          <w:rFonts w:ascii="Arial" w:hAnsi="Arial" w:eastAsia="Arial" w:cs="Arial"/>
          <w:spacing w:val="13"/>
          <w:sz w:val="19"/>
          <w:szCs w:val="19"/>
        </w:rPr>
        <w:t xml:space="preserve"> </w:t>
      </w:r>
      <w:r>
        <w:rPr>
          <w:rFonts w:ascii="Arial" w:hAnsi="Arial" w:eastAsia="Arial" w:cs="Arial"/>
          <w:spacing w:val="-7"/>
          <w:sz w:val="19"/>
          <w:szCs w:val="19"/>
        </w:rPr>
        <w:t>Zhang</w:t>
      </w:r>
      <w:r>
        <w:rPr>
          <w:rFonts w:ascii="Arial" w:hAnsi="Arial" w:eastAsia="Arial" w:cs="Arial"/>
          <w:spacing w:val="-8"/>
          <w:sz w:val="19"/>
          <w:szCs w:val="19"/>
        </w:rPr>
        <w:t xml:space="preserve"> </w:t>
      </w:r>
      <w:r>
        <w:fldChar w:fldCharType="begin"/>
      </w:r>
      <w:r>
        <w:instrText xml:space="preserve"> HYPERLINK \l "bookmark68" </w:instrText>
      </w:r>
      <w:r>
        <w:fldChar w:fldCharType="separate"/>
      </w:r>
      <w:r>
        <w:rPr>
          <w:rFonts w:ascii="Arial" w:hAnsi="Arial" w:eastAsia="Arial" w:cs="Arial"/>
          <w:color w:val="000084"/>
          <w:spacing w:val="-8"/>
          <w:sz w:val="19"/>
          <w:szCs w:val="19"/>
        </w:rPr>
        <w:t>2010</w:t>
      </w:r>
      <w:r>
        <w:rPr>
          <w:rFonts w:ascii="Arial" w:hAnsi="Arial" w:eastAsia="Arial" w:cs="Arial"/>
          <w:color w:val="000084"/>
          <w:spacing w:val="-8"/>
          <w:sz w:val="19"/>
          <w:szCs w:val="19"/>
        </w:rPr>
        <w:fldChar w:fldCharType="end"/>
      </w:r>
      <w:r>
        <w:rPr>
          <w:rFonts w:ascii="Arial" w:hAnsi="Arial" w:eastAsia="Arial" w:cs="Arial"/>
          <w:spacing w:val="-8"/>
          <w:sz w:val="19"/>
          <w:szCs w:val="19"/>
        </w:rPr>
        <w:t>). The</w:t>
      </w:r>
      <w:r>
        <w:rPr>
          <w:rFonts w:ascii="Arial" w:hAnsi="Arial" w:eastAsia="Arial" w:cs="Arial"/>
          <w:spacing w:val="22"/>
          <w:w w:val="101"/>
          <w:sz w:val="19"/>
          <w:szCs w:val="19"/>
        </w:rPr>
        <w:t xml:space="preserve"> </w:t>
      </w:r>
      <w:r>
        <w:rPr>
          <w:rFonts w:ascii="Arial" w:hAnsi="Arial" w:eastAsia="Arial" w:cs="Arial"/>
          <w:spacing w:val="-8"/>
          <w:sz w:val="19"/>
          <w:szCs w:val="19"/>
        </w:rPr>
        <w:t>latter</w:t>
      </w:r>
      <w:r>
        <w:rPr>
          <w:rFonts w:ascii="Arial" w:hAnsi="Arial" w:eastAsia="Arial" w:cs="Arial"/>
          <w:spacing w:val="15"/>
          <w:sz w:val="19"/>
          <w:szCs w:val="19"/>
        </w:rPr>
        <w:t xml:space="preserve"> </w:t>
      </w:r>
      <w:r>
        <w:rPr>
          <w:rFonts w:ascii="Arial" w:hAnsi="Arial" w:eastAsia="Arial" w:cs="Arial"/>
          <w:spacing w:val="-8"/>
          <w:sz w:val="19"/>
          <w:szCs w:val="19"/>
        </w:rPr>
        <w:t>elements</w:t>
      </w:r>
      <w:r>
        <w:rPr>
          <w:rFonts w:ascii="Arial" w:hAnsi="Arial" w:eastAsia="Arial" w:cs="Arial"/>
          <w:spacing w:val="14"/>
          <w:sz w:val="19"/>
          <w:szCs w:val="19"/>
        </w:rPr>
        <w:t xml:space="preserve"> </w:t>
      </w:r>
      <w:r>
        <w:rPr>
          <w:rFonts w:ascii="Arial" w:hAnsi="Arial" w:eastAsia="Arial" w:cs="Arial"/>
          <w:spacing w:val="-8"/>
          <w:sz w:val="19"/>
          <w:szCs w:val="19"/>
        </w:rPr>
        <w:t>are</w:t>
      </w:r>
      <w:r>
        <w:rPr>
          <w:rFonts w:ascii="Arial" w:hAnsi="Arial" w:eastAsia="Arial" w:cs="Arial"/>
          <w:spacing w:val="20"/>
          <w:sz w:val="19"/>
          <w:szCs w:val="19"/>
        </w:rPr>
        <w:t xml:space="preserve"> </w:t>
      </w:r>
      <w:r>
        <w:rPr>
          <w:rFonts w:ascii="Arial" w:hAnsi="Arial" w:eastAsia="Arial" w:cs="Arial"/>
          <w:spacing w:val="-8"/>
          <w:sz w:val="19"/>
          <w:szCs w:val="19"/>
        </w:rPr>
        <w:t>illustrated</w:t>
      </w:r>
      <w:r>
        <w:rPr>
          <w:rFonts w:ascii="Arial" w:hAnsi="Arial" w:eastAsia="Arial" w:cs="Arial"/>
          <w:sz w:val="19"/>
          <w:szCs w:val="19"/>
        </w:rPr>
        <w:t xml:space="preserve"> </w:t>
      </w:r>
      <w:r>
        <w:rPr>
          <w:rFonts w:ascii="Arial" w:hAnsi="Arial" w:eastAsia="Arial" w:cs="Arial"/>
          <w:spacing w:val="-4"/>
          <w:sz w:val="19"/>
          <w:szCs w:val="19"/>
        </w:rPr>
        <w:t>as</w:t>
      </w:r>
      <w:r>
        <w:rPr>
          <w:rFonts w:ascii="Arial" w:hAnsi="Arial" w:eastAsia="Arial" w:cs="Arial"/>
          <w:spacing w:val="46"/>
          <w:w w:val="101"/>
          <w:sz w:val="19"/>
          <w:szCs w:val="19"/>
        </w:rPr>
        <w:t xml:space="preserve"> </w:t>
      </w:r>
      <w:r>
        <w:rPr>
          <w:rFonts w:ascii="Arial" w:hAnsi="Arial" w:eastAsia="Arial" w:cs="Arial"/>
          <w:spacing w:val="-4"/>
          <w:sz w:val="19"/>
          <w:szCs w:val="19"/>
        </w:rPr>
        <w:t>an</w:t>
      </w:r>
      <w:r>
        <w:rPr>
          <w:rFonts w:ascii="Arial" w:hAnsi="Arial" w:eastAsia="Arial" w:cs="Arial"/>
          <w:spacing w:val="46"/>
          <w:sz w:val="19"/>
          <w:szCs w:val="19"/>
        </w:rPr>
        <w:t xml:space="preserve"> </w:t>
      </w:r>
      <w:r>
        <w:rPr>
          <w:rFonts w:ascii="Arial" w:hAnsi="Arial" w:eastAsia="Arial" w:cs="Arial"/>
          <w:spacing w:val="-4"/>
          <w:sz w:val="19"/>
          <w:szCs w:val="19"/>
        </w:rPr>
        <w:t>arrow,  representing  a  dynamic  rel</w:t>
      </w:r>
      <w:r>
        <w:rPr>
          <w:rFonts w:ascii="Arial" w:hAnsi="Arial" w:eastAsia="Arial" w:cs="Arial"/>
          <w:spacing w:val="-5"/>
          <w:sz w:val="19"/>
          <w:szCs w:val="19"/>
        </w:rPr>
        <w:t>ationship  between  the  structural-formal  and  individual</w:t>
      </w:r>
      <w:r>
        <w:rPr>
          <w:rFonts w:ascii="Arial" w:hAnsi="Arial" w:eastAsia="Arial" w:cs="Arial"/>
          <w:sz w:val="19"/>
          <w:szCs w:val="19"/>
        </w:rPr>
        <w:t xml:space="preserve"> </w:t>
      </w:r>
      <w:r>
        <w:rPr>
          <w:rFonts w:ascii="Arial" w:hAnsi="Arial" w:eastAsia="Arial" w:cs="Arial"/>
          <w:spacing w:val="-7"/>
          <w:sz w:val="19"/>
          <w:szCs w:val="19"/>
        </w:rPr>
        <w:t>level.</w:t>
      </w:r>
      <w:r>
        <w:rPr>
          <w:rFonts w:ascii="Arial" w:hAnsi="Arial" w:eastAsia="Arial" w:cs="Arial"/>
          <w:spacing w:val="49"/>
          <w:w w:val="101"/>
          <w:sz w:val="19"/>
          <w:szCs w:val="19"/>
        </w:rPr>
        <w:t xml:space="preserve"> </w:t>
      </w:r>
      <w:r>
        <w:rPr>
          <w:rFonts w:ascii="Arial" w:hAnsi="Arial" w:eastAsia="Arial" w:cs="Arial"/>
          <w:spacing w:val="-7"/>
          <w:sz w:val="19"/>
          <w:szCs w:val="19"/>
        </w:rPr>
        <w:t>Our</w:t>
      </w:r>
      <w:r>
        <w:rPr>
          <w:rFonts w:ascii="Arial" w:hAnsi="Arial" w:eastAsia="Arial" w:cs="Arial"/>
          <w:spacing w:val="41"/>
          <w:sz w:val="19"/>
          <w:szCs w:val="19"/>
        </w:rPr>
        <w:t xml:space="preserve"> </w:t>
      </w:r>
      <w:r>
        <w:rPr>
          <w:rFonts w:ascii="Arial" w:hAnsi="Arial" w:eastAsia="Arial" w:cs="Arial"/>
          <w:spacing w:val="-7"/>
          <w:sz w:val="19"/>
          <w:szCs w:val="19"/>
        </w:rPr>
        <w:t>illustration</w:t>
      </w:r>
      <w:r>
        <w:rPr>
          <w:rFonts w:ascii="Arial" w:hAnsi="Arial" w:eastAsia="Arial" w:cs="Arial"/>
          <w:spacing w:val="41"/>
          <w:sz w:val="19"/>
          <w:szCs w:val="19"/>
        </w:rPr>
        <w:t xml:space="preserve"> </w:t>
      </w:r>
      <w:r>
        <w:rPr>
          <w:rFonts w:ascii="Arial" w:hAnsi="Arial" w:eastAsia="Arial" w:cs="Arial"/>
          <w:spacing w:val="-7"/>
          <w:sz w:val="19"/>
          <w:szCs w:val="19"/>
        </w:rPr>
        <w:t>is</w:t>
      </w:r>
      <w:r>
        <w:rPr>
          <w:rFonts w:ascii="Arial" w:hAnsi="Arial" w:eastAsia="Arial" w:cs="Arial"/>
          <w:spacing w:val="40"/>
          <w:sz w:val="19"/>
          <w:szCs w:val="19"/>
        </w:rPr>
        <w:t xml:space="preserve"> </w:t>
      </w:r>
      <w:r>
        <w:rPr>
          <w:rFonts w:ascii="Arial" w:hAnsi="Arial" w:eastAsia="Arial" w:cs="Arial"/>
          <w:spacing w:val="-7"/>
          <w:sz w:val="19"/>
          <w:szCs w:val="19"/>
        </w:rPr>
        <w:t>inspired</w:t>
      </w:r>
      <w:r>
        <w:rPr>
          <w:rFonts w:ascii="Arial" w:hAnsi="Arial" w:eastAsia="Arial" w:cs="Arial"/>
          <w:spacing w:val="42"/>
          <w:sz w:val="19"/>
          <w:szCs w:val="19"/>
        </w:rPr>
        <w:t xml:space="preserve"> </w:t>
      </w:r>
      <w:r>
        <w:rPr>
          <w:rFonts w:ascii="Arial" w:hAnsi="Arial" w:eastAsia="Arial" w:cs="Arial"/>
          <w:spacing w:val="-7"/>
          <w:sz w:val="19"/>
          <w:szCs w:val="19"/>
        </w:rPr>
        <w:t>by</w:t>
      </w:r>
      <w:r>
        <w:rPr>
          <w:rFonts w:ascii="Arial" w:hAnsi="Arial" w:eastAsia="Arial" w:cs="Arial"/>
          <w:spacing w:val="33"/>
          <w:sz w:val="19"/>
          <w:szCs w:val="19"/>
        </w:rPr>
        <w:t xml:space="preserve"> </w:t>
      </w:r>
      <w:r>
        <w:rPr>
          <w:rFonts w:ascii="Arial" w:hAnsi="Arial" w:eastAsia="Arial" w:cs="Arial"/>
          <w:spacing w:val="-7"/>
          <w:sz w:val="19"/>
          <w:szCs w:val="19"/>
        </w:rPr>
        <w:t>the</w:t>
      </w:r>
      <w:r>
        <w:rPr>
          <w:rFonts w:ascii="Arial" w:hAnsi="Arial" w:eastAsia="Arial" w:cs="Arial"/>
          <w:spacing w:val="35"/>
          <w:w w:val="101"/>
          <w:sz w:val="19"/>
          <w:szCs w:val="19"/>
        </w:rPr>
        <w:t xml:space="preserve"> </w:t>
      </w:r>
      <w:r>
        <w:rPr>
          <w:rFonts w:ascii="Arial" w:hAnsi="Arial" w:eastAsia="Arial" w:cs="Arial"/>
          <w:spacing w:val="-7"/>
          <w:sz w:val="19"/>
          <w:szCs w:val="19"/>
        </w:rPr>
        <w:t>original</w:t>
      </w:r>
      <w:r>
        <w:rPr>
          <w:rFonts w:ascii="Arial" w:hAnsi="Arial" w:eastAsia="Arial" w:cs="Arial"/>
          <w:spacing w:val="42"/>
          <w:w w:val="101"/>
          <w:sz w:val="19"/>
          <w:szCs w:val="19"/>
        </w:rPr>
        <w:t xml:space="preserve"> </w:t>
      </w:r>
      <w:r>
        <w:rPr>
          <w:rFonts w:ascii="Arial" w:hAnsi="Arial" w:eastAsia="Arial" w:cs="Arial"/>
          <w:spacing w:val="-7"/>
          <w:sz w:val="19"/>
          <w:szCs w:val="19"/>
        </w:rPr>
        <w:t>EUA</w:t>
      </w:r>
      <w:r>
        <w:rPr>
          <w:rFonts w:ascii="Arial" w:hAnsi="Arial" w:eastAsia="Arial" w:cs="Arial"/>
          <w:spacing w:val="43"/>
          <w:sz w:val="19"/>
          <w:szCs w:val="19"/>
        </w:rPr>
        <w:t xml:space="preserve"> </w:t>
      </w:r>
      <w:r>
        <w:rPr>
          <w:rFonts w:ascii="Arial" w:hAnsi="Arial" w:eastAsia="Arial" w:cs="Arial"/>
          <w:spacing w:val="-7"/>
          <w:sz w:val="19"/>
          <w:szCs w:val="19"/>
        </w:rPr>
        <w:t>model</w:t>
      </w:r>
      <w:r>
        <w:rPr>
          <w:rFonts w:ascii="Arial" w:hAnsi="Arial" w:eastAsia="Arial" w:cs="Arial"/>
          <w:spacing w:val="41"/>
          <w:w w:val="101"/>
          <w:sz w:val="19"/>
          <w:szCs w:val="19"/>
        </w:rPr>
        <w:t xml:space="preserve"> </w:t>
      </w:r>
      <w:r>
        <w:rPr>
          <w:rFonts w:ascii="Arial" w:hAnsi="Arial" w:eastAsia="Arial" w:cs="Arial"/>
          <w:spacing w:val="-7"/>
          <w:sz w:val="19"/>
          <w:szCs w:val="19"/>
        </w:rPr>
        <w:t>(EUA</w:t>
      </w:r>
      <w:r>
        <w:rPr>
          <w:rFonts w:ascii="Arial" w:hAnsi="Arial" w:eastAsia="Arial" w:cs="Arial"/>
          <w:spacing w:val="29"/>
          <w:sz w:val="19"/>
          <w:szCs w:val="19"/>
        </w:rPr>
        <w:t xml:space="preserve"> </w:t>
      </w:r>
      <w:r>
        <w:fldChar w:fldCharType="begin"/>
      </w:r>
      <w:r>
        <w:instrText xml:space="preserve"> HYPERLINK \l "bookmark69" </w:instrText>
      </w:r>
      <w:r>
        <w:fldChar w:fldCharType="separate"/>
      </w:r>
      <w:r>
        <w:rPr>
          <w:rFonts w:ascii="Arial" w:hAnsi="Arial" w:eastAsia="Arial" w:cs="Arial"/>
          <w:color w:val="000084"/>
          <w:spacing w:val="-7"/>
          <w:sz w:val="19"/>
          <w:szCs w:val="19"/>
        </w:rPr>
        <w:t>2006</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pacing w:val="35"/>
          <w:w w:val="101"/>
          <w:sz w:val="19"/>
          <w:szCs w:val="19"/>
        </w:rPr>
        <w:t xml:space="preserve"> </w:t>
      </w:r>
      <w:r>
        <w:rPr>
          <w:rFonts w:ascii="Arial" w:hAnsi="Arial" w:eastAsia="Arial" w:cs="Arial"/>
          <w:spacing w:val="-7"/>
          <w:sz w:val="19"/>
          <w:szCs w:val="19"/>
        </w:rPr>
        <w:t>and</w:t>
      </w:r>
      <w:r>
        <w:rPr>
          <w:rFonts w:ascii="Arial" w:hAnsi="Arial" w:eastAsia="Arial" w:cs="Arial"/>
          <w:spacing w:val="36"/>
          <w:sz w:val="19"/>
          <w:szCs w:val="19"/>
        </w:rPr>
        <w:t xml:space="preserve"> </w:t>
      </w:r>
      <w:r>
        <w:rPr>
          <w:rFonts w:ascii="Arial" w:hAnsi="Arial" w:eastAsia="Arial" w:cs="Arial"/>
          <w:spacing w:val="-7"/>
          <w:sz w:val="19"/>
          <w:szCs w:val="19"/>
        </w:rPr>
        <w:t>corresponds</w:t>
      </w:r>
      <w:r>
        <w:rPr>
          <w:rFonts w:ascii="Arial" w:hAnsi="Arial" w:eastAsia="Arial" w:cs="Arial"/>
          <w:spacing w:val="32"/>
          <w:sz w:val="19"/>
          <w:szCs w:val="19"/>
        </w:rPr>
        <w:t xml:space="preserve"> </w:t>
      </w:r>
      <w:r>
        <w:rPr>
          <w:rFonts w:ascii="Arial" w:hAnsi="Arial" w:eastAsia="Arial" w:cs="Arial"/>
          <w:spacing w:val="-7"/>
          <w:sz w:val="19"/>
          <w:szCs w:val="19"/>
        </w:rPr>
        <w:t>to</w:t>
      </w:r>
      <w:r>
        <w:rPr>
          <w:rFonts w:ascii="Arial" w:hAnsi="Arial" w:eastAsia="Arial" w:cs="Arial"/>
          <w:spacing w:val="33"/>
          <w:sz w:val="19"/>
          <w:szCs w:val="19"/>
        </w:rPr>
        <w:t xml:space="preserve"> </w:t>
      </w:r>
      <w:r>
        <w:rPr>
          <w:rFonts w:ascii="Arial" w:hAnsi="Arial" w:eastAsia="Arial" w:cs="Arial"/>
          <w:spacing w:val="-7"/>
          <w:sz w:val="19"/>
          <w:szCs w:val="19"/>
        </w:rPr>
        <w:t>the</w:t>
      </w:r>
      <w:r>
        <w:rPr>
          <w:rFonts w:ascii="Arial" w:hAnsi="Arial" w:eastAsia="Arial" w:cs="Arial"/>
          <w:sz w:val="19"/>
          <w:szCs w:val="19"/>
        </w:rPr>
        <w:t xml:space="preserve"> </w:t>
      </w:r>
      <w:r>
        <w:rPr>
          <w:rFonts w:ascii="Arial" w:hAnsi="Arial" w:eastAsia="Arial" w:cs="Arial"/>
          <w:spacing w:val="-3"/>
          <w:sz w:val="19"/>
          <w:szCs w:val="19"/>
        </w:rPr>
        <w:t>recent literature review of Bendermacheretal. (</w:t>
      </w:r>
      <w:r>
        <w:fldChar w:fldCharType="begin"/>
      </w:r>
      <w:r>
        <w:instrText xml:space="preserve"> HYPERLINK \l "bookmark70" </w:instrText>
      </w:r>
      <w:r>
        <w:fldChar w:fldCharType="separate"/>
      </w:r>
      <w:r>
        <w:rPr>
          <w:rFonts w:ascii="Arial" w:hAnsi="Arial" w:eastAsia="Arial" w:cs="Arial"/>
          <w:color w:val="000084"/>
          <w:spacing w:val="-3"/>
          <w:sz w:val="19"/>
          <w:szCs w:val="19"/>
        </w:rPr>
        <w:t>2017</w:t>
      </w:r>
      <w:r>
        <w:rPr>
          <w:rFonts w:ascii="Arial" w:hAnsi="Arial" w:eastAsia="Arial" w:cs="Arial"/>
          <w:color w:val="000084"/>
          <w:spacing w:val="-3"/>
          <w:sz w:val="19"/>
          <w:szCs w:val="19"/>
        </w:rPr>
        <w:fldChar w:fldCharType="end"/>
      </w:r>
      <w:r>
        <w:rPr>
          <w:rFonts w:ascii="Arial" w:hAnsi="Arial" w:eastAsia="Arial" w:cs="Arial"/>
          <w:spacing w:val="-3"/>
          <w:sz w:val="19"/>
          <w:szCs w:val="19"/>
        </w:rPr>
        <w:t>), who identiied leadership and</w:t>
      </w:r>
      <w:r>
        <w:rPr>
          <w:rFonts w:ascii="Arial" w:hAnsi="Arial" w:eastAsia="Arial" w:cs="Arial"/>
          <w:spacing w:val="-4"/>
          <w:sz w:val="19"/>
          <w:szCs w:val="19"/>
        </w:rPr>
        <w:t xml:space="preserve"> communication</w:t>
      </w:r>
      <w:r>
        <w:rPr>
          <w:rFonts w:ascii="Arial" w:hAnsi="Arial" w:eastAsia="Arial" w:cs="Arial"/>
          <w:sz w:val="19"/>
          <w:szCs w:val="19"/>
        </w:rPr>
        <w:t xml:space="preserve"> </w:t>
      </w:r>
      <w:r>
        <w:rPr>
          <w:rFonts w:ascii="Arial" w:hAnsi="Arial" w:eastAsia="Arial" w:cs="Arial"/>
          <w:spacing w:val="-4"/>
          <w:sz w:val="19"/>
          <w:szCs w:val="19"/>
        </w:rPr>
        <w:t>as</w:t>
      </w:r>
      <w:r>
        <w:rPr>
          <w:rFonts w:ascii="Arial" w:hAnsi="Arial" w:eastAsia="Arial" w:cs="Arial"/>
          <w:spacing w:val="21"/>
          <w:sz w:val="19"/>
          <w:szCs w:val="19"/>
        </w:rPr>
        <w:t xml:space="preserve"> </w:t>
      </w:r>
      <w:r>
        <w:rPr>
          <w:rFonts w:ascii="Arial" w:hAnsi="Arial" w:eastAsia="Arial" w:cs="Arial"/>
          <w:spacing w:val="-4"/>
          <w:sz w:val="19"/>
          <w:szCs w:val="19"/>
        </w:rPr>
        <w:t>key</w:t>
      </w:r>
      <w:r>
        <w:rPr>
          <w:rFonts w:ascii="Arial" w:hAnsi="Arial" w:eastAsia="Arial" w:cs="Arial"/>
          <w:spacing w:val="14"/>
          <w:sz w:val="19"/>
          <w:szCs w:val="19"/>
        </w:rPr>
        <w:t xml:space="preserve"> </w:t>
      </w:r>
      <w:r>
        <w:rPr>
          <w:rFonts w:ascii="Arial" w:hAnsi="Arial" w:eastAsia="Arial" w:cs="Arial"/>
          <w:spacing w:val="-4"/>
          <w:sz w:val="19"/>
          <w:szCs w:val="19"/>
        </w:rPr>
        <w:t>elements</w:t>
      </w:r>
      <w:r>
        <w:rPr>
          <w:rFonts w:ascii="Arial" w:hAnsi="Arial" w:eastAsia="Arial" w:cs="Arial"/>
          <w:spacing w:val="18"/>
          <w:sz w:val="19"/>
          <w:szCs w:val="19"/>
        </w:rPr>
        <w:t xml:space="preserve"> </w:t>
      </w:r>
      <w:r>
        <w:rPr>
          <w:rFonts w:ascii="Arial" w:hAnsi="Arial" w:eastAsia="Arial" w:cs="Arial"/>
          <w:spacing w:val="-4"/>
          <w:sz w:val="19"/>
          <w:szCs w:val="19"/>
        </w:rPr>
        <w:t>in</w:t>
      </w:r>
      <w:r>
        <w:rPr>
          <w:rFonts w:ascii="Arial" w:hAnsi="Arial" w:eastAsia="Arial" w:cs="Arial"/>
          <w:spacing w:val="19"/>
          <w:w w:val="101"/>
          <w:sz w:val="19"/>
          <w:szCs w:val="19"/>
        </w:rPr>
        <w:t xml:space="preserve"> </w:t>
      </w:r>
      <w:r>
        <w:rPr>
          <w:rFonts w:ascii="Arial" w:hAnsi="Arial" w:eastAsia="Arial" w:cs="Arial"/>
          <w:spacing w:val="-4"/>
          <w:sz w:val="19"/>
          <w:szCs w:val="19"/>
        </w:rPr>
        <w:t>binding</w:t>
      </w:r>
      <w:r>
        <w:rPr>
          <w:rFonts w:ascii="Arial" w:hAnsi="Arial" w:eastAsia="Arial" w:cs="Arial"/>
          <w:spacing w:val="13"/>
          <w:w w:val="101"/>
          <w:sz w:val="19"/>
          <w:szCs w:val="19"/>
        </w:rPr>
        <w:t xml:space="preserve"> </w:t>
      </w:r>
      <w:r>
        <w:rPr>
          <w:rFonts w:ascii="Arial" w:hAnsi="Arial" w:eastAsia="Arial" w:cs="Arial"/>
          <w:spacing w:val="-4"/>
          <w:sz w:val="19"/>
          <w:szCs w:val="19"/>
        </w:rPr>
        <w:t>structural</w:t>
      </w:r>
      <w:r>
        <w:rPr>
          <w:rFonts w:ascii="Arial" w:hAnsi="Arial" w:eastAsia="Arial" w:cs="Arial"/>
          <w:spacing w:val="12"/>
          <w:sz w:val="19"/>
          <w:szCs w:val="19"/>
        </w:rPr>
        <w:t xml:space="preserve"> </w:t>
      </w:r>
      <w:r>
        <w:rPr>
          <w:rFonts w:ascii="Arial" w:hAnsi="Arial" w:eastAsia="Arial" w:cs="Arial"/>
          <w:spacing w:val="-4"/>
          <w:sz w:val="19"/>
          <w:szCs w:val="19"/>
        </w:rPr>
        <w:t>and</w:t>
      </w:r>
      <w:r>
        <w:rPr>
          <w:rFonts w:ascii="Arial" w:hAnsi="Arial" w:eastAsia="Arial" w:cs="Arial"/>
          <w:spacing w:val="20"/>
          <w:w w:val="101"/>
          <w:sz w:val="19"/>
          <w:szCs w:val="19"/>
        </w:rPr>
        <w:t xml:space="preserve"> </w:t>
      </w:r>
      <w:r>
        <w:rPr>
          <w:rFonts w:ascii="Arial" w:hAnsi="Arial" w:eastAsia="Arial" w:cs="Arial"/>
          <w:spacing w:val="-4"/>
          <w:sz w:val="19"/>
          <w:szCs w:val="19"/>
        </w:rPr>
        <w:t>p</w:t>
      </w:r>
      <w:r>
        <w:rPr>
          <w:rFonts w:ascii="Arial" w:hAnsi="Arial" w:eastAsia="Arial" w:cs="Arial"/>
          <w:spacing w:val="-5"/>
          <w:sz w:val="19"/>
          <w:szCs w:val="19"/>
        </w:rPr>
        <w:t>sychological</w:t>
      </w:r>
      <w:r>
        <w:rPr>
          <w:rFonts w:ascii="Arial" w:hAnsi="Arial" w:eastAsia="Arial" w:cs="Arial"/>
          <w:spacing w:val="12"/>
          <w:sz w:val="19"/>
          <w:szCs w:val="19"/>
        </w:rPr>
        <w:t xml:space="preserve"> </w:t>
      </w:r>
      <w:r>
        <w:rPr>
          <w:rFonts w:ascii="Arial" w:hAnsi="Arial" w:eastAsia="Arial" w:cs="Arial"/>
          <w:spacing w:val="-5"/>
          <w:sz w:val="19"/>
          <w:szCs w:val="19"/>
        </w:rPr>
        <w:t>aspects</w:t>
      </w:r>
      <w:r>
        <w:rPr>
          <w:rFonts w:ascii="Arial" w:hAnsi="Arial" w:eastAsia="Arial" w:cs="Arial"/>
          <w:spacing w:val="14"/>
          <w:sz w:val="19"/>
          <w:szCs w:val="19"/>
        </w:rPr>
        <w:t xml:space="preserve"> </w:t>
      </w:r>
      <w:r>
        <w:rPr>
          <w:rFonts w:ascii="Arial" w:hAnsi="Arial" w:eastAsia="Arial" w:cs="Arial"/>
          <w:spacing w:val="-5"/>
          <w:sz w:val="19"/>
          <w:szCs w:val="19"/>
        </w:rPr>
        <w:t>of quality</w:t>
      </w:r>
      <w:r>
        <w:rPr>
          <w:rFonts w:ascii="Arial" w:hAnsi="Arial" w:eastAsia="Arial" w:cs="Arial"/>
          <w:spacing w:val="13"/>
          <w:w w:val="101"/>
          <w:sz w:val="19"/>
          <w:szCs w:val="19"/>
        </w:rPr>
        <w:t xml:space="preserve"> </w:t>
      </w:r>
      <w:r>
        <w:rPr>
          <w:rFonts w:ascii="Arial" w:hAnsi="Arial" w:eastAsia="Arial" w:cs="Arial"/>
          <w:spacing w:val="-5"/>
          <w:sz w:val="19"/>
          <w:szCs w:val="19"/>
        </w:rPr>
        <w:t>culture.</w:t>
      </w:r>
      <w:r>
        <w:rPr>
          <w:rFonts w:ascii="Arial" w:hAnsi="Arial" w:eastAsia="Arial" w:cs="Arial"/>
          <w:spacing w:val="15"/>
          <w:sz w:val="19"/>
          <w:szCs w:val="19"/>
        </w:rPr>
        <w:t xml:space="preserve"> </w:t>
      </w:r>
      <w:r>
        <w:rPr>
          <w:rFonts w:ascii="Arial" w:hAnsi="Arial" w:eastAsia="Arial" w:cs="Arial"/>
          <w:spacing w:val="-5"/>
          <w:sz w:val="19"/>
          <w:szCs w:val="19"/>
        </w:rPr>
        <w:t>Our inal</w:t>
      </w:r>
      <w:r>
        <w:rPr>
          <w:rFonts w:ascii="Arial" w:hAnsi="Arial" w:eastAsia="Arial" w:cs="Arial"/>
          <w:spacing w:val="13"/>
          <w:sz w:val="19"/>
          <w:szCs w:val="19"/>
        </w:rPr>
        <w:t xml:space="preserve"> </w:t>
      </w:r>
      <w:r>
        <w:rPr>
          <w:rFonts w:ascii="Arial" w:hAnsi="Arial" w:eastAsia="Arial" w:cs="Arial"/>
          <w:spacing w:val="-5"/>
          <w:sz w:val="19"/>
          <w:szCs w:val="19"/>
        </w:rPr>
        <w:t>quality</w:t>
      </w:r>
      <w:r>
        <w:rPr>
          <w:rFonts w:ascii="Arial" w:hAnsi="Arial" w:eastAsia="Arial" w:cs="Arial"/>
          <w:sz w:val="19"/>
          <w:szCs w:val="19"/>
        </w:rPr>
        <w:t xml:space="preserve"> </w:t>
      </w:r>
      <w:r>
        <w:rPr>
          <w:rFonts w:ascii="Arial" w:hAnsi="Arial" w:eastAsia="Arial" w:cs="Arial"/>
          <w:spacing w:val="-6"/>
          <w:sz w:val="19"/>
          <w:szCs w:val="19"/>
        </w:rPr>
        <w:t>culture</w:t>
      </w:r>
      <w:r>
        <w:rPr>
          <w:rFonts w:ascii="Arial" w:hAnsi="Arial" w:eastAsia="Arial" w:cs="Arial"/>
          <w:spacing w:val="19"/>
          <w:w w:val="101"/>
          <w:sz w:val="19"/>
          <w:szCs w:val="19"/>
        </w:rPr>
        <w:t xml:space="preserve"> </w:t>
      </w:r>
      <w:r>
        <w:rPr>
          <w:rFonts w:ascii="Arial" w:hAnsi="Arial" w:eastAsia="Arial" w:cs="Arial"/>
          <w:spacing w:val="-6"/>
          <w:sz w:val="19"/>
          <w:szCs w:val="19"/>
        </w:rPr>
        <w:t>model</w:t>
      </w:r>
      <w:r>
        <w:rPr>
          <w:rFonts w:ascii="Arial" w:hAnsi="Arial" w:eastAsia="Arial" w:cs="Arial"/>
          <w:spacing w:val="12"/>
          <w:sz w:val="19"/>
          <w:szCs w:val="19"/>
        </w:rPr>
        <w:t xml:space="preserve"> </w:t>
      </w:r>
      <w:r>
        <w:rPr>
          <w:rFonts w:ascii="Arial" w:hAnsi="Arial" w:eastAsia="Arial" w:cs="Arial"/>
          <w:spacing w:val="-6"/>
          <w:sz w:val="19"/>
          <w:szCs w:val="19"/>
        </w:rPr>
        <w:t>served</w:t>
      </w:r>
      <w:r>
        <w:rPr>
          <w:rFonts w:ascii="Arial" w:hAnsi="Arial" w:eastAsia="Arial" w:cs="Arial"/>
          <w:spacing w:val="12"/>
          <w:sz w:val="19"/>
          <w:szCs w:val="19"/>
        </w:rPr>
        <w:t xml:space="preserve"> </w:t>
      </w:r>
      <w:r>
        <w:rPr>
          <w:rFonts w:ascii="Arial" w:hAnsi="Arial" w:eastAsia="Arial" w:cs="Arial"/>
          <w:spacing w:val="-6"/>
          <w:sz w:val="19"/>
          <w:szCs w:val="19"/>
        </w:rPr>
        <w:t>as</w:t>
      </w:r>
      <w:r>
        <w:rPr>
          <w:rFonts w:ascii="Arial" w:hAnsi="Arial" w:eastAsia="Arial" w:cs="Arial"/>
          <w:spacing w:val="11"/>
          <w:sz w:val="19"/>
          <w:szCs w:val="19"/>
        </w:rPr>
        <w:t xml:space="preserve"> </w:t>
      </w:r>
      <w:r>
        <w:rPr>
          <w:rFonts w:ascii="Arial" w:hAnsi="Arial" w:eastAsia="Arial" w:cs="Arial"/>
          <w:spacing w:val="-6"/>
          <w:sz w:val="19"/>
          <w:szCs w:val="19"/>
        </w:rPr>
        <w:t>an</w:t>
      </w:r>
      <w:r>
        <w:rPr>
          <w:rFonts w:ascii="Arial" w:hAnsi="Arial" w:eastAsia="Arial" w:cs="Arial"/>
          <w:spacing w:val="12"/>
          <w:sz w:val="19"/>
          <w:szCs w:val="19"/>
        </w:rPr>
        <w:t xml:space="preserve"> </w:t>
      </w:r>
      <w:r>
        <w:rPr>
          <w:rFonts w:ascii="Arial" w:hAnsi="Arial" w:eastAsia="Arial" w:cs="Arial"/>
          <w:spacing w:val="-6"/>
          <w:sz w:val="19"/>
          <w:szCs w:val="19"/>
        </w:rPr>
        <w:t>empirical</w:t>
      </w:r>
      <w:r>
        <w:rPr>
          <w:rFonts w:ascii="Arial" w:hAnsi="Arial" w:eastAsia="Arial" w:cs="Arial"/>
          <w:spacing w:val="18"/>
          <w:sz w:val="19"/>
          <w:szCs w:val="19"/>
        </w:rPr>
        <w:t xml:space="preserve"> </w:t>
      </w:r>
      <w:r>
        <w:rPr>
          <w:rFonts w:ascii="Arial" w:hAnsi="Arial" w:eastAsia="Arial" w:cs="Arial"/>
          <w:spacing w:val="-6"/>
          <w:sz w:val="19"/>
          <w:szCs w:val="19"/>
        </w:rPr>
        <w:t>basis for</w:t>
      </w:r>
      <w:r>
        <w:rPr>
          <w:rFonts w:ascii="Arial" w:hAnsi="Arial" w:eastAsia="Arial" w:cs="Arial"/>
          <w:spacing w:val="13"/>
          <w:sz w:val="19"/>
          <w:szCs w:val="19"/>
        </w:rPr>
        <w:t xml:space="preserve"> </w:t>
      </w:r>
      <w:r>
        <w:rPr>
          <w:rFonts w:ascii="Arial" w:hAnsi="Arial" w:eastAsia="Arial" w:cs="Arial"/>
          <w:spacing w:val="-6"/>
          <w:sz w:val="19"/>
          <w:szCs w:val="19"/>
        </w:rPr>
        <w:t>devel</w:t>
      </w:r>
      <w:r>
        <w:rPr>
          <w:rFonts w:ascii="Arial" w:hAnsi="Arial" w:eastAsia="Arial" w:cs="Arial"/>
          <w:spacing w:val="-7"/>
          <w:sz w:val="19"/>
          <w:szCs w:val="19"/>
        </w:rPr>
        <w:t>oping the</w:t>
      </w:r>
      <w:r>
        <w:rPr>
          <w:rFonts w:ascii="Arial" w:hAnsi="Arial" w:eastAsia="Arial" w:cs="Arial"/>
          <w:spacing w:val="11"/>
          <w:sz w:val="19"/>
          <w:szCs w:val="19"/>
        </w:rPr>
        <w:t xml:space="preserve"> </w:t>
      </w:r>
      <w:r>
        <w:rPr>
          <w:rFonts w:ascii="Arial" w:hAnsi="Arial" w:eastAsia="Arial" w:cs="Arial"/>
          <w:spacing w:val="-7"/>
          <w:sz w:val="19"/>
          <w:szCs w:val="19"/>
        </w:rPr>
        <w:t>QCI.</w:t>
      </w:r>
    </w:p>
    <w:p>
      <w:pPr>
        <w:spacing w:line="285" w:lineRule="auto"/>
        <w:rPr>
          <w:rFonts w:ascii="Arial"/>
          <w:sz w:val="21"/>
        </w:rPr>
      </w:pPr>
    </w:p>
    <w:p>
      <w:pPr>
        <w:spacing w:line="285" w:lineRule="auto"/>
        <w:rPr>
          <w:rFonts w:ascii="Arial"/>
          <w:sz w:val="21"/>
        </w:rPr>
      </w:pPr>
    </w:p>
    <w:p>
      <w:pPr>
        <w:spacing w:before="58" w:line="195" w:lineRule="auto"/>
        <w:ind w:left="280"/>
        <w:outlineLvl w:val="3"/>
        <w:rPr>
          <w:rFonts w:ascii="Arial" w:hAnsi="Arial" w:eastAsia="Arial" w:cs="Arial"/>
          <w:sz w:val="20"/>
          <w:szCs w:val="20"/>
        </w:rPr>
      </w:pPr>
      <w:r>
        <w:rPr>
          <w:rFonts w:ascii="Arial" w:hAnsi="Arial" w:eastAsia="Arial" w:cs="Arial"/>
          <w:color w:val="282781"/>
          <w:spacing w:val="-2"/>
          <w:sz w:val="20"/>
          <w:szCs w:val="20"/>
        </w:rPr>
        <w:t>Quality Culture Inventory</w:t>
      </w:r>
      <w:r>
        <w:rPr>
          <w:rFonts w:ascii="Arial" w:hAnsi="Arial" w:eastAsia="Arial" w:cs="Arial"/>
          <w:color w:val="282781"/>
          <w:spacing w:val="17"/>
          <w:w w:val="101"/>
          <w:sz w:val="20"/>
          <w:szCs w:val="20"/>
        </w:rPr>
        <w:t xml:space="preserve"> </w:t>
      </w:r>
      <w:r>
        <w:rPr>
          <w:rFonts w:ascii="Arial" w:hAnsi="Arial" w:eastAsia="Arial" w:cs="Arial"/>
          <w:color w:val="282781"/>
          <w:spacing w:val="-2"/>
          <w:sz w:val="20"/>
          <w:szCs w:val="20"/>
        </w:rPr>
        <w:t>(QCI)</w:t>
      </w:r>
    </w:p>
    <w:p>
      <w:pPr>
        <w:spacing w:before="175" w:line="258" w:lineRule="auto"/>
        <w:ind w:left="273" w:hanging="2"/>
        <w:jc w:val="both"/>
        <w:rPr>
          <w:rFonts w:ascii="Arial" w:hAnsi="Arial" w:eastAsia="Arial" w:cs="Arial"/>
          <w:sz w:val="19"/>
          <w:szCs w:val="19"/>
        </w:rPr>
      </w:pPr>
      <w:r>
        <w:rPr>
          <w:rFonts w:ascii="Arial" w:hAnsi="Arial" w:eastAsia="Arial" w:cs="Arial"/>
          <w:spacing w:val="-5"/>
          <w:sz w:val="19"/>
          <w:szCs w:val="19"/>
        </w:rPr>
        <w:t>The</w:t>
      </w:r>
      <w:r>
        <w:rPr>
          <w:rFonts w:ascii="Arial" w:hAnsi="Arial" w:eastAsia="Arial" w:cs="Arial"/>
          <w:spacing w:val="23"/>
          <w:w w:val="101"/>
          <w:sz w:val="19"/>
          <w:szCs w:val="19"/>
        </w:rPr>
        <w:t xml:space="preserve"> </w:t>
      </w:r>
      <w:r>
        <w:rPr>
          <w:rFonts w:ascii="Arial" w:hAnsi="Arial" w:eastAsia="Arial" w:cs="Arial"/>
          <w:spacing w:val="-5"/>
          <w:sz w:val="19"/>
          <w:szCs w:val="19"/>
        </w:rPr>
        <w:t>QCI</w:t>
      </w:r>
      <w:r>
        <w:rPr>
          <w:rFonts w:ascii="Arial" w:hAnsi="Arial" w:eastAsia="Arial" w:cs="Arial"/>
          <w:spacing w:val="24"/>
          <w:sz w:val="19"/>
          <w:szCs w:val="19"/>
        </w:rPr>
        <w:t xml:space="preserve"> </w:t>
      </w:r>
      <w:r>
        <w:rPr>
          <w:rFonts w:ascii="Arial" w:hAnsi="Arial" w:eastAsia="Arial" w:cs="Arial"/>
          <w:spacing w:val="-5"/>
          <w:sz w:val="19"/>
          <w:szCs w:val="19"/>
        </w:rPr>
        <w:t>consists</w:t>
      </w:r>
      <w:r>
        <w:rPr>
          <w:rFonts w:ascii="Arial" w:hAnsi="Arial" w:eastAsia="Arial" w:cs="Arial"/>
          <w:spacing w:val="24"/>
          <w:sz w:val="19"/>
          <w:szCs w:val="19"/>
        </w:rPr>
        <w:t xml:space="preserve"> </w:t>
      </w:r>
      <w:r>
        <w:rPr>
          <w:rFonts w:ascii="Arial" w:hAnsi="Arial" w:eastAsia="Arial" w:cs="Arial"/>
          <w:spacing w:val="-5"/>
          <w:sz w:val="19"/>
          <w:szCs w:val="19"/>
        </w:rPr>
        <w:t>of</w:t>
      </w:r>
      <w:r>
        <w:rPr>
          <w:rFonts w:ascii="Arial" w:hAnsi="Arial" w:eastAsia="Arial" w:cs="Arial"/>
          <w:spacing w:val="13"/>
          <w:sz w:val="19"/>
          <w:szCs w:val="19"/>
        </w:rPr>
        <w:t xml:space="preserve"> </w:t>
      </w:r>
      <w:r>
        <w:rPr>
          <w:rFonts w:ascii="Arial" w:hAnsi="Arial" w:eastAsia="Arial" w:cs="Arial"/>
          <w:spacing w:val="-5"/>
          <w:sz w:val="19"/>
          <w:szCs w:val="19"/>
        </w:rPr>
        <w:t>two</w:t>
      </w:r>
      <w:r>
        <w:rPr>
          <w:rFonts w:ascii="Arial" w:hAnsi="Arial" w:eastAsia="Arial" w:cs="Arial"/>
          <w:spacing w:val="24"/>
          <w:sz w:val="19"/>
          <w:szCs w:val="19"/>
        </w:rPr>
        <w:t xml:space="preserve"> </w:t>
      </w:r>
      <w:r>
        <w:rPr>
          <w:rFonts w:ascii="Arial" w:hAnsi="Arial" w:eastAsia="Arial" w:cs="Arial"/>
          <w:spacing w:val="-5"/>
          <w:sz w:val="19"/>
          <w:szCs w:val="19"/>
        </w:rPr>
        <w:t>questionnaires</w:t>
      </w:r>
      <w:r>
        <w:rPr>
          <w:rFonts w:ascii="Arial" w:hAnsi="Arial" w:eastAsia="Arial" w:cs="Arial"/>
          <w:spacing w:val="25"/>
          <w:sz w:val="19"/>
          <w:szCs w:val="19"/>
        </w:rPr>
        <w:t xml:space="preserve"> </w:t>
      </w:r>
      <w:r>
        <w:rPr>
          <w:rFonts w:ascii="Arial" w:hAnsi="Arial" w:eastAsia="Arial" w:cs="Arial"/>
          <w:spacing w:val="-5"/>
          <w:sz w:val="19"/>
          <w:szCs w:val="19"/>
        </w:rPr>
        <w:t>operationalizing</w:t>
      </w:r>
      <w:r>
        <w:rPr>
          <w:rFonts w:ascii="Arial" w:hAnsi="Arial" w:eastAsia="Arial" w:cs="Arial"/>
          <w:spacing w:val="20"/>
          <w:w w:val="101"/>
          <w:sz w:val="19"/>
          <w:szCs w:val="19"/>
        </w:rPr>
        <w:t xml:space="preserve"> </w:t>
      </w:r>
      <w:r>
        <w:rPr>
          <w:rFonts w:ascii="Arial" w:hAnsi="Arial" w:eastAsia="Arial" w:cs="Arial"/>
          <w:spacing w:val="-5"/>
          <w:sz w:val="19"/>
          <w:szCs w:val="19"/>
        </w:rPr>
        <w:t>various</w:t>
      </w:r>
      <w:r>
        <w:rPr>
          <w:rFonts w:ascii="Arial" w:hAnsi="Arial" w:eastAsia="Arial" w:cs="Arial"/>
          <w:spacing w:val="23"/>
          <w:w w:val="101"/>
          <w:sz w:val="19"/>
          <w:szCs w:val="19"/>
        </w:rPr>
        <w:t xml:space="preserve"> </w:t>
      </w:r>
      <w:r>
        <w:rPr>
          <w:rFonts w:ascii="Arial" w:hAnsi="Arial" w:eastAsia="Arial" w:cs="Arial"/>
          <w:spacing w:val="-5"/>
          <w:sz w:val="19"/>
          <w:szCs w:val="19"/>
        </w:rPr>
        <w:t>quality</w:t>
      </w:r>
      <w:r>
        <w:rPr>
          <w:rFonts w:ascii="Arial" w:hAnsi="Arial" w:eastAsia="Arial" w:cs="Arial"/>
          <w:spacing w:val="24"/>
          <w:w w:val="101"/>
          <w:sz w:val="19"/>
          <w:szCs w:val="19"/>
        </w:rPr>
        <w:t xml:space="preserve"> </w:t>
      </w:r>
      <w:r>
        <w:rPr>
          <w:rFonts w:ascii="Arial" w:hAnsi="Arial" w:eastAsia="Arial" w:cs="Arial"/>
          <w:spacing w:val="-5"/>
          <w:sz w:val="19"/>
          <w:szCs w:val="19"/>
        </w:rPr>
        <w:t>culture</w:t>
      </w:r>
      <w:r>
        <w:rPr>
          <w:rFonts w:ascii="Arial" w:hAnsi="Arial" w:eastAsia="Arial" w:cs="Arial"/>
          <w:spacing w:val="25"/>
          <w:w w:val="101"/>
          <w:sz w:val="19"/>
          <w:szCs w:val="19"/>
        </w:rPr>
        <w:t xml:space="preserve"> </w:t>
      </w:r>
      <w:r>
        <w:rPr>
          <w:rFonts w:ascii="Arial" w:hAnsi="Arial" w:eastAsia="Arial" w:cs="Arial"/>
          <w:spacing w:val="-5"/>
          <w:sz w:val="19"/>
          <w:szCs w:val="19"/>
        </w:rPr>
        <w:t>dimensio</w:t>
      </w:r>
      <w:r>
        <w:rPr>
          <w:rFonts w:ascii="Arial" w:hAnsi="Arial" w:eastAsia="Arial" w:cs="Arial"/>
          <w:spacing w:val="-6"/>
          <w:sz w:val="19"/>
          <w:szCs w:val="19"/>
        </w:rPr>
        <w:t>ns</w:t>
      </w:r>
      <w:r>
        <w:rPr>
          <w:rFonts w:ascii="Arial" w:hAnsi="Arial" w:eastAsia="Arial" w:cs="Arial"/>
          <w:spacing w:val="20"/>
          <w:sz w:val="19"/>
          <w:szCs w:val="19"/>
        </w:rPr>
        <w:t xml:space="preserve"> </w:t>
      </w:r>
      <w:r>
        <w:rPr>
          <w:rFonts w:ascii="Arial" w:hAnsi="Arial" w:eastAsia="Arial" w:cs="Arial"/>
          <w:spacing w:val="-6"/>
          <w:sz w:val="19"/>
          <w:szCs w:val="19"/>
        </w:rPr>
        <w:t>within</w:t>
      </w:r>
      <w:r>
        <w:rPr>
          <w:rFonts w:ascii="Arial" w:hAnsi="Arial" w:eastAsia="Arial" w:cs="Arial"/>
          <w:sz w:val="19"/>
          <w:szCs w:val="19"/>
        </w:rPr>
        <w:t xml:space="preserve"> </w:t>
      </w:r>
      <w:r>
        <w:rPr>
          <w:rFonts w:ascii="Arial" w:hAnsi="Arial" w:eastAsia="Arial" w:cs="Arial"/>
          <w:spacing w:val="-7"/>
          <w:sz w:val="19"/>
          <w:szCs w:val="19"/>
        </w:rPr>
        <w:t>HEIs.</w:t>
      </w:r>
      <w:r>
        <w:rPr>
          <w:rFonts w:ascii="Arial" w:hAnsi="Arial" w:eastAsia="Arial" w:cs="Arial"/>
          <w:spacing w:val="33"/>
          <w:sz w:val="19"/>
          <w:szCs w:val="19"/>
        </w:rPr>
        <w:t xml:space="preserve"> </w:t>
      </w:r>
      <w:r>
        <w:rPr>
          <w:rFonts w:ascii="Arial" w:hAnsi="Arial" w:eastAsia="Arial" w:cs="Arial"/>
          <w:spacing w:val="-7"/>
          <w:sz w:val="19"/>
          <w:szCs w:val="19"/>
        </w:rPr>
        <w:t>The</w:t>
      </w:r>
      <w:r>
        <w:rPr>
          <w:rFonts w:ascii="Arial" w:hAnsi="Arial" w:eastAsia="Arial" w:cs="Arial"/>
          <w:spacing w:val="40"/>
          <w:w w:val="101"/>
          <w:sz w:val="19"/>
          <w:szCs w:val="19"/>
        </w:rPr>
        <w:t xml:space="preserve"> </w:t>
      </w:r>
      <w:r>
        <w:rPr>
          <w:rFonts w:ascii="Arial" w:hAnsi="Arial" w:eastAsia="Arial" w:cs="Arial"/>
          <w:spacing w:val="-7"/>
          <w:sz w:val="19"/>
          <w:szCs w:val="19"/>
        </w:rPr>
        <w:t>struc</w:t>
      </w:r>
      <w:r>
        <w:rPr>
          <w:rFonts w:ascii="Arial" w:hAnsi="Arial" w:eastAsia="Arial" w:cs="Arial"/>
          <w:spacing w:val="-6"/>
          <w:sz w:val="19"/>
          <w:szCs w:val="19"/>
        </w:rPr>
        <w:t>tural-formal</w:t>
      </w:r>
      <w:r>
        <w:rPr>
          <w:rFonts w:ascii="Arial" w:hAnsi="Arial" w:eastAsia="Arial" w:cs="Arial"/>
          <w:spacing w:val="41"/>
          <w:sz w:val="19"/>
          <w:szCs w:val="19"/>
        </w:rPr>
        <w:t xml:space="preserve"> </w:t>
      </w:r>
      <w:r>
        <w:rPr>
          <w:rFonts w:ascii="Arial" w:hAnsi="Arial" w:eastAsia="Arial" w:cs="Arial"/>
          <w:spacing w:val="-6"/>
          <w:sz w:val="19"/>
          <w:szCs w:val="19"/>
        </w:rPr>
        <w:t>questionnaire</w:t>
      </w:r>
      <w:r>
        <w:rPr>
          <w:rFonts w:ascii="Arial" w:hAnsi="Arial" w:eastAsia="Arial" w:cs="Arial"/>
          <w:spacing w:val="40"/>
          <w:w w:val="101"/>
          <w:sz w:val="19"/>
          <w:szCs w:val="19"/>
        </w:rPr>
        <w:t xml:space="preserve"> </w:t>
      </w:r>
      <w:r>
        <w:rPr>
          <w:rFonts w:ascii="Arial" w:hAnsi="Arial" w:eastAsia="Arial" w:cs="Arial"/>
          <w:spacing w:val="-6"/>
          <w:sz w:val="19"/>
          <w:szCs w:val="19"/>
        </w:rPr>
        <w:t>covers  normative,</w:t>
      </w:r>
      <w:r>
        <w:rPr>
          <w:rFonts w:ascii="Arial" w:hAnsi="Arial" w:eastAsia="Arial" w:cs="Arial"/>
          <w:spacing w:val="39"/>
          <w:w w:val="101"/>
          <w:sz w:val="19"/>
          <w:szCs w:val="19"/>
        </w:rPr>
        <w:t xml:space="preserve"> </w:t>
      </w:r>
      <w:r>
        <w:rPr>
          <w:rFonts w:ascii="Arial" w:hAnsi="Arial" w:eastAsia="Arial" w:cs="Arial"/>
          <w:spacing w:val="-6"/>
          <w:sz w:val="19"/>
          <w:szCs w:val="19"/>
        </w:rPr>
        <w:t>strategic,</w:t>
      </w:r>
      <w:r>
        <w:rPr>
          <w:rFonts w:ascii="Arial" w:hAnsi="Arial" w:eastAsia="Arial" w:cs="Arial"/>
          <w:spacing w:val="39"/>
          <w:w w:val="101"/>
          <w:sz w:val="19"/>
          <w:szCs w:val="19"/>
        </w:rPr>
        <w:t xml:space="preserve"> </w:t>
      </w:r>
      <w:r>
        <w:rPr>
          <w:rFonts w:ascii="Arial" w:hAnsi="Arial" w:eastAsia="Arial" w:cs="Arial"/>
          <w:spacing w:val="-6"/>
          <w:sz w:val="19"/>
          <w:szCs w:val="19"/>
        </w:rPr>
        <w:t>and</w:t>
      </w:r>
      <w:r>
        <w:rPr>
          <w:rFonts w:ascii="Arial" w:hAnsi="Arial" w:eastAsia="Arial" w:cs="Arial"/>
          <w:spacing w:val="41"/>
          <w:sz w:val="19"/>
          <w:szCs w:val="19"/>
        </w:rPr>
        <w:t xml:space="preserve"> </w:t>
      </w:r>
      <w:r>
        <w:rPr>
          <w:rFonts w:ascii="Arial" w:hAnsi="Arial" w:eastAsia="Arial" w:cs="Arial"/>
          <w:spacing w:val="-6"/>
          <w:sz w:val="19"/>
          <w:szCs w:val="19"/>
        </w:rPr>
        <w:t>operati</w:t>
      </w:r>
      <w:r>
        <w:rPr>
          <w:rFonts w:ascii="Arial" w:hAnsi="Arial" w:eastAsia="Arial" w:cs="Arial"/>
          <w:spacing w:val="-7"/>
          <w:sz w:val="19"/>
          <w:szCs w:val="19"/>
        </w:rPr>
        <w:t>ve</w:t>
      </w:r>
      <w:r>
        <w:rPr>
          <w:rFonts w:ascii="Arial" w:hAnsi="Arial" w:eastAsia="Arial" w:cs="Arial"/>
          <w:spacing w:val="41"/>
          <w:w w:val="101"/>
          <w:sz w:val="19"/>
          <w:szCs w:val="19"/>
        </w:rPr>
        <w:t xml:space="preserve"> </w:t>
      </w:r>
      <w:r>
        <w:rPr>
          <w:rFonts w:ascii="Arial" w:hAnsi="Arial" w:eastAsia="Arial" w:cs="Arial"/>
          <w:spacing w:val="-7"/>
          <w:sz w:val="19"/>
          <w:szCs w:val="19"/>
        </w:rPr>
        <w:t>elements</w:t>
      </w:r>
      <w:r>
        <w:rPr>
          <w:rFonts w:ascii="Arial" w:hAnsi="Arial" w:eastAsia="Arial" w:cs="Arial"/>
          <w:spacing w:val="39"/>
          <w:sz w:val="19"/>
          <w:szCs w:val="19"/>
        </w:rPr>
        <w:t xml:space="preserve"> </w:t>
      </w:r>
      <w:r>
        <w:rPr>
          <w:rFonts w:ascii="Arial" w:hAnsi="Arial" w:eastAsia="Arial" w:cs="Arial"/>
          <w:spacing w:val="-7"/>
          <w:sz w:val="19"/>
          <w:szCs w:val="19"/>
        </w:rPr>
        <w:t>o</w:t>
      </w:r>
      <w:r>
        <w:rPr>
          <w:rFonts w:ascii="Arial" w:hAnsi="Arial" w:eastAsia="Arial" w:cs="Arial"/>
          <w:spacing w:val="6"/>
          <w:sz w:val="19"/>
          <w:szCs w:val="19"/>
        </w:rPr>
        <w:t>f</w:t>
      </w:r>
      <w:r>
        <w:rPr>
          <w:rFonts w:ascii="Arial" w:hAnsi="Arial" w:eastAsia="Arial" w:cs="Arial"/>
          <w:sz w:val="19"/>
          <w:szCs w:val="19"/>
        </w:rPr>
        <w:t xml:space="preserve"> </w:t>
      </w:r>
      <w:r>
        <w:rPr>
          <w:rFonts w:ascii="Arial" w:hAnsi="Arial" w:eastAsia="Arial" w:cs="Arial"/>
          <w:spacing w:val="-6"/>
          <w:sz w:val="19"/>
          <w:szCs w:val="19"/>
        </w:rPr>
        <w:t>quality</w:t>
      </w:r>
      <w:r>
        <w:rPr>
          <w:rFonts w:ascii="Arial" w:hAnsi="Arial" w:eastAsia="Arial" w:cs="Arial"/>
          <w:spacing w:val="30"/>
          <w:sz w:val="19"/>
          <w:szCs w:val="19"/>
        </w:rPr>
        <w:t xml:space="preserve"> </w:t>
      </w:r>
      <w:r>
        <w:rPr>
          <w:rFonts w:ascii="Arial" w:hAnsi="Arial" w:eastAsia="Arial" w:cs="Arial"/>
          <w:spacing w:val="-6"/>
          <w:sz w:val="19"/>
          <w:szCs w:val="19"/>
        </w:rPr>
        <w:t>assurance.</w:t>
      </w:r>
      <w:r>
        <w:rPr>
          <w:rFonts w:ascii="Arial" w:hAnsi="Arial" w:eastAsia="Arial" w:cs="Arial"/>
          <w:spacing w:val="38"/>
          <w:sz w:val="19"/>
          <w:szCs w:val="19"/>
        </w:rPr>
        <w:t xml:space="preserve"> </w:t>
      </w:r>
      <w:r>
        <w:rPr>
          <w:rFonts w:ascii="Arial" w:hAnsi="Arial" w:eastAsia="Arial" w:cs="Arial"/>
          <w:spacing w:val="-6"/>
          <w:sz w:val="19"/>
          <w:szCs w:val="19"/>
        </w:rPr>
        <w:t>It</w:t>
      </w:r>
      <w:r>
        <w:rPr>
          <w:rFonts w:ascii="Arial" w:hAnsi="Arial" w:eastAsia="Arial" w:cs="Arial"/>
          <w:spacing w:val="33"/>
          <w:w w:val="101"/>
          <w:sz w:val="19"/>
          <w:szCs w:val="19"/>
        </w:rPr>
        <w:t xml:space="preserve"> </w:t>
      </w:r>
      <w:r>
        <w:rPr>
          <w:rFonts w:ascii="Arial" w:hAnsi="Arial" w:eastAsia="Arial" w:cs="Arial"/>
          <w:spacing w:val="-6"/>
          <w:sz w:val="19"/>
          <w:szCs w:val="19"/>
        </w:rPr>
        <w:t>is</w:t>
      </w:r>
      <w:r>
        <w:rPr>
          <w:rFonts w:ascii="Arial" w:hAnsi="Arial" w:eastAsia="Arial" w:cs="Arial"/>
          <w:spacing w:val="28"/>
          <w:w w:val="101"/>
          <w:sz w:val="19"/>
          <w:szCs w:val="19"/>
        </w:rPr>
        <w:t xml:space="preserve"> </w:t>
      </w:r>
      <w:r>
        <w:rPr>
          <w:rFonts w:ascii="Arial" w:hAnsi="Arial" w:eastAsia="Arial" w:cs="Arial"/>
          <w:spacing w:val="-6"/>
          <w:sz w:val="19"/>
          <w:szCs w:val="19"/>
        </w:rPr>
        <w:t>designed</w:t>
      </w:r>
      <w:r>
        <w:rPr>
          <w:rFonts w:ascii="Arial" w:hAnsi="Arial" w:eastAsia="Arial" w:cs="Arial"/>
          <w:spacing w:val="27"/>
          <w:w w:val="101"/>
          <w:sz w:val="19"/>
          <w:szCs w:val="19"/>
        </w:rPr>
        <w:t xml:space="preserve"> </w:t>
      </w:r>
      <w:r>
        <w:rPr>
          <w:rFonts w:ascii="Arial" w:hAnsi="Arial" w:eastAsia="Arial" w:cs="Arial"/>
          <w:spacing w:val="-6"/>
          <w:sz w:val="19"/>
          <w:szCs w:val="19"/>
        </w:rPr>
        <w:t>as</w:t>
      </w:r>
      <w:r>
        <w:rPr>
          <w:rFonts w:ascii="Arial" w:hAnsi="Arial" w:eastAsia="Arial" w:cs="Arial"/>
          <w:spacing w:val="28"/>
          <w:sz w:val="19"/>
          <w:szCs w:val="19"/>
        </w:rPr>
        <w:t xml:space="preserve"> </w:t>
      </w:r>
      <w:r>
        <w:rPr>
          <w:rFonts w:ascii="Arial" w:hAnsi="Arial" w:eastAsia="Arial" w:cs="Arial"/>
          <w:spacing w:val="-7"/>
          <w:sz w:val="19"/>
          <w:szCs w:val="19"/>
        </w:rPr>
        <w:t>a</w:t>
      </w:r>
      <w:r>
        <w:rPr>
          <w:rFonts w:ascii="Arial" w:hAnsi="Arial" w:eastAsia="Arial" w:cs="Arial"/>
          <w:spacing w:val="29"/>
          <w:w w:val="101"/>
          <w:sz w:val="19"/>
          <w:szCs w:val="19"/>
        </w:rPr>
        <w:t xml:space="preserve"> </w:t>
      </w:r>
      <w:r>
        <w:rPr>
          <w:rFonts w:ascii="Arial" w:hAnsi="Arial" w:eastAsia="Arial" w:cs="Arial"/>
          <w:spacing w:val="-7"/>
          <w:sz w:val="19"/>
          <w:szCs w:val="19"/>
        </w:rPr>
        <w:t>structured</w:t>
      </w:r>
      <w:r>
        <w:rPr>
          <w:rFonts w:ascii="Arial" w:hAnsi="Arial" w:eastAsia="Arial" w:cs="Arial"/>
          <w:spacing w:val="36"/>
          <w:sz w:val="19"/>
          <w:szCs w:val="19"/>
        </w:rPr>
        <w:t xml:space="preserve"> </w:t>
      </w:r>
      <w:r>
        <w:rPr>
          <w:rFonts w:ascii="Arial" w:hAnsi="Arial" w:eastAsia="Arial" w:cs="Arial"/>
          <w:spacing w:val="-7"/>
          <w:sz w:val="19"/>
          <w:szCs w:val="19"/>
        </w:rPr>
        <w:t>interview</w:t>
      </w:r>
      <w:r>
        <w:rPr>
          <w:rFonts w:ascii="Arial" w:hAnsi="Arial" w:eastAsia="Arial" w:cs="Arial"/>
          <w:spacing w:val="28"/>
          <w:w w:val="101"/>
          <w:sz w:val="19"/>
          <w:szCs w:val="19"/>
        </w:rPr>
        <w:t xml:space="preserve"> </w:t>
      </w:r>
      <w:r>
        <w:rPr>
          <w:rFonts w:ascii="Arial" w:hAnsi="Arial" w:eastAsia="Arial" w:cs="Arial"/>
          <w:spacing w:val="-7"/>
          <w:sz w:val="19"/>
          <w:szCs w:val="19"/>
        </w:rPr>
        <w:t>guideline</w:t>
      </w:r>
      <w:r>
        <w:rPr>
          <w:rFonts w:ascii="Arial" w:hAnsi="Arial" w:eastAsia="Arial" w:cs="Arial"/>
          <w:spacing w:val="27"/>
          <w:w w:val="101"/>
          <w:sz w:val="19"/>
          <w:szCs w:val="19"/>
        </w:rPr>
        <w:t xml:space="preserve"> </w:t>
      </w:r>
      <w:r>
        <w:rPr>
          <w:rFonts w:ascii="Arial" w:hAnsi="Arial" w:eastAsia="Arial" w:cs="Arial"/>
          <w:spacing w:val="-7"/>
          <w:sz w:val="19"/>
          <w:szCs w:val="19"/>
        </w:rPr>
        <w:t>addressing</w:t>
      </w:r>
      <w:r>
        <w:rPr>
          <w:rFonts w:ascii="Arial" w:hAnsi="Arial" w:eastAsia="Arial" w:cs="Arial"/>
          <w:spacing w:val="30"/>
          <w:sz w:val="19"/>
          <w:szCs w:val="19"/>
        </w:rPr>
        <w:t xml:space="preserve"> </w:t>
      </w:r>
      <w:r>
        <w:rPr>
          <w:rFonts w:ascii="Arial" w:hAnsi="Arial" w:eastAsia="Arial" w:cs="Arial"/>
          <w:spacing w:val="-7"/>
          <w:sz w:val="19"/>
          <w:szCs w:val="19"/>
        </w:rPr>
        <w:t>quality</w:t>
      </w:r>
      <w:r>
        <w:rPr>
          <w:rFonts w:ascii="Arial" w:hAnsi="Arial" w:eastAsia="Arial" w:cs="Arial"/>
          <w:spacing w:val="29"/>
          <w:w w:val="101"/>
          <w:sz w:val="19"/>
          <w:szCs w:val="19"/>
        </w:rPr>
        <w:t xml:space="preserve"> </w:t>
      </w:r>
      <w:r>
        <w:rPr>
          <w:rFonts w:ascii="Arial" w:hAnsi="Arial" w:eastAsia="Arial" w:cs="Arial"/>
          <w:spacing w:val="-7"/>
          <w:sz w:val="19"/>
          <w:szCs w:val="19"/>
        </w:rPr>
        <w:t>assurance</w:t>
      </w:r>
      <w:r>
        <w:rPr>
          <w:rFonts w:ascii="Arial" w:hAnsi="Arial" w:eastAsia="Arial" w:cs="Arial"/>
          <w:sz w:val="19"/>
          <w:szCs w:val="19"/>
        </w:rPr>
        <w:t xml:space="preserve"> </w:t>
      </w:r>
      <w:r>
        <w:rPr>
          <w:rFonts w:ascii="Arial" w:hAnsi="Arial" w:eastAsia="Arial" w:cs="Arial"/>
          <w:spacing w:val="-6"/>
          <w:sz w:val="19"/>
          <w:szCs w:val="19"/>
        </w:rPr>
        <w:t>experts,</w:t>
      </w:r>
      <w:r>
        <w:rPr>
          <w:rFonts w:ascii="Arial" w:hAnsi="Arial" w:eastAsia="Arial" w:cs="Arial"/>
          <w:spacing w:val="15"/>
          <w:sz w:val="19"/>
          <w:szCs w:val="19"/>
        </w:rPr>
        <w:t xml:space="preserve"> </w:t>
      </w:r>
      <w:r>
        <w:rPr>
          <w:rFonts w:ascii="Arial" w:hAnsi="Arial" w:eastAsia="Arial" w:cs="Arial"/>
          <w:spacing w:val="-6"/>
          <w:sz w:val="19"/>
          <w:szCs w:val="19"/>
        </w:rPr>
        <w:t>who</w:t>
      </w:r>
      <w:r>
        <w:rPr>
          <w:rFonts w:ascii="Arial" w:hAnsi="Arial" w:eastAsia="Arial" w:cs="Arial"/>
          <w:spacing w:val="17"/>
          <w:sz w:val="19"/>
          <w:szCs w:val="19"/>
        </w:rPr>
        <w:t xml:space="preserve"> </w:t>
      </w:r>
      <w:r>
        <w:rPr>
          <w:rFonts w:ascii="Arial" w:hAnsi="Arial" w:eastAsia="Arial" w:cs="Arial"/>
          <w:spacing w:val="-6"/>
          <w:sz w:val="19"/>
          <w:szCs w:val="19"/>
        </w:rPr>
        <w:t>are</w:t>
      </w:r>
      <w:r>
        <w:rPr>
          <w:rFonts w:ascii="Arial" w:hAnsi="Arial" w:eastAsia="Arial" w:cs="Arial"/>
          <w:spacing w:val="17"/>
          <w:w w:val="101"/>
          <w:sz w:val="19"/>
          <w:szCs w:val="19"/>
        </w:rPr>
        <w:t xml:space="preserve"> </w:t>
      </w:r>
      <w:r>
        <w:rPr>
          <w:rFonts w:ascii="Arial" w:hAnsi="Arial" w:eastAsia="Arial" w:cs="Arial"/>
          <w:spacing w:val="-6"/>
          <w:sz w:val="19"/>
          <w:szCs w:val="19"/>
        </w:rPr>
        <w:t>assumed</w:t>
      </w:r>
      <w:r>
        <w:rPr>
          <w:rFonts w:ascii="Arial" w:hAnsi="Arial" w:eastAsia="Arial" w:cs="Arial"/>
          <w:spacing w:val="15"/>
          <w:w w:val="101"/>
          <w:sz w:val="19"/>
          <w:szCs w:val="19"/>
        </w:rPr>
        <w:t xml:space="preserve"> </w:t>
      </w:r>
      <w:r>
        <w:rPr>
          <w:rFonts w:ascii="Arial" w:hAnsi="Arial" w:eastAsia="Arial" w:cs="Arial"/>
          <w:spacing w:val="-6"/>
          <w:sz w:val="19"/>
          <w:szCs w:val="19"/>
        </w:rPr>
        <w:t>to</w:t>
      </w:r>
      <w:r>
        <w:rPr>
          <w:rFonts w:ascii="Arial" w:hAnsi="Arial" w:eastAsia="Arial" w:cs="Arial"/>
          <w:spacing w:val="23"/>
          <w:w w:val="101"/>
          <w:sz w:val="19"/>
          <w:szCs w:val="19"/>
        </w:rPr>
        <w:t xml:space="preserve"> </w:t>
      </w:r>
      <w:r>
        <w:rPr>
          <w:rFonts w:ascii="Arial" w:hAnsi="Arial" w:eastAsia="Arial" w:cs="Arial"/>
          <w:spacing w:val="-6"/>
          <w:sz w:val="19"/>
          <w:szCs w:val="19"/>
        </w:rPr>
        <w:t>have</w:t>
      </w:r>
      <w:r>
        <w:rPr>
          <w:rFonts w:ascii="Arial" w:hAnsi="Arial" w:eastAsia="Arial" w:cs="Arial"/>
          <w:spacing w:val="14"/>
          <w:w w:val="101"/>
          <w:sz w:val="19"/>
          <w:szCs w:val="19"/>
        </w:rPr>
        <w:t xml:space="preserve"> </w:t>
      </w:r>
      <w:r>
        <w:rPr>
          <w:rFonts w:ascii="Arial" w:hAnsi="Arial" w:eastAsia="Arial" w:cs="Arial"/>
          <w:spacing w:val="-6"/>
          <w:sz w:val="19"/>
          <w:szCs w:val="19"/>
        </w:rPr>
        <w:t>the</w:t>
      </w:r>
      <w:r>
        <w:rPr>
          <w:rFonts w:ascii="Arial" w:hAnsi="Arial" w:eastAsia="Arial" w:cs="Arial"/>
          <w:spacing w:val="23"/>
          <w:w w:val="101"/>
          <w:sz w:val="19"/>
          <w:szCs w:val="19"/>
        </w:rPr>
        <w:t xml:space="preserve"> </w:t>
      </w:r>
      <w:r>
        <w:rPr>
          <w:rFonts w:ascii="Arial" w:hAnsi="Arial" w:eastAsia="Arial" w:cs="Arial"/>
          <w:spacing w:val="-6"/>
          <w:sz w:val="19"/>
          <w:szCs w:val="19"/>
        </w:rPr>
        <w:t>n</w:t>
      </w:r>
      <w:r>
        <w:rPr>
          <w:rFonts w:ascii="Arial" w:hAnsi="Arial" w:eastAsia="Arial" w:cs="Arial"/>
          <w:spacing w:val="-7"/>
          <w:sz w:val="19"/>
          <w:szCs w:val="19"/>
        </w:rPr>
        <w:t>ecessary</w:t>
      </w:r>
      <w:r>
        <w:rPr>
          <w:rFonts w:ascii="Arial" w:hAnsi="Arial" w:eastAsia="Arial" w:cs="Arial"/>
          <w:spacing w:val="26"/>
          <w:sz w:val="19"/>
          <w:szCs w:val="19"/>
        </w:rPr>
        <w:t xml:space="preserve"> </w:t>
      </w:r>
      <w:r>
        <w:rPr>
          <w:rFonts w:ascii="Arial" w:hAnsi="Arial" w:eastAsia="Arial" w:cs="Arial"/>
          <w:spacing w:val="-7"/>
          <w:sz w:val="19"/>
          <w:szCs w:val="19"/>
        </w:rPr>
        <w:t>knowledge</w:t>
      </w:r>
      <w:r>
        <w:rPr>
          <w:rFonts w:ascii="Arial" w:hAnsi="Arial" w:eastAsia="Arial" w:cs="Arial"/>
          <w:spacing w:val="13"/>
          <w:sz w:val="19"/>
          <w:szCs w:val="19"/>
        </w:rPr>
        <w:t xml:space="preserve"> </w:t>
      </w:r>
      <w:r>
        <w:rPr>
          <w:rFonts w:ascii="Arial" w:hAnsi="Arial" w:eastAsia="Arial" w:cs="Arial"/>
          <w:spacing w:val="-7"/>
          <w:sz w:val="19"/>
          <w:szCs w:val="19"/>
        </w:rPr>
        <w:t>to</w:t>
      </w:r>
      <w:r>
        <w:rPr>
          <w:rFonts w:ascii="Arial" w:hAnsi="Arial" w:eastAsia="Arial" w:cs="Arial"/>
          <w:spacing w:val="18"/>
          <w:w w:val="101"/>
          <w:sz w:val="19"/>
          <w:szCs w:val="19"/>
        </w:rPr>
        <w:t xml:space="preserve"> </w:t>
      </w:r>
      <w:r>
        <w:rPr>
          <w:rFonts w:ascii="Arial" w:hAnsi="Arial" w:eastAsia="Arial" w:cs="Arial"/>
          <w:spacing w:val="-7"/>
          <w:sz w:val="19"/>
          <w:szCs w:val="19"/>
        </w:rPr>
        <w:t>soundly</w:t>
      </w:r>
      <w:r>
        <w:rPr>
          <w:rFonts w:ascii="Arial" w:hAnsi="Arial" w:eastAsia="Arial" w:cs="Arial"/>
          <w:spacing w:val="18"/>
          <w:sz w:val="19"/>
          <w:szCs w:val="19"/>
        </w:rPr>
        <w:t xml:space="preserve"> </w:t>
      </w:r>
      <w:r>
        <w:rPr>
          <w:rFonts w:ascii="Arial" w:hAnsi="Arial" w:eastAsia="Arial" w:cs="Arial"/>
          <w:spacing w:val="-7"/>
          <w:sz w:val="19"/>
          <w:szCs w:val="19"/>
        </w:rPr>
        <w:t>evaluate</w:t>
      </w:r>
      <w:r>
        <w:rPr>
          <w:rFonts w:ascii="Arial" w:hAnsi="Arial" w:eastAsia="Arial" w:cs="Arial"/>
          <w:spacing w:val="13"/>
          <w:w w:val="101"/>
          <w:sz w:val="19"/>
          <w:szCs w:val="19"/>
        </w:rPr>
        <w:t xml:space="preserve"> </w:t>
      </w:r>
      <w:r>
        <w:rPr>
          <w:rFonts w:ascii="Arial" w:hAnsi="Arial" w:eastAsia="Arial" w:cs="Arial"/>
          <w:spacing w:val="-7"/>
          <w:sz w:val="19"/>
          <w:szCs w:val="19"/>
        </w:rPr>
        <w:t>the</w:t>
      </w:r>
      <w:r>
        <w:rPr>
          <w:rFonts w:ascii="Arial" w:hAnsi="Arial" w:eastAsia="Arial" w:cs="Arial"/>
          <w:spacing w:val="17"/>
          <w:w w:val="101"/>
          <w:sz w:val="19"/>
          <w:szCs w:val="19"/>
        </w:rPr>
        <w:t xml:space="preserve"> </w:t>
      </w:r>
      <w:r>
        <w:rPr>
          <w:rFonts w:ascii="Arial" w:hAnsi="Arial" w:eastAsia="Arial" w:cs="Arial"/>
          <w:spacing w:val="-7"/>
          <w:sz w:val="19"/>
          <w:szCs w:val="19"/>
        </w:rPr>
        <w:t>current</w:t>
      </w:r>
      <w:r>
        <w:rPr>
          <w:rFonts w:ascii="Arial" w:hAnsi="Arial" w:eastAsia="Arial" w:cs="Arial"/>
          <w:spacing w:val="18"/>
          <w:sz w:val="19"/>
          <w:szCs w:val="19"/>
        </w:rPr>
        <w:t xml:space="preserve"> </w:t>
      </w:r>
      <w:r>
        <w:rPr>
          <w:rFonts w:ascii="Arial" w:hAnsi="Arial" w:eastAsia="Arial" w:cs="Arial"/>
          <w:spacing w:val="-7"/>
          <w:sz w:val="19"/>
          <w:szCs w:val="19"/>
        </w:rPr>
        <w:t>state</w:t>
      </w:r>
      <w:r>
        <w:rPr>
          <w:rFonts w:ascii="Arial" w:hAnsi="Arial" w:eastAsia="Arial" w:cs="Arial"/>
          <w:sz w:val="19"/>
          <w:szCs w:val="19"/>
        </w:rPr>
        <w:t xml:space="preserve"> </w:t>
      </w:r>
      <w:r>
        <w:rPr>
          <w:rFonts w:ascii="Arial" w:hAnsi="Arial" w:eastAsia="Arial" w:cs="Arial"/>
          <w:spacing w:val="-4"/>
          <w:sz w:val="19"/>
          <w:szCs w:val="19"/>
        </w:rPr>
        <w:t>of</w:t>
      </w:r>
      <w:r>
        <w:rPr>
          <w:rFonts w:ascii="Arial" w:hAnsi="Arial" w:eastAsia="Arial" w:cs="Arial"/>
          <w:spacing w:val="11"/>
          <w:sz w:val="19"/>
          <w:szCs w:val="19"/>
        </w:rPr>
        <w:t xml:space="preserve"> </w:t>
      </w:r>
      <w:r>
        <w:rPr>
          <w:rFonts w:ascii="Arial" w:hAnsi="Arial" w:eastAsia="Arial" w:cs="Arial"/>
          <w:spacing w:val="-4"/>
          <w:sz w:val="19"/>
          <w:szCs w:val="19"/>
        </w:rPr>
        <w:t>quality</w:t>
      </w:r>
      <w:r>
        <w:rPr>
          <w:rFonts w:ascii="Arial" w:hAnsi="Arial" w:eastAsia="Arial" w:cs="Arial"/>
          <w:spacing w:val="21"/>
          <w:sz w:val="19"/>
          <w:szCs w:val="19"/>
        </w:rPr>
        <w:t xml:space="preserve"> </w:t>
      </w:r>
      <w:r>
        <w:rPr>
          <w:rFonts w:ascii="Arial" w:hAnsi="Arial" w:eastAsia="Arial" w:cs="Arial"/>
          <w:spacing w:val="-4"/>
          <w:sz w:val="19"/>
          <w:szCs w:val="19"/>
        </w:rPr>
        <w:t>assurance</w:t>
      </w:r>
      <w:r>
        <w:rPr>
          <w:rFonts w:ascii="Arial" w:hAnsi="Arial" w:eastAsia="Arial" w:cs="Arial"/>
          <w:spacing w:val="17"/>
          <w:sz w:val="19"/>
          <w:szCs w:val="19"/>
        </w:rPr>
        <w:t xml:space="preserve"> </w:t>
      </w:r>
      <w:r>
        <w:rPr>
          <w:rFonts w:ascii="Arial" w:hAnsi="Arial" w:eastAsia="Arial" w:cs="Arial"/>
          <w:spacing w:val="-4"/>
          <w:sz w:val="19"/>
          <w:szCs w:val="19"/>
        </w:rPr>
        <w:t>within</w:t>
      </w:r>
      <w:r>
        <w:rPr>
          <w:rFonts w:ascii="Arial" w:hAnsi="Arial" w:eastAsia="Arial" w:cs="Arial"/>
          <w:spacing w:val="15"/>
          <w:w w:val="101"/>
          <w:sz w:val="19"/>
          <w:szCs w:val="19"/>
        </w:rPr>
        <w:t xml:space="preserve"> </w:t>
      </w:r>
      <w:r>
        <w:rPr>
          <w:rFonts w:ascii="Arial" w:hAnsi="Arial" w:eastAsia="Arial" w:cs="Arial"/>
          <w:spacing w:val="-4"/>
          <w:sz w:val="19"/>
          <w:szCs w:val="19"/>
        </w:rPr>
        <w:t>their</w:t>
      </w:r>
      <w:r>
        <w:rPr>
          <w:rFonts w:ascii="Arial" w:hAnsi="Arial" w:eastAsia="Arial" w:cs="Arial"/>
          <w:spacing w:val="23"/>
          <w:w w:val="101"/>
          <w:sz w:val="19"/>
          <w:szCs w:val="19"/>
        </w:rPr>
        <w:t xml:space="preserve"> </w:t>
      </w:r>
      <w:r>
        <w:rPr>
          <w:rFonts w:ascii="Arial" w:hAnsi="Arial" w:eastAsia="Arial" w:cs="Arial"/>
          <w:spacing w:val="-4"/>
          <w:sz w:val="19"/>
          <w:szCs w:val="19"/>
        </w:rPr>
        <w:t>institution.</w:t>
      </w:r>
      <w:r>
        <w:rPr>
          <w:rFonts w:ascii="Arial" w:hAnsi="Arial" w:eastAsia="Arial" w:cs="Arial"/>
          <w:spacing w:val="25"/>
          <w:w w:val="101"/>
          <w:sz w:val="19"/>
          <w:szCs w:val="19"/>
        </w:rPr>
        <w:t xml:space="preserve"> </w:t>
      </w:r>
      <w:r>
        <w:rPr>
          <w:rFonts w:ascii="Arial" w:hAnsi="Arial" w:eastAsia="Arial" w:cs="Arial"/>
          <w:spacing w:val="-4"/>
          <w:sz w:val="19"/>
          <w:szCs w:val="19"/>
        </w:rPr>
        <w:t>In</w:t>
      </w:r>
      <w:r>
        <w:rPr>
          <w:rFonts w:ascii="Arial" w:hAnsi="Arial" w:eastAsia="Arial" w:cs="Arial"/>
          <w:spacing w:val="19"/>
          <w:w w:val="101"/>
          <w:sz w:val="19"/>
          <w:szCs w:val="19"/>
        </w:rPr>
        <w:t xml:space="preserve"> </w:t>
      </w:r>
      <w:r>
        <w:rPr>
          <w:rFonts w:ascii="Arial" w:hAnsi="Arial" w:eastAsia="Arial" w:cs="Arial"/>
          <w:spacing w:val="-4"/>
          <w:sz w:val="19"/>
          <w:szCs w:val="19"/>
        </w:rPr>
        <w:t>contrast,</w:t>
      </w:r>
      <w:r>
        <w:rPr>
          <w:rFonts w:ascii="Arial" w:hAnsi="Arial" w:eastAsia="Arial" w:cs="Arial"/>
          <w:spacing w:val="15"/>
          <w:sz w:val="19"/>
          <w:szCs w:val="19"/>
        </w:rPr>
        <w:t xml:space="preserve"> </w:t>
      </w:r>
      <w:r>
        <w:rPr>
          <w:rFonts w:ascii="Arial" w:hAnsi="Arial" w:eastAsia="Arial" w:cs="Arial"/>
          <w:spacing w:val="-4"/>
          <w:sz w:val="19"/>
          <w:szCs w:val="19"/>
        </w:rPr>
        <w:t>the</w:t>
      </w:r>
      <w:r>
        <w:rPr>
          <w:rFonts w:ascii="Arial" w:hAnsi="Arial" w:eastAsia="Arial" w:cs="Arial"/>
          <w:spacing w:val="20"/>
          <w:sz w:val="19"/>
          <w:szCs w:val="19"/>
        </w:rPr>
        <w:t xml:space="preserve"> </w:t>
      </w:r>
      <w:r>
        <w:rPr>
          <w:rFonts w:ascii="Arial" w:hAnsi="Arial" w:eastAsia="Arial" w:cs="Arial"/>
          <w:spacing w:val="-4"/>
          <w:sz w:val="19"/>
          <w:szCs w:val="19"/>
        </w:rPr>
        <w:t>organizational</w:t>
      </w:r>
      <w:r>
        <w:rPr>
          <w:rFonts w:ascii="Arial" w:hAnsi="Arial" w:eastAsia="Arial" w:cs="Arial"/>
          <w:spacing w:val="-5"/>
          <w:sz w:val="19"/>
          <w:szCs w:val="19"/>
        </w:rPr>
        <w:t>-psychological</w:t>
      </w:r>
      <w:r>
        <w:rPr>
          <w:rFonts w:ascii="Arial" w:hAnsi="Arial" w:eastAsia="Arial" w:cs="Arial"/>
          <w:spacing w:val="19"/>
          <w:w w:val="101"/>
          <w:sz w:val="19"/>
          <w:szCs w:val="19"/>
        </w:rPr>
        <w:t xml:space="preserve"> </w:t>
      </w:r>
      <w:r>
        <w:rPr>
          <w:rFonts w:ascii="Arial" w:hAnsi="Arial" w:eastAsia="Arial" w:cs="Arial"/>
          <w:spacing w:val="-5"/>
          <w:sz w:val="19"/>
          <w:szCs w:val="19"/>
        </w:rPr>
        <w:t>question-</w:t>
      </w:r>
      <w:r>
        <w:rPr>
          <w:rFonts w:ascii="Arial" w:hAnsi="Arial" w:eastAsia="Arial" w:cs="Arial"/>
          <w:sz w:val="19"/>
          <w:szCs w:val="19"/>
        </w:rPr>
        <w:t xml:space="preserve"> </w:t>
      </w:r>
      <w:r>
        <w:rPr>
          <w:rFonts w:ascii="Arial" w:hAnsi="Arial" w:eastAsia="Arial" w:cs="Arial"/>
          <w:spacing w:val="-6"/>
          <w:sz w:val="19"/>
          <w:szCs w:val="19"/>
        </w:rPr>
        <w:t>naire addresses all status groups of HEIs,</w:t>
      </w:r>
      <w:r>
        <w:rPr>
          <w:rFonts w:ascii="Arial" w:hAnsi="Arial" w:eastAsia="Arial" w:cs="Arial"/>
          <w:spacing w:val="7"/>
          <w:sz w:val="19"/>
          <w:szCs w:val="19"/>
        </w:rPr>
        <w:t xml:space="preserve"> </w:t>
      </w:r>
      <w:r>
        <w:rPr>
          <w:rFonts w:ascii="Arial" w:hAnsi="Arial" w:eastAsia="Arial" w:cs="Arial"/>
          <w:spacing w:val="-6"/>
          <w:sz w:val="19"/>
          <w:szCs w:val="19"/>
        </w:rPr>
        <w:t>including</w:t>
      </w:r>
      <w:r>
        <w:rPr>
          <w:rFonts w:ascii="Arial" w:hAnsi="Arial" w:eastAsia="Arial" w:cs="Arial"/>
          <w:spacing w:val="2"/>
          <w:sz w:val="19"/>
          <w:szCs w:val="19"/>
        </w:rPr>
        <w:t xml:space="preserve"> </w:t>
      </w:r>
      <w:r>
        <w:rPr>
          <w:rFonts w:ascii="Arial" w:hAnsi="Arial" w:eastAsia="Arial" w:cs="Arial"/>
          <w:spacing w:val="-6"/>
          <w:sz w:val="19"/>
          <w:szCs w:val="19"/>
        </w:rPr>
        <w:t>academic</w:t>
      </w:r>
      <w:r>
        <w:rPr>
          <w:rFonts w:ascii="Arial" w:hAnsi="Arial" w:eastAsia="Arial" w:cs="Arial"/>
          <w:spacing w:val="3"/>
          <w:sz w:val="19"/>
          <w:szCs w:val="19"/>
        </w:rPr>
        <w:t xml:space="preserve"> </w:t>
      </w:r>
      <w:r>
        <w:rPr>
          <w:rFonts w:ascii="Arial" w:hAnsi="Arial" w:eastAsia="Arial" w:cs="Arial"/>
          <w:spacing w:val="-6"/>
          <w:sz w:val="19"/>
          <w:szCs w:val="19"/>
        </w:rPr>
        <w:t>and</w:t>
      </w:r>
      <w:r>
        <w:rPr>
          <w:rFonts w:ascii="Arial" w:hAnsi="Arial" w:eastAsia="Arial" w:cs="Arial"/>
          <w:spacing w:val="8"/>
          <w:sz w:val="19"/>
          <w:szCs w:val="19"/>
        </w:rPr>
        <w:t xml:space="preserve"> </w:t>
      </w:r>
      <w:r>
        <w:rPr>
          <w:rFonts w:ascii="Arial" w:hAnsi="Arial" w:eastAsia="Arial" w:cs="Arial"/>
          <w:spacing w:val="-6"/>
          <w:sz w:val="19"/>
          <w:szCs w:val="19"/>
        </w:rPr>
        <w:t>non-academicstaf (e.g.</w:t>
      </w:r>
      <w:r>
        <w:rPr>
          <w:rFonts w:ascii="Arial" w:hAnsi="Arial" w:eastAsia="Arial" w:cs="Arial"/>
          <w:spacing w:val="10"/>
          <w:sz w:val="19"/>
          <w:szCs w:val="19"/>
        </w:rPr>
        <w:t xml:space="preserve"> </w:t>
      </w:r>
      <w:r>
        <w:rPr>
          <w:rFonts w:ascii="Arial" w:hAnsi="Arial" w:eastAsia="Arial" w:cs="Arial"/>
          <w:spacing w:val="-6"/>
          <w:sz w:val="19"/>
          <w:szCs w:val="19"/>
        </w:rPr>
        <w:t>pr</w:t>
      </w:r>
      <w:r>
        <w:rPr>
          <w:rFonts w:ascii="Arial" w:hAnsi="Arial" w:eastAsia="Arial" w:cs="Arial"/>
          <w:spacing w:val="-7"/>
          <w:sz w:val="19"/>
          <w:szCs w:val="19"/>
        </w:rPr>
        <w:t>ofessors</w:t>
      </w:r>
      <w:r>
        <w:rPr>
          <w:rFonts w:ascii="Arial" w:hAnsi="Arial" w:eastAsia="Arial" w:cs="Arial"/>
          <w:sz w:val="19"/>
          <w:szCs w:val="19"/>
        </w:rPr>
        <w:t xml:space="preserve"> </w:t>
      </w:r>
      <w:r>
        <w:rPr>
          <w:rFonts w:ascii="Arial" w:hAnsi="Arial" w:eastAsia="Arial" w:cs="Arial"/>
          <w:spacing w:val="-5"/>
          <w:sz w:val="19"/>
          <w:szCs w:val="19"/>
        </w:rPr>
        <w:t>and</w:t>
      </w:r>
      <w:r>
        <w:rPr>
          <w:rFonts w:ascii="Arial" w:hAnsi="Arial" w:eastAsia="Arial" w:cs="Arial"/>
          <w:spacing w:val="19"/>
          <w:w w:val="101"/>
          <w:sz w:val="19"/>
          <w:szCs w:val="19"/>
        </w:rPr>
        <w:t xml:space="preserve"> </w:t>
      </w:r>
      <w:r>
        <w:rPr>
          <w:rFonts w:ascii="Arial" w:hAnsi="Arial" w:eastAsia="Arial" w:cs="Arial"/>
          <w:spacing w:val="-5"/>
          <w:sz w:val="19"/>
          <w:szCs w:val="19"/>
        </w:rPr>
        <w:t>administration,</w:t>
      </w:r>
      <w:r>
        <w:rPr>
          <w:rFonts w:ascii="Arial" w:hAnsi="Arial" w:eastAsia="Arial" w:cs="Arial"/>
          <w:spacing w:val="17"/>
          <w:w w:val="101"/>
          <w:sz w:val="19"/>
          <w:szCs w:val="19"/>
        </w:rPr>
        <w:t xml:space="preserve"> </w:t>
      </w:r>
      <w:r>
        <w:rPr>
          <w:rFonts w:ascii="Arial" w:hAnsi="Arial" w:eastAsia="Arial" w:cs="Arial"/>
          <w:spacing w:val="-5"/>
          <w:sz w:val="19"/>
          <w:szCs w:val="19"/>
        </w:rPr>
        <w:t>respectively). As the focus</w:t>
      </w:r>
      <w:r>
        <w:rPr>
          <w:rFonts w:ascii="Arial" w:hAnsi="Arial" w:eastAsia="Arial" w:cs="Arial"/>
          <w:spacing w:val="12"/>
          <w:sz w:val="19"/>
          <w:szCs w:val="19"/>
        </w:rPr>
        <w:t xml:space="preserve"> </w:t>
      </w:r>
      <w:r>
        <w:rPr>
          <w:rFonts w:ascii="Arial" w:hAnsi="Arial" w:eastAsia="Arial" w:cs="Arial"/>
          <w:spacing w:val="-5"/>
          <w:sz w:val="19"/>
          <w:szCs w:val="19"/>
        </w:rPr>
        <w:t>of the</w:t>
      </w:r>
      <w:r>
        <w:rPr>
          <w:rFonts w:ascii="Arial" w:hAnsi="Arial" w:eastAsia="Arial" w:cs="Arial"/>
          <w:spacing w:val="12"/>
          <w:sz w:val="19"/>
          <w:szCs w:val="19"/>
        </w:rPr>
        <w:t xml:space="preserve"> </w:t>
      </w:r>
      <w:r>
        <w:rPr>
          <w:rFonts w:ascii="Arial" w:hAnsi="Arial" w:eastAsia="Arial" w:cs="Arial"/>
          <w:spacing w:val="-5"/>
          <w:sz w:val="19"/>
          <w:szCs w:val="19"/>
        </w:rPr>
        <w:t>current</w:t>
      </w:r>
      <w:r>
        <w:rPr>
          <w:rFonts w:ascii="Arial" w:hAnsi="Arial" w:eastAsia="Arial" w:cs="Arial"/>
          <w:spacing w:val="18"/>
          <w:w w:val="101"/>
          <w:sz w:val="19"/>
          <w:szCs w:val="19"/>
        </w:rPr>
        <w:t xml:space="preserve"> </w:t>
      </w:r>
      <w:r>
        <w:rPr>
          <w:rFonts w:ascii="Arial" w:hAnsi="Arial" w:eastAsia="Arial" w:cs="Arial"/>
          <w:spacing w:val="-5"/>
          <w:sz w:val="19"/>
          <w:szCs w:val="19"/>
        </w:rPr>
        <w:t>paper</w:t>
      </w:r>
      <w:r>
        <w:rPr>
          <w:rFonts w:ascii="Arial" w:hAnsi="Arial" w:eastAsia="Arial" w:cs="Arial"/>
          <w:spacing w:val="18"/>
          <w:w w:val="101"/>
          <w:sz w:val="19"/>
          <w:szCs w:val="19"/>
        </w:rPr>
        <w:t xml:space="preserve"> </w:t>
      </w:r>
      <w:r>
        <w:rPr>
          <w:rFonts w:ascii="Arial" w:hAnsi="Arial" w:eastAsia="Arial" w:cs="Arial"/>
          <w:spacing w:val="-5"/>
          <w:sz w:val="19"/>
          <w:szCs w:val="19"/>
        </w:rPr>
        <w:t>lies</w:t>
      </w:r>
      <w:r>
        <w:rPr>
          <w:rFonts w:ascii="Arial" w:hAnsi="Arial" w:eastAsia="Arial" w:cs="Arial"/>
          <w:spacing w:val="11"/>
          <w:sz w:val="19"/>
          <w:szCs w:val="19"/>
        </w:rPr>
        <w:t xml:space="preserve"> </w:t>
      </w:r>
      <w:r>
        <w:rPr>
          <w:rFonts w:ascii="Arial" w:hAnsi="Arial" w:eastAsia="Arial" w:cs="Arial"/>
          <w:spacing w:val="-5"/>
          <w:sz w:val="19"/>
          <w:szCs w:val="19"/>
        </w:rPr>
        <w:t>on the</w:t>
      </w:r>
      <w:r>
        <w:rPr>
          <w:rFonts w:ascii="Arial" w:hAnsi="Arial" w:eastAsia="Arial" w:cs="Arial"/>
          <w:spacing w:val="18"/>
          <w:w w:val="101"/>
          <w:sz w:val="19"/>
          <w:szCs w:val="19"/>
        </w:rPr>
        <w:t xml:space="preserve"> </w:t>
      </w:r>
      <w:r>
        <w:rPr>
          <w:rFonts w:ascii="Arial" w:hAnsi="Arial" w:eastAsia="Arial" w:cs="Arial"/>
          <w:spacing w:val="-5"/>
          <w:sz w:val="19"/>
          <w:szCs w:val="19"/>
        </w:rPr>
        <w:t>results</w:t>
      </w:r>
      <w:r>
        <w:rPr>
          <w:rFonts w:ascii="Arial" w:hAnsi="Arial" w:eastAsia="Arial" w:cs="Arial"/>
          <w:spacing w:val="12"/>
          <w:sz w:val="19"/>
          <w:szCs w:val="19"/>
        </w:rPr>
        <w:t xml:space="preserve"> </w:t>
      </w:r>
      <w:r>
        <w:rPr>
          <w:rFonts w:ascii="Arial" w:hAnsi="Arial" w:eastAsia="Arial" w:cs="Arial"/>
          <w:spacing w:val="-5"/>
          <w:sz w:val="19"/>
          <w:szCs w:val="19"/>
        </w:rPr>
        <w:t>of the</w:t>
      </w:r>
      <w:r>
        <w:rPr>
          <w:rFonts w:ascii="Arial" w:hAnsi="Arial" w:eastAsia="Arial" w:cs="Arial"/>
          <w:spacing w:val="12"/>
          <w:sz w:val="19"/>
          <w:szCs w:val="19"/>
        </w:rPr>
        <w:t xml:space="preserve"> </w:t>
      </w:r>
      <w:r>
        <w:rPr>
          <w:rFonts w:ascii="Arial" w:hAnsi="Arial" w:eastAsia="Arial" w:cs="Arial"/>
          <w:spacing w:val="-5"/>
          <w:sz w:val="19"/>
          <w:szCs w:val="19"/>
        </w:rPr>
        <w:t>organ-</w:t>
      </w:r>
      <w:r>
        <w:rPr>
          <w:rFonts w:ascii="Arial" w:hAnsi="Arial" w:eastAsia="Arial" w:cs="Arial"/>
          <w:sz w:val="19"/>
          <w:szCs w:val="19"/>
        </w:rPr>
        <w:t xml:space="preserve"> </w:t>
      </w:r>
      <w:r>
        <w:rPr>
          <w:rFonts w:ascii="Arial" w:hAnsi="Arial" w:eastAsia="Arial" w:cs="Arial"/>
          <w:spacing w:val="-4"/>
          <w:sz w:val="19"/>
          <w:szCs w:val="19"/>
        </w:rPr>
        <w:t>izational-psychologica</w:t>
      </w:r>
      <w:r>
        <w:rPr>
          <w:rFonts w:ascii="Arial" w:hAnsi="Arial" w:eastAsia="Arial" w:cs="Arial"/>
          <w:spacing w:val="-5"/>
          <w:sz w:val="19"/>
          <w:szCs w:val="19"/>
        </w:rPr>
        <w:t>l</w:t>
      </w:r>
      <w:r>
        <w:rPr>
          <w:rFonts w:ascii="Arial" w:hAnsi="Arial" w:eastAsia="Arial" w:cs="Arial"/>
          <w:spacing w:val="18"/>
          <w:sz w:val="19"/>
          <w:szCs w:val="19"/>
        </w:rPr>
        <w:t xml:space="preserve"> </w:t>
      </w:r>
      <w:r>
        <w:rPr>
          <w:rFonts w:ascii="Arial" w:hAnsi="Arial" w:eastAsia="Arial" w:cs="Arial"/>
          <w:spacing w:val="-5"/>
          <w:sz w:val="19"/>
          <w:szCs w:val="19"/>
        </w:rPr>
        <w:t>questionnaire,</w:t>
      </w:r>
      <w:r>
        <w:rPr>
          <w:rFonts w:ascii="Arial" w:hAnsi="Arial" w:eastAsia="Arial" w:cs="Arial"/>
          <w:spacing w:val="25"/>
          <w:w w:val="101"/>
          <w:sz w:val="19"/>
          <w:szCs w:val="19"/>
        </w:rPr>
        <w:t xml:space="preserve"> </w:t>
      </w:r>
      <w:r>
        <w:rPr>
          <w:rFonts w:ascii="Arial" w:hAnsi="Arial" w:eastAsia="Arial" w:cs="Arial"/>
          <w:spacing w:val="-5"/>
          <w:sz w:val="19"/>
          <w:szCs w:val="19"/>
        </w:rPr>
        <w:t>more</w:t>
      </w:r>
      <w:r>
        <w:rPr>
          <w:rFonts w:ascii="Arial" w:hAnsi="Arial" w:eastAsia="Arial" w:cs="Arial"/>
          <w:spacing w:val="17"/>
          <w:w w:val="101"/>
          <w:sz w:val="19"/>
          <w:szCs w:val="19"/>
        </w:rPr>
        <w:t xml:space="preserve"> </w:t>
      </w:r>
      <w:r>
        <w:rPr>
          <w:rFonts w:ascii="Arial" w:hAnsi="Arial" w:eastAsia="Arial" w:cs="Arial"/>
          <w:spacing w:val="-5"/>
          <w:sz w:val="19"/>
          <w:szCs w:val="19"/>
        </w:rPr>
        <w:t>detailed</w:t>
      </w:r>
      <w:r>
        <w:rPr>
          <w:rFonts w:ascii="Arial" w:hAnsi="Arial" w:eastAsia="Arial" w:cs="Arial"/>
          <w:spacing w:val="22"/>
          <w:w w:val="101"/>
          <w:sz w:val="19"/>
          <w:szCs w:val="19"/>
        </w:rPr>
        <w:t xml:space="preserve"> </w:t>
      </w:r>
      <w:r>
        <w:rPr>
          <w:rFonts w:ascii="Arial" w:hAnsi="Arial" w:eastAsia="Arial" w:cs="Arial"/>
          <w:spacing w:val="-5"/>
          <w:sz w:val="19"/>
          <w:szCs w:val="19"/>
        </w:rPr>
        <w:t>information</w:t>
      </w:r>
      <w:r>
        <w:rPr>
          <w:rFonts w:ascii="Arial" w:hAnsi="Arial" w:eastAsia="Arial" w:cs="Arial"/>
          <w:spacing w:val="16"/>
          <w:w w:val="101"/>
          <w:sz w:val="19"/>
          <w:szCs w:val="19"/>
        </w:rPr>
        <w:t xml:space="preserve"> </w:t>
      </w:r>
      <w:r>
        <w:rPr>
          <w:rFonts w:ascii="Arial" w:hAnsi="Arial" w:eastAsia="Arial" w:cs="Arial"/>
          <w:spacing w:val="-5"/>
          <w:sz w:val="19"/>
          <w:szCs w:val="19"/>
        </w:rPr>
        <w:t>about</w:t>
      </w:r>
      <w:r>
        <w:rPr>
          <w:rFonts w:ascii="Arial" w:hAnsi="Arial" w:eastAsia="Arial" w:cs="Arial"/>
          <w:spacing w:val="15"/>
          <w:w w:val="101"/>
          <w:sz w:val="19"/>
          <w:szCs w:val="19"/>
        </w:rPr>
        <w:t xml:space="preserve"> </w:t>
      </w:r>
      <w:r>
        <w:rPr>
          <w:rFonts w:ascii="Arial" w:hAnsi="Arial" w:eastAsia="Arial" w:cs="Arial"/>
          <w:spacing w:val="-5"/>
          <w:sz w:val="19"/>
          <w:szCs w:val="19"/>
        </w:rPr>
        <w:t>the</w:t>
      </w:r>
      <w:r>
        <w:rPr>
          <w:rFonts w:ascii="Arial" w:hAnsi="Arial" w:eastAsia="Arial" w:cs="Arial"/>
          <w:spacing w:val="17"/>
          <w:w w:val="101"/>
          <w:sz w:val="19"/>
          <w:szCs w:val="19"/>
        </w:rPr>
        <w:t xml:space="preserve"> </w:t>
      </w:r>
      <w:r>
        <w:rPr>
          <w:rFonts w:ascii="Arial" w:hAnsi="Arial" w:eastAsia="Arial" w:cs="Arial"/>
          <w:spacing w:val="-5"/>
          <w:sz w:val="19"/>
          <w:szCs w:val="19"/>
        </w:rPr>
        <w:t>QCI,</w:t>
      </w:r>
      <w:r>
        <w:rPr>
          <w:rFonts w:ascii="Arial" w:hAnsi="Arial" w:eastAsia="Arial" w:cs="Arial"/>
          <w:spacing w:val="14"/>
          <w:w w:val="101"/>
          <w:sz w:val="19"/>
          <w:szCs w:val="19"/>
        </w:rPr>
        <w:t xml:space="preserve"> </w:t>
      </w:r>
      <w:r>
        <w:rPr>
          <w:rFonts w:ascii="Arial" w:hAnsi="Arial" w:eastAsia="Arial" w:cs="Arial"/>
          <w:spacing w:val="-5"/>
          <w:sz w:val="19"/>
          <w:szCs w:val="19"/>
        </w:rPr>
        <w:t>which</w:t>
      </w:r>
      <w:r>
        <w:rPr>
          <w:rFonts w:ascii="Arial" w:hAnsi="Arial" w:eastAsia="Arial" w:cs="Arial"/>
          <w:spacing w:val="15"/>
          <w:sz w:val="19"/>
          <w:szCs w:val="19"/>
        </w:rPr>
        <w:t xml:space="preserve"> </w:t>
      </w:r>
      <w:r>
        <w:rPr>
          <w:rFonts w:ascii="Arial" w:hAnsi="Arial" w:eastAsia="Arial" w:cs="Arial"/>
          <w:spacing w:val="-5"/>
          <w:sz w:val="19"/>
          <w:szCs w:val="19"/>
        </w:rPr>
        <w:t>will</w:t>
      </w:r>
      <w:r>
        <w:rPr>
          <w:rFonts w:ascii="Arial" w:hAnsi="Arial" w:eastAsia="Arial" w:cs="Arial"/>
          <w:spacing w:val="23"/>
          <w:w w:val="101"/>
          <w:sz w:val="19"/>
          <w:szCs w:val="19"/>
        </w:rPr>
        <w:t xml:space="preserve"> </w:t>
      </w:r>
      <w:r>
        <w:rPr>
          <w:rFonts w:ascii="Arial" w:hAnsi="Arial" w:eastAsia="Arial" w:cs="Arial"/>
          <w:spacing w:val="-5"/>
          <w:sz w:val="19"/>
          <w:szCs w:val="19"/>
        </w:rPr>
        <w:t>be</w:t>
      </w:r>
      <w:r>
        <w:rPr>
          <w:rFonts w:ascii="Arial" w:hAnsi="Arial" w:eastAsia="Arial" w:cs="Arial"/>
          <w:spacing w:val="24"/>
          <w:sz w:val="19"/>
          <w:szCs w:val="19"/>
        </w:rPr>
        <w:t xml:space="preserve"> </w:t>
      </w:r>
      <w:r>
        <w:rPr>
          <w:rFonts w:ascii="Arial" w:hAnsi="Arial" w:eastAsia="Arial" w:cs="Arial"/>
          <w:spacing w:val="-5"/>
          <w:sz w:val="19"/>
          <w:szCs w:val="19"/>
        </w:rPr>
        <w:t>pro-</w:t>
      </w:r>
      <w:r>
        <w:rPr>
          <w:rFonts w:ascii="Arial" w:hAnsi="Arial" w:eastAsia="Arial" w:cs="Arial"/>
          <w:sz w:val="19"/>
          <w:szCs w:val="19"/>
        </w:rPr>
        <w:t xml:space="preserve"> </w:t>
      </w:r>
      <w:r>
        <w:rPr>
          <w:rFonts w:ascii="Arial" w:hAnsi="Arial" w:eastAsia="Arial" w:cs="Arial"/>
          <w:spacing w:val="-4"/>
          <w:sz w:val="19"/>
          <w:szCs w:val="19"/>
        </w:rPr>
        <w:t>vided</w:t>
      </w:r>
      <w:r>
        <w:rPr>
          <w:rFonts w:ascii="Arial" w:hAnsi="Arial" w:eastAsia="Arial" w:cs="Arial"/>
          <w:spacing w:val="49"/>
          <w:sz w:val="19"/>
          <w:szCs w:val="19"/>
        </w:rPr>
        <w:t xml:space="preserve"> </w:t>
      </w:r>
      <w:r>
        <w:rPr>
          <w:rFonts w:ascii="Arial" w:hAnsi="Arial" w:eastAsia="Arial" w:cs="Arial"/>
          <w:spacing w:val="-4"/>
          <w:sz w:val="19"/>
          <w:szCs w:val="19"/>
        </w:rPr>
        <w:t>in</w:t>
      </w:r>
      <w:r>
        <w:rPr>
          <w:rFonts w:ascii="Arial" w:hAnsi="Arial" w:eastAsia="Arial" w:cs="Arial"/>
          <w:spacing w:val="21"/>
          <w:sz w:val="19"/>
          <w:szCs w:val="19"/>
        </w:rPr>
        <w:t xml:space="preserve"> </w:t>
      </w:r>
      <w:r>
        <w:rPr>
          <w:rFonts w:ascii="Arial" w:hAnsi="Arial" w:eastAsia="Arial" w:cs="Arial"/>
          <w:spacing w:val="-4"/>
          <w:sz w:val="19"/>
          <w:szCs w:val="19"/>
        </w:rPr>
        <w:t>the</w:t>
      </w:r>
      <w:r>
        <w:rPr>
          <w:rFonts w:ascii="Arial" w:hAnsi="Arial" w:eastAsia="Arial" w:cs="Arial"/>
          <w:spacing w:val="22"/>
          <w:sz w:val="19"/>
          <w:szCs w:val="19"/>
        </w:rPr>
        <w:t xml:space="preserve"> </w:t>
      </w:r>
      <w:r>
        <w:rPr>
          <w:rFonts w:ascii="Arial" w:hAnsi="Arial" w:eastAsia="Arial" w:cs="Arial"/>
          <w:spacing w:val="-4"/>
          <w:sz w:val="19"/>
          <w:szCs w:val="19"/>
        </w:rPr>
        <w:t>following</w:t>
      </w:r>
      <w:r>
        <w:rPr>
          <w:rFonts w:ascii="Arial" w:hAnsi="Arial" w:eastAsia="Arial" w:cs="Arial"/>
          <w:spacing w:val="27"/>
          <w:sz w:val="19"/>
          <w:szCs w:val="19"/>
        </w:rPr>
        <w:t xml:space="preserve"> </w:t>
      </w:r>
      <w:r>
        <w:rPr>
          <w:rFonts w:ascii="Arial" w:hAnsi="Arial" w:eastAsia="Arial" w:cs="Arial"/>
          <w:spacing w:val="-4"/>
          <w:sz w:val="19"/>
          <w:szCs w:val="19"/>
        </w:rPr>
        <w:t>section,</w:t>
      </w:r>
      <w:r>
        <w:rPr>
          <w:rFonts w:ascii="Arial" w:hAnsi="Arial" w:eastAsia="Arial" w:cs="Arial"/>
          <w:spacing w:val="21"/>
          <w:sz w:val="19"/>
          <w:szCs w:val="19"/>
        </w:rPr>
        <w:t xml:space="preserve"> </w:t>
      </w:r>
      <w:r>
        <w:rPr>
          <w:rFonts w:ascii="Arial" w:hAnsi="Arial" w:eastAsia="Arial" w:cs="Arial"/>
          <w:spacing w:val="-4"/>
          <w:sz w:val="19"/>
          <w:szCs w:val="19"/>
        </w:rPr>
        <w:t>will</w:t>
      </w:r>
      <w:r>
        <w:rPr>
          <w:rFonts w:ascii="Arial" w:hAnsi="Arial" w:eastAsia="Arial" w:cs="Arial"/>
          <w:spacing w:val="25"/>
          <w:w w:val="101"/>
          <w:sz w:val="19"/>
          <w:szCs w:val="19"/>
        </w:rPr>
        <w:t xml:space="preserve"> </w:t>
      </w:r>
      <w:r>
        <w:rPr>
          <w:rFonts w:ascii="Arial" w:hAnsi="Arial" w:eastAsia="Arial" w:cs="Arial"/>
          <w:spacing w:val="-4"/>
          <w:sz w:val="19"/>
          <w:szCs w:val="19"/>
        </w:rPr>
        <w:t>only</w:t>
      </w:r>
      <w:r>
        <w:rPr>
          <w:rFonts w:ascii="Arial" w:hAnsi="Arial" w:eastAsia="Arial" w:cs="Arial"/>
          <w:spacing w:val="25"/>
          <w:w w:val="101"/>
          <w:sz w:val="19"/>
          <w:szCs w:val="19"/>
        </w:rPr>
        <w:t xml:space="preserve"> </w:t>
      </w:r>
      <w:r>
        <w:rPr>
          <w:rFonts w:ascii="Arial" w:hAnsi="Arial" w:eastAsia="Arial" w:cs="Arial"/>
          <w:spacing w:val="-4"/>
          <w:sz w:val="19"/>
          <w:szCs w:val="19"/>
        </w:rPr>
        <w:t>concern</w:t>
      </w:r>
      <w:r>
        <w:rPr>
          <w:rFonts w:ascii="Arial" w:hAnsi="Arial" w:eastAsia="Arial" w:cs="Arial"/>
          <w:spacing w:val="23"/>
          <w:sz w:val="19"/>
          <w:szCs w:val="19"/>
        </w:rPr>
        <w:t xml:space="preserve"> </w:t>
      </w:r>
      <w:r>
        <w:rPr>
          <w:rFonts w:ascii="Arial" w:hAnsi="Arial" w:eastAsia="Arial" w:cs="Arial"/>
          <w:spacing w:val="-4"/>
          <w:sz w:val="19"/>
          <w:szCs w:val="19"/>
        </w:rPr>
        <w:t>that</w:t>
      </w:r>
      <w:r>
        <w:rPr>
          <w:rFonts w:ascii="Arial" w:hAnsi="Arial" w:eastAsia="Arial" w:cs="Arial"/>
          <w:spacing w:val="32"/>
          <w:w w:val="101"/>
          <w:sz w:val="19"/>
          <w:szCs w:val="19"/>
        </w:rPr>
        <w:t xml:space="preserve"> </w:t>
      </w:r>
      <w:r>
        <w:rPr>
          <w:rFonts w:ascii="Arial" w:hAnsi="Arial" w:eastAsia="Arial" w:cs="Arial"/>
          <w:spacing w:val="-4"/>
          <w:sz w:val="19"/>
          <w:szCs w:val="19"/>
        </w:rPr>
        <w:t>part</w:t>
      </w:r>
      <w:r>
        <w:rPr>
          <w:rFonts w:ascii="Arial" w:hAnsi="Arial" w:eastAsia="Arial" w:cs="Arial"/>
          <w:spacing w:val="26"/>
          <w:w w:val="101"/>
          <w:sz w:val="19"/>
          <w:szCs w:val="19"/>
        </w:rPr>
        <w:t xml:space="preserve"> </w:t>
      </w:r>
      <w:r>
        <w:rPr>
          <w:rFonts w:ascii="Arial" w:hAnsi="Arial" w:eastAsia="Arial" w:cs="Arial"/>
          <w:spacing w:val="-4"/>
          <w:sz w:val="19"/>
          <w:szCs w:val="19"/>
        </w:rPr>
        <w:t>of</w:t>
      </w:r>
      <w:r>
        <w:rPr>
          <w:rFonts w:ascii="Arial" w:hAnsi="Arial" w:eastAsia="Arial" w:cs="Arial"/>
          <w:spacing w:val="14"/>
          <w:sz w:val="19"/>
          <w:szCs w:val="19"/>
        </w:rPr>
        <w:t xml:space="preserve"> </w:t>
      </w:r>
      <w:r>
        <w:rPr>
          <w:rFonts w:ascii="Arial" w:hAnsi="Arial" w:eastAsia="Arial" w:cs="Arial"/>
          <w:spacing w:val="-4"/>
          <w:sz w:val="19"/>
          <w:szCs w:val="19"/>
        </w:rPr>
        <w:t>the</w:t>
      </w:r>
      <w:r>
        <w:rPr>
          <w:rFonts w:ascii="Arial" w:hAnsi="Arial" w:eastAsia="Arial" w:cs="Arial"/>
          <w:spacing w:val="30"/>
          <w:sz w:val="19"/>
          <w:szCs w:val="19"/>
        </w:rPr>
        <w:t xml:space="preserve"> </w:t>
      </w:r>
      <w:r>
        <w:rPr>
          <w:rFonts w:ascii="Arial" w:hAnsi="Arial" w:eastAsia="Arial" w:cs="Arial"/>
          <w:spacing w:val="-4"/>
          <w:sz w:val="19"/>
          <w:szCs w:val="19"/>
        </w:rPr>
        <w:t>instrument</w:t>
      </w:r>
      <w:r>
        <w:rPr>
          <w:rFonts w:ascii="Arial" w:hAnsi="Arial" w:eastAsia="Arial" w:cs="Arial"/>
          <w:spacing w:val="30"/>
          <w:w w:val="101"/>
          <w:sz w:val="19"/>
          <w:szCs w:val="19"/>
        </w:rPr>
        <w:t xml:space="preserve"> </w:t>
      </w:r>
      <w:r>
        <w:rPr>
          <w:rFonts w:ascii="Arial" w:hAnsi="Arial" w:eastAsia="Arial" w:cs="Arial"/>
          <w:spacing w:val="-4"/>
          <w:sz w:val="19"/>
          <w:szCs w:val="19"/>
        </w:rPr>
        <w:t>(for</w:t>
      </w:r>
      <w:r>
        <w:rPr>
          <w:rFonts w:ascii="Arial" w:hAnsi="Arial" w:eastAsia="Arial" w:cs="Arial"/>
          <w:spacing w:val="26"/>
          <w:sz w:val="19"/>
          <w:szCs w:val="19"/>
        </w:rPr>
        <w:t xml:space="preserve"> </w:t>
      </w:r>
      <w:r>
        <w:rPr>
          <w:rFonts w:ascii="Arial" w:hAnsi="Arial" w:eastAsia="Arial" w:cs="Arial"/>
          <w:spacing w:val="-4"/>
          <w:sz w:val="19"/>
          <w:szCs w:val="19"/>
        </w:rPr>
        <w:t>a</w:t>
      </w:r>
      <w:r>
        <w:rPr>
          <w:rFonts w:ascii="Arial" w:hAnsi="Arial" w:eastAsia="Arial" w:cs="Arial"/>
          <w:spacing w:val="31"/>
          <w:w w:val="101"/>
          <w:sz w:val="19"/>
          <w:szCs w:val="19"/>
        </w:rPr>
        <w:t xml:space="preserve"> </w:t>
      </w:r>
      <w:r>
        <w:rPr>
          <w:rFonts w:ascii="Arial" w:hAnsi="Arial" w:eastAsia="Arial" w:cs="Arial"/>
          <w:spacing w:val="-4"/>
          <w:sz w:val="19"/>
          <w:szCs w:val="19"/>
        </w:rPr>
        <w:t>more</w:t>
      </w:r>
      <w:r>
        <w:rPr>
          <w:rFonts w:ascii="Arial" w:hAnsi="Arial" w:eastAsia="Arial" w:cs="Arial"/>
          <w:spacing w:val="25"/>
          <w:w w:val="101"/>
          <w:sz w:val="19"/>
          <w:szCs w:val="19"/>
        </w:rPr>
        <w:t xml:space="preserve"> </w:t>
      </w:r>
      <w:r>
        <w:rPr>
          <w:rFonts w:ascii="Arial" w:hAnsi="Arial" w:eastAsia="Arial" w:cs="Arial"/>
          <w:spacing w:val="-4"/>
          <w:sz w:val="19"/>
          <w:szCs w:val="19"/>
        </w:rPr>
        <w:t>detailed</w:t>
      </w:r>
      <w:r>
        <w:rPr>
          <w:rFonts w:ascii="Arial" w:hAnsi="Arial" w:eastAsia="Arial" w:cs="Arial"/>
          <w:sz w:val="19"/>
          <w:szCs w:val="19"/>
        </w:rPr>
        <w:t xml:space="preserve"> </w:t>
      </w:r>
      <w:r>
        <w:rPr>
          <w:rFonts w:ascii="Arial" w:hAnsi="Arial" w:eastAsia="Arial" w:cs="Arial"/>
          <w:spacing w:val="-5"/>
          <w:sz w:val="19"/>
          <w:szCs w:val="19"/>
        </w:rPr>
        <w:t>description</w:t>
      </w:r>
      <w:r>
        <w:rPr>
          <w:rFonts w:ascii="Arial" w:hAnsi="Arial" w:eastAsia="Arial" w:cs="Arial"/>
          <w:spacing w:val="13"/>
          <w:w w:val="101"/>
          <w:sz w:val="19"/>
          <w:szCs w:val="19"/>
        </w:rPr>
        <w:t xml:space="preserve"> </w:t>
      </w:r>
      <w:r>
        <w:rPr>
          <w:rFonts w:ascii="Arial" w:hAnsi="Arial" w:eastAsia="Arial" w:cs="Arial"/>
          <w:spacing w:val="-5"/>
          <w:sz w:val="19"/>
          <w:szCs w:val="19"/>
        </w:rPr>
        <w:t>of the</w:t>
      </w:r>
      <w:r>
        <w:rPr>
          <w:rFonts w:ascii="Arial" w:hAnsi="Arial" w:eastAsia="Arial" w:cs="Arial"/>
          <w:spacing w:val="12"/>
          <w:sz w:val="19"/>
          <w:szCs w:val="19"/>
        </w:rPr>
        <w:t xml:space="preserve"> </w:t>
      </w:r>
      <w:r>
        <w:rPr>
          <w:rFonts w:ascii="Arial" w:hAnsi="Arial" w:eastAsia="Arial" w:cs="Arial"/>
          <w:spacing w:val="-5"/>
          <w:sz w:val="19"/>
          <w:szCs w:val="19"/>
        </w:rPr>
        <w:t>structural-form</w:t>
      </w:r>
      <w:r>
        <w:rPr>
          <w:rFonts w:ascii="Arial" w:hAnsi="Arial" w:eastAsia="Arial" w:cs="Arial"/>
          <w:spacing w:val="-6"/>
          <w:sz w:val="19"/>
          <w:szCs w:val="19"/>
        </w:rPr>
        <w:t>al</w:t>
      </w:r>
      <w:r>
        <w:rPr>
          <w:rFonts w:ascii="Arial" w:hAnsi="Arial" w:eastAsia="Arial" w:cs="Arial"/>
          <w:spacing w:val="13"/>
          <w:sz w:val="19"/>
          <w:szCs w:val="19"/>
        </w:rPr>
        <w:t xml:space="preserve"> </w:t>
      </w:r>
      <w:r>
        <w:rPr>
          <w:rFonts w:ascii="Arial" w:hAnsi="Arial" w:eastAsia="Arial" w:cs="Arial"/>
          <w:spacing w:val="-6"/>
          <w:sz w:val="19"/>
          <w:szCs w:val="19"/>
        </w:rPr>
        <w:t>questionnaire,</w:t>
      </w:r>
      <w:r>
        <w:rPr>
          <w:rFonts w:ascii="Arial" w:hAnsi="Arial" w:eastAsia="Arial" w:cs="Arial"/>
          <w:spacing w:val="12"/>
          <w:sz w:val="19"/>
          <w:szCs w:val="19"/>
        </w:rPr>
        <w:t xml:space="preserve"> </w:t>
      </w:r>
      <w:r>
        <w:rPr>
          <w:rFonts w:ascii="Arial" w:hAnsi="Arial" w:eastAsia="Arial" w:cs="Arial"/>
          <w:spacing w:val="-6"/>
          <w:sz w:val="19"/>
          <w:szCs w:val="19"/>
        </w:rPr>
        <w:t>see</w:t>
      </w:r>
      <w:r>
        <w:rPr>
          <w:rFonts w:ascii="Arial" w:hAnsi="Arial" w:eastAsia="Arial" w:cs="Arial"/>
          <w:spacing w:val="13"/>
          <w:w w:val="101"/>
          <w:sz w:val="19"/>
          <w:szCs w:val="19"/>
        </w:rPr>
        <w:t xml:space="preserve"> </w:t>
      </w:r>
      <w:r>
        <w:rPr>
          <w:rFonts w:ascii="Arial" w:hAnsi="Arial" w:eastAsia="Arial" w:cs="Arial"/>
          <w:spacing w:val="-6"/>
          <w:sz w:val="19"/>
          <w:szCs w:val="19"/>
        </w:rPr>
        <w:t>Sattler,</w:t>
      </w:r>
      <w:r>
        <w:rPr>
          <w:rFonts w:ascii="Arial" w:hAnsi="Arial" w:eastAsia="Arial" w:cs="Arial"/>
          <w:spacing w:val="14"/>
          <w:sz w:val="19"/>
          <w:szCs w:val="19"/>
        </w:rPr>
        <w:t xml:space="preserve"> </w:t>
      </w:r>
      <w:r>
        <w:rPr>
          <w:rFonts w:ascii="Arial" w:hAnsi="Arial" w:eastAsia="Arial" w:cs="Arial"/>
          <w:spacing w:val="-6"/>
          <w:sz w:val="19"/>
          <w:szCs w:val="19"/>
        </w:rPr>
        <w:t>Sonntag,</w:t>
      </w:r>
      <w:r>
        <w:rPr>
          <w:rFonts w:ascii="Arial" w:hAnsi="Arial" w:eastAsia="Arial" w:cs="Arial"/>
          <w:spacing w:val="12"/>
          <w:sz w:val="19"/>
          <w:szCs w:val="19"/>
        </w:rPr>
        <w:t xml:space="preserve"> </w:t>
      </w:r>
      <w:r>
        <w:rPr>
          <w:rFonts w:ascii="Arial" w:hAnsi="Arial" w:eastAsia="Arial" w:cs="Arial"/>
          <w:spacing w:val="-6"/>
          <w:sz w:val="19"/>
          <w:szCs w:val="19"/>
        </w:rPr>
        <w:t>and</w:t>
      </w:r>
      <w:r>
        <w:rPr>
          <w:rFonts w:ascii="Arial" w:hAnsi="Arial" w:eastAsia="Arial" w:cs="Arial"/>
          <w:spacing w:val="12"/>
          <w:sz w:val="19"/>
          <w:szCs w:val="19"/>
        </w:rPr>
        <w:t xml:space="preserve"> </w:t>
      </w:r>
      <w:r>
        <w:rPr>
          <w:rFonts w:ascii="Arial" w:hAnsi="Arial" w:eastAsia="Arial" w:cs="Arial"/>
          <w:spacing w:val="-6"/>
          <w:sz w:val="19"/>
          <w:szCs w:val="19"/>
        </w:rPr>
        <w:t xml:space="preserve">Götzen </w:t>
      </w:r>
      <w:r>
        <w:fldChar w:fldCharType="begin"/>
      </w:r>
      <w:r>
        <w:instrText xml:space="preserve"> HYPERLINK \l "bookmark71" </w:instrText>
      </w:r>
      <w:r>
        <w:fldChar w:fldCharType="separate"/>
      </w:r>
      <w:r>
        <w:rPr>
          <w:rFonts w:ascii="Arial" w:hAnsi="Arial" w:eastAsia="Arial" w:cs="Arial"/>
          <w:color w:val="000084"/>
          <w:spacing w:val="-6"/>
          <w:sz w:val="19"/>
          <w:szCs w:val="19"/>
        </w:rPr>
        <w:t>2016</w:t>
      </w:r>
      <w:r>
        <w:rPr>
          <w:rFonts w:ascii="Arial" w:hAnsi="Arial" w:eastAsia="Arial" w:cs="Arial"/>
          <w:color w:val="000084"/>
          <w:spacing w:val="-6"/>
          <w:sz w:val="19"/>
          <w:szCs w:val="19"/>
        </w:rPr>
        <w:fldChar w:fldCharType="end"/>
      </w:r>
      <w:r>
        <w:rPr>
          <w:rFonts w:ascii="Arial" w:hAnsi="Arial" w:eastAsia="Arial" w:cs="Arial"/>
          <w:spacing w:val="-6"/>
          <w:sz w:val="19"/>
          <w:szCs w:val="19"/>
        </w:rPr>
        <w:t>).</w:t>
      </w:r>
    </w:p>
    <w:p>
      <w:pPr>
        <w:spacing w:line="258" w:lineRule="auto"/>
        <w:rPr>
          <w:rFonts w:ascii="Arial" w:hAnsi="Arial" w:eastAsia="Arial" w:cs="Arial"/>
          <w:sz w:val="19"/>
          <w:szCs w:val="19"/>
        </w:rPr>
        <w:sectPr>
          <w:type w:val="continuous"/>
          <w:pgSz w:w="9865" w:h="14060"/>
          <w:pgMar w:top="400" w:right="953" w:bottom="400" w:left="689" w:header="0" w:footer="0" w:gutter="0"/>
          <w:cols w:equalWidth="0" w:num="1">
            <w:col w:w="8223"/>
          </w:cols>
        </w:sectPr>
      </w:pPr>
    </w:p>
    <w:p>
      <w:pPr>
        <w:spacing w:before="103"/>
        <w:jc w:val="right"/>
        <w:rPr>
          <w:rFonts w:ascii="Arial" w:hAnsi="Arial" w:eastAsia="Arial" w:cs="Arial"/>
          <w:sz w:val="14"/>
          <w:szCs w:val="14"/>
        </w:rPr>
      </w:pPr>
      <w:r>
        <w:rPr>
          <w:rFonts w:ascii="Arial" w:hAnsi="Arial" w:eastAsia="Arial" w:cs="Arial"/>
          <w:spacing w:val="-9"/>
          <w:sz w:val="14"/>
          <w:szCs w:val="14"/>
        </w:rPr>
        <w:t>S</w:t>
      </w:r>
      <w:r>
        <w:rPr>
          <w:rFonts w:ascii="Arial" w:hAnsi="Arial" w:eastAsia="Arial" w:cs="Arial"/>
          <w:spacing w:val="-8"/>
          <w:sz w:val="14"/>
          <w:szCs w:val="14"/>
        </w:rPr>
        <w:t>TUDIES</w:t>
      </w:r>
      <w:r>
        <w:rPr>
          <w:rFonts w:ascii="Arial" w:hAnsi="Arial" w:eastAsia="Arial" w:cs="Arial"/>
          <w:spacing w:val="17"/>
          <w:w w:val="102"/>
          <w:sz w:val="14"/>
          <w:szCs w:val="14"/>
        </w:rPr>
        <w:t xml:space="preserve"> </w:t>
      </w:r>
      <w:r>
        <w:rPr>
          <w:rFonts w:ascii="Arial" w:hAnsi="Arial" w:eastAsia="Arial" w:cs="Arial"/>
          <w:spacing w:val="-8"/>
          <w:sz w:val="14"/>
          <w:szCs w:val="14"/>
        </w:rPr>
        <w:t>IN</w:t>
      </w:r>
      <w:r>
        <w:rPr>
          <w:rFonts w:ascii="Arial" w:hAnsi="Arial" w:eastAsia="Arial" w:cs="Arial"/>
          <w:spacing w:val="11"/>
          <w:w w:val="101"/>
          <w:sz w:val="14"/>
          <w:szCs w:val="14"/>
        </w:rPr>
        <w:t xml:space="preserve"> </w:t>
      </w:r>
      <w:r>
        <w:rPr>
          <w:rFonts w:ascii="Arial" w:hAnsi="Arial" w:eastAsia="Arial" w:cs="Arial"/>
          <w:spacing w:val="-8"/>
          <w:sz w:val="14"/>
          <w:szCs w:val="14"/>
        </w:rPr>
        <w:t>HIGHER</w:t>
      </w:r>
      <w:r>
        <w:rPr>
          <w:rFonts w:ascii="Arial" w:hAnsi="Arial" w:eastAsia="Arial" w:cs="Arial"/>
          <w:spacing w:val="10"/>
          <w:w w:val="102"/>
          <w:sz w:val="14"/>
          <w:szCs w:val="14"/>
        </w:rPr>
        <w:t xml:space="preserve"> </w:t>
      </w:r>
      <w:r>
        <w:rPr>
          <w:rFonts w:ascii="Arial" w:hAnsi="Arial" w:eastAsia="Arial" w:cs="Arial"/>
          <w:spacing w:val="-8"/>
          <w:sz w:val="14"/>
          <w:szCs w:val="14"/>
        </w:rPr>
        <w:t xml:space="preserve">EDUCATION    </w:t>
      </w:r>
      <w:r>
        <w:rPr>
          <w:position w:val="-6"/>
          <w:sz w:val="14"/>
          <w:szCs w:val="14"/>
        </w:rPr>
        <w:drawing>
          <wp:inline distT="0" distB="0" distL="0" distR="0">
            <wp:extent cx="139700" cy="13970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39"/>
                    <a:stretch>
                      <a:fillRect/>
                    </a:stretch>
                  </pic:blipFill>
                  <pic:spPr>
                    <a:xfrm>
                      <a:off x="0" y="0"/>
                      <a:ext cx="139700" cy="139700"/>
                    </a:xfrm>
                    <a:prstGeom prst="rect">
                      <a:avLst/>
                    </a:prstGeom>
                  </pic:spPr>
                </pic:pic>
              </a:graphicData>
            </a:graphic>
          </wp:inline>
        </w:drawing>
      </w:r>
      <w:r>
        <w:rPr>
          <w:rFonts w:ascii="Arial" w:hAnsi="Arial" w:eastAsia="Arial" w:cs="Arial"/>
          <w:sz w:val="14"/>
          <w:szCs w:val="14"/>
        </w:rPr>
        <w:t xml:space="preserve">    </w:t>
      </w:r>
      <w:r>
        <w:rPr>
          <w:rFonts w:ascii="Arial" w:hAnsi="Arial" w:eastAsia="Arial" w:cs="Arial"/>
          <w:spacing w:val="-7"/>
          <w:sz w:val="14"/>
          <w:szCs w:val="14"/>
        </w:rPr>
        <w:t>7</w:t>
      </w:r>
    </w:p>
    <w:p>
      <w:pPr>
        <w:spacing w:line="293" w:lineRule="auto"/>
        <w:rPr>
          <w:rFonts w:ascii="Arial"/>
          <w:sz w:val="21"/>
        </w:rPr>
      </w:pPr>
    </w:p>
    <w:p>
      <w:pPr>
        <w:spacing w:before="43" w:line="233" w:lineRule="auto"/>
        <w:ind w:left="17" w:right="7" w:hanging="7"/>
        <w:rPr>
          <w:rFonts w:ascii="Arial" w:hAnsi="Arial" w:eastAsia="Arial" w:cs="Arial"/>
          <w:sz w:val="15"/>
          <w:szCs w:val="15"/>
        </w:rPr>
      </w:pPr>
      <w:r>
        <w:rPr>
          <w:rFonts w:ascii="Arial" w:hAnsi="Arial" w:eastAsia="Arial" w:cs="Arial"/>
          <w:color w:val="282781"/>
          <w:spacing w:val="-6"/>
          <w:sz w:val="15"/>
          <w:szCs w:val="15"/>
        </w:rPr>
        <w:t>Table</w:t>
      </w:r>
      <w:r>
        <w:rPr>
          <w:rFonts w:ascii="Arial" w:hAnsi="Arial" w:eastAsia="Arial" w:cs="Arial"/>
          <w:color w:val="282781"/>
          <w:spacing w:val="17"/>
          <w:w w:val="101"/>
          <w:sz w:val="15"/>
          <w:szCs w:val="15"/>
        </w:rPr>
        <w:t xml:space="preserve"> </w:t>
      </w:r>
      <w:r>
        <w:rPr>
          <w:rFonts w:ascii="Arial" w:hAnsi="Arial" w:eastAsia="Arial" w:cs="Arial"/>
          <w:color w:val="282781"/>
          <w:spacing w:val="-6"/>
          <w:sz w:val="15"/>
          <w:szCs w:val="15"/>
        </w:rPr>
        <w:t>2.</w:t>
      </w:r>
      <w:r>
        <w:rPr>
          <w:rFonts w:ascii="Arial" w:hAnsi="Arial" w:eastAsia="Arial" w:cs="Arial"/>
          <w:color w:val="282781"/>
          <w:spacing w:val="22"/>
          <w:w w:val="102"/>
          <w:sz w:val="15"/>
          <w:szCs w:val="15"/>
        </w:rPr>
        <w:t xml:space="preserve"> </w:t>
      </w:r>
      <w:r>
        <w:rPr>
          <w:rFonts w:ascii="Arial" w:hAnsi="Arial" w:eastAsia="Arial" w:cs="Arial"/>
          <w:spacing w:val="-6"/>
          <w:sz w:val="15"/>
          <w:szCs w:val="15"/>
        </w:rPr>
        <w:t>Design</w:t>
      </w:r>
      <w:r>
        <w:rPr>
          <w:rFonts w:ascii="Arial" w:hAnsi="Arial" w:eastAsia="Arial" w:cs="Arial"/>
          <w:spacing w:val="16"/>
          <w:w w:val="101"/>
          <w:sz w:val="15"/>
          <w:szCs w:val="15"/>
        </w:rPr>
        <w:t xml:space="preserve"> </w:t>
      </w:r>
      <w:r>
        <w:rPr>
          <w:rFonts w:ascii="Arial" w:hAnsi="Arial" w:eastAsia="Arial" w:cs="Arial"/>
          <w:spacing w:val="-6"/>
          <w:sz w:val="15"/>
          <w:szCs w:val="15"/>
        </w:rPr>
        <w:t>and</w:t>
      </w:r>
      <w:r>
        <w:rPr>
          <w:rFonts w:ascii="Arial" w:hAnsi="Arial" w:eastAsia="Arial" w:cs="Arial"/>
          <w:spacing w:val="15"/>
          <w:w w:val="101"/>
          <w:sz w:val="15"/>
          <w:szCs w:val="15"/>
        </w:rPr>
        <w:t xml:space="preserve"> </w:t>
      </w:r>
      <w:r>
        <w:rPr>
          <w:rFonts w:ascii="Arial" w:hAnsi="Arial" w:eastAsia="Arial" w:cs="Arial"/>
          <w:spacing w:val="-6"/>
          <w:sz w:val="15"/>
          <w:szCs w:val="15"/>
        </w:rPr>
        <w:t>sample</w:t>
      </w:r>
      <w:r>
        <w:rPr>
          <w:rFonts w:ascii="Arial" w:hAnsi="Arial" w:eastAsia="Arial" w:cs="Arial"/>
          <w:spacing w:val="17"/>
          <w:w w:val="101"/>
          <w:sz w:val="15"/>
          <w:szCs w:val="15"/>
        </w:rPr>
        <w:t xml:space="preserve"> </w:t>
      </w:r>
      <w:r>
        <w:rPr>
          <w:rFonts w:ascii="Arial" w:hAnsi="Arial" w:eastAsia="Arial" w:cs="Arial"/>
          <w:spacing w:val="-6"/>
          <w:sz w:val="15"/>
          <w:szCs w:val="15"/>
        </w:rPr>
        <w:t>questions</w:t>
      </w:r>
      <w:r>
        <w:rPr>
          <w:rFonts w:ascii="Arial" w:hAnsi="Arial" w:eastAsia="Arial" w:cs="Arial"/>
          <w:spacing w:val="15"/>
          <w:sz w:val="15"/>
          <w:szCs w:val="15"/>
        </w:rPr>
        <w:t xml:space="preserve"> </w:t>
      </w:r>
      <w:r>
        <w:rPr>
          <w:rFonts w:ascii="Arial" w:hAnsi="Arial" w:eastAsia="Arial" w:cs="Arial"/>
          <w:spacing w:val="-6"/>
          <w:sz w:val="15"/>
          <w:szCs w:val="15"/>
        </w:rPr>
        <w:t>of</w:t>
      </w:r>
      <w:r>
        <w:rPr>
          <w:rFonts w:ascii="Arial" w:hAnsi="Arial" w:eastAsia="Arial" w:cs="Arial"/>
          <w:spacing w:val="7"/>
          <w:sz w:val="15"/>
          <w:szCs w:val="15"/>
        </w:rPr>
        <w:t xml:space="preserve"> </w:t>
      </w:r>
      <w:r>
        <w:rPr>
          <w:rFonts w:ascii="Arial" w:hAnsi="Arial" w:eastAsia="Arial" w:cs="Arial"/>
          <w:spacing w:val="-6"/>
          <w:sz w:val="15"/>
          <w:szCs w:val="15"/>
        </w:rPr>
        <w:t>the</w:t>
      </w:r>
      <w:r>
        <w:rPr>
          <w:rFonts w:ascii="Arial" w:hAnsi="Arial" w:eastAsia="Arial" w:cs="Arial"/>
          <w:spacing w:val="18"/>
          <w:sz w:val="15"/>
          <w:szCs w:val="15"/>
        </w:rPr>
        <w:t xml:space="preserve"> </w:t>
      </w:r>
      <w:r>
        <w:rPr>
          <w:rFonts w:ascii="Arial" w:hAnsi="Arial" w:eastAsia="Arial" w:cs="Arial"/>
          <w:spacing w:val="-6"/>
          <w:sz w:val="15"/>
          <w:szCs w:val="15"/>
        </w:rPr>
        <w:t>organizational-psychological</w:t>
      </w:r>
      <w:r>
        <w:rPr>
          <w:rFonts w:ascii="Arial" w:hAnsi="Arial" w:eastAsia="Arial" w:cs="Arial"/>
          <w:spacing w:val="17"/>
          <w:w w:val="101"/>
          <w:sz w:val="15"/>
          <w:szCs w:val="15"/>
        </w:rPr>
        <w:t xml:space="preserve"> </w:t>
      </w:r>
      <w:r>
        <w:rPr>
          <w:rFonts w:ascii="Arial" w:hAnsi="Arial" w:eastAsia="Arial" w:cs="Arial"/>
          <w:spacing w:val="-6"/>
          <w:sz w:val="15"/>
          <w:szCs w:val="15"/>
        </w:rPr>
        <w:t>questionnaire</w:t>
      </w:r>
      <w:r>
        <w:rPr>
          <w:rFonts w:ascii="Arial" w:hAnsi="Arial" w:eastAsia="Arial" w:cs="Arial"/>
          <w:spacing w:val="21"/>
          <w:w w:val="101"/>
          <w:sz w:val="15"/>
          <w:szCs w:val="15"/>
        </w:rPr>
        <w:t xml:space="preserve"> </w:t>
      </w:r>
      <w:r>
        <w:rPr>
          <w:rFonts w:ascii="Arial" w:hAnsi="Arial" w:eastAsia="Arial" w:cs="Arial"/>
          <w:spacing w:val="-6"/>
          <w:sz w:val="15"/>
          <w:szCs w:val="15"/>
        </w:rPr>
        <w:t>(adapted</w:t>
      </w:r>
      <w:r>
        <w:rPr>
          <w:rFonts w:ascii="Arial" w:hAnsi="Arial" w:eastAsia="Arial" w:cs="Arial"/>
          <w:spacing w:val="13"/>
          <w:sz w:val="15"/>
          <w:szCs w:val="15"/>
        </w:rPr>
        <w:t xml:space="preserve"> </w:t>
      </w:r>
      <w:r>
        <w:rPr>
          <w:rFonts w:ascii="Arial" w:hAnsi="Arial" w:eastAsia="Arial" w:cs="Arial"/>
          <w:spacing w:val="-6"/>
          <w:sz w:val="15"/>
          <w:szCs w:val="15"/>
        </w:rPr>
        <w:t>from</w:t>
      </w:r>
      <w:r>
        <w:rPr>
          <w:rFonts w:ascii="Arial" w:hAnsi="Arial" w:eastAsia="Arial" w:cs="Arial"/>
          <w:spacing w:val="16"/>
          <w:w w:val="101"/>
          <w:sz w:val="15"/>
          <w:szCs w:val="15"/>
        </w:rPr>
        <w:t xml:space="preserve"> </w:t>
      </w:r>
      <w:r>
        <w:rPr>
          <w:rFonts w:ascii="Arial" w:hAnsi="Arial" w:eastAsia="Arial" w:cs="Arial"/>
          <w:spacing w:val="-6"/>
          <w:sz w:val="15"/>
          <w:szCs w:val="15"/>
        </w:rPr>
        <w:t>Sattler</w:t>
      </w:r>
      <w:r>
        <w:rPr>
          <w:rFonts w:ascii="Arial" w:hAnsi="Arial" w:eastAsia="Arial" w:cs="Arial"/>
          <w:spacing w:val="16"/>
          <w:sz w:val="15"/>
          <w:szCs w:val="15"/>
        </w:rPr>
        <w:t xml:space="preserve"> </w:t>
      </w:r>
      <w:r>
        <w:rPr>
          <w:rFonts w:ascii="Arial" w:hAnsi="Arial" w:eastAsia="Arial" w:cs="Arial"/>
          <w:spacing w:val="-6"/>
          <w:sz w:val="15"/>
          <w:szCs w:val="15"/>
        </w:rPr>
        <w:t>and</w:t>
      </w:r>
      <w:r>
        <w:rPr>
          <w:rFonts w:ascii="Arial" w:hAnsi="Arial" w:eastAsia="Arial" w:cs="Arial"/>
          <w:spacing w:val="17"/>
          <w:w w:val="101"/>
          <w:sz w:val="15"/>
          <w:szCs w:val="15"/>
        </w:rPr>
        <w:t xml:space="preserve"> </w:t>
      </w:r>
      <w:r>
        <w:rPr>
          <w:rFonts w:ascii="Arial" w:hAnsi="Arial" w:eastAsia="Arial" w:cs="Arial"/>
          <w:spacing w:val="-6"/>
          <w:sz w:val="15"/>
          <w:szCs w:val="15"/>
        </w:rPr>
        <w:t>Sonntag</w:t>
      </w:r>
      <w:r>
        <w:rPr>
          <w:rFonts w:ascii="Arial" w:hAnsi="Arial" w:eastAsia="Arial" w:cs="Arial"/>
          <w:spacing w:val="19"/>
          <w:sz w:val="15"/>
          <w:szCs w:val="15"/>
        </w:rPr>
        <w:t xml:space="preserve"> </w:t>
      </w:r>
      <w:r>
        <w:rPr>
          <w:rFonts w:ascii="Arial" w:hAnsi="Arial" w:eastAsia="Arial" w:cs="Arial"/>
          <w:spacing w:val="-6"/>
          <w:sz w:val="15"/>
          <w:szCs w:val="15"/>
        </w:rPr>
        <w:t>in</w:t>
      </w:r>
      <w:r>
        <w:rPr>
          <w:rFonts w:ascii="Arial" w:hAnsi="Arial" w:eastAsia="Arial" w:cs="Arial"/>
          <w:sz w:val="15"/>
          <w:szCs w:val="15"/>
        </w:rPr>
        <w:t xml:space="preserve"> </w:t>
      </w:r>
      <w:bookmarkStart w:id="8" w:name="bookmark72"/>
      <w:bookmarkEnd w:id="8"/>
      <w:r>
        <w:rPr>
          <w:rFonts w:ascii="Arial" w:hAnsi="Arial" w:eastAsia="Arial" w:cs="Arial"/>
          <w:spacing w:val="-10"/>
          <w:sz w:val="15"/>
          <w:szCs w:val="15"/>
        </w:rPr>
        <w:t>press).</w:t>
      </w:r>
    </w:p>
    <w:p>
      <w:pPr>
        <w:spacing w:line="19" w:lineRule="exact"/>
      </w:pPr>
    </w:p>
    <w:tbl>
      <w:tblPr>
        <w:tblStyle w:val="5"/>
        <w:tblW w:w="7945" w:type="dxa"/>
        <w:tblInd w:w="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90"/>
        <w:gridCol w:w="1247"/>
        <w:gridCol w:w="3312"/>
        <w:gridCol w:w="2165"/>
        <w:gridCol w:w="43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238" w:hRule="atLeast"/>
        </w:trPr>
        <w:tc>
          <w:tcPr>
            <w:tcW w:w="790" w:type="dxa"/>
            <w:tcBorders>
              <w:top w:val="single" w:color="282781" w:sz="4" w:space="0"/>
              <w:bottom w:val="single" w:color="282781" w:sz="4" w:space="0"/>
            </w:tcBorders>
            <w:vAlign w:val="top"/>
          </w:tcPr>
          <w:p>
            <w:pPr>
              <w:spacing w:before="64" w:line="196" w:lineRule="auto"/>
              <w:ind w:left="5"/>
              <w:rPr>
                <w:rFonts w:ascii="Arial" w:hAnsi="Arial" w:eastAsia="Arial" w:cs="Arial"/>
                <w:sz w:val="15"/>
                <w:szCs w:val="15"/>
              </w:rPr>
            </w:pPr>
            <w:r>
              <w:rPr>
                <w:rFonts w:ascii="Arial" w:hAnsi="Arial" w:eastAsia="Arial" w:cs="Arial"/>
                <w:spacing w:val="-9"/>
                <w:w w:val="98"/>
                <w:sz w:val="15"/>
                <w:szCs w:val="15"/>
              </w:rPr>
              <w:t>Core</w:t>
            </w:r>
            <w:r>
              <w:rPr>
                <w:rFonts w:ascii="Arial" w:hAnsi="Arial" w:eastAsia="Arial" w:cs="Arial"/>
                <w:spacing w:val="14"/>
                <w:sz w:val="15"/>
                <w:szCs w:val="15"/>
              </w:rPr>
              <w:t xml:space="preserve"> </w:t>
            </w:r>
            <w:r>
              <w:rPr>
                <w:rFonts w:ascii="Arial" w:hAnsi="Arial" w:eastAsia="Arial" w:cs="Arial"/>
                <w:spacing w:val="-9"/>
                <w:w w:val="98"/>
                <w:sz w:val="15"/>
                <w:szCs w:val="15"/>
              </w:rPr>
              <w:t>Area</w:t>
            </w:r>
          </w:p>
        </w:tc>
        <w:tc>
          <w:tcPr>
            <w:tcW w:w="1247" w:type="dxa"/>
            <w:tcBorders>
              <w:top w:val="single" w:color="282781" w:sz="4" w:space="0"/>
              <w:bottom w:val="single" w:color="282781" w:sz="4" w:space="0"/>
            </w:tcBorders>
            <w:vAlign w:val="top"/>
          </w:tcPr>
          <w:p>
            <w:pPr>
              <w:spacing w:before="65" w:line="195" w:lineRule="auto"/>
              <w:ind w:left="358"/>
              <w:rPr>
                <w:rFonts w:ascii="Arial" w:hAnsi="Arial" w:eastAsia="Arial" w:cs="Arial"/>
                <w:sz w:val="15"/>
                <w:szCs w:val="15"/>
              </w:rPr>
            </w:pPr>
            <w:r>
              <w:rPr>
                <w:rFonts w:ascii="Arial" w:hAnsi="Arial" w:eastAsia="Arial" w:cs="Arial"/>
                <w:spacing w:val="-7"/>
                <w:sz w:val="15"/>
                <w:szCs w:val="15"/>
              </w:rPr>
              <w:t>Dimension</w:t>
            </w:r>
          </w:p>
        </w:tc>
        <w:tc>
          <w:tcPr>
            <w:tcW w:w="3312" w:type="dxa"/>
            <w:tcBorders>
              <w:top w:val="single" w:color="282781" w:sz="4" w:space="0"/>
              <w:bottom w:val="single" w:color="282781" w:sz="4" w:space="0"/>
            </w:tcBorders>
            <w:vAlign w:val="top"/>
          </w:tcPr>
          <w:p>
            <w:pPr>
              <w:spacing w:before="61" w:line="203" w:lineRule="auto"/>
              <w:ind w:left="1275"/>
              <w:rPr>
                <w:rFonts w:ascii="Arial" w:hAnsi="Arial" w:eastAsia="Arial" w:cs="Arial"/>
                <w:sz w:val="15"/>
                <w:szCs w:val="15"/>
              </w:rPr>
            </w:pPr>
            <w:r>
              <w:rPr>
                <w:rFonts w:ascii="Arial" w:hAnsi="Arial" w:eastAsia="Arial" w:cs="Arial"/>
                <w:spacing w:val="-8"/>
                <w:sz w:val="15"/>
                <w:szCs w:val="15"/>
              </w:rPr>
              <w:t>Sample</w:t>
            </w:r>
            <w:r>
              <w:rPr>
                <w:rFonts w:ascii="Arial" w:hAnsi="Arial" w:eastAsia="Arial" w:cs="Arial"/>
                <w:spacing w:val="18"/>
                <w:w w:val="101"/>
                <w:sz w:val="15"/>
                <w:szCs w:val="15"/>
              </w:rPr>
              <w:t xml:space="preserve"> </w:t>
            </w:r>
            <w:r>
              <w:rPr>
                <w:rFonts w:ascii="Arial" w:hAnsi="Arial" w:eastAsia="Arial" w:cs="Arial"/>
                <w:spacing w:val="-8"/>
                <w:sz w:val="15"/>
                <w:szCs w:val="15"/>
              </w:rPr>
              <w:t>Item</w:t>
            </w:r>
          </w:p>
        </w:tc>
        <w:tc>
          <w:tcPr>
            <w:tcW w:w="2165" w:type="dxa"/>
            <w:tcBorders>
              <w:top w:val="single" w:color="282781" w:sz="4" w:space="0"/>
              <w:bottom w:val="single" w:color="282781" w:sz="4" w:space="0"/>
            </w:tcBorders>
            <w:vAlign w:val="top"/>
          </w:tcPr>
          <w:p>
            <w:pPr>
              <w:spacing w:before="64" w:line="196" w:lineRule="auto"/>
              <w:ind w:left="885"/>
              <w:rPr>
                <w:rFonts w:ascii="Arial" w:hAnsi="Arial" w:eastAsia="Arial" w:cs="Arial"/>
                <w:sz w:val="15"/>
                <w:szCs w:val="15"/>
              </w:rPr>
            </w:pPr>
            <w:r>
              <w:rPr>
                <w:rFonts w:ascii="Arial" w:hAnsi="Arial" w:eastAsia="Arial" w:cs="Arial"/>
                <w:spacing w:val="-10"/>
                <w:sz w:val="15"/>
                <w:szCs w:val="15"/>
              </w:rPr>
              <w:t>Source</w:t>
            </w:r>
          </w:p>
        </w:tc>
        <w:tc>
          <w:tcPr>
            <w:tcW w:w="431" w:type="dxa"/>
            <w:tcBorders>
              <w:top w:val="single" w:color="282781" w:sz="4" w:space="0"/>
              <w:bottom w:val="single" w:color="282781" w:sz="4" w:space="0"/>
            </w:tcBorders>
            <w:vAlign w:val="top"/>
          </w:tcPr>
          <w:p>
            <w:pPr>
              <w:spacing w:before="65" w:line="194" w:lineRule="auto"/>
              <w:jc w:val="right"/>
              <w:rPr>
                <w:rFonts w:ascii="Arial" w:hAnsi="Arial" w:eastAsia="Arial" w:cs="Arial"/>
                <w:sz w:val="15"/>
                <w:szCs w:val="15"/>
              </w:rPr>
            </w:pPr>
            <w:r>
              <w:rPr>
                <w:rFonts w:ascii="Arial" w:hAnsi="Arial" w:eastAsia="Arial" w:cs="Arial"/>
                <w:spacing w:val="-10"/>
                <w:sz w:val="15"/>
                <w:szCs w:val="15"/>
              </w:rPr>
              <w:t>Ite</w:t>
            </w:r>
            <w:r>
              <w:rPr>
                <w:rFonts w:ascii="Arial" w:hAnsi="Arial" w:eastAsia="Arial" w:cs="Arial"/>
                <w:spacing w:val="-9"/>
                <w:sz w:val="15"/>
                <w:szCs w:val="15"/>
              </w:rPr>
              <w:t>m</w:t>
            </w:r>
            <w:r>
              <w:rPr>
                <w:rFonts w:ascii="Arial" w:hAnsi="Arial" w:eastAsia="Arial" w:cs="Arial"/>
                <w:spacing w:val="-6"/>
                <w:sz w:val="15"/>
                <w:szCs w:val="15"/>
              </w:rPr>
              <w:t>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3" w:hRule="atLeast"/>
        </w:trPr>
        <w:tc>
          <w:tcPr>
            <w:tcW w:w="790" w:type="dxa"/>
            <w:tcBorders>
              <w:top w:val="single" w:color="282781" w:sz="4" w:space="0"/>
            </w:tcBorders>
            <w:vAlign w:val="top"/>
          </w:tcPr>
          <w:p>
            <w:pPr>
              <w:spacing w:before="53" w:line="180" w:lineRule="exact"/>
              <w:ind w:left="11"/>
              <w:rPr>
                <w:rFonts w:ascii="Arial" w:hAnsi="Arial" w:eastAsia="Arial" w:cs="Arial"/>
                <w:sz w:val="15"/>
                <w:szCs w:val="15"/>
              </w:rPr>
            </w:pPr>
            <w:r>
              <w:rPr>
                <w:rFonts w:ascii="Arial" w:hAnsi="Arial" w:eastAsia="Arial" w:cs="Arial"/>
                <w:spacing w:val="-5"/>
                <w:position w:val="3"/>
                <w:sz w:val="15"/>
                <w:szCs w:val="15"/>
              </w:rPr>
              <w:t>Individual</w:t>
            </w:r>
          </w:p>
          <w:p>
            <w:pPr>
              <w:spacing w:line="200" w:lineRule="auto"/>
              <w:ind w:left="131"/>
              <w:rPr>
                <w:rFonts w:ascii="Arial" w:hAnsi="Arial" w:eastAsia="Arial" w:cs="Arial"/>
                <w:sz w:val="15"/>
                <w:szCs w:val="15"/>
              </w:rPr>
            </w:pPr>
            <w:r>
              <w:rPr>
                <w:rFonts w:ascii="Arial" w:hAnsi="Arial" w:eastAsia="Arial" w:cs="Arial"/>
                <w:spacing w:val="-10"/>
                <w:sz w:val="15"/>
                <w:szCs w:val="15"/>
              </w:rPr>
              <w:t>Level</w:t>
            </w:r>
          </w:p>
        </w:tc>
        <w:tc>
          <w:tcPr>
            <w:tcW w:w="1247" w:type="dxa"/>
            <w:tcBorders>
              <w:top w:val="single" w:color="282781" w:sz="4" w:space="0"/>
            </w:tcBorders>
            <w:vAlign w:val="top"/>
          </w:tcPr>
          <w:p>
            <w:pPr>
              <w:spacing w:before="56" w:line="196" w:lineRule="auto"/>
              <w:ind w:left="194"/>
              <w:rPr>
                <w:rFonts w:ascii="Arial" w:hAnsi="Arial" w:eastAsia="Arial" w:cs="Arial"/>
                <w:sz w:val="15"/>
                <w:szCs w:val="15"/>
              </w:rPr>
            </w:pPr>
            <w:r>
              <w:rPr>
                <w:rFonts w:ascii="Arial" w:hAnsi="Arial" w:eastAsia="Arial" w:cs="Arial"/>
                <w:spacing w:val="-5"/>
                <w:sz w:val="15"/>
                <w:szCs w:val="15"/>
              </w:rPr>
              <w:t>Commitment</w:t>
            </w:r>
          </w:p>
        </w:tc>
        <w:tc>
          <w:tcPr>
            <w:tcW w:w="3312" w:type="dxa"/>
            <w:tcBorders>
              <w:top w:val="single" w:color="282781" w:sz="4" w:space="0"/>
            </w:tcBorders>
            <w:vAlign w:val="top"/>
          </w:tcPr>
          <w:p>
            <w:pPr>
              <w:spacing w:before="53" w:line="227" w:lineRule="auto"/>
              <w:ind w:left="216" w:right="166" w:hanging="113"/>
              <w:rPr>
                <w:rFonts w:ascii="Arial" w:hAnsi="Arial" w:eastAsia="Arial" w:cs="Arial"/>
                <w:sz w:val="15"/>
                <w:szCs w:val="15"/>
              </w:rPr>
            </w:pPr>
            <w:r>
              <w:rPr>
                <w:rFonts w:ascii="Arial" w:hAnsi="Arial" w:eastAsia="Arial" w:cs="Arial"/>
                <w:spacing w:val="-4"/>
                <w:sz w:val="15"/>
                <w:szCs w:val="15"/>
              </w:rPr>
              <w:t>I</w:t>
            </w:r>
            <w:r>
              <w:rPr>
                <w:rFonts w:ascii="Arial" w:hAnsi="Arial" w:eastAsia="Arial" w:cs="Arial"/>
                <w:spacing w:val="11"/>
                <w:w w:val="102"/>
                <w:sz w:val="15"/>
                <w:szCs w:val="15"/>
              </w:rPr>
              <w:t xml:space="preserve"> </w:t>
            </w:r>
            <w:r>
              <w:rPr>
                <w:rFonts w:ascii="Arial" w:hAnsi="Arial" w:eastAsia="Arial" w:cs="Arial"/>
                <w:spacing w:val="-4"/>
                <w:sz w:val="15"/>
                <w:szCs w:val="15"/>
              </w:rPr>
              <w:t>am</w:t>
            </w:r>
            <w:r>
              <w:rPr>
                <w:rFonts w:ascii="Arial" w:hAnsi="Arial" w:eastAsia="Arial" w:cs="Arial"/>
                <w:spacing w:val="15"/>
                <w:sz w:val="15"/>
                <w:szCs w:val="15"/>
              </w:rPr>
              <w:t xml:space="preserve"> </w:t>
            </w:r>
            <w:r>
              <w:rPr>
                <w:rFonts w:ascii="Arial" w:hAnsi="Arial" w:eastAsia="Arial" w:cs="Arial"/>
                <w:spacing w:val="-4"/>
                <w:sz w:val="15"/>
                <w:szCs w:val="15"/>
              </w:rPr>
              <w:t>particularly</w:t>
            </w:r>
            <w:r>
              <w:rPr>
                <w:rFonts w:ascii="Arial" w:hAnsi="Arial" w:eastAsia="Arial" w:cs="Arial"/>
                <w:spacing w:val="15"/>
                <w:sz w:val="15"/>
                <w:szCs w:val="15"/>
              </w:rPr>
              <w:t xml:space="preserve"> </w:t>
            </w:r>
            <w:r>
              <w:rPr>
                <w:rFonts w:ascii="Arial" w:hAnsi="Arial" w:eastAsia="Arial" w:cs="Arial"/>
                <w:spacing w:val="-4"/>
                <w:sz w:val="15"/>
                <w:szCs w:val="15"/>
              </w:rPr>
              <w:t>intent</w:t>
            </w:r>
            <w:r>
              <w:rPr>
                <w:rFonts w:ascii="Arial" w:hAnsi="Arial" w:eastAsia="Arial" w:cs="Arial"/>
                <w:spacing w:val="11"/>
                <w:sz w:val="15"/>
                <w:szCs w:val="15"/>
              </w:rPr>
              <w:t xml:space="preserve"> </w:t>
            </w:r>
            <w:r>
              <w:rPr>
                <w:rFonts w:ascii="Arial" w:hAnsi="Arial" w:eastAsia="Arial" w:cs="Arial"/>
                <w:spacing w:val="-4"/>
                <w:sz w:val="15"/>
                <w:szCs w:val="15"/>
              </w:rPr>
              <w:t>on</w:t>
            </w:r>
            <w:r>
              <w:rPr>
                <w:rFonts w:ascii="Arial" w:hAnsi="Arial" w:eastAsia="Arial" w:cs="Arial"/>
                <w:spacing w:val="10"/>
                <w:w w:val="102"/>
                <w:sz w:val="15"/>
                <w:szCs w:val="15"/>
              </w:rPr>
              <w:t xml:space="preserve"> </w:t>
            </w:r>
            <w:r>
              <w:rPr>
                <w:rFonts w:ascii="Arial" w:hAnsi="Arial" w:eastAsia="Arial" w:cs="Arial"/>
                <w:spacing w:val="-4"/>
                <w:sz w:val="15"/>
                <w:szCs w:val="15"/>
              </w:rPr>
              <w:t>suppor</w:t>
            </w:r>
            <w:r>
              <w:rPr>
                <w:rFonts w:ascii="Arial" w:hAnsi="Arial" w:eastAsia="Arial" w:cs="Arial"/>
                <w:spacing w:val="-5"/>
                <w:sz w:val="15"/>
                <w:szCs w:val="15"/>
              </w:rPr>
              <w:t>ting</w:t>
            </w:r>
            <w:r>
              <w:rPr>
                <w:rFonts w:ascii="Arial" w:hAnsi="Arial" w:eastAsia="Arial" w:cs="Arial"/>
                <w:spacing w:val="7"/>
                <w:sz w:val="15"/>
                <w:szCs w:val="15"/>
              </w:rPr>
              <w:t xml:space="preserve"> </w:t>
            </w:r>
            <w:r>
              <w:rPr>
                <w:rFonts w:ascii="Arial" w:hAnsi="Arial" w:eastAsia="Arial" w:cs="Arial"/>
                <w:spacing w:val="-5"/>
                <w:sz w:val="15"/>
                <w:szCs w:val="15"/>
              </w:rPr>
              <w:t>the</w:t>
            </w:r>
            <w:r>
              <w:rPr>
                <w:rFonts w:ascii="Arial" w:hAnsi="Arial" w:eastAsia="Arial" w:cs="Arial"/>
                <w:spacing w:val="12"/>
                <w:w w:val="101"/>
                <w:sz w:val="15"/>
                <w:szCs w:val="15"/>
              </w:rPr>
              <w:t xml:space="preserve"> </w:t>
            </w:r>
            <w:r>
              <w:rPr>
                <w:rFonts w:ascii="Arial" w:hAnsi="Arial" w:eastAsia="Arial" w:cs="Arial"/>
                <w:spacing w:val="-5"/>
                <w:sz w:val="15"/>
                <w:szCs w:val="15"/>
              </w:rPr>
              <w:t>quality</w:t>
            </w:r>
            <w:r>
              <w:rPr>
                <w:rFonts w:ascii="Arial" w:hAnsi="Arial" w:eastAsia="Arial" w:cs="Arial"/>
                <w:sz w:val="15"/>
                <w:szCs w:val="15"/>
              </w:rPr>
              <w:t xml:space="preserve"> </w:t>
            </w:r>
            <w:r>
              <w:rPr>
                <w:rFonts w:ascii="Arial" w:hAnsi="Arial" w:eastAsia="Arial" w:cs="Arial"/>
                <w:spacing w:val="-6"/>
                <w:sz w:val="15"/>
                <w:szCs w:val="15"/>
              </w:rPr>
              <w:t>development</w:t>
            </w:r>
            <w:r>
              <w:rPr>
                <w:rFonts w:ascii="Arial" w:hAnsi="Arial" w:eastAsia="Arial" w:cs="Arial"/>
                <w:spacing w:val="22"/>
                <w:sz w:val="15"/>
                <w:szCs w:val="15"/>
              </w:rPr>
              <w:t xml:space="preserve"> </w:t>
            </w:r>
            <w:r>
              <w:rPr>
                <w:rFonts w:ascii="Arial" w:hAnsi="Arial" w:eastAsia="Arial" w:cs="Arial"/>
                <w:spacing w:val="-6"/>
                <w:sz w:val="15"/>
                <w:szCs w:val="15"/>
              </w:rPr>
              <w:t>of</w:t>
            </w:r>
            <w:r>
              <w:rPr>
                <w:rFonts w:ascii="Arial" w:hAnsi="Arial" w:eastAsia="Arial" w:cs="Arial"/>
                <w:spacing w:val="12"/>
                <w:sz w:val="15"/>
                <w:szCs w:val="15"/>
              </w:rPr>
              <w:t xml:space="preserve"> </w:t>
            </w:r>
            <w:r>
              <w:rPr>
                <w:rFonts w:ascii="Arial" w:hAnsi="Arial" w:eastAsia="Arial" w:cs="Arial"/>
                <w:spacing w:val="-6"/>
                <w:sz w:val="15"/>
                <w:szCs w:val="15"/>
              </w:rPr>
              <w:t>[HEI].</w:t>
            </w:r>
          </w:p>
        </w:tc>
        <w:tc>
          <w:tcPr>
            <w:tcW w:w="2165" w:type="dxa"/>
            <w:tcBorders>
              <w:top w:val="single" w:color="282781" w:sz="4" w:space="0"/>
            </w:tcBorders>
            <w:vAlign w:val="top"/>
          </w:tcPr>
          <w:p>
            <w:pPr>
              <w:spacing w:before="51" w:line="205" w:lineRule="auto"/>
              <w:ind w:left="95"/>
              <w:rPr>
                <w:rFonts w:ascii="Arial" w:hAnsi="Arial" w:eastAsia="Arial" w:cs="Arial"/>
                <w:sz w:val="15"/>
                <w:szCs w:val="15"/>
              </w:rPr>
            </w:pPr>
            <w:r>
              <w:rPr>
                <w:rFonts w:ascii="Arial" w:hAnsi="Arial" w:eastAsia="Arial" w:cs="Arial"/>
                <w:spacing w:val="-5"/>
                <w:sz w:val="15"/>
                <w:szCs w:val="15"/>
              </w:rPr>
              <w:t>Adapted</w:t>
            </w:r>
            <w:r>
              <w:rPr>
                <w:rFonts w:ascii="Arial" w:hAnsi="Arial" w:eastAsia="Arial" w:cs="Arial"/>
                <w:spacing w:val="9"/>
                <w:sz w:val="15"/>
                <w:szCs w:val="15"/>
              </w:rPr>
              <w:t xml:space="preserve"> </w:t>
            </w:r>
            <w:r>
              <w:rPr>
                <w:rFonts w:ascii="Arial" w:hAnsi="Arial" w:eastAsia="Arial" w:cs="Arial"/>
                <w:spacing w:val="-5"/>
                <w:sz w:val="15"/>
                <w:szCs w:val="15"/>
              </w:rPr>
              <w:t>from:</w:t>
            </w:r>
          </w:p>
          <w:p>
            <w:pPr>
              <w:spacing w:before="7" w:line="179" w:lineRule="exact"/>
              <w:ind w:left="212"/>
              <w:rPr>
                <w:rFonts w:ascii="Arial" w:hAnsi="Arial" w:eastAsia="Arial" w:cs="Arial"/>
                <w:sz w:val="15"/>
                <w:szCs w:val="15"/>
              </w:rPr>
            </w:pPr>
            <w:r>
              <w:rPr>
                <w:rFonts w:ascii="Arial" w:hAnsi="Arial" w:eastAsia="Arial" w:cs="Arial"/>
                <w:spacing w:val="-11"/>
                <w:position w:val="2"/>
                <w:sz w:val="15"/>
                <w:szCs w:val="15"/>
              </w:rPr>
              <w:t>Jackson</w:t>
            </w:r>
            <w:r>
              <w:rPr>
                <w:rFonts w:ascii="Arial" w:hAnsi="Arial" w:eastAsia="Arial" w:cs="Arial"/>
                <w:spacing w:val="24"/>
                <w:position w:val="2"/>
                <w:sz w:val="15"/>
                <w:szCs w:val="15"/>
              </w:rPr>
              <w:t xml:space="preserve"> </w:t>
            </w:r>
            <w:r>
              <w:rPr>
                <w:rFonts w:ascii="Arial" w:hAnsi="Arial" w:eastAsia="Arial" w:cs="Arial"/>
                <w:spacing w:val="-11"/>
                <w:position w:val="2"/>
                <w:sz w:val="15"/>
                <w:szCs w:val="15"/>
              </w:rPr>
              <w:t>(</w:t>
            </w:r>
            <w:r>
              <w:fldChar w:fldCharType="begin"/>
            </w:r>
            <w:r>
              <w:instrText xml:space="preserve"> HYPERLINK \l "bookmark73" </w:instrText>
            </w:r>
            <w:r>
              <w:fldChar w:fldCharType="separate"/>
            </w:r>
            <w:r>
              <w:rPr>
                <w:rFonts w:ascii="Arial" w:hAnsi="Arial" w:eastAsia="Arial" w:cs="Arial"/>
                <w:color w:val="000084"/>
                <w:spacing w:val="-11"/>
                <w:position w:val="2"/>
                <w:sz w:val="15"/>
                <w:szCs w:val="15"/>
              </w:rPr>
              <w:t>2004</w:t>
            </w:r>
            <w:r>
              <w:rPr>
                <w:rFonts w:ascii="Arial" w:hAnsi="Arial" w:eastAsia="Arial" w:cs="Arial"/>
                <w:color w:val="000084"/>
                <w:spacing w:val="-11"/>
                <w:position w:val="2"/>
                <w:sz w:val="15"/>
                <w:szCs w:val="15"/>
              </w:rPr>
              <w:fldChar w:fldCharType="end"/>
            </w:r>
            <w:r>
              <w:rPr>
                <w:rFonts w:ascii="Arial" w:hAnsi="Arial" w:eastAsia="Arial" w:cs="Arial"/>
                <w:spacing w:val="-11"/>
                <w:position w:val="2"/>
                <w:sz w:val="15"/>
                <w:szCs w:val="15"/>
              </w:rPr>
              <w:t>)</w:t>
            </w:r>
          </w:p>
          <w:p>
            <w:pPr>
              <w:spacing w:line="232" w:lineRule="auto"/>
              <w:ind w:left="221"/>
              <w:rPr>
                <w:rFonts w:ascii="Arial" w:hAnsi="Arial" w:eastAsia="Arial" w:cs="Arial"/>
                <w:sz w:val="15"/>
                <w:szCs w:val="15"/>
              </w:rPr>
            </w:pPr>
            <w:r>
              <w:rPr>
                <w:rFonts w:ascii="Arial" w:hAnsi="Arial" w:eastAsia="Arial" w:cs="Arial"/>
                <w:spacing w:val="-6"/>
                <w:sz w:val="15"/>
                <w:szCs w:val="15"/>
              </w:rPr>
              <w:t>(afective</w:t>
            </w:r>
            <w:r>
              <w:rPr>
                <w:rFonts w:ascii="Arial" w:hAnsi="Arial" w:eastAsia="Arial" w:cs="Arial"/>
                <w:spacing w:val="22"/>
                <w:sz w:val="15"/>
                <w:szCs w:val="15"/>
              </w:rPr>
              <w:t xml:space="preserve"> </w:t>
            </w:r>
            <w:r>
              <w:rPr>
                <w:rFonts w:ascii="Arial" w:hAnsi="Arial" w:eastAsia="Arial" w:cs="Arial"/>
                <w:spacing w:val="-6"/>
                <w:sz w:val="15"/>
                <w:szCs w:val="15"/>
              </w:rPr>
              <w:t>subscale)</w:t>
            </w:r>
          </w:p>
        </w:tc>
        <w:tc>
          <w:tcPr>
            <w:tcW w:w="431" w:type="dxa"/>
            <w:tcBorders>
              <w:top w:val="single" w:color="282781" w:sz="4" w:space="0"/>
            </w:tcBorders>
            <w:vAlign w:val="top"/>
          </w:tcPr>
          <w:p>
            <w:pPr>
              <w:spacing w:before="62" w:line="189" w:lineRule="auto"/>
              <w:ind w:left="272"/>
              <w:rPr>
                <w:rFonts w:ascii="Arial" w:hAnsi="Arial" w:eastAsia="Arial" w:cs="Arial"/>
                <w:sz w:val="15"/>
                <w:szCs w:val="15"/>
              </w:rPr>
            </w:pPr>
            <w:r>
              <w:rPr>
                <w:rFonts w:ascii="Arial" w:hAnsi="Arial" w:eastAsia="Arial" w:cs="Arial"/>
                <w:sz w:val="15"/>
                <w:szCs w:val="15"/>
              </w:rPr>
              <w:t>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3" w:hRule="atLeast"/>
        </w:trPr>
        <w:tc>
          <w:tcPr>
            <w:tcW w:w="790" w:type="dxa"/>
            <w:tcBorders>
              <w:bottom w:val="single" w:color="282781" w:sz="4"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43" w:line="180" w:lineRule="exact"/>
              <w:ind w:left="5"/>
              <w:rPr>
                <w:rFonts w:ascii="Arial" w:hAnsi="Arial" w:eastAsia="Arial" w:cs="Arial"/>
                <w:sz w:val="15"/>
                <w:szCs w:val="15"/>
              </w:rPr>
            </w:pPr>
            <w:r>
              <w:rPr>
                <w:rFonts w:ascii="Arial" w:hAnsi="Arial" w:eastAsia="Arial" w:cs="Arial"/>
                <w:spacing w:val="-6"/>
                <w:position w:val="3"/>
                <w:sz w:val="15"/>
                <w:szCs w:val="15"/>
              </w:rPr>
              <w:t>Collective</w:t>
            </w:r>
          </w:p>
          <w:p>
            <w:pPr>
              <w:spacing w:line="200" w:lineRule="auto"/>
              <w:ind w:left="131"/>
              <w:rPr>
                <w:rFonts w:ascii="Arial" w:hAnsi="Arial" w:eastAsia="Arial" w:cs="Arial"/>
                <w:sz w:val="15"/>
                <w:szCs w:val="15"/>
              </w:rPr>
            </w:pPr>
            <w:r>
              <w:rPr>
                <w:rFonts w:ascii="Arial" w:hAnsi="Arial" w:eastAsia="Arial" w:cs="Arial"/>
                <w:spacing w:val="-10"/>
                <w:sz w:val="15"/>
                <w:szCs w:val="15"/>
              </w:rPr>
              <w:t>Level</w:t>
            </w:r>
          </w:p>
        </w:tc>
        <w:tc>
          <w:tcPr>
            <w:tcW w:w="1247" w:type="dxa"/>
            <w:tcBorders>
              <w:bottom w:val="single" w:color="282781" w:sz="4" w:space="0"/>
            </w:tcBorders>
            <w:vAlign w:val="top"/>
          </w:tcPr>
          <w:p>
            <w:pPr>
              <w:spacing w:before="29" w:line="206" w:lineRule="auto"/>
              <w:ind w:left="200"/>
              <w:rPr>
                <w:rFonts w:ascii="Arial" w:hAnsi="Arial" w:eastAsia="Arial" w:cs="Arial"/>
                <w:sz w:val="15"/>
                <w:szCs w:val="15"/>
              </w:rPr>
            </w:pPr>
            <w:r>
              <w:rPr>
                <w:rFonts w:ascii="Arial" w:hAnsi="Arial" w:eastAsia="Arial" w:cs="Arial"/>
                <w:spacing w:val="-7"/>
                <w:sz w:val="15"/>
                <w:szCs w:val="15"/>
              </w:rPr>
              <w:t>Responsibility</w:t>
            </w:r>
          </w:p>
          <w:p>
            <w:pPr>
              <w:spacing w:line="351" w:lineRule="auto"/>
              <w:rPr>
                <w:rFonts w:ascii="Arial"/>
                <w:sz w:val="21"/>
              </w:rPr>
            </w:pPr>
          </w:p>
          <w:p>
            <w:pPr>
              <w:spacing w:before="43" w:line="196" w:lineRule="auto"/>
              <w:ind w:left="200"/>
              <w:rPr>
                <w:rFonts w:ascii="Arial" w:hAnsi="Arial" w:eastAsia="Arial" w:cs="Arial"/>
                <w:sz w:val="15"/>
                <w:szCs w:val="15"/>
              </w:rPr>
            </w:pPr>
            <w:r>
              <w:rPr>
                <w:rFonts w:ascii="Arial" w:hAnsi="Arial" w:eastAsia="Arial" w:cs="Arial"/>
                <w:spacing w:val="-9"/>
                <w:sz w:val="15"/>
                <w:szCs w:val="15"/>
              </w:rPr>
              <w:t>Engagement</w:t>
            </w:r>
          </w:p>
          <w:p>
            <w:pPr>
              <w:spacing w:line="349" w:lineRule="auto"/>
              <w:rPr>
                <w:rFonts w:ascii="Arial"/>
                <w:sz w:val="21"/>
              </w:rPr>
            </w:pPr>
          </w:p>
          <w:p>
            <w:pPr>
              <w:spacing w:before="43" w:line="203" w:lineRule="auto"/>
              <w:ind w:left="200"/>
              <w:rPr>
                <w:rFonts w:ascii="Arial" w:hAnsi="Arial" w:eastAsia="Arial" w:cs="Arial"/>
                <w:sz w:val="15"/>
                <w:szCs w:val="15"/>
              </w:rPr>
            </w:pPr>
            <w:r>
              <w:rPr>
                <w:rFonts w:ascii="Arial" w:hAnsi="Arial" w:eastAsia="Arial" w:cs="Arial"/>
                <w:spacing w:val="-8"/>
                <w:sz w:val="15"/>
                <w:szCs w:val="15"/>
              </w:rPr>
              <w:t>Leadership</w:t>
            </w:r>
          </w:p>
          <w:p>
            <w:pPr>
              <w:spacing w:before="217" w:line="361" w:lineRule="exact"/>
              <w:ind w:left="194"/>
              <w:rPr>
                <w:rFonts w:ascii="Arial" w:hAnsi="Arial" w:eastAsia="Arial" w:cs="Arial"/>
                <w:sz w:val="15"/>
                <w:szCs w:val="15"/>
              </w:rPr>
            </w:pPr>
            <w:r>
              <w:rPr>
                <w:rFonts w:ascii="Arial" w:hAnsi="Arial" w:eastAsia="Arial" w:cs="Arial"/>
                <w:spacing w:val="-6"/>
                <w:position w:val="18"/>
                <w:sz w:val="15"/>
                <w:szCs w:val="15"/>
              </w:rPr>
              <w:t>Communication</w:t>
            </w:r>
          </w:p>
          <w:p>
            <w:pPr>
              <w:spacing w:line="197" w:lineRule="auto"/>
              <w:ind w:left="200"/>
              <w:rPr>
                <w:rFonts w:ascii="Arial" w:hAnsi="Arial" w:eastAsia="Arial" w:cs="Arial"/>
                <w:sz w:val="15"/>
                <w:szCs w:val="15"/>
              </w:rPr>
            </w:pPr>
            <w:r>
              <w:rPr>
                <w:rFonts w:ascii="Arial" w:hAnsi="Arial" w:eastAsia="Arial" w:cs="Arial"/>
                <w:spacing w:val="-5"/>
                <w:sz w:val="15"/>
                <w:szCs w:val="15"/>
              </w:rPr>
              <w:t>Participation</w:t>
            </w:r>
          </w:p>
          <w:p>
            <w:pPr>
              <w:spacing w:before="214" w:line="201" w:lineRule="auto"/>
              <w:ind w:left="194"/>
              <w:rPr>
                <w:rFonts w:ascii="Arial" w:hAnsi="Arial" w:eastAsia="Arial" w:cs="Arial"/>
                <w:sz w:val="15"/>
                <w:szCs w:val="15"/>
              </w:rPr>
            </w:pPr>
            <w:r>
              <w:rPr>
                <w:rFonts w:ascii="Arial" w:hAnsi="Arial" w:eastAsia="Arial" w:cs="Arial"/>
                <w:spacing w:val="-9"/>
                <w:sz w:val="15"/>
                <w:szCs w:val="15"/>
              </w:rPr>
              <w:t>Shared</w:t>
            </w:r>
            <w:r>
              <w:rPr>
                <w:rFonts w:ascii="Arial" w:hAnsi="Arial" w:eastAsia="Arial" w:cs="Arial"/>
                <w:spacing w:val="7"/>
                <w:sz w:val="15"/>
                <w:szCs w:val="15"/>
              </w:rPr>
              <w:t xml:space="preserve"> </w:t>
            </w:r>
            <w:r>
              <w:rPr>
                <w:rFonts w:ascii="Arial" w:hAnsi="Arial" w:eastAsia="Arial" w:cs="Arial"/>
                <w:spacing w:val="-9"/>
                <w:sz w:val="15"/>
                <w:szCs w:val="15"/>
              </w:rPr>
              <w:t>values</w:t>
            </w:r>
          </w:p>
          <w:p>
            <w:pPr>
              <w:spacing w:before="221" w:line="194" w:lineRule="auto"/>
              <w:ind w:left="189"/>
              <w:rPr>
                <w:rFonts w:ascii="Arial" w:hAnsi="Arial" w:eastAsia="Arial" w:cs="Arial"/>
                <w:sz w:val="15"/>
                <w:szCs w:val="15"/>
              </w:rPr>
            </w:pPr>
            <w:r>
              <w:rPr>
                <w:rFonts w:ascii="Arial" w:hAnsi="Arial" w:eastAsia="Arial" w:cs="Arial"/>
                <w:spacing w:val="-7"/>
                <w:sz w:val="15"/>
                <w:szCs w:val="15"/>
              </w:rPr>
              <w:t>Trust</w:t>
            </w:r>
          </w:p>
          <w:p>
            <w:pPr>
              <w:spacing w:before="35" w:line="226" w:lineRule="auto"/>
              <w:ind w:left="190" w:right="151" w:firstLine="3"/>
              <w:rPr>
                <w:rFonts w:ascii="Arial" w:hAnsi="Arial" w:eastAsia="Arial" w:cs="Arial"/>
                <w:sz w:val="15"/>
                <w:szCs w:val="15"/>
              </w:rPr>
            </w:pPr>
            <w:r>
              <w:rPr>
                <w:rFonts w:ascii="Arial" w:hAnsi="Arial" w:eastAsia="Arial" w:cs="Arial"/>
                <w:spacing w:val="-10"/>
                <w:sz w:val="15"/>
                <w:szCs w:val="15"/>
              </w:rPr>
              <w:t>Global</w:t>
            </w:r>
            <w:r>
              <w:rPr>
                <w:rFonts w:ascii="Arial" w:hAnsi="Arial" w:eastAsia="Arial" w:cs="Arial"/>
                <w:spacing w:val="21"/>
                <w:sz w:val="15"/>
                <w:szCs w:val="15"/>
              </w:rPr>
              <w:t xml:space="preserve"> </w:t>
            </w:r>
            <w:r>
              <w:rPr>
                <w:rFonts w:ascii="Arial" w:hAnsi="Arial" w:eastAsia="Arial" w:cs="Arial"/>
                <w:spacing w:val="-10"/>
                <w:sz w:val="15"/>
                <w:szCs w:val="15"/>
              </w:rPr>
              <w:t>Aspects</w:t>
            </w:r>
            <w:r>
              <w:rPr>
                <w:rFonts w:ascii="Arial" w:hAnsi="Arial" w:eastAsia="Arial" w:cs="Arial"/>
                <w:sz w:val="15"/>
                <w:szCs w:val="15"/>
              </w:rPr>
              <w:t xml:space="preserve"> </w:t>
            </w:r>
            <w:r>
              <w:rPr>
                <w:rFonts w:ascii="Arial" w:hAnsi="Arial" w:eastAsia="Arial" w:cs="Arial"/>
                <w:spacing w:val="-9"/>
                <w:sz w:val="15"/>
                <w:szCs w:val="15"/>
              </w:rPr>
              <w:t>TOTAL</w:t>
            </w:r>
          </w:p>
        </w:tc>
        <w:tc>
          <w:tcPr>
            <w:tcW w:w="3312" w:type="dxa"/>
            <w:tcBorders>
              <w:bottom w:val="single" w:color="282781" w:sz="4" w:space="0"/>
            </w:tcBorders>
            <w:vAlign w:val="top"/>
          </w:tcPr>
          <w:p>
            <w:pPr>
              <w:spacing w:before="28" w:line="228" w:lineRule="auto"/>
              <w:ind w:left="216" w:right="160" w:hanging="136"/>
              <w:rPr>
                <w:rFonts w:ascii="Arial" w:hAnsi="Arial" w:eastAsia="Arial" w:cs="Arial"/>
                <w:sz w:val="15"/>
                <w:szCs w:val="15"/>
              </w:rPr>
            </w:pPr>
            <w:r>
              <w:rPr>
                <w:rFonts w:ascii="Arial" w:hAnsi="Arial" w:eastAsia="Arial" w:cs="Arial"/>
                <w:spacing w:val="-4"/>
                <w:sz w:val="15"/>
                <w:szCs w:val="15"/>
              </w:rPr>
              <w:t>‘I</w:t>
            </w:r>
            <w:r>
              <w:rPr>
                <w:rFonts w:ascii="Arial" w:hAnsi="Arial" w:eastAsia="Arial" w:cs="Arial"/>
                <w:spacing w:val="20"/>
                <w:w w:val="101"/>
                <w:sz w:val="15"/>
                <w:szCs w:val="15"/>
              </w:rPr>
              <w:t xml:space="preserve"> </w:t>
            </w:r>
            <w:r>
              <w:rPr>
                <w:rFonts w:ascii="Arial" w:hAnsi="Arial" w:eastAsia="Arial" w:cs="Arial"/>
                <w:spacing w:val="-4"/>
                <w:sz w:val="15"/>
                <w:szCs w:val="15"/>
              </w:rPr>
              <w:t>feel</w:t>
            </w:r>
            <w:r>
              <w:rPr>
                <w:rFonts w:ascii="Arial" w:hAnsi="Arial" w:eastAsia="Arial" w:cs="Arial"/>
                <w:spacing w:val="9"/>
                <w:sz w:val="15"/>
                <w:szCs w:val="15"/>
              </w:rPr>
              <w:t xml:space="preserve"> </w:t>
            </w:r>
            <w:r>
              <w:rPr>
                <w:rFonts w:ascii="Arial" w:hAnsi="Arial" w:eastAsia="Arial" w:cs="Arial"/>
                <w:spacing w:val="-4"/>
                <w:sz w:val="15"/>
                <w:szCs w:val="15"/>
              </w:rPr>
              <w:t>that</w:t>
            </w:r>
            <w:r>
              <w:rPr>
                <w:rFonts w:ascii="Arial" w:hAnsi="Arial" w:eastAsia="Arial" w:cs="Arial"/>
                <w:spacing w:val="17"/>
                <w:w w:val="101"/>
                <w:sz w:val="15"/>
                <w:szCs w:val="15"/>
              </w:rPr>
              <w:t xml:space="preserve"> </w:t>
            </w:r>
            <w:r>
              <w:rPr>
                <w:rFonts w:ascii="Arial" w:hAnsi="Arial" w:eastAsia="Arial" w:cs="Arial"/>
                <w:spacing w:val="-4"/>
                <w:sz w:val="15"/>
                <w:szCs w:val="15"/>
              </w:rPr>
              <w:t>I</w:t>
            </w:r>
            <w:r>
              <w:rPr>
                <w:rFonts w:ascii="Arial" w:hAnsi="Arial" w:eastAsia="Arial" w:cs="Arial"/>
                <w:spacing w:val="11"/>
                <w:w w:val="101"/>
                <w:sz w:val="15"/>
                <w:szCs w:val="15"/>
              </w:rPr>
              <w:t xml:space="preserve"> </w:t>
            </w:r>
            <w:r>
              <w:rPr>
                <w:rFonts w:ascii="Arial" w:hAnsi="Arial" w:eastAsia="Arial" w:cs="Arial"/>
                <w:spacing w:val="-4"/>
                <w:sz w:val="15"/>
                <w:szCs w:val="15"/>
              </w:rPr>
              <w:t>am jointly</w:t>
            </w:r>
            <w:r>
              <w:rPr>
                <w:rFonts w:ascii="Arial" w:hAnsi="Arial" w:eastAsia="Arial" w:cs="Arial"/>
                <w:spacing w:val="15"/>
                <w:sz w:val="15"/>
                <w:szCs w:val="15"/>
              </w:rPr>
              <w:t xml:space="preserve"> </w:t>
            </w:r>
            <w:r>
              <w:rPr>
                <w:rFonts w:ascii="Arial" w:hAnsi="Arial" w:eastAsia="Arial" w:cs="Arial"/>
                <w:spacing w:val="-4"/>
                <w:sz w:val="15"/>
                <w:szCs w:val="15"/>
              </w:rPr>
              <w:t>responsible for</w:t>
            </w:r>
            <w:r>
              <w:rPr>
                <w:rFonts w:ascii="Arial" w:hAnsi="Arial" w:eastAsia="Arial" w:cs="Arial"/>
                <w:spacing w:val="9"/>
                <w:sz w:val="15"/>
                <w:szCs w:val="15"/>
              </w:rPr>
              <w:t xml:space="preserve"> </w:t>
            </w:r>
            <w:r>
              <w:rPr>
                <w:rFonts w:ascii="Arial" w:hAnsi="Arial" w:eastAsia="Arial" w:cs="Arial"/>
                <w:spacing w:val="-4"/>
                <w:sz w:val="15"/>
                <w:szCs w:val="15"/>
              </w:rPr>
              <w:t>the</w:t>
            </w:r>
            <w:r>
              <w:rPr>
                <w:rFonts w:ascii="Arial" w:hAnsi="Arial" w:eastAsia="Arial" w:cs="Arial"/>
                <w:spacing w:val="11"/>
                <w:sz w:val="15"/>
                <w:szCs w:val="15"/>
              </w:rPr>
              <w:t xml:space="preserve"> </w:t>
            </w:r>
            <w:r>
              <w:rPr>
                <w:rFonts w:ascii="Arial" w:hAnsi="Arial" w:eastAsia="Arial" w:cs="Arial"/>
                <w:spacing w:val="-4"/>
                <w:sz w:val="15"/>
                <w:szCs w:val="15"/>
              </w:rPr>
              <w:t>quality</w:t>
            </w:r>
            <w:r>
              <w:rPr>
                <w:rFonts w:ascii="Arial" w:hAnsi="Arial" w:eastAsia="Arial" w:cs="Arial"/>
                <w:sz w:val="15"/>
                <w:szCs w:val="15"/>
              </w:rPr>
              <w:t xml:space="preserve"> </w:t>
            </w:r>
            <w:r>
              <w:rPr>
                <w:rFonts w:ascii="Arial" w:hAnsi="Arial" w:eastAsia="Arial" w:cs="Arial"/>
                <w:spacing w:val="-6"/>
                <w:sz w:val="15"/>
                <w:szCs w:val="15"/>
              </w:rPr>
              <w:t>development</w:t>
            </w:r>
            <w:r>
              <w:rPr>
                <w:rFonts w:ascii="Arial" w:hAnsi="Arial" w:eastAsia="Arial" w:cs="Arial"/>
                <w:spacing w:val="24"/>
                <w:sz w:val="15"/>
                <w:szCs w:val="15"/>
              </w:rPr>
              <w:t xml:space="preserve"> </w:t>
            </w:r>
            <w:r>
              <w:rPr>
                <w:rFonts w:ascii="Arial" w:hAnsi="Arial" w:eastAsia="Arial" w:cs="Arial"/>
                <w:spacing w:val="-6"/>
                <w:sz w:val="15"/>
                <w:szCs w:val="15"/>
              </w:rPr>
              <w:t>of</w:t>
            </w:r>
            <w:r>
              <w:rPr>
                <w:rFonts w:ascii="Arial" w:hAnsi="Arial" w:eastAsia="Arial" w:cs="Arial"/>
                <w:spacing w:val="12"/>
                <w:sz w:val="15"/>
                <w:szCs w:val="15"/>
              </w:rPr>
              <w:t xml:space="preserve"> </w:t>
            </w:r>
            <w:r>
              <w:rPr>
                <w:rFonts w:ascii="Arial" w:hAnsi="Arial" w:eastAsia="Arial" w:cs="Arial"/>
                <w:spacing w:val="-6"/>
                <w:sz w:val="15"/>
                <w:szCs w:val="15"/>
              </w:rPr>
              <w:t>[HEI].’</w:t>
            </w:r>
          </w:p>
          <w:p>
            <w:pPr>
              <w:spacing w:before="185" w:line="251" w:lineRule="auto"/>
              <w:ind w:left="220" w:right="89" w:hanging="140"/>
              <w:rPr>
                <w:rFonts w:ascii="Arial" w:hAnsi="Arial" w:eastAsia="Arial" w:cs="Arial"/>
                <w:sz w:val="15"/>
                <w:szCs w:val="15"/>
              </w:rPr>
            </w:pPr>
            <w:r>
              <w:rPr>
                <w:rFonts w:ascii="Arial" w:hAnsi="Arial" w:eastAsia="Arial" w:cs="Arial"/>
                <w:spacing w:val="-3"/>
                <w:sz w:val="15"/>
                <w:szCs w:val="15"/>
              </w:rPr>
              <w:t>‘I</w:t>
            </w:r>
            <w:r>
              <w:rPr>
                <w:rFonts w:ascii="Arial" w:hAnsi="Arial" w:eastAsia="Arial" w:cs="Arial"/>
                <w:spacing w:val="12"/>
                <w:sz w:val="15"/>
                <w:szCs w:val="15"/>
              </w:rPr>
              <w:t xml:space="preserve"> </w:t>
            </w:r>
            <w:r>
              <w:rPr>
                <w:rFonts w:ascii="Arial" w:hAnsi="Arial" w:eastAsia="Arial" w:cs="Arial"/>
                <w:spacing w:val="-3"/>
                <w:sz w:val="15"/>
                <w:szCs w:val="15"/>
              </w:rPr>
              <w:t>am</w:t>
            </w:r>
            <w:r>
              <w:rPr>
                <w:rFonts w:ascii="Arial" w:hAnsi="Arial" w:eastAsia="Arial" w:cs="Arial"/>
                <w:spacing w:val="8"/>
                <w:sz w:val="15"/>
                <w:szCs w:val="15"/>
              </w:rPr>
              <w:t xml:space="preserve"> </w:t>
            </w:r>
            <w:r>
              <w:rPr>
                <w:rFonts w:ascii="Arial" w:hAnsi="Arial" w:eastAsia="Arial" w:cs="Arial"/>
                <w:spacing w:val="-3"/>
                <w:sz w:val="15"/>
                <w:szCs w:val="15"/>
              </w:rPr>
              <w:t>willing</w:t>
            </w:r>
            <w:r>
              <w:rPr>
                <w:rFonts w:ascii="Arial" w:hAnsi="Arial" w:eastAsia="Arial" w:cs="Arial"/>
                <w:spacing w:val="9"/>
                <w:sz w:val="15"/>
                <w:szCs w:val="15"/>
              </w:rPr>
              <w:t xml:space="preserve"> </w:t>
            </w:r>
            <w:r>
              <w:rPr>
                <w:rFonts w:ascii="Arial" w:hAnsi="Arial" w:eastAsia="Arial" w:cs="Arial"/>
                <w:spacing w:val="-3"/>
                <w:sz w:val="15"/>
                <w:szCs w:val="15"/>
              </w:rPr>
              <w:t>to</w:t>
            </w:r>
            <w:r>
              <w:rPr>
                <w:rFonts w:ascii="Arial" w:hAnsi="Arial" w:eastAsia="Arial" w:cs="Arial"/>
                <w:spacing w:val="16"/>
                <w:w w:val="101"/>
                <w:sz w:val="15"/>
                <w:szCs w:val="15"/>
              </w:rPr>
              <w:t xml:space="preserve"> </w:t>
            </w:r>
            <w:r>
              <w:rPr>
                <w:rFonts w:ascii="Arial" w:hAnsi="Arial" w:eastAsia="Arial" w:cs="Arial"/>
                <w:spacing w:val="-3"/>
                <w:sz w:val="15"/>
                <w:szCs w:val="15"/>
              </w:rPr>
              <w:t>make</w:t>
            </w:r>
            <w:r>
              <w:rPr>
                <w:rFonts w:ascii="Arial" w:hAnsi="Arial" w:eastAsia="Arial" w:cs="Arial"/>
                <w:spacing w:val="10"/>
                <w:w w:val="101"/>
                <w:sz w:val="15"/>
                <w:szCs w:val="15"/>
              </w:rPr>
              <w:t xml:space="preserve"> </w:t>
            </w:r>
            <w:r>
              <w:rPr>
                <w:rFonts w:ascii="Arial" w:hAnsi="Arial" w:eastAsia="Arial" w:cs="Arial"/>
                <w:spacing w:val="-3"/>
                <w:sz w:val="15"/>
                <w:szCs w:val="15"/>
              </w:rPr>
              <w:t>additional</w:t>
            </w:r>
            <w:r>
              <w:rPr>
                <w:rFonts w:ascii="Arial" w:hAnsi="Arial" w:eastAsia="Arial" w:cs="Arial"/>
                <w:spacing w:val="10"/>
                <w:w w:val="102"/>
                <w:sz w:val="15"/>
                <w:szCs w:val="15"/>
              </w:rPr>
              <w:t xml:space="preserve"> </w:t>
            </w:r>
            <w:r>
              <w:rPr>
                <w:rFonts w:ascii="Arial" w:hAnsi="Arial" w:eastAsia="Arial" w:cs="Arial"/>
                <w:spacing w:val="-3"/>
                <w:sz w:val="15"/>
                <w:szCs w:val="15"/>
              </w:rPr>
              <w:t>eforts</w:t>
            </w:r>
            <w:r>
              <w:rPr>
                <w:rFonts w:ascii="Arial" w:hAnsi="Arial" w:eastAsia="Arial" w:cs="Arial"/>
                <w:spacing w:val="14"/>
                <w:w w:val="102"/>
                <w:sz w:val="15"/>
                <w:szCs w:val="15"/>
              </w:rPr>
              <w:t xml:space="preserve"> </w:t>
            </w:r>
            <w:r>
              <w:rPr>
                <w:rFonts w:ascii="Arial" w:hAnsi="Arial" w:eastAsia="Arial" w:cs="Arial"/>
                <w:spacing w:val="-3"/>
                <w:sz w:val="15"/>
                <w:szCs w:val="15"/>
              </w:rPr>
              <w:t>in</w:t>
            </w:r>
            <w:r>
              <w:rPr>
                <w:rFonts w:ascii="Arial" w:hAnsi="Arial" w:eastAsia="Arial" w:cs="Arial"/>
                <w:spacing w:val="11"/>
                <w:w w:val="101"/>
                <w:sz w:val="15"/>
                <w:szCs w:val="15"/>
              </w:rPr>
              <w:t xml:space="preserve"> </w:t>
            </w:r>
            <w:r>
              <w:rPr>
                <w:rFonts w:ascii="Arial" w:hAnsi="Arial" w:eastAsia="Arial" w:cs="Arial"/>
                <w:spacing w:val="-3"/>
                <w:sz w:val="15"/>
                <w:szCs w:val="15"/>
              </w:rPr>
              <w:t>orde</w:t>
            </w:r>
            <w:r>
              <w:rPr>
                <w:rFonts w:ascii="Arial" w:hAnsi="Arial" w:eastAsia="Arial" w:cs="Arial"/>
                <w:spacing w:val="-4"/>
                <w:sz w:val="15"/>
                <w:szCs w:val="15"/>
              </w:rPr>
              <w:t>r</w:t>
            </w:r>
            <w:r>
              <w:rPr>
                <w:rFonts w:ascii="Arial" w:hAnsi="Arial" w:eastAsia="Arial" w:cs="Arial"/>
                <w:spacing w:val="8"/>
                <w:sz w:val="15"/>
                <w:szCs w:val="15"/>
              </w:rPr>
              <w:t xml:space="preserve"> </w:t>
            </w:r>
            <w:r>
              <w:rPr>
                <w:rFonts w:ascii="Arial" w:hAnsi="Arial" w:eastAsia="Arial" w:cs="Arial"/>
                <w:spacing w:val="-4"/>
                <w:sz w:val="15"/>
                <w:szCs w:val="15"/>
              </w:rPr>
              <w:t>to</w:t>
            </w:r>
            <w:r>
              <w:rPr>
                <w:rFonts w:ascii="Arial" w:hAnsi="Arial" w:eastAsia="Arial" w:cs="Arial"/>
                <w:sz w:val="15"/>
                <w:szCs w:val="15"/>
              </w:rPr>
              <w:t xml:space="preserve"> </w:t>
            </w:r>
            <w:r>
              <w:rPr>
                <w:rFonts w:ascii="Arial" w:hAnsi="Arial" w:eastAsia="Arial" w:cs="Arial"/>
                <w:spacing w:val="-5"/>
                <w:sz w:val="15"/>
                <w:szCs w:val="15"/>
              </w:rPr>
              <w:t>meet</w:t>
            </w:r>
            <w:r>
              <w:rPr>
                <w:rFonts w:ascii="Arial" w:hAnsi="Arial" w:eastAsia="Arial" w:cs="Arial"/>
                <w:spacing w:val="10"/>
                <w:w w:val="101"/>
                <w:sz w:val="15"/>
                <w:szCs w:val="15"/>
              </w:rPr>
              <w:t xml:space="preserve"> </w:t>
            </w:r>
            <w:r>
              <w:rPr>
                <w:rFonts w:ascii="Arial" w:hAnsi="Arial" w:eastAsia="Arial" w:cs="Arial"/>
                <w:spacing w:val="-5"/>
                <w:sz w:val="15"/>
                <w:szCs w:val="15"/>
              </w:rPr>
              <w:t>the</w:t>
            </w:r>
            <w:r>
              <w:rPr>
                <w:rFonts w:ascii="Arial" w:hAnsi="Arial" w:eastAsia="Arial" w:cs="Arial"/>
                <w:spacing w:val="12"/>
                <w:sz w:val="15"/>
                <w:szCs w:val="15"/>
              </w:rPr>
              <w:t xml:space="preserve"> </w:t>
            </w:r>
            <w:r>
              <w:rPr>
                <w:rFonts w:ascii="Arial" w:hAnsi="Arial" w:eastAsia="Arial" w:cs="Arial"/>
                <w:spacing w:val="-5"/>
                <w:sz w:val="15"/>
                <w:szCs w:val="15"/>
              </w:rPr>
              <w:t>quality</w:t>
            </w:r>
            <w:r>
              <w:rPr>
                <w:rFonts w:ascii="Arial" w:hAnsi="Arial" w:eastAsia="Arial" w:cs="Arial"/>
                <w:spacing w:val="11"/>
                <w:sz w:val="15"/>
                <w:szCs w:val="15"/>
              </w:rPr>
              <w:t xml:space="preserve"> </w:t>
            </w:r>
            <w:r>
              <w:rPr>
                <w:rFonts w:ascii="Arial" w:hAnsi="Arial" w:eastAsia="Arial" w:cs="Arial"/>
                <w:spacing w:val="-5"/>
                <w:sz w:val="15"/>
                <w:szCs w:val="15"/>
              </w:rPr>
              <w:t>demands</w:t>
            </w:r>
            <w:r>
              <w:rPr>
                <w:rFonts w:ascii="Arial" w:hAnsi="Arial" w:eastAsia="Arial" w:cs="Arial"/>
                <w:spacing w:val="10"/>
                <w:w w:val="102"/>
                <w:sz w:val="15"/>
                <w:szCs w:val="15"/>
              </w:rPr>
              <w:t xml:space="preserve"> </w:t>
            </w:r>
            <w:r>
              <w:rPr>
                <w:rFonts w:ascii="Arial" w:hAnsi="Arial" w:eastAsia="Arial" w:cs="Arial"/>
                <w:spacing w:val="-5"/>
                <w:sz w:val="15"/>
                <w:szCs w:val="15"/>
              </w:rPr>
              <w:t>of</w:t>
            </w:r>
            <w:r>
              <w:rPr>
                <w:rFonts w:ascii="Arial" w:hAnsi="Arial" w:eastAsia="Arial" w:cs="Arial"/>
                <w:spacing w:val="9"/>
                <w:sz w:val="15"/>
                <w:szCs w:val="15"/>
              </w:rPr>
              <w:t xml:space="preserve"> </w:t>
            </w:r>
            <w:r>
              <w:rPr>
                <w:rFonts w:ascii="Arial" w:hAnsi="Arial" w:eastAsia="Arial" w:cs="Arial"/>
                <w:spacing w:val="-5"/>
                <w:sz w:val="15"/>
                <w:szCs w:val="15"/>
              </w:rPr>
              <w:t>my</w:t>
            </w:r>
            <w:r>
              <w:rPr>
                <w:rFonts w:ascii="Arial" w:hAnsi="Arial" w:eastAsia="Arial" w:cs="Arial"/>
                <w:spacing w:val="9"/>
                <w:sz w:val="15"/>
                <w:szCs w:val="15"/>
              </w:rPr>
              <w:t xml:space="preserve"> </w:t>
            </w:r>
            <w:r>
              <w:rPr>
                <w:rFonts w:ascii="Arial" w:hAnsi="Arial" w:eastAsia="Arial" w:cs="Arial"/>
                <w:spacing w:val="-5"/>
                <w:sz w:val="15"/>
                <w:szCs w:val="15"/>
              </w:rPr>
              <w:t>work.’</w:t>
            </w:r>
          </w:p>
          <w:p>
            <w:pPr>
              <w:spacing w:before="207" w:line="231" w:lineRule="auto"/>
              <w:ind w:left="220" w:right="111" w:hanging="140"/>
              <w:rPr>
                <w:rFonts w:ascii="Arial" w:hAnsi="Arial" w:eastAsia="Arial" w:cs="Arial"/>
                <w:sz w:val="15"/>
                <w:szCs w:val="15"/>
              </w:rPr>
            </w:pPr>
            <w:r>
              <w:rPr>
                <w:rFonts w:ascii="Arial" w:hAnsi="Arial" w:eastAsia="Arial" w:cs="Arial"/>
                <w:spacing w:val="-4"/>
                <w:sz w:val="15"/>
                <w:szCs w:val="15"/>
              </w:rPr>
              <w:t>‘It</w:t>
            </w:r>
            <w:r>
              <w:rPr>
                <w:rFonts w:ascii="Arial" w:hAnsi="Arial" w:eastAsia="Arial" w:cs="Arial"/>
                <w:spacing w:val="34"/>
                <w:sz w:val="15"/>
                <w:szCs w:val="15"/>
              </w:rPr>
              <w:t xml:space="preserve"> </w:t>
            </w:r>
            <w:r>
              <w:rPr>
                <w:rFonts w:ascii="Arial" w:hAnsi="Arial" w:eastAsia="Arial" w:cs="Arial"/>
                <w:spacing w:val="-4"/>
                <w:sz w:val="15"/>
                <w:szCs w:val="15"/>
              </w:rPr>
              <w:t>is</w:t>
            </w:r>
            <w:r>
              <w:rPr>
                <w:rFonts w:ascii="Arial" w:hAnsi="Arial" w:eastAsia="Arial" w:cs="Arial"/>
                <w:spacing w:val="15"/>
                <w:w w:val="101"/>
                <w:sz w:val="15"/>
                <w:szCs w:val="15"/>
              </w:rPr>
              <w:t xml:space="preserve"> </w:t>
            </w:r>
            <w:r>
              <w:rPr>
                <w:rFonts w:ascii="Arial" w:hAnsi="Arial" w:eastAsia="Arial" w:cs="Arial"/>
                <w:spacing w:val="-4"/>
                <w:sz w:val="15"/>
                <w:szCs w:val="15"/>
              </w:rPr>
              <w:t>important to</w:t>
            </w:r>
            <w:r>
              <w:rPr>
                <w:rFonts w:ascii="Arial" w:hAnsi="Arial" w:eastAsia="Arial" w:cs="Arial"/>
                <w:spacing w:val="16"/>
                <w:w w:val="101"/>
                <w:sz w:val="15"/>
                <w:szCs w:val="15"/>
              </w:rPr>
              <w:t xml:space="preserve"> </w:t>
            </w:r>
            <w:r>
              <w:rPr>
                <w:rFonts w:ascii="Arial" w:hAnsi="Arial" w:eastAsia="Arial" w:cs="Arial"/>
                <w:spacing w:val="-4"/>
                <w:sz w:val="15"/>
                <w:szCs w:val="15"/>
              </w:rPr>
              <w:t>me to</w:t>
            </w:r>
            <w:r>
              <w:rPr>
                <w:rFonts w:ascii="Arial" w:hAnsi="Arial" w:eastAsia="Arial" w:cs="Arial"/>
                <w:spacing w:val="12"/>
                <w:sz w:val="15"/>
                <w:szCs w:val="15"/>
              </w:rPr>
              <w:t xml:space="preserve"> </w:t>
            </w:r>
            <w:r>
              <w:rPr>
                <w:rFonts w:ascii="Arial" w:hAnsi="Arial" w:eastAsia="Arial" w:cs="Arial"/>
                <w:spacing w:val="-4"/>
                <w:sz w:val="15"/>
                <w:szCs w:val="15"/>
              </w:rPr>
              <w:t>appreciate</w:t>
            </w:r>
            <w:r>
              <w:rPr>
                <w:rFonts w:ascii="Arial" w:hAnsi="Arial" w:eastAsia="Arial" w:cs="Arial"/>
                <w:spacing w:val="11"/>
                <w:w w:val="101"/>
                <w:sz w:val="15"/>
                <w:szCs w:val="15"/>
              </w:rPr>
              <w:t xml:space="preserve"> </w:t>
            </w:r>
            <w:r>
              <w:rPr>
                <w:rFonts w:ascii="Arial" w:hAnsi="Arial" w:eastAsia="Arial" w:cs="Arial"/>
                <w:spacing w:val="-4"/>
                <w:sz w:val="15"/>
                <w:szCs w:val="15"/>
              </w:rPr>
              <w:t>good</w:t>
            </w:r>
            <w:r>
              <w:rPr>
                <w:rFonts w:ascii="Arial" w:hAnsi="Arial" w:eastAsia="Arial" w:cs="Arial"/>
                <w:spacing w:val="7"/>
                <w:sz w:val="15"/>
                <w:szCs w:val="15"/>
              </w:rPr>
              <w:t xml:space="preserve"> </w:t>
            </w:r>
            <w:r>
              <w:rPr>
                <w:rFonts w:ascii="Arial" w:hAnsi="Arial" w:eastAsia="Arial" w:cs="Arial"/>
                <w:spacing w:val="-4"/>
                <w:sz w:val="15"/>
                <w:szCs w:val="15"/>
              </w:rPr>
              <w:t>working</w:t>
            </w:r>
            <w:r>
              <w:rPr>
                <w:rFonts w:ascii="Arial" w:hAnsi="Arial" w:eastAsia="Arial" w:cs="Arial"/>
                <w:sz w:val="15"/>
                <w:szCs w:val="15"/>
              </w:rPr>
              <w:t xml:space="preserve"> </w:t>
            </w:r>
            <w:r>
              <w:rPr>
                <w:rFonts w:ascii="Arial" w:hAnsi="Arial" w:eastAsia="Arial" w:cs="Arial"/>
                <w:spacing w:val="-6"/>
                <w:sz w:val="15"/>
                <w:szCs w:val="15"/>
              </w:rPr>
              <w:t>results</w:t>
            </w:r>
            <w:r>
              <w:rPr>
                <w:rFonts w:ascii="Arial" w:hAnsi="Arial" w:eastAsia="Arial" w:cs="Arial"/>
                <w:spacing w:val="15"/>
                <w:sz w:val="15"/>
                <w:szCs w:val="15"/>
              </w:rPr>
              <w:t xml:space="preserve"> </w:t>
            </w:r>
            <w:r>
              <w:rPr>
                <w:rFonts w:ascii="Arial" w:hAnsi="Arial" w:eastAsia="Arial" w:cs="Arial"/>
                <w:spacing w:val="-6"/>
                <w:sz w:val="15"/>
                <w:szCs w:val="15"/>
              </w:rPr>
              <w:t>adequately.’</w:t>
            </w:r>
          </w:p>
          <w:p>
            <w:pPr>
              <w:spacing w:before="27" w:line="233" w:lineRule="auto"/>
              <w:ind w:left="216" w:right="97" w:hanging="136"/>
              <w:rPr>
                <w:rFonts w:ascii="Arial" w:hAnsi="Arial" w:eastAsia="Arial" w:cs="Arial"/>
                <w:sz w:val="15"/>
                <w:szCs w:val="15"/>
              </w:rPr>
            </w:pPr>
            <w:r>
              <w:rPr>
                <w:rFonts w:ascii="Arial" w:hAnsi="Arial" w:eastAsia="Arial" w:cs="Arial"/>
                <w:spacing w:val="-5"/>
                <w:sz w:val="15"/>
                <w:szCs w:val="15"/>
              </w:rPr>
              <w:t>‘Ideas</w:t>
            </w:r>
            <w:r>
              <w:rPr>
                <w:rFonts w:ascii="Arial" w:hAnsi="Arial" w:eastAsia="Arial" w:cs="Arial"/>
                <w:spacing w:val="12"/>
                <w:w w:val="101"/>
                <w:sz w:val="15"/>
                <w:szCs w:val="15"/>
              </w:rPr>
              <w:t xml:space="preserve"> </w:t>
            </w:r>
            <w:r>
              <w:rPr>
                <w:rFonts w:ascii="Arial" w:hAnsi="Arial" w:eastAsia="Arial" w:cs="Arial"/>
                <w:spacing w:val="-5"/>
                <w:sz w:val="15"/>
                <w:szCs w:val="15"/>
              </w:rPr>
              <w:t>concerning</w:t>
            </w:r>
            <w:r>
              <w:rPr>
                <w:rFonts w:ascii="Arial" w:hAnsi="Arial" w:eastAsia="Arial" w:cs="Arial"/>
                <w:spacing w:val="10"/>
                <w:w w:val="101"/>
                <w:sz w:val="15"/>
                <w:szCs w:val="15"/>
              </w:rPr>
              <w:t xml:space="preserve"> </w:t>
            </w:r>
            <w:r>
              <w:rPr>
                <w:rFonts w:ascii="Arial" w:hAnsi="Arial" w:eastAsia="Arial" w:cs="Arial"/>
                <w:spacing w:val="-5"/>
                <w:sz w:val="15"/>
                <w:szCs w:val="15"/>
              </w:rPr>
              <w:t>quality</w:t>
            </w:r>
            <w:r>
              <w:rPr>
                <w:rFonts w:ascii="Arial" w:hAnsi="Arial" w:eastAsia="Arial" w:cs="Arial"/>
                <w:spacing w:val="14"/>
                <w:w w:val="101"/>
                <w:sz w:val="15"/>
                <w:szCs w:val="15"/>
              </w:rPr>
              <w:t xml:space="preserve"> </w:t>
            </w:r>
            <w:r>
              <w:rPr>
                <w:rFonts w:ascii="Arial" w:hAnsi="Arial" w:eastAsia="Arial" w:cs="Arial"/>
                <w:spacing w:val="-5"/>
                <w:sz w:val="15"/>
                <w:szCs w:val="15"/>
              </w:rPr>
              <w:t>improv</w:t>
            </w:r>
            <w:r>
              <w:rPr>
                <w:rFonts w:ascii="Arial" w:hAnsi="Arial" w:eastAsia="Arial" w:cs="Arial"/>
                <w:spacing w:val="-6"/>
                <w:sz w:val="15"/>
                <w:szCs w:val="15"/>
              </w:rPr>
              <w:t>ement</w:t>
            </w:r>
            <w:r>
              <w:rPr>
                <w:rFonts w:ascii="Arial" w:hAnsi="Arial" w:eastAsia="Arial" w:cs="Arial"/>
                <w:spacing w:val="10"/>
                <w:w w:val="101"/>
                <w:sz w:val="15"/>
                <w:szCs w:val="15"/>
              </w:rPr>
              <w:t xml:space="preserve"> </w:t>
            </w:r>
            <w:r>
              <w:rPr>
                <w:rFonts w:ascii="Arial" w:hAnsi="Arial" w:eastAsia="Arial" w:cs="Arial"/>
                <w:spacing w:val="-6"/>
                <w:sz w:val="15"/>
                <w:szCs w:val="15"/>
              </w:rPr>
              <w:t>are</w:t>
            </w:r>
            <w:r>
              <w:rPr>
                <w:rFonts w:ascii="Arial" w:hAnsi="Arial" w:eastAsia="Arial" w:cs="Arial"/>
                <w:spacing w:val="11"/>
                <w:w w:val="102"/>
                <w:sz w:val="15"/>
                <w:szCs w:val="15"/>
              </w:rPr>
              <w:t xml:space="preserve"> </w:t>
            </w:r>
            <w:r>
              <w:rPr>
                <w:rFonts w:ascii="Arial" w:hAnsi="Arial" w:eastAsia="Arial" w:cs="Arial"/>
                <w:spacing w:val="-6"/>
                <w:sz w:val="15"/>
                <w:szCs w:val="15"/>
              </w:rPr>
              <w:t>openly</w:t>
            </w:r>
            <w:r>
              <w:rPr>
                <w:rFonts w:ascii="Arial" w:hAnsi="Arial" w:eastAsia="Arial" w:cs="Arial"/>
                <w:sz w:val="15"/>
                <w:szCs w:val="15"/>
              </w:rPr>
              <w:t xml:space="preserve"> </w:t>
            </w:r>
            <w:r>
              <w:rPr>
                <w:rFonts w:ascii="Arial" w:hAnsi="Arial" w:eastAsia="Arial" w:cs="Arial"/>
                <w:spacing w:val="-6"/>
                <w:sz w:val="15"/>
                <w:szCs w:val="15"/>
              </w:rPr>
              <w:t>discussed</w:t>
            </w:r>
            <w:r>
              <w:rPr>
                <w:rFonts w:ascii="Arial" w:hAnsi="Arial" w:eastAsia="Arial" w:cs="Arial"/>
                <w:spacing w:val="19"/>
                <w:sz w:val="15"/>
                <w:szCs w:val="15"/>
              </w:rPr>
              <w:t xml:space="preserve"> </w:t>
            </w:r>
            <w:r>
              <w:rPr>
                <w:rFonts w:ascii="Arial" w:hAnsi="Arial" w:eastAsia="Arial" w:cs="Arial"/>
                <w:spacing w:val="-6"/>
                <w:sz w:val="15"/>
                <w:szCs w:val="15"/>
              </w:rPr>
              <w:t>in</w:t>
            </w:r>
            <w:r>
              <w:rPr>
                <w:rFonts w:ascii="Arial" w:hAnsi="Arial" w:eastAsia="Arial" w:cs="Arial"/>
                <w:spacing w:val="11"/>
                <w:w w:val="101"/>
                <w:sz w:val="15"/>
                <w:szCs w:val="15"/>
              </w:rPr>
              <w:t xml:space="preserve"> </w:t>
            </w:r>
            <w:r>
              <w:rPr>
                <w:rFonts w:ascii="Arial" w:hAnsi="Arial" w:eastAsia="Arial" w:cs="Arial"/>
                <w:spacing w:val="-6"/>
                <w:sz w:val="15"/>
                <w:szCs w:val="15"/>
              </w:rPr>
              <w:t>our</w:t>
            </w:r>
            <w:r>
              <w:rPr>
                <w:rFonts w:ascii="Arial" w:hAnsi="Arial" w:eastAsia="Arial" w:cs="Arial"/>
                <w:spacing w:val="11"/>
                <w:w w:val="101"/>
                <w:sz w:val="15"/>
                <w:szCs w:val="15"/>
              </w:rPr>
              <w:t xml:space="preserve"> </w:t>
            </w:r>
            <w:r>
              <w:rPr>
                <w:rFonts w:ascii="Arial" w:hAnsi="Arial" w:eastAsia="Arial" w:cs="Arial"/>
                <w:spacing w:val="-6"/>
                <w:sz w:val="15"/>
                <w:szCs w:val="15"/>
              </w:rPr>
              <w:t>department.’</w:t>
            </w:r>
          </w:p>
          <w:p>
            <w:pPr>
              <w:spacing w:before="25" w:line="227" w:lineRule="auto"/>
              <w:ind w:left="216" w:right="622" w:hanging="136"/>
              <w:rPr>
                <w:rFonts w:ascii="Arial" w:hAnsi="Arial" w:eastAsia="Arial" w:cs="Arial"/>
                <w:sz w:val="15"/>
                <w:szCs w:val="15"/>
              </w:rPr>
            </w:pPr>
            <w:r>
              <w:rPr>
                <w:rFonts w:ascii="Arial" w:hAnsi="Arial" w:eastAsia="Arial" w:cs="Arial"/>
                <w:spacing w:val="-6"/>
                <w:sz w:val="15"/>
                <w:szCs w:val="15"/>
              </w:rPr>
              <w:t>‘I</w:t>
            </w:r>
            <w:r>
              <w:rPr>
                <w:rFonts w:ascii="Arial" w:hAnsi="Arial" w:eastAsia="Arial" w:cs="Arial"/>
                <w:spacing w:val="17"/>
                <w:w w:val="101"/>
                <w:sz w:val="15"/>
                <w:szCs w:val="15"/>
              </w:rPr>
              <w:t xml:space="preserve"> </w:t>
            </w:r>
            <w:r>
              <w:rPr>
                <w:rFonts w:ascii="Arial" w:hAnsi="Arial" w:eastAsia="Arial" w:cs="Arial"/>
                <w:spacing w:val="-6"/>
                <w:sz w:val="15"/>
                <w:szCs w:val="15"/>
              </w:rPr>
              <w:t>keep</w:t>
            </w:r>
            <w:r>
              <w:rPr>
                <w:rFonts w:ascii="Arial" w:hAnsi="Arial" w:eastAsia="Arial" w:cs="Arial"/>
                <w:spacing w:val="16"/>
                <w:w w:val="102"/>
                <w:sz w:val="15"/>
                <w:szCs w:val="15"/>
              </w:rPr>
              <w:t xml:space="preserve"> </w:t>
            </w:r>
            <w:r>
              <w:rPr>
                <w:rFonts w:ascii="Arial" w:hAnsi="Arial" w:eastAsia="Arial" w:cs="Arial"/>
                <w:spacing w:val="-6"/>
                <w:sz w:val="15"/>
                <w:szCs w:val="15"/>
              </w:rPr>
              <w:t>myself</w:t>
            </w:r>
            <w:r>
              <w:rPr>
                <w:rFonts w:ascii="Arial" w:hAnsi="Arial" w:eastAsia="Arial" w:cs="Arial"/>
                <w:spacing w:val="8"/>
                <w:sz w:val="15"/>
                <w:szCs w:val="15"/>
              </w:rPr>
              <w:t xml:space="preserve"> </w:t>
            </w:r>
            <w:r>
              <w:rPr>
                <w:rFonts w:ascii="Arial" w:hAnsi="Arial" w:eastAsia="Arial" w:cs="Arial"/>
                <w:spacing w:val="-6"/>
                <w:sz w:val="15"/>
                <w:szCs w:val="15"/>
              </w:rPr>
              <w:t>up</w:t>
            </w:r>
            <w:r>
              <w:rPr>
                <w:rFonts w:ascii="Arial" w:hAnsi="Arial" w:eastAsia="Arial" w:cs="Arial"/>
                <w:spacing w:val="9"/>
                <w:sz w:val="15"/>
                <w:szCs w:val="15"/>
              </w:rPr>
              <w:t xml:space="preserve"> </w:t>
            </w:r>
            <w:r>
              <w:rPr>
                <w:rFonts w:ascii="Arial" w:hAnsi="Arial" w:eastAsia="Arial" w:cs="Arial"/>
                <w:spacing w:val="-6"/>
                <w:sz w:val="15"/>
                <w:szCs w:val="15"/>
              </w:rPr>
              <w:t>to</w:t>
            </w:r>
            <w:r>
              <w:rPr>
                <w:rFonts w:ascii="Arial" w:hAnsi="Arial" w:eastAsia="Arial" w:cs="Arial"/>
                <w:spacing w:val="11"/>
                <w:w w:val="101"/>
                <w:sz w:val="15"/>
                <w:szCs w:val="15"/>
              </w:rPr>
              <w:t xml:space="preserve"> </w:t>
            </w:r>
            <w:r>
              <w:rPr>
                <w:rFonts w:ascii="Arial" w:hAnsi="Arial" w:eastAsia="Arial" w:cs="Arial"/>
                <w:spacing w:val="-6"/>
                <w:sz w:val="15"/>
                <w:szCs w:val="15"/>
              </w:rPr>
              <w:t>date</w:t>
            </w:r>
            <w:r>
              <w:rPr>
                <w:rFonts w:ascii="Arial" w:hAnsi="Arial" w:eastAsia="Arial" w:cs="Arial"/>
                <w:spacing w:val="12"/>
                <w:sz w:val="15"/>
                <w:szCs w:val="15"/>
              </w:rPr>
              <w:t xml:space="preserve"> </w:t>
            </w:r>
            <w:r>
              <w:rPr>
                <w:rFonts w:ascii="Arial" w:hAnsi="Arial" w:eastAsia="Arial" w:cs="Arial"/>
                <w:spacing w:val="-6"/>
                <w:sz w:val="15"/>
                <w:szCs w:val="15"/>
              </w:rPr>
              <w:t>concerning</w:t>
            </w:r>
            <w:r>
              <w:rPr>
                <w:rFonts w:ascii="Arial" w:hAnsi="Arial" w:eastAsia="Arial" w:cs="Arial"/>
                <w:spacing w:val="15"/>
                <w:sz w:val="15"/>
                <w:szCs w:val="15"/>
              </w:rPr>
              <w:t xml:space="preserve"> </w:t>
            </w:r>
            <w:r>
              <w:rPr>
                <w:rFonts w:ascii="Arial" w:hAnsi="Arial" w:eastAsia="Arial" w:cs="Arial"/>
                <w:spacing w:val="-6"/>
                <w:sz w:val="15"/>
                <w:szCs w:val="15"/>
              </w:rPr>
              <w:t>n</w:t>
            </w:r>
            <w:r>
              <w:rPr>
                <w:rFonts w:ascii="Arial" w:hAnsi="Arial" w:eastAsia="Arial" w:cs="Arial"/>
                <w:spacing w:val="-7"/>
                <w:sz w:val="15"/>
                <w:szCs w:val="15"/>
              </w:rPr>
              <w:t>ew</w:t>
            </w:r>
            <w:r>
              <w:rPr>
                <w:rFonts w:ascii="Arial" w:hAnsi="Arial" w:eastAsia="Arial" w:cs="Arial"/>
                <w:sz w:val="15"/>
                <w:szCs w:val="15"/>
              </w:rPr>
              <w:t xml:space="preserve"> </w:t>
            </w:r>
            <w:r>
              <w:rPr>
                <w:rFonts w:ascii="Arial" w:hAnsi="Arial" w:eastAsia="Arial" w:cs="Arial"/>
                <w:spacing w:val="-7"/>
                <w:sz w:val="15"/>
                <w:szCs w:val="15"/>
              </w:rPr>
              <w:t>developments</w:t>
            </w:r>
            <w:r>
              <w:rPr>
                <w:rFonts w:ascii="Arial" w:hAnsi="Arial" w:eastAsia="Arial" w:cs="Arial"/>
                <w:spacing w:val="21"/>
                <w:w w:val="102"/>
                <w:sz w:val="15"/>
                <w:szCs w:val="15"/>
              </w:rPr>
              <w:t xml:space="preserve"> </w:t>
            </w:r>
            <w:r>
              <w:rPr>
                <w:rFonts w:ascii="Arial" w:hAnsi="Arial" w:eastAsia="Arial" w:cs="Arial"/>
                <w:spacing w:val="-7"/>
                <w:sz w:val="15"/>
                <w:szCs w:val="15"/>
              </w:rPr>
              <w:t>at</w:t>
            </w:r>
            <w:r>
              <w:rPr>
                <w:rFonts w:ascii="Arial" w:hAnsi="Arial" w:eastAsia="Arial" w:cs="Arial"/>
                <w:spacing w:val="19"/>
                <w:w w:val="101"/>
                <w:sz w:val="15"/>
                <w:szCs w:val="15"/>
              </w:rPr>
              <w:t xml:space="preserve"> </w:t>
            </w:r>
            <w:r>
              <w:rPr>
                <w:rFonts w:ascii="Arial" w:hAnsi="Arial" w:eastAsia="Arial" w:cs="Arial"/>
                <w:spacing w:val="-7"/>
                <w:sz w:val="15"/>
                <w:szCs w:val="15"/>
              </w:rPr>
              <w:t>[HEI].’</w:t>
            </w:r>
          </w:p>
          <w:p>
            <w:pPr>
              <w:spacing w:before="32" w:line="233" w:lineRule="auto"/>
              <w:ind w:left="220" w:right="516" w:hanging="140"/>
              <w:rPr>
                <w:rFonts w:ascii="Arial" w:hAnsi="Arial" w:eastAsia="Arial" w:cs="Arial"/>
                <w:sz w:val="15"/>
                <w:szCs w:val="15"/>
              </w:rPr>
            </w:pPr>
            <w:r>
              <w:rPr>
                <w:rFonts w:ascii="Arial" w:hAnsi="Arial" w:eastAsia="Arial" w:cs="Arial"/>
                <w:spacing w:val="-6"/>
                <w:sz w:val="15"/>
                <w:szCs w:val="15"/>
              </w:rPr>
              <w:t>‘Quality</w:t>
            </w:r>
            <w:r>
              <w:rPr>
                <w:rFonts w:ascii="Arial" w:hAnsi="Arial" w:eastAsia="Arial" w:cs="Arial"/>
                <w:spacing w:val="12"/>
                <w:sz w:val="15"/>
                <w:szCs w:val="15"/>
              </w:rPr>
              <w:t xml:space="preserve"> </w:t>
            </w:r>
            <w:r>
              <w:rPr>
                <w:rFonts w:ascii="Arial" w:hAnsi="Arial" w:eastAsia="Arial" w:cs="Arial"/>
                <w:spacing w:val="-6"/>
                <w:sz w:val="15"/>
                <w:szCs w:val="15"/>
              </w:rPr>
              <w:t>values</w:t>
            </w:r>
            <w:r>
              <w:rPr>
                <w:rFonts w:ascii="Arial" w:hAnsi="Arial" w:eastAsia="Arial" w:cs="Arial"/>
                <w:spacing w:val="11"/>
                <w:w w:val="101"/>
                <w:sz w:val="15"/>
                <w:szCs w:val="15"/>
              </w:rPr>
              <w:t xml:space="preserve"> </w:t>
            </w:r>
            <w:r>
              <w:rPr>
                <w:rFonts w:ascii="Arial" w:hAnsi="Arial" w:eastAsia="Arial" w:cs="Arial"/>
                <w:spacing w:val="-6"/>
                <w:sz w:val="15"/>
                <w:szCs w:val="15"/>
              </w:rPr>
              <w:t>of</w:t>
            </w:r>
            <w:r>
              <w:rPr>
                <w:rFonts w:ascii="Arial" w:hAnsi="Arial" w:eastAsia="Arial" w:cs="Arial"/>
                <w:spacing w:val="11"/>
                <w:w w:val="102"/>
                <w:sz w:val="15"/>
                <w:szCs w:val="15"/>
              </w:rPr>
              <w:t xml:space="preserve"> </w:t>
            </w:r>
            <w:r>
              <w:rPr>
                <w:rFonts w:ascii="Arial" w:hAnsi="Arial" w:eastAsia="Arial" w:cs="Arial"/>
                <w:spacing w:val="-6"/>
                <w:sz w:val="15"/>
                <w:szCs w:val="15"/>
              </w:rPr>
              <w:t>[HEI]</w:t>
            </w:r>
            <w:r>
              <w:rPr>
                <w:rFonts w:ascii="Arial" w:hAnsi="Arial" w:eastAsia="Arial" w:cs="Arial"/>
                <w:spacing w:val="11"/>
                <w:w w:val="101"/>
                <w:sz w:val="15"/>
                <w:szCs w:val="15"/>
              </w:rPr>
              <w:t xml:space="preserve"> </w:t>
            </w:r>
            <w:r>
              <w:rPr>
                <w:rFonts w:ascii="Arial" w:hAnsi="Arial" w:eastAsia="Arial" w:cs="Arial"/>
                <w:spacing w:val="-6"/>
                <w:sz w:val="15"/>
                <w:szCs w:val="15"/>
              </w:rPr>
              <w:t>are</w:t>
            </w:r>
            <w:r>
              <w:rPr>
                <w:rFonts w:ascii="Arial" w:hAnsi="Arial" w:eastAsia="Arial" w:cs="Arial"/>
                <w:spacing w:val="11"/>
                <w:w w:val="101"/>
                <w:sz w:val="15"/>
                <w:szCs w:val="15"/>
              </w:rPr>
              <w:t xml:space="preserve"> </w:t>
            </w:r>
            <w:r>
              <w:rPr>
                <w:rFonts w:ascii="Arial" w:hAnsi="Arial" w:eastAsia="Arial" w:cs="Arial"/>
                <w:spacing w:val="-6"/>
                <w:sz w:val="15"/>
                <w:szCs w:val="15"/>
              </w:rPr>
              <w:t>actually</w:t>
            </w:r>
            <w:r>
              <w:rPr>
                <w:rFonts w:ascii="Arial" w:hAnsi="Arial" w:eastAsia="Arial" w:cs="Arial"/>
                <w:spacing w:val="14"/>
                <w:w w:val="102"/>
                <w:sz w:val="15"/>
                <w:szCs w:val="15"/>
              </w:rPr>
              <w:t xml:space="preserve"> </w:t>
            </w:r>
            <w:r>
              <w:rPr>
                <w:rFonts w:ascii="Arial" w:hAnsi="Arial" w:eastAsia="Arial" w:cs="Arial"/>
                <w:spacing w:val="-6"/>
                <w:sz w:val="15"/>
                <w:szCs w:val="15"/>
              </w:rPr>
              <w:t>put</w:t>
            </w:r>
            <w:r>
              <w:rPr>
                <w:rFonts w:ascii="Arial" w:hAnsi="Arial" w:eastAsia="Arial" w:cs="Arial"/>
                <w:spacing w:val="15"/>
                <w:sz w:val="15"/>
                <w:szCs w:val="15"/>
              </w:rPr>
              <w:t xml:space="preserve"> </w:t>
            </w:r>
            <w:r>
              <w:rPr>
                <w:rFonts w:ascii="Arial" w:hAnsi="Arial" w:eastAsia="Arial" w:cs="Arial"/>
                <w:spacing w:val="-6"/>
                <w:sz w:val="15"/>
                <w:szCs w:val="15"/>
              </w:rPr>
              <w:t>into</w:t>
            </w:r>
            <w:r>
              <w:rPr>
                <w:rFonts w:ascii="Arial" w:hAnsi="Arial" w:eastAsia="Arial" w:cs="Arial"/>
                <w:sz w:val="15"/>
                <w:szCs w:val="15"/>
              </w:rPr>
              <w:t xml:space="preserve"> </w:t>
            </w:r>
            <w:r>
              <w:rPr>
                <w:rFonts w:ascii="Arial" w:hAnsi="Arial" w:eastAsia="Arial" w:cs="Arial"/>
                <w:spacing w:val="-5"/>
                <w:sz w:val="15"/>
                <w:szCs w:val="15"/>
              </w:rPr>
              <w:t>practice.’</w:t>
            </w:r>
          </w:p>
          <w:p>
            <w:pPr>
              <w:spacing w:before="1" w:line="246" w:lineRule="auto"/>
              <w:ind w:left="80" w:right="182"/>
              <w:rPr>
                <w:rFonts w:ascii="Arial" w:hAnsi="Arial" w:eastAsia="Arial" w:cs="Arial"/>
                <w:sz w:val="15"/>
                <w:szCs w:val="15"/>
              </w:rPr>
            </w:pPr>
            <w:r>
              <w:rPr>
                <w:rFonts w:ascii="Arial" w:hAnsi="Arial" w:eastAsia="Arial" w:cs="Arial"/>
                <w:spacing w:val="-5"/>
                <w:sz w:val="15"/>
                <w:szCs w:val="15"/>
              </w:rPr>
              <w:t>‘I</w:t>
            </w:r>
            <w:r>
              <w:rPr>
                <w:rFonts w:ascii="Arial" w:hAnsi="Arial" w:eastAsia="Arial" w:cs="Arial"/>
                <w:spacing w:val="17"/>
                <w:w w:val="101"/>
                <w:sz w:val="15"/>
                <w:szCs w:val="15"/>
              </w:rPr>
              <w:t xml:space="preserve"> </w:t>
            </w:r>
            <w:r>
              <w:rPr>
                <w:rFonts w:ascii="Arial" w:hAnsi="Arial" w:eastAsia="Arial" w:cs="Arial"/>
                <w:spacing w:val="-5"/>
                <w:sz w:val="15"/>
                <w:szCs w:val="15"/>
              </w:rPr>
              <w:t>have</w:t>
            </w:r>
            <w:r>
              <w:rPr>
                <w:rFonts w:ascii="Arial" w:hAnsi="Arial" w:eastAsia="Arial" w:cs="Arial"/>
                <w:spacing w:val="8"/>
                <w:sz w:val="15"/>
                <w:szCs w:val="15"/>
              </w:rPr>
              <w:t xml:space="preserve"> </w:t>
            </w:r>
            <w:r>
              <w:rPr>
                <w:rFonts w:ascii="Arial" w:hAnsi="Arial" w:eastAsia="Arial" w:cs="Arial"/>
                <w:spacing w:val="-5"/>
                <w:sz w:val="15"/>
                <w:szCs w:val="15"/>
              </w:rPr>
              <w:t>full</w:t>
            </w:r>
            <w:r>
              <w:rPr>
                <w:rFonts w:ascii="Arial" w:hAnsi="Arial" w:eastAsia="Arial" w:cs="Arial"/>
                <w:spacing w:val="12"/>
                <w:sz w:val="15"/>
                <w:szCs w:val="15"/>
              </w:rPr>
              <w:t xml:space="preserve"> </w:t>
            </w:r>
            <w:r>
              <w:rPr>
                <w:rFonts w:ascii="Arial" w:hAnsi="Arial" w:eastAsia="Arial" w:cs="Arial"/>
                <w:spacing w:val="-5"/>
                <w:sz w:val="15"/>
                <w:szCs w:val="15"/>
              </w:rPr>
              <w:t>conidence</w:t>
            </w:r>
            <w:r>
              <w:rPr>
                <w:rFonts w:ascii="Arial" w:hAnsi="Arial" w:eastAsia="Arial" w:cs="Arial"/>
                <w:spacing w:val="14"/>
                <w:w w:val="101"/>
                <w:sz w:val="15"/>
                <w:szCs w:val="15"/>
              </w:rPr>
              <w:t xml:space="preserve"> </w:t>
            </w:r>
            <w:r>
              <w:rPr>
                <w:rFonts w:ascii="Arial" w:hAnsi="Arial" w:eastAsia="Arial" w:cs="Arial"/>
                <w:spacing w:val="-5"/>
                <w:sz w:val="15"/>
                <w:szCs w:val="15"/>
              </w:rPr>
              <w:t>in</w:t>
            </w:r>
            <w:r>
              <w:rPr>
                <w:rFonts w:ascii="Arial" w:hAnsi="Arial" w:eastAsia="Arial" w:cs="Arial"/>
                <w:spacing w:val="15"/>
                <w:w w:val="102"/>
                <w:sz w:val="15"/>
                <w:szCs w:val="15"/>
              </w:rPr>
              <w:t xml:space="preserve"> </w:t>
            </w:r>
            <w:r>
              <w:rPr>
                <w:rFonts w:ascii="Arial" w:hAnsi="Arial" w:eastAsia="Arial" w:cs="Arial"/>
                <w:spacing w:val="-5"/>
                <w:sz w:val="15"/>
                <w:szCs w:val="15"/>
              </w:rPr>
              <w:t>my</w:t>
            </w:r>
            <w:r>
              <w:rPr>
                <w:rFonts w:ascii="Arial" w:hAnsi="Arial" w:eastAsia="Arial" w:cs="Arial"/>
                <w:spacing w:val="12"/>
                <w:sz w:val="15"/>
                <w:szCs w:val="15"/>
              </w:rPr>
              <w:t xml:space="preserve"> </w:t>
            </w:r>
            <w:r>
              <w:rPr>
                <w:rFonts w:ascii="Arial" w:hAnsi="Arial" w:eastAsia="Arial" w:cs="Arial"/>
                <w:spacing w:val="-5"/>
                <w:sz w:val="15"/>
                <w:szCs w:val="15"/>
              </w:rPr>
              <w:t>employee’s</w:t>
            </w:r>
            <w:r>
              <w:rPr>
                <w:rFonts w:ascii="Arial" w:hAnsi="Arial" w:eastAsia="Arial" w:cs="Arial"/>
                <w:spacing w:val="11"/>
                <w:w w:val="101"/>
                <w:sz w:val="15"/>
                <w:szCs w:val="15"/>
              </w:rPr>
              <w:t xml:space="preserve"> </w:t>
            </w:r>
            <w:r>
              <w:rPr>
                <w:rFonts w:ascii="Arial" w:hAnsi="Arial" w:eastAsia="Arial" w:cs="Arial"/>
                <w:spacing w:val="-5"/>
                <w:sz w:val="15"/>
                <w:szCs w:val="15"/>
              </w:rPr>
              <w:t>skills</w:t>
            </w:r>
            <w:r>
              <w:rPr>
                <w:rFonts w:ascii="Arial" w:hAnsi="Arial" w:eastAsia="Arial" w:cs="Arial"/>
                <w:spacing w:val="-6"/>
                <w:sz w:val="15"/>
                <w:szCs w:val="15"/>
              </w:rPr>
              <w:t>.’</w:t>
            </w:r>
            <w:r>
              <w:rPr>
                <w:rFonts w:ascii="Arial" w:hAnsi="Arial" w:eastAsia="Arial" w:cs="Arial"/>
                <w:sz w:val="15"/>
                <w:szCs w:val="15"/>
              </w:rPr>
              <w:t xml:space="preserve">    </w:t>
            </w:r>
            <w:r>
              <w:rPr>
                <w:rFonts w:ascii="Arial" w:hAnsi="Arial" w:eastAsia="Arial" w:cs="Arial"/>
                <w:spacing w:val="-7"/>
                <w:sz w:val="15"/>
                <w:szCs w:val="15"/>
              </w:rPr>
              <w:t>‘</w:t>
            </w:r>
            <w:r>
              <w:rPr>
                <w:rFonts w:ascii="Arial" w:hAnsi="Arial" w:eastAsia="Arial" w:cs="Arial"/>
                <w:spacing w:val="-29"/>
                <w:sz w:val="15"/>
                <w:szCs w:val="15"/>
              </w:rPr>
              <w:t xml:space="preserve"> </w:t>
            </w:r>
            <w:r>
              <w:rPr>
                <w:rFonts w:ascii="Arial" w:hAnsi="Arial" w:eastAsia="Arial" w:cs="Arial"/>
                <w:spacing w:val="-7"/>
                <w:sz w:val="15"/>
                <w:szCs w:val="15"/>
              </w:rPr>
              <w:t>[HEI]</w:t>
            </w:r>
            <w:r>
              <w:rPr>
                <w:rFonts w:ascii="Arial" w:hAnsi="Arial" w:eastAsia="Arial" w:cs="Arial"/>
                <w:spacing w:val="15"/>
                <w:w w:val="101"/>
                <w:sz w:val="15"/>
                <w:szCs w:val="15"/>
              </w:rPr>
              <w:t xml:space="preserve"> </w:t>
            </w:r>
            <w:r>
              <w:rPr>
                <w:rFonts w:ascii="Arial" w:hAnsi="Arial" w:eastAsia="Arial" w:cs="Arial"/>
                <w:spacing w:val="-7"/>
                <w:sz w:val="15"/>
                <w:szCs w:val="15"/>
              </w:rPr>
              <w:t>is</w:t>
            </w:r>
            <w:r>
              <w:rPr>
                <w:rFonts w:ascii="Arial" w:hAnsi="Arial" w:eastAsia="Arial" w:cs="Arial"/>
                <w:spacing w:val="12"/>
                <w:w w:val="101"/>
                <w:sz w:val="15"/>
                <w:szCs w:val="15"/>
              </w:rPr>
              <w:t xml:space="preserve"> </w:t>
            </w:r>
            <w:r>
              <w:rPr>
                <w:rFonts w:ascii="Arial" w:hAnsi="Arial" w:eastAsia="Arial" w:cs="Arial"/>
                <w:spacing w:val="-7"/>
                <w:sz w:val="15"/>
                <w:szCs w:val="15"/>
              </w:rPr>
              <w:t>characterized</w:t>
            </w:r>
            <w:r>
              <w:rPr>
                <w:rFonts w:ascii="Arial" w:hAnsi="Arial" w:eastAsia="Arial" w:cs="Arial"/>
                <w:spacing w:val="16"/>
                <w:sz w:val="15"/>
                <w:szCs w:val="15"/>
              </w:rPr>
              <w:t xml:space="preserve"> </w:t>
            </w:r>
            <w:r>
              <w:rPr>
                <w:rFonts w:ascii="Arial" w:hAnsi="Arial" w:eastAsia="Arial" w:cs="Arial"/>
                <w:spacing w:val="-7"/>
                <w:sz w:val="15"/>
                <w:szCs w:val="15"/>
              </w:rPr>
              <w:t>by</w:t>
            </w:r>
            <w:r>
              <w:rPr>
                <w:rFonts w:ascii="Arial" w:hAnsi="Arial" w:eastAsia="Arial" w:cs="Arial"/>
                <w:spacing w:val="17"/>
                <w:w w:val="101"/>
                <w:sz w:val="15"/>
                <w:szCs w:val="15"/>
              </w:rPr>
              <w:t xml:space="preserve"> </w:t>
            </w:r>
            <w:r>
              <w:rPr>
                <w:rFonts w:ascii="Arial" w:hAnsi="Arial" w:eastAsia="Arial" w:cs="Arial"/>
                <w:spacing w:val="-7"/>
                <w:sz w:val="15"/>
                <w:szCs w:val="15"/>
              </w:rPr>
              <w:t>high</w:t>
            </w:r>
            <w:r>
              <w:rPr>
                <w:rFonts w:ascii="Arial" w:hAnsi="Arial" w:eastAsia="Arial" w:cs="Arial"/>
                <w:spacing w:val="11"/>
                <w:sz w:val="15"/>
                <w:szCs w:val="15"/>
              </w:rPr>
              <w:t xml:space="preserve"> </w:t>
            </w:r>
            <w:r>
              <w:rPr>
                <w:rFonts w:ascii="Arial" w:hAnsi="Arial" w:eastAsia="Arial" w:cs="Arial"/>
                <w:spacing w:val="-7"/>
                <w:sz w:val="15"/>
                <w:szCs w:val="15"/>
              </w:rPr>
              <w:t>quality</w:t>
            </w:r>
            <w:r>
              <w:rPr>
                <w:rFonts w:ascii="Arial" w:hAnsi="Arial" w:eastAsia="Arial" w:cs="Arial"/>
                <w:spacing w:val="10"/>
                <w:w w:val="102"/>
                <w:sz w:val="15"/>
                <w:szCs w:val="15"/>
              </w:rPr>
              <w:t xml:space="preserve"> </w:t>
            </w:r>
            <w:r>
              <w:rPr>
                <w:rFonts w:ascii="Arial" w:hAnsi="Arial" w:eastAsia="Arial" w:cs="Arial"/>
                <w:spacing w:val="-7"/>
                <w:sz w:val="15"/>
                <w:szCs w:val="15"/>
              </w:rPr>
              <w:t>awareness’</w:t>
            </w:r>
          </w:p>
        </w:tc>
        <w:tc>
          <w:tcPr>
            <w:tcW w:w="2165" w:type="dxa"/>
            <w:tcBorders>
              <w:bottom w:val="single" w:color="282781" w:sz="4" w:space="0"/>
            </w:tcBorders>
            <w:vAlign w:val="top"/>
          </w:tcPr>
          <w:p>
            <w:pPr>
              <w:spacing w:before="28" w:line="205" w:lineRule="auto"/>
              <w:ind w:left="95"/>
              <w:rPr>
                <w:rFonts w:ascii="Arial" w:hAnsi="Arial" w:eastAsia="Arial" w:cs="Arial"/>
                <w:sz w:val="15"/>
                <w:szCs w:val="15"/>
              </w:rPr>
            </w:pPr>
            <w:r>
              <w:rPr>
                <w:rFonts w:ascii="Arial" w:hAnsi="Arial" w:eastAsia="Arial" w:cs="Arial"/>
                <w:spacing w:val="-5"/>
                <w:sz w:val="15"/>
                <w:szCs w:val="15"/>
              </w:rPr>
              <w:t>Adapted</w:t>
            </w:r>
            <w:r>
              <w:rPr>
                <w:rFonts w:ascii="Arial" w:hAnsi="Arial" w:eastAsia="Arial" w:cs="Arial"/>
                <w:spacing w:val="9"/>
                <w:sz w:val="15"/>
                <w:szCs w:val="15"/>
              </w:rPr>
              <w:t xml:space="preserve"> </w:t>
            </w:r>
            <w:r>
              <w:rPr>
                <w:rFonts w:ascii="Arial" w:hAnsi="Arial" w:eastAsia="Arial" w:cs="Arial"/>
                <w:spacing w:val="-5"/>
                <w:sz w:val="15"/>
                <w:szCs w:val="15"/>
              </w:rPr>
              <w:t>from:</w:t>
            </w:r>
          </w:p>
          <w:p>
            <w:pPr>
              <w:spacing w:before="7" w:line="180" w:lineRule="exact"/>
              <w:ind w:left="212"/>
              <w:rPr>
                <w:rFonts w:ascii="Arial" w:hAnsi="Arial" w:eastAsia="Arial" w:cs="Arial"/>
                <w:sz w:val="15"/>
                <w:szCs w:val="15"/>
              </w:rPr>
            </w:pPr>
            <w:r>
              <w:rPr>
                <w:rFonts w:ascii="Arial" w:hAnsi="Arial" w:eastAsia="Arial" w:cs="Arial"/>
                <w:spacing w:val="-11"/>
                <w:position w:val="2"/>
                <w:sz w:val="15"/>
                <w:szCs w:val="15"/>
              </w:rPr>
              <w:t>Jackson</w:t>
            </w:r>
            <w:r>
              <w:rPr>
                <w:rFonts w:ascii="Arial" w:hAnsi="Arial" w:eastAsia="Arial" w:cs="Arial"/>
                <w:spacing w:val="24"/>
                <w:position w:val="2"/>
                <w:sz w:val="15"/>
                <w:szCs w:val="15"/>
              </w:rPr>
              <w:t xml:space="preserve"> </w:t>
            </w:r>
            <w:r>
              <w:rPr>
                <w:rFonts w:ascii="Arial" w:hAnsi="Arial" w:eastAsia="Arial" w:cs="Arial"/>
                <w:spacing w:val="-11"/>
                <w:position w:val="2"/>
                <w:sz w:val="15"/>
                <w:szCs w:val="15"/>
              </w:rPr>
              <w:t>(</w:t>
            </w:r>
            <w:r>
              <w:fldChar w:fldCharType="begin"/>
            </w:r>
            <w:r>
              <w:instrText xml:space="preserve"> HYPERLINK \l "bookmark74" </w:instrText>
            </w:r>
            <w:r>
              <w:fldChar w:fldCharType="separate"/>
            </w:r>
            <w:r>
              <w:rPr>
                <w:rFonts w:ascii="Arial" w:hAnsi="Arial" w:eastAsia="Arial" w:cs="Arial"/>
                <w:color w:val="000084"/>
                <w:spacing w:val="-11"/>
                <w:position w:val="2"/>
                <w:sz w:val="15"/>
                <w:szCs w:val="15"/>
              </w:rPr>
              <w:t>2004</w:t>
            </w:r>
            <w:r>
              <w:rPr>
                <w:rFonts w:ascii="Arial" w:hAnsi="Arial" w:eastAsia="Arial" w:cs="Arial"/>
                <w:color w:val="000084"/>
                <w:spacing w:val="-11"/>
                <w:position w:val="2"/>
                <w:sz w:val="15"/>
                <w:szCs w:val="15"/>
              </w:rPr>
              <w:fldChar w:fldCharType="end"/>
            </w:r>
            <w:r>
              <w:rPr>
                <w:rFonts w:ascii="Arial" w:hAnsi="Arial" w:eastAsia="Arial" w:cs="Arial"/>
                <w:spacing w:val="-11"/>
                <w:position w:val="2"/>
                <w:sz w:val="15"/>
                <w:szCs w:val="15"/>
              </w:rPr>
              <w:t>)</w:t>
            </w:r>
          </w:p>
          <w:p>
            <w:pPr>
              <w:spacing w:line="180" w:lineRule="exact"/>
              <w:ind w:left="221"/>
              <w:rPr>
                <w:rFonts w:ascii="Arial" w:hAnsi="Arial" w:eastAsia="Arial" w:cs="Arial"/>
                <w:sz w:val="15"/>
                <w:szCs w:val="15"/>
              </w:rPr>
            </w:pPr>
            <w:r>
              <w:rPr>
                <w:rFonts w:ascii="Arial" w:hAnsi="Arial" w:eastAsia="Arial" w:cs="Arial"/>
                <w:spacing w:val="-7"/>
                <w:position w:val="2"/>
                <w:sz w:val="15"/>
                <w:szCs w:val="15"/>
              </w:rPr>
              <w:t>(cognitive</w:t>
            </w:r>
            <w:r>
              <w:rPr>
                <w:rFonts w:ascii="Arial" w:hAnsi="Arial" w:eastAsia="Arial" w:cs="Arial"/>
                <w:spacing w:val="17"/>
                <w:position w:val="2"/>
                <w:sz w:val="15"/>
                <w:szCs w:val="15"/>
              </w:rPr>
              <w:t xml:space="preserve"> </w:t>
            </w:r>
            <w:r>
              <w:rPr>
                <w:rFonts w:ascii="Arial" w:hAnsi="Arial" w:eastAsia="Arial" w:cs="Arial"/>
                <w:spacing w:val="-7"/>
                <w:position w:val="2"/>
                <w:sz w:val="15"/>
                <w:szCs w:val="15"/>
              </w:rPr>
              <w:t>subscale)</w:t>
            </w:r>
          </w:p>
          <w:p>
            <w:pPr>
              <w:spacing w:before="24" w:line="215" w:lineRule="auto"/>
              <w:ind w:left="95"/>
              <w:rPr>
                <w:rFonts w:ascii="Arial" w:hAnsi="Arial" w:eastAsia="Arial" w:cs="Arial"/>
                <w:sz w:val="15"/>
                <w:szCs w:val="15"/>
              </w:rPr>
            </w:pPr>
            <w:r>
              <w:rPr>
                <w:rFonts w:ascii="Arial" w:hAnsi="Arial" w:eastAsia="Arial" w:cs="Arial"/>
                <w:spacing w:val="-5"/>
                <w:sz w:val="15"/>
                <w:szCs w:val="15"/>
              </w:rPr>
              <w:t>Adapted</w:t>
            </w:r>
            <w:r>
              <w:rPr>
                <w:rFonts w:ascii="Arial" w:hAnsi="Arial" w:eastAsia="Arial" w:cs="Arial"/>
                <w:spacing w:val="9"/>
                <w:sz w:val="15"/>
                <w:szCs w:val="15"/>
              </w:rPr>
              <w:t xml:space="preserve"> </w:t>
            </w:r>
            <w:r>
              <w:rPr>
                <w:rFonts w:ascii="Arial" w:hAnsi="Arial" w:eastAsia="Arial" w:cs="Arial"/>
                <w:spacing w:val="-5"/>
                <w:sz w:val="15"/>
                <w:szCs w:val="15"/>
              </w:rPr>
              <w:t>from:</w:t>
            </w:r>
          </w:p>
          <w:p>
            <w:pPr>
              <w:spacing w:line="179" w:lineRule="exact"/>
              <w:ind w:left="212"/>
              <w:rPr>
                <w:rFonts w:ascii="Arial" w:hAnsi="Arial" w:eastAsia="Arial" w:cs="Arial"/>
                <w:sz w:val="15"/>
                <w:szCs w:val="15"/>
              </w:rPr>
            </w:pPr>
            <w:r>
              <w:rPr>
                <w:rFonts w:ascii="Arial" w:hAnsi="Arial" w:eastAsia="Arial" w:cs="Arial"/>
                <w:spacing w:val="-11"/>
                <w:position w:val="2"/>
                <w:sz w:val="15"/>
                <w:szCs w:val="15"/>
              </w:rPr>
              <w:t>Jackson</w:t>
            </w:r>
            <w:r>
              <w:rPr>
                <w:rFonts w:ascii="Arial" w:hAnsi="Arial" w:eastAsia="Arial" w:cs="Arial"/>
                <w:spacing w:val="24"/>
                <w:position w:val="2"/>
                <w:sz w:val="15"/>
                <w:szCs w:val="15"/>
              </w:rPr>
              <w:t xml:space="preserve"> </w:t>
            </w:r>
            <w:r>
              <w:rPr>
                <w:rFonts w:ascii="Arial" w:hAnsi="Arial" w:eastAsia="Arial" w:cs="Arial"/>
                <w:spacing w:val="-11"/>
                <w:position w:val="2"/>
                <w:sz w:val="15"/>
                <w:szCs w:val="15"/>
              </w:rPr>
              <w:t>(</w:t>
            </w:r>
            <w:r>
              <w:fldChar w:fldCharType="begin"/>
            </w:r>
            <w:r>
              <w:instrText xml:space="preserve"> HYPERLINK \l "bookmark75" </w:instrText>
            </w:r>
            <w:r>
              <w:fldChar w:fldCharType="separate"/>
            </w:r>
            <w:r>
              <w:rPr>
                <w:rFonts w:ascii="Arial" w:hAnsi="Arial" w:eastAsia="Arial" w:cs="Arial"/>
                <w:color w:val="000084"/>
                <w:spacing w:val="-11"/>
                <w:position w:val="2"/>
                <w:sz w:val="15"/>
                <w:szCs w:val="15"/>
              </w:rPr>
              <w:t>2004</w:t>
            </w:r>
            <w:r>
              <w:rPr>
                <w:rFonts w:ascii="Arial" w:hAnsi="Arial" w:eastAsia="Arial" w:cs="Arial"/>
                <w:color w:val="000084"/>
                <w:spacing w:val="-11"/>
                <w:position w:val="2"/>
                <w:sz w:val="15"/>
                <w:szCs w:val="15"/>
              </w:rPr>
              <w:fldChar w:fldCharType="end"/>
            </w:r>
            <w:r>
              <w:rPr>
                <w:rFonts w:ascii="Arial" w:hAnsi="Arial" w:eastAsia="Arial" w:cs="Arial"/>
                <w:spacing w:val="-11"/>
                <w:position w:val="2"/>
                <w:sz w:val="15"/>
                <w:szCs w:val="15"/>
              </w:rPr>
              <w:t>)</w:t>
            </w:r>
          </w:p>
          <w:p>
            <w:pPr>
              <w:spacing w:before="1" w:line="205" w:lineRule="exact"/>
              <w:ind w:left="221"/>
              <w:rPr>
                <w:rFonts w:ascii="Arial" w:hAnsi="Arial" w:eastAsia="Arial" w:cs="Arial"/>
                <w:sz w:val="15"/>
                <w:szCs w:val="15"/>
              </w:rPr>
            </w:pPr>
            <w:r>
              <w:rPr>
                <w:rFonts w:ascii="Arial" w:hAnsi="Arial" w:eastAsia="Arial" w:cs="Arial"/>
                <w:spacing w:val="-8"/>
                <w:position w:val="4"/>
                <w:sz w:val="15"/>
                <w:szCs w:val="15"/>
              </w:rPr>
              <w:t>(behavioral</w:t>
            </w:r>
            <w:r>
              <w:rPr>
                <w:rFonts w:ascii="Arial" w:hAnsi="Arial" w:eastAsia="Arial" w:cs="Arial"/>
                <w:spacing w:val="20"/>
                <w:position w:val="4"/>
                <w:sz w:val="15"/>
                <w:szCs w:val="15"/>
              </w:rPr>
              <w:t xml:space="preserve"> </w:t>
            </w:r>
            <w:r>
              <w:rPr>
                <w:rFonts w:ascii="Arial" w:hAnsi="Arial" w:eastAsia="Arial" w:cs="Arial"/>
                <w:spacing w:val="-8"/>
                <w:position w:val="4"/>
                <w:sz w:val="15"/>
                <w:szCs w:val="15"/>
              </w:rPr>
              <w:t>subscale)</w:t>
            </w:r>
          </w:p>
          <w:p>
            <w:pPr>
              <w:spacing w:before="1" w:line="205" w:lineRule="auto"/>
              <w:ind w:left="95"/>
              <w:rPr>
                <w:rFonts w:ascii="Arial" w:hAnsi="Arial" w:eastAsia="Arial" w:cs="Arial"/>
                <w:sz w:val="15"/>
                <w:szCs w:val="15"/>
              </w:rPr>
            </w:pPr>
            <w:r>
              <w:rPr>
                <w:rFonts w:ascii="Arial" w:hAnsi="Arial" w:eastAsia="Arial" w:cs="Arial"/>
                <w:spacing w:val="-5"/>
                <w:sz w:val="15"/>
                <w:szCs w:val="15"/>
              </w:rPr>
              <w:t>Adapted</w:t>
            </w:r>
            <w:r>
              <w:rPr>
                <w:rFonts w:ascii="Arial" w:hAnsi="Arial" w:eastAsia="Arial" w:cs="Arial"/>
                <w:spacing w:val="9"/>
                <w:sz w:val="15"/>
                <w:szCs w:val="15"/>
              </w:rPr>
              <w:t xml:space="preserve"> </w:t>
            </w:r>
            <w:r>
              <w:rPr>
                <w:rFonts w:ascii="Arial" w:hAnsi="Arial" w:eastAsia="Arial" w:cs="Arial"/>
                <w:spacing w:val="-5"/>
                <w:sz w:val="15"/>
                <w:szCs w:val="15"/>
              </w:rPr>
              <w:t>from:</w:t>
            </w:r>
          </w:p>
          <w:p>
            <w:pPr>
              <w:spacing w:before="6" w:line="246" w:lineRule="auto"/>
              <w:ind w:left="95" w:right="305" w:firstLine="127"/>
              <w:rPr>
                <w:rFonts w:ascii="Arial" w:hAnsi="Arial" w:eastAsia="Arial" w:cs="Arial"/>
                <w:sz w:val="15"/>
                <w:szCs w:val="15"/>
              </w:rPr>
            </w:pPr>
            <w:r>
              <w:rPr>
                <w:rFonts w:ascii="Arial" w:hAnsi="Arial" w:eastAsia="Arial" w:cs="Arial"/>
                <w:spacing w:val="-8"/>
                <w:sz w:val="15"/>
                <w:szCs w:val="15"/>
              </w:rPr>
              <w:t>Heinitz</w:t>
            </w:r>
            <w:r>
              <w:rPr>
                <w:rFonts w:ascii="Arial" w:hAnsi="Arial" w:eastAsia="Arial" w:cs="Arial"/>
                <w:spacing w:val="11"/>
                <w:w w:val="101"/>
                <w:sz w:val="15"/>
                <w:szCs w:val="15"/>
              </w:rPr>
              <w:t xml:space="preserve"> </w:t>
            </w:r>
            <w:r>
              <w:rPr>
                <w:rFonts w:ascii="Arial" w:hAnsi="Arial" w:eastAsia="Arial" w:cs="Arial"/>
                <w:spacing w:val="-8"/>
                <w:sz w:val="15"/>
                <w:szCs w:val="15"/>
              </w:rPr>
              <w:t>and</w:t>
            </w:r>
            <w:r>
              <w:rPr>
                <w:rFonts w:ascii="Arial" w:hAnsi="Arial" w:eastAsia="Arial" w:cs="Arial"/>
                <w:spacing w:val="17"/>
                <w:sz w:val="15"/>
                <w:szCs w:val="15"/>
              </w:rPr>
              <w:t xml:space="preserve"> </w:t>
            </w:r>
            <w:r>
              <w:rPr>
                <w:rFonts w:ascii="Arial" w:hAnsi="Arial" w:eastAsia="Arial" w:cs="Arial"/>
                <w:spacing w:val="-8"/>
                <w:sz w:val="15"/>
                <w:szCs w:val="15"/>
              </w:rPr>
              <w:t>Rowold</w:t>
            </w:r>
            <w:r>
              <w:rPr>
                <w:rFonts w:ascii="Arial" w:hAnsi="Arial" w:eastAsia="Arial" w:cs="Arial"/>
                <w:spacing w:val="15"/>
                <w:sz w:val="15"/>
                <w:szCs w:val="15"/>
              </w:rPr>
              <w:t xml:space="preserve"> </w:t>
            </w:r>
            <w:r>
              <w:rPr>
                <w:rFonts w:ascii="Arial" w:hAnsi="Arial" w:eastAsia="Arial" w:cs="Arial"/>
                <w:spacing w:val="-8"/>
                <w:sz w:val="15"/>
                <w:szCs w:val="15"/>
              </w:rPr>
              <w:t>(</w:t>
            </w:r>
            <w:r>
              <w:fldChar w:fldCharType="begin"/>
            </w:r>
            <w:r>
              <w:instrText xml:space="preserve"> HYPERLINK \l "bookmark76" </w:instrText>
            </w:r>
            <w:r>
              <w:fldChar w:fldCharType="separate"/>
            </w:r>
            <w:r>
              <w:rPr>
                <w:rFonts w:ascii="Arial" w:hAnsi="Arial" w:eastAsia="Arial" w:cs="Arial"/>
                <w:color w:val="000084"/>
                <w:spacing w:val="-8"/>
                <w:sz w:val="15"/>
                <w:szCs w:val="15"/>
              </w:rPr>
              <w:t>2007</w:t>
            </w:r>
            <w:r>
              <w:rPr>
                <w:rFonts w:ascii="Arial" w:hAnsi="Arial" w:eastAsia="Arial" w:cs="Arial"/>
                <w:color w:val="000084"/>
                <w:spacing w:val="-8"/>
                <w:sz w:val="15"/>
                <w:szCs w:val="15"/>
              </w:rPr>
              <w:fldChar w:fldCharType="end"/>
            </w:r>
            <w:r>
              <w:rPr>
                <w:rFonts w:ascii="Arial" w:hAnsi="Arial" w:eastAsia="Arial" w:cs="Arial"/>
                <w:spacing w:val="-8"/>
                <w:sz w:val="15"/>
                <w:szCs w:val="15"/>
              </w:rPr>
              <w:t>)</w:t>
            </w:r>
            <w:r>
              <w:rPr>
                <w:rFonts w:ascii="Arial" w:hAnsi="Arial" w:eastAsia="Arial" w:cs="Arial"/>
                <w:sz w:val="15"/>
                <w:szCs w:val="15"/>
              </w:rPr>
              <w:t xml:space="preserve"> </w:t>
            </w:r>
            <w:r>
              <w:rPr>
                <w:rFonts w:ascii="Arial" w:hAnsi="Arial" w:eastAsia="Arial" w:cs="Arial"/>
                <w:spacing w:val="-7"/>
                <w:sz w:val="15"/>
                <w:szCs w:val="15"/>
              </w:rPr>
              <w:t>Adapted</w:t>
            </w:r>
            <w:r>
              <w:rPr>
                <w:rFonts w:ascii="Arial" w:hAnsi="Arial" w:eastAsia="Arial" w:cs="Arial"/>
                <w:spacing w:val="18"/>
                <w:sz w:val="15"/>
                <w:szCs w:val="15"/>
              </w:rPr>
              <w:t xml:space="preserve"> </w:t>
            </w:r>
            <w:r>
              <w:rPr>
                <w:rFonts w:ascii="Arial" w:hAnsi="Arial" w:eastAsia="Arial" w:cs="Arial"/>
                <w:spacing w:val="-7"/>
                <w:sz w:val="15"/>
                <w:szCs w:val="15"/>
              </w:rPr>
              <w:t>from:</w:t>
            </w:r>
            <w:r>
              <w:rPr>
                <w:rFonts w:ascii="Arial" w:hAnsi="Arial" w:eastAsia="Arial" w:cs="Arial"/>
                <w:spacing w:val="16"/>
                <w:w w:val="101"/>
                <w:sz w:val="15"/>
                <w:szCs w:val="15"/>
              </w:rPr>
              <w:t xml:space="preserve"> </w:t>
            </w:r>
            <w:r>
              <w:rPr>
                <w:rFonts w:ascii="Arial" w:hAnsi="Arial" w:eastAsia="Arial" w:cs="Arial"/>
                <w:spacing w:val="-7"/>
                <w:sz w:val="15"/>
                <w:szCs w:val="15"/>
              </w:rPr>
              <w:t>Brodbeck,</w:t>
            </w:r>
          </w:p>
          <w:p>
            <w:pPr>
              <w:spacing w:before="7" w:line="246" w:lineRule="auto"/>
              <w:ind w:left="95" w:right="274" w:firstLine="120"/>
              <w:rPr>
                <w:rFonts w:ascii="Arial" w:hAnsi="Arial" w:eastAsia="Arial" w:cs="Arial"/>
                <w:sz w:val="15"/>
                <w:szCs w:val="15"/>
              </w:rPr>
            </w:pPr>
            <w:r>
              <w:rPr>
                <w:rFonts w:ascii="Arial" w:hAnsi="Arial" w:eastAsia="Arial" w:cs="Arial"/>
                <w:spacing w:val="-9"/>
                <w:sz w:val="15"/>
                <w:szCs w:val="15"/>
              </w:rPr>
              <w:t>Anderson,</w:t>
            </w:r>
            <w:r>
              <w:rPr>
                <w:rFonts w:ascii="Arial" w:hAnsi="Arial" w:eastAsia="Arial" w:cs="Arial"/>
                <w:spacing w:val="14"/>
                <w:sz w:val="15"/>
                <w:szCs w:val="15"/>
              </w:rPr>
              <w:t xml:space="preserve"> </w:t>
            </w:r>
            <w:r>
              <w:rPr>
                <w:rFonts w:ascii="Arial" w:hAnsi="Arial" w:eastAsia="Arial" w:cs="Arial"/>
                <w:spacing w:val="-9"/>
                <w:sz w:val="15"/>
                <w:szCs w:val="15"/>
              </w:rPr>
              <w:t>and</w:t>
            </w:r>
            <w:r>
              <w:rPr>
                <w:rFonts w:ascii="Arial" w:hAnsi="Arial" w:eastAsia="Arial" w:cs="Arial"/>
                <w:spacing w:val="8"/>
                <w:sz w:val="15"/>
                <w:szCs w:val="15"/>
              </w:rPr>
              <w:t xml:space="preserve"> </w:t>
            </w:r>
            <w:r>
              <w:rPr>
                <w:rFonts w:ascii="Arial" w:hAnsi="Arial" w:eastAsia="Arial" w:cs="Arial"/>
                <w:spacing w:val="-9"/>
                <w:sz w:val="15"/>
                <w:szCs w:val="15"/>
              </w:rPr>
              <w:t>West</w:t>
            </w:r>
            <w:r>
              <w:rPr>
                <w:rFonts w:ascii="Arial" w:hAnsi="Arial" w:eastAsia="Arial" w:cs="Arial"/>
                <w:spacing w:val="16"/>
                <w:sz w:val="15"/>
                <w:szCs w:val="15"/>
              </w:rPr>
              <w:t xml:space="preserve"> </w:t>
            </w:r>
            <w:r>
              <w:rPr>
                <w:rFonts w:ascii="Arial" w:hAnsi="Arial" w:eastAsia="Arial" w:cs="Arial"/>
                <w:spacing w:val="-9"/>
                <w:sz w:val="15"/>
                <w:szCs w:val="15"/>
              </w:rPr>
              <w:t>(</w:t>
            </w:r>
            <w:r>
              <w:fldChar w:fldCharType="begin"/>
            </w:r>
            <w:r>
              <w:instrText xml:space="preserve"> HYPERLINK \l "bookmark77" </w:instrText>
            </w:r>
            <w:r>
              <w:fldChar w:fldCharType="separate"/>
            </w:r>
            <w:r>
              <w:rPr>
                <w:rFonts w:ascii="Arial" w:hAnsi="Arial" w:eastAsia="Arial" w:cs="Arial"/>
                <w:color w:val="000084"/>
                <w:spacing w:val="-9"/>
                <w:sz w:val="15"/>
                <w:szCs w:val="15"/>
              </w:rPr>
              <w:t>2000</w:t>
            </w:r>
            <w:r>
              <w:rPr>
                <w:rFonts w:ascii="Arial" w:hAnsi="Arial" w:eastAsia="Arial" w:cs="Arial"/>
                <w:color w:val="000084"/>
                <w:spacing w:val="-9"/>
                <w:sz w:val="15"/>
                <w:szCs w:val="15"/>
              </w:rPr>
              <w:fldChar w:fldCharType="end"/>
            </w:r>
            <w:r>
              <w:rPr>
                <w:rFonts w:ascii="Arial" w:hAnsi="Arial" w:eastAsia="Arial" w:cs="Arial"/>
                <w:spacing w:val="-9"/>
                <w:sz w:val="15"/>
                <w:szCs w:val="15"/>
              </w:rPr>
              <w:t>)</w:t>
            </w:r>
            <w:r>
              <w:rPr>
                <w:rFonts w:ascii="Arial" w:hAnsi="Arial" w:eastAsia="Arial" w:cs="Arial"/>
                <w:sz w:val="15"/>
                <w:szCs w:val="15"/>
              </w:rPr>
              <w:t xml:space="preserve"> </w:t>
            </w:r>
            <w:r>
              <w:rPr>
                <w:rFonts w:ascii="Arial" w:hAnsi="Arial" w:eastAsia="Arial" w:cs="Arial"/>
                <w:spacing w:val="-5"/>
                <w:sz w:val="15"/>
                <w:szCs w:val="15"/>
              </w:rPr>
              <w:t>Adapted</w:t>
            </w:r>
            <w:r>
              <w:rPr>
                <w:rFonts w:ascii="Arial" w:hAnsi="Arial" w:eastAsia="Arial" w:cs="Arial"/>
                <w:spacing w:val="9"/>
                <w:sz w:val="15"/>
                <w:szCs w:val="15"/>
              </w:rPr>
              <w:t xml:space="preserve"> </w:t>
            </w:r>
            <w:r>
              <w:rPr>
                <w:rFonts w:ascii="Arial" w:hAnsi="Arial" w:eastAsia="Arial" w:cs="Arial"/>
                <w:spacing w:val="-5"/>
                <w:sz w:val="15"/>
                <w:szCs w:val="15"/>
              </w:rPr>
              <w:t>from:</w:t>
            </w:r>
          </w:p>
          <w:p>
            <w:pPr>
              <w:spacing w:before="6" w:line="246" w:lineRule="auto"/>
              <w:ind w:left="97" w:right="181" w:firstLine="120"/>
              <w:rPr>
                <w:rFonts w:ascii="Arial" w:hAnsi="Arial" w:eastAsia="Arial" w:cs="Arial"/>
                <w:sz w:val="15"/>
                <w:szCs w:val="15"/>
              </w:rPr>
            </w:pPr>
            <w:r>
              <w:rPr>
                <w:rFonts w:ascii="Arial" w:hAnsi="Arial" w:eastAsia="Arial" w:cs="Arial"/>
                <w:spacing w:val="-8"/>
                <w:sz w:val="15"/>
                <w:szCs w:val="15"/>
              </w:rPr>
              <w:t>Staufenbiel</w:t>
            </w:r>
            <w:r>
              <w:rPr>
                <w:rFonts w:ascii="Arial" w:hAnsi="Arial" w:eastAsia="Arial" w:cs="Arial"/>
                <w:spacing w:val="14"/>
                <w:sz w:val="15"/>
                <w:szCs w:val="15"/>
              </w:rPr>
              <w:t xml:space="preserve"> </w:t>
            </w:r>
            <w:r>
              <w:rPr>
                <w:rFonts w:ascii="Arial" w:hAnsi="Arial" w:eastAsia="Arial" w:cs="Arial"/>
                <w:spacing w:val="-8"/>
                <w:sz w:val="15"/>
                <w:szCs w:val="15"/>
              </w:rPr>
              <w:t>and</w:t>
            </w:r>
            <w:r>
              <w:rPr>
                <w:rFonts w:ascii="Arial" w:hAnsi="Arial" w:eastAsia="Arial" w:cs="Arial"/>
                <w:spacing w:val="17"/>
                <w:sz w:val="15"/>
                <w:szCs w:val="15"/>
              </w:rPr>
              <w:t xml:space="preserve"> </w:t>
            </w:r>
            <w:r>
              <w:rPr>
                <w:rFonts w:ascii="Arial" w:hAnsi="Arial" w:eastAsia="Arial" w:cs="Arial"/>
                <w:spacing w:val="-8"/>
                <w:sz w:val="15"/>
                <w:szCs w:val="15"/>
              </w:rPr>
              <w:t>Hartz</w:t>
            </w:r>
            <w:r>
              <w:rPr>
                <w:rFonts w:ascii="Arial" w:hAnsi="Arial" w:eastAsia="Arial" w:cs="Arial"/>
                <w:spacing w:val="16"/>
                <w:sz w:val="15"/>
                <w:szCs w:val="15"/>
              </w:rPr>
              <w:t xml:space="preserve"> </w:t>
            </w:r>
            <w:r>
              <w:rPr>
                <w:rFonts w:ascii="Arial" w:hAnsi="Arial" w:eastAsia="Arial" w:cs="Arial"/>
                <w:spacing w:val="-8"/>
                <w:sz w:val="15"/>
                <w:szCs w:val="15"/>
              </w:rPr>
              <w:t>(</w:t>
            </w:r>
            <w:r>
              <w:fldChar w:fldCharType="begin"/>
            </w:r>
            <w:r>
              <w:instrText xml:space="preserve"> HYPERLINK \l "bookmark78" </w:instrText>
            </w:r>
            <w:r>
              <w:fldChar w:fldCharType="separate"/>
            </w:r>
            <w:r>
              <w:rPr>
                <w:rFonts w:ascii="Arial" w:hAnsi="Arial" w:eastAsia="Arial" w:cs="Arial"/>
                <w:color w:val="000084"/>
                <w:spacing w:val="-8"/>
                <w:sz w:val="15"/>
                <w:szCs w:val="15"/>
              </w:rPr>
              <w:t>2000</w:t>
            </w:r>
            <w:r>
              <w:rPr>
                <w:rFonts w:ascii="Arial" w:hAnsi="Arial" w:eastAsia="Arial" w:cs="Arial"/>
                <w:color w:val="000084"/>
                <w:spacing w:val="-8"/>
                <w:sz w:val="15"/>
                <w:szCs w:val="15"/>
              </w:rPr>
              <w:fldChar w:fldCharType="end"/>
            </w:r>
            <w:r>
              <w:rPr>
                <w:rFonts w:ascii="Arial" w:hAnsi="Arial" w:eastAsia="Arial" w:cs="Arial"/>
                <w:spacing w:val="-8"/>
                <w:sz w:val="15"/>
                <w:szCs w:val="15"/>
              </w:rPr>
              <w:t>)</w:t>
            </w:r>
            <w:r>
              <w:rPr>
                <w:rFonts w:ascii="Arial" w:hAnsi="Arial" w:eastAsia="Arial" w:cs="Arial"/>
                <w:sz w:val="15"/>
                <w:szCs w:val="15"/>
              </w:rPr>
              <w:t xml:space="preserve"> </w:t>
            </w:r>
            <w:r>
              <w:rPr>
                <w:rFonts w:ascii="Arial" w:hAnsi="Arial" w:eastAsia="Arial" w:cs="Arial"/>
                <w:spacing w:val="-6"/>
                <w:sz w:val="15"/>
                <w:szCs w:val="15"/>
              </w:rPr>
              <w:t>Own</w:t>
            </w:r>
            <w:r>
              <w:rPr>
                <w:rFonts w:ascii="Arial" w:hAnsi="Arial" w:eastAsia="Arial" w:cs="Arial"/>
                <w:spacing w:val="16"/>
                <w:sz w:val="15"/>
                <w:szCs w:val="15"/>
              </w:rPr>
              <w:t xml:space="preserve"> </w:t>
            </w:r>
            <w:r>
              <w:rPr>
                <w:rFonts w:ascii="Arial" w:hAnsi="Arial" w:eastAsia="Arial" w:cs="Arial"/>
                <w:spacing w:val="-6"/>
                <w:sz w:val="15"/>
                <w:szCs w:val="15"/>
              </w:rPr>
              <w:t>development</w:t>
            </w:r>
          </w:p>
          <w:p>
            <w:pPr>
              <w:spacing w:before="187" w:line="245" w:lineRule="auto"/>
              <w:ind w:left="96" w:right="97" w:hanging="1"/>
              <w:rPr>
                <w:rFonts w:ascii="Arial" w:hAnsi="Arial" w:eastAsia="Arial" w:cs="Arial"/>
                <w:sz w:val="15"/>
                <w:szCs w:val="15"/>
              </w:rPr>
            </w:pPr>
            <w:r>
              <w:rPr>
                <w:rFonts w:ascii="Arial" w:hAnsi="Arial" w:eastAsia="Arial" w:cs="Arial"/>
                <w:spacing w:val="-4"/>
                <w:sz w:val="15"/>
                <w:szCs w:val="15"/>
              </w:rPr>
              <w:t>Adapted from:</w:t>
            </w:r>
            <w:r>
              <w:rPr>
                <w:rFonts w:ascii="Arial" w:hAnsi="Arial" w:eastAsia="Arial" w:cs="Arial"/>
                <w:spacing w:val="9"/>
                <w:sz w:val="15"/>
                <w:szCs w:val="15"/>
              </w:rPr>
              <w:t xml:space="preserve"> </w:t>
            </w:r>
            <w:r>
              <w:rPr>
                <w:rFonts w:ascii="Arial" w:hAnsi="Arial" w:eastAsia="Arial" w:cs="Arial"/>
                <w:spacing w:val="-4"/>
                <w:sz w:val="15"/>
                <w:szCs w:val="15"/>
              </w:rPr>
              <w:t>Zeitz</w:t>
            </w:r>
            <w:r>
              <w:rPr>
                <w:rFonts w:ascii="Arial" w:hAnsi="Arial" w:eastAsia="Arial" w:cs="Arial"/>
                <w:spacing w:val="12"/>
                <w:w w:val="102"/>
                <w:sz w:val="15"/>
                <w:szCs w:val="15"/>
              </w:rPr>
              <w:t xml:space="preserve"> </w:t>
            </w:r>
            <w:r>
              <w:rPr>
                <w:rFonts w:ascii="Arial" w:hAnsi="Arial" w:eastAsia="Arial" w:cs="Arial"/>
                <w:spacing w:val="-4"/>
                <w:sz w:val="15"/>
                <w:szCs w:val="15"/>
              </w:rPr>
              <w:t>etal.(</w:t>
            </w:r>
            <w:r>
              <w:fldChar w:fldCharType="begin"/>
            </w:r>
            <w:r>
              <w:instrText xml:space="preserve"> HYPERLINK \l "bookmark79" </w:instrText>
            </w:r>
            <w:r>
              <w:fldChar w:fldCharType="separate"/>
            </w:r>
            <w:r>
              <w:rPr>
                <w:rFonts w:ascii="Arial" w:hAnsi="Arial" w:eastAsia="Arial" w:cs="Arial"/>
                <w:color w:val="000084"/>
                <w:spacing w:val="-4"/>
                <w:sz w:val="15"/>
                <w:szCs w:val="15"/>
              </w:rPr>
              <w:t>199</w:t>
            </w:r>
            <w:r>
              <w:rPr>
                <w:rFonts w:ascii="Arial" w:hAnsi="Arial" w:eastAsia="Arial" w:cs="Arial"/>
                <w:color w:val="000084"/>
                <w:spacing w:val="-5"/>
                <w:sz w:val="15"/>
                <w:szCs w:val="15"/>
              </w:rPr>
              <w:t>7</w:t>
            </w:r>
            <w:r>
              <w:rPr>
                <w:rFonts w:ascii="Arial" w:hAnsi="Arial" w:eastAsia="Arial" w:cs="Arial"/>
                <w:color w:val="000084"/>
                <w:spacing w:val="-5"/>
                <w:sz w:val="15"/>
                <w:szCs w:val="15"/>
              </w:rPr>
              <w:fldChar w:fldCharType="end"/>
            </w:r>
            <w:r>
              <w:rPr>
                <w:rFonts w:ascii="Arial" w:hAnsi="Arial" w:eastAsia="Arial" w:cs="Arial"/>
                <w:spacing w:val="-5"/>
                <w:sz w:val="15"/>
                <w:szCs w:val="15"/>
              </w:rPr>
              <w:t>)</w:t>
            </w:r>
            <w:r>
              <w:rPr>
                <w:rFonts w:ascii="Arial" w:hAnsi="Arial" w:eastAsia="Arial" w:cs="Arial"/>
                <w:sz w:val="15"/>
                <w:szCs w:val="15"/>
              </w:rPr>
              <w:t xml:space="preserve"> </w:t>
            </w:r>
            <w:r>
              <w:rPr>
                <w:rFonts w:ascii="Arial" w:hAnsi="Arial" w:eastAsia="Arial" w:cs="Arial"/>
                <w:spacing w:val="-6"/>
                <w:sz w:val="15"/>
                <w:szCs w:val="15"/>
              </w:rPr>
              <w:t>Own</w:t>
            </w:r>
            <w:r>
              <w:rPr>
                <w:rFonts w:ascii="Arial" w:hAnsi="Arial" w:eastAsia="Arial" w:cs="Arial"/>
                <w:spacing w:val="16"/>
                <w:sz w:val="15"/>
                <w:szCs w:val="15"/>
              </w:rPr>
              <w:t xml:space="preserve"> </w:t>
            </w:r>
            <w:r>
              <w:rPr>
                <w:rFonts w:ascii="Arial" w:hAnsi="Arial" w:eastAsia="Arial" w:cs="Arial"/>
                <w:spacing w:val="-6"/>
                <w:sz w:val="15"/>
                <w:szCs w:val="15"/>
              </w:rPr>
              <w:t>development</w:t>
            </w:r>
          </w:p>
        </w:tc>
        <w:tc>
          <w:tcPr>
            <w:tcW w:w="431" w:type="dxa"/>
            <w:tcBorders>
              <w:bottom w:val="single" w:color="282781" w:sz="4" w:space="0"/>
            </w:tcBorders>
            <w:vAlign w:val="top"/>
          </w:tcPr>
          <w:p>
            <w:pPr>
              <w:spacing w:before="38" w:line="189" w:lineRule="auto"/>
              <w:ind w:left="272"/>
              <w:rPr>
                <w:rFonts w:ascii="Arial" w:hAnsi="Arial" w:eastAsia="Arial" w:cs="Arial"/>
                <w:sz w:val="15"/>
                <w:szCs w:val="15"/>
              </w:rPr>
            </w:pPr>
            <w:r>
              <w:rPr>
                <w:rFonts w:ascii="Arial" w:hAnsi="Arial" w:eastAsia="Arial" w:cs="Arial"/>
                <w:sz w:val="15"/>
                <w:szCs w:val="15"/>
              </w:rPr>
              <w:t>4</w:t>
            </w:r>
          </w:p>
          <w:p>
            <w:pPr>
              <w:spacing w:line="358" w:lineRule="auto"/>
              <w:rPr>
                <w:rFonts w:ascii="Arial"/>
                <w:sz w:val="21"/>
              </w:rPr>
            </w:pPr>
          </w:p>
          <w:p>
            <w:pPr>
              <w:spacing w:before="43" w:line="189" w:lineRule="auto"/>
              <w:ind w:left="272"/>
              <w:rPr>
                <w:rFonts w:ascii="Arial" w:hAnsi="Arial" w:eastAsia="Arial" w:cs="Arial"/>
                <w:sz w:val="15"/>
                <w:szCs w:val="15"/>
              </w:rPr>
            </w:pPr>
            <w:r>
              <w:rPr>
                <w:rFonts w:ascii="Arial" w:hAnsi="Arial" w:eastAsia="Arial" w:cs="Arial"/>
                <w:sz w:val="15"/>
                <w:szCs w:val="15"/>
              </w:rPr>
              <w:t>4</w:t>
            </w:r>
          </w:p>
          <w:p>
            <w:pPr>
              <w:spacing w:line="358" w:lineRule="auto"/>
              <w:rPr>
                <w:rFonts w:ascii="Arial"/>
                <w:sz w:val="21"/>
              </w:rPr>
            </w:pPr>
          </w:p>
          <w:p>
            <w:pPr>
              <w:spacing w:before="43" w:line="191" w:lineRule="auto"/>
              <w:ind w:left="210"/>
              <w:rPr>
                <w:rFonts w:ascii="Arial" w:hAnsi="Arial" w:eastAsia="Arial" w:cs="Arial"/>
                <w:sz w:val="15"/>
                <w:szCs w:val="15"/>
              </w:rPr>
            </w:pPr>
            <w:r>
              <w:rPr>
                <w:rFonts w:ascii="Arial" w:hAnsi="Arial" w:eastAsia="Arial" w:cs="Arial"/>
                <w:spacing w:val="-8"/>
                <w:sz w:val="15"/>
                <w:szCs w:val="15"/>
              </w:rPr>
              <w:t>12</w:t>
            </w:r>
          </w:p>
          <w:p>
            <w:pPr>
              <w:spacing w:before="221" w:line="191" w:lineRule="auto"/>
              <w:ind w:left="275"/>
              <w:rPr>
                <w:rFonts w:ascii="Arial" w:hAnsi="Arial" w:eastAsia="Arial" w:cs="Arial"/>
                <w:sz w:val="15"/>
                <w:szCs w:val="15"/>
              </w:rPr>
            </w:pPr>
            <w:r>
              <w:rPr>
                <w:rFonts w:ascii="Arial" w:hAnsi="Arial" w:eastAsia="Arial" w:cs="Arial"/>
                <w:sz w:val="15"/>
                <w:szCs w:val="15"/>
              </w:rPr>
              <w:t>9</w:t>
            </w:r>
          </w:p>
          <w:p>
            <w:pPr>
              <w:spacing w:before="225" w:line="189" w:lineRule="auto"/>
              <w:ind w:left="272"/>
              <w:rPr>
                <w:rFonts w:ascii="Arial" w:hAnsi="Arial" w:eastAsia="Arial" w:cs="Arial"/>
                <w:sz w:val="15"/>
                <w:szCs w:val="15"/>
              </w:rPr>
            </w:pPr>
            <w:r>
              <w:rPr>
                <w:rFonts w:ascii="Arial" w:hAnsi="Arial" w:eastAsia="Arial" w:cs="Arial"/>
                <w:sz w:val="15"/>
                <w:szCs w:val="15"/>
              </w:rPr>
              <w:t>4</w:t>
            </w:r>
          </w:p>
          <w:p>
            <w:pPr>
              <w:spacing w:before="224" w:line="189" w:lineRule="auto"/>
              <w:ind w:left="272"/>
              <w:rPr>
                <w:rFonts w:ascii="Arial" w:hAnsi="Arial" w:eastAsia="Arial" w:cs="Arial"/>
                <w:sz w:val="15"/>
                <w:szCs w:val="15"/>
              </w:rPr>
            </w:pPr>
            <w:r>
              <w:rPr>
                <w:rFonts w:ascii="Arial" w:hAnsi="Arial" w:eastAsia="Arial" w:cs="Arial"/>
                <w:sz w:val="15"/>
                <w:szCs w:val="15"/>
              </w:rPr>
              <w:t>4</w:t>
            </w:r>
          </w:p>
          <w:p>
            <w:pPr>
              <w:spacing w:before="225" w:line="189" w:lineRule="auto"/>
              <w:ind w:left="272"/>
              <w:rPr>
                <w:rFonts w:ascii="Arial" w:hAnsi="Arial" w:eastAsia="Arial" w:cs="Arial"/>
                <w:sz w:val="15"/>
                <w:szCs w:val="15"/>
              </w:rPr>
            </w:pPr>
            <w:r>
              <w:rPr>
                <w:rFonts w:ascii="Arial" w:hAnsi="Arial" w:eastAsia="Arial" w:cs="Arial"/>
                <w:sz w:val="15"/>
                <w:szCs w:val="15"/>
              </w:rPr>
              <w:t>4</w:t>
            </w:r>
          </w:p>
          <w:p>
            <w:pPr>
              <w:spacing w:before="41" w:line="191" w:lineRule="auto"/>
              <w:ind w:left="275"/>
              <w:rPr>
                <w:rFonts w:ascii="Arial" w:hAnsi="Arial" w:eastAsia="Arial" w:cs="Arial"/>
                <w:sz w:val="15"/>
                <w:szCs w:val="15"/>
              </w:rPr>
            </w:pPr>
            <w:r>
              <w:rPr>
                <w:rFonts w:ascii="Arial" w:hAnsi="Arial" w:eastAsia="Arial" w:cs="Arial"/>
                <w:sz w:val="15"/>
                <w:szCs w:val="15"/>
              </w:rPr>
              <w:t>8</w:t>
            </w:r>
          </w:p>
          <w:p>
            <w:pPr>
              <w:spacing w:before="43" w:line="191" w:lineRule="auto"/>
              <w:ind w:left="187"/>
              <w:rPr>
                <w:rFonts w:ascii="Arial" w:hAnsi="Arial" w:eastAsia="Arial" w:cs="Arial"/>
                <w:sz w:val="15"/>
                <w:szCs w:val="15"/>
              </w:rPr>
            </w:pPr>
            <w:r>
              <w:rPr>
                <w:rFonts w:ascii="Arial" w:hAnsi="Arial" w:eastAsia="Arial" w:cs="Arial"/>
                <w:spacing w:val="-3"/>
                <w:sz w:val="15"/>
                <w:szCs w:val="15"/>
              </w:rPr>
              <w:t>53</w:t>
            </w:r>
          </w:p>
        </w:tc>
      </w:tr>
    </w:tbl>
    <w:p>
      <w:pPr>
        <w:spacing w:line="397" w:lineRule="auto"/>
        <w:rPr>
          <w:rFonts w:ascii="Arial"/>
          <w:sz w:val="21"/>
        </w:rPr>
      </w:pPr>
    </w:p>
    <w:p>
      <w:pPr>
        <w:spacing w:before="57" w:line="237" w:lineRule="auto"/>
        <w:ind w:left="17"/>
        <w:outlineLvl w:val="3"/>
        <w:rPr>
          <w:rFonts w:ascii="Arial" w:hAnsi="Arial" w:eastAsia="Arial" w:cs="Arial"/>
          <w:sz w:val="20"/>
          <w:szCs w:val="20"/>
        </w:rPr>
      </w:pPr>
      <w:r>
        <w:rPr>
          <w:rFonts w:ascii="Arial" w:hAnsi="Arial" w:eastAsia="Arial" w:cs="Arial"/>
          <w:color w:val="282781"/>
          <w:spacing w:val="-1"/>
          <w:sz w:val="20"/>
          <w:szCs w:val="20"/>
        </w:rPr>
        <w:t>Organizational-psychological questionnaire</w:t>
      </w:r>
    </w:p>
    <w:p>
      <w:pPr>
        <w:spacing w:before="141" w:line="261" w:lineRule="auto"/>
        <w:ind w:left="11" w:hanging="3"/>
        <w:jc w:val="both"/>
        <w:rPr>
          <w:rFonts w:ascii="Arial" w:hAnsi="Arial" w:eastAsia="Arial" w:cs="Arial"/>
          <w:sz w:val="19"/>
          <w:szCs w:val="19"/>
        </w:rPr>
      </w:pPr>
      <w:r>
        <w:rPr>
          <w:rFonts w:ascii="Arial" w:hAnsi="Arial" w:eastAsia="Arial" w:cs="Arial"/>
          <w:spacing w:val="-5"/>
          <w:sz w:val="19"/>
          <w:szCs w:val="19"/>
        </w:rPr>
        <w:t>The organizational-psychological</w:t>
      </w:r>
      <w:r>
        <w:rPr>
          <w:rFonts w:ascii="Arial" w:hAnsi="Arial" w:eastAsia="Arial" w:cs="Arial"/>
          <w:spacing w:val="-6"/>
          <w:sz w:val="19"/>
          <w:szCs w:val="19"/>
        </w:rPr>
        <w:t xml:space="preserve"> questionnaire is designed as an online tool, which can be easily dis-</w:t>
      </w:r>
      <w:r>
        <w:rPr>
          <w:rFonts w:ascii="Arial" w:hAnsi="Arial" w:eastAsia="Arial" w:cs="Arial"/>
          <w:sz w:val="19"/>
          <w:szCs w:val="19"/>
        </w:rPr>
        <w:t xml:space="preserve"> </w:t>
      </w:r>
      <w:r>
        <w:rPr>
          <w:rFonts w:ascii="Arial" w:hAnsi="Arial" w:eastAsia="Arial" w:cs="Arial"/>
          <w:spacing w:val="-4"/>
          <w:sz w:val="19"/>
          <w:szCs w:val="19"/>
        </w:rPr>
        <w:t>tributed via email. All items were cons</w:t>
      </w:r>
      <w:r>
        <w:rPr>
          <w:rFonts w:ascii="Arial" w:hAnsi="Arial" w:eastAsia="Arial" w:cs="Arial"/>
          <w:spacing w:val="-5"/>
          <w:sz w:val="19"/>
          <w:szCs w:val="19"/>
        </w:rPr>
        <w:t>tructed</w:t>
      </w:r>
      <w:r>
        <w:rPr>
          <w:rFonts w:ascii="Arial" w:hAnsi="Arial" w:eastAsia="Arial" w:cs="Arial"/>
          <w:spacing w:val="6"/>
          <w:sz w:val="19"/>
          <w:szCs w:val="19"/>
        </w:rPr>
        <w:t xml:space="preserve"> </w:t>
      </w:r>
      <w:r>
        <w:rPr>
          <w:rFonts w:ascii="Arial" w:hAnsi="Arial" w:eastAsia="Arial" w:cs="Arial"/>
          <w:spacing w:val="-5"/>
          <w:sz w:val="19"/>
          <w:szCs w:val="19"/>
        </w:rPr>
        <w:t>on the</w:t>
      </w:r>
      <w:r>
        <w:rPr>
          <w:rFonts w:ascii="Arial" w:hAnsi="Arial" w:eastAsia="Arial" w:cs="Arial"/>
          <w:spacing w:val="12"/>
          <w:sz w:val="19"/>
          <w:szCs w:val="19"/>
        </w:rPr>
        <w:t xml:space="preserve"> </w:t>
      </w:r>
      <w:r>
        <w:rPr>
          <w:rFonts w:ascii="Arial" w:hAnsi="Arial" w:eastAsia="Arial" w:cs="Arial"/>
          <w:spacing w:val="-5"/>
          <w:sz w:val="19"/>
          <w:szCs w:val="19"/>
        </w:rPr>
        <w:t>basis</w:t>
      </w:r>
      <w:r>
        <w:rPr>
          <w:rFonts w:ascii="Arial" w:hAnsi="Arial" w:eastAsia="Arial" w:cs="Arial"/>
          <w:spacing w:val="6"/>
          <w:sz w:val="19"/>
          <w:szCs w:val="19"/>
        </w:rPr>
        <w:t xml:space="preserve"> </w:t>
      </w:r>
      <w:r>
        <w:rPr>
          <w:rFonts w:ascii="Arial" w:hAnsi="Arial" w:eastAsia="Arial" w:cs="Arial"/>
          <w:spacing w:val="-5"/>
          <w:sz w:val="19"/>
          <w:szCs w:val="19"/>
        </w:rPr>
        <w:t>of an</w:t>
      </w:r>
      <w:r>
        <w:rPr>
          <w:rFonts w:ascii="Arial" w:hAnsi="Arial" w:eastAsia="Arial" w:cs="Arial"/>
          <w:spacing w:val="4"/>
          <w:sz w:val="19"/>
          <w:szCs w:val="19"/>
        </w:rPr>
        <w:t xml:space="preserve"> </w:t>
      </w:r>
      <w:r>
        <w:rPr>
          <w:rFonts w:ascii="Arial" w:hAnsi="Arial" w:eastAsia="Arial" w:cs="Arial"/>
          <w:spacing w:val="-5"/>
          <w:sz w:val="19"/>
          <w:szCs w:val="19"/>
        </w:rPr>
        <w:t>extensive</w:t>
      </w:r>
      <w:r>
        <w:rPr>
          <w:rFonts w:ascii="Arial" w:hAnsi="Arial" w:eastAsia="Arial" w:cs="Arial"/>
          <w:spacing w:val="13"/>
          <w:sz w:val="19"/>
          <w:szCs w:val="19"/>
        </w:rPr>
        <w:t xml:space="preserve"> </w:t>
      </w:r>
      <w:r>
        <w:rPr>
          <w:rFonts w:ascii="Arial" w:hAnsi="Arial" w:eastAsia="Arial" w:cs="Arial"/>
          <w:spacing w:val="-5"/>
          <w:sz w:val="19"/>
          <w:szCs w:val="19"/>
        </w:rPr>
        <w:t>literature</w:t>
      </w:r>
      <w:r>
        <w:rPr>
          <w:rFonts w:ascii="Arial" w:hAnsi="Arial" w:eastAsia="Arial" w:cs="Arial"/>
          <w:spacing w:val="12"/>
          <w:sz w:val="19"/>
          <w:szCs w:val="19"/>
        </w:rPr>
        <w:t xml:space="preserve"> </w:t>
      </w:r>
      <w:r>
        <w:rPr>
          <w:rFonts w:ascii="Arial" w:hAnsi="Arial" w:eastAsia="Arial" w:cs="Arial"/>
          <w:spacing w:val="-5"/>
          <w:sz w:val="19"/>
          <w:szCs w:val="19"/>
        </w:rPr>
        <w:t>review</w:t>
      </w:r>
      <w:r>
        <w:rPr>
          <w:rFonts w:ascii="Arial" w:hAnsi="Arial" w:eastAsia="Arial" w:cs="Arial"/>
          <w:spacing w:val="1"/>
          <w:sz w:val="19"/>
          <w:szCs w:val="19"/>
        </w:rPr>
        <w:t xml:space="preserve"> </w:t>
      </w:r>
      <w:r>
        <w:rPr>
          <w:rFonts w:ascii="Arial" w:hAnsi="Arial" w:eastAsia="Arial" w:cs="Arial"/>
          <w:spacing w:val="-5"/>
          <w:sz w:val="19"/>
          <w:szCs w:val="19"/>
        </w:rPr>
        <w:t>focusing</w:t>
      </w:r>
      <w:r>
        <w:rPr>
          <w:rFonts w:ascii="Arial" w:hAnsi="Arial" w:eastAsia="Arial" w:cs="Arial"/>
          <w:sz w:val="19"/>
          <w:szCs w:val="19"/>
        </w:rPr>
        <w:t xml:space="preserve"> </w:t>
      </w:r>
      <w:r>
        <w:rPr>
          <w:rFonts w:ascii="Arial" w:hAnsi="Arial" w:eastAsia="Arial" w:cs="Arial"/>
          <w:spacing w:val="-4"/>
          <w:sz w:val="19"/>
          <w:szCs w:val="19"/>
        </w:rPr>
        <w:t>on</w:t>
      </w:r>
      <w:r>
        <w:rPr>
          <w:rFonts w:ascii="Arial" w:hAnsi="Arial" w:eastAsia="Arial" w:cs="Arial"/>
          <w:spacing w:val="10"/>
          <w:sz w:val="19"/>
          <w:szCs w:val="19"/>
        </w:rPr>
        <w:t xml:space="preserve"> </w:t>
      </w:r>
      <w:r>
        <w:rPr>
          <w:rFonts w:ascii="Arial" w:hAnsi="Arial" w:eastAsia="Arial" w:cs="Arial"/>
          <w:spacing w:val="-4"/>
          <w:sz w:val="19"/>
          <w:szCs w:val="19"/>
        </w:rPr>
        <w:t>previous approaches, which operationalize individual dimensions of the</w:t>
      </w:r>
      <w:r>
        <w:rPr>
          <w:rFonts w:ascii="Arial" w:hAnsi="Arial" w:eastAsia="Arial" w:cs="Arial"/>
          <w:spacing w:val="5"/>
          <w:sz w:val="19"/>
          <w:szCs w:val="19"/>
        </w:rPr>
        <w:t xml:space="preserve"> </w:t>
      </w:r>
      <w:r>
        <w:rPr>
          <w:rFonts w:ascii="Arial" w:hAnsi="Arial" w:eastAsia="Arial" w:cs="Arial"/>
          <w:spacing w:val="-4"/>
          <w:sz w:val="19"/>
          <w:szCs w:val="19"/>
        </w:rPr>
        <w:t>quality</w:t>
      </w:r>
      <w:r>
        <w:rPr>
          <w:rFonts w:ascii="Arial" w:hAnsi="Arial" w:eastAsia="Arial" w:cs="Arial"/>
          <w:spacing w:val="6"/>
          <w:sz w:val="19"/>
          <w:szCs w:val="19"/>
        </w:rPr>
        <w:t xml:space="preserve"> </w:t>
      </w:r>
      <w:r>
        <w:rPr>
          <w:rFonts w:ascii="Arial" w:hAnsi="Arial" w:eastAsia="Arial" w:cs="Arial"/>
          <w:spacing w:val="-4"/>
          <w:sz w:val="19"/>
          <w:szCs w:val="19"/>
        </w:rPr>
        <w:t>culture</w:t>
      </w:r>
      <w:r>
        <w:rPr>
          <w:rFonts w:ascii="Arial" w:hAnsi="Arial" w:eastAsia="Arial" w:cs="Arial"/>
          <w:spacing w:val="6"/>
          <w:sz w:val="19"/>
          <w:szCs w:val="19"/>
        </w:rPr>
        <w:t xml:space="preserve"> </w:t>
      </w:r>
      <w:r>
        <w:rPr>
          <w:rFonts w:ascii="Arial" w:hAnsi="Arial" w:eastAsia="Arial" w:cs="Arial"/>
          <w:spacing w:val="-4"/>
          <w:sz w:val="19"/>
          <w:szCs w:val="19"/>
        </w:rPr>
        <w:t>construct</w:t>
      </w:r>
      <w:r>
        <w:rPr>
          <w:rFonts w:ascii="Arial" w:hAnsi="Arial" w:eastAsia="Arial" w:cs="Arial"/>
          <w:sz w:val="19"/>
          <w:szCs w:val="19"/>
        </w:rPr>
        <w:t xml:space="preserve"> </w:t>
      </w:r>
      <w:r>
        <w:rPr>
          <w:rFonts w:ascii="Arial" w:hAnsi="Arial" w:eastAsia="Arial" w:cs="Arial"/>
          <w:spacing w:val="-5"/>
          <w:sz w:val="19"/>
          <w:szCs w:val="19"/>
        </w:rPr>
        <w:t>proposed by</w:t>
      </w:r>
      <w:r>
        <w:rPr>
          <w:rFonts w:ascii="Arial" w:hAnsi="Arial" w:eastAsia="Arial" w:cs="Arial"/>
          <w:spacing w:val="-4"/>
          <w:sz w:val="19"/>
          <w:szCs w:val="19"/>
        </w:rPr>
        <w:t xml:space="preserve"> us. Suitable</w:t>
      </w:r>
      <w:r>
        <w:rPr>
          <w:rFonts w:ascii="Arial" w:hAnsi="Arial" w:eastAsia="Arial" w:cs="Arial"/>
          <w:spacing w:val="-5"/>
          <w:sz w:val="19"/>
          <w:szCs w:val="19"/>
        </w:rPr>
        <w:t xml:space="preserve"> items were adapted in order to match the quality culture context in terms o</w:t>
      </w:r>
      <w:r>
        <w:rPr>
          <w:rFonts w:ascii="Arial" w:hAnsi="Arial" w:eastAsia="Arial" w:cs="Arial"/>
          <w:spacing w:val="6"/>
          <w:sz w:val="19"/>
          <w:szCs w:val="19"/>
        </w:rPr>
        <w:t>f</w:t>
      </w:r>
      <w:r>
        <w:rPr>
          <w:rFonts w:ascii="Arial" w:hAnsi="Arial" w:eastAsia="Arial" w:cs="Arial"/>
          <w:sz w:val="19"/>
          <w:szCs w:val="19"/>
        </w:rPr>
        <w:t xml:space="preserve"> </w:t>
      </w:r>
      <w:r>
        <w:rPr>
          <w:rFonts w:ascii="Arial" w:hAnsi="Arial" w:eastAsia="Arial" w:cs="Arial"/>
          <w:spacing w:val="-4"/>
          <w:sz w:val="19"/>
          <w:szCs w:val="19"/>
        </w:rPr>
        <w:t>wording. Moreover, new items were constructed if</w:t>
      </w:r>
      <w:r>
        <w:rPr>
          <w:rFonts w:ascii="Arial" w:hAnsi="Arial" w:eastAsia="Arial" w:cs="Arial"/>
          <w:spacing w:val="-11"/>
          <w:sz w:val="19"/>
          <w:szCs w:val="19"/>
        </w:rPr>
        <w:t xml:space="preserve"> </w:t>
      </w:r>
      <w:r>
        <w:rPr>
          <w:rFonts w:ascii="Arial" w:hAnsi="Arial" w:eastAsia="Arial" w:cs="Arial"/>
          <w:spacing w:val="-4"/>
          <w:sz w:val="19"/>
          <w:szCs w:val="19"/>
        </w:rPr>
        <w:t>the literature</w:t>
      </w:r>
      <w:r>
        <w:rPr>
          <w:rFonts w:ascii="Arial" w:hAnsi="Arial" w:eastAsia="Arial" w:cs="Arial"/>
          <w:spacing w:val="6"/>
          <w:sz w:val="19"/>
          <w:szCs w:val="19"/>
        </w:rPr>
        <w:t xml:space="preserve"> </w:t>
      </w:r>
      <w:r>
        <w:rPr>
          <w:rFonts w:ascii="Arial" w:hAnsi="Arial" w:eastAsia="Arial" w:cs="Arial"/>
          <w:spacing w:val="-4"/>
          <w:sz w:val="19"/>
          <w:szCs w:val="19"/>
        </w:rPr>
        <w:t>review</w:t>
      </w:r>
      <w:r>
        <w:rPr>
          <w:rFonts w:ascii="Arial" w:hAnsi="Arial" w:eastAsia="Arial" w:cs="Arial"/>
          <w:sz w:val="19"/>
          <w:szCs w:val="19"/>
        </w:rPr>
        <w:t xml:space="preserve"> </w:t>
      </w:r>
      <w:r>
        <w:rPr>
          <w:rFonts w:ascii="Arial" w:hAnsi="Arial" w:eastAsia="Arial" w:cs="Arial"/>
          <w:spacing w:val="-5"/>
          <w:sz w:val="19"/>
          <w:szCs w:val="19"/>
        </w:rPr>
        <w:t>did</w:t>
      </w:r>
      <w:r>
        <w:rPr>
          <w:rFonts w:ascii="Arial" w:hAnsi="Arial" w:eastAsia="Arial" w:cs="Arial"/>
          <w:spacing w:val="7"/>
          <w:sz w:val="19"/>
          <w:szCs w:val="19"/>
        </w:rPr>
        <w:t xml:space="preserve"> </w:t>
      </w:r>
      <w:r>
        <w:rPr>
          <w:rFonts w:ascii="Arial" w:hAnsi="Arial" w:eastAsia="Arial" w:cs="Arial"/>
          <w:spacing w:val="-5"/>
          <w:sz w:val="19"/>
          <w:szCs w:val="19"/>
        </w:rPr>
        <w:t>not</w:t>
      </w:r>
      <w:r>
        <w:rPr>
          <w:rFonts w:ascii="Arial" w:hAnsi="Arial" w:eastAsia="Arial" w:cs="Arial"/>
          <w:spacing w:val="6"/>
          <w:sz w:val="19"/>
          <w:szCs w:val="19"/>
        </w:rPr>
        <w:t xml:space="preserve"> </w:t>
      </w:r>
      <w:r>
        <w:rPr>
          <w:rFonts w:ascii="Arial" w:hAnsi="Arial" w:eastAsia="Arial" w:cs="Arial"/>
          <w:spacing w:val="-5"/>
          <w:sz w:val="19"/>
          <w:szCs w:val="19"/>
        </w:rPr>
        <w:t>produce</w:t>
      </w:r>
      <w:r>
        <w:rPr>
          <w:rFonts w:ascii="Arial" w:hAnsi="Arial" w:eastAsia="Arial" w:cs="Arial"/>
          <w:spacing w:val="1"/>
          <w:sz w:val="19"/>
          <w:szCs w:val="19"/>
        </w:rPr>
        <w:t xml:space="preserve"> </w:t>
      </w:r>
      <w:r>
        <w:rPr>
          <w:rFonts w:ascii="Arial" w:hAnsi="Arial" w:eastAsia="Arial" w:cs="Arial"/>
          <w:spacing w:val="-5"/>
          <w:sz w:val="19"/>
          <w:szCs w:val="19"/>
        </w:rPr>
        <w:t>any</w:t>
      </w:r>
      <w:r>
        <w:rPr>
          <w:rFonts w:ascii="Arial" w:hAnsi="Arial" w:eastAsia="Arial" w:cs="Arial"/>
          <w:spacing w:val="1"/>
          <w:sz w:val="19"/>
          <w:szCs w:val="19"/>
        </w:rPr>
        <w:t xml:space="preserve"> </w:t>
      </w:r>
      <w:r>
        <w:rPr>
          <w:rFonts w:ascii="Arial" w:hAnsi="Arial" w:eastAsia="Arial" w:cs="Arial"/>
          <w:spacing w:val="-5"/>
          <w:sz w:val="19"/>
          <w:szCs w:val="19"/>
        </w:rPr>
        <w:t>suitable</w:t>
      </w:r>
      <w:r>
        <w:rPr>
          <w:rFonts w:ascii="Arial" w:hAnsi="Arial" w:eastAsia="Arial" w:cs="Arial"/>
          <w:sz w:val="19"/>
          <w:szCs w:val="19"/>
        </w:rPr>
        <w:t xml:space="preserve"> </w:t>
      </w:r>
      <w:r>
        <w:rPr>
          <w:rFonts w:ascii="Arial" w:hAnsi="Arial" w:eastAsia="Arial" w:cs="Arial"/>
          <w:spacing w:val="-5"/>
          <w:sz w:val="19"/>
          <w:szCs w:val="19"/>
        </w:rPr>
        <w:t>results</w:t>
      </w:r>
      <w:r>
        <w:rPr>
          <w:rFonts w:ascii="Arial" w:hAnsi="Arial" w:eastAsia="Arial" w:cs="Arial"/>
          <w:spacing w:val="14"/>
          <w:sz w:val="19"/>
          <w:szCs w:val="19"/>
        </w:rPr>
        <w:t xml:space="preserve"> </w:t>
      </w:r>
      <w:r>
        <w:rPr>
          <w:rFonts w:ascii="Arial" w:hAnsi="Arial" w:eastAsia="Arial" w:cs="Arial"/>
          <w:spacing w:val="-5"/>
          <w:sz w:val="19"/>
          <w:szCs w:val="19"/>
        </w:rPr>
        <w:t>according</w:t>
      </w:r>
      <w:r>
        <w:rPr>
          <w:rFonts w:ascii="Arial" w:hAnsi="Arial" w:eastAsia="Arial" w:cs="Arial"/>
          <w:spacing w:val="10"/>
          <w:sz w:val="19"/>
          <w:szCs w:val="19"/>
        </w:rPr>
        <w:t xml:space="preserve"> </w:t>
      </w:r>
      <w:r>
        <w:rPr>
          <w:rFonts w:ascii="Arial" w:hAnsi="Arial" w:eastAsia="Arial" w:cs="Arial"/>
          <w:spacing w:val="-5"/>
          <w:sz w:val="19"/>
          <w:szCs w:val="19"/>
        </w:rPr>
        <w:t>to</w:t>
      </w:r>
      <w:r>
        <w:rPr>
          <w:rFonts w:ascii="Arial" w:hAnsi="Arial" w:eastAsia="Arial" w:cs="Arial"/>
          <w:spacing w:val="12"/>
          <w:sz w:val="19"/>
          <w:szCs w:val="19"/>
        </w:rPr>
        <w:t xml:space="preserve"> </w:t>
      </w:r>
      <w:r>
        <w:rPr>
          <w:rFonts w:ascii="Arial" w:hAnsi="Arial" w:eastAsia="Arial" w:cs="Arial"/>
          <w:spacing w:val="-5"/>
          <w:sz w:val="19"/>
          <w:szCs w:val="19"/>
        </w:rPr>
        <w:t>our</w:t>
      </w:r>
      <w:r>
        <w:rPr>
          <w:rFonts w:ascii="Arial" w:hAnsi="Arial" w:eastAsia="Arial" w:cs="Arial"/>
          <w:spacing w:val="20"/>
          <w:w w:val="101"/>
          <w:sz w:val="19"/>
          <w:szCs w:val="19"/>
        </w:rPr>
        <w:t xml:space="preserve"> </w:t>
      </w:r>
      <w:r>
        <w:rPr>
          <w:rFonts w:ascii="Arial" w:hAnsi="Arial" w:eastAsia="Arial" w:cs="Arial"/>
          <w:spacing w:val="-5"/>
          <w:sz w:val="19"/>
          <w:szCs w:val="19"/>
        </w:rPr>
        <w:t>research</w:t>
      </w:r>
      <w:r>
        <w:rPr>
          <w:rFonts w:ascii="Arial" w:hAnsi="Arial" w:eastAsia="Arial" w:cs="Arial"/>
          <w:spacing w:val="14"/>
          <w:sz w:val="19"/>
          <w:szCs w:val="19"/>
        </w:rPr>
        <w:t xml:space="preserve"> </w:t>
      </w:r>
      <w:r>
        <w:rPr>
          <w:rFonts w:ascii="Arial" w:hAnsi="Arial" w:eastAsia="Arial" w:cs="Arial"/>
          <w:spacing w:val="-5"/>
          <w:sz w:val="19"/>
          <w:szCs w:val="19"/>
        </w:rPr>
        <w:t>objective. The</w:t>
      </w:r>
      <w:r>
        <w:rPr>
          <w:rFonts w:ascii="Arial" w:hAnsi="Arial" w:eastAsia="Arial" w:cs="Arial"/>
          <w:spacing w:val="13"/>
          <w:w w:val="101"/>
          <w:sz w:val="19"/>
          <w:szCs w:val="19"/>
        </w:rPr>
        <w:t xml:space="preserve"> </w:t>
      </w:r>
      <w:r>
        <w:rPr>
          <w:rFonts w:ascii="Arial" w:hAnsi="Arial" w:eastAsia="Arial" w:cs="Arial"/>
          <w:spacing w:val="-5"/>
          <w:sz w:val="19"/>
          <w:szCs w:val="19"/>
        </w:rPr>
        <w:t>original</w:t>
      </w:r>
      <w:r>
        <w:rPr>
          <w:rFonts w:ascii="Arial" w:hAnsi="Arial" w:eastAsia="Arial" w:cs="Arial"/>
          <w:spacing w:val="12"/>
          <w:sz w:val="19"/>
          <w:szCs w:val="19"/>
        </w:rPr>
        <w:t xml:space="preserve"> </w:t>
      </w:r>
      <w:r>
        <w:rPr>
          <w:rFonts w:ascii="Arial" w:hAnsi="Arial" w:eastAsia="Arial" w:cs="Arial"/>
          <w:spacing w:val="-5"/>
          <w:sz w:val="19"/>
          <w:szCs w:val="19"/>
        </w:rPr>
        <w:t>organizational-psychological</w:t>
      </w:r>
      <w:r>
        <w:rPr>
          <w:rFonts w:ascii="Arial" w:hAnsi="Arial" w:eastAsia="Arial" w:cs="Arial"/>
          <w:spacing w:val="15"/>
          <w:sz w:val="19"/>
          <w:szCs w:val="19"/>
        </w:rPr>
        <w:t xml:space="preserve"> </w:t>
      </w:r>
      <w:r>
        <w:rPr>
          <w:rFonts w:ascii="Arial" w:hAnsi="Arial" w:eastAsia="Arial" w:cs="Arial"/>
          <w:spacing w:val="-6"/>
          <w:sz w:val="19"/>
          <w:szCs w:val="19"/>
        </w:rPr>
        <w:t>questionnaire</w:t>
      </w:r>
      <w:r>
        <w:rPr>
          <w:rFonts w:ascii="Arial" w:hAnsi="Arial" w:eastAsia="Arial" w:cs="Arial"/>
          <w:sz w:val="19"/>
          <w:szCs w:val="19"/>
        </w:rPr>
        <w:t xml:space="preserve"> </w:t>
      </w:r>
      <w:r>
        <w:rPr>
          <w:rFonts w:ascii="Arial" w:hAnsi="Arial" w:eastAsia="Arial" w:cs="Arial"/>
          <w:spacing w:val="-4"/>
          <w:sz w:val="19"/>
          <w:szCs w:val="19"/>
        </w:rPr>
        <w:t>contains a total number of 53 close-ended statements covering ind</w:t>
      </w:r>
      <w:r>
        <w:rPr>
          <w:rFonts w:ascii="Arial" w:hAnsi="Arial" w:eastAsia="Arial" w:cs="Arial"/>
          <w:spacing w:val="-5"/>
          <w:sz w:val="19"/>
          <w:szCs w:val="19"/>
        </w:rPr>
        <w:t>ividual (commitment, responsibil-</w:t>
      </w:r>
      <w:r>
        <w:rPr>
          <w:rFonts w:ascii="Arial" w:hAnsi="Arial" w:eastAsia="Arial" w:cs="Arial"/>
          <w:sz w:val="19"/>
          <w:szCs w:val="19"/>
        </w:rPr>
        <w:t xml:space="preserve"> </w:t>
      </w:r>
      <w:r>
        <w:rPr>
          <w:rFonts w:ascii="Arial" w:hAnsi="Arial" w:eastAsia="Arial" w:cs="Arial"/>
          <w:spacing w:val="-5"/>
          <w:sz w:val="19"/>
          <w:szCs w:val="19"/>
        </w:rPr>
        <w:t>ity,</w:t>
      </w:r>
      <w:r>
        <w:rPr>
          <w:rFonts w:ascii="Arial" w:hAnsi="Arial" w:eastAsia="Arial" w:cs="Arial"/>
          <w:spacing w:val="42"/>
          <w:sz w:val="19"/>
          <w:szCs w:val="19"/>
        </w:rPr>
        <w:t xml:space="preserve"> </w:t>
      </w:r>
      <w:r>
        <w:rPr>
          <w:rFonts w:ascii="Arial" w:hAnsi="Arial" w:eastAsia="Arial" w:cs="Arial"/>
          <w:spacing w:val="-5"/>
          <w:sz w:val="19"/>
          <w:szCs w:val="19"/>
        </w:rPr>
        <w:t>engagement),</w:t>
      </w:r>
      <w:r>
        <w:rPr>
          <w:rFonts w:ascii="Arial" w:hAnsi="Arial" w:eastAsia="Arial" w:cs="Arial"/>
          <w:spacing w:val="42"/>
          <w:w w:val="101"/>
          <w:sz w:val="19"/>
          <w:szCs w:val="19"/>
        </w:rPr>
        <w:t xml:space="preserve"> </w:t>
      </w:r>
      <w:r>
        <w:rPr>
          <w:rFonts w:ascii="Arial" w:hAnsi="Arial" w:eastAsia="Arial" w:cs="Arial"/>
          <w:spacing w:val="-5"/>
          <w:sz w:val="19"/>
          <w:szCs w:val="19"/>
        </w:rPr>
        <w:t>collective  (leadership,</w:t>
      </w:r>
      <w:r>
        <w:rPr>
          <w:rFonts w:ascii="Arial" w:hAnsi="Arial" w:eastAsia="Arial" w:cs="Arial"/>
          <w:spacing w:val="42"/>
          <w:w w:val="101"/>
          <w:sz w:val="19"/>
          <w:szCs w:val="19"/>
        </w:rPr>
        <w:t xml:space="preserve"> </w:t>
      </w:r>
      <w:r>
        <w:rPr>
          <w:rFonts w:ascii="Arial" w:hAnsi="Arial" w:eastAsia="Arial" w:cs="Arial"/>
          <w:spacing w:val="-5"/>
          <w:sz w:val="19"/>
          <w:szCs w:val="19"/>
        </w:rPr>
        <w:t>communi</w:t>
      </w:r>
      <w:r>
        <w:rPr>
          <w:rFonts w:ascii="Arial" w:hAnsi="Arial" w:eastAsia="Arial" w:cs="Arial"/>
          <w:spacing w:val="-6"/>
          <w:sz w:val="19"/>
          <w:szCs w:val="19"/>
        </w:rPr>
        <w:t>cation,  participation,  shared</w:t>
      </w:r>
      <w:r>
        <w:rPr>
          <w:rFonts w:ascii="Arial" w:hAnsi="Arial" w:eastAsia="Arial" w:cs="Arial"/>
          <w:spacing w:val="38"/>
          <w:w w:val="101"/>
          <w:sz w:val="19"/>
          <w:szCs w:val="19"/>
        </w:rPr>
        <w:t xml:space="preserve"> </w:t>
      </w:r>
      <w:r>
        <w:rPr>
          <w:rFonts w:ascii="Arial" w:hAnsi="Arial" w:eastAsia="Arial" w:cs="Arial"/>
          <w:spacing w:val="-6"/>
          <w:sz w:val="19"/>
          <w:szCs w:val="19"/>
        </w:rPr>
        <w:t>values,</w:t>
      </w:r>
      <w:r>
        <w:rPr>
          <w:rFonts w:ascii="Arial" w:hAnsi="Arial" w:eastAsia="Arial" w:cs="Arial"/>
          <w:spacing w:val="38"/>
          <w:w w:val="101"/>
          <w:sz w:val="19"/>
          <w:szCs w:val="19"/>
        </w:rPr>
        <w:t xml:space="preserve"> </w:t>
      </w:r>
      <w:r>
        <w:rPr>
          <w:rFonts w:ascii="Arial" w:hAnsi="Arial" w:eastAsia="Arial" w:cs="Arial"/>
          <w:spacing w:val="-6"/>
          <w:sz w:val="19"/>
          <w:szCs w:val="19"/>
        </w:rPr>
        <w:t>trust),</w:t>
      </w:r>
      <w:r>
        <w:rPr>
          <w:rFonts w:ascii="Arial" w:hAnsi="Arial" w:eastAsia="Arial" w:cs="Arial"/>
          <w:spacing w:val="42"/>
          <w:sz w:val="19"/>
          <w:szCs w:val="19"/>
        </w:rPr>
        <w:t xml:space="preserve"> </w:t>
      </w:r>
      <w:r>
        <w:rPr>
          <w:rFonts w:ascii="Arial" w:hAnsi="Arial" w:eastAsia="Arial" w:cs="Arial"/>
          <w:spacing w:val="-6"/>
          <w:sz w:val="19"/>
          <w:szCs w:val="19"/>
        </w:rPr>
        <w:t>and</w:t>
      </w:r>
      <w:r>
        <w:rPr>
          <w:rFonts w:ascii="Arial" w:hAnsi="Arial" w:eastAsia="Arial" w:cs="Arial"/>
          <w:sz w:val="19"/>
          <w:szCs w:val="19"/>
        </w:rPr>
        <w:t xml:space="preserve"> </w:t>
      </w:r>
      <w:r>
        <w:rPr>
          <w:rFonts w:ascii="Arial" w:hAnsi="Arial" w:eastAsia="Arial" w:cs="Arial"/>
          <w:spacing w:val="-4"/>
          <w:sz w:val="19"/>
          <w:szCs w:val="19"/>
        </w:rPr>
        <w:t>global</w:t>
      </w:r>
      <w:r>
        <w:rPr>
          <w:rFonts w:ascii="Arial" w:hAnsi="Arial" w:eastAsia="Arial" w:cs="Arial"/>
          <w:spacing w:val="33"/>
          <w:sz w:val="19"/>
          <w:szCs w:val="19"/>
        </w:rPr>
        <w:t xml:space="preserve"> </w:t>
      </w:r>
      <w:r>
        <w:rPr>
          <w:rFonts w:ascii="Arial" w:hAnsi="Arial" w:eastAsia="Arial" w:cs="Arial"/>
          <w:spacing w:val="-4"/>
          <w:sz w:val="19"/>
          <w:szCs w:val="19"/>
        </w:rPr>
        <w:t>(comprehensive</w:t>
      </w:r>
      <w:r>
        <w:rPr>
          <w:rFonts w:ascii="Arial" w:hAnsi="Arial" w:eastAsia="Arial" w:cs="Arial"/>
          <w:spacing w:val="27"/>
          <w:sz w:val="19"/>
          <w:szCs w:val="19"/>
        </w:rPr>
        <w:t xml:space="preserve"> </w:t>
      </w:r>
      <w:r>
        <w:rPr>
          <w:rFonts w:ascii="Arial" w:hAnsi="Arial" w:eastAsia="Arial" w:cs="Arial"/>
          <w:spacing w:val="-4"/>
          <w:sz w:val="19"/>
          <w:szCs w:val="19"/>
        </w:rPr>
        <w:t>assessm</w:t>
      </w:r>
      <w:r>
        <w:rPr>
          <w:rFonts w:ascii="Arial" w:hAnsi="Arial" w:eastAsia="Arial" w:cs="Arial"/>
          <w:spacing w:val="-5"/>
          <w:sz w:val="19"/>
          <w:szCs w:val="19"/>
        </w:rPr>
        <w:t>ent</w:t>
      </w:r>
      <w:r>
        <w:rPr>
          <w:rFonts w:ascii="Arial" w:hAnsi="Arial" w:eastAsia="Arial" w:cs="Arial"/>
          <w:spacing w:val="28"/>
          <w:sz w:val="19"/>
          <w:szCs w:val="19"/>
        </w:rPr>
        <w:t xml:space="preserve"> </w:t>
      </w:r>
      <w:r>
        <w:rPr>
          <w:rFonts w:ascii="Arial" w:hAnsi="Arial" w:eastAsia="Arial" w:cs="Arial"/>
          <w:spacing w:val="-5"/>
          <w:sz w:val="19"/>
          <w:szCs w:val="19"/>
        </w:rPr>
        <w:t>of</w:t>
      </w:r>
      <w:r>
        <w:rPr>
          <w:rFonts w:ascii="Arial" w:hAnsi="Arial" w:eastAsia="Arial" w:cs="Arial"/>
          <w:spacing w:val="16"/>
          <w:sz w:val="19"/>
          <w:szCs w:val="19"/>
        </w:rPr>
        <w:t xml:space="preserve"> </w:t>
      </w:r>
      <w:r>
        <w:rPr>
          <w:rFonts w:ascii="Arial" w:hAnsi="Arial" w:eastAsia="Arial" w:cs="Arial"/>
          <w:spacing w:val="-5"/>
          <w:sz w:val="19"/>
          <w:szCs w:val="19"/>
        </w:rPr>
        <w:t>the</w:t>
      </w:r>
      <w:r>
        <w:rPr>
          <w:rFonts w:ascii="Arial" w:hAnsi="Arial" w:eastAsia="Arial" w:cs="Arial"/>
          <w:spacing w:val="32"/>
          <w:w w:val="101"/>
          <w:sz w:val="19"/>
          <w:szCs w:val="19"/>
        </w:rPr>
        <w:t xml:space="preserve"> </w:t>
      </w:r>
      <w:r>
        <w:rPr>
          <w:rFonts w:ascii="Arial" w:hAnsi="Arial" w:eastAsia="Arial" w:cs="Arial"/>
          <w:spacing w:val="-5"/>
          <w:sz w:val="19"/>
          <w:szCs w:val="19"/>
        </w:rPr>
        <w:t>institution’s</w:t>
      </w:r>
      <w:r>
        <w:rPr>
          <w:rFonts w:ascii="Arial" w:hAnsi="Arial" w:eastAsia="Arial" w:cs="Arial"/>
          <w:spacing w:val="28"/>
          <w:sz w:val="19"/>
          <w:szCs w:val="19"/>
        </w:rPr>
        <w:t xml:space="preserve"> </w:t>
      </w:r>
      <w:r>
        <w:rPr>
          <w:rFonts w:ascii="Arial" w:hAnsi="Arial" w:eastAsia="Arial" w:cs="Arial"/>
          <w:spacing w:val="-5"/>
          <w:sz w:val="19"/>
          <w:szCs w:val="19"/>
        </w:rPr>
        <w:t>quality</w:t>
      </w:r>
      <w:r>
        <w:rPr>
          <w:rFonts w:ascii="Arial" w:hAnsi="Arial" w:eastAsia="Arial" w:cs="Arial"/>
          <w:spacing w:val="28"/>
          <w:sz w:val="19"/>
          <w:szCs w:val="19"/>
        </w:rPr>
        <w:t xml:space="preserve"> </w:t>
      </w:r>
      <w:r>
        <w:rPr>
          <w:rFonts w:ascii="Arial" w:hAnsi="Arial" w:eastAsia="Arial" w:cs="Arial"/>
          <w:spacing w:val="-5"/>
          <w:sz w:val="19"/>
          <w:szCs w:val="19"/>
        </w:rPr>
        <w:t>culture)</w:t>
      </w:r>
      <w:r>
        <w:rPr>
          <w:rFonts w:ascii="Arial" w:hAnsi="Arial" w:eastAsia="Arial" w:cs="Arial"/>
          <w:spacing w:val="30"/>
          <w:sz w:val="19"/>
          <w:szCs w:val="19"/>
        </w:rPr>
        <w:t xml:space="preserve"> </w:t>
      </w:r>
      <w:r>
        <w:rPr>
          <w:rFonts w:ascii="Arial" w:hAnsi="Arial" w:eastAsia="Arial" w:cs="Arial"/>
          <w:spacing w:val="-5"/>
          <w:sz w:val="19"/>
          <w:szCs w:val="19"/>
        </w:rPr>
        <w:t>elements</w:t>
      </w:r>
      <w:r>
        <w:rPr>
          <w:rFonts w:ascii="Arial" w:hAnsi="Arial" w:eastAsia="Arial" w:cs="Arial"/>
          <w:spacing w:val="28"/>
          <w:sz w:val="19"/>
          <w:szCs w:val="19"/>
        </w:rPr>
        <w:t xml:space="preserve"> </w:t>
      </w:r>
      <w:r>
        <w:rPr>
          <w:rFonts w:ascii="Arial" w:hAnsi="Arial" w:eastAsia="Arial" w:cs="Arial"/>
          <w:spacing w:val="-5"/>
          <w:sz w:val="19"/>
          <w:szCs w:val="19"/>
        </w:rPr>
        <w:t>of</w:t>
      </w:r>
      <w:r>
        <w:rPr>
          <w:rFonts w:ascii="Arial" w:hAnsi="Arial" w:eastAsia="Arial" w:cs="Arial"/>
          <w:spacing w:val="20"/>
          <w:sz w:val="19"/>
          <w:szCs w:val="19"/>
        </w:rPr>
        <w:t xml:space="preserve"> </w:t>
      </w:r>
      <w:r>
        <w:rPr>
          <w:rFonts w:ascii="Arial" w:hAnsi="Arial" w:eastAsia="Arial" w:cs="Arial"/>
          <w:spacing w:val="-5"/>
          <w:sz w:val="19"/>
          <w:szCs w:val="19"/>
        </w:rPr>
        <w:t>quality</w:t>
      </w:r>
      <w:r>
        <w:rPr>
          <w:rFonts w:ascii="Arial" w:hAnsi="Arial" w:eastAsia="Arial" w:cs="Arial"/>
          <w:spacing w:val="27"/>
          <w:w w:val="101"/>
          <w:sz w:val="19"/>
          <w:szCs w:val="19"/>
        </w:rPr>
        <w:t xml:space="preserve"> </w:t>
      </w:r>
      <w:r>
        <w:rPr>
          <w:rFonts w:ascii="Arial" w:hAnsi="Arial" w:eastAsia="Arial" w:cs="Arial"/>
          <w:spacing w:val="-5"/>
          <w:sz w:val="19"/>
          <w:szCs w:val="19"/>
        </w:rPr>
        <w:t>culture</w:t>
      </w:r>
      <w:r>
        <w:rPr>
          <w:rFonts w:ascii="Arial" w:hAnsi="Arial" w:eastAsia="Arial" w:cs="Arial"/>
          <w:sz w:val="19"/>
          <w:szCs w:val="19"/>
        </w:rPr>
        <w:t xml:space="preserve"> </w:t>
      </w:r>
      <w:r>
        <w:rPr>
          <w:rFonts w:ascii="Arial" w:hAnsi="Arial" w:eastAsia="Arial" w:cs="Arial"/>
          <w:spacing w:val="-9"/>
          <w:sz w:val="19"/>
          <w:szCs w:val="19"/>
        </w:rPr>
        <w:t xml:space="preserve">(see </w:t>
      </w:r>
      <w:r>
        <w:fldChar w:fldCharType="begin"/>
      </w:r>
      <w:r>
        <w:instrText xml:space="preserve"> HYPERLINK \l "bookmark72" </w:instrText>
      </w:r>
      <w:r>
        <w:fldChar w:fldCharType="separate"/>
      </w:r>
      <w:r>
        <w:rPr>
          <w:rFonts w:ascii="Arial" w:hAnsi="Arial" w:eastAsia="Arial" w:cs="Arial"/>
          <w:color w:val="000084"/>
          <w:spacing w:val="-9"/>
          <w:sz w:val="19"/>
          <w:szCs w:val="19"/>
        </w:rPr>
        <w:t>Table</w:t>
      </w:r>
      <w:r>
        <w:rPr>
          <w:rFonts w:ascii="Arial" w:hAnsi="Arial" w:eastAsia="Arial" w:cs="Arial"/>
          <w:color w:val="000084"/>
          <w:spacing w:val="16"/>
          <w:w w:val="101"/>
          <w:sz w:val="19"/>
          <w:szCs w:val="19"/>
        </w:rPr>
        <w:t xml:space="preserve"> </w:t>
      </w:r>
      <w:r>
        <w:rPr>
          <w:rFonts w:ascii="Arial" w:hAnsi="Arial" w:eastAsia="Arial" w:cs="Arial"/>
          <w:color w:val="000084"/>
          <w:spacing w:val="-9"/>
          <w:sz w:val="19"/>
          <w:szCs w:val="19"/>
        </w:rPr>
        <w:t>2</w:t>
      </w:r>
      <w:r>
        <w:rPr>
          <w:rFonts w:ascii="Arial" w:hAnsi="Arial" w:eastAsia="Arial" w:cs="Arial"/>
          <w:color w:val="000084"/>
          <w:spacing w:val="-9"/>
          <w:sz w:val="19"/>
          <w:szCs w:val="19"/>
        </w:rPr>
        <w:fldChar w:fldCharType="end"/>
      </w:r>
      <w:r>
        <w:rPr>
          <w:rFonts w:ascii="Arial" w:hAnsi="Arial" w:eastAsia="Arial" w:cs="Arial"/>
          <w:spacing w:val="-9"/>
          <w:sz w:val="19"/>
          <w:szCs w:val="19"/>
        </w:rPr>
        <w:t>).</w:t>
      </w:r>
    </w:p>
    <w:p>
      <w:pPr>
        <w:spacing w:before="24" w:line="261" w:lineRule="auto"/>
        <w:ind w:right="7" w:firstLine="252"/>
        <w:jc w:val="both"/>
        <w:rPr>
          <w:rFonts w:ascii="Arial" w:hAnsi="Arial" w:eastAsia="Arial" w:cs="Arial"/>
          <w:sz w:val="19"/>
          <w:szCs w:val="19"/>
        </w:rPr>
      </w:pPr>
      <w:r>
        <w:rPr>
          <w:rFonts w:ascii="Arial" w:hAnsi="Arial" w:eastAsia="Arial" w:cs="Arial"/>
          <w:spacing w:val="-6"/>
          <w:sz w:val="19"/>
          <w:szCs w:val="19"/>
        </w:rPr>
        <w:t>Additional</w:t>
      </w:r>
      <w:r>
        <w:rPr>
          <w:rFonts w:ascii="Arial" w:hAnsi="Arial" w:eastAsia="Arial" w:cs="Arial"/>
          <w:spacing w:val="21"/>
          <w:sz w:val="19"/>
          <w:szCs w:val="19"/>
        </w:rPr>
        <w:t xml:space="preserve"> </w:t>
      </w:r>
      <w:r>
        <w:rPr>
          <w:rFonts w:ascii="Arial" w:hAnsi="Arial" w:eastAsia="Arial" w:cs="Arial"/>
          <w:spacing w:val="-6"/>
          <w:sz w:val="19"/>
          <w:szCs w:val="19"/>
        </w:rPr>
        <w:t>items</w:t>
      </w:r>
      <w:r>
        <w:rPr>
          <w:rFonts w:ascii="Arial" w:hAnsi="Arial" w:eastAsia="Arial" w:cs="Arial"/>
          <w:spacing w:val="23"/>
          <w:sz w:val="19"/>
          <w:szCs w:val="19"/>
        </w:rPr>
        <w:t xml:space="preserve"> </w:t>
      </w:r>
      <w:r>
        <w:rPr>
          <w:rFonts w:ascii="Arial" w:hAnsi="Arial" w:eastAsia="Arial" w:cs="Arial"/>
          <w:spacing w:val="-6"/>
          <w:sz w:val="19"/>
          <w:szCs w:val="19"/>
        </w:rPr>
        <w:t>refer</w:t>
      </w:r>
      <w:r>
        <w:rPr>
          <w:rFonts w:ascii="Arial" w:hAnsi="Arial" w:eastAsia="Arial" w:cs="Arial"/>
          <w:spacing w:val="12"/>
          <w:sz w:val="19"/>
          <w:szCs w:val="19"/>
        </w:rPr>
        <w:t xml:space="preserve"> </w:t>
      </w:r>
      <w:r>
        <w:rPr>
          <w:rFonts w:ascii="Arial" w:hAnsi="Arial" w:eastAsia="Arial" w:cs="Arial"/>
          <w:spacing w:val="-6"/>
          <w:sz w:val="19"/>
          <w:szCs w:val="19"/>
        </w:rPr>
        <w:t>to</w:t>
      </w:r>
      <w:r>
        <w:rPr>
          <w:rFonts w:ascii="Arial" w:hAnsi="Arial" w:eastAsia="Arial" w:cs="Arial"/>
          <w:spacing w:val="16"/>
          <w:w w:val="101"/>
          <w:sz w:val="19"/>
          <w:szCs w:val="19"/>
        </w:rPr>
        <w:t xml:space="preserve"> </w:t>
      </w:r>
      <w:r>
        <w:rPr>
          <w:rFonts w:ascii="Arial" w:hAnsi="Arial" w:eastAsia="Arial" w:cs="Arial"/>
          <w:spacing w:val="-6"/>
          <w:sz w:val="19"/>
          <w:szCs w:val="19"/>
        </w:rPr>
        <w:t>demographic</w:t>
      </w:r>
      <w:r>
        <w:rPr>
          <w:rFonts w:ascii="Arial" w:hAnsi="Arial" w:eastAsia="Arial" w:cs="Arial"/>
          <w:spacing w:val="16"/>
          <w:w w:val="101"/>
          <w:sz w:val="19"/>
          <w:szCs w:val="19"/>
        </w:rPr>
        <w:t xml:space="preserve"> </w:t>
      </w:r>
      <w:r>
        <w:rPr>
          <w:rFonts w:ascii="Arial" w:hAnsi="Arial" w:eastAsia="Arial" w:cs="Arial"/>
          <w:spacing w:val="-6"/>
          <w:sz w:val="19"/>
          <w:szCs w:val="19"/>
        </w:rPr>
        <w:t>characteristics</w:t>
      </w:r>
      <w:r>
        <w:rPr>
          <w:rFonts w:ascii="Arial" w:hAnsi="Arial" w:eastAsia="Arial" w:cs="Arial"/>
          <w:spacing w:val="23"/>
          <w:sz w:val="19"/>
          <w:szCs w:val="19"/>
        </w:rPr>
        <w:t xml:space="preserve"> </w:t>
      </w:r>
      <w:r>
        <w:rPr>
          <w:rFonts w:ascii="Arial" w:hAnsi="Arial" w:eastAsia="Arial" w:cs="Arial"/>
          <w:spacing w:val="-6"/>
          <w:sz w:val="19"/>
          <w:szCs w:val="19"/>
        </w:rPr>
        <w:t>(e.g.</w:t>
      </w:r>
      <w:r>
        <w:rPr>
          <w:rFonts w:ascii="Arial" w:hAnsi="Arial" w:eastAsia="Arial" w:cs="Arial"/>
          <w:spacing w:val="16"/>
          <w:sz w:val="19"/>
          <w:szCs w:val="19"/>
        </w:rPr>
        <w:t xml:space="preserve"> </w:t>
      </w:r>
      <w:r>
        <w:rPr>
          <w:rFonts w:ascii="Arial" w:hAnsi="Arial" w:eastAsia="Arial" w:cs="Arial"/>
          <w:spacing w:val="-6"/>
          <w:sz w:val="19"/>
          <w:szCs w:val="19"/>
        </w:rPr>
        <w:t>age,</w:t>
      </w:r>
      <w:r>
        <w:rPr>
          <w:rFonts w:ascii="Arial" w:hAnsi="Arial" w:eastAsia="Arial" w:cs="Arial"/>
          <w:spacing w:val="16"/>
          <w:w w:val="101"/>
          <w:sz w:val="19"/>
          <w:szCs w:val="19"/>
        </w:rPr>
        <w:t xml:space="preserve"> </w:t>
      </w:r>
      <w:r>
        <w:rPr>
          <w:rFonts w:ascii="Arial" w:hAnsi="Arial" w:eastAsia="Arial" w:cs="Arial"/>
          <w:spacing w:val="-6"/>
          <w:sz w:val="19"/>
          <w:szCs w:val="19"/>
        </w:rPr>
        <w:t>sex),</w:t>
      </w:r>
      <w:r>
        <w:rPr>
          <w:rFonts w:ascii="Arial" w:hAnsi="Arial" w:eastAsia="Arial" w:cs="Arial"/>
          <w:spacing w:val="23"/>
          <w:sz w:val="19"/>
          <w:szCs w:val="19"/>
        </w:rPr>
        <w:t xml:space="preserve"> </w:t>
      </w:r>
      <w:r>
        <w:rPr>
          <w:rFonts w:ascii="Arial" w:hAnsi="Arial" w:eastAsia="Arial" w:cs="Arial"/>
          <w:spacing w:val="-6"/>
          <w:sz w:val="19"/>
          <w:szCs w:val="19"/>
        </w:rPr>
        <w:t>potentially</w:t>
      </w:r>
      <w:r>
        <w:rPr>
          <w:rFonts w:ascii="Arial" w:hAnsi="Arial" w:eastAsia="Arial" w:cs="Arial"/>
          <w:spacing w:val="16"/>
          <w:w w:val="101"/>
          <w:sz w:val="19"/>
          <w:szCs w:val="19"/>
        </w:rPr>
        <w:t xml:space="preserve"> </w:t>
      </w:r>
      <w:r>
        <w:rPr>
          <w:rFonts w:ascii="Arial" w:hAnsi="Arial" w:eastAsia="Arial" w:cs="Arial"/>
          <w:spacing w:val="-6"/>
          <w:sz w:val="19"/>
          <w:szCs w:val="19"/>
        </w:rPr>
        <w:t>de</w:t>
      </w:r>
      <w:r>
        <w:rPr>
          <w:rFonts w:ascii="Arial" w:hAnsi="Arial" w:eastAsia="Arial" w:cs="Arial"/>
          <w:spacing w:val="-7"/>
          <w:sz w:val="19"/>
          <w:szCs w:val="19"/>
        </w:rPr>
        <w:t>pendent</w:t>
      </w:r>
      <w:r>
        <w:rPr>
          <w:rFonts w:ascii="Arial" w:hAnsi="Arial" w:eastAsia="Arial" w:cs="Arial"/>
          <w:spacing w:val="21"/>
          <w:w w:val="101"/>
          <w:sz w:val="19"/>
          <w:szCs w:val="19"/>
        </w:rPr>
        <w:t xml:space="preserve"> </w:t>
      </w:r>
      <w:r>
        <w:rPr>
          <w:rFonts w:ascii="Arial" w:hAnsi="Arial" w:eastAsia="Arial" w:cs="Arial"/>
          <w:spacing w:val="-7"/>
          <w:sz w:val="19"/>
          <w:szCs w:val="19"/>
        </w:rPr>
        <w:t>(e.g.</w:t>
      </w:r>
      <w:r>
        <w:rPr>
          <w:rFonts w:ascii="Arial" w:hAnsi="Arial" w:eastAsia="Arial" w:cs="Arial"/>
          <w:sz w:val="19"/>
          <w:szCs w:val="19"/>
        </w:rPr>
        <w:t xml:space="preserve"> </w:t>
      </w:r>
      <w:r>
        <w:rPr>
          <w:rFonts w:ascii="Arial" w:hAnsi="Arial" w:eastAsia="Arial" w:cs="Arial"/>
          <w:spacing w:val="-5"/>
          <w:sz w:val="19"/>
          <w:szCs w:val="19"/>
        </w:rPr>
        <w:t>job</w:t>
      </w:r>
      <w:r>
        <w:rPr>
          <w:rFonts w:ascii="Arial" w:hAnsi="Arial" w:eastAsia="Arial" w:cs="Arial"/>
          <w:spacing w:val="10"/>
          <w:sz w:val="19"/>
          <w:szCs w:val="19"/>
        </w:rPr>
        <w:t xml:space="preserve"> </w:t>
      </w:r>
      <w:r>
        <w:rPr>
          <w:rFonts w:ascii="Arial" w:hAnsi="Arial" w:eastAsia="Arial" w:cs="Arial"/>
          <w:spacing w:val="-5"/>
          <w:sz w:val="19"/>
          <w:szCs w:val="19"/>
        </w:rPr>
        <w:t>satisfaction) and</w:t>
      </w:r>
      <w:r>
        <w:rPr>
          <w:rFonts w:ascii="Arial" w:hAnsi="Arial" w:eastAsia="Arial" w:cs="Arial"/>
          <w:spacing w:val="16"/>
          <w:sz w:val="19"/>
          <w:szCs w:val="19"/>
        </w:rPr>
        <w:t xml:space="preserve"> </w:t>
      </w:r>
      <w:r>
        <w:rPr>
          <w:rFonts w:ascii="Arial" w:hAnsi="Arial" w:eastAsia="Arial" w:cs="Arial"/>
          <w:spacing w:val="-5"/>
          <w:sz w:val="19"/>
          <w:szCs w:val="19"/>
        </w:rPr>
        <w:t>moderating variables</w:t>
      </w:r>
      <w:r>
        <w:rPr>
          <w:rFonts w:ascii="Arial" w:hAnsi="Arial" w:eastAsia="Arial" w:cs="Arial"/>
          <w:spacing w:val="15"/>
          <w:w w:val="101"/>
          <w:sz w:val="19"/>
          <w:szCs w:val="19"/>
        </w:rPr>
        <w:t xml:space="preserve"> </w:t>
      </w:r>
      <w:r>
        <w:rPr>
          <w:rFonts w:ascii="Arial" w:hAnsi="Arial" w:eastAsia="Arial" w:cs="Arial"/>
          <w:spacing w:val="-5"/>
          <w:sz w:val="19"/>
          <w:szCs w:val="19"/>
        </w:rPr>
        <w:t>(e.g.</w:t>
      </w:r>
      <w:r>
        <w:rPr>
          <w:rFonts w:ascii="Arial" w:hAnsi="Arial" w:eastAsia="Arial" w:cs="Arial"/>
          <w:spacing w:val="9"/>
          <w:sz w:val="19"/>
          <w:szCs w:val="19"/>
        </w:rPr>
        <w:t xml:space="preserve"> </w:t>
      </w:r>
      <w:r>
        <w:rPr>
          <w:rFonts w:ascii="Arial" w:hAnsi="Arial" w:eastAsia="Arial" w:cs="Arial"/>
          <w:spacing w:val="-5"/>
          <w:sz w:val="19"/>
          <w:szCs w:val="19"/>
        </w:rPr>
        <w:t>conscientiousness)</w:t>
      </w:r>
      <w:r>
        <w:rPr>
          <w:rFonts w:ascii="Arial" w:hAnsi="Arial" w:eastAsia="Arial" w:cs="Arial"/>
          <w:spacing w:val="16"/>
          <w:sz w:val="19"/>
          <w:szCs w:val="19"/>
        </w:rPr>
        <w:t xml:space="preserve"> </w:t>
      </w:r>
      <w:r>
        <w:rPr>
          <w:rFonts w:ascii="Arial" w:hAnsi="Arial" w:eastAsia="Arial" w:cs="Arial"/>
          <w:spacing w:val="-5"/>
          <w:sz w:val="19"/>
          <w:szCs w:val="19"/>
        </w:rPr>
        <w:t>result</w:t>
      </w:r>
      <w:r>
        <w:rPr>
          <w:rFonts w:ascii="Arial" w:hAnsi="Arial" w:eastAsia="Arial" w:cs="Arial"/>
          <w:spacing w:val="-6"/>
          <w:sz w:val="19"/>
          <w:szCs w:val="19"/>
        </w:rPr>
        <w:t>ing</w:t>
      </w:r>
      <w:r>
        <w:rPr>
          <w:rFonts w:ascii="Arial" w:hAnsi="Arial" w:eastAsia="Arial" w:cs="Arial"/>
          <w:spacing w:val="15"/>
          <w:w w:val="101"/>
          <w:sz w:val="19"/>
          <w:szCs w:val="19"/>
        </w:rPr>
        <w:t xml:space="preserve"> </w:t>
      </w:r>
      <w:r>
        <w:rPr>
          <w:rFonts w:ascii="Arial" w:hAnsi="Arial" w:eastAsia="Arial" w:cs="Arial"/>
          <w:spacing w:val="-6"/>
          <w:sz w:val="19"/>
          <w:szCs w:val="19"/>
        </w:rPr>
        <w:t>in</w:t>
      </w:r>
      <w:r>
        <w:rPr>
          <w:rFonts w:ascii="Arial" w:hAnsi="Arial" w:eastAsia="Arial" w:cs="Arial"/>
          <w:spacing w:val="9"/>
          <w:sz w:val="19"/>
          <w:szCs w:val="19"/>
        </w:rPr>
        <w:t xml:space="preserve"> </w:t>
      </w:r>
      <w:r>
        <w:rPr>
          <w:rFonts w:ascii="Arial" w:hAnsi="Arial" w:eastAsia="Arial" w:cs="Arial"/>
          <w:spacing w:val="-6"/>
          <w:sz w:val="19"/>
          <w:szCs w:val="19"/>
        </w:rPr>
        <w:t>a total</w:t>
      </w:r>
      <w:r>
        <w:rPr>
          <w:rFonts w:ascii="Arial" w:hAnsi="Arial" w:eastAsia="Arial" w:cs="Arial"/>
          <w:spacing w:val="11"/>
          <w:sz w:val="19"/>
          <w:szCs w:val="19"/>
        </w:rPr>
        <w:t xml:space="preserve"> </w:t>
      </w:r>
      <w:r>
        <w:rPr>
          <w:rFonts w:ascii="Arial" w:hAnsi="Arial" w:eastAsia="Arial" w:cs="Arial"/>
          <w:spacing w:val="-6"/>
          <w:sz w:val="19"/>
          <w:szCs w:val="19"/>
        </w:rPr>
        <w:t>questionnaire</w:t>
      </w:r>
      <w:r>
        <w:rPr>
          <w:rFonts w:ascii="Arial" w:hAnsi="Arial" w:eastAsia="Arial" w:cs="Arial"/>
          <w:sz w:val="19"/>
          <w:szCs w:val="19"/>
        </w:rPr>
        <w:t xml:space="preserve"> </w:t>
      </w:r>
      <w:r>
        <w:rPr>
          <w:rFonts w:ascii="Arial" w:hAnsi="Arial" w:eastAsia="Arial" w:cs="Arial"/>
          <w:spacing w:val="-5"/>
          <w:sz w:val="19"/>
          <w:szCs w:val="19"/>
        </w:rPr>
        <w:t>length of 97 items. Participants are asked to indicate their level of</w:t>
      </w:r>
      <w:r>
        <w:rPr>
          <w:rFonts w:ascii="Arial" w:hAnsi="Arial" w:eastAsia="Arial" w:cs="Arial"/>
          <w:spacing w:val="-12"/>
          <w:sz w:val="19"/>
          <w:szCs w:val="19"/>
        </w:rPr>
        <w:t xml:space="preserve"> </w:t>
      </w:r>
      <w:r>
        <w:rPr>
          <w:rFonts w:ascii="Arial" w:hAnsi="Arial" w:eastAsia="Arial" w:cs="Arial"/>
          <w:spacing w:val="-5"/>
          <w:sz w:val="19"/>
          <w:szCs w:val="19"/>
        </w:rPr>
        <w:t>agreement with various sta</w:t>
      </w:r>
      <w:r>
        <w:rPr>
          <w:rFonts w:ascii="Arial" w:hAnsi="Arial" w:eastAsia="Arial" w:cs="Arial"/>
          <w:spacing w:val="-6"/>
          <w:sz w:val="19"/>
          <w:szCs w:val="19"/>
        </w:rPr>
        <w:t>tements</w:t>
      </w:r>
      <w:r>
        <w:rPr>
          <w:rFonts w:ascii="Arial" w:hAnsi="Arial" w:eastAsia="Arial" w:cs="Arial"/>
          <w:sz w:val="19"/>
          <w:szCs w:val="19"/>
        </w:rPr>
        <w:t xml:space="preserve"> </w:t>
      </w:r>
      <w:r>
        <w:rPr>
          <w:rFonts w:ascii="Arial" w:hAnsi="Arial" w:eastAsia="Arial" w:cs="Arial"/>
          <w:spacing w:val="-5"/>
          <w:sz w:val="19"/>
          <w:szCs w:val="19"/>
        </w:rPr>
        <w:t>on</w:t>
      </w:r>
      <w:r>
        <w:rPr>
          <w:rFonts w:ascii="Arial" w:hAnsi="Arial" w:eastAsia="Arial" w:cs="Arial"/>
          <w:spacing w:val="9"/>
          <w:sz w:val="19"/>
          <w:szCs w:val="19"/>
        </w:rPr>
        <w:t xml:space="preserve"> </w:t>
      </w:r>
      <w:r>
        <w:rPr>
          <w:rFonts w:ascii="Arial" w:hAnsi="Arial" w:eastAsia="Arial" w:cs="Arial"/>
          <w:spacing w:val="-5"/>
          <w:sz w:val="19"/>
          <w:szCs w:val="19"/>
        </w:rPr>
        <w:t>a</w:t>
      </w:r>
      <w:r>
        <w:rPr>
          <w:rFonts w:ascii="Arial" w:hAnsi="Arial" w:eastAsia="Arial" w:cs="Arial"/>
          <w:spacing w:val="9"/>
          <w:sz w:val="19"/>
          <w:szCs w:val="19"/>
        </w:rPr>
        <w:t xml:space="preserve"> </w:t>
      </w:r>
      <w:r>
        <w:rPr>
          <w:rFonts w:ascii="Arial" w:hAnsi="Arial" w:eastAsia="Arial" w:cs="Arial"/>
          <w:spacing w:val="-5"/>
          <w:sz w:val="19"/>
          <w:szCs w:val="19"/>
        </w:rPr>
        <w:t>6-point</w:t>
      </w:r>
      <w:r>
        <w:rPr>
          <w:rFonts w:ascii="Arial" w:hAnsi="Arial" w:eastAsia="Arial" w:cs="Arial"/>
          <w:spacing w:val="19"/>
          <w:sz w:val="19"/>
          <w:szCs w:val="19"/>
        </w:rPr>
        <w:t xml:space="preserve"> </w:t>
      </w:r>
      <w:r>
        <w:rPr>
          <w:rFonts w:ascii="Arial" w:hAnsi="Arial" w:eastAsia="Arial" w:cs="Arial"/>
          <w:spacing w:val="-5"/>
          <w:sz w:val="19"/>
          <w:szCs w:val="19"/>
        </w:rPr>
        <w:t>Likert</w:t>
      </w:r>
      <w:r>
        <w:rPr>
          <w:rFonts w:ascii="Arial" w:hAnsi="Arial" w:eastAsia="Arial" w:cs="Arial"/>
          <w:spacing w:val="11"/>
          <w:sz w:val="19"/>
          <w:szCs w:val="19"/>
        </w:rPr>
        <w:t xml:space="preserve"> </w:t>
      </w:r>
      <w:r>
        <w:rPr>
          <w:rFonts w:ascii="Arial" w:hAnsi="Arial" w:eastAsia="Arial" w:cs="Arial"/>
          <w:spacing w:val="-5"/>
          <w:sz w:val="19"/>
          <w:szCs w:val="19"/>
        </w:rPr>
        <w:t>scale</w:t>
      </w:r>
      <w:r>
        <w:rPr>
          <w:rFonts w:ascii="Arial" w:hAnsi="Arial" w:eastAsia="Arial" w:cs="Arial"/>
          <w:spacing w:val="16"/>
          <w:sz w:val="19"/>
          <w:szCs w:val="19"/>
        </w:rPr>
        <w:t xml:space="preserve"> </w:t>
      </w:r>
      <w:r>
        <w:rPr>
          <w:rFonts w:ascii="Arial" w:hAnsi="Arial" w:eastAsia="Arial" w:cs="Arial"/>
          <w:spacing w:val="-5"/>
          <w:sz w:val="19"/>
          <w:szCs w:val="19"/>
        </w:rPr>
        <w:t>(1=‘doesn`t</w:t>
      </w:r>
      <w:r>
        <w:rPr>
          <w:rFonts w:ascii="Arial" w:hAnsi="Arial" w:eastAsia="Arial" w:cs="Arial"/>
          <w:spacing w:val="10"/>
          <w:sz w:val="19"/>
          <w:szCs w:val="19"/>
        </w:rPr>
        <w:t xml:space="preserve"> </w:t>
      </w:r>
      <w:r>
        <w:rPr>
          <w:rFonts w:ascii="Arial" w:hAnsi="Arial" w:eastAsia="Arial" w:cs="Arial"/>
          <w:spacing w:val="-5"/>
          <w:sz w:val="19"/>
          <w:szCs w:val="19"/>
        </w:rPr>
        <w:t>apply</w:t>
      </w:r>
      <w:r>
        <w:rPr>
          <w:rFonts w:ascii="Arial" w:hAnsi="Arial" w:eastAsia="Arial" w:cs="Arial"/>
          <w:spacing w:val="10"/>
          <w:sz w:val="19"/>
          <w:szCs w:val="19"/>
        </w:rPr>
        <w:t xml:space="preserve"> </w:t>
      </w:r>
      <w:r>
        <w:rPr>
          <w:rFonts w:ascii="Arial" w:hAnsi="Arial" w:eastAsia="Arial" w:cs="Arial"/>
          <w:spacing w:val="-5"/>
          <w:sz w:val="19"/>
          <w:szCs w:val="19"/>
        </w:rPr>
        <w:t>at</w:t>
      </w:r>
      <w:r>
        <w:rPr>
          <w:rFonts w:ascii="Arial" w:hAnsi="Arial" w:eastAsia="Arial" w:cs="Arial"/>
          <w:spacing w:val="9"/>
          <w:sz w:val="19"/>
          <w:szCs w:val="19"/>
        </w:rPr>
        <w:t xml:space="preserve"> </w:t>
      </w:r>
      <w:r>
        <w:rPr>
          <w:rFonts w:ascii="Arial" w:hAnsi="Arial" w:eastAsia="Arial" w:cs="Arial"/>
          <w:spacing w:val="-5"/>
          <w:sz w:val="19"/>
          <w:szCs w:val="19"/>
        </w:rPr>
        <w:t>all’ to</w:t>
      </w:r>
      <w:r>
        <w:rPr>
          <w:rFonts w:ascii="Arial" w:hAnsi="Arial" w:eastAsia="Arial" w:cs="Arial"/>
          <w:spacing w:val="10"/>
          <w:sz w:val="19"/>
          <w:szCs w:val="19"/>
        </w:rPr>
        <w:t xml:space="preserve"> </w:t>
      </w:r>
      <w:r>
        <w:rPr>
          <w:rFonts w:ascii="Arial" w:hAnsi="Arial" w:eastAsia="Arial" w:cs="Arial"/>
          <w:spacing w:val="-5"/>
          <w:sz w:val="19"/>
          <w:szCs w:val="19"/>
        </w:rPr>
        <w:t>6=‘fully</w:t>
      </w:r>
      <w:r>
        <w:rPr>
          <w:rFonts w:ascii="Arial" w:hAnsi="Arial" w:eastAsia="Arial" w:cs="Arial"/>
          <w:spacing w:val="10"/>
          <w:sz w:val="19"/>
          <w:szCs w:val="19"/>
        </w:rPr>
        <w:t xml:space="preserve"> </w:t>
      </w:r>
      <w:r>
        <w:rPr>
          <w:rFonts w:ascii="Arial" w:hAnsi="Arial" w:eastAsia="Arial" w:cs="Arial"/>
          <w:spacing w:val="-5"/>
          <w:sz w:val="19"/>
          <w:szCs w:val="19"/>
        </w:rPr>
        <w:t>app</w:t>
      </w:r>
      <w:r>
        <w:rPr>
          <w:rFonts w:ascii="Arial" w:hAnsi="Arial" w:eastAsia="Arial" w:cs="Arial"/>
          <w:spacing w:val="-6"/>
          <w:sz w:val="19"/>
          <w:szCs w:val="19"/>
        </w:rPr>
        <w:t>lies’). The</w:t>
      </w:r>
      <w:r>
        <w:rPr>
          <w:rFonts w:ascii="Arial" w:hAnsi="Arial" w:eastAsia="Arial" w:cs="Arial"/>
          <w:spacing w:val="9"/>
          <w:sz w:val="19"/>
          <w:szCs w:val="19"/>
        </w:rPr>
        <w:t xml:space="preserve"> </w:t>
      </w:r>
      <w:r>
        <w:rPr>
          <w:rFonts w:ascii="Arial" w:hAnsi="Arial" w:eastAsia="Arial" w:cs="Arial"/>
          <w:spacing w:val="-6"/>
          <w:sz w:val="19"/>
          <w:szCs w:val="19"/>
        </w:rPr>
        <w:t>questionnaire takes</w:t>
      </w:r>
      <w:r>
        <w:rPr>
          <w:rFonts w:ascii="Arial" w:hAnsi="Arial" w:eastAsia="Arial" w:cs="Arial"/>
          <w:spacing w:val="11"/>
          <w:sz w:val="19"/>
          <w:szCs w:val="19"/>
        </w:rPr>
        <w:t xml:space="preserve"> </w:t>
      </w:r>
      <w:r>
        <w:rPr>
          <w:rFonts w:ascii="Arial" w:hAnsi="Arial" w:eastAsia="Arial" w:cs="Arial"/>
          <w:spacing w:val="-6"/>
          <w:sz w:val="19"/>
          <w:szCs w:val="19"/>
        </w:rPr>
        <w:t>about</w:t>
      </w:r>
      <w:r>
        <w:rPr>
          <w:rFonts w:ascii="Arial" w:hAnsi="Arial" w:eastAsia="Arial" w:cs="Arial"/>
          <w:sz w:val="19"/>
          <w:szCs w:val="19"/>
        </w:rPr>
        <w:t xml:space="preserve"> </w:t>
      </w:r>
      <w:r>
        <w:rPr>
          <w:rFonts w:ascii="Arial" w:hAnsi="Arial" w:eastAsia="Arial" w:cs="Arial"/>
          <w:spacing w:val="-5"/>
          <w:sz w:val="19"/>
          <w:szCs w:val="19"/>
        </w:rPr>
        <w:t>15–20 minto complete. A pretest of</w:t>
      </w:r>
      <w:r>
        <w:rPr>
          <w:rFonts w:ascii="Arial" w:hAnsi="Arial" w:eastAsia="Arial" w:cs="Arial"/>
          <w:spacing w:val="-18"/>
          <w:sz w:val="19"/>
          <w:szCs w:val="19"/>
        </w:rPr>
        <w:t xml:space="preserve"> </w:t>
      </w:r>
      <w:r>
        <w:rPr>
          <w:rFonts w:ascii="Arial" w:hAnsi="Arial" w:eastAsia="Arial" w:cs="Arial"/>
          <w:spacing w:val="-5"/>
          <w:sz w:val="19"/>
          <w:szCs w:val="19"/>
        </w:rPr>
        <w:t>the questionnaire among 93 HEI staf members was performed in</w:t>
      </w:r>
      <w:r>
        <w:rPr>
          <w:rFonts w:ascii="Arial" w:hAnsi="Arial" w:eastAsia="Arial" w:cs="Arial"/>
          <w:sz w:val="19"/>
          <w:szCs w:val="19"/>
        </w:rPr>
        <w:t xml:space="preserve"> </w:t>
      </w:r>
      <w:r>
        <w:rPr>
          <w:rFonts w:ascii="Arial" w:hAnsi="Arial" w:eastAsia="Arial" w:cs="Arial"/>
          <w:spacing w:val="-4"/>
          <w:sz w:val="19"/>
          <w:szCs w:val="19"/>
        </w:rPr>
        <w:t>order</w:t>
      </w:r>
      <w:r>
        <w:rPr>
          <w:rFonts w:ascii="Arial" w:hAnsi="Arial" w:eastAsia="Arial" w:cs="Arial"/>
          <w:spacing w:val="46"/>
          <w:w w:val="101"/>
          <w:sz w:val="19"/>
          <w:szCs w:val="19"/>
        </w:rPr>
        <w:t xml:space="preserve"> </w:t>
      </w:r>
      <w:r>
        <w:rPr>
          <w:rFonts w:ascii="Arial" w:hAnsi="Arial" w:eastAsia="Arial" w:cs="Arial"/>
          <w:spacing w:val="-4"/>
          <w:sz w:val="19"/>
          <w:szCs w:val="19"/>
        </w:rPr>
        <w:t>to</w:t>
      </w:r>
      <w:r>
        <w:rPr>
          <w:rFonts w:ascii="Arial" w:hAnsi="Arial" w:eastAsia="Arial" w:cs="Arial"/>
          <w:spacing w:val="46"/>
          <w:w w:val="101"/>
          <w:sz w:val="19"/>
          <w:szCs w:val="19"/>
        </w:rPr>
        <w:t xml:space="preserve"> </w:t>
      </w:r>
      <w:r>
        <w:rPr>
          <w:rFonts w:ascii="Arial" w:hAnsi="Arial" w:eastAsia="Arial" w:cs="Arial"/>
          <w:spacing w:val="-4"/>
          <w:sz w:val="19"/>
          <w:szCs w:val="19"/>
        </w:rPr>
        <w:t>verify  its  understandability,  completeness,  and  structure.  Moreover  we  te</w:t>
      </w:r>
      <w:r>
        <w:rPr>
          <w:rFonts w:ascii="Arial" w:hAnsi="Arial" w:eastAsia="Arial" w:cs="Arial"/>
          <w:spacing w:val="-5"/>
          <w:sz w:val="19"/>
          <w:szCs w:val="19"/>
        </w:rPr>
        <w:t>sted  for  the</w:t>
      </w:r>
      <w:r>
        <w:rPr>
          <w:rFonts w:ascii="Arial" w:hAnsi="Arial" w:eastAsia="Arial" w:cs="Arial"/>
          <w:sz w:val="19"/>
          <w:szCs w:val="19"/>
        </w:rPr>
        <w:t xml:space="preserve"> </w:t>
      </w:r>
      <w:r>
        <w:rPr>
          <w:rFonts w:ascii="Arial" w:hAnsi="Arial" w:eastAsia="Arial" w:cs="Arial"/>
          <w:spacing w:val="-5"/>
          <w:sz w:val="19"/>
          <w:szCs w:val="19"/>
        </w:rPr>
        <w:t>reliability of the constructed scales and</w:t>
      </w:r>
      <w:r>
        <w:rPr>
          <w:rFonts w:ascii="Arial" w:hAnsi="Arial" w:eastAsia="Arial" w:cs="Arial"/>
          <w:spacing w:val="11"/>
          <w:sz w:val="19"/>
          <w:szCs w:val="19"/>
        </w:rPr>
        <w:t xml:space="preserve"> </w:t>
      </w:r>
      <w:r>
        <w:rPr>
          <w:rFonts w:ascii="Arial" w:hAnsi="Arial" w:eastAsia="Arial" w:cs="Arial"/>
          <w:spacing w:val="-5"/>
          <w:sz w:val="19"/>
          <w:szCs w:val="19"/>
        </w:rPr>
        <w:t>items. The</w:t>
      </w:r>
      <w:r>
        <w:rPr>
          <w:rFonts w:ascii="Arial" w:hAnsi="Arial" w:eastAsia="Arial" w:cs="Arial"/>
          <w:spacing w:val="12"/>
          <w:sz w:val="19"/>
          <w:szCs w:val="19"/>
        </w:rPr>
        <w:t xml:space="preserve"> </w:t>
      </w:r>
      <w:r>
        <w:rPr>
          <w:rFonts w:ascii="Arial" w:hAnsi="Arial" w:eastAsia="Arial" w:cs="Arial"/>
          <w:spacing w:val="-5"/>
          <w:sz w:val="19"/>
          <w:szCs w:val="19"/>
        </w:rPr>
        <w:t>pretest</w:t>
      </w:r>
      <w:r>
        <w:rPr>
          <w:rFonts w:ascii="Arial" w:hAnsi="Arial" w:eastAsia="Arial" w:cs="Arial"/>
          <w:spacing w:val="13"/>
          <w:sz w:val="19"/>
          <w:szCs w:val="19"/>
        </w:rPr>
        <w:t xml:space="preserve"> </w:t>
      </w:r>
      <w:r>
        <w:rPr>
          <w:rFonts w:ascii="Arial" w:hAnsi="Arial" w:eastAsia="Arial" w:cs="Arial"/>
          <w:spacing w:val="-5"/>
          <w:sz w:val="19"/>
          <w:szCs w:val="19"/>
        </w:rPr>
        <w:t>results</w:t>
      </w:r>
      <w:r>
        <w:rPr>
          <w:rFonts w:ascii="Arial" w:hAnsi="Arial" w:eastAsia="Arial" w:cs="Arial"/>
          <w:spacing w:val="14"/>
          <w:w w:val="101"/>
          <w:sz w:val="19"/>
          <w:szCs w:val="19"/>
        </w:rPr>
        <w:t xml:space="preserve"> </w:t>
      </w:r>
      <w:r>
        <w:rPr>
          <w:rFonts w:ascii="Arial" w:hAnsi="Arial" w:eastAsia="Arial" w:cs="Arial"/>
          <w:spacing w:val="-5"/>
          <w:sz w:val="19"/>
          <w:szCs w:val="19"/>
        </w:rPr>
        <w:t>led to</w:t>
      </w:r>
      <w:r>
        <w:rPr>
          <w:rFonts w:ascii="Arial" w:hAnsi="Arial" w:eastAsia="Arial" w:cs="Arial"/>
          <w:spacing w:val="11"/>
          <w:sz w:val="19"/>
          <w:szCs w:val="19"/>
        </w:rPr>
        <w:t xml:space="preserve"> </w:t>
      </w:r>
      <w:r>
        <w:rPr>
          <w:rFonts w:ascii="Arial" w:hAnsi="Arial" w:eastAsia="Arial" w:cs="Arial"/>
          <w:spacing w:val="-5"/>
          <w:sz w:val="19"/>
          <w:szCs w:val="19"/>
        </w:rPr>
        <w:t>minor</w:t>
      </w:r>
      <w:r>
        <w:rPr>
          <w:rFonts w:ascii="Arial" w:hAnsi="Arial" w:eastAsia="Arial" w:cs="Arial"/>
          <w:spacing w:val="14"/>
          <w:sz w:val="19"/>
          <w:szCs w:val="19"/>
        </w:rPr>
        <w:t xml:space="preserve"> </w:t>
      </w:r>
      <w:r>
        <w:rPr>
          <w:rFonts w:ascii="Arial" w:hAnsi="Arial" w:eastAsia="Arial" w:cs="Arial"/>
          <w:spacing w:val="-5"/>
          <w:sz w:val="19"/>
          <w:szCs w:val="19"/>
        </w:rPr>
        <w:t>revisions</w:t>
      </w:r>
      <w:r>
        <w:rPr>
          <w:rFonts w:ascii="Arial" w:hAnsi="Arial" w:eastAsia="Arial" w:cs="Arial"/>
          <w:spacing w:val="6"/>
          <w:sz w:val="19"/>
          <w:szCs w:val="19"/>
        </w:rPr>
        <w:t xml:space="preserve"> </w:t>
      </w:r>
      <w:r>
        <w:rPr>
          <w:rFonts w:ascii="Arial" w:hAnsi="Arial" w:eastAsia="Arial" w:cs="Arial"/>
          <w:spacing w:val="-6"/>
          <w:sz w:val="19"/>
          <w:szCs w:val="19"/>
        </w:rPr>
        <w:t>of the</w:t>
      </w:r>
      <w:r>
        <w:rPr>
          <w:rFonts w:ascii="Arial" w:hAnsi="Arial" w:eastAsia="Arial" w:cs="Arial"/>
          <w:spacing w:val="7"/>
          <w:sz w:val="19"/>
          <w:szCs w:val="19"/>
        </w:rPr>
        <w:t xml:space="preserve"> </w:t>
      </w:r>
      <w:r>
        <w:rPr>
          <w:rFonts w:ascii="Arial" w:hAnsi="Arial" w:eastAsia="Arial" w:cs="Arial"/>
          <w:spacing w:val="-6"/>
          <w:sz w:val="19"/>
          <w:szCs w:val="19"/>
        </w:rPr>
        <w:t>ques-</w:t>
      </w:r>
      <w:r>
        <w:rPr>
          <w:rFonts w:ascii="Arial" w:hAnsi="Arial" w:eastAsia="Arial" w:cs="Arial"/>
          <w:sz w:val="19"/>
          <w:szCs w:val="19"/>
        </w:rPr>
        <w:t xml:space="preserve"> </w:t>
      </w:r>
      <w:r>
        <w:rPr>
          <w:rFonts w:ascii="Arial" w:hAnsi="Arial" w:eastAsia="Arial" w:cs="Arial"/>
          <w:spacing w:val="-3"/>
          <w:sz w:val="19"/>
          <w:szCs w:val="19"/>
        </w:rPr>
        <w:t>tionnaire’s wording. Additionally, three items fro</w:t>
      </w:r>
      <w:r>
        <w:rPr>
          <w:rFonts w:ascii="Arial" w:hAnsi="Arial" w:eastAsia="Arial" w:cs="Arial"/>
          <w:spacing w:val="-4"/>
          <w:sz w:val="19"/>
          <w:szCs w:val="19"/>
        </w:rPr>
        <w:t>m the communication scale were removed from the</w:t>
      </w:r>
      <w:r>
        <w:rPr>
          <w:rFonts w:ascii="Arial" w:hAnsi="Arial" w:eastAsia="Arial" w:cs="Arial"/>
          <w:sz w:val="19"/>
          <w:szCs w:val="19"/>
        </w:rPr>
        <w:t xml:space="preserve"> </w:t>
      </w:r>
      <w:r>
        <w:rPr>
          <w:rFonts w:ascii="Arial" w:hAnsi="Arial" w:eastAsia="Arial" w:cs="Arial"/>
          <w:spacing w:val="-2"/>
          <w:sz w:val="19"/>
          <w:szCs w:val="19"/>
        </w:rPr>
        <w:t xml:space="preserve">initial survey due to insuicient reliability, resulting in a inal questionnaire </w:t>
      </w:r>
      <w:r>
        <w:rPr>
          <w:rFonts w:ascii="Arial" w:hAnsi="Arial" w:eastAsia="Arial" w:cs="Arial"/>
          <w:spacing w:val="-3"/>
          <w:sz w:val="19"/>
          <w:szCs w:val="19"/>
        </w:rPr>
        <w:t>of 94 items</w:t>
      </w:r>
      <w:r>
        <w:rPr>
          <w:rFonts w:ascii="Arial" w:hAnsi="Arial" w:eastAsia="Arial" w:cs="Arial"/>
          <w:spacing w:val="4"/>
          <w:sz w:val="19"/>
          <w:szCs w:val="19"/>
        </w:rPr>
        <w:t xml:space="preserve"> </w:t>
      </w:r>
      <w:r>
        <w:rPr>
          <w:rFonts w:ascii="Arial" w:hAnsi="Arial" w:eastAsia="Arial" w:cs="Arial"/>
          <w:spacing w:val="-3"/>
          <w:sz w:val="19"/>
          <w:szCs w:val="19"/>
        </w:rPr>
        <w:t>(for a detailed</w:t>
      </w:r>
      <w:r>
        <w:rPr>
          <w:rFonts w:ascii="Arial" w:hAnsi="Arial" w:eastAsia="Arial" w:cs="Arial"/>
          <w:sz w:val="19"/>
          <w:szCs w:val="19"/>
        </w:rPr>
        <w:t xml:space="preserve"> </w:t>
      </w:r>
      <w:r>
        <w:rPr>
          <w:rFonts w:ascii="Arial" w:hAnsi="Arial" w:eastAsia="Arial" w:cs="Arial"/>
          <w:spacing w:val="-6"/>
          <w:sz w:val="19"/>
          <w:szCs w:val="19"/>
        </w:rPr>
        <w:t>description</w:t>
      </w:r>
      <w:r>
        <w:rPr>
          <w:rFonts w:ascii="Arial" w:hAnsi="Arial" w:eastAsia="Arial" w:cs="Arial"/>
          <w:spacing w:val="16"/>
          <w:sz w:val="19"/>
          <w:szCs w:val="19"/>
        </w:rPr>
        <w:t xml:space="preserve"> </w:t>
      </w:r>
      <w:r>
        <w:rPr>
          <w:rFonts w:ascii="Arial" w:hAnsi="Arial" w:eastAsia="Arial" w:cs="Arial"/>
          <w:spacing w:val="-6"/>
          <w:sz w:val="19"/>
          <w:szCs w:val="19"/>
        </w:rPr>
        <w:t>of the</w:t>
      </w:r>
      <w:r>
        <w:rPr>
          <w:rFonts w:ascii="Arial" w:hAnsi="Arial" w:eastAsia="Arial" w:cs="Arial"/>
          <w:spacing w:val="18"/>
          <w:sz w:val="19"/>
          <w:szCs w:val="19"/>
        </w:rPr>
        <w:t xml:space="preserve"> </w:t>
      </w:r>
      <w:r>
        <w:rPr>
          <w:rFonts w:ascii="Arial" w:hAnsi="Arial" w:eastAsia="Arial" w:cs="Arial"/>
          <w:spacing w:val="-6"/>
          <w:sz w:val="19"/>
          <w:szCs w:val="19"/>
        </w:rPr>
        <w:t>pilot</w:t>
      </w:r>
      <w:r>
        <w:rPr>
          <w:rFonts w:ascii="Arial" w:hAnsi="Arial" w:eastAsia="Arial" w:cs="Arial"/>
          <w:spacing w:val="11"/>
          <w:sz w:val="19"/>
          <w:szCs w:val="19"/>
        </w:rPr>
        <w:t xml:space="preserve"> </w:t>
      </w:r>
      <w:r>
        <w:rPr>
          <w:rFonts w:ascii="Arial" w:hAnsi="Arial" w:eastAsia="Arial" w:cs="Arial"/>
          <w:spacing w:val="-6"/>
          <w:sz w:val="19"/>
          <w:szCs w:val="19"/>
        </w:rPr>
        <w:t>study</w:t>
      </w:r>
      <w:r>
        <w:rPr>
          <w:rFonts w:ascii="Arial" w:hAnsi="Arial" w:eastAsia="Arial" w:cs="Arial"/>
          <w:spacing w:val="19"/>
          <w:sz w:val="19"/>
          <w:szCs w:val="19"/>
        </w:rPr>
        <w:t xml:space="preserve"> </w:t>
      </w:r>
      <w:r>
        <w:rPr>
          <w:rFonts w:ascii="Arial" w:hAnsi="Arial" w:eastAsia="Arial" w:cs="Arial"/>
          <w:spacing w:val="-6"/>
          <w:sz w:val="19"/>
          <w:szCs w:val="19"/>
        </w:rPr>
        <w:t>results,</w:t>
      </w:r>
      <w:r>
        <w:rPr>
          <w:rFonts w:ascii="Arial" w:hAnsi="Arial" w:eastAsia="Arial" w:cs="Arial"/>
          <w:spacing w:val="13"/>
          <w:w w:val="101"/>
          <w:sz w:val="19"/>
          <w:szCs w:val="19"/>
        </w:rPr>
        <w:t xml:space="preserve"> </w:t>
      </w:r>
      <w:r>
        <w:rPr>
          <w:rFonts w:ascii="Arial" w:hAnsi="Arial" w:eastAsia="Arial" w:cs="Arial"/>
          <w:spacing w:val="-6"/>
          <w:sz w:val="19"/>
          <w:szCs w:val="19"/>
        </w:rPr>
        <w:t>see</w:t>
      </w:r>
      <w:r>
        <w:rPr>
          <w:rFonts w:ascii="Arial" w:hAnsi="Arial" w:eastAsia="Arial" w:cs="Arial"/>
          <w:spacing w:val="12"/>
          <w:sz w:val="19"/>
          <w:szCs w:val="19"/>
        </w:rPr>
        <w:t xml:space="preserve"> </w:t>
      </w:r>
      <w:r>
        <w:rPr>
          <w:rFonts w:ascii="Arial" w:hAnsi="Arial" w:eastAsia="Arial" w:cs="Arial"/>
          <w:spacing w:val="-6"/>
          <w:sz w:val="19"/>
          <w:szCs w:val="19"/>
        </w:rPr>
        <w:t>Sattler,</w:t>
      </w:r>
      <w:r>
        <w:rPr>
          <w:rFonts w:ascii="Arial" w:hAnsi="Arial" w:eastAsia="Arial" w:cs="Arial"/>
          <w:spacing w:val="12"/>
          <w:sz w:val="19"/>
          <w:szCs w:val="19"/>
        </w:rPr>
        <w:t xml:space="preserve"> </w:t>
      </w:r>
      <w:r>
        <w:rPr>
          <w:rFonts w:ascii="Arial" w:hAnsi="Arial" w:eastAsia="Arial" w:cs="Arial"/>
          <w:spacing w:val="-6"/>
          <w:sz w:val="19"/>
          <w:szCs w:val="19"/>
        </w:rPr>
        <w:t>Sonntag,</w:t>
      </w:r>
      <w:r>
        <w:rPr>
          <w:rFonts w:ascii="Arial" w:hAnsi="Arial" w:eastAsia="Arial" w:cs="Arial"/>
          <w:spacing w:val="12"/>
          <w:sz w:val="19"/>
          <w:szCs w:val="19"/>
        </w:rPr>
        <w:t xml:space="preserve"> </w:t>
      </w:r>
      <w:r>
        <w:rPr>
          <w:rFonts w:ascii="Arial" w:hAnsi="Arial" w:eastAsia="Arial" w:cs="Arial"/>
          <w:spacing w:val="-6"/>
          <w:sz w:val="19"/>
          <w:szCs w:val="19"/>
        </w:rPr>
        <w:t>and</w:t>
      </w:r>
      <w:r>
        <w:rPr>
          <w:rFonts w:ascii="Arial" w:hAnsi="Arial" w:eastAsia="Arial" w:cs="Arial"/>
          <w:spacing w:val="11"/>
          <w:sz w:val="19"/>
          <w:szCs w:val="19"/>
        </w:rPr>
        <w:t xml:space="preserve"> </w:t>
      </w:r>
      <w:r>
        <w:rPr>
          <w:rFonts w:ascii="Arial" w:hAnsi="Arial" w:eastAsia="Arial" w:cs="Arial"/>
          <w:spacing w:val="-6"/>
          <w:sz w:val="19"/>
          <w:szCs w:val="19"/>
        </w:rPr>
        <w:t xml:space="preserve">Götzen </w:t>
      </w:r>
      <w:r>
        <w:fldChar w:fldCharType="begin"/>
      </w:r>
      <w:r>
        <w:instrText xml:space="preserve"> HYPERLINK \l "bookmark80" </w:instrText>
      </w:r>
      <w:r>
        <w:fldChar w:fldCharType="separate"/>
      </w:r>
      <w:r>
        <w:rPr>
          <w:rFonts w:ascii="Arial" w:hAnsi="Arial" w:eastAsia="Arial" w:cs="Arial"/>
          <w:color w:val="000084"/>
          <w:spacing w:val="-6"/>
          <w:sz w:val="19"/>
          <w:szCs w:val="19"/>
        </w:rPr>
        <w:t>2016</w:t>
      </w:r>
      <w:r>
        <w:rPr>
          <w:rFonts w:ascii="Arial" w:hAnsi="Arial" w:eastAsia="Arial" w:cs="Arial"/>
          <w:color w:val="000084"/>
          <w:spacing w:val="-6"/>
          <w:sz w:val="19"/>
          <w:szCs w:val="19"/>
        </w:rPr>
        <w:fldChar w:fldCharType="end"/>
      </w:r>
      <w:r>
        <w:rPr>
          <w:rFonts w:ascii="Arial" w:hAnsi="Arial" w:eastAsia="Arial" w:cs="Arial"/>
          <w:spacing w:val="-6"/>
          <w:sz w:val="19"/>
          <w:szCs w:val="19"/>
        </w:rPr>
        <w:t>).</w:t>
      </w:r>
    </w:p>
    <w:p>
      <w:pPr>
        <w:spacing w:line="369" w:lineRule="auto"/>
        <w:rPr>
          <w:rFonts w:ascii="Arial"/>
          <w:sz w:val="21"/>
        </w:rPr>
      </w:pPr>
    </w:p>
    <w:p>
      <w:pPr>
        <w:spacing w:before="61" w:line="192" w:lineRule="auto"/>
        <w:ind w:left="19"/>
        <w:outlineLvl w:val="2"/>
        <w:rPr>
          <w:rFonts w:ascii="Arial" w:hAnsi="Arial" w:eastAsia="Arial" w:cs="Arial"/>
          <w:sz w:val="21"/>
          <w:szCs w:val="21"/>
        </w:rPr>
      </w:pPr>
      <w:r>
        <w:rPr>
          <w:rFonts w:ascii="Arial" w:hAnsi="Arial" w:eastAsia="Arial" w:cs="Arial"/>
          <w:color w:val="282781"/>
          <w:sz w:val="21"/>
          <w:szCs w:val="21"/>
        </w:rPr>
        <w:t>Methods</w:t>
      </w:r>
    </w:p>
    <w:p>
      <w:pPr>
        <w:spacing w:before="175" w:line="195" w:lineRule="auto"/>
        <w:ind w:left="8"/>
        <w:outlineLvl w:val="3"/>
        <w:rPr>
          <w:rFonts w:ascii="Arial" w:hAnsi="Arial" w:eastAsia="Arial" w:cs="Arial"/>
          <w:sz w:val="20"/>
          <w:szCs w:val="20"/>
        </w:rPr>
      </w:pPr>
      <w:r>
        <w:rPr>
          <w:rFonts w:ascii="Arial" w:hAnsi="Arial" w:eastAsia="Arial" w:cs="Arial"/>
          <w:color w:val="282781"/>
          <w:spacing w:val="-2"/>
          <w:sz w:val="20"/>
          <w:szCs w:val="20"/>
        </w:rPr>
        <w:t xml:space="preserve">Study objectives and </w:t>
      </w:r>
      <w:r>
        <w:rPr>
          <w:rFonts w:ascii="Arial" w:hAnsi="Arial" w:eastAsia="Arial" w:cs="Arial"/>
          <w:color w:val="282781"/>
          <w:spacing w:val="-3"/>
          <w:sz w:val="20"/>
          <w:szCs w:val="20"/>
        </w:rPr>
        <w:t>hypotheses</w:t>
      </w:r>
    </w:p>
    <w:p>
      <w:pPr>
        <w:spacing w:before="177" w:line="252" w:lineRule="auto"/>
        <w:ind w:left="14" w:right="8" w:hanging="6"/>
        <w:jc w:val="both"/>
        <w:rPr>
          <w:rFonts w:ascii="Arial" w:hAnsi="Arial" w:eastAsia="Arial" w:cs="Arial"/>
          <w:sz w:val="19"/>
          <w:szCs w:val="19"/>
        </w:rPr>
      </w:pPr>
      <w:r>
        <w:rPr>
          <w:rFonts w:ascii="Arial" w:hAnsi="Arial" w:eastAsia="Arial" w:cs="Arial"/>
          <w:spacing w:val="-5"/>
          <w:sz w:val="19"/>
          <w:szCs w:val="19"/>
        </w:rPr>
        <w:t>The</w:t>
      </w:r>
      <w:r>
        <w:rPr>
          <w:rFonts w:ascii="Arial" w:hAnsi="Arial" w:eastAsia="Arial" w:cs="Arial"/>
          <w:spacing w:val="12"/>
          <w:sz w:val="19"/>
          <w:szCs w:val="19"/>
        </w:rPr>
        <w:t xml:space="preserve"> </w:t>
      </w:r>
      <w:r>
        <w:rPr>
          <w:rFonts w:ascii="Arial" w:hAnsi="Arial" w:eastAsia="Arial" w:cs="Arial"/>
          <w:spacing w:val="-5"/>
          <w:sz w:val="19"/>
          <w:szCs w:val="19"/>
        </w:rPr>
        <w:t>study</w:t>
      </w:r>
      <w:r>
        <w:rPr>
          <w:rFonts w:ascii="Arial" w:hAnsi="Arial" w:eastAsia="Arial" w:cs="Arial"/>
          <w:spacing w:val="14"/>
          <w:sz w:val="19"/>
          <w:szCs w:val="19"/>
        </w:rPr>
        <w:t xml:space="preserve"> </w:t>
      </w:r>
      <w:r>
        <w:rPr>
          <w:rFonts w:ascii="Arial" w:hAnsi="Arial" w:eastAsia="Arial" w:cs="Arial"/>
          <w:spacing w:val="-5"/>
          <w:sz w:val="19"/>
          <w:szCs w:val="19"/>
        </w:rPr>
        <w:t>objectives</w:t>
      </w:r>
      <w:r>
        <w:rPr>
          <w:rFonts w:ascii="Arial" w:hAnsi="Arial" w:eastAsia="Arial" w:cs="Arial"/>
          <w:spacing w:val="13"/>
          <w:w w:val="101"/>
          <w:sz w:val="19"/>
          <w:szCs w:val="19"/>
        </w:rPr>
        <w:t xml:space="preserve"> </w:t>
      </w:r>
      <w:r>
        <w:rPr>
          <w:rFonts w:ascii="Arial" w:hAnsi="Arial" w:eastAsia="Arial" w:cs="Arial"/>
          <w:spacing w:val="-5"/>
          <w:sz w:val="19"/>
          <w:szCs w:val="19"/>
        </w:rPr>
        <w:t>of this</w:t>
      </w:r>
      <w:r>
        <w:rPr>
          <w:rFonts w:ascii="Arial" w:hAnsi="Arial" w:eastAsia="Arial" w:cs="Arial"/>
          <w:spacing w:val="19"/>
          <w:sz w:val="19"/>
          <w:szCs w:val="19"/>
        </w:rPr>
        <w:t xml:space="preserve"> </w:t>
      </w:r>
      <w:r>
        <w:rPr>
          <w:rFonts w:ascii="Arial" w:hAnsi="Arial" w:eastAsia="Arial" w:cs="Arial"/>
          <w:spacing w:val="-5"/>
          <w:sz w:val="19"/>
          <w:szCs w:val="19"/>
        </w:rPr>
        <w:t>paper</w:t>
      </w:r>
      <w:r>
        <w:rPr>
          <w:rFonts w:ascii="Arial" w:hAnsi="Arial" w:eastAsia="Arial" w:cs="Arial"/>
          <w:spacing w:val="12"/>
          <w:sz w:val="19"/>
          <w:szCs w:val="19"/>
        </w:rPr>
        <w:t xml:space="preserve"> </w:t>
      </w:r>
      <w:r>
        <w:rPr>
          <w:rFonts w:ascii="Arial" w:hAnsi="Arial" w:eastAsia="Arial" w:cs="Arial"/>
          <w:spacing w:val="-5"/>
          <w:sz w:val="19"/>
          <w:szCs w:val="19"/>
        </w:rPr>
        <w:t>are</w:t>
      </w:r>
      <w:r>
        <w:rPr>
          <w:rFonts w:ascii="Arial" w:hAnsi="Arial" w:eastAsia="Arial" w:cs="Arial"/>
          <w:spacing w:val="25"/>
          <w:w w:val="101"/>
          <w:sz w:val="19"/>
          <w:szCs w:val="19"/>
        </w:rPr>
        <w:t xml:space="preserve"> </w:t>
      </w:r>
      <w:r>
        <w:rPr>
          <w:rFonts w:ascii="Arial" w:hAnsi="Arial" w:eastAsia="Arial" w:cs="Arial"/>
          <w:spacing w:val="-5"/>
          <w:sz w:val="19"/>
          <w:szCs w:val="19"/>
        </w:rPr>
        <w:t>1) to</w:t>
      </w:r>
      <w:r>
        <w:rPr>
          <w:rFonts w:ascii="Arial" w:hAnsi="Arial" w:eastAsia="Arial" w:cs="Arial"/>
          <w:spacing w:val="17"/>
          <w:sz w:val="19"/>
          <w:szCs w:val="19"/>
        </w:rPr>
        <w:t xml:space="preserve"> </w:t>
      </w:r>
      <w:r>
        <w:rPr>
          <w:rFonts w:ascii="Arial" w:hAnsi="Arial" w:eastAsia="Arial" w:cs="Arial"/>
          <w:spacing w:val="-5"/>
          <w:sz w:val="19"/>
          <w:szCs w:val="19"/>
        </w:rPr>
        <w:t>investigate</w:t>
      </w:r>
      <w:r>
        <w:rPr>
          <w:rFonts w:ascii="Arial" w:hAnsi="Arial" w:eastAsia="Arial" w:cs="Arial"/>
          <w:spacing w:val="10"/>
          <w:sz w:val="19"/>
          <w:szCs w:val="19"/>
        </w:rPr>
        <w:t xml:space="preserve"> </w:t>
      </w:r>
      <w:r>
        <w:rPr>
          <w:rFonts w:ascii="Arial" w:hAnsi="Arial" w:eastAsia="Arial" w:cs="Arial"/>
          <w:spacing w:val="-5"/>
          <w:sz w:val="19"/>
          <w:szCs w:val="19"/>
        </w:rPr>
        <w:t>the</w:t>
      </w:r>
      <w:r>
        <w:rPr>
          <w:rFonts w:ascii="Arial" w:hAnsi="Arial" w:eastAsia="Arial" w:cs="Arial"/>
          <w:spacing w:val="19"/>
          <w:sz w:val="19"/>
          <w:szCs w:val="19"/>
        </w:rPr>
        <w:t xml:space="preserve"> </w:t>
      </w:r>
      <w:r>
        <w:rPr>
          <w:rFonts w:ascii="Arial" w:hAnsi="Arial" w:eastAsia="Arial" w:cs="Arial"/>
          <w:spacing w:val="-5"/>
          <w:sz w:val="19"/>
          <w:szCs w:val="19"/>
        </w:rPr>
        <w:t>psychometric</w:t>
      </w:r>
      <w:r>
        <w:rPr>
          <w:rFonts w:ascii="Arial" w:hAnsi="Arial" w:eastAsia="Arial" w:cs="Arial"/>
          <w:spacing w:val="18"/>
          <w:sz w:val="19"/>
          <w:szCs w:val="19"/>
        </w:rPr>
        <w:t xml:space="preserve"> </w:t>
      </w:r>
      <w:r>
        <w:rPr>
          <w:rFonts w:ascii="Arial" w:hAnsi="Arial" w:eastAsia="Arial" w:cs="Arial"/>
          <w:spacing w:val="-5"/>
          <w:sz w:val="19"/>
          <w:szCs w:val="19"/>
        </w:rPr>
        <w:t>properties</w:t>
      </w:r>
      <w:r>
        <w:rPr>
          <w:rFonts w:ascii="Arial" w:hAnsi="Arial" w:eastAsia="Arial" w:cs="Arial"/>
          <w:spacing w:val="11"/>
          <w:sz w:val="19"/>
          <w:szCs w:val="19"/>
        </w:rPr>
        <w:t xml:space="preserve"> </w:t>
      </w:r>
      <w:r>
        <w:rPr>
          <w:rFonts w:ascii="Arial" w:hAnsi="Arial" w:eastAsia="Arial" w:cs="Arial"/>
          <w:spacing w:val="-5"/>
          <w:sz w:val="19"/>
          <w:szCs w:val="19"/>
        </w:rPr>
        <w:t>of the</w:t>
      </w:r>
      <w:r>
        <w:rPr>
          <w:rFonts w:ascii="Arial" w:hAnsi="Arial" w:eastAsia="Arial" w:cs="Arial"/>
          <w:spacing w:val="12"/>
          <w:sz w:val="19"/>
          <w:szCs w:val="19"/>
        </w:rPr>
        <w:t xml:space="preserve"> </w:t>
      </w:r>
      <w:r>
        <w:rPr>
          <w:rFonts w:ascii="Arial" w:hAnsi="Arial" w:eastAsia="Arial" w:cs="Arial"/>
          <w:spacing w:val="-5"/>
          <w:sz w:val="19"/>
          <w:szCs w:val="19"/>
        </w:rPr>
        <w:t>o</w:t>
      </w:r>
      <w:r>
        <w:rPr>
          <w:rFonts w:ascii="Arial" w:hAnsi="Arial" w:eastAsia="Arial" w:cs="Arial"/>
          <w:spacing w:val="-6"/>
          <w:sz w:val="19"/>
          <w:szCs w:val="19"/>
        </w:rPr>
        <w:t>rganiz-</w:t>
      </w:r>
      <w:r>
        <w:rPr>
          <w:rFonts w:ascii="Arial" w:hAnsi="Arial" w:eastAsia="Arial" w:cs="Arial"/>
          <w:sz w:val="19"/>
          <w:szCs w:val="19"/>
        </w:rPr>
        <w:t xml:space="preserve"> </w:t>
      </w:r>
      <w:r>
        <w:rPr>
          <w:rFonts w:ascii="Arial" w:hAnsi="Arial" w:eastAsia="Arial" w:cs="Arial"/>
          <w:spacing w:val="-5"/>
          <w:sz w:val="19"/>
          <w:szCs w:val="19"/>
        </w:rPr>
        <w:t>ational-psychological</w:t>
      </w:r>
      <w:r>
        <w:rPr>
          <w:rFonts w:ascii="Arial" w:hAnsi="Arial" w:eastAsia="Arial" w:cs="Arial"/>
          <w:spacing w:val="14"/>
          <w:w w:val="101"/>
          <w:sz w:val="19"/>
          <w:szCs w:val="19"/>
        </w:rPr>
        <w:t xml:space="preserve"> </w:t>
      </w:r>
      <w:r>
        <w:rPr>
          <w:rFonts w:ascii="Arial" w:hAnsi="Arial" w:eastAsia="Arial" w:cs="Arial"/>
          <w:spacing w:val="-5"/>
          <w:sz w:val="19"/>
          <w:szCs w:val="19"/>
        </w:rPr>
        <w:t>questionnaire</w:t>
      </w:r>
      <w:r>
        <w:rPr>
          <w:rFonts w:ascii="Arial" w:hAnsi="Arial" w:eastAsia="Arial" w:cs="Arial"/>
          <w:spacing w:val="14"/>
          <w:w w:val="101"/>
          <w:sz w:val="19"/>
          <w:szCs w:val="19"/>
        </w:rPr>
        <w:t xml:space="preserve"> </w:t>
      </w:r>
      <w:r>
        <w:rPr>
          <w:rFonts w:ascii="Arial" w:hAnsi="Arial" w:eastAsia="Arial" w:cs="Arial"/>
          <w:spacing w:val="-5"/>
          <w:sz w:val="19"/>
          <w:szCs w:val="19"/>
        </w:rPr>
        <w:t>of the</w:t>
      </w:r>
      <w:r>
        <w:rPr>
          <w:rFonts w:ascii="Arial" w:hAnsi="Arial" w:eastAsia="Arial" w:cs="Arial"/>
          <w:spacing w:val="14"/>
          <w:sz w:val="19"/>
          <w:szCs w:val="19"/>
        </w:rPr>
        <w:t xml:space="preserve"> </w:t>
      </w:r>
      <w:r>
        <w:rPr>
          <w:rFonts w:ascii="Arial" w:hAnsi="Arial" w:eastAsia="Arial" w:cs="Arial"/>
          <w:spacing w:val="-5"/>
          <w:sz w:val="19"/>
          <w:szCs w:val="19"/>
        </w:rPr>
        <w:t>QCI,</w:t>
      </w:r>
      <w:r>
        <w:rPr>
          <w:rFonts w:ascii="Arial" w:hAnsi="Arial" w:eastAsia="Arial" w:cs="Arial"/>
          <w:spacing w:val="14"/>
          <w:w w:val="101"/>
          <w:sz w:val="19"/>
          <w:szCs w:val="19"/>
        </w:rPr>
        <w:t xml:space="preserve"> </w:t>
      </w:r>
      <w:r>
        <w:rPr>
          <w:rFonts w:ascii="Arial" w:hAnsi="Arial" w:eastAsia="Arial" w:cs="Arial"/>
          <w:spacing w:val="-5"/>
          <w:sz w:val="19"/>
          <w:szCs w:val="19"/>
        </w:rPr>
        <w:t>and</w:t>
      </w:r>
      <w:r>
        <w:rPr>
          <w:rFonts w:ascii="Arial" w:hAnsi="Arial" w:eastAsia="Arial" w:cs="Arial"/>
          <w:spacing w:val="16"/>
          <w:sz w:val="19"/>
          <w:szCs w:val="19"/>
        </w:rPr>
        <w:t xml:space="preserve"> </w:t>
      </w:r>
      <w:r>
        <w:rPr>
          <w:rFonts w:ascii="Arial" w:hAnsi="Arial" w:eastAsia="Arial" w:cs="Arial"/>
          <w:spacing w:val="-5"/>
          <w:sz w:val="19"/>
          <w:szCs w:val="19"/>
        </w:rPr>
        <w:t>2)</w:t>
      </w:r>
      <w:r>
        <w:rPr>
          <w:rFonts w:ascii="Arial" w:hAnsi="Arial" w:eastAsia="Arial" w:cs="Arial"/>
          <w:spacing w:val="10"/>
          <w:sz w:val="19"/>
          <w:szCs w:val="19"/>
        </w:rPr>
        <w:t xml:space="preserve"> </w:t>
      </w:r>
      <w:r>
        <w:rPr>
          <w:rFonts w:ascii="Arial" w:hAnsi="Arial" w:eastAsia="Arial" w:cs="Arial"/>
          <w:spacing w:val="-5"/>
          <w:sz w:val="19"/>
          <w:szCs w:val="19"/>
        </w:rPr>
        <w:t>to</w:t>
      </w:r>
      <w:r>
        <w:rPr>
          <w:rFonts w:ascii="Arial" w:hAnsi="Arial" w:eastAsia="Arial" w:cs="Arial"/>
          <w:spacing w:val="15"/>
          <w:sz w:val="19"/>
          <w:szCs w:val="19"/>
        </w:rPr>
        <w:t xml:space="preserve"> </w:t>
      </w:r>
      <w:r>
        <w:rPr>
          <w:rFonts w:ascii="Arial" w:hAnsi="Arial" w:eastAsia="Arial" w:cs="Arial"/>
          <w:spacing w:val="-5"/>
          <w:sz w:val="19"/>
          <w:szCs w:val="19"/>
        </w:rPr>
        <w:t>explore</w:t>
      </w:r>
      <w:r>
        <w:rPr>
          <w:rFonts w:ascii="Arial" w:hAnsi="Arial" w:eastAsia="Arial" w:cs="Arial"/>
          <w:spacing w:val="21"/>
          <w:sz w:val="19"/>
          <w:szCs w:val="19"/>
        </w:rPr>
        <w:t xml:space="preserve"> </w:t>
      </w:r>
      <w:r>
        <w:rPr>
          <w:rFonts w:ascii="Arial" w:hAnsi="Arial" w:eastAsia="Arial" w:cs="Arial"/>
          <w:spacing w:val="-5"/>
          <w:sz w:val="19"/>
          <w:szCs w:val="19"/>
        </w:rPr>
        <w:t>relationships</w:t>
      </w:r>
      <w:r>
        <w:rPr>
          <w:rFonts w:ascii="Arial" w:hAnsi="Arial" w:eastAsia="Arial" w:cs="Arial"/>
          <w:spacing w:val="20"/>
          <w:w w:val="101"/>
          <w:sz w:val="19"/>
          <w:szCs w:val="19"/>
        </w:rPr>
        <w:t xml:space="preserve"> </w:t>
      </w:r>
      <w:r>
        <w:rPr>
          <w:rFonts w:ascii="Arial" w:hAnsi="Arial" w:eastAsia="Arial" w:cs="Arial"/>
          <w:spacing w:val="-5"/>
          <w:sz w:val="19"/>
          <w:szCs w:val="19"/>
        </w:rPr>
        <w:t>between</w:t>
      </w:r>
      <w:r>
        <w:rPr>
          <w:rFonts w:ascii="Arial" w:hAnsi="Arial" w:eastAsia="Arial" w:cs="Arial"/>
          <w:spacing w:val="10"/>
          <w:sz w:val="19"/>
          <w:szCs w:val="19"/>
        </w:rPr>
        <w:t xml:space="preserve"> </w:t>
      </w:r>
      <w:r>
        <w:rPr>
          <w:rFonts w:ascii="Arial" w:hAnsi="Arial" w:eastAsia="Arial" w:cs="Arial"/>
          <w:spacing w:val="-5"/>
          <w:sz w:val="19"/>
          <w:szCs w:val="19"/>
        </w:rPr>
        <w:t>the</w:t>
      </w:r>
      <w:r>
        <w:rPr>
          <w:rFonts w:ascii="Arial" w:hAnsi="Arial" w:eastAsia="Arial" w:cs="Arial"/>
          <w:spacing w:val="14"/>
          <w:w w:val="101"/>
          <w:sz w:val="19"/>
          <w:szCs w:val="19"/>
        </w:rPr>
        <w:t xml:space="preserve"> </w:t>
      </w:r>
      <w:r>
        <w:rPr>
          <w:rFonts w:ascii="Arial" w:hAnsi="Arial" w:eastAsia="Arial" w:cs="Arial"/>
          <w:spacing w:val="-5"/>
          <w:sz w:val="19"/>
          <w:szCs w:val="19"/>
        </w:rPr>
        <w:t>q</w:t>
      </w:r>
      <w:r>
        <w:rPr>
          <w:rFonts w:ascii="Arial" w:hAnsi="Arial" w:eastAsia="Arial" w:cs="Arial"/>
          <w:spacing w:val="-6"/>
          <w:sz w:val="19"/>
          <w:szCs w:val="19"/>
        </w:rPr>
        <w:t>uality</w:t>
      </w:r>
      <w:r>
        <w:rPr>
          <w:rFonts w:ascii="Arial" w:hAnsi="Arial" w:eastAsia="Arial" w:cs="Arial"/>
          <w:sz w:val="19"/>
          <w:szCs w:val="19"/>
        </w:rPr>
        <w:t xml:space="preserve"> </w:t>
      </w:r>
      <w:r>
        <w:rPr>
          <w:rFonts w:ascii="Arial" w:hAnsi="Arial" w:eastAsia="Arial" w:cs="Arial"/>
          <w:spacing w:val="-5"/>
          <w:sz w:val="19"/>
          <w:szCs w:val="19"/>
        </w:rPr>
        <w:t>culture</w:t>
      </w:r>
      <w:r>
        <w:rPr>
          <w:rFonts w:ascii="Arial" w:hAnsi="Arial" w:eastAsia="Arial" w:cs="Arial"/>
          <w:spacing w:val="34"/>
          <w:w w:val="101"/>
          <w:sz w:val="19"/>
          <w:szCs w:val="19"/>
        </w:rPr>
        <w:t xml:space="preserve"> </w:t>
      </w:r>
      <w:r>
        <w:rPr>
          <w:rFonts w:ascii="Arial" w:hAnsi="Arial" w:eastAsia="Arial" w:cs="Arial"/>
          <w:spacing w:val="-5"/>
          <w:sz w:val="19"/>
          <w:szCs w:val="19"/>
        </w:rPr>
        <w:t>dimensions</w:t>
      </w:r>
      <w:r>
        <w:rPr>
          <w:rFonts w:ascii="Arial" w:hAnsi="Arial" w:eastAsia="Arial" w:cs="Arial"/>
          <w:spacing w:val="33"/>
          <w:w w:val="101"/>
          <w:sz w:val="19"/>
          <w:szCs w:val="19"/>
        </w:rPr>
        <w:t xml:space="preserve"> </w:t>
      </w:r>
      <w:r>
        <w:rPr>
          <w:rFonts w:ascii="Arial" w:hAnsi="Arial" w:eastAsia="Arial" w:cs="Arial"/>
          <w:spacing w:val="-5"/>
          <w:sz w:val="19"/>
          <w:szCs w:val="19"/>
        </w:rPr>
        <w:t>and</w:t>
      </w:r>
      <w:r>
        <w:rPr>
          <w:rFonts w:ascii="Arial" w:hAnsi="Arial" w:eastAsia="Arial" w:cs="Arial"/>
          <w:spacing w:val="34"/>
          <w:sz w:val="19"/>
          <w:szCs w:val="19"/>
        </w:rPr>
        <w:t xml:space="preserve"> </w:t>
      </w:r>
      <w:r>
        <w:rPr>
          <w:rFonts w:ascii="Arial" w:hAnsi="Arial" w:eastAsia="Arial" w:cs="Arial"/>
          <w:spacing w:val="-5"/>
          <w:sz w:val="19"/>
          <w:szCs w:val="19"/>
        </w:rPr>
        <w:t>several</w:t>
      </w:r>
      <w:r>
        <w:rPr>
          <w:rFonts w:ascii="Arial" w:hAnsi="Arial" w:eastAsia="Arial" w:cs="Arial"/>
          <w:spacing w:val="39"/>
          <w:w w:val="101"/>
          <w:sz w:val="19"/>
          <w:szCs w:val="19"/>
        </w:rPr>
        <w:t xml:space="preserve"> </w:t>
      </w:r>
      <w:r>
        <w:rPr>
          <w:rFonts w:ascii="Arial" w:hAnsi="Arial" w:eastAsia="Arial" w:cs="Arial"/>
          <w:spacing w:val="-5"/>
          <w:sz w:val="19"/>
          <w:szCs w:val="19"/>
        </w:rPr>
        <w:t>potenti</w:t>
      </w:r>
      <w:r>
        <w:rPr>
          <w:rFonts w:ascii="Arial" w:hAnsi="Arial" w:eastAsia="Arial" w:cs="Arial"/>
          <w:spacing w:val="-6"/>
          <w:sz w:val="19"/>
          <w:szCs w:val="19"/>
        </w:rPr>
        <w:t>al</w:t>
      </w:r>
      <w:r>
        <w:rPr>
          <w:rFonts w:ascii="Arial" w:hAnsi="Arial" w:eastAsia="Arial" w:cs="Arial"/>
          <w:spacing w:val="33"/>
          <w:sz w:val="19"/>
          <w:szCs w:val="19"/>
        </w:rPr>
        <w:t xml:space="preserve"> </w:t>
      </w:r>
      <w:r>
        <w:rPr>
          <w:rFonts w:ascii="Arial" w:hAnsi="Arial" w:eastAsia="Arial" w:cs="Arial"/>
          <w:spacing w:val="-6"/>
          <w:sz w:val="19"/>
          <w:szCs w:val="19"/>
        </w:rPr>
        <w:t>outcome</w:t>
      </w:r>
      <w:r>
        <w:rPr>
          <w:rFonts w:ascii="Arial" w:hAnsi="Arial" w:eastAsia="Arial" w:cs="Arial"/>
          <w:spacing w:val="42"/>
          <w:sz w:val="19"/>
          <w:szCs w:val="19"/>
        </w:rPr>
        <w:t xml:space="preserve"> </w:t>
      </w:r>
      <w:r>
        <w:rPr>
          <w:rFonts w:ascii="Arial" w:hAnsi="Arial" w:eastAsia="Arial" w:cs="Arial"/>
          <w:spacing w:val="-6"/>
          <w:sz w:val="19"/>
          <w:szCs w:val="19"/>
        </w:rPr>
        <w:t>measures.</w:t>
      </w:r>
      <w:r>
        <w:rPr>
          <w:rFonts w:ascii="Arial" w:hAnsi="Arial" w:eastAsia="Arial" w:cs="Arial"/>
          <w:spacing w:val="36"/>
          <w:sz w:val="19"/>
          <w:szCs w:val="19"/>
        </w:rPr>
        <w:t xml:space="preserve"> </w:t>
      </w:r>
      <w:r>
        <w:rPr>
          <w:rFonts w:ascii="Arial" w:hAnsi="Arial" w:eastAsia="Arial" w:cs="Arial"/>
          <w:spacing w:val="-6"/>
          <w:sz w:val="19"/>
          <w:szCs w:val="19"/>
        </w:rPr>
        <w:t>Since</w:t>
      </w:r>
      <w:r>
        <w:rPr>
          <w:rFonts w:ascii="Arial" w:hAnsi="Arial" w:eastAsia="Arial" w:cs="Arial"/>
          <w:spacing w:val="30"/>
          <w:w w:val="101"/>
          <w:sz w:val="19"/>
          <w:szCs w:val="19"/>
        </w:rPr>
        <w:t xml:space="preserve"> </w:t>
      </w:r>
      <w:r>
        <w:rPr>
          <w:rFonts w:ascii="Arial" w:hAnsi="Arial" w:eastAsia="Arial" w:cs="Arial"/>
          <w:spacing w:val="-6"/>
          <w:sz w:val="19"/>
          <w:szCs w:val="19"/>
        </w:rPr>
        <w:t>the</w:t>
      </w:r>
      <w:r>
        <w:rPr>
          <w:rFonts w:ascii="Arial" w:hAnsi="Arial" w:eastAsia="Arial" w:cs="Arial"/>
          <w:spacing w:val="33"/>
          <w:w w:val="101"/>
          <w:sz w:val="19"/>
          <w:szCs w:val="19"/>
        </w:rPr>
        <w:t xml:space="preserve"> </w:t>
      </w:r>
      <w:r>
        <w:rPr>
          <w:rFonts w:ascii="Arial" w:hAnsi="Arial" w:eastAsia="Arial" w:cs="Arial"/>
          <w:spacing w:val="-6"/>
          <w:sz w:val="19"/>
          <w:szCs w:val="19"/>
        </w:rPr>
        <w:t>operationalization</w:t>
      </w:r>
      <w:r>
        <w:rPr>
          <w:rFonts w:ascii="Arial" w:hAnsi="Arial" w:eastAsia="Arial" w:cs="Arial"/>
          <w:spacing w:val="34"/>
          <w:sz w:val="19"/>
          <w:szCs w:val="19"/>
        </w:rPr>
        <w:t xml:space="preserve"> </w:t>
      </w:r>
      <w:r>
        <w:rPr>
          <w:rFonts w:ascii="Arial" w:hAnsi="Arial" w:eastAsia="Arial" w:cs="Arial"/>
          <w:spacing w:val="-6"/>
          <w:sz w:val="19"/>
          <w:szCs w:val="19"/>
        </w:rPr>
        <w:t>of</w:t>
      </w:r>
      <w:r>
        <w:rPr>
          <w:rFonts w:ascii="Arial" w:hAnsi="Arial" w:eastAsia="Arial" w:cs="Arial"/>
          <w:spacing w:val="22"/>
          <w:sz w:val="19"/>
          <w:szCs w:val="19"/>
        </w:rPr>
        <w:t xml:space="preserve"> </w:t>
      </w:r>
      <w:r>
        <w:rPr>
          <w:rFonts w:ascii="Arial" w:hAnsi="Arial" w:eastAsia="Arial" w:cs="Arial"/>
          <w:spacing w:val="-6"/>
          <w:sz w:val="19"/>
          <w:szCs w:val="19"/>
        </w:rPr>
        <w:t>the</w:t>
      </w:r>
      <w:r>
        <w:rPr>
          <w:rFonts w:ascii="Arial" w:hAnsi="Arial" w:eastAsia="Arial" w:cs="Arial"/>
          <w:sz w:val="19"/>
          <w:szCs w:val="19"/>
        </w:rPr>
        <w:t xml:space="preserve"> </w:t>
      </w:r>
      <w:r>
        <w:rPr>
          <w:rFonts w:ascii="Arial" w:hAnsi="Arial" w:eastAsia="Arial" w:cs="Arial"/>
          <w:spacing w:val="-5"/>
          <w:sz w:val="19"/>
          <w:szCs w:val="19"/>
        </w:rPr>
        <w:t>quality</w:t>
      </w:r>
      <w:r>
        <w:rPr>
          <w:rFonts w:ascii="Arial" w:hAnsi="Arial" w:eastAsia="Arial" w:cs="Arial"/>
          <w:spacing w:val="33"/>
          <w:w w:val="101"/>
          <w:sz w:val="19"/>
          <w:szCs w:val="19"/>
        </w:rPr>
        <w:t xml:space="preserve"> </w:t>
      </w:r>
      <w:r>
        <w:rPr>
          <w:rFonts w:ascii="Arial" w:hAnsi="Arial" w:eastAsia="Arial" w:cs="Arial"/>
          <w:spacing w:val="-5"/>
          <w:sz w:val="19"/>
          <w:szCs w:val="19"/>
        </w:rPr>
        <w:t>culture</w:t>
      </w:r>
      <w:r>
        <w:rPr>
          <w:rFonts w:ascii="Arial" w:hAnsi="Arial" w:eastAsia="Arial" w:cs="Arial"/>
          <w:spacing w:val="35"/>
          <w:sz w:val="19"/>
          <w:szCs w:val="19"/>
        </w:rPr>
        <w:t xml:space="preserve"> </w:t>
      </w:r>
      <w:r>
        <w:rPr>
          <w:rFonts w:ascii="Arial" w:hAnsi="Arial" w:eastAsia="Arial" w:cs="Arial"/>
          <w:spacing w:val="-5"/>
          <w:sz w:val="19"/>
          <w:szCs w:val="19"/>
        </w:rPr>
        <w:t>construc</w:t>
      </w:r>
      <w:r>
        <w:rPr>
          <w:rFonts w:ascii="Arial" w:hAnsi="Arial" w:eastAsia="Arial" w:cs="Arial"/>
          <w:spacing w:val="-6"/>
          <w:sz w:val="19"/>
          <w:szCs w:val="19"/>
        </w:rPr>
        <w:t>t</w:t>
      </w:r>
      <w:r>
        <w:rPr>
          <w:rFonts w:ascii="Arial" w:hAnsi="Arial" w:eastAsia="Arial" w:cs="Arial"/>
          <w:spacing w:val="39"/>
          <w:sz w:val="19"/>
          <w:szCs w:val="19"/>
        </w:rPr>
        <w:t xml:space="preserve"> </w:t>
      </w:r>
      <w:r>
        <w:rPr>
          <w:rFonts w:ascii="Arial" w:hAnsi="Arial" w:eastAsia="Arial" w:cs="Arial"/>
          <w:spacing w:val="-6"/>
          <w:sz w:val="19"/>
          <w:szCs w:val="19"/>
        </w:rPr>
        <w:t>represents</w:t>
      </w:r>
      <w:r>
        <w:rPr>
          <w:rFonts w:ascii="Arial" w:hAnsi="Arial" w:eastAsia="Arial" w:cs="Arial"/>
          <w:spacing w:val="32"/>
          <w:sz w:val="19"/>
          <w:szCs w:val="19"/>
        </w:rPr>
        <w:t xml:space="preserve"> </w:t>
      </w:r>
      <w:r>
        <w:rPr>
          <w:rFonts w:ascii="Arial" w:hAnsi="Arial" w:eastAsia="Arial" w:cs="Arial"/>
          <w:spacing w:val="-6"/>
          <w:sz w:val="19"/>
          <w:szCs w:val="19"/>
        </w:rPr>
        <w:t>an</w:t>
      </w:r>
      <w:r>
        <w:rPr>
          <w:rFonts w:ascii="Arial" w:hAnsi="Arial" w:eastAsia="Arial" w:cs="Arial"/>
          <w:spacing w:val="38"/>
          <w:w w:val="101"/>
          <w:sz w:val="19"/>
          <w:szCs w:val="19"/>
        </w:rPr>
        <w:t xml:space="preserve"> </w:t>
      </w:r>
      <w:r>
        <w:rPr>
          <w:rFonts w:ascii="Arial" w:hAnsi="Arial" w:eastAsia="Arial" w:cs="Arial"/>
          <w:spacing w:val="-6"/>
          <w:sz w:val="19"/>
          <w:szCs w:val="19"/>
        </w:rPr>
        <w:t>innovative</w:t>
      </w:r>
      <w:r>
        <w:rPr>
          <w:rFonts w:ascii="Arial" w:hAnsi="Arial" w:eastAsia="Arial" w:cs="Arial"/>
          <w:spacing w:val="40"/>
          <w:sz w:val="19"/>
          <w:szCs w:val="19"/>
        </w:rPr>
        <w:t xml:space="preserve"> </w:t>
      </w:r>
      <w:r>
        <w:rPr>
          <w:rFonts w:ascii="Arial" w:hAnsi="Arial" w:eastAsia="Arial" w:cs="Arial"/>
          <w:spacing w:val="-6"/>
          <w:sz w:val="19"/>
          <w:szCs w:val="19"/>
        </w:rPr>
        <w:t>process,</w:t>
      </w:r>
      <w:r>
        <w:rPr>
          <w:rFonts w:ascii="Arial" w:hAnsi="Arial" w:eastAsia="Arial" w:cs="Arial"/>
          <w:spacing w:val="29"/>
          <w:w w:val="101"/>
          <w:sz w:val="19"/>
          <w:szCs w:val="19"/>
        </w:rPr>
        <w:t xml:space="preserve"> </w:t>
      </w:r>
      <w:r>
        <w:rPr>
          <w:rFonts w:ascii="Arial" w:hAnsi="Arial" w:eastAsia="Arial" w:cs="Arial"/>
          <w:spacing w:val="-6"/>
          <w:sz w:val="19"/>
          <w:szCs w:val="19"/>
        </w:rPr>
        <w:t>the</w:t>
      </w:r>
      <w:r>
        <w:rPr>
          <w:rFonts w:ascii="Arial" w:hAnsi="Arial" w:eastAsia="Arial" w:cs="Arial"/>
          <w:spacing w:val="33"/>
          <w:sz w:val="19"/>
          <w:szCs w:val="19"/>
        </w:rPr>
        <w:t xml:space="preserve"> </w:t>
      </w:r>
      <w:r>
        <w:rPr>
          <w:rFonts w:ascii="Arial" w:hAnsi="Arial" w:eastAsia="Arial" w:cs="Arial"/>
          <w:spacing w:val="-6"/>
          <w:sz w:val="19"/>
          <w:szCs w:val="19"/>
        </w:rPr>
        <w:t>assessment</w:t>
      </w:r>
      <w:r>
        <w:rPr>
          <w:rFonts w:ascii="Arial" w:hAnsi="Arial" w:eastAsia="Arial" w:cs="Arial"/>
          <w:spacing w:val="33"/>
          <w:sz w:val="19"/>
          <w:szCs w:val="19"/>
        </w:rPr>
        <w:t xml:space="preserve"> </w:t>
      </w:r>
      <w:r>
        <w:rPr>
          <w:rFonts w:ascii="Arial" w:hAnsi="Arial" w:eastAsia="Arial" w:cs="Arial"/>
          <w:spacing w:val="-6"/>
          <w:sz w:val="19"/>
          <w:szCs w:val="19"/>
        </w:rPr>
        <w:t>of</w:t>
      </w:r>
      <w:r>
        <w:rPr>
          <w:rFonts w:ascii="Arial" w:hAnsi="Arial" w:eastAsia="Arial" w:cs="Arial"/>
          <w:spacing w:val="31"/>
          <w:w w:val="101"/>
          <w:sz w:val="19"/>
          <w:szCs w:val="19"/>
        </w:rPr>
        <w:t xml:space="preserve"> </w:t>
      </w:r>
      <w:r>
        <w:rPr>
          <w:rFonts w:ascii="Arial" w:hAnsi="Arial" w:eastAsia="Arial" w:cs="Arial"/>
          <w:spacing w:val="-6"/>
          <w:sz w:val="19"/>
          <w:szCs w:val="19"/>
        </w:rPr>
        <w:t>potential</w:t>
      </w:r>
      <w:r>
        <w:rPr>
          <w:rFonts w:ascii="Arial" w:hAnsi="Arial" w:eastAsia="Arial" w:cs="Arial"/>
          <w:spacing w:val="34"/>
          <w:sz w:val="19"/>
          <w:szCs w:val="19"/>
        </w:rPr>
        <w:t xml:space="preserve"> </w:t>
      </w:r>
      <w:r>
        <w:rPr>
          <w:rFonts w:ascii="Arial" w:hAnsi="Arial" w:eastAsia="Arial" w:cs="Arial"/>
          <w:spacing w:val="-6"/>
          <w:sz w:val="19"/>
          <w:szCs w:val="19"/>
        </w:rPr>
        <w:t>outcome</w:t>
      </w:r>
      <w:r>
        <w:rPr>
          <w:rFonts w:ascii="Arial" w:hAnsi="Arial" w:eastAsia="Arial" w:cs="Arial"/>
          <w:sz w:val="19"/>
          <w:szCs w:val="19"/>
        </w:rPr>
        <w:t xml:space="preserve"> </w:t>
      </w:r>
      <w:r>
        <w:rPr>
          <w:rFonts w:ascii="Arial" w:hAnsi="Arial" w:eastAsia="Arial" w:cs="Arial"/>
          <w:spacing w:val="-6"/>
          <w:sz w:val="19"/>
          <w:szCs w:val="19"/>
        </w:rPr>
        <w:t>measures</w:t>
      </w:r>
      <w:r>
        <w:rPr>
          <w:rFonts w:ascii="Arial" w:hAnsi="Arial" w:eastAsia="Arial" w:cs="Arial"/>
          <w:spacing w:val="33"/>
          <w:sz w:val="19"/>
          <w:szCs w:val="19"/>
        </w:rPr>
        <w:t xml:space="preserve"> </w:t>
      </w:r>
      <w:r>
        <w:rPr>
          <w:rFonts w:ascii="Arial" w:hAnsi="Arial" w:eastAsia="Arial" w:cs="Arial"/>
          <w:spacing w:val="-6"/>
          <w:sz w:val="19"/>
          <w:szCs w:val="19"/>
        </w:rPr>
        <w:t>was</w:t>
      </w:r>
      <w:r>
        <w:rPr>
          <w:rFonts w:ascii="Arial" w:hAnsi="Arial" w:eastAsia="Arial" w:cs="Arial"/>
          <w:spacing w:val="36"/>
          <w:w w:val="101"/>
          <w:sz w:val="19"/>
          <w:szCs w:val="19"/>
        </w:rPr>
        <w:t xml:space="preserve"> </w:t>
      </w:r>
      <w:r>
        <w:rPr>
          <w:rFonts w:ascii="Arial" w:hAnsi="Arial" w:eastAsia="Arial" w:cs="Arial"/>
          <w:spacing w:val="-6"/>
          <w:sz w:val="19"/>
          <w:szCs w:val="19"/>
        </w:rPr>
        <w:t>explorative</w:t>
      </w:r>
      <w:r>
        <w:rPr>
          <w:rFonts w:ascii="Arial" w:hAnsi="Arial" w:eastAsia="Arial" w:cs="Arial"/>
          <w:spacing w:val="41"/>
          <w:w w:val="101"/>
          <w:sz w:val="19"/>
          <w:szCs w:val="19"/>
        </w:rPr>
        <w:t xml:space="preserve"> </w:t>
      </w:r>
      <w:r>
        <w:rPr>
          <w:rFonts w:ascii="Arial" w:hAnsi="Arial" w:eastAsia="Arial" w:cs="Arial"/>
          <w:spacing w:val="-6"/>
          <w:sz w:val="19"/>
          <w:szCs w:val="19"/>
        </w:rPr>
        <w:t>in</w:t>
      </w:r>
      <w:r>
        <w:rPr>
          <w:rFonts w:ascii="Arial" w:hAnsi="Arial" w:eastAsia="Arial" w:cs="Arial"/>
          <w:spacing w:val="42"/>
          <w:sz w:val="19"/>
          <w:szCs w:val="19"/>
        </w:rPr>
        <w:t xml:space="preserve"> </w:t>
      </w:r>
      <w:r>
        <w:rPr>
          <w:rFonts w:ascii="Arial" w:hAnsi="Arial" w:eastAsia="Arial" w:cs="Arial"/>
          <w:spacing w:val="-6"/>
          <w:sz w:val="19"/>
          <w:szCs w:val="19"/>
        </w:rPr>
        <w:t>nature.</w:t>
      </w:r>
      <w:r>
        <w:rPr>
          <w:rFonts w:ascii="Arial" w:hAnsi="Arial" w:eastAsia="Arial" w:cs="Arial"/>
          <w:spacing w:val="43"/>
          <w:sz w:val="19"/>
          <w:szCs w:val="19"/>
        </w:rPr>
        <w:t xml:space="preserve"> </w:t>
      </w:r>
      <w:r>
        <w:rPr>
          <w:rFonts w:ascii="Arial" w:hAnsi="Arial" w:eastAsia="Arial" w:cs="Arial"/>
          <w:spacing w:val="-6"/>
          <w:sz w:val="19"/>
          <w:szCs w:val="19"/>
        </w:rPr>
        <w:t>However,</w:t>
      </w:r>
      <w:r>
        <w:rPr>
          <w:rFonts w:ascii="Arial" w:hAnsi="Arial" w:eastAsia="Arial" w:cs="Arial"/>
          <w:spacing w:val="36"/>
          <w:sz w:val="19"/>
          <w:szCs w:val="19"/>
        </w:rPr>
        <w:t xml:space="preserve"> </w:t>
      </w:r>
      <w:r>
        <w:rPr>
          <w:rFonts w:ascii="Arial" w:hAnsi="Arial" w:eastAsia="Arial" w:cs="Arial"/>
          <w:spacing w:val="-6"/>
          <w:sz w:val="19"/>
          <w:szCs w:val="19"/>
        </w:rPr>
        <w:t>our</w:t>
      </w:r>
      <w:r>
        <w:rPr>
          <w:rFonts w:ascii="Arial" w:hAnsi="Arial" w:eastAsia="Arial" w:cs="Arial"/>
          <w:spacing w:val="42"/>
          <w:w w:val="101"/>
          <w:sz w:val="19"/>
          <w:szCs w:val="19"/>
        </w:rPr>
        <w:t xml:space="preserve"> </w:t>
      </w:r>
      <w:r>
        <w:rPr>
          <w:rFonts w:ascii="Arial" w:hAnsi="Arial" w:eastAsia="Arial" w:cs="Arial"/>
          <w:spacing w:val="-6"/>
          <w:sz w:val="19"/>
          <w:szCs w:val="19"/>
        </w:rPr>
        <w:t>liter</w:t>
      </w:r>
      <w:r>
        <w:rPr>
          <w:rFonts w:ascii="Arial" w:hAnsi="Arial" w:eastAsia="Arial" w:cs="Arial"/>
          <w:spacing w:val="-7"/>
          <w:sz w:val="19"/>
          <w:szCs w:val="19"/>
        </w:rPr>
        <w:t>ature</w:t>
      </w:r>
      <w:r>
        <w:rPr>
          <w:rFonts w:ascii="Arial" w:hAnsi="Arial" w:eastAsia="Arial" w:cs="Arial"/>
          <w:spacing w:val="42"/>
          <w:w w:val="101"/>
          <w:sz w:val="19"/>
          <w:szCs w:val="19"/>
        </w:rPr>
        <w:t xml:space="preserve"> </w:t>
      </w:r>
      <w:r>
        <w:rPr>
          <w:rFonts w:ascii="Arial" w:hAnsi="Arial" w:eastAsia="Arial" w:cs="Arial"/>
          <w:spacing w:val="-7"/>
          <w:sz w:val="19"/>
          <w:szCs w:val="19"/>
        </w:rPr>
        <w:t>review</w:t>
      </w:r>
      <w:r>
        <w:rPr>
          <w:rFonts w:ascii="Arial" w:hAnsi="Arial" w:eastAsia="Arial" w:cs="Arial"/>
          <w:spacing w:val="35"/>
          <w:sz w:val="19"/>
          <w:szCs w:val="19"/>
        </w:rPr>
        <w:t xml:space="preserve"> </w:t>
      </w:r>
      <w:r>
        <w:rPr>
          <w:rFonts w:ascii="Arial" w:hAnsi="Arial" w:eastAsia="Arial" w:cs="Arial"/>
          <w:spacing w:val="-7"/>
          <w:sz w:val="19"/>
          <w:szCs w:val="19"/>
        </w:rPr>
        <w:t>and</w:t>
      </w:r>
      <w:r>
        <w:rPr>
          <w:rFonts w:ascii="Arial" w:hAnsi="Arial" w:eastAsia="Arial" w:cs="Arial"/>
          <w:spacing w:val="42"/>
          <w:sz w:val="19"/>
          <w:szCs w:val="19"/>
        </w:rPr>
        <w:t xml:space="preserve"> </w:t>
      </w:r>
      <w:r>
        <w:rPr>
          <w:rFonts w:ascii="Arial" w:hAnsi="Arial" w:eastAsia="Arial" w:cs="Arial"/>
          <w:spacing w:val="-7"/>
          <w:sz w:val="19"/>
          <w:szCs w:val="19"/>
        </w:rPr>
        <w:t>rationale</w:t>
      </w:r>
      <w:r>
        <w:rPr>
          <w:rFonts w:ascii="Arial" w:hAnsi="Arial" w:eastAsia="Arial" w:cs="Arial"/>
          <w:spacing w:val="35"/>
          <w:w w:val="101"/>
          <w:sz w:val="19"/>
          <w:szCs w:val="19"/>
        </w:rPr>
        <w:t xml:space="preserve"> </w:t>
      </w:r>
      <w:r>
        <w:rPr>
          <w:rFonts w:ascii="Arial" w:hAnsi="Arial" w:eastAsia="Arial" w:cs="Arial"/>
          <w:spacing w:val="-7"/>
          <w:sz w:val="19"/>
          <w:szCs w:val="19"/>
        </w:rPr>
        <w:t>considerations</w:t>
      </w:r>
    </w:p>
    <w:p>
      <w:pPr>
        <w:spacing w:line="252" w:lineRule="auto"/>
        <w:rPr>
          <w:rFonts w:ascii="Arial" w:hAnsi="Arial" w:eastAsia="Arial" w:cs="Arial"/>
          <w:sz w:val="19"/>
          <w:szCs w:val="19"/>
        </w:rPr>
        <w:sectPr>
          <w:pgSz w:w="9865" w:h="14060"/>
          <w:pgMar w:top="400" w:right="952" w:bottom="400" w:left="952" w:header="0" w:footer="0" w:gutter="0"/>
          <w:cols w:space="720" w:num="1"/>
        </w:sectPr>
      </w:pPr>
    </w:p>
    <w:p>
      <w:pPr>
        <w:spacing w:before="103"/>
        <w:ind w:left="5"/>
        <w:rPr>
          <w:rFonts w:ascii="Arial" w:hAnsi="Arial" w:eastAsia="Arial" w:cs="Arial"/>
          <w:sz w:val="14"/>
          <w:szCs w:val="14"/>
        </w:rPr>
      </w:pPr>
      <w:r>
        <w:rPr>
          <w:rFonts w:ascii="Arial" w:hAnsi="Arial" w:eastAsia="Arial" w:cs="Arial"/>
          <w:spacing w:val="-6"/>
          <w:sz w:val="14"/>
          <w:szCs w:val="14"/>
        </w:rPr>
        <w:t xml:space="preserve">8    </w:t>
      </w:r>
      <w:r>
        <w:rPr>
          <w:position w:val="-6"/>
          <w:sz w:val="14"/>
          <w:szCs w:val="14"/>
        </w:rPr>
        <w:drawing>
          <wp:inline distT="0" distB="0" distL="0" distR="0">
            <wp:extent cx="139700" cy="13970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38"/>
                    <a:stretch>
                      <a:fillRect/>
                    </a:stretch>
                  </pic:blipFill>
                  <pic:spPr>
                    <a:xfrm>
                      <a:off x="0" y="0"/>
                      <a:ext cx="139700" cy="139700"/>
                    </a:xfrm>
                    <a:prstGeom prst="rect">
                      <a:avLst/>
                    </a:prstGeom>
                  </pic:spPr>
                </pic:pic>
              </a:graphicData>
            </a:graphic>
          </wp:inline>
        </w:drawing>
      </w:r>
      <w:r>
        <w:rPr>
          <w:rFonts w:ascii="Arial" w:hAnsi="Arial" w:eastAsia="Arial" w:cs="Arial"/>
          <w:spacing w:val="12"/>
          <w:w w:val="102"/>
          <w:sz w:val="14"/>
          <w:szCs w:val="14"/>
        </w:rPr>
        <w:t xml:space="preserve">   </w:t>
      </w:r>
      <w:r>
        <w:rPr>
          <w:rFonts w:ascii="Arial" w:hAnsi="Arial" w:eastAsia="Arial" w:cs="Arial"/>
          <w:spacing w:val="-6"/>
          <w:sz w:val="14"/>
          <w:szCs w:val="14"/>
        </w:rPr>
        <w:t>C.</w:t>
      </w:r>
      <w:r>
        <w:rPr>
          <w:rFonts w:ascii="Arial" w:hAnsi="Arial" w:eastAsia="Arial" w:cs="Arial"/>
          <w:spacing w:val="11"/>
          <w:w w:val="101"/>
          <w:sz w:val="14"/>
          <w:szCs w:val="14"/>
        </w:rPr>
        <w:t xml:space="preserve"> </w:t>
      </w:r>
      <w:r>
        <w:rPr>
          <w:rFonts w:ascii="Arial" w:hAnsi="Arial" w:eastAsia="Arial" w:cs="Arial"/>
          <w:spacing w:val="-6"/>
          <w:sz w:val="14"/>
          <w:szCs w:val="14"/>
        </w:rPr>
        <w:t>HILDESHEIM AND</w:t>
      </w:r>
      <w:r>
        <w:rPr>
          <w:rFonts w:ascii="Arial" w:hAnsi="Arial" w:eastAsia="Arial" w:cs="Arial"/>
          <w:spacing w:val="11"/>
          <w:w w:val="101"/>
          <w:sz w:val="14"/>
          <w:szCs w:val="14"/>
        </w:rPr>
        <w:t xml:space="preserve"> </w:t>
      </w:r>
      <w:r>
        <w:rPr>
          <w:rFonts w:ascii="Arial" w:hAnsi="Arial" w:eastAsia="Arial" w:cs="Arial"/>
          <w:spacing w:val="-6"/>
          <w:sz w:val="14"/>
          <w:szCs w:val="14"/>
        </w:rPr>
        <w:t>K.</w:t>
      </w:r>
      <w:r>
        <w:rPr>
          <w:rFonts w:ascii="Arial" w:hAnsi="Arial" w:eastAsia="Arial" w:cs="Arial"/>
          <w:spacing w:val="6"/>
          <w:sz w:val="14"/>
          <w:szCs w:val="14"/>
        </w:rPr>
        <w:t xml:space="preserve"> </w:t>
      </w:r>
      <w:r>
        <w:rPr>
          <w:rFonts w:ascii="Arial" w:hAnsi="Arial" w:eastAsia="Arial" w:cs="Arial"/>
          <w:spacing w:val="-6"/>
          <w:sz w:val="14"/>
          <w:szCs w:val="14"/>
        </w:rPr>
        <w:t>SONNTAG</w:t>
      </w:r>
    </w:p>
    <w:p>
      <w:pPr>
        <w:spacing w:line="248" w:lineRule="auto"/>
        <w:rPr>
          <w:rFonts w:ascii="Arial"/>
          <w:sz w:val="21"/>
        </w:rPr>
      </w:pPr>
    </w:p>
    <w:p>
      <w:pPr>
        <w:spacing w:before="54" w:line="260" w:lineRule="auto"/>
        <w:ind w:left="7" w:right="6"/>
        <w:jc w:val="both"/>
        <w:rPr>
          <w:rFonts w:ascii="Arial" w:hAnsi="Arial" w:eastAsia="Arial" w:cs="Arial"/>
          <w:sz w:val="19"/>
          <w:szCs w:val="19"/>
        </w:rPr>
      </w:pPr>
      <w:r>
        <w:rPr>
          <w:rFonts w:ascii="Arial" w:hAnsi="Arial" w:eastAsia="Arial" w:cs="Arial"/>
          <w:spacing w:val="-6"/>
          <w:sz w:val="19"/>
          <w:szCs w:val="19"/>
        </w:rPr>
        <w:t>give</w:t>
      </w:r>
      <w:r>
        <w:rPr>
          <w:rFonts w:ascii="Arial" w:hAnsi="Arial" w:eastAsia="Arial" w:cs="Arial"/>
          <w:spacing w:val="22"/>
          <w:w w:val="101"/>
          <w:sz w:val="19"/>
          <w:szCs w:val="19"/>
        </w:rPr>
        <w:t xml:space="preserve"> </w:t>
      </w:r>
      <w:r>
        <w:rPr>
          <w:rFonts w:ascii="Arial" w:hAnsi="Arial" w:eastAsia="Arial" w:cs="Arial"/>
          <w:spacing w:val="-6"/>
          <w:sz w:val="19"/>
          <w:szCs w:val="19"/>
        </w:rPr>
        <w:t>weight</w:t>
      </w:r>
      <w:r>
        <w:rPr>
          <w:rFonts w:ascii="Arial" w:hAnsi="Arial" w:eastAsia="Arial" w:cs="Arial"/>
          <w:spacing w:val="22"/>
          <w:w w:val="101"/>
          <w:sz w:val="19"/>
          <w:szCs w:val="19"/>
        </w:rPr>
        <w:t xml:space="preserve"> </w:t>
      </w:r>
      <w:r>
        <w:rPr>
          <w:rFonts w:ascii="Arial" w:hAnsi="Arial" w:eastAsia="Arial" w:cs="Arial"/>
          <w:spacing w:val="-6"/>
          <w:sz w:val="19"/>
          <w:szCs w:val="19"/>
        </w:rPr>
        <w:t>to</w:t>
      </w:r>
      <w:r>
        <w:rPr>
          <w:rFonts w:ascii="Arial" w:hAnsi="Arial" w:eastAsia="Arial" w:cs="Arial"/>
          <w:spacing w:val="26"/>
          <w:w w:val="101"/>
          <w:sz w:val="19"/>
          <w:szCs w:val="19"/>
        </w:rPr>
        <w:t xml:space="preserve"> </w:t>
      </w:r>
      <w:r>
        <w:rPr>
          <w:rFonts w:ascii="Arial" w:hAnsi="Arial" w:eastAsia="Arial" w:cs="Arial"/>
          <w:spacing w:val="-6"/>
          <w:sz w:val="19"/>
          <w:szCs w:val="19"/>
        </w:rPr>
        <w:t>several</w:t>
      </w:r>
      <w:r>
        <w:rPr>
          <w:rFonts w:ascii="Arial" w:hAnsi="Arial" w:eastAsia="Arial" w:cs="Arial"/>
          <w:spacing w:val="25"/>
          <w:w w:val="101"/>
          <w:sz w:val="19"/>
          <w:szCs w:val="19"/>
        </w:rPr>
        <w:t xml:space="preserve"> </w:t>
      </w:r>
      <w:r>
        <w:rPr>
          <w:rFonts w:ascii="Arial" w:hAnsi="Arial" w:eastAsia="Arial" w:cs="Arial"/>
          <w:spacing w:val="-6"/>
          <w:sz w:val="19"/>
          <w:szCs w:val="19"/>
        </w:rPr>
        <w:t>assumptions</w:t>
      </w:r>
      <w:r>
        <w:rPr>
          <w:rFonts w:ascii="Arial" w:hAnsi="Arial" w:eastAsia="Arial" w:cs="Arial"/>
          <w:spacing w:val="28"/>
          <w:w w:val="101"/>
          <w:sz w:val="19"/>
          <w:szCs w:val="19"/>
        </w:rPr>
        <w:t xml:space="preserve"> </w:t>
      </w:r>
      <w:r>
        <w:rPr>
          <w:rFonts w:ascii="Arial" w:hAnsi="Arial" w:eastAsia="Arial" w:cs="Arial"/>
          <w:spacing w:val="-6"/>
          <w:sz w:val="19"/>
          <w:szCs w:val="19"/>
        </w:rPr>
        <w:t>concerning</w:t>
      </w:r>
      <w:r>
        <w:rPr>
          <w:rFonts w:ascii="Arial" w:hAnsi="Arial" w:eastAsia="Arial" w:cs="Arial"/>
          <w:spacing w:val="33"/>
          <w:sz w:val="19"/>
          <w:szCs w:val="19"/>
        </w:rPr>
        <w:t xml:space="preserve"> </w:t>
      </w:r>
      <w:r>
        <w:rPr>
          <w:rFonts w:ascii="Arial" w:hAnsi="Arial" w:eastAsia="Arial" w:cs="Arial"/>
          <w:spacing w:val="-6"/>
          <w:sz w:val="19"/>
          <w:szCs w:val="19"/>
        </w:rPr>
        <w:t>relevant</w:t>
      </w:r>
      <w:r>
        <w:rPr>
          <w:rFonts w:ascii="Arial" w:hAnsi="Arial" w:eastAsia="Arial" w:cs="Arial"/>
          <w:spacing w:val="27"/>
          <w:sz w:val="19"/>
          <w:szCs w:val="19"/>
        </w:rPr>
        <w:t xml:space="preserve"> </w:t>
      </w:r>
      <w:r>
        <w:rPr>
          <w:rFonts w:ascii="Arial" w:hAnsi="Arial" w:eastAsia="Arial" w:cs="Arial"/>
          <w:spacing w:val="-6"/>
          <w:sz w:val="19"/>
          <w:szCs w:val="19"/>
        </w:rPr>
        <w:t>dependent</w:t>
      </w:r>
      <w:r>
        <w:rPr>
          <w:rFonts w:ascii="Arial" w:hAnsi="Arial" w:eastAsia="Arial" w:cs="Arial"/>
          <w:spacing w:val="22"/>
          <w:sz w:val="19"/>
          <w:szCs w:val="19"/>
        </w:rPr>
        <w:t xml:space="preserve"> </w:t>
      </w:r>
      <w:r>
        <w:rPr>
          <w:rFonts w:ascii="Arial" w:hAnsi="Arial" w:eastAsia="Arial" w:cs="Arial"/>
          <w:spacing w:val="-6"/>
          <w:sz w:val="19"/>
          <w:szCs w:val="19"/>
        </w:rPr>
        <w:t>variables</w:t>
      </w:r>
      <w:r>
        <w:rPr>
          <w:rFonts w:ascii="Arial" w:hAnsi="Arial" w:eastAsia="Arial" w:cs="Arial"/>
          <w:spacing w:val="30"/>
          <w:w w:val="101"/>
          <w:sz w:val="19"/>
          <w:szCs w:val="19"/>
        </w:rPr>
        <w:t xml:space="preserve"> </w:t>
      </w:r>
      <w:r>
        <w:rPr>
          <w:rFonts w:ascii="Arial" w:hAnsi="Arial" w:eastAsia="Arial" w:cs="Arial"/>
          <w:spacing w:val="-6"/>
          <w:sz w:val="19"/>
          <w:szCs w:val="19"/>
        </w:rPr>
        <w:t>(Sattler</w:t>
      </w:r>
      <w:r>
        <w:rPr>
          <w:rFonts w:ascii="Arial" w:hAnsi="Arial" w:eastAsia="Arial" w:cs="Arial"/>
          <w:spacing w:val="26"/>
          <w:sz w:val="19"/>
          <w:szCs w:val="19"/>
        </w:rPr>
        <w:t xml:space="preserve"> </w:t>
      </w:r>
      <w:r>
        <w:rPr>
          <w:rFonts w:ascii="Arial" w:hAnsi="Arial" w:eastAsia="Arial" w:cs="Arial"/>
          <w:spacing w:val="-6"/>
          <w:sz w:val="19"/>
          <w:szCs w:val="19"/>
        </w:rPr>
        <w:t>et</w:t>
      </w:r>
      <w:r>
        <w:rPr>
          <w:rFonts w:ascii="Arial" w:hAnsi="Arial" w:eastAsia="Arial" w:cs="Arial"/>
          <w:spacing w:val="25"/>
          <w:w w:val="101"/>
          <w:sz w:val="19"/>
          <w:szCs w:val="19"/>
        </w:rPr>
        <w:t xml:space="preserve"> </w:t>
      </w:r>
      <w:r>
        <w:rPr>
          <w:rFonts w:ascii="Arial" w:hAnsi="Arial" w:eastAsia="Arial" w:cs="Arial"/>
          <w:spacing w:val="-6"/>
          <w:sz w:val="19"/>
          <w:szCs w:val="19"/>
        </w:rPr>
        <w:t>al.</w:t>
      </w:r>
      <w:r>
        <w:rPr>
          <w:rFonts w:ascii="Arial" w:hAnsi="Arial" w:eastAsia="Arial" w:cs="Arial"/>
          <w:spacing w:val="18"/>
          <w:w w:val="101"/>
          <w:sz w:val="19"/>
          <w:szCs w:val="19"/>
        </w:rPr>
        <w:t xml:space="preserve"> </w:t>
      </w:r>
      <w:r>
        <w:fldChar w:fldCharType="begin"/>
      </w:r>
      <w:r>
        <w:instrText xml:space="preserve"> HYPERLINK \l "bookmark81" </w:instrText>
      </w:r>
      <w:r>
        <w:fldChar w:fldCharType="separate"/>
      </w:r>
      <w:r>
        <w:rPr>
          <w:rFonts w:ascii="Arial" w:hAnsi="Arial" w:eastAsia="Arial" w:cs="Arial"/>
          <w:color w:val="000084"/>
          <w:spacing w:val="-7"/>
          <w:sz w:val="19"/>
          <w:szCs w:val="19"/>
        </w:rPr>
        <w:t>2013</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z w:val="19"/>
          <w:szCs w:val="19"/>
        </w:rPr>
        <w:t xml:space="preserve"> </w:t>
      </w:r>
      <w:r>
        <w:rPr>
          <w:rFonts w:ascii="Arial" w:hAnsi="Arial" w:eastAsia="Arial" w:cs="Arial"/>
          <w:spacing w:val="-6"/>
          <w:sz w:val="19"/>
          <w:szCs w:val="19"/>
        </w:rPr>
        <w:t>First,</w:t>
      </w:r>
      <w:r>
        <w:rPr>
          <w:rFonts w:ascii="Arial" w:hAnsi="Arial" w:eastAsia="Arial" w:cs="Arial"/>
          <w:spacing w:val="18"/>
          <w:w w:val="101"/>
          <w:sz w:val="19"/>
          <w:szCs w:val="19"/>
        </w:rPr>
        <w:t xml:space="preserve"> </w:t>
      </w:r>
      <w:r>
        <w:rPr>
          <w:rFonts w:ascii="Arial" w:hAnsi="Arial" w:eastAsia="Arial" w:cs="Arial"/>
          <w:spacing w:val="-6"/>
          <w:sz w:val="19"/>
          <w:szCs w:val="19"/>
        </w:rPr>
        <w:t>higher</w:t>
      </w:r>
      <w:r>
        <w:rPr>
          <w:rFonts w:ascii="Arial" w:hAnsi="Arial" w:eastAsia="Arial" w:cs="Arial"/>
          <w:spacing w:val="11"/>
          <w:sz w:val="19"/>
          <w:szCs w:val="19"/>
        </w:rPr>
        <w:t xml:space="preserve"> </w:t>
      </w:r>
      <w:r>
        <w:rPr>
          <w:rFonts w:ascii="Arial" w:hAnsi="Arial" w:eastAsia="Arial" w:cs="Arial"/>
          <w:spacing w:val="-6"/>
          <w:sz w:val="19"/>
          <w:szCs w:val="19"/>
        </w:rPr>
        <w:t>scores</w:t>
      </w:r>
      <w:r>
        <w:rPr>
          <w:rFonts w:ascii="Arial" w:hAnsi="Arial" w:eastAsia="Arial" w:cs="Arial"/>
          <w:spacing w:val="11"/>
          <w:sz w:val="19"/>
          <w:szCs w:val="19"/>
        </w:rPr>
        <w:t xml:space="preserve"> </w:t>
      </w:r>
      <w:r>
        <w:rPr>
          <w:rFonts w:ascii="Arial" w:hAnsi="Arial" w:eastAsia="Arial" w:cs="Arial"/>
          <w:spacing w:val="-6"/>
          <w:sz w:val="19"/>
          <w:szCs w:val="19"/>
        </w:rPr>
        <w:t>on the</w:t>
      </w:r>
      <w:r>
        <w:rPr>
          <w:rFonts w:ascii="Arial" w:hAnsi="Arial" w:eastAsia="Arial" w:cs="Arial"/>
          <w:spacing w:val="11"/>
          <w:sz w:val="19"/>
          <w:szCs w:val="19"/>
        </w:rPr>
        <w:t xml:space="preserve"> </w:t>
      </w:r>
      <w:r>
        <w:rPr>
          <w:rFonts w:ascii="Arial" w:hAnsi="Arial" w:eastAsia="Arial" w:cs="Arial"/>
          <w:spacing w:val="-6"/>
          <w:sz w:val="19"/>
          <w:szCs w:val="19"/>
        </w:rPr>
        <w:t>QCI</w:t>
      </w:r>
      <w:r>
        <w:rPr>
          <w:rFonts w:ascii="Arial" w:hAnsi="Arial" w:eastAsia="Arial" w:cs="Arial"/>
          <w:spacing w:val="10"/>
          <w:sz w:val="19"/>
          <w:szCs w:val="19"/>
        </w:rPr>
        <w:t xml:space="preserve"> </w:t>
      </w:r>
      <w:r>
        <w:rPr>
          <w:rFonts w:ascii="Arial" w:hAnsi="Arial" w:eastAsia="Arial" w:cs="Arial"/>
          <w:spacing w:val="-6"/>
          <w:sz w:val="19"/>
          <w:szCs w:val="19"/>
        </w:rPr>
        <w:t>dimensions</w:t>
      </w:r>
      <w:r>
        <w:rPr>
          <w:rFonts w:ascii="Arial" w:hAnsi="Arial" w:eastAsia="Arial" w:cs="Arial"/>
          <w:spacing w:val="11"/>
          <w:sz w:val="19"/>
          <w:szCs w:val="19"/>
        </w:rPr>
        <w:t xml:space="preserve"> </w:t>
      </w:r>
      <w:r>
        <w:rPr>
          <w:rFonts w:ascii="Arial" w:hAnsi="Arial" w:eastAsia="Arial" w:cs="Arial"/>
          <w:spacing w:val="-6"/>
          <w:sz w:val="19"/>
          <w:szCs w:val="19"/>
        </w:rPr>
        <w:t>should</w:t>
      </w:r>
      <w:r>
        <w:rPr>
          <w:rFonts w:ascii="Arial" w:hAnsi="Arial" w:eastAsia="Arial" w:cs="Arial"/>
          <w:spacing w:val="15"/>
          <w:w w:val="101"/>
          <w:sz w:val="19"/>
          <w:szCs w:val="19"/>
        </w:rPr>
        <w:t xml:space="preserve"> </w:t>
      </w:r>
      <w:r>
        <w:rPr>
          <w:rFonts w:ascii="Arial" w:hAnsi="Arial" w:eastAsia="Arial" w:cs="Arial"/>
          <w:spacing w:val="-6"/>
          <w:sz w:val="19"/>
          <w:szCs w:val="19"/>
        </w:rPr>
        <w:t>be</w:t>
      </w:r>
      <w:r>
        <w:rPr>
          <w:rFonts w:ascii="Arial" w:hAnsi="Arial" w:eastAsia="Arial" w:cs="Arial"/>
          <w:spacing w:val="16"/>
          <w:sz w:val="19"/>
          <w:szCs w:val="19"/>
        </w:rPr>
        <w:t xml:space="preserve"> </w:t>
      </w:r>
      <w:r>
        <w:rPr>
          <w:rFonts w:ascii="Arial" w:hAnsi="Arial" w:eastAsia="Arial" w:cs="Arial"/>
          <w:spacing w:val="-6"/>
          <w:sz w:val="19"/>
          <w:szCs w:val="19"/>
        </w:rPr>
        <w:t>related to</w:t>
      </w:r>
      <w:r>
        <w:rPr>
          <w:rFonts w:ascii="Arial" w:hAnsi="Arial" w:eastAsia="Arial" w:cs="Arial"/>
          <w:spacing w:val="10"/>
          <w:sz w:val="19"/>
          <w:szCs w:val="19"/>
        </w:rPr>
        <w:t xml:space="preserve"> </w:t>
      </w:r>
      <w:r>
        <w:rPr>
          <w:rFonts w:ascii="Arial" w:hAnsi="Arial" w:eastAsia="Arial" w:cs="Arial"/>
          <w:spacing w:val="-6"/>
          <w:sz w:val="19"/>
          <w:szCs w:val="19"/>
        </w:rPr>
        <w:t>a</w:t>
      </w:r>
      <w:r>
        <w:rPr>
          <w:rFonts w:ascii="Arial" w:hAnsi="Arial" w:eastAsia="Arial" w:cs="Arial"/>
          <w:spacing w:val="15"/>
          <w:w w:val="101"/>
          <w:sz w:val="19"/>
          <w:szCs w:val="19"/>
        </w:rPr>
        <w:t xml:space="preserve"> </w:t>
      </w:r>
      <w:r>
        <w:rPr>
          <w:rFonts w:ascii="Arial" w:hAnsi="Arial" w:eastAsia="Arial" w:cs="Arial"/>
          <w:spacing w:val="-6"/>
          <w:sz w:val="19"/>
          <w:szCs w:val="19"/>
        </w:rPr>
        <w:t>more</w:t>
      </w:r>
      <w:r>
        <w:rPr>
          <w:rFonts w:ascii="Arial" w:hAnsi="Arial" w:eastAsia="Arial" w:cs="Arial"/>
          <w:spacing w:val="-7"/>
          <w:sz w:val="19"/>
          <w:szCs w:val="19"/>
        </w:rPr>
        <w:t xml:space="preserve"> favorable</w:t>
      </w:r>
      <w:r>
        <w:rPr>
          <w:rFonts w:ascii="Arial" w:hAnsi="Arial" w:eastAsia="Arial" w:cs="Arial"/>
          <w:spacing w:val="9"/>
          <w:sz w:val="19"/>
          <w:szCs w:val="19"/>
        </w:rPr>
        <w:t xml:space="preserve"> </w:t>
      </w:r>
      <w:r>
        <w:rPr>
          <w:rFonts w:ascii="Arial" w:hAnsi="Arial" w:eastAsia="Arial" w:cs="Arial"/>
          <w:spacing w:val="-7"/>
          <w:sz w:val="19"/>
          <w:szCs w:val="19"/>
        </w:rPr>
        <w:t>overall</w:t>
      </w:r>
      <w:r>
        <w:rPr>
          <w:rFonts w:ascii="Arial" w:hAnsi="Arial" w:eastAsia="Arial" w:cs="Arial"/>
          <w:spacing w:val="12"/>
          <w:sz w:val="19"/>
          <w:szCs w:val="19"/>
        </w:rPr>
        <w:t xml:space="preserve"> </w:t>
      </w:r>
      <w:r>
        <w:rPr>
          <w:rFonts w:ascii="Arial" w:hAnsi="Arial" w:eastAsia="Arial" w:cs="Arial"/>
          <w:spacing w:val="-7"/>
          <w:sz w:val="19"/>
          <w:szCs w:val="19"/>
        </w:rPr>
        <w:t>evaluation</w:t>
      </w:r>
      <w:r>
        <w:rPr>
          <w:rFonts w:ascii="Arial" w:hAnsi="Arial" w:eastAsia="Arial" w:cs="Arial"/>
          <w:sz w:val="19"/>
          <w:szCs w:val="19"/>
        </w:rPr>
        <w:t xml:space="preserve"> </w:t>
      </w:r>
      <w:r>
        <w:rPr>
          <w:rFonts w:ascii="Arial" w:hAnsi="Arial" w:eastAsia="Arial" w:cs="Arial"/>
          <w:spacing w:val="-4"/>
          <w:sz w:val="19"/>
          <w:szCs w:val="19"/>
        </w:rPr>
        <w:t>of the</w:t>
      </w:r>
      <w:r>
        <w:rPr>
          <w:rFonts w:ascii="Arial" w:hAnsi="Arial" w:eastAsia="Arial" w:cs="Arial"/>
          <w:spacing w:val="22"/>
          <w:sz w:val="19"/>
          <w:szCs w:val="19"/>
        </w:rPr>
        <w:t xml:space="preserve"> </w:t>
      </w:r>
      <w:r>
        <w:rPr>
          <w:rFonts w:ascii="Arial" w:hAnsi="Arial" w:eastAsia="Arial" w:cs="Arial"/>
          <w:spacing w:val="-4"/>
          <w:sz w:val="19"/>
          <w:szCs w:val="19"/>
        </w:rPr>
        <w:t>institution’s</w:t>
      </w:r>
      <w:r>
        <w:rPr>
          <w:rFonts w:ascii="Arial" w:hAnsi="Arial" w:eastAsia="Arial" w:cs="Arial"/>
          <w:spacing w:val="15"/>
          <w:sz w:val="19"/>
          <w:szCs w:val="19"/>
        </w:rPr>
        <w:t xml:space="preserve"> </w:t>
      </w:r>
      <w:r>
        <w:rPr>
          <w:rFonts w:ascii="Arial" w:hAnsi="Arial" w:eastAsia="Arial" w:cs="Arial"/>
          <w:spacing w:val="-4"/>
          <w:sz w:val="19"/>
          <w:szCs w:val="19"/>
        </w:rPr>
        <w:t>quality</w:t>
      </w:r>
      <w:r>
        <w:rPr>
          <w:rFonts w:ascii="Arial" w:hAnsi="Arial" w:eastAsia="Arial" w:cs="Arial"/>
          <w:spacing w:val="18"/>
          <w:sz w:val="19"/>
          <w:szCs w:val="19"/>
        </w:rPr>
        <w:t xml:space="preserve"> </w:t>
      </w:r>
      <w:r>
        <w:rPr>
          <w:rFonts w:ascii="Arial" w:hAnsi="Arial" w:eastAsia="Arial" w:cs="Arial"/>
          <w:spacing w:val="-4"/>
          <w:sz w:val="19"/>
          <w:szCs w:val="19"/>
        </w:rPr>
        <w:t>culture</w:t>
      </w:r>
      <w:r>
        <w:rPr>
          <w:rFonts w:ascii="Arial" w:hAnsi="Arial" w:eastAsia="Arial" w:cs="Arial"/>
          <w:spacing w:val="21"/>
          <w:w w:val="101"/>
          <w:sz w:val="19"/>
          <w:szCs w:val="19"/>
        </w:rPr>
        <w:t xml:space="preserve"> </w:t>
      </w:r>
      <w:r>
        <w:rPr>
          <w:rFonts w:ascii="Arial" w:hAnsi="Arial" w:eastAsia="Arial" w:cs="Arial"/>
          <w:spacing w:val="-4"/>
          <w:sz w:val="19"/>
          <w:szCs w:val="19"/>
        </w:rPr>
        <w:t>(global</w:t>
      </w:r>
      <w:r>
        <w:rPr>
          <w:rFonts w:ascii="Arial" w:hAnsi="Arial" w:eastAsia="Arial" w:cs="Arial"/>
          <w:spacing w:val="20"/>
          <w:sz w:val="19"/>
          <w:szCs w:val="19"/>
        </w:rPr>
        <w:t xml:space="preserve"> </w:t>
      </w:r>
      <w:r>
        <w:rPr>
          <w:rFonts w:ascii="Arial" w:hAnsi="Arial" w:eastAsia="Arial" w:cs="Arial"/>
          <w:spacing w:val="-4"/>
          <w:sz w:val="19"/>
          <w:szCs w:val="19"/>
        </w:rPr>
        <w:t>it</w:t>
      </w:r>
      <w:r>
        <w:rPr>
          <w:rFonts w:ascii="Arial" w:hAnsi="Arial" w:eastAsia="Arial" w:cs="Arial"/>
          <w:spacing w:val="-5"/>
          <w:sz w:val="19"/>
          <w:szCs w:val="19"/>
        </w:rPr>
        <w:t>ems).</w:t>
      </w:r>
      <w:r>
        <w:rPr>
          <w:rFonts w:ascii="Arial" w:hAnsi="Arial" w:eastAsia="Arial" w:cs="Arial"/>
          <w:spacing w:val="24"/>
          <w:w w:val="101"/>
          <w:sz w:val="19"/>
          <w:szCs w:val="19"/>
        </w:rPr>
        <w:t xml:space="preserve"> </w:t>
      </w:r>
      <w:r>
        <w:rPr>
          <w:rFonts w:ascii="Arial" w:hAnsi="Arial" w:eastAsia="Arial" w:cs="Arial"/>
          <w:spacing w:val="-5"/>
          <w:sz w:val="19"/>
          <w:szCs w:val="19"/>
        </w:rPr>
        <w:t>Related</w:t>
      </w:r>
      <w:r>
        <w:rPr>
          <w:rFonts w:ascii="Arial" w:hAnsi="Arial" w:eastAsia="Arial" w:cs="Arial"/>
          <w:spacing w:val="12"/>
          <w:sz w:val="19"/>
          <w:szCs w:val="19"/>
        </w:rPr>
        <w:t xml:space="preserve"> </w:t>
      </w:r>
      <w:r>
        <w:rPr>
          <w:rFonts w:ascii="Arial" w:hAnsi="Arial" w:eastAsia="Arial" w:cs="Arial"/>
          <w:spacing w:val="-5"/>
          <w:sz w:val="19"/>
          <w:szCs w:val="19"/>
        </w:rPr>
        <w:t>to</w:t>
      </w:r>
      <w:r>
        <w:rPr>
          <w:rFonts w:ascii="Arial" w:hAnsi="Arial" w:eastAsia="Arial" w:cs="Arial"/>
          <w:spacing w:val="14"/>
          <w:sz w:val="19"/>
          <w:szCs w:val="19"/>
        </w:rPr>
        <w:t xml:space="preserve"> </w:t>
      </w:r>
      <w:r>
        <w:rPr>
          <w:rFonts w:ascii="Arial" w:hAnsi="Arial" w:eastAsia="Arial" w:cs="Arial"/>
          <w:spacing w:val="-5"/>
          <w:sz w:val="19"/>
          <w:szCs w:val="19"/>
        </w:rPr>
        <w:t>that,</w:t>
      </w:r>
      <w:r>
        <w:rPr>
          <w:rFonts w:ascii="Arial" w:hAnsi="Arial" w:eastAsia="Arial" w:cs="Arial"/>
          <w:spacing w:val="15"/>
          <w:w w:val="101"/>
          <w:sz w:val="19"/>
          <w:szCs w:val="19"/>
        </w:rPr>
        <w:t xml:space="preserve"> </w:t>
      </w:r>
      <w:r>
        <w:rPr>
          <w:rFonts w:ascii="Arial" w:hAnsi="Arial" w:eastAsia="Arial" w:cs="Arial"/>
          <w:spacing w:val="-5"/>
          <w:sz w:val="19"/>
          <w:szCs w:val="19"/>
        </w:rPr>
        <w:t>a</w:t>
      </w:r>
      <w:r>
        <w:rPr>
          <w:rFonts w:ascii="Arial" w:hAnsi="Arial" w:eastAsia="Arial" w:cs="Arial"/>
          <w:spacing w:val="23"/>
          <w:sz w:val="19"/>
          <w:szCs w:val="19"/>
        </w:rPr>
        <w:t xml:space="preserve"> </w:t>
      </w:r>
      <w:r>
        <w:rPr>
          <w:rFonts w:ascii="Arial" w:hAnsi="Arial" w:eastAsia="Arial" w:cs="Arial"/>
          <w:spacing w:val="-5"/>
          <w:sz w:val="19"/>
          <w:szCs w:val="19"/>
        </w:rPr>
        <w:t>higher</w:t>
      </w:r>
      <w:r>
        <w:rPr>
          <w:rFonts w:ascii="Arial" w:hAnsi="Arial" w:eastAsia="Arial" w:cs="Arial"/>
          <w:spacing w:val="22"/>
          <w:w w:val="101"/>
          <w:sz w:val="19"/>
          <w:szCs w:val="19"/>
        </w:rPr>
        <w:t xml:space="preserve"> </w:t>
      </w:r>
      <w:r>
        <w:rPr>
          <w:rFonts w:ascii="Arial" w:hAnsi="Arial" w:eastAsia="Arial" w:cs="Arial"/>
          <w:spacing w:val="-5"/>
          <w:sz w:val="19"/>
          <w:szCs w:val="19"/>
        </w:rPr>
        <w:t>level</w:t>
      </w:r>
      <w:r>
        <w:rPr>
          <w:rFonts w:ascii="Arial" w:hAnsi="Arial" w:eastAsia="Arial" w:cs="Arial"/>
          <w:spacing w:val="16"/>
          <w:w w:val="101"/>
          <w:sz w:val="19"/>
          <w:szCs w:val="19"/>
        </w:rPr>
        <w:t xml:space="preserve"> </w:t>
      </w:r>
      <w:r>
        <w:rPr>
          <w:rFonts w:ascii="Arial" w:hAnsi="Arial" w:eastAsia="Arial" w:cs="Arial"/>
          <w:spacing w:val="-5"/>
          <w:sz w:val="19"/>
          <w:szCs w:val="19"/>
        </w:rPr>
        <w:t>of quality</w:t>
      </w:r>
      <w:r>
        <w:rPr>
          <w:rFonts w:ascii="Arial" w:hAnsi="Arial" w:eastAsia="Arial" w:cs="Arial"/>
          <w:spacing w:val="16"/>
          <w:w w:val="101"/>
          <w:sz w:val="19"/>
          <w:szCs w:val="19"/>
        </w:rPr>
        <w:t xml:space="preserve"> </w:t>
      </w:r>
      <w:r>
        <w:rPr>
          <w:rFonts w:ascii="Arial" w:hAnsi="Arial" w:eastAsia="Arial" w:cs="Arial"/>
          <w:spacing w:val="-5"/>
          <w:sz w:val="19"/>
          <w:szCs w:val="19"/>
        </w:rPr>
        <w:t>culture</w:t>
      </w:r>
      <w:r>
        <w:rPr>
          <w:rFonts w:ascii="Arial" w:hAnsi="Arial" w:eastAsia="Arial" w:cs="Arial"/>
          <w:spacing w:val="22"/>
          <w:sz w:val="19"/>
          <w:szCs w:val="19"/>
        </w:rPr>
        <w:t xml:space="preserve"> </w:t>
      </w:r>
      <w:r>
        <w:rPr>
          <w:rFonts w:ascii="Arial" w:hAnsi="Arial" w:eastAsia="Arial" w:cs="Arial"/>
          <w:spacing w:val="-5"/>
          <w:sz w:val="19"/>
          <w:szCs w:val="19"/>
        </w:rPr>
        <w:t>is</w:t>
      </w:r>
      <w:r>
        <w:rPr>
          <w:rFonts w:ascii="Arial" w:hAnsi="Arial" w:eastAsia="Arial" w:cs="Arial"/>
          <w:sz w:val="19"/>
          <w:szCs w:val="19"/>
        </w:rPr>
        <w:t xml:space="preserve"> </w:t>
      </w:r>
      <w:r>
        <w:rPr>
          <w:rFonts w:ascii="Arial" w:hAnsi="Arial" w:eastAsia="Arial" w:cs="Arial"/>
          <w:spacing w:val="-5"/>
          <w:sz w:val="19"/>
          <w:szCs w:val="19"/>
        </w:rPr>
        <w:t>likely to</w:t>
      </w:r>
      <w:r>
        <w:rPr>
          <w:rFonts w:ascii="Arial" w:hAnsi="Arial" w:eastAsia="Arial" w:cs="Arial"/>
          <w:spacing w:val="13"/>
          <w:sz w:val="19"/>
          <w:szCs w:val="19"/>
        </w:rPr>
        <w:t xml:space="preserve"> </w:t>
      </w:r>
      <w:r>
        <w:rPr>
          <w:rFonts w:ascii="Arial" w:hAnsi="Arial" w:eastAsia="Arial" w:cs="Arial"/>
          <w:spacing w:val="-5"/>
          <w:sz w:val="19"/>
          <w:szCs w:val="19"/>
        </w:rPr>
        <w:t>lead to</w:t>
      </w:r>
      <w:r>
        <w:rPr>
          <w:rFonts w:ascii="Arial" w:hAnsi="Arial" w:eastAsia="Arial" w:cs="Arial"/>
          <w:spacing w:val="13"/>
          <w:w w:val="101"/>
          <w:sz w:val="19"/>
          <w:szCs w:val="19"/>
        </w:rPr>
        <w:t xml:space="preserve"> </w:t>
      </w:r>
      <w:r>
        <w:rPr>
          <w:rFonts w:ascii="Arial" w:hAnsi="Arial" w:eastAsia="Arial" w:cs="Arial"/>
          <w:spacing w:val="-5"/>
          <w:sz w:val="19"/>
          <w:szCs w:val="19"/>
        </w:rPr>
        <w:t>higher employer</w:t>
      </w:r>
      <w:r>
        <w:rPr>
          <w:rFonts w:ascii="Arial" w:hAnsi="Arial" w:eastAsia="Arial" w:cs="Arial"/>
          <w:spacing w:val="12"/>
          <w:sz w:val="19"/>
          <w:szCs w:val="19"/>
        </w:rPr>
        <w:t xml:space="preserve"> </w:t>
      </w:r>
      <w:r>
        <w:rPr>
          <w:rFonts w:ascii="Arial" w:hAnsi="Arial" w:eastAsia="Arial" w:cs="Arial"/>
          <w:spacing w:val="-5"/>
          <w:sz w:val="19"/>
          <w:szCs w:val="19"/>
        </w:rPr>
        <w:t>(HEI) and job satisfaction as</w:t>
      </w:r>
      <w:r>
        <w:rPr>
          <w:rFonts w:ascii="Arial" w:hAnsi="Arial" w:eastAsia="Arial" w:cs="Arial"/>
          <w:spacing w:val="2"/>
          <w:sz w:val="19"/>
          <w:szCs w:val="19"/>
        </w:rPr>
        <w:t xml:space="preserve"> </w:t>
      </w:r>
      <w:r>
        <w:rPr>
          <w:rFonts w:ascii="Arial" w:hAnsi="Arial" w:eastAsia="Arial" w:cs="Arial"/>
          <w:spacing w:val="-5"/>
          <w:sz w:val="19"/>
          <w:szCs w:val="19"/>
        </w:rPr>
        <w:t>well</w:t>
      </w:r>
      <w:r>
        <w:rPr>
          <w:rFonts w:ascii="Arial" w:hAnsi="Arial" w:eastAsia="Arial" w:cs="Arial"/>
          <w:spacing w:val="5"/>
          <w:sz w:val="19"/>
          <w:szCs w:val="19"/>
        </w:rPr>
        <w:t xml:space="preserve"> </w:t>
      </w:r>
      <w:r>
        <w:rPr>
          <w:rFonts w:ascii="Arial" w:hAnsi="Arial" w:eastAsia="Arial" w:cs="Arial"/>
          <w:spacing w:val="-5"/>
          <w:sz w:val="19"/>
          <w:szCs w:val="19"/>
        </w:rPr>
        <w:t>as</w:t>
      </w:r>
      <w:r>
        <w:rPr>
          <w:rFonts w:ascii="Arial" w:hAnsi="Arial" w:eastAsia="Arial" w:cs="Arial"/>
          <w:spacing w:val="6"/>
          <w:sz w:val="19"/>
          <w:szCs w:val="19"/>
        </w:rPr>
        <w:t xml:space="preserve"> </w:t>
      </w:r>
      <w:r>
        <w:rPr>
          <w:rFonts w:ascii="Arial" w:hAnsi="Arial" w:eastAsia="Arial" w:cs="Arial"/>
          <w:spacing w:val="-5"/>
          <w:sz w:val="19"/>
          <w:szCs w:val="19"/>
        </w:rPr>
        <w:t>a</w:t>
      </w:r>
      <w:r>
        <w:rPr>
          <w:rFonts w:ascii="Arial" w:hAnsi="Arial" w:eastAsia="Arial" w:cs="Arial"/>
          <w:spacing w:val="11"/>
          <w:sz w:val="19"/>
          <w:szCs w:val="19"/>
        </w:rPr>
        <w:t xml:space="preserve"> </w:t>
      </w:r>
      <w:r>
        <w:rPr>
          <w:rFonts w:ascii="Arial" w:hAnsi="Arial" w:eastAsia="Arial" w:cs="Arial"/>
          <w:spacing w:val="-5"/>
          <w:sz w:val="19"/>
          <w:szCs w:val="19"/>
        </w:rPr>
        <w:t>higher</w:t>
      </w:r>
      <w:r>
        <w:rPr>
          <w:rFonts w:ascii="Arial" w:hAnsi="Arial" w:eastAsia="Arial" w:cs="Arial"/>
          <w:spacing w:val="13"/>
          <w:sz w:val="19"/>
          <w:szCs w:val="19"/>
        </w:rPr>
        <w:t xml:space="preserve"> </w:t>
      </w:r>
      <w:r>
        <w:rPr>
          <w:rFonts w:ascii="Arial" w:hAnsi="Arial" w:eastAsia="Arial" w:cs="Arial"/>
          <w:spacing w:val="-5"/>
          <w:sz w:val="19"/>
          <w:szCs w:val="19"/>
        </w:rPr>
        <w:t>level</w:t>
      </w:r>
      <w:r>
        <w:rPr>
          <w:rFonts w:ascii="Arial" w:hAnsi="Arial" w:eastAsia="Arial" w:cs="Arial"/>
          <w:spacing w:val="7"/>
          <w:sz w:val="19"/>
          <w:szCs w:val="19"/>
        </w:rPr>
        <w:t xml:space="preserve"> </w:t>
      </w:r>
      <w:r>
        <w:rPr>
          <w:rFonts w:ascii="Arial" w:hAnsi="Arial" w:eastAsia="Arial" w:cs="Arial"/>
          <w:spacing w:val="-5"/>
          <w:sz w:val="19"/>
          <w:szCs w:val="19"/>
        </w:rPr>
        <w:t>of afective</w:t>
      </w:r>
      <w:r>
        <w:rPr>
          <w:rFonts w:ascii="Arial" w:hAnsi="Arial" w:eastAsia="Arial" w:cs="Arial"/>
          <w:spacing w:val="6"/>
          <w:sz w:val="19"/>
          <w:szCs w:val="19"/>
        </w:rPr>
        <w:t xml:space="preserve"> </w:t>
      </w:r>
      <w:r>
        <w:rPr>
          <w:rFonts w:ascii="Arial" w:hAnsi="Arial" w:eastAsia="Arial" w:cs="Arial"/>
          <w:spacing w:val="-5"/>
          <w:sz w:val="19"/>
          <w:szCs w:val="19"/>
        </w:rPr>
        <w:t>com-</w:t>
      </w:r>
      <w:r>
        <w:rPr>
          <w:rFonts w:ascii="Arial" w:hAnsi="Arial" w:eastAsia="Arial" w:cs="Arial"/>
          <w:sz w:val="19"/>
          <w:szCs w:val="19"/>
        </w:rPr>
        <w:t xml:space="preserve"> </w:t>
      </w:r>
      <w:r>
        <w:rPr>
          <w:rFonts w:ascii="Arial" w:hAnsi="Arial" w:eastAsia="Arial" w:cs="Arial"/>
          <w:spacing w:val="-5"/>
          <w:sz w:val="19"/>
          <w:szCs w:val="19"/>
        </w:rPr>
        <w:t>mitment towards the institution (Ali and Musah</w:t>
      </w:r>
      <w:r>
        <w:rPr>
          <w:rFonts w:ascii="Arial" w:hAnsi="Arial" w:eastAsia="Arial" w:cs="Arial"/>
          <w:spacing w:val="-13"/>
          <w:sz w:val="19"/>
          <w:szCs w:val="19"/>
        </w:rPr>
        <w:t xml:space="preserve"> </w:t>
      </w:r>
      <w:r>
        <w:fldChar w:fldCharType="begin"/>
      </w:r>
      <w:r>
        <w:instrText xml:space="preserve"> HYPERLINK \l "bookmark82" </w:instrText>
      </w:r>
      <w:r>
        <w:fldChar w:fldCharType="separate"/>
      </w:r>
      <w:r>
        <w:rPr>
          <w:rFonts w:ascii="Arial" w:hAnsi="Arial" w:eastAsia="Arial" w:cs="Arial"/>
          <w:color w:val="000084"/>
          <w:spacing w:val="-5"/>
          <w:sz w:val="19"/>
          <w:szCs w:val="19"/>
        </w:rPr>
        <w:t>2012</w:t>
      </w:r>
      <w:r>
        <w:rPr>
          <w:rFonts w:ascii="Arial" w:hAnsi="Arial" w:eastAsia="Arial" w:cs="Arial"/>
          <w:color w:val="000084"/>
          <w:spacing w:val="-5"/>
          <w:sz w:val="19"/>
          <w:szCs w:val="19"/>
        </w:rPr>
        <w:fldChar w:fldCharType="end"/>
      </w:r>
      <w:r>
        <w:rPr>
          <w:rFonts w:ascii="Arial" w:hAnsi="Arial" w:eastAsia="Arial" w:cs="Arial"/>
          <w:spacing w:val="-5"/>
          <w:sz w:val="19"/>
          <w:szCs w:val="19"/>
        </w:rPr>
        <w:t>; Bende</w:t>
      </w:r>
      <w:r>
        <w:rPr>
          <w:rFonts w:ascii="Arial" w:hAnsi="Arial" w:eastAsia="Arial" w:cs="Arial"/>
          <w:spacing w:val="-6"/>
          <w:sz w:val="19"/>
          <w:szCs w:val="19"/>
        </w:rPr>
        <w:t xml:space="preserve">rmacher etal. </w:t>
      </w:r>
      <w:r>
        <w:fldChar w:fldCharType="begin"/>
      </w:r>
      <w:r>
        <w:instrText xml:space="preserve"> HYPERLINK \l "bookmark83" </w:instrText>
      </w:r>
      <w:r>
        <w:fldChar w:fldCharType="separate"/>
      </w:r>
      <w:r>
        <w:rPr>
          <w:rFonts w:ascii="Arial" w:hAnsi="Arial" w:eastAsia="Arial" w:cs="Arial"/>
          <w:color w:val="000084"/>
          <w:spacing w:val="-6"/>
          <w:sz w:val="19"/>
          <w:szCs w:val="19"/>
        </w:rPr>
        <w:t>2017</w:t>
      </w:r>
      <w:r>
        <w:rPr>
          <w:rFonts w:ascii="Arial" w:hAnsi="Arial" w:eastAsia="Arial" w:cs="Arial"/>
          <w:color w:val="000084"/>
          <w:spacing w:val="-6"/>
          <w:sz w:val="19"/>
          <w:szCs w:val="19"/>
        </w:rPr>
        <w:fldChar w:fldCharType="end"/>
      </w:r>
      <w:r>
        <w:rPr>
          <w:rFonts w:ascii="Arial" w:hAnsi="Arial" w:eastAsia="Arial" w:cs="Arial"/>
          <w:spacing w:val="-6"/>
          <w:sz w:val="19"/>
          <w:szCs w:val="19"/>
        </w:rPr>
        <w:t>). Finally, higher levels</w:t>
      </w:r>
      <w:r>
        <w:rPr>
          <w:rFonts w:ascii="Arial" w:hAnsi="Arial" w:eastAsia="Arial" w:cs="Arial"/>
          <w:sz w:val="19"/>
          <w:szCs w:val="19"/>
        </w:rPr>
        <w:t xml:space="preserve"> </w:t>
      </w:r>
      <w:r>
        <w:rPr>
          <w:rFonts w:ascii="Arial" w:hAnsi="Arial" w:eastAsia="Arial" w:cs="Arial"/>
          <w:spacing w:val="-2"/>
          <w:sz w:val="19"/>
          <w:szCs w:val="19"/>
        </w:rPr>
        <w:t>of quality culture should al</w:t>
      </w:r>
      <w:r>
        <w:rPr>
          <w:rFonts w:ascii="Arial" w:hAnsi="Arial" w:eastAsia="Arial" w:cs="Arial"/>
          <w:spacing w:val="-3"/>
          <w:sz w:val="19"/>
          <w:szCs w:val="19"/>
        </w:rPr>
        <w:t>so</w:t>
      </w:r>
      <w:r>
        <w:rPr>
          <w:rFonts w:ascii="Arial" w:hAnsi="Arial" w:eastAsia="Arial" w:cs="Arial"/>
          <w:spacing w:val="13"/>
          <w:sz w:val="19"/>
          <w:szCs w:val="19"/>
        </w:rPr>
        <w:t xml:space="preserve"> </w:t>
      </w:r>
      <w:r>
        <w:rPr>
          <w:rFonts w:ascii="Arial" w:hAnsi="Arial" w:eastAsia="Arial" w:cs="Arial"/>
          <w:spacing w:val="-3"/>
          <w:sz w:val="19"/>
          <w:szCs w:val="19"/>
        </w:rPr>
        <w:t>be</w:t>
      </w:r>
      <w:r>
        <w:rPr>
          <w:rFonts w:ascii="Arial" w:hAnsi="Arial" w:eastAsia="Arial" w:cs="Arial"/>
          <w:spacing w:val="12"/>
          <w:sz w:val="19"/>
          <w:szCs w:val="19"/>
        </w:rPr>
        <w:t xml:space="preserve"> </w:t>
      </w:r>
      <w:r>
        <w:rPr>
          <w:rFonts w:ascii="Arial" w:hAnsi="Arial" w:eastAsia="Arial" w:cs="Arial"/>
          <w:spacing w:val="-3"/>
          <w:sz w:val="19"/>
          <w:szCs w:val="19"/>
        </w:rPr>
        <w:t>relected</w:t>
      </w:r>
      <w:r>
        <w:rPr>
          <w:rFonts w:ascii="Arial" w:hAnsi="Arial" w:eastAsia="Arial" w:cs="Arial"/>
          <w:spacing w:val="12"/>
          <w:sz w:val="19"/>
          <w:szCs w:val="19"/>
        </w:rPr>
        <w:t xml:space="preserve"> </w:t>
      </w:r>
      <w:r>
        <w:rPr>
          <w:rFonts w:ascii="Arial" w:hAnsi="Arial" w:eastAsia="Arial" w:cs="Arial"/>
          <w:spacing w:val="-3"/>
          <w:sz w:val="19"/>
          <w:szCs w:val="19"/>
        </w:rPr>
        <w:t>in quality-oriented</w:t>
      </w:r>
      <w:r>
        <w:rPr>
          <w:rFonts w:ascii="Arial" w:hAnsi="Arial" w:eastAsia="Arial" w:cs="Arial"/>
          <w:spacing w:val="14"/>
          <w:sz w:val="19"/>
          <w:szCs w:val="19"/>
        </w:rPr>
        <w:t xml:space="preserve"> </w:t>
      </w:r>
      <w:r>
        <w:rPr>
          <w:rFonts w:ascii="Arial" w:hAnsi="Arial" w:eastAsia="Arial" w:cs="Arial"/>
          <w:spacing w:val="-3"/>
          <w:sz w:val="19"/>
          <w:szCs w:val="19"/>
        </w:rPr>
        <w:t>behavior of the</w:t>
      </w:r>
      <w:r>
        <w:rPr>
          <w:rFonts w:ascii="Arial" w:hAnsi="Arial" w:eastAsia="Arial" w:cs="Arial"/>
          <w:spacing w:val="12"/>
          <w:sz w:val="19"/>
          <w:szCs w:val="19"/>
        </w:rPr>
        <w:t xml:space="preserve"> </w:t>
      </w:r>
      <w:r>
        <w:rPr>
          <w:rFonts w:ascii="Arial" w:hAnsi="Arial" w:eastAsia="Arial" w:cs="Arial"/>
          <w:spacing w:val="-3"/>
          <w:sz w:val="19"/>
          <w:szCs w:val="19"/>
        </w:rPr>
        <w:t>institution</w:t>
      </w:r>
      <w:r>
        <w:rPr>
          <w:rFonts w:ascii="Arial" w:hAnsi="Arial" w:eastAsia="Arial" w:cs="Arial"/>
          <w:spacing w:val="11"/>
          <w:sz w:val="19"/>
          <w:szCs w:val="19"/>
        </w:rPr>
        <w:t xml:space="preserve"> </w:t>
      </w:r>
      <w:r>
        <w:rPr>
          <w:rFonts w:ascii="Arial" w:hAnsi="Arial" w:eastAsia="Arial" w:cs="Arial"/>
          <w:spacing w:val="-3"/>
          <w:sz w:val="19"/>
          <w:szCs w:val="19"/>
        </w:rPr>
        <w:t>by</w:t>
      </w:r>
      <w:r>
        <w:rPr>
          <w:rFonts w:ascii="Arial" w:hAnsi="Arial" w:eastAsia="Arial" w:cs="Arial"/>
          <w:spacing w:val="8"/>
          <w:sz w:val="19"/>
          <w:szCs w:val="19"/>
        </w:rPr>
        <w:t xml:space="preserve"> </w:t>
      </w:r>
      <w:r>
        <w:rPr>
          <w:rFonts w:ascii="Arial" w:hAnsi="Arial" w:eastAsia="Arial" w:cs="Arial"/>
          <w:spacing w:val="-3"/>
          <w:sz w:val="19"/>
          <w:szCs w:val="19"/>
        </w:rPr>
        <w:t>support-</w:t>
      </w:r>
      <w:r>
        <w:rPr>
          <w:rFonts w:ascii="Arial" w:hAnsi="Arial" w:eastAsia="Arial" w:cs="Arial"/>
          <w:sz w:val="19"/>
          <w:szCs w:val="19"/>
        </w:rPr>
        <w:t xml:space="preserve"> </w:t>
      </w:r>
      <w:r>
        <w:rPr>
          <w:rFonts w:ascii="Arial" w:hAnsi="Arial" w:eastAsia="Arial" w:cs="Arial"/>
          <w:spacing w:val="-5"/>
          <w:sz w:val="19"/>
          <w:szCs w:val="19"/>
        </w:rPr>
        <w:t>ing</w:t>
      </w:r>
      <w:r>
        <w:rPr>
          <w:rFonts w:ascii="Arial" w:hAnsi="Arial" w:eastAsia="Arial" w:cs="Arial"/>
          <w:spacing w:val="22"/>
          <w:w w:val="101"/>
          <w:sz w:val="19"/>
          <w:szCs w:val="19"/>
        </w:rPr>
        <w:t xml:space="preserve"> </w:t>
      </w:r>
      <w:r>
        <w:rPr>
          <w:rFonts w:ascii="Arial" w:hAnsi="Arial" w:eastAsia="Arial" w:cs="Arial"/>
          <w:spacing w:val="-5"/>
          <w:sz w:val="19"/>
          <w:szCs w:val="19"/>
        </w:rPr>
        <w:t>HEI</w:t>
      </w:r>
      <w:r>
        <w:rPr>
          <w:rFonts w:ascii="Arial" w:hAnsi="Arial" w:eastAsia="Arial" w:cs="Arial"/>
          <w:spacing w:val="21"/>
          <w:sz w:val="19"/>
          <w:szCs w:val="19"/>
        </w:rPr>
        <w:t xml:space="preserve"> </w:t>
      </w:r>
      <w:r>
        <w:rPr>
          <w:rFonts w:ascii="Arial" w:hAnsi="Arial" w:eastAsia="Arial" w:cs="Arial"/>
          <w:spacing w:val="-5"/>
          <w:sz w:val="19"/>
          <w:szCs w:val="19"/>
        </w:rPr>
        <w:t>members</w:t>
      </w:r>
      <w:r>
        <w:rPr>
          <w:rFonts w:ascii="Arial" w:hAnsi="Arial" w:eastAsia="Arial" w:cs="Arial"/>
          <w:spacing w:val="20"/>
          <w:w w:val="101"/>
          <w:sz w:val="19"/>
          <w:szCs w:val="19"/>
        </w:rPr>
        <w:t xml:space="preserve"> </w:t>
      </w:r>
      <w:r>
        <w:rPr>
          <w:rFonts w:ascii="Arial" w:hAnsi="Arial" w:eastAsia="Arial" w:cs="Arial"/>
          <w:spacing w:val="-5"/>
          <w:sz w:val="19"/>
          <w:szCs w:val="19"/>
        </w:rPr>
        <w:t>in</w:t>
      </w:r>
      <w:r>
        <w:rPr>
          <w:rFonts w:ascii="Arial" w:hAnsi="Arial" w:eastAsia="Arial" w:cs="Arial"/>
          <w:spacing w:val="11"/>
          <w:sz w:val="19"/>
          <w:szCs w:val="19"/>
        </w:rPr>
        <w:t xml:space="preserve"> </w:t>
      </w:r>
      <w:r>
        <w:rPr>
          <w:rFonts w:ascii="Arial" w:hAnsi="Arial" w:eastAsia="Arial" w:cs="Arial"/>
          <w:spacing w:val="-5"/>
          <w:sz w:val="19"/>
          <w:szCs w:val="19"/>
        </w:rPr>
        <w:t>their</w:t>
      </w:r>
      <w:r>
        <w:rPr>
          <w:rFonts w:ascii="Arial" w:hAnsi="Arial" w:eastAsia="Arial" w:cs="Arial"/>
          <w:spacing w:val="22"/>
          <w:sz w:val="19"/>
          <w:szCs w:val="19"/>
        </w:rPr>
        <w:t xml:space="preserve"> </w:t>
      </w:r>
      <w:r>
        <w:rPr>
          <w:rFonts w:ascii="Arial" w:hAnsi="Arial" w:eastAsia="Arial" w:cs="Arial"/>
          <w:spacing w:val="-5"/>
          <w:sz w:val="19"/>
          <w:szCs w:val="19"/>
        </w:rPr>
        <w:t>personal</w:t>
      </w:r>
      <w:r>
        <w:rPr>
          <w:rFonts w:ascii="Arial" w:hAnsi="Arial" w:eastAsia="Arial" w:cs="Arial"/>
          <w:spacing w:val="15"/>
          <w:sz w:val="19"/>
          <w:szCs w:val="19"/>
        </w:rPr>
        <w:t xml:space="preserve"> </w:t>
      </w:r>
      <w:r>
        <w:rPr>
          <w:rFonts w:ascii="Arial" w:hAnsi="Arial" w:eastAsia="Arial" w:cs="Arial"/>
          <w:spacing w:val="-5"/>
          <w:sz w:val="19"/>
          <w:szCs w:val="19"/>
        </w:rPr>
        <w:t>career</w:t>
      </w:r>
      <w:r>
        <w:rPr>
          <w:rFonts w:ascii="Arial" w:hAnsi="Arial" w:eastAsia="Arial" w:cs="Arial"/>
          <w:spacing w:val="15"/>
          <w:w w:val="101"/>
          <w:sz w:val="19"/>
          <w:szCs w:val="19"/>
        </w:rPr>
        <w:t xml:space="preserve"> </w:t>
      </w:r>
      <w:r>
        <w:rPr>
          <w:rFonts w:ascii="Arial" w:hAnsi="Arial" w:eastAsia="Arial" w:cs="Arial"/>
          <w:spacing w:val="-5"/>
          <w:sz w:val="19"/>
          <w:szCs w:val="19"/>
        </w:rPr>
        <w:t>deve</w:t>
      </w:r>
      <w:r>
        <w:rPr>
          <w:rFonts w:ascii="Arial" w:hAnsi="Arial" w:eastAsia="Arial" w:cs="Arial"/>
          <w:spacing w:val="-6"/>
          <w:sz w:val="19"/>
          <w:szCs w:val="19"/>
        </w:rPr>
        <w:t>lopment</w:t>
      </w:r>
      <w:r>
        <w:rPr>
          <w:rFonts w:ascii="Arial" w:hAnsi="Arial" w:eastAsia="Arial" w:cs="Arial"/>
          <w:spacing w:val="15"/>
          <w:w w:val="101"/>
          <w:sz w:val="19"/>
          <w:szCs w:val="19"/>
        </w:rPr>
        <w:t xml:space="preserve"> </w:t>
      </w:r>
      <w:r>
        <w:rPr>
          <w:rFonts w:ascii="Arial" w:hAnsi="Arial" w:eastAsia="Arial" w:cs="Arial"/>
          <w:spacing w:val="-6"/>
          <w:sz w:val="19"/>
          <w:szCs w:val="19"/>
        </w:rPr>
        <w:t>and</w:t>
      </w:r>
      <w:r>
        <w:rPr>
          <w:rFonts w:ascii="Arial" w:hAnsi="Arial" w:eastAsia="Arial" w:cs="Arial"/>
          <w:spacing w:val="21"/>
          <w:w w:val="101"/>
          <w:sz w:val="19"/>
          <w:szCs w:val="19"/>
        </w:rPr>
        <w:t xml:space="preserve"> </w:t>
      </w:r>
      <w:r>
        <w:rPr>
          <w:rFonts w:ascii="Arial" w:hAnsi="Arial" w:eastAsia="Arial" w:cs="Arial"/>
          <w:spacing w:val="-6"/>
          <w:sz w:val="19"/>
          <w:szCs w:val="19"/>
        </w:rPr>
        <w:t>promoting</w:t>
      </w:r>
      <w:r>
        <w:rPr>
          <w:rFonts w:ascii="Arial" w:hAnsi="Arial" w:eastAsia="Arial" w:cs="Arial"/>
          <w:spacing w:val="23"/>
          <w:w w:val="101"/>
          <w:sz w:val="19"/>
          <w:szCs w:val="19"/>
        </w:rPr>
        <w:t xml:space="preserve"> </w:t>
      </w:r>
      <w:r>
        <w:rPr>
          <w:rFonts w:ascii="Arial" w:hAnsi="Arial" w:eastAsia="Arial" w:cs="Arial"/>
          <w:spacing w:val="-6"/>
          <w:sz w:val="19"/>
          <w:szCs w:val="19"/>
        </w:rPr>
        <w:t>professional</w:t>
      </w:r>
      <w:r>
        <w:rPr>
          <w:rFonts w:ascii="Arial" w:hAnsi="Arial" w:eastAsia="Arial" w:cs="Arial"/>
          <w:spacing w:val="17"/>
          <w:sz w:val="19"/>
          <w:szCs w:val="19"/>
        </w:rPr>
        <w:t xml:space="preserve"> </w:t>
      </w:r>
      <w:r>
        <w:rPr>
          <w:rFonts w:ascii="Arial" w:hAnsi="Arial" w:eastAsia="Arial" w:cs="Arial"/>
          <w:spacing w:val="-6"/>
          <w:sz w:val="19"/>
          <w:szCs w:val="19"/>
        </w:rPr>
        <w:t>quality-related</w:t>
      </w:r>
      <w:r>
        <w:rPr>
          <w:rFonts w:ascii="Arial" w:hAnsi="Arial" w:eastAsia="Arial" w:cs="Arial"/>
          <w:sz w:val="19"/>
          <w:szCs w:val="19"/>
        </w:rPr>
        <w:t xml:space="preserve"> </w:t>
      </w:r>
      <w:r>
        <w:rPr>
          <w:rFonts w:ascii="Arial" w:hAnsi="Arial" w:eastAsia="Arial" w:cs="Arial"/>
          <w:spacing w:val="-4"/>
          <w:sz w:val="19"/>
          <w:szCs w:val="19"/>
        </w:rPr>
        <w:t>exchange within the</w:t>
      </w:r>
      <w:r>
        <w:rPr>
          <w:rFonts w:ascii="Arial" w:hAnsi="Arial" w:eastAsia="Arial" w:cs="Arial"/>
          <w:spacing w:val="24"/>
          <w:sz w:val="19"/>
          <w:szCs w:val="19"/>
        </w:rPr>
        <w:t xml:space="preserve"> </w:t>
      </w:r>
      <w:r>
        <w:rPr>
          <w:rFonts w:ascii="Arial" w:hAnsi="Arial" w:eastAsia="Arial" w:cs="Arial"/>
          <w:spacing w:val="-4"/>
          <w:sz w:val="19"/>
          <w:szCs w:val="19"/>
        </w:rPr>
        <w:t>institution</w:t>
      </w:r>
      <w:r>
        <w:rPr>
          <w:rFonts w:ascii="Arial" w:hAnsi="Arial" w:eastAsia="Arial" w:cs="Arial"/>
          <w:spacing w:val="17"/>
          <w:sz w:val="19"/>
          <w:szCs w:val="19"/>
        </w:rPr>
        <w:t xml:space="preserve"> </w:t>
      </w:r>
      <w:r>
        <w:rPr>
          <w:rFonts w:ascii="Arial" w:hAnsi="Arial" w:eastAsia="Arial" w:cs="Arial"/>
          <w:spacing w:val="-4"/>
          <w:sz w:val="19"/>
          <w:szCs w:val="19"/>
        </w:rPr>
        <w:t>(Sattler</w:t>
      </w:r>
      <w:r>
        <w:rPr>
          <w:rFonts w:ascii="Arial" w:hAnsi="Arial" w:eastAsia="Arial" w:cs="Arial"/>
          <w:spacing w:val="11"/>
          <w:sz w:val="19"/>
          <w:szCs w:val="19"/>
        </w:rPr>
        <w:t xml:space="preserve"> </w:t>
      </w:r>
      <w:r>
        <w:rPr>
          <w:rFonts w:ascii="Arial" w:hAnsi="Arial" w:eastAsia="Arial" w:cs="Arial"/>
          <w:spacing w:val="-4"/>
          <w:sz w:val="19"/>
          <w:szCs w:val="19"/>
        </w:rPr>
        <w:t>et</w:t>
      </w:r>
      <w:r>
        <w:rPr>
          <w:rFonts w:ascii="Arial" w:hAnsi="Arial" w:eastAsia="Arial" w:cs="Arial"/>
          <w:spacing w:val="12"/>
          <w:sz w:val="19"/>
          <w:szCs w:val="19"/>
        </w:rPr>
        <w:t xml:space="preserve"> </w:t>
      </w:r>
      <w:r>
        <w:rPr>
          <w:rFonts w:ascii="Arial" w:hAnsi="Arial" w:eastAsia="Arial" w:cs="Arial"/>
          <w:spacing w:val="-4"/>
          <w:sz w:val="19"/>
          <w:szCs w:val="19"/>
        </w:rPr>
        <w:t xml:space="preserve">al. </w:t>
      </w:r>
      <w:r>
        <w:fldChar w:fldCharType="begin"/>
      </w:r>
      <w:r>
        <w:instrText xml:space="preserve"> HYPERLINK \l "bookmark84" </w:instrText>
      </w:r>
      <w:r>
        <w:fldChar w:fldCharType="separate"/>
      </w:r>
      <w:r>
        <w:rPr>
          <w:rFonts w:ascii="Arial" w:hAnsi="Arial" w:eastAsia="Arial" w:cs="Arial"/>
          <w:color w:val="000084"/>
          <w:spacing w:val="-4"/>
          <w:sz w:val="19"/>
          <w:szCs w:val="19"/>
        </w:rPr>
        <w:t>2013</w:t>
      </w:r>
      <w:r>
        <w:rPr>
          <w:rFonts w:ascii="Arial" w:hAnsi="Arial" w:eastAsia="Arial" w:cs="Arial"/>
          <w:color w:val="000084"/>
          <w:spacing w:val="-4"/>
          <w:sz w:val="19"/>
          <w:szCs w:val="19"/>
        </w:rPr>
        <w:fldChar w:fldCharType="end"/>
      </w:r>
      <w:r>
        <w:rPr>
          <w:rFonts w:ascii="Arial" w:hAnsi="Arial" w:eastAsia="Arial" w:cs="Arial"/>
          <w:spacing w:val="-4"/>
          <w:sz w:val="19"/>
          <w:szCs w:val="19"/>
        </w:rPr>
        <w:t>).</w:t>
      </w:r>
    </w:p>
    <w:p>
      <w:pPr>
        <w:spacing w:before="27" w:line="257" w:lineRule="auto"/>
        <w:ind w:left="2" w:right="6" w:firstLine="239"/>
        <w:jc w:val="both"/>
        <w:rPr>
          <w:rFonts w:ascii="Arial" w:hAnsi="Arial" w:eastAsia="Arial" w:cs="Arial"/>
          <w:sz w:val="19"/>
          <w:szCs w:val="19"/>
        </w:rPr>
      </w:pPr>
      <w:r>
        <w:rPr>
          <w:rFonts w:ascii="Arial" w:hAnsi="Arial" w:eastAsia="Arial" w:cs="Arial"/>
          <w:spacing w:val="-5"/>
          <w:sz w:val="19"/>
          <w:szCs w:val="19"/>
        </w:rPr>
        <w:t>We</w:t>
      </w:r>
      <w:r>
        <w:rPr>
          <w:rFonts w:ascii="Arial" w:hAnsi="Arial" w:eastAsia="Arial" w:cs="Arial"/>
          <w:spacing w:val="44"/>
          <w:w w:val="101"/>
          <w:sz w:val="19"/>
          <w:szCs w:val="19"/>
        </w:rPr>
        <w:t xml:space="preserve"> </w:t>
      </w:r>
      <w:r>
        <w:rPr>
          <w:rFonts w:ascii="Arial" w:hAnsi="Arial" w:eastAsia="Arial" w:cs="Arial"/>
          <w:spacing w:val="-5"/>
          <w:sz w:val="19"/>
          <w:szCs w:val="19"/>
        </w:rPr>
        <w:t>hypothesize</w:t>
      </w:r>
      <w:r>
        <w:rPr>
          <w:rFonts w:ascii="Arial" w:hAnsi="Arial" w:eastAsia="Arial" w:cs="Arial"/>
          <w:spacing w:val="33"/>
          <w:w w:val="101"/>
          <w:sz w:val="19"/>
          <w:szCs w:val="19"/>
        </w:rPr>
        <w:t xml:space="preserve"> </w:t>
      </w:r>
      <w:r>
        <w:rPr>
          <w:rFonts w:ascii="Arial" w:hAnsi="Arial" w:eastAsia="Arial" w:cs="Arial"/>
          <w:spacing w:val="-5"/>
          <w:sz w:val="19"/>
          <w:szCs w:val="19"/>
        </w:rPr>
        <w:t>that</w:t>
      </w:r>
      <w:r>
        <w:rPr>
          <w:rFonts w:ascii="Arial" w:hAnsi="Arial" w:eastAsia="Arial" w:cs="Arial"/>
          <w:spacing w:val="34"/>
          <w:sz w:val="19"/>
          <w:szCs w:val="19"/>
        </w:rPr>
        <w:t xml:space="preserve"> </w:t>
      </w:r>
      <w:r>
        <w:rPr>
          <w:rFonts w:ascii="Arial" w:hAnsi="Arial" w:eastAsia="Arial" w:cs="Arial"/>
          <w:spacing w:val="-5"/>
          <w:sz w:val="19"/>
          <w:szCs w:val="19"/>
        </w:rPr>
        <w:t>the</w:t>
      </w:r>
      <w:r>
        <w:rPr>
          <w:rFonts w:ascii="Arial" w:hAnsi="Arial" w:eastAsia="Arial" w:cs="Arial"/>
          <w:spacing w:val="36"/>
          <w:w w:val="101"/>
          <w:sz w:val="19"/>
          <w:szCs w:val="19"/>
        </w:rPr>
        <w:t xml:space="preserve"> </w:t>
      </w:r>
      <w:r>
        <w:rPr>
          <w:rFonts w:ascii="Arial" w:hAnsi="Arial" w:eastAsia="Arial" w:cs="Arial"/>
          <w:spacing w:val="-5"/>
          <w:sz w:val="19"/>
          <w:szCs w:val="19"/>
        </w:rPr>
        <w:t>organizational-ps</w:t>
      </w:r>
      <w:r>
        <w:rPr>
          <w:rFonts w:ascii="Arial" w:hAnsi="Arial" w:eastAsia="Arial" w:cs="Arial"/>
          <w:spacing w:val="-6"/>
          <w:sz w:val="19"/>
          <w:szCs w:val="19"/>
        </w:rPr>
        <w:t>ychological</w:t>
      </w:r>
      <w:r>
        <w:rPr>
          <w:rFonts w:ascii="Arial" w:hAnsi="Arial" w:eastAsia="Arial" w:cs="Arial"/>
          <w:spacing w:val="37"/>
          <w:sz w:val="19"/>
          <w:szCs w:val="19"/>
        </w:rPr>
        <w:t xml:space="preserve"> </w:t>
      </w:r>
      <w:r>
        <w:rPr>
          <w:rFonts w:ascii="Arial" w:hAnsi="Arial" w:eastAsia="Arial" w:cs="Arial"/>
          <w:spacing w:val="-6"/>
          <w:sz w:val="19"/>
          <w:szCs w:val="19"/>
        </w:rPr>
        <w:t>questionnaire</w:t>
      </w:r>
      <w:r>
        <w:rPr>
          <w:rFonts w:ascii="Arial" w:hAnsi="Arial" w:eastAsia="Arial" w:cs="Arial"/>
          <w:spacing w:val="43"/>
          <w:sz w:val="19"/>
          <w:szCs w:val="19"/>
        </w:rPr>
        <w:t xml:space="preserve"> </w:t>
      </w:r>
      <w:r>
        <w:rPr>
          <w:rFonts w:ascii="Arial" w:hAnsi="Arial" w:eastAsia="Arial" w:cs="Arial"/>
          <w:spacing w:val="-6"/>
          <w:sz w:val="19"/>
          <w:szCs w:val="19"/>
        </w:rPr>
        <w:t>represents</w:t>
      </w:r>
      <w:r>
        <w:rPr>
          <w:rFonts w:ascii="Arial" w:hAnsi="Arial" w:eastAsia="Arial" w:cs="Arial"/>
          <w:spacing w:val="36"/>
          <w:w w:val="101"/>
          <w:sz w:val="19"/>
          <w:szCs w:val="19"/>
        </w:rPr>
        <w:t xml:space="preserve"> </w:t>
      </w:r>
      <w:r>
        <w:rPr>
          <w:rFonts w:ascii="Arial" w:hAnsi="Arial" w:eastAsia="Arial" w:cs="Arial"/>
          <w:spacing w:val="-6"/>
          <w:sz w:val="19"/>
          <w:szCs w:val="19"/>
        </w:rPr>
        <w:t>a</w:t>
      </w:r>
      <w:r>
        <w:rPr>
          <w:rFonts w:ascii="Arial" w:hAnsi="Arial" w:eastAsia="Arial" w:cs="Arial"/>
          <w:spacing w:val="43"/>
          <w:sz w:val="19"/>
          <w:szCs w:val="19"/>
        </w:rPr>
        <w:t xml:space="preserve"> </w:t>
      </w:r>
      <w:r>
        <w:rPr>
          <w:rFonts w:ascii="Arial" w:hAnsi="Arial" w:eastAsia="Arial" w:cs="Arial"/>
          <w:spacing w:val="-6"/>
          <w:sz w:val="19"/>
          <w:szCs w:val="19"/>
        </w:rPr>
        <w:t>reliable</w:t>
      </w:r>
      <w:r>
        <w:rPr>
          <w:rFonts w:ascii="Arial" w:hAnsi="Arial" w:eastAsia="Arial" w:cs="Arial"/>
          <w:spacing w:val="37"/>
          <w:w w:val="101"/>
          <w:sz w:val="19"/>
          <w:szCs w:val="19"/>
        </w:rPr>
        <w:t xml:space="preserve"> </w:t>
      </w:r>
      <w:r>
        <w:rPr>
          <w:rFonts w:ascii="Arial" w:hAnsi="Arial" w:eastAsia="Arial" w:cs="Arial"/>
          <w:spacing w:val="-6"/>
          <w:sz w:val="19"/>
          <w:szCs w:val="19"/>
        </w:rPr>
        <w:t>and</w:t>
      </w:r>
      <w:r>
        <w:rPr>
          <w:rFonts w:ascii="Arial" w:hAnsi="Arial" w:eastAsia="Arial" w:cs="Arial"/>
          <w:sz w:val="19"/>
          <w:szCs w:val="19"/>
        </w:rPr>
        <w:t xml:space="preserve"> </w:t>
      </w:r>
      <w:r>
        <w:rPr>
          <w:rFonts w:ascii="Arial" w:hAnsi="Arial" w:eastAsia="Arial" w:cs="Arial"/>
          <w:spacing w:val="-5"/>
          <w:sz w:val="19"/>
          <w:szCs w:val="19"/>
        </w:rPr>
        <w:t>valid tool, assessing six dimensions of quality culture</w:t>
      </w:r>
      <w:r>
        <w:rPr>
          <w:rFonts w:ascii="Arial" w:hAnsi="Arial" w:eastAsia="Arial" w:cs="Arial"/>
          <w:spacing w:val="21"/>
          <w:w w:val="101"/>
          <w:sz w:val="19"/>
          <w:szCs w:val="19"/>
        </w:rPr>
        <w:t xml:space="preserve"> </w:t>
      </w:r>
      <w:r>
        <w:rPr>
          <w:rFonts w:ascii="Arial" w:hAnsi="Arial" w:eastAsia="Arial" w:cs="Arial"/>
          <w:spacing w:val="-5"/>
          <w:sz w:val="19"/>
          <w:szCs w:val="19"/>
        </w:rPr>
        <w:t>(commitment,</w:t>
      </w:r>
      <w:r>
        <w:rPr>
          <w:rFonts w:ascii="Arial" w:hAnsi="Arial" w:eastAsia="Arial" w:cs="Arial"/>
          <w:spacing w:val="12"/>
          <w:sz w:val="19"/>
          <w:szCs w:val="19"/>
        </w:rPr>
        <w:t xml:space="preserve"> </w:t>
      </w:r>
      <w:r>
        <w:rPr>
          <w:rFonts w:ascii="Arial" w:hAnsi="Arial" w:eastAsia="Arial" w:cs="Arial"/>
          <w:spacing w:val="-5"/>
          <w:sz w:val="19"/>
          <w:szCs w:val="19"/>
        </w:rPr>
        <w:t>responsibility,</w:t>
      </w:r>
      <w:r>
        <w:rPr>
          <w:rFonts w:ascii="Arial" w:hAnsi="Arial" w:eastAsia="Arial" w:cs="Arial"/>
          <w:spacing w:val="4"/>
          <w:sz w:val="19"/>
          <w:szCs w:val="19"/>
        </w:rPr>
        <w:t xml:space="preserve"> </w:t>
      </w:r>
      <w:r>
        <w:rPr>
          <w:rFonts w:ascii="Arial" w:hAnsi="Arial" w:eastAsia="Arial" w:cs="Arial"/>
          <w:spacing w:val="-5"/>
          <w:sz w:val="19"/>
          <w:szCs w:val="19"/>
        </w:rPr>
        <w:t>engagement,</w:t>
      </w:r>
      <w:r>
        <w:rPr>
          <w:rFonts w:ascii="Arial" w:hAnsi="Arial" w:eastAsia="Arial" w:cs="Arial"/>
          <w:spacing w:val="13"/>
          <w:w w:val="101"/>
          <w:sz w:val="19"/>
          <w:szCs w:val="19"/>
        </w:rPr>
        <w:t xml:space="preserve"> </w:t>
      </w:r>
      <w:r>
        <w:rPr>
          <w:rFonts w:ascii="Arial" w:hAnsi="Arial" w:eastAsia="Arial" w:cs="Arial"/>
          <w:spacing w:val="-5"/>
          <w:sz w:val="19"/>
          <w:szCs w:val="19"/>
        </w:rPr>
        <w:t>lea-</w:t>
      </w:r>
      <w:r>
        <w:rPr>
          <w:rFonts w:ascii="Arial" w:hAnsi="Arial" w:eastAsia="Arial" w:cs="Arial"/>
          <w:sz w:val="19"/>
          <w:szCs w:val="19"/>
        </w:rPr>
        <w:t xml:space="preserve"> </w:t>
      </w:r>
      <w:r>
        <w:rPr>
          <w:rFonts w:ascii="Arial" w:hAnsi="Arial" w:eastAsia="Arial" w:cs="Arial"/>
          <w:spacing w:val="-5"/>
          <w:sz w:val="19"/>
          <w:szCs w:val="19"/>
        </w:rPr>
        <w:t>dership,</w:t>
      </w:r>
      <w:r>
        <w:rPr>
          <w:rFonts w:ascii="Arial" w:hAnsi="Arial" w:eastAsia="Arial" w:cs="Arial"/>
          <w:spacing w:val="25"/>
          <w:w w:val="101"/>
          <w:sz w:val="19"/>
          <w:szCs w:val="19"/>
        </w:rPr>
        <w:t xml:space="preserve"> </w:t>
      </w:r>
      <w:r>
        <w:rPr>
          <w:rFonts w:ascii="Arial" w:hAnsi="Arial" w:eastAsia="Arial" w:cs="Arial"/>
          <w:spacing w:val="-5"/>
          <w:sz w:val="19"/>
          <w:szCs w:val="19"/>
        </w:rPr>
        <w:t>communication,</w:t>
      </w:r>
      <w:r>
        <w:rPr>
          <w:rFonts w:ascii="Arial" w:hAnsi="Arial" w:eastAsia="Arial" w:cs="Arial"/>
          <w:spacing w:val="26"/>
          <w:sz w:val="19"/>
          <w:szCs w:val="19"/>
        </w:rPr>
        <w:t xml:space="preserve"> </w:t>
      </w:r>
      <w:r>
        <w:rPr>
          <w:rFonts w:ascii="Arial" w:hAnsi="Arial" w:eastAsia="Arial" w:cs="Arial"/>
          <w:spacing w:val="-5"/>
          <w:sz w:val="19"/>
          <w:szCs w:val="19"/>
        </w:rPr>
        <w:t>and</w:t>
      </w:r>
      <w:r>
        <w:rPr>
          <w:rFonts w:ascii="Arial" w:hAnsi="Arial" w:eastAsia="Arial" w:cs="Arial"/>
          <w:spacing w:val="30"/>
          <w:w w:val="101"/>
          <w:sz w:val="19"/>
          <w:szCs w:val="19"/>
        </w:rPr>
        <w:t xml:space="preserve"> </w:t>
      </w:r>
      <w:r>
        <w:rPr>
          <w:rFonts w:ascii="Arial" w:hAnsi="Arial" w:eastAsia="Arial" w:cs="Arial"/>
          <w:spacing w:val="-5"/>
          <w:sz w:val="19"/>
          <w:szCs w:val="19"/>
        </w:rPr>
        <w:t>participation)</w:t>
      </w:r>
      <w:r>
        <w:rPr>
          <w:rFonts w:ascii="Arial" w:hAnsi="Arial" w:eastAsia="Arial" w:cs="Arial"/>
          <w:spacing w:val="30"/>
          <w:sz w:val="19"/>
          <w:szCs w:val="19"/>
        </w:rPr>
        <w:t xml:space="preserve"> </w:t>
      </w:r>
      <w:r>
        <w:rPr>
          <w:rFonts w:ascii="Arial" w:hAnsi="Arial" w:eastAsia="Arial" w:cs="Arial"/>
          <w:spacing w:val="-5"/>
          <w:sz w:val="19"/>
          <w:szCs w:val="19"/>
        </w:rPr>
        <w:t>(H1).</w:t>
      </w:r>
      <w:r>
        <w:rPr>
          <w:rFonts w:ascii="Arial" w:hAnsi="Arial" w:eastAsia="Arial" w:cs="Arial"/>
          <w:spacing w:val="28"/>
          <w:w w:val="101"/>
          <w:sz w:val="19"/>
          <w:szCs w:val="19"/>
        </w:rPr>
        <w:t xml:space="preserve"> </w:t>
      </w:r>
      <w:r>
        <w:rPr>
          <w:rFonts w:ascii="Arial" w:hAnsi="Arial" w:eastAsia="Arial" w:cs="Arial"/>
          <w:spacing w:val="-5"/>
          <w:sz w:val="19"/>
          <w:szCs w:val="19"/>
        </w:rPr>
        <w:t>Moreover,</w:t>
      </w:r>
      <w:r>
        <w:rPr>
          <w:rFonts w:ascii="Arial" w:hAnsi="Arial" w:eastAsia="Arial" w:cs="Arial"/>
          <w:spacing w:val="21"/>
          <w:sz w:val="19"/>
          <w:szCs w:val="19"/>
        </w:rPr>
        <w:t xml:space="preserve"> </w:t>
      </w:r>
      <w:r>
        <w:rPr>
          <w:rFonts w:ascii="Arial" w:hAnsi="Arial" w:eastAsia="Arial" w:cs="Arial"/>
          <w:spacing w:val="-5"/>
          <w:sz w:val="19"/>
          <w:szCs w:val="19"/>
        </w:rPr>
        <w:t>we</w:t>
      </w:r>
      <w:r>
        <w:rPr>
          <w:rFonts w:ascii="Arial" w:hAnsi="Arial" w:eastAsia="Arial" w:cs="Arial"/>
          <w:spacing w:val="30"/>
          <w:w w:val="101"/>
          <w:sz w:val="19"/>
          <w:szCs w:val="19"/>
        </w:rPr>
        <w:t xml:space="preserve"> </w:t>
      </w:r>
      <w:r>
        <w:rPr>
          <w:rFonts w:ascii="Arial" w:hAnsi="Arial" w:eastAsia="Arial" w:cs="Arial"/>
          <w:spacing w:val="-5"/>
          <w:sz w:val="19"/>
          <w:szCs w:val="19"/>
        </w:rPr>
        <w:t>propos</w:t>
      </w:r>
      <w:r>
        <w:rPr>
          <w:rFonts w:ascii="Arial" w:hAnsi="Arial" w:eastAsia="Arial" w:cs="Arial"/>
          <w:spacing w:val="-6"/>
          <w:sz w:val="19"/>
          <w:szCs w:val="19"/>
        </w:rPr>
        <w:t>e</w:t>
      </w:r>
      <w:r>
        <w:rPr>
          <w:rFonts w:ascii="Arial" w:hAnsi="Arial" w:eastAsia="Arial" w:cs="Arial"/>
          <w:spacing w:val="22"/>
          <w:w w:val="101"/>
          <w:sz w:val="19"/>
          <w:szCs w:val="19"/>
        </w:rPr>
        <w:t xml:space="preserve"> </w:t>
      </w:r>
      <w:r>
        <w:rPr>
          <w:rFonts w:ascii="Arial" w:hAnsi="Arial" w:eastAsia="Arial" w:cs="Arial"/>
          <w:spacing w:val="-6"/>
          <w:sz w:val="19"/>
          <w:szCs w:val="19"/>
        </w:rPr>
        <w:t>that</w:t>
      </w:r>
      <w:r>
        <w:rPr>
          <w:rFonts w:ascii="Arial" w:hAnsi="Arial" w:eastAsia="Arial" w:cs="Arial"/>
          <w:spacing w:val="21"/>
          <w:w w:val="101"/>
          <w:sz w:val="19"/>
          <w:szCs w:val="19"/>
        </w:rPr>
        <w:t xml:space="preserve"> </w:t>
      </w:r>
      <w:r>
        <w:rPr>
          <w:rFonts w:ascii="Arial" w:hAnsi="Arial" w:eastAsia="Arial" w:cs="Arial"/>
          <w:spacing w:val="-6"/>
          <w:sz w:val="19"/>
          <w:szCs w:val="19"/>
        </w:rPr>
        <w:t>these</w:t>
      </w:r>
      <w:r>
        <w:rPr>
          <w:rFonts w:ascii="Arial" w:hAnsi="Arial" w:eastAsia="Arial" w:cs="Arial"/>
          <w:spacing w:val="25"/>
          <w:w w:val="101"/>
          <w:sz w:val="19"/>
          <w:szCs w:val="19"/>
        </w:rPr>
        <w:t xml:space="preserve"> </w:t>
      </w:r>
      <w:r>
        <w:rPr>
          <w:rFonts w:ascii="Arial" w:hAnsi="Arial" w:eastAsia="Arial" w:cs="Arial"/>
          <w:spacing w:val="-6"/>
          <w:sz w:val="19"/>
          <w:szCs w:val="19"/>
        </w:rPr>
        <w:t>quality</w:t>
      </w:r>
      <w:r>
        <w:rPr>
          <w:rFonts w:ascii="Arial" w:hAnsi="Arial" w:eastAsia="Arial" w:cs="Arial"/>
          <w:spacing w:val="25"/>
          <w:w w:val="101"/>
          <w:sz w:val="19"/>
          <w:szCs w:val="19"/>
        </w:rPr>
        <w:t xml:space="preserve"> </w:t>
      </w:r>
      <w:r>
        <w:rPr>
          <w:rFonts w:ascii="Arial" w:hAnsi="Arial" w:eastAsia="Arial" w:cs="Arial"/>
          <w:spacing w:val="-6"/>
          <w:sz w:val="19"/>
          <w:szCs w:val="19"/>
        </w:rPr>
        <w:t>culture</w:t>
      </w:r>
      <w:r>
        <w:rPr>
          <w:rFonts w:ascii="Arial" w:hAnsi="Arial" w:eastAsia="Arial" w:cs="Arial"/>
          <w:sz w:val="19"/>
          <w:szCs w:val="19"/>
        </w:rPr>
        <w:t xml:space="preserve"> </w:t>
      </w:r>
      <w:r>
        <w:rPr>
          <w:rFonts w:ascii="Arial" w:hAnsi="Arial" w:eastAsia="Arial" w:cs="Arial"/>
          <w:spacing w:val="-5"/>
          <w:sz w:val="19"/>
          <w:szCs w:val="19"/>
        </w:rPr>
        <w:t>dimensions</w:t>
      </w:r>
      <w:r>
        <w:rPr>
          <w:rFonts w:ascii="Arial" w:hAnsi="Arial" w:eastAsia="Arial" w:cs="Arial"/>
          <w:spacing w:val="39"/>
          <w:sz w:val="19"/>
          <w:szCs w:val="19"/>
        </w:rPr>
        <w:t xml:space="preserve"> </w:t>
      </w:r>
      <w:r>
        <w:rPr>
          <w:rFonts w:ascii="Arial" w:hAnsi="Arial" w:eastAsia="Arial" w:cs="Arial"/>
          <w:spacing w:val="-5"/>
          <w:sz w:val="19"/>
          <w:szCs w:val="19"/>
        </w:rPr>
        <w:t>are</w:t>
      </w:r>
      <w:r>
        <w:rPr>
          <w:rFonts w:ascii="Arial" w:hAnsi="Arial" w:eastAsia="Arial" w:cs="Arial"/>
          <w:spacing w:val="43"/>
          <w:sz w:val="19"/>
          <w:szCs w:val="19"/>
        </w:rPr>
        <w:t xml:space="preserve"> </w:t>
      </w:r>
      <w:r>
        <w:rPr>
          <w:rFonts w:ascii="Arial" w:hAnsi="Arial" w:eastAsia="Arial" w:cs="Arial"/>
          <w:spacing w:val="-5"/>
          <w:sz w:val="19"/>
          <w:szCs w:val="19"/>
        </w:rPr>
        <w:t>positively</w:t>
      </w:r>
      <w:r>
        <w:rPr>
          <w:rFonts w:ascii="Arial" w:hAnsi="Arial" w:eastAsia="Arial" w:cs="Arial"/>
          <w:spacing w:val="45"/>
          <w:sz w:val="19"/>
          <w:szCs w:val="19"/>
        </w:rPr>
        <w:t xml:space="preserve"> </w:t>
      </w:r>
      <w:r>
        <w:rPr>
          <w:rFonts w:ascii="Arial" w:hAnsi="Arial" w:eastAsia="Arial" w:cs="Arial"/>
          <w:spacing w:val="-5"/>
          <w:sz w:val="19"/>
          <w:szCs w:val="19"/>
        </w:rPr>
        <w:t>related</w:t>
      </w:r>
      <w:r>
        <w:rPr>
          <w:rFonts w:ascii="Arial" w:hAnsi="Arial" w:eastAsia="Arial" w:cs="Arial"/>
          <w:spacing w:val="34"/>
          <w:sz w:val="19"/>
          <w:szCs w:val="19"/>
        </w:rPr>
        <w:t xml:space="preserve"> </w:t>
      </w:r>
      <w:r>
        <w:rPr>
          <w:rFonts w:ascii="Arial" w:hAnsi="Arial" w:eastAsia="Arial" w:cs="Arial"/>
          <w:spacing w:val="-5"/>
          <w:sz w:val="19"/>
          <w:szCs w:val="19"/>
        </w:rPr>
        <w:t>to</w:t>
      </w:r>
      <w:r>
        <w:rPr>
          <w:rFonts w:ascii="Arial" w:hAnsi="Arial" w:eastAsia="Arial" w:cs="Arial"/>
          <w:spacing w:val="37"/>
          <w:sz w:val="19"/>
          <w:szCs w:val="19"/>
        </w:rPr>
        <w:t xml:space="preserve"> </w:t>
      </w:r>
      <w:r>
        <w:rPr>
          <w:rFonts w:ascii="Arial" w:hAnsi="Arial" w:eastAsia="Arial" w:cs="Arial"/>
          <w:spacing w:val="-5"/>
          <w:sz w:val="19"/>
          <w:szCs w:val="19"/>
        </w:rPr>
        <w:t>a)</w:t>
      </w:r>
      <w:r>
        <w:rPr>
          <w:rFonts w:ascii="Arial" w:hAnsi="Arial" w:eastAsia="Arial" w:cs="Arial"/>
          <w:spacing w:val="33"/>
          <w:sz w:val="19"/>
          <w:szCs w:val="19"/>
        </w:rPr>
        <w:t xml:space="preserve"> </w:t>
      </w:r>
      <w:r>
        <w:rPr>
          <w:rFonts w:ascii="Arial" w:hAnsi="Arial" w:eastAsia="Arial" w:cs="Arial"/>
          <w:spacing w:val="-5"/>
          <w:sz w:val="19"/>
          <w:szCs w:val="19"/>
        </w:rPr>
        <w:t>the</w:t>
      </w:r>
      <w:r>
        <w:rPr>
          <w:rFonts w:ascii="Arial" w:hAnsi="Arial" w:eastAsia="Arial" w:cs="Arial"/>
          <w:spacing w:val="38"/>
          <w:w w:val="101"/>
          <w:sz w:val="19"/>
          <w:szCs w:val="19"/>
        </w:rPr>
        <w:t xml:space="preserve"> </w:t>
      </w:r>
      <w:r>
        <w:rPr>
          <w:rFonts w:ascii="Arial" w:hAnsi="Arial" w:eastAsia="Arial" w:cs="Arial"/>
          <w:spacing w:val="-5"/>
          <w:sz w:val="19"/>
          <w:szCs w:val="19"/>
        </w:rPr>
        <w:t>global</w:t>
      </w:r>
      <w:r>
        <w:rPr>
          <w:rFonts w:ascii="Arial" w:hAnsi="Arial" w:eastAsia="Arial" w:cs="Arial"/>
          <w:spacing w:val="37"/>
          <w:sz w:val="19"/>
          <w:szCs w:val="19"/>
        </w:rPr>
        <w:t xml:space="preserve"> </w:t>
      </w:r>
      <w:r>
        <w:rPr>
          <w:rFonts w:ascii="Arial" w:hAnsi="Arial" w:eastAsia="Arial" w:cs="Arial"/>
          <w:spacing w:val="-5"/>
          <w:sz w:val="19"/>
          <w:szCs w:val="19"/>
        </w:rPr>
        <w:t>assessment</w:t>
      </w:r>
      <w:r>
        <w:rPr>
          <w:rFonts w:ascii="Arial" w:hAnsi="Arial" w:eastAsia="Arial" w:cs="Arial"/>
          <w:spacing w:val="37"/>
          <w:sz w:val="19"/>
          <w:szCs w:val="19"/>
        </w:rPr>
        <w:t xml:space="preserve"> </w:t>
      </w:r>
      <w:r>
        <w:rPr>
          <w:rFonts w:ascii="Arial" w:hAnsi="Arial" w:eastAsia="Arial" w:cs="Arial"/>
          <w:spacing w:val="-5"/>
          <w:sz w:val="19"/>
          <w:szCs w:val="19"/>
        </w:rPr>
        <w:t>of</w:t>
      </w:r>
      <w:r>
        <w:rPr>
          <w:rFonts w:ascii="Arial" w:hAnsi="Arial" w:eastAsia="Arial" w:cs="Arial"/>
          <w:spacing w:val="26"/>
          <w:w w:val="101"/>
          <w:sz w:val="19"/>
          <w:szCs w:val="19"/>
        </w:rPr>
        <w:t xml:space="preserve"> </w:t>
      </w:r>
      <w:r>
        <w:rPr>
          <w:rFonts w:ascii="Arial" w:hAnsi="Arial" w:eastAsia="Arial" w:cs="Arial"/>
          <w:spacing w:val="-5"/>
          <w:sz w:val="19"/>
          <w:szCs w:val="19"/>
        </w:rPr>
        <w:t>the</w:t>
      </w:r>
      <w:r>
        <w:rPr>
          <w:rFonts w:ascii="Arial" w:hAnsi="Arial" w:eastAsia="Arial" w:cs="Arial"/>
          <w:spacing w:val="41"/>
          <w:w w:val="101"/>
          <w:sz w:val="19"/>
          <w:szCs w:val="19"/>
        </w:rPr>
        <w:t xml:space="preserve"> </w:t>
      </w:r>
      <w:r>
        <w:rPr>
          <w:rFonts w:ascii="Arial" w:hAnsi="Arial" w:eastAsia="Arial" w:cs="Arial"/>
          <w:spacing w:val="-5"/>
          <w:sz w:val="19"/>
          <w:szCs w:val="19"/>
        </w:rPr>
        <w:t>institution’s</w:t>
      </w:r>
      <w:r>
        <w:rPr>
          <w:rFonts w:ascii="Arial" w:hAnsi="Arial" w:eastAsia="Arial" w:cs="Arial"/>
          <w:spacing w:val="37"/>
          <w:sz w:val="19"/>
          <w:szCs w:val="19"/>
        </w:rPr>
        <w:t xml:space="preserve"> </w:t>
      </w:r>
      <w:r>
        <w:rPr>
          <w:rFonts w:ascii="Arial" w:hAnsi="Arial" w:eastAsia="Arial" w:cs="Arial"/>
          <w:spacing w:val="-5"/>
          <w:sz w:val="19"/>
          <w:szCs w:val="19"/>
        </w:rPr>
        <w:t>quality</w:t>
      </w:r>
      <w:r>
        <w:rPr>
          <w:rFonts w:ascii="Arial" w:hAnsi="Arial" w:eastAsia="Arial" w:cs="Arial"/>
          <w:spacing w:val="38"/>
          <w:sz w:val="19"/>
          <w:szCs w:val="19"/>
        </w:rPr>
        <w:t xml:space="preserve"> </w:t>
      </w:r>
      <w:r>
        <w:rPr>
          <w:rFonts w:ascii="Arial" w:hAnsi="Arial" w:eastAsia="Arial" w:cs="Arial"/>
          <w:spacing w:val="-5"/>
          <w:sz w:val="19"/>
          <w:szCs w:val="19"/>
        </w:rPr>
        <w:t>cultu</w:t>
      </w:r>
      <w:r>
        <w:rPr>
          <w:rFonts w:ascii="Arial" w:hAnsi="Arial" w:eastAsia="Arial" w:cs="Arial"/>
          <w:spacing w:val="-6"/>
          <w:sz w:val="19"/>
          <w:szCs w:val="19"/>
        </w:rPr>
        <w:t>re</w:t>
      </w:r>
      <w:r>
        <w:rPr>
          <w:rFonts w:ascii="Arial" w:hAnsi="Arial" w:eastAsia="Arial" w:cs="Arial"/>
          <w:sz w:val="19"/>
          <w:szCs w:val="19"/>
        </w:rPr>
        <w:t xml:space="preserve"> </w:t>
      </w:r>
      <w:r>
        <w:rPr>
          <w:rFonts w:ascii="Arial" w:hAnsi="Arial" w:eastAsia="Arial" w:cs="Arial"/>
          <w:spacing w:val="-6"/>
          <w:sz w:val="19"/>
          <w:szCs w:val="19"/>
        </w:rPr>
        <w:t>(H2);</w:t>
      </w:r>
      <w:r>
        <w:rPr>
          <w:rFonts w:ascii="Arial" w:hAnsi="Arial" w:eastAsia="Arial" w:cs="Arial"/>
          <w:spacing w:val="27"/>
          <w:w w:val="101"/>
          <w:sz w:val="19"/>
          <w:szCs w:val="19"/>
        </w:rPr>
        <w:t xml:space="preserve"> </w:t>
      </w:r>
      <w:r>
        <w:rPr>
          <w:rFonts w:ascii="Arial" w:hAnsi="Arial" w:eastAsia="Arial" w:cs="Arial"/>
          <w:spacing w:val="-6"/>
          <w:sz w:val="19"/>
          <w:szCs w:val="19"/>
        </w:rPr>
        <w:t>b)</w:t>
      </w:r>
      <w:r>
        <w:rPr>
          <w:rFonts w:ascii="Arial" w:hAnsi="Arial" w:eastAsia="Arial" w:cs="Arial"/>
          <w:spacing w:val="22"/>
          <w:sz w:val="19"/>
          <w:szCs w:val="19"/>
        </w:rPr>
        <w:t xml:space="preserve"> </w:t>
      </w:r>
      <w:r>
        <w:rPr>
          <w:rFonts w:ascii="Arial" w:hAnsi="Arial" w:eastAsia="Arial" w:cs="Arial"/>
          <w:spacing w:val="-6"/>
          <w:sz w:val="19"/>
          <w:szCs w:val="19"/>
        </w:rPr>
        <w:t>employer</w:t>
      </w:r>
      <w:r>
        <w:rPr>
          <w:rFonts w:ascii="Arial" w:hAnsi="Arial" w:eastAsia="Arial" w:cs="Arial"/>
          <w:spacing w:val="27"/>
          <w:sz w:val="19"/>
          <w:szCs w:val="19"/>
        </w:rPr>
        <w:t xml:space="preserve"> </w:t>
      </w:r>
      <w:r>
        <w:rPr>
          <w:rFonts w:ascii="Arial" w:hAnsi="Arial" w:eastAsia="Arial" w:cs="Arial"/>
          <w:spacing w:val="-6"/>
          <w:sz w:val="19"/>
          <w:szCs w:val="19"/>
        </w:rPr>
        <w:t>(HEI)</w:t>
      </w:r>
      <w:r>
        <w:rPr>
          <w:rFonts w:ascii="Arial" w:hAnsi="Arial" w:eastAsia="Arial" w:cs="Arial"/>
          <w:spacing w:val="21"/>
          <w:w w:val="101"/>
          <w:sz w:val="19"/>
          <w:szCs w:val="19"/>
        </w:rPr>
        <w:t xml:space="preserve"> </w:t>
      </w:r>
      <w:r>
        <w:rPr>
          <w:rFonts w:ascii="Arial" w:hAnsi="Arial" w:eastAsia="Arial" w:cs="Arial"/>
          <w:spacing w:val="-6"/>
          <w:sz w:val="19"/>
          <w:szCs w:val="19"/>
        </w:rPr>
        <w:t>and job</w:t>
      </w:r>
      <w:r>
        <w:rPr>
          <w:rFonts w:ascii="Arial" w:hAnsi="Arial" w:eastAsia="Arial" w:cs="Arial"/>
          <w:spacing w:val="23"/>
          <w:sz w:val="19"/>
          <w:szCs w:val="19"/>
        </w:rPr>
        <w:t xml:space="preserve"> </w:t>
      </w:r>
      <w:r>
        <w:rPr>
          <w:rFonts w:ascii="Arial" w:hAnsi="Arial" w:eastAsia="Arial" w:cs="Arial"/>
          <w:spacing w:val="-6"/>
          <w:sz w:val="19"/>
          <w:szCs w:val="19"/>
        </w:rPr>
        <w:t>satisfaction</w:t>
      </w:r>
      <w:r>
        <w:rPr>
          <w:rFonts w:ascii="Arial" w:hAnsi="Arial" w:eastAsia="Arial" w:cs="Arial"/>
          <w:spacing w:val="26"/>
          <w:w w:val="101"/>
          <w:sz w:val="19"/>
          <w:szCs w:val="19"/>
        </w:rPr>
        <w:t xml:space="preserve"> </w:t>
      </w:r>
      <w:r>
        <w:rPr>
          <w:rFonts w:ascii="Arial" w:hAnsi="Arial" w:eastAsia="Arial" w:cs="Arial"/>
          <w:spacing w:val="-6"/>
          <w:sz w:val="19"/>
          <w:szCs w:val="19"/>
        </w:rPr>
        <w:t>(H3);</w:t>
      </w:r>
      <w:r>
        <w:rPr>
          <w:rFonts w:ascii="Arial" w:hAnsi="Arial" w:eastAsia="Arial" w:cs="Arial"/>
          <w:spacing w:val="22"/>
          <w:sz w:val="19"/>
          <w:szCs w:val="19"/>
        </w:rPr>
        <w:t xml:space="preserve"> </w:t>
      </w:r>
      <w:r>
        <w:rPr>
          <w:rFonts w:ascii="Arial" w:hAnsi="Arial" w:eastAsia="Arial" w:cs="Arial"/>
          <w:spacing w:val="-6"/>
          <w:sz w:val="19"/>
          <w:szCs w:val="19"/>
        </w:rPr>
        <w:t>c)</w:t>
      </w:r>
      <w:r>
        <w:rPr>
          <w:rFonts w:ascii="Arial" w:hAnsi="Arial" w:eastAsia="Arial" w:cs="Arial"/>
          <w:spacing w:val="22"/>
          <w:sz w:val="19"/>
          <w:szCs w:val="19"/>
        </w:rPr>
        <w:t xml:space="preserve"> </w:t>
      </w:r>
      <w:r>
        <w:rPr>
          <w:rFonts w:ascii="Arial" w:hAnsi="Arial" w:eastAsia="Arial" w:cs="Arial"/>
          <w:spacing w:val="-6"/>
          <w:sz w:val="19"/>
          <w:szCs w:val="19"/>
        </w:rPr>
        <w:t>commitment</w:t>
      </w:r>
      <w:r>
        <w:rPr>
          <w:rFonts w:ascii="Arial" w:hAnsi="Arial" w:eastAsia="Arial" w:cs="Arial"/>
          <w:spacing w:val="18"/>
          <w:sz w:val="19"/>
          <w:szCs w:val="19"/>
        </w:rPr>
        <w:t xml:space="preserve"> </w:t>
      </w:r>
      <w:r>
        <w:rPr>
          <w:rFonts w:ascii="Arial" w:hAnsi="Arial" w:eastAsia="Arial" w:cs="Arial"/>
          <w:spacing w:val="-6"/>
          <w:sz w:val="19"/>
          <w:szCs w:val="19"/>
        </w:rPr>
        <w:t>towards</w:t>
      </w:r>
      <w:r>
        <w:rPr>
          <w:rFonts w:ascii="Arial" w:hAnsi="Arial" w:eastAsia="Arial" w:cs="Arial"/>
          <w:spacing w:val="17"/>
          <w:sz w:val="19"/>
          <w:szCs w:val="19"/>
        </w:rPr>
        <w:t xml:space="preserve"> </w:t>
      </w:r>
      <w:r>
        <w:rPr>
          <w:rFonts w:ascii="Arial" w:hAnsi="Arial" w:eastAsia="Arial" w:cs="Arial"/>
          <w:spacing w:val="-6"/>
          <w:sz w:val="19"/>
          <w:szCs w:val="19"/>
        </w:rPr>
        <w:t>the</w:t>
      </w:r>
      <w:r>
        <w:rPr>
          <w:rFonts w:ascii="Arial" w:hAnsi="Arial" w:eastAsia="Arial" w:cs="Arial"/>
          <w:spacing w:val="27"/>
          <w:sz w:val="19"/>
          <w:szCs w:val="19"/>
        </w:rPr>
        <w:t xml:space="preserve"> </w:t>
      </w:r>
      <w:r>
        <w:rPr>
          <w:rFonts w:ascii="Arial" w:hAnsi="Arial" w:eastAsia="Arial" w:cs="Arial"/>
          <w:spacing w:val="-6"/>
          <w:sz w:val="19"/>
          <w:szCs w:val="19"/>
        </w:rPr>
        <w:t>inst</w:t>
      </w:r>
      <w:r>
        <w:rPr>
          <w:rFonts w:ascii="Arial" w:hAnsi="Arial" w:eastAsia="Arial" w:cs="Arial"/>
          <w:spacing w:val="-7"/>
          <w:sz w:val="19"/>
          <w:szCs w:val="19"/>
        </w:rPr>
        <w:t>itution</w:t>
      </w:r>
      <w:r>
        <w:rPr>
          <w:rFonts w:ascii="Arial" w:hAnsi="Arial" w:eastAsia="Arial" w:cs="Arial"/>
          <w:spacing w:val="27"/>
          <w:sz w:val="19"/>
          <w:szCs w:val="19"/>
        </w:rPr>
        <w:t xml:space="preserve"> </w:t>
      </w:r>
      <w:r>
        <w:rPr>
          <w:rFonts w:ascii="Arial" w:hAnsi="Arial" w:eastAsia="Arial" w:cs="Arial"/>
          <w:spacing w:val="-7"/>
          <w:sz w:val="19"/>
          <w:szCs w:val="19"/>
        </w:rPr>
        <w:t>(H4);</w:t>
      </w:r>
      <w:r>
        <w:rPr>
          <w:rFonts w:ascii="Arial" w:hAnsi="Arial" w:eastAsia="Arial" w:cs="Arial"/>
          <w:spacing w:val="22"/>
          <w:w w:val="101"/>
          <w:sz w:val="19"/>
          <w:szCs w:val="19"/>
        </w:rPr>
        <w:t xml:space="preserve"> </w:t>
      </w:r>
      <w:r>
        <w:rPr>
          <w:rFonts w:ascii="Arial" w:hAnsi="Arial" w:eastAsia="Arial" w:cs="Arial"/>
          <w:spacing w:val="-7"/>
          <w:sz w:val="19"/>
          <w:szCs w:val="19"/>
        </w:rPr>
        <w:t>and</w:t>
      </w:r>
      <w:r>
        <w:rPr>
          <w:rFonts w:ascii="Arial" w:hAnsi="Arial" w:eastAsia="Arial" w:cs="Arial"/>
          <w:sz w:val="19"/>
          <w:szCs w:val="19"/>
        </w:rPr>
        <w:t xml:space="preserve"> </w:t>
      </w:r>
      <w:r>
        <w:rPr>
          <w:rFonts w:ascii="Arial" w:hAnsi="Arial" w:eastAsia="Arial" w:cs="Arial"/>
          <w:spacing w:val="-4"/>
          <w:sz w:val="19"/>
          <w:szCs w:val="19"/>
        </w:rPr>
        <w:t>d)</w:t>
      </w:r>
      <w:r>
        <w:rPr>
          <w:rFonts w:ascii="Arial" w:hAnsi="Arial" w:eastAsia="Arial" w:cs="Arial"/>
          <w:spacing w:val="12"/>
          <w:sz w:val="19"/>
          <w:szCs w:val="19"/>
        </w:rPr>
        <w:t xml:space="preserve"> </w:t>
      </w:r>
      <w:r>
        <w:rPr>
          <w:rFonts w:ascii="Arial" w:hAnsi="Arial" w:eastAsia="Arial" w:cs="Arial"/>
          <w:spacing w:val="-4"/>
          <w:sz w:val="19"/>
          <w:szCs w:val="19"/>
        </w:rPr>
        <w:t>career</w:t>
      </w:r>
      <w:r>
        <w:rPr>
          <w:rFonts w:ascii="Arial" w:hAnsi="Arial" w:eastAsia="Arial" w:cs="Arial"/>
          <w:spacing w:val="12"/>
          <w:sz w:val="19"/>
          <w:szCs w:val="19"/>
        </w:rPr>
        <w:t xml:space="preserve"> </w:t>
      </w:r>
      <w:r>
        <w:rPr>
          <w:rFonts w:ascii="Arial" w:hAnsi="Arial" w:eastAsia="Arial" w:cs="Arial"/>
          <w:spacing w:val="-4"/>
          <w:sz w:val="19"/>
          <w:szCs w:val="19"/>
        </w:rPr>
        <w:t>development</w:t>
      </w:r>
      <w:r>
        <w:rPr>
          <w:rFonts w:ascii="Arial" w:hAnsi="Arial" w:eastAsia="Arial" w:cs="Arial"/>
          <w:spacing w:val="12"/>
          <w:sz w:val="19"/>
          <w:szCs w:val="19"/>
        </w:rPr>
        <w:t xml:space="preserve"> </w:t>
      </w:r>
      <w:r>
        <w:rPr>
          <w:rFonts w:ascii="Arial" w:hAnsi="Arial" w:eastAsia="Arial" w:cs="Arial"/>
          <w:spacing w:val="-4"/>
          <w:sz w:val="19"/>
          <w:szCs w:val="19"/>
        </w:rPr>
        <w:t>and</w:t>
      </w:r>
      <w:r>
        <w:rPr>
          <w:rFonts w:ascii="Arial" w:hAnsi="Arial" w:eastAsia="Arial" w:cs="Arial"/>
          <w:spacing w:val="18"/>
          <w:sz w:val="19"/>
          <w:szCs w:val="19"/>
        </w:rPr>
        <w:t xml:space="preserve"> </w:t>
      </w:r>
      <w:r>
        <w:rPr>
          <w:rFonts w:ascii="Arial" w:hAnsi="Arial" w:eastAsia="Arial" w:cs="Arial"/>
          <w:spacing w:val="-4"/>
          <w:sz w:val="19"/>
          <w:szCs w:val="19"/>
        </w:rPr>
        <w:t>prof</w:t>
      </w:r>
      <w:r>
        <w:rPr>
          <w:rFonts w:ascii="Arial" w:hAnsi="Arial" w:eastAsia="Arial" w:cs="Arial"/>
          <w:spacing w:val="-5"/>
          <w:sz w:val="19"/>
          <w:szCs w:val="19"/>
        </w:rPr>
        <w:t>essional</w:t>
      </w:r>
      <w:r>
        <w:rPr>
          <w:rFonts w:ascii="Arial" w:hAnsi="Arial" w:eastAsia="Arial" w:cs="Arial"/>
          <w:spacing w:val="13"/>
          <w:w w:val="101"/>
          <w:sz w:val="19"/>
          <w:szCs w:val="19"/>
        </w:rPr>
        <w:t xml:space="preserve"> </w:t>
      </w:r>
      <w:r>
        <w:rPr>
          <w:rFonts w:ascii="Arial" w:hAnsi="Arial" w:eastAsia="Arial" w:cs="Arial"/>
          <w:spacing w:val="-5"/>
          <w:sz w:val="19"/>
          <w:szCs w:val="19"/>
        </w:rPr>
        <w:t>exchange</w:t>
      </w:r>
      <w:r>
        <w:rPr>
          <w:rFonts w:ascii="Arial" w:hAnsi="Arial" w:eastAsia="Arial" w:cs="Arial"/>
          <w:spacing w:val="12"/>
          <w:sz w:val="19"/>
          <w:szCs w:val="19"/>
        </w:rPr>
        <w:t xml:space="preserve"> </w:t>
      </w:r>
      <w:r>
        <w:rPr>
          <w:rFonts w:ascii="Arial" w:hAnsi="Arial" w:eastAsia="Arial" w:cs="Arial"/>
          <w:spacing w:val="-5"/>
          <w:sz w:val="19"/>
          <w:szCs w:val="19"/>
        </w:rPr>
        <w:t>orientation</w:t>
      </w:r>
      <w:r>
        <w:rPr>
          <w:rFonts w:ascii="Arial" w:hAnsi="Arial" w:eastAsia="Arial" w:cs="Arial"/>
          <w:spacing w:val="13"/>
          <w:w w:val="101"/>
          <w:sz w:val="19"/>
          <w:szCs w:val="19"/>
        </w:rPr>
        <w:t xml:space="preserve"> </w:t>
      </w:r>
      <w:r>
        <w:rPr>
          <w:rFonts w:ascii="Arial" w:hAnsi="Arial" w:eastAsia="Arial" w:cs="Arial"/>
          <w:spacing w:val="-5"/>
          <w:sz w:val="19"/>
          <w:szCs w:val="19"/>
        </w:rPr>
        <w:t>of the</w:t>
      </w:r>
      <w:r>
        <w:rPr>
          <w:rFonts w:ascii="Arial" w:hAnsi="Arial" w:eastAsia="Arial" w:cs="Arial"/>
          <w:spacing w:val="16"/>
          <w:w w:val="101"/>
          <w:sz w:val="19"/>
          <w:szCs w:val="19"/>
        </w:rPr>
        <w:t xml:space="preserve"> </w:t>
      </w:r>
      <w:r>
        <w:rPr>
          <w:rFonts w:ascii="Arial" w:hAnsi="Arial" w:eastAsia="Arial" w:cs="Arial"/>
          <w:spacing w:val="-5"/>
          <w:sz w:val="19"/>
          <w:szCs w:val="19"/>
        </w:rPr>
        <w:t>institution</w:t>
      </w:r>
      <w:r>
        <w:rPr>
          <w:rFonts w:ascii="Arial" w:hAnsi="Arial" w:eastAsia="Arial" w:cs="Arial"/>
          <w:spacing w:val="16"/>
          <w:w w:val="101"/>
          <w:sz w:val="19"/>
          <w:szCs w:val="19"/>
        </w:rPr>
        <w:t xml:space="preserve"> </w:t>
      </w:r>
      <w:r>
        <w:rPr>
          <w:rFonts w:ascii="Arial" w:hAnsi="Arial" w:eastAsia="Arial" w:cs="Arial"/>
          <w:spacing w:val="-5"/>
          <w:sz w:val="19"/>
          <w:szCs w:val="19"/>
        </w:rPr>
        <w:t>(H5).</w:t>
      </w:r>
    </w:p>
    <w:p>
      <w:pPr>
        <w:spacing w:line="478" w:lineRule="auto"/>
        <w:rPr>
          <w:rFonts w:ascii="Arial"/>
          <w:sz w:val="21"/>
        </w:rPr>
      </w:pPr>
    </w:p>
    <w:p>
      <w:pPr>
        <w:spacing w:before="57" w:line="195" w:lineRule="auto"/>
        <w:outlineLvl w:val="3"/>
        <w:rPr>
          <w:rFonts w:ascii="Arial" w:hAnsi="Arial" w:eastAsia="Arial" w:cs="Arial"/>
          <w:sz w:val="20"/>
          <w:szCs w:val="20"/>
        </w:rPr>
      </w:pPr>
      <w:r>
        <w:rPr>
          <w:rFonts w:ascii="Arial" w:hAnsi="Arial" w:eastAsia="Arial" w:cs="Arial"/>
          <w:color w:val="282781"/>
          <w:spacing w:val="-1"/>
          <w:sz w:val="20"/>
          <w:szCs w:val="20"/>
        </w:rPr>
        <w:t>Study participants</w:t>
      </w:r>
    </w:p>
    <w:p>
      <w:pPr>
        <w:spacing w:before="180" w:line="257" w:lineRule="auto"/>
        <w:ind w:left="3" w:right="6" w:hanging="3"/>
        <w:jc w:val="both"/>
        <w:rPr>
          <w:rFonts w:ascii="Arial" w:hAnsi="Arial" w:eastAsia="Arial" w:cs="Arial"/>
          <w:sz w:val="19"/>
          <w:szCs w:val="19"/>
        </w:rPr>
      </w:pPr>
      <w:r>
        <w:rPr>
          <w:rFonts w:ascii="Arial" w:hAnsi="Arial" w:eastAsia="Arial" w:cs="Arial"/>
          <w:spacing w:val="-6"/>
          <w:sz w:val="19"/>
          <w:szCs w:val="19"/>
        </w:rPr>
        <w:t>The QCI was</w:t>
      </w:r>
      <w:r>
        <w:rPr>
          <w:rFonts w:ascii="Arial" w:hAnsi="Arial" w:eastAsia="Arial" w:cs="Arial"/>
          <w:spacing w:val="15"/>
          <w:sz w:val="19"/>
          <w:szCs w:val="19"/>
        </w:rPr>
        <w:t xml:space="preserve"> </w:t>
      </w:r>
      <w:r>
        <w:rPr>
          <w:rFonts w:ascii="Arial" w:hAnsi="Arial" w:eastAsia="Arial" w:cs="Arial"/>
          <w:spacing w:val="-6"/>
          <w:sz w:val="19"/>
          <w:szCs w:val="19"/>
        </w:rPr>
        <w:t>piloted</w:t>
      </w:r>
      <w:r>
        <w:rPr>
          <w:rFonts w:ascii="Arial" w:hAnsi="Arial" w:eastAsia="Arial" w:cs="Arial"/>
          <w:spacing w:val="9"/>
          <w:sz w:val="19"/>
          <w:szCs w:val="19"/>
        </w:rPr>
        <w:t xml:space="preserve"> </w:t>
      </w:r>
      <w:r>
        <w:rPr>
          <w:rFonts w:ascii="Arial" w:hAnsi="Arial" w:eastAsia="Arial" w:cs="Arial"/>
          <w:spacing w:val="-6"/>
          <w:sz w:val="19"/>
          <w:szCs w:val="19"/>
        </w:rPr>
        <w:t>and</w:t>
      </w:r>
      <w:r>
        <w:rPr>
          <w:rFonts w:ascii="Arial" w:hAnsi="Arial" w:eastAsia="Arial" w:cs="Arial"/>
          <w:spacing w:val="13"/>
          <w:w w:val="101"/>
          <w:sz w:val="19"/>
          <w:szCs w:val="19"/>
        </w:rPr>
        <w:t xml:space="preserve"> </w:t>
      </w:r>
      <w:r>
        <w:rPr>
          <w:rFonts w:ascii="Arial" w:hAnsi="Arial" w:eastAsia="Arial" w:cs="Arial"/>
          <w:spacing w:val="-6"/>
          <w:sz w:val="19"/>
          <w:szCs w:val="19"/>
        </w:rPr>
        <w:t>implemented at three</w:t>
      </w:r>
      <w:r>
        <w:rPr>
          <w:rFonts w:ascii="Arial" w:hAnsi="Arial" w:eastAsia="Arial" w:cs="Arial"/>
          <w:spacing w:val="15"/>
          <w:w w:val="101"/>
          <w:sz w:val="19"/>
          <w:szCs w:val="19"/>
        </w:rPr>
        <w:t xml:space="preserve"> </w:t>
      </w:r>
      <w:r>
        <w:rPr>
          <w:rFonts w:ascii="Arial" w:hAnsi="Arial" w:eastAsia="Arial" w:cs="Arial"/>
          <w:spacing w:val="-6"/>
          <w:sz w:val="19"/>
          <w:szCs w:val="19"/>
        </w:rPr>
        <w:t>HEIs</w:t>
      </w:r>
      <w:r>
        <w:rPr>
          <w:rFonts w:ascii="Arial" w:hAnsi="Arial" w:eastAsia="Arial" w:cs="Arial"/>
          <w:spacing w:val="13"/>
          <w:w w:val="101"/>
          <w:sz w:val="19"/>
          <w:szCs w:val="19"/>
        </w:rPr>
        <w:t xml:space="preserve"> </w:t>
      </w:r>
      <w:r>
        <w:rPr>
          <w:rFonts w:ascii="Arial" w:hAnsi="Arial" w:eastAsia="Arial" w:cs="Arial"/>
          <w:spacing w:val="-6"/>
          <w:sz w:val="19"/>
          <w:szCs w:val="19"/>
        </w:rPr>
        <w:t>i</w:t>
      </w:r>
      <w:r>
        <w:rPr>
          <w:rFonts w:ascii="Arial" w:hAnsi="Arial" w:eastAsia="Arial" w:cs="Arial"/>
          <w:spacing w:val="-7"/>
          <w:sz w:val="19"/>
          <w:szCs w:val="19"/>
        </w:rPr>
        <w:t>n</w:t>
      </w:r>
      <w:r>
        <w:rPr>
          <w:rFonts w:ascii="Arial" w:hAnsi="Arial" w:eastAsia="Arial" w:cs="Arial"/>
          <w:spacing w:val="7"/>
          <w:sz w:val="19"/>
          <w:szCs w:val="19"/>
        </w:rPr>
        <w:t xml:space="preserve"> </w:t>
      </w:r>
      <w:r>
        <w:rPr>
          <w:rFonts w:ascii="Arial" w:hAnsi="Arial" w:eastAsia="Arial" w:cs="Arial"/>
          <w:spacing w:val="-7"/>
          <w:sz w:val="19"/>
          <w:szCs w:val="19"/>
        </w:rPr>
        <w:t>Germany,</w:t>
      </w:r>
      <w:r>
        <w:rPr>
          <w:rFonts w:ascii="Arial" w:hAnsi="Arial" w:eastAsia="Arial" w:cs="Arial"/>
          <w:spacing w:val="15"/>
          <w:sz w:val="19"/>
          <w:szCs w:val="19"/>
        </w:rPr>
        <w:t xml:space="preserve"> </w:t>
      </w:r>
      <w:r>
        <w:rPr>
          <w:rFonts w:ascii="Arial" w:hAnsi="Arial" w:eastAsia="Arial" w:cs="Arial"/>
          <w:spacing w:val="-7"/>
          <w:sz w:val="19"/>
          <w:szCs w:val="19"/>
        </w:rPr>
        <w:t>representing</w:t>
      </w:r>
      <w:r>
        <w:rPr>
          <w:rFonts w:ascii="Arial" w:hAnsi="Arial" w:eastAsia="Arial" w:cs="Arial"/>
          <w:spacing w:val="8"/>
          <w:sz w:val="19"/>
          <w:szCs w:val="19"/>
        </w:rPr>
        <w:t xml:space="preserve"> </w:t>
      </w:r>
      <w:r>
        <w:rPr>
          <w:rFonts w:ascii="Arial" w:hAnsi="Arial" w:eastAsia="Arial" w:cs="Arial"/>
          <w:spacing w:val="-7"/>
          <w:sz w:val="19"/>
          <w:szCs w:val="19"/>
        </w:rPr>
        <w:t>diferent</w:t>
      </w:r>
      <w:r>
        <w:rPr>
          <w:rFonts w:ascii="Arial" w:hAnsi="Arial" w:eastAsia="Arial" w:cs="Arial"/>
          <w:spacing w:val="16"/>
          <w:w w:val="101"/>
          <w:sz w:val="19"/>
          <w:szCs w:val="19"/>
        </w:rPr>
        <w:t xml:space="preserve"> </w:t>
      </w:r>
      <w:r>
        <w:rPr>
          <w:rFonts w:ascii="Arial" w:hAnsi="Arial" w:eastAsia="Arial" w:cs="Arial"/>
          <w:spacing w:val="-7"/>
          <w:sz w:val="19"/>
          <w:szCs w:val="19"/>
        </w:rPr>
        <w:t>HEI</w:t>
      </w:r>
      <w:r>
        <w:rPr>
          <w:rFonts w:ascii="Arial" w:hAnsi="Arial" w:eastAsia="Arial" w:cs="Arial"/>
          <w:spacing w:val="6"/>
          <w:sz w:val="19"/>
          <w:szCs w:val="19"/>
        </w:rPr>
        <w:t xml:space="preserve"> </w:t>
      </w:r>
      <w:r>
        <w:rPr>
          <w:rFonts w:ascii="Arial" w:hAnsi="Arial" w:eastAsia="Arial" w:cs="Arial"/>
          <w:spacing w:val="-7"/>
          <w:sz w:val="19"/>
          <w:szCs w:val="19"/>
        </w:rPr>
        <w:t>types:</w:t>
      </w:r>
      <w:r>
        <w:rPr>
          <w:rFonts w:ascii="Arial" w:hAnsi="Arial" w:eastAsia="Arial" w:cs="Arial"/>
          <w:spacing w:val="8"/>
          <w:sz w:val="19"/>
          <w:szCs w:val="19"/>
        </w:rPr>
        <w:t xml:space="preserve"> </w:t>
      </w:r>
      <w:r>
        <w:rPr>
          <w:rFonts w:ascii="Arial" w:hAnsi="Arial" w:eastAsia="Arial" w:cs="Arial"/>
          <w:spacing w:val="-7"/>
          <w:sz w:val="19"/>
          <w:szCs w:val="19"/>
        </w:rPr>
        <w:t>a</w:t>
      </w:r>
      <w:r>
        <w:rPr>
          <w:rFonts w:ascii="Arial" w:hAnsi="Arial" w:eastAsia="Arial" w:cs="Arial"/>
          <w:sz w:val="19"/>
          <w:szCs w:val="19"/>
        </w:rPr>
        <w:t xml:space="preserve"> </w:t>
      </w:r>
      <w:r>
        <w:rPr>
          <w:rFonts w:ascii="Arial" w:hAnsi="Arial" w:eastAsia="Arial" w:cs="Arial"/>
          <w:spacing w:val="-7"/>
          <w:sz w:val="19"/>
          <w:szCs w:val="19"/>
        </w:rPr>
        <w:t>comprehensive</w:t>
      </w:r>
      <w:r>
        <w:rPr>
          <w:rFonts w:ascii="Arial" w:hAnsi="Arial" w:eastAsia="Arial" w:cs="Arial"/>
          <w:spacing w:val="14"/>
          <w:sz w:val="19"/>
          <w:szCs w:val="19"/>
        </w:rPr>
        <w:t xml:space="preserve"> </w:t>
      </w:r>
      <w:r>
        <w:rPr>
          <w:rFonts w:ascii="Arial" w:hAnsi="Arial" w:eastAsia="Arial" w:cs="Arial"/>
          <w:spacing w:val="-7"/>
          <w:sz w:val="19"/>
          <w:szCs w:val="19"/>
        </w:rPr>
        <w:t>university with</w:t>
      </w:r>
      <w:r>
        <w:rPr>
          <w:rFonts w:ascii="Arial" w:hAnsi="Arial" w:eastAsia="Arial" w:cs="Arial"/>
          <w:spacing w:val="8"/>
          <w:sz w:val="19"/>
          <w:szCs w:val="19"/>
        </w:rPr>
        <w:t xml:space="preserve"> </w:t>
      </w:r>
      <w:r>
        <w:rPr>
          <w:rFonts w:ascii="Arial" w:hAnsi="Arial" w:eastAsia="Arial" w:cs="Arial"/>
          <w:spacing w:val="-7"/>
          <w:sz w:val="19"/>
          <w:szCs w:val="19"/>
        </w:rPr>
        <w:t>excellence</w:t>
      </w:r>
      <w:r>
        <w:rPr>
          <w:rFonts w:ascii="Arial" w:hAnsi="Arial" w:eastAsia="Arial" w:cs="Arial"/>
          <w:spacing w:val="9"/>
          <w:sz w:val="19"/>
          <w:szCs w:val="19"/>
        </w:rPr>
        <w:t xml:space="preserve"> </w:t>
      </w:r>
      <w:r>
        <w:rPr>
          <w:rFonts w:ascii="Arial" w:hAnsi="Arial" w:eastAsia="Arial" w:cs="Arial"/>
          <w:spacing w:val="-7"/>
          <w:sz w:val="19"/>
          <w:szCs w:val="19"/>
        </w:rPr>
        <w:t>status</w:t>
      </w:r>
      <w:r>
        <w:rPr>
          <w:rFonts w:ascii="Arial" w:hAnsi="Arial" w:eastAsia="Arial" w:cs="Arial"/>
          <w:spacing w:val="12"/>
          <w:sz w:val="19"/>
          <w:szCs w:val="19"/>
        </w:rPr>
        <w:t xml:space="preserve"> </w:t>
      </w:r>
      <w:r>
        <w:rPr>
          <w:rFonts w:ascii="Arial" w:hAnsi="Arial" w:eastAsia="Arial" w:cs="Arial"/>
          <w:spacing w:val="-7"/>
          <w:sz w:val="19"/>
          <w:szCs w:val="19"/>
        </w:rPr>
        <w:t>(HEI A), a cooperative/dual</w:t>
      </w:r>
      <w:r>
        <w:rPr>
          <w:rFonts w:ascii="Arial" w:hAnsi="Arial" w:eastAsia="Arial" w:cs="Arial"/>
          <w:spacing w:val="14"/>
          <w:w w:val="101"/>
          <w:sz w:val="19"/>
          <w:szCs w:val="19"/>
        </w:rPr>
        <w:t xml:space="preserve"> </w:t>
      </w:r>
      <w:r>
        <w:rPr>
          <w:rFonts w:ascii="Arial" w:hAnsi="Arial" w:eastAsia="Arial" w:cs="Arial"/>
          <w:spacing w:val="-7"/>
          <w:sz w:val="19"/>
          <w:szCs w:val="19"/>
        </w:rPr>
        <w:t>university</w:t>
      </w:r>
      <w:r>
        <w:rPr>
          <w:rFonts w:ascii="Arial" w:hAnsi="Arial" w:eastAsia="Arial" w:cs="Arial"/>
          <w:spacing w:val="13"/>
          <w:sz w:val="19"/>
          <w:szCs w:val="19"/>
        </w:rPr>
        <w:t xml:space="preserve"> </w:t>
      </w:r>
      <w:r>
        <w:rPr>
          <w:rFonts w:ascii="Arial" w:hAnsi="Arial" w:eastAsia="Arial" w:cs="Arial"/>
          <w:spacing w:val="-7"/>
          <w:sz w:val="19"/>
          <w:szCs w:val="19"/>
        </w:rPr>
        <w:t>(HEI</w:t>
      </w:r>
      <w:r>
        <w:rPr>
          <w:rFonts w:ascii="Arial" w:hAnsi="Arial" w:eastAsia="Arial" w:cs="Arial"/>
          <w:spacing w:val="14"/>
          <w:sz w:val="19"/>
          <w:szCs w:val="19"/>
        </w:rPr>
        <w:t xml:space="preserve"> </w:t>
      </w:r>
      <w:r>
        <w:rPr>
          <w:rFonts w:ascii="Arial" w:hAnsi="Arial" w:eastAsia="Arial" w:cs="Arial"/>
          <w:spacing w:val="-7"/>
          <w:sz w:val="19"/>
          <w:szCs w:val="19"/>
        </w:rPr>
        <w:t>B)</w:t>
      </w:r>
      <w:r>
        <w:rPr>
          <w:rFonts w:ascii="Arial" w:hAnsi="Arial" w:eastAsia="Arial" w:cs="Arial"/>
          <w:spacing w:val="-8"/>
          <w:sz w:val="19"/>
          <w:szCs w:val="19"/>
        </w:rPr>
        <w:t>,</w:t>
      </w:r>
      <w:r>
        <w:rPr>
          <w:rFonts w:ascii="Arial" w:hAnsi="Arial" w:eastAsia="Arial" w:cs="Arial"/>
          <w:spacing w:val="6"/>
          <w:sz w:val="19"/>
          <w:szCs w:val="19"/>
        </w:rPr>
        <w:t xml:space="preserve"> </w:t>
      </w:r>
      <w:r>
        <w:rPr>
          <w:rFonts w:ascii="Arial" w:hAnsi="Arial" w:eastAsia="Arial" w:cs="Arial"/>
          <w:spacing w:val="-8"/>
          <w:sz w:val="19"/>
          <w:szCs w:val="19"/>
        </w:rPr>
        <w:t>and</w:t>
      </w:r>
      <w:r>
        <w:rPr>
          <w:rFonts w:ascii="Arial" w:hAnsi="Arial" w:eastAsia="Arial" w:cs="Arial"/>
          <w:spacing w:val="8"/>
          <w:sz w:val="19"/>
          <w:szCs w:val="19"/>
        </w:rPr>
        <w:t xml:space="preserve"> </w:t>
      </w:r>
      <w:r>
        <w:rPr>
          <w:rFonts w:ascii="Arial" w:hAnsi="Arial" w:eastAsia="Arial" w:cs="Arial"/>
          <w:spacing w:val="-8"/>
          <w:sz w:val="19"/>
          <w:szCs w:val="19"/>
        </w:rPr>
        <w:t>a</w:t>
      </w:r>
      <w:r>
        <w:rPr>
          <w:rFonts w:ascii="Arial" w:hAnsi="Arial" w:eastAsia="Arial" w:cs="Arial"/>
          <w:sz w:val="19"/>
          <w:szCs w:val="19"/>
        </w:rPr>
        <w:t xml:space="preserve"> </w:t>
      </w:r>
      <w:r>
        <w:rPr>
          <w:rFonts w:ascii="Arial" w:hAnsi="Arial" w:eastAsia="Arial" w:cs="Arial"/>
          <w:spacing w:val="-4"/>
          <w:sz w:val="19"/>
          <w:szCs w:val="19"/>
        </w:rPr>
        <w:t>university of applied sciences</w:t>
      </w:r>
      <w:r>
        <w:rPr>
          <w:rFonts w:ascii="Arial" w:hAnsi="Arial" w:eastAsia="Arial" w:cs="Arial"/>
          <w:spacing w:val="13"/>
          <w:sz w:val="19"/>
          <w:szCs w:val="19"/>
        </w:rPr>
        <w:t xml:space="preserve"> </w:t>
      </w:r>
      <w:r>
        <w:rPr>
          <w:rFonts w:ascii="Arial" w:hAnsi="Arial" w:eastAsia="Arial" w:cs="Arial"/>
          <w:spacing w:val="-4"/>
          <w:sz w:val="19"/>
          <w:szCs w:val="19"/>
        </w:rPr>
        <w:t>(HEI C). Staf</w:t>
      </w:r>
      <w:r>
        <w:rPr>
          <w:rFonts w:ascii="Arial" w:hAnsi="Arial" w:eastAsia="Arial" w:cs="Arial"/>
          <w:spacing w:val="4"/>
          <w:sz w:val="19"/>
          <w:szCs w:val="19"/>
        </w:rPr>
        <w:t xml:space="preserve"> </w:t>
      </w:r>
      <w:r>
        <w:rPr>
          <w:rFonts w:ascii="Arial" w:hAnsi="Arial" w:eastAsia="Arial" w:cs="Arial"/>
          <w:spacing w:val="-4"/>
          <w:sz w:val="19"/>
          <w:szCs w:val="19"/>
        </w:rPr>
        <w:t>members</w:t>
      </w:r>
      <w:r>
        <w:rPr>
          <w:rFonts w:ascii="Arial" w:hAnsi="Arial" w:eastAsia="Arial" w:cs="Arial"/>
          <w:spacing w:val="8"/>
          <w:sz w:val="19"/>
          <w:szCs w:val="19"/>
        </w:rPr>
        <w:t xml:space="preserve"> </w:t>
      </w:r>
      <w:r>
        <w:rPr>
          <w:rFonts w:ascii="Arial" w:hAnsi="Arial" w:eastAsia="Arial" w:cs="Arial"/>
          <w:spacing w:val="-4"/>
          <w:sz w:val="19"/>
          <w:szCs w:val="19"/>
        </w:rPr>
        <w:t>of the</w:t>
      </w:r>
      <w:r>
        <w:rPr>
          <w:rFonts w:ascii="Arial" w:hAnsi="Arial" w:eastAsia="Arial" w:cs="Arial"/>
          <w:spacing w:val="13"/>
          <w:w w:val="101"/>
          <w:sz w:val="19"/>
          <w:szCs w:val="19"/>
        </w:rPr>
        <w:t xml:space="preserve"> </w:t>
      </w:r>
      <w:r>
        <w:rPr>
          <w:rFonts w:ascii="Arial" w:hAnsi="Arial" w:eastAsia="Arial" w:cs="Arial"/>
          <w:spacing w:val="-4"/>
          <w:sz w:val="19"/>
          <w:szCs w:val="19"/>
        </w:rPr>
        <w:t>parti</w:t>
      </w:r>
      <w:r>
        <w:rPr>
          <w:rFonts w:ascii="Arial" w:hAnsi="Arial" w:eastAsia="Arial" w:cs="Arial"/>
          <w:spacing w:val="-5"/>
          <w:sz w:val="19"/>
          <w:szCs w:val="19"/>
        </w:rPr>
        <w:t>cipating</w:t>
      </w:r>
      <w:r>
        <w:rPr>
          <w:rFonts w:ascii="Arial" w:hAnsi="Arial" w:eastAsia="Arial" w:cs="Arial"/>
          <w:spacing w:val="11"/>
          <w:sz w:val="19"/>
          <w:szCs w:val="19"/>
        </w:rPr>
        <w:t xml:space="preserve"> </w:t>
      </w:r>
      <w:r>
        <w:rPr>
          <w:rFonts w:ascii="Arial" w:hAnsi="Arial" w:eastAsia="Arial" w:cs="Arial"/>
          <w:spacing w:val="-5"/>
          <w:sz w:val="19"/>
          <w:szCs w:val="19"/>
        </w:rPr>
        <w:t>institutions</w:t>
      </w:r>
      <w:r>
        <w:rPr>
          <w:rFonts w:ascii="Arial" w:hAnsi="Arial" w:eastAsia="Arial" w:cs="Arial"/>
          <w:spacing w:val="4"/>
          <w:sz w:val="19"/>
          <w:szCs w:val="19"/>
        </w:rPr>
        <w:t xml:space="preserve"> </w:t>
      </w:r>
      <w:r>
        <w:rPr>
          <w:rFonts w:ascii="Arial" w:hAnsi="Arial" w:eastAsia="Arial" w:cs="Arial"/>
          <w:spacing w:val="-5"/>
          <w:sz w:val="19"/>
          <w:szCs w:val="19"/>
        </w:rPr>
        <w:t>were</w:t>
      </w:r>
      <w:r>
        <w:rPr>
          <w:rFonts w:ascii="Arial" w:hAnsi="Arial" w:eastAsia="Arial" w:cs="Arial"/>
          <w:spacing w:val="11"/>
          <w:sz w:val="19"/>
          <w:szCs w:val="19"/>
        </w:rPr>
        <w:t xml:space="preserve"> </w:t>
      </w:r>
      <w:r>
        <w:rPr>
          <w:rFonts w:ascii="Arial" w:hAnsi="Arial" w:eastAsia="Arial" w:cs="Arial"/>
          <w:spacing w:val="-5"/>
          <w:sz w:val="19"/>
          <w:szCs w:val="19"/>
        </w:rPr>
        <w:t>invited</w:t>
      </w:r>
      <w:r>
        <w:rPr>
          <w:rFonts w:ascii="Arial" w:hAnsi="Arial" w:eastAsia="Arial" w:cs="Arial"/>
          <w:spacing w:val="4"/>
          <w:sz w:val="19"/>
          <w:szCs w:val="19"/>
        </w:rPr>
        <w:t xml:space="preserve"> </w:t>
      </w:r>
      <w:r>
        <w:rPr>
          <w:rFonts w:ascii="Arial" w:hAnsi="Arial" w:eastAsia="Arial" w:cs="Arial"/>
          <w:spacing w:val="-5"/>
          <w:sz w:val="19"/>
          <w:szCs w:val="19"/>
        </w:rPr>
        <w:t>to</w:t>
      </w:r>
      <w:r>
        <w:rPr>
          <w:rFonts w:ascii="Arial" w:hAnsi="Arial" w:eastAsia="Arial" w:cs="Arial"/>
          <w:sz w:val="19"/>
          <w:szCs w:val="19"/>
        </w:rPr>
        <w:t xml:space="preserve"> </w:t>
      </w:r>
      <w:r>
        <w:rPr>
          <w:rFonts w:ascii="Arial" w:hAnsi="Arial" w:eastAsia="Arial" w:cs="Arial"/>
          <w:spacing w:val="-4"/>
          <w:sz w:val="19"/>
          <w:szCs w:val="19"/>
        </w:rPr>
        <w:t>take</w:t>
      </w:r>
      <w:r>
        <w:rPr>
          <w:rFonts w:ascii="Arial" w:hAnsi="Arial" w:eastAsia="Arial" w:cs="Arial"/>
          <w:spacing w:val="19"/>
          <w:w w:val="101"/>
          <w:sz w:val="19"/>
          <w:szCs w:val="19"/>
        </w:rPr>
        <w:t xml:space="preserve"> </w:t>
      </w:r>
      <w:r>
        <w:rPr>
          <w:rFonts w:ascii="Arial" w:hAnsi="Arial" w:eastAsia="Arial" w:cs="Arial"/>
          <w:spacing w:val="-4"/>
          <w:sz w:val="19"/>
          <w:szCs w:val="19"/>
        </w:rPr>
        <w:t>part</w:t>
      </w:r>
      <w:r>
        <w:rPr>
          <w:rFonts w:ascii="Arial" w:hAnsi="Arial" w:eastAsia="Arial" w:cs="Arial"/>
          <w:spacing w:val="17"/>
          <w:w w:val="101"/>
          <w:sz w:val="19"/>
          <w:szCs w:val="19"/>
        </w:rPr>
        <w:t xml:space="preserve"> </w:t>
      </w:r>
      <w:r>
        <w:rPr>
          <w:rFonts w:ascii="Arial" w:hAnsi="Arial" w:eastAsia="Arial" w:cs="Arial"/>
          <w:spacing w:val="-4"/>
          <w:sz w:val="19"/>
          <w:szCs w:val="19"/>
        </w:rPr>
        <w:t>in the</w:t>
      </w:r>
      <w:r>
        <w:rPr>
          <w:rFonts w:ascii="Arial" w:hAnsi="Arial" w:eastAsia="Arial" w:cs="Arial"/>
          <w:spacing w:val="12"/>
          <w:sz w:val="19"/>
          <w:szCs w:val="19"/>
        </w:rPr>
        <w:t xml:space="preserve"> </w:t>
      </w:r>
      <w:r>
        <w:rPr>
          <w:rFonts w:ascii="Arial" w:hAnsi="Arial" w:eastAsia="Arial" w:cs="Arial"/>
          <w:spacing w:val="-4"/>
          <w:sz w:val="19"/>
          <w:szCs w:val="19"/>
        </w:rPr>
        <w:t>QCI via</w:t>
      </w:r>
      <w:r>
        <w:rPr>
          <w:rFonts w:ascii="Arial" w:hAnsi="Arial" w:eastAsia="Arial" w:cs="Arial"/>
          <w:spacing w:val="13"/>
          <w:sz w:val="19"/>
          <w:szCs w:val="19"/>
        </w:rPr>
        <w:t xml:space="preserve"> </w:t>
      </w:r>
      <w:r>
        <w:rPr>
          <w:rFonts w:ascii="Arial" w:hAnsi="Arial" w:eastAsia="Arial" w:cs="Arial"/>
          <w:spacing w:val="-4"/>
          <w:sz w:val="19"/>
          <w:szCs w:val="19"/>
        </w:rPr>
        <w:t>email</w:t>
      </w:r>
      <w:r>
        <w:rPr>
          <w:rFonts w:ascii="Arial" w:hAnsi="Arial" w:eastAsia="Arial" w:cs="Arial"/>
          <w:spacing w:val="13"/>
          <w:sz w:val="19"/>
          <w:szCs w:val="19"/>
        </w:rPr>
        <w:t xml:space="preserve"> </w:t>
      </w:r>
      <w:r>
        <w:rPr>
          <w:rFonts w:ascii="Arial" w:hAnsi="Arial" w:eastAsia="Arial" w:cs="Arial"/>
          <w:spacing w:val="-4"/>
          <w:sz w:val="19"/>
          <w:szCs w:val="19"/>
        </w:rPr>
        <w:t>distribu</w:t>
      </w:r>
      <w:r>
        <w:rPr>
          <w:rFonts w:ascii="Arial" w:hAnsi="Arial" w:eastAsia="Arial" w:cs="Arial"/>
          <w:spacing w:val="-5"/>
          <w:sz w:val="19"/>
          <w:szCs w:val="19"/>
        </w:rPr>
        <w:t>tion</w:t>
      </w:r>
      <w:r>
        <w:rPr>
          <w:rFonts w:ascii="Arial" w:hAnsi="Arial" w:eastAsia="Arial" w:cs="Arial"/>
          <w:spacing w:val="20"/>
          <w:w w:val="101"/>
          <w:sz w:val="19"/>
          <w:szCs w:val="19"/>
        </w:rPr>
        <w:t xml:space="preserve"> </w:t>
      </w:r>
      <w:r>
        <w:rPr>
          <w:rFonts w:ascii="Arial" w:hAnsi="Arial" w:eastAsia="Arial" w:cs="Arial"/>
          <w:spacing w:val="-5"/>
          <w:sz w:val="19"/>
          <w:szCs w:val="19"/>
        </w:rPr>
        <w:t>lists</w:t>
      </w:r>
      <w:r>
        <w:rPr>
          <w:rFonts w:ascii="Arial" w:hAnsi="Arial" w:eastAsia="Arial" w:cs="Arial"/>
          <w:spacing w:val="17"/>
          <w:w w:val="101"/>
          <w:sz w:val="19"/>
          <w:szCs w:val="19"/>
        </w:rPr>
        <w:t xml:space="preserve"> </w:t>
      </w:r>
      <w:r>
        <w:rPr>
          <w:rFonts w:ascii="Arial" w:hAnsi="Arial" w:eastAsia="Arial" w:cs="Arial"/>
          <w:spacing w:val="-5"/>
          <w:sz w:val="19"/>
          <w:szCs w:val="19"/>
        </w:rPr>
        <w:t>including</w:t>
      </w:r>
      <w:r>
        <w:rPr>
          <w:rFonts w:ascii="Arial" w:hAnsi="Arial" w:eastAsia="Arial" w:cs="Arial"/>
          <w:spacing w:val="12"/>
          <w:sz w:val="19"/>
          <w:szCs w:val="19"/>
        </w:rPr>
        <w:t xml:space="preserve"> </w:t>
      </w:r>
      <w:r>
        <w:rPr>
          <w:rFonts w:ascii="Arial" w:hAnsi="Arial" w:eastAsia="Arial" w:cs="Arial"/>
          <w:spacing w:val="-5"/>
          <w:sz w:val="19"/>
          <w:szCs w:val="19"/>
        </w:rPr>
        <w:t>a</w:t>
      </w:r>
      <w:r>
        <w:rPr>
          <w:rFonts w:ascii="Arial" w:hAnsi="Arial" w:eastAsia="Arial" w:cs="Arial"/>
          <w:spacing w:val="12"/>
          <w:sz w:val="19"/>
          <w:szCs w:val="19"/>
        </w:rPr>
        <w:t xml:space="preserve"> </w:t>
      </w:r>
      <w:r>
        <w:rPr>
          <w:rFonts w:ascii="Arial" w:hAnsi="Arial" w:eastAsia="Arial" w:cs="Arial"/>
          <w:spacing w:val="-5"/>
          <w:sz w:val="19"/>
          <w:szCs w:val="19"/>
        </w:rPr>
        <w:t>supportive</w:t>
      </w:r>
      <w:r>
        <w:rPr>
          <w:rFonts w:ascii="Arial" w:hAnsi="Arial" w:eastAsia="Arial" w:cs="Arial"/>
          <w:spacing w:val="19"/>
          <w:w w:val="101"/>
          <w:sz w:val="19"/>
          <w:szCs w:val="19"/>
        </w:rPr>
        <w:t xml:space="preserve"> </w:t>
      </w:r>
      <w:r>
        <w:rPr>
          <w:rFonts w:ascii="Arial" w:hAnsi="Arial" w:eastAsia="Arial" w:cs="Arial"/>
          <w:spacing w:val="-5"/>
          <w:sz w:val="19"/>
          <w:szCs w:val="19"/>
        </w:rPr>
        <w:t>letter</w:t>
      </w:r>
      <w:r>
        <w:rPr>
          <w:rFonts w:ascii="Arial" w:hAnsi="Arial" w:eastAsia="Arial" w:cs="Arial"/>
          <w:spacing w:val="12"/>
          <w:sz w:val="19"/>
          <w:szCs w:val="19"/>
        </w:rPr>
        <w:t xml:space="preserve"> </w:t>
      </w:r>
      <w:r>
        <w:rPr>
          <w:rFonts w:ascii="Arial" w:hAnsi="Arial" w:eastAsia="Arial" w:cs="Arial"/>
          <w:spacing w:val="-5"/>
          <w:sz w:val="19"/>
          <w:szCs w:val="19"/>
        </w:rPr>
        <w:t>of the</w:t>
      </w:r>
      <w:r>
        <w:rPr>
          <w:rFonts w:ascii="Arial" w:hAnsi="Arial" w:eastAsia="Arial" w:cs="Arial"/>
          <w:spacing w:val="19"/>
          <w:w w:val="101"/>
          <w:sz w:val="19"/>
          <w:szCs w:val="19"/>
        </w:rPr>
        <w:t xml:space="preserve"> </w:t>
      </w:r>
      <w:r>
        <w:rPr>
          <w:rFonts w:ascii="Arial" w:hAnsi="Arial" w:eastAsia="Arial" w:cs="Arial"/>
          <w:spacing w:val="-5"/>
          <w:sz w:val="19"/>
          <w:szCs w:val="19"/>
        </w:rPr>
        <w:t>respective</w:t>
      </w:r>
      <w:r>
        <w:rPr>
          <w:rFonts w:ascii="Arial" w:hAnsi="Arial" w:eastAsia="Arial" w:cs="Arial"/>
          <w:spacing w:val="18"/>
          <w:sz w:val="19"/>
          <w:szCs w:val="19"/>
        </w:rPr>
        <w:t xml:space="preserve"> </w:t>
      </w:r>
      <w:r>
        <w:rPr>
          <w:rFonts w:ascii="Arial" w:hAnsi="Arial" w:eastAsia="Arial" w:cs="Arial"/>
          <w:spacing w:val="-5"/>
          <w:sz w:val="19"/>
          <w:szCs w:val="19"/>
        </w:rPr>
        <w:t>recto-</w:t>
      </w:r>
      <w:r>
        <w:rPr>
          <w:rFonts w:ascii="Arial" w:hAnsi="Arial" w:eastAsia="Arial" w:cs="Arial"/>
          <w:sz w:val="19"/>
          <w:szCs w:val="19"/>
        </w:rPr>
        <w:t xml:space="preserve"> </w:t>
      </w:r>
      <w:r>
        <w:rPr>
          <w:rFonts w:ascii="Arial" w:hAnsi="Arial" w:eastAsia="Arial" w:cs="Arial"/>
          <w:spacing w:val="-5"/>
          <w:sz w:val="19"/>
          <w:szCs w:val="19"/>
        </w:rPr>
        <w:t>rates.</w:t>
      </w:r>
      <w:r>
        <w:rPr>
          <w:rFonts w:ascii="Arial" w:hAnsi="Arial" w:eastAsia="Arial" w:cs="Arial"/>
          <w:spacing w:val="13"/>
          <w:sz w:val="19"/>
          <w:szCs w:val="19"/>
        </w:rPr>
        <w:t xml:space="preserve"> </w:t>
      </w:r>
      <w:r>
        <w:rPr>
          <w:rFonts w:ascii="Arial" w:hAnsi="Arial" w:eastAsia="Arial" w:cs="Arial"/>
          <w:spacing w:val="-5"/>
          <w:sz w:val="19"/>
          <w:szCs w:val="19"/>
        </w:rPr>
        <w:t>Within</w:t>
      </w:r>
      <w:r>
        <w:rPr>
          <w:rFonts w:ascii="Arial" w:hAnsi="Arial" w:eastAsia="Arial" w:cs="Arial"/>
          <w:spacing w:val="14"/>
          <w:w w:val="101"/>
          <w:sz w:val="19"/>
          <w:szCs w:val="19"/>
        </w:rPr>
        <w:t xml:space="preserve"> </w:t>
      </w:r>
      <w:r>
        <w:rPr>
          <w:rFonts w:ascii="Arial" w:hAnsi="Arial" w:eastAsia="Arial" w:cs="Arial"/>
          <w:spacing w:val="-5"/>
          <w:sz w:val="19"/>
          <w:szCs w:val="19"/>
        </w:rPr>
        <w:t>the</w:t>
      </w:r>
      <w:r>
        <w:rPr>
          <w:rFonts w:ascii="Arial" w:hAnsi="Arial" w:eastAsia="Arial" w:cs="Arial"/>
          <w:spacing w:val="16"/>
          <w:w w:val="101"/>
          <w:sz w:val="19"/>
          <w:szCs w:val="19"/>
        </w:rPr>
        <w:t xml:space="preserve"> </w:t>
      </w:r>
      <w:r>
        <w:rPr>
          <w:rFonts w:ascii="Arial" w:hAnsi="Arial" w:eastAsia="Arial" w:cs="Arial"/>
          <w:spacing w:val="-5"/>
          <w:sz w:val="19"/>
          <w:szCs w:val="19"/>
        </w:rPr>
        <w:t>study</w:t>
      </w:r>
      <w:r>
        <w:rPr>
          <w:rFonts w:ascii="Arial" w:hAnsi="Arial" w:eastAsia="Arial" w:cs="Arial"/>
          <w:spacing w:val="24"/>
          <w:w w:val="101"/>
          <w:sz w:val="19"/>
          <w:szCs w:val="19"/>
        </w:rPr>
        <w:t xml:space="preserve"> </w:t>
      </w:r>
      <w:r>
        <w:rPr>
          <w:rFonts w:ascii="Arial" w:hAnsi="Arial" w:eastAsia="Arial" w:cs="Arial"/>
          <w:spacing w:val="-5"/>
          <w:sz w:val="19"/>
          <w:szCs w:val="19"/>
        </w:rPr>
        <w:t>period,</w:t>
      </w:r>
      <w:r>
        <w:rPr>
          <w:rFonts w:ascii="Arial" w:hAnsi="Arial" w:eastAsia="Arial" w:cs="Arial"/>
          <w:spacing w:val="24"/>
          <w:sz w:val="19"/>
          <w:szCs w:val="19"/>
        </w:rPr>
        <w:t xml:space="preserve"> </w:t>
      </w:r>
      <w:r>
        <w:rPr>
          <w:rFonts w:ascii="Arial" w:hAnsi="Arial" w:eastAsia="Arial" w:cs="Arial"/>
          <w:spacing w:val="-5"/>
          <w:sz w:val="19"/>
          <w:szCs w:val="19"/>
        </w:rPr>
        <w:t>partici</w:t>
      </w:r>
      <w:r>
        <w:rPr>
          <w:rFonts w:ascii="Arial" w:hAnsi="Arial" w:eastAsia="Arial" w:cs="Arial"/>
          <w:spacing w:val="-6"/>
          <w:sz w:val="19"/>
          <w:szCs w:val="19"/>
        </w:rPr>
        <w:t>pants</w:t>
      </w:r>
      <w:r>
        <w:rPr>
          <w:rFonts w:ascii="Arial" w:hAnsi="Arial" w:eastAsia="Arial" w:cs="Arial"/>
          <w:spacing w:val="13"/>
          <w:sz w:val="19"/>
          <w:szCs w:val="19"/>
        </w:rPr>
        <w:t xml:space="preserve"> </w:t>
      </w:r>
      <w:r>
        <w:rPr>
          <w:rFonts w:ascii="Arial" w:hAnsi="Arial" w:eastAsia="Arial" w:cs="Arial"/>
          <w:spacing w:val="-6"/>
          <w:sz w:val="19"/>
          <w:szCs w:val="19"/>
        </w:rPr>
        <w:t>were</w:t>
      </w:r>
      <w:r>
        <w:rPr>
          <w:rFonts w:ascii="Arial" w:hAnsi="Arial" w:eastAsia="Arial" w:cs="Arial"/>
          <w:spacing w:val="23"/>
          <w:sz w:val="19"/>
          <w:szCs w:val="19"/>
        </w:rPr>
        <w:t xml:space="preserve"> </w:t>
      </w:r>
      <w:r>
        <w:rPr>
          <w:rFonts w:ascii="Arial" w:hAnsi="Arial" w:eastAsia="Arial" w:cs="Arial"/>
          <w:spacing w:val="-6"/>
          <w:sz w:val="19"/>
          <w:szCs w:val="19"/>
        </w:rPr>
        <w:t>reminded</w:t>
      </w:r>
      <w:r>
        <w:rPr>
          <w:rFonts w:ascii="Arial" w:hAnsi="Arial" w:eastAsia="Arial" w:cs="Arial"/>
          <w:spacing w:val="17"/>
          <w:w w:val="101"/>
          <w:sz w:val="19"/>
          <w:szCs w:val="19"/>
        </w:rPr>
        <w:t xml:space="preserve"> </w:t>
      </w:r>
      <w:r>
        <w:rPr>
          <w:rFonts w:ascii="Arial" w:hAnsi="Arial" w:eastAsia="Arial" w:cs="Arial"/>
          <w:spacing w:val="-6"/>
          <w:sz w:val="19"/>
          <w:szCs w:val="19"/>
        </w:rPr>
        <w:t>once</w:t>
      </w:r>
      <w:r>
        <w:rPr>
          <w:rFonts w:ascii="Arial" w:hAnsi="Arial" w:eastAsia="Arial" w:cs="Arial"/>
          <w:spacing w:val="14"/>
          <w:sz w:val="19"/>
          <w:szCs w:val="19"/>
        </w:rPr>
        <w:t xml:space="preserve"> </w:t>
      </w:r>
      <w:r>
        <w:rPr>
          <w:rFonts w:ascii="Arial" w:hAnsi="Arial" w:eastAsia="Arial" w:cs="Arial"/>
          <w:spacing w:val="-6"/>
          <w:sz w:val="19"/>
          <w:szCs w:val="19"/>
        </w:rPr>
        <w:t>to</w:t>
      </w:r>
      <w:r>
        <w:rPr>
          <w:rFonts w:ascii="Arial" w:hAnsi="Arial" w:eastAsia="Arial" w:cs="Arial"/>
          <w:spacing w:val="13"/>
          <w:w w:val="101"/>
          <w:sz w:val="19"/>
          <w:szCs w:val="19"/>
        </w:rPr>
        <w:t xml:space="preserve"> </w:t>
      </w:r>
      <w:r>
        <w:rPr>
          <w:rFonts w:ascii="Arial" w:hAnsi="Arial" w:eastAsia="Arial" w:cs="Arial"/>
          <w:spacing w:val="-6"/>
          <w:sz w:val="19"/>
          <w:szCs w:val="19"/>
        </w:rPr>
        <w:t>take</w:t>
      </w:r>
      <w:r>
        <w:rPr>
          <w:rFonts w:ascii="Arial" w:hAnsi="Arial" w:eastAsia="Arial" w:cs="Arial"/>
          <w:spacing w:val="23"/>
          <w:w w:val="101"/>
          <w:sz w:val="19"/>
          <w:szCs w:val="19"/>
        </w:rPr>
        <w:t xml:space="preserve"> </w:t>
      </w:r>
      <w:r>
        <w:rPr>
          <w:rFonts w:ascii="Arial" w:hAnsi="Arial" w:eastAsia="Arial" w:cs="Arial"/>
          <w:spacing w:val="-6"/>
          <w:sz w:val="19"/>
          <w:szCs w:val="19"/>
        </w:rPr>
        <w:t>part</w:t>
      </w:r>
      <w:r>
        <w:rPr>
          <w:rFonts w:ascii="Arial" w:hAnsi="Arial" w:eastAsia="Arial" w:cs="Arial"/>
          <w:spacing w:val="22"/>
          <w:sz w:val="19"/>
          <w:szCs w:val="19"/>
        </w:rPr>
        <w:t xml:space="preserve"> </w:t>
      </w:r>
      <w:r>
        <w:rPr>
          <w:rFonts w:ascii="Arial" w:hAnsi="Arial" w:eastAsia="Arial" w:cs="Arial"/>
          <w:spacing w:val="-6"/>
          <w:sz w:val="19"/>
          <w:szCs w:val="19"/>
        </w:rPr>
        <w:t>in</w:t>
      </w:r>
      <w:r>
        <w:rPr>
          <w:rFonts w:ascii="Arial" w:hAnsi="Arial" w:eastAsia="Arial" w:cs="Arial"/>
          <w:spacing w:val="13"/>
          <w:sz w:val="19"/>
          <w:szCs w:val="19"/>
        </w:rPr>
        <w:t xml:space="preserve"> </w:t>
      </w:r>
      <w:r>
        <w:rPr>
          <w:rFonts w:ascii="Arial" w:hAnsi="Arial" w:eastAsia="Arial" w:cs="Arial"/>
          <w:spacing w:val="-6"/>
          <w:sz w:val="19"/>
          <w:szCs w:val="19"/>
        </w:rPr>
        <w:t>the</w:t>
      </w:r>
      <w:r>
        <w:rPr>
          <w:rFonts w:ascii="Arial" w:hAnsi="Arial" w:eastAsia="Arial" w:cs="Arial"/>
          <w:spacing w:val="17"/>
          <w:sz w:val="19"/>
          <w:szCs w:val="19"/>
        </w:rPr>
        <w:t xml:space="preserve"> </w:t>
      </w:r>
      <w:r>
        <w:rPr>
          <w:rFonts w:ascii="Arial" w:hAnsi="Arial" w:eastAsia="Arial" w:cs="Arial"/>
          <w:spacing w:val="-6"/>
          <w:sz w:val="19"/>
          <w:szCs w:val="19"/>
        </w:rPr>
        <w:t>survey.</w:t>
      </w:r>
      <w:r>
        <w:rPr>
          <w:rFonts w:ascii="Arial" w:hAnsi="Arial" w:eastAsia="Arial" w:cs="Arial"/>
          <w:spacing w:val="24"/>
          <w:sz w:val="19"/>
          <w:szCs w:val="19"/>
        </w:rPr>
        <w:t xml:space="preserve"> </w:t>
      </w:r>
      <w:r>
        <w:rPr>
          <w:rFonts w:ascii="Arial" w:hAnsi="Arial" w:eastAsia="Arial" w:cs="Arial"/>
          <w:spacing w:val="-6"/>
          <w:sz w:val="19"/>
          <w:szCs w:val="19"/>
        </w:rPr>
        <w:t>Partici-</w:t>
      </w:r>
      <w:r>
        <w:rPr>
          <w:rFonts w:ascii="Arial" w:hAnsi="Arial" w:eastAsia="Arial" w:cs="Arial"/>
          <w:sz w:val="19"/>
          <w:szCs w:val="19"/>
        </w:rPr>
        <w:t xml:space="preserve"> </w:t>
      </w:r>
      <w:r>
        <w:rPr>
          <w:rFonts w:ascii="Arial" w:hAnsi="Arial" w:eastAsia="Arial" w:cs="Arial"/>
          <w:spacing w:val="-6"/>
          <w:sz w:val="19"/>
          <w:szCs w:val="19"/>
        </w:rPr>
        <w:t>pation</w:t>
      </w:r>
      <w:r>
        <w:rPr>
          <w:rFonts w:ascii="Arial" w:hAnsi="Arial" w:eastAsia="Arial" w:cs="Arial"/>
          <w:spacing w:val="38"/>
          <w:w w:val="101"/>
          <w:sz w:val="19"/>
          <w:szCs w:val="19"/>
        </w:rPr>
        <w:t xml:space="preserve"> </w:t>
      </w:r>
      <w:r>
        <w:rPr>
          <w:rFonts w:ascii="Arial" w:hAnsi="Arial" w:eastAsia="Arial" w:cs="Arial"/>
          <w:spacing w:val="-6"/>
          <w:sz w:val="19"/>
          <w:szCs w:val="19"/>
        </w:rPr>
        <w:t>in</w:t>
      </w:r>
      <w:r>
        <w:rPr>
          <w:rFonts w:ascii="Arial" w:hAnsi="Arial" w:eastAsia="Arial" w:cs="Arial"/>
          <w:spacing w:val="29"/>
          <w:sz w:val="19"/>
          <w:szCs w:val="19"/>
        </w:rPr>
        <w:t xml:space="preserve"> </w:t>
      </w:r>
      <w:r>
        <w:rPr>
          <w:rFonts w:ascii="Arial" w:hAnsi="Arial" w:eastAsia="Arial" w:cs="Arial"/>
          <w:spacing w:val="-6"/>
          <w:sz w:val="19"/>
          <w:szCs w:val="19"/>
        </w:rPr>
        <w:t>the</w:t>
      </w:r>
      <w:r>
        <w:rPr>
          <w:rFonts w:ascii="Arial" w:hAnsi="Arial" w:eastAsia="Arial" w:cs="Arial"/>
          <w:spacing w:val="34"/>
          <w:sz w:val="19"/>
          <w:szCs w:val="19"/>
        </w:rPr>
        <w:t xml:space="preserve"> </w:t>
      </w:r>
      <w:r>
        <w:rPr>
          <w:rFonts w:ascii="Arial" w:hAnsi="Arial" w:eastAsia="Arial" w:cs="Arial"/>
          <w:spacing w:val="-6"/>
          <w:sz w:val="19"/>
          <w:szCs w:val="19"/>
        </w:rPr>
        <w:t>study</w:t>
      </w:r>
      <w:r>
        <w:rPr>
          <w:rFonts w:ascii="Arial" w:hAnsi="Arial" w:eastAsia="Arial" w:cs="Arial"/>
          <w:spacing w:val="30"/>
          <w:w w:val="101"/>
          <w:sz w:val="19"/>
          <w:szCs w:val="19"/>
        </w:rPr>
        <w:t xml:space="preserve"> </w:t>
      </w:r>
      <w:r>
        <w:rPr>
          <w:rFonts w:ascii="Arial" w:hAnsi="Arial" w:eastAsia="Arial" w:cs="Arial"/>
          <w:spacing w:val="-6"/>
          <w:sz w:val="19"/>
          <w:szCs w:val="19"/>
        </w:rPr>
        <w:t>was</w:t>
      </w:r>
      <w:r>
        <w:rPr>
          <w:rFonts w:ascii="Arial" w:hAnsi="Arial" w:eastAsia="Arial" w:cs="Arial"/>
          <w:spacing w:val="29"/>
          <w:w w:val="101"/>
          <w:sz w:val="19"/>
          <w:szCs w:val="19"/>
        </w:rPr>
        <w:t xml:space="preserve"> </w:t>
      </w:r>
      <w:r>
        <w:rPr>
          <w:rFonts w:ascii="Arial" w:hAnsi="Arial" w:eastAsia="Arial" w:cs="Arial"/>
          <w:spacing w:val="-6"/>
          <w:sz w:val="19"/>
          <w:szCs w:val="19"/>
        </w:rPr>
        <w:t>voluntary</w:t>
      </w:r>
      <w:r>
        <w:rPr>
          <w:rFonts w:ascii="Arial" w:hAnsi="Arial" w:eastAsia="Arial" w:cs="Arial"/>
          <w:spacing w:val="34"/>
          <w:w w:val="101"/>
          <w:sz w:val="19"/>
          <w:szCs w:val="19"/>
        </w:rPr>
        <w:t xml:space="preserve"> </w:t>
      </w:r>
      <w:r>
        <w:rPr>
          <w:rFonts w:ascii="Arial" w:hAnsi="Arial" w:eastAsia="Arial" w:cs="Arial"/>
          <w:spacing w:val="-6"/>
          <w:sz w:val="19"/>
          <w:szCs w:val="19"/>
        </w:rPr>
        <w:t>and</w:t>
      </w:r>
      <w:r>
        <w:rPr>
          <w:rFonts w:ascii="Arial" w:hAnsi="Arial" w:eastAsia="Arial" w:cs="Arial"/>
          <w:spacing w:val="33"/>
          <w:w w:val="101"/>
          <w:sz w:val="19"/>
          <w:szCs w:val="19"/>
        </w:rPr>
        <w:t xml:space="preserve"> </w:t>
      </w:r>
      <w:r>
        <w:rPr>
          <w:rFonts w:ascii="Arial" w:hAnsi="Arial" w:eastAsia="Arial" w:cs="Arial"/>
          <w:spacing w:val="-6"/>
          <w:sz w:val="19"/>
          <w:szCs w:val="19"/>
        </w:rPr>
        <w:t>data</w:t>
      </w:r>
      <w:r>
        <w:rPr>
          <w:rFonts w:ascii="Arial" w:hAnsi="Arial" w:eastAsia="Arial" w:cs="Arial"/>
          <w:spacing w:val="40"/>
          <w:sz w:val="19"/>
          <w:szCs w:val="19"/>
        </w:rPr>
        <w:t xml:space="preserve"> </w:t>
      </w:r>
      <w:r>
        <w:rPr>
          <w:rFonts w:ascii="Arial" w:hAnsi="Arial" w:eastAsia="Arial" w:cs="Arial"/>
          <w:spacing w:val="-6"/>
          <w:sz w:val="19"/>
          <w:szCs w:val="19"/>
        </w:rPr>
        <w:t>protection</w:t>
      </w:r>
      <w:r>
        <w:rPr>
          <w:rFonts w:ascii="Arial" w:hAnsi="Arial" w:eastAsia="Arial" w:cs="Arial"/>
          <w:spacing w:val="31"/>
          <w:w w:val="101"/>
          <w:sz w:val="19"/>
          <w:szCs w:val="19"/>
        </w:rPr>
        <w:t xml:space="preserve"> </w:t>
      </w:r>
      <w:r>
        <w:rPr>
          <w:rFonts w:ascii="Arial" w:hAnsi="Arial" w:eastAsia="Arial" w:cs="Arial"/>
          <w:spacing w:val="-6"/>
          <w:sz w:val="19"/>
          <w:szCs w:val="19"/>
        </w:rPr>
        <w:t>was</w:t>
      </w:r>
      <w:r>
        <w:rPr>
          <w:rFonts w:ascii="Arial" w:hAnsi="Arial" w:eastAsia="Arial" w:cs="Arial"/>
          <w:spacing w:val="32"/>
          <w:w w:val="101"/>
          <w:sz w:val="19"/>
          <w:szCs w:val="19"/>
        </w:rPr>
        <w:t xml:space="preserve"> </w:t>
      </w:r>
      <w:r>
        <w:rPr>
          <w:rFonts w:ascii="Arial" w:hAnsi="Arial" w:eastAsia="Arial" w:cs="Arial"/>
          <w:spacing w:val="-6"/>
          <w:sz w:val="19"/>
          <w:szCs w:val="19"/>
        </w:rPr>
        <w:t>assured.</w:t>
      </w:r>
      <w:r>
        <w:rPr>
          <w:rFonts w:ascii="Arial" w:hAnsi="Arial" w:eastAsia="Arial" w:cs="Arial"/>
          <w:spacing w:val="41"/>
          <w:w w:val="101"/>
          <w:sz w:val="19"/>
          <w:szCs w:val="19"/>
        </w:rPr>
        <w:t xml:space="preserve"> </w:t>
      </w:r>
      <w:r>
        <w:rPr>
          <w:rFonts w:ascii="Arial" w:hAnsi="Arial" w:eastAsia="Arial" w:cs="Arial"/>
          <w:spacing w:val="-6"/>
          <w:sz w:val="19"/>
          <w:szCs w:val="19"/>
        </w:rPr>
        <w:t>In</w:t>
      </w:r>
      <w:r>
        <w:rPr>
          <w:rFonts w:ascii="Arial" w:hAnsi="Arial" w:eastAsia="Arial" w:cs="Arial"/>
          <w:spacing w:val="32"/>
          <w:sz w:val="19"/>
          <w:szCs w:val="19"/>
        </w:rPr>
        <w:t xml:space="preserve"> </w:t>
      </w:r>
      <w:r>
        <w:rPr>
          <w:rFonts w:ascii="Arial" w:hAnsi="Arial" w:eastAsia="Arial" w:cs="Arial"/>
          <w:spacing w:val="-6"/>
          <w:sz w:val="19"/>
          <w:szCs w:val="19"/>
        </w:rPr>
        <w:t>a</w:t>
      </w:r>
      <w:r>
        <w:rPr>
          <w:rFonts w:ascii="Arial" w:hAnsi="Arial" w:eastAsia="Arial" w:cs="Arial"/>
          <w:spacing w:val="29"/>
          <w:sz w:val="19"/>
          <w:szCs w:val="19"/>
        </w:rPr>
        <w:t xml:space="preserve"> </w:t>
      </w:r>
      <w:r>
        <w:rPr>
          <w:rFonts w:ascii="Arial" w:hAnsi="Arial" w:eastAsia="Arial" w:cs="Arial"/>
          <w:spacing w:val="-6"/>
          <w:sz w:val="19"/>
          <w:szCs w:val="19"/>
        </w:rPr>
        <w:t>irst</w:t>
      </w:r>
      <w:r>
        <w:rPr>
          <w:rFonts w:ascii="Arial" w:hAnsi="Arial" w:eastAsia="Arial" w:cs="Arial"/>
          <w:spacing w:val="33"/>
          <w:w w:val="101"/>
          <w:sz w:val="19"/>
          <w:szCs w:val="19"/>
        </w:rPr>
        <w:t xml:space="preserve"> </w:t>
      </w:r>
      <w:r>
        <w:rPr>
          <w:rFonts w:ascii="Arial" w:hAnsi="Arial" w:eastAsia="Arial" w:cs="Arial"/>
          <w:spacing w:val="-6"/>
          <w:sz w:val="19"/>
          <w:szCs w:val="19"/>
        </w:rPr>
        <w:t>step</w:t>
      </w:r>
      <w:r>
        <w:rPr>
          <w:rFonts w:ascii="Arial" w:hAnsi="Arial" w:eastAsia="Arial" w:cs="Arial"/>
          <w:spacing w:val="-7"/>
          <w:sz w:val="19"/>
          <w:szCs w:val="19"/>
        </w:rPr>
        <w:t>,</w:t>
      </w:r>
      <w:r>
        <w:rPr>
          <w:rFonts w:ascii="Arial" w:hAnsi="Arial" w:eastAsia="Arial" w:cs="Arial"/>
          <w:spacing w:val="31"/>
          <w:sz w:val="19"/>
          <w:szCs w:val="19"/>
        </w:rPr>
        <w:t xml:space="preserve"> </w:t>
      </w:r>
      <w:r>
        <w:rPr>
          <w:rFonts w:ascii="Arial" w:hAnsi="Arial" w:eastAsia="Arial" w:cs="Arial"/>
          <w:spacing w:val="-7"/>
          <w:sz w:val="19"/>
          <w:szCs w:val="19"/>
        </w:rPr>
        <w:t>the</w:t>
      </w:r>
      <w:r>
        <w:rPr>
          <w:rFonts w:ascii="Arial" w:hAnsi="Arial" w:eastAsia="Arial" w:cs="Arial"/>
          <w:spacing w:val="33"/>
          <w:w w:val="101"/>
          <w:sz w:val="19"/>
          <w:szCs w:val="19"/>
        </w:rPr>
        <w:t xml:space="preserve"> </w:t>
      </w:r>
      <w:r>
        <w:rPr>
          <w:rFonts w:ascii="Arial" w:hAnsi="Arial" w:eastAsia="Arial" w:cs="Arial"/>
          <w:spacing w:val="-7"/>
          <w:sz w:val="19"/>
          <w:szCs w:val="19"/>
        </w:rPr>
        <w:t>QCI</w:t>
      </w:r>
      <w:r>
        <w:rPr>
          <w:rFonts w:ascii="Arial" w:hAnsi="Arial" w:eastAsia="Arial" w:cs="Arial"/>
          <w:spacing w:val="29"/>
          <w:w w:val="101"/>
          <w:sz w:val="19"/>
          <w:szCs w:val="19"/>
        </w:rPr>
        <w:t xml:space="preserve"> </w:t>
      </w:r>
      <w:r>
        <w:rPr>
          <w:rFonts w:ascii="Arial" w:hAnsi="Arial" w:eastAsia="Arial" w:cs="Arial"/>
          <w:spacing w:val="-7"/>
          <w:sz w:val="19"/>
          <w:szCs w:val="19"/>
        </w:rPr>
        <w:t>was</w:t>
      </w:r>
      <w:r>
        <w:rPr>
          <w:rFonts w:ascii="Arial" w:hAnsi="Arial" w:eastAsia="Arial" w:cs="Arial"/>
          <w:sz w:val="19"/>
          <w:szCs w:val="19"/>
        </w:rPr>
        <w:t xml:space="preserve"> </w:t>
      </w:r>
      <w:r>
        <w:rPr>
          <w:rFonts w:ascii="Arial" w:hAnsi="Arial" w:eastAsia="Arial" w:cs="Arial"/>
          <w:spacing w:val="-5"/>
          <w:sz w:val="19"/>
          <w:szCs w:val="19"/>
        </w:rPr>
        <w:t>applied</w:t>
      </w:r>
      <w:r>
        <w:rPr>
          <w:rFonts w:ascii="Arial" w:hAnsi="Arial" w:eastAsia="Arial" w:cs="Arial"/>
          <w:spacing w:val="23"/>
          <w:w w:val="101"/>
          <w:sz w:val="19"/>
          <w:szCs w:val="19"/>
        </w:rPr>
        <w:t xml:space="preserve"> </w:t>
      </w:r>
      <w:r>
        <w:rPr>
          <w:rFonts w:ascii="Arial" w:hAnsi="Arial" w:eastAsia="Arial" w:cs="Arial"/>
          <w:spacing w:val="-5"/>
          <w:sz w:val="19"/>
          <w:szCs w:val="19"/>
        </w:rPr>
        <w:t>within</w:t>
      </w:r>
      <w:r>
        <w:rPr>
          <w:rFonts w:ascii="Arial" w:hAnsi="Arial" w:eastAsia="Arial" w:cs="Arial"/>
          <w:spacing w:val="26"/>
          <w:w w:val="101"/>
          <w:sz w:val="19"/>
          <w:szCs w:val="19"/>
        </w:rPr>
        <w:t xml:space="preserve"> </w:t>
      </w:r>
      <w:r>
        <w:rPr>
          <w:rFonts w:ascii="Arial" w:hAnsi="Arial" w:eastAsia="Arial" w:cs="Arial"/>
          <w:spacing w:val="-5"/>
          <w:sz w:val="19"/>
          <w:szCs w:val="19"/>
        </w:rPr>
        <w:t>a</w:t>
      </w:r>
      <w:r>
        <w:rPr>
          <w:rFonts w:ascii="Arial" w:hAnsi="Arial" w:eastAsia="Arial" w:cs="Arial"/>
          <w:spacing w:val="31"/>
          <w:w w:val="101"/>
          <w:sz w:val="19"/>
          <w:szCs w:val="19"/>
        </w:rPr>
        <w:t xml:space="preserve"> </w:t>
      </w:r>
      <w:r>
        <w:rPr>
          <w:rFonts w:ascii="Arial" w:hAnsi="Arial" w:eastAsia="Arial" w:cs="Arial"/>
          <w:spacing w:val="-5"/>
          <w:sz w:val="19"/>
          <w:szCs w:val="19"/>
        </w:rPr>
        <w:t>pilot</w:t>
      </w:r>
      <w:r>
        <w:rPr>
          <w:rFonts w:ascii="Arial" w:hAnsi="Arial" w:eastAsia="Arial" w:cs="Arial"/>
          <w:spacing w:val="26"/>
          <w:w w:val="101"/>
          <w:sz w:val="19"/>
          <w:szCs w:val="19"/>
        </w:rPr>
        <w:t xml:space="preserve"> </w:t>
      </w:r>
      <w:r>
        <w:rPr>
          <w:rFonts w:ascii="Arial" w:hAnsi="Arial" w:eastAsia="Arial" w:cs="Arial"/>
          <w:spacing w:val="-5"/>
          <w:sz w:val="19"/>
          <w:szCs w:val="19"/>
        </w:rPr>
        <w:t>study</w:t>
      </w:r>
      <w:r>
        <w:rPr>
          <w:rFonts w:ascii="Arial" w:hAnsi="Arial" w:eastAsia="Arial" w:cs="Arial"/>
          <w:spacing w:val="33"/>
          <w:sz w:val="19"/>
          <w:szCs w:val="19"/>
        </w:rPr>
        <w:t xml:space="preserve"> </w:t>
      </w:r>
      <w:r>
        <w:rPr>
          <w:rFonts w:ascii="Arial" w:hAnsi="Arial" w:eastAsia="Arial" w:cs="Arial"/>
          <w:spacing w:val="-5"/>
          <w:sz w:val="19"/>
          <w:szCs w:val="19"/>
        </w:rPr>
        <w:t>(N = 93)</w:t>
      </w:r>
      <w:r>
        <w:rPr>
          <w:rFonts w:ascii="Arial" w:hAnsi="Arial" w:eastAsia="Arial" w:cs="Arial"/>
          <w:spacing w:val="33"/>
          <w:w w:val="101"/>
          <w:sz w:val="19"/>
          <w:szCs w:val="19"/>
        </w:rPr>
        <w:t xml:space="preserve"> </w:t>
      </w:r>
      <w:r>
        <w:rPr>
          <w:rFonts w:ascii="Arial" w:hAnsi="Arial" w:eastAsia="Arial" w:cs="Arial"/>
          <w:spacing w:val="-5"/>
          <w:sz w:val="19"/>
          <w:szCs w:val="19"/>
        </w:rPr>
        <w:t>leading</w:t>
      </w:r>
      <w:r>
        <w:rPr>
          <w:rFonts w:ascii="Arial" w:hAnsi="Arial" w:eastAsia="Arial" w:cs="Arial"/>
          <w:spacing w:val="22"/>
          <w:sz w:val="19"/>
          <w:szCs w:val="19"/>
        </w:rPr>
        <w:t xml:space="preserve"> </w:t>
      </w:r>
      <w:r>
        <w:rPr>
          <w:rFonts w:ascii="Arial" w:hAnsi="Arial" w:eastAsia="Arial" w:cs="Arial"/>
          <w:spacing w:val="-5"/>
          <w:sz w:val="19"/>
          <w:szCs w:val="19"/>
        </w:rPr>
        <w:t>to</w:t>
      </w:r>
      <w:r>
        <w:rPr>
          <w:rFonts w:ascii="Arial" w:hAnsi="Arial" w:eastAsia="Arial" w:cs="Arial"/>
          <w:spacing w:val="32"/>
          <w:sz w:val="19"/>
          <w:szCs w:val="19"/>
        </w:rPr>
        <w:t xml:space="preserve"> </w:t>
      </w:r>
      <w:r>
        <w:rPr>
          <w:rFonts w:ascii="Arial" w:hAnsi="Arial" w:eastAsia="Arial" w:cs="Arial"/>
          <w:spacing w:val="-5"/>
          <w:sz w:val="19"/>
          <w:szCs w:val="19"/>
        </w:rPr>
        <w:t>minor</w:t>
      </w:r>
      <w:r>
        <w:rPr>
          <w:rFonts w:ascii="Arial" w:hAnsi="Arial" w:eastAsia="Arial" w:cs="Arial"/>
          <w:spacing w:val="33"/>
          <w:sz w:val="19"/>
          <w:szCs w:val="19"/>
        </w:rPr>
        <w:t xml:space="preserve"> </w:t>
      </w:r>
      <w:r>
        <w:rPr>
          <w:rFonts w:ascii="Arial" w:hAnsi="Arial" w:eastAsia="Arial" w:cs="Arial"/>
          <w:spacing w:val="-5"/>
          <w:sz w:val="19"/>
          <w:szCs w:val="19"/>
        </w:rPr>
        <w:t>revisions</w:t>
      </w:r>
      <w:r>
        <w:rPr>
          <w:rFonts w:ascii="Arial" w:hAnsi="Arial" w:eastAsia="Arial" w:cs="Arial"/>
          <w:spacing w:val="26"/>
          <w:w w:val="101"/>
          <w:sz w:val="19"/>
          <w:szCs w:val="19"/>
        </w:rPr>
        <w:t xml:space="preserve"> </w:t>
      </w:r>
      <w:r>
        <w:rPr>
          <w:rFonts w:ascii="Arial" w:hAnsi="Arial" w:eastAsia="Arial" w:cs="Arial"/>
          <w:spacing w:val="-5"/>
          <w:sz w:val="19"/>
          <w:szCs w:val="19"/>
        </w:rPr>
        <w:t>of</w:t>
      </w:r>
      <w:r>
        <w:rPr>
          <w:rFonts w:ascii="Arial" w:hAnsi="Arial" w:eastAsia="Arial" w:cs="Arial"/>
          <w:spacing w:val="15"/>
          <w:sz w:val="19"/>
          <w:szCs w:val="19"/>
        </w:rPr>
        <w:t xml:space="preserve"> </w:t>
      </w:r>
      <w:r>
        <w:rPr>
          <w:rFonts w:ascii="Arial" w:hAnsi="Arial" w:eastAsia="Arial" w:cs="Arial"/>
          <w:spacing w:val="-5"/>
          <w:sz w:val="19"/>
          <w:szCs w:val="19"/>
        </w:rPr>
        <w:t>the</w:t>
      </w:r>
      <w:r>
        <w:rPr>
          <w:rFonts w:ascii="Arial" w:hAnsi="Arial" w:eastAsia="Arial" w:cs="Arial"/>
          <w:spacing w:val="27"/>
          <w:sz w:val="19"/>
          <w:szCs w:val="19"/>
        </w:rPr>
        <w:t xml:space="preserve"> </w:t>
      </w:r>
      <w:r>
        <w:rPr>
          <w:rFonts w:ascii="Arial" w:hAnsi="Arial" w:eastAsia="Arial" w:cs="Arial"/>
          <w:spacing w:val="-5"/>
          <w:sz w:val="19"/>
          <w:szCs w:val="19"/>
        </w:rPr>
        <w:t>original</w:t>
      </w:r>
      <w:r>
        <w:rPr>
          <w:rFonts w:ascii="Arial" w:hAnsi="Arial" w:eastAsia="Arial" w:cs="Arial"/>
          <w:spacing w:val="27"/>
          <w:sz w:val="19"/>
          <w:szCs w:val="19"/>
        </w:rPr>
        <w:t xml:space="preserve"> </w:t>
      </w:r>
      <w:r>
        <w:rPr>
          <w:rFonts w:ascii="Arial" w:hAnsi="Arial" w:eastAsia="Arial" w:cs="Arial"/>
          <w:spacing w:val="-5"/>
          <w:sz w:val="19"/>
          <w:szCs w:val="19"/>
        </w:rPr>
        <w:t>questionnaire.</w:t>
      </w:r>
      <w:r>
        <w:rPr>
          <w:rFonts w:ascii="Arial" w:hAnsi="Arial" w:eastAsia="Arial" w:cs="Arial"/>
          <w:spacing w:val="18"/>
          <w:w w:val="101"/>
          <w:sz w:val="19"/>
          <w:szCs w:val="19"/>
        </w:rPr>
        <w:t xml:space="preserve"> </w:t>
      </w:r>
      <w:r>
        <w:rPr>
          <w:rFonts w:ascii="Arial" w:hAnsi="Arial" w:eastAsia="Arial" w:cs="Arial"/>
          <w:spacing w:val="-5"/>
          <w:sz w:val="19"/>
          <w:szCs w:val="19"/>
        </w:rPr>
        <w:t>T</w:t>
      </w:r>
      <w:r>
        <w:rPr>
          <w:rFonts w:ascii="Arial" w:hAnsi="Arial" w:eastAsia="Arial" w:cs="Arial"/>
          <w:spacing w:val="-6"/>
          <w:sz w:val="19"/>
          <w:szCs w:val="19"/>
        </w:rPr>
        <w:t>he</w:t>
      </w:r>
      <w:r>
        <w:rPr>
          <w:rFonts w:ascii="Arial" w:hAnsi="Arial" w:eastAsia="Arial" w:cs="Arial"/>
          <w:sz w:val="19"/>
          <w:szCs w:val="19"/>
        </w:rPr>
        <w:t xml:space="preserve"> </w:t>
      </w:r>
      <w:r>
        <w:rPr>
          <w:rFonts w:ascii="Arial" w:hAnsi="Arial" w:eastAsia="Arial" w:cs="Arial"/>
          <w:spacing w:val="-6"/>
          <w:sz w:val="19"/>
          <w:szCs w:val="19"/>
        </w:rPr>
        <w:t>main</w:t>
      </w:r>
      <w:r>
        <w:rPr>
          <w:rFonts w:ascii="Arial" w:hAnsi="Arial" w:eastAsia="Arial" w:cs="Arial"/>
          <w:spacing w:val="23"/>
          <w:sz w:val="19"/>
          <w:szCs w:val="19"/>
        </w:rPr>
        <w:t xml:space="preserve"> </w:t>
      </w:r>
      <w:r>
        <w:rPr>
          <w:rFonts w:ascii="Arial" w:hAnsi="Arial" w:eastAsia="Arial" w:cs="Arial"/>
          <w:spacing w:val="-6"/>
          <w:sz w:val="19"/>
          <w:szCs w:val="19"/>
        </w:rPr>
        <w:t>investigation</w:t>
      </w:r>
      <w:r>
        <w:rPr>
          <w:rFonts w:ascii="Arial" w:hAnsi="Arial" w:eastAsia="Arial" w:cs="Arial"/>
          <w:spacing w:val="13"/>
          <w:w w:val="101"/>
          <w:sz w:val="19"/>
          <w:szCs w:val="19"/>
        </w:rPr>
        <w:t xml:space="preserve"> </w:t>
      </w:r>
      <w:r>
        <w:rPr>
          <w:rFonts w:ascii="Arial" w:hAnsi="Arial" w:eastAsia="Arial" w:cs="Arial"/>
          <w:spacing w:val="-6"/>
          <w:sz w:val="19"/>
          <w:szCs w:val="19"/>
        </w:rPr>
        <w:t>yiel</w:t>
      </w:r>
      <w:r>
        <w:rPr>
          <w:rFonts w:ascii="Arial" w:hAnsi="Arial" w:eastAsia="Arial" w:cs="Arial"/>
          <w:spacing w:val="-7"/>
          <w:sz w:val="19"/>
          <w:szCs w:val="19"/>
        </w:rPr>
        <w:t>ded</w:t>
      </w:r>
      <w:r>
        <w:rPr>
          <w:rFonts w:ascii="Arial" w:hAnsi="Arial" w:eastAsia="Arial" w:cs="Arial"/>
          <w:spacing w:val="23"/>
          <w:sz w:val="19"/>
          <w:szCs w:val="19"/>
        </w:rPr>
        <w:t xml:space="preserve"> </w:t>
      </w:r>
      <w:r>
        <w:rPr>
          <w:rFonts w:ascii="Arial" w:hAnsi="Arial" w:eastAsia="Arial" w:cs="Arial"/>
          <w:spacing w:val="-7"/>
          <w:sz w:val="19"/>
          <w:szCs w:val="19"/>
        </w:rPr>
        <w:t>789</w:t>
      </w:r>
      <w:r>
        <w:rPr>
          <w:rFonts w:ascii="Arial" w:hAnsi="Arial" w:eastAsia="Arial" w:cs="Arial"/>
          <w:spacing w:val="18"/>
          <w:w w:val="101"/>
          <w:sz w:val="19"/>
          <w:szCs w:val="19"/>
        </w:rPr>
        <w:t xml:space="preserve"> </w:t>
      </w:r>
      <w:r>
        <w:rPr>
          <w:rFonts w:ascii="Arial" w:hAnsi="Arial" w:eastAsia="Arial" w:cs="Arial"/>
          <w:spacing w:val="-7"/>
          <w:sz w:val="19"/>
          <w:szCs w:val="19"/>
        </w:rPr>
        <w:t>complete</w:t>
      </w:r>
      <w:r>
        <w:rPr>
          <w:rFonts w:ascii="Arial" w:hAnsi="Arial" w:eastAsia="Arial" w:cs="Arial"/>
          <w:spacing w:val="17"/>
          <w:w w:val="101"/>
          <w:sz w:val="19"/>
          <w:szCs w:val="19"/>
        </w:rPr>
        <w:t xml:space="preserve"> </w:t>
      </w:r>
      <w:r>
        <w:rPr>
          <w:rFonts w:ascii="Arial" w:hAnsi="Arial" w:eastAsia="Arial" w:cs="Arial"/>
          <w:spacing w:val="-7"/>
          <w:sz w:val="19"/>
          <w:szCs w:val="19"/>
        </w:rPr>
        <w:t>and</w:t>
      </w:r>
      <w:r>
        <w:rPr>
          <w:rFonts w:ascii="Arial" w:hAnsi="Arial" w:eastAsia="Arial" w:cs="Arial"/>
          <w:spacing w:val="25"/>
          <w:sz w:val="19"/>
          <w:szCs w:val="19"/>
        </w:rPr>
        <w:t xml:space="preserve"> </w:t>
      </w:r>
      <w:r>
        <w:rPr>
          <w:rFonts w:ascii="Arial" w:hAnsi="Arial" w:eastAsia="Arial" w:cs="Arial"/>
          <w:spacing w:val="-7"/>
          <w:sz w:val="19"/>
          <w:szCs w:val="19"/>
        </w:rPr>
        <w:t>usable</w:t>
      </w:r>
      <w:r>
        <w:rPr>
          <w:rFonts w:ascii="Arial" w:hAnsi="Arial" w:eastAsia="Arial" w:cs="Arial"/>
          <w:spacing w:val="18"/>
          <w:w w:val="101"/>
          <w:sz w:val="19"/>
          <w:szCs w:val="19"/>
        </w:rPr>
        <w:t xml:space="preserve"> </w:t>
      </w:r>
      <w:r>
        <w:rPr>
          <w:rFonts w:ascii="Arial" w:hAnsi="Arial" w:eastAsia="Arial" w:cs="Arial"/>
          <w:spacing w:val="-7"/>
          <w:sz w:val="19"/>
          <w:szCs w:val="19"/>
        </w:rPr>
        <w:t>questionnaires</w:t>
      </w:r>
      <w:r>
        <w:rPr>
          <w:rFonts w:ascii="Arial" w:hAnsi="Arial" w:eastAsia="Arial" w:cs="Arial"/>
          <w:spacing w:val="24"/>
          <w:sz w:val="19"/>
          <w:szCs w:val="19"/>
        </w:rPr>
        <w:t xml:space="preserve"> </w:t>
      </w:r>
      <w:r>
        <w:rPr>
          <w:rFonts w:ascii="Arial" w:hAnsi="Arial" w:eastAsia="Arial" w:cs="Arial"/>
          <w:spacing w:val="-7"/>
          <w:sz w:val="19"/>
          <w:szCs w:val="19"/>
        </w:rPr>
        <w:t>(response</w:t>
      </w:r>
      <w:r>
        <w:rPr>
          <w:rFonts w:ascii="Arial" w:hAnsi="Arial" w:eastAsia="Arial" w:cs="Arial"/>
          <w:spacing w:val="24"/>
          <w:sz w:val="19"/>
          <w:szCs w:val="19"/>
        </w:rPr>
        <w:t xml:space="preserve"> </w:t>
      </w:r>
      <w:r>
        <w:rPr>
          <w:rFonts w:ascii="Arial" w:hAnsi="Arial" w:eastAsia="Arial" w:cs="Arial"/>
          <w:spacing w:val="-7"/>
          <w:sz w:val="19"/>
          <w:szCs w:val="19"/>
        </w:rPr>
        <w:t>rate:</w:t>
      </w:r>
      <w:r>
        <w:rPr>
          <w:rFonts w:ascii="Arial" w:hAnsi="Arial" w:eastAsia="Arial" w:cs="Arial"/>
          <w:spacing w:val="31"/>
          <w:w w:val="101"/>
          <w:sz w:val="19"/>
          <w:szCs w:val="19"/>
        </w:rPr>
        <w:t xml:space="preserve"> </w:t>
      </w:r>
      <w:r>
        <w:rPr>
          <w:rFonts w:ascii="Arial" w:hAnsi="Arial" w:eastAsia="Arial" w:cs="Arial"/>
          <w:spacing w:val="-7"/>
          <w:sz w:val="19"/>
          <w:szCs w:val="19"/>
        </w:rPr>
        <w:t>10%).</w:t>
      </w:r>
      <w:r>
        <w:rPr>
          <w:rFonts w:ascii="Arial" w:hAnsi="Arial" w:eastAsia="Arial" w:cs="Arial"/>
          <w:spacing w:val="25"/>
          <w:sz w:val="19"/>
          <w:szCs w:val="19"/>
        </w:rPr>
        <w:t xml:space="preserve"> </w:t>
      </w:r>
      <w:r>
        <w:rPr>
          <w:rFonts w:ascii="Arial" w:hAnsi="Arial" w:eastAsia="Arial" w:cs="Arial"/>
          <w:spacing w:val="-7"/>
          <w:sz w:val="19"/>
          <w:szCs w:val="19"/>
        </w:rPr>
        <w:t>Detailed</w:t>
      </w:r>
      <w:r>
        <w:rPr>
          <w:rFonts w:ascii="Arial" w:hAnsi="Arial" w:eastAsia="Arial" w:cs="Arial"/>
          <w:sz w:val="19"/>
          <w:szCs w:val="19"/>
        </w:rPr>
        <w:t xml:space="preserve"> </w:t>
      </w:r>
      <w:r>
        <w:rPr>
          <w:rFonts w:ascii="Arial" w:hAnsi="Arial" w:eastAsia="Arial" w:cs="Arial"/>
          <w:spacing w:val="-6"/>
          <w:sz w:val="19"/>
          <w:szCs w:val="19"/>
        </w:rPr>
        <w:t>sample</w:t>
      </w:r>
      <w:r>
        <w:rPr>
          <w:rFonts w:ascii="Arial" w:hAnsi="Arial" w:eastAsia="Arial" w:cs="Arial"/>
          <w:spacing w:val="12"/>
          <w:sz w:val="19"/>
          <w:szCs w:val="19"/>
        </w:rPr>
        <w:t xml:space="preserve"> </w:t>
      </w:r>
      <w:r>
        <w:rPr>
          <w:rFonts w:ascii="Arial" w:hAnsi="Arial" w:eastAsia="Arial" w:cs="Arial"/>
          <w:spacing w:val="-6"/>
          <w:sz w:val="19"/>
          <w:szCs w:val="19"/>
        </w:rPr>
        <w:t>characteristics</w:t>
      </w:r>
      <w:r>
        <w:rPr>
          <w:rFonts w:ascii="Arial" w:hAnsi="Arial" w:eastAsia="Arial" w:cs="Arial"/>
          <w:spacing w:val="13"/>
          <w:w w:val="101"/>
          <w:sz w:val="19"/>
          <w:szCs w:val="19"/>
        </w:rPr>
        <w:t xml:space="preserve"> </w:t>
      </w:r>
      <w:r>
        <w:rPr>
          <w:rFonts w:ascii="Arial" w:hAnsi="Arial" w:eastAsia="Arial" w:cs="Arial"/>
          <w:spacing w:val="-6"/>
          <w:sz w:val="19"/>
          <w:szCs w:val="19"/>
        </w:rPr>
        <w:t>are</w:t>
      </w:r>
      <w:r>
        <w:rPr>
          <w:rFonts w:ascii="Arial" w:hAnsi="Arial" w:eastAsia="Arial" w:cs="Arial"/>
          <w:spacing w:val="18"/>
          <w:sz w:val="19"/>
          <w:szCs w:val="19"/>
        </w:rPr>
        <w:t xml:space="preserve"> </w:t>
      </w:r>
      <w:r>
        <w:rPr>
          <w:rFonts w:ascii="Arial" w:hAnsi="Arial" w:eastAsia="Arial" w:cs="Arial"/>
          <w:spacing w:val="-6"/>
          <w:sz w:val="19"/>
          <w:szCs w:val="19"/>
        </w:rPr>
        <w:t>pr</w:t>
      </w:r>
      <w:r>
        <w:rPr>
          <w:rFonts w:ascii="Arial" w:hAnsi="Arial" w:eastAsia="Arial" w:cs="Arial"/>
          <w:spacing w:val="-7"/>
          <w:sz w:val="19"/>
          <w:szCs w:val="19"/>
        </w:rPr>
        <w:t>ovided</w:t>
      </w:r>
      <w:r>
        <w:rPr>
          <w:rFonts w:ascii="Arial" w:hAnsi="Arial" w:eastAsia="Arial" w:cs="Arial"/>
          <w:spacing w:val="15"/>
          <w:w w:val="101"/>
          <w:sz w:val="19"/>
          <w:szCs w:val="19"/>
        </w:rPr>
        <w:t xml:space="preserve"> </w:t>
      </w:r>
      <w:r>
        <w:rPr>
          <w:rFonts w:ascii="Arial" w:hAnsi="Arial" w:eastAsia="Arial" w:cs="Arial"/>
          <w:spacing w:val="-7"/>
          <w:sz w:val="19"/>
          <w:szCs w:val="19"/>
        </w:rPr>
        <w:t xml:space="preserve">in </w:t>
      </w:r>
      <w:r>
        <w:fldChar w:fldCharType="begin"/>
      </w:r>
      <w:r>
        <w:instrText xml:space="preserve"> HYPERLINK \l "bookmark85" </w:instrText>
      </w:r>
      <w:r>
        <w:fldChar w:fldCharType="separate"/>
      </w:r>
      <w:r>
        <w:rPr>
          <w:rFonts w:ascii="Arial" w:hAnsi="Arial" w:eastAsia="Arial" w:cs="Arial"/>
          <w:color w:val="000084"/>
          <w:spacing w:val="-7"/>
          <w:sz w:val="19"/>
          <w:szCs w:val="19"/>
        </w:rPr>
        <w:t>Table</w:t>
      </w:r>
      <w:r>
        <w:rPr>
          <w:rFonts w:ascii="Arial" w:hAnsi="Arial" w:eastAsia="Arial" w:cs="Arial"/>
          <w:color w:val="000084"/>
          <w:spacing w:val="12"/>
          <w:sz w:val="19"/>
          <w:szCs w:val="19"/>
        </w:rPr>
        <w:t xml:space="preserve"> </w:t>
      </w:r>
      <w:r>
        <w:rPr>
          <w:rFonts w:ascii="Arial" w:hAnsi="Arial" w:eastAsia="Arial" w:cs="Arial"/>
          <w:color w:val="000084"/>
          <w:spacing w:val="-7"/>
          <w:sz w:val="19"/>
          <w:szCs w:val="19"/>
        </w:rPr>
        <w:t>3</w:t>
      </w:r>
      <w:r>
        <w:rPr>
          <w:rFonts w:ascii="Arial" w:hAnsi="Arial" w:eastAsia="Arial" w:cs="Arial"/>
          <w:color w:val="000084"/>
          <w:spacing w:val="-7"/>
          <w:sz w:val="19"/>
          <w:szCs w:val="19"/>
        </w:rPr>
        <w:fldChar w:fldCharType="end"/>
      </w:r>
      <w:r>
        <w:rPr>
          <w:rFonts w:ascii="Arial" w:hAnsi="Arial" w:eastAsia="Arial" w:cs="Arial"/>
          <w:spacing w:val="-7"/>
          <w:sz w:val="19"/>
          <w:szCs w:val="19"/>
        </w:rPr>
        <w:t>.</w:t>
      </w:r>
    </w:p>
    <w:p>
      <w:pPr>
        <w:spacing w:before="53" w:line="258" w:lineRule="auto"/>
        <w:ind w:left="1" w:firstLine="242"/>
        <w:jc w:val="both"/>
        <w:rPr>
          <w:rFonts w:ascii="Arial" w:hAnsi="Arial" w:eastAsia="Arial" w:cs="Arial"/>
          <w:sz w:val="19"/>
          <w:szCs w:val="19"/>
        </w:rPr>
      </w:pPr>
      <w:r>
        <w:rPr>
          <w:rFonts w:ascii="Arial" w:hAnsi="Arial" w:eastAsia="Arial" w:cs="Arial"/>
          <w:spacing w:val="-5"/>
          <w:sz w:val="19"/>
          <w:szCs w:val="19"/>
        </w:rPr>
        <w:t>As</w:t>
      </w:r>
      <w:r>
        <w:rPr>
          <w:rFonts w:ascii="Arial" w:hAnsi="Arial" w:eastAsia="Arial" w:cs="Arial"/>
          <w:spacing w:val="15"/>
          <w:sz w:val="19"/>
          <w:szCs w:val="19"/>
        </w:rPr>
        <w:t xml:space="preserve"> </w:t>
      </w:r>
      <w:r>
        <w:rPr>
          <w:rFonts w:ascii="Arial" w:hAnsi="Arial" w:eastAsia="Arial" w:cs="Arial"/>
          <w:spacing w:val="-5"/>
          <w:sz w:val="19"/>
          <w:szCs w:val="19"/>
        </w:rPr>
        <w:t>expected,</w:t>
      </w:r>
      <w:r>
        <w:rPr>
          <w:rFonts w:ascii="Arial" w:hAnsi="Arial" w:eastAsia="Arial" w:cs="Arial"/>
          <w:spacing w:val="15"/>
          <w:w w:val="101"/>
          <w:sz w:val="19"/>
          <w:szCs w:val="19"/>
        </w:rPr>
        <w:t xml:space="preserve"> </w:t>
      </w:r>
      <w:r>
        <w:rPr>
          <w:rFonts w:ascii="Arial" w:hAnsi="Arial" w:eastAsia="Arial" w:cs="Arial"/>
          <w:spacing w:val="-5"/>
          <w:sz w:val="19"/>
          <w:szCs w:val="19"/>
        </w:rPr>
        <w:t>academic</w:t>
      </w:r>
      <w:r>
        <w:rPr>
          <w:rFonts w:ascii="Arial" w:hAnsi="Arial" w:eastAsia="Arial" w:cs="Arial"/>
          <w:spacing w:val="17"/>
          <w:sz w:val="19"/>
          <w:szCs w:val="19"/>
        </w:rPr>
        <w:t xml:space="preserve"> </w:t>
      </w:r>
      <w:r>
        <w:rPr>
          <w:rFonts w:ascii="Arial" w:hAnsi="Arial" w:eastAsia="Arial" w:cs="Arial"/>
          <w:spacing w:val="-5"/>
          <w:sz w:val="19"/>
          <w:szCs w:val="19"/>
        </w:rPr>
        <w:t>staf account</w:t>
      </w:r>
      <w:r>
        <w:rPr>
          <w:rFonts w:ascii="Arial" w:hAnsi="Arial" w:eastAsia="Arial" w:cs="Arial"/>
          <w:spacing w:val="10"/>
          <w:sz w:val="19"/>
          <w:szCs w:val="19"/>
        </w:rPr>
        <w:t xml:space="preserve"> </w:t>
      </w:r>
      <w:r>
        <w:rPr>
          <w:rFonts w:ascii="Arial" w:hAnsi="Arial" w:eastAsia="Arial" w:cs="Arial"/>
          <w:spacing w:val="-5"/>
          <w:sz w:val="19"/>
          <w:szCs w:val="19"/>
        </w:rPr>
        <w:t>for</w:t>
      </w:r>
      <w:r>
        <w:rPr>
          <w:rFonts w:ascii="Arial" w:hAnsi="Arial" w:eastAsia="Arial" w:cs="Arial"/>
          <w:spacing w:val="12"/>
          <w:sz w:val="19"/>
          <w:szCs w:val="19"/>
        </w:rPr>
        <w:t xml:space="preserve"> </w:t>
      </w:r>
      <w:r>
        <w:rPr>
          <w:rFonts w:ascii="Arial" w:hAnsi="Arial" w:eastAsia="Arial" w:cs="Arial"/>
          <w:spacing w:val="-5"/>
          <w:sz w:val="19"/>
          <w:szCs w:val="19"/>
        </w:rPr>
        <w:t>the</w:t>
      </w:r>
      <w:r>
        <w:rPr>
          <w:rFonts w:ascii="Arial" w:hAnsi="Arial" w:eastAsia="Arial" w:cs="Arial"/>
          <w:spacing w:val="22"/>
          <w:sz w:val="19"/>
          <w:szCs w:val="19"/>
        </w:rPr>
        <w:t xml:space="preserve"> </w:t>
      </w:r>
      <w:r>
        <w:rPr>
          <w:rFonts w:ascii="Arial" w:hAnsi="Arial" w:eastAsia="Arial" w:cs="Arial"/>
          <w:spacing w:val="-5"/>
          <w:sz w:val="19"/>
          <w:szCs w:val="19"/>
        </w:rPr>
        <w:t>largest</w:t>
      </w:r>
      <w:r>
        <w:rPr>
          <w:rFonts w:ascii="Arial" w:hAnsi="Arial" w:eastAsia="Arial" w:cs="Arial"/>
          <w:spacing w:val="11"/>
          <w:sz w:val="19"/>
          <w:szCs w:val="19"/>
        </w:rPr>
        <w:t xml:space="preserve"> </w:t>
      </w:r>
      <w:r>
        <w:rPr>
          <w:rFonts w:ascii="Arial" w:hAnsi="Arial" w:eastAsia="Arial" w:cs="Arial"/>
          <w:spacing w:val="-5"/>
          <w:sz w:val="19"/>
          <w:szCs w:val="19"/>
        </w:rPr>
        <w:t>target</w:t>
      </w:r>
      <w:r>
        <w:rPr>
          <w:rFonts w:ascii="Arial" w:hAnsi="Arial" w:eastAsia="Arial" w:cs="Arial"/>
          <w:spacing w:val="16"/>
          <w:w w:val="101"/>
          <w:sz w:val="19"/>
          <w:szCs w:val="19"/>
        </w:rPr>
        <w:t xml:space="preserve"> </w:t>
      </w:r>
      <w:r>
        <w:rPr>
          <w:rFonts w:ascii="Arial" w:hAnsi="Arial" w:eastAsia="Arial" w:cs="Arial"/>
          <w:spacing w:val="-5"/>
          <w:sz w:val="19"/>
          <w:szCs w:val="19"/>
        </w:rPr>
        <w:t>group</w:t>
      </w:r>
      <w:r>
        <w:rPr>
          <w:rFonts w:ascii="Arial" w:hAnsi="Arial" w:eastAsia="Arial" w:cs="Arial"/>
          <w:spacing w:val="12"/>
          <w:sz w:val="19"/>
          <w:szCs w:val="19"/>
        </w:rPr>
        <w:t xml:space="preserve"> </w:t>
      </w:r>
      <w:r>
        <w:rPr>
          <w:rFonts w:ascii="Arial" w:hAnsi="Arial" w:eastAsia="Arial" w:cs="Arial"/>
          <w:spacing w:val="-5"/>
          <w:sz w:val="19"/>
          <w:szCs w:val="19"/>
        </w:rPr>
        <w:t>within</w:t>
      </w:r>
      <w:r>
        <w:rPr>
          <w:rFonts w:ascii="Arial" w:hAnsi="Arial" w:eastAsia="Arial" w:cs="Arial"/>
          <w:spacing w:val="16"/>
          <w:sz w:val="19"/>
          <w:szCs w:val="19"/>
        </w:rPr>
        <w:t xml:space="preserve"> </w:t>
      </w:r>
      <w:r>
        <w:rPr>
          <w:rFonts w:ascii="Arial" w:hAnsi="Arial" w:eastAsia="Arial" w:cs="Arial"/>
          <w:spacing w:val="-5"/>
          <w:sz w:val="19"/>
          <w:szCs w:val="19"/>
        </w:rPr>
        <w:t>ou</w:t>
      </w:r>
      <w:r>
        <w:rPr>
          <w:rFonts w:ascii="Arial" w:hAnsi="Arial" w:eastAsia="Arial" w:cs="Arial"/>
          <w:spacing w:val="-6"/>
          <w:sz w:val="19"/>
          <w:szCs w:val="19"/>
        </w:rPr>
        <w:t>r</w:t>
      </w:r>
      <w:r>
        <w:rPr>
          <w:rFonts w:ascii="Arial" w:hAnsi="Arial" w:eastAsia="Arial" w:cs="Arial"/>
          <w:spacing w:val="16"/>
          <w:w w:val="101"/>
          <w:sz w:val="19"/>
          <w:szCs w:val="19"/>
        </w:rPr>
        <w:t xml:space="preserve"> </w:t>
      </w:r>
      <w:r>
        <w:rPr>
          <w:rFonts w:ascii="Arial" w:hAnsi="Arial" w:eastAsia="Arial" w:cs="Arial"/>
          <w:spacing w:val="-6"/>
          <w:sz w:val="19"/>
          <w:szCs w:val="19"/>
        </w:rPr>
        <w:t>sample</w:t>
      </w:r>
      <w:r>
        <w:rPr>
          <w:rFonts w:ascii="Arial" w:hAnsi="Arial" w:eastAsia="Arial" w:cs="Arial"/>
          <w:spacing w:val="20"/>
          <w:sz w:val="19"/>
          <w:szCs w:val="19"/>
        </w:rPr>
        <w:t xml:space="preserve"> </w:t>
      </w:r>
      <w:r>
        <w:rPr>
          <w:rFonts w:ascii="Arial" w:hAnsi="Arial" w:eastAsia="Arial" w:cs="Arial"/>
          <w:spacing w:val="-6"/>
          <w:sz w:val="19"/>
          <w:szCs w:val="19"/>
        </w:rPr>
        <w:t>(17.5%</w:t>
      </w:r>
      <w:r>
        <w:rPr>
          <w:rFonts w:ascii="Arial" w:hAnsi="Arial" w:eastAsia="Arial" w:cs="Arial"/>
          <w:spacing w:val="21"/>
          <w:sz w:val="19"/>
          <w:szCs w:val="19"/>
        </w:rPr>
        <w:t xml:space="preserve"> </w:t>
      </w:r>
      <w:r>
        <w:rPr>
          <w:rFonts w:ascii="Arial" w:hAnsi="Arial" w:eastAsia="Arial" w:cs="Arial"/>
          <w:spacing w:val="-6"/>
          <w:sz w:val="19"/>
          <w:szCs w:val="19"/>
        </w:rPr>
        <w:t>pro-</w:t>
      </w:r>
      <w:r>
        <w:rPr>
          <w:rFonts w:ascii="Arial" w:hAnsi="Arial" w:eastAsia="Arial" w:cs="Arial"/>
          <w:sz w:val="19"/>
          <w:szCs w:val="19"/>
        </w:rPr>
        <w:t xml:space="preserve"> </w:t>
      </w:r>
      <w:r>
        <w:rPr>
          <w:rFonts w:ascii="Arial" w:hAnsi="Arial" w:eastAsia="Arial" w:cs="Arial"/>
          <w:spacing w:val="-8"/>
          <w:sz w:val="19"/>
          <w:szCs w:val="19"/>
        </w:rPr>
        <w:t>fessors,</w:t>
      </w:r>
      <w:r>
        <w:rPr>
          <w:rFonts w:ascii="Arial" w:hAnsi="Arial" w:eastAsia="Arial" w:cs="Arial"/>
          <w:spacing w:val="39"/>
          <w:w w:val="101"/>
          <w:sz w:val="19"/>
          <w:szCs w:val="19"/>
        </w:rPr>
        <w:t xml:space="preserve"> </w:t>
      </w:r>
      <w:r>
        <w:rPr>
          <w:rFonts w:ascii="Arial" w:hAnsi="Arial" w:eastAsia="Arial" w:cs="Arial"/>
          <w:spacing w:val="-8"/>
          <w:sz w:val="19"/>
          <w:szCs w:val="19"/>
        </w:rPr>
        <w:t>36.6%</w:t>
      </w:r>
      <w:r>
        <w:rPr>
          <w:rFonts w:ascii="Arial" w:hAnsi="Arial" w:eastAsia="Arial" w:cs="Arial"/>
          <w:spacing w:val="37"/>
          <w:w w:val="101"/>
          <w:sz w:val="19"/>
          <w:szCs w:val="19"/>
        </w:rPr>
        <w:t xml:space="preserve"> </w:t>
      </w:r>
      <w:r>
        <w:rPr>
          <w:rFonts w:ascii="Arial" w:hAnsi="Arial" w:eastAsia="Arial" w:cs="Arial"/>
          <w:spacing w:val="-8"/>
          <w:sz w:val="19"/>
          <w:szCs w:val="19"/>
        </w:rPr>
        <w:t>academic</w:t>
      </w:r>
      <w:r>
        <w:rPr>
          <w:rFonts w:ascii="Arial" w:hAnsi="Arial" w:eastAsia="Arial" w:cs="Arial"/>
          <w:spacing w:val="37"/>
          <w:w w:val="101"/>
          <w:sz w:val="19"/>
          <w:szCs w:val="19"/>
        </w:rPr>
        <w:t xml:space="preserve"> </w:t>
      </w:r>
      <w:r>
        <w:rPr>
          <w:rFonts w:ascii="Arial" w:hAnsi="Arial" w:eastAsia="Arial" w:cs="Arial"/>
          <w:spacing w:val="-8"/>
          <w:sz w:val="19"/>
          <w:szCs w:val="19"/>
        </w:rPr>
        <w:t>assistants)</w:t>
      </w:r>
      <w:r>
        <w:rPr>
          <w:rFonts w:ascii="Arial" w:hAnsi="Arial" w:eastAsia="Arial" w:cs="Arial"/>
          <w:spacing w:val="33"/>
          <w:w w:val="101"/>
          <w:sz w:val="19"/>
          <w:szCs w:val="19"/>
        </w:rPr>
        <w:t xml:space="preserve"> </w:t>
      </w:r>
      <w:r>
        <w:rPr>
          <w:rFonts w:ascii="Arial" w:hAnsi="Arial" w:eastAsia="Arial" w:cs="Arial"/>
          <w:spacing w:val="-8"/>
          <w:sz w:val="19"/>
          <w:szCs w:val="19"/>
        </w:rPr>
        <w:t>followed  by</w:t>
      </w:r>
      <w:r>
        <w:rPr>
          <w:rFonts w:ascii="Arial" w:hAnsi="Arial" w:eastAsia="Arial" w:cs="Arial"/>
          <w:spacing w:val="37"/>
          <w:sz w:val="19"/>
          <w:szCs w:val="19"/>
        </w:rPr>
        <w:t xml:space="preserve"> </w:t>
      </w:r>
      <w:r>
        <w:rPr>
          <w:rFonts w:ascii="Arial" w:hAnsi="Arial" w:eastAsia="Arial" w:cs="Arial"/>
          <w:spacing w:val="-8"/>
          <w:sz w:val="19"/>
          <w:szCs w:val="19"/>
        </w:rPr>
        <w:t>administrati</w:t>
      </w:r>
      <w:r>
        <w:rPr>
          <w:rFonts w:ascii="Arial" w:hAnsi="Arial" w:eastAsia="Arial" w:cs="Arial"/>
          <w:spacing w:val="-9"/>
          <w:sz w:val="19"/>
          <w:szCs w:val="19"/>
        </w:rPr>
        <w:t>on  (20.5%),</w:t>
      </w:r>
      <w:r>
        <w:rPr>
          <w:rFonts w:ascii="Arial" w:hAnsi="Arial" w:eastAsia="Arial" w:cs="Arial"/>
          <w:spacing w:val="38"/>
          <w:w w:val="101"/>
          <w:sz w:val="19"/>
          <w:szCs w:val="19"/>
        </w:rPr>
        <w:t xml:space="preserve"> </w:t>
      </w:r>
      <w:r>
        <w:rPr>
          <w:rFonts w:ascii="Arial" w:hAnsi="Arial" w:eastAsia="Arial" w:cs="Arial"/>
          <w:spacing w:val="-9"/>
          <w:sz w:val="19"/>
          <w:szCs w:val="19"/>
        </w:rPr>
        <w:t>service  (14.3%)</w:t>
      </w:r>
      <w:r>
        <w:rPr>
          <w:rFonts w:ascii="Arial" w:hAnsi="Arial" w:eastAsia="Arial" w:cs="Arial"/>
          <w:spacing w:val="37"/>
          <w:sz w:val="19"/>
          <w:szCs w:val="19"/>
        </w:rPr>
        <w:t xml:space="preserve"> </w:t>
      </w:r>
      <w:r>
        <w:rPr>
          <w:rFonts w:ascii="Arial" w:hAnsi="Arial" w:eastAsia="Arial" w:cs="Arial"/>
          <w:spacing w:val="-9"/>
          <w:sz w:val="19"/>
          <w:szCs w:val="19"/>
        </w:rPr>
        <w:t>and</w:t>
      </w:r>
      <w:r>
        <w:rPr>
          <w:rFonts w:ascii="Arial" w:hAnsi="Arial" w:eastAsia="Arial" w:cs="Arial"/>
          <w:spacing w:val="37"/>
          <w:w w:val="101"/>
          <w:sz w:val="19"/>
          <w:szCs w:val="19"/>
        </w:rPr>
        <w:t xml:space="preserve"> </w:t>
      </w:r>
      <w:r>
        <w:rPr>
          <w:rFonts w:ascii="Arial" w:hAnsi="Arial" w:eastAsia="Arial" w:cs="Arial"/>
          <w:spacing w:val="-9"/>
          <w:sz w:val="19"/>
          <w:szCs w:val="19"/>
        </w:rPr>
        <w:t>sec-</w:t>
      </w:r>
      <w:r>
        <w:rPr>
          <w:rFonts w:ascii="Arial" w:hAnsi="Arial" w:eastAsia="Arial" w:cs="Arial"/>
          <w:sz w:val="19"/>
          <w:szCs w:val="19"/>
        </w:rPr>
        <w:t xml:space="preserve"> </w:t>
      </w:r>
      <w:r>
        <w:rPr>
          <w:rFonts w:ascii="Arial" w:hAnsi="Arial" w:eastAsia="Arial" w:cs="Arial"/>
          <w:spacing w:val="-7"/>
          <w:sz w:val="19"/>
          <w:szCs w:val="19"/>
        </w:rPr>
        <w:t>retariats</w:t>
      </w:r>
      <w:r>
        <w:rPr>
          <w:rFonts w:ascii="Arial" w:hAnsi="Arial" w:eastAsia="Arial" w:cs="Arial"/>
          <w:spacing w:val="44"/>
          <w:sz w:val="19"/>
          <w:szCs w:val="19"/>
        </w:rPr>
        <w:t xml:space="preserve"> </w:t>
      </w:r>
      <w:r>
        <w:rPr>
          <w:rFonts w:ascii="Arial" w:hAnsi="Arial" w:eastAsia="Arial" w:cs="Arial"/>
          <w:spacing w:val="-7"/>
          <w:sz w:val="19"/>
          <w:szCs w:val="19"/>
        </w:rPr>
        <w:t>(10.</w:t>
      </w:r>
      <w:r>
        <w:rPr>
          <w:rFonts w:ascii="Arial" w:hAnsi="Arial" w:eastAsia="Arial" w:cs="Arial"/>
          <w:spacing w:val="-6"/>
          <w:sz w:val="19"/>
          <w:szCs w:val="19"/>
        </w:rPr>
        <w:t>6%).</w:t>
      </w:r>
      <w:r>
        <w:rPr>
          <w:rFonts w:ascii="Arial" w:hAnsi="Arial" w:eastAsia="Arial" w:cs="Arial"/>
          <w:spacing w:val="37"/>
          <w:sz w:val="19"/>
          <w:szCs w:val="19"/>
        </w:rPr>
        <w:t xml:space="preserve"> </w:t>
      </w:r>
      <w:r>
        <w:rPr>
          <w:rFonts w:ascii="Arial" w:hAnsi="Arial" w:eastAsia="Arial" w:cs="Arial"/>
          <w:spacing w:val="-6"/>
          <w:sz w:val="19"/>
          <w:szCs w:val="19"/>
        </w:rPr>
        <w:t>Corresponding</w:t>
      </w:r>
      <w:r>
        <w:rPr>
          <w:rFonts w:ascii="Arial" w:hAnsi="Arial" w:eastAsia="Arial" w:cs="Arial"/>
          <w:spacing w:val="33"/>
          <w:sz w:val="19"/>
          <w:szCs w:val="19"/>
        </w:rPr>
        <w:t xml:space="preserve"> </w:t>
      </w:r>
      <w:r>
        <w:rPr>
          <w:rFonts w:ascii="Arial" w:hAnsi="Arial" w:eastAsia="Arial" w:cs="Arial"/>
          <w:spacing w:val="-6"/>
          <w:sz w:val="19"/>
          <w:szCs w:val="19"/>
        </w:rPr>
        <w:t>to</w:t>
      </w:r>
      <w:r>
        <w:rPr>
          <w:rFonts w:ascii="Arial" w:hAnsi="Arial" w:eastAsia="Arial" w:cs="Arial"/>
          <w:spacing w:val="35"/>
          <w:sz w:val="19"/>
          <w:szCs w:val="19"/>
        </w:rPr>
        <w:t xml:space="preserve"> </w:t>
      </w:r>
      <w:r>
        <w:rPr>
          <w:rFonts w:ascii="Arial" w:hAnsi="Arial" w:eastAsia="Arial" w:cs="Arial"/>
          <w:spacing w:val="-6"/>
          <w:sz w:val="19"/>
          <w:szCs w:val="19"/>
        </w:rPr>
        <w:t>that,</w:t>
      </w:r>
      <w:r>
        <w:rPr>
          <w:rFonts w:ascii="Arial" w:hAnsi="Arial" w:eastAsia="Arial" w:cs="Arial"/>
          <w:spacing w:val="44"/>
          <w:w w:val="101"/>
          <w:sz w:val="19"/>
          <w:szCs w:val="19"/>
        </w:rPr>
        <w:t xml:space="preserve"> </w:t>
      </w:r>
      <w:r>
        <w:rPr>
          <w:rFonts w:ascii="Arial" w:hAnsi="Arial" w:eastAsia="Arial" w:cs="Arial"/>
          <w:spacing w:val="-6"/>
          <w:sz w:val="19"/>
          <w:szCs w:val="19"/>
        </w:rPr>
        <w:t>participants</w:t>
      </w:r>
      <w:r>
        <w:rPr>
          <w:rFonts w:ascii="Arial" w:hAnsi="Arial" w:eastAsia="Arial" w:cs="Arial"/>
          <w:spacing w:val="36"/>
          <w:w w:val="101"/>
          <w:sz w:val="19"/>
          <w:szCs w:val="19"/>
        </w:rPr>
        <w:t xml:space="preserve"> </w:t>
      </w:r>
      <w:r>
        <w:rPr>
          <w:rFonts w:ascii="Arial" w:hAnsi="Arial" w:eastAsia="Arial" w:cs="Arial"/>
          <w:spacing w:val="-6"/>
          <w:sz w:val="19"/>
          <w:szCs w:val="19"/>
        </w:rPr>
        <w:t>are</w:t>
      </w:r>
      <w:r>
        <w:rPr>
          <w:rFonts w:ascii="Arial" w:hAnsi="Arial" w:eastAsia="Arial" w:cs="Arial"/>
          <w:spacing w:val="38"/>
          <w:w w:val="101"/>
          <w:sz w:val="19"/>
          <w:szCs w:val="19"/>
        </w:rPr>
        <w:t xml:space="preserve"> </w:t>
      </w:r>
      <w:r>
        <w:rPr>
          <w:rFonts w:ascii="Arial" w:hAnsi="Arial" w:eastAsia="Arial" w:cs="Arial"/>
          <w:spacing w:val="-6"/>
          <w:sz w:val="19"/>
          <w:szCs w:val="19"/>
        </w:rPr>
        <w:t>characterized</w:t>
      </w:r>
      <w:r>
        <w:rPr>
          <w:rFonts w:ascii="Arial" w:hAnsi="Arial" w:eastAsia="Arial" w:cs="Arial"/>
          <w:spacing w:val="44"/>
          <w:w w:val="101"/>
          <w:sz w:val="19"/>
          <w:szCs w:val="19"/>
        </w:rPr>
        <w:t xml:space="preserve"> </w:t>
      </w:r>
      <w:r>
        <w:rPr>
          <w:rFonts w:ascii="Arial" w:hAnsi="Arial" w:eastAsia="Arial" w:cs="Arial"/>
          <w:spacing w:val="-6"/>
          <w:sz w:val="19"/>
          <w:szCs w:val="19"/>
        </w:rPr>
        <w:t>by</w:t>
      </w:r>
      <w:r>
        <w:rPr>
          <w:rFonts w:ascii="Arial" w:hAnsi="Arial" w:eastAsia="Arial" w:cs="Arial"/>
          <w:spacing w:val="37"/>
          <w:sz w:val="19"/>
          <w:szCs w:val="19"/>
        </w:rPr>
        <w:t xml:space="preserve"> </w:t>
      </w:r>
      <w:r>
        <w:rPr>
          <w:rFonts w:ascii="Arial" w:hAnsi="Arial" w:eastAsia="Arial" w:cs="Arial"/>
          <w:spacing w:val="-6"/>
          <w:sz w:val="19"/>
          <w:szCs w:val="19"/>
        </w:rPr>
        <w:t>a</w:t>
      </w:r>
      <w:r>
        <w:rPr>
          <w:rFonts w:ascii="Arial" w:hAnsi="Arial" w:eastAsia="Arial" w:cs="Arial"/>
          <w:spacing w:val="44"/>
          <w:sz w:val="19"/>
          <w:szCs w:val="19"/>
        </w:rPr>
        <w:t xml:space="preserve"> </w:t>
      </w:r>
      <w:r>
        <w:rPr>
          <w:rFonts w:ascii="Arial" w:hAnsi="Arial" w:eastAsia="Arial" w:cs="Arial"/>
          <w:spacing w:val="-6"/>
          <w:sz w:val="19"/>
          <w:szCs w:val="19"/>
        </w:rPr>
        <w:t>rat</w:t>
      </w:r>
      <w:r>
        <w:rPr>
          <w:rFonts w:ascii="Arial" w:hAnsi="Arial" w:eastAsia="Arial" w:cs="Arial"/>
          <w:spacing w:val="-7"/>
          <w:sz w:val="19"/>
          <w:szCs w:val="19"/>
        </w:rPr>
        <w:t>her  high  level</w:t>
      </w:r>
      <w:r>
        <w:rPr>
          <w:rFonts w:ascii="Arial" w:hAnsi="Arial" w:eastAsia="Arial" w:cs="Arial"/>
          <w:spacing w:val="37"/>
          <w:w w:val="101"/>
          <w:sz w:val="19"/>
          <w:szCs w:val="19"/>
        </w:rPr>
        <w:t xml:space="preserve"> </w:t>
      </w:r>
      <w:r>
        <w:rPr>
          <w:rFonts w:ascii="Arial" w:hAnsi="Arial" w:eastAsia="Arial" w:cs="Arial"/>
          <w:spacing w:val="-7"/>
          <w:sz w:val="19"/>
          <w:szCs w:val="19"/>
        </w:rPr>
        <w:t>o</w:t>
      </w:r>
      <w:r>
        <w:rPr>
          <w:rFonts w:ascii="Arial" w:hAnsi="Arial" w:eastAsia="Arial" w:cs="Arial"/>
          <w:spacing w:val="6"/>
          <w:sz w:val="19"/>
          <w:szCs w:val="19"/>
        </w:rPr>
        <w:t>f</w:t>
      </w:r>
      <w:r>
        <w:rPr>
          <w:rFonts w:ascii="Arial" w:hAnsi="Arial" w:eastAsia="Arial" w:cs="Arial"/>
          <w:sz w:val="19"/>
          <w:szCs w:val="19"/>
        </w:rPr>
        <w:t xml:space="preserve"> </w:t>
      </w:r>
      <w:r>
        <w:rPr>
          <w:rFonts w:ascii="Arial" w:hAnsi="Arial" w:eastAsia="Arial" w:cs="Arial"/>
          <w:spacing w:val="-5"/>
          <w:sz w:val="19"/>
          <w:szCs w:val="19"/>
        </w:rPr>
        <w:t>further</w:t>
      </w:r>
      <w:r>
        <w:rPr>
          <w:rFonts w:ascii="Arial" w:hAnsi="Arial" w:eastAsia="Arial" w:cs="Arial"/>
          <w:spacing w:val="20"/>
          <w:w w:val="101"/>
          <w:sz w:val="19"/>
          <w:szCs w:val="19"/>
        </w:rPr>
        <w:t xml:space="preserve"> </w:t>
      </w:r>
      <w:r>
        <w:rPr>
          <w:rFonts w:ascii="Arial" w:hAnsi="Arial" w:eastAsia="Arial" w:cs="Arial"/>
          <w:spacing w:val="-5"/>
          <w:sz w:val="19"/>
          <w:szCs w:val="19"/>
        </w:rPr>
        <w:t>education,</w:t>
      </w:r>
      <w:r>
        <w:rPr>
          <w:rFonts w:ascii="Arial" w:hAnsi="Arial" w:eastAsia="Arial" w:cs="Arial"/>
          <w:spacing w:val="14"/>
          <w:sz w:val="19"/>
          <w:szCs w:val="19"/>
        </w:rPr>
        <w:t xml:space="preserve"> </w:t>
      </w:r>
      <w:r>
        <w:rPr>
          <w:rFonts w:ascii="Arial" w:hAnsi="Arial" w:eastAsia="Arial" w:cs="Arial"/>
          <w:spacing w:val="-5"/>
          <w:sz w:val="19"/>
          <w:szCs w:val="19"/>
        </w:rPr>
        <w:t>with</w:t>
      </w:r>
      <w:r>
        <w:rPr>
          <w:rFonts w:ascii="Arial" w:hAnsi="Arial" w:eastAsia="Arial" w:cs="Arial"/>
          <w:spacing w:val="21"/>
          <w:w w:val="101"/>
          <w:sz w:val="19"/>
          <w:szCs w:val="19"/>
        </w:rPr>
        <w:t xml:space="preserve"> </w:t>
      </w:r>
      <w:r>
        <w:rPr>
          <w:rFonts w:ascii="Arial" w:hAnsi="Arial" w:eastAsia="Arial" w:cs="Arial"/>
          <w:spacing w:val="-5"/>
          <w:sz w:val="19"/>
          <w:szCs w:val="19"/>
        </w:rPr>
        <w:t>77.1%</w:t>
      </w:r>
      <w:r>
        <w:rPr>
          <w:rFonts w:ascii="Arial" w:hAnsi="Arial" w:eastAsia="Arial" w:cs="Arial"/>
          <w:spacing w:val="25"/>
          <w:w w:val="101"/>
          <w:sz w:val="19"/>
          <w:szCs w:val="19"/>
        </w:rPr>
        <w:t xml:space="preserve"> </w:t>
      </w:r>
      <w:r>
        <w:rPr>
          <w:rFonts w:ascii="Arial" w:hAnsi="Arial" w:eastAsia="Arial" w:cs="Arial"/>
          <w:spacing w:val="-5"/>
          <w:sz w:val="19"/>
          <w:szCs w:val="19"/>
        </w:rPr>
        <w:t>holding</w:t>
      </w:r>
      <w:r>
        <w:rPr>
          <w:rFonts w:ascii="Arial" w:hAnsi="Arial" w:eastAsia="Arial" w:cs="Arial"/>
          <w:spacing w:val="17"/>
          <w:sz w:val="19"/>
          <w:szCs w:val="19"/>
        </w:rPr>
        <w:t xml:space="preserve"> </w:t>
      </w:r>
      <w:r>
        <w:rPr>
          <w:rFonts w:ascii="Arial" w:hAnsi="Arial" w:eastAsia="Arial" w:cs="Arial"/>
          <w:spacing w:val="-6"/>
          <w:sz w:val="19"/>
          <w:szCs w:val="19"/>
        </w:rPr>
        <w:t>a</w:t>
      </w:r>
      <w:r>
        <w:rPr>
          <w:rFonts w:ascii="Arial" w:hAnsi="Arial" w:eastAsia="Arial" w:cs="Arial"/>
          <w:spacing w:val="25"/>
          <w:sz w:val="19"/>
          <w:szCs w:val="19"/>
        </w:rPr>
        <w:t xml:space="preserve"> </w:t>
      </w:r>
      <w:r>
        <w:rPr>
          <w:rFonts w:ascii="Arial" w:hAnsi="Arial" w:eastAsia="Arial" w:cs="Arial"/>
          <w:spacing w:val="-6"/>
          <w:sz w:val="19"/>
          <w:szCs w:val="19"/>
        </w:rPr>
        <w:t>university,</w:t>
      </w:r>
      <w:r>
        <w:rPr>
          <w:rFonts w:ascii="Arial" w:hAnsi="Arial" w:eastAsia="Arial" w:cs="Arial"/>
          <w:spacing w:val="19"/>
          <w:w w:val="101"/>
          <w:sz w:val="19"/>
          <w:szCs w:val="19"/>
        </w:rPr>
        <w:t xml:space="preserve"> </w:t>
      </w:r>
      <w:r>
        <w:rPr>
          <w:rFonts w:ascii="Arial" w:hAnsi="Arial" w:eastAsia="Arial" w:cs="Arial"/>
          <w:spacing w:val="-6"/>
          <w:sz w:val="19"/>
          <w:szCs w:val="19"/>
        </w:rPr>
        <w:t>doctoral</w:t>
      </w:r>
      <w:r>
        <w:rPr>
          <w:rFonts w:ascii="Arial" w:hAnsi="Arial" w:eastAsia="Arial" w:cs="Arial"/>
          <w:spacing w:val="18"/>
          <w:w w:val="101"/>
          <w:sz w:val="19"/>
          <w:szCs w:val="19"/>
        </w:rPr>
        <w:t xml:space="preserve"> </w:t>
      </w:r>
      <w:r>
        <w:rPr>
          <w:rFonts w:ascii="Arial" w:hAnsi="Arial" w:eastAsia="Arial" w:cs="Arial"/>
          <w:spacing w:val="-6"/>
          <w:sz w:val="19"/>
          <w:szCs w:val="19"/>
        </w:rPr>
        <w:t>or</w:t>
      </w:r>
      <w:r>
        <w:rPr>
          <w:rFonts w:ascii="Arial" w:hAnsi="Arial" w:eastAsia="Arial" w:cs="Arial"/>
          <w:spacing w:val="24"/>
          <w:sz w:val="19"/>
          <w:szCs w:val="19"/>
        </w:rPr>
        <w:t xml:space="preserve"> </w:t>
      </w:r>
      <w:r>
        <w:rPr>
          <w:rFonts w:ascii="Arial" w:hAnsi="Arial" w:eastAsia="Arial" w:cs="Arial"/>
          <w:spacing w:val="-6"/>
          <w:sz w:val="19"/>
          <w:szCs w:val="19"/>
        </w:rPr>
        <w:t>postdoctoral</w:t>
      </w:r>
      <w:r>
        <w:rPr>
          <w:rFonts w:ascii="Arial" w:hAnsi="Arial" w:eastAsia="Arial" w:cs="Arial"/>
          <w:spacing w:val="17"/>
          <w:w w:val="101"/>
          <w:sz w:val="19"/>
          <w:szCs w:val="19"/>
        </w:rPr>
        <w:t xml:space="preserve"> </w:t>
      </w:r>
      <w:r>
        <w:rPr>
          <w:rFonts w:ascii="Arial" w:hAnsi="Arial" w:eastAsia="Arial" w:cs="Arial"/>
          <w:spacing w:val="-6"/>
          <w:sz w:val="19"/>
          <w:szCs w:val="19"/>
        </w:rPr>
        <w:t>degree.</w:t>
      </w:r>
      <w:r>
        <w:rPr>
          <w:rFonts w:ascii="Arial" w:hAnsi="Arial" w:eastAsia="Arial" w:cs="Arial"/>
          <w:spacing w:val="18"/>
          <w:w w:val="101"/>
          <w:sz w:val="19"/>
          <w:szCs w:val="19"/>
        </w:rPr>
        <w:t xml:space="preserve"> </w:t>
      </w:r>
      <w:r>
        <w:rPr>
          <w:rFonts w:ascii="Arial" w:hAnsi="Arial" w:eastAsia="Arial" w:cs="Arial"/>
          <w:spacing w:val="-6"/>
          <w:sz w:val="19"/>
          <w:szCs w:val="19"/>
        </w:rPr>
        <w:t>Our</w:t>
      </w:r>
      <w:r>
        <w:rPr>
          <w:rFonts w:ascii="Arial" w:hAnsi="Arial" w:eastAsia="Arial" w:cs="Arial"/>
          <w:spacing w:val="19"/>
          <w:w w:val="101"/>
          <w:sz w:val="19"/>
          <w:szCs w:val="19"/>
        </w:rPr>
        <w:t xml:space="preserve"> </w:t>
      </w:r>
      <w:r>
        <w:rPr>
          <w:rFonts w:ascii="Arial" w:hAnsi="Arial" w:eastAsia="Arial" w:cs="Arial"/>
          <w:spacing w:val="-6"/>
          <w:sz w:val="19"/>
          <w:szCs w:val="19"/>
        </w:rPr>
        <w:t>sample</w:t>
      </w:r>
      <w:r>
        <w:rPr>
          <w:rFonts w:ascii="Arial" w:hAnsi="Arial" w:eastAsia="Arial" w:cs="Arial"/>
          <w:spacing w:val="23"/>
          <w:w w:val="101"/>
          <w:sz w:val="19"/>
          <w:szCs w:val="19"/>
        </w:rPr>
        <w:t xml:space="preserve"> </w:t>
      </w:r>
      <w:r>
        <w:rPr>
          <w:rFonts w:ascii="Arial" w:hAnsi="Arial" w:eastAsia="Arial" w:cs="Arial"/>
          <w:spacing w:val="-6"/>
          <w:sz w:val="19"/>
          <w:szCs w:val="19"/>
        </w:rPr>
        <w:t>is</w:t>
      </w:r>
      <w:r>
        <w:rPr>
          <w:rFonts w:ascii="Arial" w:hAnsi="Arial" w:eastAsia="Arial" w:cs="Arial"/>
          <w:sz w:val="19"/>
          <w:szCs w:val="19"/>
        </w:rPr>
        <w:t xml:space="preserve"> </w:t>
      </w:r>
      <w:r>
        <w:rPr>
          <w:rFonts w:ascii="Arial" w:hAnsi="Arial" w:eastAsia="Arial" w:cs="Arial"/>
          <w:spacing w:val="-6"/>
          <w:sz w:val="19"/>
          <w:szCs w:val="19"/>
        </w:rPr>
        <w:t>also</w:t>
      </w:r>
      <w:r>
        <w:rPr>
          <w:rFonts w:ascii="Arial" w:hAnsi="Arial" w:eastAsia="Arial" w:cs="Arial"/>
          <w:spacing w:val="34"/>
          <w:sz w:val="19"/>
          <w:szCs w:val="19"/>
        </w:rPr>
        <w:t xml:space="preserve"> </w:t>
      </w:r>
      <w:r>
        <w:rPr>
          <w:rFonts w:ascii="Arial" w:hAnsi="Arial" w:eastAsia="Arial" w:cs="Arial"/>
          <w:spacing w:val="-6"/>
          <w:sz w:val="19"/>
          <w:szCs w:val="19"/>
        </w:rPr>
        <w:t>characterized</w:t>
      </w:r>
      <w:r>
        <w:rPr>
          <w:rFonts w:ascii="Arial" w:hAnsi="Arial" w:eastAsia="Arial" w:cs="Arial"/>
          <w:spacing w:val="23"/>
          <w:sz w:val="19"/>
          <w:szCs w:val="19"/>
        </w:rPr>
        <w:t xml:space="preserve"> </w:t>
      </w:r>
      <w:r>
        <w:rPr>
          <w:rFonts w:ascii="Arial" w:hAnsi="Arial" w:eastAsia="Arial" w:cs="Arial"/>
          <w:spacing w:val="-6"/>
          <w:sz w:val="19"/>
          <w:szCs w:val="19"/>
        </w:rPr>
        <w:t>by</w:t>
      </w:r>
      <w:r>
        <w:rPr>
          <w:rFonts w:ascii="Arial" w:hAnsi="Arial" w:eastAsia="Arial" w:cs="Arial"/>
          <w:spacing w:val="15"/>
          <w:w w:val="101"/>
          <w:sz w:val="19"/>
          <w:szCs w:val="19"/>
        </w:rPr>
        <w:t xml:space="preserve"> </w:t>
      </w:r>
      <w:r>
        <w:rPr>
          <w:rFonts w:ascii="Arial" w:hAnsi="Arial" w:eastAsia="Arial" w:cs="Arial"/>
          <w:spacing w:val="-6"/>
          <w:sz w:val="19"/>
          <w:szCs w:val="19"/>
        </w:rPr>
        <w:t>a</w:t>
      </w:r>
      <w:r>
        <w:rPr>
          <w:rFonts w:ascii="Arial" w:hAnsi="Arial" w:eastAsia="Arial" w:cs="Arial"/>
          <w:spacing w:val="16"/>
          <w:w w:val="101"/>
          <w:sz w:val="19"/>
          <w:szCs w:val="19"/>
        </w:rPr>
        <w:t xml:space="preserve"> </w:t>
      </w:r>
      <w:r>
        <w:rPr>
          <w:rFonts w:ascii="Arial" w:hAnsi="Arial" w:eastAsia="Arial" w:cs="Arial"/>
          <w:spacing w:val="-6"/>
          <w:sz w:val="19"/>
          <w:szCs w:val="19"/>
        </w:rPr>
        <w:t>signiicantly</w:t>
      </w:r>
      <w:r>
        <w:rPr>
          <w:rFonts w:ascii="Arial" w:hAnsi="Arial" w:eastAsia="Arial" w:cs="Arial"/>
          <w:spacing w:val="24"/>
          <w:w w:val="101"/>
          <w:sz w:val="19"/>
          <w:szCs w:val="19"/>
        </w:rPr>
        <w:t xml:space="preserve"> </w:t>
      </w:r>
      <w:r>
        <w:rPr>
          <w:rFonts w:ascii="Arial" w:hAnsi="Arial" w:eastAsia="Arial" w:cs="Arial"/>
          <w:spacing w:val="-6"/>
          <w:sz w:val="19"/>
          <w:szCs w:val="19"/>
        </w:rPr>
        <w:t>higher</w:t>
      </w:r>
      <w:r>
        <w:rPr>
          <w:rFonts w:ascii="Arial" w:hAnsi="Arial" w:eastAsia="Arial" w:cs="Arial"/>
          <w:spacing w:val="22"/>
          <w:sz w:val="19"/>
          <w:szCs w:val="19"/>
        </w:rPr>
        <w:t xml:space="preserve"> </w:t>
      </w:r>
      <w:r>
        <w:rPr>
          <w:rFonts w:ascii="Arial" w:hAnsi="Arial" w:eastAsia="Arial" w:cs="Arial"/>
          <w:spacing w:val="-6"/>
          <w:sz w:val="19"/>
          <w:szCs w:val="19"/>
        </w:rPr>
        <w:t>proportion</w:t>
      </w:r>
      <w:r>
        <w:rPr>
          <w:rFonts w:ascii="Arial" w:hAnsi="Arial" w:eastAsia="Arial" w:cs="Arial"/>
          <w:spacing w:val="16"/>
          <w:sz w:val="19"/>
          <w:szCs w:val="19"/>
        </w:rPr>
        <w:t xml:space="preserve"> </w:t>
      </w:r>
      <w:r>
        <w:rPr>
          <w:rFonts w:ascii="Arial" w:hAnsi="Arial" w:eastAsia="Arial" w:cs="Arial"/>
          <w:spacing w:val="-6"/>
          <w:sz w:val="19"/>
          <w:szCs w:val="19"/>
        </w:rPr>
        <w:t>of female</w:t>
      </w:r>
      <w:r>
        <w:rPr>
          <w:rFonts w:ascii="Arial" w:hAnsi="Arial" w:eastAsia="Arial" w:cs="Arial"/>
          <w:spacing w:val="23"/>
          <w:sz w:val="19"/>
          <w:szCs w:val="19"/>
        </w:rPr>
        <w:t xml:space="preserve"> </w:t>
      </w:r>
      <w:r>
        <w:rPr>
          <w:rFonts w:ascii="Arial" w:hAnsi="Arial" w:eastAsia="Arial" w:cs="Arial"/>
          <w:spacing w:val="-6"/>
          <w:sz w:val="19"/>
          <w:szCs w:val="19"/>
        </w:rPr>
        <w:t>participants</w:t>
      </w:r>
      <w:r>
        <w:rPr>
          <w:rFonts w:ascii="Arial" w:hAnsi="Arial" w:eastAsia="Arial" w:cs="Arial"/>
          <w:spacing w:val="20"/>
          <w:w w:val="101"/>
          <w:sz w:val="19"/>
          <w:szCs w:val="19"/>
        </w:rPr>
        <w:t xml:space="preserve"> </w:t>
      </w:r>
      <w:r>
        <w:rPr>
          <w:rFonts w:ascii="Arial" w:hAnsi="Arial" w:eastAsia="Arial" w:cs="Arial"/>
          <w:spacing w:val="-6"/>
          <w:sz w:val="19"/>
          <w:szCs w:val="19"/>
        </w:rPr>
        <w:t>(59.4%;</w:t>
      </w:r>
      <w:r>
        <w:rPr>
          <w:rFonts w:ascii="Arial" w:hAnsi="Arial" w:eastAsia="Arial" w:cs="Arial"/>
          <w:spacing w:val="11"/>
          <w:sz w:val="19"/>
          <w:szCs w:val="19"/>
        </w:rPr>
        <w:t xml:space="preserve"> </w:t>
      </w:r>
      <w:r>
        <w:rPr>
          <w:rFonts w:ascii="Arial" w:hAnsi="Arial" w:eastAsia="Arial" w:cs="Arial"/>
          <w:spacing w:val="-6"/>
          <w:sz w:val="19"/>
          <w:szCs w:val="19"/>
        </w:rPr>
        <w:t>χ²(1,</w:t>
      </w:r>
      <w:r>
        <w:rPr>
          <w:rFonts w:ascii="Arial" w:hAnsi="Arial" w:eastAsia="Arial" w:cs="Arial"/>
          <w:spacing w:val="15"/>
          <w:sz w:val="19"/>
          <w:szCs w:val="19"/>
        </w:rPr>
        <w:t xml:space="preserve"> </w:t>
      </w:r>
      <w:r>
        <w:rPr>
          <w:rFonts w:ascii="Arial" w:hAnsi="Arial" w:eastAsia="Arial" w:cs="Arial"/>
          <w:spacing w:val="-6"/>
          <w:sz w:val="19"/>
          <w:szCs w:val="19"/>
        </w:rPr>
        <w:t>N = 727)</w:t>
      </w:r>
      <w:r>
        <w:rPr>
          <w:rFonts w:ascii="Arial" w:hAnsi="Arial" w:eastAsia="Arial" w:cs="Arial"/>
          <w:sz w:val="19"/>
          <w:szCs w:val="19"/>
        </w:rPr>
        <w:t xml:space="preserve">  </w:t>
      </w:r>
      <w:r>
        <w:rPr>
          <w:rFonts w:ascii="Arial" w:hAnsi="Arial" w:eastAsia="Arial" w:cs="Arial"/>
          <w:spacing w:val="-7"/>
          <w:sz w:val="19"/>
          <w:szCs w:val="19"/>
        </w:rPr>
        <w:t>= 25.817,</w:t>
      </w:r>
      <w:r>
        <w:rPr>
          <w:rFonts w:ascii="Arial" w:hAnsi="Arial" w:eastAsia="Arial" w:cs="Arial"/>
          <w:spacing w:val="25"/>
          <w:sz w:val="19"/>
          <w:szCs w:val="19"/>
        </w:rPr>
        <w:t xml:space="preserve"> </w:t>
      </w:r>
      <w:r>
        <w:rPr>
          <w:rFonts w:ascii="Arial" w:hAnsi="Arial" w:eastAsia="Arial" w:cs="Arial"/>
          <w:spacing w:val="-7"/>
          <w:sz w:val="19"/>
          <w:szCs w:val="19"/>
        </w:rPr>
        <w:t>p &lt; .001).</w:t>
      </w:r>
      <w:r>
        <w:rPr>
          <w:rFonts w:ascii="Arial" w:hAnsi="Arial" w:eastAsia="Arial" w:cs="Arial"/>
          <w:spacing w:val="38"/>
          <w:w w:val="101"/>
          <w:sz w:val="19"/>
          <w:szCs w:val="19"/>
        </w:rPr>
        <w:t xml:space="preserve"> </w:t>
      </w:r>
      <w:r>
        <w:rPr>
          <w:rFonts w:ascii="Arial" w:hAnsi="Arial" w:eastAsia="Arial" w:cs="Arial"/>
          <w:spacing w:val="-7"/>
          <w:sz w:val="19"/>
          <w:szCs w:val="19"/>
        </w:rPr>
        <w:t>Most</w:t>
      </w:r>
      <w:r>
        <w:rPr>
          <w:rFonts w:ascii="Arial" w:hAnsi="Arial" w:eastAsia="Arial" w:cs="Arial"/>
          <w:spacing w:val="34"/>
          <w:w w:val="101"/>
          <w:sz w:val="19"/>
          <w:szCs w:val="19"/>
        </w:rPr>
        <w:t xml:space="preserve"> </w:t>
      </w:r>
      <w:r>
        <w:rPr>
          <w:rFonts w:ascii="Arial" w:hAnsi="Arial" w:eastAsia="Arial" w:cs="Arial"/>
          <w:spacing w:val="-7"/>
          <w:sz w:val="19"/>
          <w:szCs w:val="19"/>
        </w:rPr>
        <w:t>of</w:t>
      </w:r>
      <w:r>
        <w:rPr>
          <w:rFonts w:ascii="Arial" w:hAnsi="Arial" w:eastAsia="Arial" w:cs="Arial"/>
          <w:spacing w:val="27"/>
          <w:sz w:val="19"/>
          <w:szCs w:val="19"/>
        </w:rPr>
        <w:t xml:space="preserve"> </w:t>
      </w:r>
      <w:r>
        <w:rPr>
          <w:rFonts w:ascii="Arial" w:hAnsi="Arial" w:eastAsia="Arial" w:cs="Arial"/>
          <w:spacing w:val="-7"/>
          <w:sz w:val="19"/>
          <w:szCs w:val="19"/>
        </w:rPr>
        <w:t>our</w:t>
      </w:r>
      <w:r>
        <w:rPr>
          <w:rFonts w:ascii="Arial" w:hAnsi="Arial" w:eastAsia="Arial" w:cs="Arial"/>
          <w:spacing w:val="40"/>
          <w:w w:val="101"/>
          <w:sz w:val="19"/>
          <w:szCs w:val="19"/>
        </w:rPr>
        <w:t xml:space="preserve"> </w:t>
      </w:r>
      <w:r>
        <w:rPr>
          <w:rFonts w:ascii="Arial" w:hAnsi="Arial" w:eastAsia="Arial" w:cs="Arial"/>
          <w:spacing w:val="-7"/>
          <w:sz w:val="19"/>
          <w:szCs w:val="19"/>
        </w:rPr>
        <w:t>participants</w:t>
      </w:r>
      <w:r>
        <w:rPr>
          <w:rFonts w:ascii="Arial" w:hAnsi="Arial" w:eastAsia="Arial" w:cs="Arial"/>
          <w:spacing w:val="39"/>
          <w:w w:val="101"/>
          <w:sz w:val="19"/>
          <w:szCs w:val="19"/>
        </w:rPr>
        <w:t xml:space="preserve"> </w:t>
      </w:r>
      <w:r>
        <w:rPr>
          <w:rFonts w:ascii="Arial" w:hAnsi="Arial" w:eastAsia="Arial" w:cs="Arial"/>
          <w:spacing w:val="-7"/>
          <w:sz w:val="19"/>
          <w:szCs w:val="19"/>
        </w:rPr>
        <w:t>belo</w:t>
      </w:r>
      <w:r>
        <w:rPr>
          <w:rFonts w:ascii="Arial" w:hAnsi="Arial" w:eastAsia="Arial" w:cs="Arial"/>
          <w:spacing w:val="-8"/>
          <w:sz w:val="19"/>
          <w:szCs w:val="19"/>
        </w:rPr>
        <w:t>ng</w:t>
      </w:r>
      <w:r>
        <w:rPr>
          <w:rFonts w:ascii="Arial" w:hAnsi="Arial" w:eastAsia="Arial" w:cs="Arial"/>
          <w:spacing w:val="31"/>
          <w:w w:val="101"/>
          <w:sz w:val="19"/>
          <w:szCs w:val="19"/>
        </w:rPr>
        <w:t xml:space="preserve"> </w:t>
      </w:r>
      <w:r>
        <w:rPr>
          <w:rFonts w:ascii="Arial" w:hAnsi="Arial" w:eastAsia="Arial" w:cs="Arial"/>
          <w:spacing w:val="-8"/>
          <w:sz w:val="19"/>
          <w:szCs w:val="19"/>
        </w:rPr>
        <w:t>to</w:t>
      </w:r>
      <w:r>
        <w:rPr>
          <w:rFonts w:ascii="Arial" w:hAnsi="Arial" w:eastAsia="Arial" w:cs="Arial"/>
          <w:spacing w:val="30"/>
          <w:w w:val="101"/>
          <w:sz w:val="19"/>
          <w:szCs w:val="19"/>
        </w:rPr>
        <w:t xml:space="preserve"> </w:t>
      </w:r>
      <w:r>
        <w:rPr>
          <w:rFonts w:ascii="Arial" w:hAnsi="Arial" w:eastAsia="Arial" w:cs="Arial"/>
          <w:spacing w:val="-8"/>
          <w:sz w:val="19"/>
          <w:szCs w:val="19"/>
        </w:rPr>
        <w:t>the</w:t>
      </w:r>
      <w:r>
        <w:rPr>
          <w:rFonts w:ascii="Arial" w:hAnsi="Arial" w:eastAsia="Arial" w:cs="Arial"/>
          <w:spacing w:val="34"/>
          <w:sz w:val="19"/>
          <w:szCs w:val="19"/>
        </w:rPr>
        <w:t xml:space="preserve"> </w:t>
      </w:r>
      <w:r>
        <w:rPr>
          <w:rFonts w:ascii="Arial" w:hAnsi="Arial" w:eastAsia="Arial" w:cs="Arial"/>
          <w:spacing w:val="-8"/>
          <w:sz w:val="19"/>
          <w:szCs w:val="19"/>
        </w:rPr>
        <w:t>age</w:t>
      </w:r>
      <w:r>
        <w:rPr>
          <w:rFonts w:ascii="Arial" w:hAnsi="Arial" w:eastAsia="Arial" w:cs="Arial"/>
          <w:spacing w:val="34"/>
          <w:sz w:val="19"/>
          <w:szCs w:val="19"/>
        </w:rPr>
        <w:t xml:space="preserve"> </w:t>
      </w:r>
      <w:r>
        <w:rPr>
          <w:rFonts w:ascii="Arial" w:hAnsi="Arial" w:eastAsia="Arial" w:cs="Arial"/>
          <w:spacing w:val="-8"/>
          <w:sz w:val="19"/>
          <w:szCs w:val="19"/>
        </w:rPr>
        <w:t>group</w:t>
      </w:r>
      <w:r>
        <w:rPr>
          <w:rFonts w:ascii="Arial" w:hAnsi="Arial" w:eastAsia="Arial" w:cs="Arial"/>
          <w:spacing w:val="34"/>
          <w:sz w:val="19"/>
          <w:szCs w:val="19"/>
        </w:rPr>
        <w:t xml:space="preserve"> </w:t>
      </w:r>
      <w:r>
        <w:rPr>
          <w:rFonts w:ascii="Arial" w:hAnsi="Arial" w:eastAsia="Arial" w:cs="Arial"/>
          <w:spacing w:val="-8"/>
          <w:sz w:val="19"/>
          <w:szCs w:val="19"/>
        </w:rPr>
        <w:t>of</w:t>
      </w:r>
      <w:r>
        <w:rPr>
          <w:rFonts w:ascii="Arial" w:hAnsi="Arial" w:eastAsia="Arial" w:cs="Arial"/>
          <w:spacing w:val="27"/>
          <w:w w:val="101"/>
          <w:sz w:val="19"/>
          <w:szCs w:val="19"/>
        </w:rPr>
        <w:t xml:space="preserve"> </w:t>
      </w:r>
      <w:r>
        <w:rPr>
          <w:rFonts w:ascii="Arial" w:hAnsi="Arial" w:eastAsia="Arial" w:cs="Arial"/>
          <w:spacing w:val="-8"/>
          <w:sz w:val="19"/>
          <w:szCs w:val="19"/>
        </w:rPr>
        <w:t>30–59</w:t>
      </w:r>
      <w:r>
        <w:rPr>
          <w:rFonts w:ascii="Arial" w:hAnsi="Arial" w:eastAsia="Arial" w:cs="Arial"/>
          <w:spacing w:val="29"/>
          <w:w w:val="101"/>
          <w:sz w:val="19"/>
          <w:szCs w:val="19"/>
        </w:rPr>
        <w:t xml:space="preserve"> </w:t>
      </w:r>
      <w:r>
        <w:rPr>
          <w:rFonts w:ascii="Arial" w:hAnsi="Arial" w:eastAsia="Arial" w:cs="Arial"/>
          <w:spacing w:val="-8"/>
          <w:sz w:val="19"/>
          <w:szCs w:val="19"/>
        </w:rPr>
        <w:t>years</w:t>
      </w:r>
      <w:r>
        <w:rPr>
          <w:rFonts w:ascii="Arial" w:hAnsi="Arial" w:eastAsia="Arial" w:cs="Arial"/>
          <w:spacing w:val="39"/>
          <w:w w:val="101"/>
          <w:sz w:val="19"/>
          <w:szCs w:val="19"/>
        </w:rPr>
        <w:t xml:space="preserve"> </w:t>
      </w:r>
      <w:r>
        <w:rPr>
          <w:rFonts w:ascii="Arial" w:hAnsi="Arial" w:eastAsia="Arial" w:cs="Arial"/>
          <w:spacing w:val="-8"/>
          <w:sz w:val="19"/>
          <w:szCs w:val="19"/>
        </w:rPr>
        <w:t>(82.7%).</w:t>
      </w:r>
      <w:r>
        <w:rPr>
          <w:rFonts w:ascii="Arial" w:hAnsi="Arial" w:eastAsia="Arial" w:cs="Arial"/>
          <w:spacing w:val="41"/>
          <w:sz w:val="19"/>
          <w:szCs w:val="19"/>
        </w:rPr>
        <w:t xml:space="preserve"> </w:t>
      </w:r>
      <w:r>
        <w:rPr>
          <w:rFonts w:ascii="Arial" w:hAnsi="Arial" w:eastAsia="Arial" w:cs="Arial"/>
          <w:spacing w:val="-8"/>
          <w:sz w:val="19"/>
          <w:szCs w:val="19"/>
        </w:rPr>
        <w:t>In</w:t>
      </w:r>
      <w:r>
        <w:rPr>
          <w:rFonts w:ascii="Arial" w:hAnsi="Arial" w:eastAsia="Arial" w:cs="Arial"/>
          <w:sz w:val="19"/>
          <w:szCs w:val="19"/>
        </w:rPr>
        <w:t xml:space="preserve"> </w:t>
      </w:r>
      <w:r>
        <w:rPr>
          <w:rFonts w:ascii="Arial" w:hAnsi="Arial" w:eastAsia="Arial" w:cs="Arial"/>
          <w:spacing w:val="-5"/>
          <w:sz w:val="19"/>
          <w:szCs w:val="19"/>
        </w:rPr>
        <w:t>total, 62.9% of the sample hold a permanent employment contract with their HEI. As to</w:t>
      </w:r>
      <w:r>
        <w:rPr>
          <w:rFonts w:ascii="Arial" w:hAnsi="Arial" w:eastAsia="Arial" w:cs="Arial"/>
          <w:spacing w:val="14"/>
          <w:w w:val="101"/>
          <w:sz w:val="19"/>
          <w:szCs w:val="19"/>
        </w:rPr>
        <w:t xml:space="preserve"> </w:t>
      </w:r>
      <w:r>
        <w:rPr>
          <w:rFonts w:ascii="Arial" w:hAnsi="Arial" w:eastAsia="Arial" w:cs="Arial"/>
          <w:spacing w:val="-5"/>
          <w:sz w:val="19"/>
          <w:szCs w:val="19"/>
        </w:rPr>
        <w:t>be</w:t>
      </w:r>
      <w:r>
        <w:rPr>
          <w:rFonts w:ascii="Arial" w:hAnsi="Arial" w:eastAsia="Arial" w:cs="Arial"/>
          <w:spacing w:val="-1"/>
          <w:sz w:val="19"/>
          <w:szCs w:val="19"/>
        </w:rPr>
        <w:t xml:space="preserve"> </w:t>
      </w:r>
      <w:r>
        <w:rPr>
          <w:rFonts w:ascii="Arial" w:hAnsi="Arial" w:eastAsia="Arial" w:cs="Arial"/>
          <w:spacing w:val="-5"/>
          <w:sz w:val="19"/>
          <w:szCs w:val="19"/>
        </w:rPr>
        <w:t>expected,</w:t>
      </w:r>
      <w:r>
        <w:rPr>
          <w:rFonts w:ascii="Arial" w:hAnsi="Arial" w:eastAsia="Arial" w:cs="Arial"/>
          <w:sz w:val="19"/>
          <w:szCs w:val="19"/>
        </w:rPr>
        <w:t xml:space="preserve"> </w:t>
      </w:r>
      <w:r>
        <w:rPr>
          <w:rFonts w:ascii="Arial" w:hAnsi="Arial" w:eastAsia="Arial" w:cs="Arial"/>
          <w:spacing w:val="-6"/>
          <w:sz w:val="19"/>
          <w:szCs w:val="19"/>
        </w:rPr>
        <w:t>temporary</w:t>
      </w:r>
      <w:r>
        <w:rPr>
          <w:rFonts w:ascii="Arial" w:hAnsi="Arial" w:eastAsia="Arial" w:cs="Arial"/>
          <w:spacing w:val="25"/>
          <w:sz w:val="19"/>
          <w:szCs w:val="19"/>
        </w:rPr>
        <w:t xml:space="preserve"> </w:t>
      </w:r>
      <w:r>
        <w:rPr>
          <w:rFonts w:ascii="Arial" w:hAnsi="Arial" w:eastAsia="Arial" w:cs="Arial"/>
          <w:spacing w:val="-6"/>
          <w:sz w:val="19"/>
          <w:szCs w:val="19"/>
        </w:rPr>
        <w:t>emp</w:t>
      </w:r>
      <w:r>
        <w:rPr>
          <w:rFonts w:ascii="Arial" w:hAnsi="Arial" w:eastAsia="Arial" w:cs="Arial"/>
          <w:spacing w:val="-5"/>
          <w:sz w:val="19"/>
          <w:szCs w:val="19"/>
        </w:rPr>
        <w:t>loyment</w:t>
      </w:r>
      <w:r>
        <w:rPr>
          <w:rFonts w:ascii="Arial" w:hAnsi="Arial" w:eastAsia="Arial" w:cs="Arial"/>
          <w:spacing w:val="24"/>
          <w:sz w:val="19"/>
          <w:szCs w:val="19"/>
        </w:rPr>
        <w:t xml:space="preserve"> </w:t>
      </w:r>
      <w:r>
        <w:rPr>
          <w:rFonts w:ascii="Arial" w:hAnsi="Arial" w:eastAsia="Arial" w:cs="Arial"/>
          <w:spacing w:val="-5"/>
          <w:sz w:val="19"/>
          <w:szCs w:val="19"/>
        </w:rPr>
        <w:t>cont</w:t>
      </w:r>
      <w:r>
        <w:rPr>
          <w:rFonts w:ascii="Arial" w:hAnsi="Arial" w:eastAsia="Arial" w:cs="Arial"/>
          <w:spacing w:val="-6"/>
          <w:sz w:val="19"/>
          <w:szCs w:val="19"/>
        </w:rPr>
        <w:t>racts</w:t>
      </w:r>
      <w:r>
        <w:rPr>
          <w:rFonts w:ascii="Arial" w:hAnsi="Arial" w:eastAsia="Arial" w:cs="Arial"/>
          <w:spacing w:val="28"/>
          <w:w w:val="101"/>
          <w:sz w:val="19"/>
          <w:szCs w:val="19"/>
        </w:rPr>
        <w:t xml:space="preserve"> </w:t>
      </w:r>
      <w:r>
        <w:rPr>
          <w:rFonts w:ascii="Arial" w:hAnsi="Arial" w:eastAsia="Arial" w:cs="Arial"/>
          <w:spacing w:val="-6"/>
          <w:sz w:val="19"/>
          <w:szCs w:val="19"/>
        </w:rPr>
        <w:t>(37.1%)</w:t>
      </w:r>
      <w:r>
        <w:rPr>
          <w:rFonts w:ascii="Arial" w:hAnsi="Arial" w:eastAsia="Arial" w:cs="Arial"/>
          <w:spacing w:val="30"/>
          <w:sz w:val="19"/>
          <w:szCs w:val="19"/>
        </w:rPr>
        <w:t xml:space="preserve"> </w:t>
      </w:r>
      <w:r>
        <w:rPr>
          <w:rFonts w:ascii="Arial" w:hAnsi="Arial" w:eastAsia="Arial" w:cs="Arial"/>
          <w:spacing w:val="-6"/>
          <w:sz w:val="19"/>
          <w:szCs w:val="19"/>
        </w:rPr>
        <w:t>mainly</w:t>
      </w:r>
      <w:r>
        <w:rPr>
          <w:rFonts w:ascii="Arial" w:hAnsi="Arial" w:eastAsia="Arial" w:cs="Arial"/>
          <w:spacing w:val="24"/>
          <w:sz w:val="19"/>
          <w:szCs w:val="19"/>
        </w:rPr>
        <w:t xml:space="preserve"> </w:t>
      </w:r>
      <w:r>
        <w:rPr>
          <w:rFonts w:ascii="Arial" w:hAnsi="Arial" w:eastAsia="Arial" w:cs="Arial"/>
          <w:spacing w:val="-6"/>
          <w:sz w:val="19"/>
          <w:szCs w:val="19"/>
        </w:rPr>
        <w:t>concern</w:t>
      </w:r>
      <w:r>
        <w:rPr>
          <w:rFonts w:ascii="Arial" w:hAnsi="Arial" w:eastAsia="Arial" w:cs="Arial"/>
          <w:spacing w:val="25"/>
          <w:sz w:val="19"/>
          <w:szCs w:val="19"/>
        </w:rPr>
        <w:t xml:space="preserve"> </w:t>
      </w:r>
      <w:r>
        <w:rPr>
          <w:rFonts w:ascii="Arial" w:hAnsi="Arial" w:eastAsia="Arial" w:cs="Arial"/>
          <w:spacing w:val="-6"/>
          <w:sz w:val="19"/>
          <w:szCs w:val="19"/>
        </w:rPr>
        <w:t>academic</w:t>
      </w:r>
      <w:r>
        <w:rPr>
          <w:rFonts w:ascii="Arial" w:hAnsi="Arial" w:eastAsia="Arial" w:cs="Arial"/>
          <w:spacing w:val="24"/>
          <w:sz w:val="19"/>
          <w:szCs w:val="19"/>
        </w:rPr>
        <w:t xml:space="preserve"> </w:t>
      </w:r>
      <w:r>
        <w:rPr>
          <w:rFonts w:ascii="Arial" w:hAnsi="Arial" w:eastAsia="Arial" w:cs="Arial"/>
          <w:spacing w:val="-6"/>
          <w:sz w:val="19"/>
          <w:szCs w:val="19"/>
        </w:rPr>
        <w:t>staf</w:t>
      </w:r>
      <w:r>
        <w:rPr>
          <w:rFonts w:ascii="Arial" w:hAnsi="Arial" w:eastAsia="Arial" w:cs="Arial"/>
          <w:spacing w:val="20"/>
          <w:w w:val="101"/>
          <w:sz w:val="19"/>
          <w:szCs w:val="19"/>
        </w:rPr>
        <w:t xml:space="preserve"> </w:t>
      </w:r>
      <w:r>
        <w:rPr>
          <w:rFonts w:ascii="Arial" w:hAnsi="Arial" w:eastAsia="Arial" w:cs="Arial"/>
          <w:spacing w:val="-6"/>
          <w:sz w:val="19"/>
          <w:szCs w:val="19"/>
        </w:rPr>
        <w:t>(64.8%).</w:t>
      </w:r>
      <w:r>
        <w:rPr>
          <w:rFonts w:ascii="Arial" w:hAnsi="Arial" w:eastAsia="Arial" w:cs="Arial"/>
          <w:spacing w:val="18"/>
          <w:w w:val="101"/>
          <w:sz w:val="19"/>
          <w:szCs w:val="19"/>
        </w:rPr>
        <w:t xml:space="preserve"> </w:t>
      </w:r>
      <w:r>
        <w:rPr>
          <w:rFonts w:ascii="Arial" w:hAnsi="Arial" w:eastAsia="Arial" w:cs="Arial"/>
          <w:spacing w:val="-6"/>
          <w:sz w:val="19"/>
          <w:szCs w:val="19"/>
        </w:rPr>
        <w:t>The</w:t>
      </w:r>
      <w:r>
        <w:rPr>
          <w:rFonts w:ascii="Arial" w:hAnsi="Arial" w:eastAsia="Arial" w:cs="Arial"/>
          <w:spacing w:val="24"/>
          <w:sz w:val="19"/>
          <w:szCs w:val="19"/>
        </w:rPr>
        <w:t xml:space="preserve"> </w:t>
      </w:r>
      <w:r>
        <w:rPr>
          <w:rFonts w:ascii="Arial" w:hAnsi="Arial" w:eastAsia="Arial" w:cs="Arial"/>
          <w:spacing w:val="-6"/>
          <w:sz w:val="19"/>
          <w:szCs w:val="19"/>
        </w:rPr>
        <w:t>duration</w:t>
      </w:r>
      <w:r>
        <w:rPr>
          <w:rFonts w:ascii="Arial" w:hAnsi="Arial" w:eastAsia="Arial" w:cs="Arial"/>
          <w:spacing w:val="25"/>
          <w:w w:val="101"/>
          <w:sz w:val="19"/>
          <w:szCs w:val="19"/>
        </w:rPr>
        <w:t xml:space="preserve"> </w:t>
      </w:r>
      <w:r>
        <w:rPr>
          <w:rFonts w:ascii="Arial" w:hAnsi="Arial" w:eastAsia="Arial" w:cs="Arial"/>
          <w:spacing w:val="-6"/>
          <w:sz w:val="19"/>
          <w:szCs w:val="19"/>
        </w:rPr>
        <w:t>o</w:t>
      </w:r>
      <w:r>
        <w:rPr>
          <w:rFonts w:ascii="Arial" w:hAnsi="Arial" w:eastAsia="Arial" w:cs="Arial"/>
          <w:spacing w:val="6"/>
          <w:sz w:val="19"/>
          <w:szCs w:val="19"/>
        </w:rPr>
        <w:t>f</w:t>
      </w:r>
      <w:r>
        <w:rPr>
          <w:rFonts w:ascii="Arial" w:hAnsi="Arial" w:eastAsia="Arial" w:cs="Arial"/>
          <w:sz w:val="19"/>
          <w:szCs w:val="19"/>
        </w:rPr>
        <w:t xml:space="preserve"> </w:t>
      </w:r>
      <w:r>
        <w:rPr>
          <w:rFonts w:ascii="Arial" w:hAnsi="Arial" w:eastAsia="Arial" w:cs="Arial"/>
          <w:spacing w:val="-10"/>
          <w:sz w:val="19"/>
          <w:szCs w:val="19"/>
        </w:rPr>
        <w:t>employment</w:t>
      </w:r>
      <w:r>
        <w:rPr>
          <w:rFonts w:ascii="Arial" w:hAnsi="Arial" w:eastAsia="Arial" w:cs="Arial"/>
          <w:spacing w:val="8"/>
          <w:sz w:val="19"/>
          <w:szCs w:val="19"/>
        </w:rPr>
        <w:t xml:space="preserve"> </w:t>
      </w:r>
      <w:r>
        <w:rPr>
          <w:rFonts w:ascii="Arial" w:hAnsi="Arial" w:eastAsia="Arial" w:cs="Arial"/>
          <w:spacing w:val="-10"/>
          <w:sz w:val="19"/>
          <w:szCs w:val="19"/>
        </w:rPr>
        <w:t>varies</w:t>
      </w:r>
      <w:r>
        <w:rPr>
          <w:rFonts w:ascii="Arial" w:hAnsi="Arial" w:eastAsia="Arial" w:cs="Arial"/>
          <w:spacing w:val="20"/>
          <w:sz w:val="19"/>
          <w:szCs w:val="19"/>
        </w:rPr>
        <w:t xml:space="preserve"> </w:t>
      </w:r>
      <w:r>
        <w:rPr>
          <w:rFonts w:ascii="Arial" w:hAnsi="Arial" w:eastAsia="Arial" w:cs="Arial"/>
          <w:spacing w:val="-10"/>
          <w:sz w:val="19"/>
          <w:szCs w:val="19"/>
        </w:rPr>
        <w:t>between</w:t>
      </w:r>
      <w:r>
        <w:rPr>
          <w:rFonts w:ascii="Arial" w:hAnsi="Arial" w:eastAsia="Arial" w:cs="Arial"/>
          <w:spacing w:val="19"/>
          <w:w w:val="101"/>
          <w:sz w:val="19"/>
          <w:szCs w:val="19"/>
        </w:rPr>
        <w:t xml:space="preserve"> </w:t>
      </w:r>
      <w:r>
        <w:rPr>
          <w:rFonts w:ascii="Arial" w:hAnsi="Arial" w:eastAsia="Arial" w:cs="Arial"/>
          <w:spacing w:val="-10"/>
          <w:sz w:val="19"/>
          <w:szCs w:val="19"/>
        </w:rPr>
        <w:t>less</w:t>
      </w:r>
      <w:r>
        <w:rPr>
          <w:rFonts w:ascii="Arial" w:hAnsi="Arial" w:eastAsia="Arial" w:cs="Arial"/>
          <w:spacing w:val="10"/>
          <w:sz w:val="19"/>
          <w:szCs w:val="19"/>
        </w:rPr>
        <w:t xml:space="preserve"> </w:t>
      </w:r>
      <w:r>
        <w:rPr>
          <w:rFonts w:ascii="Arial" w:hAnsi="Arial" w:eastAsia="Arial" w:cs="Arial"/>
          <w:spacing w:val="-10"/>
          <w:sz w:val="19"/>
          <w:szCs w:val="19"/>
        </w:rPr>
        <w:t>than</w:t>
      </w:r>
      <w:r>
        <w:rPr>
          <w:rFonts w:ascii="Arial" w:hAnsi="Arial" w:eastAsia="Arial" w:cs="Arial"/>
          <w:spacing w:val="13"/>
          <w:sz w:val="19"/>
          <w:szCs w:val="19"/>
        </w:rPr>
        <w:t xml:space="preserve"> </w:t>
      </w:r>
      <w:r>
        <w:rPr>
          <w:rFonts w:ascii="Arial" w:hAnsi="Arial" w:eastAsia="Arial" w:cs="Arial"/>
          <w:spacing w:val="-10"/>
          <w:sz w:val="19"/>
          <w:szCs w:val="19"/>
        </w:rPr>
        <w:t>one</w:t>
      </w:r>
      <w:r>
        <w:rPr>
          <w:rFonts w:ascii="Arial" w:hAnsi="Arial" w:eastAsia="Arial" w:cs="Arial"/>
          <w:spacing w:val="8"/>
          <w:sz w:val="19"/>
          <w:szCs w:val="19"/>
        </w:rPr>
        <w:t xml:space="preserve"> </w:t>
      </w:r>
      <w:r>
        <w:rPr>
          <w:rFonts w:ascii="Arial" w:hAnsi="Arial" w:eastAsia="Arial" w:cs="Arial"/>
          <w:spacing w:val="-10"/>
          <w:sz w:val="19"/>
          <w:szCs w:val="19"/>
        </w:rPr>
        <w:t>year</w:t>
      </w:r>
      <w:r>
        <w:rPr>
          <w:rFonts w:ascii="Arial" w:hAnsi="Arial" w:eastAsia="Arial" w:cs="Arial"/>
          <w:spacing w:val="18"/>
          <w:sz w:val="19"/>
          <w:szCs w:val="19"/>
        </w:rPr>
        <w:t xml:space="preserve"> </w:t>
      </w:r>
      <w:r>
        <w:rPr>
          <w:rFonts w:ascii="Arial" w:hAnsi="Arial" w:eastAsia="Arial" w:cs="Arial"/>
          <w:spacing w:val="-10"/>
          <w:sz w:val="19"/>
          <w:szCs w:val="19"/>
        </w:rPr>
        <w:t>(5.8%),</w:t>
      </w:r>
      <w:r>
        <w:rPr>
          <w:rFonts w:ascii="Arial" w:hAnsi="Arial" w:eastAsia="Arial" w:cs="Arial"/>
          <w:spacing w:val="26"/>
          <w:sz w:val="19"/>
          <w:szCs w:val="19"/>
        </w:rPr>
        <w:t xml:space="preserve"> </w:t>
      </w:r>
      <w:r>
        <w:rPr>
          <w:rFonts w:ascii="Arial" w:hAnsi="Arial" w:eastAsia="Arial" w:cs="Arial"/>
          <w:spacing w:val="-10"/>
          <w:sz w:val="19"/>
          <w:szCs w:val="19"/>
        </w:rPr>
        <w:t>1–4</w:t>
      </w:r>
      <w:r>
        <w:rPr>
          <w:rFonts w:ascii="Arial" w:hAnsi="Arial" w:eastAsia="Arial" w:cs="Arial"/>
          <w:spacing w:val="8"/>
          <w:sz w:val="19"/>
          <w:szCs w:val="19"/>
        </w:rPr>
        <w:t xml:space="preserve"> </w:t>
      </w:r>
      <w:r>
        <w:rPr>
          <w:rFonts w:ascii="Arial" w:hAnsi="Arial" w:eastAsia="Arial" w:cs="Arial"/>
          <w:spacing w:val="-10"/>
          <w:sz w:val="19"/>
          <w:szCs w:val="19"/>
        </w:rPr>
        <w:t>years</w:t>
      </w:r>
      <w:r>
        <w:rPr>
          <w:rFonts w:ascii="Arial" w:hAnsi="Arial" w:eastAsia="Arial" w:cs="Arial"/>
          <w:spacing w:val="19"/>
          <w:sz w:val="19"/>
          <w:szCs w:val="19"/>
        </w:rPr>
        <w:t xml:space="preserve"> </w:t>
      </w:r>
      <w:r>
        <w:rPr>
          <w:rFonts w:ascii="Arial" w:hAnsi="Arial" w:eastAsia="Arial" w:cs="Arial"/>
          <w:spacing w:val="-10"/>
          <w:sz w:val="19"/>
          <w:szCs w:val="19"/>
        </w:rPr>
        <w:t>(26.8%),</w:t>
      </w:r>
      <w:r>
        <w:rPr>
          <w:rFonts w:ascii="Arial" w:hAnsi="Arial" w:eastAsia="Arial" w:cs="Arial"/>
          <w:spacing w:val="15"/>
          <w:sz w:val="19"/>
          <w:szCs w:val="19"/>
        </w:rPr>
        <w:t xml:space="preserve"> </w:t>
      </w:r>
      <w:r>
        <w:rPr>
          <w:rFonts w:ascii="Arial" w:hAnsi="Arial" w:eastAsia="Arial" w:cs="Arial"/>
          <w:spacing w:val="-10"/>
          <w:sz w:val="19"/>
          <w:szCs w:val="19"/>
        </w:rPr>
        <w:t>5–9</w:t>
      </w:r>
      <w:r>
        <w:rPr>
          <w:rFonts w:ascii="Arial" w:hAnsi="Arial" w:eastAsia="Arial" w:cs="Arial"/>
          <w:spacing w:val="7"/>
          <w:sz w:val="19"/>
          <w:szCs w:val="19"/>
        </w:rPr>
        <w:t xml:space="preserve"> </w:t>
      </w:r>
      <w:r>
        <w:rPr>
          <w:rFonts w:ascii="Arial" w:hAnsi="Arial" w:eastAsia="Arial" w:cs="Arial"/>
          <w:spacing w:val="-10"/>
          <w:sz w:val="19"/>
          <w:szCs w:val="19"/>
        </w:rPr>
        <w:t>years</w:t>
      </w:r>
      <w:r>
        <w:rPr>
          <w:rFonts w:ascii="Arial" w:hAnsi="Arial" w:eastAsia="Arial" w:cs="Arial"/>
          <w:spacing w:val="17"/>
          <w:w w:val="101"/>
          <w:sz w:val="19"/>
          <w:szCs w:val="19"/>
        </w:rPr>
        <w:t xml:space="preserve"> </w:t>
      </w:r>
      <w:r>
        <w:rPr>
          <w:rFonts w:ascii="Arial" w:hAnsi="Arial" w:eastAsia="Arial" w:cs="Arial"/>
          <w:spacing w:val="-10"/>
          <w:sz w:val="19"/>
          <w:szCs w:val="19"/>
        </w:rPr>
        <w:t>(27.8%</w:t>
      </w:r>
      <w:r>
        <w:rPr>
          <w:rFonts w:ascii="Arial" w:hAnsi="Arial" w:eastAsia="Arial" w:cs="Arial"/>
          <w:spacing w:val="-11"/>
          <w:sz w:val="19"/>
          <w:szCs w:val="19"/>
        </w:rPr>
        <w:t>),</w:t>
      </w:r>
      <w:r>
        <w:rPr>
          <w:rFonts w:ascii="Arial" w:hAnsi="Arial" w:eastAsia="Arial" w:cs="Arial"/>
          <w:spacing w:val="25"/>
          <w:sz w:val="19"/>
          <w:szCs w:val="19"/>
        </w:rPr>
        <w:t xml:space="preserve"> </w:t>
      </w:r>
      <w:r>
        <w:rPr>
          <w:rFonts w:ascii="Arial" w:hAnsi="Arial" w:eastAsia="Arial" w:cs="Arial"/>
          <w:spacing w:val="-11"/>
          <w:sz w:val="19"/>
          <w:szCs w:val="19"/>
        </w:rPr>
        <w:t>10–</w:t>
      </w:r>
      <w:r>
        <w:rPr>
          <w:rFonts w:ascii="Arial" w:hAnsi="Arial" w:eastAsia="Arial" w:cs="Arial"/>
          <w:spacing w:val="-33"/>
          <w:sz w:val="19"/>
          <w:szCs w:val="19"/>
        </w:rPr>
        <w:t xml:space="preserve"> </w:t>
      </w:r>
      <w:r>
        <w:rPr>
          <w:rFonts w:ascii="Arial" w:hAnsi="Arial" w:eastAsia="Arial" w:cs="Arial"/>
          <w:spacing w:val="-11"/>
          <w:sz w:val="19"/>
          <w:szCs w:val="19"/>
        </w:rPr>
        <w:t>19</w:t>
      </w:r>
      <w:r>
        <w:rPr>
          <w:rFonts w:ascii="Arial" w:hAnsi="Arial" w:eastAsia="Arial" w:cs="Arial"/>
          <w:sz w:val="19"/>
          <w:szCs w:val="19"/>
        </w:rPr>
        <w:t xml:space="preserve"> </w:t>
      </w:r>
      <w:r>
        <w:rPr>
          <w:rFonts w:ascii="Arial" w:hAnsi="Arial" w:eastAsia="Arial" w:cs="Arial"/>
          <w:spacing w:val="-8"/>
          <w:sz w:val="19"/>
          <w:szCs w:val="19"/>
        </w:rPr>
        <w:t>years</w:t>
      </w:r>
      <w:r>
        <w:rPr>
          <w:rFonts w:ascii="Arial" w:hAnsi="Arial" w:eastAsia="Arial" w:cs="Arial"/>
          <w:spacing w:val="36"/>
          <w:sz w:val="19"/>
          <w:szCs w:val="19"/>
        </w:rPr>
        <w:t xml:space="preserve"> </w:t>
      </w:r>
      <w:r>
        <w:rPr>
          <w:rFonts w:ascii="Arial" w:hAnsi="Arial" w:eastAsia="Arial" w:cs="Arial"/>
          <w:spacing w:val="-8"/>
          <w:sz w:val="19"/>
          <w:szCs w:val="19"/>
        </w:rPr>
        <w:t>(23.1%),</w:t>
      </w:r>
      <w:r>
        <w:rPr>
          <w:rFonts w:ascii="Arial" w:hAnsi="Arial" w:eastAsia="Arial" w:cs="Arial"/>
          <w:spacing w:val="29"/>
          <w:w w:val="101"/>
          <w:sz w:val="19"/>
          <w:szCs w:val="19"/>
        </w:rPr>
        <w:t xml:space="preserve"> </w:t>
      </w:r>
      <w:r>
        <w:rPr>
          <w:rFonts w:ascii="Arial" w:hAnsi="Arial" w:eastAsia="Arial" w:cs="Arial"/>
          <w:spacing w:val="-8"/>
          <w:sz w:val="19"/>
          <w:szCs w:val="19"/>
        </w:rPr>
        <w:t>and</w:t>
      </w:r>
      <w:r>
        <w:rPr>
          <w:rFonts w:ascii="Arial" w:hAnsi="Arial" w:eastAsia="Arial" w:cs="Arial"/>
          <w:spacing w:val="35"/>
          <w:w w:val="101"/>
          <w:sz w:val="19"/>
          <w:szCs w:val="19"/>
        </w:rPr>
        <w:t xml:space="preserve"> </w:t>
      </w:r>
      <w:r>
        <w:rPr>
          <w:rFonts w:ascii="Arial" w:hAnsi="Arial" w:eastAsia="Arial" w:cs="Arial"/>
          <w:spacing w:val="-8"/>
          <w:sz w:val="19"/>
          <w:szCs w:val="19"/>
        </w:rPr>
        <w:t>more</w:t>
      </w:r>
      <w:r>
        <w:rPr>
          <w:rFonts w:ascii="Arial" w:hAnsi="Arial" w:eastAsia="Arial" w:cs="Arial"/>
          <w:spacing w:val="26"/>
          <w:w w:val="101"/>
          <w:sz w:val="19"/>
          <w:szCs w:val="19"/>
        </w:rPr>
        <w:t xml:space="preserve"> </w:t>
      </w:r>
      <w:r>
        <w:rPr>
          <w:rFonts w:ascii="Arial" w:hAnsi="Arial" w:eastAsia="Arial" w:cs="Arial"/>
          <w:spacing w:val="-8"/>
          <w:sz w:val="19"/>
          <w:szCs w:val="19"/>
        </w:rPr>
        <w:t>than</w:t>
      </w:r>
      <w:r>
        <w:rPr>
          <w:rFonts w:ascii="Arial" w:hAnsi="Arial" w:eastAsia="Arial" w:cs="Arial"/>
          <w:spacing w:val="31"/>
          <w:w w:val="101"/>
          <w:sz w:val="19"/>
          <w:szCs w:val="19"/>
        </w:rPr>
        <w:t xml:space="preserve"> </w:t>
      </w:r>
      <w:r>
        <w:rPr>
          <w:rFonts w:ascii="Arial" w:hAnsi="Arial" w:eastAsia="Arial" w:cs="Arial"/>
          <w:spacing w:val="-8"/>
          <w:sz w:val="19"/>
          <w:szCs w:val="19"/>
        </w:rPr>
        <w:t>20</w:t>
      </w:r>
      <w:r>
        <w:rPr>
          <w:rFonts w:ascii="Arial" w:hAnsi="Arial" w:eastAsia="Arial" w:cs="Arial"/>
          <w:spacing w:val="24"/>
          <w:sz w:val="19"/>
          <w:szCs w:val="19"/>
        </w:rPr>
        <w:t xml:space="preserve"> </w:t>
      </w:r>
      <w:r>
        <w:rPr>
          <w:rFonts w:ascii="Arial" w:hAnsi="Arial" w:eastAsia="Arial" w:cs="Arial"/>
          <w:spacing w:val="-8"/>
          <w:sz w:val="19"/>
          <w:szCs w:val="19"/>
        </w:rPr>
        <w:t>years</w:t>
      </w:r>
      <w:r>
        <w:rPr>
          <w:rFonts w:ascii="Arial" w:hAnsi="Arial" w:eastAsia="Arial" w:cs="Arial"/>
          <w:spacing w:val="34"/>
          <w:w w:val="101"/>
          <w:sz w:val="19"/>
          <w:szCs w:val="19"/>
        </w:rPr>
        <w:t xml:space="preserve"> </w:t>
      </w:r>
      <w:r>
        <w:rPr>
          <w:rFonts w:ascii="Arial" w:hAnsi="Arial" w:eastAsia="Arial" w:cs="Arial"/>
          <w:spacing w:val="-8"/>
          <w:sz w:val="19"/>
          <w:szCs w:val="19"/>
        </w:rPr>
        <w:t>(16.4%),</w:t>
      </w:r>
      <w:r>
        <w:rPr>
          <w:rFonts w:ascii="Arial" w:hAnsi="Arial" w:eastAsia="Arial" w:cs="Arial"/>
          <w:spacing w:val="36"/>
          <w:sz w:val="19"/>
          <w:szCs w:val="19"/>
        </w:rPr>
        <w:t xml:space="preserve"> </w:t>
      </w:r>
      <w:r>
        <w:rPr>
          <w:rFonts w:ascii="Arial" w:hAnsi="Arial" w:eastAsia="Arial" w:cs="Arial"/>
          <w:spacing w:val="-8"/>
          <w:sz w:val="19"/>
          <w:szCs w:val="19"/>
        </w:rPr>
        <w:t>representing</w:t>
      </w:r>
      <w:r>
        <w:rPr>
          <w:rFonts w:ascii="Arial" w:hAnsi="Arial" w:eastAsia="Arial" w:cs="Arial"/>
          <w:spacing w:val="37"/>
          <w:sz w:val="19"/>
          <w:szCs w:val="19"/>
        </w:rPr>
        <w:t xml:space="preserve"> </w:t>
      </w:r>
      <w:r>
        <w:rPr>
          <w:rFonts w:ascii="Arial" w:hAnsi="Arial" w:eastAsia="Arial" w:cs="Arial"/>
          <w:spacing w:val="-8"/>
          <w:sz w:val="19"/>
          <w:szCs w:val="19"/>
        </w:rPr>
        <w:t>heterogeneous</w:t>
      </w:r>
      <w:r>
        <w:rPr>
          <w:rFonts w:ascii="Arial" w:hAnsi="Arial" w:eastAsia="Arial" w:cs="Arial"/>
          <w:spacing w:val="35"/>
          <w:w w:val="101"/>
          <w:sz w:val="19"/>
          <w:szCs w:val="19"/>
        </w:rPr>
        <w:t xml:space="preserve"> </w:t>
      </w:r>
      <w:r>
        <w:rPr>
          <w:rFonts w:ascii="Arial" w:hAnsi="Arial" w:eastAsia="Arial" w:cs="Arial"/>
          <w:spacing w:val="-8"/>
          <w:sz w:val="19"/>
          <w:szCs w:val="19"/>
        </w:rPr>
        <w:t>levels</w:t>
      </w:r>
      <w:r>
        <w:rPr>
          <w:rFonts w:ascii="Arial" w:hAnsi="Arial" w:eastAsia="Arial" w:cs="Arial"/>
          <w:spacing w:val="29"/>
          <w:sz w:val="19"/>
          <w:szCs w:val="19"/>
        </w:rPr>
        <w:t xml:space="preserve"> </w:t>
      </w:r>
      <w:r>
        <w:rPr>
          <w:rFonts w:ascii="Arial" w:hAnsi="Arial" w:eastAsia="Arial" w:cs="Arial"/>
          <w:spacing w:val="-8"/>
          <w:sz w:val="19"/>
          <w:szCs w:val="19"/>
        </w:rPr>
        <w:t>of</w:t>
      </w:r>
      <w:r>
        <w:rPr>
          <w:rFonts w:ascii="Arial" w:hAnsi="Arial" w:eastAsia="Arial" w:cs="Arial"/>
          <w:spacing w:val="28"/>
          <w:sz w:val="19"/>
          <w:szCs w:val="19"/>
        </w:rPr>
        <w:t xml:space="preserve"> </w:t>
      </w:r>
      <w:r>
        <w:rPr>
          <w:rFonts w:ascii="Arial" w:hAnsi="Arial" w:eastAsia="Arial" w:cs="Arial"/>
          <w:spacing w:val="-8"/>
          <w:sz w:val="19"/>
          <w:szCs w:val="19"/>
        </w:rPr>
        <w:t>knowledge</w:t>
      </w:r>
      <w:r>
        <w:rPr>
          <w:rFonts w:ascii="Arial" w:hAnsi="Arial" w:eastAsia="Arial" w:cs="Arial"/>
          <w:sz w:val="19"/>
          <w:szCs w:val="19"/>
        </w:rPr>
        <w:t xml:space="preserve"> </w:t>
      </w:r>
      <w:r>
        <w:rPr>
          <w:rFonts w:ascii="Arial" w:hAnsi="Arial" w:eastAsia="Arial" w:cs="Arial"/>
          <w:spacing w:val="-3"/>
          <w:sz w:val="19"/>
          <w:szCs w:val="19"/>
        </w:rPr>
        <w:t>and</w:t>
      </w:r>
      <w:r>
        <w:rPr>
          <w:rFonts w:ascii="Arial" w:hAnsi="Arial" w:eastAsia="Arial" w:cs="Arial"/>
          <w:spacing w:val="22"/>
          <w:sz w:val="19"/>
          <w:szCs w:val="19"/>
        </w:rPr>
        <w:t xml:space="preserve"> </w:t>
      </w:r>
      <w:r>
        <w:rPr>
          <w:rFonts w:ascii="Arial" w:hAnsi="Arial" w:eastAsia="Arial" w:cs="Arial"/>
          <w:spacing w:val="-3"/>
          <w:sz w:val="19"/>
          <w:szCs w:val="19"/>
        </w:rPr>
        <w:t>experience with</w:t>
      </w:r>
      <w:r>
        <w:rPr>
          <w:rFonts w:ascii="Arial" w:hAnsi="Arial" w:eastAsia="Arial" w:cs="Arial"/>
          <w:spacing w:val="18"/>
          <w:w w:val="101"/>
          <w:sz w:val="19"/>
          <w:szCs w:val="19"/>
        </w:rPr>
        <w:t xml:space="preserve"> </w:t>
      </w:r>
      <w:r>
        <w:rPr>
          <w:rFonts w:ascii="Arial" w:hAnsi="Arial" w:eastAsia="Arial" w:cs="Arial"/>
          <w:spacing w:val="-3"/>
          <w:sz w:val="19"/>
          <w:szCs w:val="19"/>
        </w:rPr>
        <w:t>respect to the</w:t>
      </w:r>
      <w:r>
        <w:rPr>
          <w:rFonts w:ascii="Arial" w:hAnsi="Arial" w:eastAsia="Arial" w:cs="Arial"/>
          <w:spacing w:val="12"/>
          <w:sz w:val="19"/>
          <w:szCs w:val="19"/>
        </w:rPr>
        <w:t xml:space="preserve"> </w:t>
      </w:r>
      <w:r>
        <w:rPr>
          <w:rFonts w:ascii="Arial" w:hAnsi="Arial" w:eastAsia="Arial" w:cs="Arial"/>
          <w:spacing w:val="-3"/>
          <w:sz w:val="19"/>
          <w:szCs w:val="19"/>
        </w:rPr>
        <w:t>quality</w:t>
      </w:r>
      <w:r>
        <w:rPr>
          <w:rFonts w:ascii="Arial" w:hAnsi="Arial" w:eastAsia="Arial" w:cs="Arial"/>
          <w:spacing w:val="13"/>
          <w:sz w:val="19"/>
          <w:szCs w:val="19"/>
        </w:rPr>
        <w:t xml:space="preserve"> </w:t>
      </w:r>
      <w:r>
        <w:rPr>
          <w:rFonts w:ascii="Arial" w:hAnsi="Arial" w:eastAsia="Arial" w:cs="Arial"/>
          <w:spacing w:val="-3"/>
          <w:sz w:val="19"/>
          <w:szCs w:val="19"/>
        </w:rPr>
        <w:t>culture</w:t>
      </w:r>
      <w:r>
        <w:rPr>
          <w:rFonts w:ascii="Arial" w:hAnsi="Arial" w:eastAsia="Arial" w:cs="Arial"/>
          <w:spacing w:val="13"/>
          <w:sz w:val="19"/>
          <w:szCs w:val="19"/>
        </w:rPr>
        <w:t xml:space="preserve"> </w:t>
      </w:r>
      <w:r>
        <w:rPr>
          <w:rFonts w:ascii="Arial" w:hAnsi="Arial" w:eastAsia="Arial" w:cs="Arial"/>
          <w:spacing w:val="-3"/>
          <w:sz w:val="19"/>
          <w:szCs w:val="19"/>
        </w:rPr>
        <w:t>of the</w:t>
      </w:r>
      <w:r>
        <w:rPr>
          <w:rFonts w:ascii="Arial" w:hAnsi="Arial" w:eastAsia="Arial" w:cs="Arial"/>
          <w:spacing w:val="18"/>
          <w:sz w:val="19"/>
          <w:szCs w:val="19"/>
        </w:rPr>
        <w:t xml:space="preserve"> </w:t>
      </w:r>
      <w:r>
        <w:rPr>
          <w:rFonts w:ascii="Arial" w:hAnsi="Arial" w:eastAsia="Arial" w:cs="Arial"/>
          <w:spacing w:val="-3"/>
          <w:sz w:val="19"/>
          <w:szCs w:val="19"/>
        </w:rPr>
        <w:t>participating</w:t>
      </w:r>
      <w:r>
        <w:rPr>
          <w:rFonts w:ascii="Arial" w:hAnsi="Arial" w:eastAsia="Arial" w:cs="Arial"/>
          <w:spacing w:val="16"/>
          <w:sz w:val="19"/>
          <w:szCs w:val="19"/>
        </w:rPr>
        <w:t xml:space="preserve"> </w:t>
      </w:r>
      <w:r>
        <w:rPr>
          <w:rFonts w:ascii="Arial" w:hAnsi="Arial" w:eastAsia="Arial" w:cs="Arial"/>
          <w:spacing w:val="-3"/>
          <w:sz w:val="19"/>
          <w:szCs w:val="19"/>
        </w:rPr>
        <w:t>institutions.</w:t>
      </w:r>
    </w:p>
    <w:p>
      <w:pPr>
        <w:spacing w:line="470" w:lineRule="auto"/>
        <w:rPr>
          <w:rFonts w:ascii="Arial"/>
          <w:sz w:val="21"/>
        </w:rPr>
      </w:pPr>
    </w:p>
    <w:p>
      <w:pPr>
        <w:spacing w:before="58" w:line="195" w:lineRule="auto"/>
        <w:outlineLvl w:val="3"/>
        <w:rPr>
          <w:rFonts w:ascii="Arial" w:hAnsi="Arial" w:eastAsia="Arial" w:cs="Arial"/>
          <w:sz w:val="20"/>
          <w:szCs w:val="20"/>
        </w:rPr>
      </w:pPr>
      <w:r>
        <w:rPr>
          <w:rFonts w:ascii="Arial" w:hAnsi="Arial" w:eastAsia="Arial" w:cs="Arial"/>
          <w:color w:val="282781"/>
          <w:spacing w:val="-2"/>
          <w:sz w:val="20"/>
          <w:szCs w:val="20"/>
        </w:rPr>
        <w:t>Statistical analyses</w:t>
      </w:r>
    </w:p>
    <w:p>
      <w:pPr>
        <w:spacing w:before="149" w:line="261" w:lineRule="auto"/>
        <w:ind w:left="3" w:right="6" w:firstLine="11"/>
        <w:jc w:val="both"/>
        <w:rPr>
          <w:rFonts w:ascii="Arial" w:hAnsi="Arial" w:eastAsia="Arial" w:cs="Arial"/>
          <w:sz w:val="19"/>
          <w:szCs w:val="19"/>
        </w:rPr>
      </w:pPr>
      <w:r>
        <w:rPr>
          <w:rFonts w:ascii="Arial" w:hAnsi="Arial" w:eastAsia="Arial" w:cs="Arial"/>
          <w:spacing w:val="-3"/>
          <w:sz w:val="19"/>
          <w:szCs w:val="19"/>
        </w:rPr>
        <w:t>In order to explore the underlying factor structure of</w:t>
      </w:r>
      <w:r>
        <w:rPr>
          <w:rFonts w:ascii="Arial" w:hAnsi="Arial" w:eastAsia="Arial" w:cs="Arial"/>
          <w:spacing w:val="-11"/>
          <w:sz w:val="19"/>
          <w:szCs w:val="19"/>
        </w:rPr>
        <w:t xml:space="preserve"> </w:t>
      </w:r>
      <w:r>
        <w:rPr>
          <w:rFonts w:ascii="Arial" w:hAnsi="Arial" w:eastAsia="Arial" w:cs="Arial"/>
          <w:spacing w:val="-3"/>
          <w:sz w:val="19"/>
          <w:szCs w:val="19"/>
        </w:rPr>
        <w:t>the inal organizational-psychol</w:t>
      </w:r>
      <w:r>
        <w:rPr>
          <w:rFonts w:ascii="Arial" w:hAnsi="Arial" w:eastAsia="Arial" w:cs="Arial"/>
          <w:spacing w:val="-4"/>
          <w:sz w:val="19"/>
          <w:szCs w:val="19"/>
        </w:rPr>
        <w:t>ogical question-</w:t>
      </w:r>
      <w:r>
        <w:rPr>
          <w:rFonts w:ascii="Arial" w:hAnsi="Arial" w:eastAsia="Arial" w:cs="Arial"/>
          <w:sz w:val="19"/>
          <w:szCs w:val="19"/>
        </w:rPr>
        <w:t xml:space="preserve"> </w:t>
      </w:r>
      <w:r>
        <w:rPr>
          <w:rFonts w:ascii="Arial" w:hAnsi="Arial" w:eastAsia="Arial" w:cs="Arial"/>
          <w:spacing w:val="-8"/>
          <w:sz w:val="19"/>
          <w:szCs w:val="19"/>
        </w:rPr>
        <w:t xml:space="preserve">naire an exploratory factor analysis (EFA) was conducted with data from </w:t>
      </w:r>
      <w:r>
        <w:rPr>
          <w:rFonts w:ascii="Arial" w:hAnsi="Arial" w:eastAsia="Arial" w:cs="Arial"/>
          <w:spacing w:val="-9"/>
          <w:sz w:val="19"/>
          <w:szCs w:val="19"/>
        </w:rPr>
        <w:t>HEI B</w:t>
      </w:r>
      <w:r>
        <w:rPr>
          <w:rFonts w:ascii="Arial" w:hAnsi="Arial" w:eastAsia="Arial" w:cs="Arial"/>
          <w:spacing w:val="3"/>
          <w:sz w:val="19"/>
          <w:szCs w:val="19"/>
        </w:rPr>
        <w:t xml:space="preserve"> </w:t>
      </w:r>
      <w:r>
        <w:rPr>
          <w:rFonts w:ascii="Arial" w:hAnsi="Arial" w:eastAsia="Arial" w:cs="Arial"/>
          <w:spacing w:val="-9"/>
          <w:sz w:val="19"/>
          <w:szCs w:val="19"/>
        </w:rPr>
        <w:t>(N = 95) and</w:t>
      </w:r>
      <w:r>
        <w:rPr>
          <w:rFonts w:ascii="Arial" w:hAnsi="Arial" w:eastAsia="Arial" w:cs="Arial"/>
          <w:spacing w:val="5"/>
          <w:sz w:val="19"/>
          <w:szCs w:val="19"/>
        </w:rPr>
        <w:t xml:space="preserve"> </w:t>
      </w:r>
      <w:r>
        <w:rPr>
          <w:rFonts w:ascii="Arial" w:hAnsi="Arial" w:eastAsia="Arial" w:cs="Arial"/>
          <w:spacing w:val="-9"/>
          <w:sz w:val="19"/>
          <w:szCs w:val="19"/>
        </w:rPr>
        <w:t>HEI C</w:t>
      </w:r>
      <w:r>
        <w:rPr>
          <w:rFonts w:ascii="Arial" w:hAnsi="Arial" w:eastAsia="Arial" w:cs="Arial"/>
          <w:spacing w:val="3"/>
          <w:sz w:val="19"/>
          <w:szCs w:val="19"/>
        </w:rPr>
        <w:t xml:space="preserve"> </w:t>
      </w:r>
      <w:r>
        <w:rPr>
          <w:rFonts w:ascii="Arial" w:hAnsi="Arial" w:eastAsia="Arial" w:cs="Arial"/>
          <w:spacing w:val="-9"/>
          <w:sz w:val="19"/>
          <w:szCs w:val="19"/>
        </w:rPr>
        <w:t>(N =</w:t>
      </w:r>
      <w:r>
        <w:rPr>
          <w:rFonts w:ascii="Arial" w:hAnsi="Arial" w:eastAsia="Arial" w:cs="Arial"/>
          <w:sz w:val="19"/>
          <w:szCs w:val="19"/>
        </w:rPr>
        <w:t xml:space="preserve">  </w:t>
      </w:r>
      <w:r>
        <w:rPr>
          <w:rFonts w:ascii="Arial" w:hAnsi="Arial" w:eastAsia="Arial" w:cs="Arial"/>
          <w:spacing w:val="-8"/>
          <w:sz w:val="19"/>
          <w:szCs w:val="19"/>
        </w:rPr>
        <w:t>113)</w:t>
      </w:r>
      <w:r>
        <w:rPr>
          <w:rFonts w:ascii="Arial" w:hAnsi="Arial" w:eastAsia="Arial" w:cs="Arial"/>
          <w:spacing w:val="13"/>
          <w:w w:val="101"/>
          <w:sz w:val="19"/>
          <w:szCs w:val="19"/>
        </w:rPr>
        <w:t xml:space="preserve"> </w:t>
      </w:r>
      <w:r>
        <w:rPr>
          <w:rFonts w:ascii="Arial" w:hAnsi="Arial" w:eastAsia="Arial" w:cs="Arial"/>
          <w:spacing w:val="-8"/>
          <w:sz w:val="19"/>
          <w:szCs w:val="19"/>
        </w:rPr>
        <w:t>using</w:t>
      </w:r>
      <w:r>
        <w:rPr>
          <w:rFonts w:ascii="Arial" w:hAnsi="Arial" w:eastAsia="Arial" w:cs="Arial"/>
          <w:spacing w:val="15"/>
          <w:sz w:val="19"/>
          <w:szCs w:val="19"/>
        </w:rPr>
        <w:t xml:space="preserve"> </w:t>
      </w:r>
      <w:r>
        <w:rPr>
          <w:rFonts w:ascii="Arial" w:hAnsi="Arial" w:eastAsia="Arial" w:cs="Arial"/>
          <w:spacing w:val="-8"/>
          <w:sz w:val="19"/>
          <w:szCs w:val="19"/>
        </w:rPr>
        <w:t>IBM</w:t>
      </w:r>
      <w:r>
        <w:rPr>
          <w:rFonts w:ascii="Arial" w:hAnsi="Arial" w:eastAsia="Arial" w:cs="Arial"/>
          <w:spacing w:val="8"/>
          <w:sz w:val="19"/>
          <w:szCs w:val="19"/>
        </w:rPr>
        <w:t xml:space="preserve"> </w:t>
      </w:r>
      <w:r>
        <w:rPr>
          <w:rFonts w:ascii="Arial" w:hAnsi="Arial" w:eastAsia="Arial" w:cs="Arial"/>
          <w:spacing w:val="-8"/>
          <w:sz w:val="19"/>
          <w:szCs w:val="19"/>
        </w:rPr>
        <w:t>SPSS</w:t>
      </w:r>
      <w:r>
        <w:rPr>
          <w:rFonts w:ascii="Arial" w:hAnsi="Arial" w:eastAsia="Arial" w:cs="Arial"/>
          <w:spacing w:val="7"/>
          <w:sz w:val="19"/>
          <w:szCs w:val="19"/>
        </w:rPr>
        <w:t xml:space="preserve"> </w:t>
      </w:r>
      <w:r>
        <w:rPr>
          <w:rFonts w:ascii="Arial" w:hAnsi="Arial" w:eastAsia="Arial" w:cs="Arial"/>
          <w:spacing w:val="-8"/>
          <w:sz w:val="19"/>
          <w:szCs w:val="19"/>
        </w:rPr>
        <w:t>Statistics</w:t>
      </w:r>
      <w:r>
        <w:rPr>
          <w:rFonts w:ascii="Arial" w:hAnsi="Arial" w:eastAsia="Arial" w:cs="Arial"/>
          <w:spacing w:val="13"/>
          <w:w w:val="101"/>
          <w:sz w:val="19"/>
          <w:szCs w:val="19"/>
        </w:rPr>
        <w:t xml:space="preserve"> </w:t>
      </w:r>
      <w:r>
        <w:rPr>
          <w:rFonts w:ascii="Arial" w:hAnsi="Arial" w:eastAsia="Arial" w:cs="Arial"/>
          <w:spacing w:val="-8"/>
          <w:sz w:val="19"/>
          <w:szCs w:val="19"/>
        </w:rPr>
        <w:t>(Version</w:t>
      </w:r>
      <w:r>
        <w:rPr>
          <w:rFonts w:ascii="Arial" w:hAnsi="Arial" w:eastAsia="Arial" w:cs="Arial"/>
          <w:spacing w:val="9"/>
          <w:sz w:val="19"/>
          <w:szCs w:val="19"/>
        </w:rPr>
        <w:t xml:space="preserve"> </w:t>
      </w:r>
      <w:r>
        <w:rPr>
          <w:rFonts w:ascii="Arial" w:hAnsi="Arial" w:eastAsia="Arial" w:cs="Arial"/>
          <w:spacing w:val="-8"/>
          <w:sz w:val="19"/>
          <w:szCs w:val="19"/>
        </w:rPr>
        <w:t>22). As the</w:t>
      </w:r>
      <w:r>
        <w:rPr>
          <w:rFonts w:ascii="Arial" w:hAnsi="Arial" w:eastAsia="Arial" w:cs="Arial"/>
          <w:spacing w:val="13"/>
          <w:w w:val="101"/>
          <w:sz w:val="19"/>
          <w:szCs w:val="19"/>
        </w:rPr>
        <w:t xml:space="preserve"> </w:t>
      </w:r>
      <w:r>
        <w:rPr>
          <w:rFonts w:ascii="Arial" w:hAnsi="Arial" w:eastAsia="Arial" w:cs="Arial"/>
          <w:spacing w:val="-8"/>
          <w:sz w:val="19"/>
          <w:szCs w:val="19"/>
        </w:rPr>
        <w:t>primary</w:t>
      </w:r>
      <w:r>
        <w:rPr>
          <w:rFonts w:ascii="Arial" w:hAnsi="Arial" w:eastAsia="Arial" w:cs="Arial"/>
          <w:spacing w:val="10"/>
          <w:sz w:val="19"/>
          <w:szCs w:val="19"/>
        </w:rPr>
        <w:t xml:space="preserve"> </w:t>
      </w:r>
      <w:r>
        <w:rPr>
          <w:rFonts w:ascii="Arial" w:hAnsi="Arial" w:eastAsia="Arial" w:cs="Arial"/>
          <w:spacing w:val="-9"/>
          <w:sz w:val="19"/>
          <w:szCs w:val="19"/>
        </w:rPr>
        <w:t>interest of the</w:t>
      </w:r>
      <w:r>
        <w:rPr>
          <w:rFonts w:ascii="Arial" w:hAnsi="Arial" w:eastAsia="Arial" w:cs="Arial"/>
          <w:spacing w:val="15"/>
          <w:w w:val="101"/>
          <w:sz w:val="19"/>
          <w:szCs w:val="19"/>
        </w:rPr>
        <w:t xml:space="preserve"> </w:t>
      </w:r>
      <w:r>
        <w:rPr>
          <w:rFonts w:ascii="Arial" w:hAnsi="Arial" w:eastAsia="Arial" w:cs="Arial"/>
          <w:spacing w:val="-9"/>
          <w:sz w:val="19"/>
          <w:szCs w:val="19"/>
        </w:rPr>
        <w:t>EFA was</w:t>
      </w:r>
      <w:r>
        <w:rPr>
          <w:rFonts w:ascii="Arial" w:hAnsi="Arial" w:eastAsia="Arial" w:cs="Arial"/>
          <w:spacing w:val="3"/>
          <w:sz w:val="19"/>
          <w:szCs w:val="19"/>
        </w:rPr>
        <w:t xml:space="preserve"> </w:t>
      </w:r>
      <w:r>
        <w:rPr>
          <w:rFonts w:ascii="Arial" w:hAnsi="Arial" w:eastAsia="Arial" w:cs="Arial"/>
          <w:spacing w:val="-9"/>
          <w:sz w:val="19"/>
          <w:szCs w:val="19"/>
        </w:rPr>
        <w:t>to</w:t>
      </w:r>
      <w:r>
        <w:rPr>
          <w:rFonts w:ascii="Arial" w:hAnsi="Arial" w:eastAsia="Arial" w:cs="Arial"/>
          <w:spacing w:val="11"/>
          <w:sz w:val="19"/>
          <w:szCs w:val="19"/>
        </w:rPr>
        <w:t xml:space="preserve"> </w:t>
      </w:r>
      <w:r>
        <w:rPr>
          <w:rFonts w:ascii="Arial" w:hAnsi="Arial" w:eastAsia="Arial" w:cs="Arial"/>
          <w:spacing w:val="-9"/>
          <w:sz w:val="19"/>
          <w:szCs w:val="19"/>
        </w:rPr>
        <w:t>investigate</w:t>
      </w:r>
      <w:r>
        <w:rPr>
          <w:rFonts w:ascii="Arial" w:hAnsi="Arial" w:eastAsia="Arial" w:cs="Arial"/>
          <w:spacing w:val="3"/>
          <w:sz w:val="19"/>
          <w:szCs w:val="19"/>
        </w:rPr>
        <w:t xml:space="preserve"> </w:t>
      </w:r>
      <w:r>
        <w:rPr>
          <w:rFonts w:ascii="Arial" w:hAnsi="Arial" w:eastAsia="Arial" w:cs="Arial"/>
          <w:spacing w:val="-9"/>
          <w:sz w:val="19"/>
          <w:szCs w:val="19"/>
        </w:rPr>
        <w:t>the</w:t>
      </w:r>
      <w:r>
        <w:rPr>
          <w:rFonts w:ascii="Arial" w:hAnsi="Arial" w:eastAsia="Arial" w:cs="Arial"/>
          <w:sz w:val="19"/>
          <w:szCs w:val="19"/>
        </w:rPr>
        <w:t xml:space="preserve"> </w:t>
      </w:r>
      <w:r>
        <w:rPr>
          <w:rFonts w:ascii="Arial" w:hAnsi="Arial" w:eastAsia="Arial" w:cs="Arial"/>
          <w:spacing w:val="-4"/>
          <w:sz w:val="19"/>
          <w:szCs w:val="19"/>
        </w:rPr>
        <w:t>structure of</w:t>
      </w:r>
      <w:r>
        <w:rPr>
          <w:rFonts w:ascii="Arial" w:hAnsi="Arial" w:eastAsia="Arial" w:cs="Arial"/>
          <w:spacing w:val="-16"/>
          <w:sz w:val="19"/>
          <w:szCs w:val="19"/>
        </w:rPr>
        <w:t xml:space="preserve"> </w:t>
      </w:r>
      <w:r>
        <w:rPr>
          <w:rFonts w:ascii="Arial" w:hAnsi="Arial" w:eastAsia="Arial" w:cs="Arial"/>
          <w:spacing w:val="-4"/>
          <w:sz w:val="19"/>
          <w:szCs w:val="19"/>
        </w:rPr>
        <w:t>the collective and individual elements in more detail, we decided to inc</w:t>
      </w:r>
      <w:r>
        <w:rPr>
          <w:rFonts w:ascii="Arial" w:hAnsi="Arial" w:eastAsia="Arial" w:cs="Arial"/>
          <w:spacing w:val="-5"/>
          <w:sz w:val="19"/>
          <w:szCs w:val="19"/>
        </w:rPr>
        <w:t>lude all items that</w:t>
      </w:r>
      <w:r>
        <w:rPr>
          <w:rFonts w:ascii="Arial" w:hAnsi="Arial" w:eastAsia="Arial" w:cs="Arial"/>
          <w:sz w:val="19"/>
          <w:szCs w:val="19"/>
        </w:rPr>
        <w:t xml:space="preserve"> </w:t>
      </w:r>
      <w:r>
        <w:rPr>
          <w:rFonts w:ascii="Arial" w:hAnsi="Arial" w:eastAsia="Arial" w:cs="Arial"/>
          <w:spacing w:val="-5"/>
          <w:sz w:val="19"/>
          <w:szCs w:val="19"/>
        </w:rPr>
        <w:t>refer</w:t>
      </w:r>
      <w:r>
        <w:rPr>
          <w:rFonts w:ascii="Arial" w:hAnsi="Arial" w:eastAsia="Arial" w:cs="Arial"/>
          <w:spacing w:val="17"/>
          <w:sz w:val="19"/>
          <w:szCs w:val="19"/>
        </w:rPr>
        <w:t xml:space="preserve"> </w:t>
      </w:r>
      <w:r>
        <w:rPr>
          <w:rFonts w:ascii="Arial" w:hAnsi="Arial" w:eastAsia="Arial" w:cs="Arial"/>
          <w:spacing w:val="-5"/>
          <w:sz w:val="19"/>
          <w:szCs w:val="19"/>
        </w:rPr>
        <w:t>to</w:t>
      </w:r>
      <w:r>
        <w:rPr>
          <w:rFonts w:ascii="Arial" w:hAnsi="Arial" w:eastAsia="Arial" w:cs="Arial"/>
          <w:spacing w:val="17"/>
          <w:sz w:val="19"/>
          <w:szCs w:val="19"/>
        </w:rPr>
        <w:t xml:space="preserve"> </w:t>
      </w:r>
      <w:r>
        <w:rPr>
          <w:rFonts w:ascii="Arial" w:hAnsi="Arial" w:eastAsia="Arial" w:cs="Arial"/>
          <w:spacing w:val="-5"/>
          <w:sz w:val="19"/>
          <w:szCs w:val="19"/>
        </w:rPr>
        <w:t>the</w:t>
      </w:r>
      <w:r>
        <w:rPr>
          <w:rFonts w:ascii="Arial" w:hAnsi="Arial" w:eastAsia="Arial" w:cs="Arial"/>
          <w:spacing w:val="16"/>
          <w:w w:val="101"/>
          <w:sz w:val="19"/>
          <w:szCs w:val="19"/>
        </w:rPr>
        <w:t xml:space="preserve"> </w:t>
      </w:r>
      <w:r>
        <w:rPr>
          <w:rFonts w:ascii="Arial" w:hAnsi="Arial" w:eastAsia="Arial" w:cs="Arial"/>
          <w:spacing w:val="-5"/>
          <w:sz w:val="19"/>
          <w:szCs w:val="19"/>
        </w:rPr>
        <w:t>following</w:t>
      </w:r>
      <w:r>
        <w:rPr>
          <w:rFonts w:ascii="Arial" w:hAnsi="Arial" w:eastAsia="Arial" w:cs="Arial"/>
          <w:spacing w:val="21"/>
          <w:sz w:val="19"/>
          <w:szCs w:val="19"/>
        </w:rPr>
        <w:t xml:space="preserve"> </w:t>
      </w:r>
      <w:r>
        <w:rPr>
          <w:rFonts w:ascii="Arial" w:hAnsi="Arial" w:eastAsia="Arial" w:cs="Arial"/>
          <w:spacing w:val="-5"/>
          <w:sz w:val="19"/>
          <w:szCs w:val="19"/>
        </w:rPr>
        <w:t>quality</w:t>
      </w:r>
      <w:r>
        <w:rPr>
          <w:rFonts w:ascii="Arial" w:hAnsi="Arial" w:eastAsia="Arial" w:cs="Arial"/>
          <w:spacing w:val="20"/>
          <w:w w:val="101"/>
          <w:sz w:val="19"/>
          <w:szCs w:val="19"/>
        </w:rPr>
        <w:t xml:space="preserve"> </w:t>
      </w:r>
      <w:r>
        <w:rPr>
          <w:rFonts w:ascii="Arial" w:hAnsi="Arial" w:eastAsia="Arial" w:cs="Arial"/>
          <w:spacing w:val="-5"/>
          <w:sz w:val="19"/>
          <w:szCs w:val="19"/>
        </w:rPr>
        <w:t>culture</w:t>
      </w:r>
      <w:r>
        <w:rPr>
          <w:rFonts w:ascii="Arial" w:hAnsi="Arial" w:eastAsia="Arial" w:cs="Arial"/>
          <w:spacing w:val="21"/>
          <w:w w:val="101"/>
          <w:sz w:val="19"/>
          <w:szCs w:val="19"/>
        </w:rPr>
        <w:t xml:space="preserve"> </w:t>
      </w:r>
      <w:r>
        <w:rPr>
          <w:rFonts w:ascii="Arial" w:hAnsi="Arial" w:eastAsia="Arial" w:cs="Arial"/>
          <w:spacing w:val="-5"/>
          <w:sz w:val="19"/>
          <w:szCs w:val="19"/>
        </w:rPr>
        <w:t>aspects:</w:t>
      </w:r>
      <w:r>
        <w:rPr>
          <w:rFonts w:ascii="Arial" w:hAnsi="Arial" w:eastAsia="Arial" w:cs="Arial"/>
          <w:spacing w:val="28"/>
          <w:w w:val="101"/>
          <w:sz w:val="19"/>
          <w:szCs w:val="19"/>
        </w:rPr>
        <w:t xml:space="preserve"> </w:t>
      </w:r>
      <w:r>
        <w:rPr>
          <w:rFonts w:ascii="Arial" w:hAnsi="Arial" w:eastAsia="Arial" w:cs="Arial"/>
          <w:spacing w:val="-5"/>
          <w:sz w:val="19"/>
          <w:szCs w:val="19"/>
        </w:rPr>
        <w:t>leadership</w:t>
      </w:r>
      <w:r>
        <w:rPr>
          <w:rFonts w:ascii="Arial" w:hAnsi="Arial" w:eastAsia="Arial" w:cs="Arial"/>
          <w:spacing w:val="25"/>
          <w:sz w:val="19"/>
          <w:szCs w:val="19"/>
        </w:rPr>
        <w:t xml:space="preserve"> </w:t>
      </w:r>
      <w:r>
        <w:rPr>
          <w:rFonts w:ascii="Arial" w:hAnsi="Arial" w:eastAsia="Arial" w:cs="Arial"/>
          <w:spacing w:val="-5"/>
          <w:sz w:val="19"/>
          <w:szCs w:val="19"/>
        </w:rPr>
        <w:t>(12),</w:t>
      </w:r>
      <w:r>
        <w:rPr>
          <w:rFonts w:ascii="Arial" w:hAnsi="Arial" w:eastAsia="Arial" w:cs="Arial"/>
          <w:spacing w:val="21"/>
          <w:w w:val="101"/>
          <w:sz w:val="19"/>
          <w:szCs w:val="19"/>
        </w:rPr>
        <w:t xml:space="preserve"> </w:t>
      </w:r>
      <w:r>
        <w:rPr>
          <w:rFonts w:ascii="Arial" w:hAnsi="Arial" w:eastAsia="Arial" w:cs="Arial"/>
          <w:spacing w:val="-5"/>
          <w:sz w:val="19"/>
          <w:szCs w:val="19"/>
        </w:rPr>
        <w:t>c</w:t>
      </w:r>
      <w:r>
        <w:rPr>
          <w:rFonts w:ascii="Arial" w:hAnsi="Arial" w:eastAsia="Arial" w:cs="Arial"/>
          <w:spacing w:val="-6"/>
          <w:sz w:val="19"/>
          <w:szCs w:val="19"/>
        </w:rPr>
        <w:t>ommunication</w:t>
      </w:r>
      <w:r>
        <w:rPr>
          <w:rFonts w:ascii="Arial" w:hAnsi="Arial" w:eastAsia="Arial" w:cs="Arial"/>
          <w:spacing w:val="25"/>
          <w:w w:val="101"/>
          <w:sz w:val="19"/>
          <w:szCs w:val="19"/>
        </w:rPr>
        <w:t xml:space="preserve"> </w:t>
      </w:r>
      <w:r>
        <w:rPr>
          <w:rFonts w:ascii="Arial" w:hAnsi="Arial" w:eastAsia="Arial" w:cs="Arial"/>
          <w:spacing w:val="-6"/>
          <w:sz w:val="19"/>
          <w:szCs w:val="19"/>
        </w:rPr>
        <w:t>(6),</w:t>
      </w:r>
      <w:r>
        <w:rPr>
          <w:rFonts w:ascii="Arial" w:hAnsi="Arial" w:eastAsia="Arial" w:cs="Arial"/>
          <w:spacing w:val="27"/>
          <w:w w:val="101"/>
          <w:sz w:val="19"/>
          <w:szCs w:val="19"/>
        </w:rPr>
        <w:t xml:space="preserve"> </w:t>
      </w:r>
      <w:r>
        <w:rPr>
          <w:rFonts w:ascii="Arial" w:hAnsi="Arial" w:eastAsia="Arial" w:cs="Arial"/>
          <w:spacing w:val="-6"/>
          <w:sz w:val="19"/>
          <w:szCs w:val="19"/>
        </w:rPr>
        <w:t>participation</w:t>
      </w:r>
      <w:r>
        <w:rPr>
          <w:rFonts w:ascii="Arial" w:hAnsi="Arial" w:eastAsia="Arial" w:cs="Arial"/>
          <w:spacing w:val="27"/>
          <w:w w:val="101"/>
          <w:sz w:val="19"/>
          <w:szCs w:val="19"/>
        </w:rPr>
        <w:t xml:space="preserve"> </w:t>
      </w:r>
      <w:r>
        <w:rPr>
          <w:rFonts w:ascii="Arial" w:hAnsi="Arial" w:eastAsia="Arial" w:cs="Arial"/>
          <w:spacing w:val="-6"/>
          <w:sz w:val="19"/>
          <w:szCs w:val="19"/>
        </w:rPr>
        <w:t>(4),</w:t>
      </w:r>
      <w:r>
        <w:rPr>
          <w:rFonts w:ascii="Arial" w:hAnsi="Arial" w:eastAsia="Arial" w:cs="Arial"/>
          <w:sz w:val="19"/>
          <w:szCs w:val="19"/>
        </w:rPr>
        <w:t xml:space="preserve"> </w:t>
      </w:r>
      <w:r>
        <w:rPr>
          <w:rFonts w:ascii="Arial" w:hAnsi="Arial" w:eastAsia="Arial" w:cs="Arial"/>
          <w:spacing w:val="-6"/>
          <w:sz w:val="19"/>
          <w:szCs w:val="19"/>
        </w:rPr>
        <w:t>commitment</w:t>
      </w:r>
      <w:r>
        <w:rPr>
          <w:rFonts w:ascii="Arial" w:hAnsi="Arial" w:eastAsia="Arial" w:cs="Arial"/>
          <w:spacing w:val="29"/>
          <w:sz w:val="19"/>
          <w:szCs w:val="19"/>
        </w:rPr>
        <w:t xml:space="preserve"> </w:t>
      </w:r>
      <w:r>
        <w:rPr>
          <w:rFonts w:ascii="Arial" w:hAnsi="Arial" w:eastAsia="Arial" w:cs="Arial"/>
          <w:spacing w:val="-6"/>
          <w:sz w:val="19"/>
          <w:szCs w:val="19"/>
        </w:rPr>
        <w:t>(4),</w:t>
      </w:r>
      <w:r>
        <w:rPr>
          <w:rFonts w:ascii="Arial" w:hAnsi="Arial" w:eastAsia="Arial" w:cs="Arial"/>
          <w:spacing w:val="23"/>
          <w:w w:val="101"/>
          <w:sz w:val="19"/>
          <w:szCs w:val="19"/>
        </w:rPr>
        <w:t xml:space="preserve"> </w:t>
      </w:r>
      <w:r>
        <w:rPr>
          <w:rFonts w:ascii="Arial" w:hAnsi="Arial" w:eastAsia="Arial" w:cs="Arial"/>
          <w:spacing w:val="-6"/>
          <w:sz w:val="19"/>
          <w:szCs w:val="19"/>
        </w:rPr>
        <w:t>engagement</w:t>
      </w:r>
      <w:r>
        <w:rPr>
          <w:rFonts w:ascii="Arial" w:hAnsi="Arial" w:eastAsia="Arial" w:cs="Arial"/>
          <w:spacing w:val="30"/>
          <w:w w:val="101"/>
          <w:sz w:val="19"/>
          <w:szCs w:val="19"/>
        </w:rPr>
        <w:t xml:space="preserve"> </w:t>
      </w:r>
      <w:r>
        <w:rPr>
          <w:rFonts w:ascii="Arial" w:hAnsi="Arial" w:eastAsia="Arial" w:cs="Arial"/>
          <w:spacing w:val="-6"/>
          <w:sz w:val="19"/>
          <w:szCs w:val="19"/>
        </w:rPr>
        <w:t>(4),</w:t>
      </w:r>
      <w:r>
        <w:rPr>
          <w:rFonts w:ascii="Arial" w:hAnsi="Arial" w:eastAsia="Arial" w:cs="Arial"/>
          <w:spacing w:val="24"/>
          <w:w w:val="101"/>
          <w:sz w:val="19"/>
          <w:szCs w:val="19"/>
        </w:rPr>
        <w:t xml:space="preserve"> </w:t>
      </w:r>
      <w:r>
        <w:rPr>
          <w:rFonts w:ascii="Arial" w:hAnsi="Arial" w:eastAsia="Arial" w:cs="Arial"/>
          <w:spacing w:val="-6"/>
          <w:sz w:val="19"/>
          <w:szCs w:val="19"/>
        </w:rPr>
        <w:t>and</w:t>
      </w:r>
      <w:r>
        <w:rPr>
          <w:rFonts w:ascii="Arial" w:hAnsi="Arial" w:eastAsia="Arial" w:cs="Arial"/>
          <w:spacing w:val="30"/>
          <w:w w:val="101"/>
          <w:sz w:val="19"/>
          <w:szCs w:val="19"/>
        </w:rPr>
        <w:t xml:space="preserve"> </w:t>
      </w:r>
      <w:r>
        <w:rPr>
          <w:rFonts w:ascii="Arial" w:hAnsi="Arial" w:eastAsia="Arial" w:cs="Arial"/>
          <w:spacing w:val="-6"/>
          <w:sz w:val="19"/>
          <w:szCs w:val="19"/>
        </w:rPr>
        <w:t>re</w:t>
      </w:r>
      <w:r>
        <w:rPr>
          <w:rFonts w:ascii="Arial" w:hAnsi="Arial" w:eastAsia="Arial" w:cs="Arial"/>
          <w:spacing w:val="-7"/>
          <w:sz w:val="19"/>
          <w:szCs w:val="19"/>
        </w:rPr>
        <w:t>sponsibility</w:t>
      </w:r>
      <w:r>
        <w:rPr>
          <w:rFonts w:ascii="Arial" w:hAnsi="Arial" w:eastAsia="Arial" w:cs="Arial"/>
          <w:spacing w:val="30"/>
          <w:w w:val="101"/>
          <w:sz w:val="19"/>
          <w:szCs w:val="19"/>
        </w:rPr>
        <w:t xml:space="preserve"> </w:t>
      </w:r>
      <w:r>
        <w:rPr>
          <w:rFonts w:ascii="Arial" w:hAnsi="Arial" w:eastAsia="Arial" w:cs="Arial"/>
          <w:spacing w:val="-7"/>
          <w:sz w:val="19"/>
          <w:szCs w:val="19"/>
        </w:rPr>
        <w:t>(4).</w:t>
      </w:r>
      <w:r>
        <w:rPr>
          <w:rFonts w:ascii="Arial" w:hAnsi="Arial" w:eastAsia="Arial" w:cs="Arial"/>
          <w:spacing w:val="32"/>
          <w:w w:val="101"/>
          <w:sz w:val="19"/>
          <w:szCs w:val="19"/>
        </w:rPr>
        <w:t xml:space="preserve"> </w:t>
      </w:r>
      <w:r>
        <w:rPr>
          <w:rFonts w:ascii="Arial" w:hAnsi="Arial" w:eastAsia="Arial" w:cs="Arial"/>
          <w:spacing w:val="-7"/>
          <w:sz w:val="19"/>
          <w:szCs w:val="19"/>
        </w:rPr>
        <w:t>Items</w:t>
      </w:r>
      <w:r>
        <w:rPr>
          <w:rFonts w:ascii="Arial" w:hAnsi="Arial" w:eastAsia="Arial" w:cs="Arial"/>
          <w:spacing w:val="30"/>
          <w:w w:val="101"/>
          <w:sz w:val="19"/>
          <w:szCs w:val="19"/>
        </w:rPr>
        <w:t xml:space="preserve"> </w:t>
      </w:r>
      <w:r>
        <w:rPr>
          <w:rFonts w:ascii="Arial" w:hAnsi="Arial" w:eastAsia="Arial" w:cs="Arial"/>
          <w:spacing w:val="-7"/>
          <w:sz w:val="19"/>
          <w:szCs w:val="19"/>
        </w:rPr>
        <w:t>measuring</w:t>
      </w:r>
      <w:r>
        <w:rPr>
          <w:rFonts w:ascii="Arial" w:hAnsi="Arial" w:eastAsia="Arial" w:cs="Arial"/>
          <w:spacing w:val="24"/>
          <w:sz w:val="19"/>
          <w:szCs w:val="19"/>
        </w:rPr>
        <w:t xml:space="preserve"> </w:t>
      </w:r>
      <w:r>
        <w:rPr>
          <w:rFonts w:ascii="Arial" w:hAnsi="Arial" w:eastAsia="Arial" w:cs="Arial"/>
          <w:spacing w:val="-7"/>
          <w:sz w:val="19"/>
          <w:szCs w:val="19"/>
        </w:rPr>
        <w:t>shared</w:t>
      </w:r>
      <w:r>
        <w:rPr>
          <w:rFonts w:ascii="Arial" w:hAnsi="Arial" w:eastAsia="Arial" w:cs="Arial"/>
          <w:spacing w:val="21"/>
          <w:w w:val="101"/>
          <w:sz w:val="19"/>
          <w:szCs w:val="19"/>
        </w:rPr>
        <w:t xml:space="preserve"> </w:t>
      </w:r>
      <w:r>
        <w:rPr>
          <w:rFonts w:ascii="Arial" w:hAnsi="Arial" w:eastAsia="Arial" w:cs="Arial"/>
          <w:spacing w:val="-7"/>
          <w:sz w:val="19"/>
          <w:szCs w:val="19"/>
        </w:rPr>
        <w:t>values</w:t>
      </w:r>
      <w:r>
        <w:rPr>
          <w:rFonts w:ascii="Arial" w:hAnsi="Arial" w:eastAsia="Arial" w:cs="Arial"/>
          <w:spacing w:val="24"/>
          <w:w w:val="101"/>
          <w:sz w:val="19"/>
          <w:szCs w:val="19"/>
        </w:rPr>
        <w:t xml:space="preserve"> </w:t>
      </w:r>
      <w:r>
        <w:rPr>
          <w:rFonts w:ascii="Arial" w:hAnsi="Arial" w:eastAsia="Arial" w:cs="Arial"/>
          <w:spacing w:val="-7"/>
          <w:sz w:val="19"/>
          <w:szCs w:val="19"/>
        </w:rPr>
        <w:t>and</w:t>
      </w:r>
      <w:r>
        <w:rPr>
          <w:rFonts w:ascii="Arial" w:hAnsi="Arial" w:eastAsia="Arial" w:cs="Arial"/>
          <w:spacing w:val="21"/>
          <w:sz w:val="19"/>
          <w:szCs w:val="19"/>
        </w:rPr>
        <w:t xml:space="preserve"> </w:t>
      </w:r>
      <w:r>
        <w:rPr>
          <w:rFonts w:ascii="Arial" w:hAnsi="Arial" w:eastAsia="Arial" w:cs="Arial"/>
          <w:spacing w:val="-7"/>
          <w:sz w:val="19"/>
          <w:szCs w:val="19"/>
        </w:rPr>
        <w:t>trust</w:t>
      </w:r>
      <w:r>
        <w:rPr>
          <w:rFonts w:ascii="Arial" w:hAnsi="Arial" w:eastAsia="Arial" w:cs="Arial"/>
          <w:sz w:val="19"/>
          <w:szCs w:val="19"/>
        </w:rPr>
        <w:t xml:space="preserve"> </w:t>
      </w:r>
      <w:r>
        <w:rPr>
          <w:rFonts w:ascii="Arial" w:hAnsi="Arial" w:eastAsia="Arial" w:cs="Arial"/>
          <w:spacing w:val="-7"/>
          <w:sz w:val="19"/>
          <w:szCs w:val="19"/>
        </w:rPr>
        <w:t>were</w:t>
      </w:r>
      <w:r>
        <w:rPr>
          <w:rFonts w:ascii="Arial" w:hAnsi="Arial" w:eastAsia="Arial" w:cs="Arial"/>
          <w:spacing w:val="20"/>
          <w:sz w:val="19"/>
          <w:szCs w:val="19"/>
        </w:rPr>
        <w:t xml:space="preserve"> </w:t>
      </w:r>
      <w:r>
        <w:rPr>
          <w:rFonts w:ascii="Arial" w:hAnsi="Arial" w:eastAsia="Arial" w:cs="Arial"/>
          <w:spacing w:val="-7"/>
          <w:sz w:val="19"/>
          <w:szCs w:val="19"/>
        </w:rPr>
        <w:t>not</w:t>
      </w:r>
      <w:r>
        <w:rPr>
          <w:rFonts w:ascii="Arial" w:hAnsi="Arial" w:eastAsia="Arial" w:cs="Arial"/>
          <w:spacing w:val="14"/>
          <w:w w:val="101"/>
          <w:sz w:val="19"/>
          <w:szCs w:val="19"/>
        </w:rPr>
        <w:t xml:space="preserve"> </w:t>
      </w:r>
      <w:r>
        <w:rPr>
          <w:rFonts w:ascii="Arial" w:hAnsi="Arial" w:eastAsia="Arial" w:cs="Arial"/>
          <w:spacing w:val="-7"/>
          <w:sz w:val="19"/>
          <w:szCs w:val="19"/>
        </w:rPr>
        <w:t>considered</w:t>
      </w:r>
      <w:r>
        <w:rPr>
          <w:rFonts w:ascii="Arial" w:hAnsi="Arial" w:eastAsia="Arial" w:cs="Arial"/>
          <w:spacing w:val="21"/>
          <w:sz w:val="19"/>
          <w:szCs w:val="19"/>
        </w:rPr>
        <w:t xml:space="preserve"> </w:t>
      </w:r>
      <w:r>
        <w:rPr>
          <w:rFonts w:ascii="Arial" w:hAnsi="Arial" w:eastAsia="Arial" w:cs="Arial"/>
          <w:spacing w:val="-7"/>
          <w:sz w:val="19"/>
          <w:szCs w:val="19"/>
        </w:rPr>
        <w:t>in</w:t>
      </w:r>
      <w:r>
        <w:rPr>
          <w:rFonts w:ascii="Arial" w:hAnsi="Arial" w:eastAsia="Arial" w:cs="Arial"/>
          <w:spacing w:val="9"/>
          <w:sz w:val="19"/>
          <w:szCs w:val="19"/>
        </w:rPr>
        <w:t xml:space="preserve"> </w:t>
      </w:r>
      <w:r>
        <w:rPr>
          <w:rFonts w:ascii="Arial" w:hAnsi="Arial" w:eastAsia="Arial" w:cs="Arial"/>
          <w:spacing w:val="-7"/>
          <w:sz w:val="19"/>
          <w:szCs w:val="19"/>
        </w:rPr>
        <w:t>the</w:t>
      </w:r>
      <w:r>
        <w:rPr>
          <w:rFonts w:ascii="Arial" w:hAnsi="Arial" w:eastAsia="Arial" w:cs="Arial"/>
          <w:spacing w:val="15"/>
          <w:sz w:val="19"/>
          <w:szCs w:val="19"/>
        </w:rPr>
        <w:t xml:space="preserve"> </w:t>
      </w:r>
      <w:r>
        <w:rPr>
          <w:rFonts w:ascii="Arial" w:hAnsi="Arial" w:eastAsia="Arial" w:cs="Arial"/>
          <w:spacing w:val="-7"/>
          <w:sz w:val="19"/>
          <w:szCs w:val="19"/>
        </w:rPr>
        <w:t>scope</w:t>
      </w:r>
      <w:r>
        <w:rPr>
          <w:rFonts w:ascii="Arial" w:hAnsi="Arial" w:eastAsia="Arial" w:cs="Arial"/>
          <w:spacing w:val="15"/>
          <w:sz w:val="19"/>
          <w:szCs w:val="19"/>
        </w:rPr>
        <w:t xml:space="preserve"> </w:t>
      </w:r>
      <w:r>
        <w:rPr>
          <w:rFonts w:ascii="Arial" w:hAnsi="Arial" w:eastAsia="Arial" w:cs="Arial"/>
          <w:spacing w:val="-7"/>
          <w:sz w:val="19"/>
          <w:szCs w:val="19"/>
        </w:rPr>
        <w:t>of our</w:t>
      </w:r>
      <w:r>
        <w:rPr>
          <w:rFonts w:ascii="Arial" w:hAnsi="Arial" w:eastAsia="Arial" w:cs="Arial"/>
          <w:spacing w:val="13"/>
          <w:w w:val="101"/>
          <w:sz w:val="19"/>
          <w:szCs w:val="19"/>
        </w:rPr>
        <w:t xml:space="preserve"> </w:t>
      </w:r>
      <w:r>
        <w:rPr>
          <w:rFonts w:ascii="Arial" w:hAnsi="Arial" w:eastAsia="Arial" w:cs="Arial"/>
          <w:spacing w:val="-7"/>
          <w:sz w:val="19"/>
          <w:szCs w:val="19"/>
        </w:rPr>
        <w:t>analysis</w:t>
      </w:r>
      <w:r>
        <w:rPr>
          <w:rFonts w:ascii="Arial" w:hAnsi="Arial" w:eastAsia="Arial" w:cs="Arial"/>
          <w:spacing w:val="14"/>
          <w:w w:val="101"/>
          <w:sz w:val="19"/>
          <w:szCs w:val="19"/>
        </w:rPr>
        <w:t xml:space="preserve"> </w:t>
      </w:r>
      <w:r>
        <w:rPr>
          <w:rFonts w:ascii="Arial" w:hAnsi="Arial" w:eastAsia="Arial" w:cs="Arial"/>
          <w:spacing w:val="-7"/>
          <w:sz w:val="19"/>
          <w:szCs w:val="19"/>
        </w:rPr>
        <w:t>as</w:t>
      </w:r>
      <w:r>
        <w:rPr>
          <w:rFonts w:ascii="Arial" w:hAnsi="Arial" w:eastAsia="Arial" w:cs="Arial"/>
          <w:spacing w:val="10"/>
          <w:sz w:val="19"/>
          <w:szCs w:val="19"/>
        </w:rPr>
        <w:t xml:space="preserve"> </w:t>
      </w:r>
      <w:r>
        <w:rPr>
          <w:rFonts w:ascii="Arial" w:hAnsi="Arial" w:eastAsia="Arial" w:cs="Arial"/>
          <w:spacing w:val="-7"/>
          <w:sz w:val="19"/>
          <w:szCs w:val="19"/>
        </w:rPr>
        <w:t>these</w:t>
      </w:r>
      <w:r>
        <w:rPr>
          <w:rFonts w:ascii="Arial" w:hAnsi="Arial" w:eastAsia="Arial" w:cs="Arial"/>
          <w:spacing w:val="14"/>
          <w:w w:val="101"/>
          <w:sz w:val="19"/>
          <w:szCs w:val="19"/>
        </w:rPr>
        <w:t xml:space="preserve"> </w:t>
      </w:r>
      <w:r>
        <w:rPr>
          <w:rFonts w:ascii="Arial" w:hAnsi="Arial" w:eastAsia="Arial" w:cs="Arial"/>
          <w:spacing w:val="-7"/>
          <w:sz w:val="19"/>
          <w:szCs w:val="19"/>
        </w:rPr>
        <w:t>eleme</w:t>
      </w:r>
      <w:r>
        <w:rPr>
          <w:rFonts w:ascii="Arial" w:hAnsi="Arial" w:eastAsia="Arial" w:cs="Arial"/>
          <w:spacing w:val="-8"/>
          <w:sz w:val="19"/>
          <w:szCs w:val="19"/>
        </w:rPr>
        <w:t>nts</w:t>
      </w:r>
      <w:r>
        <w:rPr>
          <w:rFonts w:ascii="Arial" w:hAnsi="Arial" w:eastAsia="Arial" w:cs="Arial"/>
          <w:spacing w:val="12"/>
          <w:sz w:val="19"/>
          <w:szCs w:val="19"/>
        </w:rPr>
        <w:t xml:space="preserve"> </w:t>
      </w:r>
      <w:r>
        <w:rPr>
          <w:rFonts w:ascii="Arial" w:hAnsi="Arial" w:eastAsia="Arial" w:cs="Arial"/>
          <w:spacing w:val="-8"/>
          <w:sz w:val="19"/>
          <w:szCs w:val="19"/>
        </w:rPr>
        <w:t>are</w:t>
      </w:r>
      <w:r>
        <w:rPr>
          <w:rFonts w:ascii="Arial" w:hAnsi="Arial" w:eastAsia="Arial" w:cs="Arial"/>
          <w:spacing w:val="22"/>
          <w:sz w:val="19"/>
          <w:szCs w:val="19"/>
        </w:rPr>
        <w:t xml:space="preserve"> </w:t>
      </w:r>
      <w:r>
        <w:rPr>
          <w:rFonts w:ascii="Arial" w:hAnsi="Arial" w:eastAsia="Arial" w:cs="Arial"/>
          <w:spacing w:val="-8"/>
          <w:sz w:val="19"/>
          <w:szCs w:val="19"/>
        </w:rPr>
        <w:t>hypothesized</w:t>
      </w:r>
      <w:r>
        <w:rPr>
          <w:rFonts w:ascii="Arial" w:hAnsi="Arial" w:eastAsia="Arial" w:cs="Arial"/>
          <w:spacing w:val="9"/>
          <w:sz w:val="19"/>
          <w:szCs w:val="19"/>
        </w:rPr>
        <w:t xml:space="preserve"> </w:t>
      </w:r>
      <w:r>
        <w:rPr>
          <w:rFonts w:ascii="Arial" w:hAnsi="Arial" w:eastAsia="Arial" w:cs="Arial"/>
          <w:spacing w:val="-8"/>
          <w:sz w:val="19"/>
          <w:szCs w:val="19"/>
        </w:rPr>
        <w:t>to</w:t>
      </w:r>
      <w:r>
        <w:rPr>
          <w:rFonts w:ascii="Arial" w:hAnsi="Arial" w:eastAsia="Arial" w:cs="Arial"/>
          <w:spacing w:val="15"/>
          <w:w w:val="101"/>
          <w:sz w:val="19"/>
          <w:szCs w:val="19"/>
        </w:rPr>
        <w:t xml:space="preserve"> </w:t>
      </w:r>
      <w:r>
        <w:rPr>
          <w:rFonts w:ascii="Arial" w:hAnsi="Arial" w:eastAsia="Arial" w:cs="Arial"/>
          <w:spacing w:val="-8"/>
          <w:sz w:val="19"/>
          <w:szCs w:val="19"/>
        </w:rPr>
        <w:t>serve</w:t>
      </w:r>
      <w:r>
        <w:rPr>
          <w:rFonts w:ascii="Arial" w:hAnsi="Arial" w:eastAsia="Arial" w:cs="Arial"/>
          <w:spacing w:val="14"/>
          <w:sz w:val="19"/>
          <w:szCs w:val="19"/>
        </w:rPr>
        <w:t xml:space="preserve"> </w:t>
      </w:r>
      <w:r>
        <w:rPr>
          <w:rFonts w:ascii="Arial" w:hAnsi="Arial" w:eastAsia="Arial" w:cs="Arial"/>
          <w:spacing w:val="-8"/>
          <w:sz w:val="19"/>
          <w:szCs w:val="19"/>
        </w:rPr>
        <w:t>as</w:t>
      </w:r>
      <w:r>
        <w:rPr>
          <w:rFonts w:ascii="Arial" w:hAnsi="Arial" w:eastAsia="Arial" w:cs="Arial"/>
          <w:spacing w:val="12"/>
          <w:sz w:val="19"/>
          <w:szCs w:val="19"/>
        </w:rPr>
        <w:t xml:space="preserve"> </w:t>
      </w:r>
      <w:r>
        <w:rPr>
          <w:rFonts w:ascii="Arial" w:hAnsi="Arial" w:eastAsia="Arial" w:cs="Arial"/>
          <w:spacing w:val="-8"/>
          <w:sz w:val="19"/>
          <w:szCs w:val="19"/>
        </w:rPr>
        <w:t>a</w:t>
      </w:r>
      <w:r>
        <w:rPr>
          <w:rFonts w:ascii="Arial" w:hAnsi="Arial" w:eastAsia="Arial" w:cs="Arial"/>
          <w:sz w:val="19"/>
          <w:szCs w:val="19"/>
        </w:rPr>
        <w:t xml:space="preserve"> </w:t>
      </w:r>
      <w:r>
        <w:rPr>
          <w:rFonts w:ascii="Arial" w:hAnsi="Arial" w:eastAsia="Arial" w:cs="Arial"/>
          <w:spacing w:val="-4"/>
          <w:sz w:val="19"/>
          <w:szCs w:val="19"/>
        </w:rPr>
        <w:t>mutual</w:t>
      </w:r>
      <w:r>
        <w:rPr>
          <w:rFonts w:ascii="Arial" w:hAnsi="Arial" w:eastAsia="Arial" w:cs="Arial"/>
          <w:spacing w:val="34"/>
          <w:w w:val="101"/>
          <w:sz w:val="19"/>
          <w:szCs w:val="19"/>
        </w:rPr>
        <w:t xml:space="preserve"> </w:t>
      </w:r>
      <w:r>
        <w:rPr>
          <w:rFonts w:ascii="Arial" w:hAnsi="Arial" w:eastAsia="Arial" w:cs="Arial"/>
          <w:spacing w:val="-4"/>
          <w:sz w:val="19"/>
          <w:szCs w:val="19"/>
        </w:rPr>
        <w:t>basis</w:t>
      </w:r>
      <w:r>
        <w:rPr>
          <w:rFonts w:ascii="Arial" w:hAnsi="Arial" w:eastAsia="Arial" w:cs="Arial"/>
          <w:spacing w:val="23"/>
          <w:w w:val="101"/>
          <w:sz w:val="19"/>
          <w:szCs w:val="19"/>
        </w:rPr>
        <w:t xml:space="preserve"> </w:t>
      </w:r>
      <w:r>
        <w:rPr>
          <w:rFonts w:ascii="Arial" w:hAnsi="Arial" w:eastAsia="Arial" w:cs="Arial"/>
          <w:spacing w:val="-4"/>
          <w:sz w:val="19"/>
          <w:szCs w:val="19"/>
        </w:rPr>
        <w:t>for</w:t>
      </w:r>
      <w:r>
        <w:rPr>
          <w:rFonts w:ascii="Arial" w:hAnsi="Arial" w:eastAsia="Arial" w:cs="Arial"/>
          <w:spacing w:val="28"/>
          <w:w w:val="101"/>
          <w:sz w:val="19"/>
          <w:szCs w:val="19"/>
        </w:rPr>
        <w:t xml:space="preserve"> </w:t>
      </w:r>
      <w:r>
        <w:rPr>
          <w:rFonts w:ascii="Arial" w:hAnsi="Arial" w:eastAsia="Arial" w:cs="Arial"/>
          <w:spacing w:val="-4"/>
          <w:sz w:val="19"/>
          <w:szCs w:val="19"/>
        </w:rPr>
        <w:t>developing</w:t>
      </w:r>
      <w:r>
        <w:rPr>
          <w:rFonts w:ascii="Arial" w:hAnsi="Arial" w:eastAsia="Arial" w:cs="Arial"/>
          <w:spacing w:val="26"/>
          <w:w w:val="101"/>
          <w:sz w:val="19"/>
          <w:szCs w:val="19"/>
        </w:rPr>
        <w:t xml:space="preserve"> </w:t>
      </w:r>
      <w:r>
        <w:rPr>
          <w:rFonts w:ascii="Arial" w:hAnsi="Arial" w:eastAsia="Arial" w:cs="Arial"/>
          <w:spacing w:val="-4"/>
          <w:sz w:val="19"/>
          <w:szCs w:val="19"/>
        </w:rPr>
        <w:t>a</w:t>
      </w:r>
      <w:r>
        <w:rPr>
          <w:rFonts w:ascii="Arial" w:hAnsi="Arial" w:eastAsia="Arial" w:cs="Arial"/>
          <w:spacing w:val="27"/>
          <w:w w:val="101"/>
          <w:sz w:val="19"/>
          <w:szCs w:val="19"/>
        </w:rPr>
        <w:t xml:space="preserve"> </w:t>
      </w:r>
      <w:r>
        <w:rPr>
          <w:rFonts w:ascii="Arial" w:hAnsi="Arial" w:eastAsia="Arial" w:cs="Arial"/>
          <w:spacing w:val="-4"/>
          <w:sz w:val="19"/>
          <w:szCs w:val="19"/>
        </w:rPr>
        <w:t>quality</w:t>
      </w:r>
      <w:r>
        <w:rPr>
          <w:rFonts w:ascii="Arial" w:hAnsi="Arial" w:eastAsia="Arial" w:cs="Arial"/>
          <w:spacing w:val="27"/>
          <w:w w:val="101"/>
          <w:sz w:val="19"/>
          <w:szCs w:val="19"/>
        </w:rPr>
        <w:t xml:space="preserve"> </w:t>
      </w:r>
      <w:r>
        <w:rPr>
          <w:rFonts w:ascii="Arial" w:hAnsi="Arial" w:eastAsia="Arial" w:cs="Arial"/>
          <w:spacing w:val="-4"/>
          <w:sz w:val="19"/>
          <w:szCs w:val="19"/>
        </w:rPr>
        <w:t>culture</w:t>
      </w:r>
      <w:r>
        <w:rPr>
          <w:rFonts w:ascii="Arial" w:hAnsi="Arial" w:eastAsia="Arial" w:cs="Arial"/>
          <w:spacing w:val="34"/>
          <w:w w:val="101"/>
          <w:sz w:val="19"/>
          <w:szCs w:val="19"/>
        </w:rPr>
        <w:t xml:space="preserve"> </w:t>
      </w:r>
      <w:r>
        <w:rPr>
          <w:rFonts w:ascii="Arial" w:hAnsi="Arial" w:eastAsia="Arial" w:cs="Arial"/>
          <w:spacing w:val="-4"/>
          <w:sz w:val="19"/>
          <w:szCs w:val="19"/>
        </w:rPr>
        <w:t>rather</w:t>
      </w:r>
      <w:r>
        <w:rPr>
          <w:rFonts w:ascii="Arial" w:hAnsi="Arial" w:eastAsia="Arial" w:cs="Arial"/>
          <w:spacing w:val="23"/>
          <w:w w:val="101"/>
          <w:sz w:val="19"/>
          <w:szCs w:val="19"/>
        </w:rPr>
        <w:t xml:space="preserve"> </w:t>
      </w:r>
      <w:r>
        <w:rPr>
          <w:rFonts w:ascii="Arial" w:hAnsi="Arial" w:eastAsia="Arial" w:cs="Arial"/>
          <w:spacing w:val="-4"/>
          <w:sz w:val="19"/>
          <w:szCs w:val="19"/>
        </w:rPr>
        <w:t>than</w:t>
      </w:r>
      <w:r>
        <w:rPr>
          <w:rFonts w:ascii="Arial" w:hAnsi="Arial" w:eastAsia="Arial" w:cs="Arial"/>
          <w:spacing w:val="33"/>
          <w:w w:val="101"/>
          <w:sz w:val="19"/>
          <w:szCs w:val="19"/>
        </w:rPr>
        <w:t xml:space="preserve"> </w:t>
      </w:r>
      <w:r>
        <w:rPr>
          <w:rFonts w:ascii="Arial" w:hAnsi="Arial" w:eastAsia="Arial" w:cs="Arial"/>
          <w:spacing w:val="-4"/>
          <w:sz w:val="19"/>
          <w:szCs w:val="19"/>
        </w:rPr>
        <w:t>being</w:t>
      </w:r>
      <w:r>
        <w:rPr>
          <w:rFonts w:ascii="Arial" w:hAnsi="Arial" w:eastAsia="Arial" w:cs="Arial"/>
          <w:spacing w:val="33"/>
          <w:w w:val="101"/>
          <w:sz w:val="19"/>
          <w:szCs w:val="19"/>
        </w:rPr>
        <w:t xml:space="preserve"> </w:t>
      </w:r>
      <w:r>
        <w:rPr>
          <w:rFonts w:ascii="Arial" w:hAnsi="Arial" w:eastAsia="Arial" w:cs="Arial"/>
          <w:spacing w:val="-4"/>
          <w:sz w:val="19"/>
          <w:szCs w:val="19"/>
        </w:rPr>
        <w:t>part</w:t>
      </w:r>
      <w:r>
        <w:rPr>
          <w:rFonts w:ascii="Arial" w:hAnsi="Arial" w:eastAsia="Arial" w:cs="Arial"/>
          <w:spacing w:val="29"/>
          <w:sz w:val="19"/>
          <w:szCs w:val="19"/>
        </w:rPr>
        <w:t xml:space="preserve"> </w:t>
      </w:r>
      <w:r>
        <w:rPr>
          <w:rFonts w:ascii="Arial" w:hAnsi="Arial" w:eastAsia="Arial" w:cs="Arial"/>
          <w:spacing w:val="-4"/>
          <w:sz w:val="19"/>
          <w:szCs w:val="19"/>
        </w:rPr>
        <w:t>of</w:t>
      </w:r>
      <w:r>
        <w:rPr>
          <w:rFonts w:ascii="Arial" w:hAnsi="Arial" w:eastAsia="Arial" w:cs="Arial"/>
          <w:spacing w:val="16"/>
          <w:sz w:val="19"/>
          <w:szCs w:val="19"/>
        </w:rPr>
        <w:t xml:space="preserve"> </w:t>
      </w:r>
      <w:r>
        <w:rPr>
          <w:rFonts w:ascii="Arial" w:hAnsi="Arial" w:eastAsia="Arial" w:cs="Arial"/>
          <w:spacing w:val="-4"/>
          <w:sz w:val="19"/>
          <w:szCs w:val="19"/>
        </w:rPr>
        <w:t>the</w:t>
      </w:r>
      <w:r>
        <w:rPr>
          <w:rFonts w:ascii="Arial" w:hAnsi="Arial" w:eastAsia="Arial" w:cs="Arial"/>
          <w:spacing w:val="27"/>
          <w:w w:val="101"/>
          <w:sz w:val="19"/>
          <w:szCs w:val="19"/>
        </w:rPr>
        <w:t xml:space="preserve"> </w:t>
      </w:r>
      <w:r>
        <w:rPr>
          <w:rFonts w:ascii="Arial" w:hAnsi="Arial" w:eastAsia="Arial" w:cs="Arial"/>
          <w:spacing w:val="-4"/>
          <w:sz w:val="19"/>
          <w:szCs w:val="19"/>
        </w:rPr>
        <w:t>a</w:t>
      </w:r>
      <w:r>
        <w:rPr>
          <w:rFonts w:ascii="Arial" w:hAnsi="Arial" w:eastAsia="Arial" w:cs="Arial"/>
          <w:spacing w:val="-5"/>
          <w:sz w:val="19"/>
          <w:szCs w:val="19"/>
        </w:rPr>
        <w:t>ctive</w:t>
      </w:r>
      <w:r>
        <w:rPr>
          <w:rFonts w:ascii="Arial" w:hAnsi="Arial" w:eastAsia="Arial" w:cs="Arial"/>
          <w:spacing w:val="27"/>
          <w:sz w:val="19"/>
          <w:szCs w:val="19"/>
        </w:rPr>
        <w:t xml:space="preserve"> </w:t>
      </w:r>
      <w:r>
        <w:rPr>
          <w:rFonts w:ascii="Arial" w:hAnsi="Arial" w:eastAsia="Arial" w:cs="Arial"/>
          <w:spacing w:val="-5"/>
          <w:sz w:val="19"/>
          <w:szCs w:val="19"/>
        </w:rPr>
        <w:t>quality</w:t>
      </w:r>
      <w:r>
        <w:rPr>
          <w:rFonts w:ascii="Arial" w:hAnsi="Arial" w:eastAsia="Arial" w:cs="Arial"/>
          <w:spacing w:val="27"/>
          <w:sz w:val="19"/>
          <w:szCs w:val="19"/>
        </w:rPr>
        <w:t xml:space="preserve"> </w:t>
      </w:r>
      <w:r>
        <w:rPr>
          <w:rFonts w:ascii="Arial" w:hAnsi="Arial" w:eastAsia="Arial" w:cs="Arial"/>
          <w:spacing w:val="-5"/>
          <w:sz w:val="19"/>
          <w:szCs w:val="19"/>
        </w:rPr>
        <w:t>culture</w:t>
      </w:r>
      <w:r>
        <w:rPr>
          <w:rFonts w:ascii="Arial" w:hAnsi="Arial" w:eastAsia="Arial" w:cs="Arial"/>
          <w:sz w:val="19"/>
          <w:szCs w:val="19"/>
        </w:rPr>
        <w:t xml:space="preserve"> </w:t>
      </w:r>
      <w:r>
        <w:rPr>
          <w:rFonts w:ascii="Arial" w:hAnsi="Arial" w:eastAsia="Arial" w:cs="Arial"/>
          <w:spacing w:val="-6"/>
          <w:sz w:val="19"/>
          <w:szCs w:val="19"/>
        </w:rPr>
        <w:t xml:space="preserve">itself (cf. </w:t>
      </w:r>
      <w:r>
        <w:fldChar w:fldCharType="begin"/>
      </w:r>
      <w:r>
        <w:instrText xml:space="preserve"> HYPERLINK \l "bookmark50" </w:instrText>
      </w:r>
      <w:r>
        <w:fldChar w:fldCharType="separate"/>
      </w:r>
      <w:r>
        <w:rPr>
          <w:rFonts w:ascii="Arial" w:hAnsi="Arial" w:eastAsia="Arial" w:cs="Arial"/>
          <w:color w:val="000084"/>
          <w:spacing w:val="-6"/>
          <w:sz w:val="19"/>
          <w:szCs w:val="19"/>
        </w:rPr>
        <w:t>Figure</w:t>
      </w:r>
      <w:r>
        <w:rPr>
          <w:rFonts w:ascii="Arial" w:hAnsi="Arial" w:eastAsia="Arial" w:cs="Arial"/>
          <w:color w:val="000084"/>
          <w:spacing w:val="20"/>
          <w:sz w:val="19"/>
          <w:szCs w:val="19"/>
        </w:rPr>
        <w:t xml:space="preserve"> </w:t>
      </w:r>
      <w:r>
        <w:rPr>
          <w:rFonts w:ascii="Arial" w:hAnsi="Arial" w:eastAsia="Arial" w:cs="Arial"/>
          <w:color w:val="000084"/>
          <w:spacing w:val="-6"/>
          <w:sz w:val="19"/>
          <w:szCs w:val="19"/>
        </w:rPr>
        <w:t>1</w:t>
      </w:r>
      <w:r>
        <w:rPr>
          <w:rFonts w:ascii="Arial" w:hAnsi="Arial" w:eastAsia="Arial" w:cs="Arial"/>
          <w:color w:val="000084"/>
          <w:spacing w:val="-6"/>
          <w:sz w:val="19"/>
          <w:szCs w:val="19"/>
        </w:rPr>
        <w:fldChar w:fldCharType="end"/>
      </w:r>
      <w:r>
        <w:rPr>
          <w:rFonts w:ascii="Arial" w:hAnsi="Arial" w:eastAsia="Arial" w:cs="Arial"/>
          <w:spacing w:val="-6"/>
          <w:sz w:val="19"/>
          <w:szCs w:val="19"/>
        </w:rPr>
        <w:t>). A</w:t>
      </w:r>
      <w:r>
        <w:rPr>
          <w:rFonts w:ascii="Arial" w:hAnsi="Arial" w:eastAsia="Arial" w:cs="Arial"/>
          <w:spacing w:val="12"/>
          <w:sz w:val="19"/>
          <w:szCs w:val="19"/>
        </w:rPr>
        <w:t xml:space="preserve"> </w:t>
      </w:r>
      <w:r>
        <w:rPr>
          <w:rFonts w:ascii="Arial" w:hAnsi="Arial" w:eastAsia="Arial" w:cs="Arial"/>
          <w:spacing w:val="-6"/>
          <w:sz w:val="19"/>
          <w:szCs w:val="19"/>
        </w:rPr>
        <w:t>principal component analysis</w:t>
      </w:r>
      <w:r>
        <w:rPr>
          <w:rFonts w:ascii="Arial" w:hAnsi="Arial" w:eastAsia="Arial" w:cs="Arial"/>
          <w:spacing w:val="11"/>
          <w:sz w:val="19"/>
          <w:szCs w:val="19"/>
        </w:rPr>
        <w:t xml:space="preserve"> </w:t>
      </w:r>
      <w:r>
        <w:rPr>
          <w:rFonts w:ascii="Arial" w:hAnsi="Arial" w:eastAsia="Arial" w:cs="Arial"/>
          <w:spacing w:val="-6"/>
          <w:sz w:val="19"/>
          <w:szCs w:val="19"/>
        </w:rPr>
        <w:t>(PCA)</w:t>
      </w:r>
      <w:r>
        <w:rPr>
          <w:rFonts w:ascii="Arial" w:hAnsi="Arial" w:eastAsia="Arial" w:cs="Arial"/>
          <w:spacing w:val="4"/>
          <w:sz w:val="19"/>
          <w:szCs w:val="19"/>
        </w:rPr>
        <w:t xml:space="preserve"> </w:t>
      </w:r>
      <w:r>
        <w:rPr>
          <w:rFonts w:ascii="Arial" w:hAnsi="Arial" w:eastAsia="Arial" w:cs="Arial"/>
          <w:spacing w:val="-6"/>
          <w:sz w:val="19"/>
          <w:szCs w:val="19"/>
        </w:rPr>
        <w:t>with</w:t>
      </w:r>
      <w:r>
        <w:rPr>
          <w:rFonts w:ascii="Arial" w:hAnsi="Arial" w:eastAsia="Arial" w:cs="Arial"/>
          <w:spacing w:val="3"/>
          <w:sz w:val="19"/>
          <w:szCs w:val="19"/>
        </w:rPr>
        <w:t xml:space="preserve"> </w:t>
      </w:r>
      <w:r>
        <w:rPr>
          <w:rFonts w:ascii="Arial" w:hAnsi="Arial" w:eastAsia="Arial" w:cs="Arial"/>
          <w:spacing w:val="-6"/>
          <w:sz w:val="19"/>
          <w:szCs w:val="19"/>
        </w:rPr>
        <w:t>vari</w:t>
      </w:r>
      <w:r>
        <w:rPr>
          <w:rFonts w:ascii="Arial" w:hAnsi="Arial" w:eastAsia="Arial" w:cs="Arial"/>
          <w:spacing w:val="-7"/>
          <w:sz w:val="19"/>
          <w:szCs w:val="19"/>
        </w:rPr>
        <w:t>max</w:t>
      </w:r>
      <w:r>
        <w:rPr>
          <w:rFonts w:ascii="Arial" w:hAnsi="Arial" w:eastAsia="Arial" w:cs="Arial"/>
          <w:spacing w:val="13"/>
          <w:w w:val="101"/>
          <w:sz w:val="19"/>
          <w:szCs w:val="19"/>
        </w:rPr>
        <w:t xml:space="preserve"> </w:t>
      </w:r>
      <w:r>
        <w:rPr>
          <w:rFonts w:ascii="Arial" w:hAnsi="Arial" w:eastAsia="Arial" w:cs="Arial"/>
          <w:spacing w:val="-7"/>
          <w:sz w:val="19"/>
          <w:szCs w:val="19"/>
        </w:rPr>
        <w:t>rotation</w:t>
      </w:r>
      <w:r>
        <w:rPr>
          <w:rFonts w:ascii="Arial" w:hAnsi="Arial" w:eastAsia="Arial" w:cs="Arial"/>
          <w:spacing w:val="7"/>
          <w:sz w:val="19"/>
          <w:szCs w:val="19"/>
        </w:rPr>
        <w:t xml:space="preserve"> </w:t>
      </w:r>
      <w:r>
        <w:rPr>
          <w:rFonts w:ascii="Arial" w:hAnsi="Arial" w:eastAsia="Arial" w:cs="Arial"/>
          <w:spacing w:val="-7"/>
          <w:sz w:val="19"/>
          <w:szCs w:val="19"/>
        </w:rPr>
        <w:t>served</w:t>
      </w:r>
      <w:r>
        <w:rPr>
          <w:rFonts w:ascii="Arial" w:hAnsi="Arial" w:eastAsia="Arial" w:cs="Arial"/>
          <w:spacing w:val="7"/>
          <w:sz w:val="19"/>
          <w:szCs w:val="19"/>
        </w:rPr>
        <w:t xml:space="preserve"> </w:t>
      </w:r>
      <w:r>
        <w:rPr>
          <w:rFonts w:ascii="Arial" w:hAnsi="Arial" w:eastAsia="Arial" w:cs="Arial"/>
          <w:spacing w:val="-7"/>
          <w:sz w:val="19"/>
          <w:szCs w:val="19"/>
        </w:rPr>
        <w:t>as</w:t>
      </w:r>
      <w:r>
        <w:rPr>
          <w:rFonts w:ascii="Arial" w:hAnsi="Arial" w:eastAsia="Arial" w:cs="Arial"/>
          <w:spacing w:val="3"/>
          <w:sz w:val="19"/>
          <w:szCs w:val="19"/>
        </w:rPr>
        <w:t xml:space="preserve"> </w:t>
      </w:r>
      <w:r>
        <w:rPr>
          <w:rFonts w:ascii="Arial" w:hAnsi="Arial" w:eastAsia="Arial" w:cs="Arial"/>
          <w:spacing w:val="-7"/>
          <w:sz w:val="19"/>
          <w:szCs w:val="19"/>
        </w:rPr>
        <w:t>the</w:t>
      </w:r>
      <w:r>
        <w:rPr>
          <w:rFonts w:ascii="Arial" w:hAnsi="Arial" w:eastAsia="Arial" w:cs="Arial"/>
          <w:spacing w:val="8"/>
          <w:sz w:val="19"/>
          <w:szCs w:val="19"/>
        </w:rPr>
        <w:t xml:space="preserve"> </w:t>
      </w:r>
      <w:r>
        <w:rPr>
          <w:rFonts w:ascii="Arial" w:hAnsi="Arial" w:eastAsia="Arial" w:cs="Arial"/>
          <w:spacing w:val="-7"/>
          <w:sz w:val="19"/>
          <w:szCs w:val="19"/>
        </w:rPr>
        <w:t>extrac-</w:t>
      </w:r>
      <w:r>
        <w:rPr>
          <w:rFonts w:ascii="Arial" w:hAnsi="Arial" w:eastAsia="Arial" w:cs="Arial"/>
          <w:sz w:val="19"/>
          <w:szCs w:val="19"/>
        </w:rPr>
        <w:t xml:space="preserve"> </w:t>
      </w:r>
      <w:r>
        <w:rPr>
          <w:rFonts w:ascii="Arial" w:hAnsi="Arial" w:eastAsia="Arial" w:cs="Arial"/>
          <w:spacing w:val="-4"/>
          <w:sz w:val="19"/>
          <w:szCs w:val="19"/>
        </w:rPr>
        <w:t>tion method. We conducted an iterative process to reach the inal</w:t>
      </w:r>
      <w:r>
        <w:rPr>
          <w:rFonts w:ascii="Arial" w:hAnsi="Arial" w:eastAsia="Arial" w:cs="Arial"/>
          <w:spacing w:val="-5"/>
          <w:sz w:val="19"/>
          <w:szCs w:val="19"/>
        </w:rPr>
        <w:t xml:space="preserve"> factor structure solution: Items that</w:t>
      </w:r>
    </w:p>
    <w:p>
      <w:pPr>
        <w:spacing w:line="261" w:lineRule="auto"/>
        <w:rPr>
          <w:rFonts w:ascii="Arial" w:hAnsi="Arial" w:eastAsia="Arial" w:cs="Arial"/>
          <w:sz w:val="19"/>
          <w:szCs w:val="19"/>
        </w:rPr>
        <w:sectPr>
          <w:pgSz w:w="9865" w:h="14060"/>
          <w:pgMar w:top="400" w:right="953" w:bottom="400" w:left="960" w:header="0" w:footer="0" w:gutter="0"/>
          <w:cols w:space="720" w:num="1"/>
        </w:sectPr>
      </w:pPr>
    </w:p>
    <w:p>
      <w:pPr>
        <w:spacing w:before="103"/>
        <w:jc w:val="right"/>
        <w:rPr>
          <w:rFonts w:ascii="Arial" w:hAnsi="Arial" w:eastAsia="Arial" w:cs="Arial"/>
          <w:sz w:val="14"/>
          <w:szCs w:val="14"/>
        </w:rPr>
      </w:pPr>
      <w:r>
        <w:rPr>
          <w:rFonts w:ascii="Arial" w:hAnsi="Arial" w:eastAsia="Arial" w:cs="Arial"/>
          <w:spacing w:val="-9"/>
          <w:sz w:val="14"/>
          <w:szCs w:val="14"/>
        </w:rPr>
        <w:t>S</w:t>
      </w:r>
      <w:r>
        <w:rPr>
          <w:rFonts w:ascii="Arial" w:hAnsi="Arial" w:eastAsia="Arial" w:cs="Arial"/>
          <w:spacing w:val="-8"/>
          <w:sz w:val="14"/>
          <w:szCs w:val="14"/>
        </w:rPr>
        <w:t>TUDIES</w:t>
      </w:r>
      <w:r>
        <w:rPr>
          <w:rFonts w:ascii="Arial" w:hAnsi="Arial" w:eastAsia="Arial" w:cs="Arial"/>
          <w:spacing w:val="20"/>
          <w:w w:val="101"/>
          <w:sz w:val="14"/>
          <w:szCs w:val="14"/>
        </w:rPr>
        <w:t xml:space="preserve"> </w:t>
      </w:r>
      <w:r>
        <w:rPr>
          <w:rFonts w:ascii="Arial" w:hAnsi="Arial" w:eastAsia="Arial" w:cs="Arial"/>
          <w:spacing w:val="-8"/>
          <w:sz w:val="14"/>
          <w:szCs w:val="14"/>
        </w:rPr>
        <w:t>IN</w:t>
      </w:r>
      <w:r>
        <w:rPr>
          <w:rFonts w:ascii="Arial" w:hAnsi="Arial" w:eastAsia="Arial" w:cs="Arial"/>
          <w:spacing w:val="11"/>
          <w:sz w:val="14"/>
          <w:szCs w:val="14"/>
        </w:rPr>
        <w:t xml:space="preserve"> </w:t>
      </w:r>
      <w:r>
        <w:rPr>
          <w:rFonts w:ascii="Arial" w:hAnsi="Arial" w:eastAsia="Arial" w:cs="Arial"/>
          <w:spacing w:val="-8"/>
          <w:sz w:val="14"/>
          <w:szCs w:val="14"/>
        </w:rPr>
        <w:t>HIGHER</w:t>
      </w:r>
      <w:r>
        <w:rPr>
          <w:rFonts w:ascii="Arial" w:hAnsi="Arial" w:eastAsia="Arial" w:cs="Arial"/>
          <w:spacing w:val="11"/>
          <w:sz w:val="14"/>
          <w:szCs w:val="14"/>
        </w:rPr>
        <w:t xml:space="preserve"> </w:t>
      </w:r>
      <w:r>
        <w:rPr>
          <w:rFonts w:ascii="Arial" w:hAnsi="Arial" w:eastAsia="Arial" w:cs="Arial"/>
          <w:spacing w:val="-8"/>
          <w:sz w:val="14"/>
          <w:szCs w:val="14"/>
        </w:rPr>
        <w:t xml:space="preserve">EDUCATION    </w:t>
      </w:r>
      <w:r>
        <w:rPr>
          <w:position w:val="-6"/>
          <w:sz w:val="14"/>
          <w:szCs w:val="14"/>
        </w:rPr>
        <w:drawing>
          <wp:inline distT="0" distB="0" distL="0" distR="0">
            <wp:extent cx="139700" cy="13970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39"/>
                    <a:stretch>
                      <a:fillRect/>
                    </a:stretch>
                  </pic:blipFill>
                  <pic:spPr>
                    <a:xfrm>
                      <a:off x="0" y="0"/>
                      <a:ext cx="139700" cy="139700"/>
                    </a:xfrm>
                    <a:prstGeom prst="rect">
                      <a:avLst/>
                    </a:prstGeom>
                  </pic:spPr>
                </pic:pic>
              </a:graphicData>
            </a:graphic>
          </wp:inline>
        </w:drawing>
      </w:r>
      <w:r>
        <w:rPr>
          <w:rFonts w:ascii="Arial" w:hAnsi="Arial" w:eastAsia="Arial" w:cs="Arial"/>
          <w:sz w:val="14"/>
          <w:szCs w:val="14"/>
        </w:rPr>
        <w:t xml:space="preserve">    </w:t>
      </w:r>
      <w:r>
        <w:rPr>
          <w:rFonts w:ascii="Arial" w:hAnsi="Arial" w:eastAsia="Arial" w:cs="Arial"/>
          <w:spacing w:val="-7"/>
          <w:sz w:val="14"/>
          <w:szCs w:val="14"/>
        </w:rPr>
        <w:t>9</w:t>
      </w:r>
    </w:p>
    <w:p>
      <w:pPr>
        <w:spacing w:line="294" w:lineRule="auto"/>
        <w:rPr>
          <w:rFonts w:ascii="Arial"/>
          <w:sz w:val="21"/>
        </w:rPr>
      </w:pPr>
    </w:p>
    <w:p>
      <w:pPr>
        <w:spacing w:before="43" w:line="203" w:lineRule="auto"/>
        <w:ind w:left="6"/>
        <w:rPr>
          <w:rFonts w:ascii="Arial" w:hAnsi="Arial" w:eastAsia="Arial" w:cs="Arial"/>
          <w:sz w:val="15"/>
          <w:szCs w:val="15"/>
        </w:rPr>
      </w:pPr>
      <w:bookmarkStart w:id="9" w:name="bookmark85"/>
      <w:bookmarkEnd w:id="9"/>
      <w:r>
        <w:rPr>
          <w:rFonts w:ascii="Arial" w:hAnsi="Arial" w:eastAsia="Arial" w:cs="Arial"/>
          <w:color w:val="282781"/>
          <w:spacing w:val="-7"/>
          <w:sz w:val="15"/>
          <w:szCs w:val="15"/>
        </w:rPr>
        <w:t>Table</w:t>
      </w:r>
      <w:r>
        <w:rPr>
          <w:rFonts w:ascii="Arial" w:hAnsi="Arial" w:eastAsia="Arial" w:cs="Arial"/>
          <w:color w:val="282781"/>
          <w:spacing w:val="19"/>
          <w:sz w:val="15"/>
          <w:szCs w:val="15"/>
        </w:rPr>
        <w:t xml:space="preserve"> </w:t>
      </w:r>
      <w:r>
        <w:rPr>
          <w:rFonts w:ascii="Arial" w:hAnsi="Arial" w:eastAsia="Arial" w:cs="Arial"/>
          <w:color w:val="282781"/>
          <w:spacing w:val="-7"/>
          <w:sz w:val="15"/>
          <w:szCs w:val="15"/>
        </w:rPr>
        <w:t>3.</w:t>
      </w:r>
      <w:r>
        <w:rPr>
          <w:rFonts w:ascii="Arial" w:hAnsi="Arial" w:eastAsia="Arial" w:cs="Arial"/>
          <w:color w:val="282781"/>
          <w:spacing w:val="13"/>
          <w:sz w:val="15"/>
          <w:szCs w:val="15"/>
        </w:rPr>
        <w:t xml:space="preserve"> </w:t>
      </w:r>
      <w:r>
        <w:rPr>
          <w:rFonts w:ascii="Arial" w:hAnsi="Arial" w:eastAsia="Arial" w:cs="Arial"/>
          <w:spacing w:val="-7"/>
          <w:sz w:val="15"/>
          <w:szCs w:val="15"/>
        </w:rPr>
        <w:t>Sample</w:t>
      </w:r>
      <w:r>
        <w:rPr>
          <w:rFonts w:ascii="Arial" w:hAnsi="Arial" w:eastAsia="Arial" w:cs="Arial"/>
          <w:spacing w:val="11"/>
          <w:w w:val="101"/>
          <w:sz w:val="15"/>
          <w:szCs w:val="15"/>
        </w:rPr>
        <w:t xml:space="preserve"> </w:t>
      </w:r>
      <w:r>
        <w:rPr>
          <w:rFonts w:ascii="Arial" w:hAnsi="Arial" w:eastAsia="Arial" w:cs="Arial"/>
          <w:spacing w:val="-7"/>
          <w:sz w:val="15"/>
          <w:szCs w:val="15"/>
        </w:rPr>
        <w:t>characteristics.</w:t>
      </w:r>
    </w:p>
    <w:p>
      <w:pPr>
        <w:spacing w:line="26" w:lineRule="exact"/>
      </w:pPr>
    </w:p>
    <w:tbl>
      <w:tblPr>
        <w:tblStyle w:val="5"/>
        <w:tblW w:w="794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985"/>
        <w:gridCol w:w="1613"/>
        <w:gridCol w:w="1615"/>
        <w:gridCol w:w="1541"/>
        <w:gridCol w:w="119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9" w:hRule="atLeast"/>
        </w:trPr>
        <w:tc>
          <w:tcPr>
            <w:tcW w:w="1985" w:type="dxa"/>
            <w:tcBorders>
              <w:top w:val="single" w:color="282781" w:sz="4" w:space="0"/>
              <w:bottom w:val="single" w:color="282781" w:sz="4" w:space="0"/>
            </w:tcBorders>
            <w:vAlign w:val="top"/>
          </w:tcPr>
          <w:p>
            <w:pPr>
              <w:spacing w:before="62" w:line="181" w:lineRule="auto"/>
              <w:ind w:left="15"/>
              <w:rPr>
                <w:rFonts w:ascii="Arial" w:hAnsi="Arial" w:eastAsia="Arial" w:cs="Arial"/>
                <w:sz w:val="15"/>
                <w:szCs w:val="15"/>
              </w:rPr>
            </w:pPr>
            <w:r>
              <w:rPr>
                <w:rFonts w:ascii="Arial" w:hAnsi="Arial" w:eastAsia="Arial" w:cs="Arial"/>
                <w:spacing w:val="-14"/>
                <w:sz w:val="15"/>
                <w:szCs w:val="15"/>
              </w:rPr>
              <w:t>N</w:t>
            </w:r>
            <w:r>
              <w:rPr>
                <w:rFonts w:ascii="Arial" w:hAnsi="Arial" w:eastAsia="Arial" w:cs="Arial"/>
                <w:spacing w:val="16"/>
                <w:sz w:val="15"/>
                <w:szCs w:val="15"/>
              </w:rPr>
              <w:t xml:space="preserve"> </w:t>
            </w:r>
            <w:r>
              <w:rPr>
                <w:rFonts w:ascii="Arial" w:hAnsi="Arial" w:eastAsia="Arial" w:cs="Arial"/>
                <w:spacing w:val="-14"/>
                <w:sz w:val="15"/>
                <w:szCs w:val="15"/>
              </w:rPr>
              <w:t>(%)</w:t>
            </w:r>
          </w:p>
        </w:tc>
        <w:tc>
          <w:tcPr>
            <w:tcW w:w="1613" w:type="dxa"/>
            <w:tcBorders>
              <w:top w:val="single" w:color="282781" w:sz="4" w:space="0"/>
              <w:bottom w:val="single" w:color="282781" w:sz="4" w:space="0"/>
            </w:tcBorders>
            <w:vAlign w:val="top"/>
          </w:tcPr>
          <w:p>
            <w:pPr>
              <w:spacing w:before="60" w:line="201" w:lineRule="auto"/>
              <w:ind w:left="655"/>
              <w:rPr>
                <w:rFonts w:ascii="Arial" w:hAnsi="Arial" w:eastAsia="Arial" w:cs="Arial"/>
                <w:sz w:val="15"/>
                <w:szCs w:val="15"/>
              </w:rPr>
            </w:pPr>
            <w:r>
              <w:rPr>
                <w:rFonts w:ascii="Arial" w:hAnsi="Arial" w:eastAsia="Arial" w:cs="Arial"/>
                <w:spacing w:val="-6"/>
                <w:sz w:val="15"/>
                <w:szCs w:val="15"/>
              </w:rPr>
              <w:t>Total</w:t>
            </w:r>
          </w:p>
        </w:tc>
        <w:tc>
          <w:tcPr>
            <w:tcW w:w="1615" w:type="dxa"/>
            <w:tcBorders>
              <w:top w:val="single" w:color="282781" w:sz="4" w:space="0"/>
              <w:bottom w:val="single" w:color="282781" w:sz="4" w:space="0"/>
            </w:tcBorders>
            <w:vAlign w:val="top"/>
          </w:tcPr>
          <w:p>
            <w:pPr>
              <w:spacing w:before="66" w:line="194" w:lineRule="auto"/>
              <w:ind w:left="652"/>
              <w:rPr>
                <w:rFonts w:ascii="Arial" w:hAnsi="Arial" w:eastAsia="Arial" w:cs="Arial"/>
                <w:sz w:val="15"/>
                <w:szCs w:val="15"/>
              </w:rPr>
            </w:pPr>
            <w:r>
              <w:rPr>
                <w:rFonts w:ascii="Arial" w:hAnsi="Arial" w:eastAsia="Arial" w:cs="Arial"/>
                <w:spacing w:val="-16"/>
                <w:sz w:val="15"/>
                <w:szCs w:val="15"/>
              </w:rPr>
              <w:t>HEI</w:t>
            </w:r>
            <w:r>
              <w:rPr>
                <w:rFonts w:ascii="Arial" w:hAnsi="Arial" w:eastAsia="Arial" w:cs="Arial"/>
                <w:spacing w:val="13"/>
                <w:sz w:val="15"/>
                <w:szCs w:val="15"/>
              </w:rPr>
              <w:t xml:space="preserve"> </w:t>
            </w:r>
            <w:r>
              <w:rPr>
                <w:rFonts w:ascii="Arial" w:hAnsi="Arial" w:eastAsia="Arial" w:cs="Arial"/>
                <w:spacing w:val="-16"/>
                <w:sz w:val="15"/>
                <w:szCs w:val="15"/>
              </w:rPr>
              <w:t>A</w:t>
            </w:r>
          </w:p>
        </w:tc>
        <w:tc>
          <w:tcPr>
            <w:tcW w:w="1541" w:type="dxa"/>
            <w:tcBorders>
              <w:top w:val="single" w:color="282781" w:sz="4" w:space="0"/>
              <w:bottom w:val="single" w:color="282781" w:sz="4" w:space="0"/>
            </w:tcBorders>
            <w:vAlign w:val="top"/>
          </w:tcPr>
          <w:p>
            <w:pPr>
              <w:spacing w:before="65" w:line="196" w:lineRule="auto"/>
              <w:ind w:left="621"/>
              <w:rPr>
                <w:rFonts w:ascii="Arial" w:hAnsi="Arial" w:eastAsia="Arial" w:cs="Arial"/>
                <w:sz w:val="15"/>
                <w:szCs w:val="15"/>
              </w:rPr>
            </w:pPr>
            <w:r>
              <w:rPr>
                <w:rFonts w:ascii="Arial" w:hAnsi="Arial" w:eastAsia="Arial" w:cs="Arial"/>
                <w:spacing w:val="-16"/>
                <w:sz w:val="15"/>
                <w:szCs w:val="15"/>
              </w:rPr>
              <w:t>HEI</w:t>
            </w:r>
            <w:r>
              <w:rPr>
                <w:rFonts w:ascii="Arial" w:hAnsi="Arial" w:eastAsia="Arial" w:cs="Arial"/>
                <w:spacing w:val="19"/>
                <w:w w:val="101"/>
                <w:sz w:val="15"/>
                <w:szCs w:val="15"/>
              </w:rPr>
              <w:t xml:space="preserve"> </w:t>
            </w:r>
            <w:r>
              <w:rPr>
                <w:rFonts w:ascii="Arial" w:hAnsi="Arial" w:eastAsia="Arial" w:cs="Arial"/>
                <w:spacing w:val="-16"/>
                <w:sz w:val="15"/>
                <w:szCs w:val="15"/>
              </w:rPr>
              <w:t>B</w:t>
            </w:r>
          </w:p>
        </w:tc>
        <w:tc>
          <w:tcPr>
            <w:tcW w:w="1195" w:type="dxa"/>
            <w:tcBorders>
              <w:top w:val="single" w:color="282781" w:sz="4" w:space="0"/>
              <w:bottom w:val="single" w:color="282781" w:sz="4" w:space="0"/>
            </w:tcBorders>
            <w:vAlign w:val="top"/>
          </w:tcPr>
          <w:p>
            <w:pPr>
              <w:spacing w:before="64" w:line="196" w:lineRule="auto"/>
              <w:ind w:left="696"/>
              <w:rPr>
                <w:rFonts w:ascii="Arial" w:hAnsi="Arial" w:eastAsia="Arial" w:cs="Arial"/>
                <w:sz w:val="15"/>
                <w:szCs w:val="15"/>
              </w:rPr>
            </w:pPr>
            <w:r>
              <w:rPr>
                <w:rFonts w:ascii="Arial" w:hAnsi="Arial" w:eastAsia="Arial" w:cs="Arial"/>
                <w:spacing w:val="-16"/>
                <w:sz w:val="15"/>
                <w:szCs w:val="15"/>
              </w:rPr>
              <w:t>HEI</w:t>
            </w:r>
            <w:r>
              <w:rPr>
                <w:rFonts w:ascii="Arial" w:hAnsi="Arial" w:eastAsia="Arial" w:cs="Arial"/>
                <w:spacing w:val="13"/>
                <w:w w:val="101"/>
                <w:sz w:val="15"/>
                <w:szCs w:val="15"/>
              </w:rPr>
              <w:t xml:space="preserve"> </w:t>
            </w:r>
            <w:r>
              <w:rPr>
                <w:rFonts w:ascii="Arial" w:hAnsi="Arial" w:eastAsia="Arial" w:cs="Arial"/>
                <w:spacing w:val="-16"/>
                <w:sz w:val="15"/>
                <w:szCs w:val="15"/>
              </w:rPr>
              <w:t>C</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9" w:hRule="atLeast"/>
        </w:trPr>
        <w:tc>
          <w:tcPr>
            <w:tcW w:w="1985" w:type="dxa"/>
            <w:tcBorders>
              <w:top w:val="single" w:color="282781" w:sz="4" w:space="0"/>
            </w:tcBorders>
            <w:vAlign w:val="top"/>
          </w:tcPr>
          <w:p>
            <w:pPr>
              <w:spacing w:before="57" w:line="183" w:lineRule="auto"/>
              <w:ind w:left="8"/>
              <w:rPr>
                <w:rFonts w:ascii="Arial" w:hAnsi="Arial" w:eastAsia="Arial" w:cs="Arial"/>
                <w:sz w:val="15"/>
                <w:szCs w:val="15"/>
              </w:rPr>
            </w:pPr>
            <w:r>
              <w:rPr>
                <w:rFonts w:ascii="Arial" w:hAnsi="Arial" w:eastAsia="Arial" w:cs="Arial"/>
                <w:sz w:val="15"/>
                <w:szCs w:val="15"/>
              </w:rPr>
              <w:t>N</w:t>
            </w:r>
          </w:p>
        </w:tc>
        <w:tc>
          <w:tcPr>
            <w:tcW w:w="1613" w:type="dxa"/>
            <w:tcBorders>
              <w:top w:val="single" w:color="282781" w:sz="4" w:space="0"/>
            </w:tcBorders>
            <w:vAlign w:val="top"/>
          </w:tcPr>
          <w:p>
            <w:pPr>
              <w:spacing w:before="59" w:line="180" w:lineRule="auto"/>
              <w:ind w:left="747"/>
              <w:rPr>
                <w:rFonts w:ascii="Arial" w:hAnsi="Arial" w:eastAsia="Arial" w:cs="Arial"/>
                <w:sz w:val="15"/>
                <w:szCs w:val="15"/>
              </w:rPr>
            </w:pPr>
            <w:r>
              <w:rPr>
                <w:rFonts w:ascii="Arial" w:hAnsi="Arial" w:eastAsia="Arial" w:cs="Arial"/>
                <w:spacing w:val="-8"/>
                <w:sz w:val="15"/>
                <w:szCs w:val="15"/>
              </w:rPr>
              <w:t>789</w:t>
            </w:r>
          </w:p>
        </w:tc>
        <w:tc>
          <w:tcPr>
            <w:tcW w:w="1615" w:type="dxa"/>
            <w:tcBorders>
              <w:top w:val="single" w:color="282781" w:sz="4" w:space="0"/>
            </w:tcBorders>
            <w:vAlign w:val="top"/>
          </w:tcPr>
          <w:p>
            <w:pPr>
              <w:spacing w:before="59" w:line="180" w:lineRule="auto"/>
              <w:ind w:left="748"/>
              <w:rPr>
                <w:rFonts w:ascii="Arial" w:hAnsi="Arial" w:eastAsia="Arial" w:cs="Arial"/>
                <w:sz w:val="15"/>
                <w:szCs w:val="15"/>
              </w:rPr>
            </w:pPr>
            <w:r>
              <w:rPr>
                <w:rFonts w:ascii="Arial" w:hAnsi="Arial" w:eastAsia="Arial" w:cs="Arial"/>
                <w:spacing w:val="-8"/>
                <w:sz w:val="15"/>
                <w:szCs w:val="15"/>
              </w:rPr>
              <w:t>581</w:t>
            </w:r>
          </w:p>
        </w:tc>
        <w:tc>
          <w:tcPr>
            <w:tcW w:w="1541" w:type="dxa"/>
            <w:tcBorders>
              <w:top w:val="single" w:color="282781" w:sz="4" w:space="0"/>
            </w:tcBorders>
            <w:vAlign w:val="top"/>
          </w:tcPr>
          <w:p>
            <w:pPr>
              <w:spacing w:before="59" w:line="180" w:lineRule="auto"/>
              <w:ind w:left="750"/>
              <w:rPr>
                <w:rFonts w:ascii="Arial" w:hAnsi="Arial" w:eastAsia="Arial" w:cs="Arial"/>
                <w:sz w:val="15"/>
                <w:szCs w:val="15"/>
              </w:rPr>
            </w:pPr>
            <w:r>
              <w:rPr>
                <w:rFonts w:ascii="Arial" w:hAnsi="Arial" w:eastAsia="Arial" w:cs="Arial"/>
                <w:spacing w:val="-6"/>
                <w:sz w:val="15"/>
                <w:szCs w:val="15"/>
              </w:rPr>
              <w:t>95</w:t>
            </w:r>
          </w:p>
        </w:tc>
        <w:tc>
          <w:tcPr>
            <w:tcW w:w="1195" w:type="dxa"/>
            <w:tcBorders>
              <w:top w:val="single" w:color="282781" w:sz="4" w:space="0"/>
            </w:tcBorders>
            <w:vAlign w:val="top"/>
          </w:tcPr>
          <w:p>
            <w:pPr>
              <w:spacing w:before="59" w:line="180" w:lineRule="auto"/>
              <w:ind w:left="685"/>
              <w:rPr>
                <w:rFonts w:ascii="Arial" w:hAnsi="Arial" w:eastAsia="Arial" w:cs="Arial"/>
                <w:sz w:val="15"/>
                <w:szCs w:val="15"/>
              </w:rPr>
            </w:pPr>
            <w:r>
              <w:rPr>
                <w:rFonts w:ascii="Arial" w:hAnsi="Arial" w:eastAsia="Arial" w:cs="Arial"/>
                <w:spacing w:val="-9"/>
                <w:sz w:val="15"/>
                <w:szCs w:val="15"/>
              </w:rPr>
              <w:t>113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4" w:hRule="atLeast"/>
        </w:trPr>
        <w:tc>
          <w:tcPr>
            <w:tcW w:w="1985" w:type="dxa"/>
            <w:vAlign w:val="top"/>
          </w:tcPr>
          <w:p>
            <w:pPr>
              <w:spacing w:before="6" w:line="233" w:lineRule="auto"/>
              <w:ind w:left="9"/>
              <w:rPr>
                <w:rFonts w:ascii="Arial" w:hAnsi="Arial" w:eastAsia="Arial" w:cs="Arial"/>
                <w:sz w:val="15"/>
                <w:szCs w:val="15"/>
              </w:rPr>
            </w:pPr>
            <w:r>
              <w:rPr>
                <w:rFonts w:ascii="Arial" w:hAnsi="Arial" w:eastAsia="Arial" w:cs="Arial"/>
                <w:spacing w:val="-3"/>
                <w:sz w:val="15"/>
                <w:szCs w:val="15"/>
              </w:rPr>
              <w:t>contacted</w:t>
            </w:r>
            <w:r>
              <w:rPr>
                <w:rFonts w:ascii="Arial" w:hAnsi="Arial" w:eastAsia="Arial" w:cs="Arial"/>
                <w:spacing w:val="18"/>
                <w:sz w:val="15"/>
                <w:szCs w:val="15"/>
              </w:rPr>
              <w:t xml:space="preserve"> </w:t>
            </w:r>
            <w:r>
              <w:rPr>
                <w:rFonts w:ascii="Arial" w:hAnsi="Arial" w:eastAsia="Arial" w:cs="Arial"/>
                <w:spacing w:val="-3"/>
                <w:sz w:val="15"/>
                <w:szCs w:val="15"/>
              </w:rPr>
              <w:t>staf</w:t>
            </w:r>
          </w:p>
        </w:tc>
        <w:tc>
          <w:tcPr>
            <w:tcW w:w="1613" w:type="dxa"/>
            <w:vAlign w:val="top"/>
          </w:tcPr>
          <w:p>
            <w:pPr>
              <w:spacing w:before="41" w:line="185" w:lineRule="auto"/>
              <w:ind w:left="673"/>
              <w:rPr>
                <w:rFonts w:ascii="Arial" w:hAnsi="Arial" w:eastAsia="Arial" w:cs="Arial"/>
                <w:sz w:val="15"/>
                <w:szCs w:val="15"/>
              </w:rPr>
            </w:pPr>
            <w:r>
              <w:rPr>
                <w:rFonts w:ascii="Arial" w:hAnsi="Arial" w:eastAsia="Arial" w:cs="Arial"/>
                <w:spacing w:val="-8"/>
                <w:sz w:val="15"/>
                <w:szCs w:val="15"/>
              </w:rPr>
              <w:t>7897</w:t>
            </w:r>
          </w:p>
        </w:tc>
        <w:tc>
          <w:tcPr>
            <w:tcW w:w="1615" w:type="dxa"/>
            <w:vAlign w:val="top"/>
          </w:tcPr>
          <w:p>
            <w:pPr>
              <w:spacing w:before="41" w:line="185" w:lineRule="auto"/>
              <w:ind w:left="676"/>
              <w:rPr>
                <w:rFonts w:ascii="Arial" w:hAnsi="Arial" w:eastAsia="Arial" w:cs="Arial"/>
                <w:sz w:val="15"/>
                <w:szCs w:val="15"/>
              </w:rPr>
            </w:pPr>
            <w:r>
              <w:rPr>
                <w:rFonts w:ascii="Arial" w:hAnsi="Arial" w:eastAsia="Arial" w:cs="Arial"/>
                <w:spacing w:val="-8"/>
                <w:sz w:val="15"/>
                <w:szCs w:val="15"/>
              </w:rPr>
              <w:t>7100</w:t>
            </w:r>
          </w:p>
        </w:tc>
        <w:tc>
          <w:tcPr>
            <w:tcW w:w="1541" w:type="dxa"/>
            <w:vAlign w:val="top"/>
          </w:tcPr>
          <w:p>
            <w:pPr>
              <w:spacing w:before="41" w:line="185" w:lineRule="auto"/>
              <w:ind w:left="676"/>
              <w:rPr>
                <w:rFonts w:ascii="Arial" w:hAnsi="Arial" w:eastAsia="Arial" w:cs="Arial"/>
                <w:sz w:val="15"/>
                <w:szCs w:val="15"/>
              </w:rPr>
            </w:pPr>
            <w:r>
              <w:rPr>
                <w:rFonts w:ascii="Arial" w:hAnsi="Arial" w:eastAsia="Arial" w:cs="Arial"/>
                <w:spacing w:val="-8"/>
                <w:sz w:val="15"/>
                <w:szCs w:val="15"/>
              </w:rPr>
              <w:t>321</w:t>
            </w:r>
          </w:p>
        </w:tc>
        <w:tc>
          <w:tcPr>
            <w:tcW w:w="1195" w:type="dxa"/>
            <w:vAlign w:val="top"/>
          </w:tcPr>
          <w:p>
            <w:pPr>
              <w:spacing w:before="41" w:line="185" w:lineRule="auto"/>
              <w:ind w:left="673"/>
              <w:rPr>
                <w:rFonts w:ascii="Arial" w:hAnsi="Arial" w:eastAsia="Arial" w:cs="Arial"/>
                <w:sz w:val="15"/>
                <w:szCs w:val="15"/>
              </w:rPr>
            </w:pPr>
            <w:r>
              <w:rPr>
                <w:rFonts w:ascii="Arial" w:hAnsi="Arial" w:eastAsia="Arial" w:cs="Arial"/>
                <w:spacing w:val="-7"/>
                <w:sz w:val="15"/>
                <w:szCs w:val="15"/>
              </w:rPr>
              <w:t>476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3" w:hRule="atLeast"/>
        </w:trPr>
        <w:tc>
          <w:tcPr>
            <w:tcW w:w="1985" w:type="dxa"/>
            <w:vAlign w:val="top"/>
          </w:tcPr>
          <w:p>
            <w:pPr>
              <w:spacing w:before="2" w:line="180" w:lineRule="exact"/>
              <w:ind w:left="14"/>
              <w:rPr>
                <w:rFonts w:ascii="Arial" w:hAnsi="Arial" w:eastAsia="Arial" w:cs="Arial"/>
                <w:sz w:val="15"/>
                <w:szCs w:val="15"/>
              </w:rPr>
            </w:pPr>
            <w:r>
              <w:rPr>
                <w:rFonts w:ascii="Arial" w:hAnsi="Arial" w:eastAsia="Arial" w:cs="Arial"/>
                <w:spacing w:val="-9"/>
                <w:position w:val="2"/>
                <w:sz w:val="15"/>
                <w:szCs w:val="15"/>
              </w:rPr>
              <w:t>response</w:t>
            </w:r>
            <w:r>
              <w:rPr>
                <w:rFonts w:ascii="Arial" w:hAnsi="Arial" w:eastAsia="Arial" w:cs="Arial"/>
                <w:spacing w:val="22"/>
                <w:w w:val="102"/>
                <w:position w:val="2"/>
                <w:sz w:val="15"/>
                <w:szCs w:val="15"/>
              </w:rPr>
              <w:t xml:space="preserve"> </w:t>
            </w:r>
            <w:r>
              <w:rPr>
                <w:rFonts w:ascii="Arial" w:hAnsi="Arial" w:eastAsia="Arial" w:cs="Arial"/>
                <w:spacing w:val="-9"/>
                <w:position w:val="2"/>
                <w:sz w:val="15"/>
                <w:szCs w:val="15"/>
              </w:rPr>
              <w:t>rate</w:t>
            </w:r>
          </w:p>
        </w:tc>
        <w:tc>
          <w:tcPr>
            <w:tcW w:w="1613" w:type="dxa"/>
            <w:vAlign w:val="top"/>
          </w:tcPr>
          <w:p>
            <w:pPr>
              <w:spacing w:before="36" w:line="189" w:lineRule="auto"/>
              <w:ind w:left="710"/>
              <w:rPr>
                <w:rFonts w:ascii="Arial" w:hAnsi="Arial" w:eastAsia="Arial" w:cs="Arial"/>
                <w:sz w:val="15"/>
                <w:szCs w:val="15"/>
              </w:rPr>
            </w:pPr>
            <w:r>
              <w:rPr>
                <w:rFonts w:ascii="Arial" w:hAnsi="Arial" w:eastAsia="Arial" w:cs="Arial"/>
                <w:spacing w:val="-9"/>
                <w:sz w:val="15"/>
                <w:szCs w:val="15"/>
              </w:rPr>
              <w:t>10%</w:t>
            </w:r>
          </w:p>
        </w:tc>
        <w:tc>
          <w:tcPr>
            <w:tcW w:w="1615" w:type="dxa"/>
            <w:vAlign w:val="top"/>
          </w:tcPr>
          <w:p>
            <w:pPr>
              <w:spacing w:before="36" w:line="189" w:lineRule="auto"/>
              <w:ind w:left="628"/>
              <w:rPr>
                <w:rFonts w:ascii="Arial" w:hAnsi="Arial" w:eastAsia="Arial" w:cs="Arial"/>
                <w:sz w:val="15"/>
                <w:szCs w:val="15"/>
              </w:rPr>
            </w:pPr>
            <w:r>
              <w:rPr>
                <w:rFonts w:ascii="Arial" w:hAnsi="Arial" w:eastAsia="Arial" w:cs="Arial"/>
                <w:spacing w:val="-9"/>
                <w:sz w:val="15"/>
                <w:szCs w:val="15"/>
              </w:rPr>
              <w:t>8.20%</w:t>
            </w:r>
          </w:p>
        </w:tc>
        <w:tc>
          <w:tcPr>
            <w:tcW w:w="1541" w:type="dxa"/>
            <w:vAlign w:val="top"/>
          </w:tcPr>
          <w:p>
            <w:pPr>
              <w:spacing w:before="36" w:line="189" w:lineRule="auto"/>
              <w:ind w:left="556"/>
              <w:rPr>
                <w:rFonts w:ascii="Arial" w:hAnsi="Arial" w:eastAsia="Arial" w:cs="Arial"/>
                <w:sz w:val="15"/>
                <w:szCs w:val="15"/>
              </w:rPr>
            </w:pPr>
            <w:r>
              <w:rPr>
                <w:rFonts w:ascii="Arial" w:hAnsi="Arial" w:eastAsia="Arial" w:cs="Arial"/>
                <w:spacing w:val="-9"/>
                <w:sz w:val="15"/>
                <w:szCs w:val="15"/>
              </w:rPr>
              <w:t>29.60%</w:t>
            </w:r>
          </w:p>
        </w:tc>
        <w:tc>
          <w:tcPr>
            <w:tcW w:w="1195" w:type="dxa"/>
            <w:vAlign w:val="top"/>
          </w:tcPr>
          <w:p>
            <w:pPr>
              <w:spacing w:before="36" w:line="189" w:lineRule="auto"/>
              <w:jc w:val="right"/>
              <w:rPr>
                <w:rFonts w:ascii="Arial" w:hAnsi="Arial" w:eastAsia="Arial" w:cs="Arial"/>
                <w:sz w:val="15"/>
                <w:szCs w:val="15"/>
              </w:rPr>
            </w:pPr>
            <w:r>
              <w:rPr>
                <w:rFonts w:ascii="Arial" w:hAnsi="Arial" w:eastAsia="Arial" w:cs="Arial"/>
                <w:spacing w:val="-13"/>
                <w:sz w:val="15"/>
                <w:szCs w:val="15"/>
              </w:rPr>
              <w:t>23</w:t>
            </w:r>
            <w:r>
              <w:rPr>
                <w:rFonts w:ascii="Arial" w:hAnsi="Arial" w:eastAsia="Arial" w:cs="Arial"/>
                <w:spacing w:val="-12"/>
                <w:sz w:val="15"/>
                <w:szCs w:val="15"/>
              </w:rPr>
              <w:t>.70</w:t>
            </w:r>
            <w:r>
              <w:rPr>
                <w:rFonts w:ascii="Arial" w:hAnsi="Arial" w:eastAsia="Arial" w:cs="Arial"/>
                <w:spacing w:val="-10"/>
                <w:sz w:val="15"/>
                <w:szCs w:val="1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trPr>
        <w:tc>
          <w:tcPr>
            <w:tcW w:w="1985" w:type="dxa"/>
            <w:vAlign w:val="top"/>
          </w:tcPr>
          <w:p>
            <w:pPr>
              <w:spacing w:before="19" w:line="198" w:lineRule="auto"/>
              <w:ind w:left="8"/>
              <w:rPr>
                <w:rFonts w:ascii="Arial" w:hAnsi="Arial" w:eastAsia="Arial" w:cs="Arial"/>
                <w:sz w:val="15"/>
                <w:szCs w:val="15"/>
              </w:rPr>
            </w:pPr>
            <w:r>
              <w:rPr>
                <w:rFonts w:ascii="Arial" w:hAnsi="Arial" w:eastAsia="Arial" w:cs="Arial"/>
                <w:spacing w:val="-14"/>
                <w:sz w:val="15"/>
                <w:szCs w:val="15"/>
              </w:rPr>
              <w:t>HE</w:t>
            </w:r>
            <w:r>
              <w:rPr>
                <w:rFonts w:ascii="Arial" w:hAnsi="Arial" w:eastAsia="Arial" w:cs="Arial"/>
                <w:spacing w:val="9"/>
                <w:sz w:val="15"/>
                <w:szCs w:val="15"/>
              </w:rPr>
              <w:t xml:space="preserve"> </w:t>
            </w:r>
            <w:r>
              <w:rPr>
                <w:rFonts w:ascii="Arial" w:hAnsi="Arial" w:eastAsia="Arial" w:cs="Arial"/>
                <w:spacing w:val="-14"/>
                <w:sz w:val="15"/>
                <w:szCs w:val="15"/>
              </w:rPr>
              <w:t>Group</w:t>
            </w:r>
          </w:p>
          <w:p>
            <w:pPr>
              <w:spacing w:before="7" w:line="180" w:lineRule="exact"/>
              <w:ind w:left="14"/>
              <w:rPr>
                <w:rFonts w:ascii="Arial" w:hAnsi="Arial" w:eastAsia="Arial" w:cs="Arial"/>
                <w:sz w:val="15"/>
                <w:szCs w:val="15"/>
              </w:rPr>
            </w:pPr>
            <w:r>
              <w:rPr>
                <w:rFonts w:ascii="Arial" w:hAnsi="Arial" w:eastAsia="Arial" w:cs="Arial"/>
                <w:spacing w:val="-6"/>
                <w:position w:val="2"/>
                <w:sz w:val="15"/>
                <w:szCs w:val="15"/>
              </w:rPr>
              <w:t>presidential</w:t>
            </w:r>
            <w:r>
              <w:rPr>
                <w:rFonts w:ascii="Arial" w:hAnsi="Arial" w:eastAsia="Arial" w:cs="Arial"/>
                <w:spacing w:val="27"/>
                <w:w w:val="101"/>
                <w:position w:val="2"/>
                <w:sz w:val="15"/>
                <w:szCs w:val="15"/>
              </w:rPr>
              <w:t xml:space="preserve"> </w:t>
            </w:r>
            <w:r>
              <w:rPr>
                <w:rFonts w:ascii="Arial" w:hAnsi="Arial" w:eastAsia="Arial" w:cs="Arial"/>
                <w:spacing w:val="-6"/>
                <w:position w:val="2"/>
                <w:sz w:val="15"/>
                <w:szCs w:val="15"/>
              </w:rPr>
              <w:t>level</w:t>
            </w:r>
          </w:p>
        </w:tc>
        <w:tc>
          <w:tcPr>
            <w:tcW w:w="1613" w:type="dxa"/>
            <w:vAlign w:val="top"/>
          </w:tcPr>
          <w:p>
            <w:pPr>
              <w:spacing w:before="198" w:line="181" w:lineRule="auto"/>
              <w:ind w:left="729"/>
              <w:rPr>
                <w:rFonts w:ascii="Arial" w:hAnsi="Arial" w:eastAsia="Arial" w:cs="Arial"/>
                <w:sz w:val="15"/>
                <w:szCs w:val="15"/>
              </w:rPr>
            </w:pPr>
            <w:r>
              <w:rPr>
                <w:rFonts w:ascii="Arial" w:hAnsi="Arial" w:eastAsia="Arial" w:cs="Arial"/>
                <w:spacing w:val="-10"/>
                <w:sz w:val="15"/>
                <w:szCs w:val="15"/>
              </w:rPr>
              <w:t>3</w:t>
            </w:r>
            <w:r>
              <w:rPr>
                <w:rFonts w:ascii="Arial" w:hAnsi="Arial" w:eastAsia="Arial" w:cs="Arial"/>
                <w:spacing w:val="15"/>
                <w:w w:val="102"/>
                <w:sz w:val="15"/>
                <w:szCs w:val="15"/>
              </w:rPr>
              <w:t xml:space="preserve"> </w:t>
            </w:r>
            <w:r>
              <w:rPr>
                <w:rFonts w:ascii="Arial" w:hAnsi="Arial" w:eastAsia="Arial" w:cs="Arial"/>
                <w:spacing w:val="-10"/>
                <w:sz w:val="15"/>
                <w:szCs w:val="15"/>
              </w:rPr>
              <w:t>(0.4)</w:t>
            </w:r>
          </w:p>
        </w:tc>
        <w:tc>
          <w:tcPr>
            <w:tcW w:w="1615" w:type="dxa"/>
            <w:vAlign w:val="top"/>
          </w:tcPr>
          <w:p>
            <w:pPr>
              <w:spacing w:before="198" w:line="181" w:lineRule="auto"/>
              <w:ind w:left="733"/>
              <w:rPr>
                <w:rFonts w:ascii="Arial" w:hAnsi="Arial" w:eastAsia="Arial" w:cs="Arial"/>
                <w:sz w:val="15"/>
                <w:szCs w:val="15"/>
              </w:rPr>
            </w:pPr>
            <w:r>
              <w:rPr>
                <w:rFonts w:ascii="Arial" w:hAnsi="Arial" w:eastAsia="Arial" w:cs="Arial"/>
                <w:spacing w:val="-11"/>
                <w:sz w:val="15"/>
                <w:szCs w:val="15"/>
              </w:rPr>
              <w:t>2</w:t>
            </w:r>
            <w:r>
              <w:rPr>
                <w:rFonts w:ascii="Arial" w:hAnsi="Arial" w:eastAsia="Arial" w:cs="Arial"/>
                <w:spacing w:val="20"/>
                <w:w w:val="101"/>
                <w:sz w:val="15"/>
                <w:szCs w:val="15"/>
              </w:rPr>
              <w:t xml:space="preserve"> </w:t>
            </w:r>
            <w:r>
              <w:rPr>
                <w:rFonts w:ascii="Arial" w:hAnsi="Arial" w:eastAsia="Arial" w:cs="Arial"/>
                <w:spacing w:val="-11"/>
                <w:sz w:val="15"/>
                <w:szCs w:val="15"/>
              </w:rPr>
              <w:t>(0.3)</w:t>
            </w:r>
          </w:p>
        </w:tc>
        <w:tc>
          <w:tcPr>
            <w:tcW w:w="1541" w:type="dxa"/>
            <w:vAlign w:val="top"/>
          </w:tcPr>
          <w:p>
            <w:pPr>
              <w:spacing w:before="263" w:line="75" w:lineRule="exact"/>
              <w:ind w:left="818"/>
              <w:rPr>
                <w:rFonts w:ascii="Arial" w:hAnsi="Arial" w:eastAsia="Arial" w:cs="Arial"/>
                <w:sz w:val="15"/>
                <w:szCs w:val="15"/>
              </w:rPr>
            </w:pPr>
            <w:r>
              <w:rPr>
                <w:rFonts w:ascii="Arial" w:hAnsi="Arial" w:eastAsia="Arial" w:cs="Arial"/>
                <w:position w:val="-2"/>
                <w:sz w:val="15"/>
                <w:szCs w:val="15"/>
              </w:rPr>
              <w:t>–</w:t>
            </w:r>
          </w:p>
        </w:tc>
        <w:tc>
          <w:tcPr>
            <w:tcW w:w="1195" w:type="dxa"/>
            <w:vAlign w:val="top"/>
          </w:tcPr>
          <w:p>
            <w:pPr>
              <w:spacing w:before="198" w:line="181" w:lineRule="auto"/>
              <w:ind w:left="668"/>
              <w:rPr>
                <w:rFonts w:ascii="Arial" w:hAnsi="Arial" w:eastAsia="Arial" w:cs="Arial"/>
                <w:sz w:val="15"/>
                <w:szCs w:val="15"/>
              </w:rPr>
            </w:pPr>
            <w:r>
              <w:rPr>
                <w:rFonts w:ascii="Arial" w:hAnsi="Arial" w:eastAsia="Arial" w:cs="Arial"/>
                <w:spacing w:val="-12"/>
                <w:sz w:val="15"/>
                <w:szCs w:val="15"/>
              </w:rPr>
              <w:t>1</w:t>
            </w:r>
            <w:r>
              <w:rPr>
                <w:rFonts w:ascii="Arial" w:hAnsi="Arial" w:eastAsia="Arial" w:cs="Arial"/>
                <w:spacing w:val="19"/>
                <w:w w:val="101"/>
                <w:sz w:val="15"/>
                <w:szCs w:val="15"/>
              </w:rPr>
              <w:t xml:space="preserve"> </w:t>
            </w:r>
            <w:r>
              <w:rPr>
                <w:rFonts w:ascii="Arial" w:hAnsi="Arial" w:eastAsia="Arial" w:cs="Arial"/>
                <w:spacing w:val="-12"/>
                <w:sz w:val="15"/>
                <w:szCs w:val="15"/>
              </w:rPr>
              <w:t>(0.9)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6" w:hRule="atLeast"/>
        </w:trPr>
        <w:tc>
          <w:tcPr>
            <w:tcW w:w="1985" w:type="dxa"/>
            <w:vAlign w:val="top"/>
          </w:tcPr>
          <w:p>
            <w:pPr>
              <w:spacing w:line="230" w:lineRule="auto"/>
              <w:ind w:left="14"/>
              <w:rPr>
                <w:rFonts w:ascii="Arial" w:hAnsi="Arial" w:eastAsia="Arial" w:cs="Arial"/>
                <w:sz w:val="15"/>
                <w:szCs w:val="15"/>
              </w:rPr>
            </w:pPr>
            <w:r>
              <w:rPr>
                <w:rFonts w:ascii="Arial" w:hAnsi="Arial" w:eastAsia="Arial" w:cs="Arial"/>
                <w:spacing w:val="-8"/>
                <w:sz w:val="15"/>
                <w:szCs w:val="15"/>
              </w:rPr>
              <w:t>professor</w:t>
            </w:r>
          </w:p>
        </w:tc>
        <w:tc>
          <w:tcPr>
            <w:tcW w:w="1613" w:type="dxa"/>
            <w:vAlign w:val="top"/>
          </w:tcPr>
          <w:p>
            <w:pPr>
              <w:spacing w:before="17" w:line="181" w:lineRule="auto"/>
              <w:ind w:left="513"/>
              <w:rPr>
                <w:rFonts w:ascii="Arial" w:hAnsi="Arial" w:eastAsia="Arial" w:cs="Arial"/>
                <w:sz w:val="15"/>
                <w:szCs w:val="15"/>
              </w:rPr>
            </w:pPr>
            <w:r>
              <w:rPr>
                <w:rFonts w:ascii="Arial" w:hAnsi="Arial" w:eastAsia="Arial" w:cs="Arial"/>
                <w:spacing w:val="-11"/>
                <w:sz w:val="15"/>
                <w:szCs w:val="15"/>
              </w:rPr>
              <w:t>138</w:t>
            </w:r>
            <w:r>
              <w:rPr>
                <w:rFonts w:ascii="Arial" w:hAnsi="Arial" w:eastAsia="Arial" w:cs="Arial"/>
                <w:spacing w:val="19"/>
                <w:w w:val="102"/>
                <w:sz w:val="15"/>
                <w:szCs w:val="15"/>
              </w:rPr>
              <w:t xml:space="preserve"> </w:t>
            </w:r>
            <w:r>
              <w:rPr>
                <w:rFonts w:ascii="Arial" w:hAnsi="Arial" w:eastAsia="Arial" w:cs="Arial"/>
                <w:spacing w:val="-11"/>
                <w:sz w:val="15"/>
                <w:szCs w:val="15"/>
              </w:rPr>
              <w:t>(17.5)</w:t>
            </w:r>
          </w:p>
        </w:tc>
        <w:tc>
          <w:tcPr>
            <w:tcW w:w="1615" w:type="dxa"/>
            <w:vAlign w:val="top"/>
          </w:tcPr>
          <w:p>
            <w:pPr>
              <w:spacing w:before="17" w:line="181" w:lineRule="auto"/>
              <w:ind w:left="585"/>
              <w:rPr>
                <w:rFonts w:ascii="Arial" w:hAnsi="Arial" w:eastAsia="Arial" w:cs="Arial"/>
                <w:sz w:val="15"/>
                <w:szCs w:val="15"/>
              </w:rPr>
            </w:pPr>
            <w:r>
              <w:rPr>
                <w:rFonts w:ascii="Arial" w:hAnsi="Arial" w:eastAsia="Arial" w:cs="Arial"/>
                <w:spacing w:val="-10"/>
                <w:sz w:val="15"/>
                <w:szCs w:val="15"/>
              </w:rPr>
              <w:t>74</w:t>
            </w:r>
            <w:r>
              <w:rPr>
                <w:rFonts w:ascii="Arial" w:hAnsi="Arial" w:eastAsia="Arial" w:cs="Arial"/>
                <w:spacing w:val="16"/>
                <w:sz w:val="15"/>
                <w:szCs w:val="15"/>
              </w:rPr>
              <w:t xml:space="preserve"> </w:t>
            </w:r>
            <w:r>
              <w:rPr>
                <w:rFonts w:ascii="Arial" w:hAnsi="Arial" w:eastAsia="Arial" w:cs="Arial"/>
                <w:spacing w:val="-10"/>
                <w:sz w:val="15"/>
                <w:szCs w:val="15"/>
              </w:rPr>
              <w:t>(12.7)</w:t>
            </w:r>
          </w:p>
        </w:tc>
        <w:tc>
          <w:tcPr>
            <w:tcW w:w="1541" w:type="dxa"/>
            <w:vAlign w:val="top"/>
          </w:tcPr>
          <w:p>
            <w:pPr>
              <w:spacing w:before="17" w:line="181" w:lineRule="auto"/>
              <w:ind w:left="511"/>
              <w:rPr>
                <w:rFonts w:ascii="Arial" w:hAnsi="Arial" w:eastAsia="Arial" w:cs="Arial"/>
                <w:sz w:val="15"/>
                <w:szCs w:val="15"/>
              </w:rPr>
            </w:pPr>
            <w:r>
              <w:rPr>
                <w:rFonts w:ascii="Arial" w:hAnsi="Arial" w:eastAsia="Arial" w:cs="Arial"/>
                <w:spacing w:val="-10"/>
                <w:sz w:val="15"/>
                <w:szCs w:val="15"/>
              </w:rPr>
              <w:t>26</w:t>
            </w:r>
            <w:r>
              <w:rPr>
                <w:rFonts w:ascii="Arial" w:hAnsi="Arial" w:eastAsia="Arial" w:cs="Arial"/>
                <w:spacing w:val="17"/>
                <w:w w:val="101"/>
                <w:sz w:val="15"/>
                <w:szCs w:val="15"/>
              </w:rPr>
              <w:t xml:space="preserve"> </w:t>
            </w:r>
            <w:r>
              <w:rPr>
                <w:rFonts w:ascii="Arial" w:hAnsi="Arial" w:eastAsia="Arial" w:cs="Arial"/>
                <w:spacing w:val="-10"/>
                <w:sz w:val="15"/>
                <w:szCs w:val="15"/>
              </w:rPr>
              <w:t>(27.4)</w:t>
            </w:r>
          </w:p>
        </w:tc>
        <w:tc>
          <w:tcPr>
            <w:tcW w:w="1195" w:type="dxa"/>
            <w:vAlign w:val="top"/>
          </w:tcPr>
          <w:p>
            <w:pPr>
              <w:spacing w:before="17" w:line="181" w:lineRule="auto"/>
              <w:ind w:left="510"/>
              <w:rPr>
                <w:rFonts w:ascii="Arial" w:hAnsi="Arial" w:eastAsia="Arial" w:cs="Arial"/>
                <w:sz w:val="15"/>
                <w:szCs w:val="15"/>
              </w:rPr>
            </w:pPr>
            <w:r>
              <w:rPr>
                <w:rFonts w:ascii="Arial" w:hAnsi="Arial" w:eastAsia="Arial" w:cs="Arial"/>
                <w:spacing w:val="-10"/>
                <w:sz w:val="15"/>
                <w:szCs w:val="15"/>
              </w:rPr>
              <w:t>38</w:t>
            </w:r>
            <w:r>
              <w:rPr>
                <w:rFonts w:ascii="Arial" w:hAnsi="Arial" w:eastAsia="Arial" w:cs="Arial"/>
                <w:spacing w:val="19"/>
                <w:sz w:val="15"/>
                <w:szCs w:val="15"/>
              </w:rPr>
              <w:t xml:space="preserve"> </w:t>
            </w:r>
            <w:r>
              <w:rPr>
                <w:rFonts w:ascii="Arial" w:hAnsi="Arial" w:eastAsia="Arial" w:cs="Arial"/>
                <w:spacing w:val="-10"/>
                <w:sz w:val="15"/>
                <w:szCs w:val="15"/>
              </w:rPr>
              <w:t>(33.6)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4" w:hRule="atLeast"/>
        </w:trPr>
        <w:tc>
          <w:tcPr>
            <w:tcW w:w="1985" w:type="dxa"/>
            <w:vAlign w:val="top"/>
          </w:tcPr>
          <w:p>
            <w:pPr>
              <w:spacing w:line="228" w:lineRule="auto"/>
              <w:ind w:left="9"/>
              <w:rPr>
                <w:rFonts w:ascii="Arial" w:hAnsi="Arial" w:eastAsia="Arial" w:cs="Arial"/>
                <w:sz w:val="15"/>
                <w:szCs w:val="15"/>
              </w:rPr>
            </w:pPr>
            <w:r>
              <w:rPr>
                <w:rFonts w:ascii="Arial" w:hAnsi="Arial" w:eastAsia="Arial" w:cs="Arial"/>
                <w:spacing w:val="-5"/>
                <w:sz w:val="15"/>
                <w:szCs w:val="15"/>
              </w:rPr>
              <w:t>academic</w:t>
            </w:r>
            <w:r>
              <w:rPr>
                <w:rFonts w:ascii="Arial" w:hAnsi="Arial" w:eastAsia="Arial" w:cs="Arial"/>
                <w:spacing w:val="19"/>
                <w:w w:val="101"/>
                <w:sz w:val="15"/>
                <w:szCs w:val="15"/>
              </w:rPr>
              <w:t xml:space="preserve"> </w:t>
            </w:r>
            <w:r>
              <w:rPr>
                <w:rFonts w:ascii="Arial" w:hAnsi="Arial" w:eastAsia="Arial" w:cs="Arial"/>
                <w:spacing w:val="-5"/>
                <w:sz w:val="15"/>
                <w:szCs w:val="15"/>
              </w:rPr>
              <w:t>staf</w:t>
            </w:r>
          </w:p>
        </w:tc>
        <w:tc>
          <w:tcPr>
            <w:tcW w:w="1613" w:type="dxa"/>
            <w:vAlign w:val="top"/>
          </w:tcPr>
          <w:p>
            <w:pPr>
              <w:spacing w:before="22" w:line="181" w:lineRule="auto"/>
              <w:ind w:left="505"/>
              <w:rPr>
                <w:rFonts w:ascii="Arial" w:hAnsi="Arial" w:eastAsia="Arial" w:cs="Arial"/>
                <w:sz w:val="15"/>
                <w:szCs w:val="15"/>
              </w:rPr>
            </w:pPr>
            <w:r>
              <w:rPr>
                <w:rFonts w:ascii="Arial" w:hAnsi="Arial" w:eastAsia="Arial" w:cs="Arial"/>
                <w:spacing w:val="-10"/>
                <w:sz w:val="15"/>
                <w:szCs w:val="15"/>
              </w:rPr>
              <w:t>289</w:t>
            </w:r>
            <w:r>
              <w:rPr>
                <w:rFonts w:ascii="Arial" w:hAnsi="Arial" w:eastAsia="Arial" w:cs="Arial"/>
                <w:spacing w:val="19"/>
                <w:sz w:val="15"/>
                <w:szCs w:val="15"/>
              </w:rPr>
              <w:t xml:space="preserve"> </w:t>
            </w:r>
            <w:r>
              <w:rPr>
                <w:rFonts w:ascii="Arial" w:hAnsi="Arial" w:eastAsia="Arial" w:cs="Arial"/>
                <w:spacing w:val="-10"/>
                <w:sz w:val="15"/>
                <w:szCs w:val="15"/>
              </w:rPr>
              <w:t>(36.6)</w:t>
            </w:r>
          </w:p>
        </w:tc>
        <w:tc>
          <w:tcPr>
            <w:tcW w:w="1615" w:type="dxa"/>
            <w:vAlign w:val="top"/>
          </w:tcPr>
          <w:p>
            <w:pPr>
              <w:spacing w:before="22" w:line="181" w:lineRule="auto"/>
              <w:ind w:left="509"/>
              <w:rPr>
                <w:rFonts w:ascii="Arial" w:hAnsi="Arial" w:eastAsia="Arial" w:cs="Arial"/>
                <w:sz w:val="15"/>
                <w:szCs w:val="15"/>
              </w:rPr>
            </w:pPr>
            <w:r>
              <w:rPr>
                <w:rFonts w:ascii="Arial" w:hAnsi="Arial" w:eastAsia="Arial" w:cs="Arial"/>
                <w:spacing w:val="-10"/>
                <w:sz w:val="15"/>
                <w:szCs w:val="15"/>
              </w:rPr>
              <w:t>232</w:t>
            </w:r>
            <w:r>
              <w:rPr>
                <w:rFonts w:ascii="Arial" w:hAnsi="Arial" w:eastAsia="Arial" w:cs="Arial"/>
                <w:spacing w:val="19"/>
                <w:sz w:val="15"/>
                <w:szCs w:val="15"/>
              </w:rPr>
              <w:t xml:space="preserve"> </w:t>
            </w:r>
            <w:r>
              <w:rPr>
                <w:rFonts w:ascii="Arial" w:hAnsi="Arial" w:eastAsia="Arial" w:cs="Arial"/>
                <w:spacing w:val="-10"/>
                <w:sz w:val="15"/>
                <w:szCs w:val="15"/>
              </w:rPr>
              <w:t>(39.9)</w:t>
            </w:r>
          </w:p>
        </w:tc>
        <w:tc>
          <w:tcPr>
            <w:tcW w:w="1541" w:type="dxa"/>
            <w:vAlign w:val="top"/>
          </w:tcPr>
          <w:p>
            <w:pPr>
              <w:spacing w:before="22" w:line="181" w:lineRule="auto"/>
              <w:ind w:left="510"/>
              <w:rPr>
                <w:rFonts w:ascii="Arial" w:hAnsi="Arial" w:eastAsia="Arial" w:cs="Arial"/>
                <w:sz w:val="15"/>
                <w:szCs w:val="15"/>
              </w:rPr>
            </w:pPr>
            <w:r>
              <w:rPr>
                <w:rFonts w:ascii="Arial" w:hAnsi="Arial" w:eastAsia="Arial" w:cs="Arial"/>
                <w:spacing w:val="-10"/>
                <w:sz w:val="15"/>
                <w:szCs w:val="15"/>
              </w:rPr>
              <w:t>21</w:t>
            </w:r>
            <w:r>
              <w:rPr>
                <w:rFonts w:ascii="Arial" w:hAnsi="Arial" w:eastAsia="Arial" w:cs="Arial"/>
                <w:spacing w:val="17"/>
                <w:w w:val="101"/>
                <w:sz w:val="15"/>
                <w:szCs w:val="15"/>
              </w:rPr>
              <w:t xml:space="preserve"> </w:t>
            </w:r>
            <w:r>
              <w:rPr>
                <w:rFonts w:ascii="Arial" w:hAnsi="Arial" w:eastAsia="Arial" w:cs="Arial"/>
                <w:spacing w:val="-10"/>
                <w:sz w:val="15"/>
                <w:szCs w:val="15"/>
              </w:rPr>
              <w:t>(22.1)</w:t>
            </w:r>
          </w:p>
        </w:tc>
        <w:tc>
          <w:tcPr>
            <w:tcW w:w="1195" w:type="dxa"/>
            <w:vAlign w:val="top"/>
          </w:tcPr>
          <w:p>
            <w:pPr>
              <w:spacing w:before="22" w:line="181" w:lineRule="auto"/>
              <w:ind w:left="510"/>
              <w:rPr>
                <w:rFonts w:ascii="Arial" w:hAnsi="Arial" w:eastAsia="Arial" w:cs="Arial"/>
                <w:sz w:val="15"/>
                <w:szCs w:val="15"/>
              </w:rPr>
            </w:pPr>
            <w:r>
              <w:rPr>
                <w:rFonts w:ascii="Arial" w:hAnsi="Arial" w:eastAsia="Arial" w:cs="Arial"/>
                <w:spacing w:val="-10"/>
                <w:sz w:val="15"/>
                <w:szCs w:val="15"/>
              </w:rPr>
              <w:t>36</w:t>
            </w:r>
            <w:r>
              <w:rPr>
                <w:rFonts w:ascii="Arial" w:hAnsi="Arial" w:eastAsia="Arial" w:cs="Arial"/>
                <w:spacing w:val="19"/>
                <w:sz w:val="15"/>
                <w:szCs w:val="15"/>
              </w:rPr>
              <w:t xml:space="preserve"> </w:t>
            </w:r>
            <w:r>
              <w:rPr>
                <w:rFonts w:ascii="Arial" w:hAnsi="Arial" w:eastAsia="Arial" w:cs="Arial"/>
                <w:spacing w:val="-10"/>
                <w:sz w:val="15"/>
                <w:szCs w:val="15"/>
              </w:rPr>
              <w:t>(31.9)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0" w:hRule="atLeast"/>
        </w:trPr>
        <w:tc>
          <w:tcPr>
            <w:tcW w:w="1985" w:type="dxa"/>
            <w:vAlign w:val="top"/>
          </w:tcPr>
          <w:p>
            <w:pPr>
              <w:spacing w:line="236" w:lineRule="auto"/>
              <w:ind w:left="9"/>
              <w:rPr>
                <w:rFonts w:ascii="Arial" w:hAnsi="Arial" w:eastAsia="Arial" w:cs="Arial"/>
                <w:sz w:val="15"/>
                <w:szCs w:val="15"/>
              </w:rPr>
            </w:pPr>
            <w:r>
              <w:rPr>
                <w:rFonts w:ascii="Arial" w:hAnsi="Arial" w:eastAsia="Arial" w:cs="Arial"/>
                <w:spacing w:val="-4"/>
                <w:sz w:val="15"/>
                <w:szCs w:val="15"/>
              </w:rPr>
              <w:t>administration</w:t>
            </w:r>
          </w:p>
        </w:tc>
        <w:tc>
          <w:tcPr>
            <w:tcW w:w="1613" w:type="dxa"/>
            <w:vAlign w:val="top"/>
          </w:tcPr>
          <w:p>
            <w:pPr>
              <w:spacing w:before="27" w:line="181" w:lineRule="auto"/>
              <w:ind w:left="513"/>
              <w:rPr>
                <w:rFonts w:ascii="Arial" w:hAnsi="Arial" w:eastAsia="Arial" w:cs="Arial"/>
                <w:sz w:val="15"/>
                <w:szCs w:val="15"/>
              </w:rPr>
            </w:pPr>
            <w:r>
              <w:rPr>
                <w:rFonts w:ascii="Arial" w:hAnsi="Arial" w:eastAsia="Arial" w:cs="Arial"/>
                <w:spacing w:val="-11"/>
                <w:sz w:val="15"/>
                <w:szCs w:val="15"/>
              </w:rPr>
              <w:t>162</w:t>
            </w:r>
            <w:r>
              <w:rPr>
                <w:rFonts w:ascii="Arial" w:hAnsi="Arial" w:eastAsia="Arial" w:cs="Arial"/>
                <w:spacing w:val="19"/>
                <w:w w:val="102"/>
                <w:sz w:val="15"/>
                <w:szCs w:val="15"/>
              </w:rPr>
              <w:t xml:space="preserve"> </w:t>
            </w:r>
            <w:r>
              <w:rPr>
                <w:rFonts w:ascii="Arial" w:hAnsi="Arial" w:eastAsia="Arial" w:cs="Arial"/>
                <w:spacing w:val="-11"/>
                <w:sz w:val="15"/>
                <w:szCs w:val="15"/>
              </w:rPr>
              <w:t>(20.5)</w:t>
            </w:r>
          </w:p>
        </w:tc>
        <w:tc>
          <w:tcPr>
            <w:tcW w:w="1615" w:type="dxa"/>
            <w:vAlign w:val="top"/>
          </w:tcPr>
          <w:p>
            <w:pPr>
              <w:spacing w:before="27" w:line="181" w:lineRule="auto"/>
              <w:ind w:left="517"/>
              <w:rPr>
                <w:rFonts w:ascii="Arial" w:hAnsi="Arial" w:eastAsia="Arial" w:cs="Arial"/>
                <w:sz w:val="15"/>
                <w:szCs w:val="15"/>
              </w:rPr>
            </w:pPr>
            <w:r>
              <w:rPr>
                <w:rFonts w:ascii="Arial" w:hAnsi="Arial" w:eastAsia="Arial" w:cs="Arial"/>
                <w:spacing w:val="-11"/>
                <w:sz w:val="15"/>
                <w:szCs w:val="15"/>
              </w:rPr>
              <w:t>126</w:t>
            </w:r>
            <w:r>
              <w:rPr>
                <w:rFonts w:ascii="Arial" w:hAnsi="Arial" w:eastAsia="Arial" w:cs="Arial"/>
                <w:spacing w:val="19"/>
                <w:w w:val="102"/>
                <w:sz w:val="15"/>
                <w:szCs w:val="15"/>
              </w:rPr>
              <w:t xml:space="preserve"> </w:t>
            </w:r>
            <w:r>
              <w:rPr>
                <w:rFonts w:ascii="Arial" w:hAnsi="Arial" w:eastAsia="Arial" w:cs="Arial"/>
                <w:spacing w:val="-11"/>
                <w:sz w:val="15"/>
                <w:szCs w:val="15"/>
              </w:rPr>
              <w:t>(21.7)</w:t>
            </w:r>
          </w:p>
        </w:tc>
        <w:tc>
          <w:tcPr>
            <w:tcW w:w="1541" w:type="dxa"/>
            <w:vAlign w:val="top"/>
          </w:tcPr>
          <w:p>
            <w:pPr>
              <w:spacing w:before="27" w:line="181" w:lineRule="auto"/>
              <w:ind w:left="519"/>
              <w:rPr>
                <w:rFonts w:ascii="Arial" w:hAnsi="Arial" w:eastAsia="Arial" w:cs="Arial"/>
                <w:sz w:val="15"/>
                <w:szCs w:val="15"/>
              </w:rPr>
            </w:pPr>
            <w:r>
              <w:rPr>
                <w:rFonts w:ascii="Arial" w:hAnsi="Arial" w:eastAsia="Arial" w:cs="Arial"/>
                <w:spacing w:val="-11"/>
                <w:sz w:val="15"/>
                <w:szCs w:val="15"/>
              </w:rPr>
              <w:t>15</w:t>
            </w:r>
            <w:r>
              <w:rPr>
                <w:rFonts w:ascii="Arial" w:hAnsi="Arial" w:eastAsia="Arial" w:cs="Arial"/>
                <w:spacing w:val="17"/>
                <w:w w:val="101"/>
                <w:sz w:val="15"/>
                <w:szCs w:val="15"/>
              </w:rPr>
              <w:t xml:space="preserve"> </w:t>
            </w:r>
            <w:r>
              <w:rPr>
                <w:rFonts w:ascii="Arial" w:hAnsi="Arial" w:eastAsia="Arial" w:cs="Arial"/>
                <w:spacing w:val="-11"/>
                <w:sz w:val="15"/>
                <w:szCs w:val="15"/>
              </w:rPr>
              <w:t>(15.8)</w:t>
            </w:r>
          </w:p>
        </w:tc>
        <w:tc>
          <w:tcPr>
            <w:tcW w:w="1195" w:type="dxa"/>
            <w:vAlign w:val="top"/>
          </w:tcPr>
          <w:p>
            <w:pPr>
              <w:spacing w:before="27" w:line="181" w:lineRule="auto"/>
              <w:ind w:left="510"/>
              <w:rPr>
                <w:rFonts w:ascii="Arial" w:hAnsi="Arial" w:eastAsia="Arial" w:cs="Arial"/>
                <w:sz w:val="15"/>
                <w:szCs w:val="15"/>
              </w:rPr>
            </w:pPr>
            <w:r>
              <w:rPr>
                <w:rFonts w:ascii="Arial" w:hAnsi="Arial" w:eastAsia="Arial" w:cs="Arial"/>
                <w:spacing w:val="-10"/>
                <w:sz w:val="15"/>
                <w:szCs w:val="15"/>
              </w:rPr>
              <w:t>21</w:t>
            </w:r>
            <w:r>
              <w:rPr>
                <w:rFonts w:ascii="Arial" w:hAnsi="Arial" w:eastAsia="Arial" w:cs="Arial"/>
                <w:spacing w:val="18"/>
                <w:w w:val="101"/>
                <w:sz w:val="15"/>
                <w:szCs w:val="15"/>
              </w:rPr>
              <w:t xml:space="preserve"> </w:t>
            </w:r>
            <w:r>
              <w:rPr>
                <w:rFonts w:ascii="Arial" w:hAnsi="Arial" w:eastAsia="Arial" w:cs="Arial"/>
                <w:spacing w:val="-10"/>
                <w:sz w:val="15"/>
                <w:szCs w:val="15"/>
              </w:rPr>
              <w:t>(18.6)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0" w:hRule="atLeast"/>
        </w:trPr>
        <w:tc>
          <w:tcPr>
            <w:tcW w:w="1985" w:type="dxa"/>
            <w:vAlign w:val="top"/>
          </w:tcPr>
          <w:p>
            <w:pPr>
              <w:spacing w:line="236" w:lineRule="auto"/>
              <w:ind w:left="9"/>
              <w:rPr>
                <w:rFonts w:ascii="Arial" w:hAnsi="Arial" w:eastAsia="Arial" w:cs="Arial"/>
                <w:sz w:val="15"/>
                <w:szCs w:val="15"/>
              </w:rPr>
            </w:pPr>
            <w:r>
              <w:rPr>
                <w:rFonts w:ascii="Arial" w:hAnsi="Arial" w:eastAsia="Arial" w:cs="Arial"/>
                <w:spacing w:val="-7"/>
                <w:sz w:val="15"/>
                <w:szCs w:val="15"/>
              </w:rPr>
              <w:t>secretariats</w:t>
            </w:r>
          </w:p>
        </w:tc>
        <w:tc>
          <w:tcPr>
            <w:tcW w:w="1613" w:type="dxa"/>
            <w:vAlign w:val="top"/>
          </w:tcPr>
          <w:p>
            <w:pPr>
              <w:spacing w:before="27" w:line="181" w:lineRule="auto"/>
              <w:ind w:left="579"/>
              <w:rPr>
                <w:rFonts w:ascii="Arial" w:hAnsi="Arial" w:eastAsia="Arial" w:cs="Arial"/>
                <w:sz w:val="15"/>
                <w:szCs w:val="15"/>
              </w:rPr>
            </w:pPr>
            <w:r>
              <w:rPr>
                <w:rFonts w:ascii="Arial" w:hAnsi="Arial" w:eastAsia="Arial" w:cs="Arial"/>
                <w:spacing w:val="-10"/>
                <w:sz w:val="15"/>
                <w:szCs w:val="15"/>
              </w:rPr>
              <w:t>84</w:t>
            </w:r>
            <w:r>
              <w:rPr>
                <w:rFonts w:ascii="Arial" w:hAnsi="Arial" w:eastAsia="Arial" w:cs="Arial"/>
                <w:spacing w:val="18"/>
                <w:w w:val="101"/>
                <w:sz w:val="15"/>
                <w:szCs w:val="15"/>
              </w:rPr>
              <w:t xml:space="preserve"> </w:t>
            </w:r>
            <w:r>
              <w:rPr>
                <w:rFonts w:ascii="Arial" w:hAnsi="Arial" w:eastAsia="Arial" w:cs="Arial"/>
                <w:spacing w:val="-10"/>
                <w:sz w:val="15"/>
                <w:szCs w:val="15"/>
              </w:rPr>
              <w:t>(10.6)</w:t>
            </w:r>
          </w:p>
        </w:tc>
        <w:tc>
          <w:tcPr>
            <w:tcW w:w="1615" w:type="dxa"/>
            <w:vAlign w:val="top"/>
          </w:tcPr>
          <w:p>
            <w:pPr>
              <w:spacing w:before="27" w:line="181" w:lineRule="auto"/>
              <w:ind w:left="658"/>
              <w:rPr>
                <w:rFonts w:ascii="Arial" w:hAnsi="Arial" w:eastAsia="Arial" w:cs="Arial"/>
                <w:sz w:val="15"/>
                <w:szCs w:val="15"/>
              </w:rPr>
            </w:pPr>
            <w:r>
              <w:rPr>
                <w:rFonts w:ascii="Arial" w:hAnsi="Arial" w:eastAsia="Arial" w:cs="Arial"/>
                <w:spacing w:val="-10"/>
                <w:sz w:val="15"/>
                <w:szCs w:val="15"/>
              </w:rPr>
              <w:t>55</w:t>
            </w:r>
            <w:r>
              <w:rPr>
                <w:rFonts w:ascii="Arial" w:hAnsi="Arial" w:eastAsia="Arial" w:cs="Arial"/>
                <w:spacing w:val="16"/>
                <w:w w:val="102"/>
                <w:sz w:val="15"/>
                <w:szCs w:val="15"/>
              </w:rPr>
              <w:t xml:space="preserve"> </w:t>
            </w:r>
            <w:r>
              <w:rPr>
                <w:rFonts w:ascii="Arial" w:hAnsi="Arial" w:eastAsia="Arial" w:cs="Arial"/>
                <w:spacing w:val="-10"/>
                <w:sz w:val="15"/>
                <w:szCs w:val="15"/>
              </w:rPr>
              <w:t>(9.5)</w:t>
            </w:r>
          </w:p>
        </w:tc>
        <w:tc>
          <w:tcPr>
            <w:tcW w:w="1541" w:type="dxa"/>
            <w:vAlign w:val="top"/>
          </w:tcPr>
          <w:p>
            <w:pPr>
              <w:spacing w:before="27" w:line="181" w:lineRule="auto"/>
              <w:ind w:left="510"/>
              <w:rPr>
                <w:rFonts w:ascii="Arial" w:hAnsi="Arial" w:eastAsia="Arial" w:cs="Arial"/>
                <w:sz w:val="15"/>
                <w:szCs w:val="15"/>
              </w:rPr>
            </w:pPr>
            <w:r>
              <w:rPr>
                <w:rFonts w:ascii="Arial" w:hAnsi="Arial" w:eastAsia="Arial" w:cs="Arial"/>
                <w:spacing w:val="-10"/>
                <w:sz w:val="15"/>
                <w:szCs w:val="15"/>
              </w:rPr>
              <w:t>26</w:t>
            </w:r>
            <w:r>
              <w:rPr>
                <w:rFonts w:ascii="Arial" w:hAnsi="Arial" w:eastAsia="Arial" w:cs="Arial"/>
                <w:spacing w:val="17"/>
                <w:w w:val="101"/>
                <w:sz w:val="15"/>
                <w:szCs w:val="15"/>
              </w:rPr>
              <w:t xml:space="preserve"> </w:t>
            </w:r>
            <w:r>
              <w:rPr>
                <w:rFonts w:ascii="Arial" w:hAnsi="Arial" w:eastAsia="Arial" w:cs="Arial"/>
                <w:spacing w:val="-10"/>
                <w:sz w:val="15"/>
                <w:szCs w:val="15"/>
              </w:rPr>
              <w:t>(27.4)</w:t>
            </w:r>
          </w:p>
        </w:tc>
        <w:tc>
          <w:tcPr>
            <w:tcW w:w="1195" w:type="dxa"/>
            <w:vAlign w:val="top"/>
          </w:tcPr>
          <w:p>
            <w:pPr>
              <w:spacing w:before="27" w:line="181" w:lineRule="auto"/>
              <w:ind w:left="660"/>
              <w:rPr>
                <w:rFonts w:ascii="Arial" w:hAnsi="Arial" w:eastAsia="Arial" w:cs="Arial"/>
                <w:sz w:val="15"/>
                <w:szCs w:val="15"/>
              </w:rPr>
            </w:pPr>
            <w:r>
              <w:rPr>
                <w:rFonts w:ascii="Arial" w:hAnsi="Arial" w:eastAsia="Arial" w:cs="Arial"/>
                <w:spacing w:val="-10"/>
                <w:sz w:val="15"/>
                <w:szCs w:val="15"/>
              </w:rPr>
              <w:t>3</w:t>
            </w:r>
            <w:r>
              <w:rPr>
                <w:rFonts w:ascii="Arial" w:hAnsi="Arial" w:eastAsia="Arial" w:cs="Arial"/>
                <w:spacing w:val="17"/>
                <w:sz w:val="15"/>
                <w:szCs w:val="15"/>
              </w:rPr>
              <w:t xml:space="preserve"> </w:t>
            </w:r>
            <w:r>
              <w:rPr>
                <w:rFonts w:ascii="Arial" w:hAnsi="Arial" w:eastAsia="Arial" w:cs="Arial"/>
                <w:spacing w:val="-10"/>
                <w:sz w:val="15"/>
                <w:szCs w:val="15"/>
              </w:rPr>
              <w:t>(2.7)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1" w:hRule="atLeast"/>
        </w:trPr>
        <w:tc>
          <w:tcPr>
            <w:tcW w:w="1985" w:type="dxa"/>
            <w:vAlign w:val="top"/>
          </w:tcPr>
          <w:p>
            <w:pPr>
              <w:spacing w:line="237" w:lineRule="auto"/>
              <w:ind w:left="9"/>
              <w:rPr>
                <w:rFonts w:ascii="Arial" w:hAnsi="Arial" w:eastAsia="Arial" w:cs="Arial"/>
                <w:sz w:val="15"/>
                <w:szCs w:val="15"/>
              </w:rPr>
            </w:pPr>
            <w:r>
              <w:rPr>
                <w:rFonts w:ascii="Arial" w:hAnsi="Arial" w:eastAsia="Arial" w:cs="Arial"/>
                <w:spacing w:val="-8"/>
                <w:sz w:val="15"/>
                <w:szCs w:val="15"/>
              </w:rPr>
              <w:t>service</w:t>
            </w:r>
          </w:p>
        </w:tc>
        <w:tc>
          <w:tcPr>
            <w:tcW w:w="1613" w:type="dxa"/>
            <w:vAlign w:val="top"/>
          </w:tcPr>
          <w:p>
            <w:pPr>
              <w:spacing w:before="27" w:line="181" w:lineRule="auto"/>
              <w:ind w:left="513"/>
              <w:rPr>
                <w:rFonts w:ascii="Arial" w:hAnsi="Arial" w:eastAsia="Arial" w:cs="Arial"/>
                <w:sz w:val="15"/>
                <w:szCs w:val="15"/>
              </w:rPr>
            </w:pPr>
            <w:r>
              <w:rPr>
                <w:rFonts w:ascii="Arial" w:hAnsi="Arial" w:eastAsia="Arial" w:cs="Arial"/>
                <w:spacing w:val="-11"/>
                <w:sz w:val="15"/>
                <w:szCs w:val="15"/>
              </w:rPr>
              <w:t>113</w:t>
            </w:r>
            <w:r>
              <w:rPr>
                <w:rFonts w:ascii="Arial" w:hAnsi="Arial" w:eastAsia="Arial" w:cs="Arial"/>
                <w:spacing w:val="19"/>
                <w:w w:val="102"/>
                <w:sz w:val="15"/>
                <w:szCs w:val="15"/>
              </w:rPr>
              <w:t xml:space="preserve"> </w:t>
            </w:r>
            <w:r>
              <w:rPr>
                <w:rFonts w:ascii="Arial" w:hAnsi="Arial" w:eastAsia="Arial" w:cs="Arial"/>
                <w:spacing w:val="-11"/>
                <w:sz w:val="15"/>
                <w:szCs w:val="15"/>
              </w:rPr>
              <w:t>(14.3)</w:t>
            </w:r>
          </w:p>
        </w:tc>
        <w:tc>
          <w:tcPr>
            <w:tcW w:w="1615" w:type="dxa"/>
            <w:vAlign w:val="top"/>
          </w:tcPr>
          <w:p>
            <w:pPr>
              <w:spacing w:before="27" w:line="181" w:lineRule="auto"/>
              <w:ind w:left="583"/>
              <w:rPr>
                <w:rFonts w:ascii="Arial" w:hAnsi="Arial" w:eastAsia="Arial" w:cs="Arial"/>
                <w:sz w:val="15"/>
                <w:szCs w:val="15"/>
              </w:rPr>
            </w:pPr>
            <w:r>
              <w:rPr>
                <w:rFonts w:ascii="Arial" w:hAnsi="Arial" w:eastAsia="Arial" w:cs="Arial"/>
                <w:spacing w:val="-10"/>
                <w:sz w:val="15"/>
                <w:szCs w:val="15"/>
              </w:rPr>
              <w:t>92</w:t>
            </w:r>
            <w:r>
              <w:rPr>
                <w:rFonts w:ascii="Arial" w:hAnsi="Arial" w:eastAsia="Arial" w:cs="Arial"/>
                <w:spacing w:val="18"/>
                <w:sz w:val="15"/>
                <w:szCs w:val="15"/>
              </w:rPr>
              <w:t xml:space="preserve"> </w:t>
            </w:r>
            <w:r>
              <w:rPr>
                <w:rFonts w:ascii="Arial" w:hAnsi="Arial" w:eastAsia="Arial" w:cs="Arial"/>
                <w:spacing w:val="-10"/>
                <w:sz w:val="15"/>
                <w:szCs w:val="15"/>
              </w:rPr>
              <w:t>(15.8)</w:t>
            </w:r>
          </w:p>
        </w:tc>
        <w:tc>
          <w:tcPr>
            <w:tcW w:w="1541" w:type="dxa"/>
            <w:vAlign w:val="top"/>
          </w:tcPr>
          <w:p>
            <w:pPr>
              <w:spacing w:before="27" w:line="181" w:lineRule="auto"/>
              <w:ind w:left="661"/>
              <w:rPr>
                <w:rFonts w:ascii="Arial" w:hAnsi="Arial" w:eastAsia="Arial" w:cs="Arial"/>
                <w:sz w:val="15"/>
                <w:szCs w:val="15"/>
              </w:rPr>
            </w:pPr>
            <w:r>
              <w:rPr>
                <w:rFonts w:ascii="Arial" w:hAnsi="Arial" w:eastAsia="Arial" w:cs="Arial"/>
                <w:spacing w:val="-11"/>
                <w:sz w:val="15"/>
                <w:szCs w:val="15"/>
              </w:rPr>
              <w:t>7</w:t>
            </w:r>
            <w:r>
              <w:rPr>
                <w:rFonts w:ascii="Arial" w:hAnsi="Arial" w:eastAsia="Arial" w:cs="Arial"/>
                <w:spacing w:val="20"/>
                <w:sz w:val="15"/>
                <w:szCs w:val="15"/>
              </w:rPr>
              <w:t xml:space="preserve"> </w:t>
            </w:r>
            <w:r>
              <w:rPr>
                <w:rFonts w:ascii="Arial" w:hAnsi="Arial" w:eastAsia="Arial" w:cs="Arial"/>
                <w:spacing w:val="-11"/>
                <w:sz w:val="15"/>
                <w:szCs w:val="15"/>
              </w:rPr>
              <w:t>(7.4)</w:t>
            </w:r>
          </w:p>
        </w:tc>
        <w:tc>
          <w:tcPr>
            <w:tcW w:w="1195" w:type="dxa"/>
            <w:vAlign w:val="top"/>
          </w:tcPr>
          <w:p>
            <w:pPr>
              <w:spacing w:before="27" w:line="181" w:lineRule="auto"/>
              <w:ind w:left="518"/>
              <w:rPr>
                <w:rFonts w:ascii="Arial" w:hAnsi="Arial" w:eastAsia="Arial" w:cs="Arial"/>
                <w:sz w:val="15"/>
                <w:szCs w:val="15"/>
              </w:rPr>
            </w:pPr>
            <w:r>
              <w:rPr>
                <w:rFonts w:ascii="Arial" w:hAnsi="Arial" w:eastAsia="Arial" w:cs="Arial"/>
                <w:spacing w:val="-11"/>
                <w:sz w:val="15"/>
                <w:szCs w:val="15"/>
              </w:rPr>
              <w:t>14</w:t>
            </w:r>
            <w:r>
              <w:rPr>
                <w:rFonts w:ascii="Arial" w:hAnsi="Arial" w:eastAsia="Arial" w:cs="Arial"/>
                <w:spacing w:val="18"/>
                <w:w w:val="101"/>
                <w:sz w:val="15"/>
                <w:szCs w:val="15"/>
              </w:rPr>
              <w:t xml:space="preserve"> </w:t>
            </w:r>
            <w:r>
              <w:rPr>
                <w:rFonts w:ascii="Arial" w:hAnsi="Arial" w:eastAsia="Arial" w:cs="Arial"/>
                <w:spacing w:val="-11"/>
                <w:sz w:val="15"/>
                <w:szCs w:val="15"/>
              </w:rPr>
              <w:t>(12.4)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5" w:hRule="atLeast"/>
        </w:trPr>
        <w:tc>
          <w:tcPr>
            <w:tcW w:w="1985" w:type="dxa"/>
            <w:vAlign w:val="top"/>
          </w:tcPr>
          <w:p>
            <w:pPr>
              <w:spacing w:before="28" w:line="162" w:lineRule="auto"/>
              <w:ind w:left="4"/>
              <w:rPr>
                <w:rFonts w:ascii="Arial" w:hAnsi="Arial" w:eastAsia="Arial" w:cs="Arial"/>
                <w:sz w:val="15"/>
                <w:szCs w:val="15"/>
              </w:rPr>
            </w:pPr>
            <w:r>
              <w:rPr>
                <w:rFonts w:ascii="Arial" w:hAnsi="Arial" w:eastAsia="Arial" w:cs="Arial"/>
                <w:spacing w:val="-8"/>
                <w:w w:val="94"/>
                <w:sz w:val="15"/>
                <w:szCs w:val="15"/>
              </w:rPr>
              <w:t>Sex</w:t>
            </w:r>
          </w:p>
        </w:tc>
        <w:tc>
          <w:tcPr>
            <w:tcW w:w="1613" w:type="dxa"/>
            <w:vAlign w:val="top"/>
          </w:tcPr>
          <w:p>
            <w:pPr>
              <w:spacing w:line="145" w:lineRule="exact"/>
              <w:rPr>
                <w:rFonts w:ascii="Arial"/>
                <w:sz w:val="12"/>
              </w:rPr>
            </w:pPr>
          </w:p>
        </w:tc>
        <w:tc>
          <w:tcPr>
            <w:tcW w:w="1615" w:type="dxa"/>
            <w:vAlign w:val="top"/>
          </w:tcPr>
          <w:p>
            <w:pPr>
              <w:spacing w:line="145" w:lineRule="exact"/>
              <w:rPr>
                <w:rFonts w:ascii="Arial"/>
                <w:sz w:val="12"/>
              </w:rPr>
            </w:pPr>
          </w:p>
        </w:tc>
        <w:tc>
          <w:tcPr>
            <w:tcW w:w="1541" w:type="dxa"/>
            <w:vAlign w:val="top"/>
          </w:tcPr>
          <w:p>
            <w:pPr>
              <w:spacing w:line="145" w:lineRule="exact"/>
              <w:rPr>
                <w:rFonts w:ascii="Arial"/>
                <w:sz w:val="12"/>
              </w:rPr>
            </w:pPr>
          </w:p>
        </w:tc>
        <w:tc>
          <w:tcPr>
            <w:tcW w:w="1195" w:type="dxa"/>
            <w:vAlign w:val="top"/>
          </w:tcPr>
          <w:p>
            <w:pPr>
              <w:spacing w:line="145" w:lineRule="exact"/>
              <w:rPr>
                <w:rFonts w:ascii="Arial"/>
                <w:sz w:val="12"/>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9" w:hRule="atLeast"/>
        </w:trPr>
        <w:tc>
          <w:tcPr>
            <w:tcW w:w="1985" w:type="dxa"/>
            <w:vAlign w:val="top"/>
          </w:tcPr>
          <w:p>
            <w:pPr>
              <w:spacing w:before="22" w:line="232" w:lineRule="auto"/>
              <w:ind w:left="13"/>
              <w:rPr>
                <w:rFonts w:ascii="Arial" w:hAnsi="Arial" w:eastAsia="Arial" w:cs="Arial"/>
                <w:sz w:val="15"/>
                <w:szCs w:val="15"/>
              </w:rPr>
            </w:pPr>
            <w:r>
              <w:rPr>
                <w:rFonts w:ascii="Arial" w:hAnsi="Arial" w:eastAsia="Arial" w:cs="Arial"/>
                <w:spacing w:val="-7"/>
                <w:sz w:val="15"/>
                <w:szCs w:val="15"/>
              </w:rPr>
              <w:t>male</w:t>
            </w:r>
          </w:p>
        </w:tc>
        <w:tc>
          <w:tcPr>
            <w:tcW w:w="1613" w:type="dxa"/>
            <w:vAlign w:val="top"/>
          </w:tcPr>
          <w:p>
            <w:pPr>
              <w:spacing w:before="51" w:line="181" w:lineRule="auto"/>
              <w:ind w:left="505"/>
              <w:rPr>
                <w:rFonts w:ascii="Arial" w:hAnsi="Arial" w:eastAsia="Arial" w:cs="Arial"/>
                <w:sz w:val="15"/>
                <w:szCs w:val="15"/>
              </w:rPr>
            </w:pPr>
            <w:r>
              <w:rPr>
                <w:rFonts w:ascii="Arial" w:hAnsi="Arial" w:eastAsia="Arial" w:cs="Arial"/>
                <w:spacing w:val="-10"/>
                <w:sz w:val="15"/>
                <w:szCs w:val="15"/>
              </w:rPr>
              <w:t>295</w:t>
            </w:r>
            <w:r>
              <w:rPr>
                <w:rFonts w:ascii="Arial" w:hAnsi="Arial" w:eastAsia="Arial" w:cs="Arial"/>
                <w:spacing w:val="19"/>
                <w:sz w:val="15"/>
                <w:szCs w:val="15"/>
              </w:rPr>
              <w:t xml:space="preserve"> </w:t>
            </w:r>
            <w:r>
              <w:rPr>
                <w:rFonts w:ascii="Arial" w:hAnsi="Arial" w:eastAsia="Arial" w:cs="Arial"/>
                <w:spacing w:val="-10"/>
                <w:sz w:val="15"/>
                <w:szCs w:val="15"/>
              </w:rPr>
              <w:t>(40.6)</w:t>
            </w:r>
          </w:p>
        </w:tc>
        <w:tc>
          <w:tcPr>
            <w:tcW w:w="1615" w:type="dxa"/>
            <w:vAlign w:val="top"/>
          </w:tcPr>
          <w:p>
            <w:pPr>
              <w:spacing w:before="51" w:line="181" w:lineRule="auto"/>
              <w:ind w:left="509"/>
              <w:rPr>
                <w:rFonts w:ascii="Arial" w:hAnsi="Arial" w:eastAsia="Arial" w:cs="Arial"/>
                <w:sz w:val="15"/>
                <w:szCs w:val="15"/>
              </w:rPr>
            </w:pPr>
            <w:r>
              <w:rPr>
                <w:rFonts w:ascii="Arial" w:hAnsi="Arial" w:eastAsia="Arial" w:cs="Arial"/>
                <w:spacing w:val="-10"/>
                <w:sz w:val="15"/>
                <w:szCs w:val="15"/>
              </w:rPr>
              <w:t>206</w:t>
            </w:r>
            <w:r>
              <w:rPr>
                <w:rFonts w:ascii="Arial" w:hAnsi="Arial" w:eastAsia="Arial" w:cs="Arial"/>
                <w:spacing w:val="19"/>
                <w:sz w:val="15"/>
                <w:szCs w:val="15"/>
              </w:rPr>
              <w:t xml:space="preserve"> </w:t>
            </w:r>
            <w:r>
              <w:rPr>
                <w:rFonts w:ascii="Arial" w:hAnsi="Arial" w:eastAsia="Arial" w:cs="Arial"/>
                <w:spacing w:val="-10"/>
                <w:sz w:val="15"/>
                <w:szCs w:val="15"/>
              </w:rPr>
              <w:t>(37.2)</w:t>
            </w:r>
          </w:p>
        </w:tc>
        <w:tc>
          <w:tcPr>
            <w:tcW w:w="1541" w:type="dxa"/>
            <w:vAlign w:val="top"/>
          </w:tcPr>
          <w:p>
            <w:pPr>
              <w:spacing w:before="51" w:line="181" w:lineRule="auto"/>
              <w:ind w:left="510"/>
              <w:rPr>
                <w:rFonts w:ascii="Arial" w:hAnsi="Arial" w:eastAsia="Arial" w:cs="Arial"/>
                <w:sz w:val="15"/>
                <w:szCs w:val="15"/>
              </w:rPr>
            </w:pPr>
            <w:r>
              <w:rPr>
                <w:rFonts w:ascii="Arial" w:hAnsi="Arial" w:eastAsia="Arial" w:cs="Arial"/>
                <w:spacing w:val="-10"/>
                <w:sz w:val="15"/>
                <w:szCs w:val="15"/>
              </w:rPr>
              <w:t>34</w:t>
            </w:r>
            <w:r>
              <w:rPr>
                <w:rFonts w:ascii="Arial" w:hAnsi="Arial" w:eastAsia="Arial" w:cs="Arial"/>
                <w:spacing w:val="18"/>
                <w:sz w:val="15"/>
                <w:szCs w:val="15"/>
              </w:rPr>
              <w:t xml:space="preserve"> </w:t>
            </w:r>
            <w:r>
              <w:rPr>
                <w:rFonts w:ascii="Arial" w:hAnsi="Arial" w:eastAsia="Arial" w:cs="Arial"/>
                <w:spacing w:val="-10"/>
                <w:sz w:val="15"/>
                <w:szCs w:val="15"/>
              </w:rPr>
              <w:t>(42.0)</w:t>
            </w:r>
          </w:p>
        </w:tc>
        <w:tc>
          <w:tcPr>
            <w:tcW w:w="1195" w:type="dxa"/>
            <w:vAlign w:val="top"/>
          </w:tcPr>
          <w:p>
            <w:pPr>
              <w:spacing w:before="51" w:line="181" w:lineRule="auto"/>
              <w:ind w:left="510"/>
              <w:rPr>
                <w:rFonts w:ascii="Arial" w:hAnsi="Arial" w:eastAsia="Arial" w:cs="Arial"/>
                <w:sz w:val="15"/>
                <w:szCs w:val="15"/>
              </w:rPr>
            </w:pPr>
            <w:r>
              <w:rPr>
                <w:rFonts w:ascii="Arial" w:hAnsi="Arial" w:eastAsia="Arial" w:cs="Arial"/>
                <w:spacing w:val="-10"/>
                <w:sz w:val="15"/>
                <w:szCs w:val="15"/>
              </w:rPr>
              <w:t>55</w:t>
            </w:r>
            <w:r>
              <w:rPr>
                <w:rFonts w:ascii="Arial" w:hAnsi="Arial" w:eastAsia="Arial" w:cs="Arial"/>
                <w:spacing w:val="19"/>
                <w:w w:val="101"/>
                <w:sz w:val="15"/>
                <w:szCs w:val="15"/>
              </w:rPr>
              <w:t xml:space="preserve"> </w:t>
            </w:r>
            <w:r>
              <w:rPr>
                <w:rFonts w:ascii="Arial" w:hAnsi="Arial" w:eastAsia="Arial" w:cs="Arial"/>
                <w:spacing w:val="-10"/>
                <w:sz w:val="15"/>
                <w:szCs w:val="15"/>
              </w:rPr>
              <w:t>(59.8)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1" w:hRule="atLeast"/>
        </w:trPr>
        <w:tc>
          <w:tcPr>
            <w:tcW w:w="1985" w:type="dxa"/>
            <w:vAlign w:val="top"/>
          </w:tcPr>
          <w:p>
            <w:pPr>
              <w:spacing w:before="3" w:line="212" w:lineRule="exact"/>
              <w:ind w:left="5"/>
              <w:rPr>
                <w:rFonts w:ascii="Arial" w:hAnsi="Arial" w:eastAsia="Arial" w:cs="Arial"/>
                <w:sz w:val="15"/>
                <w:szCs w:val="15"/>
              </w:rPr>
            </w:pPr>
            <w:r>
              <w:rPr>
                <w:rFonts w:ascii="Arial" w:hAnsi="Arial" w:eastAsia="Arial" w:cs="Arial"/>
                <w:spacing w:val="-5"/>
                <w:position w:val="3"/>
                <w:sz w:val="15"/>
                <w:szCs w:val="15"/>
              </w:rPr>
              <w:t>female</w:t>
            </w:r>
          </w:p>
          <w:p>
            <w:pPr>
              <w:spacing w:line="195" w:lineRule="auto"/>
              <w:rPr>
                <w:rFonts w:ascii="Arial" w:hAnsi="Arial" w:eastAsia="Arial" w:cs="Arial"/>
                <w:sz w:val="15"/>
                <w:szCs w:val="15"/>
              </w:rPr>
            </w:pPr>
            <w:r>
              <w:rPr>
                <w:rFonts w:ascii="Arial" w:hAnsi="Arial" w:eastAsia="Arial" w:cs="Arial"/>
                <w:spacing w:val="-9"/>
                <w:sz w:val="15"/>
                <w:szCs w:val="15"/>
              </w:rPr>
              <w:t>Age</w:t>
            </w:r>
          </w:p>
        </w:tc>
        <w:tc>
          <w:tcPr>
            <w:tcW w:w="1613" w:type="dxa"/>
            <w:vAlign w:val="top"/>
          </w:tcPr>
          <w:p>
            <w:pPr>
              <w:spacing w:before="32" w:line="181" w:lineRule="auto"/>
              <w:ind w:left="501"/>
              <w:rPr>
                <w:rFonts w:ascii="Arial" w:hAnsi="Arial" w:eastAsia="Arial" w:cs="Arial"/>
                <w:sz w:val="15"/>
                <w:szCs w:val="15"/>
              </w:rPr>
            </w:pPr>
            <w:r>
              <w:rPr>
                <w:rFonts w:ascii="Arial" w:hAnsi="Arial" w:eastAsia="Arial" w:cs="Arial"/>
                <w:spacing w:val="-10"/>
                <w:sz w:val="15"/>
                <w:szCs w:val="15"/>
              </w:rPr>
              <w:t>432</w:t>
            </w:r>
            <w:r>
              <w:rPr>
                <w:rFonts w:ascii="Arial" w:hAnsi="Arial" w:eastAsia="Arial" w:cs="Arial"/>
                <w:spacing w:val="23"/>
                <w:sz w:val="15"/>
                <w:szCs w:val="15"/>
              </w:rPr>
              <w:t xml:space="preserve"> </w:t>
            </w:r>
            <w:r>
              <w:rPr>
                <w:rFonts w:ascii="Arial" w:hAnsi="Arial" w:eastAsia="Arial" w:cs="Arial"/>
                <w:spacing w:val="-10"/>
                <w:sz w:val="15"/>
                <w:szCs w:val="15"/>
              </w:rPr>
              <w:t>(59.4)</w:t>
            </w:r>
          </w:p>
        </w:tc>
        <w:tc>
          <w:tcPr>
            <w:tcW w:w="1615" w:type="dxa"/>
            <w:vAlign w:val="top"/>
          </w:tcPr>
          <w:p>
            <w:pPr>
              <w:spacing w:before="32" w:line="181" w:lineRule="auto"/>
              <w:ind w:left="508"/>
              <w:rPr>
                <w:rFonts w:ascii="Arial" w:hAnsi="Arial" w:eastAsia="Arial" w:cs="Arial"/>
                <w:sz w:val="15"/>
                <w:szCs w:val="15"/>
              </w:rPr>
            </w:pPr>
            <w:r>
              <w:rPr>
                <w:rFonts w:ascii="Arial" w:hAnsi="Arial" w:eastAsia="Arial" w:cs="Arial"/>
                <w:spacing w:val="-10"/>
                <w:sz w:val="15"/>
                <w:szCs w:val="15"/>
              </w:rPr>
              <w:t>348</w:t>
            </w:r>
            <w:r>
              <w:rPr>
                <w:rFonts w:ascii="Arial" w:hAnsi="Arial" w:eastAsia="Arial" w:cs="Arial"/>
                <w:spacing w:val="19"/>
                <w:w w:val="101"/>
                <w:sz w:val="15"/>
                <w:szCs w:val="15"/>
              </w:rPr>
              <w:t xml:space="preserve"> </w:t>
            </w:r>
            <w:r>
              <w:rPr>
                <w:rFonts w:ascii="Arial" w:hAnsi="Arial" w:eastAsia="Arial" w:cs="Arial"/>
                <w:spacing w:val="-10"/>
                <w:sz w:val="15"/>
                <w:szCs w:val="15"/>
              </w:rPr>
              <w:t>(62.8)</w:t>
            </w:r>
          </w:p>
        </w:tc>
        <w:tc>
          <w:tcPr>
            <w:tcW w:w="1541" w:type="dxa"/>
            <w:vAlign w:val="top"/>
          </w:tcPr>
          <w:p>
            <w:pPr>
              <w:spacing w:before="32" w:line="181" w:lineRule="auto"/>
              <w:ind w:left="506"/>
              <w:rPr>
                <w:rFonts w:ascii="Arial" w:hAnsi="Arial" w:eastAsia="Arial" w:cs="Arial"/>
                <w:sz w:val="15"/>
                <w:szCs w:val="15"/>
              </w:rPr>
            </w:pPr>
            <w:r>
              <w:rPr>
                <w:rFonts w:ascii="Arial" w:hAnsi="Arial" w:eastAsia="Arial" w:cs="Arial"/>
                <w:spacing w:val="-10"/>
                <w:sz w:val="15"/>
                <w:szCs w:val="15"/>
              </w:rPr>
              <w:t>47</w:t>
            </w:r>
            <w:r>
              <w:rPr>
                <w:rFonts w:ascii="Arial" w:hAnsi="Arial" w:eastAsia="Arial" w:cs="Arial"/>
                <w:spacing w:val="21"/>
                <w:w w:val="101"/>
                <w:sz w:val="15"/>
                <w:szCs w:val="15"/>
              </w:rPr>
              <w:t xml:space="preserve"> </w:t>
            </w:r>
            <w:r>
              <w:rPr>
                <w:rFonts w:ascii="Arial" w:hAnsi="Arial" w:eastAsia="Arial" w:cs="Arial"/>
                <w:spacing w:val="-10"/>
                <w:sz w:val="15"/>
                <w:szCs w:val="15"/>
              </w:rPr>
              <w:t>(58.0)</w:t>
            </w:r>
          </w:p>
        </w:tc>
        <w:tc>
          <w:tcPr>
            <w:tcW w:w="1195" w:type="dxa"/>
            <w:vAlign w:val="top"/>
          </w:tcPr>
          <w:p>
            <w:pPr>
              <w:spacing w:before="32" w:line="181" w:lineRule="auto"/>
              <w:ind w:left="510"/>
              <w:rPr>
                <w:rFonts w:ascii="Arial" w:hAnsi="Arial" w:eastAsia="Arial" w:cs="Arial"/>
                <w:sz w:val="15"/>
                <w:szCs w:val="15"/>
              </w:rPr>
            </w:pPr>
            <w:r>
              <w:rPr>
                <w:rFonts w:ascii="Arial" w:hAnsi="Arial" w:eastAsia="Arial" w:cs="Arial"/>
                <w:spacing w:val="-10"/>
                <w:sz w:val="15"/>
                <w:szCs w:val="15"/>
              </w:rPr>
              <w:t>37</w:t>
            </w:r>
            <w:r>
              <w:rPr>
                <w:rFonts w:ascii="Arial" w:hAnsi="Arial" w:eastAsia="Arial" w:cs="Arial"/>
                <w:spacing w:val="19"/>
                <w:sz w:val="15"/>
                <w:szCs w:val="15"/>
              </w:rPr>
              <w:t xml:space="preserve"> </w:t>
            </w:r>
            <w:r>
              <w:rPr>
                <w:rFonts w:ascii="Arial" w:hAnsi="Arial" w:eastAsia="Arial" w:cs="Arial"/>
                <w:spacing w:val="-10"/>
                <w:sz w:val="15"/>
                <w:szCs w:val="15"/>
              </w:rPr>
              <w:t>(40.2)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0" w:hRule="atLeast"/>
        </w:trPr>
        <w:tc>
          <w:tcPr>
            <w:tcW w:w="1985" w:type="dxa"/>
            <w:vAlign w:val="top"/>
          </w:tcPr>
          <w:p>
            <w:pPr>
              <w:spacing w:before="27" w:line="196" w:lineRule="auto"/>
              <w:ind w:left="14"/>
              <w:rPr>
                <w:rFonts w:ascii="Arial" w:hAnsi="Arial" w:eastAsia="Arial" w:cs="Arial"/>
                <w:sz w:val="15"/>
                <w:szCs w:val="15"/>
              </w:rPr>
            </w:pPr>
            <w:r>
              <w:rPr>
                <w:rFonts w:ascii="Arial" w:hAnsi="Arial" w:eastAsia="Arial" w:cs="Arial"/>
                <w:spacing w:val="-9"/>
                <w:sz w:val="15"/>
                <w:szCs w:val="15"/>
              </w:rPr>
              <w:t>&lt;</w:t>
            </w:r>
            <w:r>
              <w:rPr>
                <w:rFonts w:ascii="Arial" w:hAnsi="Arial" w:eastAsia="Arial" w:cs="Arial"/>
                <w:spacing w:val="15"/>
                <w:w w:val="101"/>
                <w:sz w:val="15"/>
                <w:szCs w:val="15"/>
              </w:rPr>
              <w:t xml:space="preserve"> </w:t>
            </w:r>
            <w:r>
              <w:rPr>
                <w:rFonts w:ascii="Arial" w:hAnsi="Arial" w:eastAsia="Arial" w:cs="Arial"/>
                <w:spacing w:val="-9"/>
                <w:sz w:val="15"/>
                <w:szCs w:val="15"/>
              </w:rPr>
              <w:t>30</w:t>
            </w:r>
            <w:r>
              <w:rPr>
                <w:rFonts w:ascii="Arial" w:hAnsi="Arial" w:eastAsia="Arial" w:cs="Arial"/>
                <w:spacing w:val="7"/>
                <w:sz w:val="15"/>
                <w:szCs w:val="15"/>
              </w:rPr>
              <w:t xml:space="preserve"> </w:t>
            </w:r>
            <w:r>
              <w:rPr>
                <w:rFonts w:ascii="Arial" w:hAnsi="Arial" w:eastAsia="Arial" w:cs="Arial"/>
                <w:spacing w:val="-9"/>
                <w:sz w:val="15"/>
                <w:szCs w:val="15"/>
              </w:rPr>
              <w:t>years</w:t>
            </w:r>
          </w:p>
        </w:tc>
        <w:tc>
          <w:tcPr>
            <w:tcW w:w="1613" w:type="dxa"/>
            <w:vAlign w:val="top"/>
          </w:tcPr>
          <w:p>
            <w:pPr>
              <w:spacing w:before="22" w:line="181" w:lineRule="auto"/>
              <w:ind w:left="579"/>
              <w:rPr>
                <w:rFonts w:ascii="Arial" w:hAnsi="Arial" w:eastAsia="Arial" w:cs="Arial"/>
                <w:sz w:val="15"/>
                <w:szCs w:val="15"/>
              </w:rPr>
            </w:pPr>
            <w:r>
              <w:rPr>
                <w:rFonts w:ascii="Arial" w:hAnsi="Arial" w:eastAsia="Arial" w:cs="Arial"/>
                <w:spacing w:val="-10"/>
                <w:sz w:val="15"/>
                <w:szCs w:val="15"/>
              </w:rPr>
              <w:t>87</w:t>
            </w:r>
            <w:r>
              <w:rPr>
                <w:rFonts w:ascii="Arial" w:hAnsi="Arial" w:eastAsia="Arial" w:cs="Arial"/>
                <w:spacing w:val="18"/>
                <w:w w:val="101"/>
                <w:sz w:val="15"/>
                <w:szCs w:val="15"/>
              </w:rPr>
              <w:t xml:space="preserve"> </w:t>
            </w:r>
            <w:r>
              <w:rPr>
                <w:rFonts w:ascii="Arial" w:hAnsi="Arial" w:eastAsia="Arial" w:cs="Arial"/>
                <w:spacing w:val="-10"/>
                <w:sz w:val="15"/>
                <w:szCs w:val="15"/>
              </w:rPr>
              <w:t>(11.8)</w:t>
            </w:r>
          </w:p>
        </w:tc>
        <w:tc>
          <w:tcPr>
            <w:tcW w:w="1615" w:type="dxa"/>
            <w:vAlign w:val="top"/>
          </w:tcPr>
          <w:p>
            <w:pPr>
              <w:spacing w:before="22" w:line="181" w:lineRule="auto"/>
              <w:ind w:left="585"/>
              <w:rPr>
                <w:rFonts w:ascii="Arial" w:hAnsi="Arial" w:eastAsia="Arial" w:cs="Arial"/>
                <w:sz w:val="15"/>
                <w:szCs w:val="15"/>
              </w:rPr>
            </w:pPr>
            <w:r>
              <w:rPr>
                <w:rFonts w:ascii="Arial" w:hAnsi="Arial" w:eastAsia="Arial" w:cs="Arial"/>
                <w:spacing w:val="-10"/>
                <w:sz w:val="15"/>
                <w:szCs w:val="15"/>
              </w:rPr>
              <w:t>72</w:t>
            </w:r>
            <w:r>
              <w:rPr>
                <w:rFonts w:ascii="Arial" w:hAnsi="Arial" w:eastAsia="Arial" w:cs="Arial"/>
                <w:spacing w:val="16"/>
                <w:sz w:val="15"/>
                <w:szCs w:val="15"/>
              </w:rPr>
              <w:t xml:space="preserve"> </w:t>
            </w:r>
            <w:r>
              <w:rPr>
                <w:rFonts w:ascii="Arial" w:hAnsi="Arial" w:eastAsia="Arial" w:cs="Arial"/>
                <w:spacing w:val="-10"/>
                <w:sz w:val="15"/>
                <w:szCs w:val="15"/>
              </w:rPr>
              <w:t>(12.9)</w:t>
            </w:r>
          </w:p>
        </w:tc>
        <w:tc>
          <w:tcPr>
            <w:tcW w:w="1541" w:type="dxa"/>
            <w:vAlign w:val="top"/>
          </w:tcPr>
          <w:p>
            <w:pPr>
              <w:spacing w:before="22" w:line="181" w:lineRule="auto"/>
              <w:ind w:left="519"/>
              <w:rPr>
                <w:rFonts w:ascii="Arial" w:hAnsi="Arial" w:eastAsia="Arial" w:cs="Arial"/>
                <w:sz w:val="15"/>
                <w:szCs w:val="15"/>
              </w:rPr>
            </w:pPr>
            <w:r>
              <w:rPr>
                <w:rFonts w:ascii="Arial" w:hAnsi="Arial" w:eastAsia="Arial" w:cs="Arial"/>
                <w:spacing w:val="-11"/>
                <w:sz w:val="15"/>
                <w:szCs w:val="15"/>
              </w:rPr>
              <w:t>10</w:t>
            </w:r>
            <w:r>
              <w:rPr>
                <w:rFonts w:ascii="Arial" w:hAnsi="Arial" w:eastAsia="Arial" w:cs="Arial"/>
                <w:spacing w:val="17"/>
                <w:w w:val="101"/>
                <w:sz w:val="15"/>
                <w:szCs w:val="15"/>
              </w:rPr>
              <w:t xml:space="preserve"> </w:t>
            </w:r>
            <w:r>
              <w:rPr>
                <w:rFonts w:ascii="Arial" w:hAnsi="Arial" w:eastAsia="Arial" w:cs="Arial"/>
                <w:spacing w:val="-11"/>
                <w:sz w:val="15"/>
                <w:szCs w:val="15"/>
              </w:rPr>
              <w:t>(11.9)</w:t>
            </w:r>
          </w:p>
        </w:tc>
        <w:tc>
          <w:tcPr>
            <w:tcW w:w="1195" w:type="dxa"/>
            <w:vAlign w:val="top"/>
          </w:tcPr>
          <w:p>
            <w:pPr>
              <w:spacing w:before="22" w:line="181" w:lineRule="auto"/>
              <w:ind w:left="659"/>
              <w:rPr>
                <w:rFonts w:ascii="Arial" w:hAnsi="Arial" w:eastAsia="Arial" w:cs="Arial"/>
                <w:sz w:val="15"/>
                <w:szCs w:val="15"/>
              </w:rPr>
            </w:pPr>
            <w:r>
              <w:rPr>
                <w:rFonts w:ascii="Arial" w:hAnsi="Arial" w:eastAsia="Arial" w:cs="Arial"/>
                <w:spacing w:val="-10"/>
                <w:sz w:val="15"/>
                <w:szCs w:val="15"/>
              </w:rPr>
              <w:t>5</w:t>
            </w:r>
            <w:r>
              <w:rPr>
                <w:rFonts w:ascii="Arial" w:hAnsi="Arial" w:eastAsia="Arial" w:cs="Arial"/>
                <w:spacing w:val="17"/>
                <w:sz w:val="15"/>
                <w:szCs w:val="15"/>
              </w:rPr>
              <w:t xml:space="preserve"> </w:t>
            </w:r>
            <w:r>
              <w:rPr>
                <w:rFonts w:ascii="Arial" w:hAnsi="Arial" w:eastAsia="Arial" w:cs="Arial"/>
                <w:spacing w:val="-10"/>
                <w:sz w:val="15"/>
                <w:szCs w:val="15"/>
              </w:rPr>
              <w:t>(5.4)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9" w:hRule="atLeast"/>
        </w:trPr>
        <w:tc>
          <w:tcPr>
            <w:tcW w:w="1985" w:type="dxa"/>
            <w:vAlign w:val="top"/>
          </w:tcPr>
          <w:p>
            <w:pPr>
              <w:spacing w:before="26" w:line="196" w:lineRule="auto"/>
              <w:ind w:left="9"/>
              <w:rPr>
                <w:rFonts w:ascii="Arial" w:hAnsi="Arial" w:eastAsia="Arial" w:cs="Arial"/>
                <w:sz w:val="15"/>
                <w:szCs w:val="15"/>
              </w:rPr>
            </w:pPr>
            <w:r>
              <w:rPr>
                <w:rFonts w:ascii="Arial" w:hAnsi="Arial" w:eastAsia="Arial" w:cs="Arial"/>
                <w:spacing w:val="-9"/>
                <w:sz w:val="15"/>
                <w:szCs w:val="15"/>
              </w:rPr>
              <w:t>30–39</w:t>
            </w:r>
            <w:r>
              <w:rPr>
                <w:rFonts w:ascii="Arial" w:hAnsi="Arial" w:eastAsia="Arial" w:cs="Arial"/>
                <w:spacing w:val="10"/>
                <w:w w:val="101"/>
                <w:sz w:val="15"/>
                <w:szCs w:val="15"/>
              </w:rPr>
              <w:t xml:space="preserve"> </w:t>
            </w:r>
            <w:r>
              <w:rPr>
                <w:rFonts w:ascii="Arial" w:hAnsi="Arial" w:eastAsia="Arial" w:cs="Arial"/>
                <w:spacing w:val="-9"/>
                <w:sz w:val="15"/>
                <w:szCs w:val="15"/>
              </w:rPr>
              <w:t>years</w:t>
            </w:r>
          </w:p>
        </w:tc>
        <w:tc>
          <w:tcPr>
            <w:tcW w:w="1613" w:type="dxa"/>
            <w:vAlign w:val="top"/>
          </w:tcPr>
          <w:p>
            <w:pPr>
              <w:spacing w:before="21" w:line="181" w:lineRule="auto"/>
              <w:ind w:left="513"/>
              <w:rPr>
                <w:rFonts w:ascii="Arial" w:hAnsi="Arial" w:eastAsia="Arial" w:cs="Arial"/>
                <w:sz w:val="15"/>
                <w:szCs w:val="15"/>
              </w:rPr>
            </w:pPr>
            <w:r>
              <w:rPr>
                <w:rFonts w:ascii="Arial" w:hAnsi="Arial" w:eastAsia="Arial" w:cs="Arial"/>
                <w:spacing w:val="-11"/>
                <w:sz w:val="15"/>
                <w:szCs w:val="15"/>
              </w:rPr>
              <w:t>194</w:t>
            </w:r>
            <w:r>
              <w:rPr>
                <w:rFonts w:ascii="Arial" w:hAnsi="Arial" w:eastAsia="Arial" w:cs="Arial"/>
                <w:spacing w:val="19"/>
                <w:w w:val="102"/>
                <w:sz w:val="15"/>
                <w:szCs w:val="15"/>
              </w:rPr>
              <w:t xml:space="preserve"> </w:t>
            </w:r>
            <w:r>
              <w:rPr>
                <w:rFonts w:ascii="Arial" w:hAnsi="Arial" w:eastAsia="Arial" w:cs="Arial"/>
                <w:spacing w:val="-11"/>
                <w:sz w:val="15"/>
                <w:szCs w:val="15"/>
              </w:rPr>
              <w:t>(26.4)</w:t>
            </w:r>
          </w:p>
        </w:tc>
        <w:tc>
          <w:tcPr>
            <w:tcW w:w="1615" w:type="dxa"/>
            <w:vAlign w:val="top"/>
          </w:tcPr>
          <w:p>
            <w:pPr>
              <w:spacing w:before="21" w:line="181" w:lineRule="auto"/>
              <w:ind w:left="517"/>
              <w:rPr>
                <w:rFonts w:ascii="Arial" w:hAnsi="Arial" w:eastAsia="Arial" w:cs="Arial"/>
                <w:sz w:val="15"/>
                <w:szCs w:val="15"/>
              </w:rPr>
            </w:pPr>
            <w:r>
              <w:rPr>
                <w:rFonts w:ascii="Arial" w:hAnsi="Arial" w:eastAsia="Arial" w:cs="Arial"/>
                <w:spacing w:val="-11"/>
                <w:sz w:val="15"/>
                <w:szCs w:val="15"/>
              </w:rPr>
              <w:t>153</w:t>
            </w:r>
            <w:r>
              <w:rPr>
                <w:rFonts w:ascii="Arial" w:hAnsi="Arial" w:eastAsia="Arial" w:cs="Arial"/>
                <w:spacing w:val="19"/>
                <w:w w:val="102"/>
                <w:sz w:val="15"/>
                <w:szCs w:val="15"/>
              </w:rPr>
              <w:t xml:space="preserve"> </w:t>
            </w:r>
            <w:r>
              <w:rPr>
                <w:rFonts w:ascii="Arial" w:hAnsi="Arial" w:eastAsia="Arial" w:cs="Arial"/>
                <w:spacing w:val="-11"/>
                <w:sz w:val="15"/>
                <w:szCs w:val="15"/>
              </w:rPr>
              <w:t>(27.3)</w:t>
            </w:r>
          </w:p>
        </w:tc>
        <w:tc>
          <w:tcPr>
            <w:tcW w:w="1541" w:type="dxa"/>
            <w:vAlign w:val="top"/>
          </w:tcPr>
          <w:p>
            <w:pPr>
              <w:spacing w:before="21" w:line="181" w:lineRule="auto"/>
              <w:ind w:left="510"/>
              <w:rPr>
                <w:rFonts w:ascii="Arial" w:hAnsi="Arial" w:eastAsia="Arial" w:cs="Arial"/>
                <w:sz w:val="15"/>
                <w:szCs w:val="15"/>
              </w:rPr>
            </w:pPr>
            <w:r>
              <w:rPr>
                <w:rFonts w:ascii="Arial" w:hAnsi="Arial" w:eastAsia="Arial" w:cs="Arial"/>
                <w:spacing w:val="-10"/>
                <w:sz w:val="15"/>
                <w:szCs w:val="15"/>
              </w:rPr>
              <w:t>25</w:t>
            </w:r>
            <w:r>
              <w:rPr>
                <w:rFonts w:ascii="Arial" w:hAnsi="Arial" w:eastAsia="Arial" w:cs="Arial"/>
                <w:spacing w:val="17"/>
                <w:w w:val="101"/>
                <w:sz w:val="15"/>
                <w:szCs w:val="15"/>
              </w:rPr>
              <w:t xml:space="preserve"> </w:t>
            </w:r>
            <w:r>
              <w:rPr>
                <w:rFonts w:ascii="Arial" w:hAnsi="Arial" w:eastAsia="Arial" w:cs="Arial"/>
                <w:spacing w:val="-10"/>
                <w:sz w:val="15"/>
                <w:szCs w:val="15"/>
              </w:rPr>
              <w:t>(29.8)</w:t>
            </w:r>
          </w:p>
        </w:tc>
        <w:tc>
          <w:tcPr>
            <w:tcW w:w="1195" w:type="dxa"/>
            <w:vAlign w:val="top"/>
          </w:tcPr>
          <w:p>
            <w:pPr>
              <w:spacing w:before="21" w:line="181" w:lineRule="auto"/>
              <w:ind w:left="518"/>
              <w:rPr>
                <w:rFonts w:ascii="Arial" w:hAnsi="Arial" w:eastAsia="Arial" w:cs="Arial"/>
                <w:sz w:val="15"/>
                <w:szCs w:val="15"/>
              </w:rPr>
            </w:pPr>
            <w:r>
              <w:rPr>
                <w:rFonts w:ascii="Arial" w:hAnsi="Arial" w:eastAsia="Arial" w:cs="Arial"/>
                <w:spacing w:val="-11"/>
                <w:sz w:val="15"/>
                <w:szCs w:val="15"/>
              </w:rPr>
              <w:t>16</w:t>
            </w:r>
            <w:r>
              <w:rPr>
                <w:rFonts w:ascii="Arial" w:hAnsi="Arial" w:eastAsia="Arial" w:cs="Arial"/>
                <w:spacing w:val="18"/>
                <w:w w:val="101"/>
                <w:sz w:val="15"/>
                <w:szCs w:val="15"/>
              </w:rPr>
              <w:t xml:space="preserve"> </w:t>
            </w:r>
            <w:r>
              <w:rPr>
                <w:rFonts w:ascii="Arial" w:hAnsi="Arial" w:eastAsia="Arial" w:cs="Arial"/>
                <w:spacing w:val="-11"/>
                <w:sz w:val="15"/>
                <w:szCs w:val="15"/>
              </w:rPr>
              <w:t>(17.4)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0" w:hRule="atLeast"/>
        </w:trPr>
        <w:tc>
          <w:tcPr>
            <w:tcW w:w="1985" w:type="dxa"/>
            <w:vAlign w:val="top"/>
          </w:tcPr>
          <w:p>
            <w:pPr>
              <w:spacing w:before="27" w:line="196" w:lineRule="auto"/>
              <w:ind w:left="6"/>
              <w:rPr>
                <w:rFonts w:ascii="Arial" w:hAnsi="Arial" w:eastAsia="Arial" w:cs="Arial"/>
                <w:sz w:val="15"/>
                <w:szCs w:val="15"/>
              </w:rPr>
            </w:pPr>
            <w:r>
              <w:rPr>
                <w:rFonts w:ascii="Arial" w:hAnsi="Arial" w:eastAsia="Arial" w:cs="Arial"/>
                <w:spacing w:val="-8"/>
                <w:w w:val="99"/>
                <w:sz w:val="15"/>
                <w:szCs w:val="15"/>
              </w:rPr>
              <w:t>40–49</w:t>
            </w:r>
            <w:r>
              <w:rPr>
                <w:rFonts w:ascii="Arial" w:hAnsi="Arial" w:eastAsia="Arial" w:cs="Arial"/>
                <w:spacing w:val="12"/>
                <w:sz w:val="15"/>
                <w:szCs w:val="15"/>
              </w:rPr>
              <w:t xml:space="preserve"> </w:t>
            </w:r>
            <w:r>
              <w:rPr>
                <w:rFonts w:ascii="Arial" w:hAnsi="Arial" w:eastAsia="Arial" w:cs="Arial"/>
                <w:spacing w:val="-8"/>
                <w:w w:val="99"/>
                <w:sz w:val="15"/>
                <w:szCs w:val="15"/>
              </w:rPr>
              <w:t>years</w:t>
            </w:r>
          </w:p>
        </w:tc>
        <w:tc>
          <w:tcPr>
            <w:tcW w:w="1613" w:type="dxa"/>
            <w:vAlign w:val="top"/>
          </w:tcPr>
          <w:p>
            <w:pPr>
              <w:spacing w:before="22" w:line="181" w:lineRule="auto"/>
              <w:ind w:left="505"/>
              <w:rPr>
                <w:rFonts w:ascii="Arial" w:hAnsi="Arial" w:eastAsia="Arial" w:cs="Arial"/>
                <w:sz w:val="15"/>
                <w:szCs w:val="15"/>
              </w:rPr>
            </w:pPr>
            <w:r>
              <w:rPr>
                <w:rFonts w:ascii="Arial" w:hAnsi="Arial" w:eastAsia="Arial" w:cs="Arial"/>
                <w:spacing w:val="-10"/>
                <w:sz w:val="15"/>
                <w:szCs w:val="15"/>
              </w:rPr>
              <w:t>211</w:t>
            </w:r>
            <w:r>
              <w:rPr>
                <w:rFonts w:ascii="Arial" w:hAnsi="Arial" w:eastAsia="Arial" w:cs="Arial"/>
                <w:spacing w:val="19"/>
                <w:sz w:val="15"/>
                <w:szCs w:val="15"/>
              </w:rPr>
              <w:t xml:space="preserve"> </w:t>
            </w:r>
            <w:r>
              <w:rPr>
                <w:rFonts w:ascii="Arial" w:hAnsi="Arial" w:eastAsia="Arial" w:cs="Arial"/>
                <w:spacing w:val="-10"/>
                <w:sz w:val="15"/>
                <w:szCs w:val="15"/>
              </w:rPr>
              <w:t>(28.7)</w:t>
            </w:r>
          </w:p>
        </w:tc>
        <w:tc>
          <w:tcPr>
            <w:tcW w:w="1615" w:type="dxa"/>
            <w:vAlign w:val="top"/>
          </w:tcPr>
          <w:p>
            <w:pPr>
              <w:spacing w:before="22" w:line="181" w:lineRule="auto"/>
              <w:ind w:left="517"/>
              <w:rPr>
                <w:rFonts w:ascii="Arial" w:hAnsi="Arial" w:eastAsia="Arial" w:cs="Arial"/>
                <w:sz w:val="15"/>
                <w:szCs w:val="15"/>
              </w:rPr>
            </w:pPr>
            <w:r>
              <w:rPr>
                <w:rFonts w:ascii="Arial" w:hAnsi="Arial" w:eastAsia="Arial" w:cs="Arial"/>
                <w:spacing w:val="-11"/>
                <w:sz w:val="15"/>
                <w:szCs w:val="15"/>
              </w:rPr>
              <w:t>159</w:t>
            </w:r>
            <w:r>
              <w:rPr>
                <w:rFonts w:ascii="Arial" w:hAnsi="Arial" w:eastAsia="Arial" w:cs="Arial"/>
                <w:spacing w:val="19"/>
                <w:w w:val="102"/>
                <w:sz w:val="15"/>
                <w:szCs w:val="15"/>
              </w:rPr>
              <w:t xml:space="preserve"> </w:t>
            </w:r>
            <w:r>
              <w:rPr>
                <w:rFonts w:ascii="Arial" w:hAnsi="Arial" w:eastAsia="Arial" w:cs="Arial"/>
                <w:spacing w:val="-11"/>
                <w:sz w:val="15"/>
                <w:szCs w:val="15"/>
              </w:rPr>
              <w:t>(28.4)</w:t>
            </w:r>
          </w:p>
        </w:tc>
        <w:tc>
          <w:tcPr>
            <w:tcW w:w="1541" w:type="dxa"/>
            <w:vAlign w:val="top"/>
          </w:tcPr>
          <w:p>
            <w:pPr>
              <w:spacing w:before="22" w:line="181" w:lineRule="auto"/>
              <w:ind w:left="510"/>
              <w:rPr>
                <w:rFonts w:ascii="Arial" w:hAnsi="Arial" w:eastAsia="Arial" w:cs="Arial"/>
                <w:sz w:val="15"/>
                <w:szCs w:val="15"/>
              </w:rPr>
            </w:pPr>
            <w:r>
              <w:rPr>
                <w:rFonts w:ascii="Arial" w:hAnsi="Arial" w:eastAsia="Arial" w:cs="Arial"/>
                <w:spacing w:val="-10"/>
                <w:sz w:val="15"/>
                <w:szCs w:val="15"/>
              </w:rPr>
              <w:t>28</w:t>
            </w:r>
            <w:r>
              <w:rPr>
                <w:rFonts w:ascii="Arial" w:hAnsi="Arial" w:eastAsia="Arial" w:cs="Arial"/>
                <w:spacing w:val="17"/>
                <w:w w:val="101"/>
                <w:sz w:val="15"/>
                <w:szCs w:val="15"/>
              </w:rPr>
              <w:t xml:space="preserve"> </w:t>
            </w:r>
            <w:r>
              <w:rPr>
                <w:rFonts w:ascii="Arial" w:hAnsi="Arial" w:eastAsia="Arial" w:cs="Arial"/>
                <w:spacing w:val="-10"/>
                <w:sz w:val="15"/>
                <w:szCs w:val="15"/>
              </w:rPr>
              <w:t>(33.3)</w:t>
            </w:r>
          </w:p>
        </w:tc>
        <w:tc>
          <w:tcPr>
            <w:tcW w:w="1195" w:type="dxa"/>
            <w:vAlign w:val="top"/>
          </w:tcPr>
          <w:p>
            <w:pPr>
              <w:spacing w:before="22" w:line="181" w:lineRule="auto"/>
              <w:ind w:left="510"/>
              <w:rPr>
                <w:rFonts w:ascii="Arial" w:hAnsi="Arial" w:eastAsia="Arial" w:cs="Arial"/>
                <w:sz w:val="15"/>
                <w:szCs w:val="15"/>
              </w:rPr>
            </w:pPr>
            <w:r>
              <w:rPr>
                <w:rFonts w:ascii="Arial" w:hAnsi="Arial" w:eastAsia="Arial" w:cs="Arial"/>
                <w:spacing w:val="-10"/>
                <w:sz w:val="15"/>
                <w:szCs w:val="15"/>
              </w:rPr>
              <w:t>24</w:t>
            </w:r>
            <w:r>
              <w:rPr>
                <w:rFonts w:ascii="Arial" w:hAnsi="Arial" w:eastAsia="Arial" w:cs="Arial"/>
                <w:spacing w:val="18"/>
                <w:w w:val="101"/>
                <w:sz w:val="15"/>
                <w:szCs w:val="15"/>
              </w:rPr>
              <w:t xml:space="preserve"> </w:t>
            </w:r>
            <w:r>
              <w:rPr>
                <w:rFonts w:ascii="Arial" w:hAnsi="Arial" w:eastAsia="Arial" w:cs="Arial"/>
                <w:spacing w:val="-10"/>
                <w:sz w:val="15"/>
                <w:szCs w:val="15"/>
              </w:rPr>
              <w:t>(26.1)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0" w:hRule="atLeast"/>
        </w:trPr>
        <w:tc>
          <w:tcPr>
            <w:tcW w:w="1985" w:type="dxa"/>
            <w:vAlign w:val="top"/>
          </w:tcPr>
          <w:p>
            <w:pPr>
              <w:spacing w:before="28" w:line="196" w:lineRule="auto"/>
              <w:ind w:left="9"/>
              <w:rPr>
                <w:rFonts w:ascii="Arial" w:hAnsi="Arial" w:eastAsia="Arial" w:cs="Arial"/>
                <w:sz w:val="15"/>
                <w:szCs w:val="15"/>
              </w:rPr>
            </w:pPr>
            <w:r>
              <w:rPr>
                <w:rFonts w:ascii="Arial" w:hAnsi="Arial" w:eastAsia="Arial" w:cs="Arial"/>
                <w:spacing w:val="-9"/>
                <w:sz w:val="15"/>
                <w:szCs w:val="15"/>
              </w:rPr>
              <w:t>50–59</w:t>
            </w:r>
            <w:r>
              <w:rPr>
                <w:rFonts w:ascii="Arial" w:hAnsi="Arial" w:eastAsia="Arial" w:cs="Arial"/>
                <w:spacing w:val="10"/>
                <w:w w:val="102"/>
                <w:sz w:val="15"/>
                <w:szCs w:val="15"/>
              </w:rPr>
              <w:t xml:space="preserve"> </w:t>
            </w:r>
            <w:r>
              <w:rPr>
                <w:rFonts w:ascii="Arial" w:hAnsi="Arial" w:eastAsia="Arial" w:cs="Arial"/>
                <w:spacing w:val="-9"/>
                <w:sz w:val="15"/>
                <w:szCs w:val="15"/>
              </w:rPr>
              <w:t>years</w:t>
            </w:r>
          </w:p>
        </w:tc>
        <w:tc>
          <w:tcPr>
            <w:tcW w:w="1613" w:type="dxa"/>
            <w:vAlign w:val="top"/>
          </w:tcPr>
          <w:p>
            <w:pPr>
              <w:spacing w:before="23" w:line="181" w:lineRule="auto"/>
              <w:ind w:left="505"/>
              <w:rPr>
                <w:rFonts w:ascii="Arial" w:hAnsi="Arial" w:eastAsia="Arial" w:cs="Arial"/>
                <w:sz w:val="15"/>
                <w:szCs w:val="15"/>
              </w:rPr>
            </w:pPr>
            <w:r>
              <w:rPr>
                <w:rFonts w:ascii="Arial" w:hAnsi="Arial" w:eastAsia="Arial" w:cs="Arial"/>
                <w:spacing w:val="-10"/>
                <w:sz w:val="15"/>
                <w:szCs w:val="15"/>
              </w:rPr>
              <w:t>203</w:t>
            </w:r>
            <w:r>
              <w:rPr>
                <w:rFonts w:ascii="Arial" w:hAnsi="Arial" w:eastAsia="Arial" w:cs="Arial"/>
                <w:spacing w:val="19"/>
                <w:sz w:val="15"/>
                <w:szCs w:val="15"/>
              </w:rPr>
              <w:t xml:space="preserve"> </w:t>
            </w:r>
            <w:r>
              <w:rPr>
                <w:rFonts w:ascii="Arial" w:hAnsi="Arial" w:eastAsia="Arial" w:cs="Arial"/>
                <w:spacing w:val="-10"/>
                <w:sz w:val="15"/>
                <w:szCs w:val="15"/>
              </w:rPr>
              <w:t>(27.6)</w:t>
            </w:r>
          </w:p>
        </w:tc>
        <w:tc>
          <w:tcPr>
            <w:tcW w:w="1615" w:type="dxa"/>
            <w:vAlign w:val="top"/>
          </w:tcPr>
          <w:p>
            <w:pPr>
              <w:spacing w:before="23" w:line="181" w:lineRule="auto"/>
              <w:ind w:left="517"/>
              <w:rPr>
                <w:rFonts w:ascii="Arial" w:hAnsi="Arial" w:eastAsia="Arial" w:cs="Arial"/>
                <w:sz w:val="15"/>
                <w:szCs w:val="15"/>
              </w:rPr>
            </w:pPr>
            <w:r>
              <w:rPr>
                <w:rFonts w:ascii="Arial" w:hAnsi="Arial" w:eastAsia="Arial" w:cs="Arial"/>
                <w:spacing w:val="-11"/>
                <w:sz w:val="15"/>
                <w:szCs w:val="15"/>
              </w:rPr>
              <w:t>144</w:t>
            </w:r>
            <w:r>
              <w:rPr>
                <w:rFonts w:ascii="Arial" w:hAnsi="Arial" w:eastAsia="Arial" w:cs="Arial"/>
                <w:spacing w:val="19"/>
                <w:w w:val="102"/>
                <w:sz w:val="15"/>
                <w:szCs w:val="15"/>
              </w:rPr>
              <w:t xml:space="preserve"> </w:t>
            </w:r>
            <w:r>
              <w:rPr>
                <w:rFonts w:ascii="Arial" w:hAnsi="Arial" w:eastAsia="Arial" w:cs="Arial"/>
                <w:spacing w:val="-11"/>
                <w:sz w:val="15"/>
                <w:szCs w:val="15"/>
              </w:rPr>
              <w:t>(25.7)</w:t>
            </w:r>
          </w:p>
        </w:tc>
        <w:tc>
          <w:tcPr>
            <w:tcW w:w="1541" w:type="dxa"/>
            <w:vAlign w:val="top"/>
          </w:tcPr>
          <w:p>
            <w:pPr>
              <w:spacing w:before="23" w:line="181" w:lineRule="auto"/>
              <w:ind w:left="518"/>
              <w:rPr>
                <w:rFonts w:ascii="Arial" w:hAnsi="Arial" w:eastAsia="Arial" w:cs="Arial"/>
                <w:sz w:val="15"/>
                <w:szCs w:val="15"/>
              </w:rPr>
            </w:pPr>
            <w:r>
              <w:rPr>
                <w:rFonts w:ascii="Arial" w:hAnsi="Arial" w:eastAsia="Arial" w:cs="Arial"/>
                <w:spacing w:val="-11"/>
                <w:sz w:val="15"/>
                <w:szCs w:val="15"/>
              </w:rPr>
              <w:t>18</w:t>
            </w:r>
            <w:r>
              <w:rPr>
                <w:rFonts w:ascii="Arial" w:hAnsi="Arial" w:eastAsia="Arial" w:cs="Arial"/>
                <w:spacing w:val="17"/>
                <w:w w:val="101"/>
                <w:sz w:val="15"/>
                <w:szCs w:val="15"/>
              </w:rPr>
              <w:t xml:space="preserve"> </w:t>
            </w:r>
            <w:r>
              <w:rPr>
                <w:rFonts w:ascii="Arial" w:hAnsi="Arial" w:eastAsia="Arial" w:cs="Arial"/>
                <w:spacing w:val="-11"/>
                <w:sz w:val="15"/>
                <w:szCs w:val="15"/>
              </w:rPr>
              <w:t>(21.4)</w:t>
            </w:r>
          </w:p>
        </w:tc>
        <w:tc>
          <w:tcPr>
            <w:tcW w:w="1195" w:type="dxa"/>
            <w:vAlign w:val="top"/>
          </w:tcPr>
          <w:p>
            <w:pPr>
              <w:spacing w:before="23" w:line="181" w:lineRule="auto"/>
              <w:ind w:left="506"/>
              <w:rPr>
                <w:rFonts w:ascii="Arial" w:hAnsi="Arial" w:eastAsia="Arial" w:cs="Arial"/>
                <w:sz w:val="15"/>
                <w:szCs w:val="15"/>
              </w:rPr>
            </w:pPr>
            <w:r>
              <w:rPr>
                <w:rFonts w:ascii="Arial" w:hAnsi="Arial" w:eastAsia="Arial" w:cs="Arial"/>
                <w:spacing w:val="-10"/>
                <w:sz w:val="15"/>
                <w:szCs w:val="15"/>
              </w:rPr>
              <w:t>41</w:t>
            </w:r>
            <w:r>
              <w:rPr>
                <w:rFonts w:ascii="Arial" w:hAnsi="Arial" w:eastAsia="Arial" w:cs="Arial"/>
                <w:spacing w:val="22"/>
                <w:w w:val="101"/>
                <w:sz w:val="15"/>
                <w:szCs w:val="15"/>
              </w:rPr>
              <w:t xml:space="preserve"> </w:t>
            </w:r>
            <w:r>
              <w:rPr>
                <w:rFonts w:ascii="Arial" w:hAnsi="Arial" w:eastAsia="Arial" w:cs="Arial"/>
                <w:spacing w:val="-10"/>
                <w:sz w:val="15"/>
                <w:szCs w:val="15"/>
              </w:rPr>
              <w:t>(44.6)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1985" w:type="dxa"/>
            <w:vAlign w:val="top"/>
          </w:tcPr>
          <w:p>
            <w:pPr>
              <w:pStyle w:val="6"/>
              <w:spacing w:before="29" w:line="160" w:lineRule="auto"/>
              <w:ind w:left="14"/>
              <w:rPr>
                <w:rFonts w:ascii="Arial" w:hAnsi="Arial" w:eastAsia="Arial" w:cs="Arial"/>
                <w:sz w:val="15"/>
                <w:szCs w:val="15"/>
              </w:rPr>
            </w:pPr>
            <w:r>
              <w:rPr>
                <w:spacing w:val="-10"/>
                <w:sz w:val="15"/>
                <w:szCs w:val="15"/>
              </w:rPr>
              <w:t>≥</w:t>
            </w:r>
            <w:r>
              <w:rPr>
                <w:spacing w:val="10"/>
                <w:sz w:val="15"/>
                <w:szCs w:val="15"/>
              </w:rPr>
              <w:t xml:space="preserve"> </w:t>
            </w:r>
            <w:r>
              <w:rPr>
                <w:rFonts w:ascii="Arial" w:hAnsi="Arial" w:eastAsia="Arial" w:cs="Arial"/>
                <w:spacing w:val="-10"/>
                <w:sz w:val="15"/>
                <w:szCs w:val="15"/>
              </w:rPr>
              <w:t>60</w:t>
            </w:r>
            <w:r>
              <w:rPr>
                <w:rFonts w:ascii="Arial" w:hAnsi="Arial" w:eastAsia="Arial" w:cs="Arial"/>
                <w:spacing w:val="7"/>
                <w:sz w:val="15"/>
                <w:szCs w:val="15"/>
              </w:rPr>
              <w:t xml:space="preserve"> </w:t>
            </w:r>
            <w:r>
              <w:rPr>
                <w:rFonts w:ascii="Arial" w:hAnsi="Arial" w:eastAsia="Arial" w:cs="Arial"/>
                <w:spacing w:val="-10"/>
                <w:sz w:val="15"/>
                <w:szCs w:val="15"/>
              </w:rPr>
              <w:t>years</w:t>
            </w:r>
          </w:p>
          <w:p>
            <w:pPr>
              <w:spacing w:line="181" w:lineRule="auto"/>
              <w:ind w:left="7"/>
              <w:rPr>
                <w:rFonts w:ascii="Arial" w:hAnsi="Arial" w:eastAsia="Arial" w:cs="Arial"/>
                <w:sz w:val="15"/>
                <w:szCs w:val="15"/>
              </w:rPr>
            </w:pPr>
            <w:r>
              <w:rPr>
                <w:rFonts w:ascii="Arial" w:hAnsi="Arial" w:eastAsia="Arial" w:cs="Arial"/>
                <w:spacing w:val="-8"/>
                <w:sz w:val="15"/>
                <w:szCs w:val="15"/>
              </w:rPr>
              <w:t>Further Education</w:t>
            </w:r>
          </w:p>
        </w:tc>
        <w:tc>
          <w:tcPr>
            <w:tcW w:w="1613" w:type="dxa"/>
            <w:vAlign w:val="top"/>
          </w:tcPr>
          <w:p>
            <w:pPr>
              <w:spacing w:before="23" w:line="181" w:lineRule="auto"/>
              <w:ind w:left="650"/>
              <w:rPr>
                <w:rFonts w:ascii="Arial" w:hAnsi="Arial" w:eastAsia="Arial" w:cs="Arial"/>
                <w:sz w:val="15"/>
                <w:szCs w:val="15"/>
              </w:rPr>
            </w:pPr>
            <w:r>
              <w:rPr>
                <w:rFonts w:ascii="Arial" w:hAnsi="Arial" w:eastAsia="Arial" w:cs="Arial"/>
                <w:spacing w:val="-10"/>
                <w:sz w:val="15"/>
                <w:szCs w:val="15"/>
              </w:rPr>
              <w:t>41</w:t>
            </w:r>
            <w:r>
              <w:rPr>
                <w:rFonts w:ascii="Arial" w:hAnsi="Arial" w:eastAsia="Arial" w:cs="Arial"/>
                <w:spacing w:val="20"/>
                <w:sz w:val="15"/>
                <w:szCs w:val="15"/>
              </w:rPr>
              <w:t xml:space="preserve"> </w:t>
            </w:r>
            <w:r>
              <w:rPr>
                <w:rFonts w:ascii="Arial" w:hAnsi="Arial" w:eastAsia="Arial" w:cs="Arial"/>
                <w:spacing w:val="-10"/>
                <w:sz w:val="15"/>
                <w:szCs w:val="15"/>
              </w:rPr>
              <w:t>(5.6)</w:t>
            </w:r>
          </w:p>
        </w:tc>
        <w:tc>
          <w:tcPr>
            <w:tcW w:w="1615" w:type="dxa"/>
            <w:vAlign w:val="top"/>
          </w:tcPr>
          <w:p>
            <w:pPr>
              <w:spacing w:before="23" w:line="181" w:lineRule="auto"/>
              <w:ind w:left="658"/>
              <w:rPr>
                <w:rFonts w:ascii="Arial" w:hAnsi="Arial" w:eastAsia="Arial" w:cs="Arial"/>
                <w:sz w:val="15"/>
                <w:szCs w:val="15"/>
              </w:rPr>
            </w:pPr>
            <w:r>
              <w:rPr>
                <w:rFonts w:ascii="Arial" w:hAnsi="Arial" w:eastAsia="Arial" w:cs="Arial"/>
                <w:spacing w:val="-10"/>
                <w:sz w:val="15"/>
                <w:szCs w:val="15"/>
              </w:rPr>
              <w:t>32</w:t>
            </w:r>
            <w:r>
              <w:rPr>
                <w:rFonts w:ascii="Arial" w:hAnsi="Arial" w:eastAsia="Arial" w:cs="Arial"/>
                <w:spacing w:val="16"/>
                <w:w w:val="101"/>
                <w:sz w:val="15"/>
                <w:szCs w:val="15"/>
              </w:rPr>
              <w:t xml:space="preserve"> </w:t>
            </w:r>
            <w:r>
              <w:rPr>
                <w:rFonts w:ascii="Arial" w:hAnsi="Arial" w:eastAsia="Arial" w:cs="Arial"/>
                <w:spacing w:val="-10"/>
                <w:sz w:val="15"/>
                <w:szCs w:val="15"/>
              </w:rPr>
              <w:t>(5.7)</w:t>
            </w:r>
          </w:p>
        </w:tc>
        <w:tc>
          <w:tcPr>
            <w:tcW w:w="1541" w:type="dxa"/>
            <w:vAlign w:val="top"/>
          </w:tcPr>
          <w:p>
            <w:pPr>
              <w:spacing w:before="23" w:line="181" w:lineRule="auto"/>
              <w:ind w:left="658"/>
              <w:rPr>
                <w:rFonts w:ascii="Arial" w:hAnsi="Arial" w:eastAsia="Arial" w:cs="Arial"/>
                <w:sz w:val="15"/>
                <w:szCs w:val="15"/>
              </w:rPr>
            </w:pPr>
            <w:r>
              <w:rPr>
                <w:rFonts w:ascii="Arial" w:hAnsi="Arial" w:eastAsia="Arial" w:cs="Arial"/>
                <w:spacing w:val="-10"/>
                <w:sz w:val="15"/>
                <w:szCs w:val="15"/>
              </w:rPr>
              <w:t>3</w:t>
            </w:r>
            <w:r>
              <w:rPr>
                <w:rFonts w:ascii="Arial" w:hAnsi="Arial" w:eastAsia="Arial" w:cs="Arial"/>
                <w:spacing w:val="17"/>
                <w:sz w:val="15"/>
                <w:szCs w:val="15"/>
              </w:rPr>
              <w:t xml:space="preserve"> </w:t>
            </w:r>
            <w:r>
              <w:rPr>
                <w:rFonts w:ascii="Arial" w:hAnsi="Arial" w:eastAsia="Arial" w:cs="Arial"/>
                <w:spacing w:val="-10"/>
                <w:sz w:val="15"/>
                <w:szCs w:val="15"/>
              </w:rPr>
              <w:t>(3.6)</w:t>
            </w:r>
          </w:p>
        </w:tc>
        <w:tc>
          <w:tcPr>
            <w:tcW w:w="1195" w:type="dxa"/>
            <w:vAlign w:val="top"/>
          </w:tcPr>
          <w:p>
            <w:pPr>
              <w:spacing w:before="23" w:line="181" w:lineRule="auto"/>
              <w:ind w:left="659"/>
              <w:rPr>
                <w:rFonts w:ascii="Arial" w:hAnsi="Arial" w:eastAsia="Arial" w:cs="Arial"/>
                <w:sz w:val="15"/>
                <w:szCs w:val="15"/>
              </w:rPr>
            </w:pPr>
            <w:r>
              <w:rPr>
                <w:rFonts w:ascii="Arial" w:hAnsi="Arial" w:eastAsia="Arial" w:cs="Arial"/>
                <w:spacing w:val="-10"/>
                <w:sz w:val="15"/>
                <w:szCs w:val="15"/>
              </w:rPr>
              <w:t>6</w:t>
            </w:r>
            <w:r>
              <w:rPr>
                <w:rFonts w:ascii="Arial" w:hAnsi="Arial" w:eastAsia="Arial" w:cs="Arial"/>
                <w:spacing w:val="17"/>
                <w:sz w:val="15"/>
                <w:szCs w:val="15"/>
              </w:rPr>
              <w:t xml:space="preserve"> </w:t>
            </w:r>
            <w:r>
              <w:rPr>
                <w:rFonts w:ascii="Arial" w:hAnsi="Arial" w:eastAsia="Arial" w:cs="Arial"/>
                <w:spacing w:val="-10"/>
                <w:sz w:val="15"/>
                <w:szCs w:val="15"/>
              </w:rPr>
              <w:t>(6.5)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6" w:hRule="atLeast"/>
        </w:trPr>
        <w:tc>
          <w:tcPr>
            <w:tcW w:w="1985" w:type="dxa"/>
            <w:vAlign w:val="top"/>
          </w:tcPr>
          <w:p>
            <w:pPr>
              <w:spacing w:before="12" w:line="213" w:lineRule="auto"/>
              <w:ind w:left="14"/>
              <w:rPr>
                <w:rFonts w:ascii="Arial" w:hAnsi="Arial" w:eastAsia="Arial" w:cs="Arial"/>
                <w:sz w:val="15"/>
                <w:szCs w:val="15"/>
              </w:rPr>
            </w:pPr>
            <w:r>
              <w:rPr>
                <w:rFonts w:ascii="Arial" w:hAnsi="Arial" w:eastAsia="Arial" w:cs="Arial"/>
                <w:spacing w:val="-4"/>
                <w:sz w:val="15"/>
                <w:szCs w:val="15"/>
              </w:rPr>
              <w:t>no further</w:t>
            </w:r>
            <w:r>
              <w:rPr>
                <w:rFonts w:ascii="Arial" w:hAnsi="Arial" w:eastAsia="Arial" w:cs="Arial"/>
                <w:spacing w:val="19"/>
                <w:w w:val="101"/>
                <w:sz w:val="15"/>
                <w:szCs w:val="15"/>
              </w:rPr>
              <w:t xml:space="preserve"> </w:t>
            </w:r>
            <w:r>
              <w:rPr>
                <w:rFonts w:ascii="Arial" w:hAnsi="Arial" w:eastAsia="Arial" w:cs="Arial"/>
                <w:spacing w:val="-4"/>
                <w:sz w:val="15"/>
                <w:szCs w:val="15"/>
              </w:rPr>
              <w:t>education</w:t>
            </w:r>
          </w:p>
        </w:tc>
        <w:tc>
          <w:tcPr>
            <w:tcW w:w="1613" w:type="dxa"/>
            <w:vAlign w:val="top"/>
          </w:tcPr>
          <w:p>
            <w:pPr>
              <w:spacing w:before="41" w:line="173" w:lineRule="auto"/>
              <w:ind w:left="731"/>
              <w:rPr>
                <w:rFonts w:ascii="Arial" w:hAnsi="Arial" w:eastAsia="Arial" w:cs="Arial"/>
                <w:sz w:val="15"/>
                <w:szCs w:val="15"/>
              </w:rPr>
            </w:pPr>
            <w:r>
              <w:rPr>
                <w:rFonts w:ascii="Arial" w:hAnsi="Arial" w:eastAsia="Arial" w:cs="Arial"/>
                <w:spacing w:val="-11"/>
                <w:sz w:val="15"/>
                <w:szCs w:val="15"/>
              </w:rPr>
              <w:t>7</w:t>
            </w:r>
            <w:r>
              <w:rPr>
                <w:rFonts w:ascii="Arial" w:hAnsi="Arial" w:eastAsia="Arial" w:cs="Arial"/>
                <w:spacing w:val="19"/>
                <w:sz w:val="15"/>
                <w:szCs w:val="15"/>
              </w:rPr>
              <w:t xml:space="preserve"> </w:t>
            </w:r>
            <w:r>
              <w:rPr>
                <w:rFonts w:ascii="Arial" w:hAnsi="Arial" w:eastAsia="Arial" w:cs="Arial"/>
                <w:spacing w:val="-11"/>
                <w:sz w:val="15"/>
                <w:szCs w:val="15"/>
              </w:rPr>
              <w:t>(0.9)</w:t>
            </w:r>
          </w:p>
        </w:tc>
        <w:tc>
          <w:tcPr>
            <w:tcW w:w="1615" w:type="dxa"/>
            <w:vAlign w:val="top"/>
          </w:tcPr>
          <w:p>
            <w:pPr>
              <w:spacing w:before="41" w:line="173" w:lineRule="auto"/>
              <w:ind w:left="732"/>
              <w:rPr>
                <w:rFonts w:ascii="Arial" w:hAnsi="Arial" w:eastAsia="Arial" w:cs="Arial"/>
                <w:sz w:val="15"/>
                <w:szCs w:val="15"/>
              </w:rPr>
            </w:pPr>
            <w:r>
              <w:rPr>
                <w:rFonts w:ascii="Arial" w:hAnsi="Arial" w:eastAsia="Arial" w:cs="Arial"/>
                <w:spacing w:val="-10"/>
                <w:sz w:val="15"/>
                <w:szCs w:val="15"/>
              </w:rPr>
              <w:t>5</w:t>
            </w:r>
            <w:r>
              <w:rPr>
                <w:rFonts w:ascii="Arial" w:hAnsi="Arial" w:eastAsia="Arial" w:cs="Arial"/>
                <w:spacing w:val="15"/>
                <w:w w:val="102"/>
                <w:sz w:val="15"/>
                <w:szCs w:val="15"/>
              </w:rPr>
              <w:t xml:space="preserve"> </w:t>
            </w:r>
            <w:r>
              <w:rPr>
                <w:rFonts w:ascii="Arial" w:hAnsi="Arial" w:eastAsia="Arial" w:cs="Arial"/>
                <w:spacing w:val="-10"/>
                <w:sz w:val="15"/>
                <w:szCs w:val="15"/>
              </w:rPr>
              <w:t>(0.9)</w:t>
            </w:r>
          </w:p>
        </w:tc>
        <w:tc>
          <w:tcPr>
            <w:tcW w:w="1541" w:type="dxa"/>
            <w:vAlign w:val="top"/>
          </w:tcPr>
          <w:p>
            <w:pPr>
              <w:spacing w:before="41" w:line="173" w:lineRule="auto"/>
              <w:ind w:left="667"/>
              <w:rPr>
                <w:rFonts w:ascii="Arial" w:hAnsi="Arial" w:eastAsia="Arial" w:cs="Arial"/>
                <w:sz w:val="15"/>
                <w:szCs w:val="15"/>
              </w:rPr>
            </w:pPr>
            <w:r>
              <w:rPr>
                <w:rFonts w:ascii="Arial" w:hAnsi="Arial" w:eastAsia="Arial" w:cs="Arial"/>
                <w:spacing w:val="-12"/>
                <w:sz w:val="15"/>
                <w:szCs w:val="15"/>
              </w:rPr>
              <w:t>1</w:t>
            </w:r>
            <w:r>
              <w:rPr>
                <w:rFonts w:ascii="Arial" w:hAnsi="Arial" w:eastAsia="Arial" w:cs="Arial"/>
                <w:spacing w:val="19"/>
                <w:w w:val="101"/>
                <w:sz w:val="15"/>
                <w:szCs w:val="15"/>
              </w:rPr>
              <w:t xml:space="preserve"> </w:t>
            </w:r>
            <w:r>
              <w:rPr>
                <w:rFonts w:ascii="Arial" w:hAnsi="Arial" w:eastAsia="Arial" w:cs="Arial"/>
                <w:spacing w:val="-12"/>
                <w:sz w:val="15"/>
                <w:szCs w:val="15"/>
              </w:rPr>
              <w:t>(1.1)</w:t>
            </w:r>
          </w:p>
        </w:tc>
        <w:tc>
          <w:tcPr>
            <w:tcW w:w="1195" w:type="dxa"/>
            <w:vAlign w:val="top"/>
          </w:tcPr>
          <w:p>
            <w:pPr>
              <w:spacing w:before="41" w:line="173" w:lineRule="auto"/>
              <w:ind w:left="668"/>
              <w:rPr>
                <w:rFonts w:ascii="Arial" w:hAnsi="Arial" w:eastAsia="Arial" w:cs="Arial"/>
                <w:sz w:val="15"/>
                <w:szCs w:val="15"/>
              </w:rPr>
            </w:pPr>
            <w:r>
              <w:rPr>
                <w:rFonts w:ascii="Arial" w:hAnsi="Arial" w:eastAsia="Arial" w:cs="Arial"/>
                <w:spacing w:val="-12"/>
                <w:sz w:val="15"/>
                <w:szCs w:val="15"/>
              </w:rPr>
              <w:t>1</w:t>
            </w:r>
            <w:r>
              <w:rPr>
                <w:rFonts w:ascii="Arial" w:hAnsi="Arial" w:eastAsia="Arial" w:cs="Arial"/>
                <w:spacing w:val="19"/>
                <w:w w:val="101"/>
                <w:sz w:val="15"/>
                <w:szCs w:val="15"/>
              </w:rPr>
              <w:t xml:space="preserve"> </w:t>
            </w:r>
            <w:r>
              <w:rPr>
                <w:rFonts w:ascii="Arial" w:hAnsi="Arial" w:eastAsia="Arial" w:cs="Arial"/>
                <w:spacing w:val="-12"/>
                <w:sz w:val="15"/>
                <w:szCs w:val="15"/>
              </w:rPr>
              <w:t>(1.0)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04" w:hRule="atLeast"/>
        </w:trPr>
        <w:tc>
          <w:tcPr>
            <w:tcW w:w="1985" w:type="dxa"/>
            <w:vAlign w:val="top"/>
          </w:tcPr>
          <w:p>
            <w:pPr>
              <w:spacing w:before="17" w:line="177" w:lineRule="exact"/>
              <w:ind w:left="5"/>
              <w:rPr>
                <w:rFonts w:ascii="Arial" w:hAnsi="Arial" w:eastAsia="Arial" w:cs="Arial"/>
                <w:sz w:val="15"/>
                <w:szCs w:val="15"/>
              </w:rPr>
            </w:pPr>
            <w:r>
              <w:rPr>
                <w:rFonts w:ascii="Arial" w:hAnsi="Arial" w:eastAsia="Arial" w:cs="Arial"/>
                <w:spacing w:val="-5"/>
                <w:sz w:val="15"/>
                <w:szCs w:val="15"/>
              </w:rPr>
              <w:t>vocational</w:t>
            </w:r>
            <w:r>
              <w:rPr>
                <w:rFonts w:ascii="Arial" w:hAnsi="Arial" w:eastAsia="Arial" w:cs="Arial"/>
                <w:spacing w:val="13"/>
                <w:sz w:val="15"/>
                <w:szCs w:val="15"/>
              </w:rPr>
              <w:t xml:space="preserve"> </w:t>
            </w:r>
            <w:r>
              <w:rPr>
                <w:rFonts w:ascii="Arial" w:hAnsi="Arial" w:eastAsia="Arial" w:cs="Arial"/>
                <w:spacing w:val="-5"/>
                <w:sz w:val="15"/>
                <w:szCs w:val="15"/>
              </w:rPr>
              <w:t>education</w:t>
            </w:r>
          </w:p>
        </w:tc>
        <w:tc>
          <w:tcPr>
            <w:tcW w:w="1613" w:type="dxa"/>
            <w:vAlign w:val="top"/>
          </w:tcPr>
          <w:p>
            <w:pPr>
              <w:spacing w:before="46" w:line="181" w:lineRule="auto"/>
              <w:ind w:left="513"/>
              <w:rPr>
                <w:rFonts w:ascii="Arial" w:hAnsi="Arial" w:eastAsia="Arial" w:cs="Arial"/>
                <w:sz w:val="15"/>
                <w:szCs w:val="15"/>
              </w:rPr>
            </w:pPr>
            <w:r>
              <w:rPr>
                <w:rFonts w:ascii="Arial" w:hAnsi="Arial" w:eastAsia="Arial" w:cs="Arial"/>
                <w:spacing w:val="-11"/>
                <w:sz w:val="15"/>
                <w:szCs w:val="15"/>
              </w:rPr>
              <w:t>130</w:t>
            </w:r>
            <w:r>
              <w:rPr>
                <w:rFonts w:ascii="Arial" w:hAnsi="Arial" w:eastAsia="Arial" w:cs="Arial"/>
                <w:spacing w:val="19"/>
                <w:w w:val="102"/>
                <w:sz w:val="15"/>
                <w:szCs w:val="15"/>
              </w:rPr>
              <w:t xml:space="preserve"> </w:t>
            </w:r>
            <w:r>
              <w:rPr>
                <w:rFonts w:ascii="Arial" w:hAnsi="Arial" w:eastAsia="Arial" w:cs="Arial"/>
                <w:spacing w:val="-11"/>
                <w:sz w:val="15"/>
                <w:szCs w:val="15"/>
              </w:rPr>
              <w:t>(17.3)</w:t>
            </w:r>
          </w:p>
        </w:tc>
        <w:tc>
          <w:tcPr>
            <w:tcW w:w="1615" w:type="dxa"/>
            <w:vAlign w:val="top"/>
          </w:tcPr>
          <w:p>
            <w:pPr>
              <w:spacing w:before="46" w:line="181" w:lineRule="auto"/>
              <w:ind w:left="583"/>
              <w:rPr>
                <w:rFonts w:ascii="Arial" w:hAnsi="Arial" w:eastAsia="Arial" w:cs="Arial"/>
                <w:sz w:val="15"/>
                <w:szCs w:val="15"/>
              </w:rPr>
            </w:pPr>
            <w:r>
              <w:rPr>
                <w:rFonts w:ascii="Arial" w:hAnsi="Arial" w:eastAsia="Arial" w:cs="Arial"/>
                <w:spacing w:val="-10"/>
                <w:sz w:val="15"/>
                <w:szCs w:val="15"/>
              </w:rPr>
              <w:t>91</w:t>
            </w:r>
            <w:r>
              <w:rPr>
                <w:rFonts w:ascii="Arial" w:hAnsi="Arial" w:eastAsia="Arial" w:cs="Arial"/>
                <w:spacing w:val="18"/>
                <w:sz w:val="15"/>
                <w:szCs w:val="15"/>
              </w:rPr>
              <w:t xml:space="preserve"> </w:t>
            </w:r>
            <w:r>
              <w:rPr>
                <w:rFonts w:ascii="Arial" w:hAnsi="Arial" w:eastAsia="Arial" w:cs="Arial"/>
                <w:spacing w:val="-10"/>
                <w:sz w:val="15"/>
                <w:szCs w:val="15"/>
              </w:rPr>
              <w:t>(16.1)</w:t>
            </w:r>
          </w:p>
        </w:tc>
        <w:tc>
          <w:tcPr>
            <w:tcW w:w="1541" w:type="dxa"/>
            <w:vAlign w:val="top"/>
          </w:tcPr>
          <w:p>
            <w:pPr>
              <w:spacing w:before="46" w:line="181" w:lineRule="auto"/>
              <w:ind w:left="510"/>
              <w:rPr>
                <w:rFonts w:ascii="Arial" w:hAnsi="Arial" w:eastAsia="Arial" w:cs="Arial"/>
                <w:sz w:val="15"/>
                <w:szCs w:val="15"/>
              </w:rPr>
            </w:pPr>
            <w:r>
              <w:rPr>
                <w:rFonts w:ascii="Arial" w:hAnsi="Arial" w:eastAsia="Arial" w:cs="Arial"/>
                <w:spacing w:val="-10"/>
                <w:sz w:val="15"/>
                <w:szCs w:val="15"/>
              </w:rPr>
              <w:t>23</w:t>
            </w:r>
            <w:r>
              <w:rPr>
                <w:rFonts w:ascii="Arial" w:hAnsi="Arial" w:eastAsia="Arial" w:cs="Arial"/>
                <w:spacing w:val="17"/>
                <w:w w:val="101"/>
                <w:sz w:val="15"/>
                <w:szCs w:val="15"/>
              </w:rPr>
              <w:t xml:space="preserve"> </w:t>
            </w:r>
            <w:r>
              <w:rPr>
                <w:rFonts w:ascii="Arial" w:hAnsi="Arial" w:eastAsia="Arial" w:cs="Arial"/>
                <w:spacing w:val="-10"/>
                <w:sz w:val="15"/>
                <w:szCs w:val="15"/>
              </w:rPr>
              <w:t>(26.1)</w:t>
            </w:r>
          </w:p>
        </w:tc>
        <w:tc>
          <w:tcPr>
            <w:tcW w:w="1195" w:type="dxa"/>
            <w:vAlign w:val="top"/>
          </w:tcPr>
          <w:p>
            <w:pPr>
              <w:spacing w:before="46" w:line="181" w:lineRule="auto"/>
              <w:ind w:left="518"/>
              <w:rPr>
                <w:rFonts w:ascii="Arial" w:hAnsi="Arial" w:eastAsia="Arial" w:cs="Arial"/>
                <w:sz w:val="15"/>
                <w:szCs w:val="15"/>
              </w:rPr>
            </w:pPr>
            <w:r>
              <w:rPr>
                <w:rFonts w:ascii="Arial" w:hAnsi="Arial" w:eastAsia="Arial" w:cs="Arial"/>
                <w:spacing w:val="-11"/>
                <w:sz w:val="15"/>
                <w:szCs w:val="15"/>
              </w:rPr>
              <w:t>16</w:t>
            </w:r>
            <w:r>
              <w:rPr>
                <w:rFonts w:ascii="Arial" w:hAnsi="Arial" w:eastAsia="Arial" w:cs="Arial"/>
                <w:spacing w:val="18"/>
                <w:w w:val="101"/>
                <w:sz w:val="15"/>
                <w:szCs w:val="15"/>
              </w:rPr>
              <w:t xml:space="preserve"> </w:t>
            </w:r>
            <w:r>
              <w:rPr>
                <w:rFonts w:ascii="Arial" w:hAnsi="Arial" w:eastAsia="Arial" w:cs="Arial"/>
                <w:spacing w:val="-11"/>
                <w:sz w:val="15"/>
                <w:szCs w:val="15"/>
              </w:rPr>
              <w:t>(16.2)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1985" w:type="dxa"/>
            <w:vAlign w:val="top"/>
          </w:tcPr>
          <w:p>
            <w:pPr>
              <w:spacing w:line="212" w:lineRule="auto"/>
              <w:ind w:left="14"/>
              <w:rPr>
                <w:rFonts w:ascii="Arial" w:hAnsi="Arial" w:eastAsia="Arial" w:cs="Arial"/>
                <w:sz w:val="15"/>
                <w:szCs w:val="15"/>
              </w:rPr>
            </w:pPr>
            <w:r>
              <w:rPr>
                <w:rFonts w:ascii="Arial" w:hAnsi="Arial" w:eastAsia="Arial" w:cs="Arial"/>
                <w:spacing w:val="-6"/>
                <w:sz w:val="15"/>
                <w:szCs w:val="15"/>
              </w:rPr>
              <w:t>university</w:t>
            </w:r>
            <w:r>
              <w:rPr>
                <w:rFonts w:ascii="Arial" w:hAnsi="Arial" w:eastAsia="Arial" w:cs="Arial"/>
                <w:spacing w:val="21"/>
                <w:w w:val="101"/>
                <w:sz w:val="15"/>
                <w:szCs w:val="15"/>
              </w:rPr>
              <w:t xml:space="preserve"> </w:t>
            </w:r>
            <w:r>
              <w:rPr>
                <w:rFonts w:ascii="Arial" w:hAnsi="Arial" w:eastAsia="Arial" w:cs="Arial"/>
                <w:spacing w:val="-6"/>
                <w:sz w:val="15"/>
                <w:szCs w:val="15"/>
              </w:rPr>
              <w:t>degree</w:t>
            </w:r>
          </w:p>
        </w:tc>
        <w:tc>
          <w:tcPr>
            <w:tcW w:w="1613" w:type="dxa"/>
            <w:vAlign w:val="top"/>
          </w:tcPr>
          <w:p>
            <w:pPr>
              <w:spacing w:before="22" w:line="181" w:lineRule="auto"/>
              <w:ind w:left="504"/>
              <w:rPr>
                <w:rFonts w:ascii="Arial" w:hAnsi="Arial" w:eastAsia="Arial" w:cs="Arial"/>
                <w:sz w:val="15"/>
                <w:szCs w:val="15"/>
              </w:rPr>
            </w:pPr>
            <w:r>
              <w:rPr>
                <w:rFonts w:ascii="Arial" w:hAnsi="Arial" w:eastAsia="Arial" w:cs="Arial"/>
                <w:spacing w:val="-10"/>
                <w:sz w:val="15"/>
                <w:szCs w:val="15"/>
              </w:rPr>
              <w:t>308</w:t>
            </w:r>
            <w:r>
              <w:rPr>
                <w:rFonts w:ascii="Arial" w:hAnsi="Arial" w:eastAsia="Arial" w:cs="Arial"/>
                <w:spacing w:val="19"/>
                <w:w w:val="101"/>
                <w:sz w:val="15"/>
                <w:szCs w:val="15"/>
              </w:rPr>
              <w:t xml:space="preserve"> </w:t>
            </w:r>
            <w:r>
              <w:rPr>
                <w:rFonts w:ascii="Arial" w:hAnsi="Arial" w:eastAsia="Arial" w:cs="Arial"/>
                <w:spacing w:val="-10"/>
                <w:sz w:val="15"/>
                <w:szCs w:val="15"/>
              </w:rPr>
              <w:t>(41.0)</w:t>
            </w:r>
          </w:p>
        </w:tc>
        <w:tc>
          <w:tcPr>
            <w:tcW w:w="1615" w:type="dxa"/>
            <w:vAlign w:val="top"/>
          </w:tcPr>
          <w:p>
            <w:pPr>
              <w:spacing w:before="22" w:line="181" w:lineRule="auto"/>
              <w:ind w:left="509"/>
              <w:rPr>
                <w:rFonts w:ascii="Arial" w:hAnsi="Arial" w:eastAsia="Arial" w:cs="Arial"/>
                <w:sz w:val="15"/>
                <w:szCs w:val="15"/>
              </w:rPr>
            </w:pPr>
            <w:r>
              <w:rPr>
                <w:rFonts w:ascii="Arial" w:hAnsi="Arial" w:eastAsia="Arial" w:cs="Arial"/>
                <w:spacing w:val="-10"/>
                <w:sz w:val="15"/>
                <w:szCs w:val="15"/>
              </w:rPr>
              <w:t>233</w:t>
            </w:r>
            <w:r>
              <w:rPr>
                <w:rFonts w:ascii="Arial" w:hAnsi="Arial" w:eastAsia="Arial" w:cs="Arial"/>
                <w:spacing w:val="19"/>
                <w:sz w:val="15"/>
                <w:szCs w:val="15"/>
              </w:rPr>
              <w:t xml:space="preserve"> </w:t>
            </w:r>
            <w:r>
              <w:rPr>
                <w:rFonts w:ascii="Arial" w:hAnsi="Arial" w:eastAsia="Arial" w:cs="Arial"/>
                <w:spacing w:val="-10"/>
                <w:sz w:val="15"/>
                <w:szCs w:val="15"/>
              </w:rPr>
              <w:t>(41.3)</w:t>
            </w:r>
          </w:p>
        </w:tc>
        <w:tc>
          <w:tcPr>
            <w:tcW w:w="1541" w:type="dxa"/>
            <w:vAlign w:val="top"/>
          </w:tcPr>
          <w:p>
            <w:pPr>
              <w:spacing w:before="22" w:line="181" w:lineRule="auto"/>
              <w:ind w:left="510"/>
              <w:rPr>
                <w:rFonts w:ascii="Arial" w:hAnsi="Arial" w:eastAsia="Arial" w:cs="Arial"/>
                <w:sz w:val="15"/>
                <w:szCs w:val="15"/>
              </w:rPr>
            </w:pPr>
            <w:r>
              <w:rPr>
                <w:rFonts w:ascii="Arial" w:hAnsi="Arial" w:eastAsia="Arial" w:cs="Arial"/>
                <w:spacing w:val="-10"/>
                <w:sz w:val="15"/>
                <w:szCs w:val="15"/>
              </w:rPr>
              <w:t>36</w:t>
            </w:r>
            <w:r>
              <w:rPr>
                <w:rFonts w:ascii="Arial" w:hAnsi="Arial" w:eastAsia="Arial" w:cs="Arial"/>
                <w:spacing w:val="18"/>
                <w:sz w:val="15"/>
                <w:szCs w:val="15"/>
              </w:rPr>
              <w:t xml:space="preserve"> </w:t>
            </w:r>
            <w:r>
              <w:rPr>
                <w:rFonts w:ascii="Arial" w:hAnsi="Arial" w:eastAsia="Arial" w:cs="Arial"/>
                <w:spacing w:val="-10"/>
                <w:sz w:val="15"/>
                <w:szCs w:val="15"/>
              </w:rPr>
              <w:t>(40.9)</w:t>
            </w:r>
          </w:p>
        </w:tc>
        <w:tc>
          <w:tcPr>
            <w:tcW w:w="1195" w:type="dxa"/>
            <w:vAlign w:val="top"/>
          </w:tcPr>
          <w:p>
            <w:pPr>
              <w:spacing w:before="22" w:line="181" w:lineRule="auto"/>
              <w:ind w:left="510"/>
              <w:rPr>
                <w:rFonts w:ascii="Arial" w:hAnsi="Arial" w:eastAsia="Arial" w:cs="Arial"/>
                <w:sz w:val="15"/>
                <w:szCs w:val="15"/>
              </w:rPr>
            </w:pPr>
            <w:r>
              <w:rPr>
                <w:rFonts w:ascii="Arial" w:hAnsi="Arial" w:eastAsia="Arial" w:cs="Arial"/>
                <w:spacing w:val="-10"/>
                <w:sz w:val="15"/>
                <w:szCs w:val="15"/>
              </w:rPr>
              <w:t>39</w:t>
            </w:r>
            <w:r>
              <w:rPr>
                <w:rFonts w:ascii="Arial" w:hAnsi="Arial" w:eastAsia="Arial" w:cs="Arial"/>
                <w:spacing w:val="19"/>
                <w:sz w:val="15"/>
                <w:szCs w:val="15"/>
              </w:rPr>
              <w:t xml:space="preserve"> </w:t>
            </w:r>
            <w:r>
              <w:rPr>
                <w:rFonts w:ascii="Arial" w:hAnsi="Arial" w:eastAsia="Arial" w:cs="Arial"/>
                <w:spacing w:val="-10"/>
                <w:sz w:val="15"/>
                <w:szCs w:val="15"/>
              </w:rPr>
              <w:t>(39.4)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2" w:hRule="atLeast"/>
        </w:trPr>
        <w:tc>
          <w:tcPr>
            <w:tcW w:w="1985" w:type="dxa"/>
            <w:vAlign w:val="top"/>
          </w:tcPr>
          <w:p>
            <w:pPr>
              <w:spacing w:before="9" w:line="226" w:lineRule="auto"/>
              <w:ind w:left="9"/>
              <w:rPr>
                <w:rFonts w:ascii="Arial" w:hAnsi="Arial" w:eastAsia="Arial" w:cs="Arial"/>
                <w:sz w:val="15"/>
                <w:szCs w:val="15"/>
              </w:rPr>
            </w:pPr>
            <w:r>
              <w:rPr>
                <w:rFonts w:ascii="Arial" w:hAnsi="Arial" w:eastAsia="Arial" w:cs="Arial"/>
                <w:spacing w:val="-6"/>
                <w:sz w:val="15"/>
                <w:szCs w:val="15"/>
              </w:rPr>
              <w:t>doctoral</w:t>
            </w:r>
            <w:r>
              <w:rPr>
                <w:rFonts w:ascii="Arial" w:hAnsi="Arial" w:eastAsia="Arial" w:cs="Arial"/>
                <w:spacing w:val="23"/>
                <w:w w:val="101"/>
                <w:sz w:val="15"/>
                <w:szCs w:val="15"/>
              </w:rPr>
              <w:t xml:space="preserve"> </w:t>
            </w:r>
            <w:r>
              <w:rPr>
                <w:rFonts w:ascii="Arial" w:hAnsi="Arial" w:eastAsia="Arial" w:cs="Arial"/>
                <w:spacing w:val="-6"/>
                <w:sz w:val="15"/>
                <w:szCs w:val="15"/>
              </w:rPr>
              <w:t>degree</w:t>
            </w:r>
          </w:p>
        </w:tc>
        <w:tc>
          <w:tcPr>
            <w:tcW w:w="1613" w:type="dxa"/>
            <w:vAlign w:val="top"/>
          </w:tcPr>
          <w:p>
            <w:pPr>
              <w:spacing w:before="38" w:line="181" w:lineRule="auto"/>
              <w:ind w:left="505"/>
              <w:rPr>
                <w:rFonts w:ascii="Arial" w:hAnsi="Arial" w:eastAsia="Arial" w:cs="Arial"/>
                <w:sz w:val="15"/>
                <w:szCs w:val="15"/>
              </w:rPr>
            </w:pPr>
            <w:r>
              <w:rPr>
                <w:rFonts w:ascii="Arial" w:hAnsi="Arial" w:eastAsia="Arial" w:cs="Arial"/>
                <w:spacing w:val="-10"/>
                <w:sz w:val="15"/>
                <w:szCs w:val="15"/>
              </w:rPr>
              <w:t>202</w:t>
            </w:r>
            <w:r>
              <w:rPr>
                <w:rFonts w:ascii="Arial" w:hAnsi="Arial" w:eastAsia="Arial" w:cs="Arial"/>
                <w:spacing w:val="19"/>
                <w:sz w:val="15"/>
                <w:szCs w:val="15"/>
              </w:rPr>
              <w:t xml:space="preserve"> </w:t>
            </w:r>
            <w:r>
              <w:rPr>
                <w:rFonts w:ascii="Arial" w:hAnsi="Arial" w:eastAsia="Arial" w:cs="Arial"/>
                <w:spacing w:val="-10"/>
                <w:sz w:val="15"/>
                <w:szCs w:val="15"/>
              </w:rPr>
              <w:t>(26.9)</w:t>
            </w:r>
          </w:p>
        </w:tc>
        <w:tc>
          <w:tcPr>
            <w:tcW w:w="1615" w:type="dxa"/>
            <w:vAlign w:val="top"/>
          </w:tcPr>
          <w:p>
            <w:pPr>
              <w:spacing w:before="38" w:line="181" w:lineRule="auto"/>
              <w:ind w:left="517"/>
              <w:rPr>
                <w:rFonts w:ascii="Arial" w:hAnsi="Arial" w:eastAsia="Arial" w:cs="Arial"/>
                <w:sz w:val="15"/>
                <w:szCs w:val="15"/>
              </w:rPr>
            </w:pPr>
            <w:r>
              <w:rPr>
                <w:rFonts w:ascii="Arial" w:hAnsi="Arial" w:eastAsia="Arial" w:cs="Arial"/>
                <w:spacing w:val="-11"/>
                <w:sz w:val="15"/>
                <w:szCs w:val="15"/>
              </w:rPr>
              <w:t>139</w:t>
            </w:r>
            <w:r>
              <w:rPr>
                <w:rFonts w:ascii="Arial" w:hAnsi="Arial" w:eastAsia="Arial" w:cs="Arial"/>
                <w:spacing w:val="19"/>
                <w:w w:val="102"/>
                <w:sz w:val="15"/>
                <w:szCs w:val="15"/>
              </w:rPr>
              <w:t xml:space="preserve"> </w:t>
            </w:r>
            <w:r>
              <w:rPr>
                <w:rFonts w:ascii="Arial" w:hAnsi="Arial" w:eastAsia="Arial" w:cs="Arial"/>
                <w:spacing w:val="-11"/>
                <w:sz w:val="15"/>
                <w:szCs w:val="15"/>
              </w:rPr>
              <w:t>(24.6)</w:t>
            </w:r>
          </w:p>
        </w:tc>
        <w:tc>
          <w:tcPr>
            <w:tcW w:w="1541" w:type="dxa"/>
            <w:vAlign w:val="top"/>
          </w:tcPr>
          <w:p>
            <w:pPr>
              <w:spacing w:before="38" w:line="181" w:lineRule="auto"/>
              <w:ind w:left="510"/>
              <w:rPr>
                <w:rFonts w:ascii="Arial" w:hAnsi="Arial" w:eastAsia="Arial" w:cs="Arial"/>
                <w:sz w:val="15"/>
                <w:szCs w:val="15"/>
              </w:rPr>
            </w:pPr>
            <w:r>
              <w:rPr>
                <w:rFonts w:ascii="Arial" w:hAnsi="Arial" w:eastAsia="Arial" w:cs="Arial"/>
                <w:spacing w:val="-10"/>
                <w:sz w:val="15"/>
                <w:szCs w:val="15"/>
              </w:rPr>
              <w:t>24</w:t>
            </w:r>
            <w:r>
              <w:rPr>
                <w:rFonts w:ascii="Arial" w:hAnsi="Arial" w:eastAsia="Arial" w:cs="Arial"/>
                <w:spacing w:val="17"/>
                <w:w w:val="101"/>
                <w:sz w:val="15"/>
                <w:szCs w:val="15"/>
              </w:rPr>
              <w:t xml:space="preserve"> </w:t>
            </w:r>
            <w:r>
              <w:rPr>
                <w:rFonts w:ascii="Arial" w:hAnsi="Arial" w:eastAsia="Arial" w:cs="Arial"/>
                <w:spacing w:val="-10"/>
                <w:sz w:val="15"/>
                <w:szCs w:val="15"/>
              </w:rPr>
              <w:t>(27.3)</w:t>
            </w:r>
          </w:p>
        </w:tc>
        <w:tc>
          <w:tcPr>
            <w:tcW w:w="1195" w:type="dxa"/>
            <w:vAlign w:val="top"/>
          </w:tcPr>
          <w:p>
            <w:pPr>
              <w:spacing w:before="38" w:line="181" w:lineRule="auto"/>
              <w:ind w:left="510"/>
              <w:rPr>
                <w:rFonts w:ascii="Arial" w:hAnsi="Arial" w:eastAsia="Arial" w:cs="Arial"/>
                <w:sz w:val="15"/>
                <w:szCs w:val="15"/>
              </w:rPr>
            </w:pPr>
            <w:r>
              <w:rPr>
                <w:rFonts w:ascii="Arial" w:hAnsi="Arial" w:eastAsia="Arial" w:cs="Arial"/>
                <w:spacing w:val="-10"/>
                <w:sz w:val="15"/>
                <w:szCs w:val="15"/>
              </w:rPr>
              <w:t>39</w:t>
            </w:r>
            <w:r>
              <w:rPr>
                <w:rFonts w:ascii="Arial" w:hAnsi="Arial" w:eastAsia="Arial" w:cs="Arial"/>
                <w:spacing w:val="19"/>
                <w:sz w:val="15"/>
                <w:szCs w:val="15"/>
              </w:rPr>
              <w:t xml:space="preserve"> </w:t>
            </w:r>
            <w:r>
              <w:rPr>
                <w:rFonts w:ascii="Arial" w:hAnsi="Arial" w:eastAsia="Arial" w:cs="Arial"/>
                <w:spacing w:val="-10"/>
                <w:sz w:val="15"/>
                <w:szCs w:val="15"/>
              </w:rPr>
              <w:t>(39.4)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4" w:hRule="atLeast"/>
        </w:trPr>
        <w:tc>
          <w:tcPr>
            <w:tcW w:w="1985" w:type="dxa"/>
            <w:vAlign w:val="top"/>
          </w:tcPr>
          <w:p>
            <w:pPr>
              <w:spacing w:before="7" w:line="177" w:lineRule="exact"/>
              <w:ind w:left="13"/>
              <w:rPr>
                <w:rFonts w:ascii="Arial" w:hAnsi="Arial" w:eastAsia="Arial" w:cs="Arial"/>
                <w:sz w:val="15"/>
                <w:szCs w:val="15"/>
              </w:rPr>
            </w:pPr>
            <w:r>
              <w:rPr>
                <w:rFonts w:ascii="Arial" w:hAnsi="Arial" w:eastAsia="Arial" w:cs="Arial"/>
                <w:spacing w:val="-6"/>
                <w:position w:val="1"/>
                <w:sz w:val="15"/>
                <w:szCs w:val="15"/>
              </w:rPr>
              <w:t>postdoctoral</w:t>
            </w:r>
            <w:r>
              <w:rPr>
                <w:rFonts w:ascii="Arial" w:hAnsi="Arial" w:eastAsia="Arial" w:cs="Arial"/>
                <w:spacing w:val="22"/>
                <w:w w:val="101"/>
                <w:position w:val="1"/>
                <w:sz w:val="15"/>
                <w:szCs w:val="15"/>
              </w:rPr>
              <w:t xml:space="preserve"> </w:t>
            </w:r>
            <w:r>
              <w:rPr>
                <w:rFonts w:ascii="Arial" w:hAnsi="Arial" w:eastAsia="Arial" w:cs="Arial"/>
                <w:spacing w:val="-6"/>
                <w:position w:val="1"/>
                <w:sz w:val="15"/>
                <w:szCs w:val="15"/>
              </w:rPr>
              <w:t>degree</w:t>
            </w:r>
          </w:p>
        </w:tc>
        <w:tc>
          <w:tcPr>
            <w:tcW w:w="1613" w:type="dxa"/>
            <w:vAlign w:val="top"/>
          </w:tcPr>
          <w:p>
            <w:pPr>
              <w:spacing w:before="37" w:line="181" w:lineRule="auto"/>
              <w:ind w:left="653"/>
              <w:rPr>
                <w:rFonts w:ascii="Arial" w:hAnsi="Arial" w:eastAsia="Arial" w:cs="Arial"/>
                <w:sz w:val="15"/>
                <w:szCs w:val="15"/>
              </w:rPr>
            </w:pPr>
            <w:r>
              <w:rPr>
                <w:rFonts w:ascii="Arial" w:hAnsi="Arial" w:eastAsia="Arial" w:cs="Arial"/>
                <w:spacing w:val="-10"/>
                <w:sz w:val="15"/>
                <w:szCs w:val="15"/>
              </w:rPr>
              <w:t>69</w:t>
            </w:r>
            <w:r>
              <w:rPr>
                <w:rFonts w:ascii="Arial" w:hAnsi="Arial" w:eastAsia="Arial" w:cs="Arial"/>
                <w:spacing w:val="17"/>
                <w:w w:val="101"/>
                <w:sz w:val="15"/>
                <w:szCs w:val="15"/>
              </w:rPr>
              <w:t xml:space="preserve"> </w:t>
            </w:r>
            <w:r>
              <w:rPr>
                <w:rFonts w:ascii="Arial" w:hAnsi="Arial" w:eastAsia="Arial" w:cs="Arial"/>
                <w:spacing w:val="-10"/>
                <w:sz w:val="15"/>
                <w:szCs w:val="15"/>
              </w:rPr>
              <w:t>(9.2)</w:t>
            </w:r>
          </w:p>
        </w:tc>
        <w:tc>
          <w:tcPr>
            <w:tcW w:w="1615" w:type="dxa"/>
            <w:vAlign w:val="top"/>
          </w:tcPr>
          <w:p>
            <w:pPr>
              <w:spacing w:before="37" w:line="181" w:lineRule="auto"/>
              <w:ind w:left="582"/>
              <w:rPr>
                <w:rFonts w:ascii="Arial" w:hAnsi="Arial" w:eastAsia="Arial" w:cs="Arial"/>
                <w:sz w:val="15"/>
                <w:szCs w:val="15"/>
              </w:rPr>
            </w:pPr>
            <w:r>
              <w:rPr>
                <w:rFonts w:ascii="Arial" w:hAnsi="Arial" w:eastAsia="Arial" w:cs="Arial"/>
                <w:spacing w:val="-10"/>
                <w:sz w:val="15"/>
                <w:szCs w:val="15"/>
              </w:rPr>
              <w:t>69</w:t>
            </w:r>
            <w:r>
              <w:rPr>
                <w:rFonts w:ascii="Arial" w:hAnsi="Arial" w:eastAsia="Arial" w:cs="Arial"/>
                <w:spacing w:val="19"/>
                <w:sz w:val="15"/>
                <w:szCs w:val="15"/>
              </w:rPr>
              <w:t xml:space="preserve"> </w:t>
            </w:r>
            <w:r>
              <w:rPr>
                <w:rFonts w:ascii="Arial" w:hAnsi="Arial" w:eastAsia="Arial" w:cs="Arial"/>
                <w:spacing w:val="-10"/>
                <w:sz w:val="15"/>
                <w:szCs w:val="15"/>
              </w:rPr>
              <w:t>(12.2)</w:t>
            </w:r>
          </w:p>
        </w:tc>
        <w:tc>
          <w:tcPr>
            <w:tcW w:w="1541" w:type="dxa"/>
            <w:vAlign w:val="top"/>
          </w:tcPr>
          <w:p>
            <w:pPr>
              <w:spacing w:before="37" w:line="181" w:lineRule="auto"/>
              <w:ind w:left="658"/>
              <w:rPr>
                <w:rFonts w:ascii="Arial" w:hAnsi="Arial" w:eastAsia="Arial" w:cs="Arial"/>
                <w:sz w:val="15"/>
                <w:szCs w:val="15"/>
              </w:rPr>
            </w:pPr>
            <w:r>
              <w:rPr>
                <w:rFonts w:ascii="Arial" w:hAnsi="Arial" w:eastAsia="Arial" w:cs="Arial"/>
                <w:spacing w:val="-10"/>
                <w:sz w:val="15"/>
                <w:szCs w:val="15"/>
              </w:rPr>
              <w:t>0</w:t>
            </w:r>
            <w:r>
              <w:rPr>
                <w:rFonts w:ascii="Arial" w:hAnsi="Arial" w:eastAsia="Arial" w:cs="Arial"/>
                <w:spacing w:val="17"/>
                <w:sz w:val="15"/>
                <w:szCs w:val="15"/>
              </w:rPr>
              <w:t xml:space="preserve"> </w:t>
            </w:r>
            <w:r>
              <w:rPr>
                <w:rFonts w:ascii="Arial" w:hAnsi="Arial" w:eastAsia="Arial" w:cs="Arial"/>
                <w:spacing w:val="-10"/>
                <w:sz w:val="15"/>
                <w:szCs w:val="15"/>
              </w:rPr>
              <w:t>(0.0)</w:t>
            </w:r>
          </w:p>
        </w:tc>
        <w:tc>
          <w:tcPr>
            <w:tcW w:w="1195" w:type="dxa"/>
            <w:vAlign w:val="top"/>
          </w:tcPr>
          <w:p>
            <w:pPr>
              <w:spacing w:before="37" w:line="181" w:lineRule="auto"/>
              <w:ind w:left="659"/>
              <w:rPr>
                <w:rFonts w:ascii="Arial" w:hAnsi="Arial" w:eastAsia="Arial" w:cs="Arial"/>
                <w:sz w:val="15"/>
                <w:szCs w:val="15"/>
              </w:rPr>
            </w:pPr>
            <w:r>
              <w:rPr>
                <w:rFonts w:ascii="Arial" w:hAnsi="Arial" w:eastAsia="Arial" w:cs="Arial"/>
                <w:spacing w:val="-10"/>
                <w:sz w:val="15"/>
                <w:szCs w:val="15"/>
              </w:rPr>
              <w:t>0</w:t>
            </w:r>
            <w:r>
              <w:rPr>
                <w:rFonts w:ascii="Arial" w:hAnsi="Arial" w:eastAsia="Arial" w:cs="Arial"/>
                <w:spacing w:val="17"/>
                <w:sz w:val="15"/>
                <w:szCs w:val="15"/>
              </w:rPr>
              <w:t xml:space="preserve"> </w:t>
            </w:r>
            <w:r>
              <w:rPr>
                <w:rFonts w:ascii="Arial" w:hAnsi="Arial" w:eastAsia="Arial" w:cs="Arial"/>
                <w:spacing w:val="-10"/>
                <w:sz w:val="15"/>
                <w:szCs w:val="15"/>
              </w:rPr>
              <w:t>(0.0)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9" w:hRule="atLeast"/>
        </w:trPr>
        <w:tc>
          <w:tcPr>
            <w:tcW w:w="1985" w:type="dxa"/>
            <w:vAlign w:val="top"/>
          </w:tcPr>
          <w:p>
            <w:pPr>
              <w:spacing w:line="221" w:lineRule="auto"/>
              <w:ind w:left="9"/>
              <w:rPr>
                <w:rFonts w:ascii="Arial" w:hAnsi="Arial" w:eastAsia="Arial" w:cs="Arial"/>
                <w:sz w:val="15"/>
                <w:szCs w:val="15"/>
              </w:rPr>
            </w:pPr>
            <w:r>
              <w:rPr>
                <w:rFonts w:ascii="Arial" w:hAnsi="Arial" w:eastAsia="Arial" w:cs="Arial"/>
                <w:spacing w:val="-4"/>
                <w:sz w:val="15"/>
                <w:szCs w:val="15"/>
              </w:rPr>
              <w:t>other</w:t>
            </w:r>
          </w:p>
        </w:tc>
        <w:tc>
          <w:tcPr>
            <w:tcW w:w="1613" w:type="dxa"/>
            <w:vAlign w:val="top"/>
          </w:tcPr>
          <w:p>
            <w:pPr>
              <w:spacing w:before="23" w:line="181" w:lineRule="auto"/>
              <w:ind w:left="654"/>
              <w:rPr>
                <w:rFonts w:ascii="Arial" w:hAnsi="Arial" w:eastAsia="Arial" w:cs="Arial"/>
                <w:sz w:val="15"/>
                <w:szCs w:val="15"/>
              </w:rPr>
            </w:pPr>
            <w:r>
              <w:rPr>
                <w:rFonts w:ascii="Arial" w:hAnsi="Arial" w:eastAsia="Arial" w:cs="Arial"/>
                <w:spacing w:val="-10"/>
                <w:sz w:val="15"/>
                <w:szCs w:val="15"/>
              </w:rPr>
              <w:t>35</w:t>
            </w:r>
            <w:r>
              <w:rPr>
                <w:rFonts w:ascii="Arial" w:hAnsi="Arial" w:eastAsia="Arial" w:cs="Arial"/>
                <w:spacing w:val="16"/>
                <w:w w:val="101"/>
                <w:sz w:val="15"/>
                <w:szCs w:val="15"/>
              </w:rPr>
              <w:t xml:space="preserve"> </w:t>
            </w:r>
            <w:r>
              <w:rPr>
                <w:rFonts w:ascii="Arial" w:hAnsi="Arial" w:eastAsia="Arial" w:cs="Arial"/>
                <w:spacing w:val="-10"/>
                <w:sz w:val="15"/>
                <w:szCs w:val="15"/>
              </w:rPr>
              <w:t>(4.7)</w:t>
            </w:r>
          </w:p>
        </w:tc>
        <w:tc>
          <w:tcPr>
            <w:tcW w:w="1615" w:type="dxa"/>
            <w:vAlign w:val="top"/>
          </w:tcPr>
          <w:p>
            <w:pPr>
              <w:spacing w:before="23" w:line="181" w:lineRule="auto"/>
              <w:ind w:left="658"/>
              <w:rPr>
                <w:rFonts w:ascii="Arial" w:hAnsi="Arial" w:eastAsia="Arial" w:cs="Arial"/>
                <w:sz w:val="15"/>
                <w:szCs w:val="15"/>
              </w:rPr>
            </w:pPr>
            <w:r>
              <w:rPr>
                <w:rFonts w:ascii="Arial" w:hAnsi="Arial" w:eastAsia="Arial" w:cs="Arial"/>
                <w:spacing w:val="-10"/>
                <w:sz w:val="15"/>
                <w:szCs w:val="15"/>
              </w:rPr>
              <w:t>27</w:t>
            </w:r>
            <w:r>
              <w:rPr>
                <w:rFonts w:ascii="Arial" w:hAnsi="Arial" w:eastAsia="Arial" w:cs="Arial"/>
                <w:spacing w:val="16"/>
                <w:sz w:val="15"/>
                <w:szCs w:val="15"/>
              </w:rPr>
              <w:t xml:space="preserve"> </w:t>
            </w:r>
            <w:r>
              <w:rPr>
                <w:rFonts w:ascii="Arial" w:hAnsi="Arial" w:eastAsia="Arial" w:cs="Arial"/>
                <w:spacing w:val="-10"/>
                <w:sz w:val="15"/>
                <w:szCs w:val="15"/>
              </w:rPr>
              <w:t>(4.8)</w:t>
            </w:r>
          </w:p>
        </w:tc>
        <w:tc>
          <w:tcPr>
            <w:tcW w:w="1541" w:type="dxa"/>
            <w:vAlign w:val="top"/>
          </w:tcPr>
          <w:p>
            <w:pPr>
              <w:spacing w:before="23" w:line="181" w:lineRule="auto"/>
              <w:ind w:left="655"/>
              <w:rPr>
                <w:rFonts w:ascii="Arial" w:hAnsi="Arial" w:eastAsia="Arial" w:cs="Arial"/>
                <w:sz w:val="15"/>
                <w:szCs w:val="15"/>
              </w:rPr>
            </w:pPr>
            <w:r>
              <w:rPr>
                <w:rFonts w:ascii="Arial" w:hAnsi="Arial" w:eastAsia="Arial" w:cs="Arial"/>
                <w:spacing w:val="-10"/>
                <w:sz w:val="15"/>
                <w:szCs w:val="15"/>
              </w:rPr>
              <w:t>4</w:t>
            </w:r>
            <w:r>
              <w:rPr>
                <w:rFonts w:ascii="Arial" w:hAnsi="Arial" w:eastAsia="Arial" w:cs="Arial"/>
                <w:spacing w:val="19"/>
                <w:w w:val="102"/>
                <w:sz w:val="15"/>
                <w:szCs w:val="15"/>
              </w:rPr>
              <w:t xml:space="preserve"> </w:t>
            </w:r>
            <w:r>
              <w:rPr>
                <w:rFonts w:ascii="Arial" w:hAnsi="Arial" w:eastAsia="Arial" w:cs="Arial"/>
                <w:spacing w:val="-10"/>
                <w:sz w:val="15"/>
                <w:szCs w:val="15"/>
              </w:rPr>
              <w:t>(4.5)</w:t>
            </w:r>
          </w:p>
        </w:tc>
        <w:tc>
          <w:tcPr>
            <w:tcW w:w="1195" w:type="dxa"/>
            <w:vAlign w:val="top"/>
          </w:tcPr>
          <w:p>
            <w:pPr>
              <w:spacing w:before="23" w:line="181" w:lineRule="auto"/>
              <w:ind w:left="656"/>
              <w:rPr>
                <w:rFonts w:ascii="Arial" w:hAnsi="Arial" w:eastAsia="Arial" w:cs="Arial"/>
                <w:sz w:val="15"/>
                <w:szCs w:val="15"/>
              </w:rPr>
            </w:pPr>
            <w:r>
              <w:rPr>
                <w:rFonts w:ascii="Arial" w:hAnsi="Arial" w:eastAsia="Arial" w:cs="Arial"/>
                <w:spacing w:val="-10"/>
                <w:sz w:val="15"/>
                <w:szCs w:val="15"/>
              </w:rPr>
              <w:t>4</w:t>
            </w:r>
            <w:r>
              <w:rPr>
                <w:rFonts w:ascii="Arial" w:hAnsi="Arial" w:eastAsia="Arial" w:cs="Arial"/>
                <w:spacing w:val="19"/>
                <w:w w:val="102"/>
                <w:sz w:val="15"/>
                <w:szCs w:val="15"/>
              </w:rPr>
              <w:t xml:space="preserve"> </w:t>
            </w:r>
            <w:r>
              <w:rPr>
                <w:rFonts w:ascii="Arial" w:hAnsi="Arial" w:eastAsia="Arial" w:cs="Arial"/>
                <w:spacing w:val="-10"/>
                <w:sz w:val="15"/>
                <w:szCs w:val="15"/>
              </w:rPr>
              <w:t>(4.0)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9" w:hRule="atLeast"/>
        </w:trPr>
        <w:tc>
          <w:tcPr>
            <w:tcW w:w="1985" w:type="dxa"/>
            <w:vAlign w:val="top"/>
          </w:tcPr>
          <w:p>
            <w:pPr>
              <w:spacing w:before="7" w:line="239" w:lineRule="auto"/>
              <w:ind w:left="7"/>
              <w:rPr>
                <w:rFonts w:ascii="Arial" w:hAnsi="Arial" w:eastAsia="Arial" w:cs="Arial"/>
                <w:sz w:val="15"/>
                <w:szCs w:val="15"/>
              </w:rPr>
            </w:pPr>
            <w:r>
              <w:rPr>
                <w:rFonts w:ascii="Arial" w:hAnsi="Arial" w:eastAsia="Arial" w:cs="Arial"/>
                <w:spacing w:val="-7"/>
                <w:sz w:val="15"/>
                <w:szCs w:val="15"/>
              </w:rPr>
              <w:t>Duration</w:t>
            </w:r>
            <w:r>
              <w:rPr>
                <w:rFonts w:ascii="Arial" w:hAnsi="Arial" w:eastAsia="Arial" w:cs="Arial"/>
                <w:spacing w:val="21"/>
                <w:w w:val="101"/>
                <w:sz w:val="15"/>
                <w:szCs w:val="15"/>
              </w:rPr>
              <w:t xml:space="preserve"> </w:t>
            </w:r>
            <w:r>
              <w:rPr>
                <w:rFonts w:ascii="Arial" w:hAnsi="Arial" w:eastAsia="Arial" w:cs="Arial"/>
                <w:spacing w:val="-7"/>
                <w:sz w:val="15"/>
                <w:szCs w:val="15"/>
              </w:rPr>
              <w:t>of Employment</w:t>
            </w:r>
          </w:p>
        </w:tc>
        <w:tc>
          <w:tcPr>
            <w:tcW w:w="1613" w:type="dxa"/>
            <w:vAlign w:val="top"/>
          </w:tcPr>
          <w:p>
            <w:pPr>
              <w:spacing w:line="179" w:lineRule="exact"/>
              <w:rPr>
                <w:rFonts w:ascii="Arial"/>
                <w:sz w:val="15"/>
              </w:rPr>
            </w:pPr>
          </w:p>
        </w:tc>
        <w:tc>
          <w:tcPr>
            <w:tcW w:w="1615" w:type="dxa"/>
            <w:vAlign w:val="top"/>
          </w:tcPr>
          <w:p>
            <w:pPr>
              <w:spacing w:line="179" w:lineRule="exact"/>
              <w:rPr>
                <w:rFonts w:ascii="Arial"/>
                <w:sz w:val="15"/>
              </w:rPr>
            </w:pPr>
          </w:p>
        </w:tc>
        <w:tc>
          <w:tcPr>
            <w:tcW w:w="1541" w:type="dxa"/>
            <w:vAlign w:val="top"/>
          </w:tcPr>
          <w:p>
            <w:pPr>
              <w:spacing w:line="179" w:lineRule="exact"/>
              <w:rPr>
                <w:rFonts w:ascii="Arial"/>
                <w:sz w:val="15"/>
              </w:rPr>
            </w:pPr>
          </w:p>
        </w:tc>
        <w:tc>
          <w:tcPr>
            <w:tcW w:w="1195" w:type="dxa"/>
            <w:vAlign w:val="top"/>
          </w:tcPr>
          <w:p>
            <w:pPr>
              <w:spacing w:line="179" w:lineRule="exact"/>
              <w:rPr>
                <w:rFonts w:ascii="Arial"/>
                <w:sz w:val="15"/>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9" w:hRule="atLeast"/>
        </w:trPr>
        <w:tc>
          <w:tcPr>
            <w:tcW w:w="1985" w:type="dxa"/>
            <w:vAlign w:val="top"/>
          </w:tcPr>
          <w:p>
            <w:pPr>
              <w:spacing w:before="31" w:line="191" w:lineRule="auto"/>
              <w:ind w:left="14"/>
              <w:rPr>
                <w:rFonts w:ascii="Arial" w:hAnsi="Arial" w:eastAsia="Arial" w:cs="Arial"/>
                <w:sz w:val="15"/>
                <w:szCs w:val="15"/>
              </w:rPr>
            </w:pPr>
            <w:r>
              <w:rPr>
                <w:rFonts w:ascii="Arial" w:hAnsi="Arial" w:eastAsia="Arial" w:cs="Arial"/>
                <w:spacing w:val="-10"/>
                <w:sz w:val="15"/>
                <w:szCs w:val="15"/>
              </w:rPr>
              <w:t>&lt;</w:t>
            </w:r>
            <w:r>
              <w:rPr>
                <w:rFonts w:ascii="Arial" w:hAnsi="Arial" w:eastAsia="Arial" w:cs="Arial"/>
                <w:spacing w:val="25"/>
                <w:w w:val="101"/>
                <w:sz w:val="15"/>
                <w:szCs w:val="15"/>
              </w:rPr>
              <w:t xml:space="preserve"> </w:t>
            </w:r>
            <w:r>
              <w:rPr>
                <w:rFonts w:ascii="Arial" w:hAnsi="Arial" w:eastAsia="Arial" w:cs="Arial"/>
                <w:spacing w:val="-10"/>
                <w:sz w:val="15"/>
                <w:szCs w:val="15"/>
              </w:rPr>
              <w:t>1</w:t>
            </w:r>
            <w:r>
              <w:rPr>
                <w:rFonts w:ascii="Arial" w:hAnsi="Arial" w:eastAsia="Arial" w:cs="Arial"/>
                <w:spacing w:val="7"/>
                <w:sz w:val="15"/>
                <w:szCs w:val="15"/>
              </w:rPr>
              <w:t xml:space="preserve"> </w:t>
            </w:r>
            <w:r>
              <w:rPr>
                <w:rFonts w:ascii="Arial" w:hAnsi="Arial" w:eastAsia="Arial" w:cs="Arial"/>
                <w:spacing w:val="-10"/>
                <w:sz w:val="15"/>
                <w:szCs w:val="15"/>
              </w:rPr>
              <w:t>year</w:t>
            </w:r>
          </w:p>
        </w:tc>
        <w:tc>
          <w:tcPr>
            <w:tcW w:w="1613" w:type="dxa"/>
            <w:vAlign w:val="top"/>
          </w:tcPr>
          <w:p>
            <w:pPr>
              <w:spacing w:before="24" w:line="181" w:lineRule="auto"/>
              <w:ind w:left="650"/>
              <w:rPr>
                <w:rFonts w:ascii="Arial" w:hAnsi="Arial" w:eastAsia="Arial" w:cs="Arial"/>
                <w:sz w:val="15"/>
                <w:szCs w:val="15"/>
              </w:rPr>
            </w:pPr>
            <w:r>
              <w:rPr>
                <w:rFonts w:ascii="Arial" w:hAnsi="Arial" w:eastAsia="Arial" w:cs="Arial"/>
                <w:spacing w:val="-10"/>
                <w:sz w:val="15"/>
                <w:szCs w:val="15"/>
              </w:rPr>
              <w:t>42</w:t>
            </w:r>
            <w:r>
              <w:rPr>
                <w:rFonts w:ascii="Arial" w:hAnsi="Arial" w:eastAsia="Arial" w:cs="Arial"/>
                <w:spacing w:val="20"/>
                <w:sz w:val="15"/>
                <w:szCs w:val="15"/>
              </w:rPr>
              <w:t xml:space="preserve"> </w:t>
            </w:r>
            <w:r>
              <w:rPr>
                <w:rFonts w:ascii="Arial" w:hAnsi="Arial" w:eastAsia="Arial" w:cs="Arial"/>
                <w:spacing w:val="-10"/>
                <w:sz w:val="15"/>
                <w:szCs w:val="15"/>
              </w:rPr>
              <w:t>(5.8)</w:t>
            </w:r>
          </w:p>
        </w:tc>
        <w:tc>
          <w:tcPr>
            <w:tcW w:w="1615" w:type="dxa"/>
            <w:vAlign w:val="top"/>
          </w:tcPr>
          <w:p>
            <w:pPr>
              <w:spacing w:before="24" w:line="181" w:lineRule="auto"/>
              <w:ind w:left="658"/>
              <w:rPr>
                <w:rFonts w:ascii="Arial" w:hAnsi="Arial" w:eastAsia="Arial" w:cs="Arial"/>
                <w:sz w:val="15"/>
                <w:szCs w:val="15"/>
              </w:rPr>
            </w:pPr>
            <w:r>
              <w:rPr>
                <w:rFonts w:ascii="Arial" w:hAnsi="Arial" w:eastAsia="Arial" w:cs="Arial"/>
                <w:spacing w:val="-10"/>
                <w:sz w:val="15"/>
                <w:szCs w:val="15"/>
              </w:rPr>
              <w:t>29</w:t>
            </w:r>
            <w:r>
              <w:rPr>
                <w:rFonts w:ascii="Arial" w:hAnsi="Arial" w:eastAsia="Arial" w:cs="Arial"/>
                <w:spacing w:val="16"/>
                <w:sz w:val="15"/>
                <w:szCs w:val="15"/>
              </w:rPr>
              <w:t xml:space="preserve"> </w:t>
            </w:r>
            <w:r>
              <w:rPr>
                <w:rFonts w:ascii="Arial" w:hAnsi="Arial" w:eastAsia="Arial" w:cs="Arial"/>
                <w:spacing w:val="-10"/>
                <w:sz w:val="15"/>
                <w:szCs w:val="15"/>
              </w:rPr>
              <w:t>(5.3)</w:t>
            </w:r>
          </w:p>
        </w:tc>
        <w:tc>
          <w:tcPr>
            <w:tcW w:w="1541" w:type="dxa"/>
            <w:vAlign w:val="top"/>
          </w:tcPr>
          <w:p>
            <w:pPr>
              <w:spacing w:before="24" w:line="181" w:lineRule="auto"/>
              <w:ind w:left="519"/>
              <w:rPr>
                <w:rFonts w:ascii="Arial" w:hAnsi="Arial" w:eastAsia="Arial" w:cs="Arial"/>
                <w:sz w:val="15"/>
                <w:szCs w:val="15"/>
              </w:rPr>
            </w:pPr>
            <w:r>
              <w:rPr>
                <w:rFonts w:ascii="Arial" w:hAnsi="Arial" w:eastAsia="Arial" w:cs="Arial"/>
                <w:spacing w:val="-11"/>
                <w:sz w:val="15"/>
                <w:szCs w:val="15"/>
              </w:rPr>
              <w:t>10</w:t>
            </w:r>
            <w:r>
              <w:rPr>
                <w:rFonts w:ascii="Arial" w:hAnsi="Arial" w:eastAsia="Arial" w:cs="Arial"/>
                <w:spacing w:val="17"/>
                <w:w w:val="101"/>
                <w:sz w:val="15"/>
                <w:szCs w:val="15"/>
              </w:rPr>
              <w:t xml:space="preserve"> </w:t>
            </w:r>
            <w:r>
              <w:rPr>
                <w:rFonts w:ascii="Arial" w:hAnsi="Arial" w:eastAsia="Arial" w:cs="Arial"/>
                <w:spacing w:val="-11"/>
                <w:sz w:val="15"/>
                <w:szCs w:val="15"/>
              </w:rPr>
              <w:t>(12.7)</w:t>
            </w:r>
          </w:p>
        </w:tc>
        <w:tc>
          <w:tcPr>
            <w:tcW w:w="1195" w:type="dxa"/>
            <w:vAlign w:val="top"/>
          </w:tcPr>
          <w:p>
            <w:pPr>
              <w:spacing w:before="24" w:line="181" w:lineRule="auto"/>
              <w:ind w:left="660"/>
              <w:rPr>
                <w:rFonts w:ascii="Arial" w:hAnsi="Arial" w:eastAsia="Arial" w:cs="Arial"/>
                <w:sz w:val="15"/>
                <w:szCs w:val="15"/>
              </w:rPr>
            </w:pPr>
            <w:r>
              <w:rPr>
                <w:rFonts w:ascii="Arial" w:hAnsi="Arial" w:eastAsia="Arial" w:cs="Arial"/>
                <w:spacing w:val="-10"/>
                <w:sz w:val="15"/>
                <w:szCs w:val="15"/>
              </w:rPr>
              <w:t>3</w:t>
            </w:r>
            <w:r>
              <w:rPr>
                <w:rFonts w:ascii="Arial" w:hAnsi="Arial" w:eastAsia="Arial" w:cs="Arial"/>
                <w:spacing w:val="17"/>
                <w:sz w:val="15"/>
                <w:szCs w:val="15"/>
              </w:rPr>
              <w:t xml:space="preserve"> </w:t>
            </w:r>
            <w:r>
              <w:rPr>
                <w:rFonts w:ascii="Arial" w:hAnsi="Arial" w:eastAsia="Arial" w:cs="Arial"/>
                <w:spacing w:val="-10"/>
                <w:sz w:val="15"/>
                <w:szCs w:val="15"/>
              </w:rPr>
              <w:t>(3.4)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0" w:hRule="atLeast"/>
        </w:trPr>
        <w:tc>
          <w:tcPr>
            <w:tcW w:w="1985" w:type="dxa"/>
            <w:vAlign w:val="top"/>
          </w:tcPr>
          <w:p>
            <w:pPr>
              <w:spacing w:before="33" w:line="190" w:lineRule="auto"/>
              <w:ind w:left="18"/>
              <w:rPr>
                <w:rFonts w:ascii="Arial" w:hAnsi="Arial" w:eastAsia="Arial" w:cs="Arial"/>
                <w:sz w:val="15"/>
                <w:szCs w:val="15"/>
              </w:rPr>
            </w:pPr>
            <w:r>
              <w:rPr>
                <w:rFonts w:ascii="Arial" w:hAnsi="Arial" w:eastAsia="Arial" w:cs="Arial"/>
                <w:spacing w:val="-10"/>
                <w:sz w:val="15"/>
                <w:szCs w:val="15"/>
              </w:rPr>
              <w:t>1–4</w:t>
            </w:r>
            <w:r>
              <w:rPr>
                <w:rFonts w:ascii="Arial" w:hAnsi="Arial" w:eastAsia="Arial" w:cs="Arial"/>
                <w:spacing w:val="9"/>
                <w:sz w:val="15"/>
                <w:szCs w:val="15"/>
              </w:rPr>
              <w:t xml:space="preserve"> </w:t>
            </w:r>
            <w:r>
              <w:rPr>
                <w:rFonts w:ascii="Arial" w:hAnsi="Arial" w:eastAsia="Arial" w:cs="Arial"/>
                <w:spacing w:val="-10"/>
                <w:sz w:val="15"/>
                <w:szCs w:val="15"/>
              </w:rPr>
              <w:t>years</w:t>
            </w:r>
          </w:p>
        </w:tc>
        <w:tc>
          <w:tcPr>
            <w:tcW w:w="1613" w:type="dxa"/>
            <w:vAlign w:val="top"/>
          </w:tcPr>
          <w:p>
            <w:pPr>
              <w:spacing w:before="26" w:line="181" w:lineRule="auto"/>
              <w:ind w:left="513"/>
              <w:rPr>
                <w:rFonts w:ascii="Arial" w:hAnsi="Arial" w:eastAsia="Arial" w:cs="Arial"/>
                <w:sz w:val="15"/>
                <w:szCs w:val="15"/>
              </w:rPr>
            </w:pPr>
            <w:r>
              <w:rPr>
                <w:rFonts w:ascii="Arial" w:hAnsi="Arial" w:eastAsia="Arial" w:cs="Arial"/>
                <w:spacing w:val="-11"/>
                <w:sz w:val="15"/>
                <w:szCs w:val="15"/>
              </w:rPr>
              <w:t>193</w:t>
            </w:r>
            <w:r>
              <w:rPr>
                <w:rFonts w:ascii="Arial" w:hAnsi="Arial" w:eastAsia="Arial" w:cs="Arial"/>
                <w:spacing w:val="19"/>
                <w:w w:val="102"/>
                <w:sz w:val="15"/>
                <w:szCs w:val="15"/>
              </w:rPr>
              <w:t xml:space="preserve"> </w:t>
            </w:r>
            <w:r>
              <w:rPr>
                <w:rFonts w:ascii="Arial" w:hAnsi="Arial" w:eastAsia="Arial" w:cs="Arial"/>
                <w:spacing w:val="-11"/>
                <w:sz w:val="15"/>
                <w:szCs w:val="15"/>
              </w:rPr>
              <w:t>(26.8)</w:t>
            </w:r>
          </w:p>
        </w:tc>
        <w:tc>
          <w:tcPr>
            <w:tcW w:w="1615" w:type="dxa"/>
            <w:vAlign w:val="top"/>
          </w:tcPr>
          <w:p>
            <w:pPr>
              <w:spacing w:before="26" w:line="181" w:lineRule="auto"/>
              <w:ind w:left="517"/>
              <w:rPr>
                <w:rFonts w:ascii="Arial" w:hAnsi="Arial" w:eastAsia="Arial" w:cs="Arial"/>
                <w:sz w:val="15"/>
                <w:szCs w:val="15"/>
              </w:rPr>
            </w:pPr>
            <w:r>
              <w:rPr>
                <w:rFonts w:ascii="Arial" w:hAnsi="Arial" w:eastAsia="Arial" w:cs="Arial"/>
                <w:spacing w:val="-11"/>
                <w:sz w:val="15"/>
                <w:szCs w:val="15"/>
              </w:rPr>
              <w:t>140</w:t>
            </w:r>
            <w:r>
              <w:rPr>
                <w:rFonts w:ascii="Arial" w:hAnsi="Arial" w:eastAsia="Arial" w:cs="Arial"/>
                <w:spacing w:val="19"/>
                <w:w w:val="102"/>
                <w:sz w:val="15"/>
                <w:szCs w:val="15"/>
              </w:rPr>
              <w:t xml:space="preserve"> </w:t>
            </w:r>
            <w:r>
              <w:rPr>
                <w:rFonts w:ascii="Arial" w:hAnsi="Arial" w:eastAsia="Arial" w:cs="Arial"/>
                <w:spacing w:val="-11"/>
                <w:sz w:val="15"/>
                <w:szCs w:val="15"/>
              </w:rPr>
              <w:t>(25.4)</w:t>
            </w:r>
          </w:p>
        </w:tc>
        <w:tc>
          <w:tcPr>
            <w:tcW w:w="1541" w:type="dxa"/>
            <w:vAlign w:val="top"/>
          </w:tcPr>
          <w:p>
            <w:pPr>
              <w:spacing w:before="26" w:line="181" w:lineRule="auto"/>
              <w:ind w:left="510"/>
              <w:rPr>
                <w:rFonts w:ascii="Arial" w:hAnsi="Arial" w:eastAsia="Arial" w:cs="Arial"/>
                <w:sz w:val="15"/>
                <w:szCs w:val="15"/>
              </w:rPr>
            </w:pPr>
            <w:r>
              <w:rPr>
                <w:rFonts w:ascii="Arial" w:hAnsi="Arial" w:eastAsia="Arial" w:cs="Arial"/>
                <w:spacing w:val="-10"/>
                <w:sz w:val="15"/>
                <w:szCs w:val="15"/>
              </w:rPr>
              <w:t>31</w:t>
            </w:r>
            <w:r>
              <w:rPr>
                <w:rFonts w:ascii="Arial" w:hAnsi="Arial" w:eastAsia="Arial" w:cs="Arial"/>
                <w:spacing w:val="18"/>
                <w:sz w:val="15"/>
                <w:szCs w:val="15"/>
              </w:rPr>
              <w:t xml:space="preserve"> </w:t>
            </w:r>
            <w:r>
              <w:rPr>
                <w:rFonts w:ascii="Arial" w:hAnsi="Arial" w:eastAsia="Arial" w:cs="Arial"/>
                <w:spacing w:val="-10"/>
                <w:sz w:val="15"/>
                <w:szCs w:val="15"/>
              </w:rPr>
              <w:t>(39.2)</w:t>
            </w:r>
          </w:p>
        </w:tc>
        <w:tc>
          <w:tcPr>
            <w:tcW w:w="1195" w:type="dxa"/>
            <w:vAlign w:val="top"/>
          </w:tcPr>
          <w:p>
            <w:pPr>
              <w:spacing w:before="26" w:line="181" w:lineRule="auto"/>
              <w:ind w:left="510"/>
              <w:rPr>
                <w:rFonts w:ascii="Arial" w:hAnsi="Arial" w:eastAsia="Arial" w:cs="Arial"/>
                <w:sz w:val="15"/>
                <w:szCs w:val="15"/>
              </w:rPr>
            </w:pPr>
            <w:r>
              <w:rPr>
                <w:rFonts w:ascii="Arial" w:hAnsi="Arial" w:eastAsia="Arial" w:cs="Arial"/>
                <w:spacing w:val="-10"/>
                <w:sz w:val="15"/>
                <w:szCs w:val="15"/>
              </w:rPr>
              <w:t>22</w:t>
            </w:r>
            <w:r>
              <w:rPr>
                <w:rFonts w:ascii="Arial" w:hAnsi="Arial" w:eastAsia="Arial" w:cs="Arial"/>
                <w:spacing w:val="18"/>
                <w:w w:val="101"/>
                <w:sz w:val="15"/>
                <w:szCs w:val="15"/>
              </w:rPr>
              <w:t xml:space="preserve"> </w:t>
            </w:r>
            <w:r>
              <w:rPr>
                <w:rFonts w:ascii="Arial" w:hAnsi="Arial" w:eastAsia="Arial" w:cs="Arial"/>
                <w:spacing w:val="-10"/>
                <w:sz w:val="15"/>
                <w:szCs w:val="15"/>
              </w:rPr>
              <w:t>(25.0)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0" w:hRule="atLeast"/>
        </w:trPr>
        <w:tc>
          <w:tcPr>
            <w:tcW w:w="1985" w:type="dxa"/>
            <w:vAlign w:val="top"/>
          </w:tcPr>
          <w:p>
            <w:pPr>
              <w:spacing w:before="32" w:line="192" w:lineRule="auto"/>
              <w:ind w:left="9"/>
              <w:rPr>
                <w:rFonts w:ascii="Arial" w:hAnsi="Arial" w:eastAsia="Arial" w:cs="Arial"/>
                <w:sz w:val="15"/>
                <w:szCs w:val="15"/>
              </w:rPr>
            </w:pPr>
            <w:r>
              <w:rPr>
                <w:rFonts w:ascii="Arial" w:hAnsi="Arial" w:eastAsia="Arial" w:cs="Arial"/>
                <w:spacing w:val="-9"/>
                <w:sz w:val="15"/>
                <w:szCs w:val="15"/>
              </w:rPr>
              <w:t>5–9</w:t>
            </w:r>
            <w:r>
              <w:rPr>
                <w:rFonts w:ascii="Arial" w:hAnsi="Arial" w:eastAsia="Arial" w:cs="Arial"/>
                <w:spacing w:val="10"/>
                <w:sz w:val="15"/>
                <w:szCs w:val="15"/>
              </w:rPr>
              <w:t xml:space="preserve"> </w:t>
            </w:r>
            <w:r>
              <w:rPr>
                <w:rFonts w:ascii="Arial" w:hAnsi="Arial" w:eastAsia="Arial" w:cs="Arial"/>
                <w:spacing w:val="-9"/>
                <w:sz w:val="15"/>
                <w:szCs w:val="15"/>
              </w:rPr>
              <w:t>years</w:t>
            </w:r>
          </w:p>
        </w:tc>
        <w:tc>
          <w:tcPr>
            <w:tcW w:w="1613" w:type="dxa"/>
            <w:vAlign w:val="top"/>
          </w:tcPr>
          <w:p>
            <w:pPr>
              <w:spacing w:before="26" w:line="181" w:lineRule="auto"/>
              <w:ind w:left="505"/>
              <w:rPr>
                <w:rFonts w:ascii="Arial" w:hAnsi="Arial" w:eastAsia="Arial" w:cs="Arial"/>
                <w:sz w:val="15"/>
                <w:szCs w:val="15"/>
              </w:rPr>
            </w:pPr>
            <w:r>
              <w:rPr>
                <w:rFonts w:ascii="Arial" w:hAnsi="Arial" w:eastAsia="Arial" w:cs="Arial"/>
                <w:spacing w:val="-10"/>
                <w:sz w:val="15"/>
                <w:szCs w:val="15"/>
              </w:rPr>
              <w:t>200</w:t>
            </w:r>
            <w:r>
              <w:rPr>
                <w:rFonts w:ascii="Arial" w:hAnsi="Arial" w:eastAsia="Arial" w:cs="Arial"/>
                <w:spacing w:val="19"/>
                <w:sz w:val="15"/>
                <w:szCs w:val="15"/>
              </w:rPr>
              <w:t xml:space="preserve"> </w:t>
            </w:r>
            <w:r>
              <w:rPr>
                <w:rFonts w:ascii="Arial" w:hAnsi="Arial" w:eastAsia="Arial" w:cs="Arial"/>
                <w:spacing w:val="-10"/>
                <w:sz w:val="15"/>
                <w:szCs w:val="15"/>
              </w:rPr>
              <w:t>(27.8)</w:t>
            </w:r>
          </w:p>
        </w:tc>
        <w:tc>
          <w:tcPr>
            <w:tcW w:w="1615" w:type="dxa"/>
            <w:vAlign w:val="top"/>
          </w:tcPr>
          <w:p>
            <w:pPr>
              <w:spacing w:before="26" w:line="181" w:lineRule="auto"/>
              <w:ind w:left="517"/>
              <w:rPr>
                <w:rFonts w:ascii="Arial" w:hAnsi="Arial" w:eastAsia="Arial" w:cs="Arial"/>
                <w:sz w:val="15"/>
                <w:szCs w:val="15"/>
              </w:rPr>
            </w:pPr>
            <w:r>
              <w:rPr>
                <w:rFonts w:ascii="Arial" w:hAnsi="Arial" w:eastAsia="Arial" w:cs="Arial"/>
                <w:spacing w:val="-11"/>
                <w:sz w:val="15"/>
                <w:szCs w:val="15"/>
              </w:rPr>
              <w:t>160</w:t>
            </w:r>
            <w:r>
              <w:rPr>
                <w:rFonts w:ascii="Arial" w:hAnsi="Arial" w:eastAsia="Arial" w:cs="Arial"/>
                <w:spacing w:val="19"/>
                <w:w w:val="102"/>
                <w:sz w:val="15"/>
                <w:szCs w:val="15"/>
              </w:rPr>
              <w:t xml:space="preserve"> </w:t>
            </w:r>
            <w:r>
              <w:rPr>
                <w:rFonts w:ascii="Arial" w:hAnsi="Arial" w:eastAsia="Arial" w:cs="Arial"/>
                <w:spacing w:val="-11"/>
                <w:sz w:val="15"/>
                <w:szCs w:val="15"/>
              </w:rPr>
              <w:t>(29.0)</w:t>
            </w:r>
          </w:p>
        </w:tc>
        <w:tc>
          <w:tcPr>
            <w:tcW w:w="1541" w:type="dxa"/>
            <w:vAlign w:val="top"/>
          </w:tcPr>
          <w:p>
            <w:pPr>
              <w:spacing w:before="26" w:line="181" w:lineRule="auto"/>
              <w:ind w:left="510"/>
              <w:rPr>
                <w:rFonts w:ascii="Arial" w:hAnsi="Arial" w:eastAsia="Arial" w:cs="Arial"/>
                <w:sz w:val="15"/>
                <w:szCs w:val="15"/>
              </w:rPr>
            </w:pPr>
            <w:r>
              <w:rPr>
                <w:rFonts w:ascii="Arial" w:hAnsi="Arial" w:eastAsia="Arial" w:cs="Arial"/>
                <w:spacing w:val="-10"/>
                <w:sz w:val="15"/>
                <w:szCs w:val="15"/>
              </w:rPr>
              <w:t>21</w:t>
            </w:r>
            <w:r>
              <w:rPr>
                <w:rFonts w:ascii="Arial" w:hAnsi="Arial" w:eastAsia="Arial" w:cs="Arial"/>
                <w:spacing w:val="17"/>
                <w:w w:val="101"/>
                <w:sz w:val="15"/>
                <w:szCs w:val="15"/>
              </w:rPr>
              <w:t xml:space="preserve"> </w:t>
            </w:r>
            <w:r>
              <w:rPr>
                <w:rFonts w:ascii="Arial" w:hAnsi="Arial" w:eastAsia="Arial" w:cs="Arial"/>
                <w:spacing w:val="-10"/>
                <w:sz w:val="15"/>
                <w:szCs w:val="15"/>
              </w:rPr>
              <w:t>(26.6)</w:t>
            </w:r>
          </w:p>
        </w:tc>
        <w:tc>
          <w:tcPr>
            <w:tcW w:w="1195" w:type="dxa"/>
            <w:vAlign w:val="top"/>
          </w:tcPr>
          <w:p>
            <w:pPr>
              <w:spacing w:before="26" w:line="181" w:lineRule="auto"/>
              <w:ind w:left="518"/>
              <w:rPr>
                <w:rFonts w:ascii="Arial" w:hAnsi="Arial" w:eastAsia="Arial" w:cs="Arial"/>
                <w:sz w:val="15"/>
                <w:szCs w:val="15"/>
              </w:rPr>
            </w:pPr>
            <w:r>
              <w:rPr>
                <w:rFonts w:ascii="Arial" w:hAnsi="Arial" w:eastAsia="Arial" w:cs="Arial"/>
                <w:spacing w:val="-11"/>
                <w:sz w:val="15"/>
                <w:szCs w:val="15"/>
              </w:rPr>
              <w:t>19</w:t>
            </w:r>
            <w:r>
              <w:rPr>
                <w:rFonts w:ascii="Arial" w:hAnsi="Arial" w:eastAsia="Arial" w:cs="Arial"/>
                <w:spacing w:val="18"/>
                <w:w w:val="101"/>
                <w:sz w:val="15"/>
                <w:szCs w:val="15"/>
              </w:rPr>
              <w:t xml:space="preserve"> </w:t>
            </w:r>
            <w:r>
              <w:rPr>
                <w:rFonts w:ascii="Arial" w:hAnsi="Arial" w:eastAsia="Arial" w:cs="Arial"/>
                <w:spacing w:val="-11"/>
                <w:sz w:val="15"/>
                <w:szCs w:val="15"/>
              </w:rPr>
              <w:t>(21.6)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9" w:hRule="atLeast"/>
        </w:trPr>
        <w:tc>
          <w:tcPr>
            <w:tcW w:w="1985" w:type="dxa"/>
            <w:vAlign w:val="top"/>
          </w:tcPr>
          <w:p>
            <w:pPr>
              <w:spacing w:before="32" w:line="190" w:lineRule="auto"/>
              <w:ind w:left="18"/>
              <w:rPr>
                <w:rFonts w:ascii="Arial" w:hAnsi="Arial" w:eastAsia="Arial" w:cs="Arial"/>
                <w:sz w:val="15"/>
                <w:szCs w:val="15"/>
              </w:rPr>
            </w:pPr>
            <w:r>
              <w:rPr>
                <w:rFonts w:ascii="Arial" w:hAnsi="Arial" w:eastAsia="Arial" w:cs="Arial"/>
                <w:spacing w:val="-11"/>
                <w:sz w:val="15"/>
                <w:szCs w:val="15"/>
              </w:rPr>
              <w:t>10–</w:t>
            </w:r>
            <w:r>
              <w:rPr>
                <w:rFonts w:ascii="Arial" w:hAnsi="Arial" w:eastAsia="Arial" w:cs="Arial"/>
                <w:spacing w:val="-28"/>
                <w:sz w:val="15"/>
                <w:szCs w:val="15"/>
              </w:rPr>
              <w:t xml:space="preserve"> </w:t>
            </w:r>
            <w:r>
              <w:rPr>
                <w:rFonts w:ascii="Arial" w:hAnsi="Arial" w:eastAsia="Arial" w:cs="Arial"/>
                <w:spacing w:val="-11"/>
                <w:sz w:val="15"/>
                <w:szCs w:val="15"/>
              </w:rPr>
              <w:t>19</w:t>
            </w:r>
            <w:r>
              <w:rPr>
                <w:rFonts w:ascii="Arial" w:hAnsi="Arial" w:eastAsia="Arial" w:cs="Arial"/>
                <w:spacing w:val="8"/>
                <w:sz w:val="15"/>
                <w:szCs w:val="15"/>
              </w:rPr>
              <w:t xml:space="preserve"> </w:t>
            </w:r>
            <w:r>
              <w:rPr>
                <w:rFonts w:ascii="Arial" w:hAnsi="Arial" w:eastAsia="Arial" w:cs="Arial"/>
                <w:spacing w:val="-11"/>
                <w:sz w:val="15"/>
                <w:szCs w:val="15"/>
              </w:rPr>
              <w:t>years</w:t>
            </w:r>
          </w:p>
        </w:tc>
        <w:tc>
          <w:tcPr>
            <w:tcW w:w="1613" w:type="dxa"/>
            <w:vAlign w:val="top"/>
          </w:tcPr>
          <w:p>
            <w:pPr>
              <w:spacing w:before="26" w:line="181" w:lineRule="auto"/>
              <w:ind w:left="513"/>
              <w:rPr>
                <w:rFonts w:ascii="Arial" w:hAnsi="Arial" w:eastAsia="Arial" w:cs="Arial"/>
                <w:sz w:val="15"/>
                <w:szCs w:val="15"/>
              </w:rPr>
            </w:pPr>
            <w:r>
              <w:rPr>
                <w:rFonts w:ascii="Arial" w:hAnsi="Arial" w:eastAsia="Arial" w:cs="Arial"/>
                <w:spacing w:val="-11"/>
                <w:sz w:val="15"/>
                <w:szCs w:val="15"/>
              </w:rPr>
              <w:t>166</w:t>
            </w:r>
            <w:r>
              <w:rPr>
                <w:rFonts w:ascii="Arial" w:hAnsi="Arial" w:eastAsia="Arial" w:cs="Arial"/>
                <w:spacing w:val="19"/>
                <w:w w:val="102"/>
                <w:sz w:val="15"/>
                <w:szCs w:val="15"/>
              </w:rPr>
              <w:t xml:space="preserve"> </w:t>
            </w:r>
            <w:r>
              <w:rPr>
                <w:rFonts w:ascii="Arial" w:hAnsi="Arial" w:eastAsia="Arial" w:cs="Arial"/>
                <w:spacing w:val="-11"/>
                <w:sz w:val="15"/>
                <w:szCs w:val="15"/>
              </w:rPr>
              <w:t>(23.1)</w:t>
            </w:r>
          </w:p>
        </w:tc>
        <w:tc>
          <w:tcPr>
            <w:tcW w:w="1615" w:type="dxa"/>
            <w:vAlign w:val="top"/>
          </w:tcPr>
          <w:p>
            <w:pPr>
              <w:spacing w:before="26" w:line="181" w:lineRule="auto"/>
              <w:ind w:left="517"/>
              <w:rPr>
                <w:rFonts w:ascii="Arial" w:hAnsi="Arial" w:eastAsia="Arial" w:cs="Arial"/>
                <w:sz w:val="15"/>
                <w:szCs w:val="15"/>
              </w:rPr>
            </w:pPr>
            <w:r>
              <w:rPr>
                <w:rFonts w:ascii="Arial" w:hAnsi="Arial" w:eastAsia="Arial" w:cs="Arial"/>
                <w:spacing w:val="-11"/>
                <w:sz w:val="15"/>
                <w:szCs w:val="15"/>
              </w:rPr>
              <w:t>133</w:t>
            </w:r>
            <w:r>
              <w:rPr>
                <w:rFonts w:ascii="Arial" w:hAnsi="Arial" w:eastAsia="Arial" w:cs="Arial"/>
                <w:spacing w:val="19"/>
                <w:w w:val="102"/>
                <w:sz w:val="15"/>
                <w:szCs w:val="15"/>
              </w:rPr>
              <w:t xml:space="preserve"> </w:t>
            </w:r>
            <w:r>
              <w:rPr>
                <w:rFonts w:ascii="Arial" w:hAnsi="Arial" w:eastAsia="Arial" w:cs="Arial"/>
                <w:spacing w:val="-11"/>
                <w:sz w:val="15"/>
                <w:szCs w:val="15"/>
              </w:rPr>
              <w:t>(24.1)</w:t>
            </w:r>
          </w:p>
        </w:tc>
        <w:tc>
          <w:tcPr>
            <w:tcW w:w="1541" w:type="dxa"/>
            <w:vAlign w:val="top"/>
          </w:tcPr>
          <w:p>
            <w:pPr>
              <w:spacing w:before="26" w:line="181" w:lineRule="auto"/>
              <w:ind w:left="518"/>
              <w:rPr>
                <w:rFonts w:ascii="Arial" w:hAnsi="Arial" w:eastAsia="Arial" w:cs="Arial"/>
                <w:sz w:val="15"/>
                <w:szCs w:val="15"/>
              </w:rPr>
            </w:pPr>
            <w:r>
              <w:rPr>
                <w:rFonts w:ascii="Arial" w:hAnsi="Arial" w:eastAsia="Arial" w:cs="Arial"/>
                <w:spacing w:val="-11"/>
                <w:sz w:val="15"/>
                <w:szCs w:val="15"/>
              </w:rPr>
              <w:t>12</w:t>
            </w:r>
            <w:r>
              <w:rPr>
                <w:rFonts w:ascii="Arial" w:hAnsi="Arial" w:eastAsia="Arial" w:cs="Arial"/>
                <w:spacing w:val="17"/>
                <w:w w:val="101"/>
                <w:sz w:val="15"/>
                <w:szCs w:val="15"/>
              </w:rPr>
              <w:t xml:space="preserve"> </w:t>
            </w:r>
            <w:r>
              <w:rPr>
                <w:rFonts w:ascii="Arial" w:hAnsi="Arial" w:eastAsia="Arial" w:cs="Arial"/>
                <w:spacing w:val="-11"/>
                <w:sz w:val="15"/>
                <w:szCs w:val="15"/>
              </w:rPr>
              <w:t>(15.2)</w:t>
            </w:r>
          </w:p>
        </w:tc>
        <w:tc>
          <w:tcPr>
            <w:tcW w:w="1195" w:type="dxa"/>
            <w:vAlign w:val="top"/>
          </w:tcPr>
          <w:p>
            <w:pPr>
              <w:spacing w:before="26" w:line="181" w:lineRule="auto"/>
              <w:ind w:left="510"/>
              <w:rPr>
                <w:rFonts w:ascii="Arial" w:hAnsi="Arial" w:eastAsia="Arial" w:cs="Arial"/>
                <w:sz w:val="15"/>
                <w:szCs w:val="15"/>
              </w:rPr>
            </w:pPr>
            <w:r>
              <w:rPr>
                <w:rFonts w:ascii="Arial" w:hAnsi="Arial" w:eastAsia="Arial" w:cs="Arial"/>
                <w:spacing w:val="-10"/>
                <w:sz w:val="15"/>
                <w:szCs w:val="15"/>
              </w:rPr>
              <w:t>21</w:t>
            </w:r>
            <w:r>
              <w:rPr>
                <w:rFonts w:ascii="Arial" w:hAnsi="Arial" w:eastAsia="Arial" w:cs="Arial"/>
                <w:spacing w:val="18"/>
                <w:w w:val="101"/>
                <w:sz w:val="15"/>
                <w:szCs w:val="15"/>
              </w:rPr>
              <w:t xml:space="preserve"> </w:t>
            </w:r>
            <w:r>
              <w:rPr>
                <w:rFonts w:ascii="Arial" w:hAnsi="Arial" w:eastAsia="Arial" w:cs="Arial"/>
                <w:spacing w:val="-10"/>
                <w:sz w:val="15"/>
                <w:szCs w:val="15"/>
              </w:rPr>
              <w:t>(23.9)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0" w:hRule="atLeast"/>
        </w:trPr>
        <w:tc>
          <w:tcPr>
            <w:tcW w:w="1985" w:type="dxa"/>
            <w:vAlign w:val="top"/>
          </w:tcPr>
          <w:p>
            <w:pPr>
              <w:pStyle w:val="6"/>
              <w:spacing w:before="32" w:line="161" w:lineRule="auto"/>
              <w:ind w:left="14"/>
              <w:rPr>
                <w:rFonts w:ascii="Arial" w:hAnsi="Arial" w:eastAsia="Arial" w:cs="Arial"/>
                <w:sz w:val="15"/>
                <w:szCs w:val="15"/>
              </w:rPr>
            </w:pPr>
            <w:r>
              <w:rPr>
                <w:spacing w:val="-10"/>
                <w:sz w:val="15"/>
                <w:szCs w:val="15"/>
              </w:rPr>
              <w:t>≥</w:t>
            </w:r>
            <w:r>
              <w:rPr>
                <w:spacing w:val="10"/>
                <w:sz w:val="15"/>
                <w:szCs w:val="15"/>
              </w:rPr>
              <w:t xml:space="preserve"> </w:t>
            </w:r>
            <w:r>
              <w:rPr>
                <w:rFonts w:ascii="Arial" w:hAnsi="Arial" w:eastAsia="Arial" w:cs="Arial"/>
                <w:spacing w:val="-10"/>
                <w:sz w:val="15"/>
                <w:szCs w:val="15"/>
              </w:rPr>
              <w:t>20</w:t>
            </w:r>
            <w:r>
              <w:rPr>
                <w:rFonts w:ascii="Arial" w:hAnsi="Arial" w:eastAsia="Arial" w:cs="Arial"/>
                <w:spacing w:val="7"/>
                <w:sz w:val="15"/>
                <w:szCs w:val="15"/>
              </w:rPr>
              <w:t xml:space="preserve"> </w:t>
            </w:r>
            <w:r>
              <w:rPr>
                <w:rFonts w:ascii="Arial" w:hAnsi="Arial" w:eastAsia="Arial" w:cs="Arial"/>
                <w:spacing w:val="-10"/>
                <w:sz w:val="15"/>
                <w:szCs w:val="15"/>
              </w:rPr>
              <w:t>years</w:t>
            </w:r>
          </w:p>
          <w:p>
            <w:pPr>
              <w:spacing w:line="201" w:lineRule="auto"/>
              <w:ind w:left="14"/>
              <w:rPr>
                <w:rFonts w:ascii="Arial" w:hAnsi="Arial" w:eastAsia="Arial" w:cs="Arial"/>
                <w:sz w:val="15"/>
                <w:szCs w:val="15"/>
              </w:rPr>
            </w:pPr>
            <w:r>
              <w:rPr>
                <w:rFonts w:ascii="Arial" w:hAnsi="Arial" w:eastAsia="Arial" w:cs="Arial"/>
                <w:spacing w:val="-10"/>
                <w:sz w:val="15"/>
                <w:szCs w:val="15"/>
              </w:rPr>
              <w:t>Temporary</w:t>
            </w:r>
            <w:r>
              <w:rPr>
                <w:rFonts w:ascii="Arial" w:hAnsi="Arial" w:eastAsia="Arial" w:cs="Arial"/>
                <w:spacing w:val="11"/>
                <w:sz w:val="15"/>
                <w:szCs w:val="15"/>
              </w:rPr>
              <w:t xml:space="preserve"> </w:t>
            </w:r>
            <w:r>
              <w:rPr>
                <w:rFonts w:ascii="Arial" w:hAnsi="Arial" w:eastAsia="Arial" w:cs="Arial"/>
                <w:spacing w:val="-10"/>
                <w:sz w:val="15"/>
                <w:szCs w:val="15"/>
              </w:rPr>
              <w:t>Employment</w:t>
            </w:r>
          </w:p>
        </w:tc>
        <w:tc>
          <w:tcPr>
            <w:tcW w:w="1613" w:type="dxa"/>
            <w:vAlign w:val="top"/>
          </w:tcPr>
          <w:p>
            <w:pPr>
              <w:spacing w:before="27" w:line="181" w:lineRule="auto"/>
              <w:ind w:left="513"/>
              <w:rPr>
                <w:rFonts w:ascii="Arial" w:hAnsi="Arial" w:eastAsia="Arial" w:cs="Arial"/>
                <w:sz w:val="15"/>
                <w:szCs w:val="15"/>
              </w:rPr>
            </w:pPr>
            <w:r>
              <w:rPr>
                <w:rFonts w:ascii="Arial" w:hAnsi="Arial" w:eastAsia="Arial" w:cs="Arial"/>
                <w:spacing w:val="-11"/>
                <w:sz w:val="15"/>
                <w:szCs w:val="15"/>
              </w:rPr>
              <w:t>118</w:t>
            </w:r>
            <w:r>
              <w:rPr>
                <w:rFonts w:ascii="Arial" w:hAnsi="Arial" w:eastAsia="Arial" w:cs="Arial"/>
                <w:spacing w:val="19"/>
                <w:w w:val="102"/>
                <w:sz w:val="15"/>
                <w:szCs w:val="15"/>
              </w:rPr>
              <w:t xml:space="preserve"> </w:t>
            </w:r>
            <w:r>
              <w:rPr>
                <w:rFonts w:ascii="Arial" w:hAnsi="Arial" w:eastAsia="Arial" w:cs="Arial"/>
                <w:spacing w:val="-11"/>
                <w:sz w:val="15"/>
                <w:szCs w:val="15"/>
              </w:rPr>
              <w:t>(16.4)</w:t>
            </w:r>
          </w:p>
        </w:tc>
        <w:tc>
          <w:tcPr>
            <w:tcW w:w="1615" w:type="dxa"/>
            <w:vAlign w:val="top"/>
          </w:tcPr>
          <w:p>
            <w:pPr>
              <w:spacing w:before="27" w:line="181" w:lineRule="auto"/>
              <w:ind w:left="583"/>
              <w:rPr>
                <w:rFonts w:ascii="Arial" w:hAnsi="Arial" w:eastAsia="Arial" w:cs="Arial"/>
                <w:sz w:val="15"/>
                <w:szCs w:val="15"/>
              </w:rPr>
            </w:pPr>
            <w:r>
              <w:rPr>
                <w:rFonts w:ascii="Arial" w:hAnsi="Arial" w:eastAsia="Arial" w:cs="Arial"/>
                <w:spacing w:val="-10"/>
                <w:sz w:val="15"/>
                <w:szCs w:val="15"/>
              </w:rPr>
              <w:t>90</w:t>
            </w:r>
            <w:r>
              <w:rPr>
                <w:rFonts w:ascii="Arial" w:hAnsi="Arial" w:eastAsia="Arial" w:cs="Arial"/>
                <w:spacing w:val="18"/>
                <w:sz w:val="15"/>
                <w:szCs w:val="15"/>
              </w:rPr>
              <w:t xml:space="preserve"> </w:t>
            </w:r>
            <w:r>
              <w:rPr>
                <w:rFonts w:ascii="Arial" w:hAnsi="Arial" w:eastAsia="Arial" w:cs="Arial"/>
                <w:spacing w:val="-10"/>
                <w:sz w:val="15"/>
                <w:szCs w:val="15"/>
              </w:rPr>
              <w:t>(16.3)</w:t>
            </w:r>
          </w:p>
        </w:tc>
        <w:tc>
          <w:tcPr>
            <w:tcW w:w="1541" w:type="dxa"/>
            <w:vAlign w:val="top"/>
          </w:tcPr>
          <w:p>
            <w:pPr>
              <w:spacing w:before="27" w:line="181" w:lineRule="auto"/>
              <w:ind w:left="658"/>
              <w:rPr>
                <w:rFonts w:ascii="Arial" w:hAnsi="Arial" w:eastAsia="Arial" w:cs="Arial"/>
                <w:sz w:val="15"/>
                <w:szCs w:val="15"/>
              </w:rPr>
            </w:pPr>
            <w:r>
              <w:rPr>
                <w:rFonts w:ascii="Arial" w:hAnsi="Arial" w:eastAsia="Arial" w:cs="Arial"/>
                <w:spacing w:val="-10"/>
                <w:sz w:val="15"/>
                <w:szCs w:val="15"/>
              </w:rPr>
              <w:t>5</w:t>
            </w:r>
            <w:r>
              <w:rPr>
                <w:rFonts w:ascii="Arial" w:hAnsi="Arial" w:eastAsia="Arial" w:cs="Arial"/>
                <w:spacing w:val="17"/>
                <w:sz w:val="15"/>
                <w:szCs w:val="15"/>
              </w:rPr>
              <w:t xml:space="preserve"> </w:t>
            </w:r>
            <w:r>
              <w:rPr>
                <w:rFonts w:ascii="Arial" w:hAnsi="Arial" w:eastAsia="Arial" w:cs="Arial"/>
                <w:spacing w:val="-10"/>
                <w:sz w:val="15"/>
                <w:szCs w:val="15"/>
              </w:rPr>
              <w:t>(6.3)</w:t>
            </w:r>
          </w:p>
        </w:tc>
        <w:tc>
          <w:tcPr>
            <w:tcW w:w="1195" w:type="dxa"/>
            <w:vAlign w:val="top"/>
          </w:tcPr>
          <w:p>
            <w:pPr>
              <w:spacing w:before="27" w:line="181" w:lineRule="auto"/>
              <w:ind w:left="510"/>
              <w:rPr>
                <w:rFonts w:ascii="Arial" w:hAnsi="Arial" w:eastAsia="Arial" w:cs="Arial"/>
                <w:sz w:val="15"/>
                <w:szCs w:val="15"/>
              </w:rPr>
            </w:pPr>
            <w:r>
              <w:rPr>
                <w:rFonts w:ascii="Arial" w:hAnsi="Arial" w:eastAsia="Arial" w:cs="Arial"/>
                <w:spacing w:val="-10"/>
                <w:sz w:val="15"/>
                <w:szCs w:val="15"/>
              </w:rPr>
              <w:t>23</w:t>
            </w:r>
            <w:r>
              <w:rPr>
                <w:rFonts w:ascii="Arial" w:hAnsi="Arial" w:eastAsia="Arial" w:cs="Arial"/>
                <w:spacing w:val="18"/>
                <w:w w:val="101"/>
                <w:sz w:val="15"/>
                <w:szCs w:val="15"/>
              </w:rPr>
              <w:t xml:space="preserve"> </w:t>
            </w:r>
            <w:r>
              <w:rPr>
                <w:rFonts w:ascii="Arial" w:hAnsi="Arial" w:eastAsia="Arial" w:cs="Arial"/>
                <w:spacing w:val="-10"/>
                <w:sz w:val="15"/>
                <w:szCs w:val="15"/>
              </w:rPr>
              <w:t>(26.1)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0" w:hRule="atLeast"/>
        </w:trPr>
        <w:tc>
          <w:tcPr>
            <w:tcW w:w="1985" w:type="dxa"/>
            <w:vAlign w:val="top"/>
          </w:tcPr>
          <w:p>
            <w:pPr>
              <w:spacing w:before="59" w:line="111" w:lineRule="exact"/>
              <w:ind w:left="5"/>
              <w:rPr>
                <w:rFonts w:ascii="Arial" w:hAnsi="Arial" w:eastAsia="Arial" w:cs="Arial"/>
                <w:sz w:val="15"/>
                <w:szCs w:val="15"/>
              </w:rPr>
            </w:pPr>
            <w:r>
              <w:rPr>
                <w:rFonts w:ascii="Arial" w:hAnsi="Arial" w:eastAsia="Arial" w:cs="Arial"/>
                <w:spacing w:val="-9"/>
                <w:position w:val="1"/>
                <w:sz w:val="15"/>
                <w:szCs w:val="15"/>
              </w:rPr>
              <w:t>yes</w:t>
            </w:r>
          </w:p>
        </w:tc>
        <w:tc>
          <w:tcPr>
            <w:tcW w:w="1613" w:type="dxa"/>
            <w:vAlign w:val="top"/>
          </w:tcPr>
          <w:p>
            <w:pPr>
              <w:spacing w:before="27" w:line="181" w:lineRule="auto"/>
              <w:ind w:left="505"/>
              <w:rPr>
                <w:rFonts w:ascii="Arial" w:hAnsi="Arial" w:eastAsia="Arial" w:cs="Arial"/>
                <w:sz w:val="15"/>
                <w:szCs w:val="15"/>
              </w:rPr>
            </w:pPr>
            <w:r>
              <w:rPr>
                <w:rFonts w:ascii="Arial" w:hAnsi="Arial" w:eastAsia="Arial" w:cs="Arial"/>
                <w:spacing w:val="-10"/>
                <w:sz w:val="15"/>
                <w:szCs w:val="15"/>
              </w:rPr>
              <w:t>270</w:t>
            </w:r>
            <w:r>
              <w:rPr>
                <w:rFonts w:ascii="Arial" w:hAnsi="Arial" w:eastAsia="Arial" w:cs="Arial"/>
                <w:spacing w:val="19"/>
                <w:sz w:val="15"/>
                <w:szCs w:val="15"/>
              </w:rPr>
              <w:t xml:space="preserve"> </w:t>
            </w:r>
            <w:r>
              <w:rPr>
                <w:rFonts w:ascii="Arial" w:hAnsi="Arial" w:eastAsia="Arial" w:cs="Arial"/>
                <w:spacing w:val="-10"/>
                <w:sz w:val="15"/>
                <w:szCs w:val="15"/>
              </w:rPr>
              <w:t>(37.1)</w:t>
            </w:r>
          </w:p>
        </w:tc>
        <w:tc>
          <w:tcPr>
            <w:tcW w:w="1615" w:type="dxa"/>
            <w:vAlign w:val="top"/>
          </w:tcPr>
          <w:p>
            <w:pPr>
              <w:spacing w:before="27" w:line="181" w:lineRule="auto"/>
              <w:ind w:left="509"/>
              <w:rPr>
                <w:rFonts w:ascii="Arial" w:hAnsi="Arial" w:eastAsia="Arial" w:cs="Arial"/>
                <w:sz w:val="15"/>
                <w:szCs w:val="15"/>
              </w:rPr>
            </w:pPr>
            <w:r>
              <w:rPr>
                <w:rFonts w:ascii="Arial" w:hAnsi="Arial" w:eastAsia="Arial" w:cs="Arial"/>
                <w:spacing w:val="-10"/>
                <w:sz w:val="15"/>
                <w:szCs w:val="15"/>
              </w:rPr>
              <w:t>222</w:t>
            </w:r>
            <w:r>
              <w:rPr>
                <w:rFonts w:ascii="Arial" w:hAnsi="Arial" w:eastAsia="Arial" w:cs="Arial"/>
                <w:spacing w:val="19"/>
                <w:sz w:val="15"/>
                <w:szCs w:val="15"/>
              </w:rPr>
              <w:t xml:space="preserve"> </w:t>
            </w:r>
            <w:r>
              <w:rPr>
                <w:rFonts w:ascii="Arial" w:hAnsi="Arial" w:eastAsia="Arial" w:cs="Arial"/>
                <w:spacing w:val="-10"/>
                <w:sz w:val="15"/>
                <w:szCs w:val="15"/>
              </w:rPr>
              <w:t>(40.4)</w:t>
            </w:r>
          </w:p>
        </w:tc>
        <w:tc>
          <w:tcPr>
            <w:tcW w:w="1541" w:type="dxa"/>
            <w:vAlign w:val="top"/>
          </w:tcPr>
          <w:p>
            <w:pPr>
              <w:spacing w:before="27" w:line="181" w:lineRule="auto"/>
              <w:ind w:left="510"/>
              <w:rPr>
                <w:rFonts w:ascii="Arial" w:hAnsi="Arial" w:eastAsia="Arial" w:cs="Arial"/>
                <w:sz w:val="15"/>
                <w:szCs w:val="15"/>
              </w:rPr>
            </w:pPr>
            <w:r>
              <w:rPr>
                <w:rFonts w:ascii="Arial" w:hAnsi="Arial" w:eastAsia="Arial" w:cs="Arial"/>
                <w:spacing w:val="-10"/>
                <w:sz w:val="15"/>
                <w:szCs w:val="15"/>
              </w:rPr>
              <w:t>28</w:t>
            </w:r>
            <w:r>
              <w:rPr>
                <w:rFonts w:ascii="Arial" w:hAnsi="Arial" w:eastAsia="Arial" w:cs="Arial"/>
                <w:spacing w:val="17"/>
                <w:w w:val="101"/>
                <w:sz w:val="15"/>
                <w:szCs w:val="15"/>
              </w:rPr>
              <w:t xml:space="preserve"> </w:t>
            </w:r>
            <w:r>
              <w:rPr>
                <w:rFonts w:ascii="Arial" w:hAnsi="Arial" w:eastAsia="Arial" w:cs="Arial"/>
                <w:spacing w:val="-10"/>
                <w:sz w:val="15"/>
                <w:szCs w:val="15"/>
              </w:rPr>
              <w:t>(33.7)</w:t>
            </w:r>
          </w:p>
        </w:tc>
        <w:tc>
          <w:tcPr>
            <w:tcW w:w="1195" w:type="dxa"/>
            <w:vAlign w:val="top"/>
          </w:tcPr>
          <w:p>
            <w:pPr>
              <w:spacing w:before="27" w:line="181" w:lineRule="auto"/>
              <w:ind w:left="510"/>
              <w:rPr>
                <w:rFonts w:ascii="Arial" w:hAnsi="Arial" w:eastAsia="Arial" w:cs="Arial"/>
                <w:sz w:val="15"/>
                <w:szCs w:val="15"/>
              </w:rPr>
            </w:pPr>
            <w:r>
              <w:rPr>
                <w:rFonts w:ascii="Arial" w:hAnsi="Arial" w:eastAsia="Arial" w:cs="Arial"/>
                <w:spacing w:val="-10"/>
                <w:sz w:val="15"/>
                <w:szCs w:val="15"/>
              </w:rPr>
              <w:t>20</w:t>
            </w:r>
            <w:r>
              <w:rPr>
                <w:rFonts w:ascii="Arial" w:hAnsi="Arial" w:eastAsia="Arial" w:cs="Arial"/>
                <w:spacing w:val="18"/>
                <w:w w:val="101"/>
                <w:sz w:val="15"/>
                <w:szCs w:val="15"/>
              </w:rPr>
              <w:t xml:space="preserve"> </w:t>
            </w:r>
            <w:r>
              <w:rPr>
                <w:rFonts w:ascii="Arial" w:hAnsi="Arial" w:eastAsia="Arial" w:cs="Arial"/>
                <w:spacing w:val="-10"/>
                <w:sz w:val="15"/>
                <w:szCs w:val="15"/>
              </w:rPr>
              <w:t>(20.8)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6" w:hRule="atLeast"/>
        </w:trPr>
        <w:tc>
          <w:tcPr>
            <w:tcW w:w="1985" w:type="dxa"/>
            <w:tcBorders>
              <w:bottom w:val="single" w:color="282781" w:sz="4" w:space="0"/>
            </w:tcBorders>
            <w:vAlign w:val="top"/>
          </w:tcPr>
          <w:p>
            <w:pPr>
              <w:spacing w:before="59" w:line="111" w:lineRule="exact"/>
              <w:ind w:left="14"/>
              <w:rPr>
                <w:rFonts w:ascii="Arial" w:hAnsi="Arial" w:eastAsia="Arial" w:cs="Arial"/>
                <w:sz w:val="15"/>
                <w:szCs w:val="15"/>
              </w:rPr>
            </w:pPr>
            <w:r>
              <w:rPr>
                <w:rFonts w:ascii="Arial" w:hAnsi="Arial" w:eastAsia="Arial" w:cs="Arial"/>
                <w:spacing w:val="-5"/>
                <w:position w:val="-1"/>
                <w:sz w:val="15"/>
                <w:szCs w:val="15"/>
              </w:rPr>
              <w:t>no</w:t>
            </w:r>
          </w:p>
        </w:tc>
        <w:tc>
          <w:tcPr>
            <w:tcW w:w="1613" w:type="dxa"/>
            <w:tcBorders>
              <w:bottom w:val="single" w:color="282781" w:sz="4" w:space="0"/>
            </w:tcBorders>
            <w:vAlign w:val="top"/>
          </w:tcPr>
          <w:p>
            <w:pPr>
              <w:spacing w:before="28" w:line="181" w:lineRule="auto"/>
              <w:ind w:left="501"/>
              <w:rPr>
                <w:rFonts w:ascii="Arial" w:hAnsi="Arial" w:eastAsia="Arial" w:cs="Arial"/>
                <w:sz w:val="15"/>
                <w:szCs w:val="15"/>
              </w:rPr>
            </w:pPr>
            <w:r>
              <w:rPr>
                <w:rFonts w:ascii="Arial" w:hAnsi="Arial" w:eastAsia="Arial" w:cs="Arial"/>
                <w:spacing w:val="-10"/>
                <w:sz w:val="15"/>
                <w:szCs w:val="15"/>
              </w:rPr>
              <w:t>458</w:t>
            </w:r>
            <w:r>
              <w:rPr>
                <w:rFonts w:ascii="Arial" w:hAnsi="Arial" w:eastAsia="Arial" w:cs="Arial"/>
                <w:spacing w:val="23"/>
                <w:sz w:val="15"/>
                <w:szCs w:val="15"/>
              </w:rPr>
              <w:t xml:space="preserve"> </w:t>
            </w:r>
            <w:r>
              <w:rPr>
                <w:rFonts w:ascii="Arial" w:hAnsi="Arial" w:eastAsia="Arial" w:cs="Arial"/>
                <w:spacing w:val="-10"/>
                <w:sz w:val="15"/>
                <w:szCs w:val="15"/>
              </w:rPr>
              <w:t>(62.9)</w:t>
            </w:r>
          </w:p>
        </w:tc>
        <w:tc>
          <w:tcPr>
            <w:tcW w:w="1615" w:type="dxa"/>
            <w:tcBorders>
              <w:bottom w:val="single" w:color="282781" w:sz="4" w:space="0"/>
            </w:tcBorders>
            <w:vAlign w:val="top"/>
          </w:tcPr>
          <w:p>
            <w:pPr>
              <w:spacing w:before="28" w:line="181" w:lineRule="auto"/>
              <w:ind w:left="508"/>
              <w:rPr>
                <w:rFonts w:ascii="Arial" w:hAnsi="Arial" w:eastAsia="Arial" w:cs="Arial"/>
                <w:sz w:val="15"/>
                <w:szCs w:val="15"/>
              </w:rPr>
            </w:pPr>
            <w:r>
              <w:rPr>
                <w:rFonts w:ascii="Arial" w:hAnsi="Arial" w:eastAsia="Arial" w:cs="Arial"/>
                <w:spacing w:val="-10"/>
                <w:sz w:val="15"/>
                <w:szCs w:val="15"/>
              </w:rPr>
              <w:t>327</w:t>
            </w:r>
            <w:r>
              <w:rPr>
                <w:rFonts w:ascii="Arial" w:hAnsi="Arial" w:eastAsia="Arial" w:cs="Arial"/>
                <w:spacing w:val="19"/>
                <w:w w:val="101"/>
                <w:sz w:val="15"/>
                <w:szCs w:val="15"/>
              </w:rPr>
              <w:t xml:space="preserve"> </w:t>
            </w:r>
            <w:r>
              <w:rPr>
                <w:rFonts w:ascii="Arial" w:hAnsi="Arial" w:eastAsia="Arial" w:cs="Arial"/>
                <w:spacing w:val="-10"/>
                <w:sz w:val="15"/>
                <w:szCs w:val="15"/>
              </w:rPr>
              <w:t>(59.6)</w:t>
            </w:r>
          </w:p>
        </w:tc>
        <w:tc>
          <w:tcPr>
            <w:tcW w:w="1541" w:type="dxa"/>
            <w:tcBorders>
              <w:bottom w:val="single" w:color="282781" w:sz="4" w:space="0"/>
            </w:tcBorders>
            <w:vAlign w:val="top"/>
          </w:tcPr>
          <w:p>
            <w:pPr>
              <w:spacing w:before="28" w:line="181" w:lineRule="auto"/>
              <w:ind w:left="510"/>
              <w:rPr>
                <w:rFonts w:ascii="Arial" w:hAnsi="Arial" w:eastAsia="Arial" w:cs="Arial"/>
                <w:sz w:val="15"/>
                <w:szCs w:val="15"/>
              </w:rPr>
            </w:pPr>
            <w:r>
              <w:rPr>
                <w:rFonts w:ascii="Arial" w:hAnsi="Arial" w:eastAsia="Arial" w:cs="Arial"/>
                <w:spacing w:val="-10"/>
                <w:sz w:val="15"/>
                <w:szCs w:val="15"/>
              </w:rPr>
              <w:t>55</w:t>
            </w:r>
            <w:r>
              <w:rPr>
                <w:rFonts w:ascii="Arial" w:hAnsi="Arial" w:eastAsia="Arial" w:cs="Arial"/>
                <w:spacing w:val="18"/>
                <w:sz w:val="15"/>
                <w:szCs w:val="15"/>
              </w:rPr>
              <w:t xml:space="preserve"> </w:t>
            </w:r>
            <w:r>
              <w:rPr>
                <w:rFonts w:ascii="Arial" w:hAnsi="Arial" w:eastAsia="Arial" w:cs="Arial"/>
                <w:spacing w:val="-10"/>
                <w:sz w:val="15"/>
                <w:szCs w:val="15"/>
              </w:rPr>
              <w:t>(66.3)</w:t>
            </w:r>
          </w:p>
        </w:tc>
        <w:tc>
          <w:tcPr>
            <w:tcW w:w="1195" w:type="dxa"/>
            <w:tcBorders>
              <w:bottom w:val="single" w:color="282781" w:sz="4" w:space="0"/>
            </w:tcBorders>
            <w:vAlign w:val="top"/>
          </w:tcPr>
          <w:p>
            <w:pPr>
              <w:spacing w:before="28" w:line="181" w:lineRule="auto"/>
              <w:ind w:left="512"/>
              <w:rPr>
                <w:rFonts w:ascii="Arial" w:hAnsi="Arial" w:eastAsia="Arial" w:cs="Arial"/>
                <w:sz w:val="15"/>
                <w:szCs w:val="15"/>
              </w:rPr>
            </w:pPr>
            <w:r>
              <w:rPr>
                <w:rFonts w:ascii="Arial" w:hAnsi="Arial" w:eastAsia="Arial" w:cs="Arial"/>
                <w:spacing w:val="-10"/>
                <w:sz w:val="15"/>
                <w:szCs w:val="15"/>
              </w:rPr>
              <w:t>76</w:t>
            </w:r>
            <w:r>
              <w:rPr>
                <w:rFonts w:ascii="Arial" w:hAnsi="Arial" w:eastAsia="Arial" w:cs="Arial"/>
                <w:spacing w:val="17"/>
                <w:sz w:val="15"/>
                <w:szCs w:val="15"/>
              </w:rPr>
              <w:t xml:space="preserve"> </w:t>
            </w:r>
            <w:r>
              <w:rPr>
                <w:rFonts w:ascii="Arial" w:hAnsi="Arial" w:eastAsia="Arial" w:cs="Arial"/>
                <w:spacing w:val="-10"/>
                <w:sz w:val="15"/>
                <w:szCs w:val="15"/>
              </w:rPr>
              <w:t>(79.2)</w:t>
            </w:r>
          </w:p>
        </w:tc>
      </w:tr>
    </w:tbl>
    <w:p>
      <w:pPr>
        <w:spacing w:before="22" w:line="208" w:lineRule="auto"/>
        <w:ind w:left="12"/>
        <w:rPr>
          <w:rFonts w:ascii="Arial" w:hAnsi="Arial" w:eastAsia="Arial" w:cs="Arial"/>
          <w:sz w:val="10"/>
          <w:szCs w:val="10"/>
        </w:rPr>
      </w:pPr>
      <w:r>
        <w:rPr>
          <w:rFonts w:ascii="Arial" w:hAnsi="Arial" w:eastAsia="Arial" w:cs="Arial"/>
          <w:sz w:val="10"/>
          <w:szCs w:val="10"/>
        </w:rPr>
        <w:t>Note</w:t>
      </w:r>
      <w:r>
        <w:rPr>
          <w:rFonts w:ascii="Arial" w:hAnsi="Arial" w:eastAsia="Arial" w:cs="Arial"/>
          <w:spacing w:val="1"/>
          <w:sz w:val="10"/>
          <w:szCs w:val="10"/>
        </w:rPr>
        <w:t xml:space="preserve">:  </w:t>
      </w:r>
      <w:r>
        <w:rPr>
          <w:rFonts w:ascii="Arial" w:hAnsi="Arial" w:eastAsia="Arial" w:cs="Arial"/>
          <w:sz w:val="10"/>
          <w:szCs w:val="10"/>
        </w:rPr>
        <w:t>HEI</w:t>
      </w:r>
      <w:r>
        <w:rPr>
          <w:rFonts w:ascii="Arial" w:hAnsi="Arial" w:eastAsia="Arial" w:cs="Arial"/>
          <w:spacing w:val="23"/>
          <w:w w:val="101"/>
          <w:sz w:val="10"/>
          <w:szCs w:val="10"/>
        </w:rPr>
        <w:t xml:space="preserve"> </w:t>
      </w:r>
      <w:r>
        <w:rPr>
          <w:rFonts w:ascii="Arial" w:hAnsi="Arial" w:eastAsia="Arial" w:cs="Arial"/>
          <w:sz w:val="10"/>
          <w:szCs w:val="10"/>
        </w:rPr>
        <w:t>A</w:t>
      </w:r>
      <w:r>
        <w:rPr>
          <w:rFonts w:ascii="Arial" w:hAnsi="Arial" w:eastAsia="Arial" w:cs="Arial"/>
          <w:spacing w:val="1"/>
          <w:sz w:val="10"/>
          <w:szCs w:val="10"/>
        </w:rPr>
        <w:t xml:space="preserve"> = </w:t>
      </w:r>
      <w:r>
        <w:rPr>
          <w:rFonts w:ascii="Arial" w:hAnsi="Arial" w:eastAsia="Arial" w:cs="Arial"/>
          <w:sz w:val="10"/>
          <w:szCs w:val="10"/>
        </w:rPr>
        <w:t>comprehensive</w:t>
      </w:r>
      <w:r>
        <w:rPr>
          <w:rFonts w:ascii="Arial" w:hAnsi="Arial" w:eastAsia="Arial" w:cs="Arial"/>
          <w:spacing w:val="1"/>
          <w:sz w:val="10"/>
          <w:szCs w:val="10"/>
        </w:rPr>
        <w:t xml:space="preserve">  </w:t>
      </w:r>
      <w:r>
        <w:rPr>
          <w:rFonts w:ascii="Arial" w:hAnsi="Arial" w:eastAsia="Arial" w:cs="Arial"/>
          <w:sz w:val="10"/>
          <w:szCs w:val="10"/>
        </w:rPr>
        <w:t>university</w:t>
      </w:r>
      <w:r>
        <w:rPr>
          <w:rFonts w:ascii="Arial" w:hAnsi="Arial" w:eastAsia="Arial" w:cs="Arial"/>
          <w:spacing w:val="1"/>
          <w:sz w:val="10"/>
          <w:szCs w:val="10"/>
        </w:rPr>
        <w:t xml:space="preserve">;  </w:t>
      </w:r>
      <w:r>
        <w:rPr>
          <w:rFonts w:ascii="Arial" w:hAnsi="Arial" w:eastAsia="Arial" w:cs="Arial"/>
          <w:sz w:val="10"/>
          <w:szCs w:val="10"/>
        </w:rPr>
        <w:t>HEI</w:t>
      </w:r>
      <w:r>
        <w:rPr>
          <w:rFonts w:ascii="Arial" w:hAnsi="Arial" w:eastAsia="Arial" w:cs="Arial"/>
          <w:spacing w:val="1"/>
          <w:sz w:val="10"/>
          <w:szCs w:val="10"/>
        </w:rPr>
        <w:t xml:space="preserve">  </w:t>
      </w:r>
      <w:r>
        <w:rPr>
          <w:rFonts w:ascii="Arial" w:hAnsi="Arial" w:eastAsia="Arial" w:cs="Arial"/>
          <w:sz w:val="10"/>
          <w:szCs w:val="10"/>
        </w:rPr>
        <w:t>B</w:t>
      </w:r>
      <w:r>
        <w:rPr>
          <w:rFonts w:ascii="Arial" w:hAnsi="Arial" w:eastAsia="Arial" w:cs="Arial"/>
          <w:spacing w:val="1"/>
          <w:sz w:val="10"/>
          <w:szCs w:val="10"/>
        </w:rPr>
        <w:t xml:space="preserve"> = </w:t>
      </w:r>
      <w:r>
        <w:rPr>
          <w:rFonts w:ascii="Arial" w:hAnsi="Arial" w:eastAsia="Arial" w:cs="Arial"/>
          <w:sz w:val="10"/>
          <w:szCs w:val="10"/>
        </w:rPr>
        <w:t>cooperative</w:t>
      </w:r>
      <w:r>
        <w:rPr>
          <w:rFonts w:ascii="Arial" w:hAnsi="Arial" w:eastAsia="Arial" w:cs="Arial"/>
          <w:spacing w:val="1"/>
          <w:sz w:val="10"/>
          <w:szCs w:val="10"/>
        </w:rPr>
        <w:t>/</w:t>
      </w:r>
      <w:r>
        <w:rPr>
          <w:rFonts w:ascii="Arial" w:hAnsi="Arial" w:eastAsia="Arial" w:cs="Arial"/>
          <w:sz w:val="10"/>
          <w:szCs w:val="10"/>
        </w:rPr>
        <w:t>dual</w:t>
      </w:r>
      <w:r>
        <w:rPr>
          <w:rFonts w:ascii="Arial" w:hAnsi="Arial" w:eastAsia="Arial" w:cs="Arial"/>
          <w:spacing w:val="1"/>
          <w:sz w:val="10"/>
          <w:szCs w:val="10"/>
        </w:rPr>
        <w:t xml:space="preserve">  </w:t>
      </w:r>
      <w:r>
        <w:rPr>
          <w:rFonts w:ascii="Arial" w:hAnsi="Arial" w:eastAsia="Arial" w:cs="Arial"/>
          <w:sz w:val="10"/>
          <w:szCs w:val="10"/>
        </w:rPr>
        <w:t>university</w:t>
      </w:r>
      <w:r>
        <w:rPr>
          <w:rFonts w:ascii="Arial" w:hAnsi="Arial" w:eastAsia="Arial" w:cs="Arial"/>
          <w:spacing w:val="1"/>
          <w:sz w:val="10"/>
          <w:szCs w:val="10"/>
        </w:rPr>
        <w:t xml:space="preserve">;  </w:t>
      </w:r>
      <w:r>
        <w:rPr>
          <w:rFonts w:ascii="Arial" w:hAnsi="Arial" w:eastAsia="Arial" w:cs="Arial"/>
          <w:sz w:val="10"/>
          <w:szCs w:val="10"/>
        </w:rPr>
        <w:t>HEI  C = university  of</w:t>
      </w:r>
      <w:r>
        <w:rPr>
          <w:rFonts w:ascii="Arial" w:hAnsi="Arial" w:eastAsia="Arial" w:cs="Arial"/>
          <w:spacing w:val="19"/>
          <w:w w:val="102"/>
          <w:sz w:val="10"/>
          <w:szCs w:val="10"/>
        </w:rPr>
        <w:t xml:space="preserve"> </w:t>
      </w:r>
      <w:r>
        <w:rPr>
          <w:rFonts w:ascii="Arial" w:hAnsi="Arial" w:eastAsia="Arial" w:cs="Arial"/>
          <w:sz w:val="10"/>
          <w:szCs w:val="10"/>
        </w:rPr>
        <w:t>applied</w:t>
      </w:r>
      <w:r>
        <w:rPr>
          <w:rFonts w:ascii="Arial" w:hAnsi="Arial" w:eastAsia="Arial" w:cs="Arial"/>
          <w:spacing w:val="24"/>
          <w:sz w:val="10"/>
          <w:szCs w:val="10"/>
        </w:rPr>
        <w:t xml:space="preserve"> </w:t>
      </w:r>
      <w:r>
        <w:rPr>
          <w:rFonts w:ascii="Arial" w:hAnsi="Arial" w:eastAsia="Arial" w:cs="Arial"/>
          <w:sz w:val="10"/>
          <w:szCs w:val="10"/>
        </w:rPr>
        <w:t>sciences.</w:t>
      </w:r>
    </w:p>
    <w:p>
      <w:pPr>
        <w:spacing w:line="452" w:lineRule="auto"/>
        <w:rPr>
          <w:rFonts w:ascii="Arial"/>
          <w:sz w:val="21"/>
        </w:rPr>
      </w:pPr>
    </w:p>
    <w:p>
      <w:pPr>
        <w:spacing w:before="55" w:line="249" w:lineRule="auto"/>
        <w:ind w:left="7" w:right="7" w:firstLine="3"/>
        <w:rPr>
          <w:rFonts w:ascii="Arial" w:hAnsi="Arial" w:eastAsia="Arial" w:cs="Arial"/>
          <w:sz w:val="19"/>
          <w:szCs w:val="19"/>
        </w:rPr>
      </w:pPr>
      <w:r>
        <w:rPr>
          <w:rFonts w:ascii="Arial" w:hAnsi="Arial" w:eastAsia="Arial" w:cs="Arial"/>
          <w:spacing w:val="-4"/>
          <w:sz w:val="19"/>
          <w:szCs w:val="19"/>
        </w:rPr>
        <w:t>did</w:t>
      </w:r>
      <w:r>
        <w:rPr>
          <w:rFonts w:ascii="Arial" w:hAnsi="Arial" w:eastAsia="Arial" w:cs="Arial"/>
          <w:spacing w:val="22"/>
          <w:w w:val="101"/>
          <w:sz w:val="19"/>
          <w:szCs w:val="19"/>
        </w:rPr>
        <w:t xml:space="preserve"> </w:t>
      </w:r>
      <w:r>
        <w:rPr>
          <w:rFonts w:ascii="Arial" w:hAnsi="Arial" w:eastAsia="Arial" w:cs="Arial"/>
          <w:spacing w:val="-4"/>
          <w:sz w:val="19"/>
          <w:szCs w:val="19"/>
        </w:rPr>
        <w:t>not</w:t>
      </w:r>
      <w:r>
        <w:rPr>
          <w:rFonts w:ascii="Arial" w:hAnsi="Arial" w:eastAsia="Arial" w:cs="Arial"/>
          <w:spacing w:val="17"/>
          <w:sz w:val="19"/>
          <w:szCs w:val="19"/>
        </w:rPr>
        <w:t xml:space="preserve"> </w:t>
      </w:r>
      <w:r>
        <w:rPr>
          <w:rFonts w:ascii="Arial" w:hAnsi="Arial" w:eastAsia="Arial" w:cs="Arial"/>
          <w:spacing w:val="-4"/>
          <w:sz w:val="19"/>
          <w:szCs w:val="19"/>
        </w:rPr>
        <w:t>signiicantly</w:t>
      </w:r>
      <w:r>
        <w:rPr>
          <w:rFonts w:ascii="Arial" w:hAnsi="Arial" w:eastAsia="Arial" w:cs="Arial"/>
          <w:spacing w:val="17"/>
          <w:w w:val="101"/>
          <w:sz w:val="19"/>
          <w:szCs w:val="19"/>
        </w:rPr>
        <w:t xml:space="preserve"> </w:t>
      </w:r>
      <w:r>
        <w:rPr>
          <w:rFonts w:ascii="Arial" w:hAnsi="Arial" w:eastAsia="Arial" w:cs="Arial"/>
          <w:spacing w:val="-4"/>
          <w:sz w:val="19"/>
          <w:szCs w:val="19"/>
        </w:rPr>
        <w:t>contribute</w:t>
      </w:r>
      <w:r>
        <w:rPr>
          <w:rFonts w:ascii="Arial" w:hAnsi="Arial" w:eastAsia="Arial" w:cs="Arial"/>
          <w:spacing w:val="12"/>
          <w:sz w:val="19"/>
          <w:szCs w:val="19"/>
        </w:rPr>
        <w:t xml:space="preserve"> </w:t>
      </w:r>
      <w:r>
        <w:rPr>
          <w:rFonts w:ascii="Arial" w:hAnsi="Arial" w:eastAsia="Arial" w:cs="Arial"/>
          <w:spacing w:val="-4"/>
          <w:sz w:val="19"/>
          <w:szCs w:val="19"/>
        </w:rPr>
        <w:t>to</w:t>
      </w:r>
      <w:r>
        <w:rPr>
          <w:rFonts w:ascii="Arial" w:hAnsi="Arial" w:eastAsia="Arial" w:cs="Arial"/>
          <w:spacing w:val="12"/>
          <w:sz w:val="19"/>
          <w:szCs w:val="19"/>
        </w:rPr>
        <w:t xml:space="preserve"> </w:t>
      </w:r>
      <w:r>
        <w:rPr>
          <w:rFonts w:ascii="Arial" w:hAnsi="Arial" w:eastAsia="Arial" w:cs="Arial"/>
          <w:spacing w:val="-4"/>
          <w:sz w:val="19"/>
          <w:szCs w:val="19"/>
        </w:rPr>
        <w:t>the</w:t>
      </w:r>
      <w:r>
        <w:rPr>
          <w:rFonts w:ascii="Arial" w:hAnsi="Arial" w:eastAsia="Arial" w:cs="Arial"/>
          <w:spacing w:val="23"/>
          <w:sz w:val="19"/>
          <w:szCs w:val="19"/>
        </w:rPr>
        <w:t xml:space="preserve"> </w:t>
      </w:r>
      <w:r>
        <w:rPr>
          <w:rFonts w:ascii="Arial" w:hAnsi="Arial" w:eastAsia="Arial" w:cs="Arial"/>
          <w:spacing w:val="-4"/>
          <w:sz w:val="19"/>
          <w:szCs w:val="19"/>
        </w:rPr>
        <w:t>underlying</w:t>
      </w:r>
      <w:r>
        <w:rPr>
          <w:rFonts w:ascii="Arial" w:hAnsi="Arial" w:eastAsia="Arial" w:cs="Arial"/>
          <w:spacing w:val="11"/>
          <w:sz w:val="19"/>
          <w:szCs w:val="19"/>
        </w:rPr>
        <w:t xml:space="preserve"> </w:t>
      </w:r>
      <w:r>
        <w:rPr>
          <w:rFonts w:ascii="Arial" w:hAnsi="Arial" w:eastAsia="Arial" w:cs="Arial"/>
          <w:spacing w:val="-4"/>
          <w:sz w:val="19"/>
          <w:szCs w:val="19"/>
        </w:rPr>
        <w:t>factors</w:t>
      </w:r>
      <w:r>
        <w:rPr>
          <w:rFonts w:ascii="Arial" w:hAnsi="Arial" w:eastAsia="Arial" w:cs="Arial"/>
          <w:spacing w:val="15"/>
          <w:sz w:val="19"/>
          <w:szCs w:val="19"/>
        </w:rPr>
        <w:t xml:space="preserve"> </w:t>
      </w:r>
      <w:r>
        <w:rPr>
          <w:rFonts w:ascii="Arial" w:hAnsi="Arial" w:eastAsia="Arial" w:cs="Arial"/>
          <w:spacing w:val="-4"/>
          <w:sz w:val="19"/>
          <w:szCs w:val="19"/>
        </w:rPr>
        <w:t>were</w:t>
      </w:r>
      <w:r>
        <w:rPr>
          <w:rFonts w:ascii="Arial" w:hAnsi="Arial" w:eastAsia="Arial" w:cs="Arial"/>
          <w:spacing w:val="16"/>
          <w:sz w:val="19"/>
          <w:szCs w:val="19"/>
        </w:rPr>
        <w:t xml:space="preserve"> </w:t>
      </w:r>
      <w:r>
        <w:rPr>
          <w:rFonts w:ascii="Arial" w:hAnsi="Arial" w:eastAsia="Arial" w:cs="Arial"/>
          <w:spacing w:val="-4"/>
          <w:sz w:val="19"/>
          <w:szCs w:val="19"/>
        </w:rPr>
        <w:t>gradually</w:t>
      </w:r>
      <w:r>
        <w:rPr>
          <w:rFonts w:ascii="Arial" w:hAnsi="Arial" w:eastAsia="Arial" w:cs="Arial"/>
          <w:spacing w:val="16"/>
          <w:sz w:val="19"/>
          <w:szCs w:val="19"/>
        </w:rPr>
        <w:t xml:space="preserve"> </w:t>
      </w:r>
      <w:r>
        <w:rPr>
          <w:rFonts w:ascii="Arial" w:hAnsi="Arial" w:eastAsia="Arial" w:cs="Arial"/>
          <w:spacing w:val="-5"/>
          <w:sz w:val="19"/>
          <w:szCs w:val="19"/>
        </w:rPr>
        <w:t>discarded.</w:t>
      </w:r>
      <w:r>
        <w:rPr>
          <w:rFonts w:ascii="Arial" w:hAnsi="Arial" w:eastAsia="Arial" w:cs="Arial"/>
          <w:spacing w:val="23"/>
          <w:sz w:val="19"/>
          <w:szCs w:val="19"/>
        </w:rPr>
        <w:t xml:space="preserve"> </w:t>
      </w:r>
      <w:r>
        <w:rPr>
          <w:rFonts w:ascii="Arial" w:hAnsi="Arial" w:eastAsia="Arial" w:cs="Arial"/>
          <w:spacing w:val="-5"/>
          <w:sz w:val="19"/>
          <w:szCs w:val="19"/>
        </w:rPr>
        <w:t>Eigenvalues</w:t>
      </w:r>
      <w:r>
        <w:rPr>
          <w:rFonts w:ascii="Arial" w:hAnsi="Arial" w:eastAsia="Arial" w:cs="Arial"/>
          <w:spacing w:val="22"/>
          <w:sz w:val="19"/>
          <w:szCs w:val="19"/>
        </w:rPr>
        <w:t xml:space="preserve"> </w:t>
      </w:r>
      <w:r>
        <w:rPr>
          <w:rFonts w:ascii="Arial" w:hAnsi="Arial" w:eastAsia="Arial" w:cs="Arial"/>
          <w:spacing w:val="-5"/>
          <w:sz w:val="19"/>
          <w:szCs w:val="19"/>
        </w:rPr>
        <w:t>&gt;1</w:t>
      </w:r>
      <w:r>
        <w:rPr>
          <w:rFonts w:ascii="Arial" w:hAnsi="Arial" w:eastAsia="Arial" w:cs="Arial"/>
          <w:sz w:val="19"/>
          <w:szCs w:val="19"/>
        </w:rPr>
        <w:t xml:space="preserve"> </w:t>
      </w:r>
      <w:r>
        <w:rPr>
          <w:rFonts w:ascii="Arial" w:hAnsi="Arial" w:eastAsia="Arial" w:cs="Arial"/>
          <w:spacing w:val="-3"/>
          <w:sz w:val="19"/>
          <w:szCs w:val="19"/>
        </w:rPr>
        <w:t>were</w:t>
      </w:r>
      <w:r>
        <w:rPr>
          <w:rFonts w:ascii="Arial" w:hAnsi="Arial" w:eastAsia="Arial" w:cs="Arial"/>
          <w:spacing w:val="25"/>
          <w:w w:val="101"/>
          <w:sz w:val="19"/>
          <w:szCs w:val="19"/>
        </w:rPr>
        <w:t xml:space="preserve"> </w:t>
      </w:r>
      <w:r>
        <w:rPr>
          <w:rFonts w:ascii="Arial" w:hAnsi="Arial" w:eastAsia="Arial" w:cs="Arial"/>
          <w:spacing w:val="-3"/>
          <w:sz w:val="19"/>
          <w:szCs w:val="19"/>
        </w:rPr>
        <w:t>considered</w:t>
      </w:r>
      <w:r>
        <w:rPr>
          <w:rFonts w:ascii="Arial" w:hAnsi="Arial" w:eastAsia="Arial" w:cs="Arial"/>
          <w:spacing w:val="14"/>
          <w:sz w:val="19"/>
          <w:szCs w:val="19"/>
        </w:rPr>
        <w:t xml:space="preserve"> </w:t>
      </w:r>
      <w:r>
        <w:rPr>
          <w:rFonts w:ascii="Arial" w:hAnsi="Arial" w:eastAsia="Arial" w:cs="Arial"/>
          <w:spacing w:val="-3"/>
          <w:sz w:val="19"/>
          <w:szCs w:val="19"/>
        </w:rPr>
        <w:t>suicient</w:t>
      </w:r>
      <w:r>
        <w:rPr>
          <w:rFonts w:ascii="Arial" w:hAnsi="Arial" w:eastAsia="Arial" w:cs="Arial"/>
          <w:spacing w:val="16"/>
          <w:sz w:val="19"/>
          <w:szCs w:val="19"/>
        </w:rPr>
        <w:t xml:space="preserve"> </w:t>
      </w:r>
      <w:r>
        <w:rPr>
          <w:rFonts w:ascii="Arial" w:hAnsi="Arial" w:eastAsia="Arial" w:cs="Arial"/>
          <w:spacing w:val="-3"/>
          <w:sz w:val="19"/>
          <w:szCs w:val="19"/>
        </w:rPr>
        <w:t>in</w:t>
      </w:r>
      <w:r>
        <w:rPr>
          <w:rFonts w:ascii="Arial" w:hAnsi="Arial" w:eastAsia="Arial" w:cs="Arial"/>
          <w:spacing w:val="12"/>
          <w:sz w:val="19"/>
          <w:szCs w:val="19"/>
        </w:rPr>
        <w:t xml:space="preserve"> </w:t>
      </w:r>
      <w:r>
        <w:rPr>
          <w:rFonts w:ascii="Arial" w:hAnsi="Arial" w:eastAsia="Arial" w:cs="Arial"/>
          <w:spacing w:val="-3"/>
          <w:sz w:val="19"/>
          <w:szCs w:val="19"/>
        </w:rPr>
        <w:t>order to</w:t>
      </w:r>
      <w:r>
        <w:rPr>
          <w:rFonts w:ascii="Arial" w:hAnsi="Arial" w:eastAsia="Arial" w:cs="Arial"/>
          <w:spacing w:val="12"/>
          <w:sz w:val="19"/>
          <w:szCs w:val="19"/>
        </w:rPr>
        <w:t xml:space="preserve"> </w:t>
      </w:r>
      <w:r>
        <w:rPr>
          <w:rFonts w:ascii="Arial" w:hAnsi="Arial" w:eastAsia="Arial" w:cs="Arial"/>
          <w:spacing w:val="-3"/>
          <w:sz w:val="19"/>
          <w:szCs w:val="19"/>
        </w:rPr>
        <w:t>qualify</w:t>
      </w:r>
      <w:r>
        <w:rPr>
          <w:rFonts w:ascii="Arial" w:hAnsi="Arial" w:eastAsia="Arial" w:cs="Arial"/>
          <w:spacing w:val="11"/>
          <w:sz w:val="19"/>
          <w:szCs w:val="19"/>
        </w:rPr>
        <w:t xml:space="preserve"> </w:t>
      </w:r>
      <w:r>
        <w:rPr>
          <w:rFonts w:ascii="Arial" w:hAnsi="Arial" w:eastAsia="Arial" w:cs="Arial"/>
          <w:spacing w:val="-3"/>
          <w:sz w:val="19"/>
          <w:szCs w:val="19"/>
        </w:rPr>
        <w:t>as</w:t>
      </w:r>
      <w:r>
        <w:rPr>
          <w:rFonts w:ascii="Arial" w:hAnsi="Arial" w:eastAsia="Arial" w:cs="Arial"/>
          <w:spacing w:val="11"/>
          <w:sz w:val="19"/>
          <w:szCs w:val="19"/>
        </w:rPr>
        <w:t xml:space="preserve"> </w:t>
      </w:r>
      <w:r>
        <w:rPr>
          <w:rFonts w:ascii="Arial" w:hAnsi="Arial" w:eastAsia="Arial" w:cs="Arial"/>
          <w:spacing w:val="-3"/>
          <w:sz w:val="19"/>
          <w:szCs w:val="19"/>
        </w:rPr>
        <w:t>an</w:t>
      </w:r>
      <w:r>
        <w:rPr>
          <w:rFonts w:ascii="Arial" w:hAnsi="Arial" w:eastAsia="Arial" w:cs="Arial"/>
          <w:spacing w:val="16"/>
          <w:w w:val="101"/>
          <w:sz w:val="19"/>
          <w:szCs w:val="19"/>
        </w:rPr>
        <w:t xml:space="preserve"> </w:t>
      </w:r>
      <w:r>
        <w:rPr>
          <w:rFonts w:ascii="Arial" w:hAnsi="Arial" w:eastAsia="Arial" w:cs="Arial"/>
          <w:spacing w:val="-3"/>
          <w:sz w:val="19"/>
          <w:szCs w:val="19"/>
        </w:rPr>
        <w:t>independent factor.</w:t>
      </w:r>
    </w:p>
    <w:p>
      <w:pPr>
        <w:spacing w:before="59" w:line="261" w:lineRule="auto"/>
        <w:ind w:left="6" w:firstLine="250"/>
        <w:jc w:val="both"/>
        <w:rPr>
          <w:rFonts w:ascii="Arial" w:hAnsi="Arial" w:eastAsia="Arial" w:cs="Arial"/>
          <w:sz w:val="19"/>
          <w:szCs w:val="19"/>
        </w:rPr>
      </w:pPr>
      <w:r>
        <w:rPr>
          <w:rFonts w:ascii="Arial" w:hAnsi="Arial" w:eastAsia="Arial" w:cs="Arial"/>
          <w:spacing w:val="-6"/>
          <w:sz w:val="19"/>
          <w:szCs w:val="19"/>
        </w:rPr>
        <w:t>In a nextstep, a conirmatory factor analysis (CF</w:t>
      </w:r>
      <w:r>
        <w:rPr>
          <w:rFonts w:ascii="Arial" w:hAnsi="Arial" w:eastAsia="Arial" w:cs="Arial"/>
          <w:spacing w:val="-7"/>
          <w:sz w:val="19"/>
          <w:szCs w:val="19"/>
        </w:rPr>
        <w:t>A) was performed with data from HEI A (N = 581) in</w:t>
      </w:r>
      <w:r>
        <w:rPr>
          <w:rFonts w:ascii="Arial" w:hAnsi="Arial" w:eastAsia="Arial" w:cs="Arial"/>
          <w:sz w:val="19"/>
          <w:szCs w:val="19"/>
        </w:rPr>
        <w:t xml:space="preserve"> </w:t>
      </w:r>
      <w:r>
        <w:rPr>
          <w:rFonts w:ascii="Arial" w:hAnsi="Arial" w:eastAsia="Arial" w:cs="Arial"/>
          <w:spacing w:val="-3"/>
          <w:sz w:val="19"/>
          <w:szCs w:val="19"/>
        </w:rPr>
        <w:t>order to strengthen the conclusions from the</w:t>
      </w:r>
      <w:r>
        <w:rPr>
          <w:rFonts w:ascii="Arial" w:hAnsi="Arial" w:eastAsia="Arial" w:cs="Arial"/>
          <w:spacing w:val="13"/>
          <w:sz w:val="19"/>
          <w:szCs w:val="19"/>
        </w:rPr>
        <w:t xml:space="preserve"> </w:t>
      </w:r>
      <w:r>
        <w:rPr>
          <w:rFonts w:ascii="Arial" w:hAnsi="Arial" w:eastAsia="Arial" w:cs="Arial"/>
          <w:spacing w:val="-3"/>
          <w:sz w:val="19"/>
          <w:szCs w:val="19"/>
        </w:rPr>
        <w:t>E</w:t>
      </w:r>
      <w:r>
        <w:rPr>
          <w:rFonts w:ascii="Arial" w:hAnsi="Arial" w:eastAsia="Arial" w:cs="Arial"/>
          <w:spacing w:val="-4"/>
          <w:sz w:val="19"/>
          <w:szCs w:val="19"/>
        </w:rPr>
        <w:t>FA and test</w:t>
      </w:r>
      <w:r>
        <w:rPr>
          <w:rFonts w:ascii="Arial" w:hAnsi="Arial" w:eastAsia="Arial" w:cs="Arial"/>
          <w:spacing w:val="12"/>
          <w:sz w:val="19"/>
          <w:szCs w:val="19"/>
        </w:rPr>
        <w:t xml:space="preserve"> </w:t>
      </w:r>
      <w:r>
        <w:rPr>
          <w:rFonts w:ascii="Arial" w:hAnsi="Arial" w:eastAsia="Arial" w:cs="Arial"/>
          <w:spacing w:val="-4"/>
          <w:sz w:val="19"/>
          <w:szCs w:val="19"/>
        </w:rPr>
        <w:t>how well the factor</w:t>
      </w:r>
      <w:r>
        <w:rPr>
          <w:rFonts w:ascii="Arial" w:hAnsi="Arial" w:eastAsia="Arial" w:cs="Arial"/>
          <w:spacing w:val="6"/>
          <w:sz w:val="19"/>
          <w:szCs w:val="19"/>
        </w:rPr>
        <w:t xml:space="preserve"> </w:t>
      </w:r>
      <w:r>
        <w:rPr>
          <w:rFonts w:ascii="Arial" w:hAnsi="Arial" w:eastAsia="Arial" w:cs="Arial"/>
          <w:spacing w:val="-4"/>
          <w:sz w:val="19"/>
          <w:szCs w:val="19"/>
        </w:rPr>
        <w:t>solution its</w:t>
      </w:r>
      <w:r>
        <w:rPr>
          <w:rFonts w:ascii="Arial" w:hAnsi="Arial" w:eastAsia="Arial" w:cs="Arial"/>
          <w:spacing w:val="1"/>
          <w:sz w:val="19"/>
          <w:szCs w:val="19"/>
        </w:rPr>
        <w:t xml:space="preserve"> </w:t>
      </w:r>
      <w:r>
        <w:rPr>
          <w:rFonts w:ascii="Arial" w:hAnsi="Arial" w:eastAsia="Arial" w:cs="Arial"/>
          <w:spacing w:val="-4"/>
          <w:sz w:val="19"/>
          <w:szCs w:val="19"/>
        </w:rPr>
        <w:t>the</w:t>
      </w:r>
      <w:r>
        <w:rPr>
          <w:rFonts w:ascii="Arial" w:hAnsi="Arial" w:eastAsia="Arial" w:cs="Arial"/>
          <w:spacing w:val="5"/>
          <w:sz w:val="19"/>
          <w:szCs w:val="19"/>
        </w:rPr>
        <w:t xml:space="preserve"> </w:t>
      </w:r>
      <w:r>
        <w:rPr>
          <w:rFonts w:ascii="Arial" w:hAnsi="Arial" w:eastAsia="Arial" w:cs="Arial"/>
          <w:spacing w:val="-4"/>
          <w:sz w:val="19"/>
          <w:szCs w:val="19"/>
        </w:rPr>
        <w:t>data.</w:t>
      </w:r>
      <w:r>
        <w:rPr>
          <w:rFonts w:ascii="Arial" w:hAnsi="Arial" w:eastAsia="Arial" w:cs="Arial"/>
          <w:sz w:val="19"/>
          <w:szCs w:val="19"/>
        </w:rPr>
        <w:t xml:space="preserve"> </w:t>
      </w:r>
      <w:r>
        <w:rPr>
          <w:rFonts w:ascii="Arial" w:hAnsi="Arial" w:eastAsia="Arial" w:cs="Arial"/>
          <w:spacing w:val="-8"/>
          <w:sz w:val="19"/>
          <w:szCs w:val="19"/>
        </w:rPr>
        <w:t>Maximum</w:t>
      </w:r>
      <w:r>
        <w:rPr>
          <w:rFonts w:ascii="Arial" w:hAnsi="Arial" w:eastAsia="Arial" w:cs="Arial"/>
          <w:spacing w:val="22"/>
          <w:sz w:val="19"/>
          <w:szCs w:val="19"/>
        </w:rPr>
        <w:t xml:space="preserve"> </w:t>
      </w:r>
      <w:r>
        <w:rPr>
          <w:rFonts w:ascii="Arial" w:hAnsi="Arial" w:eastAsia="Arial" w:cs="Arial"/>
          <w:spacing w:val="-8"/>
          <w:sz w:val="19"/>
          <w:szCs w:val="19"/>
        </w:rPr>
        <w:t>likelihood</w:t>
      </w:r>
      <w:r>
        <w:rPr>
          <w:rFonts w:ascii="Arial" w:hAnsi="Arial" w:eastAsia="Arial" w:cs="Arial"/>
          <w:spacing w:val="14"/>
          <w:w w:val="101"/>
          <w:sz w:val="19"/>
          <w:szCs w:val="19"/>
        </w:rPr>
        <w:t xml:space="preserve"> </w:t>
      </w:r>
      <w:r>
        <w:rPr>
          <w:rFonts w:ascii="Arial" w:hAnsi="Arial" w:eastAsia="Arial" w:cs="Arial"/>
          <w:spacing w:val="-8"/>
          <w:sz w:val="19"/>
          <w:szCs w:val="19"/>
        </w:rPr>
        <w:t>estimation</w:t>
      </w:r>
      <w:r>
        <w:rPr>
          <w:rFonts w:ascii="Arial" w:hAnsi="Arial" w:eastAsia="Arial" w:cs="Arial"/>
          <w:spacing w:val="21"/>
          <w:sz w:val="19"/>
          <w:szCs w:val="19"/>
        </w:rPr>
        <w:t xml:space="preserve"> </w:t>
      </w:r>
      <w:r>
        <w:rPr>
          <w:rFonts w:ascii="Arial" w:hAnsi="Arial" w:eastAsia="Arial" w:cs="Arial"/>
          <w:spacing w:val="-8"/>
          <w:sz w:val="19"/>
          <w:szCs w:val="19"/>
        </w:rPr>
        <w:t>methods</w:t>
      </w:r>
      <w:r>
        <w:rPr>
          <w:rFonts w:ascii="Arial" w:hAnsi="Arial" w:eastAsia="Arial" w:cs="Arial"/>
          <w:spacing w:val="12"/>
          <w:sz w:val="19"/>
          <w:szCs w:val="19"/>
        </w:rPr>
        <w:t xml:space="preserve"> </w:t>
      </w:r>
      <w:r>
        <w:rPr>
          <w:rFonts w:ascii="Arial" w:hAnsi="Arial" w:eastAsia="Arial" w:cs="Arial"/>
          <w:spacing w:val="-8"/>
          <w:sz w:val="19"/>
          <w:szCs w:val="19"/>
        </w:rPr>
        <w:t>were</w:t>
      </w:r>
      <w:r>
        <w:rPr>
          <w:rFonts w:ascii="Arial" w:hAnsi="Arial" w:eastAsia="Arial" w:cs="Arial"/>
          <w:spacing w:val="21"/>
          <w:sz w:val="19"/>
          <w:szCs w:val="19"/>
        </w:rPr>
        <w:t xml:space="preserve"> </w:t>
      </w:r>
      <w:r>
        <w:rPr>
          <w:rFonts w:ascii="Arial" w:hAnsi="Arial" w:eastAsia="Arial" w:cs="Arial"/>
          <w:spacing w:val="-8"/>
          <w:sz w:val="19"/>
          <w:szCs w:val="19"/>
        </w:rPr>
        <w:t>use</w:t>
      </w:r>
      <w:r>
        <w:rPr>
          <w:rFonts w:ascii="Arial" w:hAnsi="Arial" w:eastAsia="Arial" w:cs="Arial"/>
          <w:spacing w:val="-9"/>
          <w:sz w:val="19"/>
          <w:szCs w:val="19"/>
        </w:rPr>
        <w:t>d</w:t>
      </w:r>
      <w:r>
        <w:rPr>
          <w:rFonts w:ascii="Arial" w:hAnsi="Arial" w:eastAsia="Arial" w:cs="Arial"/>
          <w:spacing w:val="21"/>
          <w:sz w:val="19"/>
          <w:szCs w:val="19"/>
        </w:rPr>
        <w:t xml:space="preserve"> </w:t>
      </w:r>
      <w:r>
        <w:rPr>
          <w:rFonts w:ascii="Arial" w:hAnsi="Arial" w:eastAsia="Arial" w:cs="Arial"/>
          <w:spacing w:val="-9"/>
          <w:sz w:val="19"/>
          <w:szCs w:val="19"/>
        </w:rPr>
        <w:t>by</w:t>
      </w:r>
      <w:r>
        <w:rPr>
          <w:rFonts w:ascii="Arial" w:hAnsi="Arial" w:eastAsia="Arial" w:cs="Arial"/>
          <w:spacing w:val="14"/>
          <w:sz w:val="19"/>
          <w:szCs w:val="19"/>
        </w:rPr>
        <w:t xml:space="preserve"> </w:t>
      </w:r>
      <w:r>
        <w:rPr>
          <w:rFonts w:ascii="Arial" w:hAnsi="Arial" w:eastAsia="Arial" w:cs="Arial"/>
          <w:spacing w:val="-9"/>
          <w:sz w:val="19"/>
          <w:szCs w:val="19"/>
        </w:rPr>
        <w:t>applying</w:t>
      </w:r>
      <w:r>
        <w:rPr>
          <w:rFonts w:ascii="Arial" w:hAnsi="Arial" w:eastAsia="Arial" w:cs="Arial"/>
          <w:spacing w:val="23"/>
          <w:w w:val="101"/>
          <w:sz w:val="19"/>
          <w:szCs w:val="19"/>
        </w:rPr>
        <w:t xml:space="preserve"> </w:t>
      </w:r>
      <w:r>
        <w:rPr>
          <w:rFonts w:ascii="Arial" w:hAnsi="Arial" w:eastAsia="Arial" w:cs="Arial"/>
          <w:spacing w:val="-9"/>
          <w:sz w:val="19"/>
          <w:szCs w:val="19"/>
        </w:rPr>
        <w:t>IBM</w:t>
      </w:r>
      <w:r>
        <w:rPr>
          <w:rFonts w:ascii="Arial" w:hAnsi="Arial" w:eastAsia="Arial" w:cs="Arial"/>
          <w:spacing w:val="14"/>
          <w:w w:val="101"/>
          <w:sz w:val="19"/>
          <w:szCs w:val="19"/>
        </w:rPr>
        <w:t xml:space="preserve"> </w:t>
      </w:r>
      <w:r>
        <w:rPr>
          <w:rFonts w:ascii="Arial" w:hAnsi="Arial" w:eastAsia="Arial" w:cs="Arial"/>
          <w:spacing w:val="-9"/>
          <w:sz w:val="19"/>
          <w:szCs w:val="19"/>
        </w:rPr>
        <w:t>SPSS</w:t>
      </w:r>
      <w:r>
        <w:rPr>
          <w:rFonts w:ascii="Arial" w:hAnsi="Arial" w:eastAsia="Arial" w:cs="Arial"/>
          <w:spacing w:val="13"/>
          <w:w w:val="101"/>
          <w:sz w:val="19"/>
          <w:szCs w:val="19"/>
        </w:rPr>
        <w:t xml:space="preserve"> </w:t>
      </w:r>
      <w:r>
        <w:rPr>
          <w:rFonts w:ascii="Arial" w:hAnsi="Arial" w:eastAsia="Arial" w:cs="Arial"/>
          <w:spacing w:val="-9"/>
          <w:sz w:val="19"/>
          <w:szCs w:val="19"/>
        </w:rPr>
        <w:t>AMOS</w:t>
      </w:r>
      <w:r>
        <w:rPr>
          <w:rFonts w:ascii="Arial" w:hAnsi="Arial" w:eastAsia="Arial" w:cs="Arial"/>
          <w:spacing w:val="20"/>
          <w:sz w:val="19"/>
          <w:szCs w:val="19"/>
        </w:rPr>
        <w:t xml:space="preserve"> </w:t>
      </w:r>
      <w:r>
        <w:rPr>
          <w:rFonts w:ascii="Arial" w:hAnsi="Arial" w:eastAsia="Arial" w:cs="Arial"/>
          <w:spacing w:val="-9"/>
          <w:sz w:val="19"/>
          <w:szCs w:val="19"/>
        </w:rPr>
        <w:t>(Version</w:t>
      </w:r>
      <w:r>
        <w:rPr>
          <w:rFonts w:ascii="Arial" w:hAnsi="Arial" w:eastAsia="Arial" w:cs="Arial"/>
          <w:spacing w:val="17"/>
          <w:sz w:val="19"/>
          <w:szCs w:val="19"/>
        </w:rPr>
        <w:t xml:space="preserve"> </w:t>
      </w:r>
      <w:r>
        <w:rPr>
          <w:rFonts w:ascii="Arial" w:hAnsi="Arial" w:eastAsia="Arial" w:cs="Arial"/>
          <w:spacing w:val="-9"/>
          <w:sz w:val="19"/>
          <w:szCs w:val="19"/>
        </w:rPr>
        <w:t>21). The</w:t>
      </w:r>
      <w:r>
        <w:rPr>
          <w:rFonts w:ascii="Arial" w:hAnsi="Arial" w:eastAsia="Arial" w:cs="Arial"/>
          <w:sz w:val="19"/>
          <w:szCs w:val="19"/>
        </w:rPr>
        <w:t xml:space="preserve"> </w:t>
      </w:r>
      <w:r>
        <w:rPr>
          <w:rFonts w:ascii="Arial" w:hAnsi="Arial" w:eastAsia="Arial" w:cs="Arial"/>
          <w:spacing w:val="-4"/>
          <w:sz w:val="19"/>
          <w:szCs w:val="19"/>
        </w:rPr>
        <w:t>goodness</w:t>
      </w:r>
      <w:r>
        <w:rPr>
          <w:rFonts w:ascii="Arial" w:hAnsi="Arial" w:eastAsia="Arial" w:cs="Arial"/>
          <w:spacing w:val="21"/>
          <w:sz w:val="19"/>
          <w:szCs w:val="19"/>
        </w:rPr>
        <w:t xml:space="preserve"> </w:t>
      </w:r>
      <w:r>
        <w:rPr>
          <w:rFonts w:ascii="Arial" w:hAnsi="Arial" w:eastAsia="Arial" w:cs="Arial"/>
          <w:spacing w:val="-4"/>
          <w:sz w:val="19"/>
          <w:szCs w:val="19"/>
        </w:rPr>
        <w:t>of it</w:t>
      </w:r>
      <w:r>
        <w:rPr>
          <w:rFonts w:ascii="Arial" w:hAnsi="Arial" w:eastAsia="Arial" w:cs="Arial"/>
          <w:spacing w:val="21"/>
          <w:w w:val="101"/>
          <w:sz w:val="19"/>
          <w:szCs w:val="19"/>
        </w:rPr>
        <w:t xml:space="preserve"> </w:t>
      </w:r>
      <w:r>
        <w:rPr>
          <w:rFonts w:ascii="Arial" w:hAnsi="Arial" w:eastAsia="Arial" w:cs="Arial"/>
          <w:spacing w:val="-4"/>
          <w:sz w:val="19"/>
          <w:szCs w:val="19"/>
        </w:rPr>
        <w:t>of</w:t>
      </w:r>
      <w:r>
        <w:rPr>
          <w:rFonts w:ascii="Arial" w:hAnsi="Arial" w:eastAsia="Arial" w:cs="Arial"/>
          <w:spacing w:val="14"/>
          <w:w w:val="101"/>
          <w:sz w:val="19"/>
          <w:szCs w:val="19"/>
        </w:rPr>
        <w:t xml:space="preserve"> </w:t>
      </w:r>
      <w:r>
        <w:rPr>
          <w:rFonts w:ascii="Arial" w:hAnsi="Arial" w:eastAsia="Arial" w:cs="Arial"/>
          <w:spacing w:val="-4"/>
          <w:sz w:val="19"/>
          <w:szCs w:val="19"/>
        </w:rPr>
        <w:t>our</w:t>
      </w:r>
      <w:r>
        <w:rPr>
          <w:rFonts w:ascii="Arial" w:hAnsi="Arial" w:eastAsia="Arial" w:cs="Arial"/>
          <w:spacing w:val="28"/>
          <w:sz w:val="19"/>
          <w:szCs w:val="19"/>
        </w:rPr>
        <w:t xml:space="preserve"> </w:t>
      </w:r>
      <w:r>
        <w:rPr>
          <w:rFonts w:ascii="Arial" w:hAnsi="Arial" w:eastAsia="Arial" w:cs="Arial"/>
          <w:spacing w:val="-4"/>
          <w:sz w:val="19"/>
          <w:szCs w:val="19"/>
        </w:rPr>
        <w:t>measurement</w:t>
      </w:r>
      <w:r>
        <w:rPr>
          <w:rFonts w:ascii="Arial" w:hAnsi="Arial" w:eastAsia="Arial" w:cs="Arial"/>
          <w:spacing w:val="29"/>
          <w:sz w:val="19"/>
          <w:szCs w:val="19"/>
        </w:rPr>
        <w:t xml:space="preserve"> </w:t>
      </w:r>
      <w:r>
        <w:rPr>
          <w:rFonts w:ascii="Arial" w:hAnsi="Arial" w:eastAsia="Arial" w:cs="Arial"/>
          <w:spacing w:val="-4"/>
          <w:sz w:val="19"/>
          <w:szCs w:val="19"/>
        </w:rPr>
        <w:t>model</w:t>
      </w:r>
      <w:r>
        <w:rPr>
          <w:rFonts w:ascii="Arial" w:hAnsi="Arial" w:eastAsia="Arial" w:cs="Arial"/>
          <w:spacing w:val="18"/>
          <w:sz w:val="19"/>
          <w:szCs w:val="19"/>
        </w:rPr>
        <w:t xml:space="preserve"> </w:t>
      </w:r>
      <w:r>
        <w:rPr>
          <w:rFonts w:ascii="Arial" w:hAnsi="Arial" w:eastAsia="Arial" w:cs="Arial"/>
          <w:spacing w:val="-4"/>
          <w:sz w:val="19"/>
          <w:szCs w:val="19"/>
        </w:rPr>
        <w:t>was</w:t>
      </w:r>
      <w:r>
        <w:rPr>
          <w:rFonts w:ascii="Arial" w:hAnsi="Arial" w:eastAsia="Arial" w:cs="Arial"/>
          <w:spacing w:val="23"/>
          <w:sz w:val="19"/>
          <w:szCs w:val="19"/>
        </w:rPr>
        <w:t xml:space="preserve"> </w:t>
      </w:r>
      <w:r>
        <w:rPr>
          <w:rFonts w:ascii="Arial" w:hAnsi="Arial" w:eastAsia="Arial" w:cs="Arial"/>
          <w:spacing w:val="-4"/>
          <w:sz w:val="19"/>
          <w:szCs w:val="19"/>
        </w:rPr>
        <w:t>evaluated</w:t>
      </w:r>
      <w:r>
        <w:rPr>
          <w:rFonts w:ascii="Arial" w:hAnsi="Arial" w:eastAsia="Arial" w:cs="Arial"/>
          <w:spacing w:val="27"/>
          <w:sz w:val="19"/>
          <w:szCs w:val="19"/>
        </w:rPr>
        <w:t xml:space="preserve"> </w:t>
      </w:r>
      <w:r>
        <w:rPr>
          <w:rFonts w:ascii="Arial" w:hAnsi="Arial" w:eastAsia="Arial" w:cs="Arial"/>
          <w:spacing w:val="-4"/>
          <w:sz w:val="19"/>
          <w:szCs w:val="19"/>
        </w:rPr>
        <w:t>b</w:t>
      </w:r>
      <w:r>
        <w:rPr>
          <w:rFonts w:ascii="Arial" w:hAnsi="Arial" w:eastAsia="Arial" w:cs="Arial"/>
          <w:spacing w:val="-5"/>
          <w:sz w:val="19"/>
          <w:szCs w:val="19"/>
        </w:rPr>
        <w:t>y</w:t>
      </w:r>
      <w:r>
        <w:rPr>
          <w:rFonts w:ascii="Arial" w:hAnsi="Arial" w:eastAsia="Arial" w:cs="Arial"/>
          <w:spacing w:val="21"/>
          <w:sz w:val="19"/>
          <w:szCs w:val="19"/>
        </w:rPr>
        <w:t xml:space="preserve"> </w:t>
      </w:r>
      <w:r>
        <w:rPr>
          <w:rFonts w:ascii="Arial" w:hAnsi="Arial" w:eastAsia="Arial" w:cs="Arial"/>
          <w:spacing w:val="-5"/>
          <w:sz w:val="19"/>
          <w:szCs w:val="19"/>
        </w:rPr>
        <w:t>absolute</w:t>
      </w:r>
      <w:r>
        <w:rPr>
          <w:rFonts w:ascii="Arial" w:hAnsi="Arial" w:eastAsia="Arial" w:cs="Arial"/>
          <w:spacing w:val="21"/>
          <w:w w:val="101"/>
          <w:sz w:val="19"/>
          <w:szCs w:val="19"/>
        </w:rPr>
        <w:t xml:space="preserve"> </w:t>
      </w:r>
      <w:r>
        <w:rPr>
          <w:rFonts w:ascii="Arial" w:hAnsi="Arial" w:eastAsia="Arial" w:cs="Arial"/>
          <w:spacing w:val="-5"/>
          <w:sz w:val="19"/>
          <w:szCs w:val="19"/>
        </w:rPr>
        <w:t>and</w:t>
      </w:r>
      <w:r>
        <w:rPr>
          <w:rFonts w:ascii="Arial" w:hAnsi="Arial" w:eastAsia="Arial" w:cs="Arial"/>
          <w:spacing w:val="28"/>
          <w:w w:val="101"/>
          <w:sz w:val="19"/>
          <w:szCs w:val="19"/>
        </w:rPr>
        <w:t xml:space="preserve"> </w:t>
      </w:r>
      <w:r>
        <w:rPr>
          <w:rFonts w:ascii="Arial" w:hAnsi="Arial" w:eastAsia="Arial" w:cs="Arial"/>
          <w:spacing w:val="-5"/>
          <w:sz w:val="19"/>
          <w:szCs w:val="19"/>
        </w:rPr>
        <w:t>relative</w:t>
      </w:r>
      <w:r>
        <w:rPr>
          <w:rFonts w:ascii="Arial" w:hAnsi="Arial" w:eastAsia="Arial" w:cs="Arial"/>
          <w:spacing w:val="18"/>
          <w:sz w:val="19"/>
          <w:szCs w:val="19"/>
        </w:rPr>
        <w:t xml:space="preserve"> </w:t>
      </w:r>
      <w:r>
        <w:rPr>
          <w:rFonts w:ascii="Arial" w:hAnsi="Arial" w:eastAsia="Arial" w:cs="Arial"/>
          <w:spacing w:val="-5"/>
          <w:sz w:val="19"/>
          <w:szCs w:val="19"/>
        </w:rPr>
        <w:t>it</w:t>
      </w:r>
      <w:r>
        <w:rPr>
          <w:rFonts w:ascii="Arial" w:hAnsi="Arial" w:eastAsia="Arial" w:cs="Arial"/>
          <w:spacing w:val="27"/>
          <w:sz w:val="19"/>
          <w:szCs w:val="19"/>
        </w:rPr>
        <w:t xml:space="preserve"> </w:t>
      </w:r>
      <w:r>
        <w:rPr>
          <w:rFonts w:ascii="Arial" w:hAnsi="Arial" w:eastAsia="Arial" w:cs="Arial"/>
          <w:spacing w:val="-5"/>
          <w:sz w:val="19"/>
          <w:szCs w:val="19"/>
        </w:rPr>
        <w:t>indices</w:t>
      </w:r>
      <w:r>
        <w:rPr>
          <w:rFonts w:ascii="Arial" w:hAnsi="Arial" w:eastAsia="Arial" w:cs="Arial"/>
          <w:spacing w:val="27"/>
          <w:sz w:val="19"/>
          <w:szCs w:val="19"/>
        </w:rPr>
        <w:t xml:space="preserve"> </w:t>
      </w:r>
      <w:r>
        <w:rPr>
          <w:rFonts w:ascii="Arial" w:hAnsi="Arial" w:eastAsia="Arial" w:cs="Arial"/>
          <w:spacing w:val="-5"/>
          <w:sz w:val="19"/>
          <w:szCs w:val="19"/>
        </w:rPr>
        <w:t>(χ²-</w:t>
      </w:r>
      <w:r>
        <w:rPr>
          <w:rFonts w:ascii="Arial" w:hAnsi="Arial" w:eastAsia="Arial" w:cs="Arial"/>
          <w:sz w:val="19"/>
          <w:szCs w:val="19"/>
        </w:rPr>
        <w:t xml:space="preserve"> </w:t>
      </w:r>
      <w:r>
        <w:rPr>
          <w:rFonts w:ascii="Arial" w:hAnsi="Arial" w:eastAsia="Arial" w:cs="Arial"/>
          <w:spacing w:val="-11"/>
          <w:sz w:val="19"/>
          <w:szCs w:val="19"/>
        </w:rPr>
        <w:t>test,</w:t>
      </w:r>
      <w:r>
        <w:rPr>
          <w:rFonts w:ascii="Arial" w:hAnsi="Arial" w:eastAsia="Arial" w:cs="Arial"/>
          <w:spacing w:val="36"/>
          <w:sz w:val="19"/>
          <w:szCs w:val="19"/>
        </w:rPr>
        <w:t xml:space="preserve"> </w:t>
      </w:r>
      <w:r>
        <w:rPr>
          <w:rFonts w:ascii="Arial" w:hAnsi="Arial" w:eastAsia="Arial" w:cs="Arial"/>
          <w:spacing w:val="-11"/>
          <w:sz w:val="19"/>
          <w:szCs w:val="19"/>
        </w:rPr>
        <w:t>RMSEA,</w:t>
      </w:r>
      <w:r>
        <w:rPr>
          <w:rFonts w:ascii="Arial" w:hAnsi="Arial" w:eastAsia="Arial" w:cs="Arial"/>
          <w:spacing w:val="27"/>
          <w:sz w:val="19"/>
          <w:szCs w:val="19"/>
        </w:rPr>
        <w:t xml:space="preserve"> </w:t>
      </w:r>
      <w:r>
        <w:rPr>
          <w:rFonts w:ascii="Arial" w:hAnsi="Arial" w:eastAsia="Arial" w:cs="Arial"/>
          <w:spacing w:val="-11"/>
          <w:sz w:val="19"/>
          <w:szCs w:val="19"/>
        </w:rPr>
        <w:t>GFI,</w:t>
      </w:r>
      <w:r>
        <w:rPr>
          <w:rFonts w:ascii="Arial" w:hAnsi="Arial" w:eastAsia="Arial" w:cs="Arial"/>
          <w:spacing w:val="24"/>
          <w:w w:val="101"/>
          <w:sz w:val="19"/>
          <w:szCs w:val="19"/>
        </w:rPr>
        <w:t xml:space="preserve"> </w:t>
      </w:r>
      <w:r>
        <w:rPr>
          <w:rFonts w:ascii="Arial" w:hAnsi="Arial" w:eastAsia="Arial" w:cs="Arial"/>
          <w:spacing w:val="-11"/>
          <w:sz w:val="19"/>
          <w:szCs w:val="19"/>
        </w:rPr>
        <w:t>AGFI,</w:t>
      </w:r>
      <w:r>
        <w:rPr>
          <w:rFonts w:ascii="Arial" w:hAnsi="Arial" w:eastAsia="Arial" w:cs="Arial"/>
          <w:spacing w:val="28"/>
          <w:sz w:val="19"/>
          <w:szCs w:val="19"/>
        </w:rPr>
        <w:t xml:space="preserve"> </w:t>
      </w:r>
      <w:r>
        <w:rPr>
          <w:rFonts w:ascii="Arial" w:hAnsi="Arial" w:eastAsia="Arial" w:cs="Arial"/>
          <w:spacing w:val="-11"/>
          <w:sz w:val="19"/>
          <w:szCs w:val="19"/>
        </w:rPr>
        <w:t>SRMR;</w:t>
      </w:r>
      <w:r>
        <w:rPr>
          <w:rFonts w:ascii="Arial" w:hAnsi="Arial" w:eastAsia="Arial" w:cs="Arial"/>
          <w:spacing w:val="28"/>
          <w:w w:val="101"/>
          <w:sz w:val="19"/>
          <w:szCs w:val="19"/>
        </w:rPr>
        <w:t xml:space="preserve"> </w:t>
      </w:r>
      <w:r>
        <w:rPr>
          <w:rFonts w:ascii="Arial" w:hAnsi="Arial" w:eastAsia="Arial" w:cs="Arial"/>
          <w:spacing w:val="-11"/>
          <w:sz w:val="19"/>
          <w:szCs w:val="19"/>
        </w:rPr>
        <w:t>and</w:t>
      </w:r>
      <w:r>
        <w:rPr>
          <w:rFonts w:ascii="Arial" w:hAnsi="Arial" w:eastAsia="Arial" w:cs="Arial"/>
          <w:spacing w:val="28"/>
          <w:sz w:val="19"/>
          <w:szCs w:val="19"/>
        </w:rPr>
        <w:t xml:space="preserve"> </w:t>
      </w:r>
      <w:r>
        <w:rPr>
          <w:rFonts w:ascii="Arial" w:hAnsi="Arial" w:eastAsia="Arial" w:cs="Arial"/>
          <w:spacing w:val="-11"/>
          <w:sz w:val="19"/>
          <w:szCs w:val="19"/>
        </w:rPr>
        <w:t>CFI,</w:t>
      </w:r>
      <w:r>
        <w:rPr>
          <w:rFonts w:ascii="Arial" w:hAnsi="Arial" w:eastAsia="Arial" w:cs="Arial"/>
          <w:spacing w:val="35"/>
          <w:sz w:val="19"/>
          <w:szCs w:val="19"/>
        </w:rPr>
        <w:t xml:space="preserve"> </w:t>
      </w:r>
      <w:r>
        <w:rPr>
          <w:rFonts w:ascii="Arial" w:hAnsi="Arial" w:eastAsia="Arial" w:cs="Arial"/>
          <w:spacing w:val="-11"/>
          <w:sz w:val="19"/>
          <w:szCs w:val="19"/>
        </w:rPr>
        <w:t>PCFI,</w:t>
      </w:r>
      <w:r>
        <w:rPr>
          <w:rFonts w:ascii="Arial" w:hAnsi="Arial" w:eastAsia="Arial" w:cs="Arial"/>
          <w:spacing w:val="34"/>
          <w:w w:val="101"/>
          <w:sz w:val="19"/>
          <w:szCs w:val="19"/>
        </w:rPr>
        <w:t xml:space="preserve"> </w:t>
      </w:r>
      <w:r>
        <w:rPr>
          <w:rFonts w:ascii="Arial" w:hAnsi="Arial" w:eastAsia="Arial" w:cs="Arial"/>
          <w:spacing w:val="-11"/>
          <w:sz w:val="19"/>
          <w:szCs w:val="19"/>
        </w:rPr>
        <w:t>respectively).</w:t>
      </w:r>
      <w:r>
        <w:rPr>
          <w:rFonts w:ascii="Arial" w:hAnsi="Arial" w:eastAsia="Arial" w:cs="Arial"/>
          <w:spacing w:val="35"/>
          <w:w w:val="101"/>
          <w:sz w:val="19"/>
          <w:szCs w:val="19"/>
        </w:rPr>
        <w:t xml:space="preserve"> </w:t>
      </w:r>
      <w:r>
        <w:rPr>
          <w:rFonts w:ascii="Arial" w:hAnsi="Arial" w:eastAsia="Arial" w:cs="Arial"/>
          <w:spacing w:val="-11"/>
          <w:sz w:val="19"/>
          <w:szCs w:val="19"/>
        </w:rPr>
        <w:t>Reliability</w:t>
      </w:r>
      <w:r>
        <w:rPr>
          <w:rFonts w:ascii="Arial" w:hAnsi="Arial" w:eastAsia="Arial" w:cs="Arial"/>
          <w:spacing w:val="27"/>
          <w:w w:val="101"/>
          <w:sz w:val="19"/>
          <w:szCs w:val="19"/>
        </w:rPr>
        <w:t xml:space="preserve"> </w:t>
      </w:r>
      <w:r>
        <w:rPr>
          <w:rFonts w:ascii="Arial" w:hAnsi="Arial" w:eastAsia="Arial" w:cs="Arial"/>
          <w:spacing w:val="-11"/>
          <w:sz w:val="19"/>
          <w:szCs w:val="19"/>
        </w:rPr>
        <w:t>and</w:t>
      </w:r>
      <w:r>
        <w:rPr>
          <w:rFonts w:ascii="Arial" w:hAnsi="Arial" w:eastAsia="Arial" w:cs="Arial"/>
          <w:spacing w:val="23"/>
          <w:w w:val="101"/>
          <w:sz w:val="19"/>
          <w:szCs w:val="19"/>
        </w:rPr>
        <w:t xml:space="preserve"> </w:t>
      </w:r>
      <w:r>
        <w:rPr>
          <w:rFonts w:ascii="Arial" w:hAnsi="Arial" w:eastAsia="Arial" w:cs="Arial"/>
          <w:spacing w:val="-11"/>
          <w:sz w:val="19"/>
          <w:szCs w:val="19"/>
        </w:rPr>
        <w:t>validity</w:t>
      </w:r>
      <w:r>
        <w:rPr>
          <w:rFonts w:ascii="Arial" w:hAnsi="Arial" w:eastAsia="Arial" w:cs="Arial"/>
          <w:spacing w:val="29"/>
          <w:sz w:val="19"/>
          <w:szCs w:val="19"/>
        </w:rPr>
        <w:t xml:space="preserve"> </w:t>
      </w:r>
      <w:r>
        <w:rPr>
          <w:rFonts w:ascii="Arial" w:hAnsi="Arial" w:eastAsia="Arial" w:cs="Arial"/>
          <w:spacing w:val="-11"/>
          <w:sz w:val="19"/>
          <w:szCs w:val="19"/>
        </w:rPr>
        <w:t>of</w:t>
      </w:r>
      <w:r>
        <w:rPr>
          <w:rFonts w:ascii="Arial" w:hAnsi="Arial" w:eastAsia="Arial" w:cs="Arial"/>
          <w:spacing w:val="16"/>
          <w:w w:val="101"/>
          <w:sz w:val="19"/>
          <w:szCs w:val="19"/>
        </w:rPr>
        <w:t xml:space="preserve"> </w:t>
      </w:r>
      <w:r>
        <w:rPr>
          <w:rFonts w:ascii="Arial" w:hAnsi="Arial" w:eastAsia="Arial" w:cs="Arial"/>
          <w:spacing w:val="-11"/>
          <w:sz w:val="19"/>
          <w:szCs w:val="19"/>
        </w:rPr>
        <w:t>the</w:t>
      </w:r>
      <w:r>
        <w:rPr>
          <w:rFonts w:ascii="Arial" w:hAnsi="Arial" w:eastAsia="Arial" w:cs="Arial"/>
          <w:spacing w:val="29"/>
          <w:sz w:val="19"/>
          <w:szCs w:val="19"/>
        </w:rPr>
        <w:t xml:space="preserve"> </w:t>
      </w:r>
      <w:r>
        <w:rPr>
          <w:rFonts w:ascii="Arial" w:hAnsi="Arial" w:eastAsia="Arial" w:cs="Arial"/>
          <w:spacing w:val="-11"/>
          <w:sz w:val="19"/>
          <w:szCs w:val="19"/>
        </w:rPr>
        <w:t>ex</w:t>
      </w:r>
      <w:r>
        <w:rPr>
          <w:rFonts w:ascii="Arial" w:hAnsi="Arial" w:eastAsia="Arial" w:cs="Arial"/>
          <w:spacing w:val="-12"/>
          <w:sz w:val="19"/>
          <w:szCs w:val="19"/>
        </w:rPr>
        <w:t>tracted</w:t>
      </w:r>
      <w:r>
        <w:rPr>
          <w:rFonts w:ascii="Arial" w:hAnsi="Arial" w:eastAsia="Arial" w:cs="Arial"/>
          <w:sz w:val="19"/>
          <w:szCs w:val="19"/>
        </w:rPr>
        <w:t xml:space="preserve"> </w:t>
      </w:r>
      <w:r>
        <w:rPr>
          <w:rFonts w:ascii="Arial" w:hAnsi="Arial" w:eastAsia="Arial" w:cs="Arial"/>
          <w:spacing w:val="-5"/>
          <w:sz w:val="19"/>
          <w:szCs w:val="19"/>
        </w:rPr>
        <w:t>factors</w:t>
      </w:r>
      <w:r>
        <w:rPr>
          <w:rFonts w:ascii="Arial" w:hAnsi="Arial" w:eastAsia="Arial" w:cs="Arial"/>
          <w:spacing w:val="9"/>
          <w:sz w:val="19"/>
          <w:szCs w:val="19"/>
        </w:rPr>
        <w:t xml:space="preserve"> </w:t>
      </w:r>
      <w:r>
        <w:rPr>
          <w:rFonts w:ascii="Arial" w:hAnsi="Arial" w:eastAsia="Arial" w:cs="Arial"/>
          <w:spacing w:val="-5"/>
          <w:sz w:val="19"/>
          <w:szCs w:val="19"/>
        </w:rPr>
        <w:t>was tested</w:t>
      </w:r>
      <w:r>
        <w:rPr>
          <w:rFonts w:ascii="Arial" w:hAnsi="Arial" w:eastAsia="Arial" w:cs="Arial"/>
          <w:spacing w:val="20"/>
          <w:sz w:val="19"/>
          <w:szCs w:val="19"/>
        </w:rPr>
        <w:t xml:space="preserve"> </w:t>
      </w:r>
      <w:r>
        <w:rPr>
          <w:rFonts w:ascii="Arial" w:hAnsi="Arial" w:eastAsia="Arial" w:cs="Arial"/>
          <w:spacing w:val="-5"/>
          <w:sz w:val="19"/>
          <w:szCs w:val="19"/>
        </w:rPr>
        <w:t>by</w:t>
      </w:r>
      <w:r>
        <w:rPr>
          <w:rFonts w:ascii="Arial" w:hAnsi="Arial" w:eastAsia="Arial" w:cs="Arial"/>
          <w:spacing w:val="11"/>
          <w:sz w:val="19"/>
          <w:szCs w:val="19"/>
        </w:rPr>
        <w:t xml:space="preserve"> </w:t>
      </w:r>
      <w:r>
        <w:rPr>
          <w:rFonts w:ascii="Arial" w:hAnsi="Arial" w:eastAsia="Arial" w:cs="Arial"/>
          <w:spacing w:val="-5"/>
          <w:sz w:val="19"/>
          <w:szCs w:val="19"/>
        </w:rPr>
        <w:t>calculating</w:t>
      </w:r>
      <w:r>
        <w:rPr>
          <w:rFonts w:ascii="Arial" w:hAnsi="Arial" w:eastAsia="Arial" w:cs="Arial"/>
          <w:spacing w:val="13"/>
          <w:w w:val="101"/>
          <w:sz w:val="19"/>
          <w:szCs w:val="19"/>
        </w:rPr>
        <w:t xml:space="preserve"> </w:t>
      </w:r>
      <w:r>
        <w:rPr>
          <w:rFonts w:ascii="Arial" w:hAnsi="Arial" w:eastAsia="Arial" w:cs="Arial"/>
          <w:spacing w:val="-5"/>
          <w:sz w:val="19"/>
          <w:szCs w:val="19"/>
        </w:rPr>
        <w:t>a</w:t>
      </w:r>
      <w:r>
        <w:rPr>
          <w:rFonts w:ascii="Arial" w:hAnsi="Arial" w:eastAsia="Arial" w:cs="Arial"/>
          <w:spacing w:val="-6"/>
          <w:sz w:val="19"/>
          <w:szCs w:val="19"/>
        </w:rPr>
        <w:t>nd</w:t>
      </w:r>
      <w:r>
        <w:rPr>
          <w:rFonts w:ascii="Arial" w:hAnsi="Arial" w:eastAsia="Arial" w:cs="Arial"/>
          <w:spacing w:val="10"/>
          <w:sz w:val="19"/>
          <w:szCs w:val="19"/>
        </w:rPr>
        <w:t xml:space="preserve"> </w:t>
      </w:r>
      <w:r>
        <w:rPr>
          <w:rFonts w:ascii="Arial" w:hAnsi="Arial" w:eastAsia="Arial" w:cs="Arial"/>
          <w:spacing w:val="-6"/>
          <w:sz w:val="19"/>
          <w:szCs w:val="19"/>
        </w:rPr>
        <w:t>analyzing the following</w:t>
      </w:r>
      <w:r>
        <w:rPr>
          <w:rFonts w:ascii="Arial" w:hAnsi="Arial" w:eastAsia="Arial" w:cs="Arial"/>
          <w:spacing w:val="17"/>
          <w:w w:val="101"/>
          <w:sz w:val="19"/>
          <w:szCs w:val="19"/>
        </w:rPr>
        <w:t xml:space="preserve"> </w:t>
      </w:r>
      <w:r>
        <w:rPr>
          <w:rFonts w:ascii="Arial" w:hAnsi="Arial" w:eastAsia="Arial" w:cs="Arial"/>
          <w:spacing w:val="-6"/>
          <w:sz w:val="19"/>
          <w:szCs w:val="19"/>
        </w:rPr>
        <w:t>measures:</w:t>
      </w:r>
      <w:r>
        <w:rPr>
          <w:rFonts w:ascii="Arial" w:hAnsi="Arial" w:eastAsia="Arial" w:cs="Arial"/>
          <w:spacing w:val="12"/>
          <w:sz w:val="19"/>
          <w:szCs w:val="19"/>
        </w:rPr>
        <w:t xml:space="preserve"> </w:t>
      </w:r>
      <w:r>
        <w:rPr>
          <w:rFonts w:ascii="Arial" w:hAnsi="Arial" w:eastAsia="Arial" w:cs="Arial"/>
          <w:spacing w:val="-6"/>
          <w:sz w:val="19"/>
          <w:szCs w:val="19"/>
        </w:rPr>
        <w:t>Cronbach`s</w:t>
      </w:r>
      <w:r>
        <w:rPr>
          <w:rFonts w:ascii="Arial" w:hAnsi="Arial" w:eastAsia="Arial" w:cs="Arial"/>
          <w:spacing w:val="11"/>
          <w:sz w:val="19"/>
          <w:szCs w:val="19"/>
        </w:rPr>
        <w:t xml:space="preserve"> </w:t>
      </w:r>
      <w:r>
        <w:rPr>
          <w:rFonts w:ascii="Arial" w:hAnsi="Arial" w:eastAsia="Arial" w:cs="Arial"/>
          <w:spacing w:val="-6"/>
          <w:sz w:val="19"/>
          <w:szCs w:val="19"/>
        </w:rPr>
        <w:t>Alpha</w:t>
      </w:r>
      <w:r>
        <w:rPr>
          <w:rFonts w:ascii="Arial" w:hAnsi="Arial" w:eastAsia="Arial" w:cs="Arial"/>
          <w:spacing w:val="17"/>
          <w:sz w:val="19"/>
          <w:szCs w:val="19"/>
        </w:rPr>
        <w:t xml:space="preserve"> </w:t>
      </w:r>
      <w:r>
        <w:rPr>
          <w:rFonts w:ascii="Arial" w:hAnsi="Arial" w:eastAsia="Arial" w:cs="Arial"/>
          <w:spacing w:val="-6"/>
          <w:sz w:val="19"/>
          <w:szCs w:val="19"/>
        </w:rPr>
        <w:t>(internal</w:t>
      </w:r>
      <w:r>
        <w:rPr>
          <w:rFonts w:ascii="Arial" w:hAnsi="Arial" w:eastAsia="Arial" w:cs="Arial"/>
          <w:sz w:val="19"/>
          <w:szCs w:val="19"/>
        </w:rPr>
        <w:t xml:space="preserve"> </w:t>
      </w:r>
      <w:r>
        <w:rPr>
          <w:rFonts w:ascii="Arial" w:hAnsi="Arial" w:eastAsia="Arial" w:cs="Arial"/>
          <w:spacing w:val="-7"/>
          <w:sz w:val="19"/>
          <w:szCs w:val="19"/>
        </w:rPr>
        <w:t>consistency), average va</w:t>
      </w:r>
      <w:r>
        <w:rPr>
          <w:rFonts w:ascii="Arial" w:hAnsi="Arial" w:eastAsia="Arial" w:cs="Arial"/>
          <w:spacing w:val="-8"/>
          <w:sz w:val="19"/>
          <w:szCs w:val="19"/>
        </w:rPr>
        <w:t>riance extracted</w:t>
      </w:r>
      <w:r>
        <w:rPr>
          <w:rFonts w:ascii="Arial" w:hAnsi="Arial" w:eastAsia="Arial" w:cs="Arial"/>
          <w:spacing w:val="7"/>
          <w:sz w:val="19"/>
          <w:szCs w:val="19"/>
        </w:rPr>
        <w:t xml:space="preserve"> </w:t>
      </w:r>
      <w:r>
        <w:rPr>
          <w:rFonts w:ascii="Arial" w:hAnsi="Arial" w:eastAsia="Arial" w:cs="Arial"/>
          <w:spacing w:val="-8"/>
          <w:sz w:val="19"/>
          <w:szCs w:val="19"/>
        </w:rPr>
        <w:t>(AVE), and composite</w:t>
      </w:r>
      <w:r>
        <w:rPr>
          <w:rFonts w:ascii="Arial" w:hAnsi="Arial" w:eastAsia="Arial" w:cs="Arial"/>
          <w:spacing w:val="9"/>
          <w:sz w:val="19"/>
          <w:szCs w:val="19"/>
        </w:rPr>
        <w:t xml:space="preserve"> </w:t>
      </w:r>
      <w:r>
        <w:rPr>
          <w:rFonts w:ascii="Arial" w:hAnsi="Arial" w:eastAsia="Arial" w:cs="Arial"/>
          <w:spacing w:val="-8"/>
          <w:sz w:val="19"/>
          <w:szCs w:val="19"/>
        </w:rPr>
        <w:t>reliability index</w:t>
      </w:r>
      <w:r>
        <w:rPr>
          <w:rFonts w:ascii="Arial" w:hAnsi="Arial" w:eastAsia="Arial" w:cs="Arial"/>
          <w:spacing w:val="6"/>
          <w:sz w:val="19"/>
          <w:szCs w:val="19"/>
        </w:rPr>
        <w:t xml:space="preserve"> </w:t>
      </w:r>
      <w:r>
        <w:rPr>
          <w:rFonts w:ascii="Arial" w:hAnsi="Arial" w:eastAsia="Arial" w:cs="Arial"/>
          <w:spacing w:val="-8"/>
          <w:sz w:val="19"/>
          <w:szCs w:val="19"/>
        </w:rPr>
        <w:t>(CR). The CFA was</w:t>
      </w:r>
      <w:r>
        <w:rPr>
          <w:rFonts w:ascii="Arial" w:hAnsi="Arial" w:eastAsia="Arial" w:cs="Arial"/>
          <w:spacing w:val="-3"/>
          <w:sz w:val="19"/>
          <w:szCs w:val="19"/>
        </w:rPr>
        <w:t xml:space="preserve"> </w:t>
      </w:r>
      <w:r>
        <w:rPr>
          <w:rFonts w:ascii="Arial" w:hAnsi="Arial" w:eastAsia="Arial" w:cs="Arial"/>
          <w:spacing w:val="-8"/>
          <w:sz w:val="19"/>
          <w:szCs w:val="19"/>
        </w:rPr>
        <w:t>fol-</w:t>
      </w:r>
      <w:r>
        <w:rPr>
          <w:rFonts w:ascii="Arial" w:hAnsi="Arial" w:eastAsia="Arial" w:cs="Arial"/>
          <w:sz w:val="19"/>
          <w:szCs w:val="19"/>
        </w:rPr>
        <w:t xml:space="preserve"> </w:t>
      </w:r>
      <w:r>
        <w:rPr>
          <w:rFonts w:ascii="Arial" w:hAnsi="Arial" w:eastAsia="Arial" w:cs="Arial"/>
          <w:spacing w:val="-6"/>
          <w:sz w:val="19"/>
          <w:szCs w:val="19"/>
        </w:rPr>
        <w:t>lowed</w:t>
      </w:r>
      <w:r>
        <w:rPr>
          <w:rFonts w:ascii="Arial" w:hAnsi="Arial" w:eastAsia="Arial" w:cs="Arial"/>
          <w:spacing w:val="12"/>
          <w:sz w:val="19"/>
          <w:szCs w:val="19"/>
        </w:rPr>
        <w:t xml:space="preserve"> </w:t>
      </w:r>
      <w:r>
        <w:rPr>
          <w:rFonts w:ascii="Arial" w:hAnsi="Arial" w:eastAsia="Arial" w:cs="Arial"/>
          <w:spacing w:val="-6"/>
          <w:sz w:val="19"/>
          <w:szCs w:val="19"/>
        </w:rPr>
        <w:t>by a st</w:t>
      </w:r>
      <w:r>
        <w:rPr>
          <w:rFonts w:ascii="Arial" w:hAnsi="Arial" w:eastAsia="Arial" w:cs="Arial"/>
          <w:spacing w:val="-5"/>
          <w:sz w:val="19"/>
          <w:szCs w:val="19"/>
        </w:rPr>
        <w:t>ructural equation analysis</w:t>
      </w:r>
      <w:r>
        <w:rPr>
          <w:rFonts w:ascii="Arial" w:hAnsi="Arial" w:eastAsia="Arial" w:cs="Arial"/>
          <w:spacing w:val="10"/>
          <w:sz w:val="19"/>
          <w:szCs w:val="19"/>
        </w:rPr>
        <w:t xml:space="preserve"> </w:t>
      </w:r>
      <w:r>
        <w:rPr>
          <w:rFonts w:ascii="Arial" w:hAnsi="Arial" w:eastAsia="Arial" w:cs="Arial"/>
          <w:spacing w:val="-5"/>
          <w:sz w:val="19"/>
          <w:szCs w:val="19"/>
        </w:rPr>
        <w:t>(SEM)</w:t>
      </w:r>
      <w:r>
        <w:rPr>
          <w:rFonts w:ascii="Arial" w:hAnsi="Arial" w:eastAsia="Arial" w:cs="Arial"/>
          <w:spacing w:val="12"/>
          <w:sz w:val="19"/>
          <w:szCs w:val="19"/>
        </w:rPr>
        <w:t xml:space="preserve"> </w:t>
      </w:r>
      <w:r>
        <w:rPr>
          <w:rFonts w:ascii="Arial" w:hAnsi="Arial" w:eastAsia="Arial" w:cs="Arial"/>
          <w:spacing w:val="-5"/>
          <w:sz w:val="19"/>
          <w:szCs w:val="19"/>
        </w:rPr>
        <w:t>including</w:t>
      </w:r>
      <w:r>
        <w:rPr>
          <w:rFonts w:ascii="Arial" w:hAnsi="Arial" w:eastAsia="Arial" w:cs="Arial"/>
          <w:spacing w:val="7"/>
          <w:sz w:val="19"/>
          <w:szCs w:val="19"/>
        </w:rPr>
        <w:t xml:space="preserve"> </w:t>
      </w:r>
      <w:r>
        <w:rPr>
          <w:rFonts w:ascii="Arial" w:hAnsi="Arial" w:eastAsia="Arial" w:cs="Arial"/>
          <w:spacing w:val="-5"/>
          <w:sz w:val="19"/>
          <w:szCs w:val="19"/>
        </w:rPr>
        <w:t>all</w:t>
      </w:r>
      <w:r>
        <w:rPr>
          <w:rFonts w:ascii="Arial" w:hAnsi="Arial" w:eastAsia="Arial" w:cs="Arial"/>
          <w:spacing w:val="10"/>
          <w:sz w:val="19"/>
          <w:szCs w:val="19"/>
        </w:rPr>
        <w:t xml:space="preserve"> </w:t>
      </w:r>
      <w:r>
        <w:rPr>
          <w:rFonts w:ascii="Arial" w:hAnsi="Arial" w:eastAsia="Arial" w:cs="Arial"/>
          <w:spacing w:val="-5"/>
          <w:sz w:val="19"/>
          <w:szCs w:val="19"/>
        </w:rPr>
        <w:t>independent</w:t>
      </w:r>
      <w:r>
        <w:rPr>
          <w:rFonts w:ascii="Arial" w:hAnsi="Arial" w:eastAsia="Arial" w:cs="Arial"/>
          <w:spacing w:val="6"/>
          <w:sz w:val="19"/>
          <w:szCs w:val="19"/>
        </w:rPr>
        <w:t xml:space="preserve"> </w:t>
      </w:r>
      <w:r>
        <w:rPr>
          <w:rFonts w:ascii="Arial" w:hAnsi="Arial" w:eastAsia="Arial" w:cs="Arial"/>
          <w:spacing w:val="-5"/>
          <w:sz w:val="19"/>
          <w:szCs w:val="19"/>
        </w:rPr>
        <w:t>and</w:t>
      </w:r>
      <w:r>
        <w:rPr>
          <w:rFonts w:ascii="Arial" w:hAnsi="Arial" w:eastAsia="Arial" w:cs="Arial"/>
          <w:spacing w:val="6"/>
          <w:sz w:val="19"/>
          <w:szCs w:val="19"/>
        </w:rPr>
        <w:t xml:space="preserve"> </w:t>
      </w:r>
      <w:r>
        <w:rPr>
          <w:rFonts w:ascii="Arial" w:hAnsi="Arial" w:eastAsia="Arial" w:cs="Arial"/>
          <w:spacing w:val="-5"/>
          <w:sz w:val="19"/>
          <w:szCs w:val="19"/>
        </w:rPr>
        <w:t>depen</w:t>
      </w:r>
      <w:r>
        <w:rPr>
          <w:rFonts w:ascii="Arial" w:hAnsi="Arial" w:eastAsia="Arial" w:cs="Arial"/>
          <w:spacing w:val="-6"/>
          <w:sz w:val="19"/>
          <w:szCs w:val="19"/>
        </w:rPr>
        <w:t>dent variables</w:t>
      </w:r>
      <w:r>
        <w:rPr>
          <w:rFonts w:ascii="Arial" w:hAnsi="Arial" w:eastAsia="Arial" w:cs="Arial"/>
          <w:spacing w:val="6"/>
          <w:sz w:val="19"/>
          <w:szCs w:val="19"/>
        </w:rPr>
        <w:t xml:space="preserve"> </w:t>
      </w:r>
      <w:r>
        <w:rPr>
          <w:rFonts w:ascii="Arial" w:hAnsi="Arial" w:eastAsia="Arial" w:cs="Arial"/>
          <w:spacing w:val="-6"/>
          <w:sz w:val="19"/>
          <w:szCs w:val="19"/>
        </w:rPr>
        <w:t>o</w:t>
      </w:r>
      <w:r>
        <w:rPr>
          <w:rFonts w:ascii="Arial" w:hAnsi="Arial" w:eastAsia="Arial" w:cs="Arial"/>
          <w:spacing w:val="6"/>
          <w:sz w:val="19"/>
          <w:szCs w:val="19"/>
        </w:rPr>
        <w:t>f</w:t>
      </w:r>
      <w:r>
        <w:rPr>
          <w:rFonts w:ascii="Arial" w:hAnsi="Arial" w:eastAsia="Arial" w:cs="Arial"/>
          <w:sz w:val="19"/>
          <w:szCs w:val="19"/>
        </w:rPr>
        <w:t xml:space="preserve"> </w:t>
      </w:r>
      <w:r>
        <w:rPr>
          <w:rFonts w:ascii="Arial" w:hAnsi="Arial" w:eastAsia="Arial" w:cs="Arial"/>
          <w:spacing w:val="-7"/>
          <w:sz w:val="19"/>
          <w:szCs w:val="19"/>
        </w:rPr>
        <w:t>our</w:t>
      </w:r>
      <w:r>
        <w:rPr>
          <w:rFonts w:ascii="Arial" w:hAnsi="Arial" w:eastAsia="Arial" w:cs="Arial"/>
          <w:spacing w:val="17"/>
          <w:w w:val="101"/>
          <w:sz w:val="19"/>
          <w:szCs w:val="19"/>
        </w:rPr>
        <w:t xml:space="preserve"> </w:t>
      </w:r>
      <w:r>
        <w:rPr>
          <w:rFonts w:ascii="Arial" w:hAnsi="Arial" w:eastAsia="Arial" w:cs="Arial"/>
          <w:spacing w:val="-7"/>
          <w:sz w:val="19"/>
          <w:szCs w:val="19"/>
        </w:rPr>
        <w:t>research</w:t>
      </w:r>
      <w:r>
        <w:rPr>
          <w:rFonts w:ascii="Arial" w:hAnsi="Arial" w:eastAsia="Arial" w:cs="Arial"/>
          <w:spacing w:val="18"/>
          <w:w w:val="101"/>
          <w:sz w:val="19"/>
          <w:szCs w:val="19"/>
        </w:rPr>
        <w:t xml:space="preserve"> </w:t>
      </w:r>
      <w:r>
        <w:rPr>
          <w:rFonts w:ascii="Arial" w:hAnsi="Arial" w:eastAsia="Arial" w:cs="Arial"/>
          <w:spacing w:val="-7"/>
          <w:sz w:val="19"/>
          <w:szCs w:val="19"/>
        </w:rPr>
        <w:t>model.</w:t>
      </w:r>
    </w:p>
    <w:p>
      <w:pPr>
        <w:spacing w:line="409" w:lineRule="auto"/>
        <w:rPr>
          <w:rFonts w:ascii="Arial"/>
          <w:sz w:val="21"/>
        </w:rPr>
      </w:pPr>
    </w:p>
    <w:p>
      <w:pPr>
        <w:spacing w:before="61" w:line="192" w:lineRule="auto"/>
        <w:ind w:left="17"/>
        <w:outlineLvl w:val="2"/>
        <w:rPr>
          <w:rFonts w:ascii="Arial" w:hAnsi="Arial" w:eastAsia="Arial" w:cs="Arial"/>
          <w:sz w:val="21"/>
          <w:szCs w:val="21"/>
        </w:rPr>
      </w:pPr>
      <w:r>
        <w:rPr>
          <w:rFonts w:ascii="Arial" w:hAnsi="Arial" w:eastAsia="Arial" w:cs="Arial"/>
          <w:color w:val="282781"/>
          <w:spacing w:val="-7"/>
          <w:sz w:val="21"/>
          <w:szCs w:val="21"/>
        </w:rPr>
        <w:t>Results</w:t>
      </w:r>
    </w:p>
    <w:p>
      <w:pPr>
        <w:spacing w:before="170" w:line="198" w:lineRule="auto"/>
        <w:ind w:left="7"/>
        <w:outlineLvl w:val="3"/>
        <w:rPr>
          <w:rFonts w:ascii="Arial" w:hAnsi="Arial" w:eastAsia="Arial" w:cs="Arial"/>
          <w:sz w:val="20"/>
          <w:szCs w:val="20"/>
        </w:rPr>
      </w:pPr>
      <w:r>
        <w:rPr>
          <w:rFonts w:ascii="Arial" w:hAnsi="Arial" w:eastAsia="Arial" w:cs="Arial"/>
          <w:color w:val="282781"/>
          <w:spacing w:val="-3"/>
          <w:sz w:val="20"/>
          <w:szCs w:val="20"/>
        </w:rPr>
        <w:t>Exploratory factor analysis</w:t>
      </w:r>
      <w:r>
        <w:rPr>
          <w:rFonts w:ascii="Arial" w:hAnsi="Arial" w:eastAsia="Arial" w:cs="Arial"/>
          <w:color w:val="282781"/>
          <w:spacing w:val="24"/>
          <w:w w:val="101"/>
          <w:sz w:val="20"/>
          <w:szCs w:val="20"/>
        </w:rPr>
        <w:t xml:space="preserve"> </w:t>
      </w:r>
      <w:r>
        <w:rPr>
          <w:rFonts w:ascii="Arial" w:hAnsi="Arial" w:eastAsia="Arial" w:cs="Arial"/>
          <w:color w:val="282781"/>
          <w:spacing w:val="-3"/>
          <w:sz w:val="20"/>
          <w:szCs w:val="20"/>
        </w:rPr>
        <w:t>(EFA)</w:t>
      </w:r>
    </w:p>
    <w:p>
      <w:pPr>
        <w:spacing w:before="151" w:line="256" w:lineRule="auto"/>
        <w:ind w:left="14" w:right="6" w:firstLine="4"/>
        <w:jc w:val="both"/>
        <w:rPr>
          <w:rFonts w:ascii="Arial" w:hAnsi="Arial" w:eastAsia="Arial" w:cs="Arial"/>
          <w:sz w:val="19"/>
          <w:szCs w:val="19"/>
        </w:rPr>
      </w:pPr>
      <w:r>
        <w:rPr>
          <w:rFonts w:ascii="Arial" w:hAnsi="Arial" w:eastAsia="Arial" w:cs="Arial"/>
          <w:spacing w:val="-6"/>
          <w:sz w:val="19"/>
          <w:szCs w:val="19"/>
        </w:rPr>
        <w:t>First</w:t>
      </w:r>
      <w:r>
        <w:rPr>
          <w:rFonts w:ascii="Arial" w:hAnsi="Arial" w:eastAsia="Arial" w:cs="Arial"/>
          <w:spacing w:val="14"/>
          <w:w w:val="101"/>
          <w:sz w:val="19"/>
          <w:szCs w:val="19"/>
        </w:rPr>
        <w:t xml:space="preserve"> </w:t>
      </w:r>
      <w:r>
        <w:rPr>
          <w:rFonts w:ascii="Arial" w:hAnsi="Arial" w:eastAsia="Arial" w:cs="Arial"/>
          <w:spacing w:val="-6"/>
          <w:sz w:val="19"/>
          <w:szCs w:val="19"/>
        </w:rPr>
        <w:t>of all,</w:t>
      </w:r>
      <w:r>
        <w:rPr>
          <w:rFonts w:ascii="Arial" w:hAnsi="Arial" w:eastAsia="Arial" w:cs="Arial"/>
          <w:spacing w:val="12"/>
          <w:sz w:val="19"/>
          <w:szCs w:val="19"/>
        </w:rPr>
        <w:t xml:space="preserve"> </w:t>
      </w:r>
      <w:r>
        <w:rPr>
          <w:rFonts w:ascii="Arial" w:hAnsi="Arial" w:eastAsia="Arial" w:cs="Arial"/>
          <w:spacing w:val="-6"/>
          <w:sz w:val="19"/>
          <w:szCs w:val="19"/>
        </w:rPr>
        <w:t>the</w:t>
      </w:r>
      <w:r>
        <w:rPr>
          <w:rFonts w:ascii="Arial" w:hAnsi="Arial" w:eastAsia="Arial" w:cs="Arial"/>
          <w:spacing w:val="22"/>
          <w:w w:val="101"/>
          <w:sz w:val="19"/>
          <w:szCs w:val="19"/>
        </w:rPr>
        <w:t xml:space="preserve"> </w:t>
      </w:r>
      <w:r>
        <w:rPr>
          <w:rFonts w:ascii="Arial" w:hAnsi="Arial" w:eastAsia="Arial" w:cs="Arial"/>
          <w:spacing w:val="-6"/>
          <w:sz w:val="19"/>
          <w:szCs w:val="19"/>
        </w:rPr>
        <w:t>Kaiser-Mayer-Olkin</w:t>
      </w:r>
      <w:r>
        <w:rPr>
          <w:rFonts w:ascii="Arial" w:hAnsi="Arial" w:eastAsia="Arial" w:cs="Arial"/>
          <w:spacing w:val="21"/>
          <w:sz w:val="19"/>
          <w:szCs w:val="19"/>
        </w:rPr>
        <w:t xml:space="preserve"> </w:t>
      </w:r>
      <w:r>
        <w:rPr>
          <w:rFonts w:ascii="Arial" w:hAnsi="Arial" w:eastAsia="Arial" w:cs="Arial"/>
          <w:spacing w:val="-6"/>
          <w:sz w:val="19"/>
          <w:szCs w:val="19"/>
        </w:rPr>
        <w:t>(KMO)</w:t>
      </w:r>
      <w:r>
        <w:rPr>
          <w:rFonts w:ascii="Arial" w:hAnsi="Arial" w:eastAsia="Arial" w:cs="Arial"/>
          <w:spacing w:val="16"/>
          <w:sz w:val="19"/>
          <w:szCs w:val="19"/>
        </w:rPr>
        <w:t xml:space="preserve"> </w:t>
      </w:r>
      <w:r>
        <w:rPr>
          <w:rFonts w:ascii="Arial" w:hAnsi="Arial" w:eastAsia="Arial" w:cs="Arial"/>
          <w:spacing w:val="-6"/>
          <w:sz w:val="19"/>
          <w:szCs w:val="19"/>
        </w:rPr>
        <w:t>and</w:t>
      </w:r>
      <w:r>
        <w:rPr>
          <w:rFonts w:ascii="Arial" w:hAnsi="Arial" w:eastAsia="Arial" w:cs="Arial"/>
          <w:spacing w:val="21"/>
          <w:w w:val="101"/>
          <w:sz w:val="19"/>
          <w:szCs w:val="19"/>
        </w:rPr>
        <w:t xml:space="preserve"> </w:t>
      </w:r>
      <w:r>
        <w:rPr>
          <w:rFonts w:ascii="Arial" w:hAnsi="Arial" w:eastAsia="Arial" w:cs="Arial"/>
          <w:spacing w:val="-6"/>
          <w:sz w:val="19"/>
          <w:szCs w:val="19"/>
        </w:rPr>
        <w:t>Bartlett’s</w:t>
      </w:r>
      <w:r>
        <w:rPr>
          <w:rFonts w:ascii="Arial" w:hAnsi="Arial" w:eastAsia="Arial" w:cs="Arial"/>
          <w:spacing w:val="10"/>
          <w:sz w:val="19"/>
          <w:szCs w:val="19"/>
        </w:rPr>
        <w:t xml:space="preserve"> </w:t>
      </w:r>
      <w:r>
        <w:rPr>
          <w:rFonts w:ascii="Arial" w:hAnsi="Arial" w:eastAsia="Arial" w:cs="Arial"/>
          <w:spacing w:val="-6"/>
          <w:sz w:val="19"/>
          <w:szCs w:val="19"/>
        </w:rPr>
        <w:t>test</w:t>
      </w:r>
      <w:r>
        <w:rPr>
          <w:rFonts w:ascii="Arial" w:hAnsi="Arial" w:eastAsia="Arial" w:cs="Arial"/>
          <w:spacing w:val="10"/>
          <w:sz w:val="19"/>
          <w:szCs w:val="19"/>
        </w:rPr>
        <w:t xml:space="preserve"> </w:t>
      </w:r>
      <w:r>
        <w:rPr>
          <w:rFonts w:ascii="Arial" w:hAnsi="Arial" w:eastAsia="Arial" w:cs="Arial"/>
          <w:spacing w:val="-6"/>
          <w:sz w:val="19"/>
          <w:szCs w:val="19"/>
        </w:rPr>
        <w:t>for</w:t>
      </w:r>
      <w:r>
        <w:rPr>
          <w:rFonts w:ascii="Arial" w:hAnsi="Arial" w:eastAsia="Arial" w:cs="Arial"/>
          <w:spacing w:val="16"/>
          <w:sz w:val="19"/>
          <w:szCs w:val="19"/>
        </w:rPr>
        <w:t xml:space="preserve"> </w:t>
      </w:r>
      <w:r>
        <w:rPr>
          <w:rFonts w:ascii="Arial" w:hAnsi="Arial" w:eastAsia="Arial" w:cs="Arial"/>
          <w:spacing w:val="-6"/>
          <w:sz w:val="19"/>
          <w:szCs w:val="19"/>
        </w:rPr>
        <w:t>sampling</w:t>
      </w:r>
      <w:r>
        <w:rPr>
          <w:rFonts w:ascii="Arial" w:hAnsi="Arial" w:eastAsia="Arial" w:cs="Arial"/>
          <w:spacing w:val="14"/>
          <w:sz w:val="19"/>
          <w:szCs w:val="19"/>
        </w:rPr>
        <w:t xml:space="preserve"> </w:t>
      </w:r>
      <w:r>
        <w:rPr>
          <w:rFonts w:ascii="Arial" w:hAnsi="Arial" w:eastAsia="Arial" w:cs="Arial"/>
          <w:spacing w:val="-6"/>
          <w:sz w:val="19"/>
          <w:szCs w:val="19"/>
        </w:rPr>
        <w:t>adequacy</w:t>
      </w:r>
      <w:r>
        <w:rPr>
          <w:rFonts w:ascii="Arial" w:hAnsi="Arial" w:eastAsia="Arial" w:cs="Arial"/>
          <w:spacing w:val="10"/>
          <w:sz w:val="19"/>
          <w:szCs w:val="19"/>
        </w:rPr>
        <w:t xml:space="preserve"> </w:t>
      </w:r>
      <w:r>
        <w:rPr>
          <w:rFonts w:ascii="Arial" w:hAnsi="Arial" w:eastAsia="Arial" w:cs="Arial"/>
          <w:spacing w:val="-6"/>
          <w:sz w:val="19"/>
          <w:szCs w:val="19"/>
        </w:rPr>
        <w:t>were</w:t>
      </w:r>
      <w:r>
        <w:rPr>
          <w:rFonts w:ascii="Arial" w:hAnsi="Arial" w:eastAsia="Arial" w:cs="Arial"/>
          <w:spacing w:val="15"/>
          <w:w w:val="101"/>
          <w:sz w:val="19"/>
          <w:szCs w:val="19"/>
        </w:rPr>
        <w:t xml:space="preserve"> </w:t>
      </w:r>
      <w:r>
        <w:rPr>
          <w:rFonts w:ascii="Arial" w:hAnsi="Arial" w:eastAsia="Arial" w:cs="Arial"/>
          <w:spacing w:val="-6"/>
          <w:sz w:val="19"/>
          <w:szCs w:val="19"/>
        </w:rPr>
        <w:t>sign</w:t>
      </w:r>
      <w:r>
        <w:rPr>
          <w:rFonts w:ascii="Arial" w:hAnsi="Arial" w:eastAsia="Arial" w:cs="Arial"/>
          <w:spacing w:val="-7"/>
          <w:sz w:val="19"/>
          <w:szCs w:val="19"/>
        </w:rPr>
        <w:t>iicant</w:t>
      </w:r>
      <w:r>
        <w:rPr>
          <w:rFonts w:ascii="Arial" w:hAnsi="Arial" w:eastAsia="Arial" w:cs="Arial"/>
          <w:sz w:val="19"/>
          <w:szCs w:val="19"/>
        </w:rPr>
        <w:t xml:space="preserve"> </w:t>
      </w:r>
      <w:r>
        <w:rPr>
          <w:rFonts w:ascii="Arial" w:hAnsi="Arial" w:eastAsia="Arial" w:cs="Arial"/>
          <w:spacing w:val="-8"/>
          <w:sz w:val="19"/>
          <w:szCs w:val="19"/>
        </w:rPr>
        <w:t>(KMO = .893,</w:t>
      </w:r>
      <w:r>
        <w:rPr>
          <w:rFonts w:ascii="Arial" w:hAnsi="Arial" w:eastAsia="Arial" w:cs="Arial"/>
          <w:spacing w:val="39"/>
          <w:sz w:val="19"/>
          <w:szCs w:val="19"/>
        </w:rPr>
        <w:t xml:space="preserve"> </w:t>
      </w:r>
      <w:r>
        <w:rPr>
          <w:rFonts w:ascii="Arial" w:hAnsi="Arial" w:eastAsia="Arial" w:cs="Arial"/>
          <w:spacing w:val="-8"/>
          <w:sz w:val="19"/>
          <w:szCs w:val="19"/>
        </w:rPr>
        <w:t>Bartlett-Test:</w:t>
      </w:r>
      <w:r>
        <w:rPr>
          <w:rFonts w:ascii="Arial" w:hAnsi="Arial" w:eastAsia="Arial" w:cs="Arial"/>
          <w:spacing w:val="25"/>
          <w:w w:val="101"/>
          <w:sz w:val="19"/>
          <w:szCs w:val="19"/>
        </w:rPr>
        <w:t xml:space="preserve"> </w:t>
      </w:r>
      <w:r>
        <w:rPr>
          <w:rFonts w:ascii="Arial" w:hAnsi="Arial" w:eastAsia="Arial" w:cs="Arial"/>
          <w:spacing w:val="-8"/>
          <w:sz w:val="19"/>
          <w:szCs w:val="19"/>
        </w:rPr>
        <w:t xml:space="preserve">χ²(351) = </w:t>
      </w:r>
      <w:r>
        <w:rPr>
          <w:rFonts w:ascii="Arial" w:hAnsi="Arial" w:eastAsia="Arial" w:cs="Arial"/>
          <w:spacing w:val="-9"/>
          <w:sz w:val="19"/>
          <w:szCs w:val="19"/>
        </w:rPr>
        <w:t>4340.486,</w:t>
      </w:r>
      <w:r>
        <w:rPr>
          <w:rFonts w:ascii="Arial" w:hAnsi="Arial" w:eastAsia="Arial" w:cs="Arial"/>
          <w:spacing w:val="21"/>
          <w:w w:val="101"/>
          <w:sz w:val="19"/>
          <w:szCs w:val="19"/>
        </w:rPr>
        <w:t xml:space="preserve"> </w:t>
      </w:r>
      <w:r>
        <w:rPr>
          <w:rFonts w:ascii="Arial" w:hAnsi="Arial" w:eastAsia="Arial" w:cs="Arial"/>
          <w:spacing w:val="-9"/>
          <w:sz w:val="19"/>
          <w:szCs w:val="19"/>
        </w:rPr>
        <w:t>p &lt; .001).</w:t>
      </w:r>
      <w:r>
        <w:rPr>
          <w:rFonts w:ascii="Arial" w:hAnsi="Arial" w:eastAsia="Arial" w:cs="Arial"/>
          <w:spacing w:val="31"/>
          <w:w w:val="101"/>
          <w:sz w:val="19"/>
          <w:szCs w:val="19"/>
        </w:rPr>
        <w:t xml:space="preserve"> </w:t>
      </w:r>
      <w:r>
        <w:rPr>
          <w:rFonts w:ascii="Arial" w:hAnsi="Arial" w:eastAsia="Arial" w:cs="Arial"/>
          <w:spacing w:val="-9"/>
          <w:sz w:val="19"/>
          <w:szCs w:val="19"/>
        </w:rPr>
        <w:t>Communalities</w:t>
      </w:r>
      <w:r>
        <w:rPr>
          <w:rFonts w:ascii="Arial" w:hAnsi="Arial" w:eastAsia="Arial" w:cs="Arial"/>
          <w:spacing w:val="36"/>
          <w:w w:val="101"/>
          <w:sz w:val="19"/>
          <w:szCs w:val="19"/>
        </w:rPr>
        <w:t xml:space="preserve"> </w:t>
      </w:r>
      <w:r>
        <w:rPr>
          <w:rFonts w:ascii="Arial" w:hAnsi="Arial" w:eastAsia="Arial" w:cs="Arial"/>
          <w:spacing w:val="-9"/>
          <w:sz w:val="19"/>
          <w:szCs w:val="19"/>
        </w:rPr>
        <w:t>ranged</w:t>
      </w:r>
      <w:r>
        <w:rPr>
          <w:rFonts w:ascii="Arial" w:hAnsi="Arial" w:eastAsia="Arial" w:cs="Arial"/>
          <w:spacing w:val="37"/>
          <w:sz w:val="19"/>
          <w:szCs w:val="19"/>
        </w:rPr>
        <w:t xml:space="preserve"> </w:t>
      </w:r>
      <w:r>
        <w:rPr>
          <w:rFonts w:ascii="Arial" w:hAnsi="Arial" w:eastAsia="Arial" w:cs="Arial"/>
          <w:spacing w:val="-9"/>
          <w:sz w:val="19"/>
          <w:szCs w:val="19"/>
        </w:rPr>
        <w:t>between</w:t>
      </w:r>
      <w:r>
        <w:rPr>
          <w:rFonts w:ascii="Arial" w:hAnsi="Arial" w:eastAsia="Arial" w:cs="Arial"/>
          <w:spacing w:val="29"/>
          <w:sz w:val="19"/>
          <w:szCs w:val="19"/>
        </w:rPr>
        <w:t xml:space="preserve"> </w:t>
      </w:r>
      <w:r>
        <w:rPr>
          <w:rFonts w:ascii="Arial" w:hAnsi="Arial" w:eastAsia="Arial" w:cs="Arial"/>
          <w:spacing w:val="-9"/>
          <w:sz w:val="19"/>
          <w:szCs w:val="19"/>
        </w:rPr>
        <w:t>h2 = .590-</w:t>
      </w:r>
      <w:r>
        <w:rPr>
          <w:rFonts w:ascii="Arial" w:hAnsi="Arial" w:eastAsia="Arial" w:cs="Arial"/>
          <w:sz w:val="19"/>
          <w:szCs w:val="19"/>
        </w:rPr>
        <w:t xml:space="preserve"> </w:t>
      </w:r>
      <w:r>
        <w:rPr>
          <w:rFonts w:ascii="Arial" w:hAnsi="Arial" w:eastAsia="Arial" w:cs="Arial"/>
          <w:spacing w:val="-6"/>
          <w:sz w:val="19"/>
          <w:szCs w:val="19"/>
        </w:rPr>
        <w:t>.867</w:t>
      </w:r>
      <w:r>
        <w:rPr>
          <w:rFonts w:ascii="Arial" w:hAnsi="Arial" w:eastAsia="Arial" w:cs="Arial"/>
          <w:spacing w:val="11"/>
          <w:sz w:val="19"/>
          <w:szCs w:val="19"/>
        </w:rPr>
        <w:t xml:space="preserve"> </w:t>
      </w:r>
      <w:r>
        <w:rPr>
          <w:rFonts w:ascii="Arial" w:hAnsi="Arial" w:eastAsia="Arial" w:cs="Arial"/>
          <w:spacing w:val="-6"/>
          <w:sz w:val="19"/>
          <w:szCs w:val="19"/>
        </w:rPr>
        <w:t>with</w:t>
      </w:r>
      <w:r>
        <w:rPr>
          <w:rFonts w:ascii="Arial" w:hAnsi="Arial" w:eastAsia="Arial" w:cs="Arial"/>
          <w:spacing w:val="14"/>
          <w:w w:val="101"/>
          <w:sz w:val="19"/>
          <w:szCs w:val="19"/>
        </w:rPr>
        <w:t xml:space="preserve"> </w:t>
      </w:r>
      <w:r>
        <w:rPr>
          <w:rFonts w:ascii="Arial" w:hAnsi="Arial" w:eastAsia="Arial" w:cs="Arial"/>
          <w:spacing w:val="-6"/>
          <w:sz w:val="19"/>
          <w:szCs w:val="19"/>
        </w:rPr>
        <w:t>an</w:t>
      </w:r>
      <w:r>
        <w:rPr>
          <w:rFonts w:ascii="Arial" w:hAnsi="Arial" w:eastAsia="Arial" w:cs="Arial"/>
          <w:spacing w:val="14"/>
          <w:sz w:val="19"/>
          <w:szCs w:val="19"/>
        </w:rPr>
        <w:t xml:space="preserve"> </w:t>
      </w:r>
      <w:r>
        <w:rPr>
          <w:rFonts w:ascii="Arial" w:hAnsi="Arial" w:eastAsia="Arial" w:cs="Arial"/>
          <w:spacing w:val="-6"/>
          <w:sz w:val="19"/>
          <w:szCs w:val="19"/>
        </w:rPr>
        <w:t>average</w:t>
      </w:r>
      <w:r>
        <w:rPr>
          <w:rFonts w:ascii="Arial" w:hAnsi="Arial" w:eastAsia="Arial" w:cs="Arial"/>
          <w:spacing w:val="14"/>
          <w:sz w:val="19"/>
          <w:szCs w:val="19"/>
        </w:rPr>
        <w:t xml:space="preserve"> </w:t>
      </w:r>
      <w:r>
        <w:rPr>
          <w:rFonts w:ascii="Arial" w:hAnsi="Arial" w:eastAsia="Arial" w:cs="Arial"/>
          <w:spacing w:val="-6"/>
          <w:sz w:val="19"/>
          <w:szCs w:val="19"/>
        </w:rPr>
        <w:t>of h2 = .746. This</w:t>
      </w:r>
      <w:r>
        <w:rPr>
          <w:rFonts w:ascii="Arial" w:hAnsi="Arial" w:eastAsia="Arial" w:cs="Arial"/>
          <w:spacing w:val="19"/>
          <w:sz w:val="19"/>
          <w:szCs w:val="19"/>
        </w:rPr>
        <w:t xml:space="preserve"> </w:t>
      </w:r>
      <w:r>
        <w:rPr>
          <w:rFonts w:ascii="Arial" w:hAnsi="Arial" w:eastAsia="Arial" w:cs="Arial"/>
          <w:spacing w:val="-6"/>
          <w:sz w:val="19"/>
          <w:szCs w:val="19"/>
        </w:rPr>
        <w:t>indicates</w:t>
      </w:r>
      <w:r>
        <w:rPr>
          <w:rFonts w:ascii="Arial" w:hAnsi="Arial" w:eastAsia="Arial" w:cs="Arial"/>
          <w:spacing w:val="11"/>
          <w:sz w:val="19"/>
          <w:szCs w:val="19"/>
        </w:rPr>
        <w:t xml:space="preserve"> </w:t>
      </w:r>
      <w:r>
        <w:rPr>
          <w:rFonts w:ascii="Arial" w:hAnsi="Arial" w:eastAsia="Arial" w:cs="Arial"/>
          <w:spacing w:val="-6"/>
          <w:sz w:val="19"/>
          <w:szCs w:val="19"/>
        </w:rPr>
        <w:t>that</w:t>
      </w:r>
      <w:r>
        <w:rPr>
          <w:rFonts w:ascii="Arial" w:hAnsi="Arial" w:eastAsia="Arial" w:cs="Arial"/>
          <w:spacing w:val="11"/>
          <w:sz w:val="19"/>
          <w:szCs w:val="19"/>
        </w:rPr>
        <w:t xml:space="preserve"> </w:t>
      </w:r>
      <w:r>
        <w:rPr>
          <w:rFonts w:ascii="Arial" w:hAnsi="Arial" w:eastAsia="Arial" w:cs="Arial"/>
          <w:spacing w:val="-6"/>
          <w:sz w:val="19"/>
          <w:szCs w:val="19"/>
        </w:rPr>
        <w:t>the</w:t>
      </w:r>
      <w:r>
        <w:rPr>
          <w:rFonts w:ascii="Arial" w:hAnsi="Arial" w:eastAsia="Arial" w:cs="Arial"/>
          <w:spacing w:val="15"/>
          <w:w w:val="101"/>
          <w:sz w:val="19"/>
          <w:szCs w:val="19"/>
        </w:rPr>
        <w:t xml:space="preserve"> </w:t>
      </w:r>
      <w:r>
        <w:rPr>
          <w:rFonts w:ascii="Arial" w:hAnsi="Arial" w:eastAsia="Arial" w:cs="Arial"/>
          <w:spacing w:val="-6"/>
          <w:sz w:val="19"/>
          <w:szCs w:val="19"/>
        </w:rPr>
        <w:t>chosen</w:t>
      </w:r>
      <w:r>
        <w:rPr>
          <w:rFonts w:ascii="Arial" w:hAnsi="Arial" w:eastAsia="Arial" w:cs="Arial"/>
          <w:spacing w:val="20"/>
          <w:w w:val="101"/>
          <w:sz w:val="19"/>
          <w:szCs w:val="19"/>
        </w:rPr>
        <w:t xml:space="preserve"> </w:t>
      </w:r>
      <w:r>
        <w:rPr>
          <w:rFonts w:ascii="Arial" w:hAnsi="Arial" w:eastAsia="Arial" w:cs="Arial"/>
          <w:spacing w:val="-6"/>
          <w:sz w:val="19"/>
          <w:szCs w:val="19"/>
        </w:rPr>
        <w:t>items</w:t>
      </w:r>
      <w:r>
        <w:rPr>
          <w:rFonts w:ascii="Arial" w:hAnsi="Arial" w:eastAsia="Arial" w:cs="Arial"/>
          <w:spacing w:val="12"/>
          <w:sz w:val="19"/>
          <w:szCs w:val="19"/>
        </w:rPr>
        <w:t xml:space="preserve"> </w:t>
      </w:r>
      <w:r>
        <w:rPr>
          <w:rFonts w:ascii="Arial" w:hAnsi="Arial" w:eastAsia="Arial" w:cs="Arial"/>
          <w:spacing w:val="-6"/>
          <w:sz w:val="19"/>
          <w:szCs w:val="19"/>
        </w:rPr>
        <w:t>wer</w:t>
      </w:r>
      <w:r>
        <w:rPr>
          <w:rFonts w:ascii="Arial" w:hAnsi="Arial" w:eastAsia="Arial" w:cs="Arial"/>
          <w:spacing w:val="-7"/>
          <w:sz w:val="19"/>
          <w:szCs w:val="19"/>
        </w:rPr>
        <w:t>e</w:t>
      </w:r>
      <w:r>
        <w:rPr>
          <w:rFonts w:ascii="Arial" w:hAnsi="Arial" w:eastAsia="Arial" w:cs="Arial"/>
          <w:spacing w:val="14"/>
          <w:w w:val="101"/>
          <w:sz w:val="19"/>
          <w:szCs w:val="19"/>
        </w:rPr>
        <w:t xml:space="preserve"> </w:t>
      </w:r>
      <w:r>
        <w:rPr>
          <w:rFonts w:ascii="Arial" w:hAnsi="Arial" w:eastAsia="Arial" w:cs="Arial"/>
          <w:spacing w:val="-7"/>
          <w:sz w:val="19"/>
          <w:szCs w:val="19"/>
        </w:rPr>
        <w:t>adequately</w:t>
      </w:r>
      <w:r>
        <w:rPr>
          <w:rFonts w:ascii="Arial" w:hAnsi="Arial" w:eastAsia="Arial" w:cs="Arial"/>
          <w:spacing w:val="15"/>
          <w:sz w:val="19"/>
          <w:szCs w:val="19"/>
        </w:rPr>
        <w:t xml:space="preserve"> </w:t>
      </w:r>
      <w:r>
        <w:rPr>
          <w:rFonts w:ascii="Arial" w:hAnsi="Arial" w:eastAsia="Arial" w:cs="Arial"/>
          <w:spacing w:val="-7"/>
          <w:sz w:val="19"/>
          <w:szCs w:val="19"/>
        </w:rPr>
        <w:t>correlated</w:t>
      </w:r>
      <w:r>
        <w:rPr>
          <w:rFonts w:ascii="Arial" w:hAnsi="Arial" w:eastAsia="Arial" w:cs="Arial"/>
          <w:sz w:val="19"/>
          <w:szCs w:val="19"/>
        </w:rPr>
        <w:t xml:space="preserve"> </w:t>
      </w:r>
      <w:r>
        <w:rPr>
          <w:rFonts w:ascii="Arial" w:hAnsi="Arial" w:eastAsia="Arial" w:cs="Arial"/>
          <w:spacing w:val="-6"/>
          <w:sz w:val="19"/>
          <w:szCs w:val="19"/>
        </w:rPr>
        <w:t>in</w:t>
      </w:r>
      <w:r>
        <w:rPr>
          <w:rFonts w:ascii="Arial" w:hAnsi="Arial" w:eastAsia="Arial" w:cs="Arial"/>
          <w:spacing w:val="38"/>
          <w:sz w:val="19"/>
          <w:szCs w:val="19"/>
        </w:rPr>
        <w:t xml:space="preserve"> </w:t>
      </w:r>
      <w:r>
        <w:rPr>
          <w:rFonts w:ascii="Arial" w:hAnsi="Arial" w:eastAsia="Arial" w:cs="Arial"/>
          <w:spacing w:val="-6"/>
          <w:sz w:val="19"/>
          <w:szCs w:val="19"/>
        </w:rPr>
        <w:t>order</w:t>
      </w:r>
      <w:r>
        <w:rPr>
          <w:rFonts w:ascii="Arial" w:hAnsi="Arial" w:eastAsia="Arial" w:cs="Arial"/>
          <w:spacing w:val="24"/>
          <w:sz w:val="19"/>
          <w:szCs w:val="19"/>
        </w:rPr>
        <w:t xml:space="preserve"> </w:t>
      </w:r>
      <w:r>
        <w:rPr>
          <w:rFonts w:ascii="Arial" w:hAnsi="Arial" w:eastAsia="Arial" w:cs="Arial"/>
          <w:spacing w:val="-6"/>
          <w:sz w:val="19"/>
          <w:szCs w:val="19"/>
        </w:rPr>
        <w:t>to</w:t>
      </w:r>
      <w:r>
        <w:rPr>
          <w:rFonts w:ascii="Arial" w:hAnsi="Arial" w:eastAsia="Arial" w:cs="Arial"/>
          <w:spacing w:val="32"/>
          <w:sz w:val="19"/>
          <w:szCs w:val="19"/>
        </w:rPr>
        <w:t xml:space="preserve"> </w:t>
      </w:r>
      <w:r>
        <w:rPr>
          <w:rFonts w:ascii="Arial" w:hAnsi="Arial" w:eastAsia="Arial" w:cs="Arial"/>
          <w:spacing w:val="-6"/>
          <w:sz w:val="19"/>
          <w:szCs w:val="19"/>
        </w:rPr>
        <w:t>perform</w:t>
      </w:r>
      <w:r>
        <w:rPr>
          <w:rFonts w:ascii="Arial" w:hAnsi="Arial" w:eastAsia="Arial" w:cs="Arial"/>
          <w:spacing w:val="26"/>
          <w:w w:val="101"/>
          <w:sz w:val="19"/>
          <w:szCs w:val="19"/>
        </w:rPr>
        <w:t xml:space="preserve"> </w:t>
      </w:r>
      <w:r>
        <w:rPr>
          <w:rFonts w:ascii="Arial" w:hAnsi="Arial" w:eastAsia="Arial" w:cs="Arial"/>
          <w:spacing w:val="-6"/>
          <w:sz w:val="19"/>
          <w:szCs w:val="19"/>
        </w:rPr>
        <w:t>a</w:t>
      </w:r>
      <w:r>
        <w:rPr>
          <w:rFonts w:ascii="Arial" w:hAnsi="Arial" w:eastAsia="Arial" w:cs="Arial"/>
          <w:spacing w:val="22"/>
          <w:w w:val="101"/>
          <w:sz w:val="19"/>
          <w:szCs w:val="19"/>
        </w:rPr>
        <w:t xml:space="preserve"> </w:t>
      </w:r>
      <w:r>
        <w:rPr>
          <w:rFonts w:ascii="Arial" w:hAnsi="Arial" w:eastAsia="Arial" w:cs="Arial"/>
          <w:spacing w:val="-6"/>
          <w:sz w:val="19"/>
          <w:szCs w:val="19"/>
        </w:rPr>
        <w:t>factor</w:t>
      </w:r>
      <w:r>
        <w:rPr>
          <w:rFonts w:ascii="Arial" w:hAnsi="Arial" w:eastAsia="Arial" w:cs="Arial"/>
          <w:spacing w:val="27"/>
          <w:sz w:val="19"/>
          <w:szCs w:val="19"/>
        </w:rPr>
        <w:t xml:space="preserve"> </w:t>
      </w:r>
      <w:r>
        <w:rPr>
          <w:rFonts w:ascii="Arial" w:hAnsi="Arial" w:eastAsia="Arial" w:cs="Arial"/>
          <w:spacing w:val="-6"/>
          <w:sz w:val="19"/>
          <w:szCs w:val="19"/>
        </w:rPr>
        <w:t>analysis.</w:t>
      </w:r>
      <w:r>
        <w:rPr>
          <w:rFonts w:ascii="Arial" w:hAnsi="Arial" w:eastAsia="Arial" w:cs="Arial"/>
          <w:spacing w:val="31"/>
          <w:sz w:val="19"/>
          <w:szCs w:val="19"/>
        </w:rPr>
        <w:t xml:space="preserve"> </w:t>
      </w:r>
      <w:r>
        <w:rPr>
          <w:rFonts w:ascii="Arial" w:hAnsi="Arial" w:eastAsia="Arial" w:cs="Arial"/>
          <w:spacing w:val="-6"/>
          <w:sz w:val="19"/>
          <w:szCs w:val="19"/>
        </w:rPr>
        <w:t>Moreover,</w:t>
      </w:r>
      <w:r>
        <w:rPr>
          <w:rFonts w:ascii="Arial" w:hAnsi="Arial" w:eastAsia="Arial" w:cs="Arial"/>
          <w:spacing w:val="25"/>
          <w:w w:val="101"/>
          <w:sz w:val="19"/>
          <w:szCs w:val="19"/>
        </w:rPr>
        <w:t xml:space="preserve"> </w:t>
      </w:r>
      <w:r>
        <w:rPr>
          <w:rFonts w:ascii="Arial" w:hAnsi="Arial" w:eastAsia="Arial" w:cs="Arial"/>
          <w:spacing w:val="-6"/>
          <w:sz w:val="19"/>
          <w:szCs w:val="19"/>
        </w:rPr>
        <w:t>anti-image</w:t>
      </w:r>
      <w:r>
        <w:rPr>
          <w:rFonts w:ascii="Arial" w:hAnsi="Arial" w:eastAsia="Arial" w:cs="Arial"/>
          <w:spacing w:val="26"/>
          <w:w w:val="101"/>
          <w:sz w:val="19"/>
          <w:szCs w:val="19"/>
        </w:rPr>
        <w:t xml:space="preserve"> </w:t>
      </w:r>
      <w:r>
        <w:rPr>
          <w:rFonts w:ascii="Arial" w:hAnsi="Arial" w:eastAsia="Arial" w:cs="Arial"/>
          <w:spacing w:val="-6"/>
          <w:sz w:val="19"/>
          <w:szCs w:val="19"/>
        </w:rPr>
        <w:t>correlations</w:t>
      </w:r>
      <w:r>
        <w:rPr>
          <w:rFonts w:ascii="Arial" w:hAnsi="Arial" w:eastAsia="Arial" w:cs="Arial"/>
          <w:spacing w:val="22"/>
          <w:sz w:val="19"/>
          <w:szCs w:val="19"/>
        </w:rPr>
        <w:t xml:space="preserve"> </w:t>
      </w:r>
      <w:r>
        <w:rPr>
          <w:rFonts w:ascii="Arial" w:hAnsi="Arial" w:eastAsia="Arial" w:cs="Arial"/>
          <w:spacing w:val="-6"/>
          <w:sz w:val="19"/>
          <w:szCs w:val="19"/>
        </w:rPr>
        <w:t>were</w:t>
      </w:r>
      <w:r>
        <w:rPr>
          <w:rFonts w:ascii="Arial" w:hAnsi="Arial" w:eastAsia="Arial" w:cs="Arial"/>
          <w:spacing w:val="22"/>
          <w:w w:val="101"/>
          <w:sz w:val="19"/>
          <w:szCs w:val="19"/>
        </w:rPr>
        <w:t xml:space="preserve"> </w:t>
      </w:r>
      <w:r>
        <w:rPr>
          <w:rFonts w:ascii="Arial" w:hAnsi="Arial" w:eastAsia="Arial" w:cs="Arial"/>
          <w:spacing w:val="-6"/>
          <w:sz w:val="19"/>
          <w:szCs w:val="19"/>
        </w:rPr>
        <w:t>within</w:t>
      </w:r>
      <w:r>
        <w:rPr>
          <w:rFonts w:ascii="Arial" w:hAnsi="Arial" w:eastAsia="Arial" w:cs="Arial"/>
          <w:spacing w:val="27"/>
          <w:sz w:val="19"/>
          <w:szCs w:val="19"/>
        </w:rPr>
        <w:t xml:space="preserve"> </w:t>
      </w:r>
      <w:r>
        <w:rPr>
          <w:rFonts w:ascii="Arial" w:hAnsi="Arial" w:eastAsia="Arial" w:cs="Arial"/>
          <w:spacing w:val="-6"/>
          <w:sz w:val="19"/>
          <w:szCs w:val="19"/>
        </w:rPr>
        <w:t>a</w:t>
      </w:r>
      <w:r>
        <w:rPr>
          <w:rFonts w:ascii="Arial" w:hAnsi="Arial" w:eastAsia="Arial" w:cs="Arial"/>
          <w:spacing w:val="32"/>
          <w:w w:val="101"/>
          <w:sz w:val="19"/>
          <w:szCs w:val="19"/>
        </w:rPr>
        <w:t xml:space="preserve"> </w:t>
      </w:r>
      <w:r>
        <w:rPr>
          <w:rFonts w:ascii="Arial" w:hAnsi="Arial" w:eastAsia="Arial" w:cs="Arial"/>
          <w:spacing w:val="-6"/>
          <w:sz w:val="19"/>
          <w:szCs w:val="19"/>
        </w:rPr>
        <w:t>reasonable</w:t>
      </w:r>
    </w:p>
    <w:p>
      <w:pPr>
        <w:spacing w:line="256" w:lineRule="auto"/>
        <w:rPr>
          <w:rFonts w:ascii="Arial" w:hAnsi="Arial" w:eastAsia="Arial" w:cs="Arial"/>
          <w:sz w:val="19"/>
          <w:szCs w:val="19"/>
        </w:rPr>
        <w:sectPr>
          <w:pgSz w:w="9865" w:h="14060"/>
          <w:pgMar w:top="400" w:right="953" w:bottom="400" w:left="956" w:header="0" w:footer="0" w:gutter="0"/>
          <w:cols w:space="720" w:num="1"/>
        </w:sectPr>
      </w:pPr>
    </w:p>
    <w:p>
      <w:pPr>
        <w:spacing w:line="82" w:lineRule="exact"/>
      </w:pPr>
      <w:r>
        <w:drawing>
          <wp:anchor distT="0" distB="0" distL="0" distR="0" simplePos="0" relativeHeight="251744256" behindDoc="0" locked="0" layoutInCell="0" allowOverlap="1">
            <wp:simplePos x="0" y="0"/>
            <wp:positionH relativeFrom="page">
              <wp:posOffset>805180</wp:posOffset>
            </wp:positionH>
            <wp:positionV relativeFrom="page">
              <wp:posOffset>319405</wp:posOffset>
            </wp:positionV>
            <wp:extent cx="139700" cy="13970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42"/>
                    <a:stretch>
                      <a:fillRect/>
                    </a:stretch>
                  </pic:blipFill>
                  <pic:spPr>
                    <a:xfrm>
                      <a:off x="0" y="0"/>
                      <a:ext cx="139700" cy="139700"/>
                    </a:xfrm>
                    <a:prstGeom prst="rect">
                      <a:avLst/>
                    </a:prstGeom>
                  </pic:spPr>
                </pic:pic>
              </a:graphicData>
            </a:graphic>
          </wp:anchor>
        </w:drawing>
      </w:r>
    </w:p>
    <w:p>
      <w:pPr>
        <w:spacing w:line="82" w:lineRule="exact"/>
        <w:sectPr>
          <w:pgSz w:w="9865" w:h="14060"/>
          <w:pgMar w:top="400" w:right="953" w:bottom="400" w:left="768" w:header="0" w:footer="0" w:gutter="0"/>
          <w:cols w:equalWidth="0" w:num="1">
            <w:col w:w="8143"/>
          </w:cols>
        </w:sectPr>
      </w:pPr>
    </w:p>
    <w:p>
      <w:pPr>
        <w:spacing w:before="78" w:line="192" w:lineRule="auto"/>
        <w:ind w:left="207"/>
        <w:outlineLvl w:val="3"/>
        <w:rPr>
          <w:rFonts w:ascii="Arial" w:hAnsi="Arial" w:eastAsia="Arial" w:cs="Arial"/>
          <w:sz w:val="14"/>
          <w:szCs w:val="14"/>
        </w:rPr>
      </w:pPr>
      <w:bookmarkStart w:id="10" w:name="bookmark86"/>
      <w:bookmarkEnd w:id="10"/>
      <w:r>
        <w:rPr>
          <w:rFonts w:ascii="Arial" w:hAnsi="Arial" w:eastAsia="Arial" w:cs="Arial"/>
          <w:spacing w:val="-4"/>
          <w:sz w:val="14"/>
          <w:szCs w:val="14"/>
        </w:rPr>
        <w:t>10</w:t>
      </w:r>
    </w:p>
    <w:p>
      <w:pPr>
        <w:spacing w:line="34" w:lineRule="exact"/>
      </w:pPr>
    </w:p>
    <w:p>
      <w:pPr>
        <w:spacing w:line="14" w:lineRule="auto"/>
        <w:rPr>
          <w:rFonts w:ascii="Arial"/>
          <w:sz w:val="2"/>
        </w:rPr>
      </w:pPr>
      <w:r>
        <w:rPr>
          <w:rFonts w:ascii="Arial" w:hAnsi="Arial" w:eastAsia="Arial" w:cs="Arial"/>
          <w:sz w:val="2"/>
          <w:szCs w:val="2"/>
        </w:rPr>
        <w:br w:type="column"/>
      </w:r>
    </w:p>
    <w:p>
      <w:pPr>
        <w:spacing w:before="73" w:line="197" w:lineRule="auto"/>
        <w:rPr>
          <w:rFonts w:ascii="Arial" w:hAnsi="Arial" w:eastAsia="Arial" w:cs="Arial"/>
          <w:sz w:val="14"/>
          <w:szCs w:val="14"/>
        </w:rPr>
      </w:pPr>
      <w:r>
        <w:rPr>
          <w:rFonts w:ascii="Arial" w:hAnsi="Arial" w:eastAsia="Arial" w:cs="Arial"/>
          <w:spacing w:val="-7"/>
          <w:sz w:val="14"/>
          <w:szCs w:val="14"/>
        </w:rPr>
        <w:t>C.</w:t>
      </w:r>
      <w:r>
        <w:rPr>
          <w:rFonts w:ascii="Arial" w:hAnsi="Arial" w:eastAsia="Arial" w:cs="Arial"/>
          <w:spacing w:val="29"/>
          <w:w w:val="101"/>
          <w:sz w:val="14"/>
          <w:szCs w:val="14"/>
        </w:rPr>
        <w:t xml:space="preserve"> </w:t>
      </w:r>
      <w:r>
        <w:rPr>
          <w:rFonts w:ascii="Arial" w:hAnsi="Arial" w:eastAsia="Arial" w:cs="Arial"/>
          <w:spacing w:val="-7"/>
          <w:sz w:val="14"/>
          <w:szCs w:val="14"/>
        </w:rPr>
        <w:t>HILDESHEIM AND</w:t>
      </w:r>
      <w:r>
        <w:rPr>
          <w:rFonts w:ascii="Arial" w:hAnsi="Arial" w:eastAsia="Arial" w:cs="Arial"/>
          <w:spacing w:val="11"/>
          <w:w w:val="101"/>
          <w:sz w:val="14"/>
          <w:szCs w:val="14"/>
        </w:rPr>
        <w:t xml:space="preserve"> </w:t>
      </w:r>
      <w:r>
        <w:rPr>
          <w:rFonts w:ascii="Arial" w:hAnsi="Arial" w:eastAsia="Arial" w:cs="Arial"/>
          <w:spacing w:val="-7"/>
          <w:sz w:val="14"/>
          <w:szCs w:val="14"/>
        </w:rPr>
        <w:t>K. SONNTAG</w:t>
      </w:r>
    </w:p>
    <w:p>
      <w:pPr>
        <w:spacing w:line="197" w:lineRule="auto"/>
        <w:rPr>
          <w:rFonts w:ascii="Arial" w:hAnsi="Arial" w:eastAsia="Arial" w:cs="Arial"/>
          <w:sz w:val="14"/>
          <w:szCs w:val="14"/>
        </w:rPr>
        <w:sectPr>
          <w:type w:val="continuous"/>
          <w:pgSz w:w="9865" w:h="14060"/>
          <w:pgMar w:top="400" w:right="953" w:bottom="400" w:left="768" w:header="0" w:footer="0" w:gutter="0"/>
          <w:cols w:equalWidth="0" w:num="2">
            <w:col w:w="776" w:space="100"/>
            <w:col w:w="7268"/>
          </w:cols>
        </w:sectPr>
      </w:pPr>
    </w:p>
    <w:p>
      <w:pPr>
        <w:spacing w:line="292" w:lineRule="auto"/>
        <w:rPr>
          <w:rFonts w:ascii="Arial"/>
          <w:sz w:val="21"/>
        </w:rPr>
      </w:pPr>
    </w:p>
    <w:p>
      <w:pPr>
        <w:spacing w:before="44" w:line="208" w:lineRule="auto"/>
        <w:ind w:left="194"/>
        <w:rPr>
          <w:rFonts w:ascii="Arial" w:hAnsi="Arial" w:eastAsia="Arial" w:cs="Arial"/>
          <w:sz w:val="15"/>
          <w:szCs w:val="15"/>
        </w:rPr>
      </w:pPr>
      <w:r>
        <w:rPr>
          <w:rFonts w:ascii="Arial" w:hAnsi="Arial" w:eastAsia="Arial" w:cs="Arial"/>
          <w:color w:val="282781"/>
          <w:spacing w:val="-7"/>
          <w:sz w:val="15"/>
          <w:szCs w:val="15"/>
        </w:rPr>
        <w:t>Table</w:t>
      </w:r>
      <w:r>
        <w:rPr>
          <w:rFonts w:ascii="Arial" w:hAnsi="Arial" w:eastAsia="Arial" w:cs="Arial"/>
          <w:color w:val="282781"/>
          <w:spacing w:val="9"/>
          <w:sz w:val="15"/>
          <w:szCs w:val="15"/>
        </w:rPr>
        <w:t xml:space="preserve"> </w:t>
      </w:r>
      <w:r>
        <w:rPr>
          <w:rFonts w:ascii="Arial" w:hAnsi="Arial" w:eastAsia="Arial" w:cs="Arial"/>
          <w:color w:val="282781"/>
          <w:spacing w:val="-7"/>
          <w:sz w:val="15"/>
          <w:szCs w:val="15"/>
        </w:rPr>
        <w:t>4.</w:t>
      </w:r>
      <w:r>
        <w:rPr>
          <w:rFonts w:ascii="Arial" w:hAnsi="Arial" w:eastAsia="Arial" w:cs="Arial"/>
          <w:color w:val="282781"/>
          <w:spacing w:val="18"/>
          <w:w w:val="101"/>
          <w:sz w:val="15"/>
          <w:szCs w:val="15"/>
        </w:rPr>
        <w:t xml:space="preserve"> </w:t>
      </w:r>
      <w:r>
        <w:rPr>
          <w:rFonts w:ascii="Arial" w:hAnsi="Arial" w:eastAsia="Arial" w:cs="Arial"/>
          <w:spacing w:val="-7"/>
          <w:sz w:val="15"/>
          <w:szCs w:val="15"/>
        </w:rPr>
        <w:t>Results</w:t>
      </w:r>
      <w:r>
        <w:rPr>
          <w:rFonts w:ascii="Arial" w:hAnsi="Arial" w:eastAsia="Arial" w:cs="Arial"/>
          <w:spacing w:val="10"/>
          <w:w w:val="101"/>
          <w:sz w:val="15"/>
          <w:szCs w:val="15"/>
        </w:rPr>
        <w:t xml:space="preserve"> </w:t>
      </w:r>
      <w:r>
        <w:rPr>
          <w:rFonts w:ascii="Arial" w:hAnsi="Arial" w:eastAsia="Arial" w:cs="Arial"/>
          <w:spacing w:val="-7"/>
          <w:sz w:val="15"/>
          <w:szCs w:val="15"/>
        </w:rPr>
        <w:t>of the</w:t>
      </w:r>
      <w:r>
        <w:rPr>
          <w:rFonts w:ascii="Arial" w:hAnsi="Arial" w:eastAsia="Arial" w:cs="Arial"/>
          <w:spacing w:val="12"/>
          <w:sz w:val="15"/>
          <w:szCs w:val="15"/>
        </w:rPr>
        <w:t xml:space="preserve"> </w:t>
      </w:r>
      <w:r>
        <w:rPr>
          <w:rFonts w:ascii="Arial" w:hAnsi="Arial" w:eastAsia="Arial" w:cs="Arial"/>
          <w:spacing w:val="-7"/>
          <w:sz w:val="15"/>
          <w:szCs w:val="15"/>
        </w:rPr>
        <w:t>exploratory</w:t>
      </w:r>
      <w:r>
        <w:rPr>
          <w:rFonts w:ascii="Arial" w:hAnsi="Arial" w:eastAsia="Arial" w:cs="Arial"/>
          <w:spacing w:val="8"/>
          <w:sz w:val="15"/>
          <w:szCs w:val="15"/>
        </w:rPr>
        <w:t xml:space="preserve"> </w:t>
      </w:r>
      <w:r>
        <w:rPr>
          <w:rFonts w:ascii="Arial" w:hAnsi="Arial" w:eastAsia="Arial" w:cs="Arial"/>
          <w:spacing w:val="-7"/>
          <w:sz w:val="15"/>
          <w:szCs w:val="15"/>
        </w:rPr>
        <w:t>factor</w:t>
      </w:r>
      <w:r>
        <w:rPr>
          <w:rFonts w:ascii="Arial" w:hAnsi="Arial" w:eastAsia="Arial" w:cs="Arial"/>
          <w:spacing w:val="11"/>
          <w:sz w:val="15"/>
          <w:szCs w:val="15"/>
        </w:rPr>
        <w:t xml:space="preserve"> </w:t>
      </w:r>
      <w:r>
        <w:rPr>
          <w:rFonts w:ascii="Arial" w:hAnsi="Arial" w:eastAsia="Arial" w:cs="Arial"/>
          <w:spacing w:val="-7"/>
          <w:sz w:val="15"/>
          <w:szCs w:val="15"/>
        </w:rPr>
        <w:t>analysis</w:t>
      </w:r>
      <w:r>
        <w:rPr>
          <w:rFonts w:ascii="Arial" w:hAnsi="Arial" w:eastAsia="Arial" w:cs="Arial"/>
          <w:spacing w:val="15"/>
          <w:w w:val="101"/>
          <w:sz w:val="15"/>
          <w:szCs w:val="15"/>
        </w:rPr>
        <w:t xml:space="preserve"> </w:t>
      </w:r>
      <w:r>
        <w:rPr>
          <w:rFonts w:ascii="Arial" w:hAnsi="Arial" w:eastAsia="Arial" w:cs="Arial"/>
          <w:spacing w:val="-7"/>
          <w:sz w:val="15"/>
          <w:szCs w:val="15"/>
        </w:rPr>
        <w:t>(EFA).</w:t>
      </w:r>
    </w:p>
    <w:p>
      <w:pPr>
        <w:spacing w:line="25" w:lineRule="exact"/>
      </w:pPr>
    </w:p>
    <w:tbl>
      <w:tblPr>
        <w:tblStyle w:val="5"/>
        <w:tblW w:w="7945" w:type="dxa"/>
        <w:tblInd w:w="19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16"/>
        <w:gridCol w:w="786"/>
        <w:gridCol w:w="853"/>
        <w:gridCol w:w="832"/>
        <w:gridCol w:w="799"/>
        <w:gridCol w:w="799"/>
        <w:gridCol w:w="799"/>
        <w:gridCol w:w="588"/>
        <w:gridCol w:w="67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1816" w:type="dxa"/>
            <w:vMerge w:val="restart"/>
            <w:tcBorders>
              <w:top w:val="single" w:color="282781" w:sz="4" w:space="0"/>
              <w:bottom w:val="nil"/>
            </w:tcBorders>
            <w:vAlign w:val="top"/>
          </w:tcPr>
          <w:p>
            <w:pPr>
              <w:spacing w:before="125" w:line="201" w:lineRule="auto"/>
              <w:ind w:left="6"/>
              <w:rPr>
                <w:rFonts w:ascii="Arial" w:hAnsi="Arial" w:eastAsia="Arial" w:cs="Arial"/>
                <w:sz w:val="15"/>
                <w:szCs w:val="15"/>
              </w:rPr>
            </w:pPr>
            <w:r>
              <w:rPr>
                <w:rFonts w:ascii="Arial" w:hAnsi="Arial" w:eastAsia="Arial" w:cs="Arial"/>
                <w:spacing w:val="-11"/>
                <w:sz w:val="15"/>
                <w:szCs w:val="15"/>
              </w:rPr>
              <w:t>Scale</w:t>
            </w:r>
          </w:p>
        </w:tc>
        <w:tc>
          <w:tcPr>
            <w:tcW w:w="786" w:type="dxa"/>
            <w:vMerge w:val="restart"/>
            <w:tcBorders>
              <w:top w:val="single" w:color="282781" w:sz="4" w:space="0"/>
              <w:bottom w:val="nil"/>
            </w:tcBorders>
            <w:vAlign w:val="top"/>
          </w:tcPr>
          <w:p>
            <w:pPr>
              <w:spacing w:before="130" w:line="194" w:lineRule="auto"/>
              <w:ind w:left="268"/>
              <w:rPr>
                <w:rFonts w:ascii="Arial" w:hAnsi="Arial" w:eastAsia="Arial" w:cs="Arial"/>
                <w:sz w:val="15"/>
                <w:szCs w:val="15"/>
              </w:rPr>
            </w:pPr>
            <w:r>
              <w:rPr>
                <w:rFonts w:ascii="Arial" w:hAnsi="Arial" w:eastAsia="Arial" w:cs="Arial"/>
                <w:spacing w:val="-4"/>
                <w:sz w:val="15"/>
                <w:szCs w:val="15"/>
              </w:rPr>
              <w:t>Item</w:t>
            </w:r>
          </w:p>
        </w:tc>
        <w:tc>
          <w:tcPr>
            <w:tcW w:w="4670" w:type="dxa"/>
            <w:gridSpan w:val="6"/>
            <w:tcBorders>
              <w:top w:val="single" w:color="282781" w:sz="4" w:space="0"/>
              <w:bottom w:val="single" w:color="282781" w:sz="4" w:space="0"/>
            </w:tcBorders>
            <w:vAlign w:val="top"/>
          </w:tcPr>
          <w:p>
            <w:pPr>
              <w:spacing w:before="59" w:line="205" w:lineRule="auto"/>
              <w:ind w:left="1731"/>
              <w:rPr>
                <w:rFonts w:ascii="Arial" w:hAnsi="Arial" w:eastAsia="Arial" w:cs="Arial"/>
                <w:sz w:val="15"/>
                <w:szCs w:val="15"/>
              </w:rPr>
            </w:pPr>
            <w:r>
              <w:rPr>
                <w:rFonts w:ascii="Arial" w:hAnsi="Arial" w:eastAsia="Arial" w:cs="Arial"/>
                <w:spacing w:val="-6"/>
                <w:sz w:val="15"/>
                <w:szCs w:val="15"/>
              </w:rPr>
              <w:t>Rotated</w:t>
            </w:r>
            <w:r>
              <w:rPr>
                <w:rFonts w:ascii="Arial" w:hAnsi="Arial" w:eastAsia="Arial" w:cs="Arial"/>
                <w:spacing w:val="15"/>
                <w:sz w:val="15"/>
                <w:szCs w:val="15"/>
              </w:rPr>
              <w:t xml:space="preserve"> </w:t>
            </w:r>
            <w:r>
              <w:rPr>
                <w:rFonts w:ascii="Arial" w:hAnsi="Arial" w:eastAsia="Arial" w:cs="Arial"/>
                <w:spacing w:val="-6"/>
                <w:sz w:val="15"/>
                <w:szCs w:val="15"/>
              </w:rPr>
              <w:t>factor</w:t>
            </w:r>
            <w:r>
              <w:rPr>
                <w:rFonts w:ascii="Arial" w:hAnsi="Arial" w:eastAsia="Arial" w:cs="Arial"/>
                <w:spacing w:val="17"/>
                <w:sz w:val="15"/>
                <w:szCs w:val="15"/>
              </w:rPr>
              <w:t xml:space="preserve"> </w:t>
            </w:r>
            <w:r>
              <w:rPr>
                <w:rFonts w:ascii="Arial" w:hAnsi="Arial" w:eastAsia="Arial" w:cs="Arial"/>
                <w:spacing w:val="-6"/>
                <w:sz w:val="15"/>
                <w:szCs w:val="15"/>
              </w:rPr>
              <w:t>loadings</w:t>
            </w:r>
          </w:p>
        </w:tc>
        <w:tc>
          <w:tcPr>
            <w:tcW w:w="673" w:type="dxa"/>
            <w:vMerge w:val="restart"/>
            <w:tcBorders>
              <w:top w:val="single" w:color="282781" w:sz="4" w:space="0"/>
              <w:bottom w:val="nil"/>
            </w:tcBorders>
            <w:vAlign w:val="top"/>
          </w:tcPr>
          <w:p>
            <w:pPr>
              <w:spacing w:before="105" w:line="229" w:lineRule="auto"/>
              <w:ind w:left="493"/>
              <w:rPr>
                <w:rFonts w:ascii="Arial" w:hAnsi="Arial" w:eastAsia="Arial" w:cs="Arial"/>
                <w:sz w:val="15"/>
                <w:szCs w:val="15"/>
              </w:rPr>
            </w:pPr>
            <w:r>
              <w:rPr>
                <w:rFonts w:ascii="Arial" w:hAnsi="Arial" w:eastAsia="Arial" w:cs="Arial"/>
                <w:spacing w:val="-7"/>
                <w:sz w:val="15"/>
                <w:szCs w:val="15"/>
              </w:rPr>
              <w:t>h²</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3" w:hRule="atLeast"/>
        </w:trPr>
        <w:tc>
          <w:tcPr>
            <w:tcW w:w="1816" w:type="dxa"/>
            <w:vMerge w:val="continue"/>
            <w:tcBorders>
              <w:top w:val="nil"/>
              <w:bottom w:val="single" w:color="282781" w:sz="4" w:space="0"/>
            </w:tcBorders>
            <w:vAlign w:val="top"/>
          </w:tcPr>
          <w:p>
            <w:pPr>
              <w:rPr>
                <w:rFonts w:ascii="Arial"/>
                <w:sz w:val="21"/>
              </w:rPr>
            </w:pPr>
          </w:p>
        </w:tc>
        <w:tc>
          <w:tcPr>
            <w:tcW w:w="786" w:type="dxa"/>
            <w:vMerge w:val="continue"/>
            <w:tcBorders>
              <w:top w:val="nil"/>
              <w:bottom w:val="single" w:color="282781" w:sz="4" w:space="0"/>
            </w:tcBorders>
            <w:vAlign w:val="top"/>
          </w:tcPr>
          <w:p>
            <w:pPr>
              <w:rPr>
                <w:rFonts w:ascii="Arial"/>
                <w:sz w:val="21"/>
              </w:rPr>
            </w:pPr>
          </w:p>
        </w:tc>
        <w:tc>
          <w:tcPr>
            <w:tcW w:w="853" w:type="dxa"/>
            <w:tcBorders>
              <w:top w:val="single" w:color="282781" w:sz="4" w:space="0"/>
              <w:bottom w:val="single" w:color="282781" w:sz="4" w:space="0"/>
            </w:tcBorders>
            <w:vAlign w:val="top"/>
          </w:tcPr>
          <w:p>
            <w:pPr>
              <w:spacing w:before="66" w:line="189" w:lineRule="auto"/>
              <w:ind w:left="399"/>
              <w:rPr>
                <w:rFonts w:ascii="Arial" w:hAnsi="Arial" w:eastAsia="Arial" w:cs="Arial"/>
                <w:sz w:val="15"/>
                <w:szCs w:val="15"/>
              </w:rPr>
            </w:pPr>
            <w:r>
              <w:rPr>
                <w:rFonts w:ascii="Arial" w:hAnsi="Arial" w:eastAsia="Arial" w:cs="Arial"/>
                <w:sz w:val="15"/>
                <w:szCs w:val="15"/>
              </w:rPr>
              <w:t>1</w:t>
            </w:r>
          </w:p>
        </w:tc>
        <w:tc>
          <w:tcPr>
            <w:tcW w:w="832" w:type="dxa"/>
            <w:tcBorders>
              <w:top w:val="single" w:color="282781" w:sz="4" w:space="0"/>
              <w:bottom w:val="single" w:color="282781" w:sz="4" w:space="0"/>
            </w:tcBorders>
            <w:vAlign w:val="top"/>
          </w:tcPr>
          <w:p>
            <w:pPr>
              <w:spacing w:before="65" w:line="191" w:lineRule="auto"/>
              <w:ind w:left="375"/>
              <w:rPr>
                <w:rFonts w:ascii="Arial" w:hAnsi="Arial" w:eastAsia="Arial" w:cs="Arial"/>
                <w:sz w:val="15"/>
                <w:szCs w:val="15"/>
              </w:rPr>
            </w:pPr>
            <w:r>
              <w:rPr>
                <w:rFonts w:ascii="Arial" w:hAnsi="Arial" w:eastAsia="Arial" w:cs="Arial"/>
                <w:sz w:val="15"/>
                <w:szCs w:val="15"/>
              </w:rPr>
              <w:t>2</w:t>
            </w:r>
          </w:p>
        </w:tc>
        <w:tc>
          <w:tcPr>
            <w:tcW w:w="799" w:type="dxa"/>
            <w:tcBorders>
              <w:top w:val="single" w:color="282781" w:sz="4" w:space="0"/>
              <w:bottom w:val="single" w:color="282781" w:sz="4" w:space="0"/>
            </w:tcBorders>
            <w:vAlign w:val="top"/>
          </w:tcPr>
          <w:p>
            <w:pPr>
              <w:spacing w:before="64" w:line="191" w:lineRule="auto"/>
              <w:ind w:left="363"/>
              <w:rPr>
                <w:rFonts w:ascii="Arial" w:hAnsi="Arial" w:eastAsia="Arial" w:cs="Arial"/>
                <w:sz w:val="15"/>
                <w:szCs w:val="15"/>
              </w:rPr>
            </w:pPr>
            <w:r>
              <w:rPr>
                <w:rFonts w:ascii="Arial" w:hAnsi="Arial" w:eastAsia="Arial" w:cs="Arial"/>
                <w:sz w:val="15"/>
                <w:szCs w:val="15"/>
              </w:rPr>
              <w:t>3</w:t>
            </w:r>
          </w:p>
        </w:tc>
        <w:tc>
          <w:tcPr>
            <w:tcW w:w="799" w:type="dxa"/>
            <w:tcBorders>
              <w:top w:val="single" w:color="282781" w:sz="4" w:space="0"/>
              <w:bottom w:val="single" w:color="282781" w:sz="4" w:space="0"/>
            </w:tcBorders>
            <w:vAlign w:val="top"/>
          </w:tcPr>
          <w:p>
            <w:pPr>
              <w:spacing w:before="66" w:line="189" w:lineRule="auto"/>
              <w:ind w:left="360"/>
              <w:rPr>
                <w:rFonts w:ascii="Arial" w:hAnsi="Arial" w:eastAsia="Arial" w:cs="Arial"/>
                <w:sz w:val="15"/>
                <w:szCs w:val="15"/>
              </w:rPr>
            </w:pPr>
            <w:r>
              <w:rPr>
                <w:rFonts w:ascii="Arial" w:hAnsi="Arial" w:eastAsia="Arial" w:cs="Arial"/>
                <w:sz w:val="15"/>
                <w:szCs w:val="15"/>
              </w:rPr>
              <w:t>4</w:t>
            </w:r>
          </w:p>
        </w:tc>
        <w:tc>
          <w:tcPr>
            <w:tcW w:w="799" w:type="dxa"/>
            <w:tcBorders>
              <w:top w:val="single" w:color="282781" w:sz="4" w:space="0"/>
              <w:bottom w:val="single" w:color="282781" w:sz="4" w:space="0"/>
            </w:tcBorders>
            <w:vAlign w:val="top"/>
          </w:tcPr>
          <w:p>
            <w:pPr>
              <w:spacing w:before="66" w:line="188" w:lineRule="auto"/>
              <w:ind w:left="363"/>
              <w:rPr>
                <w:rFonts w:ascii="Arial" w:hAnsi="Arial" w:eastAsia="Arial" w:cs="Arial"/>
                <w:sz w:val="15"/>
                <w:szCs w:val="15"/>
              </w:rPr>
            </w:pPr>
            <w:r>
              <w:rPr>
                <w:rFonts w:ascii="Arial" w:hAnsi="Arial" w:eastAsia="Arial" w:cs="Arial"/>
                <w:sz w:val="15"/>
                <w:szCs w:val="15"/>
              </w:rPr>
              <w:t>5</w:t>
            </w:r>
          </w:p>
        </w:tc>
        <w:tc>
          <w:tcPr>
            <w:tcW w:w="588" w:type="dxa"/>
            <w:tcBorders>
              <w:top w:val="single" w:color="282781" w:sz="4" w:space="0"/>
              <w:bottom w:val="single" w:color="282781" w:sz="4" w:space="0"/>
            </w:tcBorders>
            <w:vAlign w:val="top"/>
          </w:tcPr>
          <w:p>
            <w:pPr>
              <w:spacing w:before="65" w:line="190" w:lineRule="auto"/>
              <w:ind w:left="364"/>
              <w:rPr>
                <w:rFonts w:ascii="Arial" w:hAnsi="Arial" w:eastAsia="Arial" w:cs="Arial"/>
                <w:sz w:val="15"/>
                <w:szCs w:val="15"/>
              </w:rPr>
            </w:pPr>
            <w:r>
              <w:rPr>
                <w:rFonts w:ascii="Arial" w:hAnsi="Arial" w:eastAsia="Arial" w:cs="Arial"/>
                <w:sz w:val="15"/>
                <w:szCs w:val="15"/>
              </w:rPr>
              <w:t>6</w:t>
            </w:r>
          </w:p>
        </w:tc>
        <w:tc>
          <w:tcPr>
            <w:tcW w:w="673" w:type="dxa"/>
            <w:vMerge w:val="continue"/>
            <w:tcBorders>
              <w:top w:val="nil"/>
              <w:bottom w:val="single" w:color="282781" w:sz="4"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01" w:hRule="atLeast"/>
        </w:trPr>
        <w:tc>
          <w:tcPr>
            <w:tcW w:w="1816" w:type="dxa"/>
            <w:tcBorders>
              <w:top w:val="single" w:color="282781" w:sz="4" w:space="0"/>
            </w:tcBorders>
            <w:vAlign w:val="top"/>
          </w:tcPr>
          <w:p>
            <w:pPr>
              <w:spacing w:before="54" w:line="203" w:lineRule="auto"/>
              <w:ind w:left="14"/>
              <w:rPr>
                <w:rFonts w:ascii="Arial" w:hAnsi="Arial" w:eastAsia="Arial" w:cs="Arial"/>
                <w:sz w:val="15"/>
                <w:szCs w:val="15"/>
              </w:rPr>
            </w:pPr>
            <w:r>
              <w:rPr>
                <w:rFonts w:ascii="Arial" w:hAnsi="Arial" w:eastAsia="Arial" w:cs="Arial"/>
                <w:spacing w:val="-9"/>
                <w:sz w:val="15"/>
                <w:szCs w:val="15"/>
              </w:rPr>
              <w:t>1</w:t>
            </w:r>
            <w:r>
              <w:rPr>
                <w:rFonts w:ascii="Arial" w:hAnsi="Arial" w:eastAsia="Arial" w:cs="Arial"/>
                <w:spacing w:val="33"/>
                <w:sz w:val="15"/>
                <w:szCs w:val="15"/>
              </w:rPr>
              <w:t xml:space="preserve"> </w:t>
            </w:r>
            <w:r>
              <w:rPr>
                <w:rFonts w:ascii="Arial" w:hAnsi="Arial" w:eastAsia="Arial" w:cs="Arial"/>
                <w:spacing w:val="-9"/>
                <w:sz w:val="15"/>
                <w:szCs w:val="15"/>
              </w:rPr>
              <w:t>Leadership</w:t>
            </w:r>
            <w:r>
              <w:rPr>
                <w:rFonts w:ascii="Arial" w:hAnsi="Arial" w:eastAsia="Arial" w:cs="Arial"/>
                <w:spacing w:val="15"/>
                <w:sz w:val="15"/>
                <w:szCs w:val="15"/>
              </w:rPr>
              <w:t xml:space="preserve"> </w:t>
            </w:r>
            <w:r>
              <w:rPr>
                <w:rFonts w:ascii="Arial" w:hAnsi="Arial" w:eastAsia="Arial" w:cs="Arial"/>
                <w:spacing w:val="-9"/>
                <w:sz w:val="15"/>
                <w:szCs w:val="15"/>
              </w:rPr>
              <w:t>behavior</w:t>
            </w:r>
          </w:p>
        </w:tc>
        <w:tc>
          <w:tcPr>
            <w:tcW w:w="786" w:type="dxa"/>
            <w:tcBorders>
              <w:top w:val="single" w:color="282781" w:sz="4" w:space="0"/>
            </w:tcBorders>
            <w:vAlign w:val="top"/>
          </w:tcPr>
          <w:p>
            <w:pPr>
              <w:spacing w:before="59" w:line="178" w:lineRule="exact"/>
              <w:ind w:left="220"/>
              <w:rPr>
                <w:rFonts w:ascii="Arial" w:hAnsi="Arial" w:eastAsia="Arial" w:cs="Arial"/>
                <w:sz w:val="15"/>
                <w:szCs w:val="15"/>
              </w:rPr>
            </w:pPr>
            <w:r>
              <w:rPr>
                <w:rFonts w:ascii="Arial" w:hAnsi="Arial" w:eastAsia="Arial" w:cs="Arial"/>
                <w:spacing w:val="-17"/>
                <w:w w:val="97"/>
                <w:position w:val="4"/>
                <w:sz w:val="15"/>
                <w:szCs w:val="15"/>
              </w:rPr>
              <w:t>FEE3</w:t>
            </w:r>
          </w:p>
          <w:p>
            <w:pPr>
              <w:spacing w:line="195" w:lineRule="auto"/>
              <w:ind w:left="210"/>
              <w:rPr>
                <w:rFonts w:ascii="Arial" w:hAnsi="Arial" w:eastAsia="Arial" w:cs="Arial"/>
                <w:sz w:val="15"/>
                <w:szCs w:val="15"/>
              </w:rPr>
            </w:pPr>
            <w:r>
              <w:rPr>
                <w:rFonts w:ascii="Arial" w:hAnsi="Arial" w:eastAsia="Arial" w:cs="Arial"/>
                <w:spacing w:val="-8"/>
                <w:w w:val="93"/>
                <w:sz w:val="15"/>
                <w:szCs w:val="15"/>
              </w:rPr>
              <w:t>VOR2</w:t>
            </w:r>
          </w:p>
          <w:p>
            <w:pPr>
              <w:spacing w:before="39" w:line="196" w:lineRule="auto"/>
              <w:ind w:left="215"/>
              <w:rPr>
                <w:rFonts w:ascii="Arial" w:hAnsi="Arial" w:eastAsia="Arial" w:cs="Arial"/>
                <w:sz w:val="15"/>
                <w:szCs w:val="15"/>
              </w:rPr>
            </w:pPr>
            <w:r>
              <w:rPr>
                <w:rFonts w:ascii="Arial" w:hAnsi="Arial" w:eastAsia="Arial" w:cs="Arial"/>
                <w:spacing w:val="-16"/>
                <w:sz w:val="15"/>
                <w:szCs w:val="15"/>
              </w:rPr>
              <w:t>SUP3</w:t>
            </w:r>
          </w:p>
          <w:p>
            <w:pPr>
              <w:spacing w:before="38" w:line="196" w:lineRule="auto"/>
              <w:ind w:left="210"/>
              <w:rPr>
                <w:rFonts w:ascii="Arial" w:hAnsi="Arial" w:eastAsia="Arial" w:cs="Arial"/>
                <w:sz w:val="15"/>
                <w:szCs w:val="15"/>
              </w:rPr>
            </w:pPr>
            <w:r>
              <w:rPr>
                <w:rFonts w:ascii="Arial" w:hAnsi="Arial" w:eastAsia="Arial" w:cs="Arial"/>
                <w:spacing w:val="-15"/>
                <w:sz w:val="15"/>
                <w:szCs w:val="15"/>
              </w:rPr>
              <w:t>VOR1</w:t>
            </w:r>
          </w:p>
          <w:p>
            <w:pPr>
              <w:spacing w:before="39" w:line="196" w:lineRule="auto"/>
              <w:ind w:left="215"/>
              <w:rPr>
                <w:rFonts w:ascii="Arial" w:hAnsi="Arial" w:eastAsia="Arial" w:cs="Arial"/>
                <w:sz w:val="15"/>
                <w:szCs w:val="15"/>
              </w:rPr>
            </w:pPr>
            <w:r>
              <w:rPr>
                <w:rFonts w:ascii="Arial" w:hAnsi="Arial" w:eastAsia="Arial" w:cs="Arial"/>
                <w:spacing w:val="-16"/>
                <w:sz w:val="15"/>
                <w:szCs w:val="15"/>
              </w:rPr>
              <w:t>SUP2</w:t>
            </w:r>
          </w:p>
          <w:p>
            <w:pPr>
              <w:spacing w:before="41" w:line="183" w:lineRule="auto"/>
              <w:ind w:left="220"/>
              <w:rPr>
                <w:rFonts w:ascii="Arial" w:hAnsi="Arial" w:eastAsia="Arial" w:cs="Arial"/>
                <w:sz w:val="15"/>
                <w:szCs w:val="15"/>
              </w:rPr>
            </w:pPr>
            <w:r>
              <w:rPr>
                <w:rFonts w:ascii="Arial" w:hAnsi="Arial" w:eastAsia="Arial" w:cs="Arial"/>
                <w:spacing w:val="-20"/>
                <w:sz w:val="15"/>
                <w:szCs w:val="15"/>
              </w:rPr>
              <w:t>FEE1</w:t>
            </w:r>
          </w:p>
        </w:tc>
        <w:tc>
          <w:tcPr>
            <w:tcW w:w="853" w:type="dxa"/>
            <w:tcBorders>
              <w:top w:val="single" w:color="282781" w:sz="4" w:space="0"/>
            </w:tcBorders>
            <w:vAlign w:val="top"/>
          </w:tcPr>
          <w:p>
            <w:pPr>
              <w:spacing w:before="61" w:line="180" w:lineRule="exact"/>
              <w:ind w:left="365"/>
              <w:rPr>
                <w:rFonts w:ascii="Arial" w:hAnsi="Arial" w:eastAsia="Arial" w:cs="Arial"/>
                <w:sz w:val="15"/>
                <w:szCs w:val="15"/>
              </w:rPr>
            </w:pPr>
            <w:r>
              <w:rPr>
                <w:rFonts w:ascii="Arial" w:hAnsi="Arial" w:eastAsia="Arial" w:cs="Arial"/>
                <w:spacing w:val="-6"/>
                <w:position w:val="4"/>
                <w:sz w:val="15"/>
                <w:szCs w:val="15"/>
              </w:rPr>
              <w:t>.882</w:t>
            </w:r>
          </w:p>
          <w:p>
            <w:pPr>
              <w:spacing w:line="190" w:lineRule="auto"/>
              <w:ind w:left="365"/>
              <w:rPr>
                <w:rFonts w:ascii="Arial" w:hAnsi="Arial" w:eastAsia="Arial" w:cs="Arial"/>
                <w:sz w:val="15"/>
                <w:szCs w:val="15"/>
              </w:rPr>
            </w:pPr>
            <w:r>
              <w:rPr>
                <w:rFonts w:ascii="Arial" w:hAnsi="Arial" w:eastAsia="Arial" w:cs="Arial"/>
                <w:spacing w:val="-6"/>
                <w:sz w:val="15"/>
                <w:szCs w:val="15"/>
              </w:rPr>
              <w:t>.863</w:t>
            </w:r>
          </w:p>
          <w:p>
            <w:pPr>
              <w:spacing w:before="43" w:line="191" w:lineRule="auto"/>
              <w:ind w:left="365"/>
              <w:rPr>
                <w:rFonts w:ascii="Arial" w:hAnsi="Arial" w:eastAsia="Arial" w:cs="Arial"/>
                <w:sz w:val="15"/>
                <w:szCs w:val="15"/>
              </w:rPr>
            </w:pPr>
            <w:r>
              <w:rPr>
                <w:rFonts w:ascii="Arial" w:hAnsi="Arial" w:eastAsia="Arial" w:cs="Arial"/>
                <w:spacing w:val="-6"/>
                <w:sz w:val="15"/>
                <w:szCs w:val="15"/>
              </w:rPr>
              <w:t>.859</w:t>
            </w:r>
          </w:p>
          <w:p>
            <w:pPr>
              <w:spacing w:before="41" w:line="191" w:lineRule="auto"/>
              <w:ind w:left="365"/>
              <w:rPr>
                <w:rFonts w:ascii="Arial" w:hAnsi="Arial" w:eastAsia="Arial" w:cs="Arial"/>
                <w:sz w:val="15"/>
                <w:szCs w:val="15"/>
              </w:rPr>
            </w:pPr>
            <w:r>
              <w:rPr>
                <w:rFonts w:ascii="Arial" w:hAnsi="Arial" w:eastAsia="Arial" w:cs="Arial"/>
                <w:spacing w:val="-6"/>
                <w:sz w:val="15"/>
                <w:szCs w:val="15"/>
              </w:rPr>
              <w:t>.855</w:t>
            </w:r>
          </w:p>
          <w:p>
            <w:pPr>
              <w:spacing w:before="42" w:line="191" w:lineRule="auto"/>
              <w:ind w:left="366"/>
              <w:rPr>
                <w:rFonts w:ascii="Arial" w:hAnsi="Arial" w:eastAsia="Arial" w:cs="Arial"/>
                <w:sz w:val="15"/>
                <w:szCs w:val="15"/>
              </w:rPr>
            </w:pPr>
            <w:r>
              <w:rPr>
                <w:rFonts w:ascii="Arial" w:hAnsi="Arial" w:eastAsia="Arial" w:cs="Arial"/>
                <w:spacing w:val="-6"/>
                <w:sz w:val="15"/>
                <w:szCs w:val="15"/>
              </w:rPr>
              <w:t>.853</w:t>
            </w:r>
          </w:p>
          <w:p>
            <w:pPr>
              <w:spacing w:before="44" w:line="180" w:lineRule="auto"/>
              <w:ind w:left="366"/>
              <w:rPr>
                <w:rFonts w:ascii="Arial" w:hAnsi="Arial" w:eastAsia="Arial" w:cs="Arial"/>
                <w:sz w:val="15"/>
                <w:szCs w:val="15"/>
              </w:rPr>
            </w:pPr>
            <w:r>
              <w:rPr>
                <w:rFonts w:ascii="Arial" w:hAnsi="Arial" w:eastAsia="Arial" w:cs="Arial"/>
                <w:spacing w:val="-6"/>
                <w:sz w:val="15"/>
                <w:szCs w:val="15"/>
              </w:rPr>
              <w:t>.851</w:t>
            </w:r>
          </w:p>
        </w:tc>
        <w:tc>
          <w:tcPr>
            <w:tcW w:w="832" w:type="dxa"/>
            <w:tcBorders>
              <w:top w:val="single" w:color="282781" w:sz="4" w:space="0"/>
            </w:tcBorders>
            <w:vAlign w:val="top"/>
          </w:tcPr>
          <w:p>
            <w:pPr>
              <w:spacing w:before="61" w:line="180" w:lineRule="exact"/>
              <w:ind w:left="350"/>
              <w:rPr>
                <w:rFonts w:ascii="Arial" w:hAnsi="Arial" w:eastAsia="Arial" w:cs="Arial"/>
                <w:sz w:val="15"/>
                <w:szCs w:val="15"/>
              </w:rPr>
            </w:pPr>
            <w:r>
              <w:rPr>
                <w:rFonts w:ascii="Arial" w:hAnsi="Arial" w:eastAsia="Arial" w:cs="Arial"/>
                <w:spacing w:val="-8"/>
                <w:position w:val="4"/>
                <w:sz w:val="15"/>
                <w:szCs w:val="15"/>
              </w:rPr>
              <w:t>.063</w:t>
            </w:r>
          </w:p>
          <w:p>
            <w:pPr>
              <w:spacing w:line="190" w:lineRule="auto"/>
              <w:ind w:left="350"/>
              <w:rPr>
                <w:rFonts w:ascii="Arial" w:hAnsi="Arial" w:eastAsia="Arial" w:cs="Arial"/>
                <w:sz w:val="15"/>
                <w:szCs w:val="15"/>
              </w:rPr>
            </w:pPr>
            <w:r>
              <w:rPr>
                <w:rFonts w:ascii="Arial" w:hAnsi="Arial" w:eastAsia="Arial" w:cs="Arial"/>
                <w:spacing w:val="-8"/>
                <w:sz w:val="15"/>
                <w:szCs w:val="15"/>
              </w:rPr>
              <w:t>.102</w:t>
            </w:r>
          </w:p>
          <w:p>
            <w:pPr>
              <w:spacing w:before="43" w:line="191" w:lineRule="auto"/>
              <w:ind w:left="350"/>
              <w:rPr>
                <w:rFonts w:ascii="Arial" w:hAnsi="Arial" w:eastAsia="Arial" w:cs="Arial"/>
                <w:sz w:val="15"/>
                <w:szCs w:val="15"/>
              </w:rPr>
            </w:pPr>
            <w:r>
              <w:rPr>
                <w:rFonts w:ascii="Arial" w:hAnsi="Arial" w:eastAsia="Arial" w:cs="Arial"/>
                <w:spacing w:val="-8"/>
                <w:sz w:val="15"/>
                <w:szCs w:val="15"/>
              </w:rPr>
              <w:t>.066</w:t>
            </w:r>
          </w:p>
          <w:p>
            <w:pPr>
              <w:spacing w:before="42" w:line="193" w:lineRule="auto"/>
              <w:ind w:left="350"/>
              <w:rPr>
                <w:rFonts w:ascii="Arial" w:hAnsi="Arial" w:eastAsia="Arial" w:cs="Arial"/>
                <w:sz w:val="15"/>
                <w:szCs w:val="15"/>
              </w:rPr>
            </w:pPr>
            <w:r>
              <w:rPr>
                <w:rFonts w:ascii="Arial" w:hAnsi="Arial" w:eastAsia="Arial" w:cs="Arial"/>
                <w:spacing w:val="-8"/>
                <w:sz w:val="15"/>
                <w:szCs w:val="15"/>
              </w:rPr>
              <w:t>.142</w:t>
            </w:r>
          </w:p>
          <w:p>
            <w:pPr>
              <w:spacing w:before="41" w:line="191" w:lineRule="auto"/>
              <w:ind w:left="351"/>
              <w:rPr>
                <w:rFonts w:ascii="Arial" w:hAnsi="Arial" w:eastAsia="Arial" w:cs="Arial"/>
                <w:sz w:val="15"/>
                <w:szCs w:val="15"/>
              </w:rPr>
            </w:pPr>
            <w:r>
              <w:rPr>
                <w:rFonts w:ascii="Arial" w:hAnsi="Arial" w:eastAsia="Arial" w:cs="Arial"/>
                <w:spacing w:val="-8"/>
                <w:sz w:val="15"/>
                <w:szCs w:val="15"/>
              </w:rPr>
              <w:t>.086</w:t>
            </w:r>
          </w:p>
          <w:p>
            <w:pPr>
              <w:spacing w:before="43" w:line="180" w:lineRule="auto"/>
              <w:ind w:left="351"/>
              <w:rPr>
                <w:rFonts w:ascii="Arial" w:hAnsi="Arial" w:eastAsia="Arial" w:cs="Arial"/>
                <w:sz w:val="15"/>
                <w:szCs w:val="15"/>
              </w:rPr>
            </w:pPr>
            <w:r>
              <w:rPr>
                <w:rFonts w:ascii="Arial" w:hAnsi="Arial" w:eastAsia="Arial" w:cs="Arial"/>
                <w:spacing w:val="-8"/>
                <w:sz w:val="15"/>
                <w:szCs w:val="15"/>
              </w:rPr>
              <w:t>.092</w:t>
            </w:r>
          </w:p>
        </w:tc>
        <w:tc>
          <w:tcPr>
            <w:tcW w:w="799" w:type="dxa"/>
            <w:tcBorders>
              <w:top w:val="single" w:color="282781" w:sz="4" w:space="0"/>
            </w:tcBorders>
            <w:vAlign w:val="top"/>
          </w:tcPr>
          <w:p>
            <w:pPr>
              <w:spacing w:before="61" w:line="180" w:lineRule="exact"/>
              <w:ind w:left="317"/>
              <w:rPr>
                <w:rFonts w:ascii="Arial" w:hAnsi="Arial" w:eastAsia="Arial" w:cs="Arial"/>
                <w:sz w:val="15"/>
                <w:szCs w:val="15"/>
              </w:rPr>
            </w:pPr>
            <w:r>
              <w:rPr>
                <w:rFonts w:ascii="Arial" w:hAnsi="Arial" w:eastAsia="Arial" w:cs="Arial"/>
                <w:spacing w:val="-8"/>
                <w:position w:val="4"/>
                <w:sz w:val="15"/>
                <w:szCs w:val="15"/>
              </w:rPr>
              <w:t>.060</w:t>
            </w:r>
          </w:p>
          <w:p>
            <w:pPr>
              <w:spacing w:line="182" w:lineRule="auto"/>
              <w:ind w:left="318"/>
              <w:rPr>
                <w:rFonts w:ascii="Arial" w:hAnsi="Arial" w:eastAsia="Arial" w:cs="Arial"/>
                <w:sz w:val="15"/>
                <w:szCs w:val="15"/>
              </w:rPr>
            </w:pPr>
            <w:r>
              <w:rPr>
                <w:rFonts w:ascii="Arial" w:hAnsi="Arial" w:eastAsia="Arial" w:cs="Arial"/>
                <w:spacing w:val="-8"/>
                <w:sz w:val="15"/>
                <w:szCs w:val="15"/>
              </w:rPr>
              <w:t>.166</w:t>
            </w:r>
          </w:p>
          <w:p>
            <w:pPr>
              <w:pStyle w:val="6"/>
              <w:spacing w:line="213" w:lineRule="auto"/>
              <w:ind w:left="212"/>
              <w:rPr>
                <w:rFonts w:ascii="Arial" w:hAnsi="Arial" w:eastAsia="Arial" w:cs="Arial"/>
                <w:sz w:val="15"/>
                <w:szCs w:val="15"/>
              </w:rPr>
            </w:pPr>
            <w:r>
              <w:rPr>
                <w:spacing w:val="-8"/>
                <w:sz w:val="15"/>
                <w:szCs w:val="15"/>
              </w:rPr>
              <w:t>−</w:t>
            </w:r>
            <w:r>
              <w:rPr>
                <w:rFonts w:ascii="Arial" w:hAnsi="Arial" w:eastAsia="Arial" w:cs="Arial"/>
                <w:spacing w:val="-8"/>
                <w:sz w:val="15"/>
                <w:szCs w:val="15"/>
              </w:rPr>
              <w:t>.034</w:t>
            </w:r>
          </w:p>
          <w:p>
            <w:pPr>
              <w:spacing w:line="182" w:lineRule="auto"/>
              <w:ind w:left="318"/>
              <w:rPr>
                <w:rFonts w:ascii="Arial" w:hAnsi="Arial" w:eastAsia="Arial" w:cs="Arial"/>
                <w:sz w:val="15"/>
                <w:szCs w:val="15"/>
              </w:rPr>
            </w:pPr>
            <w:r>
              <w:rPr>
                <w:rFonts w:ascii="Arial" w:hAnsi="Arial" w:eastAsia="Arial" w:cs="Arial"/>
                <w:spacing w:val="-8"/>
                <w:sz w:val="15"/>
                <w:szCs w:val="15"/>
              </w:rPr>
              <w:t>.086</w:t>
            </w:r>
          </w:p>
          <w:p>
            <w:pPr>
              <w:pStyle w:val="6"/>
              <w:spacing w:line="214" w:lineRule="auto"/>
              <w:ind w:left="212"/>
              <w:rPr>
                <w:rFonts w:ascii="Arial" w:hAnsi="Arial" w:eastAsia="Arial" w:cs="Arial"/>
                <w:sz w:val="15"/>
                <w:szCs w:val="15"/>
              </w:rPr>
            </w:pPr>
            <w:r>
              <w:rPr>
                <w:spacing w:val="-8"/>
                <w:sz w:val="15"/>
                <w:szCs w:val="15"/>
              </w:rPr>
              <w:t>−</w:t>
            </w:r>
            <w:r>
              <w:rPr>
                <w:rFonts w:ascii="Arial" w:hAnsi="Arial" w:eastAsia="Arial" w:cs="Arial"/>
                <w:spacing w:val="-8"/>
                <w:sz w:val="15"/>
                <w:szCs w:val="15"/>
              </w:rPr>
              <w:t>.009</w:t>
            </w:r>
          </w:p>
          <w:p>
            <w:pPr>
              <w:spacing w:line="179" w:lineRule="auto"/>
              <w:ind w:left="318"/>
              <w:rPr>
                <w:rFonts w:ascii="Arial" w:hAnsi="Arial" w:eastAsia="Arial" w:cs="Arial"/>
                <w:sz w:val="15"/>
                <w:szCs w:val="15"/>
              </w:rPr>
            </w:pPr>
            <w:r>
              <w:rPr>
                <w:rFonts w:ascii="Arial" w:hAnsi="Arial" w:eastAsia="Arial" w:cs="Arial"/>
                <w:spacing w:val="-8"/>
                <w:sz w:val="15"/>
                <w:szCs w:val="15"/>
              </w:rPr>
              <w:t>.119</w:t>
            </w:r>
          </w:p>
        </w:tc>
        <w:tc>
          <w:tcPr>
            <w:tcW w:w="799" w:type="dxa"/>
            <w:tcBorders>
              <w:top w:val="single" w:color="282781" w:sz="4" w:space="0"/>
            </w:tcBorders>
            <w:vAlign w:val="top"/>
          </w:tcPr>
          <w:p>
            <w:pPr>
              <w:spacing w:before="61" w:line="180" w:lineRule="exact"/>
              <w:ind w:left="319"/>
              <w:rPr>
                <w:rFonts w:ascii="Arial" w:hAnsi="Arial" w:eastAsia="Arial" w:cs="Arial"/>
                <w:sz w:val="15"/>
                <w:szCs w:val="15"/>
              </w:rPr>
            </w:pPr>
            <w:r>
              <w:rPr>
                <w:rFonts w:ascii="Arial" w:hAnsi="Arial" w:eastAsia="Arial" w:cs="Arial"/>
                <w:spacing w:val="-8"/>
                <w:position w:val="4"/>
                <w:sz w:val="15"/>
                <w:szCs w:val="15"/>
              </w:rPr>
              <w:t>.087</w:t>
            </w:r>
          </w:p>
          <w:p>
            <w:pPr>
              <w:spacing w:line="190" w:lineRule="auto"/>
              <w:ind w:left="319"/>
              <w:rPr>
                <w:rFonts w:ascii="Arial" w:hAnsi="Arial" w:eastAsia="Arial" w:cs="Arial"/>
                <w:sz w:val="15"/>
                <w:szCs w:val="15"/>
              </w:rPr>
            </w:pPr>
            <w:r>
              <w:rPr>
                <w:rFonts w:ascii="Arial" w:hAnsi="Arial" w:eastAsia="Arial" w:cs="Arial"/>
                <w:spacing w:val="-8"/>
                <w:sz w:val="15"/>
                <w:szCs w:val="15"/>
              </w:rPr>
              <w:t>.079</w:t>
            </w:r>
          </w:p>
          <w:p>
            <w:pPr>
              <w:spacing w:before="43" w:line="191" w:lineRule="auto"/>
              <w:ind w:left="319"/>
              <w:rPr>
                <w:rFonts w:ascii="Arial" w:hAnsi="Arial" w:eastAsia="Arial" w:cs="Arial"/>
                <w:sz w:val="15"/>
                <w:szCs w:val="15"/>
              </w:rPr>
            </w:pPr>
            <w:r>
              <w:rPr>
                <w:rFonts w:ascii="Arial" w:hAnsi="Arial" w:eastAsia="Arial" w:cs="Arial"/>
                <w:spacing w:val="-8"/>
                <w:sz w:val="15"/>
                <w:szCs w:val="15"/>
              </w:rPr>
              <w:t>.060</w:t>
            </w:r>
          </w:p>
          <w:p>
            <w:pPr>
              <w:spacing w:before="41" w:line="191" w:lineRule="auto"/>
              <w:ind w:left="319"/>
              <w:rPr>
                <w:rFonts w:ascii="Arial" w:hAnsi="Arial" w:eastAsia="Arial" w:cs="Arial"/>
                <w:sz w:val="15"/>
                <w:szCs w:val="15"/>
              </w:rPr>
            </w:pPr>
            <w:r>
              <w:rPr>
                <w:rFonts w:ascii="Arial" w:hAnsi="Arial" w:eastAsia="Arial" w:cs="Arial"/>
                <w:spacing w:val="-8"/>
                <w:sz w:val="15"/>
                <w:szCs w:val="15"/>
              </w:rPr>
              <w:t>.071</w:t>
            </w:r>
          </w:p>
          <w:p>
            <w:pPr>
              <w:spacing w:before="43" w:line="191" w:lineRule="auto"/>
              <w:ind w:left="319"/>
              <w:rPr>
                <w:rFonts w:ascii="Arial" w:hAnsi="Arial" w:eastAsia="Arial" w:cs="Arial"/>
                <w:sz w:val="15"/>
                <w:szCs w:val="15"/>
              </w:rPr>
            </w:pPr>
            <w:r>
              <w:rPr>
                <w:rFonts w:ascii="Arial" w:hAnsi="Arial" w:eastAsia="Arial" w:cs="Arial"/>
                <w:spacing w:val="-8"/>
                <w:sz w:val="15"/>
                <w:szCs w:val="15"/>
              </w:rPr>
              <w:t>.024</w:t>
            </w:r>
          </w:p>
          <w:p>
            <w:pPr>
              <w:spacing w:before="43" w:line="180" w:lineRule="auto"/>
              <w:ind w:left="319"/>
              <w:rPr>
                <w:rFonts w:ascii="Arial" w:hAnsi="Arial" w:eastAsia="Arial" w:cs="Arial"/>
                <w:sz w:val="15"/>
                <w:szCs w:val="15"/>
              </w:rPr>
            </w:pPr>
            <w:r>
              <w:rPr>
                <w:rFonts w:ascii="Arial" w:hAnsi="Arial" w:eastAsia="Arial" w:cs="Arial"/>
                <w:spacing w:val="-8"/>
                <w:sz w:val="15"/>
                <w:szCs w:val="15"/>
              </w:rPr>
              <w:t>.050</w:t>
            </w:r>
          </w:p>
        </w:tc>
        <w:tc>
          <w:tcPr>
            <w:tcW w:w="799" w:type="dxa"/>
            <w:tcBorders>
              <w:top w:val="single" w:color="282781" w:sz="4" w:space="0"/>
            </w:tcBorders>
            <w:vAlign w:val="top"/>
          </w:tcPr>
          <w:p>
            <w:pPr>
              <w:spacing w:before="61" w:line="180" w:lineRule="exact"/>
              <w:ind w:left="319"/>
              <w:rPr>
                <w:rFonts w:ascii="Arial" w:hAnsi="Arial" w:eastAsia="Arial" w:cs="Arial"/>
                <w:sz w:val="15"/>
                <w:szCs w:val="15"/>
              </w:rPr>
            </w:pPr>
            <w:r>
              <w:rPr>
                <w:rFonts w:ascii="Arial" w:hAnsi="Arial" w:eastAsia="Arial" w:cs="Arial"/>
                <w:spacing w:val="-8"/>
                <w:position w:val="4"/>
                <w:sz w:val="15"/>
                <w:szCs w:val="15"/>
              </w:rPr>
              <w:t>.037</w:t>
            </w:r>
          </w:p>
          <w:p>
            <w:pPr>
              <w:spacing w:line="190" w:lineRule="auto"/>
              <w:ind w:left="319"/>
              <w:rPr>
                <w:rFonts w:ascii="Arial" w:hAnsi="Arial" w:eastAsia="Arial" w:cs="Arial"/>
                <w:sz w:val="15"/>
                <w:szCs w:val="15"/>
              </w:rPr>
            </w:pPr>
            <w:r>
              <w:rPr>
                <w:rFonts w:ascii="Arial" w:hAnsi="Arial" w:eastAsia="Arial" w:cs="Arial"/>
                <w:spacing w:val="-8"/>
                <w:sz w:val="15"/>
                <w:szCs w:val="15"/>
              </w:rPr>
              <w:t>.084</w:t>
            </w:r>
          </w:p>
          <w:p>
            <w:pPr>
              <w:spacing w:before="43" w:line="191" w:lineRule="auto"/>
              <w:ind w:left="320"/>
              <w:rPr>
                <w:rFonts w:ascii="Arial" w:hAnsi="Arial" w:eastAsia="Arial" w:cs="Arial"/>
                <w:sz w:val="15"/>
                <w:szCs w:val="15"/>
              </w:rPr>
            </w:pPr>
            <w:r>
              <w:rPr>
                <w:rFonts w:ascii="Arial" w:hAnsi="Arial" w:eastAsia="Arial" w:cs="Arial"/>
                <w:spacing w:val="-8"/>
                <w:sz w:val="15"/>
                <w:szCs w:val="15"/>
              </w:rPr>
              <w:t>.089</w:t>
            </w:r>
          </w:p>
          <w:p>
            <w:pPr>
              <w:spacing w:before="41" w:line="191" w:lineRule="auto"/>
              <w:ind w:left="320"/>
              <w:rPr>
                <w:rFonts w:ascii="Arial" w:hAnsi="Arial" w:eastAsia="Arial" w:cs="Arial"/>
                <w:sz w:val="15"/>
                <w:szCs w:val="15"/>
              </w:rPr>
            </w:pPr>
            <w:r>
              <w:rPr>
                <w:rFonts w:ascii="Arial" w:hAnsi="Arial" w:eastAsia="Arial" w:cs="Arial"/>
                <w:spacing w:val="-8"/>
                <w:sz w:val="15"/>
                <w:szCs w:val="15"/>
              </w:rPr>
              <w:t>.159</w:t>
            </w:r>
          </w:p>
          <w:p>
            <w:pPr>
              <w:spacing w:before="43" w:line="191" w:lineRule="auto"/>
              <w:ind w:left="320"/>
              <w:rPr>
                <w:rFonts w:ascii="Arial" w:hAnsi="Arial" w:eastAsia="Arial" w:cs="Arial"/>
                <w:sz w:val="15"/>
                <w:szCs w:val="15"/>
              </w:rPr>
            </w:pPr>
            <w:r>
              <w:rPr>
                <w:rFonts w:ascii="Arial" w:hAnsi="Arial" w:eastAsia="Arial" w:cs="Arial"/>
                <w:spacing w:val="-8"/>
                <w:sz w:val="15"/>
                <w:szCs w:val="15"/>
              </w:rPr>
              <w:t>.189</w:t>
            </w:r>
          </w:p>
          <w:p>
            <w:pPr>
              <w:spacing w:before="43" w:line="180" w:lineRule="auto"/>
              <w:ind w:left="320"/>
              <w:rPr>
                <w:rFonts w:ascii="Arial" w:hAnsi="Arial" w:eastAsia="Arial" w:cs="Arial"/>
                <w:sz w:val="15"/>
                <w:szCs w:val="15"/>
              </w:rPr>
            </w:pPr>
            <w:r>
              <w:rPr>
                <w:rFonts w:ascii="Arial" w:hAnsi="Arial" w:eastAsia="Arial" w:cs="Arial"/>
                <w:spacing w:val="-8"/>
                <w:sz w:val="15"/>
                <w:szCs w:val="15"/>
              </w:rPr>
              <w:t>.191</w:t>
            </w:r>
          </w:p>
        </w:tc>
        <w:tc>
          <w:tcPr>
            <w:tcW w:w="588" w:type="dxa"/>
            <w:tcBorders>
              <w:top w:val="single" w:color="282781" w:sz="4" w:space="0"/>
            </w:tcBorders>
            <w:vAlign w:val="top"/>
          </w:tcPr>
          <w:p>
            <w:pPr>
              <w:spacing w:before="60" w:line="239" w:lineRule="auto"/>
              <w:ind w:left="321" w:right="18"/>
              <w:jc w:val="both"/>
              <w:rPr>
                <w:rFonts w:ascii="Arial" w:hAnsi="Arial" w:eastAsia="Arial" w:cs="Arial"/>
                <w:sz w:val="15"/>
                <w:szCs w:val="15"/>
              </w:rPr>
            </w:pPr>
            <w:r>
              <w:rPr>
                <w:rFonts w:ascii="Arial" w:hAnsi="Arial" w:eastAsia="Arial" w:cs="Arial"/>
                <w:spacing w:val="-11"/>
                <w:sz w:val="15"/>
                <w:szCs w:val="15"/>
              </w:rPr>
              <w:t>.030</w:t>
            </w:r>
            <w:r>
              <w:rPr>
                <w:rFonts w:ascii="Arial" w:hAnsi="Arial" w:eastAsia="Arial" w:cs="Arial"/>
                <w:sz w:val="15"/>
                <w:szCs w:val="15"/>
              </w:rPr>
              <w:t xml:space="preserve"> </w:t>
            </w:r>
            <w:r>
              <w:rPr>
                <w:rFonts w:ascii="Arial" w:hAnsi="Arial" w:eastAsia="Arial" w:cs="Arial"/>
                <w:spacing w:val="-11"/>
                <w:sz w:val="15"/>
                <w:szCs w:val="15"/>
              </w:rPr>
              <w:t>.020</w:t>
            </w:r>
            <w:r>
              <w:rPr>
                <w:rFonts w:ascii="Arial" w:hAnsi="Arial" w:eastAsia="Arial" w:cs="Arial"/>
                <w:sz w:val="15"/>
                <w:szCs w:val="15"/>
              </w:rPr>
              <w:t xml:space="preserve"> </w:t>
            </w:r>
            <w:r>
              <w:rPr>
                <w:rFonts w:ascii="Arial" w:hAnsi="Arial" w:eastAsia="Arial" w:cs="Arial"/>
                <w:spacing w:val="-11"/>
                <w:sz w:val="15"/>
                <w:szCs w:val="15"/>
              </w:rPr>
              <w:t>.097</w:t>
            </w:r>
            <w:r>
              <w:rPr>
                <w:rFonts w:ascii="Arial" w:hAnsi="Arial" w:eastAsia="Arial" w:cs="Arial"/>
                <w:sz w:val="15"/>
                <w:szCs w:val="15"/>
              </w:rPr>
              <w:t xml:space="preserve"> </w:t>
            </w:r>
            <w:r>
              <w:rPr>
                <w:rFonts w:ascii="Arial" w:hAnsi="Arial" w:eastAsia="Arial" w:cs="Arial"/>
                <w:spacing w:val="-11"/>
                <w:sz w:val="15"/>
                <w:szCs w:val="15"/>
              </w:rPr>
              <w:t>.044</w:t>
            </w:r>
            <w:r>
              <w:rPr>
                <w:rFonts w:ascii="Arial" w:hAnsi="Arial" w:eastAsia="Arial" w:cs="Arial"/>
                <w:sz w:val="15"/>
                <w:szCs w:val="15"/>
              </w:rPr>
              <w:t xml:space="preserve"> </w:t>
            </w:r>
            <w:r>
              <w:rPr>
                <w:rFonts w:ascii="Arial" w:hAnsi="Arial" w:eastAsia="Arial" w:cs="Arial"/>
                <w:spacing w:val="-11"/>
                <w:sz w:val="15"/>
                <w:szCs w:val="15"/>
              </w:rPr>
              <w:t>.129</w:t>
            </w:r>
            <w:r>
              <w:rPr>
                <w:rFonts w:ascii="Arial" w:hAnsi="Arial" w:eastAsia="Arial" w:cs="Arial"/>
                <w:sz w:val="15"/>
                <w:szCs w:val="15"/>
              </w:rPr>
              <w:t xml:space="preserve"> </w:t>
            </w:r>
            <w:r>
              <w:rPr>
                <w:rFonts w:ascii="Arial" w:hAnsi="Arial" w:eastAsia="Arial" w:cs="Arial"/>
                <w:spacing w:val="-11"/>
                <w:sz w:val="15"/>
                <w:szCs w:val="15"/>
              </w:rPr>
              <w:t>.103</w:t>
            </w:r>
          </w:p>
        </w:tc>
        <w:tc>
          <w:tcPr>
            <w:tcW w:w="673" w:type="dxa"/>
            <w:tcBorders>
              <w:top w:val="single" w:color="282781" w:sz="4" w:space="0"/>
            </w:tcBorders>
            <w:vAlign w:val="top"/>
          </w:tcPr>
          <w:p>
            <w:pPr>
              <w:spacing w:before="60" w:line="239" w:lineRule="auto"/>
              <w:ind w:left="424"/>
              <w:jc w:val="both"/>
              <w:rPr>
                <w:rFonts w:ascii="Arial" w:hAnsi="Arial" w:eastAsia="Arial" w:cs="Arial"/>
                <w:sz w:val="15"/>
                <w:szCs w:val="15"/>
              </w:rPr>
            </w:pPr>
            <w:r>
              <w:rPr>
                <w:rFonts w:ascii="Arial" w:hAnsi="Arial" w:eastAsia="Arial" w:cs="Arial"/>
                <w:spacing w:val="-14"/>
                <w:sz w:val="15"/>
                <w:szCs w:val="15"/>
              </w:rPr>
              <w:t>.7</w:t>
            </w:r>
            <w:r>
              <w:rPr>
                <w:rFonts w:ascii="Arial" w:hAnsi="Arial" w:eastAsia="Arial" w:cs="Arial"/>
                <w:spacing w:val="-13"/>
                <w:sz w:val="15"/>
                <w:szCs w:val="15"/>
              </w:rPr>
              <w:t>9</w:t>
            </w:r>
            <w:r>
              <w:rPr>
                <w:rFonts w:ascii="Arial" w:hAnsi="Arial" w:eastAsia="Arial" w:cs="Arial"/>
                <w:spacing w:val="-7"/>
                <w:sz w:val="15"/>
                <w:szCs w:val="15"/>
              </w:rPr>
              <w:t>5</w:t>
            </w:r>
            <w:r>
              <w:rPr>
                <w:rFonts w:ascii="Arial" w:hAnsi="Arial" w:eastAsia="Arial" w:cs="Arial"/>
                <w:spacing w:val="2"/>
                <w:sz w:val="15"/>
                <w:szCs w:val="15"/>
              </w:rPr>
              <w:t xml:space="preserve"> </w:t>
            </w:r>
            <w:r>
              <w:rPr>
                <w:rFonts w:ascii="Arial" w:hAnsi="Arial" w:eastAsia="Arial" w:cs="Arial"/>
                <w:spacing w:val="-14"/>
                <w:sz w:val="15"/>
                <w:szCs w:val="15"/>
              </w:rPr>
              <w:t>.</w:t>
            </w:r>
            <w:r>
              <w:rPr>
                <w:rFonts w:ascii="Arial" w:hAnsi="Arial" w:eastAsia="Arial" w:cs="Arial"/>
                <w:spacing w:val="-13"/>
                <w:sz w:val="15"/>
                <w:szCs w:val="15"/>
              </w:rPr>
              <w:t>79</w:t>
            </w:r>
            <w:r>
              <w:rPr>
                <w:rFonts w:ascii="Arial" w:hAnsi="Arial" w:eastAsia="Arial" w:cs="Arial"/>
                <w:spacing w:val="-8"/>
                <w:sz w:val="15"/>
                <w:szCs w:val="15"/>
              </w:rPr>
              <w:t>6</w:t>
            </w:r>
            <w:r>
              <w:rPr>
                <w:rFonts w:ascii="Arial" w:hAnsi="Arial" w:eastAsia="Arial" w:cs="Arial"/>
                <w:spacing w:val="2"/>
                <w:sz w:val="15"/>
                <w:szCs w:val="15"/>
              </w:rPr>
              <w:t xml:space="preserve"> </w:t>
            </w:r>
            <w:r>
              <w:rPr>
                <w:rFonts w:ascii="Arial" w:hAnsi="Arial" w:eastAsia="Arial" w:cs="Arial"/>
                <w:spacing w:val="-14"/>
                <w:sz w:val="15"/>
                <w:szCs w:val="15"/>
              </w:rPr>
              <w:t>.7</w:t>
            </w:r>
            <w:r>
              <w:rPr>
                <w:rFonts w:ascii="Arial" w:hAnsi="Arial" w:eastAsia="Arial" w:cs="Arial"/>
                <w:spacing w:val="-13"/>
                <w:sz w:val="15"/>
                <w:szCs w:val="15"/>
              </w:rPr>
              <w:t>6</w:t>
            </w:r>
            <w:r>
              <w:rPr>
                <w:rFonts w:ascii="Arial" w:hAnsi="Arial" w:eastAsia="Arial" w:cs="Arial"/>
                <w:spacing w:val="-7"/>
                <w:sz w:val="15"/>
                <w:szCs w:val="15"/>
              </w:rPr>
              <w:t>5</w:t>
            </w:r>
            <w:r>
              <w:rPr>
                <w:rFonts w:ascii="Arial" w:hAnsi="Arial" w:eastAsia="Arial" w:cs="Arial"/>
                <w:spacing w:val="2"/>
                <w:sz w:val="15"/>
                <w:szCs w:val="15"/>
              </w:rPr>
              <w:t xml:space="preserve"> </w:t>
            </w:r>
            <w:r>
              <w:rPr>
                <w:rFonts w:ascii="Arial" w:hAnsi="Arial" w:eastAsia="Arial" w:cs="Arial"/>
                <w:spacing w:val="-14"/>
                <w:sz w:val="15"/>
                <w:szCs w:val="15"/>
              </w:rPr>
              <w:t>.</w:t>
            </w:r>
            <w:r>
              <w:rPr>
                <w:rFonts w:ascii="Arial" w:hAnsi="Arial" w:eastAsia="Arial" w:cs="Arial"/>
                <w:spacing w:val="-13"/>
                <w:sz w:val="15"/>
                <w:szCs w:val="15"/>
              </w:rPr>
              <w:t>79</w:t>
            </w:r>
            <w:r>
              <w:rPr>
                <w:rFonts w:ascii="Arial" w:hAnsi="Arial" w:eastAsia="Arial" w:cs="Arial"/>
                <w:spacing w:val="-8"/>
                <w:sz w:val="15"/>
                <w:szCs w:val="15"/>
              </w:rPr>
              <w:t>0</w:t>
            </w:r>
            <w:r>
              <w:rPr>
                <w:rFonts w:ascii="Arial" w:hAnsi="Arial" w:eastAsia="Arial" w:cs="Arial"/>
                <w:spacing w:val="2"/>
                <w:sz w:val="15"/>
                <w:szCs w:val="15"/>
              </w:rPr>
              <w:t xml:space="preserve"> </w:t>
            </w:r>
            <w:r>
              <w:rPr>
                <w:rFonts w:ascii="Arial" w:hAnsi="Arial" w:eastAsia="Arial" w:cs="Arial"/>
                <w:spacing w:val="-14"/>
                <w:sz w:val="15"/>
                <w:szCs w:val="15"/>
              </w:rPr>
              <w:t>.7</w:t>
            </w:r>
            <w:r>
              <w:rPr>
                <w:rFonts w:ascii="Arial" w:hAnsi="Arial" w:eastAsia="Arial" w:cs="Arial"/>
                <w:spacing w:val="-13"/>
                <w:sz w:val="15"/>
                <w:szCs w:val="15"/>
              </w:rPr>
              <w:t>8</w:t>
            </w:r>
            <w:r>
              <w:rPr>
                <w:rFonts w:ascii="Arial" w:hAnsi="Arial" w:eastAsia="Arial" w:cs="Arial"/>
                <w:spacing w:val="-7"/>
                <w:sz w:val="15"/>
                <w:szCs w:val="15"/>
              </w:rPr>
              <w:t>8</w:t>
            </w:r>
            <w:r>
              <w:rPr>
                <w:rFonts w:ascii="Arial" w:hAnsi="Arial" w:eastAsia="Arial" w:cs="Arial"/>
                <w:spacing w:val="2"/>
                <w:sz w:val="15"/>
                <w:szCs w:val="15"/>
              </w:rPr>
              <w:t xml:space="preserve"> </w:t>
            </w:r>
            <w:r>
              <w:rPr>
                <w:rFonts w:ascii="Arial" w:hAnsi="Arial" w:eastAsia="Arial" w:cs="Arial"/>
                <w:spacing w:val="-14"/>
                <w:sz w:val="15"/>
                <w:szCs w:val="15"/>
              </w:rPr>
              <w:t>.7</w:t>
            </w:r>
            <w:r>
              <w:rPr>
                <w:rFonts w:ascii="Arial" w:hAnsi="Arial" w:eastAsia="Arial" w:cs="Arial"/>
                <w:spacing w:val="-13"/>
                <w:sz w:val="15"/>
                <w:szCs w:val="15"/>
              </w:rPr>
              <w:t>9</w:t>
            </w:r>
            <w:r>
              <w:rPr>
                <w:rFonts w:ascii="Arial" w:hAnsi="Arial" w:eastAsia="Arial" w:cs="Arial"/>
                <w:spacing w:val="-7"/>
                <w:sz w:val="15"/>
                <w:szCs w:val="15"/>
              </w:rPr>
              <w:t>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6" w:hRule="atLeast"/>
        </w:trPr>
        <w:tc>
          <w:tcPr>
            <w:tcW w:w="1816"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before="43" w:line="196" w:lineRule="auto"/>
              <w:ind w:left="7"/>
              <w:rPr>
                <w:rFonts w:ascii="Arial" w:hAnsi="Arial" w:eastAsia="Arial" w:cs="Arial"/>
                <w:sz w:val="15"/>
                <w:szCs w:val="15"/>
              </w:rPr>
            </w:pPr>
            <w:r>
              <w:rPr>
                <w:rFonts w:ascii="Arial" w:hAnsi="Arial" w:eastAsia="Arial" w:cs="Arial"/>
                <w:spacing w:val="-7"/>
                <w:sz w:val="15"/>
                <w:szCs w:val="15"/>
              </w:rPr>
              <w:t>2</w:t>
            </w:r>
            <w:r>
              <w:rPr>
                <w:rFonts w:ascii="Arial" w:hAnsi="Arial" w:eastAsia="Arial" w:cs="Arial"/>
                <w:spacing w:val="17"/>
                <w:sz w:val="15"/>
                <w:szCs w:val="15"/>
              </w:rPr>
              <w:t xml:space="preserve"> </w:t>
            </w:r>
            <w:r>
              <w:rPr>
                <w:rFonts w:ascii="Arial" w:hAnsi="Arial" w:eastAsia="Arial" w:cs="Arial"/>
                <w:spacing w:val="-7"/>
                <w:sz w:val="15"/>
                <w:szCs w:val="15"/>
              </w:rPr>
              <w:t>Communication</w:t>
            </w:r>
          </w:p>
        </w:tc>
        <w:tc>
          <w:tcPr>
            <w:tcW w:w="786" w:type="dxa"/>
            <w:vAlign w:val="top"/>
          </w:tcPr>
          <w:p>
            <w:pPr>
              <w:spacing w:before="38" w:line="107" w:lineRule="exact"/>
              <w:ind w:left="221"/>
              <w:rPr>
                <w:rFonts w:ascii="Arial" w:hAnsi="Arial" w:eastAsia="Arial" w:cs="Arial"/>
                <w:sz w:val="15"/>
                <w:szCs w:val="15"/>
              </w:rPr>
            </w:pPr>
            <w:r>
              <w:rPr>
                <w:rFonts w:ascii="Arial" w:hAnsi="Arial" w:eastAsia="Arial" w:cs="Arial"/>
                <w:spacing w:val="-16"/>
                <w:w w:val="96"/>
                <w:position w:val="-2"/>
                <w:sz w:val="15"/>
                <w:szCs w:val="15"/>
              </w:rPr>
              <w:t>FEE2</w:t>
            </w:r>
          </w:p>
        </w:tc>
        <w:tc>
          <w:tcPr>
            <w:tcW w:w="853" w:type="dxa"/>
            <w:vAlign w:val="top"/>
          </w:tcPr>
          <w:p>
            <w:pPr>
              <w:spacing w:before="41" w:line="104" w:lineRule="exact"/>
              <w:ind w:left="366"/>
              <w:rPr>
                <w:rFonts w:ascii="Arial" w:hAnsi="Arial" w:eastAsia="Arial" w:cs="Arial"/>
                <w:sz w:val="15"/>
                <w:szCs w:val="15"/>
              </w:rPr>
            </w:pPr>
            <w:r>
              <w:rPr>
                <w:rFonts w:ascii="Arial" w:hAnsi="Arial" w:eastAsia="Arial" w:cs="Arial"/>
                <w:spacing w:val="-6"/>
                <w:position w:val="-2"/>
                <w:sz w:val="15"/>
                <w:szCs w:val="15"/>
              </w:rPr>
              <w:t>.824</w:t>
            </w:r>
          </w:p>
        </w:tc>
        <w:tc>
          <w:tcPr>
            <w:tcW w:w="832" w:type="dxa"/>
            <w:vAlign w:val="top"/>
          </w:tcPr>
          <w:p>
            <w:pPr>
              <w:spacing w:before="41" w:line="104" w:lineRule="exact"/>
              <w:ind w:left="351"/>
              <w:rPr>
                <w:rFonts w:ascii="Arial" w:hAnsi="Arial" w:eastAsia="Arial" w:cs="Arial"/>
                <w:sz w:val="15"/>
                <w:szCs w:val="15"/>
              </w:rPr>
            </w:pPr>
            <w:r>
              <w:rPr>
                <w:rFonts w:ascii="Arial" w:hAnsi="Arial" w:eastAsia="Arial" w:cs="Arial"/>
                <w:spacing w:val="-8"/>
                <w:position w:val="-2"/>
                <w:sz w:val="15"/>
                <w:szCs w:val="15"/>
              </w:rPr>
              <w:t>.083</w:t>
            </w:r>
          </w:p>
        </w:tc>
        <w:tc>
          <w:tcPr>
            <w:tcW w:w="799" w:type="dxa"/>
            <w:vAlign w:val="top"/>
          </w:tcPr>
          <w:p>
            <w:pPr>
              <w:spacing w:before="42" w:line="103" w:lineRule="exact"/>
              <w:ind w:left="318"/>
              <w:rPr>
                <w:rFonts w:ascii="Arial" w:hAnsi="Arial" w:eastAsia="Arial" w:cs="Arial"/>
                <w:sz w:val="15"/>
                <w:szCs w:val="15"/>
              </w:rPr>
            </w:pPr>
            <w:r>
              <w:rPr>
                <w:rFonts w:ascii="Arial" w:hAnsi="Arial" w:eastAsia="Arial" w:cs="Arial"/>
                <w:spacing w:val="-8"/>
                <w:position w:val="-2"/>
                <w:sz w:val="15"/>
                <w:szCs w:val="15"/>
              </w:rPr>
              <w:t>.141</w:t>
            </w:r>
          </w:p>
        </w:tc>
        <w:tc>
          <w:tcPr>
            <w:tcW w:w="799" w:type="dxa"/>
            <w:vAlign w:val="top"/>
          </w:tcPr>
          <w:p>
            <w:pPr>
              <w:spacing w:before="41" w:line="104" w:lineRule="exact"/>
              <w:ind w:left="320"/>
              <w:rPr>
                <w:rFonts w:ascii="Arial" w:hAnsi="Arial" w:eastAsia="Arial" w:cs="Arial"/>
                <w:sz w:val="15"/>
                <w:szCs w:val="15"/>
              </w:rPr>
            </w:pPr>
            <w:r>
              <w:rPr>
                <w:rFonts w:ascii="Arial" w:hAnsi="Arial" w:eastAsia="Arial" w:cs="Arial"/>
                <w:spacing w:val="-8"/>
                <w:position w:val="-2"/>
                <w:sz w:val="15"/>
                <w:szCs w:val="15"/>
              </w:rPr>
              <w:t>.123</w:t>
            </w:r>
          </w:p>
        </w:tc>
        <w:tc>
          <w:tcPr>
            <w:tcW w:w="799" w:type="dxa"/>
            <w:vAlign w:val="top"/>
          </w:tcPr>
          <w:p>
            <w:pPr>
              <w:spacing w:before="42" w:line="103" w:lineRule="exact"/>
              <w:ind w:left="320"/>
              <w:rPr>
                <w:rFonts w:ascii="Arial" w:hAnsi="Arial" w:eastAsia="Arial" w:cs="Arial"/>
                <w:sz w:val="15"/>
                <w:szCs w:val="15"/>
              </w:rPr>
            </w:pPr>
            <w:r>
              <w:rPr>
                <w:rFonts w:ascii="Arial" w:hAnsi="Arial" w:eastAsia="Arial" w:cs="Arial"/>
                <w:spacing w:val="-8"/>
                <w:position w:val="-2"/>
                <w:sz w:val="15"/>
                <w:szCs w:val="15"/>
              </w:rPr>
              <w:t>.177</w:t>
            </w:r>
          </w:p>
        </w:tc>
        <w:tc>
          <w:tcPr>
            <w:tcW w:w="588" w:type="dxa"/>
            <w:vAlign w:val="top"/>
          </w:tcPr>
          <w:p>
            <w:pPr>
              <w:spacing w:before="41" w:line="104" w:lineRule="exact"/>
              <w:ind w:right="5"/>
              <w:jc w:val="right"/>
              <w:rPr>
                <w:rFonts w:ascii="Arial" w:hAnsi="Arial" w:eastAsia="Arial" w:cs="Arial"/>
                <w:sz w:val="15"/>
                <w:szCs w:val="15"/>
              </w:rPr>
            </w:pPr>
            <w:r>
              <w:rPr>
                <w:rFonts w:ascii="Arial" w:hAnsi="Arial" w:eastAsia="Arial" w:cs="Arial"/>
                <w:spacing w:val="-8"/>
                <w:position w:val="-2"/>
                <w:sz w:val="15"/>
                <w:szCs w:val="15"/>
              </w:rPr>
              <w:t>.014</w:t>
            </w:r>
          </w:p>
        </w:tc>
        <w:tc>
          <w:tcPr>
            <w:tcW w:w="673" w:type="dxa"/>
            <w:vAlign w:val="top"/>
          </w:tcPr>
          <w:p>
            <w:pPr>
              <w:spacing w:before="41" w:line="104" w:lineRule="exact"/>
              <w:jc w:val="right"/>
              <w:rPr>
                <w:rFonts w:ascii="Arial" w:hAnsi="Arial" w:eastAsia="Arial" w:cs="Arial"/>
                <w:sz w:val="15"/>
                <w:szCs w:val="15"/>
              </w:rPr>
            </w:pPr>
            <w:r>
              <w:rPr>
                <w:rFonts w:ascii="Arial" w:hAnsi="Arial" w:eastAsia="Arial" w:cs="Arial"/>
                <w:spacing w:val="-14"/>
                <w:position w:val="-2"/>
                <w:sz w:val="15"/>
                <w:szCs w:val="15"/>
              </w:rPr>
              <w:t>.</w:t>
            </w:r>
            <w:r>
              <w:rPr>
                <w:rFonts w:ascii="Arial" w:hAnsi="Arial" w:eastAsia="Arial" w:cs="Arial"/>
                <w:spacing w:val="-13"/>
                <w:position w:val="-2"/>
                <w:sz w:val="15"/>
                <w:szCs w:val="15"/>
              </w:rPr>
              <w:t>75</w:t>
            </w:r>
            <w:r>
              <w:rPr>
                <w:rFonts w:ascii="Arial" w:hAnsi="Arial" w:eastAsia="Arial" w:cs="Arial"/>
                <w:spacing w:val="-8"/>
                <w:position w:val="-2"/>
                <w:sz w:val="15"/>
                <w:szCs w:val="15"/>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8" w:hRule="atLeast"/>
        </w:trPr>
        <w:tc>
          <w:tcPr>
            <w:tcW w:w="1816" w:type="dxa"/>
            <w:vMerge w:val="continue"/>
            <w:tcBorders>
              <w:top w:val="nil"/>
              <w:bottom w:val="nil"/>
            </w:tcBorders>
            <w:vAlign w:val="top"/>
          </w:tcPr>
          <w:p>
            <w:pPr>
              <w:rPr>
                <w:rFonts w:ascii="Arial"/>
                <w:sz w:val="21"/>
              </w:rPr>
            </w:pPr>
          </w:p>
        </w:tc>
        <w:tc>
          <w:tcPr>
            <w:tcW w:w="786" w:type="dxa"/>
            <w:vAlign w:val="top"/>
          </w:tcPr>
          <w:p>
            <w:pPr>
              <w:spacing w:before="60" w:line="180" w:lineRule="exact"/>
              <w:ind w:left="211"/>
              <w:rPr>
                <w:rFonts w:ascii="Arial" w:hAnsi="Arial" w:eastAsia="Arial" w:cs="Arial"/>
                <w:sz w:val="15"/>
                <w:szCs w:val="15"/>
              </w:rPr>
            </w:pPr>
            <w:r>
              <w:rPr>
                <w:rFonts w:ascii="Arial" w:hAnsi="Arial" w:eastAsia="Arial" w:cs="Arial"/>
                <w:spacing w:val="-9"/>
                <w:w w:val="94"/>
                <w:position w:val="4"/>
                <w:sz w:val="15"/>
                <w:szCs w:val="15"/>
              </w:rPr>
              <w:t>VOR3</w:t>
            </w:r>
          </w:p>
          <w:p>
            <w:pPr>
              <w:spacing w:line="195" w:lineRule="auto"/>
              <w:ind w:left="215"/>
              <w:rPr>
                <w:rFonts w:ascii="Arial" w:hAnsi="Arial" w:eastAsia="Arial" w:cs="Arial"/>
                <w:sz w:val="15"/>
                <w:szCs w:val="15"/>
              </w:rPr>
            </w:pPr>
            <w:r>
              <w:rPr>
                <w:rFonts w:ascii="Arial" w:hAnsi="Arial" w:eastAsia="Arial" w:cs="Arial"/>
                <w:spacing w:val="-16"/>
                <w:sz w:val="15"/>
                <w:szCs w:val="15"/>
              </w:rPr>
              <w:t>SUP1</w:t>
            </w:r>
          </w:p>
          <w:p>
            <w:pPr>
              <w:spacing w:before="39" w:line="196" w:lineRule="auto"/>
              <w:ind w:left="221"/>
              <w:rPr>
                <w:rFonts w:ascii="Arial" w:hAnsi="Arial" w:eastAsia="Arial" w:cs="Arial"/>
                <w:sz w:val="15"/>
                <w:szCs w:val="15"/>
              </w:rPr>
            </w:pPr>
            <w:r>
              <w:rPr>
                <w:rFonts w:ascii="Arial" w:hAnsi="Arial" w:eastAsia="Arial" w:cs="Arial"/>
                <w:spacing w:val="-14"/>
                <w:sz w:val="15"/>
                <w:szCs w:val="15"/>
              </w:rPr>
              <w:t>DIS3</w:t>
            </w:r>
          </w:p>
        </w:tc>
        <w:tc>
          <w:tcPr>
            <w:tcW w:w="853" w:type="dxa"/>
            <w:vAlign w:val="top"/>
          </w:tcPr>
          <w:p>
            <w:pPr>
              <w:spacing w:before="64" w:line="180" w:lineRule="exact"/>
              <w:ind w:left="366"/>
              <w:rPr>
                <w:rFonts w:ascii="Arial" w:hAnsi="Arial" w:eastAsia="Arial" w:cs="Arial"/>
                <w:sz w:val="15"/>
                <w:szCs w:val="15"/>
              </w:rPr>
            </w:pPr>
            <w:r>
              <w:rPr>
                <w:rFonts w:ascii="Arial" w:hAnsi="Arial" w:eastAsia="Arial" w:cs="Arial"/>
                <w:spacing w:val="-6"/>
                <w:position w:val="4"/>
                <w:sz w:val="15"/>
                <w:szCs w:val="15"/>
              </w:rPr>
              <w:t>.773</w:t>
            </w:r>
          </w:p>
          <w:p>
            <w:pPr>
              <w:spacing w:line="190" w:lineRule="auto"/>
              <w:ind w:left="366"/>
              <w:rPr>
                <w:rFonts w:ascii="Arial" w:hAnsi="Arial" w:eastAsia="Arial" w:cs="Arial"/>
                <w:sz w:val="15"/>
                <w:szCs w:val="15"/>
              </w:rPr>
            </w:pPr>
            <w:r>
              <w:rPr>
                <w:rFonts w:ascii="Arial" w:hAnsi="Arial" w:eastAsia="Arial" w:cs="Arial"/>
                <w:spacing w:val="-6"/>
                <w:sz w:val="15"/>
                <w:szCs w:val="15"/>
              </w:rPr>
              <w:t>.770</w:t>
            </w:r>
          </w:p>
          <w:p>
            <w:pPr>
              <w:spacing w:before="43" w:line="193" w:lineRule="auto"/>
              <w:ind w:left="366"/>
              <w:rPr>
                <w:rFonts w:ascii="Arial" w:hAnsi="Arial" w:eastAsia="Arial" w:cs="Arial"/>
                <w:sz w:val="15"/>
                <w:szCs w:val="15"/>
              </w:rPr>
            </w:pPr>
            <w:r>
              <w:rPr>
                <w:rFonts w:ascii="Arial" w:hAnsi="Arial" w:eastAsia="Arial" w:cs="Arial"/>
                <w:spacing w:val="-9"/>
                <w:sz w:val="15"/>
                <w:szCs w:val="15"/>
              </w:rPr>
              <w:t>.121</w:t>
            </w:r>
          </w:p>
        </w:tc>
        <w:tc>
          <w:tcPr>
            <w:tcW w:w="832" w:type="dxa"/>
            <w:vAlign w:val="top"/>
          </w:tcPr>
          <w:p>
            <w:pPr>
              <w:spacing w:before="64" w:line="180" w:lineRule="exact"/>
              <w:ind w:left="351"/>
              <w:rPr>
                <w:rFonts w:ascii="Arial" w:hAnsi="Arial" w:eastAsia="Arial" w:cs="Arial"/>
                <w:sz w:val="15"/>
                <w:szCs w:val="15"/>
              </w:rPr>
            </w:pPr>
            <w:r>
              <w:rPr>
                <w:rFonts w:ascii="Arial" w:hAnsi="Arial" w:eastAsia="Arial" w:cs="Arial"/>
                <w:spacing w:val="-8"/>
                <w:position w:val="4"/>
                <w:sz w:val="15"/>
                <w:szCs w:val="15"/>
              </w:rPr>
              <w:t>.027</w:t>
            </w:r>
          </w:p>
          <w:p>
            <w:pPr>
              <w:spacing w:line="190" w:lineRule="auto"/>
              <w:ind w:left="351"/>
              <w:rPr>
                <w:rFonts w:ascii="Arial" w:hAnsi="Arial" w:eastAsia="Arial" w:cs="Arial"/>
                <w:sz w:val="15"/>
                <w:szCs w:val="15"/>
              </w:rPr>
            </w:pPr>
            <w:r>
              <w:rPr>
                <w:rFonts w:ascii="Arial" w:hAnsi="Arial" w:eastAsia="Arial" w:cs="Arial"/>
                <w:spacing w:val="-8"/>
                <w:sz w:val="15"/>
                <w:szCs w:val="15"/>
              </w:rPr>
              <w:t>.199</w:t>
            </w:r>
          </w:p>
          <w:p>
            <w:pPr>
              <w:spacing w:before="43" w:line="191" w:lineRule="auto"/>
              <w:ind w:left="351"/>
              <w:rPr>
                <w:rFonts w:ascii="Arial" w:hAnsi="Arial" w:eastAsia="Arial" w:cs="Arial"/>
                <w:sz w:val="15"/>
                <w:szCs w:val="15"/>
              </w:rPr>
            </w:pPr>
            <w:r>
              <w:rPr>
                <w:rFonts w:ascii="Arial" w:hAnsi="Arial" w:eastAsia="Arial" w:cs="Arial"/>
                <w:spacing w:val="-6"/>
                <w:sz w:val="15"/>
                <w:szCs w:val="15"/>
              </w:rPr>
              <w:t>.902</w:t>
            </w:r>
          </w:p>
        </w:tc>
        <w:tc>
          <w:tcPr>
            <w:tcW w:w="799" w:type="dxa"/>
            <w:vAlign w:val="top"/>
          </w:tcPr>
          <w:p>
            <w:pPr>
              <w:spacing w:before="64" w:line="182" w:lineRule="auto"/>
              <w:ind w:left="318"/>
              <w:rPr>
                <w:rFonts w:ascii="Arial" w:hAnsi="Arial" w:eastAsia="Arial" w:cs="Arial"/>
                <w:sz w:val="15"/>
                <w:szCs w:val="15"/>
              </w:rPr>
            </w:pPr>
            <w:r>
              <w:rPr>
                <w:rFonts w:ascii="Arial" w:hAnsi="Arial" w:eastAsia="Arial" w:cs="Arial"/>
                <w:spacing w:val="-8"/>
                <w:sz w:val="15"/>
                <w:szCs w:val="15"/>
              </w:rPr>
              <w:t>.202</w:t>
            </w:r>
          </w:p>
          <w:p>
            <w:pPr>
              <w:pStyle w:val="6"/>
              <w:spacing w:line="214" w:lineRule="auto"/>
              <w:ind w:left="213"/>
              <w:rPr>
                <w:rFonts w:ascii="Arial" w:hAnsi="Arial" w:eastAsia="Arial" w:cs="Arial"/>
                <w:sz w:val="15"/>
                <w:szCs w:val="15"/>
              </w:rPr>
            </w:pPr>
            <w:r>
              <w:rPr>
                <w:spacing w:val="-8"/>
                <w:sz w:val="15"/>
                <w:szCs w:val="15"/>
              </w:rPr>
              <w:t>−</w:t>
            </w:r>
            <w:r>
              <w:rPr>
                <w:rFonts w:ascii="Arial" w:hAnsi="Arial" w:eastAsia="Arial" w:cs="Arial"/>
                <w:spacing w:val="-8"/>
                <w:sz w:val="15"/>
                <w:szCs w:val="15"/>
              </w:rPr>
              <w:t>.091</w:t>
            </w:r>
          </w:p>
          <w:p>
            <w:pPr>
              <w:spacing w:line="190" w:lineRule="auto"/>
              <w:ind w:left="318"/>
              <w:rPr>
                <w:rFonts w:ascii="Arial" w:hAnsi="Arial" w:eastAsia="Arial" w:cs="Arial"/>
                <w:sz w:val="15"/>
                <w:szCs w:val="15"/>
              </w:rPr>
            </w:pPr>
            <w:r>
              <w:rPr>
                <w:rFonts w:ascii="Arial" w:hAnsi="Arial" w:eastAsia="Arial" w:cs="Arial"/>
                <w:spacing w:val="-8"/>
                <w:sz w:val="15"/>
                <w:szCs w:val="15"/>
              </w:rPr>
              <w:t>.028</w:t>
            </w:r>
          </w:p>
        </w:tc>
        <w:tc>
          <w:tcPr>
            <w:tcW w:w="799" w:type="dxa"/>
            <w:vAlign w:val="top"/>
          </w:tcPr>
          <w:p>
            <w:pPr>
              <w:pStyle w:val="6"/>
              <w:spacing w:before="15" w:line="214" w:lineRule="auto"/>
              <w:ind w:left="214"/>
              <w:rPr>
                <w:rFonts w:ascii="Arial" w:hAnsi="Arial" w:eastAsia="Arial" w:cs="Arial"/>
                <w:sz w:val="15"/>
                <w:szCs w:val="15"/>
              </w:rPr>
            </w:pPr>
            <w:r>
              <w:rPr>
                <w:spacing w:val="-8"/>
                <w:sz w:val="15"/>
                <w:szCs w:val="15"/>
              </w:rPr>
              <w:t>−</w:t>
            </w:r>
            <w:r>
              <w:rPr>
                <w:rFonts w:ascii="Arial" w:hAnsi="Arial" w:eastAsia="Arial" w:cs="Arial"/>
                <w:spacing w:val="-8"/>
                <w:sz w:val="15"/>
                <w:szCs w:val="15"/>
              </w:rPr>
              <w:t>.002</w:t>
            </w:r>
          </w:p>
          <w:p>
            <w:pPr>
              <w:spacing w:line="190" w:lineRule="auto"/>
              <w:ind w:left="320"/>
              <w:rPr>
                <w:rFonts w:ascii="Arial" w:hAnsi="Arial" w:eastAsia="Arial" w:cs="Arial"/>
                <w:sz w:val="15"/>
                <w:szCs w:val="15"/>
              </w:rPr>
            </w:pPr>
            <w:r>
              <w:rPr>
                <w:rFonts w:ascii="Arial" w:hAnsi="Arial" w:eastAsia="Arial" w:cs="Arial"/>
                <w:spacing w:val="-8"/>
                <w:sz w:val="15"/>
                <w:szCs w:val="15"/>
              </w:rPr>
              <w:t>.053</w:t>
            </w:r>
          </w:p>
          <w:p>
            <w:pPr>
              <w:spacing w:before="43" w:line="191" w:lineRule="auto"/>
              <w:ind w:left="320"/>
              <w:rPr>
                <w:rFonts w:ascii="Arial" w:hAnsi="Arial" w:eastAsia="Arial" w:cs="Arial"/>
                <w:sz w:val="15"/>
                <w:szCs w:val="15"/>
              </w:rPr>
            </w:pPr>
            <w:r>
              <w:rPr>
                <w:rFonts w:ascii="Arial" w:hAnsi="Arial" w:eastAsia="Arial" w:cs="Arial"/>
                <w:spacing w:val="-8"/>
                <w:sz w:val="15"/>
                <w:szCs w:val="15"/>
              </w:rPr>
              <w:t>.070</w:t>
            </w:r>
          </w:p>
        </w:tc>
        <w:tc>
          <w:tcPr>
            <w:tcW w:w="799" w:type="dxa"/>
            <w:vAlign w:val="top"/>
          </w:tcPr>
          <w:p>
            <w:pPr>
              <w:spacing w:before="64" w:line="179" w:lineRule="exact"/>
              <w:ind w:left="320"/>
              <w:rPr>
                <w:rFonts w:ascii="Arial" w:hAnsi="Arial" w:eastAsia="Arial" w:cs="Arial"/>
                <w:sz w:val="15"/>
                <w:szCs w:val="15"/>
              </w:rPr>
            </w:pPr>
            <w:r>
              <w:rPr>
                <w:rFonts w:ascii="Arial" w:hAnsi="Arial" w:eastAsia="Arial" w:cs="Arial"/>
                <w:spacing w:val="-8"/>
                <w:position w:val="4"/>
                <w:sz w:val="15"/>
                <w:szCs w:val="15"/>
              </w:rPr>
              <w:t>.139</w:t>
            </w:r>
          </w:p>
          <w:p>
            <w:pPr>
              <w:spacing w:line="180" w:lineRule="auto"/>
              <w:ind w:left="320"/>
              <w:rPr>
                <w:rFonts w:ascii="Arial" w:hAnsi="Arial" w:eastAsia="Arial" w:cs="Arial"/>
                <w:sz w:val="15"/>
                <w:szCs w:val="15"/>
              </w:rPr>
            </w:pPr>
            <w:r>
              <w:rPr>
                <w:rFonts w:ascii="Arial" w:hAnsi="Arial" w:eastAsia="Arial" w:cs="Arial"/>
                <w:spacing w:val="-8"/>
                <w:sz w:val="15"/>
                <w:szCs w:val="15"/>
              </w:rPr>
              <w:t>.127</w:t>
            </w:r>
          </w:p>
          <w:p>
            <w:pPr>
              <w:pStyle w:val="6"/>
              <w:spacing w:before="1" w:line="190" w:lineRule="auto"/>
              <w:ind w:left="215"/>
              <w:rPr>
                <w:rFonts w:ascii="Arial" w:hAnsi="Arial" w:eastAsia="Arial" w:cs="Arial"/>
                <w:sz w:val="15"/>
                <w:szCs w:val="15"/>
              </w:rPr>
            </w:pPr>
            <w:r>
              <w:rPr>
                <w:spacing w:val="-8"/>
                <w:sz w:val="15"/>
                <w:szCs w:val="15"/>
              </w:rPr>
              <w:t>−</w:t>
            </w:r>
            <w:r>
              <w:rPr>
                <w:rFonts w:ascii="Arial" w:hAnsi="Arial" w:eastAsia="Arial" w:cs="Arial"/>
                <w:spacing w:val="-8"/>
                <w:sz w:val="15"/>
                <w:szCs w:val="15"/>
              </w:rPr>
              <w:t>.026</w:t>
            </w:r>
          </w:p>
        </w:tc>
        <w:tc>
          <w:tcPr>
            <w:tcW w:w="588" w:type="dxa"/>
            <w:vAlign w:val="top"/>
          </w:tcPr>
          <w:p>
            <w:pPr>
              <w:spacing w:before="63" w:line="231" w:lineRule="auto"/>
              <w:ind w:left="322" w:right="17"/>
              <w:jc w:val="both"/>
              <w:rPr>
                <w:rFonts w:ascii="Arial" w:hAnsi="Arial" w:eastAsia="Arial" w:cs="Arial"/>
                <w:sz w:val="15"/>
                <w:szCs w:val="15"/>
              </w:rPr>
            </w:pPr>
            <w:r>
              <w:rPr>
                <w:rFonts w:ascii="Arial" w:hAnsi="Arial" w:eastAsia="Arial" w:cs="Arial"/>
                <w:spacing w:val="-11"/>
                <w:sz w:val="15"/>
                <w:szCs w:val="15"/>
              </w:rPr>
              <w:t>.025</w:t>
            </w:r>
            <w:r>
              <w:rPr>
                <w:rFonts w:ascii="Arial" w:hAnsi="Arial" w:eastAsia="Arial" w:cs="Arial"/>
                <w:sz w:val="15"/>
                <w:szCs w:val="15"/>
              </w:rPr>
              <w:t xml:space="preserve"> </w:t>
            </w:r>
            <w:r>
              <w:rPr>
                <w:rFonts w:ascii="Arial" w:hAnsi="Arial" w:eastAsia="Arial" w:cs="Arial"/>
                <w:spacing w:val="-11"/>
                <w:sz w:val="15"/>
                <w:szCs w:val="15"/>
              </w:rPr>
              <w:t>.153</w:t>
            </w:r>
            <w:r>
              <w:rPr>
                <w:rFonts w:ascii="Arial" w:hAnsi="Arial" w:eastAsia="Arial" w:cs="Arial"/>
                <w:sz w:val="15"/>
                <w:szCs w:val="15"/>
              </w:rPr>
              <w:t xml:space="preserve"> </w:t>
            </w:r>
            <w:r>
              <w:rPr>
                <w:rFonts w:ascii="Arial" w:hAnsi="Arial" w:eastAsia="Arial" w:cs="Arial"/>
                <w:spacing w:val="-11"/>
                <w:sz w:val="15"/>
                <w:szCs w:val="15"/>
              </w:rPr>
              <w:t>.063</w:t>
            </w:r>
          </w:p>
        </w:tc>
        <w:tc>
          <w:tcPr>
            <w:tcW w:w="673" w:type="dxa"/>
            <w:vAlign w:val="top"/>
          </w:tcPr>
          <w:p>
            <w:pPr>
              <w:spacing w:before="63" w:line="231" w:lineRule="auto"/>
              <w:ind w:left="425"/>
              <w:jc w:val="both"/>
              <w:rPr>
                <w:rFonts w:ascii="Arial" w:hAnsi="Arial" w:eastAsia="Arial" w:cs="Arial"/>
                <w:sz w:val="15"/>
                <w:szCs w:val="15"/>
              </w:rPr>
            </w:pPr>
            <w:r>
              <w:rPr>
                <w:rFonts w:ascii="Arial" w:hAnsi="Arial" w:eastAsia="Arial" w:cs="Arial"/>
                <w:spacing w:val="-14"/>
                <w:sz w:val="15"/>
                <w:szCs w:val="15"/>
              </w:rPr>
              <w:t>.6</w:t>
            </w:r>
            <w:r>
              <w:rPr>
                <w:rFonts w:ascii="Arial" w:hAnsi="Arial" w:eastAsia="Arial" w:cs="Arial"/>
                <w:spacing w:val="-13"/>
                <w:sz w:val="15"/>
                <w:szCs w:val="15"/>
              </w:rPr>
              <w:t>5</w:t>
            </w:r>
            <w:r>
              <w:rPr>
                <w:rFonts w:ascii="Arial" w:hAnsi="Arial" w:eastAsia="Arial" w:cs="Arial"/>
                <w:spacing w:val="-7"/>
                <w:sz w:val="15"/>
                <w:szCs w:val="15"/>
              </w:rPr>
              <w:t>9</w:t>
            </w:r>
            <w:r>
              <w:rPr>
                <w:rFonts w:ascii="Arial" w:hAnsi="Arial" w:eastAsia="Arial" w:cs="Arial"/>
                <w:spacing w:val="2"/>
                <w:sz w:val="15"/>
                <w:szCs w:val="15"/>
              </w:rPr>
              <w:t xml:space="preserve"> </w:t>
            </w:r>
            <w:r>
              <w:rPr>
                <w:rFonts w:ascii="Arial" w:hAnsi="Arial" w:eastAsia="Arial" w:cs="Arial"/>
                <w:spacing w:val="-14"/>
                <w:sz w:val="15"/>
                <w:szCs w:val="15"/>
              </w:rPr>
              <w:t>.</w:t>
            </w:r>
            <w:r>
              <w:rPr>
                <w:rFonts w:ascii="Arial" w:hAnsi="Arial" w:eastAsia="Arial" w:cs="Arial"/>
                <w:spacing w:val="-13"/>
                <w:sz w:val="15"/>
                <w:szCs w:val="15"/>
              </w:rPr>
              <w:t>68</w:t>
            </w:r>
            <w:r>
              <w:rPr>
                <w:rFonts w:ascii="Arial" w:hAnsi="Arial" w:eastAsia="Arial" w:cs="Arial"/>
                <w:spacing w:val="-8"/>
                <w:sz w:val="15"/>
                <w:szCs w:val="15"/>
              </w:rPr>
              <w:t>4</w:t>
            </w:r>
            <w:r>
              <w:rPr>
                <w:rFonts w:ascii="Arial" w:hAnsi="Arial" w:eastAsia="Arial" w:cs="Arial"/>
                <w:spacing w:val="2"/>
                <w:sz w:val="15"/>
                <w:szCs w:val="15"/>
              </w:rPr>
              <w:t xml:space="preserve"> </w:t>
            </w:r>
            <w:r>
              <w:rPr>
                <w:rFonts w:ascii="Arial" w:hAnsi="Arial" w:eastAsia="Arial" w:cs="Arial"/>
                <w:spacing w:val="-14"/>
                <w:sz w:val="15"/>
                <w:szCs w:val="15"/>
              </w:rPr>
              <w:t>.8</w:t>
            </w:r>
            <w:r>
              <w:rPr>
                <w:rFonts w:ascii="Arial" w:hAnsi="Arial" w:eastAsia="Arial" w:cs="Arial"/>
                <w:spacing w:val="-13"/>
                <w:sz w:val="15"/>
                <w:szCs w:val="15"/>
              </w:rPr>
              <w:t>3</w:t>
            </w:r>
            <w:r>
              <w:rPr>
                <w:rFonts w:ascii="Arial" w:hAnsi="Arial" w:eastAsia="Arial" w:cs="Arial"/>
                <w:spacing w:val="-7"/>
                <w:sz w:val="15"/>
                <w:szCs w:val="15"/>
              </w:rPr>
              <w:t>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1" w:hRule="atLeast"/>
        </w:trPr>
        <w:tc>
          <w:tcPr>
            <w:tcW w:w="1816" w:type="dxa"/>
            <w:vMerge w:val="continue"/>
            <w:tcBorders>
              <w:top w:val="nil"/>
              <w:bottom w:val="nil"/>
            </w:tcBorders>
            <w:vAlign w:val="top"/>
          </w:tcPr>
          <w:p>
            <w:pPr>
              <w:rPr>
                <w:rFonts w:ascii="Arial"/>
                <w:sz w:val="21"/>
              </w:rPr>
            </w:pPr>
          </w:p>
        </w:tc>
        <w:tc>
          <w:tcPr>
            <w:tcW w:w="786" w:type="dxa"/>
            <w:vAlign w:val="top"/>
          </w:tcPr>
          <w:p>
            <w:pPr>
              <w:spacing w:before="14" w:line="106" w:lineRule="exact"/>
              <w:ind w:left="221"/>
              <w:rPr>
                <w:rFonts w:ascii="Arial" w:hAnsi="Arial" w:eastAsia="Arial" w:cs="Arial"/>
                <w:sz w:val="15"/>
                <w:szCs w:val="15"/>
              </w:rPr>
            </w:pPr>
            <w:r>
              <w:rPr>
                <w:rFonts w:ascii="Arial" w:hAnsi="Arial" w:eastAsia="Arial" w:cs="Arial"/>
                <w:spacing w:val="-12"/>
                <w:position w:val="-2"/>
                <w:sz w:val="15"/>
                <w:szCs w:val="15"/>
              </w:rPr>
              <w:t>INF1</w:t>
            </w:r>
          </w:p>
        </w:tc>
        <w:tc>
          <w:tcPr>
            <w:tcW w:w="853" w:type="dxa"/>
            <w:vAlign w:val="top"/>
          </w:tcPr>
          <w:p>
            <w:pPr>
              <w:spacing w:before="17" w:line="103" w:lineRule="exact"/>
              <w:ind w:left="366"/>
              <w:rPr>
                <w:rFonts w:ascii="Arial" w:hAnsi="Arial" w:eastAsia="Arial" w:cs="Arial"/>
                <w:sz w:val="15"/>
                <w:szCs w:val="15"/>
              </w:rPr>
            </w:pPr>
            <w:r>
              <w:rPr>
                <w:rFonts w:ascii="Arial" w:hAnsi="Arial" w:eastAsia="Arial" w:cs="Arial"/>
                <w:spacing w:val="-9"/>
                <w:position w:val="-2"/>
                <w:sz w:val="15"/>
                <w:szCs w:val="15"/>
              </w:rPr>
              <w:t>.067</w:t>
            </w:r>
          </w:p>
        </w:tc>
        <w:tc>
          <w:tcPr>
            <w:tcW w:w="832" w:type="dxa"/>
            <w:vAlign w:val="top"/>
          </w:tcPr>
          <w:p>
            <w:pPr>
              <w:spacing w:before="17" w:line="103" w:lineRule="exact"/>
              <w:ind w:left="351"/>
              <w:rPr>
                <w:rFonts w:ascii="Arial" w:hAnsi="Arial" w:eastAsia="Arial" w:cs="Arial"/>
                <w:sz w:val="15"/>
                <w:szCs w:val="15"/>
              </w:rPr>
            </w:pPr>
            <w:r>
              <w:rPr>
                <w:rFonts w:ascii="Arial" w:hAnsi="Arial" w:eastAsia="Arial" w:cs="Arial"/>
                <w:spacing w:val="-6"/>
                <w:position w:val="-2"/>
                <w:sz w:val="15"/>
                <w:szCs w:val="15"/>
              </w:rPr>
              <w:t>.897</w:t>
            </w:r>
          </w:p>
        </w:tc>
        <w:tc>
          <w:tcPr>
            <w:tcW w:w="799" w:type="dxa"/>
            <w:vAlign w:val="top"/>
          </w:tcPr>
          <w:p>
            <w:pPr>
              <w:spacing w:before="17" w:line="103" w:lineRule="exact"/>
              <w:ind w:left="318"/>
              <w:rPr>
                <w:rFonts w:ascii="Arial" w:hAnsi="Arial" w:eastAsia="Arial" w:cs="Arial"/>
                <w:sz w:val="15"/>
                <w:szCs w:val="15"/>
              </w:rPr>
            </w:pPr>
            <w:r>
              <w:rPr>
                <w:rFonts w:ascii="Arial" w:hAnsi="Arial" w:eastAsia="Arial" w:cs="Arial"/>
                <w:spacing w:val="-8"/>
                <w:position w:val="-2"/>
                <w:sz w:val="15"/>
                <w:szCs w:val="15"/>
              </w:rPr>
              <w:t>.005</w:t>
            </w:r>
          </w:p>
        </w:tc>
        <w:tc>
          <w:tcPr>
            <w:tcW w:w="799" w:type="dxa"/>
            <w:vAlign w:val="top"/>
          </w:tcPr>
          <w:p>
            <w:pPr>
              <w:spacing w:before="17" w:line="103" w:lineRule="exact"/>
              <w:ind w:left="320"/>
              <w:rPr>
                <w:rFonts w:ascii="Arial" w:hAnsi="Arial" w:eastAsia="Arial" w:cs="Arial"/>
                <w:sz w:val="15"/>
                <w:szCs w:val="15"/>
              </w:rPr>
            </w:pPr>
            <w:r>
              <w:rPr>
                <w:rFonts w:ascii="Arial" w:hAnsi="Arial" w:eastAsia="Arial" w:cs="Arial"/>
                <w:spacing w:val="-8"/>
                <w:position w:val="-2"/>
                <w:sz w:val="15"/>
                <w:szCs w:val="15"/>
              </w:rPr>
              <w:t>.024</w:t>
            </w:r>
          </w:p>
        </w:tc>
        <w:tc>
          <w:tcPr>
            <w:tcW w:w="799" w:type="dxa"/>
            <w:vAlign w:val="top"/>
          </w:tcPr>
          <w:p>
            <w:pPr>
              <w:spacing w:before="17" w:line="103" w:lineRule="exact"/>
              <w:ind w:left="320"/>
              <w:rPr>
                <w:rFonts w:ascii="Arial" w:hAnsi="Arial" w:eastAsia="Arial" w:cs="Arial"/>
                <w:sz w:val="15"/>
                <w:szCs w:val="15"/>
              </w:rPr>
            </w:pPr>
            <w:r>
              <w:rPr>
                <w:rFonts w:ascii="Arial" w:hAnsi="Arial" w:eastAsia="Arial" w:cs="Arial"/>
                <w:spacing w:val="-8"/>
                <w:position w:val="-2"/>
                <w:sz w:val="15"/>
                <w:szCs w:val="15"/>
              </w:rPr>
              <w:t>.119</w:t>
            </w:r>
          </w:p>
        </w:tc>
        <w:tc>
          <w:tcPr>
            <w:tcW w:w="588" w:type="dxa"/>
            <w:vAlign w:val="top"/>
          </w:tcPr>
          <w:p>
            <w:pPr>
              <w:spacing w:before="17" w:line="103" w:lineRule="exact"/>
              <w:ind w:right="5"/>
              <w:jc w:val="right"/>
              <w:rPr>
                <w:rFonts w:ascii="Arial" w:hAnsi="Arial" w:eastAsia="Arial" w:cs="Arial"/>
                <w:sz w:val="15"/>
                <w:szCs w:val="15"/>
              </w:rPr>
            </w:pPr>
            <w:r>
              <w:rPr>
                <w:rFonts w:ascii="Arial" w:hAnsi="Arial" w:eastAsia="Arial" w:cs="Arial"/>
                <w:spacing w:val="-8"/>
                <w:position w:val="-2"/>
                <w:sz w:val="15"/>
                <w:szCs w:val="15"/>
              </w:rPr>
              <w:t>.068</w:t>
            </w:r>
          </w:p>
        </w:tc>
        <w:tc>
          <w:tcPr>
            <w:tcW w:w="673" w:type="dxa"/>
            <w:vAlign w:val="top"/>
          </w:tcPr>
          <w:p>
            <w:pPr>
              <w:spacing w:before="17" w:line="103" w:lineRule="exact"/>
              <w:jc w:val="right"/>
              <w:rPr>
                <w:rFonts w:ascii="Arial" w:hAnsi="Arial" w:eastAsia="Arial" w:cs="Arial"/>
                <w:sz w:val="15"/>
                <w:szCs w:val="15"/>
              </w:rPr>
            </w:pPr>
            <w:r>
              <w:rPr>
                <w:rFonts w:ascii="Arial" w:hAnsi="Arial" w:eastAsia="Arial" w:cs="Arial"/>
                <w:spacing w:val="-14"/>
                <w:position w:val="-2"/>
                <w:sz w:val="15"/>
                <w:szCs w:val="15"/>
              </w:rPr>
              <w:t>.8</w:t>
            </w:r>
            <w:r>
              <w:rPr>
                <w:rFonts w:ascii="Arial" w:hAnsi="Arial" w:eastAsia="Arial" w:cs="Arial"/>
                <w:spacing w:val="-13"/>
                <w:position w:val="-2"/>
                <w:sz w:val="15"/>
                <w:szCs w:val="15"/>
              </w:rPr>
              <w:t>2</w:t>
            </w:r>
            <w:r>
              <w:rPr>
                <w:rFonts w:ascii="Arial" w:hAnsi="Arial" w:eastAsia="Arial" w:cs="Arial"/>
                <w:spacing w:val="-7"/>
                <w:position w:val="-2"/>
                <w:sz w:val="15"/>
                <w:szCs w:val="15"/>
              </w:rPr>
              <w:t>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8" w:hRule="atLeast"/>
        </w:trPr>
        <w:tc>
          <w:tcPr>
            <w:tcW w:w="1816" w:type="dxa"/>
            <w:vMerge w:val="continue"/>
            <w:tcBorders>
              <w:top w:val="nil"/>
              <w:bottom w:val="nil"/>
            </w:tcBorders>
            <w:vAlign w:val="top"/>
          </w:tcPr>
          <w:p>
            <w:pPr>
              <w:rPr>
                <w:rFonts w:ascii="Arial"/>
                <w:sz w:val="21"/>
              </w:rPr>
            </w:pPr>
          </w:p>
        </w:tc>
        <w:tc>
          <w:tcPr>
            <w:tcW w:w="786" w:type="dxa"/>
            <w:vAlign w:val="top"/>
          </w:tcPr>
          <w:p>
            <w:pPr>
              <w:spacing w:before="61" w:line="196" w:lineRule="auto"/>
              <w:ind w:left="221"/>
              <w:rPr>
                <w:rFonts w:ascii="Arial" w:hAnsi="Arial" w:eastAsia="Arial" w:cs="Arial"/>
                <w:sz w:val="15"/>
                <w:szCs w:val="15"/>
              </w:rPr>
            </w:pPr>
            <w:r>
              <w:rPr>
                <w:rFonts w:ascii="Arial" w:hAnsi="Arial" w:eastAsia="Arial" w:cs="Arial"/>
                <w:spacing w:val="-14"/>
                <w:sz w:val="15"/>
                <w:szCs w:val="15"/>
              </w:rPr>
              <w:t>DIS2</w:t>
            </w:r>
          </w:p>
        </w:tc>
        <w:tc>
          <w:tcPr>
            <w:tcW w:w="853" w:type="dxa"/>
            <w:vAlign w:val="top"/>
          </w:tcPr>
          <w:p>
            <w:pPr>
              <w:spacing w:before="66" w:line="191" w:lineRule="auto"/>
              <w:ind w:left="366"/>
              <w:rPr>
                <w:rFonts w:ascii="Arial" w:hAnsi="Arial" w:eastAsia="Arial" w:cs="Arial"/>
                <w:sz w:val="15"/>
                <w:szCs w:val="15"/>
              </w:rPr>
            </w:pPr>
            <w:r>
              <w:rPr>
                <w:rFonts w:ascii="Arial" w:hAnsi="Arial" w:eastAsia="Arial" w:cs="Arial"/>
                <w:spacing w:val="-9"/>
                <w:sz w:val="15"/>
                <w:szCs w:val="15"/>
              </w:rPr>
              <w:t>.147</w:t>
            </w:r>
          </w:p>
        </w:tc>
        <w:tc>
          <w:tcPr>
            <w:tcW w:w="832" w:type="dxa"/>
            <w:vAlign w:val="top"/>
          </w:tcPr>
          <w:p>
            <w:pPr>
              <w:spacing w:before="65" w:line="191" w:lineRule="auto"/>
              <w:ind w:left="351"/>
              <w:rPr>
                <w:rFonts w:ascii="Arial" w:hAnsi="Arial" w:eastAsia="Arial" w:cs="Arial"/>
                <w:sz w:val="15"/>
                <w:szCs w:val="15"/>
              </w:rPr>
            </w:pPr>
            <w:r>
              <w:rPr>
                <w:rFonts w:ascii="Arial" w:hAnsi="Arial" w:eastAsia="Arial" w:cs="Arial"/>
                <w:spacing w:val="-6"/>
                <w:sz w:val="15"/>
                <w:szCs w:val="15"/>
              </w:rPr>
              <w:t>.875</w:t>
            </w:r>
          </w:p>
        </w:tc>
        <w:tc>
          <w:tcPr>
            <w:tcW w:w="799" w:type="dxa"/>
            <w:vAlign w:val="top"/>
          </w:tcPr>
          <w:p>
            <w:pPr>
              <w:spacing w:before="65" w:line="191" w:lineRule="auto"/>
              <w:ind w:left="318"/>
              <w:rPr>
                <w:rFonts w:ascii="Arial" w:hAnsi="Arial" w:eastAsia="Arial" w:cs="Arial"/>
                <w:sz w:val="15"/>
                <w:szCs w:val="15"/>
              </w:rPr>
            </w:pPr>
            <w:r>
              <w:rPr>
                <w:rFonts w:ascii="Arial" w:hAnsi="Arial" w:eastAsia="Arial" w:cs="Arial"/>
                <w:spacing w:val="-8"/>
                <w:sz w:val="15"/>
                <w:szCs w:val="15"/>
              </w:rPr>
              <w:t>.130</w:t>
            </w:r>
          </w:p>
        </w:tc>
        <w:tc>
          <w:tcPr>
            <w:tcW w:w="799" w:type="dxa"/>
            <w:vAlign w:val="top"/>
          </w:tcPr>
          <w:p>
            <w:pPr>
              <w:pStyle w:val="6"/>
              <w:spacing w:before="16" w:line="188" w:lineRule="auto"/>
              <w:ind w:left="214"/>
              <w:rPr>
                <w:rFonts w:ascii="Arial" w:hAnsi="Arial" w:eastAsia="Arial" w:cs="Arial"/>
                <w:sz w:val="15"/>
                <w:szCs w:val="15"/>
              </w:rPr>
            </w:pPr>
            <w:r>
              <w:rPr>
                <w:spacing w:val="-8"/>
                <w:sz w:val="15"/>
                <w:szCs w:val="15"/>
              </w:rPr>
              <w:t>−</w:t>
            </w:r>
            <w:r>
              <w:rPr>
                <w:rFonts w:ascii="Arial" w:hAnsi="Arial" w:eastAsia="Arial" w:cs="Arial"/>
                <w:spacing w:val="-8"/>
                <w:sz w:val="15"/>
                <w:szCs w:val="15"/>
              </w:rPr>
              <w:t>.034</w:t>
            </w:r>
          </w:p>
        </w:tc>
        <w:tc>
          <w:tcPr>
            <w:tcW w:w="799" w:type="dxa"/>
            <w:vAlign w:val="top"/>
          </w:tcPr>
          <w:p>
            <w:pPr>
              <w:pStyle w:val="6"/>
              <w:spacing w:before="16" w:line="188" w:lineRule="auto"/>
              <w:ind w:left="215"/>
              <w:rPr>
                <w:rFonts w:ascii="Arial" w:hAnsi="Arial" w:eastAsia="Arial" w:cs="Arial"/>
                <w:sz w:val="15"/>
                <w:szCs w:val="15"/>
              </w:rPr>
            </w:pPr>
            <w:r>
              <w:rPr>
                <w:spacing w:val="-8"/>
                <w:sz w:val="15"/>
                <w:szCs w:val="15"/>
              </w:rPr>
              <w:t>−</w:t>
            </w:r>
            <w:r>
              <w:rPr>
                <w:rFonts w:ascii="Arial" w:hAnsi="Arial" w:eastAsia="Arial" w:cs="Arial"/>
                <w:spacing w:val="-8"/>
                <w:sz w:val="15"/>
                <w:szCs w:val="15"/>
              </w:rPr>
              <w:t>.024</w:t>
            </w:r>
          </w:p>
        </w:tc>
        <w:tc>
          <w:tcPr>
            <w:tcW w:w="588" w:type="dxa"/>
            <w:vAlign w:val="top"/>
          </w:tcPr>
          <w:p>
            <w:pPr>
              <w:pStyle w:val="6"/>
              <w:spacing w:before="16" w:line="188" w:lineRule="auto"/>
              <w:ind w:right="7"/>
              <w:jc w:val="right"/>
              <w:rPr>
                <w:rFonts w:ascii="Arial" w:hAnsi="Arial" w:eastAsia="Arial" w:cs="Arial"/>
                <w:sz w:val="15"/>
                <w:szCs w:val="15"/>
              </w:rPr>
            </w:pPr>
            <w:r>
              <w:rPr>
                <w:spacing w:val="-8"/>
                <w:sz w:val="15"/>
                <w:szCs w:val="15"/>
              </w:rPr>
              <w:t>−</w:t>
            </w:r>
            <w:r>
              <w:rPr>
                <w:rFonts w:ascii="Arial" w:hAnsi="Arial" w:eastAsia="Arial" w:cs="Arial"/>
                <w:spacing w:val="-8"/>
                <w:sz w:val="15"/>
                <w:szCs w:val="15"/>
              </w:rPr>
              <w:t>.067</w:t>
            </w:r>
          </w:p>
        </w:tc>
        <w:tc>
          <w:tcPr>
            <w:tcW w:w="673" w:type="dxa"/>
            <w:vAlign w:val="top"/>
          </w:tcPr>
          <w:p>
            <w:pPr>
              <w:spacing w:before="65" w:line="191" w:lineRule="auto"/>
              <w:jc w:val="right"/>
              <w:rPr>
                <w:rFonts w:ascii="Arial" w:hAnsi="Arial" w:eastAsia="Arial" w:cs="Arial"/>
                <w:sz w:val="15"/>
                <w:szCs w:val="15"/>
              </w:rPr>
            </w:pPr>
            <w:r>
              <w:rPr>
                <w:rFonts w:ascii="Arial" w:hAnsi="Arial" w:eastAsia="Arial" w:cs="Arial"/>
                <w:spacing w:val="-14"/>
                <w:sz w:val="15"/>
                <w:szCs w:val="15"/>
              </w:rPr>
              <w:t>.</w:t>
            </w:r>
            <w:r>
              <w:rPr>
                <w:rFonts w:ascii="Arial" w:hAnsi="Arial" w:eastAsia="Arial" w:cs="Arial"/>
                <w:spacing w:val="-13"/>
                <w:sz w:val="15"/>
                <w:szCs w:val="15"/>
              </w:rPr>
              <w:t>81</w:t>
            </w:r>
            <w:r>
              <w:rPr>
                <w:rFonts w:ascii="Arial" w:hAnsi="Arial" w:eastAsia="Arial" w:cs="Arial"/>
                <w:spacing w:val="-8"/>
                <w:sz w:val="15"/>
                <w:szCs w:val="15"/>
              </w:rPr>
              <w:t>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4" w:hRule="atLeast"/>
        </w:trPr>
        <w:tc>
          <w:tcPr>
            <w:tcW w:w="1816" w:type="dxa"/>
            <w:vMerge w:val="continue"/>
            <w:tcBorders>
              <w:top w:val="nil"/>
            </w:tcBorders>
            <w:vAlign w:val="top"/>
          </w:tcPr>
          <w:p>
            <w:pPr>
              <w:rPr>
                <w:rFonts w:ascii="Arial"/>
                <w:sz w:val="21"/>
              </w:rPr>
            </w:pPr>
          </w:p>
        </w:tc>
        <w:tc>
          <w:tcPr>
            <w:tcW w:w="786" w:type="dxa"/>
            <w:vAlign w:val="top"/>
          </w:tcPr>
          <w:p>
            <w:pPr>
              <w:spacing w:before="15" w:line="179" w:lineRule="auto"/>
              <w:ind w:left="221"/>
              <w:rPr>
                <w:rFonts w:ascii="Arial" w:hAnsi="Arial" w:eastAsia="Arial" w:cs="Arial"/>
                <w:sz w:val="15"/>
                <w:szCs w:val="15"/>
              </w:rPr>
            </w:pPr>
            <w:r>
              <w:rPr>
                <w:rFonts w:ascii="Arial" w:hAnsi="Arial" w:eastAsia="Arial" w:cs="Arial"/>
                <w:spacing w:val="-12"/>
                <w:sz w:val="15"/>
                <w:szCs w:val="15"/>
              </w:rPr>
              <w:t>INF2</w:t>
            </w:r>
          </w:p>
        </w:tc>
        <w:tc>
          <w:tcPr>
            <w:tcW w:w="853" w:type="dxa"/>
            <w:vAlign w:val="top"/>
          </w:tcPr>
          <w:p>
            <w:pPr>
              <w:spacing w:before="17" w:line="176" w:lineRule="auto"/>
              <w:ind w:left="366"/>
              <w:rPr>
                <w:rFonts w:ascii="Arial" w:hAnsi="Arial" w:eastAsia="Arial" w:cs="Arial"/>
                <w:sz w:val="15"/>
                <w:szCs w:val="15"/>
              </w:rPr>
            </w:pPr>
            <w:r>
              <w:rPr>
                <w:rFonts w:ascii="Arial" w:hAnsi="Arial" w:eastAsia="Arial" w:cs="Arial"/>
                <w:spacing w:val="-9"/>
                <w:sz w:val="15"/>
                <w:szCs w:val="15"/>
              </w:rPr>
              <w:t>.069</w:t>
            </w:r>
          </w:p>
        </w:tc>
        <w:tc>
          <w:tcPr>
            <w:tcW w:w="832" w:type="dxa"/>
            <w:vAlign w:val="top"/>
          </w:tcPr>
          <w:p>
            <w:pPr>
              <w:spacing w:before="17" w:line="176" w:lineRule="auto"/>
              <w:ind w:left="351"/>
              <w:rPr>
                <w:rFonts w:ascii="Arial" w:hAnsi="Arial" w:eastAsia="Arial" w:cs="Arial"/>
                <w:sz w:val="15"/>
                <w:szCs w:val="15"/>
              </w:rPr>
            </w:pPr>
            <w:r>
              <w:rPr>
                <w:rFonts w:ascii="Arial" w:hAnsi="Arial" w:eastAsia="Arial" w:cs="Arial"/>
                <w:spacing w:val="-6"/>
                <w:sz w:val="15"/>
                <w:szCs w:val="15"/>
              </w:rPr>
              <w:t>.834</w:t>
            </w:r>
          </w:p>
        </w:tc>
        <w:tc>
          <w:tcPr>
            <w:tcW w:w="799" w:type="dxa"/>
            <w:vAlign w:val="top"/>
          </w:tcPr>
          <w:p>
            <w:pPr>
              <w:spacing w:before="17" w:line="176" w:lineRule="auto"/>
              <w:ind w:left="318"/>
              <w:rPr>
                <w:rFonts w:ascii="Arial" w:hAnsi="Arial" w:eastAsia="Arial" w:cs="Arial"/>
                <w:sz w:val="15"/>
                <w:szCs w:val="15"/>
              </w:rPr>
            </w:pPr>
            <w:r>
              <w:rPr>
                <w:rFonts w:ascii="Arial" w:hAnsi="Arial" w:eastAsia="Arial" w:cs="Arial"/>
                <w:spacing w:val="-8"/>
                <w:sz w:val="15"/>
                <w:szCs w:val="15"/>
              </w:rPr>
              <w:t>.016</w:t>
            </w:r>
          </w:p>
        </w:tc>
        <w:tc>
          <w:tcPr>
            <w:tcW w:w="799" w:type="dxa"/>
            <w:vAlign w:val="top"/>
          </w:tcPr>
          <w:p>
            <w:pPr>
              <w:spacing w:before="17" w:line="176" w:lineRule="auto"/>
              <w:ind w:left="320"/>
              <w:rPr>
                <w:rFonts w:ascii="Arial" w:hAnsi="Arial" w:eastAsia="Arial" w:cs="Arial"/>
                <w:sz w:val="15"/>
                <w:szCs w:val="15"/>
              </w:rPr>
            </w:pPr>
            <w:r>
              <w:rPr>
                <w:rFonts w:ascii="Arial" w:hAnsi="Arial" w:eastAsia="Arial" w:cs="Arial"/>
                <w:spacing w:val="-8"/>
                <w:sz w:val="15"/>
                <w:szCs w:val="15"/>
              </w:rPr>
              <w:t>.006</w:t>
            </w:r>
          </w:p>
        </w:tc>
        <w:tc>
          <w:tcPr>
            <w:tcW w:w="799" w:type="dxa"/>
            <w:vAlign w:val="top"/>
          </w:tcPr>
          <w:p>
            <w:pPr>
              <w:spacing w:before="18" w:line="175" w:lineRule="auto"/>
              <w:ind w:left="320"/>
              <w:rPr>
                <w:rFonts w:ascii="Arial" w:hAnsi="Arial" w:eastAsia="Arial" w:cs="Arial"/>
                <w:sz w:val="15"/>
                <w:szCs w:val="15"/>
              </w:rPr>
            </w:pPr>
            <w:r>
              <w:rPr>
                <w:rFonts w:ascii="Arial" w:hAnsi="Arial" w:eastAsia="Arial" w:cs="Arial"/>
                <w:spacing w:val="-8"/>
                <w:sz w:val="15"/>
                <w:szCs w:val="15"/>
              </w:rPr>
              <w:t>.164</w:t>
            </w:r>
          </w:p>
        </w:tc>
        <w:tc>
          <w:tcPr>
            <w:tcW w:w="588" w:type="dxa"/>
            <w:vAlign w:val="top"/>
          </w:tcPr>
          <w:p>
            <w:pPr>
              <w:spacing w:before="17" w:line="176" w:lineRule="auto"/>
              <w:ind w:right="5"/>
              <w:jc w:val="right"/>
              <w:rPr>
                <w:rFonts w:ascii="Arial" w:hAnsi="Arial" w:eastAsia="Arial" w:cs="Arial"/>
                <w:sz w:val="15"/>
                <w:szCs w:val="15"/>
              </w:rPr>
            </w:pPr>
            <w:r>
              <w:rPr>
                <w:rFonts w:ascii="Arial" w:hAnsi="Arial" w:eastAsia="Arial" w:cs="Arial"/>
                <w:spacing w:val="-8"/>
                <w:sz w:val="15"/>
                <w:szCs w:val="15"/>
              </w:rPr>
              <w:t>.090</w:t>
            </w:r>
          </w:p>
        </w:tc>
        <w:tc>
          <w:tcPr>
            <w:tcW w:w="673" w:type="dxa"/>
            <w:vAlign w:val="top"/>
          </w:tcPr>
          <w:p>
            <w:pPr>
              <w:spacing w:before="17" w:line="176" w:lineRule="auto"/>
              <w:jc w:val="right"/>
              <w:rPr>
                <w:rFonts w:ascii="Arial" w:hAnsi="Arial" w:eastAsia="Arial" w:cs="Arial"/>
                <w:sz w:val="15"/>
                <w:szCs w:val="15"/>
              </w:rPr>
            </w:pPr>
            <w:r>
              <w:rPr>
                <w:rFonts w:ascii="Arial" w:hAnsi="Arial" w:eastAsia="Arial" w:cs="Arial"/>
                <w:spacing w:val="-14"/>
                <w:sz w:val="15"/>
                <w:szCs w:val="15"/>
              </w:rPr>
              <w:t>.7</w:t>
            </w:r>
            <w:r>
              <w:rPr>
                <w:rFonts w:ascii="Arial" w:hAnsi="Arial" w:eastAsia="Arial" w:cs="Arial"/>
                <w:spacing w:val="-13"/>
                <w:sz w:val="15"/>
                <w:szCs w:val="15"/>
              </w:rPr>
              <w:t>3</w:t>
            </w:r>
            <w:r>
              <w:rPr>
                <w:rFonts w:ascii="Arial" w:hAnsi="Arial" w:eastAsia="Arial" w:cs="Arial"/>
                <w:spacing w:val="-7"/>
                <w:sz w:val="15"/>
                <w:szCs w:val="15"/>
              </w:rPr>
              <w:t>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5" w:hRule="atLeast"/>
        </w:trPr>
        <w:tc>
          <w:tcPr>
            <w:tcW w:w="1816" w:type="dxa"/>
            <w:vAlign w:val="top"/>
          </w:tcPr>
          <w:p>
            <w:pPr>
              <w:spacing w:line="356" w:lineRule="auto"/>
              <w:rPr>
                <w:rFonts w:ascii="Arial"/>
                <w:sz w:val="21"/>
              </w:rPr>
            </w:pPr>
          </w:p>
          <w:p>
            <w:pPr>
              <w:spacing w:before="43" w:line="196" w:lineRule="auto"/>
              <w:ind w:left="7"/>
              <w:rPr>
                <w:rFonts w:ascii="Arial" w:hAnsi="Arial" w:eastAsia="Arial" w:cs="Arial"/>
                <w:sz w:val="15"/>
                <w:szCs w:val="15"/>
              </w:rPr>
            </w:pPr>
            <w:r>
              <w:rPr>
                <w:rFonts w:ascii="Arial" w:hAnsi="Arial" w:eastAsia="Arial" w:cs="Arial"/>
                <w:spacing w:val="-9"/>
                <w:sz w:val="15"/>
                <w:szCs w:val="15"/>
              </w:rPr>
              <w:t>3</w:t>
            </w:r>
            <w:r>
              <w:rPr>
                <w:rFonts w:ascii="Arial" w:hAnsi="Arial" w:eastAsia="Arial" w:cs="Arial"/>
                <w:spacing w:val="17"/>
                <w:w w:val="101"/>
                <w:sz w:val="15"/>
                <w:szCs w:val="15"/>
              </w:rPr>
              <w:t xml:space="preserve"> </w:t>
            </w:r>
            <w:r>
              <w:rPr>
                <w:rFonts w:ascii="Arial" w:hAnsi="Arial" w:eastAsia="Arial" w:cs="Arial"/>
                <w:spacing w:val="-9"/>
                <w:sz w:val="15"/>
                <w:szCs w:val="15"/>
              </w:rPr>
              <w:t>Engagement</w:t>
            </w:r>
          </w:p>
        </w:tc>
        <w:tc>
          <w:tcPr>
            <w:tcW w:w="786" w:type="dxa"/>
            <w:vAlign w:val="top"/>
          </w:tcPr>
          <w:p>
            <w:pPr>
              <w:spacing w:before="40" w:line="182" w:lineRule="exact"/>
              <w:ind w:left="221"/>
              <w:rPr>
                <w:rFonts w:ascii="Arial" w:hAnsi="Arial" w:eastAsia="Arial" w:cs="Arial"/>
                <w:sz w:val="15"/>
                <w:szCs w:val="15"/>
              </w:rPr>
            </w:pPr>
            <w:r>
              <w:rPr>
                <w:rFonts w:ascii="Arial" w:hAnsi="Arial" w:eastAsia="Arial" w:cs="Arial"/>
                <w:spacing w:val="-14"/>
                <w:position w:val="4"/>
                <w:sz w:val="15"/>
                <w:szCs w:val="15"/>
              </w:rPr>
              <w:t>DIS1</w:t>
            </w:r>
          </w:p>
          <w:p>
            <w:pPr>
              <w:spacing w:line="193" w:lineRule="auto"/>
              <w:ind w:left="221"/>
              <w:rPr>
                <w:rFonts w:ascii="Arial" w:hAnsi="Arial" w:eastAsia="Arial" w:cs="Arial"/>
                <w:sz w:val="15"/>
                <w:szCs w:val="15"/>
              </w:rPr>
            </w:pPr>
            <w:r>
              <w:rPr>
                <w:rFonts w:ascii="Arial" w:hAnsi="Arial" w:eastAsia="Arial" w:cs="Arial"/>
                <w:spacing w:val="-12"/>
                <w:sz w:val="15"/>
                <w:szCs w:val="15"/>
              </w:rPr>
              <w:t>INF3</w:t>
            </w:r>
          </w:p>
          <w:p>
            <w:pPr>
              <w:spacing w:before="38" w:line="195" w:lineRule="auto"/>
              <w:ind w:left="221"/>
              <w:rPr>
                <w:rFonts w:ascii="Arial" w:hAnsi="Arial" w:eastAsia="Arial" w:cs="Arial"/>
                <w:sz w:val="15"/>
                <w:szCs w:val="15"/>
              </w:rPr>
            </w:pPr>
            <w:r>
              <w:rPr>
                <w:rFonts w:ascii="Arial" w:hAnsi="Arial" w:eastAsia="Arial" w:cs="Arial"/>
                <w:spacing w:val="-18"/>
                <w:sz w:val="15"/>
                <w:szCs w:val="15"/>
              </w:rPr>
              <w:t>ENG1</w:t>
            </w:r>
          </w:p>
        </w:tc>
        <w:tc>
          <w:tcPr>
            <w:tcW w:w="853" w:type="dxa"/>
            <w:vAlign w:val="top"/>
          </w:tcPr>
          <w:p>
            <w:pPr>
              <w:spacing w:before="44" w:line="180" w:lineRule="exact"/>
              <w:ind w:left="366"/>
              <w:rPr>
                <w:rFonts w:ascii="Arial" w:hAnsi="Arial" w:eastAsia="Arial" w:cs="Arial"/>
                <w:sz w:val="15"/>
                <w:szCs w:val="15"/>
              </w:rPr>
            </w:pPr>
            <w:r>
              <w:rPr>
                <w:rFonts w:ascii="Arial" w:hAnsi="Arial" w:eastAsia="Arial" w:cs="Arial"/>
                <w:spacing w:val="-9"/>
                <w:position w:val="4"/>
                <w:sz w:val="15"/>
                <w:szCs w:val="15"/>
              </w:rPr>
              <w:t>.187</w:t>
            </w:r>
          </w:p>
          <w:p>
            <w:pPr>
              <w:spacing w:line="190" w:lineRule="auto"/>
              <w:ind w:left="366"/>
              <w:rPr>
                <w:rFonts w:ascii="Arial" w:hAnsi="Arial" w:eastAsia="Arial" w:cs="Arial"/>
                <w:sz w:val="15"/>
                <w:szCs w:val="15"/>
              </w:rPr>
            </w:pPr>
            <w:r>
              <w:rPr>
                <w:rFonts w:ascii="Arial" w:hAnsi="Arial" w:eastAsia="Arial" w:cs="Arial"/>
                <w:spacing w:val="-9"/>
                <w:sz w:val="15"/>
                <w:szCs w:val="15"/>
              </w:rPr>
              <w:t>.061</w:t>
            </w:r>
          </w:p>
          <w:p>
            <w:pPr>
              <w:spacing w:before="41" w:line="191" w:lineRule="auto"/>
              <w:ind w:left="366"/>
              <w:rPr>
                <w:rFonts w:ascii="Arial" w:hAnsi="Arial" w:eastAsia="Arial" w:cs="Arial"/>
                <w:sz w:val="15"/>
                <w:szCs w:val="15"/>
              </w:rPr>
            </w:pPr>
            <w:r>
              <w:rPr>
                <w:rFonts w:ascii="Arial" w:hAnsi="Arial" w:eastAsia="Arial" w:cs="Arial"/>
                <w:spacing w:val="-9"/>
                <w:sz w:val="15"/>
                <w:szCs w:val="15"/>
              </w:rPr>
              <w:t>.078</w:t>
            </w:r>
          </w:p>
        </w:tc>
        <w:tc>
          <w:tcPr>
            <w:tcW w:w="832" w:type="dxa"/>
            <w:vAlign w:val="top"/>
          </w:tcPr>
          <w:p>
            <w:pPr>
              <w:spacing w:before="44" w:line="180" w:lineRule="exact"/>
              <w:ind w:left="351"/>
              <w:rPr>
                <w:rFonts w:ascii="Arial" w:hAnsi="Arial" w:eastAsia="Arial" w:cs="Arial"/>
                <w:sz w:val="15"/>
                <w:szCs w:val="15"/>
              </w:rPr>
            </w:pPr>
            <w:r>
              <w:rPr>
                <w:rFonts w:ascii="Arial" w:hAnsi="Arial" w:eastAsia="Arial" w:cs="Arial"/>
                <w:spacing w:val="-6"/>
                <w:position w:val="4"/>
                <w:sz w:val="15"/>
                <w:szCs w:val="15"/>
              </w:rPr>
              <w:t>.834</w:t>
            </w:r>
          </w:p>
          <w:p>
            <w:pPr>
              <w:spacing w:line="190" w:lineRule="auto"/>
              <w:ind w:left="351"/>
              <w:rPr>
                <w:rFonts w:ascii="Arial" w:hAnsi="Arial" w:eastAsia="Arial" w:cs="Arial"/>
                <w:sz w:val="15"/>
                <w:szCs w:val="15"/>
              </w:rPr>
            </w:pPr>
            <w:r>
              <w:rPr>
                <w:rFonts w:ascii="Arial" w:hAnsi="Arial" w:eastAsia="Arial" w:cs="Arial"/>
                <w:spacing w:val="-6"/>
                <w:sz w:val="15"/>
                <w:szCs w:val="15"/>
              </w:rPr>
              <w:t>.823</w:t>
            </w:r>
          </w:p>
          <w:p>
            <w:pPr>
              <w:spacing w:before="42" w:line="191" w:lineRule="auto"/>
              <w:ind w:left="351"/>
              <w:rPr>
                <w:rFonts w:ascii="Arial" w:hAnsi="Arial" w:eastAsia="Arial" w:cs="Arial"/>
                <w:sz w:val="15"/>
                <w:szCs w:val="15"/>
              </w:rPr>
            </w:pPr>
            <w:r>
              <w:rPr>
                <w:rFonts w:ascii="Arial" w:hAnsi="Arial" w:eastAsia="Arial" w:cs="Arial"/>
                <w:spacing w:val="-9"/>
                <w:sz w:val="15"/>
                <w:szCs w:val="15"/>
              </w:rPr>
              <w:t>.018</w:t>
            </w:r>
          </w:p>
        </w:tc>
        <w:tc>
          <w:tcPr>
            <w:tcW w:w="799" w:type="dxa"/>
            <w:vAlign w:val="top"/>
          </w:tcPr>
          <w:p>
            <w:pPr>
              <w:spacing w:before="44" w:line="182" w:lineRule="auto"/>
              <w:ind w:left="318"/>
              <w:rPr>
                <w:rFonts w:ascii="Arial" w:hAnsi="Arial" w:eastAsia="Arial" w:cs="Arial"/>
                <w:sz w:val="15"/>
                <w:szCs w:val="15"/>
              </w:rPr>
            </w:pPr>
            <w:r>
              <w:rPr>
                <w:rFonts w:ascii="Arial" w:hAnsi="Arial" w:eastAsia="Arial" w:cs="Arial"/>
                <w:spacing w:val="-8"/>
                <w:sz w:val="15"/>
                <w:szCs w:val="15"/>
              </w:rPr>
              <w:t>.132</w:t>
            </w:r>
          </w:p>
          <w:p>
            <w:pPr>
              <w:pStyle w:val="6"/>
              <w:spacing w:line="213" w:lineRule="auto"/>
              <w:ind w:left="213"/>
              <w:rPr>
                <w:rFonts w:ascii="Arial" w:hAnsi="Arial" w:eastAsia="Arial" w:cs="Arial"/>
                <w:sz w:val="15"/>
                <w:szCs w:val="15"/>
              </w:rPr>
            </w:pPr>
            <w:r>
              <w:rPr>
                <w:spacing w:val="-8"/>
                <w:sz w:val="15"/>
                <w:szCs w:val="15"/>
              </w:rPr>
              <w:t>−</w:t>
            </w:r>
            <w:r>
              <w:rPr>
                <w:rFonts w:ascii="Arial" w:hAnsi="Arial" w:eastAsia="Arial" w:cs="Arial"/>
                <w:spacing w:val="-8"/>
                <w:sz w:val="15"/>
                <w:szCs w:val="15"/>
              </w:rPr>
              <w:t>.085</w:t>
            </w:r>
          </w:p>
          <w:p>
            <w:pPr>
              <w:spacing w:line="190" w:lineRule="auto"/>
              <w:ind w:left="318"/>
              <w:rPr>
                <w:rFonts w:ascii="Arial" w:hAnsi="Arial" w:eastAsia="Arial" w:cs="Arial"/>
                <w:sz w:val="15"/>
                <w:szCs w:val="15"/>
              </w:rPr>
            </w:pPr>
            <w:r>
              <w:rPr>
                <w:rFonts w:ascii="Arial" w:hAnsi="Arial" w:eastAsia="Arial" w:cs="Arial"/>
                <w:spacing w:val="-6"/>
                <w:sz w:val="15"/>
                <w:szCs w:val="15"/>
              </w:rPr>
              <w:t>.816</w:t>
            </w:r>
          </w:p>
        </w:tc>
        <w:tc>
          <w:tcPr>
            <w:tcW w:w="799" w:type="dxa"/>
            <w:vAlign w:val="top"/>
          </w:tcPr>
          <w:p>
            <w:pPr>
              <w:spacing w:before="44" w:line="180" w:lineRule="exact"/>
              <w:ind w:left="320"/>
              <w:rPr>
                <w:rFonts w:ascii="Arial" w:hAnsi="Arial" w:eastAsia="Arial" w:cs="Arial"/>
                <w:sz w:val="15"/>
                <w:szCs w:val="15"/>
              </w:rPr>
            </w:pPr>
            <w:r>
              <w:rPr>
                <w:rFonts w:ascii="Arial" w:hAnsi="Arial" w:eastAsia="Arial" w:cs="Arial"/>
                <w:spacing w:val="-8"/>
                <w:position w:val="4"/>
                <w:sz w:val="15"/>
                <w:szCs w:val="15"/>
              </w:rPr>
              <w:t>.067</w:t>
            </w:r>
          </w:p>
          <w:p>
            <w:pPr>
              <w:spacing w:line="190" w:lineRule="auto"/>
              <w:ind w:left="320"/>
              <w:rPr>
                <w:rFonts w:ascii="Arial" w:hAnsi="Arial" w:eastAsia="Arial" w:cs="Arial"/>
                <w:sz w:val="15"/>
                <w:szCs w:val="15"/>
              </w:rPr>
            </w:pPr>
            <w:r>
              <w:rPr>
                <w:rFonts w:ascii="Arial" w:hAnsi="Arial" w:eastAsia="Arial" w:cs="Arial"/>
                <w:spacing w:val="-8"/>
                <w:sz w:val="15"/>
                <w:szCs w:val="15"/>
              </w:rPr>
              <w:t>.099</w:t>
            </w:r>
          </w:p>
          <w:p>
            <w:pPr>
              <w:spacing w:before="41" w:line="191" w:lineRule="auto"/>
              <w:ind w:left="320"/>
              <w:rPr>
                <w:rFonts w:ascii="Arial" w:hAnsi="Arial" w:eastAsia="Arial" w:cs="Arial"/>
                <w:sz w:val="15"/>
                <w:szCs w:val="15"/>
              </w:rPr>
            </w:pPr>
            <w:r>
              <w:rPr>
                <w:rFonts w:ascii="Arial" w:hAnsi="Arial" w:eastAsia="Arial" w:cs="Arial"/>
                <w:spacing w:val="-8"/>
                <w:sz w:val="15"/>
                <w:szCs w:val="15"/>
              </w:rPr>
              <w:t>.250</w:t>
            </w:r>
          </w:p>
        </w:tc>
        <w:tc>
          <w:tcPr>
            <w:tcW w:w="799" w:type="dxa"/>
            <w:vAlign w:val="top"/>
          </w:tcPr>
          <w:p>
            <w:pPr>
              <w:spacing w:before="44" w:line="180" w:lineRule="exact"/>
              <w:ind w:left="320"/>
              <w:rPr>
                <w:rFonts w:ascii="Arial" w:hAnsi="Arial" w:eastAsia="Arial" w:cs="Arial"/>
                <w:sz w:val="15"/>
                <w:szCs w:val="15"/>
              </w:rPr>
            </w:pPr>
            <w:r>
              <w:rPr>
                <w:rFonts w:ascii="Arial" w:hAnsi="Arial" w:eastAsia="Arial" w:cs="Arial"/>
                <w:spacing w:val="-8"/>
                <w:position w:val="4"/>
                <w:sz w:val="15"/>
                <w:szCs w:val="15"/>
              </w:rPr>
              <w:t>.065</w:t>
            </w:r>
          </w:p>
          <w:p>
            <w:pPr>
              <w:spacing w:line="193" w:lineRule="auto"/>
              <w:ind w:left="320"/>
              <w:rPr>
                <w:rFonts w:ascii="Arial" w:hAnsi="Arial" w:eastAsia="Arial" w:cs="Arial"/>
                <w:sz w:val="15"/>
                <w:szCs w:val="15"/>
              </w:rPr>
            </w:pPr>
            <w:r>
              <w:rPr>
                <w:rFonts w:ascii="Arial" w:hAnsi="Arial" w:eastAsia="Arial" w:cs="Arial"/>
                <w:spacing w:val="-8"/>
                <w:sz w:val="15"/>
                <w:szCs w:val="15"/>
              </w:rPr>
              <w:t>.172</w:t>
            </w:r>
          </w:p>
          <w:p>
            <w:pPr>
              <w:spacing w:before="40" w:line="191" w:lineRule="auto"/>
              <w:ind w:left="320"/>
              <w:rPr>
                <w:rFonts w:ascii="Arial" w:hAnsi="Arial" w:eastAsia="Arial" w:cs="Arial"/>
                <w:sz w:val="15"/>
                <w:szCs w:val="15"/>
              </w:rPr>
            </w:pPr>
            <w:r>
              <w:rPr>
                <w:rFonts w:ascii="Arial" w:hAnsi="Arial" w:eastAsia="Arial" w:cs="Arial"/>
                <w:spacing w:val="-8"/>
                <w:sz w:val="15"/>
                <w:szCs w:val="15"/>
              </w:rPr>
              <w:t>.001</w:t>
            </w:r>
          </w:p>
        </w:tc>
        <w:tc>
          <w:tcPr>
            <w:tcW w:w="588" w:type="dxa"/>
            <w:vAlign w:val="top"/>
          </w:tcPr>
          <w:p>
            <w:pPr>
              <w:spacing w:before="44" w:line="230" w:lineRule="auto"/>
              <w:ind w:left="322" w:right="17"/>
              <w:jc w:val="both"/>
              <w:rPr>
                <w:rFonts w:ascii="Arial" w:hAnsi="Arial" w:eastAsia="Arial" w:cs="Arial"/>
                <w:sz w:val="15"/>
                <w:szCs w:val="15"/>
              </w:rPr>
            </w:pPr>
            <w:r>
              <w:rPr>
                <w:rFonts w:ascii="Arial" w:hAnsi="Arial" w:eastAsia="Arial" w:cs="Arial"/>
                <w:spacing w:val="-11"/>
                <w:sz w:val="15"/>
                <w:szCs w:val="15"/>
              </w:rPr>
              <w:t>.075</w:t>
            </w:r>
            <w:r>
              <w:rPr>
                <w:rFonts w:ascii="Arial" w:hAnsi="Arial" w:eastAsia="Arial" w:cs="Arial"/>
                <w:sz w:val="15"/>
                <w:szCs w:val="15"/>
              </w:rPr>
              <w:t xml:space="preserve"> </w:t>
            </w:r>
            <w:r>
              <w:rPr>
                <w:rFonts w:ascii="Arial" w:hAnsi="Arial" w:eastAsia="Arial" w:cs="Arial"/>
                <w:spacing w:val="-11"/>
                <w:sz w:val="15"/>
                <w:szCs w:val="15"/>
              </w:rPr>
              <w:t>.087</w:t>
            </w:r>
            <w:r>
              <w:rPr>
                <w:rFonts w:ascii="Arial" w:hAnsi="Arial" w:eastAsia="Arial" w:cs="Arial"/>
                <w:sz w:val="15"/>
                <w:szCs w:val="15"/>
              </w:rPr>
              <w:t xml:space="preserve"> </w:t>
            </w:r>
            <w:r>
              <w:rPr>
                <w:rFonts w:ascii="Arial" w:hAnsi="Arial" w:eastAsia="Arial" w:cs="Arial"/>
                <w:spacing w:val="-11"/>
                <w:sz w:val="15"/>
                <w:szCs w:val="15"/>
              </w:rPr>
              <w:t>.169</w:t>
            </w:r>
          </w:p>
        </w:tc>
        <w:tc>
          <w:tcPr>
            <w:tcW w:w="673" w:type="dxa"/>
            <w:vAlign w:val="top"/>
          </w:tcPr>
          <w:p>
            <w:pPr>
              <w:spacing w:before="44" w:line="230" w:lineRule="auto"/>
              <w:ind w:left="425"/>
              <w:jc w:val="both"/>
              <w:rPr>
                <w:rFonts w:ascii="Arial" w:hAnsi="Arial" w:eastAsia="Arial" w:cs="Arial"/>
                <w:sz w:val="15"/>
                <w:szCs w:val="15"/>
              </w:rPr>
            </w:pPr>
            <w:r>
              <w:rPr>
                <w:rFonts w:ascii="Arial" w:hAnsi="Arial" w:eastAsia="Arial" w:cs="Arial"/>
                <w:spacing w:val="-14"/>
                <w:sz w:val="15"/>
                <w:szCs w:val="15"/>
              </w:rPr>
              <w:t>.7</w:t>
            </w:r>
            <w:r>
              <w:rPr>
                <w:rFonts w:ascii="Arial" w:hAnsi="Arial" w:eastAsia="Arial" w:cs="Arial"/>
                <w:spacing w:val="-13"/>
                <w:sz w:val="15"/>
                <w:szCs w:val="15"/>
              </w:rPr>
              <w:t>6</w:t>
            </w:r>
            <w:r>
              <w:rPr>
                <w:rFonts w:ascii="Arial" w:hAnsi="Arial" w:eastAsia="Arial" w:cs="Arial"/>
                <w:spacing w:val="-7"/>
                <w:sz w:val="15"/>
                <w:szCs w:val="15"/>
              </w:rPr>
              <w:t>3</w:t>
            </w:r>
            <w:r>
              <w:rPr>
                <w:rFonts w:ascii="Arial" w:hAnsi="Arial" w:eastAsia="Arial" w:cs="Arial"/>
                <w:spacing w:val="2"/>
                <w:sz w:val="15"/>
                <w:szCs w:val="15"/>
              </w:rPr>
              <w:t xml:space="preserve"> </w:t>
            </w:r>
            <w:r>
              <w:rPr>
                <w:rFonts w:ascii="Arial" w:hAnsi="Arial" w:eastAsia="Arial" w:cs="Arial"/>
                <w:spacing w:val="-14"/>
                <w:sz w:val="15"/>
                <w:szCs w:val="15"/>
              </w:rPr>
              <w:t>.</w:t>
            </w:r>
            <w:r>
              <w:rPr>
                <w:rFonts w:ascii="Arial" w:hAnsi="Arial" w:eastAsia="Arial" w:cs="Arial"/>
                <w:spacing w:val="-13"/>
                <w:sz w:val="15"/>
                <w:szCs w:val="15"/>
              </w:rPr>
              <w:t>73</w:t>
            </w:r>
            <w:r>
              <w:rPr>
                <w:rFonts w:ascii="Arial" w:hAnsi="Arial" w:eastAsia="Arial" w:cs="Arial"/>
                <w:spacing w:val="-8"/>
                <w:sz w:val="15"/>
                <w:szCs w:val="15"/>
              </w:rPr>
              <w:t>4</w:t>
            </w:r>
            <w:r>
              <w:rPr>
                <w:rFonts w:ascii="Arial" w:hAnsi="Arial" w:eastAsia="Arial" w:cs="Arial"/>
                <w:spacing w:val="2"/>
                <w:sz w:val="15"/>
                <w:szCs w:val="15"/>
              </w:rPr>
              <w:t xml:space="preserve"> </w:t>
            </w:r>
            <w:r>
              <w:rPr>
                <w:rFonts w:ascii="Arial" w:hAnsi="Arial" w:eastAsia="Arial" w:cs="Arial"/>
                <w:spacing w:val="-14"/>
                <w:sz w:val="15"/>
                <w:szCs w:val="15"/>
              </w:rPr>
              <w:t>.</w:t>
            </w:r>
            <w:r>
              <w:rPr>
                <w:rFonts w:ascii="Arial" w:hAnsi="Arial" w:eastAsia="Arial" w:cs="Arial"/>
                <w:spacing w:val="-13"/>
                <w:sz w:val="15"/>
                <w:szCs w:val="15"/>
              </w:rPr>
              <w:t>76</w:t>
            </w:r>
            <w:r>
              <w:rPr>
                <w:rFonts w:ascii="Arial" w:hAnsi="Arial" w:eastAsia="Arial" w:cs="Arial"/>
                <w:spacing w:val="-8"/>
                <w:sz w:val="15"/>
                <w:szCs w:val="15"/>
              </w:rPr>
              <w:t>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4" w:hRule="atLeast"/>
        </w:trPr>
        <w:tc>
          <w:tcPr>
            <w:tcW w:w="1816" w:type="dxa"/>
            <w:vAlign w:val="top"/>
          </w:tcPr>
          <w:p>
            <w:pPr>
              <w:spacing w:line="340" w:lineRule="auto"/>
              <w:rPr>
                <w:rFonts w:ascii="Arial"/>
                <w:sz w:val="21"/>
              </w:rPr>
            </w:pPr>
          </w:p>
          <w:p>
            <w:pPr>
              <w:spacing w:before="43" w:line="178" w:lineRule="auto"/>
              <w:ind w:left="3"/>
              <w:rPr>
                <w:rFonts w:ascii="Arial" w:hAnsi="Arial" w:eastAsia="Arial" w:cs="Arial"/>
                <w:sz w:val="15"/>
                <w:szCs w:val="15"/>
              </w:rPr>
            </w:pPr>
            <w:r>
              <w:rPr>
                <w:rFonts w:ascii="Arial" w:hAnsi="Arial" w:eastAsia="Arial" w:cs="Arial"/>
                <w:spacing w:val="-6"/>
                <w:sz w:val="15"/>
                <w:szCs w:val="15"/>
              </w:rPr>
              <w:t>4</w:t>
            </w:r>
            <w:r>
              <w:rPr>
                <w:rFonts w:ascii="Arial" w:hAnsi="Arial" w:eastAsia="Arial" w:cs="Arial"/>
                <w:spacing w:val="17"/>
                <w:sz w:val="15"/>
                <w:szCs w:val="15"/>
              </w:rPr>
              <w:t xml:space="preserve"> </w:t>
            </w:r>
            <w:r>
              <w:rPr>
                <w:rFonts w:ascii="Arial" w:hAnsi="Arial" w:eastAsia="Arial" w:cs="Arial"/>
                <w:spacing w:val="-6"/>
                <w:sz w:val="15"/>
                <w:szCs w:val="15"/>
              </w:rPr>
              <w:t>Commitment</w:t>
            </w:r>
          </w:p>
        </w:tc>
        <w:tc>
          <w:tcPr>
            <w:tcW w:w="786" w:type="dxa"/>
            <w:vAlign w:val="top"/>
          </w:tcPr>
          <w:p>
            <w:pPr>
              <w:spacing w:before="25" w:line="180" w:lineRule="exact"/>
              <w:ind w:left="221"/>
              <w:rPr>
                <w:rFonts w:ascii="Arial" w:hAnsi="Arial" w:eastAsia="Arial" w:cs="Arial"/>
                <w:sz w:val="15"/>
                <w:szCs w:val="15"/>
              </w:rPr>
            </w:pPr>
            <w:r>
              <w:rPr>
                <w:rFonts w:ascii="Arial" w:hAnsi="Arial" w:eastAsia="Arial" w:cs="Arial"/>
                <w:spacing w:val="-18"/>
                <w:position w:val="4"/>
                <w:sz w:val="15"/>
                <w:szCs w:val="15"/>
              </w:rPr>
              <w:t>ENG3</w:t>
            </w:r>
          </w:p>
          <w:p>
            <w:pPr>
              <w:spacing w:line="194" w:lineRule="auto"/>
              <w:ind w:left="221"/>
              <w:rPr>
                <w:rFonts w:ascii="Arial" w:hAnsi="Arial" w:eastAsia="Arial" w:cs="Arial"/>
                <w:sz w:val="15"/>
                <w:szCs w:val="15"/>
              </w:rPr>
            </w:pPr>
            <w:r>
              <w:rPr>
                <w:rFonts w:ascii="Arial" w:hAnsi="Arial" w:eastAsia="Arial" w:cs="Arial"/>
                <w:spacing w:val="-15"/>
                <w:w w:val="97"/>
                <w:sz w:val="15"/>
                <w:szCs w:val="15"/>
              </w:rPr>
              <w:t>ENG4</w:t>
            </w:r>
          </w:p>
          <w:p>
            <w:pPr>
              <w:spacing w:before="39" w:line="179" w:lineRule="auto"/>
              <w:ind w:left="215"/>
              <w:rPr>
                <w:rFonts w:ascii="Arial" w:hAnsi="Arial" w:eastAsia="Arial" w:cs="Arial"/>
                <w:sz w:val="15"/>
                <w:szCs w:val="15"/>
              </w:rPr>
            </w:pPr>
            <w:r>
              <w:rPr>
                <w:rFonts w:ascii="Arial" w:hAnsi="Arial" w:eastAsia="Arial" w:cs="Arial"/>
                <w:spacing w:val="-14"/>
                <w:sz w:val="15"/>
                <w:szCs w:val="15"/>
              </w:rPr>
              <w:t>COM1</w:t>
            </w:r>
          </w:p>
        </w:tc>
        <w:tc>
          <w:tcPr>
            <w:tcW w:w="853" w:type="dxa"/>
            <w:vAlign w:val="top"/>
          </w:tcPr>
          <w:p>
            <w:pPr>
              <w:spacing w:before="28" w:line="181" w:lineRule="exact"/>
              <w:ind w:left="366"/>
              <w:rPr>
                <w:rFonts w:ascii="Arial" w:hAnsi="Arial" w:eastAsia="Arial" w:cs="Arial"/>
                <w:sz w:val="15"/>
                <w:szCs w:val="15"/>
              </w:rPr>
            </w:pPr>
            <w:r>
              <w:rPr>
                <w:rFonts w:ascii="Arial" w:hAnsi="Arial" w:eastAsia="Arial" w:cs="Arial"/>
                <w:spacing w:val="-9"/>
                <w:position w:val="4"/>
                <w:sz w:val="15"/>
                <w:szCs w:val="15"/>
              </w:rPr>
              <w:t>.096</w:t>
            </w:r>
          </w:p>
          <w:p>
            <w:pPr>
              <w:spacing w:line="190" w:lineRule="auto"/>
              <w:ind w:left="366"/>
              <w:rPr>
                <w:rFonts w:ascii="Arial" w:hAnsi="Arial" w:eastAsia="Arial" w:cs="Arial"/>
                <w:sz w:val="15"/>
                <w:szCs w:val="15"/>
              </w:rPr>
            </w:pPr>
            <w:r>
              <w:rPr>
                <w:rFonts w:ascii="Arial" w:hAnsi="Arial" w:eastAsia="Arial" w:cs="Arial"/>
                <w:spacing w:val="-9"/>
                <w:sz w:val="15"/>
                <w:szCs w:val="15"/>
              </w:rPr>
              <w:t>.178</w:t>
            </w:r>
          </w:p>
          <w:p>
            <w:pPr>
              <w:spacing w:before="43" w:line="173" w:lineRule="auto"/>
              <w:ind w:left="366"/>
              <w:rPr>
                <w:rFonts w:ascii="Arial" w:hAnsi="Arial" w:eastAsia="Arial" w:cs="Arial"/>
                <w:sz w:val="15"/>
                <w:szCs w:val="15"/>
              </w:rPr>
            </w:pPr>
            <w:r>
              <w:rPr>
                <w:rFonts w:ascii="Arial" w:hAnsi="Arial" w:eastAsia="Arial" w:cs="Arial"/>
                <w:spacing w:val="-9"/>
                <w:sz w:val="15"/>
                <w:szCs w:val="15"/>
              </w:rPr>
              <w:t>.066</w:t>
            </w:r>
          </w:p>
        </w:tc>
        <w:tc>
          <w:tcPr>
            <w:tcW w:w="832" w:type="dxa"/>
            <w:vAlign w:val="top"/>
          </w:tcPr>
          <w:p>
            <w:pPr>
              <w:spacing w:before="29" w:line="182" w:lineRule="auto"/>
              <w:ind w:left="351"/>
              <w:rPr>
                <w:rFonts w:ascii="Arial" w:hAnsi="Arial" w:eastAsia="Arial" w:cs="Arial"/>
                <w:sz w:val="15"/>
                <w:szCs w:val="15"/>
              </w:rPr>
            </w:pPr>
            <w:r>
              <w:rPr>
                <w:rFonts w:ascii="Arial" w:hAnsi="Arial" w:eastAsia="Arial" w:cs="Arial"/>
                <w:spacing w:val="-9"/>
                <w:sz w:val="15"/>
                <w:szCs w:val="15"/>
              </w:rPr>
              <w:t>.183</w:t>
            </w:r>
          </w:p>
          <w:p>
            <w:pPr>
              <w:pStyle w:val="6"/>
              <w:spacing w:line="214" w:lineRule="auto"/>
              <w:ind w:left="245"/>
              <w:rPr>
                <w:rFonts w:ascii="Arial" w:hAnsi="Arial" w:eastAsia="Arial" w:cs="Arial"/>
                <w:sz w:val="15"/>
                <w:szCs w:val="15"/>
              </w:rPr>
            </w:pPr>
            <w:r>
              <w:rPr>
                <w:spacing w:val="-8"/>
                <w:sz w:val="15"/>
                <w:szCs w:val="15"/>
              </w:rPr>
              <w:t>−</w:t>
            </w:r>
            <w:r>
              <w:rPr>
                <w:rFonts w:ascii="Arial" w:hAnsi="Arial" w:eastAsia="Arial" w:cs="Arial"/>
                <w:spacing w:val="-8"/>
                <w:sz w:val="15"/>
                <w:szCs w:val="15"/>
              </w:rPr>
              <w:t>.044</w:t>
            </w:r>
          </w:p>
          <w:p>
            <w:pPr>
              <w:spacing w:line="173" w:lineRule="auto"/>
              <w:ind w:left="351"/>
              <w:rPr>
                <w:rFonts w:ascii="Arial" w:hAnsi="Arial" w:eastAsia="Arial" w:cs="Arial"/>
                <w:sz w:val="15"/>
                <w:szCs w:val="15"/>
              </w:rPr>
            </w:pPr>
            <w:r>
              <w:rPr>
                <w:rFonts w:ascii="Arial" w:hAnsi="Arial" w:eastAsia="Arial" w:cs="Arial"/>
                <w:spacing w:val="-9"/>
                <w:sz w:val="15"/>
                <w:szCs w:val="15"/>
              </w:rPr>
              <w:t>.041</w:t>
            </w:r>
          </w:p>
        </w:tc>
        <w:tc>
          <w:tcPr>
            <w:tcW w:w="799" w:type="dxa"/>
            <w:vAlign w:val="top"/>
          </w:tcPr>
          <w:p>
            <w:pPr>
              <w:spacing w:before="28" w:line="181" w:lineRule="exact"/>
              <w:ind w:left="318"/>
              <w:rPr>
                <w:rFonts w:ascii="Arial" w:hAnsi="Arial" w:eastAsia="Arial" w:cs="Arial"/>
                <w:sz w:val="15"/>
                <w:szCs w:val="15"/>
              </w:rPr>
            </w:pPr>
            <w:r>
              <w:rPr>
                <w:rFonts w:ascii="Arial" w:hAnsi="Arial" w:eastAsia="Arial" w:cs="Arial"/>
                <w:spacing w:val="-6"/>
                <w:position w:val="4"/>
                <w:sz w:val="15"/>
                <w:szCs w:val="15"/>
              </w:rPr>
              <w:t>.730</w:t>
            </w:r>
          </w:p>
          <w:p>
            <w:pPr>
              <w:spacing w:line="190" w:lineRule="auto"/>
              <w:ind w:left="318"/>
              <w:rPr>
                <w:rFonts w:ascii="Arial" w:hAnsi="Arial" w:eastAsia="Arial" w:cs="Arial"/>
                <w:sz w:val="15"/>
                <w:szCs w:val="15"/>
              </w:rPr>
            </w:pPr>
            <w:r>
              <w:rPr>
                <w:rFonts w:ascii="Arial" w:hAnsi="Arial" w:eastAsia="Arial" w:cs="Arial"/>
                <w:spacing w:val="-6"/>
                <w:sz w:val="15"/>
                <w:szCs w:val="15"/>
              </w:rPr>
              <w:t>.680</w:t>
            </w:r>
          </w:p>
          <w:p>
            <w:pPr>
              <w:spacing w:before="43" w:line="173" w:lineRule="auto"/>
              <w:ind w:left="318"/>
              <w:rPr>
                <w:rFonts w:ascii="Arial" w:hAnsi="Arial" w:eastAsia="Arial" w:cs="Arial"/>
                <w:sz w:val="15"/>
                <w:szCs w:val="15"/>
              </w:rPr>
            </w:pPr>
            <w:r>
              <w:rPr>
                <w:rFonts w:ascii="Arial" w:hAnsi="Arial" w:eastAsia="Arial" w:cs="Arial"/>
                <w:spacing w:val="-9"/>
                <w:sz w:val="15"/>
                <w:szCs w:val="15"/>
              </w:rPr>
              <w:t>.072</w:t>
            </w:r>
          </w:p>
        </w:tc>
        <w:tc>
          <w:tcPr>
            <w:tcW w:w="799" w:type="dxa"/>
            <w:vAlign w:val="top"/>
          </w:tcPr>
          <w:p>
            <w:pPr>
              <w:spacing w:before="28" w:line="181" w:lineRule="exact"/>
              <w:ind w:left="320"/>
              <w:rPr>
                <w:rFonts w:ascii="Arial" w:hAnsi="Arial" w:eastAsia="Arial" w:cs="Arial"/>
                <w:sz w:val="15"/>
                <w:szCs w:val="15"/>
              </w:rPr>
            </w:pPr>
            <w:r>
              <w:rPr>
                <w:rFonts w:ascii="Arial" w:hAnsi="Arial" w:eastAsia="Arial" w:cs="Arial"/>
                <w:spacing w:val="-8"/>
                <w:position w:val="4"/>
                <w:sz w:val="15"/>
                <w:szCs w:val="15"/>
              </w:rPr>
              <w:t>.197</w:t>
            </w:r>
          </w:p>
          <w:p>
            <w:pPr>
              <w:spacing w:line="190" w:lineRule="auto"/>
              <w:ind w:left="320"/>
              <w:rPr>
                <w:rFonts w:ascii="Arial" w:hAnsi="Arial" w:eastAsia="Arial" w:cs="Arial"/>
                <w:sz w:val="15"/>
                <w:szCs w:val="15"/>
              </w:rPr>
            </w:pPr>
            <w:r>
              <w:rPr>
                <w:rFonts w:ascii="Arial" w:hAnsi="Arial" w:eastAsia="Arial" w:cs="Arial"/>
                <w:spacing w:val="-8"/>
                <w:sz w:val="15"/>
                <w:szCs w:val="15"/>
              </w:rPr>
              <w:t>.139</w:t>
            </w:r>
          </w:p>
          <w:p>
            <w:pPr>
              <w:spacing w:before="43" w:line="173" w:lineRule="auto"/>
              <w:ind w:left="320"/>
              <w:rPr>
                <w:rFonts w:ascii="Arial" w:hAnsi="Arial" w:eastAsia="Arial" w:cs="Arial"/>
                <w:sz w:val="15"/>
                <w:szCs w:val="15"/>
              </w:rPr>
            </w:pPr>
            <w:r>
              <w:rPr>
                <w:rFonts w:ascii="Arial" w:hAnsi="Arial" w:eastAsia="Arial" w:cs="Arial"/>
                <w:spacing w:val="-6"/>
                <w:sz w:val="15"/>
                <w:szCs w:val="15"/>
              </w:rPr>
              <w:t>.839</w:t>
            </w:r>
          </w:p>
        </w:tc>
        <w:tc>
          <w:tcPr>
            <w:tcW w:w="799" w:type="dxa"/>
            <w:vAlign w:val="top"/>
          </w:tcPr>
          <w:p>
            <w:pPr>
              <w:spacing w:before="28" w:line="181" w:lineRule="exact"/>
              <w:ind w:left="320"/>
              <w:rPr>
                <w:rFonts w:ascii="Arial" w:hAnsi="Arial" w:eastAsia="Arial" w:cs="Arial"/>
                <w:sz w:val="15"/>
                <w:szCs w:val="15"/>
              </w:rPr>
            </w:pPr>
            <w:r>
              <w:rPr>
                <w:rFonts w:ascii="Arial" w:hAnsi="Arial" w:eastAsia="Arial" w:cs="Arial"/>
                <w:spacing w:val="-8"/>
                <w:position w:val="4"/>
                <w:sz w:val="15"/>
                <w:szCs w:val="15"/>
              </w:rPr>
              <w:t>.106</w:t>
            </w:r>
          </w:p>
          <w:p>
            <w:pPr>
              <w:spacing w:line="190" w:lineRule="auto"/>
              <w:ind w:left="320"/>
              <w:rPr>
                <w:rFonts w:ascii="Arial" w:hAnsi="Arial" w:eastAsia="Arial" w:cs="Arial"/>
                <w:sz w:val="15"/>
                <w:szCs w:val="15"/>
              </w:rPr>
            </w:pPr>
            <w:r>
              <w:rPr>
                <w:rFonts w:ascii="Arial" w:hAnsi="Arial" w:eastAsia="Arial" w:cs="Arial"/>
                <w:spacing w:val="-8"/>
                <w:sz w:val="15"/>
                <w:szCs w:val="15"/>
              </w:rPr>
              <w:t>.143</w:t>
            </w:r>
          </w:p>
          <w:p>
            <w:pPr>
              <w:spacing w:before="43" w:line="173" w:lineRule="auto"/>
              <w:ind w:left="320"/>
              <w:rPr>
                <w:rFonts w:ascii="Arial" w:hAnsi="Arial" w:eastAsia="Arial" w:cs="Arial"/>
                <w:sz w:val="15"/>
                <w:szCs w:val="15"/>
              </w:rPr>
            </w:pPr>
            <w:r>
              <w:rPr>
                <w:rFonts w:ascii="Arial" w:hAnsi="Arial" w:eastAsia="Arial" w:cs="Arial"/>
                <w:spacing w:val="-8"/>
                <w:sz w:val="15"/>
                <w:szCs w:val="15"/>
              </w:rPr>
              <w:t>.058</w:t>
            </w:r>
          </w:p>
        </w:tc>
        <w:tc>
          <w:tcPr>
            <w:tcW w:w="588" w:type="dxa"/>
            <w:vAlign w:val="top"/>
          </w:tcPr>
          <w:p>
            <w:pPr>
              <w:spacing w:before="28" w:line="225" w:lineRule="auto"/>
              <w:ind w:left="322" w:right="17"/>
              <w:jc w:val="both"/>
              <w:rPr>
                <w:rFonts w:ascii="Arial" w:hAnsi="Arial" w:eastAsia="Arial" w:cs="Arial"/>
                <w:sz w:val="15"/>
                <w:szCs w:val="15"/>
              </w:rPr>
            </w:pPr>
            <w:r>
              <w:rPr>
                <w:rFonts w:ascii="Arial" w:hAnsi="Arial" w:eastAsia="Arial" w:cs="Arial"/>
                <w:spacing w:val="-11"/>
                <w:sz w:val="15"/>
                <w:szCs w:val="15"/>
              </w:rPr>
              <w:t>.199</w:t>
            </w:r>
            <w:r>
              <w:rPr>
                <w:rFonts w:ascii="Arial" w:hAnsi="Arial" w:eastAsia="Arial" w:cs="Arial"/>
                <w:sz w:val="15"/>
                <w:szCs w:val="15"/>
              </w:rPr>
              <w:t xml:space="preserve"> </w:t>
            </w:r>
            <w:r>
              <w:rPr>
                <w:rFonts w:ascii="Arial" w:hAnsi="Arial" w:eastAsia="Arial" w:cs="Arial"/>
                <w:spacing w:val="-11"/>
                <w:sz w:val="15"/>
                <w:szCs w:val="15"/>
              </w:rPr>
              <w:t>.233</w:t>
            </w:r>
            <w:r>
              <w:rPr>
                <w:rFonts w:ascii="Arial" w:hAnsi="Arial" w:eastAsia="Arial" w:cs="Arial"/>
                <w:sz w:val="15"/>
                <w:szCs w:val="15"/>
              </w:rPr>
              <w:t xml:space="preserve"> </w:t>
            </w:r>
            <w:r>
              <w:rPr>
                <w:rFonts w:ascii="Arial" w:hAnsi="Arial" w:eastAsia="Arial" w:cs="Arial"/>
                <w:spacing w:val="-11"/>
                <w:sz w:val="15"/>
                <w:szCs w:val="15"/>
              </w:rPr>
              <w:t>.245</w:t>
            </w:r>
          </w:p>
        </w:tc>
        <w:tc>
          <w:tcPr>
            <w:tcW w:w="673" w:type="dxa"/>
            <w:vAlign w:val="top"/>
          </w:tcPr>
          <w:p>
            <w:pPr>
              <w:spacing w:before="28" w:line="225" w:lineRule="auto"/>
              <w:ind w:left="425"/>
              <w:jc w:val="both"/>
              <w:rPr>
                <w:rFonts w:ascii="Arial" w:hAnsi="Arial" w:eastAsia="Arial" w:cs="Arial"/>
                <w:sz w:val="15"/>
                <w:szCs w:val="15"/>
              </w:rPr>
            </w:pPr>
            <w:r>
              <w:rPr>
                <w:rFonts w:ascii="Arial" w:hAnsi="Arial" w:eastAsia="Arial" w:cs="Arial"/>
                <w:spacing w:val="-14"/>
                <w:sz w:val="15"/>
                <w:szCs w:val="15"/>
              </w:rPr>
              <w:t>.6</w:t>
            </w:r>
            <w:r>
              <w:rPr>
                <w:rFonts w:ascii="Arial" w:hAnsi="Arial" w:eastAsia="Arial" w:cs="Arial"/>
                <w:spacing w:val="-13"/>
                <w:sz w:val="15"/>
                <w:szCs w:val="15"/>
              </w:rPr>
              <w:t>6</w:t>
            </w:r>
            <w:r>
              <w:rPr>
                <w:rFonts w:ascii="Arial" w:hAnsi="Arial" w:eastAsia="Arial" w:cs="Arial"/>
                <w:spacing w:val="-7"/>
                <w:sz w:val="15"/>
                <w:szCs w:val="15"/>
              </w:rPr>
              <w:t>6</w:t>
            </w:r>
            <w:r>
              <w:rPr>
                <w:rFonts w:ascii="Arial" w:hAnsi="Arial" w:eastAsia="Arial" w:cs="Arial"/>
                <w:spacing w:val="2"/>
                <w:sz w:val="15"/>
                <w:szCs w:val="15"/>
              </w:rPr>
              <w:t xml:space="preserve"> </w:t>
            </w:r>
            <w:r>
              <w:rPr>
                <w:rFonts w:ascii="Arial" w:hAnsi="Arial" w:eastAsia="Arial" w:cs="Arial"/>
                <w:spacing w:val="-14"/>
                <w:sz w:val="15"/>
                <w:szCs w:val="15"/>
              </w:rPr>
              <w:t>.</w:t>
            </w:r>
            <w:r>
              <w:rPr>
                <w:rFonts w:ascii="Arial" w:hAnsi="Arial" w:eastAsia="Arial" w:cs="Arial"/>
                <w:spacing w:val="-13"/>
                <w:sz w:val="15"/>
                <w:szCs w:val="15"/>
              </w:rPr>
              <w:t>59</w:t>
            </w:r>
            <w:r>
              <w:rPr>
                <w:rFonts w:ascii="Arial" w:hAnsi="Arial" w:eastAsia="Arial" w:cs="Arial"/>
                <w:spacing w:val="-8"/>
                <w:sz w:val="15"/>
                <w:szCs w:val="15"/>
              </w:rPr>
              <w:t>0</w:t>
            </w:r>
            <w:r>
              <w:rPr>
                <w:rFonts w:ascii="Arial" w:hAnsi="Arial" w:eastAsia="Arial" w:cs="Arial"/>
                <w:spacing w:val="2"/>
                <w:sz w:val="15"/>
                <w:szCs w:val="15"/>
              </w:rPr>
              <w:t xml:space="preserve"> </w:t>
            </w:r>
            <w:r>
              <w:rPr>
                <w:rFonts w:ascii="Arial" w:hAnsi="Arial" w:eastAsia="Arial" w:cs="Arial"/>
                <w:spacing w:val="-14"/>
                <w:sz w:val="15"/>
                <w:szCs w:val="15"/>
              </w:rPr>
              <w:t>.7</w:t>
            </w:r>
            <w:r>
              <w:rPr>
                <w:rFonts w:ascii="Arial" w:hAnsi="Arial" w:eastAsia="Arial" w:cs="Arial"/>
                <w:spacing w:val="-13"/>
                <w:sz w:val="15"/>
                <w:szCs w:val="15"/>
              </w:rPr>
              <w:t>7</w:t>
            </w:r>
            <w:r>
              <w:rPr>
                <w:rFonts w:ascii="Arial" w:hAnsi="Arial" w:eastAsia="Arial" w:cs="Arial"/>
                <w:spacing w:val="-7"/>
                <w:sz w:val="15"/>
                <w:szCs w:val="15"/>
              </w:rPr>
              <w:t>8</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5" w:hRule="atLeast"/>
        </w:trPr>
        <w:tc>
          <w:tcPr>
            <w:tcW w:w="1816" w:type="dxa"/>
            <w:vAlign w:val="top"/>
          </w:tcPr>
          <w:p>
            <w:pPr>
              <w:spacing w:line="352" w:lineRule="auto"/>
              <w:rPr>
                <w:rFonts w:ascii="Arial"/>
                <w:sz w:val="21"/>
              </w:rPr>
            </w:pPr>
          </w:p>
          <w:p>
            <w:pPr>
              <w:spacing w:before="44" w:line="203" w:lineRule="auto"/>
              <w:ind w:left="6"/>
              <w:rPr>
                <w:rFonts w:ascii="Arial" w:hAnsi="Arial" w:eastAsia="Arial" w:cs="Arial"/>
                <w:sz w:val="15"/>
                <w:szCs w:val="15"/>
              </w:rPr>
            </w:pPr>
            <w:r>
              <w:rPr>
                <w:rFonts w:ascii="Arial" w:hAnsi="Arial" w:eastAsia="Arial" w:cs="Arial"/>
                <w:spacing w:val="-8"/>
                <w:sz w:val="15"/>
                <w:szCs w:val="15"/>
              </w:rPr>
              <w:t>5</w:t>
            </w:r>
            <w:r>
              <w:rPr>
                <w:rFonts w:ascii="Arial" w:hAnsi="Arial" w:eastAsia="Arial" w:cs="Arial"/>
                <w:spacing w:val="31"/>
                <w:w w:val="102"/>
                <w:sz w:val="15"/>
                <w:szCs w:val="15"/>
              </w:rPr>
              <w:t xml:space="preserve"> </w:t>
            </w:r>
            <w:r>
              <w:rPr>
                <w:rFonts w:ascii="Arial" w:hAnsi="Arial" w:eastAsia="Arial" w:cs="Arial"/>
                <w:spacing w:val="-8"/>
                <w:sz w:val="15"/>
                <w:szCs w:val="15"/>
              </w:rPr>
              <w:t>Leadership</w:t>
            </w:r>
            <w:r>
              <w:rPr>
                <w:rFonts w:ascii="Arial" w:hAnsi="Arial" w:eastAsia="Arial" w:cs="Arial"/>
                <w:spacing w:val="10"/>
                <w:w w:val="101"/>
                <w:sz w:val="15"/>
                <w:szCs w:val="15"/>
              </w:rPr>
              <w:t xml:space="preserve"> </w:t>
            </w:r>
            <w:r>
              <w:rPr>
                <w:rFonts w:ascii="Arial" w:hAnsi="Arial" w:eastAsia="Arial" w:cs="Arial"/>
                <w:spacing w:val="-8"/>
                <w:sz w:val="15"/>
                <w:szCs w:val="15"/>
              </w:rPr>
              <w:t>expectations</w:t>
            </w:r>
          </w:p>
        </w:tc>
        <w:tc>
          <w:tcPr>
            <w:tcW w:w="786" w:type="dxa"/>
            <w:vAlign w:val="top"/>
          </w:tcPr>
          <w:p>
            <w:pPr>
              <w:spacing w:before="40" w:line="181" w:lineRule="exact"/>
              <w:ind w:left="215"/>
              <w:rPr>
                <w:rFonts w:ascii="Arial" w:hAnsi="Arial" w:eastAsia="Arial" w:cs="Arial"/>
                <w:sz w:val="15"/>
                <w:szCs w:val="15"/>
              </w:rPr>
            </w:pPr>
            <w:r>
              <w:rPr>
                <w:rFonts w:ascii="Arial" w:hAnsi="Arial" w:eastAsia="Arial" w:cs="Arial"/>
                <w:spacing w:val="-14"/>
                <w:position w:val="4"/>
                <w:sz w:val="15"/>
                <w:szCs w:val="15"/>
              </w:rPr>
              <w:t>COM3</w:t>
            </w:r>
          </w:p>
          <w:p>
            <w:pPr>
              <w:spacing w:line="195" w:lineRule="auto"/>
              <w:ind w:left="215"/>
              <w:rPr>
                <w:rFonts w:ascii="Arial" w:hAnsi="Arial" w:eastAsia="Arial" w:cs="Arial"/>
                <w:sz w:val="15"/>
                <w:szCs w:val="15"/>
              </w:rPr>
            </w:pPr>
            <w:r>
              <w:rPr>
                <w:rFonts w:ascii="Arial" w:hAnsi="Arial" w:eastAsia="Arial" w:cs="Arial"/>
                <w:spacing w:val="-14"/>
                <w:sz w:val="15"/>
                <w:szCs w:val="15"/>
              </w:rPr>
              <w:t>COM2</w:t>
            </w:r>
          </w:p>
          <w:p>
            <w:pPr>
              <w:spacing w:before="40" w:line="195" w:lineRule="auto"/>
              <w:ind w:left="221"/>
              <w:rPr>
                <w:rFonts w:ascii="Arial" w:hAnsi="Arial" w:eastAsia="Arial" w:cs="Arial"/>
                <w:sz w:val="15"/>
                <w:szCs w:val="15"/>
              </w:rPr>
            </w:pPr>
            <w:r>
              <w:rPr>
                <w:rFonts w:ascii="Arial" w:hAnsi="Arial" w:eastAsia="Arial" w:cs="Arial"/>
                <w:spacing w:val="-10"/>
                <w:w w:val="90"/>
                <w:sz w:val="15"/>
                <w:szCs w:val="15"/>
              </w:rPr>
              <w:t>ERW2</w:t>
            </w:r>
          </w:p>
        </w:tc>
        <w:tc>
          <w:tcPr>
            <w:tcW w:w="853" w:type="dxa"/>
            <w:vAlign w:val="top"/>
          </w:tcPr>
          <w:p>
            <w:pPr>
              <w:spacing w:before="44" w:line="182" w:lineRule="exact"/>
              <w:ind w:left="366"/>
              <w:rPr>
                <w:rFonts w:ascii="Arial" w:hAnsi="Arial" w:eastAsia="Arial" w:cs="Arial"/>
                <w:sz w:val="15"/>
                <w:szCs w:val="15"/>
              </w:rPr>
            </w:pPr>
            <w:r>
              <w:rPr>
                <w:rFonts w:ascii="Arial" w:hAnsi="Arial" w:eastAsia="Arial" w:cs="Arial"/>
                <w:spacing w:val="-9"/>
                <w:position w:val="4"/>
                <w:sz w:val="15"/>
                <w:szCs w:val="15"/>
              </w:rPr>
              <w:t>.133</w:t>
            </w:r>
          </w:p>
          <w:p>
            <w:pPr>
              <w:spacing w:line="190" w:lineRule="auto"/>
              <w:ind w:left="366"/>
              <w:rPr>
                <w:rFonts w:ascii="Arial" w:hAnsi="Arial" w:eastAsia="Arial" w:cs="Arial"/>
                <w:sz w:val="15"/>
                <w:szCs w:val="15"/>
              </w:rPr>
            </w:pPr>
            <w:r>
              <w:rPr>
                <w:rFonts w:ascii="Arial" w:hAnsi="Arial" w:eastAsia="Arial" w:cs="Arial"/>
                <w:spacing w:val="-9"/>
                <w:sz w:val="15"/>
                <w:szCs w:val="15"/>
              </w:rPr>
              <w:t>.117</w:t>
            </w:r>
          </w:p>
          <w:p>
            <w:pPr>
              <w:spacing w:before="41" w:line="191" w:lineRule="auto"/>
              <w:ind w:left="366"/>
              <w:rPr>
                <w:rFonts w:ascii="Arial" w:hAnsi="Arial" w:eastAsia="Arial" w:cs="Arial"/>
                <w:sz w:val="15"/>
                <w:szCs w:val="15"/>
              </w:rPr>
            </w:pPr>
            <w:r>
              <w:rPr>
                <w:rFonts w:ascii="Arial" w:hAnsi="Arial" w:eastAsia="Arial" w:cs="Arial"/>
                <w:spacing w:val="-9"/>
                <w:sz w:val="15"/>
                <w:szCs w:val="15"/>
              </w:rPr>
              <w:t>.391</w:t>
            </w:r>
          </w:p>
        </w:tc>
        <w:tc>
          <w:tcPr>
            <w:tcW w:w="832" w:type="dxa"/>
            <w:vAlign w:val="top"/>
          </w:tcPr>
          <w:p>
            <w:pPr>
              <w:spacing w:before="44" w:line="181" w:lineRule="exact"/>
              <w:ind w:left="351"/>
              <w:rPr>
                <w:rFonts w:ascii="Arial" w:hAnsi="Arial" w:eastAsia="Arial" w:cs="Arial"/>
                <w:sz w:val="15"/>
                <w:szCs w:val="15"/>
              </w:rPr>
            </w:pPr>
            <w:r>
              <w:rPr>
                <w:rFonts w:ascii="Arial" w:hAnsi="Arial" w:eastAsia="Arial" w:cs="Arial"/>
                <w:spacing w:val="-9"/>
                <w:position w:val="4"/>
                <w:sz w:val="15"/>
                <w:szCs w:val="15"/>
              </w:rPr>
              <w:t>.037</w:t>
            </w:r>
          </w:p>
          <w:p>
            <w:pPr>
              <w:spacing w:line="193" w:lineRule="auto"/>
              <w:ind w:left="351"/>
              <w:rPr>
                <w:rFonts w:ascii="Arial" w:hAnsi="Arial" w:eastAsia="Arial" w:cs="Arial"/>
                <w:sz w:val="15"/>
                <w:szCs w:val="15"/>
              </w:rPr>
            </w:pPr>
            <w:r>
              <w:rPr>
                <w:rFonts w:ascii="Arial" w:hAnsi="Arial" w:eastAsia="Arial" w:cs="Arial"/>
                <w:spacing w:val="-9"/>
                <w:sz w:val="15"/>
                <w:szCs w:val="15"/>
              </w:rPr>
              <w:t>.112</w:t>
            </w:r>
          </w:p>
          <w:p>
            <w:pPr>
              <w:spacing w:before="41" w:line="191" w:lineRule="auto"/>
              <w:ind w:left="351"/>
              <w:rPr>
                <w:rFonts w:ascii="Arial" w:hAnsi="Arial" w:eastAsia="Arial" w:cs="Arial"/>
                <w:sz w:val="15"/>
                <w:szCs w:val="15"/>
              </w:rPr>
            </w:pPr>
            <w:r>
              <w:rPr>
                <w:rFonts w:ascii="Arial" w:hAnsi="Arial" w:eastAsia="Arial" w:cs="Arial"/>
                <w:spacing w:val="-9"/>
                <w:sz w:val="15"/>
                <w:szCs w:val="15"/>
              </w:rPr>
              <w:t>.186</w:t>
            </w:r>
          </w:p>
        </w:tc>
        <w:tc>
          <w:tcPr>
            <w:tcW w:w="799" w:type="dxa"/>
            <w:vAlign w:val="top"/>
          </w:tcPr>
          <w:p>
            <w:pPr>
              <w:spacing w:before="44" w:line="181" w:lineRule="exact"/>
              <w:ind w:left="318"/>
              <w:rPr>
                <w:rFonts w:ascii="Arial" w:hAnsi="Arial" w:eastAsia="Arial" w:cs="Arial"/>
                <w:sz w:val="15"/>
                <w:szCs w:val="15"/>
              </w:rPr>
            </w:pPr>
            <w:r>
              <w:rPr>
                <w:rFonts w:ascii="Arial" w:hAnsi="Arial" w:eastAsia="Arial" w:cs="Arial"/>
                <w:spacing w:val="-9"/>
                <w:position w:val="4"/>
                <w:sz w:val="15"/>
                <w:szCs w:val="15"/>
              </w:rPr>
              <w:t>.216</w:t>
            </w:r>
          </w:p>
          <w:p>
            <w:pPr>
              <w:spacing w:line="190" w:lineRule="auto"/>
              <w:ind w:left="318"/>
              <w:rPr>
                <w:rFonts w:ascii="Arial" w:hAnsi="Arial" w:eastAsia="Arial" w:cs="Arial"/>
                <w:sz w:val="15"/>
                <w:szCs w:val="15"/>
              </w:rPr>
            </w:pPr>
            <w:r>
              <w:rPr>
                <w:rFonts w:ascii="Arial" w:hAnsi="Arial" w:eastAsia="Arial" w:cs="Arial"/>
                <w:spacing w:val="-9"/>
                <w:sz w:val="15"/>
                <w:szCs w:val="15"/>
              </w:rPr>
              <w:t>.397</w:t>
            </w:r>
          </w:p>
          <w:p>
            <w:pPr>
              <w:spacing w:before="43" w:line="191" w:lineRule="auto"/>
              <w:ind w:left="318"/>
              <w:rPr>
                <w:rFonts w:ascii="Arial" w:hAnsi="Arial" w:eastAsia="Arial" w:cs="Arial"/>
                <w:sz w:val="15"/>
                <w:szCs w:val="15"/>
              </w:rPr>
            </w:pPr>
            <w:r>
              <w:rPr>
                <w:rFonts w:ascii="Arial" w:hAnsi="Arial" w:eastAsia="Arial" w:cs="Arial"/>
                <w:spacing w:val="-9"/>
                <w:sz w:val="15"/>
                <w:szCs w:val="15"/>
              </w:rPr>
              <w:t>.085</w:t>
            </w:r>
          </w:p>
        </w:tc>
        <w:tc>
          <w:tcPr>
            <w:tcW w:w="799" w:type="dxa"/>
            <w:vAlign w:val="top"/>
          </w:tcPr>
          <w:p>
            <w:pPr>
              <w:spacing w:before="44" w:line="181" w:lineRule="exact"/>
              <w:ind w:left="320"/>
              <w:rPr>
                <w:rFonts w:ascii="Arial" w:hAnsi="Arial" w:eastAsia="Arial" w:cs="Arial"/>
                <w:sz w:val="15"/>
                <w:szCs w:val="15"/>
              </w:rPr>
            </w:pPr>
            <w:r>
              <w:rPr>
                <w:rFonts w:ascii="Arial" w:hAnsi="Arial" w:eastAsia="Arial" w:cs="Arial"/>
                <w:spacing w:val="-6"/>
                <w:position w:val="4"/>
                <w:sz w:val="15"/>
                <w:szCs w:val="15"/>
              </w:rPr>
              <w:t>.811</w:t>
            </w:r>
          </w:p>
          <w:p>
            <w:pPr>
              <w:spacing w:line="190" w:lineRule="auto"/>
              <w:ind w:left="320"/>
              <w:rPr>
                <w:rFonts w:ascii="Arial" w:hAnsi="Arial" w:eastAsia="Arial" w:cs="Arial"/>
                <w:sz w:val="15"/>
                <w:szCs w:val="15"/>
              </w:rPr>
            </w:pPr>
            <w:r>
              <w:rPr>
                <w:rFonts w:ascii="Arial" w:hAnsi="Arial" w:eastAsia="Arial" w:cs="Arial"/>
                <w:spacing w:val="-6"/>
                <w:sz w:val="15"/>
                <w:szCs w:val="15"/>
              </w:rPr>
              <w:t>.730</w:t>
            </w:r>
          </w:p>
          <w:p>
            <w:pPr>
              <w:spacing w:before="43" w:line="191" w:lineRule="auto"/>
              <w:ind w:left="319"/>
              <w:rPr>
                <w:rFonts w:ascii="Arial" w:hAnsi="Arial" w:eastAsia="Arial" w:cs="Arial"/>
                <w:sz w:val="15"/>
                <w:szCs w:val="15"/>
              </w:rPr>
            </w:pPr>
            <w:r>
              <w:rPr>
                <w:rFonts w:ascii="Arial" w:hAnsi="Arial" w:eastAsia="Arial" w:cs="Arial"/>
                <w:spacing w:val="-9"/>
                <w:sz w:val="15"/>
                <w:szCs w:val="15"/>
              </w:rPr>
              <w:t>.015</w:t>
            </w:r>
          </w:p>
        </w:tc>
        <w:tc>
          <w:tcPr>
            <w:tcW w:w="799" w:type="dxa"/>
            <w:vAlign w:val="top"/>
          </w:tcPr>
          <w:p>
            <w:pPr>
              <w:spacing w:before="44" w:line="182" w:lineRule="auto"/>
              <w:ind w:left="320"/>
              <w:rPr>
                <w:rFonts w:ascii="Arial" w:hAnsi="Arial" w:eastAsia="Arial" w:cs="Arial"/>
                <w:sz w:val="15"/>
                <w:szCs w:val="15"/>
              </w:rPr>
            </w:pPr>
            <w:r>
              <w:rPr>
                <w:rFonts w:ascii="Arial" w:hAnsi="Arial" w:eastAsia="Arial" w:cs="Arial"/>
                <w:spacing w:val="-8"/>
                <w:sz w:val="15"/>
                <w:szCs w:val="15"/>
              </w:rPr>
              <w:t>.070</w:t>
            </w:r>
          </w:p>
          <w:p>
            <w:pPr>
              <w:pStyle w:val="6"/>
              <w:spacing w:line="214" w:lineRule="auto"/>
              <w:ind w:left="214"/>
              <w:rPr>
                <w:rFonts w:ascii="Arial" w:hAnsi="Arial" w:eastAsia="Arial" w:cs="Arial"/>
                <w:sz w:val="15"/>
                <w:szCs w:val="15"/>
              </w:rPr>
            </w:pPr>
            <w:r>
              <w:rPr>
                <w:spacing w:val="-8"/>
                <w:sz w:val="15"/>
                <w:szCs w:val="15"/>
              </w:rPr>
              <w:t>−</w:t>
            </w:r>
            <w:r>
              <w:rPr>
                <w:rFonts w:ascii="Arial" w:hAnsi="Arial" w:eastAsia="Arial" w:cs="Arial"/>
                <w:spacing w:val="-8"/>
                <w:sz w:val="15"/>
                <w:szCs w:val="15"/>
              </w:rPr>
              <w:t>.001</w:t>
            </w:r>
          </w:p>
          <w:p>
            <w:pPr>
              <w:spacing w:line="190" w:lineRule="auto"/>
              <w:ind w:left="320"/>
              <w:rPr>
                <w:rFonts w:ascii="Arial" w:hAnsi="Arial" w:eastAsia="Arial" w:cs="Arial"/>
                <w:sz w:val="15"/>
                <w:szCs w:val="15"/>
              </w:rPr>
            </w:pPr>
            <w:r>
              <w:rPr>
                <w:rFonts w:ascii="Arial" w:hAnsi="Arial" w:eastAsia="Arial" w:cs="Arial"/>
                <w:spacing w:val="-6"/>
                <w:sz w:val="15"/>
                <w:szCs w:val="15"/>
              </w:rPr>
              <w:t>.818</w:t>
            </w:r>
          </w:p>
        </w:tc>
        <w:tc>
          <w:tcPr>
            <w:tcW w:w="588" w:type="dxa"/>
            <w:vAlign w:val="top"/>
          </w:tcPr>
          <w:p>
            <w:pPr>
              <w:spacing w:before="44" w:line="231" w:lineRule="auto"/>
              <w:ind w:left="321" w:right="17"/>
              <w:jc w:val="both"/>
              <w:rPr>
                <w:rFonts w:ascii="Arial" w:hAnsi="Arial" w:eastAsia="Arial" w:cs="Arial"/>
                <w:sz w:val="15"/>
                <w:szCs w:val="15"/>
              </w:rPr>
            </w:pPr>
            <w:r>
              <w:rPr>
                <w:rFonts w:ascii="Arial" w:hAnsi="Arial" w:eastAsia="Arial" w:cs="Arial"/>
                <w:spacing w:val="-11"/>
                <w:sz w:val="15"/>
                <w:szCs w:val="15"/>
              </w:rPr>
              <w:t>.103</w:t>
            </w:r>
            <w:r>
              <w:rPr>
                <w:rFonts w:ascii="Arial" w:hAnsi="Arial" w:eastAsia="Arial" w:cs="Arial"/>
                <w:sz w:val="15"/>
                <w:szCs w:val="15"/>
              </w:rPr>
              <w:t xml:space="preserve"> </w:t>
            </w:r>
            <w:r>
              <w:rPr>
                <w:rFonts w:ascii="Arial" w:hAnsi="Arial" w:eastAsia="Arial" w:cs="Arial"/>
                <w:spacing w:val="-11"/>
                <w:sz w:val="15"/>
                <w:szCs w:val="15"/>
              </w:rPr>
              <w:t>.039</w:t>
            </w:r>
            <w:r>
              <w:rPr>
                <w:rFonts w:ascii="Arial" w:hAnsi="Arial" w:eastAsia="Arial" w:cs="Arial"/>
                <w:sz w:val="15"/>
                <w:szCs w:val="15"/>
              </w:rPr>
              <w:t xml:space="preserve"> </w:t>
            </w:r>
            <w:r>
              <w:rPr>
                <w:rFonts w:ascii="Arial" w:hAnsi="Arial" w:eastAsia="Arial" w:cs="Arial"/>
                <w:spacing w:val="-11"/>
                <w:sz w:val="15"/>
                <w:szCs w:val="15"/>
              </w:rPr>
              <w:t>.057</w:t>
            </w:r>
          </w:p>
        </w:tc>
        <w:tc>
          <w:tcPr>
            <w:tcW w:w="673" w:type="dxa"/>
            <w:vAlign w:val="top"/>
          </w:tcPr>
          <w:p>
            <w:pPr>
              <w:spacing w:before="44" w:line="231" w:lineRule="auto"/>
              <w:ind w:left="425"/>
              <w:jc w:val="both"/>
              <w:rPr>
                <w:rFonts w:ascii="Arial" w:hAnsi="Arial" w:eastAsia="Arial" w:cs="Arial"/>
                <w:sz w:val="15"/>
                <w:szCs w:val="15"/>
              </w:rPr>
            </w:pPr>
            <w:r>
              <w:rPr>
                <w:rFonts w:ascii="Arial" w:hAnsi="Arial" w:eastAsia="Arial" w:cs="Arial"/>
                <w:spacing w:val="-14"/>
                <w:sz w:val="15"/>
                <w:szCs w:val="15"/>
              </w:rPr>
              <w:t>.7</w:t>
            </w:r>
            <w:r>
              <w:rPr>
                <w:rFonts w:ascii="Arial" w:hAnsi="Arial" w:eastAsia="Arial" w:cs="Arial"/>
                <w:spacing w:val="-13"/>
                <w:sz w:val="15"/>
                <w:szCs w:val="15"/>
              </w:rPr>
              <w:t>3</w:t>
            </w:r>
            <w:r>
              <w:rPr>
                <w:rFonts w:ascii="Arial" w:hAnsi="Arial" w:eastAsia="Arial" w:cs="Arial"/>
                <w:spacing w:val="-7"/>
                <w:sz w:val="15"/>
                <w:szCs w:val="15"/>
              </w:rPr>
              <w:t>9</w:t>
            </w:r>
            <w:r>
              <w:rPr>
                <w:rFonts w:ascii="Arial" w:hAnsi="Arial" w:eastAsia="Arial" w:cs="Arial"/>
                <w:spacing w:val="2"/>
                <w:sz w:val="15"/>
                <w:szCs w:val="15"/>
              </w:rPr>
              <w:t xml:space="preserve"> </w:t>
            </w:r>
            <w:r>
              <w:rPr>
                <w:rFonts w:ascii="Arial" w:hAnsi="Arial" w:eastAsia="Arial" w:cs="Arial"/>
                <w:spacing w:val="-14"/>
                <w:sz w:val="15"/>
                <w:szCs w:val="15"/>
              </w:rPr>
              <w:t>.7</w:t>
            </w:r>
            <w:r>
              <w:rPr>
                <w:rFonts w:ascii="Arial" w:hAnsi="Arial" w:eastAsia="Arial" w:cs="Arial"/>
                <w:spacing w:val="-13"/>
                <w:sz w:val="15"/>
                <w:szCs w:val="15"/>
              </w:rPr>
              <w:t>1</w:t>
            </w:r>
            <w:r>
              <w:rPr>
                <w:rFonts w:ascii="Arial" w:hAnsi="Arial" w:eastAsia="Arial" w:cs="Arial"/>
                <w:spacing w:val="-7"/>
                <w:sz w:val="15"/>
                <w:szCs w:val="15"/>
              </w:rPr>
              <w:t>9</w:t>
            </w:r>
            <w:r>
              <w:rPr>
                <w:rFonts w:ascii="Arial" w:hAnsi="Arial" w:eastAsia="Arial" w:cs="Arial"/>
                <w:spacing w:val="2"/>
                <w:sz w:val="15"/>
                <w:szCs w:val="15"/>
              </w:rPr>
              <w:t xml:space="preserve"> </w:t>
            </w:r>
            <w:r>
              <w:rPr>
                <w:rFonts w:ascii="Arial" w:hAnsi="Arial" w:eastAsia="Arial" w:cs="Arial"/>
                <w:spacing w:val="-14"/>
                <w:sz w:val="15"/>
                <w:szCs w:val="15"/>
              </w:rPr>
              <w:t>.</w:t>
            </w:r>
            <w:r>
              <w:rPr>
                <w:rFonts w:ascii="Arial" w:hAnsi="Arial" w:eastAsia="Arial" w:cs="Arial"/>
                <w:spacing w:val="-13"/>
                <w:sz w:val="15"/>
                <w:szCs w:val="15"/>
              </w:rPr>
              <w:t>86</w:t>
            </w:r>
            <w:r>
              <w:rPr>
                <w:rFonts w:ascii="Arial" w:hAnsi="Arial" w:eastAsia="Arial" w:cs="Arial"/>
                <w:spacing w:val="-8"/>
                <w:sz w:val="15"/>
                <w:szCs w:val="15"/>
              </w:rPr>
              <w:t>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80" w:hRule="atLeast"/>
        </w:trPr>
        <w:tc>
          <w:tcPr>
            <w:tcW w:w="1816" w:type="dxa"/>
            <w:vAlign w:val="top"/>
          </w:tcPr>
          <w:p>
            <w:pPr>
              <w:spacing w:line="341" w:lineRule="auto"/>
              <w:rPr>
                <w:rFonts w:ascii="Arial"/>
                <w:sz w:val="21"/>
              </w:rPr>
            </w:pPr>
          </w:p>
          <w:p>
            <w:pPr>
              <w:spacing w:before="44" w:line="197" w:lineRule="auto"/>
              <w:ind w:left="5"/>
              <w:rPr>
                <w:rFonts w:ascii="Arial" w:hAnsi="Arial" w:eastAsia="Arial" w:cs="Arial"/>
                <w:sz w:val="15"/>
                <w:szCs w:val="15"/>
              </w:rPr>
            </w:pPr>
            <w:r>
              <w:rPr>
                <w:rFonts w:ascii="Arial" w:hAnsi="Arial" w:eastAsia="Arial" w:cs="Arial"/>
                <w:spacing w:val="-6"/>
                <w:sz w:val="15"/>
                <w:szCs w:val="15"/>
              </w:rPr>
              <w:t>6</w:t>
            </w:r>
            <w:r>
              <w:rPr>
                <w:rFonts w:ascii="Arial" w:hAnsi="Arial" w:eastAsia="Arial" w:cs="Arial"/>
                <w:spacing w:val="22"/>
                <w:w w:val="101"/>
                <w:sz w:val="15"/>
                <w:szCs w:val="15"/>
              </w:rPr>
              <w:t xml:space="preserve"> </w:t>
            </w:r>
            <w:r>
              <w:rPr>
                <w:rFonts w:ascii="Arial" w:hAnsi="Arial" w:eastAsia="Arial" w:cs="Arial"/>
                <w:spacing w:val="-6"/>
                <w:sz w:val="15"/>
                <w:szCs w:val="15"/>
              </w:rPr>
              <w:t>Participation</w:t>
            </w:r>
          </w:p>
        </w:tc>
        <w:tc>
          <w:tcPr>
            <w:tcW w:w="786" w:type="dxa"/>
            <w:vAlign w:val="top"/>
          </w:tcPr>
          <w:p>
            <w:pPr>
              <w:spacing w:before="27" w:line="179" w:lineRule="exact"/>
              <w:ind w:left="221"/>
              <w:rPr>
                <w:rFonts w:ascii="Arial" w:hAnsi="Arial" w:eastAsia="Arial" w:cs="Arial"/>
                <w:sz w:val="15"/>
                <w:szCs w:val="15"/>
              </w:rPr>
            </w:pPr>
            <w:r>
              <w:rPr>
                <w:rFonts w:ascii="Arial" w:hAnsi="Arial" w:eastAsia="Arial" w:cs="Arial"/>
                <w:spacing w:val="-16"/>
                <w:w w:val="96"/>
                <w:position w:val="4"/>
                <w:sz w:val="15"/>
                <w:szCs w:val="15"/>
              </w:rPr>
              <w:t>ERW1</w:t>
            </w:r>
          </w:p>
          <w:p>
            <w:pPr>
              <w:spacing w:line="194" w:lineRule="auto"/>
              <w:ind w:left="221"/>
              <w:rPr>
                <w:rFonts w:ascii="Arial" w:hAnsi="Arial" w:eastAsia="Arial" w:cs="Arial"/>
                <w:sz w:val="15"/>
                <w:szCs w:val="15"/>
              </w:rPr>
            </w:pPr>
            <w:r>
              <w:rPr>
                <w:rFonts w:ascii="Arial" w:hAnsi="Arial" w:eastAsia="Arial" w:cs="Arial"/>
                <w:spacing w:val="-11"/>
                <w:w w:val="91"/>
                <w:sz w:val="15"/>
                <w:szCs w:val="15"/>
              </w:rPr>
              <w:t>ERW3</w:t>
            </w:r>
          </w:p>
          <w:p>
            <w:pPr>
              <w:spacing w:before="40" w:line="195" w:lineRule="auto"/>
              <w:ind w:left="220"/>
              <w:rPr>
                <w:rFonts w:ascii="Arial" w:hAnsi="Arial" w:eastAsia="Arial" w:cs="Arial"/>
                <w:sz w:val="15"/>
                <w:szCs w:val="15"/>
              </w:rPr>
            </w:pPr>
            <w:r>
              <w:rPr>
                <w:rFonts w:ascii="Arial" w:hAnsi="Arial" w:eastAsia="Arial" w:cs="Arial"/>
                <w:spacing w:val="-9"/>
                <w:w w:val="92"/>
                <w:sz w:val="15"/>
                <w:szCs w:val="15"/>
              </w:rPr>
              <w:t>PAR2</w:t>
            </w:r>
          </w:p>
          <w:p>
            <w:pPr>
              <w:spacing w:before="38" w:line="195" w:lineRule="auto"/>
              <w:ind w:left="220"/>
              <w:rPr>
                <w:rFonts w:ascii="Arial" w:hAnsi="Arial" w:eastAsia="Arial" w:cs="Arial"/>
                <w:sz w:val="15"/>
                <w:szCs w:val="15"/>
              </w:rPr>
            </w:pPr>
            <w:r>
              <w:rPr>
                <w:rFonts w:ascii="Arial" w:hAnsi="Arial" w:eastAsia="Arial" w:cs="Arial"/>
                <w:spacing w:val="-10"/>
                <w:w w:val="93"/>
                <w:sz w:val="15"/>
                <w:szCs w:val="15"/>
              </w:rPr>
              <w:t>PAR3</w:t>
            </w:r>
          </w:p>
          <w:p>
            <w:pPr>
              <w:spacing w:before="41" w:line="171" w:lineRule="auto"/>
              <w:ind w:left="220"/>
              <w:rPr>
                <w:rFonts w:ascii="Arial" w:hAnsi="Arial" w:eastAsia="Arial" w:cs="Arial"/>
                <w:sz w:val="15"/>
                <w:szCs w:val="15"/>
              </w:rPr>
            </w:pPr>
            <w:r>
              <w:rPr>
                <w:rFonts w:ascii="Arial" w:hAnsi="Arial" w:eastAsia="Arial" w:cs="Arial"/>
                <w:spacing w:val="-17"/>
                <w:sz w:val="15"/>
                <w:szCs w:val="15"/>
              </w:rPr>
              <w:t>PAR1</w:t>
            </w:r>
          </w:p>
        </w:tc>
        <w:tc>
          <w:tcPr>
            <w:tcW w:w="853" w:type="dxa"/>
            <w:vAlign w:val="top"/>
          </w:tcPr>
          <w:p>
            <w:pPr>
              <w:spacing w:before="30" w:line="179" w:lineRule="exact"/>
              <w:ind w:left="366"/>
              <w:rPr>
                <w:rFonts w:ascii="Arial" w:hAnsi="Arial" w:eastAsia="Arial" w:cs="Arial"/>
                <w:sz w:val="15"/>
                <w:szCs w:val="15"/>
              </w:rPr>
            </w:pPr>
            <w:r>
              <w:rPr>
                <w:rFonts w:ascii="Arial" w:hAnsi="Arial" w:eastAsia="Arial" w:cs="Arial"/>
                <w:spacing w:val="-9"/>
                <w:position w:val="4"/>
                <w:sz w:val="15"/>
                <w:szCs w:val="15"/>
              </w:rPr>
              <w:t>.356</w:t>
            </w:r>
          </w:p>
          <w:p>
            <w:pPr>
              <w:spacing w:line="190" w:lineRule="auto"/>
              <w:ind w:left="366"/>
              <w:rPr>
                <w:rFonts w:ascii="Arial" w:hAnsi="Arial" w:eastAsia="Arial" w:cs="Arial"/>
                <w:sz w:val="15"/>
                <w:szCs w:val="15"/>
              </w:rPr>
            </w:pPr>
            <w:r>
              <w:rPr>
                <w:rFonts w:ascii="Arial" w:hAnsi="Arial" w:eastAsia="Arial" w:cs="Arial"/>
                <w:spacing w:val="-9"/>
                <w:sz w:val="15"/>
                <w:szCs w:val="15"/>
              </w:rPr>
              <w:t>.495</w:t>
            </w:r>
          </w:p>
          <w:p>
            <w:pPr>
              <w:spacing w:before="42" w:line="191" w:lineRule="auto"/>
              <w:ind w:left="366"/>
              <w:rPr>
                <w:rFonts w:ascii="Arial" w:hAnsi="Arial" w:eastAsia="Arial" w:cs="Arial"/>
                <w:sz w:val="15"/>
                <w:szCs w:val="15"/>
              </w:rPr>
            </w:pPr>
            <w:r>
              <w:rPr>
                <w:rFonts w:ascii="Arial" w:hAnsi="Arial" w:eastAsia="Arial" w:cs="Arial"/>
                <w:spacing w:val="-9"/>
                <w:sz w:val="15"/>
                <w:szCs w:val="15"/>
              </w:rPr>
              <w:t>.108</w:t>
            </w:r>
          </w:p>
          <w:p>
            <w:pPr>
              <w:spacing w:before="42" w:line="191" w:lineRule="auto"/>
              <w:ind w:left="365"/>
              <w:rPr>
                <w:rFonts w:ascii="Arial" w:hAnsi="Arial" w:eastAsia="Arial" w:cs="Arial"/>
                <w:sz w:val="15"/>
                <w:szCs w:val="15"/>
              </w:rPr>
            </w:pPr>
            <w:r>
              <w:rPr>
                <w:rFonts w:ascii="Arial" w:hAnsi="Arial" w:eastAsia="Arial" w:cs="Arial"/>
                <w:spacing w:val="-9"/>
                <w:sz w:val="15"/>
                <w:szCs w:val="15"/>
              </w:rPr>
              <w:t>.008</w:t>
            </w:r>
          </w:p>
          <w:p>
            <w:pPr>
              <w:spacing w:before="43" w:line="167" w:lineRule="auto"/>
              <w:ind w:left="365"/>
              <w:rPr>
                <w:rFonts w:ascii="Arial" w:hAnsi="Arial" w:eastAsia="Arial" w:cs="Arial"/>
                <w:sz w:val="15"/>
                <w:szCs w:val="15"/>
              </w:rPr>
            </w:pPr>
            <w:r>
              <w:rPr>
                <w:rFonts w:ascii="Arial" w:hAnsi="Arial" w:eastAsia="Arial" w:cs="Arial"/>
                <w:spacing w:val="-9"/>
                <w:sz w:val="15"/>
                <w:szCs w:val="15"/>
              </w:rPr>
              <w:t>.218</w:t>
            </w:r>
          </w:p>
        </w:tc>
        <w:tc>
          <w:tcPr>
            <w:tcW w:w="832" w:type="dxa"/>
            <w:vAlign w:val="top"/>
          </w:tcPr>
          <w:p>
            <w:pPr>
              <w:spacing w:before="30" w:line="181" w:lineRule="exact"/>
              <w:ind w:left="351"/>
              <w:rPr>
                <w:rFonts w:ascii="Arial" w:hAnsi="Arial" w:eastAsia="Arial" w:cs="Arial"/>
                <w:sz w:val="15"/>
                <w:szCs w:val="15"/>
              </w:rPr>
            </w:pPr>
            <w:r>
              <w:rPr>
                <w:rFonts w:ascii="Arial" w:hAnsi="Arial" w:eastAsia="Arial" w:cs="Arial"/>
                <w:spacing w:val="-9"/>
                <w:position w:val="4"/>
                <w:sz w:val="15"/>
                <w:szCs w:val="15"/>
              </w:rPr>
              <w:t>.183</w:t>
            </w:r>
          </w:p>
          <w:p>
            <w:pPr>
              <w:spacing w:line="190" w:lineRule="auto"/>
              <w:ind w:left="351"/>
              <w:rPr>
                <w:rFonts w:ascii="Arial" w:hAnsi="Arial" w:eastAsia="Arial" w:cs="Arial"/>
                <w:sz w:val="15"/>
                <w:szCs w:val="15"/>
              </w:rPr>
            </w:pPr>
            <w:r>
              <w:rPr>
                <w:rFonts w:ascii="Arial" w:hAnsi="Arial" w:eastAsia="Arial" w:cs="Arial"/>
                <w:spacing w:val="-9"/>
                <w:sz w:val="15"/>
                <w:szCs w:val="15"/>
              </w:rPr>
              <w:t>.144</w:t>
            </w:r>
          </w:p>
          <w:p>
            <w:pPr>
              <w:spacing w:before="41" w:line="191" w:lineRule="auto"/>
              <w:ind w:left="350"/>
              <w:rPr>
                <w:rFonts w:ascii="Arial" w:hAnsi="Arial" w:eastAsia="Arial" w:cs="Arial"/>
                <w:sz w:val="15"/>
                <w:szCs w:val="15"/>
              </w:rPr>
            </w:pPr>
            <w:r>
              <w:rPr>
                <w:rFonts w:ascii="Arial" w:hAnsi="Arial" w:eastAsia="Arial" w:cs="Arial"/>
                <w:spacing w:val="-9"/>
                <w:sz w:val="15"/>
                <w:szCs w:val="15"/>
              </w:rPr>
              <w:t>.026</w:t>
            </w:r>
          </w:p>
          <w:p>
            <w:pPr>
              <w:spacing w:before="42" w:line="191" w:lineRule="auto"/>
              <w:ind w:left="350"/>
              <w:rPr>
                <w:rFonts w:ascii="Arial" w:hAnsi="Arial" w:eastAsia="Arial" w:cs="Arial"/>
                <w:sz w:val="15"/>
                <w:szCs w:val="15"/>
              </w:rPr>
            </w:pPr>
            <w:r>
              <w:rPr>
                <w:rFonts w:ascii="Arial" w:hAnsi="Arial" w:eastAsia="Arial" w:cs="Arial"/>
                <w:spacing w:val="-9"/>
                <w:sz w:val="15"/>
                <w:szCs w:val="15"/>
              </w:rPr>
              <w:t>.109</w:t>
            </w:r>
          </w:p>
          <w:p>
            <w:pPr>
              <w:spacing w:before="43" w:line="167" w:lineRule="auto"/>
              <w:ind w:left="350"/>
              <w:rPr>
                <w:rFonts w:ascii="Arial" w:hAnsi="Arial" w:eastAsia="Arial" w:cs="Arial"/>
                <w:sz w:val="15"/>
                <w:szCs w:val="15"/>
              </w:rPr>
            </w:pPr>
            <w:r>
              <w:rPr>
                <w:rFonts w:ascii="Arial" w:hAnsi="Arial" w:eastAsia="Arial" w:cs="Arial"/>
                <w:spacing w:val="-9"/>
                <w:sz w:val="15"/>
                <w:szCs w:val="15"/>
              </w:rPr>
              <w:t>.130</w:t>
            </w:r>
          </w:p>
        </w:tc>
        <w:tc>
          <w:tcPr>
            <w:tcW w:w="799" w:type="dxa"/>
            <w:vAlign w:val="top"/>
          </w:tcPr>
          <w:p>
            <w:pPr>
              <w:spacing w:before="30" w:line="179" w:lineRule="exact"/>
              <w:ind w:left="318"/>
              <w:rPr>
                <w:rFonts w:ascii="Arial" w:hAnsi="Arial" w:eastAsia="Arial" w:cs="Arial"/>
                <w:sz w:val="15"/>
                <w:szCs w:val="15"/>
              </w:rPr>
            </w:pPr>
            <w:r>
              <w:rPr>
                <w:rFonts w:ascii="Arial" w:hAnsi="Arial" w:eastAsia="Arial" w:cs="Arial"/>
                <w:spacing w:val="-9"/>
                <w:position w:val="4"/>
                <w:sz w:val="15"/>
                <w:szCs w:val="15"/>
              </w:rPr>
              <w:t>.051</w:t>
            </w:r>
          </w:p>
          <w:p>
            <w:pPr>
              <w:spacing w:line="190" w:lineRule="auto"/>
              <w:ind w:left="318"/>
              <w:rPr>
                <w:rFonts w:ascii="Arial" w:hAnsi="Arial" w:eastAsia="Arial" w:cs="Arial"/>
                <w:sz w:val="15"/>
                <w:szCs w:val="15"/>
              </w:rPr>
            </w:pPr>
            <w:r>
              <w:rPr>
                <w:rFonts w:ascii="Arial" w:hAnsi="Arial" w:eastAsia="Arial" w:cs="Arial"/>
                <w:spacing w:val="-9"/>
                <w:sz w:val="15"/>
                <w:szCs w:val="15"/>
              </w:rPr>
              <w:t>.260</w:t>
            </w:r>
          </w:p>
          <w:p>
            <w:pPr>
              <w:spacing w:before="44" w:line="191" w:lineRule="auto"/>
              <w:ind w:left="318"/>
              <w:rPr>
                <w:rFonts w:ascii="Arial" w:hAnsi="Arial" w:eastAsia="Arial" w:cs="Arial"/>
                <w:sz w:val="15"/>
                <w:szCs w:val="15"/>
              </w:rPr>
            </w:pPr>
            <w:r>
              <w:rPr>
                <w:rFonts w:ascii="Arial" w:hAnsi="Arial" w:eastAsia="Arial" w:cs="Arial"/>
                <w:spacing w:val="-9"/>
                <w:sz w:val="15"/>
                <w:szCs w:val="15"/>
              </w:rPr>
              <w:t>.117</w:t>
            </w:r>
          </w:p>
          <w:p>
            <w:pPr>
              <w:spacing w:before="40" w:line="191" w:lineRule="auto"/>
              <w:ind w:left="317"/>
              <w:rPr>
                <w:rFonts w:ascii="Arial" w:hAnsi="Arial" w:eastAsia="Arial" w:cs="Arial"/>
                <w:sz w:val="15"/>
                <w:szCs w:val="15"/>
              </w:rPr>
            </w:pPr>
            <w:r>
              <w:rPr>
                <w:rFonts w:ascii="Arial" w:hAnsi="Arial" w:eastAsia="Arial" w:cs="Arial"/>
                <w:spacing w:val="-9"/>
                <w:sz w:val="15"/>
                <w:szCs w:val="15"/>
              </w:rPr>
              <w:t>.209</w:t>
            </w:r>
          </w:p>
          <w:p>
            <w:pPr>
              <w:spacing w:before="43" w:line="167" w:lineRule="auto"/>
              <w:ind w:left="317"/>
              <w:rPr>
                <w:rFonts w:ascii="Arial" w:hAnsi="Arial" w:eastAsia="Arial" w:cs="Arial"/>
                <w:sz w:val="15"/>
                <w:szCs w:val="15"/>
              </w:rPr>
            </w:pPr>
            <w:r>
              <w:rPr>
                <w:rFonts w:ascii="Arial" w:hAnsi="Arial" w:eastAsia="Arial" w:cs="Arial"/>
                <w:spacing w:val="-9"/>
                <w:sz w:val="15"/>
                <w:szCs w:val="15"/>
              </w:rPr>
              <w:t>.232</w:t>
            </w:r>
          </w:p>
        </w:tc>
        <w:tc>
          <w:tcPr>
            <w:tcW w:w="799" w:type="dxa"/>
            <w:vAlign w:val="top"/>
          </w:tcPr>
          <w:p>
            <w:pPr>
              <w:spacing w:before="31" w:line="179" w:lineRule="auto"/>
              <w:ind w:left="319"/>
              <w:rPr>
                <w:rFonts w:ascii="Arial" w:hAnsi="Arial" w:eastAsia="Arial" w:cs="Arial"/>
                <w:sz w:val="15"/>
                <w:szCs w:val="15"/>
              </w:rPr>
            </w:pPr>
            <w:r>
              <w:rPr>
                <w:rFonts w:ascii="Arial" w:hAnsi="Arial" w:eastAsia="Arial" w:cs="Arial"/>
                <w:spacing w:val="-9"/>
                <w:sz w:val="15"/>
                <w:szCs w:val="15"/>
              </w:rPr>
              <w:t>.151</w:t>
            </w:r>
          </w:p>
          <w:p>
            <w:pPr>
              <w:pStyle w:val="6"/>
              <w:spacing w:before="1" w:line="213" w:lineRule="auto"/>
              <w:ind w:left="214"/>
              <w:rPr>
                <w:rFonts w:ascii="Arial" w:hAnsi="Arial" w:eastAsia="Arial" w:cs="Arial"/>
                <w:sz w:val="15"/>
                <w:szCs w:val="15"/>
              </w:rPr>
            </w:pPr>
            <w:r>
              <w:rPr>
                <w:spacing w:val="-8"/>
                <w:sz w:val="15"/>
                <w:szCs w:val="15"/>
              </w:rPr>
              <w:t>−</w:t>
            </w:r>
            <w:r>
              <w:rPr>
                <w:rFonts w:ascii="Arial" w:hAnsi="Arial" w:eastAsia="Arial" w:cs="Arial"/>
                <w:spacing w:val="-8"/>
                <w:sz w:val="15"/>
                <w:szCs w:val="15"/>
              </w:rPr>
              <w:t>.005</w:t>
            </w:r>
          </w:p>
          <w:p>
            <w:pPr>
              <w:spacing w:line="190" w:lineRule="auto"/>
              <w:ind w:left="319"/>
              <w:rPr>
                <w:rFonts w:ascii="Arial" w:hAnsi="Arial" w:eastAsia="Arial" w:cs="Arial"/>
                <w:sz w:val="15"/>
                <w:szCs w:val="15"/>
              </w:rPr>
            </w:pPr>
            <w:r>
              <w:rPr>
                <w:rFonts w:ascii="Arial" w:hAnsi="Arial" w:eastAsia="Arial" w:cs="Arial"/>
                <w:spacing w:val="-9"/>
                <w:sz w:val="15"/>
                <w:szCs w:val="15"/>
              </w:rPr>
              <w:t>.043</w:t>
            </w:r>
          </w:p>
          <w:p>
            <w:pPr>
              <w:spacing w:before="42" w:line="191" w:lineRule="auto"/>
              <w:ind w:left="319"/>
              <w:rPr>
                <w:rFonts w:ascii="Arial" w:hAnsi="Arial" w:eastAsia="Arial" w:cs="Arial"/>
                <w:sz w:val="15"/>
                <w:szCs w:val="15"/>
              </w:rPr>
            </w:pPr>
            <w:r>
              <w:rPr>
                <w:rFonts w:ascii="Arial" w:hAnsi="Arial" w:eastAsia="Arial" w:cs="Arial"/>
                <w:spacing w:val="-9"/>
                <w:sz w:val="15"/>
                <w:szCs w:val="15"/>
              </w:rPr>
              <w:t>.199</w:t>
            </w:r>
          </w:p>
          <w:p>
            <w:pPr>
              <w:spacing w:before="44" w:line="165" w:lineRule="auto"/>
              <w:ind w:left="319"/>
              <w:rPr>
                <w:rFonts w:ascii="Arial" w:hAnsi="Arial" w:eastAsia="Arial" w:cs="Arial"/>
                <w:sz w:val="15"/>
                <w:szCs w:val="15"/>
              </w:rPr>
            </w:pPr>
            <w:r>
              <w:rPr>
                <w:rFonts w:ascii="Arial" w:hAnsi="Arial" w:eastAsia="Arial" w:cs="Arial"/>
                <w:spacing w:val="-9"/>
                <w:sz w:val="15"/>
                <w:szCs w:val="15"/>
              </w:rPr>
              <w:t>.157</w:t>
            </w:r>
          </w:p>
        </w:tc>
        <w:tc>
          <w:tcPr>
            <w:tcW w:w="799" w:type="dxa"/>
            <w:vAlign w:val="top"/>
          </w:tcPr>
          <w:p>
            <w:pPr>
              <w:spacing w:before="30" w:line="179" w:lineRule="exact"/>
              <w:ind w:left="320"/>
              <w:rPr>
                <w:rFonts w:ascii="Arial" w:hAnsi="Arial" w:eastAsia="Arial" w:cs="Arial"/>
                <w:sz w:val="15"/>
                <w:szCs w:val="15"/>
              </w:rPr>
            </w:pPr>
            <w:r>
              <w:rPr>
                <w:rFonts w:ascii="Arial" w:hAnsi="Arial" w:eastAsia="Arial" w:cs="Arial"/>
                <w:spacing w:val="-6"/>
                <w:position w:val="4"/>
                <w:sz w:val="15"/>
                <w:szCs w:val="15"/>
              </w:rPr>
              <w:t>.762</w:t>
            </w:r>
          </w:p>
          <w:p>
            <w:pPr>
              <w:spacing w:line="182" w:lineRule="auto"/>
              <w:ind w:left="320"/>
              <w:rPr>
                <w:rFonts w:ascii="Arial" w:hAnsi="Arial" w:eastAsia="Arial" w:cs="Arial"/>
                <w:sz w:val="15"/>
                <w:szCs w:val="15"/>
              </w:rPr>
            </w:pPr>
            <w:r>
              <w:rPr>
                <w:rFonts w:ascii="Arial" w:hAnsi="Arial" w:eastAsia="Arial" w:cs="Arial"/>
                <w:spacing w:val="-6"/>
                <w:sz w:val="15"/>
                <w:szCs w:val="15"/>
              </w:rPr>
              <w:t>.632</w:t>
            </w:r>
          </w:p>
          <w:p>
            <w:pPr>
              <w:pStyle w:val="6"/>
              <w:spacing w:line="213" w:lineRule="auto"/>
              <w:ind w:left="214"/>
              <w:rPr>
                <w:rFonts w:ascii="Arial" w:hAnsi="Arial" w:eastAsia="Arial" w:cs="Arial"/>
                <w:sz w:val="15"/>
                <w:szCs w:val="15"/>
              </w:rPr>
            </w:pPr>
            <w:r>
              <w:rPr>
                <w:spacing w:val="-8"/>
                <w:sz w:val="15"/>
                <w:szCs w:val="15"/>
              </w:rPr>
              <w:t>−</w:t>
            </w:r>
            <w:r>
              <w:rPr>
                <w:rFonts w:ascii="Arial" w:hAnsi="Arial" w:eastAsia="Arial" w:cs="Arial"/>
                <w:spacing w:val="-8"/>
                <w:sz w:val="15"/>
                <w:szCs w:val="15"/>
              </w:rPr>
              <w:t>.025</w:t>
            </w:r>
          </w:p>
          <w:p>
            <w:pPr>
              <w:spacing w:line="190" w:lineRule="auto"/>
              <w:ind w:left="319"/>
              <w:rPr>
                <w:rFonts w:ascii="Arial" w:hAnsi="Arial" w:eastAsia="Arial" w:cs="Arial"/>
                <w:sz w:val="15"/>
                <w:szCs w:val="15"/>
              </w:rPr>
            </w:pPr>
            <w:r>
              <w:rPr>
                <w:rFonts w:ascii="Arial" w:hAnsi="Arial" w:eastAsia="Arial" w:cs="Arial"/>
                <w:spacing w:val="-9"/>
                <w:sz w:val="15"/>
                <w:szCs w:val="15"/>
              </w:rPr>
              <w:t>.133</w:t>
            </w:r>
          </w:p>
          <w:p>
            <w:pPr>
              <w:spacing w:before="43" w:line="167" w:lineRule="auto"/>
              <w:ind w:left="319"/>
              <w:rPr>
                <w:rFonts w:ascii="Arial" w:hAnsi="Arial" w:eastAsia="Arial" w:cs="Arial"/>
                <w:sz w:val="15"/>
                <w:szCs w:val="15"/>
              </w:rPr>
            </w:pPr>
            <w:r>
              <w:rPr>
                <w:rFonts w:ascii="Arial" w:hAnsi="Arial" w:eastAsia="Arial" w:cs="Arial"/>
                <w:spacing w:val="-9"/>
                <w:sz w:val="15"/>
                <w:szCs w:val="15"/>
              </w:rPr>
              <w:t>.001</w:t>
            </w:r>
          </w:p>
        </w:tc>
        <w:tc>
          <w:tcPr>
            <w:tcW w:w="588" w:type="dxa"/>
            <w:vAlign w:val="top"/>
          </w:tcPr>
          <w:p>
            <w:pPr>
              <w:pStyle w:val="6"/>
              <w:tabs>
                <w:tab w:val="left" w:pos="320"/>
              </w:tabs>
              <w:spacing w:before="29" w:line="213" w:lineRule="auto"/>
              <w:ind w:left="214" w:firstLine="106"/>
              <w:jc w:val="right"/>
              <w:rPr>
                <w:rFonts w:ascii="Arial" w:hAnsi="Arial" w:eastAsia="Arial" w:cs="Arial"/>
                <w:sz w:val="15"/>
                <w:szCs w:val="15"/>
              </w:rPr>
            </w:pPr>
            <w:r>
              <w:rPr>
                <w:rFonts w:ascii="Arial" w:hAnsi="Arial" w:eastAsia="Arial" w:cs="Arial"/>
                <w:spacing w:val="-12"/>
                <w:sz w:val="15"/>
                <w:szCs w:val="15"/>
              </w:rPr>
              <w:t>.116</w:t>
            </w:r>
            <w:r>
              <w:rPr>
                <w:rFonts w:ascii="Arial" w:hAnsi="Arial" w:eastAsia="Arial" w:cs="Arial"/>
                <w:spacing w:val="2"/>
                <w:sz w:val="15"/>
                <w:szCs w:val="15"/>
              </w:rPr>
              <w:t xml:space="preserve"> </w:t>
            </w:r>
            <w:r>
              <w:rPr>
                <w:spacing w:val="-10"/>
                <w:sz w:val="15"/>
                <w:szCs w:val="15"/>
              </w:rPr>
              <w:t>−</w:t>
            </w:r>
            <w:r>
              <w:rPr>
                <w:rFonts w:ascii="Arial" w:hAnsi="Arial" w:eastAsia="Arial" w:cs="Arial"/>
                <w:spacing w:val="-10"/>
                <w:sz w:val="15"/>
                <w:szCs w:val="15"/>
              </w:rPr>
              <w:t>.087</w:t>
            </w:r>
            <w:r>
              <w:rPr>
                <w:rFonts w:ascii="Arial" w:hAnsi="Arial" w:eastAsia="Arial" w:cs="Arial"/>
                <w:sz w:val="15"/>
                <w:szCs w:val="15"/>
              </w:rPr>
              <w:t xml:space="preserve"> </w:t>
            </w:r>
            <w:r>
              <w:rPr>
                <w:rFonts w:ascii="Arial" w:hAnsi="Arial" w:eastAsia="Arial" w:cs="Arial"/>
                <w:sz w:val="15"/>
                <w:szCs w:val="15"/>
              </w:rPr>
              <w:tab/>
            </w:r>
            <w:r>
              <w:rPr>
                <w:rFonts w:ascii="Arial" w:hAnsi="Arial" w:eastAsia="Arial" w:cs="Arial"/>
                <w:spacing w:val="-7"/>
                <w:sz w:val="15"/>
                <w:szCs w:val="15"/>
              </w:rPr>
              <w:t>.783</w:t>
            </w:r>
            <w:r>
              <w:rPr>
                <w:rFonts w:ascii="Arial" w:hAnsi="Arial" w:eastAsia="Arial" w:cs="Arial"/>
                <w:spacing w:val="2"/>
                <w:sz w:val="15"/>
                <w:szCs w:val="15"/>
              </w:rPr>
              <w:t xml:space="preserve"> </w:t>
            </w:r>
            <w:r>
              <w:rPr>
                <w:rFonts w:ascii="Arial" w:hAnsi="Arial" w:eastAsia="Arial" w:cs="Arial"/>
                <w:sz w:val="15"/>
                <w:szCs w:val="15"/>
              </w:rPr>
              <w:tab/>
            </w:r>
            <w:r>
              <w:rPr>
                <w:rFonts w:ascii="Arial" w:hAnsi="Arial" w:eastAsia="Arial" w:cs="Arial"/>
                <w:spacing w:val="-7"/>
                <w:sz w:val="15"/>
                <w:szCs w:val="15"/>
              </w:rPr>
              <w:t>.740</w:t>
            </w:r>
            <w:r>
              <w:rPr>
                <w:rFonts w:ascii="Arial" w:hAnsi="Arial" w:eastAsia="Arial" w:cs="Arial"/>
                <w:spacing w:val="2"/>
                <w:sz w:val="15"/>
                <w:szCs w:val="15"/>
              </w:rPr>
              <w:t xml:space="preserve"> </w:t>
            </w:r>
            <w:r>
              <w:rPr>
                <w:rFonts w:ascii="Arial" w:hAnsi="Arial" w:eastAsia="Arial" w:cs="Arial"/>
                <w:spacing w:val="-6"/>
                <w:sz w:val="15"/>
                <w:szCs w:val="15"/>
              </w:rPr>
              <w:t>.719</w:t>
            </w:r>
          </w:p>
        </w:tc>
        <w:tc>
          <w:tcPr>
            <w:tcW w:w="673" w:type="dxa"/>
            <w:vAlign w:val="top"/>
          </w:tcPr>
          <w:p>
            <w:pPr>
              <w:spacing w:before="29" w:line="234" w:lineRule="auto"/>
              <w:ind w:left="424" w:firstLine="1"/>
              <w:jc w:val="both"/>
              <w:rPr>
                <w:rFonts w:ascii="Arial" w:hAnsi="Arial" w:eastAsia="Arial" w:cs="Arial"/>
                <w:sz w:val="15"/>
                <w:szCs w:val="15"/>
              </w:rPr>
            </w:pPr>
            <w:r>
              <w:rPr>
                <w:rFonts w:ascii="Arial" w:hAnsi="Arial" w:eastAsia="Arial" w:cs="Arial"/>
                <w:spacing w:val="-14"/>
                <w:sz w:val="15"/>
                <w:szCs w:val="15"/>
              </w:rPr>
              <w:t>.</w:t>
            </w:r>
            <w:r>
              <w:rPr>
                <w:rFonts w:ascii="Arial" w:hAnsi="Arial" w:eastAsia="Arial" w:cs="Arial"/>
                <w:spacing w:val="-13"/>
                <w:sz w:val="15"/>
                <w:szCs w:val="15"/>
              </w:rPr>
              <w:t>78</w:t>
            </w:r>
            <w:r>
              <w:rPr>
                <w:rFonts w:ascii="Arial" w:hAnsi="Arial" w:eastAsia="Arial" w:cs="Arial"/>
                <w:spacing w:val="-8"/>
                <w:sz w:val="15"/>
                <w:szCs w:val="15"/>
              </w:rPr>
              <w:t>0</w:t>
            </w:r>
            <w:r>
              <w:rPr>
                <w:rFonts w:ascii="Arial" w:hAnsi="Arial" w:eastAsia="Arial" w:cs="Arial"/>
                <w:spacing w:val="2"/>
                <w:sz w:val="15"/>
                <w:szCs w:val="15"/>
              </w:rPr>
              <w:t xml:space="preserve"> </w:t>
            </w:r>
            <w:r>
              <w:rPr>
                <w:rFonts w:ascii="Arial" w:hAnsi="Arial" w:eastAsia="Arial" w:cs="Arial"/>
                <w:spacing w:val="-11"/>
                <w:sz w:val="15"/>
                <w:szCs w:val="15"/>
              </w:rPr>
              <w:t>.741</w:t>
            </w:r>
            <w:r>
              <w:rPr>
                <w:rFonts w:ascii="Arial" w:hAnsi="Arial" w:eastAsia="Arial" w:cs="Arial"/>
                <w:sz w:val="15"/>
                <w:szCs w:val="15"/>
              </w:rPr>
              <w:t xml:space="preserve"> </w:t>
            </w:r>
            <w:r>
              <w:rPr>
                <w:rFonts w:ascii="Arial" w:hAnsi="Arial" w:eastAsia="Arial" w:cs="Arial"/>
                <w:spacing w:val="-13"/>
                <w:sz w:val="15"/>
                <w:szCs w:val="15"/>
              </w:rPr>
              <w:t>.64</w:t>
            </w:r>
            <w:r>
              <w:rPr>
                <w:rFonts w:ascii="Arial" w:hAnsi="Arial" w:eastAsia="Arial" w:cs="Arial"/>
                <w:spacing w:val="-9"/>
                <w:sz w:val="15"/>
                <w:szCs w:val="15"/>
              </w:rPr>
              <w:t>2</w:t>
            </w:r>
            <w:r>
              <w:rPr>
                <w:rFonts w:ascii="Arial" w:hAnsi="Arial" w:eastAsia="Arial" w:cs="Arial"/>
                <w:spacing w:val="2"/>
                <w:sz w:val="15"/>
                <w:szCs w:val="15"/>
              </w:rPr>
              <w:t xml:space="preserve"> </w:t>
            </w:r>
            <w:r>
              <w:rPr>
                <w:rFonts w:ascii="Arial" w:hAnsi="Arial" w:eastAsia="Arial" w:cs="Arial"/>
                <w:spacing w:val="-13"/>
                <w:sz w:val="15"/>
                <w:szCs w:val="15"/>
              </w:rPr>
              <w:t>.66</w:t>
            </w:r>
            <w:r>
              <w:rPr>
                <w:rFonts w:ascii="Arial" w:hAnsi="Arial" w:eastAsia="Arial" w:cs="Arial"/>
                <w:spacing w:val="-9"/>
                <w:sz w:val="15"/>
                <w:szCs w:val="15"/>
              </w:rPr>
              <w:t>0</w:t>
            </w:r>
            <w:r>
              <w:rPr>
                <w:rFonts w:ascii="Arial" w:hAnsi="Arial" w:eastAsia="Arial" w:cs="Arial"/>
                <w:spacing w:val="2"/>
                <w:sz w:val="15"/>
                <w:szCs w:val="15"/>
              </w:rPr>
              <w:t xml:space="preserve"> </w:t>
            </w:r>
            <w:r>
              <w:rPr>
                <w:rFonts w:ascii="Arial" w:hAnsi="Arial" w:eastAsia="Arial" w:cs="Arial"/>
                <w:spacing w:val="-13"/>
                <w:sz w:val="15"/>
                <w:szCs w:val="15"/>
              </w:rPr>
              <w:t>.66</w:t>
            </w:r>
            <w:r>
              <w:rPr>
                <w:rFonts w:ascii="Arial" w:hAnsi="Arial" w:eastAsia="Arial" w:cs="Arial"/>
                <w:spacing w:val="-9"/>
                <w:sz w:val="15"/>
                <w:szCs w:val="15"/>
              </w:rPr>
              <w:t>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5" w:hRule="atLeast"/>
        </w:trPr>
        <w:tc>
          <w:tcPr>
            <w:tcW w:w="1816" w:type="dxa"/>
            <w:tcBorders>
              <w:bottom w:val="single" w:color="282781" w:sz="4" w:space="0"/>
            </w:tcBorders>
            <w:vAlign w:val="top"/>
          </w:tcPr>
          <w:p>
            <w:pPr>
              <w:spacing w:before="41" w:line="181" w:lineRule="exact"/>
              <w:ind w:left="6"/>
              <w:rPr>
                <w:rFonts w:ascii="Arial" w:hAnsi="Arial" w:eastAsia="Arial" w:cs="Arial"/>
                <w:sz w:val="15"/>
                <w:szCs w:val="15"/>
              </w:rPr>
            </w:pPr>
            <w:r>
              <w:rPr>
                <w:rFonts w:ascii="Arial" w:hAnsi="Arial" w:eastAsia="Arial" w:cs="Arial"/>
                <w:spacing w:val="-8"/>
                <w:position w:val="3"/>
                <w:sz w:val="15"/>
                <w:szCs w:val="15"/>
              </w:rPr>
              <w:t>Cronbach´s Alpha</w:t>
            </w:r>
          </w:p>
          <w:p>
            <w:pPr>
              <w:spacing w:line="202" w:lineRule="auto"/>
              <w:ind w:left="3"/>
              <w:rPr>
                <w:rFonts w:ascii="Arial" w:hAnsi="Arial" w:eastAsia="Arial" w:cs="Arial"/>
                <w:sz w:val="15"/>
                <w:szCs w:val="15"/>
              </w:rPr>
            </w:pPr>
            <w:r>
              <w:rPr>
                <w:rFonts w:ascii="Arial" w:hAnsi="Arial" w:eastAsia="Arial" w:cs="Arial"/>
                <w:spacing w:val="-10"/>
                <w:sz w:val="15"/>
                <w:szCs w:val="15"/>
              </w:rPr>
              <w:t>Eigenvalues</w:t>
            </w:r>
          </w:p>
          <w:p>
            <w:pPr>
              <w:spacing w:before="34" w:line="203" w:lineRule="auto"/>
              <w:ind w:left="12"/>
              <w:rPr>
                <w:rFonts w:ascii="Arial" w:hAnsi="Arial" w:eastAsia="Arial" w:cs="Arial"/>
                <w:sz w:val="15"/>
                <w:szCs w:val="15"/>
              </w:rPr>
            </w:pPr>
            <w:r>
              <w:rPr>
                <w:rFonts w:ascii="Arial" w:hAnsi="Arial" w:eastAsia="Arial" w:cs="Arial"/>
                <w:spacing w:val="-9"/>
                <w:sz w:val="15"/>
                <w:szCs w:val="15"/>
              </w:rPr>
              <w:t>Variance</w:t>
            </w:r>
            <w:r>
              <w:rPr>
                <w:rFonts w:ascii="Arial" w:hAnsi="Arial" w:eastAsia="Arial" w:cs="Arial"/>
                <w:spacing w:val="11"/>
                <w:sz w:val="15"/>
                <w:szCs w:val="15"/>
              </w:rPr>
              <w:t xml:space="preserve"> </w:t>
            </w:r>
            <w:r>
              <w:rPr>
                <w:rFonts w:ascii="Arial" w:hAnsi="Arial" w:eastAsia="Arial" w:cs="Arial"/>
                <w:spacing w:val="-9"/>
                <w:sz w:val="15"/>
                <w:szCs w:val="15"/>
              </w:rPr>
              <w:t>explained</w:t>
            </w:r>
          </w:p>
        </w:tc>
        <w:tc>
          <w:tcPr>
            <w:tcW w:w="786" w:type="dxa"/>
            <w:tcBorders>
              <w:bottom w:val="single" w:color="282781" w:sz="4" w:space="0"/>
            </w:tcBorders>
            <w:vAlign w:val="top"/>
          </w:tcPr>
          <w:p>
            <w:pPr>
              <w:spacing w:before="222" w:line="187" w:lineRule="exact"/>
              <w:ind w:left="219"/>
              <w:rPr>
                <w:rFonts w:ascii="Arial" w:hAnsi="Arial" w:eastAsia="Arial" w:cs="Arial"/>
                <w:sz w:val="15"/>
                <w:szCs w:val="15"/>
              </w:rPr>
            </w:pPr>
            <w:r>
              <w:rPr>
                <w:rFonts w:ascii="Arial" w:hAnsi="Arial" w:eastAsia="Arial" w:cs="Arial"/>
                <w:spacing w:val="-8"/>
                <w:position w:val="4"/>
                <w:sz w:val="15"/>
                <w:szCs w:val="15"/>
              </w:rPr>
              <w:t>Total</w:t>
            </w:r>
          </w:p>
          <w:p>
            <w:pPr>
              <w:spacing w:line="188" w:lineRule="auto"/>
              <w:ind w:left="213"/>
              <w:rPr>
                <w:rFonts w:ascii="Arial" w:hAnsi="Arial" w:eastAsia="Arial" w:cs="Arial"/>
                <w:sz w:val="15"/>
                <w:szCs w:val="15"/>
              </w:rPr>
            </w:pPr>
            <w:r>
              <w:rPr>
                <w:rFonts w:ascii="Arial" w:hAnsi="Arial" w:eastAsia="Arial" w:cs="Arial"/>
                <w:spacing w:val="-10"/>
                <w:sz w:val="15"/>
                <w:szCs w:val="15"/>
              </w:rPr>
              <w:t>74.6%</w:t>
            </w:r>
          </w:p>
        </w:tc>
        <w:tc>
          <w:tcPr>
            <w:tcW w:w="853" w:type="dxa"/>
            <w:tcBorders>
              <w:bottom w:val="single" w:color="282781" w:sz="4" w:space="0"/>
            </w:tcBorders>
            <w:vAlign w:val="top"/>
          </w:tcPr>
          <w:p>
            <w:pPr>
              <w:spacing w:before="49" w:line="180" w:lineRule="exact"/>
              <w:ind w:left="365"/>
              <w:rPr>
                <w:rFonts w:ascii="Arial" w:hAnsi="Arial" w:eastAsia="Arial" w:cs="Arial"/>
                <w:sz w:val="15"/>
                <w:szCs w:val="15"/>
              </w:rPr>
            </w:pPr>
            <w:r>
              <w:rPr>
                <w:rFonts w:ascii="Arial" w:hAnsi="Arial" w:eastAsia="Arial" w:cs="Arial"/>
                <w:spacing w:val="-10"/>
                <w:position w:val="4"/>
                <w:sz w:val="15"/>
                <w:szCs w:val="15"/>
              </w:rPr>
              <w:t>.956</w:t>
            </w:r>
          </w:p>
          <w:p>
            <w:pPr>
              <w:spacing w:line="190" w:lineRule="auto"/>
              <w:ind w:left="292"/>
              <w:rPr>
                <w:rFonts w:ascii="Arial" w:hAnsi="Arial" w:eastAsia="Arial" w:cs="Arial"/>
                <w:sz w:val="15"/>
                <w:szCs w:val="15"/>
              </w:rPr>
            </w:pPr>
            <w:r>
              <w:rPr>
                <w:rFonts w:ascii="Arial" w:hAnsi="Arial" w:eastAsia="Arial" w:cs="Arial"/>
                <w:spacing w:val="-10"/>
                <w:sz w:val="15"/>
                <w:szCs w:val="15"/>
              </w:rPr>
              <w:t>9.39</w:t>
            </w:r>
          </w:p>
          <w:p>
            <w:pPr>
              <w:spacing w:before="42" w:line="189" w:lineRule="auto"/>
              <w:ind w:left="210"/>
              <w:rPr>
                <w:rFonts w:ascii="Arial" w:hAnsi="Arial" w:eastAsia="Arial" w:cs="Arial"/>
                <w:sz w:val="15"/>
                <w:szCs w:val="15"/>
              </w:rPr>
            </w:pPr>
            <w:r>
              <w:rPr>
                <w:rFonts w:ascii="Arial" w:hAnsi="Arial" w:eastAsia="Arial" w:cs="Arial"/>
                <w:spacing w:val="-9"/>
                <w:sz w:val="15"/>
                <w:szCs w:val="15"/>
              </w:rPr>
              <w:t>26.2%</w:t>
            </w:r>
          </w:p>
        </w:tc>
        <w:tc>
          <w:tcPr>
            <w:tcW w:w="832" w:type="dxa"/>
            <w:tcBorders>
              <w:bottom w:val="single" w:color="282781" w:sz="4" w:space="0"/>
            </w:tcBorders>
            <w:vAlign w:val="top"/>
          </w:tcPr>
          <w:p>
            <w:pPr>
              <w:spacing w:before="49" w:line="180" w:lineRule="exact"/>
              <w:ind w:left="349"/>
              <w:rPr>
                <w:rFonts w:ascii="Arial" w:hAnsi="Arial" w:eastAsia="Arial" w:cs="Arial"/>
                <w:sz w:val="15"/>
                <w:szCs w:val="15"/>
              </w:rPr>
            </w:pPr>
            <w:r>
              <w:rPr>
                <w:rFonts w:ascii="Arial" w:hAnsi="Arial" w:eastAsia="Arial" w:cs="Arial"/>
                <w:spacing w:val="-10"/>
                <w:position w:val="4"/>
                <w:sz w:val="15"/>
                <w:szCs w:val="15"/>
              </w:rPr>
              <w:t>.939</w:t>
            </w:r>
          </w:p>
          <w:p>
            <w:pPr>
              <w:spacing w:line="190" w:lineRule="auto"/>
              <w:ind w:left="271"/>
              <w:rPr>
                <w:rFonts w:ascii="Arial" w:hAnsi="Arial" w:eastAsia="Arial" w:cs="Arial"/>
                <w:sz w:val="15"/>
                <w:szCs w:val="15"/>
              </w:rPr>
            </w:pPr>
            <w:r>
              <w:rPr>
                <w:rFonts w:ascii="Arial" w:hAnsi="Arial" w:eastAsia="Arial" w:cs="Arial"/>
                <w:spacing w:val="-8"/>
                <w:sz w:val="15"/>
                <w:szCs w:val="15"/>
              </w:rPr>
              <w:t>3.97</w:t>
            </w:r>
          </w:p>
          <w:p>
            <w:pPr>
              <w:spacing w:before="42" w:line="189" w:lineRule="auto"/>
              <w:ind w:left="219"/>
              <w:rPr>
                <w:rFonts w:ascii="Arial" w:hAnsi="Arial" w:eastAsia="Arial" w:cs="Arial"/>
                <w:sz w:val="15"/>
                <w:szCs w:val="15"/>
              </w:rPr>
            </w:pPr>
            <w:r>
              <w:rPr>
                <w:rFonts w:ascii="Arial" w:hAnsi="Arial" w:eastAsia="Arial" w:cs="Arial"/>
                <w:spacing w:val="-14"/>
                <w:sz w:val="15"/>
                <w:szCs w:val="15"/>
              </w:rPr>
              <w:t>17.5%</w:t>
            </w:r>
          </w:p>
        </w:tc>
        <w:tc>
          <w:tcPr>
            <w:tcW w:w="799" w:type="dxa"/>
            <w:tcBorders>
              <w:bottom w:val="single" w:color="282781" w:sz="4" w:space="0"/>
            </w:tcBorders>
            <w:vAlign w:val="top"/>
          </w:tcPr>
          <w:p>
            <w:pPr>
              <w:spacing w:before="49" w:line="180" w:lineRule="exact"/>
              <w:ind w:left="317"/>
              <w:rPr>
                <w:rFonts w:ascii="Arial" w:hAnsi="Arial" w:eastAsia="Arial" w:cs="Arial"/>
                <w:sz w:val="15"/>
                <w:szCs w:val="15"/>
              </w:rPr>
            </w:pPr>
            <w:r>
              <w:rPr>
                <w:rFonts w:ascii="Arial" w:hAnsi="Arial" w:eastAsia="Arial" w:cs="Arial"/>
                <w:spacing w:val="-10"/>
                <w:position w:val="4"/>
                <w:sz w:val="15"/>
                <w:szCs w:val="15"/>
              </w:rPr>
              <w:t>.752</w:t>
            </w:r>
          </w:p>
          <w:p>
            <w:pPr>
              <w:spacing w:line="190" w:lineRule="auto"/>
              <w:ind w:left="238"/>
              <w:rPr>
                <w:rFonts w:ascii="Arial" w:hAnsi="Arial" w:eastAsia="Arial" w:cs="Arial"/>
                <w:sz w:val="15"/>
                <w:szCs w:val="15"/>
              </w:rPr>
            </w:pPr>
            <w:r>
              <w:rPr>
                <w:rFonts w:ascii="Arial" w:hAnsi="Arial" w:eastAsia="Arial" w:cs="Arial"/>
                <w:spacing w:val="-12"/>
                <w:sz w:val="15"/>
                <w:szCs w:val="15"/>
              </w:rPr>
              <w:t>3.</w:t>
            </w:r>
            <w:r>
              <w:rPr>
                <w:rFonts w:ascii="Arial" w:hAnsi="Arial" w:eastAsia="Arial" w:cs="Arial"/>
                <w:spacing w:val="-16"/>
                <w:sz w:val="15"/>
                <w:szCs w:val="15"/>
              </w:rPr>
              <w:t xml:space="preserve"> </w:t>
            </w:r>
            <w:r>
              <w:rPr>
                <w:rFonts w:ascii="Arial" w:hAnsi="Arial" w:eastAsia="Arial" w:cs="Arial"/>
                <w:spacing w:val="-12"/>
                <w:sz w:val="15"/>
                <w:szCs w:val="15"/>
              </w:rPr>
              <w:t>19</w:t>
            </w:r>
          </w:p>
          <w:p>
            <w:pPr>
              <w:spacing w:before="42" w:line="189" w:lineRule="auto"/>
              <w:ind w:left="239"/>
              <w:rPr>
                <w:rFonts w:ascii="Arial" w:hAnsi="Arial" w:eastAsia="Arial" w:cs="Arial"/>
                <w:sz w:val="15"/>
                <w:szCs w:val="15"/>
              </w:rPr>
            </w:pPr>
            <w:r>
              <w:rPr>
                <w:rFonts w:ascii="Arial" w:hAnsi="Arial" w:eastAsia="Arial" w:cs="Arial"/>
                <w:spacing w:val="-9"/>
                <w:sz w:val="15"/>
                <w:szCs w:val="15"/>
              </w:rPr>
              <w:t>8.2%</w:t>
            </w:r>
          </w:p>
        </w:tc>
        <w:tc>
          <w:tcPr>
            <w:tcW w:w="799" w:type="dxa"/>
            <w:tcBorders>
              <w:bottom w:val="single" w:color="282781" w:sz="4" w:space="0"/>
            </w:tcBorders>
            <w:vAlign w:val="top"/>
          </w:tcPr>
          <w:p>
            <w:pPr>
              <w:spacing w:before="49" w:line="180" w:lineRule="exact"/>
              <w:ind w:left="318"/>
              <w:rPr>
                <w:rFonts w:ascii="Arial" w:hAnsi="Arial" w:eastAsia="Arial" w:cs="Arial"/>
                <w:sz w:val="15"/>
                <w:szCs w:val="15"/>
              </w:rPr>
            </w:pPr>
            <w:r>
              <w:rPr>
                <w:rFonts w:ascii="Arial" w:hAnsi="Arial" w:eastAsia="Arial" w:cs="Arial"/>
                <w:spacing w:val="-10"/>
                <w:position w:val="4"/>
                <w:sz w:val="15"/>
                <w:szCs w:val="15"/>
              </w:rPr>
              <w:t>.792</w:t>
            </w:r>
          </w:p>
          <w:p>
            <w:pPr>
              <w:spacing w:line="190" w:lineRule="auto"/>
              <w:ind w:left="261"/>
              <w:rPr>
                <w:rFonts w:ascii="Arial" w:hAnsi="Arial" w:eastAsia="Arial" w:cs="Arial"/>
                <w:sz w:val="15"/>
                <w:szCs w:val="15"/>
              </w:rPr>
            </w:pPr>
            <w:r>
              <w:rPr>
                <w:rFonts w:ascii="Arial" w:hAnsi="Arial" w:eastAsia="Arial" w:cs="Arial"/>
                <w:spacing w:val="-14"/>
                <w:sz w:val="15"/>
                <w:szCs w:val="15"/>
              </w:rPr>
              <w:t>1.32</w:t>
            </w:r>
          </w:p>
          <w:p>
            <w:pPr>
              <w:spacing w:before="42" w:line="189" w:lineRule="auto"/>
              <w:ind w:left="240"/>
              <w:rPr>
                <w:rFonts w:ascii="Arial" w:hAnsi="Arial" w:eastAsia="Arial" w:cs="Arial"/>
                <w:sz w:val="15"/>
                <w:szCs w:val="15"/>
              </w:rPr>
            </w:pPr>
            <w:r>
              <w:rPr>
                <w:rFonts w:ascii="Arial" w:hAnsi="Arial" w:eastAsia="Arial" w:cs="Arial"/>
                <w:spacing w:val="-8"/>
                <w:sz w:val="15"/>
                <w:szCs w:val="15"/>
              </w:rPr>
              <w:t>8.0%</w:t>
            </w:r>
          </w:p>
        </w:tc>
        <w:tc>
          <w:tcPr>
            <w:tcW w:w="799" w:type="dxa"/>
            <w:tcBorders>
              <w:bottom w:val="single" w:color="282781" w:sz="4" w:space="0"/>
            </w:tcBorders>
            <w:vAlign w:val="top"/>
          </w:tcPr>
          <w:p>
            <w:pPr>
              <w:spacing w:before="49" w:line="180" w:lineRule="exact"/>
              <w:ind w:left="319"/>
              <w:rPr>
                <w:rFonts w:ascii="Arial" w:hAnsi="Arial" w:eastAsia="Arial" w:cs="Arial"/>
                <w:sz w:val="15"/>
                <w:szCs w:val="15"/>
              </w:rPr>
            </w:pPr>
            <w:r>
              <w:rPr>
                <w:rFonts w:ascii="Arial" w:hAnsi="Arial" w:eastAsia="Arial" w:cs="Arial"/>
                <w:spacing w:val="-10"/>
                <w:position w:val="4"/>
                <w:sz w:val="15"/>
                <w:szCs w:val="15"/>
              </w:rPr>
              <w:t>.853</w:t>
            </w:r>
          </w:p>
          <w:p>
            <w:pPr>
              <w:spacing w:line="193" w:lineRule="auto"/>
              <w:ind w:left="262"/>
              <w:rPr>
                <w:rFonts w:ascii="Arial" w:hAnsi="Arial" w:eastAsia="Arial" w:cs="Arial"/>
                <w:sz w:val="15"/>
                <w:szCs w:val="15"/>
              </w:rPr>
            </w:pPr>
            <w:r>
              <w:rPr>
                <w:rFonts w:ascii="Arial" w:hAnsi="Arial" w:eastAsia="Arial" w:cs="Arial"/>
                <w:spacing w:val="-14"/>
                <w:sz w:val="15"/>
                <w:szCs w:val="15"/>
              </w:rPr>
              <w:t>1.24</w:t>
            </w:r>
          </w:p>
          <w:p>
            <w:pPr>
              <w:spacing w:before="41" w:line="189" w:lineRule="auto"/>
              <w:ind w:left="243"/>
              <w:rPr>
                <w:rFonts w:ascii="Arial" w:hAnsi="Arial" w:eastAsia="Arial" w:cs="Arial"/>
                <w:sz w:val="15"/>
                <w:szCs w:val="15"/>
              </w:rPr>
            </w:pPr>
            <w:r>
              <w:rPr>
                <w:rFonts w:ascii="Arial" w:hAnsi="Arial" w:eastAsia="Arial" w:cs="Arial"/>
                <w:spacing w:val="-10"/>
                <w:sz w:val="15"/>
                <w:szCs w:val="15"/>
              </w:rPr>
              <w:t>7.4%</w:t>
            </w:r>
          </w:p>
        </w:tc>
        <w:tc>
          <w:tcPr>
            <w:tcW w:w="588" w:type="dxa"/>
            <w:tcBorders>
              <w:bottom w:val="single" w:color="282781" w:sz="4" w:space="0"/>
            </w:tcBorders>
            <w:vAlign w:val="top"/>
          </w:tcPr>
          <w:p>
            <w:pPr>
              <w:spacing w:before="49" w:line="230" w:lineRule="auto"/>
              <w:ind w:left="243" w:right="25" w:firstLine="76"/>
              <w:rPr>
                <w:rFonts w:ascii="Arial" w:hAnsi="Arial" w:eastAsia="Arial" w:cs="Arial"/>
                <w:sz w:val="15"/>
                <w:szCs w:val="15"/>
              </w:rPr>
            </w:pPr>
            <w:r>
              <w:rPr>
                <w:rFonts w:ascii="Arial" w:hAnsi="Arial" w:eastAsia="Arial" w:cs="Arial"/>
                <w:spacing w:val="-13"/>
                <w:sz w:val="15"/>
                <w:szCs w:val="15"/>
              </w:rPr>
              <w:t>.726</w:t>
            </w:r>
            <w:r>
              <w:rPr>
                <w:rFonts w:ascii="Arial" w:hAnsi="Arial" w:eastAsia="Arial" w:cs="Arial"/>
                <w:spacing w:val="1"/>
                <w:sz w:val="15"/>
                <w:szCs w:val="15"/>
              </w:rPr>
              <w:t xml:space="preserve"> </w:t>
            </w:r>
            <w:r>
              <w:rPr>
                <w:rFonts w:ascii="Arial" w:hAnsi="Arial" w:eastAsia="Arial" w:cs="Arial"/>
                <w:spacing w:val="-12"/>
                <w:sz w:val="15"/>
                <w:szCs w:val="15"/>
              </w:rPr>
              <w:t>1.04</w:t>
            </w:r>
            <w:r>
              <w:rPr>
                <w:rFonts w:ascii="Arial" w:hAnsi="Arial" w:eastAsia="Arial" w:cs="Arial"/>
                <w:sz w:val="15"/>
                <w:szCs w:val="15"/>
              </w:rPr>
              <w:t xml:space="preserve">   </w:t>
            </w:r>
            <w:r>
              <w:rPr>
                <w:rFonts w:ascii="Arial" w:hAnsi="Arial" w:eastAsia="Arial" w:cs="Arial"/>
                <w:spacing w:val="-10"/>
                <w:sz w:val="15"/>
                <w:szCs w:val="15"/>
              </w:rPr>
              <w:t>7.3%</w:t>
            </w:r>
          </w:p>
        </w:tc>
        <w:tc>
          <w:tcPr>
            <w:tcW w:w="673" w:type="dxa"/>
            <w:tcBorders>
              <w:bottom w:val="single" w:color="282781" w:sz="4" w:space="0"/>
            </w:tcBorders>
            <w:vAlign w:val="top"/>
          </w:tcPr>
          <w:p>
            <w:pPr>
              <w:rPr>
                <w:rFonts w:ascii="Arial"/>
                <w:sz w:val="21"/>
              </w:rPr>
            </w:pPr>
          </w:p>
        </w:tc>
      </w:tr>
    </w:tbl>
    <w:p>
      <w:pPr>
        <w:spacing w:before="6" w:line="119" w:lineRule="exact"/>
        <w:ind w:left="200"/>
        <w:rPr>
          <w:rFonts w:ascii="Arial" w:hAnsi="Arial" w:eastAsia="Arial" w:cs="Arial"/>
          <w:sz w:val="10"/>
          <w:szCs w:val="10"/>
        </w:rPr>
      </w:pPr>
      <w:r>
        <w:rPr>
          <w:rFonts w:ascii="Arial" w:hAnsi="Arial" w:eastAsia="Arial" w:cs="Arial"/>
          <w:position w:val="1"/>
          <w:sz w:val="10"/>
          <w:szCs w:val="10"/>
        </w:rPr>
        <w:t>Note</w:t>
      </w:r>
      <w:r>
        <w:rPr>
          <w:rFonts w:ascii="Arial" w:hAnsi="Arial" w:eastAsia="Arial" w:cs="Arial"/>
          <w:spacing w:val="7"/>
          <w:position w:val="1"/>
          <w:sz w:val="10"/>
          <w:szCs w:val="10"/>
        </w:rPr>
        <w:t>:</w:t>
      </w:r>
      <w:r>
        <w:rPr>
          <w:rFonts w:ascii="Arial" w:hAnsi="Arial" w:eastAsia="Arial" w:cs="Arial"/>
          <w:position w:val="1"/>
          <w:sz w:val="10"/>
          <w:szCs w:val="10"/>
        </w:rPr>
        <w:t xml:space="preserve">  Extraction</w:t>
      </w:r>
      <w:r>
        <w:rPr>
          <w:rFonts w:ascii="Arial" w:hAnsi="Arial" w:eastAsia="Arial" w:cs="Arial"/>
          <w:spacing w:val="28"/>
          <w:w w:val="101"/>
          <w:position w:val="1"/>
          <w:sz w:val="10"/>
          <w:szCs w:val="10"/>
        </w:rPr>
        <w:t xml:space="preserve"> </w:t>
      </w:r>
      <w:r>
        <w:rPr>
          <w:rFonts w:ascii="Arial" w:hAnsi="Arial" w:eastAsia="Arial" w:cs="Arial"/>
          <w:position w:val="1"/>
          <w:sz w:val="10"/>
          <w:szCs w:val="10"/>
        </w:rPr>
        <w:t>method</w:t>
      </w:r>
      <w:r>
        <w:rPr>
          <w:rFonts w:ascii="Arial" w:hAnsi="Arial" w:eastAsia="Arial" w:cs="Arial"/>
          <w:spacing w:val="7"/>
          <w:position w:val="1"/>
          <w:sz w:val="10"/>
          <w:szCs w:val="10"/>
        </w:rPr>
        <w:t xml:space="preserve">:  </w:t>
      </w:r>
      <w:r>
        <w:rPr>
          <w:rFonts w:ascii="Arial" w:hAnsi="Arial" w:eastAsia="Arial" w:cs="Arial"/>
          <w:position w:val="1"/>
          <w:sz w:val="10"/>
          <w:szCs w:val="10"/>
        </w:rPr>
        <w:t>Principal</w:t>
      </w:r>
      <w:r>
        <w:rPr>
          <w:rFonts w:ascii="Arial" w:hAnsi="Arial" w:eastAsia="Arial" w:cs="Arial"/>
          <w:spacing w:val="24"/>
          <w:position w:val="1"/>
          <w:sz w:val="10"/>
          <w:szCs w:val="10"/>
        </w:rPr>
        <w:t xml:space="preserve"> </w:t>
      </w:r>
      <w:r>
        <w:rPr>
          <w:rFonts w:ascii="Arial" w:hAnsi="Arial" w:eastAsia="Arial" w:cs="Arial"/>
          <w:position w:val="1"/>
          <w:sz w:val="10"/>
          <w:szCs w:val="10"/>
        </w:rPr>
        <w:t>Component</w:t>
      </w:r>
      <w:r>
        <w:rPr>
          <w:rFonts w:ascii="Arial" w:hAnsi="Arial" w:eastAsia="Arial" w:cs="Arial"/>
          <w:spacing w:val="23"/>
          <w:w w:val="103"/>
          <w:position w:val="1"/>
          <w:sz w:val="10"/>
          <w:szCs w:val="10"/>
        </w:rPr>
        <w:t xml:space="preserve"> </w:t>
      </w:r>
      <w:r>
        <w:rPr>
          <w:rFonts w:ascii="Arial" w:hAnsi="Arial" w:eastAsia="Arial" w:cs="Arial"/>
          <w:position w:val="1"/>
          <w:sz w:val="10"/>
          <w:szCs w:val="10"/>
        </w:rPr>
        <w:t>Analysis</w:t>
      </w:r>
      <w:r>
        <w:rPr>
          <w:rFonts w:ascii="Arial" w:hAnsi="Arial" w:eastAsia="Arial" w:cs="Arial"/>
          <w:spacing w:val="7"/>
          <w:position w:val="1"/>
          <w:sz w:val="10"/>
          <w:szCs w:val="10"/>
        </w:rPr>
        <w:t>;</w:t>
      </w:r>
      <w:r>
        <w:rPr>
          <w:rFonts w:ascii="Arial" w:hAnsi="Arial" w:eastAsia="Arial" w:cs="Arial"/>
          <w:position w:val="1"/>
          <w:sz w:val="10"/>
          <w:szCs w:val="10"/>
        </w:rPr>
        <w:t xml:space="preserve">  Rotation  method</w:t>
      </w:r>
      <w:r>
        <w:rPr>
          <w:rFonts w:ascii="Arial" w:hAnsi="Arial" w:eastAsia="Arial" w:cs="Arial"/>
          <w:spacing w:val="7"/>
          <w:position w:val="1"/>
          <w:sz w:val="10"/>
          <w:szCs w:val="10"/>
        </w:rPr>
        <w:t>:</w:t>
      </w:r>
      <w:r>
        <w:rPr>
          <w:rFonts w:ascii="Arial" w:hAnsi="Arial" w:eastAsia="Arial" w:cs="Arial"/>
          <w:spacing w:val="21"/>
          <w:position w:val="1"/>
          <w:sz w:val="10"/>
          <w:szCs w:val="10"/>
        </w:rPr>
        <w:t xml:space="preserve"> </w:t>
      </w:r>
      <w:r>
        <w:rPr>
          <w:rFonts w:ascii="Arial" w:hAnsi="Arial" w:eastAsia="Arial" w:cs="Arial"/>
          <w:position w:val="1"/>
          <w:sz w:val="10"/>
          <w:szCs w:val="10"/>
        </w:rPr>
        <w:t>Varimax</w:t>
      </w:r>
      <w:r>
        <w:rPr>
          <w:rFonts w:ascii="Arial" w:hAnsi="Arial" w:eastAsia="Arial" w:cs="Arial"/>
          <w:spacing w:val="7"/>
          <w:position w:val="1"/>
          <w:sz w:val="10"/>
          <w:szCs w:val="10"/>
        </w:rPr>
        <w:t>;</w:t>
      </w:r>
      <w:r>
        <w:rPr>
          <w:rFonts w:ascii="Arial" w:hAnsi="Arial" w:eastAsia="Arial" w:cs="Arial"/>
          <w:spacing w:val="24"/>
          <w:position w:val="1"/>
          <w:sz w:val="10"/>
          <w:szCs w:val="10"/>
        </w:rPr>
        <w:t xml:space="preserve"> </w:t>
      </w:r>
      <w:r>
        <w:rPr>
          <w:rFonts w:ascii="Arial" w:hAnsi="Arial" w:eastAsia="Arial" w:cs="Arial"/>
          <w:spacing w:val="7"/>
          <w:position w:val="1"/>
          <w:sz w:val="10"/>
          <w:szCs w:val="10"/>
        </w:rPr>
        <w:t xml:space="preserve">h² = </w:t>
      </w:r>
      <w:r>
        <w:rPr>
          <w:rFonts w:ascii="Arial" w:hAnsi="Arial" w:eastAsia="Arial" w:cs="Arial"/>
          <w:position w:val="1"/>
          <w:sz w:val="10"/>
          <w:szCs w:val="10"/>
        </w:rPr>
        <w:t>communalities</w:t>
      </w:r>
      <w:r>
        <w:rPr>
          <w:rFonts w:ascii="Arial" w:hAnsi="Arial" w:eastAsia="Arial" w:cs="Arial"/>
          <w:spacing w:val="7"/>
          <w:position w:val="1"/>
          <w:sz w:val="10"/>
          <w:szCs w:val="10"/>
        </w:rPr>
        <w:t>.</w:t>
      </w:r>
    </w:p>
    <w:p>
      <w:pPr>
        <w:spacing w:line="476" w:lineRule="auto"/>
        <w:rPr>
          <w:rFonts w:ascii="Arial"/>
          <w:sz w:val="21"/>
        </w:rPr>
      </w:pPr>
    </w:p>
    <w:p>
      <w:pPr>
        <w:spacing w:before="55" w:line="255" w:lineRule="auto"/>
        <w:ind w:left="198" w:firstLine="6"/>
        <w:jc w:val="both"/>
        <w:rPr>
          <w:rFonts w:ascii="Arial" w:hAnsi="Arial" w:eastAsia="Arial" w:cs="Arial"/>
          <w:sz w:val="19"/>
          <w:szCs w:val="19"/>
        </w:rPr>
      </w:pPr>
      <w:r>
        <w:rPr>
          <w:rFonts w:ascii="Arial" w:hAnsi="Arial" w:eastAsia="Arial" w:cs="Arial"/>
          <w:spacing w:val="-9"/>
          <w:sz w:val="19"/>
          <w:szCs w:val="19"/>
        </w:rPr>
        <w:t>range</w:t>
      </w:r>
      <w:r>
        <w:rPr>
          <w:rFonts w:ascii="Arial" w:hAnsi="Arial" w:eastAsia="Arial" w:cs="Arial"/>
          <w:spacing w:val="9"/>
          <w:sz w:val="19"/>
          <w:szCs w:val="19"/>
        </w:rPr>
        <w:t xml:space="preserve">  </w:t>
      </w:r>
      <w:r>
        <w:rPr>
          <w:rFonts w:ascii="Arial" w:hAnsi="Arial" w:eastAsia="Arial" w:cs="Arial"/>
          <w:spacing w:val="-9"/>
          <w:sz w:val="19"/>
          <w:szCs w:val="19"/>
        </w:rPr>
        <w:t>(MSA = .758–</w:t>
      </w:r>
      <w:r>
        <w:rPr>
          <w:rFonts w:ascii="Arial" w:hAnsi="Arial" w:eastAsia="Arial" w:cs="Arial"/>
          <w:spacing w:val="-42"/>
          <w:sz w:val="19"/>
          <w:szCs w:val="19"/>
        </w:rPr>
        <w:t xml:space="preserve"> </w:t>
      </w:r>
      <w:r>
        <w:rPr>
          <w:rFonts w:ascii="Arial" w:hAnsi="Arial" w:eastAsia="Arial" w:cs="Arial"/>
          <w:spacing w:val="-9"/>
          <w:sz w:val="19"/>
          <w:szCs w:val="19"/>
        </w:rPr>
        <w:t>.955;</w:t>
      </w:r>
      <w:r>
        <w:rPr>
          <w:rFonts w:ascii="Arial" w:hAnsi="Arial" w:eastAsia="Arial" w:cs="Arial"/>
          <w:spacing w:val="7"/>
          <w:sz w:val="19"/>
          <w:szCs w:val="19"/>
        </w:rPr>
        <w:t xml:space="preserve">  </w:t>
      </w:r>
      <w:r>
        <w:rPr>
          <w:rFonts w:ascii="Arial" w:hAnsi="Arial" w:eastAsia="Arial" w:cs="Arial"/>
          <w:spacing w:val="-9"/>
          <w:sz w:val="19"/>
          <w:szCs w:val="19"/>
        </w:rPr>
        <w:t>average:</w:t>
      </w:r>
      <w:r>
        <w:rPr>
          <w:rFonts w:ascii="Arial" w:hAnsi="Arial" w:eastAsia="Arial" w:cs="Arial"/>
          <w:spacing w:val="8"/>
          <w:sz w:val="19"/>
          <w:szCs w:val="19"/>
        </w:rPr>
        <w:t xml:space="preserve">  </w:t>
      </w:r>
      <w:r>
        <w:rPr>
          <w:rFonts w:ascii="Arial" w:hAnsi="Arial" w:eastAsia="Arial" w:cs="Arial"/>
          <w:spacing w:val="-9"/>
          <w:sz w:val="19"/>
          <w:szCs w:val="19"/>
        </w:rPr>
        <w:t>.878).  The   EFA</w:t>
      </w:r>
      <w:r>
        <w:rPr>
          <w:rFonts w:ascii="Arial" w:hAnsi="Arial" w:eastAsia="Arial" w:cs="Arial"/>
          <w:spacing w:val="10"/>
          <w:sz w:val="19"/>
          <w:szCs w:val="19"/>
        </w:rPr>
        <w:t xml:space="preserve">  </w:t>
      </w:r>
      <w:r>
        <w:rPr>
          <w:rFonts w:ascii="Arial" w:hAnsi="Arial" w:eastAsia="Arial" w:cs="Arial"/>
          <w:spacing w:val="-9"/>
          <w:sz w:val="19"/>
          <w:szCs w:val="19"/>
        </w:rPr>
        <w:t>resulted</w:t>
      </w:r>
      <w:r>
        <w:rPr>
          <w:rFonts w:ascii="Arial" w:hAnsi="Arial" w:eastAsia="Arial" w:cs="Arial"/>
          <w:spacing w:val="10"/>
          <w:sz w:val="19"/>
          <w:szCs w:val="19"/>
        </w:rPr>
        <w:t xml:space="preserve">  </w:t>
      </w:r>
      <w:r>
        <w:rPr>
          <w:rFonts w:ascii="Arial" w:hAnsi="Arial" w:eastAsia="Arial" w:cs="Arial"/>
          <w:spacing w:val="-9"/>
          <w:sz w:val="19"/>
          <w:szCs w:val="19"/>
        </w:rPr>
        <w:t>in</w:t>
      </w:r>
      <w:r>
        <w:rPr>
          <w:rFonts w:ascii="Arial" w:hAnsi="Arial" w:eastAsia="Arial" w:cs="Arial"/>
          <w:spacing w:val="7"/>
          <w:sz w:val="19"/>
          <w:szCs w:val="19"/>
        </w:rPr>
        <w:t xml:space="preserve">  </w:t>
      </w:r>
      <w:r>
        <w:rPr>
          <w:rFonts w:ascii="Arial" w:hAnsi="Arial" w:eastAsia="Arial" w:cs="Arial"/>
          <w:spacing w:val="-9"/>
          <w:sz w:val="19"/>
          <w:szCs w:val="19"/>
        </w:rPr>
        <w:t>six  facto</w:t>
      </w:r>
      <w:r>
        <w:rPr>
          <w:rFonts w:ascii="Arial" w:hAnsi="Arial" w:eastAsia="Arial" w:cs="Arial"/>
          <w:spacing w:val="-10"/>
          <w:sz w:val="19"/>
          <w:szCs w:val="19"/>
        </w:rPr>
        <w:t>rs</w:t>
      </w:r>
      <w:r>
        <w:rPr>
          <w:rFonts w:ascii="Arial" w:hAnsi="Arial" w:eastAsia="Arial" w:cs="Arial"/>
          <w:spacing w:val="6"/>
          <w:sz w:val="19"/>
          <w:szCs w:val="19"/>
        </w:rPr>
        <w:t xml:space="preserve">  </w:t>
      </w:r>
      <w:r>
        <w:rPr>
          <w:rFonts w:ascii="Arial" w:hAnsi="Arial" w:eastAsia="Arial" w:cs="Arial"/>
          <w:spacing w:val="-10"/>
          <w:sz w:val="19"/>
          <w:szCs w:val="19"/>
        </w:rPr>
        <w:t>with   eigenvalues</w:t>
      </w:r>
      <w:r>
        <w:rPr>
          <w:rFonts w:ascii="Arial" w:hAnsi="Arial" w:eastAsia="Arial" w:cs="Arial"/>
          <w:spacing w:val="9"/>
          <w:sz w:val="19"/>
          <w:szCs w:val="19"/>
        </w:rPr>
        <w:t xml:space="preserve">  </w:t>
      </w:r>
      <w:r>
        <w:rPr>
          <w:rFonts w:ascii="Arial" w:hAnsi="Arial" w:eastAsia="Arial" w:cs="Arial"/>
          <w:spacing w:val="-10"/>
          <w:sz w:val="19"/>
          <w:szCs w:val="19"/>
        </w:rPr>
        <w:t>&gt;1,</w:t>
      </w:r>
      <w:r>
        <w:rPr>
          <w:rFonts w:ascii="Arial" w:hAnsi="Arial" w:eastAsia="Arial" w:cs="Arial"/>
          <w:spacing w:val="1"/>
          <w:sz w:val="19"/>
          <w:szCs w:val="19"/>
        </w:rPr>
        <w:t xml:space="preserve"> </w:t>
      </w:r>
      <w:r>
        <w:rPr>
          <w:rFonts w:ascii="Arial" w:hAnsi="Arial" w:eastAsia="Arial" w:cs="Arial"/>
          <w:spacing w:val="-5"/>
          <w:sz w:val="19"/>
          <w:szCs w:val="19"/>
        </w:rPr>
        <w:t>accounting  for  74.6</w:t>
      </w:r>
      <w:r>
        <w:rPr>
          <w:rFonts w:ascii="Arial" w:hAnsi="Arial" w:eastAsia="Arial" w:cs="Arial"/>
          <w:spacing w:val="-6"/>
          <w:sz w:val="19"/>
          <w:szCs w:val="19"/>
        </w:rPr>
        <w:t xml:space="preserve">%  of  the  total  variance  (see  </w:t>
      </w:r>
      <w:r>
        <w:fldChar w:fldCharType="begin"/>
      </w:r>
      <w:r>
        <w:instrText xml:space="preserve"> HYPERLINK \l "bookmark86" </w:instrText>
      </w:r>
      <w:r>
        <w:fldChar w:fldCharType="separate"/>
      </w:r>
      <w:r>
        <w:rPr>
          <w:rFonts w:ascii="Arial" w:hAnsi="Arial" w:eastAsia="Arial" w:cs="Arial"/>
          <w:color w:val="000084"/>
          <w:spacing w:val="-6"/>
          <w:sz w:val="19"/>
          <w:szCs w:val="19"/>
        </w:rPr>
        <w:t>Table  4</w:t>
      </w:r>
      <w:r>
        <w:rPr>
          <w:rFonts w:ascii="Arial" w:hAnsi="Arial" w:eastAsia="Arial" w:cs="Arial"/>
          <w:color w:val="000084"/>
          <w:spacing w:val="-6"/>
          <w:sz w:val="19"/>
          <w:szCs w:val="19"/>
        </w:rPr>
        <w:fldChar w:fldCharType="end"/>
      </w:r>
      <w:r>
        <w:rPr>
          <w:rFonts w:ascii="Arial" w:hAnsi="Arial" w:eastAsia="Arial" w:cs="Arial"/>
          <w:spacing w:val="-6"/>
          <w:sz w:val="19"/>
          <w:szCs w:val="19"/>
        </w:rPr>
        <w:t>).  The  factors  were</w:t>
      </w:r>
      <w:r>
        <w:rPr>
          <w:rFonts w:ascii="Arial" w:hAnsi="Arial" w:eastAsia="Arial" w:cs="Arial"/>
          <w:spacing w:val="2"/>
          <w:sz w:val="19"/>
          <w:szCs w:val="19"/>
        </w:rPr>
        <w:t xml:space="preserve">  </w:t>
      </w:r>
      <w:r>
        <w:rPr>
          <w:rFonts w:ascii="Arial" w:hAnsi="Arial" w:eastAsia="Arial" w:cs="Arial"/>
          <w:spacing w:val="-6"/>
          <w:sz w:val="19"/>
          <w:szCs w:val="19"/>
        </w:rPr>
        <w:t>labeled</w:t>
      </w:r>
      <w:r>
        <w:rPr>
          <w:rFonts w:ascii="Arial" w:hAnsi="Arial" w:eastAsia="Arial" w:cs="Arial"/>
          <w:spacing w:val="3"/>
          <w:sz w:val="19"/>
          <w:szCs w:val="19"/>
        </w:rPr>
        <w:t xml:space="preserve">  </w:t>
      </w:r>
      <w:r>
        <w:rPr>
          <w:rFonts w:ascii="Arial" w:hAnsi="Arial" w:eastAsia="Arial" w:cs="Arial"/>
          <w:spacing w:val="-6"/>
          <w:sz w:val="19"/>
          <w:szCs w:val="19"/>
        </w:rPr>
        <w:t>leadership</w:t>
      </w:r>
      <w:r>
        <w:rPr>
          <w:rFonts w:ascii="Arial" w:hAnsi="Arial" w:eastAsia="Arial" w:cs="Arial"/>
          <w:sz w:val="19"/>
          <w:szCs w:val="19"/>
        </w:rPr>
        <w:t xml:space="preserve"> </w:t>
      </w:r>
      <w:r>
        <w:rPr>
          <w:rFonts w:ascii="Arial" w:hAnsi="Arial" w:eastAsia="Arial" w:cs="Arial"/>
          <w:spacing w:val="-5"/>
          <w:sz w:val="19"/>
          <w:szCs w:val="19"/>
        </w:rPr>
        <w:t>behavior,</w:t>
      </w:r>
      <w:r>
        <w:rPr>
          <w:rFonts w:ascii="Arial" w:hAnsi="Arial" w:eastAsia="Arial" w:cs="Arial"/>
          <w:spacing w:val="50"/>
          <w:w w:val="101"/>
          <w:sz w:val="19"/>
          <w:szCs w:val="19"/>
        </w:rPr>
        <w:t xml:space="preserve"> </w:t>
      </w:r>
      <w:r>
        <w:rPr>
          <w:rFonts w:ascii="Arial" w:hAnsi="Arial" w:eastAsia="Arial" w:cs="Arial"/>
          <w:spacing w:val="-5"/>
          <w:sz w:val="19"/>
          <w:szCs w:val="19"/>
        </w:rPr>
        <w:t>communication,</w:t>
      </w:r>
      <w:r>
        <w:rPr>
          <w:rFonts w:ascii="Arial" w:hAnsi="Arial" w:eastAsia="Arial" w:cs="Arial"/>
          <w:spacing w:val="38"/>
          <w:w w:val="101"/>
          <w:sz w:val="19"/>
          <w:szCs w:val="19"/>
        </w:rPr>
        <w:t xml:space="preserve"> </w:t>
      </w:r>
      <w:r>
        <w:rPr>
          <w:rFonts w:ascii="Arial" w:hAnsi="Arial" w:eastAsia="Arial" w:cs="Arial"/>
          <w:spacing w:val="-5"/>
          <w:sz w:val="19"/>
          <w:szCs w:val="19"/>
        </w:rPr>
        <w:t>engagement,</w:t>
      </w:r>
      <w:r>
        <w:rPr>
          <w:rFonts w:ascii="Arial" w:hAnsi="Arial" w:eastAsia="Arial" w:cs="Arial"/>
          <w:spacing w:val="38"/>
          <w:sz w:val="19"/>
          <w:szCs w:val="19"/>
        </w:rPr>
        <w:t xml:space="preserve"> </w:t>
      </w:r>
      <w:r>
        <w:rPr>
          <w:rFonts w:ascii="Arial" w:hAnsi="Arial" w:eastAsia="Arial" w:cs="Arial"/>
          <w:spacing w:val="-5"/>
          <w:sz w:val="19"/>
          <w:szCs w:val="19"/>
        </w:rPr>
        <w:t>commitment,</w:t>
      </w:r>
      <w:r>
        <w:rPr>
          <w:rFonts w:ascii="Arial" w:hAnsi="Arial" w:eastAsia="Arial" w:cs="Arial"/>
          <w:spacing w:val="45"/>
          <w:sz w:val="19"/>
          <w:szCs w:val="19"/>
        </w:rPr>
        <w:t xml:space="preserve"> </w:t>
      </w:r>
      <w:r>
        <w:rPr>
          <w:rFonts w:ascii="Arial" w:hAnsi="Arial" w:eastAsia="Arial" w:cs="Arial"/>
          <w:spacing w:val="-5"/>
          <w:sz w:val="19"/>
          <w:szCs w:val="19"/>
        </w:rPr>
        <w:t>leadership</w:t>
      </w:r>
      <w:r>
        <w:rPr>
          <w:rFonts w:ascii="Arial" w:hAnsi="Arial" w:eastAsia="Arial" w:cs="Arial"/>
          <w:spacing w:val="38"/>
          <w:w w:val="101"/>
          <w:sz w:val="19"/>
          <w:szCs w:val="19"/>
        </w:rPr>
        <w:t xml:space="preserve"> </w:t>
      </w:r>
      <w:r>
        <w:rPr>
          <w:rFonts w:ascii="Arial" w:hAnsi="Arial" w:eastAsia="Arial" w:cs="Arial"/>
          <w:spacing w:val="-5"/>
          <w:sz w:val="19"/>
          <w:szCs w:val="19"/>
        </w:rPr>
        <w:t>expectations,</w:t>
      </w:r>
      <w:r>
        <w:rPr>
          <w:rFonts w:ascii="Arial" w:hAnsi="Arial" w:eastAsia="Arial" w:cs="Arial"/>
          <w:spacing w:val="37"/>
          <w:w w:val="101"/>
          <w:sz w:val="19"/>
          <w:szCs w:val="19"/>
        </w:rPr>
        <w:t xml:space="preserve"> </w:t>
      </w:r>
      <w:r>
        <w:rPr>
          <w:rFonts w:ascii="Arial" w:hAnsi="Arial" w:eastAsia="Arial" w:cs="Arial"/>
          <w:spacing w:val="-5"/>
          <w:sz w:val="19"/>
          <w:szCs w:val="19"/>
        </w:rPr>
        <w:t>and</w:t>
      </w:r>
      <w:r>
        <w:rPr>
          <w:rFonts w:ascii="Arial" w:hAnsi="Arial" w:eastAsia="Arial" w:cs="Arial"/>
          <w:spacing w:val="44"/>
          <w:sz w:val="19"/>
          <w:szCs w:val="19"/>
        </w:rPr>
        <w:t xml:space="preserve"> </w:t>
      </w:r>
      <w:r>
        <w:rPr>
          <w:rFonts w:ascii="Arial" w:hAnsi="Arial" w:eastAsia="Arial" w:cs="Arial"/>
          <w:spacing w:val="-5"/>
          <w:sz w:val="19"/>
          <w:szCs w:val="19"/>
        </w:rPr>
        <w:t>participation.</w:t>
      </w:r>
      <w:r>
        <w:rPr>
          <w:rFonts w:ascii="Arial" w:hAnsi="Arial" w:eastAsia="Arial" w:cs="Arial"/>
          <w:sz w:val="19"/>
          <w:szCs w:val="19"/>
        </w:rPr>
        <w:t xml:space="preserve"> </w:t>
      </w:r>
      <w:r>
        <w:rPr>
          <w:rFonts w:ascii="Arial" w:hAnsi="Arial" w:eastAsia="Arial" w:cs="Arial"/>
          <w:spacing w:val="-4"/>
          <w:sz w:val="19"/>
          <w:szCs w:val="19"/>
        </w:rPr>
        <w:t>Interestingly,</w:t>
      </w:r>
      <w:r>
        <w:rPr>
          <w:rFonts w:ascii="Arial" w:hAnsi="Arial" w:eastAsia="Arial" w:cs="Arial"/>
          <w:spacing w:val="24"/>
          <w:w w:val="101"/>
          <w:sz w:val="19"/>
          <w:szCs w:val="19"/>
        </w:rPr>
        <w:t xml:space="preserve"> </w:t>
      </w:r>
      <w:r>
        <w:rPr>
          <w:rFonts w:ascii="Arial" w:hAnsi="Arial" w:eastAsia="Arial" w:cs="Arial"/>
          <w:spacing w:val="-4"/>
          <w:sz w:val="19"/>
          <w:szCs w:val="19"/>
        </w:rPr>
        <w:t>leadership</w:t>
      </w:r>
      <w:r>
        <w:rPr>
          <w:rFonts w:ascii="Arial" w:hAnsi="Arial" w:eastAsia="Arial" w:cs="Arial"/>
          <w:spacing w:val="22"/>
          <w:w w:val="101"/>
          <w:sz w:val="19"/>
          <w:szCs w:val="19"/>
        </w:rPr>
        <w:t xml:space="preserve"> </w:t>
      </w:r>
      <w:r>
        <w:rPr>
          <w:rFonts w:ascii="Arial" w:hAnsi="Arial" w:eastAsia="Arial" w:cs="Arial"/>
          <w:spacing w:val="-4"/>
          <w:sz w:val="19"/>
          <w:szCs w:val="19"/>
        </w:rPr>
        <w:t>items</w:t>
      </w:r>
      <w:r>
        <w:rPr>
          <w:rFonts w:ascii="Arial" w:hAnsi="Arial" w:eastAsia="Arial" w:cs="Arial"/>
          <w:spacing w:val="14"/>
          <w:w w:val="101"/>
          <w:sz w:val="19"/>
          <w:szCs w:val="19"/>
        </w:rPr>
        <w:t xml:space="preserve"> </w:t>
      </w:r>
      <w:r>
        <w:rPr>
          <w:rFonts w:ascii="Arial" w:hAnsi="Arial" w:eastAsia="Arial" w:cs="Arial"/>
          <w:spacing w:val="-4"/>
          <w:sz w:val="19"/>
          <w:szCs w:val="19"/>
        </w:rPr>
        <w:t>were</w:t>
      </w:r>
      <w:r>
        <w:rPr>
          <w:rFonts w:ascii="Arial" w:hAnsi="Arial" w:eastAsia="Arial" w:cs="Arial"/>
          <w:spacing w:val="18"/>
          <w:sz w:val="19"/>
          <w:szCs w:val="19"/>
        </w:rPr>
        <w:t xml:space="preserve"> </w:t>
      </w:r>
      <w:r>
        <w:rPr>
          <w:rFonts w:ascii="Arial" w:hAnsi="Arial" w:eastAsia="Arial" w:cs="Arial"/>
          <w:spacing w:val="-4"/>
          <w:sz w:val="19"/>
          <w:szCs w:val="19"/>
        </w:rPr>
        <w:t>divided</w:t>
      </w:r>
      <w:r>
        <w:rPr>
          <w:rFonts w:ascii="Arial" w:hAnsi="Arial" w:eastAsia="Arial" w:cs="Arial"/>
          <w:spacing w:val="23"/>
          <w:sz w:val="19"/>
          <w:szCs w:val="19"/>
        </w:rPr>
        <w:t xml:space="preserve"> </w:t>
      </w:r>
      <w:r>
        <w:rPr>
          <w:rFonts w:ascii="Arial" w:hAnsi="Arial" w:eastAsia="Arial" w:cs="Arial"/>
          <w:spacing w:val="-4"/>
          <w:sz w:val="19"/>
          <w:szCs w:val="19"/>
        </w:rPr>
        <w:t>into</w:t>
      </w:r>
      <w:r>
        <w:rPr>
          <w:rFonts w:ascii="Arial" w:hAnsi="Arial" w:eastAsia="Arial" w:cs="Arial"/>
          <w:spacing w:val="14"/>
          <w:sz w:val="19"/>
          <w:szCs w:val="19"/>
        </w:rPr>
        <w:t xml:space="preserve"> </w:t>
      </w:r>
      <w:r>
        <w:rPr>
          <w:rFonts w:ascii="Arial" w:hAnsi="Arial" w:eastAsia="Arial" w:cs="Arial"/>
          <w:spacing w:val="-4"/>
          <w:sz w:val="19"/>
          <w:szCs w:val="19"/>
        </w:rPr>
        <w:t>two</w:t>
      </w:r>
      <w:r>
        <w:rPr>
          <w:rFonts w:ascii="Arial" w:hAnsi="Arial" w:eastAsia="Arial" w:cs="Arial"/>
          <w:spacing w:val="18"/>
          <w:sz w:val="19"/>
          <w:szCs w:val="19"/>
        </w:rPr>
        <w:t xml:space="preserve"> </w:t>
      </w:r>
      <w:r>
        <w:rPr>
          <w:rFonts w:ascii="Arial" w:hAnsi="Arial" w:eastAsia="Arial" w:cs="Arial"/>
          <w:spacing w:val="-4"/>
          <w:sz w:val="19"/>
          <w:szCs w:val="19"/>
        </w:rPr>
        <w:t>distinct</w:t>
      </w:r>
      <w:r>
        <w:rPr>
          <w:rFonts w:ascii="Arial" w:hAnsi="Arial" w:eastAsia="Arial" w:cs="Arial"/>
          <w:spacing w:val="13"/>
          <w:w w:val="101"/>
          <w:sz w:val="19"/>
          <w:szCs w:val="19"/>
        </w:rPr>
        <w:t xml:space="preserve"> </w:t>
      </w:r>
      <w:r>
        <w:rPr>
          <w:rFonts w:ascii="Arial" w:hAnsi="Arial" w:eastAsia="Arial" w:cs="Arial"/>
          <w:spacing w:val="-4"/>
          <w:sz w:val="19"/>
          <w:szCs w:val="19"/>
        </w:rPr>
        <w:t>factors,</w:t>
      </w:r>
      <w:r>
        <w:rPr>
          <w:rFonts w:ascii="Arial" w:hAnsi="Arial" w:eastAsia="Arial" w:cs="Arial"/>
          <w:spacing w:val="25"/>
          <w:w w:val="101"/>
          <w:sz w:val="19"/>
          <w:szCs w:val="19"/>
        </w:rPr>
        <w:t xml:space="preserve"> </w:t>
      </w:r>
      <w:r>
        <w:rPr>
          <w:rFonts w:ascii="Arial" w:hAnsi="Arial" w:eastAsia="Arial" w:cs="Arial"/>
          <w:spacing w:val="-4"/>
          <w:sz w:val="19"/>
          <w:szCs w:val="19"/>
        </w:rPr>
        <w:t>representing</w:t>
      </w:r>
      <w:r>
        <w:rPr>
          <w:rFonts w:ascii="Arial" w:hAnsi="Arial" w:eastAsia="Arial" w:cs="Arial"/>
          <w:spacing w:val="18"/>
          <w:w w:val="101"/>
          <w:sz w:val="19"/>
          <w:szCs w:val="19"/>
        </w:rPr>
        <w:t xml:space="preserve"> </w:t>
      </w:r>
      <w:r>
        <w:rPr>
          <w:rFonts w:ascii="Arial" w:hAnsi="Arial" w:eastAsia="Arial" w:cs="Arial"/>
          <w:spacing w:val="-4"/>
          <w:sz w:val="19"/>
          <w:szCs w:val="19"/>
        </w:rPr>
        <w:t>q</w:t>
      </w:r>
      <w:r>
        <w:rPr>
          <w:rFonts w:ascii="Arial" w:hAnsi="Arial" w:eastAsia="Arial" w:cs="Arial"/>
          <w:spacing w:val="-5"/>
          <w:sz w:val="19"/>
          <w:szCs w:val="19"/>
        </w:rPr>
        <w:t>uality-oriented</w:t>
      </w:r>
      <w:r>
        <w:rPr>
          <w:rFonts w:ascii="Arial" w:hAnsi="Arial" w:eastAsia="Arial" w:cs="Arial"/>
          <w:sz w:val="19"/>
          <w:szCs w:val="19"/>
        </w:rPr>
        <w:t xml:space="preserve"> </w:t>
      </w:r>
      <w:r>
        <w:rPr>
          <w:rFonts w:ascii="Arial" w:hAnsi="Arial" w:eastAsia="Arial" w:cs="Arial"/>
          <w:spacing w:val="-5"/>
          <w:sz w:val="19"/>
          <w:szCs w:val="19"/>
        </w:rPr>
        <w:t>expectations</w:t>
      </w:r>
      <w:r>
        <w:rPr>
          <w:rFonts w:ascii="Arial" w:hAnsi="Arial" w:eastAsia="Arial" w:cs="Arial"/>
          <w:spacing w:val="17"/>
          <w:w w:val="101"/>
          <w:sz w:val="19"/>
          <w:szCs w:val="19"/>
        </w:rPr>
        <w:t xml:space="preserve"> </w:t>
      </w:r>
      <w:r>
        <w:rPr>
          <w:rFonts w:ascii="Arial" w:hAnsi="Arial" w:eastAsia="Arial" w:cs="Arial"/>
          <w:spacing w:val="-5"/>
          <w:sz w:val="19"/>
          <w:szCs w:val="19"/>
        </w:rPr>
        <w:t>(e.g. ‘My</w:t>
      </w:r>
      <w:r>
        <w:rPr>
          <w:rFonts w:ascii="Arial" w:hAnsi="Arial" w:eastAsia="Arial" w:cs="Arial"/>
          <w:spacing w:val="13"/>
          <w:sz w:val="19"/>
          <w:szCs w:val="19"/>
        </w:rPr>
        <w:t xml:space="preserve"> </w:t>
      </w:r>
      <w:r>
        <w:rPr>
          <w:rFonts w:ascii="Arial" w:hAnsi="Arial" w:eastAsia="Arial" w:cs="Arial"/>
          <w:spacing w:val="-5"/>
          <w:sz w:val="19"/>
          <w:szCs w:val="19"/>
        </w:rPr>
        <w:t>supervisor</w:t>
      </w:r>
      <w:r>
        <w:rPr>
          <w:rFonts w:ascii="Arial" w:hAnsi="Arial" w:eastAsia="Arial" w:cs="Arial"/>
          <w:spacing w:val="18"/>
          <w:w w:val="101"/>
          <w:sz w:val="19"/>
          <w:szCs w:val="19"/>
        </w:rPr>
        <w:t xml:space="preserve"> </w:t>
      </w:r>
      <w:r>
        <w:rPr>
          <w:rFonts w:ascii="Arial" w:hAnsi="Arial" w:eastAsia="Arial" w:cs="Arial"/>
          <w:spacing w:val="-5"/>
          <w:sz w:val="19"/>
          <w:szCs w:val="19"/>
        </w:rPr>
        <w:t>has</w:t>
      </w:r>
      <w:r>
        <w:rPr>
          <w:rFonts w:ascii="Arial" w:hAnsi="Arial" w:eastAsia="Arial" w:cs="Arial"/>
          <w:spacing w:val="18"/>
          <w:w w:val="101"/>
          <w:sz w:val="19"/>
          <w:szCs w:val="19"/>
        </w:rPr>
        <w:t xml:space="preserve"> </w:t>
      </w:r>
      <w:r>
        <w:rPr>
          <w:rFonts w:ascii="Arial" w:hAnsi="Arial" w:eastAsia="Arial" w:cs="Arial"/>
          <w:spacing w:val="-5"/>
          <w:sz w:val="19"/>
          <w:szCs w:val="19"/>
        </w:rPr>
        <w:t>high</w:t>
      </w:r>
      <w:r>
        <w:rPr>
          <w:rFonts w:ascii="Arial" w:hAnsi="Arial" w:eastAsia="Arial" w:cs="Arial"/>
          <w:spacing w:val="12"/>
          <w:sz w:val="19"/>
          <w:szCs w:val="19"/>
        </w:rPr>
        <w:t xml:space="preserve"> </w:t>
      </w:r>
      <w:r>
        <w:rPr>
          <w:rFonts w:ascii="Arial" w:hAnsi="Arial" w:eastAsia="Arial" w:cs="Arial"/>
          <w:spacing w:val="-5"/>
          <w:sz w:val="19"/>
          <w:szCs w:val="19"/>
        </w:rPr>
        <w:t>demands</w:t>
      </w:r>
      <w:r>
        <w:rPr>
          <w:rFonts w:ascii="Arial" w:hAnsi="Arial" w:eastAsia="Arial" w:cs="Arial"/>
          <w:spacing w:val="13"/>
          <w:sz w:val="19"/>
          <w:szCs w:val="19"/>
        </w:rPr>
        <w:t xml:space="preserve"> </w:t>
      </w:r>
      <w:r>
        <w:rPr>
          <w:rFonts w:ascii="Arial" w:hAnsi="Arial" w:eastAsia="Arial" w:cs="Arial"/>
          <w:spacing w:val="-5"/>
          <w:sz w:val="19"/>
          <w:szCs w:val="19"/>
        </w:rPr>
        <w:t>on t</w:t>
      </w:r>
      <w:r>
        <w:rPr>
          <w:rFonts w:ascii="Arial" w:hAnsi="Arial" w:eastAsia="Arial" w:cs="Arial"/>
          <w:spacing w:val="-6"/>
          <w:sz w:val="19"/>
          <w:szCs w:val="19"/>
        </w:rPr>
        <w:t>he</w:t>
      </w:r>
      <w:r>
        <w:rPr>
          <w:rFonts w:ascii="Arial" w:hAnsi="Arial" w:eastAsia="Arial" w:cs="Arial"/>
          <w:spacing w:val="13"/>
          <w:sz w:val="19"/>
          <w:szCs w:val="19"/>
        </w:rPr>
        <w:t xml:space="preserve"> </w:t>
      </w:r>
      <w:r>
        <w:rPr>
          <w:rFonts w:ascii="Arial" w:hAnsi="Arial" w:eastAsia="Arial" w:cs="Arial"/>
          <w:spacing w:val="-6"/>
          <w:sz w:val="19"/>
          <w:szCs w:val="19"/>
        </w:rPr>
        <w:t>quality</w:t>
      </w:r>
      <w:r>
        <w:rPr>
          <w:rFonts w:ascii="Arial" w:hAnsi="Arial" w:eastAsia="Arial" w:cs="Arial"/>
          <w:spacing w:val="13"/>
          <w:sz w:val="19"/>
          <w:szCs w:val="19"/>
        </w:rPr>
        <w:t xml:space="preserve"> </w:t>
      </w:r>
      <w:r>
        <w:rPr>
          <w:rFonts w:ascii="Arial" w:hAnsi="Arial" w:eastAsia="Arial" w:cs="Arial"/>
          <w:spacing w:val="-6"/>
          <w:sz w:val="19"/>
          <w:szCs w:val="19"/>
        </w:rPr>
        <w:t>of</w:t>
      </w:r>
      <w:r>
        <w:rPr>
          <w:rFonts w:ascii="Arial" w:hAnsi="Arial" w:eastAsia="Arial" w:cs="Arial"/>
          <w:spacing w:val="11"/>
          <w:sz w:val="19"/>
          <w:szCs w:val="19"/>
        </w:rPr>
        <w:t xml:space="preserve"> </w:t>
      </w:r>
      <w:r>
        <w:rPr>
          <w:rFonts w:ascii="Arial" w:hAnsi="Arial" w:eastAsia="Arial" w:cs="Arial"/>
          <w:spacing w:val="-6"/>
          <w:sz w:val="19"/>
          <w:szCs w:val="19"/>
        </w:rPr>
        <w:t>my work’)</w:t>
      </w:r>
      <w:r>
        <w:rPr>
          <w:rFonts w:ascii="Arial" w:hAnsi="Arial" w:eastAsia="Arial" w:cs="Arial"/>
          <w:spacing w:val="12"/>
          <w:sz w:val="19"/>
          <w:szCs w:val="19"/>
        </w:rPr>
        <w:t xml:space="preserve"> </w:t>
      </w:r>
      <w:r>
        <w:rPr>
          <w:rFonts w:ascii="Arial" w:hAnsi="Arial" w:eastAsia="Arial" w:cs="Arial"/>
          <w:spacing w:val="-6"/>
          <w:sz w:val="19"/>
          <w:szCs w:val="19"/>
        </w:rPr>
        <w:t>and</w:t>
      </w:r>
      <w:r>
        <w:rPr>
          <w:rFonts w:ascii="Arial" w:hAnsi="Arial" w:eastAsia="Arial" w:cs="Arial"/>
          <w:spacing w:val="11"/>
          <w:sz w:val="19"/>
          <w:szCs w:val="19"/>
        </w:rPr>
        <w:t xml:space="preserve"> </w:t>
      </w:r>
      <w:r>
        <w:rPr>
          <w:rFonts w:ascii="Arial" w:hAnsi="Arial" w:eastAsia="Arial" w:cs="Arial"/>
          <w:spacing w:val="-6"/>
          <w:sz w:val="19"/>
          <w:szCs w:val="19"/>
        </w:rPr>
        <w:t>actual</w:t>
      </w:r>
      <w:r>
        <w:rPr>
          <w:rFonts w:ascii="Arial" w:hAnsi="Arial" w:eastAsia="Arial" w:cs="Arial"/>
          <w:spacing w:val="13"/>
          <w:w w:val="101"/>
          <w:sz w:val="19"/>
          <w:szCs w:val="19"/>
        </w:rPr>
        <w:t xml:space="preserve"> </w:t>
      </w:r>
      <w:r>
        <w:rPr>
          <w:rFonts w:ascii="Arial" w:hAnsi="Arial" w:eastAsia="Arial" w:cs="Arial"/>
          <w:spacing w:val="-6"/>
          <w:sz w:val="19"/>
          <w:szCs w:val="19"/>
        </w:rPr>
        <w:t>quality-</w:t>
      </w:r>
      <w:r>
        <w:rPr>
          <w:rFonts w:ascii="Arial" w:hAnsi="Arial" w:eastAsia="Arial" w:cs="Arial"/>
          <w:sz w:val="19"/>
          <w:szCs w:val="19"/>
        </w:rPr>
        <w:t xml:space="preserve"> </w:t>
      </w:r>
      <w:r>
        <w:rPr>
          <w:rFonts w:ascii="Arial" w:hAnsi="Arial" w:eastAsia="Arial" w:cs="Arial"/>
          <w:spacing w:val="-6"/>
          <w:sz w:val="19"/>
          <w:szCs w:val="19"/>
        </w:rPr>
        <w:t>oriented</w:t>
      </w:r>
      <w:r>
        <w:rPr>
          <w:rFonts w:ascii="Arial" w:hAnsi="Arial" w:eastAsia="Arial" w:cs="Arial"/>
          <w:spacing w:val="45"/>
          <w:w w:val="101"/>
          <w:sz w:val="19"/>
          <w:szCs w:val="19"/>
        </w:rPr>
        <w:t xml:space="preserve"> </w:t>
      </w:r>
      <w:r>
        <w:rPr>
          <w:rFonts w:ascii="Arial" w:hAnsi="Arial" w:eastAsia="Arial" w:cs="Arial"/>
          <w:spacing w:val="-6"/>
          <w:sz w:val="19"/>
          <w:szCs w:val="19"/>
        </w:rPr>
        <w:t>beha</w:t>
      </w:r>
      <w:r>
        <w:rPr>
          <w:rFonts w:ascii="Arial" w:hAnsi="Arial" w:eastAsia="Arial" w:cs="Arial"/>
          <w:spacing w:val="-5"/>
          <w:sz w:val="19"/>
          <w:szCs w:val="19"/>
        </w:rPr>
        <w:t>vior</w:t>
      </w:r>
      <w:r>
        <w:rPr>
          <w:rFonts w:ascii="Arial" w:hAnsi="Arial" w:eastAsia="Arial" w:cs="Arial"/>
          <w:spacing w:val="43"/>
          <w:w w:val="101"/>
          <w:sz w:val="19"/>
          <w:szCs w:val="19"/>
        </w:rPr>
        <w:t xml:space="preserve"> </w:t>
      </w:r>
      <w:r>
        <w:rPr>
          <w:rFonts w:ascii="Arial" w:hAnsi="Arial" w:eastAsia="Arial" w:cs="Arial"/>
          <w:spacing w:val="-5"/>
          <w:sz w:val="19"/>
          <w:szCs w:val="19"/>
        </w:rPr>
        <w:t>(e.g.</w:t>
      </w:r>
      <w:r>
        <w:rPr>
          <w:rFonts w:ascii="Arial" w:hAnsi="Arial" w:eastAsia="Arial" w:cs="Arial"/>
          <w:spacing w:val="25"/>
          <w:w w:val="101"/>
          <w:sz w:val="19"/>
          <w:szCs w:val="19"/>
        </w:rPr>
        <w:t xml:space="preserve"> </w:t>
      </w:r>
      <w:r>
        <w:rPr>
          <w:rFonts w:ascii="Arial" w:hAnsi="Arial" w:eastAsia="Arial" w:cs="Arial"/>
          <w:spacing w:val="-5"/>
          <w:sz w:val="19"/>
          <w:szCs w:val="19"/>
        </w:rPr>
        <w:t>‘My</w:t>
      </w:r>
      <w:r>
        <w:rPr>
          <w:rFonts w:ascii="Arial" w:hAnsi="Arial" w:eastAsia="Arial" w:cs="Arial"/>
          <w:spacing w:val="38"/>
          <w:w w:val="101"/>
          <w:sz w:val="19"/>
          <w:szCs w:val="19"/>
        </w:rPr>
        <w:t xml:space="preserve"> </w:t>
      </w:r>
      <w:r>
        <w:rPr>
          <w:rFonts w:ascii="Arial" w:hAnsi="Arial" w:eastAsia="Arial" w:cs="Arial"/>
          <w:spacing w:val="-5"/>
          <w:sz w:val="19"/>
          <w:szCs w:val="19"/>
        </w:rPr>
        <w:t>supervisor</w:t>
      </w:r>
      <w:r>
        <w:rPr>
          <w:rFonts w:ascii="Arial" w:hAnsi="Arial" w:eastAsia="Arial" w:cs="Arial"/>
          <w:spacing w:val="44"/>
          <w:w w:val="101"/>
          <w:sz w:val="19"/>
          <w:szCs w:val="19"/>
        </w:rPr>
        <w:t xml:space="preserve"> </w:t>
      </w:r>
      <w:r>
        <w:rPr>
          <w:rFonts w:ascii="Arial" w:hAnsi="Arial" w:eastAsia="Arial" w:cs="Arial"/>
          <w:spacing w:val="-5"/>
          <w:sz w:val="19"/>
          <w:szCs w:val="19"/>
        </w:rPr>
        <w:t>provides</w:t>
      </w:r>
      <w:r>
        <w:rPr>
          <w:rFonts w:ascii="Arial" w:hAnsi="Arial" w:eastAsia="Arial" w:cs="Arial"/>
          <w:spacing w:val="39"/>
          <w:sz w:val="19"/>
          <w:szCs w:val="19"/>
        </w:rPr>
        <w:t xml:space="preserve"> </w:t>
      </w:r>
      <w:r>
        <w:rPr>
          <w:rFonts w:ascii="Arial" w:hAnsi="Arial" w:eastAsia="Arial" w:cs="Arial"/>
          <w:spacing w:val="-5"/>
          <w:sz w:val="19"/>
          <w:szCs w:val="19"/>
        </w:rPr>
        <w:t>constructive</w:t>
      </w:r>
      <w:r>
        <w:rPr>
          <w:rFonts w:ascii="Arial" w:hAnsi="Arial" w:eastAsia="Arial" w:cs="Arial"/>
          <w:spacing w:val="34"/>
          <w:sz w:val="19"/>
          <w:szCs w:val="19"/>
        </w:rPr>
        <w:t xml:space="preserve"> </w:t>
      </w:r>
      <w:r>
        <w:rPr>
          <w:rFonts w:ascii="Arial" w:hAnsi="Arial" w:eastAsia="Arial" w:cs="Arial"/>
          <w:spacing w:val="-5"/>
          <w:sz w:val="19"/>
          <w:szCs w:val="19"/>
        </w:rPr>
        <w:t>feedback</w:t>
      </w:r>
      <w:r>
        <w:rPr>
          <w:rFonts w:ascii="Arial" w:hAnsi="Arial" w:eastAsia="Arial" w:cs="Arial"/>
          <w:spacing w:val="35"/>
          <w:w w:val="101"/>
          <w:sz w:val="19"/>
          <w:szCs w:val="19"/>
        </w:rPr>
        <w:t xml:space="preserve"> </w:t>
      </w:r>
      <w:r>
        <w:rPr>
          <w:rFonts w:ascii="Arial" w:hAnsi="Arial" w:eastAsia="Arial" w:cs="Arial"/>
          <w:spacing w:val="-5"/>
          <w:sz w:val="19"/>
          <w:szCs w:val="19"/>
        </w:rPr>
        <w:t>concerning</w:t>
      </w:r>
      <w:r>
        <w:rPr>
          <w:rFonts w:ascii="Arial" w:hAnsi="Arial" w:eastAsia="Arial" w:cs="Arial"/>
          <w:spacing w:val="34"/>
          <w:sz w:val="19"/>
          <w:szCs w:val="19"/>
        </w:rPr>
        <w:t xml:space="preserve"> </w:t>
      </w:r>
      <w:r>
        <w:rPr>
          <w:rFonts w:ascii="Arial" w:hAnsi="Arial" w:eastAsia="Arial" w:cs="Arial"/>
          <w:spacing w:val="-5"/>
          <w:sz w:val="19"/>
          <w:szCs w:val="19"/>
        </w:rPr>
        <w:t>the</w:t>
      </w:r>
      <w:r>
        <w:rPr>
          <w:rFonts w:ascii="Arial" w:hAnsi="Arial" w:eastAsia="Arial" w:cs="Arial"/>
          <w:spacing w:val="38"/>
          <w:sz w:val="19"/>
          <w:szCs w:val="19"/>
        </w:rPr>
        <w:t xml:space="preserve"> </w:t>
      </w:r>
      <w:r>
        <w:rPr>
          <w:rFonts w:ascii="Arial" w:hAnsi="Arial" w:eastAsia="Arial" w:cs="Arial"/>
          <w:spacing w:val="-5"/>
          <w:sz w:val="19"/>
          <w:szCs w:val="19"/>
        </w:rPr>
        <w:t>qu</w:t>
      </w:r>
      <w:r>
        <w:rPr>
          <w:rFonts w:ascii="Arial" w:hAnsi="Arial" w:eastAsia="Arial" w:cs="Arial"/>
          <w:spacing w:val="-6"/>
          <w:sz w:val="19"/>
          <w:szCs w:val="19"/>
        </w:rPr>
        <w:t>ality</w:t>
      </w:r>
      <w:r>
        <w:rPr>
          <w:rFonts w:ascii="Arial" w:hAnsi="Arial" w:eastAsia="Arial" w:cs="Arial"/>
          <w:spacing w:val="39"/>
          <w:w w:val="101"/>
          <w:sz w:val="19"/>
          <w:szCs w:val="19"/>
        </w:rPr>
        <w:t xml:space="preserve"> </w:t>
      </w:r>
      <w:r>
        <w:rPr>
          <w:rFonts w:ascii="Arial" w:hAnsi="Arial" w:eastAsia="Arial" w:cs="Arial"/>
          <w:spacing w:val="-6"/>
          <w:sz w:val="19"/>
          <w:szCs w:val="19"/>
        </w:rPr>
        <w:t>o</w:t>
      </w:r>
      <w:r>
        <w:rPr>
          <w:rFonts w:ascii="Arial" w:hAnsi="Arial" w:eastAsia="Arial" w:cs="Arial"/>
          <w:spacing w:val="6"/>
          <w:sz w:val="19"/>
          <w:szCs w:val="19"/>
        </w:rPr>
        <w:t>f</w:t>
      </w:r>
      <w:r>
        <w:rPr>
          <w:rFonts w:ascii="Arial" w:hAnsi="Arial" w:eastAsia="Arial" w:cs="Arial"/>
          <w:sz w:val="19"/>
          <w:szCs w:val="19"/>
        </w:rPr>
        <w:t xml:space="preserve"> </w:t>
      </w:r>
      <w:r>
        <w:rPr>
          <w:rFonts w:ascii="Arial" w:hAnsi="Arial" w:eastAsia="Arial" w:cs="Arial"/>
          <w:spacing w:val="-4"/>
          <w:sz w:val="19"/>
          <w:szCs w:val="19"/>
        </w:rPr>
        <w:t>my</w:t>
      </w:r>
      <w:r>
        <w:rPr>
          <w:rFonts w:ascii="Arial" w:hAnsi="Arial" w:eastAsia="Arial" w:cs="Arial"/>
          <w:spacing w:val="32"/>
          <w:w w:val="101"/>
          <w:sz w:val="19"/>
          <w:szCs w:val="19"/>
        </w:rPr>
        <w:t xml:space="preserve"> </w:t>
      </w:r>
      <w:r>
        <w:rPr>
          <w:rFonts w:ascii="Arial" w:hAnsi="Arial" w:eastAsia="Arial" w:cs="Arial"/>
          <w:spacing w:val="-4"/>
          <w:sz w:val="19"/>
          <w:szCs w:val="19"/>
        </w:rPr>
        <w:t>work’).</w:t>
      </w:r>
    </w:p>
    <w:p>
      <w:pPr>
        <w:spacing w:before="27" w:line="254" w:lineRule="auto"/>
        <w:ind w:left="194" w:right="6" w:firstLine="242"/>
        <w:jc w:val="both"/>
        <w:rPr>
          <w:rFonts w:ascii="Arial" w:hAnsi="Arial" w:eastAsia="Arial" w:cs="Arial"/>
          <w:sz w:val="19"/>
          <w:szCs w:val="19"/>
        </w:rPr>
      </w:pPr>
      <w:r>
        <w:rPr>
          <w:rFonts w:ascii="Arial" w:hAnsi="Arial" w:eastAsia="Arial" w:cs="Arial"/>
          <w:spacing w:val="-3"/>
          <w:sz w:val="19"/>
          <w:szCs w:val="19"/>
        </w:rPr>
        <w:t>Contrary to our</w:t>
      </w:r>
      <w:r>
        <w:rPr>
          <w:rFonts w:ascii="Arial" w:hAnsi="Arial" w:eastAsia="Arial" w:cs="Arial"/>
          <w:spacing w:val="15"/>
          <w:w w:val="101"/>
          <w:sz w:val="19"/>
          <w:szCs w:val="19"/>
        </w:rPr>
        <w:t xml:space="preserve"> </w:t>
      </w:r>
      <w:r>
        <w:rPr>
          <w:rFonts w:ascii="Arial" w:hAnsi="Arial" w:eastAsia="Arial" w:cs="Arial"/>
          <w:spacing w:val="-3"/>
          <w:sz w:val="19"/>
          <w:szCs w:val="19"/>
        </w:rPr>
        <w:t>hypothesis,</w:t>
      </w:r>
      <w:r>
        <w:rPr>
          <w:rFonts w:ascii="Arial" w:hAnsi="Arial" w:eastAsia="Arial" w:cs="Arial"/>
          <w:spacing w:val="14"/>
          <w:sz w:val="19"/>
          <w:szCs w:val="19"/>
        </w:rPr>
        <w:t xml:space="preserve"> </w:t>
      </w:r>
      <w:r>
        <w:rPr>
          <w:rFonts w:ascii="Arial" w:hAnsi="Arial" w:eastAsia="Arial" w:cs="Arial"/>
          <w:spacing w:val="-3"/>
          <w:sz w:val="19"/>
          <w:szCs w:val="19"/>
        </w:rPr>
        <w:t>responsibility was</w:t>
      </w:r>
      <w:r>
        <w:rPr>
          <w:rFonts w:ascii="Arial" w:hAnsi="Arial" w:eastAsia="Arial" w:cs="Arial"/>
          <w:spacing w:val="14"/>
          <w:sz w:val="19"/>
          <w:szCs w:val="19"/>
        </w:rPr>
        <w:t xml:space="preserve"> </w:t>
      </w:r>
      <w:r>
        <w:rPr>
          <w:rFonts w:ascii="Arial" w:hAnsi="Arial" w:eastAsia="Arial" w:cs="Arial"/>
          <w:spacing w:val="-3"/>
          <w:sz w:val="19"/>
          <w:szCs w:val="19"/>
        </w:rPr>
        <w:t>not</w:t>
      </w:r>
      <w:r>
        <w:rPr>
          <w:rFonts w:ascii="Arial" w:hAnsi="Arial" w:eastAsia="Arial" w:cs="Arial"/>
          <w:spacing w:val="13"/>
          <w:w w:val="101"/>
          <w:sz w:val="19"/>
          <w:szCs w:val="19"/>
        </w:rPr>
        <w:t xml:space="preserve"> </w:t>
      </w:r>
      <w:r>
        <w:rPr>
          <w:rFonts w:ascii="Arial" w:hAnsi="Arial" w:eastAsia="Arial" w:cs="Arial"/>
          <w:spacing w:val="-3"/>
          <w:sz w:val="19"/>
          <w:szCs w:val="19"/>
        </w:rPr>
        <w:t>ide</w:t>
      </w:r>
      <w:r>
        <w:rPr>
          <w:rFonts w:ascii="Arial" w:hAnsi="Arial" w:eastAsia="Arial" w:cs="Arial"/>
          <w:spacing w:val="-4"/>
          <w:sz w:val="19"/>
          <w:szCs w:val="19"/>
        </w:rPr>
        <w:t>ntiied as an</w:t>
      </w:r>
      <w:r>
        <w:rPr>
          <w:rFonts w:ascii="Arial" w:hAnsi="Arial" w:eastAsia="Arial" w:cs="Arial"/>
          <w:spacing w:val="12"/>
          <w:sz w:val="19"/>
          <w:szCs w:val="19"/>
        </w:rPr>
        <w:t xml:space="preserve"> </w:t>
      </w:r>
      <w:r>
        <w:rPr>
          <w:rFonts w:ascii="Arial" w:hAnsi="Arial" w:eastAsia="Arial" w:cs="Arial"/>
          <w:spacing w:val="-4"/>
          <w:sz w:val="19"/>
          <w:szCs w:val="19"/>
        </w:rPr>
        <w:t>independent</w:t>
      </w:r>
      <w:r>
        <w:rPr>
          <w:rFonts w:ascii="Arial" w:hAnsi="Arial" w:eastAsia="Arial" w:cs="Arial"/>
          <w:spacing w:val="4"/>
          <w:sz w:val="19"/>
          <w:szCs w:val="19"/>
        </w:rPr>
        <w:t xml:space="preserve"> </w:t>
      </w:r>
      <w:r>
        <w:rPr>
          <w:rFonts w:ascii="Arial" w:hAnsi="Arial" w:eastAsia="Arial" w:cs="Arial"/>
          <w:spacing w:val="-4"/>
          <w:sz w:val="19"/>
          <w:szCs w:val="19"/>
        </w:rPr>
        <w:t>factor</w:t>
      </w:r>
      <w:r>
        <w:rPr>
          <w:rFonts w:ascii="Arial" w:hAnsi="Arial" w:eastAsia="Arial" w:cs="Arial"/>
          <w:spacing w:val="6"/>
          <w:sz w:val="19"/>
          <w:szCs w:val="19"/>
        </w:rPr>
        <w:t xml:space="preserve"> </w:t>
      </w:r>
      <w:r>
        <w:rPr>
          <w:rFonts w:ascii="Arial" w:hAnsi="Arial" w:eastAsia="Arial" w:cs="Arial"/>
          <w:spacing w:val="-4"/>
          <w:sz w:val="19"/>
          <w:szCs w:val="19"/>
        </w:rPr>
        <w:t>within</w:t>
      </w:r>
      <w:r>
        <w:rPr>
          <w:rFonts w:ascii="Arial" w:hAnsi="Arial" w:eastAsia="Arial" w:cs="Arial"/>
          <w:spacing w:val="8"/>
          <w:sz w:val="19"/>
          <w:szCs w:val="19"/>
        </w:rPr>
        <w:t xml:space="preserve"> </w:t>
      </w:r>
      <w:r>
        <w:rPr>
          <w:rFonts w:ascii="Arial" w:hAnsi="Arial" w:eastAsia="Arial" w:cs="Arial"/>
          <w:spacing w:val="-4"/>
          <w:sz w:val="19"/>
          <w:szCs w:val="19"/>
        </w:rPr>
        <w:t>our</w:t>
      </w:r>
      <w:r>
        <w:rPr>
          <w:rFonts w:ascii="Arial" w:hAnsi="Arial" w:eastAsia="Arial" w:cs="Arial"/>
          <w:sz w:val="19"/>
          <w:szCs w:val="19"/>
        </w:rPr>
        <w:t xml:space="preserve"> </w:t>
      </w:r>
      <w:r>
        <w:rPr>
          <w:rFonts w:ascii="Arial" w:hAnsi="Arial" w:eastAsia="Arial" w:cs="Arial"/>
          <w:spacing w:val="-4"/>
          <w:sz w:val="19"/>
          <w:szCs w:val="19"/>
        </w:rPr>
        <w:t>dataset. The corresponding items showed ambiguous</w:t>
      </w:r>
      <w:r>
        <w:rPr>
          <w:rFonts w:ascii="Arial" w:hAnsi="Arial" w:eastAsia="Arial" w:cs="Arial"/>
          <w:spacing w:val="-5"/>
          <w:sz w:val="19"/>
          <w:szCs w:val="19"/>
        </w:rPr>
        <w:t xml:space="preserve"> factor loadings leading to their exclusion from</w:t>
      </w:r>
      <w:r>
        <w:rPr>
          <w:rFonts w:ascii="Arial" w:hAnsi="Arial" w:eastAsia="Arial" w:cs="Arial"/>
          <w:sz w:val="19"/>
          <w:szCs w:val="19"/>
        </w:rPr>
        <w:t xml:space="preserve"> </w:t>
      </w:r>
      <w:r>
        <w:rPr>
          <w:rFonts w:ascii="Arial" w:hAnsi="Arial" w:eastAsia="Arial" w:cs="Arial"/>
          <w:spacing w:val="-2"/>
          <w:sz w:val="19"/>
          <w:szCs w:val="19"/>
        </w:rPr>
        <w:t>the inal factor solution (4 items). Another three</w:t>
      </w:r>
      <w:r>
        <w:rPr>
          <w:rFonts w:ascii="Arial" w:hAnsi="Arial" w:eastAsia="Arial" w:cs="Arial"/>
          <w:spacing w:val="11"/>
          <w:sz w:val="19"/>
          <w:szCs w:val="19"/>
        </w:rPr>
        <w:t xml:space="preserve"> </w:t>
      </w:r>
      <w:r>
        <w:rPr>
          <w:rFonts w:ascii="Arial" w:hAnsi="Arial" w:eastAsia="Arial" w:cs="Arial"/>
          <w:spacing w:val="-2"/>
          <w:sz w:val="19"/>
          <w:szCs w:val="19"/>
        </w:rPr>
        <w:t>items were</w:t>
      </w:r>
      <w:r>
        <w:rPr>
          <w:rFonts w:ascii="Arial" w:hAnsi="Arial" w:eastAsia="Arial" w:cs="Arial"/>
          <w:spacing w:val="6"/>
          <w:sz w:val="19"/>
          <w:szCs w:val="19"/>
        </w:rPr>
        <w:t xml:space="preserve"> </w:t>
      </w:r>
      <w:r>
        <w:rPr>
          <w:rFonts w:ascii="Arial" w:hAnsi="Arial" w:eastAsia="Arial" w:cs="Arial"/>
          <w:spacing w:val="-2"/>
          <w:sz w:val="19"/>
          <w:szCs w:val="19"/>
        </w:rPr>
        <w:t>excluded</w:t>
      </w:r>
      <w:r>
        <w:rPr>
          <w:rFonts w:ascii="Arial" w:hAnsi="Arial" w:eastAsia="Arial" w:cs="Arial"/>
          <w:spacing w:val="6"/>
          <w:sz w:val="19"/>
          <w:szCs w:val="19"/>
        </w:rPr>
        <w:t xml:space="preserve"> </w:t>
      </w:r>
      <w:r>
        <w:rPr>
          <w:rFonts w:ascii="Arial" w:hAnsi="Arial" w:eastAsia="Arial" w:cs="Arial"/>
          <w:spacing w:val="-2"/>
          <w:sz w:val="19"/>
          <w:szCs w:val="19"/>
        </w:rPr>
        <w:t>due</w:t>
      </w:r>
      <w:r>
        <w:rPr>
          <w:rFonts w:ascii="Arial" w:hAnsi="Arial" w:eastAsia="Arial" w:cs="Arial"/>
          <w:spacing w:val="2"/>
          <w:sz w:val="19"/>
          <w:szCs w:val="19"/>
        </w:rPr>
        <w:t xml:space="preserve"> </w:t>
      </w:r>
      <w:r>
        <w:rPr>
          <w:rFonts w:ascii="Arial" w:hAnsi="Arial" w:eastAsia="Arial" w:cs="Arial"/>
          <w:spacing w:val="-3"/>
          <w:sz w:val="19"/>
          <w:szCs w:val="19"/>
        </w:rPr>
        <w:t>to</w:t>
      </w:r>
      <w:r>
        <w:rPr>
          <w:rFonts w:ascii="Arial" w:hAnsi="Arial" w:eastAsia="Arial" w:cs="Arial"/>
          <w:spacing w:val="10"/>
          <w:sz w:val="19"/>
          <w:szCs w:val="19"/>
        </w:rPr>
        <w:t xml:space="preserve"> </w:t>
      </w:r>
      <w:r>
        <w:rPr>
          <w:rFonts w:ascii="Arial" w:hAnsi="Arial" w:eastAsia="Arial" w:cs="Arial"/>
          <w:spacing w:val="-3"/>
          <w:sz w:val="19"/>
          <w:szCs w:val="19"/>
        </w:rPr>
        <w:t>insuicient</w:t>
      </w:r>
      <w:r>
        <w:rPr>
          <w:rFonts w:ascii="Arial" w:hAnsi="Arial" w:eastAsia="Arial" w:cs="Arial"/>
          <w:spacing w:val="6"/>
          <w:sz w:val="19"/>
          <w:szCs w:val="19"/>
        </w:rPr>
        <w:t xml:space="preserve"> </w:t>
      </w:r>
      <w:r>
        <w:rPr>
          <w:rFonts w:ascii="Arial" w:hAnsi="Arial" w:eastAsia="Arial" w:cs="Arial"/>
          <w:spacing w:val="-3"/>
          <w:sz w:val="19"/>
          <w:szCs w:val="19"/>
        </w:rPr>
        <w:t>communal-</w:t>
      </w:r>
      <w:r>
        <w:rPr>
          <w:rFonts w:ascii="Arial" w:hAnsi="Arial" w:eastAsia="Arial" w:cs="Arial"/>
          <w:sz w:val="19"/>
          <w:szCs w:val="19"/>
        </w:rPr>
        <w:t xml:space="preserve"> </w:t>
      </w:r>
      <w:r>
        <w:rPr>
          <w:rFonts w:ascii="Arial" w:hAnsi="Arial" w:eastAsia="Arial" w:cs="Arial"/>
          <w:spacing w:val="-7"/>
          <w:sz w:val="19"/>
          <w:szCs w:val="19"/>
        </w:rPr>
        <w:t>ities</w:t>
      </w:r>
      <w:r>
        <w:rPr>
          <w:rFonts w:ascii="Arial" w:hAnsi="Arial" w:eastAsia="Arial" w:cs="Arial"/>
          <w:spacing w:val="16"/>
          <w:w w:val="101"/>
          <w:sz w:val="19"/>
          <w:szCs w:val="19"/>
        </w:rPr>
        <w:t xml:space="preserve"> </w:t>
      </w:r>
      <w:r>
        <w:rPr>
          <w:rFonts w:ascii="Arial" w:hAnsi="Arial" w:eastAsia="Arial" w:cs="Arial"/>
          <w:spacing w:val="-7"/>
          <w:sz w:val="19"/>
          <w:szCs w:val="19"/>
        </w:rPr>
        <w:t>(ENG2,</w:t>
      </w:r>
      <w:r>
        <w:rPr>
          <w:rFonts w:ascii="Arial" w:hAnsi="Arial" w:eastAsia="Arial" w:cs="Arial"/>
          <w:spacing w:val="10"/>
          <w:sz w:val="19"/>
          <w:szCs w:val="19"/>
        </w:rPr>
        <w:t xml:space="preserve"> </w:t>
      </w:r>
      <w:r>
        <w:rPr>
          <w:rFonts w:ascii="Arial" w:hAnsi="Arial" w:eastAsia="Arial" w:cs="Arial"/>
          <w:spacing w:val="-7"/>
          <w:sz w:val="19"/>
          <w:szCs w:val="19"/>
        </w:rPr>
        <w:t>COM4,</w:t>
      </w:r>
      <w:r>
        <w:rPr>
          <w:rFonts w:ascii="Arial" w:hAnsi="Arial" w:eastAsia="Arial" w:cs="Arial"/>
          <w:spacing w:val="19"/>
          <w:w w:val="101"/>
          <w:sz w:val="19"/>
          <w:szCs w:val="19"/>
        </w:rPr>
        <w:t xml:space="preserve"> </w:t>
      </w:r>
      <w:r>
        <w:rPr>
          <w:rFonts w:ascii="Arial" w:hAnsi="Arial" w:eastAsia="Arial" w:cs="Arial"/>
          <w:spacing w:val="-7"/>
          <w:sz w:val="19"/>
          <w:szCs w:val="19"/>
        </w:rPr>
        <w:t>PAR4),</w:t>
      </w:r>
      <w:r>
        <w:rPr>
          <w:rFonts w:ascii="Arial" w:hAnsi="Arial" w:eastAsia="Arial" w:cs="Arial"/>
          <w:spacing w:val="18"/>
          <w:w w:val="101"/>
          <w:sz w:val="19"/>
          <w:szCs w:val="19"/>
        </w:rPr>
        <w:t xml:space="preserve"> </w:t>
      </w:r>
      <w:r>
        <w:rPr>
          <w:rFonts w:ascii="Arial" w:hAnsi="Arial" w:eastAsia="Arial" w:cs="Arial"/>
          <w:spacing w:val="-7"/>
          <w:sz w:val="19"/>
          <w:szCs w:val="19"/>
        </w:rPr>
        <w:t>resul</w:t>
      </w:r>
      <w:r>
        <w:rPr>
          <w:rFonts w:ascii="Arial" w:hAnsi="Arial" w:eastAsia="Arial" w:cs="Arial"/>
          <w:spacing w:val="-8"/>
          <w:sz w:val="19"/>
          <w:szCs w:val="19"/>
        </w:rPr>
        <w:t>ting</w:t>
      </w:r>
      <w:r>
        <w:rPr>
          <w:rFonts w:ascii="Arial" w:hAnsi="Arial" w:eastAsia="Arial" w:cs="Arial"/>
          <w:spacing w:val="18"/>
          <w:sz w:val="19"/>
          <w:szCs w:val="19"/>
        </w:rPr>
        <w:t xml:space="preserve"> </w:t>
      </w:r>
      <w:r>
        <w:rPr>
          <w:rFonts w:ascii="Arial" w:hAnsi="Arial" w:eastAsia="Arial" w:cs="Arial"/>
          <w:spacing w:val="-8"/>
          <w:sz w:val="19"/>
          <w:szCs w:val="19"/>
        </w:rPr>
        <w:t>in</w:t>
      </w:r>
      <w:r>
        <w:rPr>
          <w:rFonts w:ascii="Arial" w:hAnsi="Arial" w:eastAsia="Arial" w:cs="Arial"/>
          <w:spacing w:val="10"/>
          <w:sz w:val="19"/>
          <w:szCs w:val="19"/>
        </w:rPr>
        <w:t xml:space="preserve"> </w:t>
      </w:r>
      <w:r>
        <w:rPr>
          <w:rFonts w:ascii="Arial" w:hAnsi="Arial" w:eastAsia="Arial" w:cs="Arial"/>
          <w:spacing w:val="-8"/>
          <w:sz w:val="19"/>
          <w:szCs w:val="19"/>
        </w:rPr>
        <w:t>a</w:t>
      </w:r>
      <w:r>
        <w:rPr>
          <w:rFonts w:ascii="Arial" w:hAnsi="Arial" w:eastAsia="Arial" w:cs="Arial"/>
          <w:spacing w:val="8"/>
          <w:sz w:val="19"/>
          <w:szCs w:val="19"/>
        </w:rPr>
        <w:t xml:space="preserve"> </w:t>
      </w:r>
      <w:r>
        <w:rPr>
          <w:rFonts w:ascii="Arial" w:hAnsi="Arial" w:eastAsia="Arial" w:cs="Arial"/>
          <w:spacing w:val="-8"/>
          <w:sz w:val="19"/>
          <w:szCs w:val="19"/>
        </w:rPr>
        <w:t>total</w:t>
      </w:r>
      <w:r>
        <w:rPr>
          <w:rFonts w:ascii="Arial" w:hAnsi="Arial" w:eastAsia="Arial" w:cs="Arial"/>
          <w:spacing w:val="18"/>
          <w:w w:val="101"/>
          <w:sz w:val="19"/>
          <w:szCs w:val="19"/>
        </w:rPr>
        <w:t xml:space="preserve"> </w:t>
      </w:r>
      <w:r>
        <w:rPr>
          <w:rFonts w:ascii="Arial" w:hAnsi="Arial" w:eastAsia="Arial" w:cs="Arial"/>
          <w:spacing w:val="-8"/>
          <w:sz w:val="19"/>
          <w:szCs w:val="19"/>
        </w:rPr>
        <w:t>number</w:t>
      </w:r>
      <w:r>
        <w:rPr>
          <w:rFonts w:ascii="Arial" w:hAnsi="Arial" w:eastAsia="Arial" w:cs="Arial"/>
          <w:spacing w:val="12"/>
          <w:sz w:val="19"/>
          <w:szCs w:val="19"/>
        </w:rPr>
        <w:t xml:space="preserve"> </w:t>
      </w:r>
      <w:r>
        <w:rPr>
          <w:rFonts w:ascii="Arial" w:hAnsi="Arial" w:eastAsia="Arial" w:cs="Arial"/>
          <w:spacing w:val="-8"/>
          <w:sz w:val="19"/>
          <w:szCs w:val="19"/>
        </w:rPr>
        <w:t>of 27</w:t>
      </w:r>
      <w:r>
        <w:rPr>
          <w:rFonts w:ascii="Arial" w:hAnsi="Arial" w:eastAsia="Arial" w:cs="Arial"/>
          <w:spacing w:val="16"/>
          <w:sz w:val="19"/>
          <w:szCs w:val="19"/>
        </w:rPr>
        <w:t xml:space="preserve"> </w:t>
      </w:r>
      <w:r>
        <w:rPr>
          <w:rFonts w:ascii="Arial" w:hAnsi="Arial" w:eastAsia="Arial" w:cs="Arial"/>
          <w:spacing w:val="-8"/>
          <w:sz w:val="19"/>
          <w:szCs w:val="19"/>
        </w:rPr>
        <w:t>items for</w:t>
      </w:r>
      <w:r>
        <w:rPr>
          <w:rFonts w:ascii="Arial" w:hAnsi="Arial" w:eastAsia="Arial" w:cs="Arial"/>
          <w:spacing w:val="9"/>
          <w:sz w:val="19"/>
          <w:szCs w:val="19"/>
        </w:rPr>
        <w:t xml:space="preserve"> </w:t>
      </w:r>
      <w:r>
        <w:rPr>
          <w:rFonts w:ascii="Arial" w:hAnsi="Arial" w:eastAsia="Arial" w:cs="Arial"/>
          <w:spacing w:val="-8"/>
          <w:sz w:val="19"/>
          <w:szCs w:val="19"/>
        </w:rPr>
        <w:t>the inal</w:t>
      </w:r>
      <w:r>
        <w:rPr>
          <w:rFonts w:ascii="Arial" w:hAnsi="Arial" w:eastAsia="Arial" w:cs="Arial"/>
          <w:spacing w:val="19"/>
          <w:w w:val="101"/>
          <w:sz w:val="19"/>
          <w:szCs w:val="19"/>
        </w:rPr>
        <w:t xml:space="preserve"> </w:t>
      </w:r>
      <w:r>
        <w:rPr>
          <w:rFonts w:ascii="Arial" w:hAnsi="Arial" w:eastAsia="Arial" w:cs="Arial"/>
          <w:spacing w:val="-8"/>
          <w:sz w:val="19"/>
          <w:szCs w:val="19"/>
        </w:rPr>
        <w:t>EFA.</w:t>
      </w:r>
    </w:p>
    <w:p>
      <w:pPr>
        <w:spacing w:before="58" w:line="245" w:lineRule="auto"/>
        <w:ind w:left="197" w:right="6" w:firstLine="239"/>
        <w:jc w:val="both"/>
        <w:rPr>
          <w:rFonts w:ascii="Arial" w:hAnsi="Arial" w:eastAsia="Arial" w:cs="Arial"/>
          <w:sz w:val="19"/>
          <w:szCs w:val="19"/>
        </w:rPr>
      </w:pPr>
      <w:r>
        <w:rPr>
          <w:rFonts w:ascii="Arial" w:hAnsi="Arial" w:eastAsia="Arial" w:cs="Arial"/>
          <w:spacing w:val="-6"/>
          <w:sz w:val="19"/>
          <w:szCs w:val="19"/>
        </w:rPr>
        <w:t xml:space="preserve">Cronbach´s alpha values for the </w:t>
      </w:r>
      <w:r>
        <w:rPr>
          <w:rFonts w:ascii="Arial" w:hAnsi="Arial" w:eastAsia="Arial" w:cs="Arial"/>
          <w:spacing w:val="-7"/>
          <w:sz w:val="19"/>
          <w:szCs w:val="19"/>
        </w:rPr>
        <w:t>extracted factors are provided in</w:t>
      </w:r>
      <w:r>
        <w:rPr>
          <w:rFonts w:ascii="Arial" w:hAnsi="Arial" w:eastAsia="Arial" w:cs="Arial"/>
          <w:spacing w:val="-14"/>
          <w:sz w:val="19"/>
          <w:szCs w:val="19"/>
        </w:rPr>
        <w:t xml:space="preserve"> </w:t>
      </w:r>
      <w:r>
        <w:fldChar w:fldCharType="begin"/>
      </w:r>
      <w:r>
        <w:instrText xml:space="preserve"> HYPERLINK \l "bookmark86" </w:instrText>
      </w:r>
      <w:r>
        <w:fldChar w:fldCharType="separate"/>
      </w:r>
      <w:r>
        <w:rPr>
          <w:rFonts w:ascii="Arial" w:hAnsi="Arial" w:eastAsia="Arial" w:cs="Arial"/>
          <w:color w:val="000084"/>
          <w:spacing w:val="-7"/>
          <w:sz w:val="19"/>
          <w:szCs w:val="19"/>
        </w:rPr>
        <w:t>Table</w:t>
      </w:r>
      <w:r>
        <w:rPr>
          <w:rFonts w:ascii="Arial" w:hAnsi="Arial" w:eastAsia="Arial" w:cs="Arial"/>
          <w:color w:val="000084"/>
          <w:spacing w:val="-13"/>
          <w:sz w:val="19"/>
          <w:szCs w:val="19"/>
        </w:rPr>
        <w:t xml:space="preserve"> </w:t>
      </w:r>
      <w:r>
        <w:rPr>
          <w:rFonts w:ascii="Arial" w:hAnsi="Arial" w:eastAsia="Arial" w:cs="Arial"/>
          <w:color w:val="000084"/>
          <w:spacing w:val="-7"/>
          <w:sz w:val="19"/>
          <w:szCs w:val="19"/>
        </w:rPr>
        <w:t>4</w:t>
      </w:r>
      <w:r>
        <w:rPr>
          <w:rFonts w:ascii="Arial" w:hAnsi="Arial" w:eastAsia="Arial" w:cs="Arial"/>
          <w:color w:val="000084"/>
          <w:spacing w:val="-7"/>
          <w:sz w:val="19"/>
          <w:szCs w:val="19"/>
        </w:rPr>
        <w:fldChar w:fldCharType="end"/>
      </w:r>
      <w:r>
        <w:rPr>
          <w:rFonts w:ascii="Arial" w:hAnsi="Arial" w:eastAsia="Arial" w:cs="Arial"/>
          <w:spacing w:val="-7"/>
          <w:sz w:val="19"/>
          <w:szCs w:val="19"/>
        </w:rPr>
        <w:t>. All</w:t>
      </w:r>
      <w:r>
        <w:rPr>
          <w:rFonts w:ascii="Arial" w:hAnsi="Arial" w:eastAsia="Arial" w:cs="Arial"/>
          <w:spacing w:val="-11"/>
          <w:sz w:val="19"/>
          <w:szCs w:val="19"/>
        </w:rPr>
        <w:t xml:space="preserve"> </w:t>
      </w:r>
      <w:r>
        <w:rPr>
          <w:rFonts w:ascii="Arial" w:hAnsi="Arial" w:eastAsia="Arial" w:cs="Arial"/>
          <w:spacing w:val="-7"/>
          <w:sz w:val="19"/>
          <w:szCs w:val="19"/>
        </w:rPr>
        <w:t>values range between</w:t>
      </w:r>
      <w:r>
        <w:rPr>
          <w:rFonts w:ascii="Arial" w:hAnsi="Arial" w:eastAsia="Arial" w:cs="Arial"/>
          <w:sz w:val="19"/>
          <w:szCs w:val="19"/>
        </w:rPr>
        <w:t xml:space="preserve"> </w:t>
      </w:r>
      <w:r>
        <w:rPr>
          <w:rFonts w:ascii="Arial" w:hAnsi="Arial" w:eastAsia="Arial" w:cs="Arial"/>
          <w:spacing w:val="-5"/>
          <w:sz w:val="19"/>
          <w:szCs w:val="19"/>
        </w:rPr>
        <w:t>α = .726</w:t>
      </w:r>
      <w:r>
        <w:rPr>
          <w:rFonts w:ascii="Arial" w:hAnsi="Arial" w:eastAsia="Arial" w:cs="Arial"/>
          <w:spacing w:val="33"/>
          <w:w w:val="101"/>
          <w:sz w:val="19"/>
          <w:szCs w:val="19"/>
        </w:rPr>
        <w:t xml:space="preserve"> </w:t>
      </w:r>
      <w:r>
        <w:rPr>
          <w:rFonts w:ascii="Arial" w:hAnsi="Arial" w:eastAsia="Arial" w:cs="Arial"/>
          <w:spacing w:val="-5"/>
          <w:sz w:val="19"/>
          <w:szCs w:val="19"/>
        </w:rPr>
        <w:t>and</w:t>
      </w:r>
      <w:r>
        <w:rPr>
          <w:rFonts w:ascii="Arial" w:hAnsi="Arial" w:eastAsia="Arial" w:cs="Arial"/>
          <w:spacing w:val="31"/>
          <w:w w:val="101"/>
          <w:sz w:val="19"/>
          <w:szCs w:val="19"/>
        </w:rPr>
        <w:t xml:space="preserve"> </w:t>
      </w:r>
      <w:r>
        <w:rPr>
          <w:rFonts w:ascii="Arial" w:hAnsi="Arial" w:eastAsia="Arial" w:cs="Arial"/>
          <w:spacing w:val="-5"/>
          <w:sz w:val="19"/>
          <w:szCs w:val="19"/>
        </w:rPr>
        <w:t>α = .956</w:t>
      </w:r>
      <w:r>
        <w:rPr>
          <w:rFonts w:ascii="Arial" w:hAnsi="Arial" w:eastAsia="Arial" w:cs="Arial"/>
          <w:spacing w:val="38"/>
          <w:sz w:val="19"/>
          <w:szCs w:val="19"/>
        </w:rPr>
        <w:t xml:space="preserve"> </w:t>
      </w:r>
      <w:r>
        <w:rPr>
          <w:rFonts w:ascii="Arial" w:hAnsi="Arial" w:eastAsia="Arial" w:cs="Arial"/>
          <w:spacing w:val="-5"/>
          <w:sz w:val="19"/>
          <w:szCs w:val="19"/>
        </w:rPr>
        <w:t>indicating</w:t>
      </w:r>
      <w:r>
        <w:rPr>
          <w:rFonts w:ascii="Arial" w:hAnsi="Arial" w:eastAsia="Arial" w:cs="Arial"/>
          <w:spacing w:val="32"/>
          <w:sz w:val="19"/>
          <w:szCs w:val="19"/>
        </w:rPr>
        <w:t xml:space="preserve"> </w:t>
      </w:r>
      <w:r>
        <w:rPr>
          <w:rFonts w:ascii="Arial" w:hAnsi="Arial" w:eastAsia="Arial" w:cs="Arial"/>
          <w:spacing w:val="-5"/>
          <w:sz w:val="19"/>
          <w:szCs w:val="19"/>
        </w:rPr>
        <w:t>good</w:t>
      </w:r>
      <w:r>
        <w:rPr>
          <w:rFonts w:ascii="Arial" w:hAnsi="Arial" w:eastAsia="Arial" w:cs="Arial"/>
          <w:spacing w:val="39"/>
          <w:sz w:val="19"/>
          <w:szCs w:val="19"/>
        </w:rPr>
        <w:t xml:space="preserve"> </w:t>
      </w:r>
      <w:r>
        <w:rPr>
          <w:rFonts w:ascii="Arial" w:hAnsi="Arial" w:eastAsia="Arial" w:cs="Arial"/>
          <w:spacing w:val="-6"/>
          <w:sz w:val="19"/>
          <w:szCs w:val="19"/>
        </w:rPr>
        <w:t>(participation)</w:t>
      </w:r>
      <w:r>
        <w:rPr>
          <w:rFonts w:ascii="Arial" w:hAnsi="Arial" w:eastAsia="Arial" w:cs="Arial"/>
          <w:spacing w:val="28"/>
          <w:w w:val="101"/>
          <w:sz w:val="19"/>
          <w:szCs w:val="19"/>
        </w:rPr>
        <w:t xml:space="preserve"> </w:t>
      </w:r>
      <w:r>
        <w:rPr>
          <w:rFonts w:ascii="Arial" w:hAnsi="Arial" w:eastAsia="Arial" w:cs="Arial"/>
          <w:spacing w:val="-6"/>
          <w:sz w:val="19"/>
          <w:szCs w:val="19"/>
        </w:rPr>
        <w:t>to</w:t>
      </w:r>
      <w:r>
        <w:rPr>
          <w:rFonts w:ascii="Arial" w:hAnsi="Arial" w:eastAsia="Arial" w:cs="Arial"/>
          <w:spacing w:val="33"/>
          <w:sz w:val="19"/>
          <w:szCs w:val="19"/>
        </w:rPr>
        <w:t xml:space="preserve"> </w:t>
      </w:r>
      <w:r>
        <w:rPr>
          <w:rFonts w:ascii="Arial" w:hAnsi="Arial" w:eastAsia="Arial" w:cs="Arial"/>
          <w:spacing w:val="-6"/>
          <w:sz w:val="19"/>
          <w:szCs w:val="19"/>
        </w:rPr>
        <w:t>excellent</w:t>
      </w:r>
      <w:r>
        <w:rPr>
          <w:rFonts w:ascii="Arial" w:hAnsi="Arial" w:eastAsia="Arial" w:cs="Arial"/>
          <w:spacing w:val="39"/>
          <w:sz w:val="19"/>
          <w:szCs w:val="19"/>
        </w:rPr>
        <w:t xml:space="preserve"> </w:t>
      </w:r>
      <w:r>
        <w:rPr>
          <w:rFonts w:ascii="Arial" w:hAnsi="Arial" w:eastAsia="Arial" w:cs="Arial"/>
          <w:spacing w:val="-6"/>
          <w:sz w:val="19"/>
          <w:szCs w:val="19"/>
        </w:rPr>
        <w:t>(leadership</w:t>
      </w:r>
      <w:r>
        <w:rPr>
          <w:rFonts w:ascii="Arial" w:hAnsi="Arial" w:eastAsia="Arial" w:cs="Arial"/>
          <w:spacing w:val="38"/>
          <w:w w:val="101"/>
          <w:sz w:val="19"/>
          <w:szCs w:val="19"/>
        </w:rPr>
        <w:t xml:space="preserve"> </w:t>
      </w:r>
      <w:r>
        <w:rPr>
          <w:rFonts w:ascii="Arial" w:hAnsi="Arial" w:eastAsia="Arial" w:cs="Arial"/>
          <w:spacing w:val="-6"/>
          <w:sz w:val="19"/>
          <w:szCs w:val="19"/>
        </w:rPr>
        <w:t>behavior,</w:t>
      </w:r>
      <w:r>
        <w:rPr>
          <w:rFonts w:ascii="Arial" w:hAnsi="Arial" w:eastAsia="Arial" w:cs="Arial"/>
          <w:spacing w:val="33"/>
          <w:w w:val="101"/>
          <w:sz w:val="19"/>
          <w:szCs w:val="19"/>
        </w:rPr>
        <w:t xml:space="preserve"> </w:t>
      </w:r>
      <w:r>
        <w:rPr>
          <w:rFonts w:ascii="Arial" w:hAnsi="Arial" w:eastAsia="Arial" w:cs="Arial"/>
          <w:spacing w:val="-6"/>
          <w:sz w:val="19"/>
          <w:szCs w:val="19"/>
        </w:rPr>
        <w:t>communi-</w:t>
      </w:r>
      <w:r>
        <w:rPr>
          <w:rFonts w:ascii="Arial" w:hAnsi="Arial" w:eastAsia="Arial" w:cs="Arial"/>
          <w:sz w:val="19"/>
          <w:szCs w:val="19"/>
        </w:rPr>
        <w:t xml:space="preserve"> </w:t>
      </w:r>
      <w:r>
        <w:rPr>
          <w:rFonts w:ascii="Arial" w:hAnsi="Arial" w:eastAsia="Arial" w:cs="Arial"/>
          <w:spacing w:val="-3"/>
          <w:sz w:val="19"/>
          <w:szCs w:val="19"/>
        </w:rPr>
        <w:t>cation)</w:t>
      </w:r>
      <w:r>
        <w:rPr>
          <w:rFonts w:ascii="Arial" w:hAnsi="Arial" w:eastAsia="Arial" w:cs="Arial"/>
          <w:spacing w:val="18"/>
          <w:w w:val="101"/>
          <w:sz w:val="19"/>
          <w:szCs w:val="19"/>
        </w:rPr>
        <w:t xml:space="preserve"> </w:t>
      </w:r>
      <w:r>
        <w:rPr>
          <w:rFonts w:ascii="Arial" w:hAnsi="Arial" w:eastAsia="Arial" w:cs="Arial"/>
          <w:spacing w:val="-3"/>
          <w:sz w:val="19"/>
          <w:szCs w:val="19"/>
        </w:rPr>
        <w:t>reliability</w:t>
      </w:r>
      <w:r>
        <w:rPr>
          <w:rFonts w:ascii="Arial" w:hAnsi="Arial" w:eastAsia="Arial" w:cs="Arial"/>
          <w:spacing w:val="13"/>
          <w:sz w:val="19"/>
          <w:szCs w:val="19"/>
        </w:rPr>
        <w:t xml:space="preserve"> </w:t>
      </w:r>
      <w:r>
        <w:rPr>
          <w:rFonts w:ascii="Arial" w:hAnsi="Arial" w:eastAsia="Arial" w:cs="Arial"/>
          <w:spacing w:val="-3"/>
          <w:sz w:val="19"/>
          <w:szCs w:val="19"/>
        </w:rPr>
        <w:t>of th</w:t>
      </w:r>
      <w:r>
        <w:rPr>
          <w:rFonts w:ascii="Arial" w:hAnsi="Arial" w:eastAsia="Arial" w:cs="Arial"/>
          <w:spacing w:val="-4"/>
          <w:sz w:val="19"/>
          <w:szCs w:val="19"/>
        </w:rPr>
        <w:t>e</w:t>
      </w:r>
      <w:r>
        <w:rPr>
          <w:rFonts w:ascii="Arial" w:hAnsi="Arial" w:eastAsia="Arial" w:cs="Arial"/>
          <w:spacing w:val="12"/>
          <w:sz w:val="19"/>
          <w:szCs w:val="19"/>
        </w:rPr>
        <w:t xml:space="preserve"> </w:t>
      </w:r>
      <w:r>
        <w:rPr>
          <w:rFonts w:ascii="Arial" w:hAnsi="Arial" w:eastAsia="Arial" w:cs="Arial"/>
          <w:spacing w:val="-4"/>
          <w:sz w:val="19"/>
          <w:szCs w:val="19"/>
        </w:rPr>
        <w:t>derived factors.</w:t>
      </w:r>
    </w:p>
    <w:p>
      <w:pPr>
        <w:spacing w:line="254" w:lineRule="auto"/>
        <w:rPr>
          <w:rFonts w:ascii="Arial"/>
          <w:sz w:val="21"/>
        </w:rPr>
      </w:pPr>
    </w:p>
    <w:p>
      <w:pPr>
        <w:spacing w:line="255" w:lineRule="auto"/>
        <w:rPr>
          <w:rFonts w:ascii="Arial"/>
          <w:sz w:val="21"/>
        </w:rPr>
      </w:pPr>
    </w:p>
    <w:p>
      <w:pPr>
        <w:spacing w:before="58" w:line="198" w:lineRule="auto"/>
        <w:ind w:left="201"/>
        <w:rPr>
          <w:rFonts w:ascii="Arial" w:hAnsi="Arial" w:eastAsia="Arial" w:cs="Arial"/>
          <w:sz w:val="20"/>
          <w:szCs w:val="20"/>
        </w:rPr>
      </w:pPr>
      <w:r>
        <w:rPr>
          <w:rFonts w:ascii="Arial" w:hAnsi="Arial" w:eastAsia="Arial" w:cs="Arial"/>
          <w:color w:val="282781"/>
          <w:spacing w:val="-1"/>
          <w:sz w:val="20"/>
          <w:szCs w:val="20"/>
        </w:rPr>
        <w:t>Conirmatory factor analysis</w:t>
      </w:r>
      <w:r>
        <w:rPr>
          <w:rFonts w:ascii="Arial" w:hAnsi="Arial" w:eastAsia="Arial" w:cs="Arial"/>
          <w:color w:val="282781"/>
          <w:spacing w:val="23"/>
          <w:sz w:val="20"/>
          <w:szCs w:val="20"/>
        </w:rPr>
        <w:t xml:space="preserve"> </w:t>
      </w:r>
      <w:r>
        <w:rPr>
          <w:rFonts w:ascii="Arial" w:hAnsi="Arial" w:eastAsia="Arial" w:cs="Arial"/>
          <w:color w:val="282781"/>
          <w:spacing w:val="-1"/>
          <w:sz w:val="20"/>
          <w:szCs w:val="20"/>
        </w:rPr>
        <w:t>(CFA)</w:t>
      </w:r>
    </w:p>
    <w:p>
      <w:pPr>
        <w:spacing w:before="175" w:line="252" w:lineRule="auto"/>
        <w:ind w:left="198" w:right="5" w:hanging="2"/>
        <w:jc w:val="both"/>
        <w:rPr>
          <w:rFonts w:ascii="Arial" w:hAnsi="Arial" w:eastAsia="Arial" w:cs="Arial"/>
          <w:sz w:val="19"/>
          <w:szCs w:val="19"/>
        </w:rPr>
      </w:pPr>
      <w:r>
        <w:rPr>
          <w:rFonts w:ascii="Arial" w:hAnsi="Arial" w:eastAsia="Arial" w:cs="Arial"/>
          <w:spacing w:val="-5"/>
          <w:sz w:val="19"/>
          <w:szCs w:val="19"/>
        </w:rPr>
        <w:t>Adequacy</w:t>
      </w:r>
      <w:r>
        <w:rPr>
          <w:rFonts w:ascii="Arial" w:hAnsi="Arial" w:eastAsia="Arial" w:cs="Arial"/>
          <w:spacing w:val="11"/>
          <w:sz w:val="19"/>
          <w:szCs w:val="19"/>
        </w:rPr>
        <w:t xml:space="preserve"> </w:t>
      </w:r>
      <w:r>
        <w:rPr>
          <w:rFonts w:ascii="Arial" w:hAnsi="Arial" w:eastAsia="Arial" w:cs="Arial"/>
          <w:spacing w:val="-5"/>
          <w:sz w:val="19"/>
          <w:szCs w:val="19"/>
        </w:rPr>
        <w:t>of the</w:t>
      </w:r>
      <w:r>
        <w:rPr>
          <w:rFonts w:ascii="Arial" w:hAnsi="Arial" w:eastAsia="Arial" w:cs="Arial"/>
          <w:spacing w:val="20"/>
          <w:sz w:val="19"/>
          <w:szCs w:val="19"/>
        </w:rPr>
        <w:t xml:space="preserve"> </w:t>
      </w:r>
      <w:r>
        <w:rPr>
          <w:rFonts w:ascii="Arial" w:hAnsi="Arial" w:eastAsia="Arial" w:cs="Arial"/>
          <w:spacing w:val="-5"/>
          <w:sz w:val="19"/>
          <w:szCs w:val="19"/>
        </w:rPr>
        <w:t>EFA fact</w:t>
      </w:r>
      <w:r>
        <w:rPr>
          <w:rFonts w:ascii="Arial" w:hAnsi="Arial" w:eastAsia="Arial" w:cs="Arial"/>
          <w:spacing w:val="-6"/>
          <w:sz w:val="19"/>
          <w:szCs w:val="19"/>
        </w:rPr>
        <w:t>or</w:t>
      </w:r>
      <w:r>
        <w:rPr>
          <w:rFonts w:ascii="Arial" w:hAnsi="Arial" w:eastAsia="Arial" w:cs="Arial"/>
          <w:spacing w:val="12"/>
          <w:sz w:val="19"/>
          <w:szCs w:val="19"/>
        </w:rPr>
        <w:t xml:space="preserve"> </w:t>
      </w:r>
      <w:r>
        <w:rPr>
          <w:rFonts w:ascii="Arial" w:hAnsi="Arial" w:eastAsia="Arial" w:cs="Arial"/>
          <w:spacing w:val="-6"/>
          <w:sz w:val="19"/>
          <w:szCs w:val="19"/>
        </w:rPr>
        <w:t>solution was further</w:t>
      </w:r>
      <w:r>
        <w:rPr>
          <w:rFonts w:ascii="Arial" w:hAnsi="Arial" w:eastAsia="Arial" w:cs="Arial"/>
          <w:spacing w:val="11"/>
          <w:sz w:val="19"/>
          <w:szCs w:val="19"/>
        </w:rPr>
        <w:t xml:space="preserve"> </w:t>
      </w:r>
      <w:r>
        <w:rPr>
          <w:rFonts w:ascii="Arial" w:hAnsi="Arial" w:eastAsia="Arial" w:cs="Arial"/>
          <w:spacing w:val="-6"/>
          <w:sz w:val="19"/>
          <w:szCs w:val="19"/>
        </w:rPr>
        <w:t>evaluated</w:t>
      </w:r>
      <w:r>
        <w:rPr>
          <w:rFonts w:ascii="Arial" w:hAnsi="Arial" w:eastAsia="Arial" w:cs="Arial"/>
          <w:spacing w:val="16"/>
          <w:w w:val="101"/>
          <w:sz w:val="19"/>
          <w:szCs w:val="19"/>
        </w:rPr>
        <w:t xml:space="preserve"> </w:t>
      </w:r>
      <w:r>
        <w:rPr>
          <w:rFonts w:ascii="Arial" w:hAnsi="Arial" w:eastAsia="Arial" w:cs="Arial"/>
          <w:spacing w:val="-6"/>
          <w:sz w:val="19"/>
          <w:szCs w:val="19"/>
        </w:rPr>
        <w:t>by</w:t>
      </w:r>
      <w:r>
        <w:rPr>
          <w:rFonts w:ascii="Arial" w:hAnsi="Arial" w:eastAsia="Arial" w:cs="Arial"/>
          <w:spacing w:val="11"/>
          <w:sz w:val="19"/>
          <w:szCs w:val="19"/>
        </w:rPr>
        <w:t xml:space="preserve"> </w:t>
      </w:r>
      <w:r>
        <w:rPr>
          <w:rFonts w:ascii="Arial" w:hAnsi="Arial" w:eastAsia="Arial" w:cs="Arial"/>
          <w:spacing w:val="-6"/>
          <w:sz w:val="19"/>
          <w:szCs w:val="19"/>
        </w:rPr>
        <w:t>applying</w:t>
      </w:r>
      <w:r>
        <w:rPr>
          <w:rFonts w:ascii="Arial" w:hAnsi="Arial" w:eastAsia="Arial" w:cs="Arial"/>
          <w:spacing w:val="11"/>
          <w:sz w:val="19"/>
          <w:szCs w:val="19"/>
        </w:rPr>
        <w:t xml:space="preserve"> </w:t>
      </w:r>
      <w:r>
        <w:rPr>
          <w:rFonts w:ascii="Arial" w:hAnsi="Arial" w:eastAsia="Arial" w:cs="Arial"/>
          <w:spacing w:val="-6"/>
          <w:sz w:val="19"/>
          <w:szCs w:val="19"/>
        </w:rPr>
        <w:t>a</w:t>
      </w:r>
      <w:r>
        <w:rPr>
          <w:rFonts w:ascii="Arial" w:hAnsi="Arial" w:eastAsia="Arial" w:cs="Arial"/>
          <w:spacing w:val="10"/>
          <w:sz w:val="19"/>
          <w:szCs w:val="19"/>
        </w:rPr>
        <w:t xml:space="preserve"> </w:t>
      </w:r>
      <w:r>
        <w:rPr>
          <w:rFonts w:ascii="Arial" w:hAnsi="Arial" w:eastAsia="Arial" w:cs="Arial"/>
          <w:spacing w:val="-6"/>
          <w:sz w:val="19"/>
          <w:szCs w:val="19"/>
        </w:rPr>
        <w:t>CFA</w:t>
      </w:r>
      <w:r>
        <w:rPr>
          <w:rFonts w:ascii="Arial" w:hAnsi="Arial" w:eastAsia="Arial" w:cs="Arial"/>
          <w:spacing w:val="16"/>
          <w:sz w:val="19"/>
          <w:szCs w:val="19"/>
        </w:rPr>
        <w:t xml:space="preserve"> </w:t>
      </w:r>
      <w:r>
        <w:rPr>
          <w:rFonts w:ascii="Arial" w:hAnsi="Arial" w:eastAsia="Arial" w:cs="Arial"/>
          <w:spacing w:val="-6"/>
          <w:sz w:val="19"/>
          <w:szCs w:val="19"/>
        </w:rPr>
        <w:t>(maximum</w:t>
      </w:r>
      <w:r>
        <w:rPr>
          <w:rFonts w:ascii="Arial" w:hAnsi="Arial" w:eastAsia="Arial" w:cs="Arial"/>
          <w:spacing w:val="17"/>
          <w:w w:val="101"/>
          <w:sz w:val="19"/>
          <w:szCs w:val="19"/>
        </w:rPr>
        <w:t xml:space="preserve"> </w:t>
      </w:r>
      <w:r>
        <w:rPr>
          <w:rFonts w:ascii="Arial" w:hAnsi="Arial" w:eastAsia="Arial" w:cs="Arial"/>
          <w:spacing w:val="-6"/>
          <w:sz w:val="19"/>
          <w:szCs w:val="19"/>
        </w:rPr>
        <w:t>likelihood</w:t>
      </w:r>
      <w:r>
        <w:rPr>
          <w:rFonts w:ascii="Arial" w:hAnsi="Arial" w:eastAsia="Arial" w:cs="Arial"/>
          <w:sz w:val="19"/>
          <w:szCs w:val="19"/>
        </w:rPr>
        <w:t xml:space="preserve"> </w:t>
      </w:r>
      <w:r>
        <w:rPr>
          <w:rFonts w:ascii="Arial" w:hAnsi="Arial" w:eastAsia="Arial" w:cs="Arial"/>
          <w:spacing w:val="-3"/>
          <w:sz w:val="19"/>
          <w:szCs w:val="19"/>
        </w:rPr>
        <w:t>estimation). The goodness of</w:t>
      </w:r>
      <w:r>
        <w:rPr>
          <w:rFonts w:ascii="Arial" w:hAnsi="Arial" w:eastAsia="Arial" w:cs="Arial"/>
          <w:spacing w:val="-13"/>
          <w:sz w:val="19"/>
          <w:szCs w:val="19"/>
        </w:rPr>
        <w:t xml:space="preserve"> </w:t>
      </w:r>
      <w:r>
        <w:rPr>
          <w:rFonts w:ascii="Arial" w:hAnsi="Arial" w:eastAsia="Arial" w:cs="Arial"/>
          <w:spacing w:val="-3"/>
          <w:sz w:val="19"/>
          <w:szCs w:val="19"/>
        </w:rPr>
        <w:t>it of</w:t>
      </w:r>
      <w:r>
        <w:rPr>
          <w:rFonts w:ascii="Arial" w:hAnsi="Arial" w:eastAsia="Arial" w:cs="Arial"/>
          <w:spacing w:val="-12"/>
          <w:sz w:val="19"/>
          <w:szCs w:val="19"/>
        </w:rPr>
        <w:t xml:space="preserve"> </w:t>
      </w:r>
      <w:r>
        <w:rPr>
          <w:rFonts w:ascii="Arial" w:hAnsi="Arial" w:eastAsia="Arial" w:cs="Arial"/>
          <w:spacing w:val="-3"/>
          <w:sz w:val="19"/>
          <w:szCs w:val="19"/>
        </w:rPr>
        <w:t>t</w:t>
      </w:r>
      <w:r>
        <w:rPr>
          <w:rFonts w:ascii="Arial" w:hAnsi="Arial" w:eastAsia="Arial" w:cs="Arial"/>
          <w:spacing w:val="-4"/>
          <w:sz w:val="19"/>
          <w:szCs w:val="19"/>
        </w:rPr>
        <w:t>he measurement model was suicient: χ²/df</w:t>
      </w:r>
      <w:r>
        <w:rPr>
          <w:rFonts w:ascii="Arial" w:hAnsi="Arial" w:eastAsia="Arial" w:cs="Arial"/>
          <w:spacing w:val="-15"/>
          <w:sz w:val="19"/>
          <w:szCs w:val="19"/>
        </w:rPr>
        <w:t xml:space="preserve"> </w:t>
      </w:r>
      <w:r>
        <w:rPr>
          <w:rFonts w:ascii="Arial" w:hAnsi="Arial" w:eastAsia="Arial" w:cs="Arial"/>
          <w:spacing w:val="-4"/>
          <w:sz w:val="19"/>
          <w:szCs w:val="19"/>
        </w:rPr>
        <w:t>= 2.200. Moreover all</w:t>
      </w:r>
      <w:r>
        <w:rPr>
          <w:rFonts w:ascii="Arial" w:hAnsi="Arial" w:eastAsia="Arial" w:cs="Arial"/>
          <w:sz w:val="19"/>
          <w:szCs w:val="19"/>
        </w:rPr>
        <w:t xml:space="preserve"> </w:t>
      </w:r>
      <w:r>
        <w:rPr>
          <w:rFonts w:ascii="Arial" w:hAnsi="Arial" w:eastAsia="Arial" w:cs="Arial"/>
          <w:spacing w:val="-11"/>
          <w:sz w:val="19"/>
          <w:szCs w:val="19"/>
        </w:rPr>
        <w:t>of</w:t>
      </w:r>
      <w:r>
        <w:rPr>
          <w:rFonts w:ascii="Arial" w:hAnsi="Arial" w:eastAsia="Arial" w:cs="Arial"/>
          <w:spacing w:val="6"/>
          <w:sz w:val="19"/>
          <w:szCs w:val="19"/>
        </w:rPr>
        <w:t xml:space="preserve"> </w:t>
      </w:r>
      <w:r>
        <w:rPr>
          <w:rFonts w:ascii="Arial" w:hAnsi="Arial" w:eastAsia="Arial" w:cs="Arial"/>
          <w:spacing w:val="-10"/>
          <w:sz w:val="19"/>
          <w:szCs w:val="19"/>
        </w:rPr>
        <w:t>the</w:t>
      </w:r>
      <w:r>
        <w:rPr>
          <w:rFonts w:ascii="Arial" w:hAnsi="Arial" w:eastAsia="Arial" w:cs="Arial"/>
          <w:spacing w:val="23"/>
          <w:w w:val="101"/>
          <w:sz w:val="19"/>
          <w:szCs w:val="19"/>
        </w:rPr>
        <w:t xml:space="preserve"> </w:t>
      </w:r>
      <w:r>
        <w:rPr>
          <w:rFonts w:ascii="Arial" w:hAnsi="Arial" w:eastAsia="Arial" w:cs="Arial"/>
          <w:spacing w:val="-10"/>
          <w:sz w:val="19"/>
          <w:szCs w:val="19"/>
        </w:rPr>
        <w:t>reported</w:t>
      </w:r>
      <w:r>
        <w:rPr>
          <w:rFonts w:ascii="Arial" w:hAnsi="Arial" w:eastAsia="Arial" w:cs="Arial"/>
          <w:spacing w:val="16"/>
          <w:sz w:val="19"/>
          <w:szCs w:val="19"/>
        </w:rPr>
        <w:t xml:space="preserve"> </w:t>
      </w:r>
      <w:r>
        <w:rPr>
          <w:rFonts w:ascii="Arial" w:hAnsi="Arial" w:eastAsia="Arial" w:cs="Arial"/>
          <w:spacing w:val="-10"/>
          <w:sz w:val="19"/>
          <w:szCs w:val="19"/>
        </w:rPr>
        <w:t>absolute</w:t>
      </w:r>
      <w:r>
        <w:rPr>
          <w:rFonts w:ascii="Arial" w:hAnsi="Arial" w:eastAsia="Arial" w:cs="Arial"/>
          <w:spacing w:val="22"/>
          <w:w w:val="101"/>
          <w:sz w:val="19"/>
          <w:szCs w:val="19"/>
        </w:rPr>
        <w:t xml:space="preserve"> </w:t>
      </w:r>
      <w:r>
        <w:rPr>
          <w:rFonts w:ascii="Arial" w:hAnsi="Arial" w:eastAsia="Arial" w:cs="Arial"/>
          <w:spacing w:val="-10"/>
          <w:sz w:val="19"/>
          <w:szCs w:val="19"/>
        </w:rPr>
        <w:t>(RMSEA,</w:t>
      </w:r>
      <w:r>
        <w:rPr>
          <w:rFonts w:ascii="Arial" w:hAnsi="Arial" w:eastAsia="Arial" w:cs="Arial"/>
          <w:spacing w:val="17"/>
          <w:sz w:val="19"/>
          <w:szCs w:val="19"/>
        </w:rPr>
        <w:t xml:space="preserve"> </w:t>
      </w:r>
      <w:r>
        <w:rPr>
          <w:rFonts w:ascii="Arial" w:hAnsi="Arial" w:eastAsia="Arial" w:cs="Arial"/>
          <w:spacing w:val="-10"/>
          <w:sz w:val="19"/>
          <w:szCs w:val="19"/>
        </w:rPr>
        <w:t>GFI,</w:t>
      </w:r>
      <w:r>
        <w:rPr>
          <w:rFonts w:ascii="Arial" w:hAnsi="Arial" w:eastAsia="Arial" w:cs="Arial"/>
          <w:spacing w:val="15"/>
          <w:sz w:val="19"/>
          <w:szCs w:val="19"/>
        </w:rPr>
        <w:t xml:space="preserve"> </w:t>
      </w:r>
      <w:r>
        <w:rPr>
          <w:rFonts w:ascii="Arial" w:hAnsi="Arial" w:eastAsia="Arial" w:cs="Arial"/>
          <w:spacing w:val="-10"/>
          <w:sz w:val="19"/>
          <w:szCs w:val="19"/>
        </w:rPr>
        <w:t>AGFI,</w:t>
      </w:r>
      <w:r>
        <w:rPr>
          <w:rFonts w:ascii="Arial" w:hAnsi="Arial" w:eastAsia="Arial" w:cs="Arial"/>
          <w:spacing w:val="18"/>
          <w:sz w:val="19"/>
          <w:szCs w:val="19"/>
        </w:rPr>
        <w:t xml:space="preserve"> </w:t>
      </w:r>
      <w:r>
        <w:rPr>
          <w:rFonts w:ascii="Arial" w:hAnsi="Arial" w:eastAsia="Arial" w:cs="Arial"/>
          <w:spacing w:val="-10"/>
          <w:sz w:val="19"/>
          <w:szCs w:val="19"/>
        </w:rPr>
        <w:t>SRMR)</w:t>
      </w:r>
      <w:r>
        <w:rPr>
          <w:rFonts w:ascii="Arial" w:hAnsi="Arial" w:eastAsia="Arial" w:cs="Arial"/>
          <w:spacing w:val="17"/>
          <w:sz w:val="19"/>
          <w:szCs w:val="19"/>
        </w:rPr>
        <w:t xml:space="preserve"> </w:t>
      </w:r>
      <w:r>
        <w:rPr>
          <w:rFonts w:ascii="Arial" w:hAnsi="Arial" w:eastAsia="Arial" w:cs="Arial"/>
          <w:spacing w:val="-10"/>
          <w:sz w:val="19"/>
          <w:szCs w:val="19"/>
        </w:rPr>
        <w:t>and</w:t>
      </w:r>
      <w:r>
        <w:rPr>
          <w:rFonts w:ascii="Arial" w:hAnsi="Arial" w:eastAsia="Arial" w:cs="Arial"/>
          <w:spacing w:val="24"/>
          <w:sz w:val="19"/>
          <w:szCs w:val="19"/>
        </w:rPr>
        <w:t xml:space="preserve"> </w:t>
      </w:r>
      <w:r>
        <w:rPr>
          <w:rFonts w:ascii="Arial" w:hAnsi="Arial" w:eastAsia="Arial" w:cs="Arial"/>
          <w:spacing w:val="-10"/>
          <w:sz w:val="19"/>
          <w:szCs w:val="19"/>
        </w:rPr>
        <w:t>relative</w:t>
      </w:r>
      <w:r>
        <w:rPr>
          <w:rFonts w:ascii="Arial" w:hAnsi="Arial" w:eastAsia="Arial" w:cs="Arial"/>
          <w:spacing w:val="13"/>
          <w:w w:val="101"/>
          <w:sz w:val="19"/>
          <w:szCs w:val="19"/>
        </w:rPr>
        <w:t xml:space="preserve"> </w:t>
      </w:r>
      <w:r>
        <w:rPr>
          <w:rFonts w:ascii="Arial" w:hAnsi="Arial" w:eastAsia="Arial" w:cs="Arial"/>
          <w:spacing w:val="-10"/>
          <w:sz w:val="19"/>
          <w:szCs w:val="19"/>
        </w:rPr>
        <w:t>it</w:t>
      </w:r>
      <w:r>
        <w:rPr>
          <w:rFonts w:ascii="Arial" w:hAnsi="Arial" w:eastAsia="Arial" w:cs="Arial"/>
          <w:spacing w:val="21"/>
          <w:w w:val="101"/>
          <w:sz w:val="19"/>
          <w:szCs w:val="19"/>
        </w:rPr>
        <w:t xml:space="preserve"> </w:t>
      </w:r>
      <w:r>
        <w:rPr>
          <w:rFonts w:ascii="Arial" w:hAnsi="Arial" w:eastAsia="Arial" w:cs="Arial"/>
          <w:spacing w:val="-10"/>
          <w:sz w:val="19"/>
          <w:szCs w:val="19"/>
        </w:rPr>
        <w:t>indices</w:t>
      </w:r>
      <w:r>
        <w:rPr>
          <w:rFonts w:ascii="Arial" w:hAnsi="Arial" w:eastAsia="Arial" w:cs="Arial"/>
          <w:spacing w:val="23"/>
          <w:w w:val="101"/>
          <w:sz w:val="19"/>
          <w:szCs w:val="19"/>
        </w:rPr>
        <w:t xml:space="preserve"> </w:t>
      </w:r>
      <w:r>
        <w:rPr>
          <w:rFonts w:ascii="Arial" w:hAnsi="Arial" w:eastAsia="Arial" w:cs="Arial"/>
          <w:spacing w:val="-10"/>
          <w:sz w:val="19"/>
          <w:szCs w:val="19"/>
        </w:rPr>
        <w:t>(CFI,</w:t>
      </w:r>
      <w:r>
        <w:rPr>
          <w:rFonts w:ascii="Arial" w:hAnsi="Arial" w:eastAsia="Arial" w:cs="Arial"/>
          <w:spacing w:val="25"/>
          <w:w w:val="101"/>
          <w:sz w:val="19"/>
          <w:szCs w:val="19"/>
        </w:rPr>
        <w:t xml:space="preserve"> </w:t>
      </w:r>
      <w:r>
        <w:rPr>
          <w:rFonts w:ascii="Arial" w:hAnsi="Arial" w:eastAsia="Arial" w:cs="Arial"/>
          <w:spacing w:val="-10"/>
          <w:sz w:val="19"/>
          <w:szCs w:val="19"/>
        </w:rPr>
        <w:t>PF</w:t>
      </w:r>
      <w:r>
        <w:rPr>
          <w:rFonts w:ascii="Arial" w:hAnsi="Arial" w:eastAsia="Arial" w:cs="Arial"/>
          <w:spacing w:val="-11"/>
          <w:sz w:val="19"/>
          <w:szCs w:val="19"/>
        </w:rPr>
        <w:t>I)</w:t>
      </w:r>
      <w:r>
        <w:rPr>
          <w:rFonts w:ascii="Arial" w:hAnsi="Arial" w:eastAsia="Arial" w:cs="Arial"/>
          <w:spacing w:val="23"/>
          <w:sz w:val="19"/>
          <w:szCs w:val="19"/>
        </w:rPr>
        <w:t xml:space="preserve"> </w:t>
      </w:r>
      <w:r>
        <w:rPr>
          <w:rFonts w:ascii="Arial" w:hAnsi="Arial" w:eastAsia="Arial" w:cs="Arial"/>
          <w:spacing w:val="-11"/>
          <w:sz w:val="19"/>
          <w:szCs w:val="19"/>
        </w:rPr>
        <w:t>reached</w:t>
      </w:r>
      <w:r>
        <w:rPr>
          <w:rFonts w:ascii="Arial" w:hAnsi="Arial" w:eastAsia="Arial" w:cs="Arial"/>
          <w:spacing w:val="24"/>
          <w:sz w:val="19"/>
          <w:szCs w:val="19"/>
        </w:rPr>
        <w:t xml:space="preserve"> </w:t>
      </w:r>
      <w:r>
        <w:rPr>
          <w:rFonts w:ascii="Arial" w:hAnsi="Arial" w:eastAsia="Arial" w:cs="Arial"/>
          <w:spacing w:val="-11"/>
          <w:sz w:val="19"/>
          <w:szCs w:val="19"/>
        </w:rPr>
        <w:t>highl</w:t>
      </w:r>
      <w:r>
        <w:rPr>
          <w:rFonts w:ascii="Arial" w:hAnsi="Arial" w:eastAsia="Arial" w:cs="Arial"/>
          <w:spacing w:val="-9"/>
          <w:sz w:val="19"/>
          <w:szCs w:val="19"/>
        </w:rPr>
        <w:t>y</w:t>
      </w:r>
      <w:r>
        <w:rPr>
          <w:rFonts w:ascii="Arial" w:hAnsi="Arial" w:eastAsia="Arial" w:cs="Arial"/>
          <w:sz w:val="19"/>
          <w:szCs w:val="19"/>
        </w:rPr>
        <w:t xml:space="preserve"> </w:t>
      </w:r>
      <w:r>
        <w:rPr>
          <w:rFonts w:ascii="Arial" w:hAnsi="Arial" w:eastAsia="Arial" w:cs="Arial"/>
          <w:spacing w:val="-5"/>
          <w:sz w:val="19"/>
          <w:szCs w:val="19"/>
        </w:rPr>
        <w:t>satisfactory  values,  in  light</w:t>
      </w:r>
      <w:r>
        <w:rPr>
          <w:rFonts w:ascii="Arial" w:hAnsi="Arial" w:eastAsia="Arial" w:cs="Arial"/>
          <w:spacing w:val="2"/>
          <w:sz w:val="19"/>
          <w:szCs w:val="19"/>
        </w:rPr>
        <w:t xml:space="preserve">  </w:t>
      </w:r>
      <w:r>
        <w:rPr>
          <w:rFonts w:ascii="Arial" w:hAnsi="Arial" w:eastAsia="Arial" w:cs="Arial"/>
          <w:spacing w:val="-5"/>
          <w:sz w:val="19"/>
          <w:szCs w:val="19"/>
        </w:rPr>
        <w:t>of  the</w:t>
      </w:r>
      <w:r>
        <w:rPr>
          <w:rFonts w:ascii="Arial" w:hAnsi="Arial" w:eastAsia="Arial" w:cs="Arial"/>
          <w:spacing w:val="4"/>
          <w:sz w:val="19"/>
          <w:szCs w:val="19"/>
        </w:rPr>
        <w:t xml:space="preserve">  </w:t>
      </w:r>
      <w:r>
        <w:rPr>
          <w:rFonts w:ascii="Arial" w:hAnsi="Arial" w:eastAsia="Arial" w:cs="Arial"/>
          <w:spacing w:val="-5"/>
          <w:sz w:val="19"/>
          <w:szCs w:val="19"/>
        </w:rPr>
        <w:t>recommendations</w:t>
      </w:r>
      <w:r>
        <w:rPr>
          <w:rFonts w:ascii="Arial" w:hAnsi="Arial" w:eastAsia="Arial" w:cs="Arial"/>
          <w:spacing w:val="2"/>
          <w:sz w:val="19"/>
          <w:szCs w:val="19"/>
        </w:rPr>
        <w:t xml:space="preserve">  </w:t>
      </w:r>
      <w:r>
        <w:rPr>
          <w:rFonts w:ascii="Arial" w:hAnsi="Arial" w:eastAsia="Arial" w:cs="Arial"/>
          <w:spacing w:val="-5"/>
          <w:sz w:val="19"/>
          <w:szCs w:val="19"/>
        </w:rPr>
        <w:t>given</w:t>
      </w:r>
      <w:r>
        <w:rPr>
          <w:rFonts w:ascii="Arial" w:hAnsi="Arial" w:eastAsia="Arial" w:cs="Arial"/>
          <w:spacing w:val="5"/>
          <w:sz w:val="19"/>
          <w:szCs w:val="19"/>
        </w:rPr>
        <w:t xml:space="preserve">  </w:t>
      </w:r>
      <w:r>
        <w:rPr>
          <w:rFonts w:ascii="Arial" w:hAnsi="Arial" w:eastAsia="Arial" w:cs="Arial"/>
          <w:spacing w:val="-5"/>
          <w:sz w:val="19"/>
          <w:szCs w:val="19"/>
        </w:rPr>
        <w:t>by</w:t>
      </w:r>
      <w:r>
        <w:rPr>
          <w:rFonts w:ascii="Arial" w:hAnsi="Arial" w:eastAsia="Arial" w:cs="Arial"/>
          <w:spacing w:val="6"/>
          <w:sz w:val="19"/>
          <w:szCs w:val="19"/>
        </w:rPr>
        <w:t xml:space="preserve">  </w:t>
      </w:r>
      <w:r>
        <w:rPr>
          <w:rFonts w:ascii="Arial" w:hAnsi="Arial" w:eastAsia="Arial" w:cs="Arial"/>
          <w:spacing w:val="-5"/>
          <w:sz w:val="19"/>
          <w:szCs w:val="19"/>
        </w:rPr>
        <w:t>Hoope</w:t>
      </w:r>
      <w:r>
        <w:rPr>
          <w:rFonts w:ascii="Arial" w:hAnsi="Arial" w:eastAsia="Arial" w:cs="Arial"/>
          <w:spacing w:val="-6"/>
          <w:sz w:val="19"/>
          <w:szCs w:val="19"/>
        </w:rPr>
        <w:t>r,</w:t>
      </w:r>
      <w:r>
        <w:rPr>
          <w:rFonts w:ascii="Arial" w:hAnsi="Arial" w:eastAsia="Arial" w:cs="Arial"/>
          <w:spacing w:val="2"/>
          <w:sz w:val="19"/>
          <w:szCs w:val="19"/>
        </w:rPr>
        <w:t xml:space="preserve">  </w:t>
      </w:r>
      <w:r>
        <w:rPr>
          <w:rFonts w:ascii="Arial" w:hAnsi="Arial" w:eastAsia="Arial" w:cs="Arial"/>
          <w:spacing w:val="-6"/>
          <w:sz w:val="19"/>
          <w:szCs w:val="19"/>
        </w:rPr>
        <w:t>Coughlan,</w:t>
      </w:r>
      <w:r>
        <w:rPr>
          <w:rFonts w:ascii="Arial" w:hAnsi="Arial" w:eastAsia="Arial" w:cs="Arial"/>
          <w:spacing w:val="2"/>
          <w:sz w:val="19"/>
          <w:szCs w:val="19"/>
        </w:rPr>
        <w:t xml:space="preserve">  </w:t>
      </w:r>
      <w:r>
        <w:rPr>
          <w:rFonts w:ascii="Arial" w:hAnsi="Arial" w:eastAsia="Arial" w:cs="Arial"/>
          <w:spacing w:val="-6"/>
          <w:sz w:val="19"/>
          <w:szCs w:val="19"/>
        </w:rPr>
        <w:t>and</w:t>
      </w:r>
      <w:r>
        <w:rPr>
          <w:rFonts w:ascii="Arial" w:hAnsi="Arial" w:eastAsia="Arial" w:cs="Arial"/>
          <w:spacing w:val="3"/>
          <w:sz w:val="19"/>
          <w:szCs w:val="19"/>
        </w:rPr>
        <w:t xml:space="preserve">  </w:t>
      </w:r>
      <w:r>
        <w:rPr>
          <w:rFonts w:ascii="Arial" w:hAnsi="Arial" w:eastAsia="Arial" w:cs="Arial"/>
          <w:spacing w:val="-6"/>
          <w:sz w:val="19"/>
          <w:szCs w:val="19"/>
        </w:rPr>
        <w:t>Mullen</w:t>
      </w:r>
      <w:r>
        <w:rPr>
          <w:rFonts w:ascii="Arial" w:hAnsi="Arial" w:eastAsia="Arial" w:cs="Arial"/>
          <w:spacing w:val="1"/>
          <w:sz w:val="19"/>
          <w:szCs w:val="19"/>
        </w:rPr>
        <w:t xml:space="preserve"> </w:t>
      </w:r>
      <w:r>
        <w:fldChar w:fldCharType="begin"/>
      </w:r>
      <w:r>
        <w:instrText xml:space="preserve"> HYPERLINK \l "bookmark87" </w:instrText>
      </w:r>
      <w:r>
        <w:fldChar w:fldCharType="separate"/>
      </w:r>
      <w:r>
        <w:rPr>
          <w:rFonts w:ascii="Arial" w:hAnsi="Arial" w:eastAsia="Arial" w:cs="Arial"/>
          <w:spacing w:val="-10"/>
          <w:sz w:val="19"/>
          <w:szCs w:val="19"/>
        </w:rPr>
        <w:t>(</w:t>
      </w:r>
      <w:r>
        <w:rPr>
          <w:rFonts w:ascii="Arial" w:hAnsi="Arial" w:eastAsia="Arial" w:cs="Arial"/>
          <w:color w:val="000084"/>
          <w:spacing w:val="-10"/>
          <w:sz w:val="19"/>
          <w:szCs w:val="19"/>
        </w:rPr>
        <w:t>2008</w:t>
      </w:r>
      <w:r>
        <w:rPr>
          <w:rFonts w:ascii="Arial" w:hAnsi="Arial" w:eastAsia="Arial" w:cs="Arial"/>
          <w:color w:val="000084"/>
          <w:spacing w:val="-10"/>
          <w:sz w:val="19"/>
          <w:szCs w:val="19"/>
        </w:rPr>
        <w:fldChar w:fldCharType="end"/>
      </w:r>
      <w:r>
        <w:rPr>
          <w:rFonts w:ascii="Arial" w:hAnsi="Arial" w:eastAsia="Arial" w:cs="Arial"/>
          <w:spacing w:val="-10"/>
          <w:sz w:val="19"/>
          <w:szCs w:val="19"/>
        </w:rPr>
        <w:t>)</w:t>
      </w:r>
      <w:r>
        <w:rPr>
          <w:rFonts w:ascii="Arial" w:hAnsi="Arial" w:eastAsia="Arial" w:cs="Arial"/>
          <w:spacing w:val="24"/>
          <w:sz w:val="19"/>
          <w:szCs w:val="19"/>
        </w:rPr>
        <w:t xml:space="preserve"> </w:t>
      </w:r>
      <w:r>
        <w:rPr>
          <w:rFonts w:ascii="Arial" w:hAnsi="Arial" w:eastAsia="Arial" w:cs="Arial"/>
          <w:spacing w:val="-10"/>
          <w:sz w:val="19"/>
          <w:szCs w:val="19"/>
        </w:rPr>
        <w:t xml:space="preserve">(see </w:t>
      </w:r>
      <w:r>
        <w:fldChar w:fldCharType="begin"/>
      </w:r>
      <w:r>
        <w:instrText xml:space="preserve"> HYPERLINK \l "bookmark88" </w:instrText>
      </w:r>
      <w:r>
        <w:fldChar w:fldCharType="separate"/>
      </w:r>
      <w:r>
        <w:rPr>
          <w:rFonts w:ascii="Arial" w:hAnsi="Arial" w:eastAsia="Arial" w:cs="Arial"/>
          <w:color w:val="000084"/>
          <w:spacing w:val="-10"/>
          <w:sz w:val="19"/>
          <w:szCs w:val="19"/>
        </w:rPr>
        <w:t>Table</w:t>
      </w:r>
      <w:r>
        <w:rPr>
          <w:rFonts w:ascii="Arial" w:hAnsi="Arial" w:eastAsia="Arial" w:cs="Arial"/>
          <w:color w:val="000084"/>
          <w:spacing w:val="12"/>
          <w:sz w:val="19"/>
          <w:szCs w:val="19"/>
        </w:rPr>
        <w:t xml:space="preserve"> </w:t>
      </w:r>
      <w:r>
        <w:rPr>
          <w:rFonts w:ascii="Arial" w:hAnsi="Arial" w:eastAsia="Arial" w:cs="Arial"/>
          <w:color w:val="000084"/>
          <w:spacing w:val="-10"/>
          <w:sz w:val="19"/>
          <w:szCs w:val="19"/>
        </w:rPr>
        <w:t>5</w:t>
      </w:r>
      <w:r>
        <w:rPr>
          <w:rFonts w:ascii="Arial" w:hAnsi="Arial" w:eastAsia="Arial" w:cs="Arial"/>
          <w:color w:val="000084"/>
          <w:spacing w:val="-10"/>
          <w:sz w:val="19"/>
          <w:szCs w:val="19"/>
        </w:rPr>
        <w:fldChar w:fldCharType="end"/>
      </w:r>
      <w:r>
        <w:rPr>
          <w:rFonts w:ascii="Arial" w:hAnsi="Arial" w:eastAsia="Arial" w:cs="Arial"/>
          <w:spacing w:val="-10"/>
          <w:sz w:val="19"/>
          <w:szCs w:val="19"/>
        </w:rPr>
        <w:t>).</w:t>
      </w:r>
    </w:p>
    <w:p>
      <w:pPr>
        <w:spacing w:line="252" w:lineRule="auto"/>
        <w:rPr>
          <w:rFonts w:ascii="Arial" w:hAnsi="Arial" w:eastAsia="Arial" w:cs="Arial"/>
          <w:sz w:val="19"/>
          <w:szCs w:val="19"/>
        </w:rPr>
        <w:sectPr>
          <w:type w:val="continuous"/>
          <w:pgSz w:w="9865" w:h="14060"/>
          <w:pgMar w:top="400" w:right="953" w:bottom="400" w:left="768" w:header="0" w:footer="0" w:gutter="0"/>
          <w:cols w:equalWidth="0" w:num="1">
            <w:col w:w="8143"/>
          </w:cols>
        </w:sectPr>
      </w:pPr>
    </w:p>
    <w:p>
      <w:pPr>
        <w:spacing w:before="103"/>
        <w:jc w:val="right"/>
        <w:rPr>
          <w:rFonts w:ascii="Arial" w:hAnsi="Arial" w:eastAsia="Arial" w:cs="Arial"/>
          <w:sz w:val="14"/>
          <w:szCs w:val="14"/>
        </w:rPr>
      </w:pPr>
      <w:bookmarkStart w:id="11" w:name="bookmark88"/>
      <w:bookmarkEnd w:id="11"/>
      <w:r>
        <w:rPr>
          <w:rFonts w:ascii="Arial" w:hAnsi="Arial" w:eastAsia="Arial" w:cs="Arial"/>
          <w:spacing w:val="-8"/>
          <w:sz w:val="14"/>
          <w:szCs w:val="14"/>
        </w:rPr>
        <w:t>STUDIES</w:t>
      </w:r>
      <w:r>
        <w:rPr>
          <w:rFonts w:ascii="Arial" w:hAnsi="Arial" w:eastAsia="Arial" w:cs="Arial"/>
          <w:spacing w:val="20"/>
          <w:w w:val="101"/>
          <w:sz w:val="14"/>
          <w:szCs w:val="14"/>
        </w:rPr>
        <w:t xml:space="preserve"> </w:t>
      </w:r>
      <w:r>
        <w:rPr>
          <w:rFonts w:ascii="Arial" w:hAnsi="Arial" w:eastAsia="Arial" w:cs="Arial"/>
          <w:spacing w:val="-8"/>
          <w:sz w:val="14"/>
          <w:szCs w:val="14"/>
        </w:rPr>
        <w:t>IN</w:t>
      </w:r>
      <w:r>
        <w:rPr>
          <w:rFonts w:ascii="Arial" w:hAnsi="Arial" w:eastAsia="Arial" w:cs="Arial"/>
          <w:spacing w:val="11"/>
          <w:sz w:val="14"/>
          <w:szCs w:val="14"/>
        </w:rPr>
        <w:t xml:space="preserve"> </w:t>
      </w:r>
      <w:r>
        <w:rPr>
          <w:rFonts w:ascii="Arial" w:hAnsi="Arial" w:eastAsia="Arial" w:cs="Arial"/>
          <w:spacing w:val="-8"/>
          <w:sz w:val="14"/>
          <w:szCs w:val="14"/>
        </w:rPr>
        <w:t>HIGHER</w:t>
      </w:r>
      <w:r>
        <w:rPr>
          <w:rFonts w:ascii="Arial" w:hAnsi="Arial" w:eastAsia="Arial" w:cs="Arial"/>
          <w:spacing w:val="11"/>
          <w:sz w:val="14"/>
          <w:szCs w:val="14"/>
        </w:rPr>
        <w:t xml:space="preserve"> </w:t>
      </w:r>
      <w:r>
        <w:rPr>
          <w:rFonts w:ascii="Arial" w:hAnsi="Arial" w:eastAsia="Arial" w:cs="Arial"/>
          <w:spacing w:val="-8"/>
          <w:sz w:val="14"/>
          <w:szCs w:val="14"/>
        </w:rPr>
        <w:t xml:space="preserve">EDUCATION    </w:t>
      </w:r>
      <w:r>
        <w:rPr>
          <w:position w:val="-6"/>
          <w:sz w:val="14"/>
          <w:szCs w:val="14"/>
        </w:rPr>
        <w:drawing>
          <wp:inline distT="0" distB="0" distL="0" distR="0">
            <wp:extent cx="139700" cy="13970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43"/>
                    <a:stretch>
                      <a:fillRect/>
                    </a:stretch>
                  </pic:blipFill>
                  <pic:spPr>
                    <a:xfrm>
                      <a:off x="0" y="0"/>
                      <a:ext cx="139700" cy="139700"/>
                    </a:xfrm>
                    <a:prstGeom prst="rect">
                      <a:avLst/>
                    </a:prstGeom>
                  </pic:spPr>
                </pic:pic>
              </a:graphicData>
            </a:graphic>
          </wp:inline>
        </w:drawing>
      </w:r>
      <w:r>
        <w:rPr>
          <w:rFonts w:ascii="Arial" w:hAnsi="Arial" w:eastAsia="Arial" w:cs="Arial"/>
          <w:spacing w:val="2"/>
          <w:sz w:val="14"/>
          <w:szCs w:val="14"/>
        </w:rPr>
        <w:t xml:space="preserve">    </w:t>
      </w:r>
      <w:r>
        <w:rPr>
          <w:rFonts w:ascii="Arial" w:hAnsi="Arial" w:eastAsia="Arial" w:cs="Arial"/>
          <w:spacing w:val="-8"/>
          <w:sz w:val="14"/>
          <w:szCs w:val="14"/>
        </w:rPr>
        <w:t>11</w:t>
      </w:r>
    </w:p>
    <w:p>
      <w:pPr>
        <w:spacing w:line="267" w:lineRule="auto"/>
        <w:rPr>
          <w:rFonts w:ascii="Arial"/>
          <w:sz w:val="21"/>
        </w:rPr>
      </w:pPr>
    </w:p>
    <w:p>
      <w:pPr>
        <w:spacing w:before="43" w:line="180" w:lineRule="exact"/>
        <w:ind w:left="1002"/>
        <w:rPr>
          <w:rFonts w:ascii="Arial" w:hAnsi="Arial" w:eastAsia="Arial" w:cs="Arial"/>
          <w:sz w:val="15"/>
          <w:szCs w:val="15"/>
        </w:rPr>
      </w:pPr>
      <w:r>
        <w:rPr>
          <w:rFonts w:ascii="Arial" w:hAnsi="Arial" w:eastAsia="Arial" w:cs="Arial"/>
          <w:color w:val="282781"/>
          <w:spacing w:val="-7"/>
          <w:position w:val="2"/>
          <w:sz w:val="15"/>
          <w:szCs w:val="15"/>
        </w:rPr>
        <w:t>Table</w:t>
      </w:r>
      <w:r>
        <w:rPr>
          <w:rFonts w:ascii="Arial" w:hAnsi="Arial" w:eastAsia="Arial" w:cs="Arial"/>
          <w:color w:val="282781"/>
          <w:spacing w:val="10"/>
          <w:w w:val="101"/>
          <w:position w:val="2"/>
          <w:sz w:val="15"/>
          <w:szCs w:val="15"/>
        </w:rPr>
        <w:t xml:space="preserve"> </w:t>
      </w:r>
      <w:r>
        <w:rPr>
          <w:rFonts w:ascii="Arial" w:hAnsi="Arial" w:eastAsia="Arial" w:cs="Arial"/>
          <w:color w:val="282781"/>
          <w:spacing w:val="-7"/>
          <w:position w:val="2"/>
          <w:sz w:val="15"/>
          <w:szCs w:val="15"/>
        </w:rPr>
        <w:t>5.</w:t>
      </w:r>
      <w:r>
        <w:rPr>
          <w:rFonts w:ascii="Arial" w:hAnsi="Arial" w:eastAsia="Arial" w:cs="Arial"/>
          <w:color w:val="282781"/>
          <w:spacing w:val="18"/>
          <w:position w:val="2"/>
          <w:sz w:val="15"/>
          <w:szCs w:val="15"/>
        </w:rPr>
        <w:t xml:space="preserve"> </w:t>
      </w:r>
      <w:r>
        <w:rPr>
          <w:rFonts w:ascii="Arial" w:hAnsi="Arial" w:eastAsia="Arial" w:cs="Arial"/>
          <w:spacing w:val="-7"/>
          <w:position w:val="2"/>
          <w:sz w:val="15"/>
          <w:szCs w:val="15"/>
        </w:rPr>
        <w:t>Results</w:t>
      </w:r>
      <w:r>
        <w:rPr>
          <w:rFonts w:ascii="Arial" w:hAnsi="Arial" w:eastAsia="Arial" w:cs="Arial"/>
          <w:spacing w:val="10"/>
          <w:w w:val="101"/>
          <w:position w:val="2"/>
          <w:sz w:val="15"/>
          <w:szCs w:val="15"/>
        </w:rPr>
        <w:t xml:space="preserve"> </w:t>
      </w:r>
      <w:r>
        <w:rPr>
          <w:rFonts w:ascii="Arial" w:hAnsi="Arial" w:eastAsia="Arial" w:cs="Arial"/>
          <w:spacing w:val="-7"/>
          <w:position w:val="2"/>
          <w:sz w:val="15"/>
          <w:szCs w:val="15"/>
        </w:rPr>
        <w:t>of the</w:t>
      </w:r>
      <w:r>
        <w:rPr>
          <w:rFonts w:ascii="Arial" w:hAnsi="Arial" w:eastAsia="Arial" w:cs="Arial"/>
          <w:spacing w:val="12"/>
          <w:position w:val="2"/>
          <w:sz w:val="15"/>
          <w:szCs w:val="15"/>
        </w:rPr>
        <w:t xml:space="preserve"> </w:t>
      </w:r>
      <w:r>
        <w:rPr>
          <w:rFonts w:ascii="Arial" w:hAnsi="Arial" w:eastAsia="Arial" w:cs="Arial"/>
          <w:spacing w:val="-7"/>
          <w:position w:val="2"/>
          <w:sz w:val="15"/>
          <w:szCs w:val="15"/>
        </w:rPr>
        <w:t>CFA-analysis</w:t>
      </w:r>
      <w:r>
        <w:rPr>
          <w:rFonts w:ascii="Arial" w:hAnsi="Arial" w:eastAsia="Arial" w:cs="Arial"/>
          <w:spacing w:val="14"/>
          <w:w w:val="102"/>
          <w:position w:val="2"/>
          <w:sz w:val="15"/>
          <w:szCs w:val="15"/>
        </w:rPr>
        <w:t xml:space="preserve"> </w:t>
      </w:r>
      <w:r>
        <w:rPr>
          <w:rFonts w:ascii="Arial" w:hAnsi="Arial" w:eastAsia="Arial" w:cs="Arial"/>
          <w:spacing w:val="-7"/>
          <w:position w:val="2"/>
          <w:sz w:val="15"/>
          <w:szCs w:val="15"/>
        </w:rPr>
        <w:t>(χ² = 64</w:t>
      </w:r>
      <w:r>
        <w:rPr>
          <w:rFonts w:ascii="Arial" w:hAnsi="Arial" w:eastAsia="Arial" w:cs="Arial"/>
          <w:spacing w:val="-8"/>
          <w:position w:val="2"/>
          <w:sz w:val="15"/>
          <w:szCs w:val="15"/>
        </w:rPr>
        <w:t>0.182;</w:t>
      </w:r>
      <w:r>
        <w:rPr>
          <w:rFonts w:ascii="Arial" w:hAnsi="Arial" w:eastAsia="Arial" w:cs="Arial"/>
          <w:spacing w:val="11"/>
          <w:w w:val="102"/>
          <w:position w:val="2"/>
          <w:sz w:val="15"/>
          <w:szCs w:val="15"/>
        </w:rPr>
        <w:t xml:space="preserve"> </w:t>
      </w:r>
      <w:r>
        <w:rPr>
          <w:rFonts w:ascii="Arial" w:hAnsi="Arial" w:eastAsia="Arial" w:cs="Arial"/>
          <w:spacing w:val="-8"/>
          <w:position w:val="2"/>
          <w:sz w:val="15"/>
          <w:szCs w:val="15"/>
        </w:rPr>
        <w:t>df = 291; p &lt; .001).</w:t>
      </w:r>
    </w:p>
    <w:p>
      <w:pPr>
        <w:spacing w:line="20" w:lineRule="exact"/>
      </w:pPr>
    </w:p>
    <w:tbl>
      <w:tblPr>
        <w:tblStyle w:val="5"/>
        <w:tblW w:w="5944" w:type="dxa"/>
        <w:tblInd w:w="10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66"/>
        <w:gridCol w:w="3055"/>
        <w:gridCol w:w="172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 w:hRule="atLeast"/>
        </w:trPr>
        <w:tc>
          <w:tcPr>
            <w:tcW w:w="1166" w:type="dxa"/>
            <w:tcBorders>
              <w:top w:val="single" w:color="282781" w:sz="4" w:space="0"/>
              <w:bottom w:val="single" w:color="282781" w:sz="4" w:space="0"/>
            </w:tcBorders>
            <w:vAlign w:val="top"/>
          </w:tcPr>
          <w:p>
            <w:pPr>
              <w:spacing w:before="65" w:line="194" w:lineRule="auto"/>
              <w:ind w:left="8"/>
              <w:rPr>
                <w:rFonts w:ascii="Arial" w:hAnsi="Arial" w:eastAsia="Arial" w:cs="Arial"/>
                <w:sz w:val="15"/>
                <w:szCs w:val="15"/>
              </w:rPr>
            </w:pPr>
            <w:r>
              <w:rPr>
                <w:rFonts w:ascii="Arial" w:hAnsi="Arial" w:eastAsia="Arial" w:cs="Arial"/>
                <w:spacing w:val="-5"/>
                <w:sz w:val="15"/>
                <w:szCs w:val="15"/>
              </w:rPr>
              <w:t>Metric</w:t>
            </w:r>
          </w:p>
        </w:tc>
        <w:tc>
          <w:tcPr>
            <w:tcW w:w="3055" w:type="dxa"/>
            <w:tcBorders>
              <w:top w:val="single" w:color="282781" w:sz="4" w:space="0"/>
              <w:bottom w:val="single" w:color="282781" w:sz="4" w:space="0"/>
            </w:tcBorders>
            <w:vAlign w:val="top"/>
          </w:tcPr>
          <w:p>
            <w:pPr>
              <w:spacing w:before="60" w:line="201" w:lineRule="auto"/>
              <w:ind w:left="1052"/>
              <w:rPr>
                <w:rFonts w:ascii="Arial" w:hAnsi="Arial" w:eastAsia="Arial" w:cs="Arial"/>
                <w:sz w:val="15"/>
                <w:szCs w:val="15"/>
              </w:rPr>
            </w:pPr>
            <w:r>
              <w:rPr>
                <w:rFonts w:ascii="Arial" w:hAnsi="Arial" w:eastAsia="Arial" w:cs="Arial"/>
                <w:spacing w:val="-8"/>
                <w:sz w:val="15"/>
                <w:szCs w:val="15"/>
              </w:rPr>
              <w:t>Observed</w:t>
            </w:r>
            <w:r>
              <w:rPr>
                <w:rFonts w:ascii="Arial" w:hAnsi="Arial" w:eastAsia="Arial" w:cs="Arial"/>
                <w:spacing w:val="11"/>
                <w:w w:val="101"/>
                <w:sz w:val="15"/>
                <w:szCs w:val="15"/>
              </w:rPr>
              <w:t xml:space="preserve"> </w:t>
            </w:r>
            <w:r>
              <w:rPr>
                <w:rFonts w:ascii="Arial" w:hAnsi="Arial" w:eastAsia="Arial" w:cs="Arial"/>
                <w:spacing w:val="-8"/>
                <w:sz w:val="15"/>
                <w:szCs w:val="15"/>
              </w:rPr>
              <w:t>value</w:t>
            </w:r>
          </w:p>
        </w:tc>
        <w:tc>
          <w:tcPr>
            <w:tcW w:w="1723" w:type="dxa"/>
            <w:tcBorders>
              <w:top w:val="single" w:color="282781" w:sz="4" w:space="0"/>
              <w:bottom w:val="single" w:color="282781" w:sz="4" w:space="0"/>
            </w:tcBorders>
            <w:vAlign w:val="top"/>
          </w:tcPr>
          <w:p>
            <w:pPr>
              <w:spacing w:before="60" w:line="201" w:lineRule="auto"/>
              <w:jc w:val="right"/>
              <w:rPr>
                <w:rFonts w:ascii="Arial" w:hAnsi="Arial" w:eastAsia="Arial" w:cs="Arial"/>
                <w:sz w:val="15"/>
                <w:szCs w:val="15"/>
              </w:rPr>
            </w:pPr>
            <w:r>
              <w:rPr>
                <w:rFonts w:ascii="Arial" w:hAnsi="Arial" w:eastAsia="Arial" w:cs="Arial"/>
                <w:spacing w:val="-10"/>
                <w:sz w:val="15"/>
                <w:szCs w:val="15"/>
              </w:rPr>
              <w:t>Rec</w:t>
            </w:r>
            <w:r>
              <w:rPr>
                <w:rFonts w:ascii="Arial" w:hAnsi="Arial" w:eastAsia="Arial" w:cs="Arial"/>
                <w:spacing w:val="-9"/>
                <w:sz w:val="15"/>
                <w:szCs w:val="15"/>
              </w:rPr>
              <w:t>ommended</w:t>
            </w:r>
            <w:r>
              <w:rPr>
                <w:rFonts w:ascii="Arial" w:hAnsi="Arial" w:eastAsia="Arial" w:cs="Arial"/>
                <w:spacing w:val="-6"/>
                <w:sz w:val="15"/>
                <w:szCs w:val="1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6" w:hRule="atLeast"/>
        </w:trPr>
        <w:tc>
          <w:tcPr>
            <w:tcW w:w="1166" w:type="dxa"/>
            <w:tcBorders>
              <w:top w:val="single" w:color="282781" w:sz="4" w:space="0"/>
            </w:tcBorders>
            <w:vAlign w:val="top"/>
          </w:tcPr>
          <w:p>
            <w:pPr>
              <w:spacing w:before="34" w:line="234" w:lineRule="auto"/>
              <w:ind w:left="1"/>
              <w:rPr>
                <w:rFonts w:ascii="Arial" w:hAnsi="Arial" w:eastAsia="Arial" w:cs="Arial"/>
                <w:sz w:val="15"/>
                <w:szCs w:val="15"/>
              </w:rPr>
            </w:pPr>
            <w:r>
              <w:rPr>
                <w:rFonts w:ascii="Arial" w:hAnsi="Arial" w:eastAsia="Arial" w:cs="Arial"/>
                <w:spacing w:val="-1"/>
                <w:sz w:val="15"/>
                <w:szCs w:val="15"/>
              </w:rPr>
              <w:t>χ²/df</w:t>
            </w:r>
          </w:p>
        </w:tc>
        <w:tc>
          <w:tcPr>
            <w:tcW w:w="3055" w:type="dxa"/>
            <w:tcBorders>
              <w:top w:val="single" w:color="282781" w:sz="4" w:space="0"/>
            </w:tcBorders>
            <w:vAlign w:val="top"/>
          </w:tcPr>
          <w:p>
            <w:pPr>
              <w:spacing w:before="61" w:line="191" w:lineRule="auto"/>
              <w:ind w:left="1366"/>
              <w:rPr>
                <w:rFonts w:ascii="Arial" w:hAnsi="Arial" w:eastAsia="Arial" w:cs="Arial"/>
                <w:sz w:val="15"/>
                <w:szCs w:val="15"/>
              </w:rPr>
            </w:pPr>
            <w:r>
              <w:rPr>
                <w:rFonts w:ascii="Arial" w:hAnsi="Arial" w:eastAsia="Arial" w:cs="Arial"/>
                <w:spacing w:val="-9"/>
                <w:sz w:val="15"/>
                <w:szCs w:val="15"/>
              </w:rPr>
              <w:t>2.200</w:t>
            </w:r>
          </w:p>
        </w:tc>
        <w:tc>
          <w:tcPr>
            <w:tcW w:w="1723" w:type="dxa"/>
            <w:tcBorders>
              <w:top w:val="single" w:color="282781" w:sz="4" w:space="0"/>
            </w:tcBorders>
            <w:vAlign w:val="top"/>
          </w:tcPr>
          <w:p>
            <w:pPr>
              <w:spacing w:before="61" w:line="191" w:lineRule="auto"/>
              <w:ind w:left="1023"/>
              <w:rPr>
                <w:rFonts w:ascii="Arial" w:hAnsi="Arial" w:eastAsia="Arial" w:cs="Arial"/>
                <w:sz w:val="15"/>
                <w:szCs w:val="15"/>
              </w:rPr>
            </w:pPr>
            <w:r>
              <w:rPr>
                <w:rFonts w:ascii="Arial" w:hAnsi="Arial" w:eastAsia="Arial" w:cs="Arial"/>
                <w:spacing w:val="-8"/>
                <w:sz w:val="15"/>
                <w:szCs w:val="15"/>
              </w:rPr>
              <w:t>2.0–5.0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2" w:hRule="atLeast"/>
        </w:trPr>
        <w:tc>
          <w:tcPr>
            <w:tcW w:w="1166" w:type="dxa"/>
            <w:vAlign w:val="top"/>
          </w:tcPr>
          <w:p>
            <w:pPr>
              <w:spacing w:before="21" w:line="195" w:lineRule="auto"/>
              <w:ind w:left="11"/>
              <w:rPr>
                <w:rFonts w:ascii="Arial" w:hAnsi="Arial" w:eastAsia="Arial" w:cs="Arial"/>
                <w:sz w:val="15"/>
                <w:szCs w:val="15"/>
              </w:rPr>
            </w:pPr>
            <w:r>
              <w:rPr>
                <w:rFonts w:ascii="Arial" w:hAnsi="Arial" w:eastAsia="Arial" w:cs="Arial"/>
                <w:spacing w:val="-13"/>
                <w:w w:val="94"/>
                <w:sz w:val="15"/>
                <w:szCs w:val="15"/>
              </w:rPr>
              <w:t>RMSEA</w:t>
            </w:r>
          </w:p>
        </w:tc>
        <w:tc>
          <w:tcPr>
            <w:tcW w:w="3055" w:type="dxa"/>
            <w:vAlign w:val="top"/>
          </w:tcPr>
          <w:p>
            <w:pPr>
              <w:spacing w:before="21" w:line="180" w:lineRule="auto"/>
              <w:ind w:left="738"/>
              <w:rPr>
                <w:rFonts w:ascii="Arial" w:hAnsi="Arial" w:eastAsia="Arial" w:cs="Arial"/>
                <w:sz w:val="15"/>
                <w:szCs w:val="15"/>
              </w:rPr>
            </w:pPr>
            <w:r>
              <w:rPr>
                <w:rFonts w:ascii="Arial" w:hAnsi="Arial" w:eastAsia="Arial" w:cs="Arial"/>
                <w:spacing w:val="-11"/>
                <w:sz w:val="15"/>
                <w:szCs w:val="15"/>
              </w:rPr>
              <w:t>.045</w:t>
            </w:r>
            <w:r>
              <w:rPr>
                <w:rFonts w:ascii="Arial" w:hAnsi="Arial" w:eastAsia="Arial" w:cs="Arial"/>
                <w:spacing w:val="20"/>
                <w:w w:val="102"/>
                <w:sz w:val="15"/>
                <w:szCs w:val="15"/>
              </w:rPr>
              <w:t xml:space="preserve"> </w:t>
            </w:r>
            <w:r>
              <w:rPr>
                <w:rFonts w:ascii="Arial" w:hAnsi="Arial" w:eastAsia="Arial" w:cs="Arial"/>
                <w:spacing w:val="-11"/>
                <w:sz w:val="15"/>
                <w:szCs w:val="15"/>
              </w:rPr>
              <w:t>[90%</w:t>
            </w:r>
            <w:r>
              <w:rPr>
                <w:rFonts w:ascii="Arial" w:hAnsi="Arial" w:eastAsia="Arial" w:cs="Arial"/>
                <w:spacing w:val="12"/>
                <w:sz w:val="15"/>
                <w:szCs w:val="15"/>
              </w:rPr>
              <w:t xml:space="preserve"> </w:t>
            </w:r>
            <w:r>
              <w:rPr>
                <w:rFonts w:ascii="Arial" w:hAnsi="Arial" w:eastAsia="Arial" w:cs="Arial"/>
                <w:spacing w:val="-11"/>
                <w:sz w:val="15"/>
                <w:szCs w:val="15"/>
              </w:rPr>
              <w:t>CI:</w:t>
            </w:r>
            <w:r>
              <w:rPr>
                <w:rFonts w:ascii="Arial" w:hAnsi="Arial" w:eastAsia="Arial" w:cs="Arial"/>
                <w:spacing w:val="13"/>
                <w:w w:val="101"/>
                <w:sz w:val="15"/>
                <w:szCs w:val="15"/>
              </w:rPr>
              <w:t xml:space="preserve"> </w:t>
            </w:r>
            <w:r>
              <w:rPr>
                <w:rFonts w:ascii="Arial" w:hAnsi="Arial" w:eastAsia="Arial" w:cs="Arial"/>
                <w:spacing w:val="-11"/>
                <w:sz w:val="15"/>
                <w:szCs w:val="15"/>
              </w:rPr>
              <w:t>.041</w:t>
            </w:r>
            <w:r>
              <w:rPr>
                <w:rFonts w:ascii="Arial" w:hAnsi="Arial" w:eastAsia="Arial" w:cs="Arial"/>
                <w:spacing w:val="11"/>
                <w:sz w:val="15"/>
                <w:szCs w:val="15"/>
              </w:rPr>
              <w:t xml:space="preserve"> </w:t>
            </w:r>
            <w:r>
              <w:rPr>
                <w:rFonts w:ascii="Arial" w:hAnsi="Arial" w:eastAsia="Arial" w:cs="Arial"/>
                <w:spacing w:val="-11"/>
                <w:sz w:val="15"/>
                <w:szCs w:val="15"/>
              </w:rPr>
              <w:t>–</w:t>
            </w:r>
            <w:r>
              <w:rPr>
                <w:rFonts w:ascii="Arial" w:hAnsi="Arial" w:eastAsia="Arial" w:cs="Arial"/>
                <w:spacing w:val="14"/>
                <w:w w:val="102"/>
                <w:sz w:val="15"/>
                <w:szCs w:val="15"/>
              </w:rPr>
              <w:t xml:space="preserve"> </w:t>
            </w:r>
            <w:r>
              <w:rPr>
                <w:rFonts w:ascii="Arial" w:hAnsi="Arial" w:eastAsia="Arial" w:cs="Arial"/>
                <w:spacing w:val="-11"/>
                <w:sz w:val="15"/>
                <w:szCs w:val="15"/>
              </w:rPr>
              <w:t>.050]</w:t>
            </w:r>
          </w:p>
        </w:tc>
        <w:tc>
          <w:tcPr>
            <w:tcW w:w="1723" w:type="dxa"/>
            <w:vAlign w:val="top"/>
          </w:tcPr>
          <w:p>
            <w:pPr>
              <w:spacing w:before="25" w:line="190" w:lineRule="auto"/>
              <w:ind w:left="1008"/>
              <w:rPr>
                <w:rFonts w:ascii="Arial" w:hAnsi="Arial" w:eastAsia="Arial" w:cs="Arial"/>
                <w:sz w:val="15"/>
                <w:szCs w:val="15"/>
              </w:rPr>
            </w:pPr>
            <w:r>
              <w:rPr>
                <w:rFonts w:ascii="Arial" w:hAnsi="Arial" w:eastAsia="Arial" w:cs="Arial"/>
                <w:spacing w:val="-6"/>
                <w:sz w:val="15"/>
                <w:szCs w:val="15"/>
              </w:rPr>
              <w:t>&lt;.06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0" w:hRule="atLeast"/>
        </w:trPr>
        <w:tc>
          <w:tcPr>
            <w:tcW w:w="1166" w:type="dxa"/>
            <w:vAlign w:val="top"/>
          </w:tcPr>
          <w:p>
            <w:pPr>
              <w:spacing w:before="30" w:line="180" w:lineRule="auto"/>
              <w:ind w:left="5"/>
              <w:rPr>
                <w:rFonts w:ascii="Arial" w:hAnsi="Arial" w:eastAsia="Arial" w:cs="Arial"/>
                <w:sz w:val="15"/>
                <w:szCs w:val="15"/>
              </w:rPr>
            </w:pPr>
            <w:r>
              <w:rPr>
                <w:rFonts w:ascii="Arial" w:hAnsi="Arial" w:eastAsia="Arial" w:cs="Arial"/>
                <w:spacing w:val="-17"/>
                <w:sz w:val="15"/>
                <w:szCs w:val="15"/>
              </w:rPr>
              <w:t>GFI</w:t>
            </w:r>
          </w:p>
        </w:tc>
        <w:tc>
          <w:tcPr>
            <w:tcW w:w="3055" w:type="dxa"/>
            <w:vAlign w:val="top"/>
          </w:tcPr>
          <w:p>
            <w:pPr>
              <w:spacing w:before="34" w:line="175" w:lineRule="auto"/>
              <w:ind w:left="1443"/>
              <w:rPr>
                <w:rFonts w:ascii="Arial" w:hAnsi="Arial" w:eastAsia="Arial" w:cs="Arial"/>
                <w:sz w:val="15"/>
                <w:szCs w:val="15"/>
              </w:rPr>
            </w:pPr>
            <w:r>
              <w:rPr>
                <w:rFonts w:ascii="Arial" w:hAnsi="Arial" w:eastAsia="Arial" w:cs="Arial"/>
                <w:spacing w:val="-9"/>
                <w:sz w:val="15"/>
                <w:szCs w:val="15"/>
              </w:rPr>
              <w:t>.924</w:t>
            </w:r>
          </w:p>
        </w:tc>
        <w:tc>
          <w:tcPr>
            <w:tcW w:w="1723" w:type="dxa"/>
            <w:vAlign w:val="top"/>
          </w:tcPr>
          <w:p>
            <w:pPr>
              <w:spacing w:before="34" w:line="175" w:lineRule="auto"/>
              <w:ind w:left="1008"/>
              <w:rPr>
                <w:rFonts w:ascii="Arial" w:hAnsi="Arial" w:eastAsia="Arial" w:cs="Arial"/>
                <w:sz w:val="15"/>
                <w:szCs w:val="15"/>
              </w:rPr>
            </w:pPr>
            <w:r>
              <w:rPr>
                <w:rFonts w:ascii="Arial" w:hAnsi="Arial" w:eastAsia="Arial" w:cs="Arial"/>
                <w:spacing w:val="-6"/>
                <w:sz w:val="15"/>
                <w:szCs w:val="15"/>
              </w:rPr>
              <w:t>&gt;.90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8" w:hRule="atLeast"/>
        </w:trPr>
        <w:tc>
          <w:tcPr>
            <w:tcW w:w="1166" w:type="dxa"/>
            <w:vAlign w:val="top"/>
          </w:tcPr>
          <w:p>
            <w:pPr>
              <w:spacing w:before="40" w:line="178" w:lineRule="auto"/>
              <w:ind w:left="3"/>
              <w:rPr>
                <w:rFonts w:ascii="Arial" w:hAnsi="Arial" w:eastAsia="Arial" w:cs="Arial"/>
                <w:sz w:val="15"/>
                <w:szCs w:val="15"/>
              </w:rPr>
            </w:pPr>
            <w:r>
              <w:rPr>
                <w:rFonts w:ascii="Arial" w:hAnsi="Arial" w:eastAsia="Arial" w:cs="Arial"/>
                <w:spacing w:val="-16"/>
                <w:sz w:val="15"/>
                <w:szCs w:val="15"/>
              </w:rPr>
              <w:t>AGFI</w:t>
            </w:r>
          </w:p>
        </w:tc>
        <w:tc>
          <w:tcPr>
            <w:tcW w:w="3055" w:type="dxa"/>
            <w:vAlign w:val="top"/>
          </w:tcPr>
          <w:p>
            <w:pPr>
              <w:spacing w:before="42" w:line="174" w:lineRule="auto"/>
              <w:ind w:left="1443"/>
              <w:rPr>
                <w:rFonts w:ascii="Arial" w:hAnsi="Arial" w:eastAsia="Arial" w:cs="Arial"/>
                <w:sz w:val="15"/>
                <w:szCs w:val="15"/>
              </w:rPr>
            </w:pPr>
            <w:r>
              <w:rPr>
                <w:rFonts w:ascii="Arial" w:hAnsi="Arial" w:eastAsia="Arial" w:cs="Arial"/>
                <w:spacing w:val="-9"/>
                <w:sz w:val="15"/>
                <w:szCs w:val="15"/>
              </w:rPr>
              <w:t>.902</w:t>
            </w:r>
          </w:p>
        </w:tc>
        <w:tc>
          <w:tcPr>
            <w:tcW w:w="1723" w:type="dxa"/>
            <w:vAlign w:val="top"/>
          </w:tcPr>
          <w:p>
            <w:pPr>
              <w:spacing w:before="42" w:line="174" w:lineRule="auto"/>
              <w:ind w:left="1008"/>
              <w:rPr>
                <w:rFonts w:ascii="Arial" w:hAnsi="Arial" w:eastAsia="Arial" w:cs="Arial"/>
                <w:sz w:val="15"/>
                <w:szCs w:val="15"/>
              </w:rPr>
            </w:pPr>
            <w:r>
              <w:rPr>
                <w:rFonts w:ascii="Arial" w:hAnsi="Arial" w:eastAsia="Arial" w:cs="Arial"/>
                <w:spacing w:val="-6"/>
                <w:sz w:val="15"/>
                <w:szCs w:val="15"/>
              </w:rPr>
              <w:t>&gt;.90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9" w:hRule="atLeast"/>
        </w:trPr>
        <w:tc>
          <w:tcPr>
            <w:tcW w:w="1166" w:type="dxa"/>
            <w:vAlign w:val="top"/>
          </w:tcPr>
          <w:p>
            <w:pPr>
              <w:spacing w:before="41" w:line="177" w:lineRule="auto"/>
              <w:ind w:left="5"/>
              <w:rPr>
                <w:rFonts w:ascii="Arial" w:hAnsi="Arial" w:eastAsia="Arial" w:cs="Arial"/>
                <w:sz w:val="15"/>
                <w:szCs w:val="15"/>
              </w:rPr>
            </w:pPr>
            <w:r>
              <w:rPr>
                <w:rFonts w:ascii="Arial" w:hAnsi="Arial" w:eastAsia="Arial" w:cs="Arial"/>
                <w:spacing w:val="-19"/>
                <w:sz w:val="15"/>
                <w:szCs w:val="15"/>
              </w:rPr>
              <w:t>CFI</w:t>
            </w:r>
          </w:p>
        </w:tc>
        <w:tc>
          <w:tcPr>
            <w:tcW w:w="3055" w:type="dxa"/>
            <w:vAlign w:val="top"/>
          </w:tcPr>
          <w:p>
            <w:pPr>
              <w:spacing w:before="45" w:line="172" w:lineRule="auto"/>
              <w:ind w:left="1443"/>
              <w:rPr>
                <w:rFonts w:ascii="Arial" w:hAnsi="Arial" w:eastAsia="Arial" w:cs="Arial"/>
                <w:sz w:val="15"/>
                <w:szCs w:val="15"/>
              </w:rPr>
            </w:pPr>
            <w:r>
              <w:rPr>
                <w:rFonts w:ascii="Arial" w:hAnsi="Arial" w:eastAsia="Arial" w:cs="Arial"/>
                <w:spacing w:val="-9"/>
                <w:sz w:val="15"/>
                <w:szCs w:val="15"/>
              </w:rPr>
              <w:t>.971</w:t>
            </w:r>
          </w:p>
        </w:tc>
        <w:tc>
          <w:tcPr>
            <w:tcW w:w="1723" w:type="dxa"/>
            <w:vAlign w:val="top"/>
          </w:tcPr>
          <w:p>
            <w:pPr>
              <w:spacing w:before="45" w:line="172" w:lineRule="auto"/>
              <w:ind w:left="1008"/>
              <w:rPr>
                <w:rFonts w:ascii="Arial" w:hAnsi="Arial" w:eastAsia="Arial" w:cs="Arial"/>
                <w:sz w:val="15"/>
                <w:szCs w:val="15"/>
              </w:rPr>
            </w:pPr>
            <w:r>
              <w:rPr>
                <w:rFonts w:ascii="Arial" w:hAnsi="Arial" w:eastAsia="Arial" w:cs="Arial"/>
                <w:spacing w:val="-6"/>
                <w:sz w:val="15"/>
                <w:szCs w:val="15"/>
              </w:rPr>
              <w:t>&gt;.95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9" w:hRule="atLeast"/>
        </w:trPr>
        <w:tc>
          <w:tcPr>
            <w:tcW w:w="1166" w:type="dxa"/>
            <w:vAlign w:val="top"/>
          </w:tcPr>
          <w:p>
            <w:pPr>
              <w:spacing w:before="43" w:line="175" w:lineRule="auto"/>
              <w:ind w:left="11"/>
              <w:rPr>
                <w:rFonts w:ascii="Arial" w:hAnsi="Arial" w:eastAsia="Arial" w:cs="Arial"/>
                <w:sz w:val="15"/>
                <w:szCs w:val="15"/>
              </w:rPr>
            </w:pPr>
            <w:r>
              <w:rPr>
                <w:rFonts w:ascii="Arial" w:hAnsi="Arial" w:eastAsia="Arial" w:cs="Arial"/>
                <w:spacing w:val="-20"/>
                <w:w w:val="99"/>
                <w:sz w:val="15"/>
                <w:szCs w:val="15"/>
              </w:rPr>
              <w:t>PCFI</w:t>
            </w:r>
          </w:p>
        </w:tc>
        <w:tc>
          <w:tcPr>
            <w:tcW w:w="3055" w:type="dxa"/>
            <w:vAlign w:val="top"/>
          </w:tcPr>
          <w:p>
            <w:pPr>
              <w:spacing w:before="46" w:line="170" w:lineRule="auto"/>
              <w:ind w:left="1443"/>
              <w:rPr>
                <w:rFonts w:ascii="Arial" w:hAnsi="Arial" w:eastAsia="Arial" w:cs="Arial"/>
                <w:sz w:val="15"/>
                <w:szCs w:val="15"/>
              </w:rPr>
            </w:pPr>
            <w:r>
              <w:rPr>
                <w:rFonts w:ascii="Arial" w:hAnsi="Arial" w:eastAsia="Arial" w:cs="Arial"/>
                <w:spacing w:val="-9"/>
                <w:sz w:val="15"/>
                <w:szCs w:val="15"/>
              </w:rPr>
              <w:t>.805</w:t>
            </w:r>
          </w:p>
        </w:tc>
        <w:tc>
          <w:tcPr>
            <w:tcW w:w="1723" w:type="dxa"/>
            <w:vAlign w:val="top"/>
          </w:tcPr>
          <w:p>
            <w:pPr>
              <w:spacing w:before="46" w:line="170" w:lineRule="auto"/>
              <w:ind w:left="1008"/>
              <w:rPr>
                <w:rFonts w:ascii="Arial" w:hAnsi="Arial" w:eastAsia="Arial" w:cs="Arial"/>
                <w:sz w:val="15"/>
                <w:szCs w:val="15"/>
              </w:rPr>
            </w:pPr>
            <w:r>
              <w:rPr>
                <w:rFonts w:ascii="Arial" w:hAnsi="Arial" w:eastAsia="Arial" w:cs="Arial"/>
                <w:spacing w:val="-6"/>
                <w:sz w:val="15"/>
                <w:szCs w:val="15"/>
              </w:rPr>
              <w:t>&gt;.50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2" w:hRule="atLeast"/>
        </w:trPr>
        <w:tc>
          <w:tcPr>
            <w:tcW w:w="1166" w:type="dxa"/>
            <w:tcBorders>
              <w:bottom w:val="single" w:color="282781" w:sz="4" w:space="0"/>
            </w:tcBorders>
            <w:vAlign w:val="top"/>
          </w:tcPr>
          <w:p>
            <w:pPr>
              <w:spacing w:before="44" w:line="196" w:lineRule="auto"/>
              <w:ind w:left="5"/>
              <w:rPr>
                <w:rFonts w:ascii="Arial" w:hAnsi="Arial" w:eastAsia="Arial" w:cs="Arial"/>
                <w:sz w:val="15"/>
                <w:szCs w:val="15"/>
              </w:rPr>
            </w:pPr>
            <w:r>
              <w:rPr>
                <w:rFonts w:ascii="Arial" w:hAnsi="Arial" w:eastAsia="Arial" w:cs="Arial"/>
                <w:spacing w:val="-15"/>
                <w:w w:val="95"/>
                <w:sz w:val="15"/>
                <w:szCs w:val="15"/>
              </w:rPr>
              <w:t>SRMR</w:t>
            </w:r>
          </w:p>
        </w:tc>
        <w:tc>
          <w:tcPr>
            <w:tcW w:w="3055" w:type="dxa"/>
            <w:tcBorders>
              <w:bottom w:val="single" w:color="282781" w:sz="4" w:space="0"/>
            </w:tcBorders>
            <w:vAlign w:val="top"/>
          </w:tcPr>
          <w:p>
            <w:pPr>
              <w:spacing w:before="47" w:line="191" w:lineRule="auto"/>
              <w:ind w:left="1443"/>
              <w:rPr>
                <w:rFonts w:ascii="Arial" w:hAnsi="Arial" w:eastAsia="Arial" w:cs="Arial"/>
                <w:sz w:val="15"/>
                <w:szCs w:val="15"/>
              </w:rPr>
            </w:pPr>
            <w:r>
              <w:rPr>
                <w:rFonts w:ascii="Arial" w:hAnsi="Arial" w:eastAsia="Arial" w:cs="Arial"/>
                <w:spacing w:val="-9"/>
                <w:sz w:val="15"/>
                <w:szCs w:val="15"/>
              </w:rPr>
              <w:t>.035</w:t>
            </w:r>
          </w:p>
        </w:tc>
        <w:tc>
          <w:tcPr>
            <w:tcW w:w="1723" w:type="dxa"/>
            <w:tcBorders>
              <w:bottom w:val="single" w:color="282781" w:sz="4" w:space="0"/>
            </w:tcBorders>
            <w:vAlign w:val="top"/>
          </w:tcPr>
          <w:p>
            <w:pPr>
              <w:spacing w:before="47" w:line="191" w:lineRule="auto"/>
              <w:ind w:left="1008"/>
              <w:rPr>
                <w:rFonts w:ascii="Arial" w:hAnsi="Arial" w:eastAsia="Arial" w:cs="Arial"/>
                <w:sz w:val="15"/>
                <w:szCs w:val="15"/>
              </w:rPr>
            </w:pPr>
            <w:r>
              <w:rPr>
                <w:rFonts w:ascii="Arial" w:hAnsi="Arial" w:eastAsia="Arial" w:cs="Arial"/>
                <w:spacing w:val="-6"/>
                <w:sz w:val="15"/>
                <w:szCs w:val="15"/>
              </w:rPr>
              <w:t>&lt;.05</w:t>
            </w:r>
          </w:p>
        </w:tc>
      </w:tr>
    </w:tbl>
    <w:p>
      <w:pPr>
        <w:spacing w:before="30" w:line="251" w:lineRule="auto"/>
        <w:ind w:left="1122" w:right="1004" w:hanging="111"/>
        <w:rPr>
          <w:rFonts w:ascii="Arial" w:hAnsi="Arial" w:eastAsia="Arial" w:cs="Arial"/>
          <w:sz w:val="15"/>
          <w:szCs w:val="15"/>
        </w:rPr>
      </w:pPr>
      <w:r>
        <w:rPr>
          <w:rFonts w:ascii="Arial" w:hAnsi="Arial" w:eastAsia="Arial" w:cs="Arial"/>
          <w:spacing w:val="-7"/>
          <w:sz w:val="15"/>
          <w:szCs w:val="15"/>
        </w:rPr>
        <w:t>Note:</w:t>
      </w:r>
      <w:r>
        <w:rPr>
          <w:rFonts w:ascii="Arial" w:hAnsi="Arial" w:eastAsia="Arial" w:cs="Arial"/>
          <w:spacing w:val="9"/>
          <w:sz w:val="15"/>
          <w:szCs w:val="15"/>
        </w:rPr>
        <w:t xml:space="preserve"> </w:t>
      </w:r>
      <w:r>
        <w:rPr>
          <w:rFonts w:ascii="Arial" w:hAnsi="Arial" w:eastAsia="Arial" w:cs="Arial"/>
          <w:spacing w:val="-7"/>
          <w:sz w:val="15"/>
          <w:szCs w:val="15"/>
        </w:rPr>
        <w:t>Values</w:t>
      </w:r>
      <w:r>
        <w:rPr>
          <w:rFonts w:ascii="Arial" w:hAnsi="Arial" w:eastAsia="Arial" w:cs="Arial"/>
          <w:spacing w:val="20"/>
          <w:w w:val="102"/>
          <w:sz w:val="15"/>
          <w:szCs w:val="15"/>
        </w:rPr>
        <w:t xml:space="preserve"> </w:t>
      </w:r>
      <w:r>
        <w:rPr>
          <w:rFonts w:ascii="Arial" w:hAnsi="Arial" w:eastAsia="Arial" w:cs="Arial"/>
          <w:spacing w:val="-7"/>
          <w:sz w:val="15"/>
          <w:szCs w:val="15"/>
        </w:rPr>
        <w:t>recommended</w:t>
      </w:r>
      <w:r>
        <w:rPr>
          <w:rFonts w:ascii="Arial" w:hAnsi="Arial" w:eastAsia="Arial" w:cs="Arial"/>
          <w:spacing w:val="19"/>
          <w:w w:val="102"/>
          <w:sz w:val="15"/>
          <w:szCs w:val="15"/>
        </w:rPr>
        <w:t xml:space="preserve"> </w:t>
      </w:r>
      <w:r>
        <w:rPr>
          <w:rFonts w:ascii="Arial" w:hAnsi="Arial" w:eastAsia="Arial" w:cs="Arial"/>
          <w:spacing w:val="-7"/>
          <w:sz w:val="15"/>
          <w:szCs w:val="15"/>
        </w:rPr>
        <w:t>by</w:t>
      </w:r>
      <w:r>
        <w:rPr>
          <w:rFonts w:ascii="Arial" w:hAnsi="Arial" w:eastAsia="Arial" w:cs="Arial"/>
          <w:spacing w:val="20"/>
          <w:w w:val="101"/>
          <w:sz w:val="15"/>
          <w:szCs w:val="15"/>
        </w:rPr>
        <w:t xml:space="preserve"> </w:t>
      </w:r>
      <w:r>
        <w:rPr>
          <w:rFonts w:ascii="Arial" w:hAnsi="Arial" w:eastAsia="Arial" w:cs="Arial"/>
          <w:spacing w:val="-7"/>
          <w:sz w:val="15"/>
          <w:szCs w:val="15"/>
        </w:rPr>
        <w:t>Hooper,</w:t>
      </w:r>
      <w:r>
        <w:rPr>
          <w:rFonts w:ascii="Arial" w:hAnsi="Arial" w:eastAsia="Arial" w:cs="Arial"/>
          <w:spacing w:val="15"/>
          <w:w w:val="101"/>
          <w:sz w:val="15"/>
          <w:szCs w:val="15"/>
        </w:rPr>
        <w:t xml:space="preserve"> </w:t>
      </w:r>
      <w:r>
        <w:rPr>
          <w:rFonts w:ascii="Arial" w:hAnsi="Arial" w:eastAsia="Arial" w:cs="Arial"/>
          <w:spacing w:val="-7"/>
          <w:sz w:val="15"/>
          <w:szCs w:val="15"/>
        </w:rPr>
        <w:t>Coughlan,</w:t>
      </w:r>
      <w:r>
        <w:rPr>
          <w:rFonts w:ascii="Arial" w:hAnsi="Arial" w:eastAsia="Arial" w:cs="Arial"/>
          <w:spacing w:val="13"/>
          <w:w w:val="101"/>
          <w:sz w:val="15"/>
          <w:szCs w:val="15"/>
        </w:rPr>
        <w:t xml:space="preserve"> </w:t>
      </w:r>
      <w:r>
        <w:rPr>
          <w:rFonts w:ascii="Arial" w:hAnsi="Arial" w:eastAsia="Arial" w:cs="Arial"/>
          <w:spacing w:val="-7"/>
          <w:sz w:val="15"/>
          <w:szCs w:val="15"/>
        </w:rPr>
        <w:t>and</w:t>
      </w:r>
      <w:r>
        <w:rPr>
          <w:rFonts w:ascii="Arial" w:hAnsi="Arial" w:eastAsia="Arial" w:cs="Arial"/>
          <w:spacing w:val="19"/>
          <w:sz w:val="15"/>
          <w:szCs w:val="15"/>
        </w:rPr>
        <w:t xml:space="preserve"> </w:t>
      </w:r>
      <w:r>
        <w:rPr>
          <w:rFonts w:ascii="Arial" w:hAnsi="Arial" w:eastAsia="Arial" w:cs="Arial"/>
          <w:spacing w:val="-7"/>
          <w:sz w:val="15"/>
          <w:szCs w:val="15"/>
        </w:rPr>
        <w:t>Mullen</w:t>
      </w:r>
      <w:r>
        <w:rPr>
          <w:rFonts w:ascii="Arial" w:hAnsi="Arial" w:eastAsia="Arial" w:cs="Arial"/>
          <w:spacing w:val="19"/>
          <w:sz w:val="15"/>
          <w:szCs w:val="15"/>
        </w:rPr>
        <w:t xml:space="preserve"> </w:t>
      </w:r>
      <w:r>
        <w:rPr>
          <w:rFonts w:ascii="Arial" w:hAnsi="Arial" w:eastAsia="Arial" w:cs="Arial"/>
          <w:spacing w:val="-7"/>
          <w:sz w:val="15"/>
          <w:szCs w:val="15"/>
        </w:rPr>
        <w:t>(</w:t>
      </w:r>
      <w:r>
        <w:fldChar w:fldCharType="begin"/>
      </w:r>
      <w:r>
        <w:instrText xml:space="preserve"> HYPERLINK \l "bookmark89" </w:instrText>
      </w:r>
      <w:r>
        <w:fldChar w:fldCharType="separate"/>
      </w:r>
      <w:r>
        <w:rPr>
          <w:rFonts w:ascii="Arial" w:hAnsi="Arial" w:eastAsia="Arial" w:cs="Arial"/>
          <w:color w:val="000084"/>
          <w:spacing w:val="-7"/>
          <w:sz w:val="15"/>
          <w:szCs w:val="15"/>
        </w:rPr>
        <w:t>2008</w:t>
      </w:r>
      <w:r>
        <w:rPr>
          <w:rFonts w:ascii="Arial" w:hAnsi="Arial" w:eastAsia="Arial" w:cs="Arial"/>
          <w:color w:val="000084"/>
          <w:spacing w:val="-7"/>
          <w:sz w:val="15"/>
          <w:szCs w:val="15"/>
        </w:rPr>
        <w:fldChar w:fldCharType="end"/>
      </w:r>
      <w:r>
        <w:rPr>
          <w:rFonts w:ascii="Arial" w:hAnsi="Arial" w:eastAsia="Arial" w:cs="Arial"/>
          <w:spacing w:val="-7"/>
          <w:sz w:val="15"/>
          <w:szCs w:val="15"/>
        </w:rPr>
        <w:t>);</w:t>
      </w:r>
      <w:r>
        <w:rPr>
          <w:rFonts w:ascii="Arial" w:hAnsi="Arial" w:eastAsia="Arial" w:cs="Arial"/>
          <w:spacing w:val="16"/>
          <w:w w:val="101"/>
          <w:sz w:val="15"/>
          <w:szCs w:val="15"/>
        </w:rPr>
        <w:t xml:space="preserve"> </w:t>
      </w:r>
      <w:r>
        <w:rPr>
          <w:rFonts w:ascii="Arial" w:hAnsi="Arial" w:eastAsia="Arial" w:cs="Arial"/>
          <w:spacing w:val="-7"/>
          <w:sz w:val="15"/>
          <w:szCs w:val="15"/>
        </w:rPr>
        <w:t>df</w:t>
      </w:r>
      <w:r>
        <w:rPr>
          <w:rFonts w:ascii="Arial" w:hAnsi="Arial" w:eastAsia="Arial" w:cs="Arial"/>
          <w:spacing w:val="-12"/>
          <w:sz w:val="15"/>
          <w:szCs w:val="15"/>
        </w:rPr>
        <w:t xml:space="preserve"> </w:t>
      </w:r>
      <w:r>
        <w:rPr>
          <w:rFonts w:ascii="Arial" w:hAnsi="Arial" w:eastAsia="Arial" w:cs="Arial"/>
          <w:spacing w:val="-7"/>
          <w:sz w:val="15"/>
          <w:szCs w:val="15"/>
        </w:rPr>
        <w:t>= degrees</w:t>
      </w:r>
      <w:r>
        <w:rPr>
          <w:rFonts w:ascii="Arial" w:hAnsi="Arial" w:eastAsia="Arial" w:cs="Arial"/>
          <w:spacing w:val="15"/>
          <w:sz w:val="15"/>
          <w:szCs w:val="15"/>
        </w:rPr>
        <w:t xml:space="preserve"> </w:t>
      </w:r>
      <w:r>
        <w:rPr>
          <w:rFonts w:ascii="Arial" w:hAnsi="Arial" w:eastAsia="Arial" w:cs="Arial"/>
          <w:spacing w:val="-8"/>
          <w:sz w:val="15"/>
          <w:szCs w:val="15"/>
        </w:rPr>
        <w:t>of freedom;</w:t>
      </w:r>
      <w:r>
        <w:rPr>
          <w:rFonts w:ascii="Arial" w:hAnsi="Arial" w:eastAsia="Arial" w:cs="Arial"/>
          <w:sz w:val="15"/>
          <w:szCs w:val="15"/>
        </w:rPr>
        <w:t xml:space="preserve"> </w:t>
      </w:r>
      <w:r>
        <w:rPr>
          <w:rFonts w:ascii="Arial" w:hAnsi="Arial" w:eastAsia="Arial" w:cs="Arial"/>
          <w:spacing w:val="-7"/>
          <w:sz w:val="15"/>
          <w:szCs w:val="15"/>
        </w:rPr>
        <w:t>RMSEA = Root</w:t>
      </w:r>
      <w:r>
        <w:rPr>
          <w:rFonts w:ascii="Arial" w:hAnsi="Arial" w:eastAsia="Arial" w:cs="Arial"/>
          <w:spacing w:val="10"/>
          <w:w w:val="101"/>
          <w:sz w:val="15"/>
          <w:szCs w:val="15"/>
        </w:rPr>
        <w:t xml:space="preserve">  </w:t>
      </w:r>
      <w:r>
        <w:rPr>
          <w:rFonts w:ascii="Arial" w:hAnsi="Arial" w:eastAsia="Arial" w:cs="Arial"/>
          <w:spacing w:val="-7"/>
          <w:sz w:val="15"/>
          <w:szCs w:val="15"/>
        </w:rPr>
        <w:t>mean</w:t>
      </w:r>
      <w:r>
        <w:rPr>
          <w:rFonts w:ascii="Arial" w:hAnsi="Arial" w:eastAsia="Arial" w:cs="Arial"/>
          <w:spacing w:val="8"/>
          <w:sz w:val="15"/>
          <w:szCs w:val="15"/>
        </w:rPr>
        <w:t xml:space="preserve">  </w:t>
      </w:r>
      <w:r>
        <w:rPr>
          <w:rFonts w:ascii="Arial" w:hAnsi="Arial" w:eastAsia="Arial" w:cs="Arial"/>
          <w:spacing w:val="-7"/>
          <w:sz w:val="15"/>
          <w:szCs w:val="15"/>
        </w:rPr>
        <w:t>square</w:t>
      </w:r>
      <w:r>
        <w:rPr>
          <w:rFonts w:ascii="Arial" w:hAnsi="Arial" w:eastAsia="Arial" w:cs="Arial"/>
          <w:spacing w:val="8"/>
          <w:sz w:val="15"/>
          <w:szCs w:val="15"/>
        </w:rPr>
        <w:t xml:space="preserve">  </w:t>
      </w:r>
      <w:r>
        <w:rPr>
          <w:rFonts w:ascii="Arial" w:hAnsi="Arial" w:eastAsia="Arial" w:cs="Arial"/>
          <w:spacing w:val="-7"/>
          <w:sz w:val="15"/>
          <w:szCs w:val="15"/>
        </w:rPr>
        <w:t>error</w:t>
      </w:r>
      <w:r>
        <w:rPr>
          <w:rFonts w:ascii="Arial" w:hAnsi="Arial" w:eastAsia="Arial" w:cs="Arial"/>
          <w:spacing w:val="9"/>
          <w:sz w:val="15"/>
          <w:szCs w:val="15"/>
        </w:rPr>
        <w:t xml:space="preserve">  </w:t>
      </w:r>
      <w:r>
        <w:rPr>
          <w:rFonts w:ascii="Arial" w:hAnsi="Arial" w:eastAsia="Arial" w:cs="Arial"/>
          <w:spacing w:val="-7"/>
          <w:sz w:val="15"/>
          <w:szCs w:val="15"/>
        </w:rPr>
        <w:t xml:space="preserve">of  approximation;   GFI </w:t>
      </w:r>
      <w:r>
        <w:rPr>
          <w:rFonts w:ascii="Arial" w:hAnsi="Arial" w:eastAsia="Arial" w:cs="Arial"/>
          <w:spacing w:val="-8"/>
          <w:sz w:val="15"/>
          <w:szCs w:val="15"/>
        </w:rPr>
        <w:t>= Goodness-of-it   index;</w:t>
      </w:r>
      <w:r>
        <w:rPr>
          <w:rFonts w:ascii="Arial" w:hAnsi="Arial" w:eastAsia="Arial" w:cs="Arial"/>
          <w:spacing w:val="7"/>
          <w:sz w:val="15"/>
          <w:szCs w:val="15"/>
        </w:rPr>
        <w:t xml:space="preserve">  </w:t>
      </w:r>
      <w:r>
        <w:rPr>
          <w:rFonts w:ascii="Arial" w:hAnsi="Arial" w:eastAsia="Arial" w:cs="Arial"/>
          <w:spacing w:val="-8"/>
          <w:sz w:val="15"/>
          <w:szCs w:val="15"/>
        </w:rPr>
        <w:t>AGFI =</w:t>
      </w:r>
      <w:r>
        <w:rPr>
          <w:rFonts w:ascii="Arial" w:hAnsi="Arial" w:eastAsia="Arial" w:cs="Arial"/>
          <w:sz w:val="15"/>
          <w:szCs w:val="15"/>
        </w:rPr>
        <w:t xml:space="preserve">  </w:t>
      </w:r>
      <w:r>
        <w:rPr>
          <w:rFonts w:ascii="Arial" w:hAnsi="Arial" w:eastAsia="Arial" w:cs="Arial"/>
          <w:spacing w:val="-8"/>
          <w:sz w:val="15"/>
          <w:szCs w:val="15"/>
        </w:rPr>
        <w:t>Adjusted</w:t>
      </w:r>
      <w:r>
        <w:rPr>
          <w:rFonts w:ascii="Arial" w:hAnsi="Arial" w:eastAsia="Arial" w:cs="Arial"/>
          <w:spacing w:val="4"/>
          <w:sz w:val="15"/>
          <w:szCs w:val="15"/>
        </w:rPr>
        <w:t xml:space="preserve"> </w:t>
      </w:r>
      <w:r>
        <w:rPr>
          <w:rFonts w:ascii="Arial" w:hAnsi="Arial" w:eastAsia="Arial" w:cs="Arial"/>
          <w:spacing w:val="-8"/>
          <w:sz w:val="15"/>
          <w:szCs w:val="15"/>
        </w:rPr>
        <w:t>GFI;</w:t>
      </w:r>
      <w:r>
        <w:rPr>
          <w:rFonts w:ascii="Arial" w:hAnsi="Arial" w:eastAsia="Arial" w:cs="Arial"/>
          <w:spacing w:val="5"/>
          <w:sz w:val="15"/>
          <w:szCs w:val="15"/>
        </w:rPr>
        <w:t xml:space="preserve"> </w:t>
      </w:r>
      <w:r>
        <w:rPr>
          <w:rFonts w:ascii="Arial" w:hAnsi="Arial" w:eastAsia="Arial" w:cs="Arial"/>
          <w:spacing w:val="-8"/>
          <w:sz w:val="15"/>
          <w:szCs w:val="15"/>
        </w:rPr>
        <w:t>CFI = Comparative it</w:t>
      </w:r>
      <w:r>
        <w:rPr>
          <w:rFonts w:ascii="Arial" w:hAnsi="Arial" w:eastAsia="Arial" w:cs="Arial"/>
          <w:spacing w:val="9"/>
          <w:sz w:val="15"/>
          <w:szCs w:val="15"/>
        </w:rPr>
        <w:t xml:space="preserve"> </w:t>
      </w:r>
      <w:r>
        <w:rPr>
          <w:rFonts w:ascii="Arial" w:hAnsi="Arial" w:eastAsia="Arial" w:cs="Arial"/>
          <w:spacing w:val="-8"/>
          <w:sz w:val="15"/>
          <w:szCs w:val="15"/>
        </w:rPr>
        <w:t>index;</w:t>
      </w:r>
      <w:r>
        <w:rPr>
          <w:rFonts w:ascii="Arial" w:hAnsi="Arial" w:eastAsia="Arial" w:cs="Arial"/>
          <w:spacing w:val="10"/>
          <w:w w:val="101"/>
          <w:sz w:val="15"/>
          <w:szCs w:val="15"/>
        </w:rPr>
        <w:t xml:space="preserve"> </w:t>
      </w:r>
      <w:r>
        <w:rPr>
          <w:rFonts w:ascii="Arial" w:hAnsi="Arial" w:eastAsia="Arial" w:cs="Arial"/>
          <w:spacing w:val="-8"/>
          <w:sz w:val="15"/>
          <w:szCs w:val="15"/>
        </w:rPr>
        <w:t>PCFI = Par</w:t>
      </w:r>
      <w:r>
        <w:rPr>
          <w:rFonts w:ascii="Arial" w:hAnsi="Arial" w:eastAsia="Arial" w:cs="Arial"/>
          <w:spacing w:val="-9"/>
          <w:sz w:val="15"/>
          <w:szCs w:val="15"/>
        </w:rPr>
        <w:t>simony-adjusted CFI;</w:t>
      </w:r>
      <w:r>
        <w:rPr>
          <w:rFonts w:ascii="Arial" w:hAnsi="Arial" w:eastAsia="Arial" w:cs="Arial"/>
          <w:spacing w:val="5"/>
          <w:sz w:val="15"/>
          <w:szCs w:val="15"/>
        </w:rPr>
        <w:t xml:space="preserve"> </w:t>
      </w:r>
      <w:r>
        <w:rPr>
          <w:rFonts w:ascii="Arial" w:hAnsi="Arial" w:eastAsia="Arial" w:cs="Arial"/>
          <w:spacing w:val="-9"/>
          <w:sz w:val="15"/>
          <w:szCs w:val="15"/>
        </w:rPr>
        <w:t>SRMR = Standardized</w:t>
      </w:r>
      <w:r>
        <w:rPr>
          <w:rFonts w:ascii="Arial" w:hAnsi="Arial" w:eastAsia="Arial" w:cs="Arial"/>
          <w:sz w:val="15"/>
          <w:szCs w:val="15"/>
        </w:rPr>
        <w:t xml:space="preserve"> </w:t>
      </w:r>
      <w:r>
        <w:rPr>
          <w:rFonts w:ascii="Arial" w:hAnsi="Arial" w:eastAsia="Arial" w:cs="Arial"/>
          <w:spacing w:val="-7"/>
          <w:sz w:val="15"/>
          <w:szCs w:val="15"/>
        </w:rPr>
        <w:t>root</w:t>
      </w:r>
      <w:r>
        <w:rPr>
          <w:rFonts w:ascii="Arial" w:hAnsi="Arial" w:eastAsia="Arial" w:cs="Arial"/>
          <w:spacing w:val="15"/>
          <w:w w:val="102"/>
          <w:sz w:val="15"/>
          <w:szCs w:val="15"/>
        </w:rPr>
        <w:t xml:space="preserve"> </w:t>
      </w:r>
      <w:r>
        <w:rPr>
          <w:rFonts w:ascii="Arial" w:hAnsi="Arial" w:eastAsia="Arial" w:cs="Arial"/>
          <w:spacing w:val="-7"/>
          <w:sz w:val="15"/>
          <w:szCs w:val="15"/>
        </w:rPr>
        <w:t>mean</w:t>
      </w:r>
      <w:r>
        <w:rPr>
          <w:rFonts w:ascii="Arial" w:hAnsi="Arial" w:eastAsia="Arial" w:cs="Arial"/>
          <w:spacing w:val="11"/>
          <w:sz w:val="15"/>
          <w:szCs w:val="15"/>
        </w:rPr>
        <w:t xml:space="preserve"> </w:t>
      </w:r>
      <w:r>
        <w:rPr>
          <w:rFonts w:ascii="Arial" w:hAnsi="Arial" w:eastAsia="Arial" w:cs="Arial"/>
          <w:spacing w:val="-7"/>
          <w:sz w:val="15"/>
          <w:szCs w:val="15"/>
        </w:rPr>
        <w:t>square</w:t>
      </w:r>
      <w:r>
        <w:rPr>
          <w:rFonts w:ascii="Arial" w:hAnsi="Arial" w:eastAsia="Arial" w:cs="Arial"/>
          <w:spacing w:val="15"/>
          <w:w w:val="102"/>
          <w:sz w:val="15"/>
          <w:szCs w:val="15"/>
        </w:rPr>
        <w:t xml:space="preserve"> </w:t>
      </w:r>
      <w:r>
        <w:rPr>
          <w:rFonts w:ascii="Arial" w:hAnsi="Arial" w:eastAsia="Arial" w:cs="Arial"/>
          <w:spacing w:val="-7"/>
          <w:sz w:val="15"/>
          <w:szCs w:val="15"/>
        </w:rPr>
        <w:t>residual.</w:t>
      </w:r>
    </w:p>
    <w:p>
      <w:pPr>
        <w:spacing w:before="202" w:line="195" w:lineRule="auto"/>
        <w:ind w:left="16"/>
        <w:outlineLvl w:val="3"/>
        <w:rPr>
          <w:rFonts w:ascii="Arial" w:hAnsi="Arial" w:eastAsia="Arial" w:cs="Arial"/>
          <w:sz w:val="20"/>
          <w:szCs w:val="20"/>
        </w:rPr>
      </w:pPr>
      <w:r>
        <w:rPr>
          <w:rFonts w:ascii="Arial" w:hAnsi="Arial" w:eastAsia="Arial" w:cs="Arial"/>
          <w:color w:val="282781"/>
          <w:spacing w:val="2"/>
          <w:sz w:val="20"/>
          <w:szCs w:val="20"/>
        </w:rPr>
        <w:t>Validity and reliability</w:t>
      </w:r>
    </w:p>
    <w:p>
      <w:pPr>
        <w:spacing w:before="178" w:line="256" w:lineRule="auto"/>
        <w:ind w:left="3" w:right="6" w:hanging="3"/>
        <w:jc w:val="both"/>
        <w:rPr>
          <w:rFonts w:ascii="Arial" w:hAnsi="Arial" w:eastAsia="Arial" w:cs="Arial"/>
          <w:sz w:val="19"/>
          <w:szCs w:val="19"/>
        </w:rPr>
      </w:pPr>
      <w:r>
        <w:rPr>
          <w:rFonts w:ascii="Arial" w:hAnsi="Arial" w:eastAsia="Arial" w:cs="Arial"/>
          <w:spacing w:val="-6"/>
          <w:sz w:val="19"/>
          <w:szCs w:val="19"/>
        </w:rPr>
        <w:t>The</w:t>
      </w:r>
      <w:r>
        <w:rPr>
          <w:rFonts w:ascii="Arial" w:hAnsi="Arial" w:eastAsia="Arial" w:cs="Arial"/>
          <w:spacing w:val="25"/>
          <w:w w:val="101"/>
          <w:sz w:val="19"/>
          <w:szCs w:val="19"/>
        </w:rPr>
        <w:t xml:space="preserve"> </w:t>
      </w:r>
      <w:r>
        <w:rPr>
          <w:rFonts w:ascii="Arial" w:hAnsi="Arial" w:eastAsia="Arial" w:cs="Arial"/>
          <w:spacing w:val="-6"/>
          <w:sz w:val="19"/>
          <w:szCs w:val="19"/>
        </w:rPr>
        <w:t>composite</w:t>
      </w:r>
      <w:r>
        <w:rPr>
          <w:rFonts w:ascii="Arial" w:hAnsi="Arial" w:eastAsia="Arial" w:cs="Arial"/>
          <w:spacing w:val="21"/>
          <w:w w:val="101"/>
          <w:sz w:val="19"/>
          <w:szCs w:val="19"/>
        </w:rPr>
        <w:t xml:space="preserve"> </w:t>
      </w:r>
      <w:r>
        <w:rPr>
          <w:rFonts w:ascii="Arial" w:hAnsi="Arial" w:eastAsia="Arial" w:cs="Arial"/>
          <w:spacing w:val="-6"/>
          <w:sz w:val="19"/>
          <w:szCs w:val="19"/>
        </w:rPr>
        <w:t>reliability</w:t>
      </w:r>
      <w:r>
        <w:rPr>
          <w:rFonts w:ascii="Arial" w:hAnsi="Arial" w:eastAsia="Arial" w:cs="Arial"/>
          <w:spacing w:val="21"/>
          <w:sz w:val="19"/>
          <w:szCs w:val="19"/>
        </w:rPr>
        <w:t xml:space="preserve"> </w:t>
      </w:r>
      <w:r>
        <w:rPr>
          <w:rFonts w:ascii="Arial" w:hAnsi="Arial" w:eastAsia="Arial" w:cs="Arial"/>
          <w:spacing w:val="-6"/>
          <w:sz w:val="19"/>
          <w:szCs w:val="19"/>
        </w:rPr>
        <w:t>(CR)</w:t>
      </w:r>
      <w:r>
        <w:rPr>
          <w:rFonts w:ascii="Arial" w:hAnsi="Arial" w:eastAsia="Arial" w:cs="Arial"/>
          <w:spacing w:val="12"/>
          <w:sz w:val="19"/>
          <w:szCs w:val="19"/>
        </w:rPr>
        <w:t xml:space="preserve"> </w:t>
      </w:r>
      <w:r>
        <w:rPr>
          <w:rFonts w:ascii="Arial" w:hAnsi="Arial" w:eastAsia="Arial" w:cs="Arial"/>
          <w:spacing w:val="-6"/>
          <w:sz w:val="19"/>
          <w:szCs w:val="19"/>
        </w:rPr>
        <w:t>for</w:t>
      </w:r>
      <w:r>
        <w:rPr>
          <w:rFonts w:ascii="Arial" w:hAnsi="Arial" w:eastAsia="Arial" w:cs="Arial"/>
          <w:spacing w:val="16"/>
          <w:w w:val="101"/>
          <w:sz w:val="19"/>
          <w:szCs w:val="19"/>
        </w:rPr>
        <w:t xml:space="preserve"> </w:t>
      </w:r>
      <w:r>
        <w:rPr>
          <w:rFonts w:ascii="Arial" w:hAnsi="Arial" w:eastAsia="Arial" w:cs="Arial"/>
          <w:spacing w:val="-6"/>
          <w:sz w:val="19"/>
          <w:szCs w:val="19"/>
        </w:rPr>
        <w:t>each</w:t>
      </w:r>
      <w:r>
        <w:rPr>
          <w:rFonts w:ascii="Arial" w:hAnsi="Arial" w:eastAsia="Arial" w:cs="Arial"/>
          <w:spacing w:val="12"/>
          <w:sz w:val="19"/>
          <w:szCs w:val="19"/>
        </w:rPr>
        <w:t xml:space="preserve"> </w:t>
      </w:r>
      <w:r>
        <w:rPr>
          <w:rFonts w:ascii="Arial" w:hAnsi="Arial" w:eastAsia="Arial" w:cs="Arial"/>
          <w:spacing w:val="-6"/>
          <w:sz w:val="19"/>
          <w:szCs w:val="19"/>
        </w:rPr>
        <w:t>factor</w:t>
      </w:r>
      <w:r>
        <w:rPr>
          <w:rFonts w:ascii="Arial" w:hAnsi="Arial" w:eastAsia="Arial" w:cs="Arial"/>
          <w:spacing w:val="13"/>
          <w:w w:val="101"/>
          <w:sz w:val="19"/>
          <w:szCs w:val="19"/>
        </w:rPr>
        <w:t xml:space="preserve"> </w:t>
      </w:r>
      <w:r>
        <w:rPr>
          <w:rFonts w:ascii="Arial" w:hAnsi="Arial" w:eastAsia="Arial" w:cs="Arial"/>
          <w:spacing w:val="-6"/>
          <w:sz w:val="19"/>
          <w:szCs w:val="19"/>
        </w:rPr>
        <w:t>was</w:t>
      </w:r>
      <w:r>
        <w:rPr>
          <w:rFonts w:ascii="Arial" w:hAnsi="Arial" w:eastAsia="Arial" w:cs="Arial"/>
          <w:spacing w:val="21"/>
          <w:sz w:val="19"/>
          <w:szCs w:val="19"/>
        </w:rPr>
        <w:t xml:space="preserve"> </w:t>
      </w:r>
      <w:r>
        <w:rPr>
          <w:rFonts w:ascii="Arial" w:hAnsi="Arial" w:eastAsia="Arial" w:cs="Arial"/>
          <w:spacing w:val="-6"/>
          <w:sz w:val="19"/>
          <w:szCs w:val="19"/>
        </w:rPr>
        <w:t>&gt;.700</w:t>
      </w:r>
      <w:r>
        <w:rPr>
          <w:rFonts w:ascii="Arial" w:hAnsi="Arial" w:eastAsia="Arial" w:cs="Arial"/>
          <w:spacing w:val="22"/>
          <w:sz w:val="19"/>
          <w:szCs w:val="19"/>
        </w:rPr>
        <w:t xml:space="preserve"> </w:t>
      </w:r>
      <w:r>
        <w:rPr>
          <w:rFonts w:ascii="Arial" w:hAnsi="Arial" w:eastAsia="Arial" w:cs="Arial"/>
          <w:spacing w:val="-6"/>
          <w:sz w:val="19"/>
          <w:szCs w:val="19"/>
        </w:rPr>
        <w:t>indicating</w:t>
      </w:r>
      <w:r>
        <w:rPr>
          <w:rFonts w:ascii="Arial" w:hAnsi="Arial" w:eastAsia="Arial" w:cs="Arial"/>
          <w:spacing w:val="11"/>
          <w:sz w:val="19"/>
          <w:szCs w:val="19"/>
        </w:rPr>
        <w:t xml:space="preserve"> </w:t>
      </w:r>
      <w:r>
        <w:rPr>
          <w:rFonts w:ascii="Arial" w:hAnsi="Arial" w:eastAsia="Arial" w:cs="Arial"/>
          <w:spacing w:val="-6"/>
          <w:sz w:val="19"/>
          <w:szCs w:val="19"/>
        </w:rPr>
        <w:t>the</w:t>
      </w:r>
      <w:r>
        <w:rPr>
          <w:rFonts w:ascii="Arial" w:hAnsi="Arial" w:eastAsia="Arial" w:cs="Arial"/>
          <w:spacing w:val="16"/>
          <w:w w:val="101"/>
          <w:sz w:val="19"/>
          <w:szCs w:val="19"/>
        </w:rPr>
        <w:t xml:space="preserve"> </w:t>
      </w:r>
      <w:r>
        <w:rPr>
          <w:rFonts w:ascii="Arial" w:hAnsi="Arial" w:eastAsia="Arial" w:cs="Arial"/>
          <w:spacing w:val="-6"/>
          <w:sz w:val="19"/>
          <w:szCs w:val="19"/>
        </w:rPr>
        <w:t>extraction</w:t>
      </w:r>
      <w:r>
        <w:rPr>
          <w:rFonts w:ascii="Arial" w:hAnsi="Arial" w:eastAsia="Arial" w:cs="Arial"/>
          <w:spacing w:val="18"/>
          <w:sz w:val="19"/>
          <w:szCs w:val="19"/>
        </w:rPr>
        <w:t xml:space="preserve"> </w:t>
      </w:r>
      <w:r>
        <w:rPr>
          <w:rFonts w:ascii="Arial" w:hAnsi="Arial" w:eastAsia="Arial" w:cs="Arial"/>
          <w:spacing w:val="-6"/>
          <w:sz w:val="19"/>
          <w:szCs w:val="19"/>
        </w:rPr>
        <w:t>of</w:t>
      </w:r>
      <w:r>
        <w:rPr>
          <w:rFonts w:ascii="Arial" w:hAnsi="Arial" w:eastAsia="Arial" w:cs="Arial"/>
          <w:spacing w:val="14"/>
          <w:w w:val="101"/>
          <w:sz w:val="19"/>
          <w:szCs w:val="19"/>
        </w:rPr>
        <w:t xml:space="preserve"> </w:t>
      </w:r>
      <w:r>
        <w:rPr>
          <w:rFonts w:ascii="Arial" w:hAnsi="Arial" w:eastAsia="Arial" w:cs="Arial"/>
          <w:spacing w:val="-6"/>
          <w:sz w:val="19"/>
          <w:szCs w:val="19"/>
        </w:rPr>
        <w:t>reliable</w:t>
      </w:r>
      <w:r>
        <w:rPr>
          <w:rFonts w:ascii="Arial" w:hAnsi="Arial" w:eastAsia="Arial" w:cs="Arial"/>
          <w:spacing w:val="12"/>
          <w:sz w:val="19"/>
          <w:szCs w:val="19"/>
        </w:rPr>
        <w:t xml:space="preserve"> </w:t>
      </w:r>
      <w:r>
        <w:rPr>
          <w:rFonts w:ascii="Arial" w:hAnsi="Arial" w:eastAsia="Arial" w:cs="Arial"/>
          <w:spacing w:val="-6"/>
          <w:sz w:val="19"/>
          <w:szCs w:val="19"/>
        </w:rPr>
        <w:t>factors</w:t>
      </w:r>
      <w:r>
        <w:rPr>
          <w:rFonts w:ascii="Arial" w:hAnsi="Arial" w:eastAsia="Arial" w:cs="Arial"/>
          <w:sz w:val="19"/>
          <w:szCs w:val="19"/>
        </w:rPr>
        <w:t xml:space="preserve"> </w:t>
      </w:r>
      <w:r>
        <w:rPr>
          <w:rFonts w:ascii="Arial" w:hAnsi="Arial" w:eastAsia="Arial" w:cs="Arial"/>
          <w:spacing w:val="-6"/>
          <w:sz w:val="19"/>
          <w:szCs w:val="19"/>
        </w:rPr>
        <w:t>within the</w:t>
      </w:r>
      <w:r>
        <w:rPr>
          <w:rFonts w:ascii="Arial" w:hAnsi="Arial" w:eastAsia="Arial" w:cs="Arial"/>
          <w:spacing w:val="9"/>
          <w:sz w:val="19"/>
          <w:szCs w:val="19"/>
        </w:rPr>
        <w:t xml:space="preserve"> </w:t>
      </w:r>
      <w:r>
        <w:rPr>
          <w:rFonts w:ascii="Arial" w:hAnsi="Arial" w:eastAsia="Arial" w:cs="Arial"/>
          <w:spacing w:val="-6"/>
          <w:sz w:val="19"/>
          <w:szCs w:val="19"/>
        </w:rPr>
        <w:t>CFA. AVE</w:t>
      </w:r>
      <w:r>
        <w:rPr>
          <w:rFonts w:ascii="Arial" w:hAnsi="Arial" w:eastAsia="Arial" w:cs="Arial"/>
          <w:spacing w:val="14"/>
          <w:sz w:val="19"/>
          <w:szCs w:val="19"/>
        </w:rPr>
        <w:t xml:space="preserve"> </w:t>
      </w:r>
      <w:r>
        <w:rPr>
          <w:rFonts w:ascii="Arial" w:hAnsi="Arial" w:eastAsia="Arial" w:cs="Arial"/>
          <w:spacing w:val="-6"/>
          <w:sz w:val="19"/>
          <w:szCs w:val="19"/>
        </w:rPr>
        <w:t>(average variance</w:t>
      </w:r>
      <w:r>
        <w:rPr>
          <w:rFonts w:ascii="Arial" w:hAnsi="Arial" w:eastAsia="Arial" w:cs="Arial"/>
          <w:spacing w:val="11"/>
          <w:sz w:val="19"/>
          <w:szCs w:val="19"/>
        </w:rPr>
        <w:t xml:space="preserve"> </w:t>
      </w:r>
      <w:r>
        <w:rPr>
          <w:rFonts w:ascii="Arial" w:hAnsi="Arial" w:eastAsia="Arial" w:cs="Arial"/>
          <w:spacing w:val="-6"/>
          <w:sz w:val="19"/>
          <w:szCs w:val="19"/>
        </w:rPr>
        <w:t>extracted) values</w:t>
      </w:r>
      <w:r>
        <w:rPr>
          <w:rFonts w:ascii="Arial" w:hAnsi="Arial" w:eastAsia="Arial" w:cs="Arial"/>
          <w:spacing w:val="5"/>
          <w:sz w:val="19"/>
          <w:szCs w:val="19"/>
        </w:rPr>
        <w:t xml:space="preserve"> </w:t>
      </w:r>
      <w:r>
        <w:rPr>
          <w:rFonts w:ascii="Arial" w:hAnsi="Arial" w:eastAsia="Arial" w:cs="Arial"/>
          <w:spacing w:val="-6"/>
          <w:sz w:val="19"/>
          <w:szCs w:val="19"/>
        </w:rPr>
        <w:t>were</w:t>
      </w:r>
      <w:r>
        <w:rPr>
          <w:rFonts w:ascii="Arial" w:hAnsi="Arial" w:eastAsia="Arial" w:cs="Arial"/>
          <w:spacing w:val="9"/>
          <w:sz w:val="19"/>
          <w:szCs w:val="19"/>
        </w:rPr>
        <w:t xml:space="preserve"> </w:t>
      </w:r>
      <w:r>
        <w:rPr>
          <w:rFonts w:ascii="Arial" w:hAnsi="Arial" w:eastAsia="Arial" w:cs="Arial"/>
          <w:spacing w:val="-6"/>
          <w:sz w:val="19"/>
          <w:szCs w:val="19"/>
        </w:rPr>
        <w:t>calculated</w:t>
      </w:r>
      <w:r>
        <w:rPr>
          <w:rFonts w:ascii="Arial" w:hAnsi="Arial" w:eastAsia="Arial" w:cs="Arial"/>
          <w:spacing w:val="15"/>
          <w:sz w:val="19"/>
          <w:szCs w:val="19"/>
        </w:rPr>
        <w:t xml:space="preserve"> </w:t>
      </w:r>
      <w:r>
        <w:rPr>
          <w:rFonts w:ascii="Arial" w:hAnsi="Arial" w:eastAsia="Arial" w:cs="Arial"/>
          <w:spacing w:val="-6"/>
          <w:sz w:val="19"/>
          <w:szCs w:val="19"/>
        </w:rPr>
        <w:t>in</w:t>
      </w:r>
      <w:r>
        <w:rPr>
          <w:rFonts w:ascii="Arial" w:hAnsi="Arial" w:eastAsia="Arial" w:cs="Arial"/>
          <w:spacing w:val="9"/>
          <w:sz w:val="19"/>
          <w:szCs w:val="19"/>
        </w:rPr>
        <w:t xml:space="preserve"> </w:t>
      </w:r>
      <w:r>
        <w:rPr>
          <w:rFonts w:ascii="Arial" w:hAnsi="Arial" w:eastAsia="Arial" w:cs="Arial"/>
          <w:spacing w:val="-7"/>
          <w:sz w:val="19"/>
          <w:szCs w:val="19"/>
        </w:rPr>
        <w:t>order</w:t>
      </w:r>
      <w:r>
        <w:rPr>
          <w:rFonts w:ascii="Arial" w:hAnsi="Arial" w:eastAsia="Arial" w:cs="Arial"/>
          <w:spacing w:val="5"/>
          <w:sz w:val="19"/>
          <w:szCs w:val="19"/>
        </w:rPr>
        <w:t xml:space="preserve"> </w:t>
      </w:r>
      <w:r>
        <w:rPr>
          <w:rFonts w:ascii="Arial" w:hAnsi="Arial" w:eastAsia="Arial" w:cs="Arial"/>
          <w:spacing w:val="-7"/>
          <w:sz w:val="19"/>
          <w:szCs w:val="19"/>
        </w:rPr>
        <w:t>to</w:t>
      </w:r>
      <w:r>
        <w:rPr>
          <w:rFonts w:ascii="Arial" w:hAnsi="Arial" w:eastAsia="Arial" w:cs="Arial"/>
          <w:spacing w:val="7"/>
          <w:sz w:val="19"/>
          <w:szCs w:val="19"/>
        </w:rPr>
        <w:t xml:space="preserve"> </w:t>
      </w:r>
      <w:r>
        <w:rPr>
          <w:rFonts w:ascii="Arial" w:hAnsi="Arial" w:eastAsia="Arial" w:cs="Arial"/>
          <w:spacing w:val="-7"/>
          <w:sz w:val="19"/>
          <w:szCs w:val="19"/>
        </w:rPr>
        <w:t>test</w:t>
      </w:r>
      <w:r>
        <w:rPr>
          <w:rFonts w:ascii="Arial" w:hAnsi="Arial" w:eastAsia="Arial" w:cs="Arial"/>
          <w:spacing w:val="5"/>
          <w:sz w:val="19"/>
          <w:szCs w:val="19"/>
        </w:rPr>
        <w:t xml:space="preserve"> </w:t>
      </w:r>
      <w:r>
        <w:rPr>
          <w:rFonts w:ascii="Arial" w:hAnsi="Arial" w:eastAsia="Arial" w:cs="Arial"/>
          <w:spacing w:val="-7"/>
          <w:sz w:val="19"/>
          <w:szCs w:val="19"/>
        </w:rPr>
        <w:t>for</w:t>
      </w:r>
      <w:r>
        <w:rPr>
          <w:rFonts w:ascii="Arial" w:hAnsi="Arial" w:eastAsia="Arial" w:cs="Arial"/>
          <w:spacing w:val="10"/>
          <w:sz w:val="19"/>
          <w:szCs w:val="19"/>
        </w:rPr>
        <w:t xml:space="preserve"> </w:t>
      </w:r>
      <w:r>
        <w:rPr>
          <w:rFonts w:ascii="Arial" w:hAnsi="Arial" w:eastAsia="Arial" w:cs="Arial"/>
          <w:spacing w:val="-7"/>
          <w:sz w:val="19"/>
          <w:szCs w:val="19"/>
        </w:rPr>
        <w:t>conver-</w:t>
      </w:r>
      <w:r>
        <w:rPr>
          <w:rFonts w:ascii="Arial" w:hAnsi="Arial" w:eastAsia="Arial" w:cs="Arial"/>
          <w:sz w:val="19"/>
          <w:szCs w:val="19"/>
        </w:rPr>
        <w:t xml:space="preserve"> </w:t>
      </w:r>
      <w:r>
        <w:rPr>
          <w:rFonts w:ascii="Arial" w:hAnsi="Arial" w:eastAsia="Arial" w:cs="Arial"/>
          <w:spacing w:val="-7"/>
          <w:sz w:val="19"/>
          <w:szCs w:val="19"/>
        </w:rPr>
        <w:t>gent</w:t>
      </w:r>
      <w:r>
        <w:rPr>
          <w:rFonts w:ascii="Arial" w:hAnsi="Arial" w:eastAsia="Arial" w:cs="Arial"/>
          <w:spacing w:val="9"/>
          <w:sz w:val="19"/>
          <w:szCs w:val="19"/>
        </w:rPr>
        <w:t xml:space="preserve"> </w:t>
      </w:r>
      <w:r>
        <w:rPr>
          <w:rFonts w:ascii="Arial" w:hAnsi="Arial" w:eastAsia="Arial" w:cs="Arial"/>
          <w:spacing w:val="-7"/>
          <w:sz w:val="19"/>
          <w:szCs w:val="19"/>
        </w:rPr>
        <w:t>validity</w:t>
      </w:r>
      <w:r>
        <w:rPr>
          <w:rFonts w:ascii="Arial" w:hAnsi="Arial" w:eastAsia="Arial" w:cs="Arial"/>
          <w:spacing w:val="19"/>
          <w:sz w:val="19"/>
          <w:szCs w:val="19"/>
        </w:rPr>
        <w:t xml:space="preserve"> </w:t>
      </w:r>
      <w:r>
        <w:rPr>
          <w:rFonts w:ascii="Arial" w:hAnsi="Arial" w:eastAsia="Arial" w:cs="Arial"/>
          <w:spacing w:val="-7"/>
          <w:sz w:val="19"/>
          <w:szCs w:val="19"/>
        </w:rPr>
        <w:t>(Fornell</w:t>
      </w:r>
      <w:r>
        <w:rPr>
          <w:rFonts w:ascii="Arial" w:hAnsi="Arial" w:eastAsia="Arial" w:cs="Arial"/>
          <w:spacing w:val="14"/>
          <w:sz w:val="19"/>
          <w:szCs w:val="19"/>
        </w:rPr>
        <w:t xml:space="preserve"> </w:t>
      </w:r>
      <w:r>
        <w:rPr>
          <w:rFonts w:ascii="Arial" w:hAnsi="Arial" w:eastAsia="Arial" w:cs="Arial"/>
          <w:spacing w:val="-7"/>
          <w:sz w:val="19"/>
          <w:szCs w:val="19"/>
        </w:rPr>
        <w:t>and</w:t>
      </w:r>
      <w:r>
        <w:rPr>
          <w:rFonts w:ascii="Arial" w:hAnsi="Arial" w:eastAsia="Arial" w:cs="Arial"/>
          <w:spacing w:val="22"/>
          <w:sz w:val="19"/>
          <w:szCs w:val="19"/>
        </w:rPr>
        <w:t xml:space="preserve"> </w:t>
      </w:r>
      <w:r>
        <w:rPr>
          <w:rFonts w:ascii="Arial" w:hAnsi="Arial" w:eastAsia="Arial" w:cs="Arial"/>
          <w:spacing w:val="-7"/>
          <w:sz w:val="19"/>
          <w:szCs w:val="19"/>
        </w:rPr>
        <w:t xml:space="preserve">Larcker </w:t>
      </w:r>
      <w:r>
        <w:fldChar w:fldCharType="begin"/>
      </w:r>
      <w:r>
        <w:instrText xml:space="preserve"> HYPERLINK \l "bookmark90" </w:instrText>
      </w:r>
      <w:r>
        <w:fldChar w:fldCharType="separate"/>
      </w:r>
      <w:r>
        <w:rPr>
          <w:rFonts w:ascii="Arial" w:hAnsi="Arial" w:eastAsia="Arial" w:cs="Arial"/>
          <w:color w:val="000084"/>
          <w:spacing w:val="-7"/>
          <w:sz w:val="19"/>
          <w:szCs w:val="19"/>
        </w:rPr>
        <w:t>1981</w:t>
      </w:r>
      <w:r>
        <w:rPr>
          <w:rFonts w:ascii="Arial" w:hAnsi="Arial" w:eastAsia="Arial" w:cs="Arial"/>
          <w:color w:val="000084"/>
          <w:spacing w:val="-7"/>
          <w:sz w:val="19"/>
          <w:szCs w:val="19"/>
        </w:rPr>
        <w:fldChar w:fldCharType="end"/>
      </w:r>
      <w:r>
        <w:rPr>
          <w:rFonts w:ascii="Arial" w:hAnsi="Arial" w:eastAsia="Arial" w:cs="Arial"/>
          <w:spacing w:val="-7"/>
          <w:sz w:val="19"/>
          <w:szCs w:val="19"/>
        </w:rPr>
        <w:t>). The</w:t>
      </w:r>
      <w:r>
        <w:rPr>
          <w:rFonts w:ascii="Arial" w:hAnsi="Arial" w:eastAsia="Arial" w:cs="Arial"/>
          <w:spacing w:val="12"/>
          <w:sz w:val="19"/>
          <w:szCs w:val="19"/>
        </w:rPr>
        <w:t xml:space="preserve"> </w:t>
      </w:r>
      <w:r>
        <w:rPr>
          <w:rFonts w:ascii="Arial" w:hAnsi="Arial" w:eastAsia="Arial" w:cs="Arial"/>
          <w:spacing w:val="-7"/>
          <w:sz w:val="19"/>
          <w:szCs w:val="19"/>
        </w:rPr>
        <w:t>AVE</w:t>
      </w:r>
      <w:r>
        <w:rPr>
          <w:rFonts w:ascii="Arial" w:hAnsi="Arial" w:eastAsia="Arial" w:cs="Arial"/>
          <w:spacing w:val="10"/>
          <w:sz w:val="19"/>
          <w:szCs w:val="19"/>
        </w:rPr>
        <w:t xml:space="preserve"> </w:t>
      </w:r>
      <w:r>
        <w:rPr>
          <w:rFonts w:ascii="Arial" w:hAnsi="Arial" w:eastAsia="Arial" w:cs="Arial"/>
          <w:spacing w:val="-7"/>
          <w:sz w:val="19"/>
          <w:szCs w:val="19"/>
        </w:rPr>
        <w:t>was</w:t>
      </w:r>
      <w:r>
        <w:rPr>
          <w:rFonts w:ascii="Arial" w:hAnsi="Arial" w:eastAsia="Arial" w:cs="Arial"/>
          <w:spacing w:val="13"/>
          <w:sz w:val="19"/>
          <w:szCs w:val="19"/>
        </w:rPr>
        <w:t xml:space="preserve"> </w:t>
      </w:r>
      <w:r>
        <w:rPr>
          <w:rFonts w:ascii="Arial" w:hAnsi="Arial" w:eastAsia="Arial" w:cs="Arial"/>
          <w:spacing w:val="-7"/>
          <w:sz w:val="19"/>
          <w:szCs w:val="19"/>
        </w:rPr>
        <w:t>above</w:t>
      </w:r>
      <w:r>
        <w:rPr>
          <w:rFonts w:ascii="Arial" w:hAnsi="Arial" w:eastAsia="Arial" w:cs="Arial"/>
          <w:spacing w:val="16"/>
          <w:w w:val="101"/>
          <w:sz w:val="19"/>
          <w:szCs w:val="19"/>
        </w:rPr>
        <w:t xml:space="preserve"> </w:t>
      </w:r>
      <w:r>
        <w:rPr>
          <w:rFonts w:ascii="Arial" w:hAnsi="Arial" w:eastAsia="Arial" w:cs="Arial"/>
          <w:spacing w:val="-7"/>
          <w:sz w:val="19"/>
          <w:szCs w:val="19"/>
        </w:rPr>
        <w:t>.500</w:t>
      </w:r>
      <w:r>
        <w:rPr>
          <w:rFonts w:ascii="Arial" w:hAnsi="Arial" w:eastAsia="Arial" w:cs="Arial"/>
          <w:spacing w:val="9"/>
          <w:sz w:val="19"/>
          <w:szCs w:val="19"/>
        </w:rPr>
        <w:t xml:space="preserve"> </w:t>
      </w:r>
      <w:r>
        <w:rPr>
          <w:rFonts w:ascii="Arial" w:hAnsi="Arial" w:eastAsia="Arial" w:cs="Arial"/>
          <w:spacing w:val="-7"/>
          <w:sz w:val="19"/>
          <w:szCs w:val="19"/>
        </w:rPr>
        <w:t>fo</w:t>
      </w:r>
      <w:r>
        <w:rPr>
          <w:rFonts w:ascii="Arial" w:hAnsi="Arial" w:eastAsia="Arial" w:cs="Arial"/>
          <w:spacing w:val="-8"/>
          <w:sz w:val="19"/>
          <w:szCs w:val="19"/>
        </w:rPr>
        <w:t>r</w:t>
      </w:r>
      <w:r>
        <w:rPr>
          <w:rFonts w:ascii="Arial" w:hAnsi="Arial" w:eastAsia="Arial" w:cs="Arial"/>
          <w:spacing w:val="14"/>
          <w:sz w:val="19"/>
          <w:szCs w:val="19"/>
        </w:rPr>
        <w:t xml:space="preserve"> </w:t>
      </w:r>
      <w:r>
        <w:rPr>
          <w:rFonts w:ascii="Arial" w:hAnsi="Arial" w:eastAsia="Arial" w:cs="Arial"/>
          <w:spacing w:val="-8"/>
          <w:sz w:val="19"/>
          <w:szCs w:val="19"/>
        </w:rPr>
        <w:t>all</w:t>
      </w:r>
      <w:r>
        <w:rPr>
          <w:rFonts w:ascii="Arial" w:hAnsi="Arial" w:eastAsia="Arial" w:cs="Arial"/>
          <w:spacing w:val="14"/>
          <w:w w:val="101"/>
          <w:sz w:val="19"/>
          <w:szCs w:val="19"/>
        </w:rPr>
        <w:t xml:space="preserve"> </w:t>
      </w:r>
      <w:r>
        <w:rPr>
          <w:rFonts w:ascii="Arial" w:hAnsi="Arial" w:eastAsia="Arial" w:cs="Arial"/>
          <w:spacing w:val="-8"/>
          <w:sz w:val="19"/>
          <w:szCs w:val="19"/>
        </w:rPr>
        <w:t>scales</w:t>
      </w:r>
      <w:r>
        <w:rPr>
          <w:rFonts w:ascii="Arial" w:hAnsi="Arial" w:eastAsia="Arial" w:cs="Arial"/>
          <w:spacing w:val="15"/>
          <w:sz w:val="19"/>
          <w:szCs w:val="19"/>
        </w:rPr>
        <w:t xml:space="preserve"> </w:t>
      </w:r>
      <w:r>
        <w:rPr>
          <w:rFonts w:ascii="Arial" w:hAnsi="Arial" w:eastAsia="Arial" w:cs="Arial"/>
          <w:spacing w:val="-8"/>
          <w:sz w:val="19"/>
          <w:szCs w:val="19"/>
        </w:rPr>
        <w:t>except</w:t>
      </w:r>
      <w:r>
        <w:rPr>
          <w:rFonts w:ascii="Arial" w:hAnsi="Arial" w:eastAsia="Arial" w:cs="Arial"/>
          <w:spacing w:val="21"/>
          <w:sz w:val="19"/>
          <w:szCs w:val="19"/>
        </w:rPr>
        <w:t xml:space="preserve"> </w:t>
      </w:r>
      <w:r>
        <w:rPr>
          <w:rFonts w:ascii="Arial" w:hAnsi="Arial" w:eastAsia="Arial" w:cs="Arial"/>
          <w:spacing w:val="-8"/>
          <w:sz w:val="19"/>
          <w:szCs w:val="19"/>
        </w:rPr>
        <w:t>participation,</w:t>
      </w:r>
      <w:r>
        <w:rPr>
          <w:rFonts w:ascii="Arial" w:hAnsi="Arial" w:eastAsia="Arial" w:cs="Arial"/>
          <w:sz w:val="19"/>
          <w:szCs w:val="19"/>
        </w:rPr>
        <w:t xml:space="preserve"> </w:t>
      </w:r>
      <w:r>
        <w:rPr>
          <w:rFonts w:ascii="Arial" w:hAnsi="Arial" w:eastAsia="Arial" w:cs="Arial"/>
          <w:spacing w:val="-7"/>
          <w:sz w:val="19"/>
          <w:szCs w:val="19"/>
        </w:rPr>
        <w:t>which</w:t>
      </w:r>
      <w:r>
        <w:rPr>
          <w:rFonts w:ascii="Arial" w:hAnsi="Arial" w:eastAsia="Arial" w:cs="Arial"/>
          <w:spacing w:val="34"/>
          <w:w w:val="101"/>
          <w:sz w:val="19"/>
          <w:szCs w:val="19"/>
        </w:rPr>
        <w:t xml:space="preserve"> </w:t>
      </w:r>
      <w:r>
        <w:rPr>
          <w:rFonts w:ascii="Arial" w:hAnsi="Arial" w:eastAsia="Arial" w:cs="Arial"/>
          <w:spacing w:val="-7"/>
          <w:sz w:val="19"/>
          <w:szCs w:val="19"/>
        </w:rPr>
        <w:t>was</w:t>
      </w:r>
      <w:r>
        <w:rPr>
          <w:rFonts w:ascii="Arial" w:hAnsi="Arial" w:eastAsia="Arial" w:cs="Arial"/>
          <w:spacing w:val="36"/>
          <w:w w:val="101"/>
          <w:sz w:val="19"/>
          <w:szCs w:val="19"/>
        </w:rPr>
        <w:t xml:space="preserve"> </w:t>
      </w:r>
      <w:r>
        <w:rPr>
          <w:rFonts w:ascii="Arial" w:hAnsi="Arial" w:eastAsia="Arial" w:cs="Arial"/>
          <w:spacing w:val="-7"/>
          <w:sz w:val="19"/>
          <w:szCs w:val="19"/>
        </w:rPr>
        <w:t>close</w:t>
      </w:r>
      <w:r>
        <w:rPr>
          <w:rFonts w:ascii="Arial" w:hAnsi="Arial" w:eastAsia="Arial" w:cs="Arial"/>
          <w:spacing w:val="37"/>
          <w:w w:val="101"/>
          <w:sz w:val="19"/>
          <w:szCs w:val="19"/>
        </w:rPr>
        <w:t xml:space="preserve"> </w:t>
      </w:r>
      <w:r>
        <w:rPr>
          <w:rFonts w:ascii="Arial" w:hAnsi="Arial" w:eastAsia="Arial" w:cs="Arial"/>
          <w:spacing w:val="-7"/>
          <w:sz w:val="19"/>
          <w:szCs w:val="19"/>
        </w:rPr>
        <w:t>at</w:t>
      </w:r>
      <w:r>
        <w:rPr>
          <w:rFonts w:ascii="Arial" w:hAnsi="Arial" w:eastAsia="Arial" w:cs="Arial"/>
          <w:spacing w:val="39"/>
          <w:w w:val="101"/>
          <w:sz w:val="19"/>
          <w:szCs w:val="19"/>
        </w:rPr>
        <w:t xml:space="preserve"> </w:t>
      </w:r>
      <w:r>
        <w:rPr>
          <w:rFonts w:ascii="Arial" w:hAnsi="Arial" w:eastAsia="Arial" w:cs="Arial"/>
          <w:spacing w:val="-7"/>
          <w:sz w:val="19"/>
          <w:szCs w:val="19"/>
        </w:rPr>
        <w:t>.438.  However,</w:t>
      </w:r>
      <w:r>
        <w:rPr>
          <w:rFonts w:ascii="Arial" w:hAnsi="Arial" w:eastAsia="Arial" w:cs="Arial"/>
          <w:spacing w:val="38"/>
          <w:w w:val="101"/>
          <w:sz w:val="19"/>
          <w:szCs w:val="19"/>
        </w:rPr>
        <w:t xml:space="preserve"> </w:t>
      </w:r>
      <w:r>
        <w:rPr>
          <w:rFonts w:ascii="Arial" w:hAnsi="Arial" w:eastAsia="Arial" w:cs="Arial"/>
          <w:spacing w:val="-7"/>
          <w:sz w:val="19"/>
          <w:szCs w:val="19"/>
        </w:rPr>
        <w:t>as</w:t>
      </w:r>
      <w:r>
        <w:rPr>
          <w:rFonts w:ascii="Arial" w:hAnsi="Arial" w:eastAsia="Arial" w:cs="Arial"/>
          <w:spacing w:val="32"/>
          <w:w w:val="101"/>
          <w:sz w:val="19"/>
          <w:szCs w:val="19"/>
        </w:rPr>
        <w:t xml:space="preserve"> </w:t>
      </w:r>
      <w:r>
        <w:rPr>
          <w:rFonts w:ascii="Arial" w:hAnsi="Arial" w:eastAsia="Arial" w:cs="Arial"/>
          <w:spacing w:val="-7"/>
          <w:sz w:val="19"/>
          <w:szCs w:val="19"/>
        </w:rPr>
        <w:t>the</w:t>
      </w:r>
      <w:r>
        <w:rPr>
          <w:rFonts w:ascii="Arial" w:hAnsi="Arial" w:eastAsia="Arial" w:cs="Arial"/>
          <w:spacing w:val="43"/>
          <w:sz w:val="19"/>
          <w:szCs w:val="19"/>
        </w:rPr>
        <w:t xml:space="preserve"> </w:t>
      </w:r>
      <w:r>
        <w:rPr>
          <w:rFonts w:ascii="Arial" w:hAnsi="Arial" w:eastAsia="Arial" w:cs="Arial"/>
          <w:spacing w:val="-7"/>
          <w:sz w:val="19"/>
          <w:szCs w:val="19"/>
        </w:rPr>
        <w:t>reliability</w:t>
      </w:r>
      <w:r>
        <w:rPr>
          <w:rFonts w:ascii="Arial" w:hAnsi="Arial" w:eastAsia="Arial" w:cs="Arial"/>
          <w:spacing w:val="38"/>
          <w:sz w:val="19"/>
          <w:szCs w:val="19"/>
        </w:rPr>
        <w:t xml:space="preserve"> </w:t>
      </w:r>
      <w:r>
        <w:rPr>
          <w:rFonts w:ascii="Arial" w:hAnsi="Arial" w:eastAsia="Arial" w:cs="Arial"/>
          <w:spacing w:val="-7"/>
          <w:sz w:val="19"/>
          <w:szCs w:val="19"/>
        </w:rPr>
        <w:t>score</w:t>
      </w:r>
      <w:r>
        <w:rPr>
          <w:rFonts w:ascii="Arial" w:hAnsi="Arial" w:eastAsia="Arial" w:cs="Arial"/>
          <w:spacing w:val="34"/>
          <w:sz w:val="19"/>
          <w:szCs w:val="19"/>
        </w:rPr>
        <w:t xml:space="preserve"> </w:t>
      </w:r>
      <w:r>
        <w:rPr>
          <w:rFonts w:ascii="Arial" w:hAnsi="Arial" w:eastAsia="Arial" w:cs="Arial"/>
          <w:spacing w:val="-7"/>
          <w:sz w:val="19"/>
          <w:szCs w:val="19"/>
        </w:rPr>
        <w:t>was</w:t>
      </w:r>
      <w:r>
        <w:rPr>
          <w:rFonts w:ascii="Arial" w:hAnsi="Arial" w:eastAsia="Arial" w:cs="Arial"/>
          <w:spacing w:val="37"/>
          <w:w w:val="101"/>
          <w:sz w:val="19"/>
          <w:szCs w:val="19"/>
        </w:rPr>
        <w:t xml:space="preserve"> </w:t>
      </w:r>
      <w:r>
        <w:rPr>
          <w:rFonts w:ascii="Arial" w:hAnsi="Arial" w:eastAsia="Arial" w:cs="Arial"/>
          <w:spacing w:val="-7"/>
          <w:sz w:val="19"/>
          <w:szCs w:val="19"/>
        </w:rPr>
        <w:t>greater</w:t>
      </w:r>
      <w:r>
        <w:rPr>
          <w:rFonts w:ascii="Arial" w:hAnsi="Arial" w:eastAsia="Arial" w:cs="Arial"/>
          <w:spacing w:val="34"/>
          <w:sz w:val="19"/>
          <w:szCs w:val="19"/>
        </w:rPr>
        <w:t xml:space="preserve"> </w:t>
      </w:r>
      <w:r>
        <w:rPr>
          <w:rFonts w:ascii="Arial" w:hAnsi="Arial" w:eastAsia="Arial" w:cs="Arial"/>
          <w:spacing w:val="-7"/>
          <w:sz w:val="19"/>
          <w:szCs w:val="19"/>
        </w:rPr>
        <w:t>than</w:t>
      </w:r>
      <w:r>
        <w:rPr>
          <w:rFonts w:ascii="Arial" w:hAnsi="Arial" w:eastAsia="Arial" w:cs="Arial"/>
          <w:spacing w:val="40"/>
          <w:sz w:val="19"/>
          <w:szCs w:val="19"/>
        </w:rPr>
        <w:t xml:space="preserve"> </w:t>
      </w:r>
      <w:r>
        <w:rPr>
          <w:rFonts w:ascii="Arial" w:hAnsi="Arial" w:eastAsia="Arial" w:cs="Arial"/>
          <w:spacing w:val="-8"/>
          <w:sz w:val="19"/>
          <w:szCs w:val="19"/>
        </w:rPr>
        <w:t>.700</w:t>
      </w:r>
      <w:r>
        <w:rPr>
          <w:rFonts w:ascii="Arial" w:hAnsi="Arial" w:eastAsia="Arial" w:cs="Arial"/>
          <w:spacing w:val="34"/>
          <w:sz w:val="19"/>
          <w:szCs w:val="19"/>
        </w:rPr>
        <w:t xml:space="preserve"> </w:t>
      </w:r>
      <w:r>
        <w:rPr>
          <w:rFonts w:ascii="Arial" w:hAnsi="Arial" w:eastAsia="Arial" w:cs="Arial"/>
          <w:spacing w:val="-8"/>
          <w:sz w:val="19"/>
          <w:szCs w:val="19"/>
        </w:rPr>
        <w:t>we</w:t>
      </w:r>
      <w:r>
        <w:rPr>
          <w:rFonts w:ascii="Arial" w:hAnsi="Arial" w:eastAsia="Arial" w:cs="Arial"/>
          <w:spacing w:val="37"/>
          <w:sz w:val="19"/>
          <w:szCs w:val="19"/>
        </w:rPr>
        <w:t xml:space="preserve"> </w:t>
      </w:r>
      <w:r>
        <w:rPr>
          <w:rFonts w:ascii="Arial" w:hAnsi="Arial" w:eastAsia="Arial" w:cs="Arial"/>
          <w:spacing w:val="-8"/>
          <w:sz w:val="19"/>
          <w:szCs w:val="19"/>
        </w:rPr>
        <w:t>decided</w:t>
      </w:r>
      <w:r>
        <w:rPr>
          <w:rFonts w:ascii="Arial" w:hAnsi="Arial" w:eastAsia="Arial" w:cs="Arial"/>
          <w:spacing w:val="34"/>
          <w:sz w:val="19"/>
          <w:szCs w:val="19"/>
        </w:rPr>
        <w:t xml:space="preserve"> </w:t>
      </w:r>
      <w:r>
        <w:rPr>
          <w:rFonts w:ascii="Arial" w:hAnsi="Arial" w:eastAsia="Arial" w:cs="Arial"/>
          <w:spacing w:val="-8"/>
          <w:sz w:val="19"/>
          <w:szCs w:val="19"/>
        </w:rPr>
        <w:t>to</w:t>
      </w:r>
      <w:r>
        <w:rPr>
          <w:rFonts w:ascii="Arial" w:hAnsi="Arial" w:eastAsia="Arial" w:cs="Arial"/>
          <w:sz w:val="19"/>
          <w:szCs w:val="19"/>
        </w:rPr>
        <w:t xml:space="preserve"> </w:t>
      </w:r>
      <w:r>
        <w:rPr>
          <w:rFonts w:ascii="Arial" w:hAnsi="Arial" w:eastAsia="Arial" w:cs="Arial"/>
          <w:spacing w:val="-5"/>
          <w:sz w:val="19"/>
          <w:szCs w:val="19"/>
        </w:rPr>
        <w:t>retain the</w:t>
      </w:r>
      <w:r>
        <w:rPr>
          <w:rFonts w:ascii="Arial" w:hAnsi="Arial" w:eastAsia="Arial" w:cs="Arial"/>
          <w:spacing w:val="12"/>
          <w:sz w:val="19"/>
          <w:szCs w:val="19"/>
        </w:rPr>
        <w:t xml:space="preserve"> </w:t>
      </w:r>
      <w:r>
        <w:rPr>
          <w:rFonts w:ascii="Arial" w:hAnsi="Arial" w:eastAsia="Arial" w:cs="Arial"/>
          <w:spacing w:val="-5"/>
          <w:sz w:val="19"/>
          <w:szCs w:val="19"/>
        </w:rPr>
        <w:t>participation scale</w:t>
      </w:r>
      <w:r>
        <w:rPr>
          <w:rFonts w:ascii="Arial" w:hAnsi="Arial" w:eastAsia="Arial" w:cs="Arial"/>
          <w:spacing w:val="11"/>
          <w:sz w:val="19"/>
          <w:szCs w:val="19"/>
        </w:rPr>
        <w:t xml:space="preserve"> </w:t>
      </w:r>
      <w:r>
        <w:rPr>
          <w:rFonts w:ascii="Arial" w:hAnsi="Arial" w:eastAsia="Arial" w:cs="Arial"/>
          <w:spacing w:val="-5"/>
          <w:sz w:val="19"/>
          <w:szCs w:val="19"/>
        </w:rPr>
        <w:t>in the</w:t>
      </w:r>
      <w:r>
        <w:rPr>
          <w:rFonts w:ascii="Arial" w:hAnsi="Arial" w:eastAsia="Arial" w:cs="Arial"/>
          <w:spacing w:val="12"/>
          <w:sz w:val="19"/>
          <w:szCs w:val="19"/>
        </w:rPr>
        <w:t xml:space="preserve"> </w:t>
      </w:r>
      <w:r>
        <w:rPr>
          <w:rFonts w:ascii="Arial" w:hAnsi="Arial" w:eastAsia="Arial" w:cs="Arial"/>
          <w:spacing w:val="-5"/>
          <w:sz w:val="19"/>
          <w:szCs w:val="19"/>
        </w:rPr>
        <w:t>model. A comparison</w:t>
      </w:r>
      <w:r>
        <w:rPr>
          <w:rFonts w:ascii="Arial" w:hAnsi="Arial" w:eastAsia="Arial" w:cs="Arial"/>
          <w:spacing w:val="13"/>
          <w:sz w:val="19"/>
          <w:szCs w:val="19"/>
        </w:rPr>
        <w:t xml:space="preserve"> </w:t>
      </w:r>
      <w:r>
        <w:rPr>
          <w:rFonts w:ascii="Arial" w:hAnsi="Arial" w:eastAsia="Arial" w:cs="Arial"/>
          <w:spacing w:val="-5"/>
          <w:sz w:val="19"/>
          <w:szCs w:val="19"/>
        </w:rPr>
        <w:t>between the</w:t>
      </w:r>
      <w:r>
        <w:rPr>
          <w:rFonts w:ascii="Arial" w:hAnsi="Arial" w:eastAsia="Arial" w:cs="Arial"/>
          <w:spacing w:val="5"/>
          <w:sz w:val="19"/>
          <w:szCs w:val="19"/>
        </w:rPr>
        <w:t xml:space="preserve"> </w:t>
      </w:r>
      <w:r>
        <w:rPr>
          <w:rFonts w:ascii="Arial" w:hAnsi="Arial" w:eastAsia="Arial" w:cs="Arial"/>
          <w:spacing w:val="-5"/>
          <w:sz w:val="19"/>
          <w:szCs w:val="19"/>
        </w:rPr>
        <w:t>square</w:t>
      </w:r>
      <w:r>
        <w:rPr>
          <w:rFonts w:ascii="Arial" w:hAnsi="Arial" w:eastAsia="Arial" w:cs="Arial"/>
          <w:spacing w:val="10"/>
          <w:sz w:val="19"/>
          <w:szCs w:val="19"/>
        </w:rPr>
        <w:t xml:space="preserve"> </w:t>
      </w:r>
      <w:r>
        <w:rPr>
          <w:rFonts w:ascii="Arial" w:hAnsi="Arial" w:eastAsia="Arial" w:cs="Arial"/>
          <w:spacing w:val="-5"/>
          <w:sz w:val="19"/>
          <w:szCs w:val="19"/>
        </w:rPr>
        <w:t>root</w:t>
      </w:r>
      <w:r>
        <w:rPr>
          <w:rFonts w:ascii="Arial" w:hAnsi="Arial" w:eastAsia="Arial" w:cs="Arial"/>
          <w:spacing w:val="7"/>
          <w:sz w:val="19"/>
          <w:szCs w:val="19"/>
        </w:rPr>
        <w:t xml:space="preserve"> </w:t>
      </w:r>
      <w:r>
        <w:rPr>
          <w:rFonts w:ascii="Arial" w:hAnsi="Arial" w:eastAsia="Arial" w:cs="Arial"/>
          <w:spacing w:val="-5"/>
          <w:sz w:val="19"/>
          <w:szCs w:val="19"/>
        </w:rPr>
        <w:t xml:space="preserve">of the </w:t>
      </w:r>
      <w:r>
        <w:rPr>
          <w:rFonts w:ascii="Arial" w:hAnsi="Arial" w:eastAsia="Arial" w:cs="Arial"/>
          <w:spacing w:val="-6"/>
          <w:sz w:val="19"/>
          <w:szCs w:val="19"/>
        </w:rPr>
        <w:t>AVE</w:t>
      </w:r>
      <w:r>
        <w:rPr>
          <w:rFonts w:ascii="Arial" w:hAnsi="Arial" w:eastAsia="Arial" w:cs="Arial"/>
          <w:spacing w:val="11"/>
          <w:sz w:val="19"/>
          <w:szCs w:val="19"/>
        </w:rPr>
        <w:t xml:space="preserve"> </w:t>
      </w:r>
      <w:r>
        <w:rPr>
          <w:rFonts w:ascii="Arial" w:hAnsi="Arial" w:eastAsia="Arial" w:cs="Arial"/>
          <w:spacing w:val="-6"/>
          <w:sz w:val="19"/>
          <w:szCs w:val="19"/>
        </w:rPr>
        <w:t>(diag-</w:t>
      </w:r>
      <w:r>
        <w:rPr>
          <w:rFonts w:ascii="Arial" w:hAnsi="Arial" w:eastAsia="Arial" w:cs="Arial"/>
          <w:sz w:val="19"/>
          <w:szCs w:val="19"/>
        </w:rPr>
        <w:t xml:space="preserve"> </w:t>
      </w:r>
      <w:r>
        <w:rPr>
          <w:rFonts w:ascii="Arial" w:hAnsi="Arial" w:eastAsia="Arial" w:cs="Arial"/>
          <w:spacing w:val="-5"/>
          <w:sz w:val="19"/>
          <w:szCs w:val="19"/>
        </w:rPr>
        <w:t>onal values</w:t>
      </w:r>
      <w:r>
        <w:rPr>
          <w:rFonts w:ascii="Arial" w:hAnsi="Arial" w:eastAsia="Arial" w:cs="Arial"/>
          <w:spacing w:val="12"/>
          <w:sz w:val="19"/>
          <w:szCs w:val="19"/>
        </w:rPr>
        <w:t xml:space="preserve"> </w:t>
      </w:r>
      <w:r>
        <w:rPr>
          <w:rFonts w:ascii="Arial" w:hAnsi="Arial" w:eastAsia="Arial" w:cs="Arial"/>
          <w:spacing w:val="-5"/>
          <w:sz w:val="19"/>
          <w:szCs w:val="19"/>
        </w:rPr>
        <w:t xml:space="preserve">in </w:t>
      </w:r>
      <w:r>
        <w:fldChar w:fldCharType="begin"/>
      </w:r>
      <w:r>
        <w:instrText xml:space="preserve"> HYPERLINK \l "bookmark88" </w:instrText>
      </w:r>
      <w:r>
        <w:fldChar w:fldCharType="separate"/>
      </w:r>
      <w:r>
        <w:rPr>
          <w:rFonts w:ascii="Arial" w:hAnsi="Arial" w:eastAsia="Arial" w:cs="Arial"/>
          <w:color w:val="000084"/>
          <w:spacing w:val="-5"/>
          <w:sz w:val="19"/>
          <w:szCs w:val="19"/>
        </w:rPr>
        <w:t>Table 6</w:t>
      </w:r>
      <w:r>
        <w:rPr>
          <w:rFonts w:ascii="Arial" w:hAnsi="Arial" w:eastAsia="Arial" w:cs="Arial"/>
          <w:color w:val="000084"/>
          <w:spacing w:val="-5"/>
          <w:sz w:val="19"/>
          <w:szCs w:val="19"/>
        </w:rPr>
        <w:fldChar w:fldCharType="end"/>
      </w:r>
      <w:r>
        <w:rPr>
          <w:rFonts w:ascii="Arial" w:hAnsi="Arial" w:eastAsia="Arial" w:cs="Arial"/>
          <w:spacing w:val="-5"/>
          <w:sz w:val="19"/>
          <w:szCs w:val="19"/>
        </w:rPr>
        <w:t>) to the</w:t>
      </w:r>
      <w:r>
        <w:rPr>
          <w:rFonts w:ascii="Arial" w:hAnsi="Arial" w:eastAsia="Arial" w:cs="Arial"/>
          <w:spacing w:val="11"/>
          <w:sz w:val="19"/>
          <w:szCs w:val="19"/>
        </w:rPr>
        <w:t xml:space="preserve"> </w:t>
      </w:r>
      <w:r>
        <w:rPr>
          <w:rFonts w:ascii="Arial" w:hAnsi="Arial" w:eastAsia="Arial" w:cs="Arial"/>
          <w:spacing w:val="-5"/>
          <w:sz w:val="19"/>
          <w:szCs w:val="19"/>
        </w:rPr>
        <w:t>inter-factor correlations</w:t>
      </w:r>
      <w:r>
        <w:rPr>
          <w:rFonts w:ascii="Arial" w:hAnsi="Arial" w:eastAsia="Arial" w:cs="Arial"/>
          <w:spacing w:val="7"/>
          <w:sz w:val="19"/>
          <w:szCs w:val="19"/>
        </w:rPr>
        <w:t xml:space="preserve"> </w:t>
      </w:r>
      <w:r>
        <w:rPr>
          <w:rFonts w:ascii="Arial" w:hAnsi="Arial" w:eastAsia="Arial" w:cs="Arial"/>
          <w:spacing w:val="-5"/>
          <w:sz w:val="19"/>
          <w:szCs w:val="19"/>
        </w:rPr>
        <w:t>served</w:t>
      </w:r>
      <w:r>
        <w:rPr>
          <w:rFonts w:ascii="Arial" w:hAnsi="Arial" w:eastAsia="Arial" w:cs="Arial"/>
          <w:spacing w:val="7"/>
          <w:sz w:val="19"/>
          <w:szCs w:val="19"/>
        </w:rPr>
        <w:t xml:space="preserve"> </w:t>
      </w:r>
      <w:r>
        <w:rPr>
          <w:rFonts w:ascii="Arial" w:hAnsi="Arial" w:eastAsia="Arial" w:cs="Arial"/>
          <w:spacing w:val="-5"/>
          <w:sz w:val="19"/>
          <w:szCs w:val="19"/>
        </w:rPr>
        <w:t>as</w:t>
      </w:r>
      <w:r>
        <w:rPr>
          <w:rFonts w:ascii="Arial" w:hAnsi="Arial" w:eastAsia="Arial" w:cs="Arial"/>
          <w:spacing w:val="5"/>
          <w:sz w:val="19"/>
          <w:szCs w:val="19"/>
        </w:rPr>
        <w:t xml:space="preserve"> </w:t>
      </w:r>
      <w:r>
        <w:rPr>
          <w:rFonts w:ascii="Arial" w:hAnsi="Arial" w:eastAsia="Arial" w:cs="Arial"/>
          <w:spacing w:val="-5"/>
          <w:sz w:val="19"/>
          <w:szCs w:val="19"/>
        </w:rPr>
        <w:t>a</w:t>
      </w:r>
      <w:r>
        <w:rPr>
          <w:rFonts w:ascii="Arial" w:hAnsi="Arial" w:eastAsia="Arial" w:cs="Arial"/>
          <w:spacing w:val="3"/>
          <w:sz w:val="19"/>
          <w:szCs w:val="19"/>
        </w:rPr>
        <w:t xml:space="preserve"> </w:t>
      </w:r>
      <w:r>
        <w:rPr>
          <w:rFonts w:ascii="Arial" w:hAnsi="Arial" w:eastAsia="Arial" w:cs="Arial"/>
          <w:spacing w:val="-5"/>
          <w:sz w:val="19"/>
          <w:szCs w:val="19"/>
        </w:rPr>
        <w:t>test</w:t>
      </w:r>
      <w:r>
        <w:rPr>
          <w:rFonts w:ascii="Arial" w:hAnsi="Arial" w:eastAsia="Arial" w:cs="Arial"/>
          <w:spacing w:val="2"/>
          <w:sz w:val="19"/>
          <w:szCs w:val="19"/>
        </w:rPr>
        <w:t xml:space="preserve"> </w:t>
      </w:r>
      <w:r>
        <w:rPr>
          <w:rFonts w:ascii="Arial" w:hAnsi="Arial" w:eastAsia="Arial" w:cs="Arial"/>
          <w:spacing w:val="-5"/>
          <w:sz w:val="19"/>
          <w:szCs w:val="19"/>
        </w:rPr>
        <w:t>for</w:t>
      </w:r>
      <w:r>
        <w:rPr>
          <w:rFonts w:ascii="Arial" w:hAnsi="Arial" w:eastAsia="Arial" w:cs="Arial"/>
          <w:spacing w:val="7"/>
          <w:sz w:val="19"/>
          <w:szCs w:val="19"/>
        </w:rPr>
        <w:t xml:space="preserve"> </w:t>
      </w:r>
      <w:r>
        <w:rPr>
          <w:rFonts w:ascii="Arial" w:hAnsi="Arial" w:eastAsia="Arial" w:cs="Arial"/>
          <w:spacing w:val="-5"/>
          <w:sz w:val="19"/>
          <w:szCs w:val="19"/>
        </w:rPr>
        <w:t xml:space="preserve">discriminant </w:t>
      </w:r>
      <w:r>
        <w:rPr>
          <w:rFonts w:ascii="Arial" w:hAnsi="Arial" w:eastAsia="Arial" w:cs="Arial"/>
          <w:spacing w:val="-6"/>
          <w:sz w:val="19"/>
          <w:szCs w:val="19"/>
        </w:rPr>
        <w:t>validity.</w:t>
      </w:r>
      <w:r>
        <w:rPr>
          <w:rFonts w:ascii="Arial" w:hAnsi="Arial" w:eastAsia="Arial" w:cs="Arial"/>
          <w:spacing w:val="4"/>
          <w:sz w:val="19"/>
          <w:szCs w:val="19"/>
        </w:rPr>
        <w:t xml:space="preserve"> </w:t>
      </w:r>
      <w:r>
        <w:rPr>
          <w:rFonts w:ascii="Arial" w:hAnsi="Arial" w:eastAsia="Arial" w:cs="Arial"/>
          <w:spacing w:val="-6"/>
          <w:sz w:val="19"/>
          <w:szCs w:val="19"/>
        </w:rPr>
        <w:t>As</w:t>
      </w:r>
      <w:r>
        <w:rPr>
          <w:rFonts w:ascii="Arial" w:hAnsi="Arial" w:eastAsia="Arial" w:cs="Arial"/>
          <w:spacing w:val="6"/>
          <w:sz w:val="19"/>
          <w:szCs w:val="19"/>
        </w:rPr>
        <w:t xml:space="preserve"> </w:t>
      </w:r>
      <w:r>
        <w:rPr>
          <w:rFonts w:ascii="Arial" w:hAnsi="Arial" w:eastAsia="Arial" w:cs="Arial"/>
          <w:spacing w:val="-6"/>
          <w:sz w:val="19"/>
          <w:szCs w:val="19"/>
        </w:rPr>
        <w:t>all</w:t>
      </w:r>
      <w:r>
        <w:rPr>
          <w:rFonts w:ascii="Arial" w:hAnsi="Arial" w:eastAsia="Arial" w:cs="Arial"/>
          <w:sz w:val="19"/>
          <w:szCs w:val="19"/>
        </w:rPr>
        <w:t xml:space="preserve"> </w:t>
      </w:r>
      <w:r>
        <w:rPr>
          <w:rFonts w:ascii="Arial" w:hAnsi="Arial" w:eastAsia="Arial" w:cs="Arial"/>
          <w:spacing w:val="-5"/>
          <w:sz w:val="19"/>
          <w:szCs w:val="19"/>
        </w:rPr>
        <w:t>square roots of</w:t>
      </w:r>
      <w:r>
        <w:rPr>
          <w:rFonts w:ascii="Arial" w:hAnsi="Arial" w:eastAsia="Arial" w:cs="Arial"/>
          <w:spacing w:val="-16"/>
          <w:sz w:val="19"/>
          <w:szCs w:val="19"/>
        </w:rPr>
        <w:t xml:space="preserve"> </w:t>
      </w:r>
      <w:r>
        <w:rPr>
          <w:rFonts w:ascii="Arial" w:hAnsi="Arial" w:eastAsia="Arial" w:cs="Arial"/>
          <w:spacing w:val="-5"/>
          <w:sz w:val="19"/>
          <w:szCs w:val="19"/>
        </w:rPr>
        <w:t>the AVE were greater than the inter-factor correlations, adequate discriminant va</w:t>
      </w:r>
      <w:r>
        <w:rPr>
          <w:rFonts w:ascii="Arial" w:hAnsi="Arial" w:eastAsia="Arial" w:cs="Arial"/>
          <w:spacing w:val="-6"/>
          <w:sz w:val="19"/>
          <w:szCs w:val="19"/>
        </w:rPr>
        <w:t>lidity</w:t>
      </w:r>
      <w:r>
        <w:rPr>
          <w:rFonts w:ascii="Arial" w:hAnsi="Arial" w:eastAsia="Arial" w:cs="Arial"/>
          <w:sz w:val="19"/>
          <w:szCs w:val="19"/>
        </w:rPr>
        <w:t xml:space="preserve"> </w:t>
      </w:r>
      <w:r>
        <w:rPr>
          <w:rFonts w:ascii="Arial" w:hAnsi="Arial" w:eastAsia="Arial" w:cs="Arial"/>
          <w:spacing w:val="-5"/>
          <w:sz w:val="19"/>
          <w:szCs w:val="19"/>
        </w:rPr>
        <w:t>was</w:t>
      </w:r>
      <w:r>
        <w:rPr>
          <w:rFonts w:ascii="Arial" w:hAnsi="Arial" w:eastAsia="Arial" w:cs="Arial"/>
          <w:spacing w:val="11"/>
          <w:sz w:val="19"/>
          <w:szCs w:val="19"/>
        </w:rPr>
        <w:t xml:space="preserve"> </w:t>
      </w:r>
      <w:r>
        <w:rPr>
          <w:rFonts w:ascii="Arial" w:hAnsi="Arial" w:eastAsia="Arial" w:cs="Arial"/>
          <w:spacing w:val="-5"/>
          <w:sz w:val="19"/>
          <w:szCs w:val="19"/>
        </w:rPr>
        <w:t>demonstrated</w:t>
      </w:r>
      <w:r>
        <w:rPr>
          <w:rFonts w:ascii="Arial" w:hAnsi="Arial" w:eastAsia="Arial" w:cs="Arial"/>
          <w:spacing w:val="19"/>
          <w:w w:val="101"/>
          <w:sz w:val="19"/>
          <w:szCs w:val="19"/>
        </w:rPr>
        <w:t xml:space="preserve"> </w:t>
      </w:r>
      <w:r>
        <w:rPr>
          <w:rFonts w:ascii="Arial" w:hAnsi="Arial" w:eastAsia="Arial" w:cs="Arial"/>
          <w:spacing w:val="-5"/>
          <w:sz w:val="19"/>
          <w:szCs w:val="19"/>
        </w:rPr>
        <w:t>by the</w:t>
      </w:r>
      <w:r>
        <w:rPr>
          <w:rFonts w:ascii="Arial" w:hAnsi="Arial" w:eastAsia="Arial" w:cs="Arial"/>
          <w:spacing w:val="12"/>
          <w:sz w:val="19"/>
          <w:szCs w:val="19"/>
        </w:rPr>
        <w:t xml:space="preserve"> </w:t>
      </w:r>
      <w:r>
        <w:rPr>
          <w:rFonts w:ascii="Arial" w:hAnsi="Arial" w:eastAsia="Arial" w:cs="Arial"/>
          <w:spacing w:val="-5"/>
          <w:sz w:val="19"/>
          <w:szCs w:val="19"/>
        </w:rPr>
        <w:t>data.</w:t>
      </w:r>
    </w:p>
    <w:p>
      <w:pPr>
        <w:spacing w:before="26" w:line="246" w:lineRule="auto"/>
        <w:ind w:left="2" w:right="6" w:firstLine="251"/>
        <w:rPr>
          <w:rFonts w:ascii="Arial" w:hAnsi="Arial" w:eastAsia="Arial" w:cs="Arial"/>
          <w:sz w:val="19"/>
          <w:szCs w:val="19"/>
        </w:rPr>
      </w:pPr>
      <w:r>
        <w:rPr>
          <w:rFonts w:ascii="Arial" w:hAnsi="Arial" w:eastAsia="Arial" w:cs="Arial"/>
          <w:spacing w:val="-5"/>
          <w:sz w:val="19"/>
          <w:szCs w:val="19"/>
        </w:rPr>
        <w:t>In summary, the</w:t>
      </w:r>
      <w:r>
        <w:rPr>
          <w:rFonts w:ascii="Arial" w:hAnsi="Arial" w:eastAsia="Arial" w:cs="Arial"/>
          <w:spacing w:val="14"/>
          <w:sz w:val="19"/>
          <w:szCs w:val="19"/>
        </w:rPr>
        <w:t xml:space="preserve"> </w:t>
      </w:r>
      <w:r>
        <w:rPr>
          <w:rFonts w:ascii="Arial" w:hAnsi="Arial" w:eastAsia="Arial" w:cs="Arial"/>
          <w:spacing w:val="-5"/>
          <w:sz w:val="19"/>
          <w:szCs w:val="19"/>
        </w:rPr>
        <w:t>results of the CFA</w:t>
      </w:r>
      <w:r>
        <w:rPr>
          <w:rFonts w:ascii="Arial" w:hAnsi="Arial" w:eastAsia="Arial" w:cs="Arial"/>
          <w:spacing w:val="7"/>
          <w:sz w:val="19"/>
          <w:szCs w:val="19"/>
        </w:rPr>
        <w:t xml:space="preserve"> </w:t>
      </w:r>
      <w:r>
        <w:rPr>
          <w:rFonts w:ascii="Arial" w:hAnsi="Arial" w:eastAsia="Arial" w:cs="Arial"/>
          <w:spacing w:val="-5"/>
          <w:sz w:val="19"/>
          <w:szCs w:val="19"/>
        </w:rPr>
        <w:t>strongly support</w:t>
      </w:r>
      <w:r>
        <w:rPr>
          <w:rFonts w:ascii="Arial" w:hAnsi="Arial" w:eastAsia="Arial" w:cs="Arial"/>
          <w:spacing w:val="6"/>
          <w:sz w:val="19"/>
          <w:szCs w:val="19"/>
        </w:rPr>
        <w:t xml:space="preserve"> </w:t>
      </w:r>
      <w:r>
        <w:rPr>
          <w:rFonts w:ascii="Arial" w:hAnsi="Arial" w:eastAsia="Arial" w:cs="Arial"/>
          <w:spacing w:val="-5"/>
          <w:sz w:val="19"/>
          <w:szCs w:val="19"/>
        </w:rPr>
        <w:t>the</w:t>
      </w:r>
      <w:r>
        <w:rPr>
          <w:rFonts w:ascii="Arial" w:hAnsi="Arial" w:eastAsia="Arial" w:cs="Arial"/>
          <w:spacing w:val="6"/>
          <w:sz w:val="19"/>
          <w:szCs w:val="19"/>
        </w:rPr>
        <w:t xml:space="preserve"> </w:t>
      </w:r>
      <w:r>
        <w:rPr>
          <w:rFonts w:ascii="Arial" w:hAnsi="Arial" w:eastAsia="Arial" w:cs="Arial"/>
          <w:spacing w:val="-5"/>
          <w:sz w:val="19"/>
          <w:szCs w:val="19"/>
        </w:rPr>
        <w:t>six-fa</w:t>
      </w:r>
      <w:r>
        <w:rPr>
          <w:rFonts w:ascii="Arial" w:hAnsi="Arial" w:eastAsia="Arial" w:cs="Arial"/>
          <w:spacing w:val="-6"/>
          <w:sz w:val="19"/>
          <w:szCs w:val="19"/>
        </w:rPr>
        <w:t>ctor</w:t>
      </w:r>
      <w:r>
        <w:rPr>
          <w:rFonts w:ascii="Arial" w:hAnsi="Arial" w:eastAsia="Arial" w:cs="Arial"/>
          <w:spacing w:val="7"/>
          <w:sz w:val="19"/>
          <w:szCs w:val="19"/>
        </w:rPr>
        <w:t xml:space="preserve"> </w:t>
      </w:r>
      <w:r>
        <w:rPr>
          <w:rFonts w:ascii="Arial" w:hAnsi="Arial" w:eastAsia="Arial" w:cs="Arial"/>
          <w:spacing w:val="-6"/>
          <w:sz w:val="19"/>
          <w:szCs w:val="19"/>
        </w:rPr>
        <w:t>solution</w:t>
      </w:r>
      <w:r>
        <w:rPr>
          <w:rFonts w:ascii="Arial" w:hAnsi="Arial" w:eastAsia="Arial" w:cs="Arial"/>
          <w:spacing w:val="9"/>
          <w:sz w:val="19"/>
          <w:szCs w:val="19"/>
        </w:rPr>
        <w:t xml:space="preserve"> </w:t>
      </w:r>
      <w:r>
        <w:rPr>
          <w:rFonts w:ascii="Arial" w:hAnsi="Arial" w:eastAsia="Arial" w:cs="Arial"/>
          <w:spacing w:val="-6"/>
          <w:sz w:val="19"/>
          <w:szCs w:val="19"/>
        </w:rPr>
        <w:t>suggested</w:t>
      </w:r>
      <w:r>
        <w:rPr>
          <w:rFonts w:ascii="Arial" w:hAnsi="Arial" w:eastAsia="Arial" w:cs="Arial"/>
          <w:spacing w:val="14"/>
          <w:w w:val="101"/>
          <w:sz w:val="19"/>
          <w:szCs w:val="19"/>
        </w:rPr>
        <w:t xml:space="preserve"> </w:t>
      </w:r>
      <w:r>
        <w:rPr>
          <w:rFonts w:ascii="Arial" w:hAnsi="Arial" w:eastAsia="Arial" w:cs="Arial"/>
          <w:spacing w:val="-6"/>
          <w:sz w:val="19"/>
          <w:szCs w:val="19"/>
        </w:rPr>
        <w:t>by</w:t>
      </w:r>
      <w:r>
        <w:rPr>
          <w:rFonts w:ascii="Arial" w:hAnsi="Arial" w:eastAsia="Arial" w:cs="Arial"/>
          <w:spacing w:val="3"/>
          <w:sz w:val="19"/>
          <w:szCs w:val="19"/>
        </w:rPr>
        <w:t xml:space="preserve"> </w:t>
      </w:r>
      <w:r>
        <w:rPr>
          <w:rFonts w:ascii="Arial" w:hAnsi="Arial" w:eastAsia="Arial" w:cs="Arial"/>
          <w:spacing w:val="-6"/>
          <w:sz w:val="19"/>
          <w:szCs w:val="19"/>
        </w:rPr>
        <w:t>the</w:t>
      </w:r>
      <w:r>
        <w:rPr>
          <w:rFonts w:ascii="Arial" w:hAnsi="Arial" w:eastAsia="Arial" w:cs="Arial"/>
          <w:spacing w:val="13"/>
          <w:w w:val="101"/>
          <w:sz w:val="19"/>
          <w:szCs w:val="19"/>
        </w:rPr>
        <w:t xml:space="preserve"> </w:t>
      </w:r>
      <w:r>
        <w:rPr>
          <w:rFonts w:ascii="Arial" w:hAnsi="Arial" w:eastAsia="Arial" w:cs="Arial"/>
          <w:spacing w:val="-6"/>
          <w:sz w:val="19"/>
          <w:szCs w:val="19"/>
        </w:rPr>
        <w:t>pre-</w:t>
      </w:r>
      <w:r>
        <w:rPr>
          <w:rFonts w:ascii="Arial" w:hAnsi="Arial" w:eastAsia="Arial" w:cs="Arial"/>
          <w:sz w:val="19"/>
          <w:szCs w:val="19"/>
        </w:rPr>
        <w:t xml:space="preserve"> </w:t>
      </w:r>
      <w:r>
        <w:rPr>
          <w:rFonts w:ascii="Arial" w:hAnsi="Arial" w:eastAsia="Arial" w:cs="Arial"/>
          <w:spacing w:val="-5"/>
          <w:sz w:val="19"/>
          <w:szCs w:val="19"/>
        </w:rPr>
        <w:t>viously</w:t>
      </w:r>
      <w:r>
        <w:rPr>
          <w:rFonts w:ascii="Arial" w:hAnsi="Arial" w:eastAsia="Arial" w:cs="Arial"/>
          <w:spacing w:val="18"/>
          <w:w w:val="101"/>
          <w:sz w:val="19"/>
          <w:szCs w:val="19"/>
        </w:rPr>
        <w:t xml:space="preserve"> </w:t>
      </w:r>
      <w:r>
        <w:rPr>
          <w:rFonts w:ascii="Arial" w:hAnsi="Arial" w:eastAsia="Arial" w:cs="Arial"/>
          <w:spacing w:val="-5"/>
          <w:sz w:val="19"/>
          <w:szCs w:val="19"/>
        </w:rPr>
        <w:t>performed</w:t>
      </w:r>
      <w:r>
        <w:rPr>
          <w:rFonts w:ascii="Arial" w:hAnsi="Arial" w:eastAsia="Arial" w:cs="Arial"/>
          <w:spacing w:val="19"/>
          <w:sz w:val="19"/>
          <w:szCs w:val="19"/>
        </w:rPr>
        <w:t xml:space="preserve"> </w:t>
      </w:r>
      <w:r>
        <w:rPr>
          <w:rFonts w:ascii="Arial" w:hAnsi="Arial" w:eastAsia="Arial" w:cs="Arial"/>
          <w:spacing w:val="-5"/>
          <w:sz w:val="19"/>
          <w:szCs w:val="19"/>
        </w:rPr>
        <w:t>EFA</w:t>
      </w:r>
      <w:r>
        <w:rPr>
          <w:rFonts w:ascii="Arial" w:hAnsi="Arial" w:eastAsia="Arial" w:cs="Arial"/>
          <w:spacing w:val="16"/>
          <w:sz w:val="19"/>
          <w:szCs w:val="19"/>
        </w:rPr>
        <w:t xml:space="preserve"> </w:t>
      </w:r>
      <w:r>
        <w:rPr>
          <w:rFonts w:ascii="Arial" w:hAnsi="Arial" w:eastAsia="Arial" w:cs="Arial"/>
          <w:spacing w:val="-5"/>
          <w:sz w:val="19"/>
          <w:szCs w:val="19"/>
        </w:rPr>
        <w:t>including</w:t>
      </w:r>
      <w:r>
        <w:rPr>
          <w:rFonts w:ascii="Arial" w:hAnsi="Arial" w:eastAsia="Arial" w:cs="Arial"/>
          <w:spacing w:val="12"/>
          <w:sz w:val="19"/>
          <w:szCs w:val="19"/>
        </w:rPr>
        <w:t xml:space="preserve"> </w:t>
      </w:r>
      <w:r>
        <w:rPr>
          <w:rFonts w:ascii="Arial" w:hAnsi="Arial" w:eastAsia="Arial" w:cs="Arial"/>
          <w:spacing w:val="-5"/>
          <w:sz w:val="19"/>
          <w:szCs w:val="19"/>
        </w:rPr>
        <w:t>a total</w:t>
      </w:r>
      <w:r>
        <w:rPr>
          <w:rFonts w:ascii="Arial" w:hAnsi="Arial" w:eastAsia="Arial" w:cs="Arial"/>
          <w:spacing w:val="19"/>
          <w:w w:val="101"/>
          <w:sz w:val="19"/>
          <w:szCs w:val="19"/>
        </w:rPr>
        <w:t xml:space="preserve"> </w:t>
      </w:r>
      <w:r>
        <w:rPr>
          <w:rFonts w:ascii="Arial" w:hAnsi="Arial" w:eastAsia="Arial" w:cs="Arial"/>
          <w:spacing w:val="-6"/>
          <w:sz w:val="19"/>
          <w:szCs w:val="19"/>
        </w:rPr>
        <w:t>number</w:t>
      </w:r>
      <w:r>
        <w:rPr>
          <w:rFonts w:ascii="Arial" w:hAnsi="Arial" w:eastAsia="Arial" w:cs="Arial"/>
          <w:spacing w:val="13"/>
          <w:sz w:val="19"/>
          <w:szCs w:val="19"/>
        </w:rPr>
        <w:t xml:space="preserve"> </w:t>
      </w:r>
      <w:r>
        <w:rPr>
          <w:rFonts w:ascii="Arial" w:hAnsi="Arial" w:eastAsia="Arial" w:cs="Arial"/>
          <w:spacing w:val="-6"/>
          <w:sz w:val="19"/>
          <w:szCs w:val="19"/>
        </w:rPr>
        <w:t>of 27</w:t>
      </w:r>
      <w:r>
        <w:rPr>
          <w:rFonts w:ascii="Arial" w:hAnsi="Arial" w:eastAsia="Arial" w:cs="Arial"/>
          <w:spacing w:val="16"/>
          <w:w w:val="101"/>
          <w:sz w:val="19"/>
          <w:szCs w:val="19"/>
        </w:rPr>
        <w:t xml:space="preserve"> </w:t>
      </w:r>
      <w:r>
        <w:rPr>
          <w:rFonts w:ascii="Arial" w:hAnsi="Arial" w:eastAsia="Arial" w:cs="Arial"/>
          <w:spacing w:val="-6"/>
          <w:sz w:val="19"/>
          <w:szCs w:val="19"/>
        </w:rPr>
        <w:t>items.</w:t>
      </w:r>
    </w:p>
    <w:p>
      <w:pPr>
        <w:spacing w:line="428" w:lineRule="auto"/>
        <w:rPr>
          <w:rFonts w:ascii="Arial"/>
          <w:sz w:val="21"/>
        </w:rPr>
      </w:pPr>
    </w:p>
    <w:p>
      <w:pPr>
        <w:spacing w:before="58" w:line="267" w:lineRule="exact"/>
        <w:ind w:left="9"/>
        <w:outlineLvl w:val="3"/>
        <w:rPr>
          <w:rFonts w:ascii="Arial" w:hAnsi="Arial" w:eastAsia="Arial" w:cs="Arial"/>
          <w:sz w:val="20"/>
          <w:szCs w:val="20"/>
        </w:rPr>
      </w:pPr>
      <w:r>
        <w:rPr>
          <w:rFonts w:ascii="Arial" w:hAnsi="Arial" w:eastAsia="Arial" w:cs="Arial"/>
          <w:color w:val="282781"/>
          <w:spacing w:val="-3"/>
          <w:position w:val="1"/>
          <w:sz w:val="20"/>
          <w:szCs w:val="20"/>
        </w:rPr>
        <w:t>Common-method bias</w:t>
      </w:r>
    </w:p>
    <w:p>
      <w:pPr>
        <w:spacing w:before="104" w:line="261" w:lineRule="auto"/>
        <w:ind w:left="4" w:firstLine="10"/>
        <w:jc w:val="both"/>
        <w:rPr>
          <w:rFonts w:ascii="Arial" w:hAnsi="Arial" w:eastAsia="Arial" w:cs="Arial"/>
          <w:sz w:val="19"/>
          <w:szCs w:val="19"/>
        </w:rPr>
      </w:pPr>
      <w:r>
        <w:rPr>
          <w:rFonts w:ascii="Arial" w:hAnsi="Arial" w:eastAsia="Arial" w:cs="Arial"/>
          <w:spacing w:val="-3"/>
          <w:sz w:val="19"/>
          <w:szCs w:val="19"/>
        </w:rPr>
        <w:t xml:space="preserve">In  order  to  test  for  common-method </w:t>
      </w:r>
      <w:r>
        <w:rPr>
          <w:rFonts w:ascii="Arial" w:hAnsi="Arial" w:eastAsia="Arial" w:cs="Arial"/>
          <w:spacing w:val="-4"/>
          <w:sz w:val="19"/>
          <w:szCs w:val="19"/>
        </w:rPr>
        <w:t xml:space="preserve"> bias,  we  irst  conducted  the  Harman`s  single-factor  test</w:t>
      </w:r>
      <w:r>
        <w:rPr>
          <w:rFonts w:ascii="Arial" w:hAnsi="Arial" w:eastAsia="Arial" w:cs="Arial"/>
          <w:sz w:val="19"/>
          <w:szCs w:val="19"/>
        </w:rPr>
        <w:t xml:space="preserve"> </w:t>
      </w:r>
      <w:r>
        <w:rPr>
          <w:rFonts w:ascii="Arial" w:hAnsi="Arial" w:eastAsia="Arial" w:cs="Arial"/>
          <w:spacing w:val="-5"/>
          <w:sz w:val="19"/>
          <w:szCs w:val="19"/>
        </w:rPr>
        <w:t>(Podsakof et</w:t>
      </w:r>
      <w:r>
        <w:rPr>
          <w:rFonts w:ascii="Arial" w:hAnsi="Arial" w:eastAsia="Arial" w:cs="Arial"/>
          <w:spacing w:val="12"/>
          <w:sz w:val="19"/>
          <w:szCs w:val="19"/>
        </w:rPr>
        <w:t xml:space="preserve"> </w:t>
      </w:r>
      <w:r>
        <w:rPr>
          <w:rFonts w:ascii="Arial" w:hAnsi="Arial" w:eastAsia="Arial" w:cs="Arial"/>
          <w:spacing w:val="-5"/>
          <w:sz w:val="19"/>
          <w:szCs w:val="19"/>
        </w:rPr>
        <w:t xml:space="preserve">al. </w:t>
      </w:r>
      <w:r>
        <w:fldChar w:fldCharType="begin"/>
      </w:r>
      <w:r>
        <w:instrText xml:space="preserve"> HYPERLINK \l "bookmark91" </w:instrText>
      </w:r>
      <w:r>
        <w:fldChar w:fldCharType="separate"/>
      </w:r>
      <w:r>
        <w:rPr>
          <w:rFonts w:ascii="Arial" w:hAnsi="Arial" w:eastAsia="Arial" w:cs="Arial"/>
          <w:color w:val="000084"/>
          <w:spacing w:val="-5"/>
          <w:sz w:val="19"/>
          <w:szCs w:val="19"/>
        </w:rPr>
        <w:t>2003</w:t>
      </w:r>
      <w:r>
        <w:rPr>
          <w:rFonts w:ascii="Arial" w:hAnsi="Arial" w:eastAsia="Arial" w:cs="Arial"/>
          <w:color w:val="000084"/>
          <w:spacing w:val="-5"/>
          <w:sz w:val="19"/>
          <w:szCs w:val="19"/>
        </w:rPr>
        <w:fldChar w:fldCharType="end"/>
      </w:r>
      <w:r>
        <w:rPr>
          <w:rFonts w:ascii="Arial" w:hAnsi="Arial" w:eastAsia="Arial" w:cs="Arial"/>
          <w:spacing w:val="-5"/>
          <w:sz w:val="19"/>
          <w:szCs w:val="19"/>
        </w:rPr>
        <w:t xml:space="preserve">). </w:t>
      </w:r>
      <w:r>
        <w:rPr>
          <w:rFonts w:ascii="Arial" w:hAnsi="Arial" w:eastAsia="Arial" w:cs="Arial"/>
          <w:spacing w:val="-6"/>
          <w:sz w:val="19"/>
          <w:szCs w:val="19"/>
        </w:rPr>
        <w:t>The</w:t>
      </w:r>
      <w:r>
        <w:rPr>
          <w:rFonts w:ascii="Arial" w:hAnsi="Arial" w:eastAsia="Arial" w:cs="Arial"/>
          <w:spacing w:val="12"/>
          <w:sz w:val="19"/>
          <w:szCs w:val="19"/>
        </w:rPr>
        <w:t xml:space="preserve"> </w:t>
      </w:r>
      <w:r>
        <w:rPr>
          <w:rFonts w:ascii="Arial" w:hAnsi="Arial" w:eastAsia="Arial" w:cs="Arial"/>
          <w:spacing w:val="-6"/>
          <w:sz w:val="19"/>
          <w:szCs w:val="19"/>
        </w:rPr>
        <w:t>six-factor</w:t>
      </w:r>
      <w:r>
        <w:rPr>
          <w:rFonts w:ascii="Arial" w:hAnsi="Arial" w:eastAsia="Arial" w:cs="Arial"/>
          <w:spacing w:val="14"/>
          <w:w w:val="101"/>
          <w:sz w:val="19"/>
          <w:szCs w:val="19"/>
        </w:rPr>
        <w:t xml:space="preserve"> </w:t>
      </w:r>
      <w:r>
        <w:rPr>
          <w:rFonts w:ascii="Arial" w:hAnsi="Arial" w:eastAsia="Arial" w:cs="Arial"/>
          <w:spacing w:val="-6"/>
          <w:sz w:val="19"/>
          <w:szCs w:val="19"/>
        </w:rPr>
        <w:t>solution</w:t>
      </w:r>
      <w:r>
        <w:rPr>
          <w:rFonts w:ascii="Arial" w:hAnsi="Arial" w:eastAsia="Arial" w:cs="Arial"/>
          <w:spacing w:val="13"/>
          <w:sz w:val="19"/>
          <w:szCs w:val="19"/>
        </w:rPr>
        <w:t xml:space="preserve"> </w:t>
      </w:r>
      <w:r>
        <w:rPr>
          <w:rFonts w:ascii="Arial" w:hAnsi="Arial" w:eastAsia="Arial" w:cs="Arial"/>
          <w:spacing w:val="-6"/>
          <w:sz w:val="19"/>
          <w:szCs w:val="19"/>
        </w:rPr>
        <w:t>of the</w:t>
      </w:r>
      <w:r>
        <w:rPr>
          <w:rFonts w:ascii="Arial" w:hAnsi="Arial" w:eastAsia="Arial" w:cs="Arial"/>
          <w:spacing w:val="19"/>
          <w:sz w:val="19"/>
          <w:szCs w:val="19"/>
        </w:rPr>
        <w:t xml:space="preserve"> </w:t>
      </w:r>
      <w:r>
        <w:rPr>
          <w:rFonts w:ascii="Arial" w:hAnsi="Arial" w:eastAsia="Arial" w:cs="Arial"/>
          <w:spacing w:val="-6"/>
          <w:sz w:val="19"/>
          <w:szCs w:val="19"/>
        </w:rPr>
        <w:t>EFA</w:t>
      </w:r>
      <w:r>
        <w:rPr>
          <w:rFonts w:ascii="Arial" w:hAnsi="Arial" w:eastAsia="Arial" w:cs="Arial"/>
          <w:spacing w:val="11"/>
          <w:sz w:val="19"/>
          <w:szCs w:val="19"/>
        </w:rPr>
        <w:t xml:space="preserve"> </w:t>
      </w:r>
      <w:r>
        <w:rPr>
          <w:rFonts w:ascii="Arial" w:hAnsi="Arial" w:eastAsia="Arial" w:cs="Arial"/>
          <w:spacing w:val="-6"/>
          <w:sz w:val="19"/>
          <w:szCs w:val="19"/>
        </w:rPr>
        <w:t>accounted for</w:t>
      </w:r>
      <w:r>
        <w:rPr>
          <w:rFonts w:ascii="Arial" w:hAnsi="Arial" w:eastAsia="Arial" w:cs="Arial"/>
          <w:spacing w:val="17"/>
          <w:sz w:val="19"/>
          <w:szCs w:val="19"/>
        </w:rPr>
        <w:t xml:space="preserve"> </w:t>
      </w:r>
      <w:r>
        <w:rPr>
          <w:rFonts w:ascii="Arial" w:hAnsi="Arial" w:eastAsia="Arial" w:cs="Arial"/>
          <w:spacing w:val="-6"/>
          <w:sz w:val="19"/>
          <w:szCs w:val="19"/>
        </w:rPr>
        <w:t>74.6%</w:t>
      </w:r>
      <w:r>
        <w:rPr>
          <w:rFonts w:ascii="Arial" w:hAnsi="Arial" w:eastAsia="Arial" w:cs="Arial"/>
          <w:spacing w:val="12"/>
          <w:sz w:val="19"/>
          <w:szCs w:val="19"/>
        </w:rPr>
        <w:t xml:space="preserve"> </w:t>
      </w:r>
      <w:r>
        <w:rPr>
          <w:rFonts w:ascii="Arial" w:hAnsi="Arial" w:eastAsia="Arial" w:cs="Arial"/>
          <w:spacing w:val="-6"/>
          <w:sz w:val="19"/>
          <w:szCs w:val="19"/>
        </w:rPr>
        <w:t>of the</w:t>
      </w:r>
      <w:r>
        <w:rPr>
          <w:rFonts w:ascii="Arial" w:hAnsi="Arial" w:eastAsia="Arial" w:cs="Arial"/>
          <w:spacing w:val="8"/>
          <w:sz w:val="19"/>
          <w:szCs w:val="19"/>
        </w:rPr>
        <w:t xml:space="preserve"> </w:t>
      </w:r>
      <w:r>
        <w:rPr>
          <w:rFonts w:ascii="Arial" w:hAnsi="Arial" w:eastAsia="Arial" w:cs="Arial"/>
          <w:spacing w:val="-6"/>
          <w:sz w:val="19"/>
          <w:szCs w:val="19"/>
        </w:rPr>
        <w:t>total</w:t>
      </w:r>
      <w:r>
        <w:rPr>
          <w:rFonts w:ascii="Arial" w:hAnsi="Arial" w:eastAsia="Arial" w:cs="Arial"/>
          <w:spacing w:val="9"/>
          <w:sz w:val="19"/>
          <w:szCs w:val="19"/>
        </w:rPr>
        <w:t xml:space="preserve"> </w:t>
      </w:r>
      <w:r>
        <w:rPr>
          <w:rFonts w:ascii="Arial" w:hAnsi="Arial" w:eastAsia="Arial" w:cs="Arial"/>
          <w:spacing w:val="-6"/>
          <w:sz w:val="19"/>
          <w:szCs w:val="19"/>
        </w:rPr>
        <w:t>variance.</w:t>
      </w:r>
      <w:r>
        <w:rPr>
          <w:rFonts w:ascii="Arial" w:hAnsi="Arial" w:eastAsia="Arial" w:cs="Arial"/>
          <w:sz w:val="19"/>
          <w:szCs w:val="19"/>
        </w:rPr>
        <w:t xml:space="preserve"> </w:t>
      </w:r>
      <w:r>
        <w:rPr>
          <w:rFonts w:ascii="Arial" w:hAnsi="Arial" w:eastAsia="Arial" w:cs="Arial"/>
          <w:spacing w:val="-4"/>
          <w:sz w:val="19"/>
          <w:szCs w:val="19"/>
        </w:rPr>
        <w:t>As</w:t>
      </w:r>
      <w:r>
        <w:rPr>
          <w:rFonts w:ascii="Arial" w:hAnsi="Arial" w:eastAsia="Arial" w:cs="Arial"/>
          <w:spacing w:val="18"/>
          <w:sz w:val="19"/>
          <w:szCs w:val="19"/>
        </w:rPr>
        <w:t xml:space="preserve"> </w:t>
      </w:r>
      <w:r>
        <w:rPr>
          <w:rFonts w:ascii="Arial" w:hAnsi="Arial" w:eastAsia="Arial" w:cs="Arial"/>
          <w:spacing w:val="-4"/>
          <w:sz w:val="19"/>
          <w:szCs w:val="19"/>
        </w:rPr>
        <w:t>required, the</w:t>
      </w:r>
      <w:r>
        <w:rPr>
          <w:rFonts w:ascii="Arial" w:hAnsi="Arial" w:eastAsia="Arial" w:cs="Arial"/>
          <w:spacing w:val="12"/>
          <w:sz w:val="19"/>
          <w:szCs w:val="19"/>
        </w:rPr>
        <w:t xml:space="preserve"> </w:t>
      </w:r>
      <w:r>
        <w:rPr>
          <w:rFonts w:ascii="Arial" w:hAnsi="Arial" w:eastAsia="Arial" w:cs="Arial"/>
          <w:spacing w:val="-4"/>
          <w:sz w:val="19"/>
          <w:szCs w:val="19"/>
        </w:rPr>
        <w:t>strongest factor</w:t>
      </w:r>
      <w:r>
        <w:rPr>
          <w:rFonts w:ascii="Arial" w:hAnsi="Arial" w:eastAsia="Arial" w:cs="Arial"/>
          <w:spacing w:val="18"/>
          <w:sz w:val="19"/>
          <w:szCs w:val="19"/>
        </w:rPr>
        <w:t xml:space="preserve"> </w:t>
      </w:r>
      <w:r>
        <w:rPr>
          <w:rFonts w:ascii="Arial" w:hAnsi="Arial" w:eastAsia="Arial" w:cs="Arial"/>
          <w:spacing w:val="-4"/>
          <w:sz w:val="19"/>
          <w:szCs w:val="19"/>
        </w:rPr>
        <w:t>(leadership</w:t>
      </w:r>
      <w:r>
        <w:rPr>
          <w:rFonts w:ascii="Arial" w:hAnsi="Arial" w:eastAsia="Arial" w:cs="Arial"/>
          <w:spacing w:val="18"/>
          <w:w w:val="101"/>
          <w:sz w:val="19"/>
          <w:szCs w:val="19"/>
        </w:rPr>
        <w:t xml:space="preserve"> </w:t>
      </w:r>
      <w:r>
        <w:rPr>
          <w:rFonts w:ascii="Arial" w:hAnsi="Arial" w:eastAsia="Arial" w:cs="Arial"/>
          <w:spacing w:val="-4"/>
          <w:sz w:val="19"/>
          <w:szCs w:val="19"/>
        </w:rPr>
        <w:t>behavior)</w:t>
      </w:r>
      <w:r>
        <w:rPr>
          <w:rFonts w:ascii="Arial" w:hAnsi="Arial" w:eastAsia="Arial" w:cs="Arial"/>
          <w:spacing w:val="11"/>
          <w:sz w:val="19"/>
          <w:szCs w:val="19"/>
        </w:rPr>
        <w:t xml:space="preserve"> </w:t>
      </w:r>
      <w:r>
        <w:rPr>
          <w:rFonts w:ascii="Arial" w:hAnsi="Arial" w:eastAsia="Arial" w:cs="Arial"/>
          <w:spacing w:val="-4"/>
          <w:sz w:val="19"/>
          <w:szCs w:val="19"/>
        </w:rPr>
        <w:t>did</w:t>
      </w:r>
      <w:r>
        <w:rPr>
          <w:rFonts w:ascii="Arial" w:hAnsi="Arial" w:eastAsia="Arial" w:cs="Arial"/>
          <w:spacing w:val="18"/>
          <w:sz w:val="19"/>
          <w:szCs w:val="19"/>
        </w:rPr>
        <w:t xml:space="preserve"> </w:t>
      </w:r>
      <w:r>
        <w:rPr>
          <w:rFonts w:ascii="Arial" w:hAnsi="Arial" w:eastAsia="Arial" w:cs="Arial"/>
          <w:spacing w:val="-4"/>
          <w:sz w:val="19"/>
          <w:szCs w:val="19"/>
        </w:rPr>
        <w:t>not</w:t>
      </w:r>
      <w:r>
        <w:rPr>
          <w:rFonts w:ascii="Arial" w:hAnsi="Arial" w:eastAsia="Arial" w:cs="Arial"/>
          <w:spacing w:val="12"/>
          <w:sz w:val="19"/>
          <w:szCs w:val="19"/>
        </w:rPr>
        <w:t xml:space="preserve"> </w:t>
      </w:r>
      <w:r>
        <w:rPr>
          <w:rFonts w:ascii="Arial" w:hAnsi="Arial" w:eastAsia="Arial" w:cs="Arial"/>
          <w:spacing w:val="-4"/>
          <w:sz w:val="19"/>
          <w:szCs w:val="19"/>
        </w:rPr>
        <w:t>explain the</w:t>
      </w:r>
      <w:r>
        <w:rPr>
          <w:rFonts w:ascii="Arial" w:hAnsi="Arial" w:eastAsia="Arial" w:cs="Arial"/>
          <w:spacing w:val="17"/>
          <w:sz w:val="19"/>
          <w:szCs w:val="19"/>
        </w:rPr>
        <w:t xml:space="preserve"> </w:t>
      </w:r>
      <w:r>
        <w:rPr>
          <w:rFonts w:ascii="Arial" w:hAnsi="Arial" w:eastAsia="Arial" w:cs="Arial"/>
          <w:spacing w:val="-4"/>
          <w:sz w:val="19"/>
          <w:szCs w:val="19"/>
        </w:rPr>
        <w:t>majority</w:t>
      </w:r>
      <w:r>
        <w:rPr>
          <w:rFonts w:ascii="Arial" w:hAnsi="Arial" w:eastAsia="Arial" w:cs="Arial"/>
          <w:spacing w:val="11"/>
          <w:sz w:val="19"/>
          <w:szCs w:val="19"/>
        </w:rPr>
        <w:t xml:space="preserve"> </w:t>
      </w:r>
      <w:r>
        <w:rPr>
          <w:rFonts w:ascii="Arial" w:hAnsi="Arial" w:eastAsia="Arial" w:cs="Arial"/>
          <w:spacing w:val="-4"/>
          <w:sz w:val="19"/>
          <w:szCs w:val="19"/>
        </w:rPr>
        <w:t>of th</w:t>
      </w:r>
      <w:r>
        <w:rPr>
          <w:rFonts w:ascii="Arial" w:hAnsi="Arial" w:eastAsia="Arial" w:cs="Arial"/>
          <w:spacing w:val="-5"/>
          <w:sz w:val="19"/>
          <w:szCs w:val="19"/>
        </w:rPr>
        <w:t>e total</w:t>
      </w:r>
      <w:r>
        <w:rPr>
          <w:rFonts w:ascii="Arial" w:hAnsi="Arial" w:eastAsia="Arial" w:cs="Arial"/>
          <w:spacing w:val="7"/>
          <w:sz w:val="19"/>
          <w:szCs w:val="19"/>
        </w:rPr>
        <w:t xml:space="preserve"> </w:t>
      </w:r>
      <w:r>
        <w:rPr>
          <w:rFonts w:ascii="Arial" w:hAnsi="Arial" w:eastAsia="Arial" w:cs="Arial"/>
          <w:spacing w:val="-5"/>
          <w:sz w:val="19"/>
          <w:szCs w:val="19"/>
        </w:rPr>
        <w:t>var-</w:t>
      </w:r>
      <w:r>
        <w:rPr>
          <w:rFonts w:ascii="Arial" w:hAnsi="Arial" w:eastAsia="Arial" w:cs="Arial"/>
          <w:sz w:val="19"/>
          <w:szCs w:val="19"/>
        </w:rPr>
        <w:t xml:space="preserve"> </w:t>
      </w:r>
      <w:r>
        <w:rPr>
          <w:rFonts w:ascii="Arial" w:hAnsi="Arial" w:eastAsia="Arial" w:cs="Arial"/>
          <w:spacing w:val="-4"/>
          <w:sz w:val="19"/>
          <w:szCs w:val="19"/>
        </w:rPr>
        <w:t>iance</w:t>
      </w:r>
      <w:r>
        <w:rPr>
          <w:rFonts w:ascii="Arial" w:hAnsi="Arial" w:eastAsia="Arial" w:cs="Arial"/>
          <w:spacing w:val="34"/>
          <w:sz w:val="19"/>
          <w:szCs w:val="19"/>
        </w:rPr>
        <w:t xml:space="preserve"> </w:t>
      </w:r>
      <w:r>
        <w:rPr>
          <w:rFonts w:ascii="Arial" w:hAnsi="Arial" w:eastAsia="Arial" w:cs="Arial"/>
          <w:spacing w:val="-4"/>
          <w:sz w:val="19"/>
          <w:szCs w:val="19"/>
        </w:rPr>
        <w:t>(26.2%).</w:t>
      </w:r>
      <w:r>
        <w:rPr>
          <w:rFonts w:ascii="Arial" w:hAnsi="Arial" w:eastAsia="Arial" w:cs="Arial"/>
          <w:spacing w:val="37"/>
          <w:sz w:val="19"/>
          <w:szCs w:val="19"/>
        </w:rPr>
        <w:t xml:space="preserve"> </w:t>
      </w:r>
      <w:r>
        <w:rPr>
          <w:rFonts w:ascii="Arial" w:hAnsi="Arial" w:eastAsia="Arial" w:cs="Arial"/>
          <w:spacing w:val="-4"/>
          <w:sz w:val="19"/>
          <w:szCs w:val="19"/>
        </w:rPr>
        <w:t>In</w:t>
      </w:r>
      <w:r>
        <w:rPr>
          <w:rFonts w:ascii="Arial" w:hAnsi="Arial" w:eastAsia="Arial" w:cs="Arial"/>
          <w:spacing w:val="29"/>
          <w:sz w:val="19"/>
          <w:szCs w:val="19"/>
        </w:rPr>
        <w:t xml:space="preserve"> </w:t>
      </w:r>
      <w:r>
        <w:rPr>
          <w:rFonts w:ascii="Arial" w:hAnsi="Arial" w:eastAsia="Arial" w:cs="Arial"/>
          <w:spacing w:val="-4"/>
          <w:sz w:val="19"/>
          <w:szCs w:val="19"/>
        </w:rPr>
        <w:t>addition,</w:t>
      </w:r>
      <w:r>
        <w:rPr>
          <w:rFonts w:ascii="Arial" w:hAnsi="Arial" w:eastAsia="Arial" w:cs="Arial"/>
          <w:spacing w:val="27"/>
          <w:sz w:val="19"/>
          <w:szCs w:val="19"/>
        </w:rPr>
        <w:t xml:space="preserve"> </w:t>
      </w:r>
      <w:r>
        <w:rPr>
          <w:rFonts w:ascii="Arial" w:hAnsi="Arial" w:eastAsia="Arial" w:cs="Arial"/>
          <w:spacing w:val="-4"/>
          <w:sz w:val="19"/>
          <w:szCs w:val="19"/>
        </w:rPr>
        <w:t>we</w:t>
      </w:r>
      <w:r>
        <w:rPr>
          <w:rFonts w:ascii="Arial" w:hAnsi="Arial" w:eastAsia="Arial" w:cs="Arial"/>
          <w:spacing w:val="29"/>
          <w:w w:val="101"/>
          <w:sz w:val="19"/>
          <w:szCs w:val="19"/>
        </w:rPr>
        <w:t xml:space="preserve"> </w:t>
      </w:r>
      <w:r>
        <w:rPr>
          <w:rFonts w:ascii="Arial" w:hAnsi="Arial" w:eastAsia="Arial" w:cs="Arial"/>
          <w:spacing w:val="-4"/>
          <w:sz w:val="19"/>
          <w:szCs w:val="19"/>
        </w:rPr>
        <w:t>did</w:t>
      </w:r>
      <w:r>
        <w:rPr>
          <w:rFonts w:ascii="Arial" w:hAnsi="Arial" w:eastAsia="Arial" w:cs="Arial"/>
          <w:spacing w:val="35"/>
          <w:w w:val="101"/>
          <w:sz w:val="19"/>
          <w:szCs w:val="19"/>
        </w:rPr>
        <w:t xml:space="preserve"> </w:t>
      </w:r>
      <w:r>
        <w:rPr>
          <w:rFonts w:ascii="Arial" w:hAnsi="Arial" w:eastAsia="Arial" w:cs="Arial"/>
          <w:spacing w:val="-4"/>
          <w:sz w:val="19"/>
          <w:szCs w:val="19"/>
        </w:rPr>
        <w:t>not</w:t>
      </w:r>
      <w:r>
        <w:rPr>
          <w:rFonts w:ascii="Arial" w:hAnsi="Arial" w:eastAsia="Arial" w:cs="Arial"/>
          <w:spacing w:val="25"/>
          <w:w w:val="101"/>
          <w:sz w:val="19"/>
          <w:szCs w:val="19"/>
        </w:rPr>
        <w:t xml:space="preserve"> </w:t>
      </w:r>
      <w:r>
        <w:rPr>
          <w:rFonts w:ascii="Arial" w:hAnsi="Arial" w:eastAsia="Arial" w:cs="Arial"/>
          <w:spacing w:val="-4"/>
          <w:sz w:val="19"/>
          <w:szCs w:val="19"/>
        </w:rPr>
        <w:t>ind</w:t>
      </w:r>
      <w:r>
        <w:rPr>
          <w:rFonts w:ascii="Arial" w:hAnsi="Arial" w:eastAsia="Arial" w:cs="Arial"/>
          <w:spacing w:val="29"/>
          <w:sz w:val="19"/>
          <w:szCs w:val="19"/>
        </w:rPr>
        <w:t xml:space="preserve"> </w:t>
      </w:r>
      <w:r>
        <w:rPr>
          <w:rFonts w:ascii="Arial" w:hAnsi="Arial" w:eastAsia="Arial" w:cs="Arial"/>
          <w:spacing w:val="-4"/>
          <w:sz w:val="19"/>
          <w:szCs w:val="19"/>
        </w:rPr>
        <w:t>an</w:t>
      </w:r>
      <w:r>
        <w:rPr>
          <w:rFonts w:ascii="Arial" w:hAnsi="Arial" w:eastAsia="Arial" w:cs="Arial"/>
          <w:spacing w:val="30"/>
          <w:w w:val="101"/>
          <w:sz w:val="19"/>
          <w:szCs w:val="19"/>
        </w:rPr>
        <w:t xml:space="preserve"> </w:t>
      </w:r>
      <w:r>
        <w:rPr>
          <w:rFonts w:ascii="Arial" w:hAnsi="Arial" w:eastAsia="Arial" w:cs="Arial"/>
          <w:spacing w:val="-4"/>
          <w:sz w:val="19"/>
          <w:szCs w:val="19"/>
        </w:rPr>
        <w:t>ove</w:t>
      </w:r>
      <w:r>
        <w:rPr>
          <w:rFonts w:ascii="Arial" w:hAnsi="Arial" w:eastAsia="Arial" w:cs="Arial"/>
          <w:spacing w:val="-5"/>
          <w:sz w:val="19"/>
          <w:szCs w:val="19"/>
        </w:rPr>
        <w:t>rarching</w:t>
      </w:r>
      <w:r>
        <w:rPr>
          <w:rFonts w:ascii="Arial" w:hAnsi="Arial" w:eastAsia="Arial" w:cs="Arial"/>
          <w:spacing w:val="26"/>
          <w:w w:val="101"/>
          <w:sz w:val="19"/>
          <w:szCs w:val="19"/>
        </w:rPr>
        <w:t xml:space="preserve"> </w:t>
      </w:r>
      <w:r>
        <w:rPr>
          <w:rFonts w:ascii="Arial" w:hAnsi="Arial" w:eastAsia="Arial" w:cs="Arial"/>
          <w:spacing w:val="-5"/>
          <w:sz w:val="19"/>
          <w:szCs w:val="19"/>
        </w:rPr>
        <w:t>factor</w:t>
      </w:r>
      <w:r>
        <w:rPr>
          <w:rFonts w:ascii="Arial" w:hAnsi="Arial" w:eastAsia="Arial" w:cs="Arial"/>
          <w:spacing w:val="35"/>
          <w:w w:val="101"/>
          <w:sz w:val="19"/>
          <w:szCs w:val="19"/>
        </w:rPr>
        <w:t xml:space="preserve"> </w:t>
      </w:r>
      <w:r>
        <w:rPr>
          <w:rFonts w:ascii="Arial" w:hAnsi="Arial" w:eastAsia="Arial" w:cs="Arial"/>
          <w:spacing w:val="-5"/>
          <w:sz w:val="19"/>
          <w:szCs w:val="19"/>
        </w:rPr>
        <w:t>in</w:t>
      </w:r>
      <w:r>
        <w:rPr>
          <w:rFonts w:ascii="Arial" w:hAnsi="Arial" w:eastAsia="Arial" w:cs="Arial"/>
          <w:spacing w:val="25"/>
          <w:w w:val="101"/>
          <w:sz w:val="19"/>
          <w:szCs w:val="19"/>
        </w:rPr>
        <w:t xml:space="preserve"> </w:t>
      </w:r>
      <w:r>
        <w:rPr>
          <w:rFonts w:ascii="Arial" w:hAnsi="Arial" w:eastAsia="Arial" w:cs="Arial"/>
          <w:spacing w:val="-5"/>
          <w:sz w:val="19"/>
          <w:szCs w:val="19"/>
        </w:rPr>
        <w:t>the</w:t>
      </w:r>
      <w:r>
        <w:rPr>
          <w:rFonts w:ascii="Arial" w:hAnsi="Arial" w:eastAsia="Arial" w:cs="Arial"/>
          <w:spacing w:val="36"/>
          <w:sz w:val="19"/>
          <w:szCs w:val="19"/>
        </w:rPr>
        <w:t xml:space="preserve"> </w:t>
      </w:r>
      <w:r>
        <w:rPr>
          <w:rFonts w:ascii="Arial" w:hAnsi="Arial" w:eastAsia="Arial" w:cs="Arial"/>
          <w:spacing w:val="-5"/>
          <w:sz w:val="19"/>
          <w:szCs w:val="19"/>
        </w:rPr>
        <w:t>unrotated</w:t>
      </w:r>
      <w:r>
        <w:rPr>
          <w:rFonts w:ascii="Arial" w:hAnsi="Arial" w:eastAsia="Arial" w:cs="Arial"/>
          <w:spacing w:val="26"/>
          <w:sz w:val="19"/>
          <w:szCs w:val="19"/>
        </w:rPr>
        <w:t xml:space="preserve"> </w:t>
      </w:r>
      <w:r>
        <w:rPr>
          <w:rFonts w:ascii="Arial" w:hAnsi="Arial" w:eastAsia="Arial" w:cs="Arial"/>
          <w:spacing w:val="-5"/>
          <w:sz w:val="19"/>
          <w:szCs w:val="19"/>
        </w:rPr>
        <w:t>factor</w:t>
      </w:r>
      <w:r>
        <w:rPr>
          <w:rFonts w:ascii="Arial" w:hAnsi="Arial" w:eastAsia="Arial" w:cs="Arial"/>
          <w:spacing w:val="37"/>
          <w:w w:val="101"/>
          <w:sz w:val="19"/>
          <w:szCs w:val="19"/>
        </w:rPr>
        <w:t xml:space="preserve"> </w:t>
      </w:r>
      <w:r>
        <w:rPr>
          <w:rFonts w:ascii="Arial" w:hAnsi="Arial" w:eastAsia="Arial" w:cs="Arial"/>
          <w:spacing w:val="-5"/>
          <w:sz w:val="19"/>
          <w:szCs w:val="19"/>
        </w:rPr>
        <w:t>loading</w:t>
      </w:r>
      <w:r>
        <w:rPr>
          <w:rFonts w:ascii="Arial" w:hAnsi="Arial" w:eastAsia="Arial" w:cs="Arial"/>
          <w:sz w:val="19"/>
          <w:szCs w:val="19"/>
        </w:rPr>
        <w:t xml:space="preserve"> </w:t>
      </w:r>
      <w:r>
        <w:rPr>
          <w:rFonts w:ascii="Arial" w:hAnsi="Arial" w:eastAsia="Arial" w:cs="Arial"/>
          <w:spacing w:val="-5"/>
          <w:sz w:val="19"/>
          <w:szCs w:val="19"/>
        </w:rPr>
        <w:t>matrix.</w:t>
      </w:r>
      <w:r>
        <w:rPr>
          <w:rFonts w:ascii="Arial" w:hAnsi="Arial" w:eastAsia="Arial" w:cs="Arial"/>
          <w:spacing w:val="45"/>
          <w:sz w:val="19"/>
          <w:szCs w:val="19"/>
        </w:rPr>
        <w:t xml:space="preserve"> </w:t>
      </w:r>
      <w:r>
        <w:rPr>
          <w:rFonts w:ascii="Arial" w:hAnsi="Arial" w:eastAsia="Arial" w:cs="Arial"/>
          <w:spacing w:val="-5"/>
          <w:sz w:val="19"/>
          <w:szCs w:val="19"/>
        </w:rPr>
        <w:t>In</w:t>
      </w:r>
      <w:r>
        <w:rPr>
          <w:rFonts w:ascii="Arial" w:hAnsi="Arial" w:eastAsia="Arial" w:cs="Arial"/>
          <w:spacing w:val="35"/>
          <w:w w:val="101"/>
          <w:sz w:val="19"/>
          <w:szCs w:val="19"/>
        </w:rPr>
        <w:t xml:space="preserve"> </w:t>
      </w:r>
      <w:r>
        <w:rPr>
          <w:rFonts w:ascii="Arial" w:hAnsi="Arial" w:eastAsia="Arial" w:cs="Arial"/>
          <w:spacing w:val="-5"/>
          <w:sz w:val="19"/>
          <w:szCs w:val="19"/>
        </w:rPr>
        <w:t>a</w:t>
      </w:r>
      <w:r>
        <w:rPr>
          <w:rFonts w:ascii="Arial" w:hAnsi="Arial" w:eastAsia="Arial" w:cs="Arial"/>
          <w:spacing w:val="36"/>
          <w:sz w:val="19"/>
          <w:szCs w:val="19"/>
        </w:rPr>
        <w:t xml:space="preserve"> </w:t>
      </w:r>
      <w:r>
        <w:rPr>
          <w:rFonts w:ascii="Arial" w:hAnsi="Arial" w:eastAsia="Arial" w:cs="Arial"/>
          <w:spacing w:val="-5"/>
          <w:sz w:val="19"/>
          <w:szCs w:val="19"/>
        </w:rPr>
        <w:t>second</w:t>
      </w:r>
      <w:r>
        <w:rPr>
          <w:rFonts w:ascii="Arial" w:hAnsi="Arial" w:eastAsia="Arial" w:cs="Arial"/>
          <w:spacing w:val="36"/>
          <w:w w:val="101"/>
          <w:sz w:val="19"/>
          <w:szCs w:val="19"/>
        </w:rPr>
        <w:t xml:space="preserve"> </w:t>
      </w:r>
      <w:r>
        <w:rPr>
          <w:rFonts w:ascii="Arial" w:hAnsi="Arial" w:eastAsia="Arial" w:cs="Arial"/>
          <w:spacing w:val="-5"/>
          <w:sz w:val="19"/>
          <w:szCs w:val="19"/>
        </w:rPr>
        <w:t>step,</w:t>
      </w:r>
      <w:r>
        <w:rPr>
          <w:rFonts w:ascii="Arial" w:hAnsi="Arial" w:eastAsia="Arial" w:cs="Arial"/>
          <w:spacing w:val="33"/>
          <w:w w:val="101"/>
          <w:sz w:val="19"/>
          <w:szCs w:val="19"/>
        </w:rPr>
        <w:t xml:space="preserve"> </w:t>
      </w:r>
      <w:r>
        <w:rPr>
          <w:rFonts w:ascii="Arial" w:hAnsi="Arial" w:eastAsia="Arial" w:cs="Arial"/>
          <w:spacing w:val="-5"/>
          <w:sz w:val="19"/>
          <w:szCs w:val="19"/>
        </w:rPr>
        <w:t>we</w:t>
      </w:r>
      <w:r>
        <w:rPr>
          <w:rFonts w:ascii="Arial" w:hAnsi="Arial" w:eastAsia="Arial" w:cs="Arial"/>
          <w:spacing w:val="42"/>
          <w:sz w:val="19"/>
          <w:szCs w:val="19"/>
        </w:rPr>
        <w:t xml:space="preserve"> </w:t>
      </w:r>
      <w:r>
        <w:rPr>
          <w:rFonts w:ascii="Arial" w:hAnsi="Arial" w:eastAsia="Arial" w:cs="Arial"/>
          <w:spacing w:val="-5"/>
          <w:sz w:val="19"/>
          <w:szCs w:val="19"/>
        </w:rPr>
        <w:t>performed</w:t>
      </w:r>
      <w:r>
        <w:rPr>
          <w:rFonts w:ascii="Arial" w:hAnsi="Arial" w:eastAsia="Arial" w:cs="Arial"/>
          <w:spacing w:val="32"/>
          <w:w w:val="101"/>
          <w:sz w:val="19"/>
          <w:szCs w:val="19"/>
        </w:rPr>
        <w:t xml:space="preserve"> </w:t>
      </w:r>
      <w:r>
        <w:rPr>
          <w:rFonts w:ascii="Arial" w:hAnsi="Arial" w:eastAsia="Arial" w:cs="Arial"/>
          <w:spacing w:val="-5"/>
          <w:sz w:val="19"/>
          <w:szCs w:val="19"/>
        </w:rPr>
        <w:t>the</w:t>
      </w:r>
      <w:r>
        <w:rPr>
          <w:rFonts w:ascii="Arial" w:hAnsi="Arial" w:eastAsia="Arial" w:cs="Arial"/>
          <w:spacing w:val="37"/>
          <w:sz w:val="19"/>
          <w:szCs w:val="19"/>
        </w:rPr>
        <w:t xml:space="preserve"> </w:t>
      </w:r>
      <w:r>
        <w:rPr>
          <w:rFonts w:ascii="Arial" w:hAnsi="Arial" w:eastAsia="Arial" w:cs="Arial"/>
          <w:spacing w:val="-5"/>
          <w:sz w:val="19"/>
          <w:szCs w:val="19"/>
        </w:rPr>
        <w:t>single-common-method-factor</w:t>
      </w:r>
      <w:r>
        <w:rPr>
          <w:rFonts w:ascii="Arial" w:hAnsi="Arial" w:eastAsia="Arial" w:cs="Arial"/>
          <w:spacing w:val="33"/>
          <w:w w:val="101"/>
          <w:sz w:val="19"/>
          <w:szCs w:val="19"/>
        </w:rPr>
        <w:t xml:space="preserve"> </w:t>
      </w:r>
      <w:r>
        <w:rPr>
          <w:rFonts w:ascii="Arial" w:hAnsi="Arial" w:eastAsia="Arial" w:cs="Arial"/>
          <w:spacing w:val="-5"/>
          <w:sz w:val="19"/>
          <w:szCs w:val="19"/>
        </w:rPr>
        <w:t>test</w:t>
      </w:r>
      <w:r>
        <w:rPr>
          <w:rFonts w:ascii="Arial" w:hAnsi="Arial" w:eastAsia="Arial" w:cs="Arial"/>
          <w:spacing w:val="42"/>
          <w:sz w:val="19"/>
          <w:szCs w:val="19"/>
        </w:rPr>
        <w:t xml:space="preserve"> </w:t>
      </w:r>
      <w:r>
        <w:rPr>
          <w:rFonts w:ascii="Arial" w:hAnsi="Arial" w:eastAsia="Arial" w:cs="Arial"/>
          <w:spacing w:val="-5"/>
          <w:sz w:val="19"/>
          <w:szCs w:val="19"/>
        </w:rPr>
        <w:t>(Pods</w:t>
      </w:r>
      <w:r>
        <w:rPr>
          <w:rFonts w:ascii="Arial" w:hAnsi="Arial" w:eastAsia="Arial" w:cs="Arial"/>
          <w:spacing w:val="-6"/>
          <w:sz w:val="19"/>
          <w:szCs w:val="19"/>
        </w:rPr>
        <w:t>akof</w:t>
      </w:r>
      <w:r>
        <w:rPr>
          <w:rFonts w:ascii="Arial" w:hAnsi="Arial" w:eastAsia="Arial" w:cs="Arial"/>
          <w:spacing w:val="27"/>
          <w:sz w:val="19"/>
          <w:szCs w:val="19"/>
        </w:rPr>
        <w:t xml:space="preserve"> </w:t>
      </w:r>
      <w:r>
        <w:rPr>
          <w:rFonts w:ascii="Arial" w:hAnsi="Arial" w:eastAsia="Arial" w:cs="Arial"/>
          <w:spacing w:val="-6"/>
          <w:sz w:val="19"/>
          <w:szCs w:val="19"/>
        </w:rPr>
        <w:t>et</w:t>
      </w:r>
      <w:r>
        <w:rPr>
          <w:rFonts w:ascii="Arial" w:hAnsi="Arial" w:eastAsia="Arial" w:cs="Arial"/>
          <w:spacing w:val="36"/>
          <w:sz w:val="19"/>
          <w:szCs w:val="19"/>
        </w:rPr>
        <w:t xml:space="preserve"> </w:t>
      </w:r>
      <w:r>
        <w:rPr>
          <w:rFonts w:ascii="Arial" w:hAnsi="Arial" w:eastAsia="Arial" w:cs="Arial"/>
          <w:spacing w:val="-6"/>
          <w:sz w:val="19"/>
          <w:szCs w:val="19"/>
        </w:rPr>
        <w:t>al.</w:t>
      </w:r>
      <w:r>
        <w:rPr>
          <w:rFonts w:ascii="Arial" w:hAnsi="Arial" w:eastAsia="Arial" w:cs="Arial"/>
          <w:sz w:val="19"/>
          <w:szCs w:val="19"/>
        </w:rPr>
        <w:t xml:space="preserve"> </w:t>
      </w:r>
      <w:r>
        <w:fldChar w:fldCharType="begin"/>
      </w:r>
      <w:r>
        <w:instrText xml:space="preserve"> HYPERLINK \l "bookmark92" </w:instrText>
      </w:r>
      <w:r>
        <w:fldChar w:fldCharType="separate"/>
      </w:r>
      <w:r>
        <w:rPr>
          <w:rFonts w:ascii="Arial" w:hAnsi="Arial" w:eastAsia="Arial" w:cs="Arial"/>
          <w:color w:val="000084"/>
          <w:spacing w:val="-6"/>
          <w:sz w:val="19"/>
          <w:szCs w:val="19"/>
        </w:rPr>
        <w:t>2003</w:t>
      </w:r>
      <w:r>
        <w:rPr>
          <w:rFonts w:ascii="Arial" w:hAnsi="Arial" w:eastAsia="Arial" w:cs="Arial"/>
          <w:color w:val="000084"/>
          <w:spacing w:val="-6"/>
          <w:sz w:val="19"/>
          <w:szCs w:val="19"/>
        </w:rPr>
        <w:fldChar w:fldCharType="end"/>
      </w:r>
      <w:r>
        <w:rPr>
          <w:rFonts w:ascii="Arial" w:hAnsi="Arial" w:eastAsia="Arial" w:cs="Arial"/>
          <w:spacing w:val="-6"/>
          <w:sz w:val="19"/>
          <w:szCs w:val="19"/>
        </w:rPr>
        <w:t>).</w:t>
      </w:r>
      <w:r>
        <w:rPr>
          <w:rFonts w:ascii="Arial" w:hAnsi="Arial" w:eastAsia="Arial" w:cs="Arial"/>
          <w:spacing w:val="16"/>
          <w:w w:val="101"/>
          <w:sz w:val="19"/>
          <w:szCs w:val="19"/>
        </w:rPr>
        <w:t xml:space="preserve"> </w:t>
      </w:r>
      <w:r>
        <w:rPr>
          <w:rFonts w:ascii="Arial" w:hAnsi="Arial" w:eastAsia="Arial" w:cs="Arial"/>
          <w:spacing w:val="-6"/>
          <w:sz w:val="19"/>
          <w:szCs w:val="19"/>
        </w:rPr>
        <w:t>The</w:t>
      </w:r>
      <w:r>
        <w:rPr>
          <w:rFonts w:ascii="Arial" w:hAnsi="Arial" w:eastAsia="Arial" w:cs="Arial"/>
          <w:spacing w:val="22"/>
          <w:sz w:val="19"/>
          <w:szCs w:val="19"/>
        </w:rPr>
        <w:t xml:space="preserve"> </w:t>
      </w:r>
      <w:r>
        <w:rPr>
          <w:rFonts w:ascii="Arial" w:hAnsi="Arial" w:eastAsia="Arial" w:cs="Arial"/>
          <w:spacing w:val="-6"/>
          <w:sz w:val="19"/>
          <w:szCs w:val="19"/>
        </w:rPr>
        <w:t>goodness</w:t>
      </w:r>
      <w:r>
        <w:rPr>
          <w:rFonts w:ascii="Arial" w:hAnsi="Arial" w:eastAsia="Arial" w:cs="Arial"/>
          <w:spacing w:val="23"/>
          <w:sz w:val="19"/>
          <w:szCs w:val="19"/>
        </w:rPr>
        <w:t xml:space="preserve"> </w:t>
      </w:r>
      <w:r>
        <w:rPr>
          <w:rFonts w:ascii="Arial" w:hAnsi="Arial" w:eastAsia="Arial" w:cs="Arial"/>
          <w:spacing w:val="-6"/>
          <w:sz w:val="19"/>
          <w:szCs w:val="19"/>
        </w:rPr>
        <w:t>of</w:t>
      </w:r>
      <w:r>
        <w:rPr>
          <w:rFonts w:ascii="Arial" w:hAnsi="Arial" w:eastAsia="Arial" w:cs="Arial"/>
          <w:spacing w:val="10"/>
          <w:sz w:val="19"/>
          <w:szCs w:val="19"/>
        </w:rPr>
        <w:t xml:space="preserve"> </w:t>
      </w:r>
      <w:r>
        <w:rPr>
          <w:rFonts w:ascii="Arial" w:hAnsi="Arial" w:eastAsia="Arial" w:cs="Arial"/>
          <w:spacing w:val="-6"/>
          <w:sz w:val="19"/>
          <w:szCs w:val="19"/>
        </w:rPr>
        <w:t>it</w:t>
      </w:r>
      <w:r>
        <w:rPr>
          <w:rFonts w:ascii="Arial" w:hAnsi="Arial" w:eastAsia="Arial" w:cs="Arial"/>
          <w:spacing w:val="22"/>
          <w:w w:val="101"/>
          <w:sz w:val="19"/>
          <w:szCs w:val="19"/>
        </w:rPr>
        <w:t xml:space="preserve"> </w:t>
      </w:r>
      <w:r>
        <w:rPr>
          <w:rFonts w:ascii="Arial" w:hAnsi="Arial" w:eastAsia="Arial" w:cs="Arial"/>
          <w:spacing w:val="-6"/>
          <w:sz w:val="19"/>
          <w:szCs w:val="19"/>
        </w:rPr>
        <w:t>of</w:t>
      </w:r>
      <w:r>
        <w:rPr>
          <w:rFonts w:ascii="Arial" w:hAnsi="Arial" w:eastAsia="Arial" w:cs="Arial"/>
          <w:spacing w:val="13"/>
          <w:w w:val="101"/>
          <w:sz w:val="19"/>
          <w:szCs w:val="19"/>
        </w:rPr>
        <w:t xml:space="preserve"> </w:t>
      </w:r>
      <w:r>
        <w:rPr>
          <w:rFonts w:ascii="Arial" w:hAnsi="Arial" w:eastAsia="Arial" w:cs="Arial"/>
          <w:spacing w:val="-6"/>
          <w:sz w:val="19"/>
          <w:szCs w:val="19"/>
        </w:rPr>
        <w:t>a</w:t>
      </w:r>
      <w:r>
        <w:rPr>
          <w:rFonts w:ascii="Arial" w:hAnsi="Arial" w:eastAsia="Arial" w:cs="Arial"/>
          <w:spacing w:val="21"/>
          <w:sz w:val="19"/>
          <w:szCs w:val="19"/>
        </w:rPr>
        <w:t xml:space="preserve"> </w:t>
      </w:r>
      <w:r>
        <w:rPr>
          <w:rFonts w:ascii="Arial" w:hAnsi="Arial" w:eastAsia="Arial" w:cs="Arial"/>
          <w:spacing w:val="-6"/>
          <w:sz w:val="19"/>
          <w:szCs w:val="19"/>
        </w:rPr>
        <w:t>common</w:t>
      </w:r>
      <w:r>
        <w:rPr>
          <w:rFonts w:ascii="Arial" w:hAnsi="Arial" w:eastAsia="Arial" w:cs="Arial"/>
          <w:spacing w:val="29"/>
          <w:sz w:val="19"/>
          <w:szCs w:val="19"/>
        </w:rPr>
        <w:t xml:space="preserve"> </w:t>
      </w:r>
      <w:r>
        <w:rPr>
          <w:rFonts w:ascii="Arial" w:hAnsi="Arial" w:eastAsia="Arial" w:cs="Arial"/>
          <w:spacing w:val="-6"/>
          <w:sz w:val="19"/>
          <w:szCs w:val="19"/>
        </w:rPr>
        <w:t>latent</w:t>
      </w:r>
      <w:r>
        <w:rPr>
          <w:rFonts w:ascii="Arial" w:hAnsi="Arial" w:eastAsia="Arial" w:cs="Arial"/>
          <w:spacing w:val="16"/>
          <w:w w:val="101"/>
          <w:sz w:val="19"/>
          <w:szCs w:val="19"/>
        </w:rPr>
        <w:t xml:space="preserve"> </w:t>
      </w:r>
      <w:r>
        <w:rPr>
          <w:rFonts w:ascii="Arial" w:hAnsi="Arial" w:eastAsia="Arial" w:cs="Arial"/>
          <w:spacing w:val="-6"/>
          <w:sz w:val="19"/>
          <w:szCs w:val="19"/>
        </w:rPr>
        <w:t>factor</w:t>
      </w:r>
      <w:r>
        <w:rPr>
          <w:rFonts w:ascii="Arial" w:hAnsi="Arial" w:eastAsia="Arial" w:cs="Arial"/>
          <w:spacing w:val="28"/>
          <w:sz w:val="19"/>
          <w:szCs w:val="19"/>
        </w:rPr>
        <w:t xml:space="preserve"> </w:t>
      </w:r>
      <w:r>
        <w:rPr>
          <w:rFonts w:ascii="Arial" w:hAnsi="Arial" w:eastAsia="Arial" w:cs="Arial"/>
          <w:spacing w:val="-6"/>
          <w:sz w:val="19"/>
          <w:szCs w:val="19"/>
        </w:rPr>
        <w:t>(CLF)</w:t>
      </w:r>
      <w:r>
        <w:rPr>
          <w:rFonts w:ascii="Arial" w:hAnsi="Arial" w:eastAsia="Arial" w:cs="Arial"/>
          <w:spacing w:val="27"/>
          <w:w w:val="101"/>
          <w:sz w:val="19"/>
          <w:szCs w:val="19"/>
        </w:rPr>
        <w:t xml:space="preserve"> </w:t>
      </w:r>
      <w:r>
        <w:rPr>
          <w:rFonts w:ascii="Arial" w:hAnsi="Arial" w:eastAsia="Arial" w:cs="Arial"/>
          <w:spacing w:val="-6"/>
          <w:sz w:val="19"/>
          <w:szCs w:val="19"/>
        </w:rPr>
        <w:t>model,</w:t>
      </w:r>
      <w:r>
        <w:rPr>
          <w:rFonts w:ascii="Arial" w:hAnsi="Arial" w:eastAsia="Arial" w:cs="Arial"/>
          <w:spacing w:val="25"/>
          <w:w w:val="101"/>
          <w:sz w:val="19"/>
          <w:szCs w:val="19"/>
        </w:rPr>
        <w:t xml:space="preserve"> </w:t>
      </w:r>
      <w:r>
        <w:rPr>
          <w:rFonts w:ascii="Arial" w:hAnsi="Arial" w:eastAsia="Arial" w:cs="Arial"/>
          <w:spacing w:val="-6"/>
          <w:sz w:val="19"/>
          <w:szCs w:val="19"/>
        </w:rPr>
        <w:t>in</w:t>
      </w:r>
      <w:r>
        <w:rPr>
          <w:rFonts w:ascii="Arial" w:hAnsi="Arial" w:eastAsia="Arial" w:cs="Arial"/>
          <w:spacing w:val="18"/>
          <w:sz w:val="19"/>
          <w:szCs w:val="19"/>
        </w:rPr>
        <w:t xml:space="preserve"> </w:t>
      </w:r>
      <w:r>
        <w:rPr>
          <w:rFonts w:ascii="Arial" w:hAnsi="Arial" w:eastAsia="Arial" w:cs="Arial"/>
          <w:spacing w:val="-6"/>
          <w:sz w:val="19"/>
          <w:szCs w:val="19"/>
        </w:rPr>
        <w:t>which</w:t>
      </w:r>
      <w:r>
        <w:rPr>
          <w:rFonts w:ascii="Arial" w:hAnsi="Arial" w:eastAsia="Arial" w:cs="Arial"/>
          <w:spacing w:val="21"/>
          <w:sz w:val="19"/>
          <w:szCs w:val="19"/>
        </w:rPr>
        <w:t xml:space="preserve"> </w:t>
      </w:r>
      <w:r>
        <w:rPr>
          <w:rFonts w:ascii="Arial" w:hAnsi="Arial" w:eastAsia="Arial" w:cs="Arial"/>
          <w:spacing w:val="-6"/>
          <w:sz w:val="19"/>
          <w:szCs w:val="19"/>
        </w:rPr>
        <w:t>all</w:t>
      </w:r>
      <w:r>
        <w:rPr>
          <w:rFonts w:ascii="Arial" w:hAnsi="Arial" w:eastAsia="Arial" w:cs="Arial"/>
          <w:spacing w:val="28"/>
          <w:w w:val="101"/>
          <w:sz w:val="19"/>
          <w:szCs w:val="19"/>
        </w:rPr>
        <w:t xml:space="preserve"> </w:t>
      </w:r>
      <w:r>
        <w:rPr>
          <w:rFonts w:ascii="Arial" w:hAnsi="Arial" w:eastAsia="Arial" w:cs="Arial"/>
          <w:spacing w:val="-6"/>
          <w:sz w:val="19"/>
          <w:szCs w:val="19"/>
        </w:rPr>
        <w:t>manifest</w:t>
      </w:r>
      <w:r>
        <w:rPr>
          <w:rFonts w:ascii="Arial" w:hAnsi="Arial" w:eastAsia="Arial" w:cs="Arial"/>
          <w:spacing w:val="16"/>
          <w:w w:val="101"/>
          <w:sz w:val="19"/>
          <w:szCs w:val="19"/>
        </w:rPr>
        <w:t xml:space="preserve"> </w:t>
      </w:r>
      <w:r>
        <w:rPr>
          <w:rFonts w:ascii="Arial" w:hAnsi="Arial" w:eastAsia="Arial" w:cs="Arial"/>
          <w:spacing w:val="-6"/>
          <w:sz w:val="19"/>
          <w:szCs w:val="19"/>
        </w:rPr>
        <w:t>variables</w:t>
      </w:r>
      <w:r>
        <w:rPr>
          <w:rFonts w:ascii="Arial" w:hAnsi="Arial" w:eastAsia="Arial" w:cs="Arial"/>
          <w:sz w:val="19"/>
          <w:szCs w:val="19"/>
        </w:rPr>
        <w:t xml:space="preserve"> </w:t>
      </w:r>
      <w:r>
        <w:rPr>
          <w:rFonts w:ascii="Arial" w:hAnsi="Arial" w:eastAsia="Arial" w:cs="Arial"/>
          <w:spacing w:val="-6"/>
          <w:sz w:val="19"/>
          <w:szCs w:val="19"/>
        </w:rPr>
        <w:t>are</w:t>
      </w:r>
      <w:r>
        <w:rPr>
          <w:rFonts w:ascii="Arial" w:hAnsi="Arial" w:eastAsia="Arial" w:cs="Arial"/>
          <w:spacing w:val="29"/>
          <w:w w:val="101"/>
          <w:sz w:val="19"/>
          <w:szCs w:val="19"/>
        </w:rPr>
        <w:t xml:space="preserve"> </w:t>
      </w:r>
      <w:r>
        <w:rPr>
          <w:rFonts w:ascii="Arial" w:hAnsi="Arial" w:eastAsia="Arial" w:cs="Arial"/>
          <w:spacing w:val="-6"/>
          <w:sz w:val="19"/>
          <w:szCs w:val="19"/>
        </w:rPr>
        <w:t>explained</w:t>
      </w:r>
      <w:r>
        <w:rPr>
          <w:rFonts w:ascii="Arial" w:hAnsi="Arial" w:eastAsia="Arial" w:cs="Arial"/>
          <w:spacing w:val="26"/>
          <w:w w:val="101"/>
          <w:sz w:val="19"/>
          <w:szCs w:val="19"/>
        </w:rPr>
        <w:t xml:space="preserve"> </w:t>
      </w:r>
      <w:r>
        <w:rPr>
          <w:rFonts w:ascii="Arial" w:hAnsi="Arial" w:eastAsia="Arial" w:cs="Arial"/>
          <w:spacing w:val="-6"/>
          <w:sz w:val="19"/>
          <w:szCs w:val="19"/>
        </w:rPr>
        <w:t>through</w:t>
      </w:r>
      <w:r>
        <w:rPr>
          <w:rFonts w:ascii="Arial" w:hAnsi="Arial" w:eastAsia="Arial" w:cs="Arial"/>
          <w:spacing w:val="30"/>
          <w:sz w:val="19"/>
          <w:szCs w:val="19"/>
        </w:rPr>
        <w:t xml:space="preserve"> </w:t>
      </w:r>
      <w:r>
        <w:rPr>
          <w:rFonts w:ascii="Arial" w:hAnsi="Arial" w:eastAsia="Arial" w:cs="Arial"/>
          <w:spacing w:val="-6"/>
          <w:sz w:val="19"/>
          <w:szCs w:val="19"/>
        </w:rPr>
        <w:t>a</w:t>
      </w:r>
      <w:r>
        <w:rPr>
          <w:rFonts w:ascii="Arial" w:hAnsi="Arial" w:eastAsia="Arial" w:cs="Arial"/>
          <w:spacing w:val="29"/>
          <w:w w:val="101"/>
          <w:sz w:val="19"/>
          <w:szCs w:val="19"/>
        </w:rPr>
        <w:t xml:space="preserve"> </w:t>
      </w:r>
      <w:r>
        <w:rPr>
          <w:rFonts w:ascii="Arial" w:hAnsi="Arial" w:eastAsia="Arial" w:cs="Arial"/>
          <w:spacing w:val="-6"/>
          <w:sz w:val="19"/>
          <w:szCs w:val="19"/>
        </w:rPr>
        <w:t>single</w:t>
      </w:r>
      <w:r>
        <w:rPr>
          <w:rFonts w:ascii="Arial" w:hAnsi="Arial" w:eastAsia="Arial" w:cs="Arial"/>
          <w:spacing w:val="25"/>
          <w:sz w:val="19"/>
          <w:szCs w:val="19"/>
        </w:rPr>
        <w:t xml:space="preserve"> </w:t>
      </w:r>
      <w:r>
        <w:rPr>
          <w:rFonts w:ascii="Arial" w:hAnsi="Arial" w:eastAsia="Arial" w:cs="Arial"/>
          <w:spacing w:val="-6"/>
          <w:sz w:val="19"/>
          <w:szCs w:val="19"/>
        </w:rPr>
        <w:t>factor</w:t>
      </w:r>
      <w:r>
        <w:rPr>
          <w:rFonts w:ascii="Arial" w:hAnsi="Arial" w:eastAsia="Arial" w:cs="Arial"/>
          <w:spacing w:val="34"/>
          <w:w w:val="101"/>
          <w:sz w:val="19"/>
          <w:szCs w:val="19"/>
        </w:rPr>
        <w:t xml:space="preserve"> </w:t>
      </w:r>
      <w:r>
        <w:rPr>
          <w:rFonts w:ascii="Arial" w:hAnsi="Arial" w:eastAsia="Arial" w:cs="Arial"/>
          <w:spacing w:val="-6"/>
          <w:sz w:val="19"/>
          <w:szCs w:val="19"/>
        </w:rPr>
        <w:t>(χ² = 470</w:t>
      </w:r>
      <w:r>
        <w:rPr>
          <w:rFonts w:ascii="Arial" w:hAnsi="Arial" w:eastAsia="Arial" w:cs="Arial"/>
          <w:spacing w:val="-7"/>
          <w:sz w:val="19"/>
          <w:szCs w:val="19"/>
        </w:rPr>
        <w:t>4.481,</w:t>
      </w:r>
      <w:r>
        <w:rPr>
          <w:rFonts w:ascii="Arial" w:hAnsi="Arial" w:eastAsia="Arial" w:cs="Arial"/>
          <w:spacing w:val="30"/>
          <w:sz w:val="19"/>
          <w:szCs w:val="19"/>
        </w:rPr>
        <w:t xml:space="preserve"> </w:t>
      </w:r>
      <w:r>
        <w:rPr>
          <w:rFonts w:ascii="Arial" w:hAnsi="Arial" w:eastAsia="Arial" w:cs="Arial"/>
          <w:spacing w:val="-7"/>
          <w:sz w:val="19"/>
          <w:szCs w:val="19"/>
        </w:rPr>
        <w:t>df</w:t>
      </w:r>
      <w:r>
        <w:rPr>
          <w:rFonts w:ascii="Arial" w:hAnsi="Arial" w:eastAsia="Arial" w:cs="Arial"/>
          <w:spacing w:val="-14"/>
          <w:sz w:val="19"/>
          <w:szCs w:val="19"/>
        </w:rPr>
        <w:t xml:space="preserve"> </w:t>
      </w:r>
      <w:r>
        <w:rPr>
          <w:rFonts w:ascii="Arial" w:hAnsi="Arial" w:eastAsia="Arial" w:cs="Arial"/>
          <w:spacing w:val="-7"/>
          <w:sz w:val="19"/>
          <w:szCs w:val="19"/>
        </w:rPr>
        <w:t>= 306;</w:t>
      </w:r>
      <w:r>
        <w:rPr>
          <w:rFonts w:ascii="Arial" w:hAnsi="Arial" w:eastAsia="Arial" w:cs="Arial"/>
          <w:spacing w:val="23"/>
          <w:w w:val="101"/>
          <w:sz w:val="19"/>
          <w:szCs w:val="19"/>
        </w:rPr>
        <w:t xml:space="preserve"> </w:t>
      </w:r>
      <w:r>
        <w:rPr>
          <w:rFonts w:ascii="Arial" w:hAnsi="Arial" w:eastAsia="Arial" w:cs="Arial"/>
          <w:spacing w:val="-7"/>
          <w:sz w:val="19"/>
          <w:szCs w:val="19"/>
        </w:rPr>
        <w:t>χ²/df</w:t>
      </w:r>
      <w:r>
        <w:rPr>
          <w:rFonts w:ascii="Arial" w:hAnsi="Arial" w:eastAsia="Arial" w:cs="Arial"/>
          <w:spacing w:val="-15"/>
          <w:sz w:val="19"/>
          <w:szCs w:val="19"/>
        </w:rPr>
        <w:t xml:space="preserve"> </w:t>
      </w:r>
      <w:r>
        <w:rPr>
          <w:rFonts w:ascii="Arial" w:hAnsi="Arial" w:eastAsia="Arial" w:cs="Arial"/>
          <w:spacing w:val="-7"/>
          <w:sz w:val="19"/>
          <w:szCs w:val="19"/>
        </w:rPr>
        <w:t>= 15.374,</w:t>
      </w:r>
      <w:r>
        <w:rPr>
          <w:rFonts w:ascii="Arial" w:hAnsi="Arial" w:eastAsia="Arial" w:cs="Arial"/>
          <w:spacing w:val="20"/>
          <w:w w:val="101"/>
          <w:sz w:val="19"/>
          <w:szCs w:val="19"/>
        </w:rPr>
        <w:t xml:space="preserve"> </w:t>
      </w:r>
      <w:r>
        <w:rPr>
          <w:rFonts w:ascii="Arial" w:hAnsi="Arial" w:eastAsia="Arial" w:cs="Arial"/>
          <w:spacing w:val="-7"/>
          <w:sz w:val="19"/>
          <w:szCs w:val="19"/>
        </w:rPr>
        <w:t>p &lt; .001)</w:t>
      </w:r>
      <w:r>
        <w:rPr>
          <w:rFonts w:ascii="Arial" w:hAnsi="Arial" w:eastAsia="Arial" w:cs="Arial"/>
          <w:spacing w:val="26"/>
          <w:sz w:val="19"/>
          <w:szCs w:val="19"/>
        </w:rPr>
        <w:t xml:space="preserve"> </w:t>
      </w:r>
      <w:r>
        <w:rPr>
          <w:rFonts w:ascii="Arial" w:hAnsi="Arial" w:eastAsia="Arial" w:cs="Arial"/>
          <w:spacing w:val="-7"/>
          <w:sz w:val="19"/>
          <w:szCs w:val="19"/>
        </w:rPr>
        <w:t>was</w:t>
      </w:r>
      <w:r>
        <w:rPr>
          <w:rFonts w:ascii="Arial" w:hAnsi="Arial" w:eastAsia="Arial" w:cs="Arial"/>
          <w:spacing w:val="29"/>
          <w:sz w:val="19"/>
          <w:szCs w:val="19"/>
        </w:rPr>
        <w:t xml:space="preserve"> </w:t>
      </w:r>
      <w:r>
        <w:rPr>
          <w:rFonts w:ascii="Arial" w:hAnsi="Arial" w:eastAsia="Arial" w:cs="Arial"/>
          <w:spacing w:val="-7"/>
          <w:sz w:val="19"/>
          <w:szCs w:val="19"/>
        </w:rPr>
        <w:t>signii-</w:t>
      </w:r>
      <w:r>
        <w:rPr>
          <w:rFonts w:ascii="Arial" w:hAnsi="Arial" w:eastAsia="Arial" w:cs="Arial"/>
          <w:sz w:val="19"/>
          <w:szCs w:val="19"/>
        </w:rPr>
        <w:t xml:space="preserve"> </w:t>
      </w:r>
      <w:r>
        <w:rPr>
          <w:rFonts w:ascii="Arial" w:hAnsi="Arial" w:eastAsia="Arial" w:cs="Arial"/>
          <w:spacing w:val="-6"/>
          <w:sz w:val="19"/>
          <w:szCs w:val="19"/>
        </w:rPr>
        <w:t>cantly</w:t>
      </w:r>
      <w:r>
        <w:rPr>
          <w:rFonts w:ascii="Arial" w:hAnsi="Arial" w:eastAsia="Arial" w:cs="Arial"/>
          <w:spacing w:val="21"/>
          <w:w w:val="101"/>
          <w:sz w:val="19"/>
          <w:szCs w:val="19"/>
        </w:rPr>
        <w:t xml:space="preserve"> </w:t>
      </w:r>
      <w:r>
        <w:rPr>
          <w:rFonts w:ascii="Arial" w:hAnsi="Arial" w:eastAsia="Arial" w:cs="Arial"/>
          <w:spacing w:val="-6"/>
          <w:sz w:val="19"/>
          <w:szCs w:val="19"/>
        </w:rPr>
        <w:t>worse</w:t>
      </w:r>
      <w:r>
        <w:rPr>
          <w:rFonts w:ascii="Arial" w:hAnsi="Arial" w:eastAsia="Arial" w:cs="Arial"/>
          <w:spacing w:val="21"/>
          <w:sz w:val="19"/>
          <w:szCs w:val="19"/>
        </w:rPr>
        <w:t xml:space="preserve"> </w:t>
      </w:r>
      <w:r>
        <w:rPr>
          <w:rFonts w:ascii="Arial" w:hAnsi="Arial" w:eastAsia="Arial" w:cs="Arial"/>
          <w:spacing w:val="-6"/>
          <w:sz w:val="19"/>
          <w:szCs w:val="19"/>
        </w:rPr>
        <w:t>than</w:t>
      </w:r>
      <w:r>
        <w:rPr>
          <w:rFonts w:ascii="Arial" w:hAnsi="Arial" w:eastAsia="Arial" w:cs="Arial"/>
          <w:spacing w:val="20"/>
          <w:w w:val="101"/>
          <w:sz w:val="19"/>
          <w:szCs w:val="19"/>
        </w:rPr>
        <w:t xml:space="preserve"> </w:t>
      </w:r>
      <w:r>
        <w:rPr>
          <w:rFonts w:ascii="Arial" w:hAnsi="Arial" w:eastAsia="Arial" w:cs="Arial"/>
          <w:spacing w:val="-6"/>
          <w:sz w:val="19"/>
          <w:szCs w:val="19"/>
        </w:rPr>
        <w:t>the</w:t>
      </w:r>
      <w:r>
        <w:rPr>
          <w:rFonts w:ascii="Arial" w:hAnsi="Arial" w:eastAsia="Arial" w:cs="Arial"/>
          <w:spacing w:val="25"/>
          <w:w w:val="101"/>
          <w:sz w:val="19"/>
          <w:szCs w:val="19"/>
        </w:rPr>
        <w:t xml:space="preserve"> </w:t>
      </w:r>
      <w:r>
        <w:rPr>
          <w:rFonts w:ascii="Arial" w:hAnsi="Arial" w:eastAsia="Arial" w:cs="Arial"/>
          <w:spacing w:val="-6"/>
          <w:sz w:val="19"/>
          <w:szCs w:val="19"/>
        </w:rPr>
        <w:t>goodness</w:t>
      </w:r>
      <w:r>
        <w:rPr>
          <w:rFonts w:ascii="Arial" w:hAnsi="Arial" w:eastAsia="Arial" w:cs="Arial"/>
          <w:spacing w:val="24"/>
          <w:w w:val="101"/>
          <w:sz w:val="19"/>
          <w:szCs w:val="19"/>
        </w:rPr>
        <w:t xml:space="preserve"> </w:t>
      </w:r>
      <w:r>
        <w:rPr>
          <w:rFonts w:ascii="Arial" w:hAnsi="Arial" w:eastAsia="Arial" w:cs="Arial"/>
          <w:spacing w:val="-6"/>
          <w:sz w:val="19"/>
          <w:szCs w:val="19"/>
        </w:rPr>
        <w:t>of</w:t>
      </w:r>
      <w:r>
        <w:rPr>
          <w:rFonts w:ascii="Arial" w:hAnsi="Arial" w:eastAsia="Arial" w:cs="Arial"/>
          <w:spacing w:val="12"/>
          <w:sz w:val="19"/>
          <w:szCs w:val="19"/>
        </w:rPr>
        <w:t xml:space="preserve"> </w:t>
      </w:r>
      <w:r>
        <w:rPr>
          <w:rFonts w:ascii="Arial" w:hAnsi="Arial" w:eastAsia="Arial" w:cs="Arial"/>
          <w:spacing w:val="-6"/>
          <w:sz w:val="19"/>
          <w:szCs w:val="19"/>
        </w:rPr>
        <w:t>it</w:t>
      </w:r>
      <w:r>
        <w:rPr>
          <w:rFonts w:ascii="Arial" w:hAnsi="Arial" w:eastAsia="Arial" w:cs="Arial"/>
          <w:spacing w:val="25"/>
          <w:sz w:val="19"/>
          <w:szCs w:val="19"/>
        </w:rPr>
        <w:t xml:space="preserve"> </w:t>
      </w:r>
      <w:r>
        <w:rPr>
          <w:rFonts w:ascii="Arial" w:hAnsi="Arial" w:eastAsia="Arial" w:cs="Arial"/>
          <w:spacing w:val="-6"/>
          <w:sz w:val="19"/>
          <w:szCs w:val="19"/>
        </w:rPr>
        <w:t>of</w:t>
      </w:r>
      <w:r>
        <w:rPr>
          <w:rFonts w:ascii="Arial" w:hAnsi="Arial" w:eastAsia="Arial" w:cs="Arial"/>
          <w:spacing w:val="13"/>
          <w:sz w:val="19"/>
          <w:szCs w:val="19"/>
        </w:rPr>
        <w:t xml:space="preserve"> </w:t>
      </w:r>
      <w:r>
        <w:rPr>
          <w:rFonts w:ascii="Arial" w:hAnsi="Arial" w:eastAsia="Arial" w:cs="Arial"/>
          <w:spacing w:val="-6"/>
          <w:sz w:val="19"/>
          <w:szCs w:val="19"/>
        </w:rPr>
        <w:t>the</w:t>
      </w:r>
      <w:r>
        <w:rPr>
          <w:rFonts w:ascii="Arial" w:hAnsi="Arial" w:eastAsia="Arial" w:cs="Arial"/>
          <w:spacing w:val="25"/>
          <w:sz w:val="19"/>
          <w:szCs w:val="19"/>
        </w:rPr>
        <w:t xml:space="preserve"> </w:t>
      </w:r>
      <w:r>
        <w:rPr>
          <w:rFonts w:ascii="Arial" w:hAnsi="Arial" w:eastAsia="Arial" w:cs="Arial"/>
          <w:spacing w:val="-6"/>
          <w:sz w:val="19"/>
          <w:szCs w:val="19"/>
        </w:rPr>
        <w:t>actual</w:t>
      </w:r>
      <w:r>
        <w:rPr>
          <w:rFonts w:ascii="Arial" w:hAnsi="Arial" w:eastAsia="Arial" w:cs="Arial"/>
          <w:spacing w:val="31"/>
          <w:sz w:val="19"/>
          <w:szCs w:val="19"/>
        </w:rPr>
        <w:t xml:space="preserve"> </w:t>
      </w:r>
      <w:r>
        <w:rPr>
          <w:rFonts w:ascii="Arial" w:hAnsi="Arial" w:eastAsia="Arial" w:cs="Arial"/>
          <w:spacing w:val="-6"/>
          <w:sz w:val="19"/>
          <w:szCs w:val="19"/>
        </w:rPr>
        <w:t>research</w:t>
      </w:r>
      <w:r>
        <w:rPr>
          <w:rFonts w:ascii="Arial" w:hAnsi="Arial" w:eastAsia="Arial" w:cs="Arial"/>
          <w:spacing w:val="31"/>
          <w:w w:val="101"/>
          <w:sz w:val="19"/>
          <w:szCs w:val="19"/>
        </w:rPr>
        <w:t xml:space="preserve"> </w:t>
      </w:r>
      <w:r>
        <w:rPr>
          <w:rFonts w:ascii="Arial" w:hAnsi="Arial" w:eastAsia="Arial" w:cs="Arial"/>
          <w:spacing w:val="-6"/>
          <w:sz w:val="19"/>
          <w:szCs w:val="19"/>
        </w:rPr>
        <w:t>model</w:t>
      </w:r>
      <w:r>
        <w:rPr>
          <w:rFonts w:ascii="Arial" w:hAnsi="Arial" w:eastAsia="Arial" w:cs="Arial"/>
          <w:spacing w:val="30"/>
          <w:sz w:val="19"/>
          <w:szCs w:val="19"/>
        </w:rPr>
        <w:t xml:space="preserve"> </w:t>
      </w:r>
      <w:r>
        <w:rPr>
          <w:rFonts w:ascii="Arial" w:hAnsi="Arial" w:eastAsia="Arial" w:cs="Arial"/>
          <w:spacing w:val="-6"/>
          <w:sz w:val="19"/>
          <w:szCs w:val="19"/>
        </w:rPr>
        <w:t>(Δ</w:t>
      </w:r>
      <w:r>
        <w:rPr>
          <w:rFonts w:ascii="Arial" w:hAnsi="Arial" w:eastAsia="Arial" w:cs="Arial"/>
          <w:spacing w:val="20"/>
          <w:sz w:val="19"/>
          <w:szCs w:val="19"/>
        </w:rPr>
        <w:t xml:space="preserve"> </w:t>
      </w:r>
      <w:r>
        <w:rPr>
          <w:rFonts w:ascii="Arial" w:hAnsi="Arial" w:eastAsia="Arial" w:cs="Arial"/>
          <w:spacing w:val="-6"/>
          <w:sz w:val="19"/>
          <w:szCs w:val="19"/>
        </w:rPr>
        <w:t>χ² =</w:t>
      </w:r>
      <w:r>
        <w:rPr>
          <w:rFonts w:ascii="Arial" w:hAnsi="Arial" w:eastAsia="Arial" w:cs="Arial"/>
          <w:spacing w:val="-12"/>
          <w:sz w:val="19"/>
          <w:szCs w:val="19"/>
        </w:rPr>
        <w:t xml:space="preserve"> </w:t>
      </w:r>
      <w:r>
        <w:rPr>
          <w:rFonts w:ascii="Arial" w:hAnsi="Arial" w:eastAsia="Arial" w:cs="Arial"/>
          <w:spacing w:val="-6"/>
          <w:sz w:val="19"/>
          <w:szCs w:val="19"/>
        </w:rPr>
        <w:t>4064.299;</w:t>
      </w:r>
      <w:r>
        <w:rPr>
          <w:rFonts w:ascii="Arial" w:hAnsi="Arial" w:eastAsia="Arial" w:cs="Arial"/>
          <w:spacing w:val="21"/>
          <w:sz w:val="19"/>
          <w:szCs w:val="19"/>
        </w:rPr>
        <w:t xml:space="preserve"> </w:t>
      </w:r>
      <w:r>
        <w:rPr>
          <w:rFonts w:ascii="Arial" w:hAnsi="Arial" w:eastAsia="Arial" w:cs="Arial"/>
          <w:spacing w:val="-6"/>
          <w:sz w:val="19"/>
          <w:szCs w:val="19"/>
        </w:rPr>
        <w:t>Δ</w:t>
      </w:r>
      <w:r>
        <w:rPr>
          <w:rFonts w:ascii="Arial" w:hAnsi="Arial" w:eastAsia="Arial" w:cs="Arial"/>
          <w:spacing w:val="25"/>
          <w:sz w:val="19"/>
          <w:szCs w:val="19"/>
        </w:rPr>
        <w:t xml:space="preserve"> </w:t>
      </w:r>
      <w:r>
        <w:rPr>
          <w:rFonts w:ascii="Arial" w:hAnsi="Arial" w:eastAsia="Arial" w:cs="Arial"/>
          <w:spacing w:val="-6"/>
          <w:sz w:val="19"/>
          <w:szCs w:val="19"/>
        </w:rPr>
        <w:t>df</w:t>
      </w:r>
      <w:r>
        <w:rPr>
          <w:rFonts w:ascii="Arial" w:hAnsi="Arial" w:eastAsia="Arial" w:cs="Arial"/>
          <w:spacing w:val="-15"/>
          <w:sz w:val="19"/>
          <w:szCs w:val="19"/>
        </w:rPr>
        <w:t xml:space="preserve"> </w:t>
      </w:r>
      <w:r>
        <w:rPr>
          <w:rFonts w:ascii="Arial" w:hAnsi="Arial" w:eastAsia="Arial" w:cs="Arial"/>
          <w:spacing w:val="-6"/>
          <w:sz w:val="19"/>
          <w:szCs w:val="19"/>
        </w:rPr>
        <w:t>= 15;</w:t>
      </w:r>
      <w:r>
        <w:rPr>
          <w:rFonts w:ascii="Arial" w:hAnsi="Arial" w:eastAsia="Arial" w:cs="Arial"/>
          <w:spacing w:val="16"/>
          <w:w w:val="101"/>
          <w:sz w:val="19"/>
          <w:szCs w:val="19"/>
        </w:rPr>
        <w:t xml:space="preserve"> </w:t>
      </w:r>
      <w:r>
        <w:rPr>
          <w:rFonts w:ascii="Arial" w:hAnsi="Arial" w:eastAsia="Arial" w:cs="Arial"/>
          <w:spacing w:val="-6"/>
          <w:sz w:val="19"/>
          <w:szCs w:val="19"/>
        </w:rPr>
        <w:t>p</w:t>
      </w:r>
      <w:r>
        <w:rPr>
          <w:rFonts w:ascii="Arial" w:hAnsi="Arial" w:eastAsia="Arial" w:cs="Arial"/>
          <w:sz w:val="19"/>
          <w:szCs w:val="19"/>
        </w:rPr>
        <w:t xml:space="preserve">  </w:t>
      </w:r>
      <w:r>
        <w:rPr>
          <w:rFonts w:ascii="Arial" w:hAnsi="Arial" w:eastAsia="Arial" w:cs="Arial"/>
          <w:spacing w:val="-5"/>
          <w:sz w:val="19"/>
          <w:szCs w:val="19"/>
        </w:rPr>
        <w:t>&lt; .001).</w:t>
      </w:r>
      <w:r>
        <w:rPr>
          <w:rFonts w:ascii="Arial" w:hAnsi="Arial" w:eastAsia="Arial" w:cs="Arial"/>
          <w:spacing w:val="28"/>
          <w:sz w:val="19"/>
          <w:szCs w:val="19"/>
        </w:rPr>
        <w:t xml:space="preserve"> </w:t>
      </w:r>
      <w:r>
        <w:rPr>
          <w:rFonts w:ascii="Arial" w:hAnsi="Arial" w:eastAsia="Arial" w:cs="Arial"/>
          <w:spacing w:val="-5"/>
          <w:sz w:val="19"/>
          <w:szCs w:val="19"/>
        </w:rPr>
        <w:t>Mor</w:t>
      </w:r>
      <w:r>
        <w:rPr>
          <w:rFonts w:ascii="Arial" w:hAnsi="Arial" w:eastAsia="Arial" w:cs="Arial"/>
          <w:spacing w:val="-4"/>
          <w:sz w:val="19"/>
          <w:szCs w:val="19"/>
        </w:rPr>
        <w:t>eover,</w:t>
      </w:r>
      <w:r>
        <w:rPr>
          <w:rFonts w:ascii="Arial" w:hAnsi="Arial" w:eastAsia="Arial" w:cs="Arial"/>
          <w:spacing w:val="23"/>
          <w:w w:val="101"/>
          <w:sz w:val="19"/>
          <w:szCs w:val="19"/>
        </w:rPr>
        <w:t xml:space="preserve"> </w:t>
      </w:r>
      <w:r>
        <w:rPr>
          <w:rFonts w:ascii="Arial" w:hAnsi="Arial" w:eastAsia="Arial" w:cs="Arial"/>
          <w:spacing w:val="-4"/>
          <w:sz w:val="19"/>
          <w:szCs w:val="19"/>
        </w:rPr>
        <w:t>sta</w:t>
      </w:r>
      <w:r>
        <w:rPr>
          <w:rFonts w:ascii="Arial" w:hAnsi="Arial" w:eastAsia="Arial" w:cs="Arial"/>
          <w:spacing w:val="-5"/>
          <w:sz w:val="19"/>
          <w:szCs w:val="19"/>
        </w:rPr>
        <w:t>ndardized</w:t>
      </w:r>
      <w:r>
        <w:rPr>
          <w:rFonts w:ascii="Arial" w:hAnsi="Arial" w:eastAsia="Arial" w:cs="Arial"/>
          <w:spacing w:val="19"/>
          <w:sz w:val="19"/>
          <w:szCs w:val="19"/>
        </w:rPr>
        <w:t xml:space="preserve"> </w:t>
      </w:r>
      <w:r>
        <w:rPr>
          <w:rFonts w:ascii="Arial" w:hAnsi="Arial" w:eastAsia="Arial" w:cs="Arial"/>
          <w:spacing w:val="-5"/>
          <w:sz w:val="19"/>
          <w:szCs w:val="19"/>
        </w:rPr>
        <w:t>factor</w:t>
      </w:r>
      <w:r>
        <w:rPr>
          <w:rFonts w:ascii="Arial" w:hAnsi="Arial" w:eastAsia="Arial" w:cs="Arial"/>
          <w:spacing w:val="32"/>
          <w:sz w:val="19"/>
          <w:szCs w:val="19"/>
        </w:rPr>
        <w:t xml:space="preserve"> </w:t>
      </w:r>
      <w:r>
        <w:rPr>
          <w:rFonts w:ascii="Arial" w:hAnsi="Arial" w:eastAsia="Arial" w:cs="Arial"/>
          <w:spacing w:val="-5"/>
          <w:sz w:val="19"/>
          <w:szCs w:val="19"/>
        </w:rPr>
        <w:t>loadings</w:t>
      </w:r>
      <w:r>
        <w:rPr>
          <w:rFonts w:ascii="Arial" w:hAnsi="Arial" w:eastAsia="Arial" w:cs="Arial"/>
          <w:spacing w:val="21"/>
          <w:sz w:val="19"/>
          <w:szCs w:val="19"/>
        </w:rPr>
        <w:t xml:space="preserve"> </w:t>
      </w:r>
      <w:r>
        <w:rPr>
          <w:rFonts w:ascii="Arial" w:hAnsi="Arial" w:eastAsia="Arial" w:cs="Arial"/>
          <w:spacing w:val="-5"/>
          <w:sz w:val="19"/>
          <w:szCs w:val="19"/>
        </w:rPr>
        <w:t>were</w:t>
      </w:r>
      <w:r>
        <w:rPr>
          <w:rFonts w:ascii="Arial" w:hAnsi="Arial" w:eastAsia="Arial" w:cs="Arial"/>
          <w:spacing w:val="30"/>
          <w:sz w:val="19"/>
          <w:szCs w:val="19"/>
        </w:rPr>
        <w:t xml:space="preserve"> </w:t>
      </w:r>
      <w:r>
        <w:rPr>
          <w:rFonts w:ascii="Arial" w:hAnsi="Arial" w:eastAsia="Arial" w:cs="Arial"/>
          <w:spacing w:val="-5"/>
          <w:sz w:val="19"/>
          <w:szCs w:val="19"/>
        </w:rPr>
        <w:t>not</w:t>
      </w:r>
      <w:r>
        <w:rPr>
          <w:rFonts w:ascii="Arial" w:hAnsi="Arial" w:eastAsia="Arial" w:cs="Arial"/>
          <w:spacing w:val="23"/>
          <w:w w:val="101"/>
          <w:sz w:val="19"/>
          <w:szCs w:val="19"/>
        </w:rPr>
        <w:t xml:space="preserve"> </w:t>
      </w:r>
      <w:r>
        <w:rPr>
          <w:rFonts w:ascii="Arial" w:hAnsi="Arial" w:eastAsia="Arial" w:cs="Arial"/>
          <w:spacing w:val="-5"/>
          <w:sz w:val="19"/>
          <w:szCs w:val="19"/>
        </w:rPr>
        <w:t>signiicantly</w:t>
      </w:r>
      <w:r>
        <w:rPr>
          <w:rFonts w:ascii="Arial" w:hAnsi="Arial" w:eastAsia="Arial" w:cs="Arial"/>
          <w:spacing w:val="23"/>
          <w:w w:val="101"/>
          <w:sz w:val="19"/>
          <w:szCs w:val="19"/>
        </w:rPr>
        <w:t xml:space="preserve"> </w:t>
      </w:r>
      <w:r>
        <w:rPr>
          <w:rFonts w:ascii="Arial" w:hAnsi="Arial" w:eastAsia="Arial" w:cs="Arial"/>
          <w:spacing w:val="-5"/>
          <w:sz w:val="19"/>
          <w:szCs w:val="19"/>
        </w:rPr>
        <w:t>afected</w:t>
      </w:r>
      <w:r>
        <w:rPr>
          <w:rFonts w:ascii="Arial" w:hAnsi="Arial" w:eastAsia="Arial" w:cs="Arial"/>
          <w:spacing w:val="29"/>
          <w:w w:val="101"/>
          <w:sz w:val="19"/>
          <w:szCs w:val="19"/>
        </w:rPr>
        <w:t xml:space="preserve"> </w:t>
      </w:r>
      <w:r>
        <w:rPr>
          <w:rFonts w:ascii="Arial" w:hAnsi="Arial" w:eastAsia="Arial" w:cs="Arial"/>
          <w:spacing w:val="-5"/>
          <w:sz w:val="19"/>
          <w:szCs w:val="19"/>
        </w:rPr>
        <w:t>by</w:t>
      </w:r>
      <w:r>
        <w:rPr>
          <w:rFonts w:ascii="Arial" w:hAnsi="Arial" w:eastAsia="Arial" w:cs="Arial"/>
          <w:spacing w:val="19"/>
          <w:sz w:val="19"/>
          <w:szCs w:val="19"/>
        </w:rPr>
        <w:t xml:space="preserve"> </w:t>
      </w:r>
      <w:r>
        <w:rPr>
          <w:rFonts w:ascii="Arial" w:hAnsi="Arial" w:eastAsia="Arial" w:cs="Arial"/>
          <w:spacing w:val="-5"/>
          <w:sz w:val="19"/>
          <w:szCs w:val="19"/>
        </w:rPr>
        <w:t>the</w:t>
      </w:r>
      <w:r>
        <w:rPr>
          <w:rFonts w:ascii="Arial" w:hAnsi="Arial" w:eastAsia="Arial" w:cs="Arial"/>
          <w:spacing w:val="30"/>
          <w:w w:val="101"/>
          <w:sz w:val="19"/>
          <w:szCs w:val="19"/>
        </w:rPr>
        <w:t xml:space="preserve"> </w:t>
      </w:r>
      <w:r>
        <w:rPr>
          <w:rFonts w:ascii="Arial" w:hAnsi="Arial" w:eastAsia="Arial" w:cs="Arial"/>
          <w:spacing w:val="-5"/>
          <w:sz w:val="19"/>
          <w:szCs w:val="19"/>
        </w:rPr>
        <w:t>presence</w:t>
      </w:r>
      <w:r>
        <w:rPr>
          <w:rFonts w:ascii="Arial" w:hAnsi="Arial" w:eastAsia="Arial" w:cs="Arial"/>
          <w:spacing w:val="22"/>
          <w:w w:val="101"/>
          <w:sz w:val="19"/>
          <w:szCs w:val="19"/>
        </w:rPr>
        <w:t xml:space="preserve"> </w:t>
      </w:r>
      <w:r>
        <w:rPr>
          <w:rFonts w:ascii="Arial" w:hAnsi="Arial" w:eastAsia="Arial" w:cs="Arial"/>
          <w:spacing w:val="-5"/>
          <w:sz w:val="19"/>
          <w:szCs w:val="19"/>
        </w:rPr>
        <w:t>o</w:t>
      </w:r>
      <w:r>
        <w:rPr>
          <w:rFonts w:ascii="Arial" w:hAnsi="Arial" w:eastAsia="Arial" w:cs="Arial"/>
          <w:spacing w:val="6"/>
          <w:sz w:val="19"/>
          <w:szCs w:val="19"/>
        </w:rPr>
        <w:t>f</w:t>
      </w:r>
      <w:r>
        <w:rPr>
          <w:rFonts w:ascii="Arial" w:hAnsi="Arial" w:eastAsia="Arial" w:cs="Arial"/>
          <w:sz w:val="19"/>
          <w:szCs w:val="19"/>
        </w:rPr>
        <w:t xml:space="preserve"> </w:t>
      </w:r>
      <w:r>
        <w:rPr>
          <w:rFonts w:ascii="Arial" w:hAnsi="Arial" w:eastAsia="Arial" w:cs="Arial"/>
          <w:spacing w:val="-8"/>
          <w:sz w:val="19"/>
          <w:szCs w:val="19"/>
        </w:rPr>
        <w:t>a CLF (Δ &lt;.0100). The same holds true for</w:t>
      </w:r>
      <w:r>
        <w:rPr>
          <w:rFonts w:ascii="Arial" w:hAnsi="Arial" w:eastAsia="Arial" w:cs="Arial"/>
          <w:spacing w:val="-9"/>
          <w:sz w:val="19"/>
          <w:szCs w:val="19"/>
        </w:rPr>
        <w:t xml:space="preserve"> CR and AVE values. These results</w:t>
      </w:r>
      <w:r>
        <w:rPr>
          <w:rFonts w:ascii="Arial" w:hAnsi="Arial" w:eastAsia="Arial" w:cs="Arial"/>
          <w:spacing w:val="3"/>
          <w:sz w:val="19"/>
          <w:szCs w:val="19"/>
        </w:rPr>
        <w:t xml:space="preserve"> </w:t>
      </w:r>
      <w:r>
        <w:rPr>
          <w:rFonts w:ascii="Arial" w:hAnsi="Arial" w:eastAsia="Arial" w:cs="Arial"/>
          <w:spacing w:val="-9"/>
          <w:sz w:val="19"/>
          <w:szCs w:val="19"/>
        </w:rPr>
        <w:t>indicate that</w:t>
      </w:r>
      <w:r>
        <w:rPr>
          <w:rFonts w:ascii="Arial" w:hAnsi="Arial" w:eastAsia="Arial" w:cs="Arial"/>
          <w:spacing w:val="3"/>
          <w:sz w:val="19"/>
          <w:szCs w:val="19"/>
        </w:rPr>
        <w:t xml:space="preserve"> </w:t>
      </w:r>
      <w:r>
        <w:rPr>
          <w:rFonts w:ascii="Arial" w:hAnsi="Arial" w:eastAsia="Arial" w:cs="Arial"/>
          <w:spacing w:val="-9"/>
          <w:sz w:val="19"/>
          <w:szCs w:val="19"/>
        </w:rPr>
        <w:t>it</w:t>
      </w:r>
      <w:r>
        <w:rPr>
          <w:rFonts w:ascii="Arial" w:hAnsi="Arial" w:eastAsia="Arial" w:cs="Arial"/>
          <w:spacing w:val="3"/>
          <w:sz w:val="19"/>
          <w:szCs w:val="19"/>
        </w:rPr>
        <w:t xml:space="preserve"> </w:t>
      </w:r>
      <w:r>
        <w:rPr>
          <w:rFonts w:ascii="Arial" w:hAnsi="Arial" w:eastAsia="Arial" w:cs="Arial"/>
          <w:spacing w:val="-9"/>
          <w:sz w:val="19"/>
          <w:szCs w:val="19"/>
        </w:rPr>
        <w:t>is very</w:t>
      </w:r>
      <w:r>
        <w:rPr>
          <w:rFonts w:ascii="Arial" w:hAnsi="Arial" w:eastAsia="Arial" w:cs="Arial"/>
          <w:spacing w:val="4"/>
          <w:sz w:val="19"/>
          <w:szCs w:val="19"/>
        </w:rPr>
        <w:t xml:space="preserve"> </w:t>
      </w:r>
      <w:r>
        <w:rPr>
          <w:rFonts w:ascii="Arial" w:hAnsi="Arial" w:eastAsia="Arial" w:cs="Arial"/>
          <w:spacing w:val="-9"/>
          <w:sz w:val="19"/>
          <w:szCs w:val="19"/>
        </w:rPr>
        <w:t>unli-</w:t>
      </w:r>
      <w:r>
        <w:rPr>
          <w:rFonts w:ascii="Arial" w:hAnsi="Arial" w:eastAsia="Arial" w:cs="Arial"/>
          <w:sz w:val="19"/>
          <w:szCs w:val="19"/>
        </w:rPr>
        <w:t xml:space="preserve"> </w:t>
      </w:r>
      <w:r>
        <w:rPr>
          <w:rFonts w:ascii="Arial" w:hAnsi="Arial" w:eastAsia="Arial" w:cs="Arial"/>
          <w:spacing w:val="-4"/>
          <w:sz w:val="19"/>
          <w:szCs w:val="19"/>
        </w:rPr>
        <w:t>kely that</w:t>
      </w:r>
      <w:r>
        <w:rPr>
          <w:rFonts w:ascii="Arial" w:hAnsi="Arial" w:eastAsia="Arial" w:cs="Arial"/>
          <w:spacing w:val="10"/>
          <w:sz w:val="19"/>
          <w:szCs w:val="19"/>
        </w:rPr>
        <w:t xml:space="preserve"> </w:t>
      </w:r>
      <w:r>
        <w:rPr>
          <w:rFonts w:ascii="Arial" w:hAnsi="Arial" w:eastAsia="Arial" w:cs="Arial"/>
          <w:spacing w:val="-4"/>
          <w:sz w:val="19"/>
          <w:szCs w:val="19"/>
        </w:rPr>
        <w:t>a</w:t>
      </w:r>
      <w:r>
        <w:rPr>
          <w:rFonts w:ascii="Arial" w:hAnsi="Arial" w:eastAsia="Arial" w:cs="Arial"/>
          <w:spacing w:val="12"/>
          <w:sz w:val="19"/>
          <w:szCs w:val="19"/>
        </w:rPr>
        <w:t xml:space="preserve"> </w:t>
      </w:r>
      <w:r>
        <w:rPr>
          <w:rFonts w:ascii="Arial" w:hAnsi="Arial" w:eastAsia="Arial" w:cs="Arial"/>
          <w:spacing w:val="-4"/>
          <w:sz w:val="19"/>
          <w:szCs w:val="19"/>
        </w:rPr>
        <w:t>common-method</w:t>
      </w:r>
      <w:r>
        <w:rPr>
          <w:rFonts w:ascii="Arial" w:hAnsi="Arial" w:eastAsia="Arial" w:cs="Arial"/>
          <w:spacing w:val="12"/>
          <w:sz w:val="19"/>
          <w:szCs w:val="19"/>
        </w:rPr>
        <w:t xml:space="preserve"> </w:t>
      </w:r>
      <w:r>
        <w:rPr>
          <w:rFonts w:ascii="Arial" w:hAnsi="Arial" w:eastAsia="Arial" w:cs="Arial"/>
          <w:spacing w:val="-4"/>
          <w:sz w:val="19"/>
          <w:szCs w:val="19"/>
        </w:rPr>
        <w:t>should</w:t>
      </w:r>
      <w:r>
        <w:rPr>
          <w:rFonts w:ascii="Arial" w:hAnsi="Arial" w:eastAsia="Arial" w:cs="Arial"/>
          <w:spacing w:val="10"/>
          <w:sz w:val="19"/>
          <w:szCs w:val="19"/>
        </w:rPr>
        <w:t xml:space="preserve"> </w:t>
      </w:r>
      <w:r>
        <w:rPr>
          <w:rFonts w:ascii="Arial" w:hAnsi="Arial" w:eastAsia="Arial" w:cs="Arial"/>
          <w:spacing w:val="-4"/>
          <w:sz w:val="19"/>
          <w:szCs w:val="19"/>
        </w:rPr>
        <w:t>explain</w:t>
      </w:r>
      <w:r>
        <w:rPr>
          <w:rFonts w:ascii="Arial" w:hAnsi="Arial" w:eastAsia="Arial" w:cs="Arial"/>
          <w:spacing w:val="-5"/>
          <w:sz w:val="19"/>
          <w:szCs w:val="19"/>
        </w:rPr>
        <w:t xml:space="preserve"> the</w:t>
      </w:r>
      <w:r>
        <w:rPr>
          <w:rFonts w:ascii="Arial" w:hAnsi="Arial" w:eastAsia="Arial" w:cs="Arial"/>
          <w:spacing w:val="12"/>
          <w:sz w:val="19"/>
          <w:szCs w:val="19"/>
        </w:rPr>
        <w:t xml:space="preserve"> </w:t>
      </w:r>
      <w:r>
        <w:rPr>
          <w:rFonts w:ascii="Arial" w:hAnsi="Arial" w:eastAsia="Arial" w:cs="Arial"/>
          <w:spacing w:val="-5"/>
          <w:sz w:val="19"/>
          <w:szCs w:val="19"/>
        </w:rPr>
        <w:t>observed</w:t>
      </w:r>
      <w:r>
        <w:rPr>
          <w:rFonts w:ascii="Arial" w:hAnsi="Arial" w:eastAsia="Arial" w:cs="Arial"/>
          <w:spacing w:val="20"/>
          <w:sz w:val="19"/>
          <w:szCs w:val="19"/>
        </w:rPr>
        <w:t xml:space="preserve"> </w:t>
      </w:r>
      <w:r>
        <w:rPr>
          <w:rFonts w:ascii="Arial" w:hAnsi="Arial" w:eastAsia="Arial" w:cs="Arial"/>
          <w:spacing w:val="-5"/>
          <w:sz w:val="19"/>
          <w:szCs w:val="19"/>
        </w:rPr>
        <w:t>relations</w:t>
      </w:r>
      <w:r>
        <w:rPr>
          <w:rFonts w:ascii="Arial" w:hAnsi="Arial" w:eastAsia="Arial" w:cs="Arial"/>
          <w:spacing w:val="19"/>
          <w:sz w:val="19"/>
          <w:szCs w:val="19"/>
        </w:rPr>
        <w:t xml:space="preserve"> </w:t>
      </w:r>
      <w:r>
        <w:rPr>
          <w:rFonts w:ascii="Arial" w:hAnsi="Arial" w:eastAsia="Arial" w:cs="Arial"/>
          <w:spacing w:val="-5"/>
          <w:sz w:val="19"/>
          <w:szCs w:val="19"/>
        </w:rPr>
        <w:t>between</w:t>
      </w:r>
      <w:r>
        <w:rPr>
          <w:rFonts w:ascii="Arial" w:hAnsi="Arial" w:eastAsia="Arial" w:cs="Arial"/>
          <w:spacing w:val="12"/>
          <w:sz w:val="19"/>
          <w:szCs w:val="19"/>
        </w:rPr>
        <w:t xml:space="preserve"> </w:t>
      </w:r>
      <w:r>
        <w:rPr>
          <w:rFonts w:ascii="Arial" w:hAnsi="Arial" w:eastAsia="Arial" w:cs="Arial"/>
          <w:spacing w:val="-5"/>
          <w:sz w:val="19"/>
          <w:szCs w:val="19"/>
        </w:rPr>
        <w:t>our</w:t>
      </w:r>
      <w:r>
        <w:rPr>
          <w:rFonts w:ascii="Arial" w:hAnsi="Arial" w:eastAsia="Arial" w:cs="Arial"/>
          <w:spacing w:val="13"/>
          <w:w w:val="101"/>
          <w:sz w:val="19"/>
          <w:szCs w:val="19"/>
        </w:rPr>
        <w:t xml:space="preserve"> </w:t>
      </w:r>
      <w:r>
        <w:rPr>
          <w:rFonts w:ascii="Arial" w:hAnsi="Arial" w:eastAsia="Arial" w:cs="Arial"/>
          <w:spacing w:val="-5"/>
          <w:sz w:val="19"/>
          <w:szCs w:val="19"/>
        </w:rPr>
        <w:t>study variables.</w:t>
      </w:r>
    </w:p>
    <w:p>
      <w:pPr>
        <w:spacing w:line="456" w:lineRule="auto"/>
        <w:rPr>
          <w:rFonts w:ascii="Arial"/>
          <w:sz w:val="21"/>
        </w:rPr>
      </w:pPr>
    </w:p>
    <w:p>
      <w:pPr>
        <w:spacing w:before="57" w:line="190" w:lineRule="auto"/>
        <w:outlineLvl w:val="3"/>
        <w:rPr>
          <w:rFonts w:ascii="Arial" w:hAnsi="Arial" w:eastAsia="Arial" w:cs="Arial"/>
          <w:sz w:val="20"/>
          <w:szCs w:val="20"/>
        </w:rPr>
      </w:pPr>
      <w:r>
        <w:rPr>
          <w:rFonts w:ascii="Arial" w:hAnsi="Arial" w:eastAsia="Arial" w:cs="Arial"/>
          <w:color w:val="282781"/>
          <w:spacing w:val="-2"/>
          <w:sz w:val="20"/>
          <w:szCs w:val="20"/>
        </w:rPr>
        <w:t>Structural equation mod</w:t>
      </w:r>
      <w:r>
        <w:rPr>
          <w:rFonts w:ascii="Arial" w:hAnsi="Arial" w:eastAsia="Arial" w:cs="Arial"/>
          <w:color w:val="282781"/>
          <w:spacing w:val="-3"/>
          <w:sz w:val="20"/>
          <w:szCs w:val="20"/>
        </w:rPr>
        <w:t>el</w:t>
      </w:r>
      <w:r>
        <w:rPr>
          <w:rFonts w:ascii="Arial" w:hAnsi="Arial" w:eastAsia="Arial" w:cs="Arial"/>
          <w:color w:val="282781"/>
          <w:spacing w:val="10"/>
          <w:sz w:val="20"/>
          <w:szCs w:val="20"/>
        </w:rPr>
        <w:t xml:space="preserve"> </w:t>
      </w:r>
      <w:r>
        <w:rPr>
          <w:rFonts w:ascii="Arial" w:hAnsi="Arial" w:eastAsia="Arial" w:cs="Arial"/>
          <w:color w:val="282781"/>
          <w:spacing w:val="-3"/>
          <w:sz w:val="20"/>
          <w:szCs w:val="20"/>
        </w:rPr>
        <w:t>(SEM)</w:t>
      </w:r>
    </w:p>
    <w:p>
      <w:pPr>
        <w:spacing w:before="153" w:line="250" w:lineRule="auto"/>
        <w:ind w:left="13" w:right="6" w:firstLine="1"/>
        <w:rPr>
          <w:rFonts w:ascii="Arial" w:hAnsi="Arial" w:eastAsia="Arial" w:cs="Arial"/>
          <w:sz w:val="19"/>
          <w:szCs w:val="19"/>
        </w:rPr>
      </w:pPr>
      <w:r>
        <w:rPr>
          <w:rFonts w:ascii="Arial" w:hAnsi="Arial" w:eastAsia="Arial" w:cs="Arial"/>
          <w:spacing w:val="-4"/>
          <w:sz w:val="19"/>
          <w:szCs w:val="19"/>
        </w:rPr>
        <w:t>In a nextstep, we performed a structural equation an</w:t>
      </w:r>
      <w:r>
        <w:rPr>
          <w:rFonts w:ascii="Arial" w:hAnsi="Arial" w:eastAsia="Arial" w:cs="Arial"/>
          <w:spacing w:val="-5"/>
          <w:sz w:val="19"/>
          <w:szCs w:val="19"/>
        </w:rPr>
        <w:t>alysis in order to identify signiicant relationships</w:t>
      </w:r>
      <w:r>
        <w:rPr>
          <w:rFonts w:ascii="Arial" w:hAnsi="Arial" w:eastAsia="Arial" w:cs="Arial"/>
          <w:sz w:val="19"/>
          <w:szCs w:val="19"/>
        </w:rPr>
        <w:t xml:space="preserve"> </w:t>
      </w:r>
      <w:r>
        <w:rPr>
          <w:rFonts w:ascii="Arial" w:hAnsi="Arial" w:eastAsia="Arial" w:cs="Arial"/>
          <w:spacing w:val="-5"/>
          <w:sz w:val="19"/>
          <w:szCs w:val="19"/>
        </w:rPr>
        <w:t>between</w:t>
      </w:r>
      <w:r>
        <w:rPr>
          <w:rFonts w:ascii="Arial" w:hAnsi="Arial" w:eastAsia="Arial" w:cs="Arial"/>
          <w:spacing w:val="12"/>
          <w:sz w:val="19"/>
          <w:szCs w:val="19"/>
        </w:rPr>
        <w:t xml:space="preserve"> </w:t>
      </w:r>
      <w:r>
        <w:rPr>
          <w:rFonts w:ascii="Arial" w:hAnsi="Arial" w:eastAsia="Arial" w:cs="Arial"/>
          <w:spacing w:val="-5"/>
          <w:sz w:val="19"/>
          <w:szCs w:val="19"/>
        </w:rPr>
        <w:t>our</w:t>
      </w:r>
      <w:r>
        <w:rPr>
          <w:rFonts w:ascii="Arial" w:hAnsi="Arial" w:eastAsia="Arial" w:cs="Arial"/>
          <w:spacing w:val="18"/>
          <w:sz w:val="19"/>
          <w:szCs w:val="19"/>
        </w:rPr>
        <w:t xml:space="preserve"> </w:t>
      </w:r>
      <w:r>
        <w:rPr>
          <w:rFonts w:ascii="Arial" w:hAnsi="Arial" w:eastAsia="Arial" w:cs="Arial"/>
          <w:spacing w:val="-5"/>
          <w:sz w:val="19"/>
          <w:szCs w:val="19"/>
        </w:rPr>
        <w:t>independent</w:t>
      </w:r>
      <w:r>
        <w:rPr>
          <w:rFonts w:ascii="Arial" w:hAnsi="Arial" w:eastAsia="Arial" w:cs="Arial"/>
          <w:spacing w:val="12"/>
          <w:sz w:val="19"/>
          <w:szCs w:val="19"/>
        </w:rPr>
        <w:t xml:space="preserve"> </w:t>
      </w:r>
      <w:r>
        <w:rPr>
          <w:rFonts w:ascii="Arial" w:hAnsi="Arial" w:eastAsia="Arial" w:cs="Arial"/>
          <w:spacing w:val="-5"/>
          <w:sz w:val="19"/>
          <w:szCs w:val="19"/>
        </w:rPr>
        <w:t>and</w:t>
      </w:r>
      <w:r>
        <w:rPr>
          <w:rFonts w:ascii="Arial" w:hAnsi="Arial" w:eastAsia="Arial" w:cs="Arial"/>
          <w:spacing w:val="12"/>
          <w:sz w:val="19"/>
          <w:szCs w:val="19"/>
        </w:rPr>
        <w:t xml:space="preserve"> </w:t>
      </w:r>
      <w:r>
        <w:rPr>
          <w:rFonts w:ascii="Arial" w:hAnsi="Arial" w:eastAsia="Arial" w:cs="Arial"/>
          <w:spacing w:val="-5"/>
          <w:sz w:val="19"/>
          <w:szCs w:val="19"/>
        </w:rPr>
        <w:t>dependent var</w:t>
      </w:r>
      <w:r>
        <w:rPr>
          <w:rFonts w:ascii="Arial" w:hAnsi="Arial" w:eastAsia="Arial" w:cs="Arial"/>
          <w:spacing w:val="-6"/>
          <w:sz w:val="19"/>
          <w:szCs w:val="19"/>
        </w:rPr>
        <w:t>iables</w:t>
      </w:r>
      <w:r>
        <w:rPr>
          <w:rFonts w:ascii="Arial" w:hAnsi="Arial" w:eastAsia="Arial" w:cs="Arial"/>
          <w:spacing w:val="16"/>
          <w:sz w:val="19"/>
          <w:szCs w:val="19"/>
        </w:rPr>
        <w:t xml:space="preserve"> </w:t>
      </w:r>
      <w:r>
        <w:rPr>
          <w:rFonts w:ascii="Arial" w:hAnsi="Arial" w:eastAsia="Arial" w:cs="Arial"/>
          <w:spacing w:val="-6"/>
          <w:sz w:val="19"/>
          <w:szCs w:val="19"/>
        </w:rPr>
        <w:t xml:space="preserve">(see </w:t>
      </w:r>
      <w:r>
        <w:fldChar w:fldCharType="begin"/>
      </w:r>
      <w:r>
        <w:instrText xml:space="preserve"> HYPERLINK \l "bookmark93" </w:instrText>
      </w:r>
      <w:r>
        <w:fldChar w:fldCharType="separate"/>
      </w:r>
      <w:r>
        <w:rPr>
          <w:rFonts w:ascii="Arial" w:hAnsi="Arial" w:eastAsia="Arial" w:cs="Arial"/>
          <w:color w:val="000084"/>
          <w:spacing w:val="-6"/>
          <w:sz w:val="19"/>
          <w:szCs w:val="19"/>
        </w:rPr>
        <w:t>Figure</w:t>
      </w:r>
      <w:r>
        <w:rPr>
          <w:rFonts w:ascii="Arial" w:hAnsi="Arial" w:eastAsia="Arial" w:cs="Arial"/>
          <w:color w:val="000084"/>
          <w:spacing w:val="14"/>
          <w:sz w:val="19"/>
          <w:szCs w:val="19"/>
        </w:rPr>
        <w:t xml:space="preserve"> </w:t>
      </w:r>
      <w:r>
        <w:rPr>
          <w:rFonts w:ascii="Arial" w:hAnsi="Arial" w:eastAsia="Arial" w:cs="Arial"/>
          <w:color w:val="000084"/>
          <w:spacing w:val="-6"/>
          <w:sz w:val="19"/>
          <w:szCs w:val="19"/>
        </w:rPr>
        <w:t>2</w:t>
      </w:r>
      <w:r>
        <w:rPr>
          <w:rFonts w:ascii="Arial" w:hAnsi="Arial" w:eastAsia="Arial" w:cs="Arial"/>
          <w:color w:val="000084"/>
          <w:spacing w:val="-6"/>
          <w:sz w:val="19"/>
          <w:szCs w:val="19"/>
        </w:rPr>
        <w:fldChar w:fldCharType="end"/>
      </w:r>
      <w:r>
        <w:rPr>
          <w:rFonts w:ascii="Arial" w:hAnsi="Arial" w:eastAsia="Arial" w:cs="Arial"/>
          <w:spacing w:val="-6"/>
          <w:sz w:val="19"/>
          <w:szCs w:val="19"/>
        </w:rPr>
        <w:t>).</w:t>
      </w:r>
    </w:p>
    <w:p>
      <w:pPr>
        <w:spacing w:before="189" w:line="206" w:lineRule="auto"/>
        <w:ind w:left="2"/>
        <w:rPr>
          <w:rFonts w:ascii="Arial" w:hAnsi="Arial" w:eastAsia="Arial" w:cs="Arial"/>
          <w:sz w:val="15"/>
          <w:szCs w:val="15"/>
        </w:rPr>
      </w:pPr>
      <w:r>
        <w:rPr>
          <w:rFonts w:ascii="Arial" w:hAnsi="Arial" w:eastAsia="Arial" w:cs="Arial"/>
          <w:color w:val="282781"/>
          <w:spacing w:val="-5"/>
          <w:sz w:val="15"/>
          <w:szCs w:val="15"/>
        </w:rPr>
        <w:t>Table</w:t>
      </w:r>
      <w:r>
        <w:rPr>
          <w:rFonts w:ascii="Arial" w:hAnsi="Arial" w:eastAsia="Arial" w:cs="Arial"/>
          <w:color w:val="282781"/>
          <w:spacing w:val="9"/>
          <w:sz w:val="15"/>
          <w:szCs w:val="15"/>
        </w:rPr>
        <w:t xml:space="preserve"> </w:t>
      </w:r>
      <w:r>
        <w:rPr>
          <w:rFonts w:ascii="Arial" w:hAnsi="Arial" w:eastAsia="Arial" w:cs="Arial"/>
          <w:color w:val="282781"/>
          <w:spacing w:val="-5"/>
          <w:sz w:val="15"/>
          <w:szCs w:val="15"/>
        </w:rPr>
        <w:t>6.</w:t>
      </w:r>
      <w:r>
        <w:rPr>
          <w:rFonts w:ascii="Arial" w:hAnsi="Arial" w:eastAsia="Arial" w:cs="Arial"/>
          <w:color w:val="282781"/>
          <w:spacing w:val="8"/>
          <w:sz w:val="15"/>
          <w:szCs w:val="15"/>
        </w:rPr>
        <w:t xml:space="preserve"> </w:t>
      </w:r>
      <w:r>
        <w:rPr>
          <w:rFonts w:ascii="Arial" w:hAnsi="Arial" w:eastAsia="Arial" w:cs="Arial"/>
          <w:spacing w:val="-5"/>
          <w:sz w:val="15"/>
          <w:szCs w:val="15"/>
        </w:rPr>
        <w:t>Validity</w:t>
      </w:r>
      <w:r>
        <w:rPr>
          <w:rFonts w:ascii="Arial" w:hAnsi="Arial" w:eastAsia="Arial" w:cs="Arial"/>
          <w:spacing w:val="10"/>
          <w:w w:val="101"/>
          <w:sz w:val="15"/>
          <w:szCs w:val="15"/>
        </w:rPr>
        <w:t xml:space="preserve"> </w:t>
      </w:r>
      <w:r>
        <w:rPr>
          <w:rFonts w:ascii="Arial" w:hAnsi="Arial" w:eastAsia="Arial" w:cs="Arial"/>
          <w:spacing w:val="-5"/>
          <w:sz w:val="15"/>
          <w:szCs w:val="15"/>
        </w:rPr>
        <w:t>and</w:t>
      </w:r>
      <w:r>
        <w:rPr>
          <w:rFonts w:ascii="Arial" w:hAnsi="Arial" w:eastAsia="Arial" w:cs="Arial"/>
          <w:spacing w:val="15"/>
          <w:w w:val="102"/>
          <w:sz w:val="15"/>
          <w:szCs w:val="15"/>
        </w:rPr>
        <w:t xml:space="preserve"> </w:t>
      </w:r>
      <w:r>
        <w:rPr>
          <w:rFonts w:ascii="Arial" w:hAnsi="Arial" w:eastAsia="Arial" w:cs="Arial"/>
          <w:spacing w:val="-5"/>
          <w:sz w:val="15"/>
          <w:szCs w:val="15"/>
        </w:rPr>
        <w:t>r</w:t>
      </w:r>
      <w:r>
        <w:rPr>
          <w:rFonts w:ascii="Arial" w:hAnsi="Arial" w:eastAsia="Arial" w:cs="Arial"/>
          <w:spacing w:val="-6"/>
          <w:sz w:val="15"/>
          <w:szCs w:val="15"/>
        </w:rPr>
        <w:t>eliability</w:t>
      </w:r>
      <w:r>
        <w:rPr>
          <w:rFonts w:ascii="Arial" w:hAnsi="Arial" w:eastAsia="Arial" w:cs="Arial"/>
          <w:spacing w:val="15"/>
          <w:sz w:val="15"/>
          <w:szCs w:val="15"/>
        </w:rPr>
        <w:t xml:space="preserve"> </w:t>
      </w:r>
      <w:r>
        <w:rPr>
          <w:rFonts w:ascii="Arial" w:hAnsi="Arial" w:eastAsia="Arial" w:cs="Arial"/>
          <w:spacing w:val="-6"/>
          <w:sz w:val="15"/>
          <w:szCs w:val="15"/>
        </w:rPr>
        <w:t>(CFA).</w:t>
      </w:r>
    </w:p>
    <w:p>
      <w:pPr>
        <w:spacing w:line="26" w:lineRule="exact"/>
      </w:pPr>
    </w:p>
    <w:tbl>
      <w:tblPr>
        <w:tblStyle w:val="5"/>
        <w:tblW w:w="79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57"/>
        <w:gridCol w:w="652"/>
        <w:gridCol w:w="652"/>
        <w:gridCol w:w="652"/>
        <w:gridCol w:w="671"/>
        <w:gridCol w:w="673"/>
        <w:gridCol w:w="670"/>
        <w:gridCol w:w="673"/>
        <w:gridCol w:w="671"/>
        <w:gridCol w:w="47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2" w:hRule="atLeast"/>
        </w:trPr>
        <w:tc>
          <w:tcPr>
            <w:tcW w:w="2157" w:type="dxa"/>
            <w:tcBorders>
              <w:top w:val="single" w:color="282781" w:sz="2" w:space="0"/>
              <w:bottom w:val="single" w:color="282781" w:sz="4" w:space="0"/>
            </w:tcBorders>
            <w:vAlign w:val="top"/>
          </w:tcPr>
          <w:p>
            <w:pPr>
              <w:spacing w:before="65" w:line="201" w:lineRule="auto"/>
              <w:ind w:left="1063"/>
              <w:rPr>
                <w:rFonts w:ascii="Arial" w:hAnsi="Arial" w:eastAsia="Arial" w:cs="Arial"/>
                <w:sz w:val="15"/>
                <w:szCs w:val="15"/>
              </w:rPr>
            </w:pPr>
            <w:r>
              <w:rPr>
                <w:rFonts w:ascii="Arial" w:hAnsi="Arial" w:eastAsia="Arial" w:cs="Arial"/>
                <w:spacing w:val="-11"/>
                <w:sz w:val="15"/>
                <w:szCs w:val="15"/>
              </w:rPr>
              <w:t>Scale</w:t>
            </w:r>
          </w:p>
        </w:tc>
        <w:tc>
          <w:tcPr>
            <w:tcW w:w="652" w:type="dxa"/>
            <w:tcBorders>
              <w:top w:val="single" w:color="282781" w:sz="2" w:space="0"/>
              <w:bottom w:val="single" w:color="282781" w:sz="4" w:space="0"/>
            </w:tcBorders>
            <w:vAlign w:val="top"/>
          </w:tcPr>
          <w:p>
            <w:pPr>
              <w:spacing w:before="50" w:line="181" w:lineRule="exact"/>
              <w:ind w:left="289"/>
              <w:rPr>
                <w:rFonts w:ascii="Arial" w:hAnsi="Arial" w:eastAsia="Arial" w:cs="Arial"/>
                <w:sz w:val="15"/>
                <w:szCs w:val="15"/>
              </w:rPr>
            </w:pPr>
            <w:r>
              <w:rPr>
                <w:rFonts w:ascii="Arial" w:hAnsi="Arial" w:eastAsia="Arial" w:cs="Arial"/>
                <w:position w:val="2"/>
                <w:sz w:val="15"/>
                <w:szCs w:val="15"/>
              </w:rPr>
              <w:t>α</w:t>
            </w:r>
          </w:p>
        </w:tc>
        <w:tc>
          <w:tcPr>
            <w:tcW w:w="652" w:type="dxa"/>
            <w:tcBorders>
              <w:top w:val="single" w:color="282781" w:sz="2" w:space="0"/>
              <w:bottom w:val="single" w:color="282781" w:sz="4" w:space="0"/>
            </w:tcBorders>
            <w:vAlign w:val="top"/>
          </w:tcPr>
          <w:p>
            <w:pPr>
              <w:spacing w:before="69" w:line="196" w:lineRule="auto"/>
              <w:ind w:left="249"/>
              <w:rPr>
                <w:rFonts w:ascii="Arial" w:hAnsi="Arial" w:eastAsia="Arial" w:cs="Arial"/>
                <w:sz w:val="15"/>
                <w:szCs w:val="15"/>
              </w:rPr>
            </w:pPr>
            <w:r>
              <w:rPr>
                <w:rFonts w:ascii="Arial" w:hAnsi="Arial" w:eastAsia="Arial" w:cs="Arial"/>
                <w:spacing w:val="-13"/>
                <w:w w:val="97"/>
                <w:sz w:val="15"/>
                <w:szCs w:val="15"/>
              </w:rPr>
              <w:t>CR</w:t>
            </w:r>
          </w:p>
        </w:tc>
        <w:tc>
          <w:tcPr>
            <w:tcW w:w="652" w:type="dxa"/>
            <w:tcBorders>
              <w:top w:val="single" w:color="282781" w:sz="2" w:space="0"/>
              <w:bottom w:val="single" w:color="282781" w:sz="4" w:space="0"/>
            </w:tcBorders>
            <w:vAlign w:val="top"/>
          </w:tcPr>
          <w:p>
            <w:pPr>
              <w:spacing w:before="71" w:line="194" w:lineRule="auto"/>
              <w:ind w:left="207"/>
              <w:rPr>
                <w:rFonts w:ascii="Arial" w:hAnsi="Arial" w:eastAsia="Arial" w:cs="Arial"/>
                <w:sz w:val="15"/>
                <w:szCs w:val="15"/>
              </w:rPr>
            </w:pPr>
            <w:r>
              <w:rPr>
                <w:rFonts w:ascii="Arial" w:hAnsi="Arial" w:eastAsia="Arial" w:cs="Arial"/>
                <w:spacing w:val="-6"/>
                <w:w w:val="94"/>
                <w:sz w:val="15"/>
                <w:szCs w:val="15"/>
              </w:rPr>
              <w:t>AVE</w:t>
            </w:r>
          </w:p>
        </w:tc>
        <w:tc>
          <w:tcPr>
            <w:tcW w:w="671" w:type="dxa"/>
            <w:tcBorders>
              <w:top w:val="single" w:color="282781" w:sz="2" w:space="0"/>
              <w:bottom w:val="single" w:color="282781" w:sz="4" w:space="0"/>
            </w:tcBorders>
            <w:vAlign w:val="top"/>
          </w:tcPr>
          <w:p>
            <w:pPr>
              <w:spacing w:before="74" w:line="189" w:lineRule="auto"/>
              <w:ind w:left="311"/>
              <w:rPr>
                <w:rFonts w:ascii="Arial" w:hAnsi="Arial" w:eastAsia="Arial" w:cs="Arial"/>
                <w:sz w:val="15"/>
                <w:szCs w:val="15"/>
              </w:rPr>
            </w:pPr>
            <w:r>
              <w:rPr>
                <w:rFonts w:ascii="Arial" w:hAnsi="Arial" w:eastAsia="Arial" w:cs="Arial"/>
                <w:sz w:val="15"/>
                <w:szCs w:val="15"/>
              </w:rPr>
              <w:t>1</w:t>
            </w:r>
          </w:p>
        </w:tc>
        <w:tc>
          <w:tcPr>
            <w:tcW w:w="673" w:type="dxa"/>
            <w:tcBorders>
              <w:top w:val="single" w:color="282781" w:sz="2" w:space="0"/>
              <w:bottom w:val="single" w:color="282781" w:sz="4" w:space="0"/>
            </w:tcBorders>
            <w:vAlign w:val="top"/>
          </w:tcPr>
          <w:p>
            <w:pPr>
              <w:spacing w:before="73" w:line="191" w:lineRule="auto"/>
              <w:ind w:left="304"/>
              <w:rPr>
                <w:rFonts w:ascii="Arial" w:hAnsi="Arial" w:eastAsia="Arial" w:cs="Arial"/>
                <w:sz w:val="15"/>
                <w:szCs w:val="15"/>
              </w:rPr>
            </w:pPr>
            <w:r>
              <w:rPr>
                <w:rFonts w:ascii="Arial" w:hAnsi="Arial" w:eastAsia="Arial" w:cs="Arial"/>
                <w:sz w:val="15"/>
                <w:szCs w:val="15"/>
              </w:rPr>
              <w:t>2</w:t>
            </w:r>
          </w:p>
        </w:tc>
        <w:tc>
          <w:tcPr>
            <w:tcW w:w="670" w:type="dxa"/>
            <w:tcBorders>
              <w:top w:val="single" w:color="282781" w:sz="2" w:space="0"/>
              <w:bottom w:val="single" w:color="282781" w:sz="4" w:space="0"/>
            </w:tcBorders>
            <w:vAlign w:val="top"/>
          </w:tcPr>
          <w:p>
            <w:pPr>
              <w:spacing w:before="72" w:line="191" w:lineRule="auto"/>
              <w:ind w:left="302"/>
              <w:rPr>
                <w:rFonts w:ascii="Arial" w:hAnsi="Arial" w:eastAsia="Arial" w:cs="Arial"/>
                <w:sz w:val="15"/>
                <w:szCs w:val="15"/>
              </w:rPr>
            </w:pPr>
            <w:r>
              <w:rPr>
                <w:rFonts w:ascii="Arial" w:hAnsi="Arial" w:eastAsia="Arial" w:cs="Arial"/>
                <w:sz w:val="15"/>
                <w:szCs w:val="15"/>
              </w:rPr>
              <w:t>3</w:t>
            </w:r>
          </w:p>
        </w:tc>
        <w:tc>
          <w:tcPr>
            <w:tcW w:w="673" w:type="dxa"/>
            <w:tcBorders>
              <w:top w:val="single" w:color="282781" w:sz="2" w:space="0"/>
              <w:bottom w:val="single" w:color="282781" w:sz="4" w:space="0"/>
            </w:tcBorders>
            <w:vAlign w:val="top"/>
          </w:tcPr>
          <w:p>
            <w:pPr>
              <w:spacing w:before="74" w:line="189" w:lineRule="auto"/>
              <w:ind w:left="301"/>
              <w:rPr>
                <w:rFonts w:ascii="Arial" w:hAnsi="Arial" w:eastAsia="Arial" w:cs="Arial"/>
                <w:sz w:val="15"/>
                <w:szCs w:val="15"/>
              </w:rPr>
            </w:pPr>
            <w:r>
              <w:rPr>
                <w:rFonts w:ascii="Arial" w:hAnsi="Arial" w:eastAsia="Arial" w:cs="Arial"/>
                <w:sz w:val="15"/>
                <w:szCs w:val="15"/>
              </w:rPr>
              <w:t>4</w:t>
            </w:r>
          </w:p>
        </w:tc>
        <w:tc>
          <w:tcPr>
            <w:tcW w:w="671" w:type="dxa"/>
            <w:tcBorders>
              <w:top w:val="single" w:color="282781" w:sz="2" w:space="0"/>
              <w:bottom w:val="single" w:color="282781" w:sz="4" w:space="0"/>
            </w:tcBorders>
            <w:vAlign w:val="top"/>
          </w:tcPr>
          <w:p>
            <w:pPr>
              <w:spacing w:before="75" w:line="188" w:lineRule="auto"/>
              <w:ind w:left="302"/>
              <w:rPr>
                <w:rFonts w:ascii="Arial" w:hAnsi="Arial" w:eastAsia="Arial" w:cs="Arial"/>
                <w:sz w:val="15"/>
                <w:szCs w:val="15"/>
              </w:rPr>
            </w:pPr>
            <w:r>
              <w:rPr>
                <w:rFonts w:ascii="Arial" w:hAnsi="Arial" w:eastAsia="Arial" w:cs="Arial"/>
                <w:sz w:val="15"/>
                <w:szCs w:val="15"/>
              </w:rPr>
              <w:t>5</w:t>
            </w:r>
          </w:p>
        </w:tc>
        <w:tc>
          <w:tcPr>
            <w:tcW w:w="474" w:type="dxa"/>
            <w:tcBorders>
              <w:top w:val="single" w:color="282781" w:sz="2" w:space="0"/>
              <w:bottom w:val="single" w:color="282781" w:sz="4" w:space="0"/>
            </w:tcBorders>
            <w:vAlign w:val="top"/>
          </w:tcPr>
          <w:p>
            <w:pPr>
              <w:spacing w:before="73" w:line="190" w:lineRule="auto"/>
              <w:ind w:left="303"/>
              <w:rPr>
                <w:rFonts w:ascii="Arial" w:hAnsi="Arial" w:eastAsia="Arial" w:cs="Arial"/>
                <w:sz w:val="15"/>
                <w:szCs w:val="15"/>
              </w:rPr>
            </w:pPr>
            <w:r>
              <w:rPr>
                <w:rFonts w:ascii="Arial" w:hAnsi="Arial" w:eastAsia="Arial" w:cs="Arial"/>
                <w:sz w:val="15"/>
                <w:szCs w:val="15"/>
              </w:rPr>
              <w:t>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4" w:hRule="atLeast"/>
        </w:trPr>
        <w:tc>
          <w:tcPr>
            <w:tcW w:w="2157" w:type="dxa"/>
            <w:tcBorders>
              <w:top w:val="single" w:color="282781" w:sz="4" w:space="0"/>
            </w:tcBorders>
            <w:vAlign w:val="top"/>
          </w:tcPr>
          <w:p>
            <w:pPr>
              <w:spacing w:before="54" w:line="203" w:lineRule="auto"/>
              <w:ind w:left="14"/>
              <w:rPr>
                <w:rFonts w:ascii="Arial" w:hAnsi="Arial" w:eastAsia="Arial" w:cs="Arial"/>
                <w:sz w:val="15"/>
                <w:szCs w:val="15"/>
              </w:rPr>
            </w:pPr>
            <w:r>
              <w:rPr>
                <w:rFonts w:ascii="Arial" w:hAnsi="Arial" w:eastAsia="Arial" w:cs="Arial"/>
                <w:spacing w:val="-9"/>
                <w:sz w:val="15"/>
                <w:szCs w:val="15"/>
              </w:rPr>
              <w:t>1</w:t>
            </w:r>
            <w:r>
              <w:rPr>
                <w:rFonts w:ascii="Arial" w:hAnsi="Arial" w:eastAsia="Arial" w:cs="Arial"/>
                <w:spacing w:val="5"/>
                <w:sz w:val="15"/>
                <w:szCs w:val="15"/>
              </w:rPr>
              <w:t xml:space="preserve">         </w:t>
            </w:r>
            <w:r>
              <w:rPr>
                <w:rFonts w:ascii="Arial" w:hAnsi="Arial" w:eastAsia="Arial" w:cs="Arial"/>
                <w:spacing w:val="-9"/>
                <w:sz w:val="15"/>
                <w:szCs w:val="15"/>
              </w:rPr>
              <w:t>Leadership</w:t>
            </w:r>
            <w:r>
              <w:rPr>
                <w:rFonts w:ascii="Arial" w:hAnsi="Arial" w:eastAsia="Arial" w:cs="Arial"/>
                <w:spacing w:val="17"/>
                <w:w w:val="101"/>
                <w:sz w:val="15"/>
                <w:szCs w:val="15"/>
              </w:rPr>
              <w:t xml:space="preserve"> </w:t>
            </w:r>
            <w:r>
              <w:rPr>
                <w:rFonts w:ascii="Arial" w:hAnsi="Arial" w:eastAsia="Arial" w:cs="Arial"/>
                <w:spacing w:val="-9"/>
                <w:sz w:val="15"/>
                <w:szCs w:val="15"/>
              </w:rPr>
              <w:t>behavior</w:t>
            </w:r>
          </w:p>
        </w:tc>
        <w:tc>
          <w:tcPr>
            <w:tcW w:w="652" w:type="dxa"/>
            <w:tcBorders>
              <w:top w:val="single" w:color="282781" w:sz="4" w:space="0"/>
            </w:tcBorders>
            <w:vAlign w:val="top"/>
          </w:tcPr>
          <w:p>
            <w:pPr>
              <w:spacing w:before="61" w:line="191" w:lineRule="auto"/>
              <w:ind w:left="204"/>
              <w:rPr>
                <w:rFonts w:ascii="Arial" w:hAnsi="Arial" w:eastAsia="Arial" w:cs="Arial"/>
                <w:sz w:val="15"/>
                <w:szCs w:val="15"/>
              </w:rPr>
            </w:pPr>
            <w:r>
              <w:rPr>
                <w:rFonts w:ascii="Arial" w:hAnsi="Arial" w:eastAsia="Arial" w:cs="Arial"/>
                <w:spacing w:val="-9"/>
                <w:sz w:val="15"/>
                <w:szCs w:val="15"/>
              </w:rPr>
              <w:t>.952</w:t>
            </w:r>
          </w:p>
        </w:tc>
        <w:tc>
          <w:tcPr>
            <w:tcW w:w="652" w:type="dxa"/>
            <w:tcBorders>
              <w:top w:val="single" w:color="282781" w:sz="4" w:space="0"/>
            </w:tcBorders>
            <w:vAlign w:val="top"/>
          </w:tcPr>
          <w:p>
            <w:pPr>
              <w:spacing w:before="61" w:line="191" w:lineRule="auto"/>
              <w:ind w:left="204"/>
              <w:rPr>
                <w:rFonts w:ascii="Arial" w:hAnsi="Arial" w:eastAsia="Arial" w:cs="Arial"/>
                <w:sz w:val="15"/>
                <w:szCs w:val="15"/>
              </w:rPr>
            </w:pPr>
            <w:r>
              <w:rPr>
                <w:rFonts w:ascii="Arial" w:hAnsi="Arial" w:eastAsia="Arial" w:cs="Arial"/>
                <w:spacing w:val="-9"/>
                <w:sz w:val="15"/>
                <w:szCs w:val="15"/>
              </w:rPr>
              <w:t>.947</w:t>
            </w:r>
          </w:p>
        </w:tc>
        <w:tc>
          <w:tcPr>
            <w:tcW w:w="652" w:type="dxa"/>
            <w:tcBorders>
              <w:top w:val="single" w:color="282781" w:sz="4" w:space="0"/>
            </w:tcBorders>
            <w:vAlign w:val="top"/>
          </w:tcPr>
          <w:p>
            <w:pPr>
              <w:spacing w:before="61" w:line="191" w:lineRule="auto"/>
              <w:ind w:left="203"/>
              <w:rPr>
                <w:rFonts w:ascii="Arial" w:hAnsi="Arial" w:eastAsia="Arial" w:cs="Arial"/>
                <w:sz w:val="15"/>
                <w:szCs w:val="15"/>
              </w:rPr>
            </w:pPr>
            <w:r>
              <w:rPr>
                <w:rFonts w:ascii="Arial" w:hAnsi="Arial" w:eastAsia="Arial" w:cs="Arial"/>
                <w:spacing w:val="-9"/>
                <w:sz w:val="15"/>
                <w:szCs w:val="15"/>
              </w:rPr>
              <w:t>.668</w:t>
            </w:r>
          </w:p>
        </w:tc>
        <w:tc>
          <w:tcPr>
            <w:tcW w:w="671" w:type="dxa"/>
            <w:tcBorders>
              <w:top w:val="single" w:color="282781" w:sz="4" w:space="0"/>
            </w:tcBorders>
            <w:vAlign w:val="top"/>
          </w:tcPr>
          <w:p>
            <w:pPr>
              <w:spacing w:before="61" w:line="191" w:lineRule="auto"/>
              <w:ind w:left="203"/>
              <w:rPr>
                <w:rFonts w:ascii="Arial" w:hAnsi="Arial" w:eastAsia="Arial" w:cs="Arial"/>
                <w:sz w:val="15"/>
                <w:szCs w:val="15"/>
              </w:rPr>
            </w:pPr>
            <w:r>
              <w:rPr>
                <w:rFonts w:ascii="Arial" w:hAnsi="Arial" w:eastAsia="Arial" w:cs="Arial"/>
                <w:spacing w:val="-6"/>
                <w:sz w:val="15"/>
                <w:szCs w:val="15"/>
              </w:rPr>
              <w:t>.817</w:t>
            </w:r>
          </w:p>
        </w:tc>
        <w:tc>
          <w:tcPr>
            <w:tcW w:w="673" w:type="dxa"/>
            <w:tcBorders>
              <w:top w:val="single" w:color="282781" w:sz="4" w:space="0"/>
            </w:tcBorders>
            <w:vAlign w:val="top"/>
          </w:tcPr>
          <w:p>
            <w:pPr>
              <w:spacing w:line="203" w:lineRule="exact"/>
              <w:rPr>
                <w:rFonts w:ascii="Arial"/>
                <w:sz w:val="17"/>
              </w:rPr>
            </w:pPr>
          </w:p>
        </w:tc>
        <w:tc>
          <w:tcPr>
            <w:tcW w:w="670" w:type="dxa"/>
            <w:tcBorders>
              <w:top w:val="single" w:color="282781" w:sz="4" w:space="0"/>
            </w:tcBorders>
            <w:vAlign w:val="top"/>
          </w:tcPr>
          <w:p>
            <w:pPr>
              <w:spacing w:line="203" w:lineRule="exact"/>
              <w:rPr>
                <w:rFonts w:ascii="Arial"/>
                <w:sz w:val="17"/>
              </w:rPr>
            </w:pPr>
          </w:p>
        </w:tc>
        <w:tc>
          <w:tcPr>
            <w:tcW w:w="673" w:type="dxa"/>
            <w:tcBorders>
              <w:top w:val="single" w:color="282781" w:sz="4" w:space="0"/>
            </w:tcBorders>
            <w:vAlign w:val="top"/>
          </w:tcPr>
          <w:p>
            <w:pPr>
              <w:spacing w:line="203" w:lineRule="exact"/>
              <w:rPr>
                <w:rFonts w:ascii="Arial"/>
                <w:sz w:val="17"/>
              </w:rPr>
            </w:pPr>
          </w:p>
        </w:tc>
        <w:tc>
          <w:tcPr>
            <w:tcW w:w="671" w:type="dxa"/>
            <w:tcBorders>
              <w:top w:val="single" w:color="282781" w:sz="4" w:space="0"/>
            </w:tcBorders>
            <w:vAlign w:val="top"/>
          </w:tcPr>
          <w:p>
            <w:pPr>
              <w:spacing w:line="203" w:lineRule="exact"/>
              <w:rPr>
                <w:rFonts w:ascii="Arial"/>
                <w:sz w:val="17"/>
              </w:rPr>
            </w:pPr>
          </w:p>
        </w:tc>
        <w:tc>
          <w:tcPr>
            <w:tcW w:w="474" w:type="dxa"/>
            <w:tcBorders>
              <w:top w:val="single" w:color="282781" w:sz="4" w:space="0"/>
            </w:tcBorders>
            <w:vAlign w:val="top"/>
          </w:tcPr>
          <w:p>
            <w:pPr>
              <w:spacing w:line="203" w:lineRule="exact"/>
              <w:rPr>
                <w:rFonts w:ascii="Arial"/>
                <w:sz w:val="17"/>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4" w:hRule="atLeast"/>
        </w:trPr>
        <w:tc>
          <w:tcPr>
            <w:tcW w:w="2157" w:type="dxa"/>
            <w:vAlign w:val="top"/>
          </w:tcPr>
          <w:p>
            <w:pPr>
              <w:spacing w:before="23" w:line="182" w:lineRule="auto"/>
              <w:ind w:left="6"/>
              <w:rPr>
                <w:rFonts w:ascii="Arial" w:hAnsi="Arial" w:eastAsia="Arial" w:cs="Arial"/>
                <w:sz w:val="15"/>
                <w:szCs w:val="15"/>
              </w:rPr>
            </w:pPr>
            <w:r>
              <w:rPr>
                <w:rFonts w:ascii="Arial" w:hAnsi="Arial" w:eastAsia="Arial" w:cs="Arial"/>
                <w:spacing w:val="-7"/>
                <w:sz w:val="15"/>
                <w:szCs w:val="15"/>
              </w:rPr>
              <w:t>2</w:t>
            </w:r>
            <w:r>
              <w:rPr>
                <w:rFonts w:ascii="Arial" w:hAnsi="Arial" w:eastAsia="Arial" w:cs="Arial"/>
                <w:spacing w:val="3"/>
                <w:sz w:val="15"/>
                <w:szCs w:val="15"/>
              </w:rPr>
              <w:t xml:space="preserve">         </w:t>
            </w:r>
            <w:r>
              <w:rPr>
                <w:rFonts w:ascii="Arial" w:hAnsi="Arial" w:eastAsia="Arial" w:cs="Arial"/>
                <w:spacing w:val="-7"/>
                <w:sz w:val="15"/>
                <w:szCs w:val="15"/>
              </w:rPr>
              <w:t>Communication</w:t>
            </w:r>
          </w:p>
        </w:tc>
        <w:tc>
          <w:tcPr>
            <w:tcW w:w="652" w:type="dxa"/>
            <w:vAlign w:val="top"/>
          </w:tcPr>
          <w:p>
            <w:pPr>
              <w:spacing w:before="26" w:line="177" w:lineRule="auto"/>
              <w:ind w:left="204"/>
              <w:rPr>
                <w:rFonts w:ascii="Arial" w:hAnsi="Arial" w:eastAsia="Arial" w:cs="Arial"/>
                <w:sz w:val="15"/>
                <w:szCs w:val="15"/>
              </w:rPr>
            </w:pPr>
            <w:r>
              <w:rPr>
                <w:rFonts w:ascii="Arial" w:hAnsi="Arial" w:eastAsia="Arial" w:cs="Arial"/>
                <w:spacing w:val="-9"/>
                <w:sz w:val="15"/>
                <w:szCs w:val="15"/>
              </w:rPr>
              <w:t>.940</w:t>
            </w:r>
          </w:p>
        </w:tc>
        <w:tc>
          <w:tcPr>
            <w:tcW w:w="652" w:type="dxa"/>
            <w:vAlign w:val="top"/>
          </w:tcPr>
          <w:p>
            <w:pPr>
              <w:spacing w:before="26" w:line="177" w:lineRule="auto"/>
              <w:ind w:left="204"/>
              <w:rPr>
                <w:rFonts w:ascii="Arial" w:hAnsi="Arial" w:eastAsia="Arial" w:cs="Arial"/>
                <w:sz w:val="15"/>
                <w:szCs w:val="15"/>
              </w:rPr>
            </w:pPr>
            <w:r>
              <w:rPr>
                <w:rFonts w:ascii="Arial" w:hAnsi="Arial" w:eastAsia="Arial" w:cs="Arial"/>
                <w:spacing w:val="-9"/>
                <w:sz w:val="15"/>
                <w:szCs w:val="15"/>
              </w:rPr>
              <w:t>.940</w:t>
            </w:r>
          </w:p>
        </w:tc>
        <w:tc>
          <w:tcPr>
            <w:tcW w:w="652" w:type="dxa"/>
            <w:vAlign w:val="top"/>
          </w:tcPr>
          <w:p>
            <w:pPr>
              <w:spacing w:before="26" w:line="177" w:lineRule="auto"/>
              <w:ind w:left="203"/>
              <w:rPr>
                <w:rFonts w:ascii="Arial" w:hAnsi="Arial" w:eastAsia="Arial" w:cs="Arial"/>
                <w:sz w:val="15"/>
                <w:szCs w:val="15"/>
              </w:rPr>
            </w:pPr>
            <w:r>
              <w:rPr>
                <w:rFonts w:ascii="Arial" w:hAnsi="Arial" w:eastAsia="Arial" w:cs="Arial"/>
                <w:spacing w:val="-9"/>
                <w:sz w:val="15"/>
                <w:szCs w:val="15"/>
              </w:rPr>
              <w:t>.722</w:t>
            </w:r>
          </w:p>
        </w:tc>
        <w:tc>
          <w:tcPr>
            <w:tcW w:w="671" w:type="dxa"/>
            <w:vAlign w:val="top"/>
          </w:tcPr>
          <w:p>
            <w:pPr>
              <w:spacing w:before="26" w:line="177" w:lineRule="auto"/>
              <w:ind w:left="203"/>
              <w:rPr>
                <w:rFonts w:ascii="Arial" w:hAnsi="Arial" w:eastAsia="Arial" w:cs="Arial"/>
                <w:sz w:val="15"/>
                <w:szCs w:val="15"/>
              </w:rPr>
            </w:pPr>
            <w:r>
              <w:rPr>
                <w:rFonts w:ascii="Arial" w:hAnsi="Arial" w:eastAsia="Arial" w:cs="Arial"/>
                <w:spacing w:val="-9"/>
                <w:sz w:val="15"/>
                <w:szCs w:val="15"/>
              </w:rPr>
              <w:t>.302</w:t>
            </w:r>
          </w:p>
        </w:tc>
        <w:tc>
          <w:tcPr>
            <w:tcW w:w="673" w:type="dxa"/>
            <w:vAlign w:val="top"/>
          </w:tcPr>
          <w:p>
            <w:pPr>
              <w:spacing w:before="26" w:line="177" w:lineRule="auto"/>
              <w:ind w:left="205"/>
              <w:rPr>
                <w:rFonts w:ascii="Arial" w:hAnsi="Arial" w:eastAsia="Arial" w:cs="Arial"/>
                <w:sz w:val="15"/>
                <w:szCs w:val="15"/>
              </w:rPr>
            </w:pPr>
            <w:r>
              <w:rPr>
                <w:rFonts w:ascii="Arial" w:hAnsi="Arial" w:eastAsia="Arial" w:cs="Arial"/>
                <w:spacing w:val="-6"/>
                <w:sz w:val="15"/>
                <w:szCs w:val="15"/>
              </w:rPr>
              <w:t>.850</w:t>
            </w:r>
          </w:p>
        </w:tc>
        <w:tc>
          <w:tcPr>
            <w:tcW w:w="670" w:type="dxa"/>
            <w:vAlign w:val="top"/>
          </w:tcPr>
          <w:p>
            <w:pPr>
              <w:spacing w:line="153" w:lineRule="exact"/>
              <w:rPr>
                <w:rFonts w:ascii="Arial"/>
                <w:sz w:val="13"/>
              </w:rPr>
            </w:pPr>
          </w:p>
        </w:tc>
        <w:tc>
          <w:tcPr>
            <w:tcW w:w="673" w:type="dxa"/>
            <w:vAlign w:val="top"/>
          </w:tcPr>
          <w:p>
            <w:pPr>
              <w:spacing w:line="153" w:lineRule="exact"/>
              <w:rPr>
                <w:rFonts w:ascii="Arial"/>
                <w:sz w:val="13"/>
              </w:rPr>
            </w:pPr>
          </w:p>
        </w:tc>
        <w:tc>
          <w:tcPr>
            <w:tcW w:w="671" w:type="dxa"/>
            <w:vAlign w:val="top"/>
          </w:tcPr>
          <w:p>
            <w:pPr>
              <w:spacing w:line="153" w:lineRule="exact"/>
              <w:rPr>
                <w:rFonts w:ascii="Arial"/>
                <w:sz w:val="13"/>
              </w:rPr>
            </w:pPr>
          </w:p>
        </w:tc>
        <w:tc>
          <w:tcPr>
            <w:tcW w:w="474" w:type="dxa"/>
            <w:vAlign w:val="top"/>
          </w:tcPr>
          <w:p>
            <w:pPr>
              <w:spacing w:line="153" w:lineRule="exact"/>
              <w:rPr>
                <w:rFonts w:ascii="Arial"/>
                <w:sz w:val="13"/>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4" w:hRule="atLeast"/>
        </w:trPr>
        <w:tc>
          <w:tcPr>
            <w:tcW w:w="2157" w:type="dxa"/>
            <w:vAlign w:val="top"/>
          </w:tcPr>
          <w:p>
            <w:pPr>
              <w:spacing w:before="40" w:line="196" w:lineRule="auto"/>
              <w:ind w:left="6"/>
              <w:rPr>
                <w:rFonts w:ascii="Arial" w:hAnsi="Arial" w:eastAsia="Arial" w:cs="Arial"/>
                <w:sz w:val="15"/>
                <w:szCs w:val="15"/>
              </w:rPr>
            </w:pPr>
            <w:r>
              <w:rPr>
                <w:rFonts w:ascii="Arial" w:hAnsi="Arial" w:eastAsia="Arial" w:cs="Arial"/>
                <w:spacing w:val="-9"/>
                <w:sz w:val="15"/>
                <w:szCs w:val="15"/>
              </w:rPr>
              <w:t>3</w:t>
            </w:r>
            <w:r>
              <w:rPr>
                <w:rFonts w:ascii="Arial" w:hAnsi="Arial" w:eastAsia="Arial" w:cs="Arial"/>
                <w:spacing w:val="3"/>
                <w:sz w:val="15"/>
                <w:szCs w:val="15"/>
              </w:rPr>
              <w:t xml:space="preserve">         </w:t>
            </w:r>
            <w:r>
              <w:rPr>
                <w:rFonts w:ascii="Arial" w:hAnsi="Arial" w:eastAsia="Arial" w:cs="Arial"/>
                <w:spacing w:val="-9"/>
                <w:sz w:val="15"/>
                <w:szCs w:val="15"/>
              </w:rPr>
              <w:t>Engagement</w:t>
            </w:r>
          </w:p>
        </w:tc>
        <w:tc>
          <w:tcPr>
            <w:tcW w:w="652" w:type="dxa"/>
            <w:vAlign w:val="top"/>
          </w:tcPr>
          <w:p>
            <w:pPr>
              <w:spacing w:before="42" w:line="191" w:lineRule="auto"/>
              <w:ind w:left="204"/>
              <w:rPr>
                <w:rFonts w:ascii="Arial" w:hAnsi="Arial" w:eastAsia="Arial" w:cs="Arial"/>
                <w:sz w:val="15"/>
                <w:szCs w:val="15"/>
              </w:rPr>
            </w:pPr>
            <w:r>
              <w:rPr>
                <w:rFonts w:ascii="Arial" w:hAnsi="Arial" w:eastAsia="Arial" w:cs="Arial"/>
                <w:spacing w:val="-9"/>
                <w:sz w:val="15"/>
                <w:szCs w:val="15"/>
              </w:rPr>
              <w:t>.816</w:t>
            </w:r>
          </w:p>
        </w:tc>
        <w:tc>
          <w:tcPr>
            <w:tcW w:w="652" w:type="dxa"/>
            <w:vAlign w:val="top"/>
          </w:tcPr>
          <w:p>
            <w:pPr>
              <w:spacing w:before="42" w:line="191" w:lineRule="auto"/>
              <w:ind w:left="204"/>
              <w:rPr>
                <w:rFonts w:ascii="Arial" w:hAnsi="Arial" w:eastAsia="Arial" w:cs="Arial"/>
                <w:sz w:val="15"/>
                <w:szCs w:val="15"/>
              </w:rPr>
            </w:pPr>
            <w:r>
              <w:rPr>
                <w:rFonts w:ascii="Arial" w:hAnsi="Arial" w:eastAsia="Arial" w:cs="Arial"/>
                <w:spacing w:val="-9"/>
                <w:sz w:val="15"/>
                <w:szCs w:val="15"/>
              </w:rPr>
              <w:t>.816</w:t>
            </w:r>
          </w:p>
        </w:tc>
        <w:tc>
          <w:tcPr>
            <w:tcW w:w="652" w:type="dxa"/>
            <w:vAlign w:val="top"/>
          </w:tcPr>
          <w:p>
            <w:pPr>
              <w:spacing w:before="42" w:line="191" w:lineRule="auto"/>
              <w:ind w:left="203"/>
              <w:rPr>
                <w:rFonts w:ascii="Arial" w:hAnsi="Arial" w:eastAsia="Arial" w:cs="Arial"/>
                <w:sz w:val="15"/>
                <w:szCs w:val="15"/>
              </w:rPr>
            </w:pPr>
            <w:r>
              <w:rPr>
                <w:rFonts w:ascii="Arial" w:hAnsi="Arial" w:eastAsia="Arial" w:cs="Arial"/>
                <w:spacing w:val="-9"/>
                <w:sz w:val="15"/>
                <w:szCs w:val="15"/>
              </w:rPr>
              <w:t>.597</w:t>
            </w:r>
          </w:p>
        </w:tc>
        <w:tc>
          <w:tcPr>
            <w:tcW w:w="671" w:type="dxa"/>
            <w:vAlign w:val="top"/>
          </w:tcPr>
          <w:p>
            <w:pPr>
              <w:spacing w:before="43" w:line="193" w:lineRule="auto"/>
              <w:ind w:left="203"/>
              <w:rPr>
                <w:rFonts w:ascii="Arial" w:hAnsi="Arial" w:eastAsia="Arial" w:cs="Arial"/>
                <w:sz w:val="15"/>
                <w:szCs w:val="15"/>
              </w:rPr>
            </w:pPr>
            <w:r>
              <w:rPr>
                <w:rFonts w:ascii="Arial" w:hAnsi="Arial" w:eastAsia="Arial" w:cs="Arial"/>
                <w:spacing w:val="-9"/>
                <w:sz w:val="15"/>
                <w:szCs w:val="15"/>
              </w:rPr>
              <w:t>.241</w:t>
            </w:r>
          </w:p>
        </w:tc>
        <w:tc>
          <w:tcPr>
            <w:tcW w:w="673" w:type="dxa"/>
            <w:vAlign w:val="top"/>
          </w:tcPr>
          <w:p>
            <w:pPr>
              <w:spacing w:before="42" w:line="191" w:lineRule="auto"/>
              <w:ind w:left="205"/>
              <w:rPr>
                <w:rFonts w:ascii="Arial" w:hAnsi="Arial" w:eastAsia="Arial" w:cs="Arial"/>
                <w:sz w:val="15"/>
                <w:szCs w:val="15"/>
              </w:rPr>
            </w:pPr>
            <w:r>
              <w:rPr>
                <w:rFonts w:ascii="Arial" w:hAnsi="Arial" w:eastAsia="Arial" w:cs="Arial"/>
                <w:spacing w:val="-9"/>
                <w:sz w:val="15"/>
                <w:szCs w:val="15"/>
              </w:rPr>
              <w:t>.268</w:t>
            </w:r>
          </w:p>
        </w:tc>
        <w:tc>
          <w:tcPr>
            <w:tcW w:w="670" w:type="dxa"/>
            <w:vAlign w:val="top"/>
          </w:tcPr>
          <w:p>
            <w:pPr>
              <w:spacing w:before="42" w:line="191" w:lineRule="auto"/>
              <w:ind w:left="203"/>
              <w:rPr>
                <w:rFonts w:ascii="Arial" w:hAnsi="Arial" w:eastAsia="Arial" w:cs="Arial"/>
                <w:sz w:val="15"/>
                <w:szCs w:val="15"/>
              </w:rPr>
            </w:pPr>
            <w:r>
              <w:rPr>
                <w:rFonts w:ascii="Arial" w:hAnsi="Arial" w:eastAsia="Arial" w:cs="Arial"/>
                <w:spacing w:val="-6"/>
                <w:sz w:val="15"/>
                <w:szCs w:val="15"/>
              </w:rPr>
              <w:t>.773</w:t>
            </w:r>
          </w:p>
        </w:tc>
        <w:tc>
          <w:tcPr>
            <w:tcW w:w="673" w:type="dxa"/>
            <w:vAlign w:val="top"/>
          </w:tcPr>
          <w:p>
            <w:pPr>
              <w:spacing w:line="183" w:lineRule="exact"/>
              <w:rPr>
                <w:rFonts w:ascii="Arial"/>
                <w:sz w:val="16"/>
              </w:rPr>
            </w:pPr>
          </w:p>
        </w:tc>
        <w:tc>
          <w:tcPr>
            <w:tcW w:w="671" w:type="dxa"/>
            <w:vAlign w:val="top"/>
          </w:tcPr>
          <w:p>
            <w:pPr>
              <w:spacing w:line="183" w:lineRule="exact"/>
              <w:rPr>
                <w:rFonts w:ascii="Arial"/>
                <w:sz w:val="16"/>
              </w:rPr>
            </w:pPr>
          </w:p>
        </w:tc>
        <w:tc>
          <w:tcPr>
            <w:tcW w:w="474" w:type="dxa"/>
            <w:vAlign w:val="top"/>
          </w:tcPr>
          <w:p>
            <w:pPr>
              <w:spacing w:line="183" w:lineRule="exact"/>
              <w:rPr>
                <w:rFonts w:ascii="Arial"/>
                <w:sz w:val="16"/>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2" w:hRule="atLeast"/>
        </w:trPr>
        <w:tc>
          <w:tcPr>
            <w:tcW w:w="2157" w:type="dxa"/>
            <w:vAlign w:val="top"/>
          </w:tcPr>
          <w:p>
            <w:pPr>
              <w:spacing w:before="25" w:line="176" w:lineRule="auto"/>
              <w:ind w:left="2"/>
              <w:rPr>
                <w:rFonts w:ascii="Arial" w:hAnsi="Arial" w:eastAsia="Arial" w:cs="Arial"/>
                <w:sz w:val="15"/>
                <w:szCs w:val="15"/>
              </w:rPr>
            </w:pPr>
            <w:r>
              <w:rPr>
                <w:rFonts w:ascii="Arial" w:hAnsi="Arial" w:eastAsia="Arial" w:cs="Arial"/>
                <w:spacing w:val="-4"/>
                <w:sz w:val="15"/>
                <w:szCs w:val="15"/>
              </w:rPr>
              <w:t>4          Commitment</w:t>
            </w:r>
          </w:p>
        </w:tc>
        <w:tc>
          <w:tcPr>
            <w:tcW w:w="652" w:type="dxa"/>
            <w:vAlign w:val="top"/>
          </w:tcPr>
          <w:p>
            <w:pPr>
              <w:spacing w:before="29" w:line="171" w:lineRule="auto"/>
              <w:ind w:left="204"/>
              <w:rPr>
                <w:rFonts w:ascii="Arial" w:hAnsi="Arial" w:eastAsia="Arial" w:cs="Arial"/>
                <w:sz w:val="15"/>
                <w:szCs w:val="15"/>
              </w:rPr>
            </w:pPr>
            <w:r>
              <w:rPr>
                <w:rFonts w:ascii="Arial" w:hAnsi="Arial" w:eastAsia="Arial" w:cs="Arial"/>
                <w:spacing w:val="-9"/>
                <w:sz w:val="15"/>
                <w:szCs w:val="15"/>
              </w:rPr>
              <w:t>.850</w:t>
            </w:r>
          </w:p>
        </w:tc>
        <w:tc>
          <w:tcPr>
            <w:tcW w:w="652" w:type="dxa"/>
            <w:vAlign w:val="top"/>
          </w:tcPr>
          <w:p>
            <w:pPr>
              <w:spacing w:before="29" w:line="171" w:lineRule="auto"/>
              <w:ind w:left="204"/>
              <w:rPr>
                <w:rFonts w:ascii="Arial" w:hAnsi="Arial" w:eastAsia="Arial" w:cs="Arial"/>
                <w:sz w:val="15"/>
                <w:szCs w:val="15"/>
              </w:rPr>
            </w:pPr>
            <w:r>
              <w:rPr>
                <w:rFonts w:ascii="Arial" w:hAnsi="Arial" w:eastAsia="Arial" w:cs="Arial"/>
                <w:spacing w:val="-9"/>
                <w:sz w:val="15"/>
                <w:szCs w:val="15"/>
              </w:rPr>
              <w:t>.852</w:t>
            </w:r>
          </w:p>
        </w:tc>
        <w:tc>
          <w:tcPr>
            <w:tcW w:w="652" w:type="dxa"/>
            <w:vAlign w:val="top"/>
          </w:tcPr>
          <w:p>
            <w:pPr>
              <w:spacing w:before="29" w:line="171" w:lineRule="auto"/>
              <w:ind w:left="203"/>
              <w:rPr>
                <w:rFonts w:ascii="Arial" w:hAnsi="Arial" w:eastAsia="Arial" w:cs="Arial"/>
                <w:sz w:val="15"/>
                <w:szCs w:val="15"/>
              </w:rPr>
            </w:pPr>
            <w:r>
              <w:rPr>
                <w:rFonts w:ascii="Arial" w:hAnsi="Arial" w:eastAsia="Arial" w:cs="Arial"/>
                <w:spacing w:val="-9"/>
                <w:sz w:val="15"/>
                <w:szCs w:val="15"/>
              </w:rPr>
              <w:t>.659</w:t>
            </w:r>
          </w:p>
        </w:tc>
        <w:tc>
          <w:tcPr>
            <w:tcW w:w="671" w:type="dxa"/>
            <w:vAlign w:val="top"/>
          </w:tcPr>
          <w:p>
            <w:pPr>
              <w:spacing w:before="29" w:line="171" w:lineRule="auto"/>
              <w:ind w:left="203"/>
              <w:rPr>
                <w:rFonts w:ascii="Arial" w:hAnsi="Arial" w:eastAsia="Arial" w:cs="Arial"/>
                <w:sz w:val="15"/>
                <w:szCs w:val="15"/>
              </w:rPr>
            </w:pPr>
            <w:r>
              <w:rPr>
                <w:rFonts w:ascii="Arial" w:hAnsi="Arial" w:eastAsia="Arial" w:cs="Arial"/>
                <w:spacing w:val="-9"/>
                <w:sz w:val="15"/>
                <w:szCs w:val="15"/>
              </w:rPr>
              <w:t>.195</w:t>
            </w:r>
          </w:p>
        </w:tc>
        <w:tc>
          <w:tcPr>
            <w:tcW w:w="673" w:type="dxa"/>
            <w:vAlign w:val="top"/>
          </w:tcPr>
          <w:p>
            <w:pPr>
              <w:spacing w:before="29" w:line="171" w:lineRule="auto"/>
              <w:ind w:left="205"/>
              <w:rPr>
                <w:rFonts w:ascii="Arial" w:hAnsi="Arial" w:eastAsia="Arial" w:cs="Arial"/>
                <w:sz w:val="15"/>
                <w:szCs w:val="15"/>
              </w:rPr>
            </w:pPr>
            <w:r>
              <w:rPr>
                <w:rFonts w:ascii="Arial" w:hAnsi="Arial" w:eastAsia="Arial" w:cs="Arial"/>
                <w:spacing w:val="-9"/>
                <w:sz w:val="15"/>
                <w:szCs w:val="15"/>
              </w:rPr>
              <w:t>.206</w:t>
            </w:r>
          </w:p>
        </w:tc>
        <w:tc>
          <w:tcPr>
            <w:tcW w:w="670" w:type="dxa"/>
            <w:vAlign w:val="top"/>
          </w:tcPr>
          <w:p>
            <w:pPr>
              <w:spacing w:before="29" w:line="171" w:lineRule="auto"/>
              <w:ind w:left="203"/>
              <w:rPr>
                <w:rFonts w:ascii="Arial" w:hAnsi="Arial" w:eastAsia="Arial" w:cs="Arial"/>
                <w:sz w:val="15"/>
                <w:szCs w:val="15"/>
              </w:rPr>
            </w:pPr>
            <w:r>
              <w:rPr>
                <w:rFonts w:ascii="Arial" w:hAnsi="Arial" w:eastAsia="Arial" w:cs="Arial"/>
                <w:spacing w:val="-9"/>
                <w:sz w:val="15"/>
                <w:szCs w:val="15"/>
              </w:rPr>
              <w:t>.633</w:t>
            </w:r>
          </w:p>
        </w:tc>
        <w:tc>
          <w:tcPr>
            <w:tcW w:w="673" w:type="dxa"/>
            <w:vAlign w:val="top"/>
          </w:tcPr>
          <w:p>
            <w:pPr>
              <w:spacing w:before="29" w:line="171" w:lineRule="auto"/>
              <w:ind w:left="205"/>
              <w:rPr>
                <w:rFonts w:ascii="Arial" w:hAnsi="Arial" w:eastAsia="Arial" w:cs="Arial"/>
                <w:sz w:val="15"/>
                <w:szCs w:val="15"/>
              </w:rPr>
            </w:pPr>
            <w:r>
              <w:rPr>
                <w:rFonts w:ascii="Arial" w:hAnsi="Arial" w:eastAsia="Arial" w:cs="Arial"/>
                <w:spacing w:val="-6"/>
                <w:sz w:val="15"/>
                <w:szCs w:val="15"/>
              </w:rPr>
              <w:t>.812</w:t>
            </w:r>
          </w:p>
        </w:tc>
        <w:tc>
          <w:tcPr>
            <w:tcW w:w="671" w:type="dxa"/>
            <w:vAlign w:val="top"/>
          </w:tcPr>
          <w:p>
            <w:pPr>
              <w:spacing w:line="151" w:lineRule="exact"/>
              <w:rPr>
                <w:rFonts w:ascii="Arial"/>
                <w:sz w:val="13"/>
              </w:rPr>
            </w:pPr>
          </w:p>
        </w:tc>
        <w:tc>
          <w:tcPr>
            <w:tcW w:w="474" w:type="dxa"/>
            <w:vAlign w:val="top"/>
          </w:tcPr>
          <w:p>
            <w:pPr>
              <w:spacing w:line="151" w:lineRule="exact"/>
              <w:rPr>
                <w:rFonts w:ascii="Arial"/>
                <w:sz w:val="13"/>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195" w:hRule="atLeast"/>
        </w:trPr>
        <w:tc>
          <w:tcPr>
            <w:tcW w:w="2157" w:type="dxa"/>
            <w:vAlign w:val="top"/>
          </w:tcPr>
          <w:p>
            <w:pPr>
              <w:spacing w:before="40" w:line="201" w:lineRule="auto"/>
              <w:ind w:left="6"/>
              <w:rPr>
                <w:rFonts w:ascii="Arial" w:hAnsi="Arial" w:eastAsia="Arial" w:cs="Arial"/>
                <w:sz w:val="15"/>
                <w:szCs w:val="15"/>
              </w:rPr>
            </w:pPr>
            <w:r>
              <w:rPr>
                <w:rFonts w:ascii="Arial" w:hAnsi="Arial" w:eastAsia="Arial" w:cs="Arial"/>
                <w:spacing w:val="-8"/>
                <w:sz w:val="15"/>
                <w:szCs w:val="15"/>
              </w:rPr>
              <w:t>5</w:t>
            </w:r>
            <w:r>
              <w:rPr>
                <w:rFonts w:ascii="Arial" w:hAnsi="Arial" w:eastAsia="Arial" w:cs="Arial"/>
                <w:spacing w:val="5"/>
                <w:sz w:val="15"/>
                <w:szCs w:val="15"/>
              </w:rPr>
              <w:t xml:space="preserve">         </w:t>
            </w:r>
            <w:r>
              <w:rPr>
                <w:rFonts w:ascii="Arial" w:hAnsi="Arial" w:eastAsia="Arial" w:cs="Arial"/>
                <w:spacing w:val="-8"/>
                <w:sz w:val="15"/>
                <w:szCs w:val="15"/>
              </w:rPr>
              <w:t>Leadership</w:t>
            </w:r>
            <w:r>
              <w:rPr>
                <w:rFonts w:ascii="Arial" w:hAnsi="Arial" w:eastAsia="Arial" w:cs="Arial"/>
                <w:spacing w:val="12"/>
                <w:sz w:val="15"/>
                <w:szCs w:val="15"/>
              </w:rPr>
              <w:t xml:space="preserve"> </w:t>
            </w:r>
            <w:r>
              <w:rPr>
                <w:rFonts w:ascii="Arial" w:hAnsi="Arial" w:eastAsia="Arial" w:cs="Arial"/>
                <w:spacing w:val="-8"/>
                <w:sz w:val="15"/>
                <w:szCs w:val="15"/>
              </w:rPr>
              <w:t>expectations</w:t>
            </w:r>
          </w:p>
        </w:tc>
        <w:tc>
          <w:tcPr>
            <w:tcW w:w="652" w:type="dxa"/>
            <w:vAlign w:val="top"/>
          </w:tcPr>
          <w:p>
            <w:pPr>
              <w:spacing w:before="47" w:line="191" w:lineRule="auto"/>
              <w:ind w:left="204"/>
              <w:rPr>
                <w:rFonts w:ascii="Arial" w:hAnsi="Arial" w:eastAsia="Arial" w:cs="Arial"/>
                <w:sz w:val="15"/>
                <w:szCs w:val="15"/>
              </w:rPr>
            </w:pPr>
            <w:r>
              <w:rPr>
                <w:rFonts w:ascii="Arial" w:hAnsi="Arial" w:eastAsia="Arial" w:cs="Arial"/>
                <w:spacing w:val="-9"/>
                <w:sz w:val="15"/>
                <w:szCs w:val="15"/>
              </w:rPr>
              <w:t>.857</w:t>
            </w:r>
          </w:p>
        </w:tc>
        <w:tc>
          <w:tcPr>
            <w:tcW w:w="652" w:type="dxa"/>
            <w:vAlign w:val="top"/>
          </w:tcPr>
          <w:p>
            <w:pPr>
              <w:spacing w:before="47" w:line="191" w:lineRule="auto"/>
              <w:ind w:left="204"/>
              <w:rPr>
                <w:rFonts w:ascii="Arial" w:hAnsi="Arial" w:eastAsia="Arial" w:cs="Arial"/>
                <w:sz w:val="15"/>
                <w:szCs w:val="15"/>
              </w:rPr>
            </w:pPr>
            <w:r>
              <w:rPr>
                <w:rFonts w:ascii="Arial" w:hAnsi="Arial" w:eastAsia="Arial" w:cs="Arial"/>
                <w:spacing w:val="-9"/>
                <w:sz w:val="15"/>
                <w:szCs w:val="15"/>
              </w:rPr>
              <w:t>.862</w:t>
            </w:r>
          </w:p>
        </w:tc>
        <w:tc>
          <w:tcPr>
            <w:tcW w:w="652" w:type="dxa"/>
            <w:vAlign w:val="top"/>
          </w:tcPr>
          <w:p>
            <w:pPr>
              <w:spacing w:before="48" w:line="190" w:lineRule="auto"/>
              <w:ind w:left="203"/>
              <w:rPr>
                <w:rFonts w:ascii="Arial" w:hAnsi="Arial" w:eastAsia="Arial" w:cs="Arial"/>
                <w:sz w:val="15"/>
                <w:szCs w:val="15"/>
              </w:rPr>
            </w:pPr>
            <w:r>
              <w:rPr>
                <w:rFonts w:ascii="Arial" w:hAnsi="Arial" w:eastAsia="Arial" w:cs="Arial"/>
                <w:spacing w:val="-9"/>
                <w:sz w:val="15"/>
                <w:szCs w:val="15"/>
              </w:rPr>
              <w:t>.676</w:t>
            </w:r>
          </w:p>
        </w:tc>
        <w:tc>
          <w:tcPr>
            <w:tcW w:w="671" w:type="dxa"/>
            <w:vAlign w:val="top"/>
          </w:tcPr>
          <w:p>
            <w:pPr>
              <w:spacing w:before="47" w:line="191" w:lineRule="auto"/>
              <w:ind w:left="203"/>
              <w:rPr>
                <w:rFonts w:ascii="Arial" w:hAnsi="Arial" w:eastAsia="Arial" w:cs="Arial"/>
                <w:sz w:val="15"/>
                <w:szCs w:val="15"/>
              </w:rPr>
            </w:pPr>
            <w:r>
              <w:rPr>
                <w:rFonts w:ascii="Arial" w:hAnsi="Arial" w:eastAsia="Arial" w:cs="Arial"/>
                <w:spacing w:val="-9"/>
                <w:sz w:val="15"/>
                <w:szCs w:val="15"/>
              </w:rPr>
              <w:t>.639</w:t>
            </w:r>
          </w:p>
        </w:tc>
        <w:tc>
          <w:tcPr>
            <w:tcW w:w="673" w:type="dxa"/>
            <w:vAlign w:val="top"/>
          </w:tcPr>
          <w:p>
            <w:pPr>
              <w:spacing w:before="47" w:line="191" w:lineRule="auto"/>
              <w:ind w:left="205"/>
              <w:rPr>
                <w:rFonts w:ascii="Arial" w:hAnsi="Arial" w:eastAsia="Arial" w:cs="Arial"/>
                <w:sz w:val="15"/>
                <w:szCs w:val="15"/>
              </w:rPr>
            </w:pPr>
            <w:r>
              <w:rPr>
                <w:rFonts w:ascii="Arial" w:hAnsi="Arial" w:eastAsia="Arial" w:cs="Arial"/>
                <w:spacing w:val="-9"/>
                <w:sz w:val="15"/>
                <w:szCs w:val="15"/>
              </w:rPr>
              <w:t>.230</w:t>
            </w:r>
          </w:p>
        </w:tc>
        <w:tc>
          <w:tcPr>
            <w:tcW w:w="670" w:type="dxa"/>
            <w:vAlign w:val="top"/>
          </w:tcPr>
          <w:p>
            <w:pPr>
              <w:spacing w:before="47" w:line="191" w:lineRule="auto"/>
              <w:ind w:left="203"/>
              <w:rPr>
                <w:rFonts w:ascii="Arial" w:hAnsi="Arial" w:eastAsia="Arial" w:cs="Arial"/>
                <w:sz w:val="15"/>
                <w:szCs w:val="15"/>
              </w:rPr>
            </w:pPr>
            <w:r>
              <w:rPr>
                <w:rFonts w:ascii="Arial" w:hAnsi="Arial" w:eastAsia="Arial" w:cs="Arial"/>
                <w:spacing w:val="-9"/>
                <w:sz w:val="15"/>
                <w:szCs w:val="15"/>
              </w:rPr>
              <w:t>.325</w:t>
            </w:r>
          </w:p>
        </w:tc>
        <w:tc>
          <w:tcPr>
            <w:tcW w:w="673" w:type="dxa"/>
            <w:vAlign w:val="top"/>
          </w:tcPr>
          <w:p>
            <w:pPr>
              <w:spacing w:before="47" w:line="191" w:lineRule="auto"/>
              <w:ind w:left="205"/>
              <w:rPr>
                <w:rFonts w:ascii="Arial" w:hAnsi="Arial" w:eastAsia="Arial" w:cs="Arial"/>
                <w:sz w:val="15"/>
                <w:szCs w:val="15"/>
              </w:rPr>
            </w:pPr>
            <w:r>
              <w:rPr>
                <w:rFonts w:ascii="Arial" w:hAnsi="Arial" w:eastAsia="Arial" w:cs="Arial"/>
                <w:spacing w:val="-9"/>
                <w:sz w:val="15"/>
                <w:szCs w:val="15"/>
              </w:rPr>
              <w:t>.270</w:t>
            </w:r>
          </w:p>
        </w:tc>
        <w:tc>
          <w:tcPr>
            <w:tcW w:w="671" w:type="dxa"/>
            <w:vAlign w:val="top"/>
          </w:tcPr>
          <w:p>
            <w:pPr>
              <w:spacing w:before="47" w:line="191" w:lineRule="auto"/>
              <w:ind w:left="205"/>
              <w:rPr>
                <w:rFonts w:ascii="Arial" w:hAnsi="Arial" w:eastAsia="Arial" w:cs="Arial"/>
                <w:sz w:val="15"/>
                <w:szCs w:val="15"/>
              </w:rPr>
            </w:pPr>
            <w:r>
              <w:rPr>
                <w:rFonts w:ascii="Arial" w:hAnsi="Arial" w:eastAsia="Arial" w:cs="Arial"/>
                <w:spacing w:val="-6"/>
                <w:sz w:val="15"/>
                <w:szCs w:val="15"/>
              </w:rPr>
              <w:t>.822</w:t>
            </w:r>
          </w:p>
        </w:tc>
        <w:tc>
          <w:tcPr>
            <w:tcW w:w="474" w:type="dxa"/>
            <w:vAlign w:val="top"/>
          </w:tcPr>
          <w:p>
            <w:pPr>
              <w:spacing w:line="185" w:lineRule="exact"/>
              <w:rPr>
                <w:rFonts w:ascii="Arial"/>
                <w:sz w:val="16"/>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197" w:hRule="atLeast"/>
        </w:trPr>
        <w:tc>
          <w:tcPr>
            <w:tcW w:w="2157" w:type="dxa"/>
            <w:tcBorders>
              <w:bottom w:val="single" w:color="282781" w:sz="4" w:space="0"/>
            </w:tcBorders>
            <w:vAlign w:val="top"/>
          </w:tcPr>
          <w:p>
            <w:pPr>
              <w:spacing w:before="29" w:line="197" w:lineRule="auto"/>
              <w:ind w:left="5"/>
              <w:rPr>
                <w:rFonts w:ascii="Arial" w:hAnsi="Arial" w:eastAsia="Arial" w:cs="Arial"/>
                <w:sz w:val="15"/>
                <w:szCs w:val="15"/>
              </w:rPr>
            </w:pPr>
            <w:r>
              <w:rPr>
                <w:rFonts w:ascii="Arial" w:hAnsi="Arial" w:eastAsia="Arial" w:cs="Arial"/>
                <w:spacing w:val="-6"/>
                <w:sz w:val="15"/>
                <w:szCs w:val="15"/>
              </w:rPr>
              <w:t>6</w:t>
            </w:r>
            <w:r>
              <w:rPr>
                <w:rFonts w:ascii="Arial" w:hAnsi="Arial" w:eastAsia="Arial" w:cs="Arial"/>
                <w:spacing w:val="4"/>
                <w:sz w:val="15"/>
                <w:szCs w:val="15"/>
              </w:rPr>
              <w:t xml:space="preserve">         </w:t>
            </w:r>
            <w:r>
              <w:rPr>
                <w:rFonts w:ascii="Arial" w:hAnsi="Arial" w:eastAsia="Arial" w:cs="Arial"/>
                <w:spacing w:val="-6"/>
                <w:sz w:val="15"/>
                <w:szCs w:val="15"/>
              </w:rPr>
              <w:t>Participation</w:t>
            </w:r>
          </w:p>
        </w:tc>
        <w:tc>
          <w:tcPr>
            <w:tcW w:w="652" w:type="dxa"/>
            <w:tcBorders>
              <w:bottom w:val="single" w:color="282781" w:sz="4" w:space="0"/>
            </w:tcBorders>
            <w:vAlign w:val="top"/>
          </w:tcPr>
          <w:p>
            <w:pPr>
              <w:spacing w:before="31" w:line="191" w:lineRule="auto"/>
              <w:ind w:left="204"/>
              <w:rPr>
                <w:rFonts w:ascii="Arial" w:hAnsi="Arial" w:eastAsia="Arial" w:cs="Arial"/>
                <w:sz w:val="15"/>
                <w:szCs w:val="15"/>
              </w:rPr>
            </w:pPr>
            <w:r>
              <w:rPr>
                <w:rFonts w:ascii="Arial" w:hAnsi="Arial" w:eastAsia="Arial" w:cs="Arial"/>
                <w:spacing w:val="-9"/>
                <w:sz w:val="15"/>
                <w:szCs w:val="15"/>
              </w:rPr>
              <w:t>.700</w:t>
            </w:r>
          </w:p>
        </w:tc>
        <w:tc>
          <w:tcPr>
            <w:tcW w:w="652" w:type="dxa"/>
            <w:tcBorders>
              <w:bottom w:val="single" w:color="282781" w:sz="4" w:space="0"/>
            </w:tcBorders>
            <w:vAlign w:val="top"/>
          </w:tcPr>
          <w:p>
            <w:pPr>
              <w:spacing w:before="31" w:line="191" w:lineRule="auto"/>
              <w:ind w:left="204"/>
              <w:rPr>
                <w:rFonts w:ascii="Arial" w:hAnsi="Arial" w:eastAsia="Arial" w:cs="Arial"/>
                <w:sz w:val="15"/>
                <w:szCs w:val="15"/>
              </w:rPr>
            </w:pPr>
            <w:r>
              <w:rPr>
                <w:rFonts w:ascii="Arial" w:hAnsi="Arial" w:eastAsia="Arial" w:cs="Arial"/>
                <w:spacing w:val="-9"/>
                <w:sz w:val="15"/>
                <w:szCs w:val="15"/>
              </w:rPr>
              <w:t>.700</w:t>
            </w:r>
          </w:p>
        </w:tc>
        <w:tc>
          <w:tcPr>
            <w:tcW w:w="652" w:type="dxa"/>
            <w:tcBorders>
              <w:bottom w:val="single" w:color="282781" w:sz="4" w:space="0"/>
            </w:tcBorders>
            <w:vAlign w:val="top"/>
          </w:tcPr>
          <w:p>
            <w:pPr>
              <w:spacing w:before="31" w:line="191" w:lineRule="auto"/>
              <w:ind w:left="203"/>
              <w:rPr>
                <w:rFonts w:ascii="Arial" w:hAnsi="Arial" w:eastAsia="Arial" w:cs="Arial"/>
                <w:sz w:val="15"/>
                <w:szCs w:val="15"/>
              </w:rPr>
            </w:pPr>
            <w:r>
              <w:rPr>
                <w:rFonts w:ascii="Arial" w:hAnsi="Arial" w:eastAsia="Arial" w:cs="Arial"/>
                <w:spacing w:val="-9"/>
                <w:sz w:val="15"/>
                <w:szCs w:val="15"/>
              </w:rPr>
              <w:t>.438</w:t>
            </w:r>
          </w:p>
        </w:tc>
        <w:tc>
          <w:tcPr>
            <w:tcW w:w="671" w:type="dxa"/>
            <w:tcBorders>
              <w:bottom w:val="single" w:color="282781" w:sz="4" w:space="0"/>
            </w:tcBorders>
            <w:vAlign w:val="top"/>
          </w:tcPr>
          <w:p>
            <w:pPr>
              <w:spacing w:before="31" w:line="191" w:lineRule="auto"/>
              <w:ind w:left="203"/>
              <w:rPr>
                <w:rFonts w:ascii="Arial" w:hAnsi="Arial" w:eastAsia="Arial" w:cs="Arial"/>
                <w:sz w:val="15"/>
                <w:szCs w:val="15"/>
              </w:rPr>
            </w:pPr>
            <w:r>
              <w:rPr>
                <w:rFonts w:ascii="Arial" w:hAnsi="Arial" w:eastAsia="Arial" w:cs="Arial"/>
                <w:spacing w:val="-9"/>
                <w:sz w:val="15"/>
                <w:szCs w:val="15"/>
              </w:rPr>
              <w:t>.279</w:t>
            </w:r>
          </w:p>
        </w:tc>
        <w:tc>
          <w:tcPr>
            <w:tcW w:w="673" w:type="dxa"/>
            <w:tcBorders>
              <w:bottom w:val="single" w:color="282781" w:sz="4" w:space="0"/>
            </w:tcBorders>
            <w:vAlign w:val="top"/>
          </w:tcPr>
          <w:p>
            <w:pPr>
              <w:spacing w:before="31" w:line="191" w:lineRule="auto"/>
              <w:ind w:left="205"/>
              <w:rPr>
                <w:rFonts w:ascii="Arial" w:hAnsi="Arial" w:eastAsia="Arial" w:cs="Arial"/>
                <w:sz w:val="15"/>
                <w:szCs w:val="15"/>
              </w:rPr>
            </w:pPr>
            <w:r>
              <w:rPr>
                <w:rFonts w:ascii="Arial" w:hAnsi="Arial" w:eastAsia="Arial" w:cs="Arial"/>
                <w:spacing w:val="-9"/>
                <w:sz w:val="15"/>
                <w:szCs w:val="15"/>
              </w:rPr>
              <w:t>.382</w:t>
            </w:r>
          </w:p>
        </w:tc>
        <w:tc>
          <w:tcPr>
            <w:tcW w:w="670" w:type="dxa"/>
            <w:tcBorders>
              <w:bottom w:val="single" w:color="282781" w:sz="4" w:space="0"/>
            </w:tcBorders>
            <w:vAlign w:val="top"/>
          </w:tcPr>
          <w:p>
            <w:pPr>
              <w:spacing w:before="31" w:line="191" w:lineRule="auto"/>
              <w:ind w:left="203"/>
              <w:rPr>
                <w:rFonts w:ascii="Arial" w:hAnsi="Arial" w:eastAsia="Arial" w:cs="Arial"/>
                <w:sz w:val="15"/>
                <w:szCs w:val="15"/>
              </w:rPr>
            </w:pPr>
            <w:r>
              <w:rPr>
                <w:rFonts w:ascii="Arial" w:hAnsi="Arial" w:eastAsia="Arial" w:cs="Arial"/>
                <w:spacing w:val="-9"/>
                <w:sz w:val="15"/>
                <w:szCs w:val="15"/>
              </w:rPr>
              <w:t>.494</w:t>
            </w:r>
          </w:p>
        </w:tc>
        <w:tc>
          <w:tcPr>
            <w:tcW w:w="673" w:type="dxa"/>
            <w:tcBorders>
              <w:bottom w:val="single" w:color="282781" w:sz="4" w:space="0"/>
            </w:tcBorders>
            <w:vAlign w:val="top"/>
          </w:tcPr>
          <w:p>
            <w:pPr>
              <w:spacing w:before="31" w:line="191" w:lineRule="auto"/>
              <w:ind w:left="205"/>
              <w:rPr>
                <w:rFonts w:ascii="Arial" w:hAnsi="Arial" w:eastAsia="Arial" w:cs="Arial"/>
                <w:sz w:val="15"/>
                <w:szCs w:val="15"/>
              </w:rPr>
            </w:pPr>
            <w:r>
              <w:rPr>
                <w:rFonts w:ascii="Arial" w:hAnsi="Arial" w:eastAsia="Arial" w:cs="Arial"/>
                <w:spacing w:val="-9"/>
                <w:sz w:val="15"/>
                <w:szCs w:val="15"/>
              </w:rPr>
              <w:t>.536</w:t>
            </w:r>
          </w:p>
        </w:tc>
        <w:tc>
          <w:tcPr>
            <w:tcW w:w="671" w:type="dxa"/>
            <w:tcBorders>
              <w:bottom w:val="single" w:color="282781" w:sz="4" w:space="0"/>
            </w:tcBorders>
            <w:vAlign w:val="top"/>
          </w:tcPr>
          <w:p>
            <w:pPr>
              <w:spacing w:before="31" w:line="191" w:lineRule="auto"/>
              <w:ind w:left="205"/>
              <w:rPr>
                <w:rFonts w:ascii="Arial" w:hAnsi="Arial" w:eastAsia="Arial" w:cs="Arial"/>
                <w:sz w:val="15"/>
                <w:szCs w:val="15"/>
              </w:rPr>
            </w:pPr>
            <w:r>
              <w:rPr>
                <w:rFonts w:ascii="Arial" w:hAnsi="Arial" w:eastAsia="Arial" w:cs="Arial"/>
                <w:spacing w:val="-9"/>
                <w:sz w:val="15"/>
                <w:szCs w:val="15"/>
              </w:rPr>
              <w:t>.325</w:t>
            </w:r>
          </w:p>
        </w:tc>
        <w:tc>
          <w:tcPr>
            <w:tcW w:w="474" w:type="dxa"/>
            <w:tcBorders>
              <w:bottom w:val="single" w:color="282781" w:sz="4" w:space="0"/>
            </w:tcBorders>
            <w:vAlign w:val="top"/>
          </w:tcPr>
          <w:p>
            <w:pPr>
              <w:spacing w:before="31" w:line="191" w:lineRule="auto"/>
              <w:jc w:val="right"/>
              <w:rPr>
                <w:rFonts w:ascii="Arial" w:hAnsi="Arial" w:eastAsia="Arial" w:cs="Arial"/>
                <w:sz w:val="15"/>
                <w:szCs w:val="15"/>
              </w:rPr>
            </w:pPr>
            <w:r>
              <w:rPr>
                <w:rFonts w:ascii="Arial" w:hAnsi="Arial" w:eastAsia="Arial" w:cs="Arial"/>
                <w:spacing w:val="-6"/>
                <w:sz w:val="15"/>
                <w:szCs w:val="15"/>
              </w:rPr>
              <w:t>.662</w:t>
            </w:r>
          </w:p>
        </w:tc>
      </w:tr>
    </w:tbl>
    <w:p>
      <w:pPr>
        <w:spacing w:before="42" w:line="227" w:lineRule="auto"/>
        <w:ind w:left="11"/>
        <w:rPr>
          <w:rFonts w:ascii="Arial" w:hAnsi="Arial" w:eastAsia="Arial" w:cs="Arial"/>
          <w:sz w:val="15"/>
          <w:szCs w:val="15"/>
        </w:rPr>
      </w:pPr>
      <w:r>
        <w:rPr>
          <w:rFonts w:ascii="Arial" w:hAnsi="Arial" w:eastAsia="Arial" w:cs="Arial"/>
          <w:spacing w:val="-7"/>
          <w:sz w:val="15"/>
          <w:szCs w:val="15"/>
        </w:rPr>
        <w:t>Note:</w:t>
      </w:r>
      <w:r>
        <w:rPr>
          <w:rFonts w:ascii="Arial" w:hAnsi="Arial" w:eastAsia="Arial" w:cs="Arial"/>
          <w:spacing w:val="10"/>
          <w:sz w:val="15"/>
          <w:szCs w:val="15"/>
        </w:rPr>
        <w:t xml:space="preserve"> </w:t>
      </w:r>
      <w:r>
        <w:rPr>
          <w:rFonts w:ascii="Arial" w:hAnsi="Arial" w:eastAsia="Arial" w:cs="Arial"/>
          <w:spacing w:val="-7"/>
          <w:sz w:val="15"/>
          <w:szCs w:val="15"/>
        </w:rPr>
        <w:t>α = Cronbach’s</w:t>
      </w:r>
      <w:r>
        <w:rPr>
          <w:rFonts w:ascii="Arial" w:hAnsi="Arial" w:eastAsia="Arial" w:cs="Arial"/>
          <w:spacing w:val="10"/>
          <w:sz w:val="15"/>
          <w:szCs w:val="15"/>
        </w:rPr>
        <w:t xml:space="preserve"> </w:t>
      </w:r>
      <w:r>
        <w:rPr>
          <w:rFonts w:ascii="Arial" w:hAnsi="Arial" w:eastAsia="Arial" w:cs="Arial"/>
          <w:spacing w:val="-7"/>
          <w:sz w:val="15"/>
          <w:szCs w:val="15"/>
        </w:rPr>
        <w:t>Alpha;</w:t>
      </w:r>
      <w:r>
        <w:rPr>
          <w:rFonts w:ascii="Arial" w:hAnsi="Arial" w:eastAsia="Arial" w:cs="Arial"/>
          <w:spacing w:val="11"/>
          <w:sz w:val="15"/>
          <w:szCs w:val="15"/>
        </w:rPr>
        <w:t xml:space="preserve"> </w:t>
      </w:r>
      <w:r>
        <w:rPr>
          <w:rFonts w:ascii="Arial" w:hAnsi="Arial" w:eastAsia="Arial" w:cs="Arial"/>
          <w:spacing w:val="-7"/>
          <w:sz w:val="15"/>
          <w:szCs w:val="15"/>
        </w:rPr>
        <w:t>CR = composite</w:t>
      </w:r>
      <w:r>
        <w:rPr>
          <w:rFonts w:ascii="Arial" w:hAnsi="Arial" w:eastAsia="Arial" w:cs="Arial"/>
          <w:spacing w:val="16"/>
          <w:w w:val="102"/>
          <w:sz w:val="15"/>
          <w:szCs w:val="15"/>
        </w:rPr>
        <w:t xml:space="preserve"> </w:t>
      </w:r>
      <w:r>
        <w:rPr>
          <w:rFonts w:ascii="Arial" w:hAnsi="Arial" w:eastAsia="Arial" w:cs="Arial"/>
          <w:spacing w:val="-7"/>
          <w:sz w:val="15"/>
          <w:szCs w:val="15"/>
        </w:rPr>
        <w:t>reliabili</w:t>
      </w:r>
      <w:r>
        <w:rPr>
          <w:rFonts w:ascii="Arial" w:hAnsi="Arial" w:eastAsia="Arial" w:cs="Arial"/>
          <w:spacing w:val="-8"/>
          <w:sz w:val="15"/>
          <w:szCs w:val="15"/>
        </w:rPr>
        <w:t>ty,</w:t>
      </w:r>
      <w:r>
        <w:rPr>
          <w:rFonts w:ascii="Arial" w:hAnsi="Arial" w:eastAsia="Arial" w:cs="Arial"/>
          <w:spacing w:val="10"/>
          <w:w w:val="102"/>
          <w:sz w:val="15"/>
          <w:szCs w:val="15"/>
        </w:rPr>
        <w:t xml:space="preserve"> </w:t>
      </w:r>
      <w:r>
        <w:rPr>
          <w:rFonts w:ascii="Arial" w:hAnsi="Arial" w:eastAsia="Arial" w:cs="Arial"/>
          <w:spacing w:val="-8"/>
          <w:sz w:val="15"/>
          <w:szCs w:val="15"/>
        </w:rPr>
        <w:t>AVE = Average</w:t>
      </w:r>
      <w:r>
        <w:rPr>
          <w:rFonts w:ascii="Arial" w:hAnsi="Arial" w:eastAsia="Arial" w:cs="Arial"/>
          <w:spacing w:val="8"/>
          <w:sz w:val="15"/>
          <w:szCs w:val="15"/>
        </w:rPr>
        <w:t xml:space="preserve"> </w:t>
      </w:r>
      <w:r>
        <w:rPr>
          <w:rFonts w:ascii="Arial" w:hAnsi="Arial" w:eastAsia="Arial" w:cs="Arial"/>
          <w:spacing w:val="-8"/>
          <w:sz w:val="15"/>
          <w:szCs w:val="15"/>
        </w:rPr>
        <w:t>variance</w:t>
      </w:r>
      <w:r>
        <w:rPr>
          <w:rFonts w:ascii="Arial" w:hAnsi="Arial" w:eastAsia="Arial" w:cs="Arial"/>
          <w:spacing w:val="10"/>
          <w:sz w:val="15"/>
          <w:szCs w:val="15"/>
        </w:rPr>
        <w:t xml:space="preserve"> </w:t>
      </w:r>
      <w:r>
        <w:rPr>
          <w:rFonts w:ascii="Arial" w:hAnsi="Arial" w:eastAsia="Arial" w:cs="Arial"/>
          <w:spacing w:val="-8"/>
          <w:sz w:val="15"/>
          <w:szCs w:val="15"/>
        </w:rPr>
        <w:t>extracted.</w:t>
      </w:r>
    </w:p>
    <w:p>
      <w:pPr>
        <w:spacing w:line="227" w:lineRule="auto"/>
        <w:rPr>
          <w:rFonts w:ascii="Arial" w:hAnsi="Arial" w:eastAsia="Arial" w:cs="Arial"/>
          <w:sz w:val="15"/>
          <w:szCs w:val="15"/>
        </w:rPr>
        <w:sectPr>
          <w:pgSz w:w="9865" w:h="14060"/>
          <w:pgMar w:top="400" w:right="953" w:bottom="400" w:left="960" w:header="0" w:footer="0" w:gutter="0"/>
          <w:cols w:space="720" w:num="1"/>
        </w:sectPr>
      </w:pPr>
    </w:p>
    <w:p>
      <w:pPr>
        <w:spacing w:line="82" w:lineRule="exact"/>
      </w:pPr>
      <w:r>
        <w:drawing>
          <wp:anchor distT="0" distB="0" distL="0" distR="0" simplePos="0" relativeHeight="251745280" behindDoc="0" locked="0" layoutInCell="0" allowOverlap="1">
            <wp:simplePos x="0" y="0"/>
            <wp:positionH relativeFrom="page">
              <wp:posOffset>805180</wp:posOffset>
            </wp:positionH>
            <wp:positionV relativeFrom="page">
              <wp:posOffset>319405</wp:posOffset>
            </wp:positionV>
            <wp:extent cx="139700" cy="13970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42"/>
                    <a:stretch>
                      <a:fillRect/>
                    </a:stretch>
                  </pic:blipFill>
                  <pic:spPr>
                    <a:xfrm>
                      <a:off x="0" y="0"/>
                      <a:ext cx="139700" cy="139700"/>
                    </a:xfrm>
                    <a:prstGeom prst="rect">
                      <a:avLst/>
                    </a:prstGeom>
                  </pic:spPr>
                </pic:pic>
              </a:graphicData>
            </a:graphic>
          </wp:anchor>
        </w:drawing>
      </w:r>
    </w:p>
    <w:p>
      <w:pPr>
        <w:spacing w:line="82" w:lineRule="exact"/>
        <w:sectPr>
          <w:pgSz w:w="9865" w:h="14060"/>
          <w:pgMar w:top="400" w:right="959" w:bottom="400" w:left="768" w:header="0" w:footer="0" w:gutter="0"/>
          <w:cols w:equalWidth="0" w:num="1">
            <w:col w:w="8137"/>
          </w:cols>
        </w:sectPr>
      </w:pPr>
    </w:p>
    <w:p>
      <w:pPr>
        <w:spacing w:before="78" w:line="192" w:lineRule="auto"/>
        <w:ind w:left="207"/>
        <w:rPr>
          <w:rFonts w:ascii="Arial" w:hAnsi="Arial" w:eastAsia="Arial" w:cs="Arial"/>
          <w:sz w:val="14"/>
          <w:szCs w:val="14"/>
        </w:rPr>
      </w:pPr>
      <w:bookmarkStart w:id="12" w:name="bookmark93"/>
      <w:bookmarkEnd w:id="12"/>
      <w:r>
        <w:rPr>
          <w:rFonts w:ascii="Arial" w:hAnsi="Arial" w:eastAsia="Arial" w:cs="Arial"/>
          <w:spacing w:val="-4"/>
          <w:sz w:val="14"/>
          <w:szCs w:val="14"/>
        </w:rPr>
        <w:t>12</w:t>
      </w:r>
    </w:p>
    <w:p>
      <w:pPr>
        <w:spacing w:line="33" w:lineRule="exact"/>
      </w:pPr>
    </w:p>
    <w:p>
      <w:pPr>
        <w:spacing w:line="14" w:lineRule="auto"/>
        <w:rPr>
          <w:rFonts w:ascii="Arial"/>
          <w:sz w:val="2"/>
        </w:rPr>
      </w:pPr>
      <w:r>
        <w:rPr>
          <w:rFonts w:ascii="Arial" w:hAnsi="Arial" w:eastAsia="Arial" w:cs="Arial"/>
          <w:sz w:val="2"/>
          <w:szCs w:val="2"/>
        </w:rPr>
        <w:br w:type="column"/>
      </w:r>
    </w:p>
    <w:p>
      <w:pPr>
        <w:spacing w:before="73" w:line="197" w:lineRule="auto"/>
        <w:rPr>
          <w:rFonts w:ascii="Arial" w:hAnsi="Arial" w:eastAsia="Arial" w:cs="Arial"/>
          <w:sz w:val="14"/>
          <w:szCs w:val="14"/>
        </w:rPr>
      </w:pPr>
      <w:r>
        <w:rPr>
          <w:rFonts w:ascii="Arial" w:hAnsi="Arial" w:eastAsia="Arial" w:cs="Arial"/>
          <w:spacing w:val="-7"/>
          <w:sz w:val="14"/>
          <w:szCs w:val="14"/>
        </w:rPr>
        <w:t>C.</w:t>
      </w:r>
      <w:r>
        <w:rPr>
          <w:rFonts w:ascii="Arial" w:hAnsi="Arial" w:eastAsia="Arial" w:cs="Arial"/>
          <w:spacing w:val="29"/>
          <w:w w:val="101"/>
          <w:sz w:val="14"/>
          <w:szCs w:val="14"/>
        </w:rPr>
        <w:t xml:space="preserve"> </w:t>
      </w:r>
      <w:r>
        <w:rPr>
          <w:rFonts w:ascii="Arial" w:hAnsi="Arial" w:eastAsia="Arial" w:cs="Arial"/>
          <w:spacing w:val="-7"/>
          <w:sz w:val="14"/>
          <w:szCs w:val="14"/>
        </w:rPr>
        <w:t>HILDESHEIM AND</w:t>
      </w:r>
      <w:r>
        <w:rPr>
          <w:rFonts w:ascii="Arial" w:hAnsi="Arial" w:eastAsia="Arial" w:cs="Arial"/>
          <w:spacing w:val="11"/>
          <w:w w:val="101"/>
          <w:sz w:val="14"/>
          <w:szCs w:val="14"/>
        </w:rPr>
        <w:t xml:space="preserve"> </w:t>
      </w:r>
      <w:r>
        <w:rPr>
          <w:rFonts w:ascii="Arial" w:hAnsi="Arial" w:eastAsia="Arial" w:cs="Arial"/>
          <w:spacing w:val="-7"/>
          <w:sz w:val="14"/>
          <w:szCs w:val="14"/>
        </w:rPr>
        <w:t>K. SONNTAG</w:t>
      </w:r>
    </w:p>
    <w:p>
      <w:pPr>
        <w:spacing w:line="197" w:lineRule="auto"/>
        <w:rPr>
          <w:rFonts w:ascii="Arial" w:hAnsi="Arial" w:eastAsia="Arial" w:cs="Arial"/>
          <w:sz w:val="14"/>
          <w:szCs w:val="14"/>
        </w:rPr>
        <w:sectPr>
          <w:type w:val="continuous"/>
          <w:pgSz w:w="9865" w:h="14060"/>
          <w:pgMar w:top="400" w:right="959" w:bottom="400" w:left="768" w:header="0" w:footer="0" w:gutter="0"/>
          <w:cols w:equalWidth="0" w:num="2">
            <w:col w:w="776" w:space="100"/>
            <w:col w:w="7262"/>
          </w:cols>
        </w:sectPr>
      </w:pPr>
    </w:p>
    <w:p>
      <w:pPr>
        <w:spacing w:line="340" w:lineRule="auto"/>
        <w:rPr>
          <w:rFonts w:ascii="Arial"/>
          <w:sz w:val="21"/>
        </w:rPr>
      </w:pPr>
    </w:p>
    <w:p>
      <w:pPr>
        <w:spacing w:line="2743" w:lineRule="exact"/>
        <w:ind w:firstLine="977"/>
      </w:pPr>
      <w:r>
        <w:rPr>
          <w:position w:val="-54"/>
        </w:rPr>
        <w:drawing>
          <wp:inline distT="0" distB="0" distL="0" distR="0">
            <wp:extent cx="4046220" cy="174117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44"/>
                    <a:stretch>
                      <a:fillRect/>
                    </a:stretch>
                  </pic:blipFill>
                  <pic:spPr>
                    <a:xfrm>
                      <a:off x="0" y="0"/>
                      <a:ext cx="4046397" cy="1741678"/>
                    </a:xfrm>
                    <a:prstGeom prst="rect">
                      <a:avLst/>
                    </a:prstGeom>
                  </pic:spPr>
                </pic:pic>
              </a:graphicData>
            </a:graphic>
          </wp:inline>
        </w:drawing>
      </w:r>
    </w:p>
    <w:p>
      <w:pPr>
        <w:spacing w:before="235" w:line="203" w:lineRule="auto"/>
        <w:ind w:left="202"/>
        <w:rPr>
          <w:rFonts w:ascii="Arial" w:hAnsi="Arial" w:eastAsia="Arial" w:cs="Arial"/>
          <w:sz w:val="15"/>
          <w:szCs w:val="15"/>
        </w:rPr>
      </w:pPr>
      <w:r>
        <w:rPr>
          <w:rFonts w:ascii="Arial" w:hAnsi="Arial" w:eastAsia="Arial" w:cs="Arial"/>
          <w:color w:val="282781"/>
          <w:spacing w:val="-5"/>
          <w:sz w:val="15"/>
          <w:szCs w:val="15"/>
        </w:rPr>
        <w:t>Figure</w:t>
      </w:r>
      <w:r>
        <w:rPr>
          <w:rFonts w:ascii="Arial" w:hAnsi="Arial" w:eastAsia="Arial" w:cs="Arial"/>
          <w:color w:val="282781"/>
          <w:spacing w:val="11"/>
          <w:w w:val="101"/>
          <w:sz w:val="15"/>
          <w:szCs w:val="15"/>
        </w:rPr>
        <w:t xml:space="preserve"> </w:t>
      </w:r>
      <w:r>
        <w:rPr>
          <w:rFonts w:ascii="Arial" w:hAnsi="Arial" w:eastAsia="Arial" w:cs="Arial"/>
          <w:color w:val="282781"/>
          <w:spacing w:val="-5"/>
          <w:sz w:val="15"/>
          <w:szCs w:val="15"/>
        </w:rPr>
        <w:t>2.</w:t>
      </w:r>
      <w:r>
        <w:rPr>
          <w:rFonts w:ascii="Arial" w:hAnsi="Arial" w:eastAsia="Arial" w:cs="Arial"/>
          <w:color w:val="282781"/>
          <w:spacing w:val="9"/>
          <w:sz w:val="15"/>
          <w:szCs w:val="15"/>
        </w:rPr>
        <w:t xml:space="preserve"> </w:t>
      </w:r>
      <w:r>
        <w:rPr>
          <w:rFonts w:ascii="Arial" w:hAnsi="Arial" w:eastAsia="Arial" w:cs="Arial"/>
          <w:spacing w:val="-5"/>
          <w:sz w:val="15"/>
          <w:szCs w:val="15"/>
        </w:rPr>
        <w:t>Applied</w:t>
      </w:r>
      <w:r>
        <w:rPr>
          <w:rFonts w:ascii="Arial" w:hAnsi="Arial" w:eastAsia="Arial" w:cs="Arial"/>
          <w:spacing w:val="12"/>
          <w:w w:val="101"/>
          <w:sz w:val="15"/>
          <w:szCs w:val="15"/>
        </w:rPr>
        <w:t xml:space="preserve"> </w:t>
      </w:r>
      <w:r>
        <w:rPr>
          <w:rFonts w:ascii="Arial" w:hAnsi="Arial" w:eastAsia="Arial" w:cs="Arial"/>
          <w:spacing w:val="-5"/>
          <w:sz w:val="15"/>
          <w:szCs w:val="15"/>
        </w:rPr>
        <w:t>Structural</w:t>
      </w:r>
      <w:r>
        <w:rPr>
          <w:rFonts w:ascii="Arial" w:hAnsi="Arial" w:eastAsia="Arial" w:cs="Arial"/>
          <w:spacing w:val="16"/>
          <w:w w:val="101"/>
          <w:sz w:val="15"/>
          <w:szCs w:val="15"/>
        </w:rPr>
        <w:t xml:space="preserve"> </w:t>
      </w:r>
      <w:r>
        <w:rPr>
          <w:rFonts w:ascii="Arial" w:hAnsi="Arial" w:eastAsia="Arial" w:cs="Arial"/>
          <w:spacing w:val="-5"/>
          <w:sz w:val="15"/>
          <w:szCs w:val="15"/>
        </w:rPr>
        <w:t>Equation</w:t>
      </w:r>
      <w:r>
        <w:rPr>
          <w:rFonts w:ascii="Arial" w:hAnsi="Arial" w:eastAsia="Arial" w:cs="Arial"/>
          <w:spacing w:val="13"/>
          <w:w w:val="101"/>
          <w:sz w:val="15"/>
          <w:szCs w:val="15"/>
        </w:rPr>
        <w:t xml:space="preserve"> </w:t>
      </w:r>
      <w:r>
        <w:rPr>
          <w:rFonts w:ascii="Arial" w:hAnsi="Arial" w:eastAsia="Arial" w:cs="Arial"/>
          <w:spacing w:val="-5"/>
          <w:sz w:val="15"/>
          <w:szCs w:val="15"/>
        </w:rPr>
        <w:t>Mode</w:t>
      </w:r>
      <w:r>
        <w:rPr>
          <w:rFonts w:ascii="Arial" w:hAnsi="Arial" w:eastAsia="Arial" w:cs="Arial"/>
          <w:spacing w:val="-6"/>
          <w:sz w:val="15"/>
          <w:szCs w:val="15"/>
        </w:rPr>
        <w:t>l.</w:t>
      </w:r>
    </w:p>
    <w:p>
      <w:pPr>
        <w:spacing w:line="352" w:lineRule="auto"/>
        <w:rPr>
          <w:rFonts w:ascii="Arial"/>
          <w:sz w:val="21"/>
        </w:rPr>
      </w:pPr>
    </w:p>
    <w:p>
      <w:pPr>
        <w:spacing w:before="54" w:line="257" w:lineRule="auto"/>
        <w:ind w:left="194" w:firstLine="250"/>
        <w:jc w:val="both"/>
        <w:rPr>
          <w:rFonts w:ascii="Arial" w:hAnsi="Arial" w:eastAsia="Arial" w:cs="Arial"/>
          <w:sz w:val="19"/>
          <w:szCs w:val="19"/>
        </w:rPr>
      </w:pPr>
      <w:r>
        <w:rPr>
          <w:rFonts w:ascii="Arial" w:hAnsi="Arial" w:eastAsia="Arial" w:cs="Arial"/>
          <w:spacing w:val="-4"/>
          <w:sz w:val="19"/>
          <w:szCs w:val="19"/>
        </w:rPr>
        <w:t>Previous analyses conirmed that the connection between independent and dependent variables</w:t>
      </w:r>
      <w:r>
        <w:rPr>
          <w:rFonts w:ascii="Arial" w:hAnsi="Arial" w:eastAsia="Arial" w:cs="Arial"/>
          <w:spacing w:val="11"/>
          <w:sz w:val="19"/>
          <w:szCs w:val="19"/>
        </w:rPr>
        <w:t xml:space="preserve"> </w:t>
      </w:r>
      <w:r>
        <w:rPr>
          <w:rFonts w:ascii="Arial" w:hAnsi="Arial" w:eastAsia="Arial" w:cs="Arial"/>
          <w:spacing w:val="-5"/>
          <w:sz w:val="19"/>
          <w:szCs w:val="19"/>
        </w:rPr>
        <w:t>was</w:t>
      </w:r>
      <w:r>
        <w:rPr>
          <w:rFonts w:ascii="Arial" w:hAnsi="Arial" w:eastAsia="Arial" w:cs="Arial"/>
          <w:spacing w:val="23"/>
          <w:sz w:val="19"/>
          <w:szCs w:val="19"/>
        </w:rPr>
        <w:t xml:space="preserve"> </w:t>
      </w:r>
      <w:r>
        <w:rPr>
          <w:rFonts w:ascii="Arial" w:hAnsi="Arial" w:eastAsia="Arial" w:cs="Arial"/>
          <w:spacing w:val="-5"/>
          <w:sz w:val="19"/>
          <w:szCs w:val="19"/>
        </w:rPr>
        <w:t>linear.</w:t>
      </w:r>
      <w:r>
        <w:rPr>
          <w:rFonts w:ascii="Arial" w:hAnsi="Arial" w:eastAsia="Arial" w:cs="Arial"/>
          <w:spacing w:val="20"/>
          <w:w w:val="101"/>
          <w:sz w:val="19"/>
          <w:szCs w:val="19"/>
        </w:rPr>
        <w:t xml:space="preserve"> </w:t>
      </w:r>
      <w:r>
        <w:rPr>
          <w:rFonts w:ascii="Arial" w:hAnsi="Arial" w:eastAsia="Arial" w:cs="Arial"/>
          <w:spacing w:val="-5"/>
          <w:sz w:val="19"/>
          <w:szCs w:val="19"/>
        </w:rPr>
        <w:t>Moreover,</w:t>
      </w:r>
      <w:r>
        <w:rPr>
          <w:rFonts w:ascii="Arial" w:hAnsi="Arial" w:eastAsia="Arial" w:cs="Arial"/>
          <w:spacing w:val="21"/>
          <w:w w:val="101"/>
          <w:sz w:val="19"/>
          <w:szCs w:val="19"/>
        </w:rPr>
        <w:t xml:space="preserve"> </w:t>
      </w:r>
      <w:r>
        <w:rPr>
          <w:rFonts w:ascii="Arial" w:hAnsi="Arial" w:eastAsia="Arial" w:cs="Arial"/>
          <w:spacing w:val="-5"/>
          <w:sz w:val="19"/>
          <w:szCs w:val="19"/>
        </w:rPr>
        <w:t>multicollinearity</w:t>
      </w:r>
      <w:r>
        <w:rPr>
          <w:rFonts w:ascii="Arial" w:hAnsi="Arial" w:eastAsia="Arial" w:cs="Arial"/>
          <w:spacing w:val="13"/>
          <w:w w:val="101"/>
          <w:sz w:val="19"/>
          <w:szCs w:val="19"/>
        </w:rPr>
        <w:t xml:space="preserve"> </w:t>
      </w:r>
      <w:r>
        <w:rPr>
          <w:rFonts w:ascii="Arial" w:hAnsi="Arial" w:eastAsia="Arial" w:cs="Arial"/>
          <w:spacing w:val="-5"/>
          <w:sz w:val="19"/>
          <w:szCs w:val="19"/>
        </w:rPr>
        <w:t>was</w:t>
      </w:r>
      <w:r>
        <w:rPr>
          <w:rFonts w:ascii="Arial" w:hAnsi="Arial" w:eastAsia="Arial" w:cs="Arial"/>
          <w:spacing w:val="22"/>
          <w:sz w:val="19"/>
          <w:szCs w:val="19"/>
        </w:rPr>
        <w:t xml:space="preserve"> </w:t>
      </w:r>
      <w:r>
        <w:rPr>
          <w:rFonts w:ascii="Arial" w:hAnsi="Arial" w:eastAsia="Arial" w:cs="Arial"/>
          <w:spacing w:val="-5"/>
          <w:sz w:val="19"/>
          <w:szCs w:val="19"/>
        </w:rPr>
        <w:t>not</w:t>
      </w:r>
      <w:r>
        <w:rPr>
          <w:rFonts w:ascii="Arial" w:hAnsi="Arial" w:eastAsia="Arial" w:cs="Arial"/>
          <w:spacing w:val="16"/>
          <w:sz w:val="19"/>
          <w:szCs w:val="19"/>
        </w:rPr>
        <w:t xml:space="preserve"> </w:t>
      </w:r>
      <w:r>
        <w:rPr>
          <w:rFonts w:ascii="Arial" w:hAnsi="Arial" w:eastAsia="Arial" w:cs="Arial"/>
          <w:spacing w:val="-5"/>
          <w:sz w:val="19"/>
          <w:szCs w:val="19"/>
        </w:rPr>
        <w:t>an</w:t>
      </w:r>
      <w:r>
        <w:rPr>
          <w:rFonts w:ascii="Arial" w:hAnsi="Arial" w:eastAsia="Arial" w:cs="Arial"/>
          <w:spacing w:val="20"/>
          <w:w w:val="101"/>
          <w:sz w:val="19"/>
          <w:szCs w:val="19"/>
        </w:rPr>
        <w:t xml:space="preserve"> </w:t>
      </w:r>
      <w:r>
        <w:rPr>
          <w:rFonts w:ascii="Arial" w:hAnsi="Arial" w:eastAsia="Arial" w:cs="Arial"/>
          <w:spacing w:val="-5"/>
          <w:sz w:val="19"/>
          <w:szCs w:val="19"/>
        </w:rPr>
        <w:t>issue</w:t>
      </w:r>
      <w:r>
        <w:rPr>
          <w:rFonts w:ascii="Arial" w:hAnsi="Arial" w:eastAsia="Arial" w:cs="Arial"/>
          <w:spacing w:val="13"/>
          <w:sz w:val="19"/>
          <w:szCs w:val="19"/>
        </w:rPr>
        <w:t xml:space="preserve"> </w:t>
      </w:r>
      <w:r>
        <w:rPr>
          <w:rFonts w:ascii="Arial" w:hAnsi="Arial" w:eastAsia="Arial" w:cs="Arial"/>
          <w:spacing w:val="-5"/>
          <w:sz w:val="19"/>
          <w:szCs w:val="19"/>
        </w:rPr>
        <w:t>withi</w:t>
      </w:r>
      <w:r>
        <w:rPr>
          <w:rFonts w:ascii="Arial" w:hAnsi="Arial" w:eastAsia="Arial" w:cs="Arial"/>
          <w:spacing w:val="-6"/>
          <w:sz w:val="19"/>
          <w:szCs w:val="19"/>
        </w:rPr>
        <w:t>n</w:t>
      </w:r>
      <w:r>
        <w:rPr>
          <w:rFonts w:ascii="Arial" w:hAnsi="Arial" w:eastAsia="Arial" w:cs="Arial"/>
          <w:spacing w:val="13"/>
          <w:sz w:val="19"/>
          <w:szCs w:val="19"/>
        </w:rPr>
        <w:t xml:space="preserve"> </w:t>
      </w:r>
      <w:r>
        <w:rPr>
          <w:rFonts w:ascii="Arial" w:hAnsi="Arial" w:eastAsia="Arial" w:cs="Arial"/>
          <w:spacing w:val="-6"/>
          <w:sz w:val="19"/>
          <w:szCs w:val="19"/>
        </w:rPr>
        <w:t>the</w:t>
      </w:r>
      <w:r>
        <w:rPr>
          <w:rFonts w:ascii="Arial" w:hAnsi="Arial" w:eastAsia="Arial" w:cs="Arial"/>
          <w:spacing w:val="15"/>
          <w:w w:val="101"/>
          <w:sz w:val="19"/>
          <w:szCs w:val="19"/>
        </w:rPr>
        <w:t xml:space="preserve"> </w:t>
      </w:r>
      <w:r>
        <w:rPr>
          <w:rFonts w:ascii="Arial" w:hAnsi="Arial" w:eastAsia="Arial" w:cs="Arial"/>
          <w:spacing w:val="-6"/>
          <w:sz w:val="19"/>
          <w:szCs w:val="19"/>
        </w:rPr>
        <w:t>data</w:t>
      </w:r>
      <w:r>
        <w:rPr>
          <w:rFonts w:ascii="Arial" w:hAnsi="Arial" w:eastAsia="Arial" w:cs="Arial"/>
          <w:spacing w:val="17"/>
          <w:sz w:val="19"/>
          <w:szCs w:val="19"/>
        </w:rPr>
        <w:t xml:space="preserve"> </w:t>
      </w:r>
      <w:r>
        <w:rPr>
          <w:rFonts w:ascii="Arial" w:hAnsi="Arial" w:eastAsia="Arial" w:cs="Arial"/>
          <w:spacing w:val="-6"/>
          <w:sz w:val="19"/>
          <w:szCs w:val="19"/>
        </w:rPr>
        <w:t>set</w:t>
      </w:r>
      <w:r>
        <w:rPr>
          <w:rFonts w:ascii="Arial" w:hAnsi="Arial" w:eastAsia="Arial" w:cs="Arial"/>
          <w:spacing w:val="15"/>
          <w:w w:val="101"/>
          <w:sz w:val="19"/>
          <w:szCs w:val="19"/>
        </w:rPr>
        <w:t xml:space="preserve"> </w:t>
      </w:r>
      <w:r>
        <w:rPr>
          <w:rFonts w:ascii="Arial" w:hAnsi="Arial" w:eastAsia="Arial" w:cs="Arial"/>
          <w:spacing w:val="-6"/>
          <w:sz w:val="19"/>
          <w:szCs w:val="19"/>
        </w:rPr>
        <w:t>as</w:t>
      </w:r>
      <w:r>
        <w:rPr>
          <w:rFonts w:ascii="Arial" w:hAnsi="Arial" w:eastAsia="Arial" w:cs="Arial"/>
          <w:spacing w:val="15"/>
          <w:w w:val="101"/>
          <w:sz w:val="19"/>
          <w:szCs w:val="19"/>
        </w:rPr>
        <w:t xml:space="preserve"> </w:t>
      </w:r>
      <w:r>
        <w:rPr>
          <w:rFonts w:ascii="Arial" w:hAnsi="Arial" w:eastAsia="Arial" w:cs="Arial"/>
          <w:spacing w:val="-6"/>
          <w:sz w:val="19"/>
          <w:szCs w:val="19"/>
        </w:rPr>
        <w:t>all</w:t>
      </w:r>
      <w:r>
        <w:rPr>
          <w:rFonts w:ascii="Arial" w:hAnsi="Arial" w:eastAsia="Arial" w:cs="Arial"/>
          <w:spacing w:val="11"/>
          <w:sz w:val="19"/>
          <w:szCs w:val="19"/>
        </w:rPr>
        <w:t xml:space="preserve"> </w:t>
      </w:r>
      <w:r>
        <w:rPr>
          <w:rFonts w:ascii="Arial" w:hAnsi="Arial" w:eastAsia="Arial" w:cs="Arial"/>
          <w:spacing w:val="-6"/>
          <w:sz w:val="19"/>
          <w:szCs w:val="19"/>
        </w:rPr>
        <w:t>variance</w:t>
      </w:r>
      <w:r>
        <w:rPr>
          <w:rFonts w:ascii="Arial" w:hAnsi="Arial" w:eastAsia="Arial" w:cs="Arial"/>
          <w:spacing w:val="20"/>
          <w:w w:val="101"/>
          <w:sz w:val="19"/>
          <w:szCs w:val="19"/>
        </w:rPr>
        <w:t xml:space="preserve"> </w:t>
      </w:r>
      <w:r>
        <w:rPr>
          <w:rFonts w:ascii="Arial" w:hAnsi="Arial" w:eastAsia="Arial" w:cs="Arial"/>
          <w:spacing w:val="-6"/>
          <w:sz w:val="19"/>
          <w:szCs w:val="19"/>
        </w:rPr>
        <w:t>inlation</w:t>
      </w:r>
      <w:r>
        <w:rPr>
          <w:rFonts w:ascii="Arial" w:hAnsi="Arial" w:eastAsia="Arial" w:cs="Arial"/>
          <w:sz w:val="19"/>
          <w:szCs w:val="19"/>
        </w:rPr>
        <w:t xml:space="preserve"> </w:t>
      </w:r>
      <w:r>
        <w:rPr>
          <w:rFonts w:ascii="Arial" w:hAnsi="Arial" w:eastAsia="Arial" w:cs="Arial"/>
          <w:spacing w:val="-7"/>
          <w:sz w:val="19"/>
          <w:szCs w:val="19"/>
        </w:rPr>
        <w:t>fact</w:t>
      </w:r>
      <w:r>
        <w:rPr>
          <w:rFonts w:ascii="Arial" w:hAnsi="Arial" w:eastAsia="Arial" w:cs="Arial"/>
          <w:spacing w:val="-6"/>
          <w:sz w:val="19"/>
          <w:szCs w:val="19"/>
        </w:rPr>
        <w:t>or values were below VIF &lt; 3. Means, standard deviations, and correlations between independen</w:t>
      </w:r>
      <w:r>
        <w:rPr>
          <w:rFonts w:ascii="Arial" w:hAnsi="Arial" w:eastAsia="Arial" w:cs="Arial"/>
          <w:spacing w:val="-2"/>
          <w:sz w:val="19"/>
          <w:szCs w:val="19"/>
        </w:rPr>
        <w:t>t</w:t>
      </w:r>
      <w:r>
        <w:rPr>
          <w:rFonts w:ascii="Arial" w:hAnsi="Arial" w:eastAsia="Arial" w:cs="Arial"/>
          <w:spacing w:val="10"/>
          <w:sz w:val="19"/>
          <w:szCs w:val="19"/>
        </w:rPr>
        <w:t xml:space="preserve"> </w:t>
      </w:r>
      <w:r>
        <w:rPr>
          <w:rFonts w:ascii="Arial" w:hAnsi="Arial" w:eastAsia="Arial" w:cs="Arial"/>
          <w:spacing w:val="-5"/>
          <w:sz w:val="19"/>
          <w:szCs w:val="19"/>
        </w:rPr>
        <w:t>and</w:t>
      </w:r>
      <w:r>
        <w:rPr>
          <w:rFonts w:ascii="Arial" w:hAnsi="Arial" w:eastAsia="Arial" w:cs="Arial"/>
          <w:spacing w:val="11"/>
          <w:sz w:val="19"/>
          <w:szCs w:val="19"/>
        </w:rPr>
        <w:t xml:space="preserve"> </w:t>
      </w:r>
      <w:r>
        <w:rPr>
          <w:rFonts w:ascii="Arial" w:hAnsi="Arial" w:eastAsia="Arial" w:cs="Arial"/>
          <w:spacing w:val="-5"/>
          <w:sz w:val="19"/>
          <w:szCs w:val="19"/>
        </w:rPr>
        <w:t>dependent variables</w:t>
      </w:r>
      <w:r>
        <w:rPr>
          <w:rFonts w:ascii="Arial" w:hAnsi="Arial" w:eastAsia="Arial" w:cs="Arial"/>
          <w:spacing w:val="12"/>
          <w:sz w:val="19"/>
          <w:szCs w:val="19"/>
        </w:rPr>
        <w:t xml:space="preserve"> </w:t>
      </w:r>
      <w:r>
        <w:rPr>
          <w:rFonts w:ascii="Arial" w:hAnsi="Arial" w:eastAsia="Arial" w:cs="Arial"/>
          <w:spacing w:val="-5"/>
          <w:sz w:val="19"/>
          <w:szCs w:val="19"/>
        </w:rPr>
        <w:t>are</w:t>
      </w:r>
      <w:r>
        <w:rPr>
          <w:rFonts w:ascii="Arial" w:hAnsi="Arial" w:eastAsia="Arial" w:cs="Arial"/>
          <w:spacing w:val="17"/>
          <w:sz w:val="19"/>
          <w:szCs w:val="19"/>
        </w:rPr>
        <w:t xml:space="preserve"> </w:t>
      </w:r>
      <w:r>
        <w:rPr>
          <w:rFonts w:ascii="Arial" w:hAnsi="Arial" w:eastAsia="Arial" w:cs="Arial"/>
          <w:spacing w:val="-5"/>
          <w:sz w:val="19"/>
          <w:szCs w:val="19"/>
        </w:rPr>
        <w:t>provide</w:t>
      </w:r>
      <w:r>
        <w:rPr>
          <w:rFonts w:ascii="Arial" w:hAnsi="Arial" w:eastAsia="Arial" w:cs="Arial"/>
          <w:spacing w:val="-6"/>
          <w:sz w:val="19"/>
          <w:szCs w:val="19"/>
        </w:rPr>
        <w:t>d</w:t>
      </w:r>
      <w:r>
        <w:rPr>
          <w:rFonts w:ascii="Arial" w:hAnsi="Arial" w:eastAsia="Arial" w:cs="Arial"/>
          <w:spacing w:val="17"/>
          <w:sz w:val="19"/>
          <w:szCs w:val="19"/>
        </w:rPr>
        <w:t xml:space="preserve"> </w:t>
      </w:r>
      <w:r>
        <w:rPr>
          <w:rFonts w:ascii="Arial" w:hAnsi="Arial" w:eastAsia="Arial" w:cs="Arial"/>
          <w:spacing w:val="-6"/>
          <w:sz w:val="19"/>
          <w:szCs w:val="19"/>
        </w:rPr>
        <w:t xml:space="preserve">in </w:t>
      </w:r>
      <w:r>
        <w:fldChar w:fldCharType="begin"/>
      </w:r>
      <w:r>
        <w:instrText xml:space="preserve"> HYPERLINK \l "bookmark94" </w:instrText>
      </w:r>
      <w:r>
        <w:fldChar w:fldCharType="separate"/>
      </w:r>
      <w:r>
        <w:rPr>
          <w:rFonts w:ascii="Arial" w:hAnsi="Arial" w:eastAsia="Arial" w:cs="Arial"/>
          <w:color w:val="000084"/>
          <w:spacing w:val="-6"/>
          <w:sz w:val="19"/>
          <w:szCs w:val="19"/>
        </w:rPr>
        <w:t>Table</w:t>
      </w:r>
      <w:r>
        <w:rPr>
          <w:rFonts w:ascii="Arial" w:hAnsi="Arial" w:eastAsia="Arial" w:cs="Arial"/>
          <w:color w:val="000084"/>
          <w:spacing w:val="16"/>
          <w:sz w:val="19"/>
          <w:szCs w:val="19"/>
        </w:rPr>
        <w:t xml:space="preserve"> </w:t>
      </w:r>
      <w:r>
        <w:rPr>
          <w:rFonts w:ascii="Arial" w:hAnsi="Arial" w:eastAsia="Arial" w:cs="Arial"/>
          <w:color w:val="000084"/>
          <w:spacing w:val="-6"/>
          <w:sz w:val="19"/>
          <w:szCs w:val="19"/>
        </w:rPr>
        <w:t>7</w:t>
      </w:r>
      <w:r>
        <w:rPr>
          <w:rFonts w:ascii="Arial" w:hAnsi="Arial" w:eastAsia="Arial" w:cs="Arial"/>
          <w:color w:val="000084"/>
          <w:spacing w:val="-6"/>
          <w:sz w:val="19"/>
          <w:szCs w:val="19"/>
        </w:rPr>
        <w:fldChar w:fldCharType="end"/>
      </w:r>
      <w:r>
        <w:rPr>
          <w:rFonts w:ascii="Arial" w:hAnsi="Arial" w:eastAsia="Arial" w:cs="Arial"/>
          <w:spacing w:val="-6"/>
          <w:sz w:val="19"/>
          <w:szCs w:val="19"/>
        </w:rPr>
        <w:t>.</w:t>
      </w:r>
    </w:p>
    <w:p>
      <w:pPr>
        <w:spacing w:before="24" w:line="261" w:lineRule="auto"/>
        <w:ind w:left="194" w:firstLine="244"/>
        <w:jc w:val="both"/>
        <w:rPr>
          <w:rFonts w:ascii="Arial" w:hAnsi="Arial" w:eastAsia="Arial" w:cs="Arial"/>
          <w:sz w:val="19"/>
          <w:szCs w:val="19"/>
        </w:rPr>
      </w:pPr>
      <w:r>
        <w:rPr>
          <w:rFonts w:ascii="Arial" w:hAnsi="Arial" w:eastAsia="Arial" w:cs="Arial"/>
          <w:spacing w:val="-7"/>
          <w:sz w:val="19"/>
          <w:szCs w:val="19"/>
        </w:rPr>
        <w:t>Standardized</w:t>
      </w:r>
      <w:r>
        <w:rPr>
          <w:rFonts w:ascii="Arial" w:hAnsi="Arial" w:eastAsia="Arial" w:cs="Arial"/>
          <w:spacing w:val="26"/>
          <w:sz w:val="19"/>
          <w:szCs w:val="19"/>
        </w:rPr>
        <w:t xml:space="preserve"> </w:t>
      </w:r>
      <w:r>
        <w:rPr>
          <w:rFonts w:ascii="Arial" w:hAnsi="Arial" w:eastAsia="Arial" w:cs="Arial"/>
          <w:spacing w:val="-7"/>
          <w:sz w:val="19"/>
          <w:szCs w:val="19"/>
        </w:rPr>
        <w:t>regression</w:t>
      </w:r>
      <w:r>
        <w:rPr>
          <w:rFonts w:ascii="Arial" w:hAnsi="Arial" w:eastAsia="Arial" w:cs="Arial"/>
          <w:spacing w:val="15"/>
          <w:sz w:val="19"/>
          <w:szCs w:val="19"/>
        </w:rPr>
        <w:t xml:space="preserve"> </w:t>
      </w:r>
      <w:r>
        <w:rPr>
          <w:rFonts w:ascii="Arial" w:hAnsi="Arial" w:eastAsia="Arial" w:cs="Arial"/>
          <w:spacing w:val="-7"/>
          <w:sz w:val="19"/>
          <w:szCs w:val="19"/>
        </w:rPr>
        <w:t>weights</w:t>
      </w:r>
      <w:r>
        <w:rPr>
          <w:rFonts w:ascii="Arial" w:hAnsi="Arial" w:eastAsia="Arial" w:cs="Arial"/>
          <w:spacing w:val="19"/>
          <w:w w:val="101"/>
          <w:sz w:val="19"/>
          <w:szCs w:val="19"/>
        </w:rPr>
        <w:t xml:space="preserve"> </w:t>
      </w:r>
      <w:r>
        <w:rPr>
          <w:rFonts w:ascii="Arial" w:hAnsi="Arial" w:eastAsia="Arial" w:cs="Arial"/>
          <w:spacing w:val="-7"/>
          <w:sz w:val="19"/>
          <w:szCs w:val="19"/>
        </w:rPr>
        <w:t>of the</w:t>
      </w:r>
      <w:r>
        <w:rPr>
          <w:rFonts w:ascii="Arial" w:hAnsi="Arial" w:eastAsia="Arial" w:cs="Arial"/>
          <w:spacing w:val="19"/>
          <w:w w:val="101"/>
          <w:sz w:val="19"/>
          <w:szCs w:val="19"/>
        </w:rPr>
        <w:t xml:space="preserve"> </w:t>
      </w:r>
      <w:r>
        <w:rPr>
          <w:rFonts w:ascii="Arial" w:hAnsi="Arial" w:eastAsia="Arial" w:cs="Arial"/>
          <w:spacing w:val="-7"/>
          <w:sz w:val="19"/>
          <w:szCs w:val="19"/>
        </w:rPr>
        <w:t>SEM</w:t>
      </w:r>
      <w:r>
        <w:rPr>
          <w:rFonts w:ascii="Arial" w:hAnsi="Arial" w:eastAsia="Arial" w:cs="Arial"/>
          <w:spacing w:val="19"/>
          <w:w w:val="101"/>
          <w:sz w:val="19"/>
          <w:szCs w:val="19"/>
        </w:rPr>
        <w:t xml:space="preserve"> </w:t>
      </w:r>
      <w:r>
        <w:rPr>
          <w:rFonts w:ascii="Arial" w:hAnsi="Arial" w:eastAsia="Arial" w:cs="Arial"/>
          <w:spacing w:val="-7"/>
          <w:sz w:val="19"/>
          <w:szCs w:val="19"/>
        </w:rPr>
        <w:t>are</w:t>
      </w:r>
      <w:r>
        <w:rPr>
          <w:rFonts w:ascii="Arial" w:hAnsi="Arial" w:eastAsia="Arial" w:cs="Arial"/>
          <w:spacing w:val="23"/>
          <w:w w:val="101"/>
          <w:sz w:val="19"/>
          <w:szCs w:val="19"/>
        </w:rPr>
        <w:t xml:space="preserve"> </w:t>
      </w:r>
      <w:r>
        <w:rPr>
          <w:rFonts w:ascii="Arial" w:hAnsi="Arial" w:eastAsia="Arial" w:cs="Arial"/>
          <w:spacing w:val="-7"/>
          <w:sz w:val="19"/>
          <w:szCs w:val="19"/>
        </w:rPr>
        <w:t>provided</w:t>
      </w:r>
      <w:r>
        <w:rPr>
          <w:rFonts w:ascii="Arial" w:hAnsi="Arial" w:eastAsia="Arial" w:cs="Arial"/>
          <w:spacing w:val="23"/>
          <w:w w:val="101"/>
          <w:sz w:val="19"/>
          <w:szCs w:val="19"/>
        </w:rPr>
        <w:t xml:space="preserve"> </w:t>
      </w:r>
      <w:r>
        <w:rPr>
          <w:rFonts w:ascii="Arial" w:hAnsi="Arial" w:eastAsia="Arial" w:cs="Arial"/>
          <w:spacing w:val="-7"/>
          <w:sz w:val="19"/>
          <w:szCs w:val="19"/>
        </w:rPr>
        <w:t>in</w:t>
      </w:r>
      <w:r>
        <w:rPr>
          <w:rFonts w:ascii="Arial" w:hAnsi="Arial" w:eastAsia="Arial" w:cs="Arial"/>
          <w:spacing w:val="10"/>
          <w:sz w:val="19"/>
          <w:szCs w:val="19"/>
        </w:rPr>
        <w:t xml:space="preserve"> </w:t>
      </w:r>
      <w:r>
        <w:fldChar w:fldCharType="begin"/>
      </w:r>
      <w:r>
        <w:instrText xml:space="preserve"> HYPERLINK \l "bookmark95" </w:instrText>
      </w:r>
      <w:r>
        <w:fldChar w:fldCharType="separate"/>
      </w:r>
      <w:r>
        <w:rPr>
          <w:rFonts w:ascii="Arial" w:hAnsi="Arial" w:eastAsia="Arial" w:cs="Arial"/>
          <w:color w:val="000084"/>
          <w:spacing w:val="-7"/>
          <w:sz w:val="19"/>
          <w:szCs w:val="19"/>
        </w:rPr>
        <w:t>Table</w:t>
      </w:r>
      <w:r>
        <w:rPr>
          <w:rFonts w:ascii="Arial" w:hAnsi="Arial" w:eastAsia="Arial" w:cs="Arial"/>
          <w:color w:val="000084"/>
          <w:spacing w:val="18"/>
          <w:w w:val="101"/>
          <w:sz w:val="19"/>
          <w:szCs w:val="19"/>
        </w:rPr>
        <w:t xml:space="preserve"> </w:t>
      </w:r>
      <w:r>
        <w:rPr>
          <w:rFonts w:ascii="Arial" w:hAnsi="Arial" w:eastAsia="Arial" w:cs="Arial"/>
          <w:color w:val="000084"/>
          <w:spacing w:val="-7"/>
          <w:sz w:val="19"/>
          <w:szCs w:val="19"/>
        </w:rPr>
        <w:t>8</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pacing w:val="11"/>
          <w:sz w:val="19"/>
          <w:szCs w:val="19"/>
        </w:rPr>
        <w:t xml:space="preserve"> </w:t>
      </w:r>
      <w:r>
        <w:rPr>
          <w:rFonts w:ascii="Arial" w:hAnsi="Arial" w:eastAsia="Arial" w:cs="Arial"/>
          <w:spacing w:val="-7"/>
          <w:sz w:val="19"/>
          <w:szCs w:val="19"/>
        </w:rPr>
        <w:t>The</w:t>
      </w:r>
      <w:r>
        <w:rPr>
          <w:rFonts w:ascii="Arial" w:hAnsi="Arial" w:eastAsia="Arial" w:cs="Arial"/>
          <w:spacing w:val="19"/>
          <w:sz w:val="19"/>
          <w:szCs w:val="19"/>
        </w:rPr>
        <w:t xml:space="preserve"> </w:t>
      </w:r>
      <w:r>
        <w:rPr>
          <w:rFonts w:ascii="Arial" w:hAnsi="Arial" w:eastAsia="Arial" w:cs="Arial"/>
          <w:spacing w:val="-7"/>
          <w:sz w:val="19"/>
          <w:szCs w:val="19"/>
        </w:rPr>
        <w:t>stron</w:t>
      </w:r>
      <w:r>
        <w:rPr>
          <w:rFonts w:ascii="Arial" w:hAnsi="Arial" w:eastAsia="Arial" w:cs="Arial"/>
          <w:spacing w:val="-8"/>
          <w:sz w:val="19"/>
          <w:szCs w:val="19"/>
        </w:rPr>
        <w:t>gest</w:t>
      </w:r>
      <w:r>
        <w:rPr>
          <w:rFonts w:ascii="Arial" w:hAnsi="Arial" w:eastAsia="Arial" w:cs="Arial"/>
          <w:spacing w:val="24"/>
          <w:w w:val="101"/>
          <w:sz w:val="19"/>
          <w:szCs w:val="19"/>
        </w:rPr>
        <w:t xml:space="preserve"> </w:t>
      </w:r>
      <w:r>
        <w:rPr>
          <w:rFonts w:ascii="Arial" w:hAnsi="Arial" w:eastAsia="Arial" w:cs="Arial"/>
          <w:spacing w:val="-8"/>
          <w:sz w:val="19"/>
          <w:szCs w:val="19"/>
        </w:rPr>
        <w:t>beta-values</w:t>
      </w:r>
      <w:r>
        <w:rPr>
          <w:rFonts w:ascii="Arial" w:hAnsi="Arial" w:eastAsia="Arial" w:cs="Arial"/>
          <w:sz w:val="19"/>
          <w:szCs w:val="19"/>
        </w:rPr>
        <w:t xml:space="preserve"> </w:t>
      </w:r>
      <w:r>
        <w:rPr>
          <w:rFonts w:ascii="Arial" w:hAnsi="Arial" w:eastAsia="Arial" w:cs="Arial"/>
          <w:spacing w:val="-6"/>
          <w:sz w:val="19"/>
          <w:szCs w:val="19"/>
        </w:rPr>
        <w:t>wer</w:t>
      </w:r>
      <w:r>
        <w:rPr>
          <w:rFonts w:ascii="Arial" w:hAnsi="Arial" w:eastAsia="Arial" w:cs="Arial"/>
          <w:spacing w:val="-5"/>
          <w:sz w:val="19"/>
          <w:szCs w:val="19"/>
        </w:rPr>
        <w:t>e detected concerning quality-oriented</w:t>
      </w:r>
      <w:r>
        <w:rPr>
          <w:rFonts w:ascii="Arial" w:hAnsi="Arial" w:eastAsia="Arial" w:cs="Arial"/>
          <w:spacing w:val="11"/>
          <w:sz w:val="19"/>
          <w:szCs w:val="19"/>
        </w:rPr>
        <w:t xml:space="preserve"> </w:t>
      </w:r>
      <w:r>
        <w:rPr>
          <w:rFonts w:ascii="Arial" w:hAnsi="Arial" w:eastAsia="Arial" w:cs="Arial"/>
          <w:spacing w:val="-5"/>
          <w:sz w:val="19"/>
          <w:szCs w:val="19"/>
        </w:rPr>
        <w:t>leadership behavior (β = .205–</w:t>
      </w:r>
      <w:r>
        <w:rPr>
          <w:rFonts w:ascii="Arial" w:hAnsi="Arial" w:eastAsia="Arial" w:cs="Arial"/>
          <w:spacing w:val="-42"/>
          <w:sz w:val="19"/>
          <w:szCs w:val="19"/>
        </w:rPr>
        <w:t xml:space="preserve"> </w:t>
      </w:r>
      <w:r>
        <w:rPr>
          <w:rFonts w:ascii="Arial" w:hAnsi="Arial" w:eastAsia="Arial" w:cs="Arial"/>
          <w:spacing w:val="-5"/>
          <w:sz w:val="19"/>
          <w:szCs w:val="19"/>
        </w:rPr>
        <w:t>.554), which wa</w:t>
      </w:r>
      <w:r>
        <w:rPr>
          <w:rFonts w:ascii="Arial" w:hAnsi="Arial" w:eastAsia="Arial" w:cs="Arial"/>
          <w:spacing w:val="-6"/>
          <w:sz w:val="19"/>
          <w:szCs w:val="19"/>
        </w:rPr>
        <w:t>s</w:t>
      </w:r>
      <w:r>
        <w:rPr>
          <w:rFonts w:ascii="Arial" w:hAnsi="Arial" w:eastAsia="Arial" w:cs="Arial"/>
          <w:spacing w:val="9"/>
          <w:sz w:val="19"/>
          <w:szCs w:val="19"/>
        </w:rPr>
        <w:t xml:space="preserve"> </w:t>
      </w:r>
      <w:r>
        <w:rPr>
          <w:rFonts w:ascii="Arial" w:hAnsi="Arial" w:eastAsia="Arial" w:cs="Arial"/>
          <w:spacing w:val="-6"/>
          <w:sz w:val="19"/>
          <w:szCs w:val="19"/>
        </w:rPr>
        <w:t>positivel</w:t>
      </w:r>
      <w:r>
        <w:rPr>
          <w:rFonts w:ascii="Arial" w:hAnsi="Arial" w:eastAsia="Arial" w:cs="Arial"/>
          <w:spacing w:val="-3"/>
          <w:sz w:val="19"/>
          <w:szCs w:val="19"/>
        </w:rPr>
        <w:t>y</w:t>
      </w:r>
      <w:r>
        <w:rPr>
          <w:rFonts w:ascii="Arial" w:hAnsi="Arial" w:eastAsia="Arial" w:cs="Arial"/>
          <w:sz w:val="19"/>
          <w:szCs w:val="19"/>
        </w:rPr>
        <w:t xml:space="preserve"> </w:t>
      </w:r>
      <w:r>
        <w:rPr>
          <w:rFonts w:ascii="Arial" w:hAnsi="Arial" w:eastAsia="Arial" w:cs="Arial"/>
          <w:spacing w:val="-4"/>
          <w:sz w:val="19"/>
          <w:szCs w:val="19"/>
        </w:rPr>
        <w:t>related to all dependent variables.</w:t>
      </w:r>
      <w:r>
        <w:rPr>
          <w:rFonts w:ascii="Arial" w:hAnsi="Arial" w:eastAsia="Arial" w:cs="Arial"/>
          <w:spacing w:val="12"/>
          <w:sz w:val="19"/>
          <w:szCs w:val="19"/>
        </w:rPr>
        <w:t xml:space="preserve"> </w:t>
      </w:r>
      <w:r>
        <w:rPr>
          <w:rFonts w:ascii="Arial" w:hAnsi="Arial" w:eastAsia="Arial" w:cs="Arial"/>
          <w:spacing w:val="-4"/>
          <w:sz w:val="19"/>
          <w:szCs w:val="19"/>
        </w:rPr>
        <w:t>In contrast,</w:t>
      </w:r>
      <w:r>
        <w:rPr>
          <w:rFonts w:ascii="Arial" w:hAnsi="Arial" w:eastAsia="Arial" w:cs="Arial"/>
          <w:spacing w:val="12"/>
          <w:sz w:val="19"/>
          <w:szCs w:val="19"/>
        </w:rPr>
        <w:t xml:space="preserve"> </w:t>
      </w:r>
      <w:r>
        <w:rPr>
          <w:rFonts w:ascii="Arial" w:hAnsi="Arial" w:eastAsia="Arial" w:cs="Arial"/>
          <w:spacing w:val="-4"/>
          <w:sz w:val="19"/>
          <w:szCs w:val="19"/>
        </w:rPr>
        <w:t>leadership expectations were</w:t>
      </w:r>
      <w:r>
        <w:rPr>
          <w:rFonts w:ascii="Arial" w:hAnsi="Arial" w:eastAsia="Arial" w:cs="Arial"/>
          <w:spacing w:val="10"/>
          <w:sz w:val="19"/>
          <w:szCs w:val="19"/>
        </w:rPr>
        <w:t xml:space="preserve"> </w:t>
      </w:r>
      <w:r>
        <w:rPr>
          <w:rFonts w:ascii="Arial" w:hAnsi="Arial" w:eastAsia="Arial" w:cs="Arial"/>
          <w:spacing w:val="-4"/>
          <w:sz w:val="19"/>
          <w:szCs w:val="19"/>
        </w:rPr>
        <w:t>not</w:t>
      </w:r>
      <w:r>
        <w:rPr>
          <w:rFonts w:ascii="Arial" w:hAnsi="Arial" w:eastAsia="Arial" w:cs="Arial"/>
          <w:spacing w:val="6"/>
          <w:sz w:val="19"/>
          <w:szCs w:val="19"/>
        </w:rPr>
        <w:t xml:space="preserve"> </w:t>
      </w:r>
      <w:r>
        <w:rPr>
          <w:rFonts w:ascii="Arial" w:hAnsi="Arial" w:eastAsia="Arial" w:cs="Arial"/>
          <w:spacing w:val="-4"/>
          <w:sz w:val="19"/>
          <w:szCs w:val="19"/>
        </w:rPr>
        <w:t>sig</w:t>
      </w:r>
      <w:r>
        <w:rPr>
          <w:rFonts w:ascii="Arial" w:hAnsi="Arial" w:eastAsia="Arial" w:cs="Arial"/>
          <w:spacing w:val="-5"/>
          <w:sz w:val="19"/>
          <w:szCs w:val="19"/>
        </w:rPr>
        <w:t>niicantly</w:t>
      </w:r>
      <w:r>
        <w:rPr>
          <w:rFonts w:ascii="Arial" w:hAnsi="Arial" w:eastAsia="Arial" w:cs="Arial"/>
          <w:spacing w:val="12"/>
          <w:sz w:val="19"/>
          <w:szCs w:val="19"/>
        </w:rPr>
        <w:t xml:space="preserve"> </w:t>
      </w:r>
      <w:r>
        <w:rPr>
          <w:rFonts w:ascii="Arial" w:hAnsi="Arial" w:eastAsia="Arial" w:cs="Arial"/>
          <w:spacing w:val="-5"/>
          <w:sz w:val="19"/>
          <w:szCs w:val="19"/>
        </w:rPr>
        <w:t>related</w:t>
      </w:r>
      <w:r>
        <w:rPr>
          <w:rFonts w:ascii="Arial" w:hAnsi="Arial" w:eastAsia="Arial" w:cs="Arial"/>
          <w:sz w:val="19"/>
          <w:szCs w:val="19"/>
        </w:rPr>
        <w:t xml:space="preserve"> </w:t>
      </w:r>
      <w:r>
        <w:rPr>
          <w:rFonts w:ascii="Arial" w:hAnsi="Arial" w:eastAsia="Arial" w:cs="Arial"/>
          <w:spacing w:val="-4"/>
          <w:sz w:val="19"/>
          <w:szCs w:val="19"/>
        </w:rPr>
        <w:t>to the dependent variables except for</w:t>
      </w:r>
      <w:r>
        <w:rPr>
          <w:rFonts w:ascii="Arial" w:hAnsi="Arial" w:eastAsia="Arial" w:cs="Arial"/>
          <w:spacing w:val="-12"/>
          <w:sz w:val="19"/>
          <w:szCs w:val="19"/>
        </w:rPr>
        <w:t xml:space="preserve"> </w:t>
      </w:r>
      <w:r>
        <w:rPr>
          <w:rFonts w:ascii="Arial" w:hAnsi="Arial" w:eastAsia="Arial" w:cs="Arial"/>
          <w:spacing w:val="-4"/>
          <w:sz w:val="19"/>
          <w:szCs w:val="19"/>
        </w:rPr>
        <w:t>job satisfaction.</w:t>
      </w:r>
      <w:r>
        <w:rPr>
          <w:rFonts w:ascii="Arial" w:hAnsi="Arial" w:eastAsia="Arial" w:cs="Arial"/>
          <w:spacing w:val="9"/>
          <w:sz w:val="19"/>
          <w:szCs w:val="19"/>
        </w:rPr>
        <w:t xml:space="preserve"> </w:t>
      </w:r>
      <w:r>
        <w:rPr>
          <w:rFonts w:ascii="Arial" w:hAnsi="Arial" w:eastAsia="Arial" w:cs="Arial"/>
          <w:spacing w:val="-4"/>
          <w:sz w:val="19"/>
          <w:szCs w:val="19"/>
        </w:rPr>
        <w:t>Interestingly, this relationship</w:t>
      </w:r>
      <w:r>
        <w:rPr>
          <w:rFonts w:ascii="Arial" w:hAnsi="Arial" w:eastAsia="Arial" w:cs="Arial"/>
          <w:spacing w:val="-5"/>
          <w:sz w:val="19"/>
          <w:szCs w:val="19"/>
        </w:rPr>
        <w:t xml:space="preserve"> was negative</w:t>
      </w:r>
      <w:r>
        <w:rPr>
          <w:rFonts w:ascii="Arial" w:hAnsi="Arial" w:eastAsia="Arial" w:cs="Arial"/>
          <w:spacing w:val="8"/>
          <w:sz w:val="19"/>
          <w:szCs w:val="19"/>
        </w:rPr>
        <w:t xml:space="preserve"> </w:t>
      </w:r>
      <w:r>
        <w:rPr>
          <w:rFonts w:ascii="Arial" w:hAnsi="Arial" w:eastAsia="Arial" w:cs="Arial"/>
          <w:spacing w:val="-5"/>
          <w:sz w:val="19"/>
          <w:szCs w:val="19"/>
        </w:rPr>
        <w:t>in</w:t>
      </w:r>
      <w:r>
        <w:rPr>
          <w:rFonts w:ascii="Arial" w:hAnsi="Arial" w:eastAsia="Arial" w:cs="Arial"/>
          <w:sz w:val="19"/>
          <w:szCs w:val="19"/>
        </w:rPr>
        <w:t xml:space="preserve"> </w:t>
      </w:r>
      <w:r>
        <w:rPr>
          <w:rFonts w:ascii="Arial" w:hAnsi="Arial" w:eastAsia="Arial" w:cs="Arial"/>
          <w:spacing w:val="-4"/>
          <w:sz w:val="19"/>
          <w:szCs w:val="19"/>
        </w:rPr>
        <w:t>nature, which means that higher le</w:t>
      </w:r>
      <w:r>
        <w:rPr>
          <w:rFonts w:ascii="Arial" w:hAnsi="Arial" w:eastAsia="Arial" w:cs="Arial"/>
          <w:spacing w:val="-5"/>
          <w:sz w:val="19"/>
          <w:szCs w:val="19"/>
        </w:rPr>
        <w:t>adership expectations were associated</w:t>
      </w:r>
      <w:r>
        <w:rPr>
          <w:rFonts w:ascii="Arial" w:hAnsi="Arial" w:eastAsia="Arial" w:cs="Arial"/>
          <w:spacing w:val="-2"/>
          <w:sz w:val="19"/>
          <w:szCs w:val="19"/>
        </w:rPr>
        <w:t xml:space="preserve"> </w:t>
      </w:r>
      <w:r>
        <w:rPr>
          <w:rFonts w:ascii="Arial" w:hAnsi="Arial" w:eastAsia="Arial" w:cs="Arial"/>
          <w:spacing w:val="-5"/>
          <w:sz w:val="19"/>
          <w:szCs w:val="19"/>
        </w:rPr>
        <w:t>with</w:t>
      </w:r>
      <w:r>
        <w:rPr>
          <w:rFonts w:ascii="Arial" w:hAnsi="Arial" w:eastAsia="Arial" w:cs="Arial"/>
          <w:spacing w:val="9"/>
          <w:sz w:val="19"/>
          <w:szCs w:val="19"/>
        </w:rPr>
        <w:t xml:space="preserve"> </w:t>
      </w:r>
      <w:r>
        <w:rPr>
          <w:rFonts w:ascii="Arial" w:hAnsi="Arial" w:eastAsia="Arial" w:cs="Arial"/>
          <w:spacing w:val="-5"/>
          <w:sz w:val="19"/>
          <w:szCs w:val="19"/>
        </w:rPr>
        <w:t>lower</w:t>
      </w:r>
      <w:r>
        <w:rPr>
          <w:rFonts w:ascii="Arial" w:hAnsi="Arial" w:eastAsia="Arial" w:cs="Arial"/>
          <w:spacing w:val="-13"/>
          <w:sz w:val="19"/>
          <w:szCs w:val="19"/>
        </w:rPr>
        <w:t xml:space="preserve"> </w:t>
      </w:r>
      <w:r>
        <w:rPr>
          <w:rFonts w:ascii="Arial" w:hAnsi="Arial" w:eastAsia="Arial" w:cs="Arial"/>
          <w:spacing w:val="-5"/>
          <w:sz w:val="19"/>
          <w:szCs w:val="19"/>
        </w:rPr>
        <w:t>job</w:t>
      </w:r>
      <w:r>
        <w:rPr>
          <w:rFonts w:ascii="Arial" w:hAnsi="Arial" w:eastAsia="Arial" w:cs="Arial"/>
          <w:spacing w:val="2"/>
          <w:sz w:val="19"/>
          <w:szCs w:val="19"/>
        </w:rPr>
        <w:t xml:space="preserve"> </w:t>
      </w:r>
      <w:r>
        <w:rPr>
          <w:rFonts w:ascii="Arial" w:hAnsi="Arial" w:eastAsia="Arial" w:cs="Arial"/>
          <w:spacing w:val="-5"/>
          <w:sz w:val="19"/>
          <w:szCs w:val="19"/>
        </w:rPr>
        <w:t>satisfaction</w:t>
      </w:r>
      <w:r>
        <w:rPr>
          <w:rFonts w:ascii="Arial" w:hAnsi="Arial" w:eastAsia="Arial" w:cs="Arial"/>
          <w:sz w:val="19"/>
          <w:szCs w:val="19"/>
        </w:rPr>
        <w:t xml:space="preserve"> </w:t>
      </w:r>
      <w:r>
        <w:rPr>
          <w:rFonts w:ascii="Arial" w:hAnsi="Arial" w:eastAsia="Arial" w:cs="Arial"/>
          <w:spacing w:val="-5"/>
          <w:sz w:val="19"/>
          <w:szCs w:val="19"/>
        </w:rPr>
        <w:t>values.</w:t>
      </w:r>
      <w:r>
        <w:rPr>
          <w:rFonts w:ascii="Arial" w:hAnsi="Arial" w:eastAsia="Arial" w:cs="Arial"/>
          <w:spacing w:val="39"/>
          <w:sz w:val="19"/>
          <w:szCs w:val="19"/>
        </w:rPr>
        <w:t xml:space="preserve"> </w:t>
      </w:r>
      <w:r>
        <w:rPr>
          <w:rFonts w:ascii="Arial" w:hAnsi="Arial" w:eastAsia="Arial" w:cs="Arial"/>
          <w:spacing w:val="-5"/>
          <w:sz w:val="19"/>
          <w:szCs w:val="19"/>
        </w:rPr>
        <w:t>Quality-oriented</w:t>
      </w:r>
      <w:r>
        <w:rPr>
          <w:rFonts w:ascii="Arial" w:hAnsi="Arial" w:eastAsia="Arial" w:cs="Arial"/>
          <w:spacing w:val="38"/>
          <w:w w:val="101"/>
          <w:sz w:val="19"/>
          <w:szCs w:val="19"/>
        </w:rPr>
        <w:t xml:space="preserve"> </w:t>
      </w:r>
      <w:r>
        <w:rPr>
          <w:rFonts w:ascii="Arial" w:hAnsi="Arial" w:eastAsia="Arial" w:cs="Arial"/>
          <w:spacing w:val="-5"/>
          <w:sz w:val="19"/>
          <w:szCs w:val="19"/>
        </w:rPr>
        <w:t>communication</w:t>
      </w:r>
      <w:r>
        <w:rPr>
          <w:rFonts w:ascii="Arial" w:hAnsi="Arial" w:eastAsia="Arial" w:cs="Arial"/>
          <w:spacing w:val="35"/>
          <w:sz w:val="19"/>
          <w:szCs w:val="19"/>
        </w:rPr>
        <w:t xml:space="preserve"> </w:t>
      </w:r>
      <w:r>
        <w:rPr>
          <w:rFonts w:ascii="Arial" w:hAnsi="Arial" w:eastAsia="Arial" w:cs="Arial"/>
          <w:spacing w:val="-5"/>
          <w:sz w:val="19"/>
          <w:szCs w:val="19"/>
        </w:rPr>
        <w:t>was</w:t>
      </w:r>
      <w:r>
        <w:rPr>
          <w:rFonts w:ascii="Arial" w:hAnsi="Arial" w:eastAsia="Arial" w:cs="Arial"/>
          <w:spacing w:val="34"/>
          <w:w w:val="101"/>
          <w:sz w:val="19"/>
          <w:szCs w:val="19"/>
        </w:rPr>
        <w:t xml:space="preserve"> </w:t>
      </w:r>
      <w:r>
        <w:rPr>
          <w:rFonts w:ascii="Arial" w:hAnsi="Arial" w:eastAsia="Arial" w:cs="Arial"/>
          <w:spacing w:val="-5"/>
          <w:sz w:val="19"/>
          <w:szCs w:val="19"/>
        </w:rPr>
        <w:t>found</w:t>
      </w:r>
      <w:r>
        <w:rPr>
          <w:rFonts w:ascii="Arial" w:hAnsi="Arial" w:eastAsia="Arial" w:cs="Arial"/>
          <w:spacing w:val="34"/>
          <w:sz w:val="19"/>
          <w:szCs w:val="19"/>
        </w:rPr>
        <w:t xml:space="preserve"> </w:t>
      </w:r>
      <w:r>
        <w:rPr>
          <w:rFonts w:ascii="Arial" w:hAnsi="Arial" w:eastAsia="Arial" w:cs="Arial"/>
          <w:spacing w:val="-5"/>
          <w:sz w:val="19"/>
          <w:szCs w:val="19"/>
        </w:rPr>
        <w:t>to</w:t>
      </w:r>
      <w:r>
        <w:rPr>
          <w:rFonts w:ascii="Arial" w:hAnsi="Arial" w:eastAsia="Arial" w:cs="Arial"/>
          <w:spacing w:val="45"/>
          <w:sz w:val="19"/>
          <w:szCs w:val="19"/>
        </w:rPr>
        <w:t xml:space="preserve"> </w:t>
      </w:r>
      <w:r>
        <w:rPr>
          <w:rFonts w:ascii="Arial" w:hAnsi="Arial" w:eastAsia="Arial" w:cs="Arial"/>
          <w:spacing w:val="-5"/>
          <w:sz w:val="19"/>
          <w:szCs w:val="19"/>
        </w:rPr>
        <w:t>be</w:t>
      </w:r>
      <w:r>
        <w:rPr>
          <w:rFonts w:ascii="Arial" w:hAnsi="Arial" w:eastAsia="Arial" w:cs="Arial"/>
          <w:spacing w:val="44"/>
          <w:sz w:val="19"/>
          <w:szCs w:val="19"/>
        </w:rPr>
        <w:t xml:space="preserve"> </w:t>
      </w:r>
      <w:r>
        <w:rPr>
          <w:rFonts w:ascii="Arial" w:hAnsi="Arial" w:eastAsia="Arial" w:cs="Arial"/>
          <w:spacing w:val="-5"/>
          <w:sz w:val="19"/>
          <w:szCs w:val="19"/>
        </w:rPr>
        <w:t>related</w:t>
      </w:r>
      <w:r>
        <w:rPr>
          <w:rFonts w:ascii="Arial" w:hAnsi="Arial" w:eastAsia="Arial" w:cs="Arial"/>
          <w:spacing w:val="36"/>
          <w:w w:val="101"/>
          <w:sz w:val="19"/>
          <w:szCs w:val="19"/>
        </w:rPr>
        <w:t xml:space="preserve"> </w:t>
      </w:r>
      <w:r>
        <w:rPr>
          <w:rFonts w:ascii="Arial" w:hAnsi="Arial" w:eastAsia="Arial" w:cs="Arial"/>
          <w:spacing w:val="-5"/>
          <w:sz w:val="19"/>
          <w:szCs w:val="19"/>
        </w:rPr>
        <w:t>to</w:t>
      </w:r>
      <w:r>
        <w:rPr>
          <w:rFonts w:ascii="Arial" w:hAnsi="Arial" w:eastAsia="Arial" w:cs="Arial"/>
          <w:spacing w:val="45"/>
          <w:w w:val="101"/>
          <w:sz w:val="19"/>
          <w:szCs w:val="19"/>
        </w:rPr>
        <w:t xml:space="preserve"> </w:t>
      </w:r>
      <w:r>
        <w:rPr>
          <w:rFonts w:ascii="Arial" w:hAnsi="Arial" w:eastAsia="Arial" w:cs="Arial"/>
          <w:spacing w:val="-5"/>
          <w:sz w:val="19"/>
          <w:szCs w:val="19"/>
        </w:rPr>
        <w:t>high</w:t>
      </w:r>
      <w:r>
        <w:rPr>
          <w:rFonts w:ascii="Arial" w:hAnsi="Arial" w:eastAsia="Arial" w:cs="Arial"/>
          <w:spacing w:val="-6"/>
          <w:sz w:val="19"/>
          <w:szCs w:val="19"/>
        </w:rPr>
        <w:t>er</w:t>
      </w:r>
      <w:r>
        <w:rPr>
          <w:rFonts w:ascii="Arial" w:hAnsi="Arial" w:eastAsia="Arial" w:cs="Arial"/>
          <w:spacing w:val="46"/>
          <w:sz w:val="19"/>
          <w:szCs w:val="19"/>
        </w:rPr>
        <w:t xml:space="preserve"> </w:t>
      </w:r>
      <w:r>
        <w:rPr>
          <w:rFonts w:ascii="Arial" w:hAnsi="Arial" w:eastAsia="Arial" w:cs="Arial"/>
          <w:spacing w:val="-6"/>
          <w:sz w:val="19"/>
          <w:szCs w:val="19"/>
        </w:rPr>
        <w:t>HEI</w:t>
      </w:r>
      <w:r>
        <w:rPr>
          <w:rFonts w:ascii="Arial" w:hAnsi="Arial" w:eastAsia="Arial" w:cs="Arial"/>
          <w:spacing w:val="39"/>
          <w:sz w:val="19"/>
          <w:szCs w:val="19"/>
        </w:rPr>
        <w:t xml:space="preserve"> </w:t>
      </w:r>
      <w:r>
        <w:rPr>
          <w:rFonts w:ascii="Arial" w:hAnsi="Arial" w:eastAsia="Arial" w:cs="Arial"/>
          <w:spacing w:val="-6"/>
          <w:sz w:val="19"/>
          <w:szCs w:val="19"/>
        </w:rPr>
        <w:t>commitment</w:t>
      </w:r>
      <w:r>
        <w:rPr>
          <w:rFonts w:ascii="Arial" w:hAnsi="Arial" w:eastAsia="Arial" w:cs="Arial"/>
          <w:spacing w:val="43"/>
          <w:w w:val="101"/>
          <w:sz w:val="19"/>
          <w:szCs w:val="19"/>
        </w:rPr>
        <w:t xml:space="preserve"> </w:t>
      </w:r>
      <w:r>
        <w:rPr>
          <w:rFonts w:ascii="Arial" w:hAnsi="Arial" w:eastAsia="Arial" w:cs="Arial"/>
          <w:spacing w:val="-6"/>
          <w:sz w:val="19"/>
          <w:szCs w:val="19"/>
        </w:rPr>
        <w:t>(β</w:t>
      </w:r>
      <w:r>
        <w:rPr>
          <w:rFonts w:ascii="Arial" w:hAnsi="Arial" w:eastAsia="Arial" w:cs="Arial"/>
          <w:sz w:val="19"/>
          <w:szCs w:val="19"/>
        </w:rPr>
        <w:t xml:space="preserve">  </w:t>
      </w:r>
      <w:r>
        <w:rPr>
          <w:rFonts w:ascii="Arial" w:hAnsi="Arial" w:eastAsia="Arial" w:cs="Arial"/>
          <w:spacing w:val="-7"/>
          <w:sz w:val="19"/>
          <w:szCs w:val="19"/>
        </w:rPr>
        <w:t>= .148),</w:t>
      </w:r>
      <w:r>
        <w:rPr>
          <w:rFonts w:ascii="Arial" w:hAnsi="Arial" w:eastAsia="Arial" w:cs="Arial"/>
          <w:spacing w:val="21"/>
          <w:w w:val="101"/>
          <w:sz w:val="19"/>
          <w:szCs w:val="19"/>
        </w:rPr>
        <w:t xml:space="preserve"> </w:t>
      </w:r>
      <w:r>
        <w:rPr>
          <w:rFonts w:ascii="Arial" w:hAnsi="Arial" w:eastAsia="Arial" w:cs="Arial"/>
          <w:spacing w:val="-7"/>
          <w:sz w:val="19"/>
          <w:szCs w:val="19"/>
        </w:rPr>
        <w:t>HEI</w:t>
      </w:r>
      <w:r>
        <w:rPr>
          <w:rFonts w:ascii="Arial" w:hAnsi="Arial" w:eastAsia="Arial" w:cs="Arial"/>
          <w:spacing w:val="14"/>
          <w:sz w:val="19"/>
          <w:szCs w:val="19"/>
        </w:rPr>
        <w:t xml:space="preserve"> </w:t>
      </w:r>
      <w:r>
        <w:rPr>
          <w:rFonts w:ascii="Arial" w:hAnsi="Arial" w:eastAsia="Arial" w:cs="Arial"/>
          <w:spacing w:val="-7"/>
          <w:sz w:val="19"/>
          <w:szCs w:val="19"/>
        </w:rPr>
        <w:t>satisfaction</w:t>
      </w:r>
      <w:r>
        <w:rPr>
          <w:rFonts w:ascii="Arial" w:hAnsi="Arial" w:eastAsia="Arial" w:cs="Arial"/>
          <w:spacing w:val="18"/>
          <w:sz w:val="19"/>
          <w:szCs w:val="19"/>
        </w:rPr>
        <w:t xml:space="preserve"> </w:t>
      </w:r>
      <w:r>
        <w:rPr>
          <w:rFonts w:ascii="Arial" w:hAnsi="Arial" w:eastAsia="Arial" w:cs="Arial"/>
          <w:spacing w:val="-7"/>
          <w:sz w:val="19"/>
          <w:szCs w:val="19"/>
        </w:rPr>
        <w:t>(β = .250),</w:t>
      </w:r>
      <w:r>
        <w:rPr>
          <w:rFonts w:ascii="Arial" w:hAnsi="Arial" w:eastAsia="Arial" w:cs="Arial"/>
          <w:spacing w:val="13"/>
          <w:sz w:val="19"/>
          <w:szCs w:val="19"/>
        </w:rPr>
        <w:t xml:space="preserve"> </w:t>
      </w:r>
      <w:r>
        <w:rPr>
          <w:rFonts w:ascii="Arial" w:hAnsi="Arial" w:eastAsia="Arial" w:cs="Arial"/>
          <w:spacing w:val="-7"/>
          <w:sz w:val="19"/>
          <w:szCs w:val="19"/>
        </w:rPr>
        <w:t>global</w:t>
      </w:r>
      <w:r>
        <w:rPr>
          <w:rFonts w:ascii="Arial" w:hAnsi="Arial" w:eastAsia="Arial" w:cs="Arial"/>
          <w:spacing w:val="14"/>
          <w:sz w:val="19"/>
          <w:szCs w:val="19"/>
        </w:rPr>
        <w:t xml:space="preserve"> </w:t>
      </w:r>
      <w:r>
        <w:rPr>
          <w:rFonts w:ascii="Arial" w:hAnsi="Arial" w:eastAsia="Arial" w:cs="Arial"/>
          <w:spacing w:val="-7"/>
          <w:sz w:val="19"/>
          <w:szCs w:val="19"/>
        </w:rPr>
        <w:t>assessment</w:t>
      </w:r>
      <w:r>
        <w:rPr>
          <w:rFonts w:ascii="Arial" w:hAnsi="Arial" w:eastAsia="Arial" w:cs="Arial"/>
          <w:spacing w:val="15"/>
          <w:sz w:val="19"/>
          <w:szCs w:val="19"/>
        </w:rPr>
        <w:t xml:space="preserve"> </w:t>
      </w:r>
      <w:r>
        <w:rPr>
          <w:rFonts w:ascii="Arial" w:hAnsi="Arial" w:eastAsia="Arial" w:cs="Arial"/>
          <w:spacing w:val="-7"/>
          <w:sz w:val="19"/>
          <w:szCs w:val="19"/>
        </w:rPr>
        <w:t>of quality</w:t>
      </w:r>
      <w:r>
        <w:rPr>
          <w:rFonts w:ascii="Arial" w:hAnsi="Arial" w:eastAsia="Arial" w:cs="Arial"/>
          <w:spacing w:val="13"/>
          <w:w w:val="101"/>
          <w:sz w:val="19"/>
          <w:szCs w:val="19"/>
        </w:rPr>
        <w:t xml:space="preserve"> </w:t>
      </w:r>
      <w:r>
        <w:rPr>
          <w:rFonts w:ascii="Arial" w:hAnsi="Arial" w:eastAsia="Arial" w:cs="Arial"/>
          <w:spacing w:val="-7"/>
          <w:sz w:val="19"/>
          <w:szCs w:val="19"/>
        </w:rPr>
        <w:t>culture</w:t>
      </w:r>
      <w:r>
        <w:rPr>
          <w:rFonts w:ascii="Arial" w:hAnsi="Arial" w:eastAsia="Arial" w:cs="Arial"/>
          <w:spacing w:val="19"/>
          <w:sz w:val="19"/>
          <w:szCs w:val="19"/>
        </w:rPr>
        <w:t xml:space="preserve"> </w:t>
      </w:r>
      <w:r>
        <w:rPr>
          <w:rFonts w:ascii="Arial" w:hAnsi="Arial" w:eastAsia="Arial" w:cs="Arial"/>
          <w:spacing w:val="-7"/>
          <w:sz w:val="19"/>
          <w:szCs w:val="19"/>
        </w:rPr>
        <w:t>(β = .202),jo</w:t>
      </w:r>
      <w:r>
        <w:rPr>
          <w:rFonts w:ascii="Arial" w:hAnsi="Arial" w:eastAsia="Arial" w:cs="Arial"/>
          <w:spacing w:val="-8"/>
          <w:sz w:val="19"/>
          <w:szCs w:val="19"/>
        </w:rPr>
        <w:t>b</w:t>
      </w:r>
      <w:r>
        <w:rPr>
          <w:rFonts w:ascii="Arial" w:hAnsi="Arial" w:eastAsia="Arial" w:cs="Arial"/>
          <w:spacing w:val="14"/>
          <w:sz w:val="19"/>
          <w:szCs w:val="19"/>
        </w:rPr>
        <w:t xml:space="preserve"> </w:t>
      </w:r>
      <w:r>
        <w:rPr>
          <w:rFonts w:ascii="Arial" w:hAnsi="Arial" w:eastAsia="Arial" w:cs="Arial"/>
          <w:spacing w:val="-8"/>
          <w:sz w:val="19"/>
          <w:szCs w:val="19"/>
        </w:rPr>
        <w:t>satisfaction</w:t>
      </w:r>
      <w:r>
        <w:rPr>
          <w:rFonts w:ascii="Arial" w:hAnsi="Arial" w:eastAsia="Arial" w:cs="Arial"/>
          <w:spacing w:val="17"/>
          <w:w w:val="101"/>
          <w:sz w:val="19"/>
          <w:szCs w:val="19"/>
        </w:rPr>
        <w:t xml:space="preserve"> </w:t>
      </w:r>
      <w:r>
        <w:rPr>
          <w:rFonts w:ascii="Arial" w:hAnsi="Arial" w:eastAsia="Arial" w:cs="Arial"/>
          <w:spacing w:val="-8"/>
          <w:sz w:val="19"/>
          <w:szCs w:val="19"/>
        </w:rPr>
        <w:t>(β</w:t>
      </w:r>
      <w:r>
        <w:rPr>
          <w:rFonts w:ascii="Arial" w:hAnsi="Arial" w:eastAsia="Arial" w:cs="Arial"/>
          <w:sz w:val="19"/>
          <w:szCs w:val="19"/>
        </w:rPr>
        <w:t xml:space="preserve">  </w:t>
      </w:r>
      <w:r>
        <w:rPr>
          <w:rFonts w:ascii="Arial" w:hAnsi="Arial" w:eastAsia="Arial" w:cs="Arial"/>
          <w:spacing w:val="-7"/>
          <w:sz w:val="19"/>
          <w:szCs w:val="19"/>
        </w:rPr>
        <w:t>= .214),</w:t>
      </w:r>
      <w:r>
        <w:rPr>
          <w:rFonts w:ascii="Arial" w:hAnsi="Arial" w:eastAsia="Arial" w:cs="Arial"/>
          <w:spacing w:val="29"/>
          <w:sz w:val="19"/>
          <w:szCs w:val="19"/>
        </w:rPr>
        <w:t xml:space="preserve"> </w:t>
      </w:r>
      <w:r>
        <w:rPr>
          <w:rFonts w:ascii="Arial" w:hAnsi="Arial" w:eastAsia="Arial" w:cs="Arial"/>
          <w:spacing w:val="-7"/>
          <w:sz w:val="19"/>
          <w:szCs w:val="19"/>
        </w:rPr>
        <w:t>and</w:t>
      </w:r>
      <w:r>
        <w:rPr>
          <w:rFonts w:ascii="Arial" w:hAnsi="Arial" w:eastAsia="Arial" w:cs="Arial"/>
          <w:spacing w:val="21"/>
          <w:w w:val="101"/>
          <w:sz w:val="19"/>
          <w:szCs w:val="19"/>
        </w:rPr>
        <w:t xml:space="preserve"> </w:t>
      </w:r>
      <w:r>
        <w:rPr>
          <w:rFonts w:ascii="Arial" w:hAnsi="Arial" w:eastAsia="Arial" w:cs="Arial"/>
          <w:spacing w:val="-7"/>
          <w:sz w:val="19"/>
          <w:szCs w:val="19"/>
        </w:rPr>
        <w:t>professional</w:t>
      </w:r>
      <w:r>
        <w:rPr>
          <w:rFonts w:ascii="Arial" w:hAnsi="Arial" w:eastAsia="Arial" w:cs="Arial"/>
          <w:spacing w:val="16"/>
          <w:w w:val="101"/>
          <w:sz w:val="19"/>
          <w:szCs w:val="19"/>
        </w:rPr>
        <w:t xml:space="preserve"> </w:t>
      </w:r>
      <w:r>
        <w:rPr>
          <w:rFonts w:ascii="Arial" w:hAnsi="Arial" w:eastAsia="Arial" w:cs="Arial"/>
          <w:spacing w:val="-7"/>
          <w:sz w:val="19"/>
          <w:szCs w:val="19"/>
        </w:rPr>
        <w:t>exchange</w:t>
      </w:r>
      <w:r>
        <w:rPr>
          <w:rFonts w:ascii="Arial" w:hAnsi="Arial" w:eastAsia="Arial" w:cs="Arial"/>
          <w:spacing w:val="20"/>
          <w:sz w:val="19"/>
          <w:szCs w:val="19"/>
        </w:rPr>
        <w:t xml:space="preserve"> </w:t>
      </w:r>
      <w:r>
        <w:rPr>
          <w:rFonts w:ascii="Arial" w:hAnsi="Arial" w:eastAsia="Arial" w:cs="Arial"/>
          <w:spacing w:val="-7"/>
          <w:sz w:val="19"/>
          <w:szCs w:val="19"/>
        </w:rPr>
        <w:t>(β = .083).</w:t>
      </w:r>
      <w:r>
        <w:rPr>
          <w:rFonts w:ascii="Arial" w:hAnsi="Arial" w:eastAsia="Arial" w:cs="Arial"/>
          <w:spacing w:val="16"/>
          <w:sz w:val="19"/>
          <w:szCs w:val="19"/>
        </w:rPr>
        <w:t xml:space="preserve"> </w:t>
      </w:r>
      <w:r>
        <w:rPr>
          <w:rFonts w:ascii="Arial" w:hAnsi="Arial" w:eastAsia="Arial" w:cs="Arial"/>
          <w:spacing w:val="-7"/>
          <w:sz w:val="19"/>
          <w:szCs w:val="19"/>
        </w:rPr>
        <w:t>On</w:t>
      </w:r>
      <w:r>
        <w:rPr>
          <w:rFonts w:ascii="Arial" w:hAnsi="Arial" w:eastAsia="Arial" w:cs="Arial"/>
          <w:spacing w:val="12"/>
          <w:sz w:val="19"/>
          <w:szCs w:val="19"/>
        </w:rPr>
        <w:t xml:space="preserve"> </w:t>
      </w:r>
      <w:r>
        <w:rPr>
          <w:rFonts w:ascii="Arial" w:hAnsi="Arial" w:eastAsia="Arial" w:cs="Arial"/>
          <w:spacing w:val="-7"/>
          <w:sz w:val="19"/>
          <w:szCs w:val="19"/>
        </w:rPr>
        <w:t>the</w:t>
      </w:r>
      <w:r>
        <w:rPr>
          <w:rFonts w:ascii="Arial" w:hAnsi="Arial" w:eastAsia="Arial" w:cs="Arial"/>
          <w:spacing w:val="21"/>
          <w:w w:val="101"/>
          <w:sz w:val="19"/>
          <w:szCs w:val="19"/>
        </w:rPr>
        <w:t xml:space="preserve"> </w:t>
      </w:r>
      <w:r>
        <w:rPr>
          <w:rFonts w:ascii="Arial" w:hAnsi="Arial" w:eastAsia="Arial" w:cs="Arial"/>
          <w:spacing w:val="-7"/>
          <w:sz w:val="19"/>
          <w:szCs w:val="19"/>
        </w:rPr>
        <w:t>individual</w:t>
      </w:r>
      <w:r>
        <w:rPr>
          <w:rFonts w:ascii="Arial" w:hAnsi="Arial" w:eastAsia="Arial" w:cs="Arial"/>
          <w:spacing w:val="24"/>
          <w:sz w:val="19"/>
          <w:szCs w:val="19"/>
        </w:rPr>
        <w:t xml:space="preserve"> </w:t>
      </w:r>
      <w:r>
        <w:rPr>
          <w:rFonts w:ascii="Arial" w:hAnsi="Arial" w:eastAsia="Arial" w:cs="Arial"/>
          <w:spacing w:val="-7"/>
          <w:sz w:val="19"/>
          <w:szCs w:val="19"/>
        </w:rPr>
        <w:t>level</w:t>
      </w:r>
      <w:r>
        <w:rPr>
          <w:rFonts w:ascii="Arial" w:hAnsi="Arial" w:eastAsia="Arial" w:cs="Arial"/>
          <w:spacing w:val="16"/>
          <w:sz w:val="19"/>
          <w:szCs w:val="19"/>
        </w:rPr>
        <w:t xml:space="preserve"> </w:t>
      </w:r>
      <w:r>
        <w:rPr>
          <w:rFonts w:ascii="Arial" w:hAnsi="Arial" w:eastAsia="Arial" w:cs="Arial"/>
          <w:spacing w:val="-7"/>
          <w:sz w:val="19"/>
          <w:szCs w:val="19"/>
        </w:rPr>
        <w:t>engagement</w:t>
      </w:r>
      <w:r>
        <w:rPr>
          <w:rFonts w:ascii="Arial" w:hAnsi="Arial" w:eastAsia="Arial" w:cs="Arial"/>
          <w:spacing w:val="15"/>
          <w:w w:val="101"/>
          <w:sz w:val="19"/>
          <w:szCs w:val="19"/>
        </w:rPr>
        <w:t xml:space="preserve"> </w:t>
      </w:r>
      <w:r>
        <w:rPr>
          <w:rFonts w:ascii="Arial" w:hAnsi="Arial" w:eastAsia="Arial" w:cs="Arial"/>
          <w:spacing w:val="-7"/>
          <w:sz w:val="19"/>
          <w:szCs w:val="19"/>
        </w:rPr>
        <w:t>showed</w:t>
      </w:r>
      <w:r>
        <w:rPr>
          <w:rFonts w:ascii="Arial" w:hAnsi="Arial" w:eastAsia="Arial" w:cs="Arial"/>
          <w:spacing w:val="21"/>
          <w:w w:val="101"/>
          <w:sz w:val="19"/>
          <w:szCs w:val="19"/>
        </w:rPr>
        <w:t xml:space="preserve"> </w:t>
      </w:r>
      <w:r>
        <w:rPr>
          <w:rFonts w:ascii="Arial" w:hAnsi="Arial" w:eastAsia="Arial" w:cs="Arial"/>
          <w:spacing w:val="-7"/>
          <w:sz w:val="19"/>
          <w:szCs w:val="19"/>
        </w:rPr>
        <w:t>positive</w:t>
      </w:r>
      <w:r>
        <w:rPr>
          <w:rFonts w:ascii="Arial" w:hAnsi="Arial" w:eastAsia="Arial" w:cs="Arial"/>
          <w:sz w:val="19"/>
          <w:szCs w:val="19"/>
        </w:rPr>
        <w:t xml:space="preserve"> </w:t>
      </w:r>
      <w:r>
        <w:rPr>
          <w:rFonts w:ascii="Arial" w:hAnsi="Arial" w:eastAsia="Arial" w:cs="Arial"/>
          <w:spacing w:val="-6"/>
          <w:sz w:val="19"/>
          <w:szCs w:val="19"/>
        </w:rPr>
        <w:t>relations with HEI commitment (β = .120) and</w:t>
      </w:r>
      <w:r>
        <w:rPr>
          <w:rFonts w:ascii="Arial" w:hAnsi="Arial" w:eastAsia="Arial" w:cs="Arial"/>
          <w:spacing w:val="-20"/>
          <w:sz w:val="19"/>
          <w:szCs w:val="19"/>
        </w:rPr>
        <w:t xml:space="preserve"> </w:t>
      </w:r>
      <w:r>
        <w:rPr>
          <w:rFonts w:ascii="Arial" w:hAnsi="Arial" w:eastAsia="Arial" w:cs="Arial"/>
          <w:spacing w:val="-6"/>
          <w:sz w:val="19"/>
          <w:szCs w:val="19"/>
        </w:rPr>
        <w:t>job satisfaction (β = .120). The same ho</w:t>
      </w:r>
      <w:r>
        <w:rPr>
          <w:rFonts w:ascii="Arial" w:hAnsi="Arial" w:eastAsia="Arial" w:cs="Arial"/>
          <w:spacing w:val="-7"/>
          <w:sz w:val="19"/>
          <w:szCs w:val="19"/>
        </w:rPr>
        <w:t>lds true for com-</w:t>
      </w:r>
      <w:r>
        <w:rPr>
          <w:rFonts w:ascii="Arial" w:hAnsi="Arial" w:eastAsia="Arial" w:cs="Arial"/>
          <w:sz w:val="19"/>
          <w:szCs w:val="19"/>
        </w:rPr>
        <w:t xml:space="preserve"> </w:t>
      </w:r>
      <w:r>
        <w:rPr>
          <w:rFonts w:ascii="Arial" w:hAnsi="Arial" w:eastAsia="Arial" w:cs="Arial"/>
          <w:spacing w:val="-6"/>
          <w:sz w:val="19"/>
          <w:szCs w:val="19"/>
        </w:rPr>
        <w:t>mi</w:t>
      </w:r>
      <w:r>
        <w:rPr>
          <w:rFonts w:ascii="Arial" w:hAnsi="Arial" w:eastAsia="Arial" w:cs="Arial"/>
          <w:spacing w:val="-5"/>
          <w:sz w:val="19"/>
          <w:szCs w:val="19"/>
        </w:rPr>
        <w:t>tment,</w:t>
      </w:r>
      <w:r>
        <w:rPr>
          <w:rFonts w:ascii="Arial" w:hAnsi="Arial" w:eastAsia="Arial" w:cs="Arial"/>
          <w:spacing w:val="34"/>
          <w:sz w:val="19"/>
          <w:szCs w:val="19"/>
        </w:rPr>
        <w:t xml:space="preserve"> </w:t>
      </w:r>
      <w:r>
        <w:rPr>
          <w:rFonts w:ascii="Arial" w:hAnsi="Arial" w:eastAsia="Arial" w:cs="Arial"/>
          <w:spacing w:val="-5"/>
          <w:sz w:val="19"/>
          <w:szCs w:val="19"/>
        </w:rPr>
        <w:t>which</w:t>
      </w:r>
      <w:r>
        <w:rPr>
          <w:rFonts w:ascii="Arial" w:hAnsi="Arial" w:eastAsia="Arial" w:cs="Arial"/>
          <w:spacing w:val="34"/>
          <w:sz w:val="19"/>
          <w:szCs w:val="19"/>
        </w:rPr>
        <w:t xml:space="preserve"> </w:t>
      </w:r>
      <w:r>
        <w:rPr>
          <w:rFonts w:ascii="Arial" w:hAnsi="Arial" w:eastAsia="Arial" w:cs="Arial"/>
          <w:spacing w:val="-5"/>
          <w:sz w:val="19"/>
          <w:szCs w:val="19"/>
        </w:rPr>
        <w:t>was</w:t>
      </w:r>
      <w:r>
        <w:rPr>
          <w:rFonts w:ascii="Arial" w:hAnsi="Arial" w:eastAsia="Arial" w:cs="Arial"/>
          <w:spacing w:val="37"/>
          <w:sz w:val="19"/>
          <w:szCs w:val="19"/>
        </w:rPr>
        <w:t xml:space="preserve"> </w:t>
      </w:r>
      <w:r>
        <w:rPr>
          <w:rFonts w:ascii="Arial" w:hAnsi="Arial" w:eastAsia="Arial" w:cs="Arial"/>
          <w:spacing w:val="-5"/>
          <w:sz w:val="19"/>
          <w:szCs w:val="19"/>
        </w:rPr>
        <w:t>additionally</w:t>
      </w:r>
      <w:r>
        <w:rPr>
          <w:rFonts w:ascii="Arial" w:hAnsi="Arial" w:eastAsia="Arial" w:cs="Arial"/>
          <w:spacing w:val="38"/>
          <w:sz w:val="19"/>
          <w:szCs w:val="19"/>
        </w:rPr>
        <w:t xml:space="preserve"> </w:t>
      </w:r>
      <w:r>
        <w:rPr>
          <w:rFonts w:ascii="Arial" w:hAnsi="Arial" w:eastAsia="Arial" w:cs="Arial"/>
          <w:spacing w:val="-5"/>
          <w:sz w:val="19"/>
          <w:szCs w:val="19"/>
        </w:rPr>
        <w:t>associated</w:t>
      </w:r>
      <w:r>
        <w:rPr>
          <w:rFonts w:ascii="Arial" w:hAnsi="Arial" w:eastAsia="Arial" w:cs="Arial"/>
          <w:spacing w:val="35"/>
          <w:sz w:val="19"/>
          <w:szCs w:val="19"/>
        </w:rPr>
        <w:t xml:space="preserve"> </w:t>
      </w:r>
      <w:r>
        <w:rPr>
          <w:rFonts w:ascii="Arial" w:hAnsi="Arial" w:eastAsia="Arial" w:cs="Arial"/>
          <w:spacing w:val="-5"/>
          <w:sz w:val="19"/>
          <w:szCs w:val="19"/>
        </w:rPr>
        <w:t>with</w:t>
      </w:r>
      <w:r>
        <w:rPr>
          <w:rFonts w:ascii="Arial" w:hAnsi="Arial" w:eastAsia="Arial" w:cs="Arial"/>
          <w:spacing w:val="36"/>
          <w:w w:val="101"/>
          <w:sz w:val="19"/>
          <w:szCs w:val="19"/>
        </w:rPr>
        <w:t xml:space="preserve"> </w:t>
      </w:r>
      <w:r>
        <w:rPr>
          <w:rFonts w:ascii="Arial" w:hAnsi="Arial" w:eastAsia="Arial" w:cs="Arial"/>
          <w:spacing w:val="-5"/>
          <w:sz w:val="19"/>
          <w:szCs w:val="19"/>
        </w:rPr>
        <w:t>a</w:t>
      </w:r>
      <w:r>
        <w:rPr>
          <w:rFonts w:ascii="Arial" w:hAnsi="Arial" w:eastAsia="Arial" w:cs="Arial"/>
          <w:spacing w:val="43"/>
          <w:sz w:val="19"/>
          <w:szCs w:val="19"/>
        </w:rPr>
        <w:t xml:space="preserve"> </w:t>
      </w:r>
      <w:r>
        <w:rPr>
          <w:rFonts w:ascii="Arial" w:hAnsi="Arial" w:eastAsia="Arial" w:cs="Arial"/>
          <w:spacing w:val="-5"/>
          <w:sz w:val="19"/>
          <w:szCs w:val="19"/>
        </w:rPr>
        <w:t>more</w:t>
      </w:r>
      <w:r>
        <w:rPr>
          <w:rFonts w:ascii="Arial" w:hAnsi="Arial" w:eastAsia="Arial" w:cs="Arial"/>
          <w:spacing w:val="32"/>
          <w:w w:val="101"/>
          <w:sz w:val="19"/>
          <w:szCs w:val="19"/>
        </w:rPr>
        <w:t xml:space="preserve"> </w:t>
      </w:r>
      <w:r>
        <w:rPr>
          <w:rFonts w:ascii="Arial" w:hAnsi="Arial" w:eastAsia="Arial" w:cs="Arial"/>
          <w:spacing w:val="-5"/>
          <w:sz w:val="19"/>
          <w:szCs w:val="19"/>
        </w:rPr>
        <w:t>favorable</w:t>
      </w:r>
      <w:r>
        <w:rPr>
          <w:rFonts w:ascii="Arial" w:hAnsi="Arial" w:eastAsia="Arial" w:cs="Arial"/>
          <w:spacing w:val="36"/>
          <w:sz w:val="19"/>
          <w:szCs w:val="19"/>
        </w:rPr>
        <w:t xml:space="preserve"> </w:t>
      </w:r>
      <w:r>
        <w:rPr>
          <w:rFonts w:ascii="Arial" w:hAnsi="Arial" w:eastAsia="Arial" w:cs="Arial"/>
          <w:spacing w:val="-5"/>
          <w:sz w:val="19"/>
          <w:szCs w:val="19"/>
        </w:rPr>
        <w:t>assess</w:t>
      </w:r>
      <w:r>
        <w:rPr>
          <w:rFonts w:ascii="Arial" w:hAnsi="Arial" w:eastAsia="Arial" w:cs="Arial"/>
          <w:spacing w:val="-6"/>
          <w:sz w:val="19"/>
          <w:szCs w:val="19"/>
        </w:rPr>
        <w:t>ment</w:t>
      </w:r>
      <w:r>
        <w:rPr>
          <w:rFonts w:ascii="Arial" w:hAnsi="Arial" w:eastAsia="Arial" w:cs="Arial"/>
          <w:spacing w:val="39"/>
          <w:sz w:val="19"/>
          <w:szCs w:val="19"/>
        </w:rPr>
        <w:t xml:space="preserve"> </w:t>
      </w:r>
      <w:r>
        <w:rPr>
          <w:rFonts w:ascii="Arial" w:hAnsi="Arial" w:eastAsia="Arial" w:cs="Arial"/>
          <w:spacing w:val="-6"/>
          <w:sz w:val="19"/>
          <w:szCs w:val="19"/>
        </w:rPr>
        <w:t>of</w:t>
      </w:r>
      <w:r>
        <w:rPr>
          <w:rFonts w:ascii="Arial" w:hAnsi="Arial" w:eastAsia="Arial" w:cs="Arial"/>
          <w:spacing w:val="29"/>
          <w:sz w:val="19"/>
          <w:szCs w:val="19"/>
        </w:rPr>
        <w:t xml:space="preserve"> </w:t>
      </w:r>
      <w:r>
        <w:rPr>
          <w:rFonts w:ascii="Arial" w:hAnsi="Arial" w:eastAsia="Arial" w:cs="Arial"/>
          <w:spacing w:val="-6"/>
          <w:sz w:val="19"/>
          <w:szCs w:val="19"/>
        </w:rPr>
        <w:t>global</w:t>
      </w:r>
      <w:r>
        <w:rPr>
          <w:rFonts w:ascii="Arial" w:hAnsi="Arial" w:eastAsia="Arial" w:cs="Arial"/>
          <w:spacing w:val="38"/>
          <w:sz w:val="19"/>
          <w:szCs w:val="19"/>
        </w:rPr>
        <w:t xml:space="preserve"> </w:t>
      </w:r>
      <w:r>
        <w:rPr>
          <w:rFonts w:ascii="Arial" w:hAnsi="Arial" w:eastAsia="Arial" w:cs="Arial"/>
          <w:spacing w:val="-6"/>
          <w:sz w:val="19"/>
          <w:szCs w:val="19"/>
        </w:rPr>
        <w:t>qualit</w:t>
      </w:r>
      <w:r>
        <w:rPr>
          <w:rFonts w:ascii="Arial" w:hAnsi="Arial" w:eastAsia="Arial" w:cs="Arial"/>
          <w:spacing w:val="-4"/>
          <w:sz w:val="19"/>
          <w:szCs w:val="19"/>
        </w:rPr>
        <w:t>y</w:t>
      </w:r>
      <w:r>
        <w:rPr>
          <w:rFonts w:ascii="Arial" w:hAnsi="Arial" w:eastAsia="Arial" w:cs="Arial"/>
          <w:sz w:val="19"/>
          <w:szCs w:val="19"/>
        </w:rPr>
        <w:t xml:space="preserve"> </w:t>
      </w:r>
      <w:r>
        <w:rPr>
          <w:rFonts w:ascii="Arial" w:hAnsi="Arial" w:eastAsia="Arial" w:cs="Arial"/>
          <w:spacing w:val="-7"/>
          <w:sz w:val="19"/>
          <w:szCs w:val="19"/>
        </w:rPr>
        <w:t>cult</w:t>
      </w:r>
      <w:r>
        <w:rPr>
          <w:rFonts w:ascii="Arial" w:hAnsi="Arial" w:eastAsia="Arial" w:cs="Arial"/>
          <w:spacing w:val="-6"/>
          <w:sz w:val="19"/>
          <w:szCs w:val="19"/>
        </w:rPr>
        <w:t>ure (β = .196).</w:t>
      </w:r>
      <w:r>
        <w:rPr>
          <w:rFonts w:ascii="Arial" w:hAnsi="Arial" w:eastAsia="Arial" w:cs="Arial"/>
          <w:spacing w:val="9"/>
          <w:sz w:val="19"/>
          <w:szCs w:val="19"/>
        </w:rPr>
        <w:t xml:space="preserve"> </w:t>
      </w:r>
      <w:r>
        <w:rPr>
          <w:rFonts w:ascii="Arial" w:hAnsi="Arial" w:eastAsia="Arial" w:cs="Arial"/>
          <w:spacing w:val="-6"/>
          <w:sz w:val="19"/>
          <w:szCs w:val="19"/>
        </w:rPr>
        <w:t>Finally,</w:t>
      </w:r>
      <w:r>
        <w:rPr>
          <w:rFonts w:ascii="Arial" w:hAnsi="Arial" w:eastAsia="Arial" w:cs="Arial"/>
          <w:spacing w:val="9"/>
          <w:sz w:val="19"/>
          <w:szCs w:val="19"/>
        </w:rPr>
        <w:t xml:space="preserve"> </w:t>
      </w:r>
      <w:r>
        <w:rPr>
          <w:rFonts w:ascii="Arial" w:hAnsi="Arial" w:eastAsia="Arial" w:cs="Arial"/>
          <w:spacing w:val="-6"/>
          <w:sz w:val="19"/>
          <w:szCs w:val="19"/>
        </w:rPr>
        <w:t>participation was</w:t>
      </w:r>
      <w:r>
        <w:rPr>
          <w:rFonts w:ascii="Arial" w:hAnsi="Arial" w:eastAsia="Arial" w:cs="Arial"/>
          <w:spacing w:val="9"/>
          <w:sz w:val="19"/>
          <w:szCs w:val="19"/>
        </w:rPr>
        <w:t xml:space="preserve"> </w:t>
      </w:r>
      <w:r>
        <w:rPr>
          <w:rFonts w:ascii="Arial" w:hAnsi="Arial" w:eastAsia="Arial" w:cs="Arial"/>
          <w:spacing w:val="-6"/>
          <w:sz w:val="19"/>
          <w:szCs w:val="19"/>
        </w:rPr>
        <w:t>linked to</w:t>
      </w:r>
      <w:r>
        <w:rPr>
          <w:rFonts w:ascii="Arial" w:hAnsi="Arial" w:eastAsia="Arial" w:cs="Arial"/>
          <w:spacing w:val="10"/>
          <w:sz w:val="19"/>
          <w:szCs w:val="19"/>
        </w:rPr>
        <w:t xml:space="preserve"> </w:t>
      </w:r>
      <w:r>
        <w:rPr>
          <w:rFonts w:ascii="Arial" w:hAnsi="Arial" w:eastAsia="Arial" w:cs="Arial"/>
          <w:spacing w:val="-6"/>
          <w:sz w:val="19"/>
          <w:szCs w:val="19"/>
        </w:rPr>
        <w:t>HEI commitment (β = .105), career deve</w:t>
      </w:r>
      <w:r>
        <w:rPr>
          <w:rFonts w:ascii="Arial" w:hAnsi="Arial" w:eastAsia="Arial" w:cs="Arial"/>
          <w:spacing w:val="-7"/>
          <w:sz w:val="19"/>
          <w:szCs w:val="19"/>
        </w:rPr>
        <w:t>lopmen</w:t>
      </w:r>
      <w:r>
        <w:rPr>
          <w:rFonts w:ascii="Arial" w:hAnsi="Arial" w:eastAsia="Arial" w:cs="Arial"/>
          <w:spacing w:val="-3"/>
          <w:sz w:val="19"/>
          <w:szCs w:val="19"/>
        </w:rPr>
        <w:t>t</w:t>
      </w:r>
      <w:r>
        <w:rPr>
          <w:rFonts w:ascii="Arial" w:hAnsi="Arial" w:eastAsia="Arial" w:cs="Arial"/>
          <w:sz w:val="19"/>
          <w:szCs w:val="19"/>
        </w:rPr>
        <w:t xml:space="preserve"> </w:t>
      </w:r>
      <w:r>
        <w:rPr>
          <w:rFonts w:ascii="Arial" w:hAnsi="Arial" w:eastAsia="Arial" w:cs="Arial"/>
          <w:spacing w:val="-6"/>
          <w:sz w:val="19"/>
          <w:szCs w:val="19"/>
        </w:rPr>
        <w:t>(β = .122) and</w:t>
      </w:r>
      <w:r>
        <w:rPr>
          <w:rFonts w:ascii="Arial" w:hAnsi="Arial" w:eastAsia="Arial" w:cs="Arial"/>
          <w:spacing w:val="9"/>
          <w:sz w:val="19"/>
          <w:szCs w:val="19"/>
        </w:rPr>
        <w:t xml:space="preserve"> </w:t>
      </w:r>
      <w:r>
        <w:rPr>
          <w:rFonts w:ascii="Arial" w:hAnsi="Arial" w:eastAsia="Arial" w:cs="Arial"/>
          <w:spacing w:val="-6"/>
          <w:sz w:val="19"/>
          <w:szCs w:val="19"/>
        </w:rPr>
        <w:t>professional exchange (β = .161) while all other</w:t>
      </w:r>
      <w:r>
        <w:rPr>
          <w:rFonts w:ascii="Arial" w:hAnsi="Arial" w:eastAsia="Arial" w:cs="Arial"/>
          <w:spacing w:val="10"/>
          <w:sz w:val="19"/>
          <w:szCs w:val="19"/>
        </w:rPr>
        <w:t xml:space="preserve"> </w:t>
      </w:r>
      <w:r>
        <w:rPr>
          <w:rFonts w:ascii="Arial" w:hAnsi="Arial" w:eastAsia="Arial" w:cs="Arial"/>
          <w:spacing w:val="-6"/>
          <w:sz w:val="19"/>
          <w:szCs w:val="19"/>
        </w:rPr>
        <w:t>proposed</w:t>
      </w:r>
      <w:r>
        <w:rPr>
          <w:rFonts w:ascii="Arial" w:hAnsi="Arial" w:eastAsia="Arial" w:cs="Arial"/>
          <w:spacing w:val="9"/>
          <w:sz w:val="19"/>
          <w:szCs w:val="19"/>
        </w:rPr>
        <w:t xml:space="preserve"> </w:t>
      </w:r>
      <w:r>
        <w:rPr>
          <w:rFonts w:ascii="Arial" w:hAnsi="Arial" w:eastAsia="Arial" w:cs="Arial"/>
          <w:spacing w:val="-6"/>
          <w:sz w:val="19"/>
          <w:szCs w:val="19"/>
        </w:rPr>
        <w:t>relationshi</w:t>
      </w:r>
      <w:r>
        <w:rPr>
          <w:rFonts w:ascii="Arial" w:hAnsi="Arial" w:eastAsia="Arial" w:cs="Arial"/>
          <w:spacing w:val="-7"/>
          <w:sz w:val="19"/>
          <w:szCs w:val="19"/>
        </w:rPr>
        <w:t>ps</w:t>
      </w:r>
      <w:r>
        <w:rPr>
          <w:rFonts w:ascii="Arial" w:hAnsi="Arial" w:eastAsia="Arial" w:cs="Arial"/>
          <w:spacing w:val="9"/>
          <w:sz w:val="19"/>
          <w:szCs w:val="19"/>
        </w:rPr>
        <w:t xml:space="preserve"> </w:t>
      </w:r>
      <w:r>
        <w:rPr>
          <w:rFonts w:ascii="Arial" w:hAnsi="Arial" w:eastAsia="Arial" w:cs="Arial"/>
          <w:spacing w:val="-7"/>
          <w:sz w:val="19"/>
          <w:szCs w:val="19"/>
        </w:rPr>
        <w:t>remained</w:t>
      </w:r>
      <w:r>
        <w:rPr>
          <w:rFonts w:ascii="Arial" w:hAnsi="Arial" w:eastAsia="Arial" w:cs="Arial"/>
          <w:spacing w:val="9"/>
          <w:sz w:val="19"/>
          <w:szCs w:val="19"/>
        </w:rPr>
        <w:t xml:space="preserve"> </w:t>
      </w:r>
      <w:r>
        <w:rPr>
          <w:rFonts w:ascii="Arial" w:hAnsi="Arial" w:eastAsia="Arial" w:cs="Arial"/>
          <w:spacing w:val="-7"/>
          <w:sz w:val="19"/>
          <w:szCs w:val="19"/>
        </w:rPr>
        <w:t>non-</w:t>
      </w:r>
      <w:r>
        <w:rPr>
          <w:rFonts w:ascii="Arial" w:hAnsi="Arial" w:eastAsia="Arial" w:cs="Arial"/>
          <w:sz w:val="19"/>
          <w:szCs w:val="19"/>
        </w:rPr>
        <w:t xml:space="preserve"> </w:t>
      </w:r>
      <w:r>
        <w:rPr>
          <w:rFonts w:ascii="Arial" w:hAnsi="Arial" w:eastAsia="Arial" w:cs="Arial"/>
          <w:spacing w:val="-6"/>
          <w:sz w:val="19"/>
          <w:szCs w:val="19"/>
        </w:rPr>
        <w:t>signiicant.</w:t>
      </w:r>
      <w:r>
        <w:rPr>
          <w:rFonts w:ascii="Arial" w:hAnsi="Arial" w:eastAsia="Arial" w:cs="Arial"/>
          <w:spacing w:val="17"/>
          <w:w w:val="101"/>
          <w:sz w:val="19"/>
          <w:szCs w:val="19"/>
        </w:rPr>
        <w:t xml:space="preserve"> </w:t>
      </w:r>
      <w:r>
        <w:rPr>
          <w:rFonts w:ascii="Arial" w:hAnsi="Arial" w:eastAsia="Arial" w:cs="Arial"/>
          <w:spacing w:val="-6"/>
          <w:sz w:val="19"/>
          <w:szCs w:val="19"/>
        </w:rPr>
        <w:t>Construc</w:t>
      </w:r>
      <w:r>
        <w:rPr>
          <w:rFonts w:ascii="Arial" w:hAnsi="Arial" w:eastAsia="Arial" w:cs="Arial"/>
          <w:spacing w:val="-7"/>
          <w:sz w:val="19"/>
          <w:szCs w:val="19"/>
        </w:rPr>
        <w:t>t</w:t>
      </w:r>
      <w:r>
        <w:rPr>
          <w:rFonts w:ascii="Arial" w:hAnsi="Arial" w:eastAsia="Arial" w:cs="Arial"/>
          <w:spacing w:val="13"/>
          <w:w w:val="101"/>
          <w:sz w:val="19"/>
          <w:szCs w:val="19"/>
        </w:rPr>
        <w:t xml:space="preserve"> </w:t>
      </w:r>
      <w:r>
        <w:rPr>
          <w:rFonts w:ascii="Arial" w:hAnsi="Arial" w:eastAsia="Arial" w:cs="Arial"/>
          <w:spacing w:val="-7"/>
          <w:sz w:val="19"/>
          <w:szCs w:val="19"/>
        </w:rPr>
        <w:t>variance</w:t>
      </w:r>
      <w:r>
        <w:rPr>
          <w:rFonts w:ascii="Arial" w:hAnsi="Arial" w:eastAsia="Arial" w:cs="Arial"/>
          <w:spacing w:val="16"/>
          <w:sz w:val="19"/>
          <w:szCs w:val="19"/>
        </w:rPr>
        <w:t xml:space="preserve"> </w:t>
      </w:r>
      <w:r>
        <w:rPr>
          <w:rFonts w:ascii="Arial" w:hAnsi="Arial" w:eastAsia="Arial" w:cs="Arial"/>
          <w:spacing w:val="-7"/>
          <w:sz w:val="19"/>
          <w:szCs w:val="19"/>
        </w:rPr>
        <w:t>explained</w:t>
      </w:r>
      <w:r>
        <w:rPr>
          <w:rFonts w:ascii="Arial" w:hAnsi="Arial" w:eastAsia="Arial" w:cs="Arial"/>
          <w:spacing w:val="22"/>
          <w:sz w:val="19"/>
          <w:szCs w:val="19"/>
        </w:rPr>
        <w:t xml:space="preserve"> </w:t>
      </w:r>
      <w:r>
        <w:rPr>
          <w:rFonts w:ascii="Arial" w:hAnsi="Arial" w:eastAsia="Arial" w:cs="Arial"/>
          <w:spacing w:val="-7"/>
          <w:sz w:val="19"/>
          <w:szCs w:val="19"/>
        </w:rPr>
        <w:t>ranged</w:t>
      </w:r>
      <w:r>
        <w:rPr>
          <w:rFonts w:ascii="Arial" w:hAnsi="Arial" w:eastAsia="Arial" w:cs="Arial"/>
          <w:spacing w:val="22"/>
          <w:sz w:val="19"/>
          <w:szCs w:val="19"/>
        </w:rPr>
        <w:t xml:space="preserve"> </w:t>
      </w:r>
      <w:r>
        <w:rPr>
          <w:rFonts w:ascii="Arial" w:hAnsi="Arial" w:eastAsia="Arial" w:cs="Arial"/>
          <w:spacing w:val="-7"/>
          <w:sz w:val="19"/>
          <w:szCs w:val="19"/>
        </w:rPr>
        <w:t>between</w:t>
      </w:r>
      <w:r>
        <w:rPr>
          <w:rFonts w:ascii="Arial" w:hAnsi="Arial" w:eastAsia="Arial" w:cs="Arial"/>
          <w:spacing w:val="15"/>
          <w:sz w:val="19"/>
          <w:szCs w:val="19"/>
        </w:rPr>
        <w:t xml:space="preserve"> </w:t>
      </w:r>
      <w:r>
        <w:rPr>
          <w:rFonts w:ascii="Arial" w:hAnsi="Arial" w:eastAsia="Arial" w:cs="Arial"/>
          <w:spacing w:val="-7"/>
          <w:sz w:val="19"/>
          <w:szCs w:val="19"/>
        </w:rPr>
        <w:t>R² = .232</w:t>
      </w:r>
      <w:r>
        <w:rPr>
          <w:rFonts w:ascii="Arial" w:hAnsi="Arial" w:eastAsia="Arial" w:cs="Arial"/>
          <w:spacing w:val="22"/>
          <w:w w:val="101"/>
          <w:sz w:val="19"/>
          <w:szCs w:val="19"/>
        </w:rPr>
        <w:t xml:space="preserve"> </w:t>
      </w:r>
      <w:r>
        <w:rPr>
          <w:rFonts w:ascii="Arial" w:hAnsi="Arial" w:eastAsia="Arial" w:cs="Arial"/>
          <w:spacing w:val="-7"/>
          <w:sz w:val="19"/>
          <w:szCs w:val="19"/>
        </w:rPr>
        <w:t>(professional</w:t>
      </w:r>
      <w:r>
        <w:rPr>
          <w:rFonts w:ascii="Arial" w:hAnsi="Arial" w:eastAsia="Arial" w:cs="Arial"/>
          <w:spacing w:val="17"/>
          <w:sz w:val="19"/>
          <w:szCs w:val="19"/>
        </w:rPr>
        <w:t xml:space="preserve"> </w:t>
      </w:r>
      <w:r>
        <w:rPr>
          <w:rFonts w:ascii="Arial" w:hAnsi="Arial" w:eastAsia="Arial" w:cs="Arial"/>
          <w:spacing w:val="-7"/>
          <w:sz w:val="19"/>
          <w:szCs w:val="19"/>
        </w:rPr>
        <w:t>exchange)</w:t>
      </w:r>
      <w:r>
        <w:rPr>
          <w:rFonts w:ascii="Arial" w:hAnsi="Arial" w:eastAsia="Arial" w:cs="Arial"/>
          <w:spacing w:val="17"/>
          <w:w w:val="101"/>
          <w:sz w:val="19"/>
          <w:szCs w:val="19"/>
        </w:rPr>
        <w:t xml:space="preserve"> </w:t>
      </w:r>
      <w:r>
        <w:rPr>
          <w:rFonts w:ascii="Arial" w:hAnsi="Arial" w:eastAsia="Arial" w:cs="Arial"/>
          <w:spacing w:val="-7"/>
          <w:sz w:val="19"/>
          <w:szCs w:val="19"/>
        </w:rPr>
        <w:t>and</w:t>
      </w:r>
      <w:r>
        <w:rPr>
          <w:rFonts w:ascii="Arial" w:hAnsi="Arial" w:eastAsia="Arial" w:cs="Arial"/>
          <w:spacing w:val="15"/>
          <w:w w:val="101"/>
          <w:sz w:val="19"/>
          <w:szCs w:val="19"/>
        </w:rPr>
        <w:t xml:space="preserve"> </w:t>
      </w:r>
      <w:r>
        <w:rPr>
          <w:rFonts w:ascii="Arial" w:hAnsi="Arial" w:eastAsia="Arial" w:cs="Arial"/>
          <w:spacing w:val="-7"/>
          <w:sz w:val="19"/>
          <w:szCs w:val="19"/>
        </w:rPr>
        <w:t>R²</w:t>
      </w:r>
      <w:r>
        <w:rPr>
          <w:rFonts w:ascii="Arial" w:hAnsi="Arial" w:eastAsia="Arial" w:cs="Arial"/>
          <w:sz w:val="19"/>
          <w:szCs w:val="19"/>
        </w:rPr>
        <w:t xml:space="preserve">  </w:t>
      </w:r>
      <w:r>
        <w:rPr>
          <w:rFonts w:ascii="Arial" w:hAnsi="Arial" w:eastAsia="Arial" w:cs="Arial"/>
          <w:spacing w:val="-6"/>
          <w:sz w:val="19"/>
          <w:szCs w:val="19"/>
        </w:rPr>
        <w:t>= .365</w:t>
      </w:r>
      <w:r>
        <w:rPr>
          <w:rFonts w:ascii="Arial" w:hAnsi="Arial" w:eastAsia="Arial" w:cs="Arial"/>
          <w:spacing w:val="16"/>
          <w:w w:val="101"/>
          <w:sz w:val="19"/>
          <w:szCs w:val="19"/>
        </w:rPr>
        <w:t xml:space="preserve"> </w:t>
      </w:r>
      <w:r>
        <w:rPr>
          <w:rFonts w:ascii="Arial" w:hAnsi="Arial" w:eastAsia="Arial" w:cs="Arial"/>
          <w:spacing w:val="-6"/>
          <w:sz w:val="19"/>
          <w:szCs w:val="19"/>
        </w:rPr>
        <w:t>(job</w:t>
      </w:r>
      <w:r>
        <w:rPr>
          <w:rFonts w:ascii="Arial" w:hAnsi="Arial" w:eastAsia="Arial" w:cs="Arial"/>
          <w:spacing w:val="12"/>
          <w:sz w:val="19"/>
          <w:szCs w:val="19"/>
        </w:rPr>
        <w:t xml:space="preserve"> </w:t>
      </w:r>
      <w:r>
        <w:rPr>
          <w:rFonts w:ascii="Arial" w:hAnsi="Arial" w:eastAsia="Arial" w:cs="Arial"/>
          <w:spacing w:val="-6"/>
          <w:sz w:val="19"/>
          <w:szCs w:val="19"/>
        </w:rPr>
        <w:t>satisfaction).</w:t>
      </w:r>
    </w:p>
    <w:p>
      <w:pPr>
        <w:spacing w:line="308" w:lineRule="auto"/>
        <w:rPr>
          <w:rFonts w:ascii="Arial"/>
          <w:sz w:val="21"/>
        </w:rPr>
      </w:pPr>
    </w:p>
    <w:p>
      <w:pPr>
        <w:spacing w:line="309" w:lineRule="auto"/>
        <w:rPr>
          <w:rFonts w:ascii="Arial"/>
          <w:sz w:val="21"/>
        </w:rPr>
      </w:pPr>
    </w:p>
    <w:p>
      <w:pPr>
        <w:spacing w:before="61" w:line="190" w:lineRule="auto"/>
        <w:ind w:left="205"/>
        <w:outlineLvl w:val="2"/>
        <w:rPr>
          <w:rFonts w:ascii="Arial" w:hAnsi="Arial" w:eastAsia="Arial" w:cs="Arial"/>
          <w:sz w:val="21"/>
          <w:szCs w:val="21"/>
        </w:rPr>
      </w:pPr>
      <w:r>
        <w:rPr>
          <w:rFonts w:ascii="Arial" w:hAnsi="Arial" w:eastAsia="Arial" w:cs="Arial"/>
          <w:color w:val="282781"/>
          <w:spacing w:val="-5"/>
          <w:sz w:val="21"/>
          <w:szCs w:val="21"/>
        </w:rPr>
        <w:t>Discussion</w:t>
      </w:r>
    </w:p>
    <w:p>
      <w:pPr>
        <w:spacing w:before="148" w:line="259" w:lineRule="auto"/>
        <w:ind w:left="183" w:firstLine="15"/>
        <w:jc w:val="both"/>
        <w:rPr>
          <w:rFonts w:ascii="Arial" w:hAnsi="Arial" w:eastAsia="Arial" w:cs="Arial"/>
          <w:sz w:val="19"/>
          <w:szCs w:val="19"/>
        </w:rPr>
      </w:pPr>
      <w:r>
        <w:rPr>
          <w:rFonts w:ascii="Arial" w:hAnsi="Arial" w:eastAsia="Arial" w:cs="Arial"/>
          <w:spacing w:val="-6"/>
          <w:sz w:val="19"/>
          <w:szCs w:val="19"/>
        </w:rPr>
        <w:t>Our</w:t>
      </w:r>
      <w:r>
        <w:rPr>
          <w:rFonts w:ascii="Arial" w:hAnsi="Arial" w:eastAsia="Arial" w:cs="Arial"/>
          <w:spacing w:val="19"/>
          <w:w w:val="101"/>
          <w:sz w:val="19"/>
          <w:szCs w:val="19"/>
        </w:rPr>
        <w:t xml:space="preserve"> </w:t>
      </w:r>
      <w:r>
        <w:rPr>
          <w:rFonts w:ascii="Arial" w:hAnsi="Arial" w:eastAsia="Arial" w:cs="Arial"/>
          <w:spacing w:val="-6"/>
          <w:sz w:val="19"/>
          <w:szCs w:val="19"/>
        </w:rPr>
        <w:t>study</w:t>
      </w:r>
      <w:r>
        <w:rPr>
          <w:rFonts w:ascii="Arial" w:hAnsi="Arial" w:eastAsia="Arial" w:cs="Arial"/>
          <w:spacing w:val="14"/>
          <w:w w:val="101"/>
          <w:sz w:val="19"/>
          <w:szCs w:val="19"/>
        </w:rPr>
        <w:t xml:space="preserve"> </w:t>
      </w:r>
      <w:r>
        <w:rPr>
          <w:rFonts w:ascii="Arial" w:hAnsi="Arial" w:eastAsia="Arial" w:cs="Arial"/>
          <w:spacing w:val="-6"/>
          <w:sz w:val="19"/>
          <w:szCs w:val="19"/>
        </w:rPr>
        <w:t>yielded</w:t>
      </w:r>
      <w:r>
        <w:rPr>
          <w:rFonts w:ascii="Arial" w:hAnsi="Arial" w:eastAsia="Arial" w:cs="Arial"/>
          <w:spacing w:val="16"/>
          <w:sz w:val="19"/>
          <w:szCs w:val="19"/>
        </w:rPr>
        <w:t xml:space="preserve"> </w:t>
      </w:r>
      <w:r>
        <w:rPr>
          <w:rFonts w:ascii="Arial" w:hAnsi="Arial" w:eastAsia="Arial" w:cs="Arial"/>
          <w:spacing w:val="-6"/>
          <w:sz w:val="19"/>
          <w:szCs w:val="19"/>
        </w:rPr>
        <w:t>the</w:t>
      </w:r>
      <w:r>
        <w:rPr>
          <w:rFonts w:ascii="Arial" w:hAnsi="Arial" w:eastAsia="Arial" w:cs="Arial"/>
          <w:spacing w:val="15"/>
          <w:w w:val="101"/>
          <w:sz w:val="19"/>
          <w:szCs w:val="19"/>
        </w:rPr>
        <w:t xml:space="preserve"> </w:t>
      </w:r>
      <w:r>
        <w:rPr>
          <w:rFonts w:ascii="Arial" w:hAnsi="Arial" w:eastAsia="Arial" w:cs="Arial"/>
          <w:spacing w:val="-6"/>
          <w:sz w:val="19"/>
          <w:szCs w:val="19"/>
        </w:rPr>
        <w:t>following</w:t>
      </w:r>
      <w:r>
        <w:rPr>
          <w:rFonts w:ascii="Arial" w:hAnsi="Arial" w:eastAsia="Arial" w:cs="Arial"/>
          <w:spacing w:val="27"/>
          <w:sz w:val="19"/>
          <w:szCs w:val="19"/>
        </w:rPr>
        <w:t xml:space="preserve"> </w:t>
      </w:r>
      <w:r>
        <w:rPr>
          <w:rFonts w:ascii="Arial" w:hAnsi="Arial" w:eastAsia="Arial" w:cs="Arial"/>
          <w:spacing w:val="-6"/>
          <w:sz w:val="19"/>
          <w:szCs w:val="19"/>
        </w:rPr>
        <w:t>major</w:t>
      </w:r>
      <w:r>
        <w:rPr>
          <w:rFonts w:ascii="Arial" w:hAnsi="Arial" w:eastAsia="Arial" w:cs="Arial"/>
          <w:spacing w:val="15"/>
          <w:sz w:val="19"/>
          <w:szCs w:val="19"/>
        </w:rPr>
        <w:t xml:space="preserve"> </w:t>
      </w:r>
      <w:r>
        <w:rPr>
          <w:rFonts w:ascii="Arial" w:hAnsi="Arial" w:eastAsia="Arial" w:cs="Arial"/>
          <w:spacing w:val="-6"/>
          <w:sz w:val="19"/>
          <w:szCs w:val="19"/>
        </w:rPr>
        <w:t>indings:</w:t>
      </w:r>
      <w:r>
        <w:rPr>
          <w:rFonts w:ascii="Arial" w:hAnsi="Arial" w:eastAsia="Arial" w:cs="Arial"/>
          <w:spacing w:val="26"/>
          <w:w w:val="101"/>
          <w:sz w:val="19"/>
          <w:szCs w:val="19"/>
        </w:rPr>
        <w:t xml:space="preserve"> </w:t>
      </w:r>
      <w:r>
        <w:rPr>
          <w:rFonts w:ascii="Arial" w:hAnsi="Arial" w:eastAsia="Arial" w:cs="Arial"/>
          <w:spacing w:val="-6"/>
          <w:sz w:val="19"/>
          <w:szCs w:val="19"/>
        </w:rPr>
        <w:t>First</w:t>
      </w:r>
      <w:r>
        <w:rPr>
          <w:rFonts w:ascii="Arial" w:hAnsi="Arial" w:eastAsia="Arial" w:cs="Arial"/>
          <w:spacing w:val="19"/>
          <w:w w:val="101"/>
          <w:sz w:val="19"/>
          <w:szCs w:val="19"/>
        </w:rPr>
        <w:t xml:space="preserve"> </w:t>
      </w:r>
      <w:r>
        <w:rPr>
          <w:rFonts w:ascii="Arial" w:hAnsi="Arial" w:eastAsia="Arial" w:cs="Arial"/>
          <w:spacing w:val="-6"/>
          <w:sz w:val="19"/>
          <w:szCs w:val="19"/>
        </w:rPr>
        <w:t>of</w:t>
      </w:r>
      <w:r>
        <w:rPr>
          <w:rFonts w:ascii="Arial" w:hAnsi="Arial" w:eastAsia="Arial" w:cs="Arial"/>
          <w:spacing w:val="11"/>
          <w:sz w:val="19"/>
          <w:szCs w:val="19"/>
        </w:rPr>
        <w:t xml:space="preserve"> </w:t>
      </w:r>
      <w:r>
        <w:rPr>
          <w:rFonts w:ascii="Arial" w:hAnsi="Arial" w:eastAsia="Arial" w:cs="Arial"/>
          <w:spacing w:val="-6"/>
          <w:sz w:val="19"/>
          <w:szCs w:val="19"/>
        </w:rPr>
        <w:t>all,</w:t>
      </w:r>
      <w:r>
        <w:rPr>
          <w:rFonts w:ascii="Arial" w:hAnsi="Arial" w:eastAsia="Arial" w:cs="Arial"/>
          <w:spacing w:val="26"/>
          <w:w w:val="101"/>
          <w:sz w:val="19"/>
          <w:szCs w:val="19"/>
        </w:rPr>
        <w:t xml:space="preserve"> </w:t>
      </w:r>
      <w:r>
        <w:rPr>
          <w:rFonts w:ascii="Arial" w:hAnsi="Arial" w:eastAsia="Arial" w:cs="Arial"/>
          <w:spacing w:val="-6"/>
          <w:sz w:val="19"/>
          <w:szCs w:val="19"/>
        </w:rPr>
        <w:t>EFA</w:t>
      </w:r>
      <w:r>
        <w:rPr>
          <w:rFonts w:ascii="Arial" w:hAnsi="Arial" w:eastAsia="Arial" w:cs="Arial"/>
          <w:spacing w:val="19"/>
          <w:w w:val="101"/>
          <w:sz w:val="19"/>
          <w:szCs w:val="19"/>
        </w:rPr>
        <w:t xml:space="preserve"> </w:t>
      </w:r>
      <w:r>
        <w:rPr>
          <w:rFonts w:ascii="Arial" w:hAnsi="Arial" w:eastAsia="Arial" w:cs="Arial"/>
          <w:spacing w:val="-6"/>
          <w:sz w:val="19"/>
          <w:szCs w:val="19"/>
        </w:rPr>
        <w:t>and</w:t>
      </w:r>
      <w:r>
        <w:rPr>
          <w:rFonts w:ascii="Arial" w:hAnsi="Arial" w:eastAsia="Arial" w:cs="Arial"/>
          <w:spacing w:val="18"/>
          <w:w w:val="101"/>
          <w:sz w:val="19"/>
          <w:szCs w:val="19"/>
        </w:rPr>
        <w:t xml:space="preserve"> </w:t>
      </w:r>
      <w:r>
        <w:rPr>
          <w:rFonts w:ascii="Arial" w:hAnsi="Arial" w:eastAsia="Arial" w:cs="Arial"/>
          <w:spacing w:val="-6"/>
          <w:sz w:val="19"/>
          <w:szCs w:val="19"/>
        </w:rPr>
        <w:t>CFA</w:t>
      </w:r>
      <w:r>
        <w:rPr>
          <w:rFonts w:ascii="Arial" w:hAnsi="Arial" w:eastAsia="Arial" w:cs="Arial"/>
          <w:spacing w:val="19"/>
          <w:w w:val="101"/>
          <w:sz w:val="19"/>
          <w:szCs w:val="19"/>
        </w:rPr>
        <w:t xml:space="preserve"> </w:t>
      </w:r>
      <w:r>
        <w:rPr>
          <w:rFonts w:ascii="Arial" w:hAnsi="Arial" w:eastAsia="Arial" w:cs="Arial"/>
          <w:spacing w:val="-6"/>
          <w:sz w:val="19"/>
          <w:szCs w:val="19"/>
        </w:rPr>
        <w:t>analyses</w:t>
      </w:r>
      <w:r>
        <w:rPr>
          <w:rFonts w:ascii="Arial" w:hAnsi="Arial" w:eastAsia="Arial" w:cs="Arial"/>
          <w:spacing w:val="20"/>
          <w:sz w:val="19"/>
          <w:szCs w:val="19"/>
        </w:rPr>
        <w:t xml:space="preserve"> </w:t>
      </w:r>
      <w:r>
        <w:rPr>
          <w:rFonts w:ascii="Arial" w:hAnsi="Arial" w:eastAsia="Arial" w:cs="Arial"/>
          <w:spacing w:val="-6"/>
          <w:sz w:val="19"/>
          <w:szCs w:val="19"/>
        </w:rPr>
        <w:t>conirm</w:t>
      </w:r>
      <w:r>
        <w:rPr>
          <w:rFonts w:ascii="Arial" w:hAnsi="Arial" w:eastAsia="Arial" w:cs="Arial"/>
          <w:spacing w:val="-7"/>
          <w:sz w:val="19"/>
          <w:szCs w:val="19"/>
        </w:rPr>
        <w:t>ed</w:t>
      </w:r>
      <w:r>
        <w:rPr>
          <w:rFonts w:ascii="Arial" w:hAnsi="Arial" w:eastAsia="Arial" w:cs="Arial"/>
          <w:spacing w:val="20"/>
          <w:sz w:val="19"/>
          <w:szCs w:val="19"/>
        </w:rPr>
        <w:t xml:space="preserve"> </w:t>
      </w:r>
      <w:r>
        <w:rPr>
          <w:rFonts w:ascii="Arial" w:hAnsi="Arial" w:eastAsia="Arial" w:cs="Arial"/>
          <w:spacing w:val="-7"/>
          <w:sz w:val="19"/>
          <w:szCs w:val="19"/>
        </w:rPr>
        <w:t>a</w:t>
      </w:r>
      <w:r>
        <w:rPr>
          <w:rFonts w:ascii="Arial" w:hAnsi="Arial" w:eastAsia="Arial" w:cs="Arial"/>
          <w:spacing w:val="19"/>
          <w:sz w:val="19"/>
          <w:szCs w:val="19"/>
        </w:rPr>
        <w:t xml:space="preserve"> </w:t>
      </w:r>
      <w:r>
        <w:rPr>
          <w:rFonts w:ascii="Arial" w:hAnsi="Arial" w:eastAsia="Arial" w:cs="Arial"/>
          <w:spacing w:val="-7"/>
          <w:sz w:val="19"/>
          <w:szCs w:val="19"/>
        </w:rPr>
        <w:t>six-</w:t>
      </w:r>
      <w:r>
        <w:rPr>
          <w:rFonts w:ascii="Arial" w:hAnsi="Arial" w:eastAsia="Arial" w:cs="Arial"/>
          <w:sz w:val="19"/>
          <w:szCs w:val="19"/>
        </w:rPr>
        <w:t xml:space="preserve"> </w:t>
      </w:r>
      <w:r>
        <w:rPr>
          <w:rFonts w:ascii="Arial" w:hAnsi="Arial" w:eastAsia="Arial" w:cs="Arial"/>
          <w:spacing w:val="-4"/>
          <w:sz w:val="19"/>
          <w:szCs w:val="19"/>
        </w:rPr>
        <w:t>factor structure of the QCI, supporting the reliability and validity</w:t>
      </w:r>
      <w:r>
        <w:rPr>
          <w:rFonts w:ascii="Arial" w:hAnsi="Arial" w:eastAsia="Arial" w:cs="Arial"/>
          <w:spacing w:val="4"/>
          <w:sz w:val="19"/>
          <w:szCs w:val="19"/>
        </w:rPr>
        <w:t xml:space="preserve"> </w:t>
      </w:r>
      <w:r>
        <w:rPr>
          <w:rFonts w:ascii="Arial" w:hAnsi="Arial" w:eastAsia="Arial" w:cs="Arial"/>
          <w:spacing w:val="-4"/>
          <w:sz w:val="19"/>
          <w:szCs w:val="19"/>
        </w:rPr>
        <w:t>of</w:t>
      </w:r>
      <w:r>
        <w:rPr>
          <w:rFonts w:ascii="Arial" w:hAnsi="Arial" w:eastAsia="Arial" w:cs="Arial"/>
          <w:spacing w:val="-5"/>
          <w:sz w:val="19"/>
          <w:szCs w:val="19"/>
        </w:rPr>
        <w:t xml:space="preserve"> the questionnaire</w:t>
      </w:r>
      <w:r>
        <w:rPr>
          <w:rFonts w:ascii="Arial" w:hAnsi="Arial" w:eastAsia="Arial" w:cs="Arial"/>
          <w:spacing w:val="8"/>
          <w:sz w:val="19"/>
          <w:szCs w:val="19"/>
        </w:rPr>
        <w:t xml:space="preserve"> </w:t>
      </w:r>
      <w:r>
        <w:rPr>
          <w:rFonts w:ascii="Arial" w:hAnsi="Arial" w:eastAsia="Arial" w:cs="Arial"/>
          <w:spacing w:val="-5"/>
          <w:sz w:val="19"/>
          <w:szCs w:val="19"/>
        </w:rPr>
        <w:t>(H1).</w:t>
      </w:r>
      <w:r>
        <w:rPr>
          <w:rFonts w:ascii="Arial" w:hAnsi="Arial" w:eastAsia="Arial" w:cs="Arial"/>
          <w:spacing w:val="5"/>
          <w:sz w:val="19"/>
          <w:szCs w:val="19"/>
        </w:rPr>
        <w:t xml:space="preserve"> </w:t>
      </w:r>
      <w:r>
        <w:rPr>
          <w:rFonts w:ascii="Arial" w:hAnsi="Arial" w:eastAsia="Arial" w:cs="Arial"/>
          <w:spacing w:val="-5"/>
          <w:sz w:val="19"/>
          <w:szCs w:val="19"/>
        </w:rPr>
        <w:t>Secondly,</w:t>
      </w:r>
      <w:r>
        <w:rPr>
          <w:rFonts w:ascii="Arial" w:hAnsi="Arial" w:eastAsia="Arial" w:cs="Arial"/>
          <w:sz w:val="19"/>
          <w:szCs w:val="19"/>
        </w:rPr>
        <w:t xml:space="preserve"> </w:t>
      </w:r>
      <w:r>
        <w:rPr>
          <w:rFonts w:ascii="Arial" w:hAnsi="Arial" w:eastAsia="Arial" w:cs="Arial"/>
          <w:spacing w:val="-5"/>
          <w:sz w:val="19"/>
          <w:szCs w:val="19"/>
        </w:rPr>
        <w:t>these quality culture factors were found to be related to several desirable outcome variables</w:t>
      </w:r>
      <w:r>
        <w:rPr>
          <w:rFonts w:ascii="Arial" w:hAnsi="Arial" w:eastAsia="Arial" w:cs="Arial"/>
          <w:spacing w:val="-6"/>
          <w:sz w:val="19"/>
          <w:szCs w:val="19"/>
        </w:rPr>
        <w:t>, such as</w:t>
      </w:r>
      <w:r>
        <w:rPr>
          <w:rFonts w:ascii="Arial" w:hAnsi="Arial" w:eastAsia="Arial" w:cs="Arial"/>
          <w:sz w:val="19"/>
          <w:szCs w:val="19"/>
        </w:rPr>
        <w:t xml:space="preserve"> </w:t>
      </w:r>
      <w:r>
        <w:rPr>
          <w:rFonts w:ascii="Arial" w:hAnsi="Arial" w:eastAsia="Arial" w:cs="Arial"/>
          <w:spacing w:val="-7"/>
          <w:sz w:val="19"/>
          <w:szCs w:val="19"/>
        </w:rPr>
        <w:t>job</w:t>
      </w:r>
      <w:r>
        <w:rPr>
          <w:rFonts w:ascii="Arial" w:hAnsi="Arial" w:eastAsia="Arial" w:cs="Arial"/>
          <w:spacing w:val="39"/>
          <w:sz w:val="19"/>
          <w:szCs w:val="19"/>
        </w:rPr>
        <w:t xml:space="preserve"> </w:t>
      </w:r>
      <w:r>
        <w:rPr>
          <w:rFonts w:ascii="Arial" w:hAnsi="Arial" w:eastAsia="Arial" w:cs="Arial"/>
          <w:spacing w:val="-7"/>
          <w:sz w:val="19"/>
          <w:szCs w:val="19"/>
        </w:rPr>
        <w:t>satis</w:t>
      </w:r>
      <w:r>
        <w:rPr>
          <w:rFonts w:ascii="Arial" w:hAnsi="Arial" w:eastAsia="Arial" w:cs="Arial"/>
          <w:spacing w:val="-6"/>
          <w:sz w:val="19"/>
          <w:szCs w:val="19"/>
        </w:rPr>
        <w:t>faction,  HEI</w:t>
      </w:r>
      <w:r>
        <w:rPr>
          <w:rFonts w:ascii="Arial" w:hAnsi="Arial" w:eastAsia="Arial" w:cs="Arial"/>
          <w:spacing w:val="39"/>
          <w:sz w:val="19"/>
          <w:szCs w:val="19"/>
        </w:rPr>
        <w:t xml:space="preserve"> </w:t>
      </w:r>
      <w:r>
        <w:rPr>
          <w:rFonts w:ascii="Arial" w:hAnsi="Arial" w:eastAsia="Arial" w:cs="Arial"/>
          <w:spacing w:val="-6"/>
          <w:sz w:val="19"/>
          <w:szCs w:val="19"/>
        </w:rPr>
        <w:t>commitme</w:t>
      </w:r>
      <w:r>
        <w:rPr>
          <w:rFonts w:ascii="Arial" w:hAnsi="Arial" w:eastAsia="Arial" w:cs="Arial"/>
          <w:spacing w:val="-7"/>
          <w:sz w:val="19"/>
          <w:szCs w:val="19"/>
        </w:rPr>
        <w:t>nt,</w:t>
      </w:r>
      <w:r>
        <w:rPr>
          <w:rFonts w:ascii="Arial" w:hAnsi="Arial" w:eastAsia="Arial" w:cs="Arial"/>
          <w:spacing w:val="37"/>
          <w:w w:val="101"/>
          <w:sz w:val="19"/>
          <w:szCs w:val="19"/>
        </w:rPr>
        <w:t xml:space="preserve"> </w:t>
      </w:r>
      <w:r>
        <w:rPr>
          <w:rFonts w:ascii="Arial" w:hAnsi="Arial" w:eastAsia="Arial" w:cs="Arial"/>
          <w:spacing w:val="-7"/>
          <w:sz w:val="19"/>
          <w:szCs w:val="19"/>
        </w:rPr>
        <w:t>and</w:t>
      </w:r>
      <w:r>
        <w:rPr>
          <w:rFonts w:ascii="Arial" w:hAnsi="Arial" w:eastAsia="Arial" w:cs="Arial"/>
          <w:spacing w:val="38"/>
          <w:w w:val="101"/>
          <w:sz w:val="19"/>
          <w:szCs w:val="19"/>
        </w:rPr>
        <w:t xml:space="preserve"> </w:t>
      </w:r>
      <w:r>
        <w:rPr>
          <w:rFonts w:ascii="Arial" w:hAnsi="Arial" w:eastAsia="Arial" w:cs="Arial"/>
          <w:spacing w:val="-7"/>
          <w:sz w:val="19"/>
          <w:szCs w:val="19"/>
        </w:rPr>
        <w:t>career</w:t>
      </w:r>
      <w:r>
        <w:rPr>
          <w:rFonts w:ascii="Arial" w:hAnsi="Arial" w:eastAsia="Arial" w:cs="Arial"/>
          <w:spacing w:val="38"/>
          <w:w w:val="101"/>
          <w:sz w:val="19"/>
          <w:szCs w:val="19"/>
        </w:rPr>
        <w:t xml:space="preserve"> </w:t>
      </w:r>
      <w:r>
        <w:rPr>
          <w:rFonts w:ascii="Arial" w:hAnsi="Arial" w:eastAsia="Arial" w:cs="Arial"/>
          <w:spacing w:val="-7"/>
          <w:sz w:val="19"/>
          <w:szCs w:val="19"/>
        </w:rPr>
        <w:t>development</w:t>
      </w:r>
      <w:r>
        <w:rPr>
          <w:rFonts w:ascii="Arial" w:hAnsi="Arial" w:eastAsia="Arial" w:cs="Arial"/>
          <w:spacing w:val="44"/>
          <w:sz w:val="19"/>
          <w:szCs w:val="19"/>
        </w:rPr>
        <w:t xml:space="preserve"> </w:t>
      </w:r>
      <w:r>
        <w:rPr>
          <w:rFonts w:ascii="Arial" w:hAnsi="Arial" w:eastAsia="Arial" w:cs="Arial"/>
          <w:spacing w:val="-7"/>
          <w:sz w:val="19"/>
          <w:szCs w:val="19"/>
        </w:rPr>
        <w:t>(H2-H5).</w:t>
      </w:r>
      <w:r>
        <w:rPr>
          <w:rFonts w:ascii="Arial" w:hAnsi="Arial" w:eastAsia="Arial" w:cs="Arial"/>
          <w:spacing w:val="32"/>
          <w:w w:val="101"/>
          <w:sz w:val="19"/>
          <w:szCs w:val="19"/>
        </w:rPr>
        <w:t xml:space="preserve"> </w:t>
      </w:r>
      <w:r>
        <w:rPr>
          <w:rFonts w:ascii="Arial" w:hAnsi="Arial" w:eastAsia="Arial" w:cs="Arial"/>
          <w:spacing w:val="-7"/>
          <w:sz w:val="19"/>
          <w:szCs w:val="19"/>
        </w:rPr>
        <w:t>This</w:t>
      </w:r>
      <w:r>
        <w:rPr>
          <w:rFonts w:ascii="Arial" w:hAnsi="Arial" w:eastAsia="Arial" w:cs="Arial"/>
          <w:spacing w:val="34"/>
          <w:w w:val="101"/>
          <w:sz w:val="19"/>
          <w:szCs w:val="19"/>
        </w:rPr>
        <w:t xml:space="preserve"> </w:t>
      </w:r>
      <w:r>
        <w:rPr>
          <w:rFonts w:ascii="Arial" w:hAnsi="Arial" w:eastAsia="Arial" w:cs="Arial"/>
          <w:spacing w:val="-7"/>
          <w:sz w:val="19"/>
          <w:szCs w:val="19"/>
        </w:rPr>
        <w:t>was</w:t>
      </w:r>
      <w:r>
        <w:rPr>
          <w:rFonts w:ascii="Arial" w:hAnsi="Arial" w:eastAsia="Arial" w:cs="Arial"/>
          <w:spacing w:val="38"/>
          <w:w w:val="101"/>
          <w:sz w:val="19"/>
          <w:szCs w:val="19"/>
        </w:rPr>
        <w:t xml:space="preserve"> </w:t>
      </w:r>
      <w:r>
        <w:rPr>
          <w:rFonts w:ascii="Arial" w:hAnsi="Arial" w:eastAsia="Arial" w:cs="Arial"/>
          <w:spacing w:val="-7"/>
          <w:sz w:val="19"/>
          <w:szCs w:val="19"/>
        </w:rPr>
        <w:t>especially</w:t>
      </w:r>
      <w:r>
        <w:rPr>
          <w:rFonts w:ascii="Arial" w:hAnsi="Arial" w:eastAsia="Arial" w:cs="Arial"/>
          <w:spacing w:val="35"/>
          <w:sz w:val="19"/>
          <w:szCs w:val="19"/>
        </w:rPr>
        <w:t xml:space="preserve"> </w:t>
      </w:r>
      <w:r>
        <w:rPr>
          <w:rFonts w:ascii="Arial" w:hAnsi="Arial" w:eastAsia="Arial" w:cs="Arial"/>
          <w:spacing w:val="-7"/>
          <w:sz w:val="19"/>
          <w:szCs w:val="19"/>
        </w:rPr>
        <w:t>true</w:t>
      </w:r>
      <w:r>
        <w:rPr>
          <w:rFonts w:ascii="Arial" w:hAnsi="Arial" w:eastAsia="Arial" w:cs="Arial"/>
          <w:spacing w:val="33"/>
          <w:sz w:val="19"/>
          <w:szCs w:val="19"/>
        </w:rPr>
        <w:t xml:space="preserve"> </w:t>
      </w:r>
      <w:r>
        <w:rPr>
          <w:rFonts w:ascii="Arial" w:hAnsi="Arial" w:eastAsia="Arial" w:cs="Arial"/>
          <w:spacing w:val="-7"/>
          <w:sz w:val="19"/>
          <w:szCs w:val="19"/>
        </w:rPr>
        <w:t>fo</w:t>
      </w:r>
      <w:r>
        <w:rPr>
          <w:rFonts w:ascii="Arial" w:hAnsi="Arial" w:eastAsia="Arial" w:cs="Arial"/>
          <w:spacing w:val="1"/>
          <w:sz w:val="19"/>
          <w:szCs w:val="19"/>
        </w:rPr>
        <w:t>r</w:t>
      </w:r>
      <w:r>
        <w:rPr>
          <w:rFonts w:ascii="Arial" w:hAnsi="Arial" w:eastAsia="Arial" w:cs="Arial"/>
          <w:sz w:val="19"/>
          <w:szCs w:val="19"/>
        </w:rPr>
        <w:t xml:space="preserve"> </w:t>
      </w:r>
      <w:r>
        <w:rPr>
          <w:rFonts w:ascii="Arial" w:hAnsi="Arial" w:eastAsia="Arial" w:cs="Arial"/>
          <w:spacing w:val="-5"/>
          <w:sz w:val="19"/>
          <w:szCs w:val="19"/>
        </w:rPr>
        <w:t>q</w:t>
      </w:r>
      <w:r>
        <w:rPr>
          <w:rFonts w:ascii="Arial" w:hAnsi="Arial" w:eastAsia="Arial" w:cs="Arial"/>
          <w:spacing w:val="-4"/>
          <w:sz w:val="19"/>
          <w:szCs w:val="19"/>
        </w:rPr>
        <w:t>uality-oriented</w:t>
      </w:r>
      <w:r>
        <w:rPr>
          <w:rFonts w:ascii="Arial" w:hAnsi="Arial" w:eastAsia="Arial" w:cs="Arial"/>
          <w:spacing w:val="48"/>
          <w:sz w:val="19"/>
          <w:szCs w:val="19"/>
        </w:rPr>
        <w:t xml:space="preserve"> </w:t>
      </w:r>
      <w:r>
        <w:rPr>
          <w:rFonts w:ascii="Arial" w:hAnsi="Arial" w:eastAsia="Arial" w:cs="Arial"/>
          <w:spacing w:val="-4"/>
          <w:sz w:val="19"/>
          <w:szCs w:val="19"/>
        </w:rPr>
        <w:t>leadership</w:t>
      </w:r>
      <w:r>
        <w:rPr>
          <w:rFonts w:ascii="Arial" w:hAnsi="Arial" w:eastAsia="Arial" w:cs="Arial"/>
          <w:spacing w:val="31"/>
          <w:w w:val="101"/>
          <w:sz w:val="19"/>
          <w:szCs w:val="19"/>
        </w:rPr>
        <w:t xml:space="preserve"> </w:t>
      </w:r>
      <w:r>
        <w:rPr>
          <w:rFonts w:ascii="Arial" w:hAnsi="Arial" w:eastAsia="Arial" w:cs="Arial"/>
          <w:spacing w:val="-4"/>
          <w:sz w:val="19"/>
          <w:szCs w:val="19"/>
        </w:rPr>
        <w:t>behavior,</w:t>
      </w:r>
      <w:r>
        <w:rPr>
          <w:rFonts w:ascii="Arial" w:hAnsi="Arial" w:eastAsia="Arial" w:cs="Arial"/>
          <w:spacing w:val="22"/>
          <w:w w:val="101"/>
          <w:sz w:val="19"/>
          <w:szCs w:val="19"/>
        </w:rPr>
        <w:t xml:space="preserve"> </w:t>
      </w:r>
      <w:r>
        <w:rPr>
          <w:rFonts w:ascii="Arial" w:hAnsi="Arial" w:eastAsia="Arial" w:cs="Arial"/>
          <w:spacing w:val="-4"/>
          <w:sz w:val="19"/>
          <w:szCs w:val="19"/>
        </w:rPr>
        <w:t>which</w:t>
      </w:r>
      <w:r>
        <w:rPr>
          <w:rFonts w:ascii="Arial" w:hAnsi="Arial" w:eastAsia="Arial" w:cs="Arial"/>
          <w:spacing w:val="27"/>
          <w:sz w:val="19"/>
          <w:szCs w:val="19"/>
        </w:rPr>
        <w:t xml:space="preserve"> </w:t>
      </w:r>
      <w:r>
        <w:rPr>
          <w:rFonts w:ascii="Arial" w:hAnsi="Arial" w:eastAsia="Arial" w:cs="Arial"/>
          <w:spacing w:val="-4"/>
          <w:sz w:val="19"/>
          <w:szCs w:val="19"/>
        </w:rPr>
        <w:t>showed</w:t>
      </w:r>
      <w:r>
        <w:rPr>
          <w:rFonts w:ascii="Arial" w:hAnsi="Arial" w:eastAsia="Arial" w:cs="Arial"/>
          <w:spacing w:val="22"/>
          <w:w w:val="101"/>
          <w:sz w:val="19"/>
          <w:szCs w:val="19"/>
        </w:rPr>
        <w:t xml:space="preserve"> </w:t>
      </w:r>
      <w:r>
        <w:rPr>
          <w:rFonts w:ascii="Arial" w:hAnsi="Arial" w:eastAsia="Arial" w:cs="Arial"/>
          <w:spacing w:val="-4"/>
          <w:sz w:val="19"/>
          <w:szCs w:val="19"/>
        </w:rPr>
        <w:t>the</w:t>
      </w:r>
      <w:r>
        <w:rPr>
          <w:rFonts w:ascii="Arial" w:hAnsi="Arial" w:eastAsia="Arial" w:cs="Arial"/>
          <w:spacing w:val="26"/>
          <w:w w:val="101"/>
          <w:sz w:val="19"/>
          <w:szCs w:val="19"/>
        </w:rPr>
        <w:t xml:space="preserve"> </w:t>
      </w:r>
      <w:r>
        <w:rPr>
          <w:rFonts w:ascii="Arial" w:hAnsi="Arial" w:eastAsia="Arial" w:cs="Arial"/>
          <w:spacing w:val="-4"/>
          <w:sz w:val="19"/>
          <w:szCs w:val="19"/>
        </w:rPr>
        <w:t>strongest</w:t>
      </w:r>
      <w:r>
        <w:rPr>
          <w:rFonts w:ascii="Arial" w:hAnsi="Arial" w:eastAsia="Arial" w:cs="Arial"/>
          <w:spacing w:val="26"/>
          <w:w w:val="101"/>
          <w:sz w:val="19"/>
          <w:szCs w:val="19"/>
        </w:rPr>
        <w:t xml:space="preserve"> </w:t>
      </w:r>
      <w:r>
        <w:rPr>
          <w:rFonts w:ascii="Arial" w:hAnsi="Arial" w:eastAsia="Arial" w:cs="Arial"/>
          <w:spacing w:val="-4"/>
          <w:sz w:val="19"/>
          <w:szCs w:val="19"/>
        </w:rPr>
        <w:t>efect</w:t>
      </w:r>
      <w:r>
        <w:rPr>
          <w:rFonts w:ascii="Arial" w:hAnsi="Arial" w:eastAsia="Arial" w:cs="Arial"/>
          <w:spacing w:val="27"/>
          <w:w w:val="101"/>
          <w:sz w:val="19"/>
          <w:szCs w:val="19"/>
        </w:rPr>
        <w:t xml:space="preserve"> </w:t>
      </w:r>
      <w:r>
        <w:rPr>
          <w:rFonts w:ascii="Arial" w:hAnsi="Arial" w:eastAsia="Arial" w:cs="Arial"/>
          <w:spacing w:val="-4"/>
          <w:sz w:val="19"/>
          <w:szCs w:val="19"/>
        </w:rPr>
        <w:t>on</w:t>
      </w:r>
      <w:r>
        <w:rPr>
          <w:rFonts w:ascii="Arial" w:hAnsi="Arial" w:eastAsia="Arial" w:cs="Arial"/>
          <w:spacing w:val="25"/>
          <w:w w:val="101"/>
          <w:sz w:val="19"/>
          <w:szCs w:val="19"/>
        </w:rPr>
        <w:t xml:space="preserve"> </w:t>
      </w:r>
      <w:r>
        <w:rPr>
          <w:rFonts w:ascii="Arial" w:hAnsi="Arial" w:eastAsia="Arial" w:cs="Arial"/>
          <w:spacing w:val="-4"/>
          <w:sz w:val="19"/>
          <w:szCs w:val="19"/>
        </w:rPr>
        <w:t>our</w:t>
      </w:r>
      <w:r>
        <w:rPr>
          <w:rFonts w:ascii="Arial" w:hAnsi="Arial" w:eastAsia="Arial" w:cs="Arial"/>
          <w:spacing w:val="34"/>
          <w:sz w:val="19"/>
          <w:szCs w:val="19"/>
        </w:rPr>
        <w:t xml:space="preserve"> </w:t>
      </w:r>
      <w:r>
        <w:rPr>
          <w:rFonts w:ascii="Arial" w:hAnsi="Arial" w:eastAsia="Arial" w:cs="Arial"/>
          <w:spacing w:val="-4"/>
          <w:sz w:val="19"/>
          <w:szCs w:val="19"/>
        </w:rPr>
        <w:t>proposed</w:t>
      </w:r>
      <w:r>
        <w:rPr>
          <w:rFonts w:ascii="Arial" w:hAnsi="Arial" w:eastAsia="Arial" w:cs="Arial"/>
          <w:spacing w:val="27"/>
          <w:sz w:val="19"/>
          <w:szCs w:val="19"/>
        </w:rPr>
        <w:t xml:space="preserve"> </w:t>
      </w:r>
      <w:r>
        <w:rPr>
          <w:rFonts w:ascii="Arial" w:hAnsi="Arial" w:eastAsia="Arial" w:cs="Arial"/>
          <w:spacing w:val="-4"/>
          <w:sz w:val="19"/>
          <w:szCs w:val="19"/>
        </w:rPr>
        <w:t>qualit</w:t>
      </w:r>
      <w:r>
        <w:rPr>
          <w:rFonts w:ascii="Arial" w:hAnsi="Arial" w:eastAsia="Arial" w:cs="Arial"/>
          <w:spacing w:val="-3"/>
          <w:sz w:val="19"/>
          <w:szCs w:val="19"/>
        </w:rPr>
        <w:t>y</w:t>
      </w:r>
      <w:r>
        <w:rPr>
          <w:rFonts w:ascii="Arial" w:hAnsi="Arial" w:eastAsia="Arial" w:cs="Arial"/>
          <w:sz w:val="19"/>
          <w:szCs w:val="19"/>
        </w:rPr>
        <w:t xml:space="preserve"> </w:t>
      </w:r>
      <w:r>
        <w:rPr>
          <w:rFonts w:ascii="Arial" w:hAnsi="Arial" w:eastAsia="Arial" w:cs="Arial"/>
          <w:spacing w:val="-3"/>
          <w:sz w:val="19"/>
          <w:szCs w:val="19"/>
        </w:rPr>
        <w:t>culture</w:t>
      </w:r>
      <w:r>
        <w:rPr>
          <w:rFonts w:ascii="Arial" w:hAnsi="Arial" w:eastAsia="Arial" w:cs="Arial"/>
          <w:spacing w:val="13"/>
          <w:w w:val="101"/>
          <w:sz w:val="19"/>
          <w:szCs w:val="19"/>
        </w:rPr>
        <w:t xml:space="preserve"> </w:t>
      </w:r>
      <w:r>
        <w:rPr>
          <w:rFonts w:ascii="Arial" w:hAnsi="Arial" w:eastAsia="Arial" w:cs="Arial"/>
          <w:spacing w:val="-3"/>
          <w:sz w:val="19"/>
          <w:szCs w:val="19"/>
        </w:rPr>
        <w:t>outcomes, followed</w:t>
      </w:r>
      <w:r>
        <w:rPr>
          <w:rFonts w:ascii="Arial" w:hAnsi="Arial" w:eastAsia="Arial" w:cs="Arial"/>
          <w:spacing w:val="19"/>
          <w:w w:val="101"/>
          <w:sz w:val="19"/>
          <w:szCs w:val="19"/>
        </w:rPr>
        <w:t xml:space="preserve"> </w:t>
      </w:r>
      <w:r>
        <w:rPr>
          <w:rFonts w:ascii="Arial" w:hAnsi="Arial" w:eastAsia="Arial" w:cs="Arial"/>
          <w:spacing w:val="-3"/>
          <w:sz w:val="19"/>
          <w:szCs w:val="19"/>
        </w:rPr>
        <w:t>by</w:t>
      </w:r>
      <w:r>
        <w:rPr>
          <w:rFonts w:ascii="Arial" w:hAnsi="Arial" w:eastAsia="Arial" w:cs="Arial"/>
          <w:spacing w:val="11"/>
          <w:sz w:val="19"/>
          <w:szCs w:val="19"/>
        </w:rPr>
        <w:t xml:space="preserve"> </w:t>
      </w:r>
      <w:r>
        <w:rPr>
          <w:rFonts w:ascii="Arial" w:hAnsi="Arial" w:eastAsia="Arial" w:cs="Arial"/>
          <w:spacing w:val="-3"/>
          <w:sz w:val="19"/>
          <w:szCs w:val="19"/>
        </w:rPr>
        <w:t>communication</w:t>
      </w:r>
      <w:r>
        <w:rPr>
          <w:rFonts w:ascii="Arial" w:hAnsi="Arial" w:eastAsia="Arial" w:cs="Arial"/>
          <w:spacing w:val="12"/>
          <w:sz w:val="19"/>
          <w:szCs w:val="19"/>
        </w:rPr>
        <w:t xml:space="preserve"> </w:t>
      </w:r>
      <w:r>
        <w:rPr>
          <w:rFonts w:ascii="Arial" w:hAnsi="Arial" w:eastAsia="Arial" w:cs="Arial"/>
          <w:spacing w:val="-3"/>
          <w:sz w:val="19"/>
          <w:szCs w:val="19"/>
        </w:rPr>
        <w:t>and</w:t>
      </w:r>
      <w:r>
        <w:rPr>
          <w:rFonts w:ascii="Arial" w:hAnsi="Arial" w:eastAsia="Arial" w:cs="Arial"/>
          <w:spacing w:val="13"/>
          <w:sz w:val="19"/>
          <w:szCs w:val="19"/>
        </w:rPr>
        <w:t xml:space="preserve"> </w:t>
      </w:r>
      <w:r>
        <w:rPr>
          <w:rFonts w:ascii="Arial" w:hAnsi="Arial" w:eastAsia="Arial" w:cs="Arial"/>
          <w:spacing w:val="-3"/>
          <w:sz w:val="19"/>
          <w:szCs w:val="19"/>
        </w:rPr>
        <w:t>commitment towards</w:t>
      </w:r>
      <w:r>
        <w:rPr>
          <w:rFonts w:ascii="Arial" w:hAnsi="Arial" w:eastAsia="Arial" w:cs="Arial"/>
          <w:spacing w:val="12"/>
          <w:sz w:val="19"/>
          <w:szCs w:val="19"/>
        </w:rPr>
        <w:t xml:space="preserve"> </w:t>
      </w:r>
      <w:r>
        <w:rPr>
          <w:rFonts w:ascii="Arial" w:hAnsi="Arial" w:eastAsia="Arial" w:cs="Arial"/>
          <w:spacing w:val="-3"/>
          <w:sz w:val="19"/>
          <w:szCs w:val="19"/>
        </w:rPr>
        <w:t>quali</w:t>
      </w:r>
      <w:r>
        <w:rPr>
          <w:rFonts w:ascii="Arial" w:hAnsi="Arial" w:eastAsia="Arial" w:cs="Arial"/>
          <w:spacing w:val="-4"/>
          <w:sz w:val="19"/>
          <w:szCs w:val="19"/>
        </w:rPr>
        <w:t>ty.</w:t>
      </w:r>
    </w:p>
    <w:p>
      <w:pPr>
        <w:spacing w:before="27" w:line="260" w:lineRule="auto"/>
        <w:ind w:left="194" w:firstLine="239"/>
        <w:jc w:val="both"/>
        <w:rPr>
          <w:rFonts w:ascii="Arial" w:hAnsi="Arial" w:eastAsia="Arial" w:cs="Arial"/>
          <w:sz w:val="19"/>
          <w:szCs w:val="19"/>
        </w:rPr>
      </w:pPr>
      <w:r>
        <w:rPr>
          <w:rFonts w:ascii="Arial" w:hAnsi="Arial" w:eastAsia="Arial" w:cs="Arial"/>
          <w:spacing w:val="-4"/>
          <w:sz w:val="19"/>
          <w:szCs w:val="19"/>
        </w:rPr>
        <w:t>While</w:t>
      </w:r>
      <w:r>
        <w:rPr>
          <w:rFonts w:ascii="Arial" w:hAnsi="Arial" w:eastAsia="Arial" w:cs="Arial"/>
          <w:spacing w:val="21"/>
          <w:sz w:val="19"/>
          <w:szCs w:val="19"/>
        </w:rPr>
        <w:t xml:space="preserve"> </w:t>
      </w:r>
      <w:r>
        <w:rPr>
          <w:rFonts w:ascii="Arial" w:hAnsi="Arial" w:eastAsia="Arial" w:cs="Arial"/>
          <w:spacing w:val="-4"/>
          <w:sz w:val="19"/>
          <w:szCs w:val="19"/>
        </w:rPr>
        <w:t>all</w:t>
      </w:r>
      <w:r>
        <w:rPr>
          <w:rFonts w:ascii="Arial" w:hAnsi="Arial" w:eastAsia="Arial" w:cs="Arial"/>
          <w:spacing w:val="20"/>
          <w:sz w:val="19"/>
          <w:szCs w:val="19"/>
        </w:rPr>
        <w:t xml:space="preserve"> </w:t>
      </w:r>
      <w:r>
        <w:rPr>
          <w:rFonts w:ascii="Arial" w:hAnsi="Arial" w:eastAsia="Arial" w:cs="Arial"/>
          <w:spacing w:val="-4"/>
          <w:sz w:val="19"/>
          <w:szCs w:val="19"/>
        </w:rPr>
        <w:t>of the</w:t>
      </w:r>
      <w:r>
        <w:rPr>
          <w:rFonts w:ascii="Arial" w:hAnsi="Arial" w:eastAsia="Arial" w:cs="Arial"/>
          <w:spacing w:val="20"/>
          <w:sz w:val="19"/>
          <w:szCs w:val="19"/>
        </w:rPr>
        <w:t xml:space="preserve"> </w:t>
      </w:r>
      <w:r>
        <w:rPr>
          <w:rFonts w:ascii="Arial" w:hAnsi="Arial" w:eastAsia="Arial" w:cs="Arial"/>
          <w:spacing w:val="-4"/>
          <w:sz w:val="19"/>
          <w:szCs w:val="19"/>
        </w:rPr>
        <w:t>collective</w:t>
      </w:r>
      <w:r>
        <w:rPr>
          <w:rFonts w:ascii="Arial" w:hAnsi="Arial" w:eastAsia="Arial" w:cs="Arial"/>
          <w:spacing w:val="15"/>
          <w:sz w:val="19"/>
          <w:szCs w:val="19"/>
        </w:rPr>
        <w:t xml:space="preserve"> </w:t>
      </w:r>
      <w:r>
        <w:rPr>
          <w:rFonts w:ascii="Arial" w:hAnsi="Arial" w:eastAsia="Arial" w:cs="Arial"/>
          <w:spacing w:val="-4"/>
          <w:sz w:val="19"/>
          <w:szCs w:val="19"/>
        </w:rPr>
        <w:t>factors</w:t>
      </w:r>
      <w:r>
        <w:rPr>
          <w:rFonts w:ascii="Arial" w:hAnsi="Arial" w:eastAsia="Arial" w:cs="Arial"/>
          <w:spacing w:val="26"/>
          <w:w w:val="101"/>
          <w:sz w:val="19"/>
          <w:szCs w:val="19"/>
        </w:rPr>
        <w:t xml:space="preserve"> </w:t>
      </w:r>
      <w:r>
        <w:rPr>
          <w:rFonts w:ascii="Arial" w:hAnsi="Arial" w:eastAsia="Arial" w:cs="Arial"/>
          <w:spacing w:val="-4"/>
          <w:sz w:val="19"/>
          <w:szCs w:val="19"/>
        </w:rPr>
        <w:t>(leadership,</w:t>
      </w:r>
      <w:r>
        <w:rPr>
          <w:rFonts w:ascii="Arial" w:hAnsi="Arial" w:eastAsia="Arial" w:cs="Arial"/>
          <w:spacing w:val="22"/>
          <w:sz w:val="19"/>
          <w:szCs w:val="19"/>
        </w:rPr>
        <w:t xml:space="preserve"> </w:t>
      </w:r>
      <w:r>
        <w:rPr>
          <w:rFonts w:ascii="Arial" w:hAnsi="Arial" w:eastAsia="Arial" w:cs="Arial"/>
          <w:spacing w:val="-4"/>
          <w:sz w:val="19"/>
          <w:szCs w:val="19"/>
        </w:rPr>
        <w:t>communication,</w:t>
      </w:r>
      <w:r>
        <w:rPr>
          <w:rFonts w:ascii="Arial" w:hAnsi="Arial" w:eastAsia="Arial" w:cs="Arial"/>
          <w:spacing w:val="26"/>
          <w:w w:val="101"/>
          <w:sz w:val="19"/>
          <w:szCs w:val="19"/>
        </w:rPr>
        <w:t xml:space="preserve"> </w:t>
      </w:r>
      <w:r>
        <w:rPr>
          <w:rFonts w:ascii="Arial" w:hAnsi="Arial" w:eastAsia="Arial" w:cs="Arial"/>
          <w:spacing w:val="-4"/>
          <w:sz w:val="19"/>
          <w:szCs w:val="19"/>
        </w:rPr>
        <w:t>participation)</w:t>
      </w:r>
      <w:r>
        <w:rPr>
          <w:rFonts w:ascii="Arial" w:hAnsi="Arial" w:eastAsia="Arial" w:cs="Arial"/>
          <w:spacing w:val="16"/>
          <w:w w:val="101"/>
          <w:sz w:val="19"/>
          <w:szCs w:val="19"/>
        </w:rPr>
        <w:t xml:space="preserve"> </w:t>
      </w:r>
      <w:r>
        <w:rPr>
          <w:rFonts w:ascii="Arial" w:hAnsi="Arial" w:eastAsia="Arial" w:cs="Arial"/>
          <w:spacing w:val="-4"/>
          <w:sz w:val="19"/>
          <w:szCs w:val="19"/>
        </w:rPr>
        <w:t>were</w:t>
      </w:r>
      <w:r>
        <w:rPr>
          <w:rFonts w:ascii="Arial" w:hAnsi="Arial" w:eastAsia="Arial" w:cs="Arial"/>
          <w:spacing w:val="20"/>
          <w:w w:val="101"/>
          <w:sz w:val="19"/>
          <w:szCs w:val="19"/>
        </w:rPr>
        <w:t xml:space="preserve"> </w:t>
      </w:r>
      <w:r>
        <w:rPr>
          <w:rFonts w:ascii="Arial" w:hAnsi="Arial" w:eastAsia="Arial" w:cs="Arial"/>
          <w:spacing w:val="-4"/>
          <w:sz w:val="19"/>
          <w:szCs w:val="19"/>
        </w:rPr>
        <w:t>conirmed</w:t>
      </w:r>
      <w:r>
        <w:rPr>
          <w:rFonts w:ascii="Arial" w:hAnsi="Arial" w:eastAsia="Arial" w:cs="Arial"/>
          <w:spacing w:val="26"/>
          <w:w w:val="101"/>
          <w:sz w:val="19"/>
          <w:szCs w:val="19"/>
        </w:rPr>
        <w:t xml:space="preserve"> </w:t>
      </w:r>
      <w:r>
        <w:rPr>
          <w:rFonts w:ascii="Arial" w:hAnsi="Arial" w:eastAsia="Arial" w:cs="Arial"/>
          <w:spacing w:val="-4"/>
          <w:sz w:val="19"/>
          <w:szCs w:val="19"/>
        </w:rPr>
        <w:t>by</w:t>
      </w:r>
      <w:r>
        <w:rPr>
          <w:rFonts w:ascii="Arial" w:hAnsi="Arial" w:eastAsia="Arial" w:cs="Arial"/>
          <w:sz w:val="19"/>
          <w:szCs w:val="19"/>
        </w:rPr>
        <w:t xml:space="preserve"> </w:t>
      </w:r>
      <w:r>
        <w:rPr>
          <w:rFonts w:ascii="Arial" w:hAnsi="Arial" w:eastAsia="Arial" w:cs="Arial"/>
          <w:spacing w:val="-7"/>
          <w:sz w:val="19"/>
          <w:szCs w:val="19"/>
        </w:rPr>
        <w:t>the</w:t>
      </w:r>
      <w:r>
        <w:rPr>
          <w:rFonts w:ascii="Arial" w:hAnsi="Arial" w:eastAsia="Arial" w:cs="Arial"/>
          <w:spacing w:val="-6"/>
          <w:sz w:val="19"/>
          <w:szCs w:val="19"/>
        </w:rPr>
        <w:t xml:space="preserve">  EFA  and  CFA  analyses,  only</w:t>
      </w:r>
      <w:r>
        <w:rPr>
          <w:rFonts w:ascii="Arial" w:hAnsi="Arial" w:eastAsia="Arial" w:cs="Arial"/>
          <w:sz w:val="19"/>
          <w:szCs w:val="19"/>
        </w:rPr>
        <w:t xml:space="preserve">  </w:t>
      </w:r>
      <w:r>
        <w:rPr>
          <w:rFonts w:ascii="Arial" w:hAnsi="Arial" w:eastAsia="Arial" w:cs="Arial"/>
          <w:spacing w:val="-6"/>
          <w:sz w:val="19"/>
          <w:szCs w:val="19"/>
        </w:rPr>
        <w:t>commitment</w:t>
      </w:r>
      <w:r>
        <w:rPr>
          <w:rFonts w:ascii="Arial" w:hAnsi="Arial" w:eastAsia="Arial" w:cs="Arial"/>
          <w:spacing w:val="54"/>
          <w:sz w:val="19"/>
          <w:szCs w:val="19"/>
        </w:rPr>
        <w:t xml:space="preserve"> </w:t>
      </w:r>
      <w:r>
        <w:rPr>
          <w:rFonts w:ascii="Arial" w:hAnsi="Arial" w:eastAsia="Arial" w:cs="Arial"/>
          <w:spacing w:val="-6"/>
          <w:sz w:val="19"/>
          <w:szCs w:val="19"/>
        </w:rPr>
        <w:t>and</w:t>
      </w:r>
      <w:r>
        <w:rPr>
          <w:rFonts w:ascii="Arial" w:hAnsi="Arial" w:eastAsia="Arial" w:cs="Arial"/>
          <w:sz w:val="19"/>
          <w:szCs w:val="19"/>
        </w:rPr>
        <w:t xml:space="preserve">  </w:t>
      </w:r>
      <w:r>
        <w:rPr>
          <w:rFonts w:ascii="Arial" w:hAnsi="Arial" w:eastAsia="Arial" w:cs="Arial"/>
          <w:spacing w:val="-6"/>
          <w:sz w:val="19"/>
          <w:szCs w:val="19"/>
        </w:rPr>
        <w:t>engagement</w:t>
      </w:r>
      <w:r>
        <w:rPr>
          <w:rFonts w:ascii="Arial" w:hAnsi="Arial" w:eastAsia="Arial" w:cs="Arial"/>
          <w:spacing w:val="50"/>
          <w:w w:val="101"/>
          <w:sz w:val="19"/>
          <w:szCs w:val="19"/>
        </w:rPr>
        <w:t xml:space="preserve"> </w:t>
      </w:r>
      <w:r>
        <w:rPr>
          <w:rFonts w:ascii="Arial" w:hAnsi="Arial" w:eastAsia="Arial" w:cs="Arial"/>
          <w:spacing w:val="-6"/>
          <w:sz w:val="19"/>
          <w:szCs w:val="19"/>
        </w:rPr>
        <w:t>were</w:t>
      </w:r>
      <w:r>
        <w:rPr>
          <w:rFonts w:ascii="Arial" w:hAnsi="Arial" w:eastAsia="Arial" w:cs="Arial"/>
          <w:sz w:val="19"/>
          <w:szCs w:val="19"/>
        </w:rPr>
        <w:t xml:space="preserve">  </w:t>
      </w:r>
      <w:r>
        <w:rPr>
          <w:rFonts w:ascii="Arial" w:hAnsi="Arial" w:eastAsia="Arial" w:cs="Arial"/>
          <w:spacing w:val="-6"/>
          <w:sz w:val="19"/>
          <w:szCs w:val="19"/>
        </w:rPr>
        <w:t>derive</w:t>
      </w:r>
      <w:r>
        <w:rPr>
          <w:rFonts w:ascii="Arial" w:hAnsi="Arial" w:eastAsia="Arial" w:cs="Arial"/>
          <w:spacing w:val="-7"/>
          <w:sz w:val="19"/>
          <w:szCs w:val="19"/>
        </w:rPr>
        <w:t>d</w:t>
      </w:r>
      <w:r>
        <w:rPr>
          <w:rFonts w:ascii="Arial" w:hAnsi="Arial" w:eastAsia="Arial" w:cs="Arial"/>
          <w:sz w:val="19"/>
          <w:szCs w:val="19"/>
        </w:rPr>
        <w:t xml:space="preserve">  </w:t>
      </w:r>
      <w:r>
        <w:rPr>
          <w:rFonts w:ascii="Arial" w:hAnsi="Arial" w:eastAsia="Arial" w:cs="Arial"/>
          <w:spacing w:val="-7"/>
          <w:sz w:val="19"/>
          <w:szCs w:val="19"/>
        </w:rPr>
        <w:t>as</w:t>
      </w:r>
      <w:r>
        <w:rPr>
          <w:rFonts w:ascii="Arial" w:hAnsi="Arial" w:eastAsia="Arial" w:cs="Arial"/>
          <w:spacing w:val="3"/>
          <w:sz w:val="19"/>
          <w:szCs w:val="19"/>
        </w:rPr>
        <w:t xml:space="preserve">  </w:t>
      </w:r>
      <w:r>
        <w:rPr>
          <w:rFonts w:ascii="Arial" w:hAnsi="Arial" w:eastAsia="Arial" w:cs="Arial"/>
          <w:spacing w:val="-7"/>
          <w:sz w:val="19"/>
          <w:szCs w:val="19"/>
        </w:rPr>
        <w:t>independen</w:t>
      </w:r>
      <w:r>
        <w:rPr>
          <w:rFonts w:ascii="Arial" w:hAnsi="Arial" w:eastAsia="Arial" w:cs="Arial"/>
          <w:spacing w:val="-4"/>
          <w:sz w:val="19"/>
          <w:szCs w:val="19"/>
        </w:rPr>
        <w:t>t</w:t>
      </w:r>
      <w:r>
        <w:rPr>
          <w:rFonts w:ascii="Arial" w:hAnsi="Arial" w:eastAsia="Arial" w:cs="Arial"/>
          <w:spacing w:val="1"/>
          <w:sz w:val="19"/>
          <w:szCs w:val="19"/>
        </w:rPr>
        <w:t xml:space="preserve"> </w:t>
      </w:r>
      <w:r>
        <w:rPr>
          <w:rFonts w:ascii="Arial" w:hAnsi="Arial" w:eastAsia="Arial" w:cs="Arial"/>
          <w:spacing w:val="-5"/>
          <w:sz w:val="19"/>
          <w:szCs w:val="19"/>
        </w:rPr>
        <w:t>factors</w:t>
      </w:r>
      <w:r>
        <w:rPr>
          <w:rFonts w:ascii="Arial" w:hAnsi="Arial" w:eastAsia="Arial" w:cs="Arial"/>
          <w:spacing w:val="21"/>
          <w:w w:val="101"/>
          <w:sz w:val="19"/>
          <w:szCs w:val="19"/>
        </w:rPr>
        <w:t xml:space="preserve"> </w:t>
      </w:r>
      <w:r>
        <w:rPr>
          <w:rFonts w:ascii="Arial" w:hAnsi="Arial" w:eastAsia="Arial" w:cs="Arial"/>
          <w:spacing w:val="-5"/>
          <w:sz w:val="19"/>
          <w:szCs w:val="19"/>
        </w:rPr>
        <w:t>on</w:t>
      </w:r>
      <w:r>
        <w:rPr>
          <w:rFonts w:ascii="Arial" w:hAnsi="Arial" w:eastAsia="Arial" w:cs="Arial"/>
          <w:spacing w:val="16"/>
          <w:sz w:val="19"/>
          <w:szCs w:val="19"/>
        </w:rPr>
        <w:t xml:space="preserve"> </w:t>
      </w:r>
      <w:r>
        <w:rPr>
          <w:rFonts w:ascii="Arial" w:hAnsi="Arial" w:eastAsia="Arial" w:cs="Arial"/>
          <w:spacing w:val="-5"/>
          <w:sz w:val="19"/>
          <w:szCs w:val="19"/>
        </w:rPr>
        <w:t>the</w:t>
      </w:r>
      <w:r>
        <w:rPr>
          <w:rFonts w:ascii="Arial" w:hAnsi="Arial" w:eastAsia="Arial" w:cs="Arial"/>
          <w:spacing w:val="25"/>
          <w:w w:val="101"/>
          <w:sz w:val="19"/>
          <w:szCs w:val="19"/>
        </w:rPr>
        <w:t xml:space="preserve"> </w:t>
      </w:r>
      <w:r>
        <w:rPr>
          <w:rFonts w:ascii="Arial" w:hAnsi="Arial" w:eastAsia="Arial" w:cs="Arial"/>
          <w:spacing w:val="-5"/>
          <w:sz w:val="19"/>
          <w:szCs w:val="19"/>
        </w:rPr>
        <w:t>individual</w:t>
      </w:r>
      <w:r>
        <w:rPr>
          <w:rFonts w:ascii="Arial" w:hAnsi="Arial" w:eastAsia="Arial" w:cs="Arial"/>
          <w:spacing w:val="28"/>
          <w:w w:val="101"/>
          <w:sz w:val="19"/>
          <w:szCs w:val="19"/>
        </w:rPr>
        <w:t xml:space="preserve"> </w:t>
      </w:r>
      <w:r>
        <w:rPr>
          <w:rFonts w:ascii="Arial" w:hAnsi="Arial" w:eastAsia="Arial" w:cs="Arial"/>
          <w:spacing w:val="-5"/>
          <w:sz w:val="19"/>
          <w:szCs w:val="19"/>
        </w:rPr>
        <w:t>level.</w:t>
      </w:r>
      <w:r>
        <w:rPr>
          <w:rFonts w:ascii="Arial" w:hAnsi="Arial" w:eastAsia="Arial" w:cs="Arial"/>
          <w:spacing w:val="28"/>
          <w:sz w:val="19"/>
          <w:szCs w:val="19"/>
        </w:rPr>
        <w:t xml:space="preserve"> </w:t>
      </w:r>
      <w:r>
        <w:rPr>
          <w:rFonts w:ascii="Arial" w:hAnsi="Arial" w:eastAsia="Arial" w:cs="Arial"/>
          <w:spacing w:val="-5"/>
          <w:sz w:val="19"/>
          <w:szCs w:val="19"/>
        </w:rPr>
        <w:t>Items</w:t>
      </w:r>
      <w:r>
        <w:rPr>
          <w:rFonts w:ascii="Arial" w:hAnsi="Arial" w:eastAsia="Arial" w:cs="Arial"/>
          <w:spacing w:val="26"/>
          <w:w w:val="101"/>
          <w:sz w:val="19"/>
          <w:szCs w:val="19"/>
        </w:rPr>
        <w:t xml:space="preserve"> </w:t>
      </w:r>
      <w:r>
        <w:rPr>
          <w:rFonts w:ascii="Arial" w:hAnsi="Arial" w:eastAsia="Arial" w:cs="Arial"/>
          <w:spacing w:val="-5"/>
          <w:sz w:val="19"/>
          <w:szCs w:val="19"/>
        </w:rPr>
        <w:t>relecting</w:t>
      </w:r>
      <w:r>
        <w:rPr>
          <w:rFonts w:ascii="Arial" w:hAnsi="Arial" w:eastAsia="Arial" w:cs="Arial"/>
          <w:spacing w:val="27"/>
          <w:sz w:val="19"/>
          <w:szCs w:val="19"/>
        </w:rPr>
        <w:t xml:space="preserve"> </w:t>
      </w:r>
      <w:r>
        <w:rPr>
          <w:rFonts w:ascii="Arial" w:hAnsi="Arial" w:eastAsia="Arial" w:cs="Arial"/>
          <w:spacing w:val="-5"/>
          <w:sz w:val="19"/>
          <w:szCs w:val="19"/>
        </w:rPr>
        <w:t>responsibility</w:t>
      </w:r>
      <w:r>
        <w:rPr>
          <w:rFonts w:ascii="Arial" w:hAnsi="Arial" w:eastAsia="Arial" w:cs="Arial"/>
          <w:spacing w:val="17"/>
          <w:sz w:val="19"/>
          <w:szCs w:val="19"/>
        </w:rPr>
        <w:t xml:space="preserve"> </w:t>
      </w:r>
      <w:r>
        <w:rPr>
          <w:rFonts w:ascii="Arial" w:hAnsi="Arial" w:eastAsia="Arial" w:cs="Arial"/>
          <w:spacing w:val="-5"/>
          <w:sz w:val="19"/>
          <w:szCs w:val="19"/>
        </w:rPr>
        <w:t>towards</w:t>
      </w:r>
      <w:r>
        <w:rPr>
          <w:rFonts w:ascii="Arial" w:hAnsi="Arial" w:eastAsia="Arial" w:cs="Arial"/>
          <w:spacing w:val="21"/>
          <w:sz w:val="19"/>
          <w:szCs w:val="19"/>
        </w:rPr>
        <w:t xml:space="preserve"> </w:t>
      </w:r>
      <w:r>
        <w:rPr>
          <w:rFonts w:ascii="Arial" w:hAnsi="Arial" w:eastAsia="Arial" w:cs="Arial"/>
          <w:spacing w:val="-5"/>
          <w:sz w:val="19"/>
          <w:szCs w:val="19"/>
        </w:rPr>
        <w:t>quality</w:t>
      </w:r>
      <w:r>
        <w:rPr>
          <w:rFonts w:ascii="Arial" w:hAnsi="Arial" w:eastAsia="Arial" w:cs="Arial"/>
          <w:spacing w:val="26"/>
          <w:w w:val="101"/>
          <w:sz w:val="19"/>
          <w:szCs w:val="19"/>
        </w:rPr>
        <w:t xml:space="preserve"> </w:t>
      </w:r>
      <w:r>
        <w:rPr>
          <w:rFonts w:ascii="Arial" w:hAnsi="Arial" w:eastAsia="Arial" w:cs="Arial"/>
          <w:spacing w:val="-5"/>
          <w:sz w:val="19"/>
          <w:szCs w:val="19"/>
        </w:rPr>
        <w:t>issues</w:t>
      </w:r>
      <w:r>
        <w:rPr>
          <w:rFonts w:ascii="Arial" w:hAnsi="Arial" w:eastAsia="Arial" w:cs="Arial"/>
          <w:spacing w:val="28"/>
          <w:sz w:val="19"/>
          <w:szCs w:val="19"/>
        </w:rPr>
        <w:t xml:space="preserve"> </w:t>
      </w:r>
      <w:r>
        <w:rPr>
          <w:rFonts w:ascii="Arial" w:hAnsi="Arial" w:eastAsia="Arial" w:cs="Arial"/>
          <w:spacing w:val="-5"/>
          <w:sz w:val="19"/>
          <w:szCs w:val="19"/>
        </w:rPr>
        <w:t>had</w:t>
      </w:r>
      <w:r>
        <w:rPr>
          <w:rFonts w:ascii="Arial" w:hAnsi="Arial" w:eastAsia="Arial" w:cs="Arial"/>
          <w:spacing w:val="16"/>
          <w:sz w:val="19"/>
          <w:szCs w:val="19"/>
        </w:rPr>
        <w:t xml:space="preserve"> </w:t>
      </w:r>
      <w:r>
        <w:rPr>
          <w:rFonts w:ascii="Arial" w:hAnsi="Arial" w:eastAsia="Arial" w:cs="Arial"/>
          <w:spacing w:val="-5"/>
          <w:sz w:val="19"/>
          <w:szCs w:val="19"/>
        </w:rPr>
        <w:t>to</w:t>
      </w:r>
      <w:r>
        <w:rPr>
          <w:rFonts w:ascii="Arial" w:hAnsi="Arial" w:eastAsia="Arial" w:cs="Arial"/>
          <w:spacing w:val="26"/>
          <w:w w:val="101"/>
          <w:sz w:val="19"/>
          <w:szCs w:val="19"/>
        </w:rPr>
        <w:t xml:space="preserve"> </w:t>
      </w:r>
      <w:r>
        <w:rPr>
          <w:rFonts w:ascii="Arial" w:hAnsi="Arial" w:eastAsia="Arial" w:cs="Arial"/>
          <w:spacing w:val="-5"/>
          <w:sz w:val="19"/>
          <w:szCs w:val="19"/>
        </w:rPr>
        <w:t>be</w:t>
      </w:r>
      <w:r>
        <w:rPr>
          <w:rFonts w:ascii="Arial" w:hAnsi="Arial" w:eastAsia="Arial" w:cs="Arial"/>
          <w:spacing w:val="20"/>
          <w:sz w:val="19"/>
          <w:szCs w:val="19"/>
        </w:rPr>
        <w:t xml:space="preserve"> </w:t>
      </w:r>
      <w:r>
        <w:rPr>
          <w:rFonts w:ascii="Arial" w:hAnsi="Arial" w:eastAsia="Arial" w:cs="Arial"/>
          <w:spacing w:val="-5"/>
          <w:sz w:val="19"/>
          <w:szCs w:val="19"/>
        </w:rPr>
        <w:t>dis-</w:t>
      </w:r>
      <w:r>
        <w:rPr>
          <w:rFonts w:ascii="Arial" w:hAnsi="Arial" w:eastAsia="Arial" w:cs="Arial"/>
          <w:sz w:val="19"/>
          <w:szCs w:val="19"/>
        </w:rPr>
        <w:t xml:space="preserve"> </w:t>
      </w:r>
      <w:r>
        <w:rPr>
          <w:rFonts w:ascii="Arial" w:hAnsi="Arial" w:eastAsia="Arial" w:cs="Arial"/>
          <w:spacing w:val="-4"/>
          <w:sz w:val="19"/>
          <w:szCs w:val="19"/>
        </w:rPr>
        <w:t>carded</w:t>
      </w:r>
      <w:r>
        <w:rPr>
          <w:rFonts w:ascii="Arial" w:hAnsi="Arial" w:eastAsia="Arial" w:cs="Arial"/>
          <w:spacing w:val="42"/>
          <w:w w:val="101"/>
          <w:sz w:val="19"/>
          <w:szCs w:val="19"/>
        </w:rPr>
        <w:t xml:space="preserve"> </w:t>
      </w:r>
      <w:r>
        <w:rPr>
          <w:rFonts w:ascii="Arial" w:hAnsi="Arial" w:eastAsia="Arial" w:cs="Arial"/>
          <w:spacing w:val="-4"/>
          <w:sz w:val="19"/>
          <w:szCs w:val="19"/>
        </w:rPr>
        <w:t>from</w:t>
      </w:r>
      <w:r>
        <w:rPr>
          <w:rFonts w:ascii="Arial" w:hAnsi="Arial" w:eastAsia="Arial" w:cs="Arial"/>
          <w:spacing w:val="25"/>
          <w:sz w:val="19"/>
          <w:szCs w:val="19"/>
        </w:rPr>
        <w:t xml:space="preserve"> </w:t>
      </w:r>
      <w:r>
        <w:rPr>
          <w:rFonts w:ascii="Arial" w:hAnsi="Arial" w:eastAsia="Arial" w:cs="Arial"/>
          <w:spacing w:val="-4"/>
          <w:sz w:val="19"/>
          <w:szCs w:val="19"/>
        </w:rPr>
        <w:t>further</w:t>
      </w:r>
      <w:r>
        <w:rPr>
          <w:rFonts w:ascii="Arial" w:hAnsi="Arial" w:eastAsia="Arial" w:cs="Arial"/>
          <w:spacing w:val="29"/>
          <w:sz w:val="19"/>
          <w:szCs w:val="19"/>
        </w:rPr>
        <w:t xml:space="preserve"> </w:t>
      </w:r>
      <w:r>
        <w:rPr>
          <w:rFonts w:ascii="Arial" w:hAnsi="Arial" w:eastAsia="Arial" w:cs="Arial"/>
          <w:spacing w:val="-4"/>
          <w:sz w:val="19"/>
          <w:szCs w:val="19"/>
        </w:rPr>
        <w:t>analyses</w:t>
      </w:r>
      <w:r>
        <w:rPr>
          <w:rFonts w:ascii="Arial" w:hAnsi="Arial" w:eastAsia="Arial" w:cs="Arial"/>
          <w:spacing w:val="29"/>
          <w:sz w:val="19"/>
          <w:szCs w:val="19"/>
        </w:rPr>
        <w:t xml:space="preserve"> </w:t>
      </w:r>
      <w:r>
        <w:rPr>
          <w:rFonts w:ascii="Arial" w:hAnsi="Arial" w:eastAsia="Arial" w:cs="Arial"/>
          <w:spacing w:val="-4"/>
          <w:sz w:val="19"/>
          <w:szCs w:val="19"/>
        </w:rPr>
        <w:t>due</w:t>
      </w:r>
      <w:r>
        <w:rPr>
          <w:rFonts w:ascii="Arial" w:hAnsi="Arial" w:eastAsia="Arial" w:cs="Arial"/>
          <w:spacing w:val="26"/>
          <w:sz w:val="19"/>
          <w:szCs w:val="19"/>
        </w:rPr>
        <w:t xml:space="preserve"> </w:t>
      </w:r>
      <w:r>
        <w:rPr>
          <w:rFonts w:ascii="Arial" w:hAnsi="Arial" w:eastAsia="Arial" w:cs="Arial"/>
          <w:spacing w:val="-4"/>
          <w:sz w:val="19"/>
          <w:szCs w:val="19"/>
        </w:rPr>
        <w:t>to</w:t>
      </w:r>
      <w:r>
        <w:rPr>
          <w:rFonts w:ascii="Arial" w:hAnsi="Arial" w:eastAsia="Arial" w:cs="Arial"/>
          <w:spacing w:val="29"/>
          <w:sz w:val="19"/>
          <w:szCs w:val="19"/>
        </w:rPr>
        <w:t xml:space="preserve"> </w:t>
      </w:r>
      <w:r>
        <w:rPr>
          <w:rFonts w:ascii="Arial" w:hAnsi="Arial" w:eastAsia="Arial" w:cs="Arial"/>
          <w:spacing w:val="-4"/>
          <w:sz w:val="19"/>
          <w:szCs w:val="19"/>
        </w:rPr>
        <w:t>ambiguous</w:t>
      </w:r>
      <w:r>
        <w:rPr>
          <w:rFonts w:ascii="Arial" w:hAnsi="Arial" w:eastAsia="Arial" w:cs="Arial"/>
          <w:spacing w:val="26"/>
          <w:sz w:val="19"/>
          <w:szCs w:val="19"/>
        </w:rPr>
        <w:t xml:space="preserve"> </w:t>
      </w:r>
      <w:r>
        <w:rPr>
          <w:rFonts w:ascii="Arial" w:hAnsi="Arial" w:eastAsia="Arial" w:cs="Arial"/>
          <w:spacing w:val="-4"/>
          <w:sz w:val="19"/>
          <w:szCs w:val="19"/>
        </w:rPr>
        <w:t>factor</w:t>
      </w:r>
      <w:r>
        <w:rPr>
          <w:rFonts w:ascii="Arial" w:hAnsi="Arial" w:eastAsia="Arial" w:cs="Arial"/>
          <w:spacing w:val="36"/>
          <w:w w:val="101"/>
          <w:sz w:val="19"/>
          <w:szCs w:val="19"/>
        </w:rPr>
        <w:t xml:space="preserve"> </w:t>
      </w:r>
      <w:r>
        <w:rPr>
          <w:rFonts w:ascii="Arial" w:hAnsi="Arial" w:eastAsia="Arial" w:cs="Arial"/>
          <w:spacing w:val="-4"/>
          <w:sz w:val="19"/>
          <w:szCs w:val="19"/>
        </w:rPr>
        <w:t>loadings</w:t>
      </w:r>
      <w:r>
        <w:rPr>
          <w:rFonts w:ascii="Arial" w:hAnsi="Arial" w:eastAsia="Arial" w:cs="Arial"/>
          <w:spacing w:val="35"/>
          <w:sz w:val="19"/>
          <w:szCs w:val="19"/>
        </w:rPr>
        <w:t xml:space="preserve"> </w:t>
      </w:r>
      <w:r>
        <w:rPr>
          <w:rFonts w:ascii="Arial" w:hAnsi="Arial" w:eastAsia="Arial" w:cs="Arial"/>
          <w:spacing w:val="-4"/>
          <w:sz w:val="19"/>
          <w:szCs w:val="19"/>
        </w:rPr>
        <w:t>leading</w:t>
      </w:r>
      <w:r>
        <w:rPr>
          <w:rFonts w:ascii="Arial" w:hAnsi="Arial" w:eastAsia="Arial" w:cs="Arial"/>
          <w:spacing w:val="26"/>
          <w:w w:val="101"/>
          <w:sz w:val="19"/>
          <w:szCs w:val="19"/>
        </w:rPr>
        <w:t xml:space="preserve"> </w:t>
      </w:r>
      <w:r>
        <w:rPr>
          <w:rFonts w:ascii="Arial" w:hAnsi="Arial" w:eastAsia="Arial" w:cs="Arial"/>
          <w:spacing w:val="-4"/>
          <w:sz w:val="19"/>
          <w:szCs w:val="19"/>
        </w:rPr>
        <w:t>to</w:t>
      </w:r>
      <w:r>
        <w:rPr>
          <w:rFonts w:ascii="Arial" w:hAnsi="Arial" w:eastAsia="Arial" w:cs="Arial"/>
          <w:spacing w:val="28"/>
          <w:sz w:val="19"/>
          <w:szCs w:val="19"/>
        </w:rPr>
        <w:t xml:space="preserve"> </w:t>
      </w:r>
      <w:r>
        <w:rPr>
          <w:rFonts w:ascii="Arial" w:hAnsi="Arial" w:eastAsia="Arial" w:cs="Arial"/>
          <w:spacing w:val="-4"/>
          <w:sz w:val="19"/>
          <w:szCs w:val="19"/>
        </w:rPr>
        <w:t>an</w:t>
      </w:r>
      <w:r>
        <w:rPr>
          <w:rFonts w:ascii="Arial" w:hAnsi="Arial" w:eastAsia="Arial" w:cs="Arial"/>
          <w:spacing w:val="34"/>
          <w:sz w:val="19"/>
          <w:szCs w:val="19"/>
        </w:rPr>
        <w:t xml:space="preserve"> </w:t>
      </w:r>
      <w:r>
        <w:rPr>
          <w:rFonts w:ascii="Arial" w:hAnsi="Arial" w:eastAsia="Arial" w:cs="Arial"/>
          <w:spacing w:val="-4"/>
          <w:sz w:val="19"/>
          <w:szCs w:val="19"/>
        </w:rPr>
        <w:t>insuicient</w:t>
      </w:r>
      <w:r>
        <w:rPr>
          <w:rFonts w:ascii="Arial" w:hAnsi="Arial" w:eastAsia="Arial" w:cs="Arial"/>
          <w:spacing w:val="29"/>
          <w:sz w:val="19"/>
          <w:szCs w:val="19"/>
        </w:rPr>
        <w:t xml:space="preserve"> </w:t>
      </w:r>
      <w:r>
        <w:rPr>
          <w:rFonts w:ascii="Arial" w:hAnsi="Arial" w:eastAsia="Arial" w:cs="Arial"/>
          <w:spacing w:val="-4"/>
          <w:sz w:val="19"/>
          <w:szCs w:val="19"/>
        </w:rPr>
        <w:t>overall</w:t>
      </w:r>
      <w:r>
        <w:rPr>
          <w:rFonts w:ascii="Arial" w:hAnsi="Arial" w:eastAsia="Arial" w:cs="Arial"/>
          <w:sz w:val="19"/>
          <w:szCs w:val="19"/>
        </w:rPr>
        <w:t xml:space="preserve"> </w:t>
      </w:r>
      <w:r>
        <w:rPr>
          <w:rFonts w:ascii="Arial" w:hAnsi="Arial" w:eastAsia="Arial" w:cs="Arial"/>
          <w:spacing w:val="-6"/>
          <w:sz w:val="19"/>
          <w:szCs w:val="19"/>
        </w:rPr>
        <w:t>factor</w:t>
      </w:r>
      <w:r>
        <w:rPr>
          <w:rFonts w:ascii="Arial" w:hAnsi="Arial" w:eastAsia="Arial" w:cs="Arial"/>
          <w:spacing w:val="35"/>
          <w:sz w:val="19"/>
          <w:szCs w:val="19"/>
        </w:rPr>
        <w:t xml:space="preserve"> </w:t>
      </w:r>
      <w:r>
        <w:rPr>
          <w:rFonts w:ascii="Arial" w:hAnsi="Arial" w:eastAsia="Arial" w:cs="Arial"/>
          <w:spacing w:val="-5"/>
          <w:sz w:val="19"/>
          <w:szCs w:val="19"/>
        </w:rPr>
        <w:t>solution.</w:t>
      </w:r>
      <w:r>
        <w:rPr>
          <w:rFonts w:ascii="Arial" w:hAnsi="Arial" w:eastAsia="Arial" w:cs="Arial"/>
          <w:spacing w:val="27"/>
          <w:sz w:val="19"/>
          <w:szCs w:val="19"/>
        </w:rPr>
        <w:t xml:space="preserve"> </w:t>
      </w:r>
      <w:r>
        <w:rPr>
          <w:rFonts w:ascii="Arial" w:hAnsi="Arial" w:eastAsia="Arial" w:cs="Arial"/>
          <w:spacing w:val="-5"/>
          <w:sz w:val="19"/>
          <w:szCs w:val="19"/>
        </w:rPr>
        <w:t>These</w:t>
      </w:r>
      <w:r>
        <w:rPr>
          <w:rFonts w:ascii="Arial" w:hAnsi="Arial" w:eastAsia="Arial" w:cs="Arial"/>
          <w:spacing w:val="41"/>
          <w:sz w:val="19"/>
          <w:szCs w:val="19"/>
        </w:rPr>
        <w:t xml:space="preserve"> </w:t>
      </w:r>
      <w:r>
        <w:rPr>
          <w:rFonts w:ascii="Arial" w:hAnsi="Arial" w:eastAsia="Arial" w:cs="Arial"/>
          <w:spacing w:val="-5"/>
          <w:sz w:val="19"/>
          <w:szCs w:val="19"/>
        </w:rPr>
        <w:t>results</w:t>
      </w:r>
      <w:r>
        <w:rPr>
          <w:rFonts w:ascii="Arial" w:hAnsi="Arial" w:eastAsia="Arial" w:cs="Arial"/>
          <w:spacing w:val="38"/>
          <w:sz w:val="19"/>
          <w:szCs w:val="19"/>
        </w:rPr>
        <w:t xml:space="preserve"> </w:t>
      </w:r>
      <w:r>
        <w:rPr>
          <w:rFonts w:ascii="Arial" w:hAnsi="Arial" w:eastAsia="Arial" w:cs="Arial"/>
          <w:spacing w:val="-5"/>
          <w:sz w:val="19"/>
          <w:szCs w:val="19"/>
        </w:rPr>
        <w:t>indicate</w:t>
      </w:r>
      <w:r>
        <w:rPr>
          <w:rFonts w:ascii="Arial" w:hAnsi="Arial" w:eastAsia="Arial" w:cs="Arial"/>
          <w:spacing w:val="29"/>
          <w:sz w:val="19"/>
          <w:szCs w:val="19"/>
        </w:rPr>
        <w:t xml:space="preserve"> </w:t>
      </w:r>
      <w:r>
        <w:rPr>
          <w:rFonts w:ascii="Arial" w:hAnsi="Arial" w:eastAsia="Arial" w:cs="Arial"/>
          <w:spacing w:val="-5"/>
          <w:sz w:val="19"/>
          <w:szCs w:val="19"/>
        </w:rPr>
        <w:t>that</w:t>
      </w:r>
      <w:r>
        <w:rPr>
          <w:rFonts w:ascii="Arial" w:hAnsi="Arial" w:eastAsia="Arial" w:cs="Arial"/>
          <w:spacing w:val="29"/>
          <w:sz w:val="19"/>
          <w:szCs w:val="19"/>
        </w:rPr>
        <w:t xml:space="preserve"> </w:t>
      </w:r>
      <w:r>
        <w:rPr>
          <w:rFonts w:ascii="Arial" w:hAnsi="Arial" w:eastAsia="Arial" w:cs="Arial"/>
          <w:spacing w:val="-5"/>
          <w:sz w:val="19"/>
          <w:szCs w:val="19"/>
        </w:rPr>
        <w:t>the</w:t>
      </w:r>
      <w:r>
        <w:rPr>
          <w:rFonts w:ascii="Arial" w:hAnsi="Arial" w:eastAsia="Arial" w:cs="Arial"/>
          <w:spacing w:val="39"/>
          <w:w w:val="101"/>
          <w:sz w:val="19"/>
          <w:szCs w:val="19"/>
        </w:rPr>
        <w:t xml:space="preserve"> </w:t>
      </w:r>
      <w:r>
        <w:rPr>
          <w:rFonts w:ascii="Arial" w:hAnsi="Arial" w:eastAsia="Arial" w:cs="Arial"/>
          <w:spacing w:val="-5"/>
          <w:sz w:val="19"/>
          <w:szCs w:val="19"/>
        </w:rPr>
        <w:t>responsibility</w:t>
      </w:r>
      <w:r>
        <w:rPr>
          <w:rFonts w:ascii="Arial" w:hAnsi="Arial" w:eastAsia="Arial" w:cs="Arial"/>
          <w:spacing w:val="38"/>
          <w:sz w:val="19"/>
          <w:szCs w:val="19"/>
        </w:rPr>
        <w:t xml:space="preserve"> </w:t>
      </w:r>
      <w:r>
        <w:rPr>
          <w:rFonts w:ascii="Arial" w:hAnsi="Arial" w:eastAsia="Arial" w:cs="Arial"/>
          <w:spacing w:val="-5"/>
          <w:sz w:val="19"/>
          <w:szCs w:val="19"/>
        </w:rPr>
        <w:t>i</w:t>
      </w:r>
      <w:r>
        <w:rPr>
          <w:rFonts w:ascii="Arial" w:hAnsi="Arial" w:eastAsia="Arial" w:cs="Arial"/>
          <w:spacing w:val="-6"/>
          <w:sz w:val="19"/>
          <w:szCs w:val="19"/>
        </w:rPr>
        <w:t>tems</w:t>
      </w:r>
      <w:r>
        <w:rPr>
          <w:rFonts w:ascii="Arial" w:hAnsi="Arial" w:eastAsia="Arial" w:cs="Arial"/>
          <w:spacing w:val="38"/>
          <w:w w:val="101"/>
          <w:sz w:val="19"/>
          <w:szCs w:val="19"/>
        </w:rPr>
        <w:t xml:space="preserve"> </w:t>
      </w:r>
      <w:r>
        <w:rPr>
          <w:rFonts w:ascii="Arial" w:hAnsi="Arial" w:eastAsia="Arial" w:cs="Arial"/>
          <w:spacing w:val="-6"/>
          <w:sz w:val="19"/>
          <w:szCs w:val="19"/>
        </w:rPr>
        <w:t>need</w:t>
      </w:r>
      <w:r>
        <w:rPr>
          <w:rFonts w:ascii="Arial" w:hAnsi="Arial" w:eastAsia="Arial" w:cs="Arial"/>
          <w:spacing w:val="31"/>
          <w:sz w:val="19"/>
          <w:szCs w:val="19"/>
        </w:rPr>
        <w:t xml:space="preserve"> </w:t>
      </w:r>
      <w:r>
        <w:rPr>
          <w:rFonts w:ascii="Arial" w:hAnsi="Arial" w:eastAsia="Arial" w:cs="Arial"/>
          <w:spacing w:val="-6"/>
          <w:sz w:val="19"/>
          <w:szCs w:val="19"/>
        </w:rPr>
        <w:t>to</w:t>
      </w:r>
      <w:r>
        <w:rPr>
          <w:rFonts w:ascii="Arial" w:hAnsi="Arial" w:eastAsia="Arial" w:cs="Arial"/>
          <w:spacing w:val="39"/>
          <w:sz w:val="19"/>
          <w:szCs w:val="19"/>
        </w:rPr>
        <w:t xml:space="preserve"> </w:t>
      </w:r>
      <w:r>
        <w:rPr>
          <w:rFonts w:ascii="Arial" w:hAnsi="Arial" w:eastAsia="Arial" w:cs="Arial"/>
          <w:spacing w:val="-6"/>
          <w:sz w:val="19"/>
          <w:szCs w:val="19"/>
        </w:rPr>
        <w:t>be</w:t>
      </w:r>
      <w:r>
        <w:rPr>
          <w:rFonts w:ascii="Arial" w:hAnsi="Arial" w:eastAsia="Arial" w:cs="Arial"/>
          <w:spacing w:val="39"/>
          <w:w w:val="101"/>
          <w:sz w:val="19"/>
          <w:szCs w:val="19"/>
        </w:rPr>
        <w:t xml:space="preserve"> </w:t>
      </w:r>
      <w:r>
        <w:rPr>
          <w:rFonts w:ascii="Arial" w:hAnsi="Arial" w:eastAsia="Arial" w:cs="Arial"/>
          <w:spacing w:val="-6"/>
          <w:sz w:val="19"/>
          <w:szCs w:val="19"/>
        </w:rPr>
        <w:t>revised</w:t>
      </w:r>
      <w:r>
        <w:rPr>
          <w:rFonts w:ascii="Arial" w:hAnsi="Arial" w:eastAsia="Arial" w:cs="Arial"/>
          <w:spacing w:val="39"/>
          <w:sz w:val="19"/>
          <w:szCs w:val="19"/>
        </w:rPr>
        <w:t xml:space="preserve"> </w:t>
      </w:r>
      <w:r>
        <w:rPr>
          <w:rFonts w:ascii="Arial" w:hAnsi="Arial" w:eastAsia="Arial" w:cs="Arial"/>
          <w:spacing w:val="-6"/>
          <w:sz w:val="19"/>
          <w:szCs w:val="19"/>
        </w:rPr>
        <w:t>in</w:t>
      </w:r>
      <w:r>
        <w:rPr>
          <w:rFonts w:ascii="Arial" w:hAnsi="Arial" w:eastAsia="Arial" w:cs="Arial"/>
          <w:spacing w:val="28"/>
          <w:sz w:val="19"/>
          <w:szCs w:val="19"/>
        </w:rPr>
        <w:t xml:space="preserve"> </w:t>
      </w:r>
      <w:r>
        <w:rPr>
          <w:rFonts w:ascii="Arial" w:hAnsi="Arial" w:eastAsia="Arial" w:cs="Arial"/>
          <w:spacing w:val="-6"/>
          <w:sz w:val="19"/>
          <w:szCs w:val="19"/>
        </w:rPr>
        <w:t>furthe</w:t>
      </w:r>
      <w:r>
        <w:rPr>
          <w:rFonts w:ascii="Arial" w:hAnsi="Arial" w:eastAsia="Arial" w:cs="Arial"/>
          <w:sz w:val="19"/>
          <w:szCs w:val="19"/>
        </w:rPr>
        <w:t xml:space="preserve">r </w:t>
      </w:r>
      <w:r>
        <w:rPr>
          <w:rFonts w:ascii="Arial" w:hAnsi="Arial" w:eastAsia="Arial" w:cs="Arial"/>
          <w:spacing w:val="-4"/>
          <w:sz w:val="19"/>
          <w:szCs w:val="19"/>
        </w:rPr>
        <w:t>studies</w:t>
      </w:r>
      <w:r>
        <w:rPr>
          <w:rFonts w:ascii="Arial" w:hAnsi="Arial" w:eastAsia="Arial" w:cs="Arial"/>
          <w:spacing w:val="20"/>
          <w:w w:val="101"/>
          <w:sz w:val="19"/>
          <w:szCs w:val="19"/>
        </w:rPr>
        <w:t xml:space="preserve"> </w:t>
      </w:r>
      <w:r>
        <w:rPr>
          <w:rFonts w:ascii="Arial" w:hAnsi="Arial" w:eastAsia="Arial" w:cs="Arial"/>
          <w:spacing w:val="-4"/>
          <w:sz w:val="19"/>
          <w:szCs w:val="19"/>
        </w:rPr>
        <w:t>in</w:t>
      </w:r>
      <w:r>
        <w:rPr>
          <w:rFonts w:ascii="Arial" w:hAnsi="Arial" w:eastAsia="Arial" w:cs="Arial"/>
          <w:spacing w:val="13"/>
          <w:w w:val="101"/>
          <w:sz w:val="19"/>
          <w:szCs w:val="19"/>
        </w:rPr>
        <w:t xml:space="preserve"> </w:t>
      </w:r>
      <w:r>
        <w:rPr>
          <w:rFonts w:ascii="Arial" w:hAnsi="Arial" w:eastAsia="Arial" w:cs="Arial"/>
          <w:spacing w:val="-4"/>
          <w:sz w:val="19"/>
          <w:szCs w:val="19"/>
        </w:rPr>
        <w:t>order</w:t>
      </w:r>
      <w:r>
        <w:rPr>
          <w:rFonts w:ascii="Arial" w:hAnsi="Arial" w:eastAsia="Arial" w:cs="Arial"/>
          <w:spacing w:val="11"/>
          <w:sz w:val="19"/>
          <w:szCs w:val="19"/>
        </w:rPr>
        <w:t xml:space="preserve"> </w:t>
      </w:r>
      <w:r>
        <w:rPr>
          <w:rFonts w:ascii="Arial" w:hAnsi="Arial" w:eastAsia="Arial" w:cs="Arial"/>
          <w:spacing w:val="-4"/>
          <w:sz w:val="19"/>
          <w:szCs w:val="19"/>
        </w:rPr>
        <w:t>to</w:t>
      </w:r>
      <w:r>
        <w:rPr>
          <w:rFonts w:ascii="Arial" w:hAnsi="Arial" w:eastAsia="Arial" w:cs="Arial"/>
          <w:spacing w:val="14"/>
          <w:sz w:val="19"/>
          <w:szCs w:val="19"/>
        </w:rPr>
        <w:t xml:space="preserve"> </w:t>
      </w:r>
      <w:r>
        <w:rPr>
          <w:rFonts w:ascii="Arial" w:hAnsi="Arial" w:eastAsia="Arial" w:cs="Arial"/>
          <w:spacing w:val="-4"/>
          <w:sz w:val="19"/>
          <w:szCs w:val="19"/>
        </w:rPr>
        <w:t>obtain</w:t>
      </w:r>
      <w:r>
        <w:rPr>
          <w:rFonts w:ascii="Arial" w:hAnsi="Arial" w:eastAsia="Arial" w:cs="Arial"/>
          <w:spacing w:val="14"/>
          <w:sz w:val="19"/>
          <w:szCs w:val="19"/>
        </w:rPr>
        <w:t xml:space="preserve"> </w:t>
      </w:r>
      <w:r>
        <w:rPr>
          <w:rFonts w:ascii="Arial" w:hAnsi="Arial" w:eastAsia="Arial" w:cs="Arial"/>
          <w:spacing w:val="-4"/>
          <w:sz w:val="19"/>
          <w:szCs w:val="19"/>
        </w:rPr>
        <w:t>an</w:t>
      </w:r>
      <w:r>
        <w:rPr>
          <w:rFonts w:ascii="Arial" w:hAnsi="Arial" w:eastAsia="Arial" w:cs="Arial"/>
          <w:spacing w:val="18"/>
          <w:sz w:val="19"/>
          <w:szCs w:val="19"/>
        </w:rPr>
        <w:t xml:space="preserve"> </w:t>
      </w:r>
      <w:r>
        <w:rPr>
          <w:rFonts w:ascii="Arial" w:hAnsi="Arial" w:eastAsia="Arial" w:cs="Arial"/>
          <w:spacing w:val="-4"/>
          <w:sz w:val="19"/>
          <w:szCs w:val="19"/>
        </w:rPr>
        <w:t>independent</w:t>
      </w:r>
      <w:r>
        <w:rPr>
          <w:rFonts w:ascii="Arial" w:hAnsi="Arial" w:eastAsia="Arial" w:cs="Arial"/>
          <w:spacing w:val="20"/>
          <w:w w:val="101"/>
          <w:sz w:val="19"/>
          <w:szCs w:val="19"/>
        </w:rPr>
        <w:t xml:space="preserve"> </w:t>
      </w:r>
      <w:r>
        <w:rPr>
          <w:rFonts w:ascii="Arial" w:hAnsi="Arial" w:eastAsia="Arial" w:cs="Arial"/>
          <w:spacing w:val="-4"/>
          <w:sz w:val="19"/>
          <w:szCs w:val="19"/>
        </w:rPr>
        <w:t>responsibil</w:t>
      </w:r>
      <w:r>
        <w:rPr>
          <w:rFonts w:ascii="Arial" w:hAnsi="Arial" w:eastAsia="Arial" w:cs="Arial"/>
          <w:spacing w:val="-5"/>
          <w:sz w:val="19"/>
          <w:szCs w:val="19"/>
        </w:rPr>
        <w:t>ity factor.</w:t>
      </w:r>
      <w:r>
        <w:rPr>
          <w:rFonts w:ascii="Arial" w:hAnsi="Arial" w:eastAsia="Arial" w:cs="Arial"/>
          <w:spacing w:val="22"/>
          <w:w w:val="101"/>
          <w:sz w:val="19"/>
          <w:szCs w:val="19"/>
        </w:rPr>
        <w:t xml:space="preserve"> </w:t>
      </w:r>
      <w:r>
        <w:rPr>
          <w:rFonts w:ascii="Arial" w:hAnsi="Arial" w:eastAsia="Arial" w:cs="Arial"/>
          <w:spacing w:val="-5"/>
          <w:sz w:val="19"/>
          <w:szCs w:val="19"/>
        </w:rPr>
        <w:t>However,</w:t>
      </w:r>
      <w:r>
        <w:rPr>
          <w:rFonts w:ascii="Arial" w:hAnsi="Arial" w:eastAsia="Arial" w:cs="Arial"/>
          <w:spacing w:val="14"/>
          <w:sz w:val="19"/>
          <w:szCs w:val="19"/>
        </w:rPr>
        <w:t xml:space="preserve"> </w:t>
      </w:r>
      <w:r>
        <w:rPr>
          <w:rFonts w:ascii="Arial" w:hAnsi="Arial" w:eastAsia="Arial" w:cs="Arial"/>
          <w:spacing w:val="-5"/>
          <w:sz w:val="19"/>
          <w:szCs w:val="19"/>
        </w:rPr>
        <w:t>all</w:t>
      </w:r>
      <w:r>
        <w:rPr>
          <w:rFonts w:ascii="Arial" w:hAnsi="Arial" w:eastAsia="Arial" w:cs="Arial"/>
          <w:spacing w:val="13"/>
          <w:w w:val="101"/>
          <w:sz w:val="19"/>
          <w:szCs w:val="19"/>
        </w:rPr>
        <w:t xml:space="preserve"> </w:t>
      </w:r>
      <w:r>
        <w:rPr>
          <w:rFonts w:ascii="Arial" w:hAnsi="Arial" w:eastAsia="Arial" w:cs="Arial"/>
          <w:spacing w:val="-5"/>
          <w:sz w:val="19"/>
          <w:szCs w:val="19"/>
        </w:rPr>
        <w:t>of the</w:t>
      </w:r>
      <w:r>
        <w:rPr>
          <w:rFonts w:ascii="Arial" w:hAnsi="Arial" w:eastAsia="Arial" w:cs="Arial"/>
          <w:spacing w:val="14"/>
          <w:sz w:val="19"/>
          <w:szCs w:val="19"/>
        </w:rPr>
        <w:t xml:space="preserve"> </w:t>
      </w:r>
      <w:r>
        <w:rPr>
          <w:rFonts w:ascii="Arial" w:hAnsi="Arial" w:eastAsia="Arial" w:cs="Arial"/>
          <w:spacing w:val="-5"/>
          <w:sz w:val="19"/>
          <w:szCs w:val="19"/>
        </w:rPr>
        <w:t>other</w:t>
      </w:r>
      <w:r>
        <w:rPr>
          <w:rFonts w:ascii="Arial" w:hAnsi="Arial" w:eastAsia="Arial" w:cs="Arial"/>
          <w:spacing w:val="20"/>
          <w:w w:val="101"/>
          <w:sz w:val="19"/>
          <w:szCs w:val="19"/>
        </w:rPr>
        <w:t xml:space="preserve"> </w:t>
      </w:r>
      <w:r>
        <w:rPr>
          <w:rFonts w:ascii="Arial" w:hAnsi="Arial" w:eastAsia="Arial" w:cs="Arial"/>
          <w:spacing w:val="-5"/>
          <w:sz w:val="19"/>
          <w:szCs w:val="19"/>
        </w:rPr>
        <w:t>proposed</w:t>
      </w:r>
      <w:r>
        <w:rPr>
          <w:rFonts w:ascii="Arial" w:hAnsi="Arial" w:eastAsia="Arial" w:cs="Arial"/>
          <w:sz w:val="19"/>
          <w:szCs w:val="19"/>
        </w:rPr>
        <w:t xml:space="preserve"> </w:t>
      </w:r>
      <w:r>
        <w:rPr>
          <w:rFonts w:ascii="Arial" w:hAnsi="Arial" w:eastAsia="Arial" w:cs="Arial"/>
          <w:spacing w:val="-4"/>
          <w:sz w:val="19"/>
          <w:szCs w:val="19"/>
        </w:rPr>
        <w:t>quality culture dimensions wer</w:t>
      </w:r>
      <w:r>
        <w:rPr>
          <w:rFonts w:ascii="Arial" w:hAnsi="Arial" w:eastAsia="Arial" w:cs="Arial"/>
          <w:spacing w:val="-5"/>
          <w:sz w:val="19"/>
          <w:szCs w:val="19"/>
        </w:rPr>
        <w:t>e adequately</w:t>
      </w:r>
      <w:r>
        <w:rPr>
          <w:rFonts w:ascii="Arial" w:hAnsi="Arial" w:eastAsia="Arial" w:cs="Arial"/>
          <w:spacing w:val="9"/>
          <w:sz w:val="19"/>
          <w:szCs w:val="19"/>
        </w:rPr>
        <w:t xml:space="preserve"> </w:t>
      </w:r>
      <w:r>
        <w:rPr>
          <w:rFonts w:ascii="Arial" w:hAnsi="Arial" w:eastAsia="Arial" w:cs="Arial"/>
          <w:spacing w:val="-5"/>
          <w:sz w:val="19"/>
          <w:szCs w:val="19"/>
        </w:rPr>
        <w:t>represented in</w:t>
      </w:r>
      <w:r>
        <w:rPr>
          <w:rFonts w:ascii="Arial" w:hAnsi="Arial" w:eastAsia="Arial" w:cs="Arial"/>
          <w:spacing w:val="6"/>
          <w:sz w:val="19"/>
          <w:szCs w:val="19"/>
        </w:rPr>
        <w:t xml:space="preserve"> </w:t>
      </w:r>
      <w:r>
        <w:rPr>
          <w:rFonts w:ascii="Arial" w:hAnsi="Arial" w:eastAsia="Arial" w:cs="Arial"/>
          <w:spacing w:val="-5"/>
          <w:sz w:val="19"/>
          <w:szCs w:val="19"/>
        </w:rPr>
        <w:t>our</w:t>
      </w:r>
      <w:r>
        <w:rPr>
          <w:rFonts w:ascii="Arial" w:hAnsi="Arial" w:eastAsia="Arial" w:cs="Arial"/>
          <w:spacing w:val="5"/>
          <w:sz w:val="19"/>
          <w:szCs w:val="19"/>
        </w:rPr>
        <w:t xml:space="preserve"> </w:t>
      </w:r>
      <w:r>
        <w:rPr>
          <w:rFonts w:ascii="Arial" w:hAnsi="Arial" w:eastAsia="Arial" w:cs="Arial"/>
          <w:spacing w:val="-5"/>
          <w:sz w:val="19"/>
          <w:szCs w:val="19"/>
        </w:rPr>
        <w:t>questionnaire and</w:t>
      </w:r>
      <w:r>
        <w:rPr>
          <w:rFonts w:ascii="Arial" w:hAnsi="Arial" w:eastAsia="Arial" w:cs="Arial"/>
          <w:spacing w:val="10"/>
          <w:sz w:val="19"/>
          <w:szCs w:val="19"/>
        </w:rPr>
        <w:t xml:space="preserve"> </w:t>
      </w:r>
      <w:r>
        <w:rPr>
          <w:rFonts w:ascii="Arial" w:hAnsi="Arial" w:eastAsia="Arial" w:cs="Arial"/>
          <w:spacing w:val="-5"/>
          <w:sz w:val="19"/>
          <w:szCs w:val="19"/>
        </w:rPr>
        <w:t>in-depth</w:t>
      </w:r>
      <w:r>
        <w:rPr>
          <w:rFonts w:ascii="Arial" w:hAnsi="Arial" w:eastAsia="Arial" w:cs="Arial"/>
          <w:spacing w:val="5"/>
          <w:sz w:val="19"/>
          <w:szCs w:val="19"/>
        </w:rPr>
        <w:t xml:space="preserve"> </w:t>
      </w:r>
      <w:r>
        <w:rPr>
          <w:rFonts w:ascii="Arial" w:hAnsi="Arial" w:eastAsia="Arial" w:cs="Arial"/>
          <w:spacing w:val="-5"/>
          <w:sz w:val="19"/>
          <w:szCs w:val="19"/>
        </w:rPr>
        <w:t>analyses</w:t>
      </w:r>
      <w:r>
        <w:rPr>
          <w:rFonts w:ascii="Arial" w:hAnsi="Arial" w:eastAsia="Arial" w:cs="Arial"/>
          <w:sz w:val="19"/>
          <w:szCs w:val="19"/>
        </w:rPr>
        <w:t xml:space="preserve"> </w:t>
      </w:r>
      <w:r>
        <w:rPr>
          <w:rFonts w:ascii="Arial" w:hAnsi="Arial" w:eastAsia="Arial" w:cs="Arial"/>
          <w:spacing w:val="-4"/>
          <w:sz w:val="19"/>
          <w:szCs w:val="19"/>
        </w:rPr>
        <w:t>supported the</w:t>
      </w:r>
      <w:r>
        <w:rPr>
          <w:rFonts w:ascii="Arial" w:hAnsi="Arial" w:eastAsia="Arial" w:cs="Arial"/>
          <w:spacing w:val="36"/>
          <w:sz w:val="19"/>
          <w:szCs w:val="19"/>
        </w:rPr>
        <w:t xml:space="preserve"> </w:t>
      </w:r>
      <w:r>
        <w:rPr>
          <w:rFonts w:ascii="Arial" w:hAnsi="Arial" w:eastAsia="Arial" w:cs="Arial"/>
          <w:spacing w:val="-4"/>
          <w:sz w:val="19"/>
          <w:szCs w:val="19"/>
        </w:rPr>
        <w:t>reliability</w:t>
      </w:r>
      <w:r>
        <w:rPr>
          <w:rFonts w:ascii="Arial" w:hAnsi="Arial" w:eastAsia="Arial" w:cs="Arial"/>
          <w:spacing w:val="12"/>
          <w:sz w:val="19"/>
          <w:szCs w:val="19"/>
        </w:rPr>
        <w:t xml:space="preserve"> </w:t>
      </w:r>
      <w:r>
        <w:rPr>
          <w:rFonts w:ascii="Arial" w:hAnsi="Arial" w:eastAsia="Arial" w:cs="Arial"/>
          <w:spacing w:val="-4"/>
          <w:sz w:val="19"/>
          <w:szCs w:val="19"/>
        </w:rPr>
        <w:t>and validity</w:t>
      </w:r>
      <w:r>
        <w:rPr>
          <w:rFonts w:ascii="Arial" w:hAnsi="Arial" w:eastAsia="Arial" w:cs="Arial"/>
          <w:spacing w:val="13"/>
          <w:w w:val="101"/>
          <w:sz w:val="19"/>
          <w:szCs w:val="19"/>
        </w:rPr>
        <w:t xml:space="preserve"> </w:t>
      </w:r>
      <w:r>
        <w:rPr>
          <w:rFonts w:ascii="Arial" w:hAnsi="Arial" w:eastAsia="Arial" w:cs="Arial"/>
          <w:spacing w:val="-4"/>
          <w:sz w:val="19"/>
          <w:szCs w:val="19"/>
        </w:rPr>
        <w:t>of the</w:t>
      </w:r>
      <w:r>
        <w:rPr>
          <w:rFonts w:ascii="Arial" w:hAnsi="Arial" w:eastAsia="Arial" w:cs="Arial"/>
          <w:spacing w:val="12"/>
          <w:sz w:val="19"/>
          <w:szCs w:val="19"/>
        </w:rPr>
        <w:t xml:space="preserve"> </w:t>
      </w:r>
      <w:r>
        <w:rPr>
          <w:rFonts w:ascii="Arial" w:hAnsi="Arial" w:eastAsia="Arial" w:cs="Arial"/>
          <w:spacing w:val="-4"/>
          <w:sz w:val="19"/>
          <w:szCs w:val="19"/>
        </w:rPr>
        <w:t>developed</w:t>
      </w:r>
      <w:r>
        <w:rPr>
          <w:rFonts w:ascii="Arial" w:hAnsi="Arial" w:eastAsia="Arial" w:cs="Arial"/>
          <w:spacing w:val="13"/>
          <w:w w:val="101"/>
          <w:sz w:val="19"/>
          <w:szCs w:val="19"/>
        </w:rPr>
        <w:t xml:space="preserve"> </w:t>
      </w:r>
      <w:r>
        <w:rPr>
          <w:rFonts w:ascii="Arial" w:hAnsi="Arial" w:eastAsia="Arial" w:cs="Arial"/>
          <w:spacing w:val="-4"/>
          <w:sz w:val="19"/>
          <w:szCs w:val="19"/>
        </w:rPr>
        <w:t>scales.</w:t>
      </w:r>
    </w:p>
    <w:p>
      <w:pPr>
        <w:spacing w:line="260" w:lineRule="auto"/>
        <w:rPr>
          <w:rFonts w:ascii="Arial" w:hAnsi="Arial" w:eastAsia="Arial" w:cs="Arial"/>
          <w:sz w:val="19"/>
          <w:szCs w:val="19"/>
        </w:rPr>
        <w:sectPr>
          <w:type w:val="continuous"/>
          <w:pgSz w:w="9865" w:h="14060"/>
          <w:pgMar w:top="400" w:right="959" w:bottom="400" w:left="768" w:header="0" w:footer="0" w:gutter="0"/>
          <w:cols w:equalWidth="0" w:num="1">
            <w:col w:w="8137"/>
          </w:cols>
        </w:sectPr>
      </w:pPr>
    </w:p>
    <w:p>
      <w:pPr>
        <w:spacing w:line="248" w:lineRule="auto"/>
        <w:rPr>
          <w:rFonts w:ascii="Arial"/>
          <w:sz w:val="21"/>
        </w:rPr>
      </w:pPr>
      <w:r>
        <mc:AlternateContent>
          <mc:Choice Requires="wps">
            <w:drawing>
              <wp:anchor distT="0" distB="0" distL="0" distR="0" simplePos="0" relativeHeight="251747328" behindDoc="0" locked="0" layoutInCell="0" allowOverlap="1">
                <wp:simplePos x="0" y="0"/>
                <wp:positionH relativeFrom="page">
                  <wp:posOffset>7754620</wp:posOffset>
                </wp:positionH>
                <wp:positionV relativeFrom="page">
                  <wp:posOffset>4588510</wp:posOffset>
                </wp:positionV>
                <wp:extent cx="1566545" cy="200660"/>
                <wp:effectExtent l="0" t="0" r="0" b="0"/>
                <wp:wrapNone/>
                <wp:docPr id="140" name="TextBox 140"/>
                <wp:cNvGraphicFramePr/>
                <a:graphic xmlns:a="http://schemas.openxmlformats.org/drawingml/2006/main">
                  <a:graphicData uri="http://schemas.microsoft.com/office/word/2010/wordprocessingShape">
                    <wps:wsp>
                      <wps:cNvSpPr txBox="1"/>
                      <wps:spPr>
                        <a:xfrm rot="5400000">
                          <a:off x="7755206" y="4588906"/>
                          <a:ext cx="1566544" cy="20066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48" w:line="237" w:lineRule="auto"/>
                              <w:ind w:left="20"/>
                              <w:rPr>
                                <w:sz w:val="14"/>
                                <w:szCs w:val="14"/>
                              </w:rPr>
                            </w:pPr>
                            <w:r>
                              <w:rPr>
                                <w:rFonts w:ascii="Arial" w:hAnsi="Arial" w:eastAsia="Arial" w:cs="Arial"/>
                                <w:spacing w:val="-8"/>
                                <w:sz w:val="14"/>
                                <w:szCs w:val="14"/>
                              </w:rPr>
                              <w:t>STUDIES</w:t>
                            </w:r>
                            <w:r>
                              <w:rPr>
                                <w:rFonts w:ascii="Arial" w:hAnsi="Arial" w:eastAsia="Arial" w:cs="Arial"/>
                                <w:spacing w:val="19"/>
                                <w:w w:val="102"/>
                                <w:sz w:val="14"/>
                                <w:szCs w:val="14"/>
                              </w:rPr>
                              <w:t xml:space="preserve"> </w:t>
                            </w:r>
                            <w:r>
                              <w:rPr>
                                <w:rFonts w:ascii="Arial" w:hAnsi="Arial" w:eastAsia="Arial" w:cs="Arial"/>
                                <w:spacing w:val="-8"/>
                                <w:sz w:val="14"/>
                                <w:szCs w:val="14"/>
                              </w:rPr>
                              <w:t>IN</w:t>
                            </w:r>
                            <w:r>
                              <w:rPr>
                                <w:rFonts w:ascii="Arial" w:hAnsi="Arial" w:eastAsia="Arial" w:cs="Arial"/>
                                <w:spacing w:val="11"/>
                                <w:w w:val="101"/>
                                <w:sz w:val="14"/>
                                <w:szCs w:val="14"/>
                              </w:rPr>
                              <w:t xml:space="preserve"> </w:t>
                            </w:r>
                            <w:r>
                              <w:rPr>
                                <w:rFonts w:ascii="Arial" w:hAnsi="Arial" w:eastAsia="Arial" w:cs="Arial"/>
                                <w:spacing w:val="-8"/>
                                <w:sz w:val="14"/>
                                <w:szCs w:val="14"/>
                              </w:rPr>
                              <w:t>HIGHER</w:t>
                            </w:r>
                            <w:r>
                              <w:rPr>
                                <w:rFonts w:ascii="Arial" w:hAnsi="Arial" w:eastAsia="Arial" w:cs="Arial"/>
                                <w:spacing w:val="10"/>
                                <w:w w:val="102"/>
                                <w:sz w:val="14"/>
                                <w:szCs w:val="14"/>
                              </w:rPr>
                              <w:t xml:space="preserve"> </w:t>
                            </w:r>
                            <w:r>
                              <w:rPr>
                                <w:rFonts w:ascii="Arial" w:hAnsi="Arial" w:eastAsia="Arial" w:cs="Arial"/>
                                <w:spacing w:val="-8"/>
                                <w:sz w:val="14"/>
                                <w:szCs w:val="14"/>
                              </w:rPr>
                              <w:t xml:space="preserve">EDUCATION    </w:t>
                            </w:r>
                            <w:r>
                              <w:rPr>
                                <w:sz w:val="14"/>
                                <w:szCs w:val="14"/>
                              </w:rPr>
                              <w:drawing>
                                <wp:inline distT="0" distB="0" distL="0" distR="0">
                                  <wp:extent cx="139700" cy="13970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45"/>
                                          <a:stretch>
                                            <a:fillRect/>
                                          </a:stretch>
                                        </pic:blipFill>
                                        <pic:spPr>
                                          <a:xfrm>
                                            <a:off x="0" y="0"/>
                                            <a:ext cx="139700" cy="1397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 o:spid="_x0000_s1026" o:spt="202" type="#_x0000_t202" style="position:absolute;left:0pt;margin-left:610.6pt;margin-top:361.3pt;height:15.8pt;width:123.35pt;mso-position-horizontal-relative:page;mso-position-vertical-relative:page;rotation:5898240f;z-index:251747328;mso-width-relative:page;mso-height-relative:page;" filled="f" stroked="f" coordsize="21600,21600" o:allowincell="f" o:gfxdata="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xHz7d1wAAAA0BAAAPAAAAAAAAAAEAIAAAACIAAABkcnMvZG93bnJldi54bWxQ&#10;SwECFAAUAAAACACHTuJAfeVSoDECAABvBAAADgAAAAAAAAABACAAAAAmAQAAZHJzL2Uyb0RvYy54&#10;bWxQSwUGAAAAAAYABgBZAQAAyQUAAAAA&#10;">
                <v:fill on="f" focussize="0,0"/>
                <v:stroke on="f" weight="0pt"/>
                <v:imagedata o:title=""/>
                <o:lock v:ext="edit" aspectratio="f"/>
                <v:textbox inset="0mm,0mm,0mm,0mm">
                  <w:txbxContent>
                    <w:p>
                      <w:pPr>
                        <w:spacing w:before="48" w:line="237" w:lineRule="auto"/>
                        <w:ind w:left="20"/>
                        <w:rPr>
                          <w:sz w:val="14"/>
                          <w:szCs w:val="14"/>
                        </w:rPr>
                      </w:pPr>
                      <w:r>
                        <w:rPr>
                          <w:rFonts w:ascii="Arial" w:hAnsi="Arial" w:eastAsia="Arial" w:cs="Arial"/>
                          <w:spacing w:val="-8"/>
                          <w:sz w:val="14"/>
                          <w:szCs w:val="14"/>
                        </w:rPr>
                        <w:t>STUDIES</w:t>
                      </w:r>
                      <w:r>
                        <w:rPr>
                          <w:rFonts w:ascii="Arial" w:hAnsi="Arial" w:eastAsia="Arial" w:cs="Arial"/>
                          <w:spacing w:val="19"/>
                          <w:w w:val="102"/>
                          <w:sz w:val="14"/>
                          <w:szCs w:val="14"/>
                        </w:rPr>
                        <w:t xml:space="preserve"> </w:t>
                      </w:r>
                      <w:r>
                        <w:rPr>
                          <w:rFonts w:ascii="Arial" w:hAnsi="Arial" w:eastAsia="Arial" w:cs="Arial"/>
                          <w:spacing w:val="-8"/>
                          <w:sz w:val="14"/>
                          <w:szCs w:val="14"/>
                        </w:rPr>
                        <w:t>IN</w:t>
                      </w:r>
                      <w:r>
                        <w:rPr>
                          <w:rFonts w:ascii="Arial" w:hAnsi="Arial" w:eastAsia="Arial" w:cs="Arial"/>
                          <w:spacing w:val="11"/>
                          <w:w w:val="101"/>
                          <w:sz w:val="14"/>
                          <w:szCs w:val="14"/>
                        </w:rPr>
                        <w:t xml:space="preserve"> </w:t>
                      </w:r>
                      <w:r>
                        <w:rPr>
                          <w:rFonts w:ascii="Arial" w:hAnsi="Arial" w:eastAsia="Arial" w:cs="Arial"/>
                          <w:spacing w:val="-8"/>
                          <w:sz w:val="14"/>
                          <w:szCs w:val="14"/>
                        </w:rPr>
                        <w:t>HIGHER</w:t>
                      </w:r>
                      <w:r>
                        <w:rPr>
                          <w:rFonts w:ascii="Arial" w:hAnsi="Arial" w:eastAsia="Arial" w:cs="Arial"/>
                          <w:spacing w:val="10"/>
                          <w:w w:val="102"/>
                          <w:sz w:val="14"/>
                          <w:szCs w:val="14"/>
                        </w:rPr>
                        <w:t xml:space="preserve"> </w:t>
                      </w:r>
                      <w:r>
                        <w:rPr>
                          <w:rFonts w:ascii="Arial" w:hAnsi="Arial" w:eastAsia="Arial" w:cs="Arial"/>
                          <w:spacing w:val="-8"/>
                          <w:sz w:val="14"/>
                          <w:szCs w:val="14"/>
                        </w:rPr>
                        <w:t xml:space="preserve">EDUCATION    </w:t>
                      </w:r>
                      <w:r>
                        <w:rPr>
                          <w:sz w:val="14"/>
                          <w:szCs w:val="14"/>
                        </w:rPr>
                        <w:drawing>
                          <wp:inline distT="0" distB="0" distL="0" distR="0">
                            <wp:extent cx="139700" cy="13970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45"/>
                                    <a:stretch>
                                      <a:fillRect/>
                                    </a:stretch>
                                  </pic:blipFill>
                                  <pic:spPr>
                                    <a:xfrm>
                                      <a:off x="0" y="0"/>
                                      <a:ext cx="139700" cy="139700"/>
                                    </a:xfrm>
                                    <a:prstGeom prst="rect">
                                      <a:avLst/>
                                    </a:prstGeom>
                                  </pic:spPr>
                                </pic:pic>
                              </a:graphicData>
                            </a:graphic>
                          </wp:inline>
                        </w:drawing>
                      </w:r>
                    </w:p>
                  </w:txbxContent>
                </v:textbox>
              </v:shape>
            </w:pict>
          </mc:Fallback>
        </mc:AlternateContent>
      </w:r>
    </w:p>
    <w:p>
      <w:pPr>
        <w:spacing w:line="248" w:lineRule="auto"/>
        <w:rPr>
          <w:rFonts w:ascii="Arial"/>
          <w:sz w:val="21"/>
        </w:rPr>
      </w:pPr>
    </w:p>
    <w:p>
      <w:pPr>
        <w:spacing w:line="249" w:lineRule="auto"/>
        <w:rPr>
          <w:rFonts w:ascii="Arial"/>
          <w:sz w:val="21"/>
        </w:rPr>
      </w:pPr>
    </w:p>
    <w:p>
      <w:pPr>
        <w:spacing w:before="43" w:line="201" w:lineRule="auto"/>
        <w:ind w:left="2"/>
        <w:rPr>
          <w:rFonts w:ascii="Arial" w:hAnsi="Arial" w:eastAsia="Arial" w:cs="Arial"/>
          <w:sz w:val="15"/>
          <w:szCs w:val="15"/>
        </w:rPr>
      </w:pPr>
      <w:r>
        <w:rPr>
          <w:rFonts w:ascii="Arial" w:hAnsi="Arial" w:eastAsia="Arial" w:cs="Arial"/>
          <w:color w:val="282781"/>
          <w:spacing w:val="-6"/>
          <w:sz w:val="15"/>
          <w:szCs w:val="15"/>
        </w:rPr>
        <w:t>Table</w:t>
      </w:r>
      <w:r>
        <w:rPr>
          <w:rFonts w:ascii="Arial" w:hAnsi="Arial" w:eastAsia="Arial" w:cs="Arial"/>
          <w:color w:val="282781"/>
          <w:spacing w:val="13"/>
          <w:w w:val="102"/>
          <w:sz w:val="15"/>
          <w:szCs w:val="15"/>
        </w:rPr>
        <w:t xml:space="preserve"> </w:t>
      </w:r>
      <w:r>
        <w:rPr>
          <w:rFonts w:ascii="Arial" w:hAnsi="Arial" w:eastAsia="Arial" w:cs="Arial"/>
          <w:color w:val="282781"/>
          <w:spacing w:val="-6"/>
          <w:sz w:val="15"/>
          <w:szCs w:val="15"/>
        </w:rPr>
        <w:t>7.</w:t>
      </w:r>
      <w:r>
        <w:rPr>
          <w:rFonts w:ascii="Arial" w:hAnsi="Arial" w:eastAsia="Arial" w:cs="Arial"/>
          <w:color w:val="282781"/>
          <w:spacing w:val="14"/>
          <w:sz w:val="15"/>
          <w:szCs w:val="15"/>
        </w:rPr>
        <w:t xml:space="preserve"> </w:t>
      </w:r>
      <w:r>
        <w:rPr>
          <w:rFonts w:ascii="Arial" w:hAnsi="Arial" w:eastAsia="Arial" w:cs="Arial"/>
          <w:spacing w:val="-6"/>
          <w:sz w:val="15"/>
          <w:szCs w:val="15"/>
        </w:rPr>
        <w:t>Means</w:t>
      </w:r>
      <w:r>
        <w:rPr>
          <w:rFonts w:ascii="Arial" w:hAnsi="Arial" w:eastAsia="Arial" w:cs="Arial"/>
          <w:spacing w:val="16"/>
          <w:sz w:val="15"/>
          <w:szCs w:val="15"/>
        </w:rPr>
        <w:t xml:space="preserve"> </w:t>
      </w:r>
      <w:r>
        <w:rPr>
          <w:rFonts w:ascii="Arial" w:hAnsi="Arial" w:eastAsia="Arial" w:cs="Arial"/>
          <w:spacing w:val="-6"/>
          <w:sz w:val="15"/>
          <w:szCs w:val="15"/>
        </w:rPr>
        <w:t>(M),</w:t>
      </w:r>
      <w:r>
        <w:rPr>
          <w:rFonts w:ascii="Arial" w:hAnsi="Arial" w:eastAsia="Arial" w:cs="Arial"/>
          <w:spacing w:val="11"/>
          <w:sz w:val="15"/>
          <w:szCs w:val="15"/>
        </w:rPr>
        <w:t xml:space="preserve"> </w:t>
      </w:r>
      <w:r>
        <w:rPr>
          <w:rFonts w:ascii="Arial" w:hAnsi="Arial" w:eastAsia="Arial" w:cs="Arial"/>
          <w:spacing w:val="-6"/>
          <w:sz w:val="15"/>
          <w:szCs w:val="15"/>
        </w:rPr>
        <w:t>standard</w:t>
      </w:r>
      <w:r>
        <w:rPr>
          <w:rFonts w:ascii="Arial" w:hAnsi="Arial" w:eastAsia="Arial" w:cs="Arial"/>
          <w:spacing w:val="12"/>
          <w:sz w:val="15"/>
          <w:szCs w:val="15"/>
        </w:rPr>
        <w:t xml:space="preserve"> </w:t>
      </w:r>
      <w:r>
        <w:rPr>
          <w:rFonts w:ascii="Arial" w:hAnsi="Arial" w:eastAsia="Arial" w:cs="Arial"/>
          <w:spacing w:val="-6"/>
          <w:sz w:val="15"/>
          <w:szCs w:val="15"/>
        </w:rPr>
        <w:t>deviatio</w:t>
      </w:r>
      <w:r>
        <w:rPr>
          <w:rFonts w:ascii="Arial" w:hAnsi="Arial" w:eastAsia="Arial" w:cs="Arial"/>
          <w:spacing w:val="-7"/>
          <w:sz w:val="15"/>
          <w:szCs w:val="15"/>
        </w:rPr>
        <w:t>ns</w:t>
      </w:r>
      <w:r>
        <w:rPr>
          <w:rFonts w:ascii="Arial" w:hAnsi="Arial" w:eastAsia="Arial" w:cs="Arial"/>
          <w:spacing w:val="16"/>
          <w:sz w:val="15"/>
          <w:szCs w:val="15"/>
        </w:rPr>
        <w:t xml:space="preserve"> </w:t>
      </w:r>
      <w:r>
        <w:rPr>
          <w:rFonts w:ascii="Arial" w:hAnsi="Arial" w:eastAsia="Arial" w:cs="Arial"/>
          <w:spacing w:val="-7"/>
          <w:sz w:val="15"/>
          <w:szCs w:val="15"/>
        </w:rPr>
        <w:t>(SD),</w:t>
      </w:r>
      <w:r>
        <w:rPr>
          <w:rFonts w:ascii="Arial" w:hAnsi="Arial" w:eastAsia="Arial" w:cs="Arial"/>
          <w:spacing w:val="11"/>
          <w:w w:val="101"/>
          <w:sz w:val="15"/>
          <w:szCs w:val="15"/>
        </w:rPr>
        <w:t xml:space="preserve"> </w:t>
      </w:r>
      <w:r>
        <w:rPr>
          <w:rFonts w:ascii="Arial" w:hAnsi="Arial" w:eastAsia="Arial" w:cs="Arial"/>
          <w:spacing w:val="-7"/>
          <w:sz w:val="15"/>
          <w:szCs w:val="15"/>
        </w:rPr>
        <w:t>and</w:t>
      </w:r>
      <w:r>
        <w:rPr>
          <w:rFonts w:ascii="Arial" w:hAnsi="Arial" w:eastAsia="Arial" w:cs="Arial"/>
          <w:spacing w:val="11"/>
          <w:w w:val="101"/>
          <w:sz w:val="15"/>
          <w:szCs w:val="15"/>
        </w:rPr>
        <w:t xml:space="preserve"> </w:t>
      </w:r>
      <w:r>
        <w:rPr>
          <w:rFonts w:ascii="Arial" w:hAnsi="Arial" w:eastAsia="Arial" w:cs="Arial"/>
          <w:spacing w:val="-7"/>
          <w:sz w:val="15"/>
          <w:szCs w:val="15"/>
        </w:rPr>
        <w:t>correlations</w:t>
      </w:r>
      <w:r>
        <w:rPr>
          <w:rFonts w:ascii="Arial" w:hAnsi="Arial" w:eastAsia="Arial" w:cs="Arial"/>
          <w:spacing w:val="16"/>
          <w:w w:val="101"/>
          <w:sz w:val="15"/>
          <w:szCs w:val="15"/>
        </w:rPr>
        <w:t xml:space="preserve"> </w:t>
      </w:r>
      <w:r>
        <w:rPr>
          <w:rFonts w:ascii="Arial" w:hAnsi="Arial" w:eastAsia="Arial" w:cs="Arial"/>
          <w:spacing w:val="-7"/>
          <w:sz w:val="15"/>
          <w:szCs w:val="15"/>
        </w:rPr>
        <w:t>between</w:t>
      </w:r>
      <w:r>
        <w:rPr>
          <w:rFonts w:ascii="Arial" w:hAnsi="Arial" w:eastAsia="Arial" w:cs="Arial"/>
          <w:spacing w:val="16"/>
          <w:sz w:val="15"/>
          <w:szCs w:val="15"/>
        </w:rPr>
        <w:t xml:space="preserve"> </w:t>
      </w:r>
      <w:r>
        <w:rPr>
          <w:rFonts w:ascii="Arial" w:hAnsi="Arial" w:eastAsia="Arial" w:cs="Arial"/>
          <w:spacing w:val="-7"/>
          <w:sz w:val="15"/>
          <w:szCs w:val="15"/>
        </w:rPr>
        <w:t>independent</w:t>
      </w:r>
      <w:r>
        <w:rPr>
          <w:rFonts w:ascii="Arial" w:hAnsi="Arial" w:eastAsia="Arial" w:cs="Arial"/>
          <w:spacing w:val="11"/>
          <w:w w:val="101"/>
          <w:sz w:val="15"/>
          <w:szCs w:val="15"/>
        </w:rPr>
        <w:t xml:space="preserve"> </w:t>
      </w:r>
      <w:r>
        <w:rPr>
          <w:rFonts w:ascii="Arial" w:hAnsi="Arial" w:eastAsia="Arial" w:cs="Arial"/>
          <w:spacing w:val="-7"/>
          <w:sz w:val="15"/>
          <w:szCs w:val="15"/>
        </w:rPr>
        <w:t>and</w:t>
      </w:r>
      <w:r>
        <w:rPr>
          <w:rFonts w:ascii="Arial" w:hAnsi="Arial" w:eastAsia="Arial" w:cs="Arial"/>
          <w:spacing w:val="11"/>
          <w:w w:val="101"/>
          <w:sz w:val="15"/>
          <w:szCs w:val="15"/>
        </w:rPr>
        <w:t xml:space="preserve"> </w:t>
      </w:r>
      <w:r>
        <w:rPr>
          <w:rFonts w:ascii="Arial" w:hAnsi="Arial" w:eastAsia="Arial" w:cs="Arial"/>
          <w:spacing w:val="-7"/>
          <w:sz w:val="15"/>
          <w:szCs w:val="15"/>
        </w:rPr>
        <w:t>dependent</w:t>
      </w:r>
      <w:r>
        <w:rPr>
          <w:rFonts w:ascii="Arial" w:hAnsi="Arial" w:eastAsia="Arial" w:cs="Arial"/>
          <w:spacing w:val="8"/>
          <w:sz w:val="15"/>
          <w:szCs w:val="15"/>
        </w:rPr>
        <w:t xml:space="preserve"> </w:t>
      </w:r>
      <w:r>
        <w:rPr>
          <w:rFonts w:ascii="Arial" w:hAnsi="Arial" w:eastAsia="Arial" w:cs="Arial"/>
          <w:spacing w:val="-7"/>
          <w:sz w:val="15"/>
          <w:szCs w:val="15"/>
        </w:rPr>
        <w:t>variables.</w:t>
      </w:r>
    </w:p>
    <w:p>
      <w:pPr>
        <w:spacing w:line="28" w:lineRule="exact"/>
      </w:pPr>
    </w:p>
    <w:tbl>
      <w:tblPr>
        <w:tblStyle w:val="5"/>
        <w:tblW w:w="12127"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308"/>
        <w:gridCol w:w="811"/>
        <w:gridCol w:w="749"/>
        <w:gridCol w:w="827"/>
        <w:gridCol w:w="829"/>
        <w:gridCol w:w="818"/>
        <w:gridCol w:w="819"/>
        <w:gridCol w:w="819"/>
        <w:gridCol w:w="816"/>
        <w:gridCol w:w="820"/>
        <w:gridCol w:w="818"/>
        <w:gridCol w:w="814"/>
        <w:gridCol w:w="744"/>
        <w:gridCol w:w="747"/>
        <w:gridCol w:w="38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1308" w:type="dxa"/>
            <w:tcBorders>
              <w:top w:val="single" w:color="282781" w:sz="4" w:space="0"/>
              <w:bottom w:val="single" w:color="282781" w:sz="4" w:space="0"/>
            </w:tcBorders>
            <w:vAlign w:val="top"/>
          </w:tcPr>
          <w:p>
            <w:pPr>
              <w:spacing w:before="60" w:line="201" w:lineRule="auto"/>
              <w:ind w:left="6"/>
              <w:rPr>
                <w:rFonts w:ascii="Arial" w:hAnsi="Arial" w:eastAsia="Arial" w:cs="Arial"/>
                <w:sz w:val="15"/>
                <w:szCs w:val="15"/>
              </w:rPr>
            </w:pPr>
            <w:r>
              <w:rPr>
                <w:rFonts w:ascii="Arial" w:hAnsi="Arial" w:eastAsia="Arial" w:cs="Arial"/>
                <w:spacing w:val="-11"/>
                <w:sz w:val="15"/>
                <w:szCs w:val="15"/>
              </w:rPr>
              <w:t>Scale</w:t>
            </w:r>
          </w:p>
        </w:tc>
        <w:tc>
          <w:tcPr>
            <w:tcW w:w="811" w:type="dxa"/>
            <w:tcBorders>
              <w:top w:val="single" w:color="282781" w:sz="4" w:space="0"/>
              <w:bottom w:val="single" w:color="282781" w:sz="4" w:space="0"/>
            </w:tcBorders>
            <w:vAlign w:val="top"/>
          </w:tcPr>
          <w:p>
            <w:pPr>
              <w:spacing w:before="66" w:line="194" w:lineRule="auto"/>
              <w:ind w:left="345"/>
              <w:rPr>
                <w:rFonts w:ascii="Arial" w:hAnsi="Arial" w:eastAsia="Arial" w:cs="Arial"/>
                <w:sz w:val="15"/>
                <w:szCs w:val="15"/>
              </w:rPr>
            </w:pPr>
            <w:r>
              <w:rPr>
                <w:rFonts w:ascii="Arial" w:hAnsi="Arial" w:eastAsia="Arial" w:cs="Arial"/>
                <w:sz w:val="15"/>
                <w:szCs w:val="15"/>
              </w:rPr>
              <w:t>M</w:t>
            </w:r>
          </w:p>
        </w:tc>
        <w:tc>
          <w:tcPr>
            <w:tcW w:w="749" w:type="dxa"/>
            <w:tcBorders>
              <w:top w:val="single" w:color="282781" w:sz="4" w:space="0"/>
              <w:bottom w:val="single" w:color="282781" w:sz="4" w:space="0"/>
            </w:tcBorders>
            <w:vAlign w:val="top"/>
          </w:tcPr>
          <w:p>
            <w:pPr>
              <w:spacing w:before="64" w:line="196" w:lineRule="auto"/>
              <w:ind w:left="292"/>
              <w:rPr>
                <w:rFonts w:ascii="Arial" w:hAnsi="Arial" w:eastAsia="Arial" w:cs="Arial"/>
                <w:sz w:val="15"/>
                <w:szCs w:val="15"/>
              </w:rPr>
            </w:pPr>
            <w:r>
              <w:rPr>
                <w:rFonts w:ascii="Arial" w:hAnsi="Arial" w:eastAsia="Arial" w:cs="Arial"/>
                <w:spacing w:val="-17"/>
                <w:sz w:val="15"/>
                <w:szCs w:val="15"/>
              </w:rPr>
              <w:t>SD</w:t>
            </w:r>
          </w:p>
        </w:tc>
        <w:tc>
          <w:tcPr>
            <w:tcW w:w="827" w:type="dxa"/>
            <w:tcBorders>
              <w:top w:val="single" w:color="282781" w:sz="4" w:space="0"/>
              <w:bottom w:val="single" w:color="282781" w:sz="4" w:space="0"/>
            </w:tcBorders>
            <w:vAlign w:val="top"/>
          </w:tcPr>
          <w:p>
            <w:pPr>
              <w:spacing w:before="69" w:line="189" w:lineRule="auto"/>
              <w:ind w:left="390"/>
              <w:rPr>
                <w:rFonts w:ascii="Arial" w:hAnsi="Arial" w:eastAsia="Arial" w:cs="Arial"/>
                <w:sz w:val="15"/>
                <w:szCs w:val="15"/>
              </w:rPr>
            </w:pPr>
            <w:r>
              <w:rPr>
                <w:rFonts w:ascii="Arial" w:hAnsi="Arial" w:eastAsia="Arial" w:cs="Arial"/>
                <w:sz w:val="15"/>
                <w:szCs w:val="15"/>
              </w:rPr>
              <w:t>1</w:t>
            </w:r>
          </w:p>
        </w:tc>
        <w:tc>
          <w:tcPr>
            <w:tcW w:w="829" w:type="dxa"/>
            <w:tcBorders>
              <w:top w:val="single" w:color="282781" w:sz="4" w:space="0"/>
              <w:bottom w:val="single" w:color="282781" w:sz="4" w:space="0"/>
            </w:tcBorders>
            <w:vAlign w:val="top"/>
          </w:tcPr>
          <w:p>
            <w:pPr>
              <w:spacing w:before="68" w:line="191" w:lineRule="auto"/>
              <w:ind w:left="384"/>
              <w:rPr>
                <w:rFonts w:ascii="Arial" w:hAnsi="Arial" w:eastAsia="Arial" w:cs="Arial"/>
                <w:sz w:val="15"/>
                <w:szCs w:val="15"/>
              </w:rPr>
            </w:pPr>
            <w:r>
              <w:rPr>
                <w:rFonts w:ascii="Arial" w:hAnsi="Arial" w:eastAsia="Arial" w:cs="Arial"/>
                <w:sz w:val="15"/>
                <w:szCs w:val="15"/>
              </w:rPr>
              <w:t>2</w:t>
            </w:r>
          </w:p>
        </w:tc>
        <w:tc>
          <w:tcPr>
            <w:tcW w:w="818" w:type="dxa"/>
            <w:tcBorders>
              <w:top w:val="single" w:color="282781" w:sz="4" w:space="0"/>
              <w:bottom w:val="single" w:color="282781" w:sz="4" w:space="0"/>
            </w:tcBorders>
            <w:vAlign w:val="top"/>
          </w:tcPr>
          <w:p>
            <w:pPr>
              <w:spacing w:before="67" w:line="191" w:lineRule="auto"/>
              <w:ind w:left="372"/>
              <w:rPr>
                <w:rFonts w:ascii="Arial" w:hAnsi="Arial" w:eastAsia="Arial" w:cs="Arial"/>
                <w:sz w:val="15"/>
                <w:szCs w:val="15"/>
              </w:rPr>
            </w:pPr>
            <w:r>
              <w:rPr>
                <w:rFonts w:ascii="Arial" w:hAnsi="Arial" w:eastAsia="Arial" w:cs="Arial"/>
                <w:sz w:val="15"/>
                <w:szCs w:val="15"/>
              </w:rPr>
              <w:t>3</w:t>
            </w:r>
          </w:p>
        </w:tc>
        <w:tc>
          <w:tcPr>
            <w:tcW w:w="819" w:type="dxa"/>
            <w:tcBorders>
              <w:top w:val="single" w:color="282781" w:sz="4" w:space="0"/>
              <w:bottom w:val="single" w:color="282781" w:sz="4" w:space="0"/>
            </w:tcBorders>
            <w:vAlign w:val="top"/>
          </w:tcPr>
          <w:p>
            <w:pPr>
              <w:spacing w:before="69" w:line="189" w:lineRule="auto"/>
              <w:ind w:left="369"/>
              <w:rPr>
                <w:rFonts w:ascii="Arial" w:hAnsi="Arial" w:eastAsia="Arial" w:cs="Arial"/>
                <w:sz w:val="15"/>
                <w:szCs w:val="15"/>
              </w:rPr>
            </w:pPr>
            <w:r>
              <w:rPr>
                <w:rFonts w:ascii="Arial" w:hAnsi="Arial" w:eastAsia="Arial" w:cs="Arial"/>
                <w:sz w:val="15"/>
                <w:szCs w:val="15"/>
              </w:rPr>
              <w:t>4</w:t>
            </w:r>
          </w:p>
        </w:tc>
        <w:tc>
          <w:tcPr>
            <w:tcW w:w="819" w:type="dxa"/>
            <w:tcBorders>
              <w:top w:val="single" w:color="282781" w:sz="4" w:space="0"/>
              <w:bottom w:val="single" w:color="282781" w:sz="4" w:space="0"/>
            </w:tcBorders>
            <w:vAlign w:val="top"/>
          </w:tcPr>
          <w:p>
            <w:pPr>
              <w:spacing w:before="70" w:line="188" w:lineRule="auto"/>
              <w:ind w:left="372"/>
              <w:rPr>
                <w:rFonts w:ascii="Arial" w:hAnsi="Arial" w:eastAsia="Arial" w:cs="Arial"/>
                <w:sz w:val="15"/>
                <w:szCs w:val="15"/>
              </w:rPr>
            </w:pPr>
            <w:r>
              <w:rPr>
                <w:rFonts w:ascii="Arial" w:hAnsi="Arial" w:eastAsia="Arial" w:cs="Arial"/>
                <w:sz w:val="15"/>
                <w:szCs w:val="15"/>
              </w:rPr>
              <w:t>5</w:t>
            </w:r>
          </w:p>
        </w:tc>
        <w:tc>
          <w:tcPr>
            <w:tcW w:w="816" w:type="dxa"/>
            <w:tcBorders>
              <w:top w:val="single" w:color="282781" w:sz="4" w:space="0"/>
              <w:bottom w:val="single" w:color="282781" w:sz="4" w:space="0"/>
            </w:tcBorders>
            <w:vAlign w:val="top"/>
          </w:tcPr>
          <w:p>
            <w:pPr>
              <w:spacing w:before="68" w:line="190" w:lineRule="auto"/>
              <w:ind w:left="370"/>
              <w:rPr>
                <w:rFonts w:ascii="Arial" w:hAnsi="Arial" w:eastAsia="Arial" w:cs="Arial"/>
                <w:sz w:val="15"/>
                <w:szCs w:val="15"/>
              </w:rPr>
            </w:pPr>
            <w:r>
              <w:rPr>
                <w:rFonts w:ascii="Arial" w:hAnsi="Arial" w:eastAsia="Arial" w:cs="Arial"/>
                <w:sz w:val="15"/>
                <w:szCs w:val="15"/>
              </w:rPr>
              <w:t>6</w:t>
            </w:r>
          </w:p>
        </w:tc>
        <w:tc>
          <w:tcPr>
            <w:tcW w:w="820" w:type="dxa"/>
            <w:tcBorders>
              <w:top w:val="single" w:color="282781" w:sz="4" w:space="0"/>
              <w:bottom w:val="single" w:color="282781" w:sz="4" w:space="0"/>
            </w:tcBorders>
            <w:vAlign w:val="top"/>
          </w:tcPr>
          <w:p>
            <w:pPr>
              <w:spacing w:before="69" w:line="189" w:lineRule="auto"/>
              <w:ind w:left="375"/>
              <w:rPr>
                <w:rFonts w:ascii="Arial" w:hAnsi="Arial" w:eastAsia="Arial" w:cs="Arial"/>
                <w:sz w:val="15"/>
                <w:szCs w:val="15"/>
              </w:rPr>
            </w:pPr>
            <w:r>
              <w:rPr>
                <w:rFonts w:ascii="Arial" w:hAnsi="Arial" w:eastAsia="Arial" w:cs="Arial"/>
                <w:sz w:val="15"/>
                <w:szCs w:val="15"/>
              </w:rPr>
              <w:t>7</w:t>
            </w:r>
          </w:p>
        </w:tc>
        <w:tc>
          <w:tcPr>
            <w:tcW w:w="818" w:type="dxa"/>
            <w:tcBorders>
              <w:top w:val="single" w:color="282781" w:sz="4" w:space="0"/>
              <w:bottom w:val="single" w:color="282781" w:sz="4" w:space="0"/>
            </w:tcBorders>
            <w:vAlign w:val="top"/>
          </w:tcPr>
          <w:p>
            <w:pPr>
              <w:spacing w:before="67" w:line="191" w:lineRule="auto"/>
              <w:ind w:left="372"/>
              <w:rPr>
                <w:rFonts w:ascii="Arial" w:hAnsi="Arial" w:eastAsia="Arial" w:cs="Arial"/>
                <w:sz w:val="15"/>
                <w:szCs w:val="15"/>
              </w:rPr>
            </w:pPr>
            <w:r>
              <w:rPr>
                <w:rFonts w:ascii="Arial" w:hAnsi="Arial" w:eastAsia="Arial" w:cs="Arial"/>
                <w:sz w:val="15"/>
                <w:szCs w:val="15"/>
              </w:rPr>
              <w:t>8</w:t>
            </w:r>
          </w:p>
        </w:tc>
        <w:tc>
          <w:tcPr>
            <w:tcW w:w="814" w:type="dxa"/>
            <w:tcBorders>
              <w:top w:val="single" w:color="282781" w:sz="4" w:space="0"/>
              <w:bottom w:val="single" w:color="282781" w:sz="4" w:space="0"/>
            </w:tcBorders>
            <w:vAlign w:val="top"/>
          </w:tcPr>
          <w:p>
            <w:pPr>
              <w:spacing w:before="67" w:line="191" w:lineRule="auto"/>
              <w:ind w:left="372"/>
              <w:rPr>
                <w:rFonts w:ascii="Arial" w:hAnsi="Arial" w:eastAsia="Arial" w:cs="Arial"/>
                <w:sz w:val="15"/>
                <w:szCs w:val="15"/>
              </w:rPr>
            </w:pPr>
            <w:r>
              <w:rPr>
                <w:rFonts w:ascii="Arial" w:hAnsi="Arial" w:eastAsia="Arial" w:cs="Arial"/>
                <w:sz w:val="15"/>
                <w:szCs w:val="15"/>
              </w:rPr>
              <w:t>9</w:t>
            </w:r>
          </w:p>
        </w:tc>
        <w:tc>
          <w:tcPr>
            <w:tcW w:w="744" w:type="dxa"/>
            <w:tcBorders>
              <w:top w:val="single" w:color="282781" w:sz="4" w:space="0"/>
              <w:bottom w:val="single" w:color="282781" w:sz="4" w:space="0"/>
            </w:tcBorders>
            <w:vAlign w:val="top"/>
          </w:tcPr>
          <w:p>
            <w:pPr>
              <w:spacing w:before="67" w:line="191" w:lineRule="auto"/>
              <w:ind w:left="310"/>
              <w:rPr>
                <w:rFonts w:ascii="Arial" w:hAnsi="Arial" w:eastAsia="Arial" w:cs="Arial"/>
                <w:sz w:val="15"/>
                <w:szCs w:val="15"/>
              </w:rPr>
            </w:pPr>
            <w:r>
              <w:rPr>
                <w:rFonts w:ascii="Arial" w:hAnsi="Arial" w:eastAsia="Arial" w:cs="Arial"/>
                <w:spacing w:val="-12"/>
                <w:sz w:val="15"/>
                <w:szCs w:val="15"/>
              </w:rPr>
              <w:t>10</w:t>
            </w:r>
          </w:p>
        </w:tc>
        <w:tc>
          <w:tcPr>
            <w:tcW w:w="747" w:type="dxa"/>
            <w:tcBorders>
              <w:top w:val="single" w:color="282781" w:sz="4" w:space="0"/>
              <w:bottom w:val="single" w:color="282781" w:sz="4" w:space="0"/>
            </w:tcBorders>
            <w:vAlign w:val="top"/>
          </w:tcPr>
          <w:p>
            <w:pPr>
              <w:spacing w:before="69" w:line="189" w:lineRule="auto"/>
              <w:ind w:left="310"/>
              <w:rPr>
                <w:rFonts w:ascii="Arial" w:hAnsi="Arial" w:eastAsia="Arial" w:cs="Arial"/>
                <w:sz w:val="15"/>
                <w:szCs w:val="15"/>
              </w:rPr>
            </w:pPr>
            <w:r>
              <w:rPr>
                <w:rFonts w:ascii="Arial" w:hAnsi="Arial" w:eastAsia="Arial" w:cs="Arial"/>
                <w:spacing w:val="-12"/>
                <w:sz w:val="15"/>
                <w:szCs w:val="15"/>
              </w:rPr>
              <w:t>11</w:t>
            </w:r>
          </w:p>
        </w:tc>
        <w:tc>
          <w:tcPr>
            <w:tcW w:w="388" w:type="dxa"/>
            <w:tcBorders>
              <w:top w:val="single" w:color="282781" w:sz="4" w:space="0"/>
              <w:bottom w:val="single" w:color="282781" w:sz="4" w:space="0"/>
            </w:tcBorders>
            <w:vAlign w:val="top"/>
          </w:tcPr>
          <w:p>
            <w:pPr>
              <w:spacing w:before="68" w:line="191" w:lineRule="auto"/>
              <w:jc w:val="right"/>
              <w:rPr>
                <w:rFonts w:ascii="Arial" w:hAnsi="Arial" w:eastAsia="Arial" w:cs="Arial"/>
                <w:sz w:val="15"/>
                <w:szCs w:val="15"/>
              </w:rPr>
            </w:pPr>
            <w:bookmarkStart w:id="13" w:name="bookmark95"/>
            <w:bookmarkEnd w:id="13"/>
            <w:bookmarkStart w:id="14" w:name="bookmark94"/>
            <w:bookmarkEnd w:id="14"/>
            <w:r>
              <w:rPr>
                <w:rFonts w:ascii="Arial" w:hAnsi="Arial" w:eastAsia="Arial" w:cs="Arial"/>
                <w:spacing w:val="-26"/>
                <w:sz w:val="15"/>
                <w:szCs w:val="15"/>
              </w:rPr>
              <w:t>1</w:t>
            </w:r>
            <w:r>
              <w:rPr>
                <w:rFonts w:ascii="Arial" w:hAnsi="Arial" w:eastAsia="Arial" w:cs="Arial"/>
                <w:spacing w:val="-8"/>
                <w:sz w:val="15"/>
                <w:szCs w:val="15"/>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00" w:hRule="atLeast"/>
        </w:trPr>
        <w:tc>
          <w:tcPr>
            <w:tcW w:w="1308" w:type="dxa"/>
            <w:tcBorders>
              <w:top w:val="single" w:color="282781" w:sz="4" w:space="0"/>
            </w:tcBorders>
            <w:vAlign w:val="top"/>
          </w:tcPr>
          <w:p>
            <w:pPr>
              <w:spacing w:before="53" w:line="190" w:lineRule="auto"/>
              <w:ind w:left="11"/>
              <w:rPr>
                <w:rFonts w:ascii="Arial" w:hAnsi="Arial" w:eastAsia="Arial" w:cs="Arial"/>
                <w:sz w:val="15"/>
                <w:szCs w:val="15"/>
              </w:rPr>
            </w:pPr>
            <w:r>
              <w:rPr>
                <w:rFonts w:ascii="Arial" w:hAnsi="Arial" w:eastAsia="Arial" w:cs="Arial"/>
                <w:spacing w:val="-14"/>
                <w:w w:val="97"/>
                <w:sz w:val="15"/>
                <w:szCs w:val="15"/>
              </w:rPr>
              <w:t>Lead</w:t>
            </w:r>
            <w:r>
              <w:rPr>
                <w:rFonts w:ascii="Arial" w:hAnsi="Arial" w:eastAsia="Arial" w:cs="Arial"/>
                <w:spacing w:val="21"/>
                <w:w w:val="102"/>
                <w:sz w:val="15"/>
                <w:szCs w:val="15"/>
              </w:rPr>
              <w:t xml:space="preserve"> </w:t>
            </w:r>
            <w:r>
              <w:rPr>
                <w:rFonts w:ascii="Arial" w:hAnsi="Arial" w:eastAsia="Arial" w:cs="Arial"/>
                <w:spacing w:val="-14"/>
                <w:w w:val="97"/>
                <w:sz w:val="15"/>
                <w:szCs w:val="15"/>
              </w:rPr>
              <w:t>BEHV</w:t>
            </w:r>
          </w:p>
        </w:tc>
        <w:tc>
          <w:tcPr>
            <w:tcW w:w="811" w:type="dxa"/>
            <w:tcBorders>
              <w:top w:val="single" w:color="282781" w:sz="4" w:space="0"/>
            </w:tcBorders>
            <w:vAlign w:val="top"/>
          </w:tcPr>
          <w:p>
            <w:pPr>
              <w:spacing w:before="60" w:line="180" w:lineRule="auto"/>
              <w:ind w:left="251"/>
              <w:rPr>
                <w:rFonts w:ascii="Arial" w:hAnsi="Arial" w:eastAsia="Arial" w:cs="Arial"/>
                <w:sz w:val="15"/>
                <w:szCs w:val="15"/>
              </w:rPr>
            </w:pPr>
            <w:r>
              <w:rPr>
                <w:rFonts w:ascii="Arial" w:hAnsi="Arial" w:eastAsia="Arial" w:cs="Arial"/>
                <w:spacing w:val="-11"/>
                <w:sz w:val="15"/>
                <w:szCs w:val="15"/>
              </w:rPr>
              <w:t>12.01</w:t>
            </w:r>
          </w:p>
        </w:tc>
        <w:tc>
          <w:tcPr>
            <w:tcW w:w="749" w:type="dxa"/>
            <w:tcBorders>
              <w:top w:val="single" w:color="282781" w:sz="4" w:space="0"/>
            </w:tcBorders>
            <w:vAlign w:val="top"/>
          </w:tcPr>
          <w:p>
            <w:pPr>
              <w:spacing w:before="60" w:line="180" w:lineRule="auto"/>
              <w:ind w:left="246"/>
              <w:rPr>
                <w:rFonts w:ascii="Arial" w:hAnsi="Arial" w:eastAsia="Arial" w:cs="Arial"/>
                <w:sz w:val="15"/>
                <w:szCs w:val="15"/>
              </w:rPr>
            </w:pPr>
            <w:r>
              <w:rPr>
                <w:rFonts w:ascii="Arial" w:hAnsi="Arial" w:eastAsia="Arial" w:cs="Arial"/>
                <w:spacing w:val="-8"/>
                <w:sz w:val="15"/>
                <w:szCs w:val="15"/>
              </w:rPr>
              <w:t>4.31</w:t>
            </w:r>
          </w:p>
        </w:tc>
        <w:tc>
          <w:tcPr>
            <w:tcW w:w="827" w:type="dxa"/>
            <w:tcBorders>
              <w:top w:val="single" w:color="282781" w:sz="4" w:space="0"/>
            </w:tcBorders>
            <w:vAlign w:val="top"/>
          </w:tcPr>
          <w:p>
            <w:pPr>
              <w:spacing w:before="62" w:line="178" w:lineRule="auto"/>
              <w:ind w:left="253"/>
              <w:rPr>
                <w:rFonts w:ascii="Arial" w:hAnsi="Arial" w:eastAsia="Arial" w:cs="Arial"/>
                <w:sz w:val="15"/>
                <w:szCs w:val="15"/>
              </w:rPr>
            </w:pPr>
            <w:r>
              <w:rPr>
                <w:rFonts w:ascii="Arial" w:hAnsi="Arial" w:eastAsia="Arial" w:cs="Arial"/>
                <w:sz w:val="15"/>
                <w:szCs w:val="15"/>
              </w:rPr>
              <w:t>1</w:t>
            </w:r>
          </w:p>
        </w:tc>
        <w:tc>
          <w:tcPr>
            <w:tcW w:w="829" w:type="dxa"/>
            <w:tcBorders>
              <w:top w:val="single" w:color="282781" w:sz="4" w:space="0"/>
            </w:tcBorders>
            <w:vAlign w:val="top"/>
          </w:tcPr>
          <w:p>
            <w:pPr>
              <w:spacing w:line="190" w:lineRule="exact"/>
              <w:rPr>
                <w:rFonts w:ascii="Arial"/>
                <w:sz w:val="16"/>
              </w:rPr>
            </w:pPr>
          </w:p>
        </w:tc>
        <w:tc>
          <w:tcPr>
            <w:tcW w:w="818" w:type="dxa"/>
            <w:tcBorders>
              <w:top w:val="single" w:color="282781" w:sz="4" w:space="0"/>
            </w:tcBorders>
            <w:vAlign w:val="top"/>
          </w:tcPr>
          <w:p>
            <w:pPr>
              <w:spacing w:line="190" w:lineRule="exact"/>
              <w:rPr>
                <w:rFonts w:ascii="Arial"/>
                <w:sz w:val="16"/>
              </w:rPr>
            </w:pPr>
          </w:p>
        </w:tc>
        <w:tc>
          <w:tcPr>
            <w:tcW w:w="819" w:type="dxa"/>
            <w:tcBorders>
              <w:top w:val="single" w:color="282781" w:sz="4" w:space="0"/>
            </w:tcBorders>
            <w:vAlign w:val="top"/>
          </w:tcPr>
          <w:p>
            <w:pPr>
              <w:spacing w:line="190" w:lineRule="exact"/>
              <w:rPr>
                <w:rFonts w:ascii="Arial"/>
                <w:sz w:val="16"/>
              </w:rPr>
            </w:pPr>
          </w:p>
        </w:tc>
        <w:tc>
          <w:tcPr>
            <w:tcW w:w="819" w:type="dxa"/>
            <w:tcBorders>
              <w:top w:val="single" w:color="282781" w:sz="4" w:space="0"/>
            </w:tcBorders>
            <w:vAlign w:val="top"/>
          </w:tcPr>
          <w:p>
            <w:pPr>
              <w:spacing w:line="190" w:lineRule="exact"/>
              <w:rPr>
                <w:rFonts w:ascii="Arial"/>
                <w:sz w:val="16"/>
              </w:rPr>
            </w:pPr>
          </w:p>
        </w:tc>
        <w:tc>
          <w:tcPr>
            <w:tcW w:w="816" w:type="dxa"/>
            <w:tcBorders>
              <w:top w:val="single" w:color="282781" w:sz="4" w:space="0"/>
            </w:tcBorders>
            <w:vAlign w:val="top"/>
          </w:tcPr>
          <w:p>
            <w:pPr>
              <w:spacing w:line="190" w:lineRule="exact"/>
              <w:rPr>
                <w:rFonts w:ascii="Arial"/>
                <w:sz w:val="16"/>
              </w:rPr>
            </w:pPr>
          </w:p>
        </w:tc>
        <w:tc>
          <w:tcPr>
            <w:tcW w:w="820" w:type="dxa"/>
            <w:tcBorders>
              <w:top w:val="single" w:color="282781" w:sz="4" w:space="0"/>
            </w:tcBorders>
            <w:vAlign w:val="top"/>
          </w:tcPr>
          <w:p>
            <w:pPr>
              <w:spacing w:line="190" w:lineRule="exact"/>
              <w:rPr>
                <w:rFonts w:ascii="Arial"/>
                <w:sz w:val="16"/>
              </w:rPr>
            </w:pPr>
          </w:p>
        </w:tc>
        <w:tc>
          <w:tcPr>
            <w:tcW w:w="818" w:type="dxa"/>
            <w:tcBorders>
              <w:top w:val="single" w:color="282781" w:sz="4" w:space="0"/>
            </w:tcBorders>
            <w:vAlign w:val="top"/>
          </w:tcPr>
          <w:p>
            <w:pPr>
              <w:spacing w:line="190" w:lineRule="exact"/>
              <w:rPr>
                <w:rFonts w:ascii="Arial"/>
                <w:sz w:val="16"/>
              </w:rPr>
            </w:pPr>
          </w:p>
        </w:tc>
        <w:tc>
          <w:tcPr>
            <w:tcW w:w="814" w:type="dxa"/>
            <w:tcBorders>
              <w:top w:val="single" w:color="282781" w:sz="4" w:space="0"/>
            </w:tcBorders>
            <w:vAlign w:val="top"/>
          </w:tcPr>
          <w:p>
            <w:pPr>
              <w:spacing w:line="190" w:lineRule="exact"/>
              <w:rPr>
                <w:rFonts w:ascii="Arial"/>
                <w:sz w:val="16"/>
              </w:rPr>
            </w:pPr>
          </w:p>
        </w:tc>
        <w:tc>
          <w:tcPr>
            <w:tcW w:w="744" w:type="dxa"/>
            <w:tcBorders>
              <w:top w:val="single" w:color="282781" w:sz="4" w:space="0"/>
            </w:tcBorders>
            <w:vAlign w:val="top"/>
          </w:tcPr>
          <w:p>
            <w:pPr>
              <w:spacing w:line="190" w:lineRule="exact"/>
              <w:rPr>
                <w:rFonts w:ascii="Arial"/>
                <w:sz w:val="16"/>
              </w:rPr>
            </w:pPr>
          </w:p>
        </w:tc>
        <w:tc>
          <w:tcPr>
            <w:tcW w:w="747" w:type="dxa"/>
            <w:tcBorders>
              <w:top w:val="single" w:color="282781" w:sz="4" w:space="0"/>
            </w:tcBorders>
            <w:vAlign w:val="top"/>
          </w:tcPr>
          <w:p>
            <w:pPr>
              <w:spacing w:line="190" w:lineRule="exact"/>
              <w:rPr>
                <w:rFonts w:ascii="Arial"/>
                <w:sz w:val="16"/>
              </w:rPr>
            </w:pPr>
          </w:p>
        </w:tc>
        <w:tc>
          <w:tcPr>
            <w:tcW w:w="388" w:type="dxa"/>
            <w:tcBorders>
              <w:top w:val="single" w:color="282781" w:sz="4" w:space="0"/>
            </w:tcBorders>
            <w:vAlign w:val="top"/>
          </w:tcPr>
          <w:p>
            <w:pPr>
              <w:spacing w:line="190" w:lineRule="exact"/>
              <w:rPr>
                <w:rFonts w:ascii="Arial"/>
                <w:sz w:val="16"/>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0" w:hRule="atLeast"/>
        </w:trPr>
        <w:tc>
          <w:tcPr>
            <w:tcW w:w="1308" w:type="dxa"/>
            <w:vAlign w:val="top"/>
          </w:tcPr>
          <w:p>
            <w:pPr>
              <w:spacing w:before="37" w:line="185" w:lineRule="auto"/>
              <w:ind w:left="5"/>
              <w:rPr>
                <w:rFonts w:ascii="Arial" w:hAnsi="Arial" w:eastAsia="Arial" w:cs="Arial"/>
                <w:sz w:val="15"/>
                <w:szCs w:val="15"/>
              </w:rPr>
            </w:pPr>
            <w:r>
              <w:rPr>
                <w:rFonts w:ascii="Arial" w:hAnsi="Arial" w:eastAsia="Arial" w:cs="Arial"/>
                <w:spacing w:val="-6"/>
                <w:sz w:val="15"/>
                <w:szCs w:val="15"/>
              </w:rPr>
              <w:t>Communication</w:t>
            </w:r>
          </w:p>
        </w:tc>
        <w:tc>
          <w:tcPr>
            <w:tcW w:w="811" w:type="dxa"/>
            <w:vAlign w:val="top"/>
          </w:tcPr>
          <w:p>
            <w:pPr>
              <w:spacing w:before="40" w:line="180" w:lineRule="auto"/>
              <w:ind w:left="251"/>
              <w:rPr>
                <w:rFonts w:ascii="Arial" w:hAnsi="Arial" w:eastAsia="Arial" w:cs="Arial"/>
                <w:sz w:val="15"/>
                <w:szCs w:val="15"/>
              </w:rPr>
            </w:pPr>
            <w:r>
              <w:rPr>
                <w:rFonts w:ascii="Arial" w:hAnsi="Arial" w:eastAsia="Arial" w:cs="Arial"/>
                <w:spacing w:val="-11"/>
                <w:sz w:val="15"/>
                <w:szCs w:val="15"/>
              </w:rPr>
              <w:t>14.01</w:t>
            </w:r>
          </w:p>
        </w:tc>
        <w:tc>
          <w:tcPr>
            <w:tcW w:w="749" w:type="dxa"/>
            <w:vAlign w:val="top"/>
          </w:tcPr>
          <w:p>
            <w:pPr>
              <w:spacing w:before="40" w:line="180" w:lineRule="auto"/>
              <w:ind w:left="250"/>
              <w:rPr>
                <w:rFonts w:ascii="Arial" w:hAnsi="Arial" w:eastAsia="Arial" w:cs="Arial"/>
                <w:sz w:val="15"/>
                <w:szCs w:val="15"/>
              </w:rPr>
            </w:pPr>
            <w:r>
              <w:rPr>
                <w:rFonts w:ascii="Arial" w:hAnsi="Arial" w:eastAsia="Arial" w:cs="Arial"/>
                <w:spacing w:val="-9"/>
                <w:sz w:val="15"/>
                <w:szCs w:val="15"/>
              </w:rPr>
              <w:t>3.58</w:t>
            </w:r>
          </w:p>
        </w:tc>
        <w:tc>
          <w:tcPr>
            <w:tcW w:w="827" w:type="dxa"/>
            <w:vAlign w:val="top"/>
          </w:tcPr>
          <w:p>
            <w:pPr>
              <w:spacing w:before="40" w:line="180" w:lineRule="auto"/>
              <w:ind w:left="320"/>
              <w:rPr>
                <w:rFonts w:ascii="Arial" w:hAnsi="Arial" w:eastAsia="Arial" w:cs="Arial"/>
                <w:sz w:val="15"/>
                <w:szCs w:val="15"/>
              </w:rPr>
            </w:pPr>
            <w:r>
              <w:rPr>
                <w:rFonts w:ascii="Arial" w:hAnsi="Arial" w:eastAsia="Arial" w:cs="Arial"/>
                <w:spacing w:val="-9"/>
                <w:sz w:val="15"/>
                <w:szCs w:val="15"/>
              </w:rPr>
              <w:t>.276</w:t>
            </w:r>
          </w:p>
        </w:tc>
        <w:tc>
          <w:tcPr>
            <w:tcW w:w="829" w:type="dxa"/>
            <w:vAlign w:val="top"/>
          </w:tcPr>
          <w:p>
            <w:pPr>
              <w:spacing w:before="42" w:line="178" w:lineRule="auto"/>
              <w:ind w:left="264"/>
              <w:rPr>
                <w:rFonts w:ascii="Arial" w:hAnsi="Arial" w:eastAsia="Arial" w:cs="Arial"/>
                <w:sz w:val="15"/>
                <w:szCs w:val="15"/>
              </w:rPr>
            </w:pPr>
            <w:r>
              <w:rPr>
                <w:rFonts w:ascii="Arial" w:hAnsi="Arial" w:eastAsia="Arial" w:cs="Arial"/>
                <w:sz w:val="15"/>
                <w:szCs w:val="15"/>
              </w:rPr>
              <w:t>1</w:t>
            </w:r>
          </w:p>
        </w:tc>
        <w:tc>
          <w:tcPr>
            <w:tcW w:w="818" w:type="dxa"/>
            <w:vAlign w:val="top"/>
          </w:tcPr>
          <w:p>
            <w:pPr>
              <w:spacing w:line="170" w:lineRule="exact"/>
              <w:rPr>
                <w:rFonts w:ascii="Arial"/>
                <w:sz w:val="14"/>
              </w:rPr>
            </w:pPr>
          </w:p>
        </w:tc>
        <w:tc>
          <w:tcPr>
            <w:tcW w:w="819" w:type="dxa"/>
            <w:vAlign w:val="top"/>
          </w:tcPr>
          <w:p>
            <w:pPr>
              <w:spacing w:line="170" w:lineRule="exact"/>
              <w:rPr>
                <w:rFonts w:ascii="Arial"/>
                <w:sz w:val="14"/>
              </w:rPr>
            </w:pPr>
          </w:p>
        </w:tc>
        <w:tc>
          <w:tcPr>
            <w:tcW w:w="819" w:type="dxa"/>
            <w:vAlign w:val="top"/>
          </w:tcPr>
          <w:p>
            <w:pPr>
              <w:spacing w:line="170" w:lineRule="exact"/>
              <w:rPr>
                <w:rFonts w:ascii="Arial"/>
                <w:sz w:val="14"/>
              </w:rPr>
            </w:pPr>
          </w:p>
        </w:tc>
        <w:tc>
          <w:tcPr>
            <w:tcW w:w="816" w:type="dxa"/>
            <w:vAlign w:val="top"/>
          </w:tcPr>
          <w:p>
            <w:pPr>
              <w:spacing w:line="170" w:lineRule="exact"/>
              <w:rPr>
                <w:rFonts w:ascii="Arial"/>
                <w:sz w:val="14"/>
              </w:rPr>
            </w:pPr>
          </w:p>
        </w:tc>
        <w:tc>
          <w:tcPr>
            <w:tcW w:w="820" w:type="dxa"/>
            <w:vAlign w:val="top"/>
          </w:tcPr>
          <w:p>
            <w:pPr>
              <w:spacing w:line="170" w:lineRule="exact"/>
              <w:rPr>
                <w:rFonts w:ascii="Arial"/>
                <w:sz w:val="14"/>
              </w:rPr>
            </w:pPr>
          </w:p>
        </w:tc>
        <w:tc>
          <w:tcPr>
            <w:tcW w:w="818" w:type="dxa"/>
            <w:vAlign w:val="top"/>
          </w:tcPr>
          <w:p>
            <w:pPr>
              <w:spacing w:line="170" w:lineRule="exact"/>
              <w:rPr>
                <w:rFonts w:ascii="Arial"/>
                <w:sz w:val="14"/>
              </w:rPr>
            </w:pPr>
          </w:p>
        </w:tc>
        <w:tc>
          <w:tcPr>
            <w:tcW w:w="814" w:type="dxa"/>
            <w:vAlign w:val="top"/>
          </w:tcPr>
          <w:p>
            <w:pPr>
              <w:spacing w:line="170" w:lineRule="exact"/>
              <w:rPr>
                <w:rFonts w:ascii="Arial"/>
                <w:sz w:val="14"/>
              </w:rPr>
            </w:pPr>
          </w:p>
        </w:tc>
        <w:tc>
          <w:tcPr>
            <w:tcW w:w="744" w:type="dxa"/>
            <w:vAlign w:val="top"/>
          </w:tcPr>
          <w:p>
            <w:pPr>
              <w:spacing w:line="170" w:lineRule="exact"/>
              <w:rPr>
                <w:rFonts w:ascii="Arial"/>
                <w:sz w:val="14"/>
              </w:rPr>
            </w:pPr>
          </w:p>
        </w:tc>
        <w:tc>
          <w:tcPr>
            <w:tcW w:w="747" w:type="dxa"/>
            <w:vAlign w:val="top"/>
          </w:tcPr>
          <w:p>
            <w:pPr>
              <w:spacing w:line="170" w:lineRule="exact"/>
              <w:rPr>
                <w:rFonts w:ascii="Arial"/>
                <w:sz w:val="14"/>
              </w:rPr>
            </w:pPr>
          </w:p>
        </w:tc>
        <w:tc>
          <w:tcPr>
            <w:tcW w:w="388" w:type="dxa"/>
            <w:vAlign w:val="top"/>
          </w:tcPr>
          <w:p>
            <w:pPr>
              <w:spacing w:line="170" w:lineRule="exact"/>
              <w:rPr>
                <w:rFonts w:ascii="Arial"/>
                <w:sz w:val="1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4" w:hRule="atLeast"/>
        </w:trPr>
        <w:tc>
          <w:tcPr>
            <w:tcW w:w="1308" w:type="dxa"/>
            <w:vAlign w:val="top"/>
          </w:tcPr>
          <w:p>
            <w:pPr>
              <w:spacing w:before="38" w:line="196" w:lineRule="auto"/>
              <w:ind w:left="11"/>
              <w:rPr>
                <w:rFonts w:ascii="Arial" w:hAnsi="Arial" w:eastAsia="Arial" w:cs="Arial"/>
                <w:sz w:val="15"/>
                <w:szCs w:val="15"/>
              </w:rPr>
            </w:pPr>
            <w:r>
              <w:rPr>
                <w:rFonts w:ascii="Arial" w:hAnsi="Arial" w:eastAsia="Arial" w:cs="Arial"/>
                <w:spacing w:val="-9"/>
                <w:sz w:val="15"/>
                <w:szCs w:val="15"/>
              </w:rPr>
              <w:t>Engagement</w:t>
            </w:r>
          </w:p>
        </w:tc>
        <w:tc>
          <w:tcPr>
            <w:tcW w:w="811" w:type="dxa"/>
            <w:vAlign w:val="top"/>
          </w:tcPr>
          <w:p>
            <w:pPr>
              <w:spacing w:before="40" w:line="191" w:lineRule="auto"/>
              <w:ind w:left="251"/>
              <w:rPr>
                <w:rFonts w:ascii="Arial" w:hAnsi="Arial" w:eastAsia="Arial" w:cs="Arial"/>
                <w:sz w:val="15"/>
                <w:szCs w:val="15"/>
              </w:rPr>
            </w:pPr>
            <w:r>
              <w:rPr>
                <w:rFonts w:ascii="Arial" w:hAnsi="Arial" w:eastAsia="Arial" w:cs="Arial"/>
                <w:spacing w:val="-11"/>
                <w:sz w:val="15"/>
                <w:szCs w:val="15"/>
              </w:rPr>
              <w:t>15.93</w:t>
            </w:r>
          </w:p>
        </w:tc>
        <w:tc>
          <w:tcPr>
            <w:tcW w:w="749" w:type="dxa"/>
            <w:vAlign w:val="top"/>
          </w:tcPr>
          <w:p>
            <w:pPr>
              <w:spacing w:before="40" w:line="191" w:lineRule="auto"/>
              <w:ind w:left="250"/>
              <w:rPr>
                <w:rFonts w:ascii="Arial" w:hAnsi="Arial" w:eastAsia="Arial" w:cs="Arial"/>
                <w:sz w:val="15"/>
                <w:szCs w:val="15"/>
              </w:rPr>
            </w:pPr>
            <w:r>
              <w:rPr>
                <w:rFonts w:ascii="Arial" w:hAnsi="Arial" w:eastAsia="Arial" w:cs="Arial"/>
                <w:spacing w:val="-9"/>
                <w:sz w:val="15"/>
                <w:szCs w:val="15"/>
              </w:rPr>
              <w:t>2.43</w:t>
            </w:r>
          </w:p>
        </w:tc>
        <w:tc>
          <w:tcPr>
            <w:tcW w:w="827" w:type="dxa"/>
            <w:vAlign w:val="top"/>
          </w:tcPr>
          <w:p>
            <w:pPr>
              <w:spacing w:before="41" w:line="193" w:lineRule="auto"/>
              <w:ind w:left="320"/>
              <w:rPr>
                <w:rFonts w:ascii="Arial" w:hAnsi="Arial" w:eastAsia="Arial" w:cs="Arial"/>
                <w:sz w:val="15"/>
                <w:szCs w:val="15"/>
              </w:rPr>
            </w:pPr>
            <w:r>
              <w:rPr>
                <w:rFonts w:ascii="Arial" w:hAnsi="Arial" w:eastAsia="Arial" w:cs="Arial"/>
                <w:spacing w:val="-9"/>
                <w:sz w:val="15"/>
                <w:szCs w:val="15"/>
              </w:rPr>
              <w:t>.212</w:t>
            </w:r>
          </w:p>
        </w:tc>
        <w:tc>
          <w:tcPr>
            <w:tcW w:w="829" w:type="dxa"/>
            <w:vAlign w:val="top"/>
          </w:tcPr>
          <w:p>
            <w:pPr>
              <w:spacing w:before="40" w:line="191" w:lineRule="auto"/>
              <w:ind w:left="332"/>
              <w:rPr>
                <w:rFonts w:ascii="Arial" w:hAnsi="Arial" w:eastAsia="Arial" w:cs="Arial"/>
                <w:sz w:val="15"/>
                <w:szCs w:val="15"/>
              </w:rPr>
            </w:pPr>
            <w:r>
              <w:rPr>
                <w:rFonts w:ascii="Arial" w:hAnsi="Arial" w:eastAsia="Arial" w:cs="Arial"/>
                <w:spacing w:val="-9"/>
                <w:sz w:val="15"/>
                <w:szCs w:val="15"/>
              </w:rPr>
              <w:t>.231</w:t>
            </w:r>
          </w:p>
        </w:tc>
        <w:tc>
          <w:tcPr>
            <w:tcW w:w="818" w:type="dxa"/>
            <w:vAlign w:val="top"/>
          </w:tcPr>
          <w:p>
            <w:pPr>
              <w:spacing w:before="42" w:line="189" w:lineRule="auto"/>
              <w:ind w:left="254"/>
              <w:rPr>
                <w:rFonts w:ascii="Arial" w:hAnsi="Arial" w:eastAsia="Arial" w:cs="Arial"/>
                <w:sz w:val="15"/>
                <w:szCs w:val="15"/>
              </w:rPr>
            </w:pPr>
            <w:r>
              <w:rPr>
                <w:rFonts w:ascii="Arial" w:hAnsi="Arial" w:eastAsia="Arial" w:cs="Arial"/>
                <w:sz w:val="15"/>
                <w:szCs w:val="15"/>
              </w:rPr>
              <w:t>1</w:t>
            </w:r>
          </w:p>
        </w:tc>
        <w:tc>
          <w:tcPr>
            <w:tcW w:w="819" w:type="dxa"/>
            <w:vAlign w:val="top"/>
          </w:tcPr>
          <w:p>
            <w:pPr>
              <w:spacing w:line="184" w:lineRule="exact"/>
              <w:rPr>
                <w:rFonts w:ascii="Arial"/>
                <w:sz w:val="16"/>
              </w:rPr>
            </w:pPr>
          </w:p>
        </w:tc>
        <w:tc>
          <w:tcPr>
            <w:tcW w:w="819" w:type="dxa"/>
            <w:vAlign w:val="top"/>
          </w:tcPr>
          <w:p>
            <w:pPr>
              <w:spacing w:line="184" w:lineRule="exact"/>
              <w:rPr>
                <w:rFonts w:ascii="Arial"/>
                <w:sz w:val="16"/>
              </w:rPr>
            </w:pPr>
          </w:p>
        </w:tc>
        <w:tc>
          <w:tcPr>
            <w:tcW w:w="816" w:type="dxa"/>
            <w:vAlign w:val="top"/>
          </w:tcPr>
          <w:p>
            <w:pPr>
              <w:spacing w:line="184" w:lineRule="exact"/>
              <w:rPr>
                <w:rFonts w:ascii="Arial"/>
                <w:sz w:val="16"/>
              </w:rPr>
            </w:pPr>
          </w:p>
        </w:tc>
        <w:tc>
          <w:tcPr>
            <w:tcW w:w="820" w:type="dxa"/>
            <w:vAlign w:val="top"/>
          </w:tcPr>
          <w:p>
            <w:pPr>
              <w:spacing w:line="184" w:lineRule="exact"/>
              <w:rPr>
                <w:rFonts w:ascii="Arial"/>
                <w:sz w:val="16"/>
              </w:rPr>
            </w:pPr>
          </w:p>
        </w:tc>
        <w:tc>
          <w:tcPr>
            <w:tcW w:w="818" w:type="dxa"/>
            <w:vAlign w:val="top"/>
          </w:tcPr>
          <w:p>
            <w:pPr>
              <w:spacing w:line="184" w:lineRule="exact"/>
              <w:rPr>
                <w:rFonts w:ascii="Arial"/>
                <w:sz w:val="16"/>
              </w:rPr>
            </w:pPr>
          </w:p>
        </w:tc>
        <w:tc>
          <w:tcPr>
            <w:tcW w:w="814" w:type="dxa"/>
            <w:vAlign w:val="top"/>
          </w:tcPr>
          <w:p>
            <w:pPr>
              <w:spacing w:line="184" w:lineRule="exact"/>
              <w:rPr>
                <w:rFonts w:ascii="Arial"/>
                <w:sz w:val="16"/>
              </w:rPr>
            </w:pPr>
          </w:p>
        </w:tc>
        <w:tc>
          <w:tcPr>
            <w:tcW w:w="744" w:type="dxa"/>
            <w:vAlign w:val="top"/>
          </w:tcPr>
          <w:p>
            <w:pPr>
              <w:spacing w:line="184" w:lineRule="exact"/>
              <w:rPr>
                <w:rFonts w:ascii="Arial"/>
                <w:sz w:val="16"/>
              </w:rPr>
            </w:pPr>
          </w:p>
        </w:tc>
        <w:tc>
          <w:tcPr>
            <w:tcW w:w="747" w:type="dxa"/>
            <w:vAlign w:val="top"/>
          </w:tcPr>
          <w:p>
            <w:pPr>
              <w:spacing w:line="184" w:lineRule="exact"/>
              <w:rPr>
                <w:rFonts w:ascii="Arial"/>
                <w:sz w:val="16"/>
              </w:rPr>
            </w:pPr>
          </w:p>
        </w:tc>
        <w:tc>
          <w:tcPr>
            <w:tcW w:w="388" w:type="dxa"/>
            <w:vAlign w:val="top"/>
          </w:tcPr>
          <w:p>
            <w:pPr>
              <w:spacing w:line="184" w:lineRule="exact"/>
              <w:rPr>
                <w:rFonts w:ascii="Arial"/>
                <w:sz w:val="16"/>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2" w:hRule="atLeast"/>
        </w:trPr>
        <w:tc>
          <w:tcPr>
            <w:tcW w:w="1308" w:type="dxa"/>
            <w:vAlign w:val="top"/>
          </w:tcPr>
          <w:p>
            <w:pPr>
              <w:spacing w:before="22" w:line="180" w:lineRule="auto"/>
              <w:ind w:left="5"/>
              <w:rPr>
                <w:rFonts w:ascii="Arial" w:hAnsi="Arial" w:eastAsia="Arial" w:cs="Arial"/>
                <w:sz w:val="15"/>
                <w:szCs w:val="15"/>
              </w:rPr>
            </w:pPr>
            <w:r>
              <w:rPr>
                <w:rFonts w:ascii="Arial" w:hAnsi="Arial" w:eastAsia="Arial" w:cs="Arial"/>
                <w:spacing w:val="-5"/>
                <w:sz w:val="15"/>
                <w:szCs w:val="15"/>
              </w:rPr>
              <w:t>Commitment</w:t>
            </w:r>
          </w:p>
        </w:tc>
        <w:tc>
          <w:tcPr>
            <w:tcW w:w="811" w:type="dxa"/>
            <w:vAlign w:val="top"/>
          </w:tcPr>
          <w:p>
            <w:pPr>
              <w:spacing w:before="26" w:line="175" w:lineRule="auto"/>
              <w:ind w:left="251"/>
              <w:rPr>
                <w:rFonts w:ascii="Arial" w:hAnsi="Arial" w:eastAsia="Arial" w:cs="Arial"/>
                <w:sz w:val="15"/>
                <w:szCs w:val="15"/>
              </w:rPr>
            </w:pPr>
            <w:r>
              <w:rPr>
                <w:rFonts w:ascii="Arial" w:hAnsi="Arial" w:eastAsia="Arial" w:cs="Arial"/>
                <w:spacing w:val="-11"/>
                <w:sz w:val="15"/>
                <w:szCs w:val="15"/>
              </w:rPr>
              <w:t>14.97</w:t>
            </w:r>
          </w:p>
        </w:tc>
        <w:tc>
          <w:tcPr>
            <w:tcW w:w="749" w:type="dxa"/>
            <w:vAlign w:val="top"/>
          </w:tcPr>
          <w:p>
            <w:pPr>
              <w:spacing w:before="26" w:line="175" w:lineRule="auto"/>
              <w:ind w:left="250"/>
              <w:rPr>
                <w:rFonts w:ascii="Arial" w:hAnsi="Arial" w:eastAsia="Arial" w:cs="Arial"/>
                <w:sz w:val="15"/>
                <w:szCs w:val="15"/>
              </w:rPr>
            </w:pPr>
            <w:r>
              <w:rPr>
                <w:rFonts w:ascii="Arial" w:hAnsi="Arial" w:eastAsia="Arial" w:cs="Arial"/>
                <w:spacing w:val="-9"/>
                <w:sz w:val="15"/>
                <w:szCs w:val="15"/>
              </w:rPr>
              <w:t>2.99</w:t>
            </w:r>
          </w:p>
        </w:tc>
        <w:tc>
          <w:tcPr>
            <w:tcW w:w="827" w:type="dxa"/>
            <w:vAlign w:val="top"/>
          </w:tcPr>
          <w:p>
            <w:pPr>
              <w:spacing w:before="26" w:line="175" w:lineRule="auto"/>
              <w:ind w:left="320"/>
              <w:rPr>
                <w:rFonts w:ascii="Arial" w:hAnsi="Arial" w:eastAsia="Arial" w:cs="Arial"/>
                <w:sz w:val="15"/>
                <w:szCs w:val="15"/>
              </w:rPr>
            </w:pPr>
            <w:r>
              <w:rPr>
                <w:rFonts w:ascii="Arial" w:hAnsi="Arial" w:eastAsia="Arial" w:cs="Arial"/>
                <w:spacing w:val="-9"/>
                <w:sz w:val="15"/>
                <w:szCs w:val="15"/>
              </w:rPr>
              <w:t>.182</w:t>
            </w:r>
          </w:p>
        </w:tc>
        <w:tc>
          <w:tcPr>
            <w:tcW w:w="829" w:type="dxa"/>
            <w:vAlign w:val="top"/>
          </w:tcPr>
          <w:p>
            <w:pPr>
              <w:spacing w:before="27" w:line="173" w:lineRule="auto"/>
              <w:ind w:left="332"/>
              <w:rPr>
                <w:rFonts w:ascii="Arial" w:hAnsi="Arial" w:eastAsia="Arial" w:cs="Arial"/>
                <w:sz w:val="15"/>
                <w:szCs w:val="15"/>
              </w:rPr>
            </w:pPr>
            <w:r>
              <w:rPr>
                <w:rFonts w:ascii="Arial" w:hAnsi="Arial" w:eastAsia="Arial" w:cs="Arial"/>
                <w:spacing w:val="-9"/>
                <w:sz w:val="15"/>
                <w:szCs w:val="15"/>
              </w:rPr>
              <w:t>.171</w:t>
            </w:r>
          </w:p>
        </w:tc>
        <w:tc>
          <w:tcPr>
            <w:tcW w:w="818" w:type="dxa"/>
            <w:vAlign w:val="top"/>
          </w:tcPr>
          <w:p>
            <w:pPr>
              <w:spacing w:before="26" w:line="175" w:lineRule="auto"/>
              <w:ind w:left="321"/>
              <w:rPr>
                <w:rFonts w:ascii="Arial" w:hAnsi="Arial" w:eastAsia="Arial" w:cs="Arial"/>
                <w:sz w:val="15"/>
                <w:szCs w:val="15"/>
              </w:rPr>
            </w:pPr>
            <w:r>
              <w:rPr>
                <w:rFonts w:ascii="Arial" w:hAnsi="Arial" w:eastAsia="Arial" w:cs="Arial"/>
                <w:spacing w:val="-9"/>
                <w:sz w:val="15"/>
                <w:szCs w:val="15"/>
              </w:rPr>
              <w:t>.502</w:t>
            </w:r>
          </w:p>
        </w:tc>
        <w:tc>
          <w:tcPr>
            <w:tcW w:w="819" w:type="dxa"/>
            <w:vAlign w:val="top"/>
          </w:tcPr>
          <w:p>
            <w:pPr>
              <w:spacing w:before="27" w:line="173" w:lineRule="auto"/>
              <w:ind w:left="253"/>
              <w:rPr>
                <w:rFonts w:ascii="Arial" w:hAnsi="Arial" w:eastAsia="Arial" w:cs="Arial"/>
                <w:sz w:val="15"/>
                <w:szCs w:val="15"/>
              </w:rPr>
            </w:pPr>
            <w:r>
              <w:rPr>
                <w:rFonts w:ascii="Arial" w:hAnsi="Arial" w:eastAsia="Arial" w:cs="Arial"/>
                <w:sz w:val="15"/>
                <w:szCs w:val="15"/>
              </w:rPr>
              <w:t>1</w:t>
            </w:r>
          </w:p>
        </w:tc>
        <w:tc>
          <w:tcPr>
            <w:tcW w:w="819" w:type="dxa"/>
            <w:vAlign w:val="top"/>
          </w:tcPr>
          <w:p>
            <w:pPr>
              <w:spacing w:line="152" w:lineRule="exact"/>
              <w:rPr>
                <w:rFonts w:ascii="Arial"/>
                <w:sz w:val="13"/>
              </w:rPr>
            </w:pPr>
          </w:p>
        </w:tc>
        <w:tc>
          <w:tcPr>
            <w:tcW w:w="816" w:type="dxa"/>
            <w:vAlign w:val="top"/>
          </w:tcPr>
          <w:p>
            <w:pPr>
              <w:spacing w:line="152" w:lineRule="exact"/>
              <w:rPr>
                <w:rFonts w:ascii="Arial"/>
                <w:sz w:val="13"/>
              </w:rPr>
            </w:pPr>
          </w:p>
        </w:tc>
        <w:tc>
          <w:tcPr>
            <w:tcW w:w="820" w:type="dxa"/>
            <w:vAlign w:val="top"/>
          </w:tcPr>
          <w:p>
            <w:pPr>
              <w:spacing w:line="152" w:lineRule="exact"/>
              <w:rPr>
                <w:rFonts w:ascii="Arial"/>
                <w:sz w:val="13"/>
              </w:rPr>
            </w:pPr>
          </w:p>
        </w:tc>
        <w:tc>
          <w:tcPr>
            <w:tcW w:w="818" w:type="dxa"/>
            <w:vAlign w:val="top"/>
          </w:tcPr>
          <w:p>
            <w:pPr>
              <w:spacing w:line="152" w:lineRule="exact"/>
              <w:rPr>
                <w:rFonts w:ascii="Arial"/>
                <w:sz w:val="13"/>
              </w:rPr>
            </w:pPr>
          </w:p>
        </w:tc>
        <w:tc>
          <w:tcPr>
            <w:tcW w:w="814" w:type="dxa"/>
            <w:vAlign w:val="top"/>
          </w:tcPr>
          <w:p>
            <w:pPr>
              <w:spacing w:line="152" w:lineRule="exact"/>
              <w:rPr>
                <w:rFonts w:ascii="Arial"/>
                <w:sz w:val="13"/>
              </w:rPr>
            </w:pPr>
          </w:p>
        </w:tc>
        <w:tc>
          <w:tcPr>
            <w:tcW w:w="744" w:type="dxa"/>
            <w:vAlign w:val="top"/>
          </w:tcPr>
          <w:p>
            <w:pPr>
              <w:spacing w:line="152" w:lineRule="exact"/>
              <w:rPr>
                <w:rFonts w:ascii="Arial"/>
                <w:sz w:val="13"/>
              </w:rPr>
            </w:pPr>
          </w:p>
        </w:tc>
        <w:tc>
          <w:tcPr>
            <w:tcW w:w="747" w:type="dxa"/>
            <w:vAlign w:val="top"/>
          </w:tcPr>
          <w:p>
            <w:pPr>
              <w:spacing w:line="152" w:lineRule="exact"/>
              <w:rPr>
                <w:rFonts w:ascii="Arial"/>
                <w:sz w:val="13"/>
              </w:rPr>
            </w:pPr>
          </w:p>
        </w:tc>
        <w:tc>
          <w:tcPr>
            <w:tcW w:w="388" w:type="dxa"/>
            <w:vAlign w:val="top"/>
          </w:tcPr>
          <w:p>
            <w:pPr>
              <w:spacing w:line="152" w:lineRule="exact"/>
              <w:rPr>
                <w:rFonts w:ascii="Arial"/>
                <w:sz w:val="13"/>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2" w:hRule="atLeast"/>
        </w:trPr>
        <w:tc>
          <w:tcPr>
            <w:tcW w:w="1308" w:type="dxa"/>
            <w:vAlign w:val="top"/>
          </w:tcPr>
          <w:p>
            <w:pPr>
              <w:spacing w:before="37" w:line="187" w:lineRule="auto"/>
              <w:ind w:left="11"/>
              <w:rPr>
                <w:rFonts w:ascii="Arial" w:hAnsi="Arial" w:eastAsia="Arial" w:cs="Arial"/>
                <w:sz w:val="15"/>
                <w:szCs w:val="15"/>
              </w:rPr>
            </w:pPr>
            <w:r>
              <w:rPr>
                <w:rFonts w:ascii="Arial" w:hAnsi="Arial" w:eastAsia="Arial" w:cs="Arial"/>
                <w:spacing w:val="-13"/>
                <w:w w:val="97"/>
                <w:sz w:val="15"/>
                <w:szCs w:val="15"/>
              </w:rPr>
              <w:t>Lead</w:t>
            </w:r>
            <w:r>
              <w:rPr>
                <w:rFonts w:ascii="Arial" w:hAnsi="Arial" w:eastAsia="Arial" w:cs="Arial"/>
                <w:spacing w:val="20"/>
                <w:sz w:val="15"/>
                <w:szCs w:val="15"/>
              </w:rPr>
              <w:t xml:space="preserve"> </w:t>
            </w:r>
            <w:r>
              <w:rPr>
                <w:rFonts w:ascii="Arial" w:hAnsi="Arial" w:eastAsia="Arial" w:cs="Arial"/>
                <w:spacing w:val="-13"/>
                <w:w w:val="97"/>
                <w:sz w:val="15"/>
                <w:szCs w:val="15"/>
              </w:rPr>
              <w:t>EXP</w:t>
            </w:r>
          </w:p>
        </w:tc>
        <w:tc>
          <w:tcPr>
            <w:tcW w:w="811" w:type="dxa"/>
            <w:vAlign w:val="top"/>
          </w:tcPr>
          <w:p>
            <w:pPr>
              <w:spacing w:before="44" w:line="177" w:lineRule="auto"/>
              <w:ind w:left="251"/>
              <w:rPr>
                <w:rFonts w:ascii="Arial" w:hAnsi="Arial" w:eastAsia="Arial" w:cs="Arial"/>
                <w:sz w:val="15"/>
                <w:szCs w:val="15"/>
              </w:rPr>
            </w:pPr>
            <w:r>
              <w:rPr>
                <w:rFonts w:ascii="Arial" w:hAnsi="Arial" w:eastAsia="Arial" w:cs="Arial"/>
                <w:spacing w:val="-11"/>
                <w:sz w:val="15"/>
                <w:szCs w:val="15"/>
              </w:rPr>
              <w:t>13.67</w:t>
            </w:r>
          </w:p>
        </w:tc>
        <w:tc>
          <w:tcPr>
            <w:tcW w:w="749" w:type="dxa"/>
            <w:vAlign w:val="top"/>
          </w:tcPr>
          <w:p>
            <w:pPr>
              <w:spacing w:before="44" w:line="177" w:lineRule="auto"/>
              <w:ind w:left="250"/>
              <w:rPr>
                <w:rFonts w:ascii="Arial" w:hAnsi="Arial" w:eastAsia="Arial" w:cs="Arial"/>
                <w:sz w:val="15"/>
                <w:szCs w:val="15"/>
              </w:rPr>
            </w:pPr>
            <w:r>
              <w:rPr>
                <w:rFonts w:ascii="Arial" w:hAnsi="Arial" w:eastAsia="Arial" w:cs="Arial"/>
                <w:spacing w:val="-9"/>
                <w:sz w:val="15"/>
                <w:szCs w:val="15"/>
              </w:rPr>
              <w:t>3.64</w:t>
            </w:r>
          </w:p>
        </w:tc>
        <w:tc>
          <w:tcPr>
            <w:tcW w:w="827" w:type="dxa"/>
            <w:vAlign w:val="top"/>
          </w:tcPr>
          <w:p>
            <w:pPr>
              <w:spacing w:before="44" w:line="177" w:lineRule="auto"/>
              <w:ind w:left="320"/>
              <w:rPr>
                <w:rFonts w:ascii="Arial" w:hAnsi="Arial" w:eastAsia="Arial" w:cs="Arial"/>
                <w:sz w:val="15"/>
                <w:szCs w:val="15"/>
              </w:rPr>
            </w:pPr>
            <w:r>
              <w:rPr>
                <w:rFonts w:ascii="Arial" w:hAnsi="Arial" w:eastAsia="Arial" w:cs="Arial"/>
                <w:spacing w:val="-9"/>
                <w:sz w:val="15"/>
                <w:szCs w:val="15"/>
              </w:rPr>
              <w:t>.572</w:t>
            </w:r>
          </w:p>
        </w:tc>
        <w:tc>
          <w:tcPr>
            <w:tcW w:w="829" w:type="dxa"/>
            <w:vAlign w:val="top"/>
          </w:tcPr>
          <w:p>
            <w:pPr>
              <w:spacing w:before="44" w:line="177" w:lineRule="auto"/>
              <w:ind w:left="332"/>
              <w:rPr>
                <w:rFonts w:ascii="Arial" w:hAnsi="Arial" w:eastAsia="Arial" w:cs="Arial"/>
                <w:sz w:val="15"/>
                <w:szCs w:val="15"/>
              </w:rPr>
            </w:pPr>
            <w:r>
              <w:rPr>
                <w:rFonts w:ascii="Arial" w:hAnsi="Arial" w:eastAsia="Arial" w:cs="Arial"/>
                <w:spacing w:val="-9"/>
                <w:sz w:val="15"/>
                <w:szCs w:val="15"/>
              </w:rPr>
              <w:t>.206</w:t>
            </w:r>
          </w:p>
        </w:tc>
        <w:tc>
          <w:tcPr>
            <w:tcW w:w="818" w:type="dxa"/>
            <w:vAlign w:val="top"/>
          </w:tcPr>
          <w:p>
            <w:pPr>
              <w:spacing w:before="44" w:line="177" w:lineRule="auto"/>
              <w:ind w:left="321"/>
              <w:rPr>
                <w:rFonts w:ascii="Arial" w:hAnsi="Arial" w:eastAsia="Arial" w:cs="Arial"/>
                <w:sz w:val="15"/>
                <w:szCs w:val="15"/>
              </w:rPr>
            </w:pPr>
            <w:r>
              <w:rPr>
                <w:rFonts w:ascii="Arial" w:hAnsi="Arial" w:eastAsia="Arial" w:cs="Arial"/>
                <w:spacing w:val="-9"/>
                <w:sz w:val="15"/>
                <w:szCs w:val="15"/>
              </w:rPr>
              <w:t>.276</w:t>
            </w:r>
          </w:p>
        </w:tc>
        <w:tc>
          <w:tcPr>
            <w:tcW w:w="819" w:type="dxa"/>
            <w:vAlign w:val="top"/>
          </w:tcPr>
          <w:p>
            <w:pPr>
              <w:spacing w:before="44" w:line="177" w:lineRule="auto"/>
              <w:ind w:left="321"/>
              <w:rPr>
                <w:rFonts w:ascii="Arial" w:hAnsi="Arial" w:eastAsia="Arial" w:cs="Arial"/>
                <w:sz w:val="15"/>
                <w:szCs w:val="15"/>
              </w:rPr>
            </w:pPr>
            <w:r>
              <w:rPr>
                <w:rFonts w:ascii="Arial" w:hAnsi="Arial" w:eastAsia="Arial" w:cs="Arial"/>
                <w:spacing w:val="-9"/>
                <w:sz w:val="15"/>
                <w:szCs w:val="15"/>
              </w:rPr>
              <w:t>.256</w:t>
            </w:r>
          </w:p>
        </w:tc>
        <w:tc>
          <w:tcPr>
            <w:tcW w:w="819" w:type="dxa"/>
            <w:vAlign w:val="top"/>
          </w:tcPr>
          <w:p>
            <w:pPr>
              <w:spacing w:before="46" w:line="175" w:lineRule="auto"/>
              <w:ind w:left="253"/>
              <w:rPr>
                <w:rFonts w:ascii="Arial" w:hAnsi="Arial" w:eastAsia="Arial" w:cs="Arial"/>
                <w:sz w:val="15"/>
                <w:szCs w:val="15"/>
              </w:rPr>
            </w:pPr>
            <w:r>
              <w:rPr>
                <w:rFonts w:ascii="Arial" w:hAnsi="Arial" w:eastAsia="Arial" w:cs="Arial"/>
                <w:sz w:val="15"/>
                <w:szCs w:val="15"/>
              </w:rPr>
              <w:t>1</w:t>
            </w:r>
          </w:p>
        </w:tc>
        <w:tc>
          <w:tcPr>
            <w:tcW w:w="816" w:type="dxa"/>
            <w:vAlign w:val="top"/>
          </w:tcPr>
          <w:p>
            <w:pPr>
              <w:spacing w:line="172" w:lineRule="exact"/>
              <w:rPr>
                <w:rFonts w:ascii="Arial"/>
                <w:sz w:val="14"/>
              </w:rPr>
            </w:pPr>
          </w:p>
        </w:tc>
        <w:tc>
          <w:tcPr>
            <w:tcW w:w="820" w:type="dxa"/>
            <w:vAlign w:val="top"/>
          </w:tcPr>
          <w:p>
            <w:pPr>
              <w:spacing w:line="172" w:lineRule="exact"/>
              <w:rPr>
                <w:rFonts w:ascii="Arial"/>
                <w:sz w:val="14"/>
              </w:rPr>
            </w:pPr>
          </w:p>
        </w:tc>
        <w:tc>
          <w:tcPr>
            <w:tcW w:w="818" w:type="dxa"/>
            <w:vAlign w:val="top"/>
          </w:tcPr>
          <w:p>
            <w:pPr>
              <w:spacing w:line="172" w:lineRule="exact"/>
              <w:rPr>
                <w:rFonts w:ascii="Arial"/>
                <w:sz w:val="14"/>
              </w:rPr>
            </w:pPr>
          </w:p>
        </w:tc>
        <w:tc>
          <w:tcPr>
            <w:tcW w:w="814" w:type="dxa"/>
            <w:vAlign w:val="top"/>
          </w:tcPr>
          <w:p>
            <w:pPr>
              <w:spacing w:line="172" w:lineRule="exact"/>
              <w:rPr>
                <w:rFonts w:ascii="Arial"/>
                <w:sz w:val="14"/>
              </w:rPr>
            </w:pPr>
          </w:p>
        </w:tc>
        <w:tc>
          <w:tcPr>
            <w:tcW w:w="744" w:type="dxa"/>
            <w:vAlign w:val="top"/>
          </w:tcPr>
          <w:p>
            <w:pPr>
              <w:spacing w:line="172" w:lineRule="exact"/>
              <w:rPr>
                <w:rFonts w:ascii="Arial"/>
                <w:sz w:val="14"/>
              </w:rPr>
            </w:pPr>
          </w:p>
        </w:tc>
        <w:tc>
          <w:tcPr>
            <w:tcW w:w="747" w:type="dxa"/>
            <w:vAlign w:val="top"/>
          </w:tcPr>
          <w:p>
            <w:pPr>
              <w:spacing w:line="172" w:lineRule="exact"/>
              <w:rPr>
                <w:rFonts w:ascii="Arial"/>
                <w:sz w:val="14"/>
              </w:rPr>
            </w:pPr>
          </w:p>
        </w:tc>
        <w:tc>
          <w:tcPr>
            <w:tcW w:w="388" w:type="dxa"/>
            <w:vAlign w:val="top"/>
          </w:tcPr>
          <w:p>
            <w:pPr>
              <w:spacing w:line="172" w:lineRule="exact"/>
              <w:rPr>
                <w:rFonts w:ascii="Arial"/>
                <w:sz w:val="1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4" w:hRule="atLeast"/>
        </w:trPr>
        <w:tc>
          <w:tcPr>
            <w:tcW w:w="1308" w:type="dxa"/>
            <w:vAlign w:val="top"/>
          </w:tcPr>
          <w:p>
            <w:pPr>
              <w:spacing w:before="40" w:line="197" w:lineRule="auto"/>
              <w:ind w:left="11"/>
              <w:rPr>
                <w:rFonts w:ascii="Arial" w:hAnsi="Arial" w:eastAsia="Arial" w:cs="Arial"/>
                <w:sz w:val="15"/>
                <w:szCs w:val="15"/>
              </w:rPr>
            </w:pPr>
            <w:r>
              <w:rPr>
                <w:rFonts w:ascii="Arial" w:hAnsi="Arial" w:eastAsia="Arial" w:cs="Arial"/>
                <w:spacing w:val="-6"/>
                <w:sz w:val="15"/>
                <w:szCs w:val="15"/>
              </w:rPr>
              <w:t>Participation</w:t>
            </w:r>
          </w:p>
        </w:tc>
        <w:tc>
          <w:tcPr>
            <w:tcW w:w="811" w:type="dxa"/>
            <w:vAlign w:val="top"/>
          </w:tcPr>
          <w:p>
            <w:pPr>
              <w:spacing w:before="42" w:line="191" w:lineRule="auto"/>
              <w:ind w:left="251"/>
              <w:rPr>
                <w:rFonts w:ascii="Arial" w:hAnsi="Arial" w:eastAsia="Arial" w:cs="Arial"/>
                <w:sz w:val="15"/>
                <w:szCs w:val="15"/>
              </w:rPr>
            </w:pPr>
            <w:r>
              <w:rPr>
                <w:rFonts w:ascii="Arial" w:hAnsi="Arial" w:eastAsia="Arial" w:cs="Arial"/>
                <w:spacing w:val="-11"/>
                <w:sz w:val="15"/>
                <w:szCs w:val="15"/>
              </w:rPr>
              <w:t>13.45</w:t>
            </w:r>
          </w:p>
        </w:tc>
        <w:tc>
          <w:tcPr>
            <w:tcW w:w="749" w:type="dxa"/>
            <w:vAlign w:val="top"/>
          </w:tcPr>
          <w:p>
            <w:pPr>
              <w:spacing w:before="42" w:line="191" w:lineRule="auto"/>
              <w:ind w:left="250"/>
              <w:rPr>
                <w:rFonts w:ascii="Arial" w:hAnsi="Arial" w:eastAsia="Arial" w:cs="Arial"/>
                <w:sz w:val="15"/>
                <w:szCs w:val="15"/>
              </w:rPr>
            </w:pPr>
            <w:r>
              <w:rPr>
                <w:rFonts w:ascii="Arial" w:hAnsi="Arial" w:eastAsia="Arial" w:cs="Arial"/>
                <w:spacing w:val="-9"/>
                <w:sz w:val="15"/>
                <w:szCs w:val="15"/>
              </w:rPr>
              <w:t>3.12</w:t>
            </w:r>
          </w:p>
        </w:tc>
        <w:tc>
          <w:tcPr>
            <w:tcW w:w="827" w:type="dxa"/>
            <w:vAlign w:val="top"/>
          </w:tcPr>
          <w:p>
            <w:pPr>
              <w:spacing w:before="42" w:line="191" w:lineRule="auto"/>
              <w:ind w:left="320"/>
              <w:rPr>
                <w:rFonts w:ascii="Arial" w:hAnsi="Arial" w:eastAsia="Arial" w:cs="Arial"/>
                <w:sz w:val="15"/>
                <w:szCs w:val="15"/>
              </w:rPr>
            </w:pPr>
            <w:r>
              <w:rPr>
                <w:rFonts w:ascii="Arial" w:hAnsi="Arial" w:eastAsia="Arial" w:cs="Arial"/>
                <w:spacing w:val="-9"/>
                <w:sz w:val="15"/>
                <w:szCs w:val="15"/>
              </w:rPr>
              <w:t>.235</w:t>
            </w:r>
          </w:p>
        </w:tc>
        <w:tc>
          <w:tcPr>
            <w:tcW w:w="829" w:type="dxa"/>
            <w:vAlign w:val="top"/>
          </w:tcPr>
          <w:p>
            <w:pPr>
              <w:spacing w:before="42" w:line="191" w:lineRule="auto"/>
              <w:ind w:left="332"/>
              <w:rPr>
                <w:rFonts w:ascii="Arial" w:hAnsi="Arial" w:eastAsia="Arial" w:cs="Arial"/>
                <w:sz w:val="15"/>
                <w:szCs w:val="15"/>
              </w:rPr>
            </w:pPr>
            <w:r>
              <w:rPr>
                <w:rFonts w:ascii="Arial" w:hAnsi="Arial" w:eastAsia="Arial" w:cs="Arial"/>
                <w:spacing w:val="-9"/>
                <w:sz w:val="15"/>
                <w:szCs w:val="15"/>
              </w:rPr>
              <w:t>.303</w:t>
            </w:r>
          </w:p>
        </w:tc>
        <w:tc>
          <w:tcPr>
            <w:tcW w:w="818" w:type="dxa"/>
            <w:vAlign w:val="top"/>
          </w:tcPr>
          <w:p>
            <w:pPr>
              <w:spacing w:before="42" w:line="191" w:lineRule="auto"/>
              <w:ind w:left="321"/>
              <w:rPr>
                <w:rFonts w:ascii="Arial" w:hAnsi="Arial" w:eastAsia="Arial" w:cs="Arial"/>
                <w:sz w:val="15"/>
                <w:szCs w:val="15"/>
              </w:rPr>
            </w:pPr>
            <w:r>
              <w:rPr>
                <w:rFonts w:ascii="Arial" w:hAnsi="Arial" w:eastAsia="Arial" w:cs="Arial"/>
                <w:spacing w:val="-9"/>
                <w:sz w:val="15"/>
                <w:szCs w:val="15"/>
              </w:rPr>
              <w:t>.362</w:t>
            </w:r>
          </w:p>
        </w:tc>
        <w:tc>
          <w:tcPr>
            <w:tcW w:w="819" w:type="dxa"/>
            <w:vAlign w:val="top"/>
          </w:tcPr>
          <w:p>
            <w:pPr>
              <w:spacing w:before="42" w:line="191" w:lineRule="auto"/>
              <w:ind w:left="321"/>
              <w:rPr>
                <w:rFonts w:ascii="Arial" w:hAnsi="Arial" w:eastAsia="Arial" w:cs="Arial"/>
                <w:sz w:val="15"/>
                <w:szCs w:val="15"/>
              </w:rPr>
            </w:pPr>
            <w:r>
              <w:rPr>
                <w:rFonts w:ascii="Arial" w:hAnsi="Arial" w:eastAsia="Arial" w:cs="Arial"/>
                <w:spacing w:val="-9"/>
                <w:sz w:val="15"/>
                <w:szCs w:val="15"/>
              </w:rPr>
              <w:t>.395</w:t>
            </w:r>
          </w:p>
        </w:tc>
        <w:tc>
          <w:tcPr>
            <w:tcW w:w="819" w:type="dxa"/>
            <w:vAlign w:val="top"/>
          </w:tcPr>
          <w:p>
            <w:pPr>
              <w:spacing w:before="42" w:line="191" w:lineRule="auto"/>
              <w:ind w:left="321"/>
              <w:rPr>
                <w:rFonts w:ascii="Arial" w:hAnsi="Arial" w:eastAsia="Arial" w:cs="Arial"/>
                <w:sz w:val="15"/>
                <w:szCs w:val="15"/>
              </w:rPr>
            </w:pPr>
            <w:r>
              <w:rPr>
                <w:rFonts w:ascii="Arial" w:hAnsi="Arial" w:eastAsia="Arial" w:cs="Arial"/>
                <w:spacing w:val="-9"/>
                <w:sz w:val="15"/>
                <w:szCs w:val="15"/>
              </w:rPr>
              <w:t>.254</w:t>
            </w:r>
          </w:p>
        </w:tc>
        <w:tc>
          <w:tcPr>
            <w:tcW w:w="816" w:type="dxa"/>
            <w:vAlign w:val="top"/>
          </w:tcPr>
          <w:p>
            <w:pPr>
              <w:spacing w:before="44" w:line="189" w:lineRule="auto"/>
              <w:ind w:left="252"/>
              <w:rPr>
                <w:rFonts w:ascii="Arial" w:hAnsi="Arial" w:eastAsia="Arial" w:cs="Arial"/>
                <w:sz w:val="15"/>
                <w:szCs w:val="15"/>
              </w:rPr>
            </w:pPr>
            <w:r>
              <w:rPr>
                <w:rFonts w:ascii="Arial" w:hAnsi="Arial" w:eastAsia="Arial" w:cs="Arial"/>
                <w:sz w:val="15"/>
                <w:szCs w:val="15"/>
              </w:rPr>
              <w:t>1</w:t>
            </w:r>
          </w:p>
        </w:tc>
        <w:tc>
          <w:tcPr>
            <w:tcW w:w="820" w:type="dxa"/>
            <w:vAlign w:val="top"/>
          </w:tcPr>
          <w:p>
            <w:pPr>
              <w:spacing w:line="184" w:lineRule="exact"/>
              <w:rPr>
                <w:rFonts w:ascii="Arial"/>
                <w:sz w:val="16"/>
              </w:rPr>
            </w:pPr>
          </w:p>
        </w:tc>
        <w:tc>
          <w:tcPr>
            <w:tcW w:w="818" w:type="dxa"/>
            <w:vAlign w:val="top"/>
          </w:tcPr>
          <w:p>
            <w:pPr>
              <w:spacing w:line="184" w:lineRule="exact"/>
              <w:rPr>
                <w:rFonts w:ascii="Arial"/>
                <w:sz w:val="16"/>
              </w:rPr>
            </w:pPr>
          </w:p>
        </w:tc>
        <w:tc>
          <w:tcPr>
            <w:tcW w:w="814" w:type="dxa"/>
            <w:vAlign w:val="top"/>
          </w:tcPr>
          <w:p>
            <w:pPr>
              <w:spacing w:line="184" w:lineRule="exact"/>
              <w:rPr>
                <w:rFonts w:ascii="Arial"/>
                <w:sz w:val="16"/>
              </w:rPr>
            </w:pPr>
          </w:p>
        </w:tc>
        <w:tc>
          <w:tcPr>
            <w:tcW w:w="744" w:type="dxa"/>
            <w:vAlign w:val="top"/>
          </w:tcPr>
          <w:p>
            <w:pPr>
              <w:spacing w:line="184" w:lineRule="exact"/>
              <w:rPr>
                <w:rFonts w:ascii="Arial"/>
                <w:sz w:val="16"/>
              </w:rPr>
            </w:pPr>
          </w:p>
        </w:tc>
        <w:tc>
          <w:tcPr>
            <w:tcW w:w="747" w:type="dxa"/>
            <w:vAlign w:val="top"/>
          </w:tcPr>
          <w:p>
            <w:pPr>
              <w:spacing w:line="184" w:lineRule="exact"/>
              <w:rPr>
                <w:rFonts w:ascii="Arial"/>
                <w:sz w:val="16"/>
              </w:rPr>
            </w:pPr>
          </w:p>
        </w:tc>
        <w:tc>
          <w:tcPr>
            <w:tcW w:w="388" w:type="dxa"/>
            <w:vAlign w:val="top"/>
          </w:tcPr>
          <w:p>
            <w:pPr>
              <w:spacing w:line="184" w:lineRule="exact"/>
              <w:rPr>
                <w:rFonts w:ascii="Arial"/>
                <w:sz w:val="16"/>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2" w:hRule="atLeast"/>
        </w:trPr>
        <w:tc>
          <w:tcPr>
            <w:tcW w:w="1308" w:type="dxa"/>
            <w:vAlign w:val="top"/>
          </w:tcPr>
          <w:p>
            <w:pPr>
              <w:spacing w:before="25" w:line="176" w:lineRule="auto"/>
              <w:ind w:left="5"/>
              <w:rPr>
                <w:rFonts w:ascii="Arial" w:hAnsi="Arial" w:eastAsia="Arial" w:cs="Arial"/>
                <w:sz w:val="15"/>
                <w:szCs w:val="15"/>
              </w:rPr>
            </w:pPr>
            <w:r>
              <w:rPr>
                <w:rFonts w:ascii="Arial" w:hAnsi="Arial" w:eastAsia="Arial" w:cs="Arial"/>
                <w:spacing w:val="-8"/>
                <w:sz w:val="15"/>
                <w:szCs w:val="15"/>
              </w:rPr>
              <w:t>Commitment</w:t>
            </w:r>
            <w:r>
              <w:rPr>
                <w:rFonts w:ascii="Arial" w:hAnsi="Arial" w:eastAsia="Arial" w:cs="Arial"/>
                <w:spacing w:val="19"/>
                <w:w w:val="101"/>
                <w:sz w:val="15"/>
                <w:szCs w:val="15"/>
              </w:rPr>
              <w:t xml:space="preserve"> </w:t>
            </w:r>
            <w:r>
              <w:rPr>
                <w:rFonts w:ascii="Arial" w:hAnsi="Arial" w:eastAsia="Arial" w:cs="Arial"/>
                <w:spacing w:val="-8"/>
                <w:sz w:val="15"/>
                <w:szCs w:val="15"/>
              </w:rPr>
              <w:t>HEI</w:t>
            </w:r>
          </w:p>
        </w:tc>
        <w:tc>
          <w:tcPr>
            <w:tcW w:w="811" w:type="dxa"/>
            <w:vAlign w:val="top"/>
          </w:tcPr>
          <w:p>
            <w:pPr>
              <w:spacing w:before="29" w:line="171" w:lineRule="auto"/>
              <w:ind w:left="251"/>
              <w:rPr>
                <w:rFonts w:ascii="Arial" w:hAnsi="Arial" w:eastAsia="Arial" w:cs="Arial"/>
                <w:sz w:val="15"/>
                <w:szCs w:val="15"/>
              </w:rPr>
            </w:pPr>
            <w:r>
              <w:rPr>
                <w:rFonts w:ascii="Arial" w:hAnsi="Arial" w:eastAsia="Arial" w:cs="Arial"/>
                <w:spacing w:val="-11"/>
                <w:sz w:val="15"/>
                <w:szCs w:val="15"/>
              </w:rPr>
              <w:t>13.12</w:t>
            </w:r>
          </w:p>
        </w:tc>
        <w:tc>
          <w:tcPr>
            <w:tcW w:w="749" w:type="dxa"/>
            <w:vAlign w:val="top"/>
          </w:tcPr>
          <w:p>
            <w:pPr>
              <w:spacing w:before="29" w:line="171" w:lineRule="auto"/>
              <w:ind w:left="250"/>
              <w:rPr>
                <w:rFonts w:ascii="Arial" w:hAnsi="Arial" w:eastAsia="Arial" w:cs="Arial"/>
                <w:sz w:val="15"/>
                <w:szCs w:val="15"/>
              </w:rPr>
            </w:pPr>
            <w:r>
              <w:rPr>
                <w:rFonts w:ascii="Arial" w:hAnsi="Arial" w:eastAsia="Arial" w:cs="Arial"/>
                <w:spacing w:val="-9"/>
                <w:sz w:val="15"/>
                <w:szCs w:val="15"/>
              </w:rPr>
              <w:t>3.45</w:t>
            </w:r>
          </w:p>
        </w:tc>
        <w:tc>
          <w:tcPr>
            <w:tcW w:w="827" w:type="dxa"/>
            <w:vAlign w:val="top"/>
          </w:tcPr>
          <w:p>
            <w:pPr>
              <w:spacing w:before="29" w:line="171" w:lineRule="auto"/>
              <w:ind w:left="320"/>
              <w:rPr>
                <w:rFonts w:ascii="Arial" w:hAnsi="Arial" w:eastAsia="Arial" w:cs="Arial"/>
                <w:sz w:val="15"/>
                <w:szCs w:val="15"/>
              </w:rPr>
            </w:pPr>
            <w:r>
              <w:rPr>
                <w:rFonts w:ascii="Arial" w:hAnsi="Arial" w:eastAsia="Arial" w:cs="Arial"/>
                <w:spacing w:val="-9"/>
                <w:sz w:val="15"/>
                <w:szCs w:val="15"/>
              </w:rPr>
              <w:t>.308</w:t>
            </w:r>
          </w:p>
        </w:tc>
        <w:tc>
          <w:tcPr>
            <w:tcW w:w="829" w:type="dxa"/>
            <w:vAlign w:val="top"/>
          </w:tcPr>
          <w:p>
            <w:pPr>
              <w:spacing w:before="29" w:line="171" w:lineRule="auto"/>
              <w:ind w:left="332"/>
              <w:rPr>
                <w:rFonts w:ascii="Arial" w:hAnsi="Arial" w:eastAsia="Arial" w:cs="Arial"/>
                <w:sz w:val="15"/>
                <w:szCs w:val="15"/>
              </w:rPr>
            </w:pPr>
            <w:r>
              <w:rPr>
                <w:rFonts w:ascii="Arial" w:hAnsi="Arial" w:eastAsia="Arial" w:cs="Arial"/>
                <w:spacing w:val="-9"/>
                <w:sz w:val="15"/>
                <w:szCs w:val="15"/>
              </w:rPr>
              <w:t>.290</w:t>
            </w:r>
          </w:p>
        </w:tc>
        <w:tc>
          <w:tcPr>
            <w:tcW w:w="818" w:type="dxa"/>
            <w:vAlign w:val="top"/>
          </w:tcPr>
          <w:p>
            <w:pPr>
              <w:spacing w:before="29" w:line="171" w:lineRule="auto"/>
              <w:ind w:left="321"/>
              <w:rPr>
                <w:rFonts w:ascii="Arial" w:hAnsi="Arial" w:eastAsia="Arial" w:cs="Arial"/>
                <w:sz w:val="15"/>
                <w:szCs w:val="15"/>
              </w:rPr>
            </w:pPr>
            <w:r>
              <w:rPr>
                <w:rFonts w:ascii="Arial" w:hAnsi="Arial" w:eastAsia="Arial" w:cs="Arial"/>
                <w:spacing w:val="-9"/>
                <w:sz w:val="15"/>
                <w:szCs w:val="15"/>
              </w:rPr>
              <w:t>.324</w:t>
            </w:r>
          </w:p>
        </w:tc>
        <w:tc>
          <w:tcPr>
            <w:tcW w:w="819" w:type="dxa"/>
            <w:vAlign w:val="top"/>
          </w:tcPr>
          <w:p>
            <w:pPr>
              <w:spacing w:before="29" w:line="171" w:lineRule="auto"/>
              <w:ind w:left="321"/>
              <w:rPr>
                <w:rFonts w:ascii="Arial" w:hAnsi="Arial" w:eastAsia="Arial" w:cs="Arial"/>
                <w:sz w:val="15"/>
                <w:szCs w:val="15"/>
              </w:rPr>
            </w:pPr>
            <w:r>
              <w:rPr>
                <w:rFonts w:ascii="Arial" w:hAnsi="Arial" w:eastAsia="Arial" w:cs="Arial"/>
                <w:spacing w:val="-9"/>
                <w:sz w:val="15"/>
                <w:szCs w:val="15"/>
              </w:rPr>
              <w:t>.354</w:t>
            </w:r>
          </w:p>
        </w:tc>
        <w:tc>
          <w:tcPr>
            <w:tcW w:w="819" w:type="dxa"/>
            <w:vAlign w:val="top"/>
          </w:tcPr>
          <w:p>
            <w:pPr>
              <w:spacing w:before="29" w:line="171" w:lineRule="auto"/>
              <w:ind w:left="321"/>
              <w:rPr>
                <w:rFonts w:ascii="Arial" w:hAnsi="Arial" w:eastAsia="Arial" w:cs="Arial"/>
                <w:sz w:val="15"/>
                <w:szCs w:val="15"/>
              </w:rPr>
            </w:pPr>
            <w:r>
              <w:rPr>
                <w:rFonts w:ascii="Arial" w:hAnsi="Arial" w:eastAsia="Arial" w:cs="Arial"/>
                <w:spacing w:val="-9"/>
                <w:sz w:val="15"/>
                <w:szCs w:val="15"/>
              </w:rPr>
              <w:t>.216</w:t>
            </w:r>
          </w:p>
        </w:tc>
        <w:tc>
          <w:tcPr>
            <w:tcW w:w="816" w:type="dxa"/>
            <w:vAlign w:val="top"/>
          </w:tcPr>
          <w:p>
            <w:pPr>
              <w:spacing w:before="29" w:line="171" w:lineRule="auto"/>
              <w:ind w:left="321"/>
              <w:rPr>
                <w:rFonts w:ascii="Arial" w:hAnsi="Arial" w:eastAsia="Arial" w:cs="Arial"/>
                <w:sz w:val="15"/>
                <w:szCs w:val="15"/>
              </w:rPr>
            </w:pPr>
            <w:r>
              <w:rPr>
                <w:rFonts w:ascii="Arial" w:hAnsi="Arial" w:eastAsia="Arial" w:cs="Arial"/>
                <w:spacing w:val="-9"/>
                <w:sz w:val="15"/>
                <w:szCs w:val="15"/>
              </w:rPr>
              <w:t>.310</w:t>
            </w:r>
          </w:p>
        </w:tc>
        <w:tc>
          <w:tcPr>
            <w:tcW w:w="820" w:type="dxa"/>
            <w:vAlign w:val="top"/>
          </w:tcPr>
          <w:p>
            <w:pPr>
              <w:spacing w:before="30" w:line="169" w:lineRule="auto"/>
              <w:ind w:left="254"/>
              <w:rPr>
                <w:rFonts w:ascii="Arial" w:hAnsi="Arial" w:eastAsia="Arial" w:cs="Arial"/>
                <w:sz w:val="15"/>
                <w:szCs w:val="15"/>
              </w:rPr>
            </w:pPr>
            <w:r>
              <w:rPr>
                <w:rFonts w:ascii="Arial" w:hAnsi="Arial" w:eastAsia="Arial" w:cs="Arial"/>
                <w:sz w:val="15"/>
                <w:szCs w:val="15"/>
              </w:rPr>
              <w:t>1</w:t>
            </w:r>
          </w:p>
        </w:tc>
        <w:tc>
          <w:tcPr>
            <w:tcW w:w="818" w:type="dxa"/>
            <w:vAlign w:val="top"/>
          </w:tcPr>
          <w:p>
            <w:pPr>
              <w:spacing w:line="152" w:lineRule="exact"/>
              <w:rPr>
                <w:rFonts w:ascii="Arial"/>
                <w:sz w:val="13"/>
              </w:rPr>
            </w:pPr>
          </w:p>
        </w:tc>
        <w:tc>
          <w:tcPr>
            <w:tcW w:w="814" w:type="dxa"/>
            <w:vAlign w:val="top"/>
          </w:tcPr>
          <w:p>
            <w:pPr>
              <w:spacing w:line="152" w:lineRule="exact"/>
              <w:rPr>
                <w:rFonts w:ascii="Arial"/>
                <w:sz w:val="13"/>
              </w:rPr>
            </w:pPr>
          </w:p>
        </w:tc>
        <w:tc>
          <w:tcPr>
            <w:tcW w:w="744" w:type="dxa"/>
            <w:vAlign w:val="top"/>
          </w:tcPr>
          <w:p>
            <w:pPr>
              <w:spacing w:line="152" w:lineRule="exact"/>
              <w:rPr>
                <w:rFonts w:ascii="Arial"/>
                <w:sz w:val="13"/>
              </w:rPr>
            </w:pPr>
          </w:p>
        </w:tc>
        <w:tc>
          <w:tcPr>
            <w:tcW w:w="747" w:type="dxa"/>
            <w:vAlign w:val="top"/>
          </w:tcPr>
          <w:p>
            <w:pPr>
              <w:spacing w:line="152" w:lineRule="exact"/>
              <w:rPr>
                <w:rFonts w:ascii="Arial"/>
                <w:sz w:val="13"/>
              </w:rPr>
            </w:pPr>
          </w:p>
        </w:tc>
        <w:tc>
          <w:tcPr>
            <w:tcW w:w="388" w:type="dxa"/>
            <w:vAlign w:val="top"/>
          </w:tcPr>
          <w:p>
            <w:pPr>
              <w:spacing w:line="152" w:lineRule="exact"/>
              <w:rPr>
                <w:rFonts w:ascii="Arial"/>
                <w:sz w:val="13"/>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6" w:hRule="atLeast"/>
        </w:trPr>
        <w:tc>
          <w:tcPr>
            <w:tcW w:w="1308" w:type="dxa"/>
            <w:vAlign w:val="top"/>
          </w:tcPr>
          <w:p>
            <w:pPr>
              <w:spacing w:before="37" w:line="165" w:lineRule="auto"/>
              <w:ind w:left="6"/>
              <w:rPr>
                <w:rFonts w:ascii="Arial" w:hAnsi="Arial" w:eastAsia="Arial" w:cs="Arial"/>
                <w:sz w:val="15"/>
                <w:szCs w:val="15"/>
              </w:rPr>
            </w:pPr>
            <w:r>
              <w:rPr>
                <w:rFonts w:ascii="Arial" w:hAnsi="Arial" w:eastAsia="Arial" w:cs="Arial"/>
                <w:spacing w:val="-10"/>
                <w:sz w:val="15"/>
                <w:szCs w:val="15"/>
              </w:rPr>
              <w:t>Satisfaction</w:t>
            </w:r>
            <w:r>
              <w:rPr>
                <w:rFonts w:ascii="Arial" w:hAnsi="Arial" w:eastAsia="Arial" w:cs="Arial"/>
                <w:spacing w:val="30"/>
                <w:sz w:val="15"/>
                <w:szCs w:val="15"/>
              </w:rPr>
              <w:t xml:space="preserve"> </w:t>
            </w:r>
            <w:r>
              <w:rPr>
                <w:rFonts w:ascii="Arial" w:hAnsi="Arial" w:eastAsia="Arial" w:cs="Arial"/>
                <w:spacing w:val="-10"/>
                <w:sz w:val="15"/>
                <w:szCs w:val="15"/>
              </w:rPr>
              <w:t>HEI</w:t>
            </w:r>
          </w:p>
        </w:tc>
        <w:tc>
          <w:tcPr>
            <w:tcW w:w="811" w:type="dxa"/>
            <w:vAlign w:val="top"/>
          </w:tcPr>
          <w:p>
            <w:pPr>
              <w:spacing w:before="46" w:line="109" w:lineRule="exact"/>
              <w:ind w:left="251"/>
              <w:rPr>
                <w:rFonts w:ascii="Arial" w:hAnsi="Arial" w:eastAsia="Arial" w:cs="Arial"/>
                <w:sz w:val="15"/>
                <w:szCs w:val="15"/>
              </w:rPr>
            </w:pPr>
            <w:r>
              <w:rPr>
                <w:rFonts w:ascii="Arial" w:hAnsi="Arial" w:eastAsia="Arial" w:cs="Arial"/>
                <w:spacing w:val="-11"/>
                <w:position w:val="-2"/>
                <w:sz w:val="15"/>
                <w:szCs w:val="15"/>
              </w:rPr>
              <w:t>10.82</w:t>
            </w:r>
          </w:p>
        </w:tc>
        <w:tc>
          <w:tcPr>
            <w:tcW w:w="749" w:type="dxa"/>
            <w:vAlign w:val="top"/>
          </w:tcPr>
          <w:p>
            <w:pPr>
              <w:spacing w:before="46" w:line="109" w:lineRule="exact"/>
              <w:ind w:left="250"/>
              <w:rPr>
                <w:rFonts w:ascii="Arial" w:hAnsi="Arial" w:eastAsia="Arial" w:cs="Arial"/>
                <w:sz w:val="15"/>
                <w:szCs w:val="15"/>
              </w:rPr>
            </w:pPr>
            <w:r>
              <w:rPr>
                <w:rFonts w:ascii="Arial" w:hAnsi="Arial" w:eastAsia="Arial" w:cs="Arial"/>
                <w:spacing w:val="-9"/>
                <w:position w:val="-2"/>
                <w:sz w:val="15"/>
                <w:szCs w:val="15"/>
              </w:rPr>
              <w:t>2.82</w:t>
            </w:r>
          </w:p>
        </w:tc>
        <w:tc>
          <w:tcPr>
            <w:tcW w:w="827" w:type="dxa"/>
            <w:vAlign w:val="top"/>
          </w:tcPr>
          <w:p>
            <w:pPr>
              <w:spacing w:before="46" w:line="109" w:lineRule="exact"/>
              <w:ind w:left="320"/>
              <w:rPr>
                <w:rFonts w:ascii="Arial" w:hAnsi="Arial" w:eastAsia="Arial" w:cs="Arial"/>
                <w:sz w:val="15"/>
                <w:szCs w:val="15"/>
              </w:rPr>
            </w:pPr>
            <w:r>
              <w:rPr>
                <w:rFonts w:ascii="Arial" w:hAnsi="Arial" w:eastAsia="Arial" w:cs="Arial"/>
                <w:spacing w:val="-9"/>
                <w:position w:val="-2"/>
                <w:sz w:val="15"/>
                <w:szCs w:val="15"/>
              </w:rPr>
              <w:t>.429</w:t>
            </w:r>
          </w:p>
        </w:tc>
        <w:tc>
          <w:tcPr>
            <w:tcW w:w="829" w:type="dxa"/>
            <w:vAlign w:val="top"/>
          </w:tcPr>
          <w:p>
            <w:pPr>
              <w:spacing w:before="46" w:line="109" w:lineRule="exact"/>
              <w:ind w:left="332"/>
              <w:rPr>
                <w:rFonts w:ascii="Arial" w:hAnsi="Arial" w:eastAsia="Arial" w:cs="Arial"/>
                <w:sz w:val="15"/>
                <w:szCs w:val="15"/>
              </w:rPr>
            </w:pPr>
            <w:r>
              <w:rPr>
                <w:rFonts w:ascii="Arial" w:hAnsi="Arial" w:eastAsia="Arial" w:cs="Arial"/>
                <w:spacing w:val="-9"/>
                <w:position w:val="-2"/>
                <w:sz w:val="15"/>
                <w:szCs w:val="15"/>
              </w:rPr>
              <w:t>.371</w:t>
            </w:r>
          </w:p>
        </w:tc>
        <w:tc>
          <w:tcPr>
            <w:tcW w:w="818" w:type="dxa"/>
            <w:vAlign w:val="top"/>
          </w:tcPr>
          <w:p>
            <w:pPr>
              <w:spacing w:before="46" w:line="109" w:lineRule="exact"/>
              <w:ind w:left="321"/>
              <w:rPr>
                <w:rFonts w:ascii="Arial" w:hAnsi="Arial" w:eastAsia="Arial" w:cs="Arial"/>
                <w:sz w:val="15"/>
                <w:szCs w:val="15"/>
              </w:rPr>
            </w:pPr>
            <w:r>
              <w:rPr>
                <w:rFonts w:ascii="Arial" w:hAnsi="Arial" w:eastAsia="Arial" w:cs="Arial"/>
                <w:spacing w:val="-9"/>
                <w:position w:val="-2"/>
                <w:sz w:val="15"/>
                <w:szCs w:val="15"/>
              </w:rPr>
              <w:t>.194</w:t>
            </w:r>
          </w:p>
        </w:tc>
        <w:tc>
          <w:tcPr>
            <w:tcW w:w="819" w:type="dxa"/>
            <w:vAlign w:val="top"/>
          </w:tcPr>
          <w:p>
            <w:pPr>
              <w:spacing w:before="46" w:line="109" w:lineRule="exact"/>
              <w:ind w:left="322"/>
              <w:rPr>
                <w:rFonts w:ascii="Arial" w:hAnsi="Arial" w:eastAsia="Arial" w:cs="Arial"/>
                <w:sz w:val="15"/>
                <w:szCs w:val="15"/>
              </w:rPr>
            </w:pPr>
            <w:r>
              <w:rPr>
                <w:rFonts w:ascii="Arial" w:hAnsi="Arial" w:eastAsia="Arial" w:cs="Arial"/>
                <w:spacing w:val="-9"/>
                <w:position w:val="-2"/>
                <w:sz w:val="15"/>
                <w:szCs w:val="15"/>
              </w:rPr>
              <w:t>.202</w:t>
            </w:r>
          </w:p>
        </w:tc>
        <w:tc>
          <w:tcPr>
            <w:tcW w:w="819" w:type="dxa"/>
            <w:vAlign w:val="top"/>
          </w:tcPr>
          <w:p>
            <w:pPr>
              <w:spacing w:before="46" w:line="109" w:lineRule="exact"/>
              <w:ind w:left="321"/>
              <w:rPr>
                <w:rFonts w:ascii="Arial" w:hAnsi="Arial" w:eastAsia="Arial" w:cs="Arial"/>
                <w:sz w:val="15"/>
                <w:szCs w:val="15"/>
              </w:rPr>
            </w:pPr>
            <w:r>
              <w:rPr>
                <w:rFonts w:ascii="Arial" w:hAnsi="Arial" w:eastAsia="Arial" w:cs="Arial"/>
                <w:spacing w:val="-9"/>
                <w:position w:val="-2"/>
                <w:sz w:val="15"/>
                <w:szCs w:val="15"/>
              </w:rPr>
              <w:t>.268</w:t>
            </w:r>
          </w:p>
        </w:tc>
        <w:tc>
          <w:tcPr>
            <w:tcW w:w="816" w:type="dxa"/>
            <w:vAlign w:val="top"/>
          </w:tcPr>
          <w:p>
            <w:pPr>
              <w:spacing w:before="46" w:line="109" w:lineRule="exact"/>
              <w:ind w:left="321"/>
              <w:rPr>
                <w:rFonts w:ascii="Arial" w:hAnsi="Arial" w:eastAsia="Arial" w:cs="Arial"/>
                <w:sz w:val="15"/>
                <w:szCs w:val="15"/>
              </w:rPr>
            </w:pPr>
            <w:r>
              <w:rPr>
                <w:rFonts w:ascii="Arial" w:hAnsi="Arial" w:eastAsia="Arial" w:cs="Arial"/>
                <w:spacing w:val="-9"/>
                <w:position w:val="-2"/>
                <w:sz w:val="15"/>
                <w:szCs w:val="15"/>
              </w:rPr>
              <w:t>.232</w:t>
            </w:r>
          </w:p>
        </w:tc>
        <w:tc>
          <w:tcPr>
            <w:tcW w:w="820" w:type="dxa"/>
            <w:vAlign w:val="top"/>
          </w:tcPr>
          <w:p>
            <w:pPr>
              <w:spacing w:before="46" w:line="109" w:lineRule="exact"/>
              <w:ind w:left="322"/>
              <w:rPr>
                <w:rFonts w:ascii="Arial" w:hAnsi="Arial" w:eastAsia="Arial" w:cs="Arial"/>
                <w:sz w:val="15"/>
                <w:szCs w:val="15"/>
              </w:rPr>
            </w:pPr>
            <w:r>
              <w:rPr>
                <w:rFonts w:ascii="Arial" w:hAnsi="Arial" w:eastAsia="Arial" w:cs="Arial"/>
                <w:spacing w:val="-9"/>
                <w:position w:val="-2"/>
                <w:sz w:val="15"/>
                <w:szCs w:val="15"/>
              </w:rPr>
              <w:t>.470</w:t>
            </w:r>
          </w:p>
        </w:tc>
        <w:tc>
          <w:tcPr>
            <w:tcW w:w="818" w:type="dxa"/>
            <w:vAlign w:val="top"/>
          </w:tcPr>
          <w:p>
            <w:pPr>
              <w:spacing w:before="48" w:line="107" w:lineRule="exact"/>
              <w:ind w:left="253"/>
              <w:rPr>
                <w:rFonts w:ascii="Arial" w:hAnsi="Arial" w:eastAsia="Arial" w:cs="Arial"/>
                <w:sz w:val="15"/>
                <w:szCs w:val="15"/>
              </w:rPr>
            </w:pPr>
            <w:r>
              <w:rPr>
                <w:rFonts w:ascii="Arial" w:hAnsi="Arial" w:eastAsia="Arial" w:cs="Arial"/>
                <w:position w:val="-2"/>
                <w:sz w:val="15"/>
                <w:szCs w:val="15"/>
              </w:rPr>
              <w:t>1</w:t>
            </w:r>
          </w:p>
        </w:tc>
        <w:tc>
          <w:tcPr>
            <w:tcW w:w="814" w:type="dxa"/>
            <w:vAlign w:val="top"/>
          </w:tcPr>
          <w:p>
            <w:pPr>
              <w:spacing w:line="155" w:lineRule="exact"/>
              <w:rPr>
                <w:rFonts w:ascii="Arial"/>
                <w:sz w:val="13"/>
              </w:rPr>
            </w:pPr>
          </w:p>
        </w:tc>
        <w:tc>
          <w:tcPr>
            <w:tcW w:w="744" w:type="dxa"/>
            <w:vAlign w:val="top"/>
          </w:tcPr>
          <w:p>
            <w:pPr>
              <w:spacing w:line="155" w:lineRule="exact"/>
              <w:rPr>
                <w:rFonts w:ascii="Arial"/>
                <w:sz w:val="13"/>
              </w:rPr>
            </w:pPr>
          </w:p>
        </w:tc>
        <w:tc>
          <w:tcPr>
            <w:tcW w:w="747" w:type="dxa"/>
            <w:vAlign w:val="top"/>
          </w:tcPr>
          <w:p>
            <w:pPr>
              <w:spacing w:line="155" w:lineRule="exact"/>
              <w:rPr>
                <w:rFonts w:ascii="Arial"/>
                <w:sz w:val="13"/>
              </w:rPr>
            </w:pPr>
          </w:p>
        </w:tc>
        <w:tc>
          <w:tcPr>
            <w:tcW w:w="388" w:type="dxa"/>
            <w:vAlign w:val="top"/>
          </w:tcPr>
          <w:p>
            <w:pPr>
              <w:spacing w:line="155" w:lineRule="exact"/>
              <w:rPr>
                <w:rFonts w:ascii="Arial"/>
                <w:sz w:val="13"/>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1" w:hRule="atLeast"/>
        </w:trPr>
        <w:tc>
          <w:tcPr>
            <w:tcW w:w="1308" w:type="dxa"/>
            <w:vAlign w:val="top"/>
          </w:tcPr>
          <w:p>
            <w:pPr>
              <w:spacing w:before="53" w:line="201" w:lineRule="auto"/>
              <w:ind w:left="5"/>
              <w:rPr>
                <w:rFonts w:ascii="Arial" w:hAnsi="Arial" w:eastAsia="Arial" w:cs="Arial"/>
                <w:sz w:val="15"/>
                <w:szCs w:val="15"/>
              </w:rPr>
            </w:pPr>
            <w:r>
              <w:rPr>
                <w:rFonts w:ascii="Arial" w:hAnsi="Arial" w:eastAsia="Arial" w:cs="Arial"/>
                <w:spacing w:val="-8"/>
                <w:sz w:val="15"/>
                <w:szCs w:val="15"/>
              </w:rPr>
              <w:t>Global</w:t>
            </w:r>
            <w:r>
              <w:rPr>
                <w:rFonts w:ascii="Arial" w:hAnsi="Arial" w:eastAsia="Arial" w:cs="Arial"/>
                <w:spacing w:val="21"/>
                <w:w w:val="101"/>
                <w:sz w:val="15"/>
                <w:szCs w:val="15"/>
              </w:rPr>
              <w:t xml:space="preserve"> </w:t>
            </w:r>
            <w:r>
              <w:rPr>
                <w:rFonts w:ascii="Arial" w:hAnsi="Arial" w:eastAsia="Arial" w:cs="Arial"/>
                <w:spacing w:val="-8"/>
                <w:sz w:val="15"/>
                <w:szCs w:val="15"/>
              </w:rPr>
              <w:t>Items</w:t>
            </w:r>
          </w:p>
        </w:tc>
        <w:tc>
          <w:tcPr>
            <w:tcW w:w="811" w:type="dxa"/>
            <w:vAlign w:val="top"/>
          </w:tcPr>
          <w:p>
            <w:pPr>
              <w:spacing w:before="60" w:line="191" w:lineRule="auto"/>
              <w:ind w:left="251"/>
              <w:rPr>
                <w:rFonts w:ascii="Arial" w:hAnsi="Arial" w:eastAsia="Arial" w:cs="Arial"/>
                <w:sz w:val="15"/>
                <w:szCs w:val="15"/>
              </w:rPr>
            </w:pPr>
            <w:r>
              <w:rPr>
                <w:rFonts w:ascii="Arial" w:hAnsi="Arial" w:eastAsia="Arial" w:cs="Arial"/>
                <w:spacing w:val="-11"/>
                <w:sz w:val="15"/>
                <w:szCs w:val="15"/>
              </w:rPr>
              <w:t>10.11</w:t>
            </w:r>
          </w:p>
        </w:tc>
        <w:tc>
          <w:tcPr>
            <w:tcW w:w="749" w:type="dxa"/>
            <w:vAlign w:val="top"/>
          </w:tcPr>
          <w:p>
            <w:pPr>
              <w:spacing w:before="60" w:line="191" w:lineRule="auto"/>
              <w:ind w:left="250"/>
              <w:rPr>
                <w:rFonts w:ascii="Arial" w:hAnsi="Arial" w:eastAsia="Arial" w:cs="Arial"/>
                <w:sz w:val="15"/>
                <w:szCs w:val="15"/>
              </w:rPr>
            </w:pPr>
            <w:r>
              <w:rPr>
                <w:rFonts w:ascii="Arial" w:hAnsi="Arial" w:eastAsia="Arial" w:cs="Arial"/>
                <w:spacing w:val="-9"/>
                <w:sz w:val="15"/>
                <w:szCs w:val="15"/>
              </w:rPr>
              <w:t>2.99</w:t>
            </w:r>
          </w:p>
        </w:tc>
        <w:tc>
          <w:tcPr>
            <w:tcW w:w="827" w:type="dxa"/>
            <w:vAlign w:val="top"/>
          </w:tcPr>
          <w:p>
            <w:pPr>
              <w:spacing w:before="60" w:line="191" w:lineRule="auto"/>
              <w:ind w:left="320"/>
              <w:rPr>
                <w:rFonts w:ascii="Arial" w:hAnsi="Arial" w:eastAsia="Arial" w:cs="Arial"/>
                <w:sz w:val="15"/>
                <w:szCs w:val="15"/>
              </w:rPr>
            </w:pPr>
            <w:r>
              <w:rPr>
                <w:rFonts w:ascii="Arial" w:hAnsi="Arial" w:eastAsia="Arial" w:cs="Arial"/>
                <w:spacing w:val="-9"/>
                <w:sz w:val="15"/>
                <w:szCs w:val="15"/>
              </w:rPr>
              <w:t>.391</w:t>
            </w:r>
          </w:p>
        </w:tc>
        <w:tc>
          <w:tcPr>
            <w:tcW w:w="829" w:type="dxa"/>
            <w:vAlign w:val="top"/>
          </w:tcPr>
          <w:p>
            <w:pPr>
              <w:spacing w:before="60" w:line="191" w:lineRule="auto"/>
              <w:ind w:left="332"/>
              <w:rPr>
                <w:rFonts w:ascii="Arial" w:hAnsi="Arial" w:eastAsia="Arial" w:cs="Arial"/>
                <w:sz w:val="15"/>
                <w:szCs w:val="15"/>
              </w:rPr>
            </w:pPr>
            <w:r>
              <w:rPr>
                <w:rFonts w:ascii="Arial" w:hAnsi="Arial" w:eastAsia="Arial" w:cs="Arial"/>
                <w:spacing w:val="-9"/>
                <w:sz w:val="15"/>
                <w:szCs w:val="15"/>
              </w:rPr>
              <w:t>.334</w:t>
            </w:r>
          </w:p>
        </w:tc>
        <w:tc>
          <w:tcPr>
            <w:tcW w:w="818" w:type="dxa"/>
            <w:vAlign w:val="top"/>
          </w:tcPr>
          <w:p>
            <w:pPr>
              <w:spacing w:before="60" w:line="191" w:lineRule="auto"/>
              <w:ind w:left="321"/>
              <w:rPr>
                <w:rFonts w:ascii="Arial" w:hAnsi="Arial" w:eastAsia="Arial" w:cs="Arial"/>
                <w:sz w:val="15"/>
                <w:szCs w:val="15"/>
              </w:rPr>
            </w:pPr>
            <w:r>
              <w:rPr>
                <w:rFonts w:ascii="Arial" w:hAnsi="Arial" w:eastAsia="Arial" w:cs="Arial"/>
                <w:spacing w:val="-9"/>
                <w:sz w:val="15"/>
                <w:szCs w:val="15"/>
              </w:rPr>
              <w:t>.238</w:t>
            </w:r>
          </w:p>
        </w:tc>
        <w:tc>
          <w:tcPr>
            <w:tcW w:w="819" w:type="dxa"/>
            <w:vAlign w:val="top"/>
          </w:tcPr>
          <w:p>
            <w:pPr>
              <w:spacing w:before="60" w:line="191" w:lineRule="auto"/>
              <w:ind w:left="321"/>
              <w:rPr>
                <w:rFonts w:ascii="Arial" w:hAnsi="Arial" w:eastAsia="Arial" w:cs="Arial"/>
                <w:sz w:val="15"/>
                <w:szCs w:val="15"/>
              </w:rPr>
            </w:pPr>
            <w:r>
              <w:rPr>
                <w:rFonts w:ascii="Arial" w:hAnsi="Arial" w:eastAsia="Arial" w:cs="Arial"/>
                <w:spacing w:val="-9"/>
                <w:sz w:val="15"/>
                <w:szCs w:val="15"/>
              </w:rPr>
              <w:t>.313</w:t>
            </w:r>
          </w:p>
        </w:tc>
        <w:tc>
          <w:tcPr>
            <w:tcW w:w="819" w:type="dxa"/>
            <w:vAlign w:val="top"/>
          </w:tcPr>
          <w:p>
            <w:pPr>
              <w:spacing w:before="60" w:line="191" w:lineRule="auto"/>
              <w:ind w:left="321"/>
              <w:rPr>
                <w:rFonts w:ascii="Arial" w:hAnsi="Arial" w:eastAsia="Arial" w:cs="Arial"/>
                <w:sz w:val="15"/>
                <w:szCs w:val="15"/>
              </w:rPr>
            </w:pPr>
            <w:r>
              <w:rPr>
                <w:rFonts w:ascii="Arial" w:hAnsi="Arial" w:eastAsia="Arial" w:cs="Arial"/>
                <w:spacing w:val="-9"/>
                <w:sz w:val="15"/>
                <w:szCs w:val="15"/>
              </w:rPr>
              <w:t>.298</w:t>
            </w:r>
          </w:p>
        </w:tc>
        <w:tc>
          <w:tcPr>
            <w:tcW w:w="816" w:type="dxa"/>
            <w:vAlign w:val="top"/>
          </w:tcPr>
          <w:p>
            <w:pPr>
              <w:spacing w:before="60" w:line="191" w:lineRule="auto"/>
              <w:ind w:left="321"/>
              <w:rPr>
                <w:rFonts w:ascii="Arial" w:hAnsi="Arial" w:eastAsia="Arial" w:cs="Arial"/>
                <w:sz w:val="15"/>
                <w:szCs w:val="15"/>
              </w:rPr>
            </w:pPr>
            <w:r>
              <w:rPr>
                <w:rFonts w:ascii="Arial" w:hAnsi="Arial" w:eastAsia="Arial" w:cs="Arial"/>
                <w:spacing w:val="-9"/>
                <w:sz w:val="15"/>
                <w:szCs w:val="15"/>
              </w:rPr>
              <w:t>.265</w:t>
            </w:r>
          </w:p>
        </w:tc>
        <w:tc>
          <w:tcPr>
            <w:tcW w:w="820" w:type="dxa"/>
            <w:vAlign w:val="top"/>
          </w:tcPr>
          <w:p>
            <w:pPr>
              <w:spacing w:before="61" w:line="190" w:lineRule="auto"/>
              <w:ind w:left="322"/>
              <w:rPr>
                <w:rFonts w:ascii="Arial" w:hAnsi="Arial" w:eastAsia="Arial" w:cs="Arial"/>
                <w:sz w:val="15"/>
                <w:szCs w:val="15"/>
              </w:rPr>
            </w:pPr>
            <w:r>
              <w:rPr>
                <w:rFonts w:ascii="Arial" w:hAnsi="Arial" w:eastAsia="Arial" w:cs="Arial"/>
                <w:spacing w:val="-9"/>
                <w:sz w:val="15"/>
                <w:szCs w:val="15"/>
              </w:rPr>
              <w:t>.466</w:t>
            </w:r>
          </w:p>
        </w:tc>
        <w:tc>
          <w:tcPr>
            <w:tcW w:w="818" w:type="dxa"/>
            <w:vAlign w:val="top"/>
          </w:tcPr>
          <w:p>
            <w:pPr>
              <w:spacing w:before="60" w:line="191" w:lineRule="auto"/>
              <w:ind w:left="321"/>
              <w:rPr>
                <w:rFonts w:ascii="Arial" w:hAnsi="Arial" w:eastAsia="Arial" w:cs="Arial"/>
                <w:sz w:val="15"/>
                <w:szCs w:val="15"/>
              </w:rPr>
            </w:pPr>
            <w:r>
              <w:rPr>
                <w:rFonts w:ascii="Arial" w:hAnsi="Arial" w:eastAsia="Arial" w:cs="Arial"/>
                <w:spacing w:val="-9"/>
                <w:sz w:val="15"/>
                <w:szCs w:val="15"/>
              </w:rPr>
              <w:t>.735</w:t>
            </w:r>
          </w:p>
        </w:tc>
        <w:tc>
          <w:tcPr>
            <w:tcW w:w="814" w:type="dxa"/>
            <w:vAlign w:val="top"/>
          </w:tcPr>
          <w:p>
            <w:pPr>
              <w:spacing w:before="62" w:line="189" w:lineRule="auto"/>
              <w:ind w:left="253"/>
              <w:rPr>
                <w:rFonts w:ascii="Arial" w:hAnsi="Arial" w:eastAsia="Arial" w:cs="Arial"/>
                <w:sz w:val="15"/>
                <w:szCs w:val="15"/>
              </w:rPr>
            </w:pPr>
            <w:r>
              <w:rPr>
                <w:rFonts w:ascii="Arial" w:hAnsi="Arial" w:eastAsia="Arial" w:cs="Arial"/>
                <w:sz w:val="15"/>
                <w:szCs w:val="15"/>
              </w:rPr>
              <w:t>1</w:t>
            </w:r>
          </w:p>
        </w:tc>
        <w:tc>
          <w:tcPr>
            <w:tcW w:w="744" w:type="dxa"/>
            <w:vAlign w:val="top"/>
          </w:tcPr>
          <w:p>
            <w:pPr>
              <w:spacing w:line="200" w:lineRule="exact"/>
              <w:rPr>
                <w:rFonts w:ascii="Arial"/>
                <w:sz w:val="17"/>
              </w:rPr>
            </w:pPr>
          </w:p>
        </w:tc>
        <w:tc>
          <w:tcPr>
            <w:tcW w:w="747" w:type="dxa"/>
            <w:vAlign w:val="top"/>
          </w:tcPr>
          <w:p>
            <w:pPr>
              <w:spacing w:line="200" w:lineRule="exact"/>
              <w:rPr>
                <w:rFonts w:ascii="Arial"/>
                <w:sz w:val="17"/>
              </w:rPr>
            </w:pPr>
          </w:p>
        </w:tc>
        <w:tc>
          <w:tcPr>
            <w:tcW w:w="388" w:type="dxa"/>
            <w:vAlign w:val="top"/>
          </w:tcPr>
          <w:p>
            <w:pPr>
              <w:spacing w:line="200" w:lineRule="exact"/>
              <w:rPr>
                <w:rFonts w:ascii="Arial"/>
                <w:sz w:val="17"/>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1308" w:type="dxa"/>
            <w:vAlign w:val="top"/>
          </w:tcPr>
          <w:p>
            <w:pPr>
              <w:spacing w:before="21" w:line="183" w:lineRule="auto"/>
              <w:ind w:left="6"/>
              <w:rPr>
                <w:rFonts w:ascii="Arial" w:hAnsi="Arial" w:eastAsia="Arial" w:cs="Arial"/>
                <w:sz w:val="15"/>
                <w:szCs w:val="15"/>
              </w:rPr>
            </w:pPr>
            <w:r>
              <w:rPr>
                <w:rFonts w:ascii="Arial" w:hAnsi="Arial" w:eastAsia="Arial" w:cs="Arial"/>
                <w:spacing w:val="-7"/>
                <w:sz w:val="15"/>
                <w:szCs w:val="15"/>
              </w:rPr>
              <w:t>Satisfaction</w:t>
            </w:r>
            <w:r>
              <w:rPr>
                <w:rFonts w:ascii="Arial" w:hAnsi="Arial" w:eastAsia="Arial" w:cs="Arial"/>
                <w:spacing w:val="8"/>
                <w:sz w:val="15"/>
                <w:szCs w:val="15"/>
              </w:rPr>
              <w:t xml:space="preserve"> </w:t>
            </w:r>
            <w:r>
              <w:rPr>
                <w:rFonts w:ascii="Arial" w:hAnsi="Arial" w:eastAsia="Arial" w:cs="Arial"/>
                <w:spacing w:val="-7"/>
                <w:sz w:val="15"/>
                <w:szCs w:val="15"/>
              </w:rPr>
              <w:t>Job</w:t>
            </w:r>
          </w:p>
        </w:tc>
        <w:tc>
          <w:tcPr>
            <w:tcW w:w="811" w:type="dxa"/>
            <w:vAlign w:val="top"/>
          </w:tcPr>
          <w:p>
            <w:pPr>
              <w:spacing w:before="30" w:line="171" w:lineRule="auto"/>
              <w:ind w:left="251"/>
              <w:rPr>
                <w:rFonts w:ascii="Arial" w:hAnsi="Arial" w:eastAsia="Arial" w:cs="Arial"/>
                <w:sz w:val="15"/>
                <w:szCs w:val="15"/>
              </w:rPr>
            </w:pPr>
            <w:r>
              <w:rPr>
                <w:rFonts w:ascii="Arial" w:hAnsi="Arial" w:eastAsia="Arial" w:cs="Arial"/>
                <w:spacing w:val="-11"/>
                <w:sz w:val="15"/>
                <w:szCs w:val="15"/>
              </w:rPr>
              <w:t>13.42</w:t>
            </w:r>
          </w:p>
        </w:tc>
        <w:tc>
          <w:tcPr>
            <w:tcW w:w="749" w:type="dxa"/>
            <w:vAlign w:val="top"/>
          </w:tcPr>
          <w:p>
            <w:pPr>
              <w:spacing w:before="30" w:line="171" w:lineRule="auto"/>
              <w:ind w:left="250"/>
              <w:rPr>
                <w:rFonts w:ascii="Arial" w:hAnsi="Arial" w:eastAsia="Arial" w:cs="Arial"/>
                <w:sz w:val="15"/>
                <w:szCs w:val="15"/>
              </w:rPr>
            </w:pPr>
            <w:r>
              <w:rPr>
                <w:rFonts w:ascii="Arial" w:hAnsi="Arial" w:eastAsia="Arial" w:cs="Arial"/>
                <w:spacing w:val="-9"/>
                <w:sz w:val="15"/>
                <w:szCs w:val="15"/>
              </w:rPr>
              <w:t>2.85</w:t>
            </w:r>
          </w:p>
        </w:tc>
        <w:tc>
          <w:tcPr>
            <w:tcW w:w="827" w:type="dxa"/>
            <w:vAlign w:val="top"/>
          </w:tcPr>
          <w:p>
            <w:pPr>
              <w:spacing w:before="30" w:line="171" w:lineRule="auto"/>
              <w:ind w:left="320"/>
              <w:rPr>
                <w:rFonts w:ascii="Arial" w:hAnsi="Arial" w:eastAsia="Arial" w:cs="Arial"/>
                <w:sz w:val="15"/>
                <w:szCs w:val="15"/>
              </w:rPr>
            </w:pPr>
            <w:r>
              <w:rPr>
                <w:rFonts w:ascii="Arial" w:hAnsi="Arial" w:eastAsia="Arial" w:cs="Arial"/>
                <w:spacing w:val="-9"/>
                <w:sz w:val="15"/>
                <w:szCs w:val="15"/>
              </w:rPr>
              <w:t>.531</w:t>
            </w:r>
          </w:p>
        </w:tc>
        <w:tc>
          <w:tcPr>
            <w:tcW w:w="829" w:type="dxa"/>
            <w:vAlign w:val="top"/>
          </w:tcPr>
          <w:p>
            <w:pPr>
              <w:spacing w:before="30" w:line="171" w:lineRule="auto"/>
              <w:ind w:left="332"/>
              <w:rPr>
                <w:rFonts w:ascii="Arial" w:hAnsi="Arial" w:eastAsia="Arial" w:cs="Arial"/>
                <w:sz w:val="15"/>
                <w:szCs w:val="15"/>
              </w:rPr>
            </w:pPr>
            <w:r>
              <w:rPr>
                <w:rFonts w:ascii="Arial" w:hAnsi="Arial" w:eastAsia="Arial" w:cs="Arial"/>
                <w:spacing w:val="-9"/>
                <w:sz w:val="15"/>
                <w:szCs w:val="15"/>
              </w:rPr>
              <w:t>.369</w:t>
            </w:r>
          </w:p>
        </w:tc>
        <w:tc>
          <w:tcPr>
            <w:tcW w:w="818" w:type="dxa"/>
            <w:vAlign w:val="top"/>
          </w:tcPr>
          <w:p>
            <w:pPr>
              <w:spacing w:before="30" w:line="171" w:lineRule="auto"/>
              <w:ind w:left="321"/>
              <w:rPr>
                <w:rFonts w:ascii="Arial" w:hAnsi="Arial" w:eastAsia="Arial" w:cs="Arial"/>
                <w:sz w:val="15"/>
                <w:szCs w:val="15"/>
              </w:rPr>
            </w:pPr>
            <w:r>
              <w:rPr>
                <w:rFonts w:ascii="Arial" w:hAnsi="Arial" w:eastAsia="Arial" w:cs="Arial"/>
                <w:spacing w:val="-9"/>
                <w:sz w:val="15"/>
                <w:szCs w:val="15"/>
              </w:rPr>
              <w:t>.290</w:t>
            </w:r>
          </w:p>
        </w:tc>
        <w:tc>
          <w:tcPr>
            <w:tcW w:w="819" w:type="dxa"/>
            <w:vAlign w:val="top"/>
          </w:tcPr>
          <w:p>
            <w:pPr>
              <w:spacing w:before="30" w:line="171" w:lineRule="auto"/>
              <w:ind w:left="322"/>
              <w:rPr>
                <w:rFonts w:ascii="Arial" w:hAnsi="Arial" w:eastAsia="Arial" w:cs="Arial"/>
                <w:sz w:val="15"/>
                <w:szCs w:val="15"/>
              </w:rPr>
            </w:pPr>
            <w:r>
              <w:rPr>
                <w:rFonts w:ascii="Arial" w:hAnsi="Arial" w:eastAsia="Arial" w:cs="Arial"/>
                <w:spacing w:val="-9"/>
                <w:sz w:val="15"/>
                <w:szCs w:val="15"/>
              </w:rPr>
              <w:t>.250</w:t>
            </w:r>
          </w:p>
        </w:tc>
        <w:tc>
          <w:tcPr>
            <w:tcW w:w="819" w:type="dxa"/>
            <w:vAlign w:val="top"/>
          </w:tcPr>
          <w:p>
            <w:pPr>
              <w:spacing w:before="30" w:line="171" w:lineRule="auto"/>
              <w:ind w:left="321"/>
              <w:rPr>
                <w:rFonts w:ascii="Arial" w:hAnsi="Arial" w:eastAsia="Arial" w:cs="Arial"/>
                <w:sz w:val="15"/>
                <w:szCs w:val="15"/>
              </w:rPr>
            </w:pPr>
            <w:r>
              <w:rPr>
                <w:rFonts w:ascii="Arial" w:hAnsi="Arial" w:eastAsia="Arial" w:cs="Arial"/>
                <w:spacing w:val="-9"/>
                <w:sz w:val="15"/>
                <w:szCs w:val="15"/>
              </w:rPr>
              <w:t>.285</w:t>
            </w:r>
          </w:p>
        </w:tc>
        <w:tc>
          <w:tcPr>
            <w:tcW w:w="816" w:type="dxa"/>
            <w:vAlign w:val="top"/>
          </w:tcPr>
          <w:p>
            <w:pPr>
              <w:spacing w:before="30" w:line="171" w:lineRule="auto"/>
              <w:ind w:left="321"/>
              <w:rPr>
                <w:rFonts w:ascii="Arial" w:hAnsi="Arial" w:eastAsia="Arial" w:cs="Arial"/>
                <w:sz w:val="15"/>
                <w:szCs w:val="15"/>
              </w:rPr>
            </w:pPr>
            <w:r>
              <w:rPr>
                <w:rFonts w:ascii="Arial" w:hAnsi="Arial" w:eastAsia="Arial" w:cs="Arial"/>
                <w:spacing w:val="-9"/>
                <w:sz w:val="15"/>
                <w:szCs w:val="15"/>
              </w:rPr>
              <w:t>.223</w:t>
            </w:r>
          </w:p>
        </w:tc>
        <w:tc>
          <w:tcPr>
            <w:tcW w:w="820" w:type="dxa"/>
            <w:vAlign w:val="top"/>
          </w:tcPr>
          <w:p>
            <w:pPr>
              <w:spacing w:before="30" w:line="171" w:lineRule="auto"/>
              <w:ind w:left="322"/>
              <w:rPr>
                <w:rFonts w:ascii="Arial" w:hAnsi="Arial" w:eastAsia="Arial" w:cs="Arial"/>
                <w:sz w:val="15"/>
                <w:szCs w:val="15"/>
              </w:rPr>
            </w:pPr>
            <w:r>
              <w:rPr>
                <w:rFonts w:ascii="Arial" w:hAnsi="Arial" w:eastAsia="Arial" w:cs="Arial"/>
                <w:spacing w:val="-9"/>
                <w:sz w:val="15"/>
                <w:szCs w:val="15"/>
              </w:rPr>
              <w:t>.504</w:t>
            </w:r>
          </w:p>
        </w:tc>
        <w:tc>
          <w:tcPr>
            <w:tcW w:w="818" w:type="dxa"/>
            <w:vAlign w:val="top"/>
          </w:tcPr>
          <w:p>
            <w:pPr>
              <w:spacing w:before="30" w:line="171" w:lineRule="auto"/>
              <w:ind w:left="321"/>
              <w:rPr>
                <w:rFonts w:ascii="Arial" w:hAnsi="Arial" w:eastAsia="Arial" w:cs="Arial"/>
                <w:sz w:val="15"/>
                <w:szCs w:val="15"/>
              </w:rPr>
            </w:pPr>
            <w:r>
              <w:rPr>
                <w:rFonts w:ascii="Arial" w:hAnsi="Arial" w:eastAsia="Arial" w:cs="Arial"/>
                <w:spacing w:val="-9"/>
                <w:sz w:val="15"/>
                <w:szCs w:val="15"/>
              </w:rPr>
              <w:t>.509</w:t>
            </w:r>
          </w:p>
        </w:tc>
        <w:tc>
          <w:tcPr>
            <w:tcW w:w="814" w:type="dxa"/>
            <w:vAlign w:val="top"/>
          </w:tcPr>
          <w:p>
            <w:pPr>
              <w:spacing w:before="30" w:line="171" w:lineRule="auto"/>
              <w:ind w:left="321"/>
              <w:rPr>
                <w:rFonts w:ascii="Arial" w:hAnsi="Arial" w:eastAsia="Arial" w:cs="Arial"/>
                <w:sz w:val="15"/>
                <w:szCs w:val="15"/>
              </w:rPr>
            </w:pPr>
            <w:r>
              <w:rPr>
                <w:rFonts w:ascii="Arial" w:hAnsi="Arial" w:eastAsia="Arial" w:cs="Arial"/>
                <w:spacing w:val="-9"/>
                <w:sz w:val="15"/>
                <w:szCs w:val="15"/>
              </w:rPr>
              <w:t>.452</w:t>
            </w:r>
          </w:p>
        </w:tc>
        <w:tc>
          <w:tcPr>
            <w:tcW w:w="744" w:type="dxa"/>
            <w:vAlign w:val="top"/>
          </w:tcPr>
          <w:p>
            <w:pPr>
              <w:spacing w:before="31" w:line="169" w:lineRule="auto"/>
              <w:ind w:left="257"/>
              <w:rPr>
                <w:rFonts w:ascii="Arial" w:hAnsi="Arial" w:eastAsia="Arial" w:cs="Arial"/>
                <w:sz w:val="15"/>
                <w:szCs w:val="15"/>
              </w:rPr>
            </w:pPr>
            <w:r>
              <w:rPr>
                <w:rFonts w:ascii="Arial" w:hAnsi="Arial" w:eastAsia="Arial" w:cs="Arial"/>
                <w:sz w:val="15"/>
                <w:szCs w:val="15"/>
              </w:rPr>
              <w:t>1</w:t>
            </w:r>
          </w:p>
        </w:tc>
        <w:tc>
          <w:tcPr>
            <w:tcW w:w="747" w:type="dxa"/>
            <w:vAlign w:val="top"/>
          </w:tcPr>
          <w:p>
            <w:pPr>
              <w:spacing w:line="152" w:lineRule="exact"/>
              <w:rPr>
                <w:rFonts w:ascii="Arial"/>
                <w:sz w:val="13"/>
              </w:rPr>
            </w:pPr>
          </w:p>
        </w:tc>
        <w:tc>
          <w:tcPr>
            <w:tcW w:w="388" w:type="dxa"/>
            <w:vAlign w:val="top"/>
          </w:tcPr>
          <w:p>
            <w:pPr>
              <w:spacing w:line="152" w:lineRule="exact"/>
              <w:rPr>
                <w:rFonts w:ascii="Arial"/>
                <w:sz w:val="13"/>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4" w:hRule="atLeast"/>
        </w:trPr>
        <w:tc>
          <w:tcPr>
            <w:tcW w:w="1308" w:type="dxa"/>
            <w:vAlign w:val="top"/>
          </w:tcPr>
          <w:p>
            <w:pPr>
              <w:spacing w:before="43" w:line="111" w:lineRule="exact"/>
              <w:ind w:left="5"/>
              <w:rPr>
                <w:rFonts w:ascii="Arial" w:hAnsi="Arial" w:eastAsia="Arial" w:cs="Arial"/>
                <w:sz w:val="15"/>
                <w:szCs w:val="15"/>
              </w:rPr>
            </w:pPr>
            <w:r>
              <w:rPr>
                <w:rFonts w:ascii="Arial" w:hAnsi="Arial" w:eastAsia="Arial" w:cs="Arial"/>
                <w:spacing w:val="-11"/>
                <w:w w:val="97"/>
                <w:position w:val="-2"/>
                <w:sz w:val="15"/>
                <w:szCs w:val="15"/>
              </w:rPr>
              <w:t>Career</w:t>
            </w:r>
            <w:r>
              <w:rPr>
                <w:rFonts w:ascii="Arial" w:hAnsi="Arial" w:eastAsia="Arial" w:cs="Arial"/>
                <w:spacing w:val="20"/>
                <w:w w:val="101"/>
                <w:position w:val="-2"/>
                <w:sz w:val="15"/>
                <w:szCs w:val="15"/>
              </w:rPr>
              <w:t xml:space="preserve"> </w:t>
            </w:r>
            <w:r>
              <w:rPr>
                <w:rFonts w:ascii="Arial" w:hAnsi="Arial" w:eastAsia="Arial" w:cs="Arial"/>
                <w:spacing w:val="-11"/>
                <w:w w:val="97"/>
                <w:position w:val="-2"/>
                <w:sz w:val="15"/>
                <w:szCs w:val="15"/>
              </w:rPr>
              <w:t>DEV</w:t>
            </w:r>
          </w:p>
        </w:tc>
        <w:tc>
          <w:tcPr>
            <w:tcW w:w="811" w:type="dxa"/>
            <w:vAlign w:val="top"/>
          </w:tcPr>
          <w:p>
            <w:pPr>
              <w:spacing w:before="47" w:line="107" w:lineRule="exact"/>
              <w:ind w:left="317"/>
              <w:rPr>
                <w:rFonts w:ascii="Arial" w:hAnsi="Arial" w:eastAsia="Arial" w:cs="Arial"/>
                <w:sz w:val="15"/>
                <w:szCs w:val="15"/>
              </w:rPr>
            </w:pPr>
            <w:r>
              <w:rPr>
                <w:rFonts w:ascii="Arial" w:hAnsi="Arial" w:eastAsia="Arial" w:cs="Arial"/>
                <w:spacing w:val="-9"/>
                <w:position w:val="-2"/>
                <w:sz w:val="15"/>
                <w:szCs w:val="15"/>
              </w:rPr>
              <w:t>9.55</w:t>
            </w:r>
          </w:p>
        </w:tc>
        <w:tc>
          <w:tcPr>
            <w:tcW w:w="749" w:type="dxa"/>
            <w:vAlign w:val="top"/>
          </w:tcPr>
          <w:p>
            <w:pPr>
              <w:spacing w:before="47" w:line="107" w:lineRule="exact"/>
              <w:ind w:left="250"/>
              <w:rPr>
                <w:rFonts w:ascii="Arial" w:hAnsi="Arial" w:eastAsia="Arial" w:cs="Arial"/>
                <w:sz w:val="15"/>
                <w:szCs w:val="15"/>
              </w:rPr>
            </w:pPr>
            <w:r>
              <w:rPr>
                <w:rFonts w:ascii="Arial" w:hAnsi="Arial" w:eastAsia="Arial" w:cs="Arial"/>
                <w:spacing w:val="-9"/>
                <w:position w:val="-2"/>
                <w:sz w:val="15"/>
                <w:szCs w:val="15"/>
              </w:rPr>
              <w:t>2.51</w:t>
            </w:r>
          </w:p>
        </w:tc>
        <w:tc>
          <w:tcPr>
            <w:tcW w:w="827" w:type="dxa"/>
            <w:vAlign w:val="top"/>
          </w:tcPr>
          <w:p>
            <w:pPr>
              <w:spacing w:before="47" w:line="107" w:lineRule="exact"/>
              <w:ind w:left="320"/>
              <w:rPr>
                <w:rFonts w:ascii="Arial" w:hAnsi="Arial" w:eastAsia="Arial" w:cs="Arial"/>
                <w:sz w:val="15"/>
                <w:szCs w:val="15"/>
              </w:rPr>
            </w:pPr>
            <w:r>
              <w:rPr>
                <w:rFonts w:ascii="Arial" w:hAnsi="Arial" w:eastAsia="Arial" w:cs="Arial"/>
                <w:spacing w:val="-9"/>
                <w:position w:val="-2"/>
                <w:sz w:val="15"/>
                <w:szCs w:val="15"/>
              </w:rPr>
              <w:t>.579</w:t>
            </w:r>
          </w:p>
        </w:tc>
        <w:tc>
          <w:tcPr>
            <w:tcW w:w="829" w:type="dxa"/>
            <w:vAlign w:val="top"/>
          </w:tcPr>
          <w:p>
            <w:pPr>
              <w:spacing w:before="47" w:line="107" w:lineRule="exact"/>
              <w:ind w:left="332"/>
              <w:rPr>
                <w:rFonts w:ascii="Arial" w:hAnsi="Arial" w:eastAsia="Arial" w:cs="Arial"/>
                <w:sz w:val="15"/>
                <w:szCs w:val="15"/>
              </w:rPr>
            </w:pPr>
            <w:r>
              <w:rPr>
                <w:rFonts w:ascii="Arial" w:hAnsi="Arial" w:eastAsia="Arial" w:cs="Arial"/>
                <w:spacing w:val="-9"/>
                <w:position w:val="-2"/>
                <w:sz w:val="15"/>
                <w:szCs w:val="15"/>
              </w:rPr>
              <w:t>.146</w:t>
            </w:r>
          </w:p>
        </w:tc>
        <w:tc>
          <w:tcPr>
            <w:tcW w:w="818" w:type="dxa"/>
            <w:vAlign w:val="top"/>
          </w:tcPr>
          <w:p>
            <w:pPr>
              <w:spacing w:before="48" w:line="106" w:lineRule="exact"/>
              <w:ind w:left="321"/>
              <w:rPr>
                <w:rFonts w:ascii="Arial" w:hAnsi="Arial" w:eastAsia="Arial" w:cs="Arial"/>
                <w:sz w:val="15"/>
                <w:szCs w:val="15"/>
              </w:rPr>
            </w:pPr>
            <w:r>
              <w:rPr>
                <w:rFonts w:ascii="Arial" w:hAnsi="Arial" w:eastAsia="Arial" w:cs="Arial"/>
                <w:spacing w:val="-9"/>
                <w:position w:val="-2"/>
                <w:sz w:val="15"/>
                <w:szCs w:val="15"/>
              </w:rPr>
              <w:t>.171</w:t>
            </w:r>
          </w:p>
        </w:tc>
        <w:tc>
          <w:tcPr>
            <w:tcW w:w="819" w:type="dxa"/>
            <w:vAlign w:val="top"/>
          </w:tcPr>
          <w:p>
            <w:pPr>
              <w:spacing w:before="48" w:line="106" w:lineRule="exact"/>
              <w:ind w:left="321"/>
              <w:rPr>
                <w:rFonts w:ascii="Arial" w:hAnsi="Arial" w:eastAsia="Arial" w:cs="Arial"/>
                <w:sz w:val="15"/>
                <w:szCs w:val="15"/>
              </w:rPr>
            </w:pPr>
            <w:r>
              <w:rPr>
                <w:rFonts w:ascii="Arial" w:hAnsi="Arial" w:eastAsia="Arial" w:cs="Arial"/>
                <w:spacing w:val="-9"/>
                <w:position w:val="-2"/>
                <w:sz w:val="15"/>
                <w:szCs w:val="15"/>
              </w:rPr>
              <w:t>.114</w:t>
            </w:r>
          </w:p>
        </w:tc>
        <w:tc>
          <w:tcPr>
            <w:tcW w:w="819" w:type="dxa"/>
            <w:vAlign w:val="top"/>
          </w:tcPr>
          <w:p>
            <w:pPr>
              <w:spacing w:before="47" w:line="107" w:lineRule="exact"/>
              <w:ind w:left="321"/>
              <w:rPr>
                <w:rFonts w:ascii="Arial" w:hAnsi="Arial" w:eastAsia="Arial" w:cs="Arial"/>
                <w:sz w:val="15"/>
                <w:szCs w:val="15"/>
              </w:rPr>
            </w:pPr>
            <w:r>
              <w:rPr>
                <w:rFonts w:ascii="Arial" w:hAnsi="Arial" w:eastAsia="Arial" w:cs="Arial"/>
                <w:spacing w:val="-9"/>
                <w:position w:val="-2"/>
                <w:sz w:val="15"/>
                <w:szCs w:val="15"/>
              </w:rPr>
              <w:t>.355</w:t>
            </w:r>
          </w:p>
        </w:tc>
        <w:tc>
          <w:tcPr>
            <w:tcW w:w="816" w:type="dxa"/>
            <w:vAlign w:val="top"/>
          </w:tcPr>
          <w:p>
            <w:pPr>
              <w:spacing w:before="47" w:line="107" w:lineRule="exact"/>
              <w:ind w:left="321"/>
              <w:rPr>
                <w:rFonts w:ascii="Arial" w:hAnsi="Arial" w:eastAsia="Arial" w:cs="Arial"/>
                <w:sz w:val="15"/>
                <w:szCs w:val="15"/>
              </w:rPr>
            </w:pPr>
            <w:r>
              <w:rPr>
                <w:rFonts w:ascii="Arial" w:hAnsi="Arial" w:eastAsia="Arial" w:cs="Arial"/>
                <w:spacing w:val="-9"/>
                <w:position w:val="-2"/>
                <w:sz w:val="15"/>
                <w:szCs w:val="15"/>
              </w:rPr>
              <w:t>.229</w:t>
            </w:r>
          </w:p>
        </w:tc>
        <w:tc>
          <w:tcPr>
            <w:tcW w:w="820" w:type="dxa"/>
            <w:vAlign w:val="top"/>
          </w:tcPr>
          <w:p>
            <w:pPr>
              <w:spacing w:before="47" w:line="107" w:lineRule="exact"/>
              <w:ind w:left="322"/>
              <w:rPr>
                <w:rFonts w:ascii="Arial" w:hAnsi="Arial" w:eastAsia="Arial" w:cs="Arial"/>
                <w:sz w:val="15"/>
                <w:szCs w:val="15"/>
              </w:rPr>
            </w:pPr>
            <w:r>
              <w:rPr>
                <w:rFonts w:ascii="Arial" w:hAnsi="Arial" w:eastAsia="Arial" w:cs="Arial"/>
                <w:spacing w:val="-9"/>
                <w:position w:val="-2"/>
                <w:sz w:val="15"/>
                <w:szCs w:val="15"/>
              </w:rPr>
              <w:t>.238</w:t>
            </w:r>
          </w:p>
        </w:tc>
        <w:tc>
          <w:tcPr>
            <w:tcW w:w="818" w:type="dxa"/>
            <w:vAlign w:val="top"/>
          </w:tcPr>
          <w:p>
            <w:pPr>
              <w:spacing w:before="47" w:line="107" w:lineRule="exact"/>
              <w:ind w:left="321"/>
              <w:rPr>
                <w:rFonts w:ascii="Arial" w:hAnsi="Arial" w:eastAsia="Arial" w:cs="Arial"/>
                <w:sz w:val="15"/>
                <w:szCs w:val="15"/>
              </w:rPr>
            </w:pPr>
            <w:r>
              <w:rPr>
                <w:rFonts w:ascii="Arial" w:hAnsi="Arial" w:eastAsia="Arial" w:cs="Arial"/>
                <w:spacing w:val="-9"/>
                <w:position w:val="-2"/>
                <w:sz w:val="15"/>
                <w:szCs w:val="15"/>
              </w:rPr>
              <w:t>.260</w:t>
            </w:r>
          </w:p>
        </w:tc>
        <w:tc>
          <w:tcPr>
            <w:tcW w:w="814" w:type="dxa"/>
            <w:vAlign w:val="top"/>
          </w:tcPr>
          <w:p>
            <w:pPr>
              <w:spacing w:before="47" w:line="107" w:lineRule="exact"/>
              <w:ind w:left="321"/>
              <w:rPr>
                <w:rFonts w:ascii="Arial" w:hAnsi="Arial" w:eastAsia="Arial" w:cs="Arial"/>
                <w:sz w:val="15"/>
                <w:szCs w:val="15"/>
              </w:rPr>
            </w:pPr>
            <w:r>
              <w:rPr>
                <w:rFonts w:ascii="Arial" w:hAnsi="Arial" w:eastAsia="Arial" w:cs="Arial"/>
                <w:spacing w:val="-9"/>
                <w:position w:val="-2"/>
                <w:sz w:val="15"/>
                <w:szCs w:val="15"/>
              </w:rPr>
              <w:t>.238</w:t>
            </w:r>
          </w:p>
        </w:tc>
        <w:tc>
          <w:tcPr>
            <w:tcW w:w="744" w:type="dxa"/>
            <w:vAlign w:val="top"/>
          </w:tcPr>
          <w:p>
            <w:pPr>
              <w:spacing w:before="47" w:line="107" w:lineRule="exact"/>
              <w:ind w:left="250"/>
              <w:rPr>
                <w:rFonts w:ascii="Arial" w:hAnsi="Arial" w:eastAsia="Arial" w:cs="Arial"/>
                <w:sz w:val="15"/>
                <w:szCs w:val="15"/>
              </w:rPr>
            </w:pPr>
            <w:r>
              <w:rPr>
                <w:rFonts w:ascii="Arial" w:hAnsi="Arial" w:eastAsia="Arial" w:cs="Arial"/>
                <w:spacing w:val="-9"/>
                <w:position w:val="-2"/>
                <w:sz w:val="15"/>
                <w:szCs w:val="15"/>
              </w:rPr>
              <w:t>.400</w:t>
            </w:r>
          </w:p>
        </w:tc>
        <w:tc>
          <w:tcPr>
            <w:tcW w:w="747" w:type="dxa"/>
            <w:vAlign w:val="top"/>
          </w:tcPr>
          <w:p>
            <w:pPr>
              <w:spacing w:before="48" w:line="106" w:lineRule="exact"/>
              <w:ind w:left="256"/>
              <w:rPr>
                <w:rFonts w:ascii="Arial" w:hAnsi="Arial" w:eastAsia="Arial" w:cs="Arial"/>
                <w:sz w:val="15"/>
                <w:szCs w:val="15"/>
              </w:rPr>
            </w:pPr>
            <w:r>
              <w:rPr>
                <w:rFonts w:ascii="Arial" w:hAnsi="Arial" w:eastAsia="Arial" w:cs="Arial"/>
                <w:position w:val="-2"/>
                <w:sz w:val="15"/>
                <w:szCs w:val="15"/>
              </w:rPr>
              <w:t>1</w:t>
            </w:r>
          </w:p>
        </w:tc>
        <w:tc>
          <w:tcPr>
            <w:tcW w:w="388" w:type="dxa"/>
            <w:vAlign w:val="top"/>
          </w:tcPr>
          <w:p>
            <w:pPr>
              <w:spacing w:line="154" w:lineRule="exact"/>
              <w:rPr>
                <w:rFonts w:ascii="Arial"/>
                <w:sz w:val="13"/>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8" w:hRule="atLeast"/>
        </w:trPr>
        <w:tc>
          <w:tcPr>
            <w:tcW w:w="1308" w:type="dxa"/>
            <w:tcBorders>
              <w:bottom w:val="single" w:color="282781" w:sz="4" w:space="0"/>
            </w:tcBorders>
            <w:vAlign w:val="top"/>
          </w:tcPr>
          <w:p>
            <w:pPr>
              <w:spacing w:before="53" w:line="203" w:lineRule="auto"/>
              <w:ind w:left="11"/>
              <w:rPr>
                <w:rFonts w:ascii="Arial" w:hAnsi="Arial" w:eastAsia="Arial" w:cs="Arial"/>
                <w:sz w:val="15"/>
                <w:szCs w:val="15"/>
              </w:rPr>
            </w:pPr>
            <w:r>
              <w:rPr>
                <w:rFonts w:ascii="Arial" w:hAnsi="Arial" w:eastAsia="Arial" w:cs="Arial"/>
                <w:spacing w:val="-10"/>
                <w:sz w:val="15"/>
                <w:szCs w:val="15"/>
              </w:rPr>
              <w:t>Professional</w:t>
            </w:r>
            <w:r>
              <w:rPr>
                <w:rFonts w:ascii="Arial" w:hAnsi="Arial" w:eastAsia="Arial" w:cs="Arial"/>
                <w:spacing w:val="21"/>
                <w:w w:val="101"/>
                <w:sz w:val="15"/>
                <w:szCs w:val="15"/>
              </w:rPr>
              <w:t xml:space="preserve"> </w:t>
            </w:r>
            <w:r>
              <w:rPr>
                <w:rFonts w:ascii="Arial" w:hAnsi="Arial" w:eastAsia="Arial" w:cs="Arial"/>
                <w:spacing w:val="-10"/>
                <w:sz w:val="15"/>
                <w:szCs w:val="15"/>
              </w:rPr>
              <w:t>EX</w:t>
            </w:r>
          </w:p>
        </w:tc>
        <w:tc>
          <w:tcPr>
            <w:tcW w:w="811" w:type="dxa"/>
            <w:tcBorders>
              <w:bottom w:val="single" w:color="282781" w:sz="4" w:space="0"/>
            </w:tcBorders>
            <w:vAlign w:val="top"/>
          </w:tcPr>
          <w:p>
            <w:pPr>
              <w:spacing w:before="62" w:line="191" w:lineRule="auto"/>
              <w:ind w:left="251"/>
              <w:rPr>
                <w:rFonts w:ascii="Arial" w:hAnsi="Arial" w:eastAsia="Arial" w:cs="Arial"/>
                <w:sz w:val="15"/>
                <w:szCs w:val="15"/>
              </w:rPr>
            </w:pPr>
            <w:r>
              <w:rPr>
                <w:rFonts w:ascii="Arial" w:hAnsi="Arial" w:eastAsia="Arial" w:cs="Arial"/>
                <w:spacing w:val="-11"/>
                <w:sz w:val="15"/>
                <w:szCs w:val="15"/>
              </w:rPr>
              <w:t>10.54</w:t>
            </w:r>
          </w:p>
        </w:tc>
        <w:tc>
          <w:tcPr>
            <w:tcW w:w="749" w:type="dxa"/>
            <w:tcBorders>
              <w:bottom w:val="single" w:color="282781" w:sz="4" w:space="0"/>
            </w:tcBorders>
            <w:vAlign w:val="top"/>
          </w:tcPr>
          <w:p>
            <w:pPr>
              <w:spacing w:before="62" w:line="191" w:lineRule="auto"/>
              <w:ind w:left="250"/>
              <w:rPr>
                <w:rFonts w:ascii="Arial" w:hAnsi="Arial" w:eastAsia="Arial" w:cs="Arial"/>
                <w:sz w:val="15"/>
                <w:szCs w:val="15"/>
              </w:rPr>
            </w:pPr>
            <w:r>
              <w:rPr>
                <w:rFonts w:ascii="Arial" w:hAnsi="Arial" w:eastAsia="Arial" w:cs="Arial"/>
                <w:spacing w:val="-9"/>
                <w:sz w:val="15"/>
                <w:szCs w:val="15"/>
              </w:rPr>
              <w:t>2.61</w:t>
            </w:r>
          </w:p>
        </w:tc>
        <w:tc>
          <w:tcPr>
            <w:tcW w:w="827" w:type="dxa"/>
            <w:tcBorders>
              <w:bottom w:val="single" w:color="282781" w:sz="4" w:space="0"/>
            </w:tcBorders>
            <w:vAlign w:val="top"/>
          </w:tcPr>
          <w:p>
            <w:pPr>
              <w:spacing w:before="62" w:line="191" w:lineRule="auto"/>
              <w:ind w:left="320"/>
              <w:rPr>
                <w:rFonts w:ascii="Arial" w:hAnsi="Arial" w:eastAsia="Arial" w:cs="Arial"/>
                <w:sz w:val="15"/>
                <w:szCs w:val="15"/>
              </w:rPr>
            </w:pPr>
            <w:r>
              <w:rPr>
                <w:rFonts w:ascii="Arial" w:hAnsi="Arial" w:eastAsia="Arial" w:cs="Arial"/>
                <w:spacing w:val="-9"/>
                <w:sz w:val="15"/>
                <w:szCs w:val="15"/>
              </w:rPr>
              <w:t>.430</w:t>
            </w:r>
          </w:p>
        </w:tc>
        <w:tc>
          <w:tcPr>
            <w:tcW w:w="829" w:type="dxa"/>
            <w:tcBorders>
              <w:bottom w:val="single" w:color="282781" w:sz="4" w:space="0"/>
            </w:tcBorders>
            <w:vAlign w:val="top"/>
          </w:tcPr>
          <w:p>
            <w:pPr>
              <w:spacing w:before="62" w:line="193" w:lineRule="auto"/>
              <w:ind w:left="332"/>
              <w:rPr>
                <w:rFonts w:ascii="Arial" w:hAnsi="Arial" w:eastAsia="Arial" w:cs="Arial"/>
                <w:sz w:val="15"/>
                <w:szCs w:val="15"/>
              </w:rPr>
            </w:pPr>
            <w:r>
              <w:rPr>
                <w:rFonts w:ascii="Arial" w:hAnsi="Arial" w:eastAsia="Arial" w:cs="Arial"/>
                <w:spacing w:val="-9"/>
                <w:sz w:val="15"/>
                <w:szCs w:val="15"/>
              </w:rPr>
              <w:t>.242</w:t>
            </w:r>
          </w:p>
        </w:tc>
        <w:tc>
          <w:tcPr>
            <w:tcW w:w="818" w:type="dxa"/>
            <w:tcBorders>
              <w:bottom w:val="single" w:color="282781" w:sz="4" w:space="0"/>
            </w:tcBorders>
            <w:vAlign w:val="top"/>
          </w:tcPr>
          <w:p>
            <w:pPr>
              <w:spacing w:before="62" w:line="191" w:lineRule="auto"/>
              <w:ind w:left="321"/>
              <w:rPr>
                <w:rFonts w:ascii="Arial" w:hAnsi="Arial" w:eastAsia="Arial" w:cs="Arial"/>
                <w:sz w:val="15"/>
                <w:szCs w:val="15"/>
              </w:rPr>
            </w:pPr>
            <w:r>
              <w:rPr>
                <w:rFonts w:ascii="Arial" w:hAnsi="Arial" w:eastAsia="Arial" w:cs="Arial"/>
                <w:spacing w:val="-9"/>
                <w:sz w:val="15"/>
                <w:szCs w:val="15"/>
              </w:rPr>
              <w:t>.200</w:t>
            </w:r>
          </w:p>
        </w:tc>
        <w:tc>
          <w:tcPr>
            <w:tcW w:w="819" w:type="dxa"/>
            <w:tcBorders>
              <w:bottom w:val="single" w:color="282781" w:sz="4" w:space="0"/>
            </w:tcBorders>
            <w:vAlign w:val="top"/>
          </w:tcPr>
          <w:p>
            <w:pPr>
              <w:spacing w:before="62" w:line="191" w:lineRule="auto"/>
              <w:ind w:left="321"/>
              <w:rPr>
                <w:rFonts w:ascii="Arial" w:hAnsi="Arial" w:eastAsia="Arial" w:cs="Arial"/>
                <w:sz w:val="15"/>
                <w:szCs w:val="15"/>
              </w:rPr>
            </w:pPr>
            <w:r>
              <w:rPr>
                <w:rFonts w:ascii="Arial" w:hAnsi="Arial" w:eastAsia="Arial" w:cs="Arial"/>
                <w:spacing w:val="-9"/>
                <w:sz w:val="15"/>
                <w:szCs w:val="15"/>
              </w:rPr>
              <w:t>.138</w:t>
            </w:r>
          </w:p>
        </w:tc>
        <w:tc>
          <w:tcPr>
            <w:tcW w:w="819" w:type="dxa"/>
            <w:tcBorders>
              <w:bottom w:val="single" w:color="282781" w:sz="4" w:space="0"/>
            </w:tcBorders>
            <w:vAlign w:val="top"/>
          </w:tcPr>
          <w:p>
            <w:pPr>
              <w:spacing w:before="62" w:line="191" w:lineRule="auto"/>
              <w:ind w:left="321"/>
              <w:rPr>
                <w:rFonts w:ascii="Arial" w:hAnsi="Arial" w:eastAsia="Arial" w:cs="Arial"/>
                <w:sz w:val="15"/>
                <w:szCs w:val="15"/>
              </w:rPr>
            </w:pPr>
            <w:r>
              <w:rPr>
                <w:rFonts w:ascii="Arial" w:hAnsi="Arial" w:eastAsia="Arial" w:cs="Arial"/>
                <w:spacing w:val="-9"/>
                <w:sz w:val="15"/>
                <w:szCs w:val="15"/>
              </w:rPr>
              <w:t>.313</w:t>
            </w:r>
          </w:p>
        </w:tc>
        <w:tc>
          <w:tcPr>
            <w:tcW w:w="816" w:type="dxa"/>
            <w:tcBorders>
              <w:bottom w:val="single" w:color="282781" w:sz="4" w:space="0"/>
            </w:tcBorders>
            <w:vAlign w:val="top"/>
          </w:tcPr>
          <w:p>
            <w:pPr>
              <w:spacing w:before="62" w:line="191" w:lineRule="auto"/>
              <w:ind w:left="321"/>
              <w:rPr>
                <w:rFonts w:ascii="Arial" w:hAnsi="Arial" w:eastAsia="Arial" w:cs="Arial"/>
                <w:sz w:val="15"/>
                <w:szCs w:val="15"/>
              </w:rPr>
            </w:pPr>
            <w:r>
              <w:rPr>
                <w:rFonts w:ascii="Arial" w:hAnsi="Arial" w:eastAsia="Arial" w:cs="Arial"/>
                <w:spacing w:val="-9"/>
                <w:sz w:val="15"/>
                <w:szCs w:val="15"/>
              </w:rPr>
              <w:t>.283</w:t>
            </w:r>
          </w:p>
        </w:tc>
        <w:tc>
          <w:tcPr>
            <w:tcW w:w="820" w:type="dxa"/>
            <w:tcBorders>
              <w:bottom w:val="single" w:color="282781" w:sz="4" w:space="0"/>
            </w:tcBorders>
            <w:vAlign w:val="top"/>
          </w:tcPr>
          <w:p>
            <w:pPr>
              <w:spacing w:before="62" w:line="191" w:lineRule="auto"/>
              <w:ind w:left="322"/>
              <w:rPr>
                <w:rFonts w:ascii="Arial" w:hAnsi="Arial" w:eastAsia="Arial" w:cs="Arial"/>
                <w:sz w:val="15"/>
                <w:szCs w:val="15"/>
              </w:rPr>
            </w:pPr>
            <w:r>
              <w:rPr>
                <w:rFonts w:ascii="Arial" w:hAnsi="Arial" w:eastAsia="Arial" w:cs="Arial"/>
                <w:spacing w:val="-9"/>
                <w:sz w:val="15"/>
                <w:szCs w:val="15"/>
              </w:rPr>
              <w:t>.194</w:t>
            </w:r>
          </w:p>
        </w:tc>
        <w:tc>
          <w:tcPr>
            <w:tcW w:w="818" w:type="dxa"/>
            <w:tcBorders>
              <w:bottom w:val="single" w:color="282781" w:sz="4" w:space="0"/>
            </w:tcBorders>
            <w:vAlign w:val="top"/>
          </w:tcPr>
          <w:p>
            <w:pPr>
              <w:spacing w:before="62" w:line="191" w:lineRule="auto"/>
              <w:ind w:left="321"/>
              <w:rPr>
                <w:rFonts w:ascii="Arial" w:hAnsi="Arial" w:eastAsia="Arial" w:cs="Arial"/>
                <w:sz w:val="15"/>
                <w:szCs w:val="15"/>
              </w:rPr>
            </w:pPr>
            <w:r>
              <w:rPr>
                <w:rFonts w:ascii="Arial" w:hAnsi="Arial" w:eastAsia="Arial" w:cs="Arial"/>
                <w:spacing w:val="-9"/>
                <w:sz w:val="15"/>
                <w:szCs w:val="15"/>
              </w:rPr>
              <w:t>.286</w:t>
            </w:r>
          </w:p>
        </w:tc>
        <w:tc>
          <w:tcPr>
            <w:tcW w:w="814" w:type="dxa"/>
            <w:tcBorders>
              <w:bottom w:val="single" w:color="282781" w:sz="4" w:space="0"/>
            </w:tcBorders>
            <w:vAlign w:val="top"/>
          </w:tcPr>
          <w:p>
            <w:pPr>
              <w:spacing w:before="62" w:line="191" w:lineRule="auto"/>
              <w:ind w:left="321"/>
              <w:rPr>
                <w:rFonts w:ascii="Arial" w:hAnsi="Arial" w:eastAsia="Arial" w:cs="Arial"/>
                <w:sz w:val="15"/>
                <w:szCs w:val="15"/>
              </w:rPr>
            </w:pPr>
            <w:r>
              <w:rPr>
                <w:rFonts w:ascii="Arial" w:hAnsi="Arial" w:eastAsia="Arial" w:cs="Arial"/>
                <w:spacing w:val="-9"/>
                <w:sz w:val="15"/>
                <w:szCs w:val="15"/>
              </w:rPr>
              <w:t>.209</w:t>
            </w:r>
          </w:p>
        </w:tc>
        <w:tc>
          <w:tcPr>
            <w:tcW w:w="744" w:type="dxa"/>
            <w:tcBorders>
              <w:bottom w:val="single" w:color="282781" w:sz="4" w:space="0"/>
            </w:tcBorders>
            <w:vAlign w:val="top"/>
          </w:tcPr>
          <w:p>
            <w:pPr>
              <w:spacing w:before="62" w:line="191" w:lineRule="auto"/>
              <w:ind w:left="250"/>
              <w:rPr>
                <w:rFonts w:ascii="Arial" w:hAnsi="Arial" w:eastAsia="Arial" w:cs="Arial"/>
                <w:sz w:val="15"/>
                <w:szCs w:val="15"/>
              </w:rPr>
            </w:pPr>
            <w:r>
              <w:rPr>
                <w:rFonts w:ascii="Arial" w:hAnsi="Arial" w:eastAsia="Arial" w:cs="Arial"/>
                <w:spacing w:val="-9"/>
                <w:sz w:val="15"/>
                <w:szCs w:val="15"/>
              </w:rPr>
              <w:t>.320</w:t>
            </w:r>
          </w:p>
        </w:tc>
        <w:tc>
          <w:tcPr>
            <w:tcW w:w="747" w:type="dxa"/>
            <w:tcBorders>
              <w:bottom w:val="single" w:color="282781" w:sz="4" w:space="0"/>
            </w:tcBorders>
            <w:vAlign w:val="top"/>
          </w:tcPr>
          <w:p>
            <w:pPr>
              <w:spacing w:before="62" w:line="191" w:lineRule="auto"/>
              <w:ind w:left="250"/>
              <w:rPr>
                <w:rFonts w:ascii="Arial" w:hAnsi="Arial" w:eastAsia="Arial" w:cs="Arial"/>
                <w:sz w:val="15"/>
                <w:szCs w:val="15"/>
              </w:rPr>
            </w:pPr>
            <w:r>
              <w:rPr>
                <w:rFonts w:ascii="Arial" w:hAnsi="Arial" w:eastAsia="Arial" w:cs="Arial"/>
                <w:spacing w:val="-9"/>
                <w:sz w:val="15"/>
                <w:szCs w:val="15"/>
              </w:rPr>
              <w:t>.518</w:t>
            </w:r>
          </w:p>
        </w:tc>
        <w:tc>
          <w:tcPr>
            <w:tcW w:w="388" w:type="dxa"/>
            <w:tcBorders>
              <w:bottom w:val="single" w:color="282781" w:sz="4" w:space="0"/>
            </w:tcBorders>
            <w:vAlign w:val="top"/>
          </w:tcPr>
          <w:p>
            <w:pPr>
              <w:spacing w:before="64" w:line="189" w:lineRule="auto"/>
              <w:ind w:left="253"/>
              <w:rPr>
                <w:rFonts w:ascii="Arial" w:hAnsi="Arial" w:eastAsia="Arial" w:cs="Arial"/>
                <w:sz w:val="15"/>
                <w:szCs w:val="15"/>
              </w:rPr>
            </w:pPr>
            <w:r>
              <w:rPr>
                <w:rFonts w:ascii="Arial" w:hAnsi="Arial" w:eastAsia="Arial" w:cs="Arial"/>
                <w:sz w:val="15"/>
                <w:szCs w:val="15"/>
              </w:rPr>
              <w:t>1</w:t>
            </w:r>
          </w:p>
        </w:tc>
      </w:tr>
    </w:tbl>
    <w:p>
      <w:pPr>
        <w:spacing w:before="30" w:line="246" w:lineRule="auto"/>
        <w:ind w:left="122" w:right="562" w:hanging="111"/>
        <w:rPr>
          <w:rFonts w:ascii="Arial" w:hAnsi="Arial" w:eastAsia="Arial" w:cs="Arial"/>
          <w:sz w:val="15"/>
          <w:szCs w:val="15"/>
        </w:rPr>
      </w:pPr>
      <w:r>
        <w:rPr>
          <w:rFonts w:ascii="Arial" w:hAnsi="Arial" w:eastAsia="Arial" w:cs="Arial"/>
          <w:spacing w:val="-7"/>
          <w:sz w:val="15"/>
          <w:szCs w:val="15"/>
        </w:rPr>
        <w:t>Note: Scales were transformed to a maximum of 18 points; All correlations are signi</w:t>
      </w:r>
      <w:r>
        <w:rPr>
          <w:rFonts w:ascii="Arial" w:hAnsi="Arial" w:eastAsia="Arial" w:cs="Arial"/>
          <w:spacing w:val="-8"/>
          <w:sz w:val="15"/>
          <w:szCs w:val="15"/>
        </w:rPr>
        <w:t>icant</w:t>
      </w:r>
      <w:r>
        <w:rPr>
          <w:rFonts w:ascii="Arial" w:hAnsi="Arial" w:eastAsia="Arial" w:cs="Arial"/>
          <w:spacing w:val="3"/>
          <w:sz w:val="15"/>
          <w:szCs w:val="15"/>
        </w:rPr>
        <w:t xml:space="preserve"> </w:t>
      </w:r>
      <w:r>
        <w:rPr>
          <w:rFonts w:ascii="Arial" w:hAnsi="Arial" w:eastAsia="Arial" w:cs="Arial"/>
          <w:spacing w:val="-8"/>
          <w:sz w:val="15"/>
          <w:szCs w:val="15"/>
        </w:rPr>
        <w:t>(p &lt;</w:t>
      </w:r>
      <w:r>
        <w:rPr>
          <w:rFonts w:ascii="Arial" w:hAnsi="Arial" w:eastAsia="Arial" w:cs="Arial"/>
          <w:spacing w:val="-3"/>
          <w:sz w:val="15"/>
          <w:szCs w:val="15"/>
        </w:rPr>
        <w:t xml:space="preserve"> </w:t>
      </w:r>
      <w:r>
        <w:rPr>
          <w:rFonts w:ascii="Arial" w:hAnsi="Arial" w:eastAsia="Arial" w:cs="Arial"/>
          <w:spacing w:val="-8"/>
          <w:sz w:val="15"/>
          <w:szCs w:val="15"/>
        </w:rPr>
        <w:t>.05);</w:t>
      </w:r>
      <w:r>
        <w:rPr>
          <w:rFonts w:ascii="Arial" w:hAnsi="Arial" w:eastAsia="Arial" w:cs="Arial"/>
          <w:spacing w:val="2"/>
          <w:sz w:val="15"/>
          <w:szCs w:val="15"/>
        </w:rPr>
        <w:t xml:space="preserve"> </w:t>
      </w:r>
      <w:r>
        <w:rPr>
          <w:rFonts w:ascii="Arial" w:hAnsi="Arial" w:eastAsia="Arial" w:cs="Arial"/>
          <w:spacing w:val="-8"/>
          <w:sz w:val="15"/>
          <w:szCs w:val="15"/>
        </w:rPr>
        <w:t>M =</w:t>
      </w:r>
      <w:r>
        <w:rPr>
          <w:rFonts w:ascii="Arial" w:hAnsi="Arial" w:eastAsia="Arial" w:cs="Arial"/>
          <w:spacing w:val="-1"/>
          <w:sz w:val="15"/>
          <w:szCs w:val="15"/>
        </w:rPr>
        <w:t xml:space="preserve"> </w:t>
      </w:r>
      <w:r>
        <w:rPr>
          <w:rFonts w:ascii="Arial" w:hAnsi="Arial" w:eastAsia="Arial" w:cs="Arial"/>
          <w:spacing w:val="-8"/>
          <w:sz w:val="15"/>
          <w:szCs w:val="15"/>
        </w:rPr>
        <w:t>mean,</w:t>
      </w:r>
      <w:r>
        <w:rPr>
          <w:rFonts w:ascii="Arial" w:hAnsi="Arial" w:eastAsia="Arial" w:cs="Arial"/>
          <w:spacing w:val="-1"/>
          <w:sz w:val="15"/>
          <w:szCs w:val="15"/>
        </w:rPr>
        <w:t xml:space="preserve"> </w:t>
      </w:r>
      <w:r>
        <w:rPr>
          <w:rFonts w:ascii="Arial" w:hAnsi="Arial" w:eastAsia="Arial" w:cs="Arial"/>
          <w:spacing w:val="-8"/>
          <w:sz w:val="15"/>
          <w:szCs w:val="15"/>
        </w:rPr>
        <w:t>SD</w:t>
      </w:r>
      <w:r>
        <w:rPr>
          <w:rFonts w:ascii="Arial" w:hAnsi="Arial" w:eastAsia="Arial" w:cs="Arial"/>
          <w:spacing w:val="-5"/>
          <w:sz w:val="15"/>
          <w:szCs w:val="15"/>
        </w:rPr>
        <w:t xml:space="preserve"> </w:t>
      </w:r>
      <w:r>
        <w:rPr>
          <w:rFonts w:ascii="Arial" w:hAnsi="Arial" w:eastAsia="Arial" w:cs="Arial"/>
          <w:spacing w:val="-8"/>
          <w:sz w:val="15"/>
          <w:szCs w:val="15"/>
        </w:rPr>
        <w:t>=</w:t>
      </w:r>
      <w:r>
        <w:rPr>
          <w:rFonts w:ascii="Arial" w:hAnsi="Arial" w:eastAsia="Arial" w:cs="Arial"/>
          <w:spacing w:val="-4"/>
          <w:sz w:val="15"/>
          <w:szCs w:val="15"/>
        </w:rPr>
        <w:t xml:space="preserve"> </w:t>
      </w:r>
      <w:r>
        <w:rPr>
          <w:rFonts w:ascii="Arial" w:hAnsi="Arial" w:eastAsia="Arial" w:cs="Arial"/>
          <w:spacing w:val="-8"/>
          <w:sz w:val="15"/>
          <w:szCs w:val="15"/>
        </w:rPr>
        <w:t>standard</w:t>
      </w:r>
      <w:r>
        <w:rPr>
          <w:rFonts w:ascii="Arial" w:hAnsi="Arial" w:eastAsia="Arial" w:cs="Arial"/>
          <w:spacing w:val="-2"/>
          <w:sz w:val="15"/>
          <w:szCs w:val="15"/>
        </w:rPr>
        <w:t xml:space="preserve"> </w:t>
      </w:r>
      <w:r>
        <w:rPr>
          <w:rFonts w:ascii="Arial" w:hAnsi="Arial" w:eastAsia="Arial" w:cs="Arial"/>
          <w:spacing w:val="-8"/>
          <w:sz w:val="15"/>
          <w:szCs w:val="15"/>
        </w:rPr>
        <w:t>deviation;</w:t>
      </w:r>
      <w:r>
        <w:rPr>
          <w:rFonts w:ascii="Arial" w:hAnsi="Arial" w:eastAsia="Arial" w:cs="Arial"/>
          <w:spacing w:val="4"/>
          <w:sz w:val="15"/>
          <w:szCs w:val="15"/>
        </w:rPr>
        <w:t xml:space="preserve"> </w:t>
      </w:r>
      <w:r>
        <w:rPr>
          <w:rFonts w:ascii="Arial" w:hAnsi="Arial" w:eastAsia="Arial" w:cs="Arial"/>
          <w:spacing w:val="-8"/>
          <w:sz w:val="15"/>
          <w:szCs w:val="15"/>
        </w:rPr>
        <w:t>Lead</w:t>
      </w:r>
      <w:r>
        <w:rPr>
          <w:rFonts w:ascii="Arial" w:hAnsi="Arial" w:eastAsia="Arial" w:cs="Arial"/>
          <w:spacing w:val="3"/>
          <w:sz w:val="15"/>
          <w:szCs w:val="15"/>
        </w:rPr>
        <w:t xml:space="preserve"> </w:t>
      </w:r>
      <w:r>
        <w:rPr>
          <w:rFonts w:ascii="Arial" w:hAnsi="Arial" w:eastAsia="Arial" w:cs="Arial"/>
          <w:spacing w:val="-8"/>
          <w:sz w:val="15"/>
          <w:szCs w:val="15"/>
        </w:rPr>
        <w:t>BEHV =</w:t>
      </w:r>
      <w:r>
        <w:rPr>
          <w:rFonts w:ascii="Arial" w:hAnsi="Arial" w:eastAsia="Arial" w:cs="Arial"/>
          <w:spacing w:val="1"/>
          <w:sz w:val="15"/>
          <w:szCs w:val="15"/>
        </w:rPr>
        <w:t xml:space="preserve"> </w:t>
      </w:r>
      <w:r>
        <w:rPr>
          <w:rFonts w:ascii="Arial" w:hAnsi="Arial" w:eastAsia="Arial" w:cs="Arial"/>
          <w:spacing w:val="-8"/>
          <w:sz w:val="15"/>
          <w:szCs w:val="15"/>
        </w:rPr>
        <w:t>Leadership</w:t>
      </w:r>
      <w:r>
        <w:rPr>
          <w:rFonts w:ascii="Arial" w:hAnsi="Arial" w:eastAsia="Arial" w:cs="Arial"/>
          <w:spacing w:val="2"/>
          <w:sz w:val="15"/>
          <w:szCs w:val="15"/>
        </w:rPr>
        <w:t xml:space="preserve"> </w:t>
      </w:r>
      <w:r>
        <w:rPr>
          <w:rFonts w:ascii="Arial" w:hAnsi="Arial" w:eastAsia="Arial" w:cs="Arial"/>
          <w:spacing w:val="-8"/>
          <w:sz w:val="15"/>
          <w:szCs w:val="15"/>
        </w:rPr>
        <w:t>behavior;</w:t>
      </w:r>
      <w:r>
        <w:rPr>
          <w:rFonts w:ascii="Arial" w:hAnsi="Arial" w:eastAsia="Arial" w:cs="Arial"/>
          <w:spacing w:val="5"/>
          <w:sz w:val="15"/>
          <w:szCs w:val="15"/>
        </w:rPr>
        <w:t xml:space="preserve"> </w:t>
      </w:r>
      <w:r>
        <w:rPr>
          <w:rFonts w:ascii="Arial" w:hAnsi="Arial" w:eastAsia="Arial" w:cs="Arial"/>
          <w:spacing w:val="-8"/>
          <w:sz w:val="15"/>
          <w:szCs w:val="15"/>
        </w:rPr>
        <w:t>Lead</w:t>
      </w:r>
      <w:r>
        <w:rPr>
          <w:rFonts w:ascii="Arial" w:hAnsi="Arial" w:eastAsia="Arial" w:cs="Arial"/>
          <w:spacing w:val="3"/>
          <w:sz w:val="15"/>
          <w:szCs w:val="15"/>
        </w:rPr>
        <w:t xml:space="preserve"> </w:t>
      </w:r>
      <w:r>
        <w:rPr>
          <w:rFonts w:ascii="Arial" w:hAnsi="Arial" w:eastAsia="Arial" w:cs="Arial"/>
          <w:spacing w:val="-8"/>
          <w:sz w:val="15"/>
          <w:szCs w:val="15"/>
        </w:rPr>
        <w:t>EXP</w:t>
      </w:r>
      <w:r>
        <w:rPr>
          <w:rFonts w:ascii="Arial" w:hAnsi="Arial" w:eastAsia="Arial" w:cs="Arial"/>
          <w:spacing w:val="-4"/>
          <w:sz w:val="15"/>
          <w:szCs w:val="15"/>
        </w:rPr>
        <w:t xml:space="preserve"> </w:t>
      </w:r>
      <w:r>
        <w:rPr>
          <w:rFonts w:ascii="Arial" w:hAnsi="Arial" w:eastAsia="Arial" w:cs="Arial"/>
          <w:spacing w:val="-8"/>
          <w:sz w:val="15"/>
          <w:szCs w:val="15"/>
        </w:rPr>
        <w:t>=</w:t>
      </w:r>
      <w:r>
        <w:rPr>
          <w:rFonts w:ascii="Arial" w:hAnsi="Arial" w:eastAsia="Arial" w:cs="Arial"/>
          <w:spacing w:val="1"/>
          <w:sz w:val="15"/>
          <w:szCs w:val="15"/>
        </w:rPr>
        <w:t xml:space="preserve"> </w:t>
      </w:r>
      <w:r>
        <w:rPr>
          <w:rFonts w:ascii="Arial" w:hAnsi="Arial" w:eastAsia="Arial" w:cs="Arial"/>
          <w:spacing w:val="-8"/>
          <w:sz w:val="15"/>
          <w:szCs w:val="15"/>
        </w:rPr>
        <w:t>Leadership</w:t>
      </w:r>
      <w:r>
        <w:rPr>
          <w:rFonts w:ascii="Arial" w:hAnsi="Arial" w:eastAsia="Arial" w:cs="Arial"/>
          <w:spacing w:val="-2"/>
          <w:sz w:val="15"/>
          <w:szCs w:val="15"/>
        </w:rPr>
        <w:t xml:space="preserve"> </w:t>
      </w:r>
      <w:r>
        <w:rPr>
          <w:rFonts w:ascii="Arial" w:hAnsi="Arial" w:eastAsia="Arial" w:cs="Arial"/>
          <w:spacing w:val="-8"/>
          <w:sz w:val="15"/>
          <w:szCs w:val="15"/>
        </w:rPr>
        <w:t>expec-</w:t>
      </w:r>
      <w:r>
        <w:rPr>
          <w:rFonts w:ascii="Arial" w:hAnsi="Arial" w:eastAsia="Arial" w:cs="Arial"/>
          <w:sz w:val="15"/>
          <w:szCs w:val="15"/>
        </w:rPr>
        <w:t xml:space="preserve"> </w:t>
      </w:r>
      <w:r>
        <w:rPr>
          <w:rFonts w:ascii="Arial" w:hAnsi="Arial" w:eastAsia="Arial" w:cs="Arial"/>
          <w:spacing w:val="-7"/>
          <w:sz w:val="15"/>
          <w:szCs w:val="15"/>
        </w:rPr>
        <w:t>tations;</w:t>
      </w:r>
      <w:r>
        <w:rPr>
          <w:rFonts w:ascii="Arial" w:hAnsi="Arial" w:eastAsia="Arial" w:cs="Arial"/>
          <w:spacing w:val="19"/>
          <w:sz w:val="15"/>
          <w:szCs w:val="15"/>
        </w:rPr>
        <w:t xml:space="preserve"> </w:t>
      </w:r>
      <w:r>
        <w:rPr>
          <w:rFonts w:ascii="Arial" w:hAnsi="Arial" w:eastAsia="Arial" w:cs="Arial"/>
          <w:spacing w:val="-7"/>
          <w:sz w:val="15"/>
          <w:szCs w:val="15"/>
        </w:rPr>
        <w:t>HEI = higher</w:t>
      </w:r>
      <w:r>
        <w:rPr>
          <w:rFonts w:ascii="Arial" w:hAnsi="Arial" w:eastAsia="Arial" w:cs="Arial"/>
          <w:spacing w:val="12"/>
          <w:w w:val="102"/>
          <w:sz w:val="15"/>
          <w:szCs w:val="15"/>
        </w:rPr>
        <w:t xml:space="preserve"> </w:t>
      </w:r>
      <w:r>
        <w:rPr>
          <w:rFonts w:ascii="Arial" w:hAnsi="Arial" w:eastAsia="Arial" w:cs="Arial"/>
          <w:spacing w:val="-7"/>
          <w:sz w:val="15"/>
          <w:szCs w:val="15"/>
        </w:rPr>
        <w:t>education</w:t>
      </w:r>
      <w:r>
        <w:rPr>
          <w:rFonts w:ascii="Arial" w:hAnsi="Arial" w:eastAsia="Arial" w:cs="Arial"/>
          <w:spacing w:val="14"/>
          <w:w w:val="101"/>
          <w:sz w:val="15"/>
          <w:szCs w:val="15"/>
        </w:rPr>
        <w:t xml:space="preserve"> </w:t>
      </w:r>
      <w:r>
        <w:rPr>
          <w:rFonts w:ascii="Arial" w:hAnsi="Arial" w:eastAsia="Arial" w:cs="Arial"/>
          <w:spacing w:val="-7"/>
          <w:sz w:val="15"/>
          <w:szCs w:val="15"/>
        </w:rPr>
        <w:t>institution;</w:t>
      </w:r>
      <w:r>
        <w:rPr>
          <w:rFonts w:ascii="Arial" w:hAnsi="Arial" w:eastAsia="Arial" w:cs="Arial"/>
          <w:spacing w:val="12"/>
          <w:sz w:val="15"/>
          <w:szCs w:val="15"/>
        </w:rPr>
        <w:t xml:space="preserve"> </w:t>
      </w:r>
      <w:r>
        <w:rPr>
          <w:rFonts w:ascii="Arial" w:hAnsi="Arial" w:eastAsia="Arial" w:cs="Arial"/>
          <w:spacing w:val="-7"/>
          <w:sz w:val="15"/>
          <w:szCs w:val="15"/>
        </w:rPr>
        <w:t>Career</w:t>
      </w:r>
      <w:r>
        <w:rPr>
          <w:rFonts w:ascii="Arial" w:hAnsi="Arial" w:eastAsia="Arial" w:cs="Arial"/>
          <w:spacing w:val="17"/>
          <w:sz w:val="15"/>
          <w:szCs w:val="15"/>
        </w:rPr>
        <w:t xml:space="preserve"> </w:t>
      </w:r>
      <w:r>
        <w:rPr>
          <w:rFonts w:ascii="Arial" w:hAnsi="Arial" w:eastAsia="Arial" w:cs="Arial"/>
          <w:spacing w:val="-7"/>
          <w:sz w:val="15"/>
          <w:szCs w:val="15"/>
        </w:rPr>
        <w:t>DEV = career</w:t>
      </w:r>
      <w:r>
        <w:rPr>
          <w:rFonts w:ascii="Arial" w:hAnsi="Arial" w:eastAsia="Arial" w:cs="Arial"/>
          <w:spacing w:val="10"/>
          <w:w w:val="102"/>
          <w:sz w:val="15"/>
          <w:szCs w:val="15"/>
        </w:rPr>
        <w:t xml:space="preserve"> </w:t>
      </w:r>
      <w:r>
        <w:rPr>
          <w:rFonts w:ascii="Arial" w:hAnsi="Arial" w:eastAsia="Arial" w:cs="Arial"/>
          <w:spacing w:val="-7"/>
          <w:sz w:val="15"/>
          <w:szCs w:val="15"/>
        </w:rPr>
        <w:t>development;</w:t>
      </w:r>
      <w:r>
        <w:rPr>
          <w:rFonts w:ascii="Arial" w:hAnsi="Arial" w:eastAsia="Arial" w:cs="Arial"/>
          <w:spacing w:val="18"/>
          <w:w w:val="101"/>
          <w:sz w:val="15"/>
          <w:szCs w:val="15"/>
        </w:rPr>
        <w:t xml:space="preserve"> </w:t>
      </w:r>
      <w:r>
        <w:rPr>
          <w:rFonts w:ascii="Arial" w:hAnsi="Arial" w:eastAsia="Arial" w:cs="Arial"/>
          <w:spacing w:val="-7"/>
          <w:sz w:val="15"/>
          <w:szCs w:val="15"/>
        </w:rPr>
        <w:t>Pr</w:t>
      </w:r>
      <w:r>
        <w:rPr>
          <w:rFonts w:ascii="Arial" w:hAnsi="Arial" w:eastAsia="Arial" w:cs="Arial"/>
          <w:spacing w:val="-8"/>
          <w:sz w:val="15"/>
          <w:szCs w:val="15"/>
        </w:rPr>
        <w:t>ofessional</w:t>
      </w:r>
      <w:r>
        <w:rPr>
          <w:rFonts w:ascii="Arial" w:hAnsi="Arial" w:eastAsia="Arial" w:cs="Arial"/>
          <w:spacing w:val="18"/>
          <w:sz w:val="15"/>
          <w:szCs w:val="15"/>
        </w:rPr>
        <w:t xml:space="preserve"> </w:t>
      </w:r>
      <w:r>
        <w:rPr>
          <w:rFonts w:ascii="Arial" w:hAnsi="Arial" w:eastAsia="Arial" w:cs="Arial"/>
          <w:spacing w:val="-8"/>
          <w:sz w:val="15"/>
          <w:szCs w:val="15"/>
        </w:rPr>
        <w:t>EX = professional</w:t>
      </w:r>
      <w:r>
        <w:rPr>
          <w:rFonts w:ascii="Arial" w:hAnsi="Arial" w:eastAsia="Arial" w:cs="Arial"/>
          <w:spacing w:val="12"/>
          <w:w w:val="101"/>
          <w:sz w:val="15"/>
          <w:szCs w:val="15"/>
        </w:rPr>
        <w:t xml:space="preserve"> </w:t>
      </w:r>
      <w:r>
        <w:rPr>
          <w:rFonts w:ascii="Arial" w:hAnsi="Arial" w:eastAsia="Arial" w:cs="Arial"/>
          <w:spacing w:val="-8"/>
          <w:sz w:val="15"/>
          <w:szCs w:val="15"/>
        </w:rPr>
        <w:t>exchange.</w:t>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43" w:line="203" w:lineRule="auto"/>
        <w:ind w:left="2"/>
        <w:rPr>
          <w:rFonts w:ascii="Arial" w:hAnsi="Arial" w:eastAsia="Arial" w:cs="Arial"/>
          <w:sz w:val="15"/>
          <w:szCs w:val="15"/>
        </w:rPr>
      </w:pPr>
      <w:r>
        <w:rPr>
          <w:rFonts w:ascii="Arial" w:hAnsi="Arial" w:eastAsia="Arial" w:cs="Arial"/>
          <w:color w:val="282781"/>
          <w:spacing w:val="-7"/>
          <w:sz w:val="15"/>
          <w:szCs w:val="15"/>
        </w:rPr>
        <w:t>Table</w:t>
      </w:r>
      <w:r>
        <w:rPr>
          <w:rFonts w:ascii="Arial" w:hAnsi="Arial" w:eastAsia="Arial" w:cs="Arial"/>
          <w:color w:val="282781"/>
          <w:spacing w:val="10"/>
          <w:w w:val="101"/>
          <w:sz w:val="15"/>
          <w:szCs w:val="15"/>
        </w:rPr>
        <w:t xml:space="preserve"> </w:t>
      </w:r>
      <w:r>
        <w:rPr>
          <w:rFonts w:ascii="Arial" w:hAnsi="Arial" w:eastAsia="Arial" w:cs="Arial"/>
          <w:color w:val="282781"/>
          <w:spacing w:val="-7"/>
          <w:sz w:val="15"/>
          <w:szCs w:val="15"/>
        </w:rPr>
        <w:t>8.</w:t>
      </w:r>
      <w:r>
        <w:rPr>
          <w:rFonts w:ascii="Arial" w:hAnsi="Arial" w:eastAsia="Arial" w:cs="Arial"/>
          <w:color w:val="282781"/>
          <w:spacing w:val="11"/>
          <w:w w:val="101"/>
          <w:sz w:val="15"/>
          <w:szCs w:val="15"/>
        </w:rPr>
        <w:t xml:space="preserve"> </w:t>
      </w:r>
      <w:r>
        <w:rPr>
          <w:rFonts w:ascii="Arial" w:hAnsi="Arial" w:eastAsia="Arial" w:cs="Arial"/>
          <w:spacing w:val="-7"/>
          <w:sz w:val="15"/>
          <w:szCs w:val="15"/>
        </w:rPr>
        <w:t>SEM:</w:t>
      </w:r>
      <w:r>
        <w:rPr>
          <w:rFonts w:ascii="Arial" w:hAnsi="Arial" w:eastAsia="Arial" w:cs="Arial"/>
          <w:spacing w:val="12"/>
          <w:w w:val="101"/>
          <w:sz w:val="15"/>
          <w:szCs w:val="15"/>
        </w:rPr>
        <w:t xml:space="preserve"> </w:t>
      </w:r>
      <w:r>
        <w:rPr>
          <w:rFonts w:ascii="Arial" w:hAnsi="Arial" w:eastAsia="Arial" w:cs="Arial"/>
          <w:spacing w:val="-7"/>
          <w:sz w:val="15"/>
          <w:szCs w:val="15"/>
        </w:rPr>
        <w:t>standardized</w:t>
      </w:r>
      <w:r>
        <w:rPr>
          <w:rFonts w:ascii="Arial" w:hAnsi="Arial" w:eastAsia="Arial" w:cs="Arial"/>
          <w:spacing w:val="16"/>
          <w:w w:val="101"/>
          <w:sz w:val="15"/>
          <w:szCs w:val="15"/>
        </w:rPr>
        <w:t xml:space="preserve"> </w:t>
      </w:r>
      <w:r>
        <w:rPr>
          <w:rFonts w:ascii="Arial" w:hAnsi="Arial" w:eastAsia="Arial" w:cs="Arial"/>
          <w:spacing w:val="-7"/>
          <w:sz w:val="15"/>
          <w:szCs w:val="15"/>
        </w:rPr>
        <w:t>regression</w:t>
      </w:r>
      <w:r>
        <w:rPr>
          <w:rFonts w:ascii="Arial" w:hAnsi="Arial" w:eastAsia="Arial" w:cs="Arial"/>
          <w:spacing w:val="9"/>
          <w:sz w:val="15"/>
          <w:szCs w:val="15"/>
        </w:rPr>
        <w:t xml:space="preserve"> </w:t>
      </w:r>
      <w:r>
        <w:rPr>
          <w:rFonts w:ascii="Arial" w:hAnsi="Arial" w:eastAsia="Arial" w:cs="Arial"/>
          <w:spacing w:val="-7"/>
          <w:sz w:val="15"/>
          <w:szCs w:val="15"/>
        </w:rPr>
        <w:t>we</w:t>
      </w:r>
      <w:r>
        <w:rPr>
          <w:rFonts w:ascii="Arial" w:hAnsi="Arial" w:eastAsia="Arial" w:cs="Arial"/>
          <w:spacing w:val="-8"/>
          <w:sz w:val="15"/>
          <w:szCs w:val="15"/>
        </w:rPr>
        <w:t>ights.</w:t>
      </w:r>
    </w:p>
    <w:p>
      <w:pPr>
        <w:spacing w:line="27" w:lineRule="exact"/>
      </w:pPr>
    </w:p>
    <w:tbl>
      <w:tblPr>
        <w:tblStyle w:val="5"/>
        <w:tblW w:w="12127"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080"/>
        <w:gridCol w:w="909"/>
        <w:gridCol w:w="771"/>
        <w:gridCol w:w="975"/>
        <w:gridCol w:w="785"/>
        <w:gridCol w:w="849"/>
        <w:gridCol w:w="671"/>
        <w:gridCol w:w="982"/>
        <w:gridCol w:w="778"/>
        <w:gridCol w:w="968"/>
        <w:gridCol w:w="792"/>
        <w:gridCol w:w="954"/>
        <w:gridCol w:w="61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2" w:hRule="atLeast"/>
        </w:trPr>
        <w:tc>
          <w:tcPr>
            <w:tcW w:w="2080" w:type="dxa"/>
            <w:tcBorders>
              <w:top w:val="single" w:color="282781" w:sz="2" w:space="0"/>
              <w:bottom w:val="single" w:color="282781" w:sz="4" w:space="0"/>
            </w:tcBorders>
            <w:vAlign w:val="top"/>
          </w:tcPr>
          <w:p>
            <w:pPr>
              <w:spacing w:before="65" w:line="201" w:lineRule="auto"/>
              <w:ind w:left="808"/>
              <w:rPr>
                <w:rFonts w:ascii="Arial" w:hAnsi="Arial" w:eastAsia="Arial" w:cs="Arial"/>
                <w:sz w:val="15"/>
                <w:szCs w:val="15"/>
              </w:rPr>
            </w:pPr>
            <w:r>
              <w:rPr>
                <w:rFonts w:ascii="Arial" w:hAnsi="Arial" w:eastAsia="Arial" w:cs="Arial"/>
                <w:spacing w:val="-11"/>
                <w:sz w:val="15"/>
                <w:szCs w:val="15"/>
              </w:rPr>
              <w:t>Scale</w:t>
            </w:r>
          </w:p>
        </w:tc>
        <w:tc>
          <w:tcPr>
            <w:tcW w:w="1680" w:type="dxa"/>
            <w:gridSpan w:val="2"/>
            <w:tcBorders>
              <w:top w:val="single" w:color="282781" w:sz="2" w:space="0"/>
              <w:bottom w:val="single" w:color="282781" w:sz="4" w:space="0"/>
            </w:tcBorders>
            <w:vAlign w:val="top"/>
          </w:tcPr>
          <w:p>
            <w:pPr>
              <w:spacing w:before="69" w:line="196" w:lineRule="auto"/>
              <w:ind w:left="334"/>
              <w:rPr>
                <w:rFonts w:ascii="Arial" w:hAnsi="Arial" w:eastAsia="Arial" w:cs="Arial"/>
                <w:sz w:val="15"/>
                <w:szCs w:val="15"/>
              </w:rPr>
            </w:pPr>
            <w:r>
              <w:rPr>
                <w:rFonts w:ascii="Arial" w:hAnsi="Arial" w:eastAsia="Arial" w:cs="Arial"/>
                <w:spacing w:val="-8"/>
                <w:sz w:val="15"/>
                <w:szCs w:val="15"/>
              </w:rPr>
              <w:t>Commitment</w:t>
            </w:r>
            <w:r>
              <w:rPr>
                <w:rFonts w:ascii="Arial" w:hAnsi="Arial" w:eastAsia="Arial" w:cs="Arial"/>
                <w:spacing w:val="18"/>
                <w:w w:val="101"/>
                <w:sz w:val="15"/>
                <w:szCs w:val="15"/>
              </w:rPr>
              <w:t xml:space="preserve"> </w:t>
            </w:r>
            <w:r>
              <w:rPr>
                <w:rFonts w:ascii="Arial" w:hAnsi="Arial" w:eastAsia="Arial" w:cs="Arial"/>
                <w:spacing w:val="-8"/>
                <w:sz w:val="15"/>
                <w:szCs w:val="15"/>
              </w:rPr>
              <w:t>HEI</w:t>
            </w:r>
          </w:p>
        </w:tc>
        <w:tc>
          <w:tcPr>
            <w:tcW w:w="1760" w:type="dxa"/>
            <w:gridSpan w:val="2"/>
            <w:tcBorders>
              <w:top w:val="single" w:color="282781" w:sz="2" w:space="0"/>
              <w:bottom w:val="single" w:color="282781" w:sz="4" w:space="0"/>
            </w:tcBorders>
            <w:vAlign w:val="top"/>
          </w:tcPr>
          <w:p>
            <w:pPr>
              <w:spacing w:before="64" w:line="203" w:lineRule="auto"/>
              <w:ind w:left="425"/>
              <w:rPr>
                <w:rFonts w:ascii="Arial" w:hAnsi="Arial" w:eastAsia="Arial" w:cs="Arial"/>
                <w:sz w:val="15"/>
                <w:szCs w:val="15"/>
              </w:rPr>
            </w:pPr>
            <w:r>
              <w:rPr>
                <w:rFonts w:ascii="Arial" w:hAnsi="Arial" w:eastAsia="Arial" w:cs="Arial"/>
                <w:spacing w:val="-10"/>
                <w:sz w:val="15"/>
                <w:szCs w:val="15"/>
              </w:rPr>
              <w:t>Satisfaction</w:t>
            </w:r>
            <w:r>
              <w:rPr>
                <w:rFonts w:ascii="Arial" w:hAnsi="Arial" w:eastAsia="Arial" w:cs="Arial"/>
                <w:spacing w:val="29"/>
                <w:w w:val="102"/>
                <w:sz w:val="15"/>
                <w:szCs w:val="15"/>
              </w:rPr>
              <w:t xml:space="preserve"> </w:t>
            </w:r>
            <w:r>
              <w:rPr>
                <w:rFonts w:ascii="Arial" w:hAnsi="Arial" w:eastAsia="Arial" w:cs="Arial"/>
                <w:spacing w:val="-10"/>
                <w:sz w:val="15"/>
                <w:szCs w:val="15"/>
              </w:rPr>
              <w:t>HEI</w:t>
            </w:r>
          </w:p>
        </w:tc>
        <w:tc>
          <w:tcPr>
            <w:tcW w:w="1520" w:type="dxa"/>
            <w:gridSpan w:val="2"/>
            <w:tcBorders>
              <w:top w:val="single" w:color="282781" w:sz="2" w:space="0"/>
              <w:bottom w:val="single" w:color="282781" w:sz="4" w:space="0"/>
            </w:tcBorders>
            <w:vAlign w:val="top"/>
          </w:tcPr>
          <w:p>
            <w:pPr>
              <w:spacing w:before="65" w:line="201" w:lineRule="auto"/>
              <w:ind w:left="389"/>
              <w:rPr>
                <w:rFonts w:ascii="Arial" w:hAnsi="Arial" w:eastAsia="Arial" w:cs="Arial"/>
                <w:sz w:val="15"/>
                <w:szCs w:val="15"/>
              </w:rPr>
            </w:pPr>
            <w:r>
              <w:rPr>
                <w:rFonts w:ascii="Arial" w:hAnsi="Arial" w:eastAsia="Arial" w:cs="Arial"/>
                <w:spacing w:val="-8"/>
                <w:sz w:val="15"/>
                <w:szCs w:val="15"/>
              </w:rPr>
              <w:t>Global</w:t>
            </w:r>
            <w:r>
              <w:rPr>
                <w:rFonts w:ascii="Arial" w:hAnsi="Arial" w:eastAsia="Arial" w:cs="Arial"/>
                <w:spacing w:val="21"/>
                <w:w w:val="101"/>
                <w:sz w:val="15"/>
                <w:szCs w:val="15"/>
              </w:rPr>
              <w:t xml:space="preserve"> </w:t>
            </w:r>
            <w:r>
              <w:rPr>
                <w:rFonts w:ascii="Arial" w:hAnsi="Arial" w:eastAsia="Arial" w:cs="Arial"/>
                <w:spacing w:val="-8"/>
                <w:sz w:val="15"/>
                <w:szCs w:val="15"/>
              </w:rPr>
              <w:t>Items</w:t>
            </w:r>
          </w:p>
        </w:tc>
        <w:tc>
          <w:tcPr>
            <w:tcW w:w="1760" w:type="dxa"/>
            <w:gridSpan w:val="2"/>
            <w:tcBorders>
              <w:top w:val="single" w:color="282781" w:sz="2" w:space="0"/>
              <w:bottom w:val="single" w:color="282781" w:sz="4" w:space="0"/>
            </w:tcBorders>
            <w:vAlign w:val="top"/>
          </w:tcPr>
          <w:p>
            <w:pPr>
              <w:spacing w:before="64" w:line="203" w:lineRule="auto"/>
              <w:ind w:left="412"/>
              <w:rPr>
                <w:rFonts w:ascii="Arial" w:hAnsi="Arial" w:eastAsia="Arial" w:cs="Arial"/>
                <w:sz w:val="15"/>
                <w:szCs w:val="15"/>
              </w:rPr>
            </w:pPr>
            <w:r>
              <w:rPr>
                <w:rFonts w:ascii="Arial" w:hAnsi="Arial" w:eastAsia="Arial" w:cs="Arial"/>
                <w:spacing w:val="-9"/>
                <w:sz w:val="15"/>
                <w:szCs w:val="15"/>
              </w:rPr>
              <w:t>Satisfaction</w:t>
            </w:r>
            <w:r>
              <w:rPr>
                <w:rFonts w:ascii="Arial" w:hAnsi="Arial" w:eastAsia="Arial" w:cs="Arial"/>
                <w:spacing w:val="17"/>
                <w:w w:val="101"/>
                <w:sz w:val="15"/>
                <w:szCs w:val="15"/>
              </w:rPr>
              <w:t xml:space="preserve"> </w:t>
            </w:r>
            <w:r>
              <w:rPr>
                <w:rFonts w:ascii="Arial" w:hAnsi="Arial" w:eastAsia="Arial" w:cs="Arial"/>
                <w:spacing w:val="-9"/>
                <w:sz w:val="15"/>
                <w:szCs w:val="15"/>
              </w:rPr>
              <w:t>JOB</w:t>
            </w:r>
          </w:p>
        </w:tc>
        <w:tc>
          <w:tcPr>
            <w:tcW w:w="1760" w:type="dxa"/>
            <w:gridSpan w:val="2"/>
            <w:tcBorders>
              <w:top w:val="single" w:color="282781" w:sz="2" w:space="0"/>
              <w:bottom w:val="single" w:color="282781" w:sz="4" w:space="0"/>
            </w:tcBorders>
            <w:vAlign w:val="top"/>
          </w:tcPr>
          <w:p>
            <w:pPr>
              <w:spacing w:before="69" w:line="196" w:lineRule="auto"/>
              <w:ind w:left="547"/>
              <w:rPr>
                <w:rFonts w:ascii="Arial" w:hAnsi="Arial" w:eastAsia="Arial" w:cs="Arial"/>
                <w:sz w:val="15"/>
                <w:szCs w:val="15"/>
              </w:rPr>
            </w:pPr>
            <w:r>
              <w:rPr>
                <w:rFonts w:ascii="Arial" w:hAnsi="Arial" w:eastAsia="Arial" w:cs="Arial"/>
                <w:spacing w:val="-11"/>
                <w:w w:val="97"/>
                <w:sz w:val="15"/>
                <w:szCs w:val="15"/>
              </w:rPr>
              <w:t>Career</w:t>
            </w:r>
            <w:r>
              <w:rPr>
                <w:rFonts w:ascii="Arial" w:hAnsi="Arial" w:eastAsia="Arial" w:cs="Arial"/>
                <w:spacing w:val="19"/>
                <w:w w:val="101"/>
                <w:sz w:val="15"/>
                <w:szCs w:val="15"/>
              </w:rPr>
              <w:t xml:space="preserve"> </w:t>
            </w:r>
            <w:r>
              <w:rPr>
                <w:rFonts w:ascii="Arial" w:hAnsi="Arial" w:eastAsia="Arial" w:cs="Arial"/>
                <w:spacing w:val="-11"/>
                <w:w w:val="97"/>
                <w:sz w:val="15"/>
                <w:szCs w:val="15"/>
              </w:rPr>
              <w:t>DEV</w:t>
            </w:r>
          </w:p>
        </w:tc>
        <w:tc>
          <w:tcPr>
            <w:tcW w:w="1567" w:type="dxa"/>
            <w:gridSpan w:val="2"/>
            <w:tcBorders>
              <w:top w:val="single" w:color="282781" w:sz="2" w:space="0"/>
              <w:bottom w:val="single" w:color="282781" w:sz="4" w:space="0"/>
            </w:tcBorders>
            <w:vAlign w:val="top"/>
          </w:tcPr>
          <w:p>
            <w:pPr>
              <w:spacing w:before="64" w:line="203" w:lineRule="auto"/>
              <w:ind w:left="571"/>
              <w:rPr>
                <w:rFonts w:ascii="Arial" w:hAnsi="Arial" w:eastAsia="Arial" w:cs="Arial"/>
                <w:sz w:val="15"/>
                <w:szCs w:val="15"/>
              </w:rPr>
            </w:pPr>
            <w:r>
              <w:rPr>
                <w:rFonts w:ascii="Arial" w:hAnsi="Arial" w:eastAsia="Arial" w:cs="Arial"/>
                <w:spacing w:val="-10"/>
                <w:w w:val="94"/>
                <w:sz w:val="15"/>
                <w:szCs w:val="15"/>
              </w:rPr>
              <w:t>Prof</w:t>
            </w:r>
            <w:r>
              <w:rPr>
                <w:rFonts w:ascii="Arial" w:hAnsi="Arial" w:eastAsia="Arial" w:cs="Arial"/>
                <w:spacing w:val="14"/>
                <w:w w:val="101"/>
                <w:sz w:val="15"/>
                <w:szCs w:val="15"/>
              </w:rPr>
              <w:t xml:space="preserve"> </w:t>
            </w:r>
            <w:r>
              <w:rPr>
                <w:rFonts w:ascii="Arial" w:hAnsi="Arial" w:eastAsia="Arial" w:cs="Arial"/>
                <w:spacing w:val="-10"/>
                <w:w w:val="94"/>
                <w:sz w:val="15"/>
                <w:szCs w:val="15"/>
              </w:rPr>
              <w:t>EXCH</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2" w:hRule="atLeast"/>
        </w:trPr>
        <w:tc>
          <w:tcPr>
            <w:tcW w:w="2080" w:type="dxa"/>
            <w:tcBorders>
              <w:top w:val="single" w:color="282781" w:sz="4" w:space="0"/>
              <w:bottom w:val="single" w:color="282781" w:sz="4" w:space="0"/>
            </w:tcBorders>
            <w:vAlign w:val="top"/>
          </w:tcPr>
          <w:p>
            <w:pPr>
              <w:spacing w:line="222" w:lineRule="exact"/>
              <w:rPr>
                <w:rFonts w:ascii="Arial"/>
                <w:sz w:val="19"/>
              </w:rPr>
            </w:pPr>
          </w:p>
        </w:tc>
        <w:tc>
          <w:tcPr>
            <w:tcW w:w="909" w:type="dxa"/>
            <w:tcBorders>
              <w:top w:val="single" w:color="282781" w:sz="4" w:space="0"/>
              <w:bottom w:val="single" w:color="282781" w:sz="4" w:space="0"/>
            </w:tcBorders>
            <w:vAlign w:val="top"/>
          </w:tcPr>
          <w:p>
            <w:pPr>
              <w:spacing w:before="41" w:line="228" w:lineRule="auto"/>
              <w:ind w:left="429"/>
              <w:rPr>
                <w:rFonts w:ascii="Arial" w:hAnsi="Arial" w:eastAsia="Arial" w:cs="Arial"/>
                <w:sz w:val="15"/>
                <w:szCs w:val="15"/>
              </w:rPr>
            </w:pPr>
            <w:r>
              <w:rPr>
                <w:rFonts w:ascii="Arial" w:hAnsi="Arial" w:eastAsia="Arial" w:cs="Arial"/>
                <w:sz w:val="15"/>
                <w:szCs w:val="15"/>
              </w:rPr>
              <w:t>β</w:t>
            </w:r>
          </w:p>
        </w:tc>
        <w:tc>
          <w:tcPr>
            <w:tcW w:w="771" w:type="dxa"/>
            <w:tcBorders>
              <w:top w:val="single" w:color="282781" w:sz="4" w:space="0"/>
              <w:bottom w:val="single" w:color="282781" w:sz="4" w:space="0"/>
            </w:tcBorders>
            <w:vAlign w:val="top"/>
          </w:tcPr>
          <w:p>
            <w:pPr>
              <w:spacing w:before="30" w:line="180" w:lineRule="exact"/>
              <w:ind w:left="372"/>
              <w:rPr>
                <w:rFonts w:ascii="Arial" w:hAnsi="Arial" w:eastAsia="Arial" w:cs="Arial"/>
                <w:sz w:val="15"/>
                <w:szCs w:val="15"/>
              </w:rPr>
            </w:pPr>
            <w:r>
              <w:rPr>
                <w:rFonts w:ascii="Arial" w:hAnsi="Arial" w:eastAsia="Arial" w:cs="Arial"/>
                <w:spacing w:val="4"/>
                <w:sz w:val="15"/>
                <w:szCs w:val="15"/>
              </w:rPr>
              <w:t>t</w:t>
            </w:r>
          </w:p>
        </w:tc>
        <w:tc>
          <w:tcPr>
            <w:tcW w:w="975" w:type="dxa"/>
            <w:tcBorders>
              <w:top w:val="single" w:color="282781" w:sz="4" w:space="0"/>
              <w:bottom w:val="single" w:color="282781" w:sz="4" w:space="0"/>
            </w:tcBorders>
            <w:vAlign w:val="top"/>
          </w:tcPr>
          <w:p>
            <w:pPr>
              <w:spacing w:before="41" w:line="228" w:lineRule="auto"/>
              <w:ind w:left="464"/>
              <w:rPr>
                <w:rFonts w:ascii="Arial" w:hAnsi="Arial" w:eastAsia="Arial" w:cs="Arial"/>
                <w:sz w:val="15"/>
                <w:szCs w:val="15"/>
              </w:rPr>
            </w:pPr>
            <w:r>
              <w:rPr>
                <w:rFonts w:ascii="Arial" w:hAnsi="Arial" w:eastAsia="Arial" w:cs="Arial"/>
                <w:sz w:val="15"/>
                <w:szCs w:val="15"/>
              </w:rPr>
              <w:t>β</w:t>
            </w:r>
          </w:p>
        </w:tc>
        <w:tc>
          <w:tcPr>
            <w:tcW w:w="785" w:type="dxa"/>
            <w:tcBorders>
              <w:top w:val="single" w:color="282781" w:sz="4" w:space="0"/>
              <w:bottom w:val="single" w:color="282781" w:sz="4" w:space="0"/>
            </w:tcBorders>
            <w:vAlign w:val="top"/>
          </w:tcPr>
          <w:p>
            <w:pPr>
              <w:spacing w:before="30" w:line="180" w:lineRule="exact"/>
              <w:ind w:left="372"/>
              <w:rPr>
                <w:rFonts w:ascii="Arial" w:hAnsi="Arial" w:eastAsia="Arial" w:cs="Arial"/>
                <w:sz w:val="15"/>
                <w:szCs w:val="15"/>
              </w:rPr>
            </w:pPr>
            <w:r>
              <w:rPr>
                <w:rFonts w:ascii="Arial" w:hAnsi="Arial" w:eastAsia="Arial" w:cs="Arial"/>
                <w:spacing w:val="4"/>
                <w:sz w:val="15"/>
                <w:szCs w:val="15"/>
              </w:rPr>
              <w:t>t</w:t>
            </w:r>
          </w:p>
        </w:tc>
        <w:tc>
          <w:tcPr>
            <w:tcW w:w="849" w:type="dxa"/>
            <w:tcBorders>
              <w:top w:val="single" w:color="282781" w:sz="4" w:space="0"/>
              <w:bottom w:val="single" w:color="282781" w:sz="4" w:space="0"/>
            </w:tcBorders>
            <w:vAlign w:val="top"/>
          </w:tcPr>
          <w:p>
            <w:pPr>
              <w:spacing w:before="41" w:line="228" w:lineRule="auto"/>
              <w:ind w:left="397"/>
              <w:rPr>
                <w:rFonts w:ascii="Arial" w:hAnsi="Arial" w:eastAsia="Arial" w:cs="Arial"/>
                <w:sz w:val="15"/>
                <w:szCs w:val="15"/>
              </w:rPr>
            </w:pPr>
            <w:r>
              <w:rPr>
                <w:rFonts w:ascii="Arial" w:hAnsi="Arial" w:eastAsia="Arial" w:cs="Arial"/>
                <w:sz w:val="15"/>
                <w:szCs w:val="15"/>
              </w:rPr>
              <w:t>β</w:t>
            </w:r>
          </w:p>
        </w:tc>
        <w:tc>
          <w:tcPr>
            <w:tcW w:w="671" w:type="dxa"/>
            <w:tcBorders>
              <w:top w:val="single" w:color="282781" w:sz="4" w:space="0"/>
              <w:bottom w:val="single" w:color="282781" w:sz="4" w:space="0"/>
            </w:tcBorders>
            <w:vAlign w:val="top"/>
          </w:tcPr>
          <w:p>
            <w:pPr>
              <w:spacing w:before="30" w:line="180" w:lineRule="exact"/>
              <w:ind w:left="322"/>
              <w:rPr>
                <w:rFonts w:ascii="Arial" w:hAnsi="Arial" w:eastAsia="Arial" w:cs="Arial"/>
                <w:sz w:val="15"/>
                <w:szCs w:val="15"/>
              </w:rPr>
            </w:pPr>
            <w:r>
              <w:rPr>
                <w:rFonts w:ascii="Arial" w:hAnsi="Arial" w:eastAsia="Arial" w:cs="Arial"/>
                <w:spacing w:val="4"/>
                <w:sz w:val="15"/>
                <w:szCs w:val="15"/>
              </w:rPr>
              <w:t>t</w:t>
            </w:r>
          </w:p>
        </w:tc>
        <w:tc>
          <w:tcPr>
            <w:tcW w:w="982" w:type="dxa"/>
            <w:tcBorders>
              <w:top w:val="single" w:color="282781" w:sz="4" w:space="0"/>
              <w:bottom w:val="single" w:color="282781" w:sz="4" w:space="0"/>
            </w:tcBorders>
            <w:vAlign w:val="top"/>
          </w:tcPr>
          <w:p>
            <w:pPr>
              <w:spacing w:before="41" w:line="228" w:lineRule="auto"/>
              <w:ind w:left="467"/>
              <w:rPr>
                <w:rFonts w:ascii="Arial" w:hAnsi="Arial" w:eastAsia="Arial" w:cs="Arial"/>
                <w:sz w:val="15"/>
                <w:szCs w:val="15"/>
              </w:rPr>
            </w:pPr>
            <w:r>
              <w:rPr>
                <w:rFonts w:ascii="Arial" w:hAnsi="Arial" w:eastAsia="Arial" w:cs="Arial"/>
                <w:sz w:val="15"/>
                <w:szCs w:val="15"/>
              </w:rPr>
              <w:t>β</w:t>
            </w:r>
          </w:p>
        </w:tc>
        <w:tc>
          <w:tcPr>
            <w:tcW w:w="778" w:type="dxa"/>
            <w:tcBorders>
              <w:top w:val="single" w:color="282781" w:sz="4" w:space="0"/>
              <w:bottom w:val="single" w:color="282781" w:sz="4" w:space="0"/>
            </w:tcBorders>
            <w:vAlign w:val="top"/>
          </w:tcPr>
          <w:p>
            <w:pPr>
              <w:spacing w:before="30" w:line="180" w:lineRule="exact"/>
              <w:ind w:left="372"/>
              <w:rPr>
                <w:rFonts w:ascii="Arial" w:hAnsi="Arial" w:eastAsia="Arial" w:cs="Arial"/>
                <w:sz w:val="15"/>
                <w:szCs w:val="15"/>
              </w:rPr>
            </w:pPr>
            <w:r>
              <w:rPr>
                <w:rFonts w:ascii="Arial" w:hAnsi="Arial" w:eastAsia="Arial" w:cs="Arial"/>
                <w:spacing w:val="4"/>
                <w:sz w:val="15"/>
                <w:szCs w:val="15"/>
              </w:rPr>
              <w:t>t</w:t>
            </w:r>
          </w:p>
        </w:tc>
        <w:tc>
          <w:tcPr>
            <w:tcW w:w="968" w:type="dxa"/>
            <w:tcBorders>
              <w:top w:val="single" w:color="282781" w:sz="4" w:space="0"/>
              <w:bottom w:val="single" w:color="282781" w:sz="4" w:space="0"/>
            </w:tcBorders>
            <w:vAlign w:val="top"/>
          </w:tcPr>
          <w:p>
            <w:pPr>
              <w:spacing w:before="41" w:line="228" w:lineRule="auto"/>
              <w:ind w:left="459"/>
              <w:rPr>
                <w:rFonts w:ascii="Arial" w:hAnsi="Arial" w:eastAsia="Arial" w:cs="Arial"/>
                <w:sz w:val="15"/>
                <w:szCs w:val="15"/>
              </w:rPr>
            </w:pPr>
            <w:r>
              <w:rPr>
                <w:rFonts w:ascii="Arial" w:hAnsi="Arial" w:eastAsia="Arial" w:cs="Arial"/>
                <w:sz w:val="15"/>
                <w:szCs w:val="15"/>
              </w:rPr>
              <w:t>β</w:t>
            </w:r>
          </w:p>
        </w:tc>
        <w:tc>
          <w:tcPr>
            <w:tcW w:w="792" w:type="dxa"/>
            <w:tcBorders>
              <w:top w:val="single" w:color="282781" w:sz="4" w:space="0"/>
              <w:bottom w:val="single" w:color="282781" w:sz="4" w:space="0"/>
            </w:tcBorders>
            <w:vAlign w:val="top"/>
          </w:tcPr>
          <w:p>
            <w:pPr>
              <w:spacing w:before="30" w:line="180" w:lineRule="exact"/>
              <w:ind w:left="372"/>
              <w:rPr>
                <w:rFonts w:ascii="Arial" w:hAnsi="Arial" w:eastAsia="Arial" w:cs="Arial"/>
                <w:sz w:val="15"/>
                <w:szCs w:val="15"/>
              </w:rPr>
            </w:pPr>
            <w:r>
              <w:rPr>
                <w:rFonts w:ascii="Arial" w:hAnsi="Arial" w:eastAsia="Arial" w:cs="Arial"/>
                <w:spacing w:val="4"/>
                <w:sz w:val="15"/>
                <w:szCs w:val="15"/>
              </w:rPr>
              <w:t>t</w:t>
            </w:r>
          </w:p>
        </w:tc>
        <w:tc>
          <w:tcPr>
            <w:tcW w:w="954" w:type="dxa"/>
            <w:tcBorders>
              <w:top w:val="single" w:color="282781" w:sz="4" w:space="0"/>
              <w:bottom w:val="single" w:color="282781" w:sz="4" w:space="0"/>
            </w:tcBorders>
            <w:vAlign w:val="top"/>
          </w:tcPr>
          <w:p>
            <w:pPr>
              <w:spacing w:before="41" w:line="228" w:lineRule="auto"/>
              <w:ind w:left="445"/>
              <w:rPr>
                <w:rFonts w:ascii="Arial" w:hAnsi="Arial" w:eastAsia="Arial" w:cs="Arial"/>
                <w:sz w:val="15"/>
                <w:szCs w:val="15"/>
              </w:rPr>
            </w:pPr>
            <w:r>
              <w:rPr>
                <w:rFonts w:ascii="Arial" w:hAnsi="Arial" w:eastAsia="Arial" w:cs="Arial"/>
                <w:sz w:val="15"/>
                <w:szCs w:val="15"/>
              </w:rPr>
              <w:t>β</w:t>
            </w:r>
          </w:p>
        </w:tc>
        <w:tc>
          <w:tcPr>
            <w:tcW w:w="613" w:type="dxa"/>
            <w:tcBorders>
              <w:top w:val="single" w:color="282781" w:sz="4" w:space="0"/>
              <w:bottom w:val="single" w:color="282781" w:sz="4" w:space="0"/>
            </w:tcBorders>
            <w:vAlign w:val="top"/>
          </w:tcPr>
          <w:p>
            <w:pPr>
              <w:spacing w:before="30" w:line="180" w:lineRule="exact"/>
              <w:ind w:left="372"/>
              <w:rPr>
                <w:rFonts w:ascii="Arial" w:hAnsi="Arial" w:eastAsia="Arial" w:cs="Arial"/>
                <w:sz w:val="15"/>
                <w:szCs w:val="15"/>
              </w:rPr>
            </w:pPr>
            <w:r>
              <w:rPr>
                <w:rFonts w:ascii="Arial" w:hAnsi="Arial" w:eastAsia="Arial" w:cs="Arial"/>
                <w:spacing w:val="4"/>
                <w:sz w:val="15"/>
                <w:szCs w:val="15"/>
              </w:rPr>
              <w:t>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78" w:hRule="atLeast"/>
        </w:trPr>
        <w:tc>
          <w:tcPr>
            <w:tcW w:w="2080" w:type="dxa"/>
            <w:vMerge w:val="restart"/>
            <w:tcBorders>
              <w:top w:val="single" w:color="282781" w:sz="4" w:space="0"/>
              <w:bottom w:val="nil"/>
            </w:tcBorders>
            <w:vAlign w:val="top"/>
          </w:tcPr>
          <w:p>
            <w:pPr>
              <w:spacing w:before="55" w:line="226" w:lineRule="auto"/>
              <w:ind w:left="6" w:right="399" w:firstLine="8"/>
              <w:rPr>
                <w:rFonts w:ascii="Arial" w:hAnsi="Arial" w:eastAsia="Arial" w:cs="Arial"/>
                <w:sz w:val="15"/>
                <w:szCs w:val="15"/>
              </w:rPr>
            </w:pPr>
            <w:r>
              <w:rPr>
                <w:rFonts w:ascii="Arial" w:hAnsi="Arial" w:eastAsia="Arial" w:cs="Arial"/>
                <w:spacing w:val="-9"/>
                <w:sz w:val="15"/>
                <w:szCs w:val="15"/>
              </w:rPr>
              <w:t>1</w:t>
            </w:r>
            <w:r>
              <w:rPr>
                <w:rFonts w:ascii="Arial" w:hAnsi="Arial" w:eastAsia="Arial" w:cs="Arial"/>
                <w:spacing w:val="5"/>
                <w:sz w:val="15"/>
                <w:szCs w:val="15"/>
              </w:rPr>
              <w:t xml:space="preserve">        </w:t>
            </w:r>
            <w:r>
              <w:rPr>
                <w:rFonts w:ascii="Arial" w:hAnsi="Arial" w:eastAsia="Arial" w:cs="Arial"/>
                <w:spacing w:val="-9"/>
                <w:sz w:val="15"/>
                <w:szCs w:val="15"/>
              </w:rPr>
              <w:t>Leadership</w:t>
            </w:r>
            <w:r>
              <w:rPr>
                <w:rFonts w:ascii="Arial" w:hAnsi="Arial" w:eastAsia="Arial" w:cs="Arial"/>
                <w:spacing w:val="19"/>
                <w:sz w:val="15"/>
                <w:szCs w:val="15"/>
              </w:rPr>
              <w:t xml:space="preserve"> </w:t>
            </w:r>
            <w:r>
              <w:rPr>
                <w:rFonts w:ascii="Arial" w:hAnsi="Arial" w:eastAsia="Arial" w:cs="Arial"/>
                <w:spacing w:val="-9"/>
                <w:sz w:val="15"/>
                <w:szCs w:val="15"/>
              </w:rPr>
              <w:t>behavior</w:t>
            </w:r>
            <w:r>
              <w:rPr>
                <w:rFonts w:ascii="Arial" w:hAnsi="Arial" w:eastAsia="Arial" w:cs="Arial"/>
                <w:sz w:val="15"/>
                <w:szCs w:val="15"/>
              </w:rPr>
              <w:t xml:space="preserve"> </w:t>
            </w:r>
            <w:r>
              <w:rPr>
                <w:rFonts w:ascii="Arial" w:hAnsi="Arial" w:eastAsia="Arial" w:cs="Arial"/>
                <w:spacing w:val="-7"/>
                <w:sz w:val="15"/>
                <w:szCs w:val="15"/>
              </w:rPr>
              <w:t>2</w:t>
            </w:r>
            <w:r>
              <w:rPr>
                <w:rFonts w:ascii="Arial" w:hAnsi="Arial" w:eastAsia="Arial" w:cs="Arial"/>
                <w:spacing w:val="4"/>
                <w:sz w:val="15"/>
                <w:szCs w:val="15"/>
              </w:rPr>
              <w:t xml:space="preserve">        </w:t>
            </w:r>
            <w:r>
              <w:rPr>
                <w:rFonts w:ascii="Arial" w:hAnsi="Arial" w:eastAsia="Arial" w:cs="Arial"/>
                <w:spacing w:val="-7"/>
                <w:sz w:val="15"/>
                <w:szCs w:val="15"/>
              </w:rPr>
              <w:t>Communication</w:t>
            </w:r>
          </w:p>
        </w:tc>
        <w:tc>
          <w:tcPr>
            <w:tcW w:w="909" w:type="dxa"/>
            <w:tcBorders>
              <w:top w:val="single" w:color="282781" w:sz="4" w:space="0"/>
            </w:tcBorders>
            <w:vAlign w:val="top"/>
          </w:tcPr>
          <w:p>
            <w:pPr>
              <w:spacing w:before="59" w:line="108" w:lineRule="exact"/>
              <w:ind w:left="246"/>
              <w:rPr>
                <w:rFonts w:ascii="Arial" w:hAnsi="Arial" w:eastAsia="Arial" w:cs="Arial"/>
                <w:sz w:val="15"/>
                <w:szCs w:val="15"/>
              </w:rPr>
            </w:pPr>
            <w:r>
              <w:rPr>
                <w:rFonts w:ascii="Arial" w:hAnsi="Arial" w:eastAsia="Arial" w:cs="Arial"/>
                <w:spacing w:val="2"/>
                <w:position w:val="-2"/>
                <w:sz w:val="15"/>
                <w:szCs w:val="15"/>
              </w:rPr>
              <w:t>.205***</w:t>
            </w:r>
          </w:p>
        </w:tc>
        <w:tc>
          <w:tcPr>
            <w:tcW w:w="771" w:type="dxa"/>
            <w:tcBorders>
              <w:top w:val="single" w:color="282781" w:sz="4" w:space="0"/>
            </w:tcBorders>
            <w:vAlign w:val="top"/>
          </w:tcPr>
          <w:p>
            <w:pPr>
              <w:spacing w:before="64" w:line="103" w:lineRule="exact"/>
              <w:ind w:left="284"/>
              <w:rPr>
                <w:rFonts w:ascii="Arial" w:hAnsi="Arial" w:eastAsia="Arial" w:cs="Arial"/>
                <w:sz w:val="15"/>
                <w:szCs w:val="15"/>
              </w:rPr>
            </w:pPr>
            <w:r>
              <w:rPr>
                <w:rFonts w:ascii="Arial" w:hAnsi="Arial" w:eastAsia="Arial" w:cs="Arial"/>
                <w:spacing w:val="-8"/>
                <w:position w:val="-2"/>
                <w:sz w:val="15"/>
                <w:szCs w:val="15"/>
              </w:rPr>
              <w:t>4.551</w:t>
            </w:r>
          </w:p>
        </w:tc>
        <w:tc>
          <w:tcPr>
            <w:tcW w:w="975" w:type="dxa"/>
            <w:tcBorders>
              <w:top w:val="single" w:color="282781" w:sz="4" w:space="0"/>
            </w:tcBorders>
            <w:vAlign w:val="top"/>
          </w:tcPr>
          <w:p>
            <w:pPr>
              <w:spacing w:before="59" w:line="108" w:lineRule="exact"/>
              <w:ind w:left="312"/>
              <w:rPr>
                <w:rFonts w:ascii="Arial" w:hAnsi="Arial" w:eastAsia="Arial" w:cs="Arial"/>
                <w:sz w:val="15"/>
                <w:szCs w:val="15"/>
              </w:rPr>
            </w:pPr>
            <w:r>
              <w:rPr>
                <w:rFonts w:ascii="Arial" w:hAnsi="Arial" w:eastAsia="Arial" w:cs="Arial"/>
                <w:spacing w:val="2"/>
                <w:position w:val="-2"/>
                <w:sz w:val="15"/>
                <w:szCs w:val="15"/>
              </w:rPr>
              <w:t>.340***</w:t>
            </w:r>
          </w:p>
        </w:tc>
        <w:tc>
          <w:tcPr>
            <w:tcW w:w="785" w:type="dxa"/>
            <w:tcBorders>
              <w:top w:val="single" w:color="282781" w:sz="4" w:space="0"/>
            </w:tcBorders>
            <w:vAlign w:val="top"/>
          </w:tcPr>
          <w:p>
            <w:pPr>
              <w:spacing w:before="63" w:line="104" w:lineRule="exact"/>
              <w:ind w:left="290"/>
              <w:rPr>
                <w:rFonts w:ascii="Arial" w:hAnsi="Arial" w:eastAsia="Arial" w:cs="Arial"/>
                <w:sz w:val="15"/>
                <w:szCs w:val="15"/>
              </w:rPr>
            </w:pPr>
            <w:r>
              <w:rPr>
                <w:rFonts w:ascii="Arial" w:hAnsi="Arial" w:eastAsia="Arial" w:cs="Arial"/>
                <w:spacing w:val="-9"/>
                <w:position w:val="-2"/>
                <w:sz w:val="15"/>
                <w:szCs w:val="15"/>
              </w:rPr>
              <w:t>7.640</w:t>
            </w:r>
          </w:p>
        </w:tc>
        <w:tc>
          <w:tcPr>
            <w:tcW w:w="849" w:type="dxa"/>
            <w:tcBorders>
              <w:top w:val="single" w:color="282781" w:sz="4" w:space="0"/>
            </w:tcBorders>
            <w:vAlign w:val="top"/>
          </w:tcPr>
          <w:p>
            <w:pPr>
              <w:spacing w:before="59" w:line="108" w:lineRule="exact"/>
              <w:ind w:left="191"/>
              <w:rPr>
                <w:rFonts w:ascii="Arial" w:hAnsi="Arial" w:eastAsia="Arial" w:cs="Arial"/>
                <w:sz w:val="15"/>
                <w:szCs w:val="15"/>
              </w:rPr>
            </w:pPr>
            <w:r>
              <w:rPr>
                <w:rFonts w:ascii="Arial" w:hAnsi="Arial" w:eastAsia="Arial" w:cs="Arial"/>
                <w:spacing w:val="2"/>
                <w:position w:val="-2"/>
                <w:sz w:val="15"/>
                <w:szCs w:val="15"/>
              </w:rPr>
              <w:t>.263***</w:t>
            </w:r>
          </w:p>
        </w:tc>
        <w:tc>
          <w:tcPr>
            <w:tcW w:w="671" w:type="dxa"/>
            <w:tcBorders>
              <w:top w:val="single" w:color="282781" w:sz="4" w:space="0"/>
            </w:tcBorders>
            <w:vAlign w:val="top"/>
          </w:tcPr>
          <w:p>
            <w:pPr>
              <w:spacing w:before="63" w:line="104" w:lineRule="exact"/>
              <w:ind w:left="183"/>
              <w:rPr>
                <w:rFonts w:ascii="Arial" w:hAnsi="Arial" w:eastAsia="Arial" w:cs="Arial"/>
                <w:sz w:val="15"/>
                <w:szCs w:val="15"/>
              </w:rPr>
            </w:pPr>
            <w:r>
              <w:rPr>
                <w:rFonts w:ascii="Arial" w:hAnsi="Arial" w:eastAsia="Arial" w:cs="Arial"/>
                <w:spacing w:val="-8"/>
                <w:position w:val="-2"/>
                <w:sz w:val="15"/>
                <w:szCs w:val="15"/>
              </w:rPr>
              <w:t>5.900</w:t>
            </w:r>
          </w:p>
        </w:tc>
        <w:tc>
          <w:tcPr>
            <w:tcW w:w="982" w:type="dxa"/>
            <w:tcBorders>
              <w:top w:val="single" w:color="282781" w:sz="4" w:space="0"/>
            </w:tcBorders>
            <w:vAlign w:val="top"/>
          </w:tcPr>
          <w:p>
            <w:pPr>
              <w:spacing w:before="59" w:line="108" w:lineRule="exact"/>
              <w:ind w:left="320"/>
              <w:rPr>
                <w:rFonts w:ascii="Arial" w:hAnsi="Arial" w:eastAsia="Arial" w:cs="Arial"/>
                <w:sz w:val="15"/>
                <w:szCs w:val="15"/>
              </w:rPr>
            </w:pPr>
            <w:r>
              <w:rPr>
                <w:rFonts w:ascii="Arial" w:hAnsi="Arial" w:eastAsia="Arial" w:cs="Arial"/>
                <w:spacing w:val="1"/>
                <w:position w:val="-2"/>
                <w:sz w:val="15"/>
                <w:szCs w:val="15"/>
              </w:rPr>
              <w:t>.483***</w:t>
            </w:r>
          </w:p>
        </w:tc>
        <w:tc>
          <w:tcPr>
            <w:tcW w:w="778" w:type="dxa"/>
            <w:tcBorders>
              <w:top w:val="single" w:color="282781" w:sz="4" w:space="0"/>
            </w:tcBorders>
            <w:vAlign w:val="top"/>
          </w:tcPr>
          <w:p>
            <w:pPr>
              <w:spacing w:before="63" w:line="104" w:lineRule="exact"/>
              <w:ind w:left="223"/>
              <w:rPr>
                <w:rFonts w:ascii="Arial" w:hAnsi="Arial" w:eastAsia="Arial" w:cs="Arial"/>
                <w:sz w:val="15"/>
                <w:szCs w:val="15"/>
              </w:rPr>
            </w:pPr>
            <w:r>
              <w:rPr>
                <w:rFonts w:ascii="Arial" w:hAnsi="Arial" w:eastAsia="Arial" w:cs="Arial"/>
                <w:spacing w:val="-10"/>
                <w:position w:val="-2"/>
                <w:sz w:val="15"/>
                <w:szCs w:val="15"/>
              </w:rPr>
              <w:t>11.716</w:t>
            </w:r>
          </w:p>
        </w:tc>
        <w:tc>
          <w:tcPr>
            <w:tcW w:w="968" w:type="dxa"/>
            <w:tcBorders>
              <w:top w:val="single" w:color="282781" w:sz="4" w:space="0"/>
            </w:tcBorders>
            <w:vAlign w:val="top"/>
          </w:tcPr>
          <w:p>
            <w:pPr>
              <w:spacing w:before="59" w:line="108" w:lineRule="exact"/>
              <w:ind w:left="306"/>
              <w:rPr>
                <w:rFonts w:ascii="Arial" w:hAnsi="Arial" w:eastAsia="Arial" w:cs="Arial"/>
                <w:sz w:val="15"/>
                <w:szCs w:val="15"/>
              </w:rPr>
            </w:pPr>
            <w:r>
              <w:rPr>
                <w:rFonts w:ascii="Arial" w:hAnsi="Arial" w:eastAsia="Arial" w:cs="Arial"/>
                <w:spacing w:val="1"/>
                <w:position w:val="-2"/>
                <w:sz w:val="15"/>
                <w:szCs w:val="15"/>
              </w:rPr>
              <w:t>.554***</w:t>
            </w:r>
          </w:p>
        </w:tc>
        <w:tc>
          <w:tcPr>
            <w:tcW w:w="792" w:type="dxa"/>
            <w:tcBorders>
              <w:top w:val="single" w:color="282781" w:sz="4" w:space="0"/>
            </w:tcBorders>
            <w:vAlign w:val="top"/>
          </w:tcPr>
          <w:p>
            <w:pPr>
              <w:spacing w:before="63" w:line="104" w:lineRule="exact"/>
              <w:ind w:left="222"/>
              <w:rPr>
                <w:rFonts w:ascii="Arial" w:hAnsi="Arial" w:eastAsia="Arial" w:cs="Arial"/>
                <w:sz w:val="15"/>
                <w:szCs w:val="15"/>
              </w:rPr>
            </w:pPr>
            <w:r>
              <w:rPr>
                <w:rFonts w:ascii="Arial" w:hAnsi="Arial" w:eastAsia="Arial" w:cs="Arial"/>
                <w:spacing w:val="-10"/>
                <w:position w:val="-2"/>
                <w:sz w:val="15"/>
                <w:szCs w:val="15"/>
              </w:rPr>
              <w:t>13.254</w:t>
            </w:r>
          </w:p>
        </w:tc>
        <w:tc>
          <w:tcPr>
            <w:tcW w:w="954" w:type="dxa"/>
            <w:tcBorders>
              <w:top w:val="single" w:color="282781" w:sz="4" w:space="0"/>
            </w:tcBorders>
            <w:vAlign w:val="top"/>
          </w:tcPr>
          <w:p>
            <w:pPr>
              <w:spacing w:before="59" w:line="108" w:lineRule="exact"/>
              <w:ind w:left="292"/>
              <w:rPr>
                <w:rFonts w:ascii="Arial" w:hAnsi="Arial" w:eastAsia="Arial" w:cs="Arial"/>
                <w:sz w:val="15"/>
                <w:szCs w:val="15"/>
              </w:rPr>
            </w:pPr>
            <w:r>
              <w:rPr>
                <w:rFonts w:ascii="Arial" w:hAnsi="Arial" w:eastAsia="Arial" w:cs="Arial"/>
                <w:spacing w:val="1"/>
                <w:position w:val="-2"/>
                <w:sz w:val="15"/>
                <w:szCs w:val="15"/>
              </w:rPr>
              <w:t>.330***</w:t>
            </w:r>
          </w:p>
        </w:tc>
        <w:tc>
          <w:tcPr>
            <w:tcW w:w="613" w:type="dxa"/>
            <w:tcBorders>
              <w:top w:val="single" w:color="282781" w:sz="4" w:space="0"/>
            </w:tcBorders>
            <w:vAlign w:val="top"/>
          </w:tcPr>
          <w:p>
            <w:pPr>
              <w:spacing w:before="63" w:line="104" w:lineRule="exact"/>
              <w:jc w:val="right"/>
              <w:rPr>
                <w:rFonts w:ascii="Arial" w:hAnsi="Arial" w:eastAsia="Arial" w:cs="Arial"/>
                <w:sz w:val="15"/>
                <w:szCs w:val="15"/>
              </w:rPr>
            </w:pPr>
            <w:r>
              <w:rPr>
                <w:rFonts w:ascii="Arial" w:hAnsi="Arial" w:eastAsia="Arial" w:cs="Arial"/>
                <w:spacing w:val="-12"/>
                <w:position w:val="-2"/>
                <w:sz w:val="15"/>
                <w:szCs w:val="15"/>
              </w:rPr>
              <w:t>7.26</w:t>
            </w:r>
            <w:r>
              <w:rPr>
                <w:rFonts w:ascii="Arial" w:hAnsi="Arial" w:eastAsia="Arial" w:cs="Arial"/>
                <w:spacing w:val="-7"/>
                <w:position w:val="-2"/>
                <w:sz w:val="15"/>
                <w:szCs w:val="15"/>
              </w:rPr>
              <w:t>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6" w:hRule="atLeast"/>
        </w:trPr>
        <w:tc>
          <w:tcPr>
            <w:tcW w:w="2080" w:type="dxa"/>
            <w:vMerge w:val="continue"/>
            <w:tcBorders>
              <w:top w:val="nil"/>
            </w:tcBorders>
            <w:vAlign w:val="top"/>
          </w:tcPr>
          <w:p>
            <w:pPr>
              <w:rPr>
                <w:rFonts w:ascii="Arial"/>
                <w:sz w:val="21"/>
              </w:rPr>
            </w:pPr>
          </w:p>
        </w:tc>
        <w:tc>
          <w:tcPr>
            <w:tcW w:w="909" w:type="dxa"/>
            <w:vAlign w:val="top"/>
          </w:tcPr>
          <w:p>
            <w:pPr>
              <w:spacing w:before="61" w:line="196" w:lineRule="auto"/>
              <w:ind w:left="246"/>
              <w:rPr>
                <w:rFonts w:ascii="Arial" w:hAnsi="Arial" w:eastAsia="Arial" w:cs="Arial"/>
                <w:sz w:val="15"/>
                <w:szCs w:val="15"/>
              </w:rPr>
            </w:pPr>
            <w:r>
              <w:rPr>
                <w:rFonts w:ascii="Arial" w:hAnsi="Arial" w:eastAsia="Arial" w:cs="Arial"/>
                <w:spacing w:val="2"/>
                <w:sz w:val="15"/>
                <w:szCs w:val="15"/>
              </w:rPr>
              <w:t>.148***</w:t>
            </w:r>
          </w:p>
        </w:tc>
        <w:tc>
          <w:tcPr>
            <w:tcW w:w="771" w:type="dxa"/>
            <w:vAlign w:val="top"/>
          </w:tcPr>
          <w:p>
            <w:pPr>
              <w:spacing w:before="65" w:line="191" w:lineRule="auto"/>
              <w:ind w:left="287"/>
              <w:rPr>
                <w:rFonts w:ascii="Arial" w:hAnsi="Arial" w:eastAsia="Arial" w:cs="Arial"/>
                <w:sz w:val="15"/>
                <w:szCs w:val="15"/>
              </w:rPr>
            </w:pPr>
            <w:r>
              <w:rPr>
                <w:rFonts w:ascii="Arial" w:hAnsi="Arial" w:eastAsia="Arial" w:cs="Arial"/>
                <w:spacing w:val="-8"/>
                <w:sz w:val="15"/>
                <w:szCs w:val="15"/>
              </w:rPr>
              <w:t>3.772</w:t>
            </w:r>
          </w:p>
        </w:tc>
        <w:tc>
          <w:tcPr>
            <w:tcW w:w="975" w:type="dxa"/>
            <w:vAlign w:val="top"/>
          </w:tcPr>
          <w:p>
            <w:pPr>
              <w:spacing w:before="61" w:line="196" w:lineRule="auto"/>
              <w:ind w:left="312"/>
              <w:rPr>
                <w:rFonts w:ascii="Arial" w:hAnsi="Arial" w:eastAsia="Arial" w:cs="Arial"/>
                <w:sz w:val="15"/>
                <w:szCs w:val="15"/>
              </w:rPr>
            </w:pPr>
            <w:r>
              <w:rPr>
                <w:rFonts w:ascii="Arial" w:hAnsi="Arial" w:eastAsia="Arial" w:cs="Arial"/>
                <w:spacing w:val="2"/>
                <w:sz w:val="15"/>
                <w:szCs w:val="15"/>
              </w:rPr>
              <w:t>.250***</w:t>
            </w:r>
          </w:p>
        </w:tc>
        <w:tc>
          <w:tcPr>
            <w:tcW w:w="785" w:type="dxa"/>
            <w:vAlign w:val="top"/>
          </w:tcPr>
          <w:p>
            <w:pPr>
              <w:spacing w:before="65" w:line="191" w:lineRule="auto"/>
              <w:ind w:left="287"/>
              <w:rPr>
                <w:rFonts w:ascii="Arial" w:hAnsi="Arial" w:eastAsia="Arial" w:cs="Arial"/>
                <w:sz w:val="15"/>
                <w:szCs w:val="15"/>
              </w:rPr>
            </w:pPr>
            <w:r>
              <w:rPr>
                <w:rFonts w:ascii="Arial" w:hAnsi="Arial" w:eastAsia="Arial" w:cs="Arial"/>
                <w:spacing w:val="-8"/>
                <w:sz w:val="15"/>
                <w:szCs w:val="15"/>
              </w:rPr>
              <w:t>6.469</w:t>
            </w:r>
          </w:p>
        </w:tc>
        <w:tc>
          <w:tcPr>
            <w:tcW w:w="849" w:type="dxa"/>
            <w:vAlign w:val="top"/>
          </w:tcPr>
          <w:p>
            <w:pPr>
              <w:spacing w:before="61" w:line="196" w:lineRule="auto"/>
              <w:ind w:left="190"/>
              <w:rPr>
                <w:rFonts w:ascii="Arial" w:hAnsi="Arial" w:eastAsia="Arial" w:cs="Arial"/>
                <w:sz w:val="15"/>
                <w:szCs w:val="15"/>
              </w:rPr>
            </w:pPr>
            <w:r>
              <w:rPr>
                <w:rFonts w:ascii="Arial" w:hAnsi="Arial" w:eastAsia="Arial" w:cs="Arial"/>
                <w:spacing w:val="2"/>
                <w:sz w:val="15"/>
                <w:szCs w:val="15"/>
              </w:rPr>
              <w:t>.202***</w:t>
            </w:r>
          </w:p>
        </w:tc>
        <w:tc>
          <w:tcPr>
            <w:tcW w:w="671" w:type="dxa"/>
            <w:vAlign w:val="top"/>
          </w:tcPr>
          <w:p>
            <w:pPr>
              <w:spacing w:before="65" w:line="191" w:lineRule="auto"/>
              <w:ind w:left="183"/>
              <w:rPr>
                <w:rFonts w:ascii="Arial" w:hAnsi="Arial" w:eastAsia="Arial" w:cs="Arial"/>
                <w:sz w:val="15"/>
                <w:szCs w:val="15"/>
              </w:rPr>
            </w:pPr>
            <w:r>
              <w:rPr>
                <w:rFonts w:ascii="Arial" w:hAnsi="Arial" w:eastAsia="Arial" w:cs="Arial"/>
                <w:spacing w:val="-8"/>
                <w:sz w:val="15"/>
                <w:szCs w:val="15"/>
              </w:rPr>
              <w:t>5.230</w:t>
            </w:r>
          </w:p>
        </w:tc>
        <w:tc>
          <w:tcPr>
            <w:tcW w:w="982" w:type="dxa"/>
            <w:vAlign w:val="top"/>
          </w:tcPr>
          <w:p>
            <w:pPr>
              <w:spacing w:before="61" w:line="199" w:lineRule="auto"/>
              <w:ind w:left="320"/>
              <w:rPr>
                <w:rFonts w:ascii="Arial" w:hAnsi="Arial" w:eastAsia="Arial" w:cs="Arial"/>
                <w:sz w:val="15"/>
                <w:szCs w:val="15"/>
              </w:rPr>
            </w:pPr>
            <w:r>
              <w:rPr>
                <w:rFonts w:ascii="Arial" w:hAnsi="Arial" w:eastAsia="Arial" w:cs="Arial"/>
                <w:spacing w:val="1"/>
                <w:sz w:val="15"/>
                <w:szCs w:val="15"/>
              </w:rPr>
              <w:t>.214***</w:t>
            </w:r>
          </w:p>
        </w:tc>
        <w:tc>
          <w:tcPr>
            <w:tcW w:w="778" w:type="dxa"/>
            <w:vAlign w:val="top"/>
          </w:tcPr>
          <w:p>
            <w:pPr>
              <w:spacing w:before="65" w:line="191" w:lineRule="auto"/>
              <w:ind w:left="287"/>
              <w:rPr>
                <w:rFonts w:ascii="Arial" w:hAnsi="Arial" w:eastAsia="Arial" w:cs="Arial"/>
                <w:sz w:val="15"/>
                <w:szCs w:val="15"/>
              </w:rPr>
            </w:pPr>
            <w:r>
              <w:rPr>
                <w:rFonts w:ascii="Arial" w:hAnsi="Arial" w:eastAsia="Arial" w:cs="Arial"/>
                <w:spacing w:val="-8"/>
                <w:sz w:val="15"/>
                <w:szCs w:val="15"/>
              </w:rPr>
              <w:t>5.974</w:t>
            </w:r>
          </w:p>
        </w:tc>
        <w:tc>
          <w:tcPr>
            <w:tcW w:w="968" w:type="dxa"/>
            <w:vAlign w:val="top"/>
          </w:tcPr>
          <w:p>
            <w:pPr>
              <w:pStyle w:val="6"/>
              <w:spacing w:before="16" w:line="186" w:lineRule="auto"/>
              <w:ind w:left="201"/>
              <w:rPr>
                <w:rFonts w:ascii="Arial" w:hAnsi="Arial" w:eastAsia="Arial" w:cs="Arial"/>
                <w:sz w:val="15"/>
                <w:szCs w:val="15"/>
              </w:rPr>
            </w:pPr>
            <w:r>
              <w:rPr>
                <w:spacing w:val="-9"/>
                <w:sz w:val="15"/>
                <w:szCs w:val="15"/>
              </w:rPr>
              <w:t>−</w:t>
            </w:r>
            <w:r>
              <w:rPr>
                <w:rFonts w:ascii="Arial" w:hAnsi="Arial" w:eastAsia="Arial" w:cs="Arial"/>
                <w:spacing w:val="-9"/>
                <w:sz w:val="15"/>
                <w:szCs w:val="15"/>
              </w:rPr>
              <w:t>.047</w:t>
            </w:r>
          </w:p>
        </w:tc>
        <w:tc>
          <w:tcPr>
            <w:tcW w:w="792" w:type="dxa"/>
            <w:vAlign w:val="top"/>
          </w:tcPr>
          <w:p>
            <w:pPr>
              <w:pStyle w:val="6"/>
              <w:spacing w:before="16" w:line="186" w:lineRule="auto"/>
              <w:ind w:left="184"/>
              <w:rPr>
                <w:rFonts w:ascii="Arial" w:hAnsi="Arial" w:eastAsia="Arial" w:cs="Arial"/>
                <w:sz w:val="15"/>
                <w:szCs w:val="15"/>
              </w:rPr>
            </w:pPr>
            <w:r>
              <w:rPr>
                <w:spacing w:val="-9"/>
                <w:sz w:val="15"/>
                <w:szCs w:val="15"/>
              </w:rPr>
              <w:t>−</w:t>
            </w:r>
            <w:r>
              <w:rPr>
                <w:rFonts w:ascii="Arial" w:hAnsi="Arial" w:eastAsia="Arial" w:cs="Arial"/>
                <w:spacing w:val="-9"/>
                <w:sz w:val="15"/>
                <w:szCs w:val="15"/>
              </w:rPr>
              <w:t>1.292</w:t>
            </w:r>
          </w:p>
        </w:tc>
        <w:tc>
          <w:tcPr>
            <w:tcW w:w="954" w:type="dxa"/>
            <w:vAlign w:val="top"/>
          </w:tcPr>
          <w:p>
            <w:pPr>
              <w:spacing w:before="61" w:line="196" w:lineRule="auto"/>
              <w:ind w:left="292"/>
              <w:rPr>
                <w:rFonts w:ascii="Arial" w:hAnsi="Arial" w:eastAsia="Arial" w:cs="Arial"/>
                <w:sz w:val="15"/>
                <w:szCs w:val="15"/>
              </w:rPr>
            </w:pPr>
            <w:r>
              <w:rPr>
                <w:rFonts w:ascii="Arial" w:hAnsi="Arial" w:eastAsia="Arial" w:cs="Arial"/>
                <w:spacing w:val="-2"/>
                <w:sz w:val="15"/>
                <w:szCs w:val="15"/>
              </w:rPr>
              <w:t>.083*</w:t>
            </w:r>
          </w:p>
        </w:tc>
        <w:tc>
          <w:tcPr>
            <w:tcW w:w="613" w:type="dxa"/>
            <w:vAlign w:val="top"/>
          </w:tcPr>
          <w:p>
            <w:pPr>
              <w:spacing w:before="65" w:line="191" w:lineRule="auto"/>
              <w:jc w:val="right"/>
              <w:rPr>
                <w:rFonts w:ascii="Arial" w:hAnsi="Arial" w:eastAsia="Arial" w:cs="Arial"/>
                <w:sz w:val="15"/>
                <w:szCs w:val="15"/>
              </w:rPr>
            </w:pPr>
            <w:r>
              <w:rPr>
                <w:rFonts w:ascii="Arial" w:hAnsi="Arial" w:eastAsia="Arial" w:cs="Arial"/>
                <w:spacing w:val="-12"/>
                <w:sz w:val="15"/>
                <w:szCs w:val="15"/>
              </w:rPr>
              <w:t>2.1</w:t>
            </w:r>
            <w:r>
              <w:rPr>
                <w:rFonts w:ascii="Arial" w:hAnsi="Arial" w:eastAsia="Arial" w:cs="Arial"/>
                <w:spacing w:val="-11"/>
                <w:sz w:val="15"/>
                <w:szCs w:val="15"/>
              </w:rPr>
              <w:t>2</w:t>
            </w:r>
            <w:r>
              <w:rPr>
                <w:rFonts w:ascii="Arial" w:hAnsi="Arial" w:eastAsia="Arial" w:cs="Arial"/>
                <w:spacing w:val="-8"/>
                <w:sz w:val="15"/>
                <w:szCs w:val="15"/>
              </w:rPr>
              <w:t>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1" w:hRule="atLeast"/>
        </w:trPr>
        <w:tc>
          <w:tcPr>
            <w:tcW w:w="2080" w:type="dxa"/>
            <w:vMerge w:val="restart"/>
            <w:tcBorders>
              <w:bottom w:val="nil"/>
            </w:tcBorders>
            <w:vAlign w:val="top"/>
          </w:tcPr>
          <w:p>
            <w:pPr>
              <w:spacing w:before="16" w:line="179" w:lineRule="exact"/>
              <w:ind w:left="5"/>
              <w:rPr>
                <w:rFonts w:ascii="Arial" w:hAnsi="Arial" w:eastAsia="Arial" w:cs="Arial"/>
                <w:sz w:val="15"/>
                <w:szCs w:val="15"/>
              </w:rPr>
            </w:pPr>
            <w:r>
              <w:rPr>
                <w:rFonts w:ascii="Arial" w:hAnsi="Arial" w:eastAsia="Arial" w:cs="Arial"/>
                <w:spacing w:val="-9"/>
                <w:position w:val="3"/>
                <w:sz w:val="15"/>
                <w:szCs w:val="15"/>
              </w:rPr>
              <w:t>3</w:t>
            </w:r>
            <w:r>
              <w:rPr>
                <w:rFonts w:ascii="Arial" w:hAnsi="Arial" w:eastAsia="Arial" w:cs="Arial"/>
                <w:spacing w:val="4"/>
                <w:position w:val="3"/>
                <w:sz w:val="15"/>
                <w:szCs w:val="15"/>
              </w:rPr>
              <w:t xml:space="preserve">        </w:t>
            </w:r>
            <w:r>
              <w:rPr>
                <w:rFonts w:ascii="Arial" w:hAnsi="Arial" w:eastAsia="Arial" w:cs="Arial"/>
                <w:spacing w:val="-9"/>
                <w:position w:val="3"/>
                <w:sz w:val="15"/>
                <w:szCs w:val="15"/>
              </w:rPr>
              <w:t>Engagement</w:t>
            </w:r>
          </w:p>
          <w:p>
            <w:pPr>
              <w:spacing w:line="195" w:lineRule="auto"/>
              <w:ind w:left="2"/>
              <w:rPr>
                <w:rFonts w:ascii="Arial" w:hAnsi="Arial" w:eastAsia="Arial" w:cs="Arial"/>
                <w:sz w:val="15"/>
                <w:szCs w:val="15"/>
              </w:rPr>
            </w:pPr>
            <w:r>
              <w:rPr>
                <w:rFonts w:ascii="Arial" w:hAnsi="Arial" w:eastAsia="Arial" w:cs="Arial"/>
                <w:spacing w:val="-4"/>
                <w:sz w:val="15"/>
                <w:szCs w:val="15"/>
              </w:rPr>
              <w:t>4         Commitment</w:t>
            </w:r>
          </w:p>
          <w:p>
            <w:pPr>
              <w:spacing w:before="36" w:line="227" w:lineRule="auto"/>
              <w:ind w:left="3" w:right="163" w:firstLine="1"/>
              <w:rPr>
                <w:rFonts w:ascii="Arial" w:hAnsi="Arial" w:eastAsia="Arial" w:cs="Arial"/>
                <w:sz w:val="15"/>
                <w:szCs w:val="15"/>
              </w:rPr>
            </w:pPr>
            <w:r>
              <w:rPr>
                <w:rFonts w:ascii="Arial" w:hAnsi="Arial" w:eastAsia="Arial" w:cs="Arial"/>
                <w:spacing w:val="-8"/>
                <w:sz w:val="15"/>
                <w:szCs w:val="15"/>
              </w:rPr>
              <w:t>5</w:t>
            </w:r>
            <w:r>
              <w:rPr>
                <w:rFonts w:ascii="Arial" w:hAnsi="Arial" w:eastAsia="Arial" w:cs="Arial"/>
                <w:spacing w:val="4"/>
                <w:sz w:val="15"/>
                <w:szCs w:val="15"/>
              </w:rPr>
              <w:t xml:space="preserve">        </w:t>
            </w:r>
            <w:r>
              <w:rPr>
                <w:rFonts w:ascii="Arial" w:hAnsi="Arial" w:eastAsia="Arial" w:cs="Arial"/>
                <w:spacing w:val="-8"/>
                <w:sz w:val="15"/>
                <w:szCs w:val="15"/>
              </w:rPr>
              <w:t>Leadership</w:t>
            </w:r>
            <w:r>
              <w:rPr>
                <w:rFonts w:ascii="Arial" w:hAnsi="Arial" w:eastAsia="Arial" w:cs="Arial"/>
                <w:spacing w:val="19"/>
                <w:w w:val="101"/>
                <w:sz w:val="15"/>
                <w:szCs w:val="15"/>
              </w:rPr>
              <w:t xml:space="preserve"> </w:t>
            </w:r>
            <w:r>
              <w:rPr>
                <w:rFonts w:ascii="Arial" w:hAnsi="Arial" w:eastAsia="Arial" w:cs="Arial"/>
                <w:spacing w:val="-8"/>
                <w:sz w:val="15"/>
                <w:szCs w:val="15"/>
              </w:rPr>
              <w:t>expectations</w:t>
            </w:r>
            <w:r>
              <w:rPr>
                <w:rFonts w:ascii="Arial" w:hAnsi="Arial" w:eastAsia="Arial" w:cs="Arial"/>
                <w:sz w:val="15"/>
                <w:szCs w:val="15"/>
              </w:rPr>
              <w:t xml:space="preserve"> </w:t>
            </w:r>
            <w:r>
              <w:rPr>
                <w:rFonts w:ascii="Arial" w:hAnsi="Arial" w:eastAsia="Arial" w:cs="Arial"/>
                <w:spacing w:val="-6"/>
                <w:sz w:val="15"/>
                <w:szCs w:val="15"/>
              </w:rPr>
              <w:t>6</w:t>
            </w:r>
            <w:r>
              <w:rPr>
                <w:rFonts w:ascii="Arial" w:hAnsi="Arial" w:eastAsia="Arial" w:cs="Arial"/>
                <w:spacing w:val="5"/>
                <w:sz w:val="15"/>
                <w:szCs w:val="15"/>
              </w:rPr>
              <w:t xml:space="preserve">        </w:t>
            </w:r>
            <w:r>
              <w:rPr>
                <w:rFonts w:ascii="Arial" w:hAnsi="Arial" w:eastAsia="Arial" w:cs="Arial"/>
                <w:spacing w:val="-6"/>
                <w:sz w:val="15"/>
                <w:szCs w:val="15"/>
              </w:rPr>
              <w:t>Participation</w:t>
            </w:r>
          </w:p>
          <w:p>
            <w:pPr>
              <w:spacing w:before="13" w:line="228" w:lineRule="auto"/>
              <w:ind w:left="435"/>
              <w:rPr>
                <w:rFonts w:ascii="Arial" w:hAnsi="Arial" w:eastAsia="Arial" w:cs="Arial"/>
                <w:sz w:val="15"/>
                <w:szCs w:val="15"/>
              </w:rPr>
            </w:pPr>
            <w:r>
              <w:rPr>
                <w:rFonts w:ascii="Arial" w:hAnsi="Arial" w:eastAsia="Arial" w:cs="Arial"/>
                <w:spacing w:val="-9"/>
                <w:sz w:val="15"/>
                <w:szCs w:val="15"/>
              </w:rPr>
              <w:t>Construct</w:t>
            </w:r>
            <w:r>
              <w:rPr>
                <w:rFonts w:ascii="Arial" w:hAnsi="Arial" w:eastAsia="Arial" w:cs="Arial"/>
                <w:spacing w:val="20"/>
                <w:sz w:val="15"/>
                <w:szCs w:val="15"/>
              </w:rPr>
              <w:t xml:space="preserve"> </w:t>
            </w:r>
            <w:r>
              <w:rPr>
                <w:rFonts w:ascii="Arial" w:hAnsi="Arial" w:eastAsia="Arial" w:cs="Arial"/>
                <w:spacing w:val="-9"/>
                <w:sz w:val="15"/>
                <w:szCs w:val="15"/>
              </w:rPr>
              <w:t>R²</w:t>
            </w:r>
          </w:p>
        </w:tc>
        <w:tc>
          <w:tcPr>
            <w:tcW w:w="909" w:type="dxa"/>
            <w:vAlign w:val="top"/>
          </w:tcPr>
          <w:p>
            <w:pPr>
              <w:spacing w:before="14" w:line="107" w:lineRule="exact"/>
              <w:ind w:left="246"/>
              <w:rPr>
                <w:rFonts w:ascii="Arial" w:hAnsi="Arial" w:eastAsia="Arial" w:cs="Arial"/>
                <w:sz w:val="15"/>
                <w:szCs w:val="15"/>
              </w:rPr>
            </w:pPr>
            <w:r>
              <w:rPr>
                <w:rFonts w:ascii="Arial" w:hAnsi="Arial" w:eastAsia="Arial" w:cs="Arial"/>
                <w:position w:val="-2"/>
                <w:sz w:val="15"/>
                <w:szCs w:val="15"/>
              </w:rPr>
              <w:t>.120**</w:t>
            </w:r>
          </w:p>
        </w:tc>
        <w:tc>
          <w:tcPr>
            <w:tcW w:w="771" w:type="dxa"/>
            <w:vAlign w:val="top"/>
          </w:tcPr>
          <w:p>
            <w:pPr>
              <w:spacing w:before="18" w:line="103" w:lineRule="exact"/>
              <w:ind w:left="288"/>
              <w:rPr>
                <w:rFonts w:ascii="Arial" w:hAnsi="Arial" w:eastAsia="Arial" w:cs="Arial"/>
                <w:sz w:val="15"/>
                <w:szCs w:val="15"/>
              </w:rPr>
            </w:pPr>
            <w:r>
              <w:rPr>
                <w:rFonts w:ascii="Arial" w:hAnsi="Arial" w:eastAsia="Arial" w:cs="Arial"/>
                <w:spacing w:val="-8"/>
                <w:position w:val="-2"/>
                <w:sz w:val="15"/>
                <w:szCs w:val="15"/>
              </w:rPr>
              <w:t>2.752</w:t>
            </w:r>
          </w:p>
        </w:tc>
        <w:tc>
          <w:tcPr>
            <w:tcW w:w="975" w:type="dxa"/>
            <w:vAlign w:val="top"/>
          </w:tcPr>
          <w:p>
            <w:pPr>
              <w:spacing w:before="18" w:line="103" w:lineRule="exact"/>
              <w:ind w:left="312"/>
              <w:rPr>
                <w:rFonts w:ascii="Arial" w:hAnsi="Arial" w:eastAsia="Arial" w:cs="Arial"/>
                <w:sz w:val="15"/>
                <w:szCs w:val="15"/>
              </w:rPr>
            </w:pPr>
            <w:r>
              <w:rPr>
                <w:rFonts w:ascii="Arial" w:hAnsi="Arial" w:eastAsia="Arial" w:cs="Arial"/>
                <w:spacing w:val="-8"/>
                <w:position w:val="-2"/>
                <w:sz w:val="15"/>
                <w:szCs w:val="15"/>
              </w:rPr>
              <w:t>.014</w:t>
            </w:r>
          </w:p>
        </w:tc>
        <w:tc>
          <w:tcPr>
            <w:tcW w:w="785" w:type="dxa"/>
            <w:vAlign w:val="top"/>
          </w:tcPr>
          <w:p>
            <w:pPr>
              <w:spacing w:before="18" w:line="103" w:lineRule="exact"/>
              <w:ind w:left="287"/>
              <w:rPr>
                <w:rFonts w:ascii="Arial" w:hAnsi="Arial" w:eastAsia="Arial" w:cs="Arial"/>
                <w:sz w:val="15"/>
                <w:szCs w:val="15"/>
              </w:rPr>
            </w:pPr>
            <w:r>
              <w:rPr>
                <w:rFonts w:ascii="Arial" w:hAnsi="Arial" w:eastAsia="Arial" w:cs="Arial"/>
                <w:spacing w:val="-8"/>
                <w:position w:val="-2"/>
                <w:sz w:val="15"/>
                <w:szCs w:val="15"/>
              </w:rPr>
              <w:t>0.322</w:t>
            </w:r>
          </w:p>
        </w:tc>
        <w:tc>
          <w:tcPr>
            <w:tcW w:w="849" w:type="dxa"/>
            <w:vAlign w:val="top"/>
          </w:tcPr>
          <w:p>
            <w:pPr>
              <w:spacing w:before="18" w:line="103" w:lineRule="exact"/>
              <w:ind w:left="190"/>
              <w:rPr>
                <w:rFonts w:ascii="Arial" w:hAnsi="Arial" w:eastAsia="Arial" w:cs="Arial"/>
                <w:sz w:val="15"/>
                <w:szCs w:val="15"/>
              </w:rPr>
            </w:pPr>
            <w:r>
              <w:rPr>
                <w:rFonts w:ascii="Arial" w:hAnsi="Arial" w:eastAsia="Arial" w:cs="Arial"/>
                <w:spacing w:val="-8"/>
                <w:position w:val="-2"/>
                <w:sz w:val="15"/>
                <w:szCs w:val="15"/>
              </w:rPr>
              <w:t>.007</w:t>
            </w:r>
          </w:p>
        </w:tc>
        <w:tc>
          <w:tcPr>
            <w:tcW w:w="671" w:type="dxa"/>
            <w:vAlign w:val="top"/>
          </w:tcPr>
          <w:p>
            <w:pPr>
              <w:spacing w:before="18" w:line="103" w:lineRule="exact"/>
              <w:ind w:left="182"/>
              <w:rPr>
                <w:rFonts w:ascii="Arial" w:hAnsi="Arial" w:eastAsia="Arial" w:cs="Arial"/>
                <w:sz w:val="15"/>
                <w:szCs w:val="15"/>
              </w:rPr>
            </w:pPr>
            <w:r>
              <w:rPr>
                <w:rFonts w:ascii="Arial" w:hAnsi="Arial" w:eastAsia="Arial" w:cs="Arial"/>
                <w:spacing w:val="-8"/>
                <w:position w:val="-2"/>
                <w:sz w:val="15"/>
                <w:szCs w:val="15"/>
              </w:rPr>
              <w:t>0.172</w:t>
            </w:r>
          </w:p>
        </w:tc>
        <w:tc>
          <w:tcPr>
            <w:tcW w:w="982" w:type="dxa"/>
            <w:vAlign w:val="top"/>
          </w:tcPr>
          <w:p>
            <w:pPr>
              <w:spacing w:before="14" w:line="107" w:lineRule="exact"/>
              <w:ind w:left="320"/>
              <w:rPr>
                <w:rFonts w:ascii="Arial" w:hAnsi="Arial" w:eastAsia="Arial" w:cs="Arial"/>
                <w:sz w:val="15"/>
                <w:szCs w:val="15"/>
              </w:rPr>
            </w:pPr>
            <w:r>
              <w:rPr>
                <w:rFonts w:ascii="Arial" w:hAnsi="Arial" w:eastAsia="Arial" w:cs="Arial"/>
                <w:position w:val="-2"/>
                <w:sz w:val="15"/>
                <w:szCs w:val="15"/>
              </w:rPr>
              <w:t>.120**</w:t>
            </w:r>
          </w:p>
        </w:tc>
        <w:tc>
          <w:tcPr>
            <w:tcW w:w="778" w:type="dxa"/>
            <w:vAlign w:val="top"/>
          </w:tcPr>
          <w:p>
            <w:pPr>
              <w:spacing w:before="18" w:line="103" w:lineRule="exact"/>
              <w:ind w:left="287"/>
              <w:rPr>
                <w:rFonts w:ascii="Arial" w:hAnsi="Arial" w:eastAsia="Arial" w:cs="Arial"/>
                <w:sz w:val="15"/>
                <w:szCs w:val="15"/>
              </w:rPr>
            </w:pPr>
            <w:r>
              <w:rPr>
                <w:rFonts w:ascii="Arial" w:hAnsi="Arial" w:eastAsia="Arial" w:cs="Arial"/>
                <w:spacing w:val="-8"/>
                <w:position w:val="-2"/>
                <w:sz w:val="15"/>
                <w:szCs w:val="15"/>
              </w:rPr>
              <w:t>3.027</w:t>
            </w:r>
          </w:p>
        </w:tc>
        <w:tc>
          <w:tcPr>
            <w:tcW w:w="968" w:type="dxa"/>
            <w:vAlign w:val="top"/>
          </w:tcPr>
          <w:p>
            <w:pPr>
              <w:spacing w:before="18" w:line="103" w:lineRule="exact"/>
              <w:ind w:left="306"/>
              <w:rPr>
                <w:rFonts w:ascii="Arial" w:hAnsi="Arial" w:eastAsia="Arial" w:cs="Arial"/>
                <w:sz w:val="15"/>
                <w:szCs w:val="15"/>
              </w:rPr>
            </w:pPr>
            <w:r>
              <w:rPr>
                <w:rFonts w:ascii="Arial" w:hAnsi="Arial" w:eastAsia="Arial" w:cs="Arial"/>
                <w:spacing w:val="-9"/>
                <w:position w:val="-2"/>
                <w:sz w:val="15"/>
                <w:szCs w:val="15"/>
              </w:rPr>
              <w:t>.044</w:t>
            </w:r>
          </w:p>
        </w:tc>
        <w:tc>
          <w:tcPr>
            <w:tcW w:w="792" w:type="dxa"/>
            <w:vAlign w:val="top"/>
          </w:tcPr>
          <w:p>
            <w:pPr>
              <w:spacing w:before="18" w:line="103" w:lineRule="exact"/>
              <w:ind w:left="296"/>
              <w:rPr>
                <w:rFonts w:ascii="Arial" w:hAnsi="Arial" w:eastAsia="Arial" w:cs="Arial"/>
                <w:sz w:val="15"/>
                <w:szCs w:val="15"/>
              </w:rPr>
            </w:pPr>
            <w:r>
              <w:rPr>
                <w:rFonts w:ascii="Arial" w:hAnsi="Arial" w:eastAsia="Arial" w:cs="Arial"/>
                <w:spacing w:val="-10"/>
                <w:position w:val="-2"/>
                <w:sz w:val="15"/>
                <w:szCs w:val="15"/>
              </w:rPr>
              <w:t>1.099</w:t>
            </w:r>
          </w:p>
        </w:tc>
        <w:tc>
          <w:tcPr>
            <w:tcW w:w="954" w:type="dxa"/>
            <w:vAlign w:val="top"/>
          </w:tcPr>
          <w:p>
            <w:pPr>
              <w:spacing w:before="18" w:line="103" w:lineRule="exact"/>
              <w:ind w:left="293"/>
              <w:rPr>
                <w:rFonts w:ascii="Arial" w:hAnsi="Arial" w:eastAsia="Arial" w:cs="Arial"/>
                <w:sz w:val="15"/>
                <w:szCs w:val="15"/>
              </w:rPr>
            </w:pPr>
            <w:r>
              <w:rPr>
                <w:rFonts w:ascii="Arial" w:hAnsi="Arial" w:eastAsia="Arial" w:cs="Arial"/>
                <w:spacing w:val="-9"/>
                <w:position w:val="-2"/>
                <w:sz w:val="15"/>
                <w:szCs w:val="15"/>
              </w:rPr>
              <w:t>.058</w:t>
            </w:r>
          </w:p>
        </w:tc>
        <w:tc>
          <w:tcPr>
            <w:tcW w:w="613" w:type="dxa"/>
            <w:vAlign w:val="top"/>
          </w:tcPr>
          <w:p>
            <w:pPr>
              <w:spacing w:before="18" w:line="103" w:lineRule="exact"/>
              <w:jc w:val="right"/>
              <w:rPr>
                <w:rFonts w:ascii="Arial" w:hAnsi="Arial" w:eastAsia="Arial" w:cs="Arial"/>
                <w:sz w:val="15"/>
                <w:szCs w:val="15"/>
              </w:rPr>
            </w:pPr>
            <w:r>
              <w:rPr>
                <w:rFonts w:ascii="Arial" w:hAnsi="Arial" w:eastAsia="Arial" w:cs="Arial"/>
                <w:spacing w:val="-14"/>
                <w:position w:val="-2"/>
                <w:sz w:val="15"/>
                <w:szCs w:val="15"/>
              </w:rPr>
              <w:t>1</w:t>
            </w:r>
            <w:r>
              <w:rPr>
                <w:rFonts w:ascii="Arial" w:hAnsi="Arial" w:eastAsia="Arial" w:cs="Arial"/>
                <w:spacing w:val="-13"/>
                <w:position w:val="-2"/>
                <w:sz w:val="15"/>
                <w:szCs w:val="15"/>
              </w:rPr>
              <w:t>.32</w:t>
            </w:r>
            <w:r>
              <w:rPr>
                <w:rFonts w:ascii="Arial" w:hAnsi="Arial" w:eastAsia="Arial" w:cs="Arial"/>
                <w:spacing w:val="-7"/>
                <w:position w:val="-2"/>
                <w:sz w:val="15"/>
                <w:szCs w:val="15"/>
              </w:rPr>
              <w:t>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7" w:hRule="atLeast"/>
        </w:trPr>
        <w:tc>
          <w:tcPr>
            <w:tcW w:w="2080" w:type="dxa"/>
            <w:vMerge w:val="continue"/>
            <w:tcBorders>
              <w:top w:val="nil"/>
              <w:bottom w:val="nil"/>
            </w:tcBorders>
            <w:vAlign w:val="top"/>
          </w:tcPr>
          <w:p>
            <w:pPr>
              <w:rPr>
                <w:rFonts w:ascii="Arial"/>
                <w:sz w:val="21"/>
              </w:rPr>
            </w:pPr>
          </w:p>
        </w:tc>
        <w:tc>
          <w:tcPr>
            <w:tcW w:w="909" w:type="dxa"/>
            <w:vAlign w:val="top"/>
          </w:tcPr>
          <w:p>
            <w:pPr>
              <w:spacing w:before="64" w:line="223" w:lineRule="auto"/>
              <w:ind w:left="196" w:right="181" w:firstLine="50"/>
              <w:rPr>
                <w:rFonts w:ascii="Arial" w:hAnsi="Arial" w:eastAsia="Arial" w:cs="Arial"/>
                <w:sz w:val="15"/>
                <w:szCs w:val="15"/>
              </w:rPr>
            </w:pPr>
            <w:r>
              <w:rPr>
                <w:rFonts w:ascii="Arial" w:hAnsi="Arial" w:eastAsia="Arial" w:cs="Arial"/>
                <w:spacing w:val="2"/>
                <w:sz w:val="15"/>
                <w:szCs w:val="15"/>
              </w:rPr>
              <w:t>.201***</w:t>
            </w:r>
            <w:r>
              <w:rPr>
                <w:rFonts w:ascii="Arial" w:hAnsi="Arial" w:eastAsia="Arial" w:cs="Arial"/>
                <w:sz w:val="15"/>
                <w:szCs w:val="15"/>
              </w:rPr>
              <w:t xml:space="preserve"> </w:t>
            </w:r>
            <w:r>
              <w:rPr>
                <w:rFonts w:ascii="Arial" w:hAnsi="Arial" w:eastAsia="Arial" w:cs="Arial"/>
                <w:spacing w:val="-8"/>
                <w:sz w:val="15"/>
                <w:szCs w:val="15"/>
              </w:rPr>
              <w:t>-.043</w:t>
            </w:r>
          </w:p>
          <w:p>
            <w:pPr>
              <w:spacing w:before="39" w:line="196" w:lineRule="auto"/>
              <w:ind w:left="245"/>
              <w:rPr>
                <w:rFonts w:ascii="Arial" w:hAnsi="Arial" w:eastAsia="Arial" w:cs="Arial"/>
                <w:sz w:val="15"/>
                <w:szCs w:val="15"/>
              </w:rPr>
            </w:pPr>
            <w:r>
              <w:rPr>
                <w:rFonts w:ascii="Arial" w:hAnsi="Arial" w:eastAsia="Arial" w:cs="Arial"/>
                <w:spacing w:val="-3"/>
                <w:sz w:val="15"/>
                <w:szCs w:val="15"/>
              </w:rPr>
              <w:t>.105*</w:t>
            </w:r>
          </w:p>
        </w:tc>
        <w:tc>
          <w:tcPr>
            <w:tcW w:w="771" w:type="dxa"/>
            <w:vAlign w:val="top"/>
          </w:tcPr>
          <w:p>
            <w:pPr>
              <w:spacing w:before="68" w:line="182" w:lineRule="auto"/>
              <w:ind w:left="284"/>
              <w:rPr>
                <w:rFonts w:ascii="Arial" w:hAnsi="Arial" w:eastAsia="Arial" w:cs="Arial"/>
                <w:sz w:val="15"/>
                <w:szCs w:val="15"/>
              </w:rPr>
            </w:pPr>
            <w:r>
              <w:rPr>
                <w:rFonts w:ascii="Arial" w:hAnsi="Arial" w:eastAsia="Arial" w:cs="Arial"/>
                <w:spacing w:val="-8"/>
                <w:sz w:val="15"/>
                <w:szCs w:val="15"/>
              </w:rPr>
              <w:t>4.606</w:t>
            </w:r>
          </w:p>
          <w:p>
            <w:pPr>
              <w:pStyle w:val="6"/>
              <w:spacing w:line="214" w:lineRule="auto"/>
              <w:ind w:left="183"/>
              <w:rPr>
                <w:rFonts w:ascii="Arial" w:hAnsi="Arial" w:eastAsia="Arial" w:cs="Arial"/>
                <w:sz w:val="15"/>
                <w:szCs w:val="15"/>
              </w:rPr>
            </w:pPr>
            <w:r>
              <w:rPr>
                <w:spacing w:val="-9"/>
                <w:sz w:val="15"/>
                <w:szCs w:val="15"/>
              </w:rPr>
              <w:t>−</w:t>
            </w:r>
            <w:r>
              <w:rPr>
                <w:rFonts w:ascii="Arial" w:hAnsi="Arial" w:eastAsia="Arial" w:cs="Arial"/>
                <w:spacing w:val="-9"/>
                <w:sz w:val="15"/>
                <w:szCs w:val="15"/>
              </w:rPr>
              <w:t>0.955</w:t>
            </w:r>
          </w:p>
          <w:p>
            <w:pPr>
              <w:spacing w:line="190" w:lineRule="auto"/>
              <w:ind w:left="287"/>
              <w:rPr>
                <w:rFonts w:ascii="Arial" w:hAnsi="Arial" w:eastAsia="Arial" w:cs="Arial"/>
                <w:sz w:val="15"/>
                <w:szCs w:val="15"/>
              </w:rPr>
            </w:pPr>
            <w:r>
              <w:rPr>
                <w:rFonts w:ascii="Arial" w:hAnsi="Arial" w:eastAsia="Arial" w:cs="Arial"/>
                <w:spacing w:val="-9"/>
                <w:sz w:val="15"/>
                <w:szCs w:val="15"/>
              </w:rPr>
              <w:t>2.523</w:t>
            </w:r>
          </w:p>
        </w:tc>
        <w:tc>
          <w:tcPr>
            <w:tcW w:w="975" w:type="dxa"/>
            <w:vAlign w:val="top"/>
          </w:tcPr>
          <w:p>
            <w:pPr>
              <w:spacing w:before="68" w:line="182" w:lineRule="auto"/>
              <w:ind w:left="312"/>
              <w:rPr>
                <w:rFonts w:ascii="Arial" w:hAnsi="Arial" w:eastAsia="Arial" w:cs="Arial"/>
                <w:sz w:val="15"/>
                <w:szCs w:val="15"/>
              </w:rPr>
            </w:pPr>
            <w:r>
              <w:rPr>
                <w:rFonts w:ascii="Arial" w:hAnsi="Arial" w:eastAsia="Arial" w:cs="Arial"/>
                <w:spacing w:val="-8"/>
                <w:sz w:val="15"/>
                <w:szCs w:val="15"/>
              </w:rPr>
              <w:t>.076</w:t>
            </w:r>
          </w:p>
          <w:p>
            <w:pPr>
              <w:pStyle w:val="6"/>
              <w:spacing w:line="214" w:lineRule="auto"/>
              <w:ind w:left="206"/>
              <w:rPr>
                <w:rFonts w:ascii="Arial" w:hAnsi="Arial" w:eastAsia="Arial" w:cs="Arial"/>
                <w:sz w:val="15"/>
                <w:szCs w:val="15"/>
              </w:rPr>
            </w:pPr>
            <w:r>
              <w:rPr>
                <w:spacing w:val="-8"/>
                <w:sz w:val="15"/>
                <w:szCs w:val="15"/>
              </w:rPr>
              <w:t>−</w:t>
            </w:r>
            <w:r>
              <w:rPr>
                <w:rFonts w:ascii="Arial" w:hAnsi="Arial" w:eastAsia="Arial" w:cs="Arial"/>
                <w:spacing w:val="-8"/>
                <w:sz w:val="15"/>
                <w:szCs w:val="15"/>
              </w:rPr>
              <w:t>.013</w:t>
            </w:r>
          </w:p>
          <w:p>
            <w:pPr>
              <w:spacing w:line="190" w:lineRule="auto"/>
              <w:ind w:left="311"/>
              <w:rPr>
                <w:rFonts w:ascii="Arial" w:hAnsi="Arial" w:eastAsia="Arial" w:cs="Arial"/>
                <w:sz w:val="15"/>
                <w:szCs w:val="15"/>
              </w:rPr>
            </w:pPr>
            <w:r>
              <w:rPr>
                <w:rFonts w:ascii="Arial" w:hAnsi="Arial" w:eastAsia="Arial" w:cs="Arial"/>
                <w:spacing w:val="-9"/>
                <w:sz w:val="15"/>
                <w:szCs w:val="15"/>
              </w:rPr>
              <w:t>.045</w:t>
            </w:r>
          </w:p>
        </w:tc>
        <w:tc>
          <w:tcPr>
            <w:tcW w:w="785" w:type="dxa"/>
            <w:vAlign w:val="top"/>
          </w:tcPr>
          <w:p>
            <w:pPr>
              <w:spacing w:before="68" w:line="182" w:lineRule="auto"/>
              <w:ind w:left="296"/>
              <w:rPr>
                <w:rFonts w:ascii="Arial" w:hAnsi="Arial" w:eastAsia="Arial" w:cs="Arial"/>
                <w:sz w:val="15"/>
                <w:szCs w:val="15"/>
              </w:rPr>
            </w:pPr>
            <w:r>
              <w:rPr>
                <w:rFonts w:ascii="Arial" w:hAnsi="Arial" w:eastAsia="Arial" w:cs="Arial"/>
                <w:spacing w:val="-10"/>
                <w:sz w:val="15"/>
                <w:szCs w:val="15"/>
              </w:rPr>
              <w:t>1.770</w:t>
            </w:r>
          </w:p>
          <w:p>
            <w:pPr>
              <w:pStyle w:val="6"/>
              <w:spacing w:line="214" w:lineRule="auto"/>
              <w:ind w:left="183"/>
              <w:rPr>
                <w:rFonts w:ascii="Arial" w:hAnsi="Arial" w:eastAsia="Arial" w:cs="Arial"/>
                <w:sz w:val="15"/>
                <w:szCs w:val="15"/>
              </w:rPr>
            </w:pPr>
            <w:r>
              <w:rPr>
                <w:spacing w:val="-9"/>
                <w:sz w:val="15"/>
                <w:szCs w:val="15"/>
              </w:rPr>
              <w:t>−</w:t>
            </w:r>
            <w:r>
              <w:rPr>
                <w:rFonts w:ascii="Arial" w:hAnsi="Arial" w:eastAsia="Arial" w:cs="Arial"/>
                <w:spacing w:val="-9"/>
                <w:sz w:val="15"/>
                <w:szCs w:val="15"/>
              </w:rPr>
              <w:t>0.285</w:t>
            </w:r>
          </w:p>
          <w:p>
            <w:pPr>
              <w:spacing w:line="190" w:lineRule="auto"/>
              <w:ind w:left="295"/>
              <w:rPr>
                <w:rFonts w:ascii="Arial" w:hAnsi="Arial" w:eastAsia="Arial" w:cs="Arial"/>
                <w:sz w:val="15"/>
                <w:szCs w:val="15"/>
              </w:rPr>
            </w:pPr>
            <w:r>
              <w:rPr>
                <w:rFonts w:ascii="Arial" w:hAnsi="Arial" w:eastAsia="Arial" w:cs="Arial"/>
                <w:spacing w:val="-11"/>
                <w:sz w:val="15"/>
                <w:szCs w:val="15"/>
              </w:rPr>
              <w:t>1.091</w:t>
            </w:r>
          </w:p>
        </w:tc>
        <w:tc>
          <w:tcPr>
            <w:tcW w:w="849" w:type="dxa"/>
            <w:vAlign w:val="top"/>
          </w:tcPr>
          <w:p>
            <w:pPr>
              <w:spacing w:before="64" w:line="184" w:lineRule="exact"/>
              <w:ind w:left="190"/>
              <w:rPr>
                <w:rFonts w:ascii="Arial" w:hAnsi="Arial" w:eastAsia="Arial" w:cs="Arial"/>
                <w:sz w:val="15"/>
                <w:szCs w:val="15"/>
              </w:rPr>
            </w:pPr>
            <w:r>
              <w:rPr>
                <w:rFonts w:ascii="Arial" w:hAnsi="Arial" w:eastAsia="Arial" w:cs="Arial"/>
                <w:spacing w:val="2"/>
                <w:position w:val="4"/>
                <w:sz w:val="15"/>
                <w:szCs w:val="15"/>
              </w:rPr>
              <w:t>.196***</w:t>
            </w:r>
          </w:p>
          <w:p>
            <w:pPr>
              <w:spacing w:line="190" w:lineRule="auto"/>
              <w:ind w:left="190"/>
              <w:rPr>
                <w:rFonts w:ascii="Arial" w:hAnsi="Arial" w:eastAsia="Arial" w:cs="Arial"/>
                <w:sz w:val="15"/>
                <w:szCs w:val="15"/>
              </w:rPr>
            </w:pPr>
            <w:r>
              <w:rPr>
                <w:rFonts w:ascii="Arial" w:hAnsi="Arial" w:eastAsia="Arial" w:cs="Arial"/>
                <w:spacing w:val="-8"/>
                <w:sz w:val="15"/>
                <w:szCs w:val="15"/>
              </w:rPr>
              <w:t>.041</w:t>
            </w:r>
          </w:p>
          <w:p>
            <w:pPr>
              <w:spacing w:before="43" w:line="191" w:lineRule="auto"/>
              <w:ind w:left="190"/>
              <w:rPr>
                <w:rFonts w:ascii="Arial" w:hAnsi="Arial" w:eastAsia="Arial" w:cs="Arial"/>
                <w:sz w:val="15"/>
                <w:szCs w:val="15"/>
              </w:rPr>
            </w:pPr>
            <w:r>
              <w:rPr>
                <w:rFonts w:ascii="Arial" w:hAnsi="Arial" w:eastAsia="Arial" w:cs="Arial"/>
                <w:spacing w:val="-9"/>
                <w:sz w:val="15"/>
                <w:szCs w:val="15"/>
              </w:rPr>
              <w:t>.052</w:t>
            </w:r>
          </w:p>
        </w:tc>
        <w:tc>
          <w:tcPr>
            <w:tcW w:w="671" w:type="dxa"/>
            <w:vAlign w:val="top"/>
          </w:tcPr>
          <w:p>
            <w:pPr>
              <w:spacing w:before="68" w:line="180" w:lineRule="exact"/>
              <w:ind w:left="179"/>
              <w:rPr>
                <w:rFonts w:ascii="Arial" w:hAnsi="Arial" w:eastAsia="Arial" w:cs="Arial"/>
                <w:sz w:val="15"/>
                <w:szCs w:val="15"/>
              </w:rPr>
            </w:pPr>
            <w:r>
              <w:rPr>
                <w:rFonts w:ascii="Arial" w:hAnsi="Arial" w:eastAsia="Arial" w:cs="Arial"/>
                <w:spacing w:val="-8"/>
                <w:position w:val="4"/>
                <w:sz w:val="15"/>
                <w:szCs w:val="15"/>
              </w:rPr>
              <w:t>4.553</w:t>
            </w:r>
          </w:p>
          <w:p>
            <w:pPr>
              <w:spacing w:line="190" w:lineRule="auto"/>
              <w:ind w:left="182"/>
              <w:rPr>
                <w:rFonts w:ascii="Arial" w:hAnsi="Arial" w:eastAsia="Arial" w:cs="Arial"/>
                <w:sz w:val="15"/>
                <w:szCs w:val="15"/>
              </w:rPr>
            </w:pPr>
            <w:r>
              <w:rPr>
                <w:rFonts w:ascii="Arial" w:hAnsi="Arial" w:eastAsia="Arial" w:cs="Arial"/>
                <w:spacing w:val="-8"/>
                <w:sz w:val="15"/>
                <w:szCs w:val="15"/>
              </w:rPr>
              <w:t>0.913</w:t>
            </w:r>
          </w:p>
          <w:p>
            <w:pPr>
              <w:spacing w:before="43" w:line="191" w:lineRule="auto"/>
              <w:ind w:left="191"/>
              <w:rPr>
                <w:rFonts w:ascii="Arial" w:hAnsi="Arial" w:eastAsia="Arial" w:cs="Arial"/>
                <w:sz w:val="15"/>
                <w:szCs w:val="15"/>
              </w:rPr>
            </w:pPr>
            <w:r>
              <w:rPr>
                <w:rFonts w:ascii="Arial" w:hAnsi="Arial" w:eastAsia="Arial" w:cs="Arial"/>
                <w:spacing w:val="-11"/>
                <w:sz w:val="15"/>
                <w:szCs w:val="15"/>
              </w:rPr>
              <w:t>1.250</w:t>
            </w:r>
          </w:p>
        </w:tc>
        <w:tc>
          <w:tcPr>
            <w:tcW w:w="982" w:type="dxa"/>
            <w:vAlign w:val="top"/>
          </w:tcPr>
          <w:p>
            <w:pPr>
              <w:spacing w:before="64" w:line="191" w:lineRule="auto"/>
              <w:ind w:left="320"/>
              <w:rPr>
                <w:rFonts w:ascii="Arial" w:hAnsi="Arial" w:eastAsia="Arial" w:cs="Arial"/>
                <w:sz w:val="15"/>
                <w:szCs w:val="15"/>
              </w:rPr>
            </w:pPr>
            <w:r>
              <w:rPr>
                <w:rFonts w:ascii="Arial" w:hAnsi="Arial" w:eastAsia="Arial" w:cs="Arial"/>
                <w:spacing w:val="-2"/>
                <w:sz w:val="15"/>
                <w:szCs w:val="15"/>
              </w:rPr>
              <w:t>.094*</w:t>
            </w:r>
          </w:p>
          <w:p>
            <w:pPr>
              <w:pStyle w:val="6"/>
              <w:spacing w:line="215" w:lineRule="auto"/>
              <w:ind w:left="202"/>
              <w:rPr>
                <w:rFonts w:ascii="Arial" w:hAnsi="Arial" w:eastAsia="Arial" w:cs="Arial"/>
                <w:sz w:val="15"/>
                <w:szCs w:val="15"/>
              </w:rPr>
            </w:pPr>
            <w:r>
              <w:rPr>
                <w:spacing w:val="-1"/>
                <w:sz w:val="15"/>
                <w:szCs w:val="15"/>
              </w:rPr>
              <w:t>−</w:t>
            </w:r>
            <w:r>
              <w:rPr>
                <w:rFonts w:ascii="Arial" w:hAnsi="Arial" w:eastAsia="Arial" w:cs="Arial"/>
                <w:spacing w:val="-1"/>
                <w:sz w:val="15"/>
                <w:szCs w:val="15"/>
              </w:rPr>
              <w:t>.090*</w:t>
            </w:r>
          </w:p>
          <w:p>
            <w:pPr>
              <w:pStyle w:val="6"/>
              <w:spacing w:line="144" w:lineRule="exact"/>
              <w:ind w:left="214"/>
              <w:rPr>
                <w:rFonts w:ascii="Arial" w:hAnsi="Arial" w:eastAsia="Arial" w:cs="Arial"/>
                <w:sz w:val="15"/>
                <w:szCs w:val="15"/>
              </w:rPr>
            </w:pPr>
            <w:r>
              <w:rPr>
                <w:spacing w:val="-8"/>
                <w:position w:val="-1"/>
                <w:sz w:val="15"/>
                <w:szCs w:val="15"/>
              </w:rPr>
              <w:t>−</w:t>
            </w:r>
            <w:r>
              <w:rPr>
                <w:rFonts w:ascii="Arial" w:hAnsi="Arial" w:eastAsia="Arial" w:cs="Arial"/>
                <w:spacing w:val="-8"/>
                <w:position w:val="-1"/>
                <w:sz w:val="15"/>
                <w:szCs w:val="15"/>
              </w:rPr>
              <w:t>.014</w:t>
            </w:r>
          </w:p>
        </w:tc>
        <w:tc>
          <w:tcPr>
            <w:tcW w:w="778" w:type="dxa"/>
            <w:vAlign w:val="top"/>
          </w:tcPr>
          <w:p>
            <w:pPr>
              <w:spacing w:before="68" w:line="179" w:lineRule="auto"/>
              <w:ind w:left="288"/>
              <w:rPr>
                <w:rFonts w:ascii="Arial" w:hAnsi="Arial" w:eastAsia="Arial" w:cs="Arial"/>
                <w:sz w:val="15"/>
                <w:szCs w:val="15"/>
              </w:rPr>
            </w:pPr>
            <w:r>
              <w:rPr>
                <w:rFonts w:ascii="Arial" w:hAnsi="Arial" w:eastAsia="Arial" w:cs="Arial"/>
                <w:spacing w:val="-8"/>
                <w:sz w:val="15"/>
                <w:szCs w:val="15"/>
              </w:rPr>
              <w:t>2.358</w:t>
            </w:r>
          </w:p>
          <w:p>
            <w:pPr>
              <w:pStyle w:val="6"/>
              <w:spacing w:line="201" w:lineRule="auto"/>
              <w:ind w:left="183"/>
              <w:rPr>
                <w:rFonts w:ascii="Arial" w:hAnsi="Arial" w:eastAsia="Arial" w:cs="Arial"/>
                <w:sz w:val="15"/>
                <w:szCs w:val="15"/>
              </w:rPr>
            </w:pPr>
            <w:r>
              <w:rPr>
                <w:spacing w:val="-9"/>
                <w:sz w:val="15"/>
                <w:szCs w:val="15"/>
              </w:rPr>
              <w:t>−</w:t>
            </w:r>
            <w:r>
              <w:rPr>
                <w:rFonts w:ascii="Arial" w:hAnsi="Arial" w:eastAsia="Arial" w:cs="Arial"/>
                <w:spacing w:val="-9"/>
                <w:sz w:val="15"/>
                <w:szCs w:val="15"/>
              </w:rPr>
              <w:t>2.159</w:t>
            </w:r>
          </w:p>
          <w:p>
            <w:pPr>
              <w:pStyle w:val="6"/>
              <w:spacing w:line="164" w:lineRule="exact"/>
              <w:ind w:left="183"/>
              <w:rPr>
                <w:rFonts w:ascii="Arial" w:hAnsi="Arial" w:eastAsia="Arial" w:cs="Arial"/>
                <w:sz w:val="15"/>
                <w:szCs w:val="15"/>
              </w:rPr>
            </w:pPr>
            <w:r>
              <w:rPr>
                <w:spacing w:val="-9"/>
                <w:sz w:val="15"/>
                <w:szCs w:val="15"/>
              </w:rPr>
              <w:t>−</w:t>
            </w:r>
            <w:r>
              <w:rPr>
                <w:rFonts w:ascii="Arial" w:hAnsi="Arial" w:eastAsia="Arial" w:cs="Arial"/>
                <w:spacing w:val="-9"/>
                <w:sz w:val="15"/>
                <w:szCs w:val="15"/>
              </w:rPr>
              <w:t>0.363</w:t>
            </w:r>
          </w:p>
        </w:tc>
        <w:tc>
          <w:tcPr>
            <w:tcW w:w="968" w:type="dxa"/>
            <w:vAlign w:val="top"/>
          </w:tcPr>
          <w:p>
            <w:pPr>
              <w:pStyle w:val="6"/>
              <w:spacing w:before="18" w:line="214" w:lineRule="auto"/>
              <w:ind w:left="201"/>
              <w:rPr>
                <w:rFonts w:ascii="Arial" w:hAnsi="Arial" w:eastAsia="Arial" w:cs="Arial"/>
                <w:sz w:val="15"/>
                <w:szCs w:val="15"/>
              </w:rPr>
            </w:pPr>
            <w:r>
              <w:rPr>
                <w:spacing w:val="-9"/>
                <w:sz w:val="15"/>
                <w:szCs w:val="15"/>
              </w:rPr>
              <w:t>−</w:t>
            </w:r>
            <w:r>
              <w:rPr>
                <w:rFonts w:ascii="Arial" w:hAnsi="Arial" w:eastAsia="Arial" w:cs="Arial"/>
                <w:spacing w:val="-9"/>
                <w:sz w:val="15"/>
                <w:szCs w:val="15"/>
              </w:rPr>
              <w:t>.051</w:t>
            </w:r>
          </w:p>
          <w:p>
            <w:pPr>
              <w:spacing w:line="190" w:lineRule="auto"/>
              <w:ind w:left="306"/>
              <w:rPr>
                <w:rFonts w:ascii="Arial" w:hAnsi="Arial" w:eastAsia="Arial" w:cs="Arial"/>
                <w:sz w:val="15"/>
                <w:szCs w:val="15"/>
              </w:rPr>
            </w:pPr>
            <w:r>
              <w:rPr>
                <w:rFonts w:ascii="Arial" w:hAnsi="Arial" w:eastAsia="Arial" w:cs="Arial"/>
                <w:spacing w:val="-9"/>
                <w:sz w:val="15"/>
                <w:szCs w:val="15"/>
              </w:rPr>
              <w:t>.020</w:t>
            </w:r>
          </w:p>
          <w:p>
            <w:pPr>
              <w:spacing w:before="39" w:line="199" w:lineRule="auto"/>
              <w:ind w:left="305"/>
              <w:rPr>
                <w:rFonts w:ascii="Arial" w:hAnsi="Arial" w:eastAsia="Arial" w:cs="Arial"/>
                <w:sz w:val="15"/>
                <w:szCs w:val="15"/>
              </w:rPr>
            </w:pPr>
            <w:r>
              <w:rPr>
                <w:rFonts w:ascii="Arial" w:hAnsi="Arial" w:eastAsia="Arial" w:cs="Arial"/>
                <w:sz w:val="15"/>
                <w:szCs w:val="15"/>
              </w:rPr>
              <w:t>.122**</w:t>
            </w:r>
          </w:p>
        </w:tc>
        <w:tc>
          <w:tcPr>
            <w:tcW w:w="792" w:type="dxa"/>
            <w:vAlign w:val="top"/>
          </w:tcPr>
          <w:p>
            <w:pPr>
              <w:pStyle w:val="6"/>
              <w:spacing w:before="18" w:line="214" w:lineRule="auto"/>
              <w:ind w:left="184"/>
              <w:rPr>
                <w:rFonts w:ascii="Arial" w:hAnsi="Arial" w:eastAsia="Arial" w:cs="Arial"/>
                <w:sz w:val="15"/>
                <w:szCs w:val="15"/>
              </w:rPr>
            </w:pPr>
            <w:r>
              <w:rPr>
                <w:spacing w:val="-9"/>
                <w:sz w:val="15"/>
                <w:szCs w:val="15"/>
              </w:rPr>
              <w:t>−</w:t>
            </w:r>
            <w:r>
              <w:rPr>
                <w:rFonts w:ascii="Arial" w:hAnsi="Arial" w:eastAsia="Arial" w:cs="Arial"/>
                <w:spacing w:val="-9"/>
                <w:sz w:val="15"/>
                <w:szCs w:val="15"/>
              </w:rPr>
              <w:t>1.251</w:t>
            </w:r>
          </w:p>
          <w:p>
            <w:pPr>
              <w:spacing w:line="190" w:lineRule="auto"/>
              <w:ind w:left="286"/>
              <w:rPr>
                <w:rFonts w:ascii="Arial" w:hAnsi="Arial" w:eastAsia="Arial" w:cs="Arial"/>
                <w:sz w:val="15"/>
                <w:szCs w:val="15"/>
              </w:rPr>
            </w:pPr>
            <w:r>
              <w:rPr>
                <w:rFonts w:ascii="Arial" w:hAnsi="Arial" w:eastAsia="Arial" w:cs="Arial"/>
                <w:spacing w:val="-8"/>
                <w:sz w:val="15"/>
                <w:szCs w:val="15"/>
              </w:rPr>
              <w:t>0.477</w:t>
            </w:r>
          </w:p>
          <w:p>
            <w:pPr>
              <w:spacing w:before="42" w:line="191" w:lineRule="auto"/>
              <w:ind w:left="287"/>
              <w:rPr>
                <w:rFonts w:ascii="Arial" w:hAnsi="Arial" w:eastAsia="Arial" w:cs="Arial"/>
                <w:sz w:val="15"/>
                <w:szCs w:val="15"/>
              </w:rPr>
            </w:pPr>
            <w:r>
              <w:rPr>
                <w:rFonts w:ascii="Arial" w:hAnsi="Arial" w:eastAsia="Arial" w:cs="Arial"/>
                <w:spacing w:val="-8"/>
                <w:sz w:val="15"/>
                <w:szCs w:val="15"/>
              </w:rPr>
              <w:t>2.893</w:t>
            </w:r>
          </w:p>
        </w:tc>
        <w:tc>
          <w:tcPr>
            <w:tcW w:w="954" w:type="dxa"/>
            <w:vAlign w:val="top"/>
          </w:tcPr>
          <w:p>
            <w:pPr>
              <w:pStyle w:val="6"/>
              <w:spacing w:before="18" w:line="214" w:lineRule="auto"/>
              <w:ind w:left="185"/>
              <w:rPr>
                <w:rFonts w:ascii="Arial" w:hAnsi="Arial" w:eastAsia="Arial" w:cs="Arial"/>
                <w:sz w:val="15"/>
                <w:szCs w:val="15"/>
              </w:rPr>
            </w:pPr>
            <w:r>
              <w:rPr>
                <w:spacing w:val="-9"/>
                <w:sz w:val="15"/>
                <w:szCs w:val="15"/>
              </w:rPr>
              <w:t>−</w:t>
            </w:r>
            <w:r>
              <w:rPr>
                <w:rFonts w:ascii="Arial" w:hAnsi="Arial" w:eastAsia="Arial" w:cs="Arial"/>
                <w:spacing w:val="-9"/>
                <w:sz w:val="15"/>
                <w:szCs w:val="15"/>
              </w:rPr>
              <w:t>.044</w:t>
            </w:r>
          </w:p>
          <w:p>
            <w:pPr>
              <w:spacing w:line="190" w:lineRule="auto"/>
              <w:ind w:left="292"/>
              <w:rPr>
                <w:rFonts w:ascii="Arial" w:hAnsi="Arial" w:eastAsia="Arial" w:cs="Arial"/>
                <w:sz w:val="15"/>
                <w:szCs w:val="15"/>
              </w:rPr>
            </w:pPr>
            <w:r>
              <w:rPr>
                <w:rFonts w:ascii="Arial" w:hAnsi="Arial" w:eastAsia="Arial" w:cs="Arial"/>
                <w:spacing w:val="-9"/>
                <w:sz w:val="15"/>
                <w:szCs w:val="15"/>
              </w:rPr>
              <w:t>.062</w:t>
            </w:r>
          </w:p>
          <w:p>
            <w:pPr>
              <w:spacing w:before="39" w:line="196" w:lineRule="auto"/>
              <w:ind w:left="292"/>
              <w:rPr>
                <w:rFonts w:ascii="Arial" w:hAnsi="Arial" w:eastAsia="Arial" w:cs="Arial"/>
                <w:sz w:val="15"/>
                <w:szCs w:val="15"/>
              </w:rPr>
            </w:pPr>
            <w:r>
              <w:rPr>
                <w:rFonts w:ascii="Arial" w:hAnsi="Arial" w:eastAsia="Arial" w:cs="Arial"/>
                <w:spacing w:val="1"/>
                <w:sz w:val="15"/>
                <w:szCs w:val="15"/>
              </w:rPr>
              <w:t>.161***</w:t>
            </w:r>
          </w:p>
        </w:tc>
        <w:tc>
          <w:tcPr>
            <w:tcW w:w="613" w:type="dxa"/>
            <w:vAlign w:val="top"/>
          </w:tcPr>
          <w:p>
            <w:pPr>
              <w:pStyle w:val="6"/>
              <w:spacing w:before="18" w:line="218" w:lineRule="auto"/>
              <w:ind w:left="287" w:hanging="103"/>
              <w:rPr>
                <w:rFonts w:ascii="Arial" w:hAnsi="Arial" w:eastAsia="Arial" w:cs="Arial"/>
                <w:sz w:val="15"/>
                <w:szCs w:val="15"/>
              </w:rPr>
            </w:pPr>
            <w:r>
              <w:rPr>
                <w:spacing w:val="-10"/>
                <w:sz w:val="15"/>
                <w:szCs w:val="15"/>
              </w:rPr>
              <w:t>−</w:t>
            </w:r>
            <w:r>
              <w:rPr>
                <w:rFonts w:ascii="Arial" w:hAnsi="Arial" w:eastAsia="Arial" w:cs="Arial"/>
                <w:spacing w:val="-10"/>
                <w:sz w:val="15"/>
                <w:szCs w:val="15"/>
              </w:rPr>
              <w:t>1.011</w:t>
            </w:r>
            <w:r>
              <w:rPr>
                <w:rFonts w:ascii="Arial" w:hAnsi="Arial" w:eastAsia="Arial" w:cs="Arial"/>
                <w:sz w:val="15"/>
                <w:szCs w:val="15"/>
              </w:rPr>
              <w:t xml:space="preserve"> </w:t>
            </w:r>
            <w:r>
              <w:rPr>
                <w:rFonts w:ascii="Arial" w:hAnsi="Arial" w:eastAsia="Arial" w:cs="Arial"/>
                <w:spacing w:val="-12"/>
                <w:sz w:val="15"/>
                <w:szCs w:val="15"/>
              </w:rPr>
              <w:t>1.3</w:t>
            </w:r>
            <w:r>
              <w:rPr>
                <w:rFonts w:ascii="Arial" w:hAnsi="Arial" w:eastAsia="Arial" w:cs="Arial"/>
                <w:spacing w:val="-11"/>
                <w:sz w:val="15"/>
                <w:szCs w:val="15"/>
              </w:rPr>
              <w:t>5</w:t>
            </w:r>
            <w:r>
              <w:rPr>
                <w:rFonts w:ascii="Arial" w:hAnsi="Arial" w:eastAsia="Arial" w:cs="Arial"/>
                <w:spacing w:val="-8"/>
                <w:sz w:val="15"/>
                <w:szCs w:val="15"/>
              </w:rPr>
              <w:t>4</w:t>
            </w:r>
            <w:r>
              <w:rPr>
                <w:rFonts w:ascii="Arial" w:hAnsi="Arial" w:eastAsia="Arial" w:cs="Arial"/>
                <w:spacing w:val="3"/>
                <w:sz w:val="15"/>
                <w:szCs w:val="15"/>
              </w:rPr>
              <w:t xml:space="preserve"> </w:t>
            </w:r>
            <w:r>
              <w:rPr>
                <w:rFonts w:ascii="Arial" w:hAnsi="Arial" w:eastAsia="Arial" w:cs="Arial"/>
                <w:spacing w:val="-11"/>
                <w:sz w:val="15"/>
                <w:szCs w:val="15"/>
              </w:rPr>
              <w:t>3.841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6" w:hRule="atLeast"/>
        </w:trPr>
        <w:tc>
          <w:tcPr>
            <w:tcW w:w="2080" w:type="dxa"/>
            <w:vMerge w:val="continue"/>
            <w:tcBorders>
              <w:top w:val="nil"/>
              <w:bottom w:val="single" w:color="282781" w:sz="4" w:space="0"/>
            </w:tcBorders>
            <w:vAlign w:val="top"/>
          </w:tcPr>
          <w:p>
            <w:pPr>
              <w:rPr>
                <w:rFonts w:ascii="Arial"/>
                <w:sz w:val="21"/>
              </w:rPr>
            </w:pPr>
          </w:p>
        </w:tc>
        <w:tc>
          <w:tcPr>
            <w:tcW w:w="909" w:type="dxa"/>
            <w:tcBorders>
              <w:bottom w:val="single" w:color="282781" w:sz="4" w:space="0"/>
            </w:tcBorders>
            <w:vAlign w:val="top"/>
          </w:tcPr>
          <w:p>
            <w:pPr>
              <w:spacing w:before="20" w:line="191" w:lineRule="auto"/>
              <w:ind w:left="245"/>
              <w:rPr>
                <w:rFonts w:ascii="Arial" w:hAnsi="Arial" w:eastAsia="Arial" w:cs="Arial"/>
                <w:sz w:val="15"/>
                <w:szCs w:val="15"/>
              </w:rPr>
            </w:pPr>
            <w:r>
              <w:rPr>
                <w:rFonts w:ascii="Arial" w:hAnsi="Arial" w:eastAsia="Arial" w:cs="Arial"/>
                <w:spacing w:val="-9"/>
                <w:sz w:val="15"/>
                <w:szCs w:val="15"/>
              </w:rPr>
              <w:t>.240</w:t>
            </w:r>
          </w:p>
        </w:tc>
        <w:tc>
          <w:tcPr>
            <w:tcW w:w="771" w:type="dxa"/>
            <w:tcBorders>
              <w:bottom w:val="single" w:color="282781" w:sz="4" w:space="0"/>
            </w:tcBorders>
            <w:vAlign w:val="top"/>
          </w:tcPr>
          <w:p>
            <w:pPr>
              <w:spacing w:line="176" w:lineRule="exact"/>
              <w:rPr>
                <w:rFonts w:ascii="Arial"/>
                <w:sz w:val="15"/>
              </w:rPr>
            </w:pPr>
          </w:p>
        </w:tc>
        <w:tc>
          <w:tcPr>
            <w:tcW w:w="975" w:type="dxa"/>
            <w:tcBorders>
              <w:bottom w:val="single" w:color="282781" w:sz="4" w:space="0"/>
            </w:tcBorders>
            <w:vAlign w:val="top"/>
          </w:tcPr>
          <w:p>
            <w:pPr>
              <w:spacing w:before="20" w:line="191" w:lineRule="auto"/>
              <w:ind w:left="311"/>
              <w:rPr>
                <w:rFonts w:ascii="Arial" w:hAnsi="Arial" w:eastAsia="Arial" w:cs="Arial"/>
                <w:sz w:val="15"/>
                <w:szCs w:val="15"/>
              </w:rPr>
            </w:pPr>
            <w:r>
              <w:rPr>
                <w:rFonts w:ascii="Arial" w:hAnsi="Arial" w:eastAsia="Arial" w:cs="Arial"/>
                <w:spacing w:val="-9"/>
                <w:sz w:val="15"/>
                <w:szCs w:val="15"/>
              </w:rPr>
              <w:t>.263</w:t>
            </w:r>
          </w:p>
        </w:tc>
        <w:tc>
          <w:tcPr>
            <w:tcW w:w="785" w:type="dxa"/>
            <w:tcBorders>
              <w:bottom w:val="single" w:color="282781" w:sz="4" w:space="0"/>
            </w:tcBorders>
            <w:vAlign w:val="top"/>
          </w:tcPr>
          <w:p>
            <w:pPr>
              <w:spacing w:line="176" w:lineRule="exact"/>
              <w:rPr>
                <w:rFonts w:ascii="Arial"/>
                <w:sz w:val="15"/>
              </w:rPr>
            </w:pPr>
          </w:p>
        </w:tc>
        <w:tc>
          <w:tcPr>
            <w:tcW w:w="849" w:type="dxa"/>
            <w:tcBorders>
              <w:bottom w:val="single" w:color="282781" w:sz="4" w:space="0"/>
            </w:tcBorders>
            <w:vAlign w:val="top"/>
          </w:tcPr>
          <w:p>
            <w:pPr>
              <w:spacing w:before="20" w:line="191" w:lineRule="auto"/>
              <w:ind w:left="190"/>
              <w:rPr>
                <w:rFonts w:ascii="Arial" w:hAnsi="Arial" w:eastAsia="Arial" w:cs="Arial"/>
                <w:sz w:val="15"/>
                <w:szCs w:val="15"/>
              </w:rPr>
            </w:pPr>
            <w:r>
              <w:rPr>
                <w:rFonts w:ascii="Arial" w:hAnsi="Arial" w:eastAsia="Arial" w:cs="Arial"/>
                <w:spacing w:val="-9"/>
                <w:sz w:val="15"/>
                <w:szCs w:val="15"/>
              </w:rPr>
              <w:t>.259</w:t>
            </w:r>
          </w:p>
        </w:tc>
        <w:tc>
          <w:tcPr>
            <w:tcW w:w="671" w:type="dxa"/>
            <w:tcBorders>
              <w:bottom w:val="single" w:color="282781" w:sz="4" w:space="0"/>
            </w:tcBorders>
            <w:vAlign w:val="top"/>
          </w:tcPr>
          <w:p>
            <w:pPr>
              <w:spacing w:line="176" w:lineRule="exact"/>
              <w:rPr>
                <w:rFonts w:ascii="Arial"/>
                <w:sz w:val="15"/>
              </w:rPr>
            </w:pPr>
          </w:p>
        </w:tc>
        <w:tc>
          <w:tcPr>
            <w:tcW w:w="982" w:type="dxa"/>
            <w:tcBorders>
              <w:bottom w:val="single" w:color="282781" w:sz="4" w:space="0"/>
            </w:tcBorders>
            <w:vAlign w:val="top"/>
          </w:tcPr>
          <w:p>
            <w:pPr>
              <w:spacing w:before="20" w:line="191" w:lineRule="auto"/>
              <w:ind w:left="319"/>
              <w:rPr>
                <w:rFonts w:ascii="Arial" w:hAnsi="Arial" w:eastAsia="Arial" w:cs="Arial"/>
                <w:sz w:val="15"/>
                <w:szCs w:val="15"/>
              </w:rPr>
            </w:pPr>
            <w:r>
              <w:rPr>
                <w:rFonts w:ascii="Arial" w:hAnsi="Arial" w:eastAsia="Arial" w:cs="Arial"/>
                <w:spacing w:val="-9"/>
                <w:sz w:val="15"/>
                <w:szCs w:val="15"/>
              </w:rPr>
              <w:t>.365</w:t>
            </w:r>
          </w:p>
        </w:tc>
        <w:tc>
          <w:tcPr>
            <w:tcW w:w="778" w:type="dxa"/>
            <w:tcBorders>
              <w:bottom w:val="single" w:color="282781" w:sz="4" w:space="0"/>
            </w:tcBorders>
            <w:vAlign w:val="top"/>
          </w:tcPr>
          <w:p>
            <w:pPr>
              <w:spacing w:line="176" w:lineRule="exact"/>
              <w:rPr>
                <w:rFonts w:ascii="Arial"/>
                <w:sz w:val="15"/>
              </w:rPr>
            </w:pPr>
          </w:p>
        </w:tc>
        <w:tc>
          <w:tcPr>
            <w:tcW w:w="968" w:type="dxa"/>
            <w:tcBorders>
              <w:bottom w:val="single" w:color="282781" w:sz="4" w:space="0"/>
            </w:tcBorders>
            <w:vAlign w:val="top"/>
          </w:tcPr>
          <w:p>
            <w:pPr>
              <w:spacing w:before="20" w:line="191" w:lineRule="auto"/>
              <w:ind w:left="306"/>
              <w:rPr>
                <w:rFonts w:ascii="Arial" w:hAnsi="Arial" w:eastAsia="Arial" w:cs="Arial"/>
                <w:sz w:val="15"/>
                <w:szCs w:val="15"/>
              </w:rPr>
            </w:pPr>
            <w:r>
              <w:rPr>
                <w:rFonts w:ascii="Arial" w:hAnsi="Arial" w:eastAsia="Arial" w:cs="Arial"/>
                <w:spacing w:val="-9"/>
                <w:sz w:val="15"/>
                <w:szCs w:val="15"/>
              </w:rPr>
              <w:t>.348</w:t>
            </w:r>
          </w:p>
        </w:tc>
        <w:tc>
          <w:tcPr>
            <w:tcW w:w="792" w:type="dxa"/>
            <w:tcBorders>
              <w:bottom w:val="single" w:color="282781" w:sz="4" w:space="0"/>
            </w:tcBorders>
            <w:vAlign w:val="top"/>
          </w:tcPr>
          <w:p>
            <w:pPr>
              <w:spacing w:line="176" w:lineRule="exact"/>
              <w:rPr>
                <w:rFonts w:ascii="Arial"/>
                <w:sz w:val="15"/>
              </w:rPr>
            </w:pPr>
          </w:p>
        </w:tc>
        <w:tc>
          <w:tcPr>
            <w:tcW w:w="954" w:type="dxa"/>
            <w:tcBorders>
              <w:bottom w:val="single" w:color="282781" w:sz="4" w:space="0"/>
            </w:tcBorders>
            <w:vAlign w:val="top"/>
          </w:tcPr>
          <w:p>
            <w:pPr>
              <w:spacing w:before="20" w:line="191" w:lineRule="auto"/>
              <w:ind w:left="292"/>
              <w:rPr>
                <w:rFonts w:ascii="Arial" w:hAnsi="Arial" w:eastAsia="Arial" w:cs="Arial"/>
                <w:sz w:val="15"/>
                <w:szCs w:val="15"/>
              </w:rPr>
            </w:pPr>
            <w:r>
              <w:rPr>
                <w:rFonts w:ascii="Arial" w:hAnsi="Arial" w:eastAsia="Arial" w:cs="Arial"/>
                <w:spacing w:val="-9"/>
                <w:sz w:val="15"/>
                <w:szCs w:val="15"/>
              </w:rPr>
              <w:t>.232</w:t>
            </w:r>
          </w:p>
        </w:tc>
        <w:tc>
          <w:tcPr>
            <w:tcW w:w="613" w:type="dxa"/>
            <w:tcBorders>
              <w:bottom w:val="single" w:color="282781" w:sz="4" w:space="0"/>
            </w:tcBorders>
            <w:vAlign w:val="top"/>
          </w:tcPr>
          <w:p>
            <w:pPr>
              <w:spacing w:line="176" w:lineRule="exact"/>
              <w:rPr>
                <w:rFonts w:ascii="Arial"/>
                <w:sz w:val="15"/>
              </w:rPr>
            </w:pPr>
          </w:p>
        </w:tc>
      </w:tr>
    </w:tbl>
    <w:p>
      <w:pPr>
        <w:spacing w:before="55" w:line="205" w:lineRule="auto"/>
        <w:ind w:left="10"/>
        <w:rPr>
          <w:rFonts w:ascii="Arial" w:hAnsi="Arial" w:eastAsia="Arial" w:cs="Arial"/>
          <w:sz w:val="15"/>
          <w:szCs w:val="15"/>
        </w:rPr>
      </w:pPr>
      <w:r>
        <w:rPr>
          <w:rFonts w:ascii="Arial" w:hAnsi="Arial" w:eastAsia="Arial" w:cs="Arial"/>
          <w:spacing w:val="-7"/>
          <w:sz w:val="15"/>
          <w:szCs w:val="15"/>
        </w:rPr>
        <w:t>Note: p &lt; .001***; p &lt; .01**; p</w:t>
      </w:r>
      <w:r>
        <w:rPr>
          <w:rFonts w:ascii="Arial" w:hAnsi="Arial" w:eastAsia="Arial" w:cs="Arial"/>
          <w:spacing w:val="15"/>
          <w:sz w:val="15"/>
          <w:szCs w:val="15"/>
        </w:rPr>
        <w:t xml:space="preserve"> </w:t>
      </w:r>
      <w:r>
        <w:rPr>
          <w:rFonts w:ascii="Arial" w:hAnsi="Arial" w:eastAsia="Arial" w:cs="Arial"/>
          <w:spacing w:val="-7"/>
          <w:sz w:val="15"/>
          <w:szCs w:val="15"/>
        </w:rPr>
        <w:t>&lt;</w:t>
      </w:r>
      <w:r>
        <w:rPr>
          <w:rFonts w:ascii="Arial" w:hAnsi="Arial" w:eastAsia="Arial" w:cs="Arial"/>
          <w:spacing w:val="-2"/>
          <w:sz w:val="15"/>
          <w:szCs w:val="15"/>
        </w:rPr>
        <w:t xml:space="preserve"> </w:t>
      </w:r>
      <w:r>
        <w:rPr>
          <w:rFonts w:ascii="Arial" w:hAnsi="Arial" w:eastAsia="Arial" w:cs="Arial"/>
          <w:spacing w:val="-7"/>
          <w:sz w:val="15"/>
          <w:szCs w:val="15"/>
        </w:rPr>
        <w:t>.05*;</w:t>
      </w:r>
      <w:r>
        <w:rPr>
          <w:rFonts w:ascii="Arial" w:hAnsi="Arial" w:eastAsia="Arial" w:cs="Arial"/>
          <w:spacing w:val="18"/>
          <w:w w:val="101"/>
          <w:sz w:val="15"/>
          <w:szCs w:val="15"/>
        </w:rPr>
        <w:t xml:space="preserve"> </w:t>
      </w:r>
      <w:r>
        <w:rPr>
          <w:rFonts w:ascii="Arial" w:hAnsi="Arial" w:eastAsia="Arial" w:cs="Arial"/>
          <w:spacing w:val="-7"/>
          <w:sz w:val="15"/>
          <w:szCs w:val="15"/>
        </w:rPr>
        <w:t>HEI =</w:t>
      </w:r>
      <w:r>
        <w:rPr>
          <w:rFonts w:ascii="Arial" w:hAnsi="Arial" w:eastAsia="Arial" w:cs="Arial"/>
          <w:spacing w:val="1"/>
          <w:sz w:val="15"/>
          <w:szCs w:val="15"/>
        </w:rPr>
        <w:t xml:space="preserve"> </w:t>
      </w:r>
      <w:r>
        <w:rPr>
          <w:rFonts w:ascii="Arial" w:hAnsi="Arial" w:eastAsia="Arial" w:cs="Arial"/>
          <w:spacing w:val="-7"/>
          <w:sz w:val="15"/>
          <w:szCs w:val="15"/>
        </w:rPr>
        <w:t>higher</w:t>
      </w:r>
      <w:r>
        <w:rPr>
          <w:rFonts w:ascii="Arial" w:hAnsi="Arial" w:eastAsia="Arial" w:cs="Arial"/>
          <w:spacing w:val="12"/>
          <w:sz w:val="15"/>
          <w:szCs w:val="15"/>
        </w:rPr>
        <w:t xml:space="preserve"> </w:t>
      </w:r>
      <w:r>
        <w:rPr>
          <w:rFonts w:ascii="Arial" w:hAnsi="Arial" w:eastAsia="Arial" w:cs="Arial"/>
          <w:spacing w:val="-7"/>
          <w:sz w:val="15"/>
          <w:szCs w:val="15"/>
        </w:rPr>
        <w:t>education</w:t>
      </w:r>
      <w:r>
        <w:rPr>
          <w:rFonts w:ascii="Arial" w:hAnsi="Arial" w:eastAsia="Arial" w:cs="Arial"/>
          <w:spacing w:val="15"/>
          <w:w w:val="101"/>
          <w:sz w:val="15"/>
          <w:szCs w:val="15"/>
        </w:rPr>
        <w:t xml:space="preserve"> </w:t>
      </w:r>
      <w:r>
        <w:rPr>
          <w:rFonts w:ascii="Arial" w:hAnsi="Arial" w:eastAsia="Arial" w:cs="Arial"/>
          <w:spacing w:val="-7"/>
          <w:sz w:val="15"/>
          <w:szCs w:val="15"/>
        </w:rPr>
        <w:t>institution;</w:t>
      </w:r>
      <w:r>
        <w:rPr>
          <w:rFonts w:ascii="Arial" w:hAnsi="Arial" w:eastAsia="Arial" w:cs="Arial"/>
          <w:spacing w:val="13"/>
          <w:sz w:val="15"/>
          <w:szCs w:val="15"/>
        </w:rPr>
        <w:t xml:space="preserve"> </w:t>
      </w:r>
      <w:r>
        <w:rPr>
          <w:rFonts w:ascii="Arial" w:hAnsi="Arial" w:eastAsia="Arial" w:cs="Arial"/>
          <w:spacing w:val="-7"/>
          <w:sz w:val="15"/>
          <w:szCs w:val="15"/>
        </w:rPr>
        <w:t>Career</w:t>
      </w:r>
      <w:r>
        <w:rPr>
          <w:rFonts w:ascii="Arial" w:hAnsi="Arial" w:eastAsia="Arial" w:cs="Arial"/>
          <w:spacing w:val="17"/>
          <w:sz w:val="15"/>
          <w:szCs w:val="15"/>
        </w:rPr>
        <w:t xml:space="preserve"> </w:t>
      </w:r>
      <w:r>
        <w:rPr>
          <w:rFonts w:ascii="Arial" w:hAnsi="Arial" w:eastAsia="Arial" w:cs="Arial"/>
          <w:spacing w:val="-7"/>
          <w:sz w:val="15"/>
          <w:szCs w:val="15"/>
        </w:rPr>
        <w:t>DEV = career</w:t>
      </w:r>
      <w:r>
        <w:rPr>
          <w:rFonts w:ascii="Arial" w:hAnsi="Arial" w:eastAsia="Arial" w:cs="Arial"/>
          <w:spacing w:val="12"/>
          <w:sz w:val="15"/>
          <w:szCs w:val="15"/>
        </w:rPr>
        <w:t xml:space="preserve"> </w:t>
      </w:r>
      <w:r>
        <w:rPr>
          <w:rFonts w:ascii="Arial" w:hAnsi="Arial" w:eastAsia="Arial" w:cs="Arial"/>
          <w:spacing w:val="-7"/>
          <w:sz w:val="15"/>
          <w:szCs w:val="15"/>
        </w:rPr>
        <w:t>development;</w:t>
      </w:r>
      <w:r>
        <w:rPr>
          <w:rFonts w:ascii="Arial" w:hAnsi="Arial" w:eastAsia="Arial" w:cs="Arial"/>
          <w:spacing w:val="17"/>
          <w:w w:val="101"/>
          <w:sz w:val="15"/>
          <w:szCs w:val="15"/>
        </w:rPr>
        <w:t xml:space="preserve"> </w:t>
      </w:r>
      <w:r>
        <w:rPr>
          <w:rFonts w:ascii="Arial" w:hAnsi="Arial" w:eastAsia="Arial" w:cs="Arial"/>
          <w:spacing w:val="-7"/>
          <w:sz w:val="15"/>
          <w:szCs w:val="15"/>
        </w:rPr>
        <w:t>Professional</w:t>
      </w:r>
      <w:r>
        <w:rPr>
          <w:rFonts w:ascii="Arial" w:hAnsi="Arial" w:eastAsia="Arial" w:cs="Arial"/>
          <w:spacing w:val="17"/>
          <w:w w:val="101"/>
          <w:sz w:val="15"/>
          <w:szCs w:val="15"/>
        </w:rPr>
        <w:t xml:space="preserve"> </w:t>
      </w:r>
      <w:r>
        <w:rPr>
          <w:rFonts w:ascii="Arial" w:hAnsi="Arial" w:eastAsia="Arial" w:cs="Arial"/>
          <w:spacing w:val="-7"/>
          <w:sz w:val="15"/>
          <w:szCs w:val="15"/>
        </w:rPr>
        <w:t>EX =</w:t>
      </w:r>
      <w:r>
        <w:rPr>
          <w:rFonts w:ascii="Arial" w:hAnsi="Arial" w:eastAsia="Arial" w:cs="Arial"/>
          <w:spacing w:val="-1"/>
          <w:sz w:val="15"/>
          <w:szCs w:val="15"/>
        </w:rPr>
        <w:t xml:space="preserve"> </w:t>
      </w:r>
      <w:r>
        <w:rPr>
          <w:rFonts w:ascii="Arial" w:hAnsi="Arial" w:eastAsia="Arial" w:cs="Arial"/>
          <w:spacing w:val="-7"/>
          <w:sz w:val="15"/>
          <w:szCs w:val="15"/>
        </w:rPr>
        <w:t>professional</w:t>
      </w:r>
      <w:r>
        <w:rPr>
          <w:rFonts w:ascii="Arial" w:hAnsi="Arial" w:eastAsia="Arial" w:cs="Arial"/>
          <w:spacing w:val="12"/>
          <w:sz w:val="15"/>
          <w:szCs w:val="15"/>
        </w:rPr>
        <w:t xml:space="preserve"> </w:t>
      </w:r>
      <w:r>
        <w:rPr>
          <w:rFonts w:ascii="Arial" w:hAnsi="Arial" w:eastAsia="Arial" w:cs="Arial"/>
          <w:spacing w:val="-7"/>
          <w:sz w:val="15"/>
          <w:szCs w:val="15"/>
        </w:rPr>
        <w:t>exchange.</w:t>
      </w:r>
    </w:p>
    <w:p>
      <w:pPr>
        <w:spacing w:line="205" w:lineRule="auto"/>
        <w:rPr>
          <w:rFonts w:ascii="Arial" w:hAnsi="Arial" w:eastAsia="Arial" w:cs="Arial"/>
          <w:sz w:val="15"/>
          <w:szCs w:val="15"/>
        </w:rPr>
        <w:sectPr>
          <w:footerReference r:id="rId112" w:type="default"/>
          <w:pgSz w:w="14060" w:h="9865"/>
          <w:pgMar w:top="400" w:right="503" w:bottom="1100" w:left="866" w:header="0" w:footer="959" w:gutter="0"/>
          <w:cols w:space="720" w:num="1"/>
        </w:sectPr>
      </w:pPr>
    </w:p>
    <w:p>
      <w:pPr>
        <w:spacing w:before="103"/>
        <w:ind w:left="13"/>
        <w:rPr>
          <w:rFonts w:ascii="Arial" w:hAnsi="Arial" w:eastAsia="Arial" w:cs="Arial"/>
          <w:sz w:val="14"/>
          <w:szCs w:val="14"/>
        </w:rPr>
      </w:pPr>
      <w:r>
        <w:rPr>
          <w:rFonts w:ascii="Arial" w:hAnsi="Arial" w:eastAsia="Arial" w:cs="Arial"/>
          <w:spacing w:val="-6"/>
          <w:sz w:val="14"/>
          <w:szCs w:val="14"/>
        </w:rPr>
        <w:t xml:space="preserve">14    </w:t>
      </w:r>
      <w:r>
        <w:rPr>
          <w:position w:val="-6"/>
          <w:sz w:val="14"/>
          <w:szCs w:val="14"/>
        </w:rPr>
        <w:drawing>
          <wp:inline distT="0" distB="0" distL="0" distR="0">
            <wp:extent cx="139700" cy="13970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46"/>
                    <a:stretch>
                      <a:fillRect/>
                    </a:stretch>
                  </pic:blipFill>
                  <pic:spPr>
                    <a:xfrm>
                      <a:off x="0" y="0"/>
                      <a:ext cx="139700" cy="139700"/>
                    </a:xfrm>
                    <a:prstGeom prst="rect">
                      <a:avLst/>
                    </a:prstGeom>
                  </pic:spPr>
                </pic:pic>
              </a:graphicData>
            </a:graphic>
          </wp:inline>
        </w:drawing>
      </w:r>
      <w:r>
        <w:rPr>
          <w:rFonts w:ascii="Arial" w:hAnsi="Arial" w:eastAsia="Arial" w:cs="Arial"/>
          <w:spacing w:val="12"/>
          <w:w w:val="102"/>
          <w:sz w:val="14"/>
          <w:szCs w:val="14"/>
        </w:rPr>
        <w:t xml:space="preserve">   </w:t>
      </w:r>
      <w:r>
        <w:rPr>
          <w:rFonts w:ascii="Arial" w:hAnsi="Arial" w:eastAsia="Arial" w:cs="Arial"/>
          <w:spacing w:val="-6"/>
          <w:sz w:val="14"/>
          <w:szCs w:val="14"/>
        </w:rPr>
        <w:t>C.</w:t>
      </w:r>
      <w:r>
        <w:rPr>
          <w:rFonts w:ascii="Arial" w:hAnsi="Arial" w:eastAsia="Arial" w:cs="Arial"/>
          <w:spacing w:val="11"/>
          <w:sz w:val="14"/>
          <w:szCs w:val="14"/>
        </w:rPr>
        <w:t xml:space="preserve"> </w:t>
      </w:r>
      <w:r>
        <w:rPr>
          <w:rFonts w:ascii="Arial" w:hAnsi="Arial" w:eastAsia="Arial" w:cs="Arial"/>
          <w:spacing w:val="-6"/>
          <w:sz w:val="14"/>
          <w:szCs w:val="14"/>
        </w:rPr>
        <w:t>HILDESHEIM AND</w:t>
      </w:r>
      <w:r>
        <w:rPr>
          <w:rFonts w:ascii="Arial" w:hAnsi="Arial" w:eastAsia="Arial" w:cs="Arial"/>
          <w:spacing w:val="11"/>
          <w:w w:val="101"/>
          <w:sz w:val="14"/>
          <w:szCs w:val="14"/>
        </w:rPr>
        <w:t xml:space="preserve"> </w:t>
      </w:r>
      <w:r>
        <w:rPr>
          <w:rFonts w:ascii="Arial" w:hAnsi="Arial" w:eastAsia="Arial" w:cs="Arial"/>
          <w:spacing w:val="-6"/>
          <w:sz w:val="14"/>
          <w:szCs w:val="14"/>
        </w:rPr>
        <w:t>K.</w:t>
      </w:r>
      <w:r>
        <w:rPr>
          <w:rFonts w:ascii="Arial" w:hAnsi="Arial" w:eastAsia="Arial" w:cs="Arial"/>
          <w:spacing w:val="5"/>
          <w:sz w:val="14"/>
          <w:szCs w:val="14"/>
        </w:rPr>
        <w:t xml:space="preserve"> </w:t>
      </w:r>
      <w:r>
        <w:rPr>
          <w:rFonts w:ascii="Arial" w:hAnsi="Arial" w:eastAsia="Arial" w:cs="Arial"/>
          <w:spacing w:val="-6"/>
          <w:sz w:val="14"/>
          <w:szCs w:val="14"/>
        </w:rPr>
        <w:t>SONNT</w:t>
      </w:r>
      <w:r>
        <w:rPr>
          <w:rFonts w:ascii="Arial" w:hAnsi="Arial" w:eastAsia="Arial" w:cs="Arial"/>
          <w:spacing w:val="-7"/>
          <w:sz w:val="14"/>
          <w:szCs w:val="14"/>
        </w:rPr>
        <w:t>AG</w:t>
      </w:r>
    </w:p>
    <w:p>
      <w:pPr>
        <w:spacing w:line="280" w:lineRule="auto"/>
        <w:rPr>
          <w:rFonts w:ascii="Arial"/>
          <w:sz w:val="21"/>
        </w:rPr>
      </w:pPr>
    </w:p>
    <w:p>
      <w:pPr>
        <w:spacing w:before="55" w:line="260" w:lineRule="auto"/>
        <w:ind w:firstLine="250"/>
        <w:jc w:val="both"/>
        <w:rPr>
          <w:rFonts w:ascii="Arial" w:hAnsi="Arial" w:eastAsia="Arial" w:cs="Arial"/>
          <w:sz w:val="19"/>
          <w:szCs w:val="19"/>
        </w:rPr>
      </w:pPr>
      <w:r>
        <w:rPr>
          <w:rFonts w:ascii="Arial" w:hAnsi="Arial" w:eastAsia="Arial" w:cs="Arial"/>
          <w:spacing w:val="-6"/>
          <w:sz w:val="19"/>
          <w:szCs w:val="19"/>
        </w:rPr>
        <w:t>Interestingly,</w:t>
      </w:r>
      <w:r>
        <w:rPr>
          <w:rFonts w:ascii="Arial" w:hAnsi="Arial" w:eastAsia="Arial" w:cs="Arial"/>
          <w:spacing w:val="15"/>
          <w:sz w:val="19"/>
          <w:szCs w:val="19"/>
        </w:rPr>
        <w:t xml:space="preserve"> </w:t>
      </w:r>
      <w:r>
        <w:rPr>
          <w:rFonts w:ascii="Arial" w:hAnsi="Arial" w:eastAsia="Arial" w:cs="Arial"/>
          <w:spacing w:val="-6"/>
          <w:sz w:val="19"/>
          <w:szCs w:val="19"/>
        </w:rPr>
        <w:t>EFA and CFA analyses</w:t>
      </w:r>
      <w:r>
        <w:rPr>
          <w:rFonts w:ascii="Arial" w:hAnsi="Arial" w:eastAsia="Arial" w:cs="Arial"/>
          <w:spacing w:val="13"/>
          <w:w w:val="101"/>
          <w:sz w:val="19"/>
          <w:szCs w:val="19"/>
        </w:rPr>
        <w:t xml:space="preserve"> </w:t>
      </w:r>
      <w:r>
        <w:rPr>
          <w:rFonts w:ascii="Arial" w:hAnsi="Arial" w:eastAsia="Arial" w:cs="Arial"/>
          <w:spacing w:val="-6"/>
          <w:sz w:val="19"/>
          <w:szCs w:val="19"/>
        </w:rPr>
        <w:t>resulted</w:t>
      </w:r>
      <w:r>
        <w:rPr>
          <w:rFonts w:ascii="Arial" w:hAnsi="Arial" w:eastAsia="Arial" w:cs="Arial"/>
          <w:spacing w:val="12"/>
          <w:sz w:val="19"/>
          <w:szCs w:val="19"/>
        </w:rPr>
        <w:t xml:space="preserve"> </w:t>
      </w:r>
      <w:r>
        <w:rPr>
          <w:rFonts w:ascii="Arial" w:hAnsi="Arial" w:eastAsia="Arial" w:cs="Arial"/>
          <w:spacing w:val="-6"/>
          <w:sz w:val="19"/>
          <w:szCs w:val="19"/>
        </w:rPr>
        <w:t>i</w:t>
      </w:r>
      <w:r>
        <w:rPr>
          <w:rFonts w:ascii="Arial" w:hAnsi="Arial" w:eastAsia="Arial" w:cs="Arial"/>
          <w:spacing w:val="-7"/>
          <w:sz w:val="19"/>
          <w:szCs w:val="19"/>
        </w:rPr>
        <w:t>n two</w:t>
      </w:r>
      <w:r>
        <w:rPr>
          <w:rFonts w:ascii="Arial" w:hAnsi="Arial" w:eastAsia="Arial" w:cs="Arial"/>
          <w:spacing w:val="12"/>
          <w:sz w:val="19"/>
          <w:szCs w:val="19"/>
        </w:rPr>
        <w:t xml:space="preserve"> </w:t>
      </w:r>
      <w:r>
        <w:rPr>
          <w:rFonts w:ascii="Arial" w:hAnsi="Arial" w:eastAsia="Arial" w:cs="Arial"/>
          <w:spacing w:val="-7"/>
          <w:sz w:val="19"/>
          <w:szCs w:val="19"/>
        </w:rPr>
        <w:t>independent</w:t>
      </w:r>
      <w:r>
        <w:rPr>
          <w:rFonts w:ascii="Arial" w:hAnsi="Arial" w:eastAsia="Arial" w:cs="Arial"/>
          <w:spacing w:val="14"/>
          <w:w w:val="101"/>
          <w:sz w:val="19"/>
          <w:szCs w:val="19"/>
        </w:rPr>
        <w:t xml:space="preserve"> </w:t>
      </w:r>
      <w:r>
        <w:rPr>
          <w:rFonts w:ascii="Arial" w:hAnsi="Arial" w:eastAsia="Arial" w:cs="Arial"/>
          <w:spacing w:val="-7"/>
          <w:sz w:val="19"/>
          <w:szCs w:val="19"/>
        </w:rPr>
        <w:t>leadership factors,</w:t>
      </w:r>
      <w:r>
        <w:rPr>
          <w:rFonts w:ascii="Arial" w:hAnsi="Arial" w:eastAsia="Arial" w:cs="Arial"/>
          <w:spacing w:val="14"/>
          <w:sz w:val="19"/>
          <w:szCs w:val="19"/>
        </w:rPr>
        <w:t xml:space="preserve"> </w:t>
      </w:r>
      <w:r>
        <w:rPr>
          <w:rFonts w:ascii="Arial" w:hAnsi="Arial" w:eastAsia="Arial" w:cs="Arial"/>
          <w:spacing w:val="-7"/>
          <w:sz w:val="19"/>
          <w:szCs w:val="19"/>
        </w:rPr>
        <w:t>representing</w:t>
      </w:r>
      <w:r>
        <w:rPr>
          <w:rFonts w:ascii="Arial" w:hAnsi="Arial" w:eastAsia="Arial" w:cs="Arial"/>
          <w:sz w:val="19"/>
          <w:szCs w:val="19"/>
        </w:rPr>
        <w:t xml:space="preserve"> </w:t>
      </w:r>
      <w:r>
        <w:rPr>
          <w:rFonts w:ascii="Arial" w:hAnsi="Arial" w:eastAsia="Arial" w:cs="Arial"/>
          <w:spacing w:val="-7"/>
          <w:sz w:val="19"/>
          <w:szCs w:val="19"/>
        </w:rPr>
        <w:t>le</w:t>
      </w:r>
      <w:r>
        <w:rPr>
          <w:rFonts w:ascii="Arial" w:hAnsi="Arial" w:eastAsia="Arial" w:cs="Arial"/>
          <w:spacing w:val="-6"/>
          <w:sz w:val="19"/>
          <w:szCs w:val="19"/>
        </w:rPr>
        <w:t>adership</w:t>
      </w:r>
      <w:r>
        <w:rPr>
          <w:rFonts w:ascii="Arial" w:hAnsi="Arial" w:eastAsia="Arial" w:cs="Arial"/>
          <w:spacing w:val="27"/>
          <w:sz w:val="19"/>
          <w:szCs w:val="19"/>
        </w:rPr>
        <w:t xml:space="preserve"> </w:t>
      </w:r>
      <w:r>
        <w:rPr>
          <w:rFonts w:ascii="Arial" w:hAnsi="Arial" w:eastAsia="Arial" w:cs="Arial"/>
          <w:spacing w:val="-6"/>
          <w:sz w:val="19"/>
          <w:szCs w:val="19"/>
        </w:rPr>
        <w:t>behavior</w:t>
      </w:r>
      <w:r>
        <w:rPr>
          <w:rFonts w:ascii="Arial" w:hAnsi="Arial" w:eastAsia="Arial" w:cs="Arial"/>
          <w:spacing w:val="17"/>
          <w:sz w:val="19"/>
          <w:szCs w:val="19"/>
        </w:rPr>
        <w:t xml:space="preserve"> </w:t>
      </w:r>
      <w:r>
        <w:rPr>
          <w:rFonts w:ascii="Arial" w:hAnsi="Arial" w:eastAsia="Arial" w:cs="Arial"/>
          <w:spacing w:val="-6"/>
          <w:sz w:val="19"/>
          <w:szCs w:val="19"/>
        </w:rPr>
        <w:t>and</w:t>
      </w:r>
      <w:r>
        <w:rPr>
          <w:rFonts w:ascii="Arial" w:hAnsi="Arial" w:eastAsia="Arial" w:cs="Arial"/>
          <w:spacing w:val="23"/>
          <w:w w:val="101"/>
          <w:sz w:val="19"/>
          <w:szCs w:val="19"/>
        </w:rPr>
        <w:t xml:space="preserve"> </w:t>
      </w:r>
      <w:r>
        <w:rPr>
          <w:rFonts w:ascii="Arial" w:hAnsi="Arial" w:eastAsia="Arial" w:cs="Arial"/>
          <w:spacing w:val="-6"/>
          <w:sz w:val="19"/>
          <w:szCs w:val="19"/>
        </w:rPr>
        <w:t>leadership</w:t>
      </w:r>
      <w:r>
        <w:rPr>
          <w:rFonts w:ascii="Arial" w:hAnsi="Arial" w:eastAsia="Arial" w:cs="Arial"/>
          <w:spacing w:val="17"/>
          <w:sz w:val="19"/>
          <w:szCs w:val="19"/>
        </w:rPr>
        <w:t xml:space="preserve"> </w:t>
      </w:r>
      <w:r>
        <w:rPr>
          <w:rFonts w:ascii="Arial" w:hAnsi="Arial" w:eastAsia="Arial" w:cs="Arial"/>
          <w:spacing w:val="-6"/>
          <w:sz w:val="19"/>
          <w:szCs w:val="19"/>
        </w:rPr>
        <w:t>expectations.</w:t>
      </w:r>
      <w:r>
        <w:rPr>
          <w:rFonts w:ascii="Arial" w:hAnsi="Arial" w:eastAsia="Arial" w:cs="Arial"/>
          <w:spacing w:val="25"/>
          <w:sz w:val="19"/>
          <w:szCs w:val="19"/>
        </w:rPr>
        <w:t xml:space="preserve"> </w:t>
      </w:r>
      <w:r>
        <w:rPr>
          <w:rFonts w:ascii="Arial" w:hAnsi="Arial" w:eastAsia="Arial" w:cs="Arial"/>
          <w:spacing w:val="-6"/>
          <w:sz w:val="19"/>
          <w:szCs w:val="19"/>
        </w:rPr>
        <w:t>However,</w:t>
      </w:r>
      <w:r>
        <w:rPr>
          <w:rFonts w:ascii="Arial" w:hAnsi="Arial" w:eastAsia="Arial" w:cs="Arial"/>
          <w:spacing w:val="18"/>
          <w:w w:val="101"/>
          <w:sz w:val="19"/>
          <w:szCs w:val="19"/>
        </w:rPr>
        <w:t xml:space="preserve"> </w:t>
      </w:r>
      <w:r>
        <w:rPr>
          <w:rFonts w:ascii="Arial" w:hAnsi="Arial" w:eastAsia="Arial" w:cs="Arial"/>
          <w:spacing w:val="-6"/>
          <w:sz w:val="19"/>
          <w:szCs w:val="19"/>
        </w:rPr>
        <w:t>only</w:t>
      </w:r>
      <w:r>
        <w:rPr>
          <w:rFonts w:ascii="Arial" w:hAnsi="Arial" w:eastAsia="Arial" w:cs="Arial"/>
          <w:spacing w:val="13"/>
          <w:sz w:val="19"/>
          <w:szCs w:val="19"/>
        </w:rPr>
        <w:t xml:space="preserve"> </w:t>
      </w:r>
      <w:r>
        <w:rPr>
          <w:rFonts w:ascii="Arial" w:hAnsi="Arial" w:eastAsia="Arial" w:cs="Arial"/>
          <w:spacing w:val="-6"/>
          <w:sz w:val="19"/>
          <w:szCs w:val="19"/>
        </w:rPr>
        <w:t>the</w:t>
      </w:r>
      <w:r>
        <w:rPr>
          <w:rFonts w:ascii="Arial" w:hAnsi="Arial" w:eastAsia="Arial" w:cs="Arial"/>
          <w:spacing w:val="23"/>
          <w:w w:val="101"/>
          <w:sz w:val="19"/>
          <w:szCs w:val="19"/>
        </w:rPr>
        <w:t xml:space="preserve"> </w:t>
      </w:r>
      <w:r>
        <w:rPr>
          <w:rFonts w:ascii="Arial" w:hAnsi="Arial" w:eastAsia="Arial" w:cs="Arial"/>
          <w:spacing w:val="-6"/>
          <w:sz w:val="19"/>
          <w:szCs w:val="19"/>
        </w:rPr>
        <w:t>behavior</w:t>
      </w:r>
      <w:r>
        <w:rPr>
          <w:rFonts w:ascii="Arial" w:hAnsi="Arial" w:eastAsia="Arial" w:cs="Arial"/>
          <w:spacing w:val="13"/>
          <w:w w:val="101"/>
          <w:sz w:val="19"/>
          <w:szCs w:val="19"/>
        </w:rPr>
        <w:t xml:space="preserve"> </w:t>
      </w:r>
      <w:r>
        <w:rPr>
          <w:rFonts w:ascii="Arial" w:hAnsi="Arial" w:eastAsia="Arial" w:cs="Arial"/>
          <w:spacing w:val="-6"/>
          <w:sz w:val="19"/>
          <w:szCs w:val="19"/>
        </w:rPr>
        <w:t>factor</w:t>
      </w:r>
      <w:r>
        <w:rPr>
          <w:rFonts w:ascii="Arial" w:hAnsi="Arial" w:eastAsia="Arial" w:cs="Arial"/>
          <w:spacing w:val="14"/>
          <w:w w:val="101"/>
          <w:sz w:val="19"/>
          <w:szCs w:val="19"/>
        </w:rPr>
        <w:t xml:space="preserve"> </w:t>
      </w:r>
      <w:r>
        <w:rPr>
          <w:rFonts w:ascii="Arial" w:hAnsi="Arial" w:eastAsia="Arial" w:cs="Arial"/>
          <w:spacing w:val="-6"/>
          <w:sz w:val="19"/>
          <w:szCs w:val="19"/>
        </w:rPr>
        <w:t>was</w:t>
      </w:r>
      <w:r>
        <w:rPr>
          <w:rFonts w:ascii="Arial" w:hAnsi="Arial" w:eastAsia="Arial" w:cs="Arial"/>
          <w:spacing w:val="23"/>
          <w:w w:val="101"/>
          <w:sz w:val="19"/>
          <w:szCs w:val="19"/>
        </w:rPr>
        <w:t xml:space="preserve"> </w:t>
      </w:r>
      <w:r>
        <w:rPr>
          <w:rFonts w:ascii="Arial" w:hAnsi="Arial" w:eastAsia="Arial" w:cs="Arial"/>
          <w:spacing w:val="-6"/>
          <w:sz w:val="19"/>
          <w:szCs w:val="19"/>
        </w:rPr>
        <w:t>positivel</w:t>
      </w:r>
      <w:r>
        <w:rPr>
          <w:rFonts w:ascii="Arial" w:hAnsi="Arial" w:eastAsia="Arial" w:cs="Arial"/>
          <w:spacing w:val="-4"/>
          <w:sz w:val="19"/>
          <w:szCs w:val="19"/>
        </w:rPr>
        <w:t>y</w:t>
      </w:r>
      <w:r>
        <w:rPr>
          <w:rFonts w:ascii="Arial" w:hAnsi="Arial" w:eastAsia="Arial" w:cs="Arial"/>
          <w:sz w:val="19"/>
          <w:szCs w:val="19"/>
        </w:rPr>
        <w:t xml:space="preserve"> </w:t>
      </w:r>
      <w:r>
        <w:rPr>
          <w:rFonts w:ascii="Arial" w:hAnsi="Arial" w:eastAsia="Arial" w:cs="Arial"/>
          <w:spacing w:val="-6"/>
          <w:sz w:val="19"/>
          <w:szCs w:val="19"/>
        </w:rPr>
        <w:t>re</w:t>
      </w:r>
      <w:r>
        <w:rPr>
          <w:rFonts w:ascii="Arial" w:hAnsi="Arial" w:eastAsia="Arial" w:cs="Arial"/>
          <w:spacing w:val="-5"/>
          <w:sz w:val="19"/>
          <w:szCs w:val="19"/>
        </w:rPr>
        <w:t>lated</w:t>
      </w:r>
      <w:r>
        <w:rPr>
          <w:rFonts w:ascii="Arial" w:hAnsi="Arial" w:eastAsia="Arial" w:cs="Arial"/>
          <w:spacing w:val="15"/>
          <w:sz w:val="19"/>
          <w:szCs w:val="19"/>
        </w:rPr>
        <w:t xml:space="preserve"> </w:t>
      </w:r>
      <w:r>
        <w:rPr>
          <w:rFonts w:ascii="Arial" w:hAnsi="Arial" w:eastAsia="Arial" w:cs="Arial"/>
          <w:spacing w:val="-5"/>
          <w:sz w:val="19"/>
          <w:szCs w:val="19"/>
        </w:rPr>
        <w:t>to</w:t>
      </w:r>
      <w:r>
        <w:rPr>
          <w:rFonts w:ascii="Arial" w:hAnsi="Arial" w:eastAsia="Arial" w:cs="Arial"/>
          <w:spacing w:val="13"/>
          <w:w w:val="101"/>
          <w:sz w:val="19"/>
          <w:szCs w:val="19"/>
        </w:rPr>
        <w:t xml:space="preserve"> </w:t>
      </w:r>
      <w:r>
        <w:rPr>
          <w:rFonts w:ascii="Arial" w:hAnsi="Arial" w:eastAsia="Arial" w:cs="Arial"/>
          <w:spacing w:val="-5"/>
          <w:sz w:val="19"/>
          <w:szCs w:val="19"/>
        </w:rPr>
        <w:t>the</w:t>
      </w:r>
      <w:r>
        <w:rPr>
          <w:rFonts w:ascii="Arial" w:hAnsi="Arial" w:eastAsia="Arial" w:cs="Arial"/>
          <w:spacing w:val="22"/>
          <w:w w:val="101"/>
          <w:sz w:val="19"/>
          <w:szCs w:val="19"/>
        </w:rPr>
        <w:t xml:space="preserve"> </w:t>
      </w:r>
      <w:r>
        <w:rPr>
          <w:rFonts w:ascii="Arial" w:hAnsi="Arial" w:eastAsia="Arial" w:cs="Arial"/>
          <w:spacing w:val="-5"/>
          <w:sz w:val="19"/>
          <w:szCs w:val="19"/>
        </w:rPr>
        <w:t>proposed</w:t>
      </w:r>
      <w:r>
        <w:rPr>
          <w:rFonts w:ascii="Arial" w:hAnsi="Arial" w:eastAsia="Arial" w:cs="Arial"/>
          <w:spacing w:val="18"/>
          <w:sz w:val="19"/>
          <w:szCs w:val="19"/>
        </w:rPr>
        <w:t xml:space="preserve"> </w:t>
      </w:r>
      <w:r>
        <w:rPr>
          <w:rFonts w:ascii="Arial" w:hAnsi="Arial" w:eastAsia="Arial" w:cs="Arial"/>
          <w:spacing w:val="-5"/>
          <w:sz w:val="19"/>
          <w:szCs w:val="19"/>
        </w:rPr>
        <w:t>outcome</w:t>
      </w:r>
      <w:r>
        <w:rPr>
          <w:rFonts w:ascii="Arial" w:hAnsi="Arial" w:eastAsia="Arial" w:cs="Arial"/>
          <w:spacing w:val="23"/>
          <w:w w:val="101"/>
          <w:sz w:val="19"/>
          <w:szCs w:val="19"/>
        </w:rPr>
        <w:t xml:space="preserve"> </w:t>
      </w:r>
      <w:r>
        <w:rPr>
          <w:rFonts w:ascii="Arial" w:hAnsi="Arial" w:eastAsia="Arial" w:cs="Arial"/>
          <w:spacing w:val="-5"/>
          <w:sz w:val="19"/>
          <w:szCs w:val="19"/>
        </w:rPr>
        <w:t>measures,</w:t>
      </w:r>
      <w:r>
        <w:rPr>
          <w:rFonts w:ascii="Arial" w:hAnsi="Arial" w:eastAsia="Arial" w:cs="Arial"/>
          <w:spacing w:val="17"/>
          <w:sz w:val="19"/>
          <w:szCs w:val="19"/>
        </w:rPr>
        <w:t xml:space="preserve"> </w:t>
      </w:r>
      <w:r>
        <w:rPr>
          <w:rFonts w:ascii="Arial" w:hAnsi="Arial" w:eastAsia="Arial" w:cs="Arial"/>
          <w:spacing w:val="-5"/>
          <w:sz w:val="19"/>
          <w:szCs w:val="19"/>
        </w:rPr>
        <w:t>showing</w:t>
      </w:r>
      <w:r>
        <w:rPr>
          <w:rFonts w:ascii="Arial" w:hAnsi="Arial" w:eastAsia="Arial" w:cs="Arial"/>
          <w:spacing w:val="13"/>
          <w:w w:val="101"/>
          <w:sz w:val="19"/>
          <w:szCs w:val="19"/>
        </w:rPr>
        <w:t xml:space="preserve"> </w:t>
      </w:r>
      <w:r>
        <w:rPr>
          <w:rFonts w:ascii="Arial" w:hAnsi="Arial" w:eastAsia="Arial" w:cs="Arial"/>
          <w:spacing w:val="-5"/>
          <w:sz w:val="19"/>
          <w:szCs w:val="19"/>
        </w:rPr>
        <w:t>the</w:t>
      </w:r>
      <w:r>
        <w:rPr>
          <w:rFonts w:ascii="Arial" w:hAnsi="Arial" w:eastAsia="Arial" w:cs="Arial"/>
          <w:spacing w:val="16"/>
          <w:w w:val="101"/>
          <w:sz w:val="19"/>
          <w:szCs w:val="19"/>
        </w:rPr>
        <w:t xml:space="preserve"> </w:t>
      </w:r>
      <w:r>
        <w:rPr>
          <w:rFonts w:ascii="Arial" w:hAnsi="Arial" w:eastAsia="Arial" w:cs="Arial"/>
          <w:spacing w:val="-5"/>
          <w:sz w:val="19"/>
          <w:szCs w:val="19"/>
        </w:rPr>
        <w:t>strongest</w:t>
      </w:r>
      <w:r>
        <w:rPr>
          <w:rFonts w:ascii="Arial" w:hAnsi="Arial" w:eastAsia="Arial" w:cs="Arial"/>
          <w:spacing w:val="16"/>
          <w:w w:val="101"/>
          <w:sz w:val="19"/>
          <w:szCs w:val="19"/>
        </w:rPr>
        <w:t xml:space="preserve"> </w:t>
      </w:r>
      <w:r>
        <w:rPr>
          <w:rFonts w:ascii="Arial" w:hAnsi="Arial" w:eastAsia="Arial" w:cs="Arial"/>
          <w:spacing w:val="-5"/>
          <w:sz w:val="19"/>
          <w:szCs w:val="19"/>
        </w:rPr>
        <w:t>efects</w:t>
      </w:r>
      <w:r>
        <w:rPr>
          <w:rFonts w:ascii="Arial" w:hAnsi="Arial" w:eastAsia="Arial" w:cs="Arial"/>
          <w:spacing w:val="17"/>
          <w:sz w:val="19"/>
          <w:szCs w:val="19"/>
        </w:rPr>
        <w:t xml:space="preserve"> </w:t>
      </w:r>
      <w:r>
        <w:rPr>
          <w:rFonts w:ascii="Arial" w:hAnsi="Arial" w:eastAsia="Arial" w:cs="Arial"/>
          <w:spacing w:val="-5"/>
          <w:sz w:val="19"/>
          <w:szCs w:val="19"/>
        </w:rPr>
        <w:t>on</w:t>
      </w:r>
      <w:r>
        <w:rPr>
          <w:rFonts w:ascii="Arial" w:hAnsi="Arial" w:eastAsia="Arial" w:cs="Arial"/>
          <w:spacing w:val="16"/>
          <w:w w:val="101"/>
          <w:sz w:val="19"/>
          <w:szCs w:val="19"/>
        </w:rPr>
        <w:t xml:space="preserve"> </w:t>
      </w:r>
      <w:r>
        <w:rPr>
          <w:rFonts w:ascii="Arial" w:hAnsi="Arial" w:eastAsia="Arial" w:cs="Arial"/>
          <w:spacing w:val="-5"/>
          <w:sz w:val="19"/>
          <w:szCs w:val="19"/>
        </w:rPr>
        <w:t>career</w:t>
      </w:r>
      <w:r>
        <w:rPr>
          <w:rFonts w:ascii="Arial" w:hAnsi="Arial" w:eastAsia="Arial" w:cs="Arial"/>
          <w:spacing w:val="17"/>
          <w:sz w:val="19"/>
          <w:szCs w:val="19"/>
        </w:rPr>
        <w:t xml:space="preserve"> </w:t>
      </w:r>
      <w:r>
        <w:rPr>
          <w:rFonts w:ascii="Arial" w:hAnsi="Arial" w:eastAsia="Arial" w:cs="Arial"/>
          <w:spacing w:val="-5"/>
          <w:sz w:val="19"/>
          <w:szCs w:val="19"/>
        </w:rPr>
        <w:t>developmen</w:t>
      </w:r>
      <w:r>
        <w:rPr>
          <w:rFonts w:ascii="Arial" w:hAnsi="Arial" w:eastAsia="Arial" w:cs="Arial"/>
          <w:spacing w:val="-3"/>
          <w:sz w:val="19"/>
          <w:szCs w:val="19"/>
        </w:rPr>
        <w:t>t</w:t>
      </w:r>
      <w:r>
        <w:rPr>
          <w:rFonts w:ascii="Arial" w:hAnsi="Arial" w:eastAsia="Arial" w:cs="Arial"/>
          <w:sz w:val="19"/>
          <w:szCs w:val="19"/>
        </w:rPr>
        <w:t xml:space="preserve"> </w:t>
      </w:r>
      <w:r>
        <w:rPr>
          <w:rFonts w:ascii="Arial" w:hAnsi="Arial" w:eastAsia="Arial" w:cs="Arial"/>
          <w:spacing w:val="-4"/>
          <w:sz w:val="19"/>
          <w:szCs w:val="19"/>
        </w:rPr>
        <w:t>and</w:t>
      </w:r>
      <w:r>
        <w:rPr>
          <w:rFonts w:ascii="Arial" w:hAnsi="Arial" w:eastAsia="Arial" w:cs="Arial"/>
          <w:spacing w:val="-18"/>
          <w:sz w:val="19"/>
          <w:szCs w:val="19"/>
        </w:rPr>
        <w:t xml:space="preserve"> </w:t>
      </w:r>
      <w:r>
        <w:rPr>
          <w:rFonts w:ascii="Arial" w:hAnsi="Arial" w:eastAsia="Arial" w:cs="Arial"/>
          <w:spacing w:val="-4"/>
          <w:sz w:val="19"/>
          <w:szCs w:val="19"/>
        </w:rPr>
        <w:t>job satisfaction. By contrast, high leadership ex</w:t>
      </w:r>
      <w:r>
        <w:rPr>
          <w:rFonts w:ascii="Arial" w:hAnsi="Arial" w:eastAsia="Arial" w:cs="Arial"/>
          <w:spacing w:val="-5"/>
          <w:sz w:val="19"/>
          <w:szCs w:val="19"/>
        </w:rPr>
        <w:t>pectations were negatively related to</w:t>
      </w:r>
      <w:r>
        <w:rPr>
          <w:rFonts w:ascii="Arial" w:hAnsi="Arial" w:eastAsia="Arial" w:cs="Arial"/>
          <w:spacing w:val="-17"/>
          <w:sz w:val="19"/>
          <w:szCs w:val="19"/>
        </w:rPr>
        <w:t xml:space="preserve"> </w:t>
      </w:r>
      <w:r>
        <w:rPr>
          <w:rFonts w:ascii="Arial" w:hAnsi="Arial" w:eastAsia="Arial" w:cs="Arial"/>
          <w:spacing w:val="-5"/>
          <w:sz w:val="19"/>
          <w:szCs w:val="19"/>
        </w:rPr>
        <w:t>jobsatisfac-</w:t>
      </w:r>
      <w:r>
        <w:rPr>
          <w:rFonts w:ascii="Arial" w:hAnsi="Arial" w:eastAsia="Arial" w:cs="Arial"/>
          <w:sz w:val="19"/>
          <w:szCs w:val="19"/>
        </w:rPr>
        <w:t xml:space="preserve"> </w:t>
      </w:r>
      <w:r>
        <w:rPr>
          <w:rFonts w:ascii="Arial" w:hAnsi="Arial" w:eastAsia="Arial" w:cs="Arial"/>
          <w:spacing w:val="-4"/>
          <w:sz w:val="19"/>
          <w:szCs w:val="19"/>
        </w:rPr>
        <w:t>tion while all other</w:t>
      </w:r>
      <w:r>
        <w:rPr>
          <w:rFonts w:ascii="Arial" w:hAnsi="Arial" w:eastAsia="Arial" w:cs="Arial"/>
          <w:spacing w:val="21"/>
          <w:sz w:val="19"/>
          <w:szCs w:val="19"/>
        </w:rPr>
        <w:t xml:space="preserve"> </w:t>
      </w:r>
      <w:r>
        <w:rPr>
          <w:rFonts w:ascii="Arial" w:hAnsi="Arial" w:eastAsia="Arial" w:cs="Arial"/>
          <w:spacing w:val="-4"/>
          <w:sz w:val="19"/>
          <w:szCs w:val="19"/>
        </w:rPr>
        <w:t>proposed</w:t>
      </w:r>
      <w:r>
        <w:rPr>
          <w:rFonts w:ascii="Arial" w:hAnsi="Arial" w:eastAsia="Arial" w:cs="Arial"/>
          <w:spacing w:val="16"/>
          <w:w w:val="101"/>
          <w:sz w:val="19"/>
          <w:szCs w:val="19"/>
        </w:rPr>
        <w:t xml:space="preserve"> </w:t>
      </w:r>
      <w:r>
        <w:rPr>
          <w:rFonts w:ascii="Arial" w:hAnsi="Arial" w:eastAsia="Arial" w:cs="Arial"/>
          <w:spacing w:val="-4"/>
          <w:sz w:val="19"/>
          <w:szCs w:val="19"/>
        </w:rPr>
        <w:t>model</w:t>
      </w:r>
      <w:r>
        <w:rPr>
          <w:rFonts w:ascii="Arial" w:hAnsi="Arial" w:eastAsia="Arial" w:cs="Arial"/>
          <w:spacing w:val="15"/>
          <w:sz w:val="19"/>
          <w:szCs w:val="19"/>
        </w:rPr>
        <w:t xml:space="preserve"> </w:t>
      </w:r>
      <w:r>
        <w:rPr>
          <w:rFonts w:ascii="Arial" w:hAnsi="Arial" w:eastAsia="Arial" w:cs="Arial"/>
          <w:spacing w:val="-4"/>
          <w:sz w:val="19"/>
          <w:szCs w:val="19"/>
        </w:rPr>
        <w:t>paths</w:t>
      </w:r>
      <w:r>
        <w:rPr>
          <w:rFonts w:ascii="Arial" w:hAnsi="Arial" w:eastAsia="Arial" w:cs="Arial"/>
          <w:spacing w:val="16"/>
          <w:sz w:val="19"/>
          <w:szCs w:val="19"/>
        </w:rPr>
        <w:t xml:space="preserve"> </w:t>
      </w:r>
      <w:r>
        <w:rPr>
          <w:rFonts w:ascii="Arial" w:hAnsi="Arial" w:eastAsia="Arial" w:cs="Arial"/>
          <w:spacing w:val="-4"/>
          <w:sz w:val="19"/>
          <w:szCs w:val="19"/>
        </w:rPr>
        <w:t>remained</w:t>
      </w:r>
      <w:r>
        <w:rPr>
          <w:rFonts w:ascii="Arial" w:hAnsi="Arial" w:eastAsia="Arial" w:cs="Arial"/>
          <w:spacing w:val="13"/>
          <w:w w:val="101"/>
          <w:sz w:val="19"/>
          <w:szCs w:val="19"/>
        </w:rPr>
        <w:t xml:space="preserve"> </w:t>
      </w:r>
      <w:r>
        <w:rPr>
          <w:rFonts w:ascii="Arial" w:hAnsi="Arial" w:eastAsia="Arial" w:cs="Arial"/>
          <w:spacing w:val="-4"/>
          <w:sz w:val="19"/>
          <w:szCs w:val="19"/>
        </w:rPr>
        <w:t>insigniicant. Thus,</w:t>
      </w:r>
      <w:r>
        <w:rPr>
          <w:rFonts w:ascii="Arial" w:hAnsi="Arial" w:eastAsia="Arial" w:cs="Arial"/>
          <w:spacing w:val="13"/>
          <w:w w:val="101"/>
          <w:sz w:val="19"/>
          <w:szCs w:val="19"/>
        </w:rPr>
        <w:t xml:space="preserve"> </w:t>
      </w:r>
      <w:r>
        <w:rPr>
          <w:rFonts w:ascii="Arial" w:hAnsi="Arial" w:eastAsia="Arial" w:cs="Arial"/>
          <w:spacing w:val="-4"/>
          <w:sz w:val="19"/>
          <w:szCs w:val="19"/>
        </w:rPr>
        <w:t>providing an</w:t>
      </w:r>
      <w:r>
        <w:rPr>
          <w:rFonts w:ascii="Arial" w:hAnsi="Arial" w:eastAsia="Arial" w:cs="Arial"/>
          <w:spacing w:val="8"/>
          <w:sz w:val="19"/>
          <w:szCs w:val="19"/>
        </w:rPr>
        <w:t xml:space="preserve"> </w:t>
      </w:r>
      <w:r>
        <w:rPr>
          <w:rFonts w:ascii="Arial" w:hAnsi="Arial" w:eastAsia="Arial" w:cs="Arial"/>
          <w:spacing w:val="-4"/>
          <w:sz w:val="19"/>
          <w:szCs w:val="19"/>
        </w:rPr>
        <w:t>adequate</w:t>
      </w:r>
      <w:r>
        <w:rPr>
          <w:rFonts w:ascii="Arial" w:hAnsi="Arial" w:eastAsia="Arial" w:cs="Arial"/>
          <w:spacing w:val="16"/>
          <w:w w:val="101"/>
          <w:sz w:val="19"/>
          <w:szCs w:val="19"/>
        </w:rPr>
        <w:t xml:space="preserve"> </w:t>
      </w:r>
      <w:r>
        <w:rPr>
          <w:rFonts w:ascii="Arial" w:hAnsi="Arial" w:eastAsia="Arial" w:cs="Arial"/>
          <w:spacing w:val="-4"/>
          <w:sz w:val="19"/>
          <w:szCs w:val="19"/>
        </w:rPr>
        <w:t>role</w:t>
      </w:r>
      <w:r>
        <w:rPr>
          <w:rFonts w:ascii="Arial" w:hAnsi="Arial" w:eastAsia="Arial" w:cs="Arial"/>
          <w:sz w:val="19"/>
          <w:szCs w:val="19"/>
        </w:rPr>
        <w:t xml:space="preserve"> </w:t>
      </w:r>
      <w:r>
        <w:rPr>
          <w:rFonts w:ascii="Arial" w:hAnsi="Arial" w:eastAsia="Arial" w:cs="Arial"/>
          <w:spacing w:val="-4"/>
          <w:sz w:val="19"/>
          <w:szCs w:val="19"/>
        </w:rPr>
        <w:t>m</w:t>
      </w:r>
      <w:r>
        <w:rPr>
          <w:rFonts w:ascii="Arial" w:hAnsi="Arial" w:eastAsia="Arial" w:cs="Arial"/>
          <w:spacing w:val="-3"/>
          <w:sz w:val="19"/>
          <w:szCs w:val="19"/>
        </w:rPr>
        <w:t>odel in terms of quality-o</w:t>
      </w:r>
      <w:r>
        <w:rPr>
          <w:rFonts w:ascii="Arial" w:hAnsi="Arial" w:eastAsia="Arial" w:cs="Arial"/>
          <w:spacing w:val="-4"/>
          <w:sz w:val="19"/>
          <w:szCs w:val="19"/>
        </w:rPr>
        <w:t>riented leadership behavior seems to</w:t>
      </w:r>
      <w:r>
        <w:rPr>
          <w:rFonts w:ascii="Arial" w:hAnsi="Arial" w:eastAsia="Arial" w:cs="Arial"/>
          <w:spacing w:val="10"/>
          <w:sz w:val="19"/>
          <w:szCs w:val="19"/>
        </w:rPr>
        <w:t xml:space="preserve"> </w:t>
      </w:r>
      <w:r>
        <w:rPr>
          <w:rFonts w:ascii="Arial" w:hAnsi="Arial" w:eastAsia="Arial" w:cs="Arial"/>
          <w:spacing w:val="-4"/>
          <w:sz w:val="19"/>
          <w:szCs w:val="19"/>
        </w:rPr>
        <w:t>have a</w:t>
      </w:r>
      <w:r>
        <w:rPr>
          <w:rFonts w:ascii="Arial" w:hAnsi="Arial" w:eastAsia="Arial" w:cs="Arial"/>
          <w:spacing w:val="9"/>
          <w:sz w:val="19"/>
          <w:szCs w:val="19"/>
        </w:rPr>
        <w:t xml:space="preserve"> </w:t>
      </w:r>
      <w:r>
        <w:rPr>
          <w:rFonts w:ascii="Arial" w:hAnsi="Arial" w:eastAsia="Arial" w:cs="Arial"/>
          <w:spacing w:val="-4"/>
          <w:sz w:val="19"/>
          <w:szCs w:val="19"/>
        </w:rPr>
        <w:t>much</w:t>
      </w:r>
      <w:r>
        <w:rPr>
          <w:rFonts w:ascii="Arial" w:hAnsi="Arial" w:eastAsia="Arial" w:cs="Arial"/>
          <w:spacing w:val="8"/>
          <w:sz w:val="19"/>
          <w:szCs w:val="19"/>
        </w:rPr>
        <w:t xml:space="preserve"> </w:t>
      </w:r>
      <w:r>
        <w:rPr>
          <w:rFonts w:ascii="Arial" w:hAnsi="Arial" w:eastAsia="Arial" w:cs="Arial"/>
          <w:spacing w:val="-4"/>
          <w:sz w:val="19"/>
          <w:szCs w:val="19"/>
        </w:rPr>
        <w:t>more</w:t>
      </w:r>
      <w:r>
        <w:rPr>
          <w:rFonts w:ascii="Arial" w:hAnsi="Arial" w:eastAsia="Arial" w:cs="Arial"/>
          <w:spacing w:val="9"/>
          <w:sz w:val="19"/>
          <w:szCs w:val="19"/>
        </w:rPr>
        <w:t xml:space="preserve"> </w:t>
      </w:r>
      <w:r>
        <w:rPr>
          <w:rFonts w:ascii="Arial" w:hAnsi="Arial" w:eastAsia="Arial" w:cs="Arial"/>
          <w:spacing w:val="-4"/>
          <w:sz w:val="19"/>
          <w:szCs w:val="19"/>
        </w:rPr>
        <w:t>beneicial</w:t>
      </w:r>
      <w:r>
        <w:rPr>
          <w:rFonts w:ascii="Arial" w:hAnsi="Arial" w:eastAsia="Arial" w:cs="Arial"/>
          <w:spacing w:val="2"/>
          <w:sz w:val="19"/>
          <w:szCs w:val="19"/>
        </w:rPr>
        <w:t xml:space="preserve"> </w:t>
      </w:r>
      <w:r>
        <w:rPr>
          <w:rFonts w:ascii="Arial" w:hAnsi="Arial" w:eastAsia="Arial" w:cs="Arial"/>
          <w:spacing w:val="-4"/>
          <w:sz w:val="19"/>
          <w:szCs w:val="19"/>
        </w:rPr>
        <w:t>efec</w:t>
      </w:r>
      <w:r>
        <w:rPr>
          <w:rFonts w:ascii="Arial" w:hAnsi="Arial" w:eastAsia="Arial" w:cs="Arial"/>
          <w:spacing w:val="-3"/>
          <w:sz w:val="19"/>
          <w:szCs w:val="19"/>
        </w:rPr>
        <w:t>t</w:t>
      </w:r>
      <w:r>
        <w:rPr>
          <w:rFonts w:ascii="Arial" w:hAnsi="Arial" w:eastAsia="Arial" w:cs="Arial"/>
          <w:sz w:val="19"/>
          <w:szCs w:val="19"/>
        </w:rPr>
        <w:t xml:space="preserve"> </w:t>
      </w:r>
      <w:r>
        <w:rPr>
          <w:rFonts w:ascii="Arial" w:hAnsi="Arial" w:eastAsia="Arial" w:cs="Arial"/>
          <w:spacing w:val="-4"/>
          <w:sz w:val="19"/>
          <w:szCs w:val="19"/>
        </w:rPr>
        <w:t>than</w:t>
      </w:r>
      <w:r>
        <w:rPr>
          <w:rFonts w:ascii="Arial" w:hAnsi="Arial" w:eastAsia="Arial" w:cs="Arial"/>
          <w:spacing w:val="-18"/>
          <w:sz w:val="19"/>
          <w:szCs w:val="19"/>
        </w:rPr>
        <w:t xml:space="preserve"> </w:t>
      </w:r>
      <w:r>
        <w:rPr>
          <w:rFonts w:ascii="Arial" w:hAnsi="Arial" w:eastAsia="Arial" w:cs="Arial"/>
          <w:spacing w:val="-4"/>
          <w:sz w:val="19"/>
          <w:szCs w:val="19"/>
        </w:rPr>
        <w:t>just communicating high performance expectations. These results indi</w:t>
      </w:r>
      <w:r>
        <w:rPr>
          <w:rFonts w:ascii="Arial" w:hAnsi="Arial" w:eastAsia="Arial" w:cs="Arial"/>
          <w:spacing w:val="-5"/>
          <w:sz w:val="19"/>
          <w:szCs w:val="19"/>
        </w:rPr>
        <w:t>cate that quality-oriented</w:t>
      </w:r>
      <w:r>
        <w:rPr>
          <w:rFonts w:ascii="Arial" w:hAnsi="Arial" w:eastAsia="Arial" w:cs="Arial"/>
          <w:sz w:val="19"/>
          <w:szCs w:val="19"/>
        </w:rPr>
        <w:t xml:space="preserve"> </w:t>
      </w:r>
      <w:r>
        <w:rPr>
          <w:rFonts w:ascii="Arial" w:hAnsi="Arial" w:eastAsia="Arial" w:cs="Arial"/>
          <w:spacing w:val="-5"/>
          <w:sz w:val="19"/>
          <w:szCs w:val="19"/>
        </w:rPr>
        <w:t>leadership</w:t>
      </w:r>
      <w:r>
        <w:rPr>
          <w:rFonts w:ascii="Arial" w:hAnsi="Arial" w:eastAsia="Arial" w:cs="Arial"/>
          <w:spacing w:val="21"/>
          <w:w w:val="101"/>
          <w:sz w:val="19"/>
          <w:szCs w:val="19"/>
        </w:rPr>
        <w:t xml:space="preserve"> </w:t>
      </w:r>
      <w:r>
        <w:rPr>
          <w:rFonts w:ascii="Arial" w:hAnsi="Arial" w:eastAsia="Arial" w:cs="Arial"/>
          <w:spacing w:val="-5"/>
          <w:sz w:val="19"/>
          <w:szCs w:val="19"/>
        </w:rPr>
        <w:t>behavior</w:t>
      </w:r>
      <w:r>
        <w:rPr>
          <w:rFonts w:ascii="Arial" w:hAnsi="Arial" w:eastAsia="Arial" w:cs="Arial"/>
          <w:spacing w:val="23"/>
          <w:sz w:val="19"/>
          <w:szCs w:val="19"/>
        </w:rPr>
        <w:t xml:space="preserve"> </w:t>
      </w:r>
      <w:r>
        <w:rPr>
          <w:rFonts w:ascii="Arial" w:hAnsi="Arial" w:eastAsia="Arial" w:cs="Arial"/>
          <w:spacing w:val="-5"/>
          <w:sz w:val="19"/>
          <w:szCs w:val="19"/>
        </w:rPr>
        <w:t>represents</w:t>
      </w:r>
      <w:r>
        <w:rPr>
          <w:rFonts w:ascii="Arial" w:hAnsi="Arial" w:eastAsia="Arial" w:cs="Arial"/>
          <w:spacing w:val="14"/>
          <w:w w:val="101"/>
          <w:sz w:val="19"/>
          <w:szCs w:val="19"/>
        </w:rPr>
        <w:t xml:space="preserve"> </w:t>
      </w:r>
      <w:r>
        <w:rPr>
          <w:rFonts w:ascii="Arial" w:hAnsi="Arial" w:eastAsia="Arial" w:cs="Arial"/>
          <w:spacing w:val="-5"/>
          <w:sz w:val="19"/>
          <w:szCs w:val="19"/>
        </w:rPr>
        <w:t>a</w:t>
      </w:r>
      <w:r>
        <w:rPr>
          <w:rFonts w:ascii="Arial" w:hAnsi="Arial" w:eastAsia="Arial" w:cs="Arial"/>
          <w:spacing w:val="16"/>
          <w:w w:val="101"/>
          <w:sz w:val="19"/>
          <w:szCs w:val="19"/>
        </w:rPr>
        <w:t xml:space="preserve"> </w:t>
      </w:r>
      <w:r>
        <w:rPr>
          <w:rFonts w:ascii="Arial" w:hAnsi="Arial" w:eastAsia="Arial" w:cs="Arial"/>
          <w:spacing w:val="-5"/>
          <w:sz w:val="19"/>
          <w:szCs w:val="19"/>
        </w:rPr>
        <w:t>decisive</w:t>
      </w:r>
      <w:r>
        <w:rPr>
          <w:rFonts w:ascii="Arial" w:hAnsi="Arial" w:eastAsia="Arial" w:cs="Arial"/>
          <w:spacing w:val="12"/>
          <w:sz w:val="19"/>
          <w:szCs w:val="19"/>
        </w:rPr>
        <w:t xml:space="preserve"> </w:t>
      </w:r>
      <w:r>
        <w:rPr>
          <w:rFonts w:ascii="Arial" w:hAnsi="Arial" w:eastAsia="Arial" w:cs="Arial"/>
          <w:spacing w:val="-5"/>
          <w:sz w:val="19"/>
          <w:szCs w:val="19"/>
        </w:rPr>
        <w:t>factor</w:t>
      </w:r>
      <w:r>
        <w:rPr>
          <w:rFonts w:ascii="Arial" w:hAnsi="Arial" w:eastAsia="Arial" w:cs="Arial"/>
          <w:spacing w:val="21"/>
          <w:sz w:val="19"/>
          <w:szCs w:val="19"/>
        </w:rPr>
        <w:t xml:space="preserve"> </w:t>
      </w:r>
      <w:r>
        <w:rPr>
          <w:rFonts w:ascii="Arial" w:hAnsi="Arial" w:eastAsia="Arial" w:cs="Arial"/>
          <w:spacing w:val="-5"/>
          <w:sz w:val="19"/>
          <w:szCs w:val="19"/>
        </w:rPr>
        <w:t>in</w:t>
      </w:r>
      <w:r>
        <w:rPr>
          <w:rFonts w:ascii="Arial" w:hAnsi="Arial" w:eastAsia="Arial" w:cs="Arial"/>
          <w:spacing w:val="11"/>
          <w:sz w:val="19"/>
          <w:szCs w:val="19"/>
        </w:rPr>
        <w:t xml:space="preserve"> </w:t>
      </w:r>
      <w:r>
        <w:rPr>
          <w:rFonts w:ascii="Arial" w:hAnsi="Arial" w:eastAsia="Arial" w:cs="Arial"/>
          <w:spacing w:val="-5"/>
          <w:sz w:val="19"/>
          <w:szCs w:val="19"/>
        </w:rPr>
        <w:t>furthering</w:t>
      </w:r>
      <w:r>
        <w:rPr>
          <w:rFonts w:ascii="Arial" w:hAnsi="Arial" w:eastAsia="Arial" w:cs="Arial"/>
          <w:spacing w:val="12"/>
          <w:sz w:val="19"/>
          <w:szCs w:val="19"/>
        </w:rPr>
        <w:t xml:space="preserve"> </w:t>
      </w:r>
      <w:r>
        <w:rPr>
          <w:rFonts w:ascii="Arial" w:hAnsi="Arial" w:eastAsia="Arial" w:cs="Arial"/>
          <w:spacing w:val="-5"/>
          <w:sz w:val="19"/>
          <w:szCs w:val="19"/>
        </w:rPr>
        <w:t>various</w:t>
      </w:r>
      <w:r>
        <w:rPr>
          <w:rFonts w:ascii="Arial" w:hAnsi="Arial" w:eastAsia="Arial" w:cs="Arial"/>
          <w:spacing w:val="13"/>
          <w:sz w:val="19"/>
          <w:szCs w:val="19"/>
        </w:rPr>
        <w:t xml:space="preserve"> </w:t>
      </w:r>
      <w:r>
        <w:rPr>
          <w:rFonts w:ascii="Arial" w:hAnsi="Arial" w:eastAsia="Arial" w:cs="Arial"/>
          <w:spacing w:val="-5"/>
          <w:sz w:val="19"/>
          <w:szCs w:val="19"/>
        </w:rPr>
        <w:t>favorable</w:t>
      </w:r>
      <w:r>
        <w:rPr>
          <w:rFonts w:ascii="Arial" w:hAnsi="Arial" w:eastAsia="Arial" w:cs="Arial"/>
          <w:spacing w:val="17"/>
          <w:sz w:val="19"/>
          <w:szCs w:val="19"/>
        </w:rPr>
        <w:t xml:space="preserve"> </w:t>
      </w:r>
      <w:r>
        <w:rPr>
          <w:rFonts w:ascii="Arial" w:hAnsi="Arial" w:eastAsia="Arial" w:cs="Arial"/>
          <w:spacing w:val="-5"/>
          <w:sz w:val="19"/>
          <w:szCs w:val="19"/>
        </w:rPr>
        <w:t>quality</w:t>
      </w:r>
      <w:r>
        <w:rPr>
          <w:rFonts w:ascii="Arial" w:hAnsi="Arial" w:eastAsia="Arial" w:cs="Arial"/>
          <w:spacing w:val="16"/>
          <w:w w:val="101"/>
          <w:sz w:val="19"/>
          <w:szCs w:val="19"/>
        </w:rPr>
        <w:t xml:space="preserve"> </w:t>
      </w:r>
      <w:r>
        <w:rPr>
          <w:rFonts w:ascii="Arial" w:hAnsi="Arial" w:eastAsia="Arial" w:cs="Arial"/>
          <w:spacing w:val="-5"/>
          <w:sz w:val="19"/>
          <w:szCs w:val="19"/>
        </w:rPr>
        <w:t>cult</w:t>
      </w:r>
      <w:r>
        <w:rPr>
          <w:rFonts w:ascii="Arial" w:hAnsi="Arial" w:eastAsia="Arial" w:cs="Arial"/>
          <w:spacing w:val="-6"/>
          <w:sz w:val="19"/>
          <w:szCs w:val="19"/>
        </w:rPr>
        <w:t>ure</w:t>
      </w:r>
      <w:r>
        <w:rPr>
          <w:rFonts w:ascii="Arial" w:hAnsi="Arial" w:eastAsia="Arial" w:cs="Arial"/>
          <w:spacing w:val="18"/>
          <w:sz w:val="19"/>
          <w:szCs w:val="19"/>
        </w:rPr>
        <w:t xml:space="preserve"> </w:t>
      </w:r>
      <w:r>
        <w:rPr>
          <w:rFonts w:ascii="Arial" w:hAnsi="Arial" w:eastAsia="Arial" w:cs="Arial"/>
          <w:spacing w:val="-6"/>
          <w:sz w:val="19"/>
          <w:szCs w:val="19"/>
        </w:rPr>
        <w:t>out-</w:t>
      </w:r>
      <w:r>
        <w:rPr>
          <w:rFonts w:ascii="Arial" w:hAnsi="Arial" w:eastAsia="Arial" w:cs="Arial"/>
          <w:sz w:val="19"/>
          <w:szCs w:val="19"/>
        </w:rPr>
        <w:t xml:space="preserve"> </w:t>
      </w:r>
      <w:r>
        <w:rPr>
          <w:rFonts w:ascii="Arial" w:hAnsi="Arial" w:eastAsia="Arial" w:cs="Arial"/>
          <w:spacing w:val="-7"/>
          <w:sz w:val="19"/>
          <w:szCs w:val="19"/>
        </w:rPr>
        <w:t>comes.</w:t>
      </w:r>
      <w:r>
        <w:rPr>
          <w:rFonts w:ascii="Arial" w:hAnsi="Arial" w:eastAsia="Arial" w:cs="Arial"/>
          <w:spacing w:val="28"/>
          <w:w w:val="101"/>
          <w:sz w:val="19"/>
          <w:szCs w:val="19"/>
        </w:rPr>
        <w:t xml:space="preserve"> </w:t>
      </w:r>
      <w:r>
        <w:rPr>
          <w:rFonts w:ascii="Arial" w:hAnsi="Arial" w:eastAsia="Arial" w:cs="Arial"/>
          <w:spacing w:val="-7"/>
          <w:sz w:val="19"/>
          <w:szCs w:val="19"/>
        </w:rPr>
        <w:t>Hence,</w:t>
      </w:r>
      <w:r>
        <w:rPr>
          <w:rFonts w:ascii="Arial" w:hAnsi="Arial" w:eastAsia="Arial" w:cs="Arial"/>
          <w:spacing w:val="22"/>
          <w:sz w:val="19"/>
          <w:szCs w:val="19"/>
        </w:rPr>
        <w:t xml:space="preserve"> </w:t>
      </w:r>
      <w:r>
        <w:rPr>
          <w:rFonts w:ascii="Arial" w:hAnsi="Arial" w:eastAsia="Arial" w:cs="Arial"/>
          <w:spacing w:val="-7"/>
          <w:sz w:val="19"/>
          <w:szCs w:val="19"/>
        </w:rPr>
        <w:t>our</w:t>
      </w:r>
      <w:r>
        <w:rPr>
          <w:rFonts w:ascii="Arial" w:hAnsi="Arial" w:eastAsia="Arial" w:cs="Arial"/>
          <w:spacing w:val="27"/>
          <w:sz w:val="19"/>
          <w:szCs w:val="19"/>
        </w:rPr>
        <w:t xml:space="preserve"> </w:t>
      </w:r>
      <w:r>
        <w:rPr>
          <w:rFonts w:ascii="Arial" w:hAnsi="Arial" w:eastAsia="Arial" w:cs="Arial"/>
          <w:spacing w:val="-7"/>
          <w:sz w:val="19"/>
          <w:szCs w:val="19"/>
        </w:rPr>
        <w:t>results</w:t>
      </w:r>
      <w:r>
        <w:rPr>
          <w:rFonts w:ascii="Arial" w:hAnsi="Arial" w:eastAsia="Arial" w:cs="Arial"/>
          <w:spacing w:val="21"/>
          <w:sz w:val="19"/>
          <w:szCs w:val="19"/>
        </w:rPr>
        <w:t xml:space="preserve"> </w:t>
      </w:r>
      <w:r>
        <w:rPr>
          <w:rFonts w:ascii="Arial" w:hAnsi="Arial" w:eastAsia="Arial" w:cs="Arial"/>
          <w:spacing w:val="-7"/>
          <w:sz w:val="19"/>
          <w:szCs w:val="19"/>
        </w:rPr>
        <w:t>empirically</w:t>
      </w:r>
      <w:r>
        <w:rPr>
          <w:rFonts w:ascii="Arial" w:hAnsi="Arial" w:eastAsia="Arial" w:cs="Arial"/>
          <w:spacing w:val="20"/>
          <w:sz w:val="19"/>
          <w:szCs w:val="19"/>
        </w:rPr>
        <w:t xml:space="preserve"> </w:t>
      </w:r>
      <w:r>
        <w:rPr>
          <w:rFonts w:ascii="Arial" w:hAnsi="Arial" w:eastAsia="Arial" w:cs="Arial"/>
          <w:spacing w:val="-7"/>
          <w:sz w:val="19"/>
          <w:szCs w:val="19"/>
        </w:rPr>
        <w:t>support</w:t>
      </w:r>
      <w:r>
        <w:rPr>
          <w:rFonts w:ascii="Arial" w:hAnsi="Arial" w:eastAsia="Arial" w:cs="Arial"/>
          <w:spacing w:val="17"/>
          <w:sz w:val="19"/>
          <w:szCs w:val="19"/>
        </w:rPr>
        <w:t xml:space="preserve"> </w:t>
      </w:r>
      <w:r>
        <w:rPr>
          <w:rFonts w:ascii="Arial" w:hAnsi="Arial" w:eastAsia="Arial" w:cs="Arial"/>
          <w:spacing w:val="-7"/>
          <w:sz w:val="19"/>
          <w:szCs w:val="19"/>
        </w:rPr>
        <w:t>the</w:t>
      </w:r>
      <w:r>
        <w:rPr>
          <w:rFonts w:ascii="Arial" w:hAnsi="Arial" w:eastAsia="Arial" w:cs="Arial"/>
          <w:spacing w:val="27"/>
          <w:w w:val="101"/>
          <w:sz w:val="19"/>
          <w:szCs w:val="19"/>
        </w:rPr>
        <w:t xml:space="preserve"> </w:t>
      </w:r>
      <w:r>
        <w:rPr>
          <w:rFonts w:ascii="Arial" w:hAnsi="Arial" w:eastAsia="Arial" w:cs="Arial"/>
          <w:spacing w:val="-7"/>
          <w:sz w:val="19"/>
          <w:szCs w:val="19"/>
        </w:rPr>
        <w:t>literature</w:t>
      </w:r>
      <w:r>
        <w:rPr>
          <w:rFonts w:ascii="Arial" w:hAnsi="Arial" w:eastAsia="Arial" w:cs="Arial"/>
          <w:spacing w:val="26"/>
          <w:w w:val="101"/>
          <w:sz w:val="19"/>
          <w:szCs w:val="19"/>
        </w:rPr>
        <w:t xml:space="preserve"> </w:t>
      </w:r>
      <w:r>
        <w:rPr>
          <w:rFonts w:ascii="Arial" w:hAnsi="Arial" w:eastAsia="Arial" w:cs="Arial"/>
          <w:spacing w:val="-7"/>
          <w:sz w:val="19"/>
          <w:szCs w:val="19"/>
        </w:rPr>
        <w:t>review</w:t>
      </w:r>
      <w:r>
        <w:rPr>
          <w:rFonts w:ascii="Arial" w:hAnsi="Arial" w:eastAsia="Arial" w:cs="Arial"/>
          <w:spacing w:val="28"/>
          <w:sz w:val="19"/>
          <w:szCs w:val="19"/>
        </w:rPr>
        <w:t xml:space="preserve"> </w:t>
      </w:r>
      <w:r>
        <w:rPr>
          <w:rFonts w:ascii="Arial" w:hAnsi="Arial" w:eastAsia="Arial" w:cs="Arial"/>
          <w:spacing w:val="-7"/>
          <w:sz w:val="19"/>
          <w:szCs w:val="19"/>
        </w:rPr>
        <w:t>by</w:t>
      </w:r>
      <w:r>
        <w:rPr>
          <w:rFonts w:ascii="Arial" w:hAnsi="Arial" w:eastAsia="Arial" w:cs="Arial"/>
          <w:spacing w:val="28"/>
          <w:sz w:val="19"/>
          <w:szCs w:val="19"/>
        </w:rPr>
        <w:t xml:space="preserve"> </w:t>
      </w:r>
      <w:r>
        <w:rPr>
          <w:rFonts w:ascii="Arial" w:hAnsi="Arial" w:eastAsia="Arial" w:cs="Arial"/>
          <w:spacing w:val="-7"/>
          <w:sz w:val="19"/>
          <w:szCs w:val="19"/>
        </w:rPr>
        <w:t>Bendermacher</w:t>
      </w:r>
      <w:r>
        <w:rPr>
          <w:rFonts w:ascii="Arial" w:hAnsi="Arial" w:eastAsia="Arial" w:cs="Arial"/>
          <w:spacing w:val="21"/>
          <w:sz w:val="19"/>
          <w:szCs w:val="19"/>
        </w:rPr>
        <w:t xml:space="preserve"> </w:t>
      </w:r>
      <w:r>
        <w:rPr>
          <w:rFonts w:ascii="Arial" w:hAnsi="Arial" w:eastAsia="Arial" w:cs="Arial"/>
          <w:spacing w:val="-7"/>
          <w:sz w:val="19"/>
          <w:szCs w:val="19"/>
        </w:rPr>
        <w:t>et</w:t>
      </w:r>
      <w:r>
        <w:rPr>
          <w:rFonts w:ascii="Arial" w:hAnsi="Arial" w:eastAsia="Arial" w:cs="Arial"/>
          <w:spacing w:val="21"/>
          <w:sz w:val="19"/>
          <w:szCs w:val="19"/>
        </w:rPr>
        <w:t xml:space="preserve"> </w:t>
      </w:r>
      <w:r>
        <w:rPr>
          <w:rFonts w:ascii="Arial" w:hAnsi="Arial" w:eastAsia="Arial" w:cs="Arial"/>
          <w:spacing w:val="-7"/>
          <w:sz w:val="19"/>
          <w:szCs w:val="19"/>
        </w:rPr>
        <w:t>al.</w:t>
      </w:r>
      <w:r>
        <w:rPr>
          <w:rFonts w:ascii="Arial" w:hAnsi="Arial" w:eastAsia="Arial" w:cs="Arial"/>
          <w:spacing w:val="25"/>
          <w:w w:val="101"/>
          <w:sz w:val="19"/>
          <w:szCs w:val="19"/>
        </w:rPr>
        <w:t xml:space="preserve"> </w:t>
      </w:r>
      <w:r>
        <w:rPr>
          <w:rFonts w:ascii="Arial" w:hAnsi="Arial" w:eastAsia="Arial" w:cs="Arial"/>
          <w:spacing w:val="-7"/>
          <w:sz w:val="19"/>
          <w:szCs w:val="19"/>
        </w:rPr>
        <w:t>(</w:t>
      </w:r>
      <w:r>
        <w:fldChar w:fldCharType="begin"/>
      </w:r>
      <w:r>
        <w:instrText xml:space="preserve"> HYPERLINK \l "bookmark96" </w:instrText>
      </w:r>
      <w:r>
        <w:fldChar w:fldCharType="separate"/>
      </w:r>
      <w:r>
        <w:rPr>
          <w:rFonts w:ascii="Arial" w:hAnsi="Arial" w:eastAsia="Arial" w:cs="Arial"/>
          <w:color w:val="000084"/>
          <w:spacing w:val="-7"/>
          <w:sz w:val="19"/>
          <w:szCs w:val="19"/>
        </w:rPr>
        <w:t>2</w:t>
      </w:r>
      <w:r>
        <w:rPr>
          <w:rFonts w:ascii="Arial" w:hAnsi="Arial" w:eastAsia="Arial" w:cs="Arial"/>
          <w:color w:val="000084"/>
          <w:spacing w:val="-8"/>
          <w:sz w:val="19"/>
          <w:szCs w:val="19"/>
        </w:rPr>
        <w:t>017</w:t>
      </w:r>
      <w:r>
        <w:rPr>
          <w:rFonts w:ascii="Arial" w:hAnsi="Arial" w:eastAsia="Arial" w:cs="Arial"/>
          <w:color w:val="000084"/>
          <w:spacing w:val="-8"/>
          <w:sz w:val="19"/>
          <w:szCs w:val="19"/>
        </w:rPr>
        <w:fldChar w:fldCharType="end"/>
      </w:r>
      <w:r>
        <w:rPr>
          <w:rFonts w:ascii="Arial" w:hAnsi="Arial" w:eastAsia="Arial" w:cs="Arial"/>
          <w:spacing w:val="-8"/>
          <w:sz w:val="19"/>
          <w:szCs w:val="19"/>
        </w:rPr>
        <w:t>),</w:t>
      </w:r>
      <w:r>
        <w:rPr>
          <w:rFonts w:ascii="Arial" w:hAnsi="Arial" w:eastAsia="Arial" w:cs="Arial"/>
          <w:sz w:val="19"/>
          <w:szCs w:val="19"/>
        </w:rPr>
        <w:t xml:space="preserve"> </w:t>
      </w:r>
      <w:r>
        <w:rPr>
          <w:rFonts w:ascii="Arial" w:hAnsi="Arial" w:eastAsia="Arial" w:cs="Arial"/>
          <w:spacing w:val="-4"/>
          <w:sz w:val="19"/>
          <w:szCs w:val="19"/>
        </w:rPr>
        <w:t>who</w:t>
      </w:r>
      <w:r>
        <w:rPr>
          <w:rFonts w:ascii="Arial" w:hAnsi="Arial" w:eastAsia="Arial" w:cs="Arial"/>
          <w:spacing w:val="37"/>
          <w:sz w:val="19"/>
          <w:szCs w:val="19"/>
        </w:rPr>
        <w:t xml:space="preserve"> </w:t>
      </w:r>
      <w:r>
        <w:rPr>
          <w:rFonts w:ascii="Arial" w:hAnsi="Arial" w:eastAsia="Arial" w:cs="Arial"/>
          <w:spacing w:val="-4"/>
          <w:sz w:val="19"/>
          <w:szCs w:val="19"/>
        </w:rPr>
        <w:t>identiied</w:t>
      </w:r>
      <w:r>
        <w:rPr>
          <w:rFonts w:ascii="Arial" w:hAnsi="Arial" w:eastAsia="Arial" w:cs="Arial"/>
          <w:spacing w:val="39"/>
          <w:sz w:val="19"/>
          <w:szCs w:val="19"/>
        </w:rPr>
        <w:t xml:space="preserve"> </w:t>
      </w:r>
      <w:r>
        <w:rPr>
          <w:rFonts w:ascii="Arial" w:hAnsi="Arial" w:eastAsia="Arial" w:cs="Arial"/>
          <w:spacing w:val="-4"/>
          <w:sz w:val="19"/>
          <w:szCs w:val="19"/>
        </w:rPr>
        <w:t>leaders</w:t>
      </w:r>
      <w:r>
        <w:rPr>
          <w:rFonts w:ascii="Arial" w:hAnsi="Arial" w:eastAsia="Arial" w:cs="Arial"/>
          <w:spacing w:val="31"/>
          <w:sz w:val="19"/>
          <w:szCs w:val="19"/>
        </w:rPr>
        <w:t xml:space="preserve"> </w:t>
      </w:r>
      <w:r>
        <w:rPr>
          <w:rFonts w:ascii="Arial" w:hAnsi="Arial" w:eastAsia="Arial" w:cs="Arial"/>
          <w:spacing w:val="-4"/>
          <w:sz w:val="19"/>
          <w:szCs w:val="19"/>
        </w:rPr>
        <w:t>as</w:t>
      </w:r>
      <w:r>
        <w:rPr>
          <w:rFonts w:ascii="Arial" w:hAnsi="Arial" w:eastAsia="Arial" w:cs="Arial"/>
          <w:spacing w:val="39"/>
          <w:sz w:val="19"/>
          <w:szCs w:val="19"/>
        </w:rPr>
        <w:t xml:space="preserve"> </w:t>
      </w:r>
      <w:r>
        <w:rPr>
          <w:rFonts w:ascii="Arial" w:hAnsi="Arial" w:eastAsia="Arial" w:cs="Arial"/>
          <w:spacing w:val="-4"/>
          <w:sz w:val="19"/>
          <w:szCs w:val="19"/>
        </w:rPr>
        <w:t>being</w:t>
      </w:r>
      <w:r>
        <w:rPr>
          <w:rFonts w:ascii="Arial" w:hAnsi="Arial" w:eastAsia="Arial" w:cs="Arial"/>
          <w:spacing w:val="32"/>
          <w:w w:val="101"/>
          <w:sz w:val="19"/>
          <w:szCs w:val="19"/>
        </w:rPr>
        <w:t xml:space="preserve"> </w:t>
      </w:r>
      <w:r>
        <w:rPr>
          <w:rFonts w:ascii="Arial" w:hAnsi="Arial" w:eastAsia="Arial" w:cs="Arial"/>
          <w:spacing w:val="-4"/>
          <w:sz w:val="19"/>
          <w:szCs w:val="19"/>
        </w:rPr>
        <w:t>of</w:t>
      </w:r>
      <w:r>
        <w:rPr>
          <w:rFonts w:ascii="Arial" w:hAnsi="Arial" w:eastAsia="Arial" w:cs="Arial"/>
          <w:spacing w:val="31"/>
          <w:sz w:val="19"/>
          <w:szCs w:val="19"/>
        </w:rPr>
        <w:t xml:space="preserve"> </w:t>
      </w:r>
      <w:r>
        <w:rPr>
          <w:rFonts w:ascii="Arial" w:hAnsi="Arial" w:eastAsia="Arial" w:cs="Arial"/>
          <w:spacing w:val="-4"/>
          <w:sz w:val="19"/>
          <w:szCs w:val="19"/>
        </w:rPr>
        <w:t>key</w:t>
      </w:r>
      <w:r>
        <w:rPr>
          <w:rFonts w:ascii="Arial" w:hAnsi="Arial" w:eastAsia="Arial" w:cs="Arial"/>
          <w:spacing w:val="37"/>
          <w:w w:val="101"/>
          <w:sz w:val="19"/>
          <w:szCs w:val="19"/>
        </w:rPr>
        <w:t xml:space="preserve"> </w:t>
      </w:r>
      <w:r>
        <w:rPr>
          <w:rFonts w:ascii="Arial" w:hAnsi="Arial" w:eastAsia="Arial" w:cs="Arial"/>
          <w:spacing w:val="-4"/>
          <w:sz w:val="19"/>
          <w:szCs w:val="19"/>
        </w:rPr>
        <w:t>impor</w:t>
      </w:r>
      <w:r>
        <w:rPr>
          <w:rFonts w:ascii="Arial" w:hAnsi="Arial" w:eastAsia="Arial" w:cs="Arial"/>
          <w:spacing w:val="-5"/>
          <w:sz w:val="19"/>
          <w:szCs w:val="19"/>
        </w:rPr>
        <w:t>tance</w:t>
      </w:r>
      <w:r>
        <w:rPr>
          <w:rFonts w:ascii="Arial" w:hAnsi="Arial" w:eastAsia="Arial" w:cs="Arial"/>
          <w:spacing w:val="31"/>
          <w:sz w:val="19"/>
          <w:szCs w:val="19"/>
        </w:rPr>
        <w:t xml:space="preserve"> </w:t>
      </w:r>
      <w:r>
        <w:rPr>
          <w:rFonts w:ascii="Arial" w:hAnsi="Arial" w:eastAsia="Arial" w:cs="Arial"/>
          <w:spacing w:val="-5"/>
          <w:sz w:val="19"/>
          <w:szCs w:val="19"/>
        </w:rPr>
        <w:t>to</w:t>
      </w:r>
      <w:r>
        <w:rPr>
          <w:rFonts w:ascii="Arial" w:hAnsi="Arial" w:eastAsia="Arial" w:cs="Arial"/>
          <w:spacing w:val="32"/>
          <w:sz w:val="19"/>
          <w:szCs w:val="19"/>
        </w:rPr>
        <w:t xml:space="preserve"> </w:t>
      </w:r>
      <w:r>
        <w:rPr>
          <w:rFonts w:ascii="Arial" w:hAnsi="Arial" w:eastAsia="Arial" w:cs="Arial"/>
          <w:spacing w:val="-5"/>
          <w:sz w:val="19"/>
          <w:szCs w:val="19"/>
        </w:rPr>
        <w:t>quality</w:t>
      </w:r>
      <w:r>
        <w:rPr>
          <w:rFonts w:ascii="Arial" w:hAnsi="Arial" w:eastAsia="Arial" w:cs="Arial"/>
          <w:spacing w:val="33"/>
          <w:w w:val="101"/>
          <w:sz w:val="19"/>
          <w:szCs w:val="19"/>
        </w:rPr>
        <w:t xml:space="preserve"> </w:t>
      </w:r>
      <w:r>
        <w:rPr>
          <w:rFonts w:ascii="Arial" w:hAnsi="Arial" w:eastAsia="Arial" w:cs="Arial"/>
          <w:spacing w:val="-5"/>
          <w:sz w:val="19"/>
          <w:szCs w:val="19"/>
        </w:rPr>
        <w:t>culture</w:t>
      </w:r>
      <w:r>
        <w:rPr>
          <w:rFonts w:ascii="Arial" w:hAnsi="Arial" w:eastAsia="Arial" w:cs="Arial"/>
          <w:spacing w:val="33"/>
          <w:w w:val="101"/>
          <w:sz w:val="19"/>
          <w:szCs w:val="19"/>
        </w:rPr>
        <w:t xml:space="preserve"> </w:t>
      </w:r>
      <w:r>
        <w:rPr>
          <w:rFonts w:ascii="Arial" w:hAnsi="Arial" w:eastAsia="Arial" w:cs="Arial"/>
          <w:spacing w:val="-5"/>
          <w:sz w:val="19"/>
          <w:szCs w:val="19"/>
        </w:rPr>
        <w:t>development</w:t>
      </w:r>
      <w:r>
        <w:rPr>
          <w:rFonts w:ascii="Arial" w:hAnsi="Arial" w:eastAsia="Arial" w:cs="Arial"/>
          <w:spacing w:val="32"/>
          <w:w w:val="101"/>
          <w:sz w:val="19"/>
          <w:szCs w:val="19"/>
        </w:rPr>
        <w:t xml:space="preserve"> </w:t>
      </w:r>
      <w:r>
        <w:rPr>
          <w:rFonts w:ascii="Arial" w:hAnsi="Arial" w:eastAsia="Arial" w:cs="Arial"/>
          <w:spacing w:val="-5"/>
          <w:sz w:val="19"/>
          <w:szCs w:val="19"/>
        </w:rPr>
        <w:t>as</w:t>
      </w:r>
      <w:r>
        <w:rPr>
          <w:rFonts w:ascii="Arial" w:hAnsi="Arial" w:eastAsia="Arial" w:cs="Arial"/>
          <w:spacing w:val="28"/>
          <w:sz w:val="19"/>
          <w:szCs w:val="19"/>
        </w:rPr>
        <w:t xml:space="preserve"> </w:t>
      </w:r>
      <w:r>
        <w:rPr>
          <w:rFonts w:ascii="Arial" w:hAnsi="Arial" w:eastAsia="Arial" w:cs="Arial"/>
          <w:spacing w:val="-5"/>
          <w:sz w:val="19"/>
          <w:szCs w:val="19"/>
        </w:rPr>
        <w:t>they</w:t>
      </w:r>
      <w:r>
        <w:rPr>
          <w:rFonts w:ascii="Arial" w:hAnsi="Arial" w:eastAsia="Arial" w:cs="Arial"/>
          <w:spacing w:val="40"/>
          <w:sz w:val="19"/>
          <w:szCs w:val="19"/>
        </w:rPr>
        <w:t xml:space="preserve"> </w:t>
      </w:r>
      <w:r>
        <w:rPr>
          <w:rFonts w:ascii="Arial" w:hAnsi="Arial" w:eastAsia="Arial" w:cs="Arial"/>
          <w:spacing w:val="-5"/>
          <w:sz w:val="19"/>
          <w:szCs w:val="19"/>
        </w:rPr>
        <w:t>have</w:t>
      </w:r>
      <w:r>
        <w:rPr>
          <w:rFonts w:ascii="Arial" w:hAnsi="Arial" w:eastAsia="Arial" w:cs="Arial"/>
          <w:sz w:val="19"/>
          <w:szCs w:val="19"/>
        </w:rPr>
        <w:t xml:space="preserve"> </w:t>
      </w:r>
      <w:r>
        <w:rPr>
          <w:rFonts w:ascii="Arial" w:hAnsi="Arial" w:eastAsia="Arial" w:cs="Arial"/>
          <w:spacing w:val="-5"/>
          <w:sz w:val="19"/>
          <w:szCs w:val="19"/>
        </w:rPr>
        <w:t>the</w:t>
      </w:r>
      <w:r>
        <w:rPr>
          <w:rFonts w:ascii="Arial" w:hAnsi="Arial" w:eastAsia="Arial" w:cs="Arial"/>
          <w:spacing w:val="40"/>
          <w:sz w:val="19"/>
          <w:szCs w:val="19"/>
        </w:rPr>
        <w:t xml:space="preserve"> </w:t>
      </w:r>
      <w:r>
        <w:rPr>
          <w:rFonts w:ascii="Arial" w:hAnsi="Arial" w:eastAsia="Arial" w:cs="Arial"/>
          <w:spacing w:val="-5"/>
          <w:sz w:val="19"/>
          <w:szCs w:val="19"/>
        </w:rPr>
        <w:t>‘ability</w:t>
      </w:r>
      <w:r>
        <w:rPr>
          <w:rFonts w:ascii="Arial" w:hAnsi="Arial" w:eastAsia="Arial" w:cs="Arial"/>
          <w:spacing w:val="35"/>
          <w:w w:val="101"/>
          <w:sz w:val="19"/>
          <w:szCs w:val="19"/>
        </w:rPr>
        <w:t xml:space="preserve"> </w:t>
      </w:r>
      <w:r>
        <w:rPr>
          <w:rFonts w:ascii="Arial" w:hAnsi="Arial" w:eastAsia="Arial" w:cs="Arial"/>
          <w:spacing w:val="-5"/>
          <w:sz w:val="19"/>
          <w:szCs w:val="19"/>
        </w:rPr>
        <w:t>to</w:t>
      </w:r>
      <w:r>
        <w:rPr>
          <w:rFonts w:ascii="Arial" w:hAnsi="Arial" w:eastAsia="Arial" w:cs="Arial"/>
          <w:spacing w:val="44"/>
          <w:w w:val="101"/>
          <w:sz w:val="19"/>
          <w:szCs w:val="19"/>
        </w:rPr>
        <w:t xml:space="preserve"> </w:t>
      </w:r>
      <w:r>
        <w:rPr>
          <w:rFonts w:ascii="Arial" w:hAnsi="Arial" w:eastAsia="Arial" w:cs="Arial"/>
          <w:spacing w:val="-5"/>
          <w:sz w:val="19"/>
          <w:szCs w:val="19"/>
        </w:rPr>
        <w:t>inluence</w:t>
      </w:r>
      <w:r>
        <w:rPr>
          <w:rFonts w:ascii="Arial" w:hAnsi="Arial" w:eastAsia="Arial" w:cs="Arial"/>
          <w:spacing w:val="46"/>
          <w:sz w:val="19"/>
          <w:szCs w:val="19"/>
        </w:rPr>
        <w:t xml:space="preserve"> </w:t>
      </w:r>
      <w:r>
        <w:rPr>
          <w:rFonts w:ascii="Arial" w:hAnsi="Arial" w:eastAsia="Arial" w:cs="Arial"/>
          <w:spacing w:val="-5"/>
          <w:sz w:val="19"/>
          <w:szCs w:val="19"/>
        </w:rPr>
        <w:t>resource</w:t>
      </w:r>
      <w:r>
        <w:rPr>
          <w:rFonts w:ascii="Arial" w:hAnsi="Arial" w:eastAsia="Arial" w:cs="Arial"/>
          <w:spacing w:val="39"/>
          <w:w w:val="101"/>
          <w:sz w:val="19"/>
          <w:szCs w:val="19"/>
        </w:rPr>
        <w:t xml:space="preserve"> </w:t>
      </w:r>
      <w:r>
        <w:rPr>
          <w:rFonts w:ascii="Arial" w:hAnsi="Arial" w:eastAsia="Arial" w:cs="Arial"/>
          <w:spacing w:val="-5"/>
          <w:sz w:val="19"/>
          <w:szCs w:val="19"/>
        </w:rPr>
        <w:t>allocation,</w:t>
      </w:r>
      <w:r>
        <w:rPr>
          <w:rFonts w:ascii="Arial" w:hAnsi="Arial" w:eastAsia="Arial" w:cs="Arial"/>
          <w:spacing w:val="41"/>
          <w:w w:val="101"/>
          <w:sz w:val="19"/>
          <w:szCs w:val="19"/>
        </w:rPr>
        <w:t xml:space="preserve"> </w:t>
      </w:r>
      <w:r>
        <w:rPr>
          <w:rFonts w:ascii="Arial" w:hAnsi="Arial" w:eastAsia="Arial" w:cs="Arial"/>
          <w:spacing w:val="-5"/>
          <w:sz w:val="19"/>
          <w:szCs w:val="19"/>
        </w:rPr>
        <w:t>clarify  roles</w:t>
      </w:r>
      <w:r>
        <w:rPr>
          <w:rFonts w:ascii="Arial" w:hAnsi="Arial" w:eastAsia="Arial" w:cs="Arial"/>
          <w:spacing w:val="40"/>
          <w:sz w:val="19"/>
          <w:szCs w:val="19"/>
        </w:rPr>
        <w:t xml:space="preserve"> </w:t>
      </w:r>
      <w:r>
        <w:rPr>
          <w:rFonts w:ascii="Arial" w:hAnsi="Arial" w:eastAsia="Arial" w:cs="Arial"/>
          <w:spacing w:val="-5"/>
          <w:sz w:val="19"/>
          <w:szCs w:val="19"/>
        </w:rPr>
        <w:t>and</w:t>
      </w:r>
      <w:r>
        <w:rPr>
          <w:rFonts w:ascii="Arial" w:hAnsi="Arial" w:eastAsia="Arial" w:cs="Arial"/>
          <w:spacing w:val="45"/>
          <w:w w:val="101"/>
          <w:sz w:val="19"/>
          <w:szCs w:val="19"/>
        </w:rPr>
        <w:t xml:space="preserve"> </w:t>
      </w:r>
      <w:r>
        <w:rPr>
          <w:rFonts w:ascii="Arial" w:hAnsi="Arial" w:eastAsia="Arial" w:cs="Arial"/>
          <w:spacing w:val="-5"/>
          <w:sz w:val="19"/>
          <w:szCs w:val="19"/>
        </w:rPr>
        <w:t>responsibilities,</w:t>
      </w:r>
      <w:r>
        <w:rPr>
          <w:rFonts w:ascii="Arial" w:hAnsi="Arial" w:eastAsia="Arial" w:cs="Arial"/>
          <w:spacing w:val="40"/>
          <w:sz w:val="19"/>
          <w:szCs w:val="19"/>
        </w:rPr>
        <w:t xml:space="preserve"> </w:t>
      </w:r>
      <w:r>
        <w:rPr>
          <w:rFonts w:ascii="Arial" w:hAnsi="Arial" w:eastAsia="Arial" w:cs="Arial"/>
          <w:spacing w:val="-5"/>
          <w:sz w:val="19"/>
          <w:szCs w:val="19"/>
        </w:rPr>
        <w:t>create  partnerships</w:t>
      </w:r>
      <w:r>
        <w:rPr>
          <w:rFonts w:ascii="Arial" w:hAnsi="Arial" w:eastAsia="Arial" w:cs="Arial"/>
          <w:sz w:val="19"/>
          <w:szCs w:val="19"/>
        </w:rPr>
        <w:t xml:space="preserve"> </w:t>
      </w:r>
      <w:r>
        <w:rPr>
          <w:rFonts w:ascii="Arial" w:hAnsi="Arial" w:eastAsia="Arial" w:cs="Arial"/>
          <w:spacing w:val="-7"/>
          <w:sz w:val="19"/>
          <w:szCs w:val="19"/>
        </w:rPr>
        <w:t>and</w:t>
      </w:r>
      <w:r>
        <w:rPr>
          <w:rFonts w:ascii="Arial" w:hAnsi="Arial" w:eastAsia="Arial" w:cs="Arial"/>
          <w:spacing w:val="20"/>
          <w:sz w:val="19"/>
          <w:szCs w:val="19"/>
        </w:rPr>
        <w:t xml:space="preserve"> </w:t>
      </w:r>
      <w:r>
        <w:rPr>
          <w:rFonts w:ascii="Arial" w:hAnsi="Arial" w:eastAsia="Arial" w:cs="Arial"/>
          <w:spacing w:val="-7"/>
          <w:sz w:val="19"/>
          <w:szCs w:val="19"/>
        </w:rPr>
        <w:t>optimize</w:t>
      </w:r>
      <w:r>
        <w:rPr>
          <w:rFonts w:ascii="Arial" w:hAnsi="Arial" w:eastAsia="Arial" w:cs="Arial"/>
          <w:spacing w:val="25"/>
          <w:w w:val="101"/>
          <w:sz w:val="19"/>
          <w:szCs w:val="19"/>
        </w:rPr>
        <w:t xml:space="preserve"> </w:t>
      </w:r>
      <w:r>
        <w:rPr>
          <w:rFonts w:ascii="Arial" w:hAnsi="Arial" w:eastAsia="Arial" w:cs="Arial"/>
          <w:spacing w:val="-7"/>
          <w:sz w:val="19"/>
          <w:szCs w:val="19"/>
        </w:rPr>
        <w:t>people</w:t>
      </w:r>
      <w:r>
        <w:rPr>
          <w:rFonts w:ascii="Arial" w:hAnsi="Arial" w:eastAsia="Arial" w:cs="Arial"/>
          <w:spacing w:val="18"/>
          <w:sz w:val="19"/>
          <w:szCs w:val="19"/>
        </w:rPr>
        <w:t xml:space="preserve"> </w:t>
      </w:r>
      <w:r>
        <w:rPr>
          <w:rFonts w:ascii="Arial" w:hAnsi="Arial" w:eastAsia="Arial" w:cs="Arial"/>
          <w:spacing w:val="-7"/>
          <w:sz w:val="19"/>
          <w:szCs w:val="19"/>
        </w:rPr>
        <w:t>and</w:t>
      </w:r>
      <w:r>
        <w:rPr>
          <w:rFonts w:ascii="Arial" w:hAnsi="Arial" w:eastAsia="Arial" w:cs="Arial"/>
          <w:spacing w:val="25"/>
          <w:sz w:val="19"/>
          <w:szCs w:val="19"/>
        </w:rPr>
        <w:t xml:space="preserve"> </w:t>
      </w:r>
      <w:r>
        <w:rPr>
          <w:rFonts w:ascii="Arial" w:hAnsi="Arial" w:eastAsia="Arial" w:cs="Arial"/>
          <w:spacing w:val="-7"/>
          <w:sz w:val="19"/>
          <w:szCs w:val="19"/>
        </w:rPr>
        <w:t>process</w:t>
      </w:r>
      <w:r>
        <w:rPr>
          <w:rFonts w:ascii="Arial" w:hAnsi="Arial" w:eastAsia="Arial" w:cs="Arial"/>
          <w:spacing w:val="24"/>
          <w:w w:val="101"/>
          <w:sz w:val="19"/>
          <w:szCs w:val="19"/>
        </w:rPr>
        <w:t xml:space="preserve"> </w:t>
      </w:r>
      <w:r>
        <w:rPr>
          <w:rFonts w:ascii="Arial" w:hAnsi="Arial" w:eastAsia="Arial" w:cs="Arial"/>
          <w:spacing w:val="-7"/>
          <w:sz w:val="19"/>
          <w:szCs w:val="19"/>
        </w:rPr>
        <w:t>management’</w:t>
      </w:r>
      <w:r>
        <w:rPr>
          <w:rFonts w:ascii="Arial" w:hAnsi="Arial" w:eastAsia="Arial" w:cs="Arial"/>
          <w:spacing w:val="24"/>
          <w:sz w:val="19"/>
          <w:szCs w:val="19"/>
        </w:rPr>
        <w:t xml:space="preserve"> </w:t>
      </w:r>
      <w:r>
        <w:rPr>
          <w:rFonts w:ascii="Arial" w:hAnsi="Arial" w:eastAsia="Arial" w:cs="Arial"/>
          <w:spacing w:val="-7"/>
          <w:sz w:val="19"/>
          <w:szCs w:val="19"/>
        </w:rPr>
        <w:t>(39).</w:t>
      </w:r>
      <w:r>
        <w:rPr>
          <w:rFonts w:ascii="Arial" w:hAnsi="Arial" w:eastAsia="Arial" w:cs="Arial"/>
          <w:spacing w:val="18"/>
          <w:w w:val="101"/>
          <w:sz w:val="19"/>
          <w:szCs w:val="19"/>
        </w:rPr>
        <w:t xml:space="preserve"> </w:t>
      </w:r>
      <w:r>
        <w:rPr>
          <w:rFonts w:ascii="Arial" w:hAnsi="Arial" w:eastAsia="Arial" w:cs="Arial"/>
          <w:spacing w:val="-7"/>
          <w:sz w:val="19"/>
          <w:szCs w:val="19"/>
        </w:rPr>
        <w:t>Our</w:t>
      </w:r>
      <w:r>
        <w:rPr>
          <w:rFonts w:ascii="Arial" w:hAnsi="Arial" w:eastAsia="Arial" w:cs="Arial"/>
          <w:spacing w:val="25"/>
          <w:sz w:val="19"/>
          <w:szCs w:val="19"/>
        </w:rPr>
        <w:t xml:space="preserve"> </w:t>
      </w:r>
      <w:r>
        <w:rPr>
          <w:rFonts w:ascii="Arial" w:hAnsi="Arial" w:eastAsia="Arial" w:cs="Arial"/>
          <w:spacing w:val="-7"/>
          <w:sz w:val="19"/>
          <w:szCs w:val="19"/>
        </w:rPr>
        <w:t>res</w:t>
      </w:r>
      <w:r>
        <w:rPr>
          <w:rFonts w:ascii="Arial" w:hAnsi="Arial" w:eastAsia="Arial" w:cs="Arial"/>
          <w:spacing w:val="-8"/>
          <w:sz w:val="19"/>
          <w:szCs w:val="19"/>
        </w:rPr>
        <w:t>ults</w:t>
      </w:r>
      <w:r>
        <w:rPr>
          <w:rFonts w:ascii="Arial" w:hAnsi="Arial" w:eastAsia="Arial" w:cs="Arial"/>
          <w:spacing w:val="19"/>
          <w:w w:val="101"/>
          <w:sz w:val="19"/>
          <w:szCs w:val="19"/>
        </w:rPr>
        <w:t xml:space="preserve"> </w:t>
      </w:r>
      <w:r>
        <w:rPr>
          <w:rFonts w:ascii="Arial" w:hAnsi="Arial" w:eastAsia="Arial" w:cs="Arial"/>
          <w:spacing w:val="-8"/>
          <w:sz w:val="19"/>
          <w:szCs w:val="19"/>
        </w:rPr>
        <w:t>are</w:t>
      </w:r>
      <w:r>
        <w:rPr>
          <w:rFonts w:ascii="Arial" w:hAnsi="Arial" w:eastAsia="Arial" w:cs="Arial"/>
          <w:spacing w:val="18"/>
          <w:w w:val="101"/>
          <w:sz w:val="19"/>
          <w:szCs w:val="19"/>
        </w:rPr>
        <w:t xml:space="preserve"> </w:t>
      </w:r>
      <w:r>
        <w:rPr>
          <w:rFonts w:ascii="Arial" w:hAnsi="Arial" w:eastAsia="Arial" w:cs="Arial"/>
          <w:spacing w:val="-8"/>
          <w:sz w:val="19"/>
          <w:szCs w:val="19"/>
        </w:rPr>
        <w:t>also</w:t>
      </w:r>
      <w:r>
        <w:rPr>
          <w:rFonts w:ascii="Arial" w:hAnsi="Arial" w:eastAsia="Arial" w:cs="Arial"/>
          <w:spacing w:val="24"/>
          <w:w w:val="101"/>
          <w:sz w:val="19"/>
          <w:szCs w:val="19"/>
        </w:rPr>
        <w:t xml:space="preserve"> </w:t>
      </w:r>
      <w:r>
        <w:rPr>
          <w:rFonts w:ascii="Arial" w:hAnsi="Arial" w:eastAsia="Arial" w:cs="Arial"/>
          <w:spacing w:val="-8"/>
          <w:sz w:val="19"/>
          <w:szCs w:val="19"/>
        </w:rPr>
        <w:t>in</w:t>
      </w:r>
      <w:r>
        <w:rPr>
          <w:rFonts w:ascii="Arial" w:hAnsi="Arial" w:eastAsia="Arial" w:cs="Arial"/>
          <w:spacing w:val="25"/>
          <w:w w:val="101"/>
          <w:sz w:val="19"/>
          <w:szCs w:val="19"/>
        </w:rPr>
        <w:t xml:space="preserve"> </w:t>
      </w:r>
      <w:r>
        <w:rPr>
          <w:rFonts w:ascii="Arial" w:hAnsi="Arial" w:eastAsia="Arial" w:cs="Arial"/>
          <w:spacing w:val="-8"/>
          <w:sz w:val="19"/>
          <w:szCs w:val="19"/>
        </w:rPr>
        <w:t>line</w:t>
      </w:r>
      <w:r>
        <w:rPr>
          <w:rFonts w:ascii="Arial" w:hAnsi="Arial" w:eastAsia="Arial" w:cs="Arial"/>
          <w:spacing w:val="15"/>
          <w:w w:val="101"/>
          <w:sz w:val="19"/>
          <w:szCs w:val="19"/>
        </w:rPr>
        <w:t xml:space="preserve"> </w:t>
      </w:r>
      <w:r>
        <w:rPr>
          <w:rFonts w:ascii="Arial" w:hAnsi="Arial" w:eastAsia="Arial" w:cs="Arial"/>
          <w:spacing w:val="-8"/>
          <w:sz w:val="19"/>
          <w:szCs w:val="19"/>
        </w:rPr>
        <w:t>with</w:t>
      </w:r>
      <w:r>
        <w:rPr>
          <w:rFonts w:ascii="Arial" w:hAnsi="Arial" w:eastAsia="Arial" w:cs="Arial"/>
          <w:spacing w:val="18"/>
          <w:w w:val="101"/>
          <w:sz w:val="19"/>
          <w:szCs w:val="19"/>
        </w:rPr>
        <w:t xml:space="preserve"> </w:t>
      </w:r>
      <w:r>
        <w:rPr>
          <w:rFonts w:ascii="Arial" w:hAnsi="Arial" w:eastAsia="Arial" w:cs="Arial"/>
          <w:spacing w:val="-8"/>
          <w:sz w:val="19"/>
          <w:szCs w:val="19"/>
        </w:rPr>
        <w:t>Gvaramadze</w:t>
      </w:r>
      <w:r>
        <w:rPr>
          <w:rFonts w:ascii="Arial" w:hAnsi="Arial" w:eastAsia="Arial" w:cs="Arial"/>
          <w:sz w:val="19"/>
          <w:szCs w:val="19"/>
        </w:rPr>
        <w:t xml:space="preserve"> </w:t>
      </w:r>
      <w:r>
        <w:rPr>
          <w:rFonts w:ascii="Arial" w:hAnsi="Arial" w:eastAsia="Arial" w:cs="Arial"/>
          <w:spacing w:val="-8"/>
          <w:sz w:val="19"/>
          <w:szCs w:val="19"/>
        </w:rPr>
        <w:t>(</w:t>
      </w:r>
      <w:r>
        <w:fldChar w:fldCharType="begin"/>
      </w:r>
      <w:r>
        <w:instrText xml:space="preserve"> HYPERLINK \l "bookmark97" </w:instrText>
      </w:r>
      <w:r>
        <w:fldChar w:fldCharType="separate"/>
      </w:r>
      <w:r>
        <w:rPr>
          <w:rFonts w:ascii="Arial" w:hAnsi="Arial" w:eastAsia="Arial" w:cs="Arial"/>
          <w:color w:val="000084"/>
          <w:spacing w:val="-8"/>
          <w:sz w:val="19"/>
          <w:szCs w:val="19"/>
        </w:rPr>
        <w:t>2008</w:t>
      </w:r>
      <w:r>
        <w:rPr>
          <w:rFonts w:ascii="Arial" w:hAnsi="Arial" w:eastAsia="Arial" w:cs="Arial"/>
          <w:color w:val="000084"/>
          <w:spacing w:val="-8"/>
          <w:sz w:val="19"/>
          <w:szCs w:val="19"/>
        </w:rPr>
        <w:fldChar w:fldCharType="end"/>
      </w:r>
      <w:r>
        <w:rPr>
          <w:rFonts w:ascii="Arial" w:hAnsi="Arial" w:eastAsia="Arial" w:cs="Arial"/>
          <w:spacing w:val="-8"/>
          <w:sz w:val="19"/>
          <w:szCs w:val="19"/>
        </w:rPr>
        <w:t>)</w:t>
      </w:r>
      <w:r>
        <w:rPr>
          <w:rFonts w:ascii="Arial" w:hAnsi="Arial" w:eastAsia="Arial" w:cs="Arial"/>
          <w:spacing w:val="22"/>
          <w:w w:val="101"/>
          <w:sz w:val="19"/>
          <w:szCs w:val="19"/>
        </w:rPr>
        <w:t xml:space="preserve"> </w:t>
      </w:r>
      <w:r>
        <w:rPr>
          <w:rFonts w:ascii="Arial" w:hAnsi="Arial" w:eastAsia="Arial" w:cs="Arial"/>
          <w:spacing w:val="-8"/>
          <w:sz w:val="19"/>
          <w:szCs w:val="19"/>
        </w:rPr>
        <w:t>and</w:t>
      </w:r>
      <w:r>
        <w:rPr>
          <w:rFonts w:ascii="Arial" w:hAnsi="Arial" w:eastAsia="Arial" w:cs="Arial"/>
          <w:spacing w:val="22"/>
          <w:w w:val="101"/>
          <w:sz w:val="19"/>
          <w:szCs w:val="19"/>
        </w:rPr>
        <w:t xml:space="preserve"> </w:t>
      </w:r>
      <w:r>
        <w:rPr>
          <w:rFonts w:ascii="Arial" w:hAnsi="Arial" w:eastAsia="Arial" w:cs="Arial"/>
          <w:spacing w:val="-8"/>
          <w:sz w:val="19"/>
          <w:szCs w:val="19"/>
        </w:rPr>
        <w:t>other</w:t>
      </w:r>
      <w:r>
        <w:rPr>
          <w:rFonts w:ascii="Arial" w:hAnsi="Arial" w:eastAsia="Arial" w:cs="Arial"/>
          <w:spacing w:val="23"/>
          <w:sz w:val="19"/>
          <w:szCs w:val="19"/>
        </w:rPr>
        <w:t xml:space="preserve"> </w:t>
      </w:r>
      <w:r>
        <w:rPr>
          <w:rFonts w:ascii="Arial" w:hAnsi="Arial" w:eastAsia="Arial" w:cs="Arial"/>
          <w:spacing w:val="-8"/>
          <w:sz w:val="19"/>
          <w:szCs w:val="19"/>
        </w:rPr>
        <w:t>author</w:t>
      </w:r>
      <w:r>
        <w:rPr>
          <w:rFonts w:ascii="Arial" w:hAnsi="Arial" w:eastAsia="Arial" w:cs="Arial"/>
          <w:spacing w:val="-9"/>
          <w:sz w:val="19"/>
          <w:szCs w:val="19"/>
        </w:rPr>
        <w:t>s</w:t>
      </w:r>
      <w:r>
        <w:rPr>
          <w:rFonts w:ascii="Arial" w:hAnsi="Arial" w:eastAsia="Arial" w:cs="Arial"/>
          <w:spacing w:val="28"/>
          <w:w w:val="101"/>
          <w:sz w:val="19"/>
          <w:szCs w:val="19"/>
        </w:rPr>
        <w:t xml:space="preserve"> </w:t>
      </w:r>
      <w:r>
        <w:rPr>
          <w:rFonts w:ascii="Arial" w:hAnsi="Arial" w:eastAsia="Arial" w:cs="Arial"/>
          <w:spacing w:val="-9"/>
          <w:sz w:val="19"/>
          <w:szCs w:val="19"/>
        </w:rPr>
        <w:t>(e.g.</w:t>
      </w:r>
      <w:r>
        <w:rPr>
          <w:rFonts w:ascii="Arial" w:hAnsi="Arial" w:eastAsia="Arial" w:cs="Arial"/>
          <w:spacing w:val="20"/>
          <w:w w:val="101"/>
          <w:sz w:val="19"/>
          <w:szCs w:val="19"/>
        </w:rPr>
        <w:t xml:space="preserve"> </w:t>
      </w:r>
      <w:r>
        <w:rPr>
          <w:rFonts w:ascii="Arial" w:hAnsi="Arial" w:eastAsia="Arial" w:cs="Arial"/>
          <w:spacing w:val="-9"/>
          <w:sz w:val="19"/>
          <w:szCs w:val="19"/>
        </w:rPr>
        <w:t>Ali</w:t>
      </w:r>
      <w:r>
        <w:rPr>
          <w:rFonts w:ascii="Arial" w:hAnsi="Arial" w:eastAsia="Arial" w:cs="Arial"/>
          <w:spacing w:val="23"/>
          <w:sz w:val="19"/>
          <w:szCs w:val="19"/>
        </w:rPr>
        <w:t xml:space="preserve"> </w:t>
      </w:r>
      <w:r>
        <w:rPr>
          <w:rFonts w:ascii="Arial" w:hAnsi="Arial" w:eastAsia="Arial" w:cs="Arial"/>
          <w:spacing w:val="-9"/>
          <w:sz w:val="19"/>
          <w:szCs w:val="19"/>
        </w:rPr>
        <w:t>and</w:t>
      </w:r>
      <w:r>
        <w:rPr>
          <w:rFonts w:ascii="Arial" w:hAnsi="Arial" w:eastAsia="Arial" w:cs="Arial"/>
          <w:spacing w:val="26"/>
          <w:w w:val="101"/>
          <w:sz w:val="19"/>
          <w:szCs w:val="19"/>
        </w:rPr>
        <w:t xml:space="preserve"> </w:t>
      </w:r>
      <w:r>
        <w:rPr>
          <w:rFonts w:ascii="Arial" w:hAnsi="Arial" w:eastAsia="Arial" w:cs="Arial"/>
          <w:spacing w:val="-9"/>
          <w:sz w:val="19"/>
          <w:szCs w:val="19"/>
        </w:rPr>
        <w:t>Musah</w:t>
      </w:r>
      <w:r>
        <w:rPr>
          <w:rFonts w:ascii="Arial" w:hAnsi="Arial" w:eastAsia="Arial" w:cs="Arial"/>
          <w:spacing w:val="16"/>
          <w:w w:val="101"/>
          <w:sz w:val="19"/>
          <w:szCs w:val="19"/>
        </w:rPr>
        <w:t xml:space="preserve"> </w:t>
      </w:r>
      <w:r>
        <w:fldChar w:fldCharType="begin"/>
      </w:r>
      <w:r>
        <w:instrText xml:space="preserve"> HYPERLINK \l "bookmark98" </w:instrText>
      </w:r>
      <w:r>
        <w:fldChar w:fldCharType="separate"/>
      </w:r>
      <w:r>
        <w:rPr>
          <w:rFonts w:ascii="Arial" w:hAnsi="Arial" w:eastAsia="Arial" w:cs="Arial"/>
          <w:color w:val="000084"/>
          <w:spacing w:val="-9"/>
          <w:sz w:val="19"/>
          <w:szCs w:val="19"/>
        </w:rPr>
        <w:t>2012</w:t>
      </w:r>
      <w:r>
        <w:rPr>
          <w:rFonts w:ascii="Arial" w:hAnsi="Arial" w:eastAsia="Arial" w:cs="Arial"/>
          <w:color w:val="000084"/>
          <w:spacing w:val="-9"/>
          <w:sz w:val="19"/>
          <w:szCs w:val="19"/>
        </w:rPr>
        <w:fldChar w:fldCharType="end"/>
      </w:r>
      <w:r>
        <w:rPr>
          <w:rFonts w:ascii="Arial" w:hAnsi="Arial" w:eastAsia="Arial" w:cs="Arial"/>
          <w:spacing w:val="-9"/>
          <w:sz w:val="19"/>
          <w:szCs w:val="19"/>
        </w:rPr>
        <w:t>;</w:t>
      </w:r>
      <w:r>
        <w:rPr>
          <w:rFonts w:ascii="Arial" w:hAnsi="Arial" w:eastAsia="Arial" w:cs="Arial"/>
          <w:spacing w:val="31"/>
          <w:sz w:val="19"/>
          <w:szCs w:val="19"/>
        </w:rPr>
        <w:t xml:space="preserve"> </w:t>
      </w:r>
      <w:r>
        <w:rPr>
          <w:rFonts w:ascii="Arial" w:hAnsi="Arial" w:eastAsia="Arial" w:cs="Arial"/>
          <w:spacing w:val="-9"/>
          <w:sz w:val="19"/>
          <w:szCs w:val="19"/>
        </w:rPr>
        <w:t>EUA</w:t>
      </w:r>
      <w:r>
        <w:rPr>
          <w:rFonts w:ascii="Arial" w:hAnsi="Arial" w:eastAsia="Arial" w:cs="Arial"/>
          <w:spacing w:val="15"/>
          <w:sz w:val="19"/>
          <w:szCs w:val="19"/>
        </w:rPr>
        <w:t xml:space="preserve"> </w:t>
      </w:r>
      <w:r>
        <w:fldChar w:fldCharType="begin"/>
      </w:r>
      <w:r>
        <w:instrText xml:space="preserve"> HYPERLINK \l "bookmark99" </w:instrText>
      </w:r>
      <w:r>
        <w:fldChar w:fldCharType="separate"/>
      </w:r>
      <w:r>
        <w:rPr>
          <w:rFonts w:ascii="Arial" w:hAnsi="Arial" w:eastAsia="Arial" w:cs="Arial"/>
          <w:color w:val="000084"/>
          <w:spacing w:val="-9"/>
          <w:sz w:val="19"/>
          <w:szCs w:val="19"/>
        </w:rPr>
        <w:t>2006</w:t>
      </w:r>
      <w:r>
        <w:rPr>
          <w:rFonts w:ascii="Arial" w:hAnsi="Arial" w:eastAsia="Arial" w:cs="Arial"/>
          <w:color w:val="000084"/>
          <w:spacing w:val="-9"/>
          <w:sz w:val="19"/>
          <w:szCs w:val="19"/>
        </w:rPr>
        <w:fldChar w:fldCharType="end"/>
      </w:r>
      <w:r>
        <w:rPr>
          <w:rFonts w:ascii="Arial" w:hAnsi="Arial" w:eastAsia="Arial" w:cs="Arial"/>
          <w:spacing w:val="-9"/>
          <w:sz w:val="19"/>
          <w:szCs w:val="19"/>
        </w:rPr>
        <w:t>;</w:t>
      </w:r>
      <w:r>
        <w:rPr>
          <w:rFonts w:ascii="Arial" w:hAnsi="Arial" w:eastAsia="Arial" w:cs="Arial"/>
          <w:spacing w:val="22"/>
          <w:sz w:val="19"/>
          <w:szCs w:val="19"/>
        </w:rPr>
        <w:t xml:space="preserve"> </w:t>
      </w:r>
      <w:r>
        <w:rPr>
          <w:rFonts w:ascii="Arial" w:hAnsi="Arial" w:eastAsia="Arial" w:cs="Arial"/>
          <w:spacing w:val="-9"/>
          <w:sz w:val="19"/>
          <w:szCs w:val="19"/>
        </w:rPr>
        <w:t>Gordon</w:t>
      </w:r>
      <w:r>
        <w:rPr>
          <w:rFonts w:ascii="Arial" w:hAnsi="Arial" w:eastAsia="Arial" w:cs="Arial"/>
          <w:spacing w:val="16"/>
          <w:w w:val="101"/>
          <w:sz w:val="19"/>
          <w:szCs w:val="19"/>
        </w:rPr>
        <w:t xml:space="preserve"> </w:t>
      </w:r>
      <w:r>
        <w:fldChar w:fldCharType="begin"/>
      </w:r>
      <w:r>
        <w:instrText xml:space="preserve"> HYPERLINK \l "bookmark100" </w:instrText>
      </w:r>
      <w:r>
        <w:fldChar w:fldCharType="separate"/>
      </w:r>
      <w:r>
        <w:rPr>
          <w:rFonts w:ascii="Arial" w:hAnsi="Arial" w:eastAsia="Arial" w:cs="Arial"/>
          <w:color w:val="000084"/>
          <w:spacing w:val="-9"/>
          <w:sz w:val="19"/>
          <w:szCs w:val="19"/>
        </w:rPr>
        <w:t>2002</w:t>
      </w:r>
      <w:r>
        <w:rPr>
          <w:rFonts w:ascii="Arial" w:hAnsi="Arial" w:eastAsia="Arial" w:cs="Arial"/>
          <w:color w:val="000084"/>
          <w:spacing w:val="-9"/>
          <w:sz w:val="19"/>
          <w:szCs w:val="19"/>
        </w:rPr>
        <w:fldChar w:fldCharType="end"/>
      </w:r>
      <w:r>
        <w:rPr>
          <w:rFonts w:ascii="Arial" w:hAnsi="Arial" w:eastAsia="Arial" w:cs="Arial"/>
          <w:spacing w:val="-9"/>
          <w:sz w:val="19"/>
          <w:szCs w:val="19"/>
        </w:rPr>
        <w:t>;</w:t>
      </w:r>
      <w:r>
        <w:rPr>
          <w:rFonts w:ascii="Arial" w:hAnsi="Arial" w:eastAsia="Arial" w:cs="Arial"/>
          <w:spacing w:val="30"/>
          <w:sz w:val="19"/>
          <w:szCs w:val="19"/>
        </w:rPr>
        <w:t xml:space="preserve"> </w:t>
      </w:r>
      <w:r>
        <w:rPr>
          <w:rFonts w:ascii="Arial" w:hAnsi="Arial" w:eastAsia="Arial" w:cs="Arial"/>
          <w:spacing w:val="-9"/>
          <w:sz w:val="19"/>
          <w:szCs w:val="19"/>
        </w:rPr>
        <w:t>Loukkola</w:t>
      </w:r>
      <w:r>
        <w:rPr>
          <w:rFonts w:ascii="Arial" w:hAnsi="Arial" w:eastAsia="Arial" w:cs="Arial"/>
          <w:spacing w:val="22"/>
          <w:sz w:val="19"/>
          <w:szCs w:val="19"/>
        </w:rPr>
        <w:t xml:space="preserve"> </w:t>
      </w:r>
      <w:r>
        <w:rPr>
          <w:rFonts w:ascii="Arial" w:hAnsi="Arial" w:eastAsia="Arial" w:cs="Arial"/>
          <w:spacing w:val="-9"/>
          <w:sz w:val="19"/>
          <w:szCs w:val="19"/>
        </w:rPr>
        <w:t>and</w:t>
      </w:r>
      <w:r>
        <w:rPr>
          <w:rFonts w:ascii="Arial" w:hAnsi="Arial" w:eastAsia="Arial" w:cs="Arial"/>
          <w:spacing w:val="21"/>
          <w:sz w:val="19"/>
          <w:szCs w:val="19"/>
        </w:rPr>
        <w:t xml:space="preserve"> </w:t>
      </w:r>
      <w:r>
        <w:rPr>
          <w:rFonts w:ascii="Arial" w:hAnsi="Arial" w:eastAsia="Arial" w:cs="Arial"/>
          <w:spacing w:val="-9"/>
          <w:sz w:val="19"/>
          <w:szCs w:val="19"/>
        </w:rPr>
        <w:t>Zhang</w:t>
      </w:r>
      <w:r>
        <w:rPr>
          <w:rFonts w:ascii="Arial" w:hAnsi="Arial" w:eastAsia="Arial" w:cs="Arial"/>
          <w:sz w:val="19"/>
          <w:szCs w:val="19"/>
        </w:rPr>
        <w:t xml:space="preserve"> </w:t>
      </w:r>
      <w:r>
        <w:fldChar w:fldCharType="begin"/>
      </w:r>
      <w:r>
        <w:instrText xml:space="preserve"> HYPERLINK \l "bookmark101" </w:instrText>
      </w:r>
      <w:r>
        <w:fldChar w:fldCharType="separate"/>
      </w:r>
      <w:r>
        <w:rPr>
          <w:rFonts w:ascii="Arial" w:hAnsi="Arial" w:eastAsia="Arial" w:cs="Arial"/>
          <w:color w:val="000084"/>
          <w:spacing w:val="-6"/>
          <w:sz w:val="19"/>
          <w:szCs w:val="19"/>
        </w:rPr>
        <w:t>2010</w:t>
      </w:r>
      <w:r>
        <w:rPr>
          <w:rFonts w:ascii="Arial" w:hAnsi="Arial" w:eastAsia="Arial" w:cs="Arial"/>
          <w:color w:val="000084"/>
          <w:spacing w:val="-6"/>
          <w:sz w:val="19"/>
          <w:szCs w:val="19"/>
        </w:rPr>
        <w:fldChar w:fldCharType="end"/>
      </w:r>
      <w:r>
        <w:rPr>
          <w:rFonts w:ascii="Arial" w:hAnsi="Arial" w:eastAsia="Arial" w:cs="Arial"/>
          <w:spacing w:val="-6"/>
          <w:sz w:val="19"/>
          <w:szCs w:val="19"/>
        </w:rPr>
        <w:t>;</w:t>
      </w:r>
      <w:r>
        <w:rPr>
          <w:rFonts w:ascii="Arial" w:hAnsi="Arial" w:eastAsia="Arial" w:cs="Arial"/>
          <w:spacing w:val="22"/>
          <w:sz w:val="19"/>
          <w:szCs w:val="19"/>
        </w:rPr>
        <w:t xml:space="preserve"> </w:t>
      </w:r>
      <w:r>
        <w:rPr>
          <w:rFonts w:ascii="Arial" w:hAnsi="Arial" w:eastAsia="Arial" w:cs="Arial"/>
          <w:spacing w:val="-6"/>
          <w:sz w:val="19"/>
          <w:szCs w:val="19"/>
        </w:rPr>
        <w:t>Yorke</w:t>
      </w:r>
      <w:r>
        <w:rPr>
          <w:rFonts w:ascii="Arial" w:hAnsi="Arial" w:eastAsia="Arial" w:cs="Arial"/>
          <w:spacing w:val="20"/>
          <w:sz w:val="19"/>
          <w:szCs w:val="19"/>
        </w:rPr>
        <w:t xml:space="preserve"> </w:t>
      </w:r>
      <w:r>
        <w:fldChar w:fldCharType="begin"/>
      </w:r>
      <w:r>
        <w:instrText xml:space="preserve"> HYPERLINK \l "bookmark102" </w:instrText>
      </w:r>
      <w:r>
        <w:fldChar w:fldCharType="separate"/>
      </w:r>
      <w:r>
        <w:rPr>
          <w:rFonts w:ascii="Arial" w:hAnsi="Arial" w:eastAsia="Arial" w:cs="Arial"/>
          <w:color w:val="000084"/>
          <w:spacing w:val="-6"/>
          <w:sz w:val="19"/>
          <w:szCs w:val="19"/>
        </w:rPr>
        <w:t>2000</w:t>
      </w:r>
      <w:r>
        <w:rPr>
          <w:rFonts w:ascii="Arial" w:hAnsi="Arial" w:eastAsia="Arial" w:cs="Arial"/>
          <w:color w:val="000084"/>
          <w:spacing w:val="-6"/>
          <w:sz w:val="19"/>
          <w:szCs w:val="19"/>
        </w:rPr>
        <w:fldChar w:fldCharType="end"/>
      </w:r>
      <w:r>
        <w:rPr>
          <w:rFonts w:ascii="Arial" w:hAnsi="Arial" w:eastAsia="Arial" w:cs="Arial"/>
          <w:spacing w:val="-6"/>
          <w:sz w:val="19"/>
          <w:szCs w:val="19"/>
        </w:rPr>
        <w:t>),</w:t>
      </w:r>
      <w:r>
        <w:rPr>
          <w:rFonts w:ascii="Arial" w:hAnsi="Arial" w:eastAsia="Arial" w:cs="Arial"/>
          <w:spacing w:val="24"/>
          <w:sz w:val="19"/>
          <w:szCs w:val="19"/>
        </w:rPr>
        <w:t xml:space="preserve"> </w:t>
      </w:r>
      <w:r>
        <w:rPr>
          <w:rFonts w:ascii="Arial" w:hAnsi="Arial" w:eastAsia="Arial" w:cs="Arial"/>
          <w:spacing w:val="-6"/>
          <w:sz w:val="19"/>
          <w:szCs w:val="19"/>
        </w:rPr>
        <w:t>who</w:t>
      </w:r>
      <w:r>
        <w:rPr>
          <w:rFonts w:ascii="Arial" w:hAnsi="Arial" w:eastAsia="Arial" w:cs="Arial"/>
          <w:spacing w:val="27"/>
          <w:sz w:val="19"/>
          <w:szCs w:val="19"/>
        </w:rPr>
        <w:t xml:space="preserve"> </w:t>
      </w:r>
      <w:r>
        <w:rPr>
          <w:rFonts w:ascii="Arial" w:hAnsi="Arial" w:eastAsia="Arial" w:cs="Arial"/>
          <w:spacing w:val="-7"/>
          <w:sz w:val="19"/>
          <w:szCs w:val="19"/>
        </w:rPr>
        <w:t>stress</w:t>
      </w:r>
      <w:r>
        <w:rPr>
          <w:rFonts w:ascii="Arial" w:hAnsi="Arial" w:eastAsia="Arial" w:cs="Arial"/>
          <w:spacing w:val="25"/>
          <w:sz w:val="19"/>
          <w:szCs w:val="19"/>
        </w:rPr>
        <w:t xml:space="preserve"> </w:t>
      </w:r>
      <w:r>
        <w:rPr>
          <w:rFonts w:ascii="Arial" w:hAnsi="Arial" w:eastAsia="Arial" w:cs="Arial"/>
          <w:spacing w:val="-7"/>
          <w:sz w:val="19"/>
          <w:szCs w:val="19"/>
        </w:rPr>
        <w:t>the</w:t>
      </w:r>
      <w:r>
        <w:rPr>
          <w:rFonts w:ascii="Arial" w:hAnsi="Arial" w:eastAsia="Arial" w:cs="Arial"/>
          <w:spacing w:val="26"/>
          <w:w w:val="101"/>
          <w:sz w:val="19"/>
          <w:szCs w:val="19"/>
        </w:rPr>
        <w:t xml:space="preserve"> </w:t>
      </w:r>
      <w:r>
        <w:rPr>
          <w:rFonts w:ascii="Arial" w:hAnsi="Arial" w:eastAsia="Arial" w:cs="Arial"/>
          <w:spacing w:val="-7"/>
          <w:sz w:val="19"/>
          <w:szCs w:val="19"/>
        </w:rPr>
        <w:t>decisive</w:t>
      </w:r>
      <w:r>
        <w:rPr>
          <w:rFonts w:ascii="Arial" w:hAnsi="Arial" w:eastAsia="Arial" w:cs="Arial"/>
          <w:spacing w:val="34"/>
          <w:sz w:val="19"/>
          <w:szCs w:val="19"/>
        </w:rPr>
        <w:t xml:space="preserve"> </w:t>
      </w:r>
      <w:r>
        <w:rPr>
          <w:rFonts w:ascii="Arial" w:hAnsi="Arial" w:eastAsia="Arial" w:cs="Arial"/>
          <w:spacing w:val="-7"/>
          <w:sz w:val="19"/>
          <w:szCs w:val="19"/>
        </w:rPr>
        <w:t>role</w:t>
      </w:r>
      <w:r>
        <w:rPr>
          <w:rFonts w:ascii="Arial" w:hAnsi="Arial" w:eastAsia="Arial" w:cs="Arial"/>
          <w:spacing w:val="27"/>
          <w:w w:val="101"/>
          <w:sz w:val="19"/>
          <w:szCs w:val="19"/>
        </w:rPr>
        <w:t xml:space="preserve"> </w:t>
      </w:r>
      <w:r>
        <w:rPr>
          <w:rFonts w:ascii="Arial" w:hAnsi="Arial" w:eastAsia="Arial" w:cs="Arial"/>
          <w:spacing w:val="-7"/>
          <w:sz w:val="19"/>
          <w:szCs w:val="19"/>
        </w:rPr>
        <w:t>of</w:t>
      </w:r>
      <w:r>
        <w:rPr>
          <w:rFonts w:ascii="Arial" w:hAnsi="Arial" w:eastAsia="Arial" w:cs="Arial"/>
          <w:spacing w:val="16"/>
          <w:sz w:val="19"/>
          <w:szCs w:val="19"/>
        </w:rPr>
        <w:t xml:space="preserve"> </w:t>
      </w:r>
      <w:r>
        <w:rPr>
          <w:rFonts w:ascii="Arial" w:hAnsi="Arial" w:eastAsia="Arial" w:cs="Arial"/>
          <w:spacing w:val="-7"/>
          <w:sz w:val="19"/>
          <w:szCs w:val="19"/>
        </w:rPr>
        <w:t>the</w:t>
      </w:r>
      <w:r>
        <w:rPr>
          <w:rFonts w:ascii="Arial" w:hAnsi="Arial" w:eastAsia="Arial" w:cs="Arial"/>
          <w:spacing w:val="33"/>
          <w:sz w:val="19"/>
          <w:szCs w:val="19"/>
        </w:rPr>
        <w:t xml:space="preserve"> </w:t>
      </w:r>
      <w:r>
        <w:rPr>
          <w:rFonts w:ascii="Arial" w:hAnsi="Arial" w:eastAsia="Arial" w:cs="Arial"/>
          <w:spacing w:val="-7"/>
          <w:sz w:val="19"/>
          <w:szCs w:val="19"/>
        </w:rPr>
        <w:t>university</w:t>
      </w:r>
      <w:r>
        <w:rPr>
          <w:rFonts w:ascii="Arial" w:hAnsi="Arial" w:eastAsia="Arial" w:cs="Arial"/>
          <w:spacing w:val="33"/>
          <w:w w:val="101"/>
          <w:sz w:val="19"/>
          <w:szCs w:val="19"/>
        </w:rPr>
        <w:t xml:space="preserve"> </w:t>
      </w:r>
      <w:r>
        <w:rPr>
          <w:rFonts w:ascii="Arial" w:hAnsi="Arial" w:eastAsia="Arial" w:cs="Arial"/>
          <w:spacing w:val="-7"/>
          <w:sz w:val="19"/>
          <w:szCs w:val="19"/>
        </w:rPr>
        <w:t>management</w:t>
      </w:r>
      <w:r>
        <w:rPr>
          <w:rFonts w:ascii="Arial" w:hAnsi="Arial" w:eastAsia="Arial" w:cs="Arial"/>
          <w:spacing w:val="33"/>
          <w:w w:val="101"/>
          <w:sz w:val="19"/>
          <w:szCs w:val="19"/>
        </w:rPr>
        <w:t xml:space="preserve"> </w:t>
      </w:r>
      <w:r>
        <w:rPr>
          <w:rFonts w:ascii="Arial" w:hAnsi="Arial" w:eastAsia="Arial" w:cs="Arial"/>
          <w:spacing w:val="-7"/>
          <w:sz w:val="19"/>
          <w:szCs w:val="19"/>
        </w:rPr>
        <w:t>level</w:t>
      </w:r>
      <w:r>
        <w:rPr>
          <w:rFonts w:ascii="Arial" w:hAnsi="Arial" w:eastAsia="Arial" w:cs="Arial"/>
          <w:spacing w:val="32"/>
          <w:sz w:val="19"/>
          <w:szCs w:val="19"/>
        </w:rPr>
        <w:t xml:space="preserve"> </w:t>
      </w:r>
      <w:r>
        <w:rPr>
          <w:rFonts w:ascii="Arial" w:hAnsi="Arial" w:eastAsia="Arial" w:cs="Arial"/>
          <w:spacing w:val="-7"/>
          <w:sz w:val="19"/>
          <w:szCs w:val="19"/>
        </w:rPr>
        <w:t>in</w:t>
      </w:r>
      <w:r>
        <w:rPr>
          <w:rFonts w:ascii="Arial" w:hAnsi="Arial" w:eastAsia="Arial" w:cs="Arial"/>
          <w:spacing w:val="27"/>
          <w:w w:val="101"/>
          <w:sz w:val="19"/>
          <w:szCs w:val="19"/>
        </w:rPr>
        <w:t xml:space="preserve"> </w:t>
      </w:r>
      <w:r>
        <w:rPr>
          <w:rFonts w:ascii="Arial" w:hAnsi="Arial" w:eastAsia="Arial" w:cs="Arial"/>
          <w:spacing w:val="-7"/>
          <w:sz w:val="19"/>
          <w:szCs w:val="19"/>
        </w:rPr>
        <w:t>creating</w:t>
      </w:r>
      <w:r>
        <w:rPr>
          <w:rFonts w:ascii="Arial" w:hAnsi="Arial" w:eastAsia="Arial" w:cs="Arial"/>
          <w:spacing w:val="26"/>
          <w:w w:val="101"/>
          <w:sz w:val="19"/>
          <w:szCs w:val="19"/>
        </w:rPr>
        <w:t xml:space="preserve"> </w:t>
      </w:r>
      <w:r>
        <w:rPr>
          <w:rFonts w:ascii="Arial" w:hAnsi="Arial" w:eastAsia="Arial" w:cs="Arial"/>
          <w:spacing w:val="-7"/>
          <w:sz w:val="19"/>
          <w:szCs w:val="19"/>
        </w:rPr>
        <w:t>a</w:t>
      </w:r>
      <w:r>
        <w:rPr>
          <w:rFonts w:ascii="Arial" w:hAnsi="Arial" w:eastAsia="Arial" w:cs="Arial"/>
          <w:sz w:val="19"/>
          <w:szCs w:val="19"/>
        </w:rPr>
        <w:t xml:space="preserve"> </w:t>
      </w:r>
      <w:r>
        <w:rPr>
          <w:rFonts w:ascii="Arial" w:hAnsi="Arial" w:eastAsia="Arial" w:cs="Arial"/>
          <w:spacing w:val="-4"/>
          <w:sz w:val="19"/>
          <w:szCs w:val="19"/>
        </w:rPr>
        <w:t>common</w:t>
      </w:r>
      <w:r>
        <w:rPr>
          <w:rFonts w:ascii="Arial" w:hAnsi="Arial" w:eastAsia="Arial" w:cs="Arial"/>
          <w:spacing w:val="14"/>
          <w:sz w:val="19"/>
          <w:szCs w:val="19"/>
        </w:rPr>
        <w:t xml:space="preserve"> </w:t>
      </w:r>
      <w:r>
        <w:rPr>
          <w:rFonts w:ascii="Arial" w:hAnsi="Arial" w:eastAsia="Arial" w:cs="Arial"/>
          <w:spacing w:val="-4"/>
          <w:sz w:val="19"/>
          <w:szCs w:val="19"/>
        </w:rPr>
        <w:t>quality vision,</w:t>
      </w:r>
      <w:r>
        <w:rPr>
          <w:rFonts w:ascii="Arial" w:hAnsi="Arial" w:eastAsia="Arial" w:cs="Arial"/>
          <w:spacing w:val="12"/>
          <w:sz w:val="19"/>
          <w:szCs w:val="19"/>
        </w:rPr>
        <w:t xml:space="preserve"> </w:t>
      </w:r>
      <w:r>
        <w:rPr>
          <w:rFonts w:ascii="Arial" w:hAnsi="Arial" w:eastAsia="Arial" w:cs="Arial"/>
          <w:spacing w:val="-4"/>
          <w:sz w:val="19"/>
          <w:szCs w:val="19"/>
        </w:rPr>
        <w:t>common</w:t>
      </w:r>
      <w:r>
        <w:rPr>
          <w:rFonts w:ascii="Arial" w:hAnsi="Arial" w:eastAsia="Arial" w:cs="Arial"/>
          <w:spacing w:val="13"/>
          <w:sz w:val="19"/>
          <w:szCs w:val="19"/>
        </w:rPr>
        <w:t xml:space="preserve"> </w:t>
      </w:r>
      <w:r>
        <w:rPr>
          <w:rFonts w:ascii="Arial" w:hAnsi="Arial" w:eastAsia="Arial" w:cs="Arial"/>
          <w:spacing w:val="-4"/>
          <w:sz w:val="19"/>
          <w:szCs w:val="19"/>
        </w:rPr>
        <w:t>q</w:t>
      </w:r>
      <w:r>
        <w:rPr>
          <w:rFonts w:ascii="Arial" w:hAnsi="Arial" w:eastAsia="Arial" w:cs="Arial"/>
          <w:spacing w:val="-5"/>
          <w:sz w:val="19"/>
          <w:szCs w:val="19"/>
        </w:rPr>
        <w:t>uality values,</w:t>
      </w:r>
      <w:r>
        <w:rPr>
          <w:rFonts w:ascii="Arial" w:hAnsi="Arial" w:eastAsia="Arial" w:cs="Arial"/>
          <w:spacing w:val="12"/>
          <w:sz w:val="19"/>
          <w:szCs w:val="19"/>
        </w:rPr>
        <w:t xml:space="preserve"> </w:t>
      </w:r>
      <w:r>
        <w:rPr>
          <w:rFonts w:ascii="Arial" w:hAnsi="Arial" w:eastAsia="Arial" w:cs="Arial"/>
          <w:spacing w:val="-5"/>
          <w:sz w:val="19"/>
          <w:szCs w:val="19"/>
        </w:rPr>
        <w:t>and</w:t>
      </w:r>
      <w:r>
        <w:rPr>
          <w:rFonts w:ascii="Arial" w:hAnsi="Arial" w:eastAsia="Arial" w:cs="Arial"/>
          <w:spacing w:val="12"/>
          <w:sz w:val="19"/>
          <w:szCs w:val="19"/>
        </w:rPr>
        <w:t xml:space="preserve"> </w:t>
      </w:r>
      <w:r>
        <w:rPr>
          <w:rFonts w:ascii="Arial" w:hAnsi="Arial" w:eastAsia="Arial" w:cs="Arial"/>
          <w:spacing w:val="-5"/>
          <w:sz w:val="19"/>
          <w:szCs w:val="19"/>
        </w:rPr>
        <w:t>a</w:t>
      </w:r>
      <w:r>
        <w:rPr>
          <w:rFonts w:ascii="Arial" w:hAnsi="Arial" w:eastAsia="Arial" w:cs="Arial"/>
          <w:spacing w:val="13"/>
          <w:w w:val="101"/>
          <w:sz w:val="19"/>
          <w:szCs w:val="19"/>
        </w:rPr>
        <w:t xml:space="preserve"> </w:t>
      </w:r>
      <w:r>
        <w:rPr>
          <w:rFonts w:ascii="Arial" w:hAnsi="Arial" w:eastAsia="Arial" w:cs="Arial"/>
          <w:spacing w:val="-5"/>
          <w:sz w:val="19"/>
          <w:szCs w:val="19"/>
        </w:rPr>
        <w:t>common</w:t>
      </w:r>
      <w:r>
        <w:rPr>
          <w:rFonts w:ascii="Arial" w:hAnsi="Arial" w:eastAsia="Arial" w:cs="Arial"/>
          <w:spacing w:val="13"/>
          <w:sz w:val="19"/>
          <w:szCs w:val="19"/>
        </w:rPr>
        <w:t xml:space="preserve"> </w:t>
      </w:r>
      <w:r>
        <w:rPr>
          <w:rFonts w:ascii="Arial" w:hAnsi="Arial" w:eastAsia="Arial" w:cs="Arial"/>
          <w:spacing w:val="-5"/>
          <w:sz w:val="19"/>
          <w:szCs w:val="19"/>
        </w:rPr>
        <w:t>quality</w:t>
      </w:r>
      <w:r>
        <w:rPr>
          <w:rFonts w:ascii="Arial" w:hAnsi="Arial" w:eastAsia="Arial" w:cs="Arial"/>
          <w:spacing w:val="14"/>
          <w:w w:val="101"/>
          <w:sz w:val="19"/>
          <w:szCs w:val="19"/>
        </w:rPr>
        <w:t xml:space="preserve"> </w:t>
      </w:r>
      <w:r>
        <w:rPr>
          <w:rFonts w:ascii="Arial" w:hAnsi="Arial" w:eastAsia="Arial" w:cs="Arial"/>
          <w:spacing w:val="-5"/>
          <w:sz w:val="19"/>
          <w:szCs w:val="19"/>
        </w:rPr>
        <w:t>strategy,</w:t>
      </w:r>
      <w:r>
        <w:rPr>
          <w:rFonts w:ascii="Arial" w:hAnsi="Arial" w:eastAsia="Arial" w:cs="Arial"/>
          <w:spacing w:val="10"/>
          <w:sz w:val="19"/>
          <w:szCs w:val="19"/>
        </w:rPr>
        <w:t xml:space="preserve"> </w:t>
      </w:r>
      <w:r>
        <w:rPr>
          <w:rFonts w:ascii="Arial" w:hAnsi="Arial" w:eastAsia="Arial" w:cs="Arial"/>
          <w:spacing w:val="-5"/>
          <w:sz w:val="19"/>
          <w:szCs w:val="19"/>
        </w:rPr>
        <w:t>while</w:t>
      </w:r>
      <w:r>
        <w:rPr>
          <w:rFonts w:ascii="Arial" w:hAnsi="Arial" w:eastAsia="Arial" w:cs="Arial"/>
          <w:spacing w:val="13"/>
          <w:w w:val="101"/>
          <w:sz w:val="19"/>
          <w:szCs w:val="19"/>
        </w:rPr>
        <w:t xml:space="preserve"> </w:t>
      </w:r>
      <w:r>
        <w:rPr>
          <w:rFonts w:ascii="Arial" w:hAnsi="Arial" w:eastAsia="Arial" w:cs="Arial"/>
          <w:spacing w:val="-5"/>
          <w:sz w:val="19"/>
          <w:szCs w:val="19"/>
        </w:rPr>
        <w:t>at the</w:t>
      </w:r>
      <w:r>
        <w:rPr>
          <w:rFonts w:ascii="Arial" w:hAnsi="Arial" w:eastAsia="Arial" w:cs="Arial"/>
          <w:spacing w:val="14"/>
          <w:sz w:val="19"/>
          <w:szCs w:val="19"/>
        </w:rPr>
        <w:t xml:space="preserve"> </w:t>
      </w:r>
      <w:r>
        <w:rPr>
          <w:rFonts w:ascii="Arial" w:hAnsi="Arial" w:eastAsia="Arial" w:cs="Arial"/>
          <w:spacing w:val="-5"/>
          <w:sz w:val="19"/>
          <w:szCs w:val="19"/>
        </w:rPr>
        <w:t>same</w:t>
      </w:r>
      <w:r>
        <w:rPr>
          <w:rFonts w:ascii="Arial" w:hAnsi="Arial" w:eastAsia="Arial" w:cs="Arial"/>
          <w:sz w:val="19"/>
          <w:szCs w:val="19"/>
        </w:rPr>
        <w:t xml:space="preserve"> </w:t>
      </w:r>
      <w:r>
        <w:rPr>
          <w:rFonts w:ascii="Arial" w:hAnsi="Arial" w:eastAsia="Arial" w:cs="Arial"/>
          <w:spacing w:val="-6"/>
          <w:sz w:val="19"/>
          <w:szCs w:val="19"/>
        </w:rPr>
        <w:t>ti</w:t>
      </w:r>
      <w:r>
        <w:rPr>
          <w:rFonts w:ascii="Arial" w:hAnsi="Arial" w:eastAsia="Arial" w:cs="Arial"/>
          <w:spacing w:val="-5"/>
          <w:sz w:val="19"/>
          <w:szCs w:val="19"/>
        </w:rPr>
        <w:t>me</w:t>
      </w:r>
      <w:r>
        <w:rPr>
          <w:rFonts w:ascii="Arial" w:hAnsi="Arial" w:eastAsia="Arial" w:cs="Arial"/>
          <w:spacing w:val="39"/>
          <w:sz w:val="19"/>
          <w:szCs w:val="19"/>
        </w:rPr>
        <w:t xml:space="preserve"> </w:t>
      </w:r>
      <w:r>
        <w:rPr>
          <w:rFonts w:ascii="Arial" w:hAnsi="Arial" w:eastAsia="Arial" w:cs="Arial"/>
          <w:spacing w:val="-5"/>
          <w:sz w:val="19"/>
          <w:szCs w:val="19"/>
        </w:rPr>
        <w:t>transferring  responsibility</w:t>
      </w:r>
      <w:r>
        <w:rPr>
          <w:rFonts w:ascii="Arial" w:hAnsi="Arial" w:eastAsia="Arial" w:cs="Arial"/>
          <w:spacing w:val="38"/>
          <w:w w:val="101"/>
          <w:sz w:val="19"/>
          <w:szCs w:val="19"/>
        </w:rPr>
        <w:t xml:space="preserve"> </w:t>
      </w:r>
      <w:r>
        <w:rPr>
          <w:rFonts w:ascii="Arial" w:hAnsi="Arial" w:eastAsia="Arial" w:cs="Arial"/>
          <w:spacing w:val="-5"/>
          <w:sz w:val="19"/>
          <w:szCs w:val="19"/>
        </w:rPr>
        <w:t xml:space="preserve">to  HEI  </w:t>
      </w:r>
      <w:r>
        <w:rPr>
          <w:rFonts w:ascii="Arial" w:hAnsi="Arial" w:eastAsia="Arial" w:cs="Arial"/>
          <w:spacing w:val="-6"/>
          <w:sz w:val="19"/>
          <w:szCs w:val="19"/>
        </w:rPr>
        <w:t>members.  In  summary,  it  seems  to  be  crucial  for</w:t>
      </w:r>
      <w:r>
        <w:rPr>
          <w:rFonts w:ascii="Arial" w:hAnsi="Arial" w:eastAsia="Arial" w:cs="Arial"/>
          <w:spacing w:val="43"/>
          <w:w w:val="101"/>
          <w:sz w:val="19"/>
          <w:szCs w:val="19"/>
        </w:rPr>
        <w:t xml:space="preserve"> </w:t>
      </w:r>
      <w:r>
        <w:rPr>
          <w:rFonts w:ascii="Arial" w:hAnsi="Arial" w:eastAsia="Arial" w:cs="Arial"/>
          <w:spacing w:val="-6"/>
          <w:sz w:val="19"/>
          <w:szCs w:val="19"/>
        </w:rPr>
        <w:t>qualit</w:t>
      </w:r>
      <w:r>
        <w:rPr>
          <w:rFonts w:ascii="Arial" w:hAnsi="Arial" w:eastAsia="Arial" w:cs="Arial"/>
          <w:spacing w:val="-4"/>
          <w:sz w:val="19"/>
          <w:szCs w:val="19"/>
        </w:rPr>
        <w:t>y</w:t>
      </w:r>
      <w:r>
        <w:rPr>
          <w:rFonts w:ascii="Arial" w:hAnsi="Arial" w:eastAsia="Arial" w:cs="Arial"/>
          <w:sz w:val="19"/>
          <w:szCs w:val="19"/>
        </w:rPr>
        <w:t xml:space="preserve"> </w:t>
      </w:r>
      <w:r>
        <w:rPr>
          <w:rFonts w:ascii="Arial" w:hAnsi="Arial" w:eastAsia="Arial" w:cs="Arial"/>
          <w:spacing w:val="-4"/>
          <w:sz w:val="19"/>
          <w:szCs w:val="19"/>
        </w:rPr>
        <w:t>culture</w:t>
      </w:r>
      <w:r>
        <w:rPr>
          <w:rFonts w:ascii="Arial" w:hAnsi="Arial" w:eastAsia="Arial" w:cs="Arial"/>
          <w:spacing w:val="26"/>
          <w:w w:val="101"/>
          <w:sz w:val="19"/>
          <w:szCs w:val="19"/>
        </w:rPr>
        <w:t xml:space="preserve"> </w:t>
      </w:r>
      <w:r>
        <w:rPr>
          <w:rFonts w:ascii="Arial" w:hAnsi="Arial" w:eastAsia="Arial" w:cs="Arial"/>
          <w:spacing w:val="-4"/>
          <w:sz w:val="19"/>
          <w:szCs w:val="19"/>
        </w:rPr>
        <w:t>development</w:t>
      </w:r>
      <w:r>
        <w:rPr>
          <w:rFonts w:ascii="Arial" w:hAnsi="Arial" w:eastAsia="Arial" w:cs="Arial"/>
          <w:spacing w:val="15"/>
          <w:sz w:val="19"/>
          <w:szCs w:val="19"/>
        </w:rPr>
        <w:t xml:space="preserve"> </w:t>
      </w:r>
      <w:r>
        <w:rPr>
          <w:rFonts w:ascii="Arial" w:hAnsi="Arial" w:eastAsia="Arial" w:cs="Arial"/>
          <w:spacing w:val="-4"/>
          <w:sz w:val="19"/>
          <w:szCs w:val="19"/>
        </w:rPr>
        <w:t>that</w:t>
      </w:r>
      <w:r>
        <w:rPr>
          <w:rFonts w:ascii="Arial" w:hAnsi="Arial" w:eastAsia="Arial" w:cs="Arial"/>
          <w:spacing w:val="24"/>
          <w:w w:val="101"/>
          <w:sz w:val="19"/>
          <w:szCs w:val="19"/>
        </w:rPr>
        <w:t xml:space="preserve"> </w:t>
      </w:r>
      <w:r>
        <w:rPr>
          <w:rFonts w:ascii="Arial" w:hAnsi="Arial" w:eastAsia="Arial" w:cs="Arial"/>
          <w:spacing w:val="-4"/>
          <w:sz w:val="19"/>
          <w:szCs w:val="19"/>
        </w:rPr>
        <w:t>higher</w:t>
      </w:r>
      <w:r>
        <w:rPr>
          <w:rFonts w:ascii="Arial" w:hAnsi="Arial" w:eastAsia="Arial" w:cs="Arial"/>
          <w:spacing w:val="18"/>
          <w:sz w:val="19"/>
          <w:szCs w:val="19"/>
        </w:rPr>
        <w:t xml:space="preserve"> </w:t>
      </w:r>
      <w:r>
        <w:rPr>
          <w:rFonts w:ascii="Arial" w:hAnsi="Arial" w:eastAsia="Arial" w:cs="Arial"/>
          <w:spacing w:val="-4"/>
          <w:sz w:val="19"/>
          <w:szCs w:val="19"/>
        </w:rPr>
        <w:t>education</w:t>
      </w:r>
      <w:r>
        <w:rPr>
          <w:rFonts w:ascii="Arial" w:hAnsi="Arial" w:eastAsia="Arial" w:cs="Arial"/>
          <w:spacing w:val="26"/>
          <w:w w:val="101"/>
          <w:sz w:val="19"/>
          <w:szCs w:val="19"/>
        </w:rPr>
        <w:t xml:space="preserve"> </w:t>
      </w:r>
      <w:r>
        <w:rPr>
          <w:rFonts w:ascii="Arial" w:hAnsi="Arial" w:eastAsia="Arial" w:cs="Arial"/>
          <w:spacing w:val="-4"/>
          <w:sz w:val="19"/>
          <w:szCs w:val="19"/>
        </w:rPr>
        <w:t>leaders</w:t>
      </w:r>
      <w:r>
        <w:rPr>
          <w:rFonts w:ascii="Arial" w:hAnsi="Arial" w:eastAsia="Arial" w:cs="Arial"/>
          <w:spacing w:val="19"/>
          <w:w w:val="101"/>
          <w:sz w:val="19"/>
          <w:szCs w:val="19"/>
        </w:rPr>
        <w:t xml:space="preserve"> </w:t>
      </w:r>
      <w:r>
        <w:rPr>
          <w:rFonts w:ascii="Arial" w:hAnsi="Arial" w:eastAsia="Arial" w:cs="Arial"/>
          <w:spacing w:val="-4"/>
          <w:sz w:val="19"/>
          <w:szCs w:val="19"/>
        </w:rPr>
        <w:t>exemplify</w:t>
      </w:r>
      <w:r>
        <w:rPr>
          <w:rFonts w:ascii="Arial" w:hAnsi="Arial" w:eastAsia="Arial" w:cs="Arial"/>
          <w:spacing w:val="18"/>
          <w:sz w:val="19"/>
          <w:szCs w:val="19"/>
        </w:rPr>
        <w:t xml:space="preserve"> </w:t>
      </w:r>
      <w:r>
        <w:rPr>
          <w:rFonts w:ascii="Arial" w:hAnsi="Arial" w:eastAsia="Arial" w:cs="Arial"/>
          <w:spacing w:val="-4"/>
          <w:sz w:val="19"/>
          <w:szCs w:val="19"/>
        </w:rPr>
        <w:t>a</w:t>
      </w:r>
      <w:r>
        <w:rPr>
          <w:rFonts w:ascii="Arial" w:hAnsi="Arial" w:eastAsia="Arial" w:cs="Arial"/>
          <w:spacing w:val="18"/>
          <w:w w:val="101"/>
          <w:sz w:val="19"/>
          <w:szCs w:val="19"/>
        </w:rPr>
        <w:t xml:space="preserve"> </w:t>
      </w:r>
      <w:r>
        <w:rPr>
          <w:rFonts w:ascii="Arial" w:hAnsi="Arial" w:eastAsia="Arial" w:cs="Arial"/>
          <w:spacing w:val="-4"/>
          <w:sz w:val="19"/>
          <w:szCs w:val="19"/>
        </w:rPr>
        <w:t>quality</w:t>
      </w:r>
      <w:r>
        <w:rPr>
          <w:rFonts w:ascii="Arial" w:hAnsi="Arial" w:eastAsia="Arial" w:cs="Arial"/>
          <w:spacing w:val="20"/>
          <w:sz w:val="19"/>
          <w:szCs w:val="19"/>
        </w:rPr>
        <w:t xml:space="preserve"> </w:t>
      </w:r>
      <w:r>
        <w:rPr>
          <w:rFonts w:ascii="Arial" w:hAnsi="Arial" w:eastAsia="Arial" w:cs="Arial"/>
          <w:spacing w:val="-4"/>
          <w:sz w:val="19"/>
          <w:szCs w:val="19"/>
        </w:rPr>
        <w:t>orientation</w:t>
      </w:r>
      <w:r>
        <w:rPr>
          <w:rFonts w:ascii="Arial" w:hAnsi="Arial" w:eastAsia="Arial" w:cs="Arial"/>
          <w:spacing w:val="24"/>
          <w:sz w:val="19"/>
          <w:szCs w:val="19"/>
        </w:rPr>
        <w:t xml:space="preserve"> </w:t>
      </w:r>
      <w:r>
        <w:rPr>
          <w:rFonts w:ascii="Arial" w:hAnsi="Arial" w:eastAsia="Arial" w:cs="Arial"/>
          <w:spacing w:val="-4"/>
          <w:sz w:val="19"/>
          <w:szCs w:val="19"/>
        </w:rPr>
        <w:t>in</w:t>
      </w:r>
      <w:r>
        <w:rPr>
          <w:rFonts w:ascii="Arial" w:hAnsi="Arial" w:eastAsia="Arial" w:cs="Arial"/>
          <w:spacing w:val="14"/>
          <w:w w:val="101"/>
          <w:sz w:val="19"/>
          <w:szCs w:val="19"/>
        </w:rPr>
        <w:t xml:space="preserve"> </w:t>
      </w:r>
      <w:r>
        <w:rPr>
          <w:rFonts w:ascii="Arial" w:hAnsi="Arial" w:eastAsia="Arial" w:cs="Arial"/>
          <w:spacing w:val="-4"/>
          <w:sz w:val="19"/>
          <w:szCs w:val="19"/>
        </w:rPr>
        <w:t>their</w:t>
      </w:r>
      <w:r>
        <w:rPr>
          <w:rFonts w:ascii="Arial" w:hAnsi="Arial" w:eastAsia="Arial" w:cs="Arial"/>
          <w:spacing w:val="19"/>
          <w:w w:val="101"/>
          <w:sz w:val="19"/>
          <w:szCs w:val="19"/>
        </w:rPr>
        <w:t xml:space="preserve"> </w:t>
      </w:r>
      <w:r>
        <w:rPr>
          <w:rFonts w:ascii="Arial" w:hAnsi="Arial" w:eastAsia="Arial" w:cs="Arial"/>
          <w:spacing w:val="-4"/>
          <w:sz w:val="19"/>
          <w:szCs w:val="19"/>
        </w:rPr>
        <w:t>day-to-</w:t>
      </w:r>
      <w:r>
        <w:rPr>
          <w:rFonts w:ascii="Arial" w:hAnsi="Arial" w:eastAsia="Arial" w:cs="Arial"/>
          <w:sz w:val="19"/>
          <w:szCs w:val="19"/>
        </w:rPr>
        <w:t xml:space="preserve"> </w:t>
      </w:r>
      <w:r>
        <w:rPr>
          <w:rFonts w:ascii="Arial" w:hAnsi="Arial" w:eastAsia="Arial" w:cs="Arial"/>
          <w:spacing w:val="-4"/>
          <w:sz w:val="19"/>
          <w:szCs w:val="19"/>
        </w:rPr>
        <w:t>day work,</w:t>
      </w:r>
      <w:r>
        <w:rPr>
          <w:rFonts w:ascii="Arial" w:hAnsi="Arial" w:eastAsia="Arial" w:cs="Arial"/>
          <w:spacing w:val="18"/>
          <w:sz w:val="19"/>
          <w:szCs w:val="19"/>
        </w:rPr>
        <w:t xml:space="preserve"> </w:t>
      </w:r>
      <w:r>
        <w:rPr>
          <w:rFonts w:ascii="Arial" w:hAnsi="Arial" w:eastAsia="Arial" w:cs="Arial"/>
          <w:spacing w:val="-4"/>
          <w:sz w:val="19"/>
          <w:szCs w:val="19"/>
        </w:rPr>
        <w:t>providing</w:t>
      </w:r>
      <w:r>
        <w:rPr>
          <w:rFonts w:ascii="Arial" w:hAnsi="Arial" w:eastAsia="Arial" w:cs="Arial"/>
          <w:spacing w:val="13"/>
          <w:sz w:val="19"/>
          <w:szCs w:val="19"/>
        </w:rPr>
        <w:t xml:space="preserve"> </w:t>
      </w:r>
      <w:r>
        <w:rPr>
          <w:rFonts w:ascii="Arial" w:hAnsi="Arial" w:eastAsia="Arial" w:cs="Arial"/>
          <w:spacing w:val="-4"/>
          <w:sz w:val="19"/>
          <w:szCs w:val="19"/>
        </w:rPr>
        <w:t>an</w:t>
      </w:r>
      <w:r>
        <w:rPr>
          <w:rFonts w:ascii="Arial" w:hAnsi="Arial" w:eastAsia="Arial" w:cs="Arial"/>
          <w:spacing w:val="10"/>
          <w:sz w:val="19"/>
          <w:szCs w:val="19"/>
        </w:rPr>
        <w:t xml:space="preserve"> </w:t>
      </w:r>
      <w:r>
        <w:rPr>
          <w:rFonts w:ascii="Arial" w:hAnsi="Arial" w:eastAsia="Arial" w:cs="Arial"/>
          <w:spacing w:val="-4"/>
          <w:sz w:val="19"/>
          <w:szCs w:val="19"/>
        </w:rPr>
        <w:t>appropriate</w:t>
      </w:r>
      <w:r>
        <w:rPr>
          <w:rFonts w:ascii="Arial" w:hAnsi="Arial" w:eastAsia="Arial" w:cs="Arial"/>
          <w:spacing w:val="18"/>
          <w:w w:val="101"/>
          <w:sz w:val="19"/>
          <w:szCs w:val="19"/>
        </w:rPr>
        <w:t xml:space="preserve"> </w:t>
      </w:r>
      <w:r>
        <w:rPr>
          <w:rFonts w:ascii="Arial" w:hAnsi="Arial" w:eastAsia="Arial" w:cs="Arial"/>
          <w:spacing w:val="-4"/>
          <w:sz w:val="19"/>
          <w:szCs w:val="19"/>
        </w:rPr>
        <w:t>role</w:t>
      </w:r>
      <w:r>
        <w:rPr>
          <w:rFonts w:ascii="Arial" w:hAnsi="Arial" w:eastAsia="Arial" w:cs="Arial"/>
          <w:spacing w:val="18"/>
          <w:w w:val="101"/>
          <w:sz w:val="19"/>
          <w:szCs w:val="19"/>
        </w:rPr>
        <w:t xml:space="preserve"> </w:t>
      </w:r>
      <w:r>
        <w:rPr>
          <w:rFonts w:ascii="Arial" w:hAnsi="Arial" w:eastAsia="Arial" w:cs="Arial"/>
          <w:spacing w:val="-4"/>
          <w:sz w:val="19"/>
          <w:szCs w:val="19"/>
        </w:rPr>
        <w:t>model for</w:t>
      </w:r>
      <w:r>
        <w:rPr>
          <w:rFonts w:ascii="Arial" w:hAnsi="Arial" w:eastAsia="Arial" w:cs="Arial"/>
          <w:spacing w:val="12"/>
          <w:sz w:val="19"/>
          <w:szCs w:val="19"/>
        </w:rPr>
        <w:t xml:space="preserve"> </w:t>
      </w:r>
      <w:r>
        <w:rPr>
          <w:rFonts w:ascii="Arial" w:hAnsi="Arial" w:eastAsia="Arial" w:cs="Arial"/>
          <w:spacing w:val="-4"/>
          <w:sz w:val="19"/>
          <w:szCs w:val="19"/>
        </w:rPr>
        <w:t>oth</w:t>
      </w:r>
      <w:r>
        <w:rPr>
          <w:rFonts w:ascii="Arial" w:hAnsi="Arial" w:eastAsia="Arial" w:cs="Arial"/>
          <w:spacing w:val="-5"/>
          <w:sz w:val="19"/>
          <w:szCs w:val="19"/>
        </w:rPr>
        <w:t>ers.</w:t>
      </w:r>
    </w:p>
    <w:p>
      <w:pPr>
        <w:spacing w:before="62" w:line="259" w:lineRule="auto"/>
        <w:ind w:left="3" w:firstLine="239"/>
        <w:jc w:val="both"/>
        <w:rPr>
          <w:rFonts w:ascii="Arial" w:hAnsi="Arial" w:eastAsia="Arial" w:cs="Arial"/>
          <w:sz w:val="19"/>
          <w:szCs w:val="19"/>
        </w:rPr>
      </w:pPr>
      <w:r>
        <w:rPr>
          <w:rFonts w:ascii="Arial" w:hAnsi="Arial" w:eastAsia="Arial" w:cs="Arial"/>
          <w:spacing w:val="-6"/>
          <w:sz w:val="19"/>
          <w:szCs w:val="19"/>
        </w:rPr>
        <w:t>Commun</w:t>
      </w:r>
      <w:r>
        <w:rPr>
          <w:rFonts w:ascii="Arial" w:hAnsi="Arial" w:eastAsia="Arial" w:cs="Arial"/>
          <w:spacing w:val="-5"/>
          <w:sz w:val="19"/>
          <w:szCs w:val="19"/>
        </w:rPr>
        <w:t>ication</w:t>
      </w:r>
      <w:r>
        <w:rPr>
          <w:rFonts w:ascii="Arial" w:hAnsi="Arial" w:eastAsia="Arial" w:cs="Arial"/>
          <w:spacing w:val="27"/>
          <w:sz w:val="19"/>
          <w:szCs w:val="19"/>
        </w:rPr>
        <w:t xml:space="preserve"> </w:t>
      </w:r>
      <w:r>
        <w:rPr>
          <w:rFonts w:ascii="Arial" w:hAnsi="Arial" w:eastAsia="Arial" w:cs="Arial"/>
          <w:spacing w:val="-5"/>
          <w:sz w:val="19"/>
          <w:szCs w:val="19"/>
        </w:rPr>
        <w:t>was</w:t>
      </w:r>
      <w:r>
        <w:rPr>
          <w:rFonts w:ascii="Arial" w:hAnsi="Arial" w:eastAsia="Arial" w:cs="Arial"/>
          <w:spacing w:val="36"/>
          <w:w w:val="101"/>
          <w:sz w:val="19"/>
          <w:szCs w:val="19"/>
        </w:rPr>
        <w:t xml:space="preserve"> </w:t>
      </w:r>
      <w:r>
        <w:rPr>
          <w:rFonts w:ascii="Arial" w:hAnsi="Arial" w:eastAsia="Arial" w:cs="Arial"/>
          <w:spacing w:val="-5"/>
          <w:sz w:val="19"/>
          <w:szCs w:val="19"/>
        </w:rPr>
        <w:t>positively</w:t>
      </w:r>
      <w:r>
        <w:rPr>
          <w:rFonts w:ascii="Arial" w:hAnsi="Arial" w:eastAsia="Arial" w:cs="Arial"/>
          <w:spacing w:val="37"/>
          <w:sz w:val="19"/>
          <w:szCs w:val="19"/>
        </w:rPr>
        <w:t xml:space="preserve"> </w:t>
      </w:r>
      <w:r>
        <w:rPr>
          <w:rFonts w:ascii="Arial" w:hAnsi="Arial" w:eastAsia="Arial" w:cs="Arial"/>
          <w:spacing w:val="-5"/>
          <w:sz w:val="19"/>
          <w:szCs w:val="19"/>
        </w:rPr>
        <w:t>rela</w:t>
      </w:r>
      <w:r>
        <w:rPr>
          <w:rFonts w:ascii="Arial" w:hAnsi="Arial" w:eastAsia="Arial" w:cs="Arial"/>
          <w:spacing w:val="-6"/>
          <w:sz w:val="19"/>
          <w:szCs w:val="19"/>
        </w:rPr>
        <w:t>ted</w:t>
      </w:r>
      <w:r>
        <w:rPr>
          <w:rFonts w:ascii="Arial" w:hAnsi="Arial" w:eastAsia="Arial" w:cs="Arial"/>
          <w:spacing w:val="27"/>
          <w:w w:val="101"/>
          <w:sz w:val="19"/>
          <w:szCs w:val="19"/>
        </w:rPr>
        <w:t xml:space="preserve"> </w:t>
      </w:r>
      <w:r>
        <w:rPr>
          <w:rFonts w:ascii="Arial" w:hAnsi="Arial" w:eastAsia="Arial" w:cs="Arial"/>
          <w:spacing w:val="-6"/>
          <w:sz w:val="19"/>
          <w:szCs w:val="19"/>
        </w:rPr>
        <w:t>to</w:t>
      </w:r>
      <w:r>
        <w:rPr>
          <w:rFonts w:ascii="Arial" w:hAnsi="Arial" w:eastAsia="Arial" w:cs="Arial"/>
          <w:spacing w:val="29"/>
          <w:sz w:val="19"/>
          <w:szCs w:val="19"/>
        </w:rPr>
        <w:t xml:space="preserve"> </w:t>
      </w:r>
      <w:r>
        <w:rPr>
          <w:rFonts w:ascii="Arial" w:hAnsi="Arial" w:eastAsia="Arial" w:cs="Arial"/>
          <w:spacing w:val="-6"/>
          <w:sz w:val="19"/>
          <w:szCs w:val="19"/>
        </w:rPr>
        <w:t>all</w:t>
      </w:r>
      <w:r>
        <w:rPr>
          <w:rFonts w:ascii="Arial" w:hAnsi="Arial" w:eastAsia="Arial" w:cs="Arial"/>
          <w:spacing w:val="30"/>
          <w:sz w:val="19"/>
          <w:szCs w:val="19"/>
        </w:rPr>
        <w:t xml:space="preserve"> </w:t>
      </w:r>
      <w:r>
        <w:rPr>
          <w:rFonts w:ascii="Arial" w:hAnsi="Arial" w:eastAsia="Arial" w:cs="Arial"/>
          <w:spacing w:val="-6"/>
          <w:sz w:val="19"/>
          <w:szCs w:val="19"/>
        </w:rPr>
        <w:t>dependent</w:t>
      </w:r>
      <w:r>
        <w:rPr>
          <w:rFonts w:ascii="Arial" w:hAnsi="Arial" w:eastAsia="Arial" w:cs="Arial"/>
          <w:spacing w:val="25"/>
          <w:w w:val="101"/>
          <w:sz w:val="19"/>
          <w:szCs w:val="19"/>
        </w:rPr>
        <w:t xml:space="preserve"> </w:t>
      </w:r>
      <w:r>
        <w:rPr>
          <w:rFonts w:ascii="Arial" w:hAnsi="Arial" w:eastAsia="Arial" w:cs="Arial"/>
          <w:spacing w:val="-6"/>
          <w:sz w:val="19"/>
          <w:szCs w:val="19"/>
        </w:rPr>
        <w:t>variables</w:t>
      </w:r>
      <w:r>
        <w:rPr>
          <w:rFonts w:ascii="Arial" w:hAnsi="Arial" w:eastAsia="Arial" w:cs="Arial"/>
          <w:spacing w:val="35"/>
          <w:w w:val="101"/>
          <w:sz w:val="19"/>
          <w:szCs w:val="19"/>
        </w:rPr>
        <w:t xml:space="preserve"> </w:t>
      </w:r>
      <w:r>
        <w:rPr>
          <w:rFonts w:ascii="Arial" w:hAnsi="Arial" w:eastAsia="Arial" w:cs="Arial"/>
          <w:spacing w:val="-6"/>
          <w:sz w:val="19"/>
          <w:szCs w:val="19"/>
        </w:rPr>
        <w:t>in</w:t>
      </w:r>
      <w:r>
        <w:rPr>
          <w:rFonts w:ascii="Arial" w:hAnsi="Arial" w:eastAsia="Arial" w:cs="Arial"/>
          <w:spacing w:val="29"/>
          <w:w w:val="101"/>
          <w:sz w:val="19"/>
          <w:szCs w:val="19"/>
        </w:rPr>
        <w:t xml:space="preserve"> </w:t>
      </w:r>
      <w:r>
        <w:rPr>
          <w:rFonts w:ascii="Arial" w:hAnsi="Arial" w:eastAsia="Arial" w:cs="Arial"/>
          <w:spacing w:val="-6"/>
          <w:sz w:val="19"/>
          <w:szCs w:val="19"/>
        </w:rPr>
        <w:t>our</w:t>
      </w:r>
      <w:r>
        <w:rPr>
          <w:rFonts w:ascii="Arial" w:hAnsi="Arial" w:eastAsia="Arial" w:cs="Arial"/>
          <w:spacing w:val="36"/>
          <w:sz w:val="19"/>
          <w:szCs w:val="19"/>
        </w:rPr>
        <w:t xml:space="preserve"> </w:t>
      </w:r>
      <w:r>
        <w:rPr>
          <w:rFonts w:ascii="Arial" w:hAnsi="Arial" w:eastAsia="Arial" w:cs="Arial"/>
          <w:spacing w:val="-6"/>
          <w:sz w:val="19"/>
          <w:szCs w:val="19"/>
        </w:rPr>
        <w:t>model</w:t>
      </w:r>
      <w:r>
        <w:rPr>
          <w:rFonts w:ascii="Arial" w:hAnsi="Arial" w:eastAsia="Arial" w:cs="Arial"/>
          <w:spacing w:val="34"/>
          <w:sz w:val="19"/>
          <w:szCs w:val="19"/>
        </w:rPr>
        <w:t xml:space="preserve"> </w:t>
      </w:r>
      <w:r>
        <w:rPr>
          <w:rFonts w:ascii="Arial" w:hAnsi="Arial" w:eastAsia="Arial" w:cs="Arial"/>
          <w:spacing w:val="-6"/>
          <w:sz w:val="19"/>
          <w:szCs w:val="19"/>
        </w:rPr>
        <w:t>(except</w:t>
      </w:r>
      <w:r>
        <w:rPr>
          <w:rFonts w:ascii="Arial" w:hAnsi="Arial" w:eastAsia="Arial" w:cs="Arial"/>
          <w:spacing w:val="29"/>
          <w:sz w:val="19"/>
          <w:szCs w:val="19"/>
        </w:rPr>
        <w:t xml:space="preserve"> </w:t>
      </w:r>
      <w:r>
        <w:rPr>
          <w:rFonts w:ascii="Arial" w:hAnsi="Arial" w:eastAsia="Arial" w:cs="Arial"/>
          <w:spacing w:val="-6"/>
          <w:sz w:val="19"/>
          <w:szCs w:val="19"/>
        </w:rPr>
        <w:t>caree</w:t>
      </w:r>
      <w:r>
        <w:rPr>
          <w:rFonts w:ascii="Arial" w:hAnsi="Arial" w:eastAsia="Arial" w:cs="Arial"/>
          <w:sz w:val="19"/>
          <w:szCs w:val="19"/>
        </w:rPr>
        <w:t xml:space="preserve">r </w:t>
      </w:r>
      <w:r>
        <w:rPr>
          <w:rFonts w:ascii="Arial" w:hAnsi="Arial" w:eastAsia="Arial" w:cs="Arial"/>
          <w:spacing w:val="-3"/>
          <w:sz w:val="19"/>
          <w:szCs w:val="19"/>
        </w:rPr>
        <w:t>development). Accordingly, our</w:t>
      </w:r>
      <w:r>
        <w:rPr>
          <w:rFonts w:ascii="Arial" w:hAnsi="Arial" w:eastAsia="Arial" w:cs="Arial"/>
          <w:spacing w:val="17"/>
          <w:w w:val="101"/>
          <w:sz w:val="19"/>
          <w:szCs w:val="19"/>
        </w:rPr>
        <w:t xml:space="preserve"> </w:t>
      </w:r>
      <w:r>
        <w:rPr>
          <w:rFonts w:ascii="Arial" w:hAnsi="Arial" w:eastAsia="Arial" w:cs="Arial"/>
          <w:spacing w:val="-3"/>
          <w:sz w:val="19"/>
          <w:szCs w:val="19"/>
        </w:rPr>
        <w:t>results give weight to the assumption that efective</w:t>
      </w:r>
      <w:r>
        <w:rPr>
          <w:rFonts w:ascii="Arial" w:hAnsi="Arial" w:eastAsia="Arial" w:cs="Arial"/>
          <w:spacing w:val="5"/>
          <w:sz w:val="19"/>
          <w:szCs w:val="19"/>
        </w:rPr>
        <w:t xml:space="preserve"> </w:t>
      </w:r>
      <w:r>
        <w:rPr>
          <w:rFonts w:ascii="Arial" w:hAnsi="Arial" w:eastAsia="Arial" w:cs="Arial"/>
          <w:spacing w:val="-3"/>
          <w:sz w:val="19"/>
          <w:szCs w:val="19"/>
        </w:rPr>
        <w:t>communication</w:t>
      </w:r>
      <w:r>
        <w:rPr>
          <w:rFonts w:ascii="Arial" w:hAnsi="Arial" w:eastAsia="Arial" w:cs="Arial"/>
          <w:sz w:val="19"/>
          <w:szCs w:val="19"/>
        </w:rPr>
        <w:t xml:space="preserve"> </w:t>
      </w:r>
      <w:r>
        <w:rPr>
          <w:rFonts w:ascii="Arial" w:hAnsi="Arial" w:eastAsia="Arial" w:cs="Arial"/>
          <w:spacing w:val="-6"/>
          <w:sz w:val="19"/>
          <w:szCs w:val="19"/>
        </w:rPr>
        <w:t>leads</w:t>
      </w:r>
      <w:r>
        <w:rPr>
          <w:rFonts w:ascii="Arial" w:hAnsi="Arial" w:eastAsia="Arial" w:cs="Arial"/>
          <w:spacing w:val="16"/>
          <w:w w:val="101"/>
          <w:sz w:val="19"/>
          <w:szCs w:val="19"/>
        </w:rPr>
        <w:t xml:space="preserve"> </w:t>
      </w:r>
      <w:r>
        <w:rPr>
          <w:rFonts w:ascii="Arial" w:hAnsi="Arial" w:eastAsia="Arial" w:cs="Arial"/>
          <w:spacing w:val="-6"/>
          <w:sz w:val="19"/>
          <w:szCs w:val="19"/>
        </w:rPr>
        <w:t>to</w:t>
      </w:r>
      <w:r>
        <w:rPr>
          <w:rFonts w:ascii="Arial" w:hAnsi="Arial" w:eastAsia="Arial" w:cs="Arial"/>
          <w:spacing w:val="19"/>
          <w:sz w:val="19"/>
          <w:szCs w:val="19"/>
        </w:rPr>
        <w:t xml:space="preserve"> </w:t>
      </w:r>
      <w:r>
        <w:rPr>
          <w:rFonts w:ascii="Arial" w:hAnsi="Arial" w:eastAsia="Arial" w:cs="Arial"/>
          <w:spacing w:val="-6"/>
          <w:sz w:val="19"/>
          <w:szCs w:val="19"/>
        </w:rPr>
        <w:t>a</w:t>
      </w:r>
      <w:r>
        <w:rPr>
          <w:rFonts w:ascii="Arial" w:hAnsi="Arial" w:eastAsia="Arial" w:cs="Arial"/>
          <w:spacing w:val="26"/>
          <w:w w:val="101"/>
          <w:sz w:val="19"/>
          <w:szCs w:val="19"/>
        </w:rPr>
        <w:t xml:space="preserve"> </w:t>
      </w:r>
      <w:r>
        <w:rPr>
          <w:rFonts w:ascii="Arial" w:hAnsi="Arial" w:eastAsia="Arial" w:cs="Arial"/>
          <w:spacing w:val="-6"/>
          <w:sz w:val="19"/>
          <w:szCs w:val="19"/>
        </w:rPr>
        <w:t>higher</w:t>
      </w:r>
      <w:r>
        <w:rPr>
          <w:rFonts w:ascii="Arial" w:hAnsi="Arial" w:eastAsia="Arial" w:cs="Arial"/>
          <w:spacing w:val="27"/>
          <w:sz w:val="19"/>
          <w:szCs w:val="19"/>
        </w:rPr>
        <w:t xml:space="preserve"> </w:t>
      </w:r>
      <w:r>
        <w:rPr>
          <w:rFonts w:ascii="Arial" w:hAnsi="Arial" w:eastAsia="Arial" w:cs="Arial"/>
          <w:spacing w:val="-6"/>
          <w:sz w:val="19"/>
          <w:szCs w:val="19"/>
        </w:rPr>
        <w:t>level</w:t>
      </w:r>
      <w:r>
        <w:rPr>
          <w:rFonts w:ascii="Arial" w:hAnsi="Arial" w:eastAsia="Arial" w:cs="Arial"/>
          <w:spacing w:val="19"/>
          <w:w w:val="101"/>
          <w:sz w:val="19"/>
          <w:szCs w:val="19"/>
        </w:rPr>
        <w:t xml:space="preserve"> </w:t>
      </w:r>
      <w:r>
        <w:rPr>
          <w:rFonts w:ascii="Arial" w:hAnsi="Arial" w:eastAsia="Arial" w:cs="Arial"/>
          <w:spacing w:val="-6"/>
          <w:sz w:val="19"/>
          <w:szCs w:val="19"/>
        </w:rPr>
        <w:t>o</w:t>
      </w:r>
      <w:r>
        <w:rPr>
          <w:rFonts w:ascii="Arial" w:hAnsi="Arial" w:eastAsia="Arial" w:cs="Arial"/>
          <w:spacing w:val="-7"/>
          <w:sz w:val="19"/>
          <w:szCs w:val="19"/>
        </w:rPr>
        <w:t>f job</w:t>
      </w:r>
      <w:r>
        <w:rPr>
          <w:rFonts w:ascii="Arial" w:hAnsi="Arial" w:eastAsia="Arial" w:cs="Arial"/>
          <w:spacing w:val="20"/>
          <w:w w:val="101"/>
          <w:sz w:val="19"/>
          <w:szCs w:val="19"/>
        </w:rPr>
        <w:t xml:space="preserve"> </w:t>
      </w:r>
      <w:r>
        <w:rPr>
          <w:rFonts w:ascii="Arial" w:hAnsi="Arial" w:eastAsia="Arial" w:cs="Arial"/>
          <w:spacing w:val="-7"/>
          <w:sz w:val="19"/>
          <w:szCs w:val="19"/>
        </w:rPr>
        <w:t>satisfaction,</w:t>
      </w:r>
      <w:r>
        <w:rPr>
          <w:rFonts w:ascii="Arial" w:hAnsi="Arial" w:eastAsia="Arial" w:cs="Arial"/>
          <w:spacing w:val="27"/>
          <w:sz w:val="19"/>
          <w:szCs w:val="19"/>
        </w:rPr>
        <w:t xml:space="preserve"> </w:t>
      </w:r>
      <w:r>
        <w:rPr>
          <w:rFonts w:ascii="Arial" w:hAnsi="Arial" w:eastAsia="Arial" w:cs="Arial"/>
          <w:spacing w:val="-7"/>
          <w:sz w:val="19"/>
          <w:szCs w:val="19"/>
        </w:rPr>
        <w:t>HEI</w:t>
      </w:r>
      <w:r>
        <w:rPr>
          <w:rFonts w:ascii="Arial" w:hAnsi="Arial" w:eastAsia="Arial" w:cs="Arial"/>
          <w:spacing w:val="21"/>
          <w:sz w:val="19"/>
          <w:szCs w:val="19"/>
        </w:rPr>
        <w:t xml:space="preserve"> </w:t>
      </w:r>
      <w:r>
        <w:rPr>
          <w:rFonts w:ascii="Arial" w:hAnsi="Arial" w:eastAsia="Arial" w:cs="Arial"/>
          <w:spacing w:val="-7"/>
          <w:sz w:val="19"/>
          <w:szCs w:val="19"/>
        </w:rPr>
        <w:t>satisfaction,</w:t>
      </w:r>
      <w:r>
        <w:rPr>
          <w:rFonts w:ascii="Arial" w:hAnsi="Arial" w:eastAsia="Arial" w:cs="Arial"/>
          <w:spacing w:val="27"/>
          <w:sz w:val="19"/>
          <w:szCs w:val="19"/>
        </w:rPr>
        <w:t xml:space="preserve"> </w:t>
      </w:r>
      <w:r>
        <w:rPr>
          <w:rFonts w:ascii="Arial" w:hAnsi="Arial" w:eastAsia="Arial" w:cs="Arial"/>
          <w:spacing w:val="-7"/>
          <w:sz w:val="19"/>
          <w:szCs w:val="19"/>
        </w:rPr>
        <w:t>HEI</w:t>
      </w:r>
      <w:r>
        <w:rPr>
          <w:rFonts w:ascii="Arial" w:hAnsi="Arial" w:eastAsia="Arial" w:cs="Arial"/>
          <w:spacing w:val="21"/>
          <w:sz w:val="19"/>
          <w:szCs w:val="19"/>
        </w:rPr>
        <w:t xml:space="preserve"> </w:t>
      </w:r>
      <w:r>
        <w:rPr>
          <w:rFonts w:ascii="Arial" w:hAnsi="Arial" w:eastAsia="Arial" w:cs="Arial"/>
          <w:spacing w:val="-7"/>
          <w:sz w:val="19"/>
          <w:szCs w:val="19"/>
        </w:rPr>
        <w:t>commitment,</w:t>
      </w:r>
      <w:r>
        <w:rPr>
          <w:rFonts w:ascii="Arial" w:hAnsi="Arial" w:eastAsia="Arial" w:cs="Arial"/>
          <w:spacing w:val="19"/>
          <w:w w:val="101"/>
          <w:sz w:val="19"/>
          <w:szCs w:val="19"/>
        </w:rPr>
        <w:t xml:space="preserve"> </w:t>
      </w:r>
      <w:r>
        <w:rPr>
          <w:rFonts w:ascii="Arial" w:hAnsi="Arial" w:eastAsia="Arial" w:cs="Arial"/>
          <w:spacing w:val="-7"/>
          <w:sz w:val="19"/>
          <w:szCs w:val="19"/>
        </w:rPr>
        <w:t>and</w:t>
      </w:r>
      <w:r>
        <w:rPr>
          <w:rFonts w:ascii="Arial" w:hAnsi="Arial" w:eastAsia="Arial" w:cs="Arial"/>
          <w:spacing w:val="19"/>
          <w:w w:val="101"/>
          <w:sz w:val="19"/>
          <w:szCs w:val="19"/>
        </w:rPr>
        <w:t xml:space="preserve"> </w:t>
      </w:r>
      <w:r>
        <w:rPr>
          <w:rFonts w:ascii="Arial" w:hAnsi="Arial" w:eastAsia="Arial" w:cs="Arial"/>
          <w:spacing w:val="-7"/>
          <w:sz w:val="19"/>
          <w:szCs w:val="19"/>
        </w:rPr>
        <w:t>a</w:t>
      </w:r>
      <w:r>
        <w:rPr>
          <w:rFonts w:ascii="Arial" w:hAnsi="Arial" w:eastAsia="Arial" w:cs="Arial"/>
          <w:spacing w:val="26"/>
          <w:sz w:val="19"/>
          <w:szCs w:val="19"/>
        </w:rPr>
        <w:t xml:space="preserve"> </w:t>
      </w:r>
      <w:r>
        <w:rPr>
          <w:rFonts w:ascii="Arial" w:hAnsi="Arial" w:eastAsia="Arial" w:cs="Arial"/>
          <w:spacing w:val="-7"/>
          <w:sz w:val="19"/>
          <w:szCs w:val="19"/>
        </w:rPr>
        <w:t>more</w:t>
      </w:r>
      <w:r>
        <w:rPr>
          <w:rFonts w:ascii="Arial" w:hAnsi="Arial" w:eastAsia="Arial" w:cs="Arial"/>
          <w:spacing w:val="15"/>
          <w:w w:val="101"/>
          <w:sz w:val="19"/>
          <w:szCs w:val="19"/>
        </w:rPr>
        <w:t xml:space="preserve"> </w:t>
      </w:r>
      <w:r>
        <w:rPr>
          <w:rFonts w:ascii="Arial" w:hAnsi="Arial" w:eastAsia="Arial" w:cs="Arial"/>
          <w:spacing w:val="-7"/>
          <w:sz w:val="19"/>
          <w:szCs w:val="19"/>
        </w:rPr>
        <w:t>favorable</w:t>
      </w:r>
      <w:r>
        <w:rPr>
          <w:rFonts w:ascii="Arial" w:hAnsi="Arial" w:eastAsia="Arial" w:cs="Arial"/>
          <w:sz w:val="19"/>
          <w:szCs w:val="19"/>
        </w:rPr>
        <w:t xml:space="preserve"> </w:t>
      </w:r>
      <w:r>
        <w:rPr>
          <w:rFonts w:ascii="Arial" w:hAnsi="Arial" w:eastAsia="Arial" w:cs="Arial"/>
          <w:spacing w:val="-6"/>
          <w:sz w:val="19"/>
          <w:szCs w:val="19"/>
        </w:rPr>
        <w:t>assessment</w:t>
      </w:r>
      <w:r>
        <w:rPr>
          <w:rFonts w:ascii="Arial" w:hAnsi="Arial" w:eastAsia="Arial" w:cs="Arial"/>
          <w:spacing w:val="21"/>
          <w:w w:val="101"/>
          <w:sz w:val="19"/>
          <w:szCs w:val="19"/>
        </w:rPr>
        <w:t xml:space="preserve"> </w:t>
      </w:r>
      <w:r>
        <w:rPr>
          <w:rFonts w:ascii="Arial" w:hAnsi="Arial" w:eastAsia="Arial" w:cs="Arial"/>
          <w:spacing w:val="-6"/>
          <w:sz w:val="19"/>
          <w:szCs w:val="19"/>
        </w:rPr>
        <w:t>of the</w:t>
      </w:r>
      <w:r>
        <w:rPr>
          <w:rFonts w:ascii="Arial" w:hAnsi="Arial" w:eastAsia="Arial" w:cs="Arial"/>
          <w:spacing w:val="19"/>
          <w:sz w:val="19"/>
          <w:szCs w:val="19"/>
        </w:rPr>
        <w:t xml:space="preserve"> </w:t>
      </w:r>
      <w:r>
        <w:rPr>
          <w:rFonts w:ascii="Arial" w:hAnsi="Arial" w:eastAsia="Arial" w:cs="Arial"/>
          <w:spacing w:val="-6"/>
          <w:sz w:val="19"/>
          <w:szCs w:val="19"/>
        </w:rPr>
        <w:t>institutions</w:t>
      </w:r>
      <w:r>
        <w:rPr>
          <w:rFonts w:ascii="Arial" w:hAnsi="Arial" w:eastAsia="Arial" w:cs="Arial"/>
          <w:spacing w:val="15"/>
          <w:sz w:val="19"/>
          <w:szCs w:val="19"/>
        </w:rPr>
        <w:t xml:space="preserve"> </w:t>
      </w:r>
      <w:r>
        <w:rPr>
          <w:rFonts w:ascii="Arial" w:hAnsi="Arial" w:eastAsia="Arial" w:cs="Arial"/>
          <w:spacing w:val="-6"/>
          <w:sz w:val="19"/>
          <w:szCs w:val="19"/>
        </w:rPr>
        <w:t>quality</w:t>
      </w:r>
      <w:r>
        <w:rPr>
          <w:rFonts w:ascii="Arial" w:hAnsi="Arial" w:eastAsia="Arial" w:cs="Arial"/>
          <w:spacing w:val="15"/>
          <w:w w:val="101"/>
          <w:sz w:val="19"/>
          <w:szCs w:val="19"/>
        </w:rPr>
        <w:t xml:space="preserve"> </w:t>
      </w:r>
      <w:r>
        <w:rPr>
          <w:rFonts w:ascii="Arial" w:hAnsi="Arial" w:eastAsia="Arial" w:cs="Arial"/>
          <w:spacing w:val="-6"/>
          <w:sz w:val="19"/>
          <w:szCs w:val="19"/>
        </w:rPr>
        <w:t>culture</w:t>
      </w:r>
      <w:r>
        <w:rPr>
          <w:rFonts w:ascii="Arial" w:hAnsi="Arial" w:eastAsia="Arial" w:cs="Arial"/>
          <w:spacing w:val="21"/>
          <w:w w:val="101"/>
          <w:sz w:val="19"/>
          <w:szCs w:val="19"/>
        </w:rPr>
        <w:t xml:space="preserve"> </w:t>
      </w:r>
      <w:r>
        <w:rPr>
          <w:rFonts w:ascii="Arial" w:hAnsi="Arial" w:eastAsia="Arial" w:cs="Arial"/>
          <w:spacing w:val="-6"/>
          <w:sz w:val="19"/>
          <w:szCs w:val="19"/>
        </w:rPr>
        <w:t>(global</w:t>
      </w:r>
      <w:r>
        <w:rPr>
          <w:rFonts w:ascii="Arial" w:hAnsi="Arial" w:eastAsia="Arial" w:cs="Arial"/>
          <w:spacing w:val="20"/>
          <w:sz w:val="19"/>
          <w:szCs w:val="19"/>
        </w:rPr>
        <w:t xml:space="preserve"> </w:t>
      </w:r>
      <w:r>
        <w:rPr>
          <w:rFonts w:ascii="Arial" w:hAnsi="Arial" w:eastAsia="Arial" w:cs="Arial"/>
          <w:spacing w:val="-6"/>
          <w:sz w:val="19"/>
          <w:szCs w:val="19"/>
        </w:rPr>
        <w:t>items).</w:t>
      </w:r>
      <w:r>
        <w:rPr>
          <w:rFonts w:ascii="Arial" w:hAnsi="Arial" w:eastAsia="Arial" w:cs="Arial"/>
          <w:spacing w:val="16"/>
          <w:sz w:val="19"/>
          <w:szCs w:val="19"/>
        </w:rPr>
        <w:t xml:space="preserve"> </w:t>
      </w:r>
      <w:r>
        <w:rPr>
          <w:rFonts w:ascii="Arial" w:hAnsi="Arial" w:eastAsia="Arial" w:cs="Arial"/>
          <w:spacing w:val="-6"/>
          <w:sz w:val="19"/>
          <w:szCs w:val="19"/>
        </w:rPr>
        <w:t>Several</w:t>
      </w:r>
      <w:r>
        <w:rPr>
          <w:rFonts w:ascii="Arial" w:hAnsi="Arial" w:eastAsia="Arial" w:cs="Arial"/>
          <w:spacing w:val="15"/>
          <w:sz w:val="19"/>
          <w:szCs w:val="19"/>
        </w:rPr>
        <w:t xml:space="preserve"> </w:t>
      </w:r>
      <w:r>
        <w:rPr>
          <w:rFonts w:ascii="Arial" w:hAnsi="Arial" w:eastAsia="Arial" w:cs="Arial"/>
          <w:spacing w:val="-6"/>
          <w:sz w:val="19"/>
          <w:szCs w:val="19"/>
        </w:rPr>
        <w:t>authors</w:t>
      </w:r>
      <w:r>
        <w:rPr>
          <w:rFonts w:ascii="Arial" w:hAnsi="Arial" w:eastAsia="Arial" w:cs="Arial"/>
          <w:spacing w:val="15"/>
          <w:w w:val="101"/>
          <w:sz w:val="19"/>
          <w:szCs w:val="19"/>
        </w:rPr>
        <w:t xml:space="preserve"> </w:t>
      </w:r>
      <w:r>
        <w:rPr>
          <w:rFonts w:ascii="Arial" w:hAnsi="Arial" w:eastAsia="Arial" w:cs="Arial"/>
          <w:spacing w:val="-6"/>
          <w:sz w:val="19"/>
          <w:szCs w:val="19"/>
        </w:rPr>
        <w:t>consider</w:t>
      </w:r>
      <w:r>
        <w:rPr>
          <w:rFonts w:ascii="Arial" w:hAnsi="Arial" w:eastAsia="Arial" w:cs="Arial"/>
          <w:spacing w:val="10"/>
          <w:sz w:val="19"/>
          <w:szCs w:val="19"/>
        </w:rPr>
        <w:t xml:space="preserve"> </w:t>
      </w:r>
      <w:r>
        <w:rPr>
          <w:rFonts w:ascii="Arial" w:hAnsi="Arial" w:eastAsia="Arial" w:cs="Arial"/>
          <w:spacing w:val="-6"/>
          <w:sz w:val="19"/>
          <w:szCs w:val="19"/>
        </w:rPr>
        <w:t>the</w:t>
      </w:r>
      <w:r>
        <w:rPr>
          <w:rFonts w:ascii="Arial" w:hAnsi="Arial" w:eastAsia="Arial" w:cs="Arial"/>
          <w:spacing w:val="15"/>
          <w:w w:val="101"/>
          <w:sz w:val="19"/>
          <w:szCs w:val="19"/>
        </w:rPr>
        <w:t xml:space="preserve"> </w:t>
      </w:r>
      <w:r>
        <w:rPr>
          <w:rFonts w:ascii="Arial" w:hAnsi="Arial" w:eastAsia="Arial" w:cs="Arial"/>
          <w:spacing w:val="-6"/>
          <w:sz w:val="19"/>
          <w:szCs w:val="19"/>
        </w:rPr>
        <w:t>existence</w:t>
      </w:r>
      <w:r>
        <w:rPr>
          <w:rFonts w:ascii="Arial" w:hAnsi="Arial" w:eastAsia="Arial" w:cs="Arial"/>
          <w:sz w:val="19"/>
          <w:szCs w:val="19"/>
        </w:rPr>
        <w:t xml:space="preserve"> </w:t>
      </w:r>
      <w:r>
        <w:rPr>
          <w:rFonts w:ascii="Arial" w:hAnsi="Arial" w:eastAsia="Arial" w:cs="Arial"/>
          <w:spacing w:val="-6"/>
          <w:sz w:val="19"/>
          <w:szCs w:val="19"/>
        </w:rPr>
        <w:t>o</w:t>
      </w:r>
      <w:r>
        <w:rPr>
          <w:rFonts w:ascii="Arial" w:hAnsi="Arial" w:eastAsia="Arial" w:cs="Arial"/>
          <w:spacing w:val="-5"/>
          <w:sz w:val="19"/>
          <w:szCs w:val="19"/>
        </w:rPr>
        <w:t>f efective</w:t>
      </w:r>
      <w:r>
        <w:rPr>
          <w:rFonts w:ascii="Arial" w:hAnsi="Arial" w:eastAsia="Arial" w:cs="Arial"/>
          <w:spacing w:val="23"/>
          <w:w w:val="101"/>
          <w:sz w:val="19"/>
          <w:szCs w:val="19"/>
        </w:rPr>
        <w:t xml:space="preserve"> </w:t>
      </w:r>
      <w:r>
        <w:rPr>
          <w:rFonts w:ascii="Arial" w:hAnsi="Arial" w:eastAsia="Arial" w:cs="Arial"/>
          <w:spacing w:val="-5"/>
          <w:sz w:val="19"/>
          <w:szCs w:val="19"/>
        </w:rPr>
        <w:t>communication</w:t>
      </w:r>
      <w:r>
        <w:rPr>
          <w:rFonts w:ascii="Arial" w:hAnsi="Arial" w:eastAsia="Arial" w:cs="Arial"/>
          <w:spacing w:val="16"/>
          <w:w w:val="101"/>
          <w:sz w:val="19"/>
          <w:szCs w:val="19"/>
        </w:rPr>
        <w:t xml:space="preserve"> </w:t>
      </w:r>
      <w:r>
        <w:rPr>
          <w:rFonts w:ascii="Arial" w:hAnsi="Arial" w:eastAsia="Arial" w:cs="Arial"/>
          <w:spacing w:val="-5"/>
          <w:sz w:val="19"/>
          <w:szCs w:val="19"/>
        </w:rPr>
        <w:t>and</w:t>
      </w:r>
      <w:r>
        <w:rPr>
          <w:rFonts w:ascii="Arial" w:hAnsi="Arial" w:eastAsia="Arial" w:cs="Arial"/>
          <w:spacing w:val="21"/>
          <w:w w:val="101"/>
          <w:sz w:val="19"/>
          <w:szCs w:val="19"/>
        </w:rPr>
        <w:t xml:space="preserve"> </w:t>
      </w:r>
      <w:r>
        <w:rPr>
          <w:rFonts w:ascii="Arial" w:hAnsi="Arial" w:eastAsia="Arial" w:cs="Arial"/>
          <w:spacing w:val="-5"/>
          <w:sz w:val="19"/>
          <w:szCs w:val="19"/>
        </w:rPr>
        <w:t>information</w:t>
      </w:r>
      <w:r>
        <w:rPr>
          <w:rFonts w:ascii="Arial" w:hAnsi="Arial" w:eastAsia="Arial" w:cs="Arial"/>
          <w:spacing w:val="22"/>
          <w:sz w:val="19"/>
          <w:szCs w:val="19"/>
        </w:rPr>
        <w:t xml:space="preserve"> </w:t>
      </w:r>
      <w:r>
        <w:rPr>
          <w:rFonts w:ascii="Arial" w:hAnsi="Arial" w:eastAsia="Arial" w:cs="Arial"/>
          <w:spacing w:val="-5"/>
          <w:sz w:val="19"/>
          <w:szCs w:val="19"/>
        </w:rPr>
        <w:t>paths</w:t>
      </w:r>
      <w:r>
        <w:rPr>
          <w:rFonts w:ascii="Arial" w:hAnsi="Arial" w:eastAsia="Arial" w:cs="Arial"/>
          <w:spacing w:val="16"/>
          <w:sz w:val="19"/>
          <w:szCs w:val="19"/>
        </w:rPr>
        <w:t xml:space="preserve"> </w:t>
      </w:r>
      <w:r>
        <w:rPr>
          <w:rFonts w:ascii="Arial" w:hAnsi="Arial" w:eastAsia="Arial" w:cs="Arial"/>
          <w:spacing w:val="-5"/>
          <w:sz w:val="19"/>
          <w:szCs w:val="19"/>
        </w:rPr>
        <w:t>a</w:t>
      </w:r>
      <w:r>
        <w:rPr>
          <w:rFonts w:ascii="Arial" w:hAnsi="Arial" w:eastAsia="Arial" w:cs="Arial"/>
          <w:spacing w:val="22"/>
          <w:w w:val="101"/>
          <w:sz w:val="19"/>
          <w:szCs w:val="19"/>
        </w:rPr>
        <w:t xml:space="preserve"> </w:t>
      </w:r>
      <w:r>
        <w:rPr>
          <w:rFonts w:ascii="Arial" w:hAnsi="Arial" w:eastAsia="Arial" w:cs="Arial"/>
          <w:spacing w:val="-5"/>
          <w:sz w:val="19"/>
          <w:szCs w:val="19"/>
        </w:rPr>
        <w:t>necessary</w:t>
      </w:r>
      <w:r>
        <w:rPr>
          <w:rFonts w:ascii="Arial" w:hAnsi="Arial" w:eastAsia="Arial" w:cs="Arial"/>
          <w:spacing w:val="16"/>
          <w:sz w:val="19"/>
          <w:szCs w:val="19"/>
        </w:rPr>
        <w:t xml:space="preserve"> </w:t>
      </w:r>
      <w:r>
        <w:rPr>
          <w:rFonts w:ascii="Arial" w:hAnsi="Arial" w:eastAsia="Arial" w:cs="Arial"/>
          <w:spacing w:val="-5"/>
          <w:sz w:val="19"/>
          <w:szCs w:val="19"/>
        </w:rPr>
        <w:t>condition</w:t>
      </w:r>
      <w:r>
        <w:rPr>
          <w:rFonts w:ascii="Arial" w:hAnsi="Arial" w:eastAsia="Arial" w:cs="Arial"/>
          <w:spacing w:val="13"/>
          <w:sz w:val="19"/>
          <w:szCs w:val="19"/>
        </w:rPr>
        <w:t xml:space="preserve"> </w:t>
      </w:r>
      <w:r>
        <w:rPr>
          <w:rFonts w:ascii="Arial" w:hAnsi="Arial" w:eastAsia="Arial" w:cs="Arial"/>
          <w:spacing w:val="-5"/>
          <w:sz w:val="19"/>
          <w:szCs w:val="19"/>
        </w:rPr>
        <w:t>for</w:t>
      </w:r>
      <w:r>
        <w:rPr>
          <w:rFonts w:ascii="Arial" w:hAnsi="Arial" w:eastAsia="Arial" w:cs="Arial"/>
          <w:spacing w:val="15"/>
          <w:w w:val="101"/>
          <w:sz w:val="19"/>
          <w:szCs w:val="19"/>
        </w:rPr>
        <w:t xml:space="preserve"> </w:t>
      </w:r>
      <w:r>
        <w:rPr>
          <w:rFonts w:ascii="Arial" w:hAnsi="Arial" w:eastAsia="Arial" w:cs="Arial"/>
          <w:spacing w:val="-5"/>
          <w:sz w:val="19"/>
          <w:szCs w:val="19"/>
        </w:rPr>
        <w:t>a</w:t>
      </w:r>
      <w:r>
        <w:rPr>
          <w:rFonts w:ascii="Arial" w:hAnsi="Arial" w:eastAsia="Arial" w:cs="Arial"/>
          <w:spacing w:val="16"/>
          <w:w w:val="101"/>
          <w:sz w:val="19"/>
          <w:szCs w:val="19"/>
        </w:rPr>
        <w:t xml:space="preserve"> </w:t>
      </w:r>
      <w:r>
        <w:rPr>
          <w:rFonts w:ascii="Arial" w:hAnsi="Arial" w:eastAsia="Arial" w:cs="Arial"/>
          <w:spacing w:val="-5"/>
          <w:sz w:val="19"/>
          <w:szCs w:val="19"/>
        </w:rPr>
        <w:t>successful,</w:t>
      </w:r>
      <w:r>
        <w:rPr>
          <w:rFonts w:ascii="Arial" w:hAnsi="Arial" w:eastAsia="Arial" w:cs="Arial"/>
          <w:spacing w:val="18"/>
          <w:sz w:val="19"/>
          <w:szCs w:val="19"/>
        </w:rPr>
        <w:t xml:space="preserve"> </w:t>
      </w:r>
      <w:r>
        <w:rPr>
          <w:rFonts w:ascii="Arial" w:hAnsi="Arial" w:eastAsia="Arial" w:cs="Arial"/>
          <w:spacing w:val="-5"/>
          <w:sz w:val="19"/>
          <w:szCs w:val="19"/>
        </w:rPr>
        <w:t>strategi</w:t>
      </w:r>
      <w:r>
        <w:rPr>
          <w:rFonts w:ascii="Arial" w:hAnsi="Arial" w:eastAsia="Arial" w:cs="Arial"/>
          <w:spacing w:val="-4"/>
          <w:sz w:val="19"/>
          <w:szCs w:val="19"/>
        </w:rPr>
        <w:t>c</w:t>
      </w:r>
      <w:r>
        <w:rPr>
          <w:rFonts w:ascii="Arial" w:hAnsi="Arial" w:eastAsia="Arial" w:cs="Arial"/>
          <w:sz w:val="19"/>
          <w:szCs w:val="19"/>
        </w:rPr>
        <w:t xml:space="preserve"> </w:t>
      </w:r>
      <w:r>
        <w:rPr>
          <w:rFonts w:ascii="Arial" w:hAnsi="Arial" w:eastAsia="Arial" w:cs="Arial"/>
          <w:spacing w:val="-6"/>
          <w:sz w:val="19"/>
          <w:szCs w:val="19"/>
        </w:rPr>
        <w:t>implementation of quality culture</w:t>
      </w:r>
      <w:r>
        <w:rPr>
          <w:rFonts w:ascii="Arial" w:hAnsi="Arial" w:eastAsia="Arial" w:cs="Arial"/>
          <w:spacing w:val="10"/>
          <w:sz w:val="19"/>
          <w:szCs w:val="19"/>
        </w:rPr>
        <w:t xml:space="preserve"> </w:t>
      </w:r>
      <w:r>
        <w:rPr>
          <w:rFonts w:ascii="Arial" w:hAnsi="Arial" w:eastAsia="Arial" w:cs="Arial"/>
          <w:spacing w:val="-6"/>
          <w:sz w:val="19"/>
          <w:szCs w:val="19"/>
        </w:rPr>
        <w:t>in</w:t>
      </w:r>
      <w:r>
        <w:rPr>
          <w:rFonts w:ascii="Arial" w:hAnsi="Arial" w:eastAsia="Arial" w:cs="Arial"/>
          <w:spacing w:val="12"/>
          <w:sz w:val="19"/>
          <w:szCs w:val="19"/>
        </w:rPr>
        <w:t xml:space="preserve"> </w:t>
      </w:r>
      <w:r>
        <w:rPr>
          <w:rFonts w:ascii="Arial" w:hAnsi="Arial" w:eastAsia="Arial" w:cs="Arial"/>
          <w:spacing w:val="-6"/>
          <w:sz w:val="19"/>
          <w:szCs w:val="19"/>
        </w:rPr>
        <w:t>higher education</w:t>
      </w:r>
      <w:r>
        <w:rPr>
          <w:rFonts w:ascii="Arial" w:hAnsi="Arial" w:eastAsia="Arial" w:cs="Arial"/>
          <w:spacing w:val="13"/>
          <w:sz w:val="19"/>
          <w:szCs w:val="19"/>
        </w:rPr>
        <w:t xml:space="preserve"> </w:t>
      </w:r>
      <w:r>
        <w:rPr>
          <w:rFonts w:ascii="Arial" w:hAnsi="Arial" w:eastAsia="Arial" w:cs="Arial"/>
          <w:spacing w:val="-6"/>
          <w:sz w:val="19"/>
          <w:szCs w:val="19"/>
        </w:rPr>
        <w:t>(e.g.</w:t>
      </w:r>
      <w:r>
        <w:rPr>
          <w:rFonts w:ascii="Arial" w:hAnsi="Arial" w:eastAsia="Arial" w:cs="Arial"/>
          <w:spacing w:val="13"/>
          <w:w w:val="101"/>
          <w:sz w:val="19"/>
          <w:szCs w:val="19"/>
        </w:rPr>
        <w:t xml:space="preserve"> </w:t>
      </w:r>
      <w:r>
        <w:rPr>
          <w:rFonts w:ascii="Arial" w:hAnsi="Arial" w:eastAsia="Arial" w:cs="Arial"/>
          <w:spacing w:val="-6"/>
          <w:sz w:val="19"/>
          <w:szCs w:val="19"/>
        </w:rPr>
        <w:t>Ehler</w:t>
      </w:r>
      <w:r>
        <w:rPr>
          <w:rFonts w:ascii="Arial" w:hAnsi="Arial" w:eastAsia="Arial" w:cs="Arial"/>
          <w:spacing w:val="-7"/>
          <w:sz w:val="19"/>
          <w:szCs w:val="19"/>
        </w:rPr>
        <w:t xml:space="preserve">s </w:t>
      </w:r>
      <w:r>
        <w:fldChar w:fldCharType="begin"/>
      </w:r>
      <w:r>
        <w:instrText xml:space="preserve"> HYPERLINK \l "bookmark103" </w:instrText>
      </w:r>
      <w:r>
        <w:fldChar w:fldCharType="separate"/>
      </w:r>
      <w:r>
        <w:rPr>
          <w:rFonts w:ascii="Arial" w:hAnsi="Arial" w:eastAsia="Arial" w:cs="Arial"/>
          <w:color w:val="000084"/>
          <w:spacing w:val="-7"/>
          <w:sz w:val="19"/>
          <w:szCs w:val="19"/>
        </w:rPr>
        <w:t>2009</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pacing w:val="12"/>
          <w:sz w:val="19"/>
          <w:szCs w:val="19"/>
        </w:rPr>
        <w:t xml:space="preserve"> </w:t>
      </w:r>
      <w:r>
        <w:rPr>
          <w:rFonts w:ascii="Arial" w:hAnsi="Arial" w:eastAsia="Arial" w:cs="Arial"/>
          <w:spacing w:val="-7"/>
          <w:sz w:val="19"/>
          <w:szCs w:val="19"/>
        </w:rPr>
        <w:t xml:space="preserve">EUA </w:t>
      </w:r>
      <w:r>
        <w:fldChar w:fldCharType="begin"/>
      </w:r>
      <w:r>
        <w:instrText xml:space="preserve"> HYPERLINK \l "bookmark104" </w:instrText>
      </w:r>
      <w:r>
        <w:fldChar w:fldCharType="separate"/>
      </w:r>
      <w:r>
        <w:rPr>
          <w:rFonts w:ascii="Arial" w:hAnsi="Arial" w:eastAsia="Arial" w:cs="Arial"/>
          <w:color w:val="000084"/>
          <w:spacing w:val="-7"/>
          <w:sz w:val="19"/>
          <w:szCs w:val="19"/>
        </w:rPr>
        <w:t>2006</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pacing w:val="13"/>
          <w:sz w:val="19"/>
          <w:szCs w:val="19"/>
        </w:rPr>
        <w:t xml:space="preserve"> </w:t>
      </w:r>
      <w:r>
        <w:rPr>
          <w:rFonts w:ascii="Arial" w:hAnsi="Arial" w:eastAsia="Arial" w:cs="Arial"/>
          <w:spacing w:val="-7"/>
          <w:sz w:val="19"/>
          <w:szCs w:val="19"/>
        </w:rPr>
        <w:t>Harvey and</w:t>
      </w:r>
      <w:r>
        <w:rPr>
          <w:rFonts w:ascii="Arial" w:hAnsi="Arial" w:eastAsia="Arial" w:cs="Arial"/>
          <w:spacing w:val="6"/>
          <w:sz w:val="19"/>
          <w:szCs w:val="19"/>
        </w:rPr>
        <w:t xml:space="preserve"> </w:t>
      </w:r>
      <w:r>
        <w:rPr>
          <w:rFonts w:ascii="Arial" w:hAnsi="Arial" w:eastAsia="Arial" w:cs="Arial"/>
          <w:spacing w:val="-7"/>
          <w:sz w:val="19"/>
          <w:szCs w:val="19"/>
        </w:rPr>
        <w:t>Sten-</w:t>
      </w:r>
      <w:r>
        <w:rPr>
          <w:rFonts w:ascii="Arial" w:hAnsi="Arial" w:eastAsia="Arial" w:cs="Arial"/>
          <w:sz w:val="19"/>
          <w:szCs w:val="19"/>
        </w:rPr>
        <w:t xml:space="preserve"> </w:t>
      </w:r>
      <w:r>
        <w:rPr>
          <w:rFonts w:ascii="Arial" w:hAnsi="Arial" w:eastAsia="Arial" w:cs="Arial"/>
          <w:spacing w:val="-6"/>
          <w:sz w:val="19"/>
          <w:szCs w:val="19"/>
        </w:rPr>
        <w:t>sa</w:t>
      </w:r>
      <w:r>
        <w:rPr>
          <w:rFonts w:ascii="Arial" w:hAnsi="Arial" w:eastAsia="Arial" w:cs="Arial"/>
          <w:spacing w:val="-5"/>
          <w:sz w:val="19"/>
          <w:szCs w:val="19"/>
        </w:rPr>
        <w:t xml:space="preserve">ker </w:t>
      </w:r>
      <w:r>
        <w:fldChar w:fldCharType="begin"/>
      </w:r>
      <w:r>
        <w:instrText xml:space="preserve"> HYPERLINK \l "bookmark105" </w:instrText>
      </w:r>
      <w:r>
        <w:fldChar w:fldCharType="separate"/>
      </w:r>
      <w:r>
        <w:rPr>
          <w:rFonts w:ascii="Arial" w:hAnsi="Arial" w:eastAsia="Arial" w:cs="Arial"/>
          <w:color w:val="000084"/>
          <w:spacing w:val="-5"/>
          <w:sz w:val="19"/>
          <w:szCs w:val="19"/>
        </w:rPr>
        <w:t>2008</w:t>
      </w:r>
      <w:r>
        <w:rPr>
          <w:rFonts w:ascii="Arial" w:hAnsi="Arial" w:eastAsia="Arial" w:cs="Arial"/>
          <w:color w:val="000084"/>
          <w:spacing w:val="-5"/>
          <w:sz w:val="19"/>
          <w:szCs w:val="19"/>
        </w:rPr>
        <w:fldChar w:fldCharType="end"/>
      </w:r>
      <w:r>
        <w:rPr>
          <w:rFonts w:ascii="Arial" w:hAnsi="Arial" w:eastAsia="Arial" w:cs="Arial"/>
          <w:spacing w:val="-5"/>
          <w:sz w:val="19"/>
          <w:szCs w:val="19"/>
        </w:rPr>
        <w:t>). Accordingly, communication is considered to be</w:t>
      </w:r>
      <w:r>
        <w:rPr>
          <w:rFonts w:ascii="Arial" w:hAnsi="Arial" w:eastAsia="Arial" w:cs="Arial"/>
          <w:spacing w:val="4"/>
          <w:sz w:val="19"/>
          <w:szCs w:val="19"/>
        </w:rPr>
        <w:t xml:space="preserve"> </w:t>
      </w:r>
      <w:r>
        <w:rPr>
          <w:rFonts w:ascii="Arial" w:hAnsi="Arial" w:eastAsia="Arial" w:cs="Arial"/>
          <w:spacing w:val="-5"/>
          <w:sz w:val="19"/>
          <w:szCs w:val="19"/>
        </w:rPr>
        <w:t>essential to</w:t>
      </w:r>
      <w:r>
        <w:rPr>
          <w:rFonts w:ascii="Arial" w:hAnsi="Arial" w:eastAsia="Arial" w:cs="Arial"/>
          <w:spacing w:val="3"/>
          <w:sz w:val="19"/>
          <w:szCs w:val="19"/>
        </w:rPr>
        <w:t xml:space="preserve"> </w:t>
      </w:r>
      <w:r>
        <w:rPr>
          <w:rFonts w:ascii="Arial" w:hAnsi="Arial" w:eastAsia="Arial" w:cs="Arial"/>
          <w:spacing w:val="-5"/>
          <w:sz w:val="19"/>
          <w:szCs w:val="19"/>
        </w:rPr>
        <w:t>devel</w:t>
      </w:r>
      <w:r>
        <w:rPr>
          <w:rFonts w:ascii="Arial" w:hAnsi="Arial" w:eastAsia="Arial" w:cs="Arial"/>
          <w:spacing w:val="-6"/>
          <w:sz w:val="19"/>
          <w:szCs w:val="19"/>
        </w:rPr>
        <w:t>op</w:t>
      </w:r>
      <w:r>
        <w:rPr>
          <w:rFonts w:ascii="Arial" w:hAnsi="Arial" w:eastAsia="Arial" w:cs="Arial"/>
          <w:spacing w:val="2"/>
          <w:sz w:val="19"/>
          <w:szCs w:val="19"/>
        </w:rPr>
        <w:t xml:space="preserve"> </w:t>
      </w:r>
      <w:r>
        <w:rPr>
          <w:rFonts w:ascii="Arial" w:hAnsi="Arial" w:eastAsia="Arial" w:cs="Arial"/>
          <w:spacing w:val="-6"/>
          <w:sz w:val="19"/>
          <w:szCs w:val="19"/>
        </w:rPr>
        <w:t>a</w:t>
      </w:r>
      <w:r>
        <w:rPr>
          <w:rFonts w:ascii="Arial" w:hAnsi="Arial" w:eastAsia="Arial" w:cs="Arial"/>
          <w:spacing w:val="3"/>
          <w:sz w:val="19"/>
          <w:szCs w:val="19"/>
        </w:rPr>
        <w:t xml:space="preserve"> </w:t>
      </w:r>
      <w:r>
        <w:rPr>
          <w:rFonts w:ascii="Arial" w:hAnsi="Arial" w:eastAsia="Arial" w:cs="Arial"/>
          <w:spacing w:val="-6"/>
          <w:sz w:val="19"/>
          <w:szCs w:val="19"/>
        </w:rPr>
        <w:t>common</w:t>
      </w:r>
      <w:r>
        <w:rPr>
          <w:rFonts w:ascii="Arial" w:hAnsi="Arial" w:eastAsia="Arial" w:cs="Arial"/>
          <w:spacing w:val="3"/>
          <w:sz w:val="19"/>
          <w:szCs w:val="19"/>
        </w:rPr>
        <w:t xml:space="preserve"> </w:t>
      </w:r>
      <w:r>
        <w:rPr>
          <w:rFonts w:ascii="Arial" w:hAnsi="Arial" w:eastAsia="Arial" w:cs="Arial"/>
          <w:spacing w:val="-6"/>
          <w:sz w:val="19"/>
          <w:szCs w:val="19"/>
        </w:rPr>
        <w:t>qualit</w:t>
      </w:r>
      <w:r>
        <w:rPr>
          <w:rFonts w:ascii="Arial" w:hAnsi="Arial" w:eastAsia="Arial" w:cs="Arial"/>
          <w:spacing w:val="-4"/>
          <w:sz w:val="19"/>
          <w:szCs w:val="19"/>
        </w:rPr>
        <w:t>y</w:t>
      </w:r>
      <w:r>
        <w:rPr>
          <w:rFonts w:ascii="Arial" w:hAnsi="Arial" w:eastAsia="Arial" w:cs="Arial"/>
          <w:sz w:val="19"/>
          <w:szCs w:val="19"/>
        </w:rPr>
        <w:t xml:space="preserve"> </w:t>
      </w:r>
      <w:r>
        <w:rPr>
          <w:rFonts w:ascii="Arial" w:hAnsi="Arial" w:eastAsia="Arial" w:cs="Arial"/>
          <w:spacing w:val="-5"/>
          <w:sz w:val="19"/>
          <w:szCs w:val="19"/>
        </w:rPr>
        <w:t>understanding, disseminate quality strategies,</w:t>
      </w:r>
      <w:r>
        <w:rPr>
          <w:rFonts w:ascii="Arial" w:hAnsi="Arial" w:eastAsia="Arial" w:cs="Arial"/>
          <w:spacing w:val="11"/>
          <w:sz w:val="19"/>
          <w:szCs w:val="19"/>
        </w:rPr>
        <w:t xml:space="preserve"> </w:t>
      </w:r>
      <w:r>
        <w:rPr>
          <w:rFonts w:ascii="Arial" w:hAnsi="Arial" w:eastAsia="Arial" w:cs="Arial"/>
          <w:spacing w:val="-5"/>
          <w:sz w:val="19"/>
          <w:szCs w:val="19"/>
        </w:rPr>
        <w:t>implement quality-related</w:t>
      </w:r>
      <w:r>
        <w:rPr>
          <w:rFonts w:ascii="Arial" w:hAnsi="Arial" w:eastAsia="Arial" w:cs="Arial"/>
          <w:spacing w:val="12"/>
          <w:sz w:val="19"/>
          <w:szCs w:val="19"/>
        </w:rPr>
        <w:t xml:space="preserve"> </w:t>
      </w:r>
      <w:r>
        <w:rPr>
          <w:rFonts w:ascii="Arial" w:hAnsi="Arial" w:eastAsia="Arial" w:cs="Arial"/>
          <w:spacing w:val="-5"/>
          <w:sz w:val="19"/>
          <w:szCs w:val="19"/>
        </w:rPr>
        <w:t>mea</w:t>
      </w:r>
      <w:r>
        <w:rPr>
          <w:rFonts w:ascii="Arial" w:hAnsi="Arial" w:eastAsia="Arial" w:cs="Arial"/>
          <w:spacing w:val="-6"/>
          <w:sz w:val="19"/>
          <w:szCs w:val="19"/>
        </w:rPr>
        <w:t>sures, evaluate</w:t>
      </w:r>
      <w:r>
        <w:rPr>
          <w:rFonts w:ascii="Arial" w:hAnsi="Arial" w:eastAsia="Arial" w:cs="Arial"/>
          <w:spacing w:val="13"/>
          <w:w w:val="101"/>
          <w:sz w:val="19"/>
          <w:szCs w:val="19"/>
        </w:rPr>
        <w:t xml:space="preserve"> </w:t>
      </w:r>
      <w:r>
        <w:rPr>
          <w:rFonts w:ascii="Arial" w:hAnsi="Arial" w:eastAsia="Arial" w:cs="Arial"/>
          <w:spacing w:val="-6"/>
          <w:sz w:val="19"/>
          <w:szCs w:val="19"/>
        </w:rPr>
        <w:t>results,</w:t>
      </w:r>
      <w:r>
        <w:rPr>
          <w:rFonts w:ascii="Arial" w:hAnsi="Arial" w:eastAsia="Arial" w:cs="Arial"/>
          <w:sz w:val="19"/>
          <w:szCs w:val="19"/>
        </w:rPr>
        <w:t xml:space="preserve"> </w:t>
      </w:r>
      <w:r>
        <w:rPr>
          <w:rFonts w:ascii="Arial" w:hAnsi="Arial" w:eastAsia="Arial" w:cs="Arial"/>
          <w:spacing w:val="-5"/>
          <w:sz w:val="19"/>
          <w:szCs w:val="19"/>
        </w:rPr>
        <w:t>and</w:t>
      </w:r>
      <w:r>
        <w:rPr>
          <w:rFonts w:ascii="Arial" w:hAnsi="Arial" w:eastAsia="Arial" w:cs="Arial"/>
          <w:spacing w:val="26"/>
          <w:w w:val="101"/>
          <w:sz w:val="19"/>
          <w:szCs w:val="19"/>
        </w:rPr>
        <w:t xml:space="preserve"> </w:t>
      </w:r>
      <w:r>
        <w:rPr>
          <w:rFonts w:ascii="Arial" w:hAnsi="Arial" w:eastAsia="Arial" w:cs="Arial"/>
          <w:spacing w:val="-5"/>
          <w:sz w:val="19"/>
          <w:szCs w:val="19"/>
        </w:rPr>
        <w:t>learn</w:t>
      </w:r>
      <w:r>
        <w:rPr>
          <w:rFonts w:ascii="Arial" w:hAnsi="Arial" w:eastAsia="Arial" w:cs="Arial"/>
          <w:spacing w:val="9"/>
          <w:sz w:val="19"/>
          <w:szCs w:val="19"/>
        </w:rPr>
        <w:t xml:space="preserve"> </w:t>
      </w:r>
      <w:r>
        <w:rPr>
          <w:rFonts w:ascii="Arial" w:hAnsi="Arial" w:eastAsia="Arial" w:cs="Arial"/>
          <w:spacing w:val="-5"/>
          <w:sz w:val="19"/>
          <w:szCs w:val="19"/>
        </w:rPr>
        <w:t>about</w:t>
      </w:r>
      <w:r>
        <w:rPr>
          <w:rFonts w:ascii="Arial" w:hAnsi="Arial" w:eastAsia="Arial" w:cs="Arial"/>
          <w:spacing w:val="11"/>
          <w:sz w:val="19"/>
          <w:szCs w:val="19"/>
        </w:rPr>
        <w:t xml:space="preserve"> </w:t>
      </w:r>
      <w:r>
        <w:rPr>
          <w:rFonts w:ascii="Arial" w:hAnsi="Arial" w:eastAsia="Arial" w:cs="Arial"/>
          <w:spacing w:val="-5"/>
          <w:sz w:val="19"/>
          <w:szCs w:val="19"/>
        </w:rPr>
        <w:t>staf values and</w:t>
      </w:r>
      <w:r>
        <w:rPr>
          <w:rFonts w:ascii="Arial" w:hAnsi="Arial" w:eastAsia="Arial" w:cs="Arial"/>
          <w:spacing w:val="16"/>
          <w:sz w:val="19"/>
          <w:szCs w:val="19"/>
        </w:rPr>
        <w:t xml:space="preserve"> </w:t>
      </w:r>
      <w:r>
        <w:rPr>
          <w:rFonts w:ascii="Arial" w:hAnsi="Arial" w:eastAsia="Arial" w:cs="Arial"/>
          <w:spacing w:val="-5"/>
          <w:sz w:val="19"/>
          <w:szCs w:val="19"/>
        </w:rPr>
        <w:t>beliefs</w:t>
      </w:r>
      <w:r>
        <w:rPr>
          <w:rFonts w:ascii="Arial" w:hAnsi="Arial" w:eastAsia="Arial" w:cs="Arial"/>
          <w:spacing w:val="14"/>
          <w:w w:val="101"/>
          <w:sz w:val="19"/>
          <w:szCs w:val="19"/>
        </w:rPr>
        <w:t xml:space="preserve"> </w:t>
      </w:r>
      <w:r>
        <w:rPr>
          <w:rFonts w:ascii="Arial" w:hAnsi="Arial" w:eastAsia="Arial" w:cs="Arial"/>
          <w:spacing w:val="-5"/>
          <w:sz w:val="19"/>
          <w:szCs w:val="19"/>
        </w:rPr>
        <w:t xml:space="preserve">(Bendermacheretal. </w:t>
      </w:r>
      <w:r>
        <w:fldChar w:fldCharType="begin"/>
      </w:r>
      <w:r>
        <w:instrText xml:space="preserve"> HYPERLINK \l "bookmark106" </w:instrText>
      </w:r>
      <w:r>
        <w:fldChar w:fldCharType="separate"/>
      </w:r>
      <w:r>
        <w:rPr>
          <w:rFonts w:ascii="Arial" w:hAnsi="Arial" w:eastAsia="Arial" w:cs="Arial"/>
          <w:color w:val="000084"/>
          <w:spacing w:val="-5"/>
          <w:sz w:val="19"/>
          <w:szCs w:val="19"/>
        </w:rPr>
        <w:t>2017</w:t>
      </w:r>
      <w:r>
        <w:rPr>
          <w:rFonts w:ascii="Arial" w:hAnsi="Arial" w:eastAsia="Arial" w:cs="Arial"/>
          <w:color w:val="000084"/>
          <w:spacing w:val="-5"/>
          <w:sz w:val="19"/>
          <w:szCs w:val="19"/>
        </w:rPr>
        <w:fldChar w:fldCharType="end"/>
      </w:r>
      <w:r>
        <w:rPr>
          <w:rFonts w:ascii="Arial" w:hAnsi="Arial" w:eastAsia="Arial" w:cs="Arial"/>
          <w:spacing w:val="-5"/>
          <w:sz w:val="19"/>
          <w:szCs w:val="19"/>
        </w:rPr>
        <w:t xml:space="preserve">; Yorke </w:t>
      </w:r>
      <w:r>
        <w:fldChar w:fldCharType="begin"/>
      </w:r>
      <w:r>
        <w:instrText xml:space="preserve"> HYPERLINK \l "bookmark107" </w:instrText>
      </w:r>
      <w:r>
        <w:fldChar w:fldCharType="separate"/>
      </w:r>
      <w:r>
        <w:rPr>
          <w:rFonts w:ascii="Arial" w:hAnsi="Arial" w:eastAsia="Arial" w:cs="Arial"/>
          <w:color w:val="000084"/>
          <w:spacing w:val="-5"/>
          <w:sz w:val="19"/>
          <w:szCs w:val="19"/>
        </w:rPr>
        <w:t>2000</w:t>
      </w:r>
      <w:r>
        <w:rPr>
          <w:rFonts w:ascii="Arial" w:hAnsi="Arial" w:eastAsia="Arial" w:cs="Arial"/>
          <w:color w:val="000084"/>
          <w:spacing w:val="-5"/>
          <w:sz w:val="19"/>
          <w:szCs w:val="19"/>
        </w:rPr>
        <w:fldChar w:fldCharType="end"/>
      </w:r>
      <w:r>
        <w:rPr>
          <w:rFonts w:ascii="Arial" w:hAnsi="Arial" w:eastAsia="Arial" w:cs="Arial"/>
          <w:spacing w:val="-5"/>
          <w:sz w:val="19"/>
          <w:szCs w:val="19"/>
        </w:rPr>
        <w:t>).</w:t>
      </w:r>
      <w:r>
        <w:rPr>
          <w:rFonts w:ascii="Arial" w:hAnsi="Arial" w:eastAsia="Arial" w:cs="Arial"/>
          <w:spacing w:val="16"/>
          <w:sz w:val="19"/>
          <w:szCs w:val="19"/>
        </w:rPr>
        <w:t xml:space="preserve"> </w:t>
      </w:r>
      <w:r>
        <w:rPr>
          <w:rFonts w:ascii="Arial" w:hAnsi="Arial" w:eastAsia="Arial" w:cs="Arial"/>
          <w:spacing w:val="-5"/>
          <w:sz w:val="19"/>
          <w:szCs w:val="19"/>
        </w:rPr>
        <w:t>In this</w:t>
      </w:r>
      <w:r>
        <w:rPr>
          <w:rFonts w:ascii="Arial" w:hAnsi="Arial" w:eastAsia="Arial" w:cs="Arial"/>
          <w:spacing w:val="9"/>
          <w:sz w:val="19"/>
          <w:szCs w:val="19"/>
        </w:rPr>
        <w:t xml:space="preserve"> </w:t>
      </w:r>
      <w:r>
        <w:rPr>
          <w:rFonts w:ascii="Arial" w:hAnsi="Arial" w:eastAsia="Arial" w:cs="Arial"/>
          <w:spacing w:val="-5"/>
          <w:sz w:val="19"/>
          <w:szCs w:val="19"/>
        </w:rPr>
        <w:t>context,</w:t>
      </w:r>
      <w:r>
        <w:rPr>
          <w:rFonts w:ascii="Arial" w:hAnsi="Arial" w:eastAsia="Arial" w:cs="Arial"/>
          <w:spacing w:val="16"/>
          <w:sz w:val="19"/>
          <w:szCs w:val="19"/>
        </w:rPr>
        <w:t xml:space="preserve"> </w:t>
      </w:r>
      <w:r>
        <w:rPr>
          <w:rFonts w:ascii="Arial" w:hAnsi="Arial" w:eastAsia="Arial" w:cs="Arial"/>
          <w:spacing w:val="-5"/>
          <w:sz w:val="19"/>
          <w:szCs w:val="19"/>
        </w:rPr>
        <w:t>it</w:t>
      </w:r>
      <w:r>
        <w:rPr>
          <w:rFonts w:ascii="Arial" w:hAnsi="Arial" w:eastAsia="Arial" w:cs="Arial"/>
          <w:spacing w:val="13"/>
          <w:sz w:val="19"/>
          <w:szCs w:val="19"/>
        </w:rPr>
        <w:t xml:space="preserve"> </w:t>
      </w:r>
      <w:r>
        <w:rPr>
          <w:rFonts w:ascii="Arial" w:hAnsi="Arial" w:eastAsia="Arial" w:cs="Arial"/>
          <w:spacing w:val="-5"/>
          <w:sz w:val="19"/>
          <w:szCs w:val="19"/>
        </w:rPr>
        <w:t>is</w:t>
      </w:r>
      <w:r>
        <w:rPr>
          <w:rFonts w:ascii="Arial" w:hAnsi="Arial" w:eastAsia="Arial" w:cs="Arial"/>
          <w:sz w:val="19"/>
          <w:szCs w:val="19"/>
        </w:rPr>
        <w:t xml:space="preserve"> </w:t>
      </w:r>
      <w:r>
        <w:rPr>
          <w:rFonts w:ascii="Arial" w:hAnsi="Arial" w:eastAsia="Arial" w:cs="Arial"/>
          <w:spacing w:val="-2"/>
          <w:sz w:val="19"/>
          <w:szCs w:val="19"/>
        </w:rPr>
        <w:t>important to note that quality culture is not only about vertical (top-do</w:t>
      </w:r>
      <w:r>
        <w:rPr>
          <w:rFonts w:ascii="Arial" w:hAnsi="Arial" w:eastAsia="Arial" w:cs="Arial"/>
          <w:spacing w:val="-3"/>
          <w:sz w:val="19"/>
          <w:szCs w:val="19"/>
        </w:rPr>
        <w:t>wn) communication: efective</w:t>
      </w:r>
      <w:r>
        <w:rPr>
          <w:rFonts w:ascii="Arial" w:hAnsi="Arial" w:eastAsia="Arial" w:cs="Arial"/>
          <w:sz w:val="19"/>
          <w:szCs w:val="19"/>
        </w:rPr>
        <w:t xml:space="preserve"> </w:t>
      </w:r>
      <w:r>
        <w:rPr>
          <w:rFonts w:ascii="Arial" w:hAnsi="Arial" w:eastAsia="Arial" w:cs="Arial"/>
          <w:spacing w:val="-5"/>
          <w:sz w:val="19"/>
          <w:szCs w:val="19"/>
        </w:rPr>
        <w:t>horizontal (collegial) communication and discus</w:t>
      </w:r>
      <w:r>
        <w:rPr>
          <w:rFonts w:ascii="Arial" w:hAnsi="Arial" w:eastAsia="Arial" w:cs="Arial"/>
          <w:spacing w:val="-6"/>
          <w:sz w:val="19"/>
          <w:szCs w:val="19"/>
        </w:rPr>
        <w:t>sions about quality issues</w:t>
      </w:r>
      <w:r>
        <w:rPr>
          <w:rFonts w:ascii="Arial" w:hAnsi="Arial" w:eastAsia="Arial" w:cs="Arial"/>
          <w:sz w:val="19"/>
          <w:szCs w:val="19"/>
        </w:rPr>
        <w:t xml:space="preserve"> </w:t>
      </w:r>
      <w:r>
        <w:rPr>
          <w:rFonts w:ascii="Arial" w:hAnsi="Arial" w:eastAsia="Arial" w:cs="Arial"/>
          <w:spacing w:val="-6"/>
          <w:sz w:val="19"/>
          <w:szCs w:val="19"/>
        </w:rPr>
        <w:t>are</w:t>
      </w:r>
      <w:r>
        <w:rPr>
          <w:rFonts w:ascii="Arial" w:hAnsi="Arial" w:eastAsia="Arial" w:cs="Arial"/>
          <w:spacing w:val="1"/>
          <w:sz w:val="19"/>
          <w:szCs w:val="19"/>
        </w:rPr>
        <w:t xml:space="preserve"> </w:t>
      </w:r>
      <w:r>
        <w:rPr>
          <w:rFonts w:ascii="Arial" w:hAnsi="Arial" w:eastAsia="Arial" w:cs="Arial"/>
          <w:spacing w:val="-6"/>
          <w:sz w:val="19"/>
          <w:szCs w:val="19"/>
        </w:rPr>
        <w:t>considered</w:t>
      </w:r>
      <w:r>
        <w:rPr>
          <w:rFonts w:ascii="Arial" w:hAnsi="Arial" w:eastAsia="Arial" w:cs="Arial"/>
          <w:spacing w:val="4"/>
          <w:sz w:val="19"/>
          <w:szCs w:val="19"/>
        </w:rPr>
        <w:t xml:space="preserve"> </w:t>
      </w:r>
      <w:r>
        <w:rPr>
          <w:rFonts w:ascii="Arial" w:hAnsi="Arial" w:eastAsia="Arial" w:cs="Arial"/>
          <w:spacing w:val="-6"/>
          <w:sz w:val="19"/>
          <w:szCs w:val="19"/>
        </w:rPr>
        <w:t>essential</w:t>
      </w:r>
      <w:r>
        <w:rPr>
          <w:rFonts w:ascii="Arial" w:hAnsi="Arial" w:eastAsia="Arial" w:cs="Arial"/>
          <w:spacing w:val="6"/>
          <w:sz w:val="19"/>
          <w:szCs w:val="19"/>
        </w:rPr>
        <w:t xml:space="preserve"> </w:t>
      </w:r>
      <w:r>
        <w:rPr>
          <w:rFonts w:ascii="Arial" w:hAnsi="Arial" w:eastAsia="Arial" w:cs="Arial"/>
          <w:spacing w:val="-6"/>
          <w:sz w:val="19"/>
          <w:szCs w:val="19"/>
        </w:rPr>
        <w:t>in</w:t>
      </w:r>
      <w:r>
        <w:rPr>
          <w:rFonts w:ascii="Arial" w:hAnsi="Arial" w:eastAsia="Arial" w:cs="Arial"/>
          <w:sz w:val="19"/>
          <w:szCs w:val="19"/>
        </w:rPr>
        <w:t xml:space="preserve"> </w:t>
      </w:r>
      <w:r>
        <w:rPr>
          <w:rFonts w:ascii="Arial" w:hAnsi="Arial" w:eastAsia="Arial" w:cs="Arial"/>
          <w:spacing w:val="-6"/>
          <w:sz w:val="19"/>
          <w:szCs w:val="19"/>
        </w:rPr>
        <w:t>order</w:t>
      </w:r>
      <w:r>
        <w:rPr>
          <w:rFonts w:ascii="Arial" w:hAnsi="Arial" w:eastAsia="Arial" w:cs="Arial"/>
          <w:spacing w:val="28"/>
          <w:sz w:val="19"/>
          <w:szCs w:val="19"/>
        </w:rPr>
        <w:t xml:space="preserve"> </w:t>
      </w:r>
      <w:r>
        <w:rPr>
          <w:rFonts w:ascii="Arial" w:hAnsi="Arial" w:eastAsia="Arial" w:cs="Arial"/>
          <w:spacing w:val="-6"/>
          <w:sz w:val="19"/>
          <w:szCs w:val="19"/>
        </w:rPr>
        <w:t>to</w:t>
      </w:r>
      <w:r>
        <w:rPr>
          <w:rFonts w:ascii="Arial" w:hAnsi="Arial" w:eastAsia="Arial" w:cs="Arial"/>
          <w:spacing w:val="22"/>
          <w:w w:val="101"/>
          <w:sz w:val="19"/>
          <w:szCs w:val="19"/>
        </w:rPr>
        <w:t xml:space="preserve"> </w:t>
      </w:r>
      <w:r>
        <w:rPr>
          <w:rFonts w:ascii="Arial" w:hAnsi="Arial" w:eastAsia="Arial" w:cs="Arial"/>
          <w:spacing w:val="-6"/>
          <w:sz w:val="19"/>
          <w:szCs w:val="19"/>
        </w:rPr>
        <w:t>guarantee</w:t>
      </w:r>
      <w:r>
        <w:rPr>
          <w:rFonts w:ascii="Arial" w:hAnsi="Arial" w:eastAsia="Arial" w:cs="Arial"/>
          <w:spacing w:val="23"/>
          <w:w w:val="101"/>
          <w:sz w:val="19"/>
          <w:szCs w:val="19"/>
        </w:rPr>
        <w:t xml:space="preserve"> </w:t>
      </w:r>
      <w:r>
        <w:rPr>
          <w:rFonts w:ascii="Arial" w:hAnsi="Arial" w:eastAsia="Arial" w:cs="Arial"/>
          <w:spacing w:val="-6"/>
          <w:sz w:val="19"/>
          <w:szCs w:val="19"/>
        </w:rPr>
        <w:t>a</w:t>
      </w:r>
      <w:r>
        <w:rPr>
          <w:rFonts w:ascii="Arial" w:hAnsi="Arial" w:eastAsia="Arial" w:cs="Arial"/>
          <w:spacing w:val="18"/>
          <w:w w:val="101"/>
          <w:sz w:val="19"/>
          <w:szCs w:val="19"/>
        </w:rPr>
        <w:t xml:space="preserve"> </w:t>
      </w:r>
      <w:r>
        <w:rPr>
          <w:rFonts w:ascii="Arial" w:hAnsi="Arial" w:eastAsia="Arial" w:cs="Arial"/>
          <w:spacing w:val="-6"/>
          <w:sz w:val="19"/>
          <w:szCs w:val="19"/>
        </w:rPr>
        <w:t>vital</w:t>
      </w:r>
      <w:r>
        <w:rPr>
          <w:rFonts w:ascii="Arial" w:hAnsi="Arial" w:eastAsia="Arial" w:cs="Arial"/>
          <w:spacing w:val="23"/>
          <w:w w:val="101"/>
          <w:sz w:val="19"/>
          <w:szCs w:val="19"/>
        </w:rPr>
        <w:t xml:space="preserve"> </w:t>
      </w:r>
      <w:r>
        <w:rPr>
          <w:rFonts w:ascii="Arial" w:hAnsi="Arial" w:eastAsia="Arial" w:cs="Arial"/>
          <w:spacing w:val="-6"/>
          <w:sz w:val="19"/>
          <w:szCs w:val="19"/>
        </w:rPr>
        <w:t>discursive</w:t>
      </w:r>
      <w:r>
        <w:rPr>
          <w:rFonts w:ascii="Arial" w:hAnsi="Arial" w:eastAsia="Arial" w:cs="Arial"/>
          <w:spacing w:val="28"/>
          <w:w w:val="101"/>
          <w:sz w:val="19"/>
          <w:szCs w:val="19"/>
        </w:rPr>
        <w:t xml:space="preserve"> </w:t>
      </w:r>
      <w:r>
        <w:rPr>
          <w:rFonts w:ascii="Arial" w:hAnsi="Arial" w:eastAsia="Arial" w:cs="Arial"/>
          <w:spacing w:val="-6"/>
          <w:sz w:val="19"/>
          <w:szCs w:val="19"/>
        </w:rPr>
        <w:t>process</w:t>
      </w:r>
      <w:r>
        <w:rPr>
          <w:rFonts w:ascii="Arial" w:hAnsi="Arial" w:eastAsia="Arial" w:cs="Arial"/>
          <w:spacing w:val="28"/>
          <w:sz w:val="19"/>
          <w:szCs w:val="19"/>
        </w:rPr>
        <w:t xml:space="preserve"> </w:t>
      </w:r>
      <w:r>
        <w:rPr>
          <w:rFonts w:ascii="Arial" w:hAnsi="Arial" w:eastAsia="Arial" w:cs="Arial"/>
          <w:spacing w:val="-6"/>
          <w:sz w:val="19"/>
          <w:szCs w:val="19"/>
        </w:rPr>
        <w:t>in</w:t>
      </w:r>
      <w:r>
        <w:rPr>
          <w:rFonts w:ascii="Arial" w:hAnsi="Arial" w:eastAsia="Arial" w:cs="Arial"/>
          <w:spacing w:val="22"/>
          <w:w w:val="101"/>
          <w:sz w:val="19"/>
          <w:szCs w:val="19"/>
        </w:rPr>
        <w:t xml:space="preserve"> </w:t>
      </w:r>
      <w:r>
        <w:rPr>
          <w:rFonts w:ascii="Arial" w:hAnsi="Arial" w:eastAsia="Arial" w:cs="Arial"/>
          <w:spacing w:val="-6"/>
          <w:sz w:val="19"/>
          <w:szCs w:val="19"/>
        </w:rPr>
        <w:t>quality</w:t>
      </w:r>
      <w:r>
        <w:rPr>
          <w:rFonts w:ascii="Arial" w:hAnsi="Arial" w:eastAsia="Arial" w:cs="Arial"/>
          <w:spacing w:val="24"/>
          <w:w w:val="101"/>
          <w:sz w:val="19"/>
          <w:szCs w:val="19"/>
        </w:rPr>
        <w:t xml:space="preserve"> </w:t>
      </w:r>
      <w:r>
        <w:rPr>
          <w:rFonts w:ascii="Arial" w:hAnsi="Arial" w:eastAsia="Arial" w:cs="Arial"/>
          <w:spacing w:val="-6"/>
          <w:sz w:val="19"/>
          <w:szCs w:val="19"/>
        </w:rPr>
        <w:t>culture</w:t>
      </w:r>
      <w:r>
        <w:rPr>
          <w:rFonts w:ascii="Arial" w:hAnsi="Arial" w:eastAsia="Arial" w:cs="Arial"/>
          <w:spacing w:val="24"/>
          <w:sz w:val="19"/>
          <w:szCs w:val="19"/>
        </w:rPr>
        <w:t xml:space="preserve"> </w:t>
      </w:r>
      <w:r>
        <w:rPr>
          <w:rFonts w:ascii="Arial" w:hAnsi="Arial" w:eastAsia="Arial" w:cs="Arial"/>
          <w:spacing w:val="-6"/>
          <w:sz w:val="19"/>
          <w:szCs w:val="19"/>
        </w:rPr>
        <w:t>development</w:t>
      </w:r>
      <w:r>
        <w:rPr>
          <w:rFonts w:ascii="Arial" w:hAnsi="Arial" w:eastAsia="Arial" w:cs="Arial"/>
          <w:spacing w:val="28"/>
          <w:sz w:val="19"/>
          <w:szCs w:val="19"/>
        </w:rPr>
        <w:t xml:space="preserve"> </w:t>
      </w:r>
      <w:r>
        <w:rPr>
          <w:rFonts w:ascii="Arial" w:hAnsi="Arial" w:eastAsia="Arial" w:cs="Arial"/>
          <w:spacing w:val="-6"/>
          <w:sz w:val="19"/>
          <w:szCs w:val="19"/>
        </w:rPr>
        <w:t>(Bendermacher</w:t>
      </w:r>
      <w:r>
        <w:rPr>
          <w:rFonts w:ascii="Arial" w:hAnsi="Arial" w:eastAsia="Arial" w:cs="Arial"/>
          <w:spacing w:val="24"/>
          <w:w w:val="101"/>
          <w:sz w:val="19"/>
          <w:szCs w:val="19"/>
        </w:rPr>
        <w:t xml:space="preserve"> </w:t>
      </w:r>
      <w:r>
        <w:rPr>
          <w:rFonts w:ascii="Arial" w:hAnsi="Arial" w:eastAsia="Arial" w:cs="Arial"/>
          <w:spacing w:val="-6"/>
          <w:sz w:val="19"/>
          <w:szCs w:val="19"/>
        </w:rPr>
        <w:t>et</w:t>
      </w:r>
      <w:r>
        <w:rPr>
          <w:rFonts w:ascii="Arial" w:hAnsi="Arial" w:eastAsia="Arial" w:cs="Arial"/>
          <w:spacing w:val="22"/>
          <w:sz w:val="19"/>
          <w:szCs w:val="19"/>
        </w:rPr>
        <w:t xml:space="preserve"> </w:t>
      </w:r>
      <w:r>
        <w:rPr>
          <w:rFonts w:ascii="Arial" w:hAnsi="Arial" w:eastAsia="Arial" w:cs="Arial"/>
          <w:spacing w:val="-6"/>
          <w:sz w:val="19"/>
          <w:szCs w:val="19"/>
        </w:rPr>
        <w:t>al.</w:t>
      </w:r>
      <w:r>
        <w:rPr>
          <w:rFonts w:ascii="Arial" w:hAnsi="Arial" w:eastAsia="Arial" w:cs="Arial"/>
          <w:sz w:val="19"/>
          <w:szCs w:val="19"/>
        </w:rPr>
        <w:t xml:space="preserve"> </w:t>
      </w:r>
      <w:r>
        <w:fldChar w:fldCharType="begin"/>
      </w:r>
      <w:r>
        <w:instrText xml:space="preserve"> HYPERLINK \l "bookmark108" </w:instrText>
      </w:r>
      <w:r>
        <w:fldChar w:fldCharType="separate"/>
      </w:r>
      <w:r>
        <w:rPr>
          <w:rFonts w:ascii="Arial" w:hAnsi="Arial" w:eastAsia="Arial" w:cs="Arial"/>
          <w:color w:val="000084"/>
          <w:spacing w:val="-5"/>
          <w:sz w:val="19"/>
          <w:szCs w:val="19"/>
        </w:rPr>
        <w:t>2017</w:t>
      </w:r>
      <w:r>
        <w:rPr>
          <w:rFonts w:ascii="Arial" w:hAnsi="Arial" w:eastAsia="Arial" w:cs="Arial"/>
          <w:color w:val="000084"/>
          <w:spacing w:val="-5"/>
          <w:sz w:val="19"/>
          <w:szCs w:val="19"/>
        </w:rPr>
        <w:fldChar w:fldCharType="end"/>
      </w:r>
      <w:r>
        <w:rPr>
          <w:rFonts w:ascii="Arial" w:hAnsi="Arial" w:eastAsia="Arial" w:cs="Arial"/>
          <w:spacing w:val="-5"/>
          <w:sz w:val="19"/>
          <w:szCs w:val="19"/>
        </w:rPr>
        <w:t>;</w:t>
      </w:r>
      <w:r>
        <w:rPr>
          <w:rFonts w:ascii="Arial" w:hAnsi="Arial" w:eastAsia="Arial" w:cs="Arial"/>
          <w:spacing w:val="37"/>
          <w:w w:val="101"/>
          <w:sz w:val="19"/>
          <w:szCs w:val="19"/>
        </w:rPr>
        <w:t xml:space="preserve"> </w:t>
      </w:r>
      <w:r>
        <w:rPr>
          <w:rFonts w:ascii="Arial" w:hAnsi="Arial" w:eastAsia="Arial" w:cs="Arial"/>
          <w:spacing w:val="-5"/>
          <w:sz w:val="19"/>
          <w:szCs w:val="19"/>
        </w:rPr>
        <w:t>EUA</w:t>
      </w:r>
      <w:r>
        <w:rPr>
          <w:rFonts w:ascii="Arial" w:hAnsi="Arial" w:eastAsia="Arial" w:cs="Arial"/>
          <w:spacing w:val="24"/>
          <w:w w:val="101"/>
          <w:sz w:val="19"/>
          <w:szCs w:val="19"/>
        </w:rPr>
        <w:t xml:space="preserve"> </w:t>
      </w:r>
      <w:r>
        <w:fldChar w:fldCharType="begin"/>
      </w:r>
      <w:r>
        <w:instrText xml:space="preserve"> HYPERLINK \l "bookmark109" </w:instrText>
      </w:r>
      <w:r>
        <w:fldChar w:fldCharType="separate"/>
      </w:r>
      <w:r>
        <w:rPr>
          <w:rFonts w:ascii="Arial" w:hAnsi="Arial" w:eastAsia="Arial" w:cs="Arial"/>
          <w:color w:val="000084"/>
          <w:spacing w:val="-5"/>
          <w:sz w:val="19"/>
          <w:szCs w:val="19"/>
        </w:rPr>
        <w:t>2006</w:t>
      </w:r>
      <w:r>
        <w:rPr>
          <w:rFonts w:ascii="Arial" w:hAnsi="Arial" w:eastAsia="Arial" w:cs="Arial"/>
          <w:color w:val="000084"/>
          <w:spacing w:val="-5"/>
          <w:sz w:val="19"/>
          <w:szCs w:val="19"/>
        </w:rPr>
        <w:fldChar w:fldCharType="end"/>
      </w:r>
      <w:r>
        <w:rPr>
          <w:rFonts w:ascii="Arial" w:hAnsi="Arial" w:eastAsia="Arial" w:cs="Arial"/>
          <w:spacing w:val="-5"/>
          <w:sz w:val="19"/>
          <w:szCs w:val="19"/>
        </w:rPr>
        <w:t>;</w:t>
      </w:r>
      <w:r>
        <w:rPr>
          <w:rFonts w:ascii="Arial" w:hAnsi="Arial" w:eastAsia="Arial" w:cs="Arial"/>
          <w:spacing w:val="25"/>
          <w:w w:val="101"/>
          <w:sz w:val="19"/>
          <w:szCs w:val="19"/>
        </w:rPr>
        <w:t xml:space="preserve"> </w:t>
      </w:r>
      <w:r>
        <w:rPr>
          <w:rFonts w:ascii="Arial" w:hAnsi="Arial" w:eastAsia="Arial" w:cs="Arial"/>
          <w:spacing w:val="-5"/>
          <w:sz w:val="19"/>
          <w:szCs w:val="19"/>
        </w:rPr>
        <w:t>Yorke</w:t>
      </w:r>
      <w:r>
        <w:rPr>
          <w:rFonts w:ascii="Arial" w:hAnsi="Arial" w:eastAsia="Arial" w:cs="Arial"/>
          <w:spacing w:val="24"/>
          <w:w w:val="101"/>
          <w:sz w:val="19"/>
          <w:szCs w:val="19"/>
        </w:rPr>
        <w:t xml:space="preserve"> </w:t>
      </w:r>
      <w:r>
        <w:fldChar w:fldCharType="begin"/>
      </w:r>
      <w:r>
        <w:instrText xml:space="preserve"> HYPERLINK \l "bookmark110" </w:instrText>
      </w:r>
      <w:r>
        <w:fldChar w:fldCharType="separate"/>
      </w:r>
      <w:r>
        <w:rPr>
          <w:rFonts w:ascii="Arial" w:hAnsi="Arial" w:eastAsia="Arial" w:cs="Arial"/>
          <w:color w:val="000084"/>
          <w:spacing w:val="-5"/>
          <w:sz w:val="19"/>
          <w:szCs w:val="19"/>
        </w:rPr>
        <w:t>2</w:t>
      </w:r>
      <w:r>
        <w:rPr>
          <w:rFonts w:ascii="Arial" w:hAnsi="Arial" w:eastAsia="Arial" w:cs="Arial"/>
          <w:color w:val="000084"/>
          <w:spacing w:val="-6"/>
          <w:sz w:val="19"/>
          <w:szCs w:val="19"/>
        </w:rPr>
        <w:t>000</w:t>
      </w:r>
      <w:r>
        <w:rPr>
          <w:rFonts w:ascii="Arial" w:hAnsi="Arial" w:eastAsia="Arial" w:cs="Arial"/>
          <w:color w:val="000084"/>
          <w:spacing w:val="-6"/>
          <w:sz w:val="19"/>
          <w:szCs w:val="19"/>
        </w:rPr>
        <w:fldChar w:fldCharType="end"/>
      </w:r>
      <w:r>
        <w:rPr>
          <w:rFonts w:ascii="Arial" w:hAnsi="Arial" w:eastAsia="Arial" w:cs="Arial"/>
          <w:spacing w:val="-6"/>
          <w:sz w:val="19"/>
          <w:szCs w:val="19"/>
        </w:rPr>
        <w:t>).</w:t>
      </w:r>
      <w:r>
        <w:rPr>
          <w:rFonts w:ascii="Arial" w:hAnsi="Arial" w:eastAsia="Arial" w:cs="Arial"/>
          <w:spacing w:val="23"/>
          <w:sz w:val="19"/>
          <w:szCs w:val="19"/>
        </w:rPr>
        <w:t xml:space="preserve"> </w:t>
      </w:r>
      <w:r>
        <w:rPr>
          <w:rFonts w:ascii="Arial" w:hAnsi="Arial" w:eastAsia="Arial" w:cs="Arial"/>
          <w:spacing w:val="-6"/>
          <w:sz w:val="19"/>
          <w:szCs w:val="19"/>
        </w:rPr>
        <w:t>The</w:t>
      </w:r>
      <w:r>
        <w:rPr>
          <w:rFonts w:ascii="Arial" w:hAnsi="Arial" w:eastAsia="Arial" w:cs="Arial"/>
          <w:spacing w:val="31"/>
          <w:sz w:val="19"/>
          <w:szCs w:val="19"/>
        </w:rPr>
        <w:t xml:space="preserve"> </w:t>
      </w:r>
      <w:r>
        <w:rPr>
          <w:rFonts w:ascii="Arial" w:hAnsi="Arial" w:eastAsia="Arial" w:cs="Arial"/>
          <w:spacing w:val="-6"/>
          <w:sz w:val="19"/>
          <w:szCs w:val="19"/>
        </w:rPr>
        <w:t>QCI</w:t>
      </w:r>
      <w:r>
        <w:rPr>
          <w:rFonts w:ascii="Arial" w:hAnsi="Arial" w:eastAsia="Arial" w:cs="Arial"/>
          <w:spacing w:val="30"/>
          <w:sz w:val="19"/>
          <w:szCs w:val="19"/>
        </w:rPr>
        <w:t xml:space="preserve"> </w:t>
      </w:r>
      <w:r>
        <w:rPr>
          <w:rFonts w:ascii="Arial" w:hAnsi="Arial" w:eastAsia="Arial" w:cs="Arial"/>
          <w:spacing w:val="-6"/>
          <w:sz w:val="19"/>
          <w:szCs w:val="19"/>
        </w:rPr>
        <w:t>ofers</w:t>
      </w:r>
      <w:r>
        <w:rPr>
          <w:rFonts w:ascii="Arial" w:hAnsi="Arial" w:eastAsia="Arial" w:cs="Arial"/>
          <w:spacing w:val="27"/>
          <w:sz w:val="19"/>
          <w:szCs w:val="19"/>
        </w:rPr>
        <w:t xml:space="preserve"> </w:t>
      </w:r>
      <w:r>
        <w:rPr>
          <w:rFonts w:ascii="Arial" w:hAnsi="Arial" w:eastAsia="Arial" w:cs="Arial"/>
          <w:spacing w:val="-6"/>
          <w:sz w:val="19"/>
          <w:szCs w:val="19"/>
        </w:rPr>
        <w:t>the</w:t>
      </w:r>
      <w:r>
        <w:rPr>
          <w:rFonts w:ascii="Arial" w:hAnsi="Arial" w:eastAsia="Arial" w:cs="Arial"/>
          <w:spacing w:val="31"/>
          <w:sz w:val="19"/>
          <w:szCs w:val="19"/>
        </w:rPr>
        <w:t xml:space="preserve"> </w:t>
      </w:r>
      <w:r>
        <w:rPr>
          <w:rFonts w:ascii="Arial" w:hAnsi="Arial" w:eastAsia="Arial" w:cs="Arial"/>
          <w:spacing w:val="-6"/>
          <w:sz w:val="19"/>
          <w:szCs w:val="19"/>
        </w:rPr>
        <w:t>opportunity</w:t>
      </w:r>
      <w:r>
        <w:rPr>
          <w:rFonts w:ascii="Arial" w:hAnsi="Arial" w:eastAsia="Arial" w:cs="Arial"/>
          <w:spacing w:val="27"/>
          <w:w w:val="101"/>
          <w:sz w:val="19"/>
          <w:szCs w:val="19"/>
        </w:rPr>
        <w:t xml:space="preserve"> </w:t>
      </w:r>
      <w:r>
        <w:rPr>
          <w:rFonts w:ascii="Arial" w:hAnsi="Arial" w:eastAsia="Arial" w:cs="Arial"/>
          <w:spacing w:val="-6"/>
          <w:sz w:val="19"/>
          <w:szCs w:val="19"/>
        </w:rPr>
        <w:t>to</w:t>
      </w:r>
      <w:r>
        <w:rPr>
          <w:rFonts w:ascii="Arial" w:hAnsi="Arial" w:eastAsia="Arial" w:cs="Arial"/>
          <w:spacing w:val="35"/>
          <w:sz w:val="19"/>
          <w:szCs w:val="19"/>
        </w:rPr>
        <w:t xml:space="preserve"> </w:t>
      </w:r>
      <w:r>
        <w:rPr>
          <w:rFonts w:ascii="Arial" w:hAnsi="Arial" w:eastAsia="Arial" w:cs="Arial"/>
          <w:spacing w:val="-6"/>
          <w:sz w:val="19"/>
          <w:szCs w:val="19"/>
        </w:rPr>
        <w:t>investigate</w:t>
      </w:r>
      <w:r>
        <w:rPr>
          <w:rFonts w:ascii="Arial" w:hAnsi="Arial" w:eastAsia="Arial" w:cs="Arial"/>
          <w:spacing w:val="37"/>
          <w:w w:val="101"/>
          <w:sz w:val="19"/>
          <w:szCs w:val="19"/>
        </w:rPr>
        <w:t xml:space="preserve"> </w:t>
      </w:r>
      <w:r>
        <w:rPr>
          <w:rFonts w:ascii="Arial" w:hAnsi="Arial" w:eastAsia="Arial" w:cs="Arial"/>
          <w:spacing w:val="-6"/>
          <w:sz w:val="19"/>
          <w:szCs w:val="19"/>
        </w:rPr>
        <w:t>potential</w:t>
      </w:r>
      <w:r>
        <w:rPr>
          <w:rFonts w:ascii="Arial" w:hAnsi="Arial" w:eastAsia="Arial" w:cs="Arial"/>
          <w:spacing w:val="31"/>
          <w:sz w:val="19"/>
          <w:szCs w:val="19"/>
        </w:rPr>
        <w:t xml:space="preserve"> </w:t>
      </w:r>
      <w:r>
        <w:rPr>
          <w:rFonts w:ascii="Arial" w:hAnsi="Arial" w:eastAsia="Arial" w:cs="Arial"/>
          <w:spacing w:val="-6"/>
          <w:sz w:val="19"/>
          <w:szCs w:val="19"/>
        </w:rPr>
        <w:t>diferences</w:t>
      </w:r>
      <w:r>
        <w:rPr>
          <w:rFonts w:ascii="Arial" w:hAnsi="Arial" w:eastAsia="Arial" w:cs="Arial"/>
          <w:sz w:val="19"/>
          <w:szCs w:val="19"/>
        </w:rPr>
        <w:t xml:space="preserve"> </w:t>
      </w:r>
      <w:r>
        <w:rPr>
          <w:rFonts w:ascii="Arial" w:hAnsi="Arial" w:eastAsia="Arial" w:cs="Arial"/>
          <w:spacing w:val="-5"/>
          <w:sz w:val="19"/>
          <w:szCs w:val="19"/>
        </w:rPr>
        <w:t>betwee</w:t>
      </w:r>
      <w:r>
        <w:rPr>
          <w:rFonts w:ascii="Arial" w:hAnsi="Arial" w:eastAsia="Arial" w:cs="Arial"/>
          <w:spacing w:val="-4"/>
          <w:sz w:val="19"/>
          <w:szCs w:val="19"/>
        </w:rPr>
        <w:t>n</w:t>
      </w:r>
      <w:r>
        <w:rPr>
          <w:rFonts w:ascii="Arial" w:hAnsi="Arial" w:eastAsia="Arial" w:cs="Arial"/>
          <w:spacing w:val="47"/>
          <w:w w:val="101"/>
          <w:sz w:val="19"/>
          <w:szCs w:val="19"/>
        </w:rPr>
        <w:t xml:space="preserve"> </w:t>
      </w:r>
      <w:r>
        <w:rPr>
          <w:rFonts w:ascii="Arial" w:hAnsi="Arial" w:eastAsia="Arial" w:cs="Arial"/>
          <w:spacing w:val="-4"/>
          <w:sz w:val="19"/>
          <w:szCs w:val="19"/>
        </w:rPr>
        <w:t>horizontal</w:t>
      </w:r>
      <w:r>
        <w:rPr>
          <w:rFonts w:ascii="Arial" w:hAnsi="Arial" w:eastAsia="Arial" w:cs="Arial"/>
          <w:spacing w:val="40"/>
          <w:sz w:val="19"/>
          <w:szCs w:val="19"/>
        </w:rPr>
        <w:t xml:space="preserve"> </w:t>
      </w:r>
      <w:r>
        <w:rPr>
          <w:rFonts w:ascii="Arial" w:hAnsi="Arial" w:eastAsia="Arial" w:cs="Arial"/>
          <w:spacing w:val="-4"/>
          <w:sz w:val="19"/>
          <w:szCs w:val="19"/>
        </w:rPr>
        <w:t>and</w:t>
      </w:r>
      <w:r>
        <w:rPr>
          <w:rFonts w:ascii="Arial" w:hAnsi="Arial" w:eastAsia="Arial" w:cs="Arial"/>
          <w:spacing w:val="35"/>
          <w:sz w:val="19"/>
          <w:szCs w:val="19"/>
        </w:rPr>
        <w:t xml:space="preserve"> </w:t>
      </w:r>
      <w:r>
        <w:rPr>
          <w:rFonts w:ascii="Arial" w:hAnsi="Arial" w:eastAsia="Arial" w:cs="Arial"/>
          <w:spacing w:val="-4"/>
          <w:sz w:val="19"/>
          <w:szCs w:val="19"/>
        </w:rPr>
        <w:t>vertical</w:t>
      </w:r>
      <w:r>
        <w:rPr>
          <w:rFonts w:ascii="Arial" w:hAnsi="Arial" w:eastAsia="Arial" w:cs="Arial"/>
          <w:spacing w:val="38"/>
          <w:w w:val="101"/>
          <w:sz w:val="19"/>
          <w:szCs w:val="19"/>
        </w:rPr>
        <w:t xml:space="preserve"> </w:t>
      </w:r>
      <w:r>
        <w:rPr>
          <w:rFonts w:ascii="Arial" w:hAnsi="Arial" w:eastAsia="Arial" w:cs="Arial"/>
          <w:spacing w:val="-4"/>
          <w:sz w:val="19"/>
          <w:szCs w:val="19"/>
        </w:rPr>
        <w:t>communication</w:t>
      </w:r>
      <w:r>
        <w:rPr>
          <w:rFonts w:ascii="Arial" w:hAnsi="Arial" w:eastAsia="Arial" w:cs="Arial"/>
          <w:spacing w:val="47"/>
          <w:sz w:val="19"/>
          <w:szCs w:val="19"/>
        </w:rPr>
        <w:t xml:space="preserve"> </w:t>
      </w:r>
      <w:r>
        <w:rPr>
          <w:rFonts w:ascii="Arial" w:hAnsi="Arial" w:eastAsia="Arial" w:cs="Arial"/>
          <w:spacing w:val="-4"/>
          <w:sz w:val="19"/>
          <w:szCs w:val="19"/>
        </w:rPr>
        <w:t>paths,</w:t>
      </w:r>
      <w:r>
        <w:rPr>
          <w:rFonts w:ascii="Arial" w:hAnsi="Arial" w:eastAsia="Arial" w:cs="Arial"/>
          <w:spacing w:val="37"/>
          <w:sz w:val="19"/>
          <w:szCs w:val="19"/>
        </w:rPr>
        <w:t xml:space="preserve"> </w:t>
      </w:r>
      <w:r>
        <w:rPr>
          <w:rFonts w:ascii="Arial" w:hAnsi="Arial" w:eastAsia="Arial" w:cs="Arial"/>
          <w:spacing w:val="-4"/>
          <w:sz w:val="19"/>
          <w:szCs w:val="19"/>
        </w:rPr>
        <w:t>which</w:t>
      </w:r>
      <w:r>
        <w:rPr>
          <w:rFonts w:ascii="Arial" w:hAnsi="Arial" w:eastAsia="Arial" w:cs="Arial"/>
          <w:spacing w:val="36"/>
          <w:sz w:val="19"/>
          <w:szCs w:val="19"/>
        </w:rPr>
        <w:t xml:space="preserve"> </w:t>
      </w:r>
      <w:r>
        <w:rPr>
          <w:rFonts w:ascii="Arial" w:hAnsi="Arial" w:eastAsia="Arial" w:cs="Arial"/>
          <w:spacing w:val="-4"/>
          <w:sz w:val="19"/>
          <w:szCs w:val="19"/>
        </w:rPr>
        <w:t>will</w:t>
      </w:r>
      <w:r>
        <w:rPr>
          <w:rFonts w:ascii="Arial" w:hAnsi="Arial" w:eastAsia="Arial" w:cs="Arial"/>
          <w:spacing w:val="45"/>
          <w:w w:val="101"/>
          <w:sz w:val="19"/>
          <w:szCs w:val="19"/>
        </w:rPr>
        <w:t xml:space="preserve"> </w:t>
      </w:r>
      <w:r>
        <w:rPr>
          <w:rFonts w:ascii="Arial" w:hAnsi="Arial" w:eastAsia="Arial" w:cs="Arial"/>
          <w:spacing w:val="-5"/>
          <w:sz w:val="19"/>
          <w:szCs w:val="19"/>
        </w:rPr>
        <w:t>be</w:t>
      </w:r>
      <w:r>
        <w:rPr>
          <w:rFonts w:ascii="Arial" w:hAnsi="Arial" w:eastAsia="Arial" w:cs="Arial"/>
          <w:spacing w:val="38"/>
          <w:w w:val="101"/>
          <w:sz w:val="19"/>
          <w:szCs w:val="19"/>
        </w:rPr>
        <w:t xml:space="preserve"> </w:t>
      </w:r>
      <w:r>
        <w:rPr>
          <w:rFonts w:ascii="Arial" w:hAnsi="Arial" w:eastAsia="Arial" w:cs="Arial"/>
          <w:spacing w:val="-5"/>
          <w:sz w:val="19"/>
          <w:szCs w:val="19"/>
        </w:rPr>
        <w:t>an</w:t>
      </w:r>
      <w:r>
        <w:rPr>
          <w:rFonts w:ascii="Arial" w:hAnsi="Arial" w:eastAsia="Arial" w:cs="Arial"/>
          <w:spacing w:val="44"/>
          <w:w w:val="101"/>
          <w:sz w:val="19"/>
          <w:szCs w:val="19"/>
        </w:rPr>
        <w:t xml:space="preserve"> </w:t>
      </w:r>
      <w:r>
        <w:rPr>
          <w:rFonts w:ascii="Arial" w:hAnsi="Arial" w:eastAsia="Arial" w:cs="Arial"/>
          <w:spacing w:val="-5"/>
          <w:sz w:val="19"/>
          <w:szCs w:val="19"/>
        </w:rPr>
        <w:t>interesting</w:t>
      </w:r>
      <w:r>
        <w:rPr>
          <w:rFonts w:ascii="Arial" w:hAnsi="Arial" w:eastAsia="Arial" w:cs="Arial"/>
          <w:spacing w:val="46"/>
          <w:sz w:val="19"/>
          <w:szCs w:val="19"/>
        </w:rPr>
        <w:t xml:space="preserve"> </w:t>
      </w:r>
      <w:r>
        <w:rPr>
          <w:rFonts w:ascii="Arial" w:hAnsi="Arial" w:eastAsia="Arial" w:cs="Arial"/>
          <w:spacing w:val="-5"/>
          <w:sz w:val="19"/>
          <w:szCs w:val="19"/>
        </w:rPr>
        <w:t>part</w:t>
      </w:r>
      <w:r>
        <w:rPr>
          <w:rFonts w:ascii="Arial" w:hAnsi="Arial" w:eastAsia="Arial" w:cs="Arial"/>
          <w:spacing w:val="40"/>
          <w:w w:val="101"/>
          <w:sz w:val="19"/>
          <w:szCs w:val="19"/>
        </w:rPr>
        <w:t xml:space="preserve"> </w:t>
      </w:r>
      <w:r>
        <w:rPr>
          <w:rFonts w:ascii="Arial" w:hAnsi="Arial" w:eastAsia="Arial" w:cs="Arial"/>
          <w:spacing w:val="-5"/>
          <w:sz w:val="19"/>
          <w:szCs w:val="19"/>
        </w:rPr>
        <w:t>of</w:t>
      </w:r>
      <w:r>
        <w:rPr>
          <w:rFonts w:ascii="Arial" w:hAnsi="Arial" w:eastAsia="Arial" w:cs="Arial"/>
          <w:spacing w:val="31"/>
          <w:sz w:val="19"/>
          <w:szCs w:val="19"/>
        </w:rPr>
        <w:t xml:space="preserve"> </w:t>
      </w:r>
      <w:r>
        <w:rPr>
          <w:rFonts w:ascii="Arial" w:hAnsi="Arial" w:eastAsia="Arial" w:cs="Arial"/>
          <w:spacing w:val="-5"/>
          <w:sz w:val="19"/>
          <w:szCs w:val="19"/>
        </w:rPr>
        <w:t>ou</w:t>
      </w:r>
      <w:r>
        <w:rPr>
          <w:rFonts w:ascii="Arial" w:hAnsi="Arial" w:eastAsia="Arial" w:cs="Arial"/>
          <w:spacing w:val="1"/>
          <w:sz w:val="19"/>
          <w:szCs w:val="19"/>
        </w:rPr>
        <w:t>r</w:t>
      </w:r>
      <w:r>
        <w:rPr>
          <w:rFonts w:ascii="Arial" w:hAnsi="Arial" w:eastAsia="Arial" w:cs="Arial"/>
          <w:sz w:val="19"/>
          <w:szCs w:val="19"/>
        </w:rPr>
        <w:t xml:space="preserve"> </w:t>
      </w:r>
      <w:r>
        <w:rPr>
          <w:rFonts w:ascii="Arial" w:hAnsi="Arial" w:eastAsia="Arial" w:cs="Arial"/>
          <w:spacing w:val="-7"/>
          <w:sz w:val="19"/>
          <w:szCs w:val="19"/>
        </w:rPr>
        <w:t>upcoming</w:t>
      </w:r>
      <w:r>
        <w:rPr>
          <w:rFonts w:ascii="Arial" w:hAnsi="Arial" w:eastAsia="Arial" w:cs="Arial"/>
          <w:spacing w:val="18"/>
          <w:sz w:val="19"/>
          <w:szCs w:val="19"/>
        </w:rPr>
        <w:t xml:space="preserve"> </w:t>
      </w:r>
      <w:r>
        <w:rPr>
          <w:rFonts w:ascii="Arial" w:hAnsi="Arial" w:eastAsia="Arial" w:cs="Arial"/>
          <w:spacing w:val="-7"/>
          <w:sz w:val="19"/>
          <w:szCs w:val="19"/>
        </w:rPr>
        <w:t>data</w:t>
      </w:r>
      <w:r>
        <w:rPr>
          <w:rFonts w:ascii="Arial" w:hAnsi="Arial" w:eastAsia="Arial" w:cs="Arial"/>
          <w:spacing w:val="12"/>
          <w:sz w:val="19"/>
          <w:szCs w:val="19"/>
        </w:rPr>
        <w:t xml:space="preserve"> </w:t>
      </w:r>
      <w:r>
        <w:rPr>
          <w:rFonts w:ascii="Arial" w:hAnsi="Arial" w:eastAsia="Arial" w:cs="Arial"/>
          <w:spacing w:val="-7"/>
          <w:sz w:val="19"/>
          <w:szCs w:val="19"/>
        </w:rPr>
        <w:t>analyses.</w:t>
      </w:r>
    </w:p>
    <w:p>
      <w:pPr>
        <w:spacing w:before="54" w:line="258" w:lineRule="auto"/>
        <w:ind w:firstLine="250"/>
        <w:jc w:val="both"/>
        <w:rPr>
          <w:rFonts w:ascii="Arial" w:hAnsi="Arial" w:eastAsia="Arial" w:cs="Arial"/>
          <w:sz w:val="19"/>
          <w:szCs w:val="19"/>
        </w:rPr>
      </w:pPr>
      <w:r>
        <w:rPr>
          <w:rFonts w:ascii="Arial" w:hAnsi="Arial" w:eastAsia="Arial" w:cs="Arial"/>
          <w:spacing w:val="-6"/>
          <w:sz w:val="19"/>
          <w:szCs w:val="19"/>
        </w:rPr>
        <w:t>Fi</w:t>
      </w:r>
      <w:r>
        <w:rPr>
          <w:rFonts w:ascii="Arial" w:hAnsi="Arial" w:eastAsia="Arial" w:cs="Arial"/>
          <w:spacing w:val="-5"/>
          <w:sz w:val="19"/>
          <w:szCs w:val="19"/>
        </w:rPr>
        <w:t>nally</w:t>
      </w:r>
      <w:r>
        <w:rPr>
          <w:rFonts w:ascii="Arial" w:hAnsi="Arial" w:eastAsia="Arial" w:cs="Arial"/>
          <w:spacing w:val="37"/>
          <w:w w:val="101"/>
          <w:sz w:val="19"/>
          <w:szCs w:val="19"/>
        </w:rPr>
        <w:t xml:space="preserve"> </w:t>
      </w:r>
      <w:r>
        <w:rPr>
          <w:rFonts w:ascii="Arial" w:hAnsi="Arial" w:eastAsia="Arial" w:cs="Arial"/>
          <w:spacing w:val="-5"/>
          <w:sz w:val="19"/>
          <w:szCs w:val="19"/>
        </w:rPr>
        <w:t>participation,</w:t>
      </w:r>
      <w:r>
        <w:rPr>
          <w:rFonts w:ascii="Arial" w:hAnsi="Arial" w:eastAsia="Arial" w:cs="Arial"/>
          <w:spacing w:val="16"/>
          <w:sz w:val="19"/>
          <w:szCs w:val="19"/>
        </w:rPr>
        <w:t xml:space="preserve"> </w:t>
      </w:r>
      <w:r>
        <w:rPr>
          <w:rFonts w:ascii="Arial" w:hAnsi="Arial" w:eastAsia="Arial" w:cs="Arial"/>
          <w:spacing w:val="-5"/>
          <w:sz w:val="19"/>
          <w:szCs w:val="19"/>
        </w:rPr>
        <w:t>commitment,</w:t>
      </w:r>
      <w:r>
        <w:rPr>
          <w:rFonts w:ascii="Arial" w:hAnsi="Arial" w:eastAsia="Arial" w:cs="Arial"/>
          <w:spacing w:val="16"/>
          <w:w w:val="101"/>
          <w:sz w:val="19"/>
          <w:szCs w:val="19"/>
        </w:rPr>
        <w:t xml:space="preserve"> </w:t>
      </w:r>
      <w:r>
        <w:rPr>
          <w:rFonts w:ascii="Arial" w:hAnsi="Arial" w:eastAsia="Arial" w:cs="Arial"/>
          <w:spacing w:val="-5"/>
          <w:sz w:val="19"/>
          <w:szCs w:val="19"/>
        </w:rPr>
        <w:t>and</w:t>
      </w:r>
      <w:r>
        <w:rPr>
          <w:rFonts w:ascii="Arial" w:hAnsi="Arial" w:eastAsia="Arial" w:cs="Arial"/>
          <w:spacing w:val="15"/>
          <w:w w:val="101"/>
          <w:sz w:val="19"/>
          <w:szCs w:val="19"/>
        </w:rPr>
        <w:t xml:space="preserve"> </w:t>
      </w:r>
      <w:r>
        <w:rPr>
          <w:rFonts w:ascii="Arial" w:hAnsi="Arial" w:eastAsia="Arial" w:cs="Arial"/>
          <w:spacing w:val="-5"/>
          <w:sz w:val="19"/>
          <w:szCs w:val="19"/>
        </w:rPr>
        <w:t>engagement</w:t>
      </w:r>
      <w:r>
        <w:rPr>
          <w:rFonts w:ascii="Arial" w:hAnsi="Arial" w:eastAsia="Arial" w:cs="Arial"/>
          <w:spacing w:val="12"/>
          <w:sz w:val="19"/>
          <w:szCs w:val="19"/>
        </w:rPr>
        <w:t xml:space="preserve"> </w:t>
      </w:r>
      <w:r>
        <w:rPr>
          <w:rFonts w:ascii="Arial" w:hAnsi="Arial" w:eastAsia="Arial" w:cs="Arial"/>
          <w:spacing w:val="-5"/>
          <w:sz w:val="19"/>
          <w:szCs w:val="19"/>
        </w:rPr>
        <w:t>were</w:t>
      </w:r>
      <w:r>
        <w:rPr>
          <w:rFonts w:ascii="Arial" w:hAnsi="Arial" w:eastAsia="Arial" w:cs="Arial"/>
          <w:spacing w:val="22"/>
          <w:w w:val="101"/>
          <w:sz w:val="19"/>
          <w:szCs w:val="19"/>
        </w:rPr>
        <w:t xml:space="preserve"> </w:t>
      </w:r>
      <w:r>
        <w:rPr>
          <w:rFonts w:ascii="Arial" w:hAnsi="Arial" w:eastAsia="Arial" w:cs="Arial"/>
          <w:spacing w:val="-5"/>
          <w:sz w:val="19"/>
          <w:szCs w:val="19"/>
        </w:rPr>
        <w:t>positively</w:t>
      </w:r>
      <w:r>
        <w:rPr>
          <w:rFonts w:ascii="Arial" w:hAnsi="Arial" w:eastAsia="Arial" w:cs="Arial"/>
          <w:spacing w:val="22"/>
          <w:w w:val="101"/>
          <w:sz w:val="19"/>
          <w:szCs w:val="19"/>
        </w:rPr>
        <w:t xml:space="preserve"> </w:t>
      </w:r>
      <w:r>
        <w:rPr>
          <w:rFonts w:ascii="Arial" w:hAnsi="Arial" w:eastAsia="Arial" w:cs="Arial"/>
          <w:spacing w:val="-5"/>
          <w:sz w:val="19"/>
          <w:szCs w:val="19"/>
        </w:rPr>
        <w:t>related</w:t>
      </w:r>
      <w:r>
        <w:rPr>
          <w:rFonts w:ascii="Arial" w:hAnsi="Arial" w:eastAsia="Arial" w:cs="Arial"/>
          <w:spacing w:val="12"/>
          <w:sz w:val="19"/>
          <w:szCs w:val="19"/>
        </w:rPr>
        <w:t xml:space="preserve"> </w:t>
      </w:r>
      <w:r>
        <w:rPr>
          <w:rFonts w:ascii="Arial" w:hAnsi="Arial" w:eastAsia="Arial" w:cs="Arial"/>
          <w:spacing w:val="-5"/>
          <w:sz w:val="19"/>
          <w:szCs w:val="19"/>
        </w:rPr>
        <w:t>to</w:t>
      </w:r>
      <w:r>
        <w:rPr>
          <w:rFonts w:ascii="Arial" w:hAnsi="Arial" w:eastAsia="Arial" w:cs="Arial"/>
          <w:spacing w:val="24"/>
          <w:sz w:val="19"/>
          <w:szCs w:val="19"/>
        </w:rPr>
        <w:t xml:space="preserve"> </w:t>
      </w:r>
      <w:r>
        <w:rPr>
          <w:rFonts w:ascii="Arial" w:hAnsi="Arial" w:eastAsia="Arial" w:cs="Arial"/>
          <w:spacing w:val="-5"/>
          <w:sz w:val="19"/>
          <w:szCs w:val="19"/>
        </w:rPr>
        <w:t>HEI</w:t>
      </w:r>
      <w:r>
        <w:rPr>
          <w:rFonts w:ascii="Arial" w:hAnsi="Arial" w:eastAsia="Arial" w:cs="Arial"/>
          <w:spacing w:val="16"/>
          <w:w w:val="101"/>
          <w:sz w:val="19"/>
          <w:szCs w:val="19"/>
        </w:rPr>
        <w:t xml:space="preserve"> </w:t>
      </w:r>
      <w:r>
        <w:rPr>
          <w:rFonts w:ascii="Arial" w:hAnsi="Arial" w:eastAsia="Arial" w:cs="Arial"/>
          <w:spacing w:val="-5"/>
          <w:sz w:val="19"/>
          <w:szCs w:val="19"/>
        </w:rPr>
        <w:t>commitmen</w:t>
      </w:r>
      <w:r>
        <w:rPr>
          <w:rFonts w:ascii="Arial" w:hAnsi="Arial" w:eastAsia="Arial" w:cs="Arial"/>
          <w:spacing w:val="-3"/>
          <w:sz w:val="19"/>
          <w:szCs w:val="19"/>
        </w:rPr>
        <w:t>t</w:t>
      </w:r>
      <w:r>
        <w:rPr>
          <w:rFonts w:ascii="Arial" w:hAnsi="Arial" w:eastAsia="Arial" w:cs="Arial"/>
          <w:sz w:val="19"/>
          <w:szCs w:val="19"/>
        </w:rPr>
        <w:t xml:space="preserve"> </w:t>
      </w:r>
      <w:r>
        <w:rPr>
          <w:rFonts w:ascii="Arial" w:hAnsi="Arial" w:eastAsia="Arial" w:cs="Arial"/>
          <w:spacing w:val="-5"/>
          <w:sz w:val="19"/>
          <w:szCs w:val="19"/>
        </w:rPr>
        <w:t>and</w:t>
      </w:r>
      <w:r>
        <w:rPr>
          <w:rFonts w:ascii="Arial" w:hAnsi="Arial" w:eastAsia="Arial" w:cs="Arial"/>
          <w:spacing w:val="23"/>
          <w:w w:val="101"/>
          <w:sz w:val="19"/>
          <w:szCs w:val="19"/>
        </w:rPr>
        <w:t xml:space="preserve"> </w:t>
      </w:r>
      <w:r>
        <w:rPr>
          <w:rFonts w:ascii="Arial" w:hAnsi="Arial" w:eastAsia="Arial" w:cs="Arial"/>
          <w:spacing w:val="-5"/>
          <w:sz w:val="19"/>
          <w:szCs w:val="19"/>
        </w:rPr>
        <w:t>several</w:t>
      </w:r>
      <w:r>
        <w:rPr>
          <w:rFonts w:ascii="Arial" w:hAnsi="Arial" w:eastAsia="Arial" w:cs="Arial"/>
          <w:spacing w:val="23"/>
          <w:sz w:val="19"/>
          <w:szCs w:val="19"/>
        </w:rPr>
        <w:t xml:space="preserve"> </w:t>
      </w:r>
      <w:r>
        <w:rPr>
          <w:rFonts w:ascii="Arial" w:hAnsi="Arial" w:eastAsia="Arial" w:cs="Arial"/>
          <w:spacing w:val="-5"/>
          <w:sz w:val="19"/>
          <w:szCs w:val="19"/>
        </w:rPr>
        <w:t>additional</w:t>
      </w:r>
      <w:r>
        <w:rPr>
          <w:rFonts w:ascii="Arial" w:hAnsi="Arial" w:eastAsia="Arial" w:cs="Arial"/>
          <w:spacing w:val="23"/>
          <w:w w:val="101"/>
          <w:sz w:val="19"/>
          <w:szCs w:val="19"/>
        </w:rPr>
        <w:t xml:space="preserve"> </w:t>
      </w:r>
      <w:r>
        <w:rPr>
          <w:rFonts w:ascii="Arial" w:hAnsi="Arial" w:eastAsia="Arial" w:cs="Arial"/>
          <w:spacing w:val="-5"/>
          <w:sz w:val="19"/>
          <w:szCs w:val="19"/>
        </w:rPr>
        <w:t>outcome</w:t>
      </w:r>
      <w:r>
        <w:rPr>
          <w:rFonts w:ascii="Arial" w:hAnsi="Arial" w:eastAsia="Arial" w:cs="Arial"/>
          <w:spacing w:val="21"/>
          <w:sz w:val="19"/>
          <w:szCs w:val="19"/>
        </w:rPr>
        <w:t xml:space="preserve"> </w:t>
      </w:r>
      <w:r>
        <w:rPr>
          <w:rFonts w:ascii="Arial" w:hAnsi="Arial" w:eastAsia="Arial" w:cs="Arial"/>
          <w:spacing w:val="-5"/>
          <w:sz w:val="19"/>
          <w:szCs w:val="19"/>
        </w:rPr>
        <w:t>variables.</w:t>
      </w:r>
      <w:r>
        <w:rPr>
          <w:rFonts w:ascii="Arial" w:hAnsi="Arial" w:eastAsia="Arial" w:cs="Arial"/>
          <w:spacing w:val="31"/>
          <w:w w:val="101"/>
          <w:sz w:val="19"/>
          <w:szCs w:val="19"/>
        </w:rPr>
        <w:t xml:space="preserve"> </w:t>
      </w:r>
      <w:r>
        <w:rPr>
          <w:rFonts w:ascii="Arial" w:hAnsi="Arial" w:eastAsia="Arial" w:cs="Arial"/>
          <w:spacing w:val="-5"/>
          <w:sz w:val="19"/>
          <w:szCs w:val="19"/>
        </w:rPr>
        <w:t>Previous</w:t>
      </w:r>
      <w:r>
        <w:rPr>
          <w:rFonts w:ascii="Arial" w:hAnsi="Arial" w:eastAsia="Arial" w:cs="Arial"/>
          <w:spacing w:val="31"/>
          <w:sz w:val="19"/>
          <w:szCs w:val="19"/>
        </w:rPr>
        <w:t xml:space="preserve"> </w:t>
      </w:r>
      <w:r>
        <w:rPr>
          <w:rFonts w:ascii="Arial" w:hAnsi="Arial" w:eastAsia="Arial" w:cs="Arial"/>
          <w:spacing w:val="-5"/>
          <w:sz w:val="19"/>
          <w:szCs w:val="19"/>
        </w:rPr>
        <w:t>pu</w:t>
      </w:r>
      <w:r>
        <w:rPr>
          <w:rFonts w:ascii="Arial" w:hAnsi="Arial" w:eastAsia="Arial" w:cs="Arial"/>
          <w:spacing w:val="-6"/>
          <w:sz w:val="19"/>
          <w:szCs w:val="19"/>
        </w:rPr>
        <w:t>blications</w:t>
      </w:r>
      <w:r>
        <w:rPr>
          <w:rFonts w:ascii="Arial" w:hAnsi="Arial" w:eastAsia="Arial" w:cs="Arial"/>
          <w:spacing w:val="24"/>
          <w:sz w:val="19"/>
          <w:szCs w:val="19"/>
        </w:rPr>
        <w:t xml:space="preserve"> </w:t>
      </w:r>
      <w:r>
        <w:rPr>
          <w:rFonts w:ascii="Arial" w:hAnsi="Arial" w:eastAsia="Arial" w:cs="Arial"/>
          <w:spacing w:val="-6"/>
          <w:sz w:val="19"/>
          <w:szCs w:val="19"/>
        </w:rPr>
        <w:t>state</w:t>
      </w:r>
      <w:r>
        <w:rPr>
          <w:rFonts w:ascii="Arial" w:hAnsi="Arial" w:eastAsia="Arial" w:cs="Arial"/>
          <w:spacing w:val="20"/>
          <w:sz w:val="19"/>
          <w:szCs w:val="19"/>
        </w:rPr>
        <w:t xml:space="preserve"> </w:t>
      </w:r>
      <w:r>
        <w:rPr>
          <w:rFonts w:ascii="Arial" w:hAnsi="Arial" w:eastAsia="Arial" w:cs="Arial"/>
          <w:spacing w:val="-6"/>
          <w:sz w:val="19"/>
          <w:szCs w:val="19"/>
        </w:rPr>
        <w:t>that</w:t>
      </w:r>
      <w:r>
        <w:rPr>
          <w:rFonts w:ascii="Arial" w:hAnsi="Arial" w:eastAsia="Arial" w:cs="Arial"/>
          <w:spacing w:val="24"/>
          <w:sz w:val="19"/>
          <w:szCs w:val="19"/>
        </w:rPr>
        <w:t xml:space="preserve"> </w:t>
      </w:r>
      <w:r>
        <w:rPr>
          <w:rFonts w:ascii="Arial" w:hAnsi="Arial" w:eastAsia="Arial" w:cs="Arial"/>
          <w:spacing w:val="-6"/>
          <w:sz w:val="19"/>
          <w:szCs w:val="19"/>
        </w:rPr>
        <w:t>quality</w:t>
      </w:r>
      <w:r>
        <w:rPr>
          <w:rFonts w:ascii="Arial" w:hAnsi="Arial" w:eastAsia="Arial" w:cs="Arial"/>
          <w:spacing w:val="24"/>
          <w:sz w:val="19"/>
          <w:szCs w:val="19"/>
        </w:rPr>
        <w:t xml:space="preserve"> </w:t>
      </w:r>
      <w:r>
        <w:rPr>
          <w:rFonts w:ascii="Arial" w:hAnsi="Arial" w:eastAsia="Arial" w:cs="Arial"/>
          <w:spacing w:val="-6"/>
          <w:sz w:val="19"/>
          <w:szCs w:val="19"/>
        </w:rPr>
        <w:t>culture</w:t>
      </w:r>
      <w:r>
        <w:rPr>
          <w:rFonts w:ascii="Arial" w:hAnsi="Arial" w:eastAsia="Arial" w:cs="Arial"/>
          <w:spacing w:val="31"/>
          <w:w w:val="101"/>
          <w:sz w:val="19"/>
          <w:szCs w:val="19"/>
        </w:rPr>
        <w:t xml:space="preserve"> </w:t>
      </w:r>
      <w:r>
        <w:rPr>
          <w:rFonts w:ascii="Arial" w:hAnsi="Arial" w:eastAsia="Arial" w:cs="Arial"/>
          <w:spacing w:val="-6"/>
          <w:sz w:val="19"/>
          <w:szCs w:val="19"/>
        </w:rPr>
        <w:t>requires</w:t>
      </w:r>
      <w:r>
        <w:rPr>
          <w:rFonts w:ascii="Arial" w:hAnsi="Arial" w:eastAsia="Arial" w:cs="Arial"/>
          <w:sz w:val="19"/>
          <w:szCs w:val="19"/>
        </w:rPr>
        <w:t xml:space="preserve"> </w:t>
      </w:r>
      <w:r>
        <w:rPr>
          <w:rFonts w:ascii="Arial" w:hAnsi="Arial" w:eastAsia="Arial" w:cs="Arial"/>
          <w:spacing w:val="-6"/>
          <w:sz w:val="19"/>
          <w:szCs w:val="19"/>
        </w:rPr>
        <w:t>a</w:t>
      </w:r>
      <w:r>
        <w:rPr>
          <w:rFonts w:ascii="Arial" w:hAnsi="Arial" w:eastAsia="Arial" w:cs="Arial"/>
          <w:spacing w:val="35"/>
          <w:sz w:val="19"/>
          <w:szCs w:val="19"/>
        </w:rPr>
        <w:t xml:space="preserve"> </w:t>
      </w:r>
      <w:r>
        <w:rPr>
          <w:rFonts w:ascii="Arial" w:hAnsi="Arial" w:eastAsia="Arial" w:cs="Arial"/>
          <w:spacing w:val="-6"/>
          <w:sz w:val="19"/>
          <w:szCs w:val="19"/>
        </w:rPr>
        <w:t>high</w:t>
      </w:r>
      <w:r>
        <w:rPr>
          <w:rFonts w:ascii="Arial" w:hAnsi="Arial" w:eastAsia="Arial" w:cs="Arial"/>
          <w:spacing w:val="36"/>
          <w:sz w:val="19"/>
          <w:szCs w:val="19"/>
        </w:rPr>
        <w:t xml:space="preserve"> </w:t>
      </w:r>
      <w:r>
        <w:rPr>
          <w:rFonts w:ascii="Arial" w:hAnsi="Arial" w:eastAsia="Arial" w:cs="Arial"/>
          <w:spacing w:val="-6"/>
          <w:sz w:val="19"/>
          <w:szCs w:val="19"/>
        </w:rPr>
        <w:t>level</w:t>
      </w:r>
      <w:r>
        <w:rPr>
          <w:rFonts w:ascii="Arial" w:hAnsi="Arial" w:eastAsia="Arial" w:cs="Arial"/>
          <w:spacing w:val="29"/>
          <w:sz w:val="19"/>
          <w:szCs w:val="19"/>
        </w:rPr>
        <w:t xml:space="preserve"> </w:t>
      </w:r>
      <w:r>
        <w:rPr>
          <w:rFonts w:ascii="Arial" w:hAnsi="Arial" w:eastAsia="Arial" w:cs="Arial"/>
          <w:spacing w:val="-6"/>
          <w:sz w:val="19"/>
          <w:szCs w:val="19"/>
        </w:rPr>
        <w:t>of</w:t>
      </w:r>
      <w:r>
        <w:rPr>
          <w:rFonts w:ascii="Arial" w:hAnsi="Arial" w:eastAsia="Arial" w:cs="Arial"/>
          <w:spacing w:val="21"/>
          <w:sz w:val="19"/>
          <w:szCs w:val="19"/>
        </w:rPr>
        <w:t xml:space="preserve"> </w:t>
      </w:r>
      <w:r>
        <w:rPr>
          <w:rFonts w:ascii="Arial" w:hAnsi="Arial" w:eastAsia="Arial" w:cs="Arial"/>
          <w:spacing w:val="-6"/>
          <w:sz w:val="19"/>
          <w:szCs w:val="19"/>
        </w:rPr>
        <w:t>commitment,</w:t>
      </w:r>
      <w:r>
        <w:rPr>
          <w:rFonts w:ascii="Arial" w:hAnsi="Arial" w:eastAsia="Arial" w:cs="Arial"/>
          <w:spacing w:val="29"/>
          <w:w w:val="101"/>
          <w:sz w:val="19"/>
          <w:szCs w:val="19"/>
        </w:rPr>
        <w:t xml:space="preserve"> </w:t>
      </w:r>
      <w:r>
        <w:rPr>
          <w:rFonts w:ascii="Arial" w:hAnsi="Arial" w:eastAsia="Arial" w:cs="Arial"/>
          <w:spacing w:val="-6"/>
          <w:sz w:val="19"/>
          <w:szCs w:val="19"/>
        </w:rPr>
        <w:t>engagement,</w:t>
      </w:r>
      <w:r>
        <w:rPr>
          <w:rFonts w:ascii="Arial" w:hAnsi="Arial" w:eastAsia="Arial" w:cs="Arial"/>
          <w:spacing w:val="28"/>
          <w:sz w:val="19"/>
          <w:szCs w:val="19"/>
        </w:rPr>
        <w:t xml:space="preserve"> </w:t>
      </w:r>
      <w:r>
        <w:rPr>
          <w:rFonts w:ascii="Arial" w:hAnsi="Arial" w:eastAsia="Arial" w:cs="Arial"/>
          <w:spacing w:val="-6"/>
          <w:sz w:val="19"/>
          <w:szCs w:val="19"/>
        </w:rPr>
        <w:t>and</w:t>
      </w:r>
      <w:r>
        <w:rPr>
          <w:rFonts w:ascii="Arial" w:hAnsi="Arial" w:eastAsia="Arial" w:cs="Arial"/>
          <w:spacing w:val="35"/>
          <w:w w:val="101"/>
          <w:sz w:val="19"/>
          <w:szCs w:val="19"/>
        </w:rPr>
        <w:t xml:space="preserve"> </w:t>
      </w:r>
      <w:r>
        <w:rPr>
          <w:rFonts w:ascii="Arial" w:hAnsi="Arial" w:eastAsia="Arial" w:cs="Arial"/>
          <w:spacing w:val="-6"/>
          <w:sz w:val="19"/>
          <w:szCs w:val="19"/>
        </w:rPr>
        <w:t>participation</w:t>
      </w:r>
      <w:r>
        <w:rPr>
          <w:rFonts w:ascii="Arial" w:hAnsi="Arial" w:eastAsia="Arial" w:cs="Arial"/>
          <w:spacing w:val="28"/>
          <w:w w:val="101"/>
          <w:sz w:val="19"/>
          <w:szCs w:val="19"/>
        </w:rPr>
        <w:t xml:space="preserve"> </w:t>
      </w:r>
      <w:r>
        <w:rPr>
          <w:rFonts w:ascii="Arial" w:hAnsi="Arial" w:eastAsia="Arial" w:cs="Arial"/>
          <w:spacing w:val="-6"/>
          <w:sz w:val="19"/>
          <w:szCs w:val="19"/>
        </w:rPr>
        <w:t>of</w:t>
      </w:r>
      <w:r>
        <w:rPr>
          <w:rFonts w:ascii="Arial" w:hAnsi="Arial" w:eastAsia="Arial" w:cs="Arial"/>
          <w:spacing w:val="20"/>
          <w:w w:val="101"/>
          <w:sz w:val="19"/>
          <w:szCs w:val="19"/>
        </w:rPr>
        <w:t xml:space="preserve"> </w:t>
      </w:r>
      <w:r>
        <w:rPr>
          <w:rFonts w:ascii="Arial" w:hAnsi="Arial" w:eastAsia="Arial" w:cs="Arial"/>
          <w:spacing w:val="-6"/>
          <w:sz w:val="19"/>
          <w:szCs w:val="19"/>
        </w:rPr>
        <w:t>all</w:t>
      </w:r>
      <w:r>
        <w:rPr>
          <w:rFonts w:ascii="Arial" w:hAnsi="Arial" w:eastAsia="Arial" w:cs="Arial"/>
          <w:spacing w:val="29"/>
          <w:w w:val="101"/>
          <w:sz w:val="19"/>
          <w:szCs w:val="19"/>
        </w:rPr>
        <w:t xml:space="preserve"> </w:t>
      </w:r>
      <w:r>
        <w:rPr>
          <w:rFonts w:ascii="Arial" w:hAnsi="Arial" w:eastAsia="Arial" w:cs="Arial"/>
          <w:spacing w:val="-6"/>
          <w:sz w:val="19"/>
          <w:szCs w:val="19"/>
        </w:rPr>
        <w:t>stakehol</w:t>
      </w:r>
      <w:r>
        <w:rPr>
          <w:rFonts w:ascii="Arial" w:hAnsi="Arial" w:eastAsia="Arial" w:cs="Arial"/>
          <w:spacing w:val="-7"/>
          <w:sz w:val="19"/>
          <w:szCs w:val="19"/>
        </w:rPr>
        <w:t>ders</w:t>
      </w:r>
      <w:r>
        <w:rPr>
          <w:rFonts w:ascii="Arial" w:hAnsi="Arial" w:eastAsia="Arial" w:cs="Arial"/>
          <w:spacing w:val="34"/>
          <w:sz w:val="19"/>
          <w:szCs w:val="19"/>
        </w:rPr>
        <w:t xml:space="preserve"> </w:t>
      </w:r>
      <w:r>
        <w:rPr>
          <w:rFonts w:ascii="Arial" w:hAnsi="Arial" w:eastAsia="Arial" w:cs="Arial"/>
          <w:spacing w:val="-7"/>
          <w:sz w:val="19"/>
          <w:szCs w:val="19"/>
        </w:rPr>
        <w:t>(EUA</w:t>
      </w:r>
      <w:r>
        <w:rPr>
          <w:rFonts w:ascii="Arial" w:hAnsi="Arial" w:eastAsia="Arial" w:cs="Arial"/>
          <w:spacing w:val="21"/>
          <w:w w:val="101"/>
          <w:sz w:val="19"/>
          <w:szCs w:val="19"/>
        </w:rPr>
        <w:t xml:space="preserve"> </w:t>
      </w:r>
      <w:r>
        <w:fldChar w:fldCharType="begin"/>
      </w:r>
      <w:r>
        <w:instrText xml:space="preserve"> HYPERLINK \l "bookmark111" </w:instrText>
      </w:r>
      <w:r>
        <w:fldChar w:fldCharType="separate"/>
      </w:r>
      <w:r>
        <w:rPr>
          <w:rFonts w:ascii="Arial" w:hAnsi="Arial" w:eastAsia="Arial" w:cs="Arial"/>
          <w:color w:val="000084"/>
          <w:spacing w:val="-7"/>
          <w:sz w:val="19"/>
          <w:szCs w:val="19"/>
        </w:rPr>
        <w:t>2006</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pacing w:val="28"/>
          <w:sz w:val="19"/>
          <w:szCs w:val="19"/>
        </w:rPr>
        <w:t xml:space="preserve"> </w:t>
      </w:r>
      <w:r>
        <w:rPr>
          <w:rFonts w:ascii="Arial" w:hAnsi="Arial" w:eastAsia="Arial" w:cs="Arial"/>
          <w:spacing w:val="-7"/>
          <w:sz w:val="19"/>
          <w:szCs w:val="19"/>
        </w:rPr>
        <w:t>Gvar-</w:t>
      </w:r>
      <w:r>
        <w:rPr>
          <w:rFonts w:ascii="Arial" w:hAnsi="Arial" w:eastAsia="Arial" w:cs="Arial"/>
          <w:sz w:val="19"/>
          <w:szCs w:val="19"/>
        </w:rPr>
        <w:t xml:space="preserve"> </w:t>
      </w:r>
      <w:r>
        <w:rPr>
          <w:rFonts w:ascii="Arial" w:hAnsi="Arial" w:eastAsia="Arial" w:cs="Arial"/>
          <w:spacing w:val="-8"/>
          <w:sz w:val="19"/>
          <w:szCs w:val="19"/>
        </w:rPr>
        <w:t>amadze</w:t>
      </w:r>
      <w:r>
        <w:rPr>
          <w:rFonts w:ascii="Arial" w:hAnsi="Arial" w:eastAsia="Arial" w:cs="Arial"/>
          <w:spacing w:val="25"/>
          <w:sz w:val="19"/>
          <w:szCs w:val="19"/>
        </w:rPr>
        <w:t xml:space="preserve"> </w:t>
      </w:r>
      <w:r>
        <w:fldChar w:fldCharType="begin"/>
      </w:r>
      <w:r>
        <w:instrText xml:space="preserve"> HYPERLINK \l "bookmark112" </w:instrText>
      </w:r>
      <w:r>
        <w:fldChar w:fldCharType="separate"/>
      </w:r>
      <w:r>
        <w:rPr>
          <w:rFonts w:ascii="Arial" w:hAnsi="Arial" w:eastAsia="Arial" w:cs="Arial"/>
          <w:color w:val="000084"/>
          <w:spacing w:val="-8"/>
          <w:sz w:val="19"/>
          <w:szCs w:val="19"/>
        </w:rPr>
        <w:t>2008</w:t>
      </w:r>
      <w:r>
        <w:rPr>
          <w:rFonts w:ascii="Arial" w:hAnsi="Arial" w:eastAsia="Arial" w:cs="Arial"/>
          <w:color w:val="000084"/>
          <w:spacing w:val="-8"/>
          <w:sz w:val="19"/>
          <w:szCs w:val="19"/>
        </w:rPr>
        <w:fldChar w:fldCharType="end"/>
      </w:r>
      <w:r>
        <w:rPr>
          <w:rFonts w:ascii="Arial" w:hAnsi="Arial" w:eastAsia="Arial" w:cs="Arial"/>
          <w:spacing w:val="-8"/>
          <w:sz w:val="19"/>
          <w:szCs w:val="19"/>
        </w:rPr>
        <w:t>).</w:t>
      </w:r>
      <w:r>
        <w:rPr>
          <w:rFonts w:ascii="Arial" w:hAnsi="Arial" w:eastAsia="Arial" w:cs="Arial"/>
          <w:spacing w:val="23"/>
          <w:sz w:val="19"/>
          <w:szCs w:val="19"/>
        </w:rPr>
        <w:t xml:space="preserve"> </w:t>
      </w:r>
      <w:r>
        <w:rPr>
          <w:rFonts w:ascii="Arial" w:hAnsi="Arial" w:eastAsia="Arial" w:cs="Arial"/>
          <w:spacing w:val="-8"/>
          <w:sz w:val="19"/>
          <w:szCs w:val="19"/>
        </w:rPr>
        <w:t>The</w:t>
      </w:r>
      <w:r>
        <w:rPr>
          <w:rFonts w:ascii="Arial" w:hAnsi="Arial" w:eastAsia="Arial" w:cs="Arial"/>
          <w:spacing w:val="32"/>
          <w:sz w:val="19"/>
          <w:szCs w:val="19"/>
        </w:rPr>
        <w:t xml:space="preserve"> </w:t>
      </w:r>
      <w:r>
        <w:rPr>
          <w:rFonts w:ascii="Arial" w:hAnsi="Arial" w:eastAsia="Arial" w:cs="Arial"/>
          <w:spacing w:val="-8"/>
          <w:sz w:val="19"/>
          <w:szCs w:val="19"/>
        </w:rPr>
        <w:t>aim</w:t>
      </w:r>
      <w:r>
        <w:rPr>
          <w:rFonts w:ascii="Arial" w:hAnsi="Arial" w:eastAsia="Arial" w:cs="Arial"/>
          <w:spacing w:val="36"/>
          <w:sz w:val="19"/>
          <w:szCs w:val="19"/>
        </w:rPr>
        <w:t xml:space="preserve"> </w:t>
      </w:r>
      <w:r>
        <w:rPr>
          <w:rFonts w:ascii="Arial" w:hAnsi="Arial" w:eastAsia="Arial" w:cs="Arial"/>
          <w:spacing w:val="-8"/>
          <w:sz w:val="19"/>
          <w:szCs w:val="19"/>
        </w:rPr>
        <w:t>is</w:t>
      </w:r>
      <w:r>
        <w:rPr>
          <w:rFonts w:ascii="Arial" w:hAnsi="Arial" w:eastAsia="Arial" w:cs="Arial"/>
          <w:spacing w:val="27"/>
          <w:sz w:val="19"/>
          <w:szCs w:val="19"/>
        </w:rPr>
        <w:t xml:space="preserve"> </w:t>
      </w:r>
      <w:r>
        <w:rPr>
          <w:rFonts w:ascii="Arial" w:hAnsi="Arial" w:eastAsia="Arial" w:cs="Arial"/>
          <w:spacing w:val="-8"/>
          <w:sz w:val="19"/>
          <w:szCs w:val="19"/>
        </w:rPr>
        <w:t>to</w:t>
      </w:r>
      <w:r>
        <w:rPr>
          <w:rFonts w:ascii="Arial" w:hAnsi="Arial" w:eastAsia="Arial" w:cs="Arial"/>
          <w:spacing w:val="32"/>
          <w:sz w:val="19"/>
          <w:szCs w:val="19"/>
        </w:rPr>
        <w:t xml:space="preserve"> </w:t>
      </w:r>
      <w:r>
        <w:rPr>
          <w:rFonts w:ascii="Arial" w:hAnsi="Arial" w:eastAsia="Arial" w:cs="Arial"/>
          <w:spacing w:val="-8"/>
          <w:sz w:val="19"/>
          <w:szCs w:val="19"/>
        </w:rPr>
        <w:t>ensure</w:t>
      </w:r>
      <w:r>
        <w:rPr>
          <w:rFonts w:ascii="Arial" w:hAnsi="Arial" w:eastAsia="Arial" w:cs="Arial"/>
          <w:spacing w:val="32"/>
          <w:w w:val="101"/>
          <w:sz w:val="19"/>
          <w:szCs w:val="19"/>
        </w:rPr>
        <w:t xml:space="preserve"> </w:t>
      </w:r>
      <w:r>
        <w:rPr>
          <w:rFonts w:ascii="Arial" w:hAnsi="Arial" w:eastAsia="Arial" w:cs="Arial"/>
          <w:spacing w:val="-8"/>
          <w:sz w:val="19"/>
          <w:szCs w:val="19"/>
        </w:rPr>
        <w:t>a</w:t>
      </w:r>
      <w:r>
        <w:rPr>
          <w:rFonts w:ascii="Arial" w:hAnsi="Arial" w:eastAsia="Arial" w:cs="Arial"/>
          <w:spacing w:val="35"/>
          <w:w w:val="101"/>
          <w:sz w:val="19"/>
          <w:szCs w:val="19"/>
        </w:rPr>
        <w:t xml:space="preserve"> </w:t>
      </w:r>
      <w:r>
        <w:rPr>
          <w:rFonts w:ascii="Arial" w:hAnsi="Arial" w:eastAsia="Arial" w:cs="Arial"/>
          <w:spacing w:val="-8"/>
          <w:sz w:val="19"/>
          <w:szCs w:val="19"/>
        </w:rPr>
        <w:t>bottom-up</w:t>
      </w:r>
      <w:r>
        <w:rPr>
          <w:rFonts w:ascii="Arial" w:hAnsi="Arial" w:eastAsia="Arial" w:cs="Arial"/>
          <w:spacing w:val="30"/>
          <w:w w:val="101"/>
          <w:sz w:val="19"/>
          <w:szCs w:val="19"/>
        </w:rPr>
        <w:t xml:space="preserve"> </w:t>
      </w:r>
      <w:r>
        <w:rPr>
          <w:rFonts w:ascii="Arial" w:hAnsi="Arial" w:eastAsia="Arial" w:cs="Arial"/>
          <w:spacing w:val="-8"/>
          <w:sz w:val="19"/>
          <w:szCs w:val="19"/>
        </w:rPr>
        <w:t>approach</w:t>
      </w:r>
      <w:r>
        <w:rPr>
          <w:rFonts w:ascii="Arial" w:hAnsi="Arial" w:eastAsia="Arial" w:cs="Arial"/>
          <w:spacing w:val="32"/>
          <w:sz w:val="19"/>
          <w:szCs w:val="19"/>
        </w:rPr>
        <w:t xml:space="preserve"> </w:t>
      </w:r>
      <w:r>
        <w:rPr>
          <w:rFonts w:ascii="Arial" w:hAnsi="Arial" w:eastAsia="Arial" w:cs="Arial"/>
          <w:spacing w:val="-8"/>
          <w:sz w:val="19"/>
          <w:szCs w:val="19"/>
        </w:rPr>
        <w:t>and</w:t>
      </w:r>
      <w:r>
        <w:rPr>
          <w:rFonts w:ascii="Arial" w:hAnsi="Arial" w:eastAsia="Arial" w:cs="Arial"/>
          <w:spacing w:val="31"/>
          <w:sz w:val="19"/>
          <w:szCs w:val="19"/>
        </w:rPr>
        <w:t xml:space="preserve"> </w:t>
      </w:r>
      <w:r>
        <w:rPr>
          <w:rFonts w:ascii="Arial" w:hAnsi="Arial" w:eastAsia="Arial" w:cs="Arial"/>
          <w:spacing w:val="-8"/>
          <w:sz w:val="19"/>
          <w:szCs w:val="19"/>
        </w:rPr>
        <w:t>a</w:t>
      </w:r>
      <w:r>
        <w:rPr>
          <w:rFonts w:ascii="Arial" w:hAnsi="Arial" w:eastAsia="Arial" w:cs="Arial"/>
          <w:spacing w:val="30"/>
          <w:sz w:val="19"/>
          <w:szCs w:val="19"/>
        </w:rPr>
        <w:t xml:space="preserve"> </w:t>
      </w:r>
      <w:r>
        <w:rPr>
          <w:rFonts w:ascii="Arial" w:hAnsi="Arial" w:eastAsia="Arial" w:cs="Arial"/>
          <w:spacing w:val="-8"/>
          <w:sz w:val="19"/>
          <w:szCs w:val="19"/>
        </w:rPr>
        <w:t>democratic</w:t>
      </w:r>
      <w:r>
        <w:rPr>
          <w:rFonts w:ascii="Arial" w:hAnsi="Arial" w:eastAsia="Arial" w:cs="Arial"/>
          <w:spacing w:val="38"/>
          <w:w w:val="101"/>
          <w:sz w:val="19"/>
          <w:szCs w:val="19"/>
        </w:rPr>
        <w:t xml:space="preserve"> </w:t>
      </w:r>
      <w:r>
        <w:rPr>
          <w:rFonts w:ascii="Arial" w:hAnsi="Arial" w:eastAsia="Arial" w:cs="Arial"/>
          <w:spacing w:val="-9"/>
          <w:sz w:val="19"/>
          <w:szCs w:val="19"/>
        </w:rPr>
        <w:t>process</w:t>
      </w:r>
      <w:r>
        <w:rPr>
          <w:rFonts w:ascii="Arial" w:hAnsi="Arial" w:eastAsia="Arial" w:cs="Arial"/>
          <w:spacing w:val="33"/>
          <w:sz w:val="19"/>
          <w:szCs w:val="19"/>
        </w:rPr>
        <w:t xml:space="preserve"> </w:t>
      </w:r>
      <w:r>
        <w:rPr>
          <w:rFonts w:ascii="Arial" w:hAnsi="Arial" w:eastAsia="Arial" w:cs="Arial"/>
          <w:spacing w:val="-9"/>
          <w:sz w:val="19"/>
          <w:szCs w:val="19"/>
        </w:rPr>
        <w:t>so</w:t>
      </w:r>
      <w:r>
        <w:rPr>
          <w:rFonts w:ascii="Arial" w:hAnsi="Arial" w:eastAsia="Arial" w:cs="Arial"/>
          <w:spacing w:val="31"/>
          <w:sz w:val="19"/>
          <w:szCs w:val="19"/>
        </w:rPr>
        <w:t xml:space="preserve"> </w:t>
      </w:r>
      <w:r>
        <w:rPr>
          <w:rFonts w:ascii="Arial" w:hAnsi="Arial" w:eastAsia="Arial" w:cs="Arial"/>
          <w:spacing w:val="-9"/>
          <w:sz w:val="19"/>
          <w:szCs w:val="19"/>
        </w:rPr>
        <w:t>all</w:t>
      </w:r>
      <w:r>
        <w:rPr>
          <w:rFonts w:ascii="Arial" w:hAnsi="Arial" w:eastAsia="Arial" w:cs="Arial"/>
          <w:spacing w:val="37"/>
          <w:w w:val="101"/>
          <w:sz w:val="19"/>
          <w:szCs w:val="19"/>
        </w:rPr>
        <w:t xml:space="preserve"> </w:t>
      </w:r>
      <w:r>
        <w:rPr>
          <w:rFonts w:ascii="Arial" w:hAnsi="Arial" w:eastAsia="Arial" w:cs="Arial"/>
          <w:spacing w:val="-9"/>
          <w:sz w:val="19"/>
          <w:szCs w:val="19"/>
        </w:rPr>
        <w:t>HEI</w:t>
      </w:r>
      <w:r>
        <w:rPr>
          <w:rFonts w:ascii="Arial" w:hAnsi="Arial" w:eastAsia="Arial" w:cs="Arial"/>
          <w:sz w:val="19"/>
          <w:szCs w:val="19"/>
        </w:rPr>
        <w:t xml:space="preserve"> </w:t>
      </w:r>
      <w:r>
        <w:rPr>
          <w:rFonts w:ascii="Arial" w:hAnsi="Arial" w:eastAsia="Arial" w:cs="Arial"/>
          <w:spacing w:val="-6"/>
          <w:sz w:val="19"/>
          <w:szCs w:val="19"/>
        </w:rPr>
        <w:t>members</w:t>
      </w:r>
      <w:r>
        <w:rPr>
          <w:rFonts w:ascii="Arial" w:hAnsi="Arial" w:eastAsia="Arial" w:cs="Arial"/>
          <w:spacing w:val="19"/>
          <w:sz w:val="19"/>
          <w:szCs w:val="19"/>
        </w:rPr>
        <w:t xml:space="preserve"> </w:t>
      </w:r>
      <w:r>
        <w:rPr>
          <w:rFonts w:ascii="Arial" w:hAnsi="Arial" w:eastAsia="Arial" w:cs="Arial"/>
          <w:spacing w:val="-6"/>
          <w:sz w:val="19"/>
          <w:szCs w:val="19"/>
        </w:rPr>
        <w:t>take</w:t>
      </w:r>
      <w:r>
        <w:rPr>
          <w:rFonts w:ascii="Arial" w:hAnsi="Arial" w:eastAsia="Arial" w:cs="Arial"/>
          <w:spacing w:val="26"/>
          <w:w w:val="101"/>
          <w:sz w:val="19"/>
          <w:szCs w:val="19"/>
        </w:rPr>
        <w:t xml:space="preserve"> </w:t>
      </w:r>
      <w:r>
        <w:rPr>
          <w:rFonts w:ascii="Arial" w:hAnsi="Arial" w:eastAsia="Arial" w:cs="Arial"/>
          <w:spacing w:val="-6"/>
          <w:sz w:val="19"/>
          <w:szCs w:val="19"/>
        </w:rPr>
        <w:t>responsibility</w:t>
      </w:r>
      <w:r>
        <w:rPr>
          <w:rFonts w:ascii="Arial" w:hAnsi="Arial" w:eastAsia="Arial" w:cs="Arial"/>
          <w:spacing w:val="18"/>
          <w:sz w:val="19"/>
          <w:szCs w:val="19"/>
        </w:rPr>
        <w:t xml:space="preserve"> </w:t>
      </w:r>
      <w:r>
        <w:rPr>
          <w:rFonts w:ascii="Arial" w:hAnsi="Arial" w:eastAsia="Arial" w:cs="Arial"/>
          <w:spacing w:val="-6"/>
          <w:sz w:val="19"/>
          <w:szCs w:val="19"/>
        </w:rPr>
        <w:t>for</w:t>
      </w:r>
      <w:r>
        <w:rPr>
          <w:rFonts w:ascii="Arial" w:hAnsi="Arial" w:eastAsia="Arial" w:cs="Arial"/>
          <w:spacing w:val="23"/>
          <w:sz w:val="19"/>
          <w:szCs w:val="19"/>
        </w:rPr>
        <w:t xml:space="preserve"> </w:t>
      </w:r>
      <w:r>
        <w:rPr>
          <w:rFonts w:ascii="Arial" w:hAnsi="Arial" w:eastAsia="Arial" w:cs="Arial"/>
          <w:spacing w:val="-7"/>
          <w:sz w:val="19"/>
          <w:szCs w:val="19"/>
        </w:rPr>
        <w:t>quality</w:t>
      </w:r>
      <w:r>
        <w:rPr>
          <w:rFonts w:ascii="Arial" w:hAnsi="Arial" w:eastAsia="Arial" w:cs="Arial"/>
          <w:spacing w:val="22"/>
          <w:w w:val="101"/>
          <w:sz w:val="19"/>
          <w:szCs w:val="19"/>
        </w:rPr>
        <w:t xml:space="preserve"> </w:t>
      </w:r>
      <w:r>
        <w:rPr>
          <w:rFonts w:ascii="Arial" w:hAnsi="Arial" w:eastAsia="Arial" w:cs="Arial"/>
          <w:spacing w:val="-7"/>
          <w:sz w:val="19"/>
          <w:szCs w:val="19"/>
        </w:rPr>
        <w:t>culture</w:t>
      </w:r>
      <w:r>
        <w:rPr>
          <w:rFonts w:ascii="Arial" w:hAnsi="Arial" w:eastAsia="Arial" w:cs="Arial"/>
          <w:spacing w:val="23"/>
          <w:sz w:val="19"/>
          <w:szCs w:val="19"/>
        </w:rPr>
        <w:t xml:space="preserve"> </w:t>
      </w:r>
      <w:r>
        <w:rPr>
          <w:rFonts w:ascii="Arial" w:hAnsi="Arial" w:eastAsia="Arial" w:cs="Arial"/>
          <w:spacing w:val="-7"/>
          <w:sz w:val="19"/>
          <w:szCs w:val="19"/>
        </w:rPr>
        <w:t>development</w:t>
      </w:r>
      <w:r>
        <w:rPr>
          <w:rFonts w:ascii="Arial" w:hAnsi="Arial" w:eastAsia="Arial" w:cs="Arial"/>
          <w:spacing w:val="27"/>
          <w:sz w:val="19"/>
          <w:szCs w:val="19"/>
        </w:rPr>
        <w:t xml:space="preserve"> </w:t>
      </w:r>
      <w:r>
        <w:rPr>
          <w:rFonts w:ascii="Arial" w:hAnsi="Arial" w:eastAsia="Arial" w:cs="Arial"/>
          <w:spacing w:val="-7"/>
          <w:sz w:val="19"/>
          <w:szCs w:val="19"/>
        </w:rPr>
        <w:t>(EUA</w:t>
      </w:r>
      <w:r>
        <w:rPr>
          <w:rFonts w:ascii="Arial" w:hAnsi="Arial" w:eastAsia="Arial" w:cs="Arial"/>
          <w:spacing w:val="14"/>
          <w:w w:val="101"/>
          <w:sz w:val="19"/>
          <w:szCs w:val="19"/>
        </w:rPr>
        <w:t xml:space="preserve"> </w:t>
      </w:r>
      <w:r>
        <w:fldChar w:fldCharType="begin"/>
      </w:r>
      <w:r>
        <w:instrText xml:space="preserve"> HYPERLINK \l "bookmark113" </w:instrText>
      </w:r>
      <w:r>
        <w:fldChar w:fldCharType="separate"/>
      </w:r>
      <w:r>
        <w:rPr>
          <w:rFonts w:ascii="Arial" w:hAnsi="Arial" w:eastAsia="Arial" w:cs="Arial"/>
          <w:color w:val="000084"/>
          <w:spacing w:val="-7"/>
          <w:sz w:val="19"/>
          <w:szCs w:val="19"/>
        </w:rPr>
        <w:t>2006</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pacing w:val="28"/>
          <w:w w:val="101"/>
          <w:sz w:val="19"/>
          <w:szCs w:val="19"/>
        </w:rPr>
        <w:t xml:space="preserve"> </w:t>
      </w:r>
      <w:r>
        <w:rPr>
          <w:rFonts w:ascii="Arial" w:hAnsi="Arial" w:eastAsia="Arial" w:cs="Arial"/>
          <w:spacing w:val="-7"/>
          <w:sz w:val="19"/>
          <w:szCs w:val="19"/>
        </w:rPr>
        <w:t>Harvey</w:t>
      </w:r>
      <w:r>
        <w:rPr>
          <w:rFonts w:ascii="Arial" w:hAnsi="Arial" w:eastAsia="Arial" w:cs="Arial"/>
          <w:spacing w:val="22"/>
          <w:w w:val="101"/>
          <w:sz w:val="19"/>
          <w:szCs w:val="19"/>
        </w:rPr>
        <w:t xml:space="preserve"> </w:t>
      </w:r>
      <w:r>
        <w:rPr>
          <w:rFonts w:ascii="Arial" w:hAnsi="Arial" w:eastAsia="Arial" w:cs="Arial"/>
          <w:spacing w:val="-7"/>
          <w:sz w:val="19"/>
          <w:szCs w:val="19"/>
        </w:rPr>
        <w:t>and</w:t>
      </w:r>
      <w:r>
        <w:rPr>
          <w:rFonts w:ascii="Arial" w:hAnsi="Arial" w:eastAsia="Arial" w:cs="Arial"/>
          <w:spacing w:val="21"/>
          <w:sz w:val="19"/>
          <w:szCs w:val="19"/>
        </w:rPr>
        <w:t xml:space="preserve"> </w:t>
      </w:r>
      <w:r>
        <w:rPr>
          <w:rFonts w:ascii="Arial" w:hAnsi="Arial" w:eastAsia="Arial" w:cs="Arial"/>
          <w:spacing w:val="-7"/>
          <w:sz w:val="19"/>
          <w:szCs w:val="19"/>
        </w:rPr>
        <w:t>Green</w:t>
      </w:r>
      <w:r>
        <w:rPr>
          <w:rFonts w:ascii="Arial" w:hAnsi="Arial" w:eastAsia="Arial" w:cs="Arial"/>
          <w:spacing w:val="13"/>
          <w:w w:val="101"/>
          <w:sz w:val="19"/>
          <w:szCs w:val="19"/>
        </w:rPr>
        <w:t xml:space="preserve"> </w:t>
      </w:r>
      <w:r>
        <w:fldChar w:fldCharType="begin"/>
      </w:r>
      <w:r>
        <w:instrText xml:space="preserve"> HYPERLINK \l "bookmark114" </w:instrText>
      </w:r>
      <w:r>
        <w:fldChar w:fldCharType="separate"/>
      </w:r>
      <w:r>
        <w:rPr>
          <w:rFonts w:ascii="Arial" w:hAnsi="Arial" w:eastAsia="Arial" w:cs="Arial"/>
          <w:color w:val="000084"/>
          <w:spacing w:val="-7"/>
          <w:sz w:val="19"/>
          <w:szCs w:val="19"/>
        </w:rPr>
        <w:t>1993</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z w:val="19"/>
          <w:szCs w:val="19"/>
        </w:rPr>
        <w:t xml:space="preserve"> </w:t>
      </w:r>
      <w:r>
        <w:rPr>
          <w:rFonts w:ascii="Arial" w:hAnsi="Arial" w:eastAsia="Arial" w:cs="Arial"/>
          <w:spacing w:val="-7"/>
          <w:sz w:val="19"/>
          <w:szCs w:val="19"/>
        </w:rPr>
        <w:t>In</w:t>
      </w:r>
      <w:r>
        <w:rPr>
          <w:rFonts w:ascii="Arial" w:hAnsi="Arial" w:eastAsia="Arial" w:cs="Arial"/>
          <w:spacing w:val="18"/>
          <w:sz w:val="19"/>
          <w:szCs w:val="19"/>
        </w:rPr>
        <w:t xml:space="preserve"> </w:t>
      </w:r>
      <w:r>
        <w:rPr>
          <w:rFonts w:ascii="Arial" w:hAnsi="Arial" w:eastAsia="Arial" w:cs="Arial"/>
          <w:spacing w:val="-7"/>
          <w:sz w:val="19"/>
          <w:szCs w:val="19"/>
        </w:rPr>
        <w:t>thi</w:t>
      </w:r>
      <w:r>
        <w:rPr>
          <w:rFonts w:ascii="Arial" w:hAnsi="Arial" w:eastAsia="Arial" w:cs="Arial"/>
          <w:spacing w:val="-6"/>
          <w:sz w:val="19"/>
          <w:szCs w:val="19"/>
        </w:rPr>
        <w:t>s</w:t>
      </w:r>
      <w:r>
        <w:rPr>
          <w:rFonts w:ascii="Arial" w:hAnsi="Arial" w:eastAsia="Arial" w:cs="Arial"/>
          <w:spacing w:val="21"/>
          <w:sz w:val="19"/>
          <w:szCs w:val="19"/>
        </w:rPr>
        <w:t xml:space="preserve"> </w:t>
      </w:r>
      <w:r>
        <w:rPr>
          <w:rFonts w:ascii="Arial" w:hAnsi="Arial" w:eastAsia="Arial" w:cs="Arial"/>
          <w:spacing w:val="-6"/>
          <w:sz w:val="19"/>
          <w:szCs w:val="19"/>
        </w:rPr>
        <w:t>context,</w:t>
      </w:r>
      <w:r>
        <w:rPr>
          <w:rFonts w:ascii="Arial" w:hAnsi="Arial" w:eastAsia="Arial" w:cs="Arial"/>
          <w:spacing w:val="23"/>
          <w:sz w:val="19"/>
          <w:szCs w:val="19"/>
        </w:rPr>
        <w:t xml:space="preserve"> </w:t>
      </w:r>
      <w:r>
        <w:rPr>
          <w:rFonts w:ascii="Arial" w:hAnsi="Arial" w:eastAsia="Arial" w:cs="Arial"/>
          <w:spacing w:val="-6"/>
          <w:sz w:val="19"/>
          <w:szCs w:val="19"/>
        </w:rPr>
        <w:t>commitment</w:t>
      </w:r>
      <w:r>
        <w:rPr>
          <w:rFonts w:ascii="Arial" w:hAnsi="Arial" w:eastAsia="Arial" w:cs="Arial"/>
          <w:spacing w:val="22"/>
          <w:w w:val="101"/>
          <w:sz w:val="19"/>
          <w:szCs w:val="19"/>
        </w:rPr>
        <w:t xml:space="preserve"> </w:t>
      </w:r>
      <w:r>
        <w:rPr>
          <w:rFonts w:ascii="Arial" w:hAnsi="Arial" w:eastAsia="Arial" w:cs="Arial"/>
          <w:spacing w:val="-6"/>
          <w:sz w:val="19"/>
          <w:szCs w:val="19"/>
        </w:rPr>
        <w:t>on</w:t>
      </w:r>
      <w:r>
        <w:rPr>
          <w:rFonts w:ascii="Arial" w:hAnsi="Arial" w:eastAsia="Arial" w:cs="Arial"/>
          <w:spacing w:val="18"/>
          <w:w w:val="101"/>
          <w:sz w:val="19"/>
          <w:szCs w:val="19"/>
        </w:rPr>
        <w:t xml:space="preserve"> </w:t>
      </w:r>
      <w:r>
        <w:rPr>
          <w:rFonts w:ascii="Arial" w:hAnsi="Arial" w:eastAsia="Arial" w:cs="Arial"/>
          <w:spacing w:val="-6"/>
          <w:sz w:val="19"/>
          <w:szCs w:val="19"/>
        </w:rPr>
        <w:t>the</w:t>
      </w:r>
      <w:r>
        <w:rPr>
          <w:rFonts w:ascii="Arial" w:hAnsi="Arial" w:eastAsia="Arial" w:cs="Arial"/>
          <w:spacing w:val="28"/>
          <w:sz w:val="19"/>
          <w:szCs w:val="19"/>
        </w:rPr>
        <w:t xml:space="preserve"> </w:t>
      </w:r>
      <w:r>
        <w:rPr>
          <w:rFonts w:ascii="Arial" w:hAnsi="Arial" w:eastAsia="Arial" w:cs="Arial"/>
          <w:spacing w:val="-6"/>
          <w:sz w:val="19"/>
          <w:szCs w:val="19"/>
        </w:rPr>
        <w:t>part</w:t>
      </w:r>
      <w:r>
        <w:rPr>
          <w:rFonts w:ascii="Arial" w:hAnsi="Arial" w:eastAsia="Arial" w:cs="Arial"/>
          <w:spacing w:val="22"/>
          <w:sz w:val="19"/>
          <w:szCs w:val="19"/>
        </w:rPr>
        <w:t xml:space="preserve"> </w:t>
      </w:r>
      <w:r>
        <w:rPr>
          <w:rFonts w:ascii="Arial" w:hAnsi="Arial" w:eastAsia="Arial" w:cs="Arial"/>
          <w:spacing w:val="-6"/>
          <w:sz w:val="19"/>
          <w:szCs w:val="19"/>
        </w:rPr>
        <w:t>of</w:t>
      </w:r>
      <w:r>
        <w:rPr>
          <w:rFonts w:ascii="Arial" w:hAnsi="Arial" w:eastAsia="Arial" w:cs="Arial"/>
          <w:spacing w:val="9"/>
          <w:sz w:val="19"/>
          <w:szCs w:val="19"/>
        </w:rPr>
        <w:t xml:space="preserve"> </w:t>
      </w:r>
      <w:r>
        <w:rPr>
          <w:rFonts w:ascii="Arial" w:hAnsi="Arial" w:eastAsia="Arial" w:cs="Arial"/>
          <w:spacing w:val="-6"/>
          <w:sz w:val="19"/>
          <w:szCs w:val="19"/>
        </w:rPr>
        <w:t>the</w:t>
      </w:r>
      <w:r>
        <w:rPr>
          <w:rFonts w:ascii="Arial" w:hAnsi="Arial" w:eastAsia="Arial" w:cs="Arial"/>
          <w:spacing w:val="28"/>
          <w:w w:val="101"/>
          <w:sz w:val="19"/>
          <w:szCs w:val="19"/>
        </w:rPr>
        <w:t xml:space="preserve"> </w:t>
      </w:r>
      <w:r>
        <w:rPr>
          <w:rFonts w:ascii="Arial" w:hAnsi="Arial" w:eastAsia="Arial" w:cs="Arial"/>
          <w:spacing w:val="-6"/>
          <w:sz w:val="19"/>
          <w:szCs w:val="19"/>
        </w:rPr>
        <w:t>management</w:t>
      </w:r>
      <w:r>
        <w:rPr>
          <w:rFonts w:ascii="Arial" w:hAnsi="Arial" w:eastAsia="Arial" w:cs="Arial"/>
          <w:spacing w:val="29"/>
          <w:sz w:val="19"/>
          <w:szCs w:val="19"/>
        </w:rPr>
        <w:t xml:space="preserve"> </w:t>
      </w:r>
      <w:r>
        <w:rPr>
          <w:rFonts w:ascii="Arial" w:hAnsi="Arial" w:eastAsia="Arial" w:cs="Arial"/>
          <w:spacing w:val="-6"/>
          <w:sz w:val="19"/>
          <w:szCs w:val="19"/>
        </w:rPr>
        <w:t>level</w:t>
      </w:r>
      <w:r>
        <w:rPr>
          <w:rFonts w:ascii="Arial" w:hAnsi="Arial" w:eastAsia="Arial" w:cs="Arial"/>
          <w:spacing w:val="26"/>
          <w:w w:val="101"/>
          <w:sz w:val="19"/>
          <w:szCs w:val="19"/>
        </w:rPr>
        <w:t xml:space="preserve"> </w:t>
      </w:r>
      <w:r>
        <w:rPr>
          <w:rFonts w:ascii="Arial" w:hAnsi="Arial" w:eastAsia="Arial" w:cs="Arial"/>
          <w:spacing w:val="-6"/>
          <w:sz w:val="19"/>
          <w:szCs w:val="19"/>
        </w:rPr>
        <w:t>is</w:t>
      </w:r>
      <w:r>
        <w:rPr>
          <w:rFonts w:ascii="Arial" w:hAnsi="Arial" w:eastAsia="Arial" w:cs="Arial"/>
          <w:spacing w:val="22"/>
          <w:sz w:val="19"/>
          <w:szCs w:val="19"/>
        </w:rPr>
        <w:t xml:space="preserve"> </w:t>
      </w:r>
      <w:r>
        <w:rPr>
          <w:rFonts w:ascii="Arial" w:hAnsi="Arial" w:eastAsia="Arial" w:cs="Arial"/>
          <w:spacing w:val="-6"/>
          <w:sz w:val="19"/>
          <w:szCs w:val="19"/>
        </w:rPr>
        <w:t>seen</w:t>
      </w:r>
      <w:r>
        <w:rPr>
          <w:rFonts w:ascii="Arial" w:hAnsi="Arial" w:eastAsia="Arial" w:cs="Arial"/>
          <w:spacing w:val="20"/>
          <w:w w:val="101"/>
          <w:sz w:val="19"/>
          <w:szCs w:val="19"/>
        </w:rPr>
        <w:t xml:space="preserve"> </w:t>
      </w:r>
      <w:r>
        <w:rPr>
          <w:rFonts w:ascii="Arial" w:hAnsi="Arial" w:eastAsia="Arial" w:cs="Arial"/>
          <w:spacing w:val="-6"/>
          <w:sz w:val="19"/>
          <w:szCs w:val="19"/>
        </w:rPr>
        <w:t>a</w:t>
      </w:r>
      <w:r>
        <w:rPr>
          <w:rFonts w:ascii="Arial" w:hAnsi="Arial" w:eastAsia="Arial" w:cs="Arial"/>
          <w:spacing w:val="-7"/>
          <w:sz w:val="19"/>
          <w:szCs w:val="19"/>
        </w:rPr>
        <w:t>s</w:t>
      </w:r>
      <w:r>
        <w:rPr>
          <w:rFonts w:ascii="Arial" w:hAnsi="Arial" w:eastAsia="Arial" w:cs="Arial"/>
          <w:spacing w:val="21"/>
          <w:sz w:val="19"/>
          <w:szCs w:val="19"/>
        </w:rPr>
        <w:t xml:space="preserve"> </w:t>
      </w:r>
      <w:r>
        <w:rPr>
          <w:rFonts w:ascii="Arial" w:hAnsi="Arial" w:eastAsia="Arial" w:cs="Arial"/>
          <w:spacing w:val="-7"/>
          <w:sz w:val="19"/>
          <w:szCs w:val="19"/>
        </w:rPr>
        <w:t>a</w:t>
      </w:r>
      <w:r>
        <w:rPr>
          <w:rFonts w:ascii="Arial" w:hAnsi="Arial" w:eastAsia="Arial" w:cs="Arial"/>
          <w:spacing w:val="27"/>
          <w:sz w:val="19"/>
          <w:szCs w:val="19"/>
        </w:rPr>
        <w:t xml:space="preserve"> </w:t>
      </w:r>
      <w:r>
        <w:rPr>
          <w:rFonts w:ascii="Arial" w:hAnsi="Arial" w:eastAsia="Arial" w:cs="Arial"/>
          <w:spacing w:val="-7"/>
          <w:sz w:val="19"/>
          <w:szCs w:val="19"/>
        </w:rPr>
        <w:t>necessary</w:t>
      </w:r>
      <w:r>
        <w:rPr>
          <w:rFonts w:ascii="Arial" w:hAnsi="Arial" w:eastAsia="Arial" w:cs="Arial"/>
          <w:spacing w:val="27"/>
          <w:w w:val="101"/>
          <w:sz w:val="19"/>
          <w:szCs w:val="19"/>
        </w:rPr>
        <w:t xml:space="preserve"> </w:t>
      </w:r>
      <w:r>
        <w:rPr>
          <w:rFonts w:ascii="Arial" w:hAnsi="Arial" w:eastAsia="Arial" w:cs="Arial"/>
          <w:spacing w:val="-7"/>
          <w:sz w:val="19"/>
          <w:szCs w:val="19"/>
        </w:rPr>
        <w:t>but</w:t>
      </w:r>
      <w:r>
        <w:rPr>
          <w:rFonts w:ascii="Arial" w:hAnsi="Arial" w:eastAsia="Arial" w:cs="Arial"/>
          <w:spacing w:val="28"/>
          <w:w w:val="101"/>
          <w:sz w:val="19"/>
          <w:szCs w:val="19"/>
        </w:rPr>
        <w:t xml:space="preserve"> </w:t>
      </w:r>
      <w:r>
        <w:rPr>
          <w:rFonts w:ascii="Arial" w:hAnsi="Arial" w:eastAsia="Arial" w:cs="Arial"/>
          <w:spacing w:val="-7"/>
          <w:sz w:val="19"/>
          <w:szCs w:val="19"/>
        </w:rPr>
        <w:t>no</w:t>
      </w:r>
      <w:r>
        <w:rPr>
          <w:rFonts w:ascii="Arial" w:hAnsi="Arial" w:eastAsia="Arial" w:cs="Arial"/>
          <w:spacing w:val="-2"/>
          <w:sz w:val="19"/>
          <w:szCs w:val="19"/>
        </w:rPr>
        <w:t>t</w:t>
      </w:r>
      <w:r>
        <w:rPr>
          <w:rFonts w:ascii="Arial" w:hAnsi="Arial" w:eastAsia="Arial" w:cs="Arial"/>
          <w:sz w:val="19"/>
          <w:szCs w:val="19"/>
        </w:rPr>
        <w:t xml:space="preserve"> </w:t>
      </w:r>
      <w:r>
        <w:rPr>
          <w:rFonts w:ascii="Arial" w:hAnsi="Arial" w:eastAsia="Arial" w:cs="Arial"/>
          <w:spacing w:val="-1"/>
          <w:sz w:val="19"/>
          <w:szCs w:val="19"/>
        </w:rPr>
        <w:t xml:space="preserve">suicient  condition  for </w:t>
      </w:r>
      <w:r>
        <w:rPr>
          <w:rFonts w:ascii="Arial" w:hAnsi="Arial" w:eastAsia="Arial" w:cs="Arial"/>
          <w:spacing w:val="-2"/>
          <w:sz w:val="19"/>
          <w:szCs w:val="19"/>
        </w:rPr>
        <w:t xml:space="preserve"> quality</w:t>
      </w:r>
      <w:r>
        <w:rPr>
          <w:rFonts w:ascii="Arial" w:hAnsi="Arial" w:eastAsia="Arial" w:cs="Arial"/>
          <w:spacing w:val="5"/>
          <w:sz w:val="19"/>
          <w:szCs w:val="19"/>
        </w:rPr>
        <w:t xml:space="preserve">  </w:t>
      </w:r>
      <w:r>
        <w:rPr>
          <w:rFonts w:ascii="Arial" w:hAnsi="Arial" w:eastAsia="Arial" w:cs="Arial"/>
          <w:spacing w:val="-2"/>
          <w:sz w:val="19"/>
          <w:szCs w:val="19"/>
        </w:rPr>
        <w:t>culture</w:t>
      </w:r>
      <w:r>
        <w:rPr>
          <w:rFonts w:ascii="Arial" w:hAnsi="Arial" w:eastAsia="Arial" w:cs="Arial"/>
          <w:spacing w:val="7"/>
          <w:sz w:val="19"/>
          <w:szCs w:val="19"/>
        </w:rPr>
        <w:t xml:space="preserve">  </w:t>
      </w:r>
      <w:r>
        <w:rPr>
          <w:rFonts w:ascii="Arial" w:hAnsi="Arial" w:eastAsia="Arial" w:cs="Arial"/>
          <w:spacing w:val="-2"/>
          <w:sz w:val="19"/>
          <w:szCs w:val="19"/>
        </w:rPr>
        <w:t>development,</w:t>
      </w:r>
      <w:r>
        <w:rPr>
          <w:rFonts w:ascii="Arial" w:hAnsi="Arial" w:eastAsia="Arial" w:cs="Arial"/>
          <w:spacing w:val="5"/>
          <w:sz w:val="19"/>
          <w:szCs w:val="19"/>
        </w:rPr>
        <w:t xml:space="preserve">  </w:t>
      </w:r>
      <w:r>
        <w:rPr>
          <w:rFonts w:ascii="Arial" w:hAnsi="Arial" w:eastAsia="Arial" w:cs="Arial"/>
          <w:spacing w:val="-2"/>
          <w:sz w:val="19"/>
          <w:szCs w:val="19"/>
        </w:rPr>
        <w:t>as</w:t>
      </w:r>
      <w:r>
        <w:rPr>
          <w:rFonts w:ascii="Arial" w:hAnsi="Arial" w:eastAsia="Arial" w:cs="Arial"/>
          <w:spacing w:val="5"/>
          <w:sz w:val="19"/>
          <w:szCs w:val="19"/>
        </w:rPr>
        <w:t xml:space="preserve">  </w:t>
      </w:r>
      <w:r>
        <w:rPr>
          <w:rFonts w:ascii="Arial" w:hAnsi="Arial" w:eastAsia="Arial" w:cs="Arial"/>
          <w:spacing w:val="-2"/>
          <w:sz w:val="19"/>
          <w:szCs w:val="19"/>
        </w:rPr>
        <w:t>commitment  to</w:t>
      </w:r>
      <w:r>
        <w:rPr>
          <w:rFonts w:ascii="Arial" w:hAnsi="Arial" w:eastAsia="Arial" w:cs="Arial"/>
          <w:spacing w:val="6"/>
          <w:sz w:val="19"/>
          <w:szCs w:val="19"/>
        </w:rPr>
        <w:t xml:space="preserve">  </w:t>
      </w:r>
      <w:r>
        <w:rPr>
          <w:rFonts w:ascii="Arial" w:hAnsi="Arial" w:eastAsia="Arial" w:cs="Arial"/>
          <w:spacing w:val="-2"/>
          <w:sz w:val="19"/>
          <w:szCs w:val="19"/>
        </w:rPr>
        <w:t>quality</w:t>
      </w:r>
      <w:r>
        <w:rPr>
          <w:rFonts w:ascii="Arial" w:hAnsi="Arial" w:eastAsia="Arial" w:cs="Arial"/>
          <w:spacing w:val="9"/>
          <w:sz w:val="19"/>
          <w:szCs w:val="19"/>
        </w:rPr>
        <w:t xml:space="preserve">  </w:t>
      </w:r>
      <w:r>
        <w:rPr>
          <w:rFonts w:ascii="Arial" w:hAnsi="Arial" w:eastAsia="Arial" w:cs="Arial"/>
          <w:spacing w:val="-2"/>
          <w:sz w:val="19"/>
          <w:szCs w:val="19"/>
        </w:rPr>
        <w:t>needs</w:t>
      </w:r>
      <w:r>
        <w:rPr>
          <w:rFonts w:ascii="Arial" w:hAnsi="Arial" w:eastAsia="Arial" w:cs="Arial"/>
          <w:spacing w:val="4"/>
          <w:sz w:val="19"/>
          <w:szCs w:val="19"/>
        </w:rPr>
        <w:t xml:space="preserve">  </w:t>
      </w:r>
      <w:r>
        <w:rPr>
          <w:rFonts w:ascii="Arial" w:hAnsi="Arial" w:eastAsia="Arial" w:cs="Arial"/>
          <w:spacing w:val="-2"/>
          <w:sz w:val="19"/>
          <w:szCs w:val="19"/>
        </w:rPr>
        <w:t>to</w:t>
      </w:r>
      <w:r>
        <w:rPr>
          <w:rFonts w:ascii="Arial" w:hAnsi="Arial" w:eastAsia="Arial" w:cs="Arial"/>
          <w:spacing w:val="8"/>
          <w:sz w:val="19"/>
          <w:szCs w:val="19"/>
        </w:rPr>
        <w:t xml:space="preserve">  </w:t>
      </w:r>
      <w:r>
        <w:rPr>
          <w:rFonts w:ascii="Arial" w:hAnsi="Arial" w:eastAsia="Arial" w:cs="Arial"/>
          <w:spacing w:val="-2"/>
          <w:sz w:val="19"/>
          <w:szCs w:val="19"/>
        </w:rPr>
        <w:t>be</w:t>
      </w:r>
      <w:r>
        <w:rPr>
          <w:rFonts w:ascii="Arial" w:hAnsi="Arial" w:eastAsia="Arial" w:cs="Arial"/>
          <w:spacing w:val="1"/>
          <w:sz w:val="19"/>
          <w:szCs w:val="19"/>
        </w:rPr>
        <w:t xml:space="preserve"> </w:t>
      </w:r>
      <w:r>
        <w:rPr>
          <w:rFonts w:ascii="Arial" w:hAnsi="Arial" w:eastAsia="Arial" w:cs="Arial"/>
          <w:spacing w:val="-5"/>
          <w:sz w:val="19"/>
          <w:szCs w:val="19"/>
        </w:rPr>
        <w:t>present</w:t>
      </w:r>
      <w:r>
        <w:rPr>
          <w:rFonts w:ascii="Arial" w:hAnsi="Arial" w:eastAsia="Arial" w:cs="Arial"/>
          <w:spacing w:val="38"/>
          <w:sz w:val="19"/>
          <w:szCs w:val="19"/>
        </w:rPr>
        <w:t xml:space="preserve"> </w:t>
      </w:r>
      <w:r>
        <w:rPr>
          <w:rFonts w:ascii="Arial" w:hAnsi="Arial" w:eastAsia="Arial" w:cs="Arial"/>
          <w:spacing w:val="-5"/>
          <w:sz w:val="19"/>
          <w:szCs w:val="19"/>
        </w:rPr>
        <w:t>throughout</w:t>
      </w:r>
      <w:r>
        <w:rPr>
          <w:rFonts w:ascii="Arial" w:hAnsi="Arial" w:eastAsia="Arial" w:cs="Arial"/>
          <w:spacing w:val="39"/>
          <w:sz w:val="19"/>
          <w:szCs w:val="19"/>
        </w:rPr>
        <w:t xml:space="preserve"> </w:t>
      </w:r>
      <w:r>
        <w:rPr>
          <w:rFonts w:ascii="Arial" w:hAnsi="Arial" w:eastAsia="Arial" w:cs="Arial"/>
          <w:spacing w:val="-5"/>
          <w:sz w:val="19"/>
          <w:szCs w:val="19"/>
        </w:rPr>
        <w:t>an</w:t>
      </w:r>
      <w:r>
        <w:rPr>
          <w:rFonts w:ascii="Arial" w:hAnsi="Arial" w:eastAsia="Arial" w:cs="Arial"/>
          <w:spacing w:val="45"/>
          <w:w w:val="101"/>
          <w:sz w:val="19"/>
          <w:szCs w:val="19"/>
        </w:rPr>
        <w:t xml:space="preserve"> </w:t>
      </w:r>
      <w:r>
        <w:rPr>
          <w:rFonts w:ascii="Arial" w:hAnsi="Arial" w:eastAsia="Arial" w:cs="Arial"/>
          <w:spacing w:val="-5"/>
          <w:sz w:val="19"/>
          <w:szCs w:val="19"/>
        </w:rPr>
        <w:t>institution</w:t>
      </w:r>
      <w:r>
        <w:rPr>
          <w:rFonts w:ascii="Arial" w:hAnsi="Arial" w:eastAsia="Arial" w:cs="Arial"/>
          <w:spacing w:val="45"/>
          <w:sz w:val="19"/>
          <w:szCs w:val="19"/>
        </w:rPr>
        <w:t xml:space="preserve"> </w:t>
      </w:r>
      <w:r>
        <w:rPr>
          <w:rFonts w:ascii="Arial" w:hAnsi="Arial" w:eastAsia="Arial" w:cs="Arial"/>
          <w:spacing w:val="-5"/>
          <w:sz w:val="19"/>
          <w:szCs w:val="19"/>
        </w:rPr>
        <w:t>(Bender</w:t>
      </w:r>
      <w:r>
        <w:rPr>
          <w:rFonts w:ascii="Arial" w:hAnsi="Arial" w:eastAsia="Arial" w:cs="Arial"/>
          <w:spacing w:val="-6"/>
          <w:sz w:val="19"/>
          <w:szCs w:val="19"/>
        </w:rPr>
        <w:t>macher</w:t>
      </w:r>
      <w:r>
        <w:rPr>
          <w:rFonts w:ascii="Arial" w:hAnsi="Arial" w:eastAsia="Arial" w:cs="Arial"/>
          <w:spacing w:val="41"/>
          <w:sz w:val="19"/>
          <w:szCs w:val="19"/>
        </w:rPr>
        <w:t xml:space="preserve"> </w:t>
      </w:r>
      <w:r>
        <w:rPr>
          <w:rFonts w:ascii="Arial" w:hAnsi="Arial" w:eastAsia="Arial" w:cs="Arial"/>
          <w:spacing w:val="-6"/>
          <w:sz w:val="19"/>
          <w:szCs w:val="19"/>
        </w:rPr>
        <w:t>et</w:t>
      </w:r>
      <w:r>
        <w:rPr>
          <w:rFonts w:ascii="Arial" w:hAnsi="Arial" w:eastAsia="Arial" w:cs="Arial"/>
          <w:spacing w:val="39"/>
          <w:w w:val="101"/>
          <w:sz w:val="19"/>
          <w:szCs w:val="19"/>
        </w:rPr>
        <w:t xml:space="preserve"> </w:t>
      </w:r>
      <w:r>
        <w:rPr>
          <w:rFonts w:ascii="Arial" w:hAnsi="Arial" w:eastAsia="Arial" w:cs="Arial"/>
          <w:spacing w:val="-6"/>
          <w:sz w:val="19"/>
          <w:szCs w:val="19"/>
        </w:rPr>
        <w:t>al.</w:t>
      </w:r>
      <w:r>
        <w:rPr>
          <w:rFonts w:ascii="Arial" w:hAnsi="Arial" w:eastAsia="Arial" w:cs="Arial"/>
          <w:spacing w:val="33"/>
          <w:w w:val="101"/>
          <w:sz w:val="19"/>
          <w:szCs w:val="19"/>
        </w:rPr>
        <w:t xml:space="preserve"> </w:t>
      </w:r>
      <w:r>
        <w:fldChar w:fldCharType="begin"/>
      </w:r>
      <w:r>
        <w:instrText xml:space="preserve"> HYPERLINK \l "bookmark115" </w:instrText>
      </w:r>
      <w:r>
        <w:fldChar w:fldCharType="separate"/>
      </w:r>
      <w:r>
        <w:rPr>
          <w:rFonts w:ascii="Arial" w:hAnsi="Arial" w:eastAsia="Arial" w:cs="Arial"/>
          <w:color w:val="000084"/>
          <w:spacing w:val="-6"/>
          <w:sz w:val="19"/>
          <w:szCs w:val="19"/>
        </w:rPr>
        <w:t>2017</w:t>
      </w:r>
      <w:r>
        <w:rPr>
          <w:rFonts w:ascii="Arial" w:hAnsi="Arial" w:eastAsia="Arial" w:cs="Arial"/>
          <w:color w:val="000084"/>
          <w:spacing w:val="-6"/>
          <w:sz w:val="19"/>
          <w:szCs w:val="19"/>
        </w:rPr>
        <w:fldChar w:fldCharType="end"/>
      </w:r>
      <w:r>
        <w:rPr>
          <w:rFonts w:ascii="Arial" w:hAnsi="Arial" w:eastAsia="Arial" w:cs="Arial"/>
          <w:spacing w:val="-6"/>
          <w:sz w:val="19"/>
          <w:szCs w:val="19"/>
        </w:rPr>
        <w:t>).  Further</w:t>
      </w:r>
      <w:r>
        <w:rPr>
          <w:rFonts w:ascii="Arial" w:hAnsi="Arial" w:eastAsia="Arial" w:cs="Arial"/>
          <w:spacing w:val="41"/>
          <w:sz w:val="19"/>
          <w:szCs w:val="19"/>
        </w:rPr>
        <w:t xml:space="preserve"> </w:t>
      </w:r>
      <w:r>
        <w:rPr>
          <w:rFonts w:ascii="Arial" w:hAnsi="Arial" w:eastAsia="Arial" w:cs="Arial"/>
          <w:spacing w:val="-6"/>
          <w:sz w:val="19"/>
          <w:szCs w:val="19"/>
        </w:rPr>
        <w:t>analyses</w:t>
      </w:r>
      <w:r>
        <w:rPr>
          <w:rFonts w:ascii="Arial" w:hAnsi="Arial" w:eastAsia="Arial" w:cs="Arial"/>
          <w:spacing w:val="42"/>
          <w:sz w:val="19"/>
          <w:szCs w:val="19"/>
        </w:rPr>
        <w:t xml:space="preserve"> </w:t>
      </w:r>
      <w:r>
        <w:rPr>
          <w:rFonts w:ascii="Arial" w:hAnsi="Arial" w:eastAsia="Arial" w:cs="Arial"/>
          <w:spacing w:val="-6"/>
          <w:sz w:val="19"/>
          <w:szCs w:val="19"/>
        </w:rPr>
        <w:t>of</w:t>
      </w:r>
      <w:r>
        <w:rPr>
          <w:rFonts w:ascii="Arial" w:hAnsi="Arial" w:eastAsia="Arial" w:cs="Arial"/>
          <w:spacing w:val="32"/>
          <w:w w:val="101"/>
          <w:sz w:val="19"/>
          <w:szCs w:val="19"/>
        </w:rPr>
        <w:t xml:space="preserve"> </w:t>
      </w:r>
      <w:r>
        <w:rPr>
          <w:rFonts w:ascii="Arial" w:hAnsi="Arial" w:eastAsia="Arial" w:cs="Arial"/>
          <w:spacing w:val="-6"/>
          <w:sz w:val="19"/>
          <w:szCs w:val="19"/>
        </w:rPr>
        <w:t>our</w:t>
      </w:r>
      <w:r>
        <w:rPr>
          <w:rFonts w:ascii="Arial" w:hAnsi="Arial" w:eastAsia="Arial" w:cs="Arial"/>
          <w:spacing w:val="40"/>
          <w:sz w:val="19"/>
          <w:szCs w:val="19"/>
        </w:rPr>
        <w:t xml:space="preserve"> </w:t>
      </w:r>
      <w:r>
        <w:rPr>
          <w:rFonts w:ascii="Arial" w:hAnsi="Arial" w:eastAsia="Arial" w:cs="Arial"/>
          <w:spacing w:val="-6"/>
          <w:sz w:val="19"/>
          <w:szCs w:val="19"/>
        </w:rPr>
        <w:t>data</w:t>
      </w:r>
      <w:r>
        <w:rPr>
          <w:rFonts w:ascii="Arial" w:hAnsi="Arial" w:eastAsia="Arial" w:cs="Arial"/>
          <w:spacing w:val="37"/>
          <w:w w:val="101"/>
          <w:sz w:val="19"/>
          <w:szCs w:val="19"/>
        </w:rPr>
        <w:t xml:space="preserve"> </w:t>
      </w:r>
      <w:r>
        <w:rPr>
          <w:rFonts w:ascii="Arial" w:hAnsi="Arial" w:eastAsia="Arial" w:cs="Arial"/>
          <w:spacing w:val="-6"/>
          <w:sz w:val="19"/>
          <w:szCs w:val="19"/>
        </w:rPr>
        <w:t>will</w:t>
      </w:r>
      <w:r>
        <w:rPr>
          <w:rFonts w:ascii="Arial" w:hAnsi="Arial" w:eastAsia="Arial" w:cs="Arial"/>
          <w:sz w:val="19"/>
          <w:szCs w:val="19"/>
        </w:rPr>
        <w:t xml:space="preserve"> </w:t>
      </w:r>
      <w:r>
        <w:rPr>
          <w:rFonts w:ascii="Arial" w:hAnsi="Arial" w:eastAsia="Arial" w:cs="Arial"/>
          <w:spacing w:val="-4"/>
          <w:sz w:val="19"/>
          <w:szCs w:val="19"/>
        </w:rPr>
        <w:t>focus</w:t>
      </w:r>
      <w:r>
        <w:rPr>
          <w:rFonts w:ascii="Arial" w:hAnsi="Arial" w:eastAsia="Arial" w:cs="Arial"/>
          <w:spacing w:val="38"/>
          <w:sz w:val="19"/>
          <w:szCs w:val="19"/>
        </w:rPr>
        <w:t xml:space="preserve"> </w:t>
      </w:r>
      <w:r>
        <w:rPr>
          <w:rFonts w:ascii="Arial" w:hAnsi="Arial" w:eastAsia="Arial" w:cs="Arial"/>
          <w:spacing w:val="-4"/>
          <w:sz w:val="19"/>
          <w:szCs w:val="19"/>
        </w:rPr>
        <w:t>on</w:t>
      </w:r>
      <w:r>
        <w:rPr>
          <w:rFonts w:ascii="Arial" w:hAnsi="Arial" w:eastAsia="Arial" w:cs="Arial"/>
          <w:spacing w:val="43"/>
          <w:sz w:val="19"/>
          <w:szCs w:val="19"/>
        </w:rPr>
        <w:t xml:space="preserve"> </w:t>
      </w:r>
      <w:r>
        <w:rPr>
          <w:rFonts w:ascii="Arial" w:hAnsi="Arial" w:eastAsia="Arial" w:cs="Arial"/>
          <w:spacing w:val="-4"/>
          <w:sz w:val="19"/>
          <w:szCs w:val="19"/>
        </w:rPr>
        <w:t>potential</w:t>
      </w:r>
      <w:r>
        <w:rPr>
          <w:rFonts w:ascii="Arial" w:hAnsi="Arial" w:eastAsia="Arial" w:cs="Arial"/>
          <w:spacing w:val="36"/>
          <w:w w:val="101"/>
          <w:sz w:val="19"/>
          <w:szCs w:val="19"/>
        </w:rPr>
        <w:t xml:space="preserve"> </w:t>
      </w:r>
      <w:r>
        <w:rPr>
          <w:rFonts w:ascii="Arial" w:hAnsi="Arial" w:eastAsia="Arial" w:cs="Arial"/>
          <w:spacing w:val="-4"/>
          <w:sz w:val="19"/>
          <w:szCs w:val="19"/>
        </w:rPr>
        <w:t>status</w:t>
      </w:r>
      <w:r>
        <w:rPr>
          <w:rFonts w:ascii="Arial" w:hAnsi="Arial" w:eastAsia="Arial" w:cs="Arial"/>
          <w:spacing w:val="38"/>
          <w:sz w:val="19"/>
          <w:szCs w:val="19"/>
        </w:rPr>
        <w:t xml:space="preserve"> </w:t>
      </w:r>
      <w:r>
        <w:rPr>
          <w:rFonts w:ascii="Arial" w:hAnsi="Arial" w:eastAsia="Arial" w:cs="Arial"/>
          <w:spacing w:val="-4"/>
          <w:sz w:val="19"/>
          <w:szCs w:val="19"/>
        </w:rPr>
        <w:t>group</w:t>
      </w:r>
      <w:r>
        <w:rPr>
          <w:rFonts w:ascii="Arial" w:hAnsi="Arial" w:eastAsia="Arial" w:cs="Arial"/>
          <w:spacing w:val="37"/>
          <w:w w:val="101"/>
          <w:sz w:val="19"/>
          <w:szCs w:val="19"/>
        </w:rPr>
        <w:t xml:space="preserve"> </w:t>
      </w:r>
      <w:r>
        <w:rPr>
          <w:rFonts w:ascii="Arial" w:hAnsi="Arial" w:eastAsia="Arial" w:cs="Arial"/>
          <w:spacing w:val="-4"/>
          <w:sz w:val="19"/>
          <w:szCs w:val="19"/>
        </w:rPr>
        <w:t>diferences</w:t>
      </w:r>
      <w:r>
        <w:rPr>
          <w:rFonts w:ascii="Arial" w:hAnsi="Arial" w:eastAsia="Arial" w:cs="Arial"/>
          <w:spacing w:val="37"/>
          <w:sz w:val="19"/>
          <w:szCs w:val="19"/>
        </w:rPr>
        <w:t xml:space="preserve"> </w:t>
      </w:r>
      <w:r>
        <w:rPr>
          <w:rFonts w:ascii="Arial" w:hAnsi="Arial" w:eastAsia="Arial" w:cs="Arial"/>
          <w:spacing w:val="-4"/>
          <w:sz w:val="19"/>
          <w:szCs w:val="19"/>
        </w:rPr>
        <w:t>concerning</w:t>
      </w:r>
      <w:r>
        <w:rPr>
          <w:rFonts w:ascii="Arial" w:hAnsi="Arial" w:eastAsia="Arial" w:cs="Arial"/>
          <w:spacing w:val="42"/>
          <w:w w:val="101"/>
          <w:sz w:val="19"/>
          <w:szCs w:val="19"/>
        </w:rPr>
        <w:t xml:space="preserve"> </w:t>
      </w:r>
      <w:r>
        <w:rPr>
          <w:rFonts w:ascii="Arial" w:hAnsi="Arial" w:eastAsia="Arial" w:cs="Arial"/>
          <w:spacing w:val="-4"/>
          <w:sz w:val="19"/>
          <w:szCs w:val="19"/>
        </w:rPr>
        <w:t>participation,</w:t>
      </w:r>
      <w:r>
        <w:rPr>
          <w:rFonts w:ascii="Arial" w:hAnsi="Arial" w:eastAsia="Arial" w:cs="Arial"/>
          <w:spacing w:val="37"/>
          <w:sz w:val="19"/>
          <w:szCs w:val="19"/>
        </w:rPr>
        <w:t xml:space="preserve"> </w:t>
      </w:r>
      <w:r>
        <w:rPr>
          <w:rFonts w:ascii="Arial" w:hAnsi="Arial" w:eastAsia="Arial" w:cs="Arial"/>
          <w:spacing w:val="-4"/>
          <w:sz w:val="19"/>
          <w:szCs w:val="19"/>
        </w:rPr>
        <w:t>commitment,</w:t>
      </w:r>
      <w:r>
        <w:rPr>
          <w:rFonts w:ascii="Arial" w:hAnsi="Arial" w:eastAsia="Arial" w:cs="Arial"/>
          <w:spacing w:val="35"/>
          <w:w w:val="101"/>
          <w:sz w:val="19"/>
          <w:szCs w:val="19"/>
        </w:rPr>
        <w:t xml:space="preserve"> </w:t>
      </w:r>
      <w:r>
        <w:rPr>
          <w:rFonts w:ascii="Arial" w:hAnsi="Arial" w:eastAsia="Arial" w:cs="Arial"/>
          <w:spacing w:val="-4"/>
          <w:sz w:val="19"/>
          <w:szCs w:val="19"/>
        </w:rPr>
        <w:t>and</w:t>
      </w:r>
      <w:r>
        <w:rPr>
          <w:rFonts w:ascii="Arial" w:hAnsi="Arial" w:eastAsia="Arial" w:cs="Arial"/>
          <w:spacing w:val="37"/>
          <w:w w:val="101"/>
          <w:sz w:val="19"/>
          <w:szCs w:val="19"/>
        </w:rPr>
        <w:t xml:space="preserve"> </w:t>
      </w:r>
      <w:r>
        <w:rPr>
          <w:rFonts w:ascii="Arial" w:hAnsi="Arial" w:eastAsia="Arial" w:cs="Arial"/>
          <w:spacing w:val="-4"/>
          <w:sz w:val="19"/>
          <w:szCs w:val="19"/>
        </w:rPr>
        <w:t>en</w:t>
      </w:r>
      <w:r>
        <w:rPr>
          <w:rFonts w:ascii="Arial" w:hAnsi="Arial" w:eastAsia="Arial" w:cs="Arial"/>
          <w:spacing w:val="-5"/>
          <w:sz w:val="19"/>
          <w:szCs w:val="19"/>
        </w:rPr>
        <w:t>gage-</w:t>
      </w:r>
      <w:r>
        <w:rPr>
          <w:rFonts w:ascii="Arial" w:hAnsi="Arial" w:eastAsia="Arial" w:cs="Arial"/>
          <w:sz w:val="19"/>
          <w:szCs w:val="19"/>
        </w:rPr>
        <w:t xml:space="preserve"> </w:t>
      </w:r>
      <w:r>
        <w:rPr>
          <w:rFonts w:ascii="Arial" w:hAnsi="Arial" w:eastAsia="Arial" w:cs="Arial"/>
          <w:spacing w:val="-5"/>
          <w:sz w:val="19"/>
          <w:szCs w:val="19"/>
        </w:rPr>
        <w:t>me</w:t>
      </w:r>
      <w:r>
        <w:rPr>
          <w:rFonts w:ascii="Arial" w:hAnsi="Arial" w:eastAsia="Arial" w:cs="Arial"/>
          <w:spacing w:val="-4"/>
          <w:sz w:val="19"/>
          <w:szCs w:val="19"/>
        </w:rPr>
        <w:t>nt</w:t>
      </w:r>
      <w:r>
        <w:rPr>
          <w:rFonts w:ascii="Arial" w:hAnsi="Arial" w:eastAsia="Arial" w:cs="Arial"/>
          <w:spacing w:val="19"/>
          <w:sz w:val="19"/>
          <w:szCs w:val="19"/>
        </w:rPr>
        <w:t xml:space="preserve">  </w:t>
      </w:r>
      <w:r>
        <w:rPr>
          <w:rFonts w:ascii="Arial" w:hAnsi="Arial" w:eastAsia="Arial" w:cs="Arial"/>
          <w:spacing w:val="-4"/>
          <w:sz w:val="19"/>
          <w:szCs w:val="19"/>
        </w:rPr>
        <w:t>levels.</w:t>
      </w:r>
      <w:r>
        <w:rPr>
          <w:rFonts w:ascii="Arial" w:hAnsi="Arial" w:eastAsia="Arial" w:cs="Arial"/>
          <w:spacing w:val="19"/>
          <w:sz w:val="19"/>
          <w:szCs w:val="19"/>
        </w:rPr>
        <w:t xml:space="preserve">  </w:t>
      </w:r>
      <w:r>
        <w:rPr>
          <w:rFonts w:ascii="Arial" w:hAnsi="Arial" w:eastAsia="Arial" w:cs="Arial"/>
          <w:spacing w:val="-4"/>
          <w:sz w:val="19"/>
          <w:szCs w:val="19"/>
        </w:rPr>
        <w:t>Respective</w:t>
      </w:r>
      <w:r>
        <w:rPr>
          <w:rFonts w:ascii="Arial" w:hAnsi="Arial" w:eastAsia="Arial" w:cs="Arial"/>
          <w:spacing w:val="18"/>
          <w:w w:val="101"/>
          <w:sz w:val="19"/>
          <w:szCs w:val="19"/>
        </w:rPr>
        <w:t xml:space="preserve">  </w:t>
      </w:r>
      <w:r>
        <w:rPr>
          <w:rFonts w:ascii="Arial" w:hAnsi="Arial" w:eastAsia="Arial" w:cs="Arial"/>
          <w:spacing w:val="-4"/>
          <w:sz w:val="19"/>
          <w:szCs w:val="19"/>
        </w:rPr>
        <w:t>res</w:t>
      </w:r>
      <w:r>
        <w:rPr>
          <w:rFonts w:ascii="Arial" w:hAnsi="Arial" w:eastAsia="Arial" w:cs="Arial"/>
          <w:spacing w:val="-5"/>
          <w:sz w:val="19"/>
          <w:szCs w:val="19"/>
        </w:rPr>
        <w:t>ults</w:t>
      </w:r>
      <w:r>
        <w:rPr>
          <w:rFonts w:ascii="Arial" w:hAnsi="Arial" w:eastAsia="Arial" w:cs="Arial"/>
          <w:spacing w:val="19"/>
          <w:sz w:val="19"/>
          <w:szCs w:val="19"/>
        </w:rPr>
        <w:t xml:space="preserve">  </w:t>
      </w:r>
      <w:r>
        <w:rPr>
          <w:rFonts w:ascii="Arial" w:hAnsi="Arial" w:eastAsia="Arial" w:cs="Arial"/>
          <w:spacing w:val="-5"/>
          <w:sz w:val="19"/>
          <w:szCs w:val="19"/>
        </w:rPr>
        <w:t>have</w:t>
      </w:r>
      <w:r>
        <w:rPr>
          <w:rFonts w:ascii="Arial" w:hAnsi="Arial" w:eastAsia="Arial" w:cs="Arial"/>
          <w:spacing w:val="13"/>
          <w:w w:val="101"/>
          <w:sz w:val="19"/>
          <w:szCs w:val="19"/>
        </w:rPr>
        <w:t xml:space="preserve">  </w:t>
      </w:r>
      <w:r>
        <w:rPr>
          <w:rFonts w:ascii="Arial" w:hAnsi="Arial" w:eastAsia="Arial" w:cs="Arial"/>
          <w:spacing w:val="-5"/>
          <w:sz w:val="19"/>
          <w:szCs w:val="19"/>
        </w:rPr>
        <w:t>the</w:t>
      </w:r>
      <w:r>
        <w:rPr>
          <w:rFonts w:ascii="Arial" w:hAnsi="Arial" w:eastAsia="Arial" w:cs="Arial"/>
          <w:spacing w:val="19"/>
          <w:sz w:val="19"/>
          <w:szCs w:val="19"/>
        </w:rPr>
        <w:t xml:space="preserve">  </w:t>
      </w:r>
      <w:r>
        <w:rPr>
          <w:rFonts w:ascii="Arial" w:hAnsi="Arial" w:eastAsia="Arial" w:cs="Arial"/>
          <w:spacing w:val="-5"/>
          <w:sz w:val="19"/>
          <w:szCs w:val="19"/>
        </w:rPr>
        <w:t>potential</w:t>
      </w:r>
      <w:r>
        <w:rPr>
          <w:rFonts w:ascii="Arial" w:hAnsi="Arial" w:eastAsia="Arial" w:cs="Arial"/>
          <w:spacing w:val="14"/>
          <w:sz w:val="19"/>
          <w:szCs w:val="19"/>
        </w:rPr>
        <w:t xml:space="preserve">  </w:t>
      </w:r>
      <w:r>
        <w:rPr>
          <w:rFonts w:ascii="Arial" w:hAnsi="Arial" w:eastAsia="Arial" w:cs="Arial"/>
          <w:spacing w:val="-5"/>
          <w:sz w:val="19"/>
          <w:szCs w:val="19"/>
        </w:rPr>
        <w:t>to</w:t>
      </w:r>
      <w:r>
        <w:rPr>
          <w:rFonts w:ascii="Arial" w:hAnsi="Arial" w:eastAsia="Arial" w:cs="Arial"/>
          <w:spacing w:val="15"/>
          <w:w w:val="101"/>
          <w:sz w:val="19"/>
          <w:szCs w:val="19"/>
        </w:rPr>
        <w:t xml:space="preserve">  </w:t>
      </w:r>
      <w:r>
        <w:rPr>
          <w:rFonts w:ascii="Arial" w:hAnsi="Arial" w:eastAsia="Arial" w:cs="Arial"/>
          <w:spacing w:val="-5"/>
          <w:sz w:val="19"/>
          <w:szCs w:val="19"/>
        </w:rPr>
        <w:t>contribute</w:t>
      </w:r>
      <w:r>
        <w:rPr>
          <w:rFonts w:ascii="Arial" w:hAnsi="Arial" w:eastAsia="Arial" w:cs="Arial"/>
          <w:spacing w:val="14"/>
          <w:sz w:val="19"/>
          <w:szCs w:val="19"/>
        </w:rPr>
        <w:t xml:space="preserve">  </w:t>
      </w:r>
      <w:r>
        <w:rPr>
          <w:rFonts w:ascii="Arial" w:hAnsi="Arial" w:eastAsia="Arial" w:cs="Arial"/>
          <w:spacing w:val="-5"/>
          <w:sz w:val="19"/>
          <w:szCs w:val="19"/>
        </w:rPr>
        <w:t>to</w:t>
      </w:r>
      <w:r>
        <w:rPr>
          <w:rFonts w:ascii="Arial" w:hAnsi="Arial" w:eastAsia="Arial" w:cs="Arial"/>
          <w:spacing w:val="13"/>
          <w:w w:val="101"/>
          <w:sz w:val="19"/>
          <w:szCs w:val="19"/>
        </w:rPr>
        <w:t xml:space="preserve">  </w:t>
      </w:r>
      <w:r>
        <w:rPr>
          <w:rFonts w:ascii="Arial" w:hAnsi="Arial" w:eastAsia="Arial" w:cs="Arial"/>
          <w:spacing w:val="-5"/>
          <w:sz w:val="19"/>
          <w:szCs w:val="19"/>
        </w:rPr>
        <w:t>target-oriented</w:t>
      </w:r>
      <w:r>
        <w:rPr>
          <w:rFonts w:ascii="Arial" w:hAnsi="Arial" w:eastAsia="Arial" w:cs="Arial"/>
          <w:spacing w:val="16"/>
          <w:w w:val="101"/>
          <w:sz w:val="19"/>
          <w:szCs w:val="19"/>
        </w:rPr>
        <w:t xml:space="preserve">  </w:t>
      </w:r>
      <w:r>
        <w:rPr>
          <w:rFonts w:ascii="Arial" w:hAnsi="Arial" w:eastAsia="Arial" w:cs="Arial"/>
          <w:spacing w:val="-5"/>
          <w:sz w:val="19"/>
          <w:szCs w:val="19"/>
        </w:rPr>
        <w:t>qualit</w:t>
      </w:r>
      <w:r>
        <w:rPr>
          <w:rFonts w:ascii="Arial" w:hAnsi="Arial" w:eastAsia="Arial" w:cs="Arial"/>
          <w:spacing w:val="-3"/>
          <w:sz w:val="19"/>
          <w:szCs w:val="19"/>
        </w:rPr>
        <w:t>y</w:t>
      </w:r>
      <w:r>
        <w:rPr>
          <w:rFonts w:ascii="Arial" w:hAnsi="Arial" w:eastAsia="Arial" w:cs="Arial"/>
          <w:sz w:val="19"/>
          <w:szCs w:val="19"/>
        </w:rPr>
        <w:t xml:space="preserve"> </w:t>
      </w:r>
      <w:r>
        <w:rPr>
          <w:rFonts w:ascii="Arial" w:hAnsi="Arial" w:eastAsia="Arial" w:cs="Arial"/>
          <w:spacing w:val="-6"/>
          <w:sz w:val="19"/>
          <w:szCs w:val="19"/>
        </w:rPr>
        <w:t>improvement  measures,  as  these  QCI  dimensions</w:t>
      </w:r>
      <w:r>
        <w:rPr>
          <w:rFonts w:ascii="Arial" w:hAnsi="Arial" w:eastAsia="Arial" w:cs="Arial"/>
          <w:spacing w:val="3"/>
          <w:sz w:val="19"/>
          <w:szCs w:val="19"/>
        </w:rPr>
        <w:t xml:space="preserve">  </w:t>
      </w:r>
      <w:r>
        <w:rPr>
          <w:rFonts w:ascii="Arial" w:hAnsi="Arial" w:eastAsia="Arial" w:cs="Arial"/>
          <w:spacing w:val="-6"/>
          <w:sz w:val="19"/>
          <w:szCs w:val="19"/>
        </w:rPr>
        <w:t>may</w:t>
      </w:r>
      <w:r>
        <w:rPr>
          <w:rFonts w:ascii="Arial" w:hAnsi="Arial" w:eastAsia="Arial" w:cs="Arial"/>
          <w:spacing w:val="3"/>
          <w:sz w:val="19"/>
          <w:szCs w:val="19"/>
        </w:rPr>
        <w:t xml:space="preserve">  </w:t>
      </w:r>
      <w:r>
        <w:rPr>
          <w:rFonts w:ascii="Arial" w:hAnsi="Arial" w:eastAsia="Arial" w:cs="Arial"/>
          <w:spacing w:val="-6"/>
          <w:sz w:val="19"/>
          <w:szCs w:val="19"/>
        </w:rPr>
        <w:t>not</w:t>
      </w:r>
      <w:r>
        <w:rPr>
          <w:rFonts w:ascii="Arial" w:hAnsi="Arial" w:eastAsia="Arial" w:cs="Arial"/>
          <w:spacing w:val="4"/>
          <w:sz w:val="19"/>
          <w:szCs w:val="19"/>
        </w:rPr>
        <w:t xml:space="preserve">  </w:t>
      </w:r>
      <w:r>
        <w:rPr>
          <w:rFonts w:ascii="Arial" w:hAnsi="Arial" w:eastAsia="Arial" w:cs="Arial"/>
          <w:spacing w:val="-6"/>
          <w:sz w:val="19"/>
          <w:szCs w:val="19"/>
        </w:rPr>
        <w:t>be  equally</w:t>
      </w:r>
      <w:r>
        <w:rPr>
          <w:rFonts w:ascii="Arial" w:hAnsi="Arial" w:eastAsia="Arial" w:cs="Arial"/>
          <w:spacing w:val="2"/>
          <w:sz w:val="19"/>
          <w:szCs w:val="19"/>
        </w:rPr>
        <w:t xml:space="preserve">  </w:t>
      </w:r>
      <w:r>
        <w:rPr>
          <w:rFonts w:ascii="Arial" w:hAnsi="Arial" w:eastAsia="Arial" w:cs="Arial"/>
          <w:spacing w:val="-6"/>
          <w:sz w:val="19"/>
          <w:szCs w:val="19"/>
        </w:rPr>
        <w:t>pronounced</w:t>
      </w:r>
      <w:r>
        <w:rPr>
          <w:rFonts w:ascii="Arial" w:hAnsi="Arial" w:eastAsia="Arial" w:cs="Arial"/>
          <w:spacing w:val="54"/>
          <w:sz w:val="19"/>
          <w:szCs w:val="19"/>
        </w:rPr>
        <w:t xml:space="preserve"> </w:t>
      </w:r>
      <w:r>
        <w:rPr>
          <w:rFonts w:ascii="Arial" w:hAnsi="Arial" w:eastAsia="Arial" w:cs="Arial"/>
          <w:spacing w:val="-6"/>
          <w:sz w:val="19"/>
          <w:szCs w:val="19"/>
        </w:rPr>
        <w:t>among</w:t>
      </w:r>
      <w:r>
        <w:rPr>
          <w:rFonts w:ascii="Arial" w:hAnsi="Arial" w:eastAsia="Arial" w:cs="Arial"/>
          <w:sz w:val="19"/>
          <w:szCs w:val="19"/>
        </w:rPr>
        <w:t xml:space="preserve">  </w:t>
      </w:r>
      <w:r>
        <w:rPr>
          <w:rFonts w:ascii="Arial" w:hAnsi="Arial" w:eastAsia="Arial" w:cs="Arial"/>
          <w:spacing w:val="-7"/>
          <w:sz w:val="19"/>
          <w:szCs w:val="19"/>
        </w:rPr>
        <w:t>all</w:t>
      </w:r>
      <w:r>
        <w:rPr>
          <w:rFonts w:ascii="Arial" w:hAnsi="Arial" w:eastAsia="Arial" w:cs="Arial"/>
          <w:sz w:val="19"/>
          <w:szCs w:val="19"/>
        </w:rPr>
        <w:t xml:space="preserve"> </w:t>
      </w:r>
      <w:r>
        <w:rPr>
          <w:rFonts w:ascii="Arial" w:hAnsi="Arial" w:eastAsia="Arial" w:cs="Arial"/>
          <w:spacing w:val="-9"/>
          <w:sz w:val="19"/>
          <w:szCs w:val="19"/>
        </w:rPr>
        <w:t>HEI</w:t>
      </w:r>
      <w:r>
        <w:rPr>
          <w:rFonts w:ascii="Arial" w:hAnsi="Arial" w:eastAsia="Arial" w:cs="Arial"/>
          <w:spacing w:val="34"/>
          <w:w w:val="101"/>
          <w:sz w:val="19"/>
          <w:szCs w:val="19"/>
        </w:rPr>
        <w:t xml:space="preserve"> </w:t>
      </w:r>
      <w:r>
        <w:rPr>
          <w:rFonts w:ascii="Arial" w:hAnsi="Arial" w:eastAsia="Arial" w:cs="Arial"/>
          <w:spacing w:val="-9"/>
          <w:sz w:val="19"/>
          <w:szCs w:val="19"/>
        </w:rPr>
        <w:t>status</w:t>
      </w:r>
      <w:r>
        <w:rPr>
          <w:rFonts w:ascii="Arial" w:hAnsi="Arial" w:eastAsia="Arial" w:cs="Arial"/>
          <w:spacing w:val="35"/>
          <w:w w:val="101"/>
          <w:sz w:val="19"/>
          <w:szCs w:val="19"/>
        </w:rPr>
        <w:t xml:space="preserve"> </w:t>
      </w:r>
      <w:r>
        <w:rPr>
          <w:rFonts w:ascii="Arial" w:hAnsi="Arial" w:eastAsia="Arial" w:cs="Arial"/>
          <w:spacing w:val="-9"/>
          <w:sz w:val="19"/>
          <w:szCs w:val="19"/>
        </w:rPr>
        <w:t>groups.</w:t>
      </w:r>
    </w:p>
    <w:p>
      <w:pPr>
        <w:spacing w:line="299" w:lineRule="auto"/>
        <w:rPr>
          <w:rFonts w:ascii="Arial"/>
          <w:sz w:val="21"/>
        </w:rPr>
      </w:pPr>
    </w:p>
    <w:p>
      <w:pPr>
        <w:spacing w:line="299" w:lineRule="auto"/>
        <w:rPr>
          <w:rFonts w:ascii="Arial"/>
          <w:sz w:val="21"/>
        </w:rPr>
      </w:pPr>
    </w:p>
    <w:p>
      <w:pPr>
        <w:spacing w:before="58" w:line="191" w:lineRule="auto"/>
        <w:ind w:left="1"/>
        <w:outlineLvl w:val="3"/>
        <w:rPr>
          <w:rFonts w:ascii="Arial" w:hAnsi="Arial" w:eastAsia="Arial" w:cs="Arial"/>
          <w:sz w:val="20"/>
          <w:szCs w:val="20"/>
        </w:rPr>
      </w:pPr>
      <w:r>
        <w:rPr>
          <w:rFonts w:ascii="Arial" w:hAnsi="Arial" w:eastAsia="Arial" w:cs="Arial"/>
          <w:color w:val="282781"/>
          <w:sz w:val="20"/>
          <w:szCs w:val="20"/>
        </w:rPr>
        <w:t>Limitations</w:t>
      </w:r>
    </w:p>
    <w:p>
      <w:pPr>
        <w:spacing w:before="180" w:line="229" w:lineRule="auto"/>
        <w:ind w:left="4"/>
        <w:rPr>
          <w:rFonts w:ascii="Arial" w:hAnsi="Arial" w:eastAsia="Arial" w:cs="Arial"/>
          <w:sz w:val="19"/>
          <w:szCs w:val="19"/>
        </w:rPr>
      </w:pPr>
      <w:r>
        <w:rPr>
          <w:rFonts w:ascii="Arial" w:hAnsi="Arial" w:eastAsia="Arial" w:cs="Arial"/>
          <w:spacing w:val="-4"/>
          <w:sz w:val="19"/>
          <w:szCs w:val="19"/>
        </w:rPr>
        <w:t>Our results clearly indicate that the collective</w:t>
      </w:r>
      <w:r>
        <w:rPr>
          <w:rFonts w:ascii="Arial" w:hAnsi="Arial" w:eastAsia="Arial" w:cs="Arial"/>
          <w:spacing w:val="-5"/>
          <w:sz w:val="19"/>
          <w:szCs w:val="19"/>
        </w:rPr>
        <w:t xml:space="preserve"> and individual elements of quality culture represent rel-</w:t>
      </w:r>
      <w:r>
        <w:rPr>
          <w:rFonts w:ascii="Arial" w:hAnsi="Arial" w:eastAsia="Arial" w:cs="Arial"/>
          <w:sz w:val="19"/>
          <w:szCs w:val="19"/>
        </w:rPr>
        <w:t xml:space="preserve"> </w:t>
      </w:r>
      <w:r>
        <w:rPr>
          <w:rFonts w:ascii="Arial" w:hAnsi="Arial" w:eastAsia="Arial" w:cs="Arial"/>
          <w:spacing w:val="-5"/>
          <w:sz w:val="19"/>
          <w:szCs w:val="19"/>
        </w:rPr>
        <w:t>evant  predictors  of</w:t>
      </w:r>
      <w:r>
        <w:rPr>
          <w:rFonts w:ascii="Arial" w:hAnsi="Arial" w:eastAsia="Arial" w:cs="Arial"/>
          <w:spacing w:val="33"/>
          <w:w w:val="101"/>
          <w:sz w:val="19"/>
          <w:szCs w:val="19"/>
        </w:rPr>
        <w:t xml:space="preserve"> </w:t>
      </w:r>
      <w:r>
        <w:rPr>
          <w:rFonts w:ascii="Arial" w:hAnsi="Arial" w:eastAsia="Arial" w:cs="Arial"/>
          <w:spacing w:val="-5"/>
          <w:sz w:val="19"/>
          <w:szCs w:val="19"/>
        </w:rPr>
        <w:t>various  dependent  variables  such</w:t>
      </w:r>
      <w:r>
        <w:rPr>
          <w:rFonts w:ascii="Arial" w:hAnsi="Arial" w:eastAsia="Arial" w:cs="Arial"/>
          <w:spacing w:val="-6"/>
          <w:sz w:val="19"/>
          <w:szCs w:val="19"/>
        </w:rPr>
        <w:t xml:space="preserve">  as  HEI  commitment  and</w:t>
      </w:r>
      <w:r>
        <w:rPr>
          <w:rFonts w:ascii="Arial" w:hAnsi="Arial" w:eastAsia="Arial" w:cs="Arial"/>
          <w:spacing w:val="28"/>
          <w:w w:val="101"/>
          <w:sz w:val="19"/>
          <w:szCs w:val="19"/>
        </w:rPr>
        <w:t xml:space="preserve"> </w:t>
      </w:r>
      <w:r>
        <w:rPr>
          <w:rFonts w:ascii="Arial" w:hAnsi="Arial" w:eastAsia="Arial" w:cs="Arial"/>
          <w:spacing w:val="-6"/>
          <w:sz w:val="19"/>
          <w:szCs w:val="19"/>
        </w:rPr>
        <w:t>job  satisfaction.</w:t>
      </w:r>
    </w:p>
    <w:p>
      <w:pPr>
        <w:spacing w:line="229" w:lineRule="auto"/>
        <w:rPr>
          <w:rFonts w:ascii="Arial" w:hAnsi="Arial" w:eastAsia="Arial" w:cs="Arial"/>
          <w:sz w:val="19"/>
          <w:szCs w:val="19"/>
        </w:rPr>
        <w:sectPr>
          <w:footerReference r:id="rId113" w:type="default"/>
          <w:pgSz w:w="9865" w:h="14060"/>
          <w:pgMar w:top="400" w:right="959" w:bottom="400" w:left="962" w:header="0" w:footer="0" w:gutter="0"/>
          <w:cols w:space="720" w:num="1"/>
        </w:sectPr>
      </w:pPr>
    </w:p>
    <w:p>
      <w:pPr>
        <w:spacing w:before="103"/>
        <w:jc w:val="right"/>
        <w:rPr>
          <w:rFonts w:ascii="Arial" w:hAnsi="Arial" w:eastAsia="Arial" w:cs="Arial"/>
          <w:sz w:val="14"/>
          <w:szCs w:val="14"/>
        </w:rPr>
      </w:pPr>
      <w:r>
        <w:rPr>
          <w:rFonts w:ascii="Arial" w:hAnsi="Arial" w:eastAsia="Arial" w:cs="Arial"/>
          <w:spacing w:val="-9"/>
          <w:sz w:val="14"/>
          <w:szCs w:val="14"/>
        </w:rPr>
        <w:t>ST</w:t>
      </w:r>
      <w:r>
        <w:rPr>
          <w:rFonts w:ascii="Arial" w:hAnsi="Arial" w:eastAsia="Arial" w:cs="Arial"/>
          <w:spacing w:val="-8"/>
          <w:sz w:val="14"/>
          <w:szCs w:val="14"/>
        </w:rPr>
        <w:t>UDIES</w:t>
      </w:r>
      <w:r>
        <w:rPr>
          <w:rFonts w:ascii="Arial" w:hAnsi="Arial" w:eastAsia="Arial" w:cs="Arial"/>
          <w:spacing w:val="28"/>
          <w:sz w:val="14"/>
          <w:szCs w:val="14"/>
        </w:rPr>
        <w:t xml:space="preserve"> </w:t>
      </w:r>
      <w:r>
        <w:rPr>
          <w:rFonts w:ascii="Arial" w:hAnsi="Arial" w:eastAsia="Arial" w:cs="Arial"/>
          <w:spacing w:val="-8"/>
          <w:sz w:val="14"/>
          <w:szCs w:val="14"/>
        </w:rPr>
        <w:t>IN</w:t>
      </w:r>
      <w:r>
        <w:rPr>
          <w:rFonts w:ascii="Arial" w:hAnsi="Arial" w:eastAsia="Arial" w:cs="Arial"/>
          <w:spacing w:val="11"/>
          <w:w w:val="101"/>
          <w:sz w:val="14"/>
          <w:szCs w:val="14"/>
        </w:rPr>
        <w:t xml:space="preserve"> </w:t>
      </w:r>
      <w:r>
        <w:rPr>
          <w:rFonts w:ascii="Arial" w:hAnsi="Arial" w:eastAsia="Arial" w:cs="Arial"/>
          <w:spacing w:val="-8"/>
          <w:sz w:val="14"/>
          <w:szCs w:val="14"/>
        </w:rPr>
        <w:t>HIGHER</w:t>
      </w:r>
      <w:r>
        <w:rPr>
          <w:rFonts w:ascii="Arial" w:hAnsi="Arial" w:eastAsia="Arial" w:cs="Arial"/>
          <w:spacing w:val="10"/>
          <w:w w:val="102"/>
          <w:sz w:val="14"/>
          <w:szCs w:val="14"/>
        </w:rPr>
        <w:t xml:space="preserve"> </w:t>
      </w:r>
      <w:r>
        <w:rPr>
          <w:rFonts w:ascii="Arial" w:hAnsi="Arial" w:eastAsia="Arial" w:cs="Arial"/>
          <w:spacing w:val="-8"/>
          <w:sz w:val="14"/>
          <w:szCs w:val="14"/>
        </w:rPr>
        <w:t xml:space="preserve">EDUCATION    </w:t>
      </w:r>
      <w:r>
        <w:rPr>
          <w:position w:val="-6"/>
          <w:sz w:val="14"/>
          <w:szCs w:val="14"/>
        </w:rPr>
        <w:drawing>
          <wp:inline distT="0" distB="0" distL="0" distR="0">
            <wp:extent cx="139700" cy="13970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43"/>
                    <a:stretch>
                      <a:fillRect/>
                    </a:stretch>
                  </pic:blipFill>
                  <pic:spPr>
                    <a:xfrm>
                      <a:off x="0" y="0"/>
                      <a:ext cx="139700" cy="139700"/>
                    </a:xfrm>
                    <a:prstGeom prst="rect">
                      <a:avLst/>
                    </a:prstGeom>
                  </pic:spPr>
                </pic:pic>
              </a:graphicData>
            </a:graphic>
          </wp:inline>
        </w:drawing>
      </w:r>
      <w:r>
        <w:rPr>
          <w:rFonts w:ascii="Arial" w:hAnsi="Arial" w:eastAsia="Arial" w:cs="Arial"/>
          <w:spacing w:val="2"/>
          <w:sz w:val="14"/>
          <w:szCs w:val="14"/>
        </w:rPr>
        <w:t xml:space="preserve">    </w:t>
      </w:r>
      <w:r>
        <w:rPr>
          <w:rFonts w:ascii="Arial" w:hAnsi="Arial" w:eastAsia="Arial" w:cs="Arial"/>
          <w:spacing w:val="-8"/>
          <w:sz w:val="14"/>
          <w:szCs w:val="14"/>
        </w:rPr>
        <w:t>1</w:t>
      </w:r>
      <w:r>
        <w:rPr>
          <w:rFonts w:ascii="Arial" w:hAnsi="Arial" w:eastAsia="Arial" w:cs="Arial"/>
          <w:spacing w:val="-6"/>
          <w:sz w:val="14"/>
          <w:szCs w:val="14"/>
        </w:rPr>
        <w:t>5</w:t>
      </w:r>
    </w:p>
    <w:p>
      <w:pPr>
        <w:spacing w:line="276" w:lineRule="auto"/>
        <w:rPr>
          <w:rFonts w:ascii="Arial"/>
          <w:sz w:val="21"/>
        </w:rPr>
      </w:pPr>
    </w:p>
    <w:p>
      <w:pPr>
        <w:spacing w:before="55" w:line="233" w:lineRule="auto"/>
        <w:ind w:left="7" w:firstLine="7"/>
        <w:rPr>
          <w:rFonts w:ascii="Arial" w:hAnsi="Arial" w:eastAsia="Arial" w:cs="Arial"/>
          <w:sz w:val="19"/>
          <w:szCs w:val="19"/>
        </w:rPr>
      </w:pPr>
      <w:r>
        <w:rPr>
          <w:rFonts w:ascii="Arial" w:hAnsi="Arial" w:eastAsia="Arial" w:cs="Arial"/>
          <w:spacing w:val="-5"/>
          <w:sz w:val="19"/>
          <w:szCs w:val="19"/>
        </w:rPr>
        <w:t>However, l</w:t>
      </w:r>
      <w:r>
        <w:rPr>
          <w:rFonts w:ascii="Arial" w:hAnsi="Arial" w:eastAsia="Arial" w:cs="Arial"/>
          <w:spacing w:val="-4"/>
          <w:sz w:val="19"/>
          <w:szCs w:val="19"/>
        </w:rPr>
        <w:t>ongitudinal designs need to be applied in future studies in order to allow for the testing o</w:t>
      </w:r>
      <w:r>
        <w:rPr>
          <w:rFonts w:ascii="Arial" w:hAnsi="Arial" w:eastAsia="Arial" w:cs="Arial"/>
          <w:spacing w:val="6"/>
          <w:sz w:val="19"/>
          <w:szCs w:val="19"/>
        </w:rPr>
        <w:t>f</w:t>
      </w:r>
      <w:r>
        <w:rPr>
          <w:rFonts w:ascii="Arial" w:hAnsi="Arial" w:eastAsia="Arial" w:cs="Arial"/>
          <w:spacing w:val="4"/>
          <w:sz w:val="19"/>
          <w:szCs w:val="19"/>
        </w:rPr>
        <w:t xml:space="preserve"> </w:t>
      </w:r>
      <w:r>
        <w:rPr>
          <w:rFonts w:ascii="Arial" w:hAnsi="Arial" w:eastAsia="Arial" w:cs="Arial"/>
          <w:spacing w:val="-6"/>
          <w:sz w:val="19"/>
          <w:szCs w:val="19"/>
        </w:rPr>
        <w:t>causal</w:t>
      </w:r>
      <w:r>
        <w:rPr>
          <w:rFonts w:ascii="Arial" w:hAnsi="Arial" w:eastAsia="Arial" w:cs="Arial"/>
          <w:spacing w:val="18"/>
          <w:w w:val="101"/>
          <w:sz w:val="19"/>
          <w:szCs w:val="19"/>
        </w:rPr>
        <w:t xml:space="preserve"> </w:t>
      </w:r>
      <w:r>
        <w:rPr>
          <w:rFonts w:ascii="Arial" w:hAnsi="Arial" w:eastAsia="Arial" w:cs="Arial"/>
          <w:spacing w:val="-6"/>
          <w:sz w:val="19"/>
          <w:szCs w:val="19"/>
        </w:rPr>
        <w:t>relationships,</w:t>
      </w:r>
      <w:r>
        <w:rPr>
          <w:rFonts w:ascii="Arial" w:hAnsi="Arial" w:eastAsia="Arial" w:cs="Arial"/>
          <w:spacing w:val="11"/>
          <w:sz w:val="19"/>
          <w:szCs w:val="19"/>
        </w:rPr>
        <w:t xml:space="preserve"> </w:t>
      </w:r>
      <w:r>
        <w:rPr>
          <w:rFonts w:ascii="Arial" w:hAnsi="Arial" w:eastAsia="Arial" w:cs="Arial"/>
          <w:spacing w:val="-6"/>
          <w:sz w:val="19"/>
          <w:szCs w:val="19"/>
        </w:rPr>
        <w:t>as</w:t>
      </w:r>
      <w:r>
        <w:rPr>
          <w:rFonts w:ascii="Arial" w:hAnsi="Arial" w:eastAsia="Arial" w:cs="Arial"/>
          <w:spacing w:val="12"/>
          <w:sz w:val="19"/>
          <w:szCs w:val="19"/>
        </w:rPr>
        <w:t xml:space="preserve"> </w:t>
      </w:r>
      <w:r>
        <w:rPr>
          <w:rFonts w:ascii="Arial" w:hAnsi="Arial" w:eastAsia="Arial" w:cs="Arial"/>
          <w:spacing w:val="-6"/>
          <w:sz w:val="19"/>
          <w:szCs w:val="19"/>
        </w:rPr>
        <w:t>our</w:t>
      </w:r>
      <w:r>
        <w:rPr>
          <w:rFonts w:ascii="Arial" w:hAnsi="Arial" w:eastAsia="Arial" w:cs="Arial"/>
          <w:spacing w:val="12"/>
          <w:sz w:val="19"/>
          <w:szCs w:val="19"/>
        </w:rPr>
        <w:t xml:space="preserve"> </w:t>
      </w:r>
      <w:r>
        <w:rPr>
          <w:rFonts w:ascii="Arial" w:hAnsi="Arial" w:eastAsia="Arial" w:cs="Arial"/>
          <w:spacing w:val="-6"/>
          <w:sz w:val="19"/>
          <w:szCs w:val="19"/>
        </w:rPr>
        <w:t>cross-sectional</w:t>
      </w:r>
      <w:r>
        <w:rPr>
          <w:rFonts w:ascii="Arial" w:hAnsi="Arial" w:eastAsia="Arial" w:cs="Arial"/>
          <w:spacing w:val="18"/>
          <w:w w:val="101"/>
          <w:sz w:val="19"/>
          <w:szCs w:val="19"/>
        </w:rPr>
        <w:t xml:space="preserve"> </w:t>
      </w:r>
      <w:r>
        <w:rPr>
          <w:rFonts w:ascii="Arial" w:hAnsi="Arial" w:eastAsia="Arial" w:cs="Arial"/>
          <w:spacing w:val="-6"/>
          <w:sz w:val="19"/>
          <w:szCs w:val="19"/>
        </w:rPr>
        <w:t>results</w:t>
      </w:r>
      <w:r>
        <w:rPr>
          <w:rFonts w:ascii="Arial" w:hAnsi="Arial" w:eastAsia="Arial" w:cs="Arial"/>
          <w:spacing w:val="13"/>
          <w:sz w:val="19"/>
          <w:szCs w:val="19"/>
        </w:rPr>
        <w:t xml:space="preserve"> </w:t>
      </w:r>
      <w:r>
        <w:rPr>
          <w:rFonts w:ascii="Arial" w:hAnsi="Arial" w:eastAsia="Arial" w:cs="Arial"/>
          <w:spacing w:val="-6"/>
          <w:sz w:val="19"/>
          <w:szCs w:val="19"/>
        </w:rPr>
        <w:t>can</w:t>
      </w:r>
      <w:r>
        <w:rPr>
          <w:rFonts w:ascii="Arial" w:hAnsi="Arial" w:eastAsia="Arial" w:cs="Arial"/>
          <w:spacing w:val="11"/>
          <w:sz w:val="19"/>
          <w:szCs w:val="19"/>
        </w:rPr>
        <w:t xml:space="preserve"> </w:t>
      </w:r>
      <w:r>
        <w:rPr>
          <w:rFonts w:ascii="Arial" w:hAnsi="Arial" w:eastAsia="Arial" w:cs="Arial"/>
          <w:spacing w:val="-6"/>
          <w:sz w:val="19"/>
          <w:szCs w:val="19"/>
        </w:rPr>
        <w:t>only</w:t>
      </w:r>
      <w:r>
        <w:rPr>
          <w:rFonts w:ascii="Arial" w:hAnsi="Arial" w:eastAsia="Arial" w:cs="Arial"/>
          <w:spacing w:val="19"/>
          <w:sz w:val="19"/>
          <w:szCs w:val="19"/>
        </w:rPr>
        <w:t xml:space="preserve"> </w:t>
      </w:r>
      <w:r>
        <w:rPr>
          <w:rFonts w:ascii="Arial" w:hAnsi="Arial" w:eastAsia="Arial" w:cs="Arial"/>
          <w:spacing w:val="-6"/>
          <w:sz w:val="19"/>
          <w:szCs w:val="19"/>
        </w:rPr>
        <w:t>point to</w:t>
      </w:r>
      <w:r>
        <w:rPr>
          <w:rFonts w:ascii="Arial" w:hAnsi="Arial" w:eastAsia="Arial" w:cs="Arial"/>
          <w:spacing w:val="11"/>
          <w:sz w:val="19"/>
          <w:szCs w:val="19"/>
        </w:rPr>
        <w:t xml:space="preserve"> </w:t>
      </w:r>
      <w:r>
        <w:rPr>
          <w:rFonts w:ascii="Arial" w:hAnsi="Arial" w:eastAsia="Arial" w:cs="Arial"/>
          <w:spacing w:val="-6"/>
          <w:sz w:val="19"/>
          <w:szCs w:val="19"/>
        </w:rPr>
        <w:t>c</w:t>
      </w:r>
      <w:r>
        <w:rPr>
          <w:rFonts w:ascii="Arial" w:hAnsi="Arial" w:eastAsia="Arial" w:cs="Arial"/>
          <w:spacing w:val="-7"/>
          <w:sz w:val="19"/>
          <w:szCs w:val="19"/>
        </w:rPr>
        <w:t>orrelative</w:t>
      </w:r>
      <w:r>
        <w:rPr>
          <w:rFonts w:ascii="Arial" w:hAnsi="Arial" w:eastAsia="Arial" w:cs="Arial"/>
          <w:spacing w:val="13"/>
          <w:sz w:val="19"/>
          <w:szCs w:val="19"/>
        </w:rPr>
        <w:t xml:space="preserve"> </w:t>
      </w:r>
      <w:r>
        <w:rPr>
          <w:rFonts w:ascii="Arial" w:hAnsi="Arial" w:eastAsia="Arial" w:cs="Arial"/>
          <w:spacing w:val="-7"/>
          <w:sz w:val="19"/>
          <w:szCs w:val="19"/>
        </w:rPr>
        <w:t>connections.</w:t>
      </w:r>
    </w:p>
    <w:p>
      <w:pPr>
        <w:spacing w:before="49" w:line="260" w:lineRule="auto"/>
        <w:ind w:left="3" w:right="1" w:firstLine="235"/>
        <w:jc w:val="both"/>
        <w:rPr>
          <w:rFonts w:ascii="Arial" w:hAnsi="Arial" w:eastAsia="Arial" w:cs="Arial"/>
          <w:sz w:val="19"/>
          <w:szCs w:val="19"/>
        </w:rPr>
      </w:pPr>
      <w:r>
        <w:rPr>
          <w:rFonts w:ascii="Arial" w:hAnsi="Arial" w:eastAsia="Arial" w:cs="Arial"/>
          <w:spacing w:val="-6"/>
          <w:sz w:val="19"/>
          <w:szCs w:val="19"/>
        </w:rPr>
        <w:t>The</w:t>
      </w:r>
      <w:r>
        <w:rPr>
          <w:rFonts w:ascii="Arial" w:hAnsi="Arial" w:eastAsia="Arial" w:cs="Arial"/>
          <w:spacing w:val="15"/>
          <w:w w:val="101"/>
          <w:sz w:val="19"/>
          <w:szCs w:val="19"/>
        </w:rPr>
        <w:t xml:space="preserve"> </w:t>
      </w:r>
      <w:r>
        <w:rPr>
          <w:rFonts w:ascii="Arial" w:hAnsi="Arial" w:eastAsia="Arial" w:cs="Arial"/>
          <w:spacing w:val="-6"/>
          <w:sz w:val="19"/>
          <w:szCs w:val="19"/>
        </w:rPr>
        <w:t>QCI</w:t>
      </w:r>
      <w:r>
        <w:rPr>
          <w:rFonts w:ascii="Arial" w:hAnsi="Arial" w:eastAsia="Arial" w:cs="Arial"/>
          <w:spacing w:val="21"/>
          <w:sz w:val="19"/>
          <w:szCs w:val="19"/>
        </w:rPr>
        <w:t xml:space="preserve"> </w:t>
      </w:r>
      <w:r>
        <w:rPr>
          <w:rFonts w:ascii="Arial" w:hAnsi="Arial" w:eastAsia="Arial" w:cs="Arial"/>
          <w:spacing w:val="-6"/>
          <w:sz w:val="19"/>
          <w:szCs w:val="19"/>
        </w:rPr>
        <w:t>relies</w:t>
      </w:r>
      <w:r>
        <w:rPr>
          <w:rFonts w:ascii="Arial" w:hAnsi="Arial" w:eastAsia="Arial" w:cs="Arial"/>
          <w:spacing w:val="15"/>
          <w:w w:val="101"/>
          <w:sz w:val="19"/>
          <w:szCs w:val="19"/>
        </w:rPr>
        <w:t xml:space="preserve"> </w:t>
      </w:r>
      <w:r>
        <w:rPr>
          <w:rFonts w:ascii="Arial" w:hAnsi="Arial" w:eastAsia="Arial" w:cs="Arial"/>
          <w:spacing w:val="-6"/>
          <w:sz w:val="19"/>
          <w:szCs w:val="19"/>
        </w:rPr>
        <w:t>on</w:t>
      </w:r>
      <w:r>
        <w:rPr>
          <w:rFonts w:ascii="Arial" w:hAnsi="Arial" w:eastAsia="Arial" w:cs="Arial"/>
          <w:spacing w:val="11"/>
          <w:sz w:val="19"/>
          <w:szCs w:val="19"/>
        </w:rPr>
        <w:t xml:space="preserve"> </w:t>
      </w:r>
      <w:r>
        <w:rPr>
          <w:rFonts w:ascii="Arial" w:hAnsi="Arial" w:eastAsia="Arial" w:cs="Arial"/>
          <w:spacing w:val="-6"/>
          <w:sz w:val="19"/>
          <w:szCs w:val="19"/>
        </w:rPr>
        <w:t>the</w:t>
      </w:r>
      <w:r>
        <w:rPr>
          <w:rFonts w:ascii="Arial" w:hAnsi="Arial" w:eastAsia="Arial" w:cs="Arial"/>
          <w:spacing w:val="15"/>
          <w:sz w:val="19"/>
          <w:szCs w:val="19"/>
        </w:rPr>
        <w:t xml:space="preserve"> </w:t>
      </w:r>
      <w:r>
        <w:rPr>
          <w:rFonts w:ascii="Arial" w:hAnsi="Arial" w:eastAsia="Arial" w:cs="Arial"/>
          <w:spacing w:val="-6"/>
          <w:sz w:val="19"/>
          <w:szCs w:val="19"/>
        </w:rPr>
        <w:t>subjective</w:t>
      </w:r>
      <w:r>
        <w:rPr>
          <w:rFonts w:ascii="Arial" w:hAnsi="Arial" w:eastAsia="Arial" w:cs="Arial"/>
          <w:spacing w:val="14"/>
          <w:sz w:val="19"/>
          <w:szCs w:val="19"/>
        </w:rPr>
        <w:t xml:space="preserve"> </w:t>
      </w:r>
      <w:r>
        <w:rPr>
          <w:rFonts w:ascii="Arial" w:hAnsi="Arial" w:eastAsia="Arial" w:cs="Arial"/>
          <w:spacing w:val="-6"/>
          <w:sz w:val="19"/>
          <w:szCs w:val="19"/>
        </w:rPr>
        <w:t>statements</w:t>
      </w:r>
      <w:r>
        <w:rPr>
          <w:rFonts w:ascii="Arial" w:hAnsi="Arial" w:eastAsia="Arial" w:cs="Arial"/>
          <w:spacing w:val="14"/>
          <w:w w:val="101"/>
          <w:sz w:val="19"/>
          <w:szCs w:val="19"/>
        </w:rPr>
        <w:t xml:space="preserve"> </w:t>
      </w:r>
      <w:r>
        <w:rPr>
          <w:rFonts w:ascii="Arial" w:hAnsi="Arial" w:eastAsia="Arial" w:cs="Arial"/>
          <w:spacing w:val="-6"/>
          <w:sz w:val="19"/>
          <w:szCs w:val="19"/>
        </w:rPr>
        <w:t>of</w:t>
      </w:r>
      <w:r>
        <w:rPr>
          <w:rFonts w:ascii="Arial" w:hAnsi="Arial" w:eastAsia="Arial" w:cs="Arial"/>
          <w:spacing w:val="13"/>
          <w:w w:val="101"/>
          <w:sz w:val="19"/>
          <w:szCs w:val="19"/>
        </w:rPr>
        <w:t xml:space="preserve"> </w:t>
      </w:r>
      <w:r>
        <w:rPr>
          <w:rFonts w:ascii="Arial" w:hAnsi="Arial" w:eastAsia="Arial" w:cs="Arial"/>
          <w:spacing w:val="-6"/>
          <w:sz w:val="19"/>
          <w:szCs w:val="19"/>
        </w:rPr>
        <w:t>part</w:t>
      </w:r>
      <w:r>
        <w:rPr>
          <w:rFonts w:ascii="Arial" w:hAnsi="Arial" w:eastAsia="Arial" w:cs="Arial"/>
          <w:spacing w:val="-7"/>
          <w:sz w:val="19"/>
          <w:szCs w:val="19"/>
        </w:rPr>
        <w:t>icipants,</w:t>
      </w:r>
      <w:r>
        <w:rPr>
          <w:rFonts w:ascii="Arial" w:hAnsi="Arial" w:eastAsia="Arial" w:cs="Arial"/>
          <w:spacing w:val="12"/>
          <w:sz w:val="19"/>
          <w:szCs w:val="19"/>
        </w:rPr>
        <w:t xml:space="preserve"> </w:t>
      </w:r>
      <w:r>
        <w:rPr>
          <w:rFonts w:ascii="Arial" w:hAnsi="Arial" w:eastAsia="Arial" w:cs="Arial"/>
          <w:spacing w:val="-7"/>
          <w:sz w:val="19"/>
          <w:szCs w:val="19"/>
        </w:rPr>
        <w:t>which</w:t>
      </w:r>
      <w:r>
        <w:rPr>
          <w:rFonts w:ascii="Arial" w:hAnsi="Arial" w:eastAsia="Arial" w:cs="Arial"/>
          <w:spacing w:val="21"/>
          <w:sz w:val="19"/>
          <w:szCs w:val="19"/>
        </w:rPr>
        <w:t xml:space="preserve"> </w:t>
      </w:r>
      <w:r>
        <w:rPr>
          <w:rFonts w:ascii="Arial" w:hAnsi="Arial" w:eastAsia="Arial" w:cs="Arial"/>
          <w:spacing w:val="-7"/>
          <w:sz w:val="19"/>
          <w:szCs w:val="19"/>
        </w:rPr>
        <w:t>makes</w:t>
      </w:r>
      <w:r>
        <w:rPr>
          <w:rFonts w:ascii="Arial" w:hAnsi="Arial" w:eastAsia="Arial" w:cs="Arial"/>
          <w:spacing w:val="20"/>
          <w:sz w:val="19"/>
          <w:szCs w:val="19"/>
        </w:rPr>
        <w:t xml:space="preserve"> </w:t>
      </w:r>
      <w:r>
        <w:rPr>
          <w:rFonts w:ascii="Arial" w:hAnsi="Arial" w:eastAsia="Arial" w:cs="Arial"/>
          <w:spacing w:val="-7"/>
          <w:sz w:val="19"/>
          <w:szCs w:val="19"/>
        </w:rPr>
        <w:t>it</w:t>
      </w:r>
      <w:r>
        <w:rPr>
          <w:rFonts w:ascii="Arial" w:hAnsi="Arial" w:eastAsia="Arial" w:cs="Arial"/>
          <w:spacing w:val="15"/>
          <w:w w:val="101"/>
          <w:sz w:val="19"/>
          <w:szCs w:val="19"/>
        </w:rPr>
        <w:t xml:space="preserve"> </w:t>
      </w:r>
      <w:r>
        <w:rPr>
          <w:rFonts w:ascii="Arial" w:hAnsi="Arial" w:eastAsia="Arial" w:cs="Arial"/>
          <w:spacing w:val="-7"/>
          <w:sz w:val="19"/>
          <w:szCs w:val="19"/>
        </w:rPr>
        <w:t>susceptible</w:t>
      </w:r>
      <w:r>
        <w:rPr>
          <w:rFonts w:ascii="Arial" w:hAnsi="Arial" w:eastAsia="Arial" w:cs="Arial"/>
          <w:spacing w:val="12"/>
          <w:sz w:val="19"/>
          <w:szCs w:val="19"/>
        </w:rPr>
        <w:t xml:space="preserve"> </w:t>
      </w:r>
      <w:r>
        <w:rPr>
          <w:rFonts w:ascii="Arial" w:hAnsi="Arial" w:eastAsia="Arial" w:cs="Arial"/>
          <w:spacing w:val="-7"/>
          <w:sz w:val="19"/>
          <w:szCs w:val="19"/>
        </w:rPr>
        <w:t>to</w:t>
      </w:r>
      <w:r>
        <w:rPr>
          <w:rFonts w:ascii="Arial" w:hAnsi="Arial" w:eastAsia="Arial" w:cs="Arial"/>
          <w:spacing w:val="15"/>
          <w:w w:val="101"/>
          <w:sz w:val="19"/>
          <w:szCs w:val="19"/>
        </w:rPr>
        <w:t xml:space="preserve"> </w:t>
      </w:r>
      <w:r>
        <w:rPr>
          <w:rFonts w:ascii="Arial" w:hAnsi="Arial" w:eastAsia="Arial" w:cs="Arial"/>
          <w:spacing w:val="-7"/>
          <w:sz w:val="19"/>
          <w:szCs w:val="19"/>
        </w:rPr>
        <w:t>social</w:t>
      </w:r>
      <w:r>
        <w:rPr>
          <w:rFonts w:ascii="Arial" w:hAnsi="Arial" w:eastAsia="Arial" w:cs="Arial"/>
          <w:sz w:val="19"/>
          <w:szCs w:val="19"/>
        </w:rPr>
        <w:t xml:space="preserve"> </w:t>
      </w:r>
      <w:r>
        <w:rPr>
          <w:rFonts w:ascii="Arial" w:hAnsi="Arial" w:eastAsia="Arial" w:cs="Arial"/>
          <w:spacing w:val="-5"/>
          <w:sz w:val="19"/>
          <w:szCs w:val="19"/>
        </w:rPr>
        <w:t>desirability</w:t>
      </w:r>
      <w:r>
        <w:rPr>
          <w:rFonts w:ascii="Arial" w:hAnsi="Arial" w:eastAsia="Arial" w:cs="Arial"/>
          <w:spacing w:val="26"/>
          <w:sz w:val="19"/>
          <w:szCs w:val="19"/>
        </w:rPr>
        <w:t xml:space="preserve"> </w:t>
      </w:r>
      <w:r>
        <w:rPr>
          <w:rFonts w:ascii="Arial" w:hAnsi="Arial" w:eastAsia="Arial" w:cs="Arial"/>
          <w:spacing w:val="-5"/>
          <w:sz w:val="19"/>
          <w:szCs w:val="19"/>
        </w:rPr>
        <w:t>efects.</w:t>
      </w:r>
      <w:r>
        <w:rPr>
          <w:rFonts w:ascii="Arial" w:hAnsi="Arial" w:eastAsia="Arial" w:cs="Arial"/>
          <w:spacing w:val="20"/>
          <w:w w:val="101"/>
          <w:sz w:val="19"/>
          <w:szCs w:val="19"/>
        </w:rPr>
        <w:t xml:space="preserve"> </w:t>
      </w:r>
      <w:r>
        <w:rPr>
          <w:rFonts w:ascii="Arial" w:hAnsi="Arial" w:eastAsia="Arial" w:cs="Arial"/>
          <w:spacing w:val="-5"/>
          <w:sz w:val="19"/>
          <w:szCs w:val="19"/>
        </w:rPr>
        <w:t>While</w:t>
      </w:r>
      <w:r>
        <w:rPr>
          <w:rFonts w:ascii="Arial" w:hAnsi="Arial" w:eastAsia="Arial" w:cs="Arial"/>
          <w:spacing w:val="30"/>
          <w:sz w:val="19"/>
          <w:szCs w:val="19"/>
        </w:rPr>
        <w:t xml:space="preserve"> </w:t>
      </w:r>
      <w:r>
        <w:rPr>
          <w:rFonts w:ascii="Arial" w:hAnsi="Arial" w:eastAsia="Arial" w:cs="Arial"/>
          <w:spacing w:val="-5"/>
          <w:sz w:val="19"/>
          <w:szCs w:val="19"/>
        </w:rPr>
        <w:t>mean</w:t>
      </w:r>
      <w:r>
        <w:rPr>
          <w:rFonts w:ascii="Arial" w:hAnsi="Arial" w:eastAsia="Arial" w:cs="Arial"/>
          <w:spacing w:val="19"/>
          <w:w w:val="101"/>
          <w:sz w:val="19"/>
          <w:szCs w:val="19"/>
        </w:rPr>
        <w:t xml:space="preserve"> </w:t>
      </w:r>
      <w:r>
        <w:rPr>
          <w:rFonts w:ascii="Arial" w:hAnsi="Arial" w:eastAsia="Arial" w:cs="Arial"/>
          <w:spacing w:val="-5"/>
          <w:sz w:val="19"/>
          <w:szCs w:val="19"/>
        </w:rPr>
        <w:t>values</w:t>
      </w:r>
      <w:r>
        <w:rPr>
          <w:rFonts w:ascii="Arial" w:hAnsi="Arial" w:eastAsia="Arial" w:cs="Arial"/>
          <w:spacing w:val="24"/>
          <w:sz w:val="19"/>
          <w:szCs w:val="19"/>
        </w:rPr>
        <w:t xml:space="preserve"> </w:t>
      </w:r>
      <w:r>
        <w:rPr>
          <w:rFonts w:ascii="Arial" w:hAnsi="Arial" w:eastAsia="Arial" w:cs="Arial"/>
          <w:spacing w:val="-5"/>
          <w:sz w:val="19"/>
          <w:szCs w:val="19"/>
        </w:rPr>
        <w:t>of</w:t>
      </w:r>
      <w:r>
        <w:rPr>
          <w:rFonts w:ascii="Arial" w:hAnsi="Arial" w:eastAsia="Arial" w:cs="Arial"/>
          <w:spacing w:val="18"/>
          <w:sz w:val="19"/>
          <w:szCs w:val="19"/>
        </w:rPr>
        <w:t xml:space="preserve"> </w:t>
      </w:r>
      <w:r>
        <w:rPr>
          <w:rFonts w:ascii="Arial" w:hAnsi="Arial" w:eastAsia="Arial" w:cs="Arial"/>
          <w:spacing w:val="-5"/>
          <w:sz w:val="19"/>
          <w:szCs w:val="19"/>
        </w:rPr>
        <w:t>s</w:t>
      </w:r>
      <w:r>
        <w:rPr>
          <w:rFonts w:ascii="Arial" w:hAnsi="Arial" w:eastAsia="Arial" w:cs="Arial"/>
          <w:spacing w:val="-6"/>
          <w:sz w:val="19"/>
          <w:szCs w:val="19"/>
        </w:rPr>
        <w:t>ome</w:t>
      </w:r>
      <w:r>
        <w:rPr>
          <w:rFonts w:ascii="Arial" w:hAnsi="Arial" w:eastAsia="Arial" w:cs="Arial"/>
          <w:spacing w:val="25"/>
          <w:sz w:val="19"/>
          <w:szCs w:val="19"/>
        </w:rPr>
        <w:t xml:space="preserve"> </w:t>
      </w:r>
      <w:r>
        <w:rPr>
          <w:rFonts w:ascii="Arial" w:hAnsi="Arial" w:eastAsia="Arial" w:cs="Arial"/>
          <w:spacing w:val="-6"/>
          <w:sz w:val="19"/>
          <w:szCs w:val="19"/>
        </w:rPr>
        <w:t>study</w:t>
      </w:r>
      <w:r>
        <w:rPr>
          <w:rFonts w:ascii="Arial" w:hAnsi="Arial" w:eastAsia="Arial" w:cs="Arial"/>
          <w:spacing w:val="21"/>
          <w:sz w:val="19"/>
          <w:szCs w:val="19"/>
        </w:rPr>
        <w:t xml:space="preserve"> </w:t>
      </w:r>
      <w:r>
        <w:rPr>
          <w:rFonts w:ascii="Arial" w:hAnsi="Arial" w:eastAsia="Arial" w:cs="Arial"/>
          <w:spacing w:val="-6"/>
          <w:sz w:val="19"/>
          <w:szCs w:val="19"/>
        </w:rPr>
        <w:t>factors</w:t>
      </w:r>
      <w:r>
        <w:rPr>
          <w:rFonts w:ascii="Arial" w:hAnsi="Arial" w:eastAsia="Arial" w:cs="Arial"/>
          <w:spacing w:val="22"/>
          <w:sz w:val="19"/>
          <w:szCs w:val="19"/>
        </w:rPr>
        <w:t xml:space="preserve"> </w:t>
      </w:r>
      <w:r>
        <w:rPr>
          <w:rFonts w:ascii="Arial" w:hAnsi="Arial" w:eastAsia="Arial" w:cs="Arial"/>
          <w:spacing w:val="-6"/>
          <w:sz w:val="19"/>
          <w:szCs w:val="19"/>
        </w:rPr>
        <w:t>were</w:t>
      </w:r>
      <w:r>
        <w:rPr>
          <w:rFonts w:ascii="Arial" w:hAnsi="Arial" w:eastAsia="Arial" w:cs="Arial"/>
          <w:spacing w:val="25"/>
          <w:w w:val="101"/>
          <w:sz w:val="19"/>
          <w:szCs w:val="19"/>
        </w:rPr>
        <w:t xml:space="preserve"> </w:t>
      </w:r>
      <w:r>
        <w:rPr>
          <w:rFonts w:ascii="Arial" w:hAnsi="Arial" w:eastAsia="Arial" w:cs="Arial"/>
          <w:spacing w:val="-6"/>
          <w:sz w:val="19"/>
          <w:szCs w:val="19"/>
        </w:rPr>
        <w:t>on</w:t>
      </w:r>
      <w:r>
        <w:rPr>
          <w:rFonts w:ascii="Arial" w:hAnsi="Arial" w:eastAsia="Arial" w:cs="Arial"/>
          <w:spacing w:val="19"/>
          <w:w w:val="101"/>
          <w:sz w:val="19"/>
          <w:szCs w:val="19"/>
        </w:rPr>
        <w:t xml:space="preserve"> </w:t>
      </w:r>
      <w:r>
        <w:rPr>
          <w:rFonts w:ascii="Arial" w:hAnsi="Arial" w:eastAsia="Arial" w:cs="Arial"/>
          <w:spacing w:val="-6"/>
          <w:sz w:val="19"/>
          <w:szCs w:val="19"/>
        </w:rPr>
        <w:t>the</w:t>
      </w:r>
      <w:r>
        <w:rPr>
          <w:rFonts w:ascii="Arial" w:hAnsi="Arial" w:eastAsia="Arial" w:cs="Arial"/>
          <w:spacing w:val="31"/>
          <w:w w:val="101"/>
          <w:sz w:val="19"/>
          <w:szCs w:val="19"/>
        </w:rPr>
        <w:t xml:space="preserve"> </w:t>
      </w:r>
      <w:r>
        <w:rPr>
          <w:rFonts w:ascii="Arial" w:hAnsi="Arial" w:eastAsia="Arial" w:cs="Arial"/>
          <w:spacing w:val="-6"/>
          <w:sz w:val="19"/>
          <w:szCs w:val="19"/>
        </w:rPr>
        <w:t>upper</w:t>
      </w:r>
      <w:r>
        <w:rPr>
          <w:rFonts w:ascii="Arial" w:hAnsi="Arial" w:eastAsia="Arial" w:cs="Arial"/>
          <w:spacing w:val="25"/>
          <w:sz w:val="19"/>
          <w:szCs w:val="19"/>
        </w:rPr>
        <w:t xml:space="preserve"> </w:t>
      </w:r>
      <w:r>
        <w:rPr>
          <w:rFonts w:ascii="Arial" w:hAnsi="Arial" w:eastAsia="Arial" w:cs="Arial"/>
          <w:spacing w:val="-6"/>
          <w:sz w:val="19"/>
          <w:szCs w:val="19"/>
        </w:rPr>
        <w:t>end</w:t>
      </w:r>
      <w:r>
        <w:rPr>
          <w:rFonts w:ascii="Arial" w:hAnsi="Arial" w:eastAsia="Arial" w:cs="Arial"/>
          <w:spacing w:val="24"/>
          <w:w w:val="101"/>
          <w:sz w:val="19"/>
          <w:szCs w:val="19"/>
        </w:rPr>
        <w:t xml:space="preserve"> </w:t>
      </w:r>
      <w:r>
        <w:rPr>
          <w:rFonts w:ascii="Arial" w:hAnsi="Arial" w:eastAsia="Arial" w:cs="Arial"/>
          <w:spacing w:val="-6"/>
          <w:sz w:val="19"/>
          <w:szCs w:val="19"/>
        </w:rPr>
        <w:t>of</w:t>
      </w:r>
      <w:r>
        <w:rPr>
          <w:rFonts w:ascii="Arial" w:hAnsi="Arial" w:eastAsia="Arial" w:cs="Arial"/>
          <w:spacing w:val="12"/>
          <w:sz w:val="19"/>
          <w:szCs w:val="19"/>
        </w:rPr>
        <w:t xml:space="preserve"> </w:t>
      </w:r>
      <w:r>
        <w:rPr>
          <w:rFonts w:ascii="Arial" w:hAnsi="Arial" w:eastAsia="Arial" w:cs="Arial"/>
          <w:spacing w:val="-6"/>
          <w:sz w:val="19"/>
          <w:szCs w:val="19"/>
        </w:rPr>
        <w:t>the</w:t>
      </w:r>
      <w:r>
        <w:rPr>
          <w:rFonts w:ascii="Arial" w:hAnsi="Arial" w:eastAsia="Arial" w:cs="Arial"/>
          <w:spacing w:val="25"/>
          <w:w w:val="101"/>
          <w:sz w:val="19"/>
          <w:szCs w:val="19"/>
        </w:rPr>
        <w:t xml:space="preserve"> </w:t>
      </w:r>
      <w:r>
        <w:rPr>
          <w:rFonts w:ascii="Arial" w:hAnsi="Arial" w:eastAsia="Arial" w:cs="Arial"/>
          <w:spacing w:val="-6"/>
          <w:sz w:val="19"/>
          <w:szCs w:val="19"/>
        </w:rPr>
        <w:t>scale</w:t>
      </w:r>
      <w:r>
        <w:rPr>
          <w:rFonts w:ascii="Arial" w:hAnsi="Arial" w:eastAsia="Arial" w:cs="Arial"/>
          <w:sz w:val="19"/>
          <w:szCs w:val="19"/>
        </w:rPr>
        <w:t xml:space="preserve"> </w:t>
      </w:r>
      <w:r>
        <w:rPr>
          <w:rFonts w:ascii="Arial" w:hAnsi="Arial" w:eastAsia="Arial" w:cs="Arial"/>
          <w:spacing w:val="-3"/>
          <w:sz w:val="19"/>
          <w:szCs w:val="19"/>
        </w:rPr>
        <w:t>(e.g.</w:t>
      </w:r>
      <w:r>
        <w:rPr>
          <w:rFonts w:ascii="Arial" w:hAnsi="Arial" w:eastAsia="Arial" w:cs="Arial"/>
          <w:spacing w:val="17"/>
          <w:sz w:val="19"/>
          <w:szCs w:val="19"/>
        </w:rPr>
        <w:t xml:space="preserve"> </w:t>
      </w:r>
      <w:r>
        <w:rPr>
          <w:rFonts w:ascii="Arial" w:hAnsi="Arial" w:eastAsia="Arial" w:cs="Arial"/>
          <w:spacing w:val="-3"/>
          <w:sz w:val="19"/>
          <w:szCs w:val="19"/>
        </w:rPr>
        <w:t>commitment,</w:t>
      </w:r>
      <w:r>
        <w:rPr>
          <w:rFonts w:ascii="Arial" w:hAnsi="Arial" w:eastAsia="Arial" w:cs="Arial"/>
          <w:spacing w:val="15"/>
          <w:w w:val="101"/>
          <w:sz w:val="19"/>
          <w:szCs w:val="19"/>
        </w:rPr>
        <w:t xml:space="preserve"> </w:t>
      </w:r>
      <w:r>
        <w:rPr>
          <w:rFonts w:ascii="Arial" w:hAnsi="Arial" w:eastAsia="Arial" w:cs="Arial"/>
          <w:spacing w:val="-3"/>
          <w:sz w:val="19"/>
          <w:szCs w:val="19"/>
        </w:rPr>
        <w:t>engagement),</w:t>
      </w:r>
      <w:r>
        <w:rPr>
          <w:rFonts w:ascii="Arial" w:hAnsi="Arial" w:eastAsia="Arial" w:cs="Arial"/>
          <w:spacing w:val="16"/>
          <w:w w:val="101"/>
          <w:sz w:val="19"/>
          <w:szCs w:val="19"/>
        </w:rPr>
        <w:t xml:space="preserve"> </w:t>
      </w:r>
      <w:r>
        <w:rPr>
          <w:rFonts w:ascii="Arial" w:hAnsi="Arial" w:eastAsia="Arial" w:cs="Arial"/>
          <w:spacing w:val="-3"/>
          <w:sz w:val="19"/>
          <w:szCs w:val="19"/>
        </w:rPr>
        <w:t>suicient</w:t>
      </w:r>
      <w:r>
        <w:rPr>
          <w:rFonts w:ascii="Arial" w:hAnsi="Arial" w:eastAsia="Arial" w:cs="Arial"/>
          <w:spacing w:val="16"/>
          <w:w w:val="101"/>
          <w:sz w:val="19"/>
          <w:szCs w:val="19"/>
        </w:rPr>
        <w:t xml:space="preserve"> </w:t>
      </w:r>
      <w:r>
        <w:rPr>
          <w:rFonts w:ascii="Arial" w:hAnsi="Arial" w:eastAsia="Arial" w:cs="Arial"/>
          <w:spacing w:val="-3"/>
          <w:sz w:val="19"/>
          <w:szCs w:val="19"/>
        </w:rPr>
        <w:t>standard</w:t>
      </w:r>
      <w:r>
        <w:rPr>
          <w:rFonts w:ascii="Arial" w:hAnsi="Arial" w:eastAsia="Arial" w:cs="Arial"/>
          <w:spacing w:val="15"/>
          <w:sz w:val="19"/>
          <w:szCs w:val="19"/>
        </w:rPr>
        <w:t xml:space="preserve"> </w:t>
      </w:r>
      <w:r>
        <w:rPr>
          <w:rFonts w:ascii="Arial" w:hAnsi="Arial" w:eastAsia="Arial" w:cs="Arial"/>
          <w:spacing w:val="-3"/>
          <w:sz w:val="19"/>
          <w:szCs w:val="19"/>
        </w:rPr>
        <w:t>deviations</w:t>
      </w:r>
      <w:r>
        <w:rPr>
          <w:rFonts w:ascii="Arial" w:hAnsi="Arial" w:eastAsia="Arial" w:cs="Arial"/>
          <w:spacing w:val="21"/>
          <w:w w:val="101"/>
          <w:sz w:val="19"/>
          <w:szCs w:val="19"/>
        </w:rPr>
        <w:t xml:space="preserve"> </w:t>
      </w:r>
      <w:r>
        <w:rPr>
          <w:rFonts w:ascii="Arial" w:hAnsi="Arial" w:eastAsia="Arial" w:cs="Arial"/>
          <w:spacing w:val="-3"/>
          <w:sz w:val="19"/>
          <w:szCs w:val="19"/>
        </w:rPr>
        <w:t>indicate</w:t>
      </w:r>
      <w:r>
        <w:rPr>
          <w:rFonts w:ascii="Arial" w:hAnsi="Arial" w:eastAsia="Arial" w:cs="Arial"/>
          <w:spacing w:val="16"/>
          <w:sz w:val="19"/>
          <w:szCs w:val="19"/>
        </w:rPr>
        <w:t xml:space="preserve"> </w:t>
      </w:r>
      <w:r>
        <w:rPr>
          <w:rFonts w:ascii="Arial" w:hAnsi="Arial" w:eastAsia="Arial" w:cs="Arial"/>
          <w:spacing w:val="-3"/>
          <w:sz w:val="19"/>
          <w:szCs w:val="19"/>
        </w:rPr>
        <w:t>adeq</w:t>
      </w:r>
      <w:r>
        <w:rPr>
          <w:rFonts w:ascii="Arial" w:hAnsi="Arial" w:eastAsia="Arial" w:cs="Arial"/>
          <w:spacing w:val="-4"/>
          <w:sz w:val="19"/>
          <w:szCs w:val="19"/>
        </w:rPr>
        <w:t>uate</w:t>
      </w:r>
      <w:r>
        <w:rPr>
          <w:rFonts w:ascii="Arial" w:hAnsi="Arial" w:eastAsia="Arial" w:cs="Arial"/>
          <w:spacing w:val="11"/>
          <w:sz w:val="19"/>
          <w:szCs w:val="19"/>
        </w:rPr>
        <w:t xml:space="preserve"> </w:t>
      </w:r>
      <w:r>
        <w:rPr>
          <w:rFonts w:ascii="Arial" w:hAnsi="Arial" w:eastAsia="Arial" w:cs="Arial"/>
          <w:spacing w:val="-4"/>
          <w:sz w:val="19"/>
          <w:szCs w:val="19"/>
        </w:rPr>
        <w:t>variability</w:t>
      </w:r>
      <w:r>
        <w:rPr>
          <w:rFonts w:ascii="Arial" w:hAnsi="Arial" w:eastAsia="Arial" w:cs="Arial"/>
          <w:spacing w:val="11"/>
          <w:sz w:val="19"/>
          <w:szCs w:val="19"/>
        </w:rPr>
        <w:t xml:space="preserve"> </w:t>
      </w:r>
      <w:r>
        <w:rPr>
          <w:rFonts w:ascii="Arial" w:hAnsi="Arial" w:eastAsia="Arial" w:cs="Arial"/>
          <w:spacing w:val="-4"/>
          <w:sz w:val="19"/>
          <w:szCs w:val="19"/>
        </w:rPr>
        <w:t>within</w:t>
      </w:r>
      <w:r>
        <w:rPr>
          <w:rFonts w:ascii="Arial" w:hAnsi="Arial" w:eastAsia="Arial" w:cs="Arial"/>
          <w:sz w:val="19"/>
          <w:szCs w:val="19"/>
        </w:rPr>
        <w:t xml:space="preserve"> </w:t>
      </w:r>
      <w:r>
        <w:rPr>
          <w:rFonts w:ascii="Arial" w:hAnsi="Arial" w:eastAsia="Arial" w:cs="Arial"/>
          <w:spacing w:val="-5"/>
          <w:sz w:val="19"/>
          <w:szCs w:val="19"/>
        </w:rPr>
        <w:t>our</w:t>
      </w:r>
      <w:r>
        <w:rPr>
          <w:rFonts w:ascii="Arial" w:hAnsi="Arial" w:eastAsia="Arial" w:cs="Arial"/>
          <w:spacing w:val="11"/>
          <w:sz w:val="19"/>
          <w:szCs w:val="19"/>
        </w:rPr>
        <w:t xml:space="preserve"> </w:t>
      </w:r>
      <w:r>
        <w:rPr>
          <w:rFonts w:ascii="Arial" w:hAnsi="Arial" w:eastAsia="Arial" w:cs="Arial"/>
          <w:spacing w:val="-5"/>
          <w:sz w:val="19"/>
          <w:szCs w:val="19"/>
        </w:rPr>
        <w:t>data.</w:t>
      </w:r>
      <w:r>
        <w:rPr>
          <w:rFonts w:ascii="Arial" w:hAnsi="Arial" w:eastAsia="Arial" w:cs="Arial"/>
          <w:spacing w:val="15"/>
          <w:w w:val="101"/>
          <w:sz w:val="19"/>
          <w:szCs w:val="19"/>
        </w:rPr>
        <w:t xml:space="preserve"> </w:t>
      </w:r>
      <w:r>
        <w:rPr>
          <w:rFonts w:ascii="Arial" w:hAnsi="Arial" w:eastAsia="Arial" w:cs="Arial"/>
          <w:spacing w:val="-5"/>
          <w:sz w:val="19"/>
          <w:szCs w:val="19"/>
        </w:rPr>
        <w:t>Moreover,</w:t>
      </w:r>
      <w:r>
        <w:rPr>
          <w:rFonts w:ascii="Arial" w:hAnsi="Arial" w:eastAsia="Arial" w:cs="Arial"/>
          <w:spacing w:val="11"/>
          <w:sz w:val="19"/>
          <w:szCs w:val="19"/>
        </w:rPr>
        <w:t xml:space="preserve"> </w:t>
      </w:r>
      <w:r>
        <w:rPr>
          <w:rFonts w:ascii="Arial" w:hAnsi="Arial" w:eastAsia="Arial" w:cs="Arial"/>
          <w:spacing w:val="-5"/>
          <w:sz w:val="19"/>
          <w:szCs w:val="19"/>
        </w:rPr>
        <w:t>a test</w:t>
      </w:r>
      <w:r>
        <w:rPr>
          <w:rFonts w:ascii="Arial" w:hAnsi="Arial" w:eastAsia="Arial" w:cs="Arial"/>
          <w:spacing w:val="13"/>
          <w:sz w:val="19"/>
          <w:szCs w:val="19"/>
        </w:rPr>
        <w:t xml:space="preserve"> </w:t>
      </w:r>
      <w:r>
        <w:rPr>
          <w:rFonts w:ascii="Arial" w:hAnsi="Arial" w:eastAsia="Arial" w:cs="Arial"/>
          <w:spacing w:val="-5"/>
          <w:sz w:val="19"/>
          <w:szCs w:val="19"/>
        </w:rPr>
        <w:t>of items for</w:t>
      </w:r>
      <w:r>
        <w:rPr>
          <w:rFonts w:ascii="Arial" w:hAnsi="Arial" w:eastAsia="Arial" w:cs="Arial"/>
          <w:spacing w:val="18"/>
          <w:sz w:val="19"/>
          <w:szCs w:val="19"/>
        </w:rPr>
        <w:t xml:space="preserve"> </w:t>
      </w:r>
      <w:r>
        <w:rPr>
          <w:rFonts w:ascii="Arial" w:hAnsi="Arial" w:eastAsia="Arial" w:cs="Arial"/>
          <w:spacing w:val="-5"/>
          <w:sz w:val="19"/>
          <w:szCs w:val="19"/>
        </w:rPr>
        <w:t>normality</w:t>
      </w:r>
      <w:r>
        <w:rPr>
          <w:rFonts w:ascii="Arial" w:hAnsi="Arial" w:eastAsia="Arial" w:cs="Arial"/>
          <w:spacing w:val="17"/>
          <w:sz w:val="19"/>
          <w:szCs w:val="19"/>
        </w:rPr>
        <w:t xml:space="preserve"> </w:t>
      </w:r>
      <w:r>
        <w:rPr>
          <w:rFonts w:ascii="Arial" w:hAnsi="Arial" w:eastAsia="Arial" w:cs="Arial"/>
          <w:spacing w:val="-5"/>
          <w:sz w:val="19"/>
          <w:szCs w:val="19"/>
        </w:rPr>
        <w:t>revealed that</w:t>
      </w:r>
      <w:r>
        <w:rPr>
          <w:rFonts w:ascii="Arial" w:hAnsi="Arial" w:eastAsia="Arial" w:cs="Arial"/>
          <w:spacing w:val="7"/>
          <w:sz w:val="19"/>
          <w:szCs w:val="19"/>
        </w:rPr>
        <w:t xml:space="preserve"> </w:t>
      </w:r>
      <w:r>
        <w:rPr>
          <w:rFonts w:ascii="Arial" w:hAnsi="Arial" w:eastAsia="Arial" w:cs="Arial"/>
          <w:spacing w:val="-6"/>
          <w:sz w:val="19"/>
          <w:szCs w:val="19"/>
        </w:rPr>
        <w:t>the</w:t>
      </w:r>
      <w:r>
        <w:rPr>
          <w:rFonts w:ascii="Arial" w:hAnsi="Arial" w:eastAsia="Arial" w:cs="Arial"/>
          <w:spacing w:val="14"/>
          <w:sz w:val="19"/>
          <w:szCs w:val="19"/>
        </w:rPr>
        <w:t xml:space="preserve"> </w:t>
      </w:r>
      <w:r>
        <w:rPr>
          <w:rFonts w:ascii="Arial" w:hAnsi="Arial" w:eastAsia="Arial" w:cs="Arial"/>
          <w:spacing w:val="-6"/>
          <w:sz w:val="19"/>
          <w:szCs w:val="19"/>
        </w:rPr>
        <w:t>skewness</w:t>
      </w:r>
      <w:r>
        <w:rPr>
          <w:rFonts w:ascii="Arial" w:hAnsi="Arial" w:eastAsia="Arial" w:cs="Arial"/>
          <w:spacing w:val="12"/>
          <w:sz w:val="19"/>
          <w:szCs w:val="19"/>
        </w:rPr>
        <w:t xml:space="preserve"> </w:t>
      </w:r>
      <w:r>
        <w:rPr>
          <w:rFonts w:ascii="Arial" w:hAnsi="Arial" w:eastAsia="Arial" w:cs="Arial"/>
          <w:spacing w:val="-6"/>
          <w:sz w:val="19"/>
          <w:szCs w:val="19"/>
        </w:rPr>
        <w:t>and</w:t>
      </w:r>
      <w:r>
        <w:rPr>
          <w:rFonts w:ascii="Arial" w:hAnsi="Arial" w:eastAsia="Arial" w:cs="Arial"/>
          <w:spacing w:val="19"/>
          <w:w w:val="101"/>
          <w:sz w:val="19"/>
          <w:szCs w:val="19"/>
        </w:rPr>
        <w:t xml:space="preserve"> </w:t>
      </w:r>
      <w:r>
        <w:rPr>
          <w:rFonts w:ascii="Arial" w:hAnsi="Arial" w:eastAsia="Arial" w:cs="Arial"/>
          <w:spacing w:val="-6"/>
          <w:sz w:val="19"/>
          <w:szCs w:val="19"/>
        </w:rPr>
        <w:t>kurtosis</w:t>
      </w:r>
      <w:r>
        <w:rPr>
          <w:rFonts w:ascii="Arial" w:hAnsi="Arial" w:eastAsia="Arial" w:cs="Arial"/>
          <w:spacing w:val="13"/>
          <w:sz w:val="19"/>
          <w:szCs w:val="19"/>
        </w:rPr>
        <w:t xml:space="preserve"> </w:t>
      </w:r>
      <w:r>
        <w:rPr>
          <w:rFonts w:ascii="Arial" w:hAnsi="Arial" w:eastAsia="Arial" w:cs="Arial"/>
          <w:spacing w:val="-6"/>
          <w:sz w:val="19"/>
          <w:szCs w:val="19"/>
        </w:rPr>
        <w:t>of</w:t>
      </w:r>
      <w:r>
        <w:rPr>
          <w:rFonts w:ascii="Arial" w:hAnsi="Arial" w:eastAsia="Arial" w:cs="Arial"/>
          <w:spacing w:val="4"/>
          <w:sz w:val="19"/>
          <w:szCs w:val="19"/>
        </w:rPr>
        <w:t xml:space="preserve"> </w:t>
      </w:r>
      <w:r>
        <w:rPr>
          <w:rFonts w:ascii="Arial" w:hAnsi="Arial" w:eastAsia="Arial" w:cs="Arial"/>
          <w:spacing w:val="-6"/>
          <w:sz w:val="19"/>
          <w:szCs w:val="19"/>
        </w:rPr>
        <w:t>almost</w:t>
      </w:r>
      <w:r>
        <w:rPr>
          <w:rFonts w:ascii="Arial" w:hAnsi="Arial" w:eastAsia="Arial" w:cs="Arial"/>
          <w:sz w:val="19"/>
          <w:szCs w:val="19"/>
        </w:rPr>
        <w:t xml:space="preserve"> </w:t>
      </w:r>
      <w:r>
        <w:rPr>
          <w:rFonts w:ascii="Arial" w:hAnsi="Arial" w:eastAsia="Arial" w:cs="Arial"/>
          <w:spacing w:val="-5"/>
          <w:sz w:val="19"/>
          <w:szCs w:val="19"/>
        </w:rPr>
        <w:t>all</w:t>
      </w:r>
      <w:r>
        <w:rPr>
          <w:rFonts w:ascii="Arial" w:hAnsi="Arial" w:eastAsia="Arial" w:cs="Arial"/>
          <w:spacing w:val="16"/>
          <w:w w:val="101"/>
          <w:sz w:val="19"/>
          <w:szCs w:val="19"/>
        </w:rPr>
        <w:t xml:space="preserve"> </w:t>
      </w:r>
      <w:r>
        <w:rPr>
          <w:rFonts w:ascii="Arial" w:hAnsi="Arial" w:eastAsia="Arial" w:cs="Arial"/>
          <w:spacing w:val="-5"/>
          <w:sz w:val="19"/>
          <w:szCs w:val="19"/>
        </w:rPr>
        <w:t>items</w:t>
      </w:r>
      <w:r>
        <w:rPr>
          <w:rFonts w:ascii="Arial" w:hAnsi="Arial" w:eastAsia="Arial" w:cs="Arial"/>
          <w:spacing w:val="10"/>
          <w:sz w:val="19"/>
          <w:szCs w:val="19"/>
        </w:rPr>
        <w:t xml:space="preserve"> </w:t>
      </w:r>
      <w:r>
        <w:rPr>
          <w:rFonts w:ascii="Arial" w:hAnsi="Arial" w:eastAsia="Arial" w:cs="Arial"/>
          <w:spacing w:val="-5"/>
          <w:sz w:val="19"/>
          <w:szCs w:val="19"/>
        </w:rPr>
        <w:t>was within</w:t>
      </w:r>
      <w:r>
        <w:rPr>
          <w:rFonts w:ascii="Arial" w:hAnsi="Arial" w:eastAsia="Arial" w:cs="Arial"/>
          <w:spacing w:val="13"/>
          <w:sz w:val="19"/>
          <w:szCs w:val="19"/>
        </w:rPr>
        <w:t xml:space="preserve"> </w:t>
      </w:r>
      <w:r>
        <w:rPr>
          <w:rFonts w:ascii="Arial" w:hAnsi="Arial" w:eastAsia="Arial" w:cs="Arial"/>
          <w:spacing w:val="-5"/>
          <w:sz w:val="19"/>
          <w:szCs w:val="19"/>
        </w:rPr>
        <w:t>an</w:t>
      </w:r>
      <w:r>
        <w:rPr>
          <w:rFonts w:ascii="Arial" w:hAnsi="Arial" w:eastAsia="Arial" w:cs="Arial"/>
          <w:spacing w:val="10"/>
          <w:sz w:val="19"/>
          <w:szCs w:val="19"/>
        </w:rPr>
        <w:t xml:space="preserve"> </w:t>
      </w:r>
      <w:r>
        <w:rPr>
          <w:rFonts w:ascii="Arial" w:hAnsi="Arial" w:eastAsia="Arial" w:cs="Arial"/>
          <w:spacing w:val="-5"/>
          <w:sz w:val="19"/>
          <w:szCs w:val="19"/>
        </w:rPr>
        <w:t>acceptable</w:t>
      </w:r>
      <w:r>
        <w:rPr>
          <w:rFonts w:ascii="Arial" w:hAnsi="Arial" w:eastAsia="Arial" w:cs="Arial"/>
          <w:spacing w:val="19"/>
          <w:w w:val="101"/>
          <w:sz w:val="19"/>
          <w:szCs w:val="19"/>
        </w:rPr>
        <w:t xml:space="preserve"> </w:t>
      </w:r>
      <w:r>
        <w:rPr>
          <w:rFonts w:ascii="Arial" w:hAnsi="Arial" w:eastAsia="Arial" w:cs="Arial"/>
          <w:spacing w:val="-5"/>
          <w:sz w:val="19"/>
          <w:szCs w:val="19"/>
        </w:rPr>
        <w:t>range,</w:t>
      </w:r>
      <w:r>
        <w:rPr>
          <w:rFonts w:ascii="Arial" w:hAnsi="Arial" w:eastAsia="Arial" w:cs="Arial"/>
          <w:spacing w:val="13"/>
          <w:sz w:val="19"/>
          <w:szCs w:val="19"/>
        </w:rPr>
        <w:t xml:space="preserve"> </w:t>
      </w:r>
      <w:r>
        <w:rPr>
          <w:rFonts w:ascii="Arial" w:hAnsi="Arial" w:eastAsia="Arial" w:cs="Arial"/>
          <w:spacing w:val="-5"/>
          <w:sz w:val="19"/>
          <w:szCs w:val="19"/>
        </w:rPr>
        <w:t>except for ive</w:t>
      </w:r>
      <w:r>
        <w:rPr>
          <w:rFonts w:ascii="Arial" w:hAnsi="Arial" w:eastAsia="Arial" w:cs="Arial"/>
          <w:spacing w:val="17"/>
          <w:sz w:val="19"/>
          <w:szCs w:val="19"/>
        </w:rPr>
        <w:t xml:space="preserve"> </w:t>
      </w:r>
      <w:r>
        <w:rPr>
          <w:rFonts w:ascii="Arial" w:hAnsi="Arial" w:eastAsia="Arial" w:cs="Arial"/>
          <w:spacing w:val="-5"/>
          <w:sz w:val="19"/>
          <w:szCs w:val="19"/>
        </w:rPr>
        <w:t>items,</w:t>
      </w:r>
      <w:r>
        <w:rPr>
          <w:rFonts w:ascii="Arial" w:hAnsi="Arial" w:eastAsia="Arial" w:cs="Arial"/>
          <w:spacing w:val="10"/>
          <w:sz w:val="19"/>
          <w:szCs w:val="19"/>
        </w:rPr>
        <w:t xml:space="preserve"> </w:t>
      </w:r>
      <w:r>
        <w:rPr>
          <w:rFonts w:ascii="Arial" w:hAnsi="Arial" w:eastAsia="Arial" w:cs="Arial"/>
          <w:spacing w:val="-5"/>
          <w:sz w:val="19"/>
          <w:szCs w:val="19"/>
        </w:rPr>
        <w:t>which were</w:t>
      </w:r>
      <w:r>
        <w:rPr>
          <w:rFonts w:ascii="Arial" w:hAnsi="Arial" w:eastAsia="Arial" w:cs="Arial"/>
          <w:spacing w:val="12"/>
          <w:sz w:val="19"/>
          <w:szCs w:val="19"/>
        </w:rPr>
        <w:t xml:space="preserve"> </w:t>
      </w:r>
      <w:r>
        <w:rPr>
          <w:rFonts w:ascii="Arial" w:hAnsi="Arial" w:eastAsia="Arial" w:cs="Arial"/>
          <w:spacing w:val="-5"/>
          <w:sz w:val="19"/>
          <w:szCs w:val="19"/>
        </w:rPr>
        <w:t>sligh</w:t>
      </w:r>
      <w:r>
        <w:rPr>
          <w:rFonts w:ascii="Arial" w:hAnsi="Arial" w:eastAsia="Arial" w:cs="Arial"/>
          <w:spacing w:val="-6"/>
          <w:sz w:val="19"/>
          <w:szCs w:val="19"/>
        </w:rPr>
        <w:t>tly</w:t>
      </w:r>
      <w:r>
        <w:rPr>
          <w:rFonts w:ascii="Arial" w:hAnsi="Arial" w:eastAsia="Arial" w:cs="Arial"/>
          <w:spacing w:val="18"/>
          <w:sz w:val="19"/>
          <w:szCs w:val="19"/>
        </w:rPr>
        <w:t xml:space="preserve"> </w:t>
      </w:r>
      <w:r>
        <w:rPr>
          <w:rFonts w:ascii="Arial" w:hAnsi="Arial" w:eastAsia="Arial" w:cs="Arial"/>
          <w:spacing w:val="-6"/>
          <w:sz w:val="19"/>
          <w:szCs w:val="19"/>
        </w:rPr>
        <w:t>peaked</w:t>
      </w:r>
      <w:r>
        <w:rPr>
          <w:rFonts w:ascii="Arial" w:hAnsi="Arial" w:eastAsia="Arial" w:cs="Arial"/>
          <w:spacing w:val="17"/>
          <w:w w:val="101"/>
          <w:sz w:val="19"/>
          <w:szCs w:val="19"/>
        </w:rPr>
        <w:t xml:space="preserve"> </w:t>
      </w:r>
      <w:r>
        <w:rPr>
          <w:rFonts w:ascii="Arial" w:hAnsi="Arial" w:eastAsia="Arial" w:cs="Arial"/>
          <w:spacing w:val="-6"/>
          <w:sz w:val="19"/>
          <w:szCs w:val="19"/>
        </w:rPr>
        <w:t>(COM2,</w:t>
      </w:r>
      <w:r>
        <w:rPr>
          <w:rFonts w:ascii="Arial" w:hAnsi="Arial" w:eastAsia="Arial" w:cs="Arial"/>
          <w:sz w:val="19"/>
          <w:szCs w:val="19"/>
        </w:rPr>
        <w:t xml:space="preserve"> </w:t>
      </w:r>
      <w:r>
        <w:rPr>
          <w:rFonts w:ascii="Arial" w:hAnsi="Arial" w:eastAsia="Arial" w:cs="Arial"/>
          <w:spacing w:val="-10"/>
          <w:sz w:val="19"/>
          <w:szCs w:val="19"/>
        </w:rPr>
        <w:t>COM3,</w:t>
      </w:r>
      <w:r>
        <w:rPr>
          <w:rFonts w:ascii="Arial" w:hAnsi="Arial" w:eastAsia="Arial" w:cs="Arial"/>
          <w:spacing w:val="35"/>
          <w:w w:val="101"/>
          <w:sz w:val="19"/>
          <w:szCs w:val="19"/>
        </w:rPr>
        <w:t xml:space="preserve"> </w:t>
      </w:r>
      <w:r>
        <w:rPr>
          <w:rFonts w:ascii="Arial" w:hAnsi="Arial" w:eastAsia="Arial" w:cs="Arial"/>
          <w:spacing w:val="-10"/>
          <w:sz w:val="19"/>
          <w:szCs w:val="19"/>
        </w:rPr>
        <w:t>ENG1,</w:t>
      </w:r>
      <w:r>
        <w:rPr>
          <w:rFonts w:ascii="Arial" w:hAnsi="Arial" w:eastAsia="Arial" w:cs="Arial"/>
          <w:spacing w:val="35"/>
          <w:sz w:val="19"/>
          <w:szCs w:val="19"/>
        </w:rPr>
        <w:t xml:space="preserve"> </w:t>
      </w:r>
      <w:r>
        <w:rPr>
          <w:rFonts w:ascii="Arial" w:hAnsi="Arial" w:eastAsia="Arial" w:cs="Arial"/>
          <w:spacing w:val="-10"/>
          <w:sz w:val="19"/>
          <w:szCs w:val="19"/>
        </w:rPr>
        <w:t>ENG3,</w:t>
      </w:r>
      <w:r>
        <w:rPr>
          <w:rFonts w:ascii="Arial" w:hAnsi="Arial" w:eastAsia="Arial" w:cs="Arial"/>
          <w:spacing w:val="36"/>
          <w:sz w:val="19"/>
          <w:szCs w:val="19"/>
        </w:rPr>
        <w:t xml:space="preserve"> </w:t>
      </w:r>
      <w:r>
        <w:rPr>
          <w:rFonts w:ascii="Arial" w:hAnsi="Arial" w:eastAsia="Arial" w:cs="Arial"/>
          <w:spacing w:val="-10"/>
          <w:sz w:val="19"/>
          <w:szCs w:val="19"/>
        </w:rPr>
        <w:t>ENG4).</w:t>
      </w:r>
      <w:r>
        <w:rPr>
          <w:rFonts w:ascii="Arial" w:hAnsi="Arial" w:eastAsia="Arial" w:cs="Arial"/>
          <w:spacing w:val="35"/>
          <w:w w:val="101"/>
          <w:sz w:val="19"/>
          <w:szCs w:val="19"/>
        </w:rPr>
        <w:t xml:space="preserve"> </w:t>
      </w:r>
      <w:r>
        <w:rPr>
          <w:rFonts w:ascii="Arial" w:hAnsi="Arial" w:eastAsia="Arial" w:cs="Arial"/>
          <w:spacing w:val="-10"/>
          <w:sz w:val="19"/>
          <w:szCs w:val="19"/>
        </w:rPr>
        <w:t>Data</w:t>
      </w:r>
      <w:r>
        <w:rPr>
          <w:rFonts w:ascii="Arial" w:hAnsi="Arial" w:eastAsia="Arial" w:cs="Arial"/>
          <w:spacing w:val="29"/>
          <w:sz w:val="19"/>
          <w:szCs w:val="19"/>
        </w:rPr>
        <w:t xml:space="preserve"> </w:t>
      </w:r>
      <w:r>
        <w:rPr>
          <w:rFonts w:ascii="Arial" w:hAnsi="Arial" w:eastAsia="Arial" w:cs="Arial"/>
          <w:spacing w:val="-10"/>
          <w:sz w:val="19"/>
          <w:szCs w:val="19"/>
        </w:rPr>
        <w:t>collection</w:t>
      </w:r>
      <w:r>
        <w:rPr>
          <w:rFonts w:ascii="Arial" w:hAnsi="Arial" w:eastAsia="Arial" w:cs="Arial"/>
          <w:spacing w:val="23"/>
          <w:w w:val="101"/>
          <w:sz w:val="19"/>
          <w:szCs w:val="19"/>
        </w:rPr>
        <w:t xml:space="preserve"> </w:t>
      </w:r>
      <w:r>
        <w:rPr>
          <w:rFonts w:ascii="Arial" w:hAnsi="Arial" w:eastAsia="Arial" w:cs="Arial"/>
          <w:spacing w:val="-10"/>
          <w:sz w:val="19"/>
          <w:szCs w:val="19"/>
        </w:rPr>
        <w:t>for</w:t>
      </w:r>
      <w:r>
        <w:rPr>
          <w:rFonts w:ascii="Arial" w:hAnsi="Arial" w:eastAsia="Arial" w:cs="Arial"/>
          <w:spacing w:val="25"/>
          <w:sz w:val="19"/>
          <w:szCs w:val="19"/>
        </w:rPr>
        <w:t xml:space="preserve"> </w:t>
      </w:r>
      <w:r>
        <w:rPr>
          <w:rFonts w:ascii="Arial" w:hAnsi="Arial" w:eastAsia="Arial" w:cs="Arial"/>
          <w:spacing w:val="-10"/>
          <w:sz w:val="19"/>
          <w:szCs w:val="19"/>
        </w:rPr>
        <w:t>this</w:t>
      </w:r>
      <w:r>
        <w:rPr>
          <w:rFonts w:ascii="Arial" w:hAnsi="Arial" w:eastAsia="Arial" w:cs="Arial"/>
          <w:spacing w:val="28"/>
          <w:sz w:val="19"/>
          <w:szCs w:val="19"/>
        </w:rPr>
        <w:t xml:space="preserve"> </w:t>
      </w:r>
      <w:r>
        <w:rPr>
          <w:rFonts w:ascii="Arial" w:hAnsi="Arial" w:eastAsia="Arial" w:cs="Arial"/>
          <w:spacing w:val="-10"/>
          <w:sz w:val="19"/>
          <w:szCs w:val="19"/>
        </w:rPr>
        <w:t>study</w:t>
      </w:r>
      <w:r>
        <w:rPr>
          <w:rFonts w:ascii="Arial" w:hAnsi="Arial" w:eastAsia="Arial" w:cs="Arial"/>
          <w:spacing w:val="33"/>
          <w:w w:val="101"/>
          <w:sz w:val="19"/>
          <w:szCs w:val="19"/>
        </w:rPr>
        <w:t xml:space="preserve"> </w:t>
      </w:r>
      <w:r>
        <w:rPr>
          <w:rFonts w:ascii="Arial" w:hAnsi="Arial" w:eastAsia="Arial" w:cs="Arial"/>
          <w:spacing w:val="-10"/>
          <w:sz w:val="19"/>
          <w:szCs w:val="19"/>
        </w:rPr>
        <w:t>included</w:t>
      </w:r>
      <w:r>
        <w:rPr>
          <w:rFonts w:ascii="Arial" w:hAnsi="Arial" w:eastAsia="Arial" w:cs="Arial"/>
          <w:spacing w:val="24"/>
          <w:sz w:val="19"/>
          <w:szCs w:val="19"/>
        </w:rPr>
        <w:t xml:space="preserve"> </w:t>
      </w:r>
      <w:r>
        <w:rPr>
          <w:rFonts w:ascii="Arial" w:hAnsi="Arial" w:eastAsia="Arial" w:cs="Arial"/>
          <w:spacing w:val="-10"/>
          <w:sz w:val="19"/>
          <w:szCs w:val="19"/>
        </w:rPr>
        <w:t>three</w:t>
      </w:r>
      <w:r>
        <w:rPr>
          <w:rFonts w:ascii="Arial" w:hAnsi="Arial" w:eastAsia="Arial" w:cs="Arial"/>
          <w:spacing w:val="36"/>
          <w:w w:val="101"/>
          <w:sz w:val="19"/>
          <w:szCs w:val="19"/>
        </w:rPr>
        <w:t xml:space="preserve"> </w:t>
      </w:r>
      <w:r>
        <w:rPr>
          <w:rFonts w:ascii="Arial" w:hAnsi="Arial" w:eastAsia="Arial" w:cs="Arial"/>
          <w:spacing w:val="-10"/>
          <w:sz w:val="19"/>
          <w:szCs w:val="19"/>
        </w:rPr>
        <w:t>HEIs</w:t>
      </w:r>
      <w:r>
        <w:rPr>
          <w:rFonts w:ascii="Arial" w:hAnsi="Arial" w:eastAsia="Arial" w:cs="Arial"/>
          <w:spacing w:val="33"/>
          <w:w w:val="101"/>
          <w:sz w:val="19"/>
          <w:szCs w:val="19"/>
        </w:rPr>
        <w:t xml:space="preserve"> </w:t>
      </w:r>
      <w:r>
        <w:rPr>
          <w:rFonts w:ascii="Arial" w:hAnsi="Arial" w:eastAsia="Arial" w:cs="Arial"/>
          <w:spacing w:val="-10"/>
          <w:sz w:val="19"/>
          <w:szCs w:val="19"/>
        </w:rPr>
        <w:t>in</w:t>
      </w:r>
      <w:r>
        <w:rPr>
          <w:rFonts w:ascii="Arial" w:hAnsi="Arial" w:eastAsia="Arial" w:cs="Arial"/>
          <w:spacing w:val="28"/>
          <w:sz w:val="19"/>
          <w:szCs w:val="19"/>
        </w:rPr>
        <w:t xml:space="preserve"> </w:t>
      </w:r>
      <w:r>
        <w:rPr>
          <w:rFonts w:ascii="Arial" w:hAnsi="Arial" w:eastAsia="Arial" w:cs="Arial"/>
          <w:spacing w:val="-10"/>
          <w:sz w:val="19"/>
          <w:szCs w:val="19"/>
        </w:rPr>
        <w:t>Germany,</w:t>
      </w:r>
      <w:r>
        <w:rPr>
          <w:rFonts w:ascii="Arial" w:hAnsi="Arial" w:eastAsia="Arial" w:cs="Arial"/>
          <w:spacing w:val="25"/>
          <w:w w:val="101"/>
          <w:sz w:val="19"/>
          <w:szCs w:val="19"/>
        </w:rPr>
        <w:t xml:space="preserve"> </w:t>
      </w:r>
      <w:r>
        <w:rPr>
          <w:rFonts w:ascii="Arial" w:hAnsi="Arial" w:eastAsia="Arial" w:cs="Arial"/>
          <w:spacing w:val="-10"/>
          <w:sz w:val="19"/>
          <w:szCs w:val="19"/>
        </w:rPr>
        <w:t>which</w:t>
      </w:r>
      <w:r>
        <w:rPr>
          <w:rFonts w:ascii="Arial" w:hAnsi="Arial" w:eastAsia="Arial" w:cs="Arial"/>
          <w:sz w:val="19"/>
          <w:szCs w:val="19"/>
        </w:rPr>
        <w:t xml:space="preserve"> </w:t>
      </w:r>
      <w:r>
        <w:rPr>
          <w:rFonts w:ascii="Arial" w:hAnsi="Arial" w:eastAsia="Arial" w:cs="Arial"/>
          <w:spacing w:val="-5"/>
          <w:sz w:val="19"/>
          <w:szCs w:val="19"/>
        </w:rPr>
        <w:t>limits</w:t>
      </w:r>
      <w:r>
        <w:rPr>
          <w:rFonts w:ascii="Arial" w:hAnsi="Arial" w:eastAsia="Arial" w:cs="Arial"/>
          <w:spacing w:val="29"/>
          <w:w w:val="101"/>
          <w:sz w:val="19"/>
          <w:szCs w:val="19"/>
        </w:rPr>
        <w:t xml:space="preserve"> </w:t>
      </w:r>
      <w:r>
        <w:rPr>
          <w:rFonts w:ascii="Arial" w:hAnsi="Arial" w:eastAsia="Arial" w:cs="Arial"/>
          <w:spacing w:val="-5"/>
          <w:sz w:val="19"/>
          <w:szCs w:val="19"/>
        </w:rPr>
        <w:t>the</w:t>
      </w:r>
      <w:r>
        <w:rPr>
          <w:rFonts w:ascii="Arial" w:hAnsi="Arial" w:eastAsia="Arial" w:cs="Arial"/>
          <w:spacing w:val="15"/>
          <w:sz w:val="19"/>
          <w:szCs w:val="19"/>
        </w:rPr>
        <w:t xml:space="preserve"> </w:t>
      </w:r>
      <w:r>
        <w:rPr>
          <w:rFonts w:ascii="Arial" w:hAnsi="Arial" w:eastAsia="Arial" w:cs="Arial"/>
          <w:spacing w:val="-4"/>
          <w:sz w:val="19"/>
          <w:szCs w:val="19"/>
        </w:rPr>
        <w:t>transferability</w:t>
      </w:r>
      <w:r>
        <w:rPr>
          <w:rFonts w:ascii="Arial" w:hAnsi="Arial" w:eastAsia="Arial" w:cs="Arial"/>
          <w:spacing w:val="19"/>
          <w:w w:val="101"/>
          <w:sz w:val="19"/>
          <w:szCs w:val="19"/>
        </w:rPr>
        <w:t xml:space="preserve"> </w:t>
      </w:r>
      <w:r>
        <w:rPr>
          <w:rFonts w:ascii="Arial" w:hAnsi="Arial" w:eastAsia="Arial" w:cs="Arial"/>
          <w:spacing w:val="-4"/>
          <w:sz w:val="19"/>
          <w:szCs w:val="19"/>
        </w:rPr>
        <w:t>of the</w:t>
      </w:r>
      <w:r>
        <w:rPr>
          <w:rFonts w:ascii="Arial" w:hAnsi="Arial" w:eastAsia="Arial" w:cs="Arial"/>
          <w:spacing w:val="26"/>
          <w:sz w:val="19"/>
          <w:szCs w:val="19"/>
        </w:rPr>
        <w:t xml:space="preserve"> </w:t>
      </w:r>
      <w:r>
        <w:rPr>
          <w:rFonts w:ascii="Arial" w:hAnsi="Arial" w:eastAsia="Arial" w:cs="Arial"/>
          <w:spacing w:val="-4"/>
          <w:sz w:val="19"/>
          <w:szCs w:val="19"/>
        </w:rPr>
        <w:t>results</w:t>
      </w:r>
      <w:r>
        <w:rPr>
          <w:rFonts w:ascii="Arial" w:hAnsi="Arial" w:eastAsia="Arial" w:cs="Arial"/>
          <w:spacing w:val="15"/>
          <w:w w:val="101"/>
          <w:sz w:val="19"/>
          <w:szCs w:val="19"/>
        </w:rPr>
        <w:t xml:space="preserve"> </w:t>
      </w:r>
      <w:r>
        <w:rPr>
          <w:rFonts w:ascii="Arial" w:hAnsi="Arial" w:eastAsia="Arial" w:cs="Arial"/>
          <w:spacing w:val="-4"/>
          <w:sz w:val="19"/>
          <w:szCs w:val="19"/>
        </w:rPr>
        <w:t>to</w:t>
      </w:r>
      <w:r>
        <w:rPr>
          <w:rFonts w:ascii="Arial" w:hAnsi="Arial" w:eastAsia="Arial" w:cs="Arial"/>
          <w:spacing w:val="19"/>
          <w:w w:val="101"/>
          <w:sz w:val="19"/>
          <w:szCs w:val="19"/>
        </w:rPr>
        <w:t xml:space="preserve"> </w:t>
      </w:r>
      <w:r>
        <w:rPr>
          <w:rFonts w:ascii="Arial" w:hAnsi="Arial" w:eastAsia="Arial" w:cs="Arial"/>
          <w:spacing w:val="-4"/>
          <w:sz w:val="19"/>
          <w:szCs w:val="19"/>
        </w:rPr>
        <w:t>other</w:t>
      </w:r>
      <w:r>
        <w:rPr>
          <w:rFonts w:ascii="Arial" w:hAnsi="Arial" w:eastAsia="Arial" w:cs="Arial"/>
          <w:spacing w:val="26"/>
          <w:w w:val="101"/>
          <w:sz w:val="19"/>
          <w:szCs w:val="19"/>
        </w:rPr>
        <w:t xml:space="preserve"> </w:t>
      </w:r>
      <w:r>
        <w:rPr>
          <w:rFonts w:ascii="Arial" w:hAnsi="Arial" w:eastAsia="Arial" w:cs="Arial"/>
          <w:spacing w:val="-4"/>
          <w:sz w:val="19"/>
          <w:szCs w:val="19"/>
        </w:rPr>
        <w:t>national</w:t>
      </w:r>
      <w:r>
        <w:rPr>
          <w:rFonts w:ascii="Arial" w:hAnsi="Arial" w:eastAsia="Arial" w:cs="Arial"/>
          <w:spacing w:val="18"/>
          <w:w w:val="101"/>
          <w:sz w:val="19"/>
          <w:szCs w:val="19"/>
        </w:rPr>
        <w:t xml:space="preserve"> </w:t>
      </w:r>
      <w:r>
        <w:rPr>
          <w:rFonts w:ascii="Arial" w:hAnsi="Arial" w:eastAsia="Arial" w:cs="Arial"/>
          <w:spacing w:val="-4"/>
          <w:sz w:val="19"/>
          <w:szCs w:val="19"/>
        </w:rPr>
        <w:t>contexts.</w:t>
      </w:r>
      <w:r>
        <w:rPr>
          <w:rFonts w:ascii="Arial" w:hAnsi="Arial" w:eastAsia="Arial" w:cs="Arial"/>
          <w:spacing w:val="26"/>
          <w:sz w:val="19"/>
          <w:szCs w:val="19"/>
        </w:rPr>
        <w:t xml:space="preserve"> </w:t>
      </w:r>
      <w:r>
        <w:rPr>
          <w:rFonts w:ascii="Arial" w:hAnsi="Arial" w:eastAsia="Arial" w:cs="Arial"/>
          <w:spacing w:val="-4"/>
          <w:sz w:val="19"/>
          <w:szCs w:val="19"/>
        </w:rPr>
        <w:t>Related</w:t>
      </w:r>
      <w:r>
        <w:rPr>
          <w:rFonts w:ascii="Arial" w:hAnsi="Arial" w:eastAsia="Arial" w:cs="Arial"/>
          <w:spacing w:val="16"/>
          <w:w w:val="101"/>
          <w:sz w:val="19"/>
          <w:szCs w:val="19"/>
        </w:rPr>
        <w:t xml:space="preserve"> </w:t>
      </w:r>
      <w:r>
        <w:rPr>
          <w:rFonts w:ascii="Arial" w:hAnsi="Arial" w:eastAsia="Arial" w:cs="Arial"/>
          <w:spacing w:val="-4"/>
          <w:sz w:val="19"/>
          <w:szCs w:val="19"/>
        </w:rPr>
        <w:t>to</w:t>
      </w:r>
      <w:r>
        <w:rPr>
          <w:rFonts w:ascii="Arial" w:hAnsi="Arial" w:eastAsia="Arial" w:cs="Arial"/>
          <w:spacing w:val="16"/>
          <w:w w:val="101"/>
          <w:sz w:val="19"/>
          <w:szCs w:val="19"/>
        </w:rPr>
        <w:t xml:space="preserve"> </w:t>
      </w:r>
      <w:r>
        <w:rPr>
          <w:rFonts w:ascii="Arial" w:hAnsi="Arial" w:eastAsia="Arial" w:cs="Arial"/>
          <w:spacing w:val="-4"/>
          <w:sz w:val="19"/>
          <w:szCs w:val="19"/>
        </w:rPr>
        <w:t>that,</w:t>
      </w:r>
      <w:r>
        <w:rPr>
          <w:rFonts w:ascii="Arial" w:hAnsi="Arial" w:eastAsia="Arial" w:cs="Arial"/>
          <w:spacing w:val="15"/>
          <w:w w:val="101"/>
          <w:sz w:val="19"/>
          <w:szCs w:val="19"/>
        </w:rPr>
        <w:t xml:space="preserve"> </w:t>
      </w:r>
      <w:r>
        <w:rPr>
          <w:rFonts w:ascii="Arial" w:hAnsi="Arial" w:eastAsia="Arial" w:cs="Arial"/>
          <w:spacing w:val="-4"/>
          <w:sz w:val="19"/>
          <w:szCs w:val="19"/>
        </w:rPr>
        <w:t>the</w:t>
      </w:r>
      <w:r>
        <w:rPr>
          <w:rFonts w:ascii="Arial" w:hAnsi="Arial" w:eastAsia="Arial" w:cs="Arial"/>
          <w:spacing w:val="15"/>
          <w:w w:val="101"/>
          <w:sz w:val="19"/>
          <w:szCs w:val="19"/>
        </w:rPr>
        <w:t xml:space="preserve"> </w:t>
      </w:r>
      <w:r>
        <w:rPr>
          <w:rFonts w:ascii="Arial" w:hAnsi="Arial" w:eastAsia="Arial" w:cs="Arial"/>
          <w:spacing w:val="-4"/>
          <w:sz w:val="19"/>
          <w:szCs w:val="19"/>
        </w:rPr>
        <w:t>validation</w:t>
      </w:r>
      <w:r>
        <w:rPr>
          <w:rFonts w:ascii="Arial" w:hAnsi="Arial" w:eastAsia="Arial" w:cs="Arial"/>
          <w:spacing w:val="19"/>
          <w:w w:val="101"/>
          <w:sz w:val="19"/>
          <w:szCs w:val="19"/>
        </w:rPr>
        <w:t xml:space="preserve"> </w:t>
      </w:r>
      <w:r>
        <w:rPr>
          <w:rFonts w:ascii="Arial" w:hAnsi="Arial" w:eastAsia="Arial" w:cs="Arial"/>
          <w:spacing w:val="-4"/>
          <w:sz w:val="19"/>
          <w:szCs w:val="19"/>
        </w:rPr>
        <w:t>o</w:t>
      </w:r>
      <w:r>
        <w:rPr>
          <w:rFonts w:ascii="Arial" w:hAnsi="Arial" w:eastAsia="Arial" w:cs="Arial"/>
          <w:spacing w:val="5"/>
          <w:sz w:val="19"/>
          <w:szCs w:val="19"/>
        </w:rPr>
        <w:t>f</w:t>
      </w:r>
      <w:r>
        <w:rPr>
          <w:rFonts w:ascii="Arial" w:hAnsi="Arial" w:eastAsia="Arial" w:cs="Arial"/>
          <w:sz w:val="19"/>
          <w:szCs w:val="19"/>
        </w:rPr>
        <w:t xml:space="preserve"> </w:t>
      </w:r>
      <w:r>
        <w:rPr>
          <w:rFonts w:ascii="Arial" w:hAnsi="Arial" w:eastAsia="Arial" w:cs="Arial"/>
          <w:spacing w:val="-5"/>
          <w:sz w:val="19"/>
          <w:szCs w:val="19"/>
        </w:rPr>
        <w:t>the</w:t>
      </w:r>
      <w:r>
        <w:rPr>
          <w:rFonts w:ascii="Arial" w:hAnsi="Arial" w:eastAsia="Arial" w:cs="Arial"/>
          <w:spacing w:val="45"/>
          <w:sz w:val="19"/>
          <w:szCs w:val="19"/>
        </w:rPr>
        <w:t xml:space="preserve"> </w:t>
      </w:r>
      <w:r>
        <w:rPr>
          <w:rFonts w:ascii="Arial" w:hAnsi="Arial" w:eastAsia="Arial" w:cs="Arial"/>
          <w:spacing w:val="-5"/>
          <w:sz w:val="19"/>
          <w:szCs w:val="19"/>
        </w:rPr>
        <w:t>QCI</w:t>
      </w:r>
      <w:r>
        <w:rPr>
          <w:rFonts w:ascii="Arial" w:hAnsi="Arial" w:eastAsia="Arial" w:cs="Arial"/>
          <w:spacing w:val="41"/>
          <w:sz w:val="19"/>
          <w:szCs w:val="19"/>
        </w:rPr>
        <w:t xml:space="preserve"> </w:t>
      </w:r>
      <w:r>
        <w:rPr>
          <w:rFonts w:ascii="Arial" w:hAnsi="Arial" w:eastAsia="Arial" w:cs="Arial"/>
          <w:spacing w:val="-5"/>
          <w:sz w:val="19"/>
          <w:szCs w:val="19"/>
        </w:rPr>
        <w:t>was  limited  to</w:t>
      </w:r>
      <w:r>
        <w:rPr>
          <w:rFonts w:ascii="Arial" w:hAnsi="Arial" w:eastAsia="Arial" w:cs="Arial"/>
          <w:spacing w:val="44"/>
          <w:sz w:val="19"/>
          <w:szCs w:val="19"/>
        </w:rPr>
        <w:t xml:space="preserve"> </w:t>
      </w:r>
      <w:r>
        <w:rPr>
          <w:rFonts w:ascii="Arial" w:hAnsi="Arial" w:eastAsia="Arial" w:cs="Arial"/>
          <w:spacing w:val="-5"/>
          <w:sz w:val="19"/>
          <w:szCs w:val="19"/>
        </w:rPr>
        <w:t>a  German</w:t>
      </w:r>
      <w:r>
        <w:rPr>
          <w:rFonts w:ascii="Arial" w:hAnsi="Arial" w:eastAsia="Arial" w:cs="Arial"/>
          <w:spacing w:val="41"/>
          <w:w w:val="101"/>
          <w:sz w:val="19"/>
          <w:szCs w:val="19"/>
        </w:rPr>
        <w:t xml:space="preserve"> </w:t>
      </w:r>
      <w:r>
        <w:rPr>
          <w:rFonts w:ascii="Arial" w:hAnsi="Arial" w:eastAsia="Arial" w:cs="Arial"/>
          <w:spacing w:val="-5"/>
          <w:sz w:val="19"/>
          <w:szCs w:val="19"/>
        </w:rPr>
        <w:t>version</w:t>
      </w:r>
      <w:r>
        <w:rPr>
          <w:rFonts w:ascii="Arial" w:hAnsi="Arial" w:eastAsia="Arial" w:cs="Arial"/>
          <w:spacing w:val="45"/>
          <w:sz w:val="19"/>
          <w:szCs w:val="19"/>
        </w:rPr>
        <w:t xml:space="preserve"> </w:t>
      </w:r>
      <w:r>
        <w:rPr>
          <w:rFonts w:ascii="Arial" w:hAnsi="Arial" w:eastAsia="Arial" w:cs="Arial"/>
          <w:spacing w:val="-5"/>
          <w:sz w:val="19"/>
          <w:szCs w:val="19"/>
        </w:rPr>
        <w:t>of</w:t>
      </w:r>
      <w:r>
        <w:rPr>
          <w:rFonts w:ascii="Arial" w:hAnsi="Arial" w:eastAsia="Arial" w:cs="Arial"/>
          <w:spacing w:val="33"/>
          <w:w w:val="101"/>
          <w:sz w:val="19"/>
          <w:szCs w:val="19"/>
        </w:rPr>
        <w:t xml:space="preserve"> </w:t>
      </w:r>
      <w:r>
        <w:rPr>
          <w:rFonts w:ascii="Arial" w:hAnsi="Arial" w:eastAsia="Arial" w:cs="Arial"/>
          <w:spacing w:val="-5"/>
          <w:sz w:val="19"/>
          <w:szCs w:val="19"/>
        </w:rPr>
        <w:t>the</w:t>
      </w:r>
      <w:r>
        <w:rPr>
          <w:rFonts w:ascii="Arial" w:hAnsi="Arial" w:eastAsia="Arial" w:cs="Arial"/>
          <w:spacing w:val="45"/>
          <w:sz w:val="19"/>
          <w:szCs w:val="19"/>
        </w:rPr>
        <w:t xml:space="preserve"> </w:t>
      </w:r>
      <w:r>
        <w:rPr>
          <w:rFonts w:ascii="Arial" w:hAnsi="Arial" w:eastAsia="Arial" w:cs="Arial"/>
          <w:spacing w:val="-5"/>
          <w:sz w:val="19"/>
          <w:szCs w:val="19"/>
        </w:rPr>
        <w:t>questi</w:t>
      </w:r>
      <w:r>
        <w:rPr>
          <w:rFonts w:ascii="Arial" w:hAnsi="Arial" w:eastAsia="Arial" w:cs="Arial"/>
          <w:spacing w:val="-6"/>
          <w:sz w:val="19"/>
          <w:szCs w:val="19"/>
        </w:rPr>
        <w:t>onnaire.</w:t>
      </w:r>
      <w:r>
        <w:rPr>
          <w:rFonts w:ascii="Arial" w:hAnsi="Arial" w:eastAsia="Arial" w:cs="Arial"/>
          <w:spacing w:val="43"/>
          <w:sz w:val="19"/>
          <w:szCs w:val="19"/>
        </w:rPr>
        <w:t xml:space="preserve"> </w:t>
      </w:r>
      <w:r>
        <w:rPr>
          <w:rFonts w:ascii="Arial" w:hAnsi="Arial" w:eastAsia="Arial" w:cs="Arial"/>
          <w:spacing w:val="-6"/>
          <w:sz w:val="19"/>
          <w:szCs w:val="19"/>
        </w:rPr>
        <w:t>Accordingly,</w:t>
      </w:r>
      <w:r>
        <w:rPr>
          <w:rFonts w:ascii="Arial" w:hAnsi="Arial" w:eastAsia="Arial" w:cs="Arial"/>
          <w:spacing w:val="41"/>
          <w:sz w:val="19"/>
          <w:szCs w:val="19"/>
        </w:rPr>
        <w:t xml:space="preserve"> </w:t>
      </w:r>
      <w:r>
        <w:rPr>
          <w:rFonts w:ascii="Arial" w:hAnsi="Arial" w:eastAsia="Arial" w:cs="Arial"/>
          <w:spacing w:val="-6"/>
          <w:sz w:val="19"/>
          <w:szCs w:val="19"/>
        </w:rPr>
        <w:t>the  results  of</w:t>
      </w:r>
      <w:r>
        <w:rPr>
          <w:rFonts w:ascii="Arial" w:hAnsi="Arial" w:eastAsia="Arial" w:cs="Arial"/>
          <w:spacing w:val="33"/>
          <w:w w:val="101"/>
          <w:sz w:val="19"/>
          <w:szCs w:val="19"/>
        </w:rPr>
        <w:t xml:space="preserve"> </w:t>
      </w:r>
      <w:r>
        <w:rPr>
          <w:rFonts w:ascii="Arial" w:hAnsi="Arial" w:eastAsia="Arial" w:cs="Arial"/>
          <w:spacing w:val="-6"/>
          <w:sz w:val="19"/>
          <w:szCs w:val="19"/>
        </w:rPr>
        <w:t>the</w:t>
      </w:r>
      <w:r>
        <w:rPr>
          <w:rFonts w:ascii="Arial" w:hAnsi="Arial" w:eastAsia="Arial" w:cs="Arial"/>
          <w:sz w:val="19"/>
          <w:szCs w:val="19"/>
        </w:rPr>
        <w:t xml:space="preserve"> </w:t>
      </w:r>
      <w:r>
        <w:rPr>
          <w:rFonts w:ascii="Arial" w:hAnsi="Arial" w:eastAsia="Arial" w:cs="Arial"/>
          <w:spacing w:val="-5"/>
          <w:sz w:val="19"/>
          <w:szCs w:val="19"/>
        </w:rPr>
        <w:t>current</w:t>
      </w:r>
      <w:r>
        <w:rPr>
          <w:rFonts w:ascii="Arial" w:hAnsi="Arial" w:eastAsia="Arial" w:cs="Arial"/>
          <w:spacing w:val="22"/>
          <w:w w:val="101"/>
          <w:sz w:val="19"/>
          <w:szCs w:val="19"/>
        </w:rPr>
        <w:t xml:space="preserve"> </w:t>
      </w:r>
      <w:r>
        <w:rPr>
          <w:rFonts w:ascii="Arial" w:hAnsi="Arial" w:eastAsia="Arial" w:cs="Arial"/>
          <w:spacing w:val="-5"/>
          <w:sz w:val="19"/>
          <w:szCs w:val="19"/>
        </w:rPr>
        <w:t>study</w:t>
      </w:r>
      <w:r>
        <w:rPr>
          <w:rFonts w:ascii="Arial" w:hAnsi="Arial" w:eastAsia="Arial" w:cs="Arial"/>
          <w:spacing w:val="28"/>
          <w:sz w:val="19"/>
          <w:szCs w:val="19"/>
        </w:rPr>
        <w:t xml:space="preserve"> </w:t>
      </w:r>
      <w:r>
        <w:rPr>
          <w:rFonts w:ascii="Arial" w:hAnsi="Arial" w:eastAsia="Arial" w:cs="Arial"/>
          <w:spacing w:val="-5"/>
          <w:sz w:val="19"/>
          <w:szCs w:val="19"/>
        </w:rPr>
        <w:t>need</w:t>
      </w:r>
      <w:r>
        <w:rPr>
          <w:rFonts w:ascii="Arial" w:hAnsi="Arial" w:eastAsia="Arial" w:cs="Arial"/>
          <w:spacing w:val="17"/>
          <w:sz w:val="19"/>
          <w:szCs w:val="19"/>
        </w:rPr>
        <w:t xml:space="preserve"> </w:t>
      </w:r>
      <w:r>
        <w:rPr>
          <w:rFonts w:ascii="Arial" w:hAnsi="Arial" w:eastAsia="Arial" w:cs="Arial"/>
          <w:spacing w:val="-5"/>
          <w:sz w:val="19"/>
          <w:szCs w:val="19"/>
        </w:rPr>
        <w:t>to</w:t>
      </w:r>
      <w:r>
        <w:rPr>
          <w:rFonts w:ascii="Arial" w:hAnsi="Arial" w:eastAsia="Arial" w:cs="Arial"/>
          <w:spacing w:val="26"/>
          <w:w w:val="101"/>
          <w:sz w:val="19"/>
          <w:szCs w:val="19"/>
        </w:rPr>
        <w:t xml:space="preserve"> </w:t>
      </w:r>
      <w:r>
        <w:rPr>
          <w:rFonts w:ascii="Arial" w:hAnsi="Arial" w:eastAsia="Arial" w:cs="Arial"/>
          <w:spacing w:val="-5"/>
          <w:sz w:val="19"/>
          <w:szCs w:val="19"/>
        </w:rPr>
        <w:t>be</w:t>
      </w:r>
      <w:r>
        <w:rPr>
          <w:rFonts w:ascii="Arial" w:hAnsi="Arial" w:eastAsia="Arial" w:cs="Arial"/>
          <w:spacing w:val="20"/>
          <w:w w:val="101"/>
          <w:sz w:val="19"/>
          <w:szCs w:val="19"/>
        </w:rPr>
        <w:t xml:space="preserve"> </w:t>
      </w:r>
      <w:r>
        <w:rPr>
          <w:rFonts w:ascii="Arial" w:hAnsi="Arial" w:eastAsia="Arial" w:cs="Arial"/>
          <w:spacing w:val="-5"/>
          <w:sz w:val="19"/>
          <w:szCs w:val="19"/>
        </w:rPr>
        <w:t>supplemented</w:t>
      </w:r>
      <w:r>
        <w:rPr>
          <w:rFonts w:ascii="Arial" w:hAnsi="Arial" w:eastAsia="Arial" w:cs="Arial"/>
          <w:spacing w:val="27"/>
          <w:w w:val="101"/>
          <w:sz w:val="19"/>
          <w:szCs w:val="19"/>
        </w:rPr>
        <w:t xml:space="preserve"> </w:t>
      </w:r>
      <w:r>
        <w:rPr>
          <w:rFonts w:ascii="Arial" w:hAnsi="Arial" w:eastAsia="Arial" w:cs="Arial"/>
          <w:spacing w:val="-5"/>
          <w:sz w:val="19"/>
          <w:szCs w:val="19"/>
        </w:rPr>
        <w:t>by</w:t>
      </w:r>
      <w:r>
        <w:rPr>
          <w:rFonts w:ascii="Arial" w:hAnsi="Arial" w:eastAsia="Arial" w:cs="Arial"/>
          <w:spacing w:val="17"/>
          <w:sz w:val="19"/>
          <w:szCs w:val="19"/>
        </w:rPr>
        <w:t xml:space="preserve"> </w:t>
      </w:r>
      <w:r>
        <w:rPr>
          <w:rFonts w:ascii="Arial" w:hAnsi="Arial" w:eastAsia="Arial" w:cs="Arial"/>
          <w:spacing w:val="-5"/>
          <w:sz w:val="19"/>
          <w:szCs w:val="19"/>
        </w:rPr>
        <w:t>the</w:t>
      </w:r>
      <w:r>
        <w:rPr>
          <w:rFonts w:ascii="Arial" w:hAnsi="Arial" w:eastAsia="Arial" w:cs="Arial"/>
          <w:spacing w:val="16"/>
          <w:sz w:val="19"/>
          <w:szCs w:val="19"/>
        </w:rPr>
        <w:t xml:space="preserve"> </w:t>
      </w:r>
      <w:r>
        <w:rPr>
          <w:rFonts w:ascii="Arial" w:hAnsi="Arial" w:eastAsia="Arial" w:cs="Arial"/>
          <w:spacing w:val="-5"/>
          <w:sz w:val="19"/>
          <w:szCs w:val="19"/>
        </w:rPr>
        <w:t>valid</w:t>
      </w:r>
      <w:r>
        <w:rPr>
          <w:rFonts w:ascii="Arial" w:hAnsi="Arial" w:eastAsia="Arial" w:cs="Arial"/>
          <w:spacing w:val="-6"/>
          <w:sz w:val="19"/>
          <w:szCs w:val="19"/>
        </w:rPr>
        <w:t>ation</w:t>
      </w:r>
      <w:r>
        <w:rPr>
          <w:rFonts w:ascii="Arial" w:hAnsi="Arial" w:eastAsia="Arial" w:cs="Arial"/>
          <w:spacing w:val="21"/>
          <w:sz w:val="19"/>
          <w:szCs w:val="19"/>
        </w:rPr>
        <w:t xml:space="preserve"> </w:t>
      </w:r>
      <w:r>
        <w:rPr>
          <w:rFonts w:ascii="Arial" w:hAnsi="Arial" w:eastAsia="Arial" w:cs="Arial"/>
          <w:spacing w:val="-6"/>
          <w:sz w:val="19"/>
          <w:szCs w:val="19"/>
        </w:rPr>
        <w:t>of</w:t>
      </w:r>
      <w:r>
        <w:rPr>
          <w:rFonts w:ascii="Arial" w:hAnsi="Arial" w:eastAsia="Arial" w:cs="Arial"/>
          <w:spacing w:val="12"/>
          <w:sz w:val="19"/>
          <w:szCs w:val="19"/>
        </w:rPr>
        <w:t xml:space="preserve"> </w:t>
      </w:r>
      <w:r>
        <w:rPr>
          <w:rFonts w:ascii="Arial" w:hAnsi="Arial" w:eastAsia="Arial" w:cs="Arial"/>
          <w:spacing w:val="-6"/>
          <w:sz w:val="19"/>
          <w:szCs w:val="19"/>
        </w:rPr>
        <w:t>an</w:t>
      </w:r>
      <w:r>
        <w:rPr>
          <w:rFonts w:ascii="Arial" w:hAnsi="Arial" w:eastAsia="Arial" w:cs="Arial"/>
          <w:spacing w:val="28"/>
          <w:sz w:val="19"/>
          <w:szCs w:val="19"/>
        </w:rPr>
        <w:t xml:space="preserve"> </w:t>
      </w:r>
      <w:r>
        <w:rPr>
          <w:rFonts w:ascii="Arial" w:hAnsi="Arial" w:eastAsia="Arial" w:cs="Arial"/>
          <w:spacing w:val="-6"/>
          <w:sz w:val="19"/>
          <w:szCs w:val="19"/>
        </w:rPr>
        <w:t>English</w:t>
      </w:r>
      <w:r>
        <w:rPr>
          <w:rFonts w:ascii="Arial" w:hAnsi="Arial" w:eastAsia="Arial" w:cs="Arial"/>
          <w:spacing w:val="17"/>
          <w:w w:val="101"/>
          <w:sz w:val="19"/>
          <w:szCs w:val="19"/>
        </w:rPr>
        <w:t xml:space="preserve"> </w:t>
      </w:r>
      <w:r>
        <w:rPr>
          <w:rFonts w:ascii="Arial" w:hAnsi="Arial" w:eastAsia="Arial" w:cs="Arial"/>
          <w:spacing w:val="-6"/>
          <w:sz w:val="19"/>
          <w:szCs w:val="19"/>
        </w:rPr>
        <w:t>version</w:t>
      </w:r>
      <w:r>
        <w:rPr>
          <w:rFonts w:ascii="Arial" w:hAnsi="Arial" w:eastAsia="Arial" w:cs="Arial"/>
          <w:spacing w:val="21"/>
          <w:w w:val="101"/>
          <w:sz w:val="19"/>
          <w:szCs w:val="19"/>
        </w:rPr>
        <w:t xml:space="preserve"> </w:t>
      </w:r>
      <w:r>
        <w:rPr>
          <w:rFonts w:ascii="Arial" w:hAnsi="Arial" w:eastAsia="Arial" w:cs="Arial"/>
          <w:spacing w:val="-6"/>
          <w:sz w:val="19"/>
          <w:szCs w:val="19"/>
        </w:rPr>
        <w:t>of</w:t>
      </w:r>
      <w:r>
        <w:rPr>
          <w:rFonts w:ascii="Arial" w:hAnsi="Arial" w:eastAsia="Arial" w:cs="Arial"/>
          <w:spacing w:val="9"/>
          <w:sz w:val="19"/>
          <w:szCs w:val="19"/>
        </w:rPr>
        <w:t xml:space="preserve"> </w:t>
      </w:r>
      <w:r>
        <w:rPr>
          <w:rFonts w:ascii="Arial" w:hAnsi="Arial" w:eastAsia="Arial" w:cs="Arial"/>
          <w:spacing w:val="-6"/>
          <w:sz w:val="19"/>
          <w:szCs w:val="19"/>
        </w:rPr>
        <w:t>the</w:t>
      </w:r>
      <w:r>
        <w:rPr>
          <w:rFonts w:ascii="Arial" w:hAnsi="Arial" w:eastAsia="Arial" w:cs="Arial"/>
          <w:spacing w:val="21"/>
          <w:w w:val="101"/>
          <w:sz w:val="19"/>
          <w:szCs w:val="19"/>
        </w:rPr>
        <w:t xml:space="preserve"> </w:t>
      </w:r>
      <w:r>
        <w:rPr>
          <w:rFonts w:ascii="Arial" w:hAnsi="Arial" w:eastAsia="Arial" w:cs="Arial"/>
          <w:spacing w:val="-6"/>
          <w:sz w:val="19"/>
          <w:szCs w:val="19"/>
        </w:rPr>
        <w:t>QCI,</w:t>
      </w:r>
      <w:r>
        <w:rPr>
          <w:rFonts w:ascii="Arial" w:hAnsi="Arial" w:eastAsia="Arial" w:cs="Arial"/>
          <w:spacing w:val="17"/>
          <w:sz w:val="19"/>
          <w:szCs w:val="19"/>
        </w:rPr>
        <w:t xml:space="preserve"> </w:t>
      </w:r>
      <w:r>
        <w:rPr>
          <w:rFonts w:ascii="Arial" w:hAnsi="Arial" w:eastAsia="Arial" w:cs="Arial"/>
          <w:spacing w:val="-6"/>
          <w:sz w:val="19"/>
          <w:szCs w:val="19"/>
        </w:rPr>
        <w:t>which</w:t>
      </w:r>
      <w:r>
        <w:rPr>
          <w:rFonts w:ascii="Arial" w:hAnsi="Arial" w:eastAsia="Arial" w:cs="Arial"/>
          <w:sz w:val="19"/>
          <w:szCs w:val="19"/>
        </w:rPr>
        <w:t xml:space="preserve"> </w:t>
      </w:r>
      <w:r>
        <w:rPr>
          <w:rFonts w:ascii="Arial" w:hAnsi="Arial" w:eastAsia="Arial" w:cs="Arial"/>
          <w:spacing w:val="-5"/>
          <w:sz w:val="19"/>
          <w:szCs w:val="19"/>
        </w:rPr>
        <w:t>can</w:t>
      </w:r>
      <w:r>
        <w:rPr>
          <w:rFonts w:ascii="Arial" w:hAnsi="Arial" w:eastAsia="Arial" w:cs="Arial"/>
          <w:spacing w:val="45"/>
          <w:sz w:val="19"/>
          <w:szCs w:val="19"/>
        </w:rPr>
        <w:t xml:space="preserve"> </w:t>
      </w:r>
      <w:r>
        <w:rPr>
          <w:rFonts w:ascii="Arial" w:hAnsi="Arial" w:eastAsia="Arial" w:cs="Arial"/>
          <w:spacing w:val="-5"/>
          <w:sz w:val="19"/>
          <w:szCs w:val="19"/>
        </w:rPr>
        <w:t>be</w:t>
      </w:r>
      <w:r>
        <w:rPr>
          <w:rFonts w:ascii="Arial" w:hAnsi="Arial" w:eastAsia="Arial" w:cs="Arial"/>
          <w:spacing w:val="39"/>
          <w:sz w:val="19"/>
          <w:szCs w:val="19"/>
        </w:rPr>
        <w:t xml:space="preserve"> </w:t>
      </w:r>
      <w:r>
        <w:rPr>
          <w:rFonts w:ascii="Arial" w:hAnsi="Arial" w:eastAsia="Arial" w:cs="Arial"/>
          <w:spacing w:val="-5"/>
          <w:sz w:val="19"/>
          <w:szCs w:val="19"/>
        </w:rPr>
        <w:t>applied</w:t>
      </w:r>
      <w:r>
        <w:rPr>
          <w:rFonts w:ascii="Arial" w:hAnsi="Arial" w:eastAsia="Arial" w:cs="Arial"/>
          <w:spacing w:val="43"/>
          <w:w w:val="101"/>
          <w:sz w:val="19"/>
          <w:szCs w:val="19"/>
        </w:rPr>
        <w:t xml:space="preserve"> </w:t>
      </w:r>
      <w:r>
        <w:rPr>
          <w:rFonts w:ascii="Arial" w:hAnsi="Arial" w:eastAsia="Arial" w:cs="Arial"/>
          <w:spacing w:val="-5"/>
          <w:sz w:val="19"/>
          <w:szCs w:val="19"/>
        </w:rPr>
        <w:t>in</w:t>
      </w:r>
      <w:r>
        <w:rPr>
          <w:rFonts w:ascii="Arial" w:hAnsi="Arial" w:eastAsia="Arial" w:cs="Arial"/>
          <w:spacing w:val="44"/>
          <w:sz w:val="19"/>
          <w:szCs w:val="19"/>
        </w:rPr>
        <w:t xml:space="preserve"> </w:t>
      </w:r>
      <w:r>
        <w:rPr>
          <w:rFonts w:ascii="Arial" w:hAnsi="Arial" w:eastAsia="Arial" w:cs="Arial"/>
          <w:spacing w:val="-5"/>
          <w:sz w:val="19"/>
          <w:szCs w:val="19"/>
        </w:rPr>
        <w:t>international</w:t>
      </w:r>
      <w:r>
        <w:rPr>
          <w:rFonts w:ascii="Arial" w:hAnsi="Arial" w:eastAsia="Arial" w:cs="Arial"/>
          <w:spacing w:val="39"/>
          <w:w w:val="101"/>
          <w:sz w:val="19"/>
          <w:szCs w:val="19"/>
        </w:rPr>
        <w:t xml:space="preserve"> </w:t>
      </w:r>
      <w:r>
        <w:rPr>
          <w:rFonts w:ascii="Arial" w:hAnsi="Arial" w:eastAsia="Arial" w:cs="Arial"/>
          <w:spacing w:val="-5"/>
          <w:sz w:val="19"/>
          <w:szCs w:val="19"/>
        </w:rPr>
        <w:t>co</w:t>
      </w:r>
      <w:r>
        <w:rPr>
          <w:rFonts w:ascii="Arial" w:hAnsi="Arial" w:eastAsia="Arial" w:cs="Arial"/>
          <w:spacing w:val="-6"/>
          <w:sz w:val="19"/>
          <w:szCs w:val="19"/>
        </w:rPr>
        <w:t>ntexts.</w:t>
      </w:r>
      <w:r>
        <w:rPr>
          <w:rFonts w:ascii="Arial" w:hAnsi="Arial" w:eastAsia="Arial" w:cs="Arial"/>
          <w:spacing w:val="45"/>
          <w:sz w:val="19"/>
          <w:szCs w:val="19"/>
        </w:rPr>
        <w:t xml:space="preserve"> </w:t>
      </w:r>
      <w:r>
        <w:rPr>
          <w:rFonts w:ascii="Arial" w:hAnsi="Arial" w:eastAsia="Arial" w:cs="Arial"/>
          <w:spacing w:val="-6"/>
          <w:sz w:val="19"/>
          <w:szCs w:val="19"/>
        </w:rPr>
        <w:t>Unfortunately,</w:t>
      </w:r>
      <w:r>
        <w:rPr>
          <w:rFonts w:ascii="Arial" w:hAnsi="Arial" w:eastAsia="Arial" w:cs="Arial"/>
          <w:spacing w:val="41"/>
          <w:sz w:val="19"/>
          <w:szCs w:val="19"/>
        </w:rPr>
        <w:t xml:space="preserve"> </w:t>
      </w:r>
      <w:r>
        <w:rPr>
          <w:rFonts w:ascii="Arial" w:hAnsi="Arial" w:eastAsia="Arial" w:cs="Arial"/>
          <w:spacing w:val="-6"/>
          <w:sz w:val="19"/>
          <w:szCs w:val="19"/>
        </w:rPr>
        <w:t>our</w:t>
      </w:r>
      <w:r>
        <w:rPr>
          <w:rFonts w:ascii="Arial" w:hAnsi="Arial" w:eastAsia="Arial" w:cs="Arial"/>
          <w:spacing w:val="39"/>
          <w:sz w:val="19"/>
          <w:szCs w:val="19"/>
        </w:rPr>
        <w:t xml:space="preserve"> </w:t>
      </w:r>
      <w:r>
        <w:rPr>
          <w:rFonts w:ascii="Arial" w:hAnsi="Arial" w:eastAsia="Arial" w:cs="Arial"/>
          <w:spacing w:val="-6"/>
          <w:sz w:val="19"/>
          <w:szCs w:val="19"/>
        </w:rPr>
        <w:t>overall</w:t>
      </w:r>
      <w:r>
        <w:rPr>
          <w:rFonts w:ascii="Arial" w:hAnsi="Arial" w:eastAsia="Arial" w:cs="Arial"/>
          <w:spacing w:val="44"/>
          <w:sz w:val="19"/>
          <w:szCs w:val="19"/>
        </w:rPr>
        <w:t xml:space="preserve"> </w:t>
      </w:r>
      <w:r>
        <w:rPr>
          <w:rFonts w:ascii="Arial" w:hAnsi="Arial" w:eastAsia="Arial" w:cs="Arial"/>
          <w:spacing w:val="-6"/>
          <w:sz w:val="19"/>
          <w:szCs w:val="19"/>
        </w:rPr>
        <w:t>response  rate</w:t>
      </w:r>
      <w:r>
        <w:rPr>
          <w:rFonts w:ascii="Arial" w:hAnsi="Arial" w:eastAsia="Arial" w:cs="Arial"/>
          <w:spacing w:val="36"/>
          <w:sz w:val="19"/>
          <w:szCs w:val="19"/>
        </w:rPr>
        <w:t xml:space="preserve"> </w:t>
      </w:r>
      <w:r>
        <w:rPr>
          <w:rFonts w:ascii="Arial" w:hAnsi="Arial" w:eastAsia="Arial" w:cs="Arial"/>
          <w:spacing w:val="-6"/>
          <w:sz w:val="19"/>
          <w:szCs w:val="19"/>
        </w:rPr>
        <w:t>was  relatively</w:t>
      </w:r>
      <w:r>
        <w:rPr>
          <w:rFonts w:ascii="Arial" w:hAnsi="Arial" w:eastAsia="Arial" w:cs="Arial"/>
          <w:sz w:val="19"/>
          <w:szCs w:val="19"/>
        </w:rPr>
        <w:t xml:space="preserve"> </w:t>
      </w:r>
      <w:r>
        <w:rPr>
          <w:rFonts w:ascii="Arial" w:hAnsi="Arial" w:eastAsia="Arial" w:cs="Arial"/>
          <w:spacing w:val="-6"/>
          <w:sz w:val="19"/>
          <w:szCs w:val="19"/>
        </w:rPr>
        <w:t>low</w:t>
      </w:r>
      <w:r>
        <w:rPr>
          <w:rFonts w:ascii="Arial" w:hAnsi="Arial" w:eastAsia="Arial" w:cs="Arial"/>
          <w:spacing w:val="33"/>
          <w:w w:val="101"/>
          <w:sz w:val="19"/>
          <w:szCs w:val="19"/>
        </w:rPr>
        <w:t xml:space="preserve"> </w:t>
      </w:r>
      <w:r>
        <w:rPr>
          <w:rFonts w:ascii="Arial" w:hAnsi="Arial" w:eastAsia="Arial" w:cs="Arial"/>
          <w:spacing w:val="-6"/>
          <w:sz w:val="19"/>
          <w:szCs w:val="19"/>
        </w:rPr>
        <w:t>at  10%,</w:t>
      </w:r>
      <w:r>
        <w:rPr>
          <w:rFonts w:ascii="Arial" w:hAnsi="Arial" w:eastAsia="Arial" w:cs="Arial"/>
          <w:spacing w:val="35"/>
          <w:sz w:val="19"/>
          <w:szCs w:val="19"/>
        </w:rPr>
        <w:t xml:space="preserve"> </w:t>
      </w:r>
      <w:r>
        <w:rPr>
          <w:rFonts w:ascii="Arial" w:hAnsi="Arial" w:eastAsia="Arial" w:cs="Arial"/>
          <w:spacing w:val="-6"/>
          <w:sz w:val="19"/>
          <w:szCs w:val="19"/>
        </w:rPr>
        <w:t>so</w:t>
      </w:r>
      <w:r>
        <w:rPr>
          <w:rFonts w:ascii="Arial" w:hAnsi="Arial" w:eastAsia="Arial" w:cs="Arial"/>
          <w:spacing w:val="30"/>
          <w:sz w:val="19"/>
          <w:szCs w:val="19"/>
        </w:rPr>
        <w:t xml:space="preserve"> </w:t>
      </w:r>
      <w:r>
        <w:rPr>
          <w:rFonts w:ascii="Arial" w:hAnsi="Arial" w:eastAsia="Arial" w:cs="Arial"/>
          <w:spacing w:val="-6"/>
          <w:sz w:val="19"/>
          <w:szCs w:val="19"/>
        </w:rPr>
        <w:t>that</w:t>
      </w:r>
      <w:r>
        <w:rPr>
          <w:rFonts w:ascii="Arial" w:hAnsi="Arial" w:eastAsia="Arial" w:cs="Arial"/>
          <w:spacing w:val="32"/>
          <w:w w:val="101"/>
          <w:sz w:val="19"/>
          <w:szCs w:val="19"/>
        </w:rPr>
        <w:t xml:space="preserve"> </w:t>
      </w:r>
      <w:r>
        <w:rPr>
          <w:rFonts w:ascii="Arial" w:hAnsi="Arial" w:eastAsia="Arial" w:cs="Arial"/>
          <w:spacing w:val="-6"/>
          <w:sz w:val="19"/>
          <w:szCs w:val="19"/>
        </w:rPr>
        <w:t>a</w:t>
      </w:r>
      <w:r>
        <w:rPr>
          <w:rFonts w:ascii="Arial" w:hAnsi="Arial" w:eastAsia="Arial" w:cs="Arial"/>
          <w:spacing w:val="39"/>
          <w:w w:val="101"/>
          <w:sz w:val="19"/>
          <w:szCs w:val="19"/>
        </w:rPr>
        <w:t xml:space="preserve"> </w:t>
      </w:r>
      <w:r>
        <w:rPr>
          <w:rFonts w:ascii="Arial" w:hAnsi="Arial" w:eastAsia="Arial" w:cs="Arial"/>
          <w:spacing w:val="-6"/>
          <w:sz w:val="19"/>
          <w:szCs w:val="19"/>
        </w:rPr>
        <w:t>response</w:t>
      </w:r>
      <w:r>
        <w:rPr>
          <w:rFonts w:ascii="Arial" w:hAnsi="Arial" w:eastAsia="Arial" w:cs="Arial"/>
          <w:spacing w:val="39"/>
          <w:w w:val="101"/>
          <w:sz w:val="19"/>
          <w:szCs w:val="19"/>
        </w:rPr>
        <w:t xml:space="preserve"> </w:t>
      </w:r>
      <w:r>
        <w:rPr>
          <w:rFonts w:ascii="Arial" w:hAnsi="Arial" w:eastAsia="Arial" w:cs="Arial"/>
          <w:spacing w:val="-6"/>
          <w:sz w:val="19"/>
          <w:szCs w:val="19"/>
        </w:rPr>
        <w:t>bias</w:t>
      </w:r>
      <w:r>
        <w:rPr>
          <w:rFonts w:ascii="Arial" w:hAnsi="Arial" w:eastAsia="Arial" w:cs="Arial"/>
          <w:spacing w:val="34"/>
          <w:sz w:val="19"/>
          <w:szCs w:val="19"/>
        </w:rPr>
        <w:t xml:space="preserve"> </w:t>
      </w:r>
      <w:r>
        <w:rPr>
          <w:rFonts w:ascii="Arial" w:hAnsi="Arial" w:eastAsia="Arial" w:cs="Arial"/>
          <w:spacing w:val="-6"/>
          <w:sz w:val="19"/>
          <w:szCs w:val="19"/>
        </w:rPr>
        <w:t>cannot</w:t>
      </w:r>
      <w:r>
        <w:rPr>
          <w:rFonts w:ascii="Arial" w:hAnsi="Arial" w:eastAsia="Arial" w:cs="Arial"/>
          <w:spacing w:val="40"/>
          <w:sz w:val="19"/>
          <w:szCs w:val="19"/>
        </w:rPr>
        <w:t xml:space="preserve"> </w:t>
      </w:r>
      <w:r>
        <w:rPr>
          <w:rFonts w:ascii="Arial" w:hAnsi="Arial" w:eastAsia="Arial" w:cs="Arial"/>
          <w:spacing w:val="-6"/>
          <w:sz w:val="19"/>
          <w:szCs w:val="19"/>
        </w:rPr>
        <w:t>be</w:t>
      </w:r>
      <w:r>
        <w:rPr>
          <w:rFonts w:ascii="Arial" w:hAnsi="Arial" w:eastAsia="Arial" w:cs="Arial"/>
          <w:spacing w:val="39"/>
          <w:w w:val="101"/>
          <w:sz w:val="19"/>
          <w:szCs w:val="19"/>
        </w:rPr>
        <w:t xml:space="preserve"> </w:t>
      </w:r>
      <w:r>
        <w:rPr>
          <w:rFonts w:ascii="Arial" w:hAnsi="Arial" w:eastAsia="Arial" w:cs="Arial"/>
          <w:spacing w:val="-6"/>
          <w:sz w:val="19"/>
          <w:szCs w:val="19"/>
        </w:rPr>
        <w:t>ruled</w:t>
      </w:r>
      <w:r>
        <w:rPr>
          <w:rFonts w:ascii="Arial" w:hAnsi="Arial" w:eastAsia="Arial" w:cs="Arial"/>
          <w:spacing w:val="34"/>
          <w:sz w:val="19"/>
          <w:szCs w:val="19"/>
        </w:rPr>
        <w:t xml:space="preserve"> </w:t>
      </w:r>
      <w:r>
        <w:rPr>
          <w:rFonts w:ascii="Arial" w:hAnsi="Arial" w:eastAsia="Arial" w:cs="Arial"/>
          <w:spacing w:val="-7"/>
          <w:sz w:val="19"/>
          <w:szCs w:val="19"/>
        </w:rPr>
        <w:t>out</w:t>
      </w:r>
      <w:r>
        <w:rPr>
          <w:rFonts w:ascii="Arial" w:hAnsi="Arial" w:eastAsia="Arial" w:cs="Arial"/>
          <w:spacing w:val="30"/>
          <w:w w:val="101"/>
          <w:sz w:val="19"/>
          <w:szCs w:val="19"/>
        </w:rPr>
        <w:t xml:space="preserve"> </w:t>
      </w:r>
      <w:r>
        <w:rPr>
          <w:rFonts w:ascii="Arial" w:hAnsi="Arial" w:eastAsia="Arial" w:cs="Arial"/>
          <w:spacing w:val="-7"/>
          <w:sz w:val="19"/>
          <w:szCs w:val="19"/>
        </w:rPr>
        <w:t>with</w:t>
      </w:r>
      <w:r>
        <w:rPr>
          <w:rFonts w:ascii="Arial" w:hAnsi="Arial" w:eastAsia="Arial" w:cs="Arial"/>
          <w:spacing w:val="34"/>
          <w:sz w:val="19"/>
          <w:szCs w:val="19"/>
        </w:rPr>
        <w:t xml:space="preserve"> </w:t>
      </w:r>
      <w:r>
        <w:rPr>
          <w:rFonts w:ascii="Arial" w:hAnsi="Arial" w:eastAsia="Arial" w:cs="Arial"/>
          <w:spacing w:val="-7"/>
          <w:sz w:val="19"/>
          <w:szCs w:val="19"/>
        </w:rPr>
        <w:t>certainty.</w:t>
      </w:r>
      <w:r>
        <w:rPr>
          <w:rFonts w:ascii="Arial" w:hAnsi="Arial" w:eastAsia="Arial" w:cs="Arial"/>
          <w:spacing w:val="40"/>
          <w:sz w:val="19"/>
          <w:szCs w:val="19"/>
        </w:rPr>
        <w:t xml:space="preserve"> </w:t>
      </w:r>
      <w:r>
        <w:rPr>
          <w:rFonts w:ascii="Arial" w:hAnsi="Arial" w:eastAsia="Arial" w:cs="Arial"/>
          <w:spacing w:val="-7"/>
          <w:sz w:val="19"/>
          <w:szCs w:val="19"/>
        </w:rPr>
        <w:t>However,</w:t>
      </w:r>
      <w:r>
        <w:rPr>
          <w:rFonts w:ascii="Arial" w:hAnsi="Arial" w:eastAsia="Arial" w:cs="Arial"/>
          <w:spacing w:val="33"/>
          <w:w w:val="101"/>
          <w:sz w:val="19"/>
          <w:szCs w:val="19"/>
        </w:rPr>
        <w:t xml:space="preserve"> </w:t>
      </w:r>
      <w:r>
        <w:rPr>
          <w:rFonts w:ascii="Arial" w:hAnsi="Arial" w:eastAsia="Arial" w:cs="Arial"/>
          <w:spacing w:val="-7"/>
          <w:sz w:val="19"/>
          <w:szCs w:val="19"/>
        </w:rPr>
        <w:t>demographic</w:t>
      </w:r>
      <w:r>
        <w:rPr>
          <w:rFonts w:ascii="Arial" w:hAnsi="Arial" w:eastAsia="Arial" w:cs="Arial"/>
          <w:sz w:val="19"/>
          <w:szCs w:val="19"/>
        </w:rPr>
        <w:t xml:space="preserve"> </w:t>
      </w:r>
      <w:r>
        <w:rPr>
          <w:rFonts w:ascii="Arial" w:hAnsi="Arial" w:eastAsia="Arial" w:cs="Arial"/>
          <w:spacing w:val="-4"/>
          <w:sz w:val="19"/>
          <w:szCs w:val="19"/>
        </w:rPr>
        <w:t>data support the assumption</w:t>
      </w:r>
      <w:r>
        <w:rPr>
          <w:rFonts w:ascii="Arial" w:hAnsi="Arial" w:eastAsia="Arial" w:cs="Arial"/>
          <w:spacing w:val="-5"/>
          <w:sz w:val="19"/>
          <w:szCs w:val="19"/>
        </w:rPr>
        <w:t xml:space="preserve"> that our sample</w:t>
      </w:r>
      <w:r>
        <w:rPr>
          <w:rFonts w:ascii="Arial" w:hAnsi="Arial" w:eastAsia="Arial" w:cs="Arial"/>
          <w:spacing w:val="11"/>
          <w:sz w:val="19"/>
          <w:szCs w:val="19"/>
        </w:rPr>
        <w:t xml:space="preserve"> </w:t>
      </w:r>
      <w:r>
        <w:rPr>
          <w:rFonts w:ascii="Arial" w:hAnsi="Arial" w:eastAsia="Arial" w:cs="Arial"/>
          <w:spacing w:val="-5"/>
          <w:sz w:val="19"/>
          <w:szCs w:val="19"/>
        </w:rPr>
        <w:t>represents</w:t>
      </w:r>
      <w:r>
        <w:rPr>
          <w:rFonts w:ascii="Arial" w:hAnsi="Arial" w:eastAsia="Arial" w:cs="Arial"/>
          <w:spacing w:val="4"/>
          <w:sz w:val="19"/>
          <w:szCs w:val="19"/>
        </w:rPr>
        <w:t xml:space="preserve"> </w:t>
      </w:r>
      <w:r>
        <w:rPr>
          <w:rFonts w:ascii="Arial" w:hAnsi="Arial" w:eastAsia="Arial" w:cs="Arial"/>
          <w:spacing w:val="-5"/>
          <w:sz w:val="19"/>
          <w:szCs w:val="19"/>
        </w:rPr>
        <w:t>the</w:t>
      </w:r>
      <w:r>
        <w:rPr>
          <w:rFonts w:ascii="Arial" w:hAnsi="Arial" w:eastAsia="Arial" w:cs="Arial"/>
          <w:spacing w:val="11"/>
          <w:sz w:val="19"/>
          <w:szCs w:val="19"/>
        </w:rPr>
        <w:t xml:space="preserve"> </w:t>
      </w:r>
      <w:r>
        <w:rPr>
          <w:rFonts w:ascii="Arial" w:hAnsi="Arial" w:eastAsia="Arial" w:cs="Arial"/>
          <w:spacing w:val="-5"/>
          <w:sz w:val="19"/>
          <w:szCs w:val="19"/>
        </w:rPr>
        <w:t>members</w:t>
      </w:r>
      <w:r>
        <w:rPr>
          <w:rFonts w:ascii="Arial" w:hAnsi="Arial" w:eastAsia="Arial" w:cs="Arial"/>
          <w:spacing w:val="5"/>
          <w:sz w:val="19"/>
          <w:szCs w:val="19"/>
        </w:rPr>
        <w:t xml:space="preserve"> </w:t>
      </w:r>
      <w:r>
        <w:rPr>
          <w:rFonts w:ascii="Arial" w:hAnsi="Arial" w:eastAsia="Arial" w:cs="Arial"/>
          <w:spacing w:val="-5"/>
          <w:sz w:val="19"/>
          <w:szCs w:val="19"/>
        </w:rPr>
        <w:t>of the</w:t>
      </w:r>
      <w:r>
        <w:rPr>
          <w:rFonts w:ascii="Arial" w:hAnsi="Arial" w:eastAsia="Arial" w:cs="Arial"/>
          <w:spacing w:val="11"/>
          <w:sz w:val="19"/>
          <w:szCs w:val="19"/>
        </w:rPr>
        <w:t xml:space="preserve"> </w:t>
      </w:r>
      <w:r>
        <w:rPr>
          <w:rFonts w:ascii="Arial" w:hAnsi="Arial" w:eastAsia="Arial" w:cs="Arial"/>
          <w:spacing w:val="-5"/>
          <w:sz w:val="19"/>
          <w:szCs w:val="19"/>
        </w:rPr>
        <w:t>participating</w:t>
      </w:r>
      <w:r>
        <w:rPr>
          <w:rFonts w:ascii="Arial" w:hAnsi="Arial" w:eastAsia="Arial" w:cs="Arial"/>
          <w:spacing w:val="14"/>
          <w:sz w:val="19"/>
          <w:szCs w:val="19"/>
        </w:rPr>
        <w:t xml:space="preserve"> </w:t>
      </w:r>
      <w:r>
        <w:rPr>
          <w:rFonts w:ascii="Arial" w:hAnsi="Arial" w:eastAsia="Arial" w:cs="Arial"/>
          <w:spacing w:val="-5"/>
          <w:sz w:val="19"/>
          <w:szCs w:val="19"/>
        </w:rPr>
        <w:t>HEI</w:t>
      </w:r>
      <w:r>
        <w:rPr>
          <w:rFonts w:ascii="Arial" w:hAnsi="Arial" w:eastAsia="Arial" w:cs="Arial"/>
          <w:spacing w:val="10"/>
          <w:sz w:val="19"/>
          <w:szCs w:val="19"/>
        </w:rPr>
        <w:t xml:space="preserve"> </w:t>
      </w:r>
      <w:r>
        <w:rPr>
          <w:rFonts w:ascii="Arial" w:hAnsi="Arial" w:eastAsia="Arial" w:cs="Arial"/>
          <w:spacing w:val="-5"/>
          <w:sz w:val="19"/>
          <w:szCs w:val="19"/>
        </w:rPr>
        <w:t>insti-</w:t>
      </w:r>
      <w:r>
        <w:rPr>
          <w:rFonts w:ascii="Arial" w:hAnsi="Arial" w:eastAsia="Arial" w:cs="Arial"/>
          <w:sz w:val="19"/>
          <w:szCs w:val="19"/>
        </w:rPr>
        <w:t xml:space="preserve"> </w:t>
      </w:r>
      <w:r>
        <w:rPr>
          <w:rFonts w:ascii="Arial" w:hAnsi="Arial" w:eastAsia="Arial" w:cs="Arial"/>
          <w:spacing w:val="-6"/>
          <w:sz w:val="19"/>
          <w:szCs w:val="19"/>
        </w:rPr>
        <w:t>tutions</w:t>
      </w:r>
      <w:r>
        <w:rPr>
          <w:rFonts w:ascii="Arial" w:hAnsi="Arial" w:eastAsia="Arial" w:cs="Arial"/>
          <w:spacing w:val="25"/>
          <w:sz w:val="19"/>
          <w:szCs w:val="19"/>
        </w:rPr>
        <w:t xml:space="preserve"> </w:t>
      </w:r>
      <w:r>
        <w:rPr>
          <w:rFonts w:ascii="Arial" w:hAnsi="Arial" w:eastAsia="Arial" w:cs="Arial"/>
          <w:spacing w:val="-6"/>
          <w:sz w:val="19"/>
          <w:szCs w:val="19"/>
        </w:rPr>
        <w:t>adequately</w:t>
      </w:r>
      <w:r>
        <w:rPr>
          <w:rFonts w:ascii="Arial" w:hAnsi="Arial" w:eastAsia="Arial" w:cs="Arial"/>
          <w:spacing w:val="28"/>
          <w:w w:val="101"/>
          <w:sz w:val="19"/>
          <w:szCs w:val="19"/>
        </w:rPr>
        <w:t xml:space="preserve"> </w:t>
      </w:r>
      <w:r>
        <w:rPr>
          <w:rFonts w:ascii="Arial" w:hAnsi="Arial" w:eastAsia="Arial" w:cs="Arial"/>
          <w:spacing w:val="-6"/>
          <w:sz w:val="19"/>
          <w:szCs w:val="19"/>
        </w:rPr>
        <w:t>in</w:t>
      </w:r>
      <w:r>
        <w:rPr>
          <w:rFonts w:ascii="Arial" w:hAnsi="Arial" w:eastAsia="Arial" w:cs="Arial"/>
          <w:spacing w:val="20"/>
          <w:sz w:val="19"/>
          <w:szCs w:val="19"/>
        </w:rPr>
        <w:t xml:space="preserve"> </w:t>
      </w:r>
      <w:r>
        <w:rPr>
          <w:rFonts w:ascii="Arial" w:hAnsi="Arial" w:eastAsia="Arial" w:cs="Arial"/>
          <w:spacing w:val="-6"/>
          <w:sz w:val="19"/>
          <w:szCs w:val="19"/>
        </w:rPr>
        <w:t>terms</w:t>
      </w:r>
      <w:r>
        <w:rPr>
          <w:rFonts w:ascii="Arial" w:hAnsi="Arial" w:eastAsia="Arial" w:cs="Arial"/>
          <w:spacing w:val="23"/>
          <w:w w:val="101"/>
          <w:sz w:val="19"/>
          <w:szCs w:val="19"/>
        </w:rPr>
        <w:t xml:space="preserve"> </w:t>
      </w:r>
      <w:r>
        <w:rPr>
          <w:rFonts w:ascii="Arial" w:hAnsi="Arial" w:eastAsia="Arial" w:cs="Arial"/>
          <w:spacing w:val="-6"/>
          <w:sz w:val="19"/>
          <w:szCs w:val="19"/>
        </w:rPr>
        <w:t>of</w:t>
      </w:r>
      <w:r>
        <w:rPr>
          <w:rFonts w:ascii="Arial" w:hAnsi="Arial" w:eastAsia="Arial" w:cs="Arial"/>
          <w:spacing w:val="25"/>
          <w:sz w:val="19"/>
          <w:szCs w:val="19"/>
        </w:rPr>
        <w:t xml:space="preserve"> </w:t>
      </w:r>
      <w:r>
        <w:rPr>
          <w:rFonts w:ascii="Arial" w:hAnsi="Arial" w:eastAsia="Arial" w:cs="Arial"/>
          <w:spacing w:val="-6"/>
          <w:sz w:val="19"/>
          <w:szCs w:val="19"/>
        </w:rPr>
        <w:t>HE</w:t>
      </w:r>
      <w:r>
        <w:rPr>
          <w:rFonts w:ascii="Arial" w:hAnsi="Arial" w:eastAsia="Arial" w:cs="Arial"/>
          <w:spacing w:val="24"/>
          <w:w w:val="101"/>
          <w:sz w:val="19"/>
          <w:szCs w:val="19"/>
        </w:rPr>
        <w:t xml:space="preserve"> </w:t>
      </w:r>
      <w:r>
        <w:rPr>
          <w:rFonts w:ascii="Arial" w:hAnsi="Arial" w:eastAsia="Arial" w:cs="Arial"/>
          <w:spacing w:val="-6"/>
          <w:sz w:val="19"/>
          <w:szCs w:val="19"/>
        </w:rPr>
        <w:t>group,</w:t>
      </w:r>
      <w:r>
        <w:rPr>
          <w:rFonts w:ascii="Arial" w:hAnsi="Arial" w:eastAsia="Arial" w:cs="Arial"/>
          <w:spacing w:val="24"/>
          <w:w w:val="101"/>
          <w:sz w:val="19"/>
          <w:szCs w:val="19"/>
        </w:rPr>
        <w:t xml:space="preserve"> </w:t>
      </w:r>
      <w:r>
        <w:rPr>
          <w:rFonts w:ascii="Arial" w:hAnsi="Arial" w:eastAsia="Arial" w:cs="Arial"/>
          <w:spacing w:val="-6"/>
          <w:sz w:val="19"/>
          <w:szCs w:val="19"/>
        </w:rPr>
        <w:t>age,</w:t>
      </w:r>
      <w:r>
        <w:rPr>
          <w:rFonts w:ascii="Arial" w:hAnsi="Arial" w:eastAsia="Arial" w:cs="Arial"/>
          <w:spacing w:val="20"/>
          <w:w w:val="101"/>
          <w:sz w:val="19"/>
          <w:szCs w:val="19"/>
        </w:rPr>
        <w:t xml:space="preserve"> </w:t>
      </w:r>
      <w:r>
        <w:rPr>
          <w:rFonts w:ascii="Arial" w:hAnsi="Arial" w:eastAsia="Arial" w:cs="Arial"/>
          <w:spacing w:val="-6"/>
          <w:sz w:val="19"/>
          <w:szCs w:val="19"/>
        </w:rPr>
        <w:t>further</w:t>
      </w:r>
      <w:r>
        <w:rPr>
          <w:rFonts w:ascii="Arial" w:hAnsi="Arial" w:eastAsia="Arial" w:cs="Arial"/>
          <w:spacing w:val="25"/>
          <w:w w:val="101"/>
          <w:sz w:val="19"/>
          <w:szCs w:val="19"/>
        </w:rPr>
        <w:t xml:space="preserve"> </w:t>
      </w:r>
      <w:r>
        <w:rPr>
          <w:rFonts w:ascii="Arial" w:hAnsi="Arial" w:eastAsia="Arial" w:cs="Arial"/>
          <w:spacing w:val="-6"/>
          <w:sz w:val="19"/>
          <w:szCs w:val="19"/>
        </w:rPr>
        <w:t>education</w:t>
      </w:r>
      <w:r>
        <w:rPr>
          <w:rFonts w:ascii="Arial" w:hAnsi="Arial" w:eastAsia="Arial" w:cs="Arial"/>
          <w:spacing w:val="24"/>
          <w:sz w:val="19"/>
          <w:szCs w:val="19"/>
        </w:rPr>
        <w:t xml:space="preserve"> </w:t>
      </w:r>
      <w:r>
        <w:rPr>
          <w:rFonts w:ascii="Arial" w:hAnsi="Arial" w:eastAsia="Arial" w:cs="Arial"/>
          <w:spacing w:val="-7"/>
          <w:sz w:val="19"/>
          <w:szCs w:val="19"/>
        </w:rPr>
        <w:t>and</w:t>
      </w:r>
      <w:r>
        <w:rPr>
          <w:rFonts w:ascii="Arial" w:hAnsi="Arial" w:eastAsia="Arial" w:cs="Arial"/>
          <w:spacing w:val="24"/>
          <w:sz w:val="19"/>
          <w:szCs w:val="19"/>
        </w:rPr>
        <w:t xml:space="preserve"> </w:t>
      </w:r>
      <w:r>
        <w:rPr>
          <w:rFonts w:ascii="Arial" w:hAnsi="Arial" w:eastAsia="Arial" w:cs="Arial"/>
          <w:spacing w:val="-7"/>
          <w:sz w:val="19"/>
          <w:szCs w:val="19"/>
        </w:rPr>
        <w:t>so</w:t>
      </w:r>
      <w:r>
        <w:rPr>
          <w:rFonts w:ascii="Arial" w:hAnsi="Arial" w:eastAsia="Arial" w:cs="Arial"/>
          <w:spacing w:val="20"/>
          <w:w w:val="101"/>
          <w:sz w:val="19"/>
          <w:szCs w:val="19"/>
        </w:rPr>
        <w:t xml:space="preserve"> </w:t>
      </w:r>
      <w:r>
        <w:rPr>
          <w:rFonts w:ascii="Arial" w:hAnsi="Arial" w:eastAsia="Arial" w:cs="Arial"/>
          <w:spacing w:val="-7"/>
          <w:sz w:val="19"/>
          <w:szCs w:val="19"/>
        </w:rPr>
        <w:t>forth</w:t>
      </w:r>
      <w:r>
        <w:rPr>
          <w:rFonts w:ascii="Arial" w:hAnsi="Arial" w:eastAsia="Arial" w:cs="Arial"/>
          <w:spacing w:val="30"/>
          <w:sz w:val="19"/>
          <w:szCs w:val="19"/>
        </w:rPr>
        <w:t xml:space="preserve"> </w:t>
      </w:r>
      <w:r>
        <w:rPr>
          <w:rFonts w:ascii="Arial" w:hAnsi="Arial" w:eastAsia="Arial" w:cs="Arial"/>
          <w:spacing w:val="-7"/>
          <w:sz w:val="19"/>
          <w:szCs w:val="19"/>
        </w:rPr>
        <w:t>(cf.</w:t>
      </w:r>
      <w:r>
        <w:rPr>
          <w:rFonts w:ascii="Arial" w:hAnsi="Arial" w:eastAsia="Arial" w:cs="Arial"/>
          <w:spacing w:val="17"/>
          <w:w w:val="101"/>
          <w:sz w:val="19"/>
          <w:szCs w:val="19"/>
        </w:rPr>
        <w:t xml:space="preserve"> </w:t>
      </w:r>
      <w:r>
        <w:fldChar w:fldCharType="begin"/>
      </w:r>
      <w:r>
        <w:instrText xml:space="preserve"> HYPERLINK \l "bookmark85" </w:instrText>
      </w:r>
      <w:r>
        <w:fldChar w:fldCharType="separate"/>
      </w:r>
      <w:r>
        <w:rPr>
          <w:rFonts w:ascii="Arial" w:hAnsi="Arial" w:eastAsia="Arial" w:cs="Arial"/>
          <w:color w:val="000084"/>
          <w:spacing w:val="-7"/>
          <w:sz w:val="19"/>
          <w:szCs w:val="19"/>
        </w:rPr>
        <w:t>Table</w:t>
      </w:r>
      <w:r>
        <w:rPr>
          <w:rFonts w:ascii="Arial" w:hAnsi="Arial" w:eastAsia="Arial" w:cs="Arial"/>
          <w:color w:val="000084"/>
          <w:spacing w:val="24"/>
          <w:w w:val="101"/>
          <w:sz w:val="19"/>
          <w:szCs w:val="19"/>
        </w:rPr>
        <w:t xml:space="preserve"> </w:t>
      </w:r>
      <w:r>
        <w:rPr>
          <w:rFonts w:ascii="Arial" w:hAnsi="Arial" w:eastAsia="Arial" w:cs="Arial"/>
          <w:color w:val="000084"/>
          <w:spacing w:val="-7"/>
          <w:sz w:val="19"/>
          <w:szCs w:val="19"/>
        </w:rPr>
        <w:t>3</w:t>
      </w:r>
      <w:r>
        <w:rPr>
          <w:rFonts w:ascii="Arial" w:hAnsi="Arial" w:eastAsia="Arial" w:cs="Arial"/>
          <w:color w:val="000084"/>
          <w:spacing w:val="-7"/>
          <w:sz w:val="19"/>
          <w:szCs w:val="19"/>
        </w:rPr>
        <w:fldChar w:fldCharType="end"/>
      </w:r>
      <w:r>
        <w:rPr>
          <w:rFonts w:ascii="Arial" w:hAnsi="Arial" w:eastAsia="Arial" w:cs="Arial"/>
          <w:spacing w:val="-7"/>
          <w:sz w:val="19"/>
          <w:szCs w:val="19"/>
        </w:rPr>
        <w:t>).</w:t>
      </w:r>
      <w:r>
        <w:rPr>
          <w:rFonts w:ascii="Arial" w:hAnsi="Arial" w:eastAsia="Arial" w:cs="Arial"/>
          <w:spacing w:val="31"/>
          <w:w w:val="101"/>
          <w:sz w:val="19"/>
          <w:szCs w:val="19"/>
        </w:rPr>
        <w:t xml:space="preserve"> </w:t>
      </w:r>
      <w:r>
        <w:rPr>
          <w:rFonts w:ascii="Arial" w:hAnsi="Arial" w:eastAsia="Arial" w:cs="Arial"/>
          <w:spacing w:val="-7"/>
          <w:sz w:val="19"/>
          <w:szCs w:val="19"/>
        </w:rPr>
        <w:t>Future</w:t>
      </w:r>
      <w:r>
        <w:rPr>
          <w:rFonts w:ascii="Arial" w:hAnsi="Arial" w:eastAsia="Arial" w:cs="Arial"/>
          <w:sz w:val="19"/>
          <w:szCs w:val="19"/>
        </w:rPr>
        <w:t xml:space="preserve"> </w:t>
      </w:r>
      <w:r>
        <w:rPr>
          <w:rFonts w:ascii="Arial" w:hAnsi="Arial" w:eastAsia="Arial" w:cs="Arial"/>
          <w:spacing w:val="-5"/>
          <w:sz w:val="19"/>
          <w:szCs w:val="19"/>
        </w:rPr>
        <w:t>studies</w:t>
      </w:r>
      <w:r>
        <w:rPr>
          <w:rFonts w:ascii="Arial" w:hAnsi="Arial" w:eastAsia="Arial" w:cs="Arial"/>
          <w:spacing w:val="28"/>
          <w:sz w:val="19"/>
          <w:szCs w:val="19"/>
        </w:rPr>
        <w:t xml:space="preserve"> </w:t>
      </w:r>
      <w:r>
        <w:rPr>
          <w:rFonts w:ascii="Arial" w:hAnsi="Arial" w:eastAsia="Arial" w:cs="Arial"/>
          <w:spacing w:val="-5"/>
          <w:sz w:val="19"/>
          <w:szCs w:val="19"/>
        </w:rPr>
        <w:t>need</w:t>
      </w:r>
      <w:r>
        <w:rPr>
          <w:rFonts w:ascii="Arial" w:hAnsi="Arial" w:eastAsia="Arial" w:cs="Arial"/>
          <w:spacing w:val="18"/>
          <w:w w:val="101"/>
          <w:sz w:val="19"/>
          <w:szCs w:val="19"/>
        </w:rPr>
        <w:t xml:space="preserve"> </w:t>
      </w:r>
      <w:r>
        <w:rPr>
          <w:rFonts w:ascii="Arial" w:hAnsi="Arial" w:eastAsia="Arial" w:cs="Arial"/>
          <w:spacing w:val="-5"/>
          <w:sz w:val="19"/>
          <w:szCs w:val="19"/>
        </w:rPr>
        <w:t>to</w:t>
      </w:r>
      <w:r>
        <w:rPr>
          <w:rFonts w:ascii="Arial" w:hAnsi="Arial" w:eastAsia="Arial" w:cs="Arial"/>
          <w:spacing w:val="20"/>
          <w:sz w:val="19"/>
          <w:szCs w:val="19"/>
        </w:rPr>
        <w:t xml:space="preserve"> </w:t>
      </w:r>
      <w:r>
        <w:rPr>
          <w:rFonts w:ascii="Arial" w:hAnsi="Arial" w:eastAsia="Arial" w:cs="Arial"/>
          <w:spacing w:val="-5"/>
          <w:sz w:val="19"/>
          <w:szCs w:val="19"/>
        </w:rPr>
        <w:t>address</w:t>
      </w:r>
      <w:r>
        <w:rPr>
          <w:rFonts w:ascii="Arial" w:hAnsi="Arial" w:eastAsia="Arial" w:cs="Arial"/>
          <w:spacing w:val="17"/>
          <w:w w:val="101"/>
          <w:sz w:val="19"/>
          <w:szCs w:val="19"/>
        </w:rPr>
        <w:t xml:space="preserve"> </w:t>
      </w:r>
      <w:r>
        <w:rPr>
          <w:rFonts w:ascii="Arial" w:hAnsi="Arial" w:eastAsia="Arial" w:cs="Arial"/>
          <w:spacing w:val="-5"/>
          <w:sz w:val="19"/>
          <w:szCs w:val="19"/>
        </w:rPr>
        <w:t>the</w:t>
      </w:r>
      <w:r>
        <w:rPr>
          <w:rFonts w:ascii="Arial" w:hAnsi="Arial" w:eastAsia="Arial" w:cs="Arial"/>
          <w:spacing w:val="22"/>
          <w:sz w:val="19"/>
          <w:szCs w:val="19"/>
        </w:rPr>
        <w:t xml:space="preserve"> </w:t>
      </w:r>
      <w:r>
        <w:rPr>
          <w:rFonts w:ascii="Arial" w:hAnsi="Arial" w:eastAsia="Arial" w:cs="Arial"/>
          <w:spacing w:val="-5"/>
          <w:sz w:val="19"/>
          <w:szCs w:val="19"/>
        </w:rPr>
        <w:t>questi</w:t>
      </w:r>
      <w:r>
        <w:rPr>
          <w:rFonts w:ascii="Arial" w:hAnsi="Arial" w:eastAsia="Arial" w:cs="Arial"/>
          <w:spacing w:val="-6"/>
          <w:sz w:val="19"/>
          <w:szCs w:val="19"/>
        </w:rPr>
        <w:t>on</w:t>
      </w:r>
      <w:r>
        <w:rPr>
          <w:rFonts w:ascii="Arial" w:hAnsi="Arial" w:eastAsia="Arial" w:cs="Arial"/>
          <w:spacing w:val="22"/>
          <w:sz w:val="19"/>
          <w:szCs w:val="19"/>
        </w:rPr>
        <w:t xml:space="preserve"> </w:t>
      </w:r>
      <w:r>
        <w:rPr>
          <w:rFonts w:ascii="Arial" w:hAnsi="Arial" w:eastAsia="Arial" w:cs="Arial"/>
          <w:spacing w:val="-6"/>
          <w:sz w:val="19"/>
          <w:szCs w:val="19"/>
        </w:rPr>
        <w:t>of</w:t>
      </w:r>
      <w:r>
        <w:rPr>
          <w:rFonts w:ascii="Arial" w:hAnsi="Arial" w:eastAsia="Arial" w:cs="Arial"/>
          <w:spacing w:val="21"/>
          <w:sz w:val="19"/>
          <w:szCs w:val="19"/>
        </w:rPr>
        <w:t xml:space="preserve"> </w:t>
      </w:r>
      <w:r>
        <w:rPr>
          <w:rFonts w:ascii="Arial" w:hAnsi="Arial" w:eastAsia="Arial" w:cs="Arial"/>
          <w:spacing w:val="-6"/>
          <w:sz w:val="19"/>
          <w:szCs w:val="19"/>
        </w:rPr>
        <w:t>how</w:t>
      </w:r>
      <w:r>
        <w:rPr>
          <w:rFonts w:ascii="Arial" w:hAnsi="Arial" w:eastAsia="Arial" w:cs="Arial"/>
          <w:spacing w:val="17"/>
          <w:w w:val="101"/>
          <w:sz w:val="19"/>
          <w:szCs w:val="19"/>
        </w:rPr>
        <w:t xml:space="preserve"> </w:t>
      </w:r>
      <w:r>
        <w:rPr>
          <w:rFonts w:ascii="Arial" w:hAnsi="Arial" w:eastAsia="Arial" w:cs="Arial"/>
          <w:spacing w:val="-6"/>
          <w:sz w:val="19"/>
          <w:szCs w:val="19"/>
        </w:rPr>
        <w:t>to</w:t>
      </w:r>
      <w:r>
        <w:rPr>
          <w:rFonts w:ascii="Arial" w:hAnsi="Arial" w:eastAsia="Arial" w:cs="Arial"/>
          <w:spacing w:val="27"/>
          <w:w w:val="101"/>
          <w:sz w:val="19"/>
          <w:szCs w:val="19"/>
        </w:rPr>
        <w:t xml:space="preserve"> </w:t>
      </w:r>
      <w:r>
        <w:rPr>
          <w:rFonts w:ascii="Arial" w:hAnsi="Arial" w:eastAsia="Arial" w:cs="Arial"/>
          <w:spacing w:val="-6"/>
          <w:sz w:val="19"/>
          <w:szCs w:val="19"/>
        </w:rPr>
        <w:t>motivate</w:t>
      </w:r>
      <w:r>
        <w:rPr>
          <w:rFonts w:ascii="Arial" w:hAnsi="Arial" w:eastAsia="Arial" w:cs="Arial"/>
          <w:spacing w:val="26"/>
          <w:w w:val="101"/>
          <w:sz w:val="19"/>
          <w:szCs w:val="19"/>
        </w:rPr>
        <w:t xml:space="preserve"> </w:t>
      </w:r>
      <w:r>
        <w:rPr>
          <w:rFonts w:ascii="Arial" w:hAnsi="Arial" w:eastAsia="Arial" w:cs="Arial"/>
          <w:spacing w:val="-6"/>
          <w:sz w:val="19"/>
          <w:szCs w:val="19"/>
        </w:rPr>
        <w:t>more</w:t>
      </w:r>
      <w:r>
        <w:rPr>
          <w:rFonts w:ascii="Arial" w:hAnsi="Arial" w:eastAsia="Arial" w:cs="Arial"/>
          <w:spacing w:val="29"/>
          <w:w w:val="101"/>
          <w:sz w:val="19"/>
          <w:szCs w:val="19"/>
        </w:rPr>
        <w:t xml:space="preserve"> </w:t>
      </w:r>
      <w:r>
        <w:rPr>
          <w:rFonts w:ascii="Arial" w:hAnsi="Arial" w:eastAsia="Arial" w:cs="Arial"/>
          <w:spacing w:val="-6"/>
          <w:sz w:val="19"/>
          <w:szCs w:val="19"/>
        </w:rPr>
        <w:t>HE</w:t>
      </w:r>
      <w:r>
        <w:rPr>
          <w:rFonts w:ascii="Arial" w:hAnsi="Arial" w:eastAsia="Arial" w:cs="Arial"/>
          <w:spacing w:val="27"/>
          <w:sz w:val="19"/>
          <w:szCs w:val="19"/>
        </w:rPr>
        <w:t xml:space="preserve"> </w:t>
      </w:r>
      <w:r>
        <w:rPr>
          <w:rFonts w:ascii="Arial" w:hAnsi="Arial" w:eastAsia="Arial" w:cs="Arial"/>
          <w:spacing w:val="-6"/>
          <w:sz w:val="19"/>
          <w:szCs w:val="19"/>
        </w:rPr>
        <w:t>members</w:t>
      </w:r>
      <w:r>
        <w:rPr>
          <w:rFonts w:ascii="Arial" w:hAnsi="Arial" w:eastAsia="Arial" w:cs="Arial"/>
          <w:spacing w:val="19"/>
          <w:sz w:val="19"/>
          <w:szCs w:val="19"/>
        </w:rPr>
        <w:t xml:space="preserve"> </w:t>
      </w:r>
      <w:r>
        <w:rPr>
          <w:rFonts w:ascii="Arial" w:hAnsi="Arial" w:eastAsia="Arial" w:cs="Arial"/>
          <w:spacing w:val="-6"/>
          <w:sz w:val="19"/>
          <w:szCs w:val="19"/>
        </w:rPr>
        <w:t>to</w:t>
      </w:r>
      <w:r>
        <w:rPr>
          <w:rFonts w:ascii="Arial" w:hAnsi="Arial" w:eastAsia="Arial" w:cs="Arial"/>
          <w:spacing w:val="27"/>
          <w:w w:val="101"/>
          <w:sz w:val="19"/>
          <w:szCs w:val="19"/>
        </w:rPr>
        <w:t xml:space="preserve"> </w:t>
      </w:r>
      <w:r>
        <w:rPr>
          <w:rFonts w:ascii="Arial" w:hAnsi="Arial" w:eastAsia="Arial" w:cs="Arial"/>
          <w:spacing w:val="-6"/>
          <w:sz w:val="19"/>
          <w:szCs w:val="19"/>
        </w:rPr>
        <w:t>participate</w:t>
      </w:r>
      <w:r>
        <w:rPr>
          <w:rFonts w:ascii="Arial" w:hAnsi="Arial" w:eastAsia="Arial" w:cs="Arial"/>
          <w:spacing w:val="26"/>
          <w:sz w:val="19"/>
          <w:szCs w:val="19"/>
        </w:rPr>
        <w:t xml:space="preserve"> </w:t>
      </w:r>
      <w:r>
        <w:rPr>
          <w:rFonts w:ascii="Arial" w:hAnsi="Arial" w:eastAsia="Arial" w:cs="Arial"/>
          <w:spacing w:val="-6"/>
          <w:sz w:val="19"/>
          <w:szCs w:val="19"/>
        </w:rPr>
        <w:t>in</w:t>
      </w:r>
      <w:r>
        <w:rPr>
          <w:rFonts w:ascii="Arial" w:hAnsi="Arial" w:eastAsia="Arial" w:cs="Arial"/>
          <w:spacing w:val="17"/>
          <w:w w:val="101"/>
          <w:sz w:val="19"/>
          <w:szCs w:val="19"/>
        </w:rPr>
        <w:t xml:space="preserve"> </w:t>
      </w:r>
      <w:r>
        <w:rPr>
          <w:rFonts w:ascii="Arial" w:hAnsi="Arial" w:eastAsia="Arial" w:cs="Arial"/>
          <w:spacing w:val="-6"/>
          <w:sz w:val="19"/>
          <w:szCs w:val="19"/>
        </w:rPr>
        <w:t>the</w:t>
      </w:r>
      <w:r>
        <w:rPr>
          <w:rFonts w:ascii="Arial" w:hAnsi="Arial" w:eastAsia="Arial" w:cs="Arial"/>
          <w:sz w:val="19"/>
          <w:szCs w:val="19"/>
        </w:rPr>
        <w:t xml:space="preserve"> </w:t>
      </w:r>
      <w:r>
        <w:rPr>
          <w:rFonts w:ascii="Arial" w:hAnsi="Arial" w:eastAsia="Arial" w:cs="Arial"/>
          <w:spacing w:val="-3"/>
          <w:sz w:val="19"/>
          <w:szCs w:val="19"/>
        </w:rPr>
        <w:t>QCI</w:t>
      </w:r>
      <w:r>
        <w:rPr>
          <w:rFonts w:ascii="Arial" w:hAnsi="Arial" w:eastAsia="Arial" w:cs="Arial"/>
          <w:spacing w:val="21"/>
          <w:sz w:val="19"/>
          <w:szCs w:val="19"/>
        </w:rPr>
        <w:t xml:space="preserve"> </w:t>
      </w:r>
      <w:r>
        <w:rPr>
          <w:rFonts w:ascii="Arial" w:hAnsi="Arial" w:eastAsia="Arial" w:cs="Arial"/>
          <w:spacing w:val="-3"/>
          <w:sz w:val="19"/>
          <w:szCs w:val="19"/>
        </w:rPr>
        <w:t>in times</w:t>
      </w:r>
      <w:r>
        <w:rPr>
          <w:rFonts w:ascii="Arial" w:hAnsi="Arial" w:eastAsia="Arial" w:cs="Arial"/>
          <w:spacing w:val="10"/>
          <w:sz w:val="19"/>
          <w:szCs w:val="19"/>
        </w:rPr>
        <w:t xml:space="preserve"> </w:t>
      </w:r>
      <w:r>
        <w:rPr>
          <w:rFonts w:ascii="Arial" w:hAnsi="Arial" w:eastAsia="Arial" w:cs="Arial"/>
          <w:spacing w:val="-3"/>
          <w:sz w:val="19"/>
          <w:szCs w:val="19"/>
        </w:rPr>
        <w:t>of information looding</w:t>
      </w:r>
      <w:r>
        <w:rPr>
          <w:rFonts w:ascii="Arial" w:hAnsi="Arial" w:eastAsia="Arial" w:cs="Arial"/>
          <w:spacing w:val="12"/>
          <w:sz w:val="19"/>
          <w:szCs w:val="19"/>
        </w:rPr>
        <w:t xml:space="preserve"> </w:t>
      </w:r>
      <w:r>
        <w:rPr>
          <w:rFonts w:ascii="Arial" w:hAnsi="Arial" w:eastAsia="Arial" w:cs="Arial"/>
          <w:spacing w:val="-3"/>
          <w:sz w:val="19"/>
          <w:szCs w:val="19"/>
        </w:rPr>
        <w:t>and</w:t>
      </w:r>
      <w:r>
        <w:rPr>
          <w:rFonts w:ascii="Arial" w:hAnsi="Arial" w:eastAsia="Arial" w:cs="Arial"/>
          <w:spacing w:val="13"/>
          <w:sz w:val="19"/>
          <w:szCs w:val="19"/>
        </w:rPr>
        <w:t xml:space="preserve"> </w:t>
      </w:r>
      <w:r>
        <w:rPr>
          <w:rFonts w:ascii="Arial" w:hAnsi="Arial" w:eastAsia="Arial" w:cs="Arial"/>
          <w:spacing w:val="-3"/>
          <w:sz w:val="19"/>
          <w:szCs w:val="19"/>
        </w:rPr>
        <w:t>general</w:t>
      </w:r>
      <w:r>
        <w:rPr>
          <w:rFonts w:ascii="Arial" w:hAnsi="Arial" w:eastAsia="Arial" w:cs="Arial"/>
          <w:spacing w:val="12"/>
          <w:sz w:val="19"/>
          <w:szCs w:val="19"/>
        </w:rPr>
        <w:t xml:space="preserve"> </w:t>
      </w:r>
      <w:r>
        <w:rPr>
          <w:rFonts w:ascii="Arial" w:hAnsi="Arial" w:eastAsia="Arial" w:cs="Arial"/>
          <w:spacing w:val="-3"/>
          <w:sz w:val="19"/>
          <w:szCs w:val="19"/>
        </w:rPr>
        <w:t>survey fatigue.</w:t>
      </w:r>
    </w:p>
    <w:p>
      <w:pPr>
        <w:spacing w:line="407" w:lineRule="auto"/>
        <w:rPr>
          <w:rFonts w:ascii="Arial"/>
          <w:sz w:val="21"/>
        </w:rPr>
      </w:pPr>
    </w:p>
    <w:p>
      <w:pPr>
        <w:spacing w:before="58" w:line="198" w:lineRule="auto"/>
        <w:outlineLvl w:val="3"/>
        <w:rPr>
          <w:rFonts w:ascii="Arial" w:hAnsi="Arial" w:eastAsia="Arial" w:cs="Arial"/>
          <w:sz w:val="20"/>
          <w:szCs w:val="20"/>
        </w:rPr>
      </w:pPr>
      <w:r>
        <w:rPr>
          <w:rFonts w:ascii="Arial" w:hAnsi="Arial" w:eastAsia="Arial" w:cs="Arial"/>
          <w:color w:val="282781"/>
          <w:spacing w:val="-2"/>
          <w:sz w:val="20"/>
          <w:szCs w:val="20"/>
        </w:rPr>
        <w:t>Summary and future prospects</w:t>
      </w:r>
    </w:p>
    <w:p>
      <w:pPr>
        <w:spacing w:before="178" w:line="256" w:lineRule="auto"/>
        <w:ind w:left="3" w:right="7" w:hanging="3"/>
        <w:jc w:val="both"/>
        <w:rPr>
          <w:rFonts w:ascii="Arial" w:hAnsi="Arial" w:eastAsia="Arial" w:cs="Arial"/>
          <w:sz w:val="19"/>
          <w:szCs w:val="19"/>
        </w:rPr>
      </w:pPr>
      <w:r>
        <w:rPr>
          <w:rFonts w:ascii="Arial" w:hAnsi="Arial" w:eastAsia="Arial" w:cs="Arial"/>
          <w:spacing w:val="-7"/>
          <w:sz w:val="19"/>
          <w:szCs w:val="19"/>
        </w:rPr>
        <w:t>The</w:t>
      </w:r>
      <w:r>
        <w:rPr>
          <w:rFonts w:ascii="Arial" w:hAnsi="Arial" w:eastAsia="Arial" w:cs="Arial"/>
          <w:spacing w:val="24"/>
          <w:w w:val="101"/>
          <w:sz w:val="19"/>
          <w:szCs w:val="19"/>
        </w:rPr>
        <w:t xml:space="preserve"> </w:t>
      </w:r>
      <w:r>
        <w:rPr>
          <w:rFonts w:ascii="Arial" w:hAnsi="Arial" w:eastAsia="Arial" w:cs="Arial"/>
          <w:spacing w:val="-7"/>
          <w:sz w:val="19"/>
          <w:szCs w:val="19"/>
        </w:rPr>
        <w:t>Quality</w:t>
      </w:r>
      <w:r>
        <w:rPr>
          <w:rFonts w:ascii="Arial" w:hAnsi="Arial" w:eastAsia="Arial" w:cs="Arial"/>
          <w:spacing w:val="25"/>
          <w:sz w:val="19"/>
          <w:szCs w:val="19"/>
        </w:rPr>
        <w:t xml:space="preserve"> </w:t>
      </w:r>
      <w:r>
        <w:rPr>
          <w:rFonts w:ascii="Arial" w:hAnsi="Arial" w:eastAsia="Arial" w:cs="Arial"/>
          <w:spacing w:val="-7"/>
          <w:sz w:val="19"/>
          <w:szCs w:val="19"/>
        </w:rPr>
        <w:t>Culture</w:t>
      </w:r>
      <w:r>
        <w:rPr>
          <w:rFonts w:ascii="Arial" w:hAnsi="Arial" w:eastAsia="Arial" w:cs="Arial"/>
          <w:spacing w:val="33"/>
          <w:sz w:val="19"/>
          <w:szCs w:val="19"/>
        </w:rPr>
        <w:t xml:space="preserve"> </w:t>
      </w:r>
      <w:r>
        <w:rPr>
          <w:rFonts w:ascii="Arial" w:hAnsi="Arial" w:eastAsia="Arial" w:cs="Arial"/>
          <w:spacing w:val="-7"/>
          <w:sz w:val="19"/>
          <w:szCs w:val="19"/>
        </w:rPr>
        <w:t>Inventory</w:t>
      </w:r>
      <w:r>
        <w:rPr>
          <w:rFonts w:ascii="Arial" w:hAnsi="Arial" w:eastAsia="Arial" w:cs="Arial"/>
          <w:spacing w:val="31"/>
          <w:w w:val="101"/>
          <w:sz w:val="19"/>
          <w:szCs w:val="19"/>
        </w:rPr>
        <w:t xml:space="preserve"> </w:t>
      </w:r>
      <w:r>
        <w:rPr>
          <w:rFonts w:ascii="Arial" w:hAnsi="Arial" w:eastAsia="Arial" w:cs="Arial"/>
          <w:spacing w:val="-7"/>
          <w:sz w:val="19"/>
          <w:szCs w:val="19"/>
        </w:rPr>
        <w:t>represents</w:t>
      </w:r>
      <w:r>
        <w:rPr>
          <w:rFonts w:ascii="Arial" w:hAnsi="Arial" w:eastAsia="Arial" w:cs="Arial"/>
          <w:spacing w:val="24"/>
          <w:sz w:val="19"/>
          <w:szCs w:val="19"/>
        </w:rPr>
        <w:t xml:space="preserve"> </w:t>
      </w:r>
      <w:r>
        <w:rPr>
          <w:rFonts w:ascii="Arial" w:hAnsi="Arial" w:eastAsia="Arial" w:cs="Arial"/>
          <w:spacing w:val="-7"/>
          <w:sz w:val="19"/>
          <w:szCs w:val="19"/>
        </w:rPr>
        <w:t>a</w:t>
      </w:r>
      <w:r>
        <w:rPr>
          <w:rFonts w:ascii="Arial" w:hAnsi="Arial" w:eastAsia="Arial" w:cs="Arial"/>
          <w:spacing w:val="24"/>
          <w:sz w:val="19"/>
          <w:szCs w:val="19"/>
        </w:rPr>
        <w:t xml:space="preserve"> </w:t>
      </w:r>
      <w:r>
        <w:rPr>
          <w:rFonts w:ascii="Arial" w:hAnsi="Arial" w:eastAsia="Arial" w:cs="Arial"/>
          <w:spacing w:val="-7"/>
          <w:sz w:val="19"/>
          <w:szCs w:val="19"/>
        </w:rPr>
        <w:t>comprehensive</w:t>
      </w:r>
      <w:r>
        <w:rPr>
          <w:rFonts w:ascii="Arial" w:hAnsi="Arial" w:eastAsia="Arial" w:cs="Arial"/>
          <w:spacing w:val="24"/>
          <w:sz w:val="19"/>
          <w:szCs w:val="19"/>
        </w:rPr>
        <w:t xml:space="preserve"> </w:t>
      </w:r>
      <w:r>
        <w:rPr>
          <w:rFonts w:ascii="Arial" w:hAnsi="Arial" w:eastAsia="Arial" w:cs="Arial"/>
          <w:spacing w:val="-8"/>
          <w:sz w:val="19"/>
          <w:szCs w:val="19"/>
        </w:rPr>
        <w:t>approach</w:t>
      </w:r>
      <w:r>
        <w:rPr>
          <w:rFonts w:ascii="Arial" w:hAnsi="Arial" w:eastAsia="Arial" w:cs="Arial"/>
          <w:spacing w:val="21"/>
          <w:sz w:val="19"/>
          <w:szCs w:val="19"/>
        </w:rPr>
        <w:t xml:space="preserve"> </w:t>
      </w:r>
      <w:r>
        <w:rPr>
          <w:rFonts w:ascii="Arial" w:hAnsi="Arial" w:eastAsia="Arial" w:cs="Arial"/>
          <w:spacing w:val="-8"/>
          <w:sz w:val="19"/>
          <w:szCs w:val="19"/>
        </w:rPr>
        <w:t>that</w:t>
      </w:r>
      <w:r>
        <w:rPr>
          <w:rFonts w:ascii="Arial" w:hAnsi="Arial" w:eastAsia="Arial" w:cs="Arial"/>
          <w:spacing w:val="24"/>
          <w:w w:val="101"/>
          <w:sz w:val="19"/>
          <w:szCs w:val="19"/>
        </w:rPr>
        <w:t xml:space="preserve"> </w:t>
      </w:r>
      <w:r>
        <w:rPr>
          <w:rFonts w:ascii="Arial" w:hAnsi="Arial" w:eastAsia="Arial" w:cs="Arial"/>
          <w:spacing w:val="-8"/>
          <w:sz w:val="19"/>
          <w:szCs w:val="19"/>
        </w:rPr>
        <w:t>enables</w:t>
      </w:r>
      <w:r>
        <w:rPr>
          <w:rFonts w:ascii="Arial" w:hAnsi="Arial" w:eastAsia="Arial" w:cs="Arial"/>
          <w:spacing w:val="32"/>
          <w:sz w:val="19"/>
          <w:szCs w:val="19"/>
        </w:rPr>
        <w:t xml:space="preserve"> </w:t>
      </w:r>
      <w:r>
        <w:rPr>
          <w:rFonts w:ascii="Arial" w:hAnsi="Arial" w:eastAsia="Arial" w:cs="Arial"/>
          <w:spacing w:val="-8"/>
          <w:sz w:val="19"/>
          <w:szCs w:val="19"/>
        </w:rPr>
        <w:t>HEIs</w:t>
      </w:r>
      <w:r>
        <w:rPr>
          <w:rFonts w:ascii="Arial" w:hAnsi="Arial" w:eastAsia="Arial" w:cs="Arial"/>
          <w:spacing w:val="21"/>
          <w:w w:val="101"/>
          <w:sz w:val="19"/>
          <w:szCs w:val="19"/>
        </w:rPr>
        <w:t xml:space="preserve"> </w:t>
      </w:r>
      <w:r>
        <w:rPr>
          <w:rFonts w:ascii="Arial" w:hAnsi="Arial" w:eastAsia="Arial" w:cs="Arial"/>
          <w:spacing w:val="-8"/>
          <w:sz w:val="19"/>
          <w:szCs w:val="19"/>
        </w:rPr>
        <w:t>to</w:t>
      </w:r>
      <w:r>
        <w:rPr>
          <w:rFonts w:ascii="Arial" w:hAnsi="Arial" w:eastAsia="Arial" w:cs="Arial"/>
          <w:spacing w:val="24"/>
          <w:w w:val="101"/>
          <w:sz w:val="19"/>
          <w:szCs w:val="19"/>
        </w:rPr>
        <w:t xml:space="preserve"> </w:t>
      </w:r>
      <w:r>
        <w:rPr>
          <w:rFonts w:ascii="Arial" w:hAnsi="Arial" w:eastAsia="Arial" w:cs="Arial"/>
          <w:spacing w:val="-8"/>
          <w:sz w:val="19"/>
          <w:szCs w:val="19"/>
        </w:rPr>
        <w:t>analyse</w:t>
      </w:r>
      <w:r>
        <w:rPr>
          <w:rFonts w:ascii="Arial" w:hAnsi="Arial" w:eastAsia="Arial" w:cs="Arial"/>
          <w:sz w:val="19"/>
          <w:szCs w:val="19"/>
        </w:rPr>
        <w:t xml:space="preserve"> </w:t>
      </w:r>
      <w:r>
        <w:rPr>
          <w:rFonts w:ascii="Arial" w:hAnsi="Arial" w:eastAsia="Arial" w:cs="Arial"/>
          <w:spacing w:val="-4"/>
          <w:sz w:val="19"/>
          <w:szCs w:val="19"/>
        </w:rPr>
        <w:t>their quality culture in an economical way. Our</w:t>
      </w:r>
      <w:r>
        <w:rPr>
          <w:rFonts w:ascii="Arial" w:hAnsi="Arial" w:eastAsia="Arial" w:cs="Arial"/>
          <w:spacing w:val="2"/>
          <w:sz w:val="19"/>
          <w:szCs w:val="19"/>
        </w:rPr>
        <w:t xml:space="preserve"> </w:t>
      </w:r>
      <w:r>
        <w:rPr>
          <w:rFonts w:ascii="Arial" w:hAnsi="Arial" w:eastAsia="Arial" w:cs="Arial"/>
          <w:spacing w:val="-4"/>
          <w:sz w:val="19"/>
          <w:szCs w:val="19"/>
        </w:rPr>
        <w:t>stat</w:t>
      </w:r>
      <w:r>
        <w:rPr>
          <w:rFonts w:ascii="Arial" w:hAnsi="Arial" w:eastAsia="Arial" w:cs="Arial"/>
          <w:spacing w:val="-5"/>
          <w:sz w:val="19"/>
          <w:szCs w:val="19"/>
        </w:rPr>
        <w:t>istical</w:t>
      </w:r>
      <w:r>
        <w:rPr>
          <w:rFonts w:ascii="Arial" w:hAnsi="Arial" w:eastAsia="Arial" w:cs="Arial"/>
          <w:spacing w:val="3"/>
          <w:sz w:val="19"/>
          <w:szCs w:val="19"/>
        </w:rPr>
        <w:t xml:space="preserve"> </w:t>
      </w:r>
      <w:r>
        <w:rPr>
          <w:rFonts w:ascii="Arial" w:hAnsi="Arial" w:eastAsia="Arial" w:cs="Arial"/>
          <w:spacing w:val="-5"/>
          <w:sz w:val="19"/>
          <w:szCs w:val="19"/>
        </w:rPr>
        <w:t>analyses</w:t>
      </w:r>
      <w:r>
        <w:rPr>
          <w:rFonts w:ascii="Arial" w:hAnsi="Arial" w:eastAsia="Arial" w:cs="Arial"/>
          <w:spacing w:val="3"/>
          <w:sz w:val="19"/>
          <w:szCs w:val="19"/>
        </w:rPr>
        <w:t xml:space="preserve"> </w:t>
      </w:r>
      <w:r>
        <w:rPr>
          <w:rFonts w:ascii="Arial" w:hAnsi="Arial" w:eastAsia="Arial" w:cs="Arial"/>
          <w:spacing w:val="-5"/>
          <w:sz w:val="19"/>
          <w:szCs w:val="19"/>
        </w:rPr>
        <w:t>determined the</w:t>
      </w:r>
      <w:r>
        <w:rPr>
          <w:rFonts w:ascii="Arial" w:hAnsi="Arial" w:eastAsia="Arial" w:cs="Arial"/>
          <w:spacing w:val="9"/>
          <w:sz w:val="19"/>
          <w:szCs w:val="19"/>
        </w:rPr>
        <w:t xml:space="preserve"> </w:t>
      </w:r>
      <w:r>
        <w:rPr>
          <w:rFonts w:ascii="Arial" w:hAnsi="Arial" w:eastAsia="Arial" w:cs="Arial"/>
          <w:spacing w:val="-5"/>
          <w:sz w:val="19"/>
          <w:szCs w:val="19"/>
        </w:rPr>
        <w:t>reliability</w:t>
      </w:r>
      <w:r>
        <w:rPr>
          <w:rFonts w:ascii="Arial" w:hAnsi="Arial" w:eastAsia="Arial" w:cs="Arial"/>
          <w:spacing w:val="3"/>
          <w:sz w:val="19"/>
          <w:szCs w:val="19"/>
        </w:rPr>
        <w:t xml:space="preserve"> </w:t>
      </w:r>
      <w:r>
        <w:rPr>
          <w:rFonts w:ascii="Arial" w:hAnsi="Arial" w:eastAsia="Arial" w:cs="Arial"/>
          <w:spacing w:val="-5"/>
          <w:sz w:val="19"/>
          <w:szCs w:val="19"/>
        </w:rPr>
        <w:t>and val-</w:t>
      </w:r>
      <w:r>
        <w:rPr>
          <w:rFonts w:ascii="Arial" w:hAnsi="Arial" w:eastAsia="Arial" w:cs="Arial"/>
          <w:sz w:val="19"/>
          <w:szCs w:val="19"/>
        </w:rPr>
        <w:t xml:space="preserve"> </w:t>
      </w:r>
      <w:r>
        <w:rPr>
          <w:rFonts w:ascii="Arial" w:hAnsi="Arial" w:eastAsia="Arial" w:cs="Arial"/>
          <w:spacing w:val="-5"/>
          <w:sz w:val="19"/>
          <w:szCs w:val="19"/>
        </w:rPr>
        <w:t>idity of</w:t>
      </w:r>
      <w:r>
        <w:rPr>
          <w:rFonts w:ascii="Arial" w:hAnsi="Arial" w:eastAsia="Arial" w:cs="Arial"/>
          <w:spacing w:val="-17"/>
          <w:sz w:val="19"/>
          <w:szCs w:val="19"/>
        </w:rPr>
        <w:t xml:space="preserve"> </w:t>
      </w:r>
      <w:r>
        <w:rPr>
          <w:rFonts w:ascii="Arial" w:hAnsi="Arial" w:eastAsia="Arial" w:cs="Arial"/>
          <w:spacing w:val="-5"/>
          <w:sz w:val="19"/>
          <w:szCs w:val="19"/>
        </w:rPr>
        <w:t>the QCI scales, wh</w:t>
      </w:r>
      <w:r>
        <w:rPr>
          <w:rFonts w:ascii="Arial" w:hAnsi="Arial" w:eastAsia="Arial" w:cs="Arial"/>
          <w:spacing w:val="-6"/>
          <w:sz w:val="19"/>
          <w:szCs w:val="19"/>
        </w:rPr>
        <w:t>ich provide detailed insights into various quality culture dimensions, such as</w:t>
      </w:r>
      <w:r>
        <w:rPr>
          <w:rFonts w:ascii="Arial" w:hAnsi="Arial" w:eastAsia="Arial" w:cs="Arial"/>
          <w:sz w:val="19"/>
          <w:szCs w:val="19"/>
        </w:rPr>
        <w:t xml:space="preserve"> </w:t>
      </w:r>
      <w:r>
        <w:rPr>
          <w:rFonts w:ascii="Arial" w:hAnsi="Arial" w:eastAsia="Arial" w:cs="Arial"/>
          <w:spacing w:val="-3"/>
          <w:sz w:val="19"/>
          <w:szCs w:val="19"/>
        </w:rPr>
        <w:t>commitment and engagement on the</w:t>
      </w:r>
      <w:r>
        <w:rPr>
          <w:rFonts w:ascii="Arial" w:hAnsi="Arial" w:eastAsia="Arial" w:cs="Arial"/>
          <w:spacing w:val="11"/>
          <w:sz w:val="19"/>
          <w:szCs w:val="19"/>
        </w:rPr>
        <w:t xml:space="preserve"> </w:t>
      </w:r>
      <w:r>
        <w:rPr>
          <w:rFonts w:ascii="Arial" w:hAnsi="Arial" w:eastAsia="Arial" w:cs="Arial"/>
          <w:spacing w:val="-3"/>
          <w:sz w:val="19"/>
          <w:szCs w:val="19"/>
        </w:rPr>
        <w:t>individual</w:t>
      </w:r>
      <w:r>
        <w:rPr>
          <w:rFonts w:ascii="Arial" w:hAnsi="Arial" w:eastAsia="Arial" w:cs="Arial"/>
          <w:spacing w:val="11"/>
          <w:sz w:val="19"/>
          <w:szCs w:val="19"/>
        </w:rPr>
        <w:t xml:space="preserve"> </w:t>
      </w:r>
      <w:r>
        <w:rPr>
          <w:rFonts w:ascii="Arial" w:hAnsi="Arial" w:eastAsia="Arial" w:cs="Arial"/>
          <w:spacing w:val="-3"/>
          <w:sz w:val="19"/>
          <w:szCs w:val="19"/>
        </w:rPr>
        <w:t>level, or q</w:t>
      </w:r>
      <w:r>
        <w:rPr>
          <w:rFonts w:ascii="Arial" w:hAnsi="Arial" w:eastAsia="Arial" w:cs="Arial"/>
          <w:spacing w:val="-4"/>
          <w:sz w:val="19"/>
          <w:szCs w:val="19"/>
        </w:rPr>
        <w:t>uality-oriented</w:t>
      </w:r>
      <w:r>
        <w:rPr>
          <w:rFonts w:ascii="Arial" w:hAnsi="Arial" w:eastAsia="Arial" w:cs="Arial"/>
          <w:spacing w:val="14"/>
          <w:sz w:val="19"/>
          <w:szCs w:val="19"/>
        </w:rPr>
        <w:t xml:space="preserve"> </w:t>
      </w:r>
      <w:r>
        <w:rPr>
          <w:rFonts w:ascii="Arial" w:hAnsi="Arial" w:eastAsia="Arial" w:cs="Arial"/>
          <w:spacing w:val="-4"/>
          <w:sz w:val="19"/>
          <w:szCs w:val="19"/>
        </w:rPr>
        <w:t>leadership</w:t>
      </w:r>
      <w:r>
        <w:rPr>
          <w:rFonts w:ascii="Arial" w:hAnsi="Arial" w:eastAsia="Arial" w:cs="Arial"/>
          <w:spacing w:val="4"/>
          <w:sz w:val="19"/>
          <w:szCs w:val="19"/>
        </w:rPr>
        <w:t xml:space="preserve"> </w:t>
      </w:r>
      <w:r>
        <w:rPr>
          <w:rFonts w:ascii="Arial" w:hAnsi="Arial" w:eastAsia="Arial" w:cs="Arial"/>
          <w:spacing w:val="-4"/>
          <w:sz w:val="19"/>
          <w:szCs w:val="19"/>
        </w:rPr>
        <w:t>and</w:t>
      </w:r>
      <w:r>
        <w:rPr>
          <w:rFonts w:ascii="Arial" w:hAnsi="Arial" w:eastAsia="Arial" w:cs="Arial"/>
          <w:spacing w:val="7"/>
          <w:sz w:val="19"/>
          <w:szCs w:val="19"/>
        </w:rPr>
        <w:t xml:space="preserve"> </w:t>
      </w:r>
      <w:r>
        <w:rPr>
          <w:rFonts w:ascii="Arial" w:hAnsi="Arial" w:eastAsia="Arial" w:cs="Arial"/>
          <w:spacing w:val="-4"/>
          <w:sz w:val="19"/>
          <w:szCs w:val="19"/>
        </w:rPr>
        <w:t>communi-</w:t>
      </w:r>
      <w:r>
        <w:rPr>
          <w:rFonts w:ascii="Arial" w:hAnsi="Arial" w:eastAsia="Arial" w:cs="Arial"/>
          <w:sz w:val="19"/>
          <w:szCs w:val="19"/>
        </w:rPr>
        <w:t xml:space="preserve"> </w:t>
      </w:r>
      <w:r>
        <w:rPr>
          <w:rFonts w:ascii="Arial" w:hAnsi="Arial" w:eastAsia="Arial" w:cs="Arial"/>
          <w:spacing w:val="-5"/>
          <w:sz w:val="19"/>
          <w:szCs w:val="19"/>
        </w:rPr>
        <w:t>cation on the collective level. Data from the organizational-psychological and structur</w:t>
      </w:r>
      <w:r>
        <w:rPr>
          <w:rFonts w:ascii="Arial" w:hAnsi="Arial" w:eastAsia="Arial" w:cs="Arial"/>
          <w:spacing w:val="-6"/>
          <w:sz w:val="19"/>
          <w:szCs w:val="19"/>
        </w:rPr>
        <w:t>al-formal survey</w:t>
      </w:r>
      <w:r>
        <w:rPr>
          <w:rFonts w:ascii="Arial" w:hAnsi="Arial" w:eastAsia="Arial" w:cs="Arial"/>
          <w:sz w:val="19"/>
          <w:szCs w:val="19"/>
        </w:rPr>
        <w:t xml:space="preserve"> </w:t>
      </w:r>
      <w:r>
        <w:rPr>
          <w:rFonts w:ascii="Arial" w:hAnsi="Arial" w:eastAsia="Arial" w:cs="Arial"/>
          <w:spacing w:val="-1"/>
          <w:sz w:val="19"/>
          <w:szCs w:val="19"/>
        </w:rPr>
        <w:t>ofer the possibility to create diferentiated qual</w:t>
      </w:r>
      <w:r>
        <w:rPr>
          <w:rFonts w:ascii="Arial" w:hAnsi="Arial" w:eastAsia="Arial" w:cs="Arial"/>
          <w:spacing w:val="-2"/>
          <w:sz w:val="19"/>
          <w:szCs w:val="19"/>
        </w:rPr>
        <w:t>ity culture proiles, which allow for institution-speciic</w:t>
      </w:r>
      <w:r>
        <w:rPr>
          <w:rFonts w:ascii="Arial" w:hAnsi="Arial" w:eastAsia="Arial" w:cs="Arial"/>
          <w:sz w:val="19"/>
          <w:szCs w:val="19"/>
        </w:rPr>
        <w:t xml:space="preserve"> </w:t>
      </w:r>
      <w:r>
        <w:rPr>
          <w:rFonts w:ascii="Arial" w:hAnsi="Arial" w:eastAsia="Arial" w:cs="Arial"/>
          <w:spacing w:val="-5"/>
          <w:sz w:val="19"/>
          <w:szCs w:val="19"/>
        </w:rPr>
        <w:t>analyses</w:t>
      </w:r>
      <w:r>
        <w:rPr>
          <w:rFonts w:ascii="Arial" w:hAnsi="Arial" w:eastAsia="Arial" w:cs="Arial"/>
          <w:spacing w:val="42"/>
          <w:w w:val="101"/>
          <w:sz w:val="19"/>
          <w:szCs w:val="19"/>
        </w:rPr>
        <w:t xml:space="preserve"> </w:t>
      </w:r>
      <w:r>
        <w:rPr>
          <w:rFonts w:ascii="Arial" w:hAnsi="Arial" w:eastAsia="Arial" w:cs="Arial"/>
          <w:spacing w:val="-5"/>
          <w:sz w:val="19"/>
          <w:szCs w:val="19"/>
        </w:rPr>
        <w:t>of</w:t>
      </w:r>
      <w:r>
        <w:rPr>
          <w:rFonts w:ascii="Arial" w:hAnsi="Arial" w:eastAsia="Arial" w:cs="Arial"/>
          <w:spacing w:val="30"/>
          <w:w w:val="101"/>
          <w:sz w:val="19"/>
          <w:szCs w:val="19"/>
        </w:rPr>
        <w:t xml:space="preserve"> </w:t>
      </w:r>
      <w:r>
        <w:rPr>
          <w:rFonts w:ascii="Arial" w:hAnsi="Arial" w:eastAsia="Arial" w:cs="Arial"/>
          <w:spacing w:val="-5"/>
          <w:sz w:val="19"/>
          <w:szCs w:val="19"/>
        </w:rPr>
        <w:t>strengths</w:t>
      </w:r>
      <w:r>
        <w:rPr>
          <w:rFonts w:ascii="Arial" w:hAnsi="Arial" w:eastAsia="Arial" w:cs="Arial"/>
          <w:spacing w:val="37"/>
          <w:w w:val="101"/>
          <w:sz w:val="19"/>
          <w:szCs w:val="19"/>
        </w:rPr>
        <w:t xml:space="preserve"> </w:t>
      </w:r>
      <w:r>
        <w:rPr>
          <w:rFonts w:ascii="Arial" w:hAnsi="Arial" w:eastAsia="Arial" w:cs="Arial"/>
          <w:spacing w:val="-5"/>
          <w:sz w:val="19"/>
          <w:szCs w:val="19"/>
        </w:rPr>
        <w:t>and</w:t>
      </w:r>
      <w:r>
        <w:rPr>
          <w:rFonts w:ascii="Arial" w:hAnsi="Arial" w:eastAsia="Arial" w:cs="Arial"/>
          <w:spacing w:val="38"/>
          <w:sz w:val="19"/>
          <w:szCs w:val="19"/>
        </w:rPr>
        <w:t xml:space="preserve"> </w:t>
      </w:r>
      <w:r>
        <w:rPr>
          <w:rFonts w:ascii="Arial" w:hAnsi="Arial" w:eastAsia="Arial" w:cs="Arial"/>
          <w:spacing w:val="-5"/>
          <w:sz w:val="19"/>
          <w:szCs w:val="19"/>
        </w:rPr>
        <w:t>developmental</w:t>
      </w:r>
      <w:r>
        <w:rPr>
          <w:rFonts w:ascii="Arial" w:hAnsi="Arial" w:eastAsia="Arial" w:cs="Arial"/>
          <w:spacing w:val="44"/>
          <w:w w:val="101"/>
          <w:sz w:val="19"/>
          <w:szCs w:val="19"/>
        </w:rPr>
        <w:t xml:space="preserve"> </w:t>
      </w:r>
      <w:r>
        <w:rPr>
          <w:rFonts w:ascii="Arial" w:hAnsi="Arial" w:eastAsia="Arial" w:cs="Arial"/>
          <w:spacing w:val="-5"/>
          <w:sz w:val="19"/>
          <w:szCs w:val="19"/>
        </w:rPr>
        <w:t>potential</w:t>
      </w:r>
      <w:r>
        <w:rPr>
          <w:rFonts w:ascii="Arial" w:hAnsi="Arial" w:eastAsia="Arial" w:cs="Arial"/>
          <w:spacing w:val="42"/>
          <w:w w:val="101"/>
          <w:sz w:val="19"/>
          <w:szCs w:val="19"/>
        </w:rPr>
        <w:t xml:space="preserve"> </w:t>
      </w:r>
      <w:r>
        <w:rPr>
          <w:rFonts w:ascii="Arial" w:hAnsi="Arial" w:eastAsia="Arial" w:cs="Arial"/>
          <w:spacing w:val="-5"/>
          <w:sz w:val="19"/>
          <w:szCs w:val="19"/>
        </w:rPr>
        <w:t>(for</w:t>
      </w:r>
      <w:r>
        <w:rPr>
          <w:rFonts w:ascii="Arial" w:hAnsi="Arial" w:eastAsia="Arial" w:cs="Arial"/>
          <w:spacing w:val="37"/>
          <w:w w:val="101"/>
          <w:sz w:val="19"/>
          <w:szCs w:val="19"/>
        </w:rPr>
        <w:t xml:space="preserve"> </w:t>
      </w:r>
      <w:r>
        <w:rPr>
          <w:rFonts w:ascii="Arial" w:hAnsi="Arial" w:eastAsia="Arial" w:cs="Arial"/>
          <w:spacing w:val="-5"/>
          <w:sz w:val="19"/>
          <w:szCs w:val="19"/>
        </w:rPr>
        <w:t>examples</w:t>
      </w:r>
      <w:r>
        <w:rPr>
          <w:rFonts w:ascii="Arial" w:hAnsi="Arial" w:eastAsia="Arial" w:cs="Arial"/>
          <w:spacing w:val="38"/>
          <w:w w:val="101"/>
          <w:sz w:val="19"/>
          <w:szCs w:val="19"/>
        </w:rPr>
        <w:t xml:space="preserve"> </w:t>
      </w:r>
      <w:r>
        <w:rPr>
          <w:rFonts w:ascii="Arial" w:hAnsi="Arial" w:eastAsia="Arial" w:cs="Arial"/>
          <w:spacing w:val="-5"/>
          <w:sz w:val="19"/>
          <w:szCs w:val="19"/>
        </w:rPr>
        <w:t>of</w:t>
      </w:r>
      <w:r>
        <w:rPr>
          <w:rFonts w:ascii="Arial" w:hAnsi="Arial" w:eastAsia="Arial" w:cs="Arial"/>
          <w:spacing w:val="30"/>
          <w:sz w:val="19"/>
          <w:szCs w:val="19"/>
        </w:rPr>
        <w:t xml:space="preserve"> </w:t>
      </w:r>
      <w:r>
        <w:rPr>
          <w:rFonts w:ascii="Arial" w:hAnsi="Arial" w:eastAsia="Arial" w:cs="Arial"/>
          <w:spacing w:val="-5"/>
          <w:sz w:val="19"/>
          <w:szCs w:val="19"/>
        </w:rPr>
        <w:t>quality</w:t>
      </w:r>
      <w:r>
        <w:rPr>
          <w:rFonts w:ascii="Arial" w:hAnsi="Arial" w:eastAsia="Arial" w:cs="Arial"/>
          <w:spacing w:val="39"/>
          <w:w w:val="101"/>
          <w:sz w:val="19"/>
          <w:szCs w:val="19"/>
        </w:rPr>
        <w:t xml:space="preserve"> </w:t>
      </w:r>
      <w:r>
        <w:rPr>
          <w:rFonts w:ascii="Arial" w:hAnsi="Arial" w:eastAsia="Arial" w:cs="Arial"/>
          <w:spacing w:val="-5"/>
          <w:sz w:val="19"/>
          <w:szCs w:val="19"/>
        </w:rPr>
        <w:t>culture</w:t>
      </w:r>
      <w:r>
        <w:rPr>
          <w:rFonts w:ascii="Arial" w:hAnsi="Arial" w:eastAsia="Arial" w:cs="Arial"/>
          <w:spacing w:val="45"/>
          <w:sz w:val="19"/>
          <w:szCs w:val="19"/>
        </w:rPr>
        <w:t xml:space="preserve"> </w:t>
      </w:r>
      <w:r>
        <w:rPr>
          <w:rFonts w:ascii="Arial" w:hAnsi="Arial" w:eastAsia="Arial" w:cs="Arial"/>
          <w:spacing w:val="-5"/>
          <w:sz w:val="19"/>
          <w:szCs w:val="19"/>
        </w:rPr>
        <w:t>proiles,</w:t>
      </w:r>
      <w:r>
        <w:rPr>
          <w:rFonts w:ascii="Arial" w:hAnsi="Arial" w:eastAsia="Arial" w:cs="Arial"/>
          <w:spacing w:val="38"/>
          <w:sz w:val="19"/>
          <w:szCs w:val="19"/>
        </w:rPr>
        <w:t xml:space="preserve"> </w:t>
      </w:r>
      <w:r>
        <w:rPr>
          <w:rFonts w:ascii="Arial" w:hAnsi="Arial" w:eastAsia="Arial" w:cs="Arial"/>
          <w:spacing w:val="-5"/>
          <w:sz w:val="19"/>
          <w:szCs w:val="19"/>
        </w:rPr>
        <w:t>see</w:t>
      </w:r>
      <w:r>
        <w:rPr>
          <w:rFonts w:ascii="Arial" w:hAnsi="Arial" w:eastAsia="Arial" w:cs="Arial"/>
          <w:sz w:val="19"/>
          <w:szCs w:val="19"/>
        </w:rPr>
        <w:t xml:space="preserve"> </w:t>
      </w:r>
      <w:r>
        <w:rPr>
          <w:rFonts w:ascii="Arial" w:hAnsi="Arial" w:eastAsia="Arial" w:cs="Arial"/>
          <w:spacing w:val="-6"/>
          <w:sz w:val="19"/>
          <w:szCs w:val="19"/>
        </w:rPr>
        <w:t>Sattler</w:t>
      </w:r>
      <w:r>
        <w:rPr>
          <w:rFonts w:ascii="Arial" w:hAnsi="Arial" w:eastAsia="Arial" w:cs="Arial"/>
          <w:spacing w:val="11"/>
          <w:sz w:val="19"/>
          <w:szCs w:val="19"/>
        </w:rPr>
        <w:t xml:space="preserve"> </w:t>
      </w:r>
      <w:r>
        <w:rPr>
          <w:rFonts w:ascii="Arial" w:hAnsi="Arial" w:eastAsia="Arial" w:cs="Arial"/>
          <w:spacing w:val="-6"/>
          <w:sz w:val="19"/>
          <w:szCs w:val="19"/>
        </w:rPr>
        <w:t>and</w:t>
      </w:r>
      <w:r>
        <w:rPr>
          <w:rFonts w:ascii="Arial" w:hAnsi="Arial" w:eastAsia="Arial" w:cs="Arial"/>
          <w:spacing w:val="12"/>
          <w:sz w:val="19"/>
          <w:szCs w:val="19"/>
        </w:rPr>
        <w:t xml:space="preserve"> </w:t>
      </w:r>
      <w:r>
        <w:rPr>
          <w:rFonts w:ascii="Arial" w:hAnsi="Arial" w:eastAsia="Arial" w:cs="Arial"/>
          <w:spacing w:val="-6"/>
          <w:sz w:val="19"/>
          <w:szCs w:val="19"/>
        </w:rPr>
        <w:t xml:space="preserve">Sonntag </w:t>
      </w:r>
      <w:r>
        <w:fldChar w:fldCharType="begin"/>
      </w:r>
      <w:r>
        <w:instrText xml:space="preserve"> HYPERLINK \l "bookmark116" </w:instrText>
      </w:r>
      <w:r>
        <w:fldChar w:fldCharType="separate"/>
      </w:r>
      <w:r>
        <w:rPr>
          <w:rFonts w:ascii="Arial" w:hAnsi="Arial" w:eastAsia="Arial" w:cs="Arial"/>
          <w:color w:val="000084"/>
          <w:spacing w:val="-6"/>
          <w:sz w:val="19"/>
          <w:szCs w:val="19"/>
        </w:rPr>
        <w:t>2</w:t>
      </w:r>
      <w:r>
        <w:rPr>
          <w:rFonts w:ascii="Arial" w:hAnsi="Arial" w:eastAsia="Arial" w:cs="Arial"/>
          <w:color w:val="000084"/>
          <w:spacing w:val="-7"/>
          <w:sz w:val="19"/>
          <w:szCs w:val="19"/>
        </w:rPr>
        <w:t>018</w:t>
      </w:r>
      <w:r>
        <w:rPr>
          <w:rFonts w:ascii="Arial" w:hAnsi="Arial" w:eastAsia="Arial" w:cs="Arial"/>
          <w:color w:val="000084"/>
          <w:spacing w:val="-7"/>
          <w:sz w:val="19"/>
          <w:szCs w:val="19"/>
        </w:rPr>
        <w:fldChar w:fldCharType="end"/>
      </w:r>
      <w:r>
        <w:rPr>
          <w:rFonts w:ascii="Arial" w:hAnsi="Arial" w:eastAsia="Arial" w:cs="Arial"/>
          <w:spacing w:val="-7"/>
          <w:sz w:val="19"/>
          <w:szCs w:val="19"/>
        </w:rPr>
        <w:t>).</w:t>
      </w:r>
    </w:p>
    <w:p>
      <w:pPr>
        <w:spacing w:before="29" w:line="260" w:lineRule="auto"/>
        <w:ind w:left="2" w:right="1" w:firstLine="243"/>
        <w:jc w:val="both"/>
        <w:rPr>
          <w:rFonts w:ascii="Arial" w:hAnsi="Arial" w:eastAsia="Arial" w:cs="Arial"/>
          <w:sz w:val="19"/>
          <w:szCs w:val="19"/>
        </w:rPr>
      </w:pPr>
      <w:r>
        <w:rPr>
          <w:rFonts w:ascii="Arial" w:hAnsi="Arial" w:eastAsia="Arial" w:cs="Arial"/>
          <w:spacing w:val="-4"/>
          <w:sz w:val="19"/>
          <w:szCs w:val="19"/>
        </w:rPr>
        <w:t>Our future</w:t>
      </w:r>
      <w:r>
        <w:rPr>
          <w:rFonts w:ascii="Arial" w:hAnsi="Arial" w:eastAsia="Arial" w:cs="Arial"/>
          <w:spacing w:val="11"/>
          <w:sz w:val="19"/>
          <w:szCs w:val="19"/>
        </w:rPr>
        <w:t xml:space="preserve"> </w:t>
      </w:r>
      <w:r>
        <w:rPr>
          <w:rFonts w:ascii="Arial" w:hAnsi="Arial" w:eastAsia="Arial" w:cs="Arial"/>
          <w:spacing w:val="-4"/>
          <w:sz w:val="19"/>
          <w:szCs w:val="19"/>
        </w:rPr>
        <w:t>studies will focus</w:t>
      </w:r>
      <w:r>
        <w:rPr>
          <w:rFonts w:ascii="Arial" w:hAnsi="Arial" w:eastAsia="Arial" w:cs="Arial"/>
          <w:spacing w:val="11"/>
          <w:sz w:val="19"/>
          <w:szCs w:val="19"/>
        </w:rPr>
        <w:t xml:space="preserve"> </w:t>
      </w:r>
      <w:r>
        <w:rPr>
          <w:rFonts w:ascii="Arial" w:hAnsi="Arial" w:eastAsia="Arial" w:cs="Arial"/>
          <w:spacing w:val="-4"/>
          <w:sz w:val="19"/>
          <w:szCs w:val="19"/>
        </w:rPr>
        <w:t>on</w:t>
      </w:r>
      <w:r>
        <w:rPr>
          <w:rFonts w:ascii="Arial" w:hAnsi="Arial" w:eastAsia="Arial" w:cs="Arial"/>
          <w:spacing w:val="16"/>
          <w:sz w:val="19"/>
          <w:szCs w:val="19"/>
        </w:rPr>
        <w:t xml:space="preserve"> </w:t>
      </w:r>
      <w:r>
        <w:rPr>
          <w:rFonts w:ascii="Arial" w:hAnsi="Arial" w:eastAsia="Arial" w:cs="Arial"/>
          <w:spacing w:val="-4"/>
          <w:sz w:val="19"/>
          <w:szCs w:val="19"/>
        </w:rPr>
        <w:t>in-depth</w:t>
      </w:r>
      <w:r>
        <w:rPr>
          <w:rFonts w:ascii="Arial" w:hAnsi="Arial" w:eastAsia="Arial" w:cs="Arial"/>
          <w:spacing w:val="10"/>
          <w:sz w:val="19"/>
          <w:szCs w:val="19"/>
        </w:rPr>
        <w:t xml:space="preserve"> </w:t>
      </w:r>
      <w:r>
        <w:rPr>
          <w:rFonts w:ascii="Arial" w:hAnsi="Arial" w:eastAsia="Arial" w:cs="Arial"/>
          <w:spacing w:val="-4"/>
          <w:sz w:val="19"/>
          <w:szCs w:val="19"/>
        </w:rPr>
        <w:t>analyses</w:t>
      </w:r>
      <w:r>
        <w:rPr>
          <w:rFonts w:ascii="Arial" w:hAnsi="Arial" w:eastAsia="Arial" w:cs="Arial"/>
          <w:spacing w:val="13"/>
          <w:sz w:val="19"/>
          <w:szCs w:val="19"/>
        </w:rPr>
        <w:t xml:space="preserve"> </w:t>
      </w:r>
      <w:r>
        <w:rPr>
          <w:rFonts w:ascii="Arial" w:hAnsi="Arial" w:eastAsia="Arial" w:cs="Arial"/>
          <w:spacing w:val="-4"/>
          <w:sz w:val="19"/>
          <w:szCs w:val="19"/>
        </w:rPr>
        <w:t>of potent</w:t>
      </w:r>
      <w:r>
        <w:rPr>
          <w:rFonts w:ascii="Arial" w:hAnsi="Arial" w:eastAsia="Arial" w:cs="Arial"/>
          <w:spacing w:val="-5"/>
          <w:sz w:val="19"/>
          <w:szCs w:val="19"/>
        </w:rPr>
        <w:t>ial</w:t>
      </w:r>
      <w:r>
        <w:rPr>
          <w:rFonts w:ascii="Arial" w:hAnsi="Arial" w:eastAsia="Arial" w:cs="Arial"/>
          <w:spacing w:val="16"/>
          <w:w w:val="101"/>
          <w:sz w:val="19"/>
          <w:szCs w:val="19"/>
        </w:rPr>
        <w:t xml:space="preserve"> </w:t>
      </w:r>
      <w:r>
        <w:rPr>
          <w:rFonts w:ascii="Arial" w:hAnsi="Arial" w:eastAsia="Arial" w:cs="Arial"/>
          <w:spacing w:val="-5"/>
          <w:sz w:val="19"/>
          <w:szCs w:val="19"/>
        </w:rPr>
        <w:t>moderating variables.</w:t>
      </w:r>
      <w:r>
        <w:rPr>
          <w:rFonts w:ascii="Arial" w:hAnsi="Arial" w:eastAsia="Arial" w:cs="Arial"/>
          <w:spacing w:val="17"/>
          <w:sz w:val="19"/>
          <w:szCs w:val="19"/>
        </w:rPr>
        <w:t xml:space="preserve"> </w:t>
      </w:r>
      <w:r>
        <w:rPr>
          <w:rFonts w:ascii="Arial" w:hAnsi="Arial" w:eastAsia="Arial" w:cs="Arial"/>
          <w:spacing w:val="-5"/>
          <w:sz w:val="19"/>
          <w:szCs w:val="19"/>
        </w:rPr>
        <w:t>It</w:t>
      </w:r>
      <w:r>
        <w:rPr>
          <w:rFonts w:ascii="Arial" w:hAnsi="Arial" w:eastAsia="Arial" w:cs="Arial"/>
          <w:spacing w:val="7"/>
          <w:sz w:val="19"/>
          <w:szCs w:val="19"/>
        </w:rPr>
        <w:t xml:space="preserve"> </w:t>
      </w:r>
      <w:r>
        <w:rPr>
          <w:rFonts w:ascii="Arial" w:hAnsi="Arial" w:eastAsia="Arial" w:cs="Arial"/>
          <w:spacing w:val="-5"/>
          <w:sz w:val="19"/>
          <w:szCs w:val="19"/>
        </w:rPr>
        <w:t>would</w:t>
      </w:r>
      <w:r>
        <w:rPr>
          <w:rFonts w:ascii="Arial" w:hAnsi="Arial" w:eastAsia="Arial" w:cs="Arial"/>
          <w:spacing w:val="17"/>
          <w:sz w:val="19"/>
          <w:szCs w:val="19"/>
        </w:rPr>
        <w:t xml:space="preserve"> </w:t>
      </w:r>
      <w:r>
        <w:rPr>
          <w:rFonts w:ascii="Arial" w:hAnsi="Arial" w:eastAsia="Arial" w:cs="Arial"/>
          <w:spacing w:val="-5"/>
          <w:sz w:val="19"/>
          <w:szCs w:val="19"/>
        </w:rPr>
        <w:t>be</w:t>
      </w:r>
      <w:r>
        <w:rPr>
          <w:rFonts w:ascii="Arial" w:hAnsi="Arial" w:eastAsia="Arial" w:cs="Arial"/>
          <w:sz w:val="19"/>
          <w:szCs w:val="19"/>
        </w:rPr>
        <w:t xml:space="preserve"> </w:t>
      </w:r>
      <w:r>
        <w:rPr>
          <w:rFonts w:ascii="Arial" w:hAnsi="Arial" w:eastAsia="Arial" w:cs="Arial"/>
          <w:spacing w:val="-4"/>
          <w:sz w:val="19"/>
          <w:szCs w:val="19"/>
        </w:rPr>
        <w:t>very interesting, for instance, to examine whether temporary employment afects the level of individ-</w:t>
      </w:r>
      <w:r>
        <w:rPr>
          <w:rFonts w:ascii="Arial" w:hAnsi="Arial" w:eastAsia="Arial" w:cs="Arial"/>
          <w:spacing w:val="18"/>
          <w:w w:val="101"/>
          <w:sz w:val="19"/>
          <w:szCs w:val="19"/>
        </w:rPr>
        <w:t xml:space="preserve"> </w:t>
      </w:r>
      <w:r>
        <w:rPr>
          <w:rFonts w:ascii="Arial" w:hAnsi="Arial" w:eastAsia="Arial" w:cs="Arial"/>
          <w:spacing w:val="-4"/>
          <w:sz w:val="19"/>
          <w:szCs w:val="19"/>
        </w:rPr>
        <w:t>ual commitment and engagement towards</w:t>
      </w:r>
      <w:r>
        <w:rPr>
          <w:rFonts w:ascii="Arial" w:hAnsi="Arial" w:eastAsia="Arial" w:cs="Arial"/>
          <w:spacing w:val="10"/>
          <w:sz w:val="19"/>
          <w:szCs w:val="19"/>
        </w:rPr>
        <w:t xml:space="preserve"> </w:t>
      </w:r>
      <w:r>
        <w:rPr>
          <w:rFonts w:ascii="Arial" w:hAnsi="Arial" w:eastAsia="Arial" w:cs="Arial"/>
          <w:spacing w:val="-4"/>
          <w:sz w:val="19"/>
          <w:szCs w:val="19"/>
        </w:rPr>
        <w:t>quality. Anot</w:t>
      </w:r>
      <w:r>
        <w:rPr>
          <w:rFonts w:ascii="Arial" w:hAnsi="Arial" w:eastAsia="Arial" w:cs="Arial"/>
          <w:spacing w:val="-5"/>
          <w:sz w:val="19"/>
          <w:szCs w:val="19"/>
        </w:rPr>
        <w:t>her</w:t>
      </w:r>
      <w:r>
        <w:rPr>
          <w:rFonts w:ascii="Arial" w:hAnsi="Arial" w:eastAsia="Arial" w:cs="Arial"/>
          <w:spacing w:val="14"/>
          <w:w w:val="101"/>
          <w:sz w:val="19"/>
          <w:szCs w:val="19"/>
        </w:rPr>
        <w:t xml:space="preserve"> </w:t>
      </w:r>
      <w:r>
        <w:rPr>
          <w:rFonts w:ascii="Arial" w:hAnsi="Arial" w:eastAsia="Arial" w:cs="Arial"/>
          <w:spacing w:val="-5"/>
          <w:sz w:val="19"/>
          <w:szCs w:val="19"/>
        </w:rPr>
        <w:t>research</w:t>
      </w:r>
      <w:r>
        <w:rPr>
          <w:rFonts w:ascii="Arial" w:hAnsi="Arial" w:eastAsia="Arial" w:cs="Arial"/>
          <w:spacing w:val="9"/>
          <w:sz w:val="19"/>
          <w:szCs w:val="19"/>
        </w:rPr>
        <w:t xml:space="preserve"> </w:t>
      </w:r>
      <w:r>
        <w:rPr>
          <w:rFonts w:ascii="Arial" w:hAnsi="Arial" w:eastAsia="Arial" w:cs="Arial"/>
          <w:spacing w:val="-5"/>
          <w:sz w:val="19"/>
          <w:szCs w:val="19"/>
        </w:rPr>
        <w:t>question</w:t>
      </w:r>
      <w:r>
        <w:rPr>
          <w:rFonts w:ascii="Arial" w:hAnsi="Arial" w:eastAsia="Arial" w:cs="Arial"/>
          <w:spacing w:val="17"/>
          <w:sz w:val="19"/>
          <w:szCs w:val="19"/>
        </w:rPr>
        <w:t xml:space="preserve"> </w:t>
      </w:r>
      <w:r>
        <w:rPr>
          <w:rFonts w:ascii="Arial" w:hAnsi="Arial" w:eastAsia="Arial" w:cs="Arial"/>
          <w:spacing w:val="-5"/>
          <w:sz w:val="19"/>
          <w:szCs w:val="19"/>
        </w:rPr>
        <w:t>pertains</w:t>
      </w:r>
      <w:r>
        <w:rPr>
          <w:rFonts w:ascii="Arial" w:hAnsi="Arial" w:eastAsia="Arial" w:cs="Arial"/>
          <w:spacing w:val="6"/>
          <w:sz w:val="19"/>
          <w:szCs w:val="19"/>
        </w:rPr>
        <w:t xml:space="preserve"> </w:t>
      </w:r>
      <w:r>
        <w:rPr>
          <w:rFonts w:ascii="Arial" w:hAnsi="Arial" w:eastAsia="Arial" w:cs="Arial"/>
          <w:spacing w:val="-5"/>
          <w:sz w:val="19"/>
          <w:szCs w:val="19"/>
        </w:rPr>
        <w:t>to</w:t>
      </w:r>
      <w:r>
        <w:rPr>
          <w:rFonts w:ascii="Arial" w:hAnsi="Arial" w:eastAsia="Arial" w:cs="Arial"/>
          <w:spacing w:val="4"/>
          <w:sz w:val="19"/>
          <w:szCs w:val="19"/>
        </w:rPr>
        <w:t xml:space="preserve"> </w:t>
      </w:r>
      <w:r>
        <w:rPr>
          <w:rFonts w:ascii="Arial" w:hAnsi="Arial" w:eastAsia="Arial" w:cs="Arial"/>
          <w:spacing w:val="-5"/>
          <w:sz w:val="19"/>
          <w:szCs w:val="19"/>
        </w:rPr>
        <w:t>the</w:t>
      </w:r>
      <w:r>
        <w:rPr>
          <w:rFonts w:ascii="Arial" w:hAnsi="Arial" w:eastAsia="Arial" w:cs="Arial"/>
          <w:spacing w:val="16"/>
          <w:sz w:val="19"/>
          <w:szCs w:val="19"/>
        </w:rPr>
        <w:t xml:space="preserve"> </w:t>
      </w:r>
      <w:r>
        <w:rPr>
          <w:rFonts w:ascii="Arial" w:hAnsi="Arial" w:eastAsia="Arial" w:cs="Arial"/>
          <w:spacing w:val="-5"/>
          <w:sz w:val="19"/>
          <w:szCs w:val="19"/>
        </w:rPr>
        <w:t>poss-</w:t>
      </w:r>
      <w:r>
        <w:rPr>
          <w:rFonts w:ascii="Arial" w:hAnsi="Arial" w:eastAsia="Arial" w:cs="Arial"/>
          <w:sz w:val="19"/>
          <w:szCs w:val="19"/>
        </w:rPr>
        <w:t xml:space="preserve"> </w:t>
      </w:r>
      <w:r>
        <w:rPr>
          <w:rFonts w:ascii="Arial" w:hAnsi="Arial" w:eastAsia="Arial" w:cs="Arial"/>
          <w:spacing w:val="-5"/>
          <w:sz w:val="19"/>
          <w:szCs w:val="19"/>
        </w:rPr>
        <w:t>ible</w:t>
      </w:r>
      <w:r>
        <w:rPr>
          <w:rFonts w:ascii="Arial" w:hAnsi="Arial" w:eastAsia="Arial" w:cs="Arial"/>
          <w:spacing w:val="16"/>
          <w:w w:val="101"/>
          <w:sz w:val="19"/>
          <w:szCs w:val="19"/>
        </w:rPr>
        <w:t xml:space="preserve"> </w:t>
      </w:r>
      <w:r>
        <w:rPr>
          <w:rFonts w:ascii="Arial" w:hAnsi="Arial" w:eastAsia="Arial" w:cs="Arial"/>
          <w:spacing w:val="-5"/>
          <w:sz w:val="19"/>
          <w:szCs w:val="19"/>
        </w:rPr>
        <w:t>existence</w:t>
      </w:r>
      <w:r>
        <w:rPr>
          <w:rFonts w:ascii="Arial" w:hAnsi="Arial" w:eastAsia="Arial" w:cs="Arial"/>
          <w:spacing w:val="17"/>
          <w:sz w:val="19"/>
          <w:szCs w:val="19"/>
        </w:rPr>
        <w:t xml:space="preserve"> </w:t>
      </w:r>
      <w:r>
        <w:rPr>
          <w:rFonts w:ascii="Arial" w:hAnsi="Arial" w:eastAsia="Arial" w:cs="Arial"/>
          <w:spacing w:val="-5"/>
          <w:sz w:val="19"/>
          <w:szCs w:val="19"/>
        </w:rPr>
        <w:t>of</w:t>
      </w:r>
      <w:r>
        <w:rPr>
          <w:rFonts w:ascii="Arial" w:hAnsi="Arial" w:eastAsia="Arial" w:cs="Arial"/>
          <w:spacing w:val="17"/>
          <w:sz w:val="19"/>
          <w:szCs w:val="19"/>
        </w:rPr>
        <w:t xml:space="preserve"> </w:t>
      </w:r>
      <w:r>
        <w:rPr>
          <w:rFonts w:ascii="Arial" w:hAnsi="Arial" w:eastAsia="Arial" w:cs="Arial"/>
          <w:spacing w:val="-5"/>
          <w:sz w:val="19"/>
          <w:szCs w:val="19"/>
        </w:rPr>
        <w:t>HEI-speciic</w:t>
      </w:r>
      <w:r>
        <w:rPr>
          <w:rFonts w:ascii="Arial" w:hAnsi="Arial" w:eastAsia="Arial" w:cs="Arial"/>
          <w:spacing w:val="16"/>
          <w:sz w:val="19"/>
          <w:szCs w:val="19"/>
        </w:rPr>
        <w:t xml:space="preserve"> </w:t>
      </w:r>
      <w:r>
        <w:rPr>
          <w:rFonts w:ascii="Arial" w:hAnsi="Arial" w:eastAsia="Arial" w:cs="Arial"/>
          <w:spacing w:val="-5"/>
          <w:sz w:val="19"/>
          <w:szCs w:val="19"/>
        </w:rPr>
        <w:t>a</w:t>
      </w:r>
      <w:r>
        <w:rPr>
          <w:rFonts w:ascii="Arial" w:hAnsi="Arial" w:eastAsia="Arial" w:cs="Arial"/>
          <w:spacing w:val="-6"/>
          <w:sz w:val="19"/>
          <w:szCs w:val="19"/>
        </w:rPr>
        <w:t>nd</w:t>
      </w:r>
      <w:r>
        <w:rPr>
          <w:rFonts w:ascii="Arial" w:hAnsi="Arial" w:eastAsia="Arial" w:cs="Arial"/>
          <w:spacing w:val="23"/>
          <w:sz w:val="19"/>
          <w:szCs w:val="19"/>
        </w:rPr>
        <w:t xml:space="preserve"> </w:t>
      </w:r>
      <w:r>
        <w:rPr>
          <w:rFonts w:ascii="Arial" w:hAnsi="Arial" w:eastAsia="Arial" w:cs="Arial"/>
          <w:spacing w:val="-6"/>
          <w:sz w:val="19"/>
          <w:szCs w:val="19"/>
        </w:rPr>
        <w:t>multiple</w:t>
      </w:r>
      <w:r>
        <w:rPr>
          <w:rFonts w:ascii="Arial" w:hAnsi="Arial" w:eastAsia="Arial" w:cs="Arial"/>
          <w:spacing w:val="17"/>
          <w:w w:val="101"/>
          <w:sz w:val="19"/>
          <w:szCs w:val="19"/>
        </w:rPr>
        <w:t xml:space="preserve"> </w:t>
      </w:r>
      <w:r>
        <w:rPr>
          <w:rFonts w:ascii="Arial" w:hAnsi="Arial" w:eastAsia="Arial" w:cs="Arial"/>
          <w:spacing w:val="-6"/>
          <w:sz w:val="19"/>
          <w:szCs w:val="19"/>
        </w:rPr>
        <w:t>quality</w:t>
      </w:r>
      <w:r>
        <w:rPr>
          <w:rFonts w:ascii="Arial" w:hAnsi="Arial" w:eastAsia="Arial" w:cs="Arial"/>
          <w:spacing w:val="16"/>
          <w:w w:val="101"/>
          <w:sz w:val="19"/>
          <w:szCs w:val="19"/>
        </w:rPr>
        <w:t xml:space="preserve"> </w:t>
      </w:r>
      <w:r>
        <w:rPr>
          <w:rFonts w:ascii="Arial" w:hAnsi="Arial" w:eastAsia="Arial" w:cs="Arial"/>
          <w:spacing w:val="-6"/>
          <w:sz w:val="19"/>
          <w:szCs w:val="19"/>
        </w:rPr>
        <w:t>cultures</w:t>
      </w:r>
      <w:r>
        <w:rPr>
          <w:rFonts w:ascii="Arial" w:hAnsi="Arial" w:eastAsia="Arial" w:cs="Arial"/>
          <w:spacing w:val="13"/>
          <w:sz w:val="19"/>
          <w:szCs w:val="19"/>
        </w:rPr>
        <w:t xml:space="preserve"> </w:t>
      </w:r>
      <w:r>
        <w:rPr>
          <w:rFonts w:ascii="Arial" w:hAnsi="Arial" w:eastAsia="Arial" w:cs="Arial"/>
          <w:spacing w:val="-6"/>
          <w:sz w:val="19"/>
          <w:szCs w:val="19"/>
        </w:rPr>
        <w:t>within</w:t>
      </w:r>
      <w:r>
        <w:rPr>
          <w:rFonts w:ascii="Arial" w:hAnsi="Arial" w:eastAsia="Arial" w:cs="Arial"/>
          <w:spacing w:val="24"/>
          <w:w w:val="101"/>
          <w:sz w:val="19"/>
          <w:szCs w:val="19"/>
        </w:rPr>
        <w:t xml:space="preserve"> </w:t>
      </w:r>
      <w:r>
        <w:rPr>
          <w:rFonts w:ascii="Arial" w:hAnsi="Arial" w:eastAsia="Arial" w:cs="Arial"/>
          <w:spacing w:val="-6"/>
          <w:sz w:val="19"/>
          <w:szCs w:val="19"/>
        </w:rPr>
        <w:t>HEIs</w:t>
      </w:r>
      <w:r>
        <w:rPr>
          <w:rFonts w:ascii="Arial" w:hAnsi="Arial" w:eastAsia="Arial" w:cs="Arial"/>
          <w:spacing w:val="22"/>
          <w:sz w:val="19"/>
          <w:szCs w:val="19"/>
        </w:rPr>
        <w:t xml:space="preserve"> </w:t>
      </w:r>
      <w:r>
        <w:rPr>
          <w:rFonts w:ascii="Arial" w:hAnsi="Arial" w:eastAsia="Arial" w:cs="Arial"/>
          <w:spacing w:val="-6"/>
          <w:sz w:val="19"/>
          <w:szCs w:val="19"/>
        </w:rPr>
        <w:t>(e.g.</w:t>
      </w:r>
      <w:r>
        <w:rPr>
          <w:rFonts w:ascii="Arial" w:hAnsi="Arial" w:eastAsia="Arial" w:cs="Arial"/>
          <w:spacing w:val="17"/>
          <w:w w:val="101"/>
          <w:sz w:val="19"/>
          <w:szCs w:val="19"/>
        </w:rPr>
        <w:t xml:space="preserve"> </w:t>
      </w:r>
      <w:r>
        <w:rPr>
          <w:rFonts w:ascii="Arial" w:hAnsi="Arial" w:eastAsia="Arial" w:cs="Arial"/>
          <w:spacing w:val="-6"/>
          <w:sz w:val="19"/>
          <w:szCs w:val="19"/>
        </w:rPr>
        <w:t>on</w:t>
      </w:r>
      <w:r>
        <w:rPr>
          <w:rFonts w:ascii="Arial" w:hAnsi="Arial" w:eastAsia="Arial" w:cs="Arial"/>
          <w:spacing w:val="13"/>
          <w:sz w:val="19"/>
          <w:szCs w:val="19"/>
        </w:rPr>
        <w:t xml:space="preserve"> </w:t>
      </w:r>
      <w:r>
        <w:rPr>
          <w:rFonts w:ascii="Arial" w:hAnsi="Arial" w:eastAsia="Arial" w:cs="Arial"/>
          <w:spacing w:val="-6"/>
          <w:sz w:val="19"/>
          <w:szCs w:val="19"/>
        </w:rPr>
        <w:t>the</w:t>
      </w:r>
      <w:r>
        <w:rPr>
          <w:rFonts w:ascii="Arial" w:hAnsi="Arial" w:eastAsia="Arial" w:cs="Arial"/>
          <w:spacing w:val="12"/>
          <w:sz w:val="19"/>
          <w:szCs w:val="19"/>
        </w:rPr>
        <w:t xml:space="preserve"> </w:t>
      </w:r>
      <w:r>
        <w:rPr>
          <w:rFonts w:ascii="Arial" w:hAnsi="Arial" w:eastAsia="Arial" w:cs="Arial"/>
          <w:spacing w:val="-6"/>
          <w:sz w:val="19"/>
          <w:szCs w:val="19"/>
        </w:rPr>
        <w:t>faculty</w:t>
      </w:r>
      <w:r>
        <w:rPr>
          <w:rFonts w:ascii="Arial" w:hAnsi="Arial" w:eastAsia="Arial" w:cs="Arial"/>
          <w:spacing w:val="17"/>
          <w:w w:val="101"/>
          <w:sz w:val="19"/>
          <w:szCs w:val="19"/>
        </w:rPr>
        <w:t xml:space="preserve"> </w:t>
      </w:r>
      <w:r>
        <w:rPr>
          <w:rFonts w:ascii="Arial" w:hAnsi="Arial" w:eastAsia="Arial" w:cs="Arial"/>
          <w:spacing w:val="-6"/>
          <w:sz w:val="19"/>
          <w:szCs w:val="19"/>
        </w:rPr>
        <w:t>or</w:t>
      </w:r>
      <w:r>
        <w:rPr>
          <w:rFonts w:ascii="Arial" w:hAnsi="Arial" w:eastAsia="Arial" w:cs="Arial"/>
          <w:spacing w:val="17"/>
          <w:w w:val="101"/>
          <w:sz w:val="19"/>
          <w:szCs w:val="19"/>
        </w:rPr>
        <w:t xml:space="preserve"> </w:t>
      </w:r>
      <w:r>
        <w:rPr>
          <w:rFonts w:ascii="Arial" w:hAnsi="Arial" w:eastAsia="Arial" w:cs="Arial"/>
          <w:spacing w:val="-6"/>
          <w:sz w:val="19"/>
          <w:szCs w:val="19"/>
        </w:rPr>
        <w:t>status</w:t>
      </w:r>
      <w:r>
        <w:rPr>
          <w:rFonts w:ascii="Arial" w:hAnsi="Arial" w:eastAsia="Arial" w:cs="Arial"/>
          <w:sz w:val="19"/>
          <w:szCs w:val="19"/>
        </w:rPr>
        <w:t xml:space="preserve"> </w:t>
      </w:r>
      <w:r>
        <w:rPr>
          <w:rFonts w:ascii="Arial" w:hAnsi="Arial" w:eastAsia="Arial" w:cs="Arial"/>
          <w:spacing w:val="-5"/>
          <w:sz w:val="19"/>
          <w:szCs w:val="19"/>
        </w:rPr>
        <w:t>group  lev</w:t>
      </w:r>
      <w:r>
        <w:rPr>
          <w:rFonts w:ascii="Arial" w:hAnsi="Arial" w:eastAsia="Arial" w:cs="Arial"/>
          <w:spacing w:val="-4"/>
          <w:sz w:val="19"/>
          <w:szCs w:val="19"/>
        </w:rPr>
        <w:t xml:space="preserve">el).  Future  studies  are </w:t>
      </w:r>
      <w:r>
        <w:rPr>
          <w:rFonts w:ascii="Arial" w:hAnsi="Arial" w:eastAsia="Arial" w:cs="Arial"/>
          <w:spacing w:val="-5"/>
          <w:sz w:val="19"/>
          <w:szCs w:val="19"/>
        </w:rPr>
        <w:t xml:space="preserve"> also</w:t>
      </w:r>
      <w:r>
        <w:rPr>
          <w:rFonts w:ascii="Arial" w:hAnsi="Arial" w:eastAsia="Arial" w:cs="Arial"/>
          <w:spacing w:val="2"/>
          <w:sz w:val="19"/>
          <w:szCs w:val="19"/>
        </w:rPr>
        <w:t xml:space="preserve">  </w:t>
      </w:r>
      <w:r>
        <w:rPr>
          <w:rFonts w:ascii="Arial" w:hAnsi="Arial" w:eastAsia="Arial" w:cs="Arial"/>
          <w:spacing w:val="-5"/>
          <w:sz w:val="19"/>
          <w:szCs w:val="19"/>
        </w:rPr>
        <w:t>needed  to</w:t>
      </w:r>
      <w:r>
        <w:rPr>
          <w:rFonts w:ascii="Arial" w:hAnsi="Arial" w:eastAsia="Arial" w:cs="Arial"/>
          <w:spacing w:val="54"/>
          <w:sz w:val="19"/>
          <w:szCs w:val="19"/>
        </w:rPr>
        <w:t xml:space="preserve"> </w:t>
      </w:r>
      <w:r>
        <w:rPr>
          <w:rFonts w:ascii="Arial" w:hAnsi="Arial" w:eastAsia="Arial" w:cs="Arial"/>
          <w:spacing w:val="-5"/>
          <w:sz w:val="19"/>
          <w:szCs w:val="19"/>
        </w:rPr>
        <w:t>explore</w:t>
      </w:r>
      <w:r>
        <w:rPr>
          <w:rFonts w:ascii="Arial" w:hAnsi="Arial" w:eastAsia="Arial" w:cs="Arial"/>
          <w:spacing w:val="50"/>
          <w:sz w:val="19"/>
          <w:szCs w:val="19"/>
        </w:rPr>
        <w:t xml:space="preserve"> </w:t>
      </w:r>
      <w:r>
        <w:rPr>
          <w:rFonts w:ascii="Arial" w:hAnsi="Arial" w:eastAsia="Arial" w:cs="Arial"/>
          <w:spacing w:val="-5"/>
          <w:sz w:val="19"/>
          <w:szCs w:val="19"/>
        </w:rPr>
        <w:t>the</w:t>
      </w:r>
      <w:r>
        <w:rPr>
          <w:rFonts w:ascii="Arial" w:hAnsi="Arial" w:eastAsia="Arial" w:cs="Arial"/>
          <w:spacing w:val="3"/>
          <w:sz w:val="19"/>
          <w:szCs w:val="19"/>
        </w:rPr>
        <w:t xml:space="preserve">  </w:t>
      </w:r>
      <w:r>
        <w:rPr>
          <w:rFonts w:ascii="Arial" w:hAnsi="Arial" w:eastAsia="Arial" w:cs="Arial"/>
          <w:spacing w:val="-5"/>
          <w:sz w:val="19"/>
          <w:szCs w:val="19"/>
        </w:rPr>
        <w:t>proposed</w:t>
      </w:r>
      <w:r>
        <w:rPr>
          <w:rFonts w:ascii="Arial" w:hAnsi="Arial" w:eastAsia="Arial" w:cs="Arial"/>
          <w:sz w:val="19"/>
          <w:szCs w:val="19"/>
        </w:rPr>
        <w:t xml:space="preserve">  </w:t>
      </w:r>
      <w:r>
        <w:rPr>
          <w:rFonts w:ascii="Arial" w:hAnsi="Arial" w:eastAsia="Arial" w:cs="Arial"/>
          <w:spacing w:val="-5"/>
          <w:sz w:val="19"/>
          <w:szCs w:val="19"/>
        </w:rPr>
        <w:t>connecting</w:t>
      </w:r>
      <w:r>
        <w:rPr>
          <w:rFonts w:ascii="Arial" w:hAnsi="Arial" w:eastAsia="Arial" w:cs="Arial"/>
          <w:spacing w:val="49"/>
          <w:sz w:val="19"/>
          <w:szCs w:val="19"/>
        </w:rPr>
        <w:t xml:space="preserve"> </w:t>
      </w:r>
      <w:r>
        <w:rPr>
          <w:rFonts w:ascii="Arial" w:hAnsi="Arial" w:eastAsia="Arial" w:cs="Arial"/>
          <w:spacing w:val="-5"/>
          <w:sz w:val="19"/>
          <w:szCs w:val="19"/>
        </w:rPr>
        <w:t>function</w:t>
      </w:r>
      <w:r>
        <w:rPr>
          <w:rFonts w:ascii="Arial" w:hAnsi="Arial" w:eastAsia="Arial" w:cs="Arial"/>
          <w:sz w:val="19"/>
          <w:szCs w:val="19"/>
        </w:rPr>
        <w:t xml:space="preserve">  </w:t>
      </w:r>
      <w:r>
        <w:rPr>
          <w:rFonts w:ascii="Arial" w:hAnsi="Arial" w:eastAsia="Arial" w:cs="Arial"/>
          <w:spacing w:val="-5"/>
          <w:sz w:val="19"/>
          <w:szCs w:val="19"/>
        </w:rPr>
        <w:t>o</w:t>
      </w:r>
      <w:r>
        <w:rPr>
          <w:rFonts w:ascii="Arial" w:hAnsi="Arial" w:eastAsia="Arial" w:cs="Arial"/>
          <w:spacing w:val="5"/>
          <w:sz w:val="19"/>
          <w:szCs w:val="19"/>
        </w:rPr>
        <w:t>f</w:t>
      </w:r>
      <w:r>
        <w:rPr>
          <w:rFonts w:ascii="Arial" w:hAnsi="Arial" w:eastAsia="Arial" w:cs="Arial"/>
          <w:spacing w:val="1"/>
          <w:sz w:val="19"/>
          <w:szCs w:val="19"/>
        </w:rPr>
        <w:t xml:space="preserve"> </w:t>
      </w:r>
      <w:r>
        <w:rPr>
          <w:rFonts w:ascii="Arial" w:hAnsi="Arial" w:eastAsia="Arial" w:cs="Arial"/>
          <w:spacing w:val="-4"/>
          <w:sz w:val="19"/>
          <w:szCs w:val="19"/>
        </w:rPr>
        <w:t>quality-oriented</w:t>
      </w:r>
      <w:r>
        <w:rPr>
          <w:rFonts w:ascii="Arial" w:hAnsi="Arial" w:eastAsia="Arial" w:cs="Arial"/>
          <w:spacing w:val="56"/>
          <w:sz w:val="19"/>
          <w:szCs w:val="19"/>
        </w:rPr>
        <w:t xml:space="preserve"> </w:t>
      </w:r>
      <w:r>
        <w:rPr>
          <w:rFonts w:ascii="Arial" w:hAnsi="Arial" w:eastAsia="Arial" w:cs="Arial"/>
          <w:spacing w:val="-4"/>
          <w:sz w:val="19"/>
          <w:szCs w:val="19"/>
        </w:rPr>
        <w:t>leadership,</w:t>
      </w:r>
      <w:r>
        <w:rPr>
          <w:rFonts w:ascii="Arial" w:hAnsi="Arial" w:eastAsia="Arial" w:cs="Arial"/>
          <w:spacing w:val="34"/>
          <w:w w:val="101"/>
          <w:sz w:val="19"/>
          <w:szCs w:val="19"/>
        </w:rPr>
        <w:t xml:space="preserve"> </w:t>
      </w:r>
      <w:r>
        <w:rPr>
          <w:rFonts w:ascii="Arial" w:hAnsi="Arial" w:eastAsia="Arial" w:cs="Arial"/>
          <w:spacing w:val="-4"/>
          <w:sz w:val="19"/>
          <w:szCs w:val="19"/>
        </w:rPr>
        <w:t>communication,</w:t>
      </w:r>
      <w:r>
        <w:rPr>
          <w:rFonts w:ascii="Arial" w:hAnsi="Arial" w:eastAsia="Arial" w:cs="Arial"/>
          <w:spacing w:val="33"/>
          <w:w w:val="101"/>
          <w:sz w:val="19"/>
          <w:szCs w:val="19"/>
        </w:rPr>
        <w:t xml:space="preserve"> </w:t>
      </w:r>
      <w:r>
        <w:rPr>
          <w:rFonts w:ascii="Arial" w:hAnsi="Arial" w:eastAsia="Arial" w:cs="Arial"/>
          <w:spacing w:val="-4"/>
          <w:sz w:val="19"/>
          <w:szCs w:val="19"/>
        </w:rPr>
        <w:t>and</w:t>
      </w:r>
      <w:r>
        <w:rPr>
          <w:rFonts w:ascii="Arial" w:hAnsi="Arial" w:eastAsia="Arial" w:cs="Arial"/>
          <w:spacing w:val="38"/>
          <w:w w:val="101"/>
          <w:sz w:val="19"/>
          <w:szCs w:val="19"/>
        </w:rPr>
        <w:t xml:space="preserve"> </w:t>
      </w:r>
      <w:r>
        <w:rPr>
          <w:rFonts w:ascii="Arial" w:hAnsi="Arial" w:eastAsia="Arial" w:cs="Arial"/>
          <w:spacing w:val="-4"/>
          <w:sz w:val="19"/>
          <w:szCs w:val="19"/>
        </w:rPr>
        <w:t>participation</w:t>
      </w:r>
      <w:r>
        <w:rPr>
          <w:rFonts w:ascii="Arial" w:hAnsi="Arial" w:eastAsia="Arial" w:cs="Arial"/>
          <w:spacing w:val="30"/>
          <w:w w:val="101"/>
          <w:sz w:val="19"/>
          <w:szCs w:val="19"/>
        </w:rPr>
        <w:t xml:space="preserve"> </w:t>
      </w:r>
      <w:r>
        <w:rPr>
          <w:rFonts w:ascii="Arial" w:hAnsi="Arial" w:eastAsia="Arial" w:cs="Arial"/>
          <w:spacing w:val="-4"/>
          <w:sz w:val="19"/>
          <w:szCs w:val="19"/>
        </w:rPr>
        <w:t>with</w:t>
      </w:r>
      <w:r>
        <w:rPr>
          <w:rFonts w:ascii="Arial" w:hAnsi="Arial" w:eastAsia="Arial" w:cs="Arial"/>
          <w:spacing w:val="38"/>
          <w:w w:val="101"/>
          <w:sz w:val="19"/>
          <w:szCs w:val="19"/>
        </w:rPr>
        <w:t xml:space="preserve"> </w:t>
      </w:r>
      <w:r>
        <w:rPr>
          <w:rFonts w:ascii="Arial" w:hAnsi="Arial" w:eastAsia="Arial" w:cs="Arial"/>
          <w:spacing w:val="-4"/>
          <w:sz w:val="19"/>
          <w:szCs w:val="19"/>
        </w:rPr>
        <w:t>respect</w:t>
      </w:r>
      <w:r>
        <w:rPr>
          <w:rFonts w:ascii="Arial" w:hAnsi="Arial" w:eastAsia="Arial" w:cs="Arial"/>
          <w:spacing w:val="30"/>
          <w:sz w:val="19"/>
          <w:szCs w:val="19"/>
        </w:rPr>
        <w:t xml:space="preserve"> </w:t>
      </w:r>
      <w:r>
        <w:rPr>
          <w:rFonts w:ascii="Arial" w:hAnsi="Arial" w:eastAsia="Arial" w:cs="Arial"/>
          <w:spacing w:val="-4"/>
          <w:sz w:val="19"/>
          <w:szCs w:val="19"/>
        </w:rPr>
        <w:t>to</w:t>
      </w:r>
      <w:r>
        <w:rPr>
          <w:rFonts w:ascii="Arial" w:hAnsi="Arial" w:eastAsia="Arial" w:cs="Arial"/>
          <w:spacing w:val="29"/>
          <w:w w:val="101"/>
          <w:sz w:val="19"/>
          <w:szCs w:val="19"/>
        </w:rPr>
        <w:t xml:space="preserve"> </w:t>
      </w:r>
      <w:r>
        <w:rPr>
          <w:rFonts w:ascii="Arial" w:hAnsi="Arial" w:eastAsia="Arial" w:cs="Arial"/>
          <w:spacing w:val="-4"/>
          <w:sz w:val="19"/>
          <w:szCs w:val="19"/>
        </w:rPr>
        <w:t>the</w:t>
      </w:r>
      <w:r>
        <w:rPr>
          <w:rFonts w:ascii="Arial" w:hAnsi="Arial" w:eastAsia="Arial" w:cs="Arial"/>
          <w:spacing w:val="38"/>
          <w:sz w:val="19"/>
          <w:szCs w:val="19"/>
        </w:rPr>
        <w:t xml:space="preserve"> </w:t>
      </w:r>
      <w:r>
        <w:rPr>
          <w:rFonts w:ascii="Arial" w:hAnsi="Arial" w:eastAsia="Arial" w:cs="Arial"/>
          <w:spacing w:val="-4"/>
          <w:sz w:val="19"/>
          <w:szCs w:val="19"/>
        </w:rPr>
        <w:t>individual</w:t>
      </w:r>
      <w:r>
        <w:rPr>
          <w:rFonts w:ascii="Arial" w:hAnsi="Arial" w:eastAsia="Arial" w:cs="Arial"/>
          <w:spacing w:val="34"/>
          <w:sz w:val="19"/>
          <w:szCs w:val="19"/>
        </w:rPr>
        <w:t xml:space="preserve"> </w:t>
      </w:r>
      <w:r>
        <w:rPr>
          <w:rFonts w:ascii="Arial" w:hAnsi="Arial" w:eastAsia="Arial" w:cs="Arial"/>
          <w:spacing w:val="-4"/>
          <w:sz w:val="19"/>
          <w:szCs w:val="19"/>
        </w:rPr>
        <w:t>and</w:t>
      </w:r>
      <w:r>
        <w:rPr>
          <w:rFonts w:ascii="Arial" w:hAnsi="Arial" w:eastAsia="Arial" w:cs="Arial"/>
          <w:sz w:val="19"/>
          <w:szCs w:val="19"/>
        </w:rPr>
        <w:t xml:space="preserve"> </w:t>
      </w:r>
      <w:r>
        <w:rPr>
          <w:rFonts w:ascii="Arial" w:hAnsi="Arial" w:eastAsia="Arial" w:cs="Arial"/>
          <w:spacing w:val="-4"/>
          <w:sz w:val="19"/>
          <w:szCs w:val="19"/>
        </w:rPr>
        <w:t>structural-formal  level  in  more  deta</w:t>
      </w:r>
      <w:r>
        <w:rPr>
          <w:rFonts w:ascii="Arial" w:hAnsi="Arial" w:eastAsia="Arial" w:cs="Arial"/>
          <w:spacing w:val="-5"/>
          <w:sz w:val="19"/>
          <w:szCs w:val="19"/>
        </w:rPr>
        <w:t>il.  Longitudinal  studies  are  desirable  in  order  to  investigate</w:t>
      </w:r>
      <w:r>
        <w:rPr>
          <w:rFonts w:ascii="Arial" w:hAnsi="Arial" w:eastAsia="Arial" w:cs="Arial"/>
          <w:sz w:val="19"/>
          <w:szCs w:val="19"/>
        </w:rPr>
        <w:t xml:space="preserve"> </w:t>
      </w:r>
      <w:r>
        <w:rPr>
          <w:rFonts w:ascii="Arial" w:hAnsi="Arial" w:eastAsia="Arial" w:cs="Arial"/>
          <w:spacing w:val="-7"/>
          <w:sz w:val="19"/>
          <w:szCs w:val="19"/>
        </w:rPr>
        <w:t>causal</w:t>
      </w:r>
      <w:r>
        <w:rPr>
          <w:rFonts w:ascii="Arial" w:hAnsi="Arial" w:eastAsia="Arial" w:cs="Arial"/>
          <w:spacing w:val="29"/>
          <w:sz w:val="19"/>
          <w:szCs w:val="19"/>
        </w:rPr>
        <w:t xml:space="preserve"> </w:t>
      </w:r>
      <w:r>
        <w:rPr>
          <w:rFonts w:ascii="Arial" w:hAnsi="Arial" w:eastAsia="Arial" w:cs="Arial"/>
          <w:spacing w:val="-7"/>
          <w:sz w:val="19"/>
          <w:szCs w:val="19"/>
        </w:rPr>
        <w:t>relati</w:t>
      </w:r>
      <w:r>
        <w:rPr>
          <w:rFonts w:ascii="Arial" w:hAnsi="Arial" w:eastAsia="Arial" w:cs="Arial"/>
          <w:spacing w:val="-6"/>
          <w:sz w:val="19"/>
          <w:szCs w:val="19"/>
        </w:rPr>
        <w:t>onships</w:t>
      </w:r>
      <w:r>
        <w:rPr>
          <w:rFonts w:ascii="Arial" w:hAnsi="Arial" w:eastAsia="Arial" w:cs="Arial"/>
          <w:spacing w:val="28"/>
          <w:sz w:val="19"/>
          <w:szCs w:val="19"/>
        </w:rPr>
        <w:t xml:space="preserve"> </w:t>
      </w:r>
      <w:r>
        <w:rPr>
          <w:rFonts w:ascii="Arial" w:hAnsi="Arial" w:eastAsia="Arial" w:cs="Arial"/>
          <w:spacing w:val="-6"/>
          <w:sz w:val="19"/>
          <w:szCs w:val="19"/>
        </w:rPr>
        <w:t>between</w:t>
      </w:r>
      <w:r>
        <w:rPr>
          <w:rFonts w:ascii="Arial" w:hAnsi="Arial" w:eastAsia="Arial" w:cs="Arial"/>
          <w:spacing w:val="18"/>
          <w:w w:val="101"/>
          <w:sz w:val="19"/>
          <w:szCs w:val="19"/>
        </w:rPr>
        <w:t xml:space="preserve"> </w:t>
      </w:r>
      <w:r>
        <w:rPr>
          <w:rFonts w:ascii="Arial" w:hAnsi="Arial" w:eastAsia="Arial" w:cs="Arial"/>
          <w:spacing w:val="-6"/>
          <w:sz w:val="19"/>
          <w:szCs w:val="19"/>
        </w:rPr>
        <w:t>the</w:t>
      </w:r>
      <w:r>
        <w:rPr>
          <w:rFonts w:ascii="Arial" w:hAnsi="Arial" w:eastAsia="Arial" w:cs="Arial"/>
          <w:spacing w:val="22"/>
          <w:w w:val="101"/>
          <w:sz w:val="19"/>
          <w:szCs w:val="19"/>
        </w:rPr>
        <w:t xml:space="preserve"> </w:t>
      </w:r>
      <w:r>
        <w:rPr>
          <w:rFonts w:ascii="Arial" w:hAnsi="Arial" w:eastAsia="Arial" w:cs="Arial"/>
          <w:spacing w:val="-6"/>
          <w:sz w:val="19"/>
          <w:szCs w:val="19"/>
        </w:rPr>
        <w:t>study</w:t>
      </w:r>
      <w:r>
        <w:rPr>
          <w:rFonts w:ascii="Arial" w:hAnsi="Arial" w:eastAsia="Arial" w:cs="Arial"/>
          <w:spacing w:val="18"/>
          <w:w w:val="101"/>
          <w:sz w:val="19"/>
          <w:szCs w:val="19"/>
        </w:rPr>
        <w:t xml:space="preserve"> </w:t>
      </w:r>
      <w:r>
        <w:rPr>
          <w:rFonts w:ascii="Arial" w:hAnsi="Arial" w:eastAsia="Arial" w:cs="Arial"/>
          <w:spacing w:val="-6"/>
          <w:sz w:val="19"/>
          <w:szCs w:val="19"/>
        </w:rPr>
        <w:t>variab</w:t>
      </w:r>
      <w:r>
        <w:rPr>
          <w:rFonts w:ascii="Arial" w:hAnsi="Arial" w:eastAsia="Arial" w:cs="Arial"/>
          <w:spacing w:val="-7"/>
          <w:sz w:val="19"/>
          <w:szCs w:val="19"/>
        </w:rPr>
        <w:t>les.</w:t>
      </w:r>
      <w:r>
        <w:rPr>
          <w:rFonts w:ascii="Arial" w:hAnsi="Arial" w:eastAsia="Arial" w:cs="Arial"/>
          <w:spacing w:val="29"/>
          <w:sz w:val="19"/>
          <w:szCs w:val="19"/>
        </w:rPr>
        <w:t xml:space="preserve"> </w:t>
      </w:r>
      <w:r>
        <w:rPr>
          <w:rFonts w:ascii="Arial" w:hAnsi="Arial" w:eastAsia="Arial" w:cs="Arial"/>
          <w:spacing w:val="-7"/>
          <w:sz w:val="19"/>
          <w:szCs w:val="19"/>
        </w:rPr>
        <w:t>Finally,</w:t>
      </w:r>
      <w:r>
        <w:rPr>
          <w:rFonts w:ascii="Arial" w:hAnsi="Arial" w:eastAsia="Arial" w:cs="Arial"/>
          <w:spacing w:val="19"/>
          <w:w w:val="101"/>
          <w:sz w:val="19"/>
          <w:szCs w:val="19"/>
        </w:rPr>
        <w:t xml:space="preserve"> </w:t>
      </w:r>
      <w:r>
        <w:rPr>
          <w:rFonts w:ascii="Arial" w:hAnsi="Arial" w:eastAsia="Arial" w:cs="Arial"/>
          <w:spacing w:val="-7"/>
          <w:sz w:val="19"/>
          <w:szCs w:val="19"/>
        </w:rPr>
        <w:t>the</w:t>
      </w:r>
      <w:r>
        <w:rPr>
          <w:rFonts w:ascii="Arial" w:hAnsi="Arial" w:eastAsia="Arial" w:cs="Arial"/>
          <w:spacing w:val="28"/>
          <w:sz w:val="19"/>
          <w:szCs w:val="19"/>
        </w:rPr>
        <w:t xml:space="preserve"> </w:t>
      </w:r>
      <w:r>
        <w:rPr>
          <w:rFonts w:ascii="Arial" w:hAnsi="Arial" w:eastAsia="Arial" w:cs="Arial"/>
          <w:spacing w:val="-7"/>
          <w:sz w:val="19"/>
          <w:szCs w:val="19"/>
        </w:rPr>
        <w:t>planned</w:t>
      </w:r>
      <w:r>
        <w:rPr>
          <w:rFonts w:ascii="Arial" w:hAnsi="Arial" w:eastAsia="Arial" w:cs="Arial"/>
          <w:spacing w:val="30"/>
          <w:sz w:val="19"/>
          <w:szCs w:val="19"/>
        </w:rPr>
        <w:t xml:space="preserve"> </w:t>
      </w:r>
      <w:r>
        <w:rPr>
          <w:rFonts w:ascii="Arial" w:hAnsi="Arial" w:eastAsia="Arial" w:cs="Arial"/>
          <w:spacing w:val="-7"/>
          <w:sz w:val="19"/>
          <w:szCs w:val="19"/>
        </w:rPr>
        <w:t>English</w:t>
      </w:r>
      <w:r>
        <w:rPr>
          <w:rFonts w:ascii="Arial" w:hAnsi="Arial" w:eastAsia="Arial" w:cs="Arial"/>
          <w:spacing w:val="30"/>
          <w:sz w:val="19"/>
          <w:szCs w:val="19"/>
        </w:rPr>
        <w:t xml:space="preserve"> </w:t>
      </w:r>
      <w:r>
        <w:rPr>
          <w:rFonts w:ascii="Arial" w:hAnsi="Arial" w:eastAsia="Arial" w:cs="Arial"/>
          <w:spacing w:val="-7"/>
          <w:sz w:val="19"/>
          <w:szCs w:val="19"/>
        </w:rPr>
        <w:t>language</w:t>
      </w:r>
      <w:r>
        <w:rPr>
          <w:rFonts w:ascii="Arial" w:hAnsi="Arial" w:eastAsia="Arial" w:cs="Arial"/>
          <w:spacing w:val="17"/>
          <w:w w:val="101"/>
          <w:sz w:val="19"/>
          <w:szCs w:val="19"/>
        </w:rPr>
        <w:t xml:space="preserve"> </w:t>
      </w:r>
      <w:r>
        <w:rPr>
          <w:rFonts w:ascii="Arial" w:hAnsi="Arial" w:eastAsia="Arial" w:cs="Arial"/>
          <w:spacing w:val="-7"/>
          <w:sz w:val="19"/>
          <w:szCs w:val="19"/>
        </w:rPr>
        <w:t>version</w:t>
      </w:r>
      <w:r>
        <w:rPr>
          <w:rFonts w:ascii="Arial" w:hAnsi="Arial" w:eastAsia="Arial" w:cs="Arial"/>
          <w:spacing w:val="21"/>
          <w:w w:val="101"/>
          <w:sz w:val="19"/>
          <w:szCs w:val="19"/>
        </w:rPr>
        <w:t xml:space="preserve"> </w:t>
      </w:r>
      <w:r>
        <w:rPr>
          <w:rFonts w:ascii="Arial" w:hAnsi="Arial" w:eastAsia="Arial" w:cs="Arial"/>
          <w:spacing w:val="-7"/>
          <w:sz w:val="19"/>
          <w:szCs w:val="19"/>
        </w:rPr>
        <w:t>o</w:t>
      </w:r>
      <w:r>
        <w:rPr>
          <w:rFonts w:ascii="Arial" w:hAnsi="Arial" w:eastAsia="Arial" w:cs="Arial"/>
          <w:spacing w:val="5"/>
          <w:sz w:val="19"/>
          <w:szCs w:val="19"/>
        </w:rPr>
        <w:t>f</w:t>
      </w:r>
      <w:r>
        <w:rPr>
          <w:rFonts w:ascii="Arial" w:hAnsi="Arial" w:eastAsia="Arial" w:cs="Arial"/>
          <w:sz w:val="19"/>
          <w:szCs w:val="19"/>
        </w:rPr>
        <w:t xml:space="preserve"> </w:t>
      </w:r>
      <w:r>
        <w:rPr>
          <w:rFonts w:ascii="Arial" w:hAnsi="Arial" w:eastAsia="Arial" w:cs="Arial"/>
          <w:spacing w:val="-4"/>
          <w:sz w:val="19"/>
          <w:szCs w:val="19"/>
        </w:rPr>
        <w:t>the</w:t>
      </w:r>
      <w:r>
        <w:rPr>
          <w:rFonts w:ascii="Arial" w:hAnsi="Arial" w:eastAsia="Arial" w:cs="Arial"/>
          <w:spacing w:val="13"/>
          <w:w w:val="101"/>
          <w:sz w:val="19"/>
          <w:szCs w:val="19"/>
        </w:rPr>
        <w:t xml:space="preserve"> </w:t>
      </w:r>
      <w:r>
        <w:rPr>
          <w:rFonts w:ascii="Arial" w:hAnsi="Arial" w:eastAsia="Arial" w:cs="Arial"/>
          <w:spacing w:val="-4"/>
          <w:sz w:val="19"/>
          <w:szCs w:val="19"/>
        </w:rPr>
        <w:t>QCI will</w:t>
      </w:r>
      <w:r>
        <w:rPr>
          <w:rFonts w:ascii="Arial" w:hAnsi="Arial" w:eastAsia="Arial" w:cs="Arial"/>
          <w:spacing w:val="11"/>
          <w:sz w:val="19"/>
          <w:szCs w:val="19"/>
        </w:rPr>
        <w:t xml:space="preserve"> </w:t>
      </w:r>
      <w:r>
        <w:rPr>
          <w:rFonts w:ascii="Arial" w:hAnsi="Arial" w:eastAsia="Arial" w:cs="Arial"/>
          <w:spacing w:val="-4"/>
          <w:sz w:val="19"/>
          <w:szCs w:val="19"/>
        </w:rPr>
        <w:t>allow further</w:t>
      </w:r>
      <w:r>
        <w:rPr>
          <w:rFonts w:ascii="Arial" w:hAnsi="Arial" w:eastAsia="Arial" w:cs="Arial"/>
          <w:spacing w:val="13"/>
          <w:sz w:val="19"/>
          <w:szCs w:val="19"/>
        </w:rPr>
        <w:t xml:space="preserve"> </w:t>
      </w:r>
      <w:r>
        <w:rPr>
          <w:rFonts w:ascii="Arial" w:hAnsi="Arial" w:eastAsia="Arial" w:cs="Arial"/>
          <w:spacing w:val="-4"/>
          <w:sz w:val="19"/>
          <w:szCs w:val="19"/>
        </w:rPr>
        <w:t>studies</w:t>
      </w:r>
      <w:r>
        <w:rPr>
          <w:rFonts w:ascii="Arial" w:hAnsi="Arial" w:eastAsia="Arial" w:cs="Arial"/>
          <w:spacing w:val="16"/>
          <w:sz w:val="19"/>
          <w:szCs w:val="19"/>
        </w:rPr>
        <w:t xml:space="preserve"> </w:t>
      </w:r>
      <w:r>
        <w:rPr>
          <w:rFonts w:ascii="Arial" w:hAnsi="Arial" w:eastAsia="Arial" w:cs="Arial"/>
          <w:spacing w:val="-4"/>
          <w:sz w:val="19"/>
          <w:szCs w:val="19"/>
        </w:rPr>
        <w:t>in</w:t>
      </w:r>
      <w:r>
        <w:rPr>
          <w:rFonts w:ascii="Arial" w:hAnsi="Arial" w:eastAsia="Arial" w:cs="Arial"/>
          <w:spacing w:val="11"/>
          <w:sz w:val="19"/>
          <w:szCs w:val="19"/>
        </w:rPr>
        <w:t xml:space="preserve"> </w:t>
      </w:r>
      <w:r>
        <w:rPr>
          <w:rFonts w:ascii="Arial" w:hAnsi="Arial" w:eastAsia="Arial" w:cs="Arial"/>
          <w:spacing w:val="-4"/>
          <w:sz w:val="19"/>
          <w:szCs w:val="19"/>
        </w:rPr>
        <w:t>an</w:t>
      </w:r>
      <w:r>
        <w:rPr>
          <w:rFonts w:ascii="Arial" w:hAnsi="Arial" w:eastAsia="Arial" w:cs="Arial"/>
          <w:spacing w:val="16"/>
          <w:w w:val="101"/>
          <w:sz w:val="19"/>
          <w:szCs w:val="19"/>
        </w:rPr>
        <w:t xml:space="preserve"> </w:t>
      </w:r>
      <w:r>
        <w:rPr>
          <w:rFonts w:ascii="Arial" w:hAnsi="Arial" w:eastAsia="Arial" w:cs="Arial"/>
          <w:spacing w:val="-4"/>
          <w:sz w:val="19"/>
          <w:szCs w:val="19"/>
        </w:rPr>
        <w:t>international</w:t>
      </w:r>
      <w:r>
        <w:rPr>
          <w:rFonts w:ascii="Arial" w:hAnsi="Arial" w:eastAsia="Arial" w:cs="Arial"/>
          <w:spacing w:val="12"/>
          <w:sz w:val="19"/>
          <w:szCs w:val="19"/>
        </w:rPr>
        <w:t xml:space="preserve"> </w:t>
      </w:r>
      <w:r>
        <w:rPr>
          <w:rFonts w:ascii="Arial" w:hAnsi="Arial" w:eastAsia="Arial" w:cs="Arial"/>
          <w:spacing w:val="-4"/>
          <w:sz w:val="19"/>
          <w:szCs w:val="19"/>
        </w:rPr>
        <w:t>context.</w:t>
      </w:r>
    </w:p>
    <w:p>
      <w:pPr>
        <w:spacing w:before="27" w:line="260" w:lineRule="auto"/>
        <w:ind w:left="2" w:right="8" w:firstLine="250"/>
        <w:jc w:val="both"/>
        <w:rPr>
          <w:rFonts w:ascii="Arial" w:hAnsi="Arial" w:eastAsia="Arial" w:cs="Arial"/>
          <w:sz w:val="19"/>
          <w:szCs w:val="19"/>
        </w:rPr>
      </w:pPr>
      <w:r>
        <w:rPr>
          <w:rFonts w:ascii="Arial" w:hAnsi="Arial" w:eastAsia="Arial" w:cs="Arial"/>
          <w:spacing w:val="-5"/>
          <w:sz w:val="19"/>
          <w:szCs w:val="19"/>
        </w:rPr>
        <w:t>In summary, our research results empirically support the indings of previous – mainly qu</w:t>
      </w:r>
      <w:r>
        <w:rPr>
          <w:rFonts w:ascii="Arial" w:hAnsi="Arial" w:eastAsia="Arial" w:cs="Arial"/>
          <w:spacing w:val="-6"/>
          <w:sz w:val="19"/>
          <w:szCs w:val="19"/>
        </w:rPr>
        <w:t>alitative –</w:t>
      </w:r>
      <w:r>
        <w:rPr>
          <w:rFonts w:ascii="Arial" w:hAnsi="Arial" w:eastAsia="Arial" w:cs="Arial"/>
          <w:sz w:val="19"/>
          <w:szCs w:val="19"/>
        </w:rPr>
        <w:t xml:space="preserve"> </w:t>
      </w:r>
      <w:r>
        <w:rPr>
          <w:rFonts w:ascii="Arial" w:hAnsi="Arial" w:eastAsia="Arial" w:cs="Arial"/>
          <w:spacing w:val="-5"/>
          <w:sz w:val="19"/>
          <w:szCs w:val="19"/>
        </w:rPr>
        <w:t>research</w:t>
      </w:r>
      <w:r>
        <w:rPr>
          <w:rFonts w:ascii="Arial" w:hAnsi="Arial" w:eastAsia="Arial" w:cs="Arial"/>
          <w:spacing w:val="20"/>
          <w:sz w:val="19"/>
          <w:szCs w:val="19"/>
        </w:rPr>
        <w:t xml:space="preserve"> </w:t>
      </w:r>
      <w:r>
        <w:rPr>
          <w:rFonts w:ascii="Arial" w:hAnsi="Arial" w:eastAsia="Arial" w:cs="Arial"/>
          <w:spacing w:val="-5"/>
          <w:sz w:val="19"/>
          <w:szCs w:val="19"/>
        </w:rPr>
        <w:t>on</w:t>
      </w:r>
      <w:r>
        <w:rPr>
          <w:rFonts w:ascii="Arial" w:hAnsi="Arial" w:eastAsia="Arial" w:cs="Arial"/>
          <w:spacing w:val="25"/>
          <w:sz w:val="19"/>
          <w:szCs w:val="19"/>
        </w:rPr>
        <w:t xml:space="preserve"> </w:t>
      </w:r>
      <w:r>
        <w:rPr>
          <w:rFonts w:ascii="Arial" w:hAnsi="Arial" w:eastAsia="Arial" w:cs="Arial"/>
          <w:spacing w:val="-5"/>
          <w:sz w:val="19"/>
          <w:szCs w:val="19"/>
        </w:rPr>
        <w:t>relevant</w:t>
      </w:r>
      <w:r>
        <w:rPr>
          <w:rFonts w:ascii="Arial" w:hAnsi="Arial" w:eastAsia="Arial" w:cs="Arial"/>
          <w:spacing w:val="18"/>
          <w:w w:val="101"/>
          <w:sz w:val="19"/>
          <w:szCs w:val="19"/>
        </w:rPr>
        <w:t xml:space="preserve"> </w:t>
      </w:r>
      <w:r>
        <w:rPr>
          <w:rFonts w:ascii="Arial" w:hAnsi="Arial" w:eastAsia="Arial" w:cs="Arial"/>
          <w:spacing w:val="-5"/>
          <w:sz w:val="19"/>
          <w:szCs w:val="19"/>
        </w:rPr>
        <w:t>quality</w:t>
      </w:r>
      <w:r>
        <w:rPr>
          <w:rFonts w:ascii="Arial" w:hAnsi="Arial" w:eastAsia="Arial" w:cs="Arial"/>
          <w:spacing w:val="20"/>
          <w:sz w:val="19"/>
          <w:szCs w:val="19"/>
        </w:rPr>
        <w:t xml:space="preserve"> </w:t>
      </w:r>
      <w:r>
        <w:rPr>
          <w:rFonts w:ascii="Arial" w:hAnsi="Arial" w:eastAsia="Arial" w:cs="Arial"/>
          <w:spacing w:val="-5"/>
          <w:sz w:val="19"/>
          <w:szCs w:val="19"/>
        </w:rPr>
        <w:t>culture</w:t>
      </w:r>
      <w:r>
        <w:rPr>
          <w:rFonts w:ascii="Arial" w:hAnsi="Arial" w:eastAsia="Arial" w:cs="Arial"/>
          <w:spacing w:val="19"/>
          <w:w w:val="101"/>
          <w:sz w:val="19"/>
          <w:szCs w:val="19"/>
        </w:rPr>
        <w:t xml:space="preserve"> </w:t>
      </w:r>
      <w:r>
        <w:rPr>
          <w:rFonts w:ascii="Arial" w:hAnsi="Arial" w:eastAsia="Arial" w:cs="Arial"/>
          <w:spacing w:val="-5"/>
          <w:sz w:val="19"/>
          <w:szCs w:val="19"/>
        </w:rPr>
        <w:t>dimensions</w:t>
      </w:r>
      <w:r>
        <w:rPr>
          <w:rFonts w:ascii="Arial" w:hAnsi="Arial" w:eastAsia="Arial" w:cs="Arial"/>
          <w:spacing w:val="24"/>
          <w:sz w:val="19"/>
          <w:szCs w:val="19"/>
        </w:rPr>
        <w:t xml:space="preserve"> </w:t>
      </w:r>
      <w:r>
        <w:rPr>
          <w:rFonts w:ascii="Arial" w:hAnsi="Arial" w:eastAsia="Arial" w:cs="Arial"/>
          <w:spacing w:val="-5"/>
          <w:sz w:val="19"/>
          <w:szCs w:val="19"/>
        </w:rPr>
        <w:t>in</w:t>
      </w:r>
      <w:r>
        <w:rPr>
          <w:rFonts w:ascii="Arial" w:hAnsi="Arial" w:eastAsia="Arial" w:cs="Arial"/>
          <w:spacing w:val="15"/>
          <w:w w:val="101"/>
          <w:sz w:val="19"/>
          <w:szCs w:val="19"/>
        </w:rPr>
        <w:t xml:space="preserve"> </w:t>
      </w:r>
      <w:r>
        <w:rPr>
          <w:rFonts w:ascii="Arial" w:hAnsi="Arial" w:eastAsia="Arial" w:cs="Arial"/>
          <w:spacing w:val="-5"/>
          <w:sz w:val="19"/>
          <w:szCs w:val="19"/>
        </w:rPr>
        <w:t>the</w:t>
      </w:r>
      <w:r>
        <w:rPr>
          <w:rFonts w:ascii="Arial" w:hAnsi="Arial" w:eastAsia="Arial" w:cs="Arial"/>
          <w:spacing w:val="18"/>
          <w:w w:val="101"/>
          <w:sz w:val="19"/>
          <w:szCs w:val="19"/>
        </w:rPr>
        <w:t xml:space="preserve"> </w:t>
      </w:r>
      <w:r>
        <w:rPr>
          <w:rFonts w:ascii="Arial" w:hAnsi="Arial" w:eastAsia="Arial" w:cs="Arial"/>
          <w:spacing w:val="-5"/>
          <w:sz w:val="19"/>
          <w:szCs w:val="19"/>
        </w:rPr>
        <w:t>context</w:t>
      </w:r>
      <w:r>
        <w:rPr>
          <w:rFonts w:ascii="Arial" w:hAnsi="Arial" w:eastAsia="Arial" w:cs="Arial"/>
          <w:spacing w:val="21"/>
          <w:sz w:val="19"/>
          <w:szCs w:val="19"/>
        </w:rPr>
        <w:t xml:space="preserve"> </w:t>
      </w:r>
      <w:r>
        <w:rPr>
          <w:rFonts w:ascii="Arial" w:hAnsi="Arial" w:eastAsia="Arial" w:cs="Arial"/>
          <w:spacing w:val="-5"/>
          <w:sz w:val="19"/>
          <w:szCs w:val="19"/>
        </w:rPr>
        <w:t>of</w:t>
      </w:r>
      <w:r>
        <w:rPr>
          <w:rFonts w:ascii="Arial" w:hAnsi="Arial" w:eastAsia="Arial" w:cs="Arial"/>
          <w:spacing w:val="17"/>
          <w:w w:val="101"/>
          <w:sz w:val="19"/>
          <w:szCs w:val="19"/>
        </w:rPr>
        <w:t xml:space="preserve"> </w:t>
      </w:r>
      <w:r>
        <w:rPr>
          <w:rFonts w:ascii="Arial" w:hAnsi="Arial" w:eastAsia="Arial" w:cs="Arial"/>
          <w:spacing w:val="-5"/>
          <w:sz w:val="19"/>
          <w:szCs w:val="19"/>
        </w:rPr>
        <w:t>higher</w:t>
      </w:r>
      <w:r>
        <w:rPr>
          <w:rFonts w:ascii="Arial" w:hAnsi="Arial" w:eastAsia="Arial" w:cs="Arial"/>
          <w:spacing w:val="18"/>
          <w:sz w:val="19"/>
          <w:szCs w:val="19"/>
        </w:rPr>
        <w:t xml:space="preserve"> </w:t>
      </w:r>
      <w:r>
        <w:rPr>
          <w:rFonts w:ascii="Arial" w:hAnsi="Arial" w:eastAsia="Arial" w:cs="Arial"/>
          <w:spacing w:val="-5"/>
          <w:sz w:val="19"/>
          <w:szCs w:val="19"/>
        </w:rPr>
        <w:t>education.</w:t>
      </w:r>
      <w:r>
        <w:rPr>
          <w:rFonts w:ascii="Arial" w:hAnsi="Arial" w:eastAsia="Arial" w:cs="Arial"/>
          <w:spacing w:val="23"/>
          <w:w w:val="101"/>
          <w:sz w:val="19"/>
          <w:szCs w:val="19"/>
        </w:rPr>
        <w:t xml:space="preserve"> </w:t>
      </w:r>
      <w:r>
        <w:rPr>
          <w:rFonts w:ascii="Arial" w:hAnsi="Arial" w:eastAsia="Arial" w:cs="Arial"/>
          <w:spacing w:val="-6"/>
          <w:sz w:val="19"/>
          <w:szCs w:val="19"/>
        </w:rPr>
        <w:t>Moreover,</w:t>
      </w:r>
      <w:r>
        <w:rPr>
          <w:rFonts w:ascii="Arial" w:hAnsi="Arial" w:eastAsia="Arial" w:cs="Arial"/>
          <w:spacing w:val="19"/>
          <w:sz w:val="19"/>
          <w:szCs w:val="19"/>
        </w:rPr>
        <w:t xml:space="preserve"> </w:t>
      </w:r>
      <w:r>
        <w:rPr>
          <w:rFonts w:ascii="Arial" w:hAnsi="Arial" w:eastAsia="Arial" w:cs="Arial"/>
          <w:spacing w:val="-6"/>
          <w:sz w:val="19"/>
          <w:szCs w:val="19"/>
        </w:rPr>
        <w:t>our</w:t>
      </w:r>
      <w:r>
        <w:rPr>
          <w:rFonts w:ascii="Arial" w:hAnsi="Arial" w:eastAsia="Arial" w:cs="Arial"/>
          <w:sz w:val="19"/>
          <w:szCs w:val="19"/>
        </w:rPr>
        <w:t xml:space="preserve"> </w:t>
      </w:r>
      <w:r>
        <w:rPr>
          <w:rFonts w:ascii="Arial" w:hAnsi="Arial" w:eastAsia="Arial" w:cs="Arial"/>
          <w:spacing w:val="-4"/>
          <w:sz w:val="19"/>
          <w:szCs w:val="19"/>
        </w:rPr>
        <w:t>empirical  data  shed  light  on  potential  favorable  outcome</w:t>
      </w:r>
      <w:r>
        <w:rPr>
          <w:rFonts w:ascii="Arial" w:hAnsi="Arial" w:eastAsia="Arial" w:cs="Arial"/>
          <w:spacing w:val="3"/>
          <w:sz w:val="19"/>
          <w:szCs w:val="19"/>
        </w:rPr>
        <w:t xml:space="preserve">  </w:t>
      </w:r>
      <w:r>
        <w:rPr>
          <w:rFonts w:ascii="Arial" w:hAnsi="Arial" w:eastAsia="Arial" w:cs="Arial"/>
          <w:spacing w:val="-4"/>
          <w:sz w:val="19"/>
          <w:szCs w:val="19"/>
        </w:rPr>
        <w:t>mea</w:t>
      </w:r>
      <w:r>
        <w:rPr>
          <w:rFonts w:ascii="Arial" w:hAnsi="Arial" w:eastAsia="Arial" w:cs="Arial"/>
          <w:spacing w:val="-5"/>
          <w:sz w:val="19"/>
          <w:szCs w:val="19"/>
        </w:rPr>
        <w:t>sures,</w:t>
      </w:r>
      <w:r>
        <w:rPr>
          <w:rFonts w:ascii="Arial" w:hAnsi="Arial" w:eastAsia="Arial" w:cs="Arial"/>
          <w:spacing w:val="51"/>
          <w:sz w:val="19"/>
          <w:szCs w:val="19"/>
        </w:rPr>
        <w:t xml:space="preserve"> </w:t>
      </w:r>
      <w:r>
        <w:rPr>
          <w:rFonts w:ascii="Arial" w:hAnsi="Arial" w:eastAsia="Arial" w:cs="Arial"/>
          <w:spacing w:val="-5"/>
          <w:sz w:val="19"/>
          <w:szCs w:val="19"/>
        </w:rPr>
        <w:t>thereby</w:t>
      </w:r>
      <w:r>
        <w:rPr>
          <w:rFonts w:ascii="Arial" w:hAnsi="Arial" w:eastAsia="Arial" w:cs="Arial"/>
          <w:sz w:val="19"/>
          <w:szCs w:val="19"/>
        </w:rPr>
        <w:t xml:space="preserve">  </w:t>
      </w:r>
      <w:r>
        <w:rPr>
          <w:rFonts w:ascii="Arial" w:hAnsi="Arial" w:eastAsia="Arial" w:cs="Arial"/>
          <w:spacing w:val="-5"/>
          <w:sz w:val="19"/>
          <w:szCs w:val="19"/>
        </w:rPr>
        <w:t>emphasizing  the</w:t>
      </w:r>
      <w:r>
        <w:rPr>
          <w:rFonts w:ascii="Arial" w:hAnsi="Arial" w:eastAsia="Arial" w:cs="Arial"/>
          <w:sz w:val="19"/>
          <w:szCs w:val="19"/>
        </w:rPr>
        <w:t xml:space="preserve"> </w:t>
      </w:r>
      <w:r>
        <w:rPr>
          <w:rFonts w:ascii="Arial" w:hAnsi="Arial" w:eastAsia="Arial" w:cs="Arial"/>
          <w:spacing w:val="-4"/>
          <w:sz w:val="19"/>
          <w:szCs w:val="19"/>
        </w:rPr>
        <w:t>beneits</w:t>
      </w:r>
      <w:r>
        <w:rPr>
          <w:rFonts w:ascii="Arial" w:hAnsi="Arial" w:eastAsia="Arial" w:cs="Arial"/>
          <w:spacing w:val="26"/>
          <w:sz w:val="19"/>
          <w:szCs w:val="19"/>
        </w:rPr>
        <w:t xml:space="preserve"> </w:t>
      </w:r>
      <w:r>
        <w:rPr>
          <w:rFonts w:ascii="Arial" w:hAnsi="Arial" w:eastAsia="Arial" w:cs="Arial"/>
          <w:spacing w:val="-4"/>
          <w:sz w:val="19"/>
          <w:szCs w:val="19"/>
        </w:rPr>
        <w:t>of</w:t>
      </w:r>
      <w:r>
        <w:rPr>
          <w:rFonts w:ascii="Arial" w:hAnsi="Arial" w:eastAsia="Arial" w:cs="Arial"/>
          <w:spacing w:val="22"/>
          <w:w w:val="101"/>
          <w:sz w:val="19"/>
          <w:szCs w:val="19"/>
        </w:rPr>
        <w:t xml:space="preserve"> </w:t>
      </w:r>
      <w:r>
        <w:rPr>
          <w:rFonts w:ascii="Arial" w:hAnsi="Arial" w:eastAsia="Arial" w:cs="Arial"/>
          <w:spacing w:val="-4"/>
          <w:sz w:val="19"/>
          <w:szCs w:val="19"/>
        </w:rPr>
        <w:t>nurturing</w:t>
      </w:r>
      <w:r>
        <w:rPr>
          <w:rFonts w:ascii="Arial" w:hAnsi="Arial" w:eastAsia="Arial" w:cs="Arial"/>
          <w:spacing w:val="24"/>
          <w:sz w:val="19"/>
          <w:szCs w:val="19"/>
        </w:rPr>
        <w:t xml:space="preserve"> </w:t>
      </w:r>
      <w:r>
        <w:rPr>
          <w:rFonts w:ascii="Arial" w:hAnsi="Arial" w:eastAsia="Arial" w:cs="Arial"/>
          <w:spacing w:val="-4"/>
          <w:sz w:val="19"/>
          <w:szCs w:val="19"/>
        </w:rPr>
        <w:t>a</w:t>
      </w:r>
      <w:r>
        <w:rPr>
          <w:rFonts w:ascii="Arial" w:hAnsi="Arial" w:eastAsia="Arial" w:cs="Arial"/>
          <w:spacing w:val="24"/>
          <w:w w:val="101"/>
          <w:sz w:val="19"/>
          <w:szCs w:val="19"/>
        </w:rPr>
        <w:t xml:space="preserve"> </w:t>
      </w:r>
      <w:r>
        <w:rPr>
          <w:rFonts w:ascii="Arial" w:hAnsi="Arial" w:eastAsia="Arial" w:cs="Arial"/>
          <w:spacing w:val="-4"/>
          <w:sz w:val="19"/>
          <w:szCs w:val="19"/>
        </w:rPr>
        <w:t>culture</w:t>
      </w:r>
      <w:r>
        <w:rPr>
          <w:rFonts w:ascii="Arial" w:hAnsi="Arial" w:eastAsia="Arial" w:cs="Arial"/>
          <w:spacing w:val="27"/>
          <w:sz w:val="19"/>
          <w:szCs w:val="19"/>
        </w:rPr>
        <w:t xml:space="preserve"> </w:t>
      </w:r>
      <w:r>
        <w:rPr>
          <w:rFonts w:ascii="Arial" w:hAnsi="Arial" w:eastAsia="Arial" w:cs="Arial"/>
          <w:spacing w:val="-4"/>
          <w:sz w:val="19"/>
          <w:szCs w:val="19"/>
        </w:rPr>
        <w:t>of</w:t>
      </w:r>
      <w:r>
        <w:rPr>
          <w:rFonts w:ascii="Arial" w:hAnsi="Arial" w:eastAsia="Arial" w:cs="Arial"/>
          <w:spacing w:val="17"/>
          <w:w w:val="101"/>
          <w:sz w:val="19"/>
          <w:szCs w:val="19"/>
        </w:rPr>
        <w:t xml:space="preserve"> </w:t>
      </w:r>
      <w:r>
        <w:rPr>
          <w:rFonts w:ascii="Arial" w:hAnsi="Arial" w:eastAsia="Arial" w:cs="Arial"/>
          <w:spacing w:val="-4"/>
          <w:sz w:val="19"/>
          <w:szCs w:val="19"/>
        </w:rPr>
        <w:t>quality</w:t>
      </w:r>
      <w:r>
        <w:rPr>
          <w:rFonts w:ascii="Arial" w:hAnsi="Arial" w:eastAsia="Arial" w:cs="Arial"/>
          <w:spacing w:val="30"/>
          <w:w w:val="101"/>
          <w:sz w:val="19"/>
          <w:szCs w:val="19"/>
        </w:rPr>
        <w:t xml:space="preserve"> </w:t>
      </w:r>
      <w:r>
        <w:rPr>
          <w:rFonts w:ascii="Arial" w:hAnsi="Arial" w:eastAsia="Arial" w:cs="Arial"/>
          <w:spacing w:val="-4"/>
          <w:sz w:val="19"/>
          <w:szCs w:val="19"/>
        </w:rPr>
        <w:t>in</w:t>
      </w:r>
      <w:r>
        <w:rPr>
          <w:rFonts w:ascii="Arial" w:hAnsi="Arial" w:eastAsia="Arial" w:cs="Arial"/>
          <w:spacing w:val="21"/>
          <w:sz w:val="19"/>
          <w:szCs w:val="19"/>
        </w:rPr>
        <w:t xml:space="preserve"> </w:t>
      </w:r>
      <w:r>
        <w:rPr>
          <w:rFonts w:ascii="Arial" w:hAnsi="Arial" w:eastAsia="Arial" w:cs="Arial"/>
          <w:spacing w:val="-4"/>
          <w:sz w:val="19"/>
          <w:szCs w:val="19"/>
        </w:rPr>
        <w:t>the</w:t>
      </w:r>
      <w:r>
        <w:rPr>
          <w:rFonts w:ascii="Arial" w:hAnsi="Arial" w:eastAsia="Arial" w:cs="Arial"/>
          <w:spacing w:val="32"/>
          <w:sz w:val="19"/>
          <w:szCs w:val="19"/>
        </w:rPr>
        <w:t xml:space="preserve"> </w:t>
      </w:r>
      <w:r>
        <w:rPr>
          <w:rFonts w:ascii="Arial" w:hAnsi="Arial" w:eastAsia="Arial" w:cs="Arial"/>
          <w:spacing w:val="-4"/>
          <w:sz w:val="19"/>
          <w:szCs w:val="19"/>
        </w:rPr>
        <w:t>high</w:t>
      </w:r>
      <w:r>
        <w:rPr>
          <w:rFonts w:ascii="Arial" w:hAnsi="Arial" w:eastAsia="Arial" w:cs="Arial"/>
          <w:spacing w:val="-5"/>
          <w:sz w:val="19"/>
          <w:szCs w:val="19"/>
        </w:rPr>
        <w:t>er</w:t>
      </w:r>
      <w:r>
        <w:rPr>
          <w:rFonts w:ascii="Arial" w:hAnsi="Arial" w:eastAsia="Arial" w:cs="Arial"/>
          <w:spacing w:val="25"/>
          <w:sz w:val="19"/>
          <w:szCs w:val="19"/>
        </w:rPr>
        <w:t xml:space="preserve"> </w:t>
      </w:r>
      <w:r>
        <w:rPr>
          <w:rFonts w:ascii="Arial" w:hAnsi="Arial" w:eastAsia="Arial" w:cs="Arial"/>
          <w:spacing w:val="-5"/>
          <w:sz w:val="19"/>
          <w:szCs w:val="19"/>
        </w:rPr>
        <w:t>education</w:t>
      </w:r>
      <w:r>
        <w:rPr>
          <w:rFonts w:ascii="Arial" w:hAnsi="Arial" w:eastAsia="Arial" w:cs="Arial"/>
          <w:spacing w:val="27"/>
          <w:sz w:val="19"/>
          <w:szCs w:val="19"/>
        </w:rPr>
        <w:t xml:space="preserve"> </w:t>
      </w:r>
      <w:r>
        <w:rPr>
          <w:rFonts w:ascii="Arial" w:hAnsi="Arial" w:eastAsia="Arial" w:cs="Arial"/>
          <w:spacing w:val="-5"/>
          <w:sz w:val="19"/>
          <w:szCs w:val="19"/>
        </w:rPr>
        <w:t>context.</w:t>
      </w:r>
      <w:r>
        <w:rPr>
          <w:rFonts w:ascii="Arial" w:hAnsi="Arial" w:eastAsia="Arial" w:cs="Arial"/>
          <w:spacing w:val="19"/>
          <w:sz w:val="19"/>
          <w:szCs w:val="19"/>
        </w:rPr>
        <w:t xml:space="preserve"> </w:t>
      </w:r>
      <w:r>
        <w:rPr>
          <w:rFonts w:ascii="Arial" w:hAnsi="Arial" w:eastAsia="Arial" w:cs="Arial"/>
          <w:spacing w:val="-5"/>
          <w:sz w:val="19"/>
          <w:szCs w:val="19"/>
        </w:rPr>
        <w:t>The</w:t>
      </w:r>
      <w:r>
        <w:rPr>
          <w:rFonts w:ascii="Arial" w:hAnsi="Arial" w:eastAsia="Arial" w:cs="Arial"/>
          <w:spacing w:val="24"/>
          <w:sz w:val="19"/>
          <w:szCs w:val="19"/>
        </w:rPr>
        <w:t xml:space="preserve"> </w:t>
      </w:r>
      <w:r>
        <w:rPr>
          <w:rFonts w:ascii="Arial" w:hAnsi="Arial" w:eastAsia="Arial" w:cs="Arial"/>
          <w:spacing w:val="-5"/>
          <w:sz w:val="19"/>
          <w:szCs w:val="19"/>
        </w:rPr>
        <w:t>QCI</w:t>
      </w:r>
      <w:r>
        <w:rPr>
          <w:rFonts w:ascii="Arial" w:hAnsi="Arial" w:eastAsia="Arial" w:cs="Arial"/>
          <w:spacing w:val="32"/>
          <w:w w:val="101"/>
          <w:sz w:val="19"/>
          <w:szCs w:val="19"/>
        </w:rPr>
        <w:t xml:space="preserve"> </w:t>
      </w:r>
      <w:r>
        <w:rPr>
          <w:rFonts w:ascii="Arial" w:hAnsi="Arial" w:eastAsia="Arial" w:cs="Arial"/>
          <w:spacing w:val="-5"/>
          <w:sz w:val="19"/>
          <w:szCs w:val="19"/>
        </w:rPr>
        <w:t>has</w:t>
      </w:r>
      <w:r>
        <w:rPr>
          <w:rFonts w:ascii="Arial" w:hAnsi="Arial" w:eastAsia="Arial" w:cs="Arial"/>
          <w:spacing w:val="31"/>
          <w:w w:val="101"/>
          <w:sz w:val="19"/>
          <w:szCs w:val="19"/>
        </w:rPr>
        <w:t xml:space="preserve"> </w:t>
      </w:r>
      <w:r>
        <w:rPr>
          <w:rFonts w:ascii="Arial" w:hAnsi="Arial" w:eastAsia="Arial" w:cs="Arial"/>
          <w:spacing w:val="-5"/>
          <w:sz w:val="19"/>
          <w:szCs w:val="19"/>
        </w:rPr>
        <w:t>proven</w:t>
      </w:r>
      <w:r>
        <w:rPr>
          <w:rFonts w:ascii="Arial" w:hAnsi="Arial" w:eastAsia="Arial" w:cs="Arial"/>
          <w:spacing w:val="22"/>
          <w:sz w:val="19"/>
          <w:szCs w:val="19"/>
        </w:rPr>
        <w:t xml:space="preserve"> </w:t>
      </w:r>
      <w:r>
        <w:rPr>
          <w:rFonts w:ascii="Arial" w:hAnsi="Arial" w:eastAsia="Arial" w:cs="Arial"/>
          <w:spacing w:val="-5"/>
          <w:sz w:val="19"/>
          <w:szCs w:val="19"/>
        </w:rPr>
        <w:t>to</w:t>
      </w:r>
      <w:r>
        <w:rPr>
          <w:rFonts w:ascii="Arial" w:hAnsi="Arial" w:eastAsia="Arial" w:cs="Arial"/>
          <w:sz w:val="19"/>
          <w:szCs w:val="19"/>
        </w:rPr>
        <w:t xml:space="preserve"> </w:t>
      </w:r>
      <w:r>
        <w:rPr>
          <w:rFonts w:ascii="Arial" w:hAnsi="Arial" w:eastAsia="Arial" w:cs="Arial"/>
          <w:spacing w:val="-6"/>
          <w:sz w:val="19"/>
          <w:szCs w:val="19"/>
        </w:rPr>
        <w:t>be</w:t>
      </w:r>
      <w:r>
        <w:rPr>
          <w:rFonts w:ascii="Arial" w:hAnsi="Arial" w:eastAsia="Arial" w:cs="Arial"/>
          <w:spacing w:val="32"/>
          <w:sz w:val="19"/>
          <w:szCs w:val="19"/>
        </w:rPr>
        <w:t xml:space="preserve"> </w:t>
      </w:r>
      <w:r>
        <w:rPr>
          <w:rFonts w:ascii="Arial" w:hAnsi="Arial" w:eastAsia="Arial" w:cs="Arial"/>
          <w:spacing w:val="-6"/>
          <w:sz w:val="19"/>
          <w:szCs w:val="19"/>
        </w:rPr>
        <w:t>a</w:t>
      </w:r>
      <w:r>
        <w:rPr>
          <w:rFonts w:ascii="Arial" w:hAnsi="Arial" w:eastAsia="Arial" w:cs="Arial"/>
          <w:spacing w:val="38"/>
          <w:sz w:val="19"/>
          <w:szCs w:val="19"/>
        </w:rPr>
        <w:t xml:space="preserve"> </w:t>
      </w:r>
      <w:r>
        <w:rPr>
          <w:rFonts w:ascii="Arial" w:hAnsi="Arial" w:eastAsia="Arial" w:cs="Arial"/>
          <w:spacing w:val="-6"/>
          <w:sz w:val="19"/>
          <w:szCs w:val="19"/>
        </w:rPr>
        <w:t>reliable</w:t>
      </w:r>
      <w:r>
        <w:rPr>
          <w:rFonts w:ascii="Arial" w:hAnsi="Arial" w:eastAsia="Arial" w:cs="Arial"/>
          <w:spacing w:val="32"/>
          <w:sz w:val="19"/>
          <w:szCs w:val="19"/>
        </w:rPr>
        <w:t xml:space="preserve"> </w:t>
      </w:r>
      <w:r>
        <w:rPr>
          <w:rFonts w:ascii="Arial" w:hAnsi="Arial" w:eastAsia="Arial" w:cs="Arial"/>
          <w:spacing w:val="-6"/>
          <w:sz w:val="19"/>
          <w:szCs w:val="19"/>
        </w:rPr>
        <w:t>and</w:t>
      </w:r>
      <w:r>
        <w:rPr>
          <w:rFonts w:ascii="Arial" w:hAnsi="Arial" w:eastAsia="Arial" w:cs="Arial"/>
          <w:spacing w:val="28"/>
          <w:sz w:val="19"/>
          <w:szCs w:val="19"/>
        </w:rPr>
        <w:t xml:space="preserve"> </w:t>
      </w:r>
      <w:r>
        <w:rPr>
          <w:rFonts w:ascii="Arial" w:hAnsi="Arial" w:eastAsia="Arial" w:cs="Arial"/>
          <w:spacing w:val="-6"/>
          <w:sz w:val="19"/>
          <w:szCs w:val="19"/>
        </w:rPr>
        <w:t>valid</w:t>
      </w:r>
      <w:r>
        <w:rPr>
          <w:rFonts w:ascii="Arial" w:hAnsi="Arial" w:eastAsia="Arial" w:cs="Arial"/>
          <w:spacing w:val="28"/>
          <w:w w:val="101"/>
          <w:sz w:val="19"/>
          <w:szCs w:val="19"/>
        </w:rPr>
        <w:t xml:space="preserve"> </w:t>
      </w:r>
      <w:r>
        <w:rPr>
          <w:rFonts w:ascii="Arial" w:hAnsi="Arial" w:eastAsia="Arial" w:cs="Arial"/>
          <w:spacing w:val="-6"/>
          <w:sz w:val="19"/>
          <w:szCs w:val="19"/>
        </w:rPr>
        <w:t>tool</w:t>
      </w:r>
      <w:r>
        <w:rPr>
          <w:rFonts w:ascii="Arial" w:hAnsi="Arial" w:eastAsia="Arial" w:cs="Arial"/>
          <w:spacing w:val="29"/>
          <w:sz w:val="19"/>
          <w:szCs w:val="19"/>
        </w:rPr>
        <w:t xml:space="preserve"> </w:t>
      </w:r>
      <w:r>
        <w:rPr>
          <w:rFonts w:ascii="Arial" w:hAnsi="Arial" w:eastAsia="Arial" w:cs="Arial"/>
          <w:spacing w:val="-6"/>
          <w:sz w:val="19"/>
          <w:szCs w:val="19"/>
        </w:rPr>
        <w:t>that</w:t>
      </w:r>
      <w:r>
        <w:rPr>
          <w:rFonts w:ascii="Arial" w:hAnsi="Arial" w:eastAsia="Arial" w:cs="Arial"/>
          <w:spacing w:val="31"/>
          <w:w w:val="101"/>
          <w:sz w:val="19"/>
          <w:szCs w:val="19"/>
        </w:rPr>
        <w:t xml:space="preserve"> </w:t>
      </w:r>
      <w:r>
        <w:rPr>
          <w:rFonts w:ascii="Arial" w:hAnsi="Arial" w:eastAsia="Arial" w:cs="Arial"/>
          <w:spacing w:val="-6"/>
          <w:sz w:val="19"/>
          <w:szCs w:val="19"/>
        </w:rPr>
        <w:t>can</w:t>
      </w:r>
      <w:r>
        <w:rPr>
          <w:rFonts w:ascii="Arial" w:hAnsi="Arial" w:eastAsia="Arial" w:cs="Arial"/>
          <w:spacing w:val="39"/>
          <w:sz w:val="19"/>
          <w:szCs w:val="19"/>
        </w:rPr>
        <w:t xml:space="preserve"> </w:t>
      </w:r>
      <w:r>
        <w:rPr>
          <w:rFonts w:ascii="Arial" w:hAnsi="Arial" w:eastAsia="Arial" w:cs="Arial"/>
          <w:spacing w:val="-6"/>
          <w:sz w:val="19"/>
          <w:szCs w:val="19"/>
        </w:rPr>
        <w:t>be</w:t>
      </w:r>
      <w:r>
        <w:rPr>
          <w:rFonts w:ascii="Arial" w:hAnsi="Arial" w:eastAsia="Arial" w:cs="Arial"/>
          <w:spacing w:val="38"/>
          <w:w w:val="101"/>
          <w:sz w:val="19"/>
          <w:szCs w:val="19"/>
        </w:rPr>
        <w:t xml:space="preserve"> </w:t>
      </w:r>
      <w:r>
        <w:rPr>
          <w:rFonts w:ascii="Arial" w:hAnsi="Arial" w:eastAsia="Arial" w:cs="Arial"/>
          <w:spacing w:val="-6"/>
          <w:sz w:val="19"/>
          <w:szCs w:val="19"/>
        </w:rPr>
        <w:t>readily</w:t>
      </w:r>
      <w:r>
        <w:rPr>
          <w:rFonts w:ascii="Arial" w:hAnsi="Arial" w:eastAsia="Arial" w:cs="Arial"/>
          <w:spacing w:val="38"/>
          <w:sz w:val="19"/>
          <w:szCs w:val="19"/>
        </w:rPr>
        <w:t xml:space="preserve"> </w:t>
      </w:r>
      <w:r>
        <w:rPr>
          <w:rFonts w:ascii="Arial" w:hAnsi="Arial" w:eastAsia="Arial" w:cs="Arial"/>
          <w:spacing w:val="-6"/>
          <w:sz w:val="19"/>
          <w:szCs w:val="19"/>
        </w:rPr>
        <w:t>used</w:t>
      </w:r>
      <w:r>
        <w:rPr>
          <w:rFonts w:ascii="Arial" w:hAnsi="Arial" w:eastAsia="Arial" w:cs="Arial"/>
          <w:spacing w:val="28"/>
          <w:sz w:val="19"/>
          <w:szCs w:val="19"/>
        </w:rPr>
        <w:t xml:space="preserve"> </w:t>
      </w:r>
      <w:r>
        <w:rPr>
          <w:rFonts w:ascii="Arial" w:hAnsi="Arial" w:eastAsia="Arial" w:cs="Arial"/>
          <w:spacing w:val="-6"/>
          <w:sz w:val="19"/>
          <w:szCs w:val="19"/>
        </w:rPr>
        <w:t>for</w:t>
      </w:r>
      <w:r>
        <w:rPr>
          <w:rFonts w:ascii="Arial" w:hAnsi="Arial" w:eastAsia="Arial" w:cs="Arial"/>
          <w:spacing w:val="32"/>
          <w:sz w:val="19"/>
          <w:szCs w:val="19"/>
        </w:rPr>
        <w:t xml:space="preserve"> </w:t>
      </w:r>
      <w:r>
        <w:rPr>
          <w:rFonts w:ascii="Arial" w:hAnsi="Arial" w:eastAsia="Arial" w:cs="Arial"/>
          <w:spacing w:val="-6"/>
          <w:sz w:val="19"/>
          <w:szCs w:val="19"/>
        </w:rPr>
        <w:t>quality</w:t>
      </w:r>
      <w:r>
        <w:rPr>
          <w:rFonts w:ascii="Arial" w:hAnsi="Arial" w:eastAsia="Arial" w:cs="Arial"/>
          <w:spacing w:val="33"/>
          <w:w w:val="101"/>
          <w:sz w:val="19"/>
          <w:szCs w:val="19"/>
        </w:rPr>
        <w:t xml:space="preserve"> </w:t>
      </w:r>
      <w:r>
        <w:rPr>
          <w:rFonts w:ascii="Arial" w:hAnsi="Arial" w:eastAsia="Arial" w:cs="Arial"/>
          <w:spacing w:val="-6"/>
          <w:sz w:val="19"/>
          <w:szCs w:val="19"/>
        </w:rPr>
        <w:t>cu</w:t>
      </w:r>
      <w:r>
        <w:rPr>
          <w:rFonts w:ascii="Arial" w:hAnsi="Arial" w:eastAsia="Arial" w:cs="Arial"/>
          <w:spacing w:val="-7"/>
          <w:sz w:val="19"/>
          <w:szCs w:val="19"/>
        </w:rPr>
        <w:t>lture</w:t>
      </w:r>
      <w:r>
        <w:rPr>
          <w:rFonts w:ascii="Arial" w:hAnsi="Arial" w:eastAsia="Arial" w:cs="Arial"/>
          <w:spacing w:val="34"/>
          <w:sz w:val="19"/>
          <w:szCs w:val="19"/>
        </w:rPr>
        <w:t xml:space="preserve"> </w:t>
      </w:r>
      <w:r>
        <w:rPr>
          <w:rFonts w:ascii="Arial" w:hAnsi="Arial" w:eastAsia="Arial" w:cs="Arial"/>
          <w:spacing w:val="-7"/>
          <w:sz w:val="19"/>
          <w:szCs w:val="19"/>
        </w:rPr>
        <w:t>analyses.</w:t>
      </w:r>
      <w:r>
        <w:rPr>
          <w:rFonts w:ascii="Arial" w:hAnsi="Arial" w:eastAsia="Arial" w:cs="Arial"/>
          <w:spacing w:val="27"/>
          <w:sz w:val="19"/>
          <w:szCs w:val="19"/>
        </w:rPr>
        <w:t xml:space="preserve"> </w:t>
      </w:r>
      <w:r>
        <w:rPr>
          <w:rFonts w:ascii="Arial" w:hAnsi="Arial" w:eastAsia="Arial" w:cs="Arial"/>
          <w:spacing w:val="-7"/>
          <w:sz w:val="19"/>
          <w:szCs w:val="19"/>
        </w:rPr>
        <w:t>The</w:t>
      </w:r>
      <w:r>
        <w:rPr>
          <w:rFonts w:ascii="Arial" w:hAnsi="Arial" w:eastAsia="Arial" w:cs="Arial"/>
          <w:spacing w:val="38"/>
          <w:sz w:val="19"/>
          <w:szCs w:val="19"/>
        </w:rPr>
        <w:t xml:space="preserve"> </w:t>
      </w:r>
      <w:r>
        <w:rPr>
          <w:rFonts w:ascii="Arial" w:hAnsi="Arial" w:eastAsia="Arial" w:cs="Arial"/>
          <w:spacing w:val="-7"/>
          <w:sz w:val="19"/>
          <w:szCs w:val="19"/>
        </w:rPr>
        <w:t>respective</w:t>
      </w:r>
      <w:r>
        <w:rPr>
          <w:rFonts w:ascii="Arial" w:hAnsi="Arial" w:eastAsia="Arial" w:cs="Arial"/>
          <w:sz w:val="19"/>
          <w:szCs w:val="19"/>
        </w:rPr>
        <w:t xml:space="preserve"> </w:t>
      </w:r>
      <w:r>
        <w:rPr>
          <w:rFonts w:ascii="Arial" w:hAnsi="Arial" w:eastAsia="Arial" w:cs="Arial"/>
          <w:spacing w:val="-4"/>
          <w:sz w:val="19"/>
          <w:szCs w:val="19"/>
        </w:rPr>
        <w:t>results</w:t>
      </w:r>
      <w:r>
        <w:rPr>
          <w:rFonts w:ascii="Arial" w:hAnsi="Arial" w:eastAsia="Arial" w:cs="Arial"/>
          <w:spacing w:val="28"/>
          <w:w w:val="101"/>
          <w:sz w:val="19"/>
          <w:szCs w:val="19"/>
        </w:rPr>
        <w:t xml:space="preserve"> </w:t>
      </w:r>
      <w:r>
        <w:rPr>
          <w:rFonts w:ascii="Arial" w:hAnsi="Arial" w:eastAsia="Arial" w:cs="Arial"/>
          <w:spacing w:val="-4"/>
          <w:sz w:val="19"/>
          <w:szCs w:val="19"/>
        </w:rPr>
        <w:t>of</w:t>
      </w:r>
      <w:r>
        <w:rPr>
          <w:rFonts w:ascii="Arial" w:hAnsi="Arial" w:eastAsia="Arial" w:cs="Arial"/>
          <w:spacing w:val="15"/>
          <w:w w:val="101"/>
          <w:sz w:val="19"/>
          <w:szCs w:val="19"/>
        </w:rPr>
        <w:t xml:space="preserve"> </w:t>
      </w:r>
      <w:r>
        <w:rPr>
          <w:rFonts w:ascii="Arial" w:hAnsi="Arial" w:eastAsia="Arial" w:cs="Arial"/>
          <w:spacing w:val="-4"/>
          <w:sz w:val="19"/>
          <w:szCs w:val="19"/>
        </w:rPr>
        <w:t>the</w:t>
      </w:r>
      <w:r>
        <w:rPr>
          <w:rFonts w:ascii="Arial" w:hAnsi="Arial" w:eastAsia="Arial" w:cs="Arial"/>
          <w:spacing w:val="26"/>
          <w:sz w:val="19"/>
          <w:szCs w:val="19"/>
        </w:rPr>
        <w:t xml:space="preserve"> </w:t>
      </w:r>
      <w:r>
        <w:rPr>
          <w:rFonts w:ascii="Arial" w:hAnsi="Arial" w:eastAsia="Arial" w:cs="Arial"/>
          <w:spacing w:val="-4"/>
          <w:sz w:val="19"/>
          <w:szCs w:val="19"/>
        </w:rPr>
        <w:t>QCI</w:t>
      </w:r>
      <w:r>
        <w:rPr>
          <w:rFonts w:ascii="Arial" w:hAnsi="Arial" w:eastAsia="Arial" w:cs="Arial"/>
          <w:spacing w:val="34"/>
          <w:sz w:val="19"/>
          <w:szCs w:val="19"/>
        </w:rPr>
        <w:t xml:space="preserve"> </w:t>
      </w:r>
      <w:r>
        <w:rPr>
          <w:rFonts w:ascii="Arial" w:hAnsi="Arial" w:eastAsia="Arial" w:cs="Arial"/>
          <w:spacing w:val="-4"/>
          <w:sz w:val="19"/>
          <w:szCs w:val="19"/>
        </w:rPr>
        <w:t>point</w:t>
      </w:r>
      <w:r>
        <w:rPr>
          <w:rFonts w:ascii="Arial" w:hAnsi="Arial" w:eastAsia="Arial" w:cs="Arial"/>
          <w:spacing w:val="23"/>
          <w:w w:val="101"/>
          <w:sz w:val="19"/>
          <w:szCs w:val="19"/>
        </w:rPr>
        <w:t xml:space="preserve"> </w:t>
      </w:r>
      <w:r>
        <w:rPr>
          <w:rFonts w:ascii="Arial" w:hAnsi="Arial" w:eastAsia="Arial" w:cs="Arial"/>
          <w:spacing w:val="-4"/>
          <w:sz w:val="19"/>
          <w:szCs w:val="19"/>
        </w:rPr>
        <w:t>to</w:t>
      </w:r>
      <w:r>
        <w:rPr>
          <w:rFonts w:ascii="Arial" w:hAnsi="Arial" w:eastAsia="Arial" w:cs="Arial"/>
          <w:spacing w:val="30"/>
          <w:w w:val="101"/>
          <w:sz w:val="19"/>
          <w:szCs w:val="19"/>
        </w:rPr>
        <w:t xml:space="preserve"> </w:t>
      </w:r>
      <w:r>
        <w:rPr>
          <w:rFonts w:ascii="Arial" w:hAnsi="Arial" w:eastAsia="Arial" w:cs="Arial"/>
          <w:spacing w:val="-4"/>
          <w:sz w:val="19"/>
          <w:szCs w:val="19"/>
        </w:rPr>
        <w:t>institution-speciic</w:t>
      </w:r>
      <w:r>
        <w:rPr>
          <w:rFonts w:ascii="Arial" w:hAnsi="Arial" w:eastAsia="Arial" w:cs="Arial"/>
          <w:spacing w:val="27"/>
          <w:w w:val="101"/>
          <w:sz w:val="19"/>
          <w:szCs w:val="19"/>
        </w:rPr>
        <w:t xml:space="preserve"> </w:t>
      </w:r>
      <w:r>
        <w:rPr>
          <w:rFonts w:ascii="Arial" w:hAnsi="Arial" w:eastAsia="Arial" w:cs="Arial"/>
          <w:spacing w:val="-4"/>
          <w:sz w:val="19"/>
          <w:szCs w:val="19"/>
        </w:rPr>
        <w:t>strengt</w:t>
      </w:r>
      <w:r>
        <w:rPr>
          <w:rFonts w:ascii="Arial" w:hAnsi="Arial" w:eastAsia="Arial" w:cs="Arial"/>
          <w:spacing w:val="-5"/>
          <w:sz w:val="19"/>
          <w:szCs w:val="19"/>
        </w:rPr>
        <w:t>hs</w:t>
      </w:r>
      <w:r>
        <w:rPr>
          <w:rFonts w:ascii="Arial" w:hAnsi="Arial" w:eastAsia="Arial" w:cs="Arial"/>
          <w:spacing w:val="25"/>
          <w:sz w:val="19"/>
          <w:szCs w:val="19"/>
        </w:rPr>
        <w:t xml:space="preserve"> </w:t>
      </w:r>
      <w:r>
        <w:rPr>
          <w:rFonts w:ascii="Arial" w:hAnsi="Arial" w:eastAsia="Arial" w:cs="Arial"/>
          <w:spacing w:val="-5"/>
          <w:sz w:val="19"/>
          <w:szCs w:val="19"/>
        </w:rPr>
        <w:t>and</w:t>
      </w:r>
      <w:r>
        <w:rPr>
          <w:rFonts w:ascii="Arial" w:hAnsi="Arial" w:eastAsia="Arial" w:cs="Arial"/>
          <w:spacing w:val="22"/>
          <w:sz w:val="19"/>
          <w:szCs w:val="19"/>
        </w:rPr>
        <w:t xml:space="preserve"> </w:t>
      </w:r>
      <w:r>
        <w:rPr>
          <w:rFonts w:ascii="Arial" w:hAnsi="Arial" w:eastAsia="Arial" w:cs="Arial"/>
          <w:spacing w:val="-5"/>
          <w:sz w:val="19"/>
          <w:szCs w:val="19"/>
        </w:rPr>
        <w:t>weaknesses</w:t>
      </w:r>
      <w:r>
        <w:rPr>
          <w:rFonts w:ascii="Arial" w:hAnsi="Arial" w:eastAsia="Arial" w:cs="Arial"/>
          <w:spacing w:val="27"/>
          <w:w w:val="101"/>
          <w:sz w:val="19"/>
          <w:szCs w:val="19"/>
        </w:rPr>
        <w:t xml:space="preserve"> </w:t>
      </w:r>
      <w:r>
        <w:rPr>
          <w:rFonts w:ascii="Arial" w:hAnsi="Arial" w:eastAsia="Arial" w:cs="Arial"/>
          <w:spacing w:val="-5"/>
          <w:sz w:val="19"/>
          <w:szCs w:val="19"/>
        </w:rPr>
        <w:t>of</w:t>
      </w:r>
      <w:r>
        <w:rPr>
          <w:rFonts w:ascii="Arial" w:hAnsi="Arial" w:eastAsia="Arial" w:cs="Arial"/>
          <w:spacing w:val="19"/>
          <w:sz w:val="19"/>
          <w:szCs w:val="19"/>
        </w:rPr>
        <w:t xml:space="preserve"> </w:t>
      </w:r>
      <w:r>
        <w:rPr>
          <w:rFonts w:ascii="Arial" w:hAnsi="Arial" w:eastAsia="Arial" w:cs="Arial"/>
          <w:spacing w:val="-5"/>
          <w:sz w:val="19"/>
          <w:szCs w:val="19"/>
        </w:rPr>
        <w:t>quality</w:t>
      </w:r>
      <w:r>
        <w:rPr>
          <w:rFonts w:ascii="Arial" w:hAnsi="Arial" w:eastAsia="Arial" w:cs="Arial"/>
          <w:spacing w:val="28"/>
          <w:sz w:val="19"/>
          <w:szCs w:val="19"/>
        </w:rPr>
        <w:t xml:space="preserve"> </w:t>
      </w:r>
      <w:r>
        <w:rPr>
          <w:rFonts w:ascii="Arial" w:hAnsi="Arial" w:eastAsia="Arial" w:cs="Arial"/>
          <w:spacing w:val="-5"/>
          <w:sz w:val="19"/>
          <w:szCs w:val="19"/>
        </w:rPr>
        <w:t>culture,</w:t>
      </w:r>
      <w:r>
        <w:rPr>
          <w:rFonts w:ascii="Arial" w:hAnsi="Arial" w:eastAsia="Arial" w:cs="Arial"/>
          <w:spacing w:val="25"/>
          <w:sz w:val="19"/>
          <w:szCs w:val="19"/>
        </w:rPr>
        <w:t xml:space="preserve"> </w:t>
      </w:r>
      <w:r>
        <w:rPr>
          <w:rFonts w:ascii="Arial" w:hAnsi="Arial" w:eastAsia="Arial" w:cs="Arial"/>
          <w:spacing w:val="-5"/>
          <w:sz w:val="19"/>
          <w:szCs w:val="19"/>
        </w:rPr>
        <w:t>which</w:t>
      </w:r>
      <w:r>
        <w:rPr>
          <w:rFonts w:ascii="Arial" w:hAnsi="Arial" w:eastAsia="Arial" w:cs="Arial"/>
          <w:sz w:val="19"/>
          <w:szCs w:val="19"/>
        </w:rPr>
        <w:t xml:space="preserve"> </w:t>
      </w:r>
      <w:r>
        <w:rPr>
          <w:rFonts w:ascii="Arial" w:hAnsi="Arial" w:eastAsia="Arial" w:cs="Arial"/>
          <w:spacing w:val="-5"/>
          <w:sz w:val="19"/>
          <w:szCs w:val="19"/>
        </w:rPr>
        <w:t>serves</w:t>
      </w:r>
      <w:r>
        <w:rPr>
          <w:rFonts w:ascii="Arial" w:hAnsi="Arial" w:eastAsia="Arial" w:cs="Arial"/>
          <w:spacing w:val="31"/>
          <w:w w:val="101"/>
          <w:sz w:val="19"/>
          <w:szCs w:val="19"/>
        </w:rPr>
        <w:t xml:space="preserve"> </w:t>
      </w:r>
      <w:r>
        <w:rPr>
          <w:rFonts w:ascii="Arial" w:hAnsi="Arial" w:eastAsia="Arial" w:cs="Arial"/>
          <w:spacing w:val="-5"/>
          <w:sz w:val="19"/>
          <w:szCs w:val="19"/>
        </w:rPr>
        <w:t>as</w:t>
      </w:r>
      <w:r>
        <w:rPr>
          <w:rFonts w:ascii="Arial" w:hAnsi="Arial" w:eastAsia="Arial" w:cs="Arial"/>
          <w:spacing w:val="13"/>
          <w:w w:val="101"/>
          <w:sz w:val="19"/>
          <w:szCs w:val="19"/>
        </w:rPr>
        <w:t xml:space="preserve"> </w:t>
      </w:r>
      <w:r>
        <w:rPr>
          <w:rFonts w:ascii="Arial" w:hAnsi="Arial" w:eastAsia="Arial" w:cs="Arial"/>
          <w:spacing w:val="-5"/>
          <w:sz w:val="19"/>
          <w:szCs w:val="19"/>
        </w:rPr>
        <w:t>a</w:t>
      </w:r>
      <w:r>
        <w:rPr>
          <w:rFonts w:ascii="Arial" w:hAnsi="Arial" w:eastAsia="Arial" w:cs="Arial"/>
          <w:spacing w:val="13"/>
          <w:sz w:val="19"/>
          <w:szCs w:val="19"/>
        </w:rPr>
        <w:t xml:space="preserve"> </w:t>
      </w:r>
      <w:r>
        <w:rPr>
          <w:rFonts w:ascii="Arial" w:hAnsi="Arial" w:eastAsia="Arial" w:cs="Arial"/>
          <w:spacing w:val="-5"/>
          <w:sz w:val="19"/>
          <w:szCs w:val="19"/>
        </w:rPr>
        <w:t>sound</w:t>
      </w:r>
      <w:r>
        <w:rPr>
          <w:rFonts w:ascii="Arial" w:hAnsi="Arial" w:eastAsia="Arial" w:cs="Arial"/>
          <w:spacing w:val="15"/>
          <w:sz w:val="19"/>
          <w:szCs w:val="19"/>
        </w:rPr>
        <w:t xml:space="preserve"> </w:t>
      </w:r>
      <w:r>
        <w:rPr>
          <w:rFonts w:ascii="Arial" w:hAnsi="Arial" w:eastAsia="Arial" w:cs="Arial"/>
          <w:spacing w:val="-5"/>
          <w:sz w:val="19"/>
          <w:szCs w:val="19"/>
        </w:rPr>
        <w:t>starting</w:t>
      </w:r>
      <w:r>
        <w:rPr>
          <w:rFonts w:ascii="Arial" w:hAnsi="Arial" w:eastAsia="Arial" w:cs="Arial"/>
          <w:spacing w:val="18"/>
          <w:w w:val="101"/>
          <w:sz w:val="19"/>
          <w:szCs w:val="19"/>
        </w:rPr>
        <w:t xml:space="preserve"> </w:t>
      </w:r>
      <w:r>
        <w:rPr>
          <w:rFonts w:ascii="Arial" w:hAnsi="Arial" w:eastAsia="Arial" w:cs="Arial"/>
          <w:spacing w:val="-5"/>
          <w:sz w:val="19"/>
          <w:szCs w:val="19"/>
        </w:rPr>
        <w:t>point for</w:t>
      </w:r>
      <w:r>
        <w:rPr>
          <w:rFonts w:ascii="Arial" w:hAnsi="Arial" w:eastAsia="Arial" w:cs="Arial"/>
          <w:spacing w:val="20"/>
          <w:sz w:val="19"/>
          <w:szCs w:val="19"/>
        </w:rPr>
        <w:t xml:space="preserve"> </w:t>
      </w:r>
      <w:r>
        <w:rPr>
          <w:rFonts w:ascii="Arial" w:hAnsi="Arial" w:eastAsia="Arial" w:cs="Arial"/>
          <w:spacing w:val="-5"/>
          <w:sz w:val="19"/>
          <w:szCs w:val="19"/>
        </w:rPr>
        <w:t>relecting</w:t>
      </w:r>
      <w:r>
        <w:rPr>
          <w:rFonts w:ascii="Arial" w:hAnsi="Arial" w:eastAsia="Arial" w:cs="Arial"/>
          <w:spacing w:val="13"/>
          <w:sz w:val="19"/>
          <w:szCs w:val="19"/>
        </w:rPr>
        <w:t xml:space="preserve"> </w:t>
      </w:r>
      <w:r>
        <w:rPr>
          <w:rFonts w:ascii="Arial" w:hAnsi="Arial" w:eastAsia="Arial" w:cs="Arial"/>
          <w:spacing w:val="-5"/>
          <w:sz w:val="19"/>
          <w:szCs w:val="19"/>
        </w:rPr>
        <w:t>on</w:t>
      </w:r>
      <w:r>
        <w:rPr>
          <w:rFonts w:ascii="Arial" w:hAnsi="Arial" w:eastAsia="Arial" w:cs="Arial"/>
          <w:spacing w:val="14"/>
          <w:w w:val="101"/>
          <w:sz w:val="19"/>
          <w:szCs w:val="19"/>
        </w:rPr>
        <w:t xml:space="preserve"> </w:t>
      </w:r>
      <w:r>
        <w:rPr>
          <w:rFonts w:ascii="Arial" w:hAnsi="Arial" w:eastAsia="Arial" w:cs="Arial"/>
          <w:spacing w:val="-5"/>
          <w:sz w:val="19"/>
          <w:szCs w:val="19"/>
        </w:rPr>
        <w:t>quality</w:t>
      </w:r>
      <w:r>
        <w:rPr>
          <w:rFonts w:ascii="Arial" w:hAnsi="Arial" w:eastAsia="Arial" w:cs="Arial"/>
          <w:spacing w:val="14"/>
          <w:sz w:val="19"/>
          <w:szCs w:val="19"/>
        </w:rPr>
        <w:t xml:space="preserve"> </w:t>
      </w:r>
      <w:r>
        <w:rPr>
          <w:rFonts w:ascii="Arial" w:hAnsi="Arial" w:eastAsia="Arial" w:cs="Arial"/>
          <w:spacing w:val="-5"/>
          <w:sz w:val="19"/>
          <w:szCs w:val="19"/>
        </w:rPr>
        <w:t>culture</w:t>
      </w:r>
      <w:r>
        <w:rPr>
          <w:rFonts w:ascii="Arial" w:hAnsi="Arial" w:eastAsia="Arial" w:cs="Arial"/>
          <w:spacing w:val="15"/>
          <w:sz w:val="19"/>
          <w:szCs w:val="19"/>
        </w:rPr>
        <w:t xml:space="preserve"> </w:t>
      </w:r>
      <w:r>
        <w:rPr>
          <w:rFonts w:ascii="Arial" w:hAnsi="Arial" w:eastAsia="Arial" w:cs="Arial"/>
          <w:spacing w:val="-5"/>
          <w:sz w:val="19"/>
          <w:szCs w:val="19"/>
        </w:rPr>
        <w:t>and</w:t>
      </w:r>
      <w:r>
        <w:rPr>
          <w:rFonts w:ascii="Arial" w:hAnsi="Arial" w:eastAsia="Arial" w:cs="Arial"/>
          <w:spacing w:val="13"/>
          <w:w w:val="101"/>
          <w:sz w:val="19"/>
          <w:szCs w:val="19"/>
        </w:rPr>
        <w:t xml:space="preserve"> </w:t>
      </w:r>
      <w:r>
        <w:rPr>
          <w:rFonts w:ascii="Arial" w:hAnsi="Arial" w:eastAsia="Arial" w:cs="Arial"/>
          <w:spacing w:val="-5"/>
          <w:sz w:val="19"/>
          <w:szCs w:val="19"/>
        </w:rPr>
        <w:t>developing focused</w:t>
      </w:r>
      <w:r>
        <w:rPr>
          <w:rFonts w:ascii="Arial" w:hAnsi="Arial" w:eastAsia="Arial" w:cs="Arial"/>
          <w:spacing w:val="19"/>
          <w:sz w:val="19"/>
          <w:szCs w:val="19"/>
        </w:rPr>
        <w:t xml:space="preserve"> </w:t>
      </w:r>
      <w:r>
        <w:rPr>
          <w:rFonts w:ascii="Arial" w:hAnsi="Arial" w:eastAsia="Arial" w:cs="Arial"/>
          <w:spacing w:val="-5"/>
          <w:sz w:val="19"/>
          <w:szCs w:val="19"/>
        </w:rPr>
        <w:t>measures</w:t>
      </w:r>
      <w:r>
        <w:rPr>
          <w:rFonts w:ascii="Arial" w:hAnsi="Arial" w:eastAsia="Arial" w:cs="Arial"/>
          <w:sz w:val="19"/>
          <w:szCs w:val="19"/>
        </w:rPr>
        <w:t xml:space="preserve"> </w:t>
      </w:r>
      <w:r>
        <w:rPr>
          <w:rFonts w:ascii="Arial" w:hAnsi="Arial" w:eastAsia="Arial" w:cs="Arial"/>
          <w:spacing w:val="-2"/>
          <w:sz w:val="19"/>
          <w:szCs w:val="19"/>
        </w:rPr>
        <w:t>for</w:t>
      </w:r>
      <w:r>
        <w:rPr>
          <w:rFonts w:ascii="Arial" w:hAnsi="Arial" w:eastAsia="Arial" w:cs="Arial"/>
          <w:spacing w:val="21"/>
          <w:sz w:val="19"/>
          <w:szCs w:val="19"/>
        </w:rPr>
        <w:t xml:space="preserve"> </w:t>
      </w:r>
      <w:r>
        <w:rPr>
          <w:rFonts w:ascii="Arial" w:hAnsi="Arial" w:eastAsia="Arial" w:cs="Arial"/>
          <w:spacing w:val="-2"/>
          <w:sz w:val="19"/>
          <w:szCs w:val="19"/>
        </w:rPr>
        <w:t>improving</w:t>
      </w:r>
      <w:r>
        <w:rPr>
          <w:rFonts w:ascii="Arial" w:hAnsi="Arial" w:eastAsia="Arial" w:cs="Arial"/>
          <w:spacing w:val="16"/>
          <w:sz w:val="19"/>
          <w:szCs w:val="19"/>
        </w:rPr>
        <w:t xml:space="preserve"> </w:t>
      </w:r>
      <w:r>
        <w:rPr>
          <w:rFonts w:ascii="Arial" w:hAnsi="Arial" w:eastAsia="Arial" w:cs="Arial"/>
          <w:spacing w:val="-2"/>
          <w:sz w:val="19"/>
          <w:szCs w:val="19"/>
        </w:rPr>
        <w:t>it.</w:t>
      </w:r>
    </w:p>
    <w:p>
      <w:pPr>
        <w:spacing w:line="400" w:lineRule="auto"/>
        <w:rPr>
          <w:rFonts w:ascii="Arial"/>
          <w:sz w:val="21"/>
        </w:rPr>
      </w:pPr>
    </w:p>
    <w:p>
      <w:pPr>
        <w:spacing w:before="61" w:line="192" w:lineRule="auto"/>
        <w:ind w:left="3"/>
        <w:outlineLvl w:val="2"/>
        <w:rPr>
          <w:rFonts w:ascii="Arial" w:hAnsi="Arial" w:eastAsia="Arial" w:cs="Arial"/>
          <w:sz w:val="21"/>
          <w:szCs w:val="21"/>
        </w:rPr>
      </w:pPr>
      <w:r>
        <w:rPr>
          <w:rFonts w:ascii="Arial" w:hAnsi="Arial" w:eastAsia="Arial" w:cs="Arial"/>
          <w:color w:val="282781"/>
          <w:spacing w:val="1"/>
          <w:sz w:val="21"/>
          <w:szCs w:val="21"/>
        </w:rPr>
        <w:t>Acknowledgments</w:t>
      </w:r>
    </w:p>
    <w:p>
      <w:pPr>
        <w:spacing w:before="159" w:line="255" w:lineRule="auto"/>
        <w:ind w:left="6" w:right="7" w:hanging="6"/>
        <w:jc w:val="both"/>
        <w:rPr>
          <w:rFonts w:ascii="Arial" w:hAnsi="Arial" w:eastAsia="Arial" w:cs="Arial"/>
          <w:sz w:val="15"/>
          <w:szCs w:val="15"/>
        </w:rPr>
      </w:pPr>
      <w:r>
        <w:rPr>
          <w:rFonts w:ascii="Arial" w:hAnsi="Arial" w:eastAsia="Arial" w:cs="Arial"/>
          <w:spacing w:val="-2"/>
          <w:sz w:val="15"/>
          <w:szCs w:val="15"/>
        </w:rPr>
        <w:t>The</w:t>
      </w:r>
      <w:r>
        <w:rPr>
          <w:rFonts w:ascii="Arial" w:hAnsi="Arial" w:eastAsia="Arial" w:cs="Arial"/>
          <w:spacing w:val="47"/>
          <w:w w:val="101"/>
          <w:sz w:val="15"/>
          <w:szCs w:val="15"/>
        </w:rPr>
        <w:t xml:space="preserve"> </w:t>
      </w:r>
      <w:r>
        <w:rPr>
          <w:rFonts w:ascii="Arial" w:hAnsi="Arial" w:eastAsia="Arial" w:cs="Arial"/>
          <w:spacing w:val="-2"/>
          <w:sz w:val="15"/>
          <w:szCs w:val="15"/>
        </w:rPr>
        <w:t>heiQUALITY</w:t>
      </w:r>
      <w:r>
        <w:rPr>
          <w:rFonts w:ascii="Arial" w:hAnsi="Arial" w:eastAsia="Arial" w:cs="Arial"/>
          <w:spacing w:val="23"/>
          <w:w w:val="102"/>
          <w:sz w:val="15"/>
          <w:szCs w:val="15"/>
        </w:rPr>
        <w:t xml:space="preserve"> </w:t>
      </w:r>
      <w:r>
        <w:rPr>
          <w:rFonts w:ascii="Arial" w:hAnsi="Arial" w:eastAsia="Arial" w:cs="Arial"/>
          <w:spacing w:val="-2"/>
          <w:sz w:val="15"/>
          <w:szCs w:val="15"/>
        </w:rPr>
        <w:t>Cultures</w:t>
      </w:r>
      <w:r>
        <w:rPr>
          <w:rFonts w:ascii="Arial" w:hAnsi="Arial" w:eastAsia="Arial" w:cs="Arial"/>
          <w:spacing w:val="30"/>
          <w:w w:val="101"/>
          <w:sz w:val="15"/>
          <w:szCs w:val="15"/>
        </w:rPr>
        <w:t xml:space="preserve"> </w:t>
      </w:r>
      <w:r>
        <w:rPr>
          <w:rFonts w:ascii="Arial" w:hAnsi="Arial" w:eastAsia="Arial" w:cs="Arial"/>
          <w:spacing w:val="-2"/>
          <w:sz w:val="15"/>
          <w:szCs w:val="15"/>
        </w:rPr>
        <w:t>Project</w:t>
      </w:r>
      <w:r>
        <w:rPr>
          <w:rFonts w:ascii="Arial" w:hAnsi="Arial" w:eastAsia="Arial" w:cs="Arial"/>
          <w:spacing w:val="22"/>
          <w:sz w:val="15"/>
          <w:szCs w:val="15"/>
        </w:rPr>
        <w:t xml:space="preserve"> </w:t>
      </w:r>
      <w:r>
        <w:rPr>
          <w:rFonts w:ascii="Arial" w:hAnsi="Arial" w:eastAsia="Arial" w:cs="Arial"/>
          <w:spacing w:val="-2"/>
          <w:sz w:val="15"/>
          <w:szCs w:val="15"/>
        </w:rPr>
        <w:t>was</w:t>
      </w:r>
      <w:r>
        <w:rPr>
          <w:rFonts w:ascii="Arial" w:hAnsi="Arial" w:eastAsia="Arial" w:cs="Arial"/>
          <w:spacing w:val="21"/>
          <w:w w:val="101"/>
          <w:sz w:val="15"/>
          <w:szCs w:val="15"/>
        </w:rPr>
        <w:t xml:space="preserve"> </w:t>
      </w:r>
      <w:r>
        <w:rPr>
          <w:rFonts w:ascii="Arial" w:hAnsi="Arial" w:eastAsia="Arial" w:cs="Arial"/>
          <w:spacing w:val="-2"/>
          <w:sz w:val="15"/>
          <w:szCs w:val="15"/>
        </w:rPr>
        <w:t>funded</w:t>
      </w:r>
      <w:r>
        <w:rPr>
          <w:rFonts w:ascii="Arial" w:hAnsi="Arial" w:eastAsia="Arial" w:cs="Arial"/>
          <w:spacing w:val="29"/>
          <w:sz w:val="15"/>
          <w:szCs w:val="15"/>
        </w:rPr>
        <w:t xml:space="preserve"> </w:t>
      </w:r>
      <w:r>
        <w:rPr>
          <w:rFonts w:ascii="Arial" w:hAnsi="Arial" w:eastAsia="Arial" w:cs="Arial"/>
          <w:spacing w:val="-2"/>
          <w:sz w:val="15"/>
          <w:szCs w:val="15"/>
        </w:rPr>
        <w:t>by</w:t>
      </w:r>
      <w:r>
        <w:rPr>
          <w:rFonts w:ascii="Arial" w:hAnsi="Arial" w:eastAsia="Arial" w:cs="Arial"/>
          <w:spacing w:val="22"/>
          <w:sz w:val="15"/>
          <w:szCs w:val="15"/>
        </w:rPr>
        <w:t xml:space="preserve"> </w:t>
      </w:r>
      <w:r>
        <w:rPr>
          <w:rFonts w:ascii="Arial" w:hAnsi="Arial" w:eastAsia="Arial" w:cs="Arial"/>
          <w:spacing w:val="-2"/>
          <w:sz w:val="15"/>
          <w:szCs w:val="15"/>
        </w:rPr>
        <w:t>the</w:t>
      </w:r>
      <w:r>
        <w:rPr>
          <w:rFonts w:ascii="Arial" w:hAnsi="Arial" w:eastAsia="Arial" w:cs="Arial"/>
          <w:spacing w:val="18"/>
          <w:sz w:val="15"/>
          <w:szCs w:val="15"/>
        </w:rPr>
        <w:t xml:space="preserve"> </w:t>
      </w:r>
      <w:r>
        <w:rPr>
          <w:rFonts w:ascii="Arial" w:hAnsi="Arial" w:eastAsia="Arial" w:cs="Arial"/>
          <w:spacing w:val="-2"/>
          <w:sz w:val="15"/>
          <w:szCs w:val="15"/>
        </w:rPr>
        <w:t>‘</w:t>
      </w:r>
      <w:r>
        <w:rPr>
          <w:rFonts w:ascii="Arial" w:hAnsi="Arial" w:eastAsia="Arial" w:cs="Arial"/>
          <w:spacing w:val="-30"/>
          <w:sz w:val="15"/>
          <w:szCs w:val="15"/>
        </w:rPr>
        <w:t xml:space="preserve"> </w:t>
      </w:r>
      <w:r>
        <w:rPr>
          <w:rFonts w:ascii="Arial" w:hAnsi="Arial" w:eastAsia="Arial" w:cs="Arial"/>
          <w:spacing w:val="-2"/>
          <w:sz w:val="15"/>
          <w:szCs w:val="15"/>
        </w:rPr>
        <w:t>Innovation</w:t>
      </w:r>
      <w:r>
        <w:rPr>
          <w:rFonts w:ascii="Arial" w:hAnsi="Arial" w:eastAsia="Arial" w:cs="Arial"/>
          <w:spacing w:val="26"/>
          <w:sz w:val="15"/>
          <w:szCs w:val="15"/>
        </w:rPr>
        <w:t xml:space="preserve"> </w:t>
      </w:r>
      <w:r>
        <w:rPr>
          <w:rFonts w:ascii="Arial" w:hAnsi="Arial" w:eastAsia="Arial" w:cs="Arial"/>
          <w:spacing w:val="-2"/>
          <w:sz w:val="15"/>
          <w:szCs w:val="15"/>
        </w:rPr>
        <w:t>and</w:t>
      </w:r>
      <w:r>
        <w:rPr>
          <w:rFonts w:ascii="Arial" w:hAnsi="Arial" w:eastAsia="Arial" w:cs="Arial"/>
          <w:spacing w:val="24"/>
          <w:w w:val="101"/>
          <w:sz w:val="15"/>
          <w:szCs w:val="15"/>
        </w:rPr>
        <w:t xml:space="preserve"> </w:t>
      </w:r>
      <w:r>
        <w:rPr>
          <w:rFonts w:ascii="Arial" w:hAnsi="Arial" w:eastAsia="Arial" w:cs="Arial"/>
          <w:spacing w:val="-2"/>
          <w:sz w:val="15"/>
          <w:szCs w:val="15"/>
        </w:rPr>
        <w:t>Quality</w:t>
      </w:r>
      <w:r>
        <w:rPr>
          <w:rFonts w:ascii="Arial" w:hAnsi="Arial" w:eastAsia="Arial" w:cs="Arial"/>
          <w:spacing w:val="30"/>
          <w:w w:val="101"/>
          <w:sz w:val="15"/>
          <w:szCs w:val="15"/>
        </w:rPr>
        <w:t xml:space="preserve"> </w:t>
      </w:r>
      <w:r>
        <w:rPr>
          <w:rFonts w:ascii="Arial" w:hAnsi="Arial" w:eastAsia="Arial" w:cs="Arial"/>
          <w:spacing w:val="-2"/>
          <w:sz w:val="15"/>
          <w:szCs w:val="15"/>
        </w:rPr>
        <w:t>Fund</w:t>
      </w:r>
      <w:r>
        <w:rPr>
          <w:rFonts w:ascii="Arial" w:hAnsi="Arial" w:eastAsia="Arial" w:cs="Arial"/>
          <w:spacing w:val="28"/>
          <w:w w:val="101"/>
          <w:sz w:val="15"/>
          <w:szCs w:val="15"/>
        </w:rPr>
        <w:t xml:space="preserve"> </w:t>
      </w:r>
      <w:r>
        <w:rPr>
          <w:rFonts w:ascii="Arial" w:hAnsi="Arial" w:eastAsia="Arial" w:cs="Arial"/>
          <w:spacing w:val="-2"/>
          <w:sz w:val="15"/>
          <w:szCs w:val="15"/>
        </w:rPr>
        <w:t>(IQF)</w:t>
      </w:r>
      <w:r>
        <w:rPr>
          <w:rFonts w:ascii="Arial" w:hAnsi="Arial" w:eastAsia="Arial" w:cs="Arial"/>
          <w:spacing w:val="25"/>
          <w:w w:val="102"/>
          <w:sz w:val="15"/>
          <w:szCs w:val="15"/>
        </w:rPr>
        <w:t xml:space="preserve"> </w:t>
      </w:r>
      <w:r>
        <w:rPr>
          <w:rFonts w:ascii="Arial" w:hAnsi="Arial" w:eastAsia="Arial" w:cs="Arial"/>
          <w:spacing w:val="-2"/>
          <w:sz w:val="15"/>
          <w:szCs w:val="15"/>
        </w:rPr>
        <w:t>of</w:t>
      </w:r>
      <w:r>
        <w:rPr>
          <w:rFonts w:ascii="Arial" w:hAnsi="Arial" w:eastAsia="Arial" w:cs="Arial"/>
          <w:spacing w:val="15"/>
          <w:w w:val="101"/>
          <w:sz w:val="15"/>
          <w:szCs w:val="15"/>
        </w:rPr>
        <w:t xml:space="preserve"> </w:t>
      </w:r>
      <w:r>
        <w:rPr>
          <w:rFonts w:ascii="Arial" w:hAnsi="Arial" w:eastAsia="Arial" w:cs="Arial"/>
          <w:spacing w:val="-2"/>
          <w:sz w:val="15"/>
          <w:szCs w:val="15"/>
        </w:rPr>
        <w:t>the</w:t>
      </w:r>
      <w:r>
        <w:rPr>
          <w:rFonts w:ascii="Arial" w:hAnsi="Arial" w:eastAsia="Arial" w:cs="Arial"/>
          <w:spacing w:val="29"/>
          <w:sz w:val="15"/>
          <w:szCs w:val="15"/>
        </w:rPr>
        <w:t xml:space="preserve"> </w:t>
      </w:r>
      <w:r>
        <w:rPr>
          <w:rFonts w:ascii="Arial" w:hAnsi="Arial" w:eastAsia="Arial" w:cs="Arial"/>
          <w:spacing w:val="-2"/>
          <w:sz w:val="15"/>
          <w:szCs w:val="15"/>
        </w:rPr>
        <w:t>Ministry</w:t>
      </w:r>
      <w:r>
        <w:rPr>
          <w:rFonts w:ascii="Arial" w:hAnsi="Arial" w:eastAsia="Arial" w:cs="Arial"/>
          <w:spacing w:val="24"/>
          <w:sz w:val="15"/>
          <w:szCs w:val="15"/>
        </w:rPr>
        <w:t xml:space="preserve"> </w:t>
      </w:r>
      <w:r>
        <w:rPr>
          <w:rFonts w:ascii="Arial" w:hAnsi="Arial" w:eastAsia="Arial" w:cs="Arial"/>
          <w:spacing w:val="-2"/>
          <w:sz w:val="15"/>
          <w:szCs w:val="15"/>
        </w:rPr>
        <w:t>of</w:t>
      </w:r>
      <w:r>
        <w:rPr>
          <w:rFonts w:ascii="Arial" w:hAnsi="Arial" w:eastAsia="Arial" w:cs="Arial"/>
          <w:spacing w:val="19"/>
          <w:w w:val="101"/>
          <w:sz w:val="15"/>
          <w:szCs w:val="15"/>
        </w:rPr>
        <w:t xml:space="preserve"> </w:t>
      </w:r>
      <w:r>
        <w:rPr>
          <w:rFonts w:ascii="Arial" w:hAnsi="Arial" w:eastAsia="Arial" w:cs="Arial"/>
          <w:spacing w:val="-2"/>
          <w:sz w:val="15"/>
          <w:szCs w:val="15"/>
        </w:rPr>
        <w:t>Sciences,</w:t>
      </w:r>
      <w:r>
        <w:rPr>
          <w:rFonts w:ascii="Arial" w:hAnsi="Arial" w:eastAsia="Arial" w:cs="Arial"/>
          <w:sz w:val="15"/>
          <w:szCs w:val="15"/>
        </w:rPr>
        <w:t xml:space="preserve"> </w:t>
      </w:r>
      <w:r>
        <w:rPr>
          <w:rFonts w:ascii="Arial" w:hAnsi="Arial" w:eastAsia="Arial" w:cs="Arial"/>
          <w:spacing w:val="-1"/>
          <w:sz w:val="15"/>
          <w:szCs w:val="15"/>
        </w:rPr>
        <w:t>Research</w:t>
      </w:r>
      <w:r>
        <w:rPr>
          <w:rFonts w:ascii="Arial" w:hAnsi="Arial" w:eastAsia="Arial" w:cs="Arial"/>
          <w:spacing w:val="32"/>
          <w:w w:val="101"/>
          <w:sz w:val="15"/>
          <w:szCs w:val="15"/>
        </w:rPr>
        <w:t xml:space="preserve"> </w:t>
      </w:r>
      <w:r>
        <w:rPr>
          <w:rFonts w:ascii="Arial" w:hAnsi="Arial" w:eastAsia="Arial" w:cs="Arial"/>
          <w:spacing w:val="-1"/>
          <w:sz w:val="15"/>
          <w:szCs w:val="15"/>
        </w:rPr>
        <w:t>and</w:t>
      </w:r>
      <w:r>
        <w:rPr>
          <w:rFonts w:ascii="Arial" w:hAnsi="Arial" w:eastAsia="Arial" w:cs="Arial"/>
          <w:spacing w:val="30"/>
          <w:w w:val="102"/>
          <w:sz w:val="15"/>
          <w:szCs w:val="15"/>
        </w:rPr>
        <w:t xml:space="preserve"> </w:t>
      </w:r>
      <w:r>
        <w:rPr>
          <w:rFonts w:ascii="Arial" w:hAnsi="Arial" w:eastAsia="Arial" w:cs="Arial"/>
          <w:spacing w:val="-1"/>
          <w:sz w:val="15"/>
          <w:szCs w:val="15"/>
        </w:rPr>
        <w:t>Arts  Baden-Württember</w:t>
      </w:r>
      <w:r>
        <w:rPr>
          <w:rFonts w:ascii="Arial" w:hAnsi="Arial" w:eastAsia="Arial" w:cs="Arial"/>
          <w:spacing w:val="-2"/>
          <w:sz w:val="15"/>
          <w:szCs w:val="15"/>
        </w:rPr>
        <w:t>g,</w:t>
      </w:r>
      <w:r>
        <w:rPr>
          <w:rFonts w:ascii="Arial" w:hAnsi="Arial" w:eastAsia="Arial" w:cs="Arial"/>
          <w:spacing w:val="34"/>
          <w:w w:val="101"/>
          <w:sz w:val="15"/>
          <w:szCs w:val="15"/>
        </w:rPr>
        <w:t xml:space="preserve"> </w:t>
      </w:r>
      <w:r>
        <w:rPr>
          <w:rFonts w:ascii="Arial" w:hAnsi="Arial" w:eastAsia="Arial" w:cs="Arial"/>
          <w:spacing w:val="-2"/>
          <w:sz w:val="15"/>
          <w:szCs w:val="15"/>
        </w:rPr>
        <w:t>Germany’</w:t>
      </w:r>
      <w:r>
        <w:rPr>
          <w:rFonts w:ascii="Arial" w:hAnsi="Arial" w:eastAsia="Arial" w:cs="Arial"/>
          <w:spacing w:val="39"/>
          <w:sz w:val="15"/>
          <w:szCs w:val="15"/>
        </w:rPr>
        <w:t xml:space="preserve"> </w:t>
      </w:r>
      <w:r>
        <w:rPr>
          <w:rFonts w:ascii="Arial" w:hAnsi="Arial" w:eastAsia="Arial" w:cs="Arial"/>
          <w:spacing w:val="-2"/>
          <w:sz w:val="15"/>
          <w:szCs w:val="15"/>
        </w:rPr>
        <w:t>(Innovations-</w:t>
      </w:r>
      <w:r>
        <w:rPr>
          <w:rFonts w:ascii="Arial" w:hAnsi="Arial" w:eastAsia="Arial" w:cs="Arial"/>
          <w:spacing w:val="39"/>
          <w:sz w:val="15"/>
          <w:szCs w:val="15"/>
        </w:rPr>
        <w:t xml:space="preserve"> </w:t>
      </w:r>
      <w:r>
        <w:rPr>
          <w:rFonts w:ascii="Arial" w:hAnsi="Arial" w:eastAsia="Arial" w:cs="Arial"/>
          <w:spacing w:val="-2"/>
          <w:sz w:val="15"/>
          <w:szCs w:val="15"/>
        </w:rPr>
        <w:t>und</w:t>
      </w:r>
      <w:r>
        <w:rPr>
          <w:rFonts w:ascii="Arial" w:hAnsi="Arial" w:eastAsia="Arial" w:cs="Arial"/>
          <w:spacing w:val="32"/>
          <w:w w:val="101"/>
          <w:sz w:val="15"/>
          <w:szCs w:val="15"/>
        </w:rPr>
        <w:t xml:space="preserve"> </w:t>
      </w:r>
      <w:r>
        <w:rPr>
          <w:rFonts w:ascii="Arial" w:hAnsi="Arial" w:eastAsia="Arial" w:cs="Arial"/>
          <w:spacing w:val="-2"/>
          <w:sz w:val="15"/>
          <w:szCs w:val="15"/>
        </w:rPr>
        <w:t>Qualitätsfonds</w:t>
      </w:r>
      <w:r>
        <w:rPr>
          <w:rFonts w:ascii="Arial" w:hAnsi="Arial" w:eastAsia="Arial" w:cs="Arial"/>
          <w:spacing w:val="38"/>
          <w:w w:val="101"/>
          <w:sz w:val="15"/>
          <w:szCs w:val="15"/>
        </w:rPr>
        <w:t xml:space="preserve"> </w:t>
      </w:r>
      <w:r>
        <w:rPr>
          <w:rFonts w:ascii="Arial" w:hAnsi="Arial" w:eastAsia="Arial" w:cs="Arial"/>
          <w:spacing w:val="-2"/>
          <w:sz w:val="15"/>
          <w:szCs w:val="15"/>
        </w:rPr>
        <w:t>(IQF)</w:t>
      </w:r>
      <w:r>
        <w:rPr>
          <w:rFonts w:ascii="Arial" w:hAnsi="Arial" w:eastAsia="Arial" w:cs="Arial"/>
          <w:spacing w:val="33"/>
          <w:sz w:val="15"/>
          <w:szCs w:val="15"/>
        </w:rPr>
        <w:t xml:space="preserve"> </w:t>
      </w:r>
      <w:r>
        <w:rPr>
          <w:rFonts w:ascii="Arial" w:hAnsi="Arial" w:eastAsia="Arial" w:cs="Arial"/>
          <w:spacing w:val="-2"/>
          <w:sz w:val="15"/>
          <w:szCs w:val="15"/>
        </w:rPr>
        <w:t>des</w:t>
      </w:r>
      <w:r>
        <w:rPr>
          <w:rFonts w:ascii="Arial" w:hAnsi="Arial" w:eastAsia="Arial" w:cs="Arial"/>
          <w:spacing w:val="36"/>
          <w:sz w:val="15"/>
          <w:szCs w:val="15"/>
        </w:rPr>
        <w:t xml:space="preserve"> </w:t>
      </w:r>
      <w:r>
        <w:rPr>
          <w:rFonts w:ascii="Arial" w:hAnsi="Arial" w:eastAsia="Arial" w:cs="Arial"/>
          <w:spacing w:val="-2"/>
          <w:sz w:val="15"/>
          <w:szCs w:val="15"/>
        </w:rPr>
        <w:t>Ministeriums</w:t>
      </w:r>
      <w:r>
        <w:rPr>
          <w:rFonts w:ascii="Arial" w:hAnsi="Arial" w:eastAsia="Arial" w:cs="Arial"/>
          <w:spacing w:val="30"/>
          <w:w w:val="102"/>
          <w:sz w:val="15"/>
          <w:szCs w:val="15"/>
        </w:rPr>
        <w:t xml:space="preserve"> </w:t>
      </w:r>
      <w:r>
        <w:rPr>
          <w:rFonts w:ascii="Arial" w:hAnsi="Arial" w:eastAsia="Arial" w:cs="Arial"/>
          <w:spacing w:val="-2"/>
          <w:sz w:val="15"/>
          <w:szCs w:val="15"/>
        </w:rPr>
        <w:t>für</w:t>
      </w:r>
      <w:r>
        <w:rPr>
          <w:rFonts w:ascii="Arial" w:hAnsi="Arial" w:eastAsia="Arial" w:cs="Arial"/>
          <w:spacing w:val="30"/>
          <w:sz w:val="15"/>
          <w:szCs w:val="15"/>
        </w:rPr>
        <w:t xml:space="preserve"> </w:t>
      </w:r>
      <w:r>
        <w:rPr>
          <w:rFonts w:ascii="Arial" w:hAnsi="Arial" w:eastAsia="Arial" w:cs="Arial"/>
          <w:spacing w:val="-2"/>
          <w:sz w:val="15"/>
          <w:szCs w:val="15"/>
        </w:rPr>
        <w:t>Wis-</w:t>
      </w:r>
      <w:r>
        <w:rPr>
          <w:rFonts w:ascii="Arial" w:hAnsi="Arial" w:eastAsia="Arial" w:cs="Arial"/>
          <w:sz w:val="15"/>
          <w:szCs w:val="15"/>
        </w:rPr>
        <w:t xml:space="preserve"> </w:t>
      </w:r>
      <w:r>
        <w:rPr>
          <w:rFonts w:ascii="Arial" w:hAnsi="Arial" w:eastAsia="Arial" w:cs="Arial"/>
          <w:spacing w:val="-1"/>
          <w:sz w:val="15"/>
          <w:szCs w:val="15"/>
        </w:rPr>
        <w:t>senschaft,</w:t>
      </w:r>
      <w:r>
        <w:rPr>
          <w:rFonts w:ascii="Arial" w:hAnsi="Arial" w:eastAsia="Arial" w:cs="Arial"/>
          <w:spacing w:val="19"/>
          <w:sz w:val="15"/>
          <w:szCs w:val="15"/>
        </w:rPr>
        <w:t xml:space="preserve"> </w:t>
      </w:r>
      <w:r>
        <w:rPr>
          <w:rFonts w:ascii="Arial" w:hAnsi="Arial" w:eastAsia="Arial" w:cs="Arial"/>
          <w:spacing w:val="-1"/>
          <w:sz w:val="15"/>
          <w:szCs w:val="15"/>
        </w:rPr>
        <w:t>Forschung</w:t>
      </w:r>
      <w:r>
        <w:rPr>
          <w:rFonts w:ascii="Arial" w:hAnsi="Arial" w:eastAsia="Arial" w:cs="Arial"/>
          <w:spacing w:val="17"/>
          <w:w w:val="101"/>
          <w:sz w:val="15"/>
          <w:szCs w:val="15"/>
        </w:rPr>
        <w:t xml:space="preserve"> </w:t>
      </w:r>
      <w:r>
        <w:rPr>
          <w:rFonts w:ascii="Arial" w:hAnsi="Arial" w:eastAsia="Arial" w:cs="Arial"/>
          <w:spacing w:val="-1"/>
          <w:sz w:val="15"/>
          <w:szCs w:val="15"/>
        </w:rPr>
        <w:t>und</w:t>
      </w:r>
      <w:r>
        <w:rPr>
          <w:rFonts w:ascii="Arial" w:hAnsi="Arial" w:eastAsia="Arial" w:cs="Arial"/>
          <w:spacing w:val="17"/>
          <w:w w:val="101"/>
          <w:sz w:val="15"/>
          <w:szCs w:val="15"/>
        </w:rPr>
        <w:t xml:space="preserve"> </w:t>
      </w:r>
      <w:r>
        <w:rPr>
          <w:rFonts w:ascii="Arial" w:hAnsi="Arial" w:eastAsia="Arial" w:cs="Arial"/>
          <w:spacing w:val="-1"/>
          <w:sz w:val="15"/>
          <w:szCs w:val="15"/>
        </w:rPr>
        <w:t>Kunst</w:t>
      </w:r>
      <w:r>
        <w:rPr>
          <w:rFonts w:ascii="Arial" w:hAnsi="Arial" w:eastAsia="Arial" w:cs="Arial"/>
          <w:spacing w:val="18"/>
          <w:w w:val="101"/>
          <w:sz w:val="15"/>
          <w:szCs w:val="15"/>
        </w:rPr>
        <w:t xml:space="preserve"> </w:t>
      </w:r>
      <w:r>
        <w:rPr>
          <w:rFonts w:ascii="Arial" w:hAnsi="Arial" w:eastAsia="Arial" w:cs="Arial"/>
          <w:spacing w:val="-1"/>
          <w:sz w:val="15"/>
          <w:szCs w:val="15"/>
        </w:rPr>
        <w:t>Baden-Württemberg,</w:t>
      </w:r>
      <w:r>
        <w:rPr>
          <w:rFonts w:ascii="Arial" w:hAnsi="Arial" w:eastAsia="Arial" w:cs="Arial"/>
          <w:spacing w:val="18"/>
          <w:w w:val="101"/>
          <w:sz w:val="15"/>
          <w:szCs w:val="15"/>
        </w:rPr>
        <w:t xml:space="preserve"> </w:t>
      </w:r>
      <w:r>
        <w:rPr>
          <w:rFonts w:ascii="Arial" w:hAnsi="Arial" w:eastAsia="Arial" w:cs="Arial"/>
          <w:spacing w:val="-1"/>
          <w:sz w:val="15"/>
          <w:szCs w:val="15"/>
        </w:rPr>
        <w:t>D</w:t>
      </w:r>
      <w:r>
        <w:rPr>
          <w:rFonts w:ascii="Arial" w:hAnsi="Arial" w:eastAsia="Arial" w:cs="Arial"/>
          <w:spacing w:val="-2"/>
          <w:sz w:val="15"/>
          <w:szCs w:val="15"/>
        </w:rPr>
        <w:t>eutschland). Term:</w:t>
      </w:r>
      <w:r>
        <w:rPr>
          <w:rFonts w:ascii="Arial" w:hAnsi="Arial" w:eastAsia="Arial" w:cs="Arial"/>
          <w:spacing w:val="11"/>
          <w:w w:val="101"/>
          <w:sz w:val="15"/>
          <w:szCs w:val="15"/>
        </w:rPr>
        <w:t xml:space="preserve"> </w:t>
      </w:r>
      <w:r>
        <w:rPr>
          <w:rFonts w:ascii="Arial" w:hAnsi="Arial" w:eastAsia="Arial" w:cs="Arial"/>
          <w:spacing w:val="-2"/>
          <w:sz w:val="15"/>
          <w:szCs w:val="15"/>
        </w:rPr>
        <w:t>04/2012-05/2015.</w:t>
      </w:r>
    </w:p>
    <w:p>
      <w:pPr>
        <w:spacing w:line="255" w:lineRule="auto"/>
        <w:rPr>
          <w:rFonts w:ascii="Arial" w:hAnsi="Arial" w:eastAsia="Arial" w:cs="Arial"/>
          <w:sz w:val="15"/>
          <w:szCs w:val="15"/>
        </w:rPr>
        <w:sectPr>
          <w:pgSz w:w="9865" w:h="14060"/>
          <w:pgMar w:top="400" w:right="952" w:bottom="400" w:left="960" w:header="0" w:footer="0" w:gutter="0"/>
          <w:cols w:space="720" w:num="1"/>
        </w:sectPr>
      </w:pPr>
    </w:p>
    <w:p>
      <w:pPr>
        <w:spacing w:line="82" w:lineRule="exact"/>
      </w:pPr>
      <w:r>
        <w:drawing>
          <wp:anchor distT="0" distB="0" distL="0" distR="0" simplePos="0" relativeHeight="251749376" behindDoc="0" locked="0" layoutInCell="0" allowOverlap="1">
            <wp:simplePos x="0" y="0"/>
            <wp:positionH relativeFrom="page">
              <wp:posOffset>805180</wp:posOffset>
            </wp:positionH>
            <wp:positionV relativeFrom="page">
              <wp:posOffset>319405</wp:posOffset>
            </wp:positionV>
            <wp:extent cx="139700" cy="13970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42"/>
                    <a:stretch>
                      <a:fillRect/>
                    </a:stretch>
                  </pic:blipFill>
                  <pic:spPr>
                    <a:xfrm>
                      <a:off x="0" y="0"/>
                      <a:ext cx="139700" cy="139700"/>
                    </a:xfrm>
                    <a:prstGeom prst="rect">
                      <a:avLst/>
                    </a:prstGeom>
                  </pic:spPr>
                </pic:pic>
              </a:graphicData>
            </a:graphic>
          </wp:anchor>
        </w:drawing>
      </w:r>
    </w:p>
    <w:p>
      <w:pPr>
        <w:spacing w:line="82" w:lineRule="exact"/>
        <w:sectPr>
          <w:pgSz w:w="9865" w:h="14060"/>
          <w:pgMar w:top="400" w:right="934" w:bottom="400" w:left="768" w:header="0" w:footer="0" w:gutter="0"/>
          <w:cols w:equalWidth="0" w:num="1">
            <w:col w:w="8162"/>
          </w:cols>
        </w:sectPr>
      </w:pPr>
    </w:p>
    <w:p>
      <w:pPr>
        <w:spacing w:before="78" w:line="192" w:lineRule="auto"/>
        <w:ind w:left="207"/>
        <w:rPr>
          <w:rFonts w:ascii="Arial" w:hAnsi="Arial" w:eastAsia="Arial" w:cs="Arial"/>
          <w:sz w:val="14"/>
          <w:szCs w:val="14"/>
        </w:rPr>
      </w:pPr>
      <w:r>
        <w:rPr>
          <w:rFonts w:ascii="Arial" w:hAnsi="Arial" w:eastAsia="Arial" w:cs="Arial"/>
          <w:spacing w:val="-4"/>
          <w:sz w:val="14"/>
          <w:szCs w:val="14"/>
        </w:rPr>
        <w:t>16</w:t>
      </w:r>
    </w:p>
    <w:p>
      <w:pPr>
        <w:spacing w:line="34" w:lineRule="exact"/>
      </w:pPr>
    </w:p>
    <w:p>
      <w:pPr>
        <w:spacing w:line="14" w:lineRule="auto"/>
        <w:rPr>
          <w:rFonts w:ascii="Arial"/>
          <w:sz w:val="2"/>
        </w:rPr>
      </w:pPr>
      <w:r>
        <w:rPr>
          <w:rFonts w:ascii="Arial" w:hAnsi="Arial" w:eastAsia="Arial" w:cs="Arial"/>
          <w:sz w:val="2"/>
          <w:szCs w:val="2"/>
        </w:rPr>
        <w:br w:type="column"/>
      </w:r>
    </w:p>
    <w:p>
      <w:pPr>
        <w:spacing w:before="73" w:line="197" w:lineRule="auto"/>
        <w:rPr>
          <w:rFonts w:ascii="Arial" w:hAnsi="Arial" w:eastAsia="Arial" w:cs="Arial"/>
          <w:sz w:val="14"/>
          <w:szCs w:val="14"/>
        </w:rPr>
      </w:pPr>
      <w:r>
        <w:rPr>
          <w:rFonts w:ascii="Arial" w:hAnsi="Arial" w:eastAsia="Arial" w:cs="Arial"/>
          <w:spacing w:val="-7"/>
          <w:sz w:val="14"/>
          <w:szCs w:val="14"/>
        </w:rPr>
        <w:t>C.</w:t>
      </w:r>
      <w:r>
        <w:rPr>
          <w:rFonts w:ascii="Arial" w:hAnsi="Arial" w:eastAsia="Arial" w:cs="Arial"/>
          <w:spacing w:val="29"/>
          <w:w w:val="101"/>
          <w:sz w:val="14"/>
          <w:szCs w:val="14"/>
        </w:rPr>
        <w:t xml:space="preserve"> </w:t>
      </w:r>
      <w:r>
        <w:rPr>
          <w:rFonts w:ascii="Arial" w:hAnsi="Arial" w:eastAsia="Arial" w:cs="Arial"/>
          <w:spacing w:val="-7"/>
          <w:sz w:val="14"/>
          <w:szCs w:val="14"/>
        </w:rPr>
        <w:t>HILDESHEIM AND</w:t>
      </w:r>
      <w:r>
        <w:rPr>
          <w:rFonts w:ascii="Arial" w:hAnsi="Arial" w:eastAsia="Arial" w:cs="Arial"/>
          <w:spacing w:val="11"/>
          <w:w w:val="101"/>
          <w:sz w:val="14"/>
          <w:szCs w:val="14"/>
        </w:rPr>
        <w:t xml:space="preserve"> </w:t>
      </w:r>
      <w:r>
        <w:rPr>
          <w:rFonts w:ascii="Arial" w:hAnsi="Arial" w:eastAsia="Arial" w:cs="Arial"/>
          <w:spacing w:val="-7"/>
          <w:sz w:val="14"/>
          <w:szCs w:val="14"/>
        </w:rPr>
        <w:t>K. SONNTAG</w:t>
      </w:r>
    </w:p>
    <w:p>
      <w:pPr>
        <w:spacing w:line="197" w:lineRule="auto"/>
        <w:rPr>
          <w:rFonts w:ascii="Arial" w:hAnsi="Arial" w:eastAsia="Arial" w:cs="Arial"/>
          <w:sz w:val="14"/>
          <w:szCs w:val="14"/>
        </w:rPr>
        <w:sectPr>
          <w:type w:val="continuous"/>
          <w:pgSz w:w="9865" w:h="14060"/>
          <w:pgMar w:top="400" w:right="934" w:bottom="400" w:left="768" w:header="0" w:footer="0" w:gutter="0"/>
          <w:cols w:equalWidth="0" w:num="2">
            <w:col w:w="776" w:space="100"/>
            <w:col w:w="7286"/>
          </w:cols>
        </w:sectPr>
      </w:pPr>
    </w:p>
    <w:p>
      <w:pPr>
        <w:spacing w:line="271" w:lineRule="auto"/>
        <w:rPr>
          <w:rFonts w:ascii="Arial"/>
          <w:sz w:val="21"/>
        </w:rPr>
      </w:pPr>
    </w:p>
    <w:p>
      <w:pPr>
        <w:spacing w:before="61" w:line="192" w:lineRule="auto"/>
        <w:ind w:left="205"/>
        <w:outlineLvl w:val="2"/>
        <w:rPr>
          <w:rFonts w:ascii="Arial" w:hAnsi="Arial" w:eastAsia="Arial" w:cs="Arial"/>
          <w:sz w:val="21"/>
          <w:szCs w:val="21"/>
        </w:rPr>
      </w:pPr>
      <w:bookmarkStart w:id="15" w:name="bookmark114"/>
      <w:bookmarkEnd w:id="15"/>
      <w:bookmarkStart w:id="16" w:name="bookmark111"/>
      <w:bookmarkEnd w:id="16"/>
      <w:bookmarkStart w:id="17" w:name="bookmark108"/>
      <w:bookmarkEnd w:id="17"/>
      <w:bookmarkStart w:id="18" w:name="bookmark112"/>
      <w:bookmarkEnd w:id="18"/>
      <w:bookmarkStart w:id="19" w:name="bookmark90"/>
      <w:bookmarkEnd w:id="19"/>
      <w:bookmarkStart w:id="20" w:name="bookmark103"/>
      <w:bookmarkEnd w:id="20"/>
      <w:bookmarkStart w:id="21" w:name="bookmark64"/>
      <w:bookmarkEnd w:id="21"/>
      <w:bookmarkStart w:id="22" w:name="bookmark60"/>
      <w:bookmarkEnd w:id="22"/>
      <w:bookmarkStart w:id="23" w:name="bookmark61"/>
      <w:bookmarkEnd w:id="23"/>
      <w:bookmarkStart w:id="24" w:name="bookmark74"/>
      <w:bookmarkEnd w:id="24"/>
      <w:bookmarkStart w:id="25" w:name="bookmark83"/>
      <w:bookmarkEnd w:id="25"/>
      <w:bookmarkStart w:id="26" w:name="bookmark63"/>
      <w:bookmarkEnd w:id="26"/>
      <w:bookmarkStart w:id="27" w:name="bookmark70"/>
      <w:bookmarkEnd w:id="27"/>
      <w:bookmarkStart w:id="28" w:name="bookmark69"/>
      <w:bookmarkEnd w:id="28"/>
      <w:bookmarkStart w:id="29" w:name="bookmark59"/>
      <w:bookmarkEnd w:id="29"/>
      <w:bookmarkStart w:id="30" w:name="bookmark75"/>
      <w:bookmarkEnd w:id="30"/>
      <w:bookmarkStart w:id="31" w:name="bookmark35"/>
      <w:bookmarkEnd w:id="31"/>
      <w:bookmarkStart w:id="32" w:name="bookmark9"/>
      <w:bookmarkEnd w:id="32"/>
      <w:bookmarkStart w:id="33" w:name="bookmark76"/>
      <w:bookmarkEnd w:id="33"/>
      <w:bookmarkStart w:id="34" w:name="bookmark100"/>
      <w:bookmarkEnd w:id="34"/>
      <w:bookmarkStart w:id="35" w:name="bookmark67"/>
      <w:bookmarkEnd w:id="35"/>
      <w:bookmarkStart w:id="36" w:name="bookmark101"/>
      <w:bookmarkEnd w:id="36"/>
      <w:bookmarkStart w:id="37" w:name="bookmark26"/>
      <w:bookmarkEnd w:id="37"/>
      <w:bookmarkStart w:id="38" w:name="bookmark6"/>
      <w:bookmarkEnd w:id="38"/>
      <w:bookmarkStart w:id="39" w:name="bookmark66"/>
      <w:bookmarkEnd w:id="39"/>
      <w:bookmarkStart w:id="40" w:name="bookmark36"/>
      <w:bookmarkEnd w:id="40"/>
      <w:bookmarkStart w:id="41" w:name="bookmark13"/>
      <w:bookmarkEnd w:id="41"/>
      <w:bookmarkStart w:id="42" w:name="bookmark17"/>
      <w:bookmarkEnd w:id="42"/>
      <w:bookmarkStart w:id="43" w:name="bookmark58"/>
      <w:bookmarkEnd w:id="43"/>
      <w:bookmarkStart w:id="44" w:name="bookmark68"/>
      <w:bookmarkEnd w:id="44"/>
      <w:bookmarkStart w:id="45" w:name="bookmark73"/>
      <w:bookmarkEnd w:id="45"/>
      <w:bookmarkStart w:id="46" w:name="bookmark115"/>
      <w:bookmarkEnd w:id="46"/>
      <w:bookmarkStart w:id="47" w:name="bookmark96"/>
      <w:bookmarkEnd w:id="47"/>
      <w:bookmarkStart w:id="48" w:name="bookmark109"/>
      <w:bookmarkEnd w:id="48"/>
      <w:bookmarkStart w:id="49" w:name="bookmark113"/>
      <w:bookmarkEnd w:id="49"/>
      <w:bookmarkStart w:id="50" w:name="bookmark87"/>
      <w:bookmarkEnd w:id="50"/>
      <w:bookmarkStart w:id="51" w:name="bookmark99"/>
      <w:bookmarkEnd w:id="51"/>
      <w:bookmarkStart w:id="52" w:name="bookmark98"/>
      <w:bookmarkEnd w:id="52"/>
      <w:bookmarkStart w:id="53" w:name="bookmark104"/>
      <w:bookmarkEnd w:id="53"/>
      <w:bookmarkStart w:id="54" w:name="bookmark77"/>
      <w:bookmarkEnd w:id="54"/>
      <w:bookmarkStart w:id="55" w:name="bookmark62"/>
      <w:bookmarkEnd w:id="55"/>
      <w:bookmarkStart w:id="56" w:name="bookmark97"/>
      <w:bookmarkEnd w:id="56"/>
      <w:bookmarkStart w:id="57" w:name="bookmark105"/>
      <w:bookmarkEnd w:id="57"/>
      <w:bookmarkStart w:id="58" w:name="bookmark106"/>
      <w:bookmarkEnd w:id="58"/>
      <w:bookmarkStart w:id="59" w:name="bookmark82"/>
      <w:bookmarkEnd w:id="59"/>
      <w:bookmarkStart w:id="60" w:name="bookmark89"/>
      <w:bookmarkEnd w:id="60"/>
      <w:bookmarkStart w:id="61" w:name="bookmark57"/>
      <w:bookmarkEnd w:id="61"/>
      <w:bookmarkStart w:id="62" w:name="bookmark21"/>
      <w:bookmarkEnd w:id="62"/>
      <w:bookmarkStart w:id="63" w:name="bookmark43"/>
      <w:bookmarkEnd w:id="63"/>
      <w:bookmarkStart w:id="64" w:name="bookmark30"/>
      <w:bookmarkEnd w:id="64"/>
      <w:bookmarkStart w:id="65" w:name="bookmark11"/>
      <w:bookmarkEnd w:id="65"/>
      <w:bookmarkStart w:id="66" w:name="bookmark52"/>
      <w:bookmarkEnd w:id="66"/>
      <w:bookmarkStart w:id="67" w:name="bookmark12"/>
      <w:bookmarkEnd w:id="67"/>
      <w:bookmarkStart w:id="68" w:name="bookmark29"/>
      <w:bookmarkEnd w:id="68"/>
      <w:bookmarkStart w:id="69" w:name="bookmark18"/>
      <w:bookmarkEnd w:id="69"/>
      <w:bookmarkStart w:id="70" w:name="bookmark7"/>
      <w:bookmarkEnd w:id="70"/>
      <w:bookmarkStart w:id="71" w:name="bookmark56"/>
      <w:bookmarkEnd w:id="71"/>
      <w:bookmarkStart w:id="72" w:name="bookmark38"/>
      <w:bookmarkEnd w:id="72"/>
      <w:bookmarkStart w:id="73" w:name="bookmark53"/>
      <w:bookmarkEnd w:id="73"/>
      <w:bookmarkStart w:id="74" w:name="bookmark8"/>
      <w:bookmarkEnd w:id="74"/>
      <w:bookmarkStart w:id="75" w:name="bookmark32"/>
      <w:bookmarkEnd w:id="75"/>
      <w:bookmarkStart w:id="76" w:name="bookmark51"/>
      <w:bookmarkEnd w:id="76"/>
      <w:bookmarkStart w:id="77" w:name="bookmark22"/>
      <w:bookmarkEnd w:id="77"/>
      <w:bookmarkStart w:id="78" w:name="bookmark37"/>
      <w:bookmarkEnd w:id="78"/>
      <w:r>
        <w:rPr>
          <w:rFonts w:ascii="Arial" w:hAnsi="Arial" w:eastAsia="Arial" w:cs="Arial"/>
          <w:color w:val="282781"/>
          <w:spacing w:val="-1"/>
          <w:sz w:val="21"/>
          <w:szCs w:val="21"/>
        </w:rPr>
        <w:t>Disclosure statement</w:t>
      </w:r>
    </w:p>
    <w:p>
      <w:pPr>
        <w:spacing w:before="135" w:line="180" w:lineRule="exact"/>
        <w:ind w:left="203"/>
        <w:rPr>
          <w:rFonts w:ascii="Arial" w:hAnsi="Arial" w:eastAsia="Arial" w:cs="Arial"/>
          <w:sz w:val="15"/>
          <w:szCs w:val="15"/>
        </w:rPr>
      </w:pPr>
      <w:r>
        <w:rPr>
          <w:rFonts w:ascii="Arial" w:hAnsi="Arial" w:eastAsia="Arial" w:cs="Arial"/>
          <w:spacing w:val="2"/>
          <w:position w:val="2"/>
          <w:sz w:val="15"/>
          <w:szCs w:val="15"/>
        </w:rPr>
        <w:t>No</w:t>
      </w:r>
      <w:r>
        <w:rPr>
          <w:rFonts w:ascii="Arial" w:hAnsi="Arial" w:eastAsia="Arial" w:cs="Arial"/>
          <w:spacing w:val="17"/>
          <w:w w:val="101"/>
          <w:position w:val="2"/>
          <w:sz w:val="15"/>
          <w:szCs w:val="15"/>
        </w:rPr>
        <w:t xml:space="preserve"> </w:t>
      </w:r>
      <w:r>
        <w:rPr>
          <w:rFonts w:ascii="Arial" w:hAnsi="Arial" w:eastAsia="Arial" w:cs="Arial"/>
          <w:spacing w:val="2"/>
          <w:position w:val="2"/>
          <w:sz w:val="15"/>
          <w:szCs w:val="15"/>
        </w:rPr>
        <w:t>potential</w:t>
      </w:r>
      <w:r>
        <w:rPr>
          <w:rFonts w:ascii="Arial" w:hAnsi="Arial" w:eastAsia="Arial" w:cs="Arial"/>
          <w:spacing w:val="13"/>
          <w:position w:val="2"/>
          <w:sz w:val="15"/>
          <w:szCs w:val="15"/>
        </w:rPr>
        <w:t xml:space="preserve"> </w:t>
      </w:r>
      <w:r>
        <w:rPr>
          <w:rFonts w:ascii="Arial" w:hAnsi="Arial" w:eastAsia="Arial" w:cs="Arial"/>
          <w:spacing w:val="2"/>
          <w:position w:val="2"/>
          <w:sz w:val="15"/>
          <w:szCs w:val="15"/>
        </w:rPr>
        <w:t>conlict</w:t>
      </w:r>
      <w:r>
        <w:rPr>
          <w:rFonts w:ascii="Arial" w:hAnsi="Arial" w:eastAsia="Arial" w:cs="Arial"/>
          <w:spacing w:val="12"/>
          <w:position w:val="2"/>
          <w:sz w:val="15"/>
          <w:szCs w:val="15"/>
        </w:rPr>
        <w:t xml:space="preserve"> </w:t>
      </w:r>
      <w:r>
        <w:rPr>
          <w:rFonts w:ascii="Arial" w:hAnsi="Arial" w:eastAsia="Arial" w:cs="Arial"/>
          <w:spacing w:val="2"/>
          <w:position w:val="2"/>
          <w:sz w:val="15"/>
          <w:szCs w:val="15"/>
        </w:rPr>
        <w:t>of interest was</w:t>
      </w:r>
      <w:r>
        <w:rPr>
          <w:rFonts w:ascii="Arial" w:hAnsi="Arial" w:eastAsia="Arial" w:cs="Arial"/>
          <w:spacing w:val="17"/>
          <w:position w:val="2"/>
          <w:sz w:val="15"/>
          <w:szCs w:val="15"/>
        </w:rPr>
        <w:t xml:space="preserve"> </w:t>
      </w:r>
      <w:r>
        <w:rPr>
          <w:rFonts w:ascii="Arial" w:hAnsi="Arial" w:eastAsia="Arial" w:cs="Arial"/>
          <w:spacing w:val="2"/>
          <w:position w:val="2"/>
          <w:sz w:val="15"/>
          <w:szCs w:val="15"/>
        </w:rPr>
        <w:t>reported</w:t>
      </w:r>
      <w:r>
        <w:rPr>
          <w:rFonts w:ascii="Arial" w:hAnsi="Arial" w:eastAsia="Arial" w:cs="Arial"/>
          <w:spacing w:val="16"/>
          <w:w w:val="101"/>
          <w:position w:val="2"/>
          <w:sz w:val="15"/>
          <w:szCs w:val="15"/>
        </w:rPr>
        <w:t xml:space="preserve"> </w:t>
      </w:r>
      <w:r>
        <w:rPr>
          <w:rFonts w:ascii="Arial" w:hAnsi="Arial" w:eastAsia="Arial" w:cs="Arial"/>
          <w:spacing w:val="1"/>
          <w:position w:val="2"/>
          <w:sz w:val="15"/>
          <w:szCs w:val="15"/>
        </w:rPr>
        <w:t>by the</w:t>
      </w:r>
      <w:r>
        <w:rPr>
          <w:rFonts w:ascii="Arial" w:hAnsi="Arial" w:eastAsia="Arial" w:cs="Arial"/>
          <w:spacing w:val="11"/>
          <w:w w:val="102"/>
          <w:position w:val="2"/>
          <w:sz w:val="15"/>
          <w:szCs w:val="15"/>
        </w:rPr>
        <w:t xml:space="preserve"> </w:t>
      </w:r>
      <w:r>
        <w:rPr>
          <w:rFonts w:ascii="Arial" w:hAnsi="Arial" w:eastAsia="Arial" w:cs="Arial"/>
          <w:spacing w:val="1"/>
          <w:position w:val="2"/>
          <w:sz w:val="15"/>
          <w:szCs w:val="15"/>
        </w:rPr>
        <w:t>authors.</w:t>
      </w:r>
    </w:p>
    <w:p>
      <w:pPr>
        <w:spacing w:line="280" w:lineRule="auto"/>
        <w:rPr>
          <w:rFonts w:ascii="Arial"/>
          <w:sz w:val="21"/>
        </w:rPr>
      </w:pPr>
    </w:p>
    <w:p>
      <w:pPr>
        <w:spacing w:line="281" w:lineRule="auto"/>
        <w:rPr>
          <w:rFonts w:ascii="Arial"/>
          <w:sz w:val="21"/>
        </w:rPr>
      </w:pPr>
    </w:p>
    <w:p>
      <w:pPr>
        <w:spacing w:before="60" w:line="192" w:lineRule="auto"/>
        <w:ind w:left="205"/>
        <w:rPr>
          <w:rFonts w:ascii="Arial" w:hAnsi="Arial" w:eastAsia="Arial" w:cs="Arial"/>
          <w:sz w:val="21"/>
          <w:szCs w:val="21"/>
        </w:rPr>
      </w:pPr>
      <w:r>
        <w:rPr>
          <w:rFonts w:ascii="Arial" w:hAnsi="Arial" w:eastAsia="Arial" w:cs="Arial"/>
          <w:color w:val="282781"/>
          <w:sz w:val="21"/>
          <w:szCs w:val="21"/>
        </w:rPr>
        <w:t>Funding</w:t>
      </w:r>
    </w:p>
    <w:p>
      <w:pPr>
        <w:spacing w:before="160" w:line="233" w:lineRule="auto"/>
        <w:ind w:left="193" w:right="24" w:hanging="2"/>
        <w:rPr>
          <w:rFonts w:ascii="Arial" w:hAnsi="Arial" w:eastAsia="Arial" w:cs="Arial"/>
          <w:sz w:val="15"/>
          <w:szCs w:val="15"/>
        </w:rPr>
      </w:pPr>
      <w:r>
        <w:rPr>
          <w:rFonts w:ascii="Arial" w:hAnsi="Arial" w:eastAsia="Arial" w:cs="Arial"/>
          <w:sz w:val="15"/>
          <w:szCs w:val="15"/>
        </w:rPr>
        <w:t>This work</w:t>
      </w:r>
      <w:r>
        <w:rPr>
          <w:rFonts w:ascii="Arial" w:hAnsi="Arial" w:eastAsia="Arial" w:cs="Arial"/>
          <w:spacing w:val="-8"/>
          <w:sz w:val="15"/>
          <w:szCs w:val="15"/>
        </w:rPr>
        <w:t xml:space="preserve"> </w:t>
      </w:r>
      <w:r>
        <w:rPr>
          <w:rFonts w:ascii="Arial" w:hAnsi="Arial" w:eastAsia="Arial" w:cs="Arial"/>
          <w:sz w:val="15"/>
          <w:szCs w:val="15"/>
        </w:rPr>
        <w:t>was supported by MinisteriumfürWissenschaft, Forschung und Kunst B</w:t>
      </w:r>
      <w:r>
        <w:rPr>
          <w:rFonts w:ascii="Arial" w:hAnsi="Arial" w:eastAsia="Arial" w:cs="Arial"/>
          <w:spacing w:val="-1"/>
          <w:sz w:val="15"/>
          <w:szCs w:val="15"/>
        </w:rPr>
        <w:t>aden-Württemberg: [Grant Number AZ:</w:t>
      </w:r>
      <w:r>
        <w:rPr>
          <w:rFonts w:ascii="Arial" w:hAnsi="Arial" w:eastAsia="Arial" w:cs="Arial"/>
          <w:sz w:val="15"/>
          <w:szCs w:val="15"/>
        </w:rPr>
        <w:t xml:space="preserve"> </w:t>
      </w:r>
      <w:r>
        <w:rPr>
          <w:rFonts w:ascii="Arial" w:hAnsi="Arial" w:eastAsia="Arial" w:cs="Arial"/>
          <w:spacing w:val="-1"/>
          <w:sz w:val="15"/>
          <w:szCs w:val="15"/>
        </w:rPr>
        <w:t>41-0421.915/15/68].</w:t>
      </w:r>
    </w:p>
    <w:p>
      <w:pPr>
        <w:spacing w:line="289" w:lineRule="auto"/>
        <w:rPr>
          <w:rFonts w:ascii="Arial"/>
          <w:sz w:val="21"/>
        </w:rPr>
      </w:pPr>
    </w:p>
    <w:p>
      <w:pPr>
        <w:spacing w:line="290" w:lineRule="auto"/>
        <w:rPr>
          <w:rFonts w:ascii="Arial"/>
          <w:sz w:val="21"/>
        </w:rPr>
      </w:pPr>
    </w:p>
    <w:p>
      <w:pPr>
        <w:spacing w:before="60" w:line="194" w:lineRule="auto"/>
        <w:ind w:left="205"/>
        <w:outlineLvl w:val="2"/>
        <w:rPr>
          <w:rFonts w:ascii="Arial" w:hAnsi="Arial" w:eastAsia="Arial" w:cs="Arial"/>
          <w:sz w:val="21"/>
          <w:szCs w:val="21"/>
        </w:rPr>
      </w:pPr>
      <w:r>
        <w:rPr>
          <w:rFonts w:ascii="Arial" w:hAnsi="Arial" w:eastAsia="Arial" w:cs="Arial"/>
          <w:color w:val="282781"/>
          <w:spacing w:val="-6"/>
          <w:sz w:val="21"/>
          <w:szCs w:val="21"/>
        </w:rPr>
        <w:t>References</w:t>
      </w:r>
    </w:p>
    <w:p>
      <w:pPr>
        <w:spacing w:before="156" w:line="250" w:lineRule="auto"/>
        <w:ind w:left="402" w:right="24" w:hanging="207"/>
        <w:rPr>
          <w:rFonts w:ascii="Arial" w:hAnsi="Arial" w:eastAsia="Arial" w:cs="Arial"/>
          <w:sz w:val="15"/>
          <w:szCs w:val="15"/>
        </w:rPr>
      </w:pPr>
      <w:r>
        <w:rPr>
          <w:rFonts w:ascii="Arial" w:hAnsi="Arial" w:eastAsia="Arial" w:cs="Arial"/>
          <w:spacing w:val="-1"/>
          <w:sz w:val="15"/>
          <w:szCs w:val="15"/>
        </w:rPr>
        <w:t>Ali,  H.  M.,  and</w:t>
      </w:r>
      <w:r>
        <w:rPr>
          <w:rFonts w:ascii="Arial" w:hAnsi="Arial" w:eastAsia="Arial" w:cs="Arial"/>
          <w:spacing w:val="5"/>
          <w:sz w:val="15"/>
          <w:szCs w:val="15"/>
        </w:rPr>
        <w:t xml:space="preserve">  </w:t>
      </w:r>
      <w:r>
        <w:rPr>
          <w:rFonts w:ascii="Arial" w:hAnsi="Arial" w:eastAsia="Arial" w:cs="Arial"/>
          <w:spacing w:val="-1"/>
          <w:sz w:val="15"/>
          <w:szCs w:val="15"/>
        </w:rPr>
        <w:t>M.</w:t>
      </w:r>
      <w:r>
        <w:rPr>
          <w:rFonts w:ascii="Arial" w:hAnsi="Arial" w:eastAsia="Arial" w:cs="Arial"/>
          <w:spacing w:val="6"/>
          <w:sz w:val="15"/>
          <w:szCs w:val="15"/>
        </w:rPr>
        <w:t xml:space="preserve">  </w:t>
      </w:r>
      <w:r>
        <w:rPr>
          <w:rFonts w:ascii="Arial" w:hAnsi="Arial" w:eastAsia="Arial" w:cs="Arial"/>
          <w:spacing w:val="-1"/>
          <w:sz w:val="15"/>
          <w:szCs w:val="15"/>
        </w:rPr>
        <w:t>B.</w:t>
      </w:r>
      <w:r>
        <w:rPr>
          <w:rFonts w:ascii="Arial" w:hAnsi="Arial" w:eastAsia="Arial" w:cs="Arial"/>
          <w:spacing w:val="5"/>
          <w:sz w:val="15"/>
          <w:szCs w:val="15"/>
        </w:rPr>
        <w:t xml:space="preserve">  </w:t>
      </w:r>
      <w:r>
        <w:rPr>
          <w:rFonts w:ascii="Arial" w:hAnsi="Arial" w:eastAsia="Arial" w:cs="Arial"/>
          <w:spacing w:val="-1"/>
          <w:sz w:val="15"/>
          <w:szCs w:val="15"/>
        </w:rPr>
        <w:t>Mu</w:t>
      </w:r>
      <w:r>
        <w:rPr>
          <w:rFonts w:ascii="Arial" w:hAnsi="Arial" w:eastAsia="Arial" w:cs="Arial"/>
          <w:spacing w:val="-2"/>
          <w:sz w:val="15"/>
          <w:szCs w:val="15"/>
        </w:rPr>
        <w:t xml:space="preserve">sah.  </w:t>
      </w:r>
      <w:r>
        <w:fldChar w:fldCharType="begin"/>
      </w:r>
      <w:r>
        <w:instrText xml:space="preserve"> HYPERLINK \l "bookmark42" </w:instrText>
      </w:r>
      <w:r>
        <w:fldChar w:fldCharType="separate"/>
      </w:r>
      <w:r>
        <w:rPr>
          <w:rFonts w:ascii="Arial" w:hAnsi="Arial" w:eastAsia="Arial" w:cs="Arial"/>
          <w:color w:val="000084"/>
          <w:spacing w:val="-2"/>
          <w:sz w:val="15"/>
          <w:szCs w:val="15"/>
        </w:rPr>
        <w:t>2012</w:t>
      </w:r>
      <w:r>
        <w:rPr>
          <w:rFonts w:ascii="Arial" w:hAnsi="Arial" w:eastAsia="Arial" w:cs="Arial"/>
          <w:color w:val="000084"/>
          <w:spacing w:val="-2"/>
          <w:sz w:val="15"/>
          <w:szCs w:val="15"/>
        </w:rPr>
        <w:fldChar w:fldCharType="end"/>
      </w:r>
      <w:r>
        <w:rPr>
          <w:rFonts w:ascii="Arial" w:hAnsi="Arial" w:eastAsia="Arial" w:cs="Arial"/>
          <w:spacing w:val="-2"/>
          <w:sz w:val="15"/>
          <w:szCs w:val="15"/>
        </w:rPr>
        <w:t>.</w:t>
      </w:r>
      <w:r>
        <w:rPr>
          <w:rFonts w:ascii="Arial" w:hAnsi="Arial" w:eastAsia="Arial" w:cs="Arial"/>
          <w:spacing w:val="3"/>
          <w:sz w:val="15"/>
          <w:szCs w:val="15"/>
        </w:rPr>
        <w:t xml:space="preserve">  </w:t>
      </w:r>
      <w:r>
        <w:rPr>
          <w:rFonts w:ascii="Arial" w:hAnsi="Arial" w:eastAsia="Arial" w:cs="Arial"/>
          <w:spacing w:val="-2"/>
          <w:sz w:val="15"/>
          <w:szCs w:val="15"/>
        </w:rPr>
        <w:t>“</w:t>
      </w:r>
      <w:r>
        <w:rPr>
          <w:rFonts w:ascii="Arial" w:hAnsi="Arial" w:eastAsia="Arial" w:cs="Arial"/>
          <w:spacing w:val="-29"/>
          <w:sz w:val="15"/>
          <w:szCs w:val="15"/>
        </w:rPr>
        <w:t xml:space="preserve"> </w:t>
      </w:r>
      <w:r>
        <w:rPr>
          <w:rFonts w:ascii="Arial" w:hAnsi="Arial" w:eastAsia="Arial" w:cs="Arial"/>
          <w:spacing w:val="-2"/>
          <w:sz w:val="15"/>
          <w:szCs w:val="15"/>
        </w:rPr>
        <w:t>Investigation</w:t>
      </w:r>
      <w:r>
        <w:rPr>
          <w:rFonts w:ascii="Arial" w:hAnsi="Arial" w:eastAsia="Arial" w:cs="Arial"/>
          <w:spacing w:val="3"/>
          <w:sz w:val="15"/>
          <w:szCs w:val="15"/>
        </w:rPr>
        <w:t xml:space="preserve">  </w:t>
      </w:r>
      <w:r>
        <w:rPr>
          <w:rFonts w:ascii="Arial" w:hAnsi="Arial" w:eastAsia="Arial" w:cs="Arial"/>
          <w:spacing w:val="-2"/>
          <w:sz w:val="15"/>
          <w:szCs w:val="15"/>
        </w:rPr>
        <w:t>of</w:t>
      </w:r>
      <w:r>
        <w:rPr>
          <w:rFonts w:ascii="Arial" w:hAnsi="Arial" w:eastAsia="Arial" w:cs="Arial"/>
          <w:spacing w:val="2"/>
          <w:sz w:val="15"/>
          <w:szCs w:val="15"/>
        </w:rPr>
        <w:t xml:space="preserve">  </w:t>
      </w:r>
      <w:r>
        <w:rPr>
          <w:rFonts w:ascii="Arial" w:hAnsi="Arial" w:eastAsia="Arial" w:cs="Arial"/>
          <w:spacing w:val="-2"/>
          <w:sz w:val="15"/>
          <w:szCs w:val="15"/>
        </w:rPr>
        <w:t>Malaysian</w:t>
      </w:r>
      <w:r>
        <w:rPr>
          <w:rFonts w:ascii="Arial" w:hAnsi="Arial" w:eastAsia="Arial" w:cs="Arial"/>
          <w:spacing w:val="6"/>
          <w:sz w:val="15"/>
          <w:szCs w:val="15"/>
        </w:rPr>
        <w:t xml:space="preserve">  </w:t>
      </w:r>
      <w:r>
        <w:rPr>
          <w:rFonts w:ascii="Arial" w:hAnsi="Arial" w:eastAsia="Arial" w:cs="Arial"/>
          <w:spacing w:val="-2"/>
          <w:sz w:val="15"/>
          <w:szCs w:val="15"/>
        </w:rPr>
        <w:t>Higher</w:t>
      </w:r>
      <w:r>
        <w:rPr>
          <w:rFonts w:ascii="Arial" w:hAnsi="Arial" w:eastAsia="Arial" w:cs="Arial"/>
          <w:spacing w:val="6"/>
          <w:sz w:val="15"/>
          <w:szCs w:val="15"/>
        </w:rPr>
        <w:t xml:space="preserve">  </w:t>
      </w:r>
      <w:r>
        <w:rPr>
          <w:rFonts w:ascii="Arial" w:hAnsi="Arial" w:eastAsia="Arial" w:cs="Arial"/>
          <w:spacing w:val="-2"/>
          <w:sz w:val="15"/>
          <w:szCs w:val="15"/>
        </w:rPr>
        <w:t>Education</w:t>
      </w:r>
      <w:r>
        <w:rPr>
          <w:rFonts w:ascii="Arial" w:hAnsi="Arial" w:eastAsia="Arial" w:cs="Arial"/>
          <w:spacing w:val="3"/>
          <w:sz w:val="15"/>
          <w:szCs w:val="15"/>
        </w:rPr>
        <w:t xml:space="preserve">  </w:t>
      </w:r>
      <w:r>
        <w:rPr>
          <w:rFonts w:ascii="Arial" w:hAnsi="Arial" w:eastAsia="Arial" w:cs="Arial"/>
          <w:spacing w:val="-2"/>
          <w:sz w:val="15"/>
          <w:szCs w:val="15"/>
        </w:rPr>
        <w:t>Quality</w:t>
      </w:r>
      <w:r>
        <w:rPr>
          <w:rFonts w:ascii="Arial" w:hAnsi="Arial" w:eastAsia="Arial" w:cs="Arial"/>
          <w:spacing w:val="3"/>
          <w:sz w:val="15"/>
          <w:szCs w:val="15"/>
        </w:rPr>
        <w:t xml:space="preserve">  </w:t>
      </w:r>
      <w:r>
        <w:rPr>
          <w:rFonts w:ascii="Arial" w:hAnsi="Arial" w:eastAsia="Arial" w:cs="Arial"/>
          <w:spacing w:val="-2"/>
          <w:sz w:val="15"/>
          <w:szCs w:val="15"/>
        </w:rPr>
        <w:t>Culture</w:t>
      </w:r>
      <w:r>
        <w:rPr>
          <w:rFonts w:ascii="Arial" w:hAnsi="Arial" w:eastAsia="Arial" w:cs="Arial"/>
          <w:spacing w:val="3"/>
          <w:sz w:val="15"/>
          <w:szCs w:val="15"/>
        </w:rPr>
        <w:t xml:space="preserve">  </w:t>
      </w:r>
      <w:r>
        <w:rPr>
          <w:rFonts w:ascii="Arial" w:hAnsi="Arial" w:eastAsia="Arial" w:cs="Arial"/>
          <w:spacing w:val="-2"/>
          <w:sz w:val="15"/>
          <w:szCs w:val="15"/>
        </w:rPr>
        <w:t>and</w:t>
      </w:r>
      <w:r>
        <w:rPr>
          <w:rFonts w:ascii="Arial" w:hAnsi="Arial" w:eastAsia="Arial" w:cs="Arial"/>
          <w:spacing w:val="1"/>
          <w:sz w:val="15"/>
          <w:szCs w:val="15"/>
        </w:rPr>
        <w:t xml:space="preserve">  </w:t>
      </w:r>
      <w:r>
        <w:rPr>
          <w:rFonts w:ascii="Arial" w:hAnsi="Arial" w:eastAsia="Arial" w:cs="Arial"/>
          <w:spacing w:val="-2"/>
          <w:sz w:val="15"/>
          <w:szCs w:val="15"/>
        </w:rPr>
        <w:t>Workforce</w:t>
      </w:r>
      <w:r>
        <w:rPr>
          <w:rFonts w:ascii="Arial" w:hAnsi="Arial" w:eastAsia="Arial" w:cs="Arial"/>
          <w:spacing w:val="1"/>
          <w:sz w:val="15"/>
          <w:szCs w:val="15"/>
        </w:rPr>
        <w:t xml:space="preserve"> </w:t>
      </w:r>
      <w:r>
        <w:rPr>
          <w:rFonts w:ascii="Arial" w:hAnsi="Arial" w:eastAsia="Arial" w:cs="Arial"/>
          <w:spacing w:val="-2"/>
          <w:sz w:val="15"/>
          <w:szCs w:val="15"/>
        </w:rPr>
        <w:t>Performance.”</w:t>
      </w:r>
      <w:r>
        <w:rPr>
          <w:rFonts w:ascii="Arial" w:hAnsi="Arial" w:eastAsia="Arial" w:cs="Arial"/>
          <w:spacing w:val="13"/>
          <w:sz w:val="15"/>
          <w:szCs w:val="15"/>
        </w:rPr>
        <w:t xml:space="preserve"> </w:t>
      </w:r>
      <w:r>
        <w:rPr>
          <w:rFonts w:ascii="Arial" w:hAnsi="Arial" w:eastAsia="Arial" w:cs="Arial"/>
          <w:spacing w:val="-2"/>
          <w:sz w:val="15"/>
          <w:szCs w:val="15"/>
        </w:rPr>
        <w:t>Quality Assurance</w:t>
      </w:r>
      <w:r>
        <w:rPr>
          <w:rFonts w:ascii="Arial" w:hAnsi="Arial" w:eastAsia="Arial" w:cs="Arial"/>
          <w:spacing w:val="10"/>
          <w:sz w:val="15"/>
          <w:szCs w:val="15"/>
        </w:rPr>
        <w:t xml:space="preserve"> </w:t>
      </w:r>
      <w:r>
        <w:rPr>
          <w:rFonts w:ascii="Arial" w:hAnsi="Arial" w:eastAsia="Arial" w:cs="Arial"/>
          <w:spacing w:val="-2"/>
          <w:sz w:val="15"/>
          <w:szCs w:val="15"/>
        </w:rPr>
        <w:t>in</w:t>
      </w:r>
      <w:r>
        <w:rPr>
          <w:rFonts w:ascii="Arial" w:hAnsi="Arial" w:eastAsia="Arial" w:cs="Arial"/>
          <w:spacing w:val="11"/>
          <w:w w:val="101"/>
          <w:sz w:val="15"/>
          <w:szCs w:val="15"/>
        </w:rPr>
        <w:t xml:space="preserve"> </w:t>
      </w:r>
      <w:r>
        <w:rPr>
          <w:rFonts w:ascii="Arial" w:hAnsi="Arial" w:eastAsia="Arial" w:cs="Arial"/>
          <w:spacing w:val="-2"/>
          <w:sz w:val="15"/>
          <w:szCs w:val="15"/>
        </w:rPr>
        <w:t>Education</w:t>
      </w:r>
      <w:r>
        <w:rPr>
          <w:rFonts w:ascii="Arial" w:hAnsi="Arial" w:eastAsia="Arial" w:cs="Arial"/>
          <w:spacing w:val="12"/>
          <w:sz w:val="15"/>
          <w:szCs w:val="15"/>
        </w:rPr>
        <w:t xml:space="preserve"> </w:t>
      </w:r>
      <w:r>
        <w:rPr>
          <w:rFonts w:ascii="Arial" w:hAnsi="Arial" w:eastAsia="Arial" w:cs="Arial"/>
          <w:spacing w:val="-3"/>
          <w:sz w:val="15"/>
          <w:szCs w:val="15"/>
        </w:rPr>
        <w:t>20:</w:t>
      </w:r>
      <w:r>
        <w:rPr>
          <w:rFonts w:ascii="Arial" w:hAnsi="Arial" w:eastAsia="Arial" w:cs="Arial"/>
          <w:spacing w:val="13"/>
          <w:w w:val="101"/>
          <w:sz w:val="15"/>
          <w:szCs w:val="15"/>
        </w:rPr>
        <w:t xml:space="preserve"> </w:t>
      </w:r>
      <w:r>
        <w:rPr>
          <w:rFonts w:ascii="Arial" w:hAnsi="Arial" w:eastAsia="Arial" w:cs="Arial"/>
          <w:spacing w:val="-3"/>
          <w:sz w:val="15"/>
          <w:szCs w:val="15"/>
        </w:rPr>
        <w:t xml:space="preserve">289–309. </w:t>
      </w:r>
      <w:r>
        <w:fldChar w:fldCharType="begin"/>
      </w:r>
      <w:r>
        <w:instrText xml:space="preserve"> HYPERLINK "https://doi.org/10.1108/09684881211240330" </w:instrText>
      </w:r>
      <w:r>
        <w:fldChar w:fldCharType="separate"/>
      </w:r>
      <w:r>
        <w:rPr>
          <w:rFonts w:ascii="Arial" w:hAnsi="Arial" w:eastAsia="Arial" w:cs="Arial"/>
          <w:color w:val="000084"/>
          <w:spacing w:val="-3"/>
          <w:sz w:val="15"/>
          <w:szCs w:val="15"/>
        </w:rPr>
        <w:t>doi:10.1108/09684881211240330</w:t>
      </w:r>
      <w:r>
        <w:rPr>
          <w:rFonts w:ascii="Arial" w:hAnsi="Arial" w:eastAsia="Arial" w:cs="Arial"/>
          <w:color w:val="000084"/>
          <w:spacing w:val="-3"/>
          <w:sz w:val="15"/>
          <w:szCs w:val="15"/>
        </w:rPr>
        <w:fldChar w:fldCharType="end"/>
      </w:r>
      <w:r>
        <w:rPr>
          <w:rFonts w:ascii="Arial" w:hAnsi="Arial" w:eastAsia="Arial" w:cs="Arial"/>
          <w:spacing w:val="-3"/>
          <w:sz w:val="15"/>
          <w:szCs w:val="15"/>
        </w:rPr>
        <w:t>.</w:t>
      </w:r>
    </w:p>
    <w:p>
      <w:pPr>
        <w:spacing w:before="41" w:line="250" w:lineRule="auto"/>
        <w:ind w:left="402" w:right="24" w:hanging="199"/>
        <w:rPr>
          <w:rFonts w:ascii="Arial" w:hAnsi="Arial" w:eastAsia="Arial" w:cs="Arial"/>
          <w:sz w:val="15"/>
          <w:szCs w:val="15"/>
        </w:rPr>
      </w:pPr>
      <w:r>
        <w:rPr>
          <w:rFonts w:ascii="Arial" w:hAnsi="Arial" w:eastAsia="Arial" w:cs="Arial"/>
          <w:spacing w:val="-2"/>
          <w:sz w:val="15"/>
          <w:szCs w:val="15"/>
        </w:rPr>
        <w:t>Bendermacher, G. W., M. G. oude</w:t>
      </w:r>
      <w:r>
        <w:rPr>
          <w:rFonts w:ascii="Arial" w:hAnsi="Arial" w:eastAsia="Arial" w:cs="Arial"/>
          <w:spacing w:val="-3"/>
          <w:sz w:val="15"/>
          <w:szCs w:val="15"/>
        </w:rPr>
        <w:t xml:space="preserve"> Egbrink, I. H. Wolfhagen, and D. H. Dolmans.</w:t>
      </w:r>
      <w:r>
        <w:rPr>
          <w:rFonts w:ascii="Arial" w:hAnsi="Arial" w:eastAsia="Arial" w:cs="Arial"/>
          <w:spacing w:val="-10"/>
          <w:sz w:val="15"/>
          <w:szCs w:val="15"/>
        </w:rPr>
        <w:t xml:space="preserve"> </w:t>
      </w:r>
      <w:r>
        <w:fldChar w:fldCharType="begin"/>
      </w:r>
      <w:r>
        <w:instrText xml:space="preserve"> HYPERLINK \l "bookmark5" </w:instrText>
      </w:r>
      <w:r>
        <w:fldChar w:fldCharType="separate"/>
      </w:r>
      <w:r>
        <w:rPr>
          <w:rFonts w:ascii="Arial" w:hAnsi="Arial" w:eastAsia="Arial" w:cs="Arial"/>
          <w:color w:val="000084"/>
          <w:spacing w:val="-3"/>
          <w:sz w:val="15"/>
          <w:szCs w:val="15"/>
        </w:rPr>
        <w:t>2017</w:t>
      </w:r>
      <w:r>
        <w:rPr>
          <w:rFonts w:ascii="Arial" w:hAnsi="Arial" w:eastAsia="Arial" w:cs="Arial"/>
          <w:color w:val="000084"/>
          <w:spacing w:val="-3"/>
          <w:sz w:val="15"/>
          <w:szCs w:val="15"/>
        </w:rPr>
        <w:fldChar w:fldCharType="end"/>
      </w:r>
      <w:r>
        <w:rPr>
          <w:rFonts w:ascii="Arial" w:hAnsi="Arial" w:eastAsia="Arial" w:cs="Arial"/>
          <w:spacing w:val="-3"/>
          <w:sz w:val="15"/>
          <w:szCs w:val="15"/>
        </w:rPr>
        <w:t>. “Unravelling Quality Culture in Higher</w:t>
      </w:r>
      <w:r>
        <w:rPr>
          <w:rFonts w:ascii="Arial" w:hAnsi="Arial" w:eastAsia="Arial" w:cs="Arial"/>
          <w:sz w:val="15"/>
          <w:szCs w:val="15"/>
        </w:rPr>
        <w:t xml:space="preserve"> </w:t>
      </w:r>
      <w:r>
        <w:rPr>
          <w:rFonts w:ascii="Arial" w:hAnsi="Arial" w:eastAsia="Arial" w:cs="Arial"/>
          <w:spacing w:val="-3"/>
          <w:sz w:val="15"/>
          <w:szCs w:val="15"/>
        </w:rPr>
        <w:t>Education:</w:t>
      </w:r>
      <w:r>
        <w:rPr>
          <w:rFonts w:ascii="Arial" w:hAnsi="Arial" w:eastAsia="Arial" w:cs="Arial"/>
          <w:spacing w:val="16"/>
          <w:w w:val="101"/>
          <w:sz w:val="15"/>
          <w:szCs w:val="15"/>
        </w:rPr>
        <w:t xml:space="preserve"> </w:t>
      </w:r>
      <w:r>
        <w:rPr>
          <w:rFonts w:ascii="Arial" w:hAnsi="Arial" w:eastAsia="Arial" w:cs="Arial"/>
          <w:spacing w:val="-3"/>
          <w:sz w:val="15"/>
          <w:szCs w:val="15"/>
        </w:rPr>
        <w:t>A</w:t>
      </w:r>
      <w:r>
        <w:rPr>
          <w:rFonts w:ascii="Arial" w:hAnsi="Arial" w:eastAsia="Arial" w:cs="Arial"/>
          <w:spacing w:val="19"/>
          <w:sz w:val="15"/>
          <w:szCs w:val="15"/>
        </w:rPr>
        <w:t xml:space="preserve"> </w:t>
      </w:r>
      <w:r>
        <w:rPr>
          <w:rFonts w:ascii="Arial" w:hAnsi="Arial" w:eastAsia="Arial" w:cs="Arial"/>
          <w:spacing w:val="-3"/>
          <w:sz w:val="15"/>
          <w:szCs w:val="15"/>
        </w:rPr>
        <w:t>Realist</w:t>
      </w:r>
      <w:r>
        <w:rPr>
          <w:rFonts w:ascii="Arial" w:hAnsi="Arial" w:eastAsia="Arial" w:cs="Arial"/>
          <w:spacing w:val="17"/>
          <w:sz w:val="15"/>
          <w:szCs w:val="15"/>
        </w:rPr>
        <w:t xml:space="preserve"> </w:t>
      </w:r>
      <w:r>
        <w:rPr>
          <w:rFonts w:ascii="Arial" w:hAnsi="Arial" w:eastAsia="Arial" w:cs="Arial"/>
          <w:spacing w:val="-3"/>
          <w:sz w:val="15"/>
          <w:szCs w:val="15"/>
        </w:rPr>
        <w:t>Review.”</w:t>
      </w:r>
      <w:r>
        <w:rPr>
          <w:rFonts w:ascii="Arial" w:hAnsi="Arial" w:eastAsia="Arial" w:cs="Arial"/>
          <w:spacing w:val="11"/>
          <w:w w:val="102"/>
          <w:sz w:val="15"/>
          <w:szCs w:val="15"/>
        </w:rPr>
        <w:t xml:space="preserve"> </w:t>
      </w:r>
      <w:r>
        <w:rPr>
          <w:rFonts w:ascii="Arial" w:hAnsi="Arial" w:eastAsia="Arial" w:cs="Arial"/>
          <w:spacing w:val="-3"/>
          <w:sz w:val="15"/>
          <w:szCs w:val="15"/>
        </w:rPr>
        <w:t>Higher Education</w:t>
      </w:r>
      <w:r>
        <w:rPr>
          <w:rFonts w:ascii="Arial" w:hAnsi="Arial" w:eastAsia="Arial" w:cs="Arial"/>
          <w:spacing w:val="15"/>
          <w:sz w:val="15"/>
          <w:szCs w:val="15"/>
        </w:rPr>
        <w:t xml:space="preserve"> </w:t>
      </w:r>
      <w:r>
        <w:rPr>
          <w:rFonts w:ascii="Arial" w:hAnsi="Arial" w:eastAsia="Arial" w:cs="Arial"/>
          <w:spacing w:val="-3"/>
          <w:sz w:val="15"/>
          <w:szCs w:val="15"/>
        </w:rPr>
        <w:t>73:</w:t>
      </w:r>
      <w:r>
        <w:rPr>
          <w:rFonts w:ascii="Arial" w:hAnsi="Arial" w:eastAsia="Arial" w:cs="Arial"/>
          <w:spacing w:val="12"/>
          <w:sz w:val="15"/>
          <w:szCs w:val="15"/>
        </w:rPr>
        <w:t xml:space="preserve"> </w:t>
      </w:r>
      <w:r>
        <w:rPr>
          <w:rFonts w:ascii="Arial" w:hAnsi="Arial" w:eastAsia="Arial" w:cs="Arial"/>
          <w:spacing w:val="-3"/>
          <w:sz w:val="15"/>
          <w:szCs w:val="15"/>
        </w:rPr>
        <w:t xml:space="preserve">39–60. </w:t>
      </w:r>
      <w:r>
        <w:fldChar w:fldCharType="begin"/>
      </w:r>
      <w:r>
        <w:instrText xml:space="preserve"> HYPERLINK "https://doi.org/10.1007/s10734-015-9979-2" </w:instrText>
      </w:r>
      <w:r>
        <w:fldChar w:fldCharType="separate"/>
      </w:r>
      <w:r>
        <w:rPr>
          <w:rFonts w:ascii="Arial" w:hAnsi="Arial" w:eastAsia="Arial" w:cs="Arial"/>
          <w:color w:val="000084"/>
          <w:spacing w:val="-3"/>
          <w:sz w:val="15"/>
          <w:szCs w:val="15"/>
        </w:rPr>
        <w:t>doi:10.1007/s10734-015-9979-2</w:t>
      </w:r>
      <w:r>
        <w:rPr>
          <w:rFonts w:ascii="Arial" w:hAnsi="Arial" w:eastAsia="Arial" w:cs="Arial"/>
          <w:color w:val="000084"/>
          <w:spacing w:val="-3"/>
          <w:sz w:val="15"/>
          <w:szCs w:val="15"/>
        </w:rPr>
        <w:fldChar w:fldCharType="end"/>
      </w:r>
      <w:r>
        <w:rPr>
          <w:rFonts w:ascii="Arial" w:hAnsi="Arial" w:eastAsia="Arial" w:cs="Arial"/>
          <w:spacing w:val="-3"/>
          <w:sz w:val="15"/>
          <w:szCs w:val="15"/>
        </w:rPr>
        <w:t>.</w:t>
      </w:r>
    </w:p>
    <w:p>
      <w:pPr>
        <w:spacing w:before="40" w:line="246" w:lineRule="auto"/>
        <w:ind w:left="390" w:right="25" w:hanging="187"/>
        <w:rPr>
          <w:rFonts w:ascii="Arial" w:hAnsi="Arial" w:eastAsia="Arial" w:cs="Arial"/>
          <w:sz w:val="15"/>
          <w:szCs w:val="15"/>
        </w:rPr>
      </w:pPr>
      <w:r>
        <w:rPr>
          <w:rFonts w:ascii="Arial" w:hAnsi="Arial" w:eastAsia="Arial" w:cs="Arial"/>
          <w:spacing w:val="-2"/>
          <w:sz w:val="15"/>
          <w:szCs w:val="15"/>
        </w:rPr>
        <w:t>Bleicher,</w:t>
      </w:r>
      <w:r>
        <w:rPr>
          <w:rFonts w:ascii="Arial" w:hAnsi="Arial" w:eastAsia="Arial" w:cs="Arial"/>
          <w:spacing w:val="43"/>
          <w:sz w:val="15"/>
          <w:szCs w:val="15"/>
        </w:rPr>
        <w:t xml:space="preserve"> </w:t>
      </w:r>
      <w:r>
        <w:rPr>
          <w:rFonts w:ascii="Arial" w:hAnsi="Arial" w:eastAsia="Arial" w:cs="Arial"/>
          <w:spacing w:val="-2"/>
          <w:sz w:val="15"/>
          <w:szCs w:val="15"/>
        </w:rPr>
        <w:t>K.</w:t>
      </w:r>
      <w:r>
        <w:rPr>
          <w:rFonts w:ascii="Arial" w:hAnsi="Arial" w:eastAsia="Arial" w:cs="Arial"/>
          <w:spacing w:val="21"/>
          <w:sz w:val="15"/>
          <w:szCs w:val="15"/>
        </w:rPr>
        <w:t xml:space="preserve"> </w:t>
      </w:r>
      <w:r>
        <w:fldChar w:fldCharType="begin"/>
      </w:r>
      <w:r>
        <w:instrText xml:space="preserve"> HYPERLINK \l "bookmark42" </w:instrText>
      </w:r>
      <w:r>
        <w:fldChar w:fldCharType="separate"/>
      </w:r>
      <w:r>
        <w:rPr>
          <w:rFonts w:ascii="Arial" w:hAnsi="Arial" w:eastAsia="Arial" w:cs="Arial"/>
          <w:color w:val="000084"/>
          <w:spacing w:val="-2"/>
          <w:sz w:val="15"/>
          <w:szCs w:val="15"/>
        </w:rPr>
        <w:t>2011</w:t>
      </w:r>
      <w:r>
        <w:rPr>
          <w:rFonts w:ascii="Arial" w:hAnsi="Arial" w:eastAsia="Arial" w:cs="Arial"/>
          <w:color w:val="000084"/>
          <w:spacing w:val="-2"/>
          <w:sz w:val="15"/>
          <w:szCs w:val="15"/>
        </w:rPr>
        <w:fldChar w:fldCharType="end"/>
      </w:r>
      <w:r>
        <w:rPr>
          <w:rFonts w:ascii="Arial" w:hAnsi="Arial" w:eastAsia="Arial" w:cs="Arial"/>
          <w:spacing w:val="-2"/>
          <w:sz w:val="15"/>
          <w:szCs w:val="15"/>
        </w:rPr>
        <w:t>.</w:t>
      </w:r>
      <w:r>
        <w:rPr>
          <w:rFonts w:ascii="Arial" w:hAnsi="Arial" w:eastAsia="Arial" w:cs="Arial"/>
          <w:spacing w:val="33"/>
          <w:sz w:val="15"/>
          <w:szCs w:val="15"/>
        </w:rPr>
        <w:t xml:space="preserve"> </w:t>
      </w:r>
      <w:r>
        <w:rPr>
          <w:rFonts w:ascii="Arial" w:hAnsi="Arial" w:eastAsia="Arial" w:cs="Arial"/>
          <w:spacing w:val="-2"/>
          <w:sz w:val="15"/>
          <w:szCs w:val="15"/>
        </w:rPr>
        <w:t>Das</w:t>
      </w:r>
      <w:r>
        <w:rPr>
          <w:rFonts w:ascii="Arial" w:hAnsi="Arial" w:eastAsia="Arial" w:cs="Arial"/>
          <w:spacing w:val="31"/>
          <w:w w:val="102"/>
          <w:sz w:val="15"/>
          <w:szCs w:val="15"/>
        </w:rPr>
        <w:t xml:space="preserve"> </w:t>
      </w:r>
      <w:r>
        <w:rPr>
          <w:rFonts w:ascii="Arial" w:hAnsi="Arial" w:eastAsia="Arial" w:cs="Arial"/>
          <w:spacing w:val="-2"/>
          <w:sz w:val="15"/>
          <w:szCs w:val="15"/>
        </w:rPr>
        <w:t>Konzept</w:t>
      </w:r>
      <w:r>
        <w:rPr>
          <w:rFonts w:ascii="Arial" w:hAnsi="Arial" w:eastAsia="Arial" w:cs="Arial"/>
          <w:spacing w:val="31"/>
          <w:w w:val="101"/>
          <w:sz w:val="15"/>
          <w:szCs w:val="15"/>
        </w:rPr>
        <w:t xml:space="preserve"> </w:t>
      </w:r>
      <w:r>
        <w:rPr>
          <w:rFonts w:ascii="Arial" w:hAnsi="Arial" w:eastAsia="Arial" w:cs="Arial"/>
          <w:spacing w:val="-2"/>
          <w:sz w:val="15"/>
          <w:szCs w:val="15"/>
        </w:rPr>
        <w:t>Integriertes</w:t>
      </w:r>
      <w:r>
        <w:rPr>
          <w:rFonts w:ascii="Arial" w:hAnsi="Arial" w:eastAsia="Arial" w:cs="Arial"/>
          <w:spacing w:val="29"/>
          <w:w w:val="101"/>
          <w:sz w:val="15"/>
          <w:szCs w:val="15"/>
        </w:rPr>
        <w:t xml:space="preserve"> </w:t>
      </w:r>
      <w:r>
        <w:rPr>
          <w:rFonts w:ascii="Arial" w:hAnsi="Arial" w:eastAsia="Arial" w:cs="Arial"/>
          <w:spacing w:val="-2"/>
          <w:sz w:val="15"/>
          <w:szCs w:val="15"/>
        </w:rPr>
        <w:t>Management.</w:t>
      </w:r>
      <w:r>
        <w:rPr>
          <w:rFonts w:ascii="Arial" w:hAnsi="Arial" w:eastAsia="Arial" w:cs="Arial"/>
          <w:spacing w:val="20"/>
          <w:w w:val="101"/>
          <w:sz w:val="15"/>
          <w:szCs w:val="15"/>
        </w:rPr>
        <w:t xml:space="preserve"> </w:t>
      </w:r>
      <w:r>
        <w:rPr>
          <w:rFonts w:ascii="Arial" w:hAnsi="Arial" w:eastAsia="Arial" w:cs="Arial"/>
          <w:spacing w:val="-2"/>
          <w:sz w:val="15"/>
          <w:szCs w:val="15"/>
        </w:rPr>
        <w:t>Visionen–Missionen–</w:t>
      </w:r>
      <w:r>
        <w:rPr>
          <w:rFonts w:ascii="Arial" w:hAnsi="Arial" w:eastAsia="Arial" w:cs="Arial"/>
          <w:spacing w:val="-30"/>
          <w:sz w:val="15"/>
          <w:szCs w:val="15"/>
        </w:rPr>
        <w:t xml:space="preserve"> </w:t>
      </w:r>
      <w:r>
        <w:rPr>
          <w:rFonts w:ascii="Arial" w:hAnsi="Arial" w:eastAsia="Arial" w:cs="Arial"/>
          <w:spacing w:val="-2"/>
          <w:sz w:val="15"/>
          <w:szCs w:val="15"/>
        </w:rPr>
        <w:t>Programme.</w:t>
      </w:r>
      <w:r>
        <w:rPr>
          <w:rFonts w:ascii="Arial" w:hAnsi="Arial" w:eastAsia="Arial" w:cs="Arial"/>
          <w:spacing w:val="31"/>
          <w:w w:val="101"/>
          <w:sz w:val="15"/>
          <w:szCs w:val="15"/>
        </w:rPr>
        <w:t xml:space="preserve"> </w:t>
      </w:r>
      <w:r>
        <w:rPr>
          <w:rFonts w:ascii="Arial" w:hAnsi="Arial" w:eastAsia="Arial" w:cs="Arial"/>
          <w:spacing w:val="-2"/>
          <w:sz w:val="15"/>
          <w:szCs w:val="15"/>
        </w:rPr>
        <w:t>(Integrated</w:t>
      </w:r>
      <w:r>
        <w:rPr>
          <w:rFonts w:ascii="Arial" w:hAnsi="Arial" w:eastAsia="Arial" w:cs="Arial"/>
          <w:spacing w:val="31"/>
          <w:w w:val="101"/>
          <w:sz w:val="15"/>
          <w:szCs w:val="15"/>
        </w:rPr>
        <w:t xml:space="preserve"> </w:t>
      </w:r>
      <w:r>
        <w:rPr>
          <w:rFonts w:ascii="Arial" w:hAnsi="Arial" w:eastAsia="Arial" w:cs="Arial"/>
          <w:spacing w:val="-2"/>
          <w:sz w:val="15"/>
          <w:szCs w:val="15"/>
        </w:rPr>
        <w:t>management:</w:t>
      </w:r>
      <w:r>
        <w:rPr>
          <w:rFonts w:ascii="Arial" w:hAnsi="Arial" w:eastAsia="Arial" w:cs="Arial"/>
          <w:sz w:val="15"/>
          <w:szCs w:val="15"/>
        </w:rPr>
        <w:t xml:space="preserve"> </w:t>
      </w:r>
      <w:r>
        <w:rPr>
          <w:rFonts w:ascii="Arial" w:hAnsi="Arial" w:eastAsia="Arial" w:cs="Arial"/>
          <w:spacing w:val="-3"/>
          <w:sz w:val="15"/>
          <w:szCs w:val="15"/>
        </w:rPr>
        <w:t>Visions–</w:t>
      </w:r>
      <w:r>
        <w:rPr>
          <w:rFonts w:ascii="Arial" w:hAnsi="Arial" w:eastAsia="Arial" w:cs="Arial"/>
          <w:spacing w:val="-32"/>
          <w:sz w:val="15"/>
          <w:szCs w:val="15"/>
        </w:rPr>
        <w:t xml:space="preserve"> </w:t>
      </w:r>
      <w:r>
        <w:rPr>
          <w:rFonts w:ascii="Arial" w:hAnsi="Arial" w:eastAsia="Arial" w:cs="Arial"/>
          <w:spacing w:val="-3"/>
          <w:sz w:val="15"/>
          <w:szCs w:val="15"/>
        </w:rPr>
        <w:t>Missions–</w:t>
      </w:r>
      <w:r>
        <w:rPr>
          <w:rFonts w:ascii="Arial" w:hAnsi="Arial" w:eastAsia="Arial" w:cs="Arial"/>
          <w:spacing w:val="-30"/>
          <w:sz w:val="15"/>
          <w:szCs w:val="15"/>
        </w:rPr>
        <w:t xml:space="preserve"> </w:t>
      </w:r>
      <w:r>
        <w:rPr>
          <w:rFonts w:ascii="Arial" w:hAnsi="Arial" w:eastAsia="Arial" w:cs="Arial"/>
          <w:spacing w:val="-3"/>
          <w:sz w:val="15"/>
          <w:szCs w:val="15"/>
        </w:rPr>
        <w:t>Programs).</w:t>
      </w:r>
      <w:r>
        <w:rPr>
          <w:rFonts w:ascii="Arial" w:hAnsi="Arial" w:eastAsia="Arial" w:cs="Arial"/>
          <w:spacing w:val="11"/>
          <w:w w:val="101"/>
          <w:sz w:val="15"/>
          <w:szCs w:val="15"/>
        </w:rPr>
        <w:t xml:space="preserve"> </w:t>
      </w:r>
      <w:r>
        <w:rPr>
          <w:rFonts w:ascii="Arial" w:hAnsi="Arial" w:eastAsia="Arial" w:cs="Arial"/>
          <w:spacing w:val="-3"/>
          <w:sz w:val="15"/>
          <w:szCs w:val="15"/>
        </w:rPr>
        <w:t>Campus.</w:t>
      </w:r>
      <w:r>
        <w:rPr>
          <w:rFonts w:ascii="Arial" w:hAnsi="Arial" w:eastAsia="Arial" w:cs="Arial"/>
          <w:spacing w:val="17"/>
          <w:sz w:val="15"/>
          <w:szCs w:val="15"/>
        </w:rPr>
        <w:t xml:space="preserve"> </w:t>
      </w:r>
      <w:r>
        <w:rPr>
          <w:rFonts w:ascii="Arial" w:hAnsi="Arial" w:eastAsia="Arial" w:cs="Arial"/>
          <w:spacing w:val="-4"/>
          <w:sz w:val="15"/>
          <w:szCs w:val="15"/>
        </w:rPr>
        <w:t>Frankfurt.</w:t>
      </w:r>
    </w:p>
    <w:p>
      <w:pPr>
        <w:spacing w:before="28" w:line="282" w:lineRule="auto"/>
        <w:ind w:left="395" w:right="7" w:hanging="192"/>
        <w:rPr>
          <w:rFonts w:ascii="Arial" w:hAnsi="Arial" w:eastAsia="Arial" w:cs="Arial"/>
          <w:sz w:val="15"/>
          <w:szCs w:val="15"/>
        </w:rPr>
      </w:pPr>
      <w:r>
        <w:rPr>
          <w:rFonts w:ascii="Arial" w:hAnsi="Arial" w:eastAsia="Arial" w:cs="Arial"/>
          <w:spacing w:val="-3"/>
          <w:sz w:val="15"/>
          <w:szCs w:val="15"/>
        </w:rPr>
        <w:t>Bologna  Declaration.</w:t>
      </w:r>
      <w:r>
        <w:rPr>
          <w:rFonts w:ascii="Arial" w:hAnsi="Arial" w:eastAsia="Arial" w:cs="Arial"/>
          <w:spacing w:val="30"/>
          <w:w w:val="101"/>
          <w:sz w:val="15"/>
          <w:szCs w:val="15"/>
        </w:rPr>
        <w:t xml:space="preserve"> </w:t>
      </w:r>
      <w:r>
        <w:fldChar w:fldCharType="begin"/>
      </w:r>
      <w:r>
        <w:instrText xml:space="preserve"> HYPERLINK \l "bookmark5" </w:instrText>
      </w:r>
      <w:r>
        <w:fldChar w:fldCharType="separate"/>
      </w:r>
      <w:r>
        <w:rPr>
          <w:rFonts w:ascii="Arial" w:hAnsi="Arial" w:eastAsia="Arial" w:cs="Arial"/>
          <w:color w:val="000084"/>
          <w:spacing w:val="-3"/>
          <w:sz w:val="15"/>
          <w:szCs w:val="15"/>
        </w:rPr>
        <w:t>1999</w:t>
      </w:r>
      <w:r>
        <w:rPr>
          <w:rFonts w:ascii="Arial" w:hAnsi="Arial" w:eastAsia="Arial" w:cs="Arial"/>
          <w:color w:val="000084"/>
          <w:spacing w:val="-3"/>
          <w:sz w:val="15"/>
          <w:szCs w:val="15"/>
        </w:rPr>
        <w:fldChar w:fldCharType="end"/>
      </w:r>
      <w:r>
        <w:rPr>
          <w:rFonts w:ascii="Arial" w:hAnsi="Arial" w:eastAsia="Arial" w:cs="Arial"/>
          <w:spacing w:val="-3"/>
          <w:sz w:val="15"/>
          <w:szCs w:val="15"/>
        </w:rPr>
        <w:t>.  The</w:t>
      </w:r>
      <w:r>
        <w:rPr>
          <w:rFonts w:ascii="Arial" w:hAnsi="Arial" w:eastAsia="Arial" w:cs="Arial"/>
          <w:spacing w:val="34"/>
          <w:sz w:val="15"/>
          <w:szCs w:val="15"/>
        </w:rPr>
        <w:t xml:space="preserve"> </w:t>
      </w:r>
      <w:r>
        <w:rPr>
          <w:rFonts w:ascii="Arial" w:hAnsi="Arial" w:eastAsia="Arial" w:cs="Arial"/>
          <w:spacing w:val="-3"/>
          <w:sz w:val="15"/>
          <w:szCs w:val="15"/>
        </w:rPr>
        <w:t>Bologna</w:t>
      </w:r>
      <w:r>
        <w:rPr>
          <w:rFonts w:ascii="Arial" w:hAnsi="Arial" w:eastAsia="Arial" w:cs="Arial"/>
          <w:spacing w:val="32"/>
          <w:w w:val="101"/>
          <w:sz w:val="15"/>
          <w:szCs w:val="15"/>
        </w:rPr>
        <w:t xml:space="preserve"> </w:t>
      </w:r>
      <w:r>
        <w:rPr>
          <w:rFonts w:ascii="Arial" w:hAnsi="Arial" w:eastAsia="Arial" w:cs="Arial"/>
          <w:spacing w:val="-3"/>
          <w:sz w:val="15"/>
          <w:szCs w:val="15"/>
        </w:rPr>
        <w:t>Declaration</w:t>
      </w:r>
      <w:r>
        <w:rPr>
          <w:rFonts w:ascii="Arial" w:hAnsi="Arial" w:eastAsia="Arial" w:cs="Arial"/>
          <w:spacing w:val="34"/>
          <w:sz w:val="15"/>
          <w:szCs w:val="15"/>
        </w:rPr>
        <w:t xml:space="preserve"> </w:t>
      </w:r>
      <w:r>
        <w:rPr>
          <w:rFonts w:ascii="Arial" w:hAnsi="Arial" w:eastAsia="Arial" w:cs="Arial"/>
          <w:spacing w:val="-3"/>
          <w:sz w:val="15"/>
          <w:szCs w:val="15"/>
        </w:rPr>
        <w:t>of  19</w:t>
      </w:r>
      <w:r>
        <w:rPr>
          <w:rFonts w:ascii="Arial" w:hAnsi="Arial" w:eastAsia="Arial" w:cs="Arial"/>
          <w:spacing w:val="22"/>
          <w:sz w:val="15"/>
          <w:szCs w:val="15"/>
        </w:rPr>
        <w:t xml:space="preserve"> </w:t>
      </w:r>
      <w:r>
        <w:rPr>
          <w:rFonts w:ascii="Arial" w:hAnsi="Arial" w:eastAsia="Arial" w:cs="Arial"/>
          <w:spacing w:val="-3"/>
          <w:sz w:val="15"/>
          <w:szCs w:val="15"/>
        </w:rPr>
        <w:t>June  1999.</w:t>
      </w:r>
      <w:r>
        <w:rPr>
          <w:rFonts w:ascii="Arial" w:hAnsi="Arial" w:eastAsia="Arial" w:cs="Arial"/>
          <w:spacing w:val="22"/>
          <w:w w:val="101"/>
          <w:sz w:val="15"/>
          <w:szCs w:val="15"/>
        </w:rPr>
        <w:t xml:space="preserve"> </w:t>
      </w:r>
      <w:r>
        <w:rPr>
          <w:rFonts w:ascii="Arial" w:hAnsi="Arial" w:eastAsia="Arial" w:cs="Arial"/>
          <w:spacing w:val="-3"/>
          <w:sz w:val="15"/>
          <w:szCs w:val="15"/>
        </w:rPr>
        <w:t>Joint  Declaration  of</w:t>
      </w:r>
      <w:r>
        <w:rPr>
          <w:rFonts w:ascii="Arial" w:hAnsi="Arial" w:eastAsia="Arial" w:cs="Arial"/>
          <w:spacing w:val="18"/>
          <w:sz w:val="15"/>
          <w:szCs w:val="15"/>
        </w:rPr>
        <w:t xml:space="preserve"> </w:t>
      </w:r>
      <w:r>
        <w:rPr>
          <w:rFonts w:ascii="Arial" w:hAnsi="Arial" w:eastAsia="Arial" w:cs="Arial"/>
          <w:spacing w:val="-3"/>
          <w:sz w:val="15"/>
          <w:szCs w:val="15"/>
        </w:rPr>
        <w:t>the  European</w:t>
      </w:r>
      <w:r>
        <w:rPr>
          <w:rFonts w:ascii="Arial" w:hAnsi="Arial" w:eastAsia="Arial" w:cs="Arial"/>
          <w:spacing w:val="28"/>
          <w:w w:val="102"/>
          <w:sz w:val="15"/>
          <w:szCs w:val="15"/>
        </w:rPr>
        <w:t xml:space="preserve"> </w:t>
      </w:r>
      <w:r>
        <w:rPr>
          <w:rFonts w:ascii="Arial" w:hAnsi="Arial" w:eastAsia="Arial" w:cs="Arial"/>
          <w:spacing w:val="-3"/>
          <w:sz w:val="15"/>
          <w:szCs w:val="15"/>
        </w:rPr>
        <w:t>Ministers</w:t>
      </w:r>
      <w:r>
        <w:rPr>
          <w:rFonts w:ascii="Arial" w:hAnsi="Arial" w:eastAsia="Arial" w:cs="Arial"/>
          <w:spacing w:val="33"/>
          <w:sz w:val="15"/>
          <w:szCs w:val="15"/>
        </w:rPr>
        <w:t xml:space="preserve"> </w:t>
      </w:r>
      <w:r>
        <w:rPr>
          <w:rFonts w:ascii="Arial" w:hAnsi="Arial" w:eastAsia="Arial" w:cs="Arial"/>
          <w:spacing w:val="-3"/>
          <w:sz w:val="15"/>
          <w:szCs w:val="15"/>
        </w:rPr>
        <w:t>of</w:t>
      </w:r>
      <w:r>
        <w:rPr>
          <w:rFonts w:ascii="Arial" w:hAnsi="Arial" w:eastAsia="Arial" w:cs="Arial"/>
          <w:sz w:val="15"/>
          <w:szCs w:val="15"/>
        </w:rPr>
        <w:t xml:space="preserve"> Education</w:t>
      </w:r>
      <w:r>
        <w:rPr>
          <w:rFonts w:ascii="Arial" w:hAnsi="Arial" w:eastAsia="Arial" w:cs="Arial"/>
          <w:spacing w:val="1"/>
          <w:sz w:val="15"/>
          <w:szCs w:val="15"/>
        </w:rPr>
        <w:t>.</w:t>
      </w:r>
      <w:r>
        <w:rPr>
          <w:rFonts w:ascii="Arial" w:hAnsi="Arial" w:eastAsia="Arial" w:cs="Arial"/>
          <w:spacing w:val="20"/>
          <w:sz w:val="15"/>
          <w:szCs w:val="15"/>
        </w:rPr>
        <w:t xml:space="preserve">  </w:t>
      </w:r>
      <w:r>
        <w:rPr>
          <w:rFonts w:ascii="Arial" w:hAnsi="Arial" w:eastAsia="Arial" w:cs="Arial"/>
          <w:sz w:val="15"/>
          <w:szCs w:val="15"/>
        </w:rPr>
        <w:t>Bologna</w:t>
      </w:r>
      <w:r>
        <w:rPr>
          <w:rFonts w:ascii="Arial" w:hAnsi="Arial" w:eastAsia="Arial" w:cs="Arial"/>
          <w:spacing w:val="1"/>
          <w:sz w:val="15"/>
          <w:szCs w:val="15"/>
        </w:rPr>
        <w:t xml:space="preserve">.  </w:t>
      </w:r>
      <w:r>
        <w:rPr>
          <w:rFonts w:ascii="Arial" w:hAnsi="Arial" w:eastAsia="Arial" w:cs="Arial"/>
          <w:sz w:val="15"/>
          <w:szCs w:val="15"/>
        </w:rPr>
        <w:t>Accessed</w:t>
      </w:r>
      <w:r>
        <w:rPr>
          <w:rFonts w:ascii="Arial" w:hAnsi="Arial" w:eastAsia="Arial" w:cs="Arial"/>
          <w:spacing w:val="1"/>
          <w:sz w:val="15"/>
          <w:szCs w:val="15"/>
        </w:rPr>
        <w:t xml:space="preserve">  6</w:t>
      </w:r>
      <w:r>
        <w:rPr>
          <w:rFonts w:ascii="Arial" w:hAnsi="Arial" w:eastAsia="Arial" w:cs="Arial"/>
          <w:spacing w:val="8"/>
          <w:sz w:val="15"/>
          <w:szCs w:val="15"/>
        </w:rPr>
        <w:t xml:space="preserve">  </w:t>
      </w:r>
      <w:r>
        <w:rPr>
          <w:rFonts w:ascii="Arial" w:hAnsi="Arial" w:eastAsia="Arial" w:cs="Arial"/>
          <w:sz w:val="15"/>
          <w:szCs w:val="15"/>
        </w:rPr>
        <w:t>August</w:t>
      </w:r>
      <w:r>
        <w:rPr>
          <w:rFonts w:ascii="Arial" w:hAnsi="Arial" w:eastAsia="Arial" w:cs="Arial"/>
          <w:spacing w:val="9"/>
          <w:sz w:val="15"/>
          <w:szCs w:val="15"/>
        </w:rPr>
        <w:t xml:space="preserve">  </w:t>
      </w:r>
      <w:r>
        <w:rPr>
          <w:rFonts w:ascii="Arial" w:hAnsi="Arial" w:eastAsia="Arial" w:cs="Arial"/>
          <w:spacing w:val="1"/>
          <w:sz w:val="15"/>
          <w:szCs w:val="15"/>
        </w:rPr>
        <w:t>2019.</w:t>
      </w:r>
      <w:r>
        <w:rPr>
          <w:rFonts w:ascii="Arial" w:hAnsi="Arial" w:eastAsia="Arial" w:cs="Arial"/>
          <w:spacing w:val="7"/>
          <w:sz w:val="15"/>
          <w:szCs w:val="15"/>
        </w:rPr>
        <w:t xml:space="preserve">  </w:t>
      </w:r>
      <w:r>
        <w:fldChar w:fldCharType="begin"/>
      </w:r>
      <w:r>
        <w:instrText xml:space="preserve"> HYPERLINK "http://www.magna-charta.org/resources/files/text-of-the-bologna-declaration" </w:instrText>
      </w:r>
      <w:r>
        <w:fldChar w:fldCharType="separate"/>
      </w:r>
      <w:r>
        <w:rPr>
          <w:rFonts w:ascii="Arial" w:hAnsi="Arial" w:eastAsia="Arial" w:cs="Arial"/>
          <w:color w:val="000084"/>
          <w:sz w:val="15"/>
          <w:szCs w:val="15"/>
        </w:rPr>
        <w:t>http</w:t>
      </w:r>
      <w:r>
        <w:rPr>
          <w:rFonts w:ascii="Arial" w:hAnsi="Arial" w:eastAsia="Arial" w:cs="Arial"/>
          <w:color w:val="000084"/>
          <w:spacing w:val="1"/>
          <w:sz w:val="15"/>
          <w:szCs w:val="15"/>
        </w:rPr>
        <w:t>://</w:t>
      </w:r>
      <w:r>
        <w:rPr>
          <w:rFonts w:ascii="Arial" w:hAnsi="Arial" w:eastAsia="Arial" w:cs="Arial"/>
          <w:color w:val="000084"/>
          <w:sz w:val="15"/>
          <w:szCs w:val="15"/>
        </w:rPr>
        <w:t>www</w:t>
      </w:r>
      <w:r>
        <w:rPr>
          <w:rFonts w:ascii="Arial" w:hAnsi="Arial" w:eastAsia="Arial" w:cs="Arial"/>
          <w:color w:val="000084"/>
          <w:spacing w:val="1"/>
          <w:sz w:val="15"/>
          <w:szCs w:val="15"/>
        </w:rPr>
        <w:t>.</w:t>
      </w:r>
      <w:r>
        <w:rPr>
          <w:rFonts w:ascii="Arial" w:hAnsi="Arial" w:eastAsia="Arial" w:cs="Arial"/>
          <w:color w:val="000084"/>
          <w:sz w:val="15"/>
          <w:szCs w:val="15"/>
        </w:rPr>
        <w:t>magna</w:t>
      </w:r>
      <w:r>
        <w:rPr>
          <w:rFonts w:ascii="Arial" w:hAnsi="Arial" w:eastAsia="Arial" w:cs="Arial"/>
          <w:color w:val="000084"/>
          <w:spacing w:val="1"/>
          <w:sz w:val="15"/>
          <w:szCs w:val="15"/>
        </w:rPr>
        <w:t>-</w:t>
      </w:r>
      <w:r>
        <w:rPr>
          <w:rFonts w:ascii="Arial" w:hAnsi="Arial" w:eastAsia="Arial" w:cs="Arial"/>
          <w:color w:val="000084"/>
          <w:sz w:val="15"/>
          <w:szCs w:val="15"/>
        </w:rPr>
        <w:t>charta</w:t>
      </w:r>
      <w:r>
        <w:rPr>
          <w:rFonts w:ascii="Arial" w:hAnsi="Arial" w:eastAsia="Arial" w:cs="Arial"/>
          <w:color w:val="000084"/>
          <w:spacing w:val="1"/>
          <w:sz w:val="15"/>
          <w:szCs w:val="15"/>
        </w:rPr>
        <w:t>.</w:t>
      </w:r>
      <w:r>
        <w:rPr>
          <w:rFonts w:ascii="Arial" w:hAnsi="Arial" w:eastAsia="Arial" w:cs="Arial"/>
          <w:color w:val="000084"/>
          <w:sz w:val="15"/>
          <w:szCs w:val="15"/>
        </w:rPr>
        <w:t>org</w:t>
      </w:r>
      <w:r>
        <w:rPr>
          <w:rFonts w:ascii="Arial" w:hAnsi="Arial" w:eastAsia="Arial" w:cs="Arial"/>
          <w:color w:val="000084"/>
          <w:spacing w:val="1"/>
          <w:sz w:val="15"/>
          <w:szCs w:val="15"/>
        </w:rPr>
        <w:t>/</w:t>
      </w:r>
      <w:r>
        <w:rPr>
          <w:rFonts w:ascii="Arial" w:hAnsi="Arial" w:eastAsia="Arial" w:cs="Arial"/>
          <w:color w:val="000084"/>
          <w:sz w:val="15"/>
          <w:szCs w:val="15"/>
        </w:rPr>
        <w:t>resources</w:t>
      </w:r>
      <w:r>
        <w:rPr>
          <w:rFonts w:ascii="Arial" w:hAnsi="Arial" w:eastAsia="Arial" w:cs="Arial"/>
          <w:color w:val="000084"/>
          <w:spacing w:val="1"/>
          <w:sz w:val="15"/>
          <w:szCs w:val="15"/>
        </w:rPr>
        <w:t>/</w:t>
      </w:r>
      <w:r>
        <w:rPr>
          <w:rFonts w:ascii="Arial" w:hAnsi="Arial" w:eastAsia="Arial" w:cs="Arial"/>
          <w:color w:val="000084"/>
          <w:sz w:val="15"/>
          <w:szCs w:val="15"/>
        </w:rPr>
        <w:t>iles</w:t>
      </w:r>
      <w:r>
        <w:rPr>
          <w:rFonts w:ascii="Arial" w:hAnsi="Arial" w:eastAsia="Arial" w:cs="Arial"/>
          <w:color w:val="000084"/>
          <w:spacing w:val="1"/>
          <w:sz w:val="15"/>
          <w:szCs w:val="15"/>
        </w:rPr>
        <w:t>/</w:t>
      </w:r>
      <w:r>
        <w:rPr>
          <w:rFonts w:ascii="Arial" w:hAnsi="Arial" w:eastAsia="Arial" w:cs="Arial"/>
          <w:color w:val="000084"/>
          <w:sz w:val="15"/>
          <w:szCs w:val="15"/>
        </w:rPr>
        <w:t>text</w:t>
      </w:r>
      <w:r>
        <w:rPr>
          <w:rFonts w:ascii="Arial" w:hAnsi="Arial" w:eastAsia="Arial" w:cs="Arial"/>
          <w:color w:val="000084"/>
          <w:spacing w:val="1"/>
          <w:sz w:val="15"/>
          <w:szCs w:val="15"/>
        </w:rPr>
        <w:t>-</w:t>
      </w:r>
      <w:r>
        <w:rPr>
          <w:rFonts w:ascii="Arial" w:hAnsi="Arial" w:eastAsia="Arial" w:cs="Arial"/>
          <w:color w:val="000084"/>
          <w:sz w:val="15"/>
          <w:szCs w:val="15"/>
        </w:rPr>
        <w:t>of</w:t>
      </w:r>
      <w:r>
        <w:rPr>
          <w:rFonts w:ascii="Arial" w:hAnsi="Arial" w:eastAsia="Arial" w:cs="Arial"/>
          <w:color w:val="000084"/>
          <w:spacing w:val="1"/>
          <w:sz w:val="15"/>
          <w:szCs w:val="15"/>
        </w:rPr>
        <w:t>-</w:t>
      </w:r>
      <w:r>
        <w:rPr>
          <w:rFonts w:ascii="Arial" w:hAnsi="Arial" w:eastAsia="Arial" w:cs="Arial"/>
          <w:color w:val="000084"/>
          <w:sz w:val="15"/>
          <w:szCs w:val="15"/>
        </w:rPr>
        <w:t>the</w:t>
      </w:r>
      <w:r>
        <w:rPr>
          <w:rFonts w:ascii="Arial" w:hAnsi="Arial" w:eastAsia="Arial" w:cs="Arial"/>
          <w:color w:val="000084"/>
          <w:spacing w:val="1"/>
          <w:sz w:val="15"/>
          <w:szCs w:val="15"/>
        </w:rPr>
        <w:t>-</w:t>
      </w:r>
      <w:r>
        <w:rPr>
          <w:rFonts w:ascii="Arial" w:hAnsi="Arial" w:eastAsia="Arial" w:cs="Arial"/>
          <w:color w:val="000084"/>
          <w:sz w:val="15"/>
          <w:szCs w:val="15"/>
        </w:rPr>
        <w:t>bologna</w:t>
      </w:r>
      <w:r>
        <w:rPr>
          <w:rFonts w:ascii="Arial" w:hAnsi="Arial" w:eastAsia="Arial" w:cs="Arial"/>
          <w:color w:val="000084"/>
          <w:sz w:val="15"/>
          <w:szCs w:val="15"/>
        </w:rPr>
        <w:fldChar w:fldCharType="end"/>
      </w:r>
      <w:r>
        <w:rPr>
          <w:rFonts w:ascii="Arial" w:hAnsi="Arial" w:eastAsia="Arial" w:cs="Arial"/>
          <w:color w:val="000084"/>
          <w:spacing w:val="1"/>
          <w:sz w:val="15"/>
          <w:szCs w:val="15"/>
        </w:rPr>
        <w:t xml:space="preserve">- </w:t>
      </w:r>
      <w:r>
        <w:fldChar w:fldCharType="begin"/>
      </w:r>
      <w:r>
        <w:instrText xml:space="preserve"> HYPERLINK "http://www.magna-charta.org/resources/files/text-of-the-bologna-declaration" </w:instrText>
      </w:r>
      <w:r>
        <w:fldChar w:fldCharType="separate"/>
      </w:r>
      <w:r>
        <w:rPr>
          <w:rFonts w:ascii="Arial" w:hAnsi="Arial" w:eastAsia="Arial" w:cs="Arial"/>
          <w:color w:val="000084"/>
          <w:spacing w:val="1"/>
          <w:sz w:val="15"/>
          <w:szCs w:val="15"/>
        </w:rPr>
        <w:t>declaration</w:t>
      </w:r>
      <w:r>
        <w:rPr>
          <w:rFonts w:ascii="Arial" w:hAnsi="Arial" w:eastAsia="Arial" w:cs="Arial"/>
          <w:color w:val="000084"/>
          <w:spacing w:val="1"/>
          <w:sz w:val="15"/>
          <w:szCs w:val="15"/>
        </w:rPr>
        <w:fldChar w:fldCharType="end"/>
      </w:r>
      <w:r>
        <w:rPr>
          <w:rFonts w:ascii="Arial" w:hAnsi="Arial" w:eastAsia="Arial" w:cs="Arial"/>
          <w:spacing w:val="1"/>
          <w:sz w:val="15"/>
          <w:szCs w:val="15"/>
        </w:rPr>
        <w:t>.</w:t>
      </w:r>
    </w:p>
    <w:p>
      <w:pPr>
        <w:spacing w:before="11" w:line="223" w:lineRule="auto"/>
        <w:ind w:left="203"/>
        <w:rPr>
          <w:rFonts w:ascii="Arial" w:hAnsi="Arial" w:eastAsia="Arial" w:cs="Arial"/>
          <w:sz w:val="15"/>
          <w:szCs w:val="15"/>
        </w:rPr>
      </w:pPr>
      <w:r>
        <w:rPr>
          <w:rFonts w:ascii="Arial" w:hAnsi="Arial" w:eastAsia="Arial" w:cs="Arial"/>
          <w:spacing w:val="-4"/>
          <w:sz w:val="15"/>
          <w:szCs w:val="15"/>
        </w:rPr>
        <w:t>Brodbeck,</w:t>
      </w:r>
      <w:r>
        <w:rPr>
          <w:rFonts w:ascii="Arial" w:hAnsi="Arial" w:eastAsia="Arial" w:cs="Arial"/>
          <w:spacing w:val="24"/>
          <w:sz w:val="15"/>
          <w:szCs w:val="15"/>
        </w:rPr>
        <w:t xml:space="preserve"> </w:t>
      </w:r>
      <w:r>
        <w:rPr>
          <w:rFonts w:ascii="Arial" w:hAnsi="Arial" w:eastAsia="Arial" w:cs="Arial"/>
          <w:spacing w:val="-4"/>
          <w:sz w:val="15"/>
          <w:szCs w:val="15"/>
        </w:rPr>
        <w:t>F.</w:t>
      </w:r>
      <w:r>
        <w:rPr>
          <w:rFonts w:ascii="Arial" w:hAnsi="Arial" w:eastAsia="Arial" w:cs="Arial"/>
          <w:spacing w:val="12"/>
          <w:w w:val="101"/>
          <w:sz w:val="15"/>
          <w:szCs w:val="15"/>
        </w:rPr>
        <w:t xml:space="preserve"> </w:t>
      </w:r>
      <w:r>
        <w:rPr>
          <w:rFonts w:ascii="Arial" w:hAnsi="Arial" w:eastAsia="Arial" w:cs="Arial"/>
          <w:spacing w:val="-4"/>
          <w:sz w:val="15"/>
          <w:szCs w:val="15"/>
        </w:rPr>
        <w:t>C.,</w:t>
      </w:r>
      <w:r>
        <w:rPr>
          <w:rFonts w:ascii="Arial" w:hAnsi="Arial" w:eastAsia="Arial" w:cs="Arial"/>
          <w:spacing w:val="18"/>
          <w:sz w:val="15"/>
          <w:szCs w:val="15"/>
        </w:rPr>
        <w:t xml:space="preserve"> </w:t>
      </w:r>
      <w:r>
        <w:rPr>
          <w:rFonts w:ascii="Arial" w:hAnsi="Arial" w:eastAsia="Arial" w:cs="Arial"/>
          <w:spacing w:val="-4"/>
          <w:sz w:val="15"/>
          <w:szCs w:val="15"/>
        </w:rPr>
        <w:t>N.</w:t>
      </w:r>
      <w:r>
        <w:rPr>
          <w:rFonts w:ascii="Arial" w:hAnsi="Arial" w:eastAsia="Arial" w:cs="Arial"/>
          <w:spacing w:val="10"/>
          <w:w w:val="101"/>
          <w:sz w:val="15"/>
          <w:szCs w:val="15"/>
        </w:rPr>
        <w:t xml:space="preserve"> </w:t>
      </w:r>
      <w:r>
        <w:rPr>
          <w:rFonts w:ascii="Arial" w:hAnsi="Arial" w:eastAsia="Arial" w:cs="Arial"/>
          <w:spacing w:val="-4"/>
          <w:sz w:val="15"/>
          <w:szCs w:val="15"/>
        </w:rPr>
        <w:t>Anderson,</w:t>
      </w:r>
      <w:r>
        <w:rPr>
          <w:rFonts w:ascii="Arial" w:hAnsi="Arial" w:eastAsia="Arial" w:cs="Arial"/>
          <w:spacing w:val="10"/>
          <w:w w:val="101"/>
          <w:sz w:val="15"/>
          <w:szCs w:val="15"/>
        </w:rPr>
        <w:t xml:space="preserve"> </w:t>
      </w:r>
      <w:r>
        <w:rPr>
          <w:rFonts w:ascii="Arial" w:hAnsi="Arial" w:eastAsia="Arial" w:cs="Arial"/>
          <w:spacing w:val="-4"/>
          <w:sz w:val="15"/>
          <w:szCs w:val="15"/>
        </w:rPr>
        <w:t>and</w:t>
      </w:r>
      <w:r>
        <w:rPr>
          <w:rFonts w:ascii="Arial" w:hAnsi="Arial" w:eastAsia="Arial" w:cs="Arial"/>
          <w:spacing w:val="15"/>
          <w:w w:val="101"/>
          <w:sz w:val="15"/>
          <w:szCs w:val="15"/>
        </w:rPr>
        <w:t xml:space="preserve"> </w:t>
      </w:r>
      <w:r>
        <w:rPr>
          <w:rFonts w:ascii="Arial" w:hAnsi="Arial" w:eastAsia="Arial" w:cs="Arial"/>
          <w:spacing w:val="-4"/>
          <w:sz w:val="15"/>
          <w:szCs w:val="15"/>
        </w:rPr>
        <w:t>M.</w:t>
      </w:r>
      <w:r>
        <w:rPr>
          <w:rFonts w:ascii="Arial" w:hAnsi="Arial" w:eastAsia="Arial" w:cs="Arial"/>
          <w:spacing w:val="8"/>
          <w:sz w:val="15"/>
          <w:szCs w:val="15"/>
        </w:rPr>
        <w:t xml:space="preserve"> </w:t>
      </w:r>
      <w:r>
        <w:rPr>
          <w:rFonts w:ascii="Arial" w:hAnsi="Arial" w:eastAsia="Arial" w:cs="Arial"/>
          <w:spacing w:val="-4"/>
          <w:sz w:val="15"/>
          <w:szCs w:val="15"/>
        </w:rPr>
        <w:t xml:space="preserve">West. </w:t>
      </w:r>
      <w:r>
        <w:fldChar w:fldCharType="begin"/>
      </w:r>
      <w:r>
        <w:instrText xml:space="preserve"> HYPERLINK \l "bookmark72" </w:instrText>
      </w:r>
      <w:r>
        <w:fldChar w:fldCharType="separate"/>
      </w:r>
      <w:r>
        <w:rPr>
          <w:rFonts w:ascii="Arial" w:hAnsi="Arial" w:eastAsia="Arial" w:cs="Arial"/>
          <w:color w:val="000084"/>
          <w:spacing w:val="-4"/>
          <w:sz w:val="15"/>
          <w:szCs w:val="15"/>
        </w:rPr>
        <w:t>2000</w:t>
      </w:r>
      <w:r>
        <w:rPr>
          <w:rFonts w:ascii="Arial" w:hAnsi="Arial" w:eastAsia="Arial" w:cs="Arial"/>
          <w:color w:val="000084"/>
          <w:spacing w:val="-4"/>
          <w:sz w:val="15"/>
          <w:szCs w:val="15"/>
        </w:rPr>
        <w:fldChar w:fldCharType="end"/>
      </w:r>
      <w:r>
        <w:rPr>
          <w:rFonts w:ascii="Arial" w:hAnsi="Arial" w:eastAsia="Arial" w:cs="Arial"/>
          <w:spacing w:val="-4"/>
          <w:sz w:val="15"/>
          <w:szCs w:val="15"/>
        </w:rPr>
        <w:t>.</w:t>
      </w:r>
      <w:r>
        <w:rPr>
          <w:rFonts w:ascii="Arial" w:hAnsi="Arial" w:eastAsia="Arial" w:cs="Arial"/>
          <w:spacing w:val="17"/>
          <w:sz w:val="15"/>
          <w:szCs w:val="15"/>
        </w:rPr>
        <w:t xml:space="preserve"> </w:t>
      </w:r>
      <w:r>
        <w:rPr>
          <w:rFonts w:ascii="Arial" w:hAnsi="Arial" w:eastAsia="Arial" w:cs="Arial"/>
          <w:spacing w:val="-4"/>
          <w:sz w:val="15"/>
          <w:szCs w:val="15"/>
        </w:rPr>
        <w:t>TKI:</w:t>
      </w:r>
      <w:r>
        <w:rPr>
          <w:rFonts w:ascii="Arial" w:hAnsi="Arial" w:eastAsia="Arial" w:cs="Arial"/>
          <w:spacing w:val="16"/>
          <w:w w:val="102"/>
          <w:sz w:val="15"/>
          <w:szCs w:val="15"/>
        </w:rPr>
        <w:t xml:space="preserve"> </w:t>
      </w:r>
      <w:r>
        <w:rPr>
          <w:rFonts w:ascii="Arial" w:hAnsi="Arial" w:eastAsia="Arial" w:cs="Arial"/>
          <w:spacing w:val="-4"/>
          <w:sz w:val="15"/>
          <w:szCs w:val="15"/>
        </w:rPr>
        <w:t>Teamklima-Inventar.</w:t>
      </w:r>
      <w:r>
        <w:rPr>
          <w:rFonts w:ascii="Arial" w:hAnsi="Arial" w:eastAsia="Arial" w:cs="Arial"/>
          <w:spacing w:val="16"/>
          <w:sz w:val="15"/>
          <w:szCs w:val="15"/>
        </w:rPr>
        <w:t xml:space="preserve"> </w:t>
      </w:r>
      <w:r>
        <w:rPr>
          <w:rFonts w:ascii="Arial" w:hAnsi="Arial" w:eastAsia="Arial" w:cs="Arial"/>
          <w:spacing w:val="-4"/>
          <w:sz w:val="15"/>
          <w:szCs w:val="15"/>
        </w:rPr>
        <w:t>Team</w:t>
      </w:r>
      <w:r>
        <w:rPr>
          <w:rFonts w:ascii="Arial" w:hAnsi="Arial" w:eastAsia="Arial" w:cs="Arial"/>
          <w:spacing w:val="13"/>
          <w:sz w:val="15"/>
          <w:szCs w:val="15"/>
        </w:rPr>
        <w:t xml:space="preserve"> </w:t>
      </w:r>
      <w:r>
        <w:rPr>
          <w:rFonts w:ascii="Arial" w:hAnsi="Arial" w:eastAsia="Arial" w:cs="Arial"/>
          <w:spacing w:val="-4"/>
          <w:sz w:val="15"/>
          <w:szCs w:val="15"/>
        </w:rPr>
        <w:t>Climate</w:t>
      </w:r>
      <w:r>
        <w:rPr>
          <w:rFonts w:ascii="Arial" w:hAnsi="Arial" w:eastAsia="Arial" w:cs="Arial"/>
          <w:spacing w:val="9"/>
          <w:sz w:val="15"/>
          <w:szCs w:val="15"/>
        </w:rPr>
        <w:t xml:space="preserve"> </w:t>
      </w:r>
      <w:r>
        <w:rPr>
          <w:rFonts w:ascii="Arial" w:hAnsi="Arial" w:eastAsia="Arial" w:cs="Arial"/>
          <w:spacing w:val="-4"/>
          <w:sz w:val="15"/>
          <w:szCs w:val="15"/>
        </w:rPr>
        <w:t>Inventory.</w:t>
      </w:r>
      <w:r>
        <w:rPr>
          <w:rFonts w:ascii="Arial" w:hAnsi="Arial" w:eastAsia="Arial" w:cs="Arial"/>
          <w:spacing w:val="12"/>
          <w:w w:val="101"/>
          <w:sz w:val="15"/>
          <w:szCs w:val="15"/>
        </w:rPr>
        <w:t xml:space="preserve"> </w:t>
      </w:r>
      <w:r>
        <w:rPr>
          <w:rFonts w:ascii="Arial" w:hAnsi="Arial" w:eastAsia="Arial" w:cs="Arial"/>
          <w:spacing w:val="-4"/>
          <w:sz w:val="15"/>
          <w:szCs w:val="15"/>
        </w:rPr>
        <w:t>Göttingen:</w:t>
      </w:r>
      <w:r>
        <w:rPr>
          <w:rFonts w:ascii="Arial" w:hAnsi="Arial" w:eastAsia="Arial" w:cs="Arial"/>
          <w:spacing w:val="17"/>
          <w:w w:val="102"/>
          <w:sz w:val="15"/>
          <w:szCs w:val="15"/>
        </w:rPr>
        <w:t xml:space="preserve"> </w:t>
      </w:r>
      <w:r>
        <w:rPr>
          <w:rFonts w:ascii="Arial" w:hAnsi="Arial" w:eastAsia="Arial" w:cs="Arial"/>
          <w:spacing w:val="-4"/>
          <w:sz w:val="15"/>
          <w:szCs w:val="15"/>
        </w:rPr>
        <w:t>Hogrefe.</w:t>
      </w:r>
    </w:p>
    <w:p>
      <w:pPr>
        <w:spacing w:before="39" w:line="271" w:lineRule="auto"/>
        <w:ind w:left="395" w:right="25" w:hanging="192"/>
        <w:rPr>
          <w:rFonts w:ascii="Arial" w:hAnsi="Arial" w:eastAsia="Arial" w:cs="Arial"/>
          <w:sz w:val="15"/>
          <w:szCs w:val="15"/>
        </w:rPr>
      </w:pPr>
      <w:r>
        <w:rPr>
          <w:rFonts w:ascii="Arial" w:hAnsi="Arial" w:eastAsia="Arial" w:cs="Arial"/>
          <w:spacing w:val="-3"/>
          <w:sz w:val="15"/>
          <w:szCs w:val="15"/>
        </w:rPr>
        <w:t>Ehlers,</w:t>
      </w:r>
      <w:r>
        <w:rPr>
          <w:rFonts w:ascii="Arial" w:hAnsi="Arial" w:eastAsia="Arial" w:cs="Arial"/>
          <w:spacing w:val="30"/>
          <w:sz w:val="15"/>
          <w:szCs w:val="15"/>
        </w:rPr>
        <w:t xml:space="preserve"> </w:t>
      </w:r>
      <w:r>
        <w:rPr>
          <w:rFonts w:ascii="Arial" w:hAnsi="Arial" w:eastAsia="Arial" w:cs="Arial"/>
          <w:spacing w:val="-3"/>
          <w:sz w:val="15"/>
          <w:szCs w:val="15"/>
        </w:rPr>
        <w:t>U.</w:t>
      </w:r>
      <w:r>
        <w:rPr>
          <w:rFonts w:ascii="Arial" w:hAnsi="Arial" w:eastAsia="Arial" w:cs="Arial"/>
          <w:spacing w:val="15"/>
          <w:sz w:val="15"/>
          <w:szCs w:val="15"/>
        </w:rPr>
        <w:t xml:space="preserve"> </w:t>
      </w:r>
      <w:r>
        <w:rPr>
          <w:rFonts w:ascii="Arial" w:hAnsi="Arial" w:eastAsia="Arial" w:cs="Arial"/>
          <w:spacing w:val="-3"/>
          <w:sz w:val="15"/>
          <w:szCs w:val="15"/>
        </w:rPr>
        <w:t xml:space="preserve">D. </w:t>
      </w:r>
      <w:r>
        <w:fldChar w:fldCharType="begin"/>
      </w:r>
      <w:r>
        <w:instrText xml:space="preserve"> HYPERLINK \l "bookmark34" </w:instrText>
      </w:r>
      <w:r>
        <w:fldChar w:fldCharType="separate"/>
      </w:r>
      <w:r>
        <w:rPr>
          <w:rFonts w:ascii="Arial" w:hAnsi="Arial" w:eastAsia="Arial" w:cs="Arial"/>
          <w:color w:val="000084"/>
          <w:spacing w:val="-3"/>
          <w:sz w:val="15"/>
          <w:szCs w:val="15"/>
        </w:rPr>
        <w:t>2009</w:t>
      </w:r>
      <w:r>
        <w:rPr>
          <w:rFonts w:ascii="Arial" w:hAnsi="Arial" w:eastAsia="Arial" w:cs="Arial"/>
          <w:color w:val="000084"/>
          <w:spacing w:val="-3"/>
          <w:sz w:val="15"/>
          <w:szCs w:val="15"/>
        </w:rPr>
        <w:fldChar w:fldCharType="end"/>
      </w:r>
      <w:r>
        <w:rPr>
          <w:rFonts w:ascii="Arial" w:hAnsi="Arial" w:eastAsia="Arial" w:cs="Arial"/>
          <w:spacing w:val="-3"/>
          <w:sz w:val="15"/>
          <w:szCs w:val="15"/>
        </w:rPr>
        <w:t>.</w:t>
      </w:r>
      <w:r>
        <w:rPr>
          <w:rFonts w:ascii="Arial" w:hAnsi="Arial" w:eastAsia="Arial" w:cs="Arial"/>
          <w:spacing w:val="8"/>
          <w:sz w:val="15"/>
          <w:szCs w:val="15"/>
        </w:rPr>
        <w:t xml:space="preserve"> </w:t>
      </w:r>
      <w:r>
        <w:rPr>
          <w:rFonts w:ascii="Arial" w:hAnsi="Arial" w:eastAsia="Arial" w:cs="Arial"/>
          <w:spacing w:val="-3"/>
          <w:sz w:val="15"/>
          <w:szCs w:val="15"/>
        </w:rPr>
        <w:t>“Understanding Quality</w:t>
      </w:r>
      <w:r>
        <w:rPr>
          <w:rFonts w:ascii="Arial" w:hAnsi="Arial" w:eastAsia="Arial" w:cs="Arial"/>
          <w:spacing w:val="8"/>
          <w:sz w:val="15"/>
          <w:szCs w:val="15"/>
        </w:rPr>
        <w:t xml:space="preserve"> </w:t>
      </w:r>
      <w:r>
        <w:rPr>
          <w:rFonts w:ascii="Arial" w:hAnsi="Arial" w:eastAsia="Arial" w:cs="Arial"/>
          <w:spacing w:val="-3"/>
          <w:sz w:val="15"/>
          <w:szCs w:val="15"/>
        </w:rPr>
        <w:t>Culture.”</w:t>
      </w:r>
      <w:r>
        <w:rPr>
          <w:rFonts w:ascii="Arial" w:hAnsi="Arial" w:eastAsia="Arial" w:cs="Arial"/>
          <w:spacing w:val="10"/>
          <w:w w:val="101"/>
          <w:sz w:val="15"/>
          <w:szCs w:val="15"/>
        </w:rPr>
        <w:t xml:space="preserve"> </w:t>
      </w:r>
      <w:r>
        <w:rPr>
          <w:rFonts w:ascii="Arial" w:hAnsi="Arial" w:eastAsia="Arial" w:cs="Arial"/>
          <w:spacing w:val="-3"/>
          <w:sz w:val="15"/>
          <w:szCs w:val="15"/>
        </w:rPr>
        <w:t>Quality Assurance in Education: An International</w:t>
      </w:r>
      <w:r>
        <w:rPr>
          <w:rFonts w:ascii="Arial" w:hAnsi="Arial" w:eastAsia="Arial" w:cs="Arial"/>
          <w:spacing w:val="3"/>
          <w:sz w:val="15"/>
          <w:szCs w:val="15"/>
        </w:rPr>
        <w:t xml:space="preserve"> </w:t>
      </w:r>
      <w:r>
        <w:rPr>
          <w:rFonts w:ascii="Arial" w:hAnsi="Arial" w:eastAsia="Arial" w:cs="Arial"/>
          <w:spacing w:val="-3"/>
          <w:sz w:val="15"/>
          <w:szCs w:val="15"/>
        </w:rPr>
        <w:t>Perspective</w:t>
      </w:r>
      <w:r>
        <w:rPr>
          <w:rFonts w:ascii="Arial" w:hAnsi="Arial" w:eastAsia="Arial" w:cs="Arial"/>
          <w:spacing w:val="18"/>
          <w:sz w:val="15"/>
          <w:szCs w:val="15"/>
        </w:rPr>
        <w:t xml:space="preserve"> </w:t>
      </w:r>
      <w:r>
        <w:rPr>
          <w:rFonts w:ascii="Arial" w:hAnsi="Arial" w:eastAsia="Arial" w:cs="Arial"/>
          <w:spacing w:val="-3"/>
          <w:sz w:val="15"/>
          <w:szCs w:val="15"/>
        </w:rPr>
        <w:t>17:</w:t>
      </w:r>
      <w:r>
        <w:rPr>
          <w:rFonts w:ascii="Arial" w:hAnsi="Arial" w:eastAsia="Arial" w:cs="Arial"/>
          <w:spacing w:val="9"/>
          <w:sz w:val="15"/>
          <w:szCs w:val="15"/>
        </w:rPr>
        <w:t xml:space="preserve"> </w:t>
      </w:r>
      <w:r>
        <w:rPr>
          <w:rFonts w:ascii="Arial" w:hAnsi="Arial" w:eastAsia="Arial" w:cs="Arial"/>
          <w:spacing w:val="-3"/>
          <w:sz w:val="15"/>
          <w:szCs w:val="15"/>
        </w:rPr>
        <w:t>343–</w:t>
      </w:r>
      <w:r>
        <w:rPr>
          <w:rFonts w:ascii="Arial" w:hAnsi="Arial" w:eastAsia="Arial" w:cs="Arial"/>
          <w:sz w:val="15"/>
          <w:szCs w:val="15"/>
        </w:rPr>
        <w:t xml:space="preserve"> </w:t>
      </w:r>
      <w:r>
        <w:rPr>
          <w:rFonts w:ascii="Arial" w:hAnsi="Arial" w:eastAsia="Arial" w:cs="Arial"/>
          <w:spacing w:val="-1"/>
          <w:sz w:val="15"/>
          <w:szCs w:val="15"/>
        </w:rPr>
        <w:t xml:space="preserve">63. </w:t>
      </w:r>
      <w:r>
        <w:fldChar w:fldCharType="begin"/>
      </w:r>
      <w:r>
        <w:instrText xml:space="preserve"> HYPERLINK "https://doi.org/10.1108/09684880910992322" </w:instrText>
      </w:r>
      <w:r>
        <w:fldChar w:fldCharType="separate"/>
      </w:r>
      <w:r>
        <w:rPr>
          <w:rFonts w:ascii="Arial" w:hAnsi="Arial" w:eastAsia="Arial" w:cs="Arial"/>
          <w:color w:val="000084"/>
          <w:spacing w:val="-1"/>
          <w:sz w:val="15"/>
          <w:szCs w:val="15"/>
        </w:rPr>
        <w:t>doi:10.1108/096</w:t>
      </w:r>
      <w:r>
        <w:rPr>
          <w:rFonts w:ascii="Arial" w:hAnsi="Arial" w:eastAsia="Arial" w:cs="Arial"/>
          <w:color w:val="000084"/>
          <w:spacing w:val="-2"/>
          <w:sz w:val="15"/>
          <w:szCs w:val="15"/>
        </w:rPr>
        <w:t>84880910992322</w:t>
      </w:r>
      <w:r>
        <w:rPr>
          <w:rFonts w:ascii="Arial" w:hAnsi="Arial" w:eastAsia="Arial" w:cs="Arial"/>
          <w:color w:val="000084"/>
          <w:spacing w:val="-2"/>
          <w:sz w:val="15"/>
          <w:szCs w:val="15"/>
        </w:rPr>
        <w:fldChar w:fldCharType="end"/>
      </w:r>
      <w:r>
        <w:rPr>
          <w:rFonts w:ascii="Arial" w:hAnsi="Arial" w:eastAsia="Arial" w:cs="Arial"/>
          <w:spacing w:val="-2"/>
          <w:sz w:val="15"/>
          <w:szCs w:val="15"/>
        </w:rPr>
        <w:t>.</w:t>
      </w:r>
    </w:p>
    <w:p>
      <w:pPr>
        <w:spacing w:before="11" w:line="250" w:lineRule="auto"/>
        <w:ind w:left="394" w:right="24" w:hanging="191"/>
        <w:rPr>
          <w:rFonts w:ascii="Arial" w:hAnsi="Arial" w:eastAsia="Arial" w:cs="Arial"/>
          <w:sz w:val="15"/>
          <w:szCs w:val="15"/>
        </w:rPr>
      </w:pPr>
      <w:r>
        <w:rPr>
          <w:rFonts w:ascii="Arial" w:hAnsi="Arial" w:eastAsia="Arial" w:cs="Arial"/>
          <w:spacing w:val="-3"/>
          <w:sz w:val="15"/>
          <w:szCs w:val="15"/>
        </w:rPr>
        <w:t>ESG (Standards and Guidelines for Quality Assurance in the European</w:t>
      </w:r>
      <w:r>
        <w:rPr>
          <w:rFonts w:ascii="Arial" w:hAnsi="Arial" w:eastAsia="Arial" w:cs="Arial"/>
          <w:spacing w:val="19"/>
          <w:sz w:val="15"/>
          <w:szCs w:val="15"/>
        </w:rPr>
        <w:t xml:space="preserve"> </w:t>
      </w:r>
      <w:r>
        <w:rPr>
          <w:rFonts w:ascii="Arial" w:hAnsi="Arial" w:eastAsia="Arial" w:cs="Arial"/>
          <w:spacing w:val="-3"/>
          <w:sz w:val="15"/>
          <w:szCs w:val="15"/>
        </w:rPr>
        <w:t>Higher Education</w:t>
      </w:r>
      <w:r>
        <w:rPr>
          <w:rFonts w:ascii="Arial" w:hAnsi="Arial" w:eastAsia="Arial" w:cs="Arial"/>
          <w:spacing w:val="-1"/>
          <w:sz w:val="15"/>
          <w:szCs w:val="15"/>
        </w:rPr>
        <w:t xml:space="preserve"> </w:t>
      </w:r>
      <w:r>
        <w:rPr>
          <w:rFonts w:ascii="Arial" w:hAnsi="Arial" w:eastAsia="Arial" w:cs="Arial"/>
          <w:spacing w:val="-3"/>
          <w:sz w:val="15"/>
          <w:szCs w:val="15"/>
        </w:rPr>
        <w:t xml:space="preserve">Area). </w:t>
      </w:r>
      <w:r>
        <w:fldChar w:fldCharType="begin"/>
      </w:r>
      <w:r>
        <w:instrText xml:space="preserve"> HYPERLINK \l "bookmark5" </w:instrText>
      </w:r>
      <w:r>
        <w:fldChar w:fldCharType="separate"/>
      </w:r>
      <w:r>
        <w:rPr>
          <w:rFonts w:ascii="Arial" w:hAnsi="Arial" w:eastAsia="Arial" w:cs="Arial"/>
          <w:color w:val="000084"/>
          <w:spacing w:val="-3"/>
          <w:sz w:val="15"/>
          <w:szCs w:val="15"/>
        </w:rPr>
        <w:t>2015</w:t>
      </w:r>
      <w:r>
        <w:rPr>
          <w:rFonts w:ascii="Arial" w:hAnsi="Arial" w:eastAsia="Arial" w:cs="Arial"/>
          <w:color w:val="000084"/>
          <w:spacing w:val="-3"/>
          <w:sz w:val="15"/>
          <w:szCs w:val="15"/>
        </w:rPr>
        <w:fldChar w:fldCharType="end"/>
      </w:r>
      <w:r>
        <w:rPr>
          <w:rFonts w:ascii="Arial" w:hAnsi="Arial" w:eastAsia="Arial" w:cs="Arial"/>
          <w:spacing w:val="-3"/>
          <w:sz w:val="15"/>
          <w:szCs w:val="15"/>
        </w:rPr>
        <w:t>.</w:t>
      </w:r>
      <w:r>
        <w:rPr>
          <w:rFonts w:ascii="Arial" w:hAnsi="Arial" w:eastAsia="Arial" w:cs="Arial"/>
          <w:spacing w:val="8"/>
          <w:sz w:val="15"/>
          <w:szCs w:val="15"/>
        </w:rPr>
        <w:t xml:space="preserve"> </w:t>
      </w:r>
      <w:r>
        <w:rPr>
          <w:rFonts w:ascii="Arial" w:hAnsi="Arial" w:eastAsia="Arial" w:cs="Arial"/>
          <w:spacing w:val="-3"/>
          <w:sz w:val="15"/>
          <w:szCs w:val="15"/>
        </w:rPr>
        <w:t>Brussels. Accessed</w:t>
      </w:r>
      <w:r>
        <w:rPr>
          <w:rFonts w:ascii="Arial" w:hAnsi="Arial" w:eastAsia="Arial" w:cs="Arial"/>
          <w:spacing w:val="1"/>
          <w:sz w:val="15"/>
          <w:szCs w:val="15"/>
        </w:rPr>
        <w:t xml:space="preserve"> </w:t>
      </w:r>
      <w:r>
        <w:rPr>
          <w:rFonts w:ascii="Arial" w:hAnsi="Arial" w:eastAsia="Arial" w:cs="Arial"/>
          <w:spacing w:val="-3"/>
          <w:sz w:val="15"/>
          <w:szCs w:val="15"/>
        </w:rPr>
        <w:t>6</w:t>
      </w:r>
      <w:r>
        <w:rPr>
          <w:rFonts w:ascii="Arial" w:hAnsi="Arial" w:eastAsia="Arial" w:cs="Arial"/>
          <w:sz w:val="15"/>
          <w:szCs w:val="15"/>
        </w:rPr>
        <w:t xml:space="preserve"> August</w:t>
      </w:r>
      <w:r>
        <w:rPr>
          <w:rFonts w:ascii="Arial" w:hAnsi="Arial" w:eastAsia="Arial" w:cs="Arial"/>
          <w:spacing w:val="13"/>
          <w:w w:val="101"/>
          <w:sz w:val="15"/>
          <w:szCs w:val="15"/>
        </w:rPr>
        <w:t xml:space="preserve"> </w:t>
      </w:r>
      <w:r>
        <w:rPr>
          <w:rFonts w:ascii="Arial" w:hAnsi="Arial" w:eastAsia="Arial" w:cs="Arial"/>
          <w:spacing w:val="2"/>
          <w:sz w:val="15"/>
          <w:szCs w:val="15"/>
        </w:rPr>
        <w:t xml:space="preserve">2019. </w:t>
      </w:r>
      <w:r>
        <w:fldChar w:fldCharType="begin"/>
      </w:r>
      <w:r>
        <w:instrText xml:space="preserve"> HYPERLINK "http://www.enqa.eu/wp-content/uploads/2015/11/ESG_2015.pdf" </w:instrText>
      </w:r>
      <w:r>
        <w:fldChar w:fldCharType="separate"/>
      </w:r>
      <w:r>
        <w:rPr>
          <w:rFonts w:ascii="Arial" w:hAnsi="Arial" w:eastAsia="Arial" w:cs="Arial"/>
          <w:color w:val="000084"/>
          <w:sz w:val="15"/>
          <w:szCs w:val="15"/>
        </w:rPr>
        <w:t>http</w:t>
      </w:r>
      <w:r>
        <w:rPr>
          <w:rFonts w:ascii="Arial" w:hAnsi="Arial" w:eastAsia="Arial" w:cs="Arial"/>
          <w:color w:val="000084"/>
          <w:spacing w:val="2"/>
          <w:sz w:val="15"/>
          <w:szCs w:val="15"/>
        </w:rPr>
        <w:t>://</w:t>
      </w:r>
      <w:r>
        <w:rPr>
          <w:rFonts w:ascii="Arial" w:hAnsi="Arial" w:eastAsia="Arial" w:cs="Arial"/>
          <w:color w:val="000084"/>
          <w:sz w:val="15"/>
          <w:szCs w:val="15"/>
        </w:rPr>
        <w:t>www</w:t>
      </w:r>
      <w:r>
        <w:rPr>
          <w:rFonts w:ascii="Arial" w:hAnsi="Arial" w:eastAsia="Arial" w:cs="Arial"/>
          <w:color w:val="000084"/>
          <w:spacing w:val="2"/>
          <w:sz w:val="15"/>
          <w:szCs w:val="15"/>
        </w:rPr>
        <w:t>.</w:t>
      </w:r>
      <w:r>
        <w:rPr>
          <w:rFonts w:ascii="Arial" w:hAnsi="Arial" w:eastAsia="Arial" w:cs="Arial"/>
          <w:color w:val="000084"/>
          <w:sz w:val="15"/>
          <w:szCs w:val="15"/>
        </w:rPr>
        <w:t>enqa</w:t>
      </w:r>
      <w:r>
        <w:rPr>
          <w:rFonts w:ascii="Arial" w:hAnsi="Arial" w:eastAsia="Arial" w:cs="Arial"/>
          <w:color w:val="000084"/>
          <w:spacing w:val="2"/>
          <w:sz w:val="15"/>
          <w:szCs w:val="15"/>
        </w:rPr>
        <w:t>.</w:t>
      </w:r>
      <w:r>
        <w:rPr>
          <w:rFonts w:ascii="Arial" w:hAnsi="Arial" w:eastAsia="Arial" w:cs="Arial"/>
          <w:color w:val="000084"/>
          <w:sz w:val="15"/>
          <w:szCs w:val="15"/>
        </w:rPr>
        <w:t>eu</w:t>
      </w:r>
      <w:r>
        <w:rPr>
          <w:rFonts w:ascii="Arial" w:hAnsi="Arial" w:eastAsia="Arial" w:cs="Arial"/>
          <w:color w:val="000084"/>
          <w:spacing w:val="2"/>
          <w:sz w:val="15"/>
          <w:szCs w:val="15"/>
        </w:rPr>
        <w:t>/</w:t>
      </w:r>
      <w:r>
        <w:rPr>
          <w:rFonts w:ascii="Arial" w:hAnsi="Arial" w:eastAsia="Arial" w:cs="Arial"/>
          <w:color w:val="000084"/>
          <w:sz w:val="15"/>
          <w:szCs w:val="15"/>
        </w:rPr>
        <w:t>wp</w:t>
      </w:r>
      <w:r>
        <w:rPr>
          <w:rFonts w:ascii="Arial" w:hAnsi="Arial" w:eastAsia="Arial" w:cs="Arial"/>
          <w:color w:val="000084"/>
          <w:spacing w:val="2"/>
          <w:sz w:val="15"/>
          <w:szCs w:val="15"/>
        </w:rPr>
        <w:t>-</w:t>
      </w:r>
      <w:r>
        <w:rPr>
          <w:rFonts w:ascii="Arial" w:hAnsi="Arial" w:eastAsia="Arial" w:cs="Arial"/>
          <w:color w:val="000084"/>
          <w:sz w:val="15"/>
          <w:szCs w:val="15"/>
        </w:rPr>
        <w:t>content</w:t>
      </w:r>
      <w:r>
        <w:rPr>
          <w:rFonts w:ascii="Arial" w:hAnsi="Arial" w:eastAsia="Arial" w:cs="Arial"/>
          <w:color w:val="000084"/>
          <w:spacing w:val="2"/>
          <w:sz w:val="15"/>
          <w:szCs w:val="15"/>
        </w:rPr>
        <w:t>/</w:t>
      </w:r>
      <w:r>
        <w:rPr>
          <w:rFonts w:ascii="Arial" w:hAnsi="Arial" w:eastAsia="Arial" w:cs="Arial"/>
          <w:color w:val="000084"/>
          <w:sz w:val="15"/>
          <w:szCs w:val="15"/>
        </w:rPr>
        <w:t>uploads</w:t>
      </w:r>
      <w:r>
        <w:rPr>
          <w:rFonts w:ascii="Arial" w:hAnsi="Arial" w:eastAsia="Arial" w:cs="Arial"/>
          <w:color w:val="000084"/>
          <w:spacing w:val="2"/>
          <w:sz w:val="15"/>
          <w:szCs w:val="15"/>
        </w:rPr>
        <w:t>/2015/11/</w:t>
      </w:r>
      <w:r>
        <w:rPr>
          <w:rFonts w:ascii="Arial" w:hAnsi="Arial" w:eastAsia="Arial" w:cs="Arial"/>
          <w:color w:val="000084"/>
          <w:sz w:val="15"/>
          <w:szCs w:val="15"/>
        </w:rPr>
        <w:t>ESG</w:t>
      </w:r>
      <w:r>
        <w:rPr>
          <w:rFonts w:ascii="Arial" w:hAnsi="Arial" w:eastAsia="Arial" w:cs="Arial"/>
          <w:color w:val="000084"/>
          <w:spacing w:val="2"/>
          <w:sz w:val="15"/>
          <w:szCs w:val="15"/>
        </w:rPr>
        <w:t>_2015</w:t>
      </w:r>
      <w:r>
        <w:rPr>
          <w:rFonts w:ascii="Arial" w:hAnsi="Arial" w:eastAsia="Arial" w:cs="Arial"/>
          <w:color w:val="000084"/>
          <w:spacing w:val="1"/>
          <w:sz w:val="15"/>
          <w:szCs w:val="15"/>
        </w:rPr>
        <w:t>.</w:t>
      </w:r>
      <w:r>
        <w:rPr>
          <w:rFonts w:ascii="Arial" w:hAnsi="Arial" w:eastAsia="Arial" w:cs="Arial"/>
          <w:color w:val="000084"/>
          <w:sz w:val="15"/>
          <w:szCs w:val="15"/>
        </w:rPr>
        <w:t>pdf</w:t>
      </w:r>
      <w:r>
        <w:rPr>
          <w:rFonts w:ascii="Arial" w:hAnsi="Arial" w:eastAsia="Arial" w:cs="Arial"/>
          <w:color w:val="000084"/>
          <w:sz w:val="15"/>
          <w:szCs w:val="15"/>
        </w:rPr>
        <w:fldChar w:fldCharType="end"/>
      </w:r>
      <w:r>
        <w:rPr>
          <w:rFonts w:ascii="Arial" w:hAnsi="Arial" w:eastAsia="Arial" w:cs="Arial"/>
          <w:spacing w:val="1"/>
          <w:sz w:val="15"/>
          <w:szCs w:val="15"/>
        </w:rPr>
        <w:t>.</w:t>
      </w:r>
    </w:p>
    <w:p>
      <w:pPr>
        <w:spacing w:before="41" w:line="247" w:lineRule="auto"/>
        <w:ind w:left="397" w:right="26" w:hanging="194"/>
        <w:rPr>
          <w:rFonts w:ascii="Arial" w:hAnsi="Arial" w:eastAsia="Arial" w:cs="Arial"/>
          <w:sz w:val="15"/>
          <w:szCs w:val="15"/>
        </w:rPr>
      </w:pPr>
      <w:r>
        <w:rPr>
          <w:rFonts w:ascii="Arial" w:hAnsi="Arial" w:eastAsia="Arial" w:cs="Arial"/>
          <w:spacing w:val="-3"/>
          <w:sz w:val="15"/>
          <w:szCs w:val="15"/>
        </w:rPr>
        <w:t>European</w:t>
      </w:r>
      <w:r>
        <w:rPr>
          <w:rFonts w:ascii="Arial" w:hAnsi="Arial" w:eastAsia="Arial" w:cs="Arial"/>
          <w:spacing w:val="36"/>
          <w:sz w:val="15"/>
          <w:szCs w:val="15"/>
        </w:rPr>
        <w:t xml:space="preserve"> </w:t>
      </w:r>
      <w:r>
        <w:rPr>
          <w:rFonts w:ascii="Arial" w:hAnsi="Arial" w:eastAsia="Arial" w:cs="Arial"/>
          <w:spacing w:val="-3"/>
          <w:sz w:val="15"/>
          <w:szCs w:val="15"/>
        </w:rPr>
        <w:t>University</w:t>
      </w:r>
      <w:r>
        <w:rPr>
          <w:rFonts w:ascii="Arial" w:hAnsi="Arial" w:eastAsia="Arial" w:cs="Arial"/>
          <w:spacing w:val="26"/>
          <w:w w:val="102"/>
          <w:sz w:val="15"/>
          <w:szCs w:val="15"/>
        </w:rPr>
        <w:t xml:space="preserve"> </w:t>
      </w:r>
      <w:r>
        <w:rPr>
          <w:rFonts w:ascii="Arial" w:hAnsi="Arial" w:eastAsia="Arial" w:cs="Arial"/>
          <w:spacing w:val="-3"/>
          <w:sz w:val="15"/>
          <w:szCs w:val="15"/>
        </w:rPr>
        <w:t>Association.</w:t>
      </w:r>
      <w:r>
        <w:rPr>
          <w:rFonts w:ascii="Arial" w:hAnsi="Arial" w:eastAsia="Arial" w:cs="Arial"/>
          <w:spacing w:val="24"/>
          <w:sz w:val="15"/>
          <w:szCs w:val="15"/>
        </w:rPr>
        <w:t xml:space="preserve"> </w:t>
      </w:r>
      <w:r>
        <w:fldChar w:fldCharType="begin"/>
      </w:r>
      <w:r>
        <w:instrText xml:space="preserve"> HYPERLINK \l "bookmark10" </w:instrText>
      </w:r>
      <w:r>
        <w:fldChar w:fldCharType="separate"/>
      </w:r>
      <w:r>
        <w:rPr>
          <w:rFonts w:ascii="Arial" w:hAnsi="Arial" w:eastAsia="Arial" w:cs="Arial"/>
          <w:color w:val="000084"/>
          <w:spacing w:val="-3"/>
          <w:sz w:val="15"/>
          <w:szCs w:val="15"/>
        </w:rPr>
        <w:t>2005</w:t>
      </w:r>
      <w:r>
        <w:rPr>
          <w:rFonts w:ascii="Arial" w:hAnsi="Arial" w:eastAsia="Arial" w:cs="Arial"/>
          <w:color w:val="000084"/>
          <w:spacing w:val="-3"/>
          <w:sz w:val="15"/>
          <w:szCs w:val="15"/>
        </w:rPr>
        <w:fldChar w:fldCharType="end"/>
      </w:r>
      <w:r>
        <w:rPr>
          <w:rFonts w:ascii="Arial" w:hAnsi="Arial" w:eastAsia="Arial" w:cs="Arial"/>
          <w:spacing w:val="-3"/>
          <w:sz w:val="15"/>
          <w:szCs w:val="15"/>
        </w:rPr>
        <w:t>.</w:t>
      </w:r>
      <w:r>
        <w:rPr>
          <w:rFonts w:ascii="Arial" w:hAnsi="Arial" w:eastAsia="Arial" w:cs="Arial"/>
          <w:spacing w:val="29"/>
          <w:w w:val="101"/>
          <w:sz w:val="15"/>
          <w:szCs w:val="15"/>
        </w:rPr>
        <w:t xml:space="preserve"> </w:t>
      </w:r>
      <w:r>
        <w:rPr>
          <w:rFonts w:ascii="Arial" w:hAnsi="Arial" w:eastAsia="Arial" w:cs="Arial"/>
          <w:spacing w:val="-3"/>
          <w:sz w:val="15"/>
          <w:szCs w:val="15"/>
        </w:rPr>
        <w:t>Developing</w:t>
      </w:r>
      <w:r>
        <w:rPr>
          <w:rFonts w:ascii="Arial" w:hAnsi="Arial" w:eastAsia="Arial" w:cs="Arial"/>
          <w:spacing w:val="28"/>
          <w:sz w:val="15"/>
          <w:szCs w:val="15"/>
        </w:rPr>
        <w:t xml:space="preserve"> </w:t>
      </w:r>
      <w:r>
        <w:rPr>
          <w:rFonts w:ascii="Arial" w:hAnsi="Arial" w:eastAsia="Arial" w:cs="Arial"/>
          <w:spacing w:val="-3"/>
          <w:sz w:val="15"/>
          <w:szCs w:val="15"/>
        </w:rPr>
        <w:t>an</w:t>
      </w:r>
      <w:r>
        <w:rPr>
          <w:rFonts w:ascii="Arial" w:hAnsi="Arial" w:eastAsia="Arial" w:cs="Arial"/>
          <w:spacing w:val="27"/>
          <w:w w:val="101"/>
          <w:sz w:val="15"/>
          <w:szCs w:val="15"/>
        </w:rPr>
        <w:t xml:space="preserve"> </w:t>
      </w:r>
      <w:r>
        <w:rPr>
          <w:rFonts w:ascii="Arial" w:hAnsi="Arial" w:eastAsia="Arial" w:cs="Arial"/>
          <w:spacing w:val="-3"/>
          <w:sz w:val="15"/>
          <w:szCs w:val="15"/>
        </w:rPr>
        <w:t>Internal</w:t>
      </w:r>
      <w:r>
        <w:rPr>
          <w:rFonts w:ascii="Arial" w:hAnsi="Arial" w:eastAsia="Arial" w:cs="Arial"/>
          <w:spacing w:val="26"/>
          <w:w w:val="102"/>
          <w:sz w:val="15"/>
          <w:szCs w:val="15"/>
        </w:rPr>
        <w:t xml:space="preserve"> </w:t>
      </w:r>
      <w:r>
        <w:rPr>
          <w:rFonts w:ascii="Arial" w:hAnsi="Arial" w:eastAsia="Arial" w:cs="Arial"/>
          <w:spacing w:val="-3"/>
          <w:sz w:val="15"/>
          <w:szCs w:val="15"/>
        </w:rPr>
        <w:t>Quality</w:t>
      </w:r>
      <w:r>
        <w:rPr>
          <w:rFonts w:ascii="Arial" w:hAnsi="Arial" w:eastAsia="Arial" w:cs="Arial"/>
          <w:spacing w:val="25"/>
          <w:w w:val="101"/>
          <w:sz w:val="15"/>
          <w:szCs w:val="15"/>
        </w:rPr>
        <w:t xml:space="preserve"> </w:t>
      </w:r>
      <w:r>
        <w:rPr>
          <w:rFonts w:ascii="Arial" w:hAnsi="Arial" w:eastAsia="Arial" w:cs="Arial"/>
          <w:spacing w:val="-3"/>
          <w:sz w:val="15"/>
          <w:szCs w:val="15"/>
        </w:rPr>
        <w:t>Culture</w:t>
      </w:r>
      <w:r>
        <w:rPr>
          <w:rFonts w:ascii="Arial" w:hAnsi="Arial" w:eastAsia="Arial" w:cs="Arial"/>
          <w:spacing w:val="28"/>
          <w:sz w:val="15"/>
          <w:szCs w:val="15"/>
        </w:rPr>
        <w:t xml:space="preserve"> </w:t>
      </w:r>
      <w:r>
        <w:rPr>
          <w:rFonts w:ascii="Arial" w:hAnsi="Arial" w:eastAsia="Arial" w:cs="Arial"/>
          <w:spacing w:val="-3"/>
          <w:sz w:val="15"/>
          <w:szCs w:val="15"/>
        </w:rPr>
        <w:t>in</w:t>
      </w:r>
      <w:r>
        <w:rPr>
          <w:rFonts w:ascii="Arial" w:hAnsi="Arial" w:eastAsia="Arial" w:cs="Arial"/>
          <w:spacing w:val="28"/>
          <w:w w:val="101"/>
          <w:sz w:val="15"/>
          <w:szCs w:val="15"/>
        </w:rPr>
        <w:t xml:space="preserve"> </w:t>
      </w:r>
      <w:r>
        <w:rPr>
          <w:rFonts w:ascii="Arial" w:hAnsi="Arial" w:eastAsia="Arial" w:cs="Arial"/>
          <w:spacing w:val="-3"/>
          <w:sz w:val="15"/>
          <w:szCs w:val="15"/>
        </w:rPr>
        <w:t>European</w:t>
      </w:r>
      <w:r>
        <w:rPr>
          <w:rFonts w:ascii="Arial" w:hAnsi="Arial" w:eastAsia="Arial" w:cs="Arial"/>
          <w:spacing w:val="35"/>
          <w:w w:val="101"/>
          <w:sz w:val="15"/>
          <w:szCs w:val="15"/>
        </w:rPr>
        <w:t xml:space="preserve"> </w:t>
      </w:r>
      <w:r>
        <w:rPr>
          <w:rFonts w:ascii="Arial" w:hAnsi="Arial" w:eastAsia="Arial" w:cs="Arial"/>
          <w:spacing w:val="-3"/>
          <w:sz w:val="15"/>
          <w:szCs w:val="15"/>
        </w:rPr>
        <w:t>Univers</w:t>
      </w:r>
      <w:r>
        <w:rPr>
          <w:rFonts w:ascii="Arial" w:hAnsi="Arial" w:eastAsia="Arial" w:cs="Arial"/>
          <w:spacing w:val="-4"/>
          <w:sz w:val="15"/>
          <w:szCs w:val="15"/>
        </w:rPr>
        <w:t>ities:</w:t>
      </w:r>
      <w:r>
        <w:rPr>
          <w:rFonts w:ascii="Arial" w:hAnsi="Arial" w:eastAsia="Arial" w:cs="Arial"/>
          <w:spacing w:val="29"/>
          <w:sz w:val="15"/>
          <w:szCs w:val="15"/>
        </w:rPr>
        <w:t xml:space="preserve"> </w:t>
      </w:r>
      <w:r>
        <w:rPr>
          <w:rFonts w:ascii="Arial" w:hAnsi="Arial" w:eastAsia="Arial" w:cs="Arial"/>
          <w:spacing w:val="-4"/>
          <w:sz w:val="15"/>
          <w:szCs w:val="15"/>
        </w:rPr>
        <w:t>Report</w:t>
      </w:r>
      <w:r>
        <w:rPr>
          <w:rFonts w:ascii="Arial" w:hAnsi="Arial" w:eastAsia="Arial" w:cs="Arial"/>
          <w:spacing w:val="24"/>
          <w:w w:val="101"/>
          <w:sz w:val="15"/>
          <w:szCs w:val="15"/>
        </w:rPr>
        <w:t xml:space="preserve"> </w:t>
      </w:r>
      <w:r>
        <w:rPr>
          <w:rFonts w:ascii="Arial" w:hAnsi="Arial" w:eastAsia="Arial" w:cs="Arial"/>
          <w:spacing w:val="-4"/>
          <w:sz w:val="15"/>
          <w:szCs w:val="15"/>
        </w:rPr>
        <w:t>on</w:t>
      </w:r>
      <w:r>
        <w:rPr>
          <w:rFonts w:ascii="Arial" w:hAnsi="Arial" w:eastAsia="Arial" w:cs="Arial"/>
          <w:spacing w:val="33"/>
          <w:sz w:val="15"/>
          <w:szCs w:val="15"/>
        </w:rPr>
        <w:t xml:space="preserve"> </w:t>
      </w:r>
      <w:r>
        <w:rPr>
          <w:rFonts w:ascii="Arial" w:hAnsi="Arial" w:eastAsia="Arial" w:cs="Arial"/>
          <w:spacing w:val="-4"/>
          <w:sz w:val="15"/>
          <w:szCs w:val="15"/>
        </w:rPr>
        <w:t>the</w:t>
      </w:r>
      <w:r>
        <w:rPr>
          <w:rFonts w:ascii="Arial" w:hAnsi="Arial" w:eastAsia="Arial" w:cs="Arial"/>
          <w:sz w:val="15"/>
          <w:szCs w:val="15"/>
        </w:rPr>
        <w:t xml:space="preserve"> </w:t>
      </w:r>
      <w:r>
        <w:rPr>
          <w:rFonts w:ascii="Arial" w:hAnsi="Arial" w:eastAsia="Arial" w:cs="Arial"/>
          <w:spacing w:val="-3"/>
          <w:sz w:val="15"/>
          <w:szCs w:val="15"/>
        </w:rPr>
        <w:t>Quality</w:t>
      </w:r>
      <w:r>
        <w:rPr>
          <w:rFonts w:ascii="Arial" w:hAnsi="Arial" w:eastAsia="Arial" w:cs="Arial"/>
          <w:spacing w:val="8"/>
          <w:sz w:val="15"/>
          <w:szCs w:val="15"/>
        </w:rPr>
        <w:t xml:space="preserve"> </w:t>
      </w:r>
      <w:r>
        <w:rPr>
          <w:rFonts w:ascii="Arial" w:hAnsi="Arial" w:eastAsia="Arial" w:cs="Arial"/>
          <w:spacing w:val="-3"/>
          <w:sz w:val="15"/>
          <w:szCs w:val="15"/>
        </w:rPr>
        <w:t>Culture</w:t>
      </w:r>
      <w:r>
        <w:rPr>
          <w:rFonts w:ascii="Arial" w:hAnsi="Arial" w:eastAsia="Arial" w:cs="Arial"/>
          <w:spacing w:val="11"/>
          <w:sz w:val="15"/>
          <w:szCs w:val="15"/>
        </w:rPr>
        <w:t xml:space="preserve"> </w:t>
      </w:r>
      <w:r>
        <w:rPr>
          <w:rFonts w:ascii="Arial" w:hAnsi="Arial" w:eastAsia="Arial" w:cs="Arial"/>
          <w:spacing w:val="-3"/>
          <w:sz w:val="15"/>
          <w:szCs w:val="15"/>
        </w:rPr>
        <w:t>Project 2002-2003.</w:t>
      </w:r>
      <w:r>
        <w:rPr>
          <w:rFonts w:ascii="Arial" w:hAnsi="Arial" w:eastAsia="Arial" w:cs="Arial"/>
          <w:spacing w:val="18"/>
          <w:w w:val="101"/>
          <w:sz w:val="15"/>
          <w:szCs w:val="15"/>
        </w:rPr>
        <w:t xml:space="preserve"> </w:t>
      </w:r>
      <w:r>
        <w:rPr>
          <w:rFonts w:ascii="Arial" w:hAnsi="Arial" w:eastAsia="Arial" w:cs="Arial"/>
          <w:spacing w:val="-3"/>
          <w:sz w:val="15"/>
          <w:szCs w:val="15"/>
        </w:rPr>
        <w:t>Brussels:</w:t>
      </w:r>
      <w:r>
        <w:rPr>
          <w:rFonts w:ascii="Arial" w:hAnsi="Arial" w:eastAsia="Arial" w:cs="Arial"/>
          <w:spacing w:val="17"/>
          <w:sz w:val="15"/>
          <w:szCs w:val="15"/>
        </w:rPr>
        <w:t xml:space="preserve"> </w:t>
      </w:r>
      <w:r>
        <w:rPr>
          <w:rFonts w:ascii="Arial" w:hAnsi="Arial" w:eastAsia="Arial" w:cs="Arial"/>
          <w:spacing w:val="-3"/>
          <w:sz w:val="15"/>
          <w:szCs w:val="15"/>
        </w:rPr>
        <w:t>Europea</w:t>
      </w:r>
      <w:r>
        <w:rPr>
          <w:rFonts w:ascii="Arial" w:hAnsi="Arial" w:eastAsia="Arial" w:cs="Arial"/>
          <w:spacing w:val="-4"/>
          <w:sz w:val="15"/>
          <w:szCs w:val="15"/>
        </w:rPr>
        <w:t>n</w:t>
      </w:r>
      <w:r>
        <w:rPr>
          <w:rFonts w:ascii="Arial" w:hAnsi="Arial" w:eastAsia="Arial" w:cs="Arial"/>
          <w:spacing w:val="17"/>
          <w:w w:val="101"/>
          <w:sz w:val="15"/>
          <w:szCs w:val="15"/>
        </w:rPr>
        <w:t xml:space="preserve"> </w:t>
      </w:r>
      <w:r>
        <w:rPr>
          <w:rFonts w:ascii="Arial" w:hAnsi="Arial" w:eastAsia="Arial" w:cs="Arial"/>
          <w:spacing w:val="-4"/>
          <w:sz w:val="15"/>
          <w:szCs w:val="15"/>
        </w:rPr>
        <w:t>University</w:t>
      </w:r>
      <w:r>
        <w:rPr>
          <w:rFonts w:ascii="Arial" w:hAnsi="Arial" w:eastAsia="Arial" w:cs="Arial"/>
          <w:spacing w:val="8"/>
          <w:sz w:val="15"/>
          <w:szCs w:val="15"/>
        </w:rPr>
        <w:t xml:space="preserve"> </w:t>
      </w:r>
      <w:r>
        <w:rPr>
          <w:rFonts w:ascii="Arial" w:hAnsi="Arial" w:eastAsia="Arial" w:cs="Arial"/>
          <w:spacing w:val="-4"/>
          <w:sz w:val="15"/>
          <w:szCs w:val="15"/>
        </w:rPr>
        <w:t>Association.</w:t>
      </w:r>
    </w:p>
    <w:p>
      <w:pPr>
        <w:spacing w:before="44" w:line="250" w:lineRule="auto"/>
        <w:ind w:left="395" w:right="24" w:hanging="192"/>
        <w:rPr>
          <w:rFonts w:ascii="Arial" w:hAnsi="Arial" w:eastAsia="Arial" w:cs="Arial"/>
          <w:sz w:val="15"/>
          <w:szCs w:val="15"/>
        </w:rPr>
      </w:pPr>
      <w:r>
        <w:rPr>
          <w:rFonts w:ascii="Arial" w:hAnsi="Arial" w:eastAsia="Arial" w:cs="Arial"/>
          <w:spacing w:val="-3"/>
          <w:sz w:val="15"/>
          <w:szCs w:val="15"/>
        </w:rPr>
        <w:t xml:space="preserve">European University Association. </w:t>
      </w:r>
      <w:r>
        <w:fldChar w:fldCharType="begin"/>
      </w:r>
      <w:r>
        <w:instrText xml:space="preserve"> HYPERLINK \l "bookmark5" </w:instrText>
      </w:r>
      <w:r>
        <w:fldChar w:fldCharType="separate"/>
      </w:r>
      <w:r>
        <w:rPr>
          <w:rFonts w:ascii="Arial" w:hAnsi="Arial" w:eastAsia="Arial" w:cs="Arial"/>
          <w:color w:val="000084"/>
          <w:spacing w:val="-3"/>
          <w:sz w:val="15"/>
          <w:szCs w:val="15"/>
        </w:rPr>
        <w:t>2006</w:t>
      </w:r>
      <w:r>
        <w:rPr>
          <w:rFonts w:ascii="Arial" w:hAnsi="Arial" w:eastAsia="Arial" w:cs="Arial"/>
          <w:color w:val="000084"/>
          <w:spacing w:val="-3"/>
          <w:sz w:val="15"/>
          <w:szCs w:val="15"/>
        </w:rPr>
        <w:fldChar w:fldCharType="end"/>
      </w:r>
      <w:r>
        <w:rPr>
          <w:rFonts w:ascii="Arial" w:hAnsi="Arial" w:eastAsia="Arial" w:cs="Arial"/>
          <w:spacing w:val="-3"/>
          <w:sz w:val="15"/>
          <w:szCs w:val="15"/>
        </w:rPr>
        <w:t>. Quality Culture in European Universities:</w:t>
      </w:r>
      <w:r>
        <w:rPr>
          <w:rFonts w:ascii="Arial" w:hAnsi="Arial" w:eastAsia="Arial" w:cs="Arial"/>
          <w:spacing w:val="-12"/>
          <w:sz w:val="15"/>
          <w:szCs w:val="15"/>
        </w:rPr>
        <w:t xml:space="preserve"> </w:t>
      </w:r>
      <w:r>
        <w:rPr>
          <w:rFonts w:ascii="Arial" w:hAnsi="Arial" w:eastAsia="Arial" w:cs="Arial"/>
          <w:spacing w:val="-3"/>
          <w:sz w:val="15"/>
          <w:szCs w:val="15"/>
        </w:rPr>
        <w:t>A Bottom-up</w:t>
      </w:r>
      <w:r>
        <w:rPr>
          <w:rFonts w:ascii="Arial" w:hAnsi="Arial" w:eastAsia="Arial" w:cs="Arial"/>
          <w:spacing w:val="-14"/>
          <w:sz w:val="15"/>
          <w:szCs w:val="15"/>
        </w:rPr>
        <w:t xml:space="preserve"> </w:t>
      </w:r>
      <w:r>
        <w:rPr>
          <w:rFonts w:ascii="Arial" w:hAnsi="Arial" w:eastAsia="Arial" w:cs="Arial"/>
          <w:spacing w:val="-4"/>
          <w:sz w:val="15"/>
          <w:szCs w:val="15"/>
        </w:rPr>
        <w:t>Approach. Report on the Three</w:t>
      </w:r>
      <w:r>
        <w:rPr>
          <w:rFonts w:ascii="Arial" w:hAnsi="Arial" w:eastAsia="Arial" w:cs="Arial"/>
          <w:sz w:val="15"/>
          <w:szCs w:val="15"/>
        </w:rPr>
        <w:t xml:space="preserve"> </w:t>
      </w:r>
      <w:r>
        <w:rPr>
          <w:rFonts w:ascii="Arial" w:hAnsi="Arial" w:eastAsia="Arial" w:cs="Arial"/>
          <w:spacing w:val="-3"/>
          <w:sz w:val="15"/>
          <w:szCs w:val="15"/>
        </w:rPr>
        <w:t>Rounds</w:t>
      </w:r>
      <w:r>
        <w:rPr>
          <w:rFonts w:ascii="Arial" w:hAnsi="Arial" w:eastAsia="Arial" w:cs="Arial"/>
          <w:spacing w:val="10"/>
          <w:w w:val="102"/>
          <w:sz w:val="15"/>
          <w:szCs w:val="15"/>
        </w:rPr>
        <w:t xml:space="preserve"> </w:t>
      </w:r>
      <w:r>
        <w:rPr>
          <w:rFonts w:ascii="Arial" w:hAnsi="Arial" w:eastAsia="Arial" w:cs="Arial"/>
          <w:spacing w:val="-3"/>
          <w:sz w:val="15"/>
          <w:szCs w:val="15"/>
        </w:rPr>
        <w:t>of the</w:t>
      </w:r>
      <w:r>
        <w:rPr>
          <w:rFonts w:ascii="Arial" w:hAnsi="Arial" w:eastAsia="Arial" w:cs="Arial"/>
          <w:spacing w:val="13"/>
          <w:w w:val="101"/>
          <w:sz w:val="15"/>
          <w:szCs w:val="15"/>
        </w:rPr>
        <w:t xml:space="preserve"> </w:t>
      </w:r>
      <w:r>
        <w:rPr>
          <w:rFonts w:ascii="Arial" w:hAnsi="Arial" w:eastAsia="Arial" w:cs="Arial"/>
          <w:spacing w:val="-3"/>
          <w:sz w:val="15"/>
          <w:szCs w:val="15"/>
        </w:rPr>
        <w:t>Quality Culture</w:t>
      </w:r>
      <w:r>
        <w:rPr>
          <w:rFonts w:ascii="Arial" w:hAnsi="Arial" w:eastAsia="Arial" w:cs="Arial"/>
          <w:spacing w:val="11"/>
          <w:w w:val="101"/>
          <w:sz w:val="15"/>
          <w:szCs w:val="15"/>
        </w:rPr>
        <w:t xml:space="preserve"> </w:t>
      </w:r>
      <w:r>
        <w:rPr>
          <w:rFonts w:ascii="Arial" w:hAnsi="Arial" w:eastAsia="Arial" w:cs="Arial"/>
          <w:spacing w:val="-3"/>
          <w:sz w:val="15"/>
          <w:szCs w:val="15"/>
        </w:rPr>
        <w:t>Project 2002-2006.</w:t>
      </w:r>
      <w:r>
        <w:rPr>
          <w:rFonts w:ascii="Arial" w:hAnsi="Arial" w:eastAsia="Arial" w:cs="Arial"/>
          <w:spacing w:val="18"/>
          <w:w w:val="101"/>
          <w:sz w:val="15"/>
          <w:szCs w:val="15"/>
        </w:rPr>
        <w:t xml:space="preserve"> </w:t>
      </w:r>
      <w:r>
        <w:rPr>
          <w:rFonts w:ascii="Arial" w:hAnsi="Arial" w:eastAsia="Arial" w:cs="Arial"/>
          <w:spacing w:val="-3"/>
          <w:sz w:val="15"/>
          <w:szCs w:val="15"/>
        </w:rPr>
        <w:t>Brussels:</w:t>
      </w:r>
      <w:r>
        <w:rPr>
          <w:rFonts w:ascii="Arial" w:hAnsi="Arial" w:eastAsia="Arial" w:cs="Arial"/>
          <w:spacing w:val="18"/>
          <w:sz w:val="15"/>
          <w:szCs w:val="15"/>
        </w:rPr>
        <w:t xml:space="preserve"> </w:t>
      </w:r>
      <w:r>
        <w:rPr>
          <w:rFonts w:ascii="Arial" w:hAnsi="Arial" w:eastAsia="Arial" w:cs="Arial"/>
          <w:spacing w:val="-3"/>
          <w:sz w:val="15"/>
          <w:szCs w:val="15"/>
        </w:rPr>
        <w:t>Europea</w:t>
      </w:r>
      <w:r>
        <w:rPr>
          <w:rFonts w:ascii="Arial" w:hAnsi="Arial" w:eastAsia="Arial" w:cs="Arial"/>
          <w:spacing w:val="-4"/>
          <w:sz w:val="15"/>
          <w:szCs w:val="15"/>
        </w:rPr>
        <w:t>n</w:t>
      </w:r>
      <w:r>
        <w:rPr>
          <w:rFonts w:ascii="Arial" w:hAnsi="Arial" w:eastAsia="Arial" w:cs="Arial"/>
          <w:spacing w:val="18"/>
          <w:sz w:val="15"/>
          <w:szCs w:val="15"/>
        </w:rPr>
        <w:t xml:space="preserve"> </w:t>
      </w:r>
      <w:r>
        <w:rPr>
          <w:rFonts w:ascii="Arial" w:hAnsi="Arial" w:eastAsia="Arial" w:cs="Arial"/>
          <w:spacing w:val="-4"/>
          <w:sz w:val="15"/>
          <w:szCs w:val="15"/>
        </w:rPr>
        <w:t>University</w:t>
      </w:r>
      <w:r>
        <w:rPr>
          <w:rFonts w:ascii="Arial" w:hAnsi="Arial" w:eastAsia="Arial" w:cs="Arial"/>
          <w:spacing w:val="9"/>
          <w:sz w:val="15"/>
          <w:szCs w:val="15"/>
        </w:rPr>
        <w:t xml:space="preserve"> </w:t>
      </w:r>
      <w:r>
        <w:rPr>
          <w:rFonts w:ascii="Arial" w:hAnsi="Arial" w:eastAsia="Arial" w:cs="Arial"/>
          <w:spacing w:val="-4"/>
          <w:sz w:val="15"/>
          <w:szCs w:val="15"/>
        </w:rPr>
        <w:t>Association.</w:t>
      </w:r>
    </w:p>
    <w:p>
      <w:pPr>
        <w:spacing w:before="41" w:line="250" w:lineRule="auto"/>
        <w:ind w:left="402" w:right="25" w:hanging="199"/>
        <w:rPr>
          <w:rFonts w:ascii="Arial" w:hAnsi="Arial" w:eastAsia="Arial" w:cs="Arial"/>
          <w:sz w:val="15"/>
          <w:szCs w:val="15"/>
        </w:rPr>
      </w:pPr>
      <w:r>
        <w:rPr>
          <w:rFonts w:ascii="Arial" w:hAnsi="Arial" w:eastAsia="Arial" w:cs="Arial"/>
          <w:spacing w:val="-2"/>
          <w:sz w:val="15"/>
          <w:szCs w:val="15"/>
        </w:rPr>
        <w:t>Fornell,C., and D. F. Larcker.</w:t>
      </w:r>
      <w:r>
        <w:rPr>
          <w:rFonts w:ascii="Arial" w:hAnsi="Arial" w:eastAsia="Arial" w:cs="Arial"/>
          <w:spacing w:val="-9"/>
          <w:sz w:val="15"/>
          <w:szCs w:val="15"/>
        </w:rPr>
        <w:t xml:space="preserve"> </w:t>
      </w:r>
      <w:r>
        <w:fldChar w:fldCharType="begin"/>
      </w:r>
      <w:r>
        <w:instrText xml:space="preserve"> HYPERLINK \l "bookmark88" </w:instrText>
      </w:r>
      <w:r>
        <w:fldChar w:fldCharType="separate"/>
      </w:r>
      <w:r>
        <w:rPr>
          <w:rFonts w:ascii="Arial" w:hAnsi="Arial" w:eastAsia="Arial" w:cs="Arial"/>
          <w:color w:val="000084"/>
          <w:spacing w:val="-2"/>
          <w:sz w:val="15"/>
          <w:szCs w:val="15"/>
        </w:rPr>
        <w:t>1981</w:t>
      </w:r>
      <w:r>
        <w:rPr>
          <w:rFonts w:ascii="Arial" w:hAnsi="Arial" w:eastAsia="Arial" w:cs="Arial"/>
          <w:color w:val="000084"/>
          <w:spacing w:val="-2"/>
          <w:sz w:val="15"/>
          <w:szCs w:val="15"/>
        </w:rPr>
        <w:fldChar w:fldCharType="end"/>
      </w:r>
      <w:r>
        <w:rPr>
          <w:rFonts w:ascii="Arial" w:hAnsi="Arial" w:eastAsia="Arial" w:cs="Arial"/>
          <w:spacing w:val="-2"/>
          <w:sz w:val="15"/>
          <w:szCs w:val="15"/>
        </w:rPr>
        <w:t>. “</w:t>
      </w:r>
      <w:r>
        <w:rPr>
          <w:rFonts w:ascii="Arial" w:hAnsi="Arial" w:eastAsia="Arial" w:cs="Arial"/>
          <w:spacing w:val="-29"/>
          <w:sz w:val="15"/>
          <w:szCs w:val="15"/>
        </w:rPr>
        <w:t xml:space="preserve"> </w:t>
      </w:r>
      <w:r>
        <w:rPr>
          <w:rFonts w:ascii="Arial" w:hAnsi="Arial" w:eastAsia="Arial" w:cs="Arial"/>
          <w:spacing w:val="-2"/>
          <w:sz w:val="15"/>
          <w:szCs w:val="15"/>
        </w:rPr>
        <w:t>Evaluating Structural Equation Models with Unobservable</w:t>
      </w:r>
      <w:r>
        <w:rPr>
          <w:rFonts w:ascii="Arial" w:hAnsi="Arial" w:eastAsia="Arial" w:cs="Arial"/>
          <w:spacing w:val="-9"/>
          <w:sz w:val="15"/>
          <w:szCs w:val="15"/>
        </w:rPr>
        <w:t xml:space="preserve"> </w:t>
      </w:r>
      <w:r>
        <w:rPr>
          <w:rFonts w:ascii="Arial" w:hAnsi="Arial" w:eastAsia="Arial" w:cs="Arial"/>
          <w:spacing w:val="-2"/>
          <w:sz w:val="15"/>
          <w:szCs w:val="15"/>
        </w:rPr>
        <w:t>Variables and Me</w:t>
      </w:r>
      <w:r>
        <w:rPr>
          <w:rFonts w:ascii="Arial" w:hAnsi="Arial" w:eastAsia="Arial" w:cs="Arial"/>
          <w:spacing w:val="-3"/>
          <w:sz w:val="15"/>
          <w:szCs w:val="15"/>
        </w:rPr>
        <w:t>asurement</w:t>
      </w:r>
      <w:r>
        <w:rPr>
          <w:rFonts w:ascii="Arial" w:hAnsi="Arial" w:eastAsia="Arial" w:cs="Arial"/>
          <w:sz w:val="15"/>
          <w:szCs w:val="15"/>
        </w:rPr>
        <w:t xml:space="preserve"> </w:t>
      </w:r>
      <w:r>
        <w:rPr>
          <w:rFonts w:ascii="Arial" w:hAnsi="Arial" w:eastAsia="Arial" w:cs="Arial"/>
          <w:spacing w:val="-4"/>
          <w:sz w:val="15"/>
          <w:szCs w:val="15"/>
        </w:rPr>
        <w:t>Error.” Journal of</w:t>
      </w:r>
      <w:r>
        <w:rPr>
          <w:rFonts w:ascii="Arial" w:hAnsi="Arial" w:eastAsia="Arial" w:cs="Arial"/>
          <w:spacing w:val="8"/>
          <w:sz w:val="15"/>
          <w:szCs w:val="15"/>
        </w:rPr>
        <w:t xml:space="preserve"> </w:t>
      </w:r>
      <w:r>
        <w:rPr>
          <w:rFonts w:ascii="Arial" w:hAnsi="Arial" w:eastAsia="Arial" w:cs="Arial"/>
          <w:spacing w:val="-4"/>
          <w:sz w:val="15"/>
          <w:szCs w:val="15"/>
        </w:rPr>
        <w:t>Marketing</w:t>
      </w:r>
      <w:r>
        <w:rPr>
          <w:rFonts w:ascii="Arial" w:hAnsi="Arial" w:eastAsia="Arial" w:cs="Arial"/>
          <w:spacing w:val="10"/>
          <w:w w:val="101"/>
          <w:sz w:val="15"/>
          <w:szCs w:val="15"/>
        </w:rPr>
        <w:t xml:space="preserve"> </w:t>
      </w:r>
      <w:r>
        <w:rPr>
          <w:rFonts w:ascii="Arial" w:hAnsi="Arial" w:eastAsia="Arial" w:cs="Arial"/>
          <w:spacing w:val="-4"/>
          <w:sz w:val="15"/>
          <w:szCs w:val="15"/>
        </w:rPr>
        <w:t>Research</w:t>
      </w:r>
      <w:r>
        <w:rPr>
          <w:rFonts w:ascii="Arial" w:hAnsi="Arial" w:eastAsia="Arial" w:cs="Arial"/>
          <w:spacing w:val="22"/>
          <w:w w:val="102"/>
          <w:sz w:val="15"/>
          <w:szCs w:val="15"/>
        </w:rPr>
        <w:t xml:space="preserve"> </w:t>
      </w:r>
      <w:r>
        <w:rPr>
          <w:rFonts w:ascii="Arial" w:hAnsi="Arial" w:eastAsia="Arial" w:cs="Arial"/>
          <w:spacing w:val="-4"/>
          <w:sz w:val="15"/>
          <w:szCs w:val="15"/>
        </w:rPr>
        <w:t>18:</w:t>
      </w:r>
      <w:r>
        <w:rPr>
          <w:rFonts w:ascii="Arial" w:hAnsi="Arial" w:eastAsia="Arial" w:cs="Arial"/>
          <w:spacing w:val="11"/>
          <w:w w:val="102"/>
          <w:sz w:val="15"/>
          <w:szCs w:val="15"/>
        </w:rPr>
        <w:t xml:space="preserve"> </w:t>
      </w:r>
      <w:r>
        <w:rPr>
          <w:rFonts w:ascii="Arial" w:hAnsi="Arial" w:eastAsia="Arial" w:cs="Arial"/>
          <w:spacing w:val="-4"/>
          <w:sz w:val="15"/>
          <w:szCs w:val="15"/>
        </w:rPr>
        <w:t>39–50.</w:t>
      </w:r>
    </w:p>
    <w:p>
      <w:pPr>
        <w:spacing w:before="41" w:line="271" w:lineRule="auto"/>
        <w:ind w:left="395" w:right="19" w:hanging="199"/>
        <w:rPr>
          <w:rFonts w:ascii="Arial" w:hAnsi="Arial" w:eastAsia="Arial" w:cs="Arial"/>
          <w:sz w:val="15"/>
          <w:szCs w:val="15"/>
        </w:rPr>
      </w:pPr>
      <w:r>
        <w:rPr>
          <w:rFonts w:ascii="Arial" w:hAnsi="Arial" w:eastAsia="Arial" w:cs="Arial"/>
          <w:spacing w:val="-1"/>
          <w:sz w:val="15"/>
          <w:szCs w:val="15"/>
        </w:rPr>
        <w:t>Gordon,</w:t>
      </w:r>
      <w:r>
        <w:rPr>
          <w:rFonts w:ascii="Arial" w:hAnsi="Arial" w:eastAsia="Arial" w:cs="Arial"/>
          <w:spacing w:val="21"/>
          <w:sz w:val="15"/>
          <w:szCs w:val="15"/>
        </w:rPr>
        <w:t xml:space="preserve"> </w:t>
      </w:r>
      <w:r>
        <w:rPr>
          <w:rFonts w:ascii="Arial" w:hAnsi="Arial" w:eastAsia="Arial" w:cs="Arial"/>
          <w:spacing w:val="-1"/>
          <w:sz w:val="15"/>
          <w:szCs w:val="15"/>
        </w:rPr>
        <w:t>G.</w:t>
      </w:r>
      <w:r>
        <w:rPr>
          <w:rFonts w:ascii="Arial" w:hAnsi="Arial" w:eastAsia="Arial" w:cs="Arial"/>
          <w:spacing w:val="16"/>
          <w:sz w:val="15"/>
          <w:szCs w:val="15"/>
        </w:rPr>
        <w:t xml:space="preserve"> </w:t>
      </w:r>
      <w:r>
        <w:fldChar w:fldCharType="begin"/>
      </w:r>
      <w:r>
        <w:instrText xml:space="preserve"> HYPERLINK \l "bookmark50" </w:instrText>
      </w:r>
      <w:r>
        <w:fldChar w:fldCharType="separate"/>
      </w:r>
      <w:r>
        <w:rPr>
          <w:rFonts w:ascii="Arial" w:hAnsi="Arial" w:eastAsia="Arial" w:cs="Arial"/>
          <w:color w:val="000084"/>
          <w:spacing w:val="-1"/>
          <w:sz w:val="15"/>
          <w:szCs w:val="15"/>
        </w:rPr>
        <w:t>2002</w:t>
      </w:r>
      <w:r>
        <w:rPr>
          <w:rFonts w:ascii="Arial" w:hAnsi="Arial" w:eastAsia="Arial" w:cs="Arial"/>
          <w:color w:val="000084"/>
          <w:spacing w:val="-1"/>
          <w:sz w:val="15"/>
          <w:szCs w:val="15"/>
        </w:rPr>
        <w:fldChar w:fldCharType="end"/>
      </w:r>
      <w:r>
        <w:rPr>
          <w:rFonts w:ascii="Arial" w:hAnsi="Arial" w:eastAsia="Arial" w:cs="Arial"/>
          <w:spacing w:val="-1"/>
          <w:sz w:val="15"/>
          <w:szCs w:val="15"/>
        </w:rPr>
        <w:t>.</w:t>
      </w:r>
      <w:r>
        <w:rPr>
          <w:rFonts w:ascii="Arial" w:hAnsi="Arial" w:eastAsia="Arial" w:cs="Arial"/>
          <w:spacing w:val="22"/>
          <w:sz w:val="15"/>
          <w:szCs w:val="15"/>
        </w:rPr>
        <w:t xml:space="preserve"> </w:t>
      </w:r>
      <w:r>
        <w:rPr>
          <w:rFonts w:ascii="Arial" w:hAnsi="Arial" w:eastAsia="Arial" w:cs="Arial"/>
          <w:spacing w:val="-1"/>
          <w:sz w:val="15"/>
          <w:szCs w:val="15"/>
        </w:rPr>
        <w:t>“The</w:t>
      </w:r>
      <w:r>
        <w:rPr>
          <w:rFonts w:ascii="Arial" w:hAnsi="Arial" w:eastAsia="Arial" w:cs="Arial"/>
          <w:spacing w:val="26"/>
          <w:w w:val="101"/>
          <w:sz w:val="15"/>
          <w:szCs w:val="15"/>
        </w:rPr>
        <w:t xml:space="preserve"> </w:t>
      </w:r>
      <w:r>
        <w:rPr>
          <w:rFonts w:ascii="Arial" w:hAnsi="Arial" w:eastAsia="Arial" w:cs="Arial"/>
          <w:spacing w:val="-1"/>
          <w:sz w:val="15"/>
          <w:szCs w:val="15"/>
        </w:rPr>
        <w:t>Roles</w:t>
      </w:r>
      <w:r>
        <w:rPr>
          <w:rFonts w:ascii="Arial" w:hAnsi="Arial" w:eastAsia="Arial" w:cs="Arial"/>
          <w:spacing w:val="21"/>
          <w:w w:val="101"/>
          <w:sz w:val="15"/>
          <w:szCs w:val="15"/>
        </w:rPr>
        <w:t xml:space="preserve"> </w:t>
      </w:r>
      <w:r>
        <w:rPr>
          <w:rFonts w:ascii="Arial" w:hAnsi="Arial" w:eastAsia="Arial" w:cs="Arial"/>
          <w:spacing w:val="-1"/>
          <w:sz w:val="15"/>
          <w:szCs w:val="15"/>
        </w:rPr>
        <w:t>of</w:t>
      </w:r>
      <w:r>
        <w:rPr>
          <w:rFonts w:ascii="Arial" w:hAnsi="Arial" w:eastAsia="Arial" w:cs="Arial"/>
          <w:spacing w:val="21"/>
          <w:w w:val="101"/>
          <w:sz w:val="15"/>
          <w:szCs w:val="15"/>
        </w:rPr>
        <w:t xml:space="preserve"> </w:t>
      </w:r>
      <w:r>
        <w:rPr>
          <w:rFonts w:ascii="Arial" w:hAnsi="Arial" w:eastAsia="Arial" w:cs="Arial"/>
          <w:spacing w:val="-1"/>
          <w:sz w:val="15"/>
          <w:szCs w:val="15"/>
        </w:rPr>
        <w:t>Leadership</w:t>
      </w:r>
      <w:r>
        <w:rPr>
          <w:rFonts w:ascii="Arial" w:hAnsi="Arial" w:eastAsia="Arial" w:cs="Arial"/>
          <w:spacing w:val="20"/>
          <w:sz w:val="15"/>
          <w:szCs w:val="15"/>
        </w:rPr>
        <w:t xml:space="preserve"> </w:t>
      </w:r>
      <w:r>
        <w:rPr>
          <w:rFonts w:ascii="Arial" w:hAnsi="Arial" w:eastAsia="Arial" w:cs="Arial"/>
          <w:spacing w:val="-1"/>
          <w:sz w:val="15"/>
          <w:szCs w:val="15"/>
        </w:rPr>
        <w:t>and</w:t>
      </w:r>
      <w:r>
        <w:rPr>
          <w:rFonts w:ascii="Arial" w:hAnsi="Arial" w:eastAsia="Arial" w:cs="Arial"/>
          <w:spacing w:val="21"/>
          <w:sz w:val="15"/>
          <w:szCs w:val="15"/>
        </w:rPr>
        <w:t xml:space="preserve"> </w:t>
      </w:r>
      <w:r>
        <w:rPr>
          <w:rFonts w:ascii="Arial" w:hAnsi="Arial" w:eastAsia="Arial" w:cs="Arial"/>
          <w:spacing w:val="-1"/>
          <w:sz w:val="15"/>
          <w:szCs w:val="15"/>
        </w:rPr>
        <w:t>Own</w:t>
      </w:r>
      <w:r>
        <w:rPr>
          <w:rFonts w:ascii="Arial" w:hAnsi="Arial" w:eastAsia="Arial" w:cs="Arial"/>
          <w:spacing w:val="-2"/>
          <w:sz w:val="15"/>
          <w:szCs w:val="15"/>
        </w:rPr>
        <w:t>ership</w:t>
      </w:r>
      <w:r>
        <w:rPr>
          <w:rFonts w:ascii="Arial" w:hAnsi="Arial" w:eastAsia="Arial" w:cs="Arial"/>
          <w:spacing w:val="25"/>
          <w:w w:val="101"/>
          <w:sz w:val="15"/>
          <w:szCs w:val="15"/>
        </w:rPr>
        <w:t xml:space="preserve"> </w:t>
      </w:r>
      <w:r>
        <w:rPr>
          <w:rFonts w:ascii="Arial" w:hAnsi="Arial" w:eastAsia="Arial" w:cs="Arial"/>
          <w:spacing w:val="-2"/>
          <w:sz w:val="15"/>
          <w:szCs w:val="15"/>
        </w:rPr>
        <w:t>in</w:t>
      </w:r>
      <w:r>
        <w:rPr>
          <w:rFonts w:ascii="Arial" w:hAnsi="Arial" w:eastAsia="Arial" w:cs="Arial"/>
          <w:spacing w:val="27"/>
          <w:sz w:val="15"/>
          <w:szCs w:val="15"/>
        </w:rPr>
        <w:t xml:space="preserve"> </w:t>
      </w:r>
      <w:r>
        <w:rPr>
          <w:rFonts w:ascii="Arial" w:hAnsi="Arial" w:eastAsia="Arial" w:cs="Arial"/>
          <w:spacing w:val="-2"/>
          <w:sz w:val="15"/>
          <w:szCs w:val="15"/>
        </w:rPr>
        <w:t>Building</w:t>
      </w:r>
      <w:r>
        <w:rPr>
          <w:rFonts w:ascii="Arial" w:hAnsi="Arial" w:eastAsia="Arial" w:cs="Arial"/>
          <w:spacing w:val="21"/>
          <w:sz w:val="15"/>
          <w:szCs w:val="15"/>
        </w:rPr>
        <w:t xml:space="preserve"> </w:t>
      </w:r>
      <w:r>
        <w:rPr>
          <w:rFonts w:ascii="Arial" w:hAnsi="Arial" w:eastAsia="Arial" w:cs="Arial"/>
          <w:spacing w:val="-2"/>
          <w:sz w:val="15"/>
          <w:szCs w:val="15"/>
        </w:rPr>
        <w:t>an</w:t>
      </w:r>
      <w:r>
        <w:rPr>
          <w:rFonts w:ascii="Arial" w:hAnsi="Arial" w:eastAsia="Arial" w:cs="Arial"/>
          <w:spacing w:val="26"/>
          <w:w w:val="102"/>
          <w:sz w:val="15"/>
          <w:szCs w:val="15"/>
        </w:rPr>
        <w:t xml:space="preserve"> </w:t>
      </w:r>
      <w:r>
        <w:rPr>
          <w:rFonts w:ascii="Arial" w:hAnsi="Arial" w:eastAsia="Arial" w:cs="Arial"/>
          <w:spacing w:val="-2"/>
          <w:sz w:val="15"/>
          <w:szCs w:val="15"/>
        </w:rPr>
        <w:t>Efective</w:t>
      </w:r>
      <w:r>
        <w:rPr>
          <w:rFonts w:ascii="Arial" w:hAnsi="Arial" w:eastAsia="Arial" w:cs="Arial"/>
          <w:spacing w:val="20"/>
          <w:sz w:val="15"/>
          <w:szCs w:val="15"/>
        </w:rPr>
        <w:t xml:space="preserve"> </w:t>
      </w:r>
      <w:r>
        <w:rPr>
          <w:rFonts w:ascii="Arial" w:hAnsi="Arial" w:eastAsia="Arial" w:cs="Arial"/>
          <w:spacing w:val="-2"/>
          <w:sz w:val="15"/>
          <w:szCs w:val="15"/>
        </w:rPr>
        <w:t>Quality</w:t>
      </w:r>
      <w:r>
        <w:rPr>
          <w:rFonts w:ascii="Arial" w:hAnsi="Arial" w:eastAsia="Arial" w:cs="Arial"/>
          <w:spacing w:val="21"/>
          <w:sz w:val="15"/>
          <w:szCs w:val="15"/>
        </w:rPr>
        <w:t xml:space="preserve"> </w:t>
      </w:r>
      <w:r>
        <w:rPr>
          <w:rFonts w:ascii="Arial" w:hAnsi="Arial" w:eastAsia="Arial" w:cs="Arial"/>
          <w:spacing w:val="-2"/>
          <w:sz w:val="15"/>
          <w:szCs w:val="15"/>
        </w:rPr>
        <w:t>Culture.”</w:t>
      </w:r>
      <w:r>
        <w:rPr>
          <w:rFonts w:ascii="Arial" w:hAnsi="Arial" w:eastAsia="Arial" w:cs="Arial"/>
          <w:spacing w:val="23"/>
          <w:w w:val="101"/>
          <w:sz w:val="15"/>
          <w:szCs w:val="15"/>
        </w:rPr>
        <w:t xml:space="preserve"> </w:t>
      </w:r>
      <w:r>
        <w:rPr>
          <w:rFonts w:ascii="Arial" w:hAnsi="Arial" w:eastAsia="Arial" w:cs="Arial"/>
          <w:spacing w:val="-2"/>
          <w:sz w:val="15"/>
          <w:szCs w:val="15"/>
        </w:rPr>
        <w:t>Quality</w:t>
      </w:r>
      <w:r>
        <w:rPr>
          <w:rFonts w:ascii="Arial" w:hAnsi="Arial" w:eastAsia="Arial" w:cs="Arial"/>
          <w:spacing w:val="15"/>
          <w:sz w:val="15"/>
          <w:szCs w:val="15"/>
        </w:rPr>
        <w:t xml:space="preserve"> </w:t>
      </w:r>
      <w:r>
        <w:rPr>
          <w:rFonts w:ascii="Arial" w:hAnsi="Arial" w:eastAsia="Arial" w:cs="Arial"/>
          <w:spacing w:val="-2"/>
          <w:sz w:val="15"/>
          <w:szCs w:val="15"/>
        </w:rPr>
        <w:t>in</w:t>
      </w:r>
      <w:r>
        <w:rPr>
          <w:rFonts w:ascii="Arial" w:hAnsi="Arial" w:eastAsia="Arial" w:cs="Arial"/>
          <w:spacing w:val="20"/>
          <w:w w:val="101"/>
          <w:sz w:val="15"/>
          <w:szCs w:val="15"/>
        </w:rPr>
        <w:t xml:space="preserve"> </w:t>
      </w:r>
      <w:r>
        <w:rPr>
          <w:rFonts w:ascii="Arial" w:hAnsi="Arial" w:eastAsia="Arial" w:cs="Arial"/>
          <w:spacing w:val="-2"/>
          <w:sz w:val="15"/>
          <w:szCs w:val="15"/>
        </w:rPr>
        <w:t>Higher</w:t>
      </w:r>
      <w:r>
        <w:rPr>
          <w:rFonts w:ascii="Arial" w:hAnsi="Arial" w:eastAsia="Arial" w:cs="Arial"/>
          <w:sz w:val="15"/>
          <w:szCs w:val="15"/>
        </w:rPr>
        <w:t xml:space="preserve"> </w:t>
      </w:r>
      <w:r>
        <w:rPr>
          <w:rFonts w:ascii="Arial" w:hAnsi="Arial" w:eastAsia="Arial" w:cs="Arial"/>
          <w:spacing w:val="-2"/>
          <w:sz w:val="15"/>
          <w:szCs w:val="15"/>
        </w:rPr>
        <w:t>Education</w:t>
      </w:r>
      <w:r>
        <w:rPr>
          <w:rFonts w:ascii="Arial" w:hAnsi="Arial" w:eastAsia="Arial" w:cs="Arial"/>
          <w:spacing w:val="11"/>
          <w:sz w:val="15"/>
          <w:szCs w:val="15"/>
        </w:rPr>
        <w:t xml:space="preserve"> </w:t>
      </w:r>
      <w:r>
        <w:rPr>
          <w:rFonts w:ascii="Arial" w:hAnsi="Arial" w:eastAsia="Arial" w:cs="Arial"/>
          <w:spacing w:val="-2"/>
          <w:sz w:val="15"/>
          <w:szCs w:val="15"/>
        </w:rPr>
        <w:t>8:</w:t>
      </w:r>
      <w:r>
        <w:rPr>
          <w:rFonts w:ascii="Arial" w:hAnsi="Arial" w:eastAsia="Arial" w:cs="Arial"/>
          <w:spacing w:val="13"/>
          <w:sz w:val="15"/>
          <w:szCs w:val="15"/>
        </w:rPr>
        <w:t xml:space="preserve"> </w:t>
      </w:r>
      <w:r>
        <w:rPr>
          <w:rFonts w:ascii="Arial" w:hAnsi="Arial" w:eastAsia="Arial" w:cs="Arial"/>
          <w:spacing w:val="-2"/>
          <w:sz w:val="15"/>
          <w:szCs w:val="15"/>
        </w:rPr>
        <w:t>97–</w:t>
      </w:r>
      <w:r>
        <w:rPr>
          <w:rFonts w:ascii="Arial" w:hAnsi="Arial" w:eastAsia="Arial" w:cs="Arial"/>
          <w:spacing w:val="-26"/>
          <w:sz w:val="15"/>
          <w:szCs w:val="15"/>
        </w:rPr>
        <w:t xml:space="preserve"> </w:t>
      </w:r>
      <w:r>
        <w:rPr>
          <w:rFonts w:ascii="Arial" w:hAnsi="Arial" w:eastAsia="Arial" w:cs="Arial"/>
          <w:spacing w:val="-2"/>
          <w:sz w:val="15"/>
          <w:szCs w:val="15"/>
        </w:rPr>
        <w:t xml:space="preserve">106. </w:t>
      </w:r>
      <w:r>
        <w:fldChar w:fldCharType="begin"/>
      </w:r>
      <w:r>
        <w:instrText xml:space="preserve"> HYPERLINK "https://doi.org/10.1080/13538320220127498" </w:instrText>
      </w:r>
      <w:r>
        <w:fldChar w:fldCharType="separate"/>
      </w:r>
      <w:r>
        <w:rPr>
          <w:rFonts w:ascii="Arial" w:hAnsi="Arial" w:eastAsia="Arial" w:cs="Arial"/>
          <w:color w:val="000084"/>
          <w:spacing w:val="-2"/>
          <w:sz w:val="15"/>
          <w:szCs w:val="15"/>
        </w:rPr>
        <w:t>doi:10</w:t>
      </w:r>
      <w:r>
        <w:rPr>
          <w:rFonts w:ascii="Arial" w:hAnsi="Arial" w:eastAsia="Arial" w:cs="Arial"/>
          <w:color w:val="000084"/>
          <w:spacing w:val="-3"/>
          <w:sz w:val="15"/>
          <w:szCs w:val="15"/>
        </w:rPr>
        <w:t>.1080/13538320220127498</w:t>
      </w:r>
      <w:r>
        <w:rPr>
          <w:rFonts w:ascii="Arial" w:hAnsi="Arial" w:eastAsia="Arial" w:cs="Arial"/>
          <w:color w:val="000084"/>
          <w:spacing w:val="-3"/>
          <w:sz w:val="15"/>
          <w:szCs w:val="15"/>
        </w:rPr>
        <w:fldChar w:fldCharType="end"/>
      </w:r>
      <w:r>
        <w:rPr>
          <w:rFonts w:ascii="Arial" w:hAnsi="Arial" w:eastAsia="Arial" w:cs="Arial"/>
          <w:spacing w:val="-3"/>
          <w:sz w:val="15"/>
          <w:szCs w:val="15"/>
        </w:rPr>
        <w:t>.</w:t>
      </w:r>
    </w:p>
    <w:p>
      <w:pPr>
        <w:spacing w:before="11" w:line="250" w:lineRule="auto"/>
        <w:ind w:left="395" w:hanging="198"/>
        <w:rPr>
          <w:rFonts w:ascii="Arial" w:hAnsi="Arial" w:eastAsia="Arial" w:cs="Arial"/>
          <w:sz w:val="15"/>
          <w:szCs w:val="15"/>
        </w:rPr>
      </w:pPr>
      <w:r>
        <w:rPr>
          <w:rFonts w:ascii="Arial" w:hAnsi="Arial" w:eastAsia="Arial" w:cs="Arial"/>
          <w:spacing w:val="-1"/>
          <w:sz w:val="15"/>
          <w:szCs w:val="15"/>
        </w:rPr>
        <w:t xml:space="preserve">Gvaramadze,  I.  </w:t>
      </w:r>
      <w:r>
        <w:fldChar w:fldCharType="begin"/>
      </w:r>
      <w:r>
        <w:instrText xml:space="preserve"> HYPERLINK \l "bookmark50" </w:instrText>
      </w:r>
      <w:r>
        <w:fldChar w:fldCharType="separate"/>
      </w:r>
      <w:r>
        <w:rPr>
          <w:rFonts w:ascii="Arial" w:hAnsi="Arial" w:eastAsia="Arial" w:cs="Arial"/>
          <w:color w:val="000084"/>
          <w:spacing w:val="-1"/>
          <w:sz w:val="15"/>
          <w:szCs w:val="15"/>
        </w:rPr>
        <w:t>2008</w:t>
      </w:r>
      <w:r>
        <w:rPr>
          <w:rFonts w:ascii="Arial" w:hAnsi="Arial" w:eastAsia="Arial" w:cs="Arial"/>
          <w:color w:val="000084"/>
          <w:spacing w:val="-1"/>
          <w:sz w:val="15"/>
          <w:szCs w:val="15"/>
        </w:rPr>
        <w:fldChar w:fldCharType="end"/>
      </w:r>
      <w:r>
        <w:rPr>
          <w:rFonts w:ascii="Arial" w:hAnsi="Arial" w:eastAsia="Arial" w:cs="Arial"/>
          <w:spacing w:val="-1"/>
          <w:sz w:val="15"/>
          <w:szCs w:val="15"/>
        </w:rPr>
        <w:t xml:space="preserve">.  “From  Quality  Assurance  to  Quality  Enhancement  </w:t>
      </w:r>
      <w:r>
        <w:rPr>
          <w:rFonts w:ascii="Arial" w:hAnsi="Arial" w:eastAsia="Arial" w:cs="Arial"/>
          <w:spacing w:val="-2"/>
          <w:sz w:val="15"/>
          <w:szCs w:val="15"/>
        </w:rPr>
        <w:t>in  the  European</w:t>
      </w:r>
      <w:r>
        <w:rPr>
          <w:rFonts w:ascii="Arial" w:hAnsi="Arial" w:eastAsia="Arial" w:cs="Arial"/>
          <w:spacing w:val="4"/>
          <w:sz w:val="15"/>
          <w:szCs w:val="15"/>
        </w:rPr>
        <w:t xml:space="preserve">  </w:t>
      </w:r>
      <w:r>
        <w:rPr>
          <w:rFonts w:ascii="Arial" w:hAnsi="Arial" w:eastAsia="Arial" w:cs="Arial"/>
          <w:spacing w:val="-2"/>
          <w:sz w:val="15"/>
          <w:szCs w:val="15"/>
        </w:rPr>
        <w:t>Higher  Education</w:t>
      </w:r>
      <w:r>
        <w:rPr>
          <w:rFonts w:ascii="Arial" w:hAnsi="Arial" w:eastAsia="Arial" w:cs="Arial"/>
          <w:spacing w:val="40"/>
          <w:w w:val="101"/>
          <w:sz w:val="15"/>
          <w:szCs w:val="15"/>
        </w:rPr>
        <w:t xml:space="preserve"> </w:t>
      </w:r>
      <w:r>
        <w:rPr>
          <w:rFonts w:ascii="Arial" w:hAnsi="Arial" w:eastAsia="Arial" w:cs="Arial"/>
          <w:spacing w:val="-2"/>
          <w:sz w:val="15"/>
          <w:szCs w:val="15"/>
        </w:rPr>
        <w:t>Area.”</w:t>
      </w:r>
      <w:r>
        <w:rPr>
          <w:rFonts w:ascii="Arial" w:hAnsi="Arial" w:eastAsia="Arial" w:cs="Arial"/>
          <w:sz w:val="15"/>
          <w:szCs w:val="15"/>
        </w:rPr>
        <w:t xml:space="preserve"> </w:t>
      </w:r>
      <w:r>
        <w:rPr>
          <w:rFonts w:ascii="Arial" w:hAnsi="Arial" w:eastAsia="Arial" w:cs="Arial"/>
          <w:spacing w:val="-2"/>
          <w:sz w:val="15"/>
          <w:szCs w:val="15"/>
        </w:rPr>
        <w:t xml:space="preserve">European Journal of Education 43: 443–55. </w:t>
      </w:r>
      <w:r>
        <w:fldChar w:fldCharType="begin"/>
      </w:r>
      <w:r>
        <w:instrText xml:space="preserve"> HYPERLINK "https://doi.org/10.1111/j.1465-3435.2008.00376.x" </w:instrText>
      </w:r>
      <w:r>
        <w:fldChar w:fldCharType="separate"/>
      </w:r>
      <w:r>
        <w:rPr>
          <w:rFonts w:ascii="Arial" w:hAnsi="Arial" w:eastAsia="Arial" w:cs="Arial"/>
          <w:color w:val="000084"/>
          <w:spacing w:val="-2"/>
          <w:sz w:val="15"/>
          <w:szCs w:val="15"/>
        </w:rPr>
        <w:t>doi:10.1111/j.1465-3435.2008.00376.x</w:t>
      </w:r>
      <w:r>
        <w:rPr>
          <w:rFonts w:ascii="Arial" w:hAnsi="Arial" w:eastAsia="Arial" w:cs="Arial"/>
          <w:color w:val="000084"/>
          <w:spacing w:val="-2"/>
          <w:sz w:val="15"/>
          <w:szCs w:val="15"/>
        </w:rPr>
        <w:fldChar w:fldCharType="end"/>
      </w:r>
      <w:r>
        <w:rPr>
          <w:rFonts w:ascii="Arial" w:hAnsi="Arial" w:eastAsia="Arial" w:cs="Arial"/>
          <w:spacing w:val="-2"/>
          <w:sz w:val="15"/>
          <w:szCs w:val="15"/>
        </w:rPr>
        <w:t>.</w:t>
      </w:r>
    </w:p>
    <w:p>
      <w:pPr>
        <w:spacing w:before="39" w:line="266" w:lineRule="auto"/>
        <w:ind w:left="396" w:right="23" w:hanging="193"/>
        <w:rPr>
          <w:rFonts w:ascii="Arial" w:hAnsi="Arial" w:eastAsia="Arial" w:cs="Arial"/>
          <w:sz w:val="15"/>
          <w:szCs w:val="15"/>
        </w:rPr>
      </w:pPr>
      <w:r>
        <w:rPr>
          <w:rFonts w:ascii="Arial" w:hAnsi="Arial" w:eastAsia="Arial" w:cs="Arial"/>
          <w:spacing w:val="-3"/>
          <w:sz w:val="15"/>
          <w:szCs w:val="15"/>
        </w:rPr>
        <w:t>Harvey,</w:t>
      </w:r>
      <w:r>
        <w:rPr>
          <w:rFonts w:ascii="Arial" w:hAnsi="Arial" w:eastAsia="Arial" w:cs="Arial"/>
          <w:spacing w:val="25"/>
          <w:w w:val="101"/>
          <w:sz w:val="15"/>
          <w:szCs w:val="15"/>
        </w:rPr>
        <w:t xml:space="preserve"> </w:t>
      </w:r>
      <w:r>
        <w:rPr>
          <w:rFonts w:ascii="Arial" w:hAnsi="Arial" w:eastAsia="Arial" w:cs="Arial"/>
          <w:spacing w:val="-3"/>
          <w:sz w:val="15"/>
          <w:szCs w:val="15"/>
        </w:rPr>
        <w:t>L.,</w:t>
      </w:r>
      <w:r>
        <w:rPr>
          <w:rFonts w:ascii="Arial" w:hAnsi="Arial" w:eastAsia="Arial" w:cs="Arial"/>
          <w:spacing w:val="20"/>
          <w:sz w:val="15"/>
          <w:szCs w:val="15"/>
        </w:rPr>
        <w:t xml:space="preserve"> </w:t>
      </w:r>
      <w:r>
        <w:rPr>
          <w:rFonts w:ascii="Arial" w:hAnsi="Arial" w:eastAsia="Arial" w:cs="Arial"/>
          <w:spacing w:val="-3"/>
          <w:sz w:val="15"/>
          <w:szCs w:val="15"/>
        </w:rPr>
        <w:t>and</w:t>
      </w:r>
      <w:r>
        <w:rPr>
          <w:rFonts w:ascii="Arial" w:hAnsi="Arial" w:eastAsia="Arial" w:cs="Arial"/>
          <w:spacing w:val="25"/>
          <w:sz w:val="15"/>
          <w:szCs w:val="15"/>
        </w:rPr>
        <w:t xml:space="preserve"> </w:t>
      </w:r>
      <w:r>
        <w:rPr>
          <w:rFonts w:ascii="Arial" w:hAnsi="Arial" w:eastAsia="Arial" w:cs="Arial"/>
          <w:spacing w:val="-3"/>
          <w:sz w:val="15"/>
          <w:szCs w:val="15"/>
        </w:rPr>
        <w:t>D.</w:t>
      </w:r>
      <w:r>
        <w:rPr>
          <w:rFonts w:ascii="Arial" w:hAnsi="Arial" w:eastAsia="Arial" w:cs="Arial"/>
          <w:spacing w:val="20"/>
          <w:w w:val="101"/>
          <w:sz w:val="15"/>
          <w:szCs w:val="15"/>
        </w:rPr>
        <w:t xml:space="preserve"> </w:t>
      </w:r>
      <w:r>
        <w:rPr>
          <w:rFonts w:ascii="Arial" w:hAnsi="Arial" w:eastAsia="Arial" w:cs="Arial"/>
          <w:spacing w:val="-3"/>
          <w:sz w:val="15"/>
          <w:szCs w:val="15"/>
        </w:rPr>
        <w:t>Green.</w:t>
      </w:r>
      <w:r>
        <w:rPr>
          <w:rFonts w:ascii="Arial" w:hAnsi="Arial" w:eastAsia="Arial" w:cs="Arial"/>
          <w:spacing w:val="12"/>
          <w:w w:val="101"/>
          <w:sz w:val="15"/>
          <w:szCs w:val="15"/>
        </w:rPr>
        <w:t xml:space="preserve"> </w:t>
      </w:r>
      <w:r>
        <w:fldChar w:fldCharType="begin"/>
      </w:r>
      <w:r>
        <w:instrText xml:space="preserve"> HYPERLINK \l "bookmark10" </w:instrText>
      </w:r>
      <w:r>
        <w:fldChar w:fldCharType="separate"/>
      </w:r>
      <w:r>
        <w:rPr>
          <w:rFonts w:ascii="Arial" w:hAnsi="Arial" w:eastAsia="Arial" w:cs="Arial"/>
          <w:color w:val="000084"/>
          <w:spacing w:val="-3"/>
          <w:sz w:val="15"/>
          <w:szCs w:val="15"/>
        </w:rPr>
        <w:t>1993</w:t>
      </w:r>
      <w:r>
        <w:rPr>
          <w:rFonts w:ascii="Arial" w:hAnsi="Arial" w:eastAsia="Arial" w:cs="Arial"/>
          <w:color w:val="000084"/>
          <w:spacing w:val="-3"/>
          <w:sz w:val="15"/>
          <w:szCs w:val="15"/>
        </w:rPr>
        <w:fldChar w:fldCharType="end"/>
      </w:r>
      <w:r>
        <w:rPr>
          <w:rFonts w:ascii="Arial" w:hAnsi="Arial" w:eastAsia="Arial" w:cs="Arial"/>
          <w:spacing w:val="-3"/>
          <w:sz w:val="15"/>
          <w:szCs w:val="15"/>
        </w:rPr>
        <w:t>.</w:t>
      </w:r>
      <w:r>
        <w:rPr>
          <w:rFonts w:ascii="Arial" w:hAnsi="Arial" w:eastAsia="Arial" w:cs="Arial"/>
          <w:spacing w:val="19"/>
          <w:w w:val="102"/>
          <w:sz w:val="15"/>
          <w:szCs w:val="15"/>
        </w:rPr>
        <w:t xml:space="preserve"> </w:t>
      </w:r>
      <w:r>
        <w:rPr>
          <w:rFonts w:ascii="Arial" w:hAnsi="Arial" w:eastAsia="Arial" w:cs="Arial"/>
          <w:spacing w:val="-3"/>
          <w:sz w:val="15"/>
          <w:szCs w:val="15"/>
        </w:rPr>
        <w:t>“Deining</w:t>
      </w:r>
      <w:r>
        <w:rPr>
          <w:rFonts w:ascii="Arial" w:hAnsi="Arial" w:eastAsia="Arial" w:cs="Arial"/>
          <w:spacing w:val="18"/>
          <w:w w:val="101"/>
          <w:sz w:val="15"/>
          <w:szCs w:val="15"/>
        </w:rPr>
        <w:t xml:space="preserve"> </w:t>
      </w:r>
      <w:r>
        <w:rPr>
          <w:rFonts w:ascii="Arial" w:hAnsi="Arial" w:eastAsia="Arial" w:cs="Arial"/>
          <w:spacing w:val="-3"/>
          <w:sz w:val="15"/>
          <w:szCs w:val="15"/>
        </w:rPr>
        <w:t>Quality.”</w:t>
      </w:r>
      <w:r>
        <w:rPr>
          <w:rFonts w:ascii="Arial" w:hAnsi="Arial" w:eastAsia="Arial" w:cs="Arial"/>
          <w:spacing w:val="10"/>
          <w:w w:val="101"/>
          <w:sz w:val="15"/>
          <w:szCs w:val="15"/>
        </w:rPr>
        <w:t xml:space="preserve"> </w:t>
      </w:r>
      <w:r>
        <w:rPr>
          <w:rFonts w:ascii="Arial" w:hAnsi="Arial" w:eastAsia="Arial" w:cs="Arial"/>
          <w:spacing w:val="-3"/>
          <w:sz w:val="15"/>
          <w:szCs w:val="15"/>
        </w:rPr>
        <w:t>Assessment</w:t>
      </w:r>
      <w:r>
        <w:rPr>
          <w:rFonts w:ascii="Arial" w:hAnsi="Arial" w:eastAsia="Arial" w:cs="Arial"/>
          <w:spacing w:val="11"/>
          <w:w w:val="101"/>
          <w:sz w:val="15"/>
          <w:szCs w:val="15"/>
        </w:rPr>
        <w:t xml:space="preserve"> </w:t>
      </w:r>
      <w:r>
        <w:rPr>
          <w:rFonts w:ascii="Arial" w:hAnsi="Arial" w:eastAsia="Arial" w:cs="Arial"/>
          <w:spacing w:val="-3"/>
          <w:sz w:val="15"/>
          <w:szCs w:val="15"/>
        </w:rPr>
        <w:t>&amp;</w:t>
      </w:r>
      <w:r>
        <w:rPr>
          <w:rFonts w:ascii="Arial" w:hAnsi="Arial" w:eastAsia="Arial" w:cs="Arial"/>
          <w:spacing w:val="17"/>
          <w:w w:val="101"/>
          <w:sz w:val="15"/>
          <w:szCs w:val="15"/>
        </w:rPr>
        <w:t xml:space="preserve"> </w:t>
      </w:r>
      <w:r>
        <w:rPr>
          <w:rFonts w:ascii="Arial" w:hAnsi="Arial" w:eastAsia="Arial" w:cs="Arial"/>
          <w:spacing w:val="-3"/>
          <w:sz w:val="15"/>
          <w:szCs w:val="15"/>
        </w:rPr>
        <w:t>Evaluation</w:t>
      </w:r>
      <w:r>
        <w:rPr>
          <w:rFonts w:ascii="Arial" w:hAnsi="Arial" w:eastAsia="Arial" w:cs="Arial"/>
          <w:spacing w:val="18"/>
          <w:w w:val="101"/>
          <w:sz w:val="15"/>
          <w:szCs w:val="15"/>
        </w:rPr>
        <w:t xml:space="preserve"> </w:t>
      </w:r>
      <w:r>
        <w:rPr>
          <w:rFonts w:ascii="Arial" w:hAnsi="Arial" w:eastAsia="Arial" w:cs="Arial"/>
          <w:spacing w:val="-3"/>
          <w:sz w:val="15"/>
          <w:szCs w:val="15"/>
        </w:rPr>
        <w:t>in</w:t>
      </w:r>
      <w:r>
        <w:rPr>
          <w:rFonts w:ascii="Arial" w:hAnsi="Arial" w:eastAsia="Arial" w:cs="Arial"/>
          <w:spacing w:val="18"/>
          <w:sz w:val="15"/>
          <w:szCs w:val="15"/>
        </w:rPr>
        <w:t xml:space="preserve"> </w:t>
      </w:r>
      <w:r>
        <w:rPr>
          <w:rFonts w:ascii="Arial" w:hAnsi="Arial" w:eastAsia="Arial" w:cs="Arial"/>
          <w:spacing w:val="-3"/>
          <w:sz w:val="15"/>
          <w:szCs w:val="15"/>
        </w:rPr>
        <w:t>Higher</w:t>
      </w:r>
      <w:r>
        <w:rPr>
          <w:rFonts w:ascii="Arial" w:hAnsi="Arial" w:eastAsia="Arial" w:cs="Arial"/>
          <w:spacing w:val="13"/>
          <w:sz w:val="15"/>
          <w:szCs w:val="15"/>
        </w:rPr>
        <w:t xml:space="preserve"> </w:t>
      </w:r>
      <w:r>
        <w:rPr>
          <w:rFonts w:ascii="Arial" w:hAnsi="Arial" w:eastAsia="Arial" w:cs="Arial"/>
          <w:spacing w:val="-3"/>
          <w:sz w:val="15"/>
          <w:szCs w:val="15"/>
        </w:rPr>
        <w:t>Education</w:t>
      </w:r>
      <w:r>
        <w:rPr>
          <w:rFonts w:ascii="Arial" w:hAnsi="Arial" w:eastAsia="Arial" w:cs="Arial"/>
          <w:spacing w:val="29"/>
          <w:w w:val="101"/>
          <w:sz w:val="15"/>
          <w:szCs w:val="15"/>
        </w:rPr>
        <w:t xml:space="preserve"> </w:t>
      </w:r>
      <w:r>
        <w:rPr>
          <w:rFonts w:ascii="Arial" w:hAnsi="Arial" w:eastAsia="Arial" w:cs="Arial"/>
          <w:spacing w:val="-3"/>
          <w:sz w:val="15"/>
          <w:szCs w:val="15"/>
        </w:rPr>
        <w:t>18:</w:t>
      </w:r>
      <w:r>
        <w:rPr>
          <w:rFonts w:ascii="Arial" w:hAnsi="Arial" w:eastAsia="Arial" w:cs="Arial"/>
          <w:spacing w:val="20"/>
          <w:w w:val="102"/>
          <w:sz w:val="15"/>
          <w:szCs w:val="15"/>
        </w:rPr>
        <w:t xml:space="preserve"> </w:t>
      </w:r>
      <w:r>
        <w:rPr>
          <w:rFonts w:ascii="Arial" w:hAnsi="Arial" w:eastAsia="Arial" w:cs="Arial"/>
          <w:spacing w:val="-3"/>
          <w:sz w:val="15"/>
          <w:szCs w:val="15"/>
        </w:rPr>
        <w:t>9–3</w:t>
      </w:r>
      <w:r>
        <w:rPr>
          <w:rFonts w:ascii="Arial" w:hAnsi="Arial" w:eastAsia="Arial" w:cs="Arial"/>
          <w:spacing w:val="-4"/>
          <w:sz w:val="15"/>
          <w:szCs w:val="15"/>
        </w:rPr>
        <w:t>4.</w:t>
      </w:r>
      <w:r>
        <w:rPr>
          <w:rFonts w:ascii="Arial" w:hAnsi="Arial" w:eastAsia="Arial" w:cs="Arial"/>
          <w:spacing w:val="14"/>
          <w:w w:val="101"/>
          <w:sz w:val="15"/>
          <w:szCs w:val="15"/>
        </w:rPr>
        <w:t xml:space="preserve"> </w:t>
      </w:r>
      <w:r>
        <w:fldChar w:fldCharType="begin"/>
      </w:r>
      <w:r>
        <w:instrText xml:space="preserve"> HYPERLINK "https://doi.org/10.1080/0260293930180102" </w:instrText>
      </w:r>
      <w:r>
        <w:fldChar w:fldCharType="separate"/>
      </w:r>
      <w:r>
        <w:rPr>
          <w:rFonts w:ascii="Arial" w:hAnsi="Arial" w:eastAsia="Arial" w:cs="Arial"/>
          <w:color w:val="000084"/>
          <w:spacing w:val="-4"/>
          <w:sz w:val="15"/>
          <w:szCs w:val="15"/>
        </w:rPr>
        <w:t>doi:10.1080/</w:t>
      </w:r>
      <w:r>
        <w:rPr>
          <w:rFonts w:ascii="Arial" w:hAnsi="Arial" w:eastAsia="Arial" w:cs="Arial"/>
          <w:color w:val="000084"/>
          <w:spacing w:val="-4"/>
          <w:sz w:val="15"/>
          <w:szCs w:val="15"/>
        </w:rPr>
        <w:fldChar w:fldCharType="end"/>
      </w:r>
      <w:r>
        <w:rPr>
          <w:rFonts w:ascii="Arial" w:hAnsi="Arial" w:eastAsia="Arial" w:cs="Arial"/>
          <w:color w:val="000084"/>
          <w:sz w:val="15"/>
          <w:szCs w:val="15"/>
        </w:rPr>
        <w:t xml:space="preserve"> </w:t>
      </w:r>
      <w:r>
        <w:fldChar w:fldCharType="begin"/>
      </w:r>
      <w:r>
        <w:instrText xml:space="preserve"> HYPERLINK "https://doi.org/10.1080/0260293930180102" </w:instrText>
      </w:r>
      <w:r>
        <w:fldChar w:fldCharType="separate"/>
      </w:r>
      <w:r>
        <w:rPr>
          <w:rFonts w:ascii="Arial" w:hAnsi="Arial" w:eastAsia="Arial" w:cs="Arial"/>
          <w:color w:val="000084"/>
          <w:spacing w:val="-2"/>
          <w:sz w:val="15"/>
          <w:szCs w:val="15"/>
        </w:rPr>
        <w:t>0260293930180102</w:t>
      </w:r>
      <w:r>
        <w:rPr>
          <w:rFonts w:ascii="Arial" w:hAnsi="Arial" w:eastAsia="Arial" w:cs="Arial"/>
          <w:color w:val="000084"/>
          <w:spacing w:val="-2"/>
          <w:sz w:val="15"/>
          <w:szCs w:val="15"/>
        </w:rPr>
        <w:fldChar w:fldCharType="end"/>
      </w:r>
      <w:r>
        <w:rPr>
          <w:rFonts w:ascii="Arial" w:hAnsi="Arial" w:eastAsia="Arial" w:cs="Arial"/>
          <w:spacing w:val="-2"/>
          <w:sz w:val="15"/>
          <w:szCs w:val="15"/>
        </w:rPr>
        <w:t>.</w:t>
      </w:r>
    </w:p>
    <w:p>
      <w:pPr>
        <w:spacing w:before="1" w:line="263" w:lineRule="auto"/>
        <w:ind w:left="395" w:right="7" w:hanging="192"/>
        <w:rPr>
          <w:rFonts w:ascii="Arial" w:hAnsi="Arial" w:eastAsia="Arial" w:cs="Arial"/>
          <w:sz w:val="15"/>
          <w:szCs w:val="15"/>
        </w:rPr>
      </w:pPr>
      <w:r>
        <w:rPr>
          <w:rFonts w:ascii="Arial" w:hAnsi="Arial" w:eastAsia="Arial" w:cs="Arial"/>
          <w:spacing w:val="-4"/>
          <w:sz w:val="15"/>
          <w:szCs w:val="15"/>
        </w:rPr>
        <w:t>H</w:t>
      </w:r>
      <w:r>
        <w:rPr>
          <w:rFonts w:ascii="Arial" w:hAnsi="Arial" w:eastAsia="Arial" w:cs="Arial"/>
          <w:spacing w:val="-3"/>
          <w:sz w:val="15"/>
          <w:szCs w:val="15"/>
        </w:rPr>
        <w:t>arvey,</w:t>
      </w:r>
      <w:r>
        <w:rPr>
          <w:rFonts w:ascii="Arial" w:hAnsi="Arial" w:eastAsia="Arial" w:cs="Arial"/>
          <w:spacing w:val="34"/>
          <w:sz w:val="15"/>
          <w:szCs w:val="15"/>
        </w:rPr>
        <w:t xml:space="preserve"> </w:t>
      </w:r>
      <w:r>
        <w:rPr>
          <w:rFonts w:ascii="Arial" w:hAnsi="Arial" w:eastAsia="Arial" w:cs="Arial"/>
          <w:spacing w:val="-3"/>
          <w:sz w:val="15"/>
          <w:szCs w:val="15"/>
        </w:rPr>
        <w:t>L.,</w:t>
      </w:r>
      <w:r>
        <w:rPr>
          <w:rFonts w:ascii="Arial" w:hAnsi="Arial" w:eastAsia="Arial" w:cs="Arial"/>
          <w:spacing w:val="28"/>
          <w:sz w:val="15"/>
          <w:szCs w:val="15"/>
        </w:rPr>
        <w:t xml:space="preserve"> </w:t>
      </w:r>
      <w:r>
        <w:rPr>
          <w:rFonts w:ascii="Arial" w:hAnsi="Arial" w:eastAsia="Arial" w:cs="Arial"/>
          <w:spacing w:val="-3"/>
          <w:sz w:val="15"/>
          <w:szCs w:val="15"/>
        </w:rPr>
        <w:t>and</w:t>
      </w:r>
      <w:r>
        <w:rPr>
          <w:rFonts w:ascii="Arial" w:hAnsi="Arial" w:eastAsia="Arial" w:cs="Arial"/>
          <w:spacing w:val="34"/>
          <w:sz w:val="15"/>
          <w:szCs w:val="15"/>
        </w:rPr>
        <w:t xml:space="preserve"> </w:t>
      </w:r>
      <w:r>
        <w:rPr>
          <w:rFonts w:ascii="Arial" w:hAnsi="Arial" w:eastAsia="Arial" w:cs="Arial"/>
          <w:spacing w:val="-3"/>
          <w:sz w:val="15"/>
          <w:szCs w:val="15"/>
        </w:rPr>
        <w:t>B.</w:t>
      </w:r>
      <w:r>
        <w:rPr>
          <w:rFonts w:ascii="Arial" w:hAnsi="Arial" w:eastAsia="Arial" w:cs="Arial"/>
          <w:spacing w:val="29"/>
          <w:w w:val="102"/>
          <w:sz w:val="15"/>
          <w:szCs w:val="15"/>
        </w:rPr>
        <w:t xml:space="preserve"> </w:t>
      </w:r>
      <w:r>
        <w:rPr>
          <w:rFonts w:ascii="Arial" w:hAnsi="Arial" w:eastAsia="Arial" w:cs="Arial"/>
          <w:spacing w:val="-3"/>
          <w:sz w:val="15"/>
          <w:szCs w:val="15"/>
        </w:rPr>
        <w:t>Stensaker.</w:t>
      </w:r>
      <w:r>
        <w:rPr>
          <w:rFonts w:ascii="Arial" w:hAnsi="Arial" w:eastAsia="Arial" w:cs="Arial"/>
          <w:spacing w:val="22"/>
          <w:w w:val="101"/>
          <w:sz w:val="15"/>
          <w:szCs w:val="15"/>
        </w:rPr>
        <w:t xml:space="preserve"> </w:t>
      </w:r>
      <w:r>
        <w:fldChar w:fldCharType="begin"/>
      </w:r>
      <w:r>
        <w:instrText xml:space="preserve"> HYPERLINK \l "bookmark34" </w:instrText>
      </w:r>
      <w:r>
        <w:fldChar w:fldCharType="separate"/>
      </w:r>
      <w:r>
        <w:rPr>
          <w:rFonts w:ascii="Arial" w:hAnsi="Arial" w:eastAsia="Arial" w:cs="Arial"/>
          <w:color w:val="000084"/>
          <w:spacing w:val="-3"/>
          <w:sz w:val="15"/>
          <w:szCs w:val="15"/>
        </w:rPr>
        <w:t>2008</w:t>
      </w:r>
      <w:r>
        <w:rPr>
          <w:rFonts w:ascii="Arial" w:hAnsi="Arial" w:eastAsia="Arial" w:cs="Arial"/>
          <w:color w:val="000084"/>
          <w:spacing w:val="-3"/>
          <w:sz w:val="15"/>
          <w:szCs w:val="15"/>
        </w:rPr>
        <w:fldChar w:fldCharType="end"/>
      </w:r>
      <w:r>
        <w:rPr>
          <w:rFonts w:ascii="Arial" w:hAnsi="Arial" w:eastAsia="Arial" w:cs="Arial"/>
          <w:spacing w:val="-3"/>
          <w:sz w:val="15"/>
          <w:szCs w:val="15"/>
        </w:rPr>
        <w:t>.</w:t>
      </w:r>
      <w:r>
        <w:rPr>
          <w:rFonts w:ascii="Arial" w:hAnsi="Arial" w:eastAsia="Arial" w:cs="Arial"/>
          <w:spacing w:val="27"/>
          <w:w w:val="102"/>
          <w:sz w:val="15"/>
          <w:szCs w:val="15"/>
        </w:rPr>
        <w:t xml:space="preserve"> </w:t>
      </w:r>
      <w:r>
        <w:rPr>
          <w:rFonts w:ascii="Arial" w:hAnsi="Arial" w:eastAsia="Arial" w:cs="Arial"/>
          <w:spacing w:val="-3"/>
          <w:sz w:val="15"/>
          <w:szCs w:val="15"/>
        </w:rPr>
        <w:t>“Quality</w:t>
      </w:r>
      <w:r>
        <w:rPr>
          <w:rFonts w:ascii="Arial" w:hAnsi="Arial" w:eastAsia="Arial" w:cs="Arial"/>
          <w:spacing w:val="26"/>
          <w:w w:val="101"/>
          <w:sz w:val="15"/>
          <w:szCs w:val="15"/>
        </w:rPr>
        <w:t xml:space="preserve"> </w:t>
      </w:r>
      <w:r>
        <w:rPr>
          <w:rFonts w:ascii="Arial" w:hAnsi="Arial" w:eastAsia="Arial" w:cs="Arial"/>
          <w:spacing w:val="-3"/>
          <w:sz w:val="15"/>
          <w:szCs w:val="15"/>
        </w:rPr>
        <w:t>Culture:</w:t>
      </w:r>
      <w:r>
        <w:rPr>
          <w:rFonts w:ascii="Arial" w:hAnsi="Arial" w:eastAsia="Arial" w:cs="Arial"/>
          <w:spacing w:val="33"/>
          <w:w w:val="102"/>
          <w:sz w:val="15"/>
          <w:szCs w:val="15"/>
        </w:rPr>
        <w:t xml:space="preserve"> </w:t>
      </w:r>
      <w:r>
        <w:rPr>
          <w:rFonts w:ascii="Arial" w:hAnsi="Arial" w:eastAsia="Arial" w:cs="Arial"/>
          <w:spacing w:val="-3"/>
          <w:sz w:val="15"/>
          <w:szCs w:val="15"/>
        </w:rPr>
        <w:t>Understandings,</w:t>
      </w:r>
      <w:r>
        <w:rPr>
          <w:rFonts w:ascii="Arial" w:hAnsi="Arial" w:eastAsia="Arial" w:cs="Arial"/>
          <w:spacing w:val="33"/>
          <w:w w:val="101"/>
          <w:sz w:val="15"/>
          <w:szCs w:val="15"/>
        </w:rPr>
        <w:t xml:space="preserve"> </w:t>
      </w:r>
      <w:r>
        <w:rPr>
          <w:rFonts w:ascii="Arial" w:hAnsi="Arial" w:eastAsia="Arial" w:cs="Arial"/>
          <w:spacing w:val="-3"/>
          <w:sz w:val="15"/>
          <w:szCs w:val="15"/>
        </w:rPr>
        <w:t>Boundaries</w:t>
      </w:r>
      <w:r>
        <w:rPr>
          <w:rFonts w:ascii="Arial" w:hAnsi="Arial" w:eastAsia="Arial" w:cs="Arial"/>
          <w:spacing w:val="26"/>
          <w:w w:val="101"/>
          <w:sz w:val="15"/>
          <w:szCs w:val="15"/>
        </w:rPr>
        <w:t xml:space="preserve"> </w:t>
      </w:r>
      <w:r>
        <w:rPr>
          <w:rFonts w:ascii="Arial" w:hAnsi="Arial" w:eastAsia="Arial" w:cs="Arial"/>
          <w:spacing w:val="-3"/>
          <w:sz w:val="15"/>
          <w:szCs w:val="15"/>
        </w:rPr>
        <w:t>and</w:t>
      </w:r>
      <w:r>
        <w:rPr>
          <w:rFonts w:ascii="Arial" w:hAnsi="Arial" w:eastAsia="Arial" w:cs="Arial"/>
          <w:spacing w:val="34"/>
          <w:w w:val="101"/>
          <w:sz w:val="15"/>
          <w:szCs w:val="15"/>
        </w:rPr>
        <w:t xml:space="preserve"> </w:t>
      </w:r>
      <w:r>
        <w:rPr>
          <w:rFonts w:ascii="Arial" w:hAnsi="Arial" w:eastAsia="Arial" w:cs="Arial"/>
          <w:spacing w:val="-3"/>
          <w:sz w:val="15"/>
          <w:szCs w:val="15"/>
        </w:rPr>
        <w:t>Linkages.”</w:t>
      </w:r>
      <w:r>
        <w:rPr>
          <w:rFonts w:ascii="Arial" w:hAnsi="Arial" w:eastAsia="Arial" w:cs="Arial"/>
          <w:spacing w:val="27"/>
          <w:w w:val="101"/>
          <w:sz w:val="15"/>
          <w:szCs w:val="15"/>
        </w:rPr>
        <w:t xml:space="preserve"> </w:t>
      </w:r>
      <w:r>
        <w:rPr>
          <w:rFonts w:ascii="Arial" w:hAnsi="Arial" w:eastAsia="Arial" w:cs="Arial"/>
          <w:spacing w:val="-3"/>
          <w:sz w:val="15"/>
          <w:szCs w:val="15"/>
        </w:rPr>
        <w:t>European</w:t>
      </w:r>
      <w:r>
        <w:rPr>
          <w:rFonts w:ascii="Arial" w:hAnsi="Arial" w:eastAsia="Arial" w:cs="Arial"/>
          <w:spacing w:val="16"/>
          <w:w w:val="101"/>
          <w:sz w:val="15"/>
          <w:szCs w:val="15"/>
        </w:rPr>
        <w:t xml:space="preserve"> </w:t>
      </w:r>
      <w:r>
        <w:rPr>
          <w:rFonts w:ascii="Arial" w:hAnsi="Arial" w:eastAsia="Arial" w:cs="Arial"/>
          <w:spacing w:val="-3"/>
          <w:sz w:val="15"/>
          <w:szCs w:val="15"/>
        </w:rPr>
        <w:t>Journal</w:t>
      </w:r>
      <w:r>
        <w:rPr>
          <w:rFonts w:ascii="Arial" w:hAnsi="Arial" w:eastAsia="Arial" w:cs="Arial"/>
          <w:spacing w:val="23"/>
          <w:sz w:val="15"/>
          <w:szCs w:val="15"/>
        </w:rPr>
        <w:t xml:space="preserve"> </w:t>
      </w:r>
      <w:r>
        <w:rPr>
          <w:rFonts w:ascii="Arial" w:hAnsi="Arial" w:eastAsia="Arial" w:cs="Arial"/>
          <w:spacing w:val="-3"/>
          <w:sz w:val="15"/>
          <w:szCs w:val="15"/>
        </w:rPr>
        <w:t>o</w:t>
      </w:r>
      <w:r>
        <w:rPr>
          <w:rFonts w:ascii="Arial" w:hAnsi="Arial" w:eastAsia="Arial" w:cs="Arial"/>
          <w:spacing w:val="-2"/>
          <w:sz w:val="15"/>
          <w:szCs w:val="15"/>
        </w:rPr>
        <w:t>f</w:t>
      </w:r>
      <w:r>
        <w:rPr>
          <w:rFonts w:ascii="Arial" w:hAnsi="Arial" w:eastAsia="Arial" w:cs="Arial"/>
          <w:sz w:val="15"/>
          <w:szCs w:val="15"/>
        </w:rPr>
        <w:t xml:space="preserve"> </w:t>
      </w:r>
      <w:r>
        <w:rPr>
          <w:rFonts w:ascii="Arial" w:hAnsi="Arial" w:eastAsia="Arial" w:cs="Arial"/>
          <w:spacing w:val="-2"/>
          <w:sz w:val="15"/>
          <w:szCs w:val="15"/>
        </w:rPr>
        <w:t xml:space="preserve">Education 43: 427–41. </w:t>
      </w:r>
      <w:r>
        <w:fldChar w:fldCharType="begin"/>
      </w:r>
      <w:r>
        <w:instrText xml:space="preserve"> HYPERLINK "https://doi.org/10.1111/j.1465-3435.2008.00367.x" </w:instrText>
      </w:r>
      <w:r>
        <w:fldChar w:fldCharType="separate"/>
      </w:r>
      <w:r>
        <w:rPr>
          <w:rFonts w:ascii="Arial" w:hAnsi="Arial" w:eastAsia="Arial" w:cs="Arial"/>
          <w:color w:val="000084"/>
          <w:spacing w:val="-2"/>
          <w:sz w:val="15"/>
          <w:szCs w:val="15"/>
        </w:rPr>
        <w:t>doi:10.1111/j.1465-3435.2008.003</w:t>
      </w:r>
      <w:r>
        <w:rPr>
          <w:rFonts w:ascii="Arial" w:hAnsi="Arial" w:eastAsia="Arial" w:cs="Arial"/>
          <w:color w:val="000084"/>
          <w:spacing w:val="-3"/>
          <w:sz w:val="15"/>
          <w:szCs w:val="15"/>
        </w:rPr>
        <w:t>67.x</w:t>
      </w:r>
      <w:r>
        <w:rPr>
          <w:rFonts w:ascii="Arial" w:hAnsi="Arial" w:eastAsia="Arial" w:cs="Arial"/>
          <w:color w:val="000084"/>
          <w:spacing w:val="-3"/>
          <w:sz w:val="15"/>
          <w:szCs w:val="15"/>
        </w:rPr>
        <w:fldChar w:fldCharType="end"/>
      </w:r>
      <w:r>
        <w:rPr>
          <w:rFonts w:ascii="Arial" w:hAnsi="Arial" w:eastAsia="Arial" w:cs="Arial"/>
          <w:spacing w:val="-3"/>
          <w:sz w:val="15"/>
          <w:szCs w:val="15"/>
        </w:rPr>
        <w:t>.</w:t>
      </w:r>
    </w:p>
    <w:p>
      <w:pPr>
        <w:spacing w:before="39" w:line="258" w:lineRule="auto"/>
        <w:ind w:left="400" w:right="24" w:hanging="197"/>
        <w:rPr>
          <w:rFonts w:ascii="Arial" w:hAnsi="Arial" w:eastAsia="Arial" w:cs="Arial"/>
          <w:sz w:val="15"/>
          <w:szCs w:val="15"/>
        </w:rPr>
      </w:pPr>
      <w:r>
        <w:rPr>
          <w:rFonts w:ascii="Arial" w:hAnsi="Arial" w:eastAsia="Arial" w:cs="Arial"/>
          <w:spacing w:val="-1"/>
          <w:sz w:val="15"/>
          <w:szCs w:val="15"/>
        </w:rPr>
        <w:t>Heinitz,</w:t>
      </w:r>
      <w:r>
        <w:rPr>
          <w:rFonts w:ascii="Arial" w:hAnsi="Arial" w:eastAsia="Arial" w:cs="Arial"/>
          <w:spacing w:val="21"/>
          <w:w w:val="101"/>
          <w:sz w:val="15"/>
          <w:szCs w:val="15"/>
        </w:rPr>
        <w:t xml:space="preserve"> </w:t>
      </w:r>
      <w:r>
        <w:rPr>
          <w:rFonts w:ascii="Arial" w:hAnsi="Arial" w:eastAsia="Arial" w:cs="Arial"/>
          <w:spacing w:val="-1"/>
          <w:sz w:val="15"/>
          <w:szCs w:val="15"/>
        </w:rPr>
        <w:t>K.,</w:t>
      </w:r>
      <w:r>
        <w:rPr>
          <w:rFonts w:ascii="Arial" w:hAnsi="Arial" w:eastAsia="Arial" w:cs="Arial"/>
          <w:spacing w:val="14"/>
          <w:sz w:val="15"/>
          <w:szCs w:val="15"/>
        </w:rPr>
        <w:t xml:space="preserve"> </w:t>
      </w:r>
      <w:r>
        <w:rPr>
          <w:rFonts w:ascii="Arial" w:hAnsi="Arial" w:eastAsia="Arial" w:cs="Arial"/>
          <w:spacing w:val="-1"/>
          <w:sz w:val="15"/>
          <w:szCs w:val="15"/>
        </w:rPr>
        <w:t>and J.</w:t>
      </w:r>
      <w:r>
        <w:rPr>
          <w:rFonts w:ascii="Arial" w:hAnsi="Arial" w:eastAsia="Arial" w:cs="Arial"/>
          <w:spacing w:val="20"/>
          <w:sz w:val="15"/>
          <w:szCs w:val="15"/>
        </w:rPr>
        <w:t xml:space="preserve"> </w:t>
      </w:r>
      <w:r>
        <w:rPr>
          <w:rFonts w:ascii="Arial" w:hAnsi="Arial" w:eastAsia="Arial" w:cs="Arial"/>
          <w:spacing w:val="-1"/>
          <w:sz w:val="15"/>
          <w:szCs w:val="15"/>
        </w:rPr>
        <w:t xml:space="preserve">Rowold. </w:t>
      </w:r>
      <w:r>
        <w:fldChar w:fldCharType="begin"/>
      </w:r>
      <w:r>
        <w:instrText xml:space="preserve"> HYPERLINK \l "bookmark72" </w:instrText>
      </w:r>
      <w:r>
        <w:fldChar w:fldCharType="separate"/>
      </w:r>
      <w:r>
        <w:rPr>
          <w:rFonts w:ascii="Arial" w:hAnsi="Arial" w:eastAsia="Arial" w:cs="Arial"/>
          <w:color w:val="000084"/>
          <w:spacing w:val="-1"/>
          <w:sz w:val="15"/>
          <w:szCs w:val="15"/>
        </w:rPr>
        <w:t>2007</w:t>
      </w:r>
      <w:r>
        <w:rPr>
          <w:rFonts w:ascii="Arial" w:hAnsi="Arial" w:eastAsia="Arial" w:cs="Arial"/>
          <w:color w:val="000084"/>
          <w:spacing w:val="-1"/>
          <w:sz w:val="15"/>
          <w:szCs w:val="15"/>
        </w:rPr>
        <w:fldChar w:fldCharType="end"/>
      </w:r>
      <w:r>
        <w:rPr>
          <w:rFonts w:ascii="Arial" w:hAnsi="Arial" w:eastAsia="Arial" w:cs="Arial"/>
          <w:spacing w:val="-1"/>
          <w:sz w:val="15"/>
          <w:szCs w:val="15"/>
        </w:rPr>
        <w:t>.</w:t>
      </w:r>
      <w:r>
        <w:rPr>
          <w:rFonts w:ascii="Arial" w:hAnsi="Arial" w:eastAsia="Arial" w:cs="Arial"/>
          <w:spacing w:val="12"/>
          <w:w w:val="102"/>
          <w:sz w:val="15"/>
          <w:szCs w:val="15"/>
        </w:rPr>
        <w:t xml:space="preserve"> </w:t>
      </w:r>
      <w:r>
        <w:rPr>
          <w:rFonts w:ascii="Arial" w:hAnsi="Arial" w:eastAsia="Arial" w:cs="Arial"/>
          <w:spacing w:val="-1"/>
          <w:sz w:val="15"/>
          <w:szCs w:val="15"/>
        </w:rPr>
        <w:t>“Gütekriterien</w:t>
      </w:r>
      <w:r>
        <w:rPr>
          <w:rFonts w:ascii="Arial" w:hAnsi="Arial" w:eastAsia="Arial" w:cs="Arial"/>
          <w:spacing w:val="13"/>
          <w:w w:val="101"/>
          <w:sz w:val="15"/>
          <w:szCs w:val="15"/>
        </w:rPr>
        <w:t xml:space="preserve"> </w:t>
      </w:r>
      <w:r>
        <w:rPr>
          <w:rFonts w:ascii="Arial" w:hAnsi="Arial" w:eastAsia="Arial" w:cs="Arial"/>
          <w:spacing w:val="-1"/>
          <w:sz w:val="15"/>
          <w:szCs w:val="15"/>
        </w:rPr>
        <w:t>einer</w:t>
      </w:r>
      <w:r>
        <w:rPr>
          <w:rFonts w:ascii="Arial" w:hAnsi="Arial" w:eastAsia="Arial" w:cs="Arial"/>
          <w:spacing w:val="13"/>
          <w:sz w:val="15"/>
          <w:szCs w:val="15"/>
        </w:rPr>
        <w:t xml:space="preserve"> </w:t>
      </w:r>
      <w:r>
        <w:rPr>
          <w:rFonts w:ascii="Arial" w:hAnsi="Arial" w:eastAsia="Arial" w:cs="Arial"/>
          <w:spacing w:val="-1"/>
          <w:sz w:val="15"/>
          <w:szCs w:val="15"/>
        </w:rPr>
        <w:t>deutschen</w:t>
      </w:r>
      <w:r>
        <w:rPr>
          <w:rFonts w:ascii="Arial" w:hAnsi="Arial" w:eastAsia="Arial" w:cs="Arial"/>
          <w:spacing w:val="10"/>
          <w:w w:val="101"/>
          <w:sz w:val="15"/>
          <w:szCs w:val="15"/>
        </w:rPr>
        <w:t xml:space="preserve"> </w:t>
      </w:r>
      <w:r>
        <w:rPr>
          <w:rFonts w:ascii="Arial" w:hAnsi="Arial" w:eastAsia="Arial" w:cs="Arial"/>
          <w:spacing w:val="-1"/>
          <w:sz w:val="15"/>
          <w:szCs w:val="15"/>
        </w:rPr>
        <w:t>Adaptation</w:t>
      </w:r>
      <w:r>
        <w:rPr>
          <w:rFonts w:ascii="Arial" w:hAnsi="Arial" w:eastAsia="Arial" w:cs="Arial"/>
          <w:spacing w:val="14"/>
          <w:w w:val="101"/>
          <w:sz w:val="15"/>
          <w:szCs w:val="15"/>
        </w:rPr>
        <w:t xml:space="preserve"> </w:t>
      </w:r>
      <w:r>
        <w:rPr>
          <w:rFonts w:ascii="Arial" w:hAnsi="Arial" w:eastAsia="Arial" w:cs="Arial"/>
          <w:spacing w:val="-1"/>
          <w:sz w:val="15"/>
          <w:szCs w:val="15"/>
        </w:rPr>
        <w:t>des Transformational</w:t>
      </w:r>
      <w:r>
        <w:rPr>
          <w:rFonts w:ascii="Arial" w:hAnsi="Arial" w:eastAsia="Arial" w:cs="Arial"/>
          <w:spacing w:val="20"/>
          <w:sz w:val="15"/>
          <w:szCs w:val="15"/>
        </w:rPr>
        <w:t xml:space="preserve"> </w:t>
      </w:r>
      <w:r>
        <w:rPr>
          <w:rFonts w:ascii="Arial" w:hAnsi="Arial" w:eastAsia="Arial" w:cs="Arial"/>
          <w:spacing w:val="-1"/>
          <w:sz w:val="15"/>
          <w:szCs w:val="15"/>
        </w:rPr>
        <w:t>Leadership</w:t>
      </w:r>
      <w:r>
        <w:rPr>
          <w:rFonts w:ascii="Arial" w:hAnsi="Arial" w:eastAsia="Arial" w:cs="Arial"/>
          <w:spacing w:val="19"/>
          <w:w w:val="102"/>
          <w:sz w:val="15"/>
          <w:szCs w:val="15"/>
        </w:rPr>
        <w:t xml:space="preserve"> </w:t>
      </w:r>
      <w:r>
        <w:rPr>
          <w:rFonts w:ascii="Arial" w:hAnsi="Arial" w:eastAsia="Arial" w:cs="Arial"/>
          <w:spacing w:val="-2"/>
          <w:sz w:val="15"/>
          <w:szCs w:val="15"/>
        </w:rPr>
        <w:t>Inventory</w:t>
      </w:r>
      <w:r>
        <w:rPr>
          <w:rFonts w:ascii="Arial" w:hAnsi="Arial" w:eastAsia="Arial" w:cs="Arial"/>
          <w:sz w:val="15"/>
          <w:szCs w:val="15"/>
        </w:rPr>
        <w:t xml:space="preserve"> (TLI)</w:t>
      </w:r>
      <w:r>
        <w:rPr>
          <w:rFonts w:ascii="Arial" w:hAnsi="Arial" w:eastAsia="Arial" w:cs="Arial"/>
          <w:spacing w:val="18"/>
          <w:w w:val="102"/>
          <w:sz w:val="15"/>
          <w:szCs w:val="15"/>
        </w:rPr>
        <w:t xml:space="preserve"> </w:t>
      </w:r>
      <w:r>
        <w:rPr>
          <w:rFonts w:ascii="Arial" w:hAnsi="Arial" w:eastAsia="Arial" w:cs="Arial"/>
          <w:sz w:val="15"/>
          <w:szCs w:val="15"/>
        </w:rPr>
        <w:t>von</w:t>
      </w:r>
      <w:r>
        <w:rPr>
          <w:rFonts w:ascii="Arial" w:hAnsi="Arial" w:eastAsia="Arial" w:cs="Arial"/>
          <w:spacing w:val="28"/>
          <w:w w:val="101"/>
          <w:sz w:val="15"/>
          <w:szCs w:val="15"/>
        </w:rPr>
        <w:t xml:space="preserve"> </w:t>
      </w:r>
      <w:r>
        <w:rPr>
          <w:rFonts w:ascii="Arial" w:hAnsi="Arial" w:eastAsia="Arial" w:cs="Arial"/>
          <w:sz w:val="15"/>
          <w:szCs w:val="15"/>
        </w:rPr>
        <w:t>Podsakof.</w:t>
      </w:r>
      <w:r>
        <w:rPr>
          <w:rFonts w:ascii="Arial" w:hAnsi="Arial" w:eastAsia="Arial" w:cs="Arial"/>
          <w:spacing w:val="29"/>
          <w:w w:val="101"/>
          <w:sz w:val="15"/>
          <w:szCs w:val="15"/>
        </w:rPr>
        <w:t xml:space="preserve"> </w:t>
      </w:r>
      <w:r>
        <w:rPr>
          <w:rFonts w:ascii="Arial" w:hAnsi="Arial" w:eastAsia="Arial" w:cs="Arial"/>
          <w:sz w:val="15"/>
          <w:szCs w:val="15"/>
        </w:rPr>
        <w:t>Psych</w:t>
      </w:r>
      <w:r>
        <w:rPr>
          <w:rFonts w:ascii="Arial" w:hAnsi="Arial" w:eastAsia="Arial" w:cs="Arial"/>
          <w:spacing w:val="-1"/>
          <w:sz w:val="15"/>
          <w:szCs w:val="15"/>
        </w:rPr>
        <w:t>ometric</w:t>
      </w:r>
      <w:r>
        <w:rPr>
          <w:rFonts w:ascii="Arial" w:hAnsi="Arial" w:eastAsia="Arial" w:cs="Arial"/>
          <w:spacing w:val="29"/>
          <w:w w:val="102"/>
          <w:sz w:val="15"/>
          <w:szCs w:val="15"/>
        </w:rPr>
        <w:t xml:space="preserve"> </w:t>
      </w:r>
      <w:r>
        <w:rPr>
          <w:rFonts w:ascii="Arial" w:hAnsi="Arial" w:eastAsia="Arial" w:cs="Arial"/>
          <w:spacing w:val="-1"/>
          <w:sz w:val="15"/>
          <w:szCs w:val="15"/>
        </w:rPr>
        <w:t>Properties</w:t>
      </w:r>
      <w:r>
        <w:rPr>
          <w:rFonts w:ascii="Arial" w:hAnsi="Arial" w:eastAsia="Arial" w:cs="Arial"/>
          <w:spacing w:val="22"/>
          <w:sz w:val="15"/>
          <w:szCs w:val="15"/>
        </w:rPr>
        <w:t xml:space="preserve"> </w:t>
      </w:r>
      <w:r>
        <w:rPr>
          <w:rFonts w:ascii="Arial" w:hAnsi="Arial" w:eastAsia="Arial" w:cs="Arial"/>
          <w:spacing w:val="-1"/>
          <w:sz w:val="15"/>
          <w:szCs w:val="15"/>
        </w:rPr>
        <w:t>of</w:t>
      </w:r>
      <w:r>
        <w:rPr>
          <w:rFonts w:ascii="Arial" w:hAnsi="Arial" w:eastAsia="Arial" w:cs="Arial"/>
          <w:spacing w:val="16"/>
          <w:sz w:val="15"/>
          <w:szCs w:val="15"/>
        </w:rPr>
        <w:t xml:space="preserve"> </w:t>
      </w:r>
      <w:r>
        <w:rPr>
          <w:rFonts w:ascii="Arial" w:hAnsi="Arial" w:eastAsia="Arial" w:cs="Arial"/>
          <w:spacing w:val="-1"/>
          <w:sz w:val="15"/>
          <w:szCs w:val="15"/>
        </w:rPr>
        <w:t>a</w:t>
      </w:r>
      <w:r>
        <w:rPr>
          <w:rFonts w:ascii="Arial" w:hAnsi="Arial" w:eastAsia="Arial" w:cs="Arial"/>
          <w:spacing w:val="23"/>
          <w:w w:val="102"/>
          <w:sz w:val="15"/>
          <w:szCs w:val="15"/>
        </w:rPr>
        <w:t xml:space="preserve"> </w:t>
      </w:r>
      <w:r>
        <w:rPr>
          <w:rFonts w:ascii="Arial" w:hAnsi="Arial" w:eastAsia="Arial" w:cs="Arial"/>
          <w:spacing w:val="-1"/>
          <w:sz w:val="15"/>
          <w:szCs w:val="15"/>
        </w:rPr>
        <w:t>German</w:t>
      </w:r>
      <w:r>
        <w:rPr>
          <w:rFonts w:ascii="Arial" w:hAnsi="Arial" w:eastAsia="Arial" w:cs="Arial"/>
          <w:spacing w:val="19"/>
          <w:sz w:val="15"/>
          <w:szCs w:val="15"/>
        </w:rPr>
        <w:t xml:space="preserve"> </w:t>
      </w:r>
      <w:r>
        <w:rPr>
          <w:rFonts w:ascii="Arial" w:hAnsi="Arial" w:eastAsia="Arial" w:cs="Arial"/>
          <w:spacing w:val="-1"/>
          <w:sz w:val="15"/>
          <w:szCs w:val="15"/>
        </w:rPr>
        <w:t>Adaption</w:t>
      </w:r>
      <w:r>
        <w:rPr>
          <w:rFonts w:ascii="Arial" w:hAnsi="Arial" w:eastAsia="Arial" w:cs="Arial"/>
          <w:spacing w:val="22"/>
          <w:w w:val="102"/>
          <w:sz w:val="15"/>
          <w:szCs w:val="15"/>
        </w:rPr>
        <w:t xml:space="preserve"> </w:t>
      </w:r>
      <w:r>
        <w:rPr>
          <w:rFonts w:ascii="Arial" w:hAnsi="Arial" w:eastAsia="Arial" w:cs="Arial"/>
          <w:spacing w:val="-1"/>
          <w:sz w:val="15"/>
          <w:szCs w:val="15"/>
        </w:rPr>
        <w:t>of</w:t>
      </w:r>
      <w:r>
        <w:rPr>
          <w:rFonts w:ascii="Arial" w:hAnsi="Arial" w:eastAsia="Arial" w:cs="Arial"/>
          <w:spacing w:val="13"/>
          <w:sz w:val="15"/>
          <w:szCs w:val="15"/>
        </w:rPr>
        <w:t xml:space="preserve"> </w:t>
      </w:r>
      <w:r>
        <w:rPr>
          <w:rFonts w:ascii="Arial" w:hAnsi="Arial" w:eastAsia="Arial" w:cs="Arial"/>
          <w:spacing w:val="-1"/>
          <w:sz w:val="15"/>
          <w:szCs w:val="15"/>
        </w:rPr>
        <w:t>the</w:t>
      </w:r>
      <w:r>
        <w:rPr>
          <w:rFonts w:ascii="Arial" w:hAnsi="Arial" w:eastAsia="Arial" w:cs="Arial"/>
          <w:spacing w:val="16"/>
          <w:w w:val="101"/>
          <w:sz w:val="15"/>
          <w:szCs w:val="15"/>
        </w:rPr>
        <w:t xml:space="preserve"> </w:t>
      </w:r>
      <w:r>
        <w:rPr>
          <w:rFonts w:ascii="Arial" w:hAnsi="Arial" w:eastAsia="Arial" w:cs="Arial"/>
          <w:spacing w:val="-1"/>
          <w:sz w:val="15"/>
          <w:szCs w:val="15"/>
        </w:rPr>
        <w:t>Transformational</w:t>
      </w:r>
      <w:r>
        <w:rPr>
          <w:rFonts w:ascii="Arial" w:hAnsi="Arial" w:eastAsia="Arial" w:cs="Arial"/>
          <w:spacing w:val="29"/>
          <w:w w:val="101"/>
          <w:sz w:val="15"/>
          <w:szCs w:val="15"/>
        </w:rPr>
        <w:t xml:space="preserve"> </w:t>
      </w:r>
      <w:r>
        <w:rPr>
          <w:rFonts w:ascii="Arial" w:hAnsi="Arial" w:eastAsia="Arial" w:cs="Arial"/>
          <w:spacing w:val="-1"/>
          <w:sz w:val="15"/>
          <w:szCs w:val="15"/>
        </w:rPr>
        <w:t>Leadership</w:t>
      </w:r>
      <w:r>
        <w:rPr>
          <w:rFonts w:ascii="Arial" w:hAnsi="Arial" w:eastAsia="Arial" w:cs="Arial"/>
          <w:spacing w:val="27"/>
          <w:w w:val="101"/>
          <w:sz w:val="15"/>
          <w:szCs w:val="15"/>
        </w:rPr>
        <w:t xml:space="preserve"> </w:t>
      </w:r>
      <w:r>
        <w:rPr>
          <w:rFonts w:ascii="Arial" w:hAnsi="Arial" w:eastAsia="Arial" w:cs="Arial"/>
          <w:spacing w:val="-1"/>
          <w:sz w:val="15"/>
          <w:szCs w:val="15"/>
        </w:rPr>
        <w:t>Inventory</w:t>
      </w:r>
      <w:r>
        <w:rPr>
          <w:rFonts w:ascii="Arial" w:hAnsi="Arial" w:eastAsia="Arial" w:cs="Arial"/>
          <w:sz w:val="15"/>
          <w:szCs w:val="15"/>
        </w:rPr>
        <w:t xml:space="preserve"> </w:t>
      </w:r>
      <w:r>
        <w:rPr>
          <w:rFonts w:ascii="Arial" w:hAnsi="Arial" w:eastAsia="Arial" w:cs="Arial"/>
          <w:spacing w:val="-2"/>
          <w:sz w:val="15"/>
          <w:szCs w:val="15"/>
        </w:rPr>
        <w:t>(TLI)</w:t>
      </w:r>
      <w:r>
        <w:rPr>
          <w:rFonts w:ascii="Arial" w:hAnsi="Arial" w:eastAsia="Arial" w:cs="Arial"/>
          <w:spacing w:val="17"/>
          <w:w w:val="101"/>
          <w:sz w:val="15"/>
          <w:szCs w:val="15"/>
        </w:rPr>
        <w:t xml:space="preserve"> </w:t>
      </w:r>
      <w:r>
        <w:rPr>
          <w:rFonts w:ascii="Arial" w:hAnsi="Arial" w:eastAsia="Arial" w:cs="Arial"/>
          <w:spacing w:val="-2"/>
          <w:sz w:val="15"/>
          <w:szCs w:val="15"/>
        </w:rPr>
        <w:t>by</w:t>
      </w:r>
      <w:r>
        <w:rPr>
          <w:rFonts w:ascii="Arial" w:hAnsi="Arial" w:eastAsia="Arial" w:cs="Arial"/>
          <w:spacing w:val="17"/>
          <w:w w:val="102"/>
          <w:sz w:val="15"/>
          <w:szCs w:val="15"/>
        </w:rPr>
        <w:t xml:space="preserve"> </w:t>
      </w:r>
      <w:r>
        <w:rPr>
          <w:rFonts w:ascii="Arial" w:hAnsi="Arial" w:eastAsia="Arial" w:cs="Arial"/>
          <w:spacing w:val="-2"/>
          <w:sz w:val="15"/>
          <w:szCs w:val="15"/>
        </w:rPr>
        <w:t>Podsakof.” Zeitschrift</w:t>
      </w:r>
      <w:r>
        <w:rPr>
          <w:rFonts w:ascii="Arial" w:hAnsi="Arial" w:eastAsia="Arial" w:cs="Arial"/>
          <w:spacing w:val="8"/>
          <w:sz w:val="15"/>
          <w:szCs w:val="15"/>
        </w:rPr>
        <w:t xml:space="preserve"> </w:t>
      </w:r>
      <w:r>
        <w:rPr>
          <w:rFonts w:ascii="Arial" w:hAnsi="Arial" w:eastAsia="Arial" w:cs="Arial"/>
          <w:spacing w:val="-2"/>
          <w:sz w:val="15"/>
          <w:szCs w:val="15"/>
        </w:rPr>
        <w:t>fürArb</w:t>
      </w:r>
      <w:r>
        <w:rPr>
          <w:rFonts w:ascii="Arial" w:hAnsi="Arial" w:eastAsia="Arial" w:cs="Arial"/>
          <w:spacing w:val="-3"/>
          <w:sz w:val="15"/>
          <w:szCs w:val="15"/>
        </w:rPr>
        <w:t>eits-</w:t>
      </w:r>
      <w:r>
        <w:rPr>
          <w:rFonts w:ascii="Arial" w:hAnsi="Arial" w:eastAsia="Arial" w:cs="Arial"/>
          <w:spacing w:val="14"/>
          <w:sz w:val="15"/>
          <w:szCs w:val="15"/>
        </w:rPr>
        <w:t xml:space="preserve"> </w:t>
      </w:r>
      <w:r>
        <w:rPr>
          <w:rFonts w:ascii="Arial" w:hAnsi="Arial" w:eastAsia="Arial" w:cs="Arial"/>
          <w:spacing w:val="-3"/>
          <w:sz w:val="15"/>
          <w:szCs w:val="15"/>
        </w:rPr>
        <w:t>und</w:t>
      </w:r>
      <w:r>
        <w:rPr>
          <w:rFonts w:ascii="Arial" w:hAnsi="Arial" w:eastAsia="Arial" w:cs="Arial"/>
          <w:spacing w:val="9"/>
          <w:sz w:val="15"/>
          <w:szCs w:val="15"/>
        </w:rPr>
        <w:t xml:space="preserve"> </w:t>
      </w:r>
      <w:r>
        <w:rPr>
          <w:rFonts w:ascii="Arial" w:hAnsi="Arial" w:eastAsia="Arial" w:cs="Arial"/>
          <w:spacing w:val="-3"/>
          <w:sz w:val="15"/>
          <w:szCs w:val="15"/>
        </w:rPr>
        <w:t>Organisationspsychologie</w:t>
      </w:r>
      <w:r>
        <w:rPr>
          <w:rFonts w:ascii="Arial" w:hAnsi="Arial" w:eastAsia="Arial" w:cs="Arial"/>
          <w:spacing w:val="13"/>
          <w:sz w:val="15"/>
          <w:szCs w:val="15"/>
        </w:rPr>
        <w:t xml:space="preserve"> </w:t>
      </w:r>
      <w:r>
        <w:rPr>
          <w:rFonts w:ascii="Arial" w:hAnsi="Arial" w:eastAsia="Arial" w:cs="Arial"/>
          <w:spacing w:val="-3"/>
          <w:sz w:val="15"/>
          <w:szCs w:val="15"/>
        </w:rPr>
        <w:t>51:</w:t>
      </w:r>
      <w:r>
        <w:rPr>
          <w:rFonts w:ascii="Arial" w:hAnsi="Arial" w:eastAsia="Arial" w:cs="Arial"/>
          <w:spacing w:val="22"/>
          <w:w w:val="102"/>
          <w:sz w:val="15"/>
          <w:szCs w:val="15"/>
        </w:rPr>
        <w:t xml:space="preserve"> </w:t>
      </w:r>
      <w:r>
        <w:rPr>
          <w:rFonts w:ascii="Arial" w:hAnsi="Arial" w:eastAsia="Arial" w:cs="Arial"/>
          <w:spacing w:val="-3"/>
          <w:sz w:val="15"/>
          <w:szCs w:val="15"/>
        </w:rPr>
        <w:t>1–</w:t>
      </w:r>
      <w:r>
        <w:rPr>
          <w:rFonts w:ascii="Arial" w:hAnsi="Arial" w:eastAsia="Arial" w:cs="Arial"/>
          <w:spacing w:val="-25"/>
          <w:sz w:val="15"/>
          <w:szCs w:val="15"/>
        </w:rPr>
        <w:t xml:space="preserve"> </w:t>
      </w:r>
      <w:r>
        <w:rPr>
          <w:rFonts w:ascii="Arial" w:hAnsi="Arial" w:eastAsia="Arial" w:cs="Arial"/>
          <w:spacing w:val="-3"/>
          <w:sz w:val="15"/>
          <w:szCs w:val="15"/>
        </w:rPr>
        <w:t>15.</w:t>
      </w:r>
    </w:p>
    <w:p>
      <w:pPr>
        <w:spacing w:before="44" w:line="244" w:lineRule="auto"/>
        <w:ind w:left="400" w:hanging="197"/>
        <w:rPr>
          <w:rFonts w:ascii="Arial" w:hAnsi="Arial" w:eastAsia="Arial" w:cs="Arial"/>
          <w:sz w:val="15"/>
          <w:szCs w:val="15"/>
        </w:rPr>
      </w:pPr>
      <w:r>
        <w:rPr>
          <w:rFonts w:ascii="Arial" w:hAnsi="Arial" w:eastAsia="Arial" w:cs="Arial"/>
          <w:spacing w:val="-1"/>
          <w:sz w:val="15"/>
          <w:szCs w:val="15"/>
        </w:rPr>
        <w:t>Hooper,</w:t>
      </w:r>
      <w:r>
        <w:rPr>
          <w:rFonts w:ascii="Arial" w:hAnsi="Arial" w:eastAsia="Arial" w:cs="Arial"/>
          <w:spacing w:val="15"/>
          <w:w w:val="101"/>
          <w:sz w:val="15"/>
          <w:szCs w:val="15"/>
        </w:rPr>
        <w:t xml:space="preserve"> </w:t>
      </w:r>
      <w:r>
        <w:rPr>
          <w:rFonts w:ascii="Arial" w:hAnsi="Arial" w:eastAsia="Arial" w:cs="Arial"/>
          <w:spacing w:val="-1"/>
          <w:sz w:val="15"/>
          <w:szCs w:val="15"/>
        </w:rPr>
        <w:t>D., J. Coughlan, and</w:t>
      </w:r>
      <w:r>
        <w:rPr>
          <w:rFonts w:ascii="Arial" w:hAnsi="Arial" w:eastAsia="Arial" w:cs="Arial"/>
          <w:spacing w:val="12"/>
          <w:sz w:val="15"/>
          <w:szCs w:val="15"/>
        </w:rPr>
        <w:t xml:space="preserve"> </w:t>
      </w:r>
      <w:r>
        <w:rPr>
          <w:rFonts w:ascii="Arial" w:hAnsi="Arial" w:eastAsia="Arial" w:cs="Arial"/>
          <w:spacing w:val="-1"/>
          <w:sz w:val="15"/>
          <w:szCs w:val="15"/>
        </w:rPr>
        <w:t>M.</w:t>
      </w:r>
      <w:r>
        <w:rPr>
          <w:rFonts w:ascii="Arial" w:hAnsi="Arial" w:eastAsia="Arial" w:cs="Arial"/>
          <w:spacing w:val="15"/>
          <w:w w:val="102"/>
          <w:sz w:val="15"/>
          <w:szCs w:val="15"/>
        </w:rPr>
        <w:t xml:space="preserve"> </w:t>
      </w:r>
      <w:r>
        <w:rPr>
          <w:rFonts w:ascii="Arial" w:hAnsi="Arial" w:eastAsia="Arial" w:cs="Arial"/>
          <w:spacing w:val="-1"/>
          <w:sz w:val="15"/>
          <w:szCs w:val="15"/>
        </w:rPr>
        <w:t>R.</w:t>
      </w:r>
      <w:r>
        <w:rPr>
          <w:rFonts w:ascii="Arial" w:hAnsi="Arial" w:eastAsia="Arial" w:cs="Arial"/>
          <w:spacing w:val="13"/>
          <w:sz w:val="15"/>
          <w:szCs w:val="15"/>
        </w:rPr>
        <w:t xml:space="preserve"> </w:t>
      </w:r>
      <w:r>
        <w:rPr>
          <w:rFonts w:ascii="Arial" w:hAnsi="Arial" w:eastAsia="Arial" w:cs="Arial"/>
          <w:spacing w:val="-1"/>
          <w:sz w:val="15"/>
          <w:szCs w:val="15"/>
        </w:rPr>
        <w:t xml:space="preserve">Mullen. </w:t>
      </w:r>
      <w:r>
        <w:fldChar w:fldCharType="begin"/>
      </w:r>
      <w:r>
        <w:instrText xml:space="preserve"> HYPERLINK \l "bookmark86" </w:instrText>
      </w:r>
      <w:r>
        <w:fldChar w:fldCharType="separate"/>
      </w:r>
      <w:r>
        <w:rPr>
          <w:rFonts w:ascii="Arial" w:hAnsi="Arial" w:eastAsia="Arial" w:cs="Arial"/>
          <w:color w:val="000084"/>
          <w:spacing w:val="-1"/>
          <w:sz w:val="15"/>
          <w:szCs w:val="15"/>
        </w:rPr>
        <w:t>2008</w:t>
      </w:r>
      <w:r>
        <w:rPr>
          <w:rFonts w:ascii="Arial" w:hAnsi="Arial" w:eastAsia="Arial" w:cs="Arial"/>
          <w:color w:val="000084"/>
          <w:spacing w:val="-1"/>
          <w:sz w:val="15"/>
          <w:szCs w:val="15"/>
        </w:rPr>
        <w:fldChar w:fldCharType="end"/>
      </w:r>
      <w:r>
        <w:rPr>
          <w:rFonts w:ascii="Arial" w:hAnsi="Arial" w:eastAsia="Arial" w:cs="Arial"/>
          <w:spacing w:val="-1"/>
          <w:sz w:val="15"/>
          <w:szCs w:val="15"/>
        </w:rPr>
        <w:t>. “Structural</w:t>
      </w:r>
      <w:r>
        <w:rPr>
          <w:rFonts w:ascii="Arial" w:hAnsi="Arial" w:eastAsia="Arial" w:cs="Arial"/>
          <w:spacing w:val="16"/>
          <w:w w:val="102"/>
          <w:sz w:val="15"/>
          <w:szCs w:val="15"/>
        </w:rPr>
        <w:t xml:space="preserve"> </w:t>
      </w:r>
      <w:r>
        <w:rPr>
          <w:rFonts w:ascii="Arial" w:hAnsi="Arial" w:eastAsia="Arial" w:cs="Arial"/>
          <w:spacing w:val="-1"/>
          <w:sz w:val="15"/>
          <w:szCs w:val="15"/>
        </w:rPr>
        <w:t>Equation</w:t>
      </w:r>
      <w:r>
        <w:rPr>
          <w:rFonts w:ascii="Arial" w:hAnsi="Arial" w:eastAsia="Arial" w:cs="Arial"/>
          <w:spacing w:val="11"/>
          <w:w w:val="101"/>
          <w:sz w:val="15"/>
          <w:szCs w:val="15"/>
        </w:rPr>
        <w:t xml:space="preserve"> </w:t>
      </w:r>
      <w:r>
        <w:rPr>
          <w:rFonts w:ascii="Arial" w:hAnsi="Arial" w:eastAsia="Arial" w:cs="Arial"/>
          <w:spacing w:val="-1"/>
          <w:sz w:val="15"/>
          <w:szCs w:val="15"/>
        </w:rPr>
        <w:t>Modelling:</w:t>
      </w:r>
      <w:r>
        <w:rPr>
          <w:rFonts w:ascii="Arial" w:hAnsi="Arial" w:eastAsia="Arial" w:cs="Arial"/>
          <w:spacing w:val="8"/>
          <w:sz w:val="15"/>
          <w:szCs w:val="15"/>
        </w:rPr>
        <w:t xml:space="preserve"> </w:t>
      </w:r>
      <w:r>
        <w:rPr>
          <w:rFonts w:ascii="Arial" w:hAnsi="Arial" w:eastAsia="Arial" w:cs="Arial"/>
          <w:spacing w:val="-1"/>
          <w:sz w:val="15"/>
          <w:szCs w:val="15"/>
        </w:rPr>
        <w:t>Guidelines</w:t>
      </w:r>
      <w:r>
        <w:rPr>
          <w:rFonts w:ascii="Arial" w:hAnsi="Arial" w:eastAsia="Arial" w:cs="Arial"/>
          <w:spacing w:val="5"/>
          <w:sz w:val="15"/>
          <w:szCs w:val="15"/>
        </w:rPr>
        <w:t xml:space="preserve"> </w:t>
      </w:r>
      <w:r>
        <w:rPr>
          <w:rFonts w:ascii="Arial" w:hAnsi="Arial" w:eastAsia="Arial" w:cs="Arial"/>
          <w:spacing w:val="-1"/>
          <w:sz w:val="15"/>
          <w:szCs w:val="15"/>
        </w:rPr>
        <w:t>f</w:t>
      </w:r>
      <w:r>
        <w:rPr>
          <w:rFonts w:ascii="Arial" w:hAnsi="Arial" w:eastAsia="Arial" w:cs="Arial"/>
          <w:spacing w:val="-2"/>
          <w:sz w:val="15"/>
          <w:szCs w:val="15"/>
        </w:rPr>
        <w:t>or</w:t>
      </w:r>
      <w:r>
        <w:rPr>
          <w:rFonts w:ascii="Arial" w:hAnsi="Arial" w:eastAsia="Arial" w:cs="Arial"/>
          <w:spacing w:val="16"/>
          <w:sz w:val="15"/>
          <w:szCs w:val="15"/>
        </w:rPr>
        <w:t xml:space="preserve"> </w:t>
      </w:r>
      <w:r>
        <w:rPr>
          <w:rFonts w:ascii="Arial" w:hAnsi="Arial" w:eastAsia="Arial" w:cs="Arial"/>
          <w:spacing w:val="-2"/>
          <w:sz w:val="15"/>
          <w:szCs w:val="15"/>
        </w:rPr>
        <w:t>Determining</w:t>
      </w:r>
      <w:r>
        <w:rPr>
          <w:rFonts w:ascii="Arial" w:hAnsi="Arial" w:eastAsia="Arial" w:cs="Arial"/>
          <w:spacing w:val="13"/>
          <w:sz w:val="15"/>
          <w:szCs w:val="15"/>
        </w:rPr>
        <w:t xml:space="preserve"> </w:t>
      </w:r>
      <w:r>
        <w:rPr>
          <w:rFonts w:ascii="Arial" w:hAnsi="Arial" w:eastAsia="Arial" w:cs="Arial"/>
          <w:spacing w:val="-2"/>
          <w:sz w:val="15"/>
          <w:szCs w:val="15"/>
        </w:rPr>
        <w:t>Model</w:t>
      </w:r>
      <w:r>
        <w:rPr>
          <w:rFonts w:ascii="Arial" w:hAnsi="Arial" w:eastAsia="Arial" w:cs="Arial"/>
          <w:spacing w:val="15"/>
          <w:sz w:val="15"/>
          <w:szCs w:val="15"/>
        </w:rPr>
        <w:t xml:space="preserve"> </w:t>
      </w:r>
      <w:r>
        <w:rPr>
          <w:rFonts w:ascii="Arial" w:hAnsi="Arial" w:eastAsia="Arial" w:cs="Arial"/>
          <w:spacing w:val="-2"/>
          <w:sz w:val="15"/>
          <w:szCs w:val="15"/>
        </w:rPr>
        <w:t>Fit.”</w:t>
      </w:r>
      <w:r>
        <w:rPr>
          <w:rFonts w:ascii="Arial" w:hAnsi="Arial" w:eastAsia="Arial" w:cs="Arial"/>
          <w:sz w:val="15"/>
          <w:szCs w:val="15"/>
        </w:rPr>
        <w:t xml:space="preserve"> </w:t>
      </w:r>
      <w:r>
        <w:rPr>
          <w:rFonts w:ascii="Arial" w:hAnsi="Arial" w:eastAsia="Arial" w:cs="Arial"/>
          <w:spacing w:val="-5"/>
          <w:sz w:val="15"/>
          <w:szCs w:val="15"/>
        </w:rPr>
        <w:t>The</w:t>
      </w:r>
      <w:r>
        <w:rPr>
          <w:rFonts w:ascii="Arial" w:hAnsi="Arial" w:eastAsia="Arial" w:cs="Arial"/>
          <w:spacing w:val="11"/>
          <w:sz w:val="15"/>
          <w:szCs w:val="15"/>
        </w:rPr>
        <w:t xml:space="preserve"> </w:t>
      </w:r>
      <w:r>
        <w:rPr>
          <w:rFonts w:ascii="Arial" w:hAnsi="Arial" w:eastAsia="Arial" w:cs="Arial"/>
          <w:spacing w:val="-5"/>
          <w:sz w:val="15"/>
          <w:szCs w:val="15"/>
        </w:rPr>
        <w:t>Electronic Journal of Busine</w:t>
      </w:r>
      <w:r>
        <w:rPr>
          <w:rFonts w:ascii="Arial" w:hAnsi="Arial" w:eastAsia="Arial" w:cs="Arial"/>
          <w:spacing w:val="-6"/>
          <w:sz w:val="15"/>
          <w:szCs w:val="15"/>
        </w:rPr>
        <w:t>ss</w:t>
      </w:r>
      <w:r>
        <w:rPr>
          <w:rFonts w:ascii="Arial" w:hAnsi="Arial" w:eastAsia="Arial" w:cs="Arial"/>
          <w:spacing w:val="11"/>
          <w:sz w:val="15"/>
          <w:szCs w:val="15"/>
        </w:rPr>
        <w:t xml:space="preserve"> </w:t>
      </w:r>
      <w:r>
        <w:rPr>
          <w:rFonts w:ascii="Arial" w:hAnsi="Arial" w:eastAsia="Arial" w:cs="Arial"/>
          <w:spacing w:val="-6"/>
          <w:sz w:val="15"/>
          <w:szCs w:val="15"/>
        </w:rPr>
        <w:t>Research</w:t>
      </w:r>
      <w:r>
        <w:rPr>
          <w:rFonts w:ascii="Arial" w:hAnsi="Arial" w:eastAsia="Arial" w:cs="Arial"/>
          <w:spacing w:val="8"/>
          <w:sz w:val="15"/>
          <w:szCs w:val="15"/>
        </w:rPr>
        <w:t xml:space="preserve"> </w:t>
      </w:r>
      <w:r>
        <w:rPr>
          <w:rFonts w:ascii="Arial" w:hAnsi="Arial" w:eastAsia="Arial" w:cs="Arial"/>
          <w:spacing w:val="-6"/>
          <w:sz w:val="15"/>
          <w:szCs w:val="15"/>
        </w:rPr>
        <w:t>Methods</w:t>
      </w:r>
      <w:r>
        <w:rPr>
          <w:rFonts w:ascii="Arial" w:hAnsi="Arial" w:eastAsia="Arial" w:cs="Arial"/>
          <w:spacing w:val="12"/>
          <w:w w:val="101"/>
          <w:sz w:val="15"/>
          <w:szCs w:val="15"/>
        </w:rPr>
        <w:t xml:space="preserve"> </w:t>
      </w:r>
      <w:r>
        <w:rPr>
          <w:rFonts w:ascii="Arial" w:hAnsi="Arial" w:eastAsia="Arial" w:cs="Arial"/>
          <w:spacing w:val="-6"/>
          <w:sz w:val="15"/>
          <w:szCs w:val="15"/>
        </w:rPr>
        <w:t>6:</w:t>
      </w:r>
      <w:r>
        <w:rPr>
          <w:rFonts w:ascii="Arial" w:hAnsi="Arial" w:eastAsia="Arial" w:cs="Arial"/>
          <w:spacing w:val="12"/>
          <w:w w:val="102"/>
          <w:sz w:val="15"/>
          <w:szCs w:val="15"/>
        </w:rPr>
        <w:t xml:space="preserve"> </w:t>
      </w:r>
      <w:r>
        <w:rPr>
          <w:rFonts w:ascii="Arial" w:hAnsi="Arial" w:eastAsia="Arial" w:cs="Arial"/>
          <w:spacing w:val="-6"/>
          <w:sz w:val="15"/>
          <w:szCs w:val="15"/>
        </w:rPr>
        <w:t>53–60.</w:t>
      </w:r>
    </w:p>
    <w:p>
      <w:pPr>
        <w:spacing w:before="50" w:line="245" w:lineRule="auto"/>
        <w:ind w:left="395" w:right="25" w:hanging="192"/>
        <w:rPr>
          <w:rFonts w:ascii="Arial" w:hAnsi="Arial" w:eastAsia="Arial" w:cs="Arial"/>
          <w:sz w:val="15"/>
          <w:szCs w:val="15"/>
        </w:rPr>
      </w:pPr>
      <w:r>
        <w:rPr>
          <w:rFonts w:ascii="Arial" w:hAnsi="Arial" w:eastAsia="Arial" w:cs="Arial"/>
          <w:spacing w:val="-2"/>
          <w:sz w:val="15"/>
          <w:szCs w:val="15"/>
        </w:rPr>
        <w:t>Huson,</w:t>
      </w:r>
      <w:r>
        <w:rPr>
          <w:rFonts w:ascii="Arial" w:hAnsi="Arial" w:eastAsia="Arial" w:cs="Arial"/>
          <w:spacing w:val="31"/>
          <w:sz w:val="15"/>
          <w:szCs w:val="15"/>
        </w:rPr>
        <w:t xml:space="preserve"> </w:t>
      </w:r>
      <w:r>
        <w:rPr>
          <w:rFonts w:ascii="Arial" w:hAnsi="Arial" w:eastAsia="Arial" w:cs="Arial"/>
          <w:spacing w:val="-2"/>
          <w:sz w:val="15"/>
          <w:szCs w:val="15"/>
        </w:rPr>
        <w:t>N.</w:t>
      </w:r>
      <w:r>
        <w:rPr>
          <w:rFonts w:ascii="Arial" w:hAnsi="Arial" w:eastAsia="Arial" w:cs="Arial"/>
          <w:spacing w:val="19"/>
          <w:w w:val="101"/>
          <w:sz w:val="15"/>
          <w:szCs w:val="15"/>
        </w:rPr>
        <w:t xml:space="preserve"> </w:t>
      </w:r>
      <w:r>
        <w:fldChar w:fldCharType="begin"/>
      </w:r>
      <w:r>
        <w:instrText xml:space="preserve"> HYPERLINK \l "bookmark10" </w:instrText>
      </w:r>
      <w:r>
        <w:fldChar w:fldCharType="separate"/>
      </w:r>
      <w:r>
        <w:rPr>
          <w:rFonts w:ascii="Arial" w:hAnsi="Arial" w:eastAsia="Arial" w:cs="Arial"/>
          <w:color w:val="000084"/>
          <w:spacing w:val="-2"/>
          <w:sz w:val="15"/>
          <w:szCs w:val="15"/>
        </w:rPr>
        <w:t>2015</w:t>
      </w:r>
      <w:r>
        <w:rPr>
          <w:rFonts w:ascii="Arial" w:hAnsi="Arial" w:eastAsia="Arial" w:cs="Arial"/>
          <w:color w:val="000084"/>
          <w:spacing w:val="-2"/>
          <w:sz w:val="15"/>
          <w:szCs w:val="15"/>
        </w:rPr>
        <w:fldChar w:fldCharType="end"/>
      </w:r>
      <w:r>
        <w:rPr>
          <w:rFonts w:ascii="Arial" w:hAnsi="Arial" w:eastAsia="Arial" w:cs="Arial"/>
          <w:spacing w:val="-2"/>
          <w:sz w:val="15"/>
          <w:szCs w:val="15"/>
        </w:rPr>
        <w:t>.</w:t>
      </w:r>
      <w:r>
        <w:rPr>
          <w:rFonts w:ascii="Arial" w:hAnsi="Arial" w:eastAsia="Arial" w:cs="Arial"/>
          <w:spacing w:val="25"/>
          <w:sz w:val="15"/>
          <w:szCs w:val="15"/>
        </w:rPr>
        <w:t xml:space="preserve"> </w:t>
      </w:r>
      <w:r>
        <w:rPr>
          <w:rFonts w:ascii="Arial" w:hAnsi="Arial" w:eastAsia="Arial" w:cs="Arial"/>
          <w:spacing w:val="-2"/>
          <w:sz w:val="15"/>
          <w:szCs w:val="15"/>
        </w:rPr>
        <w:t>“Oman.</w:t>
      </w:r>
      <w:r>
        <w:rPr>
          <w:rFonts w:ascii="Arial" w:hAnsi="Arial" w:eastAsia="Arial" w:cs="Arial"/>
          <w:spacing w:val="23"/>
          <w:w w:val="101"/>
          <w:sz w:val="15"/>
          <w:szCs w:val="15"/>
        </w:rPr>
        <w:t xml:space="preserve"> </w:t>
      </w:r>
      <w:r>
        <w:rPr>
          <w:rFonts w:ascii="Arial" w:hAnsi="Arial" w:eastAsia="Arial" w:cs="Arial"/>
          <w:spacing w:val="-2"/>
          <w:sz w:val="15"/>
          <w:szCs w:val="15"/>
        </w:rPr>
        <w:t>Quality</w:t>
      </w:r>
      <w:r>
        <w:rPr>
          <w:rFonts w:ascii="Arial" w:hAnsi="Arial" w:eastAsia="Arial" w:cs="Arial"/>
          <w:spacing w:val="24"/>
          <w:w w:val="101"/>
          <w:sz w:val="15"/>
          <w:szCs w:val="15"/>
        </w:rPr>
        <w:t xml:space="preserve"> </w:t>
      </w:r>
      <w:r>
        <w:rPr>
          <w:rFonts w:ascii="Arial" w:hAnsi="Arial" w:eastAsia="Arial" w:cs="Arial"/>
          <w:spacing w:val="-2"/>
          <w:sz w:val="15"/>
          <w:szCs w:val="15"/>
        </w:rPr>
        <w:t>Culture</w:t>
      </w:r>
      <w:r>
        <w:rPr>
          <w:rFonts w:ascii="Arial" w:hAnsi="Arial" w:eastAsia="Arial" w:cs="Arial"/>
          <w:spacing w:val="29"/>
          <w:sz w:val="15"/>
          <w:szCs w:val="15"/>
        </w:rPr>
        <w:t xml:space="preserve"> </w:t>
      </w:r>
      <w:r>
        <w:rPr>
          <w:rFonts w:ascii="Arial" w:hAnsi="Arial" w:eastAsia="Arial" w:cs="Arial"/>
          <w:spacing w:val="-2"/>
          <w:sz w:val="15"/>
          <w:szCs w:val="15"/>
        </w:rPr>
        <w:t>in</w:t>
      </w:r>
      <w:r>
        <w:rPr>
          <w:rFonts w:ascii="Arial" w:hAnsi="Arial" w:eastAsia="Arial" w:cs="Arial"/>
          <w:spacing w:val="30"/>
          <w:w w:val="101"/>
          <w:sz w:val="15"/>
          <w:szCs w:val="15"/>
        </w:rPr>
        <w:t xml:space="preserve"> </w:t>
      </w:r>
      <w:r>
        <w:rPr>
          <w:rFonts w:ascii="Arial" w:hAnsi="Arial" w:eastAsia="Arial" w:cs="Arial"/>
          <w:spacing w:val="-2"/>
          <w:sz w:val="15"/>
          <w:szCs w:val="15"/>
        </w:rPr>
        <w:t>Higher</w:t>
      </w:r>
      <w:r>
        <w:rPr>
          <w:rFonts w:ascii="Arial" w:hAnsi="Arial" w:eastAsia="Arial" w:cs="Arial"/>
          <w:spacing w:val="30"/>
          <w:w w:val="101"/>
          <w:sz w:val="15"/>
          <w:szCs w:val="15"/>
        </w:rPr>
        <w:t xml:space="preserve"> </w:t>
      </w:r>
      <w:r>
        <w:rPr>
          <w:rFonts w:ascii="Arial" w:hAnsi="Arial" w:eastAsia="Arial" w:cs="Arial"/>
          <w:spacing w:val="-2"/>
          <w:sz w:val="15"/>
          <w:szCs w:val="15"/>
        </w:rPr>
        <w:t>Education</w:t>
      </w:r>
      <w:r>
        <w:rPr>
          <w:rFonts w:ascii="Arial" w:hAnsi="Arial" w:eastAsia="Arial" w:cs="Arial"/>
          <w:spacing w:val="22"/>
          <w:w w:val="101"/>
          <w:sz w:val="15"/>
          <w:szCs w:val="15"/>
        </w:rPr>
        <w:t xml:space="preserve"> </w:t>
      </w:r>
      <w:r>
        <w:rPr>
          <w:rFonts w:ascii="Arial" w:hAnsi="Arial" w:eastAsia="Arial" w:cs="Arial"/>
          <w:spacing w:val="-2"/>
          <w:sz w:val="15"/>
          <w:szCs w:val="15"/>
        </w:rPr>
        <w:t>A</w:t>
      </w:r>
      <w:r>
        <w:rPr>
          <w:rFonts w:ascii="Arial" w:hAnsi="Arial" w:eastAsia="Arial" w:cs="Arial"/>
          <w:spacing w:val="25"/>
          <w:sz w:val="15"/>
          <w:szCs w:val="15"/>
        </w:rPr>
        <w:t xml:space="preserve"> </w:t>
      </w:r>
      <w:r>
        <w:rPr>
          <w:rFonts w:ascii="Arial" w:hAnsi="Arial" w:eastAsia="Arial" w:cs="Arial"/>
          <w:spacing w:val="-2"/>
          <w:sz w:val="15"/>
          <w:szCs w:val="15"/>
        </w:rPr>
        <w:t>Good-Practice</w:t>
      </w:r>
      <w:r>
        <w:rPr>
          <w:rFonts w:ascii="Arial" w:hAnsi="Arial" w:eastAsia="Arial" w:cs="Arial"/>
          <w:spacing w:val="31"/>
          <w:sz w:val="15"/>
          <w:szCs w:val="15"/>
        </w:rPr>
        <w:t xml:space="preserve"> </w:t>
      </w:r>
      <w:r>
        <w:rPr>
          <w:rFonts w:ascii="Arial" w:hAnsi="Arial" w:eastAsia="Arial" w:cs="Arial"/>
          <w:spacing w:val="-2"/>
          <w:sz w:val="15"/>
          <w:szCs w:val="15"/>
        </w:rPr>
        <w:t>Example.”</w:t>
      </w:r>
      <w:r>
        <w:rPr>
          <w:rFonts w:ascii="Arial" w:hAnsi="Arial" w:eastAsia="Arial" w:cs="Arial"/>
          <w:spacing w:val="17"/>
          <w:w w:val="101"/>
          <w:sz w:val="15"/>
          <w:szCs w:val="15"/>
        </w:rPr>
        <w:t xml:space="preserve"> </w:t>
      </w:r>
      <w:r>
        <w:rPr>
          <w:rFonts w:ascii="Arial" w:hAnsi="Arial" w:eastAsia="Arial" w:cs="Arial"/>
          <w:spacing w:val="-2"/>
          <w:sz w:val="15"/>
          <w:szCs w:val="15"/>
        </w:rPr>
        <w:t>Zeitschrift</w:t>
      </w:r>
      <w:r>
        <w:rPr>
          <w:rFonts w:ascii="Arial" w:hAnsi="Arial" w:eastAsia="Arial" w:cs="Arial"/>
          <w:spacing w:val="22"/>
          <w:sz w:val="15"/>
          <w:szCs w:val="15"/>
        </w:rPr>
        <w:t xml:space="preserve"> </w:t>
      </w:r>
      <w:r>
        <w:rPr>
          <w:rFonts w:ascii="Arial" w:hAnsi="Arial" w:eastAsia="Arial" w:cs="Arial"/>
          <w:spacing w:val="-2"/>
          <w:sz w:val="15"/>
          <w:szCs w:val="15"/>
        </w:rPr>
        <w:t>für</w:t>
      </w:r>
      <w:r>
        <w:rPr>
          <w:rFonts w:ascii="Arial" w:hAnsi="Arial" w:eastAsia="Arial" w:cs="Arial"/>
          <w:spacing w:val="18"/>
          <w:w w:val="102"/>
          <w:sz w:val="15"/>
          <w:szCs w:val="15"/>
        </w:rPr>
        <w:t xml:space="preserve"> </w:t>
      </w:r>
      <w:r>
        <w:rPr>
          <w:rFonts w:ascii="Arial" w:hAnsi="Arial" w:eastAsia="Arial" w:cs="Arial"/>
          <w:spacing w:val="-3"/>
          <w:sz w:val="15"/>
          <w:szCs w:val="15"/>
        </w:rPr>
        <w:t>Interkulturellen</w:t>
      </w:r>
      <w:r>
        <w:rPr>
          <w:rFonts w:ascii="Arial" w:hAnsi="Arial" w:eastAsia="Arial" w:cs="Arial"/>
          <w:sz w:val="15"/>
          <w:szCs w:val="15"/>
        </w:rPr>
        <w:t xml:space="preserve"> </w:t>
      </w:r>
      <w:r>
        <w:rPr>
          <w:rFonts w:ascii="Arial" w:hAnsi="Arial" w:eastAsia="Arial" w:cs="Arial"/>
          <w:spacing w:val="-4"/>
          <w:sz w:val="15"/>
          <w:szCs w:val="15"/>
        </w:rPr>
        <w:t>Fremdsprachenunterricht</w:t>
      </w:r>
      <w:r>
        <w:rPr>
          <w:rFonts w:ascii="Arial" w:hAnsi="Arial" w:eastAsia="Arial" w:cs="Arial"/>
          <w:spacing w:val="11"/>
          <w:sz w:val="15"/>
          <w:szCs w:val="15"/>
        </w:rPr>
        <w:t xml:space="preserve"> </w:t>
      </w:r>
      <w:r>
        <w:rPr>
          <w:rFonts w:ascii="Arial" w:hAnsi="Arial" w:eastAsia="Arial" w:cs="Arial"/>
          <w:spacing w:val="-4"/>
          <w:sz w:val="15"/>
          <w:szCs w:val="15"/>
        </w:rPr>
        <w:t>20:</w:t>
      </w:r>
      <w:r>
        <w:rPr>
          <w:rFonts w:ascii="Arial" w:hAnsi="Arial" w:eastAsia="Arial" w:cs="Arial"/>
          <w:spacing w:val="21"/>
          <w:w w:val="101"/>
          <w:sz w:val="15"/>
          <w:szCs w:val="15"/>
        </w:rPr>
        <w:t xml:space="preserve"> </w:t>
      </w:r>
      <w:r>
        <w:rPr>
          <w:rFonts w:ascii="Arial" w:hAnsi="Arial" w:eastAsia="Arial" w:cs="Arial"/>
          <w:spacing w:val="-4"/>
          <w:sz w:val="15"/>
          <w:szCs w:val="15"/>
        </w:rPr>
        <w:t>1</w:t>
      </w:r>
      <w:r>
        <w:rPr>
          <w:rFonts w:ascii="Arial" w:hAnsi="Arial" w:eastAsia="Arial" w:cs="Arial"/>
          <w:spacing w:val="-5"/>
          <w:sz w:val="15"/>
          <w:szCs w:val="15"/>
        </w:rPr>
        <w:t>01–</w:t>
      </w:r>
      <w:r>
        <w:rPr>
          <w:rFonts w:ascii="Arial" w:hAnsi="Arial" w:eastAsia="Arial" w:cs="Arial"/>
          <w:spacing w:val="-26"/>
          <w:sz w:val="15"/>
          <w:szCs w:val="15"/>
        </w:rPr>
        <w:t xml:space="preserve"> </w:t>
      </w:r>
      <w:r>
        <w:rPr>
          <w:rFonts w:ascii="Arial" w:hAnsi="Arial" w:eastAsia="Arial" w:cs="Arial"/>
          <w:spacing w:val="-5"/>
          <w:sz w:val="15"/>
          <w:szCs w:val="15"/>
        </w:rPr>
        <w:t>15.</w:t>
      </w:r>
    </w:p>
    <w:p>
      <w:pPr>
        <w:spacing w:before="48" w:line="250" w:lineRule="auto"/>
        <w:ind w:left="398" w:right="6" w:hanging="206"/>
        <w:rPr>
          <w:rFonts w:ascii="Arial" w:hAnsi="Arial" w:eastAsia="Arial" w:cs="Arial"/>
          <w:sz w:val="15"/>
          <w:szCs w:val="15"/>
        </w:rPr>
      </w:pPr>
      <w:r>
        <w:rPr>
          <w:rFonts w:ascii="Arial" w:hAnsi="Arial" w:eastAsia="Arial" w:cs="Arial"/>
          <w:spacing w:val="-1"/>
          <w:sz w:val="15"/>
          <w:szCs w:val="15"/>
        </w:rPr>
        <w:t xml:space="preserve">Jackson, P. R. </w:t>
      </w:r>
      <w:r>
        <w:fldChar w:fldCharType="begin"/>
      </w:r>
      <w:r>
        <w:instrText xml:space="preserve"> HYPERLINK \l "bookmark72" </w:instrText>
      </w:r>
      <w:r>
        <w:fldChar w:fldCharType="separate"/>
      </w:r>
      <w:r>
        <w:rPr>
          <w:rFonts w:ascii="Arial" w:hAnsi="Arial" w:eastAsia="Arial" w:cs="Arial"/>
          <w:color w:val="000084"/>
          <w:spacing w:val="-1"/>
          <w:sz w:val="15"/>
          <w:szCs w:val="15"/>
        </w:rPr>
        <w:t>2004</w:t>
      </w:r>
      <w:r>
        <w:rPr>
          <w:rFonts w:ascii="Arial" w:hAnsi="Arial" w:eastAsia="Arial" w:cs="Arial"/>
          <w:color w:val="000084"/>
          <w:spacing w:val="-1"/>
          <w:sz w:val="15"/>
          <w:szCs w:val="15"/>
        </w:rPr>
        <w:fldChar w:fldCharType="end"/>
      </w:r>
      <w:r>
        <w:rPr>
          <w:rFonts w:ascii="Arial" w:hAnsi="Arial" w:eastAsia="Arial" w:cs="Arial"/>
          <w:spacing w:val="-1"/>
          <w:sz w:val="15"/>
          <w:szCs w:val="15"/>
        </w:rPr>
        <w:t>. “Employee Commitment to Quality: Its Conceptualisation and Measurement.” International</w:t>
      </w:r>
      <w:r>
        <w:rPr>
          <w:rFonts w:ascii="Arial" w:hAnsi="Arial" w:eastAsia="Arial" w:cs="Arial"/>
          <w:spacing w:val="-13"/>
          <w:sz w:val="15"/>
          <w:szCs w:val="15"/>
        </w:rPr>
        <w:t xml:space="preserve"> </w:t>
      </w:r>
      <w:r>
        <w:rPr>
          <w:rFonts w:ascii="Arial" w:hAnsi="Arial" w:eastAsia="Arial" w:cs="Arial"/>
          <w:spacing w:val="-1"/>
          <w:sz w:val="15"/>
          <w:szCs w:val="15"/>
        </w:rPr>
        <w:t>Journa</w:t>
      </w:r>
      <w:r>
        <w:rPr>
          <w:rFonts w:ascii="Arial" w:hAnsi="Arial" w:eastAsia="Arial" w:cs="Arial"/>
          <w:spacing w:val="-2"/>
          <w:sz w:val="15"/>
          <w:szCs w:val="15"/>
        </w:rPr>
        <w:t>l of</w:t>
      </w:r>
      <w:r>
        <w:rPr>
          <w:rFonts w:ascii="Arial" w:hAnsi="Arial" w:eastAsia="Arial" w:cs="Arial"/>
          <w:sz w:val="15"/>
          <w:szCs w:val="15"/>
        </w:rPr>
        <w:t xml:space="preserve"> </w:t>
      </w:r>
      <w:r>
        <w:rPr>
          <w:rFonts w:ascii="Arial" w:hAnsi="Arial" w:eastAsia="Arial" w:cs="Arial"/>
          <w:spacing w:val="-1"/>
          <w:sz w:val="15"/>
          <w:szCs w:val="15"/>
        </w:rPr>
        <w:t>Quality and Reliability Management</w:t>
      </w:r>
      <w:r>
        <w:rPr>
          <w:rFonts w:ascii="Arial" w:hAnsi="Arial" w:eastAsia="Arial" w:cs="Arial"/>
          <w:spacing w:val="10"/>
          <w:w w:val="101"/>
          <w:sz w:val="15"/>
          <w:szCs w:val="15"/>
        </w:rPr>
        <w:t xml:space="preserve"> </w:t>
      </w:r>
      <w:r>
        <w:rPr>
          <w:rFonts w:ascii="Arial" w:hAnsi="Arial" w:eastAsia="Arial" w:cs="Arial"/>
          <w:spacing w:val="-1"/>
          <w:sz w:val="15"/>
          <w:szCs w:val="15"/>
        </w:rPr>
        <w:t>21:</w:t>
      </w:r>
      <w:r>
        <w:rPr>
          <w:rFonts w:ascii="Arial" w:hAnsi="Arial" w:eastAsia="Arial" w:cs="Arial"/>
          <w:spacing w:val="14"/>
          <w:sz w:val="15"/>
          <w:szCs w:val="15"/>
        </w:rPr>
        <w:t xml:space="preserve"> </w:t>
      </w:r>
      <w:r>
        <w:rPr>
          <w:rFonts w:ascii="Arial" w:hAnsi="Arial" w:eastAsia="Arial" w:cs="Arial"/>
          <w:spacing w:val="-2"/>
          <w:sz w:val="15"/>
          <w:szCs w:val="15"/>
        </w:rPr>
        <w:t xml:space="preserve">714–30. </w:t>
      </w:r>
      <w:r>
        <w:fldChar w:fldCharType="begin"/>
      </w:r>
      <w:r>
        <w:instrText xml:space="preserve"> HYPERLINK "https://doi.org/10.1108/02656710410549073" </w:instrText>
      </w:r>
      <w:r>
        <w:fldChar w:fldCharType="separate"/>
      </w:r>
      <w:r>
        <w:rPr>
          <w:rFonts w:ascii="Arial" w:hAnsi="Arial" w:eastAsia="Arial" w:cs="Arial"/>
          <w:color w:val="000084"/>
          <w:spacing w:val="-2"/>
          <w:sz w:val="15"/>
          <w:szCs w:val="15"/>
        </w:rPr>
        <w:t>doi:10.1108/02656710410549073</w:t>
      </w:r>
      <w:r>
        <w:rPr>
          <w:rFonts w:ascii="Arial" w:hAnsi="Arial" w:eastAsia="Arial" w:cs="Arial"/>
          <w:color w:val="000084"/>
          <w:spacing w:val="-2"/>
          <w:sz w:val="15"/>
          <w:szCs w:val="15"/>
        </w:rPr>
        <w:fldChar w:fldCharType="end"/>
      </w:r>
      <w:r>
        <w:rPr>
          <w:rFonts w:ascii="Arial" w:hAnsi="Arial" w:eastAsia="Arial" w:cs="Arial"/>
          <w:spacing w:val="-2"/>
          <w:sz w:val="15"/>
          <w:szCs w:val="15"/>
        </w:rPr>
        <w:t>.</w:t>
      </w:r>
    </w:p>
    <w:p>
      <w:pPr>
        <w:spacing w:before="39" w:line="261" w:lineRule="auto"/>
        <w:ind w:left="400" w:right="23" w:hanging="197"/>
        <w:rPr>
          <w:rFonts w:ascii="Arial" w:hAnsi="Arial" w:eastAsia="Arial" w:cs="Arial"/>
          <w:sz w:val="15"/>
          <w:szCs w:val="15"/>
        </w:rPr>
      </w:pPr>
      <w:r>
        <w:rPr>
          <w:rFonts w:ascii="Arial" w:hAnsi="Arial" w:eastAsia="Arial" w:cs="Arial"/>
          <w:sz w:val="15"/>
          <w:szCs w:val="15"/>
        </w:rPr>
        <w:t>Kohoutek,J.</w:t>
      </w:r>
      <w:r>
        <w:rPr>
          <w:rFonts w:ascii="Arial" w:hAnsi="Arial" w:eastAsia="Arial" w:cs="Arial"/>
          <w:spacing w:val="-8"/>
          <w:sz w:val="15"/>
          <w:szCs w:val="15"/>
        </w:rPr>
        <w:t xml:space="preserve"> </w:t>
      </w:r>
      <w:r>
        <w:fldChar w:fldCharType="begin"/>
      </w:r>
      <w:r>
        <w:instrText xml:space="preserve"> HYPERLINK \l "bookmark23" </w:instrText>
      </w:r>
      <w:r>
        <w:fldChar w:fldCharType="separate"/>
      </w:r>
      <w:r>
        <w:rPr>
          <w:rFonts w:ascii="Arial" w:hAnsi="Arial" w:eastAsia="Arial" w:cs="Arial"/>
          <w:color w:val="000084"/>
          <w:sz w:val="15"/>
          <w:szCs w:val="15"/>
        </w:rPr>
        <w:t>2016</w:t>
      </w:r>
      <w:r>
        <w:rPr>
          <w:rFonts w:ascii="Arial" w:hAnsi="Arial" w:eastAsia="Arial" w:cs="Arial"/>
          <w:color w:val="000084"/>
          <w:sz w:val="15"/>
          <w:szCs w:val="15"/>
        </w:rPr>
        <w:fldChar w:fldCharType="end"/>
      </w:r>
      <w:r>
        <w:rPr>
          <w:rFonts w:ascii="Arial" w:hAnsi="Arial" w:eastAsia="Arial" w:cs="Arial"/>
          <w:sz w:val="15"/>
          <w:szCs w:val="15"/>
        </w:rPr>
        <w:t>. “Deconstructing Institut</w:t>
      </w:r>
      <w:r>
        <w:rPr>
          <w:rFonts w:ascii="Arial" w:hAnsi="Arial" w:eastAsia="Arial" w:cs="Arial"/>
          <w:spacing w:val="-1"/>
          <w:sz w:val="15"/>
          <w:szCs w:val="15"/>
        </w:rPr>
        <w:t>ionalisation of</w:t>
      </w:r>
      <w:r>
        <w:rPr>
          <w:rFonts w:ascii="Arial" w:hAnsi="Arial" w:eastAsia="Arial" w:cs="Arial"/>
          <w:spacing w:val="-13"/>
          <w:sz w:val="15"/>
          <w:szCs w:val="15"/>
        </w:rPr>
        <w:t xml:space="preserve"> </w:t>
      </w:r>
      <w:r>
        <w:rPr>
          <w:rFonts w:ascii="Arial" w:hAnsi="Arial" w:eastAsia="Arial" w:cs="Arial"/>
          <w:spacing w:val="-1"/>
          <w:sz w:val="15"/>
          <w:szCs w:val="15"/>
        </w:rPr>
        <w:t>the European Standards for Quality Assurance: From Instrument</w:t>
      </w:r>
      <w:r>
        <w:rPr>
          <w:rFonts w:ascii="Arial" w:hAnsi="Arial" w:eastAsia="Arial" w:cs="Arial"/>
          <w:sz w:val="15"/>
          <w:szCs w:val="15"/>
        </w:rPr>
        <w:t xml:space="preserve"> </w:t>
      </w:r>
      <w:r>
        <w:rPr>
          <w:rFonts w:ascii="Arial" w:hAnsi="Arial" w:eastAsia="Arial" w:cs="Arial"/>
          <w:spacing w:val="-1"/>
          <w:sz w:val="15"/>
          <w:szCs w:val="15"/>
        </w:rPr>
        <w:t>Mixes to Quality Cultures and</w:t>
      </w:r>
      <w:r>
        <w:rPr>
          <w:rFonts w:ascii="Arial" w:hAnsi="Arial" w:eastAsia="Arial" w:cs="Arial"/>
          <w:spacing w:val="15"/>
          <w:w w:val="101"/>
          <w:sz w:val="15"/>
          <w:szCs w:val="15"/>
        </w:rPr>
        <w:t xml:space="preserve"> </w:t>
      </w:r>
      <w:r>
        <w:rPr>
          <w:rFonts w:ascii="Arial" w:hAnsi="Arial" w:eastAsia="Arial" w:cs="Arial"/>
          <w:spacing w:val="-1"/>
          <w:sz w:val="15"/>
          <w:szCs w:val="15"/>
        </w:rPr>
        <w:t>Implications for</w:t>
      </w:r>
      <w:r>
        <w:rPr>
          <w:rFonts w:ascii="Arial" w:hAnsi="Arial" w:eastAsia="Arial" w:cs="Arial"/>
          <w:spacing w:val="14"/>
          <w:w w:val="102"/>
          <w:sz w:val="15"/>
          <w:szCs w:val="15"/>
        </w:rPr>
        <w:t xml:space="preserve"> </w:t>
      </w:r>
      <w:r>
        <w:rPr>
          <w:rFonts w:ascii="Arial" w:hAnsi="Arial" w:eastAsia="Arial" w:cs="Arial"/>
          <w:spacing w:val="-1"/>
          <w:sz w:val="15"/>
          <w:szCs w:val="15"/>
        </w:rPr>
        <w:t>In</w:t>
      </w:r>
      <w:r>
        <w:rPr>
          <w:rFonts w:ascii="Arial" w:hAnsi="Arial" w:eastAsia="Arial" w:cs="Arial"/>
          <w:spacing w:val="-2"/>
          <w:sz w:val="15"/>
          <w:szCs w:val="15"/>
        </w:rPr>
        <w:t>ternational</w:t>
      </w:r>
      <w:r>
        <w:rPr>
          <w:rFonts w:ascii="Arial" w:hAnsi="Arial" w:eastAsia="Arial" w:cs="Arial"/>
          <w:spacing w:val="14"/>
          <w:sz w:val="15"/>
          <w:szCs w:val="15"/>
        </w:rPr>
        <w:t xml:space="preserve"> </w:t>
      </w:r>
      <w:r>
        <w:rPr>
          <w:rFonts w:ascii="Arial" w:hAnsi="Arial" w:eastAsia="Arial" w:cs="Arial"/>
          <w:spacing w:val="-2"/>
          <w:sz w:val="15"/>
          <w:szCs w:val="15"/>
        </w:rPr>
        <w:t>Research.”</w:t>
      </w:r>
      <w:r>
        <w:rPr>
          <w:rFonts w:ascii="Arial" w:hAnsi="Arial" w:eastAsia="Arial" w:cs="Arial"/>
          <w:spacing w:val="8"/>
          <w:sz w:val="15"/>
          <w:szCs w:val="15"/>
        </w:rPr>
        <w:t xml:space="preserve"> </w:t>
      </w:r>
      <w:r>
        <w:rPr>
          <w:rFonts w:ascii="Arial" w:hAnsi="Arial" w:eastAsia="Arial" w:cs="Arial"/>
          <w:spacing w:val="-2"/>
          <w:sz w:val="15"/>
          <w:szCs w:val="15"/>
        </w:rPr>
        <w:t>Higher Education</w:t>
      </w:r>
      <w:r>
        <w:rPr>
          <w:rFonts w:ascii="Arial" w:hAnsi="Arial" w:eastAsia="Arial" w:cs="Arial"/>
          <w:spacing w:val="9"/>
          <w:sz w:val="15"/>
          <w:szCs w:val="15"/>
        </w:rPr>
        <w:t xml:space="preserve"> </w:t>
      </w:r>
      <w:r>
        <w:rPr>
          <w:rFonts w:ascii="Arial" w:hAnsi="Arial" w:eastAsia="Arial" w:cs="Arial"/>
          <w:spacing w:val="-2"/>
          <w:sz w:val="15"/>
          <w:szCs w:val="15"/>
        </w:rPr>
        <w:t>Quarterly</w:t>
      </w:r>
      <w:r>
        <w:rPr>
          <w:rFonts w:ascii="Arial" w:hAnsi="Arial" w:eastAsia="Arial" w:cs="Arial"/>
          <w:spacing w:val="6"/>
          <w:sz w:val="15"/>
          <w:szCs w:val="15"/>
        </w:rPr>
        <w:t xml:space="preserve"> </w:t>
      </w:r>
      <w:r>
        <w:rPr>
          <w:rFonts w:ascii="Arial" w:hAnsi="Arial" w:eastAsia="Arial" w:cs="Arial"/>
          <w:spacing w:val="-2"/>
          <w:sz w:val="15"/>
          <w:szCs w:val="15"/>
        </w:rPr>
        <w:t>70:</w:t>
      </w:r>
      <w:r>
        <w:rPr>
          <w:rFonts w:ascii="Arial" w:hAnsi="Arial" w:eastAsia="Arial" w:cs="Arial"/>
          <w:spacing w:val="9"/>
          <w:sz w:val="15"/>
          <w:szCs w:val="15"/>
        </w:rPr>
        <w:t xml:space="preserve"> </w:t>
      </w:r>
      <w:r>
        <w:rPr>
          <w:rFonts w:ascii="Arial" w:hAnsi="Arial" w:eastAsia="Arial" w:cs="Arial"/>
          <w:spacing w:val="-2"/>
          <w:sz w:val="15"/>
          <w:szCs w:val="15"/>
        </w:rPr>
        <w:t>301–26.</w:t>
      </w:r>
      <w:r>
        <w:rPr>
          <w:rFonts w:ascii="Arial" w:hAnsi="Arial" w:eastAsia="Arial" w:cs="Arial"/>
          <w:spacing w:val="3"/>
          <w:sz w:val="15"/>
          <w:szCs w:val="15"/>
        </w:rPr>
        <w:t xml:space="preserve"> </w:t>
      </w:r>
      <w:r>
        <w:fldChar w:fldCharType="begin"/>
      </w:r>
      <w:r>
        <w:instrText xml:space="preserve"> HYPERLINK "https://doi.org/10.1111/hequ.12093" </w:instrText>
      </w:r>
      <w:r>
        <w:fldChar w:fldCharType="separate"/>
      </w:r>
      <w:r>
        <w:rPr>
          <w:rFonts w:ascii="Arial" w:hAnsi="Arial" w:eastAsia="Arial" w:cs="Arial"/>
          <w:color w:val="000084"/>
          <w:spacing w:val="-2"/>
          <w:sz w:val="15"/>
          <w:szCs w:val="15"/>
        </w:rPr>
        <w:t>doi:10.</w:t>
      </w:r>
      <w:r>
        <w:rPr>
          <w:rFonts w:ascii="Arial" w:hAnsi="Arial" w:eastAsia="Arial" w:cs="Arial"/>
          <w:color w:val="000084"/>
          <w:spacing w:val="-2"/>
          <w:sz w:val="15"/>
          <w:szCs w:val="15"/>
        </w:rPr>
        <w:fldChar w:fldCharType="end"/>
      </w:r>
      <w:r>
        <w:rPr>
          <w:rFonts w:ascii="Arial" w:hAnsi="Arial" w:eastAsia="Arial" w:cs="Arial"/>
          <w:color w:val="000084"/>
          <w:sz w:val="15"/>
          <w:szCs w:val="15"/>
        </w:rPr>
        <w:t xml:space="preserve"> </w:t>
      </w:r>
      <w:r>
        <w:fldChar w:fldCharType="begin"/>
      </w:r>
      <w:r>
        <w:instrText xml:space="preserve"> HYPERLINK "https://doi.org/10.1111/hequ.12093" </w:instrText>
      </w:r>
      <w:r>
        <w:fldChar w:fldCharType="separate"/>
      </w:r>
      <w:r>
        <w:rPr>
          <w:rFonts w:ascii="Arial" w:hAnsi="Arial" w:eastAsia="Arial" w:cs="Arial"/>
          <w:color w:val="000084"/>
          <w:spacing w:val="-1"/>
          <w:sz w:val="15"/>
          <w:szCs w:val="15"/>
        </w:rPr>
        <w:t>1111/hequ.12093</w:t>
      </w:r>
      <w:r>
        <w:rPr>
          <w:rFonts w:ascii="Arial" w:hAnsi="Arial" w:eastAsia="Arial" w:cs="Arial"/>
          <w:color w:val="000084"/>
          <w:spacing w:val="-1"/>
          <w:sz w:val="15"/>
          <w:szCs w:val="15"/>
        </w:rPr>
        <w:fldChar w:fldCharType="end"/>
      </w:r>
      <w:r>
        <w:rPr>
          <w:rFonts w:ascii="Arial" w:hAnsi="Arial" w:eastAsia="Arial" w:cs="Arial"/>
          <w:spacing w:val="-1"/>
          <w:sz w:val="15"/>
          <w:szCs w:val="15"/>
        </w:rPr>
        <w:t>.</w:t>
      </w:r>
    </w:p>
    <w:p>
      <w:pPr>
        <w:spacing w:before="20" w:line="268" w:lineRule="auto"/>
        <w:ind w:left="393" w:right="24" w:hanging="190"/>
        <w:rPr>
          <w:rFonts w:ascii="Arial" w:hAnsi="Arial" w:eastAsia="Arial" w:cs="Arial"/>
          <w:sz w:val="15"/>
          <w:szCs w:val="15"/>
        </w:rPr>
      </w:pPr>
      <w:r>
        <w:rPr>
          <w:rFonts w:ascii="Arial" w:hAnsi="Arial" w:eastAsia="Arial" w:cs="Arial"/>
          <w:spacing w:val="-3"/>
          <w:sz w:val="15"/>
          <w:szCs w:val="15"/>
        </w:rPr>
        <w:t xml:space="preserve">Lanarès, J. </w:t>
      </w:r>
      <w:r>
        <w:fldChar w:fldCharType="begin"/>
      </w:r>
      <w:r>
        <w:instrText xml:space="preserve"> HYPERLINK \l "bookmark10" </w:instrText>
      </w:r>
      <w:r>
        <w:fldChar w:fldCharType="separate"/>
      </w:r>
      <w:r>
        <w:rPr>
          <w:rFonts w:ascii="Arial" w:hAnsi="Arial" w:eastAsia="Arial" w:cs="Arial"/>
          <w:color w:val="000084"/>
          <w:spacing w:val="-3"/>
          <w:sz w:val="15"/>
          <w:szCs w:val="15"/>
        </w:rPr>
        <w:t>2009</w:t>
      </w:r>
      <w:r>
        <w:rPr>
          <w:rFonts w:ascii="Arial" w:hAnsi="Arial" w:eastAsia="Arial" w:cs="Arial"/>
          <w:color w:val="000084"/>
          <w:spacing w:val="-3"/>
          <w:sz w:val="15"/>
          <w:szCs w:val="15"/>
        </w:rPr>
        <w:fldChar w:fldCharType="end"/>
      </w:r>
      <w:r>
        <w:rPr>
          <w:rFonts w:ascii="Arial" w:hAnsi="Arial" w:eastAsia="Arial" w:cs="Arial"/>
          <w:spacing w:val="-3"/>
          <w:sz w:val="15"/>
          <w:szCs w:val="15"/>
        </w:rPr>
        <w:t>.</w:t>
      </w:r>
      <w:r>
        <w:rPr>
          <w:rFonts w:ascii="Arial" w:hAnsi="Arial" w:eastAsia="Arial" w:cs="Arial"/>
          <w:spacing w:val="28"/>
          <w:sz w:val="15"/>
          <w:szCs w:val="15"/>
        </w:rPr>
        <w:t xml:space="preserve"> </w:t>
      </w:r>
      <w:r>
        <w:rPr>
          <w:rFonts w:ascii="Arial" w:hAnsi="Arial" w:eastAsia="Arial" w:cs="Arial"/>
          <w:spacing w:val="-3"/>
          <w:sz w:val="15"/>
          <w:szCs w:val="15"/>
        </w:rPr>
        <w:t>Tracking</w:t>
      </w:r>
      <w:r>
        <w:rPr>
          <w:rFonts w:ascii="Arial" w:hAnsi="Arial" w:eastAsia="Arial" w:cs="Arial"/>
          <w:spacing w:val="12"/>
          <w:sz w:val="15"/>
          <w:szCs w:val="15"/>
        </w:rPr>
        <w:t xml:space="preserve"> </w:t>
      </w:r>
      <w:r>
        <w:rPr>
          <w:rFonts w:ascii="Arial" w:hAnsi="Arial" w:eastAsia="Arial" w:cs="Arial"/>
          <w:spacing w:val="-3"/>
          <w:sz w:val="15"/>
          <w:szCs w:val="15"/>
        </w:rPr>
        <w:t>the development of</w:t>
      </w:r>
      <w:r>
        <w:rPr>
          <w:rFonts w:ascii="Arial" w:hAnsi="Arial" w:eastAsia="Arial" w:cs="Arial"/>
          <w:spacing w:val="-10"/>
          <w:sz w:val="15"/>
          <w:szCs w:val="15"/>
        </w:rPr>
        <w:t xml:space="preserve"> </w:t>
      </w:r>
      <w:r>
        <w:rPr>
          <w:rFonts w:ascii="Arial" w:hAnsi="Arial" w:eastAsia="Arial" w:cs="Arial"/>
          <w:spacing w:val="-3"/>
          <w:sz w:val="15"/>
          <w:szCs w:val="15"/>
        </w:rPr>
        <w:t>a</w:t>
      </w:r>
      <w:r>
        <w:rPr>
          <w:rFonts w:ascii="Arial" w:hAnsi="Arial" w:eastAsia="Arial" w:cs="Arial"/>
          <w:spacing w:val="8"/>
          <w:sz w:val="15"/>
          <w:szCs w:val="15"/>
        </w:rPr>
        <w:t xml:space="preserve"> </w:t>
      </w:r>
      <w:r>
        <w:rPr>
          <w:rFonts w:ascii="Arial" w:hAnsi="Arial" w:eastAsia="Arial" w:cs="Arial"/>
          <w:spacing w:val="-3"/>
          <w:sz w:val="15"/>
          <w:szCs w:val="15"/>
        </w:rPr>
        <w:t>quality culture:</w:t>
      </w:r>
      <w:r>
        <w:rPr>
          <w:rFonts w:ascii="Arial" w:hAnsi="Arial" w:eastAsia="Arial" w:cs="Arial"/>
          <w:spacing w:val="9"/>
          <w:sz w:val="15"/>
          <w:szCs w:val="15"/>
        </w:rPr>
        <w:t xml:space="preserve"> </w:t>
      </w:r>
      <w:r>
        <w:rPr>
          <w:rFonts w:ascii="Arial" w:hAnsi="Arial" w:eastAsia="Arial" w:cs="Arial"/>
          <w:spacing w:val="-3"/>
          <w:sz w:val="15"/>
          <w:szCs w:val="15"/>
        </w:rPr>
        <w:t>Is</w:t>
      </w:r>
      <w:r>
        <w:rPr>
          <w:rFonts w:ascii="Arial" w:hAnsi="Arial" w:eastAsia="Arial" w:cs="Arial"/>
          <w:spacing w:val="12"/>
          <w:w w:val="102"/>
          <w:sz w:val="15"/>
          <w:szCs w:val="15"/>
        </w:rPr>
        <w:t xml:space="preserve"> </w:t>
      </w:r>
      <w:r>
        <w:rPr>
          <w:rFonts w:ascii="Arial" w:hAnsi="Arial" w:eastAsia="Arial" w:cs="Arial"/>
          <w:spacing w:val="-3"/>
          <w:sz w:val="15"/>
          <w:szCs w:val="15"/>
        </w:rPr>
        <w:t>the</w:t>
      </w:r>
      <w:r>
        <w:rPr>
          <w:rFonts w:ascii="Arial" w:hAnsi="Arial" w:eastAsia="Arial" w:cs="Arial"/>
          <w:spacing w:val="8"/>
          <w:sz w:val="15"/>
          <w:szCs w:val="15"/>
        </w:rPr>
        <w:t xml:space="preserve"> </w:t>
      </w:r>
      <w:r>
        <w:rPr>
          <w:rFonts w:ascii="Arial" w:hAnsi="Arial" w:eastAsia="Arial" w:cs="Arial"/>
          <w:spacing w:val="-3"/>
          <w:sz w:val="15"/>
          <w:szCs w:val="15"/>
        </w:rPr>
        <w:t>discourse</w:t>
      </w:r>
      <w:r>
        <w:rPr>
          <w:rFonts w:ascii="Arial" w:hAnsi="Arial" w:eastAsia="Arial" w:cs="Arial"/>
          <w:spacing w:val="13"/>
          <w:sz w:val="15"/>
          <w:szCs w:val="15"/>
        </w:rPr>
        <w:t xml:space="preserve"> </w:t>
      </w:r>
      <w:r>
        <w:rPr>
          <w:rFonts w:ascii="Arial" w:hAnsi="Arial" w:eastAsia="Arial" w:cs="Arial"/>
          <w:spacing w:val="-3"/>
          <w:sz w:val="15"/>
          <w:szCs w:val="15"/>
        </w:rPr>
        <w:t>translated into</w:t>
      </w:r>
      <w:r>
        <w:rPr>
          <w:rFonts w:ascii="Arial" w:hAnsi="Arial" w:eastAsia="Arial" w:cs="Arial"/>
          <w:spacing w:val="7"/>
          <w:sz w:val="15"/>
          <w:szCs w:val="15"/>
        </w:rPr>
        <w:t xml:space="preserve"> </w:t>
      </w:r>
      <w:r>
        <w:rPr>
          <w:rFonts w:ascii="Arial" w:hAnsi="Arial" w:eastAsia="Arial" w:cs="Arial"/>
          <w:spacing w:val="-3"/>
          <w:sz w:val="15"/>
          <w:szCs w:val="15"/>
        </w:rPr>
        <w:t>action?</w:t>
      </w:r>
      <w:r>
        <w:rPr>
          <w:rFonts w:ascii="Arial" w:hAnsi="Arial" w:eastAsia="Arial" w:cs="Arial"/>
          <w:spacing w:val="11"/>
          <w:sz w:val="15"/>
          <w:szCs w:val="15"/>
        </w:rPr>
        <w:t xml:space="preserve"> </w:t>
      </w:r>
      <w:r>
        <w:rPr>
          <w:rFonts w:ascii="Arial" w:hAnsi="Arial" w:eastAsia="Arial" w:cs="Arial"/>
          <w:spacing w:val="-3"/>
          <w:sz w:val="15"/>
          <w:szCs w:val="15"/>
        </w:rPr>
        <w:t>Paper</w:t>
      </w:r>
      <w:r>
        <w:rPr>
          <w:rFonts w:ascii="Arial" w:hAnsi="Arial" w:eastAsia="Arial" w:cs="Arial"/>
          <w:spacing w:val="14"/>
          <w:sz w:val="15"/>
          <w:szCs w:val="15"/>
        </w:rPr>
        <w:t xml:space="preserve"> </w:t>
      </w:r>
      <w:r>
        <w:rPr>
          <w:rFonts w:ascii="Arial" w:hAnsi="Arial" w:eastAsia="Arial" w:cs="Arial"/>
          <w:spacing w:val="-3"/>
          <w:sz w:val="15"/>
          <w:szCs w:val="15"/>
        </w:rPr>
        <w:t>presented</w:t>
      </w:r>
      <w:r>
        <w:rPr>
          <w:rFonts w:ascii="Arial" w:hAnsi="Arial" w:eastAsia="Arial" w:cs="Arial"/>
          <w:spacing w:val="8"/>
          <w:sz w:val="15"/>
          <w:szCs w:val="15"/>
        </w:rPr>
        <w:t xml:space="preserve"> </w:t>
      </w:r>
      <w:r>
        <w:rPr>
          <w:rFonts w:ascii="Arial" w:hAnsi="Arial" w:eastAsia="Arial" w:cs="Arial"/>
          <w:spacing w:val="-3"/>
          <w:sz w:val="15"/>
          <w:szCs w:val="15"/>
        </w:rPr>
        <w:t>at</w:t>
      </w:r>
      <w:r>
        <w:rPr>
          <w:rFonts w:ascii="Arial" w:hAnsi="Arial" w:eastAsia="Arial" w:cs="Arial"/>
          <w:sz w:val="15"/>
          <w:szCs w:val="15"/>
        </w:rPr>
        <w:t xml:space="preserve"> </w:t>
      </w:r>
      <w:r>
        <w:rPr>
          <w:rFonts w:ascii="Arial" w:hAnsi="Arial" w:eastAsia="Arial" w:cs="Arial"/>
          <w:spacing w:val="-1"/>
          <w:sz w:val="15"/>
          <w:szCs w:val="15"/>
        </w:rPr>
        <w:t>the  Fourth  European  Quality  Assurance  Forum,  Copenhagen,  Denmark.  Access</w:t>
      </w:r>
      <w:r>
        <w:rPr>
          <w:rFonts w:ascii="Arial" w:hAnsi="Arial" w:eastAsia="Arial" w:cs="Arial"/>
          <w:spacing w:val="-2"/>
          <w:sz w:val="15"/>
          <w:szCs w:val="15"/>
        </w:rPr>
        <w:t xml:space="preserve">ed  6  August  2019.  </w:t>
      </w:r>
      <w:r>
        <w:fldChar w:fldCharType="begin"/>
      </w:r>
      <w:r>
        <w:instrText xml:space="preserve"> HYPERLINK "https://www.eurashe.eu/library/quality-he/Ia.1_-_Lanares.pdf" </w:instrText>
      </w:r>
      <w:r>
        <w:fldChar w:fldCharType="separate"/>
      </w:r>
      <w:r>
        <w:rPr>
          <w:rFonts w:ascii="Arial" w:hAnsi="Arial" w:eastAsia="Arial" w:cs="Arial"/>
          <w:color w:val="000084"/>
          <w:spacing w:val="-2"/>
          <w:sz w:val="15"/>
          <w:szCs w:val="15"/>
        </w:rPr>
        <w:t>https://www.</w:t>
      </w:r>
      <w:r>
        <w:rPr>
          <w:rFonts w:ascii="Arial" w:hAnsi="Arial" w:eastAsia="Arial" w:cs="Arial"/>
          <w:color w:val="000084"/>
          <w:spacing w:val="-2"/>
          <w:sz w:val="15"/>
          <w:szCs w:val="15"/>
        </w:rPr>
        <w:fldChar w:fldCharType="end"/>
      </w:r>
      <w:r>
        <w:rPr>
          <w:rFonts w:ascii="Arial" w:hAnsi="Arial" w:eastAsia="Arial" w:cs="Arial"/>
          <w:color w:val="000084"/>
          <w:sz w:val="15"/>
          <w:szCs w:val="15"/>
        </w:rPr>
        <w:t xml:space="preserve"> </w:t>
      </w:r>
      <w:r>
        <w:fldChar w:fldCharType="begin"/>
      </w:r>
      <w:r>
        <w:instrText xml:space="preserve"> HYPERLINK "https://www.eurashe.eu/library/quality-he/Ia.1_-_Lanares.pdf" </w:instrText>
      </w:r>
      <w:r>
        <w:fldChar w:fldCharType="separate"/>
      </w:r>
      <w:r>
        <w:rPr>
          <w:rFonts w:ascii="Arial" w:hAnsi="Arial" w:eastAsia="Arial" w:cs="Arial"/>
          <w:color w:val="000084"/>
          <w:sz w:val="15"/>
          <w:szCs w:val="15"/>
        </w:rPr>
        <w:t>eurashe.eu/library/quality-he</w:t>
      </w:r>
      <w:r>
        <w:rPr>
          <w:rFonts w:ascii="Arial" w:hAnsi="Arial" w:eastAsia="Arial" w:cs="Arial"/>
          <w:color w:val="000084"/>
          <w:spacing w:val="-1"/>
          <w:sz w:val="15"/>
          <w:szCs w:val="15"/>
        </w:rPr>
        <w:t>/Ia.1</w:t>
      </w:r>
      <w:r>
        <w:rPr>
          <w:rFonts w:ascii="Arial" w:hAnsi="Arial" w:eastAsia="Arial" w:cs="Arial"/>
          <w:color w:val="000084"/>
          <w:spacing w:val="-1"/>
          <w:sz w:val="15"/>
          <w:szCs w:val="15"/>
          <w:u w:val="single" w:color="auto"/>
        </w:rPr>
        <w:t xml:space="preserve">  </w:t>
      </w:r>
      <w:r>
        <w:rPr>
          <w:rFonts w:ascii="Arial" w:hAnsi="Arial" w:eastAsia="Arial" w:cs="Arial"/>
          <w:color w:val="000084"/>
          <w:spacing w:val="-1"/>
          <w:sz w:val="15"/>
          <w:szCs w:val="15"/>
        </w:rPr>
        <w:t>-</w:t>
      </w:r>
      <w:r>
        <w:rPr>
          <w:rFonts w:ascii="Arial" w:hAnsi="Arial" w:eastAsia="Arial" w:cs="Arial"/>
          <w:color w:val="000084"/>
          <w:spacing w:val="-1"/>
          <w:sz w:val="15"/>
          <w:szCs w:val="15"/>
          <w:u w:val="single" w:color="auto"/>
        </w:rPr>
        <w:t xml:space="preserve">  </w:t>
      </w:r>
      <w:r>
        <w:rPr>
          <w:rFonts w:ascii="Arial" w:hAnsi="Arial" w:eastAsia="Arial" w:cs="Arial"/>
          <w:color w:val="000084"/>
          <w:spacing w:val="-1"/>
          <w:sz w:val="15"/>
          <w:szCs w:val="15"/>
        </w:rPr>
        <w:t>Lanares.pdf</w:t>
      </w:r>
      <w:r>
        <w:rPr>
          <w:rFonts w:ascii="Arial" w:hAnsi="Arial" w:eastAsia="Arial" w:cs="Arial"/>
          <w:color w:val="000084"/>
          <w:spacing w:val="-1"/>
          <w:sz w:val="15"/>
          <w:szCs w:val="15"/>
        </w:rPr>
        <w:fldChar w:fldCharType="end"/>
      </w:r>
      <w:r>
        <w:rPr>
          <w:rFonts w:ascii="Arial" w:hAnsi="Arial" w:eastAsia="Arial" w:cs="Arial"/>
          <w:spacing w:val="-1"/>
          <w:sz w:val="15"/>
          <w:szCs w:val="15"/>
        </w:rPr>
        <w:t>.</w:t>
      </w:r>
    </w:p>
    <w:p>
      <w:pPr>
        <w:spacing w:before="40" w:line="247" w:lineRule="auto"/>
        <w:ind w:left="395" w:right="24" w:hanging="192"/>
        <w:rPr>
          <w:rFonts w:ascii="Arial" w:hAnsi="Arial" w:eastAsia="Arial" w:cs="Arial"/>
          <w:sz w:val="15"/>
          <w:szCs w:val="15"/>
        </w:rPr>
      </w:pPr>
      <w:r>
        <w:rPr>
          <w:rFonts w:ascii="Arial" w:hAnsi="Arial" w:eastAsia="Arial" w:cs="Arial"/>
          <w:spacing w:val="-4"/>
          <w:sz w:val="15"/>
          <w:szCs w:val="15"/>
        </w:rPr>
        <w:t>Loukkola,</w:t>
      </w:r>
      <w:r>
        <w:rPr>
          <w:rFonts w:ascii="Arial" w:hAnsi="Arial" w:eastAsia="Arial" w:cs="Arial"/>
          <w:spacing w:val="31"/>
          <w:sz w:val="15"/>
          <w:szCs w:val="15"/>
        </w:rPr>
        <w:t xml:space="preserve"> </w:t>
      </w:r>
      <w:r>
        <w:rPr>
          <w:rFonts w:ascii="Arial" w:hAnsi="Arial" w:eastAsia="Arial" w:cs="Arial"/>
          <w:spacing w:val="-4"/>
          <w:sz w:val="15"/>
          <w:szCs w:val="15"/>
        </w:rPr>
        <w:t>T.,</w:t>
      </w:r>
      <w:r>
        <w:rPr>
          <w:rFonts w:ascii="Arial" w:hAnsi="Arial" w:eastAsia="Arial" w:cs="Arial"/>
          <w:spacing w:val="36"/>
          <w:sz w:val="15"/>
          <w:szCs w:val="15"/>
        </w:rPr>
        <w:t xml:space="preserve"> </w:t>
      </w:r>
      <w:r>
        <w:rPr>
          <w:rFonts w:ascii="Arial" w:hAnsi="Arial" w:eastAsia="Arial" w:cs="Arial"/>
          <w:spacing w:val="-4"/>
          <w:sz w:val="15"/>
          <w:szCs w:val="15"/>
        </w:rPr>
        <w:t>and</w:t>
      </w:r>
      <w:r>
        <w:rPr>
          <w:rFonts w:ascii="Arial" w:hAnsi="Arial" w:eastAsia="Arial" w:cs="Arial"/>
          <w:spacing w:val="30"/>
          <w:sz w:val="15"/>
          <w:szCs w:val="15"/>
        </w:rPr>
        <w:t xml:space="preserve"> </w:t>
      </w:r>
      <w:r>
        <w:rPr>
          <w:rFonts w:ascii="Arial" w:hAnsi="Arial" w:eastAsia="Arial" w:cs="Arial"/>
          <w:spacing w:val="-4"/>
          <w:sz w:val="15"/>
          <w:szCs w:val="15"/>
        </w:rPr>
        <w:t>T.</w:t>
      </w:r>
      <w:r>
        <w:rPr>
          <w:rFonts w:ascii="Arial" w:hAnsi="Arial" w:eastAsia="Arial" w:cs="Arial"/>
          <w:spacing w:val="35"/>
          <w:w w:val="102"/>
          <w:sz w:val="15"/>
          <w:szCs w:val="15"/>
        </w:rPr>
        <w:t xml:space="preserve"> </w:t>
      </w:r>
      <w:r>
        <w:rPr>
          <w:rFonts w:ascii="Arial" w:hAnsi="Arial" w:eastAsia="Arial" w:cs="Arial"/>
          <w:spacing w:val="-4"/>
          <w:sz w:val="15"/>
          <w:szCs w:val="15"/>
        </w:rPr>
        <w:t>Zhang.</w:t>
      </w:r>
      <w:r>
        <w:rPr>
          <w:rFonts w:ascii="Arial" w:hAnsi="Arial" w:eastAsia="Arial" w:cs="Arial"/>
          <w:spacing w:val="28"/>
          <w:w w:val="102"/>
          <w:sz w:val="15"/>
          <w:szCs w:val="15"/>
        </w:rPr>
        <w:t xml:space="preserve"> </w:t>
      </w:r>
      <w:r>
        <w:fldChar w:fldCharType="begin"/>
      </w:r>
      <w:r>
        <w:instrText xml:space="preserve"> HYPERLINK \l "bookmark10" </w:instrText>
      </w:r>
      <w:r>
        <w:fldChar w:fldCharType="separate"/>
      </w:r>
      <w:r>
        <w:rPr>
          <w:rFonts w:ascii="Arial" w:hAnsi="Arial" w:eastAsia="Arial" w:cs="Arial"/>
          <w:color w:val="000084"/>
          <w:spacing w:val="-4"/>
          <w:sz w:val="15"/>
          <w:szCs w:val="15"/>
        </w:rPr>
        <w:t>2010</w:t>
      </w:r>
      <w:r>
        <w:rPr>
          <w:rFonts w:ascii="Arial" w:hAnsi="Arial" w:eastAsia="Arial" w:cs="Arial"/>
          <w:color w:val="000084"/>
          <w:spacing w:val="-4"/>
          <w:sz w:val="15"/>
          <w:szCs w:val="15"/>
        </w:rPr>
        <w:fldChar w:fldCharType="end"/>
      </w:r>
      <w:r>
        <w:rPr>
          <w:rFonts w:ascii="Arial" w:hAnsi="Arial" w:eastAsia="Arial" w:cs="Arial"/>
          <w:spacing w:val="-4"/>
          <w:sz w:val="15"/>
          <w:szCs w:val="15"/>
        </w:rPr>
        <w:t>.</w:t>
      </w:r>
      <w:r>
        <w:rPr>
          <w:rFonts w:ascii="Arial" w:hAnsi="Arial" w:eastAsia="Arial" w:cs="Arial"/>
          <w:spacing w:val="36"/>
          <w:sz w:val="15"/>
          <w:szCs w:val="15"/>
        </w:rPr>
        <w:t xml:space="preserve"> </w:t>
      </w:r>
      <w:r>
        <w:rPr>
          <w:rFonts w:ascii="Arial" w:hAnsi="Arial" w:eastAsia="Arial" w:cs="Arial"/>
          <w:spacing w:val="-4"/>
          <w:sz w:val="15"/>
          <w:szCs w:val="15"/>
        </w:rPr>
        <w:t>Examining  Quality</w:t>
      </w:r>
      <w:r>
        <w:rPr>
          <w:rFonts w:ascii="Arial" w:hAnsi="Arial" w:eastAsia="Arial" w:cs="Arial"/>
          <w:spacing w:val="32"/>
          <w:w w:val="101"/>
          <w:sz w:val="15"/>
          <w:szCs w:val="15"/>
        </w:rPr>
        <w:t xml:space="preserve"> </w:t>
      </w:r>
      <w:r>
        <w:rPr>
          <w:rFonts w:ascii="Arial" w:hAnsi="Arial" w:eastAsia="Arial" w:cs="Arial"/>
          <w:spacing w:val="-4"/>
          <w:sz w:val="15"/>
          <w:szCs w:val="15"/>
        </w:rPr>
        <w:t>Culture:  Part  1-Quality</w:t>
      </w:r>
      <w:r>
        <w:rPr>
          <w:rFonts w:ascii="Arial" w:hAnsi="Arial" w:eastAsia="Arial" w:cs="Arial"/>
          <w:spacing w:val="21"/>
          <w:sz w:val="15"/>
          <w:szCs w:val="15"/>
        </w:rPr>
        <w:t xml:space="preserve"> </w:t>
      </w:r>
      <w:r>
        <w:rPr>
          <w:rFonts w:ascii="Arial" w:hAnsi="Arial" w:eastAsia="Arial" w:cs="Arial"/>
          <w:spacing w:val="-4"/>
          <w:sz w:val="15"/>
          <w:szCs w:val="15"/>
        </w:rPr>
        <w:t>Assurance  Proces</w:t>
      </w:r>
      <w:r>
        <w:rPr>
          <w:rFonts w:ascii="Arial" w:hAnsi="Arial" w:eastAsia="Arial" w:cs="Arial"/>
          <w:spacing w:val="-5"/>
          <w:sz w:val="15"/>
          <w:szCs w:val="15"/>
        </w:rPr>
        <w:t>ses  in  Higher  Education</w:t>
      </w:r>
      <w:r>
        <w:rPr>
          <w:rFonts w:ascii="Arial" w:hAnsi="Arial" w:eastAsia="Arial" w:cs="Arial"/>
          <w:sz w:val="15"/>
          <w:szCs w:val="15"/>
        </w:rPr>
        <w:t xml:space="preserve"> </w:t>
      </w:r>
      <w:r>
        <w:rPr>
          <w:rFonts w:ascii="Arial" w:hAnsi="Arial" w:eastAsia="Arial" w:cs="Arial"/>
          <w:spacing w:val="-3"/>
          <w:sz w:val="15"/>
          <w:szCs w:val="15"/>
        </w:rPr>
        <w:t>Institutions.</w:t>
      </w:r>
      <w:r>
        <w:rPr>
          <w:rFonts w:ascii="Arial" w:hAnsi="Arial" w:eastAsia="Arial" w:cs="Arial"/>
          <w:spacing w:val="33"/>
          <w:w w:val="101"/>
          <w:sz w:val="15"/>
          <w:szCs w:val="15"/>
        </w:rPr>
        <w:t xml:space="preserve"> </w:t>
      </w:r>
      <w:r>
        <w:rPr>
          <w:rFonts w:ascii="Arial" w:hAnsi="Arial" w:eastAsia="Arial" w:cs="Arial"/>
          <w:spacing w:val="-3"/>
          <w:sz w:val="15"/>
          <w:szCs w:val="15"/>
        </w:rPr>
        <w:t>Brussels:</w:t>
      </w:r>
      <w:r>
        <w:rPr>
          <w:rFonts w:ascii="Arial" w:hAnsi="Arial" w:eastAsia="Arial" w:cs="Arial"/>
          <w:spacing w:val="18"/>
          <w:w w:val="101"/>
          <w:sz w:val="15"/>
          <w:szCs w:val="15"/>
        </w:rPr>
        <w:t xml:space="preserve"> </w:t>
      </w:r>
      <w:r>
        <w:rPr>
          <w:rFonts w:ascii="Arial" w:hAnsi="Arial" w:eastAsia="Arial" w:cs="Arial"/>
          <w:spacing w:val="-3"/>
          <w:sz w:val="15"/>
          <w:szCs w:val="15"/>
        </w:rPr>
        <w:t>European</w:t>
      </w:r>
      <w:r>
        <w:rPr>
          <w:rFonts w:ascii="Arial" w:hAnsi="Arial" w:eastAsia="Arial" w:cs="Arial"/>
          <w:spacing w:val="17"/>
          <w:w w:val="101"/>
          <w:sz w:val="15"/>
          <w:szCs w:val="15"/>
        </w:rPr>
        <w:t xml:space="preserve"> </w:t>
      </w:r>
      <w:r>
        <w:rPr>
          <w:rFonts w:ascii="Arial" w:hAnsi="Arial" w:eastAsia="Arial" w:cs="Arial"/>
          <w:spacing w:val="-3"/>
          <w:sz w:val="15"/>
          <w:szCs w:val="15"/>
        </w:rPr>
        <w:t>University</w:t>
      </w:r>
      <w:r>
        <w:rPr>
          <w:rFonts w:ascii="Arial" w:hAnsi="Arial" w:eastAsia="Arial" w:cs="Arial"/>
          <w:spacing w:val="10"/>
          <w:w w:val="101"/>
          <w:sz w:val="15"/>
          <w:szCs w:val="15"/>
        </w:rPr>
        <w:t xml:space="preserve"> </w:t>
      </w:r>
      <w:r>
        <w:rPr>
          <w:rFonts w:ascii="Arial" w:hAnsi="Arial" w:eastAsia="Arial" w:cs="Arial"/>
          <w:spacing w:val="-3"/>
          <w:sz w:val="15"/>
          <w:szCs w:val="15"/>
        </w:rPr>
        <w:t>Association.</w:t>
      </w:r>
    </w:p>
    <w:p>
      <w:pPr>
        <w:spacing w:before="46" w:line="250" w:lineRule="auto"/>
        <w:ind w:left="402" w:right="23" w:hanging="199"/>
        <w:rPr>
          <w:rFonts w:ascii="Arial" w:hAnsi="Arial" w:eastAsia="Arial" w:cs="Arial"/>
          <w:sz w:val="15"/>
          <w:szCs w:val="15"/>
        </w:rPr>
      </w:pPr>
      <w:r>
        <w:rPr>
          <w:rFonts w:ascii="Arial" w:hAnsi="Arial" w:eastAsia="Arial" w:cs="Arial"/>
          <w:spacing w:val="-1"/>
          <w:sz w:val="15"/>
          <w:szCs w:val="15"/>
        </w:rPr>
        <w:t>Ntim,</w:t>
      </w:r>
      <w:r>
        <w:rPr>
          <w:rFonts w:ascii="Arial" w:hAnsi="Arial" w:eastAsia="Arial" w:cs="Arial"/>
          <w:spacing w:val="11"/>
          <w:w w:val="101"/>
          <w:sz w:val="15"/>
          <w:szCs w:val="15"/>
        </w:rPr>
        <w:t xml:space="preserve"> </w:t>
      </w:r>
      <w:r>
        <w:rPr>
          <w:rFonts w:ascii="Arial" w:hAnsi="Arial" w:eastAsia="Arial" w:cs="Arial"/>
          <w:spacing w:val="-1"/>
          <w:sz w:val="15"/>
          <w:szCs w:val="15"/>
        </w:rPr>
        <w:t xml:space="preserve">S. </w:t>
      </w:r>
      <w:r>
        <w:fldChar w:fldCharType="begin"/>
      </w:r>
      <w:r>
        <w:instrText xml:space="preserve"> HYPERLINK \l "bookmark23" </w:instrText>
      </w:r>
      <w:r>
        <w:fldChar w:fldCharType="separate"/>
      </w:r>
      <w:r>
        <w:rPr>
          <w:rFonts w:ascii="Arial" w:hAnsi="Arial" w:eastAsia="Arial" w:cs="Arial"/>
          <w:color w:val="000084"/>
          <w:spacing w:val="-1"/>
          <w:sz w:val="15"/>
          <w:szCs w:val="15"/>
        </w:rPr>
        <w:t>2014</w:t>
      </w:r>
      <w:r>
        <w:rPr>
          <w:rFonts w:ascii="Arial" w:hAnsi="Arial" w:eastAsia="Arial" w:cs="Arial"/>
          <w:color w:val="000084"/>
          <w:spacing w:val="-1"/>
          <w:sz w:val="15"/>
          <w:szCs w:val="15"/>
        </w:rPr>
        <w:fldChar w:fldCharType="end"/>
      </w:r>
      <w:r>
        <w:rPr>
          <w:rFonts w:ascii="Arial" w:hAnsi="Arial" w:eastAsia="Arial" w:cs="Arial"/>
          <w:spacing w:val="-1"/>
          <w:sz w:val="15"/>
          <w:szCs w:val="15"/>
        </w:rPr>
        <w:t>.</w:t>
      </w:r>
      <w:r>
        <w:rPr>
          <w:rFonts w:ascii="Arial" w:hAnsi="Arial" w:eastAsia="Arial" w:cs="Arial"/>
          <w:spacing w:val="10"/>
          <w:w w:val="101"/>
          <w:sz w:val="15"/>
          <w:szCs w:val="15"/>
        </w:rPr>
        <w:t xml:space="preserve"> </w:t>
      </w:r>
      <w:r>
        <w:rPr>
          <w:rFonts w:ascii="Arial" w:hAnsi="Arial" w:eastAsia="Arial" w:cs="Arial"/>
          <w:spacing w:val="-1"/>
          <w:sz w:val="15"/>
          <w:szCs w:val="15"/>
        </w:rPr>
        <w:t>“Embedding Quality Culture</w:t>
      </w:r>
      <w:r>
        <w:rPr>
          <w:rFonts w:ascii="Arial" w:hAnsi="Arial" w:eastAsia="Arial" w:cs="Arial"/>
          <w:spacing w:val="14"/>
          <w:w w:val="101"/>
          <w:sz w:val="15"/>
          <w:szCs w:val="15"/>
        </w:rPr>
        <w:t xml:space="preserve"> </w:t>
      </w:r>
      <w:r>
        <w:rPr>
          <w:rFonts w:ascii="Arial" w:hAnsi="Arial" w:eastAsia="Arial" w:cs="Arial"/>
          <w:spacing w:val="-1"/>
          <w:sz w:val="15"/>
          <w:szCs w:val="15"/>
        </w:rPr>
        <w:t>in</w:t>
      </w:r>
      <w:r>
        <w:rPr>
          <w:rFonts w:ascii="Arial" w:hAnsi="Arial" w:eastAsia="Arial" w:cs="Arial"/>
          <w:spacing w:val="17"/>
          <w:sz w:val="15"/>
          <w:szCs w:val="15"/>
        </w:rPr>
        <w:t xml:space="preserve"> </w:t>
      </w:r>
      <w:r>
        <w:rPr>
          <w:rFonts w:ascii="Arial" w:hAnsi="Arial" w:eastAsia="Arial" w:cs="Arial"/>
          <w:spacing w:val="-1"/>
          <w:sz w:val="15"/>
          <w:szCs w:val="15"/>
        </w:rPr>
        <w:t>Higher</w:t>
      </w:r>
      <w:r>
        <w:rPr>
          <w:rFonts w:ascii="Arial" w:hAnsi="Arial" w:eastAsia="Arial" w:cs="Arial"/>
          <w:spacing w:val="15"/>
          <w:w w:val="102"/>
          <w:sz w:val="15"/>
          <w:szCs w:val="15"/>
        </w:rPr>
        <w:t xml:space="preserve"> </w:t>
      </w:r>
      <w:r>
        <w:rPr>
          <w:rFonts w:ascii="Arial" w:hAnsi="Arial" w:eastAsia="Arial" w:cs="Arial"/>
          <w:spacing w:val="-1"/>
          <w:sz w:val="15"/>
          <w:szCs w:val="15"/>
        </w:rPr>
        <w:t>Education</w:t>
      </w:r>
      <w:r>
        <w:rPr>
          <w:rFonts w:ascii="Arial" w:hAnsi="Arial" w:eastAsia="Arial" w:cs="Arial"/>
          <w:spacing w:val="14"/>
          <w:w w:val="101"/>
          <w:sz w:val="15"/>
          <w:szCs w:val="15"/>
        </w:rPr>
        <w:t xml:space="preserve"> </w:t>
      </w:r>
      <w:r>
        <w:rPr>
          <w:rFonts w:ascii="Arial" w:hAnsi="Arial" w:eastAsia="Arial" w:cs="Arial"/>
          <w:spacing w:val="-1"/>
          <w:sz w:val="15"/>
          <w:szCs w:val="15"/>
        </w:rPr>
        <w:t>in</w:t>
      </w:r>
      <w:r>
        <w:rPr>
          <w:rFonts w:ascii="Arial" w:hAnsi="Arial" w:eastAsia="Arial" w:cs="Arial"/>
          <w:spacing w:val="10"/>
          <w:sz w:val="15"/>
          <w:szCs w:val="15"/>
        </w:rPr>
        <w:t xml:space="preserve"> </w:t>
      </w:r>
      <w:r>
        <w:rPr>
          <w:rFonts w:ascii="Arial" w:hAnsi="Arial" w:eastAsia="Arial" w:cs="Arial"/>
          <w:spacing w:val="-1"/>
          <w:sz w:val="15"/>
          <w:szCs w:val="15"/>
        </w:rPr>
        <w:t>Ghana:</w:t>
      </w:r>
      <w:r>
        <w:rPr>
          <w:rFonts w:ascii="Arial" w:hAnsi="Arial" w:eastAsia="Arial" w:cs="Arial"/>
          <w:spacing w:val="10"/>
          <w:sz w:val="15"/>
          <w:szCs w:val="15"/>
        </w:rPr>
        <w:t xml:space="preserve"> </w:t>
      </w:r>
      <w:r>
        <w:rPr>
          <w:rFonts w:ascii="Arial" w:hAnsi="Arial" w:eastAsia="Arial" w:cs="Arial"/>
          <w:spacing w:val="-1"/>
          <w:sz w:val="15"/>
          <w:szCs w:val="15"/>
        </w:rPr>
        <w:t>Quality Control</w:t>
      </w:r>
      <w:r>
        <w:rPr>
          <w:rFonts w:ascii="Arial" w:hAnsi="Arial" w:eastAsia="Arial" w:cs="Arial"/>
          <w:spacing w:val="9"/>
          <w:sz w:val="15"/>
          <w:szCs w:val="15"/>
        </w:rPr>
        <w:t xml:space="preserve"> </w:t>
      </w:r>
      <w:r>
        <w:rPr>
          <w:rFonts w:ascii="Arial" w:hAnsi="Arial" w:eastAsia="Arial" w:cs="Arial"/>
          <w:spacing w:val="-1"/>
          <w:sz w:val="15"/>
          <w:szCs w:val="15"/>
        </w:rPr>
        <w:t>an</w:t>
      </w:r>
      <w:r>
        <w:rPr>
          <w:rFonts w:ascii="Arial" w:hAnsi="Arial" w:eastAsia="Arial" w:cs="Arial"/>
          <w:spacing w:val="-2"/>
          <w:sz w:val="15"/>
          <w:szCs w:val="15"/>
        </w:rPr>
        <w:t>d</w:t>
      </w:r>
      <w:r>
        <w:rPr>
          <w:rFonts w:ascii="Arial" w:hAnsi="Arial" w:eastAsia="Arial" w:cs="Arial"/>
          <w:spacing w:val="8"/>
          <w:sz w:val="15"/>
          <w:szCs w:val="15"/>
        </w:rPr>
        <w:t xml:space="preserve"> </w:t>
      </w:r>
      <w:r>
        <w:rPr>
          <w:rFonts w:ascii="Arial" w:hAnsi="Arial" w:eastAsia="Arial" w:cs="Arial"/>
          <w:spacing w:val="-2"/>
          <w:sz w:val="15"/>
          <w:szCs w:val="15"/>
        </w:rPr>
        <w:t>Assessment</w:t>
      </w:r>
      <w:r>
        <w:rPr>
          <w:rFonts w:ascii="Arial" w:hAnsi="Arial" w:eastAsia="Arial" w:cs="Arial"/>
          <w:spacing w:val="14"/>
          <w:sz w:val="15"/>
          <w:szCs w:val="15"/>
        </w:rPr>
        <w:t xml:space="preserve"> </w:t>
      </w:r>
      <w:r>
        <w:rPr>
          <w:rFonts w:ascii="Arial" w:hAnsi="Arial" w:eastAsia="Arial" w:cs="Arial"/>
          <w:spacing w:val="-2"/>
          <w:sz w:val="15"/>
          <w:szCs w:val="15"/>
        </w:rPr>
        <w:t>in</w:t>
      </w:r>
      <w:r>
        <w:rPr>
          <w:rFonts w:ascii="Arial" w:hAnsi="Arial" w:eastAsia="Arial" w:cs="Arial"/>
          <w:spacing w:val="16"/>
          <w:w w:val="102"/>
          <w:sz w:val="15"/>
          <w:szCs w:val="15"/>
        </w:rPr>
        <w:t xml:space="preserve"> </w:t>
      </w:r>
      <w:r>
        <w:rPr>
          <w:rFonts w:ascii="Arial" w:hAnsi="Arial" w:eastAsia="Arial" w:cs="Arial"/>
          <w:spacing w:val="-2"/>
          <w:sz w:val="15"/>
          <w:szCs w:val="15"/>
        </w:rPr>
        <w:t>Emerging</w:t>
      </w:r>
      <w:r>
        <w:rPr>
          <w:rFonts w:ascii="Arial" w:hAnsi="Arial" w:eastAsia="Arial" w:cs="Arial"/>
          <w:sz w:val="15"/>
          <w:szCs w:val="15"/>
        </w:rPr>
        <w:t xml:space="preserve"> </w:t>
      </w:r>
      <w:r>
        <w:rPr>
          <w:rFonts w:ascii="Arial" w:hAnsi="Arial" w:eastAsia="Arial" w:cs="Arial"/>
          <w:spacing w:val="-2"/>
          <w:sz w:val="15"/>
          <w:szCs w:val="15"/>
        </w:rPr>
        <w:t>Private</w:t>
      </w:r>
      <w:r>
        <w:rPr>
          <w:rFonts w:ascii="Arial" w:hAnsi="Arial" w:eastAsia="Arial" w:cs="Arial"/>
          <w:spacing w:val="17"/>
          <w:sz w:val="15"/>
          <w:szCs w:val="15"/>
        </w:rPr>
        <w:t xml:space="preserve"> </w:t>
      </w:r>
      <w:r>
        <w:rPr>
          <w:rFonts w:ascii="Arial" w:hAnsi="Arial" w:eastAsia="Arial" w:cs="Arial"/>
          <w:spacing w:val="-2"/>
          <w:sz w:val="15"/>
          <w:szCs w:val="15"/>
        </w:rPr>
        <w:t>Universities.”</w:t>
      </w:r>
      <w:r>
        <w:rPr>
          <w:rFonts w:ascii="Arial" w:hAnsi="Arial" w:eastAsia="Arial" w:cs="Arial"/>
          <w:spacing w:val="10"/>
          <w:w w:val="101"/>
          <w:sz w:val="15"/>
          <w:szCs w:val="15"/>
        </w:rPr>
        <w:t xml:space="preserve"> </w:t>
      </w:r>
      <w:r>
        <w:rPr>
          <w:rFonts w:ascii="Arial" w:hAnsi="Arial" w:eastAsia="Arial" w:cs="Arial"/>
          <w:spacing w:val="-2"/>
          <w:sz w:val="15"/>
          <w:szCs w:val="15"/>
        </w:rPr>
        <w:t>Higher Education</w:t>
      </w:r>
      <w:r>
        <w:rPr>
          <w:rFonts w:ascii="Arial" w:hAnsi="Arial" w:eastAsia="Arial" w:cs="Arial"/>
          <w:spacing w:val="11"/>
          <w:w w:val="101"/>
          <w:sz w:val="15"/>
          <w:szCs w:val="15"/>
        </w:rPr>
        <w:t xml:space="preserve"> </w:t>
      </w:r>
      <w:r>
        <w:rPr>
          <w:rFonts w:ascii="Arial" w:hAnsi="Arial" w:eastAsia="Arial" w:cs="Arial"/>
          <w:spacing w:val="-2"/>
          <w:sz w:val="15"/>
          <w:szCs w:val="15"/>
        </w:rPr>
        <w:t>68:</w:t>
      </w:r>
      <w:r>
        <w:rPr>
          <w:rFonts w:ascii="Arial" w:hAnsi="Arial" w:eastAsia="Arial" w:cs="Arial"/>
          <w:spacing w:val="11"/>
          <w:sz w:val="15"/>
          <w:szCs w:val="15"/>
        </w:rPr>
        <w:t xml:space="preserve"> </w:t>
      </w:r>
      <w:r>
        <w:rPr>
          <w:rFonts w:ascii="Arial" w:hAnsi="Arial" w:eastAsia="Arial" w:cs="Arial"/>
          <w:spacing w:val="-2"/>
          <w:sz w:val="15"/>
          <w:szCs w:val="15"/>
        </w:rPr>
        <w:t xml:space="preserve">837–49. </w:t>
      </w:r>
      <w:r>
        <w:fldChar w:fldCharType="begin"/>
      </w:r>
      <w:r>
        <w:instrText xml:space="preserve"> HYPERLINK "https://doi.org/10.1007/s10734-014-9747-8" </w:instrText>
      </w:r>
      <w:r>
        <w:fldChar w:fldCharType="separate"/>
      </w:r>
      <w:r>
        <w:rPr>
          <w:rFonts w:ascii="Arial" w:hAnsi="Arial" w:eastAsia="Arial" w:cs="Arial"/>
          <w:color w:val="000084"/>
          <w:spacing w:val="-2"/>
          <w:sz w:val="15"/>
          <w:szCs w:val="15"/>
        </w:rPr>
        <w:t>doi:10.1007/</w:t>
      </w:r>
      <w:r>
        <w:rPr>
          <w:rFonts w:ascii="Arial" w:hAnsi="Arial" w:eastAsia="Arial" w:cs="Arial"/>
          <w:color w:val="000084"/>
          <w:spacing w:val="-3"/>
          <w:sz w:val="15"/>
          <w:szCs w:val="15"/>
        </w:rPr>
        <w:t>s10734-014-9747-8</w:t>
      </w:r>
      <w:r>
        <w:rPr>
          <w:rFonts w:ascii="Arial" w:hAnsi="Arial" w:eastAsia="Arial" w:cs="Arial"/>
          <w:color w:val="000084"/>
          <w:spacing w:val="-3"/>
          <w:sz w:val="15"/>
          <w:szCs w:val="15"/>
        </w:rPr>
        <w:fldChar w:fldCharType="end"/>
      </w:r>
      <w:r>
        <w:rPr>
          <w:rFonts w:ascii="Arial" w:hAnsi="Arial" w:eastAsia="Arial" w:cs="Arial"/>
          <w:spacing w:val="-3"/>
          <w:sz w:val="15"/>
          <w:szCs w:val="15"/>
        </w:rPr>
        <w:t>.</w:t>
      </w:r>
    </w:p>
    <w:p>
      <w:pPr>
        <w:spacing w:line="250" w:lineRule="auto"/>
        <w:rPr>
          <w:rFonts w:ascii="Arial" w:hAnsi="Arial" w:eastAsia="Arial" w:cs="Arial"/>
          <w:sz w:val="15"/>
          <w:szCs w:val="15"/>
        </w:rPr>
        <w:sectPr>
          <w:type w:val="continuous"/>
          <w:pgSz w:w="9865" w:h="14060"/>
          <w:pgMar w:top="400" w:right="934" w:bottom="400" w:left="768" w:header="0" w:footer="0" w:gutter="0"/>
          <w:cols w:equalWidth="0" w:num="1">
            <w:col w:w="8162"/>
          </w:cols>
        </w:sectPr>
      </w:pPr>
    </w:p>
    <w:p>
      <w:pPr>
        <w:spacing w:before="103"/>
        <w:ind w:right="16"/>
        <w:jc w:val="right"/>
        <w:rPr>
          <w:rFonts w:ascii="Arial" w:hAnsi="Arial" w:eastAsia="Arial" w:cs="Arial"/>
          <w:sz w:val="14"/>
          <w:szCs w:val="14"/>
        </w:rPr>
      </w:pPr>
      <w:bookmarkStart w:id="79" w:name="bookmark78"/>
      <w:bookmarkEnd w:id="79"/>
      <w:bookmarkStart w:id="80" w:name="bookmark71"/>
      <w:bookmarkEnd w:id="80"/>
      <w:bookmarkStart w:id="81" w:name="bookmark84"/>
      <w:bookmarkEnd w:id="81"/>
      <w:bookmarkStart w:id="82" w:name="bookmark55"/>
      <w:bookmarkEnd w:id="82"/>
      <w:bookmarkStart w:id="83" w:name="bookmark47"/>
      <w:bookmarkEnd w:id="83"/>
      <w:bookmarkStart w:id="84" w:name="bookmark39"/>
      <w:bookmarkEnd w:id="84"/>
      <w:bookmarkStart w:id="85" w:name="bookmark25"/>
      <w:bookmarkEnd w:id="85"/>
      <w:bookmarkStart w:id="86" w:name="bookmark24"/>
      <w:bookmarkEnd w:id="86"/>
      <w:bookmarkStart w:id="87" w:name="bookmark15"/>
      <w:bookmarkEnd w:id="87"/>
      <w:bookmarkStart w:id="88" w:name="bookmark20"/>
      <w:bookmarkEnd w:id="88"/>
      <w:bookmarkStart w:id="89" w:name="bookmark16"/>
      <w:bookmarkEnd w:id="89"/>
      <w:bookmarkStart w:id="90" w:name="bookmark27"/>
      <w:bookmarkEnd w:id="90"/>
      <w:bookmarkStart w:id="91" w:name="bookmark46"/>
      <w:bookmarkEnd w:id="91"/>
      <w:bookmarkStart w:id="92" w:name="bookmark28"/>
      <w:bookmarkEnd w:id="92"/>
      <w:bookmarkStart w:id="93" w:name="bookmark14"/>
      <w:bookmarkEnd w:id="93"/>
      <w:bookmarkStart w:id="94" w:name="bookmark44"/>
      <w:bookmarkEnd w:id="94"/>
      <w:bookmarkStart w:id="95" w:name="bookmark33"/>
      <w:bookmarkEnd w:id="95"/>
      <w:bookmarkStart w:id="96" w:name="bookmark19"/>
      <w:bookmarkEnd w:id="96"/>
      <w:bookmarkStart w:id="97" w:name="bookmark40"/>
      <w:bookmarkEnd w:id="97"/>
      <w:bookmarkStart w:id="98" w:name="bookmark107"/>
      <w:bookmarkEnd w:id="98"/>
      <w:bookmarkStart w:id="99" w:name="bookmark31"/>
      <w:bookmarkEnd w:id="99"/>
      <w:bookmarkStart w:id="100" w:name="bookmark45"/>
      <w:bookmarkEnd w:id="100"/>
      <w:bookmarkStart w:id="101" w:name="bookmark41"/>
      <w:bookmarkEnd w:id="101"/>
      <w:bookmarkStart w:id="102" w:name="bookmark80"/>
      <w:bookmarkEnd w:id="102"/>
      <w:bookmarkStart w:id="103" w:name="bookmark54"/>
      <w:bookmarkEnd w:id="103"/>
      <w:bookmarkStart w:id="104" w:name="bookmark65"/>
      <w:bookmarkEnd w:id="104"/>
      <w:bookmarkStart w:id="105" w:name="bookmark91"/>
      <w:bookmarkEnd w:id="105"/>
      <w:bookmarkStart w:id="106" w:name="bookmark110"/>
      <w:bookmarkEnd w:id="106"/>
      <w:bookmarkStart w:id="107" w:name="bookmark116"/>
      <w:bookmarkEnd w:id="107"/>
      <w:bookmarkStart w:id="108" w:name="bookmark92"/>
      <w:bookmarkEnd w:id="108"/>
      <w:bookmarkStart w:id="109" w:name="bookmark48"/>
      <w:bookmarkEnd w:id="109"/>
      <w:bookmarkStart w:id="110" w:name="bookmark79"/>
      <w:bookmarkEnd w:id="110"/>
      <w:bookmarkStart w:id="111" w:name="bookmark81"/>
      <w:bookmarkEnd w:id="111"/>
      <w:bookmarkStart w:id="112" w:name="bookmark102"/>
      <w:bookmarkEnd w:id="112"/>
      <w:r>
        <w:rPr>
          <w:rFonts w:ascii="Arial" w:hAnsi="Arial" w:eastAsia="Arial" w:cs="Arial"/>
          <w:spacing w:val="-8"/>
          <w:sz w:val="14"/>
          <w:szCs w:val="14"/>
        </w:rPr>
        <w:t>STUDIES</w:t>
      </w:r>
      <w:r>
        <w:rPr>
          <w:rFonts w:ascii="Arial" w:hAnsi="Arial" w:eastAsia="Arial" w:cs="Arial"/>
          <w:spacing w:val="28"/>
          <w:sz w:val="14"/>
          <w:szCs w:val="14"/>
        </w:rPr>
        <w:t xml:space="preserve"> </w:t>
      </w:r>
      <w:r>
        <w:rPr>
          <w:rFonts w:ascii="Arial" w:hAnsi="Arial" w:eastAsia="Arial" w:cs="Arial"/>
          <w:spacing w:val="-8"/>
          <w:sz w:val="14"/>
          <w:szCs w:val="14"/>
        </w:rPr>
        <w:t>IN</w:t>
      </w:r>
      <w:r>
        <w:rPr>
          <w:rFonts w:ascii="Arial" w:hAnsi="Arial" w:eastAsia="Arial" w:cs="Arial"/>
          <w:spacing w:val="11"/>
          <w:w w:val="101"/>
          <w:sz w:val="14"/>
          <w:szCs w:val="14"/>
        </w:rPr>
        <w:t xml:space="preserve"> </w:t>
      </w:r>
      <w:r>
        <w:rPr>
          <w:rFonts w:ascii="Arial" w:hAnsi="Arial" w:eastAsia="Arial" w:cs="Arial"/>
          <w:spacing w:val="-8"/>
          <w:sz w:val="14"/>
          <w:szCs w:val="14"/>
        </w:rPr>
        <w:t>HIGHER</w:t>
      </w:r>
      <w:r>
        <w:rPr>
          <w:rFonts w:ascii="Arial" w:hAnsi="Arial" w:eastAsia="Arial" w:cs="Arial"/>
          <w:spacing w:val="10"/>
          <w:w w:val="102"/>
          <w:sz w:val="14"/>
          <w:szCs w:val="14"/>
        </w:rPr>
        <w:t xml:space="preserve"> </w:t>
      </w:r>
      <w:r>
        <w:rPr>
          <w:rFonts w:ascii="Arial" w:hAnsi="Arial" w:eastAsia="Arial" w:cs="Arial"/>
          <w:spacing w:val="-8"/>
          <w:sz w:val="14"/>
          <w:szCs w:val="14"/>
        </w:rPr>
        <w:t xml:space="preserve">EDUCATION    </w:t>
      </w:r>
      <w:r>
        <w:rPr>
          <w:position w:val="-6"/>
          <w:sz w:val="14"/>
          <w:szCs w:val="14"/>
        </w:rPr>
        <w:drawing>
          <wp:inline distT="0" distB="0" distL="0" distR="0">
            <wp:extent cx="139700" cy="13970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43"/>
                    <a:stretch>
                      <a:fillRect/>
                    </a:stretch>
                  </pic:blipFill>
                  <pic:spPr>
                    <a:xfrm>
                      <a:off x="0" y="0"/>
                      <a:ext cx="139700" cy="139700"/>
                    </a:xfrm>
                    <a:prstGeom prst="rect">
                      <a:avLst/>
                    </a:prstGeom>
                  </pic:spPr>
                </pic:pic>
              </a:graphicData>
            </a:graphic>
          </wp:inline>
        </w:drawing>
      </w:r>
      <w:r>
        <w:rPr>
          <w:rFonts w:ascii="Arial" w:hAnsi="Arial" w:eastAsia="Arial" w:cs="Arial"/>
          <w:spacing w:val="2"/>
          <w:sz w:val="14"/>
          <w:szCs w:val="14"/>
        </w:rPr>
        <w:t xml:space="preserve">    </w:t>
      </w:r>
      <w:r>
        <w:rPr>
          <w:rFonts w:ascii="Arial" w:hAnsi="Arial" w:eastAsia="Arial" w:cs="Arial"/>
          <w:spacing w:val="-8"/>
          <w:sz w:val="14"/>
          <w:szCs w:val="14"/>
        </w:rPr>
        <w:t>17</w:t>
      </w:r>
    </w:p>
    <w:p>
      <w:pPr>
        <w:spacing w:line="284" w:lineRule="auto"/>
        <w:rPr>
          <w:rFonts w:ascii="Arial"/>
          <w:sz w:val="21"/>
        </w:rPr>
      </w:pPr>
    </w:p>
    <w:p>
      <w:pPr>
        <w:spacing w:before="43" w:line="274" w:lineRule="auto"/>
        <w:ind w:left="205" w:right="23" w:hanging="193"/>
        <w:rPr>
          <w:rFonts w:ascii="Arial" w:hAnsi="Arial" w:eastAsia="Arial" w:cs="Arial"/>
          <w:sz w:val="15"/>
          <w:szCs w:val="15"/>
        </w:rPr>
      </w:pPr>
      <w:r>
        <w:rPr>
          <w:rFonts w:ascii="Arial" w:hAnsi="Arial" w:eastAsia="Arial" w:cs="Arial"/>
          <w:spacing w:val="-4"/>
          <w:sz w:val="15"/>
          <w:szCs w:val="15"/>
        </w:rPr>
        <w:t>Podsakof,</w:t>
      </w:r>
      <w:r>
        <w:rPr>
          <w:rFonts w:ascii="Arial" w:hAnsi="Arial" w:eastAsia="Arial" w:cs="Arial"/>
          <w:spacing w:val="10"/>
          <w:w w:val="101"/>
          <w:sz w:val="15"/>
          <w:szCs w:val="15"/>
        </w:rPr>
        <w:t xml:space="preserve"> </w:t>
      </w:r>
      <w:r>
        <w:rPr>
          <w:rFonts w:ascii="Arial" w:hAnsi="Arial" w:eastAsia="Arial" w:cs="Arial"/>
          <w:spacing w:val="-4"/>
          <w:sz w:val="15"/>
          <w:szCs w:val="15"/>
        </w:rPr>
        <w:t>P.</w:t>
      </w:r>
      <w:r>
        <w:rPr>
          <w:rFonts w:ascii="Arial" w:hAnsi="Arial" w:eastAsia="Arial" w:cs="Arial"/>
          <w:spacing w:val="7"/>
          <w:sz w:val="15"/>
          <w:szCs w:val="15"/>
        </w:rPr>
        <w:t xml:space="preserve"> </w:t>
      </w:r>
      <w:r>
        <w:rPr>
          <w:rFonts w:ascii="Arial" w:hAnsi="Arial" w:eastAsia="Arial" w:cs="Arial"/>
          <w:spacing w:val="-4"/>
          <w:sz w:val="15"/>
          <w:szCs w:val="15"/>
        </w:rPr>
        <w:t>M., S.</w:t>
      </w:r>
      <w:r>
        <w:rPr>
          <w:rFonts w:ascii="Arial" w:hAnsi="Arial" w:eastAsia="Arial" w:cs="Arial"/>
          <w:spacing w:val="12"/>
          <w:sz w:val="15"/>
          <w:szCs w:val="15"/>
        </w:rPr>
        <w:t xml:space="preserve"> </w:t>
      </w:r>
      <w:r>
        <w:rPr>
          <w:rFonts w:ascii="Arial" w:hAnsi="Arial" w:eastAsia="Arial" w:cs="Arial"/>
          <w:spacing w:val="-4"/>
          <w:sz w:val="15"/>
          <w:szCs w:val="15"/>
        </w:rPr>
        <w:t>B. MacKenzie, J.-Y.</w:t>
      </w:r>
      <w:r>
        <w:rPr>
          <w:rFonts w:ascii="Arial" w:hAnsi="Arial" w:eastAsia="Arial" w:cs="Arial"/>
          <w:spacing w:val="11"/>
          <w:sz w:val="15"/>
          <w:szCs w:val="15"/>
        </w:rPr>
        <w:t xml:space="preserve"> </w:t>
      </w:r>
      <w:r>
        <w:rPr>
          <w:rFonts w:ascii="Arial" w:hAnsi="Arial" w:eastAsia="Arial" w:cs="Arial"/>
          <w:spacing w:val="-4"/>
          <w:sz w:val="15"/>
          <w:szCs w:val="15"/>
        </w:rPr>
        <w:t>Lee, and</w:t>
      </w:r>
      <w:r>
        <w:rPr>
          <w:rFonts w:ascii="Arial" w:hAnsi="Arial" w:eastAsia="Arial" w:cs="Arial"/>
          <w:spacing w:val="9"/>
          <w:sz w:val="15"/>
          <w:szCs w:val="15"/>
        </w:rPr>
        <w:t xml:space="preserve"> </w:t>
      </w:r>
      <w:r>
        <w:rPr>
          <w:rFonts w:ascii="Arial" w:hAnsi="Arial" w:eastAsia="Arial" w:cs="Arial"/>
          <w:spacing w:val="-4"/>
          <w:sz w:val="15"/>
          <w:szCs w:val="15"/>
        </w:rPr>
        <w:t>N.</w:t>
      </w:r>
      <w:r>
        <w:rPr>
          <w:rFonts w:ascii="Arial" w:hAnsi="Arial" w:eastAsia="Arial" w:cs="Arial"/>
          <w:spacing w:val="11"/>
          <w:sz w:val="15"/>
          <w:szCs w:val="15"/>
        </w:rPr>
        <w:t xml:space="preserve"> </w:t>
      </w:r>
      <w:r>
        <w:rPr>
          <w:rFonts w:ascii="Arial" w:hAnsi="Arial" w:eastAsia="Arial" w:cs="Arial"/>
          <w:spacing w:val="-4"/>
          <w:sz w:val="15"/>
          <w:szCs w:val="15"/>
        </w:rPr>
        <w:t>P.</w:t>
      </w:r>
      <w:r>
        <w:rPr>
          <w:rFonts w:ascii="Arial" w:hAnsi="Arial" w:eastAsia="Arial" w:cs="Arial"/>
          <w:spacing w:val="10"/>
          <w:w w:val="101"/>
          <w:sz w:val="15"/>
          <w:szCs w:val="15"/>
        </w:rPr>
        <w:t xml:space="preserve"> </w:t>
      </w:r>
      <w:r>
        <w:rPr>
          <w:rFonts w:ascii="Arial" w:hAnsi="Arial" w:eastAsia="Arial" w:cs="Arial"/>
          <w:spacing w:val="-4"/>
          <w:sz w:val="15"/>
          <w:szCs w:val="15"/>
        </w:rPr>
        <w:t xml:space="preserve">Podsakof. </w:t>
      </w:r>
      <w:r>
        <w:fldChar w:fldCharType="begin"/>
      </w:r>
      <w:r>
        <w:instrText xml:space="preserve"> HYPERLINK \l "bookmark88" </w:instrText>
      </w:r>
      <w:r>
        <w:fldChar w:fldCharType="separate"/>
      </w:r>
      <w:r>
        <w:rPr>
          <w:rFonts w:ascii="Arial" w:hAnsi="Arial" w:eastAsia="Arial" w:cs="Arial"/>
          <w:color w:val="000084"/>
          <w:spacing w:val="-4"/>
          <w:sz w:val="15"/>
          <w:szCs w:val="15"/>
        </w:rPr>
        <w:t>2003</w:t>
      </w:r>
      <w:r>
        <w:rPr>
          <w:rFonts w:ascii="Arial" w:hAnsi="Arial" w:eastAsia="Arial" w:cs="Arial"/>
          <w:color w:val="000084"/>
          <w:spacing w:val="-4"/>
          <w:sz w:val="15"/>
          <w:szCs w:val="15"/>
        </w:rPr>
        <w:fldChar w:fldCharType="end"/>
      </w:r>
      <w:r>
        <w:rPr>
          <w:rFonts w:ascii="Arial" w:hAnsi="Arial" w:eastAsia="Arial" w:cs="Arial"/>
          <w:spacing w:val="-4"/>
          <w:sz w:val="15"/>
          <w:szCs w:val="15"/>
        </w:rPr>
        <w:t>. “Com</w:t>
      </w:r>
      <w:r>
        <w:rPr>
          <w:rFonts w:ascii="Arial" w:hAnsi="Arial" w:eastAsia="Arial" w:cs="Arial"/>
          <w:spacing w:val="-5"/>
          <w:sz w:val="15"/>
          <w:szCs w:val="15"/>
        </w:rPr>
        <w:t>mon</w:t>
      </w:r>
      <w:r>
        <w:rPr>
          <w:rFonts w:ascii="Arial" w:hAnsi="Arial" w:eastAsia="Arial" w:cs="Arial"/>
          <w:spacing w:val="5"/>
          <w:sz w:val="15"/>
          <w:szCs w:val="15"/>
        </w:rPr>
        <w:t xml:space="preserve"> </w:t>
      </w:r>
      <w:r>
        <w:rPr>
          <w:rFonts w:ascii="Arial" w:hAnsi="Arial" w:eastAsia="Arial" w:cs="Arial"/>
          <w:spacing w:val="-5"/>
          <w:sz w:val="15"/>
          <w:szCs w:val="15"/>
        </w:rPr>
        <w:t>Method</w:t>
      </w:r>
      <w:r>
        <w:rPr>
          <w:rFonts w:ascii="Arial" w:hAnsi="Arial" w:eastAsia="Arial" w:cs="Arial"/>
          <w:spacing w:val="11"/>
          <w:w w:val="101"/>
          <w:sz w:val="15"/>
          <w:szCs w:val="15"/>
        </w:rPr>
        <w:t xml:space="preserve"> </w:t>
      </w:r>
      <w:r>
        <w:rPr>
          <w:rFonts w:ascii="Arial" w:hAnsi="Arial" w:eastAsia="Arial" w:cs="Arial"/>
          <w:spacing w:val="-5"/>
          <w:sz w:val="15"/>
          <w:szCs w:val="15"/>
        </w:rPr>
        <w:t>Biases</w:t>
      </w:r>
      <w:r>
        <w:rPr>
          <w:rFonts w:ascii="Arial" w:hAnsi="Arial" w:eastAsia="Arial" w:cs="Arial"/>
          <w:spacing w:val="7"/>
          <w:sz w:val="15"/>
          <w:szCs w:val="15"/>
        </w:rPr>
        <w:t xml:space="preserve"> </w:t>
      </w:r>
      <w:r>
        <w:rPr>
          <w:rFonts w:ascii="Arial" w:hAnsi="Arial" w:eastAsia="Arial" w:cs="Arial"/>
          <w:spacing w:val="-5"/>
          <w:sz w:val="15"/>
          <w:szCs w:val="15"/>
        </w:rPr>
        <w:t>in</w:t>
      </w:r>
      <w:r>
        <w:rPr>
          <w:rFonts w:ascii="Arial" w:hAnsi="Arial" w:eastAsia="Arial" w:cs="Arial"/>
          <w:spacing w:val="10"/>
          <w:w w:val="101"/>
          <w:sz w:val="15"/>
          <w:szCs w:val="15"/>
        </w:rPr>
        <w:t xml:space="preserve"> </w:t>
      </w:r>
      <w:r>
        <w:rPr>
          <w:rFonts w:ascii="Arial" w:hAnsi="Arial" w:eastAsia="Arial" w:cs="Arial"/>
          <w:spacing w:val="-5"/>
          <w:sz w:val="15"/>
          <w:szCs w:val="15"/>
        </w:rPr>
        <w:t>Behavioral</w:t>
      </w:r>
      <w:r>
        <w:rPr>
          <w:rFonts w:ascii="Arial" w:hAnsi="Arial" w:eastAsia="Arial" w:cs="Arial"/>
          <w:spacing w:val="9"/>
          <w:sz w:val="15"/>
          <w:szCs w:val="15"/>
        </w:rPr>
        <w:t xml:space="preserve"> </w:t>
      </w:r>
      <w:r>
        <w:rPr>
          <w:rFonts w:ascii="Arial" w:hAnsi="Arial" w:eastAsia="Arial" w:cs="Arial"/>
          <w:spacing w:val="-5"/>
          <w:sz w:val="15"/>
          <w:szCs w:val="15"/>
        </w:rPr>
        <w:t>Research: A</w:t>
      </w:r>
      <w:r>
        <w:rPr>
          <w:rFonts w:ascii="Arial" w:hAnsi="Arial" w:eastAsia="Arial" w:cs="Arial"/>
          <w:sz w:val="15"/>
          <w:szCs w:val="15"/>
        </w:rPr>
        <w:t xml:space="preserve"> </w:t>
      </w:r>
      <w:r>
        <w:rPr>
          <w:rFonts w:ascii="Arial" w:hAnsi="Arial" w:eastAsia="Arial" w:cs="Arial"/>
          <w:spacing w:val="-2"/>
          <w:sz w:val="15"/>
          <w:szCs w:val="15"/>
        </w:rPr>
        <w:t>Critical</w:t>
      </w:r>
      <w:r>
        <w:rPr>
          <w:rFonts w:ascii="Arial" w:hAnsi="Arial" w:eastAsia="Arial" w:cs="Arial"/>
          <w:spacing w:val="27"/>
          <w:sz w:val="15"/>
          <w:szCs w:val="15"/>
        </w:rPr>
        <w:t xml:space="preserve"> </w:t>
      </w:r>
      <w:r>
        <w:rPr>
          <w:rFonts w:ascii="Arial" w:hAnsi="Arial" w:eastAsia="Arial" w:cs="Arial"/>
          <w:spacing w:val="-2"/>
          <w:sz w:val="15"/>
          <w:szCs w:val="15"/>
        </w:rPr>
        <w:t>Review</w:t>
      </w:r>
      <w:r>
        <w:rPr>
          <w:rFonts w:ascii="Arial" w:hAnsi="Arial" w:eastAsia="Arial" w:cs="Arial"/>
          <w:spacing w:val="20"/>
          <w:sz w:val="15"/>
          <w:szCs w:val="15"/>
        </w:rPr>
        <w:t xml:space="preserve"> </w:t>
      </w:r>
      <w:r>
        <w:rPr>
          <w:rFonts w:ascii="Arial" w:hAnsi="Arial" w:eastAsia="Arial" w:cs="Arial"/>
          <w:spacing w:val="-2"/>
          <w:sz w:val="15"/>
          <w:szCs w:val="15"/>
        </w:rPr>
        <w:t>of</w:t>
      </w:r>
      <w:r>
        <w:rPr>
          <w:rFonts w:ascii="Arial" w:hAnsi="Arial" w:eastAsia="Arial" w:cs="Arial"/>
          <w:spacing w:val="11"/>
          <w:sz w:val="15"/>
          <w:szCs w:val="15"/>
        </w:rPr>
        <w:t xml:space="preserve"> </w:t>
      </w:r>
      <w:r>
        <w:rPr>
          <w:rFonts w:ascii="Arial" w:hAnsi="Arial" w:eastAsia="Arial" w:cs="Arial"/>
          <w:spacing w:val="-2"/>
          <w:sz w:val="15"/>
          <w:szCs w:val="15"/>
        </w:rPr>
        <w:t>the</w:t>
      </w:r>
      <w:r>
        <w:rPr>
          <w:rFonts w:ascii="Arial" w:hAnsi="Arial" w:eastAsia="Arial" w:cs="Arial"/>
          <w:spacing w:val="26"/>
          <w:w w:val="101"/>
          <w:sz w:val="15"/>
          <w:szCs w:val="15"/>
        </w:rPr>
        <w:t xml:space="preserve"> </w:t>
      </w:r>
      <w:r>
        <w:rPr>
          <w:rFonts w:ascii="Arial" w:hAnsi="Arial" w:eastAsia="Arial" w:cs="Arial"/>
          <w:spacing w:val="-2"/>
          <w:sz w:val="15"/>
          <w:szCs w:val="15"/>
        </w:rPr>
        <w:t>Literature</w:t>
      </w:r>
      <w:r>
        <w:rPr>
          <w:rFonts w:ascii="Arial" w:hAnsi="Arial" w:eastAsia="Arial" w:cs="Arial"/>
          <w:spacing w:val="20"/>
          <w:w w:val="101"/>
          <w:sz w:val="15"/>
          <w:szCs w:val="15"/>
        </w:rPr>
        <w:t xml:space="preserve"> </w:t>
      </w:r>
      <w:r>
        <w:rPr>
          <w:rFonts w:ascii="Arial" w:hAnsi="Arial" w:eastAsia="Arial" w:cs="Arial"/>
          <w:spacing w:val="-2"/>
          <w:sz w:val="15"/>
          <w:szCs w:val="15"/>
        </w:rPr>
        <w:t>and</w:t>
      </w:r>
      <w:r>
        <w:rPr>
          <w:rFonts w:ascii="Arial" w:hAnsi="Arial" w:eastAsia="Arial" w:cs="Arial"/>
          <w:spacing w:val="26"/>
          <w:sz w:val="15"/>
          <w:szCs w:val="15"/>
        </w:rPr>
        <w:t xml:space="preserve"> </w:t>
      </w:r>
      <w:r>
        <w:rPr>
          <w:rFonts w:ascii="Arial" w:hAnsi="Arial" w:eastAsia="Arial" w:cs="Arial"/>
          <w:spacing w:val="-2"/>
          <w:sz w:val="15"/>
          <w:szCs w:val="15"/>
        </w:rPr>
        <w:t>Recommended</w:t>
      </w:r>
      <w:r>
        <w:rPr>
          <w:rFonts w:ascii="Arial" w:hAnsi="Arial" w:eastAsia="Arial" w:cs="Arial"/>
          <w:spacing w:val="26"/>
          <w:w w:val="101"/>
          <w:sz w:val="15"/>
          <w:szCs w:val="15"/>
        </w:rPr>
        <w:t xml:space="preserve"> </w:t>
      </w:r>
      <w:r>
        <w:rPr>
          <w:rFonts w:ascii="Arial" w:hAnsi="Arial" w:eastAsia="Arial" w:cs="Arial"/>
          <w:spacing w:val="-2"/>
          <w:sz w:val="15"/>
          <w:szCs w:val="15"/>
        </w:rPr>
        <w:t>Remedies.”</w:t>
      </w:r>
      <w:r>
        <w:rPr>
          <w:rFonts w:ascii="Arial" w:hAnsi="Arial" w:eastAsia="Arial" w:cs="Arial"/>
          <w:spacing w:val="11"/>
          <w:sz w:val="15"/>
          <w:szCs w:val="15"/>
        </w:rPr>
        <w:t xml:space="preserve"> </w:t>
      </w:r>
      <w:r>
        <w:rPr>
          <w:rFonts w:ascii="Arial" w:hAnsi="Arial" w:eastAsia="Arial" w:cs="Arial"/>
          <w:spacing w:val="-2"/>
          <w:sz w:val="15"/>
          <w:szCs w:val="15"/>
        </w:rPr>
        <w:t>Journal</w:t>
      </w:r>
      <w:r>
        <w:rPr>
          <w:rFonts w:ascii="Arial" w:hAnsi="Arial" w:eastAsia="Arial" w:cs="Arial"/>
          <w:spacing w:val="15"/>
          <w:sz w:val="15"/>
          <w:szCs w:val="15"/>
        </w:rPr>
        <w:t xml:space="preserve"> </w:t>
      </w:r>
      <w:r>
        <w:rPr>
          <w:rFonts w:ascii="Arial" w:hAnsi="Arial" w:eastAsia="Arial" w:cs="Arial"/>
          <w:spacing w:val="-2"/>
          <w:sz w:val="15"/>
          <w:szCs w:val="15"/>
        </w:rPr>
        <w:t>of Applied</w:t>
      </w:r>
      <w:r>
        <w:rPr>
          <w:rFonts w:ascii="Arial" w:hAnsi="Arial" w:eastAsia="Arial" w:cs="Arial"/>
          <w:spacing w:val="16"/>
          <w:w w:val="101"/>
          <w:sz w:val="15"/>
          <w:szCs w:val="15"/>
        </w:rPr>
        <w:t xml:space="preserve"> </w:t>
      </w:r>
      <w:r>
        <w:rPr>
          <w:rFonts w:ascii="Arial" w:hAnsi="Arial" w:eastAsia="Arial" w:cs="Arial"/>
          <w:spacing w:val="-2"/>
          <w:sz w:val="15"/>
          <w:szCs w:val="15"/>
        </w:rPr>
        <w:t>Psychol</w:t>
      </w:r>
      <w:r>
        <w:rPr>
          <w:rFonts w:ascii="Arial" w:hAnsi="Arial" w:eastAsia="Arial" w:cs="Arial"/>
          <w:spacing w:val="-3"/>
          <w:sz w:val="15"/>
          <w:szCs w:val="15"/>
        </w:rPr>
        <w:t>ogy</w:t>
      </w:r>
      <w:r>
        <w:rPr>
          <w:rFonts w:ascii="Arial" w:hAnsi="Arial" w:eastAsia="Arial" w:cs="Arial"/>
          <w:spacing w:val="15"/>
          <w:w w:val="102"/>
          <w:sz w:val="15"/>
          <w:szCs w:val="15"/>
        </w:rPr>
        <w:t xml:space="preserve"> </w:t>
      </w:r>
      <w:r>
        <w:rPr>
          <w:rFonts w:ascii="Arial" w:hAnsi="Arial" w:eastAsia="Arial" w:cs="Arial"/>
          <w:spacing w:val="-3"/>
          <w:sz w:val="15"/>
          <w:szCs w:val="15"/>
        </w:rPr>
        <w:t>88:</w:t>
      </w:r>
      <w:r>
        <w:rPr>
          <w:rFonts w:ascii="Arial" w:hAnsi="Arial" w:eastAsia="Arial" w:cs="Arial"/>
          <w:spacing w:val="21"/>
          <w:sz w:val="15"/>
          <w:szCs w:val="15"/>
        </w:rPr>
        <w:t xml:space="preserve"> </w:t>
      </w:r>
      <w:r>
        <w:rPr>
          <w:rFonts w:ascii="Arial" w:hAnsi="Arial" w:eastAsia="Arial" w:cs="Arial"/>
          <w:spacing w:val="-3"/>
          <w:sz w:val="15"/>
          <w:szCs w:val="15"/>
        </w:rPr>
        <w:t>879–903.</w:t>
      </w:r>
      <w:r>
        <w:rPr>
          <w:rFonts w:ascii="Arial" w:hAnsi="Arial" w:eastAsia="Arial" w:cs="Arial"/>
          <w:spacing w:val="14"/>
          <w:sz w:val="15"/>
          <w:szCs w:val="15"/>
        </w:rPr>
        <w:t xml:space="preserve"> </w:t>
      </w:r>
      <w:r>
        <w:fldChar w:fldCharType="begin"/>
      </w:r>
      <w:r>
        <w:instrText xml:space="preserve"> HYPERLINK "https://doi.org/10.1037/0021-9101.88.5.879" </w:instrText>
      </w:r>
      <w:r>
        <w:fldChar w:fldCharType="separate"/>
      </w:r>
      <w:r>
        <w:rPr>
          <w:rFonts w:ascii="Arial" w:hAnsi="Arial" w:eastAsia="Arial" w:cs="Arial"/>
          <w:color w:val="000084"/>
          <w:spacing w:val="-3"/>
          <w:sz w:val="15"/>
          <w:szCs w:val="15"/>
        </w:rPr>
        <w:t>doi:10.</w:t>
      </w:r>
      <w:r>
        <w:rPr>
          <w:rFonts w:ascii="Arial" w:hAnsi="Arial" w:eastAsia="Arial" w:cs="Arial"/>
          <w:color w:val="000084"/>
          <w:spacing w:val="-3"/>
          <w:sz w:val="15"/>
          <w:szCs w:val="15"/>
        </w:rPr>
        <w:fldChar w:fldCharType="end"/>
      </w:r>
      <w:r>
        <w:rPr>
          <w:rFonts w:ascii="Arial" w:hAnsi="Arial" w:eastAsia="Arial" w:cs="Arial"/>
          <w:color w:val="000084"/>
          <w:sz w:val="15"/>
          <w:szCs w:val="15"/>
        </w:rPr>
        <w:t xml:space="preserve"> </w:t>
      </w:r>
      <w:r>
        <w:fldChar w:fldCharType="begin"/>
      </w:r>
      <w:r>
        <w:instrText xml:space="preserve"> HYPERLINK "https://doi.org/10.1037/0021-9101.88.5.879" </w:instrText>
      </w:r>
      <w:r>
        <w:fldChar w:fldCharType="separate"/>
      </w:r>
      <w:r>
        <w:rPr>
          <w:rFonts w:ascii="Arial" w:hAnsi="Arial" w:eastAsia="Arial" w:cs="Arial"/>
          <w:color w:val="000084"/>
          <w:spacing w:val="-3"/>
          <w:sz w:val="15"/>
          <w:szCs w:val="15"/>
        </w:rPr>
        <w:t>1037/0021-9101.88.5.879</w:t>
      </w:r>
      <w:r>
        <w:rPr>
          <w:rFonts w:ascii="Arial" w:hAnsi="Arial" w:eastAsia="Arial" w:cs="Arial"/>
          <w:color w:val="000084"/>
          <w:spacing w:val="-3"/>
          <w:sz w:val="15"/>
          <w:szCs w:val="15"/>
        </w:rPr>
        <w:fldChar w:fldCharType="end"/>
      </w:r>
      <w:r>
        <w:rPr>
          <w:rFonts w:ascii="Arial" w:hAnsi="Arial" w:eastAsia="Arial" w:cs="Arial"/>
          <w:spacing w:val="-3"/>
          <w:sz w:val="15"/>
          <w:szCs w:val="15"/>
        </w:rPr>
        <w:t>.</w:t>
      </w:r>
    </w:p>
    <w:p>
      <w:pPr>
        <w:spacing w:before="9" w:line="251" w:lineRule="auto"/>
        <w:ind w:left="204" w:right="19" w:hanging="192"/>
        <w:rPr>
          <w:rFonts w:ascii="Arial" w:hAnsi="Arial" w:eastAsia="Arial" w:cs="Arial"/>
          <w:sz w:val="15"/>
          <w:szCs w:val="15"/>
        </w:rPr>
      </w:pPr>
      <w:r>
        <w:rPr>
          <w:rFonts w:ascii="Arial" w:hAnsi="Arial" w:eastAsia="Arial" w:cs="Arial"/>
          <w:spacing w:val="-1"/>
          <w:sz w:val="15"/>
          <w:szCs w:val="15"/>
        </w:rPr>
        <w:t>Reichert,</w:t>
      </w:r>
      <w:r>
        <w:rPr>
          <w:rFonts w:ascii="Arial" w:hAnsi="Arial" w:eastAsia="Arial" w:cs="Arial"/>
          <w:spacing w:val="19"/>
          <w:sz w:val="15"/>
          <w:szCs w:val="15"/>
        </w:rPr>
        <w:t xml:space="preserve"> </w:t>
      </w:r>
      <w:r>
        <w:rPr>
          <w:rFonts w:ascii="Arial" w:hAnsi="Arial" w:eastAsia="Arial" w:cs="Arial"/>
          <w:spacing w:val="-1"/>
          <w:sz w:val="15"/>
          <w:szCs w:val="15"/>
        </w:rPr>
        <w:t>S.</w:t>
      </w:r>
      <w:r>
        <w:rPr>
          <w:rFonts w:ascii="Arial" w:hAnsi="Arial" w:eastAsia="Arial" w:cs="Arial"/>
          <w:spacing w:val="11"/>
          <w:w w:val="101"/>
          <w:sz w:val="15"/>
          <w:szCs w:val="15"/>
        </w:rPr>
        <w:t xml:space="preserve"> </w:t>
      </w:r>
      <w:r>
        <w:fldChar w:fldCharType="begin"/>
      </w:r>
      <w:r>
        <w:instrText xml:space="preserve"> HYPERLINK \l "bookmark23" </w:instrText>
      </w:r>
      <w:r>
        <w:fldChar w:fldCharType="separate"/>
      </w:r>
      <w:r>
        <w:rPr>
          <w:rFonts w:ascii="Arial" w:hAnsi="Arial" w:eastAsia="Arial" w:cs="Arial"/>
          <w:color w:val="000084"/>
          <w:spacing w:val="-1"/>
          <w:sz w:val="15"/>
          <w:szCs w:val="15"/>
        </w:rPr>
        <w:t>2010</w:t>
      </w:r>
      <w:r>
        <w:rPr>
          <w:rFonts w:ascii="Arial" w:hAnsi="Arial" w:eastAsia="Arial" w:cs="Arial"/>
          <w:color w:val="000084"/>
          <w:spacing w:val="-1"/>
          <w:sz w:val="15"/>
          <w:szCs w:val="15"/>
        </w:rPr>
        <w:fldChar w:fldCharType="end"/>
      </w:r>
      <w:r>
        <w:rPr>
          <w:rFonts w:ascii="Arial" w:hAnsi="Arial" w:eastAsia="Arial" w:cs="Arial"/>
          <w:spacing w:val="-1"/>
          <w:sz w:val="15"/>
          <w:szCs w:val="15"/>
        </w:rPr>
        <w:t>.</w:t>
      </w:r>
      <w:r>
        <w:rPr>
          <w:rFonts w:ascii="Arial" w:hAnsi="Arial" w:eastAsia="Arial" w:cs="Arial"/>
          <w:spacing w:val="17"/>
          <w:w w:val="101"/>
          <w:sz w:val="15"/>
          <w:szCs w:val="15"/>
        </w:rPr>
        <w:t xml:space="preserve"> </w:t>
      </w:r>
      <w:r>
        <w:rPr>
          <w:rFonts w:ascii="Arial" w:hAnsi="Arial" w:eastAsia="Arial" w:cs="Arial"/>
          <w:spacing w:val="-1"/>
          <w:sz w:val="15"/>
          <w:szCs w:val="15"/>
        </w:rPr>
        <w:t>“The</w:t>
      </w:r>
      <w:r>
        <w:rPr>
          <w:rFonts w:ascii="Arial" w:hAnsi="Arial" w:eastAsia="Arial" w:cs="Arial"/>
          <w:spacing w:val="24"/>
          <w:w w:val="101"/>
          <w:sz w:val="15"/>
          <w:szCs w:val="15"/>
        </w:rPr>
        <w:t xml:space="preserve"> </w:t>
      </w:r>
      <w:r>
        <w:rPr>
          <w:rFonts w:ascii="Arial" w:hAnsi="Arial" w:eastAsia="Arial" w:cs="Arial"/>
          <w:spacing w:val="-1"/>
          <w:sz w:val="15"/>
          <w:szCs w:val="15"/>
        </w:rPr>
        <w:t>Intended</w:t>
      </w:r>
      <w:r>
        <w:rPr>
          <w:rFonts w:ascii="Arial" w:hAnsi="Arial" w:eastAsia="Arial" w:cs="Arial"/>
          <w:spacing w:val="18"/>
          <w:sz w:val="15"/>
          <w:szCs w:val="15"/>
        </w:rPr>
        <w:t xml:space="preserve"> </w:t>
      </w:r>
      <w:r>
        <w:rPr>
          <w:rFonts w:ascii="Arial" w:hAnsi="Arial" w:eastAsia="Arial" w:cs="Arial"/>
          <w:spacing w:val="-2"/>
          <w:sz w:val="15"/>
          <w:szCs w:val="15"/>
        </w:rPr>
        <w:t>and</w:t>
      </w:r>
      <w:r>
        <w:rPr>
          <w:rFonts w:ascii="Arial" w:hAnsi="Arial" w:eastAsia="Arial" w:cs="Arial"/>
          <w:spacing w:val="22"/>
          <w:w w:val="102"/>
          <w:sz w:val="15"/>
          <w:szCs w:val="15"/>
        </w:rPr>
        <w:t xml:space="preserve"> </w:t>
      </w:r>
      <w:r>
        <w:rPr>
          <w:rFonts w:ascii="Arial" w:hAnsi="Arial" w:eastAsia="Arial" w:cs="Arial"/>
          <w:spacing w:val="-2"/>
          <w:sz w:val="15"/>
          <w:szCs w:val="15"/>
        </w:rPr>
        <w:t>Unintended</w:t>
      </w:r>
      <w:r>
        <w:rPr>
          <w:rFonts w:ascii="Arial" w:hAnsi="Arial" w:eastAsia="Arial" w:cs="Arial"/>
          <w:spacing w:val="24"/>
          <w:w w:val="101"/>
          <w:sz w:val="15"/>
          <w:szCs w:val="15"/>
        </w:rPr>
        <w:t xml:space="preserve"> </w:t>
      </w:r>
      <w:r>
        <w:rPr>
          <w:rFonts w:ascii="Arial" w:hAnsi="Arial" w:eastAsia="Arial" w:cs="Arial"/>
          <w:spacing w:val="-2"/>
          <w:sz w:val="15"/>
          <w:szCs w:val="15"/>
        </w:rPr>
        <w:t>Efects</w:t>
      </w:r>
      <w:r>
        <w:rPr>
          <w:rFonts w:ascii="Arial" w:hAnsi="Arial" w:eastAsia="Arial" w:cs="Arial"/>
          <w:spacing w:val="18"/>
          <w:sz w:val="15"/>
          <w:szCs w:val="15"/>
        </w:rPr>
        <w:t xml:space="preserve"> </w:t>
      </w:r>
      <w:r>
        <w:rPr>
          <w:rFonts w:ascii="Arial" w:hAnsi="Arial" w:eastAsia="Arial" w:cs="Arial"/>
          <w:spacing w:val="-2"/>
          <w:sz w:val="15"/>
          <w:szCs w:val="15"/>
        </w:rPr>
        <w:t>of the</w:t>
      </w:r>
      <w:r>
        <w:rPr>
          <w:rFonts w:ascii="Arial" w:hAnsi="Arial" w:eastAsia="Arial" w:cs="Arial"/>
          <w:spacing w:val="23"/>
          <w:w w:val="102"/>
          <w:sz w:val="15"/>
          <w:szCs w:val="15"/>
        </w:rPr>
        <w:t xml:space="preserve"> </w:t>
      </w:r>
      <w:r>
        <w:rPr>
          <w:rFonts w:ascii="Arial" w:hAnsi="Arial" w:eastAsia="Arial" w:cs="Arial"/>
          <w:spacing w:val="-2"/>
          <w:sz w:val="15"/>
          <w:szCs w:val="15"/>
        </w:rPr>
        <w:t>Bologna</w:t>
      </w:r>
      <w:r>
        <w:rPr>
          <w:rFonts w:ascii="Arial" w:hAnsi="Arial" w:eastAsia="Arial" w:cs="Arial"/>
          <w:spacing w:val="23"/>
          <w:sz w:val="15"/>
          <w:szCs w:val="15"/>
        </w:rPr>
        <w:t xml:space="preserve"> </w:t>
      </w:r>
      <w:r>
        <w:rPr>
          <w:rFonts w:ascii="Arial" w:hAnsi="Arial" w:eastAsia="Arial" w:cs="Arial"/>
          <w:spacing w:val="-2"/>
          <w:sz w:val="15"/>
          <w:szCs w:val="15"/>
        </w:rPr>
        <w:t>Reforms.”</w:t>
      </w:r>
      <w:r>
        <w:rPr>
          <w:rFonts w:ascii="Arial" w:hAnsi="Arial" w:eastAsia="Arial" w:cs="Arial"/>
          <w:spacing w:val="17"/>
          <w:sz w:val="15"/>
          <w:szCs w:val="15"/>
        </w:rPr>
        <w:t xml:space="preserve"> </w:t>
      </w:r>
      <w:r>
        <w:rPr>
          <w:rFonts w:ascii="Arial" w:hAnsi="Arial" w:eastAsia="Arial" w:cs="Arial"/>
          <w:spacing w:val="-2"/>
          <w:sz w:val="15"/>
          <w:szCs w:val="15"/>
        </w:rPr>
        <w:t>Higher</w:t>
      </w:r>
      <w:r>
        <w:rPr>
          <w:rFonts w:ascii="Arial" w:hAnsi="Arial" w:eastAsia="Arial" w:cs="Arial"/>
          <w:spacing w:val="11"/>
          <w:sz w:val="15"/>
          <w:szCs w:val="15"/>
        </w:rPr>
        <w:t xml:space="preserve"> </w:t>
      </w:r>
      <w:r>
        <w:rPr>
          <w:rFonts w:ascii="Arial" w:hAnsi="Arial" w:eastAsia="Arial" w:cs="Arial"/>
          <w:spacing w:val="-2"/>
          <w:sz w:val="15"/>
          <w:szCs w:val="15"/>
        </w:rPr>
        <w:t>Education</w:t>
      </w:r>
      <w:r>
        <w:rPr>
          <w:rFonts w:ascii="Arial" w:hAnsi="Arial" w:eastAsia="Arial" w:cs="Arial"/>
          <w:spacing w:val="12"/>
          <w:w w:val="101"/>
          <w:sz w:val="15"/>
          <w:szCs w:val="15"/>
        </w:rPr>
        <w:t xml:space="preserve"> </w:t>
      </w:r>
      <w:r>
        <w:rPr>
          <w:rFonts w:ascii="Arial" w:hAnsi="Arial" w:eastAsia="Arial" w:cs="Arial"/>
          <w:spacing w:val="-2"/>
          <w:sz w:val="15"/>
          <w:szCs w:val="15"/>
        </w:rPr>
        <w:t>Management</w:t>
      </w:r>
      <w:r>
        <w:rPr>
          <w:rFonts w:ascii="Arial" w:hAnsi="Arial" w:eastAsia="Arial" w:cs="Arial"/>
          <w:spacing w:val="11"/>
          <w:w w:val="102"/>
          <w:sz w:val="15"/>
          <w:szCs w:val="15"/>
        </w:rPr>
        <w:t xml:space="preserve"> </w:t>
      </w:r>
      <w:r>
        <w:rPr>
          <w:rFonts w:ascii="Arial" w:hAnsi="Arial" w:eastAsia="Arial" w:cs="Arial"/>
          <w:spacing w:val="-2"/>
          <w:sz w:val="15"/>
          <w:szCs w:val="15"/>
        </w:rPr>
        <w:t>and</w:t>
      </w:r>
      <w:r>
        <w:rPr>
          <w:rFonts w:ascii="Arial" w:hAnsi="Arial" w:eastAsia="Arial" w:cs="Arial"/>
          <w:sz w:val="15"/>
          <w:szCs w:val="15"/>
        </w:rPr>
        <w:t xml:space="preserve"> </w:t>
      </w:r>
      <w:r>
        <w:rPr>
          <w:rFonts w:ascii="Arial" w:hAnsi="Arial" w:eastAsia="Arial" w:cs="Arial"/>
          <w:spacing w:val="-1"/>
          <w:sz w:val="15"/>
          <w:szCs w:val="15"/>
        </w:rPr>
        <w:t>Policy 22:</w:t>
      </w:r>
      <w:r>
        <w:rPr>
          <w:rFonts w:ascii="Arial" w:hAnsi="Arial" w:eastAsia="Arial" w:cs="Arial"/>
          <w:spacing w:val="22"/>
          <w:sz w:val="15"/>
          <w:szCs w:val="15"/>
        </w:rPr>
        <w:t xml:space="preserve"> </w:t>
      </w:r>
      <w:r>
        <w:rPr>
          <w:rFonts w:ascii="Arial" w:hAnsi="Arial" w:eastAsia="Arial" w:cs="Arial"/>
          <w:spacing w:val="-1"/>
          <w:sz w:val="15"/>
          <w:szCs w:val="15"/>
        </w:rPr>
        <w:t xml:space="preserve">1–20. </w:t>
      </w:r>
      <w:r>
        <w:fldChar w:fldCharType="begin"/>
      </w:r>
      <w:r>
        <w:instrText xml:space="preserve"> HYPERLINK "https://doi.org/10.1787/hemp-v22-art6-en" </w:instrText>
      </w:r>
      <w:r>
        <w:fldChar w:fldCharType="separate"/>
      </w:r>
      <w:r>
        <w:rPr>
          <w:rFonts w:ascii="Arial" w:hAnsi="Arial" w:eastAsia="Arial" w:cs="Arial"/>
          <w:color w:val="000084"/>
          <w:spacing w:val="-1"/>
          <w:sz w:val="15"/>
          <w:szCs w:val="15"/>
        </w:rPr>
        <w:t>doi:10.178</w:t>
      </w:r>
      <w:r>
        <w:rPr>
          <w:rFonts w:ascii="Arial" w:hAnsi="Arial" w:eastAsia="Arial" w:cs="Arial"/>
          <w:color w:val="000084"/>
          <w:spacing w:val="-2"/>
          <w:sz w:val="15"/>
          <w:szCs w:val="15"/>
        </w:rPr>
        <w:t>7/hemp-v22-art6-en</w:t>
      </w:r>
      <w:r>
        <w:rPr>
          <w:rFonts w:ascii="Arial" w:hAnsi="Arial" w:eastAsia="Arial" w:cs="Arial"/>
          <w:color w:val="000084"/>
          <w:spacing w:val="-2"/>
          <w:sz w:val="15"/>
          <w:szCs w:val="15"/>
        </w:rPr>
        <w:fldChar w:fldCharType="end"/>
      </w:r>
      <w:r>
        <w:rPr>
          <w:rFonts w:ascii="Arial" w:hAnsi="Arial" w:eastAsia="Arial" w:cs="Arial"/>
          <w:spacing w:val="-2"/>
          <w:sz w:val="15"/>
          <w:szCs w:val="15"/>
        </w:rPr>
        <w:t>.</w:t>
      </w:r>
    </w:p>
    <w:p>
      <w:pPr>
        <w:spacing w:before="39" w:line="257" w:lineRule="auto"/>
        <w:ind w:left="204" w:right="23" w:hanging="198"/>
        <w:rPr>
          <w:rFonts w:ascii="Arial" w:hAnsi="Arial" w:eastAsia="Arial" w:cs="Arial"/>
          <w:sz w:val="15"/>
          <w:szCs w:val="15"/>
        </w:rPr>
      </w:pPr>
      <w:r>
        <w:rPr>
          <w:rFonts w:ascii="Arial" w:hAnsi="Arial" w:eastAsia="Arial" w:cs="Arial"/>
          <w:spacing w:val="-4"/>
          <w:sz w:val="15"/>
          <w:szCs w:val="15"/>
        </w:rPr>
        <w:t>Sattler,</w:t>
      </w:r>
      <w:r>
        <w:rPr>
          <w:rFonts w:ascii="Arial" w:hAnsi="Arial" w:eastAsia="Arial" w:cs="Arial"/>
          <w:spacing w:val="10"/>
          <w:w w:val="101"/>
          <w:sz w:val="15"/>
          <w:szCs w:val="15"/>
        </w:rPr>
        <w:t xml:space="preserve"> </w:t>
      </w:r>
      <w:r>
        <w:rPr>
          <w:rFonts w:ascii="Arial" w:hAnsi="Arial" w:eastAsia="Arial" w:cs="Arial"/>
          <w:spacing w:val="-4"/>
          <w:sz w:val="15"/>
          <w:szCs w:val="15"/>
        </w:rPr>
        <w:t>C.,</w:t>
      </w:r>
      <w:r>
        <w:rPr>
          <w:rFonts w:ascii="Arial" w:hAnsi="Arial" w:eastAsia="Arial" w:cs="Arial"/>
          <w:spacing w:val="17"/>
          <w:sz w:val="15"/>
          <w:szCs w:val="15"/>
        </w:rPr>
        <w:t xml:space="preserve"> </w:t>
      </w:r>
      <w:r>
        <w:rPr>
          <w:rFonts w:ascii="Arial" w:hAnsi="Arial" w:eastAsia="Arial" w:cs="Arial"/>
          <w:spacing w:val="-4"/>
          <w:sz w:val="15"/>
          <w:szCs w:val="15"/>
        </w:rPr>
        <w:t>K.</w:t>
      </w:r>
      <w:r>
        <w:rPr>
          <w:rFonts w:ascii="Arial" w:hAnsi="Arial" w:eastAsia="Arial" w:cs="Arial"/>
          <w:spacing w:val="11"/>
          <w:w w:val="101"/>
          <w:sz w:val="15"/>
          <w:szCs w:val="15"/>
        </w:rPr>
        <w:t xml:space="preserve"> </w:t>
      </w:r>
      <w:r>
        <w:rPr>
          <w:rFonts w:ascii="Arial" w:hAnsi="Arial" w:eastAsia="Arial" w:cs="Arial"/>
          <w:spacing w:val="-4"/>
          <w:sz w:val="15"/>
          <w:szCs w:val="15"/>
        </w:rPr>
        <w:t>Götzen,</w:t>
      </w:r>
      <w:r>
        <w:rPr>
          <w:rFonts w:ascii="Arial" w:hAnsi="Arial" w:eastAsia="Arial" w:cs="Arial"/>
          <w:spacing w:val="12"/>
          <w:w w:val="101"/>
          <w:sz w:val="15"/>
          <w:szCs w:val="15"/>
        </w:rPr>
        <w:t xml:space="preserve"> </w:t>
      </w:r>
      <w:r>
        <w:rPr>
          <w:rFonts w:ascii="Arial" w:hAnsi="Arial" w:eastAsia="Arial" w:cs="Arial"/>
          <w:spacing w:val="-4"/>
          <w:sz w:val="15"/>
          <w:szCs w:val="15"/>
        </w:rPr>
        <w:t>M.</w:t>
      </w:r>
      <w:r>
        <w:rPr>
          <w:rFonts w:ascii="Arial" w:hAnsi="Arial" w:eastAsia="Arial" w:cs="Arial"/>
          <w:spacing w:val="17"/>
          <w:sz w:val="15"/>
          <w:szCs w:val="15"/>
        </w:rPr>
        <w:t xml:space="preserve"> </w:t>
      </w:r>
      <w:r>
        <w:rPr>
          <w:rFonts w:ascii="Arial" w:hAnsi="Arial" w:eastAsia="Arial" w:cs="Arial"/>
          <w:spacing w:val="-4"/>
          <w:sz w:val="15"/>
          <w:szCs w:val="15"/>
        </w:rPr>
        <w:t>Backisch,</w:t>
      </w:r>
      <w:r>
        <w:rPr>
          <w:rFonts w:ascii="Arial" w:hAnsi="Arial" w:eastAsia="Arial" w:cs="Arial"/>
          <w:spacing w:val="17"/>
          <w:w w:val="102"/>
          <w:sz w:val="15"/>
          <w:szCs w:val="15"/>
        </w:rPr>
        <w:t xml:space="preserve"> </w:t>
      </w:r>
      <w:r>
        <w:rPr>
          <w:rFonts w:ascii="Arial" w:hAnsi="Arial" w:eastAsia="Arial" w:cs="Arial"/>
          <w:spacing w:val="-4"/>
          <w:sz w:val="15"/>
          <w:szCs w:val="15"/>
        </w:rPr>
        <w:t>H.</w:t>
      </w:r>
      <w:r>
        <w:rPr>
          <w:rFonts w:ascii="Arial" w:hAnsi="Arial" w:eastAsia="Arial" w:cs="Arial"/>
          <w:spacing w:val="17"/>
          <w:sz w:val="15"/>
          <w:szCs w:val="15"/>
        </w:rPr>
        <w:t xml:space="preserve"> </w:t>
      </w:r>
      <w:r>
        <w:rPr>
          <w:rFonts w:ascii="Arial" w:hAnsi="Arial" w:eastAsia="Arial" w:cs="Arial"/>
          <w:spacing w:val="-4"/>
          <w:sz w:val="15"/>
          <w:szCs w:val="15"/>
        </w:rPr>
        <w:t>Ellermann, T.</w:t>
      </w:r>
      <w:r>
        <w:rPr>
          <w:rFonts w:ascii="Arial" w:hAnsi="Arial" w:eastAsia="Arial" w:cs="Arial"/>
          <w:spacing w:val="12"/>
          <w:sz w:val="15"/>
          <w:szCs w:val="15"/>
        </w:rPr>
        <w:t xml:space="preserve"> </w:t>
      </w:r>
      <w:r>
        <w:rPr>
          <w:rFonts w:ascii="Arial" w:hAnsi="Arial" w:eastAsia="Arial" w:cs="Arial"/>
          <w:spacing w:val="-4"/>
          <w:sz w:val="15"/>
          <w:szCs w:val="15"/>
        </w:rPr>
        <w:t>Schüssler,</w:t>
      </w:r>
      <w:r>
        <w:rPr>
          <w:rFonts w:ascii="Arial" w:hAnsi="Arial" w:eastAsia="Arial" w:cs="Arial"/>
          <w:spacing w:val="17"/>
          <w:w w:val="102"/>
          <w:sz w:val="15"/>
          <w:szCs w:val="15"/>
        </w:rPr>
        <w:t xml:space="preserve"> </w:t>
      </w:r>
      <w:r>
        <w:rPr>
          <w:rFonts w:ascii="Arial" w:hAnsi="Arial" w:eastAsia="Arial" w:cs="Arial"/>
          <w:spacing w:val="-4"/>
          <w:sz w:val="15"/>
          <w:szCs w:val="15"/>
        </w:rPr>
        <w:t>R.</w:t>
      </w:r>
      <w:r>
        <w:rPr>
          <w:rFonts w:ascii="Arial" w:hAnsi="Arial" w:eastAsia="Arial" w:cs="Arial"/>
          <w:spacing w:val="14"/>
          <w:w w:val="101"/>
          <w:sz w:val="15"/>
          <w:szCs w:val="15"/>
        </w:rPr>
        <w:t xml:space="preserve"> </w:t>
      </w:r>
      <w:r>
        <w:rPr>
          <w:rFonts w:ascii="Arial" w:hAnsi="Arial" w:eastAsia="Arial" w:cs="Arial"/>
          <w:spacing w:val="-4"/>
          <w:sz w:val="15"/>
          <w:szCs w:val="15"/>
        </w:rPr>
        <w:t>Melzer-Ridinger,</w:t>
      </w:r>
      <w:r>
        <w:rPr>
          <w:rFonts w:ascii="Arial" w:hAnsi="Arial" w:eastAsia="Arial" w:cs="Arial"/>
          <w:spacing w:val="9"/>
          <w:sz w:val="15"/>
          <w:szCs w:val="15"/>
        </w:rPr>
        <w:t xml:space="preserve"> </w:t>
      </w:r>
      <w:r>
        <w:rPr>
          <w:rFonts w:ascii="Arial" w:hAnsi="Arial" w:eastAsia="Arial" w:cs="Arial"/>
          <w:spacing w:val="-4"/>
          <w:sz w:val="15"/>
          <w:szCs w:val="15"/>
        </w:rPr>
        <w:t>and</w:t>
      </w:r>
      <w:r>
        <w:rPr>
          <w:rFonts w:ascii="Arial" w:hAnsi="Arial" w:eastAsia="Arial" w:cs="Arial"/>
          <w:spacing w:val="17"/>
          <w:sz w:val="15"/>
          <w:szCs w:val="15"/>
        </w:rPr>
        <w:t xml:space="preserve"> </w:t>
      </w:r>
      <w:r>
        <w:rPr>
          <w:rFonts w:ascii="Arial" w:hAnsi="Arial" w:eastAsia="Arial" w:cs="Arial"/>
          <w:spacing w:val="-4"/>
          <w:sz w:val="15"/>
          <w:szCs w:val="15"/>
        </w:rPr>
        <w:t>K.</w:t>
      </w:r>
      <w:r>
        <w:rPr>
          <w:rFonts w:ascii="Arial" w:hAnsi="Arial" w:eastAsia="Arial" w:cs="Arial"/>
          <w:spacing w:val="12"/>
          <w:w w:val="101"/>
          <w:sz w:val="15"/>
          <w:szCs w:val="15"/>
        </w:rPr>
        <w:t xml:space="preserve"> </w:t>
      </w:r>
      <w:r>
        <w:rPr>
          <w:rFonts w:ascii="Arial" w:hAnsi="Arial" w:eastAsia="Arial" w:cs="Arial"/>
          <w:spacing w:val="-4"/>
          <w:sz w:val="15"/>
          <w:szCs w:val="15"/>
        </w:rPr>
        <w:t xml:space="preserve">Sonntag. </w:t>
      </w:r>
      <w:r>
        <w:fldChar w:fldCharType="begin"/>
      </w:r>
      <w:r>
        <w:instrText xml:space="preserve"> HYPERLINK \l "bookmark42" </w:instrText>
      </w:r>
      <w:r>
        <w:fldChar w:fldCharType="separate"/>
      </w:r>
      <w:r>
        <w:rPr>
          <w:rFonts w:ascii="Arial" w:hAnsi="Arial" w:eastAsia="Arial" w:cs="Arial"/>
          <w:color w:val="000084"/>
          <w:spacing w:val="-4"/>
          <w:sz w:val="15"/>
          <w:szCs w:val="15"/>
        </w:rPr>
        <w:t>2013</w:t>
      </w:r>
      <w:r>
        <w:rPr>
          <w:rFonts w:ascii="Arial" w:hAnsi="Arial" w:eastAsia="Arial" w:cs="Arial"/>
          <w:color w:val="000084"/>
          <w:spacing w:val="-4"/>
          <w:sz w:val="15"/>
          <w:szCs w:val="15"/>
        </w:rPr>
        <w:fldChar w:fldCharType="end"/>
      </w:r>
      <w:r>
        <w:rPr>
          <w:rFonts w:ascii="Arial" w:hAnsi="Arial" w:eastAsia="Arial" w:cs="Arial"/>
          <w:spacing w:val="-4"/>
          <w:sz w:val="15"/>
          <w:szCs w:val="15"/>
        </w:rPr>
        <w:t>.</w:t>
      </w:r>
      <w:r>
        <w:rPr>
          <w:rFonts w:ascii="Arial" w:hAnsi="Arial" w:eastAsia="Arial" w:cs="Arial"/>
          <w:spacing w:val="17"/>
          <w:sz w:val="15"/>
          <w:szCs w:val="15"/>
        </w:rPr>
        <w:t xml:space="preserve"> </w:t>
      </w:r>
      <w:r>
        <w:rPr>
          <w:rFonts w:ascii="Arial" w:hAnsi="Arial" w:eastAsia="Arial" w:cs="Arial"/>
          <w:spacing w:val="-4"/>
          <w:sz w:val="15"/>
          <w:szCs w:val="15"/>
        </w:rPr>
        <w:t>Bede</w:t>
      </w:r>
      <w:r>
        <w:rPr>
          <w:rFonts w:ascii="Arial" w:hAnsi="Arial" w:eastAsia="Arial" w:cs="Arial"/>
          <w:spacing w:val="-5"/>
          <w:sz w:val="15"/>
          <w:szCs w:val="15"/>
        </w:rPr>
        <w:t>utung</w:t>
      </w:r>
      <w:r>
        <w:rPr>
          <w:rFonts w:ascii="Arial" w:hAnsi="Arial" w:eastAsia="Arial" w:cs="Arial"/>
          <w:spacing w:val="16"/>
          <w:w w:val="101"/>
          <w:sz w:val="15"/>
          <w:szCs w:val="15"/>
        </w:rPr>
        <w:t xml:space="preserve"> </w:t>
      </w:r>
      <w:r>
        <w:rPr>
          <w:rFonts w:ascii="Arial" w:hAnsi="Arial" w:eastAsia="Arial" w:cs="Arial"/>
          <w:spacing w:val="-5"/>
          <w:sz w:val="15"/>
          <w:szCs w:val="15"/>
        </w:rPr>
        <w:t>und</w:t>
      </w:r>
      <w:r>
        <w:rPr>
          <w:rFonts w:ascii="Arial" w:hAnsi="Arial" w:eastAsia="Arial" w:cs="Arial"/>
          <w:sz w:val="15"/>
          <w:szCs w:val="15"/>
        </w:rPr>
        <w:t xml:space="preserve"> Dimensionen von Qualitätskul</w:t>
      </w:r>
      <w:r>
        <w:rPr>
          <w:rFonts w:ascii="Arial" w:hAnsi="Arial" w:eastAsia="Arial" w:cs="Arial"/>
          <w:spacing w:val="-1"/>
          <w:sz w:val="15"/>
          <w:szCs w:val="15"/>
        </w:rPr>
        <w:t>tur</w:t>
      </w:r>
      <w:r>
        <w:rPr>
          <w:rFonts w:ascii="Arial" w:hAnsi="Arial" w:eastAsia="Arial" w:cs="Arial"/>
          <w:spacing w:val="11"/>
          <w:sz w:val="15"/>
          <w:szCs w:val="15"/>
        </w:rPr>
        <w:t xml:space="preserve"> </w:t>
      </w:r>
      <w:r>
        <w:rPr>
          <w:rFonts w:ascii="Arial" w:hAnsi="Arial" w:eastAsia="Arial" w:cs="Arial"/>
          <w:spacing w:val="-1"/>
          <w:sz w:val="15"/>
          <w:szCs w:val="15"/>
        </w:rPr>
        <w:t>im</w:t>
      </w:r>
      <w:r>
        <w:rPr>
          <w:rFonts w:ascii="Arial" w:hAnsi="Arial" w:eastAsia="Arial" w:cs="Arial"/>
          <w:spacing w:val="13"/>
          <w:sz w:val="15"/>
          <w:szCs w:val="15"/>
        </w:rPr>
        <w:t xml:space="preserve"> </w:t>
      </w:r>
      <w:r>
        <w:rPr>
          <w:rFonts w:ascii="Arial" w:hAnsi="Arial" w:eastAsia="Arial" w:cs="Arial"/>
          <w:spacing w:val="-1"/>
          <w:sz w:val="15"/>
          <w:szCs w:val="15"/>
        </w:rPr>
        <w:t>Hochschulkontext. Ergebnisbericht der Literaturrecherche. Abteilung Arbeits-</w:t>
      </w:r>
      <w:r>
        <w:rPr>
          <w:rFonts w:ascii="Arial" w:hAnsi="Arial" w:eastAsia="Arial" w:cs="Arial"/>
          <w:spacing w:val="10"/>
          <w:w w:val="101"/>
          <w:sz w:val="15"/>
          <w:szCs w:val="15"/>
        </w:rPr>
        <w:t xml:space="preserve"> </w:t>
      </w:r>
      <w:r>
        <w:rPr>
          <w:rFonts w:ascii="Arial" w:hAnsi="Arial" w:eastAsia="Arial" w:cs="Arial"/>
          <w:spacing w:val="-1"/>
          <w:sz w:val="15"/>
          <w:szCs w:val="15"/>
        </w:rPr>
        <w:t>und</w:t>
      </w:r>
      <w:r>
        <w:rPr>
          <w:rFonts w:ascii="Arial" w:hAnsi="Arial" w:eastAsia="Arial" w:cs="Arial"/>
          <w:sz w:val="15"/>
          <w:szCs w:val="15"/>
        </w:rPr>
        <w:t xml:space="preserve"> Organisationspsychol</w:t>
      </w:r>
      <w:r>
        <w:rPr>
          <w:rFonts w:ascii="Arial" w:hAnsi="Arial" w:eastAsia="Arial" w:cs="Arial"/>
          <w:spacing w:val="-1"/>
          <w:sz w:val="15"/>
          <w:szCs w:val="15"/>
        </w:rPr>
        <w:t>ogie.</w:t>
      </w:r>
      <w:r>
        <w:rPr>
          <w:rFonts w:ascii="Arial" w:hAnsi="Arial" w:eastAsia="Arial" w:cs="Arial"/>
          <w:spacing w:val="18"/>
          <w:w w:val="102"/>
          <w:sz w:val="15"/>
          <w:szCs w:val="15"/>
        </w:rPr>
        <w:t xml:space="preserve"> </w:t>
      </w:r>
      <w:r>
        <w:rPr>
          <w:rFonts w:ascii="Arial" w:hAnsi="Arial" w:eastAsia="Arial" w:cs="Arial"/>
          <w:spacing w:val="-1"/>
          <w:sz w:val="15"/>
          <w:szCs w:val="15"/>
        </w:rPr>
        <w:t>Universität</w:t>
      </w:r>
      <w:r>
        <w:rPr>
          <w:rFonts w:ascii="Arial" w:hAnsi="Arial" w:eastAsia="Arial" w:cs="Arial"/>
          <w:spacing w:val="18"/>
          <w:w w:val="101"/>
          <w:sz w:val="15"/>
          <w:szCs w:val="15"/>
        </w:rPr>
        <w:t xml:space="preserve"> </w:t>
      </w:r>
      <w:r>
        <w:rPr>
          <w:rFonts w:ascii="Arial" w:hAnsi="Arial" w:eastAsia="Arial" w:cs="Arial"/>
          <w:spacing w:val="-1"/>
          <w:sz w:val="15"/>
          <w:szCs w:val="15"/>
        </w:rPr>
        <w:t>Heidelberg.</w:t>
      </w:r>
    </w:p>
    <w:p>
      <w:pPr>
        <w:spacing w:before="45" w:line="257" w:lineRule="auto"/>
        <w:ind w:left="205" w:right="22" w:hanging="198"/>
        <w:rPr>
          <w:rFonts w:ascii="Arial" w:hAnsi="Arial" w:eastAsia="Arial" w:cs="Arial"/>
          <w:sz w:val="15"/>
          <w:szCs w:val="15"/>
        </w:rPr>
      </w:pPr>
      <w:r>
        <w:rPr>
          <w:rFonts w:ascii="Arial" w:hAnsi="Arial" w:eastAsia="Arial" w:cs="Arial"/>
          <w:spacing w:val="-1"/>
          <w:sz w:val="15"/>
          <w:szCs w:val="15"/>
        </w:rPr>
        <w:t xml:space="preserve">Sattler, C., and K. Sonntag. </w:t>
      </w:r>
      <w:r>
        <w:fldChar w:fldCharType="begin"/>
      </w:r>
      <w:r>
        <w:instrText xml:space="preserve"> HYPERLINK \l "bookmark34" </w:instrText>
      </w:r>
      <w:r>
        <w:fldChar w:fldCharType="separate"/>
      </w:r>
      <w:r>
        <w:rPr>
          <w:rFonts w:ascii="Arial" w:hAnsi="Arial" w:eastAsia="Arial" w:cs="Arial"/>
          <w:color w:val="000084"/>
          <w:spacing w:val="-1"/>
          <w:sz w:val="15"/>
          <w:szCs w:val="15"/>
        </w:rPr>
        <w:t>2018</w:t>
      </w:r>
      <w:r>
        <w:rPr>
          <w:rFonts w:ascii="Arial" w:hAnsi="Arial" w:eastAsia="Arial" w:cs="Arial"/>
          <w:color w:val="000084"/>
          <w:spacing w:val="-1"/>
          <w:sz w:val="15"/>
          <w:szCs w:val="15"/>
        </w:rPr>
        <w:fldChar w:fldCharType="end"/>
      </w:r>
      <w:r>
        <w:rPr>
          <w:rFonts w:ascii="Arial" w:hAnsi="Arial" w:eastAsia="Arial" w:cs="Arial"/>
          <w:spacing w:val="-1"/>
          <w:sz w:val="15"/>
          <w:szCs w:val="15"/>
        </w:rPr>
        <w:t>. “Quality Cultures in</w:t>
      </w:r>
      <w:r>
        <w:rPr>
          <w:rFonts w:ascii="Arial" w:hAnsi="Arial" w:eastAsia="Arial" w:cs="Arial"/>
          <w:spacing w:val="10"/>
          <w:w w:val="101"/>
          <w:sz w:val="15"/>
          <w:szCs w:val="15"/>
        </w:rPr>
        <w:t xml:space="preserve"> </w:t>
      </w:r>
      <w:r>
        <w:rPr>
          <w:rFonts w:ascii="Arial" w:hAnsi="Arial" w:eastAsia="Arial" w:cs="Arial"/>
          <w:spacing w:val="-1"/>
          <w:sz w:val="15"/>
          <w:szCs w:val="15"/>
        </w:rPr>
        <w:t>Higher</w:t>
      </w:r>
      <w:r>
        <w:rPr>
          <w:rFonts w:ascii="Arial" w:hAnsi="Arial" w:eastAsia="Arial" w:cs="Arial"/>
          <w:spacing w:val="9"/>
          <w:sz w:val="15"/>
          <w:szCs w:val="15"/>
        </w:rPr>
        <w:t xml:space="preserve"> </w:t>
      </w:r>
      <w:r>
        <w:rPr>
          <w:rFonts w:ascii="Arial" w:hAnsi="Arial" w:eastAsia="Arial" w:cs="Arial"/>
          <w:spacing w:val="-1"/>
          <w:sz w:val="15"/>
          <w:szCs w:val="15"/>
        </w:rPr>
        <w:t>Education</w:t>
      </w:r>
      <w:r>
        <w:rPr>
          <w:rFonts w:ascii="Arial" w:hAnsi="Arial" w:eastAsia="Arial" w:cs="Arial"/>
          <w:spacing w:val="8"/>
          <w:sz w:val="15"/>
          <w:szCs w:val="15"/>
        </w:rPr>
        <w:t xml:space="preserve"> </w:t>
      </w:r>
      <w:r>
        <w:rPr>
          <w:rFonts w:ascii="Arial" w:hAnsi="Arial" w:eastAsia="Arial" w:cs="Arial"/>
          <w:spacing w:val="-1"/>
          <w:sz w:val="15"/>
          <w:szCs w:val="15"/>
        </w:rPr>
        <w:t>Institutions –</w:t>
      </w:r>
      <w:r>
        <w:rPr>
          <w:rFonts w:ascii="Arial" w:hAnsi="Arial" w:eastAsia="Arial" w:cs="Arial"/>
          <w:spacing w:val="11"/>
          <w:w w:val="101"/>
          <w:sz w:val="15"/>
          <w:szCs w:val="15"/>
        </w:rPr>
        <w:t xml:space="preserve"> </w:t>
      </w:r>
      <w:r>
        <w:rPr>
          <w:rFonts w:ascii="Arial" w:hAnsi="Arial" w:eastAsia="Arial" w:cs="Arial"/>
          <w:spacing w:val="-1"/>
          <w:sz w:val="15"/>
          <w:szCs w:val="15"/>
        </w:rPr>
        <w:t>Development</w:t>
      </w:r>
      <w:r>
        <w:rPr>
          <w:rFonts w:ascii="Arial" w:hAnsi="Arial" w:eastAsia="Arial" w:cs="Arial"/>
          <w:spacing w:val="3"/>
          <w:sz w:val="15"/>
          <w:szCs w:val="15"/>
        </w:rPr>
        <w:t xml:space="preserve"> </w:t>
      </w:r>
      <w:r>
        <w:rPr>
          <w:rFonts w:ascii="Arial" w:hAnsi="Arial" w:eastAsia="Arial" w:cs="Arial"/>
          <w:spacing w:val="-1"/>
          <w:sz w:val="15"/>
          <w:szCs w:val="15"/>
        </w:rPr>
        <w:t>of the Quality</w:t>
      </w:r>
      <w:r>
        <w:rPr>
          <w:rFonts w:ascii="Arial" w:hAnsi="Arial" w:eastAsia="Arial" w:cs="Arial"/>
          <w:spacing w:val="2"/>
          <w:sz w:val="15"/>
          <w:szCs w:val="15"/>
        </w:rPr>
        <w:t xml:space="preserve"> </w:t>
      </w:r>
      <w:r>
        <w:rPr>
          <w:rFonts w:ascii="Arial" w:hAnsi="Arial" w:eastAsia="Arial" w:cs="Arial"/>
          <w:spacing w:val="-1"/>
          <w:sz w:val="15"/>
          <w:szCs w:val="15"/>
        </w:rPr>
        <w:t>Cul</w:t>
      </w:r>
      <w:r>
        <w:rPr>
          <w:rFonts w:ascii="Arial" w:hAnsi="Arial" w:eastAsia="Arial" w:cs="Arial"/>
          <w:spacing w:val="-2"/>
          <w:sz w:val="15"/>
          <w:szCs w:val="15"/>
        </w:rPr>
        <w:t>ture</w:t>
      </w:r>
      <w:r>
        <w:rPr>
          <w:rFonts w:ascii="Arial" w:hAnsi="Arial" w:eastAsia="Arial" w:cs="Arial"/>
          <w:sz w:val="15"/>
          <w:szCs w:val="15"/>
        </w:rPr>
        <w:t xml:space="preserve"> </w:t>
      </w:r>
      <w:r>
        <w:rPr>
          <w:rFonts w:ascii="Arial" w:hAnsi="Arial" w:eastAsia="Arial" w:cs="Arial"/>
          <w:spacing w:val="-3"/>
          <w:sz w:val="15"/>
          <w:szCs w:val="15"/>
        </w:rPr>
        <w:t>Inventory.”</w:t>
      </w:r>
      <w:r>
        <w:rPr>
          <w:rFonts w:ascii="Arial" w:hAnsi="Arial" w:eastAsia="Arial" w:cs="Arial"/>
          <w:spacing w:val="16"/>
          <w:w w:val="102"/>
          <w:sz w:val="15"/>
          <w:szCs w:val="15"/>
        </w:rPr>
        <w:t xml:space="preserve"> </w:t>
      </w:r>
      <w:r>
        <w:rPr>
          <w:rFonts w:ascii="Arial" w:hAnsi="Arial" w:eastAsia="Arial" w:cs="Arial"/>
          <w:spacing w:val="-3"/>
          <w:sz w:val="15"/>
          <w:szCs w:val="15"/>
        </w:rPr>
        <w:t>In</w:t>
      </w:r>
      <w:r>
        <w:rPr>
          <w:rFonts w:ascii="Arial" w:hAnsi="Arial" w:eastAsia="Arial" w:cs="Arial"/>
          <w:spacing w:val="8"/>
          <w:sz w:val="15"/>
          <w:szCs w:val="15"/>
        </w:rPr>
        <w:t xml:space="preserve"> </w:t>
      </w:r>
      <w:r>
        <w:rPr>
          <w:rFonts w:ascii="Arial" w:hAnsi="Arial" w:eastAsia="Arial" w:cs="Arial"/>
          <w:spacing w:val="-3"/>
          <w:sz w:val="15"/>
          <w:szCs w:val="15"/>
        </w:rPr>
        <w:t>Knowledge</w:t>
      </w:r>
      <w:r>
        <w:rPr>
          <w:rFonts w:ascii="Arial" w:hAnsi="Arial" w:eastAsia="Arial" w:cs="Arial"/>
          <w:spacing w:val="9"/>
          <w:sz w:val="15"/>
          <w:szCs w:val="15"/>
        </w:rPr>
        <w:t xml:space="preserve"> </w:t>
      </w:r>
      <w:r>
        <w:rPr>
          <w:rFonts w:ascii="Arial" w:hAnsi="Arial" w:eastAsia="Arial" w:cs="Arial"/>
          <w:spacing w:val="-3"/>
          <w:sz w:val="15"/>
          <w:szCs w:val="15"/>
        </w:rPr>
        <w:t>and Space</w:t>
      </w:r>
      <w:r>
        <w:rPr>
          <w:rFonts w:ascii="Arial" w:hAnsi="Arial" w:eastAsia="Arial" w:cs="Arial"/>
          <w:spacing w:val="17"/>
          <w:sz w:val="15"/>
          <w:szCs w:val="15"/>
        </w:rPr>
        <w:t xml:space="preserve"> </w:t>
      </w:r>
      <w:r>
        <w:rPr>
          <w:rFonts w:ascii="Arial" w:hAnsi="Arial" w:eastAsia="Arial" w:cs="Arial"/>
          <w:spacing w:val="-3"/>
          <w:sz w:val="15"/>
          <w:szCs w:val="15"/>
        </w:rPr>
        <w:t>Vol.</w:t>
      </w:r>
      <w:r>
        <w:rPr>
          <w:rFonts w:ascii="Arial" w:hAnsi="Arial" w:eastAsia="Arial" w:cs="Arial"/>
          <w:spacing w:val="29"/>
          <w:w w:val="102"/>
          <w:sz w:val="15"/>
          <w:szCs w:val="15"/>
        </w:rPr>
        <w:t xml:space="preserve"> </w:t>
      </w:r>
      <w:r>
        <w:rPr>
          <w:rFonts w:ascii="Arial" w:hAnsi="Arial" w:eastAsia="Arial" w:cs="Arial"/>
          <w:spacing w:val="-3"/>
          <w:sz w:val="15"/>
          <w:szCs w:val="15"/>
        </w:rPr>
        <w:t>12</w:t>
      </w:r>
      <w:r>
        <w:rPr>
          <w:rFonts w:ascii="Arial" w:hAnsi="Arial" w:eastAsia="Arial" w:cs="Arial"/>
          <w:spacing w:val="8"/>
          <w:sz w:val="15"/>
          <w:szCs w:val="15"/>
        </w:rPr>
        <w:t xml:space="preserve"> </w:t>
      </w:r>
      <w:r>
        <w:rPr>
          <w:rFonts w:ascii="Arial" w:hAnsi="Arial" w:eastAsia="Arial" w:cs="Arial"/>
          <w:spacing w:val="-3"/>
          <w:sz w:val="15"/>
          <w:szCs w:val="15"/>
        </w:rPr>
        <w:t>–</w:t>
      </w:r>
      <w:r>
        <w:rPr>
          <w:rFonts w:ascii="Arial" w:hAnsi="Arial" w:eastAsia="Arial" w:cs="Arial"/>
          <w:spacing w:val="11"/>
          <w:sz w:val="15"/>
          <w:szCs w:val="15"/>
        </w:rPr>
        <w:t xml:space="preserve"> </w:t>
      </w:r>
      <w:r>
        <w:rPr>
          <w:rFonts w:ascii="Arial" w:hAnsi="Arial" w:eastAsia="Arial" w:cs="Arial"/>
          <w:spacing w:val="-3"/>
          <w:sz w:val="15"/>
          <w:szCs w:val="15"/>
        </w:rPr>
        <w:t>Geogra</w:t>
      </w:r>
      <w:r>
        <w:rPr>
          <w:rFonts w:ascii="Arial" w:hAnsi="Arial" w:eastAsia="Arial" w:cs="Arial"/>
          <w:spacing w:val="-4"/>
          <w:sz w:val="15"/>
          <w:szCs w:val="15"/>
        </w:rPr>
        <w:t>phies</w:t>
      </w:r>
      <w:r>
        <w:rPr>
          <w:rFonts w:ascii="Arial" w:hAnsi="Arial" w:eastAsia="Arial" w:cs="Arial"/>
          <w:spacing w:val="10"/>
          <w:sz w:val="15"/>
          <w:szCs w:val="15"/>
        </w:rPr>
        <w:t xml:space="preserve"> </w:t>
      </w:r>
      <w:r>
        <w:rPr>
          <w:rFonts w:ascii="Arial" w:hAnsi="Arial" w:eastAsia="Arial" w:cs="Arial"/>
          <w:spacing w:val="-4"/>
          <w:sz w:val="15"/>
          <w:szCs w:val="15"/>
        </w:rPr>
        <w:t>of the</w:t>
      </w:r>
      <w:r>
        <w:rPr>
          <w:rFonts w:ascii="Arial" w:hAnsi="Arial" w:eastAsia="Arial" w:cs="Arial"/>
          <w:spacing w:val="14"/>
          <w:w w:val="101"/>
          <w:sz w:val="15"/>
          <w:szCs w:val="15"/>
        </w:rPr>
        <w:t xml:space="preserve"> </w:t>
      </w:r>
      <w:r>
        <w:rPr>
          <w:rFonts w:ascii="Arial" w:hAnsi="Arial" w:eastAsia="Arial" w:cs="Arial"/>
          <w:spacing w:val="-4"/>
          <w:sz w:val="15"/>
          <w:szCs w:val="15"/>
        </w:rPr>
        <w:t>University,</w:t>
      </w:r>
      <w:r>
        <w:rPr>
          <w:rFonts w:ascii="Arial" w:hAnsi="Arial" w:eastAsia="Arial" w:cs="Arial"/>
          <w:spacing w:val="10"/>
          <w:sz w:val="15"/>
          <w:szCs w:val="15"/>
        </w:rPr>
        <w:t xml:space="preserve"> </w:t>
      </w:r>
      <w:r>
        <w:rPr>
          <w:rFonts w:ascii="Arial" w:hAnsi="Arial" w:eastAsia="Arial" w:cs="Arial"/>
          <w:spacing w:val="-4"/>
          <w:sz w:val="15"/>
          <w:szCs w:val="15"/>
        </w:rPr>
        <w:t>edited</w:t>
      </w:r>
      <w:r>
        <w:rPr>
          <w:rFonts w:ascii="Arial" w:hAnsi="Arial" w:eastAsia="Arial" w:cs="Arial"/>
          <w:spacing w:val="14"/>
          <w:sz w:val="15"/>
          <w:szCs w:val="15"/>
        </w:rPr>
        <w:t xml:space="preserve"> </w:t>
      </w:r>
      <w:r>
        <w:rPr>
          <w:rFonts w:ascii="Arial" w:hAnsi="Arial" w:eastAsia="Arial" w:cs="Arial"/>
          <w:spacing w:val="-4"/>
          <w:sz w:val="15"/>
          <w:szCs w:val="15"/>
        </w:rPr>
        <w:t>by</w:t>
      </w:r>
      <w:r>
        <w:rPr>
          <w:rFonts w:ascii="Arial" w:hAnsi="Arial" w:eastAsia="Arial" w:cs="Arial"/>
          <w:spacing w:val="15"/>
          <w:w w:val="101"/>
          <w:sz w:val="15"/>
          <w:szCs w:val="15"/>
        </w:rPr>
        <w:t xml:space="preserve"> </w:t>
      </w:r>
      <w:r>
        <w:rPr>
          <w:rFonts w:ascii="Arial" w:hAnsi="Arial" w:eastAsia="Arial" w:cs="Arial"/>
          <w:spacing w:val="-4"/>
          <w:sz w:val="15"/>
          <w:szCs w:val="15"/>
        </w:rPr>
        <w:t>P.</w:t>
      </w:r>
      <w:r>
        <w:rPr>
          <w:rFonts w:ascii="Arial" w:hAnsi="Arial" w:eastAsia="Arial" w:cs="Arial"/>
          <w:spacing w:val="12"/>
          <w:w w:val="101"/>
          <w:sz w:val="15"/>
          <w:szCs w:val="15"/>
        </w:rPr>
        <w:t xml:space="preserve"> </w:t>
      </w:r>
      <w:r>
        <w:rPr>
          <w:rFonts w:ascii="Arial" w:hAnsi="Arial" w:eastAsia="Arial" w:cs="Arial"/>
          <w:spacing w:val="-4"/>
          <w:sz w:val="15"/>
          <w:szCs w:val="15"/>
        </w:rPr>
        <w:t>Meusburger,</w:t>
      </w:r>
      <w:r>
        <w:rPr>
          <w:rFonts w:ascii="Arial" w:hAnsi="Arial" w:eastAsia="Arial" w:cs="Arial"/>
          <w:spacing w:val="11"/>
          <w:sz w:val="15"/>
          <w:szCs w:val="15"/>
        </w:rPr>
        <w:t xml:space="preserve"> </w:t>
      </w:r>
      <w:r>
        <w:rPr>
          <w:rFonts w:ascii="Arial" w:hAnsi="Arial" w:eastAsia="Arial" w:cs="Arial"/>
          <w:spacing w:val="-4"/>
          <w:sz w:val="15"/>
          <w:szCs w:val="15"/>
        </w:rPr>
        <w:t>M.</w:t>
      </w:r>
      <w:r>
        <w:rPr>
          <w:rFonts w:ascii="Arial" w:hAnsi="Arial" w:eastAsia="Arial" w:cs="Arial"/>
          <w:spacing w:val="16"/>
          <w:sz w:val="15"/>
          <w:szCs w:val="15"/>
        </w:rPr>
        <w:t xml:space="preserve"> </w:t>
      </w:r>
      <w:r>
        <w:rPr>
          <w:rFonts w:ascii="Arial" w:hAnsi="Arial" w:eastAsia="Arial" w:cs="Arial"/>
          <w:spacing w:val="-4"/>
          <w:sz w:val="15"/>
          <w:szCs w:val="15"/>
        </w:rPr>
        <w:t>Hefernan</w:t>
      </w:r>
      <w:r>
        <w:rPr>
          <w:rFonts w:ascii="Arial" w:hAnsi="Arial" w:eastAsia="Arial" w:cs="Arial"/>
          <w:spacing w:val="8"/>
          <w:sz w:val="15"/>
          <w:szCs w:val="15"/>
        </w:rPr>
        <w:t xml:space="preserve"> </w:t>
      </w:r>
      <w:r>
        <w:rPr>
          <w:rFonts w:ascii="Arial" w:hAnsi="Arial" w:eastAsia="Arial" w:cs="Arial"/>
          <w:spacing w:val="-4"/>
          <w:sz w:val="15"/>
          <w:szCs w:val="15"/>
        </w:rPr>
        <w:t>&amp;,</w:t>
      </w:r>
      <w:r>
        <w:rPr>
          <w:rFonts w:ascii="Arial" w:hAnsi="Arial" w:eastAsia="Arial" w:cs="Arial"/>
          <w:sz w:val="15"/>
          <w:szCs w:val="15"/>
        </w:rPr>
        <w:t xml:space="preserve"> </w:t>
      </w:r>
      <w:r>
        <w:rPr>
          <w:rFonts w:ascii="Arial" w:hAnsi="Arial" w:eastAsia="Arial" w:cs="Arial"/>
          <w:spacing w:val="-4"/>
          <w:sz w:val="15"/>
          <w:szCs w:val="15"/>
        </w:rPr>
        <w:t>and</w:t>
      </w:r>
      <w:r>
        <w:rPr>
          <w:rFonts w:ascii="Arial" w:hAnsi="Arial" w:eastAsia="Arial" w:cs="Arial"/>
          <w:spacing w:val="35"/>
          <w:w w:val="101"/>
          <w:sz w:val="15"/>
          <w:szCs w:val="15"/>
        </w:rPr>
        <w:t xml:space="preserve"> </w:t>
      </w:r>
      <w:r>
        <w:rPr>
          <w:rFonts w:ascii="Arial" w:hAnsi="Arial" w:eastAsia="Arial" w:cs="Arial"/>
          <w:spacing w:val="-4"/>
          <w:sz w:val="15"/>
          <w:szCs w:val="15"/>
        </w:rPr>
        <w:t>L.</w:t>
      </w:r>
      <w:r>
        <w:rPr>
          <w:rFonts w:ascii="Arial" w:hAnsi="Arial" w:eastAsia="Arial" w:cs="Arial"/>
          <w:spacing w:val="13"/>
          <w:sz w:val="15"/>
          <w:szCs w:val="15"/>
        </w:rPr>
        <w:t xml:space="preserve"> </w:t>
      </w:r>
      <w:r>
        <w:rPr>
          <w:rFonts w:ascii="Arial" w:hAnsi="Arial" w:eastAsia="Arial" w:cs="Arial"/>
          <w:spacing w:val="-4"/>
          <w:sz w:val="15"/>
          <w:szCs w:val="15"/>
        </w:rPr>
        <w:t>Suarsana,</w:t>
      </w:r>
      <w:r>
        <w:rPr>
          <w:rFonts w:ascii="Arial" w:hAnsi="Arial" w:eastAsia="Arial" w:cs="Arial"/>
          <w:spacing w:val="13"/>
          <w:sz w:val="15"/>
          <w:szCs w:val="15"/>
        </w:rPr>
        <w:t xml:space="preserve"> </w:t>
      </w:r>
      <w:r>
        <w:rPr>
          <w:rFonts w:ascii="Arial" w:hAnsi="Arial" w:eastAsia="Arial" w:cs="Arial"/>
          <w:spacing w:val="-4"/>
          <w:sz w:val="15"/>
          <w:szCs w:val="15"/>
        </w:rPr>
        <w:t>313–27.</w:t>
      </w:r>
      <w:r>
        <w:rPr>
          <w:rFonts w:ascii="Arial" w:hAnsi="Arial" w:eastAsia="Arial" w:cs="Arial"/>
          <w:spacing w:val="17"/>
          <w:w w:val="101"/>
          <w:sz w:val="15"/>
          <w:szCs w:val="15"/>
        </w:rPr>
        <w:t xml:space="preserve"> </w:t>
      </w:r>
      <w:r>
        <w:rPr>
          <w:rFonts w:ascii="Arial" w:hAnsi="Arial" w:eastAsia="Arial" w:cs="Arial"/>
          <w:spacing w:val="-4"/>
          <w:sz w:val="15"/>
          <w:szCs w:val="15"/>
        </w:rPr>
        <w:t>Heidelberg:</w:t>
      </w:r>
      <w:r>
        <w:rPr>
          <w:rFonts w:ascii="Arial" w:hAnsi="Arial" w:eastAsia="Arial" w:cs="Arial"/>
          <w:spacing w:val="11"/>
          <w:w w:val="101"/>
          <w:sz w:val="15"/>
          <w:szCs w:val="15"/>
        </w:rPr>
        <w:t xml:space="preserve"> </w:t>
      </w:r>
      <w:r>
        <w:rPr>
          <w:rFonts w:ascii="Arial" w:hAnsi="Arial" w:eastAsia="Arial" w:cs="Arial"/>
          <w:spacing w:val="-4"/>
          <w:sz w:val="15"/>
          <w:szCs w:val="15"/>
        </w:rPr>
        <w:t>Springer.</w:t>
      </w:r>
    </w:p>
    <w:p>
      <w:pPr>
        <w:spacing w:before="45" w:line="257" w:lineRule="auto"/>
        <w:ind w:left="210" w:right="23" w:hanging="204"/>
        <w:rPr>
          <w:rFonts w:ascii="Arial" w:hAnsi="Arial" w:eastAsia="Arial" w:cs="Arial"/>
          <w:sz w:val="15"/>
          <w:szCs w:val="15"/>
        </w:rPr>
      </w:pPr>
      <w:r>
        <w:rPr>
          <w:rFonts w:ascii="Arial" w:hAnsi="Arial" w:eastAsia="Arial" w:cs="Arial"/>
          <w:spacing w:val="-3"/>
          <w:sz w:val="15"/>
          <w:szCs w:val="15"/>
        </w:rPr>
        <w:t>Sattler,</w:t>
      </w:r>
      <w:r>
        <w:rPr>
          <w:rFonts w:ascii="Arial" w:hAnsi="Arial" w:eastAsia="Arial" w:cs="Arial"/>
          <w:spacing w:val="22"/>
          <w:w w:val="101"/>
          <w:sz w:val="15"/>
          <w:szCs w:val="15"/>
        </w:rPr>
        <w:t xml:space="preserve"> </w:t>
      </w:r>
      <w:r>
        <w:rPr>
          <w:rFonts w:ascii="Arial" w:hAnsi="Arial" w:eastAsia="Arial" w:cs="Arial"/>
          <w:spacing w:val="-3"/>
          <w:sz w:val="15"/>
          <w:szCs w:val="15"/>
        </w:rPr>
        <w:t>C.,</w:t>
      </w:r>
      <w:r>
        <w:rPr>
          <w:rFonts w:ascii="Arial" w:hAnsi="Arial" w:eastAsia="Arial" w:cs="Arial"/>
          <w:spacing w:val="30"/>
          <w:w w:val="101"/>
          <w:sz w:val="15"/>
          <w:szCs w:val="15"/>
        </w:rPr>
        <w:t xml:space="preserve"> </w:t>
      </w:r>
      <w:r>
        <w:rPr>
          <w:rFonts w:ascii="Arial" w:hAnsi="Arial" w:eastAsia="Arial" w:cs="Arial"/>
          <w:spacing w:val="-3"/>
          <w:sz w:val="15"/>
          <w:szCs w:val="15"/>
        </w:rPr>
        <w:t>K.</w:t>
      </w:r>
      <w:r>
        <w:rPr>
          <w:rFonts w:ascii="Arial" w:hAnsi="Arial" w:eastAsia="Arial" w:cs="Arial"/>
          <w:spacing w:val="24"/>
          <w:w w:val="102"/>
          <w:sz w:val="15"/>
          <w:szCs w:val="15"/>
        </w:rPr>
        <w:t xml:space="preserve"> </w:t>
      </w:r>
      <w:r>
        <w:rPr>
          <w:rFonts w:ascii="Arial" w:hAnsi="Arial" w:eastAsia="Arial" w:cs="Arial"/>
          <w:spacing w:val="-3"/>
          <w:sz w:val="15"/>
          <w:szCs w:val="15"/>
        </w:rPr>
        <w:t>Sonntag,</w:t>
      </w:r>
      <w:r>
        <w:rPr>
          <w:rFonts w:ascii="Arial" w:hAnsi="Arial" w:eastAsia="Arial" w:cs="Arial"/>
          <w:spacing w:val="23"/>
          <w:sz w:val="15"/>
          <w:szCs w:val="15"/>
        </w:rPr>
        <w:t xml:space="preserve"> </w:t>
      </w:r>
      <w:r>
        <w:rPr>
          <w:rFonts w:ascii="Arial" w:hAnsi="Arial" w:eastAsia="Arial" w:cs="Arial"/>
          <w:spacing w:val="-3"/>
          <w:sz w:val="15"/>
          <w:szCs w:val="15"/>
        </w:rPr>
        <w:t>and</w:t>
      </w:r>
      <w:r>
        <w:rPr>
          <w:rFonts w:ascii="Arial" w:hAnsi="Arial" w:eastAsia="Arial" w:cs="Arial"/>
          <w:spacing w:val="29"/>
          <w:w w:val="102"/>
          <w:sz w:val="15"/>
          <w:szCs w:val="15"/>
        </w:rPr>
        <w:t xml:space="preserve"> </w:t>
      </w:r>
      <w:r>
        <w:rPr>
          <w:rFonts w:ascii="Arial" w:hAnsi="Arial" w:eastAsia="Arial" w:cs="Arial"/>
          <w:spacing w:val="-3"/>
          <w:sz w:val="15"/>
          <w:szCs w:val="15"/>
        </w:rPr>
        <w:t>K.</w:t>
      </w:r>
      <w:r>
        <w:rPr>
          <w:rFonts w:ascii="Arial" w:hAnsi="Arial" w:eastAsia="Arial" w:cs="Arial"/>
          <w:spacing w:val="24"/>
          <w:sz w:val="15"/>
          <w:szCs w:val="15"/>
        </w:rPr>
        <w:t xml:space="preserve"> </w:t>
      </w:r>
      <w:r>
        <w:rPr>
          <w:rFonts w:ascii="Arial" w:hAnsi="Arial" w:eastAsia="Arial" w:cs="Arial"/>
          <w:spacing w:val="-3"/>
          <w:sz w:val="15"/>
          <w:szCs w:val="15"/>
        </w:rPr>
        <w:t>Götzen.</w:t>
      </w:r>
      <w:r>
        <w:rPr>
          <w:rFonts w:ascii="Arial" w:hAnsi="Arial" w:eastAsia="Arial" w:cs="Arial"/>
          <w:spacing w:val="16"/>
          <w:w w:val="102"/>
          <w:sz w:val="15"/>
          <w:szCs w:val="15"/>
        </w:rPr>
        <w:t xml:space="preserve"> </w:t>
      </w:r>
      <w:r>
        <w:fldChar w:fldCharType="begin"/>
      </w:r>
      <w:r>
        <w:instrText xml:space="preserve"> HYPERLINK \l "bookmark10" </w:instrText>
      </w:r>
      <w:r>
        <w:fldChar w:fldCharType="separate"/>
      </w:r>
      <w:r>
        <w:rPr>
          <w:rFonts w:ascii="Arial" w:hAnsi="Arial" w:eastAsia="Arial" w:cs="Arial"/>
          <w:color w:val="000084"/>
          <w:spacing w:val="-3"/>
          <w:sz w:val="15"/>
          <w:szCs w:val="15"/>
        </w:rPr>
        <w:t>2016</w:t>
      </w:r>
      <w:r>
        <w:rPr>
          <w:rFonts w:ascii="Arial" w:hAnsi="Arial" w:eastAsia="Arial" w:cs="Arial"/>
          <w:color w:val="000084"/>
          <w:spacing w:val="-3"/>
          <w:sz w:val="15"/>
          <w:szCs w:val="15"/>
        </w:rPr>
        <w:fldChar w:fldCharType="end"/>
      </w:r>
      <w:r>
        <w:rPr>
          <w:rFonts w:ascii="Arial" w:hAnsi="Arial" w:eastAsia="Arial" w:cs="Arial"/>
          <w:spacing w:val="-3"/>
          <w:sz w:val="15"/>
          <w:szCs w:val="15"/>
        </w:rPr>
        <w:t>.</w:t>
      </w:r>
      <w:r>
        <w:rPr>
          <w:rFonts w:ascii="Arial" w:hAnsi="Arial" w:eastAsia="Arial" w:cs="Arial"/>
          <w:spacing w:val="24"/>
          <w:sz w:val="15"/>
          <w:szCs w:val="15"/>
        </w:rPr>
        <w:t xml:space="preserve"> </w:t>
      </w:r>
      <w:r>
        <w:rPr>
          <w:rFonts w:ascii="Arial" w:hAnsi="Arial" w:eastAsia="Arial" w:cs="Arial"/>
          <w:spacing w:val="-3"/>
          <w:sz w:val="15"/>
          <w:szCs w:val="15"/>
        </w:rPr>
        <w:t>“The</w:t>
      </w:r>
      <w:r>
        <w:rPr>
          <w:rFonts w:ascii="Arial" w:hAnsi="Arial" w:eastAsia="Arial" w:cs="Arial"/>
          <w:spacing w:val="23"/>
          <w:w w:val="101"/>
          <w:sz w:val="15"/>
          <w:szCs w:val="15"/>
        </w:rPr>
        <w:t xml:space="preserve"> </w:t>
      </w:r>
      <w:r>
        <w:rPr>
          <w:rFonts w:ascii="Arial" w:hAnsi="Arial" w:eastAsia="Arial" w:cs="Arial"/>
          <w:spacing w:val="-3"/>
          <w:sz w:val="15"/>
          <w:szCs w:val="15"/>
        </w:rPr>
        <w:t>Quality</w:t>
      </w:r>
      <w:r>
        <w:rPr>
          <w:rFonts w:ascii="Arial" w:hAnsi="Arial" w:eastAsia="Arial" w:cs="Arial"/>
          <w:spacing w:val="23"/>
          <w:w w:val="101"/>
          <w:sz w:val="15"/>
          <w:szCs w:val="15"/>
        </w:rPr>
        <w:t xml:space="preserve"> </w:t>
      </w:r>
      <w:r>
        <w:rPr>
          <w:rFonts w:ascii="Arial" w:hAnsi="Arial" w:eastAsia="Arial" w:cs="Arial"/>
          <w:spacing w:val="-3"/>
          <w:sz w:val="15"/>
          <w:szCs w:val="15"/>
        </w:rPr>
        <w:t>Culture</w:t>
      </w:r>
      <w:r>
        <w:rPr>
          <w:rFonts w:ascii="Arial" w:hAnsi="Arial" w:eastAsia="Arial" w:cs="Arial"/>
          <w:spacing w:val="29"/>
          <w:sz w:val="15"/>
          <w:szCs w:val="15"/>
        </w:rPr>
        <w:t xml:space="preserve"> </w:t>
      </w:r>
      <w:r>
        <w:rPr>
          <w:rFonts w:ascii="Arial" w:hAnsi="Arial" w:eastAsia="Arial" w:cs="Arial"/>
          <w:spacing w:val="-3"/>
          <w:sz w:val="15"/>
          <w:szCs w:val="15"/>
        </w:rPr>
        <w:t>Inventory</w:t>
      </w:r>
      <w:r>
        <w:rPr>
          <w:rFonts w:ascii="Arial" w:hAnsi="Arial" w:eastAsia="Arial" w:cs="Arial"/>
          <w:spacing w:val="27"/>
          <w:sz w:val="15"/>
          <w:szCs w:val="15"/>
        </w:rPr>
        <w:t xml:space="preserve"> </w:t>
      </w:r>
      <w:r>
        <w:rPr>
          <w:rFonts w:ascii="Arial" w:hAnsi="Arial" w:eastAsia="Arial" w:cs="Arial"/>
          <w:spacing w:val="-3"/>
          <w:sz w:val="15"/>
          <w:szCs w:val="15"/>
        </w:rPr>
        <w:t>(QCI)</w:t>
      </w:r>
      <w:r>
        <w:rPr>
          <w:rFonts w:ascii="Arial" w:hAnsi="Arial" w:eastAsia="Arial" w:cs="Arial"/>
          <w:spacing w:val="22"/>
          <w:sz w:val="15"/>
          <w:szCs w:val="15"/>
        </w:rPr>
        <w:t xml:space="preserve"> </w:t>
      </w:r>
      <w:r>
        <w:rPr>
          <w:rFonts w:ascii="Arial" w:hAnsi="Arial" w:eastAsia="Arial" w:cs="Arial"/>
          <w:spacing w:val="-3"/>
          <w:sz w:val="15"/>
          <w:szCs w:val="15"/>
        </w:rPr>
        <w:t>–</w:t>
      </w:r>
      <w:r>
        <w:rPr>
          <w:rFonts w:ascii="Arial" w:hAnsi="Arial" w:eastAsia="Arial" w:cs="Arial"/>
          <w:spacing w:val="21"/>
          <w:w w:val="102"/>
          <w:sz w:val="15"/>
          <w:szCs w:val="15"/>
        </w:rPr>
        <w:t xml:space="preserve"> </w:t>
      </w:r>
      <w:r>
        <w:rPr>
          <w:rFonts w:ascii="Arial" w:hAnsi="Arial" w:eastAsia="Arial" w:cs="Arial"/>
          <w:spacing w:val="-3"/>
          <w:sz w:val="15"/>
          <w:szCs w:val="15"/>
        </w:rPr>
        <w:t>An</w:t>
      </w:r>
      <w:r>
        <w:rPr>
          <w:rFonts w:ascii="Arial" w:hAnsi="Arial" w:eastAsia="Arial" w:cs="Arial"/>
          <w:spacing w:val="30"/>
          <w:w w:val="101"/>
          <w:sz w:val="15"/>
          <w:szCs w:val="15"/>
        </w:rPr>
        <w:t xml:space="preserve"> </w:t>
      </w:r>
      <w:r>
        <w:rPr>
          <w:rFonts w:ascii="Arial" w:hAnsi="Arial" w:eastAsia="Arial" w:cs="Arial"/>
          <w:spacing w:val="-3"/>
          <w:sz w:val="15"/>
          <w:szCs w:val="15"/>
        </w:rPr>
        <w:t>Instrument</w:t>
      </w:r>
      <w:r>
        <w:rPr>
          <w:rFonts w:ascii="Arial" w:hAnsi="Arial" w:eastAsia="Arial" w:cs="Arial"/>
          <w:spacing w:val="20"/>
          <w:w w:val="101"/>
          <w:sz w:val="15"/>
          <w:szCs w:val="15"/>
        </w:rPr>
        <w:t xml:space="preserve"> </w:t>
      </w:r>
      <w:r>
        <w:rPr>
          <w:rFonts w:ascii="Arial" w:hAnsi="Arial" w:eastAsia="Arial" w:cs="Arial"/>
          <w:spacing w:val="-3"/>
          <w:sz w:val="15"/>
          <w:szCs w:val="15"/>
        </w:rPr>
        <w:t>Assessing</w:t>
      </w:r>
      <w:r>
        <w:rPr>
          <w:rFonts w:ascii="Arial" w:hAnsi="Arial" w:eastAsia="Arial" w:cs="Arial"/>
          <w:spacing w:val="22"/>
          <w:sz w:val="15"/>
          <w:szCs w:val="15"/>
        </w:rPr>
        <w:t xml:space="preserve"> </w:t>
      </w:r>
      <w:r>
        <w:rPr>
          <w:rFonts w:ascii="Arial" w:hAnsi="Arial" w:eastAsia="Arial" w:cs="Arial"/>
          <w:spacing w:val="-3"/>
          <w:sz w:val="15"/>
          <w:szCs w:val="15"/>
        </w:rPr>
        <w:t>Q</w:t>
      </w:r>
      <w:r>
        <w:rPr>
          <w:rFonts w:ascii="Arial" w:hAnsi="Arial" w:eastAsia="Arial" w:cs="Arial"/>
          <w:spacing w:val="-4"/>
          <w:sz w:val="15"/>
          <w:szCs w:val="15"/>
        </w:rPr>
        <w:t>uality-</w:t>
      </w:r>
      <w:r>
        <w:rPr>
          <w:rFonts w:ascii="Arial" w:hAnsi="Arial" w:eastAsia="Arial" w:cs="Arial"/>
          <w:sz w:val="15"/>
          <w:szCs w:val="15"/>
        </w:rPr>
        <w:t xml:space="preserve"> </w:t>
      </w:r>
      <w:r>
        <w:rPr>
          <w:rFonts w:ascii="Arial" w:hAnsi="Arial" w:eastAsia="Arial" w:cs="Arial"/>
          <w:spacing w:val="-4"/>
          <w:sz w:val="15"/>
          <w:szCs w:val="15"/>
        </w:rPr>
        <w:t>Related</w:t>
      </w:r>
      <w:r>
        <w:rPr>
          <w:rFonts w:ascii="Arial" w:hAnsi="Arial" w:eastAsia="Arial" w:cs="Arial"/>
          <w:spacing w:val="18"/>
          <w:sz w:val="15"/>
          <w:szCs w:val="15"/>
        </w:rPr>
        <w:t xml:space="preserve"> </w:t>
      </w:r>
      <w:r>
        <w:rPr>
          <w:rFonts w:ascii="Arial" w:hAnsi="Arial" w:eastAsia="Arial" w:cs="Arial"/>
          <w:spacing w:val="-4"/>
          <w:sz w:val="15"/>
          <w:szCs w:val="15"/>
        </w:rPr>
        <w:t>Aspects</w:t>
      </w:r>
      <w:r>
        <w:rPr>
          <w:rFonts w:ascii="Arial" w:hAnsi="Arial" w:eastAsia="Arial" w:cs="Arial"/>
          <w:spacing w:val="19"/>
          <w:w w:val="102"/>
          <w:sz w:val="15"/>
          <w:szCs w:val="15"/>
        </w:rPr>
        <w:t xml:space="preserve"> </w:t>
      </w:r>
      <w:r>
        <w:rPr>
          <w:rFonts w:ascii="Arial" w:hAnsi="Arial" w:eastAsia="Arial" w:cs="Arial"/>
          <w:spacing w:val="-4"/>
          <w:sz w:val="15"/>
          <w:szCs w:val="15"/>
        </w:rPr>
        <w:t>of</w:t>
      </w:r>
      <w:r>
        <w:rPr>
          <w:rFonts w:ascii="Arial" w:hAnsi="Arial" w:eastAsia="Arial" w:cs="Arial"/>
          <w:spacing w:val="10"/>
          <w:w w:val="101"/>
          <w:sz w:val="15"/>
          <w:szCs w:val="15"/>
        </w:rPr>
        <w:t xml:space="preserve"> </w:t>
      </w:r>
      <w:r>
        <w:rPr>
          <w:rFonts w:ascii="Arial" w:hAnsi="Arial" w:eastAsia="Arial" w:cs="Arial"/>
          <w:spacing w:val="-4"/>
          <w:sz w:val="15"/>
          <w:szCs w:val="15"/>
        </w:rPr>
        <w:t>Work.”</w:t>
      </w:r>
      <w:r>
        <w:rPr>
          <w:rFonts w:ascii="Arial" w:hAnsi="Arial" w:eastAsia="Arial" w:cs="Arial"/>
          <w:spacing w:val="26"/>
          <w:w w:val="102"/>
          <w:sz w:val="15"/>
          <w:szCs w:val="15"/>
        </w:rPr>
        <w:t xml:space="preserve"> </w:t>
      </w:r>
      <w:r>
        <w:rPr>
          <w:rFonts w:ascii="Arial" w:hAnsi="Arial" w:eastAsia="Arial" w:cs="Arial"/>
          <w:spacing w:val="-4"/>
          <w:sz w:val="15"/>
          <w:szCs w:val="15"/>
        </w:rPr>
        <w:t>In</w:t>
      </w:r>
      <w:r>
        <w:rPr>
          <w:rFonts w:ascii="Arial" w:hAnsi="Arial" w:eastAsia="Arial" w:cs="Arial"/>
          <w:spacing w:val="10"/>
          <w:w w:val="101"/>
          <w:sz w:val="15"/>
          <w:szCs w:val="15"/>
        </w:rPr>
        <w:t xml:space="preserve"> </w:t>
      </w:r>
      <w:r>
        <w:rPr>
          <w:rFonts w:ascii="Arial" w:hAnsi="Arial" w:eastAsia="Arial" w:cs="Arial"/>
          <w:spacing w:val="-4"/>
          <w:sz w:val="15"/>
          <w:szCs w:val="15"/>
        </w:rPr>
        <w:t>Adva</w:t>
      </w:r>
      <w:r>
        <w:rPr>
          <w:rFonts w:ascii="Arial" w:hAnsi="Arial" w:eastAsia="Arial" w:cs="Arial"/>
          <w:spacing w:val="-5"/>
          <w:sz w:val="15"/>
          <w:szCs w:val="15"/>
        </w:rPr>
        <w:t>nces</w:t>
      </w:r>
      <w:r>
        <w:rPr>
          <w:rFonts w:ascii="Arial" w:hAnsi="Arial" w:eastAsia="Arial" w:cs="Arial"/>
          <w:spacing w:val="18"/>
          <w:w w:val="101"/>
          <w:sz w:val="15"/>
          <w:szCs w:val="15"/>
        </w:rPr>
        <w:t xml:space="preserve"> </w:t>
      </w:r>
      <w:r>
        <w:rPr>
          <w:rFonts w:ascii="Arial" w:hAnsi="Arial" w:eastAsia="Arial" w:cs="Arial"/>
          <w:spacing w:val="-5"/>
          <w:sz w:val="15"/>
          <w:szCs w:val="15"/>
        </w:rPr>
        <w:t>in</w:t>
      </w:r>
      <w:r>
        <w:rPr>
          <w:rFonts w:ascii="Arial" w:hAnsi="Arial" w:eastAsia="Arial" w:cs="Arial"/>
          <w:spacing w:val="19"/>
          <w:sz w:val="15"/>
          <w:szCs w:val="15"/>
        </w:rPr>
        <w:t xml:space="preserve"> </w:t>
      </w:r>
      <w:r>
        <w:rPr>
          <w:rFonts w:ascii="Arial" w:hAnsi="Arial" w:eastAsia="Arial" w:cs="Arial"/>
          <w:spacing w:val="-5"/>
          <w:sz w:val="15"/>
          <w:szCs w:val="15"/>
        </w:rPr>
        <w:t>Ergonomic</w:t>
      </w:r>
      <w:r>
        <w:rPr>
          <w:rFonts w:ascii="Arial" w:hAnsi="Arial" w:eastAsia="Arial" w:cs="Arial"/>
          <w:spacing w:val="16"/>
          <w:w w:val="102"/>
          <w:sz w:val="15"/>
          <w:szCs w:val="15"/>
        </w:rPr>
        <w:t xml:space="preserve"> </w:t>
      </w:r>
      <w:r>
        <w:rPr>
          <w:rFonts w:ascii="Arial" w:hAnsi="Arial" w:eastAsia="Arial" w:cs="Arial"/>
          <w:spacing w:val="-5"/>
          <w:sz w:val="15"/>
          <w:szCs w:val="15"/>
        </w:rPr>
        <w:t>Design</w:t>
      </w:r>
      <w:r>
        <w:rPr>
          <w:rFonts w:ascii="Arial" w:hAnsi="Arial" w:eastAsia="Arial" w:cs="Arial"/>
          <w:spacing w:val="18"/>
          <w:w w:val="102"/>
          <w:sz w:val="15"/>
          <w:szCs w:val="15"/>
        </w:rPr>
        <w:t xml:space="preserve"> </w:t>
      </w:r>
      <w:r>
        <w:rPr>
          <w:rFonts w:ascii="Arial" w:hAnsi="Arial" w:eastAsia="Arial" w:cs="Arial"/>
          <w:spacing w:val="-5"/>
          <w:sz w:val="15"/>
          <w:szCs w:val="15"/>
        </w:rPr>
        <w:t>of Systems,</w:t>
      </w:r>
      <w:r>
        <w:rPr>
          <w:rFonts w:ascii="Arial" w:hAnsi="Arial" w:eastAsia="Arial" w:cs="Arial"/>
          <w:spacing w:val="18"/>
          <w:sz w:val="15"/>
          <w:szCs w:val="15"/>
        </w:rPr>
        <w:t xml:space="preserve"> </w:t>
      </w:r>
      <w:r>
        <w:rPr>
          <w:rFonts w:ascii="Arial" w:hAnsi="Arial" w:eastAsia="Arial" w:cs="Arial"/>
          <w:spacing w:val="-5"/>
          <w:sz w:val="15"/>
          <w:szCs w:val="15"/>
        </w:rPr>
        <w:t>Products,</w:t>
      </w:r>
      <w:r>
        <w:rPr>
          <w:rFonts w:ascii="Arial" w:hAnsi="Arial" w:eastAsia="Arial" w:cs="Arial"/>
          <w:spacing w:val="18"/>
          <w:w w:val="102"/>
          <w:sz w:val="15"/>
          <w:szCs w:val="15"/>
        </w:rPr>
        <w:t xml:space="preserve"> </w:t>
      </w:r>
      <w:r>
        <w:rPr>
          <w:rFonts w:ascii="Arial" w:hAnsi="Arial" w:eastAsia="Arial" w:cs="Arial"/>
          <w:spacing w:val="-5"/>
          <w:sz w:val="15"/>
          <w:szCs w:val="15"/>
        </w:rPr>
        <w:t>and</w:t>
      </w:r>
      <w:r>
        <w:rPr>
          <w:rFonts w:ascii="Arial" w:hAnsi="Arial" w:eastAsia="Arial" w:cs="Arial"/>
          <w:spacing w:val="15"/>
          <w:w w:val="101"/>
          <w:sz w:val="15"/>
          <w:szCs w:val="15"/>
        </w:rPr>
        <w:t xml:space="preserve"> </w:t>
      </w:r>
      <w:r>
        <w:rPr>
          <w:rFonts w:ascii="Arial" w:hAnsi="Arial" w:eastAsia="Arial" w:cs="Arial"/>
          <w:spacing w:val="-5"/>
          <w:sz w:val="15"/>
          <w:szCs w:val="15"/>
        </w:rPr>
        <w:t>Processes,</w:t>
      </w:r>
      <w:r>
        <w:rPr>
          <w:rFonts w:ascii="Arial" w:hAnsi="Arial" w:eastAsia="Arial" w:cs="Arial"/>
          <w:spacing w:val="21"/>
          <w:w w:val="101"/>
          <w:sz w:val="15"/>
          <w:szCs w:val="15"/>
        </w:rPr>
        <w:t xml:space="preserve"> </w:t>
      </w:r>
      <w:r>
        <w:rPr>
          <w:rFonts w:ascii="Arial" w:hAnsi="Arial" w:eastAsia="Arial" w:cs="Arial"/>
          <w:spacing w:val="-5"/>
          <w:sz w:val="15"/>
          <w:szCs w:val="15"/>
        </w:rPr>
        <w:t>edited</w:t>
      </w:r>
      <w:r>
        <w:rPr>
          <w:rFonts w:ascii="Arial" w:hAnsi="Arial" w:eastAsia="Arial" w:cs="Arial"/>
          <w:spacing w:val="24"/>
          <w:w w:val="101"/>
          <w:sz w:val="15"/>
          <w:szCs w:val="15"/>
        </w:rPr>
        <w:t xml:space="preserve"> </w:t>
      </w:r>
      <w:r>
        <w:rPr>
          <w:rFonts w:ascii="Arial" w:hAnsi="Arial" w:eastAsia="Arial" w:cs="Arial"/>
          <w:spacing w:val="-5"/>
          <w:sz w:val="15"/>
          <w:szCs w:val="15"/>
        </w:rPr>
        <w:t>by</w:t>
      </w:r>
      <w:r>
        <w:rPr>
          <w:rFonts w:ascii="Arial" w:hAnsi="Arial" w:eastAsia="Arial" w:cs="Arial"/>
          <w:spacing w:val="26"/>
          <w:w w:val="102"/>
          <w:sz w:val="15"/>
          <w:szCs w:val="15"/>
        </w:rPr>
        <w:t xml:space="preserve"> </w:t>
      </w:r>
      <w:r>
        <w:rPr>
          <w:rFonts w:ascii="Arial" w:hAnsi="Arial" w:eastAsia="Arial" w:cs="Arial"/>
          <w:spacing w:val="-5"/>
          <w:sz w:val="15"/>
          <w:szCs w:val="15"/>
        </w:rPr>
        <w:t>B.</w:t>
      </w:r>
      <w:r>
        <w:rPr>
          <w:rFonts w:ascii="Arial" w:hAnsi="Arial" w:eastAsia="Arial" w:cs="Arial"/>
          <w:spacing w:val="27"/>
          <w:sz w:val="15"/>
          <w:szCs w:val="15"/>
        </w:rPr>
        <w:t xml:space="preserve"> </w:t>
      </w:r>
      <w:r>
        <w:rPr>
          <w:rFonts w:ascii="Arial" w:hAnsi="Arial" w:eastAsia="Arial" w:cs="Arial"/>
          <w:spacing w:val="-5"/>
          <w:sz w:val="15"/>
          <w:szCs w:val="15"/>
        </w:rPr>
        <w:t>Deml,</w:t>
      </w:r>
      <w:r>
        <w:rPr>
          <w:rFonts w:ascii="Arial" w:hAnsi="Arial" w:eastAsia="Arial" w:cs="Arial"/>
          <w:sz w:val="15"/>
          <w:szCs w:val="15"/>
        </w:rPr>
        <w:t xml:space="preserve"> </w:t>
      </w:r>
      <w:r>
        <w:rPr>
          <w:rFonts w:ascii="Arial" w:hAnsi="Arial" w:eastAsia="Arial" w:cs="Arial"/>
          <w:spacing w:val="-4"/>
          <w:sz w:val="15"/>
          <w:szCs w:val="15"/>
        </w:rPr>
        <w:t>P.</w:t>
      </w:r>
      <w:r>
        <w:rPr>
          <w:rFonts w:ascii="Arial" w:hAnsi="Arial" w:eastAsia="Arial" w:cs="Arial"/>
          <w:spacing w:val="13"/>
          <w:sz w:val="15"/>
          <w:szCs w:val="15"/>
        </w:rPr>
        <w:t xml:space="preserve"> </w:t>
      </w:r>
      <w:r>
        <w:rPr>
          <w:rFonts w:ascii="Arial" w:hAnsi="Arial" w:eastAsia="Arial" w:cs="Arial"/>
          <w:spacing w:val="-4"/>
          <w:sz w:val="15"/>
          <w:szCs w:val="15"/>
        </w:rPr>
        <w:t>Stock,</w:t>
      </w:r>
      <w:r>
        <w:rPr>
          <w:rFonts w:ascii="Arial" w:hAnsi="Arial" w:eastAsia="Arial" w:cs="Arial"/>
          <w:spacing w:val="18"/>
          <w:w w:val="101"/>
          <w:sz w:val="15"/>
          <w:szCs w:val="15"/>
        </w:rPr>
        <w:t xml:space="preserve"> </w:t>
      </w:r>
      <w:r>
        <w:rPr>
          <w:rFonts w:ascii="Arial" w:hAnsi="Arial" w:eastAsia="Arial" w:cs="Arial"/>
          <w:spacing w:val="-4"/>
          <w:sz w:val="15"/>
          <w:szCs w:val="15"/>
        </w:rPr>
        <w:t>R.</w:t>
      </w:r>
      <w:r>
        <w:rPr>
          <w:rFonts w:ascii="Arial" w:hAnsi="Arial" w:eastAsia="Arial" w:cs="Arial"/>
          <w:spacing w:val="17"/>
          <w:w w:val="101"/>
          <w:sz w:val="15"/>
          <w:szCs w:val="15"/>
        </w:rPr>
        <w:t xml:space="preserve"> </w:t>
      </w:r>
      <w:r>
        <w:rPr>
          <w:rFonts w:ascii="Arial" w:hAnsi="Arial" w:eastAsia="Arial" w:cs="Arial"/>
          <w:spacing w:val="-4"/>
          <w:sz w:val="15"/>
          <w:szCs w:val="15"/>
        </w:rPr>
        <w:t>Bruder,</w:t>
      </w:r>
      <w:r>
        <w:rPr>
          <w:rFonts w:ascii="Arial" w:hAnsi="Arial" w:eastAsia="Arial" w:cs="Arial"/>
          <w:spacing w:val="11"/>
          <w:w w:val="101"/>
          <w:sz w:val="15"/>
          <w:szCs w:val="15"/>
        </w:rPr>
        <w:t xml:space="preserve"> </w:t>
      </w:r>
      <w:r>
        <w:rPr>
          <w:rFonts w:ascii="Arial" w:hAnsi="Arial" w:eastAsia="Arial" w:cs="Arial"/>
          <w:spacing w:val="-4"/>
          <w:sz w:val="15"/>
          <w:szCs w:val="15"/>
        </w:rPr>
        <w:t>and</w:t>
      </w:r>
      <w:r>
        <w:rPr>
          <w:rFonts w:ascii="Arial" w:hAnsi="Arial" w:eastAsia="Arial" w:cs="Arial"/>
          <w:spacing w:val="12"/>
          <w:sz w:val="15"/>
          <w:szCs w:val="15"/>
        </w:rPr>
        <w:t xml:space="preserve"> </w:t>
      </w:r>
      <w:r>
        <w:rPr>
          <w:rFonts w:ascii="Arial" w:hAnsi="Arial" w:eastAsia="Arial" w:cs="Arial"/>
          <w:spacing w:val="-4"/>
          <w:sz w:val="15"/>
          <w:szCs w:val="15"/>
        </w:rPr>
        <w:t>C</w:t>
      </w:r>
      <w:r>
        <w:rPr>
          <w:rFonts w:ascii="Arial" w:hAnsi="Arial" w:eastAsia="Arial" w:cs="Arial"/>
          <w:spacing w:val="-5"/>
          <w:sz w:val="15"/>
          <w:szCs w:val="15"/>
        </w:rPr>
        <w:t>.</w:t>
      </w:r>
      <w:r>
        <w:rPr>
          <w:rFonts w:ascii="Arial" w:hAnsi="Arial" w:eastAsia="Arial" w:cs="Arial"/>
          <w:spacing w:val="15"/>
          <w:w w:val="102"/>
          <w:sz w:val="15"/>
          <w:szCs w:val="15"/>
        </w:rPr>
        <w:t xml:space="preserve"> </w:t>
      </w:r>
      <w:r>
        <w:rPr>
          <w:rFonts w:ascii="Arial" w:hAnsi="Arial" w:eastAsia="Arial" w:cs="Arial"/>
          <w:spacing w:val="-5"/>
          <w:sz w:val="15"/>
          <w:szCs w:val="15"/>
        </w:rPr>
        <w:t>M.</w:t>
      </w:r>
      <w:r>
        <w:rPr>
          <w:rFonts w:ascii="Arial" w:hAnsi="Arial" w:eastAsia="Arial" w:cs="Arial"/>
          <w:spacing w:val="12"/>
          <w:w w:val="101"/>
          <w:sz w:val="15"/>
          <w:szCs w:val="15"/>
        </w:rPr>
        <w:t xml:space="preserve"> </w:t>
      </w:r>
      <w:r>
        <w:rPr>
          <w:rFonts w:ascii="Arial" w:hAnsi="Arial" w:eastAsia="Arial" w:cs="Arial"/>
          <w:spacing w:val="-5"/>
          <w:sz w:val="15"/>
          <w:szCs w:val="15"/>
        </w:rPr>
        <w:t>Schlick,</w:t>
      </w:r>
      <w:r>
        <w:rPr>
          <w:rFonts w:ascii="Arial" w:hAnsi="Arial" w:eastAsia="Arial" w:cs="Arial"/>
          <w:spacing w:val="8"/>
          <w:sz w:val="15"/>
          <w:szCs w:val="15"/>
        </w:rPr>
        <w:t xml:space="preserve"> </w:t>
      </w:r>
      <w:r>
        <w:rPr>
          <w:rFonts w:ascii="Arial" w:hAnsi="Arial" w:eastAsia="Arial" w:cs="Arial"/>
          <w:spacing w:val="-5"/>
          <w:sz w:val="15"/>
          <w:szCs w:val="15"/>
        </w:rPr>
        <w:t>43–56.</w:t>
      </w:r>
      <w:r>
        <w:rPr>
          <w:rFonts w:ascii="Arial" w:hAnsi="Arial" w:eastAsia="Arial" w:cs="Arial"/>
          <w:spacing w:val="17"/>
          <w:sz w:val="15"/>
          <w:szCs w:val="15"/>
        </w:rPr>
        <w:t xml:space="preserve"> </w:t>
      </w:r>
      <w:r>
        <w:rPr>
          <w:rFonts w:ascii="Arial" w:hAnsi="Arial" w:eastAsia="Arial" w:cs="Arial"/>
          <w:spacing w:val="-5"/>
          <w:sz w:val="15"/>
          <w:szCs w:val="15"/>
        </w:rPr>
        <w:t>Heidelberg:</w:t>
      </w:r>
      <w:r>
        <w:rPr>
          <w:rFonts w:ascii="Arial" w:hAnsi="Arial" w:eastAsia="Arial" w:cs="Arial"/>
          <w:spacing w:val="11"/>
          <w:w w:val="102"/>
          <w:sz w:val="15"/>
          <w:szCs w:val="15"/>
        </w:rPr>
        <w:t xml:space="preserve"> </w:t>
      </w:r>
      <w:r>
        <w:rPr>
          <w:rFonts w:ascii="Arial" w:hAnsi="Arial" w:eastAsia="Arial" w:cs="Arial"/>
          <w:spacing w:val="-5"/>
          <w:sz w:val="15"/>
          <w:szCs w:val="15"/>
        </w:rPr>
        <w:t>Springer.</w:t>
      </w:r>
    </w:p>
    <w:p>
      <w:pPr>
        <w:spacing w:before="47" w:line="223" w:lineRule="auto"/>
        <w:ind w:left="6"/>
        <w:rPr>
          <w:rFonts w:ascii="Arial" w:hAnsi="Arial" w:eastAsia="Arial" w:cs="Arial"/>
          <w:sz w:val="15"/>
          <w:szCs w:val="15"/>
        </w:rPr>
      </w:pPr>
      <w:r>
        <w:rPr>
          <w:rFonts w:ascii="Arial" w:hAnsi="Arial" w:eastAsia="Arial" w:cs="Arial"/>
          <w:spacing w:val="-4"/>
          <w:sz w:val="15"/>
          <w:szCs w:val="15"/>
        </w:rPr>
        <w:t>Schein,</w:t>
      </w:r>
      <w:r>
        <w:rPr>
          <w:rFonts w:ascii="Arial" w:hAnsi="Arial" w:eastAsia="Arial" w:cs="Arial"/>
          <w:spacing w:val="28"/>
          <w:sz w:val="15"/>
          <w:szCs w:val="15"/>
        </w:rPr>
        <w:t xml:space="preserve"> </w:t>
      </w:r>
      <w:r>
        <w:rPr>
          <w:rFonts w:ascii="Arial" w:hAnsi="Arial" w:eastAsia="Arial" w:cs="Arial"/>
          <w:spacing w:val="-4"/>
          <w:sz w:val="15"/>
          <w:szCs w:val="15"/>
        </w:rPr>
        <w:t>E.</w:t>
      </w:r>
      <w:r>
        <w:rPr>
          <w:rFonts w:ascii="Arial" w:hAnsi="Arial" w:eastAsia="Arial" w:cs="Arial"/>
          <w:spacing w:val="18"/>
          <w:w w:val="101"/>
          <w:sz w:val="15"/>
          <w:szCs w:val="15"/>
        </w:rPr>
        <w:t xml:space="preserve"> </w:t>
      </w:r>
      <w:r>
        <w:rPr>
          <w:rFonts w:ascii="Arial" w:hAnsi="Arial" w:eastAsia="Arial" w:cs="Arial"/>
          <w:spacing w:val="-4"/>
          <w:sz w:val="15"/>
          <w:szCs w:val="15"/>
        </w:rPr>
        <w:t>H.,</w:t>
      </w:r>
      <w:r>
        <w:rPr>
          <w:rFonts w:ascii="Arial" w:hAnsi="Arial" w:eastAsia="Arial" w:cs="Arial"/>
          <w:spacing w:val="11"/>
          <w:sz w:val="15"/>
          <w:szCs w:val="15"/>
        </w:rPr>
        <w:t xml:space="preserve"> </w:t>
      </w:r>
      <w:r>
        <w:rPr>
          <w:rFonts w:ascii="Arial" w:hAnsi="Arial" w:eastAsia="Arial" w:cs="Arial"/>
          <w:spacing w:val="-4"/>
          <w:sz w:val="15"/>
          <w:szCs w:val="15"/>
        </w:rPr>
        <w:t>and</w:t>
      </w:r>
      <w:r>
        <w:rPr>
          <w:rFonts w:ascii="Arial" w:hAnsi="Arial" w:eastAsia="Arial" w:cs="Arial"/>
          <w:spacing w:val="18"/>
          <w:sz w:val="15"/>
          <w:szCs w:val="15"/>
        </w:rPr>
        <w:t xml:space="preserve"> </w:t>
      </w:r>
      <w:r>
        <w:rPr>
          <w:rFonts w:ascii="Arial" w:hAnsi="Arial" w:eastAsia="Arial" w:cs="Arial"/>
          <w:spacing w:val="-4"/>
          <w:sz w:val="15"/>
          <w:szCs w:val="15"/>
        </w:rPr>
        <w:t>P.</w:t>
      </w:r>
      <w:r>
        <w:rPr>
          <w:rFonts w:ascii="Arial" w:hAnsi="Arial" w:eastAsia="Arial" w:cs="Arial"/>
          <w:spacing w:val="13"/>
          <w:sz w:val="15"/>
          <w:szCs w:val="15"/>
        </w:rPr>
        <w:t xml:space="preserve"> </w:t>
      </w:r>
      <w:r>
        <w:rPr>
          <w:rFonts w:ascii="Arial" w:hAnsi="Arial" w:eastAsia="Arial" w:cs="Arial"/>
          <w:spacing w:val="-4"/>
          <w:sz w:val="15"/>
          <w:szCs w:val="15"/>
        </w:rPr>
        <w:t xml:space="preserve">Schein. </w:t>
      </w:r>
      <w:r>
        <w:fldChar w:fldCharType="begin"/>
      </w:r>
      <w:r>
        <w:instrText xml:space="preserve"> HYPERLINK \l "bookmark23" </w:instrText>
      </w:r>
      <w:r>
        <w:fldChar w:fldCharType="separate"/>
      </w:r>
      <w:r>
        <w:rPr>
          <w:rFonts w:ascii="Arial" w:hAnsi="Arial" w:eastAsia="Arial" w:cs="Arial"/>
          <w:color w:val="000084"/>
          <w:spacing w:val="-4"/>
          <w:sz w:val="15"/>
          <w:szCs w:val="15"/>
        </w:rPr>
        <w:t>2017</w:t>
      </w:r>
      <w:r>
        <w:rPr>
          <w:rFonts w:ascii="Arial" w:hAnsi="Arial" w:eastAsia="Arial" w:cs="Arial"/>
          <w:color w:val="000084"/>
          <w:spacing w:val="-4"/>
          <w:sz w:val="15"/>
          <w:szCs w:val="15"/>
        </w:rPr>
        <w:fldChar w:fldCharType="end"/>
      </w:r>
      <w:r>
        <w:rPr>
          <w:rFonts w:ascii="Arial" w:hAnsi="Arial" w:eastAsia="Arial" w:cs="Arial"/>
          <w:spacing w:val="-4"/>
          <w:sz w:val="15"/>
          <w:szCs w:val="15"/>
        </w:rPr>
        <w:t>.</w:t>
      </w:r>
      <w:r>
        <w:rPr>
          <w:rFonts w:ascii="Arial" w:hAnsi="Arial" w:eastAsia="Arial" w:cs="Arial"/>
          <w:spacing w:val="14"/>
          <w:sz w:val="15"/>
          <w:szCs w:val="15"/>
        </w:rPr>
        <w:t xml:space="preserve"> </w:t>
      </w:r>
      <w:r>
        <w:rPr>
          <w:rFonts w:ascii="Arial" w:hAnsi="Arial" w:eastAsia="Arial" w:cs="Arial"/>
          <w:spacing w:val="-4"/>
          <w:sz w:val="15"/>
          <w:szCs w:val="15"/>
        </w:rPr>
        <w:t>Organizational</w:t>
      </w:r>
      <w:r>
        <w:rPr>
          <w:rFonts w:ascii="Arial" w:hAnsi="Arial" w:eastAsia="Arial" w:cs="Arial"/>
          <w:spacing w:val="9"/>
          <w:sz w:val="15"/>
          <w:szCs w:val="15"/>
        </w:rPr>
        <w:t xml:space="preserve"> </w:t>
      </w:r>
      <w:r>
        <w:rPr>
          <w:rFonts w:ascii="Arial" w:hAnsi="Arial" w:eastAsia="Arial" w:cs="Arial"/>
          <w:spacing w:val="-4"/>
          <w:sz w:val="15"/>
          <w:szCs w:val="15"/>
        </w:rPr>
        <w:t>Culture</w:t>
      </w:r>
      <w:r>
        <w:rPr>
          <w:rFonts w:ascii="Arial" w:hAnsi="Arial" w:eastAsia="Arial" w:cs="Arial"/>
          <w:spacing w:val="11"/>
          <w:w w:val="101"/>
          <w:sz w:val="15"/>
          <w:szCs w:val="15"/>
        </w:rPr>
        <w:t xml:space="preserve"> </w:t>
      </w:r>
      <w:r>
        <w:rPr>
          <w:rFonts w:ascii="Arial" w:hAnsi="Arial" w:eastAsia="Arial" w:cs="Arial"/>
          <w:spacing w:val="-4"/>
          <w:sz w:val="15"/>
          <w:szCs w:val="15"/>
        </w:rPr>
        <w:t>and Leadership.</w:t>
      </w:r>
      <w:r>
        <w:rPr>
          <w:rFonts w:ascii="Arial" w:hAnsi="Arial" w:eastAsia="Arial" w:cs="Arial"/>
          <w:spacing w:val="14"/>
          <w:sz w:val="15"/>
          <w:szCs w:val="15"/>
        </w:rPr>
        <w:t xml:space="preserve"> </w:t>
      </w:r>
      <w:r>
        <w:rPr>
          <w:rFonts w:ascii="Arial" w:hAnsi="Arial" w:eastAsia="Arial" w:cs="Arial"/>
          <w:spacing w:val="-4"/>
          <w:sz w:val="15"/>
          <w:szCs w:val="15"/>
        </w:rPr>
        <w:t>5th</w:t>
      </w:r>
      <w:r>
        <w:rPr>
          <w:rFonts w:ascii="Arial" w:hAnsi="Arial" w:eastAsia="Arial" w:cs="Arial"/>
          <w:spacing w:val="12"/>
          <w:sz w:val="15"/>
          <w:szCs w:val="15"/>
        </w:rPr>
        <w:t xml:space="preserve"> </w:t>
      </w:r>
      <w:r>
        <w:rPr>
          <w:rFonts w:ascii="Arial" w:hAnsi="Arial" w:eastAsia="Arial" w:cs="Arial"/>
          <w:spacing w:val="-4"/>
          <w:sz w:val="15"/>
          <w:szCs w:val="15"/>
        </w:rPr>
        <w:t>ed.</w:t>
      </w:r>
      <w:r>
        <w:rPr>
          <w:rFonts w:ascii="Arial" w:hAnsi="Arial" w:eastAsia="Arial" w:cs="Arial"/>
          <w:spacing w:val="17"/>
          <w:sz w:val="15"/>
          <w:szCs w:val="15"/>
        </w:rPr>
        <w:t xml:space="preserve"> </w:t>
      </w:r>
      <w:r>
        <w:rPr>
          <w:rFonts w:ascii="Arial" w:hAnsi="Arial" w:eastAsia="Arial" w:cs="Arial"/>
          <w:spacing w:val="-4"/>
          <w:sz w:val="15"/>
          <w:szCs w:val="15"/>
        </w:rPr>
        <w:t>Hoboken,</w:t>
      </w:r>
      <w:r>
        <w:rPr>
          <w:rFonts w:ascii="Arial" w:hAnsi="Arial" w:eastAsia="Arial" w:cs="Arial"/>
          <w:spacing w:val="18"/>
          <w:sz w:val="15"/>
          <w:szCs w:val="15"/>
        </w:rPr>
        <w:t xml:space="preserve"> </w:t>
      </w:r>
      <w:r>
        <w:rPr>
          <w:rFonts w:ascii="Arial" w:hAnsi="Arial" w:eastAsia="Arial" w:cs="Arial"/>
          <w:spacing w:val="-4"/>
          <w:sz w:val="15"/>
          <w:szCs w:val="15"/>
        </w:rPr>
        <w:t>New Jersey:</w:t>
      </w:r>
      <w:r>
        <w:rPr>
          <w:rFonts w:ascii="Arial" w:hAnsi="Arial" w:eastAsia="Arial" w:cs="Arial"/>
          <w:spacing w:val="9"/>
          <w:sz w:val="15"/>
          <w:szCs w:val="15"/>
        </w:rPr>
        <w:t xml:space="preserve"> </w:t>
      </w:r>
      <w:r>
        <w:rPr>
          <w:rFonts w:ascii="Arial" w:hAnsi="Arial" w:eastAsia="Arial" w:cs="Arial"/>
          <w:spacing w:val="-4"/>
          <w:sz w:val="15"/>
          <w:szCs w:val="15"/>
        </w:rPr>
        <w:t>Wiley.</w:t>
      </w:r>
    </w:p>
    <w:p>
      <w:pPr>
        <w:spacing w:before="40" w:line="260" w:lineRule="auto"/>
        <w:ind w:left="209" w:right="17" w:hanging="203"/>
        <w:rPr>
          <w:rFonts w:ascii="Arial" w:hAnsi="Arial" w:eastAsia="Arial" w:cs="Arial"/>
          <w:sz w:val="15"/>
          <w:szCs w:val="15"/>
        </w:rPr>
      </w:pPr>
      <w:r>
        <w:rPr>
          <w:rFonts w:ascii="Arial" w:hAnsi="Arial" w:eastAsia="Arial" w:cs="Arial"/>
          <w:spacing w:val="-2"/>
          <w:sz w:val="15"/>
          <w:szCs w:val="15"/>
        </w:rPr>
        <w:t>Shah,</w:t>
      </w:r>
      <w:r>
        <w:rPr>
          <w:rFonts w:ascii="Arial" w:hAnsi="Arial" w:eastAsia="Arial" w:cs="Arial"/>
          <w:spacing w:val="18"/>
          <w:w w:val="101"/>
          <w:sz w:val="15"/>
          <w:szCs w:val="15"/>
        </w:rPr>
        <w:t xml:space="preserve"> </w:t>
      </w:r>
      <w:r>
        <w:rPr>
          <w:rFonts w:ascii="Arial" w:hAnsi="Arial" w:eastAsia="Arial" w:cs="Arial"/>
          <w:spacing w:val="-2"/>
          <w:sz w:val="15"/>
          <w:szCs w:val="15"/>
        </w:rPr>
        <w:t>A.</w:t>
      </w:r>
      <w:r>
        <w:rPr>
          <w:rFonts w:ascii="Arial" w:hAnsi="Arial" w:eastAsia="Arial" w:cs="Arial"/>
          <w:spacing w:val="20"/>
          <w:sz w:val="15"/>
          <w:szCs w:val="15"/>
        </w:rPr>
        <w:t xml:space="preserve"> </w:t>
      </w:r>
      <w:r>
        <w:rPr>
          <w:rFonts w:ascii="Arial" w:hAnsi="Arial" w:eastAsia="Arial" w:cs="Arial"/>
          <w:spacing w:val="-2"/>
          <w:sz w:val="15"/>
          <w:szCs w:val="15"/>
        </w:rPr>
        <w:t>A.,</w:t>
      </w:r>
      <w:r>
        <w:rPr>
          <w:rFonts w:ascii="Arial" w:hAnsi="Arial" w:eastAsia="Arial" w:cs="Arial"/>
          <w:spacing w:val="24"/>
          <w:w w:val="101"/>
          <w:sz w:val="15"/>
          <w:szCs w:val="15"/>
        </w:rPr>
        <w:t xml:space="preserve"> </w:t>
      </w:r>
      <w:r>
        <w:rPr>
          <w:rFonts w:ascii="Arial" w:hAnsi="Arial" w:eastAsia="Arial" w:cs="Arial"/>
          <w:spacing w:val="-2"/>
          <w:sz w:val="15"/>
          <w:szCs w:val="15"/>
        </w:rPr>
        <w:t>M.</w:t>
      </w:r>
      <w:r>
        <w:rPr>
          <w:rFonts w:ascii="Arial" w:hAnsi="Arial" w:eastAsia="Arial" w:cs="Arial"/>
          <w:spacing w:val="19"/>
          <w:sz w:val="15"/>
          <w:szCs w:val="15"/>
        </w:rPr>
        <w:t xml:space="preserve"> </w:t>
      </w:r>
      <w:r>
        <w:rPr>
          <w:rFonts w:ascii="Arial" w:hAnsi="Arial" w:eastAsia="Arial" w:cs="Arial"/>
          <w:spacing w:val="-2"/>
          <w:sz w:val="15"/>
          <w:szCs w:val="15"/>
        </w:rPr>
        <w:t>A.</w:t>
      </w:r>
      <w:r>
        <w:rPr>
          <w:rFonts w:ascii="Arial" w:hAnsi="Arial" w:eastAsia="Arial" w:cs="Arial"/>
          <w:spacing w:val="27"/>
          <w:sz w:val="15"/>
          <w:szCs w:val="15"/>
        </w:rPr>
        <w:t xml:space="preserve"> </w:t>
      </w:r>
      <w:r>
        <w:rPr>
          <w:rFonts w:ascii="Arial" w:hAnsi="Arial" w:eastAsia="Arial" w:cs="Arial"/>
          <w:spacing w:val="-2"/>
          <w:sz w:val="15"/>
          <w:szCs w:val="15"/>
        </w:rPr>
        <w:t>Uqaili,</w:t>
      </w:r>
      <w:r>
        <w:rPr>
          <w:rFonts w:ascii="Arial" w:hAnsi="Arial" w:eastAsia="Arial" w:cs="Arial"/>
          <w:spacing w:val="20"/>
          <w:sz w:val="15"/>
          <w:szCs w:val="15"/>
        </w:rPr>
        <w:t xml:space="preserve"> </w:t>
      </w:r>
      <w:r>
        <w:rPr>
          <w:rFonts w:ascii="Arial" w:hAnsi="Arial" w:eastAsia="Arial" w:cs="Arial"/>
          <w:spacing w:val="-2"/>
          <w:sz w:val="15"/>
          <w:szCs w:val="15"/>
        </w:rPr>
        <w:t>and</w:t>
      </w:r>
      <w:r>
        <w:rPr>
          <w:rFonts w:ascii="Arial" w:hAnsi="Arial" w:eastAsia="Arial" w:cs="Arial"/>
          <w:spacing w:val="19"/>
          <w:w w:val="101"/>
          <w:sz w:val="15"/>
          <w:szCs w:val="15"/>
        </w:rPr>
        <w:t xml:space="preserve"> </w:t>
      </w:r>
      <w:r>
        <w:rPr>
          <w:rFonts w:ascii="Arial" w:hAnsi="Arial" w:eastAsia="Arial" w:cs="Arial"/>
          <w:spacing w:val="-2"/>
          <w:sz w:val="15"/>
          <w:szCs w:val="15"/>
        </w:rPr>
        <w:t>A.</w:t>
      </w:r>
      <w:r>
        <w:rPr>
          <w:rFonts w:ascii="Arial" w:hAnsi="Arial" w:eastAsia="Arial" w:cs="Arial"/>
          <w:spacing w:val="21"/>
          <w:w w:val="101"/>
          <w:sz w:val="15"/>
          <w:szCs w:val="15"/>
        </w:rPr>
        <w:t xml:space="preserve"> </w:t>
      </w:r>
      <w:r>
        <w:rPr>
          <w:rFonts w:ascii="Arial" w:hAnsi="Arial" w:eastAsia="Arial" w:cs="Arial"/>
          <w:spacing w:val="-2"/>
          <w:sz w:val="15"/>
          <w:szCs w:val="15"/>
        </w:rPr>
        <w:t>S.</w:t>
      </w:r>
      <w:r>
        <w:rPr>
          <w:rFonts w:ascii="Arial" w:hAnsi="Arial" w:eastAsia="Arial" w:cs="Arial"/>
          <w:spacing w:val="21"/>
          <w:sz w:val="15"/>
          <w:szCs w:val="15"/>
        </w:rPr>
        <w:t xml:space="preserve"> </w:t>
      </w:r>
      <w:r>
        <w:rPr>
          <w:rFonts w:ascii="Arial" w:hAnsi="Arial" w:eastAsia="Arial" w:cs="Arial"/>
          <w:spacing w:val="-2"/>
          <w:sz w:val="15"/>
          <w:szCs w:val="15"/>
        </w:rPr>
        <w:t>Qureshi.</w:t>
      </w:r>
      <w:r>
        <w:rPr>
          <w:rFonts w:ascii="Arial" w:hAnsi="Arial" w:eastAsia="Arial" w:cs="Arial"/>
          <w:spacing w:val="15"/>
          <w:sz w:val="15"/>
          <w:szCs w:val="15"/>
        </w:rPr>
        <w:t xml:space="preserve"> </w:t>
      </w:r>
      <w:r>
        <w:fldChar w:fldCharType="begin"/>
      </w:r>
      <w:r>
        <w:instrText xml:space="preserve"> HYPERLINK \l "bookmark10" </w:instrText>
      </w:r>
      <w:r>
        <w:fldChar w:fldCharType="separate"/>
      </w:r>
      <w:r>
        <w:rPr>
          <w:rFonts w:ascii="Arial" w:hAnsi="Arial" w:eastAsia="Arial" w:cs="Arial"/>
          <w:color w:val="000084"/>
          <w:spacing w:val="-2"/>
          <w:sz w:val="15"/>
          <w:szCs w:val="15"/>
        </w:rPr>
        <w:t>2017</w:t>
      </w:r>
      <w:r>
        <w:rPr>
          <w:rFonts w:ascii="Arial" w:hAnsi="Arial" w:eastAsia="Arial" w:cs="Arial"/>
          <w:color w:val="000084"/>
          <w:spacing w:val="-2"/>
          <w:sz w:val="15"/>
          <w:szCs w:val="15"/>
        </w:rPr>
        <w:fldChar w:fldCharType="end"/>
      </w:r>
      <w:r>
        <w:rPr>
          <w:rFonts w:ascii="Arial" w:hAnsi="Arial" w:eastAsia="Arial" w:cs="Arial"/>
          <w:spacing w:val="-2"/>
          <w:sz w:val="15"/>
          <w:szCs w:val="15"/>
        </w:rPr>
        <w:t>.</w:t>
      </w:r>
      <w:r>
        <w:rPr>
          <w:rFonts w:ascii="Arial" w:hAnsi="Arial" w:eastAsia="Arial" w:cs="Arial"/>
          <w:spacing w:val="19"/>
          <w:sz w:val="15"/>
          <w:szCs w:val="15"/>
        </w:rPr>
        <w:t xml:space="preserve"> </w:t>
      </w:r>
      <w:r>
        <w:rPr>
          <w:rFonts w:ascii="Arial" w:hAnsi="Arial" w:eastAsia="Arial" w:cs="Arial"/>
          <w:spacing w:val="-2"/>
          <w:sz w:val="15"/>
          <w:szCs w:val="15"/>
        </w:rPr>
        <w:t>Adoption</w:t>
      </w:r>
      <w:r>
        <w:rPr>
          <w:rFonts w:ascii="Arial" w:hAnsi="Arial" w:eastAsia="Arial" w:cs="Arial"/>
          <w:spacing w:val="20"/>
          <w:sz w:val="15"/>
          <w:szCs w:val="15"/>
        </w:rPr>
        <w:t xml:space="preserve"> </w:t>
      </w:r>
      <w:r>
        <w:rPr>
          <w:rFonts w:ascii="Arial" w:hAnsi="Arial" w:eastAsia="Arial" w:cs="Arial"/>
          <w:spacing w:val="-2"/>
          <w:sz w:val="15"/>
          <w:szCs w:val="15"/>
        </w:rPr>
        <w:t>of</w:t>
      </w:r>
      <w:r>
        <w:rPr>
          <w:rFonts w:ascii="Arial" w:hAnsi="Arial" w:eastAsia="Arial" w:cs="Arial"/>
          <w:spacing w:val="15"/>
          <w:w w:val="101"/>
          <w:sz w:val="15"/>
          <w:szCs w:val="15"/>
        </w:rPr>
        <w:t xml:space="preserve"> </w:t>
      </w:r>
      <w:r>
        <w:rPr>
          <w:rFonts w:ascii="Arial" w:hAnsi="Arial" w:eastAsia="Arial" w:cs="Arial"/>
          <w:spacing w:val="-2"/>
          <w:sz w:val="15"/>
          <w:szCs w:val="15"/>
        </w:rPr>
        <w:t>quality</w:t>
      </w:r>
      <w:r>
        <w:rPr>
          <w:rFonts w:ascii="Arial" w:hAnsi="Arial" w:eastAsia="Arial" w:cs="Arial"/>
          <w:spacing w:val="20"/>
          <w:w w:val="102"/>
          <w:sz w:val="15"/>
          <w:szCs w:val="15"/>
        </w:rPr>
        <w:t xml:space="preserve"> </w:t>
      </w:r>
      <w:r>
        <w:rPr>
          <w:rFonts w:ascii="Arial" w:hAnsi="Arial" w:eastAsia="Arial" w:cs="Arial"/>
          <w:spacing w:val="-2"/>
          <w:sz w:val="15"/>
          <w:szCs w:val="15"/>
        </w:rPr>
        <w:t>culture</w:t>
      </w:r>
      <w:r>
        <w:rPr>
          <w:rFonts w:ascii="Arial" w:hAnsi="Arial" w:eastAsia="Arial" w:cs="Arial"/>
          <w:spacing w:val="19"/>
          <w:sz w:val="15"/>
          <w:szCs w:val="15"/>
        </w:rPr>
        <w:t xml:space="preserve"> </w:t>
      </w:r>
      <w:r>
        <w:rPr>
          <w:rFonts w:ascii="Arial" w:hAnsi="Arial" w:eastAsia="Arial" w:cs="Arial"/>
          <w:spacing w:val="-2"/>
          <w:sz w:val="15"/>
          <w:szCs w:val="15"/>
        </w:rPr>
        <w:t>–</w:t>
      </w:r>
      <w:r>
        <w:rPr>
          <w:rFonts w:ascii="Arial" w:hAnsi="Arial" w:eastAsia="Arial" w:cs="Arial"/>
          <w:spacing w:val="19"/>
          <w:w w:val="102"/>
          <w:sz w:val="15"/>
          <w:szCs w:val="15"/>
        </w:rPr>
        <w:t xml:space="preserve"> </w:t>
      </w:r>
      <w:r>
        <w:rPr>
          <w:rFonts w:ascii="Arial" w:hAnsi="Arial" w:eastAsia="Arial" w:cs="Arial"/>
          <w:spacing w:val="-2"/>
          <w:sz w:val="15"/>
          <w:szCs w:val="15"/>
        </w:rPr>
        <w:t>A</w:t>
      </w:r>
      <w:r>
        <w:rPr>
          <w:rFonts w:ascii="Arial" w:hAnsi="Arial" w:eastAsia="Arial" w:cs="Arial"/>
          <w:spacing w:val="20"/>
          <w:w w:val="102"/>
          <w:sz w:val="15"/>
          <w:szCs w:val="15"/>
        </w:rPr>
        <w:t xml:space="preserve"> </w:t>
      </w:r>
      <w:r>
        <w:rPr>
          <w:rFonts w:ascii="Arial" w:hAnsi="Arial" w:eastAsia="Arial" w:cs="Arial"/>
          <w:spacing w:val="-2"/>
          <w:sz w:val="15"/>
          <w:szCs w:val="15"/>
        </w:rPr>
        <w:t>case</w:t>
      </w:r>
      <w:r>
        <w:rPr>
          <w:rFonts w:ascii="Arial" w:hAnsi="Arial" w:eastAsia="Arial" w:cs="Arial"/>
          <w:spacing w:val="21"/>
          <w:sz w:val="15"/>
          <w:szCs w:val="15"/>
        </w:rPr>
        <w:t xml:space="preserve"> </w:t>
      </w:r>
      <w:r>
        <w:rPr>
          <w:rFonts w:ascii="Arial" w:hAnsi="Arial" w:eastAsia="Arial" w:cs="Arial"/>
          <w:spacing w:val="-3"/>
          <w:sz w:val="15"/>
          <w:szCs w:val="15"/>
        </w:rPr>
        <w:t>study</w:t>
      </w:r>
      <w:r>
        <w:rPr>
          <w:rFonts w:ascii="Arial" w:hAnsi="Arial" w:eastAsia="Arial" w:cs="Arial"/>
          <w:spacing w:val="21"/>
          <w:w w:val="101"/>
          <w:sz w:val="15"/>
          <w:szCs w:val="15"/>
        </w:rPr>
        <w:t xml:space="preserve"> </w:t>
      </w:r>
      <w:r>
        <w:rPr>
          <w:rFonts w:ascii="Arial" w:hAnsi="Arial" w:eastAsia="Arial" w:cs="Arial"/>
          <w:spacing w:val="-3"/>
          <w:sz w:val="15"/>
          <w:szCs w:val="15"/>
        </w:rPr>
        <w:t>of</w:t>
      </w:r>
      <w:r>
        <w:rPr>
          <w:rFonts w:ascii="Arial" w:hAnsi="Arial" w:eastAsia="Arial" w:cs="Arial"/>
          <w:spacing w:val="17"/>
          <w:w w:val="101"/>
          <w:sz w:val="15"/>
          <w:szCs w:val="15"/>
        </w:rPr>
        <w:t xml:space="preserve"> </w:t>
      </w:r>
      <w:r>
        <w:rPr>
          <w:rFonts w:ascii="Arial" w:hAnsi="Arial" w:eastAsia="Arial" w:cs="Arial"/>
          <w:spacing w:val="-3"/>
          <w:sz w:val="15"/>
          <w:szCs w:val="15"/>
        </w:rPr>
        <w:t>Mehran</w:t>
      </w:r>
      <w:r>
        <w:rPr>
          <w:rFonts w:ascii="Arial" w:hAnsi="Arial" w:eastAsia="Arial" w:cs="Arial"/>
          <w:spacing w:val="26"/>
          <w:w w:val="101"/>
          <w:sz w:val="15"/>
          <w:szCs w:val="15"/>
        </w:rPr>
        <w:t xml:space="preserve"> </w:t>
      </w:r>
      <w:r>
        <w:rPr>
          <w:rFonts w:ascii="Arial" w:hAnsi="Arial" w:eastAsia="Arial" w:cs="Arial"/>
          <w:spacing w:val="-3"/>
          <w:sz w:val="15"/>
          <w:szCs w:val="15"/>
        </w:rPr>
        <w:t>University</w:t>
      </w:r>
      <w:r>
        <w:rPr>
          <w:rFonts w:ascii="Arial" w:hAnsi="Arial" w:eastAsia="Arial" w:cs="Arial"/>
          <w:spacing w:val="20"/>
          <w:w w:val="102"/>
          <w:sz w:val="15"/>
          <w:szCs w:val="15"/>
        </w:rPr>
        <w:t xml:space="preserve"> </w:t>
      </w:r>
      <w:r>
        <w:rPr>
          <w:rFonts w:ascii="Arial" w:hAnsi="Arial" w:eastAsia="Arial" w:cs="Arial"/>
          <w:spacing w:val="-3"/>
          <w:sz w:val="15"/>
          <w:szCs w:val="15"/>
        </w:rPr>
        <w:t>of</w:t>
      </w:r>
      <w:r>
        <w:rPr>
          <w:rFonts w:ascii="Arial" w:hAnsi="Arial" w:eastAsia="Arial" w:cs="Arial"/>
          <w:sz w:val="15"/>
          <w:szCs w:val="15"/>
        </w:rPr>
        <w:t xml:space="preserve"> </w:t>
      </w:r>
      <w:r>
        <w:rPr>
          <w:rFonts w:ascii="Arial" w:hAnsi="Arial" w:eastAsia="Arial" w:cs="Arial"/>
          <w:spacing w:val="-3"/>
          <w:sz w:val="15"/>
          <w:szCs w:val="15"/>
        </w:rPr>
        <w:t>Engineering  &amp;  Technology,</w:t>
      </w:r>
      <w:r>
        <w:rPr>
          <w:rFonts w:ascii="Arial" w:hAnsi="Arial" w:eastAsia="Arial" w:cs="Arial"/>
          <w:spacing w:val="4"/>
          <w:sz w:val="15"/>
          <w:szCs w:val="15"/>
        </w:rPr>
        <w:t xml:space="preserve">  </w:t>
      </w:r>
      <w:r>
        <w:rPr>
          <w:rFonts w:ascii="Arial" w:hAnsi="Arial" w:eastAsia="Arial" w:cs="Arial"/>
          <w:spacing w:val="-3"/>
          <w:sz w:val="15"/>
          <w:szCs w:val="15"/>
        </w:rPr>
        <w:t>Jamshoro,</w:t>
      </w:r>
      <w:r>
        <w:rPr>
          <w:rFonts w:ascii="Arial" w:hAnsi="Arial" w:eastAsia="Arial" w:cs="Arial"/>
          <w:spacing w:val="7"/>
          <w:sz w:val="15"/>
          <w:szCs w:val="15"/>
        </w:rPr>
        <w:t xml:space="preserve">  </w:t>
      </w:r>
      <w:r>
        <w:rPr>
          <w:rFonts w:ascii="Arial" w:hAnsi="Arial" w:eastAsia="Arial" w:cs="Arial"/>
          <w:spacing w:val="-3"/>
          <w:sz w:val="15"/>
          <w:szCs w:val="15"/>
        </w:rPr>
        <w:t>Sindh,   Pakistan.  2017</w:t>
      </w:r>
      <w:r>
        <w:rPr>
          <w:rFonts w:ascii="Arial" w:hAnsi="Arial" w:eastAsia="Arial" w:cs="Arial"/>
          <w:spacing w:val="6"/>
          <w:sz w:val="15"/>
          <w:szCs w:val="15"/>
        </w:rPr>
        <w:t xml:space="preserve">  </w:t>
      </w:r>
      <w:r>
        <w:rPr>
          <w:rFonts w:ascii="Arial" w:hAnsi="Arial" w:eastAsia="Arial" w:cs="Arial"/>
          <w:spacing w:val="-3"/>
          <w:sz w:val="15"/>
          <w:szCs w:val="15"/>
        </w:rPr>
        <w:t>IEEE</w:t>
      </w:r>
      <w:r>
        <w:rPr>
          <w:rFonts w:ascii="Arial" w:hAnsi="Arial" w:eastAsia="Arial" w:cs="Arial"/>
          <w:spacing w:val="5"/>
          <w:sz w:val="15"/>
          <w:szCs w:val="15"/>
        </w:rPr>
        <w:t xml:space="preserve">  </w:t>
      </w:r>
      <w:r>
        <w:rPr>
          <w:rFonts w:ascii="Arial" w:hAnsi="Arial" w:eastAsia="Arial" w:cs="Arial"/>
          <w:spacing w:val="-3"/>
          <w:sz w:val="15"/>
          <w:szCs w:val="15"/>
        </w:rPr>
        <w:t>Global</w:t>
      </w:r>
      <w:r>
        <w:rPr>
          <w:rFonts w:ascii="Arial" w:hAnsi="Arial" w:eastAsia="Arial" w:cs="Arial"/>
          <w:spacing w:val="4"/>
          <w:sz w:val="15"/>
          <w:szCs w:val="15"/>
        </w:rPr>
        <w:t xml:space="preserve">  </w:t>
      </w:r>
      <w:r>
        <w:rPr>
          <w:rFonts w:ascii="Arial" w:hAnsi="Arial" w:eastAsia="Arial" w:cs="Arial"/>
          <w:spacing w:val="-3"/>
          <w:sz w:val="15"/>
          <w:szCs w:val="15"/>
        </w:rPr>
        <w:t>Humanitarian   Technology</w:t>
      </w:r>
      <w:r>
        <w:rPr>
          <w:rFonts w:ascii="Arial" w:hAnsi="Arial" w:eastAsia="Arial" w:cs="Arial"/>
          <w:spacing w:val="-4"/>
          <w:sz w:val="15"/>
          <w:szCs w:val="15"/>
        </w:rPr>
        <w:t xml:space="preserve">  Conference</w:t>
      </w:r>
      <w:r>
        <w:rPr>
          <w:rFonts w:ascii="Arial" w:hAnsi="Arial" w:eastAsia="Arial" w:cs="Arial"/>
          <w:spacing w:val="1"/>
          <w:sz w:val="15"/>
          <w:szCs w:val="15"/>
        </w:rPr>
        <w:t xml:space="preserve"> </w:t>
      </w:r>
      <w:r>
        <w:rPr>
          <w:rFonts w:ascii="Arial" w:hAnsi="Arial" w:eastAsia="Arial" w:cs="Arial"/>
          <w:spacing w:val="-5"/>
          <w:sz w:val="15"/>
          <w:szCs w:val="15"/>
        </w:rPr>
        <w:t xml:space="preserve">(GHTC). </w:t>
      </w:r>
      <w:r>
        <w:fldChar w:fldCharType="begin"/>
      </w:r>
      <w:r>
        <w:instrText xml:space="preserve"> HYPERLINK "https://doi.org/10.1109/GHTC.2017.8239254" </w:instrText>
      </w:r>
      <w:r>
        <w:fldChar w:fldCharType="separate"/>
      </w:r>
      <w:r>
        <w:rPr>
          <w:rFonts w:ascii="Arial" w:hAnsi="Arial" w:eastAsia="Arial" w:cs="Arial"/>
          <w:color w:val="000084"/>
          <w:spacing w:val="-5"/>
          <w:sz w:val="15"/>
          <w:szCs w:val="15"/>
        </w:rPr>
        <w:t>doi:10.1109/GHTC.2017.8239254</w:t>
      </w:r>
      <w:r>
        <w:rPr>
          <w:rFonts w:ascii="Arial" w:hAnsi="Arial" w:eastAsia="Arial" w:cs="Arial"/>
          <w:color w:val="000084"/>
          <w:spacing w:val="-5"/>
          <w:sz w:val="15"/>
          <w:szCs w:val="15"/>
        </w:rPr>
        <w:fldChar w:fldCharType="end"/>
      </w:r>
      <w:r>
        <w:rPr>
          <w:rFonts w:ascii="Arial" w:hAnsi="Arial" w:eastAsia="Arial" w:cs="Arial"/>
          <w:spacing w:val="-5"/>
          <w:sz w:val="15"/>
          <w:szCs w:val="15"/>
        </w:rPr>
        <w:t>.</w:t>
      </w:r>
    </w:p>
    <w:p>
      <w:pPr>
        <w:spacing w:before="40" w:line="246" w:lineRule="auto"/>
        <w:ind w:left="211" w:right="24" w:hanging="205"/>
        <w:rPr>
          <w:rFonts w:ascii="Arial" w:hAnsi="Arial" w:eastAsia="Arial" w:cs="Arial"/>
          <w:sz w:val="15"/>
          <w:szCs w:val="15"/>
        </w:rPr>
      </w:pPr>
      <w:r>
        <w:rPr>
          <w:rFonts w:ascii="Arial" w:hAnsi="Arial" w:eastAsia="Arial" w:cs="Arial"/>
          <w:spacing w:val="-4"/>
          <w:sz w:val="15"/>
          <w:szCs w:val="15"/>
        </w:rPr>
        <w:t>Sonntag,</w:t>
      </w:r>
      <w:r>
        <w:rPr>
          <w:rFonts w:ascii="Arial" w:hAnsi="Arial" w:eastAsia="Arial" w:cs="Arial"/>
          <w:spacing w:val="37"/>
          <w:sz w:val="15"/>
          <w:szCs w:val="15"/>
        </w:rPr>
        <w:t xml:space="preserve"> </w:t>
      </w:r>
      <w:r>
        <w:rPr>
          <w:rFonts w:ascii="Arial" w:hAnsi="Arial" w:eastAsia="Arial" w:cs="Arial"/>
          <w:spacing w:val="-4"/>
          <w:sz w:val="15"/>
          <w:szCs w:val="15"/>
        </w:rPr>
        <w:t>K.,</w:t>
      </w:r>
      <w:r>
        <w:rPr>
          <w:rFonts w:ascii="Arial" w:hAnsi="Arial" w:eastAsia="Arial" w:cs="Arial"/>
          <w:spacing w:val="27"/>
          <w:w w:val="101"/>
          <w:sz w:val="15"/>
          <w:szCs w:val="15"/>
        </w:rPr>
        <w:t xml:space="preserve"> </w:t>
      </w:r>
      <w:r>
        <w:rPr>
          <w:rFonts w:ascii="Arial" w:hAnsi="Arial" w:eastAsia="Arial" w:cs="Arial"/>
          <w:spacing w:val="-4"/>
          <w:sz w:val="15"/>
          <w:szCs w:val="15"/>
        </w:rPr>
        <w:t>and</w:t>
      </w:r>
      <w:r>
        <w:rPr>
          <w:rFonts w:ascii="Arial" w:hAnsi="Arial" w:eastAsia="Arial" w:cs="Arial"/>
          <w:spacing w:val="33"/>
          <w:w w:val="101"/>
          <w:sz w:val="15"/>
          <w:szCs w:val="15"/>
        </w:rPr>
        <w:t xml:space="preserve"> </w:t>
      </w:r>
      <w:r>
        <w:rPr>
          <w:rFonts w:ascii="Arial" w:hAnsi="Arial" w:eastAsia="Arial" w:cs="Arial"/>
          <w:spacing w:val="-4"/>
          <w:sz w:val="15"/>
          <w:szCs w:val="15"/>
        </w:rPr>
        <w:t>R.</w:t>
      </w:r>
      <w:r>
        <w:rPr>
          <w:rFonts w:ascii="Arial" w:hAnsi="Arial" w:eastAsia="Arial" w:cs="Arial"/>
          <w:spacing w:val="27"/>
          <w:w w:val="101"/>
          <w:sz w:val="15"/>
          <w:szCs w:val="15"/>
        </w:rPr>
        <w:t xml:space="preserve"> </w:t>
      </w:r>
      <w:r>
        <w:rPr>
          <w:rFonts w:ascii="Arial" w:hAnsi="Arial" w:eastAsia="Arial" w:cs="Arial"/>
          <w:spacing w:val="-4"/>
          <w:sz w:val="15"/>
          <w:szCs w:val="15"/>
        </w:rPr>
        <w:t>Stegmaier.</w:t>
      </w:r>
      <w:r>
        <w:rPr>
          <w:rFonts w:ascii="Arial" w:hAnsi="Arial" w:eastAsia="Arial" w:cs="Arial"/>
          <w:spacing w:val="21"/>
          <w:w w:val="101"/>
          <w:sz w:val="15"/>
          <w:szCs w:val="15"/>
        </w:rPr>
        <w:t xml:space="preserve"> </w:t>
      </w:r>
      <w:r>
        <w:fldChar w:fldCharType="begin"/>
      </w:r>
      <w:r>
        <w:instrText xml:space="preserve"> HYPERLINK \l "bookmark42" </w:instrText>
      </w:r>
      <w:r>
        <w:fldChar w:fldCharType="separate"/>
      </w:r>
      <w:r>
        <w:rPr>
          <w:rFonts w:ascii="Arial" w:hAnsi="Arial" w:eastAsia="Arial" w:cs="Arial"/>
          <w:color w:val="000084"/>
          <w:spacing w:val="-4"/>
          <w:sz w:val="15"/>
          <w:szCs w:val="15"/>
        </w:rPr>
        <w:t>2007</w:t>
      </w:r>
      <w:r>
        <w:rPr>
          <w:rFonts w:ascii="Arial" w:hAnsi="Arial" w:eastAsia="Arial" w:cs="Arial"/>
          <w:color w:val="000084"/>
          <w:spacing w:val="-4"/>
          <w:sz w:val="15"/>
          <w:szCs w:val="15"/>
        </w:rPr>
        <w:fldChar w:fldCharType="end"/>
      </w:r>
      <w:r>
        <w:rPr>
          <w:rFonts w:ascii="Arial" w:hAnsi="Arial" w:eastAsia="Arial" w:cs="Arial"/>
          <w:spacing w:val="-4"/>
          <w:sz w:val="15"/>
          <w:szCs w:val="15"/>
        </w:rPr>
        <w:t>.</w:t>
      </w:r>
      <w:r>
        <w:rPr>
          <w:rFonts w:ascii="Arial" w:hAnsi="Arial" w:eastAsia="Arial" w:cs="Arial"/>
          <w:spacing w:val="16"/>
          <w:w w:val="102"/>
          <w:sz w:val="15"/>
          <w:szCs w:val="15"/>
        </w:rPr>
        <w:t xml:space="preserve"> </w:t>
      </w:r>
      <w:r>
        <w:rPr>
          <w:rFonts w:ascii="Arial" w:hAnsi="Arial" w:eastAsia="Arial" w:cs="Arial"/>
          <w:spacing w:val="-4"/>
          <w:sz w:val="15"/>
          <w:szCs w:val="15"/>
        </w:rPr>
        <w:t>Arbeitsorientiertes</w:t>
      </w:r>
      <w:r>
        <w:rPr>
          <w:rFonts w:ascii="Arial" w:hAnsi="Arial" w:eastAsia="Arial" w:cs="Arial"/>
          <w:spacing w:val="26"/>
          <w:sz w:val="15"/>
          <w:szCs w:val="15"/>
        </w:rPr>
        <w:t xml:space="preserve"> </w:t>
      </w:r>
      <w:r>
        <w:rPr>
          <w:rFonts w:ascii="Arial" w:hAnsi="Arial" w:eastAsia="Arial" w:cs="Arial"/>
          <w:spacing w:val="-4"/>
          <w:sz w:val="15"/>
          <w:szCs w:val="15"/>
        </w:rPr>
        <w:t>Lernen.</w:t>
      </w:r>
      <w:r>
        <w:rPr>
          <w:rFonts w:ascii="Arial" w:hAnsi="Arial" w:eastAsia="Arial" w:cs="Arial"/>
          <w:spacing w:val="17"/>
          <w:w w:val="102"/>
          <w:sz w:val="15"/>
          <w:szCs w:val="15"/>
        </w:rPr>
        <w:t xml:space="preserve"> </w:t>
      </w:r>
      <w:r>
        <w:rPr>
          <w:rFonts w:ascii="Arial" w:hAnsi="Arial" w:eastAsia="Arial" w:cs="Arial"/>
          <w:spacing w:val="-4"/>
          <w:sz w:val="15"/>
          <w:szCs w:val="15"/>
        </w:rPr>
        <w:t>Zur</w:t>
      </w:r>
      <w:r>
        <w:rPr>
          <w:rFonts w:ascii="Arial" w:hAnsi="Arial" w:eastAsia="Arial" w:cs="Arial"/>
          <w:spacing w:val="20"/>
          <w:w w:val="101"/>
          <w:sz w:val="15"/>
          <w:szCs w:val="15"/>
        </w:rPr>
        <w:t xml:space="preserve"> </w:t>
      </w:r>
      <w:r>
        <w:rPr>
          <w:rFonts w:ascii="Arial" w:hAnsi="Arial" w:eastAsia="Arial" w:cs="Arial"/>
          <w:spacing w:val="-4"/>
          <w:sz w:val="15"/>
          <w:szCs w:val="15"/>
        </w:rPr>
        <w:t>Psychologie</w:t>
      </w:r>
      <w:r>
        <w:rPr>
          <w:rFonts w:ascii="Arial" w:hAnsi="Arial" w:eastAsia="Arial" w:cs="Arial"/>
          <w:spacing w:val="26"/>
          <w:sz w:val="15"/>
          <w:szCs w:val="15"/>
        </w:rPr>
        <w:t xml:space="preserve"> </w:t>
      </w:r>
      <w:r>
        <w:rPr>
          <w:rFonts w:ascii="Arial" w:hAnsi="Arial" w:eastAsia="Arial" w:cs="Arial"/>
          <w:spacing w:val="-4"/>
          <w:sz w:val="15"/>
          <w:szCs w:val="15"/>
        </w:rPr>
        <w:t>der</w:t>
      </w:r>
      <w:r>
        <w:rPr>
          <w:rFonts w:ascii="Arial" w:hAnsi="Arial" w:eastAsia="Arial" w:cs="Arial"/>
          <w:spacing w:val="20"/>
          <w:w w:val="101"/>
          <w:sz w:val="15"/>
          <w:szCs w:val="15"/>
        </w:rPr>
        <w:t xml:space="preserve"> </w:t>
      </w:r>
      <w:r>
        <w:rPr>
          <w:rFonts w:ascii="Arial" w:hAnsi="Arial" w:eastAsia="Arial" w:cs="Arial"/>
          <w:spacing w:val="-4"/>
          <w:sz w:val="15"/>
          <w:szCs w:val="15"/>
        </w:rPr>
        <w:t>Integration</w:t>
      </w:r>
      <w:r>
        <w:rPr>
          <w:rFonts w:ascii="Arial" w:hAnsi="Arial" w:eastAsia="Arial" w:cs="Arial"/>
          <w:spacing w:val="30"/>
          <w:sz w:val="15"/>
          <w:szCs w:val="15"/>
        </w:rPr>
        <w:t xml:space="preserve"> </w:t>
      </w:r>
      <w:r>
        <w:rPr>
          <w:rFonts w:ascii="Arial" w:hAnsi="Arial" w:eastAsia="Arial" w:cs="Arial"/>
          <w:spacing w:val="-4"/>
          <w:sz w:val="15"/>
          <w:szCs w:val="15"/>
        </w:rPr>
        <w:t>von</w:t>
      </w:r>
      <w:r>
        <w:rPr>
          <w:rFonts w:ascii="Arial" w:hAnsi="Arial" w:eastAsia="Arial" w:cs="Arial"/>
          <w:spacing w:val="25"/>
          <w:w w:val="101"/>
          <w:sz w:val="15"/>
          <w:szCs w:val="15"/>
        </w:rPr>
        <w:t xml:space="preserve"> </w:t>
      </w:r>
      <w:r>
        <w:rPr>
          <w:rFonts w:ascii="Arial" w:hAnsi="Arial" w:eastAsia="Arial" w:cs="Arial"/>
          <w:spacing w:val="-4"/>
          <w:sz w:val="15"/>
          <w:szCs w:val="15"/>
        </w:rPr>
        <w:t>Lernen</w:t>
      </w:r>
      <w:r>
        <w:rPr>
          <w:rFonts w:ascii="Arial" w:hAnsi="Arial" w:eastAsia="Arial" w:cs="Arial"/>
          <w:spacing w:val="29"/>
          <w:sz w:val="15"/>
          <w:szCs w:val="15"/>
        </w:rPr>
        <w:t xml:space="preserve"> </w:t>
      </w:r>
      <w:r>
        <w:rPr>
          <w:rFonts w:ascii="Arial" w:hAnsi="Arial" w:eastAsia="Arial" w:cs="Arial"/>
          <w:spacing w:val="-4"/>
          <w:sz w:val="15"/>
          <w:szCs w:val="15"/>
        </w:rPr>
        <w:t>und</w:t>
      </w:r>
      <w:r>
        <w:rPr>
          <w:rFonts w:ascii="Arial" w:hAnsi="Arial" w:eastAsia="Arial" w:cs="Arial"/>
          <w:spacing w:val="13"/>
          <w:w w:val="101"/>
          <w:sz w:val="15"/>
          <w:szCs w:val="15"/>
        </w:rPr>
        <w:t xml:space="preserve"> </w:t>
      </w:r>
      <w:r>
        <w:rPr>
          <w:rFonts w:ascii="Arial" w:hAnsi="Arial" w:eastAsia="Arial" w:cs="Arial"/>
          <w:spacing w:val="-4"/>
          <w:sz w:val="15"/>
          <w:szCs w:val="15"/>
        </w:rPr>
        <w:t>Arbeit.</w:t>
      </w:r>
      <w:r>
        <w:rPr>
          <w:rFonts w:ascii="Arial" w:hAnsi="Arial" w:eastAsia="Arial" w:cs="Arial"/>
          <w:sz w:val="15"/>
          <w:szCs w:val="15"/>
        </w:rPr>
        <w:t xml:space="preserve"> </w:t>
      </w:r>
      <w:r>
        <w:rPr>
          <w:rFonts w:ascii="Arial" w:hAnsi="Arial" w:eastAsia="Arial" w:cs="Arial"/>
          <w:spacing w:val="1"/>
          <w:sz w:val="15"/>
          <w:szCs w:val="15"/>
        </w:rPr>
        <w:t>[</w:t>
      </w:r>
      <w:r>
        <w:rPr>
          <w:rFonts w:ascii="Arial" w:hAnsi="Arial" w:eastAsia="Arial" w:cs="Arial"/>
          <w:sz w:val="15"/>
          <w:szCs w:val="15"/>
        </w:rPr>
        <w:t>Workplace</w:t>
      </w:r>
      <w:r>
        <w:rPr>
          <w:rFonts w:ascii="Arial" w:hAnsi="Arial" w:eastAsia="Arial" w:cs="Arial"/>
          <w:spacing w:val="20"/>
          <w:w w:val="101"/>
          <w:sz w:val="15"/>
          <w:szCs w:val="15"/>
        </w:rPr>
        <w:t xml:space="preserve"> </w:t>
      </w:r>
      <w:r>
        <w:rPr>
          <w:rFonts w:ascii="Arial" w:hAnsi="Arial" w:eastAsia="Arial" w:cs="Arial"/>
          <w:sz w:val="15"/>
          <w:szCs w:val="15"/>
        </w:rPr>
        <w:t>learning</w:t>
      </w:r>
      <w:r>
        <w:rPr>
          <w:rFonts w:ascii="Arial" w:hAnsi="Arial" w:eastAsia="Arial" w:cs="Arial"/>
          <w:spacing w:val="1"/>
          <w:sz w:val="15"/>
          <w:szCs w:val="15"/>
        </w:rPr>
        <w:t>.</w:t>
      </w:r>
      <w:r>
        <w:rPr>
          <w:rFonts w:ascii="Arial" w:hAnsi="Arial" w:eastAsia="Arial" w:cs="Arial"/>
          <w:spacing w:val="17"/>
          <w:sz w:val="15"/>
          <w:szCs w:val="15"/>
        </w:rPr>
        <w:t xml:space="preserve"> </w:t>
      </w:r>
      <w:r>
        <w:rPr>
          <w:rFonts w:ascii="Arial" w:hAnsi="Arial" w:eastAsia="Arial" w:cs="Arial"/>
          <w:sz w:val="15"/>
          <w:szCs w:val="15"/>
        </w:rPr>
        <w:t>Psychology</w:t>
      </w:r>
      <w:r>
        <w:rPr>
          <w:rFonts w:ascii="Arial" w:hAnsi="Arial" w:eastAsia="Arial" w:cs="Arial"/>
          <w:spacing w:val="13"/>
          <w:w w:val="101"/>
          <w:sz w:val="15"/>
          <w:szCs w:val="15"/>
        </w:rPr>
        <w:t xml:space="preserve"> </w:t>
      </w:r>
      <w:r>
        <w:rPr>
          <w:rFonts w:ascii="Arial" w:hAnsi="Arial" w:eastAsia="Arial" w:cs="Arial"/>
          <w:sz w:val="15"/>
          <w:szCs w:val="15"/>
        </w:rPr>
        <w:t>of</w:t>
      </w:r>
      <w:r>
        <w:rPr>
          <w:rFonts w:ascii="Arial" w:hAnsi="Arial" w:eastAsia="Arial" w:cs="Arial"/>
          <w:spacing w:val="1"/>
          <w:sz w:val="15"/>
          <w:szCs w:val="15"/>
        </w:rPr>
        <w:t xml:space="preserve"> </w:t>
      </w:r>
      <w:r>
        <w:rPr>
          <w:rFonts w:ascii="Arial" w:hAnsi="Arial" w:eastAsia="Arial" w:cs="Arial"/>
          <w:sz w:val="15"/>
          <w:szCs w:val="15"/>
        </w:rPr>
        <w:t>integrating</w:t>
      </w:r>
      <w:r>
        <w:rPr>
          <w:rFonts w:ascii="Arial" w:hAnsi="Arial" w:eastAsia="Arial" w:cs="Arial"/>
          <w:spacing w:val="1"/>
          <w:sz w:val="15"/>
          <w:szCs w:val="15"/>
        </w:rPr>
        <w:t xml:space="preserve"> </w:t>
      </w:r>
      <w:r>
        <w:rPr>
          <w:rFonts w:ascii="Arial" w:hAnsi="Arial" w:eastAsia="Arial" w:cs="Arial"/>
          <w:sz w:val="15"/>
          <w:szCs w:val="15"/>
        </w:rPr>
        <w:t>work</w:t>
      </w:r>
      <w:r>
        <w:rPr>
          <w:rFonts w:ascii="Arial" w:hAnsi="Arial" w:eastAsia="Arial" w:cs="Arial"/>
          <w:spacing w:val="1"/>
          <w:sz w:val="15"/>
          <w:szCs w:val="15"/>
        </w:rPr>
        <w:t xml:space="preserve"> </w:t>
      </w:r>
      <w:r>
        <w:rPr>
          <w:rFonts w:ascii="Arial" w:hAnsi="Arial" w:eastAsia="Arial" w:cs="Arial"/>
          <w:sz w:val="15"/>
          <w:szCs w:val="15"/>
        </w:rPr>
        <w:t>and</w:t>
      </w:r>
      <w:r>
        <w:rPr>
          <w:rFonts w:ascii="Arial" w:hAnsi="Arial" w:eastAsia="Arial" w:cs="Arial"/>
          <w:spacing w:val="17"/>
          <w:w w:val="102"/>
          <w:sz w:val="15"/>
          <w:szCs w:val="15"/>
        </w:rPr>
        <w:t xml:space="preserve"> </w:t>
      </w:r>
      <w:r>
        <w:rPr>
          <w:rFonts w:ascii="Arial" w:hAnsi="Arial" w:eastAsia="Arial" w:cs="Arial"/>
          <w:sz w:val="15"/>
          <w:szCs w:val="15"/>
        </w:rPr>
        <w:t>learning</w:t>
      </w:r>
      <w:r>
        <w:rPr>
          <w:rFonts w:ascii="Arial" w:hAnsi="Arial" w:eastAsia="Arial" w:cs="Arial"/>
          <w:spacing w:val="1"/>
          <w:sz w:val="15"/>
          <w:szCs w:val="15"/>
        </w:rPr>
        <w:t>].</w:t>
      </w:r>
      <w:r>
        <w:rPr>
          <w:rFonts w:ascii="Arial" w:hAnsi="Arial" w:eastAsia="Arial" w:cs="Arial"/>
          <w:spacing w:val="13"/>
          <w:sz w:val="15"/>
          <w:szCs w:val="15"/>
        </w:rPr>
        <w:t xml:space="preserve"> </w:t>
      </w:r>
      <w:r>
        <w:rPr>
          <w:rFonts w:ascii="Arial" w:hAnsi="Arial" w:eastAsia="Arial" w:cs="Arial"/>
          <w:sz w:val="15"/>
          <w:szCs w:val="15"/>
        </w:rPr>
        <w:t>Stuttgart</w:t>
      </w:r>
      <w:r>
        <w:rPr>
          <w:rFonts w:ascii="Arial" w:hAnsi="Arial" w:eastAsia="Arial" w:cs="Arial"/>
          <w:spacing w:val="1"/>
          <w:sz w:val="15"/>
          <w:szCs w:val="15"/>
        </w:rPr>
        <w:t>:</w:t>
      </w:r>
      <w:r>
        <w:rPr>
          <w:rFonts w:ascii="Arial" w:hAnsi="Arial" w:eastAsia="Arial" w:cs="Arial"/>
          <w:spacing w:val="17"/>
          <w:w w:val="101"/>
          <w:sz w:val="15"/>
          <w:szCs w:val="15"/>
        </w:rPr>
        <w:t xml:space="preserve"> </w:t>
      </w:r>
      <w:r>
        <w:rPr>
          <w:rFonts w:ascii="Arial" w:hAnsi="Arial" w:eastAsia="Arial" w:cs="Arial"/>
          <w:sz w:val="15"/>
          <w:szCs w:val="15"/>
        </w:rPr>
        <w:t>Kohlhammer</w:t>
      </w:r>
      <w:r>
        <w:rPr>
          <w:rFonts w:ascii="Arial" w:hAnsi="Arial" w:eastAsia="Arial" w:cs="Arial"/>
          <w:spacing w:val="1"/>
          <w:sz w:val="15"/>
          <w:szCs w:val="15"/>
        </w:rPr>
        <w:t>.</w:t>
      </w:r>
    </w:p>
    <w:p>
      <w:pPr>
        <w:spacing w:before="47" w:line="257" w:lineRule="auto"/>
        <w:ind w:left="204" w:right="23" w:hanging="198"/>
        <w:rPr>
          <w:rFonts w:ascii="Arial" w:hAnsi="Arial" w:eastAsia="Arial" w:cs="Arial"/>
          <w:sz w:val="15"/>
          <w:szCs w:val="15"/>
        </w:rPr>
      </w:pPr>
      <w:r>
        <w:rPr>
          <w:rFonts w:ascii="Arial" w:hAnsi="Arial" w:eastAsia="Arial" w:cs="Arial"/>
          <w:spacing w:val="-2"/>
          <w:sz w:val="15"/>
          <w:szCs w:val="15"/>
        </w:rPr>
        <w:t>Sonntag, K.,</w:t>
      </w:r>
      <w:r>
        <w:rPr>
          <w:rFonts w:ascii="Arial" w:hAnsi="Arial" w:eastAsia="Arial" w:cs="Arial"/>
          <w:spacing w:val="9"/>
          <w:sz w:val="15"/>
          <w:szCs w:val="15"/>
        </w:rPr>
        <w:t xml:space="preserve"> </w:t>
      </w:r>
      <w:r>
        <w:rPr>
          <w:rFonts w:ascii="Arial" w:hAnsi="Arial" w:eastAsia="Arial" w:cs="Arial"/>
          <w:spacing w:val="-2"/>
          <w:sz w:val="15"/>
          <w:szCs w:val="15"/>
        </w:rPr>
        <w:t xml:space="preserve">R. Stegmaier, and N. Schaper. </w:t>
      </w:r>
      <w:r>
        <w:fldChar w:fldCharType="begin"/>
      </w:r>
      <w:r>
        <w:instrText xml:space="preserve"> HYPERLINK \l "bookmark34" </w:instrText>
      </w:r>
      <w:r>
        <w:fldChar w:fldCharType="separate"/>
      </w:r>
      <w:r>
        <w:rPr>
          <w:rFonts w:ascii="Arial" w:hAnsi="Arial" w:eastAsia="Arial" w:cs="Arial"/>
          <w:color w:val="000084"/>
          <w:spacing w:val="-2"/>
          <w:sz w:val="15"/>
          <w:szCs w:val="15"/>
        </w:rPr>
        <w:t>2016</w:t>
      </w:r>
      <w:r>
        <w:rPr>
          <w:rFonts w:ascii="Arial" w:hAnsi="Arial" w:eastAsia="Arial" w:cs="Arial"/>
          <w:color w:val="000084"/>
          <w:spacing w:val="-2"/>
          <w:sz w:val="15"/>
          <w:szCs w:val="15"/>
        </w:rPr>
        <w:fldChar w:fldCharType="end"/>
      </w:r>
      <w:r>
        <w:rPr>
          <w:rFonts w:ascii="Arial" w:hAnsi="Arial" w:eastAsia="Arial" w:cs="Arial"/>
          <w:spacing w:val="-2"/>
          <w:sz w:val="15"/>
          <w:szCs w:val="15"/>
        </w:rPr>
        <w:t>. “Organisationsdiagnose:</w:t>
      </w:r>
      <w:r>
        <w:rPr>
          <w:rFonts w:ascii="Arial" w:hAnsi="Arial" w:eastAsia="Arial" w:cs="Arial"/>
          <w:spacing w:val="3"/>
          <w:sz w:val="15"/>
          <w:szCs w:val="15"/>
        </w:rPr>
        <w:t xml:space="preserve"> </w:t>
      </w:r>
      <w:r>
        <w:rPr>
          <w:rFonts w:ascii="Arial" w:hAnsi="Arial" w:eastAsia="Arial" w:cs="Arial"/>
          <w:spacing w:val="-2"/>
          <w:sz w:val="15"/>
          <w:szCs w:val="15"/>
        </w:rPr>
        <w:t>Strukturale</w:t>
      </w:r>
      <w:r>
        <w:rPr>
          <w:rFonts w:ascii="Arial" w:hAnsi="Arial" w:eastAsia="Arial" w:cs="Arial"/>
          <w:spacing w:val="9"/>
          <w:sz w:val="15"/>
          <w:szCs w:val="15"/>
        </w:rPr>
        <w:t xml:space="preserve"> </w:t>
      </w:r>
      <w:r>
        <w:rPr>
          <w:rFonts w:ascii="Arial" w:hAnsi="Arial" w:eastAsia="Arial" w:cs="Arial"/>
          <w:spacing w:val="-2"/>
          <w:sz w:val="15"/>
          <w:szCs w:val="15"/>
        </w:rPr>
        <w:t>und</w:t>
      </w:r>
      <w:r>
        <w:rPr>
          <w:rFonts w:ascii="Arial" w:hAnsi="Arial" w:eastAsia="Arial" w:cs="Arial"/>
          <w:spacing w:val="8"/>
          <w:sz w:val="15"/>
          <w:szCs w:val="15"/>
        </w:rPr>
        <w:t xml:space="preserve"> </w:t>
      </w:r>
      <w:r>
        <w:rPr>
          <w:rFonts w:ascii="Arial" w:hAnsi="Arial" w:eastAsia="Arial" w:cs="Arial"/>
          <w:spacing w:val="-2"/>
          <w:sz w:val="15"/>
          <w:szCs w:val="15"/>
        </w:rPr>
        <w:t>kulturell</w:t>
      </w:r>
      <w:r>
        <w:rPr>
          <w:rFonts w:ascii="Arial" w:hAnsi="Arial" w:eastAsia="Arial" w:cs="Arial"/>
          <w:spacing w:val="-3"/>
          <w:sz w:val="15"/>
          <w:szCs w:val="15"/>
        </w:rPr>
        <w:t>e</w:t>
      </w:r>
      <w:r>
        <w:rPr>
          <w:rFonts w:ascii="Arial" w:hAnsi="Arial" w:eastAsia="Arial" w:cs="Arial"/>
          <w:spacing w:val="5"/>
          <w:sz w:val="15"/>
          <w:szCs w:val="15"/>
        </w:rPr>
        <w:t xml:space="preserve"> </w:t>
      </w:r>
      <w:r>
        <w:rPr>
          <w:rFonts w:ascii="Arial" w:hAnsi="Arial" w:eastAsia="Arial" w:cs="Arial"/>
          <w:spacing w:val="-3"/>
          <w:sz w:val="15"/>
          <w:szCs w:val="15"/>
        </w:rPr>
        <w:t>Merkmale</w:t>
      </w:r>
      <w:r>
        <w:rPr>
          <w:rFonts w:ascii="Arial" w:hAnsi="Arial" w:eastAsia="Arial" w:cs="Arial"/>
          <w:spacing w:val="9"/>
          <w:sz w:val="15"/>
          <w:szCs w:val="15"/>
        </w:rPr>
        <w:t xml:space="preserve"> </w:t>
      </w:r>
      <w:r>
        <w:rPr>
          <w:rFonts w:ascii="Arial" w:hAnsi="Arial" w:eastAsia="Arial" w:cs="Arial"/>
          <w:spacing w:val="-3"/>
          <w:sz w:val="15"/>
          <w:szCs w:val="15"/>
        </w:rPr>
        <w:t>[Diagnosis</w:t>
      </w:r>
      <w:r>
        <w:rPr>
          <w:rFonts w:ascii="Arial" w:hAnsi="Arial" w:eastAsia="Arial" w:cs="Arial"/>
          <w:sz w:val="15"/>
          <w:szCs w:val="15"/>
        </w:rPr>
        <w:t xml:space="preserve"> </w:t>
      </w:r>
      <w:r>
        <w:rPr>
          <w:rFonts w:ascii="Arial" w:hAnsi="Arial" w:eastAsia="Arial" w:cs="Arial"/>
          <w:spacing w:val="-2"/>
          <w:sz w:val="15"/>
          <w:szCs w:val="15"/>
        </w:rPr>
        <w:t>of  Organizations:   Structural</w:t>
      </w:r>
      <w:r>
        <w:rPr>
          <w:rFonts w:ascii="Arial" w:hAnsi="Arial" w:eastAsia="Arial" w:cs="Arial"/>
          <w:spacing w:val="11"/>
          <w:w w:val="101"/>
          <w:sz w:val="15"/>
          <w:szCs w:val="15"/>
        </w:rPr>
        <w:t xml:space="preserve">  </w:t>
      </w:r>
      <w:r>
        <w:rPr>
          <w:rFonts w:ascii="Arial" w:hAnsi="Arial" w:eastAsia="Arial" w:cs="Arial"/>
          <w:spacing w:val="-2"/>
          <w:sz w:val="15"/>
          <w:szCs w:val="15"/>
        </w:rPr>
        <w:t>and</w:t>
      </w:r>
      <w:r>
        <w:rPr>
          <w:rFonts w:ascii="Arial" w:hAnsi="Arial" w:eastAsia="Arial" w:cs="Arial"/>
          <w:spacing w:val="10"/>
          <w:w w:val="101"/>
          <w:sz w:val="15"/>
          <w:szCs w:val="15"/>
        </w:rPr>
        <w:t xml:space="preserve">  </w:t>
      </w:r>
      <w:r>
        <w:rPr>
          <w:rFonts w:ascii="Arial" w:hAnsi="Arial" w:eastAsia="Arial" w:cs="Arial"/>
          <w:spacing w:val="-2"/>
          <w:sz w:val="15"/>
          <w:szCs w:val="15"/>
        </w:rPr>
        <w:t>Cultural</w:t>
      </w:r>
      <w:r>
        <w:rPr>
          <w:rFonts w:ascii="Arial" w:hAnsi="Arial" w:eastAsia="Arial" w:cs="Arial"/>
          <w:spacing w:val="14"/>
          <w:sz w:val="15"/>
          <w:szCs w:val="15"/>
        </w:rPr>
        <w:t xml:space="preserve">  </w:t>
      </w:r>
      <w:r>
        <w:rPr>
          <w:rFonts w:ascii="Arial" w:hAnsi="Arial" w:eastAsia="Arial" w:cs="Arial"/>
          <w:spacing w:val="-2"/>
          <w:sz w:val="15"/>
          <w:szCs w:val="15"/>
        </w:rPr>
        <w:t>Fe</w:t>
      </w:r>
      <w:r>
        <w:rPr>
          <w:rFonts w:ascii="Arial" w:hAnsi="Arial" w:eastAsia="Arial" w:cs="Arial"/>
          <w:spacing w:val="-3"/>
          <w:sz w:val="15"/>
          <w:szCs w:val="15"/>
        </w:rPr>
        <w:t>atures].”</w:t>
      </w:r>
      <w:r>
        <w:rPr>
          <w:rFonts w:ascii="Arial" w:hAnsi="Arial" w:eastAsia="Arial" w:cs="Arial"/>
          <w:spacing w:val="14"/>
          <w:w w:val="102"/>
          <w:sz w:val="15"/>
          <w:szCs w:val="15"/>
        </w:rPr>
        <w:t xml:space="preserve">  </w:t>
      </w:r>
      <w:r>
        <w:rPr>
          <w:rFonts w:ascii="Arial" w:hAnsi="Arial" w:eastAsia="Arial" w:cs="Arial"/>
          <w:spacing w:val="-3"/>
          <w:sz w:val="15"/>
          <w:szCs w:val="15"/>
        </w:rPr>
        <w:t>In</w:t>
      </w:r>
      <w:r>
        <w:rPr>
          <w:rFonts w:ascii="Arial" w:hAnsi="Arial" w:eastAsia="Arial" w:cs="Arial"/>
          <w:spacing w:val="10"/>
          <w:w w:val="101"/>
          <w:sz w:val="15"/>
          <w:szCs w:val="15"/>
        </w:rPr>
        <w:t xml:space="preserve">  </w:t>
      </w:r>
      <w:r>
        <w:rPr>
          <w:rFonts w:ascii="Arial" w:hAnsi="Arial" w:eastAsia="Arial" w:cs="Arial"/>
          <w:spacing w:val="-3"/>
          <w:sz w:val="15"/>
          <w:szCs w:val="15"/>
        </w:rPr>
        <w:t>Personalentwicklung</w:t>
      </w:r>
      <w:r>
        <w:rPr>
          <w:rFonts w:ascii="Arial" w:hAnsi="Arial" w:eastAsia="Arial" w:cs="Arial"/>
          <w:spacing w:val="10"/>
          <w:w w:val="101"/>
          <w:sz w:val="15"/>
          <w:szCs w:val="15"/>
        </w:rPr>
        <w:t xml:space="preserve">  </w:t>
      </w:r>
      <w:r>
        <w:rPr>
          <w:rFonts w:ascii="Arial" w:hAnsi="Arial" w:eastAsia="Arial" w:cs="Arial"/>
          <w:spacing w:val="-3"/>
          <w:sz w:val="15"/>
          <w:szCs w:val="15"/>
        </w:rPr>
        <w:t>in</w:t>
      </w:r>
      <w:r>
        <w:rPr>
          <w:rFonts w:ascii="Arial" w:hAnsi="Arial" w:eastAsia="Arial" w:cs="Arial"/>
          <w:spacing w:val="12"/>
          <w:sz w:val="15"/>
          <w:szCs w:val="15"/>
        </w:rPr>
        <w:t xml:space="preserve">  </w:t>
      </w:r>
      <w:r>
        <w:rPr>
          <w:rFonts w:ascii="Arial" w:hAnsi="Arial" w:eastAsia="Arial" w:cs="Arial"/>
          <w:spacing w:val="-3"/>
          <w:sz w:val="15"/>
          <w:szCs w:val="15"/>
        </w:rPr>
        <w:t>Organisationen:</w:t>
      </w:r>
      <w:r>
        <w:rPr>
          <w:rFonts w:ascii="Arial" w:hAnsi="Arial" w:eastAsia="Arial" w:cs="Arial"/>
          <w:spacing w:val="10"/>
          <w:w w:val="101"/>
          <w:sz w:val="15"/>
          <w:szCs w:val="15"/>
        </w:rPr>
        <w:t xml:space="preserve">  </w:t>
      </w:r>
      <w:r>
        <w:rPr>
          <w:rFonts w:ascii="Arial" w:hAnsi="Arial" w:eastAsia="Arial" w:cs="Arial"/>
          <w:spacing w:val="-3"/>
          <w:sz w:val="15"/>
          <w:szCs w:val="15"/>
        </w:rPr>
        <w:t>Psychologische</w:t>
      </w:r>
      <w:r>
        <w:rPr>
          <w:rFonts w:ascii="Arial" w:hAnsi="Arial" w:eastAsia="Arial" w:cs="Arial"/>
          <w:sz w:val="15"/>
          <w:szCs w:val="15"/>
        </w:rPr>
        <w:t xml:space="preserve"> </w:t>
      </w:r>
      <w:r>
        <w:rPr>
          <w:rFonts w:ascii="Arial" w:hAnsi="Arial" w:eastAsia="Arial" w:cs="Arial"/>
          <w:spacing w:val="-2"/>
          <w:sz w:val="15"/>
          <w:szCs w:val="15"/>
        </w:rPr>
        <w:t>Grundlagen, Methoden</w:t>
      </w:r>
      <w:r>
        <w:rPr>
          <w:rFonts w:ascii="Arial" w:hAnsi="Arial" w:eastAsia="Arial" w:cs="Arial"/>
          <w:spacing w:val="14"/>
          <w:sz w:val="15"/>
          <w:szCs w:val="15"/>
        </w:rPr>
        <w:t xml:space="preserve"> </w:t>
      </w:r>
      <w:r>
        <w:rPr>
          <w:rFonts w:ascii="Arial" w:hAnsi="Arial" w:eastAsia="Arial" w:cs="Arial"/>
          <w:spacing w:val="-2"/>
          <w:sz w:val="15"/>
          <w:szCs w:val="15"/>
        </w:rPr>
        <w:t>und Strategien,</w:t>
      </w:r>
      <w:r>
        <w:rPr>
          <w:rFonts w:ascii="Arial" w:hAnsi="Arial" w:eastAsia="Arial" w:cs="Arial"/>
          <w:spacing w:val="12"/>
          <w:w w:val="101"/>
          <w:sz w:val="15"/>
          <w:szCs w:val="15"/>
        </w:rPr>
        <w:t xml:space="preserve"> </w:t>
      </w:r>
      <w:r>
        <w:rPr>
          <w:rFonts w:ascii="Arial" w:hAnsi="Arial" w:eastAsia="Arial" w:cs="Arial"/>
          <w:spacing w:val="-2"/>
          <w:sz w:val="15"/>
          <w:szCs w:val="15"/>
        </w:rPr>
        <w:t>edited</w:t>
      </w:r>
      <w:r>
        <w:rPr>
          <w:rFonts w:ascii="Arial" w:hAnsi="Arial" w:eastAsia="Arial" w:cs="Arial"/>
          <w:spacing w:val="16"/>
          <w:w w:val="101"/>
          <w:sz w:val="15"/>
          <w:szCs w:val="15"/>
        </w:rPr>
        <w:t xml:space="preserve"> </w:t>
      </w:r>
      <w:r>
        <w:rPr>
          <w:rFonts w:ascii="Arial" w:hAnsi="Arial" w:eastAsia="Arial" w:cs="Arial"/>
          <w:spacing w:val="-2"/>
          <w:sz w:val="15"/>
          <w:szCs w:val="15"/>
        </w:rPr>
        <w:t>by</w:t>
      </w:r>
      <w:r>
        <w:rPr>
          <w:rFonts w:ascii="Arial" w:hAnsi="Arial" w:eastAsia="Arial" w:cs="Arial"/>
          <w:spacing w:val="19"/>
          <w:sz w:val="15"/>
          <w:szCs w:val="15"/>
        </w:rPr>
        <w:t xml:space="preserve"> </w:t>
      </w:r>
      <w:r>
        <w:rPr>
          <w:rFonts w:ascii="Arial" w:hAnsi="Arial" w:eastAsia="Arial" w:cs="Arial"/>
          <w:spacing w:val="-2"/>
          <w:sz w:val="15"/>
          <w:szCs w:val="15"/>
        </w:rPr>
        <w:t>K.</w:t>
      </w:r>
      <w:r>
        <w:rPr>
          <w:rFonts w:ascii="Arial" w:hAnsi="Arial" w:eastAsia="Arial" w:cs="Arial"/>
          <w:spacing w:val="12"/>
          <w:w w:val="101"/>
          <w:sz w:val="15"/>
          <w:szCs w:val="15"/>
        </w:rPr>
        <w:t xml:space="preserve"> </w:t>
      </w:r>
      <w:r>
        <w:rPr>
          <w:rFonts w:ascii="Arial" w:hAnsi="Arial" w:eastAsia="Arial" w:cs="Arial"/>
          <w:spacing w:val="-2"/>
          <w:sz w:val="15"/>
          <w:szCs w:val="15"/>
        </w:rPr>
        <w:t>Sonntag,</w:t>
      </w:r>
      <w:r>
        <w:rPr>
          <w:rFonts w:ascii="Arial" w:hAnsi="Arial" w:eastAsia="Arial" w:cs="Arial"/>
          <w:spacing w:val="12"/>
          <w:sz w:val="15"/>
          <w:szCs w:val="15"/>
        </w:rPr>
        <w:t xml:space="preserve"> </w:t>
      </w:r>
      <w:r>
        <w:rPr>
          <w:rFonts w:ascii="Arial" w:hAnsi="Arial" w:eastAsia="Arial" w:cs="Arial"/>
          <w:spacing w:val="-2"/>
          <w:sz w:val="15"/>
          <w:szCs w:val="15"/>
        </w:rPr>
        <w:t>255–94.</w:t>
      </w:r>
      <w:r>
        <w:rPr>
          <w:rFonts w:ascii="Arial" w:hAnsi="Arial" w:eastAsia="Arial" w:cs="Arial"/>
          <w:spacing w:val="11"/>
          <w:sz w:val="15"/>
          <w:szCs w:val="15"/>
        </w:rPr>
        <w:t xml:space="preserve"> </w:t>
      </w:r>
      <w:r>
        <w:rPr>
          <w:rFonts w:ascii="Arial" w:hAnsi="Arial" w:eastAsia="Arial" w:cs="Arial"/>
          <w:spacing w:val="-3"/>
          <w:sz w:val="15"/>
          <w:szCs w:val="15"/>
        </w:rPr>
        <w:t>Göttingen:</w:t>
      </w:r>
      <w:r>
        <w:rPr>
          <w:rFonts w:ascii="Arial" w:hAnsi="Arial" w:eastAsia="Arial" w:cs="Arial"/>
          <w:spacing w:val="17"/>
          <w:w w:val="101"/>
          <w:sz w:val="15"/>
          <w:szCs w:val="15"/>
        </w:rPr>
        <w:t xml:space="preserve"> </w:t>
      </w:r>
      <w:r>
        <w:rPr>
          <w:rFonts w:ascii="Arial" w:hAnsi="Arial" w:eastAsia="Arial" w:cs="Arial"/>
          <w:spacing w:val="-3"/>
          <w:sz w:val="15"/>
          <w:szCs w:val="15"/>
        </w:rPr>
        <w:t>Hogrefe.</w:t>
      </w:r>
    </w:p>
    <w:p>
      <w:pPr>
        <w:spacing w:before="45" w:line="260" w:lineRule="auto"/>
        <w:ind w:left="203" w:hanging="197"/>
        <w:rPr>
          <w:rFonts w:ascii="Arial" w:hAnsi="Arial" w:eastAsia="Arial" w:cs="Arial"/>
          <w:sz w:val="15"/>
          <w:szCs w:val="15"/>
        </w:rPr>
      </w:pPr>
      <w:r>
        <w:rPr>
          <w:rFonts w:ascii="Arial" w:hAnsi="Arial" w:eastAsia="Arial" w:cs="Arial"/>
          <w:spacing w:val="-1"/>
          <w:sz w:val="15"/>
          <w:szCs w:val="15"/>
        </w:rPr>
        <w:t>Staufenbiel,</w:t>
      </w:r>
      <w:r>
        <w:rPr>
          <w:rFonts w:ascii="Arial" w:hAnsi="Arial" w:eastAsia="Arial" w:cs="Arial"/>
          <w:spacing w:val="37"/>
          <w:w w:val="101"/>
          <w:sz w:val="15"/>
          <w:szCs w:val="15"/>
        </w:rPr>
        <w:t xml:space="preserve"> </w:t>
      </w:r>
      <w:r>
        <w:rPr>
          <w:rFonts w:ascii="Arial" w:hAnsi="Arial" w:eastAsia="Arial" w:cs="Arial"/>
          <w:spacing w:val="-1"/>
          <w:sz w:val="15"/>
          <w:szCs w:val="15"/>
        </w:rPr>
        <w:t xml:space="preserve">T.,  and  C.  Hartz.  </w:t>
      </w:r>
      <w:r>
        <w:fldChar w:fldCharType="begin"/>
      </w:r>
      <w:r>
        <w:instrText xml:space="preserve"> HYPERLINK \l "bookmark72" </w:instrText>
      </w:r>
      <w:r>
        <w:fldChar w:fldCharType="separate"/>
      </w:r>
      <w:r>
        <w:rPr>
          <w:rFonts w:ascii="Arial" w:hAnsi="Arial" w:eastAsia="Arial" w:cs="Arial"/>
          <w:color w:val="000084"/>
          <w:spacing w:val="-1"/>
          <w:sz w:val="15"/>
          <w:szCs w:val="15"/>
        </w:rPr>
        <w:t>2000</w:t>
      </w:r>
      <w:r>
        <w:rPr>
          <w:rFonts w:ascii="Arial" w:hAnsi="Arial" w:eastAsia="Arial" w:cs="Arial"/>
          <w:color w:val="000084"/>
          <w:spacing w:val="-1"/>
          <w:sz w:val="15"/>
          <w:szCs w:val="15"/>
        </w:rPr>
        <w:fldChar w:fldCharType="end"/>
      </w:r>
      <w:r>
        <w:rPr>
          <w:rFonts w:ascii="Arial" w:hAnsi="Arial" w:eastAsia="Arial" w:cs="Arial"/>
          <w:spacing w:val="-1"/>
          <w:sz w:val="15"/>
          <w:szCs w:val="15"/>
        </w:rPr>
        <w:t>.  “Organizational  Citiz</w:t>
      </w:r>
      <w:r>
        <w:rPr>
          <w:rFonts w:ascii="Arial" w:hAnsi="Arial" w:eastAsia="Arial" w:cs="Arial"/>
          <w:spacing w:val="-2"/>
          <w:sz w:val="15"/>
          <w:szCs w:val="15"/>
        </w:rPr>
        <w:t>enship  Behavior:</w:t>
      </w:r>
      <w:r>
        <w:rPr>
          <w:rFonts w:ascii="Arial" w:hAnsi="Arial" w:eastAsia="Arial" w:cs="Arial"/>
          <w:spacing w:val="4"/>
          <w:sz w:val="15"/>
          <w:szCs w:val="15"/>
        </w:rPr>
        <w:t xml:space="preserve">  </w:t>
      </w:r>
      <w:r>
        <w:rPr>
          <w:rFonts w:ascii="Arial" w:hAnsi="Arial" w:eastAsia="Arial" w:cs="Arial"/>
          <w:spacing w:val="-2"/>
          <w:sz w:val="15"/>
          <w:szCs w:val="15"/>
        </w:rPr>
        <w:t>Entwicklung  und</w:t>
      </w:r>
      <w:r>
        <w:rPr>
          <w:rFonts w:ascii="Arial" w:hAnsi="Arial" w:eastAsia="Arial" w:cs="Arial"/>
          <w:spacing w:val="1"/>
          <w:sz w:val="15"/>
          <w:szCs w:val="15"/>
        </w:rPr>
        <w:t xml:space="preserve">  </w:t>
      </w:r>
      <w:r>
        <w:rPr>
          <w:rFonts w:ascii="Arial" w:hAnsi="Arial" w:eastAsia="Arial" w:cs="Arial"/>
          <w:spacing w:val="-2"/>
          <w:sz w:val="15"/>
          <w:szCs w:val="15"/>
        </w:rPr>
        <w:t>erste  Validierung</w:t>
      </w:r>
      <w:r>
        <w:rPr>
          <w:rFonts w:ascii="Arial" w:hAnsi="Arial" w:eastAsia="Arial" w:cs="Arial"/>
          <w:spacing w:val="1"/>
          <w:sz w:val="15"/>
          <w:szCs w:val="15"/>
        </w:rPr>
        <w:t xml:space="preserve">  </w:t>
      </w:r>
      <w:r>
        <w:rPr>
          <w:rFonts w:ascii="Arial" w:hAnsi="Arial" w:eastAsia="Arial" w:cs="Arial"/>
          <w:spacing w:val="-2"/>
          <w:sz w:val="15"/>
          <w:szCs w:val="15"/>
        </w:rPr>
        <w:t>eines</w:t>
      </w:r>
      <w:r>
        <w:rPr>
          <w:rFonts w:ascii="Arial" w:hAnsi="Arial" w:eastAsia="Arial" w:cs="Arial"/>
          <w:sz w:val="15"/>
          <w:szCs w:val="15"/>
        </w:rPr>
        <w:t xml:space="preserve">  Messinstruments.</w:t>
      </w:r>
      <w:r>
        <w:rPr>
          <w:rFonts w:ascii="Arial" w:hAnsi="Arial" w:eastAsia="Arial" w:cs="Arial"/>
          <w:spacing w:val="14"/>
          <w:w w:val="101"/>
          <w:sz w:val="15"/>
          <w:szCs w:val="15"/>
        </w:rPr>
        <w:t xml:space="preserve"> </w:t>
      </w:r>
      <w:r>
        <w:rPr>
          <w:rFonts w:ascii="Arial" w:hAnsi="Arial" w:eastAsia="Arial" w:cs="Arial"/>
          <w:sz w:val="15"/>
          <w:szCs w:val="15"/>
        </w:rPr>
        <w:t>Organizational</w:t>
      </w:r>
      <w:r>
        <w:rPr>
          <w:rFonts w:ascii="Arial" w:hAnsi="Arial" w:eastAsia="Arial" w:cs="Arial"/>
          <w:spacing w:val="14"/>
          <w:sz w:val="15"/>
          <w:szCs w:val="15"/>
        </w:rPr>
        <w:t xml:space="preserve"> </w:t>
      </w:r>
      <w:r>
        <w:rPr>
          <w:rFonts w:ascii="Arial" w:hAnsi="Arial" w:eastAsia="Arial" w:cs="Arial"/>
          <w:sz w:val="15"/>
          <w:szCs w:val="15"/>
        </w:rPr>
        <w:t>Citizenship</w:t>
      </w:r>
      <w:r>
        <w:rPr>
          <w:rFonts w:ascii="Arial" w:hAnsi="Arial" w:eastAsia="Arial" w:cs="Arial"/>
          <w:spacing w:val="19"/>
          <w:w w:val="101"/>
          <w:sz w:val="15"/>
          <w:szCs w:val="15"/>
        </w:rPr>
        <w:t xml:space="preserve"> </w:t>
      </w:r>
      <w:r>
        <w:rPr>
          <w:rFonts w:ascii="Arial" w:hAnsi="Arial" w:eastAsia="Arial" w:cs="Arial"/>
          <w:sz w:val="15"/>
          <w:szCs w:val="15"/>
        </w:rPr>
        <w:t>Behavior:</w:t>
      </w:r>
      <w:r>
        <w:rPr>
          <w:rFonts w:ascii="Arial" w:hAnsi="Arial" w:eastAsia="Arial" w:cs="Arial"/>
          <w:spacing w:val="19"/>
          <w:w w:val="101"/>
          <w:sz w:val="15"/>
          <w:szCs w:val="15"/>
        </w:rPr>
        <w:t xml:space="preserve"> </w:t>
      </w:r>
      <w:r>
        <w:rPr>
          <w:rFonts w:ascii="Arial" w:hAnsi="Arial" w:eastAsia="Arial" w:cs="Arial"/>
          <w:sz w:val="15"/>
          <w:szCs w:val="15"/>
        </w:rPr>
        <w:t>Development</w:t>
      </w:r>
      <w:r>
        <w:rPr>
          <w:rFonts w:ascii="Arial" w:hAnsi="Arial" w:eastAsia="Arial" w:cs="Arial"/>
          <w:spacing w:val="14"/>
          <w:sz w:val="15"/>
          <w:szCs w:val="15"/>
        </w:rPr>
        <w:t xml:space="preserve"> </w:t>
      </w:r>
      <w:r>
        <w:rPr>
          <w:rFonts w:ascii="Arial" w:hAnsi="Arial" w:eastAsia="Arial" w:cs="Arial"/>
          <w:sz w:val="15"/>
          <w:szCs w:val="15"/>
        </w:rPr>
        <w:t>and Validation</w:t>
      </w:r>
      <w:r>
        <w:rPr>
          <w:rFonts w:ascii="Arial" w:hAnsi="Arial" w:eastAsia="Arial" w:cs="Arial"/>
          <w:spacing w:val="13"/>
          <w:sz w:val="15"/>
          <w:szCs w:val="15"/>
        </w:rPr>
        <w:t xml:space="preserve"> </w:t>
      </w:r>
      <w:r>
        <w:rPr>
          <w:rFonts w:ascii="Arial" w:hAnsi="Arial" w:eastAsia="Arial" w:cs="Arial"/>
          <w:sz w:val="15"/>
          <w:szCs w:val="15"/>
        </w:rPr>
        <w:t>of a</w:t>
      </w:r>
      <w:r>
        <w:rPr>
          <w:rFonts w:ascii="Arial" w:hAnsi="Arial" w:eastAsia="Arial" w:cs="Arial"/>
          <w:spacing w:val="18"/>
          <w:sz w:val="15"/>
          <w:szCs w:val="15"/>
        </w:rPr>
        <w:t xml:space="preserve"> </w:t>
      </w:r>
      <w:r>
        <w:rPr>
          <w:rFonts w:ascii="Arial" w:hAnsi="Arial" w:eastAsia="Arial" w:cs="Arial"/>
          <w:sz w:val="15"/>
          <w:szCs w:val="15"/>
        </w:rPr>
        <w:t>Measure</w:t>
      </w:r>
      <w:r>
        <w:rPr>
          <w:rFonts w:ascii="Arial" w:hAnsi="Arial" w:eastAsia="Arial" w:cs="Arial"/>
          <w:spacing w:val="-1"/>
          <w:sz w:val="15"/>
          <w:szCs w:val="15"/>
        </w:rPr>
        <w:t>ment</w:t>
      </w:r>
      <w:r>
        <w:rPr>
          <w:rFonts w:ascii="Arial" w:hAnsi="Arial" w:eastAsia="Arial" w:cs="Arial"/>
          <w:spacing w:val="20"/>
          <w:w w:val="101"/>
          <w:sz w:val="15"/>
          <w:szCs w:val="15"/>
        </w:rPr>
        <w:t xml:space="preserve"> </w:t>
      </w:r>
      <w:r>
        <w:rPr>
          <w:rFonts w:ascii="Arial" w:hAnsi="Arial" w:eastAsia="Arial" w:cs="Arial"/>
          <w:spacing w:val="-1"/>
          <w:sz w:val="15"/>
          <w:szCs w:val="15"/>
        </w:rPr>
        <w:t>Instrument.”</w:t>
      </w:r>
      <w:r>
        <w:rPr>
          <w:rFonts w:ascii="Arial" w:hAnsi="Arial" w:eastAsia="Arial" w:cs="Arial"/>
          <w:sz w:val="15"/>
          <w:szCs w:val="15"/>
        </w:rPr>
        <w:t xml:space="preserve"> </w:t>
      </w:r>
      <w:r>
        <w:rPr>
          <w:rFonts w:ascii="Arial" w:hAnsi="Arial" w:eastAsia="Arial" w:cs="Arial"/>
          <w:spacing w:val="-2"/>
          <w:sz w:val="15"/>
          <w:szCs w:val="15"/>
        </w:rPr>
        <w:t>Diagnostica 46:</w:t>
      </w:r>
      <w:r>
        <w:rPr>
          <w:rFonts w:ascii="Arial" w:hAnsi="Arial" w:eastAsia="Arial" w:cs="Arial"/>
          <w:spacing w:val="16"/>
          <w:sz w:val="15"/>
          <w:szCs w:val="15"/>
        </w:rPr>
        <w:t xml:space="preserve"> </w:t>
      </w:r>
      <w:r>
        <w:rPr>
          <w:rFonts w:ascii="Arial" w:hAnsi="Arial" w:eastAsia="Arial" w:cs="Arial"/>
          <w:spacing w:val="-2"/>
          <w:sz w:val="15"/>
          <w:szCs w:val="15"/>
        </w:rPr>
        <w:t xml:space="preserve">73–83. </w:t>
      </w:r>
      <w:r>
        <w:fldChar w:fldCharType="begin"/>
      </w:r>
      <w:r>
        <w:instrText xml:space="preserve"> HYPERLINK "https://doi.org/10.1026//0012-1924.46.2.73" </w:instrText>
      </w:r>
      <w:r>
        <w:fldChar w:fldCharType="separate"/>
      </w:r>
      <w:r>
        <w:rPr>
          <w:rFonts w:ascii="Arial" w:hAnsi="Arial" w:eastAsia="Arial" w:cs="Arial"/>
          <w:color w:val="000084"/>
          <w:spacing w:val="-2"/>
          <w:sz w:val="15"/>
          <w:szCs w:val="15"/>
        </w:rPr>
        <w:t>doi:10.1026//0012-1924.46.2.73</w:t>
      </w:r>
      <w:r>
        <w:rPr>
          <w:rFonts w:ascii="Arial" w:hAnsi="Arial" w:eastAsia="Arial" w:cs="Arial"/>
          <w:color w:val="000084"/>
          <w:spacing w:val="-2"/>
          <w:sz w:val="15"/>
          <w:szCs w:val="15"/>
        </w:rPr>
        <w:fldChar w:fldCharType="end"/>
      </w:r>
      <w:r>
        <w:rPr>
          <w:rFonts w:ascii="Arial" w:hAnsi="Arial" w:eastAsia="Arial" w:cs="Arial"/>
          <w:spacing w:val="-2"/>
          <w:sz w:val="15"/>
          <w:szCs w:val="15"/>
        </w:rPr>
        <w:t>.</w:t>
      </w:r>
    </w:p>
    <w:p>
      <w:pPr>
        <w:spacing w:before="39" w:line="247" w:lineRule="auto"/>
        <w:ind w:left="211" w:right="23" w:hanging="205"/>
        <w:rPr>
          <w:rFonts w:ascii="Arial" w:hAnsi="Arial" w:eastAsia="Arial" w:cs="Arial"/>
          <w:sz w:val="15"/>
          <w:szCs w:val="15"/>
        </w:rPr>
      </w:pPr>
      <w:r>
        <w:rPr>
          <w:rFonts w:ascii="Arial" w:hAnsi="Arial" w:eastAsia="Arial" w:cs="Arial"/>
          <w:spacing w:val="-4"/>
          <w:sz w:val="15"/>
          <w:szCs w:val="15"/>
        </w:rPr>
        <w:t xml:space="preserve">Sursock,A. </w:t>
      </w:r>
      <w:r>
        <w:fldChar w:fldCharType="begin"/>
      </w:r>
      <w:r>
        <w:instrText xml:space="preserve"> HYPERLINK \l "bookmark10" </w:instrText>
      </w:r>
      <w:r>
        <w:fldChar w:fldCharType="separate"/>
      </w:r>
      <w:r>
        <w:rPr>
          <w:rFonts w:ascii="Arial" w:hAnsi="Arial" w:eastAsia="Arial" w:cs="Arial"/>
          <w:color w:val="000084"/>
          <w:spacing w:val="-4"/>
          <w:sz w:val="15"/>
          <w:szCs w:val="15"/>
        </w:rPr>
        <w:t>2011</w:t>
      </w:r>
      <w:r>
        <w:rPr>
          <w:rFonts w:ascii="Arial" w:hAnsi="Arial" w:eastAsia="Arial" w:cs="Arial"/>
          <w:color w:val="000084"/>
          <w:spacing w:val="-4"/>
          <w:sz w:val="15"/>
          <w:szCs w:val="15"/>
        </w:rPr>
        <w:fldChar w:fldCharType="end"/>
      </w:r>
      <w:r>
        <w:rPr>
          <w:rFonts w:ascii="Arial" w:hAnsi="Arial" w:eastAsia="Arial" w:cs="Arial"/>
          <w:spacing w:val="-4"/>
          <w:sz w:val="15"/>
          <w:szCs w:val="15"/>
        </w:rPr>
        <w:t>. Examining Quality Culture Part II</w:t>
      </w:r>
      <w:r>
        <w:rPr>
          <w:rFonts w:ascii="Arial" w:hAnsi="Arial" w:eastAsia="Arial" w:cs="Arial"/>
          <w:spacing w:val="-5"/>
          <w:sz w:val="15"/>
          <w:szCs w:val="15"/>
        </w:rPr>
        <w:t>: Processes and Tools – Participation, Ownership and Bureaucracy. Brussels:</w:t>
      </w:r>
      <w:r>
        <w:rPr>
          <w:rFonts w:ascii="Arial" w:hAnsi="Arial" w:eastAsia="Arial" w:cs="Arial"/>
          <w:sz w:val="15"/>
          <w:szCs w:val="15"/>
        </w:rPr>
        <w:t xml:space="preserve"> </w:t>
      </w:r>
      <w:r>
        <w:rPr>
          <w:rFonts w:ascii="Arial" w:hAnsi="Arial" w:eastAsia="Arial" w:cs="Arial"/>
          <w:spacing w:val="-2"/>
          <w:sz w:val="15"/>
          <w:szCs w:val="15"/>
        </w:rPr>
        <w:t>European</w:t>
      </w:r>
      <w:r>
        <w:rPr>
          <w:rFonts w:ascii="Arial" w:hAnsi="Arial" w:eastAsia="Arial" w:cs="Arial"/>
          <w:spacing w:val="27"/>
          <w:w w:val="102"/>
          <w:sz w:val="15"/>
          <w:szCs w:val="15"/>
        </w:rPr>
        <w:t xml:space="preserve"> </w:t>
      </w:r>
      <w:r>
        <w:rPr>
          <w:rFonts w:ascii="Arial" w:hAnsi="Arial" w:eastAsia="Arial" w:cs="Arial"/>
          <w:spacing w:val="-2"/>
          <w:sz w:val="15"/>
          <w:szCs w:val="15"/>
        </w:rPr>
        <w:t>University</w:t>
      </w:r>
      <w:r>
        <w:rPr>
          <w:rFonts w:ascii="Arial" w:hAnsi="Arial" w:eastAsia="Arial" w:cs="Arial"/>
          <w:spacing w:val="10"/>
          <w:w w:val="101"/>
          <w:sz w:val="15"/>
          <w:szCs w:val="15"/>
        </w:rPr>
        <w:t xml:space="preserve"> </w:t>
      </w:r>
      <w:r>
        <w:rPr>
          <w:rFonts w:ascii="Arial" w:hAnsi="Arial" w:eastAsia="Arial" w:cs="Arial"/>
          <w:spacing w:val="-2"/>
          <w:sz w:val="15"/>
          <w:szCs w:val="15"/>
        </w:rPr>
        <w:t>Association.</w:t>
      </w:r>
    </w:p>
    <w:p>
      <w:pPr>
        <w:spacing w:before="46" w:line="250" w:lineRule="auto"/>
        <w:ind w:left="205" w:right="22" w:hanging="205"/>
        <w:rPr>
          <w:rFonts w:ascii="Arial" w:hAnsi="Arial" w:eastAsia="Arial" w:cs="Arial"/>
          <w:sz w:val="15"/>
          <w:szCs w:val="15"/>
        </w:rPr>
      </w:pPr>
      <w:r>
        <w:rPr>
          <w:rFonts w:ascii="Arial" w:hAnsi="Arial" w:eastAsia="Arial" w:cs="Arial"/>
          <w:spacing w:val="-2"/>
          <w:sz w:val="15"/>
          <w:szCs w:val="15"/>
        </w:rPr>
        <w:t xml:space="preserve">Trivellas, P., and D. Dargenidou. </w:t>
      </w:r>
      <w:r>
        <w:fldChar w:fldCharType="begin"/>
      </w:r>
      <w:r>
        <w:instrText xml:space="preserve"> HYPERLINK \l "bookmark42" </w:instrText>
      </w:r>
      <w:r>
        <w:fldChar w:fldCharType="separate"/>
      </w:r>
      <w:r>
        <w:rPr>
          <w:rFonts w:ascii="Arial" w:hAnsi="Arial" w:eastAsia="Arial" w:cs="Arial"/>
          <w:color w:val="000084"/>
          <w:spacing w:val="-2"/>
          <w:sz w:val="15"/>
          <w:szCs w:val="15"/>
        </w:rPr>
        <w:t>2009</w:t>
      </w:r>
      <w:r>
        <w:rPr>
          <w:rFonts w:ascii="Arial" w:hAnsi="Arial" w:eastAsia="Arial" w:cs="Arial"/>
          <w:color w:val="000084"/>
          <w:spacing w:val="-2"/>
          <w:sz w:val="15"/>
          <w:szCs w:val="15"/>
        </w:rPr>
        <w:fldChar w:fldCharType="end"/>
      </w:r>
      <w:r>
        <w:rPr>
          <w:rFonts w:ascii="Arial" w:hAnsi="Arial" w:eastAsia="Arial" w:cs="Arial"/>
          <w:spacing w:val="-2"/>
          <w:sz w:val="15"/>
          <w:szCs w:val="15"/>
        </w:rPr>
        <w:t>. “Organisational Culture, Job Satisfaction and Higher Education Service</w:t>
      </w:r>
      <w:r>
        <w:rPr>
          <w:rFonts w:ascii="Arial" w:hAnsi="Arial" w:eastAsia="Arial" w:cs="Arial"/>
          <w:sz w:val="15"/>
          <w:szCs w:val="15"/>
        </w:rPr>
        <w:t xml:space="preserve"> </w:t>
      </w:r>
      <w:r>
        <w:rPr>
          <w:rFonts w:ascii="Arial" w:hAnsi="Arial" w:eastAsia="Arial" w:cs="Arial"/>
          <w:spacing w:val="-2"/>
          <w:sz w:val="15"/>
          <w:szCs w:val="15"/>
        </w:rPr>
        <w:t>Quality: The</w:t>
      </w:r>
      <w:r>
        <w:rPr>
          <w:rFonts w:ascii="Arial" w:hAnsi="Arial" w:eastAsia="Arial" w:cs="Arial"/>
          <w:sz w:val="15"/>
          <w:szCs w:val="15"/>
        </w:rPr>
        <w:t xml:space="preserve"> </w:t>
      </w:r>
      <w:r>
        <w:rPr>
          <w:rFonts w:ascii="Arial" w:hAnsi="Arial" w:eastAsia="Arial" w:cs="Arial"/>
          <w:spacing w:val="-2"/>
          <w:sz w:val="15"/>
          <w:szCs w:val="15"/>
        </w:rPr>
        <w:t>Case of</w:t>
      </w:r>
      <w:r>
        <w:rPr>
          <w:rFonts w:ascii="Arial" w:hAnsi="Arial" w:eastAsia="Arial" w:cs="Arial"/>
          <w:spacing w:val="-11"/>
          <w:sz w:val="15"/>
          <w:szCs w:val="15"/>
        </w:rPr>
        <w:t xml:space="preserve"> </w:t>
      </w:r>
      <w:r>
        <w:rPr>
          <w:rFonts w:ascii="Arial" w:hAnsi="Arial" w:eastAsia="Arial" w:cs="Arial"/>
          <w:spacing w:val="-2"/>
          <w:sz w:val="15"/>
          <w:szCs w:val="15"/>
        </w:rPr>
        <w:t>Technological Educational Institute of Larissa.” The TQM</w:t>
      </w:r>
      <w:r>
        <w:rPr>
          <w:rFonts w:ascii="Arial" w:hAnsi="Arial" w:eastAsia="Arial" w:cs="Arial"/>
          <w:spacing w:val="-10"/>
          <w:sz w:val="15"/>
          <w:szCs w:val="15"/>
        </w:rPr>
        <w:t xml:space="preserve"> </w:t>
      </w:r>
      <w:r>
        <w:rPr>
          <w:rFonts w:ascii="Arial" w:hAnsi="Arial" w:eastAsia="Arial" w:cs="Arial"/>
          <w:spacing w:val="-2"/>
          <w:sz w:val="15"/>
          <w:szCs w:val="15"/>
        </w:rPr>
        <w:t>Jou</w:t>
      </w:r>
      <w:r>
        <w:rPr>
          <w:rFonts w:ascii="Arial" w:hAnsi="Arial" w:eastAsia="Arial" w:cs="Arial"/>
          <w:spacing w:val="-3"/>
          <w:sz w:val="15"/>
          <w:szCs w:val="15"/>
        </w:rPr>
        <w:t xml:space="preserve">rnal 21: 382–99. </w:t>
      </w:r>
      <w:r>
        <w:fldChar w:fldCharType="begin"/>
      </w:r>
      <w:r>
        <w:instrText xml:space="preserve"> HYPERLINK "https://doi.org/10.1108/17542730910965083" </w:instrText>
      </w:r>
      <w:r>
        <w:fldChar w:fldCharType="separate"/>
      </w:r>
      <w:r>
        <w:rPr>
          <w:rFonts w:ascii="Arial" w:hAnsi="Arial" w:eastAsia="Arial" w:cs="Arial"/>
          <w:color w:val="000084"/>
          <w:spacing w:val="-3"/>
          <w:sz w:val="15"/>
          <w:szCs w:val="15"/>
        </w:rPr>
        <w:t>doi:10.1108/17542730910965083</w:t>
      </w:r>
      <w:r>
        <w:rPr>
          <w:rFonts w:ascii="Arial" w:hAnsi="Arial" w:eastAsia="Arial" w:cs="Arial"/>
          <w:color w:val="000084"/>
          <w:spacing w:val="-3"/>
          <w:sz w:val="15"/>
          <w:szCs w:val="15"/>
        </w:rPr>
        <w:fldChar w:fldCharType="end"/>
      </w:r>
      <w:r>
        <w:rPr>
          <w:rFonts w:ascii="Arial" w:hAnsi="Arial" w:eastAsia="Arial" w:cs="Arial"/>
          <w:spacing w:val="-3"/>
          <w:sz w:val="15"/>
          <w:szCs w:val="15"/>
        </w:rPr>
        <w:t>.</w:t>
      </w:r>
    </w:p>
    <w:p>
      <w:pPr>
        <w:spacing w:before="20" w:line="258" w:lineRule="auto"/>
        <w:ind w:left="203" w:right="24" w:hanging="203"/>
        <w:rPr>
          <w:rFonts w:ascii="Arial" w:hAnsi="Arial" w:eastAsia="Arial" w:cs="Arial"/>
          <w:sz w:val="15"/>
          <w:szCs w:val="15"/>
        </w:rPr>
      </w:pPr>
      <w:r>
        <w:rPr>
          <w:rFonts w:ascii="Arial" w:hAnsi="Arial" w:eastAsia="Arial" w:cs="Arial"/>
          <w:spacing w:val="-3"/>
          <w:sz w:val="15"/>
          <w:szCs w:val="15"/>
        </w:rPr>
        <w:t>Vettori,</w:t>
      </w:r>
      <w:r>
        <w:rPr>
          <w:rFonts w:ascii="Arial" w:hAnsi="Arial" w:eastAsia="Arial" w:cs="Arial"/>
          <w:spacing w:val="22"/>
          <w:w w:val="101"/>
          <w:sz w:val="15"/>
          <w:szCs w:val="15"/>
        </w:rPr>
        <w:t xml:space="preserve"> </w:t>
      </w:r>
      <w:r>
        <w:rPr>
          <w:rFonts w:ascii="Arial" w:hAnsi="Arial" w:eastAsia="Arial" w:cs="Arial"/>
          <w:spacing w:val="-3"/>
          <w:sz w:val="15"/>
          <w:szCs w:val="15"/>
        </w:rPr>
        <w:t>O.</w:t>
      </w:r>
      <w:r>
        <w:rPr>
          <w:rFonts w:ascii="Arial" w:hAnsi="Arial" w:eastAsia="Arial" w:cs="Arial"/>
          <w:spacing w:val="17"/>
          <w:w w:val="101"/>
          <w:sz w:val="15"/>
          <w:szCs w:val="15"/>
        </w:rPr>
        <w:t xml:space="preserve"> </w:t>
      </w:r>
      <w:r>
        <w:fldChar w:fldCharType="begin"/>
      </w:r>
      <w:r>
        <w:instrText xml:space="preserve"> HYPERLINK \l "bookmark10" </w:instrText>
      </w:r>
      <w:r>
        <w:fldChar w:fldCharType="separate"/>
      </w:r>
      <w:r>
        <w:rPr>
          <w:rFonts w:ascii="Arial" w:hAnsi="Arial" w:eastAsia="Arial" w:cs="Arial"/>
          <w:color w:val="000084"/>
          <w:spacing w:val="-3"/>
          <w:sz w:val="15"/>
          <w:szCs w:val="15"/>
        </w:rPr>
        <w:t>2012</w:t>
      </w:r>
      <w:r>
        <w:rPr>
          <w:rFonts w:ascii="Arial" w:hAnsi="Arial" w:eastAsia="Arial" w:cs="Arial"/>
          <w:color w:val="000084"/>
          <w:spacing w:val="-3"/>
          <w:sz w:val="15"/>
          <w:szCs w:val="15"/>
        </w:rPr>
        <w:fldChar w:fldCharType="end"/>
      </w:r>
      <w:r>
        <w:rPr>
          <w:rFonts w:ascii="Arial" w:hAnsi="Arial" w:eastAsia="Arial" w:cs="Arial"/>
          <w:spacing w:val="-3"/>
          <w:sz w:val="15"/>
          <w:szCs w:val="15"/>
        </w:rPr>
        <w:t>.</w:t>
      </w:r>
      <w:r>
        <w:rPr>
          <w:rFonts w:ascii="Arial" w:hAnsi="Arial" w:eastAsia="Arial" w:cs="Arial"/>
          <w:spacing w:val="22"/>
          <w:w w:val="101"/>
          <w:sz w:val="15"/>
          <w:szCs w:val="15"/>
        </w:rPr>
        <w:t xml:space="preserve"> </w:t>
      </w:r>
      <w:r>
        <w:rPr>
          <w:rFonts w:ascii="Arial" w:hAnsi="Arial" w:eastAsia="Arial" w:cs="Arial"/>
          <w:spacing w:val="-3"/>
          <w:sz w:val="15"/>
          <w:szCs w:val="15"/>
        </w:rPr>
        <w:t>Examining</w:t>
      </w:r>
      <w:r>
        <w:rPr>
          <w:rFonts w:ascii="Arial" w:hAnsi="Arial" w:eastAsia="Arial" w:cs="Arial"/>
          <w:spacing w:val="24"/>
          <w:sz w:val="15"/>
          <w:szCs w:val="15"/>
        </w:rPr>
        <w:t xml:space="preserve"> </w:t>
      </w:r>
      <w:r>
        <w:rPr>
          <w:rFonts w:ascii="Arial" w:hAnsi="Arial" w:eastAsia="Arial" w:cs="Arial"/>
          <w:spacing w:val="-3"/>
          <w:sz w:val="15"/>
          <w:szCs w:val="15"/>
        </w:rPr>
        <w:t>Quality</w:t>
      </w:r>
      <w:r>
        <w:rPr>
          <w:rFonts w:ascii="Arial" w:hAnsi="Arial" w:eastAsia="Arial" w:cs="Arial"/>
          <w:spacing w:val="18"/>
          <w:w w:val="102"/>
          <w:sz w:val="15"/>
          <w:szCs w:val="15"/>
        </w:rPr>
        <w:t xml:space="preserve"> </w:t>
      </w:r>
      <w:r>
        <w:rPr>
          <w:rFonts w:ascii="Arial" w:hAnsi="Arial" w:eastAsia="Arial" w:cs="Arial"/>
          <w:spacing w:val="-3"/>
          <w:sz w:val="15"/>
          <w:szCs w:val="15"/>
        </w:rPr>
        <w:t>Culture</w:t>
      </w:r>
      <w:r>
        <w:rPr>
          <w:rFonts w:ascii="Arial" w:hAnsi="Arial" w:eastAsia="Arial" w:cs="Arial"/>
          <w:spacing w:val="21"/>
          <w:w w:val="101"/>
          <w:sz w:val="15"/>
          <w:szCs w:val="15"/>
        </w:rPr>
        <w:t xml:space="preserve"> </w:t>
      </w:r>
      <w:r>
        <w:rPr>
          <w:rFonts w:ascii="Arial" w:hAnsi="Arial" w:eastAsia="Arial" w:cs="Arial"/>
          <w:spacing w:val="-3"/>
          <w:sz w:val="15"/>
          <w:szCs w:val="15"/>
        </w:rPr>
        <w:t>Part</w:t>
      </w:r>
      <w:r>
        <w:rPr>
          <w:rFonts w:ascii="Arial" w:hAnsi="Arial" w:eastAsia="Arial" w:cs="Arial"/>
          <w:spacing w:val="18"/>
          <w:w w:val="101"/>
          <w:sz w:val="15"/>
          <w:szCs w:val="15"/>
        </w:rPr>
        <w:t xml:space="preserve"> </w:t>
      </w:r>
      <w:r>
        <w:rPr>
          <w:rFonts w:ascii="Arial" w:hAnsi="Arial" w:eastAsia="Arial" w:cs="Arial"/>
          <w:spacing w:val="-3"/>
          <w:sz w:val="15"/>
          <w:szCs w:val="15"/>
        </w:rPr>
        <w:t>III:</w:t>
      </w:r>
      <w:r>
        <w:rPr>
          <w:rFonts w:ascii="Arial" w:hAnsi="Arial" w:eastAsia="Arial" w:cs="Arial"/>
          <w:spacing w:val="22"/>
          <w:sz w:val="15"/>
          <w:szCs w:val="15"/>
        </w:rPr>
        <w:t xml:space="preserve"> </w:t>
      </w:r>
      <w:r>
        <w:rPr>
          <w:rFonts w:ascii="Arial" w:hAnsi="Arial" w:eastAsia="Arial" w:cs="Arial"/>
          <w:spacing w:val="-3"/>
          <w:sz w:val="15"/>
          <w:szCs w:val="15"/>
        </w:rPr>
        <w:t>From</w:t>
      </w:r>
      <w:r>
        <w:rPr>
          <w:rFonts w:ascii="Arial" w:hAnsi="Arial" w:eastAsia="Arial" w:cs="Arial"/>
          <w:spacing w:val="17"/>
          <w:w w:val="102"/>
          <w:sz w:val="15"/>
          <w:szCs w:val="15"/>
        </w:rPr>
        <w:t xml:space="preserve"> </w:t>
      </w:r>
      <w:r>
        <w:rPr>
          <w:rFonts w:ascii="Arial" w:hAnsi="Arial" w:eastAsia="Arial" w:cs="Arial"/>
          <w:spacing w:val="-3"/>
          <w:sz w:val="15"/>
          <w:szCs w:val="15"/>
        </w:rPr>
        <w:t>Self-</w:t>
      </w:r>
      <w:r>
        <w:rPr>
          <w:rFonts w:ascii="Arial" w:hAnsi="Arial" w:eastAsia="Arial" w:cs="Arial"/>
          <w:spacing w:val="-4"/>
          <w:sz w:val="15"/>
          <w:szCs w:val="15"/>
        </w:rPr>
        <w:t>Relection</w:t>
      </w:r>
      <w:r>
        <w:rPr>
          <w:rFonts w:ascii="Arial" w:hAnsi="Arial" w:eastAsia="Arial" w:cs="Arial"/>
          <w:spacing w:val="25"/>
          <w:sz w:val="15"/>
          <w:szCs w:val="15"/>
        </w:rPr>
        <w:t xml:space="preserve"> </w:t>
      </w:r>
      <w:r>
        <w:rPr>
          <w:rFonts w:ascii="Arial" w:hAnsi="Arial" w:eastAsia="Arial" w:cs="Arial"/>
          <w:spacing w:val="-4"/>
          <w:sz w:val="15"/>
          <w:szCs w:val="15"/>
        </w:rPr>
        <w:t>to</w:t>
      </w:r>
      <w:r>
        <w:rPr>
          <w:rFonts w:ascii="Arial" w:hAnsi="Arial" w:eastAsia="Arial" w:cs="Arial"/>
          <w:spacing w:val="23"/>
          <w:sz w:val="15"/>
          <w:szCs w:val="15"/>
        </w:rPr>
        <w:t xml:space="preserve"> </w:t>
      </w:r>
      <w:r>
        <w:rPr>
          <w:rFonts w:ascii="Arial" w:hAnsi="Arial" w:eastAsia="Arial" w:cs="Arial"/>
          <w:spacing w:val="-4"/>
          <w:sz w:val="15"/>
          <w:szCs w:val="15"/>
        </w:rPr>
        <w:t>Enhancement.</w:t>
      </w:r>
      <w:r>
        <w:rPr>
          <w:rFonts w:ascii="Arial" w:hAnsi="Arial" w:eastAsia="Arial" w:cs="Arial"/>
          <w:spacing w:val="29"/>
          <w:w w:val="102"/>
          <w:sz w:val="15"/>
          <w:szCs w:val="15"/>
        </w:rPr>
        <w:t xml:space="preserve"> </w:t>
      </w:r>
      <w:r>
        <w:rPr>
          <w:rFonts w:ascii="Arial" w:hAnsi="Arial" w:eastAsia="Arial" w:cs="Arial"/>
          <w:spacing w:val="-4"/>
          <w:sz w:val="15"/>
          <w:szCs w:val="15"/>
        </w:rPr>
        <w:t>Brussels:</w:t>
      </w:r>
      <w:r>
        <w:rPr>
          <w:rFonts w:ascii="Arial" w:hAnsi="Arial" w:eastAsia="Arial" w:cs="Arial"/>
          <w:spacing w:val="28"/>
          <w:w w:val="101"/>
          <w:sz w:val="15"/>
          <w:szCs w:val="15"/>
        </w:rPr>
        <w:t xml:space="preserve"> </w:t>
      </w:r>
      <w:r>
        <w:rPr>
          <w:rFonts w:ascii="Arial" w:hAnsi="Arial" w:eastAsia="Arial" w:cs="Arial"/>
          <w:spacing w:val="-4"/>
          <w:sz w:val="15"/>
          <w:szCs w:val="15"/>
        </w:rPr>
        <w:t>European</w:t>
      </w:r>
      <w:r>
        <w:rPr>
          <w:rFonts w:ascii="Arial" w:hAnsi="Arial" w:eastAsia="Arial" w:cs="Arial"/>
          <w:spacing w:val="28"/>
          <w:w w:val="101"/>
          <w:sz w:val="15"/>
          <w:szCs w:val="15"/>
        </w:rPr>
        <w:t xml:space="preserve"> </w:t>
      </w:r>
      <w:r>
        <w:rPr>
          <w:rFonts w:ascii="Arial" w:hAnsi="Arial" w:eastAsia="Arial" w:cs="Arial"/>
          <w:spacing w:val="-4"/>
          <w:sz w:val="15"/>
          <w:szCs w:val="15"/>
        </w:rPr>
        <w:t>University</w:t>
      </w:r>
      <w:r>
        <w:rPr>
          <w:rFonts w:ascii="Arial" w:hAnsi="Arial" w:eastAsia="Arial" w:cs="Arial"/>
          <w:sz w:val="15"/>
          <w:szCs w:val="15"/>
        </w:rPr>
        <w:t xml:space="preserve"> </w:t>
      </w:r>
      <w:r>
        <w:rPr>
          <w:rFonts w:ascii="Arial" w:hAnsi="Arial" w:eastAsia="Arial" w:cs="Arial"/>
          <w:spacing w:val="-2"/>
          <w:sz w:val="15"/>
          <w:szCs w:val="15"/>
        </w:rPr>
        <w:t>Association.</w:t>
      </w:r>
    </w:p>
    <w:p>
      <w:pPr>
        <w:spacing w:before="16" w:line="294" w:lineRule="auto"/>
        <w:ind w:left="203" w:right="19" w:hanging="203"/>
        <w:rPr>
          <w:rFonts w:ascii="Arial" w:hAnsi="Arial" w:eastAsia="Arial" w:cs="Arial"/>
          <w:sz w:val="15"/>
          <w:szCs w:val="15"/>
        </w:rPr>
      </w:pPr>
      <w:r>
        <w:rPr>
          <w:rFonts w:ascii="Arial" w:hAnsi="Arial" w:eastAsia="Arial" w:cs="Arial"/>
          <w:spacing w:val="-4"/>
          <w:sz w:val="15"/>
          <w:szCs w:val="15"/>
        </w:rPr>
        <w:t xml:space="preserve">Vlăsceanu,  L.,  L.  Grünberg,  and  D.  Pârlea.  </w:t>
      </w:r>
      <w:r>
        <w:fldChar w:fldCharType="begin"/>
      </w:r>
      <w:r>
        <w:instrText xml:space="preserve"> HYPERLINK \l "bookmark10" </w:instrText>
      </w:r>
      <w:r>
        <w:fldChar w:fldCharType="separate"/>
      </w:r>
      <w:r>
        <w:rPr>
          <w:rFonts w:ascii="Arial" w:hAnsi="Arial" w:eastAsia="Arial" w:cs="Arial"/>
          <w:color w:val="000084"/>
          <w:spacing w:val="-4"/>
          <w:sz w:val="15"/>
          <w:szCs w:val="15"/>
        </w:rPr>
        <w:t>2004</w:t>
      </w:r>
      <w:r>
        <w:rPr>
          <w:rFonts w:ascii="Arial" w:hAnsi="Arial" w:eastAsia="Arial" w:cs="Arial"/>
          <w:color w:val="000084"/>
          <w:spacing w:val="-4"/>
          <w:sz w:val="15"/>
          <w:szCs w:val="15"/>
        </w:rPr>
        <w:fldChar w:fldCharType="end"/>
      </w:r>
      <w:r>
        <w:rPr>
          <w:rFonts w:ascii="Arial" w:hAnsi="Arial" w:eastAsia="Arial" w:cs="Arial"/>
          <w:spacing w:val="-4"/>
          <w:sz w:val="15"/>
          <w:szCs w:val="15"/>
        </w:rPr>
        <w:t>.  Quality</w:t>
      </w:r>
      <w:r>
        <w:rPr>
          <w:rFonts w:ascii="Arial" w:hAnsi="Arial" w:eastAsia="Arial" w:cs="Arial"/>
          <w:spacing w:val="20"/>
          <w:sz w:val="15"/>
          <w:szCs w:val="15"/>
        </w:rPr>
        <w:t xml:space="preserve"> </w:t>
      </w:r>
      <w:r>
        <w:rPr>
          <w:rFonts w:ascii="Arial" w:hAnsi="Arial" w:eastAsia="Arial" w:cs="Arial"/>
          <w:spacing w:val="-4"/>
          <w:sz w:val="15"/>
          <w:szCs w:val="15"/>
        </w:rPr>
        <w:t>Assurance  and</w:t>
      </w:r>
      <w:r>
        <w:rPr>
          <w:rFonts w:ascii="Arial" w:hAnsi="Arial" w:eastAsia="Arial" w:cs="Arial"/>
          <w:spacing w:val="21"/>
          <w:sz w:val="15"/>
          <w:szCs w:val="15"/>
        </w:rPr>
        <w:t xml:space="preserve"> </w:t>
      </w:r>
      <w:r>
        <w:rPr>
          <w:rFonts w:ascii="Arial" w:hAnsi="Arial" w:eastAsia="Arial" w:cs="Arial"/>
          <w:spacing w:val="-4"/>
          <w:sz w:val="15"/>
          <w:szCs w:val="15"/>
        </w:rPr>
        <w:t>Accr</w:t>
      </w:r>
      <w:r>
        <w:rPr>
          <w:rFonts w:ascii="Arial" w:hAnsi="Arial" w:eastAsia="Arial" w:cs="Arial"/>
          <w:spacing w:val="-5"/>
          <w:sz w:val="15"/>
          <w:szCs w:val="15"/>
        </w:rPr>
        <w:t>editation:</w:t>
      </w:r>
      <w:r>
        <w:rPr>
          <w:rFonts w:ascii="Arial" w:hAnsi="Arial" w:eastAsia="Arial" w:cs="Arial"/>
          <w:spacing w:val="25"/>
          <w:sz w:val="15"/>
          <w:szCs w:val="15"/>
        </w:rPr>
        <w:t xml:space="preserve"> </w:t>
      </w:r>
      <w:r>
        <w:rPr>
          <w:rFonts w:ascii="Arial" w:hAnsi="Arial" w:eastAsia="Arial" w:cs="Arial"/>
          <w:spacing w:val="-5"/>
          <w:sz w:val="15"/>
          <w:szCs w:val="15"/>
        </w:rPr>
        <w:t>A  Glossary</w:t>
      </w:r>
      <w:r>
        <w:rPr>
          <w:rFonts w:ascii="Arial" w:hAnsi="Arial" w:eastAsia="Arial" w:cs="Arial"/>
          <w:spacing w:val="28"/>
          <w:w w:val="101"/>
          <w:sz w:val="15"/>
          <w:szCs w:val="15"/>
        </w:rPr>
        <w:t xml:space="preserve"> </w:t>
      </w:r>
      <w:r>
        <w:rPr>
          <w:rFonts w:ascii="Arial" w:hAnsi="Arial" w:eastAsia="Arial" w:cs="Arial"/>
          <w:spacing w:val="-5"/>
          <w:sz w:val="15"/>
          <w:szCs w:val="15"/>
        </w:rPr>
        <w:t>of</w:t>
      </w:r>
      <w:r>
        <w:rPr>
          <w:rFonts w:ascii="Arial" w:hAnsi="Arial" w:eastAsia="Arial" w:cs="Arial"/>
          <w:spacing w:val="15"/>
          <w:w w:val="101"/>
          <w:sz w:val="15"/>
          <w:szCs w:val="15"/>
        </w:rPr>
        <w:t xml:space="preserve"> </w:t>
      </w:r>
      <w:r>
        <w:rPr>
          <w:rFonts w:ascii="Arial" w:hAnsi="Arial" w:eastAsia="Arial" w:cs="Arial"/>
          <w:spacing w:val="-5"/>
          <w:sz w:val="15"/>
          <w:szCs w:val="15"/>
        </w:rPr>
        <w:t>Basic  Terms</w:t>
      </w:r>
      <w:r>
        <w:rPr>
          <w:rFonts w:ascii="Arial" w:hAnsi="Arial" w:eastAsia="Arial" w:cs="Arial"/>
          <w:spacing w:val="34"/>
          <w:sz w:val="15"/>
          <w:szCs w:val="15"/>
        </w:rPr>
        <w:t xml:space="preserve"> </w:t>
      </w:r>
      <w:r>
        <w:rPr>
          <w:rFonts w:ascii="Arial" w:hAnsi="Arial" w:eastAsia="Arial" w:cs="Arial"/>
          <w:spacing w:val="-5"/>
          <w:sz w:val="15"/>
          <w:szCs w:val="15"/>
        </w:rPr>
        <w:t>and</w:t>
      </w:r>
      <w:r>
        <w:rPr>
          <w:rFonts w:ascii="Arial" w:hAnsi="Arial" w:eastAsia="Arial" w:cs="Arial"/>
          <w:sz w:val="15"/>
          <w:szCs w:val="15"/>
        </w:rPr>
        <w:t xml:space="preserve"> </w:t>
      </w:r>
      <w:r>
        <w:rPr>
          <w:rFonts w:ascii="Arial" w:hAnsi="Arial" w:eastAsia="Arial" w:cs="Arial"/>
          <w:spacing w:val="-5"/>
          <w:sz w:val="15"/>
          <w:szCs w:val="15"/>
        </w:rPr>
        <w:t>Deinitions.</w:t>
      </w:r>
      <w:r>
        <w:rPr>
          <w:rFonts w:ascii="Arial" w:hAnsi="Arial" w:eastAsia="Arial" w:cs="Arial"/>
          <w:spacing w:val="36"/>
          <w:w w:val="101"/>
          <w:sz w:val="15"/>
          <w:szCs w:val="15"/>
        </w:rPr>
        <w:t xml:space="preserve"> </w:t>
      </w:r>
      <w:r>
        <w:rPr>
          <w:rFonts w:ascii="Arial" w:hAnsi="Arial" w:eastAsia="Arial" w:cs="Arial"/>
          <w:spacing w:val="-5"/>
          <w:sz w:val="15"/>
          <w:szCs w:val="15"/>
        </w:rPr>
        <w:t>Bucharest:</w:t>
      </w:r>
      <w:r>
        <w:rPr>
          <w:rFonts w:ascii="Arial" w:hAnsi="Arial" w:eastAsia="Arial" w:cs="Arial"/>
          <w:spacing w:val="17"/>
          <w:w w:val="101"/>
          <w:sz w:val="15"/>
          <w:szCs w:val="15"/>
        </w:rPr>
        <w:t xml:space="preserve"> </w:t>
      </w:r>
      <w:r>
        <w:rPr>
          <w:rFonts w:ascii="Arial" w:hAnsi="Arial" w:eastAsia="Arial" w:cs="Arial"/>
          <w:spacing w:val="-5"/>
          <w:sz w:val="15"/>
          <w:szCs w:val="15"/>
        </w:rPr>
        <w:t>UNESCO.</w:t>
      </w:r>
    </w:p>
    <w:p>
      <w:pPr>
        <w:spacing w:before="10" w:line="272" w:lineRule="auto"/>
        <w:ind w:left="215" w:right="22" w:hanging="213"/>
        <w:rPr>
          <w:rFonts w:ascii="Arial" w:hAnsi="Arial" w:eastAsia="Arial" w:cs="Arial"/>
          <w:sz w:val="15"/>
          <w:szCs w:val="15"/>
        </w:rPr>
      </w:pPr>
      <w:r>
        <w:rPr>
          <w:rFonts w:ascii="Arial" w:hAnsi="Arial" w:eastAsia="Arial" w:cs="Arial"/>
          <w:spacing w:val="-2"/>
          <w:sz w:val="15"/>
          <w:szCs w:val="15"/>
        </w:rPr>
        <w:t xml:space="preserve">Yorke, M. </w:t>
      </w:r>
      <w:r>
        <w:fldChar w:fldCharType="begin"/>
      </w:r>
      <w:r>
        <w:instrText xml:space="preserve"> HYPERLINK \l "bookmark50" </w:instrText>
      </w:r>
      <w:r>
        <w:fldChar w:fldCharType="separate"/>
      </w:r>
      <w:r>
        <w:rPr>
          <w:rFonts w:ascii="Arial" w:hAnsi="Arial" w:eastAsia="Arial" w:cs="Arial"/>
          <w:color w:val="000084"/>
          <w:spacing w:val="-2"/>
          <w:sz w:val="15"/>
          <w:szCs w:val="15"/>
        </w:rPr>
        <w:t>2000</w:t>
      </w:r>
      <w:r>
        <w:rPr>
          <w:rFonts w:ascii="Arial" w:hAnsi="Arial" w:eastAsia="Arial" w:cs="Arial"/>
          <w:color w:val="000084"/>
          <w:spacing w:val="-2"/>
          <w:sz w:val="15"/>
          <w:szCs w:val="15"/>
        </w:rPr>
        <w:fldChar w:fldCharType="end"/>
      </w:r>
      <w:r>
        <w:rPr>
          <w:rFonts w:ascii="Arial" w:hAnsi="Arial" w:eastAsia="Arial" w:cs="Arial"/>
          <w:spacing w:val="-2"/>
          <w:sz w:val="15"/>
          <w:szCs w:val="15"/>
        </w:rPr>
        <w:t>. “Developing a Quality Culture in Higher</w:t>
      </w:r>
      <w:r>
        <w:rPr>
          <w:rFonts w:ascii="Arial" w:hAnsi="Arial" w:eastAsia="Arial" w:cs="Arial"/>
          <w:spacing w:val="24"/>
          <w:sz w:val="15"/>
          <w:szCs w:val="15"/>
        </w:rPr>
        <w:t xml:space="preserve"> </w:t>
      </w:r>
      <w:r>
        <w:rPr>
          <w:rFonts w:ascii="Arial" w:hAnsi="Arial" w:eastAsia="Arial" w:cs="Arial"/>
          <w:spacing w:val="-2"/>
          <w:sz w:val="15"/>
          <w:szCs w:val="15"/>
        </w:rPr>
        <w:t>Education.”</w:t>
      </w:r>
      <w:r>
        <w:rPr>
          <w:rFonts w:ascii="Arial" w:hAnsi="Arial" w:eastAsia="Arial" w:cs="Arial"/>
          <w:spacing w:val="8"/>
          <w:sz w:val="15"/>
          <w:szCs w:val="15"/>
        </w:rPr>
        <w:t xml:space="preserve"> </w:t>
      </w:r>
      <w:r>
        <w:rPr>
          <w:rFonts w:ascii="Arial" w:hAnsi="Arial" w:eastAsia="Arial" w:cs="Arial"/>
          <w:spacing w:val="-2"/>
          <w:sz w:val="15"/>
          <w:szCs w:val="15"/>
        </w:rPr>
        <w:t>Tertiary Education and Management 6:</w:t>
      </w:r>
      <w:r>
        <w:rPr>
          <w:rFonts w:ascii="Arial" w:hAnsi="Arial" w:eastAsia="Arial" w:cs="Arial"/>
          <w:spacing w:val="12"/>
          <w:w w:val="101"/>
          <w:sz w:val="15"/>
          <w:szCs w:val="15"/>
        </w:rPr>
        <w:t xml:space="preserve"> </w:t>
      </w:r>
      <w:r>
        <w:rPr>
          <w:rFonts w:ascii="Arial" w:hAnsi="Arial" w:eastAsia="Arial" w:cs="Arial"/>
          <w:spacing w:val="-2"/>
          <w:sz w:val="15"/>
          <w:szCs w:val="15"/>
        </w:rPr>
        <w:t xml:space="preserve">19–36. </w:t>
      </w:r>
      <w:r>
        <w:fldChar w:fldCharType="begin"/>
      </w:r>
      <w:r>
        <w:instrText xml:space="preserve"> HYPERLINK "https://doi.org/10.1080/13583883.2000.9967008" </w:instrText>
      </w:r>
      <w:r>
        <w:fldChar w:fldCharType="separate"/>
      </w:r>
      <w:r>
        <w:rPr>
          <w:rFonts w:ascii="Arial" w:hAnsi="Arial" w:eastAsia="Arial" w:cs="Arial"/>
          <w:color w:val="000084"/>
          <w:spacing w:val="-2"/>
          <w:sz w:val="15"/>
          <w:szCs w:val="15"/>
        </w:rPr>
        <w:t>doi:10.</w:t>
      </w:r>
      <w:r>
        <w:rPr>
          <w:rFonts w:ascii="Arial" w:hAnsi="Arial" w:eastAsia="Arial" w:cs="Arial"/>
          <w:color w:val="000084"/>
          <w:spacing w:val="-2"/>
          <w:sz w:val="15"/>
          <w:szCs w:val="15"/>
        </w:rPr>
        <w:fldChar w:fldCharType="end"/>
      </w:r>
      <w:r>
        <w:rPr>
          <w:rFonts w:ascii="Arial" w:hAnsi="Arial" w:eastAsia="Arial" w:cs="Arial"/>
          <w:color w:val="000084"/>
          <w:sz w:val="15"/>
          <w:szCs w:val="15"/>
        </w:rPr>
        <w:t xml:space="preserve"> </w:t>
      </w:r>
      <w:r>
        <w:fldChar w:fldCharType="begin"/>
      </w:r>
      <w:r>
        <w:instrText xml:space="preserve"> HYPERLINK "https://doi.org/10.1080/13583883.2000.9967008" </w:instrText>
      </w:r>
      <w:r>
        <w:fldChar w:fldCharType="separate"/>
      </w:r>
      <w:r>
        <w:rPr>
          <w:rFonts w:ascii="Arial" w:hAnsi="Arial" w:eastAsia="Arial" w:cs="Arial"/>
          <w:color w:val="000084"/>
          <w:spacing w:val="-3"/>
          <w:sz w:val="15"/>
          <w:szCs w:val="15"/>
        </w:rPr>
        <w:t>1080/13583883.2000.9967008</w:t>
      </w:r>
      <w:r>
        <w:rPr>
          <w:rFonts w:ascii="Arial" w:hAnsi="Arial" w:eastAsia="Arial" w:cs="Arial"/>
          <w:color w:val="000084"/>
          <w:spacing w:val="-3"/>
          <w:sz w:val="15"/>
          <w:szCs w:val="15"/>
        </w:rPr>
        <w:fldChar w:fldCharType="end"/>
      </w:r>
      <w:r>
        <w:rPr>
          <w:rFonts w:ascii="Arial" w:hAnsi="Arial" w:eastAsia="Arial" w:cs="Arial"/>
          <w:spacing w:val="-3"/>
          <w:sz w:val="15"/>
          <w:szCs w:val="15"/>
        </w:rPr>
        <w:t>.</w:t>
      </w:r>
    </w:p>
    <w:p>
      <w:pPr>
        <w:spacing w:before="10" w:line="250" w:lineRule="auto"/>
        <w:ind w:left="204" w:right="23" w:hanging="200"/>
        <w:rPr>
          <w:rFonts w:ascii="Arial" w:hAnsi="Arial" w:eastAsia="Arial" w:cs="Arial"/>
          <w:sz w:val="15"/>
          <w:szCs w:val="15"/>
        </w:rPr>
      </w:pPr>
      <w:r>
        <w:rPr>
          <w:rFonts w:ascii="Arial" w:hAnsi="Arial" w:eastAsia="Arial" w:cs="Arial"/>
          <w:spacing w:val="-3"/>
          <w:sz w:val="15"/>
          <w:szCs w:val="15"/>
        </w:rPr>
        <w:t>Zeitz,G., R.</w:t>
      </w:r>
      <w:r>
        <w:rPr>
          <w:rFonts w:ascii="Arial" w:hAnsi="Arial" w:eastAsia="Arial" w:cs="Arial"/>
          <w:spacing w:val="1"/>
          <w:sz w:val="15"/>
          <w:szCs w:val="15"/>
        </w:rPr>
        <w:t xml:space="preserve"> </w:t>
      </w:r>
      <w:r>
        <w:rPr>
          <w:rFonts w:ascii="Arial" w:hAnsi="Arial" w:eastAsia="Arial" w:cs="Arial"/>
          <w:spacing w:val="-3"/>
          <w:sz w:val="15"/>
          <w:szCs w:val="15"/>
        </w:rPr>
        <w:t>Johannesson, and</w:t>
      </w:r>
      <w:r>
        <w:rPr>
          <w:rFonts w:ascii="Arial" w:hAnsi="Arial" w:eastAsia="Arial" w:cs="Arial"/>
          <w:spacing w:val="-10"/>
          <w:sz w:val="15"/>
          <w:szCs w:val="15"/>
        </w:rPr>
        <w:t xml:space="preserve"> </w:t>
      </w:r>
      <w:r>
        <w:rPr>
          <w:rFonts w:ascii="Arial" w:hAnsi="Arial" w:eastAsia="Arial" w:cs="Arial"/>
          <w:spacing w:val="-3"/>
          <w:sz w:val="15"/>
          <w:szCs w:val="15"/>
        </w:rPr>
        <w:t>J. E. Ritchie.</w:t>
      </w:r>
      <w:r>
        <w:rPr>
          <w:rFonts w:ascii="Arial" w:hAnsi="Arial" w:eastAsia="Arial" w:cs="Arial"/>
          <w:spacing w:val="-10"/>
          <w:sz w:val="15"/>
          <w:szCs w:val="15"/>
        </w:rPr>
        <w:t xml:space="preserve"> </w:t>
      </w:r>
      <w:r>
        <w:fldChar w:fldCharType="begin"/>
      </w:r>
      <w:r>
        <w:instrText xml:space="preserve"> HYPERLINK \l "bookmark42" </w:instrText>
      </w:r>
      <w:r>
        <w:fldChar w:fldCharType="separate"/>
      </w:r>
      <w:r>
        <w:rPr>
          <w:rFonts w:ascii="Arial" w:hAnsi="Arial" w:eastAsia="Arial" w:cs="Arial"/>
          <w:color w:val="000084"/>
          <w:spacing w:val="-3"/>
          <w:sz w:val="15"/>
          <w:szCs w:val="15"/>
        </w:rPr>
        <w:t>1997</w:t>
      </w:r>
      <w:r>
        <w:rPr>
          <w:rFonts w:ascii="Arial" w:hAnsi="Arial" w:eastAsia="Arial" w:cs="Arial"/>
          <w:color w:val="000084"/>
          <w:spacing w:val="-3"/>
          <w:sz w:val="15"/>
          <w:szCs w:val="15"/>
        </w:rPr>
        <w:fldChar w:fldCharType="end"/>
      </w:r>
      <w:r>
        <w:rPr>
          <w:rFonts w:ascii="Arial" w:hAnsi="Arial" w:eastAsia="Arial" w:cs="Arial"/>
          <w:spacing w:val="-3"/>
          <w:sz w:val="15"/>
          <w:szCs w:val="15"/>
        </w:rPr>
        <w:t>. “An Employee Survey Measuring</w:t>
      </w:r>
      <w:r>
        <w:rPr>
          <w:rFonts w:ascii="Arial" w:hAnsi="Arial" w:eastAsia="Arial" w:cs="Arial"/>
          <w:spacing w:val="-10"/>
          <w:sz w:val="15"/>
          <w:szCs w:val="15"/>
        </w:rPr>
        <w:t xml:space="preserve"> </w:t>
      </w:r>
      <w:r>
        <w:rPr>
          <w:rFonts w:ascii="Arial" w:hAnsi="Arial" w:eastAsia="Arial" w:cs="Arial"/>
          <w:spacing w:val="-3"/>
          <w:sz w:val="15"/>
          <w:szCs w:val="15"/>
        </w:rPr>
        <w:t>Total Quality Management Practices and</w:t>
      </w:r>
      <w:r>
        <w:rPr>
          <w:rFonts w:ascii="Arial" w:hAnsi="Arial" w:eastAsia="Arial" w:cs="Arial"/>
          <w:sz w:val="15"/>
          <w:szCs w:val="15"/>
        </w:rPr>
        <w:t xml:space="preserve"> </w:t>
      </w:r>
      <w:r>
        <w:rPr>
          <w:rFonts w:ascii="Arial" w:hAnsi="Arial" w:eastAsia="Arial" w:cs="Arial"/>
          <w:spacing w:val="-2"/>
          <w:sz w:val="15"/>
          <w:szCs w:val="15"/>
        </w:rPr>
        <w:t>Culture:</w:t>
      </w:r>
      <w:r>
        <w:rPr>
          <w:rFonts w:ascii="Arial" w:hAnsi="Arial" w:eastAsia="Arial" w:cs="Arial"/>
          <w:spacing w:val="9"/>
          <w:sz w:val="15"/>
          <w:szCs w:val="15"/>
        </w:rPr>
        <w:t xml:space="preserve"> </w:t>
      </w:r>
      <w:r>
        <w:rPr>
          <w:rFonts w:ascii="Arial" w:hAnsi="Arial" w:eastAsia="Arial" w:cs="Arial"/>
          <w:spacing w:val="-2"/>
          <w:sz w:val="15"/>
          <w:szCs w:val="15"/>
        </w:rPr>
        <w:t xml:space="preserve">Development and Validation.” </w:t>
      </w:r>
      <w:r>
        <w:rPr>
          <w:rFonts w:ascii="Arial" w:hAnsi="Arial" w:eastAsia="Arial" w:cs="Arial"/>
          <w:spacing w:val="-3"/>
          <w:sz w:val="15"/>
          <w:szCs w:val="15"/>
        </w:rPr>
        <w:t xml:space="preserve">Group &amp; Organization Management 22: 414–44. </w:t>
      </w:r>
      <w:r>
        <w:fldChar w:fldCharType="begin"/>
      </w:r>
      <w:r>
        <w:instrText xml:space="preserve"> HYPERLINK "https://doi.org/10.1177/1059601197224002" </w:instrText>
      </w:r>
      <w:r>
        <w:fldChar w:fldCharType="separate"/>
      </w:r>
      <w:r>
        <w:rPr>
          <w:rFonts w:ascii="Arial" w:hAnsi="Arial" w:eastAsia="Arial" w:cs="Arial"/>
          <w:color w:val="000084"/>
          <w:spacing w:val="-3"/>
          <w:sz w:val="15"/>
          <w:szCs w:val="15"/>
        </w:rPr>
        <w:t>doi:10.1177/1059601197224002</w:t>
      </w:r>
      <w:r>
        <w:rPr>
          <w:rFonts w:ascii="Arial" w:hAnsi="Arial" w:eastAsia="Arial" w:cs="Arial"/>
          <w:color w:val="000084"/>
          <w:spacing w:val="-3"/>
          <w:sz w:val="15"/>
          <w:szCs w:val="15"/>
        </w:rPr>
        <w:fldChar w:fldCharType="end"/>
      </w:r>
      <w:r>
        <w:rPr>
          <w:rFonts w:ascii="Arial" w:hAnsi="Arial" w:eastAsia="Arial" w:cs="Arial"/>
          <w:spacing w:val="-3"/>
          <w:sz w:val="15"/>
          <w:szCs w:val="15"/>
        </w:rPr>
        <w:t>.</w:t>
      </w:r>
    </w:p>
    <w:p>
      <w:pPr>
        <w:spacing w:line="250" w:lineRule="auto"/>
        <w:rPr>
          <w:rFonts w:ascii="Arial" w:hAnsi="Arial" w:eastAsia="Arial" w:cs="Arial"/>
          <w:sz w:val="15"/>
          <w:szCs w:val="15"/>
        </w:rPr>
        <w:sectPr>
          <w:pgSz w:w="9865" w:h="14060"/>
          <w:pgMar w:top="400" w:right="936" w:bottom="400" w:left="960" w:header="0" w:footer="0" w:gutter="0"/>
          <w:cols w:space="720" w:num="1"/>
        </w:sectPr>
      </w:pPr>
    </w:p>
    <w:p>
      <w:pPr>
        <w:spacing w:line="251" w:lineRule="auto"/>
        <w:rPr>
          <w:rFonts w:ascii="Arial"/>
          <w:sz w:val="21"/>
        </w:rPr>
      </w:pPr>
      <w:r>
        <mc:AlternateContent>
          <mc:Choice Requires="wps">
            <w:drawing>
              <wp:anchor distT="0" distB="0" distL="0" distR="0" simplePos="0" relativeHeight="251751424"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154" name="TextBox 154"/>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4" o:spid="_x0000_s1026" o:spt="202" type="#_x0000_t202" style="position:absolute;left:0pt;margin-left:-120.15pt;margin-top:416.25pt;height:9.3pt;width:252.55pt;mso-position-horizontal-relative:page;mso-position-vertical-relative:page;rotation:-5898240f;z-index:251751424;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35Xy2wAAAAwBAAAPAAAAAAAAAAEAIAAAACIAAABkcnMvZG93&#10;bnJldi54bWxQSwECFAAUAAAACACHTuJAM8ebHzYCAABxBAAADgAAAAAAAAABACAAAAAqAQAAZHJz&#10;L2Uyb0RvYy54bWxQSwUGAAAAAAYABgBZAQAA0g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81" w:line="187" w:lineRule="auto"/>
        <w:ind w:left="1396"/>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Building quality culture in </w:t>
      </w:r>
      <w:r>
        <w:rPr>
          <w:rFonts w:ascii="Times New Roman" w:hAnsi="Times New Roman" w:eastAsia="Times New Roman" w:cs="Times New Roman"/>
          <w:b/>
          <w:bCs/>
          <w:spacing w:val="-1"/>
          <w:sz w:val="28"/>
          <w:szCs w:val="28"/>
        </w:rPr>
        <w:t>higher</w:t>
      </w:r>
      <w:r>
        <w:rPr>
          <w:rFonts w:ascii="Times New Roman" w:hAnsi="Times New Roman" w:eastAsia="Times New Roman" w:cs="Times New Roman"/>
          <w:b/>
          <w:bCs/>
          <w:spacing w:val="11"/>
          <w:sz w:val="28"/>
          <w:szCs w:val="28"/>
        </w:rPr>
        <w:t xml:space="preserve"> </w:t>
      </w:r>
      <w:r>
        <w:rPr>
          <w:rFonts w:ascii="Times New Roman" w:hAnsi="Times New Roman" w:eastAsia="Times New Roman" w:cs="Times New Roman"/>
          <w:b/>
          <w:bCs/>
          <w:spacing w:val="-1"/>
          <w:sz w:val="28"/>
          <w:szCs w:val="28"/>
        </w:rPr>
        <w:t>education</w:t>
      </w:r>
    </w:p>
    <w:p>
      <w:pPr>
        <w:spacing w:line="414" w:lineRule="auto"/>
        <w:rPr>
          <w:rFonts w:ascii="Arial"/>
          <w:sz w:val="21"/>
        </w:rPr>
      </w:pPr>
    </w:p>
    <w:p>
      <w:pPr>
        <w:spacing w:before="81" w:line="187" w:lineRule="auto"/>
        <w:ind w:left="1393"/>
        <w:rPr>
          <w:rFonts w:ascii="Times New Roman" w:hAnsi="Times New Roman" w:eastAsia="Times New Roman" w:cs="Times New Roman"/>
          <w:sz w:val="28"/>
          <w:szCs w:val="28"/>
        </w:rPr>
      </w:pPr>
      <w:r>
        <w:rPr>
          <w:rFonts w:ascii="Times New Roman" w:hAnsi="Times New Roman" w:eastAsia="Times New Roman" w:cs="Times New Roman"/>
          <w:b/>
          <w:bCs/>
          <w:spacing w:val="-1"/>
          <w:sz w:val="28"/>
          <w:szCs w:val="28"/>
        </w:rPr>
        <w:t>Abstract</w:t>
      </w:r>
    </w:p>
    <w:p>
      <w:pPr>
        <w:spacing w:before="33" w:line="459" w:lineRule="exact"/>
        <w:ind w:left="1397"/>
        <w:rPr>
          <w:rFonts w:ascii="Times New Roman" w:hAnsi="Times New Roman" w:eastAsia="Times New Roman" w:cs="Times New Roman"/>
          <w:sz w:val="24"/>
          <w:szCs w:val="24"/>
        </w:rPr>
      </w:pPr>
      <w:r>
        <w:rPr>
          <w:rFonts w:ascii="Times New Roman" w:hAnsi="Times New Roman" w:eastAsia="Times New Roman" w:cs="Times New Roman"/>
          <w:b/>
          <w:bCs/>
          <w:position w:val="18"/>
          <w:sz w:val="24"/>
          <w:szCs w:val="24"/>
        </w:rPr>
        <w:t>Purpose</w:t>
      </w:r>
      <w:r>
        <w:rPr>
          <w:rFonts w:ascii="Times New Roman" w:hAnsi="Times New Roman" w:eastAsia="Times New Roman" w:cs="Times New Roman"/>
          <w:position w:val="18"/>
          <w:sz w:val="24"/>
          <w:szCs w:val="24"/>
        </w:rPr>
        <w:t>: Describe an approach to build a quality culture within</w:t>
      </w:r>
      <w:r>
        <w:rPr>
          <w:rFonts w:ascii="Times New Roman" w:hAnsi="Times New Roman" w:eastAsia="Times New Roman" w:cs="Times New Roman"/>
          <w:spacing w:val="9"/>
          <w:position w:val="18"/>
          <w:sz w:val="24"/>
          <w:szCs w:val="24"/>
        </w:rPr>
        <w:t xml:space="preserve"> </w:t>
      </w:r>
      <w:r>
        <w:rPr>
          <w:rFonts w:ascii="Times New Roman" w:hAnsi="Times New Roman" w:eastAsia="Times New Roman" w:cs="Times New Roman"/>
          <w:position w:val="18"/>
          <w:sz w:val="24"/>
          <w:szCs w:val="24"/>
        </w:rPr>
        <w:t xml:space="preserve">a </w:t>
      </w:r>
      <w:r>
        <w:rPr>
          <w:rFonts w:ascii="Times New Roman" w:hAnsi="Times New Roman" w:eastAsia="Times New Roman" w:cs="Times New Roman"/>
          <w:spacing w:val="-1"/>
          <w:position w:val="18"/>
          <w:sz w:val="24"/>
          <w:szCs w:val="24"/>
        </w:rPr>
        <w:t>Higher</w:t>
      </w:r>
      <w:r>
        <w:rPr>
          <w:rFonts w:ascii="Times New Roman" w:hAnsi="Times New Roman" w:eastAsia="Times New Roman" w:cs="Times New Roman"/>
          <w:spacing w:val="3"/>
          <w:position w:val="18"/>
          <w:sz w:val="24"/>
          <w:szCs w:val="24"/>
        </w:rPr>
        <w:t xml:space="preserve"> </w:t>
      </w:r>
      <w:r>
        <w:rPr>
          <w:rFonts w:ascii="Times New Roman" w:hAnsi="Times New Roman" w:eastAsia="Times New Roman" w:cs="Times New Roman"/>
          <w:spacing w:val="-1"/>
          <w:position w:val="18"/>
          <w:sz w:val="24"/>
          <w:szCs w:val="24"/>
        </w:rPr>
        <w:t>Education</w:t>
      </w:r>
      <w:r>
        <w:rPr>
          <w:rFonts w:ascii="Times New Roman" w:hAnsi="Times New Roman" w:eastAsia="Times New Roman" w:cs="Times New Roman"/>
          <w:spacing w:val="9"/>
          <w:position w:val="18"/>
          <w:sz w:val="24"/>
          <w:szCs w:val="24"/>
        </w:rPr>
        <w:t xml:space="preserve"> </w:t>
      </w:r>
      <w:r>
        <w:rPr>
          <w:rFonts w:ascii="Times New Roman" w:hAnsi="Times New Roman" w:eastAsia="Times New Roman" w:cs="Times New Roman"/>
          <w:spacing w:val="-1"/>
          <w:position w:val="18"/>
          <w:sz w:val="24"/>
          <w:szCs w:val="24"/>
        </w:rPr>
        <w:t>Institution</w:t>
      </w:r>
    </w:p>
    <w:p>
      <w:pPr>
        <w:spacing w:line="228" w:lineRule="auto"/>
        <w:ind w:left="1395"/>
        <w:rPr>
          <w:rFonts w:ascii="Times New Roman" w:hAnsi="Times New Roman" w:eastAsia="Times New Roman" w:cs="Times New Roman"/>
          <w:sz w:val="24"/>
          <w:szCs w:val="24"/>
        </w:rPr>
      </w:pPr>
      <w:r>
        <w:rPr>
          <w:rFonts w:ascii="Times New Roman" w:hAnsi="Times New Roman" w:eastAsia="Times New Roman" w:cs="Times New Roman"/>
          <w:b/>
          <w:bCs/>
          <w:sz w:val="24"/>
          <w:szCs w:val="24"/>
        </w:rPr>
        <w:t>Methodology/Approach</w:t>
      </w:r>
      <w:r>
        <w:rPr>
          <w:rFonts w:ascii="Times New Roman" w:hAnsi="Times New Roman" w:eastAsia="Times New Roman" w:cs="Times New Roman"/>
          <w:sz w:val="24"/>
          <w:szCs w:val="24"/>
        </w:rPr>
        <w:t>: Action research and Case stu</w:t>
      </w:r>
      <w:r>
        <w:rPr>
          <w:rFonts w:ascii="Times New Roman" w:hAnsi="Times New Roman" w:eastAsia="Times New Roman" w:cs="Times New Roman"/>
          <w:spacing w:val="-1"/>
          <w:sz w:val="24"/>
          <w:szCs w:val="24"/>
        </w:rPr>
        <w:t>dy</w:t>
      </w:r>
    </w:p>
    <w:p>
      <w:pPr>
        <w:spacing w:before="198" w:line="228" w:lineRule="auto"/>
        <w:ind w:left="1396"/>
        <w:rPr>
          <w:rFonts w:ascii="Times New Roman" w:hAnsi="Times New Roman" w:eastAsia="Times New Roman" w:cs="Times New Roman"/>
          <w:sz w:val="24"/>
          <w:szCs w:val="24"/>
        </w:rPr>
      </w:pPr>
      <w:r>
        <w:rPr>
          <w:rFonts w:ascii="Times New Roman" w:hAnsi="Times New Roman" w:eastAsia="Times New Roman" w:cs="Times New Roman"/>
          <w:b/>
          <w:bCs/>
          <w:sz w:val="24"/>
          <w:szCs w:val="24"/>
        </w:rPr>
        <w:t>Findings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We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show</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result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mapped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processes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Higher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Education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Institution</w:t>
      </w:r>
      <w:r>
        <w:rPr>
          <w:rFonts w:ascii="Times New Roman" w:hAnsi="Times New Roman" w:eastAsia="Times New Roman" w:cs="Times New Roman"/>
          <w:spacing w:val="2"/>
          <w:sz w:val="24"/>
          <w:szCs w:val="24"/>
        </w:rPr>
        <w:t>;</w:t>
      </w:r>
    </w:p>
    <w:p>
      <w:pPr>
        <w:spacing w:before="35" w:line="228" w:lineRule="auto"/>
        <w:ind w:left="1395"/>
        <w:rPr>
          <w:rFonts w:ascii="Times New Roman" w:hAnsi="Times New Roman" w:eastAsia="Times New Roman" w:cs="Times New Roman"/>
          <w:sz w:val="24"/>
          <w:szCs w:val="24"/>
        </w:rPr>
      </w:pPr>
      <w:r>
        <w:rPr>
          <w:rFonts w:ascii="Times New Roman" w:hAnsi="Times New Roman" w:eastAsia="Times New Roman" w:cs="Times New Roman"/>
          <w:sz w:val="24"/>
          <w:szCs w:val="24"/>
        </w:rPr>
        <w:t>Management planning and control, Education, Research and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Suppo</w:t>
      </w:r>
      <w:r>
        <w:rPr>
          <w:rFonts w:ascii="Times New Roman" w:hAnsi="Times New Roman" w:eastAsia="Times New Roman" w:cs="Times New Roman"/>
          <w:spacing w:val="-1"/>
          <w:sz w:val="24"/>
          <w:szCs w:val="24"/>
        </w:rPr>
        <w:t>rt, and describe how</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w:t>
      </w:r>
    </w:p>
    <w:p>
      <w:pPr>
        <w:spacing w:before="34" w:line="243" w:lineRule="auto"/>
        <w:ind w:left="1392" w:right="174"/>
        <w:rPr>
          <w:rFonts w:ascii="Times New Roman" w:hAnsi="Times New Roman" w:eastAsia="Times New Roman" w:cs="Times New Roman"/>
          <w:sz w:val="24"/>
          <w:szCs w:val="24"/>
        </w:rPr>
      </w:pPr>
      <w:r>
        <w:rPr>
          <w:rFonts w:ascii="Times New Roman" w:hAnsi="Times New Roman" w:eastAsia="Times New Roman" w:cs="Times New Roman"/>
          <w:sz w:val="24"/>
          <w:szCs w:val="24"/>
        </w:rPr>
        <w:t>mapping was performed, working in cross functional teams. Further on we discuss the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result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 the pilot and the plan for implementatio</w:t>
      </w:r>
      <w:r>
        <w:rPr>
          <w:rFonts w:ascii="Times New Roman" w:hAnsi="Times New Roman" w:eastAsia="Times New Roman" w:cs="Times New Roman"/>
          <w:spacing w:val="-1"/>
          <w:sz w:val="24"/>
          <w:szCs w:val="24"/>
        </w:rPr>
        <w:t>n.</w:t>
      </w:r>
    </w:p>
    <w:p>
      <w:pPr>
        <w:spacing w:before="198" w:line="248" w:lineRule="auto"/>
        <w:ind w:left="1392" w:right="401" w:firstLine="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Originality/Value of</w:t>
      </w:r>
      <w:r>
        <w:rPr>
          <w:rFonts w:ascii="Times New Roman" w:hAnsi="Times New Roman" w:eastAsia="Times New Roman" w:cs="Times New Roman"/>
          <w:b/>
          <w:bCs/>
          <w:spacing w:val="-11"/>
          <w:sz w:val="24"/>
          <w:szCs w:val="24"/>
        </w:rPr>
        <w:t xml:space="preserve"> </w:t>
      </w:r>
      <w:r>
        <w:rPr>
          <w:rFonts w:ascii="Times New Roman" w:hAnsi="Times New Roman" w:eastAsia="Times New Roman" w:cs="Times New Roman"/>
          <w:b/>
          <w:bCs/>
          <w:sz w:val="24"/>
          <w:szCs w:val="24"/>
        </w:rPr>
        <w:t>paper</w:t>
      </w:r>
      <w:r>
        <w:rPr>
          <w:rFonts w:ascii="Times New Roman" w:hAnsi="Times New Roman" w:eastAsia="Times New Roman" w:cs="Times New Roman"/>
          <w:sz w:val="24"/>
          <w:szCs w:val="24"/>
        </w:rPr>
        <w:t>: A process-oriented approach in a Higher education</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institutio</w:t>
      </w:r>
      <w:r>
        <w:rPr>
          <w:rFonts w:ascii="Times New Roman" w:hAnsi="Times New Roman" w:eastAsia="Times New Roman" w:cs="Times New Roman"/>
          <w:spacing w:val="-1"/>
          <w:sz w:val="24"/>
          <w:szCs w:val="24"/>
        </w:rPr>
        <w:t>ns,</w:t>
      </w:r>
      <w:r>
        <w:rPr>
          <w:rFonts w:ascii="Times New Roman" w:hAnsi="Times New Roman" w:eastAsia="Times New Roman" w:cs="Times New Roman"/>
          <w:sz w:val="24"/>
          <w:szCs w:val="24"/>
        </w:rPr>
        <w:t xml:space="preserve"> with its complexity, create</w:t>
      </w:r>
      <w:r>
        <w:rPr>
          <w:rFonts w:ascii="Times New Roman" w:hAnsi="Times New Roman" w:eastAsia="Times New Roman" w:cs="Times New Roman"/>
          <w:spacing w:val="-1"/>
          <w:sz w:val="24"/>
          <w:szCs w:val="24"/>
        </w:rPr>
        <w:t>s opportunities for successful</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quality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assurance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control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 xml:space="preserve">when   </w:t>
      </w:r>
      <w:r>
        <w:rPr>
          <w:rFonts w:ascii="Times New Roman" w:hAnsi="Times New Roman" w:eastAsia="Times New Roman" w:cs="Times New Roman"/>
          <w:sz w:val="24"/>
          <w:szCs w:val="24"/>
        </w:rPr>
        <w:t>having an integrated quality a</w:t>
      </w:r>
      <w:r>
        <w:rPr>
          <w:rFonts w:ascii="Times New Roman" w:hAnsi="Times New Roman" w:eastAsia="Times New Roman" w:cs="Times New Roman"/>
          <w:spacing w:val="-1"/>
          <w:sz w:val="24"/>
          <w:szCs w:val="24"/>
        </w:rPr>
        <w:t>ssurance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system.</w:t>
      </w:r>
    </w:p>
    <w:p>
      <w:pPr>
        <w:spacing w:before="243" w:line="223" w:lineRule="auto"/>
        <w:ind w:left="1388" w:right="185" w:firstLine="8"/>
        <w:rPr>
          <w:rFonts w:ascii="Times New Roman" w:hAnsi="Times New Roman" w:eastAsia="Times New Roman" w:cs="Times New Roman"/>
          <w:sz w:val="24"/>
          <w:szCs w:val="24"/>
        </w:rPr>
      </w:pPr>
      <w:r>
        <w:rPr>
          <w:rFonts w:ascii="Times New Roman" w:hAnsi="Times New Roman" w:eastAsia="Times New Roman" w:cs="Times New Roman"/>
          <w:b/>
          <w:bCs/>
          <w:sz w:val="24"/>
          <w:szCs w:val="24"/>
        </w:rPr>
        <w:t>Keywords</w:t>
      </w:r>
      <w:r>
        <w:rPr>
          <w:rFonts w:ascii="Times New Roman" w:hAnsi="Times New Roman" w:eastAsia="Times New Roman" w:cs="Times New Roman"/>
          <w:sz w:val="24"/>
          <w:szCs w:val="24"/>
        </w:rPr>
        <w:t>: Process Management, Higher Education, Quality Assurance, Quality Mana</w:t>
      </w:r>
      <w:r>
        <w:rPr>
          <w:rFonts w:ascii="Times New Roman" w:hAnsi="Times New Roman" w:eastAsia="Times New Roman" w:cs="Times New Roman"/>
          <w:spacing w:val="-1"/>
          <w:sz w:val="24"/>
          <w:szCs w:val="24"/>
        </w:rPr>
        <w:t>gement,</w:t>
      </w:r>
      <w:r>
        <w:rPr>
          <w:rFonts w:ascii="Times New Roman" w:hAnsi="Times New Roman" w:eastAsia="Times New Roman" w:cs="Times New Roman"/>
          <w:sz w:val="24"/>
          <w:szCs w:val="24"/>
        </w:rPr>
        <w:t xml:space="preserve"> New Public Management, Work Integrated Learning</w:t>
      </w:r>
    </w:p>
    <w:p>
      <w:pPr>
        <w:spacing w:before="194" w:line="228" w:lineRule="auto"/>
        <w:ind w:left="139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Paper type</w:t>
      </w:r>
      <w:r>
        <w:rPr>
          <w:rFonts w:ascii="Times New Roman" w:hAnsi="Times New Roman" w:eastAsia="Times New Roman" w:cs="Times New Roman"/>
          <w:sz w:val="24"/>
          <w:szCs w:val="24"/>
        </w:rPr>
        <w:t>: Research</w:t>
      </w:r>
      <w:r>
        <w:rPr>
          <w:rFonts w:ascii="Times New Roman" w:hAnsi="Times New Roman" w:eastAsia="Times New Roman" w:cs="Times New Roman"/>
          <w:spacing w:val="-1"/>
          <w:sz w:val="24"/>
          <w:szCs w:val="24"/>
        </w:rPr>
        <w:t xml:space="preserve"> paper and Case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1"/>
          <w:sz w:val="24"/>
          <w:szCs w:val="24"/>
        </w:rPr>
        <w:t>Study</w:t>
      </w:r>
    </w:p>
    <w:p>
      <w:pPr>
        <w:spacing w:before="196" w:line="228" w:lineRule="auto"/>
        <w:ind w:left="1392"/>
        <w:rPr>
          <w:rFonts w:ascii="Times New Roman" w:hAnsi="Times New Roman" w:eastAsia="Times New Roman" w:cs="Times New Roman"/>
          <w:sz w:val="24"/>
          <w:szCs w:val="24"/>
        </w:rPr>
      </w:pPr>
      <w:r>
        <w:rPr>
          <w:rFonts w:ascii="Times New Roman" w:hAnsi="Times New Roman" w:eastAsia="Times New Roman" w:cs="Times New Roman"/>
          <w:sz w:val="24"/>
          <w:szCs w:val="24"/>
        </w:rPr>
        <w:t>At University West,</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Sweden, there is an ongoing innovative process for buil</w:t>
      </w:r>
      <w:r>
        <w:rPr>
          <w:rFonts w:ascii="Times New Roman" w:hAnsi="Times New Roman" w:eastAsia="Times New Roman" w:cs="Times New Roman"/>
          <w:spacing w:val="-1"/>
          <w:sz w:val="24"/>
          <w:szCs w:val="24"/>
        </w:rPr>
        <w:t>ding a quality</w:t>
      </w:r>
    </w:p>
    <w:p>
      <w:pPr>
        <w:spacing w:before="14"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z w:val="24"/>
          <w:szCs w:val="24"/>
        </w:rPr>
        <w:t>culture and a sustainable way of</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working.</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 xml:space="preserve">Since autumn 2014 there has </w:t>
      </w:r>
      <w:r>
        <w:rPr>
          <w:rFonts w:ascii="Times New Roman" w:hAnsi="Times New Roman" w:eastAsia="Times New Roman" w:cs="Times New Roman"/>
          <w:spacing w:val="-1"/>
          <w:sz w:val="24"/>
          <w:szCs w:val="24"/>
        </w:rPr>
        <w:t>been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comprehensive</w:t>
      </w:r>
    </w:p>
    <w:p>
      <w:pPr>
        <w:spacing w:before="13" w:line="228"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work to identify and map the following processes; Management planning and control, Educa</w:t>
      </w:r>
      <w:r>
        <w:rPr>
          <w:rFonts w:ascii="Times New Roman" w:hAnsi="Times New Roman" w:eastAsia="Times New Roman" w:cs="Times New Roman"/>
          <w:spacing w:val="-1"/>
          <w:sz w:val="24"/>
          <w:szCs w:val="24"/>
        </w:rPr>
        <w:t>tion,</w:t>
      </w:r>
    </w:p>
    <w:p>
      <w:pPr>
        <w:spacing w:before="14" w:line="228" w:lineRule="auto"/>
        <w:ind w:left="1395"/>
        <w:rPr>
          <w:rFonts w:ascii="Times New Roman" w:hAnsi="Times New Roman" w:eastAsia="Times New Roman" w:cs="Times New Roman"/>
          <w:sz w:val="24"/>
          <w:szCs w:val="24"/>
        </w:rPr>
      </w:pPr>
      <w:r>
        <w:rPr>
          <w:rFonts w:ascii="Times New Roman" w:hAnsi="Times New Roman" w:eastAsia="Times New Roman" w:cs="Times New Roman"/>
          <w:sz w:val="24"/>
          <w:szCs w:val="24"/>
        </w:rPr>
        <w:t>Research and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Support. During the process mapping, in orde</w:t>
      </w:r>
      <w:r>
        <w:rPr>
          <w:rFonts w:ascii="Times New Roman" w:hAnsi="Times New Roman" w:eastAsia="Times New Roman" w:cs="Times New Roman"/>
          <w:spacing w:val="-1"/>
          <w:sz w:val="24"/>
          <w:szCs w:val="24"/>
        </w:rPr>
        <w:t>r to create a</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cross-functional</w:t>
      </w:r>
    </w:p>
    <w:p>
      <w:pPr>
        <w:spacing w:before="14" w:line="237" w:lineRule="auto"/>
        <w:ind w:left="1393" w:right="60" w:firstLine="6"/>
        <w:rPr>
          <w:rFonts w:ascii="Times New Roman" w:hAnsi="Times New Roman" w:eastAsia="Times New Roman" w:cs="Times New Roman"/>
          <w:sz w:val="24"/>
          <w:szCs w:val="24"/>
        </w:rPr>
      </w:pPr>
      <w:r>
        <w:rPr>
          <w:rFonts w:ascii="Times New Roman" w:hAnsi="Times New Roman" w:eastAsia="Times New Roman" w:cs="Times New Roman"/>
          <w:sz w:val="24"/>
          <w:szCs w:val="24"/>
        </w:rPr>
        <w:t>approach, participants from different areas and functions within the Unive</w:t>
      </w:r>
      <w:r>
        <w:rPr>
          <w:rFonts w:ascii="Times New Roman" w:hAnsi="Times New Roman" w:eastAsia="Times New Roman" w:cs="Times New Roman"/>
          <w:spacing w:val="-1"/>
          <w:sz w:val="24"/>
          <w:szCs w:val="24"/>
        </w:rPr>
        <w:t xml:space="preserve">rsity participated. To   </w:t>
      </w:r>
      <w:r>
        <w:rPr>
          <w:rFonts w:ascii="Times New Roman" w:hAnsi="Times New Roman" w:eastAsia="Times New Roman" w:cs="Times New Roman"/>
          <w:sz w:val="24"/>
          <w:szCs w:val="24"/>
        </w:rPr>
        <w:t>consider different perspectives and point 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views personal competences and exper</w:t>
      </w:r>
      <w:r>
        <w:rPr>
          <w:rFonts w:ascii="Times New Roman" w:hAnsi="Times New Roman" w:eastAsia="Times New Roman" w:cs="Times New Roman"/>
          <w:spacing w:val="-1"/>
          <w:sz w:val="24"/>
          <w:szCs w:val="24"/>
        </w:rPr>
        <w:t xml:space="preserve">iences were    </w:t>
      </w:r>
      <w:r>
        <w:rPr>
          <w:rFonts w:ascii="Times New Roman" w:hAnsi="Times New Roman" w:eastAsia="Times New Roman" w:cs="Times New Roman"/>
          <w:sz w:val="24"/>
          <w:szCs w:val="24"/>
        </w:rPr>
        <w:t>taken into consideration when establishing the groups. The approach has bee</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frequent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meetings</w:t>
      </w:r>
      <w:r>
        <w:rPr>
          <w:rFonts w:ascii="Times New Roman" w:hAnsi="Times New Roman" w:eastAsia="Times New Roman" w:cs="Times New Roman"/>
          <w:sz w:val="24"/>
          <w:szCs w:val="24"/>
        </w:rPr>
        <w:t xml:space="preserve"> in workshops where the participants have contributed with their personal and organization</w:t>
      </w:r>
      <w:r>
        <w:rPr>
          <w:rFonts w:ascii="Times New Roman" w:hAnsi="Times New Roman" w:eastAsia="Times New Roman" w:cs="Times New Roman"/>
          <w:spacing w:val="-1"/>
          <w:sz w:val="24"/>
          <w:szCs w:val="24"/>
        </w:rPr>
        <w:t>al</w:t>
      </w:r>
    </w:p>
    <w:p>
      <w:pPr>
        <w:spacing w:before="14" w:line="234" w:lineRule="auto"/>
        <w:ind w:left="1399" w:right="153"/>
        <w:rPr>
          <w:rFonts w:ascii="Times New Roman" w:hAnsi="Times New Roman" w:eastAsia="Times New Roman" w:cs="Times New Roman"/>
          <w:sz w:val="24"/>
          <w:szCs w:val="24"/>
        </w:rPr>
      </w:pPr>
      <w:r>
        <w:rPr>
          <w:rFonts w:ascii="Times New Roman" w:hAnsi="Times New Roman" w:eastAsia="Times New Roman" w:cs="Times New Roman"/>
          <w:sz w:val="24"/>
          <w:szCs w:val="24"/>
        </w:rPr>
        <w:t>competences when mapping the processes. The participants have shown gre</w:t>
      </w:r>
      <w:r>
        <w:rPr>
          <w:rFonts w:ascii="Times New Roman" w:hAnsi="Times New Roman" w:eastAsia="Times New Roman" w:cs="Times New Roman"/>
          <w:spacing w:val="-1"/>
          <w:sz w:val="24"/>
          <w:szCs w:val="24"/>
        </w:rPr>
        <w:t xml:space="preserve">at commitment and </w:t>
      </w:r>
      <w:r>
        <w:rPr>
          <w:rFonts w:ascii="Times New Roman" w:hAnsi="Times New Roman" w:eastAsia="Times New Roman" w:cs="Times New Roman"/>
          <w:sz w:val="24"/>
          <w:szCs w:val="24"/>
        </w:rPr>
        <w:t>engagement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during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process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received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depth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understanding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both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their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own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p>
    <w:p>
      <w:pPr>
        <w:spacing w:before="14" w:line="228" w:lineRule="auto"/>
        <w:ind w:left="1392"/>
        <w:rPr>
          <w:rFonts w:ascii="Times New Roman" w:hAnsi="Times New Roman" w:eastAsia="Times New Roman" w:cs="Times New Roman"/>
          <w:sz w:val="24"/>
          <w:szCs w:val="24"/>
        </w:rPr>
      </w:pPr>
      <w:r>
        <w:rPr>
          <w:rFonts w:ascii="Times New Roman" w:hAnsi="Times New Roman" w:eastAsia="Times New Roman" w:cs="Times New Roman"/>
          <w:sz w:val="24"/>
          <w:szCs w:val="24"/>
        </w:rPr>
        <w:t>related activities for the business as a whole. By working well integrated with bro</w:t>
      </w:r>
      <w:r>
        <w:rPr>
          <w:rFonts w:ascii="Times New Roman" w:hAnsi="Times New Roman" w:eastAsia="Times New Roman" w:cs="Times New Roman"/>
          <w:spacing w:val="-1"/>
          <w:sz w:val="24"/>
          <w:szCs w:val="24"/>
        </w:rPr>
        <w:t>ad</w:t>
      </w:r>
    </w:p>
    <w:p>
      <w:pPr>
        <w:spacing w:before="14" w:line="228" w:lineRule="auto"/>
        <w:ind w:left="1390"/>
        <w:rPr>
          <w:rFonts w:ascii="Times New Roman" w:hAnsi="Times New Roman" w:eastAsia="Times New Roman" w:cs="Times New Roman"/>
          <w:sz w:val="24"/>
          <w:szCs w:val="24"/>
        </w:rPr>
      </w:pPr>
      <w:r>
        <w:rPr>
          <w:rFonts w:ascii="Times New Roman" w:hAnsi="Times New Roman" w:eastAsia="Times New Roman" w:cs="Times New Roman"/>
          <w:sz w:val="24"/>
          <w:szCs w:val="24"/>
        </w:rPr>
        <w:t>participation, excellent conditions for a new process-oriented approach will be created.</w:t>
      </w:r>
    </w:p>
    <w:p>
      <w:pPr>
        <w:spacing w:before="131" w:line="238" w:lineRule="auto"/>
        <w:ind w:left="1392" w:right="145" w:firstLine="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During this mapping the complexity of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 University´s activities became obvious. The process mapping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resulted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common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view</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complexity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business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contributed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give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 xml:space="preserve">a holistic view by increased understanding for how the details interacts. </w:t>
      </w:r>
      <w:r>
        <w:rPr>
          <w:rFonts w:ascii="Times New Roman" w:hAnsi="Times New Roman" w:eastAsia="Times New Roman" w:cs="Times New Roman"/>
          <w:spacing w:val="-1"/>
          <w:sz w:val="24"/>
          <w:szCs w:val="24"/>
        </w:rPr>
        <w:t>It also became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 xml:space="preserve">clear that  </w:t>
      </w:r>
      <w:r>
        <w:rPr>
          <w:rFonts w:ascii="Times New Roman" w:hAnsi="Times New Roman" w:eastAsia="Times New Roman" w:cs="Times New Roman"/>
          <w:sz w:val="24"/>
          <w:szCs w:val="24"/>
        </w:rPr>
        <w:t>the complexity could be explained through “Standards</w:t>
      </w:r>
      <w:r>
        <w:rPr>
          <w:rFonts w:ascii="Times New Roman" w:hAnsi="Times New Roman" w:eastAsia="Times New Roman" w:cs="Times New Roman"/>
          <w:spacing w:val="-1"/>
          <w:sz w:val="24"/>
          <w:szCs w:val="24"/>
        </w:rPr>
        <w:t xml:space="preserve"> and guidelines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for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 xml:space="preserve">Quality Assurance in  </w:t>
      </w:r>
      <w:r>
        <w:rPr>
          <w:rFonts w:ascii="Times New Roman" w:hAnsi="Times New Roman" w:eastAsia="Times New Roman" w:cs="Times New Roman"/>
          <w:sz w:val="24"/>
          <w:szCs w:val="24"/>
        </w:rPr>
        <w:t xml:space="preserve">the European Higher Education Area”, ESG </w:t>
      </w:r>
      <w:r>
        <w:rPr>
          <w:rFonts w:ascii="Times New Roman" w:hAnsi="Times New Roman" w:eastAsia="Times New Roman" w:cs="Times New Roman"/>
          <w:spacing w:val="-1"/>
          <w:sz w:val="24"/>
          <w:szCs w:val="24"/>
        </w:rPr>
        <w:t>2015.</w:t>
      </w:r>
    </w:p>
    <w:p>
      <w:pPr>
        <w:spacing w:before="135" w:line="228" w:lineRule="auto"/>
        <w:ind w:left="1398"/>
        <w:rPr>
          <w:rFonts w:ascii="Times New Roman" w:hAnsi="Times New Roman" w:eastAsia="Times New Roman" w:cs="Times New Roman"/>
          <w:sz w:val="24"/>
          <w:szCs w:val="24"/>
        </w:rPr>
      </w:pPr>
      <w:r>
        <w:rPr>
          <w:rFonts w:ascii="Times New Roman" w:hAnsi="Times New Roman" w:eastAsia="Times New Roman" w:cs="Times New Roman"/>
          <w:sz w:val="24"/>
          <w:szCs w:val="24"/>
        </w:rPr>
        <w:t>This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means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implementation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new</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process</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oriented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approach</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would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be</w:t>
      </w:r>
    </w:p>
    <w:p>
      <w:pPr>
        <w:spacing w:before="13" w:line="255" w:lineRule="auto"/>
        <w:ind w:left="1399" w:right="197" w:firstLine="3"/>
        <w:rPr>
          <w:rFonts w:ascii="Times New Roman" w:hAnsi="Times New Roman" w:eastAsia="Times New Roman" w:cs="Times New Roman"/>
          <w:sz w:val="24"/>
          <w:szCs w:val="24"/>
        </w:rPr>
      </w:pPr>
      <w:r>
        <w:rPr>
          <w:rFonts w:ascii="Times New Roman" w:hAnsi="Times New Roman" w:eastAsia="Times New Roman" w:cs="Times New Roman"/>
          <w:sz w:val="24"/>
          <w:szCs w:val="24"/>
        </w:rPr>
        <w:t>successful, then the effective and transparent mapped processes create opportu</w:t>
      </w:r>
      <w:r>
        <w:rPr>
          <w:rFonts w:ascii="Times New Roman" w:hAnsi="Times New Roman" w:eastAsia="Times New Roman" w:cs="Times New Roman"/>
          <w:spacing w:val="-1"/>
          <w:sz w:val="24"/>
          <w:szCs w:val="24"/>
        </w:rPr>
        <w:t>nities for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quality</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assurance and control.</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1" w:line="213" w:lineRule="exact"/>
        <w:ind w:firstLine="1151"/>
      </w:pPr>
      <w:r>
        <w:rPr>
          <w:position w:val="-4"/>
        </w:rPr>
        <w:drawing>
          <wp:inline distT="0" distB="0" distL="0" distR="0">
            <wp:extent cx="1849120" cy="13462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1130" w:bottom="100" w:left="48" w:header="0" w:footer="0" w:gutter="0"/>
          <w:cols w:space="720" w:num="1"/>
        </w:sectPr>
      </w:pPr>
    </w:p>
    <w:p>
      <w:pPr>
        <w:spacing w:line="251" w:lineRule="auto"/>
        <w:rPr>
          <w:rFonts w:ascii="Arial"/>
          <w:sz w:val="21"/>
        </w:rPr>
      </w:pPr>
      <w:r>
        <mc:AlternateContent>
          <mc:Choice Requires="wps">
            <w:drawing>
              <wp:anchor distT="0" distB="0" distL="0" distR="0" simplePos="0" relativeHeight="251752448"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160" name="TextBox 160"/>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0" o:spid="_x0000_s1026" o:spt="202" type="#_x0000_t202" style="position:absolute;left:0pt;margin-left:-120.15pt;margin-top:416.25pt;height:9.3pt;width:252.55pt;mso-position-horizontal-relative:page;mso-position-vertical-relative:page;rotation:-5898240f;z-index:251752448;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flfLbAAAADAEAAA8AAAAAAAAAAQAgAAAAIgAAAGRycy9kb3du&#10;cmV2LnhtbFBLAQIUABQAAAAIAIdO4kAbdoFENQIAAHEEAAAOAAAAAAAAAAEAIAAAACoBAABkcnMv&#10;ZTJvRG9jLnhtbFBLBQYAAAAABgAGAFkBAADRBQ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80" w:line="187" w:lineRule="auto"/>
        <w:ind w:left="1396"/>
        <w:rPr>
          <w:rFonts w:ascii="Times New Roman" w:hAnsi="Times New Roman" w:eastAsia="Times New Roman" w:cs="Times New Roman"/>
          <w:sz w:val="28"/>
          <w:szCs w:val="28"/>
        </w:rPr>
      </w:pPr>
      <w:r>
        <w:rPr>
          <w:rFonts w:ascii="Times New Roman" w:hAnsi="Times New Roman" w:eastAsia="Times New Roman" w:cs="Times New Roman"/>
          <w:b/>
          <w:bCs/>
          <w:spacing w:val="-1"/>
          <w:sz w:val="28"/>
          <w:szCs w:val="28"/>
        </w:rPr>
        <w:t>Introduction</w:t>
      </w:r>
    </w:p>
    <w:p>
      <w:pPr>
        <w:spacing w:before="38" w:line="228" w:lineRule="auto"/>
        <w:ind w:left="1398"/>
        <w:rPr>
          <w:rFonts w:ascii="Times New Roman" w:hAnsi="Times New Roman" w:eastAsia="Times New Roman" w:cs="Times New Roman"/>
          <w:sz w:val="24"/>
          <w:szCs w:val="24"/>
        </w:rPr>
      </w:pPr>
      <w:r>
        <w:rPr>
          <w:rFonts w:ascii="Times New Roman" w:hAnsi="Times New Roman" w:eastAsia="Times New Roman" w:cs="Times New Roman"/>
          <w:sz w:val="24"/>
          <w:szCs w:val="24"/>
        </w:rPr>
        <w:t>This paper describes the challenges in Public sectors 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today 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suggests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how</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Higher</w:t>
      </w:r>
    </w:p>
    <w:p>
      <w:pPr>
        <w:spacing w:before="36" w:line="243" w:lineRule="auto"/>
        <w:ind w:left="1402" w:right="34" w:hanging="6"/>
        <w:rPr>
          <w:rFonts w:ascii="Times New Roman" w:hAnsi="Times New Roman" w:eastAsia="Times New Roman" w:cs="Times New Roman"/>
          <w:sz w:val="24"/>
          <w:szCs w:val="24"/>
        </w:rPr>
      </w:pPr>
      <w:r>
        <w:rPr>
          <w:rFonts w:ascii="Times New Roman" w:hAnsi="Times New Roman" w:eastAsia="Times New Roman" w:cs="Times New Roman"/>
          <w:sz w:val="24"/>
          <w:szCs w:val="24"/>
        </w:rPr>
        <w:t>Education Institutions (HEI) can tackle requir</w:t>
      </w:r>
      <w:r>
        <w:rPr>
          <w:rFonts w:ascii="Times New Roman" w:hAnsi="Times New Roman" w:eastAsia="Times New Roman" w:cs="Times New Roman"/>
          <w:spacing w:val="-1"/>
          <w:sz w:val="24"/>
          <w:szCs w:val="24"/>
        </w:rPr>
        <w:t>ements such as being more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cost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effective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z w:val="24"/>
          <w:szCs w:val="24"/>
        </w:rPr>
        <w:t xml:space="preserve"> same time maintain or enhance the quality 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the education and research.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authors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discuss</w:t>
      </w:r>
    </w:p>
    <w:p>
      <w:pPr>
        <w:spacing w:before="33" w:line="249" w:lineRule="auto"/>
        <w:ind w:left="1391" w:right="347" w:firstLine="8"/>
        <w:rPr>
          <w:rFonts w:ascii="Times New Roman" w:hAnsi="Times New Roman" w:eastAsia="Times New Roman" w:cs="Times New Roman"/>
          <w:sz w:val="24"/>
          <w:szCs w:val="24"/>
        </w:rPr>
      </w:pPr>
      <w:r>
        <w:rPr>
          <w:rFonts w:ascii="Times New Roman" w:hAnsi="Times New Roman" w:eastAsia="Times New Roman" w:cs="Times New Roman"/>
          <w:sz w:val="24"/>
          <w:szCs w:val="24"/>
        </w:rPr>
        <w:t>Quality Management (QM) in HEI and show ho</w:t>
      </w:r>
      <w:r>
        <w:rPr>
          <w:rFonts w:ascii="Times New Roman" w:hAnsi="Times New Roman" w:eastAsia="Times New Roman" w:cs="Times New Roman"/>
          <w:spacing w:val="-1"/>
          <w:sz w:val="24"/>
          <w:szCs w:val="24"/>
        </w:rPr>
        <w:t>w QM help building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quality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culture.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case</w:t>
      </w:r>
      <w:r>
        <w:rPr>
          <w:rFonts w:ascii="Times New Roman" w:hAnsi="Times New Roman" w:eastAsia="Times New Roman" w:cs="Times New Roman"/>
          <w:sz w:val="24"/>
          <w:szCs w:val="24"/>
        </w:rPr>
        <w:t xml:space="preserve">  study from HEI is described and findings from this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re presented.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Findings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indicate that</w:t>
      </w:r>
      <w:r>
        <w:rPr>
          <w:rFonts w:ascii="Times New Roman" w:hAnsi="Times New Roman" w:eastAsia="Times New Roman" w:cs="Times New Roman"/>
          <w:sz w:val="24"/>
          <w:szCs w:val="24"/>
        </w:rPr>
        <w:t xml:space="preserve"> using cross functional teams with a systematic approach</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(WIL-mode</w:t>
      </w:r>
      <w:r>
        <w:rPr>
          <w:rFonts w:ascii="Times New Roman" w:hAnsi="Times New Roman" w:eastAsia="Times New Roman" w:cs="Times New Roman"/>
          <w:spacing w:val="-1"/>
          <w:sz w:val="24"/>
          <w:szCs w:val="24"/>
        </w:rPr>
        <w:t>l) when mapping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core</w:t>
      </w:r>
    </w:p>
    <w:p>
      <w:pPr>
        <w:spacing w:before="37" w:line="242" w:lineRule="auto"/>
        <w:ind w:left="1398" w:right="601" w:hanging="8"/>
        <w:rPr>
          <w:rFonts w:ascii="Times New Roman" w:hAnsi="Times New Roman" w:eastAsia="Times New Roman" w:cs="Times New Roman"/>
          <w:sz w:val="24"/>
          <w:szCs w:val="24"/>
        </w:rPr>
      </w:pPr>
      <w:r>
        <w:rPr>
          <w:rFonts w:ascii="Times New Roman" w:hAnsi="Times New Roman" w:eastAsia="Times New Roman" w:cs="Times New Roman"/>
          <w:sz w:val="24"/>
          <w:szCs w:val="24"/>
        </w:rPr>
        <w:t>processes, help the organization to build a learning organization with dedicated</w:t>
      </w:r>
      <w:r>
        <w:rPr>
          <w:rFonts w:ascii="Times New Roman" w:hAnsi="Times New Roman" w:eastAsia="Times New Roman" w:cs="Times New Roman"/>
          <w:spacing w:val="-1"/>
          <w:sz w:val="24"/>
          <w:szCs w:val="24"/>
        </w:rPr>
        <w:t xml:space="preserve"> leaders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quality assured processes.</w:t>
      </w:r>
    </w:p>
    <w:p>
      <w:pPr>
        <w:spacing w:before="257" w:line="187" w:lineRule="auto"/>
        <w:ind w:left="1401"/>
        <w:rPr>
          <w:rFonts w:ascii="Times New Roman" w:hAnsi="Times New Roman" w:eastAsia="Times New Roman" w:cs="Times New Roman"/>
          <w:sz w:val="28"/>
          <w:szCs w:val="28"/>
        </w:rPr>
      </w:pPr>
      <w:r>
        <w:rPr>
          <w:rFonts w:ascii="Times New Roman" w:hAnsi="Times New Roman" w:eastAsia="Times New Roman" w:cs="Times New Roman"/>
          <w:b/>
          <w:bCs/>
          <w:sz w:val="28"/>
          <w:szCs w:val="28"/>
        </w:rPr>
        <w:t>Quality in Public Sectors and Higher Education I</w:t>
      </w:r>
      <w:r>
        <w:rPr>
          <w:rFonts w:ascii="Times New Roman" w:hAnsi="Times New Roman" w:eastAsia="Times New Roman" w:cs="Times New Roman"/>
          <w:b/>
          <w:bCs/>
          <w:spacing w:val="-1"/>
          <w:sz w:val="28"/>
          <w:szCs w:val="28"/>
        </w:rPr>
        <w:t>nstitutions</w:t>
      </w:r>
    </w:p>
    <w:p>
      <w:pPr>
        <w:spacing w:before="38"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z w:val="24"/>
          <w:szCs w:val="24"/>
        </w:rPr>
        <w:t>Quality in Higher Education Institutions (HEI)</w:t>
      </w:r>
      <w:r>
        <w:rPr>
          <w:rFonts w:ascii="Times New Roman" w:hAnsi="Times New Roman" w:eastAsia="Times New Roman" w:cs="Times New Roman"/>
          <w:spacing w:val="-1"/>
          <w:sz w:val="24"/>
          <w:szCs w:val="24"/>
        </w:rPr>
        <w:t xml:space="preserve"> has always been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an important matter.</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It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is</w:t>
      </w:r>
    </w:p>
    <w:p>
      <w:pPr>
        <w:spacing w:before="33" w:line="254" w:lineRule="auto"/>
        <w:ind w:left="1393" w:right="88" w:firstLine="5"/>
        <w:rPr>
          <w:rFonts w:ascii="Times New Roman" w:hAnsi="Times New Roman" w:eastAsia="Times New Roman" w:cs="Times New Roman"/>
          <w:sz w:val="24"/>
          <w:szCs w:val="24"/>
        </w:rPr>
      </w:pPr>
      <w:r>
        <w:rPr>
          <w:rFonts w:ascii="Times New Roman" w:hAnsi="Times New Roman" w:eastAsia="Times New Roman" w:cs="Times New Roman"/>
          <w:sz w:val="24"/>
          <w:szCs w:val="24"/>
        </w:rPr>
        <w:t>obvious and natural to assess education (i.</w:t>
      </w:r>
      <w:r>
        <w:rPr>
          <w:rFonts w:ascii="Times New Roman" w:hAnsi="Times New Roman" w:eastAsia="Times New Roman" w:cs="Times New Roman"/>
          <w:spacing w:val="-1"/>
          <w:sz w:val="24"/>
          <w:szCs w:val="24"/>
        </w:rPr>
        <w:t>e. courses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study programmes)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and research.</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Thus</w:t>
      </w:r>
      <w:r>
        <w:rPr>
          <w:rFonts w:ascii="Times New Roman" w:hAnsi="Times New Roman" w:eastAsia="Times New Roman" w:cs="Times New Roman"/>
          <w:sz w:val="24"/>
          <w:szCs w:val="24"/>
        </w:rPr>
        <w:t xml:space="preserve">  there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long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tradition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how</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evaluate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followup</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improve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education</w:t>
      </w:r>
      <w:r>
        <w:rPr>
          <w:rFonts w:ascii="Times New Roman" w:hAnsi="Times New Roman" w:eastAsia="Times New Roman" w:cs="Times New Roman"/>
          <w:spacing w:val="1"/>
          <w:sz w:val="24"/>
          <w:szCs w:val="24"/>
        </w:rPr>
        <w: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there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  similar tradition in evaluation, using for example peer reviews (</w:t>
      </w:r>
      <w:r>
        <w:rPr>
          <w:rFonts w:ascii="Times New Roman" w:hAnsi="Times New Roman" w:eastAsia="Times New Roman" w:cs="Times New Roman"/>
          <w:sz w:val="24"/>
          <w:szCs w:val="24"/>
          <w:u w:val="single" w:color="auto"/>
        </w:rPr>
        <w:t>Höglund, 2015</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Despite the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fact</w:t>
      </w:r>
      <w:r>
        <w:rPr>
          <w:rFonts w:ascii="Times New Roman" w:hAnsi="Times New Roman" w:eastAsia="Times New Roman" w:cs="Times New Roman"/>
          <w:sz w:val="24"/>
          <w:szCs w:val="24"/>
        </w:rPr>
        <w:t xml:space="preserve"> that it is obvious to evalu</w:t>
      </w:r>
      <w:r>
        <w:rPr>
          <w:rFonts w:ascii="Times New Roman" w:hAnsi="Times New Roman" w:eastAsia="Times New Roman" w:cs="Times New Roman"/>
          <w:spacing w:val="-1"/>
          <w:sz w:val="24"/>
          <w:szCs w:val="24"/>
        </w:rPr>
        <w:t>ate education 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research</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(i.e.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“product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quality”)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there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is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often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     lack</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evaluation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assessment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way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working</w:t>
      </w:r>
      <w:r>
        <w:rPr>
          <w:rFonts w:ascii="Times New Roman" w:hAnsi="Times New Roman" w:eastAsia="Times New Roman" w:cs="Times New Roman"/>
          <w:spacing w:val="1"/>
          <w:sz w:val="24"/>
          <w:szCs w:val="24"/>
        </w:rPr>
        <w:t xml:space="preserve"> (i.e.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process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quality</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weak</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ability to implement changes, within higher education, i.e. there is no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qua</w:t>
      </w:r>
      <w:r>
        <w:rPr>
          <w:rFonts w:ascii="Times New Roman" w:hAnsi="Times New Roman" w:eastAsia="Times New Roman" w:cs="Times New Roman"/>
          <w:spacing w:val="-1"/>
          <w:sz w:val="24"/>
          <w:szCs w:val="24"/>
        </w:rPr>
        <w:t>lity culture.</w:t>
      </w:r>
    </w:p>
    <w:p>
      <w:pPr>
        <w:spacing w:before="195" w:line="249" w:lineRule="auto"/>
        <w:ind w:left="1393" w:right="119"/>
        <w:rPr>
          <w:rFonts w:ascii="Times New Roman" w:hAnsi="Times New Roman" w:eastAsia="Times New Roman" w:cs="Times New Roman"/>
          <w:sz w:val="24"/>
          <w:szCs w:val="24"/>
        </w:rPr>
      </w:pPr>
      <w:r>
        <w:rPr>
          <w:rFonts w:ascii="Times New Roman" w:hAnsi="Times New Roman" w:eastAsia="Times New Roman" w:cs="Times New Roman"/>
          <w:sz w:val="24"/>
          <w:szCs w:val="24"/>
        </w:rPr>
        <w:t>Wynen (</w:t>
      </w:r>
      <w:r>
        <w:rPr>
          <w:rFonts w:ascii="Times New Roman" w:hAnsi="Times New Roman" w:eastAsia="Times New Roman" w:cs="Times New Roman"/>
          <w:sz w:val="24"/>
          <w:szCs w:val="24"/>
          <w:u w:val="single" w:color="auto"/>
        </w:rPr>
        <w:t>Wynen, 2016</w:t>
      </w:r>
      <w:r>
        <w:rPr>
          <w:rFonts w:ascii="Times New Roman" w:hAnsi="Times New Roman" w:eastAsia="Times New Roman" w:cs="Times New Roman"/>
          <w:sz w:val="24"/>
          <w:szCs w:val="24"/>
        </w:rPr>
        <w:t>) discusses the change</w:t>
      </w:r>
      <w:r>
        <w:rPr>
          <w:rFonts w:ascii="Times New Roman" w:hAnsi="Times New Roman" w:eastAsia="Times New Roman" w:cs="Times New Roman"/>
          <w:spacing w:val="-1"/>
          <w:sz w:val="24"/>
          <w:szCs w:val="24"/>
        </w:rPr>
        <w:t xml:space="preserve"> in public sectors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during 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last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decades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argues</w:t>
      </w:r>
      <w:r>
        <w:rPr>
          <w:rFonts w:ascii="Times New Roman" w:hAnsi="Times New Roman" w:eastAsia="Times New Roman" w:cs="Times New Roman"/>
          <w:sz w:val="24"/>
          <w:szCs w:val="24"/>
        </w:rPr>
        <w:t xml:space="preserve"> that public sectors are under pressure to increase process efficiency, redu</w:t>
      </w:r>
      <w:r>
        <w:rPr>
          <w:rFonts w:ascii="Times New Roman" w:hAnsi="Times New Roman" w:eastAsia="Times New Roman" w:cs="Times New Roman"/>
          <w:spacing w:val="-1"/>
          <w:sz w:val="24"/>
          <w:szCs w:val="24"/>
        </w:rPr>
        <w:t>ce costs 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 xml:space="preserve">improve    </w:t>
      </w:r>
      <w:r>
        <w:rPr>
          <w:rFonts w:ascii="Times New Roman" w:hAnsi="Times New Roman" w:eastAsia="Times New Roman" w:cs="Times New Roman"/>
          <w:sz w:val="24"/>
          <w:szCs w:val="24"/>
        </w:rPr>
        <w:t>quality. Higher education is in an era where 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formal</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autonom</w:t>
      </w:r>
      <w:r>
        <w:rPr>
          <w:rFonts w:ascii="Times New Roman" w:hAnsi="Times New Roman" w:eastAsia="Times New Roman" w:cs="Times New Roman"/>
          <w:spacing w:val="-1"/>
          <w:sz w:val="24"/>
          <w:szCs w:val="24"/>
        </w:rPr>
        <w:t>y increases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Crevani,</w:t>
      </w:r>
      <w:r>
        <w:rPr>
          <w:rFonts w:ascii="Times New Roman" w:hAnsi="Times New Roman" w:eastAsia="Times New Roman" w:cs="Times New Roman"/>
          <w:spacing w:val="6"/>
          <w:sz w:val="24"/>
          <w:szCs w:val="24"/>
          <w:u w:val="single" w:color="auto"/>
        </w:rPr>
        <w:t xml:space="preserve"> </w:t>
      </w:r>
      <w:r>
        <w:rPr>
          <w:rFonts w:ascii="Times New Roman" w:hAnsi="Times New Roman" w:eastAsia="Times New Roman" w:cs="Times New Roman"/>
          <w:spacing w:val="-1"/>
          <w:sz w:val="24"/>
          <w:szCs w:val="24"/>
          <w:u w:val="single" w:color="auto"/>
        </w:rPr>
        <w:t>2015</w:t>
      </w:r>
      <w:r>
        <w:rPr>
          <w:rFonts w:ascii="Times New Roman" w:hAnsi="Times New Roman" w:eastAsia="Times New Roman" w:cs="Times New Roman"/>
          <w:spacing w:val="-1"/>
          <w:sz w:val="24"/>
          <w:szCs w:val="24"/>
        </w:rPr>
        <w:t>).</w:t>
      </w:r>
    </w:p>
    <w:p>
      <w:pPr>
        <w:spacing w:before="38" w:line="228" w:lineRule="auto"/>
        <w:ind w:left="1392"/>
        <w:rPr>
          <w:rFonts w:ascii="Times New Roman" w:hAnsi="Times New Roman" w:eastAsia="Times New Roman" w:cs="Times New Roman"/>
          <w:sz w:val="24"/>
          <w:szCs w:val="24"/>
        </w:rPr>
      </w:pPr>
      <w:r>
        <w:rPr>
          <w:rFonts w:ascii="Times New Roman" w:hAnsi="Times New Roman" w:eastAsia="Times New Roman" w:cs="Times New Roman"/>
          <w:sz w:val="24"/>
          <w:szCs w:val="24"/>
        </w:rPr>
        <w:t>According to Mintzberg (</w:t>
      </w:r>
      <w:r>
        <w:rPr>
          <w:rFonts w:ascii="Times New Roman" w:hAnsi="Times New Roman" w:eastAsia="Times New Roman" w:cs="Times New Roman"/>
          <w:sz w:val="24"/>
          <w:szCs w:val="24"/>
          <w:u w:val="single" w:color="auto"/>
        </w:rPr>
        <w:t>Mintzberg,</w:t>
      </w:r>
      <w:r>
        <w:rPr>
          <w:rFonts w:ascii="Times New Roman" w:hAnsi="Times New Roman" w:eastAsia="Times New Roman" w:cs="Times New Roman"/>
          <w:spacing w:val="28"/>
          <w:sz w:val="24"/>
          <w:szCs w:val="24"/>
          <w:u w:val="single" w:color="auto"/>
        </w:rPr>
        <w:t xml:space="preserve"> </w:t>
      </w:r>
      <w:r>
        <w:rPr>
          <w:rFonts w:ascii="Times New Roman" w:hAnsi="Times New Roman" w:eastAsia="Times New Roman" w:cs="Times New Roman"/>
          <w:sz w:val="24"/>
          <w:szCs w:val="24"/>
          <w:u w:val="single" w:color="auto"/>
        </w:rPr>
        <w:t>1989</w:t>
      </w:r>
      <w:r>
        <w:rPr>
          <w:rFonts w:ascii="Times New Roman" w:hAnsi="Times New Roman" w:eastAsia="Times New Roman" w:cs="Times New Roman"/>
          <w:sz w:val="24"/>
          <w:szCs w:val="24"/>
        </w:rPr>
        <w:t>) universities</w:t>
      </w:r>
      <w:r>
        <w:rPr>
          <w:rFonts w:ascii="Times New Roman" w:hAnsi="Times New Roman" w:eastAsia="Times New Roman" w:cs="Times New Roman"/>
          <w:spacing w:val="-1"/>
          <w:sz w:val="24"/>
          <w:szCs w:val="24"/>
        </w:rPr>
        <w:t xml:space="preserve"> can be described as professional</w:t>
      </w:r>
    </w:p>
    <w:p>
      <w:pPr>
        <w:spacing w:before="35"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z w:val="24"/>
          <w:szCs w:val="24"/>
        </w:rPr>
        <w:t>organizations. These are bureaucratic and rely on highly educated professionals w</w:t>
      </w:r>
      <w:r>
        <w:rPr>
          <w:rFonts w:ascii="Times New Roman" w:hAnsi="Times New Roman" w:eastAsia="Times New Roman" w:cs="Times New Roman"/>
          <w:spacing w:val="-1"/>
          <w:sz w:val="24"/>
          <w:szCs w:val="24"/>
        </w:rPr>
        <w:t>ho work</w:t>
      </w:r>
    </w:p>
    <w:p>
      <w:pPr>
        <w:spacing w:before="34" w:line="249" w:lineRule="auto"/>
        <w:ind w:left="1398" w:right="168" w:hanging="1"/>
        <w:rPr>
          <w:rFonts w:ascii="Times New Roman" w:hAnsi="Times New Roman" w:eastAsia="Times New Roman" w:cs="Times New Roman"/>
          <w:sz w:val="24"/>
          <w:szCs w:val="24"/>
        </w:rPr>
      </w:pPr>
      <w:r>
        <w:rPr>
          <w:rFonts w:ascii="Times New Roman" w:hAnsi="Times New Roman" w:eastAsia="Times New Roman" w:cs="Times New Roman"/>
          <w:sz w:val="24"/>
          <w:szCs w:val="24"/>
        </w:rPr>
        <w:t>independently and control their own work. The decision maki</w:t>
      </w:r>
      <w:r>
        <w:rPr>
          <w:rFonts w:ascii="Times New Roman" w:hAnsi="Times New Roman" w:eastAsia="Times New Roman" w:cs="Times New Roman"/>
          <w:spacing w:val="-1"/>
          <w:sz w:val="24"/>
          <w:szCs w:val="24"/>
        </w:rPr>
        <w:t>ng is often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decentralized</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since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z w:val="24"/>
          <w:szCs w:val="24"/>
        </w:rPr>
        <w:t xml:space="preserve"> organization is complex with a lot 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rules and procedures.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One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disadvantage with profes</w:t>
      </w:r>
      <w:r>
        <w:rPr>
          <w:rFonts w:ascii="Times New Roman" w:hAnsi="Times New Roman" w:eastAsia="Times New Roman" w:cs="Times New Roman"/>
          <w:spacing w:val="-1"/>
          <w:sz w:val="24"/>
          <w:szCs w:val="24"/>
        </w:rPr>
        <w:t>sional</w:t>
      </w:r>
      <w:r>
        <w:rPr>
          <w:rFonts w:ascii="Times New Roman" w:hAnsi="Times New Roman" w:eastAsia="Times New Roman" w:cs="Times New Roman"/>
          <w:sz w:val="24"/>
          <w:szCs w:val="24"/>
        </w:rPr>
        <w:t xml:space="preserve">  organizations is often a weak leadership which can make these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w:t>
      </w:r>
      <w:r>
        <w:rPr>
          <w:rFonts w:ascii="Times New Roman" w:hAnsi="Times New Roman" w:eastAsia="Times New Roman" w:cs="Times New Roman"/>
          <w:spacing w:val="-1"/>
          <w:sz w:val="24"/>
          <w:szCs w:val="24"/>
        </w:rPr>
        <w:t>rganizations hard to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change</w:t>
      </w:r>
    </w:p>
    <w:p>
      <w:pPr>
        <w:spacing w:before="33" w:line="228" w:lineRule="auto"/>
        <w:ind w:left="140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u w:val="single" w:color="auto"/>
        </w:rPr>
        <w:t>Mintzberg,</w:t>
      </w:r>
      <w:r>
        <w:rPr>
          <w:rFonts w:ascii="Times New Roman" w:hAnsi="Times New Roman" w:eastAsia="Times New Roman" w:cs="Times New Roman"/>
          <w:spacing w:val="37"/>
          <w:sz w:val="24"/>
          <w:szCs w:val="24"/>
          <w:u w:val="single" w:color="auto"/>
        </w:rPr>
        <w:t xml:space="preserve"> </w:t>
      </w:r>
      <w:r>
        <w:rPr>
          <w:rFonts w:ascii="Times New Roman" w:hAnsi="Times New Roman" w:eastAsia="Times New Roman" w:cs="Times New Roman"/>
          <w:spacing w:val="-2"/>
          <w:sz w:val="24"/>
          <w:szCs w:val="24"/>
          <w:u w:val="single" w:color="auto"/>
        </w:rPr>
        <w:t>1989</w:t>
      </w:r>
      <w:r>
        <w:rPr>
          <w:rFonts w:ascii="Times New Roman" w:hAnsi="Times New Roman" w:eastAsia="Times New Roman" w:cs="Times New Roman"/>
          <w:spacing w:val="-2"/>
          <w:sz w:val="24"/>
          <w:szCs w:val="24"/>
        </w:rPr>
        <w:t>).</w:t>
      </w:r>
    </w:p>
    <w:p>
      <w:pPr>
        <w:spacing w:before="199" w:line="251" w:lineRule="auto"/>
        <w:ind w:left="1390" w:firstLine="2"/>
        <w:rPr>
          <w:rFonts w:ascii="Times New Roman" w:hAnsi="Times New Roman" w:eastAsia="Times New Roman" w:cs="Times New Roman"/>
          <w:sz w:val="24"/>
          <w:szCs w:val="24"/>
        </w:rPr>
      </w:pPr>
      <w:r>
        <w:rPr>
          <w:rFonts w:ascii="Times New Roman" w:hAnsi="Times New Roman" w:eastAsia="Times New Roman" w:cs="Times New Roman"/>
          <w:sz w:val="24"/>
          <w:szCs w:val="24"/>
        </w:rPr>
        <w:t>According to Lagrosen (</w:t>
      </w:r>
      <w:r>
        <w:rPr>
          <w:rFonts w:ascii="Times New Roman" w:hAnsi="Times New Roman" w:eastAsia="Times New Roman" w:cs="Times New Roman"/>
          <w:sz w:val="24"/>
          <w:szCs w:val="24"/>
          <w:u w:val="single" w:color="auto"/>
        </w:rPr>
        <w:t>Lagrosen, 2009</w:t>
      </w:r>
      <w:r>
        <w:rPr>
          <w:rFonts w:ascii="Times New Roman" w:hAnsi="Times New Roman" w:eastAsia="Times New Roman" w:cs="Times New Roman"/>
          <w:sz w:val="24"/>
          <w:szCs w:val="24"/>
        </w:rPr>
        <w:t>) the interest for quali</w:t>
      </w:r>
      <w:r>
        <w:rPr>
          <w:rFonts w:ascii="Times New Roman" w:hAnsi="Times New Roman" w:eastAsia="Times New Roman" w:cs="Times New Roman"/>
          <w:spacing w:val="-1"/>
          <w:sz w:val="24"/>
          <w:szCs w:val="24"/>
        </w:rPr>
        <w:t>ty in public</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sectors, hence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Quality   Management (QM), started in the</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1"/>
          <w:sz w:val="24"/>
          <w:szCs w:val="24"/>
        </w:rPr>
        <w:t>1990´s and still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there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is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some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doubt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if</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1"/>
          <w:sz w:val="24"/>
          <w:szCs w:val="24"/>
        </w:rPr>
        <w:t>QM</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really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is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suitable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for p</w:t>
      </w:r>
      <w:r>
        <w:rPr>
          <w:rFonts w:ascii="Times New Roman" w:hAnsi="Times New Roman" w:eastAsia="Times New Roman" w:cs="Times New Roman"/>
          <w:sz w:val="24"/>
          <w:szCs w:val="24"/>
        </w:rPr>
        <w:t>ublic sectors. Lagrosen (</w:t>
      </w:r>
      <w:r>
        <w:rPr>
          <w:rFonts w:ascii="Times New Roman" w:hAnsi="Times New Roman" w:eastAsia="Times New Roman" w:cs="Times New Roman"/>
          <w:sz w:val="24"/>
          <w:szCs w:val="24"/>
          <w:u w:val="single" w:color="auto"/>
        </w:rPr>
        <w:t xml:space="preserve">Lagrosen, </w:t>
      </w:r>
      <w:r>
        <w:rPr>
          <w:rFonts w:ascii="Times New Roman" w:hAnsi="Times New Roman" w:eastAsia="Times New Roman" w:cs="Times New Roman"/>
          <w:spacing w:val="-1"/>
          <w:sz w:val="24"/>
          <w:szCs w:val="24"/>
          <w:u w:val="single" w:color="auto"/>
        </w:rPr>
        <w:t>2009</w:t>
      </w:r>
      <w:r>
        <w:rPr>
          <w:rFonts w:ascii="Times New Roman" w:hAnsi="Times New Roman" w:eastAsia="Times New Roman" w:cs="Times New Roman"/>
          <w:spacing w:val="-1"/>
          <w:sz w:val="24"/>
          <w:szCs w:val="24"/>
        </w:rPr>
        <w:t>) shows that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QM</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is useful</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also</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 public</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sectors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 tha</w:t>
      </w:r>
      <w:r>
        <w:rPr>
          <w:rFonts w:ascii="Times New Roman" w:hAnsi="Times New Roman" w:eastAsia="Times New Roman" w:cs="Times New Roman"/>
          <w:sz w:val="24"/>
          <w:szCs w:val="24"/>
        </w:rPr>
        <w:t>t there are some conclusions when working with quality</w:t>
      </w:r>
      <w:r>
        <w:rPr>
          <w:rFonts w:ascii="Times New Roman" w:hAnsi="Times New Roman" w:eastAsia="Times New Roman" w:cs="Times New Roman"/>
          <w:spacing w:val="-1"/>
          <w:sz w:val="24"/>
          <w:szCs w:val="24"/>
        </w:rPr>
        <w:t xml:space="preserve"> in public sectors.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Firstly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w:t>
      </w:r>
    </w:p>
    <w:p>
      <w:pPr>
        <w:spacing w:before="36" w:line="251" w:lineRule="auto"/>
        <w:ind w:left="1399" w:right="144"/>
        <w:rPr>
          <w:rFonts w:ascii="Times New Roman" w:hAnsi="Times New Roman" w:eastAsia="Times New Roman" w:cs="Times New Roman"/>
          <w:sz w:val="24"/>
          <w:szCs w:val="24"/>
        </w:rPr>
      </w:pPr>
      <w:r>
        <w:rPr>
          <w:rFonts w:ascii="Times New Roman" w:hAnsi="Times New Roman" w:eastAsia="Times New Roman" w:cs="Times New Roman"/>
          <w:sz w:val="24"/>
          <w:szCs w:val="24"/>
        </w:rPr>
        <w:t>advantage to use an existing mo</w:t>
      </w:r>
      <w:r>
        <w:rPr>
          <w:rFonts w:ascii="Times New Roman" w:hAnsi="Times New Roman" w:eastAsia="Times New Roman" w:cs="Times New Roman"/>
          <w:spacing w:val="-1"/>
          <w:sz w:val="24"/>
          <w:szCs w:val="24"/>
        </w:rPr>
        <w:t>del since it is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easier to</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implement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show results.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QM</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models</w:t>
      </w:r>
      <w:r>
        <w:rPr>
          <w:rFonts w:ascii="Times New Roman" w:hAnsi="Times New Roman" w:eastAsia="Times New Roman" w:cs="Times New Roman"/>
          <w:sz w:val="24"/>
          <w:szCs w:val="24"/>
        </w:rPr>
        <w:t xml:space="preserve"> for public sectors must be more coherent than in </w:t>
      </w:r>
      <w:r>
        <w:rPr>
          <w:rFonts w:ascii="Times New Roman" w:hAnsi="Times New Roman" w:eastAsia="Times New Roman" w:cs="Times New Roman"/>
          <w:spacing w:val="-1"/>
          <w:sz w:val="24"/>
          <w:szCs w:val="24"/>
        </w:rPr>
        <w:t>the private sector 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crucial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that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different</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client groups are observed in order to fulfil</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1"/>
          <w:sz w:val="24"/>
          <w:szCs w:val="24"/>
        </w:rPr>
        <w:t>equality</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Elg,</w:t>
      </w:r>
      <w:r>
        <w:rPr>
          <w:rFonts w:ascii="Times New Roman" w:hAnsi="Times New Roman" w:eastAsia="Times New Roman" w:cs="Times New Roman"/>
          <w:spacing w:val="5"/>
          <w:sz w:val="24"/>
          <w:szCs w:val="24"/>
          <w:u w:val="single" w:color="auto"/>
        </w:rPr>
        <w:t xml:space="preserve"> </w:t>
      </w:r>
      <w:r>
        <w:rPr>
          <w:rFonts w:ascii="Times New Roman" w:hAnsi="Times New Roman" w:eastAsia="Times New Roman" w:cs="Times New Roman"/>
          <w:spacing w:val="-1"/>
          <w:sz w:val="24"/>
          <w:szCs w:val="24"/>
          <w:u w:val="single" w:color="auto"/>
        </w:rPr>
        <w:t>2015</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
          <w:sz w:val="24"/>
          <w:szCs w:val="24"/>
        </w:rPr>
        <w:t>Secondly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is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important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z w:val="24"/>
          <w:szCs w:val="24"/>
        </w:rPr>
        <w:t xml:space="preserve"> focus on leadership. Public sectors are often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characterized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as professional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and knowledge-</w:t>
      </w:r>
    </w:p>
    <w:p>
      <w:pPr>
        <w:spacing w:before="39" w:line="243" w:lineRule="auto"/>
        <w:ind w:left="1397" w:right="88"/>
        <w:rPr>
          <w:rFonts w:ascii="Times New Roman" w:hAnsi="Times New Roman" w:eastAsia="Times New Roman" w:cs="Times New Roman"/>
          <w:sz w:val="24"/>
          <w:szCs w:val="24"/>
        </w:rPr>
      </w:pPr>
      <w:r>
        <w:rPr>
          <w:rFonts w:ascii="Times New Roman" w:hAnsi="Times New Roman" w:eastAsia="Times New Roman" w:cs="Times New Roman"/>
          <w:sz w:val="24"/>
          <w:szCs w:val="24"/>
        </w:rPr>
        <w:t>intensive organizations (</w:t>
      </w:r>
      <w:r>
        <w:rPr>
          <w:rFonts w:ascii="Times New Roman" w:hAnsi="Times New Roman" w:eastAsia="Times New Roman" w:cs="Times New Roman"/>
          <w:sz w:val="24"/>
          <w:szCs w:val="24"/>
          <w:u w:val="single" w:color="auto"/>
        </w:rPr>
        <w:t>Thylefors, 2016</w:t>
      </w:r>
      <w:r>
        <w:rPr>
          <w:rFonts w:ascii="Times New Roman" w:hAnsi="Times New Roman" w:eastAsia="Times New Roman" w:cs="Times New Roman"/>
          <w:sz w:val="24"/>
          <w:szCs w:val="24"/>
        </w:rPr>
        <w:t>) a</w:t>
      </w:r>
      <w:r>
        <w:rPr>
          <w:rFonts w:ascii="Times New Roman" w:hAnsi="Times New Roman" w:eastAsia="Times New Roman" w:cs="Times New Roman"/>
          <w:spacing w:val="-1"/>
          <w:sz w:val="24"/>
          <w:szCs w:val="24"/>
        </w:rPr>
        <w:t>nd therefore it is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important to</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strengthen,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support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z w:val="24"/>
          <w:szCs w:val="24"/>
        </w:rPr>
        <w:t xml:space="preserve"> improve leadership. Thirdly (3), commitment fr</w:t>
      </w:r>
      <w:r>
        <w:rPr>
          <w:rFonts w:ascii="Times New Roman" w:hAnsi="Times New Roman" w:eastAsia="Times New Roman" w:cs="Times New Roman"/>
          <w:spacing w:val="-1"/>
          <w:sz w:val="24"/>
          <w:szCs w:val="24"/>
        </w:rPr>
        <w:t>om everybody is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essential.</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It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is urgent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to</w:t>
      </w:r>
    </w:p>
    <w:p>
      <w:pPr>
        <w:spacing w:before="35"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z w:val="24"/>
          <w:szCs w:val="24"/>
        </w:rPr>
        <w:t>encourage everyone within the organization to be involved and enga</w:t>
      </w:r>
      <w:r>
        <w:rPr>
          <w:rFonts w:ascii="Times New Roman" w:hAnsi="Times New Roman" w:eastAsia="Times New Roman" w:cs="Times New Roman"/>
          <w:spacing w:val="-1"/>
          <w:sz w:val="24"/>
          <w:szCs w:val="24"/>
        </w:rPr>
        <w:t>ged by creating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and</w:t>
      </w:r>
    </w:p>
    <w:p>
      <w:pPr>
        <w:spacing w:before="36" w:line="251" w:lineRule="auto"/>
        <w:ind w:left="1393" w:right="180" w:firstLine="5"/>
        <w:rPr>
          <w:rFonts w:ascii="Times New Roman" w:hAnsi="Times New Roman" w:eastAsia="Times New Roman" w:cs="Times New Roman"/>
          <w:sz w:val="24"/>
          <w:szCs w:val="24"/>
        </w:rPr>
      </w:pPr>
      <w:r>
        <w:rPr>
          <w:rFonts w:ascii="Times New Roman" w:hAnsi="Times New Roman" w:eastAsia="Times New Roman" w:cs="Times New Roman"/>
          <w:sz w:val="24"/>
          <w:szCs w:val="24"/>
        </w:rPr>
        <w:t>developing an open and allowing c</w:t>
      </w:r>
      <w:r>
        <w:rPr>
          <w:rFonts w:ascii="Times New Roman" w:hAnsi="Times New Roman" w:eastAsia="Times New Roman" w:cs="Times New Roman"/>
          <w:spacing w:val="-1"/>
          <w:sz w:val="24"/>
          <w:szCs w:val="24"/>
        </w:rPr>
        <w:t>ulture. Fourthly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organizations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should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focus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on processes</w:t>
      </w:r>
      <w:r>
        <w:rPr>
          <w:rFonts w:ascii="Times New Roman" w:hAnsi="Times New Roman" w:eastAsia="Times New Roman" w:cs="Times New Roman"/>
          <w:sz w:val="24"/>
          <w:szCs w:val="24"/>
        </w:rPr>
        <w:t xml:space="preserve"> to clarify and simplify the complex organization, minimize non value-added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activitie</w:t>
      </w:r>
      <w:r>
        <w:rPr>
          <w:rFonts w:ascii="Times New Roman" w:hAnsi="Times New Roman" w:eastAsia="Times New Roman" w:cs="Times New Roman"/>
          <w:spacing w:val="-1"/>
          <w:sz w:val="24"/>
          <w:szCs w:val="24"/>
        </w:rPr>
        <w:t>s, build-in</w:t>
      </w:r>
      <w:r>
        <w:rPr>
          <w:rFonts w:ascii="Times New Roman" w:hAnsi="Times New Roman" w:eastAsia="Times New Roman" w:cs="Times New Roman"/>
          <w:sz w:val="24"/>
          <w:szCs w:val="24"/>
        </w:rPr>
        <w:t xml:space="preserve">  quality assurance and reduce lead times (</w:t>
      </w:r>
      <w:r>
        <w:rPr>
          <w:rFonts w:ascii="Times New Roman" w:hAnsi="Times New Roman" w:eastAsia="Times New Roman" w:cs="Times New Roman"/>
          <w:sz w:val="24"/>
          <w:szCs w:val="24"/>
          <w:u w:val="single" w:color="auto"/>
        </w:rPr>
        <w:t>Eg</w:t>
      </w:r>
      <w:r>
        <w:rPr>
          <w:rFonts w:ascii="Times New Roman" w:hAnsi="Times New Roman" w:eastAsia="Times New Roman" w:cs="Times New Roman"/>
          <w:spacing w:val="-1"/>
          <w:sz w:val="24"/>
          <w:szCs w:val="24"/>
          <w:u w:val="single" w:color="auto"/>
        </w:rPr>
        <w:t>nell,</w:t>
      </w:r>
      <w:r>
        <w:rPr>
          <w:rFonts w:ascii="Times New Roman" w:hAnsi="Times New Roman" w:eastAsia="Times New Roman" w:cs="Times New Roman"/>
          <w:spacing w:val="28"/>
          <w:sz w:val="24"/>
          <w:szCs w:val="24"/>
          <w:u w:val="single" w:color="auto"/>
        </w:rPr>
        <w:t xml:space="preserve"> </w:t>
      </w:r>
      <w:r>
        <w:rPr>
          <w:rFonts w:ascii="Times New Roman" w:hAnsi="Times New Roman" w:eastAsia="Times New Roman" w:cs="Times New Roman"/>
          <w:spacing w:val="-1"/>
          <w:sz w:val="24"/>
          <w:szCs w:val="24"/>
          <w:u w:val="single" w:color="auto"/>
        </w:rPr>
        <w:t>1994</w:t>
      </w:r>
      <w:r>
        <w:rPr>
          <w:rFonts w:ascii="Times New Roman" w:hAnsi="Times New Roman" w:eastAsia="Times New Roman" w:cs="Times New Roman"/>
          <w:spacing w:val="-1"/>
          <w:sz w:val="24"/>
          <w:szCs w:val="24"/>
        </w:rPr>
        <w:t>). Fifthly (5),</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evaluating 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 xml:space="preserve">activities to   </w:t>
      </w:r>
      <w:r>
        <w:rPr>
          <w:rFonts w:ascii="Times New Roman" w:hAnsi="Times New Roman" w:eastAsia="Times New Roman" w:cs="Times New Roman"/>
          <w:sz w:val="24"/>
          <w:szCs w:val="24"/>
        </w:rPr>
        <w:t>ensure further improvement is crucial.</w:t>
      </w:r>
      <w:r>
        <w:rPr>
          <w:rFonts w:ascii="Times New Roman" w:hAnsi="Times New Roman" w:eastAsia="Times New Roman" w:cs="Times New Roman"/>
          <w:spacing w:val="15"/>
          <w:w w:val="101"/>
          <w:sz w:val="24"/>
          <w:szCs w:val="24"/>
        </w:rPr>
        <w:t xml:space="preserve"> </w:t>
      </w:r>
      <w:r>
        <w:rPr>
          <w:rFonts w:ascii="Times New Roman" w:hAnsi="Times New Roman" w:eastAsia="Times New Roman" w:cs="Times New Roman"/>
          <w:sz w:val="24"/>
          <w:szCs w:val="24"/>
        </w:rPr>
        <w:t>Some organizat</w:t>
      </w:r>
      <w:r>
        <w:rPr>
          <w:rFonts w:ascii="Times New Roman" w:hAnsi="Times New Roman" w:eastAsia="Times New Roman" w:cs="Times New Roman"/>
          <w:spacing w:val="-1"/>
          <w:sz w:val="24"/>
          <w:szCs w:val="24"/>
        </w:rPr>
        <w:t>ions from public</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sectors, working</w:t>
      </w:r>
    </w:p>
    <w:p>
      <w:pPr>
        <w:spacing w:line="306" w:lineRule="auto"/>
        <w:rPr>
          <w:rFonts w:ascii="Arial"/>
          <w:sz w:val="21"/>
        </w:rPr>
      </w:pPr>
    </w:p>
    <w:p>
      <w:pPr>
        <w:spacing w:line="306" w:lineRule="auto"/>
        <w:rPr>
          <w:rFonts w:ascii="Arial"/>
          <w:sz w:val="21"/>
        </w:rPr>
      </w:pPr>
    </w:p>
    <w:p>
      <w:pPr>
        <w:spacing w:line="307" w:lineRule="auto"/>
        <w:rPr>
          <w:rFonts w:ascii="Arial"/>
          <w:sz w:val="21"/>
        </w:rPr>
      </w:pPr>
    </w:p>
    <w:p>
      <w:pPr>
        <w:spacing w:before="1" w:line="212" w:lineRule="exact"/>
        <w:ind w:firstLine="1151"/>
      </w:pPr>
      <w:r>
        <w:rPr>
          <w:position w:val="-4"/>
        </w:rPr>
        <w:drawing>
          <wp:inline distT="0" distB="0" distL="0" distR="0">
            <wp:extent cx="1849120" cy="13462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1109" w:bottom="100" w:left="48" w:header="0" w:footer="0" w:gutter="0"/>
          <w:cols w:space="720" w:num="1"/>
        </w:sectPr>
      </w:pPr>
    </w:p>
    <w:p>
      <w:pPr>
        <w:spacing w:line="245" w:lineRule="auto"/>
        <w:rPr>
          <w:rFonts w:ascii="Arial"/>
          <w:sz w:val="21"/>
        </w:rPr>
      </w:pPr>
      <w:r>
        <mc:AlternateContent>
          <mc:Choice Requires="wps">
            <w:drawing>
              <wp:anchor distT="0" distB="0" distL="0" distR="0" simplePos="0" relativeHeight="251754496"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166" name="TextBox 166"/>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6" o:spid="_x0000_s1026" o:spt="202" type="#_x0000_t202" style="position:absolute;left:0pt;margin-left:-120.15pt;margin-top:416.25pt;height:9.3pt;width:252.55pt;mso-position-horizontal-relative:page;mso-position-vertical-relative:page;rotation:-5898240f;z-index:251754496;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35Xy2wAAAAwBAAAPAAAAAAAAAAEAIAAAACIAAABkcnMvZG93&#10;bnJldi54bWxQSwECFAAUAAAACACHTuJA3aupFzYCAABxBAAADgAAAAAAAAABACAAAAAqAQAAZHJz&#10;L2Uyb0RvYy54bWxQSwUGAAAAAAYABgBZAQAA0g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9" w:line="243" w:lineRule="auto"/>
        <w:ind w:left="1395" w:right="81" w:firstLine="7"/>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systematically with QM, (a hospital, a university and </w:t>
      </w:r>
      <w:r>
        <w:rPr>
          <w:rFonts w:ascii="Times New Roman" w:hAnsi="Times New Roman" w:eastAsia="Times New Roman" w:cs="Times New Roman"/>
          <w:spacing w:val="-1"/>
          <w:sz w:val="24"/>
          <w:szCs w:val="24"/>
        </w:rPr>
        <w:t>the Swedish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Tax Agency),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are presented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z w:val="24"/>
          <w:szCs w:val="24"/>
        </w:rPr>
        <w:t xml:space="preserve"> Höglund (</w:t>
      </w:r>
      <w:r>
        <w:rPr>
          <w:rFonts w:ascii="Times New Roman" w:hAnsi="Times New Roman" w:eastAsia="Times New Roman" w:cs="Times New Roman"/>
          <w:sz w:val="24"/>
          <w:szCs w:val="24"/>
          <w:u w:val="single" w:color="auto"/>
        </w:rPr>
        <w:t>Höglund, 2015</w:t>
      </w:r>
      <w:r>
        <w:rPr>
          <w:rFonts w:ascii="Times New Roman" w:hAnsi="Times New Roman" w:eastAsia="Times New Roman" w:cs="Times New Roman"/>
          <w:sz w:val="24"/>
          <w:szCs w:val="24"/>
        </w:rPr>
        <w:t>). The five conclusions above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discussed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f</w:t>
      </w:r>
      <w:r>
        <w:rPr>
          <w:rFonts w:ascii="Times New Roman" w:hAnsi="Times New Roman" w:eastAsia="Times New Roman" w:cs="Times New Roman"/>
          <w:spacing w:val="-1"/>
          <w:sz w:val="24"/>
          <w:szCs w:val="24"/>
        </w:rPr>
        <w:t>urther in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context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of</w:t>
      </w:r>
    </w:p>
    <w:p>
      <w:pPr>
        <w:spacing w:before="84" w:line="183" w:lineRule="auto"/>
        <w:ind w:left="139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HEI.</w:t>
      </w:r>
    </w:p>
    <w:p>
      <w:pPr>
        <w:spacing w:before="199" w:line="228" w:lineRule="auto"/>
        <w:ind w:left="1455"/>
        <w:rPr>
          <w:rFonts w:ascii="Times New Roman" w:hAnsi="Times New Roman" w:eastAsia="Times New Roman" w:cs="Times New Roman"/>
          <w:sz w:val="24"/>
          <w:szCs w:val="24"/>
        </w:rPr>
      </w:pPr>
      <w:r>
        <w:rPr>
          <w:rFonts w:ascii="Times New Roman" w:hAnsi="Times New Roman" w:eastAsia="Times New Roman" w:cs="Times New Roman"/>
          <w:sz w:val="24"/>
          <w:szCs w:val="24"/>
        </w:rPr>
        <w:t>Models (1) and methods from the private sector need to be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ada</w:t>
      </w:r>
      <w:r>
        <w:rPr>
          <w:rFonts w:ascii="Times New Roman" w:hAnsi="Times New Roman" w:eastAsia="Times New Roman" w:cs="Times New Roman"/>
          <w:spacing w:val="-1"/>
          <w:sz w:val="24"/>
          <w:szCs w:val="24"/>
        </w:rPr>
        <w:t>pted to public</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sector.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Public</w:t>
      </w:r>
    </w:p>
    <w:p>
      <w:pPr>
        <w:spacing w:before="35" w:line="243" w:lineRule="auto"/>
        <w:ind w:left="1399" w:right="52" w:firstLine="2"/>
        <w:rPr>
          <w:rFonts w:ascii="Times New Roman" w:hAnsi="Times New Roman" w:eastAsia="Times New Roman" w:cs="Times New Roman"/>
          <w:sz w:val="24"/>
          <w:szCs w:val="24"/>
        </w:rPr>
      </w:pPr>
      <w:r>
        <w:rPr>
          <w:rFonts w:ascii="Times New Roman" w:hAnsi="Times New Roman" w:eastAsia="Times New Roman" w:cs="Times New Roman"/>
          <w:sz w:val="24"/>
          <w:szCs w:val="24"/>
        </w:rPr>
        <w:t>sectors have the last decades faced unprecedented challenges, like budgetary pressure</w:t>
      </w:r>
      <w:r>
        <w:rPr>
          <w:rFonts w:ascii="Times New Roman" w:hAnsi="Times New Roman" w:eastAsia="Times New Roman" w:cs="Times New Roman"/>
          <w:spacing w:val="-1"/>
          <w:sz w:val="24"/>
          <w:szCs w:val="24"/>
        </w:rPr>
        <w:t xml:space="preserve"> and higher</w:t>
      </w:r>
      <w:r>
        <w:rPr>
          <w:rFonts w:ascii="Times New Roman" w:hAnsi="Times New Roman" w:eastAsia="Times New Roman" w:cs="Times New Roman"/>
          <w:sz w:val="24"/>
          <w:szCs w:val="24"/>
        </w:rPr>
        <w:t xml:space="preserve"> expectations of</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public service (</w:t>
      </w:r>
      <w:r>
        <w:rPr>
          <w:rFonts w:ascii="Times New Roman" w:hAnsi="Times New Roman" w:eastAsia="Times New Roman" w:cs="Times New Roman"/>
          <w:sz w:val="24"/>
          <w:szCs w:val="24"/>
          <w:u w:val="single" w:color="auto"/>
        </w:rPr>
        <w:t>Wynen, 2016</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color="auto"/>
        </w:rPr>
        <w:t>Crevani, 2015</w:t>
      </w:r>
      <w:r>
        <w:rPr>
          <w:rFonts w:ascii="Times New Roman" w:hAnsi="Times New Roman" w:eastAsia="Times New Roman" w:cs="Times New Roman"/>
          <w:sz w:val="24"/>
          <w:szCs w:val="24"/>
        </w:rPr>
        <w:t>). Public</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sectors have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also</w:t>
      </w:r>
      <w:r>
        <w:rPr>
          <w:rFonts w:ascii="Times New Roman" w:hAnsi="Times New Roman" w:eastAsia="Times New Roman" w:cs="Times New Roman"/>
          <w:spacing w:val="-1"/>
          <w:sz w:val="24"/>
          <w:szCs w:val="24"/>
        </w:rPr>
        <w:t xml:space="preserve"> been</w:t>
      </w:r>
    </w:p>
    <w:p>
      <w:pPr>
        <w:spacing w:before="35" w:line="228" w:lineRule="auto"/>
        <w:ind w:left="1397"/>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influenced by New Public Management (NPM). This means, among other things, </w:t>
      </w:r>
      <w:r>
        <w:rPr>
          <w:rFonts w:ascii="Times New Roman" w:hAnsi="Times New Roman" w:eastAsia="Times New Roman" w:cs="Times New Roman"/>
          <w:spacing w:val="-1"/>
          <w:sz w:val="24"/>
          <w:szCs w:val="24"/>
        </w:rPr>
        <w:t>increased</w:t>
      </w:r>
    </w:p>
    <w:p>
      <w:pPr>
        <w:spacing w:before="37" w:line="243" w:lineRule="auto"/>
        <w:ind w:left="1397" w:right="294" w:hanging="5"/>
        <w:rPr>
          <w:rFonts w:ascii="Times New Roman" w:hAnsi="Times New Roman" w:eastAsia="Times New Roman" w:cs="Times New Roman"/>
          <w:sz w:val="24"/>
          <w:szCs w:val="24"/>
        </w:rPr>
      </w:pPr>
      <w:r>
        <w:rPr>
          <w:rFonts w:ascii="Times New Roman" w:hAnsi="Times New Roman" w:eastAsia="Times New Roman" w:cs="Times New Roman"/>
          <w:sz w:val="24"/>
          <w:szCs w:val="24"/>
        </w:rPr>
        <w:t>market orientation, increased competition, customer focus, improved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service, d</w:t>
      </w:r>
      <w:r>
        <w:rPr>
          <w:rFonts w:ascii="Times New Roman" w:hAnsi="Times New Roman" w:eastAsia="Times New Roman" w:cs="Times New Roman"/>
          <w:spacing w:val="-1"/>
          <w:sz w:val="24"/>
          <w:szCs w:val="24"/>
        </w:rPr>
        <w:t>ecentralisation,</w:t>
      </w:r>
      <w:r>
        <w:rPr>
          <w:rFonts w:ascii="Times New Roman" w:hAnsi="Times New Roman" w:eastAsia="Times New Roman" w:cs="Times New Roman"/>
          <w:sz w:val="24"/>
          <w:szCs w:val="24"/>
        </w:rPr>
        <w:t xml:space="preserve"> greater control and increased focus on le</w:t>
      </w:r>
      <w:r>
        <w:rPr>
          <w:rFonts w:ascii="Times New Roman" w:hAnsi="Times New Roman" w:eastAsia="Times New Roman" w:cs="Times New Roman"/>
          <w:spacing w:val="-1"/>
          <w:sz w:val="24"/>
          <w:szCs w:val="24"/>
        </w:rPr>
        <w:t>adership</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Thylefors, 2016</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Unwanted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effects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from</w:t>
      </w:r>
    </w:p>
    <w:p>
      <w:pPr>
        <w:spacing w:before="38" w:line="228" w:lineRule="auto"/>
        <w:ind w:left="1388"/>
        <w:rPr>
          <w:rFonts w:ascii="Times New Roman" w:hAnsi="Times New Roman" w:eastAsia="Times New Roman" w:cs="Times New Roman"/>
          <w:sz w:val="24"/>
          <w:szCs w:val="24"/>
        </w:rPr>
      </w:pPr>
      <w:r>
        <w:rPr>
          <w:rFonts w:ascii="Times New Roman" w:hAnsi="Times New Roman" w:eastAsia="Times New Roman" w:cs="Times New Roman"/>
          <w:sz w:val="24"/>
          <w:szCs w:val="24"/>
        </w:rPr>
        <w:t>NPM</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example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standardisation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methods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processes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without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considering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p>
    <w:p>
      <w:pPr>
        <w:spacing w:before="33" w:line="253" w:lineRule="auto"/>
        <w:ind w:left="1390" w:right="199" w:firstLine="2"/>
        <w:rPr>
          <w:rFonts w:ascii="Times New Roman" w:hAnsi="Times New Roman" w:eastAsia="Times New Roman" w:cs="Times New Roman"/>
          <w:sz w:val="24"/>
          <w:szCs w:val="24"/>
        </w:rPr>
      </w:pPr>
      <w:r>
        <w:rPr>
          <w:rFonts w:ascii="Times New Roman" w:hAnsi="Times New Roman" w:eastAsia="Times New Roman" w:cs="Times New Roman"/>
          <w:sz w:val="24"/>
          <w:szCs w:val="24"/>
        </w:rPr>
        <w:t>knowledge and competence of</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the professional employees. Another example is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focus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on wrong objectives e.g. focus on what is easy to measure instead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measure what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important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 vital</w:t>
      </w:r>
      <w:r>
        <w:rPr>
          <w:rFonts w:ascii="Times New Roman" w:hAnsi="Times New Roman" w:eastAsia="Times New Roman" w:cs="Times New Roman"/>
          <w:sz w:val="24"/>
          <w:szCs w:val="24"/>
        </w:rPr>
        <w:t xml:space="preserve">  for the customer (</w:t>
      </w:r>
      <w:r>
        <w:rPr>
          <w:rFonts w:ascii="Times New Roman" w:hAnsi="Times New Roman" w:eastAsia="Times New Roman" w:cs="Times New Roman"/>
          <w:sz w:val="24"/>
          <w:szCs w:val="24"/>
          <w:u w:val="single" w:color="auto"/>
        </w:rPr>
        <w:t>Thylefors, 2016</w:t>
      </w:r>
      <w:r>
        <w:rPr>
          <w:rFonts w:ascii="Times New Roman" w:hAnsi="Times New Roman" w:eastAsia="Times New Roman" w:cs="Times New Roman"/>
          <w:sz w:val="24"/>
          <w:szCs w:val="24"/>
        </w:rPr>
        <w:t>). If</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public sectors should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establish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models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meth</w:t>
      </w:r>
      <w:r>
        <w:rPr>
          <w:rFonts w:ascii="Times New Roman" w:hAnsi="Times New Roman" w:eastAsia="Times New Roman" w:cs="Times New Roman"/>
          <w:spacing w:val="-1"/>
          <w:sz w:val="24"/>
          <w:szCs w:val="24"/>
        </w:rPr>
        <w:t>ods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from</w:t>
      </w:r>
      <w:r>
        <w:rPr>
          <w:rFonts w:ascii="Times New Roman" w:hAnsi="Times New Roman" w:eastAsia="Times New Roman" w:cs="Times New Roman"/>
          <w:sz w:val="24"/>
          <w:szCs w:val="24"/>
        </w:rPr>
        <w:t xml:space="preserve"> private sector it is essential that those models and methods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adapted to</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characte</w:t>
      </w:r>
      <w:r>
        <w:rPr>
          <w:rFonts w:ascii="Times New Roman" w:hAnsi="Times New Roman" w:eastAsia="Times New Roman" w:cs="Times New Roman"/>
          <w:spacing w:val="-1"/>
          <w:sz w:val="24"/>
          <w:szCs w:val="24"/>
        </w:rPr>
        <w:t>ristics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z w:val="24"/>
          <w:szCs w:val="24"/>
        </w:rPr>
        <w:t xml:space="preserve">  public sectors. That is, for example, right</w:t>
      </w:r>
      <w:r>
        <w:rPr>
          <w:rFonts w:ascii="Times New Roman" w:hAnsi="Times New Roman" w:eastAsia="Times New Roman" w:cs="Times New Roman"/>
          <w:spacing w:val="-1"/>
          <w:sz w:val="24"/>
          <w:szCs w:val="24"/>
        </w:rPr>
        <w:t>s and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access,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equality,</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coerciveness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legitimacy</w:t>
      </w:r>
    </w:p>
    <w:p>
      <w:pPr>
        <w:spacing w:before="33" w:line="228" w:lineRule="auto"/>
        <w:ind w:left="1400"/>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u w:val="single" w:color="auto"/>
        </w:rPr>
        <w:t>Elg, 2015</w:t>
      </w:r>
      <w:r>
        <w:rPr>
          <w:rFonts w:ascii="Times New Roman" w:hAnsi="Times New Roman" w:eastAsia="Times New Roman" w:cs="Times New Roman"/>
          <w:sz w:val="24"/>
          <w:szCs w:val="24"/>
        </w:rPr>
        <w:t>), and HEI:s must fulfil their special responsibilities (see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u w:val="single" w:color="auto"/>
        </w:rPr>
        <w:t>Cass</w:t>
      </w:r>
      <w:r>
        <w:rPr>
          <w:rFonts w:ascii="Times New Roman" w:hAnsi="Times New Roman" w:eastAsia="Times New Roman" w:cs="Times New Roman"/>
          <w:spacing w:val="-1"/>
          <w:sz w:val="24"/>
          <w:szCs w:val="24"/>
          <w:u w:val="single" w:color="auto"/>
        </w:rPr>
        <w:t>on,</w:t>
      </w:r>
      <w:r>
        <w:rPr>
          <w:rFonts w:ascii="Times New Roman" w:hAnsi="Times New Roman" w:eastAsia="Times New Roman" w:cs="Times New Roman"/>
          <w:spacing w:val="5"/>
          <w:sz w:val="24"/>
          <w:szCs w:val="24"/>
          <w:u w:val="single" w:color="auto"/>
        </w:rPr>
        <w:t xml:space="preserve"> </w:t>
      </w:r>
      <w:r>
        <w:rPr>
          <w:rFonts w:ascii="Times New Roman" w:hAnsi="Times New Roman" w:eastAsia="Times New Roman" w:cs="Times New Roman"/>
          <w:spacing w:val="-1"/>
          <w:sz w:val="24"/>
          <w:szCs w:val="24"/>
          <w:u w:val="single" w:color="auto"/>
        </w:rPr>
        <w:t>2015</w:t>
      </w:r>
      <w:r>
        <w:rPr>
          <w:rFonts w:ascii="Times New Roman" w:hAnsi="Times New Roman" w:eastAsia="Times New Roman" w:cs="Times New Roman"/>
          <w:spacing w:val="-1"/>
          <w:sz w:val="24"/>
          <w:szCs w:val="24"/>
        </w:rPr>
        <w:t>)).</w:t>
      </w:r>
    </w:p>
    <w:p>
      <w:pPr>
        <w:spacing w:before="199" w:line="228" w:lineRule="auto"/>
        <w:ind w:left="1395"/>
        <w:rPr>
          <w:rFonts w:ascii="Times New Roman" w:hAnsi="Times New Roman" w:eastAsia="Times New Roman" w:cs="Times New Roman"/>
          <w:sz w:val="24"/>
          <w:szCs w:val="24"/>
        </w:rPr>
      </w:pPr>
      <w:r>
        <w:rPr>
          <w:rFonts w:ascii="Times New Roman" w:hAnsi="Times New Roman" w:eastAsia="Times New Roman" w:cs="Times New Roman"/>
          <w:sz w:val="24"/>
          <w:szCs w:val="24"/>
        </w:rPr>
        <w:t>Leadership</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HEI</w:t>
      </w:r>
      <w:r>
        <w:rPr>
          <w:rFonts w:ascii="Times New Roman" w:hAnsi="Times New Roman" w:eastAsia="Times New Roman" w:cs="Times New Roman"/>
          <w:spacing w:val="1"/>
          <w:sz w:val="24"/>
          <w:szCs w:val="24"/>
        </w:rPr>
        <w:t xml:space="preserve">) (2) </w:t>
      </w:r>
      <w:r>
        <w:rPr>
          <w:rFonts w:ascii="Times New Roman" w:hAnsi="Times New Roman" w:eastAsia="Times New Roman" w:cs="Times New Roman"/>
          <w:sz w:val="24"/>
          <w:szCs w:val="24"/>
        </w:rPr>
        <w:t>requires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professionalization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leadership</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which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includes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w:t>
      </w:r>
    </w:p>
    <w:p>
      <w:pPr>
        <w:spacing w:before="37" w:line="255" w:lineRule="auto"/>
        <w:ind w:left="1392" w:firstLine="6"/>
        <w:rPr>
          <w:rFonts w:ascii="Times New Roman" w:hAnsi="Times New Roman" w:eastAsia="Times New Roman" w:cs="Times New Roman"/>
          <w:sz w:val="24"/>
          <w:szCs w:val="24"/>
        </w:rPr>
      </w:pPr>
      <w:r>
        <w:rPr>
          <w:rFonts w:ascii="Times New Roman" w:hAnsi="Times New Roman" w:eastAsia="Times New Roman" w:cs="Times New Roman"/>
          <w:sz w:val="24"/>
          <w:szCs w:val="24"/>
        </w:rPr>
        <w:t>comprehensive view and communication skills. Furthermore,</w:t>
      </w:r>
      <w:r>
        <w:rPr>
          <w:rFonts w:ascii="Times New Roman" w:hAnsi="Times New Roman" w:eastAsia="Times New Roman" w:cs="Times New Roman"/>
          <w:spacing w:val="-1"/>
          <w:sz w:val="24"/>
          <w:szCs w:val="24"/>
        </w:rPr>
        <w:t xml:space="preserve"> knowledge, competence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skills</w:t>
      </w:r>
      <w:r>
        <w:rPr>
          <w:rFonts w:ascii="Times New Roman" w:hAnsi="Times New Roman" w:eastAsia="Times New Roman" w:cs="Times New Roman"/>
          <w:sz w:val="24"/>
          <w:szCs w:val="24"/>
        </w:rPr>
        <w:t xml:space="preserve">   of</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customer orientation, goal setting, organization, management and control,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granted realization   concerning mission, laws and regulations for HEI (</w:t>
      </w:r>
      <w:r>
        <w:rPr>
          <w:rFonts w:ascii="Times New Roman" w:hAnsi="Times New Roman" w:eastAsia="Times New Roman" w:cs="Times New Roman"/>
          <w:sz w:val="24"/>
          <w:szCs w:val="24"/>
          <w:u w:val="single" w:color="auto"/>
        </w:rPr>
        <w:t>Thylefors, 2016</w:t>
      </w:r>
      <w:r>
        <w:rPr>
          <w:rFonts w:ascii="Times New Roman" w:hAnsi="Times New Roman" w:eastAsia="Times New Roman" w:cs="Times New Roman"/>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are vita</w:t>
      </w:r>
      <w:r>
        <w:rPr>
          <w:rFonts w:ascii="Times New Roman" w:hAnsi="Times New Roman" w:eastAsia="Times New Roman" w:cs="Times New Roman"/>
          <w:spacing w:val="-1"/>
          <w:sz w:val="24"/>
          <w:szCs w:val="24"/>
        </w:rPr>
        <w:t>l</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leadership, with</w:t>
      </w:r>
      <w:r>
        <w:rPr>
          <w:rFonts w:ascii="Times New Roman" w:hAnsi="Times New Roman" w:eastAsia="Times New Roman" w:cs="Times New Roman"/>
          <w:sz w:val="24"/>
          <w:szCs w:val="24"/>
        </w:rPr>
        <w:t xml:space="preserve">   skills in QM, who understands and has awareness 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leadership in public</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sectors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and profe</w:t>
      </w:r>
      <w:r>
        <w:rPr>
          <w:rFonts w:ascii="Times New Roman" w:hAnsi="Times New Roman" w:eastAsia="Times New Roman" w:cs="Times New Roman"/>
          <w:spacing w:val="-1"/>
          <w:sz w:val="24"/>
          <w:szCs w:val="24"/>
        </w:rPr>
        <w:t>ssional</w:t>
      </w:r>
      <w:r>
        <w:rPr>
          <w:rFonts w:ascii="Times New Roman" w:hAnsi="Times New Roman" w:eastAsia="Times New Roman" w:cs="Times New Roman"/>
          <w:sz w:val="24"/>
          <w:szCs w:val="24"/>
        </w:rPr>
        <w:t xml:space="preserve"> organizations and has ability to adapt QM into professional organizations,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is necessary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Snyder,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u w:val="single" w:color="auto"/>
        </w:rPr>
        <w:t>2015</w:t>
      </w:r>
      <w:r>
        <w:rPr>
          <w:rFonts w:ascii="Times New Roman" w:hAnsi="Times New Roman" w:eastAsia="Times New Roman" w:cs="Times New Roman"/>
          <w:sz w:val="24"/>
          <w:szCs w:val="24"/>
        </w:rPr>
        <w:t>). Research shows (</w:t>
      </w:r>
      <w:r>
        <w:rPr>
          <w:rFonts w:ascii="Times New Roman" w:hAnsi="Times New Roman" w:eastAsia="Times New Roman" w:cs="Times New Roman"/>
          <w:sz w:val="24"/>
          <w:szCs w:val="24"/>
          <w:u w:val="single" w:color="auto"/>
        </w:rPr>
        <w:t>Barton, 2013</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color="auto"/>
        </w:rPr>
        <w:t>Juran,</w:t>
      </w:r>
      <w:r>
        <w:rPr>
          <w:rFonts w:ascii="Times New Roman" w:hAnsi="Times New Roman" w:eastAsia="Times New Roman" w:cs="Times New Roman"/>
          <w:spacing w:val="28"/>
          <w:sz w:val="24"/>
          <w:szCs w:val="24"/>
          <w:u w:val="single" w:color="auto"/>
        </w:rPr>
        <w:t xml:space="preserve"> </w:t>
      </w:r>
      <w:r>
        <w:rPr>
          <w:rFonts w:ascii="Times New Roman" w:hAnsi="Times New Roman" w:eastAsia="Times New Roman" w:cs="Times New Roman"/>
          <w:sz w:val="24"/>
          <w:szCs w:val="24"/>
          <w:u w:val="single" w:color="auto"/>
        </w:rPr>
        <w:t>1995</w:t>
      </w:r>
      <w:r>
        <w:rPr>
          <w:rFonts w:ascii="Times New Roman" w:hAnsi="Times New Roman" w:eastAsia="Times New Roman" w:cs="Times New Roman"/>
          <w:sz w:val="24"/>
          <w:szCs w:val="24"/>
        </w:rPr>
        <w:t xml:space="preserve">) that </w:t>
      </w:r>
      <w:r>
        <w:rPr>
          <w:rFonts w:ascii="Times New Roman" w:hAnsi="Times New Roman" w:eastAsia="Times New Roman" w:cs="Times New Roman"/>
          <w:spacing w:val="-1"/>
          <w:sz w:val="24"/>
          <w:szCs w:val="24"/>
        </w:rPr>
        <w:t>middle management positions can play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 key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role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allowed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take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responsibility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important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strategic</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decisions</w:t>
      </w:r>
      <w:r>
        <w:rPr>
          <w:rFonts w:ascii="Times New Roman" w:hAnsi="Times New Roman" w:eastAsia="Times New Roman" w:cs="Times New Roman"/>
          <w:spacing w:val="1"/>
          <w:sz w:val="24"/>
          <w:szCs w:val="24"/>
        </w:rPr>
        <w: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so</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take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greater responsibility when implementing and realising the strategies (</w:t>
      </w:r>
      <w:r>
        <w:rPr>
          <w:rFonts w:ascii="Times New Roman" w:hAnsi="Times New Roman" w:eastAsia="Times New Roman" w:cs="Times New Roman"/>
          <w:sz w:val="24"/>
          <w:szCs w:val="24"/>
          <w:u w:val="single" w:color="auto"/>
        </w:rPr>
        <w:t>Barton, 2013</w:t>
      </w:r>
      <w:r>
        <w:rPr>
          <w:rFonts w:ascii="Times New Roman" w:hAnsi="Times New Roman" w:eastAsia="Times New Roman" w:cs="Times New Roman"/>
          <w:sz w:val="24"/>
          <w:szCs w:val="24"/>
        </w:rPr>
        <w:t>). Lead</w:t>
      </w:r>
      <w:r>
        <w:rPr>
          <w:rFonts w:ascii="Times New Roman" w:hAnsi="Times New Roman" w:eastAsia="Times New Roman" w:cs="Times New Roman"/>
          <w:spacing w:val="-1"/>
          <w:sz w:val="24"/>
          <w:szCs w:val="24"/>
        </w:rPr>
        <w:t>ers</w:t>
      </w:r>
    </w:p>
    <w:p>
      <w:pPr>
        <w:spacing w:before="35" w:line="248" w:lineRule="auto"/>
        <w:ind w:left="1399" w:right="7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and professional employees must retain the ability to act professionally with foc</w:t>
      </w:r>
      <w:r>
        <w:rPr>
          <w:rFonts w:ascii="Times New Roman" w:hAnsi="Times New Roman" w:eastAsia="Times New Roman" w:cs="Times New Roman"/>
          <w:spacing w:val="-1"/>
          <w:sz w:val="24"/>
          <w:szCs w:val="24"/>
        </w:rPr>
        <w:t>us on the</w:t>
      </w:r>
      <w:r>
        <w:rPr>
          <w:rFonts w:ascii="Times New Roman" w:hAnsi="Times New Roman" w:eastAsia="Times New Roman" w:cs="Times New Roman"/>
          <w:sz w:val="24"/>
          <w:szCs w:val="24"/>
        </w:rPr>
        <w:t xml:space="preserve"> organization's mission. Using QM and building a quality culture, includin</w:t>
      </w:r>
      <w:r>
        <w:rPr>
          <w:rFonts w:ascii="Times New Roman" w:hAnsi="Times New Roman" w:eastAsia="Times New Roman" w:cs="Times New Roman"/>
          <w:spacing w:val="-1"/>
          <w:sz w:val="24"/>
          <w:szCs w:val="24"/>
        </w:rPr>
        <w:t>g everybody’s</w:t>
      </w:r>
      <w:r>
        <w:rPr>
          <w:rFonts w:ascii="Times New Roman" w:hAnsi="Times New Roman" w:eastAsia="Times New Roman" w:cs="Times New Roman"/>
          <w:sz w:val="24"/>
          <w:szCs w:val="24"/>
        </w:rPr>
        <w:t xml:space="preserve">   commitment (3), focus on processe</w:t>
      </w:r>
      <w:r>
        <w:rPr>
          <w:rFonts w:ascii="Times New Roman" w:hAnsi="Times New Roman" w:eastAsia="Times New Roman" w:cs="Times New Roman"/>
          <w:spacing w:val="-1"/>
          <w:sz w:val="24"/>
          <w:szCs w:val="24"/>
        </w:rPr>
        <w:t>s (4) 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evaluate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facilitates this.</w:t>
      </w:r>
    </w:p>
    <w:p>
      <w:pPr>
        <w:spacing w:before="257" w:line="187" w:lineRule="auto"/>
        <w:ind w:left="1396"/>
        <w:rPr>
          <w:rFonts w:ascii="Times New Roman" w:hAnsi="Times New Roman" w:eastAsia="Times New Roman" w:cs="Times New Roman"/>
          <w:sz w:val="28"/>
          <w:szCs w:val="28"/>
        </w:rPr>
      </w:pPr>
      <w:r>
        <w:rPr>
          <w:rFonts w:ascii="Times New Roman" w:hAnsi="Times New Roman" w:eastAsia="Times New Roman" w:cs="Times New Roman"/>
          <w:b/>
          <w:bCs/>
          <w:spacing w:val="-1"/>
          <w:sz w:val="28"/>
          <w:szCs w:val="28"/>
        </w:rPr>
        <w:t>Learning Organization</w:t>
      </w:r>
    </w:p>
    <w:p>
      <w:pPr>
        <w:spacing w:before="36" w:line="228" w:lineRule="auto"/>
        <w:ind w:left="1392"/>
        <w:rPr>
          <w:rFonts w:ascii="Times New Roman" w:hAnsi="Times New Roman" w:eastAsia="Times New Roman" w:cs="Times New Roman"/>
          <w:sz w:val="24"/>
          <w:szCs w:val="24"/>
        </w:rPr>
      </w:pPr>
      <w:r>
        <w:rPr>
          <w:rFonts w:ascii="Times New Roman" w:hAnsi="Times New Roman" w:eastAsia="Times New Roman" w:cs="Times New Roman"/>
          <w:sz w:val="24"/>
          <w:szCs w:val="24"/>
        </w:rPr>
        <w:t>Adding the ability to implement improvements, to the five conclusions above,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w:t>
      </w:r>
      <w:r>
        <w:rPr>
          <w:rFonts w:ascii="Times New Roman" w:hAnsi="Times New Roman" w:eastAsia="Times New Roman" w:cs="Times New Roman"/>
          <w:spacing w:val="-1"/>
          <w:sz w:val="24"/>
          <w:szCs w:val="24"/>
        </w:rPr>
        <w: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organization</w:t>
      </w:r>
    </w:p>
    <w:p>
      <w:pPr>
        <w:spacing w:before="39" w:line="243" w:lineRule="auto"/>
        <w:ind w:left="1392" w:right="6"/>
        <w:rPr>
          <w:rFonts w:ascii="Times New Roman" w:hAnsi="Times New Roman" w:eastAsia="Times New Roman" w:cs="Times New Roman"/>
          <w:sz w:val="24"/>
          <w:szCs w:val="24"/>
        </w:rPr>
      </w:pPr>
      <w:r>
        <w:rPr>
          <w:rFonts w:ascii="Times New Roman" w:hAnsi="Times New Roman" w:eastAsia="Times New Roman" w:cs="Times New Roman"/>
          <w:sz w:val="24"/>
          <w:szCs w:val="24"/>
        </w:rPr>
        <w:t>has the opportunity to become a learning organization. A learning organizat</w:t>
      </w:r>
      <w:r>
        <w:rPr>
          <w:rFonts w:ascii="Times New Roman" w:hAnsi="Times New Roman" w:eastAsia="Times New Roman" w:cs="Times New Roman"/>
          <w:spacing w:val="-1"/>
          <w:sz w:val="24"/>
          <w:szCs w:val="24"/>
        </w:rPr>
        <w:t>ion is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organization</w:t>
      </w:r>
      <w:r>
        <w:rPr>
          <w:rFonts w:ascii="Times New Roman" w:hAnsi="Times New Roman" w:eastAsia="Times New Roman" w:cs="Times New Roman"/>
          <w:sz w:val="24"/>
          <w:szCs w:val="24"/>
        </w:rPr>
        <w:t xml:space="preserve"> which continuously learns from its own expe</w:t>
      </w:r>
      <w:r>
        <w:rPr>
          <w:rFonts w:ascii="Times New Roman" w:hAnsi="Times New Roman" w:eastAsia="Times New Roman" w:cs="Times New Roman"/>
          <w:spacing w:val="-1"/>
          <w:sz w:val="24"/>
          <w:szCs w:val="24"/>
        </w:rPr>
        <w:t>riences in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order to</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solve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their</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assignments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w:t>
      </w:r>
    </w:p>
    <w:p>
      <w:pPr>
        <w:spacing w:before="35" w:line="228" w:lineRule="auto"/>
        <w:ind w:left="1390"/>
        <w:rPr>
          <w:rFonts w:ascii="Times New Roman" w:hAnsi="Times New Roman" w:eastAsia="Times New Roman" w:cs="Times New Roman"/>
          <w:sz w:val="24"/>
          <w:szCs w:val="24"/>
        </w:rPr>
      </w:pPr>
      <w:r>
        <w:rPr>
          <w:rFonts w:ascii="Times New Roman" w:hAnsi="Times New Roman" w:eastAsia="Times New Roman" w:cs="Times New Roman"/>
          <w:sz w:val="24"/>
          <w:szCs w:val="24"/>
        </w:rPr>
        <w:t>better way (</w:t>
      </w:r>
      <w:r>
        <w:rPr>
          <w:rFonts w:ascii="Times New Roman" w:hAnsi="Times New Roman" w:eastAsia="Times New Roman" w:cs="Times New Roman"/>
          <w:sz w:val="24"/>
          <w:szCs w:val="24"/>
          <w:u w:val="single" w:color="auto"/>
        </w:rPr>
        <w:t>NE</w:t>
      </w:r>
      <w:r>
        <w:rPr>
          <w:rFonts w:ascii="Times New Roman" w:hAnsi="Times New Roman" w:eastAsia="Times New Roman" w:cs="Times New Roman"/>
          <w:sz w:val="24"/>
          <w:szCs w:val="24"/>
        </w:rPr>
        <w:t>), i.e. work with continuous improvements. Learning organizations require</w:t>
      </w:r>
    </w:p>
    <w:p>
      <w:pPr>
        <w:spacing w:before="37" w:line="243" w:lineRule="auto"/>
        <w:ind w:left="1400" w:right="241"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learning individuals (</w:t>
      </w:r>
      <w:r>
        <w:rPr>
          <w:rFonts w:ascii="Times New Roman" w:hAnsi="Times New Roman" w:eastAsia="Times New Roman" w:cs="Times New Roman"/>
          <w:sz w:val="24"/>
          <w:szCs w:val="24"/>
          <w:u w:val="single" w:color="auto"/>
        </w:rPr>
        <w:t>Sarv,</w:t>
      </w:r>
      <w:r>
        <w:rPr>
          <w:rFonts w:ascii="Times New Roman" w:hAnsi="Times New Roman" w:eastAsia="Times New Roman" w:cs="Times New Roman"/>
          <w:spacing w:val="29"/>
          <w:sz w:val="24"/>
          <w:szCs w:val="24"/>
          <w:u w:val="single" w:color="auto"/>
        </w:rPr>
        <w:t xml:space="preserve"> </w:t>
      </w:r>
      <w:r>
        <w:rPr>
          <w:rFonts w:ascii="Times New Roman" w:hAnsi="Times New Roman" w:eastAsia="Times New Roman" w:cs="Times New Roman"/>
          <w:sz w:val="24"/>
          <w:szCs w:val="24"/>
          <w:u w:val="single" w:color="auto"/>
        </w:rPr>
        <w:t>1997</w:t>
      </w:r>
      <w:r>
        <w:rPr>
          <w:rFonts w:ascii="Times New Roman" w:hAnsi="Times New Roman" w:eastAsia="Times New Roman" w:cs="Times New Roman"/>
          <w:sz w:val="24"/>
          <w:szCs w:val="24"/>
        </w:rPr>
        <w:t>). Continuous imp</w:t>
      </w:r>
      <w:r>
        <w:rPr>
          <w:rFonts w:ascii="Times New Roman" w:hAnsi="Times New Roman" w:eastAsia="Times New Roman" w:cs="Times New Roman"/>
          <w:spacing w:val="-1"/>
          <w:sz w:val="24"/>
          <w:szCs w:val="24"/>
        </w:rPr>
        <w:t>rovements require a commitment to</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learning</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Garvin,</w:t>
      </w:r>
      <w:r>
        <w:rPr>
          <w:rFonts w:ascii="Times New Roman" w:hAnsi="Times New Roman" w:eastAsia="Times New Roman" w:cs="Times New Roman"/>
          <w:spacing w:val="45"/>
          <w:w w:val="101"/>
          <w:sz w:val="24"/>
          <w:szCs w:val="24"/>
          <w:u w:val="single" w:color="auto"/>
        </w:rPr>
        <w:t xml:space="preserve"> </w:t>
      </w:r>
      <w:r>
        <w:rPr>
          <w:rFonts w:ascii="Times New Roman" w:hAnsi="Times New Roman" w:eastAsia="Times New Roman" w:cs="Times New Roman"/>
          <w:spacing w:val="-1"/>
          <w:sz w:val="24"/>
          <w:szCs w:val="24"/>
          <w:u w:val="single" w:color="auto"/>
        </w:rPr>
        <w:t>1998</w:t>
      </w:r>
      <w:r>
        <w:rPr>
          <w:rFonts w:ascii="Times New Roman" w:hAnsi="Times New Roman" w:eastAsia="Times New Roman" w:cs="Times New Roman"/>
          <w:spacing w:val="-1"/>
          <w:sz w:val="24"/>
          <w:szCs w:val="24"/>
        </w:rPr>
        <w:t>). Therefore, in order to be a learning organization,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important to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create</w:t>
      </w:r>
    </w:p>
    <w:p>
      <w:pPr>
        <w:spacing w:before="35"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z w:val="24"/>
          <w:szCs w:val="24"/>
        </w:rPr>
        <w:t>conditions and opportunities for all employees to be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c</w:t>
      </w:r>
      <w:r>
        <w:rPr>
          <w:rFonts w:ascii="Times New Roman" w:hAnsi="Times New Roman" w:eastAsia="Times New Roman" w:cs="Times New Roman"/>
          <w:spacing w:val="-1"/>
          <w:sz w:val="24"/>
          <w:szCs w:val="24"/>
        </w:rPr>
        <w:t>ommitted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actively participate in</w:t>
      </w:r>
    </w:p>
    <w:p>
      <w:pPr>
        <w:spacing w:before="36" w:line="243" w:lineRule="auto"/>
        <w:ind w:left="1397" w:right="365"/>
        <w:rPr>
          <w:rFonts w:ascii="Times New Roman" w:hAnsi="Times New Roman" w:eastAsia="Times New Roman" w:cs="Times New Roman"/>
          <w:sz w:val="24"/>
          <w:szCs w:val="24"/>
        </w:rPr>
      </w:pPr>
      <w:r>
        <w:rPr>
          <w:rFonts w:ascii="Times New Roman" w:hAnsi="Times New Roman" w:eastAsia="Times New Roman" w:cs="Times New Roman"/>
          <w:sz w:val="24"/>
          <w:szCs w:val="24"/>
        </w:rPr>
        <w:t>improvement work (</w:t>
      </w:r>
      <w:r>
        <w:rPr>
          <w:rFonts w:ascii="Times New Roman" w:hAnsi="Times New Roman" w:eastAsia="Times New Roman" w:cs="Times New Roman"/>
          <w:sz w:val="24"/>
          <w:szCs w:val="24"/>
          <w:u w:val="single" w:color="auto"/>
        </w:rPr>
        <w:t>Bergman, 2010</w:t>
      </w:r>
      <w:r>
        <w:rPr>
          <w:rFonts w:ascii="Times New Roman" w:hAnsi="Times New Roman" w:eastAsia="Times New Roman" w:cs="Times New Roman"/>
          <w:sz w:val="24"/>
          <w:szCs w:val="24"/>
        </w:rPr>
        <w:t>). Participation and commitment are achie</w:t>
      </w:r>
      <w:r>
        <w:rPr>
          <w:rFonts w:ascii="Times New Roman" w:hAnsi="Times New Roman" w:eastAsia="Times New Roman" w:cs="Times New Roman"/>
          <w:spacing w:val="-1"/>
          <w:sz w:val="24"/>
          <w:szCs w:val="24"/>
        </w:rPr>
        <w:t>ved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through</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z w:val="24"/>
          <w:szCs w:val="24"/>
        </w:rPr>
        <w:t xml:space="preserve"> delegation of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responsibility and authority (</w:t>
      </w:r>
      <w:r>
        <w:rPr>
          <w:rFonts w:ascii="Times New Roman" w:hAnsi="Times New Roman" w:eastAsia="Times New Roman" w:cs="Times New Roman"/>
          <w:sz w:val="24"/>
          <w:szCs w:val="24"/>
          <w:u w:val="single" w:color="auto"/>
        </w:rPr>
        <w:t>Bergman, 2010</w:t>
      </w:r>
      <w:r>
        <w:rPr>
          <w:rFonts w:ascii="Times New Roman" w:hAnsi="Times New Roman" w:eastAsia="Times New Roman" w:cs="Times New Roman"/>
          <w:sz w:val="24"/>
          <w:szCs w:val="24"/>
        </w:rPr>
        <w:t>) and hence leadership</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is vital.</w:t>
      </w:r>
    </w:p>
    <w:p>
      <w:pPr>
        <w:spacing w:before="36" w:line="228" w:lineRule="auto"/>
        <w:ind w:left="1392"/>
        <w:rPr>
          <w:rFonts w:ascii="Times New Roman" w:hAnsi="Times New Roman" w:eastAsia="Times New Roman" w:cs="Times New Roman"/>
          <w:sz w:val="24"/>
          <w:szCs w:val="24"/>
        </w:rPr>
      </w:pPr>
      <w:r>
        <w:rPr>
          <w:rFonts w:ascii="Times New Roman" w:hAnsi="Times New Roman" w:eastAsia="Times New Roman" w:cs="Times New Roman"/>
          <w:sz w:val="24"/>
          <w:szCs w:val="24"/>
        </w:rPr>
        <w:t>According to the authors’ experience in HEI, the professionals, i.e. teachers and researc</w:t>
      </w:r>
      <w:r>
        <w:rPr>
          <w:rFonts w:ascii="Times New Roman" w:hAnsi="Times New Roman" w:eastAsia="Times New Roman" w:cs="Times New Roman"/>
          <w:spacing w:val="-1"/>
          <w:sz w:val="24"/>
          <w:szCs w:val="24"/>
        </w:rPr>
        <w:t>hers,</w:t>
      </w:r>
    </w:p>
    <w:p>
      <w:pPr>
        <w:spacing w:before="36" w:line="243" w:lineRule="auto"/>
        <w:ind w:left="1398" w:right="26" w:hanging="6"/>
        <w:rPr>
          <w:rFonts w:ascii="Times New Roman" w:hAnsi="Times New Roman" w:eastAsia="Times New Roman" w:cs="Times New Roman"/>
          <w:sz w:val="24"/>
          <w:szCs w:val="24"/>
        </w:rPr>
      </w:pPr>
      <w:r>
        <w:rPr>
          <w:rFonts w:ascii="Times New Roman" w:hAnsi="Times New Roman" w:eastAsia="Times New Roman" w:cs="Times New Roman"/>
          <w:sz w:val="24"/>
          <w:szCs w:val="24"/>
        </w:rPr>
        <w:t>method of</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working is planning, implementing, observing, measuring, analysing and l</w:t>
      </w:r>
      <w:r>
        <w:rPr>
          <w:rFonts w:ascii="Times New Roman" w:hAnsi="Times New Roman" w:eastAsia="Times New Roman" w:cs="Times New Roman"/>
          <w:spacing w:val="-1"/>
          <w:sz w:val="24"/>
          <w:szCs w:val="24"/>
        </w:rPr>
        <w:t xml:space="preserve">earning in    </w:t>
      </w:r>
      <w:r>
        <w:rPr>
          <w:rFonts w:ascii="Times New Roman" w:hAnsi="Times New Roman" w:eastAsia="Times New Roman" w:cs="Times New Roman"/>
          <w:sz w:val="24"/>
          <w:szCs w:val="24"/>
        </w:rPr>
        <w:t>order to gain new knowledge (thus the PDSA-cycle, se</w:t>
      </w:r>
      <w:r>
        <w:rPr>
          <w:rFonts w:ascii="Times New Roman" w:hAnsi="Times New Roman" w:eastAsia="Times New Roman" w:cs="Times New Roman"/>
          <w:spacing w:val="-1"/>
          <w:sz w:val="24"/>
          <w:szCs w:val="24"/>
        </w:rPr>
        <w:t>e (</w:t>
      </w:r>
      <w:r>
        <w:rPr>
          <w:rFonts w:ascii="Times New Roman" w:hAnsi="Times New Roman" w:eastAsia="Times New Roman" w:cs="Times New Roman"/>
          <w:spacing w:val="-1"/>
          <w:sz w:val="24"/>
          <w:szCs w:val="24"/>
          <w:u w:val="single" w:color="auto"/>
        </w:rPr>
        <w:t>Deming,</w:t>
      </w:r>
      <w:r>
        <w:rPr>
          <w:rFonts w:ascii="Times New Roman" w:hAnsi="Times New Roman" w:eastAsia="Times New Roman" w:cs="Times New Roman"/>
          <w:spacing w:val="28"/>
          <w:sz w:val="24"/>
          <w:szCs w:val="24"/>
          <w:u w:val="single" w:color="auto"/>
        </w:rPr>
        <w:t xml:space="preserve"> </w:t>
      </w:r>
      <w:r>
        <w:rPr>
          <w:rFonts w:ascii="Times New Roman" w:hAnsi="Times New Roman" w:eastAsia="Times New Roman" w:cs="Times New Roman"/>
          <w:spacing w:val="-1"/>
          <w:sz w:val="24"/>
          <w:szCs w:val="24"/>
          <w:u w:val="single" w:color="auto"/>
        </w:rPr>
        <w:t>1994</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If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HEI</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can use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this</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1" w:line="213" w:lineRule="exact"/>
        <w:ind w:firstLine="1151"/>
      </w:pPr>
      <w:r>
        <w:rPr>
          <w:position w:val="-4"/>
        </w:rPr>
        <w:drawing>
          <wp:inline distT="0" distB="0" distL="0" distR="0">
            <wp:extent cx="1849120" cy="13462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1109" w:bottom="100" w:left="48" w:header="0" w:footer="0" w:gutter="0"/>
          <w:cols w:space="720" w:num="1"/>
        </w:sectPr>
      </w:pPr>
    </w:p>
    <w:p>
      <w:pPr>
        <w:spacing w:line="245" w:lineRule="auto"/>
        <w:rPr>
          <w:rFonts w:ascii="Arial"/>
          <w:sz w:val="21"/>
        </w:rPr>
      </w:pPr>
      <w:r>
        <mc:AlternateContent>
          <mc:Choice Requires="wps">
            <w:drawing>
              <wp:anchor distT="0" distB="0" distL="0" distR="0" simplePos="0" relativeHeight="251755520"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172" name="TextBox 172"/>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2" o:spid="_x0000_s1026" o:spt="202" type="#_x0000_t202" style="position:absolute;left:0pt;margin-left:-120.15pt;margin-top:416.25pt;height:9.3pt;width:252.55pt;mso-position-horizontal-relative:page;mso-position-vertical-relative:page;rotation:-5898240f;z-index:251755520;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9+V8tsAAAAMAQAADwAAAAAAAAABACAAAAAiAAAAZHJzL2Rv&#10;d25yZXYueG1sUEsBAhQAFAAAAAgAh07iQAIiUNQ3AgAAcQQAAA4AAAAAAAAAAQAgAAAAKgEAAGRy&#10;cy9lMm9Eb2MueG1sUEsFBgAAAAAGAAYAWQEAANMFA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9" w:line="242" w:lineRule="auto"/>
        <w:ind w:left="1395" w:right="414" w:firstLine="7"/>
        <w:rPr>
          <w:rFonts w:ascii="Times New Roman" w:hAnsi="Times New Roman" w:eastAsia="Times New Roman" w:cs="Times New Roman"/>
          <w:sz w:val="24"/>
          <w:szCs w:val="24"/>
        </w:rPr>
      </w:pPr>
      <w:r>
        <w:rPr>
          <w:rFonts w:ascii="Times New Roman" w:hAnsi="Times New Roman" w:eastAsia="Times New Roman" w:cs="Times New Roman"/>
          <w:sz w:val="24"/>
          <w:szCs w:val="24"/>
        </w:rPr>
        <w:t>systematic way of</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working in the whole organization, there are excellent opportunities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for all HEI:s to be “learnin</w:t>
      </w:r>
      <w:r>
        <w:rPr>
          <w:rFonts w:ascii="Times New Roman" w:hAnsi="Times New Roman" w:eastAsia="Times New Roman" w:cs="Times New Roman"/>
          <w:spacing w:val="-1"/>
          <w:sz w:val="24"/>
          <w:szCs w:val="24"/>
        </w:rPr>
        <w:t>g organizations” (</w:t>
      </w:r>
      <w:r>
        <w:rPr>
          <w:rFonts w:ascii="Times New Roman" w:hAnsi="Times New Roman" w:eastAsia="Times New Roman" w:cs="Times New Roman"/>
          <w:spacing w:val="-1"/>
          <w:sz w:val="24"/>
          <w:szCs w:val="24"/>
          <w:u w:val="single" w:color="auto"/>
        </w:rPr>
        <w:t>Senge,</w:t>
      </w:r>
      <w:r>
        <w:rPr>
          <w:rFonts w:ascii="Times New Roman" w:hAnsi="Times New Roman" w:eastAsia="Times New Roman" w:cs="Times New Roman"/>
          <w:spacing w:val="28"/>
          <w:sz w:val="24"/>
          <w:szCs w:val="24"/>
          <w:u w:val="single" w:color="auto"/>
        </w:rPr>
        <w:t xml:space="preserve"> </w:t>
      </w:r>
      <w:r>
        <w:rPr>
          <w:rFonts w:ascii="Times New Roman" w:hAnsi="Times New Roman" w:eastAsia="Times New Roman" w:cs="Times New Roman"/>
          <w:spacing w:val="-1"/>
          <w:sz w:val="24"/>
          <w:szCs w:val="24"/>
          <w:u w:val="single" w:color="auto"/>
        </w:rPr>
        <w:t>1990</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u w:val="single" w:color="auto"/>
        </w:rPr>
        <w:t>Marquardt,</w:t>
      </w:r>
      <w:r>
        <w:rPr>
          <w:rFonts w:ascii="Times New Roman" w:hAnsi="Times New Roman" w:eastAsia="Times New Roman" w:cs="Times New Roman"/>
          <w:spacing w:val="28"/>
          <w:sz w:val="24"/>
          <w:szCs w:val="24"/>
          <w:u w:val="single" w:color="auto"/>
        </w:rPr>
        <w:t xml:space="preserve"> </w:t>
      </w:r>
      <w:r>
        <w:rPr>
          <w:rFonts w:ascii="Times New Roman" w:hAnsi="Times New Roman" w:eastAsia="Times New Roman" w:cs="Times New Roman"/>
          <w:spacing w:val="-1"/>
          <w:sz w:val="24"/>
          <w:szCs w:val="24"/>
          <w:u w:val="single" w:color="auto"/>
        </w:rPr>
        <w:t>1996</w:t>
      </w:r>
      <w:r>
        <w:rPr>
          <w:rFonts w:ascii="Times New Roman" w:hAnsi="Times New Roman" w:eastAsia="Times New Roman" w:cs="Times New Roman"/>
          <w:spacing w:val="-1"/>
          <w:sz w:val="24"/>
          <w:szCs w:val="24"/>
        </w:rPr>
        <w:t>).</w:t>
      </w:r>
    </w:p>
    <w:p>
      <w:pPr>
        <w:spacing w:before="257" w:line="187" w:lineRule="auto"/>
        <w:ind w:left="1402"/>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Change Process in Macro and Micro Pe</w:t>
      </w:r>
      <w:r>
        <w:rPr>
          <w:rFonts w:ascii="Times New Roman" w:hAnsi="Times New Roman" w:eastAsia="Times New Roman" w:cs="Times New Roman"/>
          <w:b/>
          <w:bCs/>
          <w:spacing w:val="-1"/>
          <w:sz w:val="28"/>
          <w:szCs w:val="28"/>
        </w:rPr>
        <w:t>rspective</w:t>
      </w:r>
    </w:p>
    <w:p>
      <w:pPr>
        <w:spacing w:before="37" w:line="249" w:lineRule="auto"/>
        <w:ind w:left="1390" w:right="292" w:firstLine="4"/>
        <w:rPr>
          <w:rFonts w:ascii="Times New Roman" w:hAnsi="Times New Roman" w:eastAsia="Times New Roman" w:cs="Times New Roman"/>
          <w:sz w:val="24"/>
          <w:szCs w:val="24"/>
        </w:rPr>
      </w:pPr>
      <w:r>
        <w:rPr>
          <w:rFonts w:ascii="Times New Roman" w:hAnsi="Times New Roman" w:eastAsia="Times New Roman" w:cs="Times New Roman"/>
          <w:sz w:val="24"/>
          <w:szCs w:val="24"/>
        </w:rPr>
        <w:t>Many failures when implementing changes are related to bad implementation of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strategie</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z w:val="24"/>
          <w:szCs w:val="24"/>
        </w:rPr>
        <w:t xml:space="preserve"> processes (</w:t>
      </w:r>
      <w:r>
        <w:rPr>
          <w:rFonts w:ascii="Times New Roman" w:hAnsi="Times New Roman" w:eastAsia="Times New Roman" w:cs="Times New Roman"/>
          <w:sz w:val="24"/>
          <w:szCs w:val="24"/>
          <w:u w:val="single" w:color="auto"/>
        </w:rPr>
        <w:t>Hansson, 2003</w:t>
      </w:r>
      <w:r>
        <w:rPr>
          <w:rFonts w:ascii="Times New Roman" w:hAnsi="Times New Roman" w:eastAsia="Times New Roman" w:cs="Times New Roman"/>
          <w:sz w:val="24"/>
          <w:szCs w:val="24"/>
        </w:rPr>
        <w:t>), and hence management must improve their knowledge concerning change management (</w:t>
      </w:r>
      <w:r>
        <w:rPr>
          <w:rFonts w:ascii="Times New Roman" w:hAnsi="Times New Roman" w:eastAsia="Times New Roman" w:cs="Times New Roman"/>
          <w:sz w:val="24"/>
          <w:szCs w:val="24"/>
          <w:u w:val="single" w:color="auto"/>
        </w:rPr>
        <w:t>Thomsen,</w:t>
      </w:r>
      <w:r>
        <w:rPr>
          <w:rFonts w:ascii="Times New Roman" w:hAnsi="Times New Roman" w:eastAsia="Times New Roman" w:cs="Times New Roman"/>
          <w:spacing w:val="28"/>
          <w:w w:val="101"/>
          <w:sz w:val="24"/>
          <w:szCs w:val="24"/>
          <w:u w:val="single" w:color="auto"/>
        </w:rPr>
        <w:t xml:space="preserve"> </w:t>
      </w:r>
      <w:r>
        <w:rPr>
          <w:rFonts w:ascii="Times New Roman" w:hAnsi="Times New Roman" w:eastAsia="Times New Roman" w:cs="Times New Roman"/>
          <w:sz w:val="24"/>
          <w:szCs w:val="24"/>
          <w:u w:val="single" w:color="auto"/>
        </w:rPr>
        <w:t>1996</w:t>
      </w:r>
      <w:r>
        <w:rPr>
          <w:rFonts w:ascii="Times New Roman" w:hAnsi="Times New Roman" w:eastAsia="Times New Roman" w:cs="Times New Roman"/>
          <w:sz w:val="24"/>
          <w:szCs w:val="24"/>
        </w:rPr>
        <w:t>). There is also a lot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theory discussing the process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of</w:t>
      </w:r>
    </w:p>
    <w:p>
      <w:pPr>
        <w:spacing w:before="33" w:line="254" w:lineRule="auto"/>
        <w:ind w:left="1390" w:right="86" w:firstLine="8"/>
        <w:rPr>
          <w:rFonts w:ascii="Times New Roman" w:hAnsi="Times New Roman" w:eastAsia="Times New Roman" w:cs="Times New Roman"/>
          <w:sz w:val="24"/>
          <w:szCs w:val="24"/>
        </w:rPr>
      </w:pPr>
      <w:r>
        <w:rPr>
          <w:rFonts w:ascii="Times New Roman" w:hAnsi="Times New Roman" w:eastAsia="Times New Roman" w:cs="Times New Roman"/>
          <w:sz w:val="24"/>
          <w:szCs w:val="24"/>
        </w:rPr>
        <w:t>change and how to implement</w:t>
      </w:r>
      <w:r>
        <w:rPr>
          <w:rFonts w:ascii="Times New Roman" w:hAnsi="Times New Roman" w:eastAsia="Times New Roman" w:cs="Times New Roman"/>
          <w:spacing w:val="-1"/>
          <w:sz w:val="24"/>
          <w:szCs w:val="24"/>
        </w:rPr>
        <w:t xml:space="preserve"> changes successfully. For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example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Kotter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Kotter,</w:t>
      </w:r>
      <w:r>
        <w:rPr>
          <w:rFonts w:ascii="Times New Roman" w:hAnsi="Times New Roman" w:eastAsia="Times New Roman" w:cs="Times New Roman"/>
          <w:spacing w:val="28"/>
          <w:w w:val="101"/>
          <w:sz w:val="24"/>
          <w:szCs w:val="24"/>
          <w:u w:val="single" w:color="auto"/>
        </w:rPr>
        <w:t xml:space="preserve"> </w:t>
      </w:r>
      <w:r>
        <w:rPr>
          <w:rFonts w:ascii="Times New Roman" w:hAnsi="Times New Roman" w:eastAsia="Times New Roman" w:cs="Times New Roman"/>
          <w:spacing w:val="-1"/>
          <w:sz w:val="24"/>
          <w:szCs w:val="24"/>
          <w:u w:val="single" w:color="auto"/>
        </w:rPr>
        <w:t>1996</w:t>
      </w:r>
      <w:r>
        <w:rPr>
          <w:rFonts w:ascii="Times New Roman" w:hAnsi="Times New Roman" w:eastAsia="Times New Roman" w:cs="Times New Roman"/>
          <w:spacing w:val="-1"/>
          <w:sz w:val="24"/>
          <w:szCs w:val="24"/>
        </w:rPr>
        <w:t xml:space="preserve">) presents </w:t>
      </w:r>
      <w:r>
        <w:rPr>
          <w:rFonts w:ascii="Times New Roman" w:hAnsi="Times New Roman" w:eastAsia="Times New Roman" w:cs="Times New Roman"/>
          <w:sz w:val="24"/>
          <w:szCs w:val="24"/>
        </w:rPr>
        <w:t>an eight-stage process for successful implementation of</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change. Other</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authors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and rese</w:t>
      </w:r>
      <w:r>
        <w:rPr>
          <w:rFonts w:ascii="Times New Roman" w:hAnsi="Times New Roman" w:eastAsia="Times New Roman" w:cs="Times New Roman"/>
          <w:spacing w:val="-1"/>
          <w:sz w:val="24"/>
          <w:szCs w:val="24"/>
        </w:rPr>
        <w:t>archers</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have showed similar success factors (</w:t>
      </w:r>
      <w:r>
        <w:rPr>
          <w:rFonts w:ascii="Times New Roman" w:hAnsi="Times New Roman" w:eastAsia="Times New Roman" w:cs="Times New Roman"/>
          <w:spacing w:val="-1"/>
          <w:sz w:val="24"/>
          <w:szCs w:val="24"/>
          <w:u w:val="single" w:color="auto"/>
        </w:rPr>
        <w:t>Hansson,</w:t>
      </w:r>
      <w:r>
        <w:rPr>
          <w:rFonts w:ascii="Times New Roman" w:hAnsi="Times New Roman" w:eastAsia="Times New Roman" w:cs="Times New Roman"/>
          <w:spacing w:val="21"/>
          <w:sz w:val="24"/>
          <w:szCs w:val="24"/>
          <w:u w:val="single" w:color="auto"/>
        </w:rPr>
        <w:t xml:space="preserve"> </w:t>
      </w:r>
      <w:r>
        <w:rPr>
          <w:rFonts w:ascii="Times New Roman" w:hAnsi="Times New Roman" w:eastAsia="Times New Roman" w:cs="Times New Roman"/>
          <w:spacing w:val="-1"/>
          <w:sz w:val="24"/>
          <w:szCs w:val="24"/>
          <w:u w:val="single" w:color="auto"/>
        </w:rPr>
        <w:t>2003</w:t>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Thomsen,</w:t>
      </w:r>
      <w:r>
        <w:rPr>
          <w:rFonts w:ascii="Times New Roman" w:hAnsi="Times New Roman" w:eastAsia="Times New Roman" w:cs="Times New Roman"/>
          <w:spacing w:val="28"/>
          <w:sz w:val="24"/>
          <w:szCs w:val="24"/>
          <w:u w:val="single" w:color="auto"/>
        </w:rPr>
        <w:t xml:space="preserve"> </w:t>
      </w:r>
      <w:r>
        <w:rPr>
          <w:rFonts w:ascii="Times New Roman" w:hAnsi="Times New Roman" w:eastAsia="Times New Roman" w:cs="Times New Roman"/>
          <w:spacing w:val="-1"/>
          <w:sz w:val="24"/>
          <w:szCs w:val="24"/>
          <w:u w:val="single" w:color="auto"/>
        </w:rPr>
        <w:t>1996</w:t>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Cunningham,</w:t>
      </w:r>
      <w:r>
        <w:rPr>
          <w:rFonts w:ascii="Times New Roman" w:hAnsi="Times New Roman" w:eastAsia="Times New Roman" w:cs="Times New Roman"/>
          <w:spacing w:val="5"/>
          <w:sz w:val="24"/>
          <w:szCs w:val="24"/>
          <w:u w:val="single" w:color="auto"/>
        </w:rPr>
        <w:t xml:space="preserve"> </w:t>
      </w:r>
      <w:r>
        <w:rPr>
          <w:rFonts w:ascii="Times New Roman" w:hAnsi="Times New Roman" w:eastAsia="Times New Roman" w:cs="Times New Roman"/>
          <w:spacing w:val="-1"/>
          <w:sz w:val="24"/>
          <w:szCs w:val="24"/>
          <w:u w:val="single" w:color="auto"/>
        </w:rPr>
        <w:t>2009</w:t>
      </w:r>
      <w:r>
        <w:rPr>
          <w:rFonts w:ascii="Times New Roman" w:hAnsi="Times New Roman" w:eastAsia="Times New Roman" w:cs="Times New Roman"/>
          <w:spacing w:val="-1"/>
          <w:sz w:val="24"/>
          <w:szCs w:val="24"/>
        </w:rPr>
        <w: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 xml:space="preserve">A  </w:t>
      </w:r>
      <w:r>
        <w:rPr>
          <w:rFonts w:ascii="Times New Roman" w:hAnsi="Times New Roman" w:eastAsia="Times New Roman" w:cs="Times New Roman"/>
          <w:sz w:val="24"/>
          <w:szCs w:val="24"/>
        </w:rPr>
        <w:t>summary of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success factors, which are important and common when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implementing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c</w:t>
      </w:r>
      <w:r>
        <w:rPr>
          <w:rFonts w:ascii="Times New Roman" w:hAnsi="Times New Roman" w:eastAsia="Times New Roman" w:cs="Times New Roman"/>
          <w:spacing w:val="-1"/>
          <w:sz w:val="24"/>
          <w:szCs w:val="24"/>
        </w:rPr>
        <w:t>hanges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can</w:t>
      </w:r>
      <w:r>
        <w:rPr>
          <w:rFonts w:ascii="Times New Roman" w:hAnsi="Times New Roman" w:eastAsia="Times New Roman" w:cs="Times New Roman"/>
          <w:sz w:val="24"/>
          <w:szCs w:val="24"/>
        </w:rPr>
        <w:t xml:space="preserve">  be found in Lycke (</w:t>
      </w:r>
      <w:r>
        <w:rPr>
          <w:rFonts w:ascii="Times New Roman" w:hAnsi="Times New Roman" w:eastAsia="Times New Roman" w:cs="Times New Roman"/>
          <w:sz w:val="24"/>
          <w:szCs w:val="24"/>
          <w:u w:val="single" w:color="auto"/>
        </w:rPr>
        <w:t>Lycke, 200</w:t>
      </w:r>
      <w:r>
        <w:rPr>
          <w:rFonts w:ascii="Times New Roman" w:hAnsi="Times New Roman" w:eastAsia="Times New Roman" w:cs="Times New Roman"/>
          <w:spacing w:val="-1"/>
          <w:sz w:val="24"/>
          <w:szCs w:val="24"/>
          <w:u w:val="single" w:color="auto"/>
        </w:rPr>
        <w:t>0</w:t>
      </w:r>
      <w:r>
        <w:rPr>
          <w:rFonts w:ascii="Times New Roman" w:hAnsi="Times New Roman" w:eastAsia="Times New Roman" w:cs="Times New Roman"/>
          <w:spacing w:val="-1"/>
          <w:sz w:val="24"/>
          <w:szCs w:val="24"/>
        </w:rPr>
        <w:t>). These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success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factors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are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all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focusing on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macro perspective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or</w:t>
      </w:r>
      <w:r>
        <w:rPr>
          <w:rFonts w:ascii="Times New Roman" w:hAnsi="Times New Roman" w:eastAsia="Times New Roman" w:cs="Times New Roman"/>
          <w:sz w:val="24"/>
          <w:szCs w:val="24"/>
        </w:rPr>
        <w:t xml:space="preserve"> having systems-oriented focus. Later research has also focused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on the micro</w:t>
      </w:r>
      <w:r>
        <w:rPr>
          <w:rFonts w:ascii="Times New Roman" w:hAnsi="Times New Roman" w:eastAsia="Times New Roman" w:cs="Times New Roman"/>
          <w:spacing w:val="-1"/>
          <w:sz w:val="24"/>
          <w:szCs w:val="24"/>
        </w:rPr>
        <w:t xml:space="preserve"> perspective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or</w:t>
      </w:r>
    </w:p>
    <w:p>
      <w:pPr>
        <w:spacing w:before="36" w:line="244" w:lineRule="auto"/>
        <w:ind w:left="1392" w:right="128"/>
        <w:rPr>
          <w:rFonts w:ascii="Times New Roman" w:hAnsi="Times New Roman" w:eastAsia="Times New Roman" w:cs="Times New Roman"/>
          <w:sz w:val="24"/>
          <w:szCs w:val="24"/>
        </w:rPr>
      </w:pPr>
      <w:r>
        <w:rPr>
          <w:rFonts w:ascii="Times New Roman" w:hAnsi="Times New Roman" w:eastAsia="Times New Roman" w:cs="Times New Roman"/>
          <w:sz w:val="24"/>
          <w:szCs w:val="24"/>
        </w:rPr>
        <w:t>having person-oriented focus, since leaders often underestimate the vital role individuals pl</w:t>
      </w:r>
      <w:r>
        <w:rPr>
          <w:rFonts w:ascii="Times New Roman" w:hAnsi="Times New Roman" w:eastAsia="Times New Roman" w:cs="Times New Roman"/>
          <w:spacing w:val="-1"/>
          <w:sz w:val="24"/>
          <w:szCs w:val="24"/>
        </w:rPr>
        <w:t>ay in</w:t>
      </w:r>
      <w:r>
        <w:rPr>
          <w:rFonts w:ascii="Times New Roman" w:hAnsi="Times New Roman" w:eastAsia="Times New Roman" w:cs="Times New Roman"/>
          <w:sz w:val="24"/>
          <w:szCs w:val="24"/>
        </w:rPr>
        <w:t xml:space="preserve"> the change process (</w:t>
      </w:r>
      <w:r>
        <w:rPr>
          <w:rFonts w:ascii="Times New Roman" w:hAnsi="Times New Roman" w:eastAsia="Times New Roman" w:cs="Times New Roman"/>
          <w:sz w:val="24"/>
          <w:szCs w:val="24"/>
          <w:u w:val="single" w:color="auto"/>
        </w:rPr>
        <w:t>Choi, 2011</w:t>
      </w:r>
      <w:r>
        <w:rPr>
          <w:rFonts w:ascii="Times New Roman" w:hAnsi="Times New Roman" w:eastAsia="Times New Roman" w:cs="Times New Roman"/>
          <w:sz w:val="24"/>
          <w:szCs w:val="24"/>
        </w:rPr>
        <w:t>). Both are of</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course crucial</w:t>
      </w:r>
      <w:r>
        <w:rPr>
          <w:rFonts w:ascii="Times New Roman" w:hAnsi="Times New Roman" w:eastAsia="Times New Roman" w:cs="Times New Roman"/>
          <w:spacing w:val="-1"/>
          <w:sz w:val="24"/>
          <w:szCs w:val="24"/>
        </w:rPr>
        <w:t xml:space="preserve"> when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comes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successful</w:t>
      </w:r>
    </w:p>
    <w:p>
      <w:pPr>
        <w:spacing w:before="35" w:line="228" w:lineRule="auto"/>
        <w:ind w:left="1397"/>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implementation 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changes. For example Xu (</w:t>
      </w:r>
      <w:r>
        <w:rPr>
          <w:rFonts w:ascii="Times New Roman" w:hAnsi="Times New Roman" w:eastAsia="Times New Roman" w:cs="Times New Roman"/>
          <w:sz w:val="24"/>
          <w:szCs w:val="24"/>
          <w:u w:val="single" w:color="auto"/>
        </w:rPr>
        <w:t>Xu, 2016</w:t>
      </w:r>
      <w:r>
        <w:rPr>
          <w:rFonts w:ascii="Times New Roman" w:hAnsi="Times New Roman" w:eastAsia="Times New Roman" w:cs="Times New Roman"/>
          <w:sz w:val="24"/>
          <w:szCs w:val="24"/>
        </w:rPr>
        <w:t xml:space="preserve">) describes: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4"/>
          <w:sz w:val="24"/>
          <w:szCs w:val="24"/>
        </w:rPr>
        <w:t xml:space="preserve"> </w:t>
      </w:r>
      <w:r>
        <w:rPr>
          <w:rFonts w:ascii="Times New Roman" w:hAnsi="Times New Roman" w:eastAsia="Times New Roman" w:cs="Times New Roman"/>
          <w:i/>
          <w:iCs/>
          <w:spacing w:val="-1"/>
          <w:sz w:val="24"/>
          <w:szCs w:val="24"/>
        </w:rPr>
        <w:t>To</w:t>
      </w:r>
      <w:r>
        <w:rPr>
          <w:rFonts w:ascii="Times New Roman" w:hAnsi="Times New Roman" w:eastAsia="Times New Roman" w:cs="Times New Roman"/>
          <w:i/>
          <w:iCs/>
          <w:spacing w:val="7"/>
          <w:sz w:val="24"/>
          <w:szCs w:val="24"/>
        </w:rPr>
        <w:t xml:space="preserve"> </w:t>
      </w:r>
      <w:r>
        <w:rPr>
          <w:rFonts w:ascii="Times New Roman" w:hAnsi="Times New Roman" w:eastAsia="Times New Roman" w:cs="Times New Roman"/>
          <w:i/>
          <w:iCs/>
          <w:spacing w:val="-1"/>
          <w:sz w:val="24"/>
          <w:szCs w:val="24"/>
        </w:rPr>
        <w:t>ensure</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pacing w:val="-1"/>
          <w:sz w:val="24"/>
          <w:szCs w:val="24"/>
        </w:rPr>
        <w:t>the success of</w:t>
      </w:r>
    </w:p>
    <w:p>
      <w:pPr>
        <w:spacing w:before="79" w:line="190" w:lineRule="auto"/>
        <w:ind w:left="1397"/>
        <w:rPr>
          <w:rFonts w:ascii="Times New Roman" w:hAnsi="Times New Roman" w:eastAsia="Times New Roman" w:cs="Times New Roman"/>
          <w:sz w:val="24"/>
          <w:szCs w:val="24"/>
        </w:rPr>
      </w:pPr>
      <w:r>
        <w:rPr>
          <w:rFonts w:ascii="Times New Roman" w:hAnsi="Times New Roman" w:eastAsia="Times New Roman" w:cs="Times New Roman"/>
          <w:i/>
          <w:iCs/>
          <w:sz w:val="24"/>
          <w:szCs w:val="24"/>
        </w:rPr>
        <w:t>organizational change, organizations should communicate with employees and enc</w:t>
      </w:r>
      <w:r>
        <w:rPr>
          <w:rFonts w:ascii="Times New Roman" w:hAnsi="Times New Roman" w:eastAsia="Times New Roman" w:cs="Times New Roman"/>
          <w:i/>
          <w:iCs/>
          <w:spacing w:val="-1"/>
          <w:sz w:val="24"/>
          <w:szCs w:val="24"/>
        </w:rPr>
        <w:t>ourage</w:t>
      </w:r>
    </w:p>
    <w:p>
      <w:pPr>
        <w:spacing w:before="78" w:line="236" w:lineRule="auto"/>
        <w:ind w:left="1395" w:firstLine="3"/>
        <w:rPr>
          <w:rFonts w:ascii="Times New Roman" w:hAnsi="Times New Roman" w:eastAsia="Times New Roman" w:cs="Times New Roman"/>
          <w:sz w:val="24"/>
          <w:szCs w:val="24"/>
        </w:rPr>
      </w:pPr>
      <w:r>
        <w:rPr>
          <w:rFonts w:ascii="Times New Roman" w:hAnsi="Times New Roman" w:eastAsia="Times New Roman" w:cs="Times New Roman"/>
          <w:i/>
          <w:iCs/>
          <w:sz w:val="24"/>
          <w:szCs w:val="24"/>
        </w:rPr>
        <w:t>employee input before implement</w:t>
      </w:r>
      <w:r>
        <w:rPr>
          <w:rFonts w:ascii="Times New Roman" w:hAnsi="Times New Roman" w:eastAsia="Times New Roman" w:cs="Times New Roman"/>
          <w:i/>
          <w:iCs/>
          <w:spacing w:val="-1"/>
          <w:sz w:val="24"/>
          <w:szCs w:val="24"/>
        </w:rPr>
        <w:t>ing change which in turn</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pacing w:val="-1"/>
          <w:sz w:val="24"/>
          <w:szCs w:val="24"/>
        </w:rPr>
        <w:t>improves</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pacing w:val="-1"/>
          <w:sz w:val="24"/>
          <w:szCs w:val="24"/>
        </w:rPr>
        <w:t>the</w:t>
      </w:r>
      <w:r>
        <w:rPr>
          <w:rFonts w:ascii="Times New Roman" w:hAnsi="Times New Roman" w:eastAsia="Times New Roman" w:cs="Times New Roman"/>
          <w:i/>
          <w:iCs/>
          <w:spacing w:val="5"/>
          <w:sz w:val="24"/>
          <w:szCs w:val="24"/>
        </w:rPr>
        <w:t xml:space="preserve"> </w:t>
      </w:r>
      <w:r>
        <w:rPr>
          <w:rFonts w:ascii="Times New Roman" w:hAnsi="Times New Roman" w:eastAsia="Times New Roman" w:cs="Times New Roman"/>
          <w:i/>
          <w:iCs/>
          <w:spacing w:val="-1"/>
          <w:sz w:val="24"/>
          <w:szCs w:val="24"/>
        </w:rPr>
        <w:t>chances</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pacing w:val="-1"/>
          <w:sz w:val="24"/>
          <w:szCs w:val="24"/>
        </w:rPr>
        <w:t xml:space="preserve">that employees   </w:t>
      </w:r>
      <w:r>
        <w:rPr>
          <w:rFonts w:ascii="Times New Roman" w:hAnsi="Times New Roman" w:eastAsia="Times New Roman" w:cs="Times New Roman"/>
          <w:i/>
          <w:iCs/>
          <w:sz w:val="24"/>
          <w:szCs w:val="24"/>
        </w:rPr>
        <w:t>will have</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i/>
          <w:iCs/>
          <w:sz w:val="24"/>
          <w:szCs w:val="24"/>
        </w:rPr>
        <w:t>favourable reactions to the change</w:t>
      </w:r>
      <w:r>
        <w:rPr>
          <w:rFonts w:ascii="Times New Roman" w:hAnsi="Times New Roman" w:eastAsia="Times New Roman" w:cs="Times New Roman"/>
          <w:sz w:val="24"/>
          <w:szCs w:val="24"/>
        </w:rPr>
        <w:t>.” Choi (</w:t>
      </w:r>
      <w:r>
        <w:rPr>
          <w:rFonts w:ascii="Times New Roman" w:hAnsi="Times New Roman" w:eastAsia="Times New Roman" w:cs="Times New Roman"/>
          <w:sz w:val="24"/>
          <w:szCs w:val="24"/>
          <w:u w:val="single" w:color="auto"/>
        </w:rPr>
        <w:t>Choi, 2011</w:t>
      </w:r>
      <w:r>
        <w:rPr>
          <w:rFonts w:ascii="Times New Roman" w:hAnsi="Times New Roman" w:eastAsia="Times New Roman" w:cs="Times New Roman"/>
          <w:sz w:val="24"/>
          <w:szCs w:val="24"/>
        </w:rPr>
        <w: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shows that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employees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attitudes, involvement in decision making and constant communication 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important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information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are k</w:t>
      </w:r>
      <w:r>
        <w:rPr>
          <w:rFonts w:ascii="Times New Roman" w:hAnsi="Times New Roman" w:eastAsia="Times New Roman" w:cs="Times New Roman"/>
          <w:spacing w:val="-1"/>
          <w:sz w:val="24"/>
          <w:szCs w:val="24"/>
        </w:rPr>
        <w:t>ey</w:t>
      </w:r>
    </w:p>
    <w:p>
      <w:pPr>
        <w:spacing w:before="36" w:line="243" w:lineRule="auto"/>
        <w:ind w:left="1399" w:right="477"/>
        <w:rPr>
          <w:rFonts w:ascii="Times New Roman" w:hAnsi="Times New Roman" w:eastAsia="Times New Roman" w:cs="Times New Roman"/>
          <w:sz w:val="24"/>
          <w:szCs w:val="24"/>
        </w:rPr>
      </w:pPr>
      <w:r>
        <w:rPr>
          <w:rFonts w:ascii="Times New Roman" w:hAnsi="Times New Roman" w:eastAsia="Times New Roman" w:cs="Times New Roman"/>
          <w:sz w:val="24"/>
          <w:szCs w:val="24"/>
        </w:rPr>
        <w:t>factors for making employees ready and open for changes.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Therefor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leaders must trust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their</w:t>
      </w:r>
      <w:r>
        <w:rPr>
          <w:rFonts w:ascii="Times New Roman" w:hAnsi="Times New Roman" w:eastAsia="Times New Roman" w:cs="Times New Roman"/>
          <w:sz w:val="24"/>
          <w:szCs w:val="24"/>
        </w:rPr>
        <w:t xml:space="preserve"> employees by encouraging open communication and involve them in t</w:t>
      </w:r>
      <w:r>
        <w:rPr>
          <w:rFonts w:ascii="Times New Roman" w:hAnsi="Times New Roman" w:eastAsia="Times New Roman" w:cs="Times New Roman"/>
          <w:spacing w:val="-1"/>
          <w:sz w:val="24"/>
          <w:szCs w:val="24"/>
        </w:rPr>
        <w: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decision making</w:t>
      </w:r>
    </w:p>
    <w:p>
      <w:pPr>
        <w:spacing w:before="34" w:line="228" w:lineRule="auto"/>
        <w:ind w:left="1390"/>
        <w:rPr>
          <w:rFonts w:ascii="Times New Roman" w:hAnsi="Times New Roman" w:eastAsia="Times New Roman" w:cs="Times New Roman"/>
          <w:sz w:val="24"/>
          <w:szCs w:val="24"/>
        </w:rPr>
      </w:pPr>
      <w:r>
        <w:rPr>
          <w:rFonts w:ascii="Times New Roman" w:hAnsi="Times New Roman" w:eastAsia="Times New Roman" w:cs="Times New Roman"/>
          <w:sz w:val="24"/>
          <w:szCs w:val="24"/>
        </w:rPr>
        <w:t>process (</w:t>
      </w:r>
      <w:r>
        <w:rPr>
          <w:rFonts w:ascii="Times New Roman" w:hAnsi="Times New Roman" w:eastAsia="Times New Roman" w:cs="Times New Roman"/>
          <w:sz w:val="24"/>
          <w:szCs w:val="24"/>
          <w:u w:val="single" w:color="auto"/>
        </w:rPr>
        <w:t>Choi, 2011</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color="auto"/>
        </w:rPr>
        <w:t>Xu, 2016</w:t>
      </w:r>
      <w:r>
        <w:rPr>
          <w:rFonts w:ascii="Times New Roman" w:hAnsi="Times New Roman" w:eastAsia="Times New Roman" w:cs="Times New Roman"/>
          <w:sz w:val="24"/>
          <w:szCs w:val="24"/>
        </w:rPr>
        <w:t>).</w:t>
      </w:r>
    </w:p>
    <w:p>
      <w:pPr>
        <w:spacing w:before="196" w:line="249" w:lineRule="auto"/>
        <w:ind w:left="1394" w:right="114" w:firstLine="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One method for implementing change that uses both macro perspective and micro per</w:t>
      </w:r>
      <w:r>
        <w:rPr>
          <w:rFonts w:ascii="Times New Roman" w:hAnsi="Times New Roman" w:eastAsia="Times New Roman" w:cs="Times New Roman"/>
          <w:spacing w:val="-1"/>
          <w:sz w:val="24"/>
          <w:szCs w:val="24"/>
        </w:rPr>
        <w:t>spective is</w:t>
      </w:r>
      <w:r>
        <w:rPr>
          <w:rFonts w:ascii="Times New Roman" w:hAnsi="Times New Roman" w:eastAsia="Times New Roman" w:cs="Times New Roman"/>
          <w:sz w:val="24"/>
          <w:szCs w:val="24"/>
        </w:rPr>
        <w:t xml:space="preserve"> Work Integrated Learning, WIL (</w:t>
      </w:r>
      <w:r>
        <w:rPr>
          <w:rFonts w:ascii="Times New Roman" w:hAnsi="Times New Roman" w:eastAsia="Times New Roman" w:cs="Times New Roman"/>
          <w:sz w:val="24"/>
          <w:szCs w:val="24"/>
          <w:u w:val="single" w:color="auto"/>
        </w:rPr>
        <w:t>Theliander, 2004</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color="auto"/>
        </w:rPr>
        <w:t>Lagrosen, 2010</w:t>
      </w:r>
      <w:r>
        <w:rPr>
          <w:rFonts w:ascii="Times New Roman" w:hAnsi="Times New Roman" w:eastAsia="Times New Roman" w:cs="Times New Roman"/>
          <w:sz w:val="24"/>
          <w:szCs w:val="24"/>
        </w:rPr>
        <w:t>). Eriksson</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u w:val="single" w:color="auto"/>
        </w:rPr>
        <w:t>E</w:t>
      </w:r>
      <w:r>
        <w:rPr>
          <w:rFonts w:ascii="Times New Roman" w:hAnsi="Times New Roman" w:eastAsia="Times New Roman" w:cs="Times New Roman"/>
          <w:spacing w:val="-1"/>
          <w:sz w:val="24"/>
          <w:szCs w:val="24"/>
          <w:u w:val="single" w:color="auto"/>
        </w:rPr>
        <w:t>riksson, 2015</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describes a WIL-model where theory based knowledge is processed by productive reflecti</w:t>
      </w:r>
      <w:r>
        <w:rPr>
          <w:rFonts w:ascii="Times New Roman" w:hAnsi="Times New Roman" w:eastAsia="Times New Roman" w:cs="Times New Roman"/>
          <w:spacing w:val="-1"/>
          <w:sz w:val="24"/>
          <w:szCs w:val="24"/>
        </w:rPr>
        <w:t>on.</w:t>
      </w:r>
    </w:p>
    <w:p>
      <w:pPr>
        <w:spacing w:before="36" w:line="228" w:lineRule="auto"/>
        <w:ind w:left="1388"/>
        <w:rPr>
          <w:rFonts w:ascii="Times New Roman" w:hAnsi="Times New Roman" w:eastAsia="Times New Roman" w:cs="Times New Roman"/>
          <w:sz w:val="24"/>
          <w:szCs w:val="24"/>
        </w:rPr>
      </w:pPr>
      <w:r>
        <w:rPr>
          <w:rFonts w:ascii="Times New Roman" w:hAnsi="Times New Roman" w:eastAsia="Times New Roman" w:cs="Times New Roman"/>
          <w:sz w:val="24"/>
          <w:szCs w:val="24"/>
        </w:rPr>
        <w:t>New learning evolves, which integrates in the work and experience-based kno</w:t>
      </w:r>
      <w:r>
        <w:rPr>
          <w:rFonts w:ascii="Times New Roman" w:hAnsi="Times New Roman" w:eastAsia="Times New Roman" w:cs="Times New Roman"/>
          <w:spacing w:val="-1"/>
          <w:sz w:val="24"/>
          <w:szCs w:val="24"/>
        </w:rPr>
        <w:t>wledge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is</w:t>
      </w:r>
    </w:p>
    <w:p>
      <w:pPr>
        <w:spacing w:before="36" w:line="244" w:lineRule="auto"/>
        <w:ind w:left="1392" w:right="162"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processed and thereby new profound knowledge is developed which in turn can be in</w:t>
      </w:r>
      <w:r>
        <w:rPr>
          <w:rFonts w:ascii="Times New Roman" w:hAnsi="Times New Roman" w:eastAsia="Times New Roman" w:cs="Times New Roman"/>
          <w:spacing w:val="-1"/>
          <w:sz w:val="24"/>
          <w:szCs w:val="24"/>
        </w:rPr>
        <w:t>tegrated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z w:val="24"/>
          <w:szCs w:val="24"/>
        </w:rPr>
        <w:t xml:space="preserve"> work as new competence. This method uses individual perspective (knowledge, understand</w:t>
      </w:r>
      <w:r>
        <w:rPr>
          <w:rFonts w:ascii="Times New Roman" w:hAnsi="Times New Roman" w:eastAsia="Times New Roman" w:cs="Times New Roman"/>
          <w:spacing w:val="-1"/>
          <w:sz w:val="24"/>
          <w:szCs w:val="24"/>
        </w:rPr>
        <w:t>ing,</w:t>
      </w:r>
    </w:p>
    <w:p>
      <w:pPr>
        <w:spacing w:before="36" w:line="251" w:lineRule="auto"/>
        <w:ind w:left="1392" w:right="414" w:firstLine="6"/>
        <w:rPr>
          <w:rFonts w:ascii="Times New Roman" w:hAnsi="Times New Roman" w:eastAsia="Times New Roman" w:cs="Times New Roman"/>
          <w:sz w:val="24"/>
          <w:szCs w:val="24"/>
        </w:rPr>
      </w:pPr>
      <w:r>
        <w:rPr>
          <w:rFonts w:ascii="Times New Roman" w:hAnsi="Times New Roman" w:eastAsia="Times New Roman" w:cs="Times New Roman"/>
          <w:sz w:val="24"/>
          <w:szCs w:val="24"/>
        </w:rPr>
        <w:t>competence and skills), the collective process (team learning through</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ctive and productive</w:t>
      </w:r>
      <w:r>
        <w:rPr>
          <w:rFonts w:ascii="Times New Roman" w:hAnsi="Times New Roman" w:eastAsia="Times New Roman" w:cs="Times New Roman"/>
          <w:sz w:val="24"/>
          <w:szCs w:val="24"/>
        </w:rPr>
        <w:t xml:space="preserve">    dialogue, reflection and exchange of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experiences) and organizational lear</w:t>
      </w:r>
      <w:r>
        <w:rPr>
          <w:rFonts w:ascii="Times New Roman" w:hAnsi="Times New Roman" w:eastAsia="Times New Roman" w:cs="Times New Roman"/>
          <w:spacing w:val="-1"/>
          <w:sz w:val="24"/>
          <w:szCs w:val="24"/>
        </w:rPr>
        <w:t>ning</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(at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structural</w:t>
      </w:r>
      <w:r>
        <w:rPr>
          <w:rFonts w:ascii="Times New Roman" w:hAnsi="Times New Roman" w:eastAsia="Times New Roman" w:cs="Times New Roman"/>
          <w:sz w:val="24"/>
          <w:szCs w:val="24"/>
        </w:rPr>
        <w:t xml:space="preserve">  level and in the organizational culture) (</w:t>
      </w:r>
      <w:r>
        <w:rPr>
          <w:rFonts w:ascii="Times New Roman" w:hAnsi="Times New Roman" w:eastAsia="Times New Roman" w:cs="Times New Roman"/>
          <w:sz w:val="24"/>
          <w:szCs w:val="24"/>
          <w:u w:val="single" w:color="auto"/>
        </w:rPr>
        <w:t>Eriksson, 2015</w:t>
      </w:r>
      <w:r>
        <w:rPr>
          <w:rFonts w:ascii="Times New Roman" w:hAnsi="Times New Roman" w:eastAsia="Times New Roman" w:cs="Times New Roman"/>
          <w:sz w:val="24"/>
          <w:szCs w:val="24"/>
        </w:rPr>
        <w: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w:t>
      </w:r>
      <w:r>
        <w:rPr>
          <w:rFonts w:ascii="Times New Roman" w:hAnsi="Times New Roman" w:eastAsia="Times New Roman" w:cs="Times New Roman"/>
          <w:spacing w:val="-1"/>
          <w:sz w:val="24"/>
          <w:szCs w:val="24"/>
        </w:rPr>
        <w:t>is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approach has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also proved to be</w:t>
      </w:r>
      <w:r>
        <w:rPr>
          <w:rFonts w:ascii="Times New Roman" w:hAnsi="Times New Roman" w:eastAsia="Times New Roman" w:cs="Times New Roman"/>
          <w:sz w:val="24"/>
          <w:szCs w:val="24"/>
        </w:rPr>
        <w:t xml:space="preserve"> health-promoting in organizations (</w:t>
      </w:r>
      <w:r>
        <w:rPr>
          <w:rFonts w:ascii="Times New Roman" w:hAnsi="Times New Roman" w:eastAsia="Times New Roman" w:cs="Times New Roman"/>
          <w:sz w:val="24"/>
          <w:szCs w:val="24"/>
          <w:u w:val="single" w:color="auto"/>
        </w:rPr>
        <w:t>Eriksson, 2015</w:t>
      </w:r>
      <w:r>
        <w:rPr>
          <w:rFonts w:ascii="Times New Roman" w:hAnsi="Times New Roman" w:eastAsia="Times New Roman" w:cs="Times New Roman"/>
          <w:sz w:val="24"/>
          <w:szCs w:val="24"/>
        </w:rPr>
        <w:t>), since it gives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ense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1"/>
          <w:sz w:val="24"/>
          <w:szCs w:val="24"/>
        </w:rPr>
        <w:t>coherence</w:t>
      </w:r>
    </w:p>
    <w:p>
      <w:pPr>
        <w:spacing w:before="34" w:line="249" w:lineRule="auto"/>
        <w:ind w:left="1392" w:right="592" w:firstLine="8"/>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u w:val="single" w:color="auto"/>
        </w:rPr>
        <w:t>Antonovsky,</w:t>
      </w:r>
      <w:r>
        <w:rPr>
          <w:rFonts w:ascii="Times New Roman" w:hAnsi="Times New Roman" w:eastAsia="Times New Roman" w:cs="Times New Roman"/>
          <w:spacing w:val="28"/>
          <w:w w:val="101"/>
          <w:sz w:val="24"/>
          <w:szCs w:val="24"/>
          <w:u w:val="single" w:color="auto"/>
        </w:rPr>
        <w:t xml:space="preserve"> </w:t>
      </w:r>
      <w:r>
        <w:rPr>
          <w:rFonts w:ascii="Times New Roman" w:hAnsi="Times New Roman" w:eastAsia="Times New Roman" w:cs="Times New Roman"/>
          <w:sz w:val="24"/>
          <w:szCs w:val="24"/>
          <w:u w:val="single" w:color="auto"/>
        </w:rPr>
        <w:t>1993</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color="auto"/>
        </w:rPr>
        <w:t>Eriksson, 2006</w:t>
      </w:r>
      <w:r>
        <w:rPr>
          <w:rFonts w:ascii="Times New Roman" w:hAnsi="Times New Roman" w:eastAsia="Times New Roman" w:cs="Times New Roman"/>
          <w:sz w:val="24"/>
          <w:szCs w:val="24"/>
        </w:rPr>
        <w:t>)</w:t>
      </w:r>
      <w:r>
        <w:rPr>
          <w:rFonts w:ascii="Times New Roman" w:hAnsi="Times New Roman" w:eastAsia="Times New Roman" w:cs="Times New Roman"/>
          <w:spacing w:val="-1"/>
          <w:sz w:val="24"/>
          <w:szCs w:val="24"/>
        </w:rPr>
        <w:t>. WIL is the overall profile at University West.</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
          <w:sz w:val="24"/>
          <w:szCs w:val="24"/>
        </w:rPr>
        <w:t>Several</w:t>
      </w:r>
      <w:r>
        <w:rPr>
          <w:rFonts w:ascii="Times New Roman" w:hAnsi="Times New Roman" w:eastAsia="Times New Roman" w:cs="Times New Roman"/>
          <w:sz w:val="24"/>
          <w:szCs w:val="24"/>
        </w:rPr>
        <w:t xml:space="preserve"> researchers use this approach in their research and it is also</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 r</w:t>
      </w:r>
      <w:r>
        <w:rPr>
          <w:rFonts w:ascii="Times New Roman" w:hAnsi="Times New Roman" w:eastAsia="Times New Roman" w:cs="Times New Roman"/>
          <w:spacing w:val="-1"/>
          <w:sz w:val="24"/>
          <w:szCs w:val="24"/>
        </w:rPr>
        <w:t>esearch</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area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with purpose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z w:val="24"/>
          <w:szCs w:val="24"/>
        </w:rPr>
        <w:t xml:space="preserve">  initiate, conduct and disseminate research on learning and knowledge related to</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w:t>
      </w:r>
      <w:r>
        <w:rPr>
          <w:rFonts w:ascii="Times New Roman" w:hAnsi="Times New Roman" w:eastAsia="Times New Roman" w:cs="Times New Roman"/>
          <w:spacing w:val="-1"/>
          <w:sz w:val="24"/>
          <w:szCs w:val="24"/>
        </w:rPr>
        <w:t>e work</w:t>
      </w:r>
    </w:p>
    <w:p>
      <w:pPr>
        <w:spacing w:before="36" w:line="243" w:lineRule="auto"/>
        <w:ind w:left="1400" w:right="460"/>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u w:val="single" w:color="auto"/>
        </w:rPr>
        <w:t>LINA</w:t>
      </w:r>
      <w:r>
        <w:rPr>
          <w:rFonts w:ascii="Times New Roman" w:hAnsi="Times New Roman" w:eastAsia="Times New Roman" w:cs="Times New Roman"/>
          <w:sz w:val="24"/>
          <w:szCs w:val="24"/>
        </w:rPr>
        <w:t>). In 2002 University West was commissioned by the Swedish</w:t>
      </w:r>
      <w:r>
        <w:rPr>
          <w:rFonts w:ascii="Times New Roman" w:hAnsi="Times New Roman" w:eastAsia="Times New Roman" w:cs="Times New Roman"/>
          <w:spacing w:val="-1"/>
          <w:sz w:val="24"/>
          <w:szCs w:val="24"/>
        </w:rPr>
        <w:t xml:space="preserve"> government to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develop</w:t>
      </w:r>
      <w:r>
        <w:rPr>
          <w:rFonts w:ascii="Times New Roman" w:hAnsi="Times New Roman" w:eastAsia="Times New Roman" w:cs="Times New Roman"/>
          <w:sz w:val="24"/>
          <w:szCs w:val="24"/>
        </w:rPr>
        <w:t xml:space="preserve"> forms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work</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integrated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learning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part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work</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pedagogical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renewal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higher</w:t>
      </w:r>
    </w:p>
    <w:p>
      <w:pPr>
        <w:spacing w:before="36" w:line="311" w:lineRule="exact"/>
        <w:ind w:left="1399"/>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education.</w:t>
      </w:r>
    </w:p>
    <w:p>
      <w:pPr>
        <w:spacing w:before="206" w:line="187" w:lineRule="auto"/>
        <w:ind w:left="1396"/>
        <w:rPr>
          <w:rFonts w:ascii="Times New Roman" w:hAnsi="Times New Roman" w:eastAsia="Times New Roman" w:cs="Times New Roman"/>
          <w:sz w:val="28"/>
          <w:szCs w:val="28"/>
        </w:rPr>
      </w:pPr>
      <w:r>
        <w:rPr>
          <w:rFonts w:ascii="Times New Roman" w:hAnsi="Times New Roman" w:eastAsia="Times New Roman" w:cs="Times New Roman"/>
          <w:b/>
          <w:bCs/>
          <w:spacing w:val="-1"/>
          <w:sz w:val="28"/>
          <w:szCs w:val="28"/>
        </w:rPr>
        <w:t>Building a Quality Culture Using</w:t>
      </w:r>
      <w:r>
        <w:rPr>
          <w:rFonts w:ascii="Times New Roman" w:hAnsi="Times New Roman" w:eastAsia="Times New Roman" w:cs="Times New Roman"/>
          <w:b/>
          <w:bCs/>
          <w:spacing w:val="12"/>
          <w:sz w:val="28"/>
          <w:szCs w:val="28"/>
        </w:rPr>
        <w:t xml:space="preserve"> </w:t>
      </w:r>
      <w:r>
        <w:rPr>
          <w:rFonts w:ascii="Times New Roman" w:hAnsi="Times New Roman" w:eastAsia="Times New Roman" w:cs="Times New Roman"/>
          <w:b/>
          <w:bCs/>
          <w:spacing w:val="-1"/>
          <w:sz w:val="28"/>
          <w:szCs w:val="28"/>
        </w:rPr>
        <w:t>TQM</w:t>
      </w:r>
      <w:r>
        <w:rPr>
          <w:rFonts w:ascii="Times New Roman" w:hAnsi="Times New Roman" w:eastAsia="Times New Roman" w:cs="Times New Roman"/>
          <w:b/>
          <w:bCs/>
          <w:spacing w:val="9"/>
          <w:sz w:val="28"/>
          <w:szCs w:val="28"/>
        </w:rPr>
        <w:t xml:space="preserve"> </w:t>
      </w:r>
      <w:r>
        <w:rPr>
          <w:rFonts w:ascii="Times New Roman" w:hAnsi="Times New Roman" w:eastAsia="Times New Roman" w:cs="Times New Roman"/>
          <w:b/>
          <w:bCs/>
          <w:spacing w:val="-1"/>
          <w:sz w:val="28"/>
          <w:szCs w:val="28"/>
        </w:rPr>
        <w:t>a</w:t>
      </w:r>
      <w:r>
        <w:rPr>
          <w:rFonts w:ascii="Times New Roman" w:hAnsi="Times New Roman" w:eastAsia="Times New Roman" w:cs="Times New Roman"/>
          <w:b/>
          <w:bCs/>
          <w:spacing w:val="-2"/>
          <w:sz w:val="28"/>
          <w:szCs w:val="28"/>
        </w:rPr>
        <w:t>s</w:t>
      </w:r>
      <w:r>
        <w:rPr>
          <w:rFonts w:ascii="Times New Roman" w:hAnsi="Times New Roman" w:eastAsia="Times New Roman" w:cs="Times New Roman"/>
          <w:b/>
          <w:bCs/>
          <w:spacing w:val="11"/>
          <w:sz w:val="28"/>
          <w:szCs w:val="28"/>
        </w:rPr>
        <w:t xml:space="preserve"> </w:t>
      </w:r>
      <w:r>
        <w:rPr>
          <w:rFonts w:ascii="Times New Roman" w:hAnsi="Times New Roman" w:eastAsia="Times New Roman" w:cs="Times New Roman"/>
          <w:b/>
          <w:bCs/>
          <w:spacing w:val="-2"/>
          <w:sz w:val="28"/>
          <w:szCs w:val="28"/>
        </w:rPr>
        <w:t>a</w:t>
      </w:r>
      <w:r>
        <w:rPr>
          <w:rFonts w:ascii="Times New Roman" w:hAnsi="Times New Roman" w:eastAsia="Times New Roman" w:cs="Times New Roman"/>
          <w:b/>
          <w:bCs/>
          <w:spacing w:val="16"/>
          <w:sz w:val="28"/>
          <w:szCs w:val="28"/>
        </w:rPr>
        <w:t xml:space="preserve"> </w:t>
      </w:r>
      <w:r>
        <w:rPr>
          <w:rFonts w:ascii="Times New Roman" w:hAnsi="Times New Roman" w:eastAsia="Times New Roman" w:cs="Times New Roman"/>
          <w:b/>
          <w:bCs/>
          <w:spacing w:val="-2"/>
          <w:sz w:val="28"/>
          <w:szCs w:val="28"/>
        </w:rPr>
        <w:t>System</w:t>
      </w:r>
    </w:p>
    <w:p>
      <w:pPr>
        <w:spacing w:before="39" w:line="243" w:lineRule="auto"/>
        <w:ind w:left="1393" w:right="355"/>
        <w:rPr>
          <w:rFonts w:ascii="Times New Roman" w:hAnsi="Times New Roman" w:eastAsia="Times New Roman" w:cs="Times New Roman"/>
          <w:sz w:val="24"/>
          <w:szCs w:val="24"/>
        </w:rPr>
      </w:pPr>
      <w:r>
        <w:rPr>
          <w:rFonts w:ascii="Times New Roman" w:hAnsi="Times New Roman" w:eastAsia="Times New Roman" w:cs="Times New Roman"/>
          <w:sz w:val="24"/>
          <w:szCs w:val="24"/>
        </w:rPr>
        <w:t>When building a quality culture in a complex, and prof</w:t>
      </w:r>
      <w:r>
        <w:rPr>
          <w:rFonts w:ascii="Times New Roman" w:hAnsi="Times New Roman" w:eastAsia="Times New Roman" w:cs="Times New Roman"/>
          <w:spacing w:val="-1"/>
          <w:sz w:val="24"/>
          <w:szCs w:val="24"/>
        </w:rPr>
        <w:t>essional</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organization,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there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are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several</w:t>
      </w:r>
      <w:r>
        <w:rPr>
          <w:rFonts w:ascii="Times New Roman" w:hAnsi="Times New Roman" w:eastAsia="Times New Roman" w:cs="Times New Roman"/>
          <w:sz w:val="24"/>
          <w:szCs w:val="24"/>
        </w:rPr>
        <w:t xml:space="preserve"> things to consider and there are many researcher and authors describing how</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work</w:t>
      </w:r>
    </w:p>
    <w:p>
      <w:pPr>
        <w:spacing w:line="306" w:lineRule="auto"/>
        <w:rPr>
          <w:rFonts w:ascii="Arial"/>
          <w:sz w:val="21"/>
        </w:rPr>
      </w:pPr>
    </w:p>
    <w:p>
      <w:pPr>
        <w:spacing w:line="306" w:lineRule="auto"/>
        <w:rPr>
          <w:rFonts w:ascii="Arial"/>
          <w:sz w:val="21"/>
        </w:rPr>
      </w:pPr>
    </w:p>
    <w:p>
      <w:pPr>
        <w:spacing w:line="307" w:lineRule="auto"/>
        <w:rPr>
          <w:rFonts w:ascii="Arial"/>
          <w:sz w:val="21"/>
        </w:rPr>
      </w:pPr>
    </w:p>
    <w:p>
      <w:pPr>
        <w:spacing w:before="1" w:line="213" w:lineRule="exact"/>
        <w:ind w:firstLine="1151"/>
      </w:pPr>
      <w:r>
        <w:rPr>
          <w:position w:val="-4"/>
        </w:rPr>
        <w:drawing>
          <wp:inline distT="0" distB="0" distL="0" distR="0">
            <wp:extent cx="1849120" cy="13462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1102" w:bottom="100" w:left="48" w:header="0" w:footer="0" w:gutter="0"/>
          <w:cols w:space="720" w:num="1"/>
        </w:sectPr>
      </w:pPr>
    </w:p>
    <w:p>
      <w:pPr>
        <w:spacing w:line="245" w:lineRule="auto"/>
        <w:rPr>
          <w:rFonts w:ascii="Arial"/>
          <w:sz w:val="21"/>
        </w:rPr>
      </w:pPr>
      <w:r>
        <mc:AlternateContent>
          <mc:Choice Requires="wps">
            <w:drawing>
              <wp:anchor distT="0" distB="0" distL="0" distR="0" simplePos="0" relativeHeight="251757568"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178" name="TextBox 178"/>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8" o:spid="_x0000_s1026" o:spt="202" type="#_x0000_t202" style="position:absolute;left:0pt;margin-left:-120.15pt;margin-top:416.25pt;height:9.3pt;width:252.55pt;mso-position-horizontal-relative:page;mso-position-vertical-relative:page;rotation:-5898240f;z-index:251757568;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9+V8tsAAAAMAQAADwAAAAAAAAABACAAAAAiAAAAZHJzL2Rv&#10;d25yZXYueG1sUEsBAhQAFAAAAAgAh07iQEhEKSE3AgAAcQQAAA4AAAAAAAAAAQAgAAAAKgEAAGRy&#10;cy9lMm9Eb2MueG1sUEsFBgAAAAAGAAYAWQEAANMFA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9" w:line="243" w:lineRule="auto"/>
        <w:ind w:left="1392" w:right="105" w:firstLine="10"/>
        <w:rPr>
          <w:rFonts w:ascii="Times New Roman" w:hAnsi="Times New Roman" w:eastAsia="Times New Roman" w:cs="Times New Roman"/>
          <w:sz w:val="24"/>
          <w:szCs w:val="24"/>
        </w:rPr>
      </w:pPr>
      <w:r>
        <w:rPr>
          <w:rFonts w:ascii="Times New Roman" w:hAnsi="Times New Roman" w:eastAsia="Times New Roman" w:cs="Times New Roman"/>
          <w:sz w:val="24"/>
          <w:szCs w:val="24"/>
        </w:rPr>
        <w:t>successfully with quality.</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See for examp</w:t>
      </w:r>
      <w:r>
        <w:rPr>
          <w:rFonts w:ascii="Times New Roman" w:hAnsi="Times New Roman" w:eastAsia="Times New Roman" w:cs="Times New Roman"/>
          <w:spacing w:val="-1"/>
          <w:sz w:val="24"/>
          <w:szCs w:val="24"/>
        </w:rPr>
        <w:t>le Lagrosen (</w:t>
      </w:r>
      <w:r>
        <w:rPr>
          <w:rFonts w:ascii="Times New Roman" w:hAnsi="Times New Roman" w:eastAsia="Times New Roman" w:cs="Times New Roman"/>
          <w:spacing w:val="-1"/>
          <w:sz w:val="24"/>
          <w:szCs w:val="24"/>
          <w:u w:val="single" w:color="auto"/>
        </w:rPr>
        <w:t>Lagrosen, 2009</w:t>
      </w:r>
      <w:r>
        <w:rPr>
          <w:rFonts w:ascii="Times New Roman" w:hAnsi="Times New Roman" w:eastAsia="Times New Roman" w:cs="Times New Roman"/>
          <w:spacing w:val="-1"/>
          <w:sz w:val="24"/>
          <w:szCs w:val="24"/>
        </w:rPr>
        <w:t>) and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Xiong</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Xiong,</w:t>
      </w:r>
      <w:r>
        <w:rPr>
          <w:rFonts w:ascii="Times New Roman" w:hAnsi="Times New Roman" w:eastAsia="Times New Roman" w:cs="Times New Roman"/>
          <w:spacing w:val="5"/>
          <w:sz w:val="24"/>
          <w:szCs w:val="24"/>
          <w:u w:val="single" w:color="auto"/>
        </w:rPr>
        <w:t xml:space="preserve"> </w:t>
      </w:r>
      <w:r>
        <w:rPr>
          <w:rFonts w:ascii="Times New Roman" w:hAnsi="Times New Roman" w:eastAsia="Times New Roman" w:cs="Times New Roman"/>
          <w:spacing w:val="-1"/>
          <w:sz w:val="24"/>
          <w:szCs w:val="24"/>
          <w:u w:val="single" w:color="auto"/>
        </w:rPr>
        <w:t>2015</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who have summarized core values which can be f</w:t>
      </w:r>
      <w:r>
        <w:rPr>
          <w:rFonts w:ascii="Times New Roman" w:hAnsi="Times New Roman" w:eastAsia="Times New Roman" w:cs="Times New Roman"/>
          <w:spacing w:val="-1"/>
          <w:sz w:val="24"/>
          <w:szCs w:val="24"/>
        </w:rPr>
        <w:t>ound in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literature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different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quality</w:t>
      </w:r>
    </w:p>
    <w:p>
      <w:pPr>
        <w:spacing w:before="33" w:line="310" w:lineRule="exact"/>
        <w:ind w:left="1399"/>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awards.</w:t>
      </w:r>
    </w:p>
    <w:p>
      <w:pPr>
        <w:spacing w:before="148" w:line="249" w:lineRule="auto"/>
        <w:ind w:left="1399" w:hanging="4"/>
        <w:rPr>
          <w:rFonts w:ascii="Times New Roman" w:hAnsi="Times New Roman" w:eastAsia="Times New Roman" w:cs="Times New Roman"/>
          <w:sz w:val="24"/>
          <w:szCs w:val="24"/>
        </w:rPr>
      </w:pPr>
      <w:r>
        <w:rPr>
          <w:rFonts w:ascii="Times New Roman" w:hAnsi="Times New Roman" w:eastAsia="Times New Roman" w:cs="Times New Roman"/>
          <w:sz w:val="24"/>
          <w:szCs w:val="24"/>
        </w:rPr>
        <w:t>Hellsten (</w:t>
      </w:r>
      <w:r>
        <w:rPr>
          <w:rFonts w:ascii="Times New Roman" w:hAnsi="Times New Roman" w:eastAsia="Times New Roman" w:cs="Times New Roman"/>
          <w:sz w:val="24"/>
          <w:szCs w:val="24"/>
          <w:u w:val="single" w:color="auto"/>
        </w:rPr>
        <w:t>Hellsten, 2000</w:t>
      </w:r>
      <w:r>
        <w:rPr>
          <w:rFonts w:ascii="Times New Roman" w:hAnsi="Times New Roman" w:eastAsia="Times New Roman" w:cs="Times New Roman"/>
          <w:sz w:val="24"/>
          <w:szCs w:val="24"/>
        </w:rPr>
        <w:t>) writes that</w:t>
      </w:r>
      <w:r>
        <w:rPr>
          <w:rFonts w:ascii="Times New Roman" w:hAnsi="Times New Roman" w:eastAsia="Times New Roman" w:cs="Times New Roman"/>
          <w:spacing w:val="-1"/>
          <w:sz w:val="24"/>
          <w:szCs w:val="24"/>
        </w:rPr>
        <w:t xml:space="preserve"> Total Quality Management (TQM)</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should be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looked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 system and that the core values are supported by techniqu</w:t>
      </w:r>
      <w:r>
        <w:rPr>
          <w:rFonts w:ascii="Times New Roman" w:hAnsi="Times New Roman" w:eastAsia="Times New Roman" w:cs="Times New Roman"/>
          <w:spacing w:val="-1"/>
          <w:sz w:val="24"/>
          <w:szCs w:val="24"/>
        </w:rPr>
        <w:t>es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 tools. Hellsten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Hellsten,</w:t>
      </w:r>
      <w:r>
        <w:rPr>
          <w:rFonts w:ascii="Times New Roman" w:hAnsi="Times New Roman" w:eastAsia="Times New Roman" w:cs="Times New Roman"/>
          <w:spacing w:val="5"/>
          <w:sz w:val="24"/>
          <w:szCs w:val="24"/>
          <w:u w:val="single" w:color="auto"/>
        </w:rPr>
        <w:t xml:space="preserve"> </w:t>
      </w:r>
      <w:r>
        <w:rPr>
          <w:rFonts w:ascii="Times New Roman" w:hAnsi="Times New Roman" w:eastAsia="Times New Roman" w:cs="Times New Roman"/>
          <w:spacing w:val="-1"/>
          <w:sz w:val="24"/>
          <w:szCs w:val="24"/>
          <w:u w:val="single" w:color="auto"/>
        </w:rPr>
        <w:t>2000</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argues that implementation work must start with acceptance of</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organizations core values that</w:t>
      </w:r>
    </w:p>
    <w:p>
      <w:pPr>
        <w:spacing w:before="33" w:line="228" w:lineRule="auto"/>
        <w:ind w:left="1402"/>
        <w:rPr>
          <w:rFonts w:ascii="Times New Roman" w:hAnsi="Times New Roman" w:eastAsia="Times New Roman" w:cs="Times New Roman"/>
          <w:sz w:val="24"/>
          <w:szCs w:val="24"/>
        </w:rPr>
      </w:pPr>
      <w:r>
        <w:rPr>
          <w:rFonts w:ascii="Times New Roman" w:hAnsi="Times New Roman" w:eastAsia="Times New Roman" w:cs="Times New Roman"/>
          <w:sz w:val="24"/>
          <w:szCs w:val="24"/>
        </w:rPr>
        <w:t>should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characterize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culture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organization</w:t>
      </w:r>
      <w:r>
        <w:rPr>
          <w:rFonts w:ascii="Times New Roman" w:hAnsi="Times New Roman" w:eastAsia="Times New Roman" w:cs="Times New Roman"/>
          <w:spacing w:val="1"/>
          <w:sz w:val="24"/>
          <w:szCs w:val="24"/>
        </w:rPr>
        <w:t>.</w:t>
      </w:r>
    </w:p>
    <w:p>
      <w:pPr>
        <w:spacing w:before="198" w:line="228" w:lineRule="auto"/>
        <w:ind w:left="1398"/>
        <w:rPr>
          <w:rFonts w:ascii="Times New Roman" w:hAnsi="Times New Roman" w:eastAsia="Times New Roman" w:cs="Times New Roman"/>
          <w:sz w:val="24"/>
          <w:szCs w:val="24"/>
        </w:rPr>
      </w:pPr>
      <w:r>
        <w:rPr>
          <w:rFonts w:ascii="Times New Roman" w:hAnsi="Times New Roman" w:eastAsia="Times New Roman" w:cs="Times New Roman"/>
          <w:sz w:val="24"/>
          <w:szCs w:val="24"/>
        </w:rPr>
        <w:t>The use 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TQM as a system, results in the need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identifying 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organization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core values.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In</w:t>
      </w:r>
    </w:p>
    <w:p>
      <w:pPr>
        <w:spacing w:before="36" w:line="228" w:lineRule="auto"/>
        <w:ind w:left="1390"/>
        <w:rPr>
          <w:rFonts w:ascii="Times New Roman" w:hAnsi="Times New Roman" w:eastAsia="Times New Roman" w:cs="Times New Roman"/>
          <w:sz w:val="24"/>
          <w:szCs w:val="24"/>
        </w:rPr>
      </w:pPr>
      <w:r>
        <w:rPr>
          <w:rFonts w:ascii="Times New Roman" w:hAnsi="Times New Roman" w:eastAsia="Times New Roman" w:cs="Times New Roman"/>
          <w:sz w:val="24"/>
          <w:szCs w:val="24"/>
        </w:rPr>
        <w:t>public sectors, the core values, can turn out to be messed up</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ev</w:t>
      </w:r>
      <w:r>
        <w:rPr>
          <w:rFonts w:ascii="Times New Roman" w:hAnsi="Times New Roman" w:eastAsia="Times New Roman" w:cs="Times New Roman"/>
          <w:spacing w:val="-1"/>
          <w:sz w:val="24"/>
          <w:szCs w:val="24"/>
        </w:rPr>
        <w:t>en hidden,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 non-relevant</w:t>
      </w:r>
    </w:p>
    <w:p>
      <w:pPr>
        <w:spacing w:before="36" w:line="242" w:lineRule="auto"/>
        <w:ind w:left="1399" w:hanging="1"/>
        <w:rPr>
          <w:rFonts w:ascii="Times New Roman" w:hAnsi="Times New Roman" w:eastAsia="Times New Roman" w:cs="Times New Roman"/>
          <w:sz w:val="24"/>
          <w:szCs w:val="24"/>
        </w:rPr>
      </w:pPr>
      <w:r>
        <w:rPr>
          <w:rFonts w:ascii="Times New Roman" w:hAnsi="Times New Roman" w:eastAsia="Times New Roman" w:cs="Times New Roman"/>
          <w:sz w:val="24"/>
          <w:szCs w:val="24"/>
        </w:rPr>
        <w:t>indicators (</w:t>
      </w:r>
      <w:r>
        <w:rPr>
          <w:rFonts w:ascii="Times New Roman" w:hAnsi="Times New Roman" w:eastAsia="Times New Roman" w:cs="Times New Roman"/>
          <w:sz w:val="24"/>
          <w:szCs w:val="24"/>
          <w:u w:val="single" w:color="auto"/>
        </w:rPr>
        <w:t>Elg, 2015</w:t>
      </w:r>
      <w:r>
        <w:rPr>
          <w:rFonts w:ascii="Times New Roman" w:hAnsi="Times New Roman" w:eastAsia="Times New Roman" w:cs="Times New Roman"/>
          <w:sz w:val="24"/>
          <w:szCs w:val="24"/>
        </w:rPr>
        <w:t>). In the author’s opinion and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according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to previously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stated,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core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values</w:t>
      </w:r>
      <w:r>
        <w:rPr>
          <w:rFonts w:ascii="Times New Roman" w:hAnsi="Times New Roman" w:eastAsia="Times New Roman" w:cs="Times New Roman"/>
          <w:sz w:val="24"/>
          <w:szCs w:val="24"/>
        </w:rPr>
        <w:t xml:space="preserve"> of</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 public and professional organization should be the following:</w:t>
      </w:r>
    </w:p>
    <w:p>
      <w:pPr>
        <w:spacing w:before="259" w:line="189" w:lineRule="auto"/>
        <w:ind w:left="1763"/>
        <w:rPr>
          <w:rFonts w:ascii="Times New Roman" w:hAnsi="Times New Roman" w:eastAsia="Times New Roman" w:cs="Times New Roman"/>
          <w:sz w:val="24"/>
          <w:szCs w:val="24"/>
        </w:rPr>
      </w:pPr>
      <w:r>
        <w:rPr>
          <w:rFonts w:ascii="Arial" w:hAnsi="Arial" w:eastAsia="Arial" w:cs="Arial"/>
          <w:spacing w:val="11"/>
          <w:sz w:val="24"/>
          <w:szCs w:val="24"/>
        </w:rPr>
        <w:t>•</w:t>
      </w:r>
      <w:r>
        <w:rPr>
          <w:rFonts w:ascii="Arial" w:hAnsi="Arial" w:eastAsia="Arial" w:cs="Arial"/>
          <w:spacing w:val="14"/>
          <w:sz w:val="24"/>
          <w:szCs w:val="24"/>
        </w:rPr>
        <w:t xml:space="preserve">   </w:t>
      </w:r>
      <w:r>
        <w:rPr>
          <w:rFonts w:ascii="Times New Roman" w:hAnsi="Times New Roman" w:eastAsia="Times New Roman" w:cs="Times New Roman"/>
          <w:i/>
          <w:iCs/>
          <w:sz w:val="24"/>
          <w:szCs w:val="24"/>
        </w:rPr>
        <w:t>Learning</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z w:val="24"/>
          <w:szCs w:val="24"/>
        </w:rPr>
        <w:t>organization</w:t>
      </w:r>
    </w:p>
    <w:p>
      <w:pPr>
        <w:spacing w:before="52" w:line="227" w:lineRule="auto"/>
        <w:ind w:left="1763"/>
        <w:rPr>
          <w:rFonts w:ascii="Times New Roman" w:hAnsi="Times New Roman" w:eastAsia="Times New Roman" w:cs="Times New Roman"/>
          <w:sz w:val="24"/>
          <w:szCs w:val="24"/>
        </w:rPr>
      </w:pPr>
      <w:r>
        <w:rPr>
          <w:rFonts w:ascii="Arial" w:hAnsi="Arial" w:eastAsia="Arial" w:cs="Arial"/>
          <w:spacing w:val="4"/>
          <w:sz w:val="24"/>
          <w:szCs w:val="24"/>
        </w:rPr>
        <w:t xml:space="preserve">•   </w:t>
      </w:r>
      <w:r>
        <w:rPr>
          <w:rFonts w:ascii="Times New Roman" w:hAnsi="Times New Roman" w:eastAsia="Times New Roman" w:cs="Times New Roman"/>
          <w:i/>
          <w:iCs/>
          <w:sz w:val="24"/>
          <w:szCs w:val="24"/>
        </w:rPr>
        <w:t>Leadership</w:t>
      </w:r>
      <w:r>
        <w:rPr>
          <w:rFonts w:ascii="Times New Roman" w:hAnsi="Times New Roman" w:eastAsia="Times New Roman" w:cs="Times New Roman"/>
          <w:i/>
          <w:iCs/>
          <w:spacing w:val="4"/>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skills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QM</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understanding</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awareness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leadership</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public</w:t>
      </w:r>
    </w:p>
    <w:p>
      <w:pPr>
        <w:spacing w:before="39" w:line="243" w:lineRule="auto"/>
        <w:ind w:left="2119" w:right="73" w:firstLine="3"/>
        <w:rPr>
          <w:rFonts w:ascii="Times New Roman" w:hAnsi="Times New Roman" w:eastAsia="Times New Roman" w:cs="Times New Roman"/>
          <w:sz w:val="24"/>
          <w:szCs w:val="24"/>
        </w:rPr>
      </w:pPr>
      <w:r>
        <w:rPr>
          <w:rFonts w:ascii="Times New Roman" w:hAnsi="Times New Roman" w:eastAsia="Times New Roman" w:cs="Times New Roman"/>
          <w:sz w:val="24"/>
          <w:szCs w:val="24"/>
        </w:rPr>
        <w:t>sectors and professional organization and also with abi</w:t>
      </w:r>
      <w:r>
        <w:rPr>
          <w:rFonts w:ascii="Times New Roman" w:hAnsi="Times New Roman" w:eastAsia="Times New Roman" w:cs="Times New Roman"/>
          <w:spacing w:val="-1"/>
          <w:sz w:val="24"/>
          <w:szCs w:val="24"/>
        </w:rPr>
        <w:t>lity to adopt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QM</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into professional</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organizations.</w:t>
      </w:r>
    </w:p>
    <w:p>
      <w:pPr>
        <w:spacing w:before="94" w:line="189" w:lineRule="auto"/>
        <w:ind w:left="1763"/>
        <w:rPr>
          <w:rFonts w:ascii="Times New Roman" w:hAnsi="Times New Roman" w:eastAsia="Times New Roman" w:cs="Times New Roman"/>
          <w:sz w:val="24"/>
          <w:szCs w:val="24"/>
        </w:rPr>
      </w:pPr>
      <w:r>
        <w:rPr>
          <w:rFonts w:ascii="Arial" w:hAnsi="Arial" w:eastAsia="Arial" w:cs="Arial"/>
          <w:spacing w:val="4"/>
          <w:sz w:val="24"/>
          <w:szCs w:val="24"/>
        </w:rPr>
        <w:t>•</w:t>
      </w:r>
      <w:r>
        <w:rPr>
          <w:rFonts w:ascii="Arial" w:hAnsi="Arial" w:eastAsia="Arial" w:cs="Arial"/>
          <w:spacing w:val="20"/>
          <w:sz w:val="24"/>
          <w:szCs w:val="24"/>
        </w:rPr>
        <w:t xml:space="preserve">   </w:t>
      </w:r>
      <w:r>
        <w:rPr>
          <w:rFonts w:ascii="Times New Roman" w:hAnsi="Times New Roman" w:eastAsia="Times New Roman" w:cs="Times New Roman"/>
          <w:i/>
          <w:iCs/>
          <w:sz w:val="24"/>
          <w:szCs w:val="24"/>
        </w:rPr>
        <w:t>Quality</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z w:val="24"/>
          <w:szCs w:val="24"/>
        </w:rPr>
        <w:t>Assurance</w:t>
      </w:r>
      <w:r>
        <w:rPr>
          <w:rFonts w:ascii="Times New Roman" w:hAnsi="Times New Roman" w:eastAsia="Times New Roman" w:cs="Times New Roman"/>
          <w:i/>
          <w:iCs/>
          <w:spacing w:val="4"/>
          <w:sz w:val="24"/>
          <w:szCs w:val="24"/>
        </w:rPr>
        <w:t xml:space="preserve">, </w:t>
      </w:r>
      <w:r>
        <w:rPr>
          <w:rFonts w:ascii="Times New Roman" w:hAnsi="Times New Roman" w:eastAsia="Times New Roman" w:cs="Times New Roman"/>
          <w:i/>
          <w:iCs/>
          <w:sz w:val="24"/>
          <w:szCs w:val="24"/>
        </w:rPr>
        <w:t>QA</w:t>
      </w:r>
    </w:p>
    <w:p>
      <w:pPr>
        <w:spacing w:before="199" w:line="243" w:lineRule="auto"/>
        <w:ind w:left="1398" w:right="168" w:hanging="3"/>
        <w:rPr>
          <w:rFonts w:ascii="Times New Roman" w:hAnsi="Times New Roman" w:eastAsia="Times New Roman" w:cs="Times New Roman"/>
          <w:sz w:val="24"/>
          <w:szCs w:val="24"/>
        </w:rPr>
      </w:pPr>
      <w:r>
        <w:rPr>
          <w:rFonts w:ascii="Times New Roman" w:hAnsi="Times New Roman" w:eastAsia="Times New Roman" w:cs="Times New Roman"/>
          <w:sz w:val="24"/>
          <w:szCs w:val="24"/>
        </w:rPr>
        <w:t>Learning organization and leadership have been discussed earlier in the pa</w:t>
      </w:r>
      <w:r>
        <w:rPr>
          <w:rFonts w:ascii="Times New Roman" w:hAnsi="Times New Roman" w:eastAsia="Times New Roman" w:cs="Times New Roman"/>
          <w:spacing w:val="-1"/>
          <w:sz w:val="24"/>
          <w:szCs w:val="24"/>
        </w:rPr>
        <w:t>per and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QA has</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been</w:t>
      </w:r>
      <w:r>
        <w:rPr>
          <w:rFonts w:ascii="Times New Roman" w:hAnsi="Times New Roman" w:eastAsia="Times New Roman" w:cs="Times New Roman"/>
          <w:sz w:val="24"/>
          <w:szCs w:val="24"/>
        </w:rPr>
        <w:t xml:space="preserve"> added to ensure that we do the right things, in the right</w:t>
      </w:r>
      <w:r>
        <w:rPr>
          <w:rFonts w:ascii="Times New Roman" w:hAnsi="Times New Roman" w:eastAsia="Times New Roman" w:cs="Times New Roman"/>
          <w:spacing w:val="-1"/>
          <w:sz w:val="24"/>
          <w:szCs w:val="24"/>
        </w:rPr>
        <w:t xml:space="preserve"> context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concerning mission,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laws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p>
    <w:p>
      <w:pPr>
        <w:spacing w:before="36" w:line="228" w:lineRule="auto"/>
        <w:ind w:left="1392"/>
        <w:rPr>
          <w:rFonts w:ascii="Times New Roman" w:hAnsi="Times New Roman" w:eastAsia="Times New Roman" w:cs="Times New Roman"/>
          <w:sz w:val="24"/>
          <w:szCs w:val="24"/>
        </w:rPr>
      </w:pPr>
      <w:r>
        <w:rPr>
          <w:rFonts w:ascii="Times New Roman" w:hAnsi="Times New Roman" w:eastAsia="Times New Roman" w:cs="Times New Roman"/>
          <w:sz w:val="24"/>
          <w:szCs w:val="24"/>
        </w:rPr>
        <w:t>regulations for HEI, for example ESG (Standard</w:t>
      </w:r>
      <w:r>
        <w:rPr>
          <w:rFonts w:ascii="Times New Roman" w:hAnsi="Times New Roman" w:eastAsia="Times New Roman" w:cs="Times New Roman"/>
          <w:spacing w:val="-1"/>
          <w:sz w:val="24"/>
          <w:szCs w:val="24"/>
        </w:rPr>
        <w:t>s 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guidelines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for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quality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assurance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w:t>
      </w:r>
    </w:p>
    <w:p>
      <w:pPr>
        <w:spacing w:before="35" w:line="228" w:lineRule="auto"/>
        <w:ind w:left="1396"/>
        <w:rPr>
          <w:rFonts w:ascii="Times New Roman" w:hAnsi="Times New Roman" w:eastAsia="Times New Roman" w:cs="Times New Roman"/>
          <w:sz w:val="24"/>
          <w:szCs w:val="24"/>
        </w:rPr>
      </w:pPr>
      <w:r>
        <w:rPr>
          <w:rFonts w:ascii="Times New Roman" w:hAnsi="Times New Roman" w:eastAsia="Times New Roman" w:cs="Times New Roman"/>
          <w:sz w:val="24"/>
          <w:szCs w:val="24"/>
        </w:rPr>
        <w:t>European Higher education area (</w:t>
      </w:r>
      <w:r>
        <w:rPr>
          <w:rFonts w:ascii="Times New Roman" w:hAnsi="Times New Roman" w:eastAsia="Times New Roman" w:cs="Times New Roman"/>
          <w:sz w:val="24"/>
          <w:szCs w:val="24"/>
          <w:u w:val="single" w:color="auto"/>
        </w:rPr>
        <w:t>(ENQA), 2015</w:t>
      </w:r>
      <w:r>
        <w:rPr>
          <w:rFonts w:ascii="Times New Roman" w:hAnsi="Times New Roman" w:eastAsia="Times New Roman" w:cs="Times New Roman"/>
          <w:sz w:val="24"/>
          <w:szCs w:val="24"/>
        </w:rPr>
        <w:t>)). If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 core values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HEI</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learning</w:t>
      </w:r>
    </w:p>
    <w:p>
      <w:pPr>
        <w:spacing w:before="35" w:line="248" w:lineRule="auto"/>
        <w:ind w:left="1399" w:right="119"/>
        <w:rPr>
          <w:rFonts w:ascii="Times New Roman" w:hAnsi="Times New Roman" w:eastAsia="Times New Roman" w:cs="Times New Roman"/>
          <w:sz w:val="24"/>
          <w:szCs w:val="24"/>
        </w:rPr>
      </w:pPr>
      <w:r>
        <w:rPr>
          <w:rFonts w:ascii="Times New Roman" w:hAnsi="Times New Roman" w:eastAsia="Times New Roman" w:cs="Times New Roman"/>
          <w:sz w:val="24"/>
          <w:szCs w:val="24"/>
        </w:rPr>
        <w:t>organization, leadership and QA, suitable technique</w:t>
      </w:r>
      <w:r>
        <w:rPr>
          <w:rFonts w:ascii="Times New Roman" w:hAnsi="Times New Roman" w:eastAsia="Times New Roman" w:cs="Times New Roman"/>
          <w:spacing w:val="-1"/>
          <w:sz w:val="24"/>
          <w:szCs w:val="24"/>
        </w:rPr>
        <w:t>s and tools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are needed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support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 values</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color="auto"/>
        </w:rPr>
        <w:t>Hellsten, 2000</w:t>
      </w:r>
      <w:r>
        <w:rPr>
          <w:rFonts w:ascii="Times New Roman" w:hAnsi="Times New Roman" w:eastAsia="Times New Roman" w:cs="Times New Roman"/>
          <w:sz w:val="24"/>
          <w:szCs w:val="24"/>
        </w:rPr>
        <w:t>). One suitable technique that supports the</w:t>
      </w:r>
      <w:r>
        <w:rPr>
          <w:rFonts w:ascii="Times New Roman" w:hAnsi="Times New Roman" w:eastAsia="Times New Roman" w:cs="Times New Roman"/>
          <w:spacing w:val="-1"/>
          <w:sz w:val="24"/>
          <w:szCs w:val="24"/>
        </w:rPr>
        <w:t>se core values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facilitates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 holistic</w:t>
      </w:r>
      <w:r>
        <w:rPr>
          <w:rFonts w:ascii="Times New Roman" w:hAnsi="Times New Roman" w:eastAsia="Times New Roman" w:cs="Times New Roman"/>
          <w:sz w:val="24"/>
          <w:szCs w:val="24"/>
        </w:rPr>
        <w:t xml:space="preserve"> approach is process</w:t>
      </w:r>
      <w:r>
        <w:rPr>
          <w:rFonts w:ascii="Times New Roman" w:hAnsi="Times New Roman" w:eastAsia="Times New Roman" w:cs="Times New Roman"/>
          <w:spacing w:val="-1"/>
          <w:sz w:val="24"/>
          <w:szCs w:val="24"/>
        </w:rPr>
        <w:t xml:space="preserve"> management.</w:t>
      </w:r>
    </w:p>
    <w:p>
      <w:pPr>
        <w:spacing w:before="199" w:line="228" w:lineRule="auto"/>
        <w:ind w:left="1395"/>
        <w:rPr>
          <w:rFonts w:ascii="Times New Roman" w:hAnsi="Times New Roman" w:eastAsia="Times New Roman" w:cs="Times New Roman"/>
          <w:sz w:val="24"/>
          <w:szCs w:val="24"/>
        </w:rPr>
      </w:pPr>
      <w:r>
        <w:rPr>
          <w:rFonts w:ascii="Times New Roman" w:hAnsi="Times New Roman" w:eastAsia="Times New Roman" w:cs="Times New Roman"/>
          <w:sz w:val="24"/>
          <w:szCs w:val="24"/>
        </w:rPr>
        <w:t>Process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management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i/>
          <w:iCs/>
          <w:sz w:val="24"/>
          <w:szCs w:val="24"/>
        </w:rPr>
        <w:t>is</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a</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concept</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that</w:t>
      </w:r>
      <w:r>
        <w:rPr>
          <w:rFonts w:ascii="Times New Roman" w:hAnsi="Times New Roman" w:eastAsia="Times New Roman" w:cs="Times New Roman"/>
          <w:i/>
          <w:iCs/>
          <w:spacing w:val="-37"/>
          <w:sz w:val="24"/>
          <w:szCs w:val="24"/>
        </w:rPr>
        <w:t xml:space="preserve"> </w:t>
      </w:r>
      <w:r>
        <w:rPr>
          <w:rFonts w:ascii="Times New Roman" w:hAnsi="Times New Roman" w:eastAsia="Times New Roman" w:cs="Times New Roman"/>
          <w:i/>
          <w:iCs/>
          <w:sz w:val="24"/>
          <w:szCs w:val="24"/>
        </w:rPr>
        <w:t>forces</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to</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z w:val="24"/>
          <w:szCs w:val="24"/>
        </w:rPr>
        <w:t>focus</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on</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the</w:t>
      </w:r>
      <w:r>
        <w:rPr>
          <w:rFonts w:ascii="Times New Roman" w:hAnsi="Times New Roman" w:eastAsia="Times New Roman" w:cs="Times New Roman"/>
          <w:i/>
          <w:iCs/>
          <w:spacing w:val="-43"/>
          <w:sz w:val="24"/>
          <w:szCs w:val="24"/>
        </w:rPr>
        <w:t xml:space="preserve"> </w:t>
      </w:r>
      <w:r>
        <w:rPr>
          <w:rFonts w:ascii="Times New Roman" w:hAnsi="Times New Roman" w:eastAsia="Times New Roman" w:cs="Times New Roman"/>
          <w:i/>
          <w:iCs/>
          <w:sz w:val="24"/>
          <w:szCs w:val="24"/>
        </w:rPr>
        <w:t>flow</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of</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work</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independent</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of</w:t>
      </w:r>
    </w:p>
    <w:p>
      <w:pPr>
        <w:spacing w:before="35" w:line="228" w:lineRule="auto"/>
        <w:ind w:left="1395"/>
        <w:rPr>
          <w:rFonts w:ascii="Times New Roman" w:hAnsi="Times New Roman" w:eastAsia="Times New Roman" w:cs="Times New Roman"/>
          <w:sz w:val="24"/>
          <w:szCs w:val="24"/>
        </w:rPr>
      </w:pPr>
      <w:r>
        <w:rPr>
          <w:rFonts w:ascii="Times New Roman" w:hAnsi="Times New Roman" w:eastAsia="Times New Roman" w:cs="Times New Roman"/>
          <w:i/>
          <w:iCs/>
          <w:sz w:val="24"/>
          <w:szCs w:val="24"/>
        </w:rPr>
        <w:t>whether work is a</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z w:val="24"/>
          <w:szCs w:val="24"/>
        </w:rPr>
        <w:t>product or service and independent of organization</w:t>
      </w:r>
      <w:r>
        <w:rPr>
          <w:rFonts w:ascii="Times New Roman" w:hAnsi="Times New Roman" w:eastAsia="Times New Roman" w:cs="Times New Roman"/>
          <w:sz w:val="24"/>
          <w:szCs w:val="24"/>
        </w:rPr>
        <w:t>” (</w:t>
      </w:r>
      <w:r>
        <w:rPr>
          <w:rFonts w:ascii="Times New Roman" w:hAnsi="Times New Roman" w:eastAsia="Times New Roman" w:cs="Times New Roman"/>
          <w:sz w:val="24"/>
          <w:szCs w:val="24"/>
          <w:u w:val="single" w:color="auto"/>
        </w:rPr>
        <w:t>Melan,</w:t>
      </w:r>
      <w:r>
        <w:rPr>
          <w:rFonts w:ascii="Times New Roman" w:hAnsi="Times New Roman" w:eastAsia="Times New Roman" w:cs="Times New Roman"/>
          <w:spacing w:val="29"/>
          <w:sz w:val="24"/>
          <w:szCs w:val="24"/>
          <w:u w:val="single" w:color="auto"/>
        </w:rPr>
        <w:t xml:space="preserve"> </w:t>
      </w:r>
      <w:r>
        <w:rPr>
          <w:rFonts w:ascii="Times New Roman" w:hAnsi="Times New Roman" w:eastAsia="Times New Roman" w:cs="Times New Roman"/>
          <w:sz w:val="24"/>
          <w:szCs w:val="24"/>
          <w:u w:val="single" w:color="auto"/>
        </w:rPr>
        <w:t>19</w:t>
      </w:r>
      <w:r>
        <w:rPr>
          <w:rFonts w:ascii="Times New Roman" w:hAnsi="Times New Roman" w:eastAsia="Times New Roman" w:cs="Times New Roman"/>
          <w:spacing w:val="-1"/>
          <w:sz w:val="24"/>
          <w:szCs w:val="24"/>
          <w:u w:val="single" w:color="auto"/>
        </w:rPr>
        <w:t>93</w:t>
      </w:r>
      <w:r>
        <w:rPr>
          <w:rFonts w:ascii="Times New Roman" w:hAnsi="Times New Roman" w:eastAsia="Times New Roman" w:cs="Times New Roman"/>
          <w:spacing w:val="-1"/>
          <w:sz w:val="24"/>
          <w:szCs w:val="24"/>
        </w:rPr>
        <w:t>). Hence</w:t>
      </w:r>
    </w:p>
    <w:p>
      <w:pPr>
        <w:spacing w:before="35" w:line="228" w:lineRule="auto"/>
        <w:ind w:left="1390"/>
        <w:rPr>
          <w:rFonts w:ascii="Times New Roman" w:hAnsi="Times New Roman" w:eastAsia="Times New Roman" w:cs="Times New Roman"/>
          <w:sz w:val="24"/>
          <w:szCs w:val="24"/>
        </w:rPr>
      </w:pPr>
      <w:r>
        <w:rPr>
          <w:rFonts w:ascii="Times New Roman" w:hAnsi="Times New Roman" w:eastAsia="Times New Roman" w:cs="Times New Roman"/>
          <w:sz w:val="24"/>
          <w:szCs w:val="24"/>
        </w:rPr>
        <w:t>process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management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provides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method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analyzing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set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work</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activities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comprise</w:t>
      </w:r>
    </w:p>
    <w:p>
      <w:pPr>
        <w:spacing w:before="36" w:line="228" w:lineRule="auto"/>
        <w:ind w:left="1393"/>
        <w:rPr>
          <w:rFonts w:ascii="Times New Roman" w:hAnsi="Times New Roman" w:eastAsia="Times New Roman" w:cs="Times New Roman"/>
          <w:sz w:val="24"/>
          <w:szCs w:val="24"/>
        </w:rPr>
      </w:pPr>
      <w:r>
        <w:rPr>
          <w:rFonts w:ascii="Times New Roman" w:hAnsi="Times New Roman" w:eastAsia="Times New Roman" w:cs="Times New Roman"/>
          <w:sz w:val="24"/>
          <w:szCs w:val="24"/>
        </w:rPr>
        <w:t>transforming input (materi</w:t>
      </w:r>
      <w:r>
        <w:rPr>
          <w:rFonts w:ascii="Times New Roman" w:hAnsi="Times New Roman" w:eastAsia="Times New Roman" w:cs="Times New Roman"/>
          <w:spacing w:val="-1"/>
          <w:sz w:val="24"/>
          <w:szCs w:val="24"/>
        </w:rPr>
        <w:t>al and information) to an output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(result)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Melan,</w:t>
      </w:r>
      <w:r>
        <w:rPr>
          <w:rFonts w:ascii="Times New Roman" w:hAnsi="Times New Roman" w:eastAsia="Times New Roman" w:cs="Times New Roman"/>
          <w:spacing w:val="31"/>
          <w:sz w:val="24"/>
          <w:szCs w:val="24"/>
          <w:u w:val="single" w:color="auto"/>
        </w:rPr>
        <w:t xml:space="preserve"> </w:t>
      </w:r>
      <w:r>
        <w:rPr>
          <w:rFonts w:ascii="Times New Roman" w:hAnsi="Times New Roman" w:eastAsia="Times New Roman" w:cs="Times New Roman"/>
          <w:spacing w:val="-1"/>
          <w:sz w:val="24"/>
          <w:szCs w:val="24"/>
          <w:u w:val="single" w:color="auto"/>
        </w:rPr>
        <w:t>1993</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Process</w:t>
      </w:r>
    </w:p>
    <w:p>
      <w:pPr>
        <w:spacing w:before="36" w:line="244" w:lineRule="auto"/>
        <w:ind w:left="1398" w:right="178" w:hanging="6"/>
        <w:rPr>
          <w:rFonts w:ascii="Times New Roman" w:hAnsi="Times New Roman" w:eastAsia="Times New Roman" w:cs="Times New Roman"/>
          <w:sz w:val="24"/>
          <w:szCs w:val="24"/>
        </w:rPr>
      </w:pPr>
      <w:r>
        <w:rPr>
          <w:rFonts w:ascii="Times New Roman" w:hAnsi="Times New Roman" w:eastAsia="Times New Roman" w:cs="Times New Roman"/>
          <w:sz w:val="24"/>
          <w:szCs w:val="24"/>
        </w:rPr>
        <w:t>management often means to question the systems a</w:t>
      </w:r>
      <w:r>
        <w:rPr>
          <w:rFonts w:ascii="Times New Roman" w:hAnsi="Times New Roman" w:eastAsia="Times New Roman" w:cs="Times New Roman"/>
          <w:spacing w:val="-1"/>
          <w:sz w:val="24"/>
          <w:szCs w:val="24"/>
        </w:rPr>
        <w:t>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structures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(i.e. 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organization), but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also</w:t>
      </w:r>
      <w:r>
        <w:rPr>
          <w:rFonts w:ascii="Times New Roman" w:hAnsi="Times New Roman" w:eastAsia="Times New Roman" w:cs="Times New Roman"/>
          <w:sz w:val="24"/>
          <w:szCs w:val="24"/>
        </w:rPr>
        <w:t xml:space="preserve"> attitudes, values and culture (</w:t>
      </w:r>
      <w:r>
        <w:rPr>
          <w:rFonts w:ascii="Times New Roman" w:hAnsi="Times New Roman" w:eastAsia="Times New Roman" w:cs="Times New Roman"/>
          <w:sz w:val="24"/>
          <w:szCs w:val="24"/>
          <w:u w:val="single" w:color="auto"/>
        </w:rPr>
        <w:t>Ljungberg, 2012</w:t>
      </w:r>
      <w:r>
        <w:rPr>
          <w:rFonts w:ascii="Times New Roman" w:hAnsi="Times New Roman" w:eastAsia="Times New Roman" w:cs="Times New Roman"/>
          <w:sz w:val="24"/>
          <w:szCs w:val="24"/>
        </w:rPr>
        <w:t>). If</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an organization wants to</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adopt</w:t>
      </w:r>
      <w:r>
        <w:rPr>
          <w:rFonts w:ascii="Times New Roman" w:hAnsi="Times New Roman" w:eastAsia="Times New Roman" w:cs="Times New Roman"/>
          <w:spacing w:val="-1"/>
          <w:sz w:val="24"/>
          <w:szCs w:val="24"/>
        </w:rPr>
        <w:t xml:space="preserve"> process</w:t>
      </w:r>
    </w:p>
    <w:p>
      <w:pPr>
        <w:spacing w:before="37" w:line="243" w:lineRule="auto"/>
        <w:ind w:left="1398" w:right="14" w:hanging="6"/>
        <w:rPr>
          <w:rFonts w:ascii="Times New Roman" w:hAnsi="Times New Roman" w:eastAsia="Times New Roman" w:cs="Times New Roman"/>
          <w:sz w:val="24"/>
          <w:szCs w:val="24"/>
        </w:rPr>
      </w:pPr>
      <w:r>
        <w:rPr>
          <w:rFonts w:ascii="Times New Roman" w:hAnsi="Times New Roman" w:eastAsia="Times New Roman" w:cs="Times New Roman"/>
          <w:sz w:val="24"/>
          <w:szCs w:val="24"/>
        </w:rPr>
        <w:t>management it also must be prepared for a change i</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company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culture,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leadership</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z w:val="24"/>
          <w:szCs w:val="24"/>
        </w:rPr>
        <w:t xml:space="preserve"> organization of</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work (</w:t>
      </w:r>
      <w:r>
        <w:rPr>
          <w:rFonts w:ascii="Times New Roman" w:hAnsi="Times New Roman" w:eastAsia="Times New Roman" w:cs="Times New Roman"/>
          <w:sz w:val="24"/>
          <w:szCs w:val="24"/>
          <w:u w:val="single" w:color="auto"/>
        </w:rPr>
        <w:t>Egnell,</w:t>
      </w:r>
      <w:r>
        <w:rPr>
          <w:rFonts w:ascii="Times New Roman" w:hAnsi="Times New Roman" w:eastAsia="Times New Roman" w:cs="Times New Roman"/>
          <w:spacing w:val="28"/>
          <w:w w:val="101"/>
          <w:sz w:val="24"/>
          <w:szCs w:val="24"/>
          <w:u w:val="single" w:color="auto"/>
        </w:rPr>
        <w:t xml:space="preserve"> </w:t>
      </w:r>
      <w:r>
        <w:rPr>
          <w:rFonts w:ascii="Times New Roman" w:hAnsi="Times New Roman" w:eastAsia="Times New Roman" w:cs="Times New Roman"/>
          <w:sz w:val="24"/>
          <w:szCs w:val="24"/>
          <w:u w:val="single" w:color="auto"/>
        </w:rPr>
        <w:t>1994</w:t>
      </w:r>
      <w:r>
        <w:rPr>
          <w:rFonts w:ascii="Times New Roman" w:hAnsi="Times New Roman" w:eastAsia="Times New Roman" w:cs="Times New Roman"/>
          <w:sz w:val="24"/>
          <w:szCs w:val="24"/>
        </w:rPr>
        <w:t>). An important precondition with proce</w:t>
      </w:r>
      <w:r>
        <w:rPr>
          <w:rFonts w:ascii="Times New Roman" w:hAnsi="Times New Roman" w:eastAsia="Times New Roman" w:cs="Times New Roman"/>
          <w:spacing w:val="-1"/>
          <w:sz w:val="24"/>
          <w:szCs w:val="24"/>
        </w:rPr>
        <w:t>ss management is</w:t>
      </w:r>
    </w:p>
    <w:p>
      <w:pPr>
        <w:spacing w:before="35" w:line="228" w:lineRule="auto"/>
        <w:ind w:left="1392"/>
        <w:rPr>
          <w:rFonts w:ascii="Times New Roman" w:hAnsi="Times New Roman" w:eastAsia="Times New Roman" w:cs="Times New Roman"/>
          <w:sz w:val="24"/>
          <w:szCs w:val="24"/>
        </w:rPr>
      </w:pPr>
      <w:r>
        <w:rPr>
          <w:rFonts w:ascii="Times New Roman" w:hAnsi="Times New Roman" w:eastAsia="Times New Roman" w:cs="Times New Roman"/>
          <w:sz w:val="24"/>
          <w:szCs w:val="24"/>
        </w:rPr>
        <w:t>moving decision making to the “right employee” in the process, meaning that delegati</w:t>
      </w:r>
      <w:r>
        <w:rPr>
          <w:rFonts w:ascii="Times New Roman" w:hAnsi="Times New Roman" w:eastAsia="Times New Roman" w:cs="Times New Roman"/>
          <w:spacing w:val="-1"/>
          <w:sz w:val="24"/>
          <w:szCs w:val="24"/>
        </w:rPr>
        <w:t>ng</w:t>
      </w:r>
    </w:p>
    <w:p>
      <w:pPr>
        <w:spacing w:before="35" w:line="228" w:lineRule="auto"/>
        <w:ind w:left="1392"/>
        <w:rPr>
          <w:rFonts w:ascii="Times New Roman" w:hAnsi="Times New Roman" w:eastAsia="Times New Roman" w:cs="Times New Roman"/>
          <w:sz w:val="24"/>
          <w:szCs w:val="24"/>
        </w:rPr>
      </w:pPr>
      <w:r>
        <w:rPr>
          <w:rFonts w:ascii="Times New Roman" w:hAnsi="Times New Roman" w:eastAsia="Times New Roman" w:cs="Times New Roman"/>
          <w:sz w:val="24"/>
          <w:szCs w:val="24"/>
        </w:rPr>
        <w:t>responsibility and power is necessary (</w:t>
      </w:r>
      <w:r>
        <w:rPr>
          <w:rFonts w:ascii="Times New Roman" w:hAnsi="Times New Roman" w:eastAsia="Times New Roman" w:cs="Times New Roman"/>
          <w:sz w:val="24"/>
          <w:szCs w:val="24"/>
          <w:u w:val="single" w:color="auto"/>
        </w:rPr>
        <w:t>Ljungberg, 2012</w:t>
      </w:r>
      <w:r>
        <w:rPr>
          <w:rFonts w:ascii="Times New Roman" w:hAnsi="Times New Roman" w:eastAsia="Times New Roman" w:cs="Times New Roman"/>
          <w:sz w:val="24"/>
          <w:szCs w:val="24"/>
        </w:rPr>
        <w:t>). This also means a</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new</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kind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w:t>
      </w:r>
    </w:p>
    <w:p>
      <w:pPr>
        <w:spacing w:before="36" w:line="251" w:lineRule="auto"/>
        <w:ind w:left="1392" w:right="255" w:firstLine="5"/>
        <w:rPr>
          <w:rFonts w:ascii="Times New Roman" w:hAnsi="Times New Roman" w:eastAsia="Times New Roman" w:cs="Times New Roman"/>
          <w:sz w:val="24"/>
          <w:szCs w:val="24"/>
        </w:rPr>
      </w:pPr>
      <w:r>
        <w:rPr>
          <w:rFonts w:ascii="Times New Roman" w:hAnsi="Times New Roman" w:eastAsia="Times New Roman" w:cs="Times New Roman"/>
          <w:sz w:val="24"/>
          <w:szCs w:val="24"/>
        </w:rPr>
        <w:t>leadership where leadership trust the employees, engage an</w:t>
      </w:r>
      <w:r>
        <w:rPr>
          <w:rFonts w:ascii="Times New Roman" w:hAnsi="Times New Roman" w:eastAsia="Times New Roman" w:cs="Times New Roman"/>
          <w:spacing w:val="-1"/>
          <w:sz w:val="24"/>
          <w:szCs w:val="24"/>
        </w:rPr>
        <w:t>d empower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employees,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encourage</w:t>
      </w:r>
      <w:r>
        <w:rPr>
          <w:rFonts w:ascii="Times New Roman" w:hAnsi="Times New Roman" w:eastAsia="Times New Roman" w:cs="Times New Roman"/>
          <w:sz w:val="24"/>
          <w:szCs w:val="24"/>
        </w:rPr>
        <w:t xml:space="preserve">   learning and improvements and shows that it is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all 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indivi</w:t>
      </w:r>
      <w:r>
        <w:rPr>
          <w:rFonts w:ascii="Times New Roman" w:hAnsi="Times New Roman" w:eastAsia="Times New Roman" w:cs="Times New Roman"/>
          <w:spacing w:val="-1"/>
          <w:sz w:val="24"/>
          <w:szCs w:val="24"/>
        </w:rPr>
        <w:t>duals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within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organization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who</w:t>
      </w:r>
      <w:r>
        <w:rPr>
          <w:rFonts w:ascii="Times New Roman" w:hAnsi="Times New Roman" w:eastAsia="Times New Roman" w:cs="Times New Roman"/>
          <w:sz w:val="24"/>
          <w:szCs w:val="24"/>
        </w:rPr>
        <w:t xml:space="preserve"> makes the difference (</w:t>
      </w:r>
      <w:r>
        <w:rPr>
          <w:rFonts w:ascii="Times New Roman" w:hAnsi="Times New Roman" w:eastAsia="Times New Roman" w:cs="Times New Roman"/>
          <w:sz w:val="24"/>
          <w:szCs w:val="24"/>
          <w:u w:val="single" w:color="auto"/>
        </w:rPr>
        <w:t>Ljungberg, 2012</w:t>
      </w:r>
      <w:r>
        <w:rPr>
          <w:rFonts w:ascii="Times New Roman" w:hAnsi="Times New Roman" w:eastAsia="Times New Roman" w:cs="Times New Roman"/>
          <w:sz w:val="24"/>
          <w:szCs w:val="24"/>
        </w:rPr>
        <w:t>). This is no</w:t>
      </w:r>
      <w:r>
        <w:rPr>
          <w:rFonts w:ascii="Times New Roman" w:hAnsi="Times New Roman" w:eastAsia="Times New Roman" w:cs="Times New Roman"/>
          <w:spacing w:val="-1"/>
          <w:sz w:val="24"/>
          <w:szCs w:val="24"/>
        </w:rPr>
        <w:t>t so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different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from</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academic</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leadership,</w:t>
      </w:r>
      <w:r>
        <w:rPr>
          <w:rFonts w:ascii="Times New Roman" w:hAnsi="Times New Roman" w:eastAsia="Times New Roman" w:cs="Times New Roman"/>
          <w:sz w:val="24"/>
          <w:szCs w:val="24"/>
        </w:rPr>
        <w:t xml:space="preserve"> which can be described as shared </w:t>
      </w:r>
      <w:r>
        <w:rPr>
          <w:rFonts w:ascii="Times New Roman" w:hAnsi="Times New Roman" w:eastAsia="Times New Roman" w:cs="Times New Roman"/>
          <w:spacing w:val="-1"/>
          <w:sz w:val="24"/>
          <w:szCs w:val="24"/>
        </w:rPr>
        <w:t>and distributed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leadership,</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executed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from</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collegial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fora</w:t>
      </w:r>
    </w:p>
    <w:p>
      <w:pPr>
        <w:spacing w:before="34" w:line="228" w:lineRule="auto"/>
        <w:ind w:left="1400"/>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u w:val="single" w:color="auto"/>
        </w:rPr>
        <w:t>Crevani, 2015</w:t>
      </w:r>
      <w:r>
        <w:rPr>
          <w:rFonts w:ascii="Times New Roman" w:hAnsi="Times New Roman" w:eastAsia="Times New Roman" w:cs="Times New Roman"/>
          <w:sz w:val="24"/>
          <w:szCs w:val="24"/>
        </w:rPr>
        <w:t>).</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13" w:lineRule="exact"/>
        <w:ind w:firstLine="1151"/>
      </w:pPr>
      <w:r>
        <w:rPr>
          <w:position w:val="-4"/>
        </w:rPr>
        <w:drawing>
          <wp:inline distT="0" distB="0" distL="0" distR="0">
            <wp:extent cx="1849120" cy="13462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1137" w:bottom="100" w:left="48" w:header="0" w:footer="0" w:gutter="0"/>
          <w:cols w:space="720" w:num="1"/>
        </w:sectPr>
      </w:pPr>
    </w:p>
    <w:p>
      <w:pPr>
        <w:spacing w:line="245" w:lineRule="auto"/>
        <w:rPr>
          <w:rFonts w:ascii="Arial"/>
          <w:sz w:val="21"/>
        </w:rPr>
      </w:pPr>
      <w:r>
        <mc:AlternateContent>
          <mc:Choice Requires="wps">
            <w:drawing>
              <wp:anchor distT="0" distB="0" distL="0" distR="0" simplePos="0" relativeHeight="251758592"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184" name="TextBox 184"/>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4" o:spid="_x0000_s1026" o:spt="202" type="#_x0000_t202" style="position:absolute;left:0pt;margin-left:-120.15pt;margin-top:416.25pt;height:9.3pt;width:252.55pt;mso-position-horizontal-relative:page;mso-position-vertical-relative:page;rotation:-5898240f;z-index:251758592;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9+V8tsAAAAMAQAADwAAAAAAAAABACAAAAAiAAAAZHJzL2Rvd25y&#10;ZXYueG1sUEsBAhQAFAAAAAgAh07iQNhG+lo0AgAAcQQAAA4AAAAAAAAAAQAgAAAAKgEAAGRycy9l&#10;Mm9Eb2MueG1sUEsFBgAAAAAGAAYAWQEAANAFA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9" w:line="248" w:lineRule="auto"/>
        <w:ind w:left="1392" w:right="96" w:firstLine="2"/>
        <w:rPr>
          <w:rFonts w:ascii="Times New Roman" w:hAnsi="Times New Roman" w:eastAsia="Times New Roman" w:cs="Times New Roman"/>
          <w:sz w:val="24"/>
          <w:szCs w:val="24"/>
        </w:rPr>
      </w:pPr>
      <w:r>
        <w:rPr>
          <w:rFonts w:ascii="Times New Roman" w:hAnsi="Times New Roman" w:eastAsia="Times New Roman" w:cs="Times New Roman"/>
          <w:sz w:val="24"/>
          <w:szCs w:val="24"/>
        </w:rPr>
        <w:t>Process mapping is the tool to use working with process m</w:t>
      </w:r>
      <w:r>
        <w:rPr>
          <w:rFonts w:ascii="Times New Roman" w:hAnsi="Times New Roman" w:eastAsia="Times New Roman" w:cs="Times New Roman"/>
          <w:spacing w:val="-1"/>
          <w:sz w:val="24"/>
          <w:szCs w:val="24"/>
        </w:rPr>
        <w:t xml:space="preserve">anagement. Process mapping means   </w:t>
      </w:r>
      <w:r>
        <w:rPr>
          <w:rFonts w:ascii="Times New Roman" w:hAnsi="Times New Roman" w:eastAsia="Times New Roman" w:cs="Times New Roman"/>
          <w:sz w:val="24"/>
          <w:szCs w:val="24"/>
        </w:rPr>
        <w:t>visually defining a process with symbolic description and is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also called process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flowcharts,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flow</w:t>
      </w:r>
      <w:r>
        <w:rPr>
          <w:rFonts w:ascii="Times New Roman" w:hAnsi="Times New Roman" w:eastAsia="Times New Roman" w:cs="Times New Roman"/>
          <w:sz w:val="24"/>
          <w:szCs w:val="24"/>
        </w:rPr>
        <w:t xml:space="preserve"> diagram or product process chart</w:t>
      </w:r>
      <w:r>
        <w:rPr>
          <w:rFonts w:ascii="Times New Roman" w:hAnsi="Times New Roman" w:eastAsia="Times New Roman" w:cs="Times New Roman"/>
          <w:spacing w:val="-1"/>
          <w:sz w:val="24"/>
          <w:szCs w:val="24"/>
        </w:rPr>
        <w:t>s (</w:t>
      </w:r>
      <w:r>
        <w:rPr>
          <w:rFonts w:ascii="Times New Roman" w:hAnsi="Times New Roman" w:eastAsia="Times New Roman" w:cs="Times New Roman"/>
          <w:spacing w:val="-1"/>
          <w:sz w:val="24"/>
          <w:szCs w:val="24"/>
          <w:u w:val="single" w:color="auto"/>
        </w:rPr>
        <w:t>Melan,</w:t>
      </w:r>
      <w:r>
        <w:rPr>
          <w:rFonts w:ascii="Times New Roman" w:hAnsi="Times New Roman" w:eastAsia="Times New Roman" w:cs="Times New Roman"/>
          <w:spacing w:val="29"/>
          <w:sz w:val="24"/>
          <w:szCs w:val="24"/>
          <w:u w:val="single" w:color="auto"/>
        </w:rPr>
        <w:t xml:space="preserve"> </w:t>
      </w:r>
      <w:r>
        <w:rPr>
          <w:rFonts w:ascii="Times New Roman" w:hAnsi="Times New Roman" w:eastAsia="Times New Roman" w:cs="Times New Roman"/>
          <w:spacing w:val="-1"/>
          <w:sz w:val="24"/>
          <w:szCs w:val="24"/>
          <w:u w:val="single" w:color="auto"/>
        </w:rPr>
        <w:t>1993</w:t>
      </w:r>
      <w:r>
        <w:rPr>
          <w:rFonts w:ascii="Times New Roman" w:hAnsi="Times New Roman" w:eastAsia="Times New Roman" w:cs="Times New Roman"/>
          <w:spacing w:val="-1"/>
          <w:sz w:val="24"/>
          <w:szCs w:val="24"/>
        </w:rPr>
        <w:t>).</w:t>
      </w:r>
    </w:p>
    <w:p>
      <w:pPr>
        <w:spacing w:before="257" w:line="187" w:lineRule="auto"/>
        <w:ind w:left="1396"/>
        <w:rPr>
          <w:rFonts w:ascii="Times New Roman" w:hAnsi="Times New Roman" w:eastAsia="Times New Roman" w:cs="Times New Roman"/>
          <w:sz w:val="28"/>
          <w:szCs w:val="28"/>
        </w:rPr>
      </w:pPr>
      <w:r>
        <w:rPr>
          <w:rFonts w:ascii="Times New Roman" w:hAnsi="Times New Roman" w:eastAsia="Times New Roman" w:cs="Times New Roman"/>
          <w:b/>
          <w:bCs/>
          <w:spacing w:val="-1"/>
          <w:sz w:val="28"/>
          <w:szCs w:val="28"/>
        </w:rPr>
        <w:t>Research Methodology</w:t>
      </w:r>
    </w:p>
    <w:p>
      <w:pPr>
        <w:spacing w:before="39" w:line="228" w:lineRule="auto"/>
        <w:ind w:left="1398"/>
        <w:rPr>
          <w:rFonts w:ascii="Times New Roman" w:hAnsi="Times New Roman" w:eastAsia="Times New Roman" w:cs="Times New Roman"/>
          <w:sz w:val="24"/>
          <w:szCs w:val="24"/>
        </w:rPr>
      </w:pPr>
      <w:r>
        <w:rPr>
          <w:rFonts w:ascii="Times New Roman" w:hAnsi="Times New Roman" w:eastAsia="Times New Roman" w:cs="Times New Roman"/>
          <w:sz w:val="24"/>
          <w:szCs w:val="24"/>
        </w:rPr>
        <w:t>This article presents a kind of</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action research (</w:t>
      </w:r>
      <w:r>
        <w:rPr>
          <w:rFonts w:ascii="Times New Roman" w:hAnsi="Times New Roman" w:eastAsia="Times New Roman" w:cs="Times New Roman"/>
          <w:sz w:val="24"/>
          <w:szCs w:val="24"/>
          <w:u w:val="single" w:color="auto"/>
        </w:rPr>
        <w:t>McNiff, 2002</w:t>
      </w:r>
      <w:r>
        <w:rPr>
          <w:rFonts w:ascii="Times New Roman" w:hAnsi="Times New Roman" w:eastAsia="Times New Roman" w:cs="Times New Roman"/>
          <w:sz w:val="24"/>
          <w:szCs w:val="24"/>
        </w:rPr>
        <w:t>) since the researchers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have</w:t>
      </w:r>
    </w:p>
    <w:p>
      <w:pPr>
        <w:spacing w:before="35" w:line="243" w:lineRule="auto"/>
        <w:ind w:left="1399" w:right="194" w:hanging="9"/>
        <w:rPr>
          <w:rFonts w:ascii="Times New Roman" w:hAnsi="Times New Roman" w:eastAsia="Times New Roman" w:cs="Times New Roman"/>
          <w:sz w:val="24"/>
          <w:szCs w:val="24"/>
        </w:rPr>
      </w:pPr>
      <w:r>
        <w:rPr>
          <w:rFonts w:ascii="Times New Roman" w:hAnsi="Times New Roman" w:eastAsia="Times New Roman" w:cs="Times New Roman"/>
          <w:sz w:val="24"/>
          <w:szCs w:val="24"/>
        </w:rPr>
        <w:t>participated in the project and have been involved in learning through action</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 reflection.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z w:val="24"/>
          <w:szCs w:val="24"/>
        </w:rPr>
        <w:t xml:space="preserve"> action research the researchers do research on themselves in organizations with o</w:t>
      </w:r>
      <w:r>
        <w:rPr>
          <w:rFonts w:ascii="Times New Roman" w:hAnsi="Times New Roman" w:eastAsia="Times New Roman" w:cs="Times New Roman"/>
          <w:spacing w:val="-1"/>
          <w:sz w:val="24"/>
          <w:szCs w:val="24"/>
        </w:rPr>
        <w:t>ther people</w:t>
      </w:r>
    </w:p>
    <w:p>
      <w:pPr>
        <w:spacing w:before="33" w:line="228" w:lineRule="auto"/>
        <w:ind w:left="1400"/>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u w:val="single" w:color="auto"/>
        </w:rPr>
        <w:t>McNiff, 2002</w:t>
      </w:r>
      <w:r>
        <w:rPr>
          <w:rFonts w:ascii="Times New Roman" w:hAnsi="Times New Roman" w:eastAsia="Times New Roman" w:cs="Times New Roman"/>
          <w:sz w:val="24"/>
          <w:szCs w:val="24"/>
        </w:rPr>
        <w:t>).</w:t>
      </w:r>
    </w:p>
    <w:p>
      <w:pPr>
        <w:spacing w:before="197" w:line="249" w:lineRule="auto"/>
        <w:ind w:left="1397" w:right="14" w:firstLine="1"/>
        <w:rPr>
          <w:rFonts w:ascii="Times New Roman" w:hAnsi="Times New Roman" w:eastAsia="Times New Roman" w:cs="Times New Roman"/>
          <w:sz w:val="24"/>
          <w:szCs w:val="24"/>
        </w:rPr>
      </w:pPr>
      <w:r>
        <w:rPr>
          <w:rFonts w:ascii="Times New Roman" w:hAnsi="Times New Roman" w:eastAsia="Times New Roman" w:cs="Times New Roman"/>
          <w:sz w:val="24"/>
          <w:szCs w:val="24"/>
        </w:rPr>
        <w:t>The research is a case s</w:t>
      </w:r>
      <w:r>
        <w:rPr>
          <w:rFonts w:ascii="Times New Roman" w:hAnsi="Times New Roman" w:eastAsia="Times New Roman" w:cs="Times New Roman"/>
          <w:spacing w:val="-1"/>
          <w:sz w:val="24"/>
          <w:szCs w:val="24"/>
        </w:rPr>
        <w:t>tudy. According to Eisenhardt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Eisenhardt,</w:t>
      </w:r>
      <w:r>
        <w:rPr>
          <w:rFonts w:ascii="Times New Roman" w:hAnsi="Times New Roman" w:eastAsia="Times New Roman" w:cs="Times New Roman"/>
          <w:spacing w:val="28"/>
          <w:w w:val="101"/>
          <w:sz w:val="24"/>
          <w:szCs w:val="24"/>
          <w:u w:val="single" w:color="auto"/>
        </w:rPr>
        <w:t xml:space="preserve"> </w:t>
      </w:r>
      <w:r>
        <w:rPr>
          <w:rFonts w:ascii="Times New Roman" w:hAnsi="Times New Roman" w:eastAsia="Times New Roman" w:cs="Times New Roman"/>
          <w:spacing w:val="-1"/>
          <w:sz w:val="24"/>
          <w:szCs w:val="24"/>
          <w:u w:val="single" w:color="auto"/>
        </w:rPr>
        <w:t>1989</w:t>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“case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studies typically</w:t>
      </w:r>
      <w:r>
        <w:rPr>
          <w:rFonts w:ascii="Times New Roman" w:hAnsi="Times New Roman" w:eastAsia="Times New Roman" w:cs="Times New Roman"/>
          <w:sz w:val="24"/>
          <w:szCs w:val="24"/>
        </w:rPr>
        <w:t xml:space="preserve">   combine data collection methods such as archives, interviews,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questionnaires,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observations”.</w:t>
      </w:r>
      <w:r>
        <w:rPr>
          <w:rFonts w:ascii="Times New Roman" w:hAnsi="Times New Roman" w:eastAsia="Times New Roman" w:cs="Times New Roman"/>
          <w:sz w:val="24"/>
          <w:szCs w:val="24"/>
        </w:rPr>
        <w:t xml:space="preserve"> In this case the researchers have been part 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 team which has studied and mapped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c</w:t>
      </w:r>
      <w:r>
        <w:rPr>
          <w:rFonts w:ascii="Times New Roman" w:hAnsi="Times New Roman" w:eastAsia="Times New Roman" w:cs="Times New Roman"/>
          <w:spacing w:val="-1"/>
          <w:sz w:val="24"/>
          <w:szCs w:val="24"/>
        </w:rPr>
        <w:t>ore</w:t>
      </w:r>
    </w:p>
    <w:p>
      <w:pPr>
        <w:spacing w:before="34" w:line="228" w:lineRule="auto"/>
        <w:ind w:left="1390"/>
        <w:rPr>
          <w:rFonts w:ascii="Times New Roman" w:hAnsi="Times New Roman" w:eastAsia="Times New Roman" w:cs="Times New Roman"/>
          <w:sz w:val="24"/>
          <w:szCs w:val="24"/>
        </w:rPr>
      </w:pPr>
      <w:r>
        <w:rPr>
          <w:rFonts w:ascii="Times New Roman" w:hAnsi="Times New Roman" w:eastAsia="Times New Roman" w:cs="Times New Roman"/>
          <w:sz w:val="24"/>
          <w:szCs w:val="24"/>
        </w:rPr>
        <w:t>process at a university, i.e. the education process. The researc</w:t>
      </w:r>
      <w:r>
        <w:rPr>
          <w:rFonts w:ascii="Times New Roman" w:hAnsi="Times New Roman" w:eastAsia="Times New Roman" w:cs="Times New Roman"/>
          <w:spacing w:val="-1"/>
          <w:sz w:val="24"/>
          <w:szCs w:val="24"/>
        </w:rPr>
        <w:t>hers have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followed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and</w:t>
      </w:r>
    </w:p>
    <w:p>
      <w:pPr>
        <w:spacing w:before="37" w:line="243" w:lineRule="auto"/>
        <w:ind w:left="1398" w:right="321"/>
        <w:rPr>
          <w:rFonts w:ascii="Times New Roman" w:hAnsi="Times New Roman" w:eastAsia="Times New Roman" w:cs="Times New Roman"/>
          <w:sz w:val="24"/>
          <w:szCs w:val="24"/>
        </w:rPr>
      </w:pPr>
      <w:r>
        <w:rPr>
          <w:rFonts w:ascii="Times New Roman" w:hAnsi="Times New Roman" w:eastAsia="Times New Roman" w:cs="Times New Roman"/>
          <w:sz w:val="24"/>
          <w:szCs w:val="24"/>
        </w:rPr>
        <w:t>documented the work. The researchers use knowledge from previous research and es</w:t>
      </w:r>
      <w:r>
        <w:rPr>
          <w:rFonts w:ascii="Times New Roman" w:hAnsi="Times New Roman" w:eastAsia="Times New Roman" w:cs="Times New Roman"/>
          <w:spacing w:val="-1"/>
          <w:sz w:val="24"/>
          <w:szCs w:val="24"/>
        </w:rPr>
        <w:t>tablished</w:t>
      </w:r>
      <w:r>
        <w:rPr>
          <w:rFonts w:ascii="Times New Roman" w:hAnsi="Times New Roman" w:eastAsia="Times New Roman" w:cs="Times New Roman"/>
          <w:sz w:val="24"/>
          <w:szCs w:val="24"/>
        </w:rPr>
        <w:t xml:space="preserve"> experience and integrates this with knowledge and competence from their</w:t>
      </w:r>
      <w:r>
        <w:rPr>
          <w:rFonts w:ascii="Times New Roman" w:hAnsi="Times New Roman" w:eastAsia="Times New Roman" w:cs="Times New Roman"/>
          <w:spacing w:val="-1"/>
          <w:sz w:val="24"/>
          <w:szCs w:val="24"/>
        </w:rPr>
        <w:t xml:space="preserve"> professional</w:t>
      </w:r>
    </w:p>
    <w:p>
      <w:pPr>
        <w:spacing w:before="36" w:line="242" w:lineRule="auto"/>
        <w:ind w:left="1396" w:right="535" w:firstLine="3"/>
        <w:rPr>
          <w:rFonts w:ascii="Times New Roman" w:hAnsi="Times New Roman" w:eastAsia="Times New Roman" w:cs="Times New Roman"/>
          <w:sz w:val="24"/>
          <w:szCs w:val="24"/>
        </w:rPr>
      </w:pPr>
      <w:r>
        <w:rPr>
          <w:rFonts w:ascii="Times New Roman" w:hAnsi="Times New Roman" w:eastAsia="Times New Roman" w:cs="Times New Roman"/>
          <w:sz w:val="24"/>
          <w:szCs w:val="24"/>
        </w:rPr>
        <w:t>experience within HEIs and use this to gain new profound knowledge i.e. WIL (</w:t>
      </w:r>
      <w:r>
        <w:rPr>
          <w:rFonts w:ascii="Times New Roman" w:hAnsi="Times New Roman" w:eastAsia="Times New Roman" w:cs="Times New Roman"/>
          <w:spacing w:val="-1"/>
          <w:sz w:val="24"/>
          <w:szCs w:val="24"/>
          <w:u w:val="single" w:color="auto"/>
        </w:rPr>
        <w:t>Theliander,</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color="auto"/>
        </w:rPr>
        <w:t>2004</w:t>
      </w:r>
      <w:r>
        <w:rPr>
          <w:rFonts w:ascii="Times New Roman" w:hAnsi="Times New Roman" w:eastAsia="Times New Roman" w:cs="Times New Roman"/>
          <w:sz w:val="24"/>
          <w:szCs w:val="24"/>
        </w:rPr>
        <w:t>) (</w:t>
      </w:r>
      <w:r>
        <w:rPr>
          <w:rFonts w:ascii="Times New Roman" w:hAnsi="Times New Roman" w:eastAsia="Times New Roman" w:cs="Times New Roman"/>
          <w:sz w:val="24"/>
          <w:szCs w:val="24"/>
          <w:u w:val="single" w:color="auto"/>
        </w:rPr>
        <w:t>Lagrosen, 2010</w:t>
      </w:r>
      <w:r>
        <w:rPr>
          <w:rFonts w:ascii="Times New Roman" w:hAnsi="Times New Roman" w:eastAsia="Times New Roman" w:cs="Times New Roman"/>
          <w:sz w:val="24"/>
          <w:szCs w:val="24"/>
        </w:rPr>
        <w:t>).</w:t>
      </w:r>
    </w:p>
    <w:p>
      <w:pPr>
        <w:spacing w:before="198" w:line="248" w:lineRule="auto"/>
        <w:ind w:left="1398" w:right="5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method or technique used in this case study is p</w:t>
      </w:r>
      <w:r>
        <w:rPr>
          <w:rFonts w:ascii="Times New Roman" w:hAnsi="Times New Roman" w:eastAsia="Times New Roman" w:cs="Times New Roman"/>
          <w:spacing w:val="-1"/>
          <w:sz w:val="24"/>
          <w:szCs w:val="24"/>
        </w:rPr>
        <w:t>rocess management,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see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for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example Melan</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color="auto"/>
        </w:rPr>
        <w:t>Melan,</w:t>
      </w:r>
      <w:r>
        <w:rPr>
          <w:rFonts w:ascii="Times New Roman" w:hAnsi="Times New Roman" w:eastAsia="Times New Roman" w:cs="Times New Roman"/>
          <w:spacing w:val="29"/>
          <w:sz w:val="24"/>
          <w:szCs w:val="24"/>
          <w:u w:val="single" w:color="auto"/>
        </w:rPr>
        <w:t xml:space="preserve"> </w:t>
      </w:r>
      <w:r>
        <w:rPr>
          <w:rFonts w:ascii="Times New Roman" w:hAnsi="Times New Roman" w:eastAsia="Times New Roman" w:cs="Times New Roman"/>
          <w:sz w:val="24"/>
          <w:szCs w:val="24"/>
          <w:u w:val="single" w:color="auto"/>
        </w:rPr>
        <w:t>1993</w:t>
      </w:r>
      <w:r>
        <w:rPr>
          <w:rFonts w:ascii="Times New Roman" w:hAnsi="Times New Roman" w:eastAsia="Times New Roman" w:cs="Times New Roman"/>
          <w:sz w:val="24"/>
          <w:szCs w:val="24"/>
        </w:rPr>
        <w:t>) and the tool is process mappi</w:t>
      </w:r>
      <w:r>
        <w:rPr>
          <w:rFonts w:ascii="Times New Roman" w:hAnsi="Times New Roman" w:eastAsia="Times New Roman" w:cs="Times New Roman"/>
          <w:spacing w:val="-1"/>
          <w:sz w:val="24"/>
          <w:szCs w:val="24"/>
        </w:rPr>
        <w:t>ng. The case is performed within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 university, which</w:t>
      </w:r>
      <w:r>
        <w:rPr>
          <w:rFonts w:ascii="Times New Roman" w:hAnsi="Times New Roman" w:eastAsia="Times New Roman" w:cs="Times New Roman"/>
          <w:sz w:val="24"/>
          <w:szCs w:val="24"/>
        </w:rPr>
        <w:t xml:space="preserve"> can be described as a professional and compl</w:t>
      </w:r>
      <w:r>
        <w:rPr>
          <w:rFonts w:ascii="Times New Roman" w:hAnsi="Times New Roman" w:eastAsia="Times New Roman" w:cs="Times New Roman"/>
          <w:spacing w:val="-1"/>
          <w:sz w:val="24"/>
          <w:szCs w:val="24"/>
        </w:rPr>
        <w:t>ex organization</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Mintzberg,</w:t>
      </w:r>
      <w:r>
        <w:rPr>
          <w:rFonts w:ascii="Times New Roman" w:hAnsi="Times New Roman" w:eastAsia="Times New Roman" w:cs="Times New Roman"/>
          <w:spacing w:val="29"/>
          <w:sz w:val="24"/>
          <w:szCs w:val="24"/>
          <w:u w:val="single" w:color="auto"/>
        </w:rPr>
        <w:t xml:space="preserve"> </w:t>
      </w:r>
      <w:r>
        <w:rPr>
          <w:rFonts w:ascii="Times New Roman" w:hAnsi="Times New Roman" w:eastAsia="Times New Roman" w:cs="Times New Roman"/>
          <w:spacing w:val="-1"/>
          <w:sz w:val="24"/>
          <w:szCs w:val="24"/>
          <w:u w:val="single" w:color="auto"/>
        </w:rPr>
        <w:t>1989</w:t>
      </w:r>
      <w:r>
        <w:rPr>
          <w:rFonts w:ascii="Times New Roman" w:hAnsi="Times New Roman" w:eastAsia="Times New Roman" w:cs="Times New Roman"/>
          <w:spacing w:val="-1"/>
          <w:sz w:val="24"/>
          <w:szCs w:val="24"/>
        </w:rPr>
        <w:t>).</w:t>
      </w:r>
    </w:p>
    <w:p>
      <w:pPr>
        <w:spacing w:before="257" w:line="187" w:lineRule="auto"/>
        <w:ind w:left="1402"/>
        <w:rPr>
          <w:rFonts w:ascii="Times New Roman" w:hAnsi="Times New Roman" w:eastAsia="Times New Roman" w:cs="Times New Roman"/>
          <w:sz w:val="28"/>
          <w:szCs w:val="28"/>
        </w:rPr>
      </w:pPr>
      <w:r>
        <w:rPr>
          <w:rFonts w:ascii="Times New Roman" w:hAnsi="Times New Roman" w:eastAsia="Times New Roman" w:cs="Times New Roman"/>
          <w:b/>
          <w:bCs/>
          <w:spacing w:val="-3"/>
          <w:sz w:val="28"/>
          <w:szCs w:val="28"/>
        </w:rPr>
        <w:t>Case</w:t>
      </w:r>
      <w:r>
        <w:rPr>
          <w:rFonts w:ascii="Times New Roman" w:hAnsi="Times New Roman" w:eastAsia="Times New Roman" w:cs="Times New Roman"/>
          <w:b/>
          <w:bCs/>
          <w:spacing w:val="16"/>
          <w:sz w:val="28"/>
          <w:szCs w:val="28"/>
        </w:rPr>
        <w:t xml:space="preserve"> </w:t>
      </w:r>
      <w:r>
        <w:rPr>
          <w:rFonts w:ascii="Times New Roman" w:hAnsi="Times New Roman" w:eastAsia="Times New Roman" w:cs="Times New Roman"/>
          <w:b/>
          <w:bCs/>
          <w:spacing w:val="-3"/>
          <w:sz w:val="28"/>
          <w:szCs w:val="28"/>
        </w:rPr>
        <w:t>Study</w:t>
      </w:r>
    </w:p>
    <w:p>
      <w:pPr>
        <w:spacing w:before="36" w:line="234" w:lineRule="auto"/>
        <w:ind w:left="1398" w:right="183"/>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Today, the university must be more cost effective and at the </w:t>
      </w:r>
      <w:r>
        <w:rPr>
          <w:rFonts w:ascii="Times New Roman" w:hAnsi="Times New Roman" w:eastAsia="Times New Roman" w:cs="Times New Roman"/>
          <w:spacing w:val="-1"/>
          <w:sz w:val="24"/>
          <w:szCs w:val="24"/>
        </w:rPr>
        <w:t>same time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maintain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or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enhance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z w:val="24"/>
          <w:szCs w:val="24"/>
        </w:rPr>
        <w:t xml:space="preserve"> quality 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 education and research. As a HEI the organization is both</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complex</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u w:val="single" w:color="auto"/>
        </w:rPr>
        <w:t>Vima</w:t>
      </w:r>
      <w:r>
        <w:rPr>
          <w:rFonts w:ascii="Times New Roman" w:hAnsi="Times New Roman" w:eastAsia="Times New Roman" w:cs="Times New Roman"/>
          <w:spacing w:val="-1"/>
          <w:sz w:val="24"/>
          <w:szCs w:val="24"/>
          <w:u w:val="single" w:color="auto"/>
        </w:rPr>
        <w:t>rlund,</w:t>
      </w:r>
    </w:p>
    <w:p>
      <w:pPr>
        <w:spacing w:before="14" w:line="234" w:lineRule="auto"/>
        <w:ind w:left="1399" w:hanging="3"/>
        <w:rPr>
          <w:rFonts w:ascii="Times New Roman" w:hAnsi="Times New Roman" w:eastAsia="Times New Roman" w:cs="Times New Roman"/>
          <w:sz w:val="24"/>
          <w:szCs w:val="24"/>
        </w:rPr>
      </w:pPr>
      <w:r>
        <w:rPr>
          <w:rFonts w:ascii="Times New Roman" w:hAnsi="Times New Roman" w:eastAsia="Times New Roman" w:cs="Times New Roman"/>
          <w:sz w:val="24"/>
          <w:szCs w:val="24"/>
          <w:u w:val="single" w:color="auto"/>
        </w:rPr>
        <w:t>2014</w:t>
      </w:r>
      <w:r>
        <w:rPr>
          <w:rFonts w:ascii="Times New Roman" w:hAnsi="Times New Roman" w:eastAsia="Times New Roman" w:cs="Times New Roman"/>
          <w:sz w:val="24"/>
          <w:szCs w:val="24"/>
        </w:rPr>
        <w:t>) and professional (</w:t>
      </w:r>
      <w:r>
        <w:rPr>
          <w:rFonts w:ascii="Times New Roman" w:hAnsi="Times New Roman" w:eastAsia="Times New Roman" w:cs="Times New Roman"/>
          <w:sz w:val="24"/>
          <w:szCs w:val="24"/>
          <w:u w:val="single" w:color="auto"/>
        </w:rPr>
        <w:t>Thylefors, 2016</w:t>
      </w:r>
      <w:r>
        <w:rPr>
          <w:rFonts w:ascii="Times New Roman" w:hAnsi="Times New Roman" w:eastAsia="Times New Roman" w:cs="Times New Roman"/>
          <w:sz w:val="24"/>
          <w:szCs w:val="24"/>
        </w:rPr>
        <w:t>) and in o</w:t>
      </w:r>
      <w:r>
        <w:rPr>
          <w:rFonts w:ascii="Times New Roman" w:hAnsi="Times New Roman" w:eastAsia="Times New Roman" w:cs="Times New Roman"/>
          <w:spacing w:val="-1"/>
          <w:sz w:val="24"/>
          <w:szCs w:val="24"/>
        </w:rPr>
        <w:t>rder to be more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cost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effective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still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maintain</w:t>
      </w:r>
      <w:r>
        <w:rPr>
          <w:rFonts w:ascii="Times New Roman" w:hAnsi="Times New Roman" w:eastAsia="Times New Roman" w:cs="Times New Roman"/>
          <w:sz w:val="24"/>
          <w:szCs w:val="24"/>
        </w:rPr>
        <w:t xml:space="preserve"> or enhance the quality of</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the education and research there is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 need to b</w:t>
      </w:r>
      <w:r>
        <w:rPr>
          <w:rFonts w:ascii="Times New Roman" w:hAnsi="Times New Roman" w:eastAsia="Times New Roman" w:cs="Times New Roman"/>
          <w:spacing w:val="-1"/>
          <w:sz w:val="24"/>
          <w:szCs w:val="24"/>
        </w:rPr>
        <w:t>uild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quality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culture</w:t>
      </w:r>
    </w:p>
    <w:p>
      <w:pPr>
        <w:spacing w:before="14" w:line="234" w:lineRule="auto"/>
        <w:ind w:left="1392" w:right="317"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based on three core values; learni</w:t>
      </w:r>
      <w:r>
        <w:rPr>
          <w:rFonts w:ascii="Times New Roman" w:hAnsi="Times New Roman" w:eastAsia="Times New Roman" w:cs="Times New Roman"/>
          <w:spacing w:val="-1"/>
          <w:sz w:val="24"/>
          <w:szCs w:val="24"/>
        </w:rPr>
        <w:t>ng organization, leadership and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QA.</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As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first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step</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 process</w:t>
      </w:r>
      <w:r>
        <w:rPr>
          <w:rFonts w:ascii="Times New Roman" w:hAnsi="Times New Roman" w:eastAsia="Times New Roman" w:cs="Times New Roman"/>
          <w:sz w:val="24"/>
          <w:szCs w:val="24"/>
        </w:rPr>
        <w:t xml:space="preserve"> mapping project started, with the vision to have process management as a technique </w:t>
      </w:r>
      <w:r>
        <w:rPr>
          <w:rFonts w:ascii="Times New Roman" w:hAnsi="Times New Roman" w:eastAsia="Times New Roman" w:cs="Times New Roman"/>
          <w:spacing w:val="-1"/>
          <w:sz w:val="24"/>
          <w:szCs w:val="24"/>
        </w:rPr>
        <w:t>for</w:t>
      </w:r>
    </w:p>
    <w:p>
      <w:pPr>
        <w:spacing w:before="14" w:line="228" w:lineRule="auto"/>
        <w:ind w:left="1390"/>
        <w:rPr>
          <w:rFonts w:ascii="Times New Roman" w:hAnsi="Times New Roman" w:eastAsia="Times New Roman" w:cs="Times New Roman"/>
          <w:sz w:val="24"/>
          <w:szCs w:val="24"/>
        </w:rPr>
      </w:pPr>
      <w:r>
        <w:rPr>
          <w:rFonts w:ascii="Times New Roman" w:hAnsi="Times New Roman" w:eastAsia="Times New Roman" w:cs="Times New Roman"/>
          <w:sz w:val="24"/>
          <w:szCs w:val="24"/>
        </w:rPr>
        <w:t>becoming a learning organization.</w:t>
      </w:r>
    </w:p>
    <w:p>
      <w:pPr>
        <w:spacing w:line="370" w:lineRule="auto"/>
        <w:rPr>
          <w:rFonts w:ascii="Arial"/>
          <w:sz w:val="21"/>
        </w:rPr>
      </w:pPr>
    </w:p>
    <w:p>
      <w:pPr>
        <w:spacing w:before="69" w:line="186" w:lineRule="auto"/>
        <w:ind w:left="1413"/>
        <w:rPr>
          <w:rFonts w:ascii="Times New Roman" w:hAnsi="Times New Roman" w:eastAsia="Times New Roman" w:cs="Times New Roman"/>
          <w:sz w:val="24"/>
          <w:szCs w:val="24"/>
        </w:rPr>
      </w:pPr>
      <w:r>
        <w:rPr>
          <w:rFonts w:ascii="Times New Roman" w:hAnsi="Times New Roman" w:eastAsia="Times New Roman" w:cs="Times New Roman"/>
          <w:b/>
          <w:bCs/>
          <w:i/>
          <w:iCs/>
          <w:w w:val="97"/>
          <w:sz w:val="24"/>
          <w:szCs w:val="24"/>
        </w:rPr>
        <w:t>University</w:t>
      </w:r>
      <w:r>
        <w:rPr>
          <w:rFonts w:ascii="Times New Roman" w:hAnsi="Times New Roman" w:eastAsia="Times New Roman" w:cs="Times New Roman"/>
          <w:b/>
          <w:bCs/>
          <w:i/>
          <w:iCs/>
          <w:spacing w:val="28"/>
          <w:w w:val="101"/>
          <w:sz w:val="24"/>
          <w:szCs w:val="24"/>
        </w:rPr>
        <w:t xml:space="preserve"> </w:t>
      </w:r>
      <w:r>
        <w:rPr>
          <w:rFonts w:ascii="Times New Roman" w:hAnsi="Times New Roman" w:eastAsia="Times New Roman" w:cs="Times New Roman"/>
          <w:b/>
          <w:bCs/>
          <w:i/>
          <w:iCs/>
          <w:w w:val="97"/>
          <w:sz w:val="24"/>
          <w:szCs w:val="24"/>
        </w:rPr>
        <w:t>West</w:t>
      </w:r>
    </w:p>
    <w:p>
      <w:pPr>
        <w:spacing w:before="28" w:line="234" w:lineRule="auto"/>
        <w:ind w:left="1392" w:right="28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University West was established in</w:t>
      </w:r>
      <w:r>
        <w:rPr>
          <w:rFonts w:ascii="Times New Roman" w:hAnsi="Times New Roman" w:eastAsia="Times New Roman" w:cs="Times New Roman"/>
          <w:spacing w:val="43"/>
          <w:w w:val="101"/>
          <w:sz w:val="24"/>
          <w:szCs w:val="24"/>
        </w:rPr>
        <w:t xml:space="preserve"> </w:t>
      </w:r>
      <w:r>
        <w:rPr>
          <w:rFonts w:ascii="Times New Roman" w:hAnsi="Times New Roman" w:eastAsia="Times New Roman" w:cs="Times New Roman"/>
          <w:spacing w:val="-1"/>
          <w:sz w:val="24"/>
          <w:szCs w:val="24"/>
        </w:rPr>
        <w:t>1991 at three different nearby towns and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after</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1"/>
          <w:sz w:val="24"/>
          <w:szCs w:val="24"/>
        </w:rPr>
        <w:t>17</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years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z w:val="24"/>
          <w:szCs w:val="24"/>
        </w:rPr>
        <w:t xml:space="preserve"> University was assembled in one 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 towns, Trollhättan. The t</w:t>
      </w:r>
      <w:r>
        <w:rPr>
          <w:rFonts w:ascii="Times New Roman" w:hAnsi="Times New Roman" w:eastAsia="Times New Roman" w:cs="Times New Roman"/>
          <w:spacing w:val="-1"/>
          <w:sz w:val="24"/>
          <w:szCs w:val="24"/>
        </w:rPr>
        <w:t>urnover is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(2015)</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52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600</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000</w:t>
      </w:r>
    </w:p>
    <w:p>
      <w:pPr>
        <w:spacing w:before="14" w:line="234" w:lineRule="auto"/>
        <w:ind w:left="1396" w:right="67"/>
        <w:rPr>
          <w:rFonts w:ascii="Times New Roman" w:hAnsi="Times New Roman" w:eastAsia="Times New Roman" w:cs="Times New Roman"/>
          <w:sz w:val="24"/>
          <w:szCs w:val="24"/>
        </w:rPr>
      </w:pPr>
      <w:r>
        <w:rPr>
          <w:rFonts w:ascii="Times New Roman" w:hAnsi="Times New Roman" w:eastAsia="Times New Roman" w:cs="Times New Roman"/>
          <w:sz w:val="24"/>
          <w:szCs w:val="24"/>
        </w:rPr>
        <w:t>EUR divided in education (80%) and research</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(20%). The number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employee</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590</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which</w:t>
      </w:r>
      <w:r>
        <w:rPr>
          <w:rFonts w:ascii="Times New Roman" w:hAnsi="Times New Roman" w:eastAsia="Times New Roman" w:cs="Times New Roman"/>
          <w:sz w:val="24"/>
          <w:szCs w:val="24"/>
        </w:rPr>
        <w:t xml:space="preserve"> 25% appertain to administration. The teaching and research staff</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have the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gender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distribution</w:t>
      </w:r>
    </w:p>
    <w:p>
      <w:pPr>
        <w:spacing w:before="14" w:line="307" w:lineRule="exact"/>
        <w:ind w:left="1401"/>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63% female and</w:t>
      </w:r>
      <w:r>
        <w:rPr>
          <w:rFonts w:ascii="Times New Roman" w:hAnsi="Times New Roman" w:eastAsia="Times New Roman" w:cs="Times New Roman"/>
          <w:spacing w:val="9"/>
          <w:position w:val="1"/>
          <w:sz w:val="24"/>
          <w:szCs w:val="24"/>
        </w:rPr>
        <w:t xml:space="preserve"> </w:t>
      </w:r>
      <w:r>
        <w:rPr>
          <w:rFonts w:ascii="Times New Roman" w:hAnsi="Times New Roman" w:eastAsia="Times New Roman" w:cs="Times New Roman"/>
          <w:spacing w:val="-1"/>
          <w:position w:val="1"/>
          <w:sz w:val="24"/>
          <w:szCs w:val="24"/>
        </w:rPr>
        <w:t>37%</w:t>
      </w:r>
      <w:r>
        <w:rPr>
          <w:rFonts w:ascii="Times New Roman" w:hAnsi="Times New Roman" w:eastAsia="Times New Roman" w:cs="Times New Roman"/>
          <w:spacing w:val="1"/>
          <w:position w:val="1"/>
          <w:sz w:val="24"/>
          <w:szCs w:val="24"/>
        </w:rPr>
        <w:t xml:space="preserve"> </w:t>
      </w:r>
      <w:r>
        <w:rPr>
          <w:rFonts w:ascii="Times New Roman" w:hAnsi="Times New Roman" w:eastAsia="Times New Roman" w:cs="Times New Roman"/>
          <w:spacing w:val="-1"/>
          <w:position w:val="1"/>
          <w:sz w:val="24"/>
          <w:szCs w:val="24"/>
        </w:rPr>
        <w:t>male.</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1" w:line="212" w:lineRule="exact"/>
        <w:ind w:firstLine="1151"/>
      </w:pPr>
      <w:r>
        <w:rPr>
          <w:position w:val="-4"/>
        </w:rPr>
        <w:drawing>
          <wp:inline distT="0" distB="0" distL="0" distR="0">
            <wp:extent cx="1849120" cy="13462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1128" w:bottom="100" w:left="48" w:header="0" w:footer="0" w:gutter="0"/>
          <w:cols w:space="720" w:num="1"/>
        </w:sectPr>
      </w:pPr>
    </w:p>
    <w:p>
      <w:pPr>
        <w:spacing w:before="16"/>
      </w:pPr>
      <w:r>
        <mc:AlternateContent>
          <mc:Choice Requires="wps">
            <w:drawing>
              <wp:anchor distT="0" distB="0" distL="0" distR="0" simplePos="0" relativeHeight="251760640"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190" name="TextBox 190"/>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0" o:spid="_x0000_s1026" o:spt="202" type="#_x0000_t202" style="position:absolute;left:0pt;margin-left:-120.15pt;margin-top:416.25pt;height:9.3pt;width:252.55pt;mso-position-horizontal-relative:page;mso-position-vertical-relative:page;rotation:-5898240f;z-index:251760640;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flfLbAAAADAEAAA8AAAAAAAAAAQAgAAAAIgAAAGRycy9kb3du&#10;cmV2LnhtbFBLAQIUABQAAAAIAIdO4kAHzwOZNQIAAHEEAAAOAAAAAAAAAAEAIAAAACoBAABkcnMv&#10;ZTJvRG9jLnhtbFBLBQYAAAAABgAGAFkBAADRBQ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r>
        <w:drawing>
          <wp:anchor distT="0" distB="0" distL="0" distR="0" simplePos="0" relativeHeight="251759616" behindDoc="0" locked="0" layoutInCell="0" allowOverlap="1">
            <wp:simplePos x="0" y="0"/>
            <wp:positionH relativeFrom="page">
              <wp:posOffset>912495</wp:posOffset>
            </wp:positionH>
            <wp:positionV relativeFrom="page">
              <wp:posOffset>1547495</wp:posOffset>
            </wp:positionV>
            <wp:extent cx="2145665" cy="1920240"/>
            <wp:effectExtent l="0" t="0" r="0" b="0"/>
            <wp:wrapNone/>
            <wp:docPr id="192" name="IM 192">
              <a:hlinkClick xmlns:a="http://schemas.openxmlformats.org/drawingml/2006/main" r:id="rId149"/>
            </wp:docPr>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50"/>
                    <a:stretch>
                      <a:fillRect/>
                    </a:stretch>
                  </pic:blipFill>
                  <pic:spPr>
                    <a:xfrm>
                      <a:off x="0" y="0"/>
                      <a:ext cx="2145792" cy="1920239"/>
                    </a:xfrm>
                    <a:prstGeom prst="rect">
                      <a:avLst/>
                    </a:prstGeom>
                  </pic:spPr>
                </pic:pic>
              </a:graphicData>
            </a:graphic>
          </wp:anchor>
        </w:drawing>
      </w:r>
    </w:p>
    <w:p>
      <w:pPr>
        <w:spacing w:before="16"/>
      </w:pPr>
    </w:p>
    <w:p>
      <w:pPr>
        <w:spacing w:before="16"/>
      </w:pPr>
    </w:p>
    <w:p>
      <w:pPr>
        <w:spacing w:before="16"/>
      </w:pPr>
    </w:p>
    <w:p>
      <w:pPr>
        <w:spacing w:before="16"/>
      </w:pPr>
    </w:p>
    <w:p>
      <w:pPr>
        <w:spacing w:before="15"/>
      </w:pPr>
    </w:p>
    <w:p>
      <w:pPr>
        <w:spacing w:before="15"/>
      </w:pPr>
    </w:p>
    <w:p>
      <w:pPr>
        <w:spacing w:before="15"/>
      </w:pPr>
    </w:p>
    <w:p>
      <w:pPr>
        <w:spacing w:before="15"/>
      </w:pPr>
    </w:p>
    <w:tbl>
      <w:tblPr>
        <w:tblStyle w:val="5"/>
        <w:tblW w:w="3827" w:type="dxa"/>
        <w:tblInd w:w="6054" w:type="dxa"/>
        <w:tblBorders>
          <w:top w:val="single" w:color="41719C" w:sz="8" w:space="0"/>
          <w:left w:val="single" w:color="41719C" w:sz="2" w:space="0"/>
          <w:bottom w:val="single" w:color="41719C" w:sz="8" w:space="0"/>
          <w:right w:val="single" w:color="41719C" w:sz="8" w:space="0"/>
          <w:insideH w:val="none" w:color="auto" w:sz="0" w:space="0"/>
          <w:insideV w:val="none" w:color="auto" w:sz="0" w:space="0"/>
        </w:tblBorders>
        <w:tblLayout w:type="fixed"/>
        <w:tblCellMar>
          <w:top w:w="0" w:type="dxa"/>
          <w:left w:w="0" w:type="dxa"/>
          <w:bottom w:w="0" w:type="dxa"/>
          <w:right w:w="0" w:type="dxa"/>
        </w:tblCellMar>
      </w:tblPr>
      <w:tblGrid>
        <w:gridCol w:w="3827"/>
      </w:tblGrid>
      <w:tr>
        <w:tblPrEx>
          <w:tblBorders>
            <w:top w:val="single" w:color="41719C" w:sz="8" w:space="0"/>
            <w:left w:val="single" w:color="41719C" w:sz="2" w:space="0"/>
            <w:bottom w:val="single" w:color="41719C" w:sz="8" w:space="0"/>
            <w:right w:val="single" w:color="41719C" w:sz="8" w:space="0"/>
            <w:insideH w:val="none" w:color="auto" w:sz="0" w:space="0"/>
            <w:insideV w:val="none" w:color="auto" w:sz="0" w:space="0"/>
          </w:tblBorders>
          <w:tblCellMar>
            <w:top w:w="0" w:type="dxa"/>
            <w:left w:w="0" w:type="dxa"/>
            <w:bottom w:w="0" w:type="dxa"/>
            <w:right w:w="0" w:type="dxa"/>
          </w:tblCellMar>
        </w:tblPrEx>
        <w:trPr>
          <w:trHeight w:val="440" w:hRule="atLeast"/>
        </w:trPr>
        <w:tc>
          <w:tcPr>
            <w:tcW w:w="3827" w:type="dxa"/>
            <w:shd w:val="clear" w:color="auto" w:fill="5B9BD5"/>
            <w:vAlign w:val="top"/>
          </w:tcPr>
          <w:p>
            <w:pPr>
              <w:spacing w:before="79" w:line="228" w:lineRule="auto"/>
              <w:ind w:left="270"/>
              <w:rPr>
                <w:rFonts w:ascii="Times New Roman" w:hAnsi="Times New Roman" w:eastAsia="Times New Roman" w:cs="Times New Roman"/>
                <w:sz w:val="24"/>
                <w:szCs w:val="24"/>
              </w:rPr>
            </w:pPr>
            <w:r>
              <w:rPr>
                <w:rFonts w:ascii="Times New Roman" w:hAnsi="Times New Roman" w:eastAsia="Times New Roman" w:cs="Times New Roman"/>
                <w:color w:val="FFFFFF"/>
                <w:sz w:val="24"/>
                <w:szCs w:val="24"/>
              </w:rPr>
              <w:t>Management planning and c</w:t>
            </w:r>
            <w:r>
              <w:rPr>
                <w:rFonts w:ascii="Times New Roman" w:hAnsi="Times New Roman" w:eastAsia="Times New Roman" w:cs="Times New Roman"/>
                <w:color w:val="FFFFFF"/>
                <w:spacing w:val="-1"/>
                <w:sz w:val="24"/>
                <w:szCs w:val="24"/>
              </w:rPr>
              <w:t>ontrol</w:t>
            </w:r>
          </w:p>
        </w:tc>
      </w:tr>
    </w:tbl>
    <w:p>
      <w:pPr>
        <w:spacing w:line="208" w:lineRule="exact"/>
      </w:pPr>
    </w:p>
    <w:tbl>
      <w:tblPr>
        <w:tblStyle w:val="5"/>
        <w:tblW w:w="1897" w:type="dxa"/>
        <w:tblInd w:w="7028" w:type="dxa"/>
        <w:tblBorders>
          <w:top w:val="single" w:color="41719C" w:sz="8" w:space="0"/>
          <w:left w:val="single" w:color="41719C" w:sz="2" w:space="0"/>
          <w:bottom w:val="single" w:color="41719C" w:sz="8" w:space="0"/>
          <w:right w:val="single" w:color="41719C" w:sz="8" w:space="0"/>
          <w:insideH w:val="none" w:color="auto" w:sz="0" w:space="0"/>
          <w:insideV w:val="none" w:color="auto" w:sz="0" w:space="0"/>
        </w:tblBorders>
        <w:tblLayout w:type="fixed"/>
        <w:tblCellMar>
          <w:top w:w="0" w:type="dxa"/>
          <w:left w:w="0" w:type="dxa"/>
          <w:bottom w:w="0" w:type="dxa"/>
          <w:right w:w="0" w:type="dxa"/>
        </w:tblCellMar>
      </w:tblPr>
      <w:tblGrid>
        <w:gridCol w:w="1897"/>
      </w:tblGrid>
      <w:tr>
        <w:tblPrEx>
          <w:tblBorders>
            <w:top w:val="single" w:color="41719C" w:sz="8" w:space="0"/>
            <w:left w:val="single" w:color="41719C" w:sz="2" w:space="0"/>
            <w:bottom w:val="single" w:color="41719C" w:sz="8" w:space="0"/>
            <w:right w:val="single" w:color="41719C" w:sz="8" w:space="0"/>
            <w:insideH w:val="none" w:color="auto" w:sz="0" w:space="0"/>
            <w:insideV w:val="none" w:color="auto" w:sz="0" w:space="0"/>
          </w:tblBorders>
          <w:tblCellMar>
            <w:top w:w="0" w:type="dxa"/>
            <w:left w:w="0" w:type="dxa"/>
            <w:bottom w:w="0" w:type="dxa"/>
            <w:right w:w="0" w:type="dxa"/>
          </w:tblCellMar>
        </w:tblPrEx>
        <w:trPr>
          <w:trHeight w:val="440" w:hRule="atLeast"/>
        </w:trPr>
        <w:tc>
          <w:tcPr>
            <w:tcW w:w="1897" w:type="dxa"/>
            <w:shd w:val="clear" w:color="auto" w:fill="5B9BD5"/>
            <w:vAlign w:val="top"/>
          </w:tcPr>
          <w:p>
            <w:pPr>
              <w:spacing w:before="125" w:line="190" w:lineRule="auto"/>
              <w:ind w:left="525"/>
              <w:rPr>
                <w:rFonts w:ascii="Times New Roman" w:hAnsi="Times New Roman" w:eastAsia="Times New Roman" w:cs="Times New Roman"/>
                <w:sz w:val="24"/>
                <w:szCs w:val="24"/>
              </w:rPr>
            </w:pPr>
            <w:r>
              <w:rPr>
                <w:rFonts w:ascii="Times New Roman" w:hAnsi="Times New Roman" w:eastAsia="Times New Roman" w:cs="Times New Roman"/>
                <w:color w:val="FFFFFF"/>
                <w:spacing w:val="-1"/>
                <w:sz w:val="24"/>
                <w:szCs w:val="24"/>
              </w:rPr>
              <w:t>Education</w:t>
            </w:r>
          </w:p>
        </w:tc>
      </w:tr>
    </w:tbl>
    <w:p>
      <w:pPr>
        <w:spacing w:line="225" w:lineRule="exact"/>
      </w:pPr>
    </w:p>
    <w:tbl>
      <w:tblPr>
        <w:tblStyle w:val="5"/>
        <w:tblW w:w="1895" w:type="dxa"/>
        <w:tblInd w:w="7045" w:type="dxa"/>
        <w:tblBorders>
          <w:top w:val="single" w:color="41719C" w:sz="8" w:space="0"/>
          <w:left w:val="single" w:color="41719C" w:sz="2" w:space="0"/>
          <w:bottom w:val="single" w:color="41719C" w:sz="8" w:space="0"/>
          <w:right w:val="single" w:color="41719C" w:sz="8" w:space="0"/>
          <w:insideH w:val="none" w:color="auto" w:sz="0" w:space="0"/>
          <w:insideV w:val="none" w:color="auto" w:sz="0" w:space="0"/>
        </w:tblBorders>
        <w:tblLayout w:type="fixed"/>
        <w:tblCellMar>
          <w:top w:w="0" w:type="dxa"/>
          <w:left w:w="0" w:type="dxa"/>
          <w:bottom w:w="0" w:type="dxa"/>
          <w:right w:w="0" w:type="dxa"/>
        </w:tblCellMar>
      </w:tblPr>
      <w:tblGrid>
        <w:gridCol w:w="1895"/>
      </w:tblGrid>
      <w:tr>
        <w:tblPrEx>
          <w:tblBorders>
            <w:top w:val="single" w:color="41719C" w:sz="8" w:space="0"/>
            <w:left w:val="single" w:color="41719C" w:sz="2" w:space="0"/>
            <w:bottom w:val="single" w:color="41719C" w:sz="8" w:space="0"/>
            <w:right w:val="single" w:color="41719C" w:sz="8" w:space="0"/>
            <w:insideH w:val="none" w:color="auto" w:sz="0" w:space="0"/>
            <w:insideV w:val="none" w:color="auto" w:sz="0" w:space="0"/>
          </w:tblBorders>
          <w:tblCellMar>
            <w:top w:w="0" w:type="dxa"/>
            <w:left w:w="0" w:type="dxa"/>
            <w:bottom w:w="0" w:type="dxa"/>
            <w:right w:w="0" w:type="dxa"/>
          </w:tblCellMar>
        </w:tblPrEx>
        <w:trPr>
          <w:trHeight w:val="440" w:hRule="atLeast"/>
        </w:trPr>
        <w:tc>
          <w:tcPr>
            <w:tcW w:w="1895" w:type="dxa"/>
            <w:shd w:val="clear" w:color="auto" w:fill="5B9BD5"/>
            <w:vAlign w:val="top"/>
          </w:tcPr>
          <w:p>
            <w:pPr>
              <w:spacing w:before="122" w:line="190" w:lineRule="auto"/>
              <w:ind w:left="512"/>
              <w:rPr>
                <w:rFonts w:ascii="Times New Roman" w:hAnsi="Times New Roman" w:eastAsia="Times New Roman" w:cs="Times New Roman"/>
                <w:sz w:val="24"/>
                <w:szCs w:val="24"/>
              </w:rPr>
            </w:pPr>
            <w:r>
              <w:rPr>
                <w:rFonts w:ascii="Times New Roman" w:hAnsi="Times New Roman" w:eastAsia="Times New Roman" w:cs="Times New Roman"/>
                <w:color w:val="FFFFFF"/>
                <w:spacing w:val="-1"/>
                <w:sz w:val="24"/>
                <w:szCs w:val="24"/>
              </w:rPr>
              <w:t>Research</w:t>
            </w:r>
          </w:p>
        </w:tc>
      </w:tr>
    </w:tbl>
    <w:p>
      <w:pPr>
        <w:spacing w:before="58"/>
      </w:pPr>
    </w:p>
    <w:tbl>
      <w:tblPr>
        <w:tblStyle w:val="5"/>
        <w:tblW w:w="1897" w:type="dxa"/>
        <w:tblInd w:w="7059" w:type="dxa"/>
        <w:tblBorders>
          <w:top w:val="single" w:color="41719C" w:sz="8" w:space="0"/>
          <w:left w:val="single" w:color="41719C" w:sz="2" w:space="0"/>
          <w:bottom w:val="single" w:color="41719C" w:sz="8" w:space="0"/>
          <w:right w:val="single" w:color="41719C" w:sz="8" w:space="0"/>
          <w:insideH w:val="none" w:color="auto" w:sz="0" w:space="0"/>
          <w:insideV w:val="none" w:color="auto" w:sz="0" w:space="0"/>
        </w:tblBorders>
        <w:tblLayout w:type="fixed"/>
        <w:tblCellMar>
          <w:top w:w="0" w:type="dxa"/>
          <w:left w:w="0" w:type="dxa"/>
          <w:bottom w:w="0" w:type="dxa"/>
          <w:right w:w="0" w:type="dxa"/>
        </w:tblCellMar>
      </w:tblPr>
      <w:tblGrid>
        <w:gridCol w:w="1897"/>
      </w:tblGrid>
      <w:tr>
        <w:tblPrEx>
          <w:tblBorders>
            <w:top w:val="single" w:color="41719C" w:sz="8" w:space="0"/>
            <w:left w:val="single" w:color="41719C" w:sz="2" w:space="0"/>
            <w:bottom w:val="single" w:color="41719C" w:sz="8" w:space="0"/>
            <w:right w:val="single" w:color="41719C" w:sz="8" w:space="0"/>
            <w:insideH w:val="none" w:color="auto" w:sz="0" w:space="0"/>
            <w:insideV w:val="none" w:color="auto" w:sz="0" w:space="0"/>
          </w:tblBorders>
          <w:tblCellMar>
            <w:top w:w="0" w:type="dxa"/>
            <w:left w:w="0" w:type="dxa"/>
            <w:bottom w:w="0" w:type="dxa"/>
            <w:right w:w="0" w:type="dxa"/>
          </w:tblCellMar>
        </w:tblPrEx>
        <w:trPr>
          <w:trHeight w:val="440" w:hRule="atLeast"/>
        </w:trPr>
        <w:tc>
          <w:tcPr>
            <w:tcW w:w="1897" w:type="dxa"/>
            <w:shd w:val="clear" w:color="auto" w:fill="5B9BD5"/>
            <w:vAlign w:val="top"/>
          </w:tcPr>
          <w:p>
            <w:pPr>
              <w:spacing w:before="127" w:line="186" w:lineRule="auto"/>
              <w:ind w:left="586"/>
              <w:rPr>
                <w:rFonts w:ascii="Times New Roman" w:hAnsi="Times New Roman" w:eastAsia="Times New Roman" w:cs="Times New Roman"/>
                <w:sz w:val="24"/>
                <w:szCs w:val="24"/>
              </w:rPr>
            </w:pPr>
            <w:r>
              <w:rPr>
                <w:rFonts w:ascii="Times New Roman" w:hAnsi="Times New Roman" w:eastAsia="Times New Roman" w:cs="Times New Roman"/>
                <w:color w:val="FFFFFF"/>
                <w:spacing w:val="-2"/>
                <w:sz w:val="24"/>
                <w:szCs w:val="24"/>
              </w:rPr>
              <w:t>Support</w:t>
            </w:r>
          </w:p>
        </w:tc>
      </w:tr>
    </w:tbl>
    <w:p>
      <w:pPr>
        <w:spacing w:before="231" w:line="239" w:lineRule="auto"/>
        <w:ind w:left="1034"/>
        <w:rPr>
          <w:rFonts w:ascii="Times New Roman" w:hAnsi="Times New Roman" w:eastAsia="Times New Roman" w:cs="Times New Roman"/>
          <w:sz w:val="19"/>
          <w:szCs w:val="19"/>
        </w:rPr>
      </w:pPr>
      <w:r>
        <w:rPr>
          <w:rFonts w:ascii="Times New Roman" w:hAnsi="Times New Roman" w:eastAsia="Times New Roman" w:cs="Times New Roman"/>
          <w:sz w:val="19"/>
          <w:szCs w:val="19"/>
        </w:rPr>
        <w:t>Figure</w:t>
      </w:r>
      <w:r>
        <w:rPr>
          <w:rFonts w:ascii="Times New Roman" w:hAnsi="Times New Roman" w:eastAsia="Times New Roman" w:cs="Times New Roman"/>
          <w:spacing w:val="34"/>
          <w:sz w:val="19"/>
          <w:szCs w:val="19"/>
        </w:rPr>
        <w:t xml:space="preserve"> </w:t>
      </w:r>
      <w:r>
        <w:rPr>
          <w:rFonts w:ascii="Times New Roman" w:hAnsi="Times New Roman" w:eastAsia="Times New Roman" w:cs="Times New Roman"/>
          <w:spacing w:val="13"/>
          <w:sz w:val="19"/>
          <w:szCs w:val="19"/>
        </w:rPr>
        <w:t>1.       a)</w:t>
      </w:r>
      <w:r>
        <w:rPr>
          <w:rFonts w:ascii="Times New Roman" w:hAnsi="Times New Roman" w:eastAsia="Times New Roman" w:cs="Times New Roman"/>
          <w:spacing w:val="16"/>
          <w:w w:val="101"/>
          <w:sz w:val="19"/>
          <w:szCs w:val="19"/>
        </w:rPr>
        <w:t xml:space="preserve"> </w:t>
      </w:r>
      <w:r>
        <w:rPr>
          <w:rFonts w:ascii="Times New Roman" w:hAnsi="Times New Roman" w:eastAsia="Times New Roman" w:cs="Times New Roman"/>
          <w:sz w:val="19"/>
          <w:szCs w:val="19"/>
        </w:rPr>
        <w:t>Shows</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z w:val="19"/>
          <w:szCs w:val="19"/>
        </w:rPr>
        <w:t>the</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z w:val="19"/>
          <w:szCs w:val="19"/>
        </w:rPr>
        <w:t>organization</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z w:val="19"/>
          <w:szCs w:val="19"/>
        </w:rPr>
        <w:t>of</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University</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z w:val="19"/>
          <w:szCs w:val="19"/>
        </w:rPr>
        <w:t>West</w:t>
      </w:r>
      <w:r>
        <w:rPr>
          <w:rFonts w:ascii="Times New Roman" w:hAnsi="Times New Roman" w:eastAsia="Times New Roman" w:cs="Times New Roman"/>
          <w:spacing w:val="13"/>
          <w:sz w:val="19"/>
          <w:szCs w:val="19"/>
        </w:rPr>
        <w:t xml:space="preserve">.   1b) </w:t>
      </w:r>
      <w:r>
        <w:rPr>
          <w:rFonts w:ascii="Times New Roman" w:hAnsi="Times New Roman" w:eastAsia="Times New Roman" w:cs="Times New Roman"/>
          <w:sz w:val="19"/>
          <w:szCs w:val="19"/>
        </w:rPr>
        <w:t>Grouping</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z w:val="19"/>
          <w:szCs w:val="19"/>
        </w:rPr>
        <w:t>of</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z w:val="19"/>
          <w:szCs w:val="19"/>
        </w:rPr>
        <w:t>missions</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z w:val="19"/>
          <w:szCs w:val="19"/>
        </w:rPr>
        <w:t>at</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z w:val="19"/>
          <w:szCs w:val="19"/>
        </w:rPr>
        <w:t>University</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z w:val="19"/>
          <w:szCs w:val="19"/>
        </w:rPr>
        <w:t>West</w:t>
      </w:r>
      <w:r>
        <w:rPr>
          <w:rFonts w:ascii="Times New Roman" w:hAnsi="Times New Roman" w:eastAsia="Times New Roman" w:cs="Times New Roman"/>
          <w:spacing w:val="13"/>
          <w:sz w:val="19"/>
          <w:szCs w:val="19"/>
        </w:rPr>
        <w:t>.</w:t>
      </w:r>
    </w:p>
    <w:p>
      <w:pPr>
        <w:spacing w:line="258" w:lineRule="auto"/>
        <w:rPr>
          <w:rFonts w:ascii="Arial"/>
          <w:sz w:val="21"/>
        </w:rPr>
      </w:pPr>
    </w:p>
    <w:p>
      <w:pPr>
        <w:spacing w:line="259" w:lineRule="auto"/>
        <w:rPr>
          <w:rFonts w:ascii="Arial"/>
          <w:sz w:val="21"/>
        </w:rPr>
      </w:pPr>
    </w:p>
    <w:p>
      <w:pPr>
        <w:spacing w:before="69" w:line="249" w:lineRule="auto"/>
        <w:ind w:left="1400" w:right="233" w:hanging="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University West is organized according to figure</w:t>
      </w:r>
      <w:r>
        <w:rPr>
          <w:rFonts w:ascii="Times New Roman" w:hAnsi="Times New Roman" w:eastAsia="Times New Roman" w:cs="Times New Roman"/>
          <w:spacing w:val="29"/>
          <w:w w:val="101"/>
          <w:sz w:val="24"/>
          <w:szCs w:val="24"/>
        </w:rPr>
        <w:t xml:space="preserve"> </w:t>
      </w:r>
      <w:r>
        <w:rPr>
          <w:rFonts w:ascii="Times New Roman" w:hAnsi="Times New Roman" w:eastAsia="Times New Roman" w:cs="Times New Roman"/>
          <w:spacing w:val="-1"/>
          <w:sz w:val="24"/>
          <w:szCs w:val="24"/>
        </w:rPr>
        <w:t>1a and the missions at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University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can</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be</w:t>
      </w:r>
      <w:r>
        <w:rPr>
          <w:rFonts w:ascii="Times New Roman" w:hAnsi="Times New Roman" w:eastAsia="Times New Roman" w:cs="Times New Roman"/>
          <w:sz w:val="24"/>
          <w:szCs w:val="24"/>
        </w:rPr>
        <w:t xml:space="preserve">  described according to the four parts: Management planning and control, Education</w:t>
      </w:r>
      <w:r>
        <w:rPr>
          <w:rFonts w:ascii="Times New Roman" w:hAnsi="Times New Roman" w:eastAsia="Times New Roman" w:cs="Times New Roman"/>
          <w:spacing w:val="-1"/>
          <w:sz w:val="24"/>
          <w:szCs w:val="24"/>
        </w:rPr>
        <w:t>, Research</w:t>
      </w:r>
      <w:r>
        <w:rPr>
          <w:rFonts w:ascii="Times New Roman" w:hAnsi="Times New Roman" w:eastAsia="Times New Roman" w:cs="Times New Roman"/>
          <w:sz w:val="24"/>
          <w:szCs w:val="24"/>
        </w:rPr>
        <w:t xml:space="preserve"> and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Support (figure</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z w:val="24"/>
          <w:szCs w:val="24"/>
        </w:rPr>
        <w:t xml:space="preserve">1b). University Governing Board, </w:t>
      </w:r>
      <w:r>
        <w:rPr>
          <w:rFonts w:ascii="Times New Roman" w:hAnsi="Times New Roman" w:eastAsia="Times New Roman" w:cs="Times New Roman"/>
          <w:spacing w:val="-1"/>
          <w:sz w:val="24"/>
          <w:szCs w:val="24"/>
        </w:rPr>
        <w:t>Vice chancellor, Head of</w:t>
      </w:r>
    </w:p>
    <w:p>
      <w:pPr>
        <w:spacing w:before="37" w:line="249" w:lineRule="auto"/>
        <w:ind w:left="1397" w:right="284" w:firstLine="3"/>
        <w:rPr>
          <w:rFonts w:ascii="Times New Roman" w:hAnsi="Times New Roman" w:eastAsia="Times New Roman" w:cs="Times New Roman"/>
          <w:sz w:val="24"/>
          <w:szCs w:val="24"/>
        </w:rPr>
      </w:pPr>
      <w:r>
        <w:rPr>
          <w:rFonts w:ascii="Times New Roman" w:hAnsi="Times New Roman" w:eastAsia="Times New Roman" w:cs="Times New Roman"/>
          <w:sz w:val="24"/>
          <w:szCs w:val="24"/>
        </w:rPr>
        <w:t>department/University director, Head of</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division (department and administration) lies within  Management planning and control. “Support” includes support both to Management pla</w:t>
      </w:r>
      <w:r>
        <w:rPr>
          <w:rFonts w:ascii="Times New Roman" w:hAnsi="Times New Roman" w:eastAsia="Times New Roman" w:cs="Times New Roman"/>
          <w:spacing w:val="-1"/>
          <w:sz w:val="24"/>
          <w:szCs w:val="24"/>
        </w:rPr>
        <w:t>nning</w:t>
      </w:r>
      <w:r>
        <w:rPr>
          <w:rFonts w:ascii="Times New Roman" w:hAnsi="Times New Roman" w:eastAsia="Times New Roman" w:cs="Times New Roman"/>
          <w:sz w:val="24"/>
          <w:szCs w:val="24"/>
        </w:rPr>
        <w:t xml:space="preserve"> and control (Finance and Management support,</w:t>
      </w:r>
      <w:r>
        <w:rPr>
          <w:rFonts w:ascii="Times New Roman" w:hAnsi="Times New Roman" w:eastAsia="Times New Roman" w:cs="Times New Roman"/>
          <w:spacing w:val="-1"/>
          <w:sz w:val="24"/>
          <w:szCs w:val="24"/>
        </w:rPr>
        <w:t xml:space="preserve"> Human Resources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Marketing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and</w:t>
      </w:r>
    </w:p>
    <w:p>
      <w:pPr>
        <w:spacing w:before="36" w:line="242" w:lineRule="auto"/>
        <w:ind w:left="1405" w:right="666" w:hanging="3"/>
        <w:rPr>
          <w:rFonts w:ascii="Times New Roman" w:hAnsi="Times New Roman" w:eastAsia="Times New Roman" w:cs="Times New Roman"/>
          <w:sz w:val="24"/>
          <w:szCs w:val="24"/>
        </w:rPr>
      </w:pPr>
      <w:r>
        <w:rPr>
          <w:rFonts w:ascii="Times New Roman" w:hAnsi="Times New Roman" w:eastAsia="Times New Roman" w:cs="Times New Roman"/>
          <w:sz w:val="24"/>
          <w:szCs w:val="24"/>
        </w:rPr>
        <w:t>Communication) and su</w:t>
      </w:r>
      <w:r>
        <w:rPr>
          <w:rFonts w:ascii="Times New Roman" w:hAnsi="Times New Roman" w:eastAsia="Times New Roman" w:cs="Times New Roman"/>
          <w:spacing w:val="-1"/>
          <w:sz w:val="24"/>
          <w:szCs w:val="24"/>
        </w:rPr>
        <w:t>pport to students and employees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(Library,</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IT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service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Campus</w:t>
      </w:r>
      <w:r>
        <w:rPr>
          <w:rFonts w:ascii="Times New Roman" w:hAnsi="Times New Roman" w:eastAsia="Times New Roman" w:cs="Times New Roman"/>
          <w:sz w:val="24"/>
          <w:szCs w:val="24"/>
        </w:rPr>
        <w:t xml:space="preserve"> support (messenger's office)).</w:t>
      </w:r>
    </w:p>
    <w:p>
      <w:pPr>
        <w:spacing w:before="251" w:line="186" w:lineRule="auto"/>
        <w:ind w:left="1386"/>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Process</w:t>
      </w:r>
      <w:r>
        <w:rPr>
          <w:rFonts w:ascii="Times New Roman" w:hAnsi="Times New Roman" w:eastAsia="Times New Roman" w:cs="Times New Roman"/>
          <w:b/>
          <w:bCs/>
          <w:i/>
          <w:iCs/>
          <w:spacing w:val="10"/>
          <w:sz w:val="24"/>
          <w:szCs w:val="24"/>
        </w:rPr>
        <w:t xml:space="preserve"> </w:t>
      </w:r>
      <w:r>
        <w:rPr>
          <w:rFonts w:ascii="Times New Roman" w:hAnsi="Times New Roman" w:eastAsia="Times New Roman" w:cs="Times New Roman"/>
          <w:b/>
          <w:bCs/>
          <w:i/>
          <w:iCs/>
          <w:sz w:val="24"/>
          <w:szCs w:val="24"/>
        </w:rPr>
        <w:t>Mapping</w:t>
      </w:r>
    </w:p>
    <w:p>
      <w:pPr>
        <w:spacing w:before="29" w:line="234" w:lineRule="auto"/>
        <w:ind w:left="1401" w:right="122" w:hanging="6"/>
        <w:rPr>
          <w:rFonts w:ascii="Times New Roman" w:hAnsi="Times New Roman" w:eastAsia="Times New Roman" w:cs="Times New Roman"/>
          <w:sz w:val="24"/>
          <w:szCs w:val="24"/>
        </w:rPr>
      </w:pPr>
      <w:r>
        <w:rPr>
          <w:rFonts w:ascii="Times New Roman" w:hAnsi="Times New Roman" w:eastAsia="Times New Roman" w:cs="Times New Roman"/>
          <w:sz w:val="24"/>
          <w:szCs w:val="24"/>
        </w:rPr>
        <w:t>A process mapping project started with a clear mission from the top management to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ch</w:t>
      </w:r>
      <w:r>
        <w:rPr>
          <w:rFonts w:ascii="Times New Roman" w:hAnsi="Times New Roman" w:eastAsia="Times New Roman" w:cs="Times New Roman"/>
          <w:spacing w:val="-1"/>
          <w:sz w:val="24"/>
          <w:szCs w:val="24"/>
        </w:rPr>
        <w:t>ange the</w:t>
      </w:r>
      <w:r>
        <w:rPr>
          <w:rFonts w:ascii="Times New Roman" w:hAnsi="Times New Roman" w:eastAsia="Times New Roman" w:cs="Times New Roman"/>
          <w:sz w:val="24"/>
          <w:szCs w:val="24"/>
        </w:rPr>
        <w:t xml:space="preserve"> culture from “drain pipes” to map “the best” processes, for the parts Education</w:t>
      </w:r>
      <w:r>
        <w:rPr>
          <w:rFonts w:ascii="Times New Roman" w:hAnsi="Times New Roman" w:eastAsia="Times New Roman" w:cs="Times New Roman"/>
          <w:spacing w:val="-1"/>
          <w:sz w:val="24"/>
          <w:szCs w:val="24"/>
        </w:rPr>
        <w:t>, Research,</w:t>
      </w:r>
    </w:p>
    <w:p>
      <w:pPr>
        <w:spacing w:before="14" w:line="228" w:lineRule="auto"/>
        <w:ind w:left="1397"/>
        <w:rPr>
          <w:rFonts w:ascii="Times New Roman" w:hAnsi="Times New Roman" w:eastAsia="Times New Roman" w:cs="Times New Roman"/>
          <w:sz w:val="24"/>
          <w:szCs w:val="24"/>
        </w:rPr>
      </w:pPr>
      <w:r>
        <w:rPr>
          <w:rFonts w:ascii="Times New Roman" w:hAnsi="Times New Roman" w:eastAsia="Times New Roman" w:cs="Times New Roman"/>
          <w:sz w:val="24"/>
          <w:szCs w:val="24"/>
        </w:rPr>
        <w:t>Management planning and control (figur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1"/>
          <w:sz w:val="24"/>
          <w:szCs w:val="24"/>
        </w:rPr>
        <w:t>1b), according to the objectives:</w:t>
      </w:r>
    </w:p>
    <w:p>
      <w:pPr>
        <w:spacing w:before="80" w:line="243" w:lineRule="auto"/>
        <w:ind w:left="2114" w:right="113" w:hanging="349"/>
        <w:rPr>
          <w:rFonts w:ascii="Times New Roman" w:hAnsi="Times New Roman" w:eastAsia="Times New Roman" w:cs="Times New Roman"/>
          <w:sz w:val="24"/>
          <w:szCs w:val="24"/>
        </w:rPr>
      </w:pPr>
      <w:r>
        <w:rPr>
          <w:rFonts w:ascii="Arial" w:hAnsi="Arial" w:eastAsia="Arial" w:cs="Arial"/>
          <w:sz w:val="24"/>
          <w:szCs w:val="24"/>
        </w:rPr>
        <w:t>•</w:t>
      </w:r>
      <w:r>
        <w:rPr>
          <w:rFonts w:ascii="Arial" w:hAnsi="Arial" w:eastAsia="Arial" w:cs="Arial"/>
          <w:spacing w:val="18"/>
          <w:sz w:val="24"/>
          <w:szCs w:val="24"/>
        </w:rPr>
        <w:t xml:space="preserve">   </w:t>
      </w:r>
      <w:r>
        <w:rPr>
          <w:rFonts w:ascii="Times New Roman" w:hAnsi="Times New Roman" w:eastAsia="Times New Roman" w:cs="Times New Roman"/>
          <w:sz w:val="24"/>
          <w:szCs w:val="24"/>
        </w:rPr>
        <w:t>Map processes without loops, i.e. reduce inspection and holdbacks, where each task i</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value-adding action.</w:t>
      </w:r>
    </w:p>
    <w:p>
      <w:pPr>
        <w:spacing w:before="52" w:line="233" w:lineRule="auto"/>
        <w:ind w:left="2121" w:right="133" w:hanging="356"/>
        <w:rPr>
          <w:rFonts w:ascii="Times New Roman" w:hAnsi="Times New Roman" w:eastAsia="Times New Roman" w:cs="Times New Roman"/>
          <w:sz w:val="24"/>
          <w:szCs w:val="24"/>
        </w:rPr>
      </w:pPr>
      <w:r>
        <w:rPr>
          <w:rFonts w:ascii="Arial" w:hAnsi="Arial" w:eastAsia="Arial" w:cs="Arial"/>
          <w:sz w:val="24"/>
          <w:szCs w:val="24"/>
        </w:rPr>
        <w:t>•</w:t>
      </w:r>
      <w:r>
        <w:rPr>
          <w:rFonts w:ascii="Arial" w:hAnsi="Arial" w:eastAsia="Arial" w:cs="Arial"/>
          <w:spacing w:val="22"/>
          <w:sz w:val="24"/>
          <w:szCs w:val="24"/>
        </w:rPr>
        <w:t xml:space="preserve">   </w:t>
      </w:r>
      <w:r>
        <w:rPr>
          <w:rFonts w:ascii="Times New Roman" w:hAnsi="Times New Roman" w:eastAsia="Times New Roman" w:cs="Times New Roman"/>
          <w:sz w:val="24"/>
          <w:szCs w:val="24"/>
        </w:rPr>
        <w:t>Move decision making to the “right employee” in the process (delegating responsibility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power</w:t>
      </w:r>
      <w:r>
        <w:rPr>
          <w:rFonts w:ascii="Times New Roman" w:hAnsi="Times New Roman" w:eastAsia="Times New Roman" w:cs="Times New Roman"/>
          <w:spacing w:val="2"/>
          <w:sz w:val="24"/>
          <w:szCs w:val="24"/>
        </w:rPr>
        <w:t>).</w:t>
      </w:r>
    </w:p>
    <w:p>
      <w:pPr>
        <w:spacing w:before="33" w:line="227" w:lineRule="auto"/>
        <w:ind w:left="1765"/>
        <w:rPr>
          <w:rFonts w:ascii="Times New Roman" w:hAnsi="Times New Roman" w:eastAsia="Times New Roman" w:cs="Times New Roman"/>
          <w:sz w:val="24"/>
          <w:szCs w:val="24"/>
        </w:rPr>
      </w:pPr>
      <w:r>
        <w:rPr>
          <w:rFonts w:ascii="Arial" w:hAnsi="Arial" w:eastAsia="Arial" w:cs="Arial"/>
          <w:sz w:val="24"/>
          <w:szCs w:val="24"/>
        </w:rPr>
        <w:t>•</w:t>
      </w:r>
      <w:r>
        <w:rPr>
          <w:rFonts w:ascii="Arial" w:hAnsi="Arial" w:eastAsia="Arial" w:cs="Arial"/>
          <w:spacing w:val="18"/>
          <w:sz w:val="24"/>
          <w:szCs w:val="24"/>
        </w:rPr>
        <w:t xml:space="preserve">   </w:t>
      </w:r>
      <w:r>
        <w:rPr>
          <w:rFonts w:ascii="Times New Roman" w:hAnsi="Times New Roman" w:eastAsia="Times New Roman" w:cs="Times New Roman"/>
          <w:sz w:val="24"/>
          <w:szCs w:val="24"/>
        </w:rPr>
        <w:t>Assure approval and dialogue before decision (an important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set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values that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should</w:t>
      </w:r>
    </w:p>
    <w:p>
      <w:pPr>
        <w:spacing w:before="11" w:line="234" w:lineRule="auto"/>
        <w:ind w:left="2114"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pervade our quality culture) to create involvement and comm</w:t>
      </w:r>
      <w:r>
        <w:rPr>
          <w:rFonts w:ascii="Times New Roman" w:hAnsi="Times New Roman" w:eastAsia="Times New Roman" w:cs="Times New Roman"/>
          <w:spacing w:val="-1"/>
          <w:sz w:val="24"/>
          <w:szCs w:val="24"/>
        </w:rPr>
        <w:t>itment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as well</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take the</w:t>
      </w:r>
      <w:r>
        <w:rPr>
          <w:rFonts w:ascii="Times New Roman" w:hAnsi="Times New Roman" w:eastAsia="Times New Roman" w:cs="Times New Roman"/>
          <w:sz w:val="24"/>
          <w:szCs w:val="24"/>
        </w:rPr>
        <w:t xml:space="preserve"> right decision based on the right facts (i.e. base decisions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on</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f</w:t>
      </w:r>
      <w:r>
        <w:rPr>
          <w:rFonts w:ascii="Times New Roman" w:hAnsi="Times New Roman" w:eastAsia="Times New Roman" w:cs="Times New Roman"/>
          <w:spacing w:val="-1"/>
          <w:sz w:val="24"/>
          <w:szCs w:val="24"/>
        </w:rPr>
        <w:t>acts).</w:t>
      </w:r>
    </w:p>
    <w:p>
      <w:pPr>
        <w:spacing w:before="33" w:line="244" w:lineRule="auto"/>
        <w:ind w:left="2116" w:right="286" w:hanging="351"/>
        <w:rPr>
          <w:rFonts w:ascii="Times New Roman" w:hAnsi="Times New Roman" w:eastAsia="Times New Roman" w:cs="Times New Roman"/>
          <w:sz w:val="24"/>
          <w:szCs w:val="24"/>
        </w:rPr>
      </w:pPr>
      <w:r>
        <w:rPr>
          <w:rFonts w:ascii="Arial" w:hAnsi="Arial" w:eastAsia="Arial" w:cs="Arial"/>
          <w:sz w:val="24"/>
          <w:szCs w:val="24"/>
        </w:rPr>
        <w:t>•</w:t>
      </w:r>
      <w:r>
        <w:rPr>
          <w:rFonts w:ascii="Arial" w:hAnsi="Arial" w:eastAsia="Arial" w:cs="Arial"/>
          <w:spacing w:val="18"/>
          <w:sz w:val="24"/>
          <w:szCs w:val="24"/>
        </w:rPr>
        <w:t xml:space="preserve">   </w:t>
      </w:r>
      <w:r>
        <w:rPr>
          <w:rFonts w:ascii="Times New Roman" w:hAnsi="Times New Roman" w:eastAsia="Times New Roman" w:cs="Times New Roman"/>
          <w:sz w:val="24"/>
          <w:szCs w:val="24"/>
        </w:rPr>
        <w:t>Follow PDSA. The Processes, for each part, follows the steps: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Establish prerequisites, Plan, Do, Evaluate and Improve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(figure 2).</w:t>
      </w:r>
    </w:p>
    <w:p>
      <w:pPr>
        <w:spacing w:before="52" w:line="228" w:lineRule="auto"/>
        <w:ind w:left="1765"/>
        <w:rPr>
          <w:rFonts w:ascii="Times New Roman" w:hAnsi="Times New Roman" w:eastAsia="Times New Roman" w:cs="Times New Roman"/>
          <w:sz w:val="24"/>
          <w:szCs w:val="24"/>
        </w:rPr>
      </w:pPr>
      <w:r>
        <w:rPr>
          <w:rFonts w:ascii="Arial" w:hAnsi="Arial" w:eastAsia="Arial" w:cs="Arial"/>
          <w:sz w:val="24"/>
          <w:szCs w:val="24"/>
        </w:rPr>
        <w:t>•</w:t>
      </w:r>
      <w:r>
        <w:rPr>
          <w:rFonts w:ascii="Arial" w:hAnsi="Arial" w:eastAsia="Arial" w:cs="Arial"/>
          <w:spacing w:val="19"/>
          <w:sz w:val="24"/>
          <w:szCs w:val="24"/>
        </w:rPr>
        <w:t xml:space="preserve">   </w:t>
      </w:r>
      <w:r>
        <w:rPr>
          <w:rFonts w:ascii="Times New Roman" w:hAnsi="Times New Roman" w:eastAsia="Times New Roman" w:cs="Times New Roman"/>
          <w:sz w:val="24"/>
          <w:szCs w:val="24"/>
        </w:rPr>
        <w:t>The flow in the process shall follow</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customer</w:t>
      </w:r>
      <w:r>
        <w:rPr>
          <w:rFonts w:ascii="Times New Roman" w:hAnsi="Times New Roman" w:eastAsia="Times New Roman" w:cs="Times New Roman"/>
          <w:spacing w:val="-1"/>
          <w:sz w:val="24"/>
          <w:szCs w:val="24"/>
        </w:rPr>
        <w:t>s.</w:t>
      </w:r>
    </w:p>
    <w:p>
      <w:pPr>
        <w:spacing w:before="49" w:line="227" w:lineRule="auto"/>
        <w:ind w:left="1765"/>
        <w:rPr>
          <w:rFonts w:ascii="Times New Roman" w:hAnsi="Times New Roman" w:eastAsia="Times New Roman" w:cs="Times New Roman"/>
          <w:sz w:val="24"/>
          <w:szCs w:val="24"/>
        </w:rPr>
      </w:pPr>
      <w:r>
        <w:rPr>
          <w:rFonts w:ascii="Arial" w:hAnsi="Arial" w:eastAsia="Arial" w:cs="Arial"/>
          <w:sz w:val="24"/>
          <w:szCs w:val="24"/>
        </w:rPr>
        <w:t>•</w:t>
      </w:r>
      <w:r>
        <w:rPr>
          <w:rFonts w:ascii="Arial" w:hAnsi="Arial" w:eastAsia="Arial" w:cs="Arial"/>
          <w:spacing w:val="20"/>
          <w:w w:val="101"/>
          <w:sz w:val="24"/>
          <w:szCs w:val="24"/>
        </w:rPr>
        <w:t xml:space="preserve">   </w:t>
      </w:r>
      <w:r>
        <w:rPr>
          <w:rFonts w:ascii="Times New Roman" w:hAnsi="Times New Roman" w:eastAsia="Times New Roman" w:cs="Times New Roman"/>
          <w:sz w:val="24"/>
          <w:szCs w:val="24"/>
        </w:rPr>
        <w:t>Include the laws, regulations and local steering documents belonging to HEI.</w:t>
      </w:r>
    </w:p>
    <w:p>
      <w:pPr>
        <w:spacing w:before="200" w:line="243" w:lineRule="auto"/>
        <w:ind w:left="1761" w:right="163" w:hanging="4"/>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Mapping processes according to these objectives will help the organization to </w:t>
      </w:r>
      <w:r>
        <w:rPr>
          <w:rFonts w:ascii="Times New Roman" w:hAnsi="Times New Roman" w:eastAsia="Times New Roman" w:cs="Times New Roman"/>
          <w:spacing w:val="-1"/>
          <w:sz w:val="24"/>
          <w:szCs w:val="24"/>
        </w:rPr>
        <w:t>prepare for</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 change in the company culture to strengthen the core values;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learni</w:t>
      </w:r>
      <w:r>
        <w:rPr>
          <w:rFonts w:ascii="Times New Roman" w:hAnsi="Times New Roman" w:eastAsia="Times New Roman" w:cs="Times New Roman"/>
          <w:spacing w:val="-1"/>
          <w:sz w:val="24"/>
          <w:szCs w:val="24"/>
        </w:rPr>
        <w:t>ng organization,</w:t>
      </w:r>
    </w:p>
    <w:p>
      <w:pPr>
        <w:spacing w:before="33" w:line="228" w:lineRule="auto"/>
        <w:ind w:left="176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leadership and</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2"/>
          <w:sz w:val="24"/>
          <w:szCs w:val="24"/>
        </w:rPr>
        <w:t>QA.</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13" w:lineRule="exact"/>
        <w:ind w:firstLine="1151"/>
      </w:pPr>
      <w:r>
        <w:rPr>
          <w:position w:val="-4"/>
        </w:rPr>
        <w:drawing>
          <wp:inline distT="0" distB="0" distL="0" distR="0">
            <wp:extent cx="1849120" cy="13462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1194" w:bottom="100" w:left="48" w:header="0" w:footer="0" w:gutter="0"/>
          <w:cols w:space="720" w:num="1"/>
        </w:sectPr>
      </w:pPr>
    </w:p>
    <w:p>
      <w:pPr>
        <w:spacing w:line="256" w:lineRule="auto"/>
        <w:rPr>
          <w:rFonts w:ascii="Arial"/>
          <w:sz w:val="21"/>
        </w:rPr>
      </w:pPr>
      <w:r>
        <mc:AlternateContent>
          <mc:Choice Requires="wps">
            <w:drawing>
              <wp:anchor distT="0" distB="0" distL="0" distR="0" simplePos="0" relativeHeight="251766784"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198" name="TextBox 198"/>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 o:spid="_x0000_s1026" o:spt="202" type="#_x0000_t202" style="position:absolute;left:0pt;margin-left:-120.15pt;margin-top:416.25pt;height:9.3pt;width:252.55pt;mso-position-horizontal-relative:page;mso-position-vertical-relative:page;rotation:-5898240f;z-index:251766784;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9+V8tsAAAAMAQAADwAAAAAAAAABACAAAAAiAAAAZHJzL2Rv&#10;d25yZXYueG1sUEsBAhQAFAAAAAgAh07iQA/iYl03AgAAcQQAAA4AAAAAAAAAAQAgAAAAKgEAAGRy&#10;cy9lMm9Eb2MueG1sUEsFBgAAAAAGAAYAWQEAANMFA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r>
        <w:pict>
          <v:shape id="_x0000_s1121" o:spid="_x0000_s1121" o:spt="202" type="#_x0000_t202" style="position:absolute;left:0pt;margin-left:98.55pt;margin-top:143.3pt;height:23.75pt;width:55.75pt;mso-position-horizontal-relative:page;mso-position-vertical-relative:page;z-index:251767808;mso-width-relative:page;mso-height-relative:page;" filled="f" stroked="f" coordsize="21600,21600" o:allowincell="f">
            <v:path/>
            <v:fill on="f" focussize="0,0"/>
            <v:stroke on="f"/>
            <v:imagedata o:title=""/>
            <o:lock v:ext="edit" aspectratio="f"/>
            <v:textbox inset="0mm,0mm,0mm,0mm">
              <w:txbxContent>
                <w:p>
                  <w:pPr>
                    <w:spacing w:before="19" w:line="191" w:lineRule="auto"/>
                    <w:ind w:left="17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Establish</w:t>
                  </w:r>
                </w:p>
                <w:p>
                  <w:pPr>
                    <w:spacing w:before="11" w:line="230" w:lineRule="auto"/>
                    <w:ind w:left="20"/>
                    <w:rPr>
                      <w:rFonts w:ascii="Times New Roman" w:hAnsi="Times New Roman" w:eastAsia="Times New Roman" w:cs="Times New Roman"/>
                      <w:sz w:val="21"/>
                      <w:szCs w:val="21"/>
                    </w:rPr>
                  </w:pPr>
                  <w:r>
                    <w:rPr>
                      <w:rFonts w:ascii="Times New Roman" w:hAnsi="Times New Roman" w:eastAsia="Times New Roman" w:cs="Times New Roman"/>
                      <w:sz w:val="21"/>
                      <w:szCs w:val="21"/>
                    </w:rPr>
                    <w:t>prerequisites</w:t>
                  </w:r>
                </w:p>
              </w:txbxContent>
            </v:textbox>
          </v:shape>
        </w:pict>
      </w:r>
      <w:r>
        <w:pict>
          <v:shape id="_x0000_s1122" o:spid="_x0000_s1122" o:spt="202" type="#_x0000_t202" style="position:absolute;left:0pt;margin-left:206.05pt;margin-top:150.95pt;height:11.6pt;width:20.7pt;mso-position-horizontal-relative:page;mso-position-vertical-relative:page;z-index:251769856;mso-width-relative:page;mso-height-relative:page;" filled="f" stroked="f" coordsize="21600,21600" o:allowincell="f">
            <v:path/>
            <v:fill on="f" focussize="0,0"/>
            <v:stroke on="f"/>
            <v:imagedata o:title=""/>
            <o:lock v:ext="edit" aspectratio="f"/>
            <v:textbox inset="0mm,0mm,0mm,0mm">
              <w:txbxContent>
                <w:p>
                  <w:pPr>
                    <w:spacing w:before="19" w:line="191"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Plan</w:t>
                  </w:r>
                </w:p>
              </w:txbxContent>
            </v:textbox>
          </v:shape>
        </w:pict>
      </w:r>
      <w:r>
        <w:pict>
          <v:shape id="_x0000_s1123" o:spid="_x0000_s1123" o:spt="202" type="#_x0000_t202" style="position:absolute;left:0pt;margin-left:297.35pt;margin-top:152.25pt;height:11.3pt;width:14.8pt;mso-position-horizontal-relative:page;mso-position-vertical-relative:page;z-index:251774976;mso-width-relative:page;mso-height-relative:page;" filled="f" stroked="f" coordsize="21600,21600" o:allowincell="f">
            <v:path/>
            <v:fill on="f" focussize="0,0"/>
            <v:stroke on="f"/>
            <v:imagedata o:title=""/>
            <o:lock v:ext="edit" aspectratio="f"/>
            <v:textbox inset="0mm,0mm,0mm,0mm">
              <w:txbxContent>
                <w:p>
                  <w:pPr>
                    <w:spacing w:before="19" w:line="184"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Do</w:t>
                  </w:r>
                </w:p>
              </w:txbxContent>
            </v:textbox>
          </v:shape>
        </w:pict>
      </w:r>
      <w:r>
        <w:pict>
          <v:shape id="_x0000_s1124" o:spid="_x0000_s1124" o:spt="202" type="#_x0000_t202" style="position:absolute;left:0pt;margin-left:374.9pt;margin-top:153.25pt;height:11.6pt;width:38.55pt;mso-position-horizontal-relative:page;mso-position-vertical-relative:page;z-index:251768832;mso-width-relative:page;mso-height-relative:page;" filled="f" stroked="f" coordsize="21600,21600" o:allowincell="f">
            <v:path/>
            <v:fill on="f" focussize="0,0"/>
            <v:stroke on="f"/>
            <v:imagedata o:title=""/>
            <o:lock v:ext="edit" aspectratio="f"/>
            <v:textbox inset="0mm,0mm,0mm,0mm">
              <w:txbxContent>
                <w:p>
                  <w:pPr>
                    <w:spacing w:before="19" w:line="191"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Evaluate</w:t>
                  </w:r>
                </w:p>
              </w:txbxContent>
            </v:textbox>
          </v:shape>
        </w:pict>
      </w:r>
      <w:r>
        <w:drawing>
          <wp:anchor distT="0" distB="0" distL="0" distR="0" simplePos="0" relativeHeight="251772928" behindDoc="0" locked="0" layoutInCell="0" allowOverlap="1">
            <wp:simplePos x="0" y="0"/>
            <wp:positionH relativeFrom="page">
              <wp:posOffset>2049780</wp:posOffset>
            </wp:positionH>
            <wp:positionV relativeFrom="page">
              <wp:posOffset>1928495</wp:posOffset>
            </wp:positionV>
            <wp:extent cx="236220" cy="7620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51"/>
                    <a:stretch>
                      <a:fillRect/>
                    </a:stretch>
                  </pic:blipFill>
                  <pic:spPr>
                    <a:xfrm>
                      <a:off x="0" y="0"/>
                      <a:ext cx="236219" cy="76200"/>
                    </a:xfrm>
                    <a:prstGeom prst="rect">
                      <a:avLst/>
                    </a:prstGeom>
                  </pic:spPr>
                </pic:pic>
              </a:graphicData>
            </a:graphic>
          </wp:anchor>
        </w:drawing>
      </w:r>
      <w:r>
        <w:drawing>
          <wp:anchor distT="0" distB="0" distL="0" distR="0" simplePos="0" relativeHeight="251771904" behindDoc="0" locked="0" layoutInCell="0" allowOverlap="1">
            <wp:simplePos x="0" y="0"/>
            <wp:positionH relativeFrom="page">
              <wp:posOffset>3189605</wp:posOffset>
            </wp:positionH>
            <wp:positionV relativeFrom="page">
              <wp:posOffset>1943735</wp:posOffset>
            </wp:positionV>
            <wp:extent cx="236220" cy="7620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52"/>
                    <a:stretch>
                      <a:fillRect/>
                    </a:stretch>
                  </pic:blipFill>
                  <pic:spPr>
                    <a:xfrm>
                      <a:off x="0" y="0"/>
                      <a:ext cx="236220" cy="76200"/>
                    </a:xfrm>
                    <a:prstGeom prst="rect">
                      <a:avLst/>
                    </a:prstGeom>
                  </pic:spPr>
                </pic:pic>
              </a:graphicData>
            </a:graphic>
          </wp:anchor>
        </w:drawing>
      </w:r>
      <w:r>
        <w:drawing>
          <wp:anchor distT="0" distB="0" distL="0" distR="0" simplePos="0" relativeHeight="251773952" behindDoc="0" locked="0" layoutInCell="0" allowOverlap="1">
            <wp:simplePos x="0" y="0"/>
            <wp:positionH relativeFrom="page">
              <wp:posOffset>4312920</wp:posOffset>
            </wp:positionH>
            <wp:positionV relativeFrom="page">
              <wp:posOffset>1945005</wp:posOffset>
            </wp:positionV>
            <wp:extent cx="234950" cy="7620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53"/>
                    <a:stretch>
                      <a:fillRect/>
                    </a:stretch>
                  </pic:blipFill>
                  <pic:spPr>
                    <a:xfrm>
                      <a:off x="0" y="0"/>
                      <a:ext cx="234696" cy="76200"/>
                    </a:xfrm>
                    <a:prstGeom prst="rect">
                      <a:avLst/>
                    </a:prstGeom>
                  </pic:spPr>
                </pic:pic>
              </a:graphicData>
            </a:graphic>
          </wp:anchor>
        </w:drawing>
      </w:r>
      <w:r>
        <w:drawing>
          <wp:anchor distT="0" distB="0" distL="0" distR="0" simplePos="0" relativeHeight="251764736" behindDoc="0" locked="0" layoutInCell="0" allowOverlap="1">
            <wp:simplePos x="0" y="0"/>
            <wp:positionH relativeFrom="page">
              <wp:posOffset>2293620</wp:posOffset>
            </wp:positionH>
            <wp:positionV relativeFrom="page">
              <wp:posOffset>1741170</wp:posOffset>
            </wp:positionV>
            <wp:extent cx="906780" cy="452755"/>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54"/>
                    <a:stretch>
                      <a:fillRect/>
                    </a:stretch>
                  </pic:blipFill>
                  <pic:spPr>
                    <a:xfrm>
                      <a:off x="0" y="0"/>
                      <a:ext cx="906780" cy="452627"/>
                    </a:xfrm>
                    <a:prstGeom prst="rect">
                      <a:avLst/>
                    </a:prstGeom>
                  </pic:spPr>
                </pic:pic>
              </a:graphicData>
            </a:graphic>
          </wp:anchor>
        </w:drawing>
      </w:r>
      <w:r>
        <w:drawing>
          <wp:anchor distT="0" distB="0" distL="0" distR="0" simplePos="0" relativeHeight="251765760" behindDoc="0" locked="0" layoutInCell="0" allowOverlap="1">
            <wp:simplePos x="0" y="0"/>
            <wp:positionH relativeFrom="page">
              <wp:posOffset>1153160</wp:posOffset>
            </wp:positionH>
            <wp:positionV relativeFrom="page">
              <wp:posOffset>1741170</wp:posOffset>
            </wp:positionV>
            <wp:extent cx="905510" cy="437515"/>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55"/>
                    <a:stretch>
                      <a:fillRect/>
                    </a:stretch>
                  </pic:blipFill>
                  <pic:spPr>
                    <a:xfrm>
                      <a:off x="0" y="0"/>
                      <a:ext cx="905256" cy="437388"/>
                    </a:xfrm>
                    <a:prstGeom prst="rect">
                      <a:avLst/>
                    </a:prstGeom>
                  </pic:spPr>
                </pic:pic>
              </a:graphicData>
            </a:graphic>
          </wp:anchor>
        </w:drawing>
      </w:r>
      <w:r>
        <w:drawing>
          <wp:anchor distT="0" distB="0" distL="0" distR="0" simplePos="0" relativeHeight="251763712" behindDoc="0" locked="0" layoutInCell="0" allowOverlap="1">
            <wp:simplePos x="0" y="0"/>
            <wp:positionH relativeFrom="page">
              <wp:posOffset>3416300</wp:posOffset>
            </wp:positionH>
            <wp:positionV relativeFrom="page">
              <wp:posOffset>1744345</wp:posOffset>
            </wp:positionV>
            <wp:extent cx="905510" cy="460375"/>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56"/>
                    <a:stretch>
                      <a:fillRect/>
                    </a:stretch>
                  </pic:blipFill>
                  <pic:spPr>
                    <a:xfrm>
                      <a:off x="0" y="0"/>
                      <a:ext cx="905255" cy="460247"/>
                    </a:xfrm>
                    <a:prstGeom prst="rect">
                      <a:avLst/>
                    </a:prstGeom>
                  </pic:spPr>
                </pic:pic>
              </a:graphicData>
            </a:graphic>
          </wp:anchor>
        </w:drawing>
      </w:r>
      <w:r>
        <w:drawing>
          <wp:anchor distT="0" distB="0" distL="0" distR="0" simplePos="0" relativeHeight="251762688" behindDoc="0" locked="0" layoutInCell="0" allowOverlap="1">
            <wp:simplePos x="0" y="0"/>
            <wp:positionH relativeFrom="page">
              <wp:posOffset>4551680</wp:posOffset>
            </wp:positionH>
            <wp:positionV relativeFrom="page">
              <wp:posOffset>1725930</wp:posOffset>
            </wp:positionV>
            <wp:extent cx="906780" cy="49657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57"/>
                    <a:stretch>
                      <a:fillRect/>
                    </a:stretch>
                  </pic:blipFill>
                  <pic:spPr>
                    <a:xfrm>
                      <a:off x="0" y="0"/>
                      <a:ext cx="906780" cy="496823"/>
                    </a:xfrm>
                    <a:prstGeom prst="rect">
                      <a:avLst/>
                    </a:prstGeom>
                  </pic:spPr>
                </pic:pic>
              </a:graphicData>
            </a:graphic>
          </wp:anchor>
        </w:drawing>
      </w:r>
      <w:r>
        <w:drawing>
          <wp:anchor distT="0" distB="0" distL="0" distR="0" simplePos="0" relativeHeight="251770880" behindDoc="0" locked="0" layoutInCell="0" allowOverlap="1">
            <wp:simplePos x="0" y="0"/>
            <wp:positionH relativeFrom="page">
              <wp:posOffset>5461635</wp:posOffset>
            </wp:positionH>
            <wp:positionV relativeFrom="page">
              <wp:posOffset>1927225</wp:posOffset>
            </wp:positionV>
            <wp:extent cx="236220" cy="7620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58"/>
                    <a:stretch>
                      <a:fillRect/>
                    </a:stretch>
                  </pic:blipFill>
                  <pic:spPr>
                    <a:xfrm>
                      <a:off x="0" y="0"/>
                      <a:ext cx="236220" cy="76200"/>
                    </a:xfrm>
                    <a:prstGeom prst="rect">
                      <a:avLst/>
                    </a:prstGeom>
                  </pic:spPr>
                </pic:pic>
              </a:graphicData>
            </a:graphic>
          </wp:anchor>
        </w:drawing>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813" w:lineRule="exact"/>
        <w:ind w:firstLine="8929"/>
      </w:pPr>
      <w:r>
        <w:rPr>
          <w:position w:val="-16"/>
        </w:rPr>
        <w:pict>
          <v:group id="_x0000_s1125" o:spid="_x0000_s1125" o:spt="203" style="height:40.7pt;width:71.4pt;" coordsize="1428,814">
            <o:lock v:ext="edit"/>
            <v:shape id="_x0000_s1126" o:spid="_x0000_s1126" o:spt="75" type="#_x0000_t75" style="position:absolute;left:0;top:0;height:814;width:1428;" filled="f" stroked="f" coordsize="21600,21600">
              <v:path/>
              <v:fill on="f" focussize="0,0"/>
              <v:stroke on="f"/>
              <v:imagedata r:id="rId159" o:title=""/>
              <o:lock v:ext="edit" aspectratio="t"/>
            </v:shape>
            <v:shape id="_x0000_s1127" o:spid="_x0000_s1127" o:spt="202" type="#_x0000_t202" style="position:absolute;left:-20;top:-20;height:854;width:1468;" filled="f" stroked="f" coordsize="21600,21600">
              <v:path/>
              <v:fill on="f" focussize="0,0"/>
              <v:stroke on="f"/>
              <v:imagedata o:title=""/>
              <o:lock v:ext="edit" aspectratio="f"/>
              <v:textbox inset="0mm,0mm,0mm,0mm">
                <w:txbxContent>
                  <w:p>
                    <w:pPr>
                      <w:spacing w:line="362" w:lineRule="auto"/>
                      <w:rPr>
                        <w:rFonts w:ascii="Arial"/>
                        <w:sz w:val="21"/>
                      </w:rPr>
                    </w:pPr>
                  </w:p>
                  <w:p>
                    <w:pPr>
                      <w:spacing w:before="60" w:line="184" w:lineRule="auto"/>
                      <w:ind w:left="38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Improve</w:t>
                    </w:r>
                  </w:p>
                </w:txbxContent>
              </v:textbox>
            </v:shape>
            <w10:wrap type="none"/>
            <w10:anchorlock/>
          </v:group>
        </w:pict>
      </w:r>
    </w:p>
    <w:p>
      <w:pPr>
        <w:spacing w:line="356" w:lineRule="auto"/>
        <w:rPr>
          <w:rFonts w:ascii="Arial"/>
          <w:sz w:val="21"/>
        </w:rPr>
      </w:pPr>
    </w:p>
    <w:p>
      <w:pPr>
        <w:spacing w:before="55" w:line="239" w:lineRule="auto"/>
        <w:ind w:left="1031"/>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Figure 2.       Shows the steps</w:t>
      </w:r>
      <w:r>
        <w:rPr>
          <w:rFonts w:ascii="Times New Roman" w:hAnsi="Times New Roman" w:eastAsia="Times New Roman" w:cs="Times New Roman"/>
          <w:spacing w:val="10"/>
          <w:sz w:val="19"/>
          <w:szCs w:val="19"/>
        </w:rPr>
        <w:t xml:space="preserve"> </w:t>
      </w:r>
      <w:r>
        <w:rPr>
          <w:rFonts w:ascii="Times New Roman" w:hAnsi="Times New Roman" w:eastAsia="Times New Roman" w:cs="Times New Roman"/>
          <w:spacing w:val="4"/>
          <w:sz w:val="19"/>
          <w:szCs w:val="19"/>
        </w:rPr>
        <w:t>every part</w:t>
      </w:r>
      <w:r>
        <w:rPr>
          <w:rFonts w:ascii="Times New Roman" w:hAnsi="Times New Roman" w:eastAsia="Times New Roman" w:cs="Times New Roman"/>
          <w:spacing w:val="8"/>
          <w:sz w:val="19"/>
          <w:szCs w:val="19"/>
        </w:rPr>
        <w:t xml:space="preserve"> </w:t>
      </w:r>
      <w:r>
        <w:rPr>
          <w:rFonts w:ascii="Times New Roman" w:hAnsi="Times New Roman" w:eastAsia="Times New Roman" w:cs="Times New Roman"/>
          <w:spacing w:val="4"/>
          <w:sz w:val="19"/>
          <w:szCs w:val="19"/>
        </w:rPr>
        <w:t>is being</w:t>
      </w:r>
      <w:r>
        <w:rPr>
          <w:rFonts w:ascii="Times New Roman" w:hAnsi="Times New Roman" w:eastAsia="Times New Roman" w:cs="Times New Roman"/>
          <w:spacing w:val="3"/>
          <w:sz w:val="19"/>
          <w:szCs w:val="19"/>
        </w:rPr>
        <w:t xml:space="preserve"> processed</w:t>
      </w:r>
      <w:r>
        <w:rPr>
          <w:rFonts w:ascii="Times New Roman" w:hAnsi="Times New Roman" w:eastAsia="Times New Roman" w:cs="Times New Roman"/>
          <w:spacing w:val="8"/>
          <w:sz w:val="19"/>
          <w:szCs w:val="19"/>
        </w:rPr>
        <w:t xml:space="preserve"> </w:t>
      </w:r>
      <w:r>
        <w:rPr>
          <w:rFonts w:ascii="Times New Roman" w:hAnsi="Times New Roman" w:eastAsia="Times New Roman" w:cs="Times New Roman"/>
          <w:spacing w:val="3"/>
          <w:sz w:val="19"/>
          <w:szCs w:val="19"/>
        </w:rPr>
        <w:t>mapped</w:t>
      </w:r>
      <w:r>
        <w:rPr>
          <w:rFonts w:ascii="Times New Roman" w:hAnsi="Times New Roman" w:eastAsia="Times New Roman" w:cs="Times New Roman"/>
          <w:spacing w:val="10"/>
          <w:sz w:val="19"/>
          <w:szCs w:val="19"/>
        </w:rPr>
        <w:t xml:space="preserve"> </w:t>
      </w:r>
      <w:r>
        <w:rPr>
          <w:rFonts w:ascii="Times New Roman" w:hAnsi="Times New Roman" w:eastAsia="Times New Roman" w:cs="Times New Roman"/>
          <w:spacing w:val="3"/>
          <w:sz w:val="19"/>
          <w:szCs w:val="19"/>
        </w:rPr>
        <w:t>into.</w:t>
      </w:r>
    </w:p>
    <w:p>
      <w:pPr>
        <w:spacing w:line="383" w:lineRule="auto"/>
        <w:rPr>
          <w:rFonts w:ascii="Arial"/>
          <w:sz w:val="21"/>
        </w:rPr>
      </w:pPr>
    </w:p>
    <w:p>
      <w:pPr>
        <w:spacing w:before="69" w:line="228" w:lineRule="auto"/>
        <w:ind w:left="1398"/>
        <w:rPr>
          <w:rFonts w:ascii="Times New Roman" w:hAnsi="Times New Roman" w:eastAsia="Times New Roman" w:cs="Times New Roman"/>
          <w:sz w:val="24"/>
          <w:szCs w:val="24"/>
        </w:rPr>
      </w:pPr>
      <w:r>
        <w:rPr>
          <w:rFonts w:ascii="Times New Roman" w:hAnsi="Times New Roman" w:eastAsia="Times New Roman" w:cs="Times New Roman"/>
          <w:sz w:val="24"/>
          <w:szCs w:val="24"/>
        </w:rPr>
        <w:t>The project began with establishing a steering committee (including v</w:t>
      </w:r>
      <w:r>
        <w:rPr>
          <w:rFonts w:ascii="Times New Roman" w:hAnsi="Times New Roman" w:eastAsia="Times New Roman" w:cs="Times New Roman"/>
          <w:spacing w:val="-1"/>
          <w:sz w:val="24"/>
          <w:szCs w:val="24"/>
        </w:rPr>
        <w:t>ice chancellor)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and</w:t>
      </w:r>
    </w:p>
    <w:p>
      <w:pPr>
        <w:spacing w:before="13" w:line="234" w:lineRule="auto"/>
        <w:ind w:left="1392" w:right="349" w:firstLine="7"/>
        <w:rPr>
          <w:rFonts w:ascii="Times New Roman" w:hAnsi="Times New Roman" w:eastAsia="Times New Roman" w:cs="Times New Roman"/>
          <w:sz w:val="24"/>
          <w:szCs w:val="24"/>
        </w:rPr>
      </w:pPr>
      <w:r>
        <w:rPr>
          <w:rFonts w:ascii="Times New Roman" w:hAnsi="Times New Roman" w:eastAsia="Times New Roman" w:cs="Times New Roman"/>
          <w:sz w:val="24"/>
          <w:szCs w:val="24"/>
        </w:rPr>
        <w:t>appointing a reference group (including extern experts). Next, cross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functional team members</w:t>
      </w:r>
      <w:r>
        <w:rPr>
          <w:rFonts w:ascii="Times New Roman" w:hAnsi="Times New Roman" w:eastAsia="Times New Roman" w:cs="Times New Roman"/>
          <w:sz w:val="24"/>
          <w:szCs w:val="24"/>
        </w:rPr>
        <w:t xml:space="preserve"> were handpicked, based on their competence, knowledge, skills, experience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function.</w:t>
      </w:r>
    </w:p>
    <w:p>
      <w:pPr>
        <w:spacing w:before="64" w:line="228" w:lineRule="auto"/>
        <w:ind w:left="1398"/>
        <w:rPr>
          <w:rFonts w:ascii="Times New Roman" w:hAnsi="Times New Roman" w:eastAsia="Times New Roman" w:cs="Times New Roman"/>
          <w:sz w:val="24"/>
          <w:szCs w:val="24"/>
        </w:rPr>
      </w:pPr>
      <w:r>
        <w:rPr>
          <w:rFonts w:ascii="Times New Roman" w:hAnsi="Times New Roman" w:eastAsia="Times New Roman" w:cs="Times New Roman"/>
          <w:sz w:val="24"/>
          <w:szCs w:val="24"/>
        </w:rPr>
        <w:t>The process mapping teams had mandate to map</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 xml:space="preserve">"best process" </w:t>
      </w:r>
      <w:r>
        <w:rPr>
          <w:rFonts w:ascii="Times New Roman" w:hAnsi="Times New Roman" w:eastAsia="Times New Roman" w:cs="Times New Roman"/>
          <w:spacing w:val="-1"/>
          <w:sz w:val="24"/>
          <w:szCs w:val="24"/>
        </w:rPr>
        <w:t>based on the team's overall</w:t>
      </w:r>
    </w:p>
    <w:p>
      <w:pPr>
        <w:spacing w:before="35"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z w:val="24"/>
          <w:szCs w:val="24"/>
        </w:rPr>
        <w:t>competence and experience. In</w:t>
      </w:r>
      <w:r>
        <w:rPr>
          <w:rFonts w:ascii="Times New Roman" w:hAnsi="Times New Roman" w:eastAsia="Times New Roman" w:cs="Times New Roman"/>
          <w:spacing w:val="-1"/>
          <w:sz w:val="24"/>
          <w:szCs w:val="24"/>
        </w:rPr>
        <w:t xml:space="preserve"> the teams, a trust, security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great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faith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each</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other's</w:t>
      </w:r>
    </w:p>
    <w:p>
      <w:pPr>
        <w:spacing w:before="39" w:line="243" w:lineRule="auto"/>
        <w:ind w:left="1384" w:right="209" w:firstLine="14"/>
        <w:rPr>
          <w:rFonts w:ascii="Times New Roman" w:hAnsi="Times New Roman" w:eastAsia="Times New Roman" w:cs="Times New Roman"/>
          <w:sz w:val="24"/>
          <w:szCs w:val="24"/>
        </w:rPr>
      </w:pPr>
      <w:r>
        <w:rPr>
          <w:rFonts w:ascii="Times New Roman" w:hAnsi="Times New Roman" w:eastAsia="Times New Roman" w:cs="Times New Roman"/>
          <w:sz w:val="24"/>
          <w:szCs w:val="24"/>
        </w:rPr>
        <w:t>experience and expertise were built. Many times the teams experienced ”alignmen</w:t>
      </w:r>
      <w:r>
        <w:rPr>
          <w:rFonts w:ascii="Times New Roman" w:hAnsi="Times New Roman" w:eastAsia="Times New Roman" w:cs="Times New Roman"/>
          <w:spacing w:val="-1"/>
          <w:sz w:val="24"/>
          <w:szCs w:val="24"/>
        </w:rPr>
        <w:t xml:space="preserve">t”, </w:t>
      </w:r>
      <w:r>
        <w:rPr>
          <w:rFonts w:ascii="Times New Roman" w:hAnsi="Times New Roman" w:eastAsia="Times New Roman" w:cs="Times New Roman"/>
          <w:i/>
          <w:iCs/>
          <w:spacing w:val="-1"/>
          <w:sz w:val="24"/>
          <w:szCs w:val="24"/>
        </w:rPr>
        <w:t>where the</w:t>
      </w:r>
      <w:r>
        <w:rPr>
          <w:rFonts w:ascii="Times New Roman" w:hAnsi="Times New Roman" w:eastAsia="Times New Roman" w:cs="Times New Roman"/>
          <w:i/>
          <w:iCs/>
          <w:sz w:val="24"/>
          <w:szCs w:val="24"/>
        </w:rPr>
        <w:t xml:space="preserve"> group as a whole becomes more insightful and intelligent than the</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individuals</w:t>
      </w:r>
      <w:r>
        <w:rPr>
          <w:rFonts w:ascii="Times New Roman" w:hAnsi="Times New Roman" w:eastAsia="Times New Roman" w:cs="Times New Roman"/>
          <w:i/>
          <w:iCs/>
          <w:spacing w:val="6"/>
          <w:sz w:val="24"/>
          <w:szCs w:val="24"/>
        </w:rPr>
        <w:t xml:space="preserve"> </w:t>
      </w:r>
      <w:r>
        <w:rPr>
          <w:rFonts w:ascii="Times New Roman" w:hAnsi="Times New Roman" w:eastAsia="Times New Roman" w:cs="Times New Roman"/>
          <w:i/>
          <w:iCs/>
          <w:sz w:val="24"/>
          <w:szCs w:val="24"/>
        </w:rPr>
        <w:t>al</w:t>
      </w:r>
      <w:r>
        <w:rPr>
          <w:rFonts w:ascii="Times New Roman" w:hAnsi="Times New Roman" w:eastAsia="Times New Roman" w:cs="Times New Roman"/>
          <w:i/>
          <w:iCs/>
          <w:spacing w:val="-1"/>
          <w:sz w:val="24"/>
          <w:szCs w:val="24"/>
        </w:rPr>
        <w:t>together</w:t>
      </w:r>
    </w:p>
    <w:p>
      <w:pPr>
        <w:spacing w:before="33" w:line="228" w:lineRule="auto"/>
        <w:ind w:left="1400"/>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u w:val="single" w:color="auto"/>
        </w:rPr>
        <w:t>Lagrosen, 2010</w:t>
      </w:r>
      <w:r>
        <w:rPr>
          <w:rFonts w:ascii="Times New Roman" w:hAnsi="Times New Roman" w:eastAsia="Times New Roman" w:cs="Times New Roman"/>
          <w:sz w:val="24"/>
          <w:szCs w:val="24"/>
        </w:rPr>
        <w:t>).</w:t>
      </w:r>
    </w:p>
    <w:p>
      <w:pPr>
        <w:spacing w:before="194" w:line="234" w:lineRule="auto"/>
        <w:ind w:left="1392" w:right="222" w:firstLine="5"/>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mapping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started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roughly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mapped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best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process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best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possible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worlds</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 xml:space="preserve"> which was refined several times using the WIL-model. In the WIL-model (</w:t>
      </w:r>
      <w:r>
        <w:rPr>
          <w:rFonts w:ascii="Times New Roman" w:hAnsi="Times New Roman" w:eastAsia="Times New Roman" w:cs="Times New Roman"/>
          <w:sz w:val="24"/>
          <w:szCs w:val="24"/>
          <w:u w:val="single" w:color="auto"/>
        </w:rPr>
        <w:t>Eriksson, 201</w:t>
      </w:r>
      <w:r>
        <w:rPr>
          <w:rFonts w:ascii="Times New Roman" w:hAnsi="Times New Roman" w:eastAsia="Times New Roman" w:cs="Times New Roman"/>
          <w:spacing w:val="-1"/>
          <w:sz w:val="24"/>
          <w:szCs w:val="24"/>
          <w:u w:val="single" w:color="auto"/>
        </w:rPr>
        <w:t>5</w:t>
      </w:r>
      <w:r>
        <w:rPr>
          <w:rFonts w:ascii="Times New Roman" w:hAnsi="Times New Roman" w:eastAsia="Times New Roman" w:cs="Times New Roman"/>
          <w:spacing w:val="-1"/>
          <w:sz w:val="24"/>
          <w:szCs w:val="24"/>
        </w:rPr>
        <w:t>)</w:t>
      </w:r>
    </w:p>
    <w:p>
      <w:pPr>
        <w:spacing w:before="14" w:line="228" w:lineRule="auto"/>
        <w:ind w:left="1393"/>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theory based knowledge is processed by productive reflection. New learning evolves, </w:t>
      </w:r>
      <w:r>
        <w:rPr>
          <w:rFonts w:ascii="Times New Roman" w:hAnsi="Times New Roman" w:eastAsia="Times New Roman" w:cs="Times New Roman"/>
          <w:spacing w:val="-1"/>
          <w:sz w:val="24"/>
          <w:szCs w:val="24"/>
        </w:rPr>
        <w:t>which</w:t>
      </w:r>
    </w:p>
    <w:p>
      <w:pPr>
        <w:spacing w:before="14" w:line="236" w:lineRule="auto"/>
        <w:ind w:left="1392" w:right="61" w:firstLine="5"/>
        <w:rPr>
          <w:rFonts w:ascii="Times New Roman" w:hAnsi="Times New Roman" w:eastAsia="Times New Roman" w:cs="Times New Roman"/>
          <w:sz w:val="24"/>
          <w:szCs w:val="24"/>
        </w:rPr>
      </w:pPr>
      <w:r>
        <w:rPr>
          <w:rFonts w:ascii="Times New Roman" w:hAnsi="Times New Roman" w:eastAsia="Times New Roman" w:cs="Times New Roman"/>
          <w:sz w:val="24"/>
          <w:szCs w:val="24"/>
        </w:rPr>
        <w:t>integrates in the work, and experience-based knowledge is processed an</w:t>
      </w:r>
      <w:r>
        <w:rPr>
          <w:rFonts w:ascii="Times New Roman" w:hAnsi="Times New Roman" w:eastAsia="Times New Roman" w:cs="Times New Roman"/>
          <w:spacing w:val="-1"/>
          <w:sz w:val="24"/>
          <w:szCs w:val="24"/>
        </w:rPr>
        <w:t xml:space="preserve">d thereby new profound  </w:t>
      </w:r>
      <w:r>
        <w:rPr>
          <w:rFonts w:ascii="Times New Roman" w:hAnsi="Times New Roman" w:eastAsia="Times New Roman" w:cs="Times New Roman"/>
          <w:sz w:val="24"/>
          <w:szCs w:val="24"/>
        </w:rPr>
        <w:t xml:space="preserve">knowledge is developed which in turn can be integrated in </w:t>
      </w:r>
      <w:r>
        <w:rPr>
          <w:rFonts w:ascii="Times New Roman" w:hAnsi="Times New Roman" w:eastAsia="Times New Roman" w:cs="Times New Roman"/>
          <w:spacing w:val="-1"/>
          <w:sz w:val="24"/>
          <w:szCs w:val="24"/>
        </w:rPr>
        <w:t>work</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as new</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competence.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During</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this</w:t>
      </w:r>
      <w:r>
        <w:rPr>
          <w:rFonts w:ascii="Times New Roman" w:hAnsi="Times New Roman" w:eastAsia="Times New Roman" w:cs="Times New Roman"/>
          <w:sz w:val="24"/>
          <w:szCs w:val="24"/>
        </w:rPr>
        <w:t xml:space="preserve"> modus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operandi</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need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University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common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glossary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also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became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clear</w:t>
      </w:r>
      <w:r>
        <w:rPr>
          <w:rFonts w:ascii="Times New Roman" w:hAnsi="Times New Roman" w:eastAsia="Times New Roman" w:cs="Times New Roman"/>
          <w:spacing w:val="1"/>
          <w:sz w:val="24"/>
          <w:szCs w:val="24"/>
        </w:rPr>
        <w:t>.</w:t>
      </w:r>
    </w:p>
    <w:p>
      <w:pPr>
        <w:spacing w:before="65" w:line="244" w:lineRule="auto"/>
        <w:ind w:left="1399" w:right="111" w:hanging="1"/>
        <w:rPr>
          <w:rFonts w:ascii="Times New Roman" w:hAnsi="Times New Roman" w:eastAsia="Times New Roman" w:cs="Times New Roman"/>
          <w:sz w:val="24"/>
          <w:szCs w:val="24"/>
        </w:rPr>
      </w:pPr>
      <w:r>
        <w:rPr>
          <w:rFonts w:ascii="Times New Roman" w:hAnsi="Times New Roman" w:eastAsia="Times New Roman" w:cs="Times New Roman"/>
          <w:sz w:val="24"/>
          <w:szCs w:val="24"/>
        </w:rPr>
        <w:t>The process mapping is ongoing fo</w:t>
      </w:r>
      <w:r>
        <w:rPr>
          <w:rFonts w:ascii="Times New Roman" w:hAnsi="Times New Roman" w:eastAsia="Times New Roman" w:cs="Times New Roman"/>
          <w:spacing w:val="-1"/>
          <w:sz w:val="24"/>
          <w:szCs w:val="24"/>
        </w:rPr>
        <w:t>r all four parts described</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Figure</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1"/>
          <w:sz w:val="24"/>
          <w:szCs w:val="24"/>
        </w:rPr>
        <w:t>1b:</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Management planning</w:t>
      </w:r>
      <w:r>
        <w:rPr>
          <w:rFonts w:ascii="Times New Roman" w:hAnsi="Times New Roman" w:eastAsia="Times New Roman" w:cs="Times New Roman"/>
          <w:sz w:val="24"/>
          <w:szCs w:val="24"/>
        </w:rPr>
        <w:t xml:space="preserve"> and control, Education, Research and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Support, with diff</w:t>
      </w:r>
      <w:r>
        <w:rPr>
          <w:rFonts w:ascii="Times New Roman" w:hAnsi="Times New Roman" w:eastAsia="Times New Roman" w:cs="Times New Roman"/>
          <w:spacing w:val="-1"/>
          <w:sz w:val="24"/>
          <w:szCs w:val="24"/>
        </w:rPr>
        <w:t>erent mapping-teams for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each part.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For</w:t>
      </w:r>
    </w:p>
    <w:p>
      <w:pPr>
        <w:spacing w:before="37" w:line="252" w:lineRule="auto"/>
        <w:ind w:left="1390" w:firstLine="9"/>
        <w:rPr>
          <w:rFonts w:ascii="Times New Roman" w:hAnsi="Times New Roman" w:eastAsia="Times New Roman" w:cs="Times New Roman"/>
          <w:sz w:val="24"/>
          <w:szCs w:val="24"/>
        </w:rPr>
      </w:pPr>
      <w:r>
        <w:rPr>
          <w:rFonts w:ascii="Times New Roman" w:hAnsi="Times New Roman" w:eastAsia="Times New Roman" w:cs="Times New Roman"/>
          <w:sz w:val="24"/>
          <w:szCs w:val="24"/>
        </w:rPr>
        <w:t>example, the Education-team, has had workshops (WS) approximatel</w:t>
      </w:r>
      <w:r>
        <w:rPr>
          <w:rFonts w:ascii="Times New Roman" w:hAnsi="Times New Roman" w:eastAsia="Times New Roman" w:cs="Times New Roman"/>
          <w:spacing w:val="-1"/>
          <w:sz w:val="24"/>
          <w:szCs w:val="24"/>
        </w:rPr>
        <w:t>y 3h/week, for over</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year</w:t>
      </w:r>
      <w:r>
        <w:rPr>
          <w:rFonts w:ascii="Times New Roman" w:hAnsi="Times New Roman" w:eastAsia="Times New Roman" w:cs="Times New Roman"/>
          <w:sz w:val="24"/>
          <w:szCs w:val="24"/>
        </w:rPr>
        <w:t xml:space="preserve">    with process-mapping support (</w:t>
      </w:r>
      <w:r>
        <w:rPr>
          <w:rFonts w:ascii="Times New Roman" w:hAnsi="Times New Roman" w:eastAsia="Times New Roman" w:cs="Times New Roman"/>
          <w:sz w:val="24"/>
          <w:szCs w:val="24"/>
          <w:u w:val="single" w:color="auto"/>
        </w:rPr>
        <w:t>Lindqvist</w:t>
      </w:r>
      <w:r>
        <w:rPr>
          <w:rFonts w:ascii="Times New Roman" w:hAnsi="Times New Roman" w:eastAsia="Times New Roman" w:cs="Times New Roman"/>
          <w:sz w:val="24"/>
          <w:szCs w:val="24"/>
        </w:rPr>
        <w:t>). An outline 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the first two</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steps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 xml:space="preserve">(figure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“Establish</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prerequisites” and “Plan”, from Education are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shown in</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figure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Figure 4</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shows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extra</w:t>
      </w:r>
      <w:r>
        <w:rPr>
          <w:rFonts w:ascii="Times New Roman" w:hAnsi="Times New Roman" w:eastAsia="Times New Roman" w:cs="Times New Roman"/>
          <w:spacing w:val="-2"/>
          <w:sz w:val="24"/>
          <w:szCs w:val="24"/>
        </w:rPr>
        <w:t>ct</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from step</w:t>
      </w:r>
      <w:r>
        <w:rPr>
          <w:rFonts w:ascii="Times New Roman" w:hAnsi="Times New Roman" w:eastAsia="Times New Roman" w:cs="Times New Roman"/>
          <w:spacing w:val="28"/>
          <w:w w:val="101"/>
          <w:sz w:val="24"/>
          <w:szCs w:val="24"/>
        </w:rPr>
        <w:t xml:space="preserve"> </w:t>
      </w:r>
      <w:r>
        <w:rPr>
          <w:rFonts w:ascii="Times New Roman" w:hAnsi="Times New Roman" w:eastAsia="Times New Roman" w:cs="Times New Roman"/>
          <w:spacing w:val="-1"/>
          <w:sz w:val="24"/>
          <w:szCs w:val="24"/>
        </w:rPr>
        <w:t>1, Education (in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wedish) built in the computer</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system VisAlfa</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VisAlfa</w:t>
      </w:r>
      <w:r>
        <w:rPr>
          <w:rFonts w:ascii="Times New Roman" w:hAnsi="Times New Roman" w:eastAsia="Times New Roman" w:cs="Times New Roman"/>
          <w:spacing w:val="-1"/>
          <w:sz w:val="24"/>
          <w:szCs w:val="24"/>
        </w:rPr>
        <w: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Each</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one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24"/>
          <w:sz w:val="24"/>
          <w:szCs w:val="24"/>
        </w:rPr>
        <w:t>f</w:t>
      </w:r>
      <w:r>
        <w:rPr>
          <w:rFonts w:ascii="Times New Roman" w:hAnsi="Times New Roman" w:eastAsia="Times New Roman" w:cs="Times New Roman"/>
          <w:sz w:val="24"/>
          <w:szCs w:val="24"/>
        </w:rPr>
        <w:t xml:space="preserve"> the sub-processes has one or two additional levels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ma</w:t>
      </w:r>
      <w:r>
        <w:rPr>
          <w:rFonts w:ascii="Times New Roman" w:hAnsi="Times New Roman" w:eastAsia="Times New Roman" w:cs="Times New Roman"/>
          <w:spacing w:val="-1"/>
          <w:sz w:val="24"/>
          <w:szCs w:val="24"/>
        </w:rPr>
        <w:t>pped.</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13" w:lineRule="exact"/>
        <w:ind w:firstLine="1151"/>
      </w:pPr>
      <w:r>
        <w:rPr>
          <w:position w:val="-4"/>
        </w:rPr>
        <w:drawing>
          <wp:inline distT="0" distB="0" distL="0" distR="0">
            <wp:extent cx="1849120" cy="13462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1110" w:bottom="100" w:left="48" w:header="0" w:footer="0" w:gutter="0"/>
          <w:cols w:space="720" w:num="1"/>
        </w:sectPr>
      </w:pPr>
    </w:p>
    <w:p>
      <w:pPr>
        <w:spacing w:before="13"/>
      </w:pPr>
      <w:r>
        <mc:AlternateContent>
          <mc:Choice Requires="wps">
            <w:drawing>
              <wp:anchor distT="0" distB="0" distL="0" distR="0" simplePos="0" relativeHeight="251777024"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220" name="TextBox 220"/>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0" o:spid="_x0000_s1026" o:spt="202" type="#_x0000_t202" style="position:absolute;left:0pt;margin-left:-120.15pt;margin-top:416.25pt;height:9.3pt;width:252.55pt;mso-position-horizontal-relative:page;mso-position-vertical-relative:page;rotation:-5898240f;z-index:251777024;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35Xy2wAAAAwBAAAPAAAAAAAAAAEAIAAAACIAAABkcnMvZG93&#10;bnJldi54bWxQSwECFAAUAAAACACHTuJAUMRvcTYCAABxBAAADgAAAAAAAAABACAAAAAqAQAAZHJz&#10;L2Uyb0RvYy54bWxQSwUGAAAAAAYABgBZAQAA0g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r>
        <w:drawing>
          <wp:anchor distT="0" distB="0" distL="0" distR="0" simplePos="0" relativeHeight="251776000" behindDoc="1" locked="0" layoutInCell="0" allowOverlap="1">
            <wp:simplePos x="0" y="0"/>
            <wp:positionH relativeFrom="page">
              <wp:posOffset>941705</wp:posOffset>
            </wp:positionH>
            <wp:positionV relativeFrom="page">
              <wp:posOffset>5817870</wp:posOffset>
            </wp:positionV>
            <wp:extent cx="4875530" cy="445135"/>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60"/>
                    <a:stretch>
                      <a:fillRect/>
                    </a:stretch>
                  </pic:blipFill>
                  <pic:spPr>
                    <a:xfrm>
                      <a:off x="0" y="0"/>
                      <a:ext cx="4875276" cy="445008"/>
                    </a:xfrm>
                    <a:prstGeom prst="rect">
                      <a:avLst/>
                    </a:prstGeom>
                  </pic:spPr>
                </pic:pic>
              </a:graphicData>
            </a:graphic>
          </wp:anchor>
        </w:drawing>
      </w:r>
    </w:p>
    <w:p>
      <w:pPr>
        <w:spacing w:before="13"/>
      </w:pPr>
    </w:p>
    <w:p>
      <w:pPr>
        <w:spacing w:before="12"/>
      </w:pPr>
    </w:p>
    <w:p>
      <w:pPr>
        <w:spacing w:before="12"/>
      </w:pPr>
    </w:p>
    <w:p>
      <w:pPr>
        <w:spacing w:before="12"/>
      </w:pPr>
    </w:p>
    <w:p>
      <w:pPr>
        <w:spacing w:before="12"/>
      </w:pPr>
    </w:p>
    <w:p>
      <w:pPr>
        <w:spacing w:before="12"/>
      </w:pPr>
    </w:p>
    <w:p>
      <w:pPr>
        <w:spacing w:before="12"/>
      </w:pPr>
    </w:p>
    <w:tbl>
      <w:tblPr>
        <w:tblStyle w:val="5"/>
        <w:tblW w:w="9170" w:type="dxa"/>
        <w:tblInd w:w="13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46"/>
        <w:gridCol w:w="44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2" w:hRule="atLeast"/>
        </w:trPr>
        <w:tc>
          <w:tcPr>
            <w:tcW w:w="9170" w:type="dxa"/>
            <w:gridSpan w:val="2"/>
            <w:tcBorders>
              <w:bottom w:val="nil"/>
            </w:tcBorders>
            <w:vAlign w:val="top"/>
          </w:tcPr>
          <w:p>
            <w:pPr>
              <w:spacing w:before="256" w:line="187" w:lineRule="auto"/>
              <w:ind w:left="530"/>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Step</w:t>
            </w:r>
            <w:r>
              <w:rPr>
                <w:rFonts w:ascii="Times New Roman" w:hAnsi="Times New Roman" w:eastAsia="Times New Roman" w:cs="Times New Roman"/>
                <w:b/>
                <w:bCs/>
                <w:spacing w:val="28"/>
                <w:sz w:val="24"/>
                <w:szCs w:val="24"/>
              </w:rPr>
              <w:t xml:space="preserve"> </w:t>
            </w:r>
            <w:r>
              <w:rPr>
                <w:rFonts w:ascii="Times New Roman" w:hAnsi="Times New Roman" w:eastAsia="Times New Roman" w:cs="Times New Roman"/>
                <w:b/>
                <w:bCs/>
                <w:spacing w:val="-1"/>
                <w:sz w:val="24"/>
                <w:szCs w:val="24"/>
              </w:rPr>
              <w:t>1: Establish prerequisites, Education</w:t>
            </w:r>
          </w:p>
          <w:p>
            <w:pPr>
              <w:spacing w:before="8" w:line="228" w:lineRule="auto"/>
              <w:ind w:left="523"/>
              <w:rPr>
                <w:rFonts w:ascii="Times New Roman" w:hAnsi="Times New Roman" w:eastAsia="Times New Roman" w:cs="Times New Roman"/>
                <w:sz w:val="24"/>
                <w:szCs w:val="24"/>
              </w:rPr>
            </w:pPr>
            <w:r>
              <w:rPr>
                <w:rFonts w:ascii="Times New Roman" w:hAnsi="Times New Roman" w:eastAsia="Times New Roman" w:cs="Times New Roman"/>
                <w:b/>
                <w:bCs/>
                <w:sz w:val="24"/>
                <w:szCs w:val="24"/>
              </w:rPr>
              <w:t>-</w:t>
            </w:r>
            <w:r>
              <w:rPr>
                <w:rFonts w:ascii="Times New Roman" w:hAnsi="Times New Roman" w:eastAsia="Times New Roman" w:cs="Times New Roman"/>
                <w:sz w:val="24"/>
                <w:szCs w:val="24"/>
              </w:rPr>
              <w:t>with respect to Legal rules and regulations for public au</w:t>
            </w:r>
            <w:r>
              <w:rPr>
                <w:rFonts w:ascii="Times New Roman" w:hAnsi="Times New Roman" w:eastAsia="Times New Roman" w:cs="Times New Roman"/>
                <w:spacing w:val="-1"/>
                <w:sz w:val="24"/>
                <w:szCs w:val="24"/>
              </w:rPr>
              <w:t>thorities 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Local</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1"/>
                <w:sz w:val="24"/>
                <w:szCs w:val="24"/>
              </w:rPr>
              <w:t>steering</w:t>
            </w:r>
          </w:p>
          <w:p>
            <w:pPr>
              <w:spacing w:before="210" w:line="187" w:lineRule="auto"/>
              <w:ind w:left="506"/>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Sub processes:</w:t>
            </w:r>
          </w:p>
          <w:p>
            <w:pPr>
              <w:spacing w:before="27" w:line="182" w:lineRule="auto"/>
              <w:ind w:left="635"/>
              <w:rPr>
                <w:rFonts w:ascii="Times New Roman" w:hAnsi="Times New Roman" w:eastAsia="Times New Roman" w:cs="Times New Roman"/>
                <w:sz w:val="24"/>
                <w:szCs w:val="24"/>
              </w:rPr>
            </w:pPr>
            <w:r>
              <w:rPr>
                <w:rFonts w:ascii="Malgun Gothic" w:hAnsi="Malgun Gothic" w:eastAsia="Malgun Gothic" w:cs="Malgun Gothic"/>
                <w:sz w:val="24"/>
                <w:szCs w:val="24"/>
              </w:rPr>
              <w:t xml:space="preserve">⇒    </w:t>
            </w:r>
            <w:r>
              <w:rPr>
                <w:rFonts w:ascii="Times New Roman" w:hAnsi="Times New Roman" w:eastAsia="Times New Roman" w:cs="Times New Roman"/>
                <w:sz w:val="24"/>
                <w:szCs w:val="24"/>
              </w:rPr>
              <w:t>Prepare computer system</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for building</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syllabuses</w:t>
            </w:r>
          </w:p>
          <w:p>
            <w:pPr>
              <w:spacing w:before="1" w:line="181" w:lineRule="auto"/>
              <w:ind w:left="635"/>
              <w:rPr>
                <w:rFonts w:ascii="Times New Roman" w:hAnsi="Times New Roman" w:eastAsia="Times New Roman" w:cs="Times New Roman"/>
                <w:sz w:val="24"/>
                <w:szCs w:val="24"/>
              </w:rPr>
            </w:pPr>
            <w:r>
              <w:rPr>
                <w:rFonts w:ascii="Malgun Gothic" w:hAnsi="Malgun Gothic" w:eastAsia="Malgun Gothic" w:cs="Malgun Gothic"/>
                <w:spacing w:val="2"/>
                <w:sz w:val="24"/>
                <w:szCs w:val="24"/>
              </w:rPr>
              <w:t xml:space="preserve">⇒    </w:t>
            </w:r>
            <w:r>
              <w:rPr>
                <w:rFonts w:ascii="Times New Roman" w:hAnsi="Times New Roman" w:eastAsia="Times New Roman" w:cs="Times New Roman"/>
                <w:sz w:val="24"/>
                <w:szCs w:val="24"/>
              </w:rPr>
              <w:t>Create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presentation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text</w:t>
            </w:r>
          </w:p>
          <w:p>
            <w:pPr>
              <w:spacing w:before="2" w:line="182" w:lineRule="auto"/>
              <w:ind w:left="635"/>
              <w:rPr>
                <w:rFonts w:ascii="Times New Roman" w:hAnsi="Times New Roman" w:eastAsia="Times New Roman" w:cs="Times New Roman"/>
                <w:sz w:val="24"/>
                <w:szCs w:val="24"/>
              </w:rPr>
            </w:pPr>
            <w:r>
              <w:rPr>
                <w:rFonts w:ascii="Malgun Gothic" w:hAnsi="Malgun Gothic" w:eastAsia="Malgun Gothic" w:cs="Malgun Gothic"/>
                <w:sz w:val="24"/>
                <w:szCs w:val="24"/>
              </w:rPr>
              <w:t xml:space="preserve">⇒    </w:t>
            </w:r>
            <w:r>
              <w:rPr>
                <w:rFonts w:ascii="Times New Roman" w:hAnsi="Times New Roman" w:eastAsia="Times New Roman" w:cs="Times New Roman"/>
                <w:sz w:val="24"/>
                <w:szCs w:val="24"/>
              </w:rPr>
              <w:t>Build programme occasion (computer</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system)</w:t>
            </w:r>
          </w:p>
          <w:p>
            <w:pPr>
              <w:spacing w:line="182" w:lineRule="auto"/>
              <w:ind w:left="635"/>
              <w:rPr>
                <w:rFonts w:ascii="Times New Roman" w:hAnsi="Times New Roman" w:eastAsia="Times New Roman" w:cs="Times New Roman"/>
                <w:sz w:val="24"/>
                <w:szCs w:val="24"/>
              </w:rPr>
            </w:pPr>
            <w:r>
              <w:rPr>
                <w:rFonts w:ascii="Malgun Gothic" w:hAnsi="Malgun Gothic" w:eastAsia="Malgun Gothic" w:cs="Malgun Gothic"/>
                <w:sz w:val="24"/>
                <w:szCs w:val="24"/>
              </w:rPr>
              <w:t xml:space="preserve">⇒    </w:t>
            </w:r>
            <w:r>
              <w:rPr>
                <w:rFonts w:ascii="Times New Roman" w:hAnsi="Times New Roman" w:eastAsia="Times New Roman" w:cs="Times New Roman"/>
                <w:sz w:val="24"/>
                <w:szCs w:val="24"/>
              </w:rPr>
              <w:t>Prepare programme syllabus (legal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document)</w:t>
            </w:r>
          </w:p>
          <w:p>
            <w:pPr>
              <w:spacing w:before="1" w:line="182" w:lineRule="auto"/>
              <w:ind w:left="635"/>
              <w:rPr>
                <w:rFonts w:ascii="Times New Roman" w:hAnsi="Times New Roman" w:eastAsia="Times New Roman" w:cs="Times New Roman"/>
                <w:sz w:val="24"/>
                <w:szCs w:val="24"/>
              </w:rPr>
            </w:pPr>
            <w:r>
              <w:rPr>
                <w:rFonts w:ascii="Malgun Gothic" w:hAnsi="Malgun Gothic" w:eastAsia="Malgun Gothic" w:cs="Malgun Gothic"/>
                <w:sz w:val="24"/>
                <w:szCs w:val="24"/>
              </w:rPr>
              <w:t xml:space="preserve">⇒    </w:t>
            </w:r>
            <w:r>
              <w:rPr>
                <w:rFonts w:ascii="Times New Roman" w:hAnsi="Times New Roman" w:eastAsia="Times New Roman" w:cs="Times New Roman"/>
                <w:sz w:val="24"/>
                <w:szCs w:val="24"/>
              </w:rPr>
              <w:t>Prepare course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syll</w:t>
            </w:r>
            <w:r>
              <w:rPr>
                <w:rFonts w:ascii="Times New Roman" w:hAnsi="Times New Roman" w:eastAsia="Times New Roman" w:cs="Times New Roman"/>
                <w:spacing w:val="-1"/>
                <w:sz w:val="24"/>
                <w:szCs w:val="24"/>
              </w:rPr>
              <w:t>abus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(legal</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document)</w:t>
            </w:r>
          </w:p>
          <w:p>
            <w:pPr>
              <w:spacing w:before="1" w:line="183" w:lineRule="auto"/>
              <w:ind w:left="635"/>
              <w:rPr>
                <w:rFonts w:ascii="Times New Roman" w:hAnsi="Times New Roman" w:eastAsia="Times New Roman" w:cs="Times New Roman"/>
                <w:sz w:val="24"/>
                <w:szCs w:val="24"/>
              </w:rPr>
            </w:pPr>
            <w:r>
              <w:rPr>
                <w:rFonts w:ascii="Malgun Gothic" w:hAnsi="Malgun Gothic" w:eastAsia="Malgun Gothic" w:cs="Malgun Gothic"/>
                <w:spacing w:val="1"/>
                <w:sz w:val="24"/>
                <w:szCs w:val="24"/>
              </w:rPr>
              <w:t xml:space="preserve">⇒    </w:t>
            </w:r>
            <w:r>
              <w:rPr>
                <w:rFonts w:ascii="Times New Roman" w:hAnsi="Times New Roman" w:eastAsia="Times New Roman" w:cs="Times New Roman"/>
                <w:sz w:val="24"/>
                <w:szCs w:val="24"/>
              </w:rPr>
              <w:t>Establish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prerequisites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placement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6" w:hRule="atLeast"/>
        </w:trPr>
        <w:tc>
          <w:tcPr>
            <w:tcW w:w="4746" w:type="dxa"/>
            <w:tcBorders>
              <w:top w:val="nil"/>
              <w:right w:val="nil"/>
            </w:tcBorders>
            <w:vAlign w:val="top"/>
          </w:tcPr>
          <w:p>
            <w:pPr>
              <w:spacing w:before="292" w:line="234" w:lineRule="auto"/>
              <w:ind w:left="454" w:right="434" w:hanging="6"/>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Legal rules and regulat</w:t>
            </w:r>
            <w:r>
              <w:rPr>
                <w:rFonts w:ascii="Times New Roman" w:hAnsi="Times New Roman" w:eastAsia="Times New Roman" w:cs="Times New Roman"/>
                <w:b/>
                <w:bCs/>
                <w:spacing w:val="-1"/>
                <w:sz w:val="24"/>
                <w:szCs w:val="24"/>
              </w:rPr>
              <w:t>ions</w:t>
            </w:r>
            <w:r>
              <w:rPr>
                <w:rFonts w:ascii="Times New Roman" w:hAnsi="Times New Roman" w:eastAsia="Times New Roman" w:cs="Times New Roman"/>
                <w:b/>
                <w:bCs/>
                <w:spacing w:val="8"/>
                <w:sz w:val="24"/>
                <w:szCs w:val="24"/>
              </w:rPr>
              <w:t xml:space="preserve"> </w:t>
            </w:r>
            <w:r>
              <w:rPr>
                <w:rFonts w:ascii="Times New Roman" w:hAnsi="Times New Roman" w:eastAsia="Times New Roman" w:cs="Times New Roman"/>
                <w:b/>
                <w:bCs/>
                <w:spacing w:val="-1"/>
                <w:sz w:val="24"/>
                <w:szCs w:val="24"/>
              </w:rPr>
              <w:t>for</w:t>
            </w:r>
            <w:r>
              <w:rPr>
                <w:rFonts w:ascii="Times New Roman" w:hAnsi="Times New Roman" w:eastAsia="Times New Roman" w:cs="Times New Roman"/>
                <w:b/>
                <w:bCs/>
                <w:spacing w:val="4"/>
                <w:sz w:val="24"/>
                <w:szCs w:val="24"/>
              </w:rPr>
              <w:t xml:space="preserve"> </w:t>
            </w:r>
            <w:r>
              <w:rPr>
                <w:rFonts w:ascii="Times New Roman" w:hAnsi="Times New Roman" w:eastAsia="Times New Roman" w:cs="Times New Roman"/>
                <w:b/>
                <w:bCs/>
                <w:spacing w:val="-1"/>
                <w:sz w:val="24"/>
                <w:szCs w:val="24"/>
              </w:rPr>
              <w:t>public</w:t>
            </w: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pacing w:val="-1"/>
                <w:sz w:val="24"/>
                <w:szCs w:val="24"/>
              </w:rPr>
              <w:t>authorities:</w:t>
            </w:r>
          </w:p>
          <w:p>
            <w:pPr>
              <w:spacing w:before="4" w:line="190" w:lineRule="auto"/>
              <w:ind w:left="80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Higher Education Act,</w:t>
            </w:r>
          </w:p>
          <w:p>
            <w:pPr>
              <w:spacing w:before="57" w:line="190" w:lineRule="auto"/>
              <w:ind w:left="805"/>
              <w:rPr>
                <w:rFonts w:ascii="Times New Roman" w:hAnsi="Times New Roman" w:eastAsia="Times New Roman" w:cs="Times New Roman"/>
                <w:sz w:val="24"/>
                <w:szCs w:val="24"/>
              </w:rPr>
            </w:pPr>
            <w:r>
              <w:rPr>
                <w:rFonts w:ascii="Times New Roman" w:hAnsi="Times New Roman" w:eastAsia="Times New Roman" w:cs="Times New Roman"/>
                <w:sz w:val="24"/>
                <w:szCs w:val="24"/>
              </w:rPr>
              <w:t>Higher Education Ordi</w:t>
            </w:r>
            <w:r>
              <w:rPr>
                <w:rFonts w:ascii="Times New Roman" w:hAnsi="Times New Roman" w:eastAsia="Times New Roman" w:cs="Times New Roman"/>
                <w:spacing w:val="-1"/>
                <w:sz w:val="24"/>
                <w:szCs w:val="24"/>
              </w:rPr>
              <w:t>nance,</w:t>
            </w:r>
          </w:p>
          <w:p>
            <w:pPr>
              <w:spacing w:before="13" w:line="234" w:lineRule="auto"/>
              <w:ind w:left="810" w:right="680"/>
              <w:rPr>
                <w:rFonts w:ascii="Times New Roman" w:hAnsi="Times New Roman" w:eastAsia="Times New Roman" w:cs="Times New Roman"/>
                <w:sz w:val="24"/>
                <w:szCs w:val="24"/>
              </w:rPr>
            </w:pPr>
            <w:r>
              <w:rPr>
                <w:rFonts w:ascii="Times New Roman" w:hAnsi="Times New Roman" w:eastAsia="Times New Roman" w:cs="Times New Roman"/>
                <w:sz w:val="24"/>
                <w:szCs w:val="24"/>
              </w:rPr>
              <w:t>Confirmed admission regu</w:t>
            </w:r>
            <w:r>
              <w:rPr>
                <w:rFonts w:ascii="Times New Roman" w:hAnsi="Times New Roman" w:eastAsia="Times New Roman" w:cs="Times New Roman"/>
                <w:spacing w:val="-1"/>
                <w:sz w:val="24"/>
                <w:szCs w:val="24"/>
              </w:rPr>
              <w:t>lations,</w:t>
            </w:r>
            <w:r>
              <w:rPr>
                <w:rFonts w:ascii="Times New Roman" w:hAnsi="Times New Roman" w:eastAsia="Times New Roman" w:cs="Times New Roman"/>
                <w:sz w:val="24"/>
                <w:szCs w:val="24"/>
              </w:rPr>
              <w:t xml:space="preserve"> Confirmed programme </w:t>
            </w:r>
            <w:r>
              <w:rPr>
                <w:rFonts w:ascii="Times New Roman" w:hAnsi="Times New Roman" w:eastAsia="Times New Roman" w:cs="Times New Roman"/>
                <w:spacing w:val="-1"/>
                <w:sz w:val="24"/>
                <w:szCs w:val="24"/>
              </w:rPr>
              <w:t>supply,</w:t>
            </w:r>
          </w:p>
          <w:p>
            <w:pPr>
              <w:spacing w:before="23" w:line="228" w:lineRule="auto"/>
              <w:ind w:left="81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Confirmed course supply</w:t>
            </w:r>
          </w:p>
        </w:tc>
        <w:tc>
          <w:tcPr>
            <w:tcW w:w="4424" w:type="dxa"/>
            <w:tcBorders>
              <w:top w:val="nil"/>
              <w:left w:val="nil"/>
            </w:tcBorders>
            <w:vAlign w:val="top"/>
          </w:tcPr>
          <w:p>
            <w:pPr>
              <w:spacing w:before="194" w:line="186" w:lineRule="auto"/>
              <w:ind w:left="435"/>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Local steering docum</w:t>
            </w:r>
            <w:r>
              <w:rPr>
                <w:rFonts w:ascii="Times New Roman" w:hAnsi="Times New Roman" w:eastAsia="Times New Roman" w:cs="Times New Roman"/>
                <w:b/>
                <w:bCs/>
                <w:spacing w:val="-1"/>
                <w:sz w:val="24"/>
                <w:szCs w:val="24"/>
              </w:rPr>
              <w:t>ents:</w:t>
            </w:r>
          </w:p>
          <w:p>
            <w:pPr>
              <w:spacing w:before="52" w:line="202" w:lineRule="auto"/>
              <w:ind w:left="79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Vision,</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Strategies, Budget,</w:t>
            </w:r>
          </w:p>
          <w:p>
            <w:pPr>
              <w:spacing w:line="228" w:lineRule="auto"/>
              <w:ind w:left="79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Operational plans</w:t>
            </w:r>
          </w:p>
          <w:p>
            <w:pPr>
              <w:spacing w:before="13" w:line="234" w:lineRule="auto"/>
              <w:ind w:left="796" w:right="364" w:hanging="4"/>
              <w:rPr>
                <w:rFonts w:ascii="Times New Roman" w:hAnsi="Times New Roman" w:eastAsia="Times New Roman" w:cs="Times New Roman"/>
                <w:sz w:val="24"/>
                <w:szCs w:val="24"/>
              </w:rPr>
            </w:pPr>
            <w:r>
              <w:rPr>
                <w:rFonts w:ascii="Times New Roman" w:hAnsi="Times New Roman" w:eastAsia="Times New Roman" w:cs="Times New Roman"/>
                <w:sz w:val="24"/>
                <w:szCs w:val="24"/>
              </w:rPr>
              <w:t>Framework agreement, p</w:t>
            </w:r>
            <w:r>
              <w:rPr>
                <w:rFonts w:ascii="Times New Roman" w:hAnsi="Times New Roman" w:eastAsia="Times New Roman" w:cs="Times New Roman"/>
                <w:spacing w:val="-1"/>
                <w:sz w:val="24"/>
                <w:szCs w:val="24"/>
              </w:rPr>
              <w:t>lacement</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Guidelines for programme</w:t>
            </w:r>
          </w:p>
          <w:p>
            <w:pPr>
              <w:spacing w:before="13" w:line="234" w:lineRule="auto"/>
              <w:ind w:left="796" w:right="71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Guidelines for course</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pacing w:val="-1"/>
                <w:sz w:val="24"/>
                <w:szCs w:val="24"/>
              </w:rPr>
              <w:t>syllabus</w:t>
            </w:r>
            <w:r>
              <w:rPr>
                <w:rFonts w:ascii="Times New Roman" w:hAnsi="Times New Roman" w:eastAsia="Times New Roman" w:cs="Times New Roman"/>
                <w:sz w:val="24"/>
                <w:szCs w:val="24"/>
              </w:rPr>
              <w:t xml:space="preserve"> Guidelines for degree</w:t>
            </w:r>
            <w:r>
              <w:rPr>
                <w:rFonts w:ascii="Times New Roman" w:hAnsi="Times New Roman" w:eastAsia="Times New Roman" w:cs="Times New Roman"/>
                <w:spacing w:val="-1"/>
                <w:sz w:val="24"/>
                <w:szCs w:val="24"/>
              </w:rPr>
              <w:t xml:space="preserve"> project.</w:t>
            </w:r>
          </w:p>
        </w:tc>
      </w:tr>
    </w:tbl>
    <w:p>
      <w:pPr>
        <w:spacing w:before="30" w:line="248" w:lineRule="auto"/>
        <w:ind w:left="2120" w:firstLine="5"/>
        <w:jc w:val="both"/>
        <w:rPr>
          <w:rFonts w:ascii="Times New Roman" w:hAnsi="Times New Roman" w:eastAsia="Times New Roman" w:cs="Times New Roman"/>
          <w:sz w:val="19"/>
          <w:szCs w:val="19"/>
        </w:rPr>
      </w:pPr>
      <w:r>
        <w:pict>
          <v:shape id="_x0000_s1128" o:spid="_x0000_s1128" o:spt="202" type="#_x0000_t202" style="position:absolute;left:0pt;margin-left:50.7pt;margin-top:2.3pt;height:11.1pt;width:37.95pt;z-index:251778048;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Times New Roman" w:hAnsi="Times New Roman" w:eastAsia="Times New Roman" w:cs="Times New Roman"/>
                      <w:sz w:val="19"/>
                      <w:szCs w:val="19"/>
                    </w:rPr>
                  </w:pPr>
                  <w:r>
                    <w:rPr>
                      <w:rFonts w:ascii="Times New Roman" w:hAnsi="Times New Roman" w:eastAsia="Times New Roman" w:cs="Times New Roman"/>
                      <w:sz w:val="19"/>
                      <w:szCs w:val="19"/>
                    </w:rPr>
                    <w:t>Figure</w:t>
                  </w:r>
                  <w:r>
                    <w:rPr>
                      <w:rFonts w:ascii="Times New Roman" w:hAnsi="Times New Roman" w:eastAsia="Times New Roman" w:cs="Times New Roman"/>
                      <w:spacing w:val="11"/>
                      <w:sz w:val="19"/>
                      <w:szCs w:val="19"/>
                    </w:rPr>
                    <w:t xml:space="preserve"> </w:t>
                  </w:r>
                  <w:r>
                    <w:rPr>
                      <w:rFonts w:ascii="Times New Roman" w:hAnsi="Times New Roman" w:eastAsia="Times New Roman" w:cs="Times New Roman"/>
                      <w:spacing w:val="10"/>
                      <w:sz w:val="19"/>
                      <w:szCs w:val="19"/>
                    </w:rPr>
                    <w:t>3.</w:t>
                  </w:r>
                </w:p>
              </w:txbxContent>
            </v:textbox>
          </v:shape>
        </w:pict>
      </w:r>
      <w:r>
        <w:rPr>
          <w:rFonts w:ascii="Times New Roman" w:hAnsi="Times New Roman" w:eastAsia="Times New Roman" w:cs="Times New Roman"/>
          <w:spacing w:val="4"/>
          <w:sz w:val="19"/>
          <w:szCs w:val="19"/>
        </w:rPr>
        <w:t>Shows an outline of</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pacing w:val="4"/>
          <w:sz w:val="19"/>
          <w:szCs w:val="19"/>
        </w:rPr>
        <w:t>the first level of</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pacing w:val="4"/>
          <w:sz w:val="19"/>
          <w:szCs w:val="19"/>
        </w:rPr>
        <w:t>the</w:t>
      </w:r>
      <w:r>
        <w:rPr>
          <w:rFonts w:ascii="Times New Roman" w:hAnsi="Times New Roman" w:eastAsia="Times New Roman" w:cs="Times New Roman"/>
          <w:spacing w:val="7"/>
          <w:sz w:val="19"/>
          <w:szCs w:val="19"/>
        </w:rPr>
        <w:t xml:space="preserve"> </w:t>
      </w:r>
      <w:r>
        <w:rPr>
          <w:rFonts w:ascii="Times New Roman" w:hAnsi="Times New Roman" w:eastAsia="Times New Roman" w:cs="Times New Roman"/>
          <w:spacing w:val="4"/>
          <w:sz w:val="19"/>
          <w:szCs w:val="19"/>
        </w:rPr>
        <w:t>Education-process,</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pacing w:val="4"/>
          <w:sz w:val="19"/>
          <w:szCs w:val="19"/>
        </w:rPr>
        <w:t>step:</w:t>
      </w:r>
      <w:r>
        <w:rPr>
          <w:rFonts w:ascii="Times New Roman" w:hAnsi="Times New Roman" w:eastAsia="Times New Roman" w:cs="Times New Roman"/>
          <w:spacing w:val="9"/>
          <w:sz w:val="19"/>
          <w:szCs w:val="19"/>
        </w:rPr>
        <w:t xml:space="preserve"> </w:t>
      </w:r>
      <w:r>
        <w:rPr>
          <w:rFonts w:ascii="Times New Roman" w:hAnsi="Times New Roman" w:eastAsia="Times New Roman" w:cs="Times New Roman"/>
          <w:spacing w:val="4"/>
          <w:sz w:val="19"/>
          <w:szCs w:val="19"/>
        </w:rPr>
        <w:t>“Establish prerequisites”.</w:t>
      </w:r>
      <w:r>
        <w:rPr>
          <w:rFonts w:ascii="Times New Roman" w:hAnsi="Times New Roman" w:eastAsia="Times New Roman" w:cs="Times New Roman"/>
          <w:spacing w:val="8"/>
          <w:sz w:val="19"/>
          <w:szCs w:val="19"/>
        </w:rPr>
        <w:t xml:space="preserve"> </w:t>
      </w:r>
      <w:r>
        <w:rPr>
          <w:rFonts w:ascii="Times New Roman" w:hAnsi="Times New Roman" w:eastAsia="Times New Roman" w:cs="Times New Roman"/>
          <w:spacing w:val="4"/>
          <w:sz w:val="19"/>
          <w:szCs w:val="19"/>
        </w:rPr>
        <w:t>Each</w:t>
      </w:r>
      <w:r>
        <w:rPr>
          <w:rFonts w:ascii="Times New Roman" w:hAnsi="Times New Roman" w:eastAsia="Times New Roman" w:cs="Times New Roman"/>
          <w:spacing w:val="9"/>
          <w:sz w:val="19"/>
          <w:szCs w:val="19"/>
        </w:rPr>
        <w:t xml:space="preserve"> </w:t>
      </w:r>
      <w:r>
        <w:rPr>
          <w:rFonts w:ascii="Times New Roman" w:hAnsi="Times New Roman" w:eastAsia="Times New Roman" w:cs="Times New Roman"/>
          <w:spacing w:val="4"/>
          <w:sz w:val="19"/>
          <w:szCs w:val="19"/>
        </w:rPr>
        <w:t>one</w:t>
      </w:r>
      <w:r>
        <w:rPr>
          <w:rFonts w:ascii="Times New Roman" w:hAnsi="Times New Roman" w:eastAsia="Times New Roman" w:cs="Times New Roman"/>
          <w:spacing w:val="10"/>
          <w:sz w:val="19"/>
          <w:szCs w:val="19"/>
        </w:rPr>
        <w:t xml:space="preserve"> </w:t>
      </w:r>
      <w:r>
        <w:rPr>
          <w:rFonts w:ascii="Times New Roman" w:hAnsi="Times New Roman" w:eastAsia="Times New Roman" w:cs="Times New Roman"/>
          <w:spacing w:val="4"/>
          <w:sz w:val="19"/>
          <w:szCs w:val="19"/>
        </w:rPr>
        <w:t>of</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pacing w:val="4"/>
          <w:sz w:val="19"/>
          <w:szCs w:val="19"/>
        </w:rPr>
        <w:t>the</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4"/>
          <w:sz w:val="19"/>
          <w:szCs w:val="19"/>
        </w:rPr>
        <w:t>sub-processes has one or two additional levels mapped. In the</w:t>
      </w:r>
      <w:r>
        <w:rPr>
          <w:rFonts w:ascii="Times New Roman" w:hAnsi="Times New Roman" w:eastAsia="Times New Roman" w:cs="Times New Roman"/>
          <w:spacing w:val="3"/>
          <w:sz w:val="19"/>
          <w:szCs w:val="19"/>
        </w:rPr>
        <w:t xml:space="preserve"> </w:t>
      </w:r>
      <w:r>
        <w:rPr>
          <w:rFonts w:ascii="Times New Roman" w:hAnsi="Times New Roman" w:eastAsia="Times New Roman" w:cs="Times New Roman"/>
          <w:spacing w:val="4"/>
          <w:sz w:val="19"/>
          <w:szCs w:val="19"/>
        </w:rPr>
        <w:t>bottom</w:t>
      </w:r>
      <w:r>
        <w:rPr>
          <w:rFonts w:ascii="Times New Roman" w:hAnsi="Times New Roman" w:eastAsia="Times New Roman" w:cs="Times New Roman"/>
          <w:spacing w:val="6"/>
          <w:sz w:val="19"/>
          <w:szCs w:val="19"/>
        </w:rPr>
        <w:t xml:space="preserve"> </w:t>
      </w:r>
      <w:r>
        <w:rPr>
          <w:rFonts w:ascii="Times New Roman" w:hAnsi="Times New Roman" w:eastAsia="Times New Roman" w:cs="Times New Roman"/>
          <w:spacing w:val="4"/>
          <w:sz w:val="19"/>
          <w:szCs w:val="19"/>
        </w:rPr>
        <w:t>of</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pacing w:val="4"/>
          <w:sz w:val="19"/>
          <w:szCs w:val="19"/>
        </w:rPr>
        <w:t>the</w:t>
      </w:r>
      <w:r>
        <w:rPr>
          <w:rFonts w:ascii="Times New Roman" w:hAnsi="Times New Roman" w:eastAsia="Times New Roman" w:cs="Times New Roman"/>
          <w:spacing w:val="11"/>
          <w:sz w:val="19"/>
          <w:szCs w:val="19"/>
        </w:rPr>
        <w:t xml:space="preserve"> </w:t>
      </w:r>
      <w:r>
        <w:rPr>
          <w:rFonts w:ascii="Times New Roman" w:hAnsi="Times New Roman" w:eastAsia="Times New Roman" w:cs="Times New Roman"/>
          <w:spacing w:val="4"/>
          <w:sz w:val="19"/>
          <w:szCs w:val="19"/>
        </w:rPr>
        <w:t>figure</w:t>
      </w:r>
      <w:r>
        <w:rPr>
          <w:rFonts w:ascii="Times New Roman" w:hAnsi="Times New Roman" w:eastAsia="Times New Roman" w:cs="Times New Roman"/>
          <w:spacing w:val="10"/>
          <w:sz w:val="19"/>
          <w:szCs w:val="19"/>
        </w:rPr>
        <w:t xml:space="preserve"> </w:t>
      </w:r>
      <w:r>
        <w:rPr>
          <w:rFonts w:ascii="Times New Roman" w:hAnsi="Times New Roman" w:eastAsia="Times New Roman" w:cs="Times New Roman"/>
          <w:spacing w:val="4"/>
          <w:sz w:val="19"/>
          <w:szCs w:val="19"/>
        </w:rPr>
        <w:t>are</w:t>
      </w:r>
      <w:r>
        <w:rPr>
          <w:rFonts w:ascii="Times New Roman" w:hAnsi="Times New Roman" w:eastAsia="Times New Roman" w:cs="Times New Roman"/>
          <w:spacing w:val="6"/>
          <w:sz w:val="19"/>
          <w:szCs w:val="19"/>
        </w:rPr>
        <w:t xml:space="preserve"> </w:t>
      </w:r>
      <w:r>
        <w:rPr>
          <w:rFonts w:ascii="Times New Roman" w:hAnsi="Times New Roman" w:eastAsia="Times New Roman" w:cs="Times New Roman"/>
          <w:spacing w:val="4"/>
          <w:sz w:val="19"/>
          <w:szCs w:val="19"/>
        </w:rPr>
        <w:t>the</w:t>
      </w:r>
      <w:r>
        <w:rPr>
          <w:rFonts w:ascii="Times New Roman" w:hAnsi="Times New Roman" w:eastAsia="Times New Roman" w:cs="Times New Roman"/>
          <w:spacing w:val="12"/>
          <w:sz w:val="19"/>
          <w:szCs w:val="19"/>
        </w:rPr>
        <w:t xml:space="preserve"> </w:t>
      </w:r>
      <w:r>
        <w:rPr>
          <w:rFonts w:ascii="Times New Roman" w:hAnsi="Times New Roman" w:eastAsia="Times New Roman" w:cs="Times New Roman"/>
          <w:spacing w:val="4"/>
          <w:sz w:val="19"/>
          <w:szCs w:val="19"/>
        </w:rPr>
        <w:t>l</w:t>
      </w:r>
      <w:r>
        <w:rPr>
          <w:rFonts w:ascii="Times New Roman" w:hAnsi="Times New Roman" w:eastAsia="Times New Roman" w:cs="Times New Roman"/>
          <w:spacing w:val="3"/>
          <w:sz w:val="19"/>
          <w:szCs w:val="19"/>
        </w:rPr>
        <w:t>aws,</w:t>
      </w:r>
      <w:r>
        <w:rPr>
          <w:rFonts w:ascii="Times New Roman" w:hAnsi="Times New Roman" w:eastAsia="Times New Roman" w:cs="Times New Roman"/>
          <w:spacing w:val="5"/>
          <w:sz w:val="19"/>
          <w:szCs w:val="19"/>
        </w:rPr>
        <w:t xml:space="preserve"> </w:t>
      </w:r>
      <w:r>
        <w:rPr>
          <w:rFonts w:ascii="Times New Roman" w:hAnsi="Times New Roman" w:eastAsia="Times New Roman" w:cs="Times New Roman"/>
          <w:spacing w:val="3"/>
          <w:sz w:val="19"/>
          <w:szCs w:val="19"/>
        </w:rPr>
        <w:t>regulations</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4"/>
          <w:sz w:val="19"/>
          <w:szCs w:val="19"/>
        </w:rPr>
        <w:t>and local steering documents belonging to the sub-pro</w:t>
      </w:r>
      <w:r>
        <w:rPr>
          <w:rFonts w:ascii="Times New Roman" w:hAnsi="Times New Roman" w:eastAsia="Times New Roman" w:cs="Times New Roman"/>
          <w:spacing w:val="3"/>
          <w:sz w:val="19"/>
          <w:szCs w:val="19"/>
        </w:rPr>
        <w:t>cesses</w:t>
      </w:r>
      <w:r>
        <w:rPr>
          <w:rFonts w:ascii="Times New Roman" w:hAnsi="Times New Roman" w:eastAsia="Times New Roman" w:cs="Times New Roman"/>
          <w:spacing w:val="8"/>
          <w:sz w:val="19"/>
          <w:szCs w:val="19"/>
        </w:rPr>
        <w:t xml:space="preserve"> </w:t>
      </w:r>
      <w:r>
        <w:rPr>
          <w:rFonts w:ascii="Times New Roman" w:hAnsi="Times New Roman" w:eastAsia="Times New Roman" w:cs="Times New Roman"/>
          <w:spacing w:val="3"/>
          <w:sz w:val="19"/>
          <w:szCs w:val="19"/>
        </w:rPr>
        <w:t>listed.</w:t>
      </w:r>
    </w:p>
    <w:p>
      <w:pPr>
        <w:spacing w:line="334" w:lineRule="auto"/>
        <w:rPr>
          <w:rFonts w:ascii="Arial"/>
          <w:sz w:val="21"/>
        </w:rPr>
      </w:pPr>
    </w:p>
    <w:p>
      <w:pPr>
        <w:spacing w:line="5599" w:lineRule="exact"/>
        <w:ind w:firstLine="1434"/>
      </w:pPr>
      <w:r>
        <w:rPr>
          <w:position w:val="-111"/>
        </w:rPr>
        <w:drawing>
          <wp:inline distT="0" distB="0" distL="0" distR="0">
            <wp:extent cx="4874895" cy="355536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61"/>
                    <a:stretch>
                      <a:fillRect/>
                    </a:stretch>
                  </pic:blipFill>
                  <pic:spPr>
                    <a:xfrm>
                      <a:off x="0" y="0"/>
                      <a:ext cx="4875276" cy="3555491"/>
                    </a:xfrm>
                    <a:prstGeom prst="rect">
                      <a:avLst/>
                    </a:prstGeom>
                  </pic:spPr>
                </pic:pic>
              </a:graphicData>
            </a:graphic>
          </wp:inline>
        </w:drawing>
      </w:r>
    </w:p>
    <w:p>
      <w:pPr>
        <w:spacing w:line="299" w:lineRule="auto"/>
        <w:rPr>
          <w:rFonts w:ascii="Arial"/>
          <w:sz w:val="21"/>
        </w:rPr>
      </w:pPr>
    </w:p>
    <w:p>
      <w:pPr>
        <w:spacing w:before="54" w:line="239" w:lineRule="auto"/>
        <w:ind w:left="1034"/>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Figure 4.       Shows an extract</w:t>
      </w:r>
      <w:r>
        <w:rPr>
          <w:rFonts w:ascii="Times New Roman" w:hAnsi="Times New Roman" w:eastAsia="Times New Roman" w:cs="Times New Roman"/>
          <w:spacing w:val="13"/>
          <w:w w:val="101"/>
          <w:sz w:val="19"/>
          <w:szCs w:val="19"/>
        </w:rPr>
        <w:t xml:space="preserve"> </w:t>
      </w:r>
      <w:r>
        <w:rPr>
          <w:rFonts w:ascii="Times New Roman" w:hAnsi="Times New Roman" w:eastAsia="Times New Roman" w:cs="Times New Roman"/>
          <w:spacing w:val="4"/>
          <w:sz w:val="19"/>
          <w:szCs w:val="19"/>
        </w:rPr>
        <w:t>from</w:t>
      </w:r>
      <w:r>
        <w:rPr>
          <w:rFonts w:ascii="Times New Roman" w:hAnsi="Times New Roman" w:eastAsia="Times New Roman" w:cs="Times New Roman"/>
          <w:spacing w:val="9"/>
          <w:sz w:val="19"/>
          <w:szCs w:val="19"/>
        </w:rPr>
        <w:t xml:space="preserve"> </w:t>
      </w:r>
      <w:r>
        <w:rPr>
          <w:rFonts w:ascii="Times New Roman" w:hAnsi="Times New Roman" w:eastAsia="Times New Roman" w:cs="Times New Roman"/>
          <w:spacing w:val="4"/>
          <w:sz w:val="19"/>
          <w:szCs w:val="19"/>
        </w:rPr>
        <w:t>st</w:t>
      </w:r>
      <w:r>
        <w:rPr>
          <w:rFonts w:ascii="Times New Roman" w:hAnsi="Times New Roman" w:eastAsia="Times New Roman" w:cs="Times New Roman"/>
          <w:spacing w:val="3"/>
          <w:sz w:val="19"/>
          <w:szCs w:val="19"/>
        </w:rPr>
        <w:t>ep</w:t>
      </w:r>
      <w:r>
        <w:rPr>
          <w:rFonts w:ascii="Times New Roman" w:hAnsi="Times New Roman" w:eastAsia="Times New Roman" w:cs="Times New Roman"/>
          <w:spacing w:val="27"/>
          <w:w w:val="101"/>
          <w:sz w:val="19"/>
          <w:szCs w:val="19"/>
        </w:rPr>
        <w:t xml:space="preserve"> </w:t>
      </w:r>
      <w:r>
        <w:rPr>
          <w:rFonts w:ascii="Times New Roman" w:hAnsi="Times New Roman" w:eastAsia="Times New Roman" w:cs="Times New Roman"/>
          <w:spacing w:val="3"/>
          <w:sz w:val="19"/>
          <w:szCs w:val="19"/>
        </w:rPr>
        <w:t>1,</w:t>
      </w:r>
      <w:r>
        <w:rPr>
          <w:rFonts w:ascii="Times New Roman" w:hAnsi="Times New Roman" w:eastAsia="Times New Roman" w:cs="Times New Roman"/>
          <w:spacing w:val="5"/>
          <w:sz w:val="19"/>
          <w:szCs w:val="19"/>
        </w:rPr>
        <w:t xml:space="preserve"> </w:t>
      </w:r>
      <w:r>
        <w:rPr>
          <w:rFonts w:ascii="Times New Roman" w:hAnsi="Times New Roman" w:eastAsia="Times New Roman" w:cs="Times New Roman"/>
          <w:spacing w:val="3"/>
          <w:sz w:val="19"/>
          <w:szCs w:val="19"/>
        </w:rPr>
        <w:t>Education</w:t>
      </w:r>
      <w:r>
        <w:rPr>
          <w:rFonts w:ascii="Times New Roman" w:hAnsi="Times New Roman" w:eastAsia="Times New Roman" w:cs="Times New Roman"/>
          <w:spacing w:val="10"/>
          <w:sz w:val="19"/>
          <w:szCs w:val="19"/>
        </w:rPr>
        <w:t xml:space="preserve"> </w:t>
      </w:r>
      <w:r>
        <w:rPr>
          <w:rFonts w:ascii="Times New Roman" w:hAnsi="Times New Roman" w:eastAsia="Times New Roman" w:cs="Times New Roman"/>
          <w:spacing w:val="3"/>
          <w:sz w:val="19"/>
          <w:szCs w:val="19"/>
        </w:rPr>
        <w:t>(in</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pacing w:val="3"/>
          <w:sz w:val="19"/>
          <w:szCs w:val="19"/>
        </w:rPr>
        <w:t>Swedish), built</w:t>
      </w:r>
      <w:r>
        <w:rPr>
          <w:rFonts w:ascii="Times New Roman" w:hAnsi="Times New Roman" w:eastAsia="Times New Roman" w:cs="Times New Roman"/>
          <w:spacing w:val="9"/>
          <w:sz w:val="19"/>
          <w:szCs w:val="19"/>
        </w:rPr>
        <w:t xml:space="preserve"> </w:t>
      </w:r>
      <w:r>
        <w:rPr>
          <w:rFonts w:ascii="Times New Roman" w:hAnsi="Times New Roman" w:eastAsia="Times New Roman" w:cs="Times New Roman"/>
          <w:spacing w:val="3"/>
          <w:sz w:val="19"/>
          <w:szCs w:val="19"/>
        </w:rPr>
        <w:t>in</w:t>
      </w:r>
      <w:r>
        <w:rPr>
          <w:rFonts w:ascii="Times New Roman" w:hAnsi="Times New Roman" w:eastAsia="Times New Roman" w:cs="Times New Roman"/>
          <w:spacing w:val="8"/>
          <w:sz w:val="19"/>
          <w:szCs w:val="19"/>
        </w:rPr>
        <w:t xml:space="preserve"> </w:t>
      </w:r>
      <w:r>
        <w:rPr>
          <w:rFonts w:ascii="Times New Roman" w:hAnsi="Times New Roman" w:eastAsia="Times New Roman" w:cs="Times New Roman"/>
          <w:spacing w:val="3"/>
          <w:sz w:val="19"/>
          <w:szCs w:val="19"/>
        </w:rPr>
        <w:t>computer</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pacing w:val="3"/>
          <w:sz w:val="19"/>
          <w:szCs w:val="19"/>
        </w:rPr>
        <w:t>system VisAlfa</w:t>
      </w: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13" w:lineRule="exact"/>
        <w:ind w:firstLine="1151"/>
      </w:pPr>
      <w:r>
        <w:rPr>
          <w:position w:val="-4"/>
        </w:rPr>
        <w:drawing>
          <wp:inline distT="0" distB="0" distL="0" distR="0">
            <wp:extent cx="1849120" cy="13462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1143" w:bottom="100" w:left="48" w:header="0" w:footer="0" w:gutter="0"/>
          <w:cols w:space="720" w:num="1"/>
        </w:sectPr>
      </w:pPr>
    </w:p>
    <w:p>
      <w:pPr>
        <w:spacing w:before="13"/>
      </w:pPr>
      <w:r>
        <mc:AlternateContent>
          <mc:Choice Requires="wps">
            <w:drawing>
              <wp:anchor distT="0" distB="0" distL="0" distR="0" simplePos="0" relativeHeight="251779072"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230" name="TextBox 230"/>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0" o:spid="_x0000_s1026" o:spt="202" type="#_x0000_t202" style="position:absolute;left:0pt;margin-left:-120.15pt;margin-top:416.25pt;height:9.3pt;width:252.55pt;mso-position-horizontal-relative:page;mso-position-vertical-relative:page;rotation:-5898240f;z-index:251779072;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35Xy2wAAAAwBAAAPAAAAAAAAAAEAIAAAACIAAABkcnMvZG93&#10;bnJldi54bWxQSwECFAAUAAAACACHTuJAC9um0DYCAABxBAAADgAAAAAAAAABACAAAAAqAQAAZHJz&#10;L2Uyb0RvYy54bWxQSwUGAAAAAAYABgBZAQAA0g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p>
    <w:p>
      <w:pPr>
        <w:spacing w:before="13"/>
      </w:pPr>
    </w:p>
    <w:p>
      <w:pPr>
        <w:spacing w:before="12"/>
      </w:pPr>
    </w:p>
    <w:p>
      <w:pPr>
        <w:spacing w:before="12"/>
      </w:pPr>
    </w:p>
    <w:p>
      <w:pPr>
        <w:spacing w:before="12"/>
      </w:pPr>
    </w:p>
    <w:p>
      <w:pPr>
        <w:spacing w:before="12"/>
      </w:pPr>
    </w:p>
    <w:p>
      <w:pPr>
        <w:spacing w:before="12"/>
      </w:pPr>
    </w:p>
    <w:p>
      <w:pPr>
        <w:spacing w:before="12"/>
      </w:pPr>
    </w:p>
    <w:tbl>
      <w:tblPr>
        <w:tblStyle w:val="5"/>
        <w:tblW w:w="10317" w:type="dxa"/>
        <w:tblInd w:w="109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089"/>
        <w:gridCol w:w="422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10317" w:type="dxa"/>
            <w:gridSpan w:val="2"/>
            <w:tcBorders>
              <w:top w:val="single" w:color="000000" w:sz="2" w:space="0"/>
              <w:left w:val="single" w:color="000000" w:sz="4" w:space="0"/>
              <w:right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90" w:hRule="atLeast"/>
        </w:trPr>
        <w:tc>
          <w:tcPr>
            <w:tcW w:w="10317" w:type="dxa"/>
            <w:gridSpan w:val="2"/>
            <w:tcBorders>
              <w:left w:val="single" w:color="000000" w:sz="2" w:space="0"/>
              <w:right w:val="single" w:color="000000" w:sz="4" w:space="0"/>
            </w:tcBorders>
            <w:vAlign w:val="top"/>
          </w:tcPr>
          <w:p>
            <w:pPr>
              <w:spacing w:before="276" w:line="187" w:lineRule="auto"/>
              <w:ind w:left="561"/>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Step 2: Plan-education</w:t>
            </w:r>
          </w:p>
          <w:p>
            <w:pPr>
              <w:spacing w:before="20" w:line="228" w:lineRule="auto"/>
              <w:ind w:left="555"/>
              <w:rPr>
                <w:rFonts w:ascii="Times New Roman" w:hAnsi="Times New Roman" w:eastAsia="Times New Roman" w:cs="Times New Roman"/>
                <w:sz w:val="24"/>
                <w:szCs w:val="24"/>
              </w:rPr>
            </w:pPr>
            <w:r>
              <w:rPr>
                <w:rFonts w:ascii="Times New Roman" w:hAnsi="Times New Roman" w:eastAsia="Times New Roman" w:cs="Times New Roman"/>
                <w:b/>
                <w:bCs/>
                <w:sz w:val="24"/>
                <w:szCs w:val="24"/>
              </w:rPr>
              <w:t>-</w:t>
            </w:r>
            <w:r>
              <w:rPr>
                <w:rFonts w:ascii="Times New Roman" w:hAnsi="Times New Roman" w:eastAsia="Times New Roman" w:cs="Times New Roman"/>
                <w:sz w:val="24"/>
                <w:szCs w:val="24"/>
              </w:rPr>
              <w:t>with respect to Legal rules and regulations for public authorities</w:t>
            </w:r>
            <w:r>
              <w:rPr>
                <w:rFonts w:ascii="Times New Roman" w:hAnsi="Times New Roman" w:eastAsia="Times New Roman" w:cs="Times New Roman"/>
                <w:spacing w:val="-1"/>
                <w:sz w:val="24"/>
                <w:szCs w:val="24"/>
              </w:rPr>
              <w:t xml:space="preserve"> and Local</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
                <w:sz w:val="24"/>
                <w:szCs w:val="24"/>
              </w:rPr>
              <w:t>steering</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documents.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2" w:hRule="atLeast"/>
        </w:trPr>
        <w:tc>
          <w:tcPr>
            <w:tcW w:w="10317" w:type="dxa"/>
            <w:gridSpan w:val="2"/>
            <w:tcBorders>
              <w:left w:val="single" w:color="000000" w:sz="2" w:space="0"/>
              <w:right w:val="single" w:color="000000" w:sz="4" w:space="0"/>
            </w:tcBorders>
            <w:vAlign w:val="top"/>
          </w:tcPr>
          <w:p>
            <w:pPr>
              <w:spacing w:before="280" w:line="187" w:lineRule="auto"/>
              <w:ind w:left="489"/>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Sub processes:</w:t>
            </w:r>
          </w:p>
          <w:p>
            <w:pPr>
              <w:spacing w:before="27" w:line="182" w:lineRule="auto"/>
              <w:ind w:left="618"/>
              <w:rPr>
                <w:rFonts w:ascii="Times New Roman" w:hAnsi="Times New Roman" w:eastAsia="Times New Roman" w:cs="Times New Roman"/>
                <w:sz w:val="24"/>
                <w:szCs w:val="24"/>
              </w:rPr>
            </w:pPr>
            <w:r>
              <w:rPr>
                <w:rFonts w:ascii="Malgun Gothic" w:hAnsi="Malgun Gothic" w:eastAsia="Malgun Gothic" w:cs="Malgun Gothic"/>
                <w:spacing w:val="-1"/>
                <w:sz w:val="24"/>
                <w:szCs w:val="24"/>
              </w:rPr>
              <w:t>⇒</w:t>
            </w:r>
            <w:r>
              <w:rPr>
                <w:rFonts w:ascii="Malgun Gothic" w:hAnsi="Malgun Gothic" w:eastAsia="Malgun Gothic" w:cs="Malgun Gothic"/>
                <w:spacing w:val="-12"/>
                <w:sz w:val="24"/>
                <w:szCs w:val="24"/>
              </w:rPr>
              <w:t xml:space="preserve"> </w:t>
            </w:r>
            <w:r>
              <w:rPr>
                <w:rFonts w:ascii="Times New Roman" w:hAnsi="Times New Roman" w:eastAsia="Times New Roman" w:cs="Times New Roman"/>
                <w:spacing w:val="-1"/>
                <w:sz w:val="24"/>
                <w:szCs w:val="24"/>
              </w:rPr>
              <w:t>Market education</w:t>
            </w:r>
          </w:p>
          <w:p>
            <w:pPr>
              <w:spacing w:line="183" w:lineRule="auto"/>
              <w:ind w:left="618"/>
              <w:rPr>
                <w:rFonts w:ascii="Times New Roman" w:hAnsi="Times New Roman" w:eastAsia="Times New Roman" w:cs="Times New Roman"/>
                <w:sz w:val="24"/>
                <w:szCs w:val="24"/>
              </w:rPr>
            </w:pPr>
            <w:r>
              <w:rPr>
                <w:rFonts w:ascii="Malgun Gothic" w:hAnsi="Malgun Gothic" w:eastAsia="Malgun Gothic" w:cs="Malgun Gothic"/>
                <w:sz w:val="24"/>
                <w:szCs w:val="24"/>
              </w:rPr>
              <w:t>⇒</w:t>
            </w:r>
            <w:r>
              <w:rPr>
                <w:rFonts w:ascii="Malgun Gothic" w:hAnsi="Malgun Gothic" w:eastAsia="Malgun Gothic" w:cs="Malgun Gothic"/>
                <w:spacing w:val="-17"/>
                <w:sz w:val="24"/>
                <w:szCs w:val="24"/>
              </w:rPr>
              <w:t xml:space="preserve"> </w:t>
            </w:r>
            <w:r>
              <w:rPr>
                <w:rFonts w:ascii="Times New Roman" w:hAnsi="Times New Roman" w:eastAsia="Times New Roman" w:cs="Times New Roman"/>
                <w:sz w:val="24"/>
                <w:szCs w:val="24"/>
              </w:rPr>
              <w:t>Compose education information to a prospectiv</w:t>
            </w:r>
            <w:r>
              <w:rPr>
                <w:rFonts w:ascii="Times New Roman" w:hAnsi="Times New Roman" w:eastAsia="Times New Roman" w:cs="Times New Roman"/>
                <w:spacing w:val="-1"/>
                <w:sz w:val="24"/>
                <w:szCs w:val="24"/>
              </w:rPr>
              <w:t>e student</w:t>
            </w:r>
          </w:p>
          <w:p>
            <w:pPr>
              <w:spacing w:before="1" w:line="181" w:lineRule="auto"/>
              <w:ind w:left="618"/>
              <w:rPr>
                <w:rFonts w:ascii="Times New Roman" w:hAnsi="Times New Roman" w:eastAsia="Times New Roman" w:cs="Times New Roman"/>
                <w:sz w:val="24"/>
                <w:szCs w:val="24"/>
              </w:rPr>
            </w:pPr>
            <w:r>
              <w:rPr>
                <w:rFonts w:ascii="Malgun Gothic" w:hAnsi="Malgun Gothic" w:eastAsia="Malgun Gothic" w:cs="Malgun Gothic"/>
                <w:sz w:val="24"/>
                <w:szCs w:val="24"/>
              </w:rPr>
              <w:t>⇒</w:t>
            </w:r>
            <w:r>
              <w:rPr>
                <w:rFonts w:ascii="Malgun Gothic" w:hAnsi="Malgun Gothic" w:eastAsia="Malgun Gothic" w:cs="Malgun Gothic"/>
                <w:spacing w:val="-24"/>
                <w:sz w:val="24"/>
                <w:szCs w:val="24"/>
              </w:rPr>
              <w:t xml:space="preserve"> </w:t>
            </w:r>
            <w:r>
              <w:rPr>
                <w:rFonts w:ascii="Times New Roman" w:hAnsi="Times New Roman" w:eastAsia="Times New Roman" w:cs="Times New Roman"/>
                <w:sz w:val="24"/>
                <w:szCs w:val="24"/>
              </w:rPr>
              <w:t>Admission to educat</w:t>
            </w:r>
            <w:r>
              <w:rPr>
                <w:rFonts w:ascii="Times New Roman" w:hAnsi="Times New Roman" w:eastAsia="Times New Roman" w:cs="Times New Roman"/>
                <w:spacing w:val="-1"/>
                <w:sz w:val="24"/>
                <w:szCs w:val="24"/>
              </w:rPr>
              <w:t>ion</w:t>
            </w:r>
          </w:p>
          <w:p>
            <w:pPr>
              <w:spacing w:before="1" w:line="181" w:lineRule="auto"/>
              <w:ind w:left="618"/>
              <w:rPr>
                <w:rFonts w:ascii="Times New Roman" w:hAnsi="Times New Roman" w:eastAsia="Times New Roman" w:cs="Times New Roman"/>
                <w:sz w:val="24"/>
                <w:szCs w:val="24"/>
              </w:rPr>
            </w:pPr>
            <w:r>
              <w:rPr>
                <w:rFonts w:ascii="Malgun Gothic" w:hAnsi="Malgun Gothic" w:eastAsia="Malgun Gothic" w:cs="Malgun Gothic"/>
                <w:sz w:val="24"/>
                <w:szCs w:val="24"/>
              </w:rPr>
              <w:t>⇒</w:t>
            </w:r>
            <w:r>
              <w:rPr>
                <w:rFonts w:ascii="Malgun Gothic" w:hAnsi="Malgun Gothic" w:eastAsia="Malgun Gothic" w:cs="Malgun Gothic"/>
                <w:spacing w:val="-22"/>
                <w:sz w:val="24"/>
                <w:szCs w:val="24"/>
              </w:rPr>
              <w:t xml:space="preserve"> </w:t>
            </w:r>
            <w:r>
              <w:rPr>
                <w:rFonts w:ascii="Times New Roman" w:hAnsi="Times New Roman" w:eastAsia="Times New Roman" w:cs="Times New Roman"/>
                <w:sz w:val="24"/>
                <w:szCs w:val="24"/>
              </w:rPr>
              <w:t>Re-fill admission, from the waitin</w:t>
            </w:r>
            <w:r>
              <w:rPr>
                <w:rFonts w:ascii="Times New Roman" w:hAnsi="Times New Roman" w:eastAsia="Times New Roman" w:cs="Times New Roman"/>
                <w:spacing w:val="-1"/>
                <w:sz w:val="24"/>
                <w:szCs w:val="24"/>
              </w:rPr>
              <w:t>g list</w:t>
            </w:r>
          </w:p>
          <w:p>
            <w:pPr>
              <w:spacing w:before="1" w:line="181" w:lineRule="auto"/>
              <w:ind w:left="618"/>
              <w:rPr>
                <w:rFonts w:ascii="Times New Roman" w:hAnsi="Times New Roman" w:eastAsia="Times New Roman" w:cs="Times New Roman"/>
                <w:sz w:val="24"/>
                <w:szCs w:val="24"/>
              </w:rPr>
            </w:pPr>
            <w:r>
              <w:rPr>
                <w:rFonts w:ascii="Malgun Gothic" w:hAnsi="Malgun Gothic" w:eastAsia="Malgun Gothic" w:cs="Malgun Gothic"/>
                <w:sz w:val="24"/>
                <w:szCs w:val="24"/>
              </w:rPr>
              <w:t>⇒</w:t>
            </w:r>
            <w:r>
              <w:rPr>
                <w:rFonts w:ascii="Malgun Gothic" w:hAnsi="Malgun Gothic" w:eastAsia="Malgun Gothic" w:cs="Malgun Gothic"/>
                <w:spacing w:val="-24"/>
                <w:sz w:val="24"/>
                <w:szCs w:val="24"/>
              </w:rPr>
              <w:t xml:space="preserve"> </w:t>
            </w:r>
            <w:r>
              <w:rPr>
                <w:rFonts w:ascii="Times New Roman" w:hAnsi="Times New Roman" w:eastAsia="Times New Roman" w:cs="Times New Roman"/>
                <w:sz w:val="24"/>
                <w:szCs w:val="24"/>
              </w:rPr>
              <w:t>Admission to contract educat</w:t>
            </w:r>
            <w:r>
              <w:rPr>
                <w:rFonts w:ascii="Times New Roman" w:hAnsi="Times New Roman" w:eastAsia="Times New Roman" w:cs="Times New Roman"/>
                <w:spacing w:val="-1"/>
                <w:sz w:val="24"/>
                <w:szCs w:val="24"/>
              </w:rPr>
              <w:t>ion</w:t>
            </w:r>
          </w:p>
          <w:p>
            <w:pPr>
              <w:spacing w:before="1" w:line="183" w:lineRule="auto"/>
              <w:ind w:left="618"/>
              <w:rPr>
                <w:rFonts w:ascii="Times New Roman" w:hAnsi="Times New Roman" w:eastAsia="Times New Roman" w:cs="Times New Roman"/>
                <w:sz w:val="24"/>
                <w:szCs w:val="24"/>
              </w:rPr>
            </w:pPr>
            <w:r>
              <w:rPr>
                <w:rFonts w:ascii="Malgun Gothic" w:hAnsi="Malgun Gothic" w:eastAsia="Malgun Gothic" w:cs="Malgun Gothic"/>
                <w:spacing w:val="-1"/>
                <w:sz w:val="24"/>
                <w:szCs w:val="24"/>
              </w:rPr>
              <w:t>⇒</w:t>
            </w:r>
            <w:r>
              <w:rPr>
                <w:rFonts w:ascii="Malgun Gothic" w:hAnsi="Malgun Gothic" w:eastAsia="Malgun Gothic" w:cs="Malgun Gothic"/>
                <w:spacing w:val="-7"/>
                <w:sz w:val="24"/>
                <w:szCs w:val="24"/>
              </w:rPr>
              <w:t xml:space="preserve"> </w:t>
            </w:r>
            <w:r>
              <w:rPr>
                <w:rFonts w:ascii="Times New Roman" w:hAnsi="Times New Roman" w:eastAsia="Times New Roman" w:cs="Times New Roman"/>
                <w:spacing w:val="-1"/>
                <w:sz w:val="24"/>
                <w:szCs w:val="24"/>
              </w:rPr>
              <w:t>Admission to course</w:t>
            </w:r>
          </w:p>
          <w:p>
            <w:pPr>
              <w:spacing w:before="1" w:line="181" w:lineRule="auto"/>
              <w:ind w:left="618"/>
              <w:rPr>
                <w:rFonts w:ascii="Times New Roman" w:hAnsi="Times New Roman" w:eastAsia="Times New Roman" w:cs="Times New Roman"/>
                <w:sz w:val="24"/>
                <w:szCs w:val="24"/>
              </w:rPr>
            </w:pPr>
            <w:r>
              <w:rPr>
                <w:rFonts w:ascii="Malgun Gothic" w:hAnsi="Malgun Gothic" w:eastAsia="Malgun Gothic" w:cs="Malgun Gothic"/>
                <w:spacing w:val="5"/>
                <w:sz w:val="24"/>
                <w:szCs w:val="24"/>
              </w:rPr>
              <w:t>⇒</w:t>
            </w:r>
            <w:r>
              <w:rPr>
                <w:rFonts w:ascii="Malgun Gothic" w:hAnsi="Malgun Gothic" w:eastAsia="Malgun Gothic" w:cs="Malgun Gothic"/>
                <w:spacing w:val="-24"/>
                <w:sz w:val="24"/>
                <w:szCs w:val="24"/>
              </w:rPr>
              <w:t xml:space="preserve"> </w:t>
            </w:r>
            <w:r>
              <w:rPr>
                <w:rFonts w:ascii="Times New Roman" w:hAnsi="Times New Roman" w:eastAsia="Times New Roman" w:cs="Times New Roman"/>
                <w:sz w:val="24"/>
                <w:szCs w:val="24"/>
              </w:rPr>
              <w:t>Admission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later</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some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programme</w:t>
            </w:r>
          </w:p>
          <w:p>
            <w:pPr>
              <w:spacing w:before="2" w:line="210" w:lineRule="auto"/>
              <w:ind w:left="618"/>
              <w:rPr>
                <w:rFonts w:ascii="Times New Roman" w:hAnsi="Times New Roman" w:eastAsia="Times New Roman" w:cs="Times New Roman"/>
                <w:sz w:val="24"/>
                <w:szCs w:val="24"/>
              </w:rPr>
            </w:pPr>
            <w:r>
              <w:rPr>
                <w:rFonts w:ascii="Malgun Gothic" w:hAnsi="Malgun Gothic" w:eastAsia="Malgun Gothic" w:cs="Malgun Gothic"/>
                <w:sz w:val="24"/>
                <w:szCs w:val="24"/>
              </w:rPr>
              <w:t>⇒</w:t>
            </w:r>
            <w:r>
              <w:rPr>
                <w:rFonts w:ascii="Malgun Gothic" w:hAnsi="Malgun Gothic" w:eastAsia="Malgun Gothic" w:cs="Malgun Gothic"/>
                <w:spacing w:val="-24"/>
                <w:sz w:val="24"/>
                <w:szCs w:val="24"/>
              </w:rPr>
              <w:t xml:space="preserve"> </w:t>
            </w:r>
            <w:r>
              <w:rPr>
                <w:rFonts w:ascii="Times New Roman" w:hAnsi="Times New Roman" w:eastAsia="Times New Roman" w:cs="Times New Roman"/>
                <w:sz w:val="24"/>
                <w:szCs w:val="24"/>
              </w:rPr>
              <w:t>Admission to doctoral studi</w:t>
            </w:r>
            <w:r>
              <w:rPr>
                <w:rFonts w:ascii="Times New Roman" w:hAnsi="Times New Roman" w:eastAsia="Times New Roman" w:cs="Times New Roman"/>
                <w:spacing w:val="-1"/>
                <w:sz w:val="24"/>
                <w:szCs w:val="24"/>
              </w:rPr>
              <w:t>es</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11" w:hRule="atLeast"/>
        </w:trPr>
        <w:tc>
          <w:tcPr>
            <w:tcW w:w="6089" w:type="dxa"/>
            <w:tcBorders>
              <w:left w:val="single" w:color="000000" w:sz="2" w:space="0"/>
              <w:bottom w:val="single" w:color="000000" w:sz="4" w:space="0"/>
            </w:tcBorders>
            <w:vAlign w:val="top"/>
          </w:tcPr>
          <w:p>
            <w:pPr>
              <w:spacing w:before="216" w:line="186" w:lineRule="auto"/>
              <w:ind w:left="623"/>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Legal rules and regulations for pub</w:t>
            </w:r>
            <w:r>
              <w:rPr>
                <w:rFonts w:ascii="Times New Roman" w:hAnsi="Times New Roman" w:eastAsia="Times New Roman" w:cs="Times New Roman"/>
                <w:b/>
                <w:bCs/>
                <w:spacing w:val="-1"/>
                <w:sz w:val="24"/>
                <w:szCs w:val="24"/>
              </w:rPr>
              <w:t>lic</w:t>
            </w:r>
            <w:r>
              <w:rPr>
                <w:rFonts w:ascii="Times New Roman" w:hAnsi="Times New Roman" w:eastAsia="Times New Roman" w:cs="Times New Roman"/>
                <w:b/>
                <w:bCs/>
                <w:spacing w:val="10"/>
                <w:sz w:val="24"/>
                <w:szCs w:val="24"/>
              </w:rPr>
              <w:t xml:space="preserve"> </w:t>
            </w:r>
            <w:r>
              <w:rPr>
                <w:rFonts w:ascii="Times New Roman" w:hAnsi="Times New Roman" w:eastAsia="Times New Roman" w:cs="Times New Roman"/>
                <w:b/>
                <w:bCs/>
                <w:spacing w:val="-1"/>
                <w:sz w:val="24"/>
                <w:szCs w:val="24"/>
              </w:rPr>
              <w:t>authorities:</w:t>
            </w:r>
          </w:p>
          <w:p>
            <w:pPr>
              <w:spacing w:before="52" w:line="190" w:lineRule="auto"/>
              <w:ind w:left="98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Higher Education Act,</w:t>
            </w:r>
          </w:p>
          <w:p>
            <w:pPr>
              <w:spacing w:before="57" w:line="190" w:lineRule="auto"/>
              <w:ind w:left="980"/>
              <w:rPr>
                <w:rFonts w:ascii="Times New Roman" w:hAnsi="Times New Roman" w:eastAsia="Times New Roman" w:cs="Times New Roman"/>
                <w:sz w:val="24"/>
                <w:szCs w:val="24"/>
              </w:rPr>
            </w:pPr>
            <w:r>
              <w:rPr>
                <w:rFonts w:ascii="Times New Roman" w:hAnsi="Times New Roman" w:eastAsia="Times New Roman" w:cs="Times New Roman"/>
                <w:sz w:val="24"/>
                <w:szCs w:val="24"/>
              </w:rPr>
              <w:t>Higher Education Ordi</w:t>
            </w:r>
            <w:r>
              <w:rPr>
                <w:rFonts w:ascii="Times New Roman" w:hAnsi="Times New Roman" w:eastAsia="Times New Roman" w:cs="Times New Roman"/>
                <w:spacing w:val="-1"/>
                <w:sz w:val="24"/>
                <w:szCs w:val="24"/>
              </w:rPr>
              <w:t>nance,</w:t>
            </w:r>
          </w:p>
          <w:p>
            <w:pPr>
              <w:spacing w:before="13" w:line="228" w:lineRule="auto"/>
              <w:ind w:left="985"/>
              <w:rPr>
                <w:rFonts w:ascii="Times New Roman" w:hAnsi="Times New Roman" w:eastAsia="Times New Roman" w:cs="Times New Roman"/>
                <w:sz w:val="24"/>
                <w:szCs w:val="24"/>
              </w:rPr>
            </w:pPr>
            <w:r>
              <w:rPr>
                <w:rFonts w:ascii="Times New Roman" w:hAnsi="Times New Roman" w:eastAsia="Times New Roman" w:cs="Times New Roman"/>
                <w:sz w:val="24"/>
                <w:szCs w:val="24"/>
              </w:rPr>
              <w:t>Confirmed admission regu</w:t>
            </w:r>
            <w:r>
              <w:rPr>
                <w:rFonts w:ascii="Times New Roman" w:hAnsi="Times New Roman" w:eastAsia="Times New Roman" w:cs="Times New Roman"/>
                <w:spacing w:val="-1"/>
                <w:sz w:val="24"/>
                <w:szCs w:val="24"/>
              </w:rPr>
              <w:t>lations,</w:t>
            </w:r>
          </w:p>
        </w:tc>
        <w:tc>
          <w:tcPr>
            <w:tcW w:w="4228" w:type="dxa"/>
            <w:tcBorders>
              <w:bottom w:val="single" w:color="000000" w:sz="4" w:space="0"/>
              <w:right w:val="single" w:color="000000" w:sz="4" w:space="0"/>
            </w:tcBorders>
            <w:vAlign w:val="top"/>
          </w:tcPr>
          <w:p>
            <w:pPr>
              <w:spacing w:before="283" w:line="186" w:lineRule="auto"/>
              <w:ind w:left="361"/>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Local steering docum</w:t>
            </w:r>
            <w:r>
              <w:rPr>
                <w:rFonts w:ascii="Times New Roman" w:hAnsi="Times New Roman" w:eastAsia="Times New Roman" w:cs="Times New Roman"/>
                <w:b/>
                <w:bCs/>
                <w:spacing w:val="-1"/>
                <w:sz w:val="24"/>
                <w:szCs w:val="24"/>
              </w:rPr>
              <w:t>ents:</w:t>
            </w:r>
          </w:p>
          <w:p>
            <w:pPr>
              <w:spacing w:before="52" w:line="190" w:lineRule="auto"/>
              <w:ind w:left="71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Budget,</w:t>
            </w:r>
          </w:p>
          <w:p>
            <w:pPr>
              <w:spacing w:before="13" w:line="234" w:lineRule="auto"/>
              <w:ind w:left="723" w:right="68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Guidelines for admission</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z w:val="24"/>
                <w:szCs w:val="24"/>
              </w:rPr>
              <w:t xml:space="preserve"> findings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doctoral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students</w:t>
            </w:r>
          </w:p>
        </w:tc>
      </w:tr>
    </w:tbl>
    <w:p>
      <w:pPr>
        <w:spacing w:before="34" w:line="246" w:lineRule="auto"/>
        <w:ind w:left="2117" w:right="691" w:firstLine="5"/>
        <w:rPr>
          <w:rFonts w:ascii="Times New Roman" w:hAnsi="Times New Roman" w:eastAsia="Times New Roman" w:cs="Times New Roman"/>
          <w:sz w:val="19"/>
          <w:szCs w:val="19"/>
        </w:rPr>
      </w:pPr>
      <w:r>
        <w:pict>
          <v:shape id="_x0000_s1129" o:spid="_x0000_s1129" o:spt="202" type="#_x0000_t202" style="position:absolute;left:0pt;margin-left:50.55pt;margin-top:2.5pt;height:11.1pt;width:37.95pt;z-index:251780096;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Times New Roman" w:hAnsi="Times New Roman" w:eastAsia="Times New Roman" w:cs="Times New Roman"/>
                      <w:sz w:val="19"/>
                      <w:szCs w:val="19"/>
                    </w:rPr>
                  </w:pPr>
                  <w:r>
                    <w:rPr>
                      <w:rFonts w:ascii="Times New Roman" w:hAnsi="Times New Roman" w:eastAsia="Times New Roman" w:cs="Times New Roman"/>
                      <w:sz w:val="19"/>
                      <w:szCs w:val="19"/>
                    </w:rPr>
                    <w:t>Figure</w:t>
                  </w:r>
                  <w:r>
                    <w:rPr>
                      <w:rFonts w:ascii="Times New Roman" w:hAnsi="Times New Roman" w:eastAsia="Times New Roman" w:cs="Times New Roman"/>
                      <w:spacing w:val="13"/>
                      <w:w w:val="101"/>
                      <w:sz w:val="19"/>
                      <w:szCs w:val="19"/>
                    </w:rPr>
                    <w:t xml:space="preserve"> </w:t>
                  </w:r>
                  <w:r>
                    <w:rPr>
                      <w:rFonts w:ascii="Times New Roman" w:hAnsi="Times New Roman" w:eastAsia="Times New Roman" w:cs="Times New Roman"/>
                      <w:spacing w:val="9"/>
                      <w:sz w:val="19"/>
                      <w:szCs w:val="19"/>
                    </w:rPr>
                    <w:t>5.</w:t>
                  </w:r>
                </w:p>
              </w:txbxContent>
            </v:textbox>
          </v:shape>
        </w:pict>
      </w:r>
      <w:r>
        <w:rPr>
          <w:rFonts w:ascii="Times New Roman" w:hAnsi="Times New Roman" w:eastAsia="Times New Roman" w:cs="Times New Roman"/>
          <w:spacing w:val="4"/>
          <w:sz w:val="19"/>
          <w:szCs w:val="19"/>
        </w:rPr>
        <w:t>Shows an outline of</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pacing w:val="4"/>
          <w:sz w:val="19"/>
          <w:szCs w:val="19"/>
        </w:rPr>
        <w:t>the first level of</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pacing w:val="4"/>
          <w:sz w:val="19"/>
          <w:szCs w:val="19"/>
        </w:rPr>
        <w:t>Education-process,</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pacing w:val="4"/>
          <w:sz w:val="19"/>
          <w:szCs w:val="19"/>
        </w:rPr>
        <w:t>step</w:t>
      </w:r>
      <w:r>
        <w:rPr>
          <w:rFonts w:ascii="Times New Roman" w:hAnsi="Times New Roman" w:eastAsia="Times New Roman" w:cs="Times New Roman"/>
          <w:spacing w:val="11"/>
          <w:sz w:val="19"/>
          <w:szCs w:val="19"/>
        </w:rPr>
        <w:t xml:space="preserve"> </w:t>
      </w:r>
      <w:r>
        <w:rPr>
          <w:rFonts w:ascii="Times New Roman" w:hAnsi="Times New Roman" w:eastAsia="Times New Roman" w:cs="Times New Roman"/>
          <w:spacing w:val="4"/>
          <w:sz w:val="19"/>
          <w:szCs w:val="19"/>
        </w:rPr>
        <w:t>“Plan”.</w:t>
      </w:r>
      <w:r>
        <w:rPr>
          <w:rFonts w:ascii="Times New Roman" w:hAnsi="Times New Roman" w:eastAsia="Times New Roman" w:cs="Times New Roman"/>
          <w:spacing w:val="7"/>
          <w:sz w:val="19"/>
          <w:szCs w:val="19"/>
        </w:rPr>
        <w:t xml:space="preserve"> </w:t>
      </w:r>
      <w:r>
        <w:rPr>
          <w:rFonts w:ascii="Times New Roman" w:hAnsi="Times New Roman" w:eastAsia="Times New Roman" w:cs="Times New Roman"/>
          <w:spacing w:val="4"/>
          <w:sz w:val="19"/>
          <w:szCs w:val="19"/>
        </w:rPr>
        <w:t>Each</w:t>
      </w:r>
      <w:r>
        <w:rPr>
          <w:rFonts w:ascii="Times New Roman" w:hAnsi="Times New Roman" w:eastAsia="Times New Roman" w:cs="Times New Roman"/>
          <w:spacing w:val="9"/>
          <w:sz w:val="19"/>
          <w:szCs w:val="19"/>
        </w:rPr>
        <w:t xml:space="preserve"> </w:t>
      </w:r>
      <w:r>
        <w:rPr>
          <w:rFonts w:ascii="Times New Roman" w:hAnsi="Times New Roman" w:eastAsia="Times New Roman" w:cs="Times New Roman"/>
          <w:spacing w:val="4"/>
          <w:sz w:val="19"/>
          <w:szCs w:val="19"/>
        </w:rPr>
        <w:t>one</w:t>
      </w:r>
      <w:r>
        <w:rPr>
          <w:rFonts w:ascii="Times New Roman" w:hAnsi="Times New Roman" w:eastAsia="Times New Roman" w:cs="Times New Roman"/>
          <w:spacing w:val="10"/>
          <w:sz w:val="19"/>
          <w:szCs w:val="19"/>
        </w:rPr>
        <w:t xml:space="preserve"> </w:t>
      </w:r>
      <w:r>
        <w:rPr>
          <w:rFonts w:ascii="Times New Roman" w:hAnsi="Times New Roman" w:eastAsia="Times New Roman" w:cs="Times New Roman"/>
          <w:spacing w:val="4"/>
          <w:sz w:val="19"/>
          <w:szCs w:val="19"/>
        </w:rPr>
        <w:t>of</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pacing w:val="4"/>
          <w:sz w:val="19"/>
          <w:szCs w:val="19"/>
        </w:rPr>
        <w:t>the</w:t>
      </w:r>
      <w:r>
        <w:rPr>
          <w:rFonts w:ascii="Times New Roman" w:hAnsi="Times New Roman" w:eastAsia="Times New Roman" w:cs="Times New Roman"/>
          <w:spacing w:val="16"/>
          <w:w w:val="101"/>
          <w:sz w:val="19"/>
          <w:szCs w:val="19"/>
        </w:rPr>
        <w:t xml:space="preserve"> </w:t>
      </w:r>
      <w:r>
        <w:rPr>
          <w:rFonts w:ascii="Times New Roman" w:hAnsi="Times New Roman" w:eastAsia="Times New Roman" w:cs="Times New Roman"/>
          <w:spacing w:val="4"/>
          <w:sz w:val="19"/>
          <w:szCs w:val="19"/>
        </w:rPr>
        <w:t xml:space="preserve">sub-processes </w:t>
      </w:r>
      <w:r>
        <w:rPr>
          <w:rFonts w:ascii="Times New Roman" w:hAnsi="Times New Roman" w:eastAsia="Times New Roman" w:cs="Times New Roman"/>
          <w:spacing w:val="3"/>
          <w:sz w:val="19"/>
          <w:szCs w:val="19"/>
        </w:rPr>
        <w:t>has</w:t>
      </w:r>
      <w:r>
        <w:rPr>
          <w:rFonts w:ascii="Times New Roman" w:hAnsi="Times New Roman" w:eastAsia="Times New Roman" w:cs="Times New Roman"/>
          <w:spacing w:val="9"/>
          <w:sz w:val="19"/>
          <w:szCs w:val="19"/>
        </w:rPr>
        <w:t xml:space="preserve"> </w:t>
      </w:r>
      <w:r>
        <w:rPr>
          <w:rFonts w:ascii="Times New Roman" w:hAnsi="Times New Roman" w:eastAsia="Times New Roman" w:cs="Times New Roman"/>
          <w:spacing w:val="3"/>
          <w:sz w:val="19"/>
          <w:szCs w:val="19"/>
        </w:rPr>
        <w:t>one</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4"/>
          <w:sz w:val="19"/>
          <w:szCs w:val="19"/>
        </w:rPr>
        <w:t>or two additional levels mapped. In the bottom of</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pacing w:val="4"/>
          <w:sz w:val="19"/>
          <w:szCs w:val="19"/>
        </w:rPr>
        <w:t>the figure</w:t>
      </w:r>
      <w:r>
        <w:rPr>
          <w:rFonts w:ascii="Times New Roman" w:hAnsi="Times New Roman" w:eastAsia="Times New Roman" w:cs="Times New Roman"/>
          <w:spacing w:val="13"/>
          <w:w w:val="101"/>
          <w:sz w:val="19"/>
          <w:szCs w:val="19"/>
        </w:rPr>
        <w:t xml:space="preserve"> </w:t>
      </w:r>
      <w:r>
        <w:rPr>
          <w:rFonts w:ascii="Times New Roman" w:hAnsi="Times New Roman" w:eastAsia="Times New Roman" w:cs="Times New Roman"/>
          <w:spacing w:val="4"/>
          <w:sz w:val="19"/>
          <w:szCs w:val="19"/>
        </w:rPr>
        <w:t>are</w:t>
      </w:r>
      <w:r>
        <w:rPr>
          <w:rFonts w:ascii="Times New Roman" w:hAnsi="Times New Roman" w:eastAsia="Times New Roman" w:cs="Times New Roman"/>
          <w:spacing w:val="5"/>
          <w:sz w:val="19"/>
          <w:szCs w:val="19"/>
        </w:rPr>
        <w:t xml:space="preserve"> </w:t>
      </w:r>
      <w:r>
        <w:rPr>
          <w:rFonts w:ascii="Times New Roman" w:hAnsi="Times New Roman" w:eastAsia="Times New Roman" w:cs="Times New Roman"/>
          <w:spacing w:val="4"/>
          <w:sz w:val="19"/>
          <w:szCs w:val="19"/>
        </w:rPr>
        <w:t>th</w:t>
      </w:r>
      <w:r>
        <w:rPr>
          <w:rFonts w:ascii="Times New Roman" w:hAnsi="Times New Roman" w:eastAsia="Times New Roman" w:cs="Times New Roman"/>
          <w:spacing w:val="3"/>
          <w:sz w:val="19"/>
          <w:szCs w:val="19"/>
        </w:rPr>
        <w:t>e</w:t>
      </w:r>
      <w:r>
        <w:rPr>
          <w:rFonts w:ascii="Times New Roman" w:hAnsi="Times New Roman" w:eastAsia="Times New Roman" w:cs="Times New Roman"/>
          <w:spacing w:val="9"/>
          <w:sz w:val="19"/>
          <w:szCs w:val="19"/>
        </w:rPr>
        <w:t xml:space="preserve"> </w:t>
      </w:r>
      <w:r>
        <w:rPr>
          <w:rFonts w:ascii="Times New Roman" w:hAnsi="Times New Roman" w:eastAsia="Times New Roman" w:cs="Times New Roman"/>
          <w:spacing w:val="3"/>
          <w:sz w:val="19"/>
          <w:szCs w:val="19"/>
        </w:rPr>
        <w:t>laws,</w:t>
      </w:r>
      <w:r>
        <w:rPr>
          <w:rFonts w:ascii="Times New Roman" w:hAnsi="Times New Roman" w:eastAsia="Times New Roman" w:cs="Times New Roman"/>
          <w:spacing w:val="5"/>
          <w:sz w:val="19"/>
          <w:szCs w:val="19"/>
        </w:rPr>
        <w:t xml:space="preserve"> </w:t>
      </w:r>
      <w:r>
        <w:rPr>
          <w:rFonts w:ascii="Times New Roman" w:hAnsi="Times New Roman" w:eastAsia="Times New Roman" w:cs="Times New Roman"/>
          <w:spacing w:val="3"/>
          <w:sz w:val="19"/>
          <w:szCs w:val="19"/>
        </w:rPr>
        <w:t>regulations</w:t>
      </w:r>
      <w:r>
        <w:rPr>
          <w:rFonts w:ascii="Times New Roman" w:hAnsi="Times New Roman" w:eastAsia="Times New Roman" w:cs="Times New Roman"/>
          <w:spacing w:val="10"/>
          <w:sz w:val="19"/>
          <w:szCs w:val="19"/>
        </w:rPr>
        <w:t xml:space="preserve"> </w:t>
      </w:r>
      <w:r>
        <w:rPr>
          <w:rFonts w:ascii="Times New Roman" w:hAnsi="Times New Roman" w:eastAsia="Times New Roman" w:cs="Times New Roman"/>
          <w:spacing w:val="3"/>
          <w:sz w:val="19"/>
          <w:szCs w:val="19"/>
        </w:rPr>
        <w:t>and</w:t>
      </w:r>
      <w:r>
        <w:rPr>
          <w:rFonts w:ascii="Times New Roman" w:hAnsi="Times New Roman" w:eastAsia="Times New Roman" w:cs="Times New Roman"/>
          <w:spacing w:val="10"/>
          <w:sz w:val="19"/>
          <w:szCs w:val="19"/>
        </w:rPr>
        <w:t xml:space="preserve"> </w:t>
      </w:r>
      <w:r>
        <w:rPr>
          <w:rFonts w:ascii="Times New Roman" w:hAnsi="Times New Roman" w:eastAsia="Times New Roman" w:cs="Times New Roman"/>
          <w:spacing w:val="3"/>
          <w:sz w:val="19"/>
          <w:szCs w:val="19"/>
        </w:rPr>
        <w:t>local</w:t>
      </w:r>
      <w:r>
        <w:rPr>
          <w:rFonts w:ascii="Times New Roman" w:hAnsi="Times New Roman" w:eastAsia="Times New Roman" w:cs="Times New Roman"/>
          <w:spacing w:val="12"/>
          <w:w w:val="101"/>
          <w:sz w:val="19"/>
          <w:szCs w:val="19"/>
        </w:rPr>
        <w:t xml:space="preserve"> </w:t>
      </w:r>
      <w:r>
        <w:rPr>
          <w:rFonts w:ascii="Times New Roman" w:hAnsi="Times New Roman" w:eastAsia="Times New Roman" w:cs="Times New Roman"/>
          <w:spacing w:val="3"/>
          <w:sz w:val="19"/>
          <w:szCs w:val="19"/>
        </w:rPr>
        <w:t>steering</w:t>
      </w:r>
    </w:p>
    <w:p>
      <w:pPr>
        <w:spacing w:before="12" w:line="239" w:lineRule="auto"/>
        <w:ind w:left="211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documents belonging to the sub-processes l</w:t>
      </w:r>
      <w:r>
        <w:rPr>
          <w:rFonts w:ascii="Times New Roman" w:hAnsi="Times New Roman" w:eastAsia="Times New Roman" w:cs="Times New Roman"/>
          <w:spacing w:val="3"/>
          <w:sz w:val="19"/>
          <w:szCs w:val="19"/>
        </w:rPr>
        <w:t>isted.</w:t>
      </w:r>
    </w:p>
    <w:p>
      <w:pPr>
        <w:spacing w:line="285" w:lineRule="auto"/>
        <w:rPr>
          <w:rFonts w:ascii="Arial"/>
          <w:sz w:val="21"/>
        </w:rPr>
      </w:pPr>
    </w:p>
    <w:p>
      <w:pPr>
        <w:spacing w:line="286" w:lineRule="auto"/>
        <w:rPr>
          <w:rFonts w:ascii="Arial"/>
          <w:sz w:val="21"/>
        </w:rPr>
      </w:pPr>
    </w:p>
    <w:p>
      <w:pPr>
        <w:spacing w:before="69" w:line="186" w:lineRule="auto"/>
        <w:ind w:left="1403"/>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Quality</w:t>
      </w:r>
      <w:r>
        <w:rPr>
          <w:rFonts w:ascii="Times New Roman" w:hAnsi="Times New Roman" w:eastAsia="Times New Roman" w:cs="Times New Roman"/>
          <w:b/>
          <w:bCs/>
          <w:i/>
          <w:iCs/>
          <w:spacing w:val="-14"/>
          <w:sz w:val="24"/>
          <w:szCs w:val="24"/>
        </w:rPr>
        <w:t xml:space="preserve"> </w:t>
      </w:r>
      <w:r>
        <w:rPr>
          <w:rFonts w:ascii="Times New Roman" w:hAnsi="Times New Roman" w:eastAsia="Times New Roman" w:cs="Times New Roman"/>
          <w:b/>
          <w:bCs/>
          <w:i/>
          <w:iCs/>
          <w:sz w:val="24"/>
          <w:szCs w:val="24"/>
        </w:rPr>
        <w:t>Assurances</w:t>
      </w:r>
      <w:r>
        <w:rPr>
          <w:rFonts w:ascii="Times New Roman" w:hAnsi="Times New Roman" w:eastAsia="Times New Roman" w:cs="Times New Roman"/>
          <w:b/>
          <w:bCs/>
          <w:i/>
          <w:iCs/>
          <w:spacing w:val="6"/>
          <w:sz w:val="24"/>
          <w:szCs w:val="24"/>
        </w:rPr>
        <w:t xml:space="preserve"> </w:t>
      </w:r>
      <w:r>
        <w:rPr>
          <w:rFonts w:ascii="Times New Roman" w:hAnsi="Times New Roman" w:eastAsia="Times New Roman" w:cs="Times New Roman"/>
          <w:b/>
          <w:bCs/>
          <w:i/>
          <w:iCs/>
          <w:sz w:val="24"/>
          <w:szCs w:val="24"/>
        </w:rPr>
        <w:t>of</w:t>
      </w:r>
      <w:r>
        <w:rPr>
          <w:rFonts w:ascii="Times New Roman" w:hAnsi="Times New Roman" w:eastAsia="Times New Roman" w:cs="Times New Roman"/>
          <w:b/>
          <w:bCs/>
          <w:i/>
          <w:iCs/>
          <w:spacing w:val="6"/>
          <w:sz w:val="24"/>
          <w:szCs w:val="24"/>
        </w:rPr>
        <w:t xml:space="preserve"> </w:t>
      </w:r>
      <w:r>
        <w:rPr>
          <w:rFonts w:ascii="Times New Roman" w:hAnsi="Times New Roman" w:eastAsia="Times New Roman" w:cs="Times New Roman"/>
          <w:b/>
          <w:bCs/>
          <w:i/>
          <w:iCs/>
          <w:sz w:val="24"/>
          <w:szCs w:val="24"/>
        </w:rPr>
        <w:t>the</w:t>
      </w:r>
      <w:r>
        <w:rPr>
          <w:rFonts w:ascii="Times New Roman" w:hAnsi="Times New Roman" w:eastAsia="Times New Roman" w:cs="Times New Roman"/>
          <w:b/>
          <w:bCs/>
          <w:i/>
          <w:iCs/>
          <w:spacing w:val="6"/>
          <w:sz w:val="24"/>
          <w:szCs w:val="24"/>
        </w:rPr>
        <w:t xml:space="preserve"> </w:t>
      </w:r>
      <w:r>
        <w:rPr>
          <w:rFonts w:ascii="Times New Roman" w:hAnsi="Times New Roman" w:eastAsia="Times New Roman" w:cs="Times New Roman"/>
          <w:b/>
          <w:bCs/>
          <w:i/>
          <w:iCs/>
          <w:sz w:val="24"/>
          <w:szCs w:val="24"/>
        </w:rPr>
        <w:t>Mapped</w:t>
      </w:r>
      <w:r>
        <w:rPr>
          <w:rFonts w:ascii="Times New Roman" w:hAnsi="Times New Roman" w:eastAsia="Times New Roman" w:cs="Times New Roman"/>
          <w:b/>
          <w:bCs/>
          <w:i/>
          <w:iCs/>
          <w:spacing w:val="-18"/>
          <w:sz w:val="24"/>
          <w:szCs w:val="24"/>
        </w:rPr>
        <w:t xml:space="preserve"> </w:t>
      </w:r>
      <w:r>
        <w:rPr>
          <w:rFonts w:ascii="Times New Roman" w:hAnsi="Times New Roman" w:eastAsia="Times New Roman" w:cs="Times New Roman"/>
          <w:b/>
          <w:bCs/>
          <w:i/>
          <w:iCs/>
          <w:sz w:val="24"/>
          <w:szCs w:val="24"/>
        </w:rPr>
        <w:t>Processes</w:t>
      </w:r>
    </w:p>
    <w:p>
      <w:pPr>
        <w:spacing w:before="31" w:line="228" w:lineRule="auto"/>
        <w:ind w:left="1398"/>
        <w:rPr>
          <w:rFonts w:ascii="Times New Roman" w:hAnsi="Times New Roman" w:eastAsia="Times New Roman" w:cs="Times New Roman"/>
          <w:sz w:val="24"/>
          <w:szCs w:val="24"/>
        </w:rPr>
      </w:pPr>
      <w:r>
        <w:rPr>
          <w:rFonts w:ascii="Times New Roman" w:hAnsi="Times New Roman" w:eastAsia="Times New Roman" w:cs="Times New Roman"/>
          <w:sz w:val="24"/>
          <w:szCs w:val="24"/>
        </w:rPr>
        <w:t>To confirm that the mapped process in “Education” and related proc</w:t>
      </w:r>
      <w:r>
        <w:rPr>
          <w:rFonts w:ascii="Times New Roman" w:hAnsi="Times New Roman" w:eastAsia="Times New Roman" w:cs="Times New Roman"/>
          <w:spacing w:val="-1"/>
          <w:sz w:val="24"/>
          <w:szCs w:val="24"/>
        </w:rPr>
        <w:t>esses in</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“Management</w:t>
      </w:r>
    </w:p>
    <w:p>
      <w:pPr>
        <w:spacing w:before="35" w:line="228" w:lineRule="auto"/>
        <w:ind w:left="1390"/>
        <w:rPr>
          <w:rFonts w:ascii="Times New Roman" w:hAnsi="Times New Roman" w:eastAsia="Times New Roman" w:cs="Times New Roman"/>
          <w:sz w:val="24"/>
          <w:szCs w:val="24"/>
        </w:rPr>
      </w:pPr>
      <w:r>
        <w:rPr>
          <w:rFonts w:ascii="Times New Roman" w:hAnsi="Times New Roman" w:eastAsia="Times New Roman" w:cs="Times New Roman"/>
          <w:sz w:val="24"/>
          <w:szCs w:val="24"/>
        </w:rPr>
        <w:t>planning and control” were on the right track, different Focus groups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u w:val="single" w:color="auto"/>
        </w:rPr>
        <w:t>Hyl</w:t>
      </w:r>
      <w:r>
        <w:rPr>
          <w:rFonts w:ascii="Times New Roman" w:hAnsi="Times New Roman" w:eastAsia="Times New Roman" w:cs="Times New Roman"/>
          <w:spacing w:val="-1"/>
          <w:sz w:val="24"/>
          <w:szCs w:val="24"/>
          <w:u w:val="single" w:color="auto"/>
        </w:rPr>
        <w:t>ander,</w:t>
      </w:r>
      <w:r>
        <w:rPr>
          <w:rFonts w:ascii="Times New Roman" w:hAnsi="Times New Roman" w:eastAsia="Times New Roman" w:cs="Times New Roman"/>
          <w:spacing w:val="5"/>
          <w:sz w:val="24"/>
          <w:szCs w:val="24"/>
          <w:u w:val="single" w:color="auto"/>
        </w:rPr>
        <w:t xml:space="preserve"> </w:t>
      </w:r>
      <w:r>
        <w:rPr>
          <w:rFonts w:ascii="Times New Roman" w:hAnsi="Times New Roman" w:eastAsia="Times New Roman" w:cs="Times New Roman"/>
          <w:spacing w:val="-1"/>
          <w:sz w:val="24"/>
          <w:szCs w:val="24"/>
          <w:u w:val="single" w:color="auto"/>
        </w:rPr>
        <w:t>2001</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were</w:t>
      </w:r>
    </w:p>
    <w:p>
      <w:pPr>
        <w:spacing w:before="36" w:line="253" w:lineRule="auto"/>
        <w:ind w:left="1392" w:right="688" w:firstLine="6"/>
        <w:rPr>
          <w:rFonts w:ascii="Times New Roman" w:hAnsi="Times New Roman" w:eastAsia="Times New Roman" w:cs="Times New Roman"/>
          <w:sz w:val="24"/>
          <w:szCs w:val="24"/>
        </w:rPr>
      </w:pPr>
      <w:r>
        <w:rPr>
          <w:rFonts w:ascii="Times New Roman" w:hAnsi="Times New Roman" w:eastAsia="Times New Roman" w:cs="Times New Roman"/>
          <w:sz w:val="24"/>
          <w:szCs w:val="24"/>
        </w:rPr>
        <w:t>established. Focus group research is highly valued as a qualitative research</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too</w:t>
      </w:r>
      <w:r>
        <w:rPr>
          <w:rFonts w:ascii="Times New Roman" w:hAnsi="Times New Roman" w:eastAsia="Times New Roman" w:cs="Times New Roman"/>
          <w:spacing w:val="-1"/>
          <w:sz w:val="24"/>
          <w:szCs w:val="24"/>
        </w:rPr>
        <w:t>l, most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notably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for</w:t>
      </w:r>
      <w:r>
        <w:rPr>
          <w:rFonts w:ascii="Times New Roman" w:hAnsi="Times New Roman" w:eastAsia="Times New Roman" w:cs="Times New Roman"/>
          <w:sz w:val="24"/>
          <w:szCs w:val="24"/>
        </w:rPr>
        <w:t xml:space="preserve"> its ability to generate in</w:t>
      </w:r>
      <w:r>
        <w:rPr>
          <w:rFonts w:ascii="Times New Roman" w:hAnsi="Times New Roman" w:eastAsia="Times New Roman" w:cs="Times New Roman"/>
          <w:spacing w:val="-1"/>
          <w:sz w:val="24"/>
          <w:szCs w:val="24"/>
        </w:rPr>
        <w:t>-depth insights into a topic in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efficient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timely manner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Masadeh,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u w:val="single" w:color="auto"/>
        </w:rPr>
        <w:t>2012</w:t>
      </w:r>
      <w:r>
        <w:rPr>
          <w:rFonts w:ascii="Times New Roman" w:hAnsi="Times New Roman" w:eastAsia="Times New Roman" w:cs="Times New Roman"/>
          <w:sz w:val="24"/>
          <w:szCs w:val="24"/>
        </w:rPr>
        <w:t>). In this case, Focus groups were used to evaluate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enhance the mapped processes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z w:val="24"/>
          <w:szCs w:val="24"/>
        </w:rPr>
        <w:t xml:space="preserve">     increase the awareness of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processes within the organization. Focus groups often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lead to profound knowledge, understanding, new knowledge and new theory (</w:t>
      </w:r>
      <w:r>
        <w:rPr>
          <w:rFonts w:ascii="Times New Roman" w:hAnsi="Times New Roman" w:eastAsia="Times New Roman" w:cs="Times New Roman"/>
          <w:sz w:val="24"/>
          <w:szCs w:val="24"/>
          <w:u w:val="single" w:color="auto"/>
        </w:rPr>
        <w:t>Hylander, 2001</w:t>
      </w:r>
      <w:r>
        <w:rPr>
          <w:rFonts w:ascii="Times New Roman" w:hAnsi="Times New Roman" w:eastAsia="Times New Roman" w:cs="Times New Roman"/>
          <w:sz w:val="24"/>
          <w:szCs w:val="24"/>
        </w:rPr>
        <w:t>), hence it was a</w:t>
      </w:r>
    </w:p>
    <w:p>
      <w:pPr>
        <w:spacing w:before="33" w:line="311" w:lineRule="exact"/>
        <w:ind w:left="1392"/>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natural</w:t>
      </w:r>
      <w:r>
        <w:rPr>
          <w:rFonts w:ascii="Times New Roman" w:hAnsi="Times New Roman" w:eastAsia="Times New Roman" w:cs="Times New Roman"/>
          <w:spacing w:val="6"/>
          <w:position w:val="1"/>
          <w:sz w:val="24"/>
          <w:szCs w:val="24"/>
        </w:rPr>
        <w:t xml:space="preserve"> </w:t>
      </w:r>
      <w:r>
        <w:rPr>
          <w:rFonts w:ascii="Times New Roman" w:hAnsi="Times New Roman" w:eastAsia="Times New Roman" w:cs="Times New Roman"/>
          <w:position w:val="1"/>
          <w:sz w:val="24"/>
          <w:szCs w:val="24"/>
        </w:rPr>
        <w:t>choice</w:t>
      </w:r>
      <w:r>
        <w:rPr>
          <w:rFonts w:ascii="Times New Roman" w:hAnsi="Times New Roman" w:eastAsia="Times New Roman" w:cs="Times New Roman"/>
          <w:spacing w:val="6"/>
          <w:position w:val="1"/>
          <w:sz w:val="24"/>
          <w:szCs w:val="24"/>
        </w:rPr>
        <w:t xml:space="preserve"> </w:t>
      </w:r>
      <w:r>
        <w:rPr>
          <w:rFonts w:ascii="Times New Roman" w:hAnsi="Times New Roman" w:eastAsia="Times New Roman" w:cs="Times New Roman"/>
          <w:position w:val="1"/>
          <w:sz w:val="24"/>
          <w:szCs w:val="24"/>
        </w:rPr>
        <w:t>of</w:t>
      </w:r>
      <w:r>
        <w:rPr>
          <w:rFonts w:ascii="Times New Roman" w:hAnsi="Times New Roman" w:eastAsia="Times New Roman" w:cs="Times New Roman"/>
          <w:spacing w:val="-22"/>
          <w:position w:val="1"/>
          <w:sz w:val="24"/>
          <w:szCs w:val="24"/>
        </w:rPr>
        <w:t xml:space="preserve"> </w:t>
      </w:r>
      <w:r>
        <w:rPr>
          <w:rFonts w:ascii="Times New Roman" w:hAnsi="Times New Roman" w:eastAsia="Times New Roman" w:cs="Times New Roman"/>
          <w:position w:val="1"/>
          <w:sz w:val="24"/>
          <w:szCs w:val="24"/>
        </w:rPr>
        <w:t>method</w:t>
      </w:r>
      <w:r>
        <w:rPr>
          <w:rFonts w:ascii="Times New Roman" w:hAnsi="Times New Roman" w:eastAsia="Times New Roman" w:cs="Times New Roman"/>
          <w:spacing w:val="6"/>
          <w:position w:val="1"/>
          <w:sz w:val="24"/>
          <w:szCs w:val="24"/>
        </w:rPr>
        <w:t>.</w:t>
      </w:r>
    </w:p>
    <w:p>
      <w:pPr>
        <w:spacing w:before="150" w:line="228" w:lineRule="auto"/>
        <w:ind w:left="1398"/>
        <w:rPr>
          <w:rFonts w:ascii="Times New Roman" w:hAnsi="Times New Roman" w:eastAsia="Times New Roman" w:cs="Times New Roman"/>
          <w:sz w:val="24"/>
          <w:szCs w:val="24"/>
        </w:rPr>
      </w:pPr>
      <w:r>
        <w:rPr>
          <w:rFonts w:ascii="Times New Roman" w:hAnsi="Times New Roman" w:eastAsia="Times New Roman" w:cs="Times New Roman"/>
          <w:sz w:val="24"/>
          <w:szCs w:val="24"/>
        </w:rPr>
        <w:t>Three different activities were carried out to anchor,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confi</w:t>
      </w:r>
      <w:r>
        <w:rPr>
          <w:rFonts w:ascii="Times New Roman" w:hAnsi="Times New Roman" w:eastAsia="Times New Roman" w:cs="Times New Roman"/>
          <w:spacing w:val="-1"/>
          <w:sz w:val="24"/>
          <w:szCs w:val="24"/>
        </w:rPr>
        <w:t>rm</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and test 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mapped processes.</w:t>
      </w:r>
    </w:p>
    <w:p>
      <w:pPr>
        <w:spacing w:before="35" w:line="248" w:lineRule="auto"/>
        <w:ind w:left="1393" w:right="741"/>
        <w:rPr>
          <w:rFonts w:ascii="Times New Roman" w:hAnsi="Times New Roman" w:eastAsia="Times New Roman" w:cs="Times New Roman"/>
          <w:sz w:val="24"/>
          <w:szCs w:val="24"/>
        </w:rPr>
      </w:pPr>
      <w:r>
        <w:rPr>
          <w:rFonts w:ascii="Times New Roman" w:hAnsi="Times New Roman" w:eastAsia="Times New Roman" w:cs="Times New Roman"/>
          <w:sz w:val="24"/>
          <w:szCs w:val="24"/>
        </w:rPr>
        <w:t>Various activities, with different Focus grou</w:t>
      </w:r>
      <w:r>
        <w:rPr>
          <w:rFonts w:ascii="Times New Roman" w:hAnsi="Times New Roman" w:eastAsia="Times New Roman" w:cs="Times New Roman"/>
          <w:spacing w:val="-1"/>
          <w:sz w:val="24"/>
          <w:szCs w:val="24"/>
        </w:rPr>
        <w:t>ps, were selected to</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give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different perspectives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 xml:space="preserve">and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increase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awareness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mapped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processes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Following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three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activities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were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carried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out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to assure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quality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mapped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process</w:t>
      </w:r>
      <w:r>
        <w:rPr>
          <w:rFonts w:ascii="Times New Roman" w:hAnsi="Times New Roman" w:eastAsia="Times New Roman" w:cs="Times New Roman"/>
          <w:spacing w:val="3"/>
          <w:sz w:val="24"/>
          <w:szCs w:val="24"/>
        </w:rPr>
        <w:t>:</w:t>
      </w:r>
    </w:p>
    <w:sdt>
      <w:sdtPr>
        <w:rPr>
          <w:rFonts w:ascii="Malgun Gothic" w:hAnsi="Malgun Gothic" w:eastAsia="Malgun Gothic" w:cs="Malgun Gothic"/>
          <w:sz w:val="24"/>
          <w:szCs w:val="24"/>
        </w:rPr>
        <w:id w:val="7"/>
        <w:docPartObj>
          <w:docPartGallery w:val="Table of Contents"/>
          <w:docPartUnique/>
        </w:docPartObj>
      </w:sdtPr>
      <w:sdtEndPr>
        <w:rPr>
          <w:rFonts w:ascii="Times New Roman" w:hAnsi="Times New Roman" w:eastAsia="Times New Roman" w:cs="Times New Roman"/>
          <w:sz w:val="24"/>
          <w:szCs w:val="24"/>
        </w:rPr>
      </w:sdtEndPr>
      <w:sdtContent>
        <w:p>
          <w:pPr>
            <w:spacing w:before="215" w:line="182" w:lineRule="auto"/>
            <w:ind w:left="1403"/>
            <w:rPr>
              <w:rFonts w:ascii="Times New Roman" w:hAnsi="Times New Roman" w:eastAsia="Times New Roman" w:cs="Times New Roman"/>
              <w:sz w:val="24"/>
              <w:szCs w:val="24"/>
            </w:rPr>
          </w:pPr>
          <w:r>
            <w:rPr>
              <w:rFonts w:ascii="Malgun Gothic" w:hAnsi="Malgun Gothic" w:eastAsia="Malgun Gothic" w:cs="Malgun Gothic"/>
              <w:spacing w:val="-3"/>
              <w:sz w:val="24"/>
              <w:szCs w:val="24"/>
            </w:rPr>
            <w:t>•</w:t>
          </w:r>
          <w:r>
            <w:rPr>
              <w:rFonts w:ascii="Malgun Gothic" w:hAnsi="Malgun Gothic" w:eastAsia="Malgun Gothic" w:cs="Malgun Gothic"/>
              <w:spacing w:val="4"/>
              <w:sz w:val="24"/>
              <w:szCs w:val="24"/>
            </w:rPr>
            <w:t xml:space="preserve">       </w:t>
          </w:r>
          <w:r>
            <w:rPr>
              <w:rFonts w:ascii="Times New Roman" w:hAnsi="Times New Roman" w:eastAsia="Times New Roman" w:cs="Times New Roman"/>
              <w:spacing w:val="-3"/>
              <w:sz w:val="24"/>
              <w:szCs w:val="24"/>
            </w:rPr>
            <w:t>Mirroring (</w:t>
          </w:r>
          <w:r>
            <w:rPr>
              <w:rFonts w:ascii="Times New Roman" w:hAnsi="Times New Roman" w:eastAsia="Times New Roman" w:cs="Times New Roman"/>
              <w:spacing w:val="-33"/>
              <w:sz w:val="24"/>
              <w:szCs w:val="24"/>
            </w:rPr>
            <w:t xml:space="preserve"> </w:t>
          </w:r>
          <w:r>
            <w:fldChar w:fldCharType="begin"/>
          </w:r>
          <w:r>
            <w:instrText xml:space="preserve"> HYPERLINK \l "bookmark117" </w:instrText>
          </w:r>
          <w:r>
            <w:fldChar w:fldCharType="separate"/>
          </w:r>
          <w:r>
            <w:rPr>
              <w:rFonts w:ascii="Times New Roman" w:hAnsi="Times New Roman" w:eastAsia="Times New Roman" w:cs="Times New Roman"/>
              <w:spacing w:val="-3"/>
              <w:sz w:val="24"/>
              <w:szCs w:val="24"/>
            </w:rPr>
            <w:t>1)</w:t>
          </w:r>
          <w:r>
            <w:rPr>
              <w:rFonts w:ascii="Times New Roman" w:hAnsi="Times New Roman" w:eastAsia="Times New Roman" w:cs="Times New Roman"/>
              <w:spacing w:val="-3"/>
              <w:sz w:val="24"/>
              <w:szCs w:val="24"/>
            </w:rPr>
            <w:fldChar w:fldCharType="end"/>
          </w:r>
        </w:p>
        <w:p>
          <w:pPr>
            <w:spacing w:line="180" w:lineRule="auto"/>
            <w:ind w:left="1403"/>
            <w:rPr>
              <w:rFonts w:ascii="Times New Roman" w:hAnsi="Times New Roman" w:eastAsia="Times New Roman" w:cs="Times New Roman"/>
              <w:sz w:val="24"/>
              <w:szCs w:val="24"/>
            </w:rPr>
          </w:pPr>
          <w:r>
            <w:rPr>
              <w:rFonts w:ascii="Malgun Gothic" w:hAnsi="Malgun Gothic" w:eastAsia="Malgun Gothic" w:cs="Malgun Gothic"/>
              <w:spacing w:val="-1"/>
              <w:sz w:val="24"/>
              <w:szCs w:val="24"/>
            </w:rPr>
            <w:t>•</w:t>
          </w:r>
          <w:r>
            <w:rPr>
              <w:rFonts w:ascii="Malgun Gothic" w:hAnsi="Malgun Gothic" w:eastAsia="Malgun Gothic" w:cs="Malgun Gothic"/>
              <w:spacing w:val="4"/>
              <w:sz w:val="24"/>
              <w:szCs w:val="24"/>
            </w:rPr>
            <w:t xml:space="preserve">       </w:t>
          </w:r>
          <w:r>
            <w:rPr>
              <w:rFonts w:ascii="Times New Roman" w:hAnsi="Times New Roman" w:eastAsia="Times New Roman" w:cs="Times New Roman"/>
              <w:spacing w:val="-1"/>
              <w:sz w:val="24"/>
              <w:szCs w:val="24"/>
            </w:rPr>
            <w:t>Integration (</w:t>
          </w:r>
          <w:r>
            <w:fldChar w:fldCharType="begin"/>
          </w:r>
          <w:r>
            <w:instrText xml:space="preserve"> HYPERLINK \l "bookmark118" </w:instrText>
          </w:r>
          <w:r>
            <w:fldChar w:fldCharType="separate"/>
          </w:r>
          <w:r>
            <w:rPr>
              <w:rFonts w:ascii="Times New Roman" w:hAnsi="Times New Roman" w:eastAsia="Times New Roman" w:cs="Times New Roman"/>
              <w:spacing w:val="-1"/>
              <w:sz w:val="24"/>
              <w:szCs w:val="24"/>
            </w:rPr>
            <w:t>2)</w:t>
          </w:r>
          <w:r>
            <w:rPr>
              <w:rFonts w:ascii="Times New Roman" w:hAnsi="Times New Roman" w:eastAsia="Times New Roman" w:cs="Times New Roman"/>
              <w:spacing w:val="-1"/>
              <w:sz w:val="24"/>
              <w:szCs w:val="24"/>
            </w:rPr>
            <w:fldChar w:fldCharType="end"/>
          </w:r>
        </w:p>
        <w:p>
          <w:pPr>
            <w:spacing w:before="1" w:line="183" w:lineRule="auto"/>
            <w:ind w:left="1403"/>
            <w:rPr>
              <w:rFonts w:ascii="Times New Roman" w:hAnsi="Times New Roman" w:eastAsia="Times New Roman" w:cs="Times New Roman"/>
              <w:sz w:val="24"/>
              <w:szCs w:val="24"/>
            </w:rPr>
          </w:pPr>
          <w:r>
            <w:rPr>
              <w:rFonts w:ascii="Malgun Gothic" w:hAnsi="Malgun Gothic" w:eastAsia="Malgun Gothic" w:cs="Malgun Gothic"/>
              <w:spacing w:val="-2"/>
              <w:sz w:val="24"/>
              <w:szCs w:val="24"/>
            </w:rPr>
            <w:t>•</w:t>
          </w:r>
          <w:r>
            <w:rPr>
              <w:rFonts w:ascii="Malgun Gothic" w:hAnsi="Malgun Gothic" w:eastAsia="Malgun Gothic" w:cs="Malgun Gothic"/>
              <w:spacing w:val="3"/>
              <w:sz w:val="24"/>
              <w:szCs w:val="24"/>
            </w:rPr>
            <w:t xml:space="preserve">       </w:t>
          </w:r>
          <w:r>
            <w:rPr>
              <w:rFonts w:ascii="Times New Roman" w:hAnsi="Times New Roman" w:eastAsia="Times New Roman" w:cs="Times New Roman"/>
              <w:spacing w:val="-2"/>
              <w:sz w:val="24"/>
              <w:szCs w:val="24"/>
            </w:rPr>
            <w:t>Pilot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2"/>
              <w:sz w:val="24"/>
              <w:szCs w:val="24"/>
            </w:rPr>
            <w:t>(</w:t>
          </w:r>
          <w:r>
            <w:fldChar w:fldCharType="begin"/>
          </w:r>
          <w:r>
            <w:instrText xml:space="preserve"> HYPERLINK \l "bookmark119" </w:instrText>
          </w:r>
          <w:r>
            <w:fldChar w:fldCharType="separate"/>
          </w:r>
          <w:r>
            <w:rPr>
              <w:rFonts w:ascii="Times New Roman" w:hAnsi="Times New Roman" w:eastAsia="Times New Roman" w:cs="Times New Roman"/>
              <w:spacing w:val="-2"/>
              <w:sz w:val="24"/>
              <w:szCs w:val="24"/>
            </w:rPr>
            <w:t>3)</w:t>
          </w:r>
          <w:r>
            <w:rPr>
              <w:rFonts w:ascii="Times New Roman" w:hAnsi="Times New Roman" w:eastAsia="Times New Roman" w:cs="Times New Roman"/>
              <w:spacing w:val="-2"/>
              <w:sz w:val="24"/>
              <w:szCs w:val="24"/>
            </w:rPr>
            <w:fldChar w:fldCharType="end"/>
          </w:r>
        </w:p>
      </w:sdtContent>
    </w:sdt>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13" w:lineRule="exact"/>
        <w:ind w:firstLine="1151"/>
      </w:pPr>
      <w:r>
        <w:rPr>
          <w:position w:val="-4"/>
        </w:rPr>
        <w:drawing>
          <wp:inline distT="0" distB="0" distL="0" distR="0">
            <wp:extent cx="1849120" cy="13462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437" w:bottom="100" w:left="48" w:header="0" w:footer="0" w:gutter="0"/>
          <w:cols w:space="720" w:num="1"/>
        </w:sectPr>
      </w:pPr>
    </w:p>
    <w:p>
      <w:pPr>
        <w:spacing w:line="251" w:lineRule="auto"/>
        <w:rPr>
          <w:rFonts w:ascii="Arial"/>
          <w:sz w:val="21"/>
        </w:rPr>
      </w:pPr>
      <w:r>
        <mc:AlternateContent>
          <mc:Choice Requires="wps">
            <w:drawing>
              <wp:anchor distT="0" distB="0" distL="0" distR="0" simplePos="0" relativeHeight="251781120"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236" name="TextBox 236"/>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6" o:spid="_x0000_s1026" o:spt="202" type="#_x0000_t202" style="position:absolute;left:0pt;margin-left:-120.15pt;margin-top:416.25pt;height:9.3pt;width:252.55pt;mso-position-horizontal-relative:page;mso-position-vertical-relative:page;rotation:-5898240f;z-index:251781120;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flfLbAAAADAEAAA8AAAAAAAAAAQAgAAAAIgAAAGRycy9k&#10;b3ducmV2LnhtbFBLAQIUABQAAAAIAIdO4kDNBo6DOAIAAHEEAAAOAAAAAAAAAAEAIAAAACoBAABk&#10;cnMvZTJvRG9jLnhtbFBLBQYAAAAABgAGAFkBAADUBQ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69" w:line="190" w:lineRule="auto"/>
        <w:ind w:left="1383"/>
        <w:rPr>
          <w:rFonts w:ascii="Times New Roman" w:hAnsi="Times New Roman" w:eastAsia="Times New Roman" w:cs="Times New Roman"/>
          <w:sz w:val="24"/>
          <w:szCs w:val="24"/>
        </w:rPr>
      </w:pPr>
      <w:r>
        <w:rPr>
          <w:rFonts w:ascii="Times New Roman" w:hAnsi="Times New Roman" w:eastAsia="Times New Roman" w:cs="Times New Roman"/>
          <w:i/>
          <w:iCs/>
          <w:sz w:val="24"/>
          <w:szCs w:val="24"/>
        </w:rPr>
        <w:t>Mirroring</w:t>
      </w:r>
      <w:r>
        <w:rPr>
          <w:rFonts w:ascii="Times New Roman" w:hAnsi="Times New Roman" w:eastAsia="Times New Roman" w:cs="Times New Roman"/>
          <w:i/>
          <w:iCs/>
          <w:spacing w:val="1"/>
          <w:sz w:val="24"/>
          <w:szCs w:val="24"/>
        </w:rPr>
        <w:t xml:space="preserve"> (1)</w:t>
      </w:r>
    </w:p>
    <w:p>
      <w:pPr>
        <w:spacing w:before="35" w:line="228" w:lineRule="auto"/>
        <w:ind w:left="1395"/>
        <w:rPr>
          <w:rFonts w:ascii="Times New Roman" w:hAnsi="Times New Roman" w:eastAsia="Times New Roman" w:cs="Times New Roman"/>
          <w:sz w:val="24"/>
          <w:szCs w:val="24"/>
        </w:rPr>
      </w:pPr>
      <w:r>
        <w:rPr>
          <w:rFonts w:ascii="Times New Roman" w:hAnsi="Times New Roman" w:eastAsia="Times New Roman" w:cs="Times New Roman"/>
          <w:sz w:val="24"/>
          <w:szCs w:val="24"/>
        </w:rPr>
        <w:t>Mirroring</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means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selecting</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new</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group</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composed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corresponding</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group</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members</w:t>
      </w:r>
      <w:r>
        <w:rPr>
          <w:rFonts w:ascii="Times New Roman" w:hAnsi="Times New Roman" w:eastAsia="Times New Roman" w:cs="Times New Roman"/>
          <w:spacing w:val="4"/>
          <w:sz w:val="24"/>
          <w:szCs w:val="24"/>
        </w:rPr>
        <w:t>’</w:t>
      </w:r>
    </w:p>
    <w:p>
      <w:pPr>
        <w:spacing w:before="35"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z w:val="24"/>
          <w:szCs w:val="24"/>
        </w:rPr>
        <w:t>expertise and experience as in the original mapping</w:t>
      </w:r>
      <w:r>
        <w:rPr>
          <w:rFonts w:ascii="Times New Roman" w:hAnsi="Times New Roman" w:eastAsia="Times New Roman" w:cs="Times New Roman"/>
          <w:spacing w:val="-1"/>
          <w:sz w:val="24"/>
          <w:szCs w:val="24"/>
        </w:rPr>
        <w:t>-group</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 let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them</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review</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mapped</w:t>
      </w:r>
    </w:p>
    <w:p>
      <w:pPr>
        <w:spacing w:before="36" w:line="243" w:lineRule="auto"/>
        <w:ind w:left="1390" w:right="95"/>
        <w:rPr>
          <w:rFonts w:ascii="Times New Roman" w:hAnsi="Times New Roman" w:eastAsia="Times New Roman" w:cs="Times New Roman"/>
          <w:sz w:val="24"/>
          <w:szCs w:val="24"/>
        </w:rPr>
      </w:pPr>
      <w:r>
        <w:rPr>
          <w:rFonts w:ascii="Times New Roman" w:hAnsi="Times New Roman" w:eastAsia="Times New Roman" w:cs="Times New Roman"/>
          <w:sz w:val="24"/>
          <w:szCs w:val="24"/>
        </w:rPr>
        <w:t>processes. During a WS the original group and the mirror group reviewed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apped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education</w:t>
      </w:r>
      <w:r>
        <w:rPr>
          <w:rFonts w:ascii="Times New Roman" w:hAnsi="Times New Roman" w:eastAsia="Times New Roman" w:cs="Times New Roman"/>
          <w:sz w:val="24"/>
          <w:szCs w:val="24"/>
        </w:rPr>
        <w:t xml:space="preserve"> processes, the first two steps, and discussed them thoroughly.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w:t>
      </w:r>
      <w:r>
        <w:rPr>
          <w:rFonts w:ascii="Times New Roman" w:hAnsi="Times New Roman" w:eastAsia="Times New Roman" w:cs="Times New Roman"/>
          <w:spacing w:val="-1"/>
          <w:sz w:val="24"/>
          <w:szCs w:val="24"/>
        </w:rPr>
        <w:t>he mirror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group</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followed the</w:t>
      </w:r>
    </w:p>
    <w:p>
      <w:pPr>
        <w:spacing w:before="36" w:line="249" w:lineRule="auto"/>
        <w:ind w:left="1397" w:right="36" w:hanging="7"/>
        <w:rPr>
          <w:rFonts w:ascii="Times New Roman" w:hAnsi="Times New Roman" w:eastAsia="Times New Roman" w:cs="Times New Roman"/>
          <w:sz w:val="24"/>
          <w:szCs w:val="24"/>
        </w:rPr>
      </w:pPr>
      <w:r>
        <w:rPr>
          <w:rFonts w:ascii="Times New Roman" w:hAnsi="Times New Roman" w:eastAsia="Times New Roman" w:cs="Times New Roman"/>
          <w:sz w:val="24"/>
          <w:szCs w:val="24"/>
        </w:rPr>
        <w:t>processes, step by step, and asked relevant questions. They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also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confirm</w:t>
      </w:r>
      <w:r>
        <w:rPr>
          <w:rFonts w:ascii="Times New Roman" w:hAnsi="Times New Roman" w:eastAsia="Times New Roman" w:cs="Times New Roman"/>
          <w:spacing w:val="-1"/>
          <w:sz w:val="24"/>
          <w:szCs w:val="24"/>
        </w:rPr>
        <w:t>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mapped processes</w:t>
      </w:r>
      <w:r>
        <w:rPr>
          <w:rFonts w:ascii="Times New Roman" w:hAnsi="Times New Roman" w:eastAsia="Times New Roman" w:cs="Times New Roman"/>
          <w:sz w:val="24"/>
          <w:szCs w:val="24"/>
        </w:rPr>
        <w:t xml:space="preserve"> and came up with some improvement pro</w:t>
      </w:r>
      <w:r>
        <w:rPr>
          <w:rFonts w:ascii="Times New Roman" w:hAnsi="Times New Roman" w:eastAsia="Times New Roman" w:cs="Times New Roman"/>
          <w:spacing w:val="-1"/>
          <w:sz w:val="24"/>
          <w:szCs w:val="24"/>
        </w:rPr>
        <w:t>posals. This session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gave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original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group</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 xml:space="preserve">some new  </w:t>
      </w:r>
      <w:r>
        <w:rPr>
          <w:rFonts w:ascii="Times New Roman" w:hAnsi="Times New Roman" w:eastAsia="Times New Roman" w:cs="Times New Roman"/>
          <w:sz w:val="24"/>
          <w:szCs w:val="24"/>
        </w:rPr>
        <w:t>input, but mostly the mirror group assured that the processes were properly ma</w:t>
      </w:r>
      <w:r>
        <w:rPr>
          <w:rFonts w:ascii="Times New Roman" w:hAnsi="Times New Roman" w:eastAsia="Times New Roman" w:cs="Times New Roman"/>
          <w:spacing w:val="-1"/>
          <w:sz w:val="24"/>
          <w:szCs w:val="24"/>
        </w:rPr>
        <w:t>pped. The</w:t>
      </w:r>
    </w:p>
    <w:p>
      <w:pPr>
        <w:spacing w:before="34" w:line="248" w:lineRule="auto"/>
        <w:ind w:left="1397" w:right="364" w:hanging="5"/>
        <w:rPr>
          <w:rFonts w:ascii="Times New Roman" w:hAnsi="Times New Roman" w:eastAsia="Times New Roman" w:cs="Times New Roman"/>
          <w:sz w:val="24"/>
          <w:szCs w:val="24"/>
        </w:rPr>
      </w:pPr>
      <w:r>
        <w:rPr>
          <w:rFonts w:ascii="Times New Roman" w:hAnsi="Times New Roman" w:eastAsia="Times New Roman" w:cs="Times New Roman"/>
          <w:sz w:val="24"/>
          <w:szCs w:val="24"/>
        </w:rPr>
        <w:t>mirroring session also worked as an anchoring process where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mployees,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i.e. the mirror</w:t>
      </w:r>
      <w:r>
        <w:rPr>
          <w:rFonts w:ascii="Times New Roman" w:hAnsi="Times New Roman" w:eastAsia="Times New Roman" w:cs="Times New Roman"/>
          <w:sz w:val="24"/>
          <w:szCs w:val="24"/>
        </w:rPr>
        <w:t xml:space="preserve"> group</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was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process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mapping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thereby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able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take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some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responsibility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for   communication and anchoring during the implementati</w:t>
      </w:r>
      <w:r>
        <w:rPr>
          <w:rFonts w:ascii="Times New Roman" w:hAnsi="Times New Roman" w:eastAsia="Times New Roman" w:cs="Times New Roman"/>
          <w:spacing w:val="-1"/>
          <w:sz w:val="24"/>
          <w:szCs w:val="24"/>
        </w:rPr>
        <w:t>on process.</w:t>
      </w:r>
    </w:p>
    <w:p>
      <w:pPr>
        <w:spacing w:before="242" w:line="190" w:lineRule="auto"/>
        <w:ind w:left="1383"/>
        <w:rPr>
          <w:rFonts w:ascii="Times New Roman" w:hAnsi="Times New Roman" w:eastAsia="Times New Roman" w:cs="Times New Roman"/>
          <w:sz w:val="24"/>
          <w:szCs w:val="24"/>
        </w:rPr>
      </w:pPr>
      <w:r>
        <w:rPr>
          <w:rFonts w:ascii="Times New Roman" w:hAnsi="Times New Roman" w:eastAsia="Times New Roman" w:cs="Times New Roman"/>
          <w:i/>
          <w:iCs/>
          <w:spacing w:val="-1"/>
          <w:sz w:val="24"/>
          <w:szCs w:val="24"/>
        </w:rPr>
        <w:t>Integration</w:t>
      </w:r>
      <w:r>
        <w:rPr>
          <w:rFonts w:ascii="Times New Roman" w:hAnsi="Times New Roman" w:eastAsia="Times New Roman" w:cs="Times New Roman"/>
          <w:i/>
          <w:iCs/>
          <w:spacing w:val="19"/>
          <w:sz w:val="24"/>
          <w:szCs w:val="24"/>
        </w:rPr>
        <w:t xml:space="preserve"> </w:t>
      </w:r>
      <w:r>
        <w:rPr>
          <w:rFonts w:ascii="Times New Roman" w:hAnsi="Times New Roman" w:eastAsia="Times New Roman" w:cs="Times New Roman"/>
          <w:i/>
          <w:iCs/>
          <w:spacing w:val="-1"/>
          <w:sz w:val="24"/>
          <w:szCs w:val="24"/>
        </w:rPr>
        <w:t>(2)</w:t>
      </w:r>
    </w:p>
    <w:p>
      <w:pPr>
        <w:spacing w:before="36" w:line="228" w:lineRule="auto"/>
        <w:ind w:left="1392"/>
        <w:rPr>
          <w:rFonts w:ascii="Times New Roman" w:hAnsi="Times New Roman" w:eastAsia="Times New Roman" w:cs="Times New Roman"/>
          <w:sz w:val="24"/>
          <w:szCs w:val="24"/>
        </w:rPr>
      </w:pPr>
      <w:r>
        <w:rPr>
          <w:rFonts w:ascii="Times New Roman" w:hAnsi="Times New Roman" w:eastAsia="Times New Roman" w:cs="Times New Roman"/>
          <w:sz w:val="24"/>
          <w:szCs w:val="24"/>
        </w:rPr>
        <w:t>All Universities in</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 xml:space="preserve">Sweden are developing their own Quality </w:t>
      </w:r>
      <w:r>
        <w:rPr>
          <w:rFonts w:ascii="Times New Roman" w:hAnsi="Times New Roman" w:eastAsia="Times New Roman" w:cs="Times New Roman"/>
          <w:spacing w:val="-1"/>
          <w:sz w:val="24"/>
          <w:szCs w:val="24"/>
        </w:rPr>
        <w:t>Systems based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on, broadly</w:t>
      </w:r>
    </w:p>
    <w:p>
      <w:pPr>
        <w:spacing w:before="35" w:line="228" w:lineRule="auto"/>
        <w:ind w:left="140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speaking, Higher Education Act, Higher Education Ordinance </w:t>
      </w:r>
      <w:r>
        <w:rPr>
          <w:rFonts w:ascii="Times New Roman" w:hAnsi="Times New Roman" w:eastAsia="Times New Roman" w:cs="Times New Roman"/>
          <w:spacing w:val="-1"/>
          <w:sz w:val="24"/>
          <w:szCs w:val="24"/>
        </w:rPr>
        <w:t>and ESG (Standards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p>
    <w:p>
      <w:pPr>
        <w:spacing w:before="34" w:line="253" w:lineRule="auto"/>
        <w:ind w:left="1392" w:firstLine="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guidelines for quality assurance in the European Higher education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area).</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Focus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group,</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 xml:space="preserve">fact    </w:t>
      </w:r>
      <w:r>
        <w:rPr>
          <w:rFonts w:ascii="Times New Roman" w:hAnsi="Times New Roman" w:eastAsia="Times New Roman" w:cs="Times New Roman"/>
          <w:sz w:val="24"/>
          <w:szCs w:val="24"/>
        </w:rPr>
        <w:t>the undergraduate and postgraduate education committee, was selected to evaluate the possibility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integrating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new</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quality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system</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draft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mapped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processes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During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two</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day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meeting the committee was discussing and evaluating if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and how to integrate the new</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quality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system w</w:t>
      </w:r>
      <w:r>
        <w:rPr>
          <w:rFonts w:ascii="Times New Roman" w:hAnsi="Times New Roman" w:eastAsia="Times New Roman" w:cs="Times New Roman"/>
          <w:spacing w:val="-1"/>
          <w:sz w:val="24"/>
          <w:szCs w:val="24"/>
        </w:rPr>
        <w:t>ith</w:t>
      </w:r>
      <w:r>
        <w:rPr>
          <w:rFonts w:ascii="Times New Roman" w:hAnsi="Times New Roman" w:eastAsia="Times New Roman" w:cs="Times New Roman"/>
          <w:sz w:val="24"/>
          <w:szCs w:val="24"/>
        </w:rPr>
        <w:t xml:space="preserve"> relevant mapped processes. The ESG (</w:t>
      </w:r>
      <w:r>
        <w:rPr>
          <w:rFonts w:ascii="Times New Roman" w:hAnsi="Times New Roman" w:eastAsia="Times New Roman" w:cs="Times New Roman"/>
          <w:sz w:val="24"/>
          <w:szCs w:val="24"/>
          <w:u w:val="single" w:color="auto"/>
        </w:rPr>
        <w:t>(ENQA), 2015</w:t>
      </w:r>
      <w:r>
        <w:rPr>
          <w:rFonts w:ascii="Times New Roman" w:hAnsi="Times New Roman" w:eastAsia="Times New Roman" w:cs="Times New Roman"/>
          <w:sz w:val="24"/>
          <w:szCs w:val="24"/>
        </w:rPr>
        <w:t>) part I, “Standar</w:t>
      </w:r>
      <w:r>
        <w:rPr>
          <w:rFonts w:ascii="Times New Roman" w:hAnsi="Times New Roman" w:eastAsia="Times New Roman" w:cs="Times New Roman"/>
          <w:spacing w:val="-1"/>
          <w:sz w:val="24"/>
          <w:szCs w:val="24"/>
        </w:rPr>
        <w:t>ds 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guidelines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for</w:t>
      </w:r>
    </w:p>
    <w:p>
      <w:pPr>
        <w:spacing w:before="36" w:line="244" w:lineRule="auto"/>
        <w:ind w:left="1398" w:right="16" w:hanging="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internal quality assurance”, includes the sections</w:t>
      </w:r>
      <w:r>
        <w:rPr>
          <w:rFonts w:ascii="Times New Roman" w:hAnsi="Times New Roman" w:eastAsia="Times New Roman" w:cs="Times New Roman"/>
          <w:spacing w:val="38"/>
          <w:w w:val="101"/>
          <w:sz w:val="24"/>
          <w:szCs w:val="24"/>
        </w:rPr>
        <w:t xml:space="preserve"> </w:t>
      </w:r>
      <w:r>
        <w:rPr>
          <w:rFonts w:ascii="Times New Roman" w:hAnsi="Times New Roman" w:eastAsia="Times New Roman" w:cs="Times New Roman"/>
          <w:spacing w:val="-1"/>
          <w:sz w:val="24"/>
          <w:szCs w:val="24"/>
        </w:rPr>
        <w:t>1.1 Policy for quality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assurance,</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
          <w:sz w:val="24"/>
          <w:szCs w:val="24"/>
        </w:rPr>
        <w:t>1.2</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Design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approval of</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programmes,</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1.3</w:t>
      </w:r>
      <w:r>
        <w:rPr>
          <w:rFonts w:ascii="Times New Roman" w:hAnsi="Times New Roman" w:eastAsia="Times New Roman" w:cs="Times New Roman"/>
          <w:spacing w:val="15"/>
          <w:w w:val="101"/>
          <w:sz w:val="24"/>
          <w:szCs w:val="24"/>
        </w:rPr>
        <w:t xml:space="preserve"> </w:t>
      </w:r>
      <w:r>
        <w:rPr>
          <w:rFonts w:ascii="Times New Roman" w:hAnsi="Times New Roman" w:eastAsia="Times New Roman" w:cs="Times New Roman"/>
          <w:spacing w:val="-1"/>
          <w:sz w:val="24"/>
          <w:szCs w:val="24"/>
        </w:rPr>
        <w:t>Student-centered learning, teaching and assessment,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
          <w:sz w:val="24"/>
          <w:szCs w:val="24"/>
        </w:rPr>
        <w:t>1.4</w:t>
      </w:r>
      <w:r>
        <w:rPr>
          <w:rFonts w:ascii="Times New Roman" w:hAnsi="Times New Roman" w:eastAsia="Times New Roman" w:cs="Times New Roman"/>
          <w:spacing w:val="15"/>
          <w:w w:val="101"/>
          <w:sz w:val="24"/>
          <w:szCs w:val="24"/>
        </w:rPr>
        <w:t xml:space="preserve"> </w:t>
      </w:r>
      <w:r>
        <w:rPr>
          <w:rFonts w:ascii="Times New Roman" w:hAnsi="Times New Roman" w:eastAsia="Times New Roman" w:cs="Times New Roman"/>
          <w:spacing w:val="-1"/>
          <w:sz w:val="24"/>
          <w:szCs w:val="24"/>
        </w:rPr>
        <w:t>Student</w:t>
      </w:r>
    </w:p>
    <w:p>
      <w:pPr>
        <w:spacing w:before="36" w:line="243" w:lineRule="auto"/>
        <w:ind w:left="1399" w:right="112"/>
        <w:rPr>
          <w:rFonts w:ascii="Times New Roman" w:hAnsi="Times New Roman" w:eastAsia="Times New Roman" w:cs="Times New Roman"/>
          <w:sz w:val="24"/>
          <w:szCs w:val="24"/>
        </w:rPr>
      </w:pPr>
      <w:r>
        <w:rPr>
          <w:rFonts w:ascii="Times New Roman" w:hAnsi="Times New Roman" w:eastAsia="Times New Roman" w:cs="Times New Roman"/>
          <w:sz w:val="24"/>
          <w:szCs w:val="24"/>
        </w:rPr>
        <w:t>admission, progression, recogn</w:t>
      </w:r>
      <w:r>
        <w:rPr>
          <w:rFonts w:ascii="Times New Roman" w:hAnsi="Times New Roman" w:eastAsia="Times New Roman" w:cs="Times New Roman"/>
          <w:spacing w:val="-1"/>
          <w:sz w:val="24"/>
          <w:szCs w:val="24"/>
        </w:rPr>
        <w:t>ition and certification,</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
          <w:sz w:val="24"/>
          <w:szCs w:val="24"/>
        </w:rPr>
        <w:t>1.5 Teaching staff,</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
          <w:sz w:val="24"/>
          <w:szCs w:val="24"/>
        </w:rPr>
        <w:t>1.6 Learning resources</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and student support,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
          <w:sz w:val="24"/>
          <w:szCs w:val="24"/>
        </w:rPr>
        <w:t>1.7 Information management,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
          <w:sz w:val="24"/>
          <w:szCs w:val="24"/>
        </w:rPr>
        <w:t>1.8 Public i</w:t>
      </w:r>
      <w:r>
        <w:rPr>
          <w:rFonts w:ascii="Times New Roman" w:hAnsi="Times New Roman" w:eastAsia="Times New Roman" w:cs="Times New Roman"/>
          <w:spacing w:val="-2"/>
          <w:sz w:val="24"/>
          <w:szCs w:val="24"/>
        </w:rPr>
        <w:t>nformation,</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2"/>
          <w:sz w:val="24"/>
          <w:szCs w:val="24"/>
        </w:rPr>
        <w:t>1.9</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2"/>
          <w:sz w:val="24"/>
          <w:szCs w:val="24"/>
        </w:rPr>
        <w:t>On-going</w:t>
      </w:r>
    </w:p>
    <w:p>
      <w:pPr>
        <w:spacing w:before="36" w:line="228" w:lineRule="auto"/>
        <w:ind w:left="1392"/>
        <w:rPr>
          <w:rFonts w:ascii="Times New Roman" w:hAnsi="Times New Roman" w:eastAsia="Times New Roman" w:cs="Times New Roman"/>
          <w:sz w:val="24"/>
          <w:szCs w:val="24"/>
        </w:rPr>
      </w:pPr>
      <w:r>
        <w:rPr>
          <w:rFonts w:ascii="Times New Roman" w:hAnsi="Times New Roman" w:eastAsia="Times New Roman" w:cs="Times New Roman"/>
          <w:sz w:val="24"/>
          <w:szCs w:val="24"/>
        </w:rPr>
        <w:t>monitoring and periodic review of</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programmes,</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1.10 Cyclical external</w:t>
      </w:r>
      <w:r>
        <w:rPr>
          <w:rFonts w:ascii="Times New Roman" w:hAnsi="Times New Roman" w:eastAsia="Times New Roman" w:cs="Times New Roman"/>
          <w:spacing w:val="-1"/>
          <w:sz w:val="24"/>
          <w:szCs w:val="24"/>
        </w:rPr>
        <w:t xml:space="preserve"> assurance.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The</w:t>
      </w:r>
    </w:p>
    <w:p>
      <w:pPr>
        <w:spacing w:before="34" w:line="249" w:lineRule="auto"/>
        <w:ind w:left="1395" w:right="151" w:firstLine="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integration between the quality system and mapped processes showed </w:t>
      </w:r>
      <w:r>
        <w:rPr>
          <w:rFonts w:ascii="Times New Roman" w:hAnsi="Times New Roman" w:eastAsia="Times New Roman" w:cs="Times New Roman"/>
          <w:spacing w:val="-1"/>
          <w:sz w:val="24"/>
          <w:szCs w:val="24"/>
        </w:rPr>
        <w:t>that 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sections, more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or</w:t>
      </w:r>
      <w:r>
        <w:rPr>
          <w:rFonts w:ascii="Times New Roman" w:hAnsi="Times New Roman" w:eastAsia="Times New Roman" w:cs="Times New Roman"/>
          <w:sz w:val="24"/>
          <w:szCs w:val="24"/>
        </w:rPr>
        <w:t xml:space="preserve"> less, could be integrated in the processes. The committee also realized that the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complexity 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   HEI could be explained through the demands to fulfill requirements corresponding t</w:t>
      </w:r>
      <w:r>
        <w:rPr>
          <w:rFonts w:ascii="Times New Roman" w:hAnsi="Times New Roman" w:eastAsia="Times New Roman" w:cs="Times New Roman"/>
          <w:spacing w:val="-1"/>
          <w:sz w:val="24"/>
          <w:szCs w:val="24"/>
        </w:rPr>
        <w:t>o the</w:t>
      </w:r>
    </w:p>
    <w:p>
      <w:pPr>
        <w:spacing w:before="33" w:line="310" w:lineRule="exact"/>
        <w:ind w:left="1402"/>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sections</w:t>
      </w:r>
      <w:r>
        <w:rPr>
          <w:rFonts w:ascii="Times New Roman" w:hAnsi="Times New Roman" w:eastAsia="Times New Roman" w:cs="Times New Roman"/>
          <w:spacing w:val="3"/>
          <w:position w:val="1"/>
          <w:sz w:val="24"/>
          <w:szCs w:val="24"/>
        </w:rPr>
        <w:t xml:space="preserve"> </w:t>
      </w:r>
      <w:r>
        <w:rPr>
          <w:rFonts w:ascii="Times New Roman" w:hAnsi="Times New Roman" w:eastAsia="Times New Roman" w:cs="Times New Roman"/>
          <w:position w:val="1"/>
          <w:sz w:val="24"/>
          <w:szCs w:val="24"/>
        </w:rPr>
        <w:t>of</w:t>
      </w:r>
      <w:r>
        <w:rPr>
          <w:rFonts w:ascii="Times New Roman" w:hAnsi="Times New Roman" w:eastAsia="Times New Roman" w:cs="Times New Roman"/>
          <w:spacing w:val="-20"/>
          <w:position w:val="1"/>
          <w:sz w:val="24"/>
          <w:szCs w:val="24"/>
        </w:rPr>
        <w:t xml:space="preserve"> </w:t>
      </w:r>
      <w:r>
        <w:rPr>
          <w:rFonts w:ascii="Times New Roman" w:hAnsi="Times New Roman" w:eastAsia="Times New Roman" w:cs="Times New Roman"/>
          <w:position w:val="1"/>
          <w:sz w:val="24"/>
          <w:szCs w:val="24"/>
        </w:rPr>
        <w:t>ESG</w:t>
      </w:r>
      <w:r>
        <w:rPr>
          <w:rFonts w:ascii="Times New Roman" w:hAnsi="Times New Roman" w:eastAsia="Times New Roman" w:cs="Times New Roman"/>
          <w:spacing w:val="3"/>
          <w:position w:val="1"/>
          <w:sz w:val="24"/>
          <w:szCs w:val="24"/>
        </w:rPr>
        <w:t>.</w:t>
      </w:r>
    </w:p>
    <w:p>
      <w:pPr>
        <w:spacing w:before="195" w:line="190" w:lineRule="auto"/>
        <w:ind w:left="1385"/>
        <w:rPr>
          <w:rFonts w:ascii="Times New Roman" w:hAnsi="Times New Roman" w:eastAsia="Times New Roman" w:cs="Times New Roman"/>
          <w:sz w:val="24"/>
          <w:szCs w:val="24"/>
        </w:rPr>
      </w:pPr>
      <w:r>
        <w:rPr>
          <w:rFonts w:ascii="Times New Roman" w:hAnsi="Times New Roman" w:eastAsia="Times New Roman" w:cs="Times New Roman"/>
          <w:i/>
          <w:iCs/>
          <w:spacing w:val="-1"/>
          <w:sz w:val="24"/>
          <w:szCs w:val="24"/>
        </w:rPr>
        <w:t>Pilot</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pacing w:val="-1"/>
          <w:sz w:val="24"/>
          <w:szCs w:val="24"/>
        </w:rPr>
        <w:t>(3)</w:t>
      </w:r>
    </w:p>
    <w:p>
      <w:pPr>
        <w:spacing w:before="33" w:line="228" w:lineRule="auto"/>
        <w:ind w:left="1397"/>
        <w:rPr>
          <w:rFonts w:ascii="Times New Roman" w:hAnsi="Times New Roman" w:eastAsia="Times New Roman" w:cs="Times New Roman"/>
          <w:sz w:val="24"/>
          <w:szCs w:val="24"/>
        </w:rPr>
      </w:pPr>
      <w:r>
        <w:rPr>
          <w:rFonts w:ascii="Times New Roman" w:hAnsi="Times New Roman" w:eastAsia="Times New Roman" w:cs="Times New Roman"/>
          <w:sz w:val="24"/>
          <w:szCs w:val="24"/>
        </w:rPr>
        <w:t>In order to further secure and confirm the processes,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 limited part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mapped proc</w:t>
      </w:r>
      <w:r>
        <w:rPr>
          <w:rFonts w:ascii="Times New Roman" w:hAnsi="Times New Roman" w:eastAsia="Times New Roman" w:cs="Times New Roman"/>
          <w:spacing w:val="-1"/>
          <w:sz w:val="24"/>
          <w:szCs w:val="24"/>
        </w:rPr>
        <w:t>esses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was</w:t>
      </w:r>
    </w:p>
    <w:p>
      <w:pPr>
        <w:spacing w:before="13" w:line="228" w:lineRule="auto"/>
        <w:ind w:left="1402"/>
        <w:rPr>
          <w:rFonts w:ascii="Times New Roman" w:hAnsi="Times New Roman" w:eastAsia="Times New Roman" w:cs="Times New Roman"/>
          <w:sz w:val="24"/>
          <w:szCs w:val="24"/>
        </w:rPr>
      </w:pPr>
      <w:r>
        <w:rPr>
          <w:rFonts w:ascii="Times New Roman" w:hAnsi="Times New Roman" w:eastAsia="Times New Roman" w:cs="Times New Roman"/>
          <w:sz w:val="24"/>
          <w:szCs w:val="24"/>
        </w:rPr>
        <w:t>selected to test the process in reality. This pilot a</w:t>
      </w:r>
      <w:r>
        <w:rPr>
          <w:rFonts w:ascii="Times New Roman" w:hAnsi="Times New Roman" w:eastAsia="Times New Roman" w:cs="Times New Roman"/>
          <w:spacing w:val="-1"/>
          <w:sz w:val="24"/>
          <w:szCs w:val="24"/>
        </w:rPr>
        <w:t>lso works as an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attempt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test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how</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to</w:t>
      </w:r>
    </w:p>
    <w:p>
      <w:pPr>
        <w:spacing w:before="14" w:line="236" w:lineRule="auto"/>
        <w:ind w:left="1393" w:right="11" w:firstLine="4"/>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 the processes later on. The selection of</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pilot-process was based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on that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it was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istinct,</w:t>
      </w:r>
      <w:r>
        <w:rPr>
          <w:rFonts w:ascii="Times New Roman" w:hAnsi="Times New Roman" w:eastAsia="Times New Roman" w:cs="Times New Roman"/>
          <w:sz w:val="24"/>
          <w:szCs w:val="24"/>
        </w:rPr>
        <w:t xml:space="preserve"> timely and part of</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“Management planning and control” (figure 6). 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selected process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was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 xml:space="preserve">also  </w:t>
      </w:r>
      <w:r>
        <w:rPr>
          <w:rFonts w:ascii="Times New Roman" w:hAnsi="Times New Roman" w:eastAsia="Times New Roman" w:cs="Times New Roman"/>
          <w:sz w:val="24"/>
          <w:szCs w:val="24"/>
        </w:rPr>
        <w:t>a process that was “right in time”, since decisions were to be take</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this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matter</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next</w:t>
      </w:r>
    </w:p>
    <w:p>
      <w:pPr>
        <w:spacing w:before="14"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coming month anyway. The activities </w:t>
      </w:r>
      <w:r>
        <w:rPr>
          <w:rFonts w:ascii="Times New Roman" w:hAnsi="Times New Roman" w:eastAsia="Times New Roman" w:cs="Times New Roman"/>
          <w:spacing w:val="-1"/>
          <w:sz w:val="24"/>
          <w:szCs w:val="24"/>
        </w:rPr>
        <w:t>in the first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second</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sub-processes were performed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at</w:t>
      </w:r>
    </w:p>
    <w:p>
      <w:pPr>
        <w:spacing w:before="14" w:line="237" w:lineRule="auto"/>
        <w:ind w:left="1393" w:right="60" w:firstLine="5"/>
        <w:rPr>
          <w:rFonts w:ascii="Times New Roman" w:hAnsi="Times New Roman" w:eastAsia="Times New Roman" w:cs="Times New Roman"/>
          <w:sz w:val="24"/>
          <w:szCs w:val="24"/>
        </w:rPr>
      </w:pPr>
      <w:r>
        <w:rPr>
          <w:rFonts w:ascii="Times New Roman" w:hAnsi="Times New Roman" w:eastAsia="Times New Roman" w:cs="Times New Roman"/>
          <w:sz w:val="24"/>
          <w:szCs w:val="24"/>
        </w:rPr>
        <w:t>department level. The third sub-process “Con</w:t>
      </w:r>
      <w:r>
        <w:rPr>
          <w:rFonts w:ascii="Times New Roman" w:hAnsi="Times New Roman" w:eastAsia="Times New Roman" w:cs="Times New Roman"/>
          <w:spacing w:val="-1"/>
          <w:sz w:val="24"/>
          <w:szCs w:val="24"/>
        </w:rPr>
        <w:t>fer study programmes supply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for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first-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second-</w:t>
      </w:r>
      <w:r>
        <w:rPr>
          <w:rFonts w:ascii="Times New Roman" w:hAnsi="Times New Roman" w:eastAsia="Times New Roman" w:cs="Times New Roman"/>
          <w:sz w:val="24"/>
          <w:szCs w:val="24"/>
        </w:rPr>
        <w:t xml:space="preserve"> cycle study programmes, University level” was performed at University level. The pilot show</w:t>
      </w:r>
      <w:r>
        <w:rPr>
          <w:rFonts w:ascii="Times New Roman" w:hAnsi="Times New Roman" w:eastAsia="Times New Roman" w:cs="Times New Roman"/>
          <w:spacing w:val="-1"/>
          <w:sz w:val="24"/>
          <w:szCs w:val="24"/>
        </w:rPr>
        <w:t>ed</w:t>
      </w:r>
      <w:r>
        <w:rPr>
          <w:rFonts w:ascii="Times New Roman" w:hAnsi="Times New Roman" w:eastAsia="Times New Roman" w:cs="Times New Roman"/>
          <w:sz w:val="24"/>
          <w:szCs w:val="24"/>
        </w:rPr>
        <w:t xml:space="preserve">  that management had not had sufficient opportunity to acquaint themselves with the process, </w:t>
      </w:r>
      <w:r>
        <w:rPr>
          <w:rFonts w:ascii="Times New Roman" w:hAnsi="Times New Roman" w:eastAsia="Times New Roman" w:cs="Times New Roman"/>
          <w:spacing w:val="-1"/>
          <w:sz w:val="24"/>
          <w:szCs w:val="24"/>
        </w:rPr>
        <w:t>nor</w:t>
      </w:r>
      <w:r>
        <w:rPr>
          <w:rFonts w:ascii="Times New Roman" w:hAnsi="Times New Roman" w:eastAsia="Times New Roman" w:cs="Times New Roman"/>
          <w:sz w:val="24"/>
          <w:szCs w:val="24"/>
        </w:rPr>
        <w:t xml:space="preserve"> at department or University level or it might be as Hallencreutz</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u w:val="single" w:color="auto"/>
        </w:rPr>
        <w:t>Hallenc</w:t>
      </w:r>
      <w:r>
        <w:rPr>
          <w:rFonts w:ascii="Times New Roman" w:hAnsi="Times New Roman" w:eastAsia="Times New Roman" w:cs="Times New Roman"/>
          <w:spacing w:val="-1"/>
          <w:sz w:val="24"/>
          <w:szCs w:val="24"/>
          <w:u w:val="single" w:color="auto"/>
        </w:rPr>
        <w:t>reutz,</w:t>
      </w:r>
      <w:r>
        <w:rPr>
          <w:rFonts w:ascii="Times New Roman" w:hAnsi="Times New Roman" w:eastAsia="Times New Roman" w:cs="Times New Roman"/>
          <w:spacing w:val="5"/>
          <w:sz w:val="24"/>
          <w:szCs w:val="24"/>
          <w:u w:val="single" w:color="auto"/>
        </w:rPr>
        <w:t xml:space="preserve"> </w:t>
      </w:r>
      <w:r>
        <w:rPr>
          <w:rFonts w:ascii="Times New Roman" w:hAnsi="Times New Roman" w:eastAsia="Times New Roman" w:cs="Times New Roman"/>
          <w:spacing w:val="-1"/>
          <w:sz w:val="24"/>
          <w:szCs w:val="24"/>
          <w:u w:val="single" w:color="auto"/>
        </w:rPr>
        <w:t>2012</w:t>
      </w:r>
      <w:r>
        <w:rPr>
          <w:rFonts w:ascii="Times New Roman" w:hAnsi="Times New Roman" w:eastAsia="Times New Roman" w:cs="Times New Roman"/>
          <w:spacing w:val="-1"/>
          <w:sz w:val="24"/>
          <w:szCs w:val="24"/>
        </w:rPr>
        <w:t>) writes</w:t>
      </w:r>
    </w:p>
    <w:p>
      <w:pPr>
        <w:spacing w:before="57" w:line="215" w:lineRule="auto"/>
        <w:ind w:left="1384" w:right="207" w:hanging="3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w:t>
      </w:r>
      <w:r>
        <w:rPr>
          <w:rFonts w:ascii="Times New Roman" w:hAnsi="Times New Roman" w:eastAsia="Times New Roman" w:cs="Times New Roman"/>
          <w:i/>
          <w:iCs/>
          <w:sz w:val="24"/>
          <w:szCs w:val="24"/>
        </w:rPr>
        <w:t>Managers</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apply</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change</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management</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models</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to</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a</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relatively</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small</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extent</w:t>
      </w:r>
      <w:r>
        <w:rPr>
          <w:rFonts w:ascii="Times New Roman" w:hAnsi="Times New Roman" w:eastAsia="Times New Roman" w:cs="Times New Roman"/>
          <w:i/>
          <w:iCs/>
          <w:spacing w:val="3"/>
          <w:sz w:val="24"/>
          <w:szCs w:val="24"/>
        </w:rPr>
        <w:t xml:space="preserve"> – </w:t>
      </w:r>
      <w:r>
        <w:rPr>
          <w:rFonts w:ascii="Times New Roman" w:hAnsi="Times New Roman" w:eastAsia="Times New Roman" w:cs="Times New Roman"/>
          <w:i/>
          <w:iCs/>
          <w:sz w:val="24"/>
          <w:szCs w:val="24"/>
        </w:rPr>
        <w:t>the</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theory</w:t>
      </w:r>
      <w:r>
        <w:rPr>
          <w:rFonts w:ascii="Times New Roman" w:hAnsi="Times New Roman" w:eastAsia="Times New Roman" w:cs="Times New Roman"/>
          <w:i/>
          <w:iCs/>
          <w:spacing w:val="3"/>
          <w:sz w:val="24"/>
          <w:szCs w:val="24"/>
        </w:rPr>
        <w:t>-</w:t>
      </w:r>
      <w:r>
        <w:rPr>
          <w:rFonts w:ascii="Times New Roman" w:hAnsi="Times New Roman" w:eastAsia="Times New Roman" w:cs="Times New Roman"/>
          <w:i/>
          <w:iCs/>
          <w:sz w:val="24"/>
          <w:szCs w:val="24"/>
        </w:rPr>
        <w:t>practice gap</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is</w:t>
      </w:r>
      <w:r>
        <w:rPr>
          <w:rFonts w:ascii="Times New Roman" w:hAnsi="Times New Roman" w:eastAsia="Times New Roman" w:cs="Times New Roman"/>
          <w:i/>
          <w:iCs/>
          <w:spacing w:val="-28"/>
          <w:sz w:val="24"/>
          <w:szCs w:val="24"/>
        </w:rPr>
        <w:t xml:space="preserve"> </w:t>
      </w:r>
      <w:r>
        <w:rPr>
          <w:rFonts w:ascii="Times New Roman" w:hAnsi="Times New Roman" w:eastAsia="Times New Roman" w:cs="Times New Roman"/>
          <w:i/>
          <w:iCs/>
          <w:sz w:val="24"/>
          <w:szCs w:val="24"/>
        </w:rPr>
        <w:t>for</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real</w:t>
      </w:r>
      <w:r>
        <w:rPr>
          <w:rFonts w:ascii="Times New Roman" w:hAnsi="Times New Roman" w:eastAsia="Times New Roman" w:cs="Times New Roman"/>
          <w:i/>
          <w:iCs/>
          <w:spacing w:val="1"/>
          <w:sz w:val="24"/>
          <w:szCs w:val="24"/>
        </w:rPr>
        <w: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Hence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important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enough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time</w:t>
      </w:r>
      <w:r>
        <w:rPr>
          <w:rFonts w:ascii="Times New Roman" w:hAnsi="Times New Roman" w:eastAsia="Times New Roman" w:cs="Times New Roman"/>
          <w:spacing w:val="1"/>
          <w:sz w:val="24"/>
          <w:szCs w:val="24"/>
        </w:rPr>
        <w: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during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implementation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p>
    <w:p>
      <w:pPr>
        <w:spacing w:before="14"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eliminate the gap.</w:t>
      </w: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1" w:line="212" w:lineRule="exact"/>
        <w:ind w:firstLine="1151"/>
      </w:pPr>
      <w:r>
        <w:rPr>
          <w:position w:val="-4"/>
        </w:rPr>
        <w:drawing>
          <wp:inline distT="0" distB="0" distL="0" distR="0">
            <wp:extent cx="1849120" cy="13462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1121" w:bottom="100" w:left="48" w:header="0" w:footer="0" w:gutter="0"/>
          <w:cols w:space="720" w:num="1"/>
        </w:sectPr>
      </w:pPr>
    </w:p>
    <w:p>
      <w:pPr>
        <w:spacing w:before="13"/>
      </w:pPr>
      <w:r>
        <mc:AlternateContent>
          <mc:Choice Requires="wps">
            <w:drawing>
              <wp:anchor distT="0" distB="0" distL="0" distR="0" simplePos="0" relativeHeight="251788288"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242" name="TextBox 242"/>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2" o:spid="_x0000_s1026" o:spt="202" type="#_x0000_t202" style="position:absolute;left:0pt;margin-left:-120.15pt;margin-top:416.25pt;height:9.3pt;width:252.55pt;mso-position-horizontal-relative:page;mso-position-vertical-relative:page;rotation:-5898240f;z-index:251788288;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9+V8tsAAAAMAQAADwAAAAAAAAABACAAAAAiAAAAZHJzL2Rv&#10;d25yZXYueG1sUEsBAhQAFAAAAAgAh07iQErAIzI3AgAAcQQAAA4AAAAAAAAAAQAgAAAAKgEAAGRy&#10;cy9lMm9Eb2MueG1sUEsFBgAAAAAGAAYAWQEAANMFA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r>
        <w:pict>
          <v:shape id="_x0000_s1130" o:spid="_x0000_s1130" o:spt="202" type="#_x0000_t202" style="position:absolute;left:0pt;margin-left:138.05pt;margin-top:187.75pt;height:5.75pt;width:4.15pt;mso-position-horizontal-relative:page;mso-position-vertical-relative:page;z-index:251789312;mso-width-relative:page;mso-height-relative:page;" filled="f" stroked="f" coordsize="21600,21600" o:allowincell="f">
            <v:path/>
            <v:fill on="f" focussize="0,0"/>
            <v:stroke on="f"/>
            <v:imagedata o:title=""/>
            <o:lock v:ext="edit" aspectratio="f"/>
            <v:textbox inset="0mm,0mm,0mm,0mm">
              <w:txbxContent>
                <w:p>
                  <w:pPr>
                    <w:spacing w:before="20" w:line="74" w:lineRule="exact"/>
                    <w:ind w:right="2"/>
                    <w:jc w:val="right"/>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xbxContent>
            </v:textbox>
          </v:shape>
        </w:pict>
      </w:r>
    </w:p>
    <w:p>
      <w:pPr>
        <w:spacing w:before="13"/>
      </w:pPr>
    </w:p>
    <w:p>
      <w:pPr>
        <w:spacing w:before="12"/>
      </w:pPr>
    </w:p>
    <w:p>
      <w:pPr>
        <w:spacing w:before="12"/>
      </w:pPr>
    </w:p>
    <w:p>
      <w:pPr>
        <w:spacing w:before="12"/>
      </w:pPr>
    </w:p>
    <w:p>
      <w:pPr>
        <w:spacing w:before="12"/>
      </w:pPr>
    </w:p>
    <w:p>
      <w:pPr>
        <w:spacing w:before="12"/>
      </w:pPr>
    </w:p>
    <w:p>
      <w:pPr>
        <w:spacing w:before="12"/>
      </w:pPr>
    </w:p>
    <w:tbl>
      <w:tblPr>
        <w:tblStyle w:val="5"/>
        <w:tblW w:w="9709" w:type="dxa"/>
        <w:tblInd w:w="11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5059"/>
        <w:gridCol w:w="4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7" w:hRule="atLeast"/>
        </w:trPr>
        <w:tc>
          <w:tcPr>
            <w:tcW w:w="9249" w:type="dxa"/>
            <w:gridSpan w:val="2"/>
            <w:tcBorders>
              <w:left w:val="single" w:color="000000" w:sz="4" w:space="0"/>
              <w:right w:val="single" w:color="000000" w:sz="6" w:space="0"/>
            </w:tcBorders>
            <w:vAlign w:val="top"/>
          </w:tcPr>
          <w:p>
            <w:pPr>
              <w:spacing w:line="297" w:lineRule="auto"/>
              <w:rPr>
                <w:rFonts w:ascii="Arial"/>
                <w:sz w:val="21"/>
              </w:rPr>
            </w:pPr>
          </w:p>
          <w:p>
            <w:pPr>
              <w:spacing w:before="69" w:line="186" w:lineRule="auto"/>
              <w:ind w:left="506"/>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Step</w:t>
            </w:r>
            <w:r>
              <w:rPr>
                <w:rFonts w:ascii="Times New Roman" w:hAnsi="Times New Roman" w:eastAsia="Times New Roman" w:cs="Times New Roman"/>
                <w:b/>
                <w:bCs/>
                <w:spacing w:val="17"/>
                <w:sz w:val="24"/>
                <w:szCs w:val="24"/>
              </w:rPr>
              <w:t xml:space="preserve"> </w:t>
            </w:r>
            <w:r>
              <w:rPr>
                <w:rFonts w:ascii="Times New Roman" w:hAnsi="Times New Roman" w:eastAsia="Times New Roman" w:cs="Times New Roman"/>
                <w:b/>
                <w:bCs/>
                <w:sz w:val="24"/>
                <w:szCs w:val="24"/>
              </w:rPr>
              <w:t>1: Establish prerequisites, Ma</w:t>
            </w:r>
            <w:r>
              <w:rPr>
                <w:rFonts w:ascii="Times New Roman" w:hAnsi="Times New Roman" w:eastAsia="Times New Roman" w:cs="Times New Roman"/>
                <w:b/>
                <w:bCs/>
                <w:spacing w:val="-1"/>
                <w:sz w:val="24"/>
                <w:szCs w:val="24"/>
              </w:rPr>
              <w:t>nagement planning and control</w:t>
            </w:r>
          </w:p>
          <w:p>
            <w:pPr>
              <w:spacing w:before="62" w:line="186" w:lineRule="auto"/>
              <w:ind w:left="503"/>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Create programmes supply for first- and second-cycle</w:t>
            </w:r>
            <w:r>
              <w:rPr>
                <w:rFonts w:ascii="Times New Roman" w:hAnsi="Times New Roman" w:eastAsia="Times New Roman" w:cs="Times New Roman"/>
                <w:b/>
                <w:bCs/>
                <w:spacing w:val="-1"/>
                <w:sz w:val="24"/>
                <w:szCs w:val="24"/>
              </w:rPr>
              <w:t xml:space="preserve"> study</w:t>
            </w:r>
            <w:r>
              <w:rPr>
                <w:rFonts w:ascii="Times New Roman" w:hAnsi="Times New Roman" w:eastAsia="Times New Roman" w:cs="Times New Roman"/>
                <w:b/>
                <w:bCs/>
                <w:spacing w:val="5"/>
                <w:sz w:val="24"/>
                <w:szCs w:val="24"/>
              </w:rPr>
              <w:t xml:space="preserve"> </w:t>
            </w:r>
            <w:r>
              <w:rPr>
                <w:rFonts w:ascii="Times New Roman" w:hAnsi="Times New Roman" w:eastAsia="Times New Roman" w:cs="Times New Roman"/>
                <w:b/>
                <w:bCs/>
                <w:spacing w:val="-1"/>
                <w:sz w:val="24"/>
                <w:szCs w:val="24"/>
              </w:rPr>
              <w:t>programmes</w:t>
            </w:r>
          </w:p>
          <w:p>
            <w:pPr>
              <w:spacing w:before="9" w:line="226" w:lineRule="auto"/>
              <w:ind w:left="501" w:right="675" w:hanging="2"/>
              <w:rPr>
                <w:rFonts w:ascii="Times New Roman" w:hAnsi="Times New Roman" w:eastAsia="Times New Roman" w:cs="Times New Roman"/>
                <w:sz w:val="24"/>
                <w:szCs w:val="24"/>
              </w:rPr>
            </w:pPr>
            <w:r>
              <w:rPr>
                <w:rFonts w:ascii="Times New Roman" w:hAnsi="Times New Roman" w:eastAsia="Times New Roman" w:cs="Times New Roman"/>
                <w:b/>
                <w:bCs/>
                <w:sz w:val="24"/>
                <w:szCs w:val="24"/>
              </w:rPr>
              <w:t>-</w:t>
            </w:r>
            <w:r>
              <w:rPr>
                <w:rFonts w:ascii="Times New Roman" w:hAnsi="Times New Roman" w:eastAsia="Times New Roman" w:cs="Times New Roman"/>
                <w:sz w:val="24"/>
                <w:szCs w:val="24"/>
              </w:rPr>
              <w:t>with respect to Legal rules and regulations for public au</w:t>
            </w:r>
            <w:r>
              <w:rPr>
                <w:rFonts w:ascii="Times New Roman" w:hAnsi="Times New Roman" w:eastAsia="Times New Roman" w:cs="Times New Roman"/>
                <w:spacing w:val="-1"/>
                <w:sz w:val="24"/>
                <w:szCs w:val="24"/>
              </w:rPr>
              <w:t>thorities 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Local</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1"/>
                <w:sz w:val="24"/>
                <w:szCs w:val="24"/>
              </w:rPr>
              <w:t>steering</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documents</w:t>
            </w:r>
          </w:p>
        </w:tc>
        <w:tc>
          <w:tcPr>
            <w:tcW w:w="460"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8" w:hRule="atLeast"/>
        </w:trPr>
        <w:tc>
          <w:tcPr>
            <w:tcW w:w="9709" w:type="dxa"/>
            <w:gridSpan w:val="3"/>
            <w:tcBorders>
              <w:top w:val="single" w:color="000000" w:sz="8" w:space="0"/>
              <w:bottom w:val="nil"/>
              <w:right w:val="single" w:color="000000" w:sz="4" w:space="0"/>
            </w:tcBorders>
            <w:vAlign w:val="top"/>
          </w:tcPr>
          <w:p>
            <w:pPr>
              <w:spacing w:before="207" w:line="187" w:lineRule="auto"/>
              <w:ind w:left="312"/>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Sub-processes:</w:t>
            </w:r>
          </w:p>
          <w:p>
            <w:pPr>
              <w:spacing w:before="28" w:line="169" w:lineRule="auto"/>
              <w:ind w:left="308"/>
              <w:rPr>
                <w:rFonts w:ascii="Times New Roman" w:hAnsi="Times New Roman" w:eastAsia="Times New Roman" w:cs="Times New Roman"/>
                <w:sz w:val="24"/>
                <w:szCs w:val="24"/>
              </w:rPr>
            </w:pPr>
            <w:r>
              <w:rPr>
                <w:rFonts w:ascii="Malgun Gothic" w:hAnsi="Malgun Gothic" w:eastAsia="Malgun Gothic" w:cs="Malgun Gothic"/>
                <w:sz w:val="24"/>
                <w:szCs w:val="24"/>
              </w:rPr>
              <w:t>⇒</w:t>
            </w:r>
            <w:r>
              <w:rPr>
                <w:rFonts w:ascii="Malgun Gothic" w:hAnsi="Malgun Gothic" w:eastAsia="Malgun Gothic" w:cs="Malgun Gothic"/>
                <w:spacing w:val="-30"/>
                <w:sz w:val="24"/>
                <w:szCs w:val="24"/>
              </w:rPr>
              <w:t xml:space="preserve"> </w:t>
            </w:r>
            <w:r>
              <w:rPr>
                <w:rFonts w:ascii="Times New Roman" w:hAnsi="Times New Roman" w:eastAsia="Times New Roman" w:cs="Times New Roman"/>
                <w:sz w:val="24"/>
                <w:szCs w:val="24"/>
              </w:rPr>
              <w:t>Create new study p</w:t>
            </w:r>
            <w:r>
              <w:rPr>
                <w:rFonts w:ascii="Times New Roman" w:hAnsi="Times New Roman" w:eastAsia="Times New Roman" w:cs="Times New Roman"/>
                <w:spacing w:val="-1"/>
                <w:sz w:val="24"/>
                <w:szCs w:val="24"/>
              </w:rPr>
              <w:t>rogrammes</w:t>
            </w:r>
          </w:p>
          <w:p>
            <w:pPr>
              <w:spacing w:line="187" w:lineRule="auto"/>
              <w:ind w:left="315" w:right="320" w:hanging="7"/>
              <w:rPr>
                <w:rFonts w:ascii="Times New Roman" w:hAnsi="Times New Roman" w:eastAsia="Times New Roman" w:cs="Times New Roman"/>
                <w:sz w:val="24"/>
                <w:szCs w:val="24"/>
              </w:rPr>
            </w:pPr>
            <w:r>
              <w:rPr>
                <w:rFonts w:ascii="Malgun Gothic" w:hAnsi="Malgun Gothic" w:eastAsia="Malgun Gothic" w:cs="Malgun Gothic"/>
                <w:sz w:val="24"/>
                <w:szCs w:val="24"/>
              </w:rPr>
              <w:t>⇒</w:t>
            </w:r>
            <w:r>
              <w:rPr>
                <w:rFonts w:ascii="Malgun Gothic" w:hAnsi="Malgun Gothic" w:eastAsia="Malgun Gothic" w:cs="Malgun Gothic"/>
                <w:spacing w:val="-34"/>
                <w:sz w:val="24"/>
                <w:szCs w:val="24"/>
              </w:rPr>
              <w:t xml:space="preserve"> </w:t>
            </w:r>
            <w:r>
              <w:rPr>
                <w:rFonts w:ascii="Times New Roman" w:hAnsi="Times New Roman" w:eastAsia="Times New Roman" w:cs="Times New Roman"/>
                <w:sz w:val="24"/>
                <w:szCs w:val="24"/>
              </w:rPr>
              <w:t>Prepare   study   programmes   supply   for   firs</w:t>
            </w:r>
            <w:r>
              <w:rPr>
                <w:rFonts w:ascii="Times New Roman" w:hAnsi="Times New Roman" w:eastAsia="Times New Roman" w:cs="Times New Roman"/>
                <w:spacing w:val="-1"/>
                <w:sz w:val="24"/>
                <w:szCs w:val="24"/>
              </w:rPr>
              <w:t>t-   and   second-cycle   study   programmes,</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Department level</w:t>
            </w:r>
          </w:p>
          <w:p>
            <w:pPr>
              <w:spacing w:before="31" w:line="170" w:lineRule="auto"/>
              <w:ind w:left="308"/>
              <w:rPr>
                <w:rFonts w:ascii="Times New Roman" w:hAnsi="Times New Roman" w:eastAsia="Times New Roman" w:cs="Times New Roman"/>
                <w:sz w:val="24"/>
                <w:szCs w:val="24"/>
              </w:rPr>
            </w:pPr>
            <w:r>
              <w:rPr>
                <w:rFonts w:ascii="Malgun Gothic" w:hAnsi="Malgun Gothic" w:eastAsia="Malgun Gothic" w:cs="Malgun Gothic"/>
                <w:sz w:val="24"/>
                <w:szCs w:val="24"/>
              </w:rPr>
              <w:t>⇒</w:t>
            </w:r>
            <w:r>
              <w:rPr>
                <w:rFonts w:ascii="Malgun Gothic" w:hAnsi="Malgun Gothic" w:eastAsia="Malgun Gothic" w:cs="Malgun Gothic"/>
                <w:spacing w:val="-29"/>
                <w:sz w:val="24"/>
                <w:szCs w:val="24"/>
              </w:rPr>
              <w:t xml:space="preserve"> </w:t>
            </w:r>
            <w:r>
              <w:rPr>
                <w:rFonts w:ascii="Times New Roman" w:hAnsi="Times New Roman" w:eastAsia="Times New Roman" w:cs="Times New Roman"/>
                <w:sz w:val="24"/>
                <w:szCs w:val="24"/>
              </w:rPr>
              <w:t>Confer study programmes supply for first-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second-cycle</w:t>
            </w:r>
            <w:r>
              <w:rPr>
                <w:rFonts w:ascii="Times New Roman" w:hAnsi="Times New Roman" w:eastAsia="Times New Roman" w:cs="Times New Roman"/>
                <w:spacing w:val="16"/>
                <w:w w:val="101"/>
                <w:sz w:val="24"/>
                <w:szCs w:val="24"/>
              </w:rPr>
              <w:t xml:space="preserve"> </w:t>
            </w:r>
            <w:r>
              <w:rPr>
                <w:rFonts w:ascii="Times New Roman" w:hAnsi="Times New Roman" w:eastAsia="Times New Roman" w:cs="Times New Roman"/>
                <w:sz w:val="24"/>
                <w:szCs w:val="24"/>
              </w:rPr>
              <w:t>study programm</w:t>
            </w:r>
            <w:r>
              <w:rPr>
                <w:rFonts w:ascii="Times New Roman" w:hAnsi="Times New Roman" w:eastAsia="Times New Roman" w:cs="Times New Roman"/>
                <w:spacing w:val="-1"/>
                <w:sz w:val="24"/>
                <w:szCs w:val="24"/>
              </w:rPr>
              <w:t>es, University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2" w:hRule="atLeast"/>
        </w:trPr>
        <w:tc>
          <w:tcPr>
            <w:tcW w:w="4190" w:type="dxa"/>
            <w:tcBorders>
              <w:top w:val="nil"/>
              <w:bottom w:val="single" w:color="000000" w:sz="4" w:space="0"/>
              <w:right w:val="nil"/>
            </w:tcBorders>
            <w:vAlign w:val="top"/>
          </w:tcPr>
          <w:p>
            <w:pPr>
              <w:spacing w:before="280" w:line="213" w:lineRule="auto"/>
              <w:ind w:left="347" w:right="680"/>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Legal rules and</w:t>
            </w:r>
            <w:r>
              <w:rPr>
                <w:rFonts w:ascii="Times New Roman" w:hAnsi="Times New Roman" w:eastAsia="Times New Roman" w:cs="Times New Roman"/>
                <w:b/>
                <w:bCs/>
                <w:spacing w:val="19"/>
                <w:w w:val="101"/>
                <w:sz w:val="24"/>
                <w:szCs w:val="24"/>
              </w:rPr>
              <w:t xml:space="preserve"> </w:t>
            </w:r>
            <w:r>
              <w:rPr>
                <w:rFonts w:ascii="Times New Roman" w:hAnsi="Times New Roman" w:eastAsia="Times New Roman" w:cs="Times New Roman"/>
                <w:b/>
                <w:bCs/>
                <w:spacing w:val="-1"/>
                <w:sz w:val="24"/>
                <w:szCs w:val="24"/>
              </w:rPr>
              <w:t>regulations</w:t>
            </w:r>
            <w:r>
              <w:rPr>
                <w:rFonts w:ascii="Times New Roman" w:hAnsi="Times New Roman" w:eastAsia="Times New Roman" w:cs="Times New Roman"/>
                <w:b/>
                <w:bCs/>
                <w:spacing w:val="8"/>
                <w:sz w:val="24"/>
                <w:szCs w:val="24"/>
              </w:rPr>
              <w:t xml:space="preserve"> </w:t>
            </w:r>
            <w:r>
              <w:rPr>
                <w:rFonts w:ascii="Times New Roman" w:hAnsi="Times New Roman" w:eastAsia="Times New Roman" w:cs="Times New Roman"/>
                <w:b/>
                <w:bCs/>
                <w:spacing w:val="-1"/>
                <w:sz w:val="24"/>
                <w:szCs w:val="24"/>
              </w:rPr>
              <w:t>for</w:t>
            </w: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pacing w:val="-1"/>
                <w:sz w:val="24"/>
                <w:szCs w:val="24"/>
              </w:rPr>
              <w:t>public authorities:</w:t>
            </w:r>
          </w:p>
          <w:p>
            <w:pPr>
              <w:spacing w:before="52" w:line="190" w:lineRule="auto"/>
              <w:ind w:left="704"/>
              <w:rPr>
                <w:rFonts w:ascii="Times New Roman" w:hAnsi="Times New Roman" w:eastAsia="Times New Roman" w:cs="Times New Roman"/>
                <w:sz w:val="24"/>
                <w:szCs w:val="24"/>
              </w:rPr>
            </w:pPr>
            <w:r>
              <w:rPr>
                <w:rFonts w:ascii="Times New Roman" w:hAnsi="Times New Roman" w:eastAsia="Times New Roman" w:cs="Times New Roman"/>
                <w:sz w:val="24"/>
                <w:szCs w:val="24"/>
              </w:rPr>
              <w:t>Higher Education Ordi</w:t>
            </w:r>
            <w:r>
              <w:rPr>
                <w:rFonts w:ascii="Times New Roman" w:hAnsi="Times New Roman" w:eastAsia="Times New Roman" w:cs="Times New Roman"/>
                <w:spacing w:val="-1"/>
                <w:sz w:val="24"/>
                <w:szCs w:val="24"/>
              </w:rPr>
              <w:t>nance,</w:t>
            </w:r>
          </w:p>
          <w:p>
            <w:pPr>
              <w:spacing w:before="13" w:line="228" w:lineRule="auto"/>
              <w:ind w:left="709"/>
              <w:rPr>
                <w:rFonts w:ascii="Times New Roman" w:hAnsi="Times New Roman" w:eastAsia="Times New Roman" w:cs="Times New Roman"/>
                <w:sz w:val="24"/>
                <w:szCs w:val="24"/>
              </w:rPr>
            </w:pPr>
            <w:r>
              <w:rPr>
                <w:rFonts w:ascii="Times New Roman" w:hAnsi="Times New Roman" w:eastAsia="Times New Roman" w:cs="Times New Roman"/>
                <w:sz w:val="24"/>
                <w:szCs w:val="24"/>
              </w:rPr>
              <w:t>Confirmed admission regu</w:t>
            </w:r>
            <w:r>
              <w:rPr>
                <w:rFonts w:ascii="Times New Roman" w:hAnsi="Times New Roman" w:eastAsia="Times New Roman" w:cs="Times New Roman"/>
                <w:spacing w:val="-1"/>
                <w:sz w:val="24"/>
                <w:szCs w:val="24"/>
              </w:rPr>
              <w:t>lations,</w:t>
            </w:r>
          </w:p>
        </w:tc>
        <w:tc>
          <w:tcPr>
            <w:tcW w:w="5519" w:type="dxa"/>
            <w:gridSpan w:val="2"/>
            <w:tcBorders>
              <w:top w:val="nil"/>
              <w:left w:val="nil"/>
              <w:bottom w:val="single" w:color="000000" w:sz="4" w:space="0"/>
              <w:right w:val="single" w:color="000000" w:sz="4" w:space="0"/>
            </w:tcBorders>
            <w:vAlign w:val="top"/>
          </w:tcPr>
          <w:p>
            <w:pPr>
              <w:spacing w:before="203" w:line="186" w:lineRule="auto"/>
              <w:ind w:left="18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Local steering docum</w:t>
            </w:r>
            <w:r>
              <w:rPr>
                <w:rFonts w:ascii="Times New Roman" w:hAnsi="Times New Roman" w:eastAsia="Times New Roman" w:cs="Times New Roman"/>
                <w:b/>
                <w:bCs/>
                <w:spacing w:val="-1"/>
                <w:sz w:val="24"/>
                <w:szCs w:val="24"/>
              </w:rPr>
              <w:t>ents:</w:t>
            </w:r>
          </w:p>
          <w:p>
            <w:pPr>
              <w:spacing w:before="52" w:line="190" w:lineRule="auto"/>
              <w:ind w:left="54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Vision,</w:t>
            </w:r>
          </w:p>
          <w:p>
            <w:pPr>
              <w:spacing w:before="57" w:line="190" w:lineRule="auto"/>
              <w:ind w:left="55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Strategies,</w:t>
            </w:r>
          </w:p>
          <w:p>
            <w:pPr>
              <w:spacing w:before="13" w:line="228" w:lineRule="auto"/>
              <w:ind w:left="548"/>
              <w:rPr>
                <w:rFonts w:ascii="Times New Roman" w:hAnsi="Times New Roman" w:eastAsia="Times New Roman" w:cs="Times New Roman"/>
                <w:sz w:val="24"/>
                <w:szCs w:val="24"/>
              </w:rPr>
            </w:pPr>
            <w:r>
              <w:rPr>
                <w:rFonts w:ascii="Times New Roman" w:hAnsi="Times New Roman" w:eastAsia="Times New Roman" w:cs="Times New Roman"/>
                <w:sz w:val="24"/>
                <w:szCs w:val="24"/>
              </w:rPr>
              <w:t>Confirmed budget, inclusive modifi</w:t>
            </w:r>
            <w:r>
              <w:rPr>
                <w:rFonts w:ascii="Times New Roman" w:hAnsi="Times New Roman" w:eastAsia="Times New Roman" w:cs="Times New Roman"/>
                <w:spacing w:val="-1"/>
                <w:sz w:val="24"/>
                <w:szCs w:val="24"/>
              </w:rPr>
              <w:t>ed financial</w:t>
            </w:r>
          </w:p>
          <w:p>
            <w:pPr>
              <w:spacing w:before="14" w:line="234" w:lineRule="auto"/>
              <w:ind w:left="548" w:right="122"/>
              <w:rPr>
                <w:rFonts w:ascii="Times New Roman" w:hAnsi="Times New Roman" w:eastAsia="Times New Roman" w:cs="Times New Roman"/>
                <w:sz w:val="24"/>
                <w:szCs w:val="24"/>
              </w:rPr>
            </w:pPr>
            <w:r>
              <w:rPr>
                <w:rFonts w:ascii="Times New Roman" w:hAnsi="Times New Roman" w:eastAsia="Times New Roman" w:cs="Times New Roman"/>
                <w:sz w:val="24"/>
                <w:szCs w:val="24"/>
              </w:rPr>
              <w:t>capacity and budget from government d</w:t>
            </w:r>
            <w:r>
              <w:rPr>
                <w:rFonts w:ascii="Times New Roman" w:hAnsi="Times New Roman" w:eastAsia="Times New Roman" w:cs="Times New Roman"/>
                <w:spacing w:val="-1"/>
                <w:sz w:val="24"/>
                <w:szCs w:val="24"/>
              </w:rPr>
              <w:t>epartment.</w:t>
            </w:r>
            <w:r>
              <w:rPr>
                <w:rFonts w:ascii="Times New Roman" w:hAnsi="Times New Roman" w:eastAsia="Times New Roman" w:cs="Times New Roman"/>
                <w:sz w:val="24"/>
                <w:szCs w:val="24"/>
              </w:rPr>
              <w:t xml:space="preserve"> Confirmed appointment procedur</w:t>
            </w:r>
            <w:r>
              <w:rPr>
                <w:rFonts w:ascii="Times New Roman" w:hAnsi="Times New Roman" w:eastAsia="Times New Roman" w:cs="Times New Roman"/>
                <w:spacing w:val="-1"/>
                <w:sz w:val="24"/>
                <w:szCs w:val="24"/>
              </w:rPr>
              <w:t>e, working</w:t>
            </w:r>
          </w:p>
          <w:p>
            <w:pPr>
              <w:spacing w:before="14" w:line="228" w:lineRule="auto"/>
              <w:ind w:left="54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regulations</w:t>
            </w:r>
          </w:p>
        </w:tc>
      </w:tr>
    </w:tbl>
    <w:p>
      <w:pPr>
        <w:spacing w:before="142" w:line="239" w:lineRule="auto"/>
        <w:ind w:left="1031"/>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Figure 6.       Shows the pilot processes chosen</w:t>
      </w:r>
      <w:r>
        <w:rPr>
          <w:rFonts w:ascii="Times New Roman" w:hAnsi="Times New Roman" w:eastAsia="Times New Roman" w:cs="Times New Roman"/>
          <w:spacing w:val="11"/>
          <w:sz w:val="19"/>
          <w:szCs w:val="19"/>
        </w:rPr>
        <w:t xml:space="preserve"> </w:t>
      </w:r>
      <w:r>
        <w:rPr>
          <w:rFonts w:ascii="Times New Roman" w:hAnsi="Times New Roman" w:eastAsia="Times New Roman" w:cs="Times New Roman"/>
          <w:spacing w:val="4"/>
          <w:sz w:val="19"/>
          <w:szCs w:val="19"/>
        </w:rPr>
        <w:t>“Create</w:t>
      </w:r>
      <w:r>
        <w:rPr>
          <w:rFonts w:ascii="Times New Roman" w:hAnsi="Times New Roman" w:eastAsia="Times New Roman" w:cs="Times New Roman"/>
          <w:spacing w:val="3"/>
          <w:sz w:val="19"/>
          <w:szCs w:val="19"/>
        </w:rPr>
        <w:t xml:space="preserve"> </w:t>
      </w:r>
      <w:r>
        <w:rPr>
          <w:rFonts w:ascii="Times New Roman" w:hAnsi="Times New Roman" w:eastAsia="Times New Roman" w:cs="Times New Roman"/>
          <w:spacing w:val="4"/>
          <w:sz w:val="19"/>
          <w:szCs w:val="19"/>
        </w:rPr>
        <w:t>program</w:t>
      </w:r>
      <w:r>
        <w:rPr>
          <w:rFonts w:ascii="Times New Roman" w:hAnsi="Times New Roman" w:eastAsia="Times New Roman" w:cs="Times New Roman"/>
          <w:spacing w:val="3"/>
          <w:sz w:val="19"/>
          <w:szCs w:val="19"/>
        </w:rPr>
        <w:t>mes</w:t>
      </w:r>
      <w:r>
        <w:rPr>
          <w:rFonts w:ascii="Times New Roman" w:hAnsi="Times New Roman" w:eastAsia="Times New Roman" w:cs="Times New Roman"/>
          <w:spacing w:val="11"/>
          <w:w w:val="102"/>
          <w:sz w:val="19"/>
          <w:szCs w:val="19"/>
        </w:rPr>
        <w:t xml:space="preserve"> </w:t>
      </w:r>
      <w:r>
        <w:rPr>
          <w:rFonts w:ascii="Times New Roman" w:hAnsi="Times New Roman" w:eastAsia="Times New Roman" w:cs="Times New Roman"/>
          <w:spacing w:val="3"/>
          <w:sz w:val="19"/>
          <w:szCs w:val="19"/>
        </w:rPr>
        <w:t>supply</w:t>
      </w:r>
      <w:r>
        <w:rPr>
          <w:rFonts w:ascii="Times New Roman" w:hAnsi="Times New Roman" w:eastAsia="Times New Roman" w:cs="Times New Roman"/>
          <w:spacing w:val="7"/>
          <w:sz w:val="19"/>
          <w:szCs w:val="19"/>
        </w:rPr>
        <w:t xml:space="preserve"> </w:t>
      </w:r>
      <w:r>
        <w:rPr>
          <w:rFonts w:ascii="Times New Roman" w:hAnsi="Times New Roman" w:eastAsia="Times New Roman" w:cs="Times New Roman"/>
          <w:spacing w:val="3"/>
          <w:sz w:val="19"/>
          <w:szCs w:val="19"/>
        </w:rPr>
        <w:t>for</w:t>
      </w:r>
      <w:r>
        <w:rPr>
          <w:rFonts w:ascii="Times New Roman" w:hAnsi="Times New Roman" w:eastAsia="Times New Roman" w:cs="Times New Roman"/>
          <w:spacing w:val="10"/>
          <w:sz w:val="19"/>
          <w:szCs w:val="19"/>
        </w:rPr>
        <w:t xml:space="preserve"> </w:t>
      </w:r>
      <w:r>
        <w:rPr>
          <w:rFonts w:ascii="Times New Roman" w:hAnsi="Times New Roman" w:eastAsia="Times New Roman" w:cs="Times New Roman"/>
          <w:spacing w:val="3"/>
          <w:sz w:val="19"/>
          <w:szCs w:val="19"/>
        </w:rPr>
        <w:t>first-</w:t>
      </w:r>
      <w:r>
        <w:rPr>
          <w:rFonts w:ascii="Times New Roman" w:hAnsi="Times New Roman" w:eastAsia="Times New Roman" w:cs="Times New Roman"/>
          <w:spacing w:val="9"/>
          <w:sz w:val="19"/>
          <w:szCs w:val="19"/>
        </w:rPr>
        <w:t xml:space="preserve"> </w:t>
      </w:r>
      <w:r>
        <w:rPr>
          <w:rFonts w:ascii="Times New Roman" w:hAnsi="Times New Roman" w:eastAsia="Times New Roman" w:cs="Times New Roman"/>
          <w:spacing w:val="3"/>
          <w:sz w:val="19"/>
          <w:szCs w:val="19"/>
        </w:rPr>
        <w:t>and</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pacing w:val="3"/>
          <w:sz w:val="19"/>
          <w:szCs w:val="19"/>
        </w:rPr>
        <w:t>second-cycle</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pacing w:val="3"/>
          <w:sz w:val="19"/>
          <w:szCs w:val="19"/>
        </w:rPr>
        <w:t>study</w:t>
      </w:r>
    </w:p>
    <w:p>
      <w:pPr>
        <w:spacing w:before="12" w:line="246" w:lineRule="auto"/>
        <w:ind w:left="2117" w:right="214" w:hanging="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programmes” with its sub-processes. In the bottom of</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pacing w:val="4"/>
          <w:sz w:val="19"/>
          <w:szCs w:val="19"/>
        </w:rPr>
        <w:t>the figure</w:t>
      </w:r>
      <w:r>
        <w:rPr>
          <w:rFonts w:ascii="Times New Roman" w:hAnsi="Times New Roman" w:eastAsia="Times New Roman" w:cs="Times New Roman"/>
          <w:spacing w:val="11"/>
          <w:sz w:val="19"/>
          <w:szCs w:val="19"/>
        </w:rPr>
        <w:t xml:space="preserve"> </w:t>
      </w:r>
      <w:r>
        <w:rPr>
          <w:rFonts w:ascii="Times New Roman" w:hAnsi="Times New Roman" w:eastAsia="Times New Roman" w:cs="Times New Roman"/>
          <w:spacing w:val="4"/>
          <w:sz w:val="19"/>
          <w:szCs w:val="19"/>
        </w:rPr>
        <w:t>are the</w:t>
      </w:r>
      <w:r>
        <w:rPr>
          <w:rFonts w:ascii="Times New Roman" w:hAnsi="Times New Roman" w:eastAsia="Times New Roman" w:cs="Times New Roman"/>
          <w:spacing w:val="9"/>
          <w:sz w:val="19"/>
          <w:szCs w:val="19"/>
        </w:rPr>
        <w:t xml:space="preserve"> </w:t>
      </w:r>
      <w:r>
        <w:rPr>
          <w:rFonts w:ascii="Times New Roman" w:hAnsi="Times New Roman" w:eastAsia="Times New Roman" w:cs="Times New Roman"/>
          <w:spacing w:val="4"/>
          <w:sz w:val="19"/>
          <w:szCs w:val="19"/>
        </w:rPr>
        <w:t>laws, regulations</w:t>
      </w:r>
      <w:r>
        <w:rPr>
          <w:rFonts w:ascii="Times New Roman" w:hAnsi="Times New Roman" w:eastAsia="Times New Roman" w:cs="Times New Roman"/>
          <w:spacing w:val="12"/>
          <w:w w:val="101"/>
          <w:sz w:val="19"/>
          <w:szCs w:val="19"/>
        </w:rPr>
        <w:t xml:space="preserve"> </w:t>
      </w:r>
      <w:r>
        <w:rPr>
          <w:rFonts w:ascii="Times New Roman" w:hAnsi="Times New Roman" w:eastAsia="Times New Roman" w:cs="Times New Roman"/>
          <w:spacing w:val="3"/>
          <w:sz w:val="19"/>
          <w:szCs w:val="19"/>
        </w:rPr>
        <w:t>and</w:t>
      </w:r>
      <w:r>
        <w:rPr>
          <w:rFonts w:ascii="Times New Roman" w:hAnsi="Times New Roman" w:eastAsia="Times New Roman" w:cs="Times New Roman"/>
          <w:spacing w:val="10"/>
          <w:sz w:val="19"/>
          <w:szCs w:val="19"/>
        </w:rPr>
        <w:t xml:space="preserve"> </w:t>
      </w:r>
      <w:r>
        <w:rPr>
          <w:rFonts w:ascii="Times New Roman" w:hAnsi="Times New Roman" w:eastAsia="Times New Roman" w:cs="Times New Roman"/>
          <w:spacing w:val="3"/>
          <w:sz w:val="19"/>
          <w:szCs w:val="19"/>
        </w:rPr>
        <w:t>local</w:t>
      </w:r>
      <w:r>
        <w:rPr>
          <w:rFonts w:ascii="Times New Roman" w:hAnsi="Times New Roman" w:eastAsia="Times New Roman" w:cs="Times New Roman"/>
          <w:spacing w:val="12"/>
          <w:w w:val="101"/>
          <w:sz w:val="19"/>
          <w:szCs w:val="19"/>
        </w:rPr>
        <w:t xml:space="preserve"> </w:t>
      </w:r>
      <w:r>
        <w:rPr>
          <w:rFonts w:ascii="Times New Roman" w:hAnsi="Times New Roman" w:eastAsia="Times New Roman" w:cs="Times New Roman"/>
          <w:spacing w:val="3"/>
          <w:sz w:val="19"/>
          <w:szCs w:val="19"/>
        </w:rPr>
        <w:t>steering</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4"/>
          <w:sz w:val="19"/>
          <w:szCs w:val="19"/>
        </w:rPr>
        <w:t>documents belonging to the sub-processes l</w:t>
      </w:r>
      <w:r>
        <w:rPr>
          <w:rFonts w:ascii="Times New Roman" w:hAnsi="Times New Roman" w:eastAsia="Times New Roman" w:cs="Times New Roman"/>
          <w:spacing w:val="3"/>
          <w:sz w:val="19"/>
          <w:szCs w:val="19"/>
        </w:rPr>
        <w:t>isted.</w:t>
      </w:r>
    </w:p>
    <w:p>
      <w:pPr>
        <w:spacing w:before="186" w:line="186" w:lineRule="auto"/>
        <w:ind w:left="1383"/>
        <w:rPr>
          <w:rFonts w:ascii="Times New Roman" w:hAnsi="Times New Roman" w:eastAsia="Times New Roman" w:cs="Times New Roman"/>
          <w:sz w:val="24"/>
          <w:szCs w:val="24"/>
        </w:rPr>
      </w:pPr>
      <w:r>
        <w:rPr>
          <w:rFonts w:ascii="Times New Roman" w:hAnsi="Times New Roman" w:eastAsia="Times New Roman" w:cs="Times New Roman"/>
          <w:b/>
          <w:bCs/>
          <w:i/>
          <w:iCs/>
          <w:spacing w:val="2"/>
          <w:sz w:val="24"/>
          <w:szCs w:val="24"/>
        </w:rPr>
        <w:t>Result</w:t>
      </w:r>
    </w:p>
    <w:p>
      <w:pPr>
        <w:spacing w:before="31" w:line="249" w:lineRule="auto"/>
        <w:ind w:left="1393" w:right="190" w:firstLine="4"/>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Focus groups work, described above, assured </w:t>
      </w:r>
      <w:r>
        <w:rPr>
          <w:rFonts w:ascii="Times New Roman" w:hAnsi="Times New Roman" w:eastAsia="Times New Roman" w:cs="Times New Roman"/>
          <w:spacing w:val="-1"/>
          <w:sz w:val="24"/>
          <w:szCs w:val="24"/>
        </w:rPr>
        <w:t>the quality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mapped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processes.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 xml:space="preserve">During     </w:t>
      </w:r>
      <w:r>
        <w:rPr>
          <w:rFonts w:ascii="Times New Roman" w:hAnsi="Times New Roman" w:eastAsia="Times New Roman" w:cs="Times New Roman"/>
          <w:sz w:val="24"/>
          <w:szCs w:val="24"/>
        </w:rPr>
        <w:t>the project and through the Focus groups a number of</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improvements were identified.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These were listed, discussed and grouped in a workshop with the project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group. Dur</w:t>
      </w:r>
      <w:r>
        <w:rPr>
          <w:rFonts w:ascii="Times New Roman" w:hAnsi="Times New Roman" w:eastAsia="Times New Roman" w:cs="Times New Roman"/>
          <w:spacing w:val="-1"/>
          <w:sz w:val="24"/>
          <w:szCs w:val="24"/>
        </w:rPr>
        <w:t>ing 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discussion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there</w:t>
      </w:r>
    </w:p>
    <w:p>
      <w:pPr>
        <w:spacing w:before="36" w:line="243" w:lineRule="auto"/>
        <w:ind w:left="1395" w:right="498" w:hanging="3"/>
        <w:rPr>
          <w:rFonts w:ascii="Times New Roman" w:hAnsi="Times New Roman" w:eastAsia="Times New Roman" w:cs="Times New Roman"/>
          <w:sz w:val="24"/>
          <w:szCs w:val="24"/>
        </w:rPr>
      </w:pPr>
      <w:r>
        <w:rPr>
          <w:rFonts w:ascii="Times New Roman" w:hAnsi="Times New Roman" w:eastAsia="Times New Roman" w:cs="Times New Roman"/>
          <w:sz w:val="24"/>
          <w:szCs w:val="24"/>
        </w:rPr>
        <w:t>was an understanding that these groups were of</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 general nature (see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exam</w:t>
      </w:r>
      <w:r>
        <w:rPr>
          <w:rFonts w:ascii="Times New Roman" w:hAnsi="Times New Roman" w:eastAsia="Times New Roman" w:cs="Times New Roman"/>
          <w:spacing w:val="-1"/>
          <w:sz w:val="24"/>
          <w:szCs w:val="24"/>
        </w:rPr>
        <w:t>ple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u w:val="single" w:color="auto"/>
        </w:rPr>
        <w:t>Ljungberg,</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color="auto"/>
        </w:rPr>
        <w:t>2012</w:t>
      </w:r>
      <w:r>
        <w:rPr>
          <w:rFonts w:ascii="Times New Roman" w:hAnsi="Times New Roman" w:eastAsia="Times New Roman" w:cs="Times New Roman"/>
          <w:sz w:val="24"/>
          <w:szCs w:val="24"/>
        </w:rPr>
        <w:t>). The groups are listed and divided below</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accord</w:t>
      </w:r>
      <w:r>
        <w:rPr>
          <w:rFonts w:ascii="Times New Roman" w:hAnsi="Times New Roman" w:eastAsia="Times New Roman" w:cs="Times New Roman"/>
          <w:spacing w:val="-1"/>
          <w:sz w:val="24"/>
          <w:szCs w:val="24"/>
        </w:rPr>
        <w:t>ing to the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core values;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Learning</w:t>
      </w:r>
    </w:p>
    <w:p>
      <w:pPr>
        <w:spacing w:before="33"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z w:val="24"/>
          <w:szCs w:val="24"/>
        </w:rPr>
        <w:t>organization (LO), Leadership (L) and Quality assuranc</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(QA).</w:t>
      </w:r>
    </w:p>
    <w:p>
      <w:pPr>
        <w:spacing w:before="251" w:line="192" w:lineRule="auto"/>
        <w:ind w:left="1406"/>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Clear and Common Overall</w:t>
      </w:r>
      <w:r>
        <w:rPr>
          <w:rFonts w:ascii="Times New Roman" w:hAnsi="Times New Roman" w:eastAsia="Times New Roman" w:cs="Times New Roman"/>
          <w:b/>
          <w:bCs/>
          <w:i/>
          <w:iCs/>
          <w:spacing w:val="-15"/>
          <w:sz w:val="24"/>
          <w:szCs w:val="24"/>
        </w:rPr>
        <w:t xml:space="preserve"> </w:t>
      </w:r>
      <w:r>
        <w:rPr>
          <w:rFonts w:ascii="Times New Roman" w:hAnsi="Times New Roman" w:eastAsia="Times New Roman" w:cs="Times New Roman"/>
          <w:b/>
          <w:bCs/>
          <w:i/>
          <w:iCs/>
          <w:sz w:val="24"/>
          <w:szCs w:val="24"/>
        </w:rPr>
        <w:t>Picture (L</w:t>
      </w:r>
      <w:r>
        <w:rPr>
          <w:rFonts w:ascii="Times New Roman" w:hAnsi="Times New Roman" w:eastAsia="Times New Roman" w:cs="Times New Roman"/>
          <w:b/>
          <w:bCs/>
          <w:i/>
          <w:iCs/>
          <w:spacing w:val="-1"/>
          <w:sz w:val="24"/>
          <w:szCs w:val="24"/>
        </w:rPr>
        <w:t>O)</w:t>
      </w:r>
    </w:p>
    <w:p>
      <w:pPr>
        <w:spacing w:before="23" w:line="251" w:lineRule="auto"/>
        <w:ind w:left="1390" w:right="491" w:firstLine="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all process steps, it is obvious that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clear</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common visual picture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flow</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has been</w:t>
      </w:r>
      <w:r>
        <w:rPr>
          <w:rFonts w:ascii="Times New Roman" w:hAnsi="Times New Roman" w:eastAsia="Times New Roman" w:cs="Times New Roman"/>
          <w:sz w:val="24"/>
          <w:szCs w:val="24"/>
        </w:rPr>
        <w:t xml:space="preserve">   established. The benefits are many: all have a com</w:t>
      </w:r>
      <w:r>
        <w:rPr>
          <w:rFonts w:ascii="Times New Roman" w:hAnsi="Times New Roman" w:eastAsia="Times New Roman" w:cs="Times New Roman"/>
          <w:spacing w:val="-1"/>
          <w:sz w:val="24"/>
          <w:szCs w:val="24"/>
        </w:rPr>
        <w:t>mon view</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it provides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a more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objective</w:t>
      </w:r>
      <w:r>
        <w:rPr>
          <w:rFonts w:ascii="Times New Roman" w:hAnsi="Times New Roman" w:eastAsia="Times New Roman" w:cs="Times New Roman"/>
          <w:sz w:val="24"/>
          <w:szCs w:val="24"/>
        </w:rPr>
        <w:t xml:space="preserve">  basis for discussion and improvements. It becomes clear that 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organizati</w:t>
      </w:r>
      <w:r>
        <w:rPr>
          <w:rFonts w:ascii="Times New Roman" w:hAnsi="Times New Roman" w:eastAsia="Times New Roman" w:cs="Times New Roman"/>
          <w:spacing w:val="-1"/>
          <w:sz w:val="24"/>
          <w:szCs w:val="24"/>
        </w:rPr>
        <w:t>on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is working with</w:t>
      </w:r>
      <w:r>
        <w:rPr>
          <w:rFonts w:ascii="Times New Roman" w:hAnsi="Times New Roman" w:eastAsia="Times New Roman" w:cs="Times New Roman"/>
          <w:sz w:val="24"/>
          <w:szCs w:val="24"/>
        </w:rPr>
        <w:t xml:space="preserve"> the same mission and with a</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commo</w:t>
      </w:r>
      <w:r>
        <w:rPr>
          <w:rFonts w:ascii="Times New Roman" w:hAnsi="Times New Roman" w:eastAsia="Times New Roman" w:cs="Times New Roman"/>
          <w:spacing w:val="-1"/>
          <w:sz w:val="24"/>
          <w:szCs w:val="24"/>
        </w:rPr>
        <w:t>n purpose.</w:t>
      </w:r>
    </w:p>
    <w:p>
      <w:pPr>
        <w:spacing w:before="251" w:line="186" w:lineRule="auto"/>
        <w:ind w:left="1410"/>
        <w:rPr>
          <w:rFonts w:ascii="Times New Roman" w:hAnsi="Times New Roman" w:eastAsia="Times New Roman" w:cs="Times New Roman"/>
          <w:sz w:val="24"/>
          <w:szCs w:val="24"/>
        </w:rPr>
      </w:pPr>
      <w:r>
        <w:rPr>
          <w:rFonts w:ascii="Times New Roman" w:hAnsi="Times New Roman" w:eastAsia="Times New Roman" w:cs="Times New Roman"/>
          <w:b/>
          <w:bCs/>
          <w:i/>
          <w:iCs/>
          <w:spacing w:val="-2"/>
          <w:sz w:val="24"/>
          <w:szCs w:val="24"/>
        </w:rPr>
        <w:t>The Sense of</w:t>
      </w:r>
      <w:r>
        <w:rPr>
          <w:rFonts w:ascii="Times New Roman" w:hAnsi="Times New Roman" w:eastAsia="Times New Roman" w:cs="Times New Roman"/>
          <w:b/>
          <w:bCs/>
          <w:i/>
          <w:iCs/>
          <w:spacing w:val="31"/>
          <w:sz w:val="24"/>
          <w:szCs w:val="24"/>
        </w:rPr>
        <w:t xml:space="preserve"> </w:t>
      </w:r>
      <w:r>
        <w:rPr>
          <w:rFonts w:ascii="Times New Roman" w:hAnsi="Times New Roman" w:eastAsia="Times New Roman" w:cs="Times New Roman"/>
          <w:b/>
          <w:bCs/>
          <w:i/>
          <w:iCs/>
          <w:spacing w:val="-2"/>
          <w:sz w:val="24"/>
          <w:szCs w:val="24"/>
        </w:rPr>
        <w:t>Coherence (LO)</w:t>
      </w:r>
    </w:p>
    <w:p>
      <w:pPr>
        <w:spacing w:before="32" w:line="243" w:lineRule="auto"/>
        <w:ind w:left="1392" w:right="167" w:firstLine="5"/>
        <w:rPr>
          <w:rFonts w:ascii="Times New Roman" w:hAnsi="Times New Roman" w:eastAsia="Times New Roman" w:cs="Times New Roman"/>
          <w:sz w:val="24"/>
          <w:szCs w:val="24"/>
        </w:rPr>
      </w:pPr>
      <w:r>
        <w:rPr>
          <w:rFonts w:ascii="Times New Roman" w:hAnsi="Times New Roman" w:eastAsia="Times New Roman" w:cs="Times New Roman"/>
          <w:sz w:val="24"/>
          <w:szCs w:val="24"/>
        </w:rPr>
        <w:t>The identification process has created and clarified the ove</w:t>
      </w:r>
      <w:r>
        <w:rPr>
          <w:rFonts w:ascii="Times New Roman" w:hAnsi="Times New Roman" w:eastAsia="Times New Roman" w:cs="Times New Roman"/>
          <w:spacing w:val="-1"/>
          <w:sz w:val="24"/>
          <w:szCs w:val="24"/>
        </w:rPr>
        <w:t>rall picture that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explains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describes</w:t>
      </w:r>
      <w:r>
        <w:rPr>
          <w:rFonts w:ascii="Times New Roman" w:hAnsi="Times New Roman" w:eastAsia="Times New Roman" w:cs="Times New Roman"/>
          <w:sz w:val="24"/>
          <w:szCs w:val="24"/>
        </w:rPr>
        <w:t xml:space="preserve"> how individual details fit together into a who</w:t>
      </w:r>
      <w:r>
        <w:rPr>
          <w:rFonts w:ascii="Times New Roman" w:hAnsi="Times New Roman" w:eastAsia="Times New Roman" w:cs="Times New Roman"/>
          <w:spacing w:val="-1"/>
          <w:sz w:val="24"/>
          <w:szCs w:val="24"/>
        </w:rPr>
        <w:t>le. This makes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employees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get</w:t>
      </w:r>
      <w:r>
        <w:rPr>
          <w:rFonts w:ascii="Times New Roman" w:hAnsi="Times New Roman" w:eastAsia="Times New Roman" w:cs="Times New Roman"/>
          <w:spacing w:val="18"/>
          <w:w w:val="101"/>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sense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of</w:t>
      </w:r>
    </w:p>
    <w:p>
      <w:pPr>
        <w:spacing w:before="36" w:line="243" w:lineRule="auto"/>
        <w:ind w:left="1398" w:right="436"/>
        <w:rPr>
          <w:rFonts w:ascii="Times New Roman" w:hAnsi="Times New Roman" w:eastAsia="Times New Roman" w:cs="Times New Roman"/>
          <w:sz w:val="24"/>
          <w:szCs w:val="24"/>
        </w:rPr>
      </w:pPr>
      <w:r>
        <w:rPr>
          <w:rFonts w:ascii="Times New Roman" w:hAnsi="Times New Roman" w:eastAsia="Times New Roman" w:cs="Times New Roman"/>
          <w:sz w:val="24"/>
          <w:szCs w:val="24"/>
        </w:rPr>
        <w:t>coherence" by understanding how</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"my own work" is interrelated an</w:t>
      </w:r>
      <w:r>
        <w:rPr>
          <w:rFonts w:ascii="Times New Roman" w:hAnsi="Times New Roman" w:eastAsia="Times New Roman" w:cs="Times New Roman"/>
          <w:spacing w:val="-1"/>
          <w:sz w:val="24"/>
          <w:szCs w:val="24"/>
        </w:rPr>
        <w:t>d contributes to the whole.</w:t>
      </w:r>
      <w:r>
        <w:rPr>
          <w:rFonts w:ascii="Times New Roman" w:hAnsi="Times New Roman" w:eastAsia="Times New Roman" w:cs="Times New Roman"/>
          <w:sz w:val="24"/>
          <w:szCs w:val="24"/>
        </w:rPr>
        <w:t xml:space="preserve"> This is essential for safety and </w:t>
      </w:r>
      <w:r>
        <w:rPr>
          <w:rFonts w:ascii="Times New Roman" w:hAnsi="Times New Roman" w:eastAsia="Times New Roman" w:cs="Times New Roman"/>
          <w:spacing w:val="-1"/>
          <w:sz w:val="24"/>
          <w:szCs w:val="24"/>
        </w:rPr>
        <w:t>health at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work</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will</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contribute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to better</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results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from</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each</w:t>
      </w:r>
    </w:p>
    <w:p>
      <w:pPr>
        <w:spacing w:before="37" w:line="243" w:lineRule="auto"/>
        <w:ind w:left="1392" w:right="834" w:firstLine="7"/>
        <w:rPr>
          <w:rFonts w:ascii="Times New Roman" w:hAnsi="Times New Roman" w:eastAsia="Times New Roman" w:cs="Times New Roman"/>
          <w:sz w:val="24"/>
          <w:szCs w:val="24"/>
        </w:rPr>
      </w:pPr>
      <w:r>
        <w:rPr>
          <w:rFonts w:ascii="Times New Roman" w:hAnsi="Times New Roman" w:eastAsia="Times New Roman" w:cs="Times New Roman"/>
          <w:sz w:val="24"/>
          <w:szCs w:val="24"/>
        </w:rPr>
        <w:t>employee since she/he understands her/his role and is both ab</w:t>
      </w:r>
      <w:r>
        <w:rPr>
          <w:rFonts w:ascii="Times New Roman" w:hAnsi="Times New Roman" w:eastAsia="Times New Roman" w:cs="Times New Roman"/>
          <w:spacing w:val="-1"/>
          <w:sz w:val="24"/>
          <w:szCs w:val="24"/>
        </w:rPr>
        <w:t>le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and willing 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take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greater</w:t>
      </w:r>
      <w:r>
        <w:rPr>
          <w:rFonts w:ascii="Times New Roman" w:hAnsi="Times New Roman" w:eastAsia="Times New Roman" w:cs="Times New Roman"/>
          <w:sz w:val="24"/>
          <w:szCs w:val="24"/>
        </w:rPr>
        <w:t xml:space="preserve"> responsibility for her/his work and its resu</w:t>
      </w:r>
      <w:r>
        <w:rPr>
          <w:rFonts w:ascii="Times New Roman" w:hAnsi="Times New Roman" w:eastAsia="Times New Roman" w:cs="Times New Roman"/>
          <w:spacing w:val="-1"/>
          <w:sz w:val="24"/>
          <w:szCs w:val="24"/>
        </w:rPr>
        <w:t>lts.</w:t>
      </w: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13" w:lineRule="exact"/>
        <w:ind w:firstLine="1151"/>
      </w:pPr>
      <w:r>
        <w:rPr>
          <w:position w:val="-4"/>
        </w:rPr>
        <w:drawing>
          <wp:inline distT="0" distB="0" distL="0" distR="0">
            <wp:extent cx="1849120" cy="134620"/>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958" w:bottom="100" w:left="48" w:header="0" w:footer="0" w:gutter="0"/>
          <w:cols w:space="720" w:num="1"/>
        </w:sectPr>
      </w:pPr>
    </w:p>
    <w:p>
      <w:pPr>
        <w:spacing w:line="252" w:lineRule="auto"/>
        <w:rPr>
          <w:rFonts w:ascii="Arial"/>
          <w:sz w:val="21"/>
        </w:rPr>
      </w:pPr>
      <w:r>
        <mc:AlternateContent>
          <mc:Choice Requires="wps">
            <w:drawing>
              <wp:anchor distT="0" distB="0" distL="0" distR="0" simplePos="0" relativeHeight="251790336"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248" name="TextBox 248"/>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8" o:spid="_x0000_s1026" o:spt="202" type="#_x0000_t202" style="position:absolute;left:0pt;margin-left:-120.15pt;margin-top:416.25pt;height:9.3pt;width:252.55pt;mso-position-horizontal-relative:page;mso-position-vertical-relative:page;rotation:-5898240f;z-index:251790336;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flfLbAAAADAEAAA8AAAAAAAAAAQAgAAAAIgAAAGRycy9k&#10;b3ducmV2LnhtbFBLAQIUABQAAAAIAIdO4kAAplrHOAIAAHEEAAAOAAAAAAAAAAEAIAAAACoBAABk&#10;cnMvZTJvRG9jLnhtbFBLBQYAAAAABgAGAFkBAADUBQ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9" w:line="186" w:lineRule="auto"/>
        <w:ind w:left="1406"/>
        <w:rPr>
          <w:rFonts w:ascii="Times New Roman" w:hAnsi="Times New Roman" w:eastAsia="Times New Roman" w:cs="Times New Roman"/>
          <w:sz w:val="24"/>
          <w:szCs w:val="24"/>
        </w:rPr>
      </w:pPr>
      <w:r>
        <w:rPr>
          <w:rFonts w:ascii="Times New Roman" w:hAnsi="Times New Roman" w:eastAsia="Times New Roman" w:cs="Times New Roman"/>
          <w:b/>
          <w:bCs/>
          <w:i/>
          <w:iCs/>
          <w:spacing w:val="-1"/>
          <w:sz w:val="24"/>
          <w:szCs w:val="24"/>
        </w:rPr>
        <w:t>Communication and Common</w:t>
      </w:r>
      <w:r>
        <w:rPr>
          <w:rFonts w:ascii="Times New Roman" w:hAnsi="Times New Roman" w:eastAsia="Times New Roman" w:cs="Times New Roman"/>
          <w:b/>
          <w:bCs/>
          <w:i/>
          <w:iCs/>
          <w:spacing w:val="20"/>
          <w:sz w:val="24"/>
          <w:szCs w:val="24"/>
        </w:rPr>
        <w:t xml:space="preserve"> </w:t>
      </w:r>
      <w:r>
        <w:rPr>
          <w:rFonts w:ascii="Times New Roman" w:hAnsi="Times New Roman" w:eastAsia="Times New Roman" w:cs="Times New Roman"/>
          <w:b/>
          <w:bCs/>
          <w:i/>
          <w:iCs/>
          <w:spacing w:val="-1"/>
          <w:sz w:val="24"/>
          <w:szCs w:val="24"/>
        </w:rPr>
        <w:t>Glossary (LO)</w:t>
      </w:r>
    </w:p>
    <w:p>
      <w:pPr>
        <w:spacing w:before="29" w:line="249" w:lineRule="auto"/>
        <w:ind w:left="1398" w:right="178" w:hanging="3"/>
        <w:rPr>
          <w:rFonts w:ascii="Times New Roman" w:hAnsi="Times New Roman" w:eastAsia="Times New Roman" w:cs="Times New Roman"/>
          <w:sz w:val="24"/>
          <w:szCs w:val="24"/>
        </w:rPr>
      </w:pPr>
      <w:r>
        <w:rPr>
          <w:rFonts w:ascii="Times New Roman" w:hAnsi="Times New Roman" w:eastAsia="Times New Roman" w:cs="Times New Roman"/>
          <w:sz w:val="24"/>
          <w:szCs w:val="24"/>
        </w:rPr>
        <w:t>During the project there has been a dialogue between many different groups in the organiza</w:t>
      </w:r>
      <w:r>
        <w:rPr>
          <w:rFonts w:ascii="Times New Roman" w:hAnsi="Times New Roman" w:eastAsia="Times New Roman" w:cs="Times New Roman"/>
          <w:spacing w:val="-1"/>
          <w:sz w:val="24"/>
          <w:szCs w:val="24"/>
        </w:rPr>
        <w:t>tion</w:t>
      </w:r>
      <w:r>
        <w:rPr>
          <w:rFonts w:ascii="Times New Roman" w:hAnsi="Times New Roman" w:eastAsia="Times New Roman" w:cs="Times New Roman"/>
          <w:sz w:val="24"/>
          <w:szCs w:val="24"/>
        </w:rPr>
        <w:t xml:space="preserve"> and the team has established a common glossary. This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glos</w:t>
      </w:r>
      <w:r>
        <w:rPr>
          <w:rFonts w:ascii="Times New Roman" w:hAnsi="Times New Roman" w:eastAsia="Times New Roman" w:cs="Times New Roman"/>
          <w:spacing w:val="-1"/>
          <w:sz w:val="24"/>
          <w:szCs w:val="24"/>
        </w:rPr>
        <w:t>sary will be used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organization</w:t>
      </w:r>
      <w:r>
        <w:rPr>
          <w:rFonts w:ascii="Times New Roman" w:hAnsi="Times New Roman" w:eastAsia="Times New Roman" w:cs="Times New Roman"/>
          <w:sz w:val="24"/>
          <w:szCs w:val="24"/>
        </w:rPr>
        <w:t xml:space="preserve"> during the implementation, and ongoing, to secure understanding and reduce the risk</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of</w:t>
      </w:r>
    </w:p>
    <w:p>
      <w:pPr>
        <w:spacing w:before="33"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z w:val="24"/>
          <w:szCs w:val="24"/>
        </w:rPr>
        <w:t>ambiguities and errors caused by confusion of</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concepts.</w:t>
      </w:r>
    </w:p>
    <w:p>
      <w:pPr>
        <w:spacing w:before="251" w:line="186" w:lineRule="auto"/>
        <w:ind w:left="1406"/>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Clearer, More Effective and</w:t>
      </w:r>
      <w:r>
        <w:rPr>
          <w:rFonts w:ascii="Times New Roman" w:hAnsi="Times New Roman" w:eastAsia="Times New Roman" w:cs="Times New Roman"/>
          <w:b/>
          <w:bCs/>
          <w:i/>
          <w:iCs/>
          <w:spacing w:val="-11"/>
          <w:sz w:val="24"/>
          <w:szCs w:val="24"/>
        </w:rPr>
        <w:t xml:space="preserve"> </w:t>
      </w:r>
      <w:r>
        <w:rPr>
          <w:rFonts w:ascii="Times New Roman" w:hAnsi="Times New Roman" w:eastAsia="Times New Roman" w:cs="Times New Roman"/>
          <w:b/>
          <w:bCs/>
          <w:i/>
          <w:iCs/>
          <w:sz w:val="24"/>
          <w:szCs w:val="24"/>
        </w:rPr>
        <w:t>Flexible Processes</w:t>
      </w:r>
      <w:r>
        <w:rPr>
          <w:rFonts w:ascii="Times New Roman" w:hAnsi="Times New Roman" w:eastAsia="Times New Roman" w:cs="Times New Roman"/>
          <w:b/>
          <w:bCs/>
          <w:i/>
          <w:iCs/>
          <w:spacing w:val="-1"/>
          <w:sz w:val="24"/>
          <w:szCs w:val="24"/>
        </w:rPr>
        <w:t xml:space="preserve"> (LO)</w:t>
      </w:r>
    </w:p>
    <w:p>
      <w:pPr>
        <w:spacing w:before="31" w:line="243" w:lineRule="auto"/>
        <w:ind w:left="1392" w:right="82" w:firstLine="2"/>
        <w:rPr>
          <w:rFonts w:ascii="Times New Roman" w:hAnsi="Times New Roman" w:eastAsia="Times New Roman" w:cs="Times New Roman"/>
          <w:sz w:val="24"/>
          <w:szCs w:val="24"/>
        </w:rPr>
      </w:pPr>
      <w:r>
        <w:rPr>
          <w:rFonts w:ascii="Times New Roman" w:hAnsi="Times New Roman" w:eastAsia="Times New Roman" w:cs="Times New Roman"/>
          <w:sz w:val="24"/>
          <w:szCs w:val="24"/>
        </w:rPr>
        <w:t>During the process mapping many loops have been removed and inspections have been r</w:t>
      </w:r>
      <w:r>
        <w:rPr>
          <w:rFonts w:ascii="Times New Roman" w:hAnsi="Times New Roman" w:eastAsia="Times New Roman" w:cs="Times New Roman"/>
          <w:spacing w:val="-1"/>
          <w:sz w:val="24"/>
          <w:szCs w:val="24"/>
        </w:rPr>
        <w:t>eplaced</w:t>
      </w:r>
      <w:r>
        <w:rPr>
          <w:rFonts w:ascii="Times New Roman" w:hAnsi="Times New Roman" w:eastAsia="Times New Roman" w:cs="Times New Roman"/>
          <w:sz w:val="24"/>
          <w:szCs w:val="24"/>
        </w:rPr>
        <w:t xml:space="preserve"> with dialogue and anchoring before the decision making. Quality assurance befo</w:t>
      </w:r>
      <w:r>
        <w:rPr>
          <w:rFonts w:ascii="Times New Roman" w:hAnsi="Times New Roman" w:eastAsia="Times New Roman" w:cs="Times New Roman"/>
          <w:spacing w:val="-1"/>
          <w:sz w:val="24"/>
          <w:szCs w:val="24"/>
        </w:rPr>
        <w:t>re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activities</w:t>
      </w:r>
    </w:p>
    <w:p>
      <w:pPr>
        <w:spacing w:before="35" w:line="260" w:lineRule="auto"/>
        <w:ind w:left="1398" w:right="298" w:hanging="1"/>
        <w:rPr>
          <w:rFonts w:ascii="Times New Roman" w:hAnsi="Times New Roman" w:eastAsia="Times New Roman" w:cs="Times New Roman"/>
          <w:sz w:val="24"/>
          <w:szCs w:val="24"/>
        </w:rPr>
      </w:pPr>
      <w:r>
        <w:rPr>
          <w:rFonts w:ascii="Times New Roman" w:hAnsi="Times New Roman" w:eastAsia="Times New Roman" w:cs="Times New Roman"/>
          <w:sz w:val="24"/>
          <w:szCs w:val="24"/>
        </w:rPr>
        <w:t>increases the premise to do right from the beginning. The processes clarify the responsib</w:t>
      </w:r>
      <w:r>
        <w:rPr>
          <w:rFonts w:ascii="Times New Roman" w:hAnsi="Times New Roman" w:eastAsia="Times New Roman" w:cs="Times New Roman"/>
          <w:spacing w:val="-1"/>
          <w:sz w:val="24"/>
          <w:szCs w:val="24"/>
        </w:rPr>
        <w:t>ilities</w:t>
      </w:r>
      <w:r>
        <w:rPr>
          <w:rFonts w:ascii="Times New Roman" w:hAnsi="Times New Roman" w:eastAsia="Times New Roman" w:cs="Times New Roman"/>
          <w:sz w:val="24"/>
          <w:szCs w:val="24"/>
        </w:rPr>
        <w:t xml:space="preserve"> and mandate at each task and facilitate communi</w:t>
      </w:r>
      <w:r>
        <w:rPr>
          <w:rFonts w:ascii="Times New Roman" w:hAnsi="Times New Roman" w:eastAsia="Times New Roman" w:cs="Times New Roman"/>
          <w:spacing w:val="-1"/>
          <w:sz w:val="24"/>
          <w:szCs w:val="24"/>
        </w:rPr>
        <w:t>cation.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Lead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times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will be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shortened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when</w:t>
      </w:r>
    </w:p>
    <w:p>
      <w:pPr>
        <w:spacing w:line="242" w:lineRule="auto"/>
        <w:ind w:left="1393" w:right="423" w:firstLine="5"/>
        <w:rPr>
          <w:rFonts w:ascii="Times New Roman" w:hAnsi="Times New Roman" w:eastAsia="Times New Roman" w:cs="Times New Roman"/>
          <w:sz w:val="24"/>
          <w:szCs w:val="24"/>
        </w:rPr>
      </w:pPr>
      <w:r>
        <w:rPr>
          <w:rFonts w:ascii="Times New Roman" w:hAnsi="Times New Roman" w:eastAsia="Times New Roman" w:cs="Times New Roman"/>
          <w:sz w:val="24"/>
          <w:szCs w:val="24"/>
        </w:rPr>
        <w:t>control is replaced with quality management and quality assurance. Increased u</w:t>
      </w:r>
      <w:r>
        <w:rPr>
          <w:rFonts w:ascii="Times New Roman" w:hAnsi="Times New Roman" w:eastAsia="Times New Roman" w:cs="Times New Roman"/>
          <w:spacing w:val="-1"/>
          <w:sz w:val="24"/>
          <w:szCs w:val="24"/>
        </w:rPr>
        <w:t>nderstanding,</w:t>
      </w:r>
      <w:r>
        <w:rPr>
          <w:rFonts w:ascii="Times New Roman" w:hAnsi="Times New Roman" w:eastAsia="Times New Roman" w:cs="Times New Roman"/>
          <w:sz w:val="24"/>
          <w:szCs w:val="24"/>
        </w:rPr>
        <w:t xml:space="preserve"> trust and respect create efficiency and</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fle</w:t>
      </w:r>
      <w:r>
        <w:rPr>
          <w:rFonts w:ascii="Times New Roman" w:hAnsi="Times New Roman" w:eastAsia="Times New Roman" w:cs="Times New Roman"/>
          <w:spacing w:val="-1"/>
          <w:sz w:val="24"/>
          <w:szCs w:val="24"/>
        </w:rPr>
        <w:t>xibility.</w:t>
      </w:r>
    </w:p>
    <w:p>
      <w:pPr>
        <w:spacing w:before="250" w:line="186" w:lineRule="auto"/>
        <w:ind w:left="1413"/>
        <w:rPr>
          <w:rFonts w:ascii="Times New Roman" w:hAnsi="Times New Roman" w:eastAsia="Times New Roman" w:cs="Times New Roman"/>
          <w:sz w:val="24"/>
          <w:szCs w:val="24"/>
        </w:rPr>
      </w:pPr>
      <w:r>
        <w:rPr>
          <w:rFonts w:ascii="Times New Roman" w:hAnsi="Times New Roman" w:eastAsia="Times New Roman" w:cs="Times New Roman"/>
          <w:b/>
          <w:bCs/>
          <w:i/>
          <w:iCs/>
          <w:spacing w:val="-1"/>
          <w:sz w:val="24"/>
          <w:szCs w:val="24"/>
        </w:rPr>
        <w:t>Understand the</w:t>
      </w:r>
      <w:r>
        <w:rPr>
          <w:rFonts w:ascii="Times New Roman" w:hAnsi="Times New Roman" w:eastAsia="Times New Roman" w:cs="Times New Roman"/>
          <w:b/>
          <w:bCs/>
          <w:i/>
          <w:iCs/>
          <w:spacing w:val="28"/>
          <w:w w:val="101"/>
          <w:sz w:val="24"/>
          <w:szCs w:val="24"/>
        </w:rPr>
        <w:t xml:space="preserve"> </w:t>
      </w:r>
      <w:r>
        <w:rPr>
          <w:rFonts w:ascii="Times New Roman" w:hAnsi="Times New Roman" w:eastAsia="Times New Roman" w:cs="Times New Roman"/>
          <w:b/>
          <w:bCs/>
          <w:i/>
          <w:iCs/>
          <w:spacing w:val="-1"/>
          <w:sz w:val="24"/>
          <w:szCs w:val="24"/>
        </w:rPr>
        <w:t>Value of Each Mome</w:t>
      </w:r>
      <w:r>
        <w:rPr>
          <w:rFonts w:ascii="Times New Roman" w:hAnsi="Times New Roman" w:eastAsia="Times New Roman" w:cs="Times New Roman"/>
          <w:b/>
          <w:bCs/>
          <w:i/>
          <w:iCs/>
          <w:spacing w:val="-2"/>
          <w:sz w:val="24"/>
          <w:szCs w:val="24"/>
        </w:rPr>
        <w:t>nt (LO, L)</w:t>
      </w:r>
    </w:p>
    <w:p>
      <w:pPr>
        <w:spacing w:before="34" w:line="252" w:lineRule="auto"/>
        <w:ind w:left="1392" w:firstLine="2"/>
        <w:rPr>
          <w:rFonts w:ascii="Times New Roman" w:hAnsi="Times New Roman" w:eastAsia="Times New Roman" w:cs="Times New Roman"/>
          <w:sz w:val="24"/>
          <w:szCs w:val="24"/>
        </w:rPr>
      </w:pPr>
      <w:r>
        <w:rPr>
          <w:rFonts w:ascii="Times New Roman" w:hAnsi="Times New Roman" w:eastAsia="Times New Roman" w:cs="Times New Roman"/>
          <w:sz w:val="24"/>
          <w:szCs w:val="24"/>
        </w:rPr>
        <w:t>Processes are identified at different levels.</w:t>
      </w:r>
      <w:r>
        <w:rPr>
          <w:rFonts w:ascii="Times New Roman" w:hAnsi="Times New Roman" w:eastAsia="Times New Roman" w:cs="Times New Roman"/>
          <w:spacing w:val="-1"/>
          <w:sz w:val="24"/>
          <w:szCs w:val="24"/>
        </w:rPr>
        <w:t xml:space="preserve"> There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are possibilities to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look</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deeper, more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 xml:space="preserve">detail,   </w:t>
      </w:r>
      <w:r>
        <w:rPr>
          <w:rFonts w:ascii="Times New Roman" w:hAnsi="Times New Roman" w:eastAsia="Times New Roman" w:cs="Times New Roman"/>
          <w:sz w:val="24"/>
          <w:szCs w:val="24"/>
        </w:rPr>
        <w:t>at some activities and some can be divided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further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necessary.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Through</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detailed pict</w:t>
      </w:r>
      <w:r>
        <w:rPr>
          <w:rFonts w:ascii="Times New Roman" w:hAnsi="Times New Roman" w:eastAsia="Times New Roman" w:cs="Times New Roman"/>
          <w:spacing w:val="-1"/>
          <w:sz w:val="24"/>
          <w:szCs w:val="24"/>
        </w:rPr>
        <w:t>ure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 whole process, there is an opportun</w:t>
      </w:r>
      <w:r>
        <w:rPr>
          <w:rFonts w:ascii="Times New Roman" w:hAnsi="Times New Roman" w:eastAsia="Times New Roman" w:cs="Times New Roman"/>
          <w:spacing w:val="-1"/>
          <w:sz w:val="24"/>
          <w:szCs w:val="24"/>
        </w:rPr>
        <w:t>ity to take a closer look</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at 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activities before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after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 xml:space="preserve">this    </w:t>
      </w:r>
      <w:r>
        <w:rPr>
          <w:rFonts w:ascii="Times New Roman" w:hAnsi="Times New Roman" w:eastAsia="Times New Roman" w:cs="Times New Roman"/>
          <w:sz w:val="24"/>
          <w:szCs w:val="24"/>
        </w:rPr>
        <w:t>moment. This creates an excellent opportunity to m</w:t>
      </w:r>
      <w:r>
        <w:rPr>
          <w:rFonts w:ascii="Times New Roman" w:hAnsi="Times New Roman" w:eastAsia="Times New Roman" w:cs="Times New Roman"/>
          <w:spacing w:val="-1"/>
          <w:sz w:val="24"/>
          <w:szCs w:val="24"/>
        </w:rPr>
        <w:t>easure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and understand the value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supplied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    each part.</w:t>
      </w:r>
    </w:p>
    <w:p>
      <w:pPr>
        <w:spacing w:before="252" w:line="186" w:lineRule="auto"/>
        <w:ind w:left="1403"/>
        <w:rPr>
          <w:rFonts w:ascii="Times New Roman" w:hAnsi="Times New Roman" w:eastAsia="Times New Roman" w:cs="Times New Roman"/>
          <w:sz w:val="24"/>
          <w:szCs w:val="24"/>
        </w:rPr>
      </w:pPr>
      <w:r>
        <w:rPr>
          <w:rFonts w:ascii="Times New Roman" w:hAnsi="Times New Roman" w:eastAsia="Times New Roman" w:cs="Times New Roman"/>
          <w:b/>
          <w:bCs/>
          <w:i/>
          <w:iCs/>
          <w:spacing w:val="-2"/>
          <w:sz w:val="24"/>
          <w:szCs w:val="24"/>
        </w:rPr>
        <w:t>Quality</w:t>
      </w:r>
      <w:r>
        <w:rPr>
          <w:rFonts w:ascii="Times New Roman" w:hAnsi="Times New Roman" w:eastAsia="Times New Roman" w:cs="Times New Roman"/>
          <w:b/>
          <w:bCs/>
          <w:i/>
          <w:iCs/>
          <w:spacing w:val="22"/>
          <w:w w:val="101"/>
          <w:sz w:val="24"/>
          <w:szCs w:val="24"/>
        </w:rPr>
        <w:t xml:space="preserve"> </w:t>
      </w:r>
      <w:r>
        <w:rPr>
          <w:rFonts w:ascii="Times New Roman" w:hAnsi="Times New Roman" w:eastAsia="Times New Roman" w:cs="Times New Roman"/>
          <w:b/>
          <w:bCs/>
          <w:i/>
          <w:iCs/>
          <w:spacing w:val="-2"/>
          <w:sz w:val="24"/>
          <w:szCs w:val="24"/>
        </w:rPr>
        <w:t>Control (L)</w:t>
      </w:r>
    </w:p>
    <w:p>
      <w:pPr>
        <w:spacing w:before="30"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z w:val="24"/>
          <w:szCs w:val="24"/>
        </w:rPr>
        <w:t>Quality control makes the management able to change conditions within the pr</w:t>
      </w:r>
      <w:r>
        <w:rPr>
          <w:rFonts w:ascii="Times New Roman" w:hAnsi="Times New Roman" w:eastAsia="Times New Roman" w:cs="Times New Roman"/>
          <w:spacing w:val="-1"/>
          <w:sz w:val="24"/>
          <w:szCs w:val="24"/>
        </w:rPr>
        <w:t>ocess. An</w:t>
      </w:r>
    </w:p>
    <w:p>
      <w:pPr>
        <w:spacing w:before="37" w:line="243" w:lineRule="auto"/>
        <w:ind w:left="1392" w:right="97" w:firstLine="6"/>
        <w:rPr>
          <w:rFonts w:ascii="Times New Roman" w:hAnsi="Times New Roman" w:eastAsia="Times New Roman" w:cs="Times New Roman"/>
          <w:sz w:val="24"/>
          <w:szCs w:val="24"/>
        </w:rPr>
      </w:pPr>
      <w:r>
        <w:rPr>
          <w:rFonts w:ascii="Times New Roman" w:hAnsi="Times New Roman" w:eastAsia="Times New Roman" w:cs="Times New Roman"/>
          <w:sz w:val="24"/>
          <w:szCs w:val="24"/>
        </w:rPr>
        <w:t>example could be that a teacher makes an evaluation in the middle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course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and thereby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gains</w:t>
      </w:r>
      <w:r>
        <w:rPr>
          <w:rFonts w:ascii="Times New Roman" w:hAnsi="Times New Roman" w:eastAsia="Times New Roman" w:cs="Times New Roman"/>
          <w:sz w:val="24"/>
          <w:szCs w:val="24"/>
        </w:rPr>
        <w:t xml:space="preserve"> valuable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input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can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used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directly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during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course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process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mapping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has</w:t>
      </w:r>
    </w:p>
    <w:p>
      <w:pPr>
        <w:spacing w:before="35"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z w:val="24"/>
          <w:szCs w:val="24"/>
        </w:rPr>
        <w:t>clarified and identified where, in the processes, dialogue is</w:t>
      </w:r>
      <w:r>
        <w:rPr>
          <w:rFonts w:ascii="Times New Roman" w:hAnsi="Times New Roman" w:eastAsia="Times New Roman" w:cs="Times New Roman"/>
          <w:spacing w:val="-1"/>
          <w:sz w:val="24"/>
          <w:szCs w:val="24"/>
        </w:rPr>
        <w:t xml:space="preserve"> necessary in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order to</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secure the</w:t>
      </w:r>
    </w:p>
    <w:p>
      <w:pPr>
        <w:spacing w:before="35" w:line="228" w:lineRule="auto"/>
        <w:ind w:left="1390"/>
        <w:rPr>
          <w:rFonts w:ascii="Times New Roman" w:hAnsi="Times New Roman" w:eastAsia="Times New Roman" w:cs="Times New Roman"/>
          <w:sz w:val="24"/>
          <w:szCs w:val="24"/>
        </w:rPr>
      </w:pPr>
      <w:r>
        <w:rPr>
          <w:rFonts w:ascii="Times New Roman" w:hAnsi="Times New Roman" w:eastAsia="Times New Roman" w:cs="Times New Roman"/>
          <w:sz w:val="24"/>
          <w:szCs w:val="24"/>
        </w:rPr>
        <w:t>process. A transparent process ensures taking decisions in right time, with right</w:t>
      </w:r>
      <w:r>
        <w:rPr>
          <w:rFonts w:ascii="Times New Roman" w:hAnsi="Times New Roman" w:eastAsia="Times New Roman" w:cs="Times New Roman"/>
          <w:spacing w:val="-1"/>
          <w:sz w:val="24"/>
          <w:szCs w:val="24"/>
        </w:rPr>
        <w:t xml:space="preserve"> support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w:t>
      </w:r>
    </w:p>
    <w:p>
      <w:pPr>
        <w:spacing w:before="33" w:line="228" w:lineRule="auto"/>
        <w:ind w:right="38"/>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dialogue with right competence, which is important fo</w:t>
      </w:r>
      <w:r>
        <w:rPr>
          <w:rFonts w:ascii="Times New Roman" w:hAnsi="Times New Roman" w:eastAsia="Times New Roman" w:cs="Times New Roman"/>
          <w:spacing w:val="-1"/>
          <w:sz w:val="24"/>
          <w:szCs w:val="24"/>
        </w:rPr>
        <w:t>r the quality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control</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quality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assurance.</w:t>
      </w:r>
    </w:p>
    <w:p>
      <w:pPr>
        <w:spacing w:before="252" w:line="186" w:lineRule="auto"/>
        <w:ind w:left="1382"/>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Increase</w:t>
      </w:r>
      <w:r>
        <w:rPr>
          <w:rFonts w:ascii="Times New Roman" w:hAnsi="Times New Roman" w:eastAsia="Times New Roman" w:cs="Times New Roman"/>
          <w:b/>
          <w:bCs/>
          <w:i/>
          <w:iCs/>
          <w:spacing w:val="-8"/>
          <w:sz w:val="24"/>
          <w:szCs w:val="24"/>
        </w:rPr>
        <w:t xml:space="preserve"> </w:t>
      </w:r>
      <w:r>
        <w:rPr>
          <w:rFonts w:ascii="Times New Roman" w:hAnsi="Times New Roman" w:eastAsia="Times New Roman" w:cs="Times New Roman"/>
          <w:b/>
          <w:bCs/>
          <w:i/>
          <w:iCs/>
          <w:sz w:val="24"/>
          <w:szCs w:val="24"/>
        </w:rPr>
        <w:t>Awareness</w:t>
      </w:r>
      <w:r>
        <w:rPr>
          <w:rFonts w:ascii="Times New Roman" w:hAnsi="Times New Roman" w:eastAsia="Times New Roman" w:cs="Times New Roman"/>
          <w:b/>
          <w:bCs/>
          <w:i/>
          <w:iCs/>
          <w:spacing w:val="3"/>
          <w:sz w:val="24"/>
          <w:szCs w:val="24"/>
        </w:rPr>
        <w:t xml:space="preserve"> </w:t>
      </w:r>
      <w:r>
        <w:rPr>
          <w:rFonts w:ascii="Times New Roman" w:hAnsi="Times New Roman" w:eastAsia="Times New Roman" w:cs="Times New Roman"/>
          <w:b/>
          <w:bCs/>
          <w:i/>
          <w:iCs/>
          <w:sz w:val="24"/>
          <w:szCs w:val="24"/>
        </w:rPr>
        <w:t>and</w:t>
      </w:r>
      <w:r>
        <w:rPr>
          <w:rFonts w:ascii="Times New Roman" w:hAnsi="Times New Roman" w:eastAsia="Times New Roman" w:cs="Times New Roman"/>
          <w:b/>
          <w:bCs/>
          <w:i/>
          <w:iCs/>
          <w:spacing w:val="3"/>
          <w:sz w:val="24"/>
          <w:szCs w:val="24"/>
        </w:rPr>
        <w:t xml:space="preserve"> </w:t>
      </w:r>
      <w:r>
        <w:rPr>
          <w:rFonts w:ascii="Times New Roman" w:hAnsi="Times New Roman" w:eastAsia="Times New Roman" w:cs="Times New Roman"/>
          <w:b/>
          <w:bCs/>
          <w:i/>
          <w:iCs/>
          <w:sz w:val="24"/>
          <w:szCs w:val="24"/>
        </w:rPr>
        <w:t>Clarify</w:t>
      </w:r>
      <w:r>
        <w:rPr>
          <w:rFonts w:ascii="Times New Roman" w:hAnsi="Times New Roman" w:eastAsia="Times New Roman" w:cs="Times New Roman"/>
          <w:b/>
          <w:bCs/>
          <w:i/>
          <w:iCs/>
          <w:spacing w:val="3"/>
          <w:sz w:val="24"/>
          <w:szCs w:val="24"/>
        </w:rPr>
        <w:t xml:space="preserve"> </w:t>
      </w:r>
      <w:r>
        <w:rPr>
          <w:rFonts w:ascii="Times New Roman" w:hAnsi="Times New Roman" w:eastAsia="Times New Roman" w:cs="Times New Roman"/>
          <w:b/>
          <w:bCs/>
          <w:i/>
          <w:iCs/>
          <w:sz w:val="24"/>
          <w:szCs w:val="24"/>
        </w:rPr>
        <w:t>Leadership</w:t>
      </w:r>
      <w:r>
        <w:rPr>
          <w:rFonts w:ascii="Times New Roman" w:hAnsi="Times New Roman" w:eastAsia="Times New Roman" w:cs="Times New Roman"/>
          <w:b/>
          <w:bCs/>
          <w:i/>
          <w:iCs/>
          <w:spacing w:val="3"/>
          <w:sz w:val="24"/>
          <w:szCs w:val="24"/>
        </w:rPr>
        <w:t xml:space="preserve"> </w:t>
      </w:r>
      <w:r>
        <w:rPr>
          <w:rFonts w:ascii="Times New Roman" w:hAnsi="Times New Roman" w:eastAsia="Times New Roman" w:cs="Times New Roman"/>
          <w:b/>
          <w:bCs/>
          <w:i/>
          <w:iCs/>
          <w:sz w:val="24"/>
          <w:szCs w:val="24"/>
        </w:rPr>
        <w:t>Skills</w:t>
      </w:r>
      <w:r>
        <w:rPr>
          <w:rFonts w:ascii="Times New Roman" w:hAnsi="Times New Roman" w:eastAsia="Times New Roman" w:cs="Times New Roman"/>
          <w:b/>
          <w:bCs/>
          <w:i/>
          <w:iCs/>
          <w:spacing w:val="3"/>
          <w:sz w:val="24"/>
          <w:szCs w:val="24"/>
        </w:rPr>
        <w:t xml:space="preserve">, </w:t>
      </w:r>
      <w:r>
        <w:rPr>
          <w:rFonts w:ascii="Times New Roman" w:hAnsi="Times New Roman" w:eastAsia="Times New Roman" w:cs="Times New Roman"/>
          <w:b/>
          <w:bCs/>
          <w:i/>
          <w:iCs/>
          <w:sz w:val="24"/>
          <w:szCs w:val="24"/>
        </w:rPr>
        <w:t>Roles</w:t>
      </w:r>
      <w:r>
        <w:rPr>
          <w:rFonts w:ascii="Times New Roman" w:hAnsi="Times New Roman" w:eastAsia="Times New Roman" w:cs="Times New Roman"/>
          <w:b/>
          <w:bCs/>
          <w:i/>
          <w:iCs/>
          <w:spacing w:val="3"/>
          <w:sz w:val="24"/>
          <w:szCs w:val="24"/>
        </w:rPr>
        <w:t xml:space="preserve"> </w:t>
      </w:r>
      <w:r>
        <w:rPr>
          <w:rFonts w:ascii="Times New Roman" w:hAnsi="Times New Roman" w:eastAsia="Times New Roman" w:cs="Times New Roman"/>
          <w:b/>
          <w:bCs/>
          <w:i/>
          <w:iCs/>
          <w:sz w:val="24"/>
          <w:szCs w:val="24"/>
        </w:rPr>
        <w:t>and</w:t>
      </w:r>
      <w:r>
        <w:rPr>
          <w:rFonts w:ascii="Times New Roman" w:hAnsi="Times New Roman" w:eastAsia="Times New Roman" w:cs="Times New Roman"/>
          <w:b/>
          <w:bCs/>
          <w:i/>
          <w:iCs/>
          <w:spacing w:val="-18"/>
          <w:sz w:val="24"/>
          <w:szCs w:val="24"/>
        </w:rPr>
        <w:t xml:space="preserve"> </w:t>
      </w:r>
      <w:r>
        <w:rPr>
          <w:rFonts w:ascii="Times New Roman" w:hAnsi="Times New Roman" w:eastAsia="Times New Roman" w:cs="Times New Roman"/>
          <w:b/>
          <w:bCs/>
          <w:i/>
          <w:iCs/>
          <w:sz w:val="24"/>
          <w:szCs w:val="24"/>
        </w:rPr>
        <w:t>Responsibilities</w:t>
      </w:r>
      <w:r>
        <w:rPr>
          <w:rFonts w:ascii="Times New Roman" w:hAnsi="Times New Roman" w:eastAsia="Times New Roman" w:cs="Times New Roman"/>
          <w:b/>
          <w:bCs/>
          <w:i/>
          <w:iCs/>
          <w:spacing w:val="3"/>
          <w:sz w:val="24"/>
          <w:szCs w:val="24"/>
        </w:rPr>
        <w:t xml:space="preserve"> (L)</w:t>
      </w:r>
    </w:p>
    <w:p>
      <w:pPr>
        <w:spacing w:before="32" w:line="243" w:lineRule="auto"/>
        <w:ind w:left="1397" w:right="673"/>
        <w:rPr>
          <w:rFonts w:ascii="Times New Roman" w:hAnsi="Times New Roman" w:eastAsia="Times New Roman" w:cs="Times New Roman"/>
          <w:sz w:val="24"/>
          <w:szCs w:val="24"/>
        </w:rPr>
      </w:pPr>
      <w:r>
        <w:rPr>
          <w:rFonts w:ascii="Times New Roman" w:hAnsi="Times New Roman" w:eastAsia="Times New Roman" w:cs="Times New Roman"/>
          <w:sz w:val="24"/>
          <w:szCs w:val="24"/>
        </w:rPr>
        <w:t>In</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"Management planning and control" four different levels 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decision-makin</w:t>
      </w:r>
      <w:r>
        <w:rPr>
          <w:rFonts w:ascii="Times New Roman" w:hAnsi="Times New Roman" w:eastAsia="Times New Roman" w:cs="Times New Roman"/>
          <w:spacing w:val="-1"/>
          <w:sz w:val="24"/>
          <w:szCs w:val="24"/>
        </w:rPr>
        <w:t>g have been</w:t>
      </w:r>
      <w:r>
        <w:rPr>
          <w:rFonts w:ascii="Times New Roman" w:hAnsi="Times New Roman" w:eastAsia="Times New Roman" w:cs="Times New Roman"/>
          <w:sz w:val="24"/>
          <w:szCs w:val="24"/>
        </w:rPr>
        <w:t xml:space="preserve"> identified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These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University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governing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board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Vice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chancellor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Head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p>
    <w:p>
      <w:pPr>
        <w:spacing w:before="36" w:line="243" w:lineRule="auto"/>
        <w:ind w:left="1392" w:right="194" w:firstLine="6"/>
        <w:rPr>
          <w:rFonts w:ascii="Times New Roman" w:hAnsi="Times New Roman" w:eastAsia="Times New Roman" w:cs="Times New Roman"/>
          <w:sz w:val="24"/>
          <w:szCs w:val="24"/>
        </w:rPr>
      </w:pPr>
      <w:r>
        <w:rPr>
          <w:rFonts w:ascii="Times New Roman" w:hAnsi="Times New Roman" w:eastAsia="Times New Roman" w:cs="Times New Roman"/>
          <w:sz w:val="24"/>
          <w:szCs w:val="24"/>
        </w:rPr>
        <w:t>department</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University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director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Head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division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department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administration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 right skills, the prerequisite to make the right decision at the right time increases.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The process</w:t>
      </w:r>
    </w:p>
    <w:p>
      <w:pPr>
        <w:spacing w:before="39" w:line="242" w:lineRule="auto"/>
        <w:ind w:left="1392" w:right="113"/>
        <w:rPr>
          <w:rFonts w:ascii="Times New Roman" w:hAnsi="Times New Roman" w:eastAsia="Times New Roman" w:cs="Times New Roman"/>
          <w:sz w:val="24"/>
          <w:szCs w:val="24"/>
        </w:rPr>
      </w:pPr>
      <w:r>
        <w:rPr>
          <w:rFonts w:ascii="Times New Roman" w:hAnsi="Times New Roman" w:eastAsia="Times New Roman" w:cs="Times New Roman"/>
          <w:sz w:val="24"/>
          <w:szCs w:val="24"/>
        </w:rPr>
        <w:t>mapping has clarified the decision-making process, what documentation is required for deci</w:t>
      </w:r>
      <w:r>
        <w:rPr>
          <w:rFonts w:ascii="Times New Roman" w:hAnsi="Times New Roman" w:eastAsia="Times New Roman" w:cs="Times New Roman"/>
          <w:spacing w:val="-1"/>
          <w:sz w:val="24"/>
          <w:szCs w:val="24"/>
        </w:rPr>
        <w:t>sion</w:t>
      </w:r>
      <w:r>
        <w:rPr>
          <w:rFonts w:ascii="Times New Roman" w:hAnsi="Times New Roman" w:eastAsia="Times New Roman" w:cs="Times New Roman"/>
          <w:sz w:val="24"/>
          <w:szCs w:val="24"/>
        </w:rPr>
        <w:t xml:space="preserve"> makers and what support the managers need to have when making decisio</w:t>
      </w:r>
      <w:r>
        <w:rPr>
          <w:rFonts w:ascii="Times New Roman" w:hAnsi="Times New Roman" w:eastAsia="Times New Roman" w:cs="Times New Roman"/>
          <w:spacing w:val="-1"/>
          <w:sz w:val="24"/>
          <w:szCs w:val="24"/>
        </w:rPr>
        <w:t>ns.</w:t>
      </w:r>
    </w:p>
    <w:p>
      <w:pPr>
        <w:spacing w:before="248" w:line="192" w:lineRule="auto"/>
        <w:ind w:left="1407"/>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Good</w:t>
      </w:r>
      <w:r>
        <w:rPr>
          <w:rFonts w:ascii="Times New Roman" w:hAnsi="Times New Roman" w:eastAsia="Times New Roman" w:cs="Times New Roman"/>
          <w:b/>
          <w:bCs/>
          <w:i/>
          <w:iCs/>
          <w:spacing w:val="-20"/>
          <w:sz w:val="24"/>
          <w:szCs w:val="24"/>
        </w:rPr>
        <w:t xml:space="preserve"> </w:t>
      </w:r>
      <w:r>
        <w:rPr>
          <w:rFonts w:ascii="Times New Roman" w:hAnsi="Times New Roman" w:eastAsia="Times New Roman" w:cs="Times New Roman"/>
          <w:b/>
          <w:bCs/>
          <w:i/>
          <w:iCs/>
          <w:sz w:val="24"/>
          <w:szCs w:val="24"/>
        </w:rPr>
        <w:t>Decisions (L)</w:t>
      </w:r>
    </w:p>
    <w:p>
      <w:pPr>
        <w:spacing w:before="26" w:line="244" w:lineRule="auto"/>
        <w:ind w:left="1393" w:right="272" w:firstLine="4"/>
        <w:rPr>
          <w:rFonts w:ascii="Times New Roman" w:hAnsi="Times New Roman" w:eastAsia="Times New Roman" w:cs="Times New Roman"/>
          <w:sz w:val="24"/>
          <w:szCs w:val="24"/>
        </w:rPr>
      </w:pPr>
      <w:r>
        <w:rPr>
          <w:rFonts w:ascii="Times New Roman" w:hAnsi="Times New Roman" w:eastAsia="Times New Roman" w:cs="Times New Roman"/>
          <w:sz w:val="24"/>
          <w:szCs w:val="24"/>
        </w:rPr>
        <w:t>The process mapping has identified where important decisions are made and the qualifi</w:t>
      </w:r>
      <w:r>
        <w:rPr>
          <w:rFonts w:ascii="Times New Roman" w:hAnsi="Times New Roman" w:eastAsia="Times New Roman" w:cs="Times New Roman"/>
          <w:spacing w:val="-1"/>
          <w:sz w:val="24"/>
          <w:szCs w:val="24"/>
        </w:rPr>
        <w:t>cations</w:t>
      </w:r>
      <w:r>
        <w:rPr>
          <w:rFonts w:ascii="Times New Roman" w:hAnsi="Times New Roman" w:eastAsia="Times New Roman" w:cs="Times New Roman"/>
          <w:sz w:val="24"/>
          <w:szCs w:val="24"/>
        </w:rPr>
        <w:t xml:space="preserve"> the decision maker needs, to make right decisions. Making a transparent process ensures</w:t>
      </w:r>
      <w:r>
        <w:rPr>
          <w:rFonts w:ascii="Times New Roman" w:hAnsi="Times New Roman" w:eastAsia="Times New Roman" w:cs="Times New Roman"/>
          <w:spacing w:val="-1"/>
          <w:sz w:val="24"/>
          <w:szCs w:val="24"/>
        </w:rPr>
        <w:t xml:space="preserve"> that</w:t>
      </w:r>
    </w:p>
    <w:p>
      <w:pPr>
        <w:spacing w:before="35" w:line="248" w:lineRule="auto"/>
        <w:ind w:left="1397" w:right="112"/>
        <w:rPr>
          <w:rFonts w:ascii="Times New Roman" w:hAnsi="Times New Roman" w:eastAsia="Times New Roman" w:cs="Times New Roman"/>
          <w:sz w:val="24"/>
          <w:szCs w:val="24"/>
        </w:rPr>
      </w:pPr>
      <w:r>
        <w:rPr>
          <w:rFonts w:ascii="Times New Roman" w:hAnsi="Times New Roman" w:eastAsia="Times New Roman" w:cs="Times New Roman"/>
          <w:sz w:val="24"/>
          <w:szCs w:val="24"/>
        </w:rPr>
        <w:t>decisions will not be taken before a dialogue with the involved employees has t</w:t>
      </w:r>
      <w:r>
        <w:rPr>
          <w:rFonts w:ascii="Times New Roman" w:hAnsi="Times New Roman" w:eastAsia="Times New Roman" w:cs="Times New Roman"/>
          <w:spacing w:val="-1"/>
          <w:sz w:val="24"/>
          <w:szCs w:val="24"/>
        </w:rPr>
        <w:t>aken place.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 xml:space="preserve">This </w:t>
      </w:r>
      <w:r>
        <w:rPr>
          <w:rFonts w:ascii="Times New Roman" w:hAnsi="Times New Roman" w:eastAsia="Times New Roman" w:cs="Times New Roman"/>
          <w:sz w:val="24"/>
          <w:szCs w:val="24"/>
        </w:rPr>
        <w:t xml:space="preserve">also improves the possibility for the employees to be loyal to </w:t>
      </w:r>
      <w:r>
        <w:rPr>
          <w:rFonts w:ascii="Times New Roman" w:hAnsi="Times New Roman" w:eastAsia="Times New Roman" w:cs="Times New Roman"/>
          <w:spacing w:val="-1"/>
          <w:sz w:val="24"/>
          <w:szCs w:val="24"/>
        </w:rPr>
        <w:t>the decision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and hence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support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implementation.</w:t>
      </w: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13" w:lineRule="exact"/>
        <w:ind w:firstLine="1151"/>
      </w:pPr>
      <w:r>
        <w:rPr>
          <w:position w:val="-4"/>
        </w:rPr>
        <w:drawing>
          <wp:inline distT="0" distB="0" distL="0" distR="0">
            <wp:extent cx="1849120" cy="13462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1122" w:bottom="100" w:left="48" w:header="0" w:footer="0" w:gutter="0"/>
          <w:cols w:space="720" w:num="1"/>
        </w:sectPr>
      </w:pPr>
    </w:p>
    <w:p>
      <w:pPr>
        <w:spacing w:line="252" w:lineRule="auto"/>
        <w:rPr>
          <w:rFonts w:ascii="Arial"/>
          <w:sz w:val="21"/>
        </w:rPr>
      </w:pPr>
      <w:r>
        <mc:AlternateContent>
          <mc:Choice Requires="wps">
            <w:drawing>
              <wp:anchor distT="0" distB="0" distL="0" distR="0" simplePos="0" relativeHeight="251794432"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254" name="TextBox 254"/>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4" o:spid="_x0000_s1026" o:spt="202" type="#_x0000_t202" style="position:absolute;left:0pt;margin-left:-120.15pt;margin-top:416.25pt;height:9.3pt;width:252.55pt;mso-position-horizontal-relative:page;mso-position-vertical-relative:page;rotation:-5898240f;z-index:251794432;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9+V8tsAAAAMAQAADwAAAAAAAAABACAAAAAiAAAAZHJzL2Rv&#10;d25yZXYueG1sUEsBAhQAFAAAAAgAh07iQNcCwsA3AgAAcQQAAA4AAAAAAAAAAQAgAAAAKgEAAGRy&#10;cy9lMm9Eb2MueG1sUEsFBgAAAAAGAAYAWQEAANMFA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9" w:line="188" w:lineRule="auto"/>
        <w:ind w:left="1391"/>
        <w:rPr>
          <w:rFonts w:ascii="Times New Roman" w:hAnsi="Times New Roman" w:eastAsia="Times New Roman" w:cs="Times New Roman"/>
          <w:sz w:val="24"/>
          <w:szCs w:val="24"/>
        </w:rPr>
      </w:pPr>
      <w:r>
        <w:rPr>
          <w:rFonts w:ascii="Times New Roman" w:hAnsi="Times New Roman" w:eastAsia="Times New Roman" w:cs="Times New Roman"/>
          <w:b/>
          <w:bCs/>
          <w:i/>
          <w:iCs/>
          <w:spacing w:val="-1"/>
          <w:sz w:val="24"/>
          <w:szCs w:val="24"/>
        </w:rPr>
        <w:t>Focus on</w:t>
      </w:r>
      <w:r>
        <w:rPr>
          <w:rFonts w:ascii="Times New Roman" w:hAnsi="Times New Roman" w:eastAsia="Times New Roman" w:cs="Times New Roman"/>
          <w:b/>
          <w:bCs/>
          <w:i/>
          <w:iCs/>
          <w:spacing w:val="20"/>
          <w:sz w:val="24"/>
          <w:szCs w:val="24"/>
        </w:rPr>
        <w:t xml:space="preserve"> </w:t>
      </w:r>
      <w:r>
        <w:rPr>
          <w:rFonts w:ascii="Times New Roman" w:hAnsi="Times New Roman" w:eastAsia="Times New Roman" w:cs="Times New Roman"/>
          <w:b/>
          <w:bCs/>
          <w:i/>
          <w:iCs/>
          <w:spacing w:val="-1"/>
          <w:sz w:val="24"/>
          <w:szCs w:val="24"/>
        </w:rPr>
        <w:t>Task (QA, L)</w:t>
      </w:r>
    </w:p>
    <w:p>
      <w:pPr>
        <w:spacing w:before="29" w:line="251" w:lineRule="auto"/>
        <w:ind w:left="1392" w:right="308" w:firstLine="5"/>
        <w:rPr>
          <w:rFonts w:ascii="Times New Roman" w:hAnsi="Times New Roman" w:eastAsia="Times New Roman" w:cs="Times New Roman"/>
          <w:sz w:val="24"/>
          <w:szCs w:val="24"/>
        </w:rPr>
      </w:pPr>
      <w:r>
        <w:rPr>
          <w:rFonts w:ascii="Times New Roman" w:hAnsi="Times New Roman" w:eastAsia="Times New Roman" w:cs="Times New Roman"/>
          <w:sz w:val="24"/>
          <w:szCs w:val="24"/>
        </w:rPr>
        <w:t>Through</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better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understanding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overall</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picture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understanding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organizations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mission, it becomes easier for everyone to focus on the task</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instead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perso</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or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function.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The</w:t>
      </w:r>
      <w:r>
        <w:rPr>
          <w:rFonts w:ascii="Times New Roman" w:hAnsi="Times New Roman" w:eastAsia="Times New Roman" w:cs="Times New Roman"/>
          <w:sz w:val="24"/>
          <w:szCs w:val="24"/>
        </w:rPr>
        <w:t xml:space="preserve"> traditional</w:t>
      </w:r>
      <w:r>
        <w:rPr>
          <w:rFonts w:ascii="Times New Roman" w:hAnsi="Times New Roman" w:eastAsia="Times New Roman" w:cs="Times New Roman"/>
          <w:spacing w:val="16"/>
          <w:w w:val="101"/>
          <w:sz w:val="24"/>
          <w:szCs w:val="24"/>
        </w:rPr>
        <w:t xml:space="preserve"> </w:t>
      </w:r>
      <w:r>
        <w:rPr>
          <w:rFonts w:ascii="Times New Roman" w:hAnsi="Times New Roman" w:eastAsia="Times New Roman" w:cs="Times New Roman"/>
          <w:sz w:val="24"/>
          <w:szCs w:val="24"/>
        </w:rPr>
        <w:t>"waste pipes" within a department or</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"wall</w:t>
      </w:r>
      <w:r>
        <w:rPr>
          <w:rFonts w:ascii="Times New Roman" w:hAnsi="Times New Roman" w:eastAsia="Times New Roman" w:cs="Times New Roman"/>
          <w:spacing w:val="-1"/>
          <w:sz w:val="24"/>
          <w:szCs w:val="24"/>
        </w:rPr>
        <w:t xml:space="preserve">s" between departments are likely to be  </w:t>
      </w:r>
      <w:r>
        <w:rPr>
          <w:rFonts w:ascii="Times New Roman" w:hAnsi="Times New Roman" w:eastAsia="Times New Roman" w:cs="Times New Roman"/>
          <w:sz w:val="24"/>
          <w:szCs w:val="24"/>
        </w:rPr>
        <w:t>eliminated when focus concentrates on activity</w:t>
      </w:r>
      <w:r>
        <w:rPr>
          <w:rFonts w:ascii="Times New Roman" w:hAnsi="Times New Roman" w:eastAsia="Times New Roman" w:cs="Times New Roman"/>
          <w:spacing w:val="-1"/>
          <w:sz w:val="24"/>
          <w:szCs w:val="24"/>
        </w:rPr>
        <w:t xml:space="preserve"> 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assignment.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Common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concepts,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clear</w:t>
      </w:r>
    </w:p>
    <w:p>
      <w:pPr>
        <w:spacing w:before="33" w:line="228" w:lineRule="auto"/>
        <w:ind w:left="1390"/>
        <w:rPr>
          <w:rFonts w:ascii="Times New Roman" w:hAnsi="Times New Roman" w:eastAsia="Times New Roman" w:cs="Times New Roman"/>
          <w:sz w:val="24"/>
          <w:szCs w:val="24"/>
        </w:rPr>
      </w:pPr>
      <w:r>
        <w:rPr>
          <w:rFonts w:ascii="Times New Roman" w:hAnsi="Times New Roman" w:eastAsia="Times New Roman" w:cs="Times New Roman"/>
          <w:sz w:val="24"/>
          <w:szCs w:val="24"/>
        </w:rPr>
        <w:t>processes and common goals, create understanding, clarity and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sense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1"/>
          <w:sz w:val="24"/>
          <w:szCs w:val="24"/>
        </w:rPr>
        <w:t>coherence.</w:t>
      </w:r>
    </w:p>
    <w:p>
      <w:pPr>
        <w:spacing w:before="251" w:line="186" w:lineRule="auto"/>
        <w:ind w:left="1403"/>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Quality</w:t>
      </w:r>
      <w:r>
        <w:rPr>
          <w:rFonts w:ascii="Times New Roman" w:hAnsi="Times New Roman" w:eastAsia="Times New Roman" w:cs="Times New Roman"/>
          <w:b/>
          <w:bCs/>
          <w:i/>
          <w:iCs/>
          <w:spacing w:val="-14"/>
          <w:sz w:val="24"/>
          <w:szCs w:val="24"/>
        </w:rPr>
        <w:t xml:space="preserve"> </w:t>
      </w:r>
      <w:r>
        <w:rPr>
          <w:rFonts w:ascii="Times New Roman" w:hAnsi="Times New Roman" w:eastAsia="Times New Roman" w:cs="Times New Roman"/>
          <w:b/>
          <w:bCs/>
          <w:i/>
          <w:iCs/>
          <w:sz w:val="24"/>
          <w:szCs w:val="24"/>
        </w:rPr>
        <w:t>Assurance (QA)</w:t>
      </w:r>
    </w:p>
    <w:p>
      <w:pPr>
        <w:spacing w:before="31" w:line="243" w:lineRule="auto"/>
        <w:ind w:left="1398" w:right="447" w:hanging="3"/>
        <w:rPr>
          <w:rFonts w:ascii="Times New Roman" w:hAnsi="Times New Roman" w:eastAsia="Times New Roman" w:cs="Times New Roman"/>
          <w:sz w:val="24"/>
          <w:szCs w:val="24"/>
        </w:rPr>
      </w:pPr>
      <w:r>
        <w:rPr>
          <w:rFonts w:ascii="Times New Roman" w:hAnsi="Times New Roman" w:eastAsia="Times New Roman" w:cs="Times New Roman"/>
          <w:sz w:val="24"/>
          <w:szCs w:val="24"/>
        </w:rPr>
        <w:t>By clarifying the whole process, (critical) tasks and activities are identifie</w:t>
      </w:r>
      <w:r>
        <w:rPr>
          <w:rFonts w:ascii="Times New Roman" w:hAnsi="Times New Roman" w:eastAsia="Times New Roman" w:cs="Times New Roman"/>
          <w:spacing w:val="-1"/>
          <w:sz w:val="24"/>
          <w:szCs w:val="24"/>
        </w:rPr>
        <w:t>d, which</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should be</w:t>
      </w:r>
      <w:r>
        <w:rPr>
          <w:rFonts w:ascii="Times New Roman" w:hAnsi="Times New Roman" w:eastAsia="Times New Roman" w:cs="Times New Roman"/>
          <w:sz w:val="24"/>
          <w:szCs w:val="24"/>
        </w:rPr>
        <w:t xml:space="preserve"> quality-assured to obtain correct results. It becomes clear which procedures, instru</w:t>
      </w:r>
      <w:r>
        <w:rPr>
          <w:rFonts w:ascii="Times New Roman" w:hAnsi="Times New Roman" w:eastAsia="Times New Roman" w:cs="Times New Roman"/>
          <w:spacing w:val="-1"/>
          <w:sz w:val="24"/>
          <w:szCs w:val="24"/>
        </w:rPr>
        <w:t>ctions,</w:t>
      </w:r>
    </w:p>
    <w:p>
      <w:pPr>
        <w:spacing w:before="38" w:line="242" w:lineRule="auto"/>
        <w:ind w:left="1390" w:right="613" w:firstLine="8"/>
        <w:rPr>
          <w:rFonts w:ascii="Times New Roman" w:hAnsi="Times New Roman" w:eastAsia="Times New Roman" w:cs="Times New Roman"/>
          <w:sz w:val="24"/>
          <w:szCs w:val="24"/>
        </w:rPr>
      </w:pPr>
      <w:r>
        <w:rPr>
          <w:rFonts w:ascii="Times New Roman" w:hAnsi="Times New Roman" w:eastAsia="Times New Roman" w:cs="Times New Roman"/>
          <w:sz w:val="24"/>
          <w:szCs w:val="24"/>
        </w:rPr>
        <w:t>documents, templates or checklists that need to be developed to ensure that 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w:t>
      </w:r>
      <w:r>
        <w:rPr>
          <w:rFonts w:ascii="Times New Roman" w:hAnsi="Times New Roman" w:eastAsia="Times New Roman" w:cs="Times New Roman"/>
          <w:spacing w:val="-1"/>
          <w:sz w:val="24"/>
          <w:szCs w:val="24"/>
        </w:rPr>
        <w:t>ask will</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be</w:t>
      </w:r>
      <w:r>
        <w:rPr>
          <w:rFonts w:ascii="Times New Roman" w:hAnsi="Times New Roman" w:eastAsia="Times New Roman" w:cs="Times New Roman"/>
          <w:sz w:val="24"/>
          <w:szCs w:val="24"/>
        </w:rPr>
        <w:t xml:space="preserve"> performed at scheduled/best way.</w:t>
      </w:r>
    </w:p>
    <w:p>
      <w:pPr>
        <w:spacing w:before="249" w:line="186" w:lineRule="auto"/>
        <w:ind w:left="1386"/>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Simplification</w:t>
      </w:r>
      <w:r>
        <w:rPr>
          <w:rFonts w:ascii="Times New Roman" w:hAnsi="Times New Roman" w:eastAsia="Times New Roman" w:cs="Times New Roman"/>
          <w:b/>
          <w:bCs/>
          <w:i/>
          <w:iCs/>
          <w:spacing w:val="6"/>
          <w:sz w:val="24"/>
          <w:szCs w:val="24"/>
        </w:rPr>
        <w:t xml:space="preserve"> </w:t>
      </w:r>
      <w:r>
        <w:rPr>
          <w:rFonts w:ascii="Times New Roman" w:hAnsi="Times New Roman" w:eastAsia="Times New Roman" w:cs="Times New Roman"/>
          <w:b/>
          <w:bCs/>
          <w:i/>
          <w:iCs/>
          <w:sz w:val="24"/>
          <w:szCs w:val="24"/>
        </w:rPr>
        <w:t>and</w:t>
      </w:r>
      <w:r>
        <w:rPr>
          <w:rFonts w:ascii="Times New Roman" w:hAnsi="Times New Roman" w:eastAsia="Times New Roman" w:cs="Times New Roman"/>
          <w:b/>
          <w:bCs/>
          <w:i/>
          <w:iCs/>
          <w:spacing w:val="-19"/>
          <w:sz w:val="24"/>
          <w:szCs w:val="24"/>
        </w:rPr>
        <w:t xml:space="preserve"> </w:t>
      </w:r>
      <w:r>
        <w:rPr>
          <w:rFonts w:ascii="Times New Roman" w:hAnsi="Times New Roman" w:eastAsia="Times New Roman" w:cs="Times New Roman"/>
          <w:b/>
          <w:bCs/>
          <w:i/>
          <w:iCs/>
          <w:sz w:val="24"/>
          <w:szCs w:val="24"/>
        </w:rPr>
        <w:t>Improvement</w:t>
      </w:r>
      <w:r>
        <w:rPr>
          <w:rFonts w:ascii="Times New Roman" w:hAnsi="Times New Roman" w:eastAsia="Times New Roman" w:cs="Times New Roman"/>
          <w:b/>
          <w:bCs/>
          <w:i/>
          <w:iCs/>
          <w:spacing w:val="6"/>
          <w:sz w:val="24"/>
          <w:szCs w:val="24"/>
        </w:rPr>
        <w:t xml:space="preserve"> (</w:t>
      </w:r>
      <w:r>
        <w:rPr>
          <w:rFonts w:ascii="Times New Roman" w:hAnsi="Times New Roman" w:eastAsia="Times New Roman" w:cs="Times New Roman"/>
          <w:b/>
          <w:bCs/>
          <w:i/>
          <w:iCs/>
          <w:sz w:val="24"/>
          <w:szCs w:val="24"/>
        </w:rPr>
        <w:t>QA</w:t>
      </w:r>
      <w:r>
        <w:rPr>
          <w:rFonts w:ascii="Times New Roman" w:hAnsi="Times New Roman" w:eastAsia="Times New Roman" w:cs="Times New Roman"/>
          <w:b/>
          <w:bCs/>
          <w:i/>
          <w:iCs/>
          <w:spacing w:val="6"/>
          <w:sz w:val="24"/>
          <w:szCs w:val="24"/>
        </w:rPr>
        <w:t>)</w:t>
      </w:r>
    </w:p>
    <w:p>
      <w:pPr>
        <w:spacing w:before="31" w:line="228" w:lineRule="auto"/>
        <w:ind w:left="1395"/>
        <w:rPr>
          <w:rFonts w:ascii="Times New Roman" w:hAnsi="Times New Roman" w:eastAsia="Times New Roman" w:cs="Times New Roman"/>
          <w:sz w:val="24"/>
          <w:szCs w:val="24"/>
        </w:rPr>
      </w:pPr>
      <w:r>
        <w:rPr>
          <w:rFonts w:ascii="Times New Roman" w:hAnsi="Times New Roman" w:eastAsia="Times New Roman" w:cs="Times New Roman"/>
          <w:sz w:val="24"/>
          <w:szCs w:val="24"/>
        </w:rPr>
        <w:t>Process mapping is an excellent basis for further improvements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simplifi</w:t>
      </w:r>
      <w:r>
        <w:rPr>
          <w:rFonts w:ascii="Times New Roman" w:hAnsi="Times New Roman" w:eastAsia="Times New Roman" w:cs="Times New Roman"/>
          <w:spacing w:val="-1"/>
          <w:sz w:val="24"/>
          <w:szCs w:val="24"/>
        </w:rPr>
        <w:t>cations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1"/>
          <w:sz w:val="24"/>
          <w:szCs w:val="24"/>
        </w:rPr>
        <w:t>the</w:t>
      </w:r>
    </w:p>
    <w:p>
      <w:pPr>
        <w:spacing w:before="38" w:line="242" w:lineRule="auto"/>
        <w:ind w:left="1398" w:right="203" w:hanging="8"/>
        <w:rPr>
          <w:rFonts w:ascii="Times New Roman" w:hAnsi="Times New Roman" w:eastAsia="Times New Roman" w:cs="Times New Roman"/>
          <w:sz w:val="24"/>
          <w:szCs w:val="24"/>
        </w:rPr>
      </w:pPr>
      <w:r>
        <w:rPr>
          <w:rFonts w:ascii="Times New Roman" w:hAnsi="Times New Roman" w:eastAsia="Times New Roman" w:cs="Times New Roman"/>
          <w:sz w:val="24"/>
          <w:szCs w:val="24"/>
        </w:rPr>
        <w:t>process or sub processes. By getting a clear vis</w:t>
      </w:r>
      <w:r>
        <w:rPr>
          <w:rFonts w:ascii="Times New Roman" w:hAnsi="Times New Roman" w:eastAsia="Times New Roman" w:cs="Times New Roman"/>
          <w:spacing w:val="-1"/>
          <w:sz w:val="24"/>
          <w:szCs w:val="24"/>
        </w:rPr>
        <w:t>ual</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image, it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is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easier</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objectively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discuss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how</w:t>
      </w:r>
      <w:r>
        <w:rPr>
          <w:rFonts w:ascii="Times New Roman" w:hAnsi="Times New Roman" w:eastAsia="Times New Roman" w:cs="Times New Roman"/>
          <w:sz w:val="24"/>
          <w:szCs w:val="24"/>
        </w:rPr>
        <w:t xml:space="preserve"> changes can be made and whether it would bring added value to the proce</w:t>
      </w:r>
      <w:r>
        <w:rPr>
          <w:rFonts w:ascii="Times New Roman" w:hAnsi="Times New Roman" w:eastAsia="Times New Roman" w:cs="Times New Roman"/>
          <w:spacing w:val="-1"/>
          <w:sz w:val="24"/>
          <w:szCs w:val="24"/>
        </w:rPr>
        <w:t>ss or not.</w:t>
      </w:r>
    </w:p>
    <w:p>
      <w:pPr>
        <w:spacing w:before="250" w:line="186" w:lineRule="auto"/>
        <w:ind w:left="1382"/>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Identified</w:t>
      </w:r>
      <w:r>
        <w:rPr>
          <w:rFonts w:ascii="Times New Roman" w:hAnsi="Times New Roman" w:eastAsia="Times New Roman" w:cs="Times New Roman"/>
          <w:b/>
          <w:bCs/>
          <w:i/>
          <w:iCs/>
          <w:spacing w:val="-13"/>
          <w:sz w:val="24"/>
          <w:szCs w:val="24"/>
        </w:rPr>
        <w:t xml:space="preserve"> </w:t>
      </w:r>
      <w:r>
        <w:rPr>
          <w:rFonts w:ascii="Times New Roman" w:hAnsi="Times New Roman" w:eastAsia="Times New Roman" w:cs="Times New Roman"/>
          <w:b/>
          <w:bCs/>
          <w:i/>
          <w:iCs/>
          <w:sz w:val="24"/>
          <w:szCs w:val="24"/>
        </w:rPr>
        <w:t>Roles</w:t>
      </w:r>
      <w:r>
        <w:rPr>
          <w:rFonts w:ascii="Times New Roman" w:hAnsi="Times New Roman" w:eastAsia="Times New Roman" w:cs="Times New Roman"/>
          <w:b/>
          <w:bCs/>
          <w:i/>
          <w:iCs/>
          <w:spacing w:val="4"/>
          <w:sz w:val="24"/>
          <w:szCs w:val="24"/>
        </w:rPr>
        <w:t xml:space="preserve"> </w:t>
      </w:r>
      <w:r>
        <w:rPr>
          <w:rFonts w:ascii="Times New Roman" w:hAnsi="Times New Roman" w:eastAsia="Times New Roman" w:cs="Times New Roman"/>
          <w:b/>
          <w:bCs/>
          <w:i/>
          <w:iCs/>
          <w:sz w:val="24"/>
          <w:szCs w:val="24"/>
        </w:rPr>
        <w:t>and</w:t>
      </w:r>
      <w:r>
        <w:rPr>
          <w:rFonts w:ascii="Times New Roman" w:hAnsi="Times New Roman" w:eastAsia="Times New Roman" w:cs="Times New Roman"/>
          <w:b/>
          <w:bCs/>
          <w:i/>
          <w:iCs/>
          <w:spacing w:val="-16"/>
          <w:sz w:val="24"/>
          <w:szCs w:val="24"/>
        </w:rPr>
        <w:t xml:space="preserve"> </w:t>
      </w:r>
      <w:r>
        <w:rPr>
          <w:rFonts w:ascii="Times New Roman" w:hAnsi="Times New Roman" w:eastAsia="Times New Roman" w:cs="Times New Roman"/>
          <w:b/>
          <w:bCs/>
          <w:i/>
          <w:iCs/>
          <w:sz w:val="24"/>
          <w:szCs w:val="24"/>
        </w:rPr>
        <w:t>Skills</w:t>
      </w:r>
      <w:r>
        <w:rPr>
          <w:rFonts w:ascii="Times New Roman" w:hAnsi="Times New Roman" w:eastAsia="Times New Roman" w:cs="Times New Roman"/>
          <w:b/>
          <w:bCs/>
          <w:i/>
          <w:iCs/>
          <w:spacing w:val="4"/>
          <w:sz w:val="24"/>
          <w:szCs w:val="24"/>
        </w:rPr>
        <w:t xml:space="preserve"> (L, </w:t>
      </w:r>
      <w:r>
        <w:rPr>
          <w:rFonts w:ascii="Times New Roman" w:hAnsi="Times New Roman" w:eastAsia="Times New Roman" w:cs="Times New Roman"/>
          <w:b/>
          <w:bCs/>
          <w:i/>
          <w:iCs/>
          <w:sz w:val="24"/>
          <w:szCs w:val="24"/>
        </w:rPr>
        <w:t>LO</w:t>
      </w:r>
      <w:r>
        <w:rPr>
          <w:rFonts w:ascii="Times New Roman" w:hAnsi="Times New Roman" w:eastAsia="Times New Roman" w:cs="Times New Roman"/>
          <w:b/>
          <w:bCs/>
          <w:i/>
          <w:iCs/>
          <w:spacing w:val="4"/>
          <w:sz w:val="24"/>
          <w:szCs w:val="24"/>
        </w:rPr>
        <w:t xml:space="preserve">, </w:t>
      </w:r>
      <w:r>
        <w:rPr>
          <w:rFonts w:ascii="Times New Roman" w:hAnsi="Times New Roman" w:eastAsia="Times New Roman" w:cs="Times New Roman"/>
          <w:b/>
          <w:bCs/>
          <w:i/>
          <w:iCs/>
          <w:sz w:val="24"/>
          <w:szCs w:val="24"/>
        </w:rPr>
        <w:t>QA</w:t>
      </w:r>
      <w:r>
        <w:rPr>
          <w:rFonts w:ascii="Times New Roman" w:hAnsi="Times New Roman" w:eastAsia="Times New Roman" w:cs="Times New Roman"/>
          <w:b/>
          <w:bCs/>
          <w:i/>
          <w:iCs/>
          <w:spacing w:val="4"/>
          <w:sz w:val="24"/>
          <w:szCs w:val="24"/>
        </w:rPr>
        <w:t>)</w:t>
      </w:r>
    </w:p>
    <w:p>
      <w:pPr>
        <w:spacing w:before="34" w:line="243" w:lineRule="auto"/>
        <w:ind w:left="1399" w:right="105" w:hanging="1"/>
        <w:rPr>
          <w:rFonts w:ascii="Times New Roman" w:hAnsi="Times New Roman" w:eastAsia="Times New Roman" w:cs="Times New Roman"/>
          <w:sz w:val="24"/>
          <w:szCs w:val="24"/>
        </w:rPr>
      </w:pPr>
      <w:r>
        <w:rPr>
          <w:rFonts w:ascii="Times New Roman" w:hAnsi="Times New Roman" w:eastAsia="Times New Roman" w:cs="Times New Roman"/>
          <w:sz w:val="24"/>
          <w:szCs w:val="24"/>
        </w:rPr>
        <w:t>The project has identified the different roles responsible for the activities in the proc</w:t>
      </w:r>
      <w:r>
        <w:rPr>
          <w:rFonts w:ascii="Times New Roman" w:hAnsi="Times New Roman" w:eastAsia="Times New Roman" w:cs="Times New Roman"/>
          <w:spacing w:val="-1"/>
          <w:sz w:val="24"/>
          <w:szCs w:val="24"/>
        </w:rPr>
        <w:t>esses. Roles</w:t>
      </w:r>
      <w:r>
        <w:rPr>
          <w:rFonts w:ascii="Times New Roman" w:hAnsi="Times New Roman" w:eastAsia="Times New Roman" w:cs="Times New Roman"/>
          <w:sz w:val="24"/>
          <w:szCs w:val="24"/>
        </w:rPr>
        <w:t xml:space="preserve"> are defined based on the competencies needed to have the capacity to perform th</w:t>
      </w:r>
      <w:r>
        <w:rPr>
          <w:rFonts w:ascii="Times New Roman" w:hAnsi="Times New Roman" w:eastAsia="Times New Roman" w:cs="Times New Roman"/>
          <w:spacing w:val="-1"/>
          <w:sz w:val="24"/>
          <w:szCs w:val="24"/>
        </w:rPr>
        <w:t>e assignment</w:t>
      </w:r>
    </w:p>
    <w:p>
      <w:pPr>
        <w:spacing w:before="33" w:line="228" w:lineRule="auto"/>
        <w:ind w:left="139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and make right decision.</w:t>
      </w:r>
    </w:p>
    <w:p>
      <w:pPr>
        <w:spacing w:before="249" w:line="188" w:lineRule="auto"/>
        <w:ind w:left="1382"/>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Increased</w:t>
      </w:r>
      <w:r>
        <w:rPr>
          <w:rFonts w:ascii="Times New Roman" w:hAnsi="Times New Roman" w:eastAsia="Times New Roman" w:cs="Times New Roman"/>
          <w:b/>
          <w:bCs/>
          <w:i/>
          <w:iCs/>
          <w:spacing w:val="-3"/>
          <w:sz w:val="24"/>
          <w:szCs w:val="24"/>
        </w:rPr>
        <w:t xml:space="preserve"> </w:t>
      </w:r>
      <w:r>
        <w:rPr>
          <w:rFonts w:ascii="Times New Roman" w:hAnsi="Times New Roman" w:eastAsia="Times New Roman" w:cs="Times New Roman"/>
          <w:b/>
          <w:bCs/>
          <w:i/>
          <w:iCs/>
          <w:sz w:val="24"/>
          <w:szCs w:val="24"/>
        </w:rPr>
        <w:t>Faith</w:t>
      </w:r>
      <w:r>
        <w:rPr>
          <w:rFonts w:ascii="Times New Roman" w:hAnsi="Times New Roman" w:eastAsia="Times New Roman" w:cs="Times New Roman"/>
          <w:b/>
          <w:bCs/>
          <w:i/>
          <w:iCs/>
          <w:spacing w:val="1"/>
          <w:sz w:val="24"/>
          <w:szCs w:val="24"/>
        </w:rPr>
        <w:t xml:space="preserve"> </w:t>
      </w:r>
      <w:r>
        <w:rPr>
          <w:rFonts w:ascii="Times New Roman" w:hAnsi="Times New Roman" w:eastAsia="Times New Roman" w:cs="Times New Roman"/>
          <w:b/>
          <w:bCs/>
          <w:i/>
          <w:iCs/>
          <w:sz w:val="24"/>
          <w:szCs w:val="24"/>
        </w:rPr>
        <w:t>and</w:t>
      </w:r>
      <w:r>
        <w:rPr>
          <w:rFonts w:ascii="Times New Roman" w:hAnsi="Times New Roman" w:eastAsia="Times New Roman" w:cs="Times New Roman"/>
          <w:b/>
          <w:bCs/>
          <w:i/>
          <w:iCs/>
          <w:spacing w:val="1"/>
          <w:sz w:val="24"/>
          <w:szCs w:val="24"/>
        </w:rPr>
        <w:t xml:space="preserve"> </w:t>
      </w:r>
      <w:r>
        <w:rPr>
          <w:rFonts w:ascii="Times New Roman" w:hAnsi="Times New Roman" w:eastAsia="Times New Roman" w:cs="Times New Roman"/>
          <w:b/>
          <w:bCs/>
          <w:i/>
          <w:iCs/>
          <w:sz w:val="24"/>
          <w:szCs w:val="24"/>
        </w:rPr>
        <w:t>Trust</w:t>
      </w:r>
      <w:r>
        <w:rPr>
          <w:rFonts w:ascii="Times New Roman" w:hAnsi="Times New Roman" w:eastAsia="Times New Roman" w:cs="Times New Roman"/>
          <w:b/>
          <w:bCs/>
          <w:i/>
          <w:iCs/>
          <w:spacing w:val="1"/>
          <w:sz w:val="24"/>
          <w:szCs w:val="24"/>
        </w:rPr>
        <w:t xml:space="preserve"> (L, </w:t>
      </w:r>
      <w:r>
        <w:rPr>
          <w:rFonts w:ascii="Times New Roman" w:hAnsi="Times New Roman" w:eastAsia="Times New Roman" w:cs="Times New Roman"/>
          <w:b/>
          <w:bCs/>
          <w:i/>
          <w:iCs/>
          <w:sz w:val="24"/>
          <w:szCs w:val="24"/>
        </w:rPr>
        <w:t>LO</w:t>
      </w:r>
      <w:r>
        <w:rPr>
          <w:rFonts w:ascii="Times New Roman" w:hAnsi="Times New Roman" w:eastAsia="Times New Roman" w:cs="Times New Roman"/>
          <w:b/>
          <w:bCs/>
          <w:i/>
          <w:iCs/>
          <w:spacing w:val="1"/>
          <w:sz w:val="24"/>
          <w:szCs w:val="24"/>
        </w:rPr>
        <w:t xml:space="preserve">, </w:t>
      </w:r>
      <w:r>
        <w:rPr>
          <w:rFonts w:ascii="Times New Roman" w:hAnsi="Times New Roman" w:eastAsia="Times New Roman" w:cs="Times New Roman"/>
          <w:b/>
          <w:bCs/>
          <w:i/>
          <w:iCs/>
          <w:sz w:val="24"/>
          <w:szCs w:val="24"/>
        </w:rPr>
        <w:t>QA</w:t>
      </w:r>
      <w:r>
        <w:rPr>
          <w:rFonts w:ascii="Times New Roman" w:hAnsi="Times New Roman" w:eastAsia="Times New Roman" w:cs="Times New Roman"/>
          <w:b/>
          <w:bCs/>
          <w:i/>
          <w:iCs/>
          <w:spacing w:val="1"/>
          <w:sz w:val="24"/>
          <w:szCs w:val="24"/>
        </w:rPr>
        <w:t>)</w:t>
      </w:r>
    </w:p>
    <w:p>
      <w:pPr>
        <w:spacing w:before="31" w:line="261" w:lineRule="auto"/>
        <w:ind w:left="1397" w:right="153" w:hanging="5"/>
        <w:rPr>
          <w:rFonts w:ascii="Times New Roman" w:hAnsi="Times New Roman" w:eastAsia="Times New Roman" w:cs="Times New Roman"/>
          <w:sz w:val="24"/>
          <w:szCs w:val="24"/>
        </w:rPr>
      </w:pPr>
      <w:r>
        <w:rPr>
          <w:rFonts w:ascii="Times New Roman" w:hAnsi="Times New Roman" w:eastAsia="Times New Roman" w:cs="Times New Roman"/>
          <w:sz w:val="24"/>
          <w:szCs w:val="24"/>
        </w:rPr>
        <w:t>Understanding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their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own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people</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contribution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overall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picture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creates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respect for the different roles and competencies, and assignmen</w:t>
      </w:r>
      <w:r>
        <w:rPr>
          <w:rFonts w:ascii="Times New Roman" w:hAnsi="Times New Roman" w:eastAsia="Times New Roman" w:cs="Times New Roman"/>
          <w:spacing w:val="-1"/>
          <w:sz w:val="24"/>
          <w:szCs w:val="24"/>
        </w:rPr>
        <w:t>ts become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clearer.</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The process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 xml:space="preserve">creates   </w:t>
      </w:r>
      <w:r>
        <w:rPr>
          <w:rFonts w:ascii="Times New Roman" w:hAnsi="Times New Roman" w:eastAsia="Times New Roman" w:cs="Times New Roman"/>
          <w:sz w:val="24"/>
          <w:szCs w:val="24"/>
        </w:rPr>
        <w:t>great opportunity for dialogue and learning, which in t</w:t>
      </w:r>
      <w:r>
        <w:rPr>
          <w:rFonts w:ascii="Times New Roman" w:hAnsi="Times New Roman" w:eastAsia="Times New Roman" w:cs="Times New Roman"/>
          <w:spacing w:val="-1"/>
          <w:sz w:val="24"/>
          <w:szCs w:val="24"/>
        </w:rPr>
        <w:t>urn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creates understanding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respect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for</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different roles.</w:t>
      </w:r>
    </w:p>
    <w:p>
      <w:pPr>
        <w:spacing w:before="209" w:line="214" w:lineRule="auto"/>
        <w:ind w:left="1394"/>
        <w:rPr>
          <w:rFonts w:ascii="Times New Roman" w:hAnsi="Times New Roman" w:eastAsia="Times New Roman" w:cs="Times New Roman"/>
          <w:sz w:val="28"/>
          <w:szCs w:val="28"/>
        </w:rPr>
      </w:pPr>
      <w:r>
        <w:rPr>
          <w:rFonts w:ascii="Times New Roman" w:hAnsi="Times New Roman" w:eastAsia="Times New Roman" w:cs="Times New Roman"/>
          <w:b/>
          <w:bCs/>
          <w:sz w:val="28"/>
          <w:szCs w:val="28"/>
        </w:rPr>
        <w:t>Discussion and concl</w:t>
      </w:r>
      <w:r>
        <w:rPr>
          <w:rFonts w:ascii="Times New Roman" w:hAnsi="Times New Roman" w:eastAsia="Times New Roman" w:cs="Times New Roman"/>
          <w:b/>
          <w:bCs/>
          <w:spacing w:val="-1"/>
          <w:sz w:val="28"/>
          <w:szCs w:val="28"/>
        </w:rPr>
        <w:t>usion</w:t>
      </w:r>
    </w:p>
    <w:p>
      <w:pPr>
        <w:spacing w:before="1" w:line="243" w:lineRule="auto"/>
        <w:ind w:left="1392" w:right="100" w:firstLine="5"/>
        <w:rPr>
          <w:rFonts w:ascii="Times New Roman" w:hAnsi="Times New Roman" w:eastAsia="Times New Roman" w:cs="Times New Roman"/>
          <w:sz w:val="24"/>
          <w:szCs w:val="24"/>
        </w:rPr>
      </w:pPr>
      <w:r>
        <w:rPr>
          <w:rFonts w:ascii="Times New Roman" w:hAnsi="Times New Roman" w:eastAsia="Times New Roman" w:cs="Times New Roman"/>
          <w:sz w:val="24"/>
          <w:szCs w:val="24"/>
        </w:rPr>
        <w:t>The focus groups assured, among other things described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above,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 pr</w:t>
      </w:r>
      <w:r>
        <w:rPr>
          <w:rFonts w:ascii="Times New Roman" w:hAnsi="Times New Roman" w:eastAsia="Times New Roman" w:cs="Times New Roman"/>
          <w:spacing w:val="-1"/>
          <w:sz w:val="24"/>
          <w:szCs w:val="24"/>
        </w:rPr>
        <w:t>ocesses were properly</w:t>
      </w:r>
      <w:r>
        <w:rPr>
          <w:rFonts w:ascii="Times New Roman" w:hAnsi="Times New Roman" w:eastAsia="Times New Roman" w:cs="Times New Roman"/>
          <w:sz w:val="24"/>
          <w:szCs w:val="24"/>
        </w:rPr>
        <w:t xml:space="preserve"> mapped. Furthermore it helped the process team to plan for the coming implementation more</w:t>
      </w:r>
    </w:p>
    <w:p>
      <w:pPr>
        <w:spacing w:before="39" w:line="243" w:lineRule="auto"/>
        <w:ind w:left="1399" w:right="403" w:hanging="6"/>
        <w:rPr>
          <w:rFonts w:ascii="Times New Roman" w:hAnsi="Times New Roman" w:eastAsia="Times New Roman" w:cs="Times New Roman"/>
          <w:sz w:val="24"/>
          <w:szCs w:val="24"/>
        </w:rPr>
      </w:pPr>
      <w:r>
        <w:rPr>
          <w:rFonts w:ascii="Times New Roman" w:hAnsi="Times New Roman" w:eastAsia="Times New Roman" w:cs="Times New Roman"/>
          <w:sz w:val="24"/>
          <w:szCs w:val="24"/>
        </w:rPr>
        <w:t>thoroughly and to avoid some problems. One problem to overcome is 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w:t>
      </w:r>
      <w:r>
        <w:rPr>
          <w:rFonts w:ascii="Times New Roman" w:hAnsi="Times New Roman" w:eastAsia="Times New Roman" w:cs="Times New Roman"/>
          <w:spacing w:val="-1"/>
          <w:sz w:val="24"/>
          <w:szCs w:val="24"/>
        </w:rPr>
        <w:t>eory-practice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gap</w:t>
      </w:r>
      <w:r>
        <w:rPr>
          <w:rFonts w:ascii="Times New Roman" w:hAnsi="Times New Roman" w:eastAsia="Times New Roman" w:cs="Times New Roman"/>
          <w:sz w:val="24"/>
          <w:szCs w:val="24"/>
        </w:rPr>
        <w:t xml:space="preserve"> found</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i/>
          <w:iCs/>
          <w:sz w:val="24"/>
          <w:szCs w:val="24"/>
        </w:rPr>
        <w:t>Pilot</w:t>
      </w:r>
      <w:r>
        <w:rPr>
          <w:rFonts w:ascii="Times New Roman" w:hAnsi="Times New Roman" w:eastAsia="Times New Roman" w:cs="Times New Roman"/>
          <w:i/>
          <w:iCs/>
          <w:spacing w:val="6"/>
          <w:sz w:val="24"/>
          <w:szCs w:val="24"/>
        </w:rPr>
        <w:t xml:space="preserve"> (3) </w:t>
      </w:r>
      <w:r>
        <w:rPr>
          <w:rFonts w:ascii="Times New Roman" w:hAnsi="Times New Roman" w:eastAsia="Times New Roman" w:cs="Times New Roman"/>
          <w:sz w:val="24"/>
          <w:szCs w:val="24"/>
        </w:rPr>
        <w:t>that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might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reflect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anunawareness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processes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among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parts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p>
    <w:p>
      <w:pPr>
        <w:spacing w:before="36" w:line="243" w:lineRule="auto"/>
        <w:ind w:left="1399" w:right="38" w:hanging="7"/>
        <w:rPr>
          <w:rFonts w:ascii="Times New Roman" w:hAnsi="Times New Roman" w:eastAsia="Times New Roman" w:cs="Times New Roman"/>
          <w:sz w:val="24"/>
          <w:szCs w:val="24"/>
        </w:rPr>
      </w:pPr>
      <w:r>
        <w:rPr>
          <w:rFonts w:ascii="Times New Roman" w:hAnsi="Times New Roman" w:eastAsia="Times New Roman" w:cs="Times New Roman"/>
          <w:sz w:val="24"/>
          <w:szCs w:val="24"/>
        </w:rPr>
        <w:t>management. Therefore it is necessary to make sure that ever</w:t>
      </w:r>
      <w:r>
        <w:rPr>
          <w:rFonts w:ascii="Times New Roman" w:hAnsi="Times New Roman" w:eastAsia="Times New Roman" w:cs="Times New Roman"/>
          <w:spacing w:val="-1"/>
          <w:sz w:val="24"/>
          <w:szCs w:val="24"/>
        </w:rPr>
        <w:t>yone is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“enlightened”.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Cronemyr</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color="auto"/>
        </w:rPr>
        <w:t>Cronemyr, 2013</w:t>
      </w:r>
      <w:r>
        <w:rPr>
          <w:rFonts w:ascii="Times New Roman" w:hAnsi="Times New Roman" w:eastAsia="Times New Roman" w:cs="Times New Roman"/>
          <w:sz w:val="24"/>
          <w:szCs w:val="24"/>
        </w:rPr>
        <w:t>) a process maturity model (see fi</w:t>
      </w:r>
      <w:r>
        <w:rPr>
          <w:rFonts w:ascii="Times New Roman" w:hAnsi="Times New Roman" w:eastAsia="Times New Roman" w:cs="Times New Roman"/>
          <w:spacing w:val="-1"/>
          <w:sz w:val="24"/>
          <w:szCs w:val="24"/>
        </w:rPr>
        <w:t>gure 7) is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described based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eight process</w:t>
      </w:r>
    </w:p>
    <w:p>
      <w:pPr>
        <w:spacing w:before="35" w:line="228" w:lineRule="auto"/>
        <w:ind w:left="1392"/>
        <w:rPr>
          <w:rFonts w:ascii="Times New Roman" w:hAnsi="Times New Roman" w:eastAsia="Times New Roman" w:cs="Times New Roman"/>
          <w:sz w:val="24"/>
          <w:szCs w:val="24"/>
        </w:rPr>
      </w:pPr>
      <w:r>
        <w:rPr>
          <w:rFonts w:ascii="Times New Roman" w:hAnsi="Times New Roman" w:eastAsia="Times New Roman" w:cs="Times New Roman"/>
          <w:sz w:val="24"/>
          <w:szCs w:val="24"/>
        </w:rPr>
        <w:t>maturity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categories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u w:val="single" w:color="auto"/>
        </w:rPr>
        <w:t>Harrington</w:t>
      </w:r>
      <w:r>
        <w:rPr>
          <w:rFonts w:ascii="Times New Roman" w:hAnsi="Times New Roman" w:eastAsia="Times New Roman" w:cs="Times New Roman"/>
          <w:spacing w:val="1"/>
          <w:sz w:val="24"/>
          <w:szCs w:val="24"/>
          <w:u w:val="single" w:color="auto"/>
        </w:rPr>
        <w:t>,</w:t>
      </w:r>
      <w:r>
        <w:rPr>
          <w:rFonts w:ascii="Times New Roman" w:hAnsi="Times New Roman" w:eastAsia="Times New Roman" w:cs="Times New Roman"/>
          <w:spacing w:val="28"/>
          <w:w w:val="101"/>
          <w:sz w:val="24"/>
          <w:szCs w:val="24"/>
          <w:u w:val="single" w:color="auto"/>
        </w:rPr>
        <w:t xml:space="preserve"> </w:t>
      </w:r>
      <w:r>
        <w:rPr>
          <w:rFonts w:ascii="Times New Roman" w:hAnsi="Times New Roman" w:eastAsia="Times New Roman" w:cs="Times New Roman"/>
          <w:spacing w:val="1"/>
          <w:sz w:val="24"/>
          <w:szCs w:val="24"/>
          <w:u w:val="single" w:color="auto"/>
        </w:rPr>
        <w:t>1991</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Management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organization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Way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working</w:t>
      </w:r>
      <w:r>
        <w:rPr>
          <w:rFonts w:ascii="Times New Roman" w:hAnsi="Times New Roman" w:eastAsia="Times New Roman" w:cs="Times New Roman"/>
          <w:spacing w:val="1"/>
          <w:sz w:val="24"/>
          <w:szCs w:val="24"/>
        </w:rPr>
        <w:t>,</w:t>
      </w:r>
    </w:p>
    <w:p>
      <w:pPr>
        <w:spacing w:before="36" w:line="228" w:lineRule="auto"/>
        <w:ind w:left="1395"/>
        <w:rPr>
          <w:rFonts w:ascii="Times New Roman" w:hAnsi="Times New Roman" w:eastAsia="Times New Roman" w:cs="Times New Roman"/>
          <w:sz w:val="24"/>
          <w:szCs w:val="24"/>
        </w:rPr>
      </w:pPr>
      <w:r>
        <w:rPr>
          <w:rFonts w:ascii="Times New Roman" w:hAnsi="Times New Roman" w:eastAsia="Times New Roman" w:cs="Times New Roman"/>
          <w:sz w:val="24"/>
          <w:szCs w:val="24"/>
        </w:rPr>
        <w:t>Layout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process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Documentation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Management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process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Users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process</w:t>
      </w:r>
      <w:r>
        <w:rPr>
          <w:rFonts w:ascii="Times New Roman" w:hAnsi="Times New Roman" w:eastAsia="Times New Roman" w:cs="Times New Roman"/>
          <w:spacing w:val="4"/>
          <w:sz w:val="24"/>
          <w:szCs w:val="24"/>
        </w:rPr>
        <w:t>,</w:t>
      </w:r>
    </w:p>
    <w:p>
      <w:pPr>
        <w:spacing w:before="34" w:line="244" w:lineRule="auto"/>
        <w:ind w:left="1398" w:right="4" w:hanging="3"/>
        <w:rPr>
          <w:rFonts w:ascii="Times New Roman" w:hAnsi="Times New Roman" w:eastAsia="Times New Roman" w:cs="Times New Roman"/>
          <w:sz w:val="24"/>
          <w:szCs w:val="24"/>
        </w:rPr>
      </w:pPr>
      <w:r>
        <w:rPr>
          <w:rFonts w:ascii="Times New Roman" w:hAnsi="Times New Roman" w:eastAsia="Times New Roman" w:cs="Times New Roman"/>
          <w:sz w:val="24"/>
          <w:szCs w:val="24"/>
        </w:rPr>
        <w:t>Measurements and Improvements. Then, in the model each</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category consists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four m</w:t>
      </w:r>
      <w:r>
        <w:rPr>
          <w:rFonts w:ascii="Times New Roman" w:hAnsi="Times New Roman" w:eastAsia="Times New Roman" w:cs="Times New Roman"/>
          <w:spacing w:val="-1"/>
          <w:sz w:val="24"/>
          <w:szCs w:val="24"/>
        </w:rPr>
        <w:t>aturity</w:t>
      </w:r>
      <w:r>
        <w:rPr>
          <w:rFonts w:ascii="Times New Roman" w:hAnsi="Times New Roman" w:eastAsia="Times New Roman" w:cs="Times New Roman"/>
          <w:sz w:val="24"/>
          <w:szCs w:val="24"/>
        </w:rPr>
        <w:t xml:space="preserve"> levels “awareness”, “establish”, “impro</w:t>
      </w:r>
      <w:r>
        <w:rPr>
          <w:rFonts w:ascii="Times New Roman" w:hAnsi="Times New Roman" w:eastAsia="Times New Roman" w:cs="Times New Roman"/>
          <w:spacing w:val="-1"/>
          <w:sz w:val="24"/>
          <w:szCs w:val="24"/>
        </w:rPr>
        <w:t>ved”, “adapted” and a</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“pre-level”,</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level</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Our</w:t>
      </w:r>
    </w:p>
    <w:p>
      <w:pPr>
        <w:spacing w:before="34" w:line="249" w:lineRule="auto"/>
        <w:ind w:left="1395" w:firstLine="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conclusion, based on the results, is that, in our organization, the maturity</w:t>
      </w:r>
      <w:r>
        <w:rPr>
          <w:rFonts w:ascii="Times New Roman" w:hAnsi="Times New Roman" w:eastAsia="Times New Roman" w:cs="Times New Roman"/>
          <w:spacing w:val="-1"/>
          <w:sz w:val="24"/>
          <w:szCs w:val="24"/>
        </w:rPr>
        <w:t xml:space="preserve"> is between pre-level</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 xml:space="preserve">(0) </w:t>
      </w:r>
      <w:r>
        <w:rPr>
          <w:rFonts w:ascii="Times New Roman" w:hAnsi="Times New Roman" w:eastAsia="Times New Roman" w:cs="Times New Roman"/>
          <w:sz w:val="24"/>
          <w:szCs w:val="24"/>
        </w:rPr>
        <w:t>and awareness (level</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1). To rea</w:t>
      </w:r>
      <w:r>
        <w:rPr>
          <w:rFonts w:ascii="Times New Roman" w:hAnsi="Times New Roman" w:eastAsia="Times New Roman" w:cs="Times New Roman"/>
          <w:spacing w:val="-1"/>
          <w:sz w:val="24"/>
          <w:szCs w:val="24"/>
        </w:rPr>
        <w:t>ch level one, management need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increase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the process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awareness.</w:t>
      </w:r>
      <w:r>
        <w:rPr>
          <w:rFonts w:ascii="Times New Roman" w:hAnsi="Times New Roman" w:eastAsia="Times New Roman" w:cs="Times New Roman"/>
          <w:sz w:val="24"/>
          <w:szCs w:val="24"/>
        </w:rPr>
        <w:t xml:space="preserve"> Hence, we need to improve the prerequisites before level 2, “establ</w:t>
      </w:r>
      <w:r>
        <w:rPr>
          <w:rFonts w:ascii="Times New Roman" w:hAnsi="Times New Roman" w:eastAsia="Times New Roman" w:cs="Times New Roman"/>
          <w:spacing w:val="-1"/>
          <w:sz w:val="24"/>
          <w:szCs w:val="24"/>
        </w:rPr>
        <w:t>ish”</w:t>
      </w:r>
      <w:r>
        <w:rPr>
          <w:rFonts w:ascii="Times New Roman" w:hAnsi="Times New Roman" w:eastAsia="Times New Roman" w:cs="Times New Roman"/>
          <w:spacing w:val="-44"/>
          <w:sz w:val="24"/>
          <w:szCs w:val="24"/>
        </w:rPr>
        <w:t xml:space="preserve"> </w:t>
      </w:r>
      <w:r>
        <w:rPr>
          <w:rFonts w:ascii="Times New Roman" w:hAnsi="Times New Roman" w:eastAsia="Times New Roman" w:cs="Times New Roman"/>
          <w:spacing w:val="-1"/>
          <w:sz w:val="24"/>
          <w:szCs w:val="24"/>
        </w:rPr>
        <w:t>.</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13" w:lineRule="exact"/>
        <w:ind w:firstLine="1151"/>
      </w:pPr>
      <w:r>
        <w:rPr>
          <w:position w:val="-4"/>
        </w:rPr>
        <w:drawing>
          <wp:inline distT="0" distB="0" distL="0" distR="0">
            <wp:extent cx="1849120" cy="13462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1114" w:bottom="100" w:left="48" w:header="0" w:footer="0" w:gutter="0"/>
          <w:cols w:space="720" w:num="1"/>
        </w:sectPr>
      </w:pPr>
    </w:p>
    <w:p>
      <w:pPr>
        <w:spacing w:line="244" w:lineRule="auto"/>
        <w:rPr>
          <w:rFonts w:ascii="Arial"/>
          <w:sz w:val="21"/>
        </w:rPr>
      </w:pPr>
      <w:r>
        <mc:AlternateContent>
          <mc:Choice Requires="wps">
            <w:drawing>
              <wp:anchor distT="0" distB="0" distL="0" distR="0" simplePos="0" relativeHeight="251795456" behindDoc="0" locked="0" layoutInCell="0" allowOverlap="1">
                <wp:simplePos x="0" y="0"/>
                <wp:positionH relativeFrom="page">
                  <wp:posOffset>-1525905</wp:posOffset>
                </wp:positionH>
                <wp:positionV relativeFrom="page">
                  <wp:posOffset>5286375</wp:posOffset>
                </wp:positionV>
                <wp:extent cx="3207385" cy="118110"/>
                <wp:effectExtent l="0" t="0" r="0" b="0"/>
                <wp:wrapNone/>
                <wp:docPr id="260" name="TextBox 260"/>
                <wp:cNvGraphicFramePr/>
                <a:graphic xmlns:a="http://schemas.openxmlformats.org/drawingml/2006/main">
                  <a:graphicData uri="http://schemas.microsoft.com/office/word/2010/wordprocessingShape">
                    <wps:wsp>
                      <wps:cNvSpPr txBox="1"/>
                      <wps:spPr>
                        <a:xfrm rot="16200000">
                          <a:off x="-1526184" y="5286858"/>
                          <a:ext cx="3207385" cy="1181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0" o:spid="_x0000_s1026" o:spt="202" type="#_x0000_t202" style="position:absolute;left:0pt;margin-left:-120.15pt;margin-top:416.25pt;height:9.3pt;width:252.55pt;mso-position-horizontal-relative:page;mso-position-vertical-relative:page;rotation:-5898240f;z-index:251795456;mso-width-relative:page;mso-height-relative:page;" filled="f" stroked="f" coordsize="21600,21600" o:allowincell="f" o:gfxdata="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35Xy2wAAAAwBAAAPAAAAAAAAAAEAIAAAACIAAABkcnMvZG93&#10;bnJldi54bWxQSwECFAAUAAAACACHTuJA/7PYmzYCAABxBAAADgAAAAAAAAABACAAAAAqAQAAZHJz&#10;L2Uyb0RvYy54bWxQSwUGAAAAAAYABgBZAQAA0g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16"/>
                          <w:szCs w:val="16"/>
                        </w:rPr>
                      </w:pPr>
                      <w:r>
                        <w:rPr>
                          <w:rFonts w:ascii="Times New Roman" w:hAnsi="Times New Roman" w:eastAsia="Times New Roman" w:cs="Times New Roman"/>
                          <w:sz w:val="16"/>
                          <w:szCs w:val="16"/>
                        </w:rPr>
                        <w:t>Downloaded by Florida Atlantic Universit</w:t>
                      </w:r>
                      <w:r>
                        <w:rPr>
                          <w:rFonts w:ascii="Times New Roman" w:hAnsi="Times New Roman" w:eastAsia="Times New Roman" w:cs="Times New Roman"/>
                          <w:spacing w:val="-1"/>
                          <w:sz w:val="16"/>
                          <w:szCs w:val="16"/>
                        </w:rPr>
                        <w:t>y At 21:11</w:t>
                      </w:r>
                      <w:r>
                        <w:rPr>
                          <w:rFonts w:ascii="Times New Roman" w:hAnsi="Times New Roman" w:eastAsia="Times New Roman" w:cs="Times New Roman"/>
                          <w:spacing w:val="18"/>
                          <w:w w:val="101"/>
                          <w:sz w:val="16"/>
                          <w:szCs w:val="16"/>
                        </w:rPr>
                        <w:t xml:space="preserve"> </w:t>
                      </w:r>
                      <w:r>
                        <w:rPr>
                          <w:rFonts w:ascii="Times New Roman" w:hAnsi="Times New Roman" w:eastAsia="Times New Roman" w:cs="Times New Roman"/>
                          <w:spacing w:val="-1"/>
                          <w:sz w:val="16"/>
                          <w:szCs w:val="16"/>
                        </w:rPr>
                        <w:t>13</w:t>
                      </w:r>
                      <w:r>
                        <w:rPr>
                          <w:rFonts w:ascii="Times New Roman" w:hAnsi="Times New Roman" w:eastAsia="Times New Roman" w:cs="Times New Roman"/>
                          <w:spacing w:val="10"/>
                          <w:w w:val="101"/>
                          <w:sz w:val="16"/>
                          <w:szCs w:val="16"/>
                        </w:rPr>
                        <w:t xml:space="preserve"> </w:t>
                      </w:r>
                      <w:r>
                        <w:rPr>
                          <w:rFonts w:ascii="Times New Roman" w:hAnsi="Times New Roman" w:eastAsia="Times New Roman" w:cs="Times New Roman"/>
                          <w:spacing w:val="-1"/>
                          <w:sz w:val="16"/>
                          <w:szCs w:val="16"/>
                        </w:rPr>
                        <w:t>September 2017 (PT)</w:t>
                      </w:r>
                    </w:p>
                  </w:txbxContent>
                </v:textbox>
              </v:shape>
            </w:pict>
          </mc:Fallback>
        </mc:AlternateConten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4303" w:lineRule="exact"/>
        <w:ind w:firstLine="1388"/>
      </w:pPr>
      <w:r>
        <w:rPr>
          <w:position w:val="-86"/>
        </w:rPr>
        <w:drawing>
          <wp:inline distT="0" distB="0" distL="0" distR="0">
            <wp:extent cx="5640070" cy="2732405"/>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62"/>
                    <a:stretch>
                      <a:fillRect/>
                    </a:stretch>
                  </pic:blipFill>
                  <pic:spPr>
                    <a:xfrm>
                      <a:off x="0" y="0"/>
                      <a:ext cx="5640323" cy="2732532"/>
                    </a:xfrm>
                    <a:prstGeom prst="rect">
                      <a:avLst/>
                    </a:prstGeom>
                  </pic:spPr>
                </pic:pic>
              </a:graphicData>
            </a:graphic>
          </wp:inline>
        </w:drawing>
      </w:r>
    </w:p>
    <w:p>
      <w:pPr>
        <w:spacing w:before="187" w:line="239" w:lineRule="auto"/>
        <w:ind w:left="1034"/>
        <w:rPr>
          <w:rFonts w:ascii="Times New Roman" w:hAnsi="Times New Roman" w:eastAsia="Times New Roman" w:cs="Times New Roman"/>
          <w:sz w:val="19"/>
          <w:szCs w:val="19"/>
        </w:rPr>
      </w:pPr>
      <w:r>
        <w:rPr>
          <w:rFonts w:ascii="Times New Roman" w:hAnsi="Times New Roman" w:eastAsia="Times New Roman" w:cs="Times New Roman"/>
          <w:sz w:val="19"/>
          <w:szCs w:val="19"/>
        </w:rPr>
        <w:t>Figure</w:t>
      </w:r>
      <w:r>
        <w:rPr>
          <w:rFonts w:ascii="Times New Roman" w:hAnsi="Times New Roman" w:eastAsia="Times New Roman" w:cs="Times New Roman"/>
          <w:spacing w:val="11"/>
          <w:sz w:val="19"/>
          <w:szCs w:val="19"/>
        </w:rPr>
        <w:t xml:space="preserve"> 7.       </w:t>
      </w:r>
      <w:r>
        <w:rPr>
          <w:rFonts w:ascii="Times New Roman" w:hAnsi="Times New Roman" w:eastAsia="Times New Roman" w:cs="Times New Roman"/>
          <w:sz w:val="19"/>
          <w:szCs w:val="19"/>
        </w:rPr>
        <w:t>The</w:t>
      </w:r>
      <w:r>
        <w:rPr>
          <w:rFonts w:ascii="Times New Roman" w:hAnsi="Times New Roman" w:eastAsia="Times New Roman" w:cs="Times New Roman"/>
          <w:spacing w:val="11"/>
          <w:sz w:val="19"/>
          <w:szCs w:val="19"/>
        </w:rPr>
        <w:t xml:space="preserve"> </w:t>
      </w:r>
      <w:r>
        <w:rPr>
          <w:rFonts w:ascii="Times New Roman" w:hAnsi="Times New Roman" w:eastAsia="Times New Roman" w:cs="Times New Roman"/>
          <w:sz w:val="19"/>
          <w:szCs w:val="19"/>
        </w:rPr>
        <w:t>Process</w:t>
      </w:r>
      <w:r>
        <w:rPr>
          <w:rFonts w:ascii="Times New Roman" w:hAnsi="Times New Roman" w:eastAsia="Times New Roman" w:cs="Times New Roman"/>
          <w:spacing w:val="11"/>
          <w:sz w:val="19"/>
          <w:szCs w:val="19"/>
        </w:rPr>
        <w:t xml:space="preserve"> </w:t>
      </w:r>
      <w:r>
        <w:rPr>
          <w:rFonts w:ascii="Times New Roman" w:hAnsi="Times New Roman" w:eastAsia="Times New Roman" w:cs="Times New Roman"/>
          <w:sz w:val="19"/>
          <w:szCs w:val="19"/>
        </w:rPr>
        <w:t>Maturity</w:t>
      </w:r>
      <w:r>
        <w:rPr>
          <w:rFonts w:ascii="Times New Roman" w:hAnsi="Times New Roman" w:eastAsia="Times New Roman" w:cs="Times New Roman"/>
          <w:spacing w:val="11"/>
          <w:sz w:val="19"/>
          <w:szCs w:val="19"/>
        </w:rPr>
        <w:t xml:space="preserve"> </w:t>
      </w:r>
      <w:r>
        <w:rPr>
          <w:rFonts w:ascii="Times New Roman" w:hAnsi="Times New Roman" w:eastAsia="Times New Roman" w:cs="Times New Roman"/>
          <w:sz w:val="19"/>
          <w:szCs w:val="19"/>
        </w:rPr>
        <w:t>Model</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11"/>
          <w:sz w:val="19"/>
          <w:szCs w:val="19"/>
        </w:rPr>
        <w:t>(</w:t>
      </w:r>
      <w:r>
        <w:rPr>
          <w:rFonts w:ascii="Times New Roman" w:hAnsi="Times New Roman" w:eastAsia="Times New Roman" w:cs="Times New Roman"/>
          <w:sz w:val="19"/>
          <w:szCs w:val="19"/>
          <w:u w:val="single" w:color="auto"/>
        </w:rPr>
        <w:t>Cronemyr</w:t>
      </w:r>
      <w:r>
        <w:rPr>
          <w:rFonts w:ascii="Times New Roman" w:hAnsi="Times New Roman" w:eastAsia="Times New Roman" w:cs="Times New Roman"/>
          <w:spacing w:val="11"/>
          <w:sz w:val="19"/>
          <w:szCs w:val="19"/>
          <w:u w:val="single" w:color="auto"/>
        </w:rPr>
        <w:t>,</w:t>
      </w:r>
      <w:r>
        <w:rPr>
          <w:rFonts w:ascii="Times New Roman" w:hAnsi="Times New Roman" w:eastAsia="Times New Roman" w:cs="Times New Roman"/>
          <w:spacing w:val="8"/>
          <w:sz w:val="19"/>
          <w:szCs w:val="19"/>
          <w:u w:val="single" w:color="auto"/>
        </w:rPr>
        <w:t xml:space="preserve"> </w:t>
      </w:r>
      <w:r>
        <w:rPr>
          <w:rFonts w:ascii="Times New Roman" w:hAnsi="Times New Roman" w:eastAsia="Times New Roman" w:cs="Times New Roman"/>
          <w:spacing w:val="11"/>
          <w:sz w:val="19"/>
          <w:szCs w:val="19"/>
          <w:u w:val="single" w:color="auto"/>
        </w:rPr>
        <w:t>2013</w:t>
      </w:r>
      <w:r>
        <w:rPr>
          <w:rFonts w:ascii="Times New Roman" w:hAnsi="Times New Roman" w:eastAsia="Times New Roman" w:cs="Times New Roman"/>
          <w:spacing w:val="11"/>
          <w:sz w:val="19"/>
          <w:szCs w:val="19"/>
        </w:rPr>
        <w:t>)</w:t>
      </w:r>
    </w:p>
    <w:p>
      <w:pPr>
        <w:spacing w:line="259" w:lineRule="auto"/>
        <w:rPr>
          <w:rFonts w:ascii="Arial"/>
          <w:sz w:val="21"/>
        </w:rPr>
      </w:pPr>
    </w:p>
    <w:p>
      <w:pPr>
        <w:spacing w:line="259" w:lineRule="auto"/>
        <w:rPr>
          <w:rFonts w:ascii="Arial"/>
          <w:sz w:val="21"/>
        </w:rPr>
      </w:pPr>
    </w:p>
    <w:p>
      <w:pPr>
        <w:spacing w:before="69" w:line="248" w:lineRule="auto"/>
        <w:ind w:left="1398" w:firstLine="2"/>
        <w:rPr>
          <w:rFonts w:ascii="Times New Roman" w:hAnsi="Times New Roman" w:eastAsia="Times New Roman" w:cs="Times New Roman"/>
          <w:sz w:val="24"/>
          <w:szCs w:val="24"/>
        </w:rPr>
      </w:pPr>
      <w:r>
        <w:rPr>
          <w:rFonts w:ascii="Times New Roman" w:hAnsi="Times New Roman" w:eastAsia="Times New Roman" w:cs="Times New Roman"/>
          <w:sz w:val="24"/>
          <w:szCs w:val="24"/>
        </w:rPr>
        <w:t>The maturity model also shows, among other thin</w:t>
      </w:r>
      <w:r>
        <w:rPr>
          <w:rFonts w:ascii="Times New Roman" w:hAnsi="Times New Roman" w:eastAsia="Times New Roman" w:cs="Times New Roman"/>
          <w:spacing w:val="-1"/>
          <w:sz w:val="24"/>
          <w:szCs w:val="24"/>
        </w:rPr>
        <w:t>gs, that measurements are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suitable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first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
          <w:sz w:val="24"/>
          <w:szCs w:val="24"/>
        </w:rPr>
        <w:t>in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level</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2, “establish”</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pacing w:val="-1"/>
          <w:sz w:val="24"/>
          <w:szCs w:val="24"/>
        </w:rPr>
        <w:t>.</w:t>
      </w:r>
    </w:p>
    <w:p>
      <w:pPr>
        <w:spacing w:before="186" w:line="248" w:lineRule="auto"/>
        <w:ind w:left="1394" w:right="26" w:firstLine="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work with process mapping will continue, and at the same t</w:t>
      </w:r>
      <w:r>
        <w:rPr>
          <w:rFonts w:ascii="Times New Roman" w:hAnsi="Times New Roman" w:eastAsia="Times New Roman" w:cs="Times New Roman"/>
          <w:spacing w:val="-1"/>
          <w:sz w:val="24"/>
          <w:szCs w:val="24"/>
        </w:rPr>
        <w:t>ime there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1"/>
          <w:sz w:val="24"/>
          <w:szCs w:val="24"/>
        </w:rPr>
        <w:t>is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a need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work with</w:t>
      </w:r>
      <w:r>
        <w:rPr>
          <w:rFonts w:ascii="Times New Roman" w:hAnsi="Times New Roman" w:eastAsia="Times New Roman" w:cs="Times New Roman"/>
          <w:sz w:val="24"/>
          <w:szCs w:val="24"/>
        </w:rPr>
        <w:t xml:space="preserve"> increased process knowledge and awareness within the management. When the organization </w:t>
      </w:r>
      <w:r>
        <w:rPr>
          <w:rFonts w:ascii="Times New Roman" w:hAnsi="Times New Roman" w:eastAsia="Times New Roman" w:cs="Times New Roman"/>
          <w:spacing w:val="-1"/>
          <w:sz w:val="24"/>
          <w:szCs w:val="24"/>
        </w:rPr>
        <w:t>has</w:t>
      </w:r>
      <w:r>
        <w:rPr>
          <w:rFonts w:ascii="Times New Roman" w:hAnsi="Times New Roman" w:eastAsia="Times New Roman" w:cs="Times New Roman"/>
          <w:sz w:val="24"/>
          <w:szCs w:val="24"/>
        </w:rPr>
        <w:t xml:space="preserve"> reached level 2, the quality culture within the organization will be measur</w:t>
      </w:r>
      <w:r>
        <w:rPr>
          <w:rFonts w:ascii="Times New Roman" w:hAnsi="Times New Roman" w:eastAsia="Times New Roman" w:cs="Times New Roman"/>
          <w:spacing w:val="-1"/>
          <w:sz w:val="24"/>
          <w:szCs w:val="24"/>
        </w:rPr>
        <w:t>ed.</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13" w:lineRule="exact"/>
        <w:ind w:firstLine="1151"/>
      </w:pPr>
      <w:r>
        <w:rPr>
          <w:position w:val="-4"/>
        </w:rPr>
        <w:drawing>
          <wp:inline distT="0" distB="0" distL="0" distR="0">
            <wp:extent cx="1849120" cy="134620"/>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47"/>
                    <a:stretch>
                      <a:fillRect/>
                    </a:stretch>
                  </pic:blipFill>
                  <pic:spPr>
                    <a:xfrm>
                      <a:off x="0" y="0"/>
                      <a:ext cx="1849120" cy="135127"/>
                    </a:xfrm>
                    <a:prstGeom prst="rect">
                      <a:avLst/>
                    </a:prstGeom>
                  </pic:spPr>
                </pic:pic>
              </a:graphicData>
            </a:graphic>
          </wp:inline>
        </w:drawing>
      </w:r>
    </w:p>
    <w:p>
      <w:pPr>
        <w:spacing w:before="8" w:line="382" w:lineRule="exact"/>
        <w:ind w:firstLine="1151"/>
      </w:pPr>
      <w:r>
        <w:rPr>
          <w:position w:val="-7"/>
        </w:rPr>
        <w:drawing>
          <wp:inline distT="0" distB="0" distL="0" distR="0">
            <wp:extent cx="6009640" cy="24257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48"/>
                    <a:stretch>
                      <a:fillRect/>
                    </a:stretch>
                  </pic:blipFill>
                  <pic:spPr>
                    <a:xfrm>
                      <a:off x="0" y="0"/>
                      <a:ext cx="6009640" cy="242570"/>
                    </a:xfrm>
                    <a:prstGeom prst="rect">
                      <a:avLst/>
                    </a:prstGeom>
                  </pic:spPr>
                </pic:pic>
              </a:graphicData>
            </a:graphic>
          </wp:inline>
        </w:drawing>
      </w:r>
    </w:p>
    <w:p>
      <w:pPr>
        <w:spacing w:line="382" w:lineRule="exact"/>
        <w:sectPr>
          <w:pgSz w:w="11900" w:h="16840"/>
          <w:pgMar w:top="400" w:right="1181" w:bottom="100" w:left="48" w:header="0" w:footer="0" w:gutter="0"/>
          <w:cols w:space="720" w:num="1"/>
        </w:sectPr>
      </w:pPr>
    </w:p>
    <w:p>
      <w:pPr>
        <w:spacing w:line="15447" w:lineRule="exact"/>
      </w:pPr>
      <w:r>
        <mc:AlternateContent>
          <mc:Choice Requires="wps">
            <w:drawing>
              <wp:anchor distT="0" distB="0" distL="0" distR="0" simplePos="0" relativeHeight="251796480" behindDoc="0" locked="0" layoutInCell="0" allowOverlap="1">
                <wp:simplePos x="0" y="0"/>
                <wp:positionH relativeFrom="page">
                  <wp:posOffset>-1967865</wp:posOffset>
                </wp:positionH>
                <wp:positionV relativeFrom="page">
                  <wp:posOffset>4852670</wp:posOffset>
                </wp:positionV>
                <wp:extent cx="4129405" cy="140970"/>
                <wp:effectExtent l="0" t="0" r="0" b="0"/>
                <wp:wrapNone/>
                <wp:docPr id="268" name="TextBox 268"/>
                <wp:cNvGraphicFramePr/>
                <a:graphic xmlns:a="http://schemas.openxmlformats.org/drawingml/2006/main">
                  <a:graphicData uri="http://schemas.microsoft.com/office/word/2010/wordprocessingShape">
                    <wps:wsp>
                      <wps:cNvSpPr txBox="1"/>
                      <wps:spPr>
                        <a:xfrm rot="16200000">
                          <a:off x="-1967992" y="485286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8" o:spid="_x0000_s1026" o:spt="202" type="#_x0000_t202" style="position:absolute;left:0pt;margin-left:-154.95pt;margin-top:382.1pt;height:11.1pt;width:325.15pt;mso-position-horizontal-relative:page;mso-position-vertical-relative:page;rotation:-5898240f;z-index:251796480;mso-width-relative:page;mso-height-relative:page;" filled="f" stroked="f" coordsize="21600,21600" o:allowincell="f" o:gfxdata="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LaGp3AAAAAwBAAAPAAAAAAAAAAEAIAAAACIAAABkcnMv&#10;ZG93bnJldi54bWxQSwECFAAUAAAACACHTuJAN86s6TgCAABxBAAADgAAAAAAAAABACAAAAArAQAA&#10;ZHJzL2Uyb0RvYy54bWxQSwUGAAAAAAYABgBZAQAA1Q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43800" cy="9808845"/>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63"/>
                    <a:stretch>
                      <a:fillRect/>
                    </a:stretch>
                  </pic:blipFill>
                  <pic:spPr>
                    <a:xfrm>
                      <a:off x="0" y="0"/>
                      <a:ext cx="7543800" cy="9808998"/>
                    </a:xfrm>
                    <a:prstGeom prst="rect">
                      <a:avLst/>
                    </a:prstGeom>
                  </pic:spPr>
                </pic:pic>
              </a:graphicData>
            </a:graphic>
          </wp:inline>
        </w:drawing>
      </w:r>
    </w:p>
    <w:p>
      <w:pPr>
        <w:spacing w:line="15447" w:lineRule="exact"/>
        <w:sectPr>
          <w:pgSz w:w="11880" w:h="15460"/>
          <w:pgMar w:top="1" w:right="0" w:bottom="1" w:left="0" w:header="0" w:footer="0" w:gutter="0"/>
          <w:cols w:space="720" w:num="1"/>
        </w:sectPr>
      </w:pPr>
    </w:p>
    <w:p>
      <w:pPr>
        <w:spacing w:line="15427" w:lineRule="exact"/>
      </w:pPr>
      <w:r>
        <mc:AlternateContent>
          <mc:Choice Requires="wps">
            <w:drawing>
              <wp:anchor distT="0" distB="0" distL="0" distR="0" simplePos="0" relativeHeight="251797504" behindDoc="0" locked="0" layoutInCell="0" allowOverlap="1">
                <wp:simplePos x="0" y="0"/>
                <wp:positionH relativeFrom="page">
                  <wp:posOffset>-1967865</wp:posOffset>
                </wp:positionH>
                <wp:positionV relativeFrom="page">
                  <wp:posOffset>4846320</wp:posOffset>
                </wp:positionV>
                <wp:extent cx="4129405" cy="140970"/>
                <wp:effectExtent l="0" t="0" r="0" b="0"/>
                <wp:wrapNone/>
                <wp:docPr id="272" name="TextBox 272"/>
                <wp:cNvGraphicFramePr/>
                <a:graphic xmlns:a="http://schemas.openxmlformats.org/drawingml/2006/main">
                  <a:graphicData uri="http://schemas.microsoft.com/office/word/2010/wordprocessingShape">
                    <wps:wsp>
                      <wps:cNvSpPr txBox="1"/>
                      <wps:spPr>
                        <a:xfrm rot="16200000">
                          <a:off x="-1967992" y="484651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2" o:spid="_x0000_s1026" o:spt="202" type="#_x0000_t202" style="position:absolute;left:0pt;margin-left:-154.95pt;margin-top:381.6pt;height:11.1pt;width:325.15pt;mso-position-horizontal-relative:page;mso-position-vertical-relative:page;rotation:-5898240f;z-index:251797504;mso-width-relative:page;mso-height-relative:page;" filled="f" stroked="f" coordsize="21600,21600" o:allowincell="f" o:gfxdata="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nVAQ3AAAAAwBAAAPAAAAAAAAAAEAIAAAACIAAABkcnMv&#10;ZG93bnJldi54bWxQSwECFAAUAAAACACHTuJAj35lUDgCAABxBAAADgAAAAAAAAABACAAAAArAQAA&#10;ZHJzL2Uyb0RvYy54bWxQSwUGAAAAAAYABgBZAQAA1Q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31100" cy="979614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64"/>
                    <a:stretch>
                      <a:fillRect/>
                    </a:stretch>
                  </pic:blipFill>
                  <pic:spPr>
                    <a:xfrm>
                      <a:off x="0" y="0"/>
                      <a:ext cx="7531100" cy="9796298"/>
                    </a:xfrm>
                    <a:prstGeom prst="rect">
                      <a:avLst/>
                    </a:prstGeom>
                  </pic:spPr>
                </pic:pic>
              </a:graphicData>
            </a:graphic>
          </wp:inline>
        </w:drawing>
      </w:r>
    </w:p>
    <w:p>
      <w:pPr>
        <w:spacing w:line="15427" w:lineRule="exact"/>
        <w:sectPr>
          <w:pgSz w:w="11860" w:h="15440"/>
          <w:pgMar w:top="1" w:right="0" w:bottom="1" w:left="0" w:header="0" w:footer="0" w:gutter="0"/>
          <w:cols w:space="720" w:num="1"/>
        </w:sectPr>
      </w:pPr>
    </w:p>
    <w:p>
      <w:pPr>
        <w:spacing w:line="15427" w:lineRule="exact"/>
      </w:pPr>
      <w:r>
        <mc:AlternateContent>
          <mc:Choice Requires="wps">
            <w:drawing>
              <wp:anchor distT="0" distB="0" distL="0" distR="0" simplePos="0" relativeHeight="251798528" behindDoc="0" locked="0" layoutInCell="0" allowOverlap="1">
                <wp:simplePos x="0" y="0"/>
                <wp:positionH relativeFrom="page">
                  <wp:posOffset>-1967865</wp:posOffset>
                </wp:positionH>
                <wp:positionV relativeFrom="page">
                  <wp:posOffset>4846320</wp:posOffset>
                </wp:positionV>
                <wp:extent cx="4129405" cy="140970"/>
                <wp:effectExtent l="0" t="0" r="0" b="0"/>
                <wp:wrapNone/>
                <wp:docPr id="276" name="TextBox 276"/>
                <wp:cNvGraphicFramePr/>
                <a:graphic xmlns:a="http://schemas.openxmlformats.org/drawingml/2006/main">
                  <a:graphicData uri="http://schemas.microsoft.com/office/word/2010/wordprocessingShape">
                    <wps:wsp>
                      <wps:cNvSpPr txBox="1"/>
                      <wps:spPr>
                        <a:xfrm rot="16200000">
                          <a:off x="-1967992" y="484651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6" o:spid="_x0000_s1026" o:spt="202" type="#_x0000_t202" style="position:absolute;left:0pt;margin-left:-154.95pt;margin-top:381.6pt;height:11.1pt;width:325.15pt;mso-position-horizontal-relative:page;mso-position-vertical-relative:page;rotation:-5898240f;z-index:251798528;mso-width-relative:page;mso-height-relative:page;" filled="f" stroked="f" coordsize="21600,21600" o:allowincell="f" o:gfxdata="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p1QENwAAAAMAQAADwAAAAAAAAABACAAAAAiAAAAZHJz&#10;L2Rvd25yZXYueG1sUEsBAhQAFAAAAAgAh07iQAvoVTI5AgAAcQQAAA4AAAAAAAAAAQAgAAAAKwEA&#10;AGRycy9lMm9Eb2MueG1sUEsFBgAAAAAGAAYAWQEAANYFA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31100" cy="9796145"/>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65"/>
                    <a:stretch>
                      <a:fillRect/>
                    </a:stretch>
                  </pic:blipFill>
                  <pic:spPr>
                    <a:xfrm>
                      <a:off x="0" y="0"/>
                      <a:ext cx="7531100" cy="9796298"/>
                    </a:xfrm>
                    <a:prstGeom prst="rect">
                      <a:avLst/>
                    </a:prstGeom>
                  </pic:spPr>
                </pic:pic>
              </a:graphicData>
            </a:graphic>
          </wp:inline>
        </w:drawing>
      </w:r>
    </w:p>
    <w:p>
      <w:pPr>
        <w:spacing w:line="15427" w:lineRule="exact"/>
        <w:sectPr>
          <w:pgSz w:w="11860" w:h="15440"/>
          <w:pgMar w:top="1" w:right="0" w:bottom="1" w:left="0" w:header="0" w:footer="0" w:gutter="0"/>
          <w:cols w:space="720" w:num="1"/>
        </w:sectPr>
      </w:pPr>
    </w:p>
    <w:p>
      <w:pPr>
        <w:spacing w:line="15427" w:lineRule="exact"/>
      </w:pPr>
      <w:r>
        <mc:AlternateContent>
          <mc:Choice Requires="wps">
            <w:drawing>
              <wp:anchor distT="0" distB="0" distL="0" distR="0" simplePos="0" relativeHeight="251799552" behindDoc="0" locked="0" layoutInCell="0" allowOverlap="1">
                <wp:simplePos x="0" y="0"/>
                <wp:positionH relativeFrom="page">
                  <wp:posOffset>-1967865</wp:posOffset>
                </wp:positionH>
                <wp:positionV relativeFrom="page">
                  <wp:posOffset>4846320</wp:posOffset>
                </wp:positionV>
                <wp:extent cx="4129405" cy="140970"/>
                <wp:effectExtent l="0" t="0" r="0" b="0"/>
                <wp:wrapNone/>
                <wp:docPr id="280" name="TextBox 280"/>
                <wp:cNvGraphicFramePr/>
                <a:graphic xmlns:a="http://schemas.openxmlformats.org/drawingml/2006/main">
                  <a:graphicData uri="http://schemas.microsoft.com/office/word/2010/wordprocessingShape">
                    <wps:wsp>
                      <wps:cNvSpPr txBox="1"/>
                      <wps:spPr>
                        <a:xfrm rot="16200000">
                          <a:off x="-1967992" y="484651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0" o:spid="_x0000_s1026" o:spt="202" type="#_x0000_t202" style="position:absolute;left:0pt;margin-left:-154.95pt;margin-top:381.6pt;height:11.1pt;width:325.15pt;mso-position-horizontal-relative:page;mso-position-vertical-relative:page;rotation:-5898240f;z-index:251799552;mso-width-relative:page;mso-height-relative:page;" filled="f" stroked="f" coordsize="21600,21600" o:allowincell="f" o:gfxdata="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qdUBDcAAAADAEAAA8AAAAAAAAAAQAgAAAAIgAAAGRycy9k&#10;b3ducmV2LnhtbFBLAQIUABQAAAAIAIdO4kDRjP+8NwIAAHEEAAAOAAAAAAAAAAEAIAAAACsBAABk&#10;cnMvZTJvRG9jLnhtbFBLBQYAAAAABgAGAFkBAADUBQ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18400" cy="979614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66"/>
                    <a:stretch>
                      <a:fillRect/>
                    </a:stretch>
                  </pic:blipFill>
                  <pic:spPr>
                    <a:xfrm>
                      <a:off x="0" y="0"/>
                      <a:ext cx="7518400" cy="9796298"/>
                    </a:xfrm>
                    <a:prstGeom prst="rect">
                      <a:avLst/>
                    </a:prstGeom>
                  </pic:spPr>
                </pic:pic>
              </a:graphicData>
            </a:graphic>
          </wp:inline>
        </w:drawing>
      </w:r>
    </w:p>
    <w:p>
      <w:pPr>
        <w:spacing w:line="15427" w:lineRule="exact"/>
        <w:sectPr>
          <w:pgSz w:w="11840" w:h="15440"/>
          <w:pgMar w:top="1" w:right="0" w:bottom="1" w:left="0" w:header="0" w:footer="0" w:gutter="0"/>
          <w:cols w:space="720" w:num="1"/>
        </w:sectPr>
      </w:pPr>
    </w:p>
    <w:p>
      <w:pPr>
        <w:spacing w:line="15447" w:lineRule="exact"/>
      </w:pPr>
      <w:r>
        <mc:AlternateContent>
          <mc:Choice Requires="wps">
            <w:drawing>
              <wp:anchor distT="0" distB="0" distL="0" distR="0" simplePos="0" relativeHeight="251800576" behindDoc="0" locked="0" layoutInCell="0" allowOverlap="1">
                <wp:simplePos x="0" y="0"/>
                <wp:positionH relativeFrom="page">
                  <wp:posOffset>-1967865</wp:posOffset>
                </wp:positionH>
                <wp:positionV relativeFrom="page">
                  <wp:posOffset>4852670</wp:posOffset>
                </wp:positionV>
                <wp:extent cx="4129405" cy="140970"/>
                <wp:effectExtent l="0" t="0" r="0" b="0"/>
                <wp:wrapNone/>
                <wp:docPr id="284" name="TextBox 284"/>
                <wp:cNvGraphicFramePr/>
                <a:graphic xmlns:a="http://schemas.openxmlformats.org/drawingml/2006/main">
                  <a:graphicData uri="http://schemas.microsoft.com/office/word/2010/wordprocessingShape">
                    <wps:wsp>
                      <wps:cNvSpPr txBox="1"/>
                      <wps:spPr>
                        <a:xfrm rot="16200000">
                          <a:off x="-1967992" y="485286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4" o:spid="_x0000_s1026" o:spt="202" type="#_x0000_t202" style="position:absolute;left:0pt;margin-left:-154.95pt;margin-top:382.1pt;height:11.1pt;width:325.15pt;mso-position-horizontal-relative:page;mso-position-vertical-relative:page;rotation:-5898240f;z-index:251800576;mso-width-relative:page;mso-height-relative:page;" filled="f" stroked="f" coordsize="21600,21600" o:allowincell="f" o:gfxdata="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LaGp3AAAAAwBAAAPAAAAAAAAAAEAIAAAACIAAABkcnMv&#10;ZG93bnJldi54bWxQSwECFAAUAAAACACHTuJA/NO2MzgCAABxBAAADgAAAAAAAAABACAAAAArAQAA&#10;ZHJzL2Uyb0RvYy54bWxQSwUGAAAAAAYABgBZAQAA1Q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43800" cy="9808845"/>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67"/>
                    <a:stretch>
                      <a:fillRect/>
                    </a:stretch>
                  </pic:blipFill>
                  <pic:spPr>
                    <a:xfrm>
                      <a:off x="0" y="0"/>
                      <a:ext cx="7543800" cy="9808998"/>
                    </a:xfrm>
                    <a:prstGeom prst="rect">
                      <a:avLst/>
                    </a:prstGeom>
                  </pic:spPr>
                </pic:pic>
              </a:graphicData>
            </a:graphic>
          </wp:inline>
        </w:drawing>
      </w:r>
    </w:p>
    <w:p>
      <w:pPr>
        <w:spacing w:line="15447" w:lineRule="exact"/>
        <w:sectPr>
          <w:pgSz w:w="11880" w:h="15460"/>
          <w:pgMar w:top="1" w:right="0" w:bottom="1" w:left="0" w:header="0" w:footer="0" w:gutter="0"/>
          <w:cols w:space="720" w:num="1"/>
        </w:sectPr>
      </w:pPr>
    </w:p>
    <w:p>
      <w:pPr>
        <w:spacing w:line="15407" w:lineRule="exact"/>
      </w:pPr>
      <w:r>
        <mc:AlternateContent>
          <mc:Choice Requires="wps">
            <w:drawing>
              <wp:anchor distT="0" distB="0" distL="0" distR="0" simplePos="0" relativeHeight="251802624" behindDoc="0" locked="0" layoutInCell="0" allowOverlap="1">
                <wp:simplePos x="0" y="0"/>
                <wp:positionH relativeFrom="page">
                  <wp:posOffset>-1967865</wp:posOffset>
                </wp:positionH>
                <wp:positionV relativeFrom="page">
                  <wp:posOffset>4839970</wp:posOffset>
                </wp:positionV>
                <wp:extent cx="4129405" cy="140970"/>
                <wp:effectExtent l="0" t="0" r="0" b="0"/>
                <wp:wrapNone/>
                <wp:docPr id="288" name="TextBox 288"/>
                <wp:cNvGraphicFramePr/>
                <a:graphic xmlns:a="http://schemas.openxmlformats.org/drawingml/2006/main">
                  <a:graphicData uri="http://schemas.microsoft.com/office/word/2010/wordprocessingShape">
                    <wps:wsp>
                      <wps:cNvSpPr txBox="1"/>
                      <wps:spPr>
                        <a:xfrm rot="16200000">
                          <a:off x="-1967992" y="484016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8" o:spid="_x0000_s1026" o:spt="202" type="#_x0000_t202" style="position:absolute;left:0pt;margin-left:-154.95pt;margin-top:381.1pt;height:11.1pt;width:325.15pt;mso-position-horizontal-relative:page;mso-position-vertical-relative:page;rotation:-5898240f;z-index:251802624;mso-width-relative:page;mso-height-relative:page;" filled="f" stroked="f" coordsize="21600,21600" o:allowincell="f" o:gfxdata="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lu/+NsAAAAMAQAADwAAAAAAAAABACAAAAAiAAAAZHJzL2Rv&#10;d25yZXYueG1sUEsBAhQAFAAAAAgAh07iQDrxFk43AgAAcQQAAA4AAAAAAAAAAQAgAAAAKgEAAGRy&#10;cy9lMm9Eb2MueG1sUEsFBgAAAAAGAAYAWQEAANMFA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18400" cy="978344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68"/>
                    <a:stretch>
                      <a:fillRect/>
                    </a:stretch>
                  </pic:blipFill>
                  <pic:spPr>
                    <a:xfrm>
                      <a:off x="0" y="0"/>
                      <a:ext cx="7518400" cy="9783598"/>
                    </a:xfrm>
                    <a:prstGeom prst="rect">
                      <a:avLst/>
                    </a:prstGeom>
                  </pic:spPr>
                </pic:pic>
              </a:graphicData>
            </a:graphic>
          </wp:inline>
        </w:drawing>
      </w:r>
    </w:p>
    <w:p>
      <w:pPr>
        <w:spacing w:line="15407" w:lineRule="exact"/>
        <w:sectPr>
          <w:pgSz w:w="11840" w:h="15420"/>
          <w:pgMar w:top="1" w:right="0" w:bottom="1" w:left="0" w:header="0" w:footer="0" w:gutter="0"/>
          <w:cols w:space="720" w:num="1"/>
        </w:sectPr>
      </w:pPr>
    </w:p>
    <w:p>
      <w:pPr>
        <w:spacing w:line="15447" w:lineRule="exact"/>
      </w:pPr>
      <w:r>
        <mc:AlternateContent>
          <mc:Choice Requires="wps">
            <w:drawing>
              <wp:anchor distT="0" distB="0" distL="0" distR="0" simplePos="0" relativeHeight="251803648" behindDoc="0" locked="0" layoutInCell="0" allowOverlap="1">
                <wp:simplePos x="0" y="0"/>
                <wp:positionH relativeFrom="page">
                  <wp:posOffset>-1967865</wp:posOffset>
                </wp:positionH>
                <wp:positionV relativeFrom="page">
                  <wp:posOffset>4852670</wp:posOffset>
                </wp:positionV>
                <wp:extent cx="4129405" cy="140970"/>
                <wp:effectExtent l="0" t="0" r="0" b="0"/>
                <wp:wrapNone/>
                <wp:docPr id="292" name="TextBox 292"/>
                <wp:cNvGraphicFramePr/>
                <a:graphic xmlns:a="http://schemas.openxmlformats.org/drawingml/2006/main">
                  <a:graphicData uri="http://schemas.microsoft.com/office/word/2010/wordprocessingShape">
                    <wps:wsp>
                      <wps:cNvSpPr txBox="1"/>
                      <wps:spPr>
                        <a:xfrm rot="16200000">
                          <a:off x="-1967992" y="485286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2" o:spid="_x0000_s1026" o:spt="202" type="#_x0000_t202" style="position:absolute;left:0pt;margin-left:-154.95pt;margin-top:382.1pt;height:11.1pt;width:325.15pt;mso-position-horizontal-relative:page;mso-position-vertical-relative:page;rotation:-5898240f;z-index:251803648;mso-width-relative:page;mso-height-relative:page;" filled="f" stroked="f" coordsize="21600,21600" o:allowincell="f" o:gfxdata="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wtoancAAAADAEAAA8AAAAAAAAAAQAgAAAAIgAAAGRycy9k&#10;b3ducmV2LnhtbFBLAQIUABQAAAAIAIdO4kBhEVfBNwIAAHEEAAAOAAAAAAAAAAEAIAAAACsBAABk&#10;cnMvZTJvRG9jLnhtbFBLBQYAAAAABgAGAFkBAADUBQ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31100" cy="9808845"/>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69"/>
                    <a:stretch>
                      <a:fillRect/>
                    </a:stretch>
                  </pic:blipFill>
                  <pic:spPr>
                    <a:xfrm>
                      <a:off x="0" y="0"/>
                      <a:ext cx="7531100" cy="9808998"/>
                    </a:xfrm>
                    <a:prstGeom prst="rect">
                      <a:avLst/>
                    </a:prstGeom>
                  </pic:spPr>
                </pic:pic>
              </a:graphicData>
            </a:graphic>
          </wp:inline>
        </w:drawing>
      </w:r>
    </w:p>
    <w:p>
      <w:pPr>
        <w:spacing w:line="15447" w:lineRule="exact"/>
        <w:sectPr>
          <w:pgSz w:w="11860" w:h="15460"/>
          <w:pgMar w:top="1" w:right="0" w:bottom="1" w:left="0" w:header="0" w:footer="0" w:gutter="0"/>
          <w:cols w:space="720" w:num="1"/>
        </w:sectPr>
      </w:pPr>
    </w:p>
    <w:p>
      <w:pPr>
        <w:spacing w:line="15407" w:lineRule="exact"/>
      </w:pPr>
      <w:r>
        <mc:AlternateContent>
          <mc:Choice Requires="wps">
            <w:drawing>
              <wp:anchor distT="0" distB="0" distL="0" distR="0" simplePos="0" relativeHeight="251804672" behindDoc="0" locked="0" layoutInCell="0" allowOverlap="1">
                <wp:simplePos x="0" y="0"/>
                <wp:positionH relativeFrom="page">
                  <wp:posOffset>-1967865</wp:posOffset>
                </wp:positionH>
                <wp:positionV relativeFrom="page">
                  <wp:posOffset>4839970</wp:posOffset>
                </wp:positionV>
                <wp:extent cx="4129405" cy="140970"/>
                <wp:effectExtent l="0" t="0" r="0" b="0"/>
                <wp:wrapNone/>
                <wp:docPr id="296" name="TextBox 296"/>
                <wp:cNvGraphicFramePr/>
                <a:graphic xmlns:a="http://schemas.openxmlformats.org/drawingml/2006/main">
                  <a:graphicData uri="http://schemas.microsoft.com/office/word/2010/wordprocessingShape">
                    <wps:wsp>
                      <wps:cNvSpPr txBox="1"/>
                      <wps:spPr>
                        <a:xfrm rot="16200000">
                          <a:off x="-1967992" y="484016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6" o:spid="_x0000_s1026" o:spt="202" type="#_x0000_t202" style="position:absolute;left:0pt;margin-left:-154.95pt;margin-top:381.1pt;height:11.1pt;width:325.15pt;mso-position-horizontal-relative:page;mso-position-vertical-relative:page;rotation:-5898240f;z-index:251804672;mso-width-relative:page;mso-height-relative:page;" filled="f" stroked="f" coordsize="21600,21600" o:allowincell="f" o:gfxdata="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5bv/jbAAAADAEAAA8AAAAAAAAAAQAgAAAAIgAAAGRycy9k&#10;b3ducmV2LnhtbFBLAQIUABQAAAAIAIdO4kCvHpZ4OAIAAHEEAAAOAAAAAAAAAAEAIAAAACoBAABk&#10;cnMvZTJvRG9jLnhtbFBLBQYAAAAABgAGAFkBAADUBQ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05700" cy="978344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70"/>
                    <a:stretch>
                      <a:fillRect/>
                    </a:stretch>
                  </pic:blipFill>
                  <pic:spPr>
                    <a:xfrm>
                      <a:off x="0" y="0"/>
                      <a:ext cx="7505700" cy="9783598"/>
                    </a:xfrm>
                    <a:prstGeom prst="rect">
                      <a:avLst/>
                    </a:prstGeom>
                  </pic:spPr>
                </pic:pic>
              </a:graphicData>
            </a:graphic>
          </wp:inline>
        </w:drawing>
      </w:r>
    </w:p>
    <w:p>
      <w:pPr>
        <w:spacing w:line="15407" w:lineRule="exact"/>
        <w:sectPr>
          <w:pgSz w:w="11820" w:h="15420"/>
          <w:pgMar w:top="1" w:right="0" w:bottom="1" w:left="0" w:header="0" w:footer="0" w:gutter="0"/>
          <w:cols w:space="720" w:num="1"/>
        </w:sectPr>
      </w:pPr>
    </w:p>
    <w:p>
      <w:pPr>
        <w:spacing w:line="15447" w:lineRule="exact"/>
      </w:pPr>
      <w:r>
        <mc:AlternateContent>
          <mc:Choice Requires="wps">
            <w:drawing>
              <wp:anchor distT="0" distB="0" distL="0" distR="0" simplePos="0" relativeHeight="251805696" behindDoc="0" locked="0" layoutInCell="0" allowOverlap="1">
                <wp:simplePos x="0" y="0"/>
                <wp:positionH relativeFrom="page">
                  <wp:posOffset>-1967865</wp:posOffset>
                </wp:positionH>
                <wp:positionV relativeFrom="page">
                  <wp:posOffset>4852670</wp:posOffset>
                </wp:positionV>
                <wp:extent cx="4129405" cy="140970"/>
                <wp:effectExtent l="0" t="0" r="0" b="0"/>
                <wp:wrapNone/>
                <wp:docPr id="300" name="TextBox 300"/>
                <wp:cNvGraphicFramePr/>
                <a:graphic xmlns:a="http://schemas.openxmlformats.org/drawingml/2006/main">
                  <a:graphicData uri="http://schemas.microsoft.com/office/word/2010/wordprocessingShape">
                    <wps:wsp>
                      <wps:cNvSpPr txBox="1"/>
                      <wps:spPr>
                        <a:xfrm rot="16200000">
                          <a:off x="-1967992" y="485286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0" o:spid="_x0000_s1026" o:spt="202" type="#_x0000_t202" style="position:absolute;left:0pt;margin-left:-154.95pt;margin-top:382.1pt;height:11.1pt;width:325.15pt;mso-position-horizontal-relative:page;mso-position-vertical-relative:page;rotation:-5898240f;z-index:251805696;mso-width-relative:page;mso-height-relative:page;" filled="f" stroked="f" coordsize="21600,21600" o:allowincell="f" o:gfxdata="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LaGp3AAAAAwBAAAPAAAAAAAAAAEAIAAAACIAAABkcnMv&#10;ZG93bnJldi54bWxQSwECFAAUAAAACACHTuJABO2BozgCAABxBAAADgAAAAAAAAABACAAAAArAQAA&#10;ZHJzL2Uyb0RvYy54bWxQSwUGAAAAAAYABgBZAQAA1Q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31100" cy="9808845"/>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71"/>
                    <a:stretch>
                      <a:fillRect/>
                    </a:stretch>
                  </pic:blipFill>
                  <pic:spPr>
                    <a:xfrm>
                      <a:off x="0" y="0"/>
                      <a:ext cx="7531100" cy="9808998"/>
                    </a:xfrm>
                    <a:prstGeom prst="rect">
                      <a:avLst/>
                    </a:prstGeom>
                  </pic:spPr>
                </pic:pic>
              </a:graphicData>
            </a:graphic>
          </wp:inline>
        </w:drawing>
      </w:r>
    </w:p>
    <w:p>
      <w:pPr>
        <w:spacing w:line="15447" w:lineRule="exact"/>
        <w:sectPr>
          <w:pgSz w:w="11860" w:h="15460"/>
          <w:pgMar w:top="1" w:right="0" w:bottom="1" w:left="0" w:header="0" w:footer="0" w:gutter="0"/>
          <w:cols w:space="720" w:num="1"/>
        </w:sectPr>
      </w:pPr>
    </w:p>
    <w:p>
      <w:pPr>
        <w:spacing w:line="15427" w:lineRule="exact"/>
      </w:pPr>
      <w:r>
        <mc:AlternateContent>
          <mc:Choice Requires="wps">
            <w:drawing>
              <wp:anchor distT="0" distB="0" distL="0" distR="0" simplePos="0" relativeHeight="251806720" behindDoc="0" locked="0" layoutInCell="0" allowOverlap="1">
                <wp:simplePos x="0" y="0"/>
                <wp:positionH relativeFrom="page">
                  <wp:posOffset>-1967865</wp:posOffset>
                </wp:positionH>
                <wp:positionV relativeFrom="page">
                  <wp:posOffset>4846320</wp:posOffset>
                </wp:positionV>
                <wp:extent cx="4129405" cy="140970"/>
                <wp:effectExtent l="0" t="0" r="0" b="0"/>
                <wp:wrapNone/>
                <wp:docPr id="304" name="TextBox 304"/>
                <wp:cNvGraphicFramePr/>
                <a:graphic xmlns:a="http://schemas.openxmlformats.org/drawingml/2006/main">
                  <a:graphicData uri="http://schemas.microsoft.com/office/word/2010/wordprocessingShape">
                    <wps:wsp>
                      <wps:cNvSpPr txBox="1"/>
                      <wps:spPr>
                        <a:xfrm rot="16200000">
                          <a:off x="-1967992" y="484651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4" o:spid="_x0000_s1026" o:spt="202" type="#_x0000_t202" style="position:absolute;left:0pt;margin-left:-154.95pt;margin-top:381.6pt;height:11.1pt;width:325.15pt;mso-position-horizontal-relative:page;mso-position-vertical-relative:page;rotation:-5898240f;z-index:251806720;mso-width-relative:page;mso-height-relative:page;" filled="f" stroked="f" coordsize="21600,21600" o:allowincell="f" o:gfxdata="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nVAQ3AAAAAwBAAAPAAAAAAAAAAEAIAAAACIAAABkcnMv&#10;ZG93bnJldi54bWxQSwECFAAUAAAACACHTuJAKbLILDgCAABxBAAADgAAAAAAAAABACAAAAArAQAA&#10;ZHJzL2Uyb0RvYy54bWxQSwUGAAAAAAYABgBZAQAA1Q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31100" cy="9796145"/>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172"/>
                    <a:stretch>
                      <a:fillRect/>
                    </a:stretch>
                  </pic:blipFill>
                  <pic:spPr>
                    <a:xfrm>
                      <a:off x="0" y="0"/>
                      <a:ext cx="7531100" cy="9796298"/>
                    </a:xfrm>
                    <a:prstGeom prst="rect">
                      <a:avLst/>
                    </a:prstGeom>
                  </pic:spPr>
                </pic:pic>
              </a:graphicData>
            </a:graphic>
          </wp:inline>
        </w:drawing>
      </w:r>
    </w:p>
    <w:p>
      <w:pPr>
        <w:spacing w:line="15427" w:lineRule="exact"/>
        <w:sectPr>
          <w:pgSz w:w="11860" w:h="15440"/>
          <w:pgMar w:top="1" w:right="0" w:bottom="1" w:left="0" w:header="0" w:footer="0" w:gutter="0"/>
          <w:cols w:space="720" w:num="1"/>
        </w:sectPr>
      </w:pPr>
    </w:p>
    <w:p>
      <w:pPr>
        <w:spacing w:line="15447" w:lineRule="exact"/>
      </w:pPr>
      <w:r>
        <mc:AlternateContent>
          <mc:Choice Requires="wps">
            <w:drawing>
              <wp:anchor distT="0" distB="0" distL="0" distR="0" simplePos="0" relativeHeight="251807744" behindDoc="0" locked="0" layoutInCell="0" allowOverlap="1">
                <wp:simplePos x="0" y="0"/>
                <wp:positionH relativeFrom="page">
                  <wp:posOffset>-1967865</wp:posOffset>
                </wp:positionH>
                <wp:positionV relativeFrom="page">
                  <wp:posOffset>4852670</wp:posOffset>
                </wp:positionV>
                <wp:extent cx="4129405" cy="140970"/>
                <wp:effectExtent l="0" t="0" r="0" b="0"/>
                <wp:wrapNone/>
                <wp:docPr id="308" name="TextBox 308"/>
                <wp:cNvGraphicFramePr/>
                <a:graphic xmlns:a="http://schemas.openxmlformats.org/drawingml/2006/main">
                  <a:graphicData uri="http://schemas.microsoft.com/office/word/2010/wordprocessingShape">
                    <wps:wsp>
                      <wps:cNvSpPr txBox="1"/>
                      <wps:spPr>
                        <a:xfrm rot="16200000">
                          <a:off x="-1967992" y="485286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8" o:spid="_x0000_s1026" o:spt="202" type="#_x0000_t202" style="position:absolute;left:0pt;margin-left:-154.95pt;margin-top:382.1pt;height:11.1pt;width:325.15pt;mso-position-horizontal-relative:page;mso-position-vertical-relative:page;rotation:-5898240f;z-index:251807744;mso-width-relative:page;mso-height-relative:page;" filled="f" stroked="f" coordsize="21600,21600" o:allowincell="f" o:gfxdata="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LaGp3AAAAAwBAAAPAAAAAAAAAAEAIAAAACIAAABkcnMv&#10;ZG93bnJldi54bWxQSwECFAAUAAAACACHTuJADMDgZzgCAABxBAAADgAAAAAAAAABACAAAAArAQAA&#10;ZHJzL2Uyb0RvYy54bWxQSwUGAAAAAAYABgBZAQAA1Q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43800" cy="980884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73"/>
                    <a:stretch>
                      <a:fillRect/>
                    </a:stretch>
                  </pic:blipFill>
                  <pic:spPr>
                    <a:xfrm>
                      <a:off x="0" y="0"/>
                      <a:ext cx="7543800" cy="9808998"/>
                    </a:xfrm>
                    <a:prstGeom prst="rect">
                      <a:avLst/>
                    </a:prstGeom>
                  </pic:spPr>
                </pic:pic>
              </a:graphicData>
            </a:graphic>
          </wp:inline>
        </w:drawing>
      </w:r>
    </w:p>
    <w:p>
      <w:pPr>
        <w:spacing w:line="15447" w:lineRule="exact"/>
        <w:sectPr>
          <w:pgSz w:w="11880" w:h="15460"/>
          <w:pgMar w:top="1" w:right="0" w:bottom="1" w:left="0" w:header="0" w:footer="0" w:gutter="0"/>
          <w:cols w:space="720" w:num="1"/>
        </w:sectPr>
      </w:pPr>
    </w:p>
    <w:p>
      <w:pPr>
        <w:spacing w:line="15467" w:lineRule="exact"/>
      </w:pPr>
      <w:r>
        <mc:AlternateContent>
          <mc:Choice Requires="wps">
            <w:drawing>
              <wp:anchor distT="0" distB="0" distL="0" distR="0" simplePos="0" relativeHeight="251808768" behindDoc="0" locked="0" layoutInCell="0" allowOverlap="1">
                <wp:simplePos x="0" y="0"/>
                <wp:positionH relativeFrom="page">
                  <wp:posOffset>-1967865</wp:posOffset>
                </wp:positionH>
                <wp:positionV relativeFrom="page">
                  <wp:posOffset>4859020</wp:posOffset>
                </wp:positionV>
                <wp:extent cx="4129405" cy="140970"/>
                <wp:effectExtent l="0" t="0" r="0" b="0"/>
                <wp:wrapNone/>
                <wp:docPr id="312" name="TextBox 312"/>
                <wp:cNvGraphicFramePr/>
                <a:graphic xmlns:a="http://schemas.openxmlformats.org/drawingml/2006/main">
                  <a:graphicData uri="http://schemas.microsoft.com/office/word/2010/wordprocessingShape">
                    <wps:wsp>
                      <wps:cNvSpPr txBox="1"/>
                      <wps:spPr>
                        <a:xfrm rot="16200000">
                          <a:off x="-1967992" y="485921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2" o:spid="_x0000_s1026" o:spt="202" type="#_x0000_t202" style="position:absolute;left:0pt;margin-left:-154.95pt;margin-top:382.6pt;height:11.1pt;width:325.15pt;mso-position-horizontal-relative:page;mso-position-vertical-relative:page;rotation:-5898240f;z-index:251808768;mso-width-relative:page;mso-height-relative:page;" filled="f" stroked="f" coordsize="21600,21600" o:allowincell="f" o:gfxdata="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605B3AAAAAwBAAAPAAAAAAAAAAEAIAAAACIAAABkcnMv&#10;ZG93bnJldi54bWxQSwECFAAUAAAACACHTuJAe80l5TgCAABxBAAADgAAAAAAAAABACAAAAArAQAA&#10;ZHJzL2Uyb0RvYy54bWxQSwUGAAAAAAYABgBZAQAA1Q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9"/>
        </w:rPr>
        <w:drawing>
          <wp:inline distT="0" distB="0" distL="0" distR="0">
            <wp:extent cx="7543800" cy="9821545"/>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74"/>
                    <a:stretch>
                      <a:fillRect/>
                    </a:stretch>
                  </pic:blipFill>
                  <pic:spPr>
                    <a:xfrm>
                      <a:off x="0" y="0"/>
                      <a:ext cx="7543800" cy="9821698"/>
                    </a:xfrm>
                    <a:prstGeom prst="rect">
                      <a:avLst/>
                    </a:prstGeom>
                  </pic:spPr>
                </pic:pic>
              </a:graphicData>
            </a:graphic>
          </wp:inline>
        </w:drawing>
      </w:r>
    </w:p>
    <w:p>
      <w:pPr>
        <w:spacing w:line="15467" w:lineRule="exact"/>
        <w:sectPr>
          <w:pgSz w:w="11880" w:h="15480"/>
          <w:pgMar w:top="1" w:right="0" w:bottom="1" w:left="0" w:header="0" w:footer="0" w:gutter="0"/>
          <w:cols w:space="720" w:num="1"/>
        </w:sectPr>
      </w:pPr>
    </w:p>
    <w:p>
      <w:pPr>
        <w:spacing w:line="15467" w:lineRule="exact"/>
      </w:pPr>
      <w:r>
        <mc:AlternateContent>
          <mc:Choice Requires="wps">
            <w:drawing>
              <wp:anchor distT="0" distB="0" distL="0" distR="0" simplePos="0" relativeHeight="251809792" behindDoc="0" locked="0" layoutInCell="0" allowOverlap="1">
                <wp:simplePos x="0" y="0"/>
                <wp:positionH relativeFrom="page">
                  <wp:posOffset>-1967865</wp:posOffset>
                </wp:positionH>
                <wp:positionV relativeFrom="page">
                  <wp:posOffset>4859020</wp:posOffset>
                </wp:positionV>
                <wp:extent cx="4129405" cy="140970"/>
                <wp:effectExtent l="0" t="0" r="0" b="0"/>
                <wp:wrapNone/>
                <wp:docPr id="316" name="TextBox 316"/>
                <wp:cNvGraphicFramePr/>
                <a:graphic xmlns:a="http://schemas.openxmlformats.org/drawingml/2006/main">
                  <a:graphicData uri="http://schemas.microsoft.com/office/word/2010/wordprocessingShape">
                    <wps:wsp>
                      <wps:cNvSpPr txBox="1"/>
                      <wps:spPr>
                        <a:xfrm rot="16200000">
                          <a:off x="-1967992" y="485921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6" o:spid="_x0000_s1026" o:spt="202" type="#_x0000_t202" style="position:absolute;left:0pt;margin-left:-154.95pt;margin-top:382.6pt;height:11.1pt;width:325.15pt;mso-position-horizontal-relative:page;mso-position-vertical-relative:page;rotation:-5898240f;z-index:251809792;mso-width-relative:page;mso-height-relative:page;" filled="f" stroked="f" coordsize="21600,21600" o:allowincell="f" o:gfxdata="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605B3AAAAAwBAAAPAAAAAAAAAAEAIAAAACIAAABkcnMv&#10;ZG93bnJldi54bWxQSwECFAAUAAAACACHTuJA/1sVhzgCAABxBAAADgAAAAAAAAABACAAAAArAQAA&#10;ZHJzL2Uyb0RvYy54bWxQSwUGAAAAAAYABgBZAQAA1Q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9"/>
        </w:rPr>
        <w:drawing>
          <wp:inline distT="0" distB="0" distL="0" distR="0">
            <wp:extent cx="7543800" cy="982154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175"/>
                    <a:stretch>
                      <a:fillRect/>
                    </a:stretch>
                  </pic:blipFill>
                  <pic:spPr>
                    <a:xfrm>
                      <a:off x="0" y="0"/>
                      <a:ext cx="7543800" cy="9821698"/>
                    </a:xfrm>
                    <a:prstGeom prst="rect">
                      <a:avLst/>
                    </a:prstGeom>
                  </pic:spPr>
                </pic:pic>
              </a:graphicData>
            </a:graphic>
          </wp:inline>
        </w:drawing>
      </w:r>
    </w:p>
    <w:p>
      <w:pPr>
        <w:spacing w:line="15467" w:lineRule="exact"/>
        <w:sectPr>
          <w:pgSz w:w="11880" w:h="15480"/>
          <w:pgMar w:top="1" w:right="0" w:bottom="1" w:left="0" w:header="0" w:footer="0" w:gutter="0"/>
          <w:cols w:space="720" w:num="1"/>
        </w:sectPr>
      </w:pPr>
    </w:p>
    <w:p>
      <w:pPr>
        <w:spacing w:line="15427" w:lineRule="exact"/>
      </w:pPr>
      <w:r>
        <mc:AlternateContent>
          <mc:Choice Requires="wps">
            <w:drawing>
              <wp:anchor distT="0" distB="0" distL="0" distR="0" simplePos="0" relativeHeight="251810816" behindDoc="0" locked="0" layoutInCell="0" allowOverlap="1">
                <wp:simplePos x="0" y="0"/>
                <wp:positionH relativeFrom="page">
                  <wp:posOffset>-1967865</wp:posOffset>
                </wp:positionH>
                <wp:positionV relativeFrom="page">
                  <wp:posOffset>4846320</wp:posOffset>
                </wp:positionV>
                <wp:extent cx="4129405" cy="140970"/>
                <wp:effectExtent l="0" t="0" r="0" b="0"/>
                <wp:wrapNone/>
                <wp:docPr id="320" name="TextBox 320"/>
                <wp:cNvGraphicFramePr/>
                <a:graphic xmlns:a="http://schemas.openxmlformats.org/drawingml/2006/main">
                  <a:graphicData uri="http://schemas.microsoft.com/office/word/2010/wordprocessingShape">
                    <wps:wsp>
                      <wps:cNvSpPr txBox="1"/>
                      <wps:spPr>
                        <a:xfrm rot="16200000">
                          <a:off x="-1967992" y="484651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0" o:spid="_x0000_s1026" o:spt="202" type="#_x0000_t202" style="position:absolute;left:0pt;margin-left:-154.95pt;margin-top:381.6pt;height:11.1pt;width:325.15pt;mso-position-horizontal-relative:page;mso-position-vertical-relative:page;rotation:-5898240f;z-index:251810816;mso-width-relative:page;mso-height-relative:page;" filled="f" stroked="f" coordsize="21600,21600" o:allowincell="f" o:gfxdata="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qdUBDcAAAADAEAAA8AAAAAAAAAAQAgAAAAIgAAAGRycy9k&#10;b3ducmV2LnhtbFBLAQIUABQAAAAIAIdO4kBaHBvWNwIAAHEEAAAOAAAAAAAAAAEAIAAAACsBAABk&#10;cnMvZTJvRG9jLnhtbFBLBQYAAAAABgAGAFkBAADUBQ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18400" cy="9796145"/>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76"/>
                    <a:stretch>
                      <a:fillRect/>
                    </a:stretch>
                  </pic:blipFill>
                  <pic:spPr>
                    <a:xfrm>
                      <a:off x="0" y="0"/>
                      <a:ext cx="7518400" cy="9796298"/>
                    </a:xfrm>
                    <a:prstGeom prst="rect">
                      <a:avLst/>
                    </a:prstGeom>
                  </pic:spPr>
                </pic:pic>
              </a:graphicData>
            </a:graphic>
          </wp:inline>
        </w:drawing>
      </w:r>
    </w:p>
    <w:p>
      <w:pPr>
        <w:spacing w:line="15427" w:lineRule="exact"/>
        <w:sectPr>
          <w:pgSz w:w="11840" w:h="15440"/>
          <w:pgMar w:top="1" w:right="0" w:bottom="1" w:left="0" w:header="0" w:footer="0" w:gutter="0"/>
          <w:cols w:space="720" w:num="1"/>
        </w:sectPr>
      </w:pPr>
    </w:p>
    <w:p>
      <w:pPr>
        <w:spacing w:line="15447" w:lineRule="exact"/>
      </w:pPr>
      <w:r>
        <mc:AlternateContent>
          <mc:Choice Requires="wps">
            <w:drawing>
              <wp:anchor distT="0" distB="0" distL="0" distR="0" simplePos="0" relativeHeight="251811840" behindDoc="0" locked="0" layoutInCell="0" allowOverlap="1">
                <wp:simplePos x="0" y="0"/>
                <wp:positionH relativeFrom="page">
                  <wp:posOffset>-1967865</wp:posOffset>
                </wp:positionH>
                <wp:positionV relativeFrom="page">
                  <wp:posOffset>4852670</wp:posOffset>
                </wp:positionV>
                <wp:extent cx="4129405" cy="140970"/>
                <wp:effectExtent l="0" t="0" r="0" b="0"/>
                <wp:wrapNone/>
                <wp:docPr id="324" name="TextBox 324"/>
                <wp:cNvGraphicFramePr/>
                <a:graphic xmlns:a="http://schemas.openxmlformats.org/drawingml/2006/main">
                  <a:graphicData uri="http://schemas.microsoft.com/office/word/2010/wordprocessingShape">
                    <wps:wsp>
                      <wps:cNvSpPr txBox="1"/>
                      <wps:spPr>
                        <a:xfrm rot="16200000">
                          <a:off x="-1967992" y="485286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4" o:spid="_x0000_s1026" o:spt="202" type="#_x0000_t202" style="position:absolute;left:0pt;margin-left:-154.95pt;margin-top:382.1pt;height:11.1pt;width:325.15pt;mso-position-horizontal-relative:page;mso-position-vertical-relative:page;rotation:-5898240f;z-index:251811840;mso-width-relative:page;mso-height-relative:page;" filled="f" stroked="f" coordsize="21600,21600" o:allowincell="f" o:gfxdata="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C2hqdwAAAAMAQAADwAAAAAAAAABACAAAAAiAAAAZHJz&#10;L2Rvd25yZXYueG1sUEsBAhQAFAAAAAgAh07iQHdDUlk5AgAAcQQAAA4AAAAAAAAAAQAgAAAAKwEA&#10;AGRycy9lMm9Eb2MueG1sUEsFBgAAAAAGAAYAWQEAANYFA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43800" cy="980884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77"/>
                    <a:stretch>
                      <a:fillRect/>
                    </a:stretch>
                  </pic:blipFill>
                  <pic:spPr>
                    <a:xfrm>
                      <a:off x="0" y="0"/>
                      <a:ext cx="7543800" cy="9808998"/>
                    </a:xfrm>
                    <a:prstGeom prst="rect">
                      <a:avLst/>
                    </a:prstGeom>
                  </pic:spPr>
                </pic:pic>
              </a:graphicData>
            </a:graphic>
          </wp:inline>
        </w:drawing>
      </w:r>
    </w:p>
    <w:p>
      <w:pPr>
        <w:spacing w:line="15447" w:lineRule="exact"/>
        <w:sectPr>
          <w:pgSz w:w="11880" w:h="15460"/>
          <w:pgMar w:top="1" w:right="0" w:bottom="1" w:left="0" w:header="0" w:footer="0" w:gutter="0"/>
          <w:cols w:space="720" w:num="1"/>
        </w:sectPr>
      </w:pPr>
    </w:p>
    <w:p>
      <w:pPr>
        <w:spacing w:line="15407" w:lineRule="exact"/>
      </w:pPr>
      <w:r>
        <mc:AlternateContent>
          <mc:Choice Requires="wps">
            <w:drawing>
              <wp:anchor distT="0" distB="0" distL="0" distR="0" simplePos="0" relativeHeight="251812864" behindDoc="0" locked="0" layoutInCell="0" allowOverlap="1">
                <wp:simplePos x="0" y="0"/>
                <wp:positionH relativeFrom="page">
                  <wp:posOffset>-1967865</wp:posOffset>
                </wp:positionH>
                <wp:positionV relativeFrom="page">
                  <wp:posOffset>4839970</wp:posOffset>
                </wp:positionV>
                <wp:extent cx="4129405" cy="140970"/>
                <wp:effectExtent l="0" t="0" r="0" b="0"/>
                <wp:wrapNone/>
                <wp:docPr id="328" name="TextBox 328"/>
                <wp:cNvGraphicFramePr/>
                <a:graphic xmlns:a="http://schemas.openxmlformats.org/drawingml/2006/main">
                  <a:graphicData uri="http://schemas.microsoft.com/office/word/2010/wordprocessingShape">
                    <wps:wsp>
                      <wps:cNvSpPr txBox="1"/>
                      <wps:spPr>
                        <a:xfrm rot="16200000">
                          <a:off x="-1967992" y="484016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8" o:spid="_x0000_s1026" o:spt="202" type="#_x0000_t202" style="position:absolute;left:0pt;margin-left:-154.95pt;margin-top:381.1pt;height:11.1pt;width:325.15pt;mso-position-horizontal-relative:page;mso-position-vertical-relative:page;rotation:-5898240f;z-index:251812864;mso-width-relative:page;mso-height-relative:page;" filled="f" stroked="f" coordsize="21600,21600" o:allowincell="f" o:gfxdata="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5bv/jbAAAADAEAAA8AAAAAAAAAAQAgAAAAIgAAAGRycy9k&#10;b3ducmV2LnhtbFBLAQIUABQAAAAIAIdO4kCxYfIkOAIAAHEEAAAOAAAAAAAAAAEAIAAAACoBAABk&#10;cnMvZTJvRG9jLnhtbFBLBQYAAAAABgAGAFkBAADUBQ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18400" cy="978344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78"/>
                    <a:stretch>
                      <a:fillRect/>
                    </a:stretch>
                  </pic:blipFill>
                  <pic:spPr>
                    <a:xfrm>
                      <a:off x="0" y="0"/>
                      <a:ext cx="7518400" cy="9783598"/>
                    </a:xfrm>
                    <a:prstGeom prst="rect">
                      <a:avLst/>
                    </a:prstGeom>
                  </pic:spPr>
                </pic:pic>
              </a:graphicData>
            </a:graphic>
          </wp:inline>
        </w:drawing>
      </w:r>
    </w:p>
    <w:p>
      <w:pPr>
        <w:spacing w:line="15407" w:lineRule="exact"/>
        <w:sectPr>
          <w:pgSz w:w="11840" w:h="15420"/>
          <w:pgMar w:top="1" w:right="0" w:bottom="1" w:left="0" w:header="0" w:footer="0" w:gutter="0"/>
          <w:cols w:space="720" w:num="1"/>
        </w:sectPr>
      </w:pPr>
    </w:p>
    <w:p>
      <w:pPr>
        <w:spacing w:line="15427" w:lineRule="exact"/>
      </w:pPr>
      <w:r>
        <mc:AlternateContent>
          <mc:Choice Requires="wps">
            <w:drawing>
              <wp:anchor distT="0" distB="0" distL="0" distR="0" simplePos="0" relativeHeight="251813888" behindDoc="0" locked="0" layoutInCell="0" allowOverlap="1">
                <wp:simplePos x="0" y="0"/>
                <wp:positionH relativeFrom="page">
                  <wp:posOffset>-1967865</wp:posOffset>
                </wp:positionH>
                <wp:positionV relativeFrom="page">
                  <wp:posOffset>4846320</wp:posOffset>
                </wp:positionV>
                <wp:extent cx="4129405" cy="140970"/>
                <wp:effectExtent l="0" t="0" r="0" b="0"/>
                <wp:wrapNone/>
                <wp:docPr id="332" name="TextBox 332"/>
                <wp:cNvGraphicFramePr/>
                <a:graphic xmlns:a="http://schemas.openxmlformats.org/drawingml/2006/main">
                  <a:graphicData uri="http://schemas.microsoft.com/office/word/2010/wordprocessingShape">
                    <wps:wsp>
                      <wps:cNvSpPr txBox="1"/>
                      <wps:spPr>
                        <a:xfrm rot="16200000">
                          <a:off x="-1967992" y="484651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2" o:spid="_x0000_s1026" o:spt="202" type="#_x0000_t202" style="position:absolute;left:0pt;margin-left:-154.95pt;margin-top:381.6pt;height:11.1pt;width:325.15pt;mso-position-horizontal-relative:page;mso-position-vertical-relative:page;rotation:-5898240f;z-index:251813888;mso-width-relative:page;mso-height-relative:page;" filled="f" stroked="f" coordsize="21600,21600" o:allowincell="f" o:gfxdata="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nVAQ3AAAAAwBAAAPAAAAAAAAAAEAIAAAACIAAABkcnMv&#10;ZG93bnJldi54bWxQSwECFAAUAAAACACHTuJAQ0jKRjgCAABxBAAADgAAAAAAAAABACAAAAArAQAA&#10;ZHJzL2Uyb0RvYy54bWxQSwUGAAAAAAYABgBZAQAA1QU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31100" cy="9796145"/>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79"/>
                    <a:stretch>
                      <a:fillRect/>
                    </a:stretch>
                  </pic:blipFill>
                  <pic:spPr>
                    <a:xfrm>
                      <a:off x="0" y="0"/>
                      <a:ext cx="7531100" cy="9796298"/>
                    </a:xfrm>
                    <a:prstGeom prst="rect">
                      <a:avLst/>
                    </a:prstGeom>
                  </pic:spPr>
                </pic:pic>
              </a:graphicData>
            </a:graphic>
          </wp:inline>
        </w:drawing>
      </w:r>
    </w:p>
    <w:p>
      <w:pPr>
        <w:spacing w:line="15427" w:lineRule="exact"/>
        <w:sectPr>
          <w:pgSz w:w="11860" w:h="15440"/>
          <w:pgMar w:top="1" w:right="0" w:bottom="1" w:left="0" w:header="0" w:footer="0" w:gutter="0"/>
          <w:cols w:space="720" w:num="1"/>
        </w:sectPr>
      </w:pPr>
    </w:p>
    <w:p>
      <w:pPr>
        <w:spacing w:line="15427" w:lineRule="exact"/>
      </w:pPr>
      <w:r>
        <mc:AlternateContent>
          <mc:Choice Requires="wps">
            <w:drawing>
              <wp:anchor distT="0" distB="0" distL="0" distR="0" simplePos="0" relativeHeight="251814912" behindDoc="0" locked="0" layoutInCell="0" allowOverlap="1">
                <wp:simplePos x="0" y="0"/>
                <wp:positionH relativeFrom="page">
                  <wp:posOffset>-1967865</wp:posOffset>
                </wp:positionH>
                <wp:positionV relativeFrom="page">
                  <wp:posOffset>4846320</wp:posOffset>
                </wp:positionV>
                <wp:extent cx="4129405" cy="140970"/>
                <wp:effectExtent l="0" t="0" r="0" b="0"/>
                <wp:wrapNone/>
                <wp:docPr id="336" name="TextBox 336"/>
                <wp:cNvGraphicFramePr/>
                <a:graphic xmlns:a="http://schemas.openxmlformats.org/drawingml/2006/main">
                  <a:graphicData uri="http://schemas.microsoft.com/office/word/2010/wordprocessingShape">
                    <wps:wsp>
                      <wps:cNvSpPr txBox="1"/>
                      <wps:spPr>
                        <a:xfrm rot="16200000">
                          <a:off x="-1967992" y="4846511"/>
                          <a:ext cx="4129404" cy="1409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6" o:spid="_x0000_s1026" o:spt="202" type="#_x0000_t202" style="position:absolute;left:0pt;margin-left:-154.95pt;margin-top:381.6pt;height:11.1pt;width:325.15pt;mso-position-horizontal-relative:page;mso-position-vertical-relative:page;rotation:-5898240f;z-index:251814912;mso-width-relative:page;mso-height-relative:page;" filled="f" stroked="f" coordsize="21600,21600" o:allowincell="f" o:gfxdata="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p1QENwAAAAMAQAADwAAAAAAAAABACAAAAAiAAAAZHJz&#10;L2Rvd25yZXYueG1sUEsBAhQAFAAAAAgAh07iQMfe+iQ5AgAAcQQAAA4AAAAAAAAAAQAgAAAAKwEA&#10;AGRycy9lMm9Eb2MueG1sUEsFBgAAAAAGAAYAWQEAANYFAAAAAA==&#10;">
                <v:fill on="f" focussize="0,0"/>
                <v:stroke on="f" weight="0pt"/>
                <v:imagedata o:title=""/>
                <o:lock v:ext="edit" aspectratio="f"/>
                <v:textbox inset="0mm,0mm,0mm,0mm">
                  <w:txbxContent>
                    <w:p>
                      <w:pPr>
                        <w:spacing w:before="19" w:line="190"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Downloaded by</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[Swinburne University of</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Technology] at 08:35 26 Augus</w:t>
                      </w:r>
                      <w:r>
                        <w:rPr>
                          <w:rFonts w:ascii="Times New Roman" w:hAnsi="Times New Roman" w:eastAsia="Times New Roman" w:cs="Times New Roman"/>
                          <w:spacing w:val="-1"/>
                          <w:sz w:val="20"/>
                          <w:szCs w:val="20"/>
                        </w:rPr>
                        <w:t>t 2014</w:t>
                      </w:r>
                    </w:p>
                  </w:txbxContent>
                </v:textbox>
              </v:shape>
            </w:pict>
          </mc:Fallback>
        </mc:AlternateContent>
      </w:r>
      <w:r>
        <w:rPr>
          <w:position w:val="-308"/>
        </w:rPr>
        <w:drawing>
          <wp:inline distT="0" distB="0" distL="0" distR="0">
            <wp:extent cx="7531100" cy="979614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80"/>
                    <a:stretch>
                      <a:fillRect/>
                    </a:stretch>
                  </pic:blipFill>
                  <pic:spPr>
                    <a:xfrm>
                      <a:off x="0" y="0"/>
                      <a:ext cx="7531100" cy="9796298"/>
                    </a:xfrm>
                    <a:prstGeom prst="rect">
                      <a:avLst/>
                    </a:prstGeom>
                  </pic:spPr>
                </pic:pic>
              </a:graphicData>
            </a:graphic>
          </wp:inline>
        </w:drawing>
      </w:r>
    </w:p>
    <w:p>
      <w:pPr>
        <w:spacing w:line="15427" w:lineRule="exact"/>
        <w:sectPr>
          <w:pgSz w:w="11860" w:h="15440"/>
          <w:pgMar w:top="1" w:right="0" w:bottom="1" w:left="0" w:header="0" w:footer="0" w:gutter="0"/>
          <w:cols w:space="720" w:num="1"/>
        </w:sectPr>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2"/>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spacing w:before="1"/>
      </w:pPr>
    </w:p>
    <w:p>
      <w:pPr>
        <w:rPr>
          <w:rFonts w:ascii="Arial"/>
          <w:sz w:val="21"/>
        </w:rPr>
      </w:pPr>
    </w:p>
    <w:sectPr>
      <w:pgSz w:w="11906" w:h="16839"/>
      <w:pgMar w:top="400" w:right="1763" w:bottom="400" w:left="1767"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MS Gothic">
    <w:panose1 w:val="020B0609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61" o:spid="_x0000_s2061" o:spt="202" type="#_x0000_t202" style="position:absolute;left:0pt;margin-left:389.3pt;margin-top:-0.95pt;height:11.7pt;width:87.2pt;z-index:251672576;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62" o:spid="_x0000_s2062" o:spt="202" type="#_x0000_t202" style="position:absolute;left:0pt;margin-left:389.3pt;margin-top:-0.95pt;height:11.7pt;width:87.2pt;z-index:251674624;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63" o:spid="_x0000_s2063" o:spt="202" type="#_x0000_t202" style="position:absolute;left:0pt;margin-left:389.3pt;margin-top:-0.95pt;height:11.7pt;width:87.2pt;z-index:251675648;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64" o:spid="_x0000_s2064" o:spt="202" type="#_x0000_t202" style="position:absolute;left:0pt;margin-left:389.3pt;margin-top:-0.95pt;height:11.7pt;width:87.2pt;z-index:25167667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65" o:spid="_x0000_s2065" o:spt="202" type="#_x0000_t202" style="position:absolute;left:0pt;margin-left:389.3pt;margin-top:-0.95pt;height:11.7pt;width:87.2pt;z-index:251677696;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66" o:spid="_x0000_s2066" o:spt="202" type="#_x0000_t202" style="position:absolute;left:0pt;margin-left:389.3pt;margin-top:-0.95pt;height:11.7pt;width:87.2pt;z-index:251678720;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67" o:spid="_x0000_s2067" o:spt="202" type="#_x0000_t202" style="position:absolute;left:0pt;margin-left:389.3pt;margin-top:-0.95pt;height:11.7pt;width:87.2pt;z-index:251679744;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68" o:spid="_x0000_s2068" o:spt="202" type="#_x0000_t202" style="position:absolute;left:0pt;margin-left:389.3pt;margin-top:-0.95pt;height:11.7pt;width:87.2pt;z-index:251680768;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69" o:spid="_x0000_s2069" o:spt="202" type="#_x0000_t202" style="position:absolute;left:0pt;margin-left:389.3pt;margin-top:-0.95pt;height:11.7pt;width:87.2pt;z-index:251682816;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71" o:spid="_x0000_s2071" o:spt="202" type="#_x0000_t202" style="position:absolute;left:0pt;margin-left:389.3pt;margin-top:-0.95pt;height:11.7pt;width:87.2pt;z-index:251685888;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49" o:spid="_x0000_s2049" o:spt="202" type="#_x0000_t202" style="position:absolute;left:0pt;margin-left:389.3pt;margin-top:-0.95pt;height:11.7pt;width:87.2pt;z-index:251660288;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9"/>
        <w:sz w:val="19"/>
        <w:szCs w:val="19"/>
      </w:rPr>
      <w:t>(c)1994-2023</w:t>
    </w:r>
    <w:r>
      <w:rPr>
        <w:rFonts w:ascii="Arial" w:hAnsi="Arial" w:eastAsia="Arial" w:cs="Arial"/>
        <w:color w:val="999999"/>
        <w:spacing w:val="30"/>
        <w:sz w:val="19"/>
        <w:szCs w:val="19"/>
      </w:rPr>
      <w:t xml:space="preserve"> </w:t>
    </w:r>
    <w:r>
      <w:rPr>
        <w:rFonts w:ascii="Arial" w:hAnsi="Arial" w:eastAsia="Arial" w:cs="Arial"/>
        <w:color w:val="999999"/>
        <w:sz w:val="19"/>
        <w:szCs w:val="19"/>
      </w:rPr>
      <w:t>china</w:t>
    </w:r>
    <w:r>
      <w:rPr>
        <w:rFonts w:ascii="Arial" w:hAnsi="Arial" w:eastAsia="Arial" w:cs="Arial"/>
        <w:color w:val="999999"/>
        <w:spacing w:val="9"/>
        <w:sz w:val="19"/>
        <w:szCs w:val="19"/>
      </w:rPr>
      <w:t xml:space="preserve"> </w:t>
    </w:r>
    <w:r>
      <w:rPr>
        <w:rFonts w:ascii="Arial" w:hAnsi="Arial" w:eastAsia="Arial" w:cs="Arial"/>
        <w:color w:val="999999"/>
        <w:sz w:val="19"/>
        <w:szCs w:val="19"/>
      </w:rPr>
      <w:t>Academic</w:t>
    </w:r>
    <w:r>
      <w:rPr>
        <w:rFonts w:ascii="Arial" w:hAnsi="Arial" w:eastAsia="Arial" w:cs="Arial"/>
        <w:color w:val="999999"/>
        <w:spacing w:val="9"/>
        <w:sz w:val="19"/>
        <w:szCs w:val="19"/>
      </w:rPr>
      <w:t xml:space="preserve"> </w:t>
    </w:r>
    <w:r>
      <w:rPr>
        <w:rFonts w:ascii="Arial" w:hAnsi="Arial" w:eastAsia="Arial" w:cs="Arial"/>
        <w:color w:val="999999"/>
        <w:sz w:val="19"/>
        <w:szCs w:val="19"/>
      </w:rPr>
      <w:t>Journal</w:t>
    </w:r>
    <w:r>
      <w:rPr>
        <w:rFonts w:ascii="Arial" w:hAnsi="Arial" w:eastAsia="Arial" w:cs="Arial"/>
        <w:color w:val="999999"/>
        <w:spacing w:val="9"/>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9"/>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9"/>
        <w:sz w:val="19"/>
        <w:szCs w:val="19"/>
      </w:rPr>
      <w:t xml:space="preserve"> </w:t>
    </w:r>
    <w:r>
      <w:rPr>
        <w:rFonts w:ascii="Arial" w:hAnsi="Arial" w:eastAsia="Arial" w:cs="Arial"/>
        <w:color w:val="999999"/>
        <w:sz w:val="19"/>
        <w:szCs w:val="19"/>
      </w:rPr>
      <w:t>House</w:t>
    </w:r>
    <w:r>
      <w:rPr>
        <w:rFonts w:ascii="Arial" w:hAnsi="Arial" w:eastAsia="Arial" w:cs="Arial"/>
        <w:color w:val="999999"/>
        <w:spacing w:val="9"/>
        <w:sz w:val="19"/>
        <w:szCs w:val="19"/>
      </w:rPr>
      <w:t xml:space="preserve">. </w:t>
    </w:r>
    <w:r>
      <w:rPr>
        <w:rFonts w:ascii="Arial" w:hAnsi="Arial" w:eastAsia="Arial" w:cs="Arial"/>
        <w:color w:val="999999"/>
        <w:sz w:val="19"/>
        <w:szCs w:val="19"/>
      </w:rPr>
      <w:t>Al</w:t>
    </w:r>
    <w:r>
      <w:rPr>
        <w:rFonts w:ascii="Arial" w:hAnsi="Arial" w:eastAsia="Arial" w:cs="Arial"/>
        <w:color w:val="999999"/>
        <w:spacing w:val="9"/>
        <w:sz w:val="19"/>
        <w:szCs w:val="19"/>
      </w:rPr>
      <w:t xml:space="preserve">1 </w:t>
    </w:r>
    <w:r>
      <w:rPr>
        <w:rFonts w:ascii="Arial" w:hAnsi="Arial" w:eastAsia="Arial" w:cs="Arial"/>
        <w:color w:val="999999"/>
        <w:sz w:val="19"/>
        <w:szCs w:val="19"/>
      </w:rPr>
      <w:t>rights</w:t>
    </w:r>
    <w:r>
      <w:rPr>
        <w:rFonts w:ascii="Arial" w:hAnsi="Arial" w:eastAsia="Arial" w:cs="Arial"/>
        <w:color w:val="999999"/>
        <w:spacing w:val="9"/>
        <w:sz w:val="19"/>
        <w:szCs w:val="19"/>
      </w:rPr>
      <w:t xml:space="preserve"> </w:t>
    </w:r>
    <w:r>
      <w:rPr>
        <w:rFonts w:ascii="Arial" w:hAnsi="Arial" w:eastAsia="Arial" w:cs="Arial"/>
        <w:color w:val="999999"/>
        <w:sz w:val="19"/>
        <w:szCs w:val="19"/>
      </w:rPr>
      <w:t>reserved</w:t>
    </w:r>
    <w:r>
      <w:rPr>
        <w:rFonts w:ascii="Arial" w:hAnsi="Arial" w:eastAsia="Arial" w:cs="Arial"/>
        <w:color w:val="999999"/>
        <w:spacing w:val="9"/>
        <w:sz w:val="19"/>
        <w:szCs w:val="19"/>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74" o:spid="_x0000_s2074" o:spt="202" type="#_x0000_t202" style="position:absolute;left:0pt;margin-left:389.3pt;margin-top:-0.95pt;height:11.7pt;width:87.2pt;z-index:251689984;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76" o:spid="_x0000_s2076" o:spt="202" type="#_x0000_t202" style="position:absolute;left:0pt;margin-left:389.3pt;margin-top:-0.95pt;height:11.7pt;width:87.2pt;z-index:25169203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78" o:spid="_x0000_s2078" o:spt="202" type="#_x0000_t202" style="position:absolute;left:0pt;margin-left:389.3pt;margin-top:-0.95pt;height:11.7pt;width:87.2pt;z-index:251694080;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80" o:spid="_x0000_s2080" o:spt="202" type="#_x0000_t202" style="position:absolute;left:0pt;margin-left:389.3pt;margin-top:-0.95pt;height:11.7pt;width:87.2pt;z-index:251696128;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rPr>
        <w:rFonts w:ascii="Arial" w:hAnsi="Arial" w:eastAsia="Arial" w:cs="Arial"/>
        <w:color w:val="B2B2B2"/>
        <w:spacing w:val="13"/>
        <w:sz w:val="19"/>
        <w:szCs w:val="19"/>
      </w:rPr>
      <w:t xml:space="preserve">(c)1994-2022 </w:t>
    </w:r>
    <w:r>
      <w:rPr>
        <w:rFonts w:ascii="Arial" w:hAnsi="Arial" w:eastAsia="Arial" w:cs="Arial"/>
        <w:color w:val="B2B2B2"/>
        <w:sz w:val="19"/>
        <w:szCs w:val="19"/>
      </w:rPr>
      <w:t>china</w:t>
    </w:r>
    <w:r>
      <w:rPr>
        <w:rFonts w:ascii="Arial" w:hAnsi="Arial" w:eastAsia="Arial" w:cs="Arial"/>
        <w:color w:val="B2B2B2"/>
        <w:spacing w:val="13"/>
        <w:sz w:val="19"/>
        <w:szCs w:val="19"/>
      </w:rPr>
      <w:t xml:space="preserve"> </w:t>
    </w:r>
    <w:r>
      <w:rPr>
        <w:rFonts w:ascii="Arial" w:hAnsi="Arial" w:eastAsia="Arial" w:cs="Arial"/>
        <w:color w:val="B2B2B2"/>
        <w:sz w:val="19"/>
        <w:szCs w:val="19"/>
      </w:rPr>
      <w:t>Academic</w:t>
    </w:r>
    <w:r>
      <w:rPr>
        <w:rFonts w:ascii="Arial" w:hAnsi="Arial" w:eastAsia="Arial" w:cs="Arial"/>
        <w:color w:val="B2B2B2"/>
        <w:spacing w:val="13"/>
        <w:sz w:val="19"/>
        <w:szCs w:val="19"/>
      </w:rPr>
      <w:t xml:space="preserve"> </w:t>
    </w:r>
    <w:r>
      <w:rPr>
        <w:rFonts w:ascii="Arial" w:hAnsi="Arial" w:eastAsia="Arial" w:cs="Arial"/>
        <w:color w:val="B2B2B2"/>
        <w:sz w:val="19"/>
        <w:szCs w:val="19"/>
      </w:rPr>
      <w:t>Journal</w:t>
    </w:r>
    <w:r>
      <w:rPr>
        <w:rFonts w:ascii="Arial" w:hAnsi="Arial" w:eastAsia="Arial" w:cs="Arial"/>
        <w:color w:val="B2B2B2"/>
        <w:spacing w:val="13"/>
        <w:sz w:val="19"/>
        <w:szCs w:val="19"/>
      </w:rPr>
      <w:t xml:space="preserve"> </w:t>
    </w:r>
    <w:r>
      <w:rPr>
        <w:rFonts w:ascii="Arial" w:hAnsi="Arial" w:eastAsia="Arial" w:cs="Arial"/>
        <w:color w:val="B2B2B2"/>
        <w:sz w:val="19"/>
        <w:szCs w:val="19"/>
      </w:rPr>
      <w:t>Electronic</w:t>
    </w:r>
    <w:r>
      <w:rPr>
        <w:rFonts w:ascii="Arial" w:hAnsi="Arial" w:eastAsia="Arial" w:cs="Arial"/>
        <w:color w:val="B2B2B2"/>
        <w:spacing w:val="13"/>
        <w:sz w:val="19"/>
        <w:szCs w:val="19"/>
      </w:rPr>
      <w:t xml:space="preserve"> </w:t>
    </w:r>
    <w:r>
      <w:rPr>
        <w:rFonts w:ascii="Arial" w:hAnsi="Arial" w:eastAsia="Arial" w:cs="Arial"/>
        <w:color w:val="B2B2B2"/>
        <w:sz w:val="19"/>
        <w:szCs w:val="19"/>
      </w:rPr>
      <w:t>publishing</w:t>
    </w:r>
    <w:r>
      <w:rPr>
        <w:rFonts w:ascii="Arial" w:hAnsi="Arial" w:eastAsia="Arial" w:cs="Arial"/>
        <w:color w:val="B2B2B2"/>
        <w:spacing w:val="13"/>
        <w:sz w:val="19"/>
        <w:szCs w:val="19"/>
      </w:rPr>
      <w:t xml:space="preserve"> </w:t>
    </w:r>
    <w:r>
      <w:rPr>
        <w:rFonts w:ascii="Arial" w:hAnsi="Arial" w:eastAsia="Arial" w:cs="Arial"/>
        <w:color w:val="B2B2B2"/>
        <w:sz w:val="19"/>
        <w:szCs w:val="19"/>
      </w:rPr>
      <w:t>House</w:t>
    </w:r>
    <w:r>
      <w:rPr>
        <w:rFonts w:ascii="Arial" w:hAnsi="Arial" w:eastAsia="Arial" w:cs="Arial"/>
        <w:color w:val="B2B2B2"/>
        <w:spacing w:val="13"/>
        <w:sz w:val="19"/>
        <w:szCs w:val="19"/>
      </w:rPr>
      <w:t xml:space="preserve">. </w:t>
    </w:r>
    <w:r>
      <w:rPr>
        <w:rFonts w:ascii="Arial" w:hAnsi="Arial" w:eastAsia="Arial" w:cs="Arial"/>
        <w:color w:val="B2B2B2"/>
        <w:sz w:val="19"/>
        <w:szCs w:val="19"/>
      </w:rPr>
      <w:t>All</w:t>
    </w:r>
    <w:r>
      <w:rPr>
        <w:rFonts w:ascii="Arial" w:hAnsi="Arial" w:eastAsia="Arial" w:cs="Arial"/>
        <w:color w:val="B2B2B2"/>
        <w:spacing w:val="13"/>
        <w:sz w:val="19"/>
        <w:szCs w:val="19"/>
      </w:rPr>
      <w:t xml:space="preserve"> </w:t>
    </w:r>
    <w:r>
      <w:rPr>
        <w:rFonts w:ascii="Arial" w:hAnsi="Arial" w:eastAsia="Arial" w:cs="Arial"/>
        <w:color w:val="B2B2B2"/>
        <w:sz w:val="19"/>
        <w:szCs w:val="19"/>
      </w:rPr>
      <w:t>rights</w:t>
    </w:r>
    <w:r>
      <w:rPr>
        <w:rFonts w:ascii="Arial" w:hAnsi="Arial" w:eastAsia="Arial" w:cs="Arial"/>
        <w:color w:val="B2B2B2"/>
        <w:spacing w:val="13"/>
        <w:sz w:val="19"/>
        <w:szCs w:val="19"/>
      </w:rPr>
      <w:t xml:space="preserve"> </w:t>
    </w:r>
    <w:r>
      <w:rPr>
        <w:rFonts w:ascii="Arial" w:hAnsi="Arial" w:eastAsia="Arial" w:cs="Arial"/>
        <w:color w:val="B2B2B2"/>
        <w:sz w:val="19"/>
        <w:szCs w:val="19"/>
      </w:rPr>
      <w:t>reserved</w:t>
    </w:r>
    <w:r>
      <w:rPr>
        <w:rFonts w:ascii="Arial" w:hAnsi="Arial" w:eastAsia="Arial" w:cs="Arial"/>
        <w:color w:val="B2B2B2"/>
        <w:spacing w:val="13"/>
        <w:sz w:val="19"/>
        <w:szCs w:val="19"/>
      </w:rPr>
      <w:t xml:space="preserve">.    </w:t>
    </w:r>
    <w:r>
      <w:rPr>
        <w:rFonts w:ascii="Arial" w:hAnsi="Arial" w:eastAsia="Arial" w:cs="Arial"/>
        <w:color w:val="B2B2B2"/>
        <w:sz w:val="19"/>
        <w:szCs w:val="19"/>
      </w:rPr>
      <w:t>http</w:t>
    </w:r>
    <w:r>
      <w:rPr>
        <w:rFonts w:ascii="Arial" w:hAnsi="Arial" w:eastAsia="Arial" w:cs="Arial"/>
        <w:color w:val="B2B2B2"/>
        <w:spacing w:val="13"/>
        <w:sz w:val="19"/>
        <w:szCs w:val="19"/>
      </w:rPr>
      <w:t>://</w:t>
    </w:r>
    <w:r>
      <w:rPr>
        <w:rFonts w:ascii="Arial" w:hAnsi="Arial" w:eastAsia="Arial" w:cs="Arial"/>
        <w:color w:val="B2B2B2"/>
        <w:sz w:val="19"/>
        <w:szCs w:val="19"/>
      </w:rPr>
      <w:t>www</w:t>
    </w:r>
    <w:r>
      <w:rPr>
        <w:rFonts w:ascii="Arial" w:hAnsi="Arial" w:eastAsia="Arial" w:cs="Arial"/>
        <w:color w:val="B2B2B2"/>
        <w:spacing w:val="13"/>
        <w:sz w:val="19"/>
        <w:szCs w:val="19"/>
      </w:rPr>
      <w:t>.</w:t>
    </w:r>
    <w:r>
      <w:rPr>
        <w:rFonts w:ascii="Arial" w:hAnsi="Arial" w:eastAsia="Arial" w:cs="Arial"/>
        <w:color w:val="B2B2B2"/>
        <w:sz w:val="19"/>
        <w:szCs w:val="19"/>
      </w:rPr>
      <w:t>cnki</w:t>
    </w:r>
    <w:r>
      <w:rPr>
        <w:rFonts w:ascii="Arial" w:hAnsi="Arial" w:eastAsia="Arial" w:cs="Arial"/>
        <w:color w:val="B2B2B2"/>
        <w:spacing w:val="13"/>
        <w:sz w:val="19"/>
        <w:szCs w:val="19"/>
      </w:rPr>
      <w:t>.</w:t>
    </w:r>
    <w:r>
      <w:rPr>
        <w:rFonts w:ascii="Arial" w:hAnsi="Arial" w:eastAsia="Arial" w:cs="Arial"/>
        <w:color w:val="B2B2B2"/>
        <w:sz w:val="19"/>
        <w:szCs w:val="19"/>
      </w:rPr>
      <w:t>net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407"/>
      <w:rPr>
        <w:rFonts w:ascii="Arial" w:hAnsi="Arial" w:eastAsia="Arial" w:cs="Arial"/>
        <w:sz w:val="19"/>
        <w:szCs w:val="19"/>
      </w:rPr>
    </w:pPr>
    <w:r>
      <w:rPr>
        <w:rFonts w:ascii="Arial" w:hAnsi="Arial" w:eastAsia="Arial" w:cs="Arial"/>
        <w:color w:val="B2B2B2"/>
        <w:spacing w:val="13"/>
        <w:sz w:val="19"/>
        <w:szCs w:val="19"/>
      </w:rPr>
      <w:t>(c)1994-2023</w:t>
    </w:r>
    <w:r>
      <w:rPr>
        <w:rFonts w:ascii="Arial" w:hAnsi="Arial" w:eastAsia="Arial" w:cs="Arial"/>
        <w:color w:val="B2B2B2"/>
        <w:spacing w:val="23"/>
        <w:w w:val="101"/>
        <w:sz w:val="19"/>
        <w:szCs w:val="19"/>
      </w:rPr>
      <w:t xml:space="preserve"> </w:t>
    </w:r>
    <w:r>
      <w:rPr>
        <w:rFonts w:ascii="Arial" w:hAnsi="Arial" w:eastAsia="Arial" w:cs="Arial"/>
        <w:color w:val="B2B2B2"/>
        <w:sz w:val="19"/>
        <w:szCs w:val="19"/>
      </w:rPr>
      <w:t>china</w:t>
    </w:r>
    <w:r>
      <w:rPr>
        <w:rFonts w:ascii="Arial" w:hAnsi="Arial" w:eastAsia="Arial" w:cs="Arial"/>
        <w:color w:val="B2B2B2"/>
        <w:spacing w:val="13"/>
        <w:sz w:val="19"/>
        <w:szCs w:val="19"/>
      </w:rPr>
      <w:t xml:space="preserve"> </w:t>
    </w:r>
    <w:r>
      <w:rPr>
        <w:rFonts w:ascii="Arial" w:hAnsi="Arial" w:eastAsia="Arial" w:cs="Arial"/>
        <w:color w:val="B2B2B2"/>
        <w:sz w:val="19"/>
        <w:szCs w:val="19"/>
      </w:rPr>
      <w:t>Academic</w:t>
    </w:r>
    <w:r>
      <w:rPr>
        <w:rFonts w:ascii="Arial" w:hAnsi="Arial" w:eastAsia="Arial" w:cs="Arial"/>
        <w:color w:val="B2B2B2"/>
        <w:spacing w:val="13"/>
        <w:sz w:val="19"/>
        <w:szCs w:val="19"/>
      </w:rPr>
      <w:t xml:space="preserve"> </w:t>
    </w:r>
    <w:r>
      <w:rPr>
        <w:rFonts w:ascii="Arial" w:hAnsi="Arial" w:eastAsia="Arial" w:cs="Arial"/>
        <w:color w:val="B2B2B2"/>
        <w:sz w:val="19"/>
        <w:szCs w:val="19"/>
      </w:rPr>
      <w:t>Journal</w:t>
    </w:r>
    <w:r>
      <w:rPr>
        <w:rFonts w:ascii="Arial" w:hAnsi="Arial" w:eastAsia="Arial" w:cs="Arial"/>
        <w:color w:val="B2B2B2"/>
        <w:spacing w:val="13"/>
        <w:sz w:val="19"/>
        <w:szCs w:val="19"/>
      </w:rPr>
      <w:t xml:space="preserve"> </w:t>
    </w:r>
    <w:r>
      <w:rPr>
        <w:rFonts w:ascii="Arial" w:hAnsi="Arial" w:eastAsia="Arial" w:cs="Arial"/>
        <w:color w:val="B2B2B2"/>
        <w:sz w:val="19"/>
        <w:szCs w:val="19"/>
      </w:rPr>
      <w:t>Electronic</w:t>
    </w:r>
    <w:r>
      <w:rPr>
        <w:rFonts w:ascii="Arial" w:hAnsi="Arial" w:eastAsia="Arial" w:cs="Arial"/>
        <w:color w:val="B2B2B2"/>
        <w:spacing w:val="13"/>
        <w:sz w:val="19"/>
        <w:szCs w:val="19"/>
      </w:rPr>
      <w:t xml:space="preserve"> </w:t>
    </w:r>
    <w:r>
      <w:rPr>
        <w:rFonts w:ascii="Arial" w:hAnsi="Arial" w:eastAsia="Arial" w:cs="Arial"/>
        <w:color w:val="B2B2B2"/>
        <w:sz w:val="19"/>
        <w:szCs w:val="19"/>
      </w:rPr>
      <w:t>publishing</w:t>
    </w:r>
    <w:r>
      <w:rPr>
        <w:rFonts w:ascii="Arial" w:hAnsi="Arial" w:eastAsia="Arial" w:cs="Arial"/>
        <w:color w:val="B2B2B2"/>
        <w:spacing w:val="13"/>
        <w:sz w:val="19"/>
        <w:szCs w:val="19"/>
      </w:rPr>
      <w:t xml:space="preserve"> </w:t>
    </w:r>
    <w:r>
      <w:rPr>
        <w:rFonts w:ascii="Arial" w:hAnsi="Arial" w:eastAsia="Arial" w:cs="Arial"/>
        <w:color w:val="B2B2B2"/>
        <w:sz w:val="19"/>
        <w:szCs w:val="19"/>
      </w:rPr>
      <w:t>House</w:t>
    </w:r>
    <w:r>
      <w:rPr>
        <w:rFonts w:ascii="Arial" w:hAnsi="Arial" w:eastAsia="Arial" w:cs="Arial"/>
        <w:color w:val="B2B2B2"/>
        <w:spacing w:val="13"/>
        <w:sz w:val="19"/>
        <w:szCs w:val="19"/>
      </w:rPr>
      <w:t xml:space="preserve">. </w:t>
    </w:r>
    <w:r>
      <w:rPr>
        <w:rFonts w:ascii="Arial" w:hAnsi="Arial" w:eastAsia="Arial" w:cs="Arial"/>
        <w:color w:val="B2B2B2"/>
        <w:sz w:val="19"/>
        <w:szCs w:val="19"/>
      </w:rPr>
      <w:t>All</w:t>
    </w:r>
    <w:r>
      <w:rPr>
        <w:rFonts w:ascii="Arial" w:hAnsi="Arial" w:eastAsia="Arial" w:cs="Arial"/>
        <w:color w:val="B2B2B2"/>
        <w:spacing w:val="13"/>
        <w:sz w:val="19"/>
        <w:szCs w:val="19"/>
      </w:rPr>
      <w:t xml:space="preserve"> </w:t>
    </w:r>
    <w:r>
      <w:rPr>
        <w:rFonts w:ascii="Arial" w:hAnsi="Arial" w:eastAsia="Arial" w:cs="Arial"/>
        <w:color w:val="B2B2B2"/>
        <w:sz w:val="19"/>
        <w:szCs w:val="19"/>
      </w:rPr>
      <w:t>rights</w:t>
    </w:r>
    <w:r>
      <w:rPr>
        <w:rFonts w:ascii="Arial" w:hAnsi="Arial" w:eastAsia="Arial" w:cs="Arial"/>
        <w:color w:val="B2B2B2"/>
        <w:spacing w:val="13"/>
        <w:sz w:val="19"/>
        <w:szCs w:val="19"/>
      </w:rPr>
      <w:t xml:space="preserve"> </w:t>
    </w:r>
    <w:r>
      <w:rPr>
        <w:rFonts w:ascii="Arial" w:hAnsi="Arial" w:eastAsia="Arial" w:cs="Arial"/>
        <w:color w:val="B2B2B2"/>
        <w:sz w:val="19"/>
        <w:szCs w:val="19"/>
      </w:rPr>
      <w:t>reserved</w:t>
    </w:r>
    <w:r>
      <w:rPr>
        <w:rFonts w:ascii="Arial" w:hAnsi="Arial" w:eastAsia="Arial" w:cs="Arial"/>
        <w:color w:val="B2B2B2"/>
        <w:spacing w:val="13"/>
        <w:sz w:val="19"/>
        <w:szCs w:val="19"/>
      </w:rPr>
      <w:t xml:space="preserve">.    </w:t>
    </w:r>
    <w:r>
      <w:rPr>
        <w:rFonts w:ascii="Arial" w:hAnsi="Arial" w:eastAsia="Arial" w:cs="Arial"/>
        <w:color w:val="B2B2B2"/>
        <w:sz w:val="19"/>
        <w:szCs w:val="19"/>
      </w:rPr>
      <w:t>http</w:t>
    </w:r>
    <w:r>
      <w:rPr>
        <w:rFonts w:ascii="Arial" w:hAnsi="Arial" w:eastAsia="Arial" w:cs="Arial"/>
        <w:color w:val="B2B2B2"/>
        <w:spacing w:val="13"/>
        <w:sz w:val="19"/>
        <w:szCs w:val="19"/>
      </w:rPr>
      <w:t>://</w:t>
    </w:r>
    <w:r>
      <w:rPr>
        <w:rFonts w:ascii="Arial" w:hAnsi="Arial" w:eastAsia="Arial" w:cs="Arial"/>
        <w:color w:val="B2B2B2"/>
        <w:sz w:val="19"/>
        <w:szCs w:val="19"/>
      </w:rPr>
      <w:t>www</w:t>
    </w:r>
    <w:r>
      <w:rPr>
        <w:rFonts w:ascii="Arial" w:hAnsi="Arial" w:eastAsia="Arial" w:cs="Arial"/>
        <w:color w:val="B2B2B2"/>
        <w:spacing w:val="13"/>
        <w:sz w:val="19"/>
        <w:szCs w:val="19"/>
      </w:rPr>
      <w:t>.</w:t>
    </w:r>
    <w:r>
      <w:rPr>
        <w:rFonts w:ascii="Arial" w:hAnsi="Arial" w:eastAsia="Arial" w:cs="Arial"/>
        <w:color w:val="B2B2B2"/>
        <w:sz w:val="19"/>
        <w:szCs w:val="19"/>
      </w:rPr>
      <w:t>cnki</w:t>
    </w:r>
    <w:r>
      <w:rPr>
        <w:rFonts w:ascii="Arial" w:hAnsi="Arial" w:eastAsia="Arial" w:cs="Arial"/>
        <w:color w:val="B2B2B2"/>
        <w:spacing w:val="13"/>
        <w:sz w:val="19"/>
        <w:szCs w:val="19"/>
      </w:rPr>
      <w:t>.</w:t>
    </w:r>
    <w:r>
      <w:rPr>
        <w:rFonts w:ascii="Arial" w:hAnsi="Arial" w:eastAsia="Arial" w:cs="Arial"/>
        <w:color w:val="B2B2B2"/>
        <w:sz w:val="19"/>
        <w:szCs w:val="19"/>
      </w:rPr>
      <w:t>net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90" o:spid="_x0000_s2090" o:spt="202" type="#_x0000_t202" style="position:absolute;left:0pt;margin-left:389.3pt;margin-top:-0.95pt;height:11.7pt;width:87.2pt;z-index:251710464;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91" o:spid="_x0000_s2091" o:spt="202" type="#_x0000_t202" style="position:absolute;left:0pt;margin-left:389.3pt;margin-top:-0.95pt;height:11.7pt;width:87.2pt;z-index:251711488;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51" o:spid="_x0000_s2051" o:spt="202" type="#_x0000_t202" style="position:absolute;left:0pt;margin-left:389.3pt;margin-top:-0.95pt;height:11.7pt;width:87.2pt;z-index:25166131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9"/>
        <w:sz w:val="19"/>
        <w:szCs w:val="19"/>
      </w:rPr>
      <w:t>(c)1994-2023</w:t>
    </w:r>
    <w:r>
      <w:rPr>
        <w:rFonts w:ascii="Arial" w:hAnsi="Arial" w:eastAsia="Arial" w:cs="Arial"/>
        <w:color w:val="999999"/>
        <w:spacing w:val="30"/>
        <w:sz w:val="19"/>
        <w:szCs w:val="19"/>
      </w:rPr>
      <w:t xml:space="preserve"> </w:t>
    </w:r>
    <w:r>
      <w:rPr>
        <w:rFonts w:ascii="Arial" w:hAnsi="Arial" w:eastAsia="Arial" w:cs="Arial"/>
        <w:color w:val="999999"/>
        <w:sz w:val="19"/>
        <w:szCs w:val="19"/>
      </w:rPr>
      <w:t>china</w:t>
    </w:r>
    <w:r>
      <w:rPr>
        <w:rFonts w:ascii="Arial" w:hAnsi="Arial" w:eastAsia="Arial" w:cs="Arial"/>
        <w:color w:val="999999"/>
        <w:spacing w:val="9"/>
        <w:sz w:val="19"/>
        <w:szCs w:val="19"/>
      </w:rPr>
      <w:t xml:space="preserve"> </w:t>
    </w:r>
    <w:r>
      <w:rPr>
        <w:rFonts w:ascii="Arial" w:hAnsi="Arial" w:eastAsia="Arial" w:cs="Arial"/>
        <w:color w:val="999999"/>
        <w:sz w:val="19"/>
        <w:szCs w:val="19"/>
      </w:rPr>
      <w:t>Academic</w:t>
    </w:r>
    <w:r>
      <w:rPr>
        <w:rFonts w:ascii="Arial" w:hAnsi="Arial" w:eastAsia="Arial" w:cs="Arial"/>
        <w:color w:val="999999"/>
        <w:spacing w:val="9"/>
        <w:sz w:val="19"/>
        <w:szCs w:val="19"/>
      </w:rPr>
      <w:t xml:space="preserve"> </w:t>
    </w:r>
    <w:r>
      <w:rPr>
        <w:rFonts w:ascii="Arial" w:hAnsi="Arial" w:eastAsia="Arial" w:cs="Arial"/>
        <w:color w:val="999999"/>
        <w:sz w:val="19"/>
        <w:szCs w:val="19"/>
      </w:rPr>
      <w:t>Journal</w:t>
    </w:r>
    <w:r>
      <w:rPr>
        <w:rFonts w:ascii="Arial" w:hAnsi="Arial" w:eastAsia="Arial" w:cs="Arial"/>
        <w:color w:val="999999"/>
        <w:spacing w:val="9"/>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9"/>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9"/>
        <w:sz w:val="19"/>
        <w:szCs w:val="19"/>
      </w:rPr>
      <w:t xml:space="preserve"> </w:t>
    </w:r>
    <w:r>
      <w:rPr>
        <w:rFonts w:ascii="Arial" w:hAnsi="Arial" w:eastAsia="Arial" w:cs="Arial"/>
        <w:color w:val="999999"/>
        <w:sz w:val="19"/>
        <w:szCs w:val="19"/>
      </w:rPr>
      <w:t>House</w:t>
    </w:r>
    <w:r>
      <w:rPr>
        <w:rFonts w:ascii="Arial" w:hAnsi="Arial" w:eastAsia="Arial" w:cs="Arial"/>
        <w:color w:val="999999"/>
        <w:spacing w:val="9"/>
        <w:sz w:val="19"/>
        <w:szCs w:val="19"/>
      </w:rPr>
      <w:t xml:space="preserve">. </w:t>
    </w:r>
    <w:r>
      <w:rPr>
        <w:rFonts w:ascii="Arial" w:hAnsi="Arial" w:eastAsia="Arial" w:cs="Arial"/>
        <w:color w:val="999999"/>
        <w:sz w:val="19"/>
        <w:szCs w:val="19"/>
      </w:rPr>
      <w:t>Al</w:t>
    </w:r>
    <w:r>
      <w:rPr>
        <w:rFonts w:ascii="Arial" w:hAnsi="Arial" w:eastAsia="Arial" w:cs="Arial"/>
        <w:color w:val="999999"/>
        <w:spacing w:val="9"/>
        <w:sz w:val="19"/>
        <w:szCs w:val="19"/>
      </w:rPr>
      <w:t xml:space="preserve">1 </w:t>
    </w:r>
    <w:r>
      <w:rPr>
        <w:rFonts w:ascii="Arial" w:hAnsi="Arial" w:eastAsia="Arial" w:cs="Arial"/>
        <w:color w:val="999999"/>
        <w:sz w:val="19"/>
        <w:szCs w:val="19"/>
      </w:rPr>
      <w:t>rights</w:t>
    </w:r>
    <w:r>
      <w:rPr>
        <w:rFonts w:ascii="Arial" w:hAnsi="Arial" w:eastAsia="Arial" w:cs="Arial"/>
        <w:color w:val="999999"/>
        <w:spacing w:val="9"/>
        <w:sz w:val="19"/>
        <w:szCs w:val="19"/>
      </w:rPr>
      <w:t xml:space="preserve"> </w:t>
    </w:r>
    <w:r>
      <w:rPr>
        <w:rFonts w:ascii="Arial" w:hAnsi="Arial" w:eastAsia="Arial" w:cs="Arial"/>
        <w:color w:val="999999"/>
        <w:sz w:val="19"/>
        <w:szCs w:val="19"/>
      </w:rPr>
      <w:t>reserved</w:t>
    </w:r>
    <w:r>
      <w:rPr>
        <w:rFonts w:ascii="Arial" w:hAnsi="Arial" w:eastAsia="Arial" w:cs="Arial"/>
        <w:color w:val="999999"/>
        <w:spacing w:val="9"/>
        <w:sz w:val="19"/>
        <w:szCs w:val="19"/>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92" o:spid="_x0000_s2092" o:spt="202" type="#_x0000_t202" style="position:absolute;left:0pt;margin-left:389.3pt;margin-top:-0.95pt;height:11.7pt;width:87.2pt;z-index:251714560;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93" o:spid="_x0000_s2093" o:spt="202" type="#_x0000_t202" style="position:absolute;left:0pt;margin-left:389.3pt;margin-top:-0.95pt;height:11.7pt;width:87.2pt;z-index:251715584;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94" o:spid="_x0000_s2094" o:spt="202" type="#_x0000_t202" style="position:absolute;left:0pt;margin-left:389.3pt;margin-top:-0.95pt;height:11.7pt;width:87.2pt;z-index:251711488;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95" o:spid="_x0000_s2095" o:spt="202" type="#_x0000_t202" style="position:absolute;left:0pt;margin-left:389.3pt;margin-top:-0.95pt;height:11.7pt;width:87.2pt;z-index:251719680;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96" o:spid="_x0000_s2096" o:spt="202" type="#_x0000_t202" style="position:absolute;left:0pt;margin-left:389.3pt;margin-top:-0.95pt;height:11.7pt;width:87.2pt;z-index:251721728;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97" o:spid="_x0000_s2097" o:spt="202" type="#_x0000_t202" style="position:absolute;left:0pt;margin-left:389.3pt;margin-top:-0.95pt;height:11.7pt;width:87.2pt;z-index:25172275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98" o:spid="_x0000_s2098" o:spt="202" type="#_x0000_t202" style="position:absolute;left:0pt;margin-left:389.3pt;margin-top:-0.95pt;height:11.7pt;width:87.2pt;z-index:251723776;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99" o:spid="_x0000_s2099" o:spt="202" type="#_x0000_t202" style="position:absolute;left:0pt;margin-left:389.3pt;margin-top:-0.95pt;height:11.7pt;width:87.2pt;z-index:251726848;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00" o:spid="_x0000_s2100" o:spt="202" type="#_x0000_t202" style="position:absolute;left:0pt;margin-left:389.3pt;margin-top:-0.95pt;height:11.7pt;width:87.2pt;z-index:25172787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01" o:spid="_x0000_s2101" o:spt="202" type="#_x0000_t202" style="position:absolute;left:0pt;margin-left:389.3pt;margin-top:-0.95pt;height:11.7pt;width:87.2pt;z-index:251728896;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52" o:spid="_x0000_s2052" o:spt="202" type="#_x0000_t202" style="position:absolute;left:0pt;margin-left:389.3pt;margin-top:-0.95pt;height:11.7pt;width:87.2pt;z-index:251663360;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9"/>
        <w:sz w:val="19"/>
        <w:szCs w:val="19"/>
      </w:rPr>
      <w:t>(c)1994-2023</w:t>
    </w:r>
    <w:r>
      <w:rPr>
        <w:rFonts w:ascii="Arial" w:hAnsi="Arial" w:eastAsia="Arial" w:cs="Arial"/>
        <w:color w:val="999999"/>
        <w:spacing w:val="30"/>
        <w:sz w:val="19"/>
        <w:szCs w:val="19"/>
      </w:rPr>
      <w:t xml:space="preserve"> </w:t>
    </w:r>
    <w:r>
      <w:rPr>
        <w:rFonts w:ascii="Arial" w:hAnsi="Arial" w:eastAsia="Arial" w:cs="Arial"/>
        <w:color w:val="999999"/>
        <w:sz w:val="19"/>
        <w:szCs w:val="19"/>
      </w:rPr>
      <w:t>china</w:t>
    </w:r>
    <w:r>
      <w:rPr>
        <w:rFonts w:ascii="Arial" w:hAnsi="Arial" w:eastAsia="Arial" w:cs="Arial"/>
        <w:color w:val="999999"/>
        <w:spacing w:val="9"/>
        <w:sz w:val="19"/>
        <w:szCs w:val="19"/>
      </w:rPr>
      <w:t xml:space="preserve"> </w:t>
    </w:r>
    <w:r>
      <w:rPr>
        <w:rFonts w:ascii="Arial" w:hAnsi="Arial" w:eastAsia="Arial" w:cs="Arial"/>
        <w:color w:val="999999"/>
        <w:sz w:val="19"/>
        <w:szCs w:val="19"/>
      </w:rPr>
      <w:t>Academic</w:t>
    </w:r>
    <w:r>
      <w:rPr>
        <w:rFonts w:ascii="Arial" w:hAnsi="Arial" w:eastAsia="Arial" w:cs="Arial"/>
        <w:color w:val="999999"/>
        <w:spacing w:val="9"/>
        <w:sz w:val="19"/>
        <w:szCs w:val="19"/>
      </w:rPr>
      <w:t xml:space="preserve"> </w:t>
    </w:r>
    <w:r>
      <w:rPr>
        <w:rFonts w:ascii="Arial" w:hAnsi="Arial" w:eastAsia="Arial" w:cs="Arial"/>
        <w:color w:val="999999"/>
        <w:sz w:val="19"/>
        <w:szCs w:val="19"/>
      </w:rPr>
      <w:t>Journal</w:t>
    </w:r>
    <w:r>
      <w:rPr>
        <w:rFonts w:ascii="Arial" w:hAnsi="Arial" w:eastAsia="Arial" w:cs="Arial"/>
        <w:color w:val="999999"/>
        <w:spacing w:val="9"/>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9"/>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9"/>
        <w:sz w:val="19"/>
        <w:szCs w:val="19"/>
      </w:rPr>
      <w:t xml:space="preserve"> </w:t>
    </w:r>
    <w:r>
      <w:rPr>
        <w:rFonts w:ascii="Arial" w:hAnsi="Arial" w:eastAsia="Arial" w:cs="Arial"/>
        <w:color w:val="999999"/>
        <w:sz w:val="19"/>
        <w:szCs w:val="19"/>
      </w:rPr>
      <w:t>House</w:t>
    </w:r>
    <w:r>
      <w:rPr>
        <w:rFonts w:ascii="Arial" w:hAnsi="Arial" w:eastAsia="Arial" w:cs="Arial"/>
        <w:color w:val="999999"/>
        <w:spacing w:val="9"/>
        <w:sz w:val="19"/>
        <w:szCs w:val="19"/>
      </w:rPr>
      <w:t xml:space="preserve">. </w:t>
    </w:r>
    <w:r>
      <w:rPr>
        <w:rFonts w:ascii="Arial" w:hAnsi="Arial" w:eastAsia="Arial" w:cs="Arial"/>
        <w:color w:val="999999"/>
        <w:sz w:val="19"/>
        <w:szCs w:val="19"/>
      </w:rPr>
      <w:t>Al</w:t>
    </w:r>
    <w:r>
      <w:rPr>
        <w:rFonts w:ascii="Arial" w:hAnsi="Arial" w:eastAsia="Arial" w:cs="Arial"/>
        <w:color w:val="999999"/>
        <w:spacing w:val="9"/>
        <w:sz w:val="19"/>
        <w:szCs w:val="19"/>
      </w:rPr>
      <w:t xml:space="preserve">1 </w:t>
    </w:r>
    <w:r>
      <w:rPr>
        <w:rFonts w:ascii="Arial" w:hAnsi="Arial" w:eastAsia="Arial" w:cs="Arial"/>
        <w:color w:val="999999"/>
        <w:sz w:val="19"/>
        <w:szCs w:val="19"/>
      </w:rPr>
      <w:t>rights</w:t>
    </w:r>
    <w:r>
      <w:rPr>
        <w:rFonts w:ascii="Arial" w:hAnsi="Arial" w:eastAsia="Arial" w:cs="Arial"/>
        <w:color w:val="999999"/>
        <w:spacing w:val="9"/>
        <w:sz w:val="19"/>
        <w:szCs w:val="19"/>
      </w:rPr>
      <w:t xml:space="preserve"> </w:t>
    </w:r>
    <w:r>
      <w:rPr>
        <w:rFonts w:ascii="Arial" w:hAnsi="Arial" w:eastAsia="Arial" w:cs="Arial"/>
        <w:color w:val="999999"/>
        <w:sz w:val="19"/>
        <w:szCs w:val="19"/>
      </w:rPr>
      <w:t>reserved</w:t>
    </w:r>
    <w:r>
      <w:rPr>
        <w:rFonts w:ascii="Arial" w:hAnsi="Arial" w:eastAsia="Arial" w:cs="Arial"/>
        <w:color w:val="999999"/>
        <w:spacing w:val="9"/>
        <w:sz w:val="19"/>
        <w:szCs w:val="19"/>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02" o:spid="_x0000_s2102" o:spt="202" type="#_x0000_t202" style="position:absolute;left:0pt;margin-left:389.3pt;margin-top:-0.95pt;height:11.7pt;width:87.2pt;z-index:251729920;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05" o:spid="_x0000_s2105" o:spt="202" type="#_x0000_t202" style="position:absolute;left:0pt;margin-left:389.3pt;margin-top:-0.95pt;height:11.7pt;width:87.2pt;z-index:25173299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06" o:spid="_x0000_s2106" o:spt="202" type="#_x0000_t202" style="position:absolute;left:0pt;margin-left:389.3pt;margin-top:-0.95pt;height:11.7pt;width:87.2pt;z-index:251735040;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07" o:spid="_x0000_s2107" o:spt="202" type="#_x0000_t202" style="position:absolute;left:0pt;margin-left:389.3pt;margin-top:-0.95pt;height:11.7pt;width:87.2pt;z-index:25173811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08" o:spid="_x0000_s2108" o:spt="202" type="#_x0000_t202" style="position:absolute;left:0pt;margin-left:389.3pt;margin-top:-0.95pt;height:11.7pt;width:87.2pt;z-index:251739136;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10" o:spid="_x0000_s2110" o:spt="202" type="#_x0000_t202" style="position:absolute;left:0pt;margin-left:389.3pt;margin-top:-0.95pt;height:11.7pt;width:87.2pt;z-index:251740160;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11" o:spid="_x0000_s2111" o:spt="202" type="#_x0000_t202" style="position:absolute;left:0pt;margin-left:389.3pt;margin-top:-0.95pt;height:11.7pt;width:87.2pt;z-index:251742208;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12" o:spid="_x0000_s2112" o:spt="202" type="#_x0000_t202" style="position:absolute;left:0pt;margin-left:389.3pt;margin-top:-0.95pt;height:11.7pt;width:87.2pt;z-index:25174323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13" o:spid="_x0000_s2113" o:spt="202" type="#_x0000_t202" style="position:absolute;left:0pt;margin-left:389.3pt;margin-top:-0.95pt;height:11.7pt;width:87.2pt;z-index:251746304;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B2B2B2"/>
                    <w:sz w:val="20"/>
                    <w:szCs w:val="20"/>
                  </w:rPr>
                  <w:t>http</w:t>
                </w:r>
                <w:r>
                  <w:rPr>
                    <w:rFonts w:ascii="Arial" w:hAnsi="Arial" w:eastAsia="Arial" w:cs="Arial"/>
                    <w:color w:val="B2B2B2"/>
                    <w:spacing w:val="5"/>
                    <w:sz w:val="20"/>
                    <w:szCs w:val="20"/>
                  </w:rPr>
                  <w:t>://</w:t>
                </w:r>
                <w:r>
                  <w:rPr>
                    <w:rFonts w:ascii="Arial" w:hAnsi="Arial" w:eastAsia="Arial" w:cs="Arial"/>
                    <w:color w:val="B2B2B2"/>
                    <w:sz w:val="20"/>
                    <w:szCs w:val="20"/>
                  </w:rPr>
                  <w:t>www</w:t>
                </w:r>
                <w:r>
                  <w:rPr>
                    <w:rFonts w:ascii="Arial" w:hAnsi="Arial" w:eastAsia="Arial" w:cs="Arial"/>
                    <w:color w:val="B2B2B2"/>
                    <w:spacing w:val="5"/>
                    <w:sz w:val="20"/>
                    <w:szCs w:val="20"/>
                  </w:rPr>
                  <w:t>.</w:t>
                </w:r>
                <w:r>
                  <w:rPr>
                    <w:rFonts w:ascii="Arial" w:hAnsi="Arial" w:eastAsia="Arial" w:cs="Arial"/>
                    <w:color w:val="B2B2B2"/>
                    <w:sz w:val="20"/>
                    <w:szCs w:val="20"/>
                  </w:rPr>
                  <w:t>cnki</w:t>
                </w:r>
                <w:r>
                  <w:rPr>
                    <w:rFonts w:ascii="Arial" w:hAnsi="Arial" w:eastAsia="Arial" w:cs="Arial"/>
                    <w:color w:val="B2B2B2"/>
                    <w:spacing w:val="5"/>
                    <w:sz w:val="20"/>
                    <w:szCs w:val="20"/>
                  </w:rPr>
                  <w:t>.</w:t>
                </w:r>
                <w:r>
                  <w:rPr>
                    <w:rFonts w:ascii="Arial" w:hAnsi="Arial" w:eastAsia="Arial" w:cs="Arial"/>
                    <w:color w:val="B2B2B2"/>
                    <w:sz w:val="20"/>
                    <w:szCs w:val="20"/>
                  </w:rPr>
                  <w:t>net</w:t>
                </w:r>
              </w:p>
            </w:txbxContent>
          </v:textbox>
        </v:shape>
      </w:pict>
    </w:r>
    <w:r>
      <w:rPr>
        <w:rFonts w:ascii="Arial" w:hAnsi="Arial" w:eastAsia="Arial" w:cs="Arial"/>
        <w:color w:val="B2B2B2"/>
        <w:spacing w:val="13"/>
        <w:sz w:val="19"/>
        <w:szCs w:val="19"/>
      </w:rPr>
      <w:t xml:space="preserve">(c)1994-2022 </w:t>
    </w:r>
    <w:r>
      <w:rPr>
        <w:rFonts w:ascii="Arial" w:hAnsi="Arial" w:eastAsia="Arial" w:cs="Arial"/>
        <w:color w:val="B2B2B2"/>
        <w:sz w:val="19"/>
        <w:szCs w:val="19"/>
      </w:rPr>
      <w:t>china</w:t>
    </w:r>
    <w:r>
      <w:rPr>
        <w:rFonts w:ascii="Arial" w:hAnsi="Arial" w:eastAsia="Arial" w:cs="Arial"/>
        <w:color w:val="B2B2B2"/>
        <w:spacing w:val="13"/>
        <w:sz w:val="19"/>
        <w:szCs w:val="19"/>
      </w:rPr>
      <w:t xml:space="preserve"> </w:t>
    </w:r>
    <w:r>
      <w:rPr>
        <w:rFonts w:ascii="Arial" w:hAnsi="Arial" w:eastAsia="Arial" w:cs="Arial"/>
        <w:color w:val="B2B2B2"/>
        <w:sz w:val="19"/>
        <w:szCs w:val="19"/>
      </w:rPr>
      <w:t>Academic</w:t>
    </w:r>
    <w:r>
      <w:rPr>
        <w:rFonts w:ascii="Arial" w:hAnsi="Arial" w:eastAsia="Arial" w:cs="Arial"/>
        <w:color w:val="B2B2B2"/>
        <w:spacing w:val="13"/>
        <w:sz w:val="19"/>
        <w:szCs w:val="19"/>
      </w:rPr>
      <w:t xml:space="preserve"> </w:t>
    </w:r>
    <w:r>
      <w:rPr>
        <w:rFonts w:ascii="Arial" w:hAnsi="Arial" w:eastAsia="Arial" w:cs="Arial"/>
        <w:color w:val="B2B2B2"/>
        <w:sz w:val="19"/>
        <w:szCs w:val="19"/>
      </w:rPr>
      <w:t>Journal</w:t>
    </w:r>
    <w:r>
      <w:rPr>
        <w:rFonts w:ascii="Arial" w:hAnsi="Arial" w:eastAsia="Arial" w:cs="Arial"/>
        <w:color w:val="B2B2B2"/>
        <w:spacing w:val="13"/>
        <w:sz w:val="19"/>
        <w:szCs w:val="19"/>
      </w:rPr>
      <w:t xml:space="preserve"> </w:t>
    </w:r>
    <w:r>
      <w:rPr>
        <w:rFonts w:ascii="Arial" w:hAnsi="Arial" w:eastAsia="Arial" w:cs="Arial"/>
        <w:color w:val="B2B2B2"/>
        <w:sz w:val="19"/>
        <w:szCs w:val="19"/>
      </w:rPr>
      <w:t>Electronic</w:t>
    </w:r>
    <w:r>
      <w:rPr>
        <w:rFonts w:ascii="Arial" w:hAnsi="Arial" w:eastAsia="Arial" w:cs="Arial"/>
        <w:color w:val="B2B2B2"/>
        <w:spacing w:val="13"/>
        <w:sz w:val="19"/>
        <w:szCs w:val="19"/>
      </w:rPr>
      <w:t xml:space="preserve"> </w:t>
    </w:r>
    <w:r>
      <w:rPr>
        <w:rFonts w:ascii="Arial" w:hAnsi="Arial" w:eastAsia="Arial" w:cs="Arial"/>
        <w:color w:val="B2B2B2"/>
        <w:sz w:val="19"/>
        <w:szCs w:val="19"/>
      </w:rPr>
      <w:t>publishing</w:t>
    </w:r>
    <w:r>
      <w:rPr>
        <w:rFonts w:ascii="Arial" w:hAnsi="Arial" w:eastAsia="Arial" w:cs="Arial"/>
        <w:color w:val="B2B2B2"/>
        <w:spacing w:val="13"/>
        <w:sz w:val="19"/>
        <w:szCs w:val="19"/>
      </w:rPr>
      <w:t xml:space="preserve"> </w:t>
    </w:r>
    <w:r>
      <w:rPr>
        <w:rFonts w:ascii="Arial" w:hAnsi="Arial" w:eastAsia="Arial" w:cs="Arial"/>
        <w:color w:val="B2B2B2"/>
        <w:sz w:val="19"/>
        <w:szCs w:val="19"/>
      </w:rPr>
      <w:t>House</w:t>
    </w:r>
    <w:r>
      <w:rPr>
        <w:rFonts w:ascii="Arial" w:hAnsi="Arial" w:eastAsia="Arial" w:cs="Arial"/>
        <w:color w:val="B2B2B2"/>
        <w:spacing w:val="13"/>
        <w:sz w:val="19"/>
        <w:szCs w:val="19"/>
      </w:rPr>
      <w:t xml:space="preserve">. </w:t>
    </w:r>
    <w:r>
      <w:rPr>
        <w:rFonts w:ascii="Arial" w:hAnsi="Arial" w:eastAsia="Arial" w:cs="Arial"/>
        <w:color w:val="B2B2B2"/>
        <w:sz w:val="19"/>
        <w:szCs w:val="19"/>
      </w:rPr>
      <w:t>All</w:t>
    </w:r>
    <w:r>
      <w:rPr>
        <w:rFonts w:ascii="Arial" w:hAnsi="Arial" w:eastAsia="Arial" w:cs="Arial"/>
        <w:color w:val="B2B2B2"/>
        <w:spacing w:val="13"/>
        <w:sz w:val="19"/>
        <w:szCs w:val="19"/>
      </w:rPr>
      <w:t xml:space="preserve"> </w:t>
    </w:r>
    <w:r>
      <w:rPr>
        <w:rFonts w:ascii="Arial" w:hAnsi="Arial" w:eastAsia="Arial" w:cs="Arial"/>
        <w:color w:val="B2B2B2"/>
        <w:sz w:val="19"/>
        <w:szCs w:val="19"/>
      </w:rPr>
      <w:t>rights</w:t>
    </w:r>
    <w:r>
      <w:rPr>
        <w:rFonts w:ascii="Arial" w:hAnsi="Arial" w:eastAsia="Arial" w:cs="Arial"/>
        <w:color w:val="B2B2B2"/>
        <w:spacing w:val="13"/>
        <w:sz w:val="19"/>
        <w:szCs w:val="19"/>
      </w:rPr>
      <w:t xml:space="preserve"> </w:t>
    </w:r>
    <w:r>
      <w:rPr>
        <w:rFonts w:ascii="Arial" w:hAnsi="Arial" w:eastAsia="Arial" w:cs="Arial"/>
        <w:color w:val="B2B2B2"/>
        <w:sz w:val="19"/>
        <w:szCs w:val="19"/>
      </w:rPr>
      <w:t>reserved</w:t>
    </w:r>
    <w:r>
      <w:rPr>
        <w:rFonts w:ascii="Arial" w:hAnsi="Arial" w:eastAsia="Arial" w:cs="Arial"/>
        <w:color w:val="B2B2B2"/>
        <w:spacing w:val="13"/>
        <w:sz w:val="19"/>
        <w:szCs w:val="19"/>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14" o:spid="_x0000_s2114" o:spt="202" type="#_x0000_t202" style="position:absolute;left:0pt;margin-left:389.3pt;margin-top:-0.95pt;height:11.7pt;width:87.2pt;z-index:25174835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B2B2B2"/>
                    <w:sz w:val="20"/>
                    <w:szCs w:val="20"/>
                  </w:rPr>
                  <w:t>http</w:t>
                </w:r>
                <w:r>
                  <w:rPr>
                    <w:rFonts w:ascii="Arial" w:hAnsi="Arial" w:eastAsia="Arial" w:cs="Arial"/>
                    <w:color w:val="B2B2B2"/>
                    <w:spacing w:val="5"/>
                    <w:sz w:val="20"/>
                    <w:szCs w:val="20"/>
                  </w:rPr>
                  <w:t>://</w:t>
                </w:r>
                <w:r>
                  <w:rPr>
                    <w:rFonts w:ascii="Arial" w:hAnsi="Arial" w:eastAsia="Arial" w:cs="Arial"/>
                    <w:color w:val="B2B2B2"/>
                    <w:sz w:val="20"/>
                    <w:szCs w:val="20"/>
                  </w:rPr>
                  <w:t>www</w:t>
                </w:r>
                <w:r>
                  <w:rPr>
                    <w:rFonts w:ascii="Arial" w:hAnsi="Arial" w:eastAsia="Arial" w:cs="Arial"/>
                    <w:color w:val="B2B2B2"/>
                    <w:spacing w:val="5"/>
                    <w:sz w:val="20"/>
                    <w:szCs w:val="20"/>
                  </w:rPr>
                  <w:t>.</w:t>
                </w:r>
                <w:r>
                  <w:rPr>
                    <w:rFonts w:ascii="Arial" w:hAnsi="Arial" w:eastAsia="Arial" w:cs="Arial"/>
                    <w:color w:val="B2B2B2"/>
                    <w:sz w:val="20"/>
                    <w:szCs w:val="20"/>
                  </w:rPr>
                  <w:t>cnki</w:t>
                </w:r>
                <w:r>
                  <w:rPr>
                    <w:rFonts w:ascii="Arial" w:hAnsi="Arial" w:eastAsia="Arial" w:cs="Arial"/>
                    <w:color w:val="B2B2B2"/>
                    <w:spacing w:val="5"/>
                    <w:sz w:val="20"/>
                    <w:szCs w:val="20"/>
                  </w:rPr>
                  <w:t>.</w:t>
                </w:r>
                <w:r>
                  <w:rPr>
                    <w:rFonts w:ascii="Arial" w:hAnsi="Arial" w:eastAsia="Arial" w:cs="Arial"/>
                    <w:color w:val="B2B2B2"/>
                    <w:sz w:val="20"/>
                    <w:szCs w:val="20"/>
                  </w:rPr>
                  <w:t>net</w:t>
                </w:r>
              </w:p>
            </w:txbxContent>
          </v:textbox>
        </v:shape>
      </w:pict>
    </w:r>
    <w:r>
      <w:rPr>
        <w:rFonts w:ascii="Arial" w:hAnsi="Arial" w:eastAsia="Arial" w:cs="Arial"/>
        <w:color w:val="B2B2B2"/>
        <w:spacing w:val="13"/>
        <w:sz w:val="19"/>
        <w:szCs w:val="19"/>
      </w:rPr>
      <w:t xml:space="preserve">(c)1994-2022 </w:t>
    </w:r>
    <w:r>
      <w:rPr>
        <w:rFonts w:ascii="Arial" w:hAnsi="Arial" w:eastAsia="Arial" w:cs="Arial"/>
        <w:color w:val="B2B2B2"/>
        <w:sz w:val="19"/>
        <w:szCs w:val="19"/>
      </w:rPr>
      <w:t>china</w:t>
    </w:r>
    <w:r>
      <w:rPr>
        <w:rFonts w:ascii="Arial" w:hAnsi="Arial" w:eastAsia="Arial" w:cs="Arial"/>
        <w:color w:val="B2B2B2"/>
        <w:spacing w:val="13"/>
        <w:sz w:val="19"/>
        <w:szCs w:val="19"/>
      </w:rPr>
      <w:t xml:space="preserve"> </w:t>
    </w:r>
    <w:r>
      <w:rPr>
        <w:rFonts w:ascii="Arial" w:hAnsi="Arial" w:eastAsia="Arial" w:cs="Arial"/>
        <w:color w:val="B2B2B2"/>
        <w:sz w:val="19"/>
        <w:szCs w:val="19"/>
      </w:rPr>
      <w:t>Academic</w:t>
    </w:r>
    <w:r>
      <w:rPr>
        <w:rFonts w:ascii="Arial" w:hAnsi="Arial" w:eastAsia="Arial" w:cs="Arial"/>
        <w:color w:val="B2B2B2"/>
        <w:spacing w:val="13"/>
        <w:sz w:val="19"/>
        <w:szCs w:val="19"/>
      </w:rPr>
      <w:t xml:space="preserve"> </w:t>
    </w:r>
    <w:r>
      <w:rPr>
        <w:rFonts w:ascii="Arial" w:hAnsi="Arial" w:eastAsia="Arial" w:cs="Arial"/>
        <w:color w:val="B2B2B2"/>
        <w:sz w:val="19"/>
        <w:szCs w:val="19"/>
      </w:rPr>
      <w:t>Journal</w:t>
    </w:r>
    <w:r>
      <w:rPr>
        <w:rFonts w:ascii="Arial" w:hAnsi="Arial" w:eastAsia="Arial" w:cs="Arial"/>
        <w:color w:val="B2B2B2"/>
        <w:spacing w:val="13"/>
        <w:sz w:val="19"/>
        <w:szCs w:val="19"/>
      </w:rPr>
      <w:t xml:space="preserve"> </w:t>
    </w:r>
    <w:r>
      <w:rPr>
        <w:rFonts w:ascii="Arial" w:hAnsi="Arial" w:eastAsia="Arial" w:cs="Arial"/>
        <w:color w:val="B2B2B2"/>
        <w:sz w:val="19"/>
        <w:szCs w:val="19"/>
      </w:rPr>
      <w:t>Electronic</w:t>
    </w:r>
    <w:r>
      <w:rPr>
        <w:rFonts w:ascii="Arial" w:hAnsi="Arial" w:eastAsia="Arial" w:cs="Arial"/>
        <w:color w:val="B2B2B2"/>
        <w:spacing w:val="13"/>
        <w:sz w:val="19"/>
        <w:szCs w:val="19"/>
      </w:rPr>
      <w:t xml:space="preserve"> </w:t>
    </w:r>
    <w:r>
      <w:rPr>
        <w:rFonts w:ascii="Arial" w:hAnsi="Arial" w:eastAsia="Arial" w:cs="Arial"/>
        <w:color w:val="B2B2B2"/>
        <w:sz w:val="19"/>
        <w:szCs w:val="19"/>
      </w:rPr>
      <w:t>publishing</w:t>
    </w:r>
    <w:r>
      <w:rPr>
        <w:rFonts w:ascii="Arial" w:hAnsi="Arial" w:eastAsia="Arial" w:cs="Arial"/>
        <w:color w:val="B2B2B2"/>
        <w:spacing w:val="13"/>
        <w:sz w:val="19"/>
        <w:szCs w:val="19"/>
      </w:rPr>
      <w:t xml:space="preserve"> </w:t>
    </w:r>
    <w:r>
      <w:rPr>
        <w:rFonts w:ascii="Arial" w:hAnsi="Arial" w:eastAsia="Arial" w:cs="Arial"/>
        <w:color w:val="B2B2B2"/>
        <w:sz w:val="19"/>
        <w:szCs w:val="19"/>
      </w:rPr>
      <w:t>House</w:t>
    </w:r>
    <w:r>
      <w:rPr>
        <w:rFonts w:ascii="Arial" w:hAnsi="Arial" w:eastAsia="Arial" w:cs="Arial"/>
        <w:color w:val="B2B2B2"/>
        <w:spacing w:val="13"/>
        <w:sz w:val="19"/>
        <w:szCs w:val="19"/>
      </w:rPr>
      <w:t xml:space="preserve">. </w:t>
    </w:r>
    <w:r>
      <w:rPr>
        <w:rFonts w:ascii="Arial" w:hAnsi="Arial" w:eastAsia="Arial" w:cs="Arial"/>
        <w:color w:val="B2B2B2"/>
        <w:sz w:val="19"/>
        <w:szCs w:val="19"/>
      </w:rPr>
      <w:t>All</w:t>
    </w:r>
    <w:r>
      <w:rPr>
        <w:rFonts w:ascii="Arial" w:hAnsi="Arial" w:eastAsia="Arial" w:cs="Arial"/>
        <w:color w:val="B2B2B2"/>
        <w:spacing w:val="13"/>
        <w:sz w:val="19"/>
        <w:szCs w:val="19"/>
      </w:rPr>
      <w:t xml:space="preserve"> </w:t>
    </w:r>
    <w:r>
      <w:rPr>
        <w:rFonts w:ascii="Arial" w:hAnsi="Arial" w:eastAsia="Arial" w:cs="Arial"/>
        <w:color w:val="B2B2B2"/>
        <w:sz w:val="19"/>
        <w:szCs w:val="19"/>
      </w:rPr>
      <w:t>rights</w:t>
    </w:r>
    <w:r>
      <w:rPr>
        <w:rFonts w:ascii="Arial" w:hAnsi="Arial" w:eastAsia="Arial" w:cs="Arial"/>
        <w:color w:val="B2B2B2"/>
        <w:spacing w:val="13"/>
        <w:sz w:val="19"/>
        <w:szCs w:val="19"/>
      </w:rPr>
      <w:t xml:space="preserve"> </w:t>
    </w:r>
    <w:r>
      <w:rPr>
        <w:rFonts w:ascii="Arial" w:hAnsi="Arial" w:eastAsia="Arial" w:cs="Arial"/>
        <w:color w:val="B2B2B2"/>
        <w:sz w:val="19"/>
        <w:szCs w:val="19"/>
      </w:rPr>
      <w:t>reserved</w:t>
    </w:r>
    <w:r>
      <w:rPr>
        <w:rFonts w:ascii="Arial" w:hAnsi="Arial" w:eastAsia="Arial" w:cs="Arial"/>
        <w:color w:val="B2B2B2"/>
        <w:spacing w:val="13"/>
        <w:sz w:val="19"/>
        <w:szCs w:val="19"/>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54" o:spid="_x0000_s2054" o:spt="202" type="#_x0000_t202" style="position:absolute;left:0pt;margin-left:389.3pt;margin-top:-0.95pt;height:11.7pt;width:87.2pt;z-index:251664384;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9"/>
        <w:sz w:val="19"/>
        <w:szCs w:val="19"/>
      </w:rPr>
      <w:t>(c)1994-2023</w:t>
    </w:r>
    <w:r>
      <w:rPr>
        <w:rFonts w:ascii="Arial" w:hAnsi="Arial" w:eastAsia="Arial" w:cs="Arial"/>
        <w:color w:val="999999"/>
        <w:spacing w:val="30"/>
        <w:sz w:val="19"/>
        <w:szCs w:val="19"/>
      </w:rPr>
      <w:t xml:space="preserve"> </w:t>
    </w:r>
    <w:r>
      <w:rPr>
        <w:rFonts w:ascii="Arial" w:hAnsi="Arial" w:eastAsia="Arial" w:cs="Arial"/>
        <w:color w:val="999999"/>
        <w:sz w:val="19"/>
        <w:szCs w:val="19"/>
      </w:rPr>
      <w:t>china</w:t>
    </w:r>
    <w:r>
      <w:rPr>
        <w:rFonts w:ascii="Arial" w:hAnsi="Arial" w:eastAsia="Arial" w:cs="Arial"/>
        <w:color w:val="999999"/>
        <w:spacing w:val="9"/>
        <w:sz w:val="19"/>
        <w:szCs w:val="19"/>
      </w:rPr>
      <w:t xml:space="preserve"> </w:t>
    </w:r>
    <w:r>
      <w:rPr>
        <w:rFonts w:ascii="Arial" w:hAnsi="Arial" w:eastAsia="Arial" w:cs="Arial"/>
        <w:color w:val="999999"/>
        <w:sz w:val="19"/>
        <w:szCs w:val="19"/>
      </w:rPr>
      <w:t>Academic</w:t>
    </w:r>
    <w:r>
      <w:rPr>
        <w:rFonts w:ascii="Arial" w:hAnsi="Arial" w:eastAsia="Arial" w:cs="Arial"/>
        <w:color w:val="999999"/>
        <w:spacing w:val="9"/>
        <w:sz w:val="19"/>
        <w:szCs w:val="19"/>
      </w:rPr>
      <w:t xml:space="preserve"> </w:t>
    </w:r>
    <w:r>
      <w:rPr>
        <w:rFonts w:ascii="Arial" w:hAnsi="Arial" w:eastAsia="Arial" w:cs="Arial"/>
        <w:color w:val="999999"/>
        <w:sz w:val="19"/>
        <w:szCs w:val="19"/>
      </w:rPr>
      <w:t>Journal</w:t>
    </w:r>
    <w:r>
      <w:rPr>
        <w:rFonts w:ascii="Arial" w:hAnsi="Arial" w:eastAsia="Arial" w:cs="Arial"/>
        <w:color w:val="999999"/>
        <w:spacing w:val="9"/>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9"/>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9"/>
        <w:sz w:val="19"/>
        <w:szCs w:val="19"/>
      </w:rPr>
      <w:t xml:space="preserve"> </w:t>
    </w:r>
    <w:r>
      <w:rPr>
        <w:rFonts w:ascii="Arial" w:hAnsi="Arial" w:eastAsia="Arial" w:cs="Arial"/>
        <w:color w:val="999999"/>
        <w:sz w:val="19"/>
        <w:szCs w:val="19"/>
      </w:rPr>
      <w:t>House</w:t>
    </w:r>
    <w:r>
      <w:rPr>
        <w:rFonts w:ascii="Arial" w:hAnsi="Arial" w:eastAsia="Arial" w:cs="Arial"/>
        <w:color w:val="999999"/>
        <w:spacing w:val="9"/>
        <w:sz w:val="19"/>
        <w:szCs w:val="19"/>
      </w:rPr>
      <w:t xml:space="preserve">. </w:t>
    </w:r>
    <w:r>
      <w:rPr>
        <w:rFonts w:ascii="Arial" w:hAnsi="Arial" w:eastAsia="Arial" w:cs="Arial"/>
        <w:color w:val="999999"/>
        <w:sz w:val="19"/>
        <w:szCs w:val="19"/>
      </w:rPr>
      <w:t>Al</w:t>
    </w:r>
    <w:r>
      <w:rPr>
        <w:rFonts w:ascii="Arial" w:hAnsi="Arial" w:eastAsia="Arial" w:cs="Arial"/>
        <w:color w:val="999999"/>
        <w:spacing w:val="9"/>
        <w:sz w:val="19"/>
        <w:szCs w:val="19"/>
      </w:rPr>
      <w:t xml:space="preserve">1 </w:t>
    </w:r>
    <w:r>
      <w:rPr>
        <w:rFonts w:ascii="Arial" w:hAnsi="Arial" w:eastAsia="Arial" w:cs="Arial"/>
        <w:color w:val="999999"/>
        <w:sz w:val="19"/>
        <w:szCs w:val="19"/>
      </w:rPr>
      <w:t>rights</w:t>
    </w:r>
    <w:r>
      <w:rPr>
        <w:rFonts w:ascii="Arial" w:hAnsi="Arial" w:eastAsia="Arial" w:cs="Arial"/>
        <w:color w:val="999999"/>
        <w:spacing w:val="9"/>
        <w:sz w:val="19"/>
        <w:szCs w:val="19"/>
      </w:rPr>
      <w:t xml:space="preserve"> </w:t>
    </w:r>
    <w:r>
      <w:rPr>
        <w:rFonts w:ascii="Arial" w:hAnsi="Arial" w:eastAsia="Arial" w:cs="Arial"/>
        <w:color w:val="999999"/>
        <w:sz w:val="19"/>
        <w:szCs w:val="19"/>
      </w:rPr>
      <w:t>reserved</w:t>
    </w:r>
    <w:r>
      <w:rPr>
        <w:rFonts w:ascii="Arial" w:hAnsi="Arial" w:eastAsia="Arial" w:cs="Arial"/>
        <w:color w:val="999999"/>
        <w:spacing w:val="9"/>
        <w:sz w:val="19"/>
        <w:szCs w:val="19"/>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15" o:spid="_x0000_s2115" o:spt="202" type="#_x0000_t202" style="position:absolute;left:0pt;margin-left:389.3pt;margin-top:-0.95pt;height:11.7pt;width:87.2pt;z-index:251749376;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B2B2B2"/>
                    <w:sz w:val="20"/>
                    <w:szCs w:val="20"/>
                  </w:rPr>
                  <w:t>http</w:t>
                </w:r>
                <w:r>
                  <w:rPr>
                    <w:rFonts w:ascii="Arial" w:hAnsi="Arial" w:eastAsia="Arial" w:cs="Arial"/>
                    <w:color w:val="B2B2B2"/>
                    <w:spacing w:val="5"/>
                    <w:sz w:val="20"/>
                    <w:szCs w:val="20"/>
                  </w:rPr>
                  <w:t>://</w:t>
                </w:r>
                <w:r>
                  <w:rPr>
                    <w:rFonts w:ascii="Arial" w:hAnsi="Arial" w:eastAsia="Arial" w:cs="Arial"/>
                    <w:color w:val="B2B2B2"/>
                    <w:sz w:val="20"/>
                    <w:szCs w:val="20"/>
                  </w:rPr>
                  <w:t>www</w:t>
                </w:r>
                <w:r>
                  <w:rPr>
                    <w:rFonts w:ascii="Arial" w:hAnsi="Arial" w:eastAsia="Arial" w:cs="Arial"/>
                    <w:color w:val="B2B2B2"/>
                    <w:spacing w:val="5"/>
                    <w:sz w:val="20"/>
                    <w:szCs w:val="20"/>
                  </w:rPr>
                  <w:t>.</w:t>
                </w:r>
                <w:r>
                  <w:rPr>
                    <w:rFonts w:ascii="Arial" w:hAnsi="Arial" w:eastAsia="Arial" w:cs="Arial"/>
                    <w:color w:val="B2B2B2"/>
                    <w:sz w:val="20"/>
                    <w:szCs w:val="20"/>
                  </w:rPr>
                  <w:t>cnki</w:t>
                </w:r>
                <w:r>
                  <w:rPr>
                    <w:rFonts w:ascii="Arial" w:hAnsi="Arial" w:eastAsia="Arial" w:cs="Arial"/>
                    <w:color w:val="B2B2B2"/>
                    <w:spacing w:val="5"/>
                    <w:sz w:val="20"/>
                    <w:szCs w:val="20"/>
                  </w:rPr>
                  <w:t>.</w:t>
                </w:r>
                <w:r>
                  <w:rPr>
                    <w:rFonts w:ascii="Arial" w:hAnsi="Arial" w:eastAsia="Arial" w:cs="Arial"/>
                    <w:color w:val="B2B2B2"/>
                    <w:sz w:val="20"/>
                    <w:szCs w:val="20"/>
                  </w:rPr>
                  <w:t>net</w:t>
                </w:r>
              </w:p>
            </w:txbxContent>
          </v:textbox>
        </v:shape>
      </w:pict>
    </w:r>
    <w:r>
      <w:rPr>
        <w:rFonts w:ascii="Arial" w:hAnsi="Arial" w:eastAsia="Arial" w:cs="Arial"/>
        <w:color w:val="B2B2B2"/>
        <w:spacing w:val="13"/>
        <w:sz w:val="19"/>
        <w:szCs w:val="19"/>
      </w:rPr>
      <w:t xml:space="preserve">(c)1994-2022 </w:t>
    </w:r>
    <w:r>
      <w:rPr>
        <w:rFonts w:ascii="Arial" w:hAnsi="Arial" w:eastAsia="Arial" w:cs="Arial"/>
        <w:color w:val="B2B2B2"/>
        <w:sz w:val="19"/>
        <w:szCs w:val="19"/>
      </w:rPr>
      <w:t>china</w:t>
    </w:r>
    <w:r>
      <w:rPr>
        <w:rFonts w:ascii="Arial" w:hAnsi="Arial" w:eastAsia="Arial" w:cs="Arial"/>
        <w:color w:val="B2B2B2"/>
        <w:spacing w:val="13"/>
        <w:sz w:val="19"/>
        <w:szCs w:val="19"/>
      </w:rPr>
      <w:t xml:space="preserve"> </w:t>
    </w:r>
    <w:r>
      <w:rPr>
        <w:rFonts w:ascii="Arial" w:hAnsi="Arial" w:eastAsia="Arial" w:cs="Arial"/>
        <w:color w:val="B2B2B2"/>
        <w:sz w:val="19"/>
        <w:szCs w:val="19"/>
      </w:rPr>
      <w:t>Academic</w:t>
    </w:r>
    <w:r>
      <w:rPr>
        <w:rFonts w:ascii="Arial" w:hAnsi="Arial" w:eastAsia="Arial" w:cs="Arial"/>
        <w:color w:val="B2B2B2"/>
        <w:spacing w:val="13"/>
        <w:sz w:val="19"/>
        <w:szCs w:val="19"/>
      </w:rPr>
      <w:t xml:space="preserve"> </w:t>
    </w:r>
    <w:r>
      <w:rPr>
        <w:rFonts w:ascii="Arial" w:hAnsi="Arial" w:eastAsia="Arial" w:cs="Arial"/>
        <w:color w:val="B2B2B2"/>
        <w:sz w:val="19"/>
        <w:szCs w:val="19"/>
      </w:rPr>
      <w:t>Journal</w:t>
    </w:r>
    <w:r>
      <w:rPr>
        <w:rFonts w:ascii="Arial" w:hAnsi="Arial" w:eastAsia="Arial" w:cs="Arial"/>
        <w:color w:val="B2B2B2"/>
        <w:spacing w:val="13"/>
        <w:sz w:val="19"/>
        <w:szCs w:val="19"/>
      </w:rPr>
      <w:t xml:space="preserve"> </w:t>
    </w:r>
    <w:r>
      <w:rPr>
        <w:rFonts w:ascii="Arial" w:hAnsi="Arial" w:eastAsia="Arial" w:cs="Arial"/>
        <w:color w:val="B2B2B2"/>
        <w:sz w:val="19"/>
        <w:szCs w:val="19"/>
      </w:rPr>
      <w:t>Electronic</w:t>
    </w:r>
    <w:r>
      <w:rPr>
        <w:rFonts w:ascii="Arial" w:hAnsi="Arial" w:eastAsia="Arial" w:cs="Arial"/>
        <w:color w:val="B2B2B2"/>
        <w:spacing w:val="13"/>
        <w:sz w:val="19"/>
        <w:szCs w:val="19"/>
      </w:rPr>
      <w:t xml:space="preserve"> </w:t>
    </w:r>
    <w:r>
      <w:rPr>
        <w:rFonts w:ascii="Arial" w:hAnsi="Arial" w:eastAsia="Arial" w:cs="Arial"/>
        <w:color w:val="B2B2B2"/>
        <w:sz w:val="19"/>
        <w:szCs w:val="19"/>
      </w:rPr>
      <w:t>publishing</w:t>
    </w:r>
    <w:r>
      <w:rPr>
        <w:rFonts w:ascii="Arial" w:hAnsi="Arial" w:eastAsia="Arial" w:cs="Arial"/>
        <w:color w:val="B2B2B2"/>
        <w:spacing w:val="13"/>
        <w:sz w:val="19"/>
        <w:szCs w:val="19"/>
      </w:rPr>
      <w:t xml:space="preserve"> </w:t>
    </w:r>
    <w:r>
      <w:rPr>
        <w:rFonts w:ascii="Arial" w:hAnsi="Arial" w:eastAsia="Arial" w:cs="Arial"/>
        <w:color w:val="B2B2B2"/>
        <w:sz w:val="19"/>
        <w:szCs w:val="19"/>
      </w:rPr>
      <w:t>House</w:t>
    </w:r>
    <w:r>
      <w:rPr>
        <w:rFonts w:ascii="Arial" w:hAnsi="Arial" w:eastAsia="Arial" w:cs="Arial"/>
        <w:color w:val="B2B2B2"/>
        <w:spacing w:val="13"/>
        <w:sz w:val="19"/>
        <w:szCs w:val="19"/>
      </w:rPr>
      <w:t xml:space="preserve">. </w:t>
    </w:r>
    <w:r>
      <w:rPr>
        <w:rFonts w:ascii="Arial" w:hAnsi="Arial" w:eastAsia="Arial" w:cs="Arial"/>
        <w:color w:val="B2B2B2"/>
        <w:sz w:val="19"/>
        <w:szCs w:val="19"/>
      </w:rPr>
      <w:t>All</w:t>
    </w:r>
    <w:r>
      <w:rPr>
        <w:rFonts w:ascii="Arial" w:hAnsi="Arial" w:eastAsia="Arial" w:cs="Arial"/>
        <w:color w:val="B2B2B2"/>
        <w:spacing w:val="13"/>
        <w:sz w:val="19"/>
        <w:szCs w:val="19"/>
      </w:rPr>
      <w:t xml:space="preserve"> </w:t>
    </w:r>
    <w:r>
      <w:rPr>
        <w:rFonts w:ascii="Arial" w:hAnsi="Arial" w:eastAsia="Arial" w:cs="Arial"/>
        <w:color w:val="B2B2B2"/>
        <w:sz w:val="19"/>
        <w:szCs w:val="19"/>
      </w:rPr>
      <w:t>rights</w:t>
    </w:r>
    <w:r>
      <w:rPr>
        <w:rFonts w:ascii="Arial" w:hAnsi="Arial" w:eastAsia="Arial" w:cs="Arial"/>
        <w:color w:val="B2B2B2"/>
        <w:spacing w:val="13"/>
        <w:sz w:val="19"/>
        <w:szCs w:val="19"/>
      </w:rPr>
      <w:t xml:space="preserve"> </w:t>
    </w:r>
    <w:r>
      <w:rPr>
        <w:rFonts w:ascii="Arial" w:hAnsi="Arial" w:eastAsia="Arial" w:cs="Arial"/>
        <w:color w:val="B2B2B2"/>
        <w:sz w:val="19"/>
        <w:szCs w:val="19"/>
      </w:rPr>
      <w:t>reserved</w:t>
    </w:r>
    <w:r>
      <w:rPr>
        <w:rFonts w:ascii="Arial" w:hAnsi="Arial" w:eastAsia="Arial" w:cs="Arial"/>
        <w:color w:val="B2B2B2"/>
        <w:spacing w:val="13"/>
        <w:sz w:val="19"/>
        <w:szCs w:val="19"/>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16" o:spid="_x0000_s2116" o:spt="202" type="#_x0000_t202" style="position:absolute;left:0pt;margin-left:389.3pt;margin-top:-0.95pt;height:11.7pt;width:87.2pt;z-index:251750400;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B2B2B2"/>
                    <w:sz w:val="20"/>
                    <w:szCs w:val="20"/>
                  </w:rPr>
                  <w:t>http</w:t>
                </w:r>
                <w:r>
                  <w:rPr>
                    <w:rFonts w:ascii="Arial" w:hAnsi="Arial" w:eastAsia="Arial" w:cs="Arial"/>
                    <w:color w:val="B2B2B2"/>
                    <w:spacing w:val="5"/>
                    <w:sz w:val="20"/>
                    <w:szCs w:val="20"/>
                  </w:rPr>
                  <w:t>://</w:t>
                </w:r>
                <w:r>
                  <w:rPr>
                    <w:rFonts w:ascii="Arial" w:hAnsi="Arial" w:eastAsia="Arial" w:cs="Arial"/>
                    <w:color w:val="B2B2B2"/>
                    <w:sz w:val="20"/>
                    <w:szCs w:val="20"/>
                  </w:rPr>
                  <w:t>www</w:t>
                </w:r>
                <w:r>
                  <w:rPr>
                    <w:rFonts w:ascii="Arial" w:hAnsi="Arial" w:eastAsia="Arial" w:cs="Arial"/>
                    <w:color w:val="B2B2B2"/>
                    <w:spacing w:val="5"/>
                    <w:sz w:val="20"/>
                    <w:szCs w:val="20"/>
                  </w:rPr>
                  <w:t>.</w:t>
                </w:r>
                <w:r>
                  <w:rPr>
                    <w:rFonts w:ascii="Arial" w:hAnsi="Arial" w:eastAsia="Arial" w:cs="Arial"/>
                    <w:color w:val="B2B2B2"/>
                    <w:sz w:val="20"/>
                    <w:szCs w:val="20"/>
                  </w:rPr>
                  <w:t>cnki</w:t>
                </w:r>
                <w:r>
                  <w:rPr>
                    <w:rFonts w:ascii="Arial" w:hAnsi="Arial" w:eastAsia="Arial" w:cs="Arial"/>
                    <w:color w:val="B2B2B2"/>
                    <w:spacing w:val="5"/>
                    <w:sz w:val="20"/>
                    <w:szCs w:val="20"/>
                  </w:rPr>
                  <w:t>.</w:t>
                </w:r>
                <w:r>
                  <w:rPr>
                    <w:rFonts w:ascii="Arial" w:hAnsi="Arial" w:eastAsia="Arial" w:cs="Arial"/>
                    <w:color w:val="B2B2B2"/>
                    <w:sz w:val="20"/>
                    <w:szCs w:val="20"/>
                  </w:rPr>
                  <w:t>net</w:t>
                </w:r>
              </w:p>
            </w:txbxContent>
          </v:textbox>
        </v:shape>
      </w:pict>
    </w:r>
    <w:r>
      <w:rPr>
        <w:rFonts w:ascii="Arial" w:hAnsi="Arial" w:eastAsia="Arial" w:cs="Arial"/>
        <w:color w:val="B2B2B2"/>
        <w:spacing w:val="13"/>
        <w:sz w:val="19"/>
        <w:szCs w:val="19"/>
      </w:rPr>
      <w:t xml:space="preserve">(c)1994-2022 </w:t>
    </w:r>
    <w:r>
      <w:rPr>
        <w:rFonts w:ascii="Arial" w:hAnsi="Arial" w:eastAsia="Arial" w:cs="Arial"/>
        <w:color w:val="B2B2B2"/>
        <w:sz w:val="19"/>
        <w:szCs w:val="19"/>
      </w:rPr>
      <w:t>china</w:t>
    </w:r>
    <w:r>
      <w:rPr>
        <w:rFonts w:ascii="Arial" w:hAnsi="Arial" w:eastAsia="Arial" w:cs="Arial"/>
        <w:color w:val="B2B2B2"/>
        <w:spacing w:val="13"/>
        <w:sz w:val="19"/>
        <w:szCs w:val="19"/>
      </w:rPr>
      <w:t xml:space="preserve"> </w:t>
    </w:r>
    <w:r>
      <w:rPr>
        <w:rFonts w:ascii="Arial" w:hAnsi="Arial" w:eastAsia="Arial" w:cs="Arial"/>
        <w:color w:val="B2B2B2"/>
        <w:sz w:val="19"/>
        <w:szCs w:val="19"/>
      </w:rPr>
      <w:t>Academic</w:t>
    </w:r>
    <w:r>
      <w:rPr>
        <w:rFonts w:ascii="Arial" w:hAnsi="Arial" w:eastAsia="Arial" w:cs="Arial"/>
        <w:color w:val="B2B2B2"/>
        <w:spacing w:val="13"/>
        <w:sz w:val="19"/>
        <w:szCs w:val="19"/>
      </w:rPr>
      <w:t xml:space="preserve"> </w:t>
    </w:r>
    <w:r>
      <w:rPr>
        <w:rFonts w:ascii="Arial" w:hAnsi="Arial" w:eastAsia="Arial" w:cs="Arial"/>
        <w:color w:val="B2B2B2"/>
        <w:sz w:val="19"/>
        <w:szCs w:val="19"/>
      </w:rPr>
      <w:t>Journal</w:t>
    </w:r>
    <w:r>
      <w:rPr>
        <w:rFonts w:ascii="Arial" w:hAnsi="Arial" w:eastAsia="Arial" w:cs="Arial"/>
        <w:color w:val="B2B2B2"/>
        <w:spacing w:val="13"/>
        <w:sz w:val="19"/>
        <w:szCs w:val="19"/>
      </w:rPr>
      <w:t xml:space="preserve"> </w:t>
    </w:r>
    <w:r>
      <w:rPr>
        <w:rFonts w:ascii="Arial" w:hAnsi="Arial" w:eastAsia="Arial" w:cs="Arial"/>
        <w:color w:val="B2B2B2"/>
        <w:sz w:val="19"/>
        <w:szCs w:val="19"/>
      </w:rPr>
      <w:t>Electronic</w:t>
    </w:r>
    <w:r>
      <w:rPr>
        <w:rFonts w:ascii="Arial" w:hAnsi="Arial" w:eastAsia="Arial" w:cs="Arial"/>
        <w:color w:val="B2B2B2"/>
        <w:spacing w:val="13"/>
        <w:sz w:val="19"/>
        <w:szCs w:val="19"/>
      </w:rPr>
      <w:t xml:space="preserve"> </w:t>
    </w:r>
    <w:r>
      <w:rPr>
        <w:rFonts w:ascii="Arial" w:hAnsi="Arial" w:eastAsia="Arial" w:cs="Arial"/>
        <w:color w:val="B2B2B2"/>
        <w:sz w:val="19"/>
        <w:szCs w:val="19"/>
      </w:rPr>
      <w:t>publishing</w:t>
    </w:r>
    <w:r>
      <w:rPr>
        <w:rFonts w:ascii="Arial" w:hAnsi="Arial" w:eastAsia="Arial" w:cs="Arial"/>
        <w:color w:val="B2B2B2"/>
        <w:spacing w:val="13"/>
        <w:sz w:val="19"/>
        <w:szCs w:val="19"/>
      </w:rPr>
      <w:t xml:space="preserve"> </w:t>
    </w:r>
    <w:r>
      <w:rPr>
        <w:rFonts w:ascii="Arial" w:hAnsi="Arial" w:eastAsia="Arial" w:cs="Arial"/>
        <w:color w:val="B2B2B2"/>
        <w:sz w:val="19"/>
        <w:szCs w:val="19"/>
      </w:rPr>
      <w:t>House</w:t>
    </w:r>
    <w:r>
      <w:rPr>
        <w:rFonts w:ascii="Arial" w:hAnsi="Arial" w:eastAsia="Arial" w:cs="Arial"/>
        <w:color w:val="B2B2B2"/>
        <w:spacing w:val="13"/>
        <w:sz w:val="19"/>
        <w:szCs w:val="19"/>
      </w:rPr>
      <w:t xml:space="preserve">. </w:t>
    </w:r>
    <w:r>
      <w:rPr>
        <w:rFonts w:ascii="Arial" w:hAnsi="Arial" w:eastAsia="Arial" w:cs="Arial"/>
        <w:color w:val="B2B2B2"/>
        <w:sz w:val="19"/>
        <w:szCs w:val="19"/>
      </w:rPr>
      <w:t>All</w:t>
    </w:r>
    <w:r>
      <w:rPr>
        <w:rFonts w:ascii="Arial" w:hAnsi="Arial" w:eastAsia="Arial" w:cs="Arial"/>
        <w:color w:val="B2B2B2"/>
        <w:spacing w:val="13"/>
        <w:sz w:val="19"/>
        <w:szCs w:val="19"/>
      </w:rPr>
      <w:t xml:space="preserve"> </w:t>
    </w:r>
    <w:r>
      <w:rPr>
        <w:rFonts w:ascii="Arial" w:hAnsi="Arial" w:eastAsia="Arial" w:cs="Arial"/>
        <w:color w:val="B2B2B2"/>
        <w:sz w:val="19"/>
        <w:szCs w:val="19"/>
      </w:rPr>
      <w:t>rights</w:t>
    </w:r>
    <w:r>
      <w:rPr>
        <w:rFonts w:ascii="Arial" w:hAnsi="Arial" w:eastAsia="Arial" w:cs="Arial"/>
        <w:color w:val="B2B2B2"/>
        <w:spacing w:val="13"/>
        <w:sz w:val="19"/>
        <w:szCs w:val="19"/>
      </w:rPr>
      <w:t xml:space="preserve"> </w:t>
    </w:r>
    <w:r>
      <w:rPr>
        <w:rFonts w:ascii="Arial" w:hAnsi="Arial" w:eastAsia="Arial" w:cs="Arial"/>
        <w:color w:val="B2B2B2"/>
        <w:sz w:val="19"/>
        <w:szCs w:val="19"/>
      </w:rPr>
      <w:t>reserved</w:t>
    </w:r>
    <w:r>
      <w:rPr>
        <w:rFonts w:ascii="Arial" w:hAnsi="Arial" w:eastAsia="Arial" w:cs="Arial"/>
        <w:color w:val="B2B2B2"/>
        <w:spacing w:val="13"/>
        <w:sz w:val="19"/>
        <w:szCs w:val="19"/>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17" o:spid="_x0000_s2117" o:spt="202" type="#_x0000_t202" style="position:absolute;left:0pt;margin-left:389.3pt;margin-top:-0.95pt;height:11.7pt;width:87.2pt;z-index:25175347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B2B2B2"/>
                    <w:sz w:val="20"/>
                    <w:szCs w:val="20"/>
                  </w:rPr>
                  <w:t>http</w:t>
                </w:r>
                <w:r>
                  <w:rPr>
                    <w:rFonts w:ascii="Arial" w:hAnsi="Arial" w:eastAsia="Arial" w:cs="Arial"/>
                    <w:color w:val="B2B2B2"/>
                    <w:spacing w:val="5"/>
                    <w:sz w:val="20"/>
                    <w:szCs w:val="20"/>
                  </w:rPr>
                  <w:t>://</w:t>
                </w:r>
                <w:r>
                  <w:rPr>
                    <w:rFonts w:ascii="Arial" w:hAnsi="Arial" w:eastAsia="Arial" w:cs="Arial"/>
                    <w:color w:val="B2B2B2"/>
                    <w:sz w:val="20"/>
                    <w:szCs w:val="20"/>
                  </w:rPr>
                  <w:t>www</w:t>
                </w:r>
                <w:r>
                  <w:rPr>
                    <w:rFonts w:ascii="Arial" w:hAnsi="Arial" w:eastAsia="Arial" w:cs="Arial"/>
                    <w:color w:val="B2B2B2"/>
                    <w:spacing w:val="5"/>
                    <w:sz w:val="20"/>
                    <w:szCs w:val="20"/>
                  </w:rPr>
                  <w:t>.</w:t>
                </w:r>
                <w:r>
                  <w:rPr>
                    <w:rFonts w:ascii="Arial" w:hAnsi="Arial" w:eastAsia="Arial" w:cs="Arial"/>
                    <w:color w:val="B2B2B2"/>
                    <w:sz w:val="20"/>
                    <w:szCs w:val="20"/>
                  </w:rPr>
                  <w:t>cnki</w:t>
                </w:r>
                <w:r>
                  <w:rPr>
                    <w:rFonts w:ascii="Arial" w:hAnsi="Arial" w:eastAsia="Arial" w:cs="Arial"/>
                    <w:color w:val="B2B2B2"/>
                    <w:spacing w:val="5"/>
                    <w:sz w:val="20"/>
                    <w:szCs w:val="20"/>
                  </w:rPr>
                  <w:t>.</w:t>
                </w:r>
                <w:r>
                  <w:rPr>
                    <w:rFonts w:ascii="Arial" w:hAnsi="Arial" w:eastAsia="Arial" w:cs="Arial"/>
                    <w:color w:val="B2B2B2"/>
                    <w:sz w:val="20"/>
                    <w:szCs w:val="20"/>
                  </w:rPr>
                  <w:t>net</w:t>
                </w:r>
              </w:p>
            </w:txbxContent>
          </v:textbox>
        </v:shape>
      </w:pict>
    </w:r>
    <w:r>
      <w:rPr>
        <w:rFonts w:ascii="Arial" w:hAnsi="Arial" w:eastAsia="Arial" w:cs="Arial"/>
        <w:color w:val="B2B2B2"/>
        <w:spacing w:val="13"/>
        <w:sz w:val="19"/>
        <w:szCs w:val="19"/>
      </w:rPr>
      <w:t xml:space="preserve">(c)1994-2022 </w:t>
    </w:r>
    <w:r>
      <w:rPr>
        <w:rFonts w:ascii="Arial" w:hAnsi="Arial" w:eastAsia="Arial" w:cs="Arial"/>
        <w:color w:val="B2B2B2"/>
        <w:sz w:val="19"/>
        <w:szCs w:val="19"/>
      </w:rPr>
      <w:t>china</w:t>
    </w:r>
    <w:r>
      <w:rPr>
        <w:rFonts w:ascii="Arial" w:hAnsi="Arial" w:eastAsia="Arial" w:cs="Arial"/>
        <w:color w:val="B2B2B2"/>
        <w:spacing w:val="13"/>
        <w:sz w:val="19"/>
        <w:szCs w:val="19"/>
      </w:rPr>
      <w:t xml:space="preserve"> </w:t>
    </w:r>
    <w:r>
      <w:rPr>
        <w:rFonts w:ascii="Arial" w:hAnsi="Arial" w:eastAsia="Arial" w:cs="Arial"/>
        <w:color w:val="B2B2B2"/>
        <w:sz w:val="19"/>
        <w:szCs w:val="19"/>
      </w:rPr>
      <w:t>Academic</w:t>
    </w:r>
    <w:r>
      <w:rPr>
        <w:rFonts w:ascii="Arial" w:hAnsi="Arial" w:eastAsia="Arial" w:cs="Arial"/>
        <w:color w:val="B2B2B2"/>
        <w:spacing w:val="13"/>
        <w:sz w:val="19"/>
        <w:szCs w:val="19"/>
      </w:rPr>
      <w:t xml:space="preserve"> </w:t>
    </w:r>
    <w:r>
      <w:rPr>
        <w:rFonts w:ascii="Arial" w:hAnsi="Arial" w:eastAsia="Arial" w:cs="Arial"/>
        <w:color w:val="B2B2B2"/>
        <w:sz w:val="19"/>
        <w:szCs w:val="19"/>
      </w:rPr>
      <w:t>Journal</w:t>
    </w:r>
    <w:r>
      <w:rPr>
        <w:rFonts w:ascii="Arial" w:hAnsi="Arial" w:eastAsia="Arial" w:cs="Arial"/>
        <w:color w:val="B2B2B2"/>
        <w:spacing w:val="13"/>
        <w:sz w:val="19"/>
        <w:szCs w:val="19"/>
      </w:rPr>
      <w:t xml:space="preserve"> </w:t>
    </w:r>
    <w:r>
      <w:rPr>
        <w:rFonts w:ascii="Arial" w:hAnsi="Arial" w:eastAsia="Arial" w:cs="Arial"/>
        <w:color w:val="B2B2B2"/>
        <w:sz w:val="19"/>
        <w:szCs w:val="19"/>
      </w:rPr>
      <w:t>Electronic</w:t>
    </w:r>
    <w:r>
      <w:rPr>
        <w:rFonts w:ascii="Arial" w:hAnsi="Arial" w:eastAsia="Arial" w:cs="Arial"/>
        <w:color w:val="B2B2B2"/>
        <w:spacing w:val="13"/>
        <w:sz w:val="19"/>
        <w:szCs w:val="19"/>
      </w:rPr>
      <w:t xml:space="preserve"> </w:t>
    </w:r>
    <w:r>
      <w:rPr>
        <w:rFonts w:ascii="Arial" w:hAnsi="Arial" w:eastAsia="Arial" w:cs="Arial"/>
        <w:color w:val="B2B2B2"/>
        <w:sz w:val="19"/>
        <w:szCs w:val="19"/>
      </w:rPr>
      <w:t>publishing</w:t>
    </w:r>
    <w:r>
      <w:rPr>
        <w:rFonts w:ascii="Arial" w:hAnsi="Arial" w:eastAsia="Arial" w:cs="Arial"/>
        <w:color w:val="B2B2B2"/>
        <w:spacing w:val="13"/>
        <w:sz w:val="19"/>
        <w:szCs w:val="19"/>
      </w:rPr>
      <w:t xml:space="preserve"> </w:t>
    </w:r>
    <w:r>
      <w:rPr>
        <w:rFonts w:ascii="Arial" w:hAnsi="Arial" w:eastAsia="Arial" w:cs="Arial"/>
        <w:color w:val="B2B2B2"/>
        <w:sz w:val="19"/>
        <w:szCs w:val="19"/>
      </w:rPr>
      <w:t>House</w:t>
    </w:r>
    <w:r>
      <w:rPr>
        <w:rFonts w:ascii="Arial" w:hAnsi="Arial" w:eastAsia="Arial" w:cs="Arial"/>
        <w:color w:val="B2B2B2"/>
        <w:spacing w:val="13"/>
        <w:sz w:val="19"/>
        <w:szCs w:val="19"/>
      </w:rPr>
      <w:t xml:space="preserve">. </w:t>
    </w:r>
    <w:r>
      <w:rPr>
        <w:rFonts w:ascii="Arial" w:hAnsi="Arial" w:eastAsia="Arial" w:cs="Arial"/>
        <w:color w:val="B2B2B2"/>
        <w:sz w:val="19"/>
        <w:szCs w:val="19"/>
      </w:rPr>
      <w:t>All</w:t>
    </w:r>
    <w:r>
      <w:rPr>
        <w:rFonts w:ascii="Arial" w:hAnsi="Arial" w:eastAsia="Arial" w:cs="Arial"/>
        <w:color w:val="B2B2B2"/>
        <w:spacing w:val="13"/>
        <w:sz w:val="19"/>
        <w:szCs w:val="19"/>
      </w:rPr>
      <w:t xml:space="preserve"> </w:t>
    </w:r>
    <w:r>
      <w:rPr>
        <w:rFonts w:ascii="Arial" w:hAnsi="Arial" w:eastAsia="Arial" w:cs="Arial"/>
        <w:color w:val="B2B2B2"/>
        <w:sz w:val="19"/>
        <w:szCs w:val="19"/>
      </w:rPr>
      <w:t>rights</w:t>
    </w:r>
    <w:r>
      <w:rPr>
        <w:rFonts w:ascii="Arial" w:hAnsi="Arial" w:eastAsia="Arial" w:cs="Arial"/>
        <w:color w:val="B2B2B2"/>
        <w:spacing w:val="13"/>
        <w:sz w:val="19"/>
        <w:szCs w:val="19"/>
      </w:rPr>
      <w:t xml:space="preserve"> </w:t>
    </w:r>
    <w:r>
      <w:rPr>
        <w:rFonts w:ascii="Arial" w:hAnsi="Arial" w:eastAsia="Arial" w:cs="Arial"/>
        <w:color w:val="B2B2B2"/>
        <w:sz w:val="19"/>
        <w:szCs w:val="19"/>
      </w:rPr>
      <w:t>reserved</w:t>
    </w:r>
    <w:r>
      <w:rPr>
        <w:rFonts w:ascii="Arial" w:hAnsi="Arial" w:eastAsia="Arial" w:cs="Arial"/>
        <w:color w:val="B2B2B2"/>
        <w:spacing w:val="13"/>
        <w:sz w:val="19"/>
        <w:szCs w:val="19"/>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18" o:spid="_x0000_s2118" o:spt="202" type="#_x0000_t202" style="position:absolute;left:0pt;margin-left:389.3pt;margin-top:-0.95pt;height:11.7pt;width:87.2pt;z-index:251756544;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B2B2B2"/>
                    <w:sz w:val="20"/>
                    <w:szCs w:val="20"/>
                  </w:rPr>
                  <w:t>http</w:t>
                </w:r>
                <w:r>
                  <w:rPr>
                    <w:rFonts w:ascii="Arial" w:hAnsi="Arial" w:eastAsia="Arial" w:cs="Arial"/>
                    <w:color w:val="B2B2B2"/>
                    <w:spacing w:val="5"/>
                    <w:sz w:val="20"/>
                    <w:szCs w:val="20"/>
                  </w:rPr>
                  <w:t>://</w:t>
                </w:r>
                <w:r>
                  <w:rPr>
                    <w:rFonts w:ascii="Arial" w:hAnsi="Arial" w:eastAsia="Arial" w:cs="Arial"/>
                    <w:color w:val="B2B2B2"/>
                    <w:sz w:val="20"/>
                    <w:szCs w:val="20"/>
                  </w:rPr>
                  <w:t>www</w:t>
                </w:r>
                <w:r>
                  <w:rPr>
                    <w:rFonts w:ascii="Arial" w:hAnsi="Arial" w:eastAsia="Arial" w:cs="Arial"/>
                    <w:color w:val="B2B2B2"/>
                    <w:spacing w:val="5"/>
                    <w:sz w:val="20"/>
                    <w:szCs w:val="20"/>
                  </w:rPr>
                  <w:t>.</w:t>
                </w:r>
                <w:r>
                  <w:rPr>
                    <w:rFonts w:ascii="Arial" w:hAnsi="Arial" w:eastAsia="Arial" w:cs="Arial"/>
                    <w:color w:val="B2B2B2"/>
                    <w:sz w:val="20"/>
                    <w:szCs w:val="20"/>
                  </w:rPr>
                  <w:t>cnki</w:t>
                </w:r>
                <w:r>
                  <w:rPr>
                    <w:rFonts w:ascii="Arial" w:hAnsi="Arial" w:eastAsia="Arial" w:cs="Arial"/>
                    <w:color w:val="B2B2B2"/>
                    <w:spacing w:val="5"/>
                    <w:sz w:val="20"/>
                    <w:szCs w:val="20"/>
                  </w:rPr>
                  <w:t>.</w:t>
                </w:r>
                <w:r>
                  <w:rPr>
                    <w:rFonts w:ascii="Arial" w:hAnsi="Arial" w:eastAsia="Arial" w:cs="Arial"/>
                    <w:color w:val="B2B2B2"/>
                    <w:sz w:val="20"/>
                    <w:szCs w:val="20"/>
                  </w:rPr>
                  <w:t>net</w:t>
                </w:r>
              </w:p>
            </w:txbxContent>
          </v:textbox>
        </v:shape>
      </w:pict>
    </w:r>
    <w:r>
      <w:rPr>
        <w:rFonts w:ascii="Arial" w:hAnsi="Arial" w:eastAsia="Arial" w:cs="Arial"/>
        <w:color w:val="B2B2B2"/>
        <w:spacing w:val="13"/>
        <w:sz w:val="19"/>
        <w:szCs w:val="19"/>
      </w:rPr>
      <w:t xml:space="preserve">(c)1994-2022 </w:t>
    </w:r>
    <w:r>
      <w:rPr>
        <w:rFonts w:ascii="Arial" w:hAnsi="Arial" w:eastAsia="Arial" w:cs="Arial"/>
        <w:color w:val="B2B2B2"/>
        <w:sz w:val="19"/>
        <w:szCs w:val="19"/>
      </w:rPr>
      <w:t>china</w:t>
    </w:r>
    <w:r>
      <w:rPr>
        <w:rFonts w:ascii="Arial" w:hAnsi="Arial" w:eastAsia="Arial" w:cs="Arial"/>
        <w:color w:val="B2B2B2"/>
        <w:spacing w:val="13"/>
        <w:sz w:val="19"/>
        <w:szCs w:val="19"/>
      </w:rPr>
      <w:t xml:space="preserve"> </w:t>
    </w:r>
    <w:r>
      <w:rPr>
        <w:rFonts w:ascii="Arial" w:hAnsi="Arial" w:eastAsia="Arial" w:cs="Arial"/>
        <w:color w:val="B2B2B2"/>
        <w:sz w:val="19"/>
        <w:szCs w:val="19"/>
      </w:rPr>
      <w:t>Academic</w:t>
    </w:r>
    <w:r>
      <w:rPr>
        <w:rFonts w:ascii="Arial" w:hAnsi="Arial" w:eastAsia="Arial" w:cs="Arial"/>
        <w:color w:val="B2B2B2"/>
        <w:spacing w:val="13"/>
        <w:sz w:val="19"/>
        <w:szCs w:val="19"/>
      </w:rPr>
      <w:t xml:space="preserve"> </w:t>
    </w:r>
    <w:r>
      <w:rPr>
        <w:rFonts w:ascii="Arial" w:hAnsi="Arial" w:eastAsia="Arial" w:cs="Arial"/>
        <w:color w:val="B2B2B2"/>
        <w:sz w:val="19"/>
        <w:szCs w:val="19"/>
      </w:rPr>
      <w:t>Journal</w:t>
    </w:r>
    <w:r>
      <w:rPr>
        <w:rFonts w:ascii="Arial" w:hAnsi="Arial" w:eastAsia="Arial" w:cs="Arial"/>
        <w:color w:val="B2B2B2"/>
        <w:spacing w:val="13"/>
        <w:sz w:val="19"/>
        <w:szCs w:val="19"/>
      </w:rPr>
      <w:t xml:space="preserve"> </w:t>
    </w:r>
    <w:r>
      <w:rPr>
        <w:rFonts w:ascii="Arial" w:hAnsi="Arial" w:eastAsia="Arial" w:cs="Arial"/>
        <w:color w:val="B2B2B2"/>
        <w:sz w:val="19"/>
        <w:szCs w:val="19"/>
      </w:rPr>
      <w:t>Electronic</w:t>
    </w:r>
    <w:r>
      <w:rPr>
        <w:rFonts w:ascii="Arial" w:hAnsi="Arial" w:eastAsia="Arial" w:cs="Arial"/>
        <w:color w:val="B2B2B2"/>
        <w:spacing w:val="13"/>
        <w:sz w:val="19"/>
        <w:szCs w:val="19"/>
      </w:rPr>
      <w:t xml:space="preserve"> </w:t>
    </w:r>
    <w:r>
      <w:rPr>
        <w:rFonts w:ascii="Arial" w:hAnsi="Arial" w:eastAsia="Arial" w:cs="Arial"/>
        <w:color w:val="B2B2B2"/>
        <w:sz w:val="19"/>
        <w:szCs w:val="19"/>
      </w:rPr>
      <w:t>publishing</w:t>
    </w:r>
    <w:r>
      <w:rPr>
        <w:rFonts w:ascii="Arial" w:hAnsi="Arial" w:eastAsia="Arial" w:cs="Arial"/>
        <w:color w:val="B2B2B2"/>
        <w:spacing w:val="13"/>
        <w:sz w:val="19"/>
        <w:szCs w:val="19"/>
      </w:rPr>
      <w:t xml:space="preserve"> </w:t>
    </w:r>
    <w:r>
      <w:rPr>
        <w:rFonts w:ascii="Arial" w:hAnsi="Arial" w:eastAsia="Arial" w:cs="Arial"/>
        <w:color w:val="B2B2B2"/>
        <w:sz w:val="19"/>
        <w:szCs w:val="19"/>
      </w:rPr>
      <w:t>House</w:t>
    </w:r>
    <w:r>
      <w:rPr>
        <w:rFonts w:ascii="Arial" w:hAnsi="Arial" w:eastAsia="Arial" w:cs="Arial"/>
        <w:color w:val="B2B2B2"/>
        <w:spacing w:val="13"/>
        <w:sz w:val="19"/>
        <w:szCs w:val="19"/>
      </w:rPr>
      <w:t xml:space="preserve">. </w:t>
    </w:r>
    <w:r>
      <w:rPr>
        <w:rFonts w:ascii="Arial" w:hAnsi="Arial" w:eastAsia="Arial" w:cs="Arial"/>
        <w:color w:val="B2B2B2"/>
        <w:sz w:val="19"/>
        <w:szCs w:val="19"/>
      </w:rPr>
      <w:t>All</w:t>
    </w:r>
    <w:r>
      <w:rPr>
        <w:rFonts w:ascii="Arial" w:hAnsi="Arial" w:eastAsia="Arial" w:cs="Arial"/>
        <w:color w:val="B2B2B2"/>
        <w:spacing w:val="13"/>
        <w:sz w:val="19"/>
        <w:szCs w:val="19"/>
      </w:rPr>
      <w:t xml:space="preserve"> </w:t>
    </w:r>
    <w:r>
      <w:rPr>
        <w:rFonts w:ascii="Arial" w:hAnsi="Arial" w:eastAsia="Arial" w:cs="Arial"/>
        <w:color w:val="B2B2B2"/>
        <w:sz w:val="19"/>
        <w:szCs w:val="19"/>
      </w:rPr>
      <w:t>rights</w:t>
    </w:r>
    <w:r>
      <w:rPr>
        <w:rFonts w:ascii="Arial" w:hAnsi="Arial" w:eastAsia="Arial" w:cs="Arial"/>
        <w:color w:val="B2B2B2"/>
        <w:spacing w:val="13"/>
        <w:sz w:val="19"/>
        <w:szCs w:val="19"/>
      </w:rPr>
      <w:t xml:space="preserve"> </w:t>
    </w:r>
    <w:r>
      <w:rPr>
        <w:rFonts w:ascii="Arial" w:hAnsi="Arial" w:eastAsia="Arial" w:cs="Arial"/>
        <w:color w:val="B2B2B2"/>
        <w:sz w:val="19"/>
        <w:szCs w:val="19"/>
      </w:rPr>
      <w:t>reserved</w:t>
    </w:r>
    <w:r>
      <w:rPr>
        <w:rFonts w:ascii="Arial" w:hAnsi="Arial" w:eastAsia="Arial" w:cs="Arial"/>
        <w:color w:val="B2B2B2"/>
        <w:spacing w:val="13"/>
        <w:sz w:val="19"/>
        <w:szCs w:val="19"/>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19" o:spid="_x0000_s2119" o:spt="202" type="#_x0000_t202" style="position:absolute;left:0pt;margin-left:389.3pt;margin-top:-0.95pt;height:11.7pt;width:87.2pt;z-index:25175347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B2B2B2"/>
                    <w:sz w:val="20"/>
                    <w:szCs w:val="20"/>
                  </w:rPr>
                  <w:t>http</w:t>
                </w:r>
                <w:r>
                  <w:rPr>
                    <w:rFonts w:ascii="Arial" w:hAnsi="Arial" w:eastAsia="Arial" w:cs="Arial"/>
                    <w:color w:val="B2B2B2"/>
                    <w:spacing w:val="5"/>
                    <w:sz w:val="20"/>
                    <w:szCs w:val="20"/>
                  </w:rPr>
                  <w:t>://</w:t>
                </w:r>
                <w:r>
                  <w:rPr>
                    <w:rFonts w:ascii="Arial" w:hAnsi="Arial" w:eastAsia="Arial" w:cs="Arial"/>
                    <w:color w:val="B2B2B2"/>
                    <w:sz w:val="20"/>
                    <w:szCs w:val="20"/>
                  </w:rPr>
                  <w:t>www</w:t>
                </w:r>
                <w:r>
                  <w:rPr>
                    <w:rFonts w:ascii="Arial" w:hAnsi="Arial" w:eastAsia="Arial" w:cs="Arial"/>
                    <w:color w:val="B2B2B2"/>
                    <w:spacing w:val="5"/>
                    <w:sz w:val="20"/>
                    <w:szCs w:val="20"/>
                  </w:rPr>
                  <w:t>.</w:t>
                </w:r>
                <w:r>
                  <w:rPr>
                    <w:rFonts w:ascii="Arial" w:hAnsi="Arial" w:eastAsia="Arial" w:cs="Arial"/>
                    <w:color w:val="B2B2B2"/>
                    <w:sz w:val="20"/>
                    <w:szCs w:val="20"/>
                  </w:rPr>
                  <w:t>cnki</w:t>
                </w:r>
                <w:r>
                  <w:rPr>
                    <w:rFonts w:ascii="Arial" w:hAnsi="Arial" w:eastAsia="Arial" w:cs="Arial"/>
                    <w:color w:val="B2B2B2"/>
                    <w:spacing w:val="5"/>
                    <w:sz w:val="20"/>
                    <w:szCs w:val="20"/>
                  </w:rPr>
                  <w:t>.</w:t>
                </w:r>
                <w:r>
                  <w:rPr>
                    <w:rFonts w:ascii="Arial" w:hAnsi="Arial" w:eastAsia="Arial" w:cs="Arial"/>
                    <w:color w:val="B2B2B2"/>
                    <w:sz w:val="20"/>
                    <w:szCs w:val="20"/>
                  </w:rPr>
                  <w:t>net</w:t>
                </w:r>
              </w:p>
            </w:txbxContent>
          </v:textbox>
        </v:shape>
      </w:pict>
    </w:r>
    <w:r>
      <w:rPr>
        <w:rFonts w:ascii="Arial" w:hAnsi="Arial" w:eastAsia="Arial" w:cs="Arial"/>
        <w:color w:val="B2B2B2"/>
        <w:spacing w:val="13"/>
        <w:sz w:val="19"/>
        <w:szCs w:val="19"/>
      </w:rPr>
      <w:t xml:space="preserve">(c)1994-2022 </w:t>
    </w:r>
    <w:r>
      <w:rPr>
        <w:rFonts w:ascii="Arial" w:hAnsi="Arial" w:eastAsia="Arial" w:cs="Arial"/>
        <w:color w:val="B2B2B2"/>
        <w:sz w:val="19"/>
        <w:szCs w:val="19"/>
      </w:rPr>
      <w:t>china</w:t>
    </w:r>
    <w:r>
      <w:rPr>
        <w:rFonts w:ascii="Arial" w:hAnsi="Arial" w:eastAsia="Arial" w:cs="Arial"/>
        <w:color w:val="B2B2B2"/>
        <w:spacing w:val="13"/>
        <w:sz w:val="19"/>
        <w:szCs w:val="19"/>
      </w:rPr>
      <w:t xml:space="preserve"> </w:t>
    </w:r>
    <w:r>
      <w:rPr>
        <w:rFonts w:ascii="Arial" w:hAnsi="Arial" w:eastAsia="Arial" w:cs="Arial"/>
        <w:color w:val="B2B2B2"/>
        <w:sz w:val="19"/>
        <w:szCs w:val="19"/>
      </w:rPr>
      <w:t>Academic</w:t>
    </w:r>
    <w:r>
      <w:rPr>
        <w:rFonts w:ascii="Arial" w:hAnsi="Arial" w:eastAsia="Arial" w:cs="Arial"/>
        <w:color w:val="B2B2B2"/>
        <w:spacing w:val="13"/>
        <w:sz w:val="19"/>
        <w:szCs w:val="19"/>
      </w:rPr>
      <w:t xml:space="preserve"> </w:t>
    </w:r>
    <w:r>
      <w:rPr>
        <w:rFonts w:ascii="Arial" w:hAnsi="Arial" w:eastAsia="Arial" w:cs="Arial"/>
        <w:color w:val="B2B2B2"/>
        <w:sz w:val="19"/>
        <w:szCs w:val="19"/>
      </w:rPr>
      <w:t>Journal</w:t>
    </w:r>
    <w:r>
      <w:rPr>
        <w:rFonts w:ascii="Arial" w:hAnsi="Arial" w:eastAsia="Arial" w:cs="Arial"/>
        <w:color w:val="B2B2B2"/>
        <w:spacing w:val="13"/>
        <w:sz w:val="19"/>
        <w:szCs w:val="19"/>
      </w:rPr>
      <w:t xml:space="preserve"> </w:t>
    </w:r>
    <w:r>
      <w:rPr>
        <w:rFonts w:ascii="Arial" w:hAnsi="Arial" w:eastAsia="Arial" w:cs="Arial"/>
        <w:color w:val="B2B2B2"/>
        <w:sz w:val="19"/>
        <w:szCs w:val="19"/>
      </w:rPr>
      <w:t>Electronic</w:t>
    </w:r>
    <w:r>
      <w:rPr>
        <w:rFonts w:ascii="Arial" w:hAnsi="Arial" w:eastAsia="Arial" w:cs="Arial"/>
        <w:color w:val="B2B2B2"/>
        <w:spacing w:val="13"/>
        <w:sz w:val="19"/>
        <w:szCs w:val="19"/>
      </w:rPr>
      <w:t xml:space="preserve"> </w:t>
    </w:r>
    <w:r>
      <w:rPr>
        <w:rFonts w:ascii="Arial" w:hAnsi="Arial" w:eastAsia="Arial" w:cs="Arial"/>
        <w:color w:val="B2B2B2"/>
        <w:sz w:val="19"/>
        <w:szCs w:val="19"/>
      </w:rPr>
      <w:t>publishing</w:t>
    </w:r>
    <w:r>
      <w:rPr>
        <w:rFonts w:ascii="Arial" w:hAnsi="Arial" w:eastAsia="Arial" w:cs="Arial"/>
        <w:color w:val="B2B2B2"/>
        <w:spacing w:val="13"/>
        <w:sz w:val="19"/>
        <w:szCs w:val="19"/>
      </w:rPr>
      <w:t xml:space="preserve"> </w:t>
    </w:r>
    <w:r>
      <w:rPr>
        <w:rFonts w:ascii="Arial" w:hAnsi="Arial" w:eastAsia="Arial" w:cs="Arial"/>
        <w:color w:val="B2B2B2"/>
        <w:sz w:val="19"/>
        <w:szCs w:val="19"/>
      </w:rPr>
      <w:t>House</w:t>
    </w:r>
    <w:r>
      <w:rPr>
        <w:rFonts w:ascii="Arial" w:hAnsi="Arial" w:eastAsia="Arial" w:cs="Arial"/>
        <w:color w:val="B2B2B2"/>
        <w:spacing w:val="13"/>
        <w:sz w:val="19"/>
        <w:szCs w:val="19"/>
      </w:rPr>
      <w:t xml:space="preserve">. </w:t>
    </w:r>
    <w:r>
      <w:rPr>
        <w:rFonts w:ascii="Arial" w:hAnsi="Arial" w:eastAsia="Arial" w:cs="Arial"/>
        <w:color w:val="B2B2B2"/>
        <w:sz w:val="19"/>
        <w:szCs w:val="19"/>
      </w:rPr>
      <w:t>All</w:t>
    </w:r>
    <w:r>
      <w:rPr>
        <w:rFonts w:ascii="Arial" w:hAnsi="Arial" w:eastAsia="Arial" w:cs="Arial"/>
        <w:color w:val="B2B2B2"/>
        <w:spacing w:val="13"/>
        <w:sz w:val="19"/>
        <w:szCs w:val="19"/>
      </w:rPr>
      <w:t xml:space="preserve"> </w:t>
    </w:r>
    <w:r>
      <w:rPr>
        <w:rFonts w:ascii="Arial" w:hAnsi="Arial" w:eastAsia="Arial" w:cs="Arial"/>
        <w:color w:val="B2B2B2"/>
        <w:sz w:val="19"/>
        <w:szCs w:val="19"/>
      </w:rPr>
      <w:t>rights</w:t>
    </w:r>
    <w:r>
      <w:rPr>
        <w:rFonts w:ascii="Arial" w:hAnsi="Arial" w:eastAsia="Arial" w:cs="Arial"/>
        <w:color w:val="B2B2B2"/>
        <w:spacing w:val="13"/>
        <w:sz w:val="19"/>
        <w:szCs w:val="19"/>
      </w:rPr>
      <w:t xml:space="preserve"> </w:t>
    </w:r>
    <w:r>
      <w:rPr>
        <w:rFonts w:ascii="Arial" w:hAnsi="Arial" w:eastAsia="Arial" w:cs="Arial"/>
        <w:color w:val="B2B2B2"/>
        <w:sz w:val="19"/>
        <w:szCs w:val="19"/>
      </w:rPr>
      <w:t>reserved</w:t>
    </w:r>
    <w:r>
      <w:rPr>
        <w:rFonts w:ascii="Arial" w:hAnsi="Arial" w:eastAsia="Arial" w:cs="Arial"/>
        <w:color w:val="B2B2B2"/>
        <w:spacing w:val="13"/>
        <w:sz w:val="19"/>
        <w:szCs w:val="19"/>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20" o:spid="_x0000_s2120" o:spt="202" type="#_x0000_t202" style="position:absolute;left:0pt;margin-left:389.3pt;margin-top:-0.95pt;height:11.7pt;width:87.2pt;z-index:251761664;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B2B2B2"/>
                    <w:sz w:val="20"/>
                    <w:szCs w:val="20"/>
                  </w:rPr>
                  <w:t>http</w:t>
                </w:r>
                <w:r>
                  <w:rPr>
                    <w:rFonts w:ascii="Arial" w:hAnsi="Arial" w:eastAsia="Arial" w:cs="Arial"/>
                    <w:color w:val="B2B2B2"/>
                    <w:spacing w:val="5"/>
                    <w:sz w:val="20"/>
                    <w:szCs w:val="20"/>
                  </w:rPr>
                  <w:t>://</w:t>
                </w:r>
                <w:r>
                  <w:rPr>
                    <w:rFonts w:ascii="Arial" w:hAnsi="Arial" w:eastAsia="Arial" w:cs="Arial"/>
                    <w:color w:val="B2B2B2"/>
                    <w:sz w:val="20"/>
                    <w:szCs w:val="20"/>
                  </w:rPr>
                  <w:t>www</w:t>
                </w:r>
                <w:r>
                  <w:rPr>
                    <w:rFonts w:ascii="Arial" w:hAnsi="Arial" w:eastAsia="Arial" w:cs="Arial"/>
                    <w:color w:val="B2B2B2"/>
                    <w:spacing w:val="5"/>
                    <w:sz w:val="20"/>
                    <w:szCs w:val="20"/>
                  </w:rPr>
                  <w:t>.</w:t>
                </w:r>
                <w:r>
                  <w:rPr>
                    <w:rFonts w:ascii="Arial" w:hAnsi="Arial" w:eastAsia="Arial" w:cs="Arial"/>
                    <w:color w:val="B2B2B2"/>
                    <w:sz w:val="20"/>
                    <w:szCs w:val="20"/>
                  </w:rPr>
                  <w:t>cnki</w:t>
                </w:r>
                <w:r>
                  <w:rPr>
                    <w:rFonts w:ascii="Arial" w:hAnsi="Arial" w:eastAsia="Arial" w:cs="Arial"/>
                    <w:color w:val="B2B2B2"/>
                    <w:spacing w:val="5"/>
                    <w:sz w:val="20"/>
                    <w:szCs w:val="20"/>
                  </w:rPr>
                  <w:t>.</w:t>
                </w:r>
                <w:r>
                  <w:rPr>
                    <w:rFonts w:ascii="Arial" w:hAnsi="Arial" w:eastAsia="Arial" w:cs="Arial"/>
                    <w:color w:val="B2B2B2"/>
                    <w:sz w:val="20"/>
                    <w:szCs w:val="20"/>
                  </w:rPr>
                  <w:t>net</w:t>
                </w:r>
              </w:p>
            </w:txbxContent>
          </v:textbox>
        </v:shape>
      </w:pict>
    </w:r>
    <w:r>
      <w:rPr>
        <w:rFonts w:ascii="Arial" w:hAnsi="Arial" w:eastAsia="Arial" w:cs="Arial"/>
        <w:color w:val="B2B2B2"/>
        <w:spacing w:val="13"/>
        <w:sz w:val="19"/>
        <w:szCs w:val="19"/>
      </w:rPr>
      <w:t xml:space="preserve">(c)1994-2022 </w:t>
    </w:r>
    <w:r>
      <w:rPr>
        <w:rFonts w:ascii="Arial" w:hAnsi="Arial" w:eastAsia="Arial" w:cs="Arial"/>
        <w:color w:val="B2B2B2"/>
        <w:sz w:val="19"/>
        <w:szCs w:val="19"/>
      </w:rPr>
      <w:t>china</w:t>
    </w:r>
    <w:r>
      <w:rPr>
        <w:rFonts w:ascii="Arial" w:hAnsi="Arial" w:eastAsia="Arial" w:cs="Arial"/>
        <w:color w:val="B2B2B2"/>
        <w:spacing w:val="13"/>
        <w:sz w:val="19"/>
        <w:szCs w:val="19"/>
      </w:rPr>
      <w:t xml:space="preserve"> </w:t>
    </w:r>
    <w:r>
      <w:rPr>
        <w:rFonts w:ascii="Arial" w:hAnsi="Arial" w:eastAsia="Arial" w:cs="Arial"/>
        <w:color w:val="B2B2B2"/>
        <w:sz w:val="19"/>
        <w:szCs w:val="19"/>
      </w:rPr>
      <w:t>Academic</w:t>
    </w:r>
    <w:r>
      <w:rPr>
        <w:rFonts w:ascii="Arial" w:hAnsi="Arial" w:eastAsia="Arial" w:cs="Arial"/>
        <w:color w:val="B2B2B2"/>
        <w:spacing w:val="13"/>
        <w:sz w:val="19"/>
        <w:szCs w:val="19"/>
      </w:rPr>
      <w:t xml:space="preserve"> </w:t>
    </w:r>
    <w:r>
      <w:rPr>
        <w:rFonts w:ascii="Arial" w:hAnsi="Arial" w:eastAsia="Arial" w:cs="Arial"/>
        <w:color w:val="B2B2B2"/>
        <w:sz w:val="19"/>
        <w:szCs w:val="19"/>
      </w:rPr>
      <w:t>Journal</w:t>
    </w:r>
    <w:r>
      <w:rPr>
        <w:rFonts w:ascii="Arial" w:hAnsi="Arial" w:eastAsia="Arial" w:cs="Arial"/>
        <w:color w:val="B2B2B2"/>
        <w:spacing w:val="13"/>
        <w:sz w:val="19"/>
        <w:szCs w:val="19"/>
      </w:rPr>
      <w:t xml:space="preserve"> </w:t>
    </w:r>
    <w:r>
      <w:rPr>
        <w:rFonts w:ascii="Arial" w:hAnsi="Arial" w:eastAsia="Arial" w:cs="Arial"/>
        <w:color w:val="B2B2B2"/>
        <w:sz w:val="19"/>
        <w:szCs w:val="19"/>
      </w:rPr>
      <w:t>Electronic</w:t>
    </w:r>
    <w:r>
      <w:rPr>
        <w:rFonts w:ascii="Arial" w:hAnsi="Arial" w:eastAsia="Arial" w:cs="Arial"/>
        <w:color w:val="B2B2B2"/>
        <w:spacing w:val="13"/>
        <w:sz w:val="19"/>
        <w:szCs w:val="19"/>
      </w:rPr>
      <w:t xml:space="preserve"> </w:t>
    </w:r>
    <w:r>
      <w:rPr>
        <w:rFonts w:ascii="Arial" w:hAnsi="Arial" w:eastAsia="Arial" w:cs="Arial"/>
        <w:color w:val="B2B2B2"/>
        <w:sz w:val="19"/>
        <w:szCs w:val="19"/>
      </w:rPr>
      <w:t>publishing</w:t>
    </w:r>
    <w:r>
      <w:rPr>
        <w:rFonts w:ascii="Arial" w:hAnsi="Arial" w:eastAsia="Arial" w:cs="Arial"/>
        <w:color w:val="B2B2B2"/>
        <w:spacing w:val="13"/>
        <w:sz w:val="19"/>
        <w:szCs w:val="19"/>
      </w:rPr>
      <w:t xml:space="preserve"> </w:t>
    </w:r>
    <w:r>
      <w:rPr>
        <w:rFonts w:ascii="Arial" w:hAnsi="Arial" w:eastAsia="Arial" w:cs="Arial"/>
        <w:color w:val="B2B2B2"/>
        <w:sz w:val="19"/>
        <w:szCs w:val="19"/>
      </w:rPr>
      <w:t>House</w:t>
    </w:r>
    <w:r>
      <w:rPr>
        <w:rFonts w:ascii="Arial" w:hAnsi="Arial" w:eastAsia="Arial" w:cs="Arial"/>
        <w:color w:val="B2B2B2"/>
        <w:spacing w:val="13"/>
        <w:sz w:val="19"/>
        <w:szCs w:val="19"/>
      </w:rPr>
      <w:t xml:space="preserve">. </w:t>
    </w:r>
    <w:r>
      <w:rPr>
        <w:rFonts w:ascii="Arial" w:hAnsi="Arial" w:eastAsia="Arial" w:cs="Arial"/>
        <w:color w:val="B2B2B2"/>
        <w:sz w:val="19"/>
        <w:szCs w:val="19"/>
      </w:rPr>
      <w:t>All</w:t>
    </w:r>
    <w:r>
      <w:rPr>
        <w:rFonts w:ascii="Arial" w:hAnsi="Arial" w:eastAsia="Arial" w:cs="Arial"/>
        <w:color w:val="B2B2B2"/>
        <w:spacing w:val="13"/>
        <w:sz w:val="19"/>
        <w:szCs w:val="19"/>
      </w:rPr>
      <w:t xml:space="preserve"> </w:t>
    </w:r>
    <w:r>
      <w:rPr>
        <w:rFonts w:ascii="Arial" w:hAnsi="Arial" w:eastAsia="Arial" w:cs="Arial"/>
        <w:color w:val="B2B2B2"/>
        <w:sz w:val="19"/>
        <w:szCs w:val="19"/>
      </w:rPr>
      <w:t>rights</w:t>
    </w:r>
    <w:r>
      <w:rPr>
        <w:rFonts w:ascii="Arial" w:hAnsi="Arial" w:eastAsia="Arial" w:cs="Arial"/>
        <w:color w:val="B2B2B2"/>
        <w:spacing w:val="13"/>
        <w:sz w:val="19"/>
        <w:szCs w:val="19"/>
      </w:rPr>
      <w:t xml:space="preserve"> </w:t>
    </w:r>
    <w:r>
      <w:rPr>
        <w:rFonts w:ascii="Arial" w:hAnsi="Arial" w:eastAsia="Arial" w:cs="Arial"/>
        <w:color w:val="B2B2B2"/>
        <w:sz w:val="19"/>
        <w:szCs w:val="19"/>
      </w:rPr>
      <w:t>reserved</w:t>
    </w:r>
    <w:r>
      <w:rPr>
        <w:rFonts w:ascii="Arial" w:hAnsi="Arial" w:eastAsia="Arial" w:cs="Arial"/>
        <w:color w:val="B2B2B2"/>
        <w:spacing w:val="13"/>
        <w:sz w:val="19"/>
        <w:szCs w:val="19"/>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26" o:spid="_x0000_s2126" o:spt="202" type="#_x0000_t202" style="position:absolute;left:0pt;margin-left:389.3pt;margin-top:-0.95pt;height:11.7pt;width:87.2pt;z-index:251769856;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37" o:spid="_x0000_s2137" o:spt="202" type="#_x0000_t202" style="position:absolute;left:0pt;margin-left:389.3pt;margin-top:-0.95pt;height:11.7pt;width:87.2pt;z-index:251769856;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43" o:spid="_x0000_s2143" o:spt="202" type="#_x0000_t202" style="position:absolute;left:0pt;margin-left:389.3pt;margin-top:-0.95pt;height:11.7pt;width:87.2pt;z-index:251780096;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56" o:spid="_x0000_s2056" o:spt="202" type="#_x0000_t202" style="position:absolute;left:0pt;margin-left:389.3pt;margin-top:-0.95pt;height:11.7pt;width:87.2pt;z-index:25166643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9"/>
        <w:sz w:val="19"/>
        <w:szCs w:val="19"/>
      </w:rPr>
      <w:t>(c)1994-2023</w:t>
    </w:r>
    <w:r>
      <w:rPr>
        <w:rFonts w:ascii="Arial" w:hAnsi="Arial" w:eastAsia="Arial" w:cs="Arial"/>
        <w:color w:val="999999"/>
        <w:spacing w:val="30"/>
        <w:sz w:val="19"/>
        <w:szCs w:val="19"/>
      </w:rPr>
      <w:t xml:space="preserve"> </w:t>
    </w:r>
    <w:r>
      <w:rPr>
        <w:rFonts w:ascii="Arial" w:hAnsi="Arial" w:eastAsia="Arial" w:cs="Arial"/>
        <w:color w:val="999999"/>
        <w:sz w:val="19"/>
        <w:szCs w:val="19"/>
      </w:rPr>
      <w:t>china</w:t>
    </w:r>
    <w:r>
      <w:rPr>
        <w:rFonts w:ascii="Arial" w:hAnsi="Arial" w:eastAsia="Arial" w:cs="Arial"/>
        <w:color w:val="999999"/>
        <w:spacing w:val="9"/>
        <w:sz w:val="19"/>
        <w:szCs w:val="19"/>
      </w:rPr>
      <w:t xml:space="preserve"> </w:t>
    </w:r>
    <w:r>
      <w:rPr>
        <w:rFonts w:ascii="Arial" w:hAnsi="Arial" w:eastAsia="Arial" w:cs="Arial"/>
        <w:color w:val="999999"/>
        <w:sz w:val="19"/>
        <w:szCs w:val="19"/>
      </w:rPr>
      <w:t>Academic</w:t>
    </w:r>
    <w:r>
      <w:rPr>
        <w:rFonts w:ascii="Arial" w:hAnsi="Arial" w:eastAsia="Arial" w:cs="Arial"/>
        <w:color w:val="999999"/>
        <w:spacing w:val="9"/>
        <w:sz w:val="19"/>
        <w:szCs w:val="19"/>
      </w:rPr>
      <w:t xml:space="preserve"> </w:t>
    </w:r>
    <w:r>
      <w:rPr>
        <w:rFonts w:ascii="Arial" w:hAnsi="Arial" w:eastAsia="Arial" w:cs="Arial"/>
        <w:color w:val="999999"/>
        <w:sz w:val="19"/>
        <w:szCs w:val="19"/>
      </w:rPr>
      <w:t>Journal</w:t>
    </w:r>
    <w:r>
      <w:rPr>
        <w:rFonts w:ascii="Arial" w:hAnsi="Arial" w:eastAsia="Arial" w:cs="Arial"/>
        <w:color w:val="999999"/>
        <w:spacing w:val="9"/>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9"/>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9"/>
        <w:sz w:val="19"/>
        <w:szCs w:val="19"/>
      </w:rPr>
      <w:t xml:space="preserve"> </w:t>
    </w:r>
    <w:r>
      <w:rPr>
        <w:rFonts w:ascii="Arial" w:hAnsi="Arial" w:eastAsia="Arial" w:cs="Arial"/>
        <w:color w:val="999999"/>
        <w:sz w:val="19"/>
        <w:szCs w:val="19"/>
      </w:rPr>
      <w:t>House</w:t>
    </w:r>
    <w:r>
      <w:rPr>
        <w:rFonts w:ascii="Arial" w:hAnsi="Arial" w:eastAsia="Arial" w:cs="Arial"/>
        <w:color w:val="999999"/>
        <w:spacing w:val="9"/>
        <w:sz w:val="19"/>
        <w:szCs w:val="19"/>
      </w:rPr>
      <w:t xml:space="preserve">. </w:t>
    </w:r>
    <w:r>
      <w:rPr>
        <w:rFonts w:ascii="Arial" w:hAnsi="Arial" w:eastAsia="Arial" w:cs="Arial"/>
        <w:color w:val="999999"/>
        <w:sz w:val="19"/>
        <w:szCs w:val="19"/>
      </w:rPr>
      <w:t>Al</w:t>
    </w:r>
    <w:r>
      <w:rPr>
        <w:rFonts w:ascii="Arial" w:hAnsi="Arial" w:eastAsia="Arial" w:cs="Arial"/>
        <w:color w:val="999999"/>
        <w:spacing w:val="9"/>
        <w:sz w:val="19"/>
        <w:szCs w:val="19"/>
      </w:rPr>
      <w:t xml:space="preserve">1 </w:t>
    </w:r>
    <w:r>
      <w:rPr>
        <w:rFonts w:ascii="Arial" w:hAnsi="Arial" w:eastAsia="Arial" w:cs="Arial"/>
        <w:color w:val="999999"/>
        <w:sz w:val="19"/>
        <w:szCs w:val="19"/>
      </w:rPr>
      <w:t>rights</w:t>
    </w:r>
    <w:r>
      <w:rPr>
        <w:rFonts w:ascii="Arial" w:hAnsi="Arial" w:eastAsia="Arial" w:cs="Arial"/>
        <w:color w:val="999999"/>
        <w:spacing w:val="9"/>
        <w:sz w:val="19"/>
        <w:szCs w:val="19"/>
      </w:rPr>
      <w:t xml:space="preserve"> </w:t>
    </w:r>
    <w:r>
      <w:rPr>
        <w:rFonts w:ascii="Arial" w:hAnsi="Arial" w:eastAsia="Arial" w:cs="Arial"/>
        <w:color w:val="999999"/>
        <w:sz w:val="19"/>
        <w:szCs w:val="19"/>
      </w:rPr>
      <w:t>reserved</w:t>
    </w:r>
    <w:r>
      <w:rPr>
        <w:rFonts w:ascii="Arial" w:hAnsi="Arial" w:eastAsia="Arial" w:cs="Arial"/>
        <w:color w:val="999999"/>
        <w:spacing w:val="9"/>
        <w:sz w:val="19"/>
        <w:szCs w:val="19"/>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49" o:spid="_x0000_s2149" o:spt="202" type="#_x0000_t202" style="position:absolute;left:0pt;margin-left:389.3pt;margin-top:-0.95pt;height:11.7pt;width:87.2pt;z-index:251769856;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55" o:spid="_x0000_s2155" o:spt="202" type="#_x0000_t202" style="position:absolute;left:0pt;margin-left:389.3pt;margin-top:-0.95pt;height:11.7pt;width:87.2pt;z-index:251783168;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61" o:spid="_x0000_s2161" o:spt="202" type="#_x0000_t202" style="position:absolute;left:0pt;margin-left:389.3pt;margin-top:-0.95pt;height:11.7pt;width:87.2pt;z-index:251786240;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67" o:spid="_x0000_s2167" o:spt="202" type="#_x0000_t202" style="position:absolute;left:0pt;margin-left:389.3pt;margin-top:-0.95pt;height:11.7pt;width:87.2pt;z-index:251780096;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173" o:spid="_x0000_s2173" o:spt="202" type="#_x0000_t202" style="position:absolute;left:0pt;margin-left:389.3pt;margin-top:-0.95pt;height:11.7pt;width:87.2pt;z-index:251769856;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3"/>
        <w:sz w:val="19"/>
        <w:szCs w:val="19"/>
      </w:rPr>
      <w:t xml:space="preserve">(c)1994-2022 </w:t>
    </w:r>
    <w:r>
      <w:rPr>
        <w:rFonts w:ascii="Arial" w:hAnsi="Arial" w:eastAsia="Arial" w:cs="Arial"/>
        <w:color w:val="999999"/>
        <w:sz w:val="19"/>
        <w:szCs w:val="19"/>
      </w:rPr>
      <w:t>china</w:t>
    </w:r>
    <w:r>
      <w:rPr>
        <w:rFonts w:ascii="Arial" w:hAnsi="Arial" w:eastAsia="Arial" w:cs="Arial"/>
        <w:color w:val="999999"/>
        <w:spacing w:val="13"/>
        <w:sz w:val="19"/>
        <w:szCs w:val="19"/>
      </w:rPr>
      <w:t xml:space="preserve"> </w:t>
    </w:r>
    <w:r>
      <w:rPr>
        <w:rFonts w:ascii="Arial" w:hAnsi="Arial" w:eastAsia="Arial" w:cs="Arial"/>
        <w:color w:val="999999"/>
        <w:sz w:val="19"/>
        <w:szCs w:val="19"/>
      </w:rPr>
      <w:t>Academic</w:t>
    </w:r>
    <w:r>
      <w:rPr>
        <w:rFonts w:ascii="Arial" w:hAnsi="Arial" w:eastAsia="Arial" w:cs="Arial"/>
        <w:color w:val="999999"/>
        <w:spacing w:val="13"/>
        <w:sz w:val="19"/>
        <w:szCs w:val="19"/>
      </w:rPr>
      <w:t xml:space="preserve"> </w:t>
    </w:r>
    <w:r>
      <w:rPr>
        <w:rFonts w:ascii="Arial" w:hAnsi="Arial" w:eastAsia="Arial" w:cs="Arial"/>
        <w:color w:val="999999"/>
        <w:sz w:val="19"/>
        <w:szCs w:val="19"/>
      </w:rPr>
      <w:t>Journal</w:t>
    </w:r>
    <w:r>
      <w:rPr>
        <w:rFonts w:ascii="Arial" w:hAnsi="Arial" w:eastAsia="Arial" w:cs="Arial"/>
        <w:color w:val="999999"/>
        <w:spacing w:val="13"/>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3"/>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3"/>
        <w:sz w:val="19"/>
        <w:szCs w:val="19"/>
      </w:rPr>
      <w:t xml:space="preserve"> </w:t>
    </w:r>
    <w:r>
      <w:rPr>
        <w:rFonts w:ascii="Arial" w:hAnsi="Arial" w:eastAsia="Arial" w:cs="Arial"/>
        <w:color w:val="999999"/>
        <w:sz w:val="19"/>
        <w:szCs w:val="19"/>
      </w:rPr>
      <w:t>House</w:t>
    </w:r>
    <w:r>
      <w:rPr>
        <w:rFonts w:ascii="Arial" w:hAnsi="Arial" w:eastAsia="Arial" w:cs="Arial"/>
        <w:color w:val="999999"/>
        <w:spacing w:val="13"/>
        <w:sz w:val="19"/>
        <w:szCs w:val="19"/>
      </w:rPr>
      <w:t xml:space="preserve">. </w:t>
    </w:r>
    <w:r>
      <w:rPr>
        <w:rFonts w:ascii="Arial" w:hAnsi="Arial" w:eastAsia="Arial" w:cs="Arial"/>
        <w:color w:val="999999"/>
        <w:sz w:val="19"/>
        <w:szCs w:val="19"/>
      </w:rPr>
      <w:t>All</w:t>
    </w:r>
    <w:r>
      <w:rPr>
        <w:rFonts w:ascii="Arial" w:hAnsi="Arial" w:eastAsia="Arial" w:cs="Arial"/>
        <w:color w:val="999999"/>
        <w:spacing w:val="13"/>
        <w:sz w:val="19"/>
        <w:szCs w:val="19"/>
      </w:rPr>
      <w:t xml:space="preserve"> </w:t>
    </w:r>
    <w:r>
      <w:rPr>
        <w:rFonts w:ascii="Arial" w:hAnsi="Arial" w:eastAsia="Arial" w:cs="Arial"/>
        <w:color w:val="999999"/>
        <w:sz w:val="19"/>
        <w:szCs w:val="19"/>
      </w:rPr>
      <w:t>rights</w:t>
    </w:r>
    <w:r>
      <w:rPr>
        <w:rFonts w:ascii="Arial" w:hAnsi="Arial" w:eastAsia="Arial" w:cs="Arial"/>
        <w:color w:val="999999"/>
        <w:spacing w:val="13"/>
        <w:sz w:val="19"/>
        <w:szCs w:val="19"/>
      </w:rPr>
      <w:t xml:space="preserve"> </w:t>
    </w:r>
    <w:r>
      <w:rPr>
        <w:rFonts w:ascii="Arial" w:hAnsi="Arial" w:eastAsia="Arial" w:cs="Arial"/>
        <w:color w:val="999999"/>
        <w:sz w:val="19"/>
        <w:szCs w:val="19"/>
      </w:rPr>
      <w:t>reserved</w:t>
    </w:r>
    <w:r>
      <w:rPr>
        <w:rFonts w:ascii="Arial" w:hAnsi="Arial" w:eastAsia="Arial" w:cs="Arial"/>
        <w:color w:val="999999"/>
        <w:spacing w:val="13"/>
        <w:sz w:val="19"/>
        <w:szCs w:val="19"/>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0" w:lineRule="exact"/>
      <w:rPr>
        <w:rFonts w:ascii="Arial"/>
        <w:sz w:val="11"/>
      </w:rPr>
    </w:pPr>
    <w:r>
      <mc:AlternateContent>
        <mc:Choice Requires="wps">
          <w:drawing>
            <wp:anchor distT="0" distB="0" distL="0" distR="0" simplePos="0" relativeHeight="251801600" behindDoc="0" locked="0" layoutInCell="0" allowOverlap="1">
              <wp:simplePos x="0" y="0"/>
              <wp:positionH relativeFrom="page">
                <wp:posOffset>8482330</wp:posOffset>
              </wp:positionH>
              <wp:positionV relativeFrom="page">
                <wp:posOffset>5547360</wp:posOffset>
              </wp:positionV>
              <wp:extent cx="114935" cy="125095"/>
              <wp:effectExtent l="0" t="0" r="0" b="0"/>
              <wp:wrapNone/>
              <wp:docPr id="138" name="TextBox 138"/>
              <wp:cNvGraphicFramePr/>
              <a:graphic xmlns:a="http://schemas.openxmlformats.org/drawingml/2006/main">
                <a:graphicData uri="http://schemas.microsoft.com/office/word/2010/wordprocessingShape">
                  <wps:wsp>
                    <wps:cNvSpPr txBox="1"/>
                    <wps:spPr>
                      <a:xfrm rot="5400000">
                        <a:off x="8482727" y="5547591"/>
                        <a:ext cx="114935" cy="1250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47" w:line="192" w:lineRule="auto"/>
                            <w:ind w:left="20"/>
                            <w:rPr>
                              <w:rFonts w:ascii="Arial" w:hAnsi="Arial" w:eastAsia="Arial" w:cs="Arial"/>
                              <w:sz w:val="14"/>
                              <w:szCs w:val="14"/>
                            </w:rPr>
                          </w:pPr>
                          <w:r>
                            <w:rPr>
                              <w:rFonts w:ascii="Arial" w:hAnsi="Arial" w:eastAsia="Arial" w:cs="Arial"/>
                              <w:spacing w:val="-4"/>
                              <w:sz w:val="14"/>
                              <w:szCs w:val="14"/>
                            </w:rPr>
                            <w:t>13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8" o:spid="_x0000_s1026" o:spt="202" type="#_x0000_t202" style="position:absolute;left:0pt;margin-left:667.9pt;margin-top:436.8pt;height:9.85pt;width:9.05pt;mso-position-horizontal-relative:page;mso-position-vertical-relative:page;rotation:5898240f;z-index:251801600;mso-width-relative:page;mso-height-relative:page;" filled="f" stroked="f" coordsize="21600,21600" o:allowincell="f" o:gfxdata="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iisYA1wAAAA0BAAAPAAAAAAAAAAEAIAAAACIAAABkcnMvZG93bnJldi54&#10;bWxQSwECFAAUAAAACACHTuJAAf745zQCAABuBAAADgAAAAAAAAABACAAAAAmAQAAZHJzL2Uyb0Rv&#10;Yy54bWxQSwUGAAAAAAYABgBZAQAAzAUAAAAA&#10;">
              <v:fill on="f" focussize="0,0"/>
              <v:stroke on="f" weight="0pt"/>
              <v:imagedata o:title=""/>
              <o:lock v:ext="edit" aspectratio="f"/>
              <v:textbox inset="0mm,0mm,0mm,0mm">
                <w:txbxContent>
                  <w:p>
                    <w:pPr>
                      <w:spacing w:before="47" w:line="192" w:lineRule="auto"/>
                      <w:ind w:left="20"/>
                      <w:rPr>
                        <w:rFonts w:ascii="Arial" w:hAnsi="Arial" w:eastAsia="Arial" w:cs="Arial"/>
                        <w:sz w:val="14"/>
                        <w:szCs w:val="14"/>
                      </w:rPr>
                    </w:pPr>
                    <w:r>
                      <w:rPr>
                        <w:rFonts w:ascii="Arial" w:hAnsi="Arial" w:eastAsia="Arial" w:cs="Arial"/>
                        <w:spacing w:val="-4"/>
                        <w:sz w:val="14"/>
                        <w:szCs w:val="14"/>
                      </w:rPr>
                      <w:t>13</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57" o:spid="_x0000_s2057" o:spt="202" type="#_x0000_t202" style="position:absolute;left:0pt;margin-left:389.3pt;margin-top:-0.95pt;height:11.7pt;width:87.2pt;z-index:251668480;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9"/>
        <w:sz w:val="19"/>
        <w:szCs w:val="19"/>
      </w:rPr>
      <w:t>(c)1994-2023</w:t>
    </w:r>
    <w:r>
      <w:rPr>
        <w:rFonts w:ascii="Arial" w:hAnsi="Arial" w:eastAsia="Arial" w:cs="Arial"/>
        <w:color w:val="999999"/>
        <w:spacing w:val="30"/>
        <w:sz w:val="19"/>
        <w:szCs w:val="19"/>
      </w:rPr>
      <w:t xml:space="preserve"> </w:t>
    </w:r>
    <w:r>
      <w:rPr>
        <w:rFonts w:ascii="Arial" w:hAnsi="Arial" w:eastAsia="Arial" w:cs="Arial"/>
        <w:color w:val="999999"/>
        <w:sz w:val="19"/>
        <w:szCs w:val="19"/>
      </w:rPr>
      <w:t>china</w:t>
    </w:r>
    <w:r>
      <w:rPr>
        <w:rFonts w:ascii="Arial" w:hAnsi="Arial" w:eastAsia="Arial" w:cs="Arial"/>
        <w:color w:val="999999"/>
        <w:spacing w:val="9"/>
        <w:sz w:val="19"/>
        <w:szCs w:val="19"/>
      </w:rPr>
      <w:t xml:space="preserve"> </w:t>
    </w:r>
    <w:r>
      <w:rPr>
        <w:rFonts w:ascii="Arial" w:hAnsi="Arial" w:eastAsia="Arial" w:cs="Arial"/>
        <w:color w:val="999999"/>
        <w:sz w:val="19"/>
        <w:szCs w:val="19"/>
      </w:rPr>
      <w:t>Academic</w:t>
    </w:r>
    <w:r>
      <w:rPr>
        <w:rFonts w:ascii="Arial" w:hAnsi="Arial" w:eastAsia="Arial" w:cs="Arial"/>
        <w:color w:val="999999"/>
        <w:spacing w:val="9"/>
        <w:sz w:val="19"/>
        <w:szCs w:val="19"/>
      </w:rPr>
      <w:t xml:space="preserve"> </w:t>
    </w:r>
    <w:r>
      <w:rPr>
        <w:rFonts w:ascii="Arial" w:hAnsi="Arial" w:eastAsia="Arial" w:cs="Arial"/>
        <w:color w:val="999999"/>
        <w:sz w:val="19"/>
        <w:szCs w:val="19"/>
      </w:rPr>
      <w:t>Journal</w:t>
    </w:r>
    <w:r>
      <w:rPr>
        <w:rFonts w:ascii="Arial" w:hAnsi="Arial" w:eastAsia="Arial" w:cs="Arial"/>
        <w:color w:val="999999"/>
        <w:spacing w:val="9"/>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9"/>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9"/>
        <w:sz w:val="19"/>
        <w:szCs w:val="19"/>
      </w:rPr>
      <w:t xml:space="preserve"> </w:t>
    </w:r>
    <w:r>
      <w:rPr>
        <w:rFonts w:ascii="Arial" w:hAnsi="Arial" w:eastAsia="Arial" w:cs="Arial"/>
        <w:color w:val="999999"/>
        <w:sz w:val="19"/>
        <w:szCs w:val="19"/>
      </w:rPr>
      <w:t>House</w:t>
    </w:r>
    <w:r>
      <w:rPr>
        <w:rFonts w:ascii="Arial" w:hAnsi="Arial" w:eastAsia="Arial" w:cs="Arial"/>
        <w:color w:val="999999"/>
        <w:spacing w:val="9"/>
        <w:sz w:val="19"/>
        <w:szCs w:val="19"/>
      </w:rPr>
      <w:t xml:space="preserve">. </w:t>
    </w:r>
    <w:r>
      <w:rPr>
        <w:rFonts w:ascii="Arial" w:hAnsi="Arial" w:eastAsia="Arial" w:cs="Arial"/>
        <w:color w:val="999999"/>
        <w:sz w:val="19"/>
        <w:szCs w:val="19"/>
      </w:rPr>
      <w:t>Al</w:t>
    </w:r>
    <w:r>
      <w:rPr>
        <w:rFonts w:ascii="Arial" w:hAnsi="Arial" w:eastAsia="Arial" w:cs="Arial"/>
        <w:color w:val="999999"/>
        <w:spacing w:val="9"/>
        <w:sz w:val="19"/>
        <w:szCs w:val="19"/>
      </w:rPr>
      <w:t xml:space="preserve">1 </w:t>
    </w:r>
    <w:r>
      <w:rPr>
        <w:rFonts w:ascii="Arial" w:hAnsi="Arial" w:eastAsia="Arial" w:cs="Arial"/>
        <w:color w:val="999999"/>
        <w:sz w:val="19"/>
        <w:szCs w:val="19"/>
      </w:rPr>
      <w:t>rights</w:t>
    </w:r>
    <w:r>
      <w:rPr>
        <w:rFonts w:ascii="Arial" w:hAnsi="Arial" w:eastAsia="Arial" w:cs="Arial"/>
        <w:color w:val="999999"/>
        <w:spacing w:val="9"/>
        <w:sz w:val="19"/>
        <w:szCs w:val="19"/>
      </w:rPr>
      <w:t xml:space="preserve"> </w:t>
    </w:r>
    <w:r>
      <w:rPr>
        <w:rFonts w:ascii="Arial" w:hAnsi="Arial" w:eastAsia="Arial" w:cs="Arial"/>
        <w:color w:val="999999"/>
        <w:sz w:val="19"/>
        <w:szCs w:val="19"/>
      </w:rPr>
      <w:t>reserved</w:t>
    </w:r>
    <w:r>
      <w:rPr>
        <w:rFonts w:ascii="Arial" w:hAnsi="Arial" w:eastAsia="Arial" w:cs="Arial"/>
        <w:color w:val="999999"/>
        <w:spacing w:val="9"/>
        <w:sz w:val="19"/>
        <w:szCs w:val="19"/>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59" o:spid="_x0000_s2059" o:spt="202" type="#_x0000_t202" style="position:absolute;left:0pt;margin-left:389.3pt;margin-top:-0.95pt;height:11.7pt;width:87.2pt;z-index:251669504;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9"/>
        <w:sz w:val="19"/>
        <w:szCs w:val="19"/>
      </w:rPr>
      <w:t>(c)1994-2023</w:t>
    </w:r>
    <w:r>
      <w:rPr>
        <w:rFonts w:ascii="Arial" w:hAnsi="Arial" w:eastAsia="Arial" w:cs="Arial"/>
        <w:color w:val="999999"/>
        <w:spacing w:val="30"/>
        <w:sz w:val="19"/>
        <w:szCs w:val="19"/>
      </w:rPr>
      <w:t xml:space="preserve"> </w:t>
    </w:r>
    <w:r>
      <w:rPr>
        <w:rFonts w:ascii="Arial" w:hAnsi="Arial" w:eastAsia="Arial" w:cs="Arial"/>
        <w:color w:val="999999"/>
        <w:sz w:val="19"/>
        <w:szCs w:val="19"/>
      </w:rPr>
      <w:t>china</w:t>
    </w:r>
    <w:r>
      <w:rPr>
        <w:rFonts w:ascii="Arial" w:hAnsi="Arial" w:eastAsia="Arial" w:cs="Arial"/>
        <w:color w:val="999999"/>
        <w:spacing w:val="9"/>
        <w:sz w:val="19"/>
        <w:szCs w:val="19"/>
      </w:rPr>
      <w:t xml:space="preserve"> </w:t>
    </w:r>
    <w:r>
      <w:rPr>
        <w:rFonts w:ascii="Arial" w:hAnsi="Arial" w:eastAsia="Arial" w:cs="Arial"/>
        <w:color w:val="999999"/>
        <w:sz w:val="19"/>
        <w:szCs w:val="19"/>
      </w:rPr>
      <w:t>Academic</w:t>
    </w:r>
    <w:r>
      <w:rPr>
        <w:rFonts w:ascii="Arial" w:hAnsi="Arial" w:eastAsia="Arial" w:cs="Arial"/>
        <w:color w:val="999999"/>
        <w:spacing w:val="9"/>
        <w:sz w:val="19"/>
        <w:szCs w:val="19"/>
      </w:rPr>
      <w:t xml:space="preserve"> </w:t>
    </w:r>
    <w:r>
      <w:rPr>
        <w:rFonts w:ascii="Arial" w:hAnsi="Arial" w:eastAsia="Arial" w:cs="Arial"/>
        <w:color w:val="999999"/>
        <w:sz w:val="19"/>
        <w:szCs w:val="19"/>
      </w:rPr>
      <w:t>Journal</w:t>
    </w:r>
    <w:r>
      <w:rPr>
        <w:rFonts w:ascii="Arial" w:hAnsi="Arial" w:eastAsia="Arial" w:cs="Arial"/>
        <w:color w:val="999999"/>
        <w:spacing w:val="9"/>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9"/>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9"/>
        <w:sz w:val="19"/>
        <w:szCs w:val="19"/>
      </w:rPr>
      <w:t xml:space="preserve"> </w:t>
    </w:r>
    <w:r>
      <w:rPr>
        <w:rFonts w:ascii="Arial" w:hAnsi="Arial" w:eastAsia="Arial" w:cs="Arial"/>
        <w:color w:val="999999"/>
        <w:sz w:val="19"/>
        <w:szCs w:val="19"/>
      </w:rPr>
      <w:t>House</w:t>
    </w:r>
    <w:r>
      <w:rPr>
        <w:rFonts w:ascii="Arial" w:hAnsi="Arial" w:eastAsia="Arial" w:cs="Arial"/>
        <w:color w:val="999999"/>
        <w:spacing w:val="9"/>
        <w:sz w:val="19"/>
        <w:szCs w:val="19"/>
      </w:rPr>
      <w:t xml:space="preserve">. </w:t>
    </w:r>
    <w:r>
      <w:rPr>
        <w:rFonts w:ascii="Arial" w:hAnsi="Arial" w:eastAsia="Arial" w:cs="Arial"/>
        <w:color w:val="999999"/>
        <w:sz w:val="19"/>
        <w:szCs w:val="19"/>
      </w:rPr>
      <w:t>Al</w:t>
    </w:r>
    <w:r>
      <w:rPr>
        <w:rFonts w:ascii="Arial" w:hAnsi="Arial" w:eastAsia="Arial" w:cs="Arial"/>
        <w:color w:val="999999"/>
        <w:spacing w:val="9"/>
        <w:sz w:val="19"/>
        <w:szCs w:val="19"/>
      </w:rPr>
      <w:t xml:space="preserve">1 </w:t>
    </w:r>
    <w:r>
      <w:rPr>
        <w:rFonts w:ascii="Arial" w:hAnsi="Arial" w:eastAsia="Arial" w:cs="Arial"/>
        <w:color w:val="999999"/>
        <w:sz w:val="19"/>
        <w:szCs w:val="19"/>
      </w:rPr>
      <w:t>rights</w:t>
    </w:r>
    <w:r>
      <w:rPr>
        <w:rFonts w:ascii="Arial" w:hAnsi="Arial" w:eastAsia="Arial" w:cs="Arial"/>
        <w:color w:val="999999"/>
        <w:spacing w:val="9"/>
        <w:sz w:val="19"/>
        <w:szCs w:val="19"/>
      </w:rPr>
      <w:t xml:space="preserve"> </w:t>
    </w:r>
    <w:r>
      <w:rPr>
        <w:rFonts w:ascii="Arial" w:hAnsi="Arial" w:eastAsia="Arial" w:cs="Arial"/>
        <w:color w:val="999999"/>
        <w:sz w:val="19"/>
        <w:szCs w:val="19"/>
      </w:rPr>
      <w:t>reserved</w:t>
    </w:r>
    <w:r>
      <w:rPr>
        <w:rFonts w:ascii="Arial" w:hAnsi="Arial" w:eastAsia="Arial" w:cs="Arial"/>
        <w:color w:val="999999"/>
        <w:spacing w:val="9"/>
        <w:sz w:val="19"/>
        <w:szCs w:val="19"/>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rPr>
        <w:rFonts w:ascii="Arial" w:hAnsi="Arial" w:eastAsia="Arial" w:cs="Arial"/>
        <w:sz w:val="19"/>
        <w:szCs w:val="19"/>
      </w:rPr>
    </w:pPr>
    <w:r>
      <w:pict>
        <v:shape id="_x0000_s2060" o:spid="_x0000_s2060" o:spt="202" type="#_x0000_t202" style="position:absolute;left:0pt;margin-left:389.3pt;margin-top:-0.95pt;height:11.7pt;width:87.2pt;z-index:251671552;mso-width-relative:page;mso-height-relative:page;" filled="f" stroked="f" coordsize="21600,21600">
          <v:path/>
          <v:fill on="f" focussize="0,0"/>
          <v:stroke on="f"/>
          <v:imagedata o:title=""/>
          <o:lock v:ext="edit" aspectratio="f"/>
          <v:textbox inset="0mm,0mm,0mm,0mm">
            <w:txbxContent>
              <w:p>
                <w:pPr>
                  <w:spacing w:before="20" w:line="202" w:lineRule="auto"/>
                  <w:ind w:left="20"/>
                  <w:rPr>
                    <w:rFonts w:ascii="Arial" w:hAnsi="Arial" w:eastAsia="Arial" w:cs="Arial"/>
                    <w:sz w:val="20"/>
                    <w:szCs w:val="20"/>
                  </w:rPr>
                </w:pPr>
                <w:r>
                  <w:rPr>
                    <w:rFonts w:ascii="Arial" w:hAnsi="Arial" w:eastAsia="Arial" w:cs="Arial"/>
                    <w:color w:val="999999"/>
                    <w:sz w:val="20"/>
                    <w:szCs w:val="20"/>
                  </w:rPr>
                  <w:t>http</w:t>
                </w:r>
                <w:r>
                  <w:rPr>
                    <w:rFonts w:ascii="Arial" w:hAnsi="Arial" w:eastAsia="Arial" w:cs="Arial"/>
                    <w:color w:val="999999"/>
                    <w:spacing w:val="5"/>
                    <w:sz w:val="20"/>
                    <w:szCs w:val="20"/>
                  </w:rPr>
                  <w:t>://</w:t>
                </w:r>
                <w:r>
                  <w:rPr>
                    <w:rFonts w:ascii="Arial" w:hAnsi="Arial" w:eastAsia="Arial" w:cs="Arial"/>
                    <w:color w:val="999999"/>
                    <w:sz w:val="20"/>
                    <w:szCs w:val="20"/>
                  </w:rPr>
                  <w:t>www</w:t>
                </w:r>
                <w:r>
                  <w:rPr>
                    <w:rFonts w:ascii="Arial" w:hAnsi="Arial" w:eastAsia="Arial" w:cs="Arial"/>
                    <w:color w:val="999999"/>
                    <w:spacing w:val="5"/>
                    <w:sz w:val="20"/>
                    <w:szCs w:val="20"/>
                  </w:rPr>
                  <w:t>.</w:t>
                </w:r>
                <w:r>
                  <w:rPr>
                    <w:rFonts w:ascii="Arial" w:hAnsi="Arial" w:eastAsia="Arial" w:cs="Arial"/>
                    <w:color w:val="999999"/>
                    <w:sz w:val="20"/>
                    <w:szCs w:val="20"/>
                  </w:rPr>
                  <w:t>cnki</w:t>
                </w:r>
                <w:r>
                  <w:rPr>
                    <w:rFonts w:ascii="Arial" w:hAnsi="Arial" w:eastAsia="Arial" w:cs="Arial"/>
                    <w:color w:val="999999"/>
                    <w:spacing w:val="5"/>
                    <w:sz w:val="20"/>
                    <w:szCs w:val="20"/>
                  </w:rPr>
                  <w:t>.</w:t>
                </w:r>
                <w:r>
                  <w:rPr>
                    <w:rFonts w:ascii="Arial" w:hAnsi="Arial" w:eastAsia="Arial" w:cs="Arial"/>
                    <w:color w:val="999999"/>
                    <w:sz w:val="20"/>
                    <w:szCs w:val="20"/>
                  </w:rPr>
                  <w:t>net</w:t>
                </w:r>
              </w:p>
            </w:txbxContent>
          </v:textbox>
        </v:shape>
      </w:pict>
    </w:r>
    <w:r>
      <w:rPr>
        <w:rFonts w:ascii="Arial" w:hAnsi="Arial" w:eastAsia="Arial" w:cs="Arial"/>
        <w:color w:val="999999"/>
        <w:spacing w:val="12"/>
        <w:sz w:val="19"/>
        <w:szCs w:val="19"/>
      </w:rPr>
      <w:t>(c)1994-2023</w:t>
    </w:r>
    <w:r>
      <w:rPr>
        <w:rFonts w:ascii="Arial" w:hAnsi="Arial" w:eastAsia="Arial" w:cs="Arial"/>
        <w:color w:val="999999"/>
        <w:spacing w:val="36"/>
        <w:w w:val="101"/>
        <w:sz w:val="19"/>
        <w:szCs w:val="19"/>
      </w:rPr>
      <w:t xml:space="preserve"> </w:t>
    </w:r>
    <w:r>
      <w:rPr>
        <w:rFonts w:ascii="Arial" w:hAnsi="Arial" w:eastAsia="Arial" w:cs="Arial"/>
        <w:color w:val="999999"/>
        <w:sz w:val="19"/>
        <w:szCs w:val="19"/>
      </w:rPr>
      <w:t>china</w:t>
    </w:r>
    <w:r>
      <w:rPr>
        <w:rFonts w:ascii="Arial" w:hAnsi="Arial" w:eastAsia="Arial" w:cs="Arial"/>
        <w:color w:val="999999"/>
        <w:spacing w:val="12"/>
        <w:sz w:val="19"/>
        <w:szCs w:val="19"/>
      </w:rPr>
      <w:t xml:space="preserve"> </w:t>
    </w:r>
    <w:r>
      <w:rPr>
        <w:rFonts w:ascii="Arial" w:hAnsi="Arial" w:eastAsia="Arial" w:cs="Arial"/>
        <w:color w:val="999999"/>
        <w:sz w:val="19"/>
        <w:szCs w:val="19"/>
      </w:rPr>
      <w:t>Academic</w:t>
    </w:r>
    <w:r>
      <w:rPr>
        <w:rFonts w:ascii="Arial" w:hAnsi="Arial" w:eastAsia="Arial" w:cs="Arial"/>
        <w:color w:val="999999"/>
        <w:spacing w:val="12"/>
        <w:sz w:val="19"/>
        <w:szCs w:val="19"/>
      </w:rPr>
      <w:t xml:space="preserve"> </w:t>
    </w:r>
    <w:r>
      <w:rPr>
        <w:rFonts w:ascii="Arial" w:hAnsi="Arial" w:eastAsia="Arial" w:cs="Arial"/>
        <w:color w:val="999999"/>
        <w:sz w:val="19"/>
        <w:szCs w:val="19"/>
      </w:rPr>
      <w:t>Journal</w:t>
    </w:r>
    <w:r>
      <w:rPr>
        <w:rFonts w:ascii="Arial" w:hAnsi="Arial" w:eastAsia="Arial" w:cs="Arial"/>
        <w:color w:val="999999"/>
        <w:spacing w:val="12"/>
        <w:sz w:val="19"/>
        <w:szCs w:val="19"/>
      </w:rPr>
      <w:t xml:space="preserve"> </w:t>
    </w:r>
    <w:r>
      <w:rPr>
        <w:rFonts w:ascii="Arial" w:hAnsi="Arial" w:eastAsia="Arial" w:cs="Arial"/>
        <w:color w:val="999999"/>
        <w:sz w:val="19"/>
        <w:szCs w:val="19"/>
      </w:rPr>
      <w:t>Electronic</w:t>
    </w:r>
    <w:r>
      <w:rPr>
        <w:rFonts w:ascii="Arial" w:hAnsi="Arial" w:eastAsia="Arial" w:cs="Arial"/>
        <w:color w:val="999999"/>
        <w:spacing w:val="12"/>
        <w:sz w:val="19"/>
        <w:szCs w:val="19"/>
      </w:rPr>
      <w:t xml:space="preserve"> </w:t>
    </w:r>
    <w:r>
      <w:rPr>
        <w:rFonts w:ascii="Arial" w:hAnsi="Arial" w:eastAsia="Arial" w:cs="Arial"/>
        <w:color w:val="999999"/>
        <w:sz w:val="19"/>
        <w:szCs w:val="19"/>
      </w:rPr>
      <w:t>publishing</w:t>
    </w:r>
    <w:r>
      <w:rPr>
        <w:rFonts w:ascii="Arial" w:hAnsi="Arial" w:eastAsia="Arial" w:cs="Arial"/>
        <w:color w:val="999999"/>
        <w:spacing w:val="12"/>
        <w:sz w:val="19"/>
        <w:szCs w:val="19"/>
      </w:rPr>
      <w:t xml:space="preserve"> </w:t>
    </w:r>
    <w:r>
      <w:rPr>
        <w:rFonts w:ascii="Arial" w:hAnsi="Arial" w:eastAsia="Arial" w:cs="Arial"/>
        <w:color w:val="999999"/>
        <w:sz w:val="19"/>
        <w:szCs w:val="19"/>
      </w:rPr>
      <w:t>House</w:t>
    </w:r>
    <w:r>
      <w:rPr>
        <w:rFonts w:ascii="Arial" w:hAnsi="Arial" w:eastAsia="Arial" w:cs="Arial"/>
        <w:color w:val="999999"/>
        <w:spacing w:val="12"/>
        <w:sz w:val="19"/>
        <w:szCs w:val="19"/>
      </w:rPr>
      <w:t xml:space="preserve">. </w:t>
    </w:r>
    <w:r>
      <w:rPr>
        <w:rFonts w:ascii="Arial" w:hAnsi="Arial" w:eastAsia="Arial" w:cs="Arial"/>
        <w:color w:val="999999"/>
        <w:sz w:val="19"/>
        <w:szCs w:val="19"/>
      </w:rPr>
      <w:t>All</w:t>
    </w:r>
    <w:r>
      <w:rPr>
        <w:rFonts w:ascii="Arial" w:hAnsi="Arial" w:eastAsia="Arial" w:cs="Arial"/>
        <w:color w:val="999999"/>
        <w:spacing w:val="12"/>
        <w:sz w:val="19"/>
        <w:szCs w:val="19"/>
      </w:rPr>
      <w:t xml:space="preserve"> </w:t>
    </w:r>
    <w:r>
      <w:rPr>
        <w:rFonts w:ascii="Arial" w:hAnsi="Arial" w:eastAsia="Arial" w:cs="Arial"/>
        <w:color w:val="999999"/>
        <w:sz w:val="19"/>
        <w:szCs w:val="19"/>
      </w:rPr>
      <w:t>rights</w:t>
    </w:r>
    <w:r>
      <w:rPr>
        <w:rFonts w:ascii="Arial" w:hAnsi="Arial" w:eastAsia="Arial" w:cs="Arial"/>
        <w:color w:val="999999"/>
        <w:spacing w:val="12"/>
        <w:sz w:val="19"/>
        <w:szCs w:val="19"/>
      </w:rPr>
      <w:t xml:space="preserve"> </w:t>
    </w:r>
    <w:r>
      <w:rPr>
        <w:rFonts w:ascii="Arial" w:hAnsi="Arial" w:eastAsia="Arial" w:cs="Arial"/>
        <w:color w:val="999999"/>
        <w:sz w:val="19"/>
        <w:szCs w:val="19"/>
      </w:rPr>
      <w:t>reserved</w:t>
    </w:r>
    <w:r>
      <w:rPr>
        <w:rFonts w:ascii="Arial" w:hAnsi="Arial" w:eastAsia="Arial" w:cs="Arial"/>
        <w:color w:val="999999"/>
        <w:spacing w:val="12"/>
        <w:sz w:val="19"/>
        <w:szCs w:val="19"/>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4172"/>
      <w:rPr>
        <w:rFonts w:ascii="微软雅黑" w:hAnsi="微软雅黑" w:eastAsia="微软雅黑" w:cs="微软雅黑"/>
        <w:sz w:val="17"/>
        <w:szCs w:val="17"/>
      </w:rPr>
    </w:pPr>
    <w:r>
      <w:pict>
        <v:shape id="_x0000_s2072" o:spid="_x0000_s2072" style="position:absolute;left:0pt;margin-left:73.7pt;margin-top:73.75pt;height:0.75pt;width:447.9pt;mso-position-horizontal-relative:page;mso-position-vertical-relative:page;z-index:251688960;mso-width-relative:page;mso-height-relative:page;" filled="f" stroked="t" coordsize="8957,15" o:allowincell="f" path="m0,7l8957,7e">
          <v:fill on="f" focussize="0,0"/>
          <v:stroke weight="0.71pt" color="#231F20" miterlimit="4" joinstyle="miter"/>
          <v:imagedata o:title=""/>
          <o:lock v:ext="edit"/>
        </v:shape>
      </w:pict>
    </w:r>
    <w:r>
      <w:rPr>
        <w:rFonts w:ascii="微软雅黑" w:hAnsi="微软雅黑" w:eastAsia="微软雅黑" w:cs="微软雅黑"/>
        <w:color w:val="231F20"/>
        <w:spacing w:val="2"/>
        <w:sz w:val="17"/>
        <w:szCs w:val="17"/>
      </w:rPr>
      <w:t>高等教育质量文化：特征与研究展望</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4172"/>
      <w:rPr>
        <w:rFonts w:ascii="微软雅黑" w:hAnsi="微软雅黑" w:eastAsia="微软雅黑" w:cs="微软雅黑"/>
        <w:sz w:val="17"/>
        <w:szCs w:val="17"/>
      </w:rPr>
    </w:pPr>
    <w:r>
      <w:pict>
        <v:shape id="_x0000_s2073" o:spid="_x0000_s2073" style="position:absolute;left:0pt;margin-left:73.7pt;margin-top:73.75pt;height:0.75pt;width:447.9pt;mso-position-horizontal-relative:page;mso-position-vertical-relative:page;z-index:251691008;mso-width-relative:page;mso-height-relative:page;" filled="f" stroked="t" coordsize="8957,15" o:allowincell="f" path="m0,7l8957,7e">
          <v:fill on="f" focussize="0,0"/>
          <v:stroke weight="0.71pt" color="#231F20" miterlimit="4" joinstyle="miter"/>
          <v:imagedata o:title=""/>
          <o:lock v:ext="edit"/>
        </v:shape>
      </w:pict>
    </w:r>
    <w:r>
      <w:rPr>
        <w:rFonts w:ascii="微软雅黑" w:hAnsi="微软雅黑" w:eastAsia="微软雅黑" w:cs="微软雅黑"/>
        <w:color w:val="231F20"/>
        <w:spacing w:val="2"/>
        <w:sz w:val="17"/>
        <w:szCs w:val="17"/>
      </w:rPr>
      <w:t>高等教育质量文化：特征与研究展望</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4172"/>
      <w:rPr>
        <w:rFonts w:ascii="微软雅黑" w:hAnsi="微软雅黑" w:eastAsia="微软雅黑" w:cs="微软雅黑"/>
        <w:sz w:val="17"/>
        <w:szCs w:val="17"/>
      </w:rPr>
    </w:pPr>
    <w:r>
      <w:pict>
        <v:shape id="_x0000_s2075" o:spid="_x0000_s2075" style="position:absolute;left:0pt;margin-left:73.7pt;margin-top:73.75pt;height:0.75pt;width:447.9pt;mso-position-horizontal-relative:page;mso-position-vertical-relative:page;z-index:251693056;mso-width-relative:page;mso-height-relative:page;" filled="f" stroked="t" coordsize="8957,15" o:allowincell="f" path="m0,7l8957,7e">
          <v:fill on="f" focussize="0,0"/>
          <v:stroke weight="0.71pt" color="#231F20" miterlimit="4" joinstyle="miter"/>
          <v:imagedata o:title=""/>
          <o:lock v:ext="edit"/>
        </v:shape>
      </w:pict>
    </w:r>
    <w:r>
      <w:rPr>
        <w:rFonts w:ascii="微软雅黑" w:hAnsi="微软雅黑" w:eastAsia="微软雅黑" w:cs="微软雅黑"/>
        <w:color w:val="231F20"/>
        <w:spacing w:val="2"/>
        <w:sz w:val="17"/>
        <w:szCs w:val="17"/>
      </w:rPr>
      <w:t>高等教育质量文化：特征与研究展望</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4172"/>
      <w:rPr>
        <w:rFonts w:ascii="微软雅黑" w:hAnsi="微软雅黑" w:eastAsia="微软雅黑" w:cs="微软雅黑"/>
        <w:sz w:val="17"/>
        <w:szCs w:val="17"/>
      </w:rPr>
    </w:pPr>
    <w:r>
      <w:pict>
        <v:shape id="_x0000_s2077" o:spid="_x0000_s2077" style="position:absolute;left:0pt;margin-left:73.7pt;margin-top:73.75pt;height:0.75pt;width:447.9pt;mso-position-horizontal-relative:page;mso-position-vertical-relative:page;z-index:251695104;mso-width-relative:page;mso-height-relative:page;" filled="f" stroked="t" coordsize="8957,15" o:allowincell="f" path="m0,7l8957,7e">
          <v:fill on="f" focussize="0,0"/>
          <v:stroke weight="0.71pt" color="#231F20" miterlimit="4" joinstyle="miter"/>
          <v:imagedata o:title=""/>
          <o:lock v:ext="edit"/>
        </v:shape>
      </w:pict>
    </w:r>
    <w:r>
      <w:rPr>
        <w:rFonts w:ascii="微软雅黑" w:hAnsi="微软雅黑" w:eastAsia="微软雅黑" w:cs="微软雅黑"/>
        <w:color w:val="231F20"/>
        <w:spacing w:val="2"/>
        <w:sz w:val="17"/>
        <w:szCs w:val="17"/>
      </w:rPr>
      <w:t>高等教育质量文化：特征与研究展望</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left="4172"/>
      <w:rPr>
        <w:rFonts w:ascii="微软雅黑" w:hAnsi="微软雅黑" w:eastAsia="微软雅黑" w:cs="微软雅黑"/>
        <w:sz w:val="17"/>
        <w:szCs w:val="17"/>
      </w:rPr>
    </w:pPr>
    <w:r>
      <w:pict>
        <v:shape id="_x0000_s2079" o:spid="_x0000_s2079" style="position:absolute;left:0pt;margin-left:73.7pt;margin-top:73.75pt;height:0.75pt;width:447.9pt;mso-position-horizontal-relative:page;mso-position-vertical-relative:page;z-index:251697152;mso-width-relative:page;mso-height-relative:page;" filled="f" stroked="t" coordsize="8957,15" o:allowincell="f" path="m0,7l8957,7e">
          <v:fill on="f" focussize="0,0"/>
          <v:stroke weight="0.71pt" color="#231F20" miterlimit="4" joinstyle="miter"/>
          <v:imagedata o:title=""/>
          <o:lock v:ext="edit"/>
        </v:shape>
      </w:pict>
    </w:r>
    <w:r>
      <w:rPr>
        <w:rFonts w:ascii="微软雅黑" w:hAnsi="微软雅黑" w:eastAsia="微软雅黑" w:cs="微软雅黑"/>
        <w:color w:val="231F20"/>
        <w:spacing w:val="2"/>
        <w:sz w:val="17"/>
        <w:szCs w:val="17"/>
      </w:rPr>
      <w:t>高等教育质量文化：特征与研究展望</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5" w:line="308" w:lineRule="exact"/>
      <w:ind w:firstLine="715"/>
    </w:pPr>
    <w:r>
      <w:pict>
        <v:shape id="_x0000_s2081" o:spid="_x0000_s2081" o:spt="202" type="#_x0000_t202" style="position:absolute;left:0pt;margin-left:448pt;margin-top:36.45pt;height:17.65pt;width:84.25pt;mso-position-horizontal-relative:page;mso-position-vertical-relative:page;z-index:251698176;mso-width-relative:page;mso-height-relative:page;" filled="f" stroked="f" coordsize="21600,21600" o:allowincell="f">
          <v:path/>
          <v:fill on="f" focussize="0,0"/>
          <v:stroke on="f"/>
          <v:imagedata o:title=""/>
          <o:lock v:ext="edit" aspectratio="f"/>
          <v:textbox inset="0mm,0mm,0mm,0mm">
            <w:txbxContent>
              <w:p>
                <w:pPr>
                  <w:spacing w:before="19" w:line="214" w:lineRule="auto"/>
                  <w:ind w:left="20"/>
                  <w:rPr>
                    <w:rFonts w:ascii="新宋体" w:hAnsi="新宋体" w:eastAsia="新宋体" w:cs="新宋体"/>
                    <w:sz w:val="27"/>
                    <w:szCs w:val="27"/>
                  </w:rPr>
                </w:pPr>
                <w:r>
                  <w:rPr>
                    <w:rFonts w:ascii="新宋体" w:hAnsi="新宋体" w:eastAsia="新宋体" w:cs="新宋体"/>
                    <w:color w:val="231F20"/>
                    <w:spacing w:val="4"/>
                    <w:sz w:val="27"/>
                    <w:szCs w:val="27"/>
                  </w:rPr>
                  <w:t>中国高教研究</w:t>
                </w:r>
              </w:p>
            </w:txbxContent>
          </v:textbox>
        </v:shape>
      </w:pict>
    </w:r>
    <w:r>
      <w:drawing>
        <wp:anchor distT="0" distB="0" distL="0" distR="0" simplePos="0" relativeHeight="251702272" behindDoc="0" locked="0" layoutInCell="0" allowOverlap="1">
          <wp:simplePos x="0" y="0"/>
          <wp:positionH relativeFrom="page">
            <wp:posOffset>711200</wp:posOffset>
          </wp:positionH>
          <wp:positionV relativeFrom="page">
            <wp:posOffset>682625</wp:posOffset>
          </wp:positionV>
          <wp:extent cx="6115050" cy="1270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6115050" cy="12700"/>
                  </a:xfrm>
                  <a:prstGeom prst="rect">
                    <a:avLst/>
                  </a:prstGeom>
                </pic:spPr>
              </pic:pic>
            </a:graphicData>
          </a:graphic>
        </wp:anchor>
      </w:drawing>
    </w:r>
    <w:r>
      <w:pict>
        <v:shape id="_x0000_s2082" o:spid="_x0000_s2082" o:spt="202" type="#_x0000_t202" style="position:absolute;left:0pt;margin-left:60.75pt;margin-top:39.65pt;height:14.95pt;width:66.9pt;mso-position-horizontal-relative:page;mso-position-vertical-relative:page;z-index:251704320;mso-width-relative:page;mso-height-relative:page;" filled="f" stroked="f" coordsize="21600,21600" o:allowincell="f">
          <v:path/>
          <v:fill on="f" focussize="0,0"/>
          <v:stroke on="f"/>
          <v:imagedata o:title=""/>
          <o:lock v:ext="edit" aspectratio="f"/>
          <v:textbox inset="0mm,0mm,0mm,0mm">
            <w:txbxContent>
              <w:p>
                <w:pPr>
                  <w:spacing w:before="19" w:line="181" w:lineRule="auto"/>
                  <w:ind w:left="20"/>
                  <w:rPr>
                    <w:rFonts w:ascii="宋体" w:hAnsi="宋体" w:eastAsia="宋体" w:cs="宋体"/>
                    <w:sz w:val="19"/>
                    <w:szCs w:val="19"/>
                  </w:rPr>
                </w:pPr>
                <w:r>
                  <w:rPr>
                    <w:rFonts w:ascii="微软雅黑" w:hAnsi="微软雅黑" w:eastAsia="微软雅黑" w:cs="微软雅黑"/>
                    <w:color w:val="231F20"/>
                    <w:spacing w:val="-6"/>
                    <w:sz w:val="20"/>
                    <w:szCs w:val="20"/>
                  </w:rPr>
                  <w:t xml:space="preserve">2016 </w:t>
                </w:r>
                <w:r>
                  <w:rPr>
                    <w:rFonts w:ascii="宋体" w:hAnsi="宋体" w:eastAsia="宋体" w:cs="宋体"/>
                    <w:color w:val="231F20"/>
                    <w:spacing w:val="-6"/>
                    <w:sz w:val="19"/>
                    <w:szCs w:val="19"/>
                  </w:rPr>
                  <w:t>年第</w:t>
                </w:r>
                <w:r>
                  <w:rPr>
                    <w:rFonts w:ascii="宋体" w:hAnsi="宋体" w:eastAsia="宋体" w:cs="宋体"/>
                    <w:color w:val="231F20"/>
                    <w:spacing w:val="-26"/>
                    <w:sz w:val="19"/>
                    <w:szCs w:val="19"/>
                  </w:rPr>
                  <w:t xml:space="preserve"> </w:t>
                </w:r>
                <w:r>
                  <w:rPr>
                    <w:rFonts w:ascii="微软雅黑" w:hAnsi="微软雅黑" w:eastAsia="微软雅黑" w:cs="微软雅黑"/>
                    <w:color w:val="231F20"/>
                    <w:spacing w:val="-6"/>
                    <w:sz w:val="20"/>
                    <w:szCs w:val="20"/>
                  </w:rPr>
                  <w:t>3</w:t>
                </w:r>
                <w:r>
                  <w:rPr>
                    <w:rFonts w:ascii="微软雅黑" w:hAnsi="微软雅黑" w:eastAsia="微软雅黑" w:cs="微软雅黑"/>
                    <w:color w:val="231F20"/>
                    <w:spacing w:val="9"/>
                    <w:sz w:val="20"/>
                    <w:szCs w:val="20"/>
                  </w:rPr>
                  <w:t xml:space="preserve"> </w:t>
                </w:r>
                <w:r>
                  <w:rPr>
                    <w:rFonts w:ascii="宋体" w:hAnsi="宋体" w:eastAsia="宋体" w:cs="宋体"/>
                    <w:color w:val="231F20"/>
                    <w:spacing w:val="-6"/>
                    <w:sz w:val="19"/>
                    <w:szCs w:val="19"/>
                  </w:rPr>
                  <w:t>期</w:t>
                </w:r>
              </w:p>
            </w:txbxContent>
          </v:textbox>
        </v:shape>
      </w:pict>
    </w:r>
    <w:r>
      <w:pict>
        <v:shape id="_x0000_s2083" o:spid="_x0000_s2083" o:spt="202" type="#_x0000_t202" style="position:absolute;left:0pt;margin-left:61.55pt;margin-top:39.65pt;height:14.95pt;width:72.15pt;mso-position-horizontal-relative:page;mso-position-vertical-relative:page;z-index:251701248;mso-width-relative:page;mso-height-relative:page;" filled="f" stroked="f" coordsize="21600,21600" o:allowincell="f">
          <v:path/>
          <v:fill on="f" focussize="0,0"/>
          <v:stroke on="f"/>
          <v:imagedata o:title=""/>
          <o:lock v:ext="edit" aspectratio="f"/>
          <v:textbox inset="0mm,0mm,0mm,0mm">
            <w:txbxContent>
              <w:p>
                <w:pPr>
                  <w:spacing w:before="19" w:line="181" w:lineRule="auto"/>
                  <w:ind w:left="20"/>
                  <w:rPr>
                    <w:rFonts w:ascii="宋体" w:hAnsi="宋体" w:eastAsia="宋体" w:cs="宋体"/>
                    <w:sz w:val="19"/>
                    <w:szCs w:val="19"/>
                  </w:rPr>
                </w:pPr>
                <w:r>
                  <w:rPr>
                    <w:rFonts w:ascii="微软雅黑" w:hAnsi="微软雅黑" w:eastAsia="微软雅黑" w:cs="微软雅黑"/>
                    <w:color w:val="231F20"/>
                    <w:spacing w:val="-9"/>
                    <w:sz w:val="20"/>
                    <w:szCs w:val="20"/>
                  </w:rPr>
                  <w:t xml:space="preserve">2008 </w:t>
                </w:r>
                <w:r>
                  <w:rPr>
                    <w:rFonts w:ascii="宋体" w:hAnsi="宋体" w:eastAsia="宋体" w:cs="宋体"/>
                    <w:color w:val="231F20"/>
                    <w:spacing w:val="-9"/>
                    <w:sz w:val="19"/>
                    <w:szCs w:val="19"/>
                  </w:rPr>
                  <w:t xml:space="preserve">年第 </w:t>
                </w:r>
                <w:r>
                  <w:rPr>
                    <w:rFonts w:ascii="微软雅黑" w:hAnsi="微软雅黑" w:eastAsia="微软雅黑" w:cs="微软雅黑"/>
                    <w:color w:val="231F20"/>
                    <w:spacing w:val="-9"/>
                    <w:sz w:val="20"/>
                    <w:szCs w:val="20"/>
                  </w:rPr>
                  <w:t>12</w:t>
                </w:r>
                <w:r>
                  <w:rPr>
                    <w:rFonts w:ascii="微软雅黑" w:hAnsi="微软雅黑" w:eastAsia="微软雅黑" w:cs="微软雅黑"/>
                    <w:color w:val="231F20"/>
                    <w:spacing w:val="15"/>
                    <w:w w:val="101"/>
                    <w:sz w:val="20"/>
                    <w:szCs w:val="20"/>
                  </w:rPr>
                  <w:t xml:space="preserve"> </w:t>
                </w:r>
                <w:r>
                  <w:rPr>
                    <w:rFonts w:ascii="宋体" w:hAnsi="宋体" w:eastAsia="宋体" w:cs="宋体"/>
                    <w:color w:val="231F20"/>
                    <w:spacing w:val="-9"/>
                    <w:sz w:val="19"/>
                    <w:szCs w:val="19"/>
                  </w:rPr>
                  <w:t>期</w:t>
                </w:r>
              </w:p>
            </w:txbxContent>
          </v:textbox>
        </v:shape>
      </w:pict>
    </w:r>
    <w:r>
      <w:pict>
        <v:shape id="_x0000_s2084" o:spid="_x0000_s2084" o:spt="202" type="#_x0000_t202" style="position:absolute;left:0pt;margin-left:61.55pt;margin-top:39.65pt;height:14.95pt;width:72.15pt;mso-position-horizontal-relative:page;mso-position-vertical-relative:page;z-index:251699200;mso-width-relative:page;mso-height-relative:page;" filled="f" stroked="f" coordsize="21600,21600" o:allowincell="f">
          <v:path/>
          <v:fill on="f" focussize="0,0"/>
          <v:stroke on="f"/>
          <v:imagedata o:title=""/>
          <o:lock v:ext="edit" aspectratio="f"/>
          <v:textbox inset="0mm,0mm,0mm,0mm">
            <w:txbxContent>
              <w:p>
                <w:pPr>
                  <w:spacing w:before="19" w:line="181" w:lineRule="auto"/>
                  <w:ind w:left="20"/>
                  <w:rPr>
                    <w:rFonts w:ascii="宋体" w:hAnsi="宋体" w:eastAsia="宋体" w:cs="宋体"/>
                    <w:sz w:val="19"/>
                    <w:szCs w:val="19"/>
                  </w:rPr>
                </w:pPr>
                <w:r>
                  <w:rPr>
                    <w:rFonts w:ascii="微软雅黑" w:hAnsi="微软雅黑" w:eastAsia="微软雅黑" w:cs="微软雅黑"/>
                    <w:color w:val="231F20"/>
                    <w:spacing w:val="-9"/>
                    <w:sz w:val="20"/>
                    <w:szCs w:val="20"/>
                  </w:rPr>
                  <w:t xml:space="preserve">2008 </w:t>
                </w:r>
                <w:r>
                  <w:rPr>
                    <w:rFonts w:ascii="宋体" w:hAnsi="宋体" w:eastAsia="宋体" w:cs="宋体"/>
                    <w:color w:val="231F20"/>
                    <w:spacing w:val="-9"/>
                    <w:sz w:val="19"/>
                    <w:szCs w:val="19"/>
                  </w:rPr>
                  <w:t xml:space="preserve">年第 </w:t>
                </w:r>
                <w:r>
                  <w:rPr>
                    <w:rFonts w:ascii="微软雅黑" w:hAnsi="微软雅黑" w:eastAsia="微软雅黑" w:cs="微软雅黑"/>
                    <w:color w:val="231F20"/>
                    <w:spacing w:val="-9"/>
                    <w:sz w:val="20"/>
                    <w:szCs w:val="20"/>
                  </w:rPr>
                  <w:t>12</w:t>
                </w:r>
                <w:r>
                  <w:rPr>
                    <w:rFonts w:ascii="微软雅黑" w:hAnsi="微软雅黑" w:eastAsia="微软雅黑" w:cs="微软雅黑"/>
                    <w:color w:val="231F20"/>
                    <w:spacing w:val="15"/>
                    <w:w w:val="101"/>
                    <w:sz w:val="20"/>
                    <w:szCs w:val="20"/>
                  </w:rPr>
                  <w:t xml:space="preserve"> </w:t>
                </w:r>
                <w:r>
                  <w:rPr>
                    <w:rFonts w:ascii="宋体" w:hAnsi="宋体" w:eastAsia="宋体" w:cs="宋体"/>
                    <w:color w:val="231F20"/>
                    <w:spacing w:val="-9"/>
                    <w:sz w:val="19"/>
                    <w:szCs w:val="19"/>
                  </w:rPr>
                  <w:t>期</w:t>
                </w:r>
              </w:p>
            </w:txbxContent>
          </v:textbox>
        </v:shape>
      </w:pict>
    </w:r>
    <w:r>
      <w:pict>
        <v:shape id="_x0000_s2085" o:spid="_x0000_s2085" style="position:absolute;left:0pt;margin-left:56.2pt;margin-top:38.75pt;height:15.45pt;width:106.6pt;mso-position-horizontal-relative:page;mso-position-vertical-relative:page;z-index:251700224;mso-width-relative:page;mso-height-relative:page;" fillcolor="#D1D2D4" filled="t" stroked="f" coordsize="2131,308" o:allowincell="f" path="m0,0l1763,0,2131,308,0,308,0,0xe">
          <v:path/>
          <v:fill on="t" focussize="0,0"/>
          <v:stroke on="f"/>
          <v:imagedata o:title=""/>
          <o:lock v:ext="edit"/>
        </v:shape>
      </w:pict>
    </w:r>
    <w:r>
      <w:pict>
        <v:shape id="_x0000_s2086" o:spid="_x0000_s2086" style="position:absolute;left:0pt;margin-left:56.2pt;margin-top:38.75pt;height:15.45pt;width:106.6pt;mso-position-horizontal-relative:page;mso-position-vertical-relative:page;z-index:251703296;mso-width-relative:page;mso-height-relative:page;" fillcolor="#E1E2E4" filled="t" stroked="f" coordsize="2131,308" o:allowincell="f" path="m0,0l1763,0,2131,308,0,308,0,228,0,0xe">
          <v:path/>
          <v:fill on="t" focussize="0,0"/>
          <v:stroke on="f"/>
          <v:imagedata o:title=""/>
          <o:lock v:ext="edit"/>
        </v:shape>
      </w:pict>
    </w:r>
    <w:r>
      <w:rPr>
        <w:position w:val="-6"/>
      </w:rPr>
      <w:pict>
        <v:shape id="_x0000_s2087" o:spid="_x0000_s2087" style="height:15.45pt;width:106.6pt;" fillcolor="#D1D2D4" filled="t" stroked="f" coordsize="2131,308" path="m0,0l1763,0,2131,308,0,308,0,0xe">
          <v:path/>
          <v:fill on="t" focussize="0,0"/>
          <v:stroke on="f"/>
          <v:imagedata o:title=""/>
          <o:lock v:ext="edit"/>
          <w10:wrap type="none"/>
          <w10:anchorlock/>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88" o:spid="_x0000_s2088" o:spt="202" type="#_x0000_t202" style="position:absolute;left:0pt;margin-left:226.4pt;margin-top:72.25pt;height:7pt;width:159.8pt;mso-position-horizontal-relative:page;mso-position-vertical-relative:page;z-index:251705344;mso-width-relative:page;mso-height-relative:page;" filled="f" stroked="f" coordsize="21600,21600" o:allowincell="f">
          <v:path/>
          <v:fill on="f" focussize="0,0"/>
          <v:stroke on="f"/>
          <v:imagedata o:title=""/>
          <o:lock v:ext="edit" aspectratio="f"/>
          <v:textbox inset="0mm,0mm,0mm,0mm">
            <w:txbxContent>
              <w:p>
                <w:pPr>
                  <w:spacing w:before="20" w:line="184" w:lineRule="auto"/>
                  <w:ind w:left="20"/>
                  <w:rPr>
                    <w:rFonts w:ascii="宋体" w:hAnsi="宋体" w:eastAsia="宋体" w:cs="宋体"/>
                    <w:sz w:val="10"/>
                    <w:szCs w:val="10"/>
                  </w:rPr>
                </w:pPr>
                <w:r>
                  <w:rPr>
                    <w:rFonts w:ascii="宋体" w:hAnsi="宋体" w:eastAsia="宋体" w:cs="宋体"/>
                    <w:color w:val="231F20"/>
                    <w:spacing w:val="7"/>
                    <w:w w:val="114"/>
                    <w:sz w:val="10"/>
                    <w:szCs w:val="10"/>
                  </w:rPr>
                  <w:t>J</w:t>
                </w:r>
                <w:r>
                  <w:rPr>
                    <w:rFonts w:ascii="宋体" w:hAnsi="宋体" w:eastAsia="宋体" w:cs="宋体"/>
                    <w:color w:val="231F20"/>
                    <w:spacing w:val="3"/>
                    <w:sz w:val="10"/>
                    <w:szCs w:val="10"/>
                  </w:rPr>
                  <w:t xml:space="preserve"> </w:t>
                </w:r>
                <w:r>
                  <w:rPr>
                    <w:rFonts w:ascii="宋体" w:hAnsi="宋体" w:eastAsia="宋体" w:cs="宋体"/>
                    <w:color w:val="231F20"/>
                    <w:spacing w:val="7"/>
                    <w:w w:val="114"/>
                    <w:sz w:val="10"/>
                    <w:szCs w:val="10"/>
                  </w:rPr>
                  <w:t>OURNAL</w:t>
                </w:r>
                <w:r>
                  <w:rPr>
                    <w:rFonts w:ascii="宋体" w:hAnsi="宋体" w:eastAsia="宋体" w:cs="宋体"/>
                    <w:color w:val="231F20"/>
                    <w:spacing w:val="36"/>
                    <w:sz w:val="10"/>
                    <w:szCs w:val="10"/>
                  </w:rPr>
                  <w:t xml:space="preserve"> </w:t>
                </w:r>
                <w:r>
                  <w:rPr>
                    <w:rFonts w:ascii="宋体" w:hAnsi="宋体" w:eastAsia="宋体" w:cs="宋体"/>
                    <w:color w:val="231F20"/>
                    <w:spacing w:val="7"/>
                    <w:w w:val="114"/>
                    <w:sz w:val="10"/>
                    <w:szCs w:val="10"/>
                  </w:rPr>
                  <w:t>OF</w:t>
                </w:r>
                <w:r>
                  <w:rPr>
                    <w:rFonts w:ascii="宋体" w:hAnsi="宋体" w:eastAsia="宋体" w:cs="宋体"/>
                    <w:color w:val="231F20"/>
                    <w:spacing w:val="35"/>
                    <w:w w:val="101"/>
                    <w:sz w:val="10"/>
                    <w:szCs w:val="10"/>
                  </w:rPr>
                  <w:t xml:space="preserve"> </w:t>
                </w:r>
                <w:r>
                  <w:rPr>
                    <w:rFonts w:ascii="宋体" w:hAnsi="宋体" w:eastAsia="宋体" w:cs="宋体"/>
                    <w:color w:val="231F20"/>
                    <w:spacing w:val="7"/>
                    <w:w w:val="114"/>
                    <w:sz w:val="10"/>
                    <w:szCs w:val="10"/>
                  </w:rPr>
                  <w:t>J</w:t>
                </w:r>
                <w:r>
                  <w:rPr>
                    <w:rFonts w:ascii="宋体" w:hAnsi="宋体" w:eastAsia="宋体" w:cs="宋体"/>
                    <w:color w:val="231F20"/>
                    <w:spacing w:val="-3"/>
                    <w:sz w:val="10"/>
                    <w:szCs w:val="10"/>
                  </w:rPr>
                  <w:t xml:space="preserve"> </w:t>
                </w:r>
                <w:r>
                  <w:rPr>
                    <w:rFonts w:ascii="宋体" w:hAnsi="宋体" w:eastAsia="宋体" w:cs="宋体"/>
                    <w:color w:val="231F20"/>
                    <w:spacing w:val="7"/>
                    <w:w w:val="114"/>
                    <w:sz w:val="10"/>
                    <w:szCs w:val="10"/>
                  </w:rPr>
                  <w:t>I</w:t>
                </w:r>
                <w:r>
                  <w:rPr>
                    <w:rFonts w:ascii="宋体" w:hAnsi="宋体" w:eastAsia="宋体" w:cs="宋体"/>
                    <w:color w:val="231F20"/>
                    <w:spacing w:val="-5"/>
                    <w:sz w:val="10"/>
                    <w:szCs w:val="10"/>
                  </w:rPr>
                  <w:t xml:space="preserve"> </w:t>
                </w:r>
                <w:r>
                  <w:rPr>
                    <w:rFonts w:ascii="宋体" w:hAnsi="宋体" w:eastAsia="宋体" w:cs="宋体"/>
                    <w:color w:val="231F20"/>
                    <w:spacing w:val="7"/>
                    <w:w w:val="114"/>
                    <w:sz w:val="10"/>
                    <w:szCs w:val="10"/>
                  </w:rPr>
                  <w:t>A</w:t>
                </w:r>
                <w:r>
                  <w:rPr>
                    <w:rFonts w:ascii="宋体" w:hAnsi="宋体" w:eastAsia="宋体" w:cs="宋体"/>
                    <w:color w:val="231F20"/>
                    <w:spacing w:val="-31"/>
                    <w:sz w:val="10"/>
                    <w:szCs w:val="10"/>
                  </w:rPr>
                  <w:t xml:space="preserve"> </w:t>
                </w:r>
                <w:r>
                  <w:rPr>
                    <w:rFonts w:ascii="宋体" w:hAnsi="宋体" w:eastAsia="宋体" w:cs="宋体"/>
                    <w:color w:val="231F20"/>
                    <w:spacing w:val="7"/>
                    <w:w w:val="114"/>
                    <w:sz w:val="10"/>
                    <w:szCs w:val="10"/>
                  </w:rPr>
                  <w:t>MUS</w:t>
                </w:r>
                <w:r>
                  <w:rPr>
                    <w:rFonts w:ascii="宋体" w:hAnsi="宋体" w:eastAsia="宋体" w:cs="宋体"/>
                    <w:color w:val="231F20"/>
                    <w:spacing w:val="-5"/>
                    <w:sz w:val="10"/>
                    <w:szCs w:val="10"/>
                  </w:rPr>
                  <w:t xml:space="preserve"> </w:t>
                </w:r>
                <w:r>
                  <w:rPr>
                    <w:rFonts w:ascii="宋体" w:hAnsi="宋体" w:eastAsia="宋体" w:cs="宋体"/>
                    <w:color w:val="231F20"/>
                    <w:spacing w:val="7"/>
                    <w:w w:val="114"/>
                    <w:sz w:val="10"/>
                    <w:szCs w:val="10"/>
                  </w:rPr>
                  <w:t>I</w:t>
                </w:r>
                <w:r>
                  <w:rPr>
                    <w:rFonts w:ascii="宋体" w:hAnsi="宋体" w:eastAsia="宋体" w:cs="宋体"/>
                    <w:color w:val="231F20"/>
                    <w:spacing w:val="48"/>
                    <w:w w:val="101"/>
                    <w:sz w:val="10"/>
                    <w:szCs w:val="10"/>
                  </w:rPr>
                  <w:t xml:space="preserve"> </w:t>
                </w:r>
                <w:r>
                  <w:rPr>
                    <w:rFonts w:ascii="宋体" w:hAnsi="宋体" w:eastAsia="宋体" w:cs="宋体"/>
                    <w:color w:val="231F20"/>
                    <w:spacing w:val="7"/>
                    <w:w w:val="114"/>
                    <w:sz w:val="10"/>
                    <w:szCs w:val="10"/>
                  </w:rPr>
                  <w:t>VOC</w:t>
                </w:r>
                <w:r>
                  <w:rPr>
                    <w:rFonts w:ascii="宋体" w:hAnsi="宋体" w:eastAsia="宋体" w:cs="宋体"/>
                    <w:color w:val="231F20"/>
                    <w:spacing w:val="-25"/>
                    <w:sz w:val="10"/>
                    <w:szCs w:val="10"/>
                  </w:rPr>
                  <w:t xml:space="preserve"> </w:t>
                </w:r>
                <w:r>
                  <w:rPr>
                    <w:rFonts w:ascii="宋体" w:hAnsi="宋体" w:eastAsia="宋体" w:cs="宋体"/>
                    <w:color w:val="231F20"/>
                    <w:spacing w:val="7"/>
                    <w:w w:val="114"/>
                    <w:sz w:val="10"/>
                    <w:szCs w:val="10"/>
                  </w:rPr>
                  <w:t>AT</w:t>
                </w:r>
                <w:r>
                  <w:rPr>
                    <w:rFonts w:ascii="宋体" w:hAnsi="宋体" w:eastAsia="宋体" w:cs="宋体"/>
                    <w:color w:val="231F20"/>
                    <w:spacing w:val="-11"/>
                    <w:sz w:val="10"/>
                    <w:szCs w:val="10"/>
                  </w:rPr>
                  <w:t xml:space="preserve"> </w:t>
                </w:r>
                <w:r>
                  <w:rPr>
                    <w:rFonts w:ascii="宋体" w:hAnsi="宋体" w:eastAsia="宋体" w:cs="宋体"/>
                    <w:color w:val="231F20"/>
                    <w:spacing w:val="7"/>
                    <w:w w:val="114"/>
                    <w:sz w:val="10"/>
                    <w:szCs w:val="10"/>
                  </w:rPr>
                  <w:t>I</w:t>
                </w:r>
                <w:r>
                  <w:rPr>
                    <w:rFonts w:ascii="宋体" w:hAnsi="宋体" w:eastAsia="宋体" w:cs="宋体"/>
                    <w:color w:val="231F20"/>
                    <w:spacing w:val="-3"/>
                    <w:sz w:val="10"/>
                    <w:szCs w:val="10"/>
                  </w:rPr>
                  <w:t xml:space="preserve"> </w:t>
                </w:r>
                <w:r>
                  <w:rPr>
                    <w:rFonts w:ascii="宋体" w:hAnsi="宋体" w:eastAsia="宋体" w:cs="宋体"/>
                    <w:color w:val="231F20"/>
                    <w:spacing w:val="7"/>
                    <w:w w:val="114"/>
                    <w:sz w:val="10"/>
                    <w:szCs w:val="10"/>
                  </w:rPr>
                  <w:t>ONAL</w:t>
                </w:r>
                <w:r>
                  <w:rPr>
                    <w:rFonts w:ascii="宋体" w:hAnsi="宋体" w:eastAsia="宋体" w:cs="宋体"/>
                    <w:color w:val="231F20"/>
                    <w:spacing w:val="42"/>
                    <w:sz w:val="10"/>
                    <w:szCs w:val="10"/>
                  </w:rPr>
                  <w:t xml:space="preserve"> </w:t>
                </w:r>
                <w:r>
                  <w:rPr>
                    <w:rFonts w:ascii="宋体" w:hAnsi="宋体" w:eastAsia="宋体" w:cs="宋体"/>
                    <w:color w:val="231F20"/>
                    <w:spacing w:val="7"/>
                    <w:w w:val="114"/>
                    <w:sz w:val="10"/>
                    <w:szCs w:val="10"/>
                  </w:rPr>
                  <w:t>I</w:t>
                </w:r>
                <w:r>
                  <w:rPr>
                    <w:rFonts w:ascii="宋体" w:hAnsi="宋体" w:eastAsia="宋体" w:cs="宋体"/>
                    <w:color w:val="231F20"/>
                    <w:spacing w:val="-5"/>
                    <w:sz w:val="10"/>
                    <w:szCs w:val="10"/>
                  </w:rPr>
                  <w:t xml:space="preserve"> </w:t>
                </w:r>
                <w:r>
                  <w:rPr>
                    <w:rFonts w:ascii="宋体" w:hAnsi="宋体" w:eastAsia="宋体" w:cs="宋体"/>
                    <w:color w:val="231F20"/>
                    <w:spacing w:val="7"/>
                    <w:w w:val="114"/>
                    <w:sz w:val="10"/>
                    <w:szCs w:val="10"/>
                  </w:rPr>
                  <w:t>NS</w:t>
                </w:r>
                <w:r>
                  <w:rPr>
                    <w:rFonts w:ascii="宋体" w:hAnsi="宋体" w:eastAsia="宋体" w:cs="宋体"/>
                    <w:color w:val="231F20"/>
                    <w:spacing w:val="-12"/>
                    <w:sz w:val="10"/>
                    <w:szCs w:val="10"/>
                  </w:rPr>
                  <w:t xml:space="preserve"> </w:t>
                </w:r>
                <w:r>
                  <w:rPr>
                    <w:rFonts w:ascii="宋体" w:hAnsi="宋体" w:eastAsia="宋体" w:cs="宋体"/>
                    <w:color w:val="231F20"/>
                    <w:spacing w:val="7"/>
                    <w:w w:val="114"/>
                    <w:sz w:val="10"/>
                    <w:szCs w:val="10"/>
                  </w:rPr>
                  <w:t>T</w:t>
                </w:r>
                <w:r>
                  <w:rPr>
                    <w:rFonts w:ascii="宋体" w:hAnsi="宋体" w:eastAsia="宋体" w:cs="宋体"/>
                    <w:color w:val="231F20"/>
                    <w:spacing w:val="-11"/>
                    <w:sz w:val="10"/>
                    <w:szCs w:val="10"/>
                  </w:rPr>
                  <w:t xml:space="preserve"> </w:t>
                </w:r>
                <w:r>
                  <w:rPr>
                    <w:rFonts w:ascii="宋体" w:hAnsi="宋体" w:eastAsia="宋体" w:cs="宋体"/>
                    <w:color w:val="231F20"/>
                    <w:spacing w:val="7"/>
                    <w:w w:val="114"/>
                    <w:sz w:val="10"/>
                    <w:szCs w:val="10"/>
                  </w:rPr>
                  <w:t>I</w:t>
                </w:r>
                <w:r>
                  <w:rPr>
                    <w:rFonts w:ascii="宋体" w:hAnsi="宋体" w:eastAsia="宋体" w:cs="宋体"/>
                    <w:color w:val="231F20"/>
                    <w:spacing w:val="-3"/>
                    <w:sz w:val="10"/>
                    <w:szCs w:val="10"/>
                  </w:rPr>
                  <w:t xml:space="preserve"> </w:t>
                </w:r>
                <w:r>
                  <w:rPr>
                    <w:rFonts w:ascii="宋体" w:hAnsi="宋体" w:eastAsia="宋体" w:cs="宋体"/>
                    <w:color w:val="231F20"/>
                    <w:spacing w:val="7"/>
                    <w:w w:val="114"/>
                    <w:sz w:val="10"/>
                    <w:szCs w:val="10"/>
                  </w:rPr>
                  <w:t>T</w:t>
                </w:r>
                <w:r>
                  <w:rPr>
                    <w:rFonts w:ascii="宋体" w:hAnsi="宋体" w:eastAsia="宋体" w:cs="宋体"/>
                    <w:color w:val="231F20"/>
                    <w:spacing w:val="-19"/>
                    <w:sz w:val="10"/>
                    <w:szCs w:val="10"/>
                  </w:rPr>
                  <w:t xml:space="preserve"> </w:t>
                </w:r>
                <w:r>
                  <w:rPr>
                    <w:rFonts w:ascii="宋体" w:hAnsi="宋体" w:eastAsia="宋体" w:cs="宋体"/>
                    <w:color w:val="231F20"/>
                    <w:spacing w:val="7"/>
                    <w:w w:val="114"/>
                    <w:sz w:val="10"/>
                    <w:szCs w:val="10"/>
                  </w:rPr>
                  <w:t>UT</w:t>
                </w:r>
                <w:r>
                  <w:rPr>
                    <w:rFonts w:ascii="宋体" w:hAnsi="宋体" w:eastAsia="宋体" w:cs="宋体"/>
                    <w:color w:val="231F20"/>
                    <w:spacing w:val="-18"/>
                    <w:sz w:val="10"/>
                    <w:szCs w:val="10"/>
                  </w:rPr>
                  <w:t xml:space="preserve"> </w:t>
                </w:r>
                <w:r>
                  <w:rPr>
                    <w:rFonts w:ascii="宋体" w:hAnsi="宋体" w:eastAsia="宋体" w:cs="宋体"/>
                    <w:color w:val="231F20"/>
                    <w:spacing w:val="7"/>
                    <w:w w:val="114"/>
                    <w:sz w:val="10"/>
                    <w:szCs w:val="10"/>
                  </w:rPr>
                  <w:t>E</w:t>
                </w:r>
              </w:p>
            </w:txbxContent>
          </v:textbox>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706368" behindDoc="1" locked="0" layoutInCell="0" allowOverlap="1">
          <wp:simplePos x="0" y="0"/>
          <wp:positionH relativeFrom="page">
            <wp:posOffset>0</wp:posOffset>
          </wp:positionH>
          <wp:positionV relativeFrom="page">
            <wp:posOffset>1270</wp:posOffset>
          </wp:positionV>
          <wp:extent cx="7776210" cy="1090612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7775936" cy="10906187"/>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89" o:spid="_x0000_s2089" o:spt="202" type="#_x0000_t202" style="position:absolute;left:0pt;margin-left:226.4pt;margin-top:72.25pt;height:7pt;width:159.8pt;mso-position-horizontal-relative:page;mso-position-vertical-relative:page;z-index:251709440;mso-width-relative:page;mso-height-relative:page;" filled="f" stroked="f" coordsize="21600,21600" o:allowincell="f">
          <v:path/>
          <v:fill on="f" focussize="0,0"/>
          <v:stroke on="f"/>
          <v:imagedata o:title=""/>
          <o:lock v:ext="edit" aspectratio="f"/>
          <v:textbox inset="0mm,0mm,0mm,0mm">
            <w:txbxContent>
              <w:p>
                <w:pPr>
                  <w:spacing w:before="20" w:line="184" w:lineRule="auto"/>
                  <w:ind w:left="20"/>
                  <w:rPr>
                    <w:rFonts w:ascii="宋体" w:hAnsi="宋体" w:eastAsia="宋体" w:cs="宋体"/>
                    <w:sz w:val="10"/>
                    <w:szCs w:val="10"/>
                  </w:rPr>
                </w:pPr>
                <w:r>
                  <w:rPr>
                    <w:rFonts w:ascii="宋体" w:hAnsi="宋体" w:eastAsia="宋体" w:cs="宋体"/>
                    <w:color w:val="231F20"/>
                    <w:spacing w:val="7"/>
                    <w:w w:val="114"/>
                    <w:sz w:val="10"/>
                    <w:szCs w:val="10"/>
                  </w:rPr>
                  <w:t>J</w:t>
                </w:r>
                <w:r>
                  <w:rPr>
                    <w:rFonts w:ascii="宋体" w:hAnsi="宋体" w:eastAsia="宋体" w:cs="宋体"/>
                    <w:color w:val="231F20"/>
                    <w:spacing w:val="3"/>
                    <w:sz w:val="10"/>
                    <w:szCs w:val="10"/>
                  </w:rPr>
                  <w:t xml:space="preserve"> </w:t>
                </w:r>
                <w:r>
                  <w:rPr>
                    <w:rFonts w:ascii="宋体" w:hAnsi="宋体" w:eastAsia="宋体" w:cs="宋体"/>
                    <w:color w:val="231F20"/>
                    <w:spacing w:val="7"/>
                    <w:w w:val="114"/>
                    <w:sz w:val="10"/>
                    <w:szCs w:val="10"/>
                  </w:rPr>
                  <w:t>OURNAL</w:t>
                </w:r>
                <w:r>
                  <w:rPr>
                    <w:rFonts w:ascii="宋体" w:hAnsi="宋体" w:eastAsia="宋体" w:cs="宋体"/>
                    <w:color w:val="231F20"/>
                    <w:spacing w:val="36"/>
                    <w:sz w:val="10"/>
                    <w:szCs w:val="10"/>
                  </w:rPr>
                  <w:t xml:space="preserve"> </w:t>
                </w:r>
                <w:r>
                  <w:rPr>
                    <w:rFonts w:ascii="宋体" w:hAnsi="宋体" w:eastAsia="宋体" w:cs="宋体"/>
                    <w:color w:val="231F20"/>
                    <w:spacing w:val="7"/>
                    <w:w w:val="114"/>
                    <w:sz w:val="10"/>
                    <w:szCs w:val="10"/>
                  </w:rPr>
                  <w:t>OF</w:t>
                </w:r>
                <w:r>
                  <w:rPr>
                    <w:rFonts w:ascii="宋体" w:hAnsi="宋体" w:eastAsia="宋体" w:cs="宋体"/>
                    <w:color w:val="231F20"/>
                    <w:spacing w:val="35"/>
                    <w:w w:val="101"/>
                    <w:sz w:val="10"/>
                    <w:szCs w:val="10"/>
                  </w:rPr>
                  <w:t xml:space="preserve"> </w:t>
                </w:r>
                <w:r>
                  <w:rPr>
                    <w:rFonts w:ascii="宋体" w:hAnsi="宋体" w:eastAsia="宋体" w:cs="宋体"/>
                    <w:color w:val="231F20"/>
                    <w:spacing w:val="7"/>
                    <w:w w:val="114"/>
                    <w:sz w:val="10"/>
                    <w:szCs w:val="10"/>
                  </w:rPr>
                  <w:t>J</w:t>
                </w:r>
                <w:r>
                  <w:rPr>
                    <w:rFonts w:ascii="宋体" w:hAnsi="宋体" w:eastAsia="宋体" w:cs="宋体"/>
                    <w:color w:val="231F20"/>
                    <w:spacing w:val="-3"/>
                    <w:sz w:val="10"/>
                    <w:szCs w:val="10"/>
                  </w:rPr>
                  <w:t xml:space="preserve"> </w:t>
                </w:r>
                <w:r>
                  <w:rPr>
                    <w:rFonts w:ascii="宋体" w:hAnsi="宋体" w:eastAsia="宋体" w:cs="宋体"/>
                    <w:color w:val="231F20"/>
                    <w:spacing w:val="7"/>
                    <w:w w:val="114"/>
                    <w:sz w:val="10"/>
                    <w:szCs w:val="10"/>
                  </w:rPr>
                  <w:t>I</w:t>
                </w:r>
                <w:r>
                  <w:rPr>
                    <w:rFonts w:ascii="宋体" w:hAnsi="宋体" w:eastAsia="宋体" w:cs="宋体"/>
                    <w:color w:val="231F20"/>
                    <w:spacing w:val="-5"/>
                    <w:sz w:val="10"/>
                    <w:szCs w:val="10"/>
                  </w:rPr>
                  <w:t xml:space="preserve"> </w:t>
                </w:r>
                <w:r>
                  <w:rPr>
                    <w:rFonts w:ascii="宋体" w:hAnsi="宋体" w:eastAsia="宋体" w:cs="宋体"/>
                    <w:color w:val="231F20"/>
                    <w:spacing w:val="7"/>
                    <w:w w:val="114"/>
                    <w:sz w:val="10"/>
                    <w:szCs w:val="10"/>
                  </w:rPr>
                  <w:t>A</w:t>
                </w:r>
                <w:r>
                  <w:rPr>
                    <w:rFonts w:ascii="宋体" w:hAnsi="宋体" w:eastAsia="宋体" w:cs="宋体"/>
                    <w:color w:val="231F20"/>
                    <w:spacing w:val="-31"/>
                    <w:sz w:val="10"/>
                    <w:szCs w:val="10"/>
                  </w:rPr>
                  <w:t xml:space="preserve"> </w:t>
                </w:r>
                <w:r>
                  <w:rPr>
                    <w:rFonts w:ascii="宋体" w:hAnsi="宋体" w:eastAsia="宋体" w:cs="宋体"/>
                    <w:color w:val="231F20"/>
                    <w:spacing w:val="7"/>
                    <w:w w:val="114"/>
                    <w:sz w:val="10"/>
                    <w:szCs w:val="10"/>
                  </w:rPr>
                  <w:t>MUS</w:t>
                </w:r>
                <w:r>
                  <w:rPr>
                    <w:rFonts w:ascii="宋体" w:hAnsi="宋体" w:eastAsia="宋体" w:cs="宋体"/>
                    <w:color w:val="231F20"/>
                    <w:spacing w:val="-5"/>
                    <w:sz w:val="10"/>
                    <w:szCs w:val="10"/>
                  </w:rPr>
                  <w:t xml:space="preserve"> </w:t>
                </w:r>
                <w:r>
                  <w:rPr>
                    <w:rFonts w:ascii="宋体" w:hAnsi="宋体" w:eastAsia="宋体" w:cs="宋体"/>
                    <w:color w:val="231F20"/>
                    <w:spacing w:val="7"/>
                    <w:w w:val="114"/>
                    <w:sz w:val="10"/>
                    <w:szCs w:val="10"/>
                  </w:rPr>
                  <w:t>I</w:t>
                </w:r>
                <w:r>
                  <w:rPr>
                    <w:rFonts w:ascii="宋体" w:hAnsi="宋体" w:eastAsia="宋体" w:cs="宋体"/>
                    <w:color w:val="231F20"/>
                    <w:spacing w:val="48"/>
                    <w:w w:val="101"/>
                    <w:sz w:val="10"/>
                    <w:szCs w:val="10"/>
                  </w:rPr>
                  <w:t xml:space="preserve"> </w:t>
                </w:r>
                <w:r>
                  <w:rPr>
                    <w:rFonts w:ascii="宋体" w:hAnsi="宋体" w:eastAsia="宋体" w:cs="宋体"/>
                    <w:color w:val="231F20"/>
                    <w:spacing w:val="7"/>
                    <w:w w:val="114"/>
                    <w:sz w:val="10"/>
                    <w:szCs w:val="10"/>
                  </w:rPr>
                  <w:t>VOC</w:t>
                </w:r>
                <w:r>
                  <w:rPr>
                    <w:rFonts w:ascii="宋体" w:hAnsi="宋体" w:eastAsia="宋体" w:cs="宋体"/>
                    <w:color w:val="231F20"/>
                    <w:spacing w:val="-25"/>
                    <w:sz w:val="10"/>
                    <w:szCs w:val="10"/>
                  </w:rPr>
                  <w:t xml:space="preserve"> </w:t>
                </w:r>
                <w:r>
                  <w:rPr>
                    <w:rFonts w:ascii="宋体" w:hAnsi="宋体" w:eastAsia="宋体" w:cs="宋体"/>
                    <w:color w:val="231F20"/>
                    <w:spacing w:val="7"/>
                    <w:w w:val="114"/>
                    <w:sz w:val="10"/>
                    <w:szCs w:val="10"/>
                  </w:rPr>
                  <w:t>AT</w:t>
                </w:r>
                <w:r>
                  <w:rPr>
                    <w:rFonts w:ascii="宋体" w:hAnsi="宋体" w:eastAsia="宋体" w:cs="宋体"/>
                    <w:color w:val="231F20"/>
                    <w:spacing w:val="-11"/>
                    <w:sz w:val="10"/>
                    <w:szCs w:val="10"/>
                  </w:rPr>
                  <w:t xml:space="preserve"> </w:t>
                </w:r>
                <w:r>
                  <w:rPr>
                    <w:rFonts w:ascii="宋体" w:hAnsi="宋体" w:eastAsia="宋体" w:cs="宋体"/>
                    <w:color w:val="231F20"/>
                    <w:spacing w:val="7"/>
                    <w:w w:val="114"/>
                    <w:sz w:val="10"/>
                    <w:szCs w:val="10"/>
                  </w:rPr>
                  <w:t>I</w:t>
                </w:r>
                <w:r>
                  <w:rPr>
                    <w:rFonts w:ascii="宋体" w:hAnsi="宋体" w:eastAsia="宋体" w:cs="宋体"/>
                    <w:color w:val="231F20"/>
                    <w:spacing w:val="-3"/>
                    <w:sz w:val="10"/>
                    <w:szCs w:val="10"/>
                  </w:rPr>
                  <w:t xml:space="preserve"> </w:t>
                </w:r>
                <w:r>
                  <w:rPr>
                    <w:rFonts w:ascii="宋体" w:hAnsi="宋体" w:eastAsia="宋体" w:cs="宋体"/>
                    <w:color w:val="231F20"/>
                    <w:spacing w:val="7"/>
                    <w:w w:val="114"/>
                    <w:sz w:val="10"/>
                    <w:szCs w:val="10"/>
                  </w:rPr>
                  <w:t>ONAL</w:t>
                </w:r>
                <w:r>
                  <w:rPr>
                    <w:rFonts w:ascii="宋体" w:hAnsi="宋体" w:eastAsia="宋体" w:cs="宋体"/>
                    <w:color w:val="231F20"/>
                    <w:spacing w:val="42"/>
                    <w:sz w:val="10"/>
                    <w:szCs w:val="10"/>
                  </w:rPr>
                  <w:t xml:space="preserve"> </w:t>
                </w:r>
                <w:r>
                  <w:rPr>
                    <w:rFonts w:ascii="宋体" w:hAnsi="宋体" w:eastAsia="宋体" w:cs="宋体"/>
                    <w:color w:val="231F20"/>
                    <w:spacing w:val="7"/>
                    <w:w w:val="114"/>
                    <w:sz w:val="10"/>
                    <w:szCs w:val="10"/>
                  </w:rPr>
                  <w:t>I</w:t>
                </w:r>
                <w:r>
                  <w:rPr>
                    <w:rFonts w:ascii="宋体" w:hAnsi="宋体" w:eastAsia="宋体" w:cs="宋体"/>
                    <w:color w:val="231F20"/>
                    <w:spacing w:val="-5"/>
                    <w:sz w:val="10"/>
                    <w:szCs w:val="10"/>
                  </w:rPr>
                  <w:t xml:space="preserve"> </w:t>
                </w:r>
                <w:r>
                  <w:rPr>
                    <w:rFonts w:ascii="宋体" w:hAnsi="宋体" w:eastAsia="宋体" w:cs="宋体"/>
                    <w:color w:val="231F20"/>
                    <w:spacing w:val="7"/>
                    <w:w w:val="114"/>
                    <w:sz w:val="10"/>
                    <w:szCs w:val="10"/>
                  </w:rPr>
                  <w:t>NS</w:t>
                </w:r>
                <w:r>
                  <w:rPr>
                    <w:rFonts w:ascii="宋体" w:hAnsi="宋体" w:eastAsia="宋体" w:cs="宋体"/>
                    <w:color w:val="231F20"/>
                    <w:spacing w:val="-12"/>
                    <w:sz w:val="10"/>
                    <w:szCs w:val="10"/>
                  </w:rPr>
                  <w:t xml:space="preserve"> </w:t>
                </w:r>
                <w:r>
                  <w:rPr>
                    <w:rFonts w:ascii="宋体" w:hAnsi="宋体" w:eastAsia="宋体" w:cs="宋体"/>
                    <w:color w:val="231F20"/>
                    <w:spacing w:val="7"/>
                    <w:w w:val="114"/>
                    <w:sz w:val="10"/>
                    <w:szCs w:val="10"/>
                  </w:rPr>
                  <w:t>T</w:t>
                </w:r>
                <w:r>
                  <w:rPr>
                    <w:rFonts w:ascii="宋体" w:hAnsi="宋体" w:eastAsia="宋体" w:cs="宋体"/>
                    <w:color w:val="231F20"/>
                    <w:spacing w:val="-11"/>
                    <w:sz w:val="10"/>
                    <w:szCs w:val="10"/>
                  </w:rPr>
                  <w:t xml:space="preserve"> </w:t>
                </w:r>
                <w:r>
                  <w:rPr>
                    <w:rFonts w:ascii="宋体" w:hAnsi="宋体" w:eastAsia="宋体" w:cs="宋体"/>
                    <w:color w:val="231F20"/>
                    <w:spacing w:val="7"/>
                    <w:w w:val="114"/>
                    <w:sz w:val="10"/>
                    <w:szCs w:val="10"/>
                  </w:rPr>
                  <w:t>I</w:t>
                </w:r>
                <w:r>
                  <w:rPr>
                    <w:rFonts w:ascii="宋体" w:hAnsi="宋体" w:eastAsia="宋体" w:cs="宋体"/>
                    <w:color w:val="231F20"/>
                    <w:spacing w:val="-3"/>
                    <w:sz w:val="10"/>
                    <w:szCs w:val="10"/>
                  </w:rPr>
                  <w:t xml:space="preserve"> </w:t>
                </w:r>
                <w:r>
                  <w:rPr>
                    <w:rFonts w:ascii="宋体" w:hAnsi="宋体" w:eastAsia="宋体" w:cs="宋体"/>
                    <w:color w:val="231F20"/>
                    <w:spacing w:val="7"/>
                    <w:w w:val="114"/>
                    <w:sz w:val="10"/>
                    <w:szCs w:val="10"/>
                  </w:rPr>
                  <w:t>T</w:t>
                </w:r>
                <w:r>
                  <w:rPr>
                    <w:rFonts w:ascii="宋体" w:hAnsi="宋体" w:eastAsia="宋体" w:cs="宋体"/>
                    <w:color w:val="231F20"/>
                    <w:spacing w:val="-19"/>
                    <w:sz w:val="10"/>
                    <w:szCs w:val="10"/>
                  </w:rPr>
                  <w:t xml:space="preserve"> </w:t>
                </w:r>
                <w:r>
                  <w:rPr>
                    <w:rFonts w:ascii="宋体" w:hAnsi="宋体" w:eastAsia="宋体" w:cs="宋体"/>
                    <w:color w:val="231F20"/>
                    <w:spacing w:val="7"/>
                    <w:w w:val="114"/>
                    <w:sz w:val="10"/>
                    <w:szCs w:val="10"/>
                  </w:rPr>
                  <w:t>UT</w:t>
                </w:r>
                <w:r>
                  <w:rPr>
                    <w:rFonts w:ascii="宋体" w:hAnsi="宋体" w:eastAsia="宋体" w:cs="宋体"/>
                    <w:color w:val="231F20"/>
                    <w:spacing w:val="-18"/>
                    <w:sz w:val="10"/>
                    <w:szCs w:val="10"/>
                  </w:rPr>
                  <w:t xml:space="preserve"> </w:t>
                </w:r>
                <w:r>
                  <w:rPr>
                    <w:rFonts w:ascii="宋体" w:hAnsi="宋体" w:eastAsia="宋体" w:cs="宋体"/>
                    <w:color w:val="231F20"/>
                    <w:spacing w:val="7"/>
                    <w:w w:val="114"/>
                    <w:sz w:val="10"/>
                    <w:szCs w:val="10"/>
                  </w:rPr>
                  <w:t>E</w:t>
                </w:r>
              </w:p>
            </w:txbxContent>
          </v:textbox>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新宋体" w:hAnsi="新宋体" w:eastAsia="新宋体" w:cs="新宋体"/>
        <w:sz w:val="17"/>
        <w:szCs w:val="17"/>
      </w:rPr>
      <w:id w:val="2"/>
      <w:docPartObj>
        <w:docPartGallery w:val="Table of Contents"/>
        <w:docPartUnique/>
      </w:docPartObj>
    </w:sdtPr>
    <w:sdtEndPr>
      <w:rPr>
        <w:rFonts w:ascii="微软雅黑" w:hAnsi="微软雅黑" w:eastAsia="微软雅黑" w:cs="微软雅黑"/>
        <w:sz w:val="17"/>
        <w:szCs w:val="17"/>
      </w:rPr>
    </w:sdtEndPr>
    <w:sdtContent>
      <w:p>
        <w:pPr>
          <w:spacing w:line="174" w:lineRule="auto"/>
          <w:jc w:val="right"/>
          <w:rPr>
            <w:rFonts w:ascii="微软雅黑" w:hAnsi="微软雅黑" w:eastAsia="微软雅黑" w:cs="微软雅黑"/>
            <w:sz w:val="17"/>
            <w:szCs w:val="17"/>
          </w:rPr>
        </w:pPr>
        <w:r>
          <w:rPr>
            <w:rFonts w:ascii="新宋体" w:hAnsi="新宋体" w:eastAsia="新宋体" w:cs="新宋体"/>
            <w:spacing w:val="-15"/>
            <w:sz w:val="17"/>
            <w:szCs w:val="17"/>
          </w:rPr>
          <w:t>第</w:t>
        </w:r>
        <w:r>
          <w:rPr>
            <w:rFonts w:ascii="新宋体" w:hAnsi="新宋体" w:eastAsia="新宋体" w:cs="新宋体"/>
            <w:spacing w:val="-39"/>
            <w:sz w:val="17"/>
            <w:szCs w:val="17"/>
          </w:rPr>
          <w:t xml:space="preserve"> </w:t>
        </w:r>
        <w:r>
          <w:rPr>
            <w:rFonts w:ascii="微软雅黑" w:hAnsi="微软雅黑" w:eastAsia="微软雅黑" w:cs="微软雅黑"/>
            <w:spacing w:val="-15"/>
            <w:sz w:val="17"/>
            <w:szCs w:val="17"/>
          </w:rPr>
          <w:t>37</w:t>
        </w:r>
        <w:r>
          <w:rPr>
            <w:rFonts w:ascii="微软雅黑" w:hAnsi="微软雅黑" w:eastAsia="微软雅黑" w:cs="微软雅黑"/>
            <w:spacing w:val="15"/>
            <w:sz w:val="17"/>
            <w:szCs w:val="17"/>
          </w:rPr>
          <w:t xml:space="preserve"> </w:t>
        </w:r>
        <w:r>
          <w:rPr>
            <w:rFonts w:ascii="新宋体" w:hAnsi="新宋体" w:eastAsia="新宋体" w:cs="新宋体"/>
            <w:spacing w:val="-15"/>
            <w:sz w:val="17"/>
            <w:szCs w:val="17"/>
          </w:rPr>
          <w:t>卷 第</w:t>
        </w:r>
        <w:r>
          <w:rPr>
            <w:rFonts w:ascii="新宋体" w:hAnsi="新宋体" w:eastAsia="新宋体" w:cs="新宋体"/>
            <w:spacing w:val="-41"/>
            <w:sz w:val="17"/>
            <w:szCs w:val="17"/>
          </w:rPr>
          <w:t xml:space="preserve"> </w:t>
        </w:r>
        <w:r>
          <w:rPr>
            <w:rFonts w:ascii="微软雅黑" w:hAnsi="微软雅黑" w:eastAsia="微软雅黑" w:cs="微软雅黑"/>
            <w:spacing w:val="-14"/>
            <w:sz w:val="17"/>
            <w:szCs w:val="17"/>
          </w:rPr>
          <w:t>2</w:t>
        </w:r>
        <w:r>
          <w:rPr>
            <w:rFonts w:ascii="微软雅黑" w:hAnsi="微软雅黑" w:eastAsia="微软雅黑" w:cs="微软雅黑"/>
            <w:spacing w:val="15"/>
            <w:sz w:val="17"/>
            <w:szCs w:val="17"/>
          </w:rPr>
          <w:t xml:space="preserve"> </w:t>
        </w:r>
        <w:r>
          <w:rPr>
            <w:rFonts w:ascii="新宋体" w:hAnsi="新宋体" w:eastAsia="新宋体" w:cs="新宋体"/>
            <w:spacing w:val="-14"/>
            <w:sz w:val="17"/>
            <w:szCs w:val="17"/>
          </w:rPr>
          <w:t>期</w:t>
        </w:r>
        <w:r>
          <w:rPr>
            <w:rFonts w:ascii="新宋体" w:hAnsi="新宋体" w:eastAsia="新宋体" w:cs="新宋体"/>
            <w:spacing w:val="2"/>
            <w:sz w:val="17"/>
            <w:szCs w:val="17"/>
          </w:rPr>
          <w:t xml:space="preserve">                       </w:t>
        </w:r>
        <w:r>
          <w:rPr>
            <w:rFonts w:ascii="新宋体" w:hAnsi="新宋体" w:eastAsia="新宋体" w:cs="新宋体"/>
            <w:spacing w:val="1"/>
            <w:sz w:val="17"/>
            <w:szCs w:val="17"/>
          </w:rPr>
          <w:t xml:space="preserve">        </w:t>
        </w:r>
        <w:r>
          <w:rPr>
            <w:rFonts w:ascii="新宋体" w:hAnsi="新宋体" w:eastAsia="新宋体" w:cs="新宋体"/>
            <w:color w:val="0166B3"/>
            <w:spacing w:val="-14"/>
            <w:sz w:val="17"/>
            <w:szCs w:val="17"/>
          </w:rPr>
          <w:t>贵州师范学院学报</w:t>
        </w:r>
        <w:r>
          <w:rPr>
            <w:rFonts w:ascii="新宋体" w:hAnsi="新宋体" w:eastAsia="新宋体" w:cs="新宋体"/>
            <w:color w:val="0166B3"/>
            <w:spacing w:val="1"/>
            <w:sz w:val="17"/>
            <w:szCs w:val="17"/>
          </w:rPr>
          <w:t xml:space="preserve">                                  </w:t>
        </w:r>
        <w:r>
          <w:rPr>
            <w:rFonts w:ascii="微软雅黑" w:hAnsi="微软雅黑" w:eastAsia="微软雅黑" w:cs="微软雅黑"/>
            <w:spacing w:val="-14"/>
            <w:sz w:val="17"/>
            <w:szCs w:val="17"/>
          </w:rPr>
          <w:t>Vol．37．</w:t>
        </w:r>
        <w:r>
          <w:rPr>
            <w:rFonts w:ascii="微软雅黑" w:hAnsi="微软雅黑" w:eastAsia="微软雅黑" w:cs="微软雅黑"/>
            <w:spacing w:val="-15"/>
            <w:sz w:val="17"/>
            <w:szCs w:val="17"/>
          </w:rPr>
          <w:t>No．</w:t>
        </w:r>
        <w:r>
          <w:fldChar w:fldCharType="begin"/>
        </w:r>
        <w:r>
          <w:instrText xml:space="preserve"> HYPERLINK \l "bookmark2" </w:instrText>
        </w:r>
        <w:r>
          <w:fldChar w:fldCharType="separate"/>
        </w:r>
        <w:r>
          <w:rPr>
            <w:rFonts w:ascii="微软雅黑" w:hAnsi="微软雅黑" w:eastAsia="微软雅黑" w:cs="微软雅黑"/>
            <w:spacing w:val="-9"/>
            <w:sz w:val="17"/>
            <w:szCs w:val="17"/>
          </w:rPr>
          <w:t>2</w:t>
        </w:r>
        <w:r>
          <w:rPr>
            <w:rFonts w:ascii="微软雅黑" w:hAnsi="微软雅黑" w:eastAsia="微软雅黑" w:cs="微软雅黑"/>
            <w:spacing w:val="-9"/>
            <w:sz w:val="17"/>
            <w:szCs w:val="17"/>
          </w:rPr>
          <w:fldChar w:fldCharType="end"/>
        </w:r>
      </w:p>
      <w:p>
        <w:pPr>
          <w:tabs>
            <w:tab w:val="left" w:pos="1100"/>
          </w:tabs>
          <w:spacing w:line="136" w:lineRule="auto"/>
          <w:ind w:left="923"/>
          <w:rPr>
            <w:rFonts w:ascii="微软雅黑" w:hAnsi="微软雅黑" w:eastAsia="微软雅黑" w:cs="微软雅黑"/>
            <w:sz w:val="17"/>
            <w:szCs w:val="17"/>
          </w:rPr>
        </w:pPr>
        <w:r>
          <w:rPr>
            <w:rFonts w:ascii="微软雅黑" w:hAnsi="微软雅黑" w:eastAsia="微软雅黑" w:cs="微软雅黑"/>
            <w:sz w:val="17"/>
            <w:szCs w:val="17"/>
            <w:u w:val="single" w:color="auto"/>
          </w:rPr>
          <w:tab/>
        </w:r>
        <w:r>
          <w:rPr>
            <w:rFonts w:ascii="微软雅黑" w:hAnsi="微软雅黑" w:eastAsia="微软雅黑" w:cs="微软雅黑"/>
            <w:spacing w:val="-14"/>
            <w:sz w:val="17"/>
            <w:szCs w:val="17"/>
            <w:u w:val="single" w:color="auto"/>
          </w:rPr>
          <w:t>2021</w:t>
        </w:r>
        <w:r>
          <w:rPr>
            <w:rFonts w:ascii="微软雅黑" w:hAnsi="微软雅黑" w:eastAsia="微软雅黑" w:cs="微软雅黑"/>
            <w:spacing w:val="18"/>
            <w:w w:val="101"/>
            <w:sz w:val="17"/>
            <w:szCs w:val="17"/>
            <w:u w:val="single" w:color="auto"/>
          </w:rPr>
          <w:t xml:space="preserve"> </w:t>
        </w:r>
        <w:r>
          <w:rPr>
            <w:rFonts w:ascii="新宋体" w:hAnsi="新宋体" w:eastAsia="新宋体" w:cs="新宋体"/>
            <w:spacing w:val="-14"/>
            <w:sz w:val="17"/>
            <w:szCs w:val="17"/>
            <w:u w:val="single" w:color="auto"/>
          </w:rPr>
          <w:t>年</w:t>
        </w:r>
        <w:r>
          <w:rPr>
            <w:rFonts w:ascii="新宋体" w:hAnsi="新宋体" w:eastAsia="新宋体" w:cs="新宋体"/>
            <w:spacing w:val="-41"/>
            <w:sz w:val="17"/>
            <w:szCs w:val="17"/>
            <w:u w:val="single" w:color="auto"/>
          </w:rPr>
          <w:t xml:space="preserve"> </w:t>
        </w:r>
        <w:r>
          <w:rPr>
            <w:rFonts w:ascii="微软雅黑" w:hAnsi="微软雅黑" w:eastAsia="微软雅黑" w:cs="微软雅黑"/>
            <w:spacing w:val="-14"/>
            <w:sz w:val="17"/>
            <w:szCs w:val="17"/>
            <w:u w:val="single" w:color="auto"/>
          </w:rPr>
          <w:t>2</w:t>
        </w:r>
        <w:r>
          <w:rPr>
            <w:rFonts w:ascii="微软雅黑" w:hAnsi="微软雅黑" w:eastAsia="微软雅黑" w:cs="微软雅黑"/>
            <w:spacing w:val="23"/>
            <w:sz w:val="17"/>
            <w:szCs w:val="17"/>
            <w:u w:val="single" w:color="auto"/>
          </w:rPr>
          <w:t xml:space="preserve"> </w:t>
        </w:r>
        <w:r>
          <w:rPr>
            <w:rFonts w:ascii="新宋体" w:hAnsi="新宋体" w:eastAsia="新宋体" w:cs="新宋体"/>
            <w:spacing w:val="-14"/>
            <w:sz w:val="17"/>
            <w:szCs w:val="17"/>
            <w:u w:val="single" w:color="auto"/>
          </w:rPr>
          <w:t>月</w:t>
        </w:r>
        <w:r>
          <w:rPr>
            <w:rFonts w:ascii="新宋体" w:hAnsi="新宋体" w:eastAsia="新宋体" w:cs="新宋体"/>
            <w:spacing w:val="1"/>
            <w:sz w:val="17"/>
            <w:szCs w:val="17"/>
            <w:u w:val="single" w:color="auto"/>
          </w:rPr>
          <w:t xml:space="preserve">                        </w:t>
        </w:r>
        <w:r>
          <w:rPr>
            <w:rFonts w:ascii="微软雅黑" w:hAnsi="微软雅黑" w:eastAsia="微软雅黑" w:cs="微软雅黑"/>
            <w:spacing w:val="-14"/>
            <w:sz w:val="17"/>
            <w:szCs w:val="17"/>
            <w:u w:val="single" w:color="auto"/>
          </w:rPr>
          <w:t>Journal</w:t>
        </w:r>
        <w:r>
          <w:rPr>
            <w:rFonts w:ascii="微软雅黑" w:hAnsi="微软雅黑" w:eastAsia="微软雅黑" w:cs="微软雅黑"/>
            <w:spacing w:val="32"/>
            <w:sz w:val="17"/>
            <w:szCs w:val="17"/>
            <w:u w:val="single" w:color="auto"/>
          </w:rPr>
          <w:t xml:space="preserve"> </w:t>
        </w:r>
        <w:r>
          <w:rPr>
            <w:rFonts w:ascii="微软雅黑" w:hAnsi="微软雅黑" w:eastAsia="微软雅黑" w:cs="微软雅黑"/>
            <w:spacing w:val="-14"/>
            <w:sz w:val="17"/>
            <w:szCs w:val="17"/>
            <w:u w:val="single" w:color="auto"/>
          </w:rPr>
          <w:t>of</w:t>
        </w:r>
        <w:r>
          <w:rPr>
            <w:rFonts w:ascii="微软雅黑" w:hAnsi="微软雅黑" w:eastAsia="微软雅黑" w:cs="微软雅黑"/>
            <w:spacing w:val="11"/>
            <w:sz w:val="17"/>
            <w:szCs w:val="17"/>
            <w:u w:val="single" w:color="auto"/>
          </w:rPr>
          <w:t xml:space="preserve"> </w:t>
        </w:r>
        <w:r>
          <w:rPr>
            <w:rFonts w:ascii="微软雅黑" w:hAnsi="微软雅黑" w:eastAsia="微软雅黑" w:cs="微软雅黑"/>
            <w:spacing w:val="-14"/>
            <w:sz w:val="17"/>
            <w:szCs w:val="17"/>
            <w:u w:val="single" w:color="auto"/>
          </w:rPr>
          <w:t>Guizhou</w:t>
        </w:r>
        <w:r>
          <w:rPr>
            <w:rFonts w:ascii="微软雅黑" w:hAnsi="微软雅黑" w:eastAsia="微软雅黑" w:cs="微软雅黑"/>
            <w:spacing w:val="18"/>
            <w:sz w:val="17"/>
            <w:szCs w:val="17"/>
            <w:u w:val="single" w:color="auto"/>
          </w:rPr>
          <w:t xml:space="preserve"> </w:t>
        </w:r>
        <w:r>
          <w:rPr>
            <w:rFonts w:ascii="微软雅黑" w:hAnsi="微软雅黑" w:eastAsia="微软雅黑" w:cs="微软雅黑"/>
            <w:spacing w:val="-14"/>
            <w:sz w:val="17"/>
            <w:szCs w:val="17"/>
            <w:u w:val="single" w:color="auto"/>
          </w:rPr>
          <w:t>Education</w:t>
        </w:r>
        <w:r>
          <w:rPr>
            <w:rFonts w:ascii="微软雅黑" w:hAnsi="微软雅黑" w:eastAsia="微软雅黑" w:cs="微软雅黑"/>
            <w:spacing w:val="19"/>
            <w:w w:val="101"/>
            <w:sz w:val="17"/>
            <w:szCs w:val="17"/>
            <w:u w:val="single" w:color="auto"/>
          </w:rPr>
          <w:t xml:space="preserve"> </w:t>
        </w:r>
        <w:r>
          <w:rPr>
            <w:rFonts w:ascii="微软雅黑" w:hAnsi="微软雅黑" w:eastAsia="微软雅黑" w:cs="微软雅黑"/>
            <w:spacing w:val="-14"/>
            <w:sz w:val="17"/>
            <w:szCs w:val="17"/>
            <w:u w:val="single" w:color="auto"/>
          </w:rPr>
          <w:t>University</w:t>
        </w:r>
        <w:r>
          <w:rPr>
            <w:rFonts w:ascii="微软雅黑" w:hAnsi="微软雅黑" w:eastAsia="微软雅黑" w:cs="微软雅黑"/>
            <w:spacing w:val="1"/>
            <w:sz w:val="17"/>
            <w:szCs w:val="17"/>
            <w:u w:val="single" w:color="auto"/>
          </w:rPr>
          <w:t xml:space="preserve">                              </w:t>
        </w:r>
        <w:r>
          <w:rPr>
            <w:rFonts w:ascii="微软雅黑" w:hAnsi="微软雅黑" w:eastAsia="微软雅黑" w:cs="微软雅黑"/>
            <w:sz w:val="17"/>
            <w:szCs w:val="17"/>
            <w:u w:val="single" w:color="auto"/>
          </w:rPr>
          <w:t xml:space="preserve">                  </w:t>
        </w:r>
        <w:r>
          <w:rPr>
            <w:rFonts w:ascii="微软雅黑" w:hAnsi="微软雅黑" w:eastAsia="微软雅黑" w:cs="微软雅黑"/>
            <w:spacing w:val="-14"/>
            <w:sz w:val="17"/>
            <w:szCs w:val="17"/>
            <w:u w:val="single" w:color="auto"/>
          </w:rPr>
          <w:t>Feb．</w:t>
        </w:r>
        <w:r>
          <w:rPr>
            <w:rFonts w:ascii="微软雅黑" w:hAnsi="微软雅黑" w:eastAsia="微软雅黑" w:cs="微软雅黑"/>
            <w:spacing w:val="-15"/>
            <w:sz w:val="17"/>
            <w:szCs w:val="17"/>
            <w:u w:val="single" w:color="auto"/>
          </w:rPr>
          <w:t>2021</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6" w:lineRule="auto"/>
      <w:ind w:left="4080"/>
      <w:rPr>
        <w:rFonts w:ascii="微软雅黑" w:hAnsi="微软雅黑" w:eastAsia="微软雅黑" w:cs="微软雅黑"/>
        <w:sz w:val="20"/>
        <w:szCs w:val="20"/>
      </w:rPr>
    </w:pPr>
    <w:r>
      <w:pict>
        <v:shape id="_x0000_s2050" o:spid="_x0000_s2050" style="position:absolute;left:0pt;margin-left:65.15pt;margin-top:73.2pt;height:0.8pt;width:479.1pt;mso-position-horizontal-relative:page;mso-position-vertical-relative:page;z-index:251662336;mso-width-relative:page;mso-height-relative:page;" filled="f" stroked="t" coordsize="9582,16" o:allowincell="f" path="m0,6l9581,8e">
          <v:fill on="f" focussize="0,0"/>
          <v:stroke weight="0.68pt" color="#000000" miterlimit="4" joinstyle="miter"/>
          <v:imagedata o:title=""/>
          <o:lock v:ext="edit"/>
        </v:shape>
      </w:pict>
    </w:r>
    <w:r>
      <w:rPr>
        <w:rFonts w:ascii="微软雅黑" w:hAnsi="微软雅黑" w:eastAsia="微软雅黑" w:cs="微软雅黑"/>
        <w:color w:val="231F20"/>
        <w:spacing w:val="1"/>
        <w:sz w:val="20"/>
        <w:szCs w:val="20"/>
      </w:rPr>
      <w:t>高等教育质量文化：独特性与解释力</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新宋体" w:hAnsi="新宋体" w:eastAsia="新宋体" w:cs="新宋体"/>
        <w:sz w:val="18"/>
        <w:szCs w:val="18"/>
      </w:rPr>
      <w:id w:val="3"/>
      <w:docPartObj>
        <w:docPartGallery w:val="Table of Contents"/>
        <w:docPartUnique/>
      </w:docPartObj>
    </w:sdtPr>
    <w:sdtEndPr>
      <w:rPr>
        <w:rFonts w:ascii="Times New Roman" w:hAnsi="Times New Roman" w:eastAsia="Times New Roman" w:cs="Times New Roman"/>
        <w:sz w:val="26"/>
        <w:szCs w:val="26"/>
      </w:rPr>
    </w:sdtEndPr>
    <w:sdtContent>
      <w:p>
        <w:pPr>
          <w:spacing w:line="166" w:lineRule="auto"/>
          <w:ind w:left="515"/>
          <w:rPr>
            <w:rFonts w:ascii="Times New Roman" w:hAnsi="Times New Roman" w:eastAsia="Times New Roman" w:cs="Times New Roman"/>
            <w:sz w:val="26"/>
            <w:szCs w:val="26"/>
          </w:rPr>
        </w:pPr>
        <w:r>
          <w:rPr>
            <w:rFonts w:ascii="新宋体" w:hAnsi="新宋体" w:eastAsia="新宋体" w:cs="新宋体"/>
            <w:color w:val="231F20"/>
            <w:spacing w:val="20"/>
            <w:sz w:val="18"/>
            <w:szCs w:val="18"/>
            <w:u w:val="single" w:color="auto"/>
          </w:rPr>
          <w:t>以学生为中心教育质量文化建设研究与实践</w:t>
        </w:r>
        <w:r>
          <w:rPr>
            <w:rFonts w:ascii="新宋体" w:hAnsi="新宋体" w:eastAsia="新宋体" w:cs="新宋体"/>
            <w:color w:val="231F20"/>
            <w:spacing w:val="1"/>
            <w:sz w:val="18"/>
            <w:szCs w:val="18"/>
            <w:u w:val="single" w:color="auto"/>
          </w:rPr>
          <w:t xml:space="preserve">                                                            </w:t>
        </w:r>
        <w:r>
          <w:rPr>
            <w:rFonts w:ascii="新宋体" w:hAnsi="新宋体" w:eastAsia="新宋体" w:cs="新宋体"/>
            <w:color w:val="231F20"/>
            <w:sz w:val="18"/>
            <w:szCs w:val="18"/>
            <w:u w:val="single" w:color="auto"/>
          </w:rPr>
          <w:t xml:space="preserve">      </w:t>
        </w:r>
        <w:r>
          <w:rPr>
            <w:rFonts w:ascii="Times New Roman" w:hAnsi="Times New Roman" w:eastAsia="Times New Roman" w:cs="Times New Roman"/>
            <w:i/>
            <w:iCs/>
            <w:color w:val="231F20"/>
            <w:spacing w:val="20"/>
            <w:position w:val="-5"/>
            <w:sz w:val="26"/>
            <w:szCs w:val="26"/>
            <w:u w:val="single" w:color="auto"/>
          </w:rPr>
          <w:t>33</w:t>
        </w:r>
      </w:p>
    </w:sdtContent>
  </w:sdt>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61" w:lineRule="auto"/>
      <w:ind w:right="16"/>
      <w:jc w:val="right"/>
      <w:rPr>
        <w:sz w:val="19"/>
        <w:szCs w:val="19"/>
      </w:rPr>
    </w:pPr>
    <w:r>
      <w:rPr>
        <w:rFonts w:ascii="Times New Roman" w:hAnsi="Times New Roman" w:eastAsia="Times New Roman" w:cs="Times New Roman"/>
        <w:i/>
        <w:iCs/>
        <w:color w:val="231F20"/>
        <w:spacing w:val="-6"/>
        <w:position w:val="-6"/>
        <w:sz w:val="26"/>
        <w:szCs w:val="26"/>
        <w:u w:val="single" w:color="auto"/>
      </w:rPr>
      <w:t>34</w:t>
    </w:r>
    <w:r>
      <w:rPr>
        <w:rFonts w:ascii="Times New Roman" w:hAnsi="Times New Roman" w:eastAsia="Times New Roman" w:cs="Times New Roman"/>
        <w:i/>
        <w:iCs/>
        <w:color w:val="231F20"/>
        <w:spacing w:val="1"/>
        <w:position w:val="-6"/>
        <w:sz w:val="26"/>
        <w:szCs w:val="26"/>
        <w:u w:val="single" w:color="auto"/>
      </w:rPr>
      <w:t xml:space="preserve">                                                                         </w:t>
    </w:r>
    <w:r>
      <w:rPr>
        <w:rFonts w:ascii="Times New Roman" w:hAnsi="Times New Roman" w:eastAsia="Times New Roman" w:cs="Times New Roman"/>
        <w:i/>
        <w:iCs/>
        <w:color w:val="231F20"/>
        <w:position w:val="-6"/>
        <w:sz w:val="26"/>
        <w:szCs w:val="26"/>
        <w:u w:val="single" w:color="auto"/>
      </w:rPr>
      <w:t xml:space="preserve">                                               </w:t>
    </w:r>
    <w:r>
      <w:rPr>
        <w:color w:val="231F20"/>
        <w:spacing w:val="-6"/>
        <w:sz w:val="19"/>
        <w:szCs w:val="19"/>
        <w:u w:val="single" w:color="auto"/>
      </w:rPr>
      <w:t>现代交际·2021</w:t>
    </w:r>
    <w:r>
      <w:rPr>
        <w:color w:val="231F20"/>
        <w:spacing w:val="-30"/>
        <w:sz w:val="19"/>
        <w:szCs w:val="19"/>
        <w:u w:val="single" w:color="auto"/>
      </w:rPr>
      <w:t xml:space="preserve"> </w:t>
    </w:r>
    <w:r>
      <w:rPr>
        <w:color w:val="231F20"/>
        <w:spacing w:val="-6"/>
        <w:sz w:val="19"/>
        <w:szCs w:val="19"/>
        <w:u w:val="single" w:color="auto"/>
      </w:rPr>
      <w:t>年</w:t>
    </w:r>
    <w:r>
      <w:rPr>
        <w:color w:val="231F20"/>
        <w:spacing w:val="-44"/>
        <w:sz w:val="19"/>
        <w:szCs w:val="19"/>
        <w:u w:val="single" w:color="auto"/>
      </w:rPr>
      <w:t xml:space="preserve"> </w:t>
    </w:r>
    <w:r>
      <w:rPr>
        <w:color w:val="231F20"/>
        <w:spacing w:val="-6"/>
        <w:sz w:val="19"/>
        <w:szCs w:val="19"/>
        <w:u w:val="single" w:color="auto"/>
      </w:rPr>
      <w:t>22</w:t>
    </w:r>
    <w:r>
      <w:rPr>
        <w:color w:val="231F20"/>
        <w:spacing w:val="-41"/>
        <w:sz w:val="19"/>
        <w:szCs w:val="19"/>
        <w:u w:val="single" w:color="auto"/>
      </w:rPr>
      <w:t xml:space="preserve"> </w:t>
    </w:r>
    <w:r>
      <w:rPr>
        <w:color w:val="231F20"/>
        <w:spacing w:val="-6"/>
        <w:sz w:val="19"/>
        <w:szCs w:val="19"/>
      </w:rPr>
      <w:t>期</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新宋体" w:hAnsi="新宋体" w:eastAsia="新宋体" w:cs="新宋体"/>
        <w:sz w:val="18"/>
        <w:szCs w:val="18"/>
      </w:rPr>
      <w:id w:val="4"/>
      <w:docPartObj>
        <w:docPartGallery w:val="Table of Contents"/>
        <w:docPartUnique/>
      </w:docPartObj>
    </w:sdtPr>
    <w:sdtEndPr>
      <w:rPr>
        <w:rFonts w:ascii="Times New Roman" w:hAnsi="Times New Roman" w:eastAsia="Times New Roman" w:cs="Times New Roman"/>
        <w:sz w:val="26"/>
        <w:szCs w:val="26"/>
      </w:rPr>
    </w:sdtEndPr>
    <w:sdtContent>
      <w:p>
        <w:pPr>
          <w:spacing w:line="166" w:lineRule="auto"/>
          <w:ind w:left="515"/>
          <w:rPr>
            <w:rFonts w:ascii="Times New Roman" w:hAnsi="Times New Roman" w:eastAsia="Times New Roman" w:cs="Times New Roman"/>
            <w:sz w:val="26"/>
            <w:szCs w:val="26"/>
          </w:rPr>
        </w:pPr>
        <w:r>
          <w:rPr>
            <w:rFonts w:ascii="新宋体" w:hAnsi="新宋体" w:eastAsia="新宋体" w:cs="新宋体"/>
            <w:color w:val="231F20"/>
            <w:spacing w:val="20"/>
            <w:sz w:val="18"/>
            <w:szCs w:val="18"/>
            <w:u w:val="single" w:color="auto"/>
          </w:rPr>
          <w:t>以学生为中心教育质量文化建设研究与实践</w:t>
        </w:r>
        <w:r>
          <w:rPr>
            <w:rFonts w:ascii="新宋体" w:hAnsi="新宋体" w:eastAsia="新宋体" w:cs="新宋体"/>
            <w:color w:val="231F20"/>
            <w:spacing w:val="1"/>
            <w:sz w:val="18"/>
            <w:szCs w:val="18"/>
            <w:u w:val="single" w:color="auto"/>
          </w:rPr>
          <w:t xml:space="preserve">                                                            </w:t>
        </w:r>
        <w:r>
          <w:rPr>
            <w:rFonts w:ascii="新宋体" w:hAnsi="新宋体" w:eastAsia="新宋体" w:cs="新宋体"/>
            <w:color w:val="231F20"/>
            <w:sz w:val="18"/>
            <w:szCs w:val="18"/>
            <w:u w:val="single" w:color="auto"/>
          </w:rPr>
          <w:t xml:space="preserve">      </w:t>
        </w:r>
        <w:r>
          <w:rPr>
            <w:rFonts w:ascii="Times New Roman" w:hAnsi="Times New Roman" w:eastAsia="Times New Roman" w:cs="Times New Roman"/>
            <w:i/>
            <w:iCs/>
            <w:color w:val="231F20"/>
            <w:spacing w:val="20"/>
            <w:position w:val="-5"/>
            <w:sz w:val="26"/>
            <w:szCs w:val="26"/>
            <w:u w:val="single" w:color="auto"/>
          </w:rPr>
          <w:t>35</w:t>
        </w:r>
      </w:p>
    </w:sdtContent>
  </w:sdt>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61" w:lineRule="auto"/>
      <w:ind w:left="510"/>
      <w:rPr>
        <w:sz w:val="19"/>
        <w:szCs w:val="19"/>
      </w:rPr>
    </w:pPr>
    <w:r>
      <w:rPr>
        <w:rFonts w:ascii="Times New Roman" w:hAnsi="Times New Roman" w:eastAsia="Times New Roman" w:cs="Times New Roman"/>
        <w:i/>
        <w:iCs/>
        <w:color w:val="231F20"/>
        <w:spacing w:val="-6"/>
        <w:position w:val="-6"/>
        <w:sz w:val="26"/>
        <w:szCs w:val="26"/>
        <w:u w:val="single" w:color="auto"/>
      </w:rPr>
      <w:t>32</w:t>
    </w:r>
    <w:r>
      <w:rPr>
        <w:rFonts w:ascii="Times New Roman" w:hAnsi="Times New Roman" w:eastAsia="Times New Roman" w:cs="Times New Roman"/>
        <w:i/>
        <w:iCs/>
        <w:color w:val="231F20"/>
        <w:spacing w:val="1"/>
        <w:position w:val="-6"/>
        <w:sz w:val="26"/>
        <w:szCs w:val="26"/>
        <w:u w:val="single" w:color="auto"/>
      </w:rPr>
      <w:t xml:space="preserve">                                                                         </w:t>
    </w:r>
    <w:r>
      <w:rPr>
        <w:rFonts w:ascii="Times New Roman" w:hAnsi="Times New Roman" w:eastAsia="Times New Roman" w:cs="Times New Roman"/>
        <w:i/>
        <w:iCs/>
        <w:color w:val="231F20"/>
        <w:position w:val="-6"/>
        <w:sz w:val="26"/>
        <w:szCs w:val="26"/>
        <w:u w:val="single" w:color="auto"/>
      </w:rPr>
      <w:t xml:space="preserve">                                               </w:t>
    </w:r>
    <w:r>
      <w:rPr>
        <w:color w:val="231F20"/>
        <w:spacing w:val="-6"/>
        <w:sz w:val="19"/>
        <w:szCs w:val="19"/>
        <w:u w:val="single" w:color="auto"/>
      </w:rPr>
      <w:t>现代交际·2021</w:t>
    </w:r>
    <w:r>
      <w:rPr>
        <w:color w:val="231F20"/>
        <w:spacing w:val="-30"/>
        <w:sz w:val="19"/>
        <w:szCs w:val="19"/>
        <w:u w:val="single" w:color="auto"/>
      </w:rPr>
      <w:t xml:space="preserve"> </w:t>
    </w:r>
    <w:r>
      <w:rPr>
        <w:color w:val="231F20"/>
        <w:spacing w:val="-6"/>
        <w:sz w:val="19"/>
        <w:szCs w:val="19"/>
        <w:u w:val="single" w:color="auto"/>
      </w:rPr>
      <w:t>年</w:t>
    </w:r>
    <w:r>
      <w:rPr>
        <w:color w:val="231F20"/>
        <w:spacing w:val="-44"/>
        <w:sz w:val="19"/>
        <w:szCs w:val="19"/>
        <w:u w:val="single" w:color="auto"/>
      </w:rPr>
      <w:t xml:space="preserve"> </w:t>
    </w:r>
    <w:r>
      <w:rPr>
        <w:color w:val="231F20"/>
        <w:spacing w:val="-6"/>
        <w:sz w:val="19"/>
        <w:szCs w:val="19"/>
        <w:u w:val="single" w:color="auto"/>
      </w:rPr>
      <w:t>22</w:t>
    </w:r>
    <w:r>
      <w:rPr>
        <w:color w:val="231F20"/>
        <w:spacing w:val="-41"/>
        <w:sz w:val="19"/>
        <w:szCs w:val="19"/>
        <w:u w:val="single" w:color="auto"/>
      </w:rPr>
      <w:t xml:space="preserve"> </w:t>
    </w:r>
    <w:r>
      <w:rPr>
        <w:color w:val="231F20"/>
        <w:spacing w:val="-6"/>
        <w:sz w:val="19"/>
        <w:szCs w:val="19"/>
      </w:rPr>
      <w:t>期</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8" w:lineRule="auto"/>
      <w:ind w:left="4723"/>
      <w:rPr>
        <w:rFonts w:ascii="新宋体" w:hAnsi="新宋体" w:eastAsia="新宋体" w:cs="新宋体"/>
        <w:sz w:val="23"/>
        <w:szCs w:val="23"/>
      </w:rPr>
    </w:pPr>
    <w:r>
      <w:drawing>
        <wp:anchor distT="0" distB="0" distL="0" distR="0" simplePos="0" relativeHeight="251734016" behindDoc="0" locked="0" layoutInCell="0" allowOverlap="1">
          <wp:simplePos x="0" y="0"/>
          <wp:positionH relativeFrom="page">
            <wp:posOffset>718185</wp:posOffset>
          </wp:positionH>
          <wp:positionV relativeFrom="page">
            <wp:posOffset>589915</wp:posOffset>
          </wp:positionV>
          <wp:extent cx="6118860" cy="635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
                  <a:stretch>
                    <a:fillRect/>
                  </a:stretch>
                </pic:blipFill>
                <pic:spPr>
                  <a:xfrm>
                    <a:off x="0" y="0"/>
                    <a:ext cx="6118859" cy="6350"/>
                  </a:xfrm>
                  <a:prstGeom prst="rect">
                    <a:avLst/>
                  </a:prstGeom>
                </pic:spPr>
              </pic:pic>
            </a:graphicData>
          </a:graphic>
        </wp:anchor>
      </w:drawing>
    </w:r>
    <w:r>
      <w:pict>
        <v:shape id="_x0000_s2103" o:spid="_x0000_s2103" o:spt="202" type="#_x0000_t202" style="position:absolute;left:0pt;margin-left:45.55pt;margin-top:0.25pt;height:29.1pt;width:72.25pt;z-index:251730944;mso-width-relative:page;mso-height-relative:page;" filled="f" stroked="f" coordsize="21600,21600">
          <v:path/>
          <v:fill on="f" focussize="0,0"/>
          <v:stroke on="f"/>
          <v:imagedata o:title=""/>
          <o:lock v:ext="edit" aspectratio="f"/>
          <v:textbox inset="0mm,0mm,0mm,0mm">
            <w:txbxContent>
              <w:p>
                <w:pPr>
                  <w:spacing w:before="18" w:line="190" w:lineRule="auto"/>
                  <w:ind w:left="218" w:right="20" w:hanging="199"/>
                  <w:rPr>
                    <w:rFonts w:ascii="宋体" w:hAnsi="宋体" w:eastAsia="宋体" w:cs="宋体"/>
                    <w:sz w:val="20"/>
                    <w:szCs w:val="20"/>
                  </w:rPr>
                </w:pPr>
                <w:r>
                  <w:rPr>
                    <w:rFonts w:ascii="微软雅黑" w:hAnsi="微软雅黑" w:eastAsia="微软雅黑" w:cs="微软雅黑"/>
                    <w:spacing w:val="-13"/>
                    <w:sz w:val="20"/>
                    <w:szCs w:val="20"/>
                  </w:rPr>
                  <w:t>2018</w:t>
                </w:r>
                <w:r>
                  <w:rPr>
                    <w:rFonts w:ascii="微软雅黑" w:hAnsi="微软雅黑" w:eastAsia="微软雅黑" w:cs="微软雅黑"/>
                    <w:spacing w:val="15"/>
                    <w:w w:val="101"/>
                    <w:sz w:val="20"/>
                    <w:szCs w:val="20"/>
                  </w:rPr>
                  <w:t xml:space="preserve"> </w:t>
                </w:r>
                <w:r>
                  <w:rPr>
                    <w:rFonts w:ascii="宋体" w:hAnsi="宋体" w:eastAsia="宋体" w:cs="宋体"/>
                    <w:spacing w:val="-13"/>
                    <w:sz w:val="20"/>
                    <w:szCs w:val="20"/>
                  </w:rPr>
                  <w:t>年第</w:t>
                </w:r>
                <w:r>
                  <w:rPr>
                    <w:rFonts w:ascii="宋体" w:hAnsi="宋体" w:eastAsia="宋体" w:cs="宋体"/>
                    <w:spacing w:val="-33"/>
                    <w:sz w:val="20"/>
                    <w:szCs w:val="20"/>
                  </w:rPr>
                  <w:t xml:space="preserve"> </w:t>
                </w:r>
                <w:r>
                  <w:rPr>
                    <w:rFonts w:ascii="微软雅黑" w:hAnsi="微软雅黑" w:eastAsia="微软雅黑" w:cs="微软雅黑"/>
                    <w:spacing w:val="-13"/>
                    <w:sz w:val="20"/>
                    <w:szCs w:val="20"/>
                  </w:rPr>
                  <w:t>12</w:t>
                </w:r>
                <w:r>
                  <w:rPr>
                    <w:rFonts w:ascii="微软雅黑" w:hAnsi="微软雅黑" w:eastAsia="微软雅黑" w:cs="微软雅黑"/>
                    <w:spacing w:val="16"/>
                    <w:sz w:val="20"/>
                    <w:szCs w:val="20"/>
                  </w:rPr>
                  <w:t xml:space="preserve"> </w:t>
                </w:r>
                <w:r>
                  <w:rPr>
                    <w:rFonts w:ascii="宋体" w:hAnsi="宋体" w:eastAsia="宋体" w:cs="宋体"/>
                    <w:spacing w:val="-13"/>
                    <w:sz w:val="20"/>
                    <w:szCs w:val="20"/>
                  </w:rPr>
                  <w:t>期</w:t>
                </w:r>
                <w:r>
                  <w:rPr>
                    <w:rFonts w:ascii="宋体" w:hAnsi="宋体" w:eastAsia="宋体" w:cs="宋体"/>
                    <w:sz w:val="20"/>
                    <w:szCs w:val="20"/>
                  </w:rPr>
                  <w:t xml:space="preserve"> </w:t>
                </w:r>
                <w:r>
                  <w:rPr>
                    <w:rFonts w:ascii="宋体" w:hAnsi="宋体" w:eastAsia="宋体" w:cs="宋体"/>
                    <w:spacing w:val="-8"/>
                    <w:sz w:val="20"/>
                    <w:szCs w:val="20"/>
                  </w:rPr>
                  <w:t>总第</w:t>
                </w:r>
                <w:r>
                  <w:rPr>
                    <w:rFonts w:ascii="宋体" w:hAnsi="宋体" w:eastAsia="宋体" w:cs="宋体"/>
                    <w:spacing w:val="-50"/>
                    <w:sz w:val="20"/>
                    <w:szCs w:val="20"/>
                  </w:rPr>
                  <w:t xml:space="preserve"> </w:t>
                </w:r>
                <w:r>
                  <w:rPr>
                    <w:rFonts w:ascii="微软雅黑" w:hAnsi="微软雅黑" w:eastAsia="微软雅黑" w:cs="微软雅黑"/>
                    <w:spacing w:val="-8"/>
                    <w:sz w:val="20"/>
                    <w:szCs w:val="20"/>
                  </w:rPr>
                  <w:t>296</w:t>
                </w:r>
                <w:r>
                  <w:rPr>
                    <w:rFonts w:ascii="微软雅黑" w:hAnsi="微软雅黑" w:eastAsia="微软雅黑" w:cs="微软雅黑"/>
                    <w:spacing w:val="15"/>
                    <w:sz w:val="20"/>
                    <w:szCs w:val="20"/>
                  </w:rPr>
                  <w:t xml:space="preserve"> </w:t>
                </w:r>
                <w:r>
                  <w:rPr>
                    <w:rFonts w:ascii="宋体" w:hAnsi="宋体" w:eastAsia="宋体" w:cs="宋体"/>
                    <w:spacing w:val="-8"/>
                    <w:sz w:val="20"/>
                    <w:szCs w:val="20"/>
                  </w:rPr>
                  <w:t>期</w:t>
                </w:r>
              </w:p>
            </w:txbxContent>
          </v:textbox>
        </v:shape>
      </w:pict>
    </w:r>
    <w:r>
      <w:pict>
        <v:shape id="_x0000_s2104" o:spid="_x0000_s2104" o:spt="202" type="#_x0000_t202" style="position:absolute;left:0pt;margin-left:457.8pt;margin-top:2.35pt;height:26.95pt;width:51.8pt;z-index:251731968;mso-width-relative:page;mso-height-relative:page;" filled="f" stroked="f" coordsize="21600,21600">
          <v:path/>
          <v:fill on="f" focussize="0,0"/>
          <v:stroke on="f"/>
          <v:imagedata o:title=""/>
          <o:lock v:ext="edit" aspectratio="f"/>
          <v:textbox inset="0mm,0mm,0mm,0mm">
            <w:txbxContent>
              <w:p>
                <w:pPr>
                  <w:spacing w:before="19" w:line="205" w:lineRule="auto"/>
                  <w:ind w:left="20" w:right="20" w:firstLine="54"/>
                  <w:rPr>
                    <w:rFonts w:ascii="微软雅黑" w:hAnsi="微软雅黑" w:eastAsia="微软雅黑" w:cs="微软雅黑"/>
                    <w:sz w:val="17"/>
                    <w:szCs w:val="17"/>
                  </w:rPr>
                </w:pPr>
                <w:r>
                  <w:rPr>
                    <w:rFonts w:ascii="微软雅黑" w:hAnsi="微软雅黑" w:eastAsia="微软雅黑" w:cs="微软雅黑"/>
                    <w:spacing w:val="-29"/>
                    <w:w w:val="99"/>
                    <w:sz w:val="17"/>
                    <w:szCs w:val="17"/>
                  </w:rPr>
                  <w:t>No．12</w:t>
                </w:r>
                <w:r>
                  <w:rPr>
                    <w:rFonts w:ascii="宋体" w:hAnsi="宋体" w:eastAsia="宋体" w:cs="宋体"/>
                    <w:spacing w:val="-29"/>
                    <w:w w:val="99"/>
                    <w:sz w:val="17"/>
                    <w:szCs w:val="17"/>
                  </w:rPr>
                  <w:t>，</w:t>
                </w:r>
                <w:r>
                  <w:rPr>
                    <w:rFonts w:ascii="微软雅黑" w:hAnsi="微软雅黑" w:eastAsia="微软雅黑" w:cs="微软雅黑"/>
                    <w:spacing w:val="-29"/>
                    <w:w w:val="99"/>
                    <w:sz w:val="17"/>
                    <w:szCs w:val="17"/>
                  </w:rPr>
                  <w:t>2018</w:t>
                </w:r>
                <w:r>
                  <w:rPr>
                    <w:rFonts w:ascii="微软雅黑" w:hAnsi="微软雅黑" w:eastAsia="微软雅黑" w:cs="微软雅黑"/>
                    <w:sz w:val="17"/>
                    <w:szCs w:val="17"/>
                  </w:rPr>
                  <w:t xml:space="preserve">  </w:t>
                </w:r>
                <w:r>
                  <w:rPr>
                    <w:rFonts w:ascii="微软雅黑" w:hAnsi="微软雅黑" w:eastAsia="微软雅黑" w:cs="微软雅黑"/>
                    <w:spacing w:val="-20"/>
                    <w:sz w:val="17"/>
                    <w:szCs w:val="17"/>
                  </w:rPr>
                  <w:t>Serial</w:t>
                </w:r>
                <w:r>
                  <w:rPr>
                    <w:rFonts w:ascii="微软雅黑" w:hAnsi="微软雅黑" w:eastAsia="微软雅黑" w:cs="微软雅黑"/>
                    <w:spacing w:val="24"/>
                    <w:w w:val="101"/>
                    <w:sz w:val="17"/>
                    <w:szCs w:val="17"/>
                  </w:rPr>
                  <w:t xml:space="preserve"> </w:t>
                </w:r>
                <w:r>
                  <w:rPr>
                    <w:rFonts w:ascii="微软雅黑" w:hAnsi="微软雅黑" w:eastAsia="微软雅黑" w:cs="微软雅黑"/>
                    <w:spacing w:val="-20"/>
                    <w:sz w:val="17"/>
                    <w:szCs w:val="17"/>
                  </w:rPr>
                  <w:t>No．296</w:t>
                </w:r>
              </w:p>
            </w:txbxContent>
          </v:textbox>
        </v:shape>
      </w:pict>
    </w:r>
    <w:r>
      <w:rPr>
        <w:rFonts w:ascii="新宋体" w:hAnsi="新宋体" w:eastAsia="新宋体" w:cs="新宋体"/>
        <w:spacing w:val="6"/>
        <w:sz w:val="23"/>
        <w:szCs w:val="23"/>
      </w:rPr>
      <w:t>黑龙江高教研究</w:t>
    </w:r>
  </w:p>
  <w:p>
    <w:pPr>
      <w:spacing w:before="33" w:line="180" w:lineRule="auto"/>
      <w:ind w:left="3917"/>
      <w:rPr>
        <w:rFonts w:ascii="微软雅黑" w:hAnsi="微软雅黑" w:eastAsia="微软雅黑" w:cs="微软雅黑"/>
        <w:sz w:val="17"/>
        <w:szCs w:val="17"/>
      </w:rPr>
    </w:pPr>
    <w:r>
      <w:rPr>
        <w:rFonts w:ascii="微软雅黑" w:hAnsi="微软雅黑" w:eastAsia="微软雅黑" w:cs="微软雅黑"/>
        <w:spacing w:val="-13"/>
        <w:sz w:val="17"/>
        <w:szCs w:val="17"/>
      </w:rPr>
      <w:t>Heilongjiang</w:t>
    </w:r>
    <w:r>
      <w:rPr>
        <w:rFonts w:ascii="微软雅黑" w:hAnsi="微软雅黑" w:eastAsia="微软雅黑" w:cs="微软雅黑"/>
        <w:spacing w:val="20"/>
        <w:sz w:val="17"/>
        <w:szCs w:val="17"/>
      </w:rPr>
      <w:t xml:space="preserve"> </w:t>
    </w:r>
    <w:r>
      <w:rPr>
        <w:rFonts w:ascii="微软雅黑" w:hAnsi="微软雅黑" w:eastAsia="微软雅黑" w:cs="微软雅黑"/>
        <w:spacing w:val="-13"/>
        <w:sz w:val="17"/>
        <w:szCs w:val="17"/>
      </w:rPr>
      <w:t>Researches</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13"/>
        <w:sz w:val="17"/>
        <w:szCs w:val="17"/>
      </w:rPr>
      <w:t>on</w:t>
    </w:r>
    <w:r>
      <w:rPr>
        <w:rFonts w:ascii="微软雅黑" w:hAnsi="微软雅黑" w:eastAsia="微软雅黑" w:cs="微软雅黑"/>
        <w:spacing w:val="20"/>
        <w:sz w:val="17"/>
        <w:szCs w:val="17"/>
      </w:rPr>
      <w:t xml:space="preserve"> </w:t>
    </w:r>
    <w:r>
      <w:rPr>
        <w:rFonts w:ascii="微软雅黑" w:hAnsi="微软雅黑" w:eastAsia="微软雅黑" w:cs="微软雅黑"/>
        <w:spacing w:val="-13"/>
        <w:sz w:val="17"/>
        <w:szCs w:val="17"/>
      </w:rPr>
      <w:t>Hi</w:t>
    </w:r>
    <w:r>
      <w:rPr>
        <w:rFonts w:ascii="微软雅黑" w:hAnsi="微软雅黑" w:eastAsia="微软雅黑" w:cs="微软雅黑"/>
        <w:spacing w:val="-14"/>
        <w:sz w:val="17"/>
        <w:szCs w:val="17"/>
      </w:rPr>
      <w:t>gher</w:t>
    </w:r>
    <w:r>
      <w:rPr>
        <w:rFonts w:ascii="微软雅黑" w:hAnsi="微软雅黑" w:eastAsia="微软雅黑" w:cs="微软雅黑"/>
        <w:spacing w:val="17"/>
        <w:w w:val="101"/>
        <w:sz w:val="17"/>
        <w:szCs w:val="17"/>
      </w:rPr>
      <w:t xml:space="preserve"> </w:t>
    </w:r>
    <w:r>
      <w:rPr>
        <w:rFonts w:ascii="微软雅黑" w:hAnsi="微软雅黑" w:eastAsia="微软雅黑" w:cs="微软雅黑"/>
        <w:spacing w:val="-14"/>
        <w:sz w:val="17"/>
        <w:szCs w:val="17"/>
      </w:rPr>
      <w:t>Education</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20"/>
      <w:rPr>
        <w:rFonts w:ascii="新宋体" w:hAnsi="新宋体" w:eastAsia="新宋体" w:cs="新宋体"/>
        <w:sz w:val="20"/>
        <w:szCs w:val="20"/>
      </w:rPr>
    </w:pPr>
    <w:r>
      <w:rPr>
        <w:rFonts w:ascii="微软雅黑" w:hAnsi="微软雅黑" w:eastAsia="微软雅黑" w:cs="微软雅黑"/>
        <w:spacing w:val="4"/>
        <w:sz w:val="17"/>
        <w:szCs w:val="17"/>
      </w:rPr>
      <w:t xml:space="preserve">50                                         </w:t>
    </w:r>
    <w:r>
      <w:rPr>
        <w:rFonts w:ascii="新宋体" w:hAnsi="新宋体" w:eastAsia="新宋体" w:cs="新宋体"/>
        <w:spacing w:val="4"/>
        <w:sz w:val="20"/>
        <w:szCs w:val="20"/>
      </w:rPr>
      <w:t>一流本科教育视域中地方高校大学质量文化建设探究</w:t>
    </w:r>
  </w:p>
  <w:p>
    <w:pPr>
      <w:spacing w:before="22" w:line="34" w:lineRule="exact"/>
      <w:ind w:firstLine="723"/>
    </w:pPr>
    <w:r>
      <w:drawing>
        <wp:inline distT="0" distB="0" distL="0" distR="0">
          <wp:extent cx="6118225" cy="2159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
                  <a:stretch>
                    <a:fillRect/>
                  </a:stretch>
                </pic:blipFill>
                <pic:spPr>
                  <a:xfrm>
                    <a:off x="0" y="0"/>
                    <a:ext cx="6118859" cy="21590"/>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新宋体" w:hAnsi="新宋体" w:eastAsia="新宋体" w:cs="新宋体"/>
        <w:sz w:val="20"/>
        <w:szCs w:val="20"/>
      </w:rPr>
      <w:id w:val="6"/>
      <w:docPartObj>
        <w:docPartGallery w:val="Table of Contents"/>
        <w:docPartUnique/>
      </w:docPartObj>
    </w:sdtPr>
    <w:sdtEndPr>
      <w:rPr>
        <w:rFonts w:ascii="微软雅黑" w:hAnsi="微软雅黑" w:eastAsia="微软雅黑" w:cs="微软雅黑"/>
        <w:sz w:val="17"/>
        <w:szCs w:val="17"/>
      </w:rPr>
    </w:sdtEndPr>
    <w:sdtContent>
      <w:p>
        <w:pPr>
          <w:spacing w:line="209" w:lineRule="auto"/>
          <w:ind w:left="3145"/>
          <w:rPr>
            <w:rFonts w:ascii="微软雅黑" w:hAnsi="微软雅黑" w:eastAsia="微软雅黑" w:cs="微软雅黑"/>
            <w:sz w:val="17"/>
            <w:szCs w:val="17"/>
          </w:rPr>
        </w:pPr>
        <w:r>
          <w:rPr>
            <w:rFonts w:ascii="新宋体" w:hAnsi="新宋体" w:eastAsia="新宋体" w:cs="新宋体"/>
            <w:spacing w:val="7"/>
            <w:sz w:val="20"/>
            <w:szCs w:val="20"/>
          </w:rPr>
          <w:t>一流本科教育视域中地方高校大学质量文化建设探究</w:t>
        </w:r>
        <w:r>
          <w:rPr>
            <w:rFonts w:ascii="新宋体" w:hAnsi="新宋体" w:eastAsia="新宋体" w:cs="新宋体"/>
            <w:spacing w:val="2"/>
            <w:sz w:val="20"/>
            <w:szCs w:val="20"/>
          </w:rPr>
          <w:t xml:space="preserve">                     </w:t>
        </w:r>
        <w:r>
          <w:fldChar w:fldCharType="begin"/>
        </w:r>
        <w:r>
          <w:instrText xml:space="preserve"> HYPERLINK \l "bookmark4" </w:instrText>
        </w:r>
        <w:r>
          <w:fldChar w:fldCharType="separate"/>
        </w:r>
        <w:r>
          <w:rPr>
            <w:rFonts w:ascii="微软雅黑" w:hAnsi="微软雅黑" w:eastAsia="微软雅黑" w:cs="微软雅黑"/>
            <w:spacing w:val="7"/>
            <w:sz w:val="17"/>
            <w:szCs w:val="17"/>
          </w:rPr>
          <w:t>5</w:t>
        </w:r>
        <w:r>
          <w:rPr>
            <w:rFonts w:ascii="微软雅黑" w:hAnsi="微软雅黑" w:eastAsia="微软雅黑" w:cs="微软雅黑"/>
            <w:spacing w:val="7"/>
            <w:sz w:val="17"/>
            <w:szCs w:val="17"/>
          </w:rPr>
          <w:fldChar w:fldCharType="end"/>
        </w:r>
        <w:r>
          <w:rPr>
            <w:rFonts w:ascii="微软雅黑" w:hAnsi="微软雅黑" w:eastAsia="微软雅黑" w:cs="微软雅黑"/>
            <w:spacing w:val="7"/>
            <w:sz w:val="17"/>
            <w:szCs w:val="17"/>
          </w:rPr>
          <w:t>1</w:t>
        </w:r>
      </w:p>
    </w:sdtContent>
  </w:sdt>
  <w:p>
    <w:pPr>
      <w:spacing w:before="22" w:line="34" w:lineRule="exact"/>
      <w:ind w:firstLine="723"/>
    </w:pPr>
    <w:r>
      <w:drawing>
        <wp:inline distT="0" distB="0" distL="0" distR="0">
          <wp:extent cx="6118225" cy="2159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
                  <a:stretch>
                    <a:fillRect/>
                  </a:stretch>
                </pic:blipFill>
                <pic:spPr>
                  <a:xfrm>
                    <a:off x="0" y="0"/>
                    <a:ext cx="6118859" cy="21590"/>
                  </a:xfrm>
                  <a:prstGeom prst="rect">
                    <a:avLst/>
                  </a:prstGeom>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20"/>
      <w:rPr>
        <w:rFonts w:ascii="新宋体" w:hAnsi="新宋体" w:eastAsia="新宋体" w:cs="新宋体"/>
        <w:sz w:val="20"/>
        <w:szCs w:val="20"/>
      </w:rPr>
    </w:pPr>
    <w:r>
      <w:rPr>
        <w:rFonts w:ascii="微软雅黑" w:hAnsi="微软雅黑" w:eastAsia="微软雅黑" w:cs="微软雅黑"/>
        <w:spacing w:val="4"/>
        <w:sz w:val="17"/>
        <w:szCs w:val="17"/>
      </w:rPr>
      <w:t xml:space="preserve">52                                         </w:t>
    </w:r>
    <w:r>
      <w:rPr>
        <w:rFonts w:ascii="新宋体" w:hAnsi="新宋体" w:eastAsia="新宋体" w:cs="新宋体"/>
        <w:spacing w:val="4"/>
        <w:sz w:val="20"/>
        <w:szCs w:val="20"/>
      </w:rPr>
      <w:t>一流本科教育视域中地方高校大学质量文化建设探究</w:t>
    </w:r>
  </w:p>
  <w:p>
    <w:pPr>
      <w:spacing w:before="22" w:line="34" w:lineRule="exact"/>
      <w:ind w:firstLine="723"/>
    </w:pPr>
    <w:r>
      <w:drawing>
        <wp:inline distT="0" distB="0" distL="0" distR="0">
          <wp:extent cx="6118225" cy="2159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
                  <a:stretch>
                    <a:fillRect/>
                  </a:stretch>
                </pic:blipFill>
                <pic:spPr>
                  <a:xfrm>
                    <a:off x="0" y="0"/>
                    <a:ext cx="6118859" cy="21590"/>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9626" w:type="dxa"/>
      <w:tblInd w:w="72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50"/>
      <w:gridCol w:w="5372"/>
      <w:gridCol w:w="200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8" w:hRule="atLeast"/>
      </w:trPr>
      <w:tc>
        <w:tcPr>
          <w:tcW w:w="2250" w:type="dxa"/>
          <w:vAlign w:val="top"/>
        </w:tcPr>
        <w:p>
          <w:pPr>
            <w:pStyle w:val="6"/>
            <w:spacing w:line="208" w:lineRule="exact"/>
            <w:ind w:left="7"/>
            <w:rPr>
              <w:sz w:val="20"/>
              <w:szCs w:val="20"/>
            </w:rPr>
          </w:pPr>
          <w:r>
            <w:rPr>
              <w:spacing w:val="-9"/>
              <w:position w:val="-1"/>
              <w:sz w:val="20"/>
              <w:szCs w:val="20"/>
            </w:rPr>
            <w:t>第 35</w:t>
          </w:r>
          <w:r>
            <w:rPr>
              <w:spacing w:val="22"/>
              <w:position w:val="-1"/>
              <w:sz w:val="20"/>
              <w:szCs w:val="20"/>
            </w:rPr>
            <w:t xml:space="preserve"> </w:t>
          </w:r>
          <w:r>
            <w:rPr>
              <w:spacing w:val="-9"/>
              <w:position w:val="-1"/>
              <w:sz w:val="20"/>
              <w:szCs w:val="20"/>
            </w:rPr>
            <w:t>卷</w:t>
          </w:r>
          <w:r>
            <w:rPr>
              <w:spacing w:val="12"/>
              <w:position w:val="-1"/>
              <w:sz w:val="20"/>
              <w:szCs w:val="20"/>
            </w:rPr>
            <w:t xml:space="preserve">   </w:t>
          </w:r>
          <w:r>
            <w:rPr>
              <w:spacing w:val="-9"/>
              <w:position w:val="-1"/>
              <w:sz w:val="20"/>
              <w:szCs w:val="20"/>
            </w:rPr>
            <w:t>第</w:t>
          </w:r>
          <w:r>
            <w:rPr>
              <w:spacing w:val="-7"/>
              <w:position w:val="-1"/>
              <w:sz w:val="20"/>
              <w:szCs w:val="20"/>
            </w:rPr>
            <w:t xml:space="preserve"> </w:t>
          </w:r>
          <w:r>
            <w:rPr>
              <w:spacing w:val="-9"/>
              <w:position w:val="-1"/>
              <w:sz w:val="20"/>
              <w:szCs w:val="20"/>
            </w:rPr>
            <w:t>2</w:t>
          </w:r>
          <w:r>
            <w:rPr>
              <w:spacing w:val="13"/>
              <w:position w:val="-1"/>
              <w:sz w:val="20"/>
              <w:szCs w:val="20"/>
            </w:rPr>
            <w:t xml:space="preserve"> </w:t>
          </w:r>
          <w:r>
            <w:rPr>
              <w:spacing w:val="-9"/>
              <w:position w:val="-1"/>
              <w:sz w:val="20"/>
              <w:szCs w:val="20"/>
            </w:rPr>
            <w:t>期</w:t>
          </w:r>
        </w:p>
      </w:tc>
      <w:tc>
        <w:tcPr>
          <w:tcW w:w="5372" w:type="dxa"/>
          <w:vAlign w:val="top"/>
        </w:tcPr>
        <w:p>
          <w:pPr>
            <w:pStyle w:val="6"/>
            <w:spacing w:line="208" w:lineRule="exact"/>
            <w:ind w:left="1531"/>
            <w:rPr>
              <w:sz w:val="20"/>
              <w:szCs w:val="20"/>
            </w:rPr>
          </w:pPr>
          <w:r>
            <w:rPr>
              <w:spacing w:val="8"/>
              <w:position w:val="-1"/>
              <w:sz w:val="20"/>
              <w:szCs w:val="20"/>
            </w:rPr>
            <w:t>重庆第二师范学院学报</w:t>
          </w:r>
        </w:p>
      </w:tc>
      <w:tc>
        <w:tcPr>
          <w:tcW w:w="2004" w:type="dxa"/>
          <w:vAlign w:val="top"/>
        </w:tcPr>
        <w:p>
          <w:pPr>
            <w:pStyle w:val="6"/>
            <w:spacing w:before="28" w:line="180" w:lineRule="exact"/>
            <w:jc w:val="right"/>
            <w:rPr>
              <w:sz w:val="20"/>
              <w:szCs w:val="20"/>
            </w:rPr>
          </w:pPr>
          <w:r>
            <w:rPr>
              <w:spacing w:val="-26"/>
              <w:w w:val="99"/>
              <w:position w:val="-2"/>
              <w:sz w:val="20"/>
              <w:szCs w:val="20"/>
            </w:rPr>
            <w:t>Vol</w:t>
          </w:r>
          <w:r>
            <w:rPr>
              <w:spacing w:val="-29"/>
              <w:position w:val="-2"/>
              <w:sz w:val="20"/>
              <w:szCs w:val="20"/>
            </w:rPr>
            <w:t xml:space="preserve"> </w:t>
          </w:r>
          <w:r>
            <w:rPr>
              <w:spacing w:val="-26"/>
              <w:w w:val="99"/>
              <w:position w:val="-2"/>
              <w:sz w:val="20"/>
              <w:szCs w:val="20"/>
            </w:rPr>
            <w:t>.</w:t>
          </w:r>
          <w:r>
            <w:rPr>
              <w:spacing w:val="5"/>
              <w:position w:val="-2"/>
              <w:sz w:val="20"/>
              <w:szCs w:val="20"/>
            </w:rPr>
            <w:t xml:space="preserve"> </w:t>
          </w:r>
          <w:r>
            <w:rPr>
              <w:spacing w:val="-25"/>
              <w:w w:val="99"/>
              <w:position w:val="-2"/>
              <w:sz w:val="20"/>
              <w:szCs w:val="20"/>
            </w:rPr>
            <w:t>35</w:t>
          </w:r>
          <w:r>
            <w:rPr>
              <w:spacing w:val="43"/>
              <w:w w:val="101"/>
              <w:position w:val="-2"/>
              <w:sz w:val="20"/>
              <w:szCs w:val="20"/>
            </w:rPr>
            <w:t xml:space="preserve"> </w:t>
          </w:r>
          <w:r>
            <w:rPr>
              <w:spacing w:val="-25"/>
              <w:w w:val="99"/>
              <w:position w:val="-2"/>
              <w:sz w:val="20"/>
              <w:szCs w:val="20"/>
            </w:rPr>
            <w:t>No</w:t>
          </w:r>
          <w:r>
            <w:rPr>
              <w:spacing w:val="-34"/>
              <w:position w:val="-2"/>
              <w:sz w:val="20"/>
              <w:szCs w:val="20"/>
            </w:rPr>
            <w:t xml:space="preserve"> </w:t>
          </w:r>
          <w:r>
            <w:rPr>
              <w:spacing w:val="-25"/>
              <w:w w:val="99"/>
              <w:position w:val="-2"/>
              <w:sz w:val="20"/>
              <w:szCs w:val="20"/>
            </w:rPr>
            <w:t>.</w:t>
          </w:r>
          <w:r>
            <w:rPr>
              <w:spacing w:val="2"/>
              <w:position w:val="-2"/>
              <w:sz w:val="20"/>
              <w:szCs w:val="20"/>
            </w:rPr>
            <w:t xml:space="preserve"> </w:t>
          </w:r>
          <w:r>
            <w:rPr>
              <w:spacing w:val="-11"/>
              <w:w w:val="99"/>
              <w:position w:val="-2"/>
              <w:sz w:val="20"/>
              <w:szCs w:val="20"/>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9" w:hRule="atLeast"/>
      </w:trPr>
      <w:tc>
        <w:tcPr>
          <w:tcW w:w="2250" w:type="dxa"/>
          <w:vAlign w:val="top"/>
        </w:tcPr>
        <w:p>
          <w:pPr>
            <w:pStyle w:val="6"/>
            <w:spacing w:before="20" w:line="209" w:lineRule="exact"/>
            <w:rPr>
              <w:sz w:val="20"/>
              <w:szCs w:val="20"/>
            </w:rPr>
          </w:pPr>
          <w:r>
            <w:rPr>
              <w:spacing w:val="-15"/>
              <w:position w:val="-1"/>
              <w:sz w:val="20"/>
              <w:szCs w:val="20"/>
            </w:rPr>
            <w:t>2022</w:t>
          </w:r>
          <w:r>
            <w:rPr>
              <w:spacing w:val="22"/>
              <w:position w:val="-1"/>
              <w:sz w:val="20"/>
              <w:szCs w:val="20"/>
            </w:rPr>
            <w:t xml:space="preserve"> </w:t>
          </w:r>
          <w:r>
            <w:rPr>
              <w:spacing w:val="-15"/>
              <w:position w:val="-1"/>
              <w:sz w:val="20"/>
              <w:szCs w:val="20"/>
            </w:rPr>
            <w:t>年 3</w:t>
          </w:r>
          <w:r>
            <w:rPr>
              <w:spacing w:val="26"/>
              <w:w w:val="101"/>
              <w:position w:val="-1"/>
              <w:sz w:val="20"/>
              <w:szCs w:val="20"/>
            </w:rPr>
            <w:t xml:space="preserve"> </w:t>
          </w:r>
          <w:r>
            <w:rPr>
              <w:spacing w:val="-15"/>
              <w:position w:val="-1"/>
              <w:sz w:val="20"/>
              <w:szCs w:val="20"/>
            </w:rPr>
            <w:t>月</w:t>
          </w:r>
        </w:p>
      </w:tc>
      <w:tc>
        <w:tcPr>
          <w:tcW w:w="5372" w:type="dxa"/>
          <w:vAlign w:val="top"/>
        </w:tcPr>
        <w:p>
          <w:pPr>
            <w:pStyle w:val="6"/>
            <w:spacing w:before="46" w:line="183" w:lineRule="exact"/>
            <w:ind w:left="682"/>
            <w:rPr>
              <w:sz w:val="20"/>
              <w:szCs w:val="20"/>
            </w:rPr>
          </w:pPr>
          <w:r>
            <w:rPr>
              <w:spacing w:val="-17"/>
              <w:sz w:val="20"/>
              <w:szCs w:val="20"/>
            </w:rPr>
            <w:t>Journal</w:t>
          </w:r>
          <w:r>
            <w:rPr>
              <w:spacing w:val="32"/>
              <w:sz w:val="20"/>
              <w:szCs w:val="20"/>
            </w:rPr>
            <w:t xml:space="preserve"> </w:t>
          </w:r>
          <w:r>
            <w:rPr>
              <w:spacing w:val="-17"/>
              <w:sz w:val="20"/>
              <w:szCs w:val="20"/>
            </w:rPr>
            <w:t>of</w:t>
          </w:r>
          <w:r>
            <w:rPr>
              <w:spacing w:val="13"/>
              <w:sz w:val="20"/>
              <w:szCs w:val="20"/>
            </w:rPr>
            <w:t xml:space="preserve"> </w:t>
          </w:r>
          <w:r>
            <w:rPr>
              <w:spacing w:val="-17"/>
              <w:sz w:val="20"/>
              <w:szCs w:val="20"/>
            </w:rPr>
            <w:t>Chongqing</w:t>
          </w:r>
          <w:r>
            <w:rPr>
              <w:spacing w:val="26"/>
              <w:sz w:val="20"/>
              <w:szCs w:val="20"/>
            </w:rPr>
            <w:t xml:space="preserve"> </w:t>
          </w:r>
          <w:r>
            <w:rPr>
              <w:spacing w:val="-17"/>
              <w:sz w:val="20"/>
              <w:szCs w:val="20"/>
            </w:rPr>
            <w:t>University</w:t>
          </w:r>
          <w:r>
            <w:rPr>
              <w:spacing w:val="26"/>
              <w:w w:val="101"/>
              <w:sz w:val="20"/>
              <w:szCs w:val="20"/>
            </w:rPr>
            <w:t xml:space="preserve"> </w:t>
          </w:r>
          <w:r>
            <w:rPr>
              <w:spacing w:val="-17"/>
              <w:sz w:val="20"/>
              <w:szCs w:val="20"/>
            </w:rPr>
            <w:t>of</w:t>
          </w:r>
          <w:r>
            <w:rPr>
              <w:spacing w:val="10"/>
              <w:sz w:val="20"/>
              <w:szCs w:val="20"/>
            </w:rPr>
            <w:t xml:space="preserve"> </w:t>
          </w:r>
          <w:r>
            <w:rPr>
              <w:spacing w:val="-17"/>
              <w:sz w:val="20"/>
              <w:szCs w:val="20"/>
            </w:rPr>
            <w:t>Education</w:t>
          </w:r>
        </w:p>
      </w:tc>
      <w:tc>
        <w:tcPr>
          <w:tcW w:w="2004" w:type="dxa"/>
          <w:vAlign w:val="top"/>
        </w:tcPr>
        <w:p>
          <w:pPr>
            <w:pStyle w:val="6"/>
            <w:spacing w:before="46" w:line="183" w:lineRule="exact"/>
            <w:jc w:val="right"/>
            <w:rPr>
              <w:sz w:val="20"/>
              <w:szCs w:val="20"/>
            </w:rPr>
          </w:pPr>
          <w:r>
            <w:rPr>
              <w:spacing w:val="-21"/>
              <w:position w:val="-1"/>
              <w:sz w:val="20"/>
              <w:szCs w:val="20"/>
            </w:rPr>
            <w:t>March</w:t>
          </w:r>
          <w:r>
            <w:rPr>
              <w:spacing w:val="-8"/>
              <w:position w:val="-1"/>
              <w:sz w:val="20"/>
              <w:szCs w:val="20"/>
            </w:rPr>
            <w:t xml:space="preserve"> </w:t>
          </w:r>
          <w:r>
            <w:rPr>
              <w:spacing w:val="-21"/>
              <w:position w:val="-1"/>
              <w:sz w:val="20"/>
              <w:szCs w:val="20"/>
            </w:rPr>
            <w:t>,</w:t>
          </w:r>
          <w:r>
            <w:rPr>
              <w:spacing w:val="-26"/>
              <w:position w:val="-1"/>
              <w:sz w:val="20"/>
              <w:szCs w:val="20"/>
            </w:rPr>
            <w:t xml:space="preserve"> </w:t>
          </w:r>
          <w:r>
            <w:rPr>
              <w:spacing w:val="-21"/>
              <w:position w:val="-1"/>
              <w:sz w:val="20"/>
              <w:szCs w:val="20"/>
            </w:rPr>
            <w:t>202</w:t>
          </w:r>
          <w:r>
            <w:rPr>
              <w:spacing w:val="-11"/>
              <w:position w:val="-1"/>
              <w:sz w:val="20"/>
              <w:szCs w:val="20"/>
            </w:rPr>
            <w:t>2</w:t>
          </w:r>
        </w:p>
      </w:tc>
    </w:tr>
  </w:tbl>
  <w:p>
    <w:pPr>
      <w:spacing w:before="72" w:line="43" w:lineRule="exact"/>
      <w:ind w:firstLine="727"/>
    </w:pPr>
    <w:r>
      <w:rPr>
        <w:position w:val="-1"/>
      </w:rPr>
      <w:pict>
        <v:shape id="_x0000_s2109" o:spid="_x0000_s2109" style="height:2.7pt;width:481.7pt;" filled="f" stroked="t" coordsize="9634,54" path="m0,49l9633,49m0,3l9633,3e">
          <v:fill on="f" focussize="0,0"/>
          <v:stroke weight="0.33pt" color="#231F20" miterlimit="10" joinstyle="miter"/>
          <v:imagedata o:title=""/>
          <o:lock v:ext="edit"/>
          <w10:wrap type="non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exact"/>
      <w:ind w:left="4547"/>
      <w:rPr>
        <w:rFonts w:ascii="微软雅黑" w:hAnsi="微软雅黑" w:eastAsia="微软雅黑" w:cs="微软雅黑"/>
        <w:sz w:val="20"/>
        <w:szCs w:val="20"/>
      </w:rPr>
    </w:pPr>
    <w:r>
      <w:rPr>
        <w:rFonts w:ascii="微软雅黑" w:hAnsi="微软雅黑" w:eastAsia="微软雅黑" w:cs="微软雅黑"/>
        <w:color w:val="231F20"/>
        <w:spacing w:val="6"/>
        <w:sz w:val="20"/>
        <w:szCs w:val="20"/>
      </w:rPr>
      <w:t>教育学术月刊</w:t>
    </w:r>
    <w:r>
      <w:rPr>
        <w:rFonts w:ascii="微软雅黑" w:hAnsi="微软雅黑" w:eastAsia="微软雅黑" w:cs="微软雅黑"/>
        <w:color w:val="231F20"/>
        <w:spacing w:val="23"/>
        <w:sz w:val="20"/>
        <w:szCs w:val="20"/>
      </w:rPr>
      <w:t xml:space="preserve">  </w:t>
    </w:r>
    <w:r>
      <w:rPr>
        <w:rFonts w:ascii="宋体" w:hAnsi="宋体" w:eastAsia="宋体" w:cs="宋体"/>
        <w:color w:val="231F20"/>
        <w:spacing w:val="6"/>
        <w:sz w:val="20"/>
        <w:szCs w:val="20"/>
      </w:rPr>
      <w:t>2022</w:t>
    </w:r>
    <w:r>
      <w:rPr>
        <w:rFonts w:ascii="微软雅黑" w:hAnsi="微软雅黑" w:eastAsia="微软雅黑" w:cs="微软雅黑"/>
        <w:color w:val="231F20"/>
        <w:spacing w:val="6"/>
        <w:sz w:val="20"/>
        <w:szCs w:val="20"/>
      </w:rPr>
      <w:t>年第</w:t>
    </w:r>
    <w:r>
      <w:rPr>
        <w:rFonts w:ascii="微软雅黑" w:hAnsi="微软雅黑" w:eastAsia="微软雅黑" w:cs="微软雅黑"/>
        <w:color w:val="231F20"/>
        <w:spacing w:val="-10"/>
        <w:sz w:val="20"/>
        <w:szCs w:val="20"/>
      </w:rPr>
      <w:t xml:space="preserve"> </w:t>
    </w:r>
    <w:r>
      <w:rPr>
        <w:rFonts w:ascii="宋体" w:hAnsi="宋体" w:eastAsia="宋体" w:cs="宋体"/>
        <w:color w:val="231F20"/>
        <w:spacing w:val="6"/>
        <w:sz w:val="20"/>
        <w:szCs w:val="20"/>
      </w:rPr>
      <w:t>11</w:t>
    </w:r>
    <w:r>
      <w:rPr>
        <w:rFonts w:ascii="宋体" w:hAnsi="宋体" w:eastAsia="宋体" w:cs="宋体"/>
        <w:color w:val="231F20"/>
        <w:spacing w:val="-56"/>
        <w:sz w:val="20"/>
        <w:szCs w:val="20"/>
      </w:rPr>
      <w:t xml:space="preserve"> </w:t>
    </w:r>
    <w:r>
      <w:rPr>
        <w:rFonts w:ascii="微软雅黑" w:hAnsi="微软雅黑" w:eastAsia="微软雅黑" w:cs="微软雅黑"/>
        <w:color w:val="231F20"/>
        <w:spacing w:val="6"/>
        <w:sz w:val="20"/>
        <w:szCs w:val="20"/>
      </w:rPr>
      <w:t>期</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3" w:line="308" w:lineRule="exact"/>
      <w:ind w:firstLine="7710"/>
    </w:pPr>
    <w:r>
      <w:pict>
        <v:shape id="_x0000_s2121" o:spid="_x0000_s2121" style="position:absolute;left:0pt;margin-left:31pt;margin-top:35.4pt;height:1pt;width:481.5pt;mso-position-horizontal-relative:page;mso-position-vertical-relative:page;z-index:251770880;mso-width-relative:page;mso-height-relative:page;" filled="f" stroked="t" coordsize="9630,20" o:allowincell="f" path="m0,9l9629,9m0,9l9629,9m0,9l9629,9e">
          <v:fill on="f" focussize="0,0"/>
          <v:stroke weight="0.97pt" color="#231F20" miterlimit="4" joinstyle="miter"/>
          <v:imagedata o:title=""/>
          <o:lock v:ext="edit"/>
        </v:shape>
      </w:pict>
    </w:r>
    <w:r>
      <w:pict>
        <v:shape id="_x0000_s2122" o:spid="_x0000_s2122" o:spt="202" type="#_x0000_t202" style="position:absolute;left:0pt;margin-left:39.45pt;margin-top:16.3pt;height:20pt;width:82.65pt;mso-position-horizontal-relative:page;mso-position-vertical-relative:page;z-index:251768832;mso-width-relative:page;mso-height-relative:page;" filled="f" stroked="f" coordsize="21600,21600" o:allowincell="f">
          <v:path/>
          <v:fill on="f" focussize="0,0"/>
          <v:stroke on="f"/>
          <v:imagedata o:title=""/>
          <o:lock v:ext="edit" aspectratio="f"/>
          <v:textbox inset="0mm,0mm,0mm,0mm">
            <w:txbxContent>
              <w:p>
                <w:pPr>
                  <w:spacing w:before="20" w:line="359" w:lineRule="exact"/>
                  <w:ind w:left="20"/>
                  <w:rPr>
                    <w:rFonts w:ascii="宋体" w:hAnsi="宋体" w:eastAsia="宋体" w:cs="宋体"/>
                    <w:sz w:val="27"/>
                    <w:szCs w:val="27"/>
                  </w:rPr>
                </w:pPr>
                <w:r>
                  <w:rPr>
                    <w:rFonts w:ascii="宋体" w:hAnsi="宋体" w:eastAsia="宋体" w:cs="宋体"/>
                    <w:color w:val="231F20"/>
                    <w:spacing w:val="-2"/>
                    <w:position w:val="1"/>
                    <w:sz w:val="27"/>
                    <w:szCs w:val="27"/>
                  </w:rPr>
                  <w:t>中国高教研究</w:t>
                </w:r>
              </w:p>
            </w:txbxContent>
          </v:textbox>
        </v:shape>
      </w:pict>
    </w:r>
    <w:r>
      <w:rPr>
        <w:position w:val="-6"/>
      </w:rPr>
      <w:pict>
        <v:group id="_x0000_s2123" o:spid="_x0000_s2123" o:spt="203" style="height:15.45pt;width:106.6pt;" coordsize="2131,308">
          <o:lock v:ext="edit"/>
          <v:shape id="_x0000_s2124" o:spid="_x0000_s2124" o:spt="75" type="#_x0000_t75" style="position:absolute;left:0;top:0;height:308;width:2131;" filled="f" stroked="f" coordsize="21600,21600">
            <v:path/>
            <v:fill on="f" focussize="0,0"/>
            <v:stroke on="f"/>
            <v:imagedata r:id="rId1" o:title=""/>
            <o:lock v:ext="edit" aspectratio="t"/>
          </v:shape>
          <v:shape id="_x0000_s2125" o:spid="_x0000_s2125" o:spt="202" type="#_x0000_t202" style="position:absolute;left:-20;top:-20;height:349;width:2171;" filled="f" stroked="f" coordsize="21600,21600">
            <v:path/>
            <v:fill on="f" focussize="0,0"/>
            <v:stroke on="f"/>
            <v:imagedata o:title=""/>
            <o:lock v:ext="edit" aspectratio="f"/>
            <v:textbox inset="0mm,0mm,0mm,0mm">
              <w:txbxContent>
                <w:p>
                  <w:pPr>
                    <w:spacing w:before="63" w:line="183" w:lineRule="auto"/>
                    <w:ind w:left="720"/>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2022</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1"/>
                      <w:sz w:val="20"/>
                      <w:szCs w:val="20"/>
                    </w:rPr>
                    <w:t>年第 10</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1"/>
                      <w:sz w:val="20"/>
                      <w:szCs w:val="20"/>
                    </w:rPr>
                    <w:t>期</w:t>
                  </w:r>
                </w:p>
              </w:txbxContent>
            </v:textbox>
          </v:shape>
          <w10:wrap type="none"/>
          <w10:anchorlock/>
        </v:group>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308" w:lineRule="exact"/>
      <w:ind w:firstLine="186"/>
    </w:pPr>
    <w:r>
      <w:pict>
        <v:shape id="_x0000_s2127" o:spid="_x0000_s2127" style="position:absolute;left:0pt;margin-left:29.5pt;margin-top:35.4pt;height:1pt;width:481.5pt;mso-position-horizontal-relative:page;mso-position-vertical-relative:page;z-index:251777024;mso-width-relative:page;mso-height-relative:page;" filled="f" stroked="t" coordsize="9630,20" o:allowincell="f" path="m0,9l9630,9m0,9l9630,9m0,9l9630,9e">
          <v:fill on="f" focussize="0,0"/>
          <v:stroke weight="0.97pt" color="#231F20" miterlimit="4" joinstyle="miter"/>
          <v:imagedata o:title=""/>
          <o:lock v:ext="edit"/>
        </v:shape>
      </w:pict>
    </w:r>
    <w:r>
      <w:pict>
        <v:shape id="_x0000_s2128" o:spid="_x0000_s2128" o:spt="202" type="#_x0000_t202" style="position:absolute;left:0pt;margin-left:422.95pt;margin-top:16.3pt;height:20pt;width:82.65pt;mso-position-horizontal-relative:page;mso-position-vertical-relative:page;z-index:251776000;mso-width-relative:page;mso-height-relative:page;" filled="f" stroked="f" coordsize="21600,21600" o:allowincell="f">
          <v:path/>
          <v:fill on="f" focussize="0,0"/>
          <v:stroke on="f"/>
          <v:imagedata o:title=""/>
          <o:lock v:ext="edit" aspectratio="f"/>
          <v:textbox inset="0mm,0mm,0mm,0mm">
            <w:txbxContent>
              <w:p>
                <w:pPr>
                  <w:spacing w:before="20" w:line="359" w:lineRule="exact"/>
                  <w:ind w:left="20"/>
                  <w:rPr>
                    <w:rFonts w:ascii="宋体" w:hAnsi="宋体" w:eastAsia="宋体" w:cs="宋体"/>
                    <w:sz w:val="27"/>
                    <w:szCs w:val="27"/>
                  </w:rPr>
                </w:pPr>
                <w:r>
                  <w:rPr>
                    <w:rFonts w:ascii="宋体" w:hAnsi="宋体" w:eastAsia="宋体" w:cs="宋体"/>
                    <w:color w:val="231F20"/>
                    <w:spacing w:val="-2"/>
                    <w:position w:val="1"/>
                    <w:sz w:val="27"/>
                    <w:szCs w:val="27"/>
                  </w:rPr>
                  <w:t>中国高教研究</w:t>
                </w:r>
              </w:p>
            </w:txbxContent>
          </v:textbox>
        </v:shape>
      </w:pict>
    </w:r>
    <w:r>
      <w:rPr>
        <w:position w:val="-6"/>
      </w:rPr>
      <w:pict>
        <v:group id="_x0000_s2129" o:spid="_x0000_s2129" o:spt="203" style="height:15.4pt;width:106.65pt;" coordsize="2133,307">
          <o:lock v:ext="edit"/>
          <v:shape id="_x0000_s2130" o:spid="_x0000_s2130" o:spt="75" type="#_x0000_t75" style="position:absolute;left:0;top:0;height:307;width:2133;" filled="f" stroked="f" coordsize="21600,21600">
            <v:path/>
            <v:fill on="f" focussize="0,0"/>
            <v:stroke on="f"/>
            <v:imagedata r:id="rId1" o:title=""/>
            <o:lock v:ext="edit" aspectratio="t"/>
          </v:shape>
          <v:shape id="_x0000_s2131" o:spid="_x0000_s2131" o:spt="202" type="#_x0000_t202" style="position:absolute;left:-20;top:-20;height:347;width:2173;" filled="f" stroked="f" coordsize="21600,21600">
            <v:path/>
            <v:fill on="f" focussize="0,0"/>
            <v:stroke on="f"/>
            <v:imagedata o:title=""/>
            <o:lock v:ext="edit" aspectratio="f"/>
            <v:textbox inset="0mm,0mm,0mm,0mm">
              <w:txbxContent>
                <w:p>
                  <w:pPr>
                    <w:spacing w:before="65" w:line="183" w:lineRule="auto"/>
                    <w:ind w:left="128"/>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2022</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1"/>
                      <w:sz w:val="20"/>
                      <w:szCs w:val="20"/>
                    </w:rPr>
                    <w:t>年第 10</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1"/>
                      <w:sz w:val="20"/>
                      <w:szCs w:val="20"/>
                    </w:rPr>
                    <w:t>期</w:t>
                  </w:r>
                </w:p>
              </w:txbxContent>
            </v:textbox>
          </v:shape>
          <w10:wrap type="none"/>
          <w10:anchorlock/>
        </v:group>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3" w:line="308" w:lineRule="exact"/>
      <w:ind w:firstLine="7710"/>
    </w:pPr>
    <w:r>
      <w:pict>
        <v:shape id="_x0000_s2132" o:spid="_x0000_s2132" style="position:absolute;left:0pt;margin-left:31pt;margin-top:35.4pt;height:1pt;width:481.5pt;mso-position-horizontal-relative:page;mso-position-vertical-relative:page;z-index:251770880;mso-width-relative:page;mso-height-relative:page;" filled="f" stroked="t" coordsize="9630,20" o:allowincell="f" path="m0,9l9629,9m0,9l9629,9m0,9l9629,9e">
          <v:fill on="f" focussize="0,0"/>
          <v:stroke weight="0.97pt" color="#231F20" miterlimit="4" joinstyle="miter"/>
          <v:imagedata o:title=""/>
          <o:lock v:ext="edit"/>
        </v:shape>
      </w:pict>
    </w:r>
    <w:r>
      <w:pict>
        <v:shape id="_x0000_s2133" o:spid="_x0000_s2133" o:spt="202" type="#_x0000_t202" style="position:absolute;left:0pt;margin-left:39.45pt;margin-top:16.3pt;height:20pt;width:82.65pt;mso-position-horizontal-relative:page;mso-position-vertical-relative:page;z-index:251768832;mso-width-relative:page;mso-height-relative:page;" filled="f" stroked="f" coordsize="21600,21600" o:allowincell="f">
          <v:path/>
          <v:fill on="f" focussize="0,0"/>
          <v:stroke on="f"/>
          <v:imagedata o:title=""/>
          <o:lock v:ext="edit" aspectratio="f"/>
          <v:textbox inset="0mm,0mm,0mm,0mm">
            <w:txbxContent>
              <w:p>
                <w:pPr>
                  <w:spacing w:before="20" w:line="359" w:lineRule="exact"/>
                  <w:ind w:left="20"/>
                  <w:rPr>
                    <w:rFonts w:ascii="宋体" w:hAnsi="宋体" w:eastAsia="宋体" w:cs="宋体"/>
                    <w:sz w:val="27"/>
                    <w:szCs w:val="27"/>
                  </w:rPr>
                </w:pPr>
                <w:r>
                  <w:rPr>
                    <w:rFonts w:ascii="宋体" w:hAnsi="宋体" w:eastAsia="宋体" w:cs="宋体"/>
                    <w:color w:val="231F20"/>
                    <w:spacing w:val="-2"/>
                    <w:position w:val="1"/>
                    <w:sz w:val="27"/>
                    <w:szCs w:val="27"/>
                  </w:rPr>
                  <w:t>中国高教研究</w:t>
                </w:r>
              </w:p>
            </w:txbxContent>
          </v:textbox>
        </v:shape>
      </w:pict>
    </w:r>
    <w:r>
      <w:rPr>
        <w:position w:val="-6"/>
      </w:rPr>
      <w:pict>
        <v:group id="_x0000_s2134" o:spid="_x0000_s2134" o:spt="203" style="height:15.45pt;width:106.6pt;" coordsize="2131,308">
          <o:lock v:ext="edit"/>
          <v:shape id="_x0000_s2135" o:spid="_x0000_s2135" o:spt="75" type="#_x0000_t75" style="position:absolute;left:0;top:0;height:308;width:2131;" filled="f" stroked="f" coordsize="21600,21600">
            <v:path/>
            <v:fill on="f" focussize="0,0"/>
            <v:stroke on="f"/>
            <v:imagedata r:id="rId1" o:title=""/>
            <o:lock v:ext="edit" aspectratio="t"/>
          </v:shape>
          <v:shape id="_x0000_s2136" o:spid="_x0000_s2136" o:spt="202" type="#_x0000_t202" style="position:absolute;left:-20;top:-20;height:349;width:2171;" filled="f" stroked="f" coordsize="21600,21600">
            <v:path/>
            <v:fill on="f" focussize="0,0"/>
            <v:stroke on="f"/>
            <v:imagedata o:title=""/>
            <o:lock v:ext="edit" aspectratio="f"/>
            <v:textbox inset="0mm,0mm,0mm,0mm">
              <w:txbxContent>
                <w:p>
                  <w:pPr>
                    <w:spacing w:before="63" w:line="183" w:lineRule="auto"/>
                    <w:ind w:left="720"/>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2022</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1"/>
                      <w:sz w:val="20"/>
                      <w:szCs w:val="20"/>
                    </w:rPr>
                    <w:t>年第 10</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1"/>
                      <w:sz w:val="20"/>
                      <w:szCs w:val="20"/>
                    </w:rPr>
                    <w:t>期</w:t>
                  </w:r>
                </w:p>
              </w:txbxContent>
            </v:textbox>
          </v:shape>
          <w10:wrap type="none"/>
          <w10:anchorlock/>
        </v:group>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308" w:lineRule="exact"/>
      <w:ind w:firstLine="186"/>
    </w:pPr>
    <w:r>
      <w:pict>
        <v:shape id="_x0000_s2138" o:spid="_x0000_s2138" style="position:absolute;left:0pt;margin-left:29.5pt;margin-top:35.4pt;height:1pt;width:481.5pt;mso-position-horizontal-relative:page;mso-position-vertical-relative:page;z-index:251777024;mso-width-relative:page;mso-height-relative:page;" filled="f" stroked="t" coordsize="9630,20" o:allowincell="f" path="m0,9l9630,9m0,9l9630,9m0,9l9630,9e">
          <v:fill on="f" focussize="0,0"/>
          <v:stroke weight="0.97pt" color="#231F20" miterlimit="4" joinstyle="miter"/>
          <v:imagedata o:title=""/>
          <o:lock v:ext="edit"/>
        </v:shape>
      </w:pict>
    </w:r>
    <w:r>
      <w:pict>
        <v:shape id="_x0000_s2139" o:spid="_x0000_s2139" o:spt="202" type="#_x0000_t202" style="position:absolute;left:0pt;margin-left:422.95pt;margin-top:16.3pt;height:20pt;width:82.65pt;mso-position-horizontal-relative:page;mso-position-vertical-relative:page;z-index:251776000;mso-width-relative:page;mso-height-relative:page;" filled="f" stroked="f" coordsize="21600,21600" o:allowincell="f">
          <v:path/>
          <v:fill on="f" focussize="0,0"/>
          <v:stroke on="f"/>
          <v:imagedata o:title=""/>
          <o:lock v:ext="edit" aspectratio="f"/>
          <v:textbox inset="0mm,0mm,0mm,0mm">
            <w:txbxContent>
              <w:p>
                <w:pPr>
                  <w:spacing w:before="20" w:line="359" w:lineRule="exact"/>
                  <w:ind w:left="20"/>
                  <w:rPr>
                    <w:rFonts w:ascii="宋体" w:hAnsi="宋体" w:eastAsia="宋体" w:cs="宋体"/>
                    <w:sz w:val="27"/>
                    <w:szCs w:val="27"/>
                  </w:rPr>
                </w:pPr>
                <w:r>
                  <w:rPr>
                    <w:rFonts w:ascii="宋体" w:hAnsi="宋体" w:eastAsia="宋体" w:cs="宋体"/>
                    <w:color w:val="231F20"/>
                    <w:spacing w:val="-2"/>
                    <w:position w:val="1"/>
                    <w:sz w:val="27"/>
                    <w:szCs w:val="27"/>
                  </w:rPr>
                  <w:t>中国高教研究</w:t>
                </w:r>
              </w:p>
            </w:txbxContent>
          </v:textbox>
        </v:shape>
      </w:pict>
    </w:r>
    <w:r>
      <w:rPr>
        <w:position w:val="-6"/>
      </w:rPr>
      <w:pict>
        <v:group id="_x0000_s2140" o:spid="_x0000_s2140" o:spt="203" style="height:15.4pt;width:106.65pt;" coordsize="2133,307">
          <o:lock v:ext="edit"/>
          <v:shape id="_x0000_s2141" o:spid="_x0000_s2141" o:spt="75" type="#_x0000_t75" style="position:absolute;left:0;top:0;height:307;width:2133;" filled="f" stroked="f" coordsize="21600,21600">
            <v:path/>
            <v:fill on="f" focussize="0,0"/>
            <v:stroke on="f"/>
            <v:imagedata r:id="rId1" o:title=""/>
            <o:lock v:ext="edit" aspectratio="t"/>
          </v:shape>
          <v:shape id="_x0000_s2142" o:spid="_x0000_s2142" o:spt="202" type="#_x0000_t202" style="position:absolute;left:-20;top:-20;height:347;width:2173;" filled="f" stroked="f" coordsize="21600,21600">
            <v:path/>
            <v:fill on="f" focussize="0,0"/>
            <v:stroke on="f"/>
            <v:imagedata o:title=""/>
            <o:lock v:ext="edit" aspectratio="f"/>
            <v:textbox inset="0mm,0mm,0mm,0mm">
              <w:txbxContent>
                <w:p>
                  <w:pPr>
                    <w:spacing w:before="65" w:line="183" w:lineRule="auto"/>
                    <w:ind w:left="128"/>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2022</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1"/>
                      <w:sz w:val="20"/>
                      <w:szCs w:val="20"/>
                    </w:rPr>
                    <w:t>年第 10</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1"/>
                      <w:sz w:val="20"/>
                      <w:szCs w:val="20"/>
                    </w:rPr>
                    <w:t>期</w:t>
                  </w:r>
                </w:p>
              </w:txbxContent>
            </v:textbox>
          </v:shape>
          <w10:wrap type="none"/>
          <w10:anchorlock/>
        </v:group>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3" w:line="308" w:lineRule="exact"/>
      <w:ind w:firstLine="7710"/>
    </w:pPr>
    <w:r>
      <w:pict>
        <v:shape id="_x0000_s2144" o:spid="_x0000_s2144" style="position:absolute;left:0pt;margin-left:31pt;margin-top:35.4pt;height:1pt;width:481.5pt;mso-position-horizontal-relative:page;mso-position-vertical-relative:page;z-index:251770880;mso-width-relative:page;mso-height-relative:page;" filled="f" stroked="t" coordsize="9630,20" o:allowincell="f" path="m0,9l9629,9m0,9l9629,9m0,9l9629,9e">
          <v:fill on="f" focussize="0,0"/>
          <v:stroke weight="0.97pt" color="#231F20" miterlimit="4" joinstyle="miter"/>
          <v:imagedata o:title=""/>
          <o:lock v:ext="edit"/>
        </v:shape>
      </w:pict>
    </w:r>
    <w:r>
      <w:pict>
        <v:shape id="_x0000_s2145" o:spid="_x0000_s2145" o:spt="202" type="#_x0000_t202" style="position:absolute;left:0pt;margin-left:39.45pt;margin-top:16.3pt;height:20pt;width:82.65pt;mso-position-horizontal-relative:page;mso-position-vertical-relative:page;z-index:251768832;mso-width-relative:page;mso-height-relative:page;" filled="f" stroked="f" coordsize="21600,21600" o:allowincell="f">
          <v:path/>
          <v:fill on="f" focussize="0,0"/>
          <v:stroke on="f"/>
          <v:imagedata o:title=""/>
          <o:lock v:ext="edit" aspectratio="f"/>
          <v:textbox inset="0mm,0mm,0mm,0mm">
            <w:txbxContent>
              <w:p>
                <w:pPr>
                  <w:spacing w:before="20" w:line="359" w:lineRule="exact"/>
                  <w:ind w:left="20"/>
                  <w:rPr>
                    <w:rFonts w:ascii="宋体" w:hAnsi="宋体" w:eastAsia="宋体" w:cs="宋体"/>
                    <w:sz w:val="27"/>
                    <w:szCs w:val="27"/>
                  </w:rPr>
                </w:pPr>
                <w:r>
                  <w:rPr>
                    <w:rFonts w:ascii="宋体" w:hAnsi="宋体" w:eastAsia="宋体" w:cs="宋体"/>
                    <w:color w:val="231F20"/>
                    <w:spacing w:val="-2"/>
                    <w:position w:val="1"/>
                    <w:sz w:val="27"/>
                    <w:szCs w:val="27"/>
                  </w:rPr>
                  <w:t>中国高教研究</w:t>
                </w:r>
              </w:p>
            </w:txbxContent>
          </v:textbox>
        </v:shape>
      </w:pict>
    </w:r>
    <w:r>
      <w:rPr>
        <w:position w:val="-6"/>
      </w:rPr>
      <w:pict>
        <v:group id="_x0000_s2146" o:spid="_x0000_s2146" o:spt="203" style="height:15.45pt;width:106.6pt;" coordsize="2131,308">
          <o:lock v:ext="edit"/>
          <v:shape id="_x0000_s2147" o:spid="_x0000_s2147" o:spt="75" type="#_x0000_t75" style="position:absolute;left:0;top:0;height:308;width:2131;" filled="f" stroked="f" coordsize="21600,21600">
            <v:path/>
            <v:fill on="f" focussize="0,0"/>
            <v:stroke on="f"/>
            <v:imagedata r:id="rId1" o:title=""/>
            <o:lock v:ext="edit" aspectratio="t"/>
          </v:shape>
          <v:shape id="_x0000_s2148" o:spid="_x0000_s2148" o:spt="202" type="#_x0000_t202" style="position:absolute;left:-20;top:-20;height:349;width:2171;" filled="f" stroked="f" coordsize="21600,21600">
            <v:path/>
            <v:fill on="f" focussize="0,0"/>
            <v:stroke on="f"/>
            <v:imagedata o:title=""/>
            <o:lock v:ext="edit" aspectratio="f"/>
            <v:textbox inset="0mm,0mm,0mm,0mm">
              <w:txbxContent>
                <w:p>
                  <w:pPr>
                    <w:spacing w:before="63" w:line="183" w:lineRule="auto"/>
                    <w:ind w:left="720"/>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2022</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1"/>
                      <w:sz w:val="20"/>
                      <w:szCs w:val="20"/>
                    </w:rPr>
                    <w:t>年第 10</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1"/>
                      <w:sz w:val="20"/>
                      <w:szCs w:val="20"/>
                    </w:rPr>
                    <w:t>期</w:t>
                  </w:r>
                </w:p>
              </w:txbxContent>
            </v:textbox>
          </v:shape>
          <w10:wrap type="none"/>
          <w10:anchorlock/>
        </v:group>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308" w:lineRule="exact"/>
      <w:ind w:firstLine="186"/>
    </w:pPr>
    <w:r>
      <w:pict>
        <v:shape id="_x0000_s2150" o:spid="_x0000_s2150" style="position:absolute;left:0pt;margin-left:29.5pt;margin-top:35.4pt;height:1pt;width:481.5pt;mso-position-horizontal-relative:page;mso-position-vertical-relative:page;z-index:251784192;mso-width-relative:page;mso-height-relative:page;" filled="f" stroked="t" coordsize="9630,20" o:allowincell="f" path="m0,9l9630,9m0,9l9630,9m0,9l9630,9e">
          <v:fill on="f" focussize="0,0"/>
          <v:stroke weight="0.97pt" color="#231F20" miterlimit="4" joinstyle="miter"/>
          <v:imagedata o:title=""/>
          <o:lock v:ext="edit"/>
        </v:shape>
      </w:pict>
    </w:r>
    <w:r>
      <w:pict>
        <v:shape id="_x0000_s2151" o:spid="_x0000_s2151" o:spt="202" type="#_x0000_t202" style="position:absolute;left:0pt;margin-left:422.95pt;margin-top:16.3pt;height:20pt;width:82.65pt;mso-position-horizontal-relative:page;mso-position-vertical-relative:page;z-index:251782144;mso-width-relative:page;mso-height-relative:page;" filled="f" stroked="f" coordsize="21600,21600" o:allowincell="f">
          <v:path/>
          <v:fill on="f" focussize="0,0"/>
          <v:stroke on="f"/>
          <v:imagedata o:title=""/>
          <o:lock v:ext="edit" aspectratio="f"/>
          <v:textbox inset="0mm,0mm,0mm,0mm">
            <w:txbxContent>
              <w:p>
                <w:pPr>
                  <w:spacing w:before="20" w:line="359" w:lineRule="exact"/>
                  <w:ind w:left="20"/>
                  <w:rPr>
                    <w:rFonts w:ascii="宋体" w:hAnsi="宋体" w:eastAsia="宋体" w:cs="宋体"/>
                    <w:sz w:val="27"/>
                    <w:szCs w:val="27"/>
                  </w:rPr>
                </w:pPr>
                <w:r>
                  <w:rPr>
                    <w:rFonts w:ascii="宋体" w:hAnsi="宋体" w:eastAsia="宋体" w:cs="宋体"/>
                    <w:color w:val="231F20"/>
                    <w:spacing w:val="-2"/>
                    <w:position w:val="1"/>
                    <w:sz w:val="27"/>
                    <w:szCs w:val="27"/>
                  </w:rPr>
                  <w:t>中国高教研究</w:t>
                </w:r>
              </w:p>
            </w:txbxContent>
          </v:textbox>
        </v:shape>
      </w:pict>
    </w:r>
    <w:r>
      <w:rPr>
        <w:position w:val="-6"/>
      </w:rPr>
      <w:pict>
        <v:group id="_x0000_s2152" o:spid="_x0000_s2152" o:spt="203" style="height:15.4pt;width:106.65pt;" coordsize="2133,307">
          <o:lock v:ext="edit"/>
          <v:shape id="_x0000_s2153" o:spid="_x0000_s2153" o:spt="75" type="#_x0000_t75" style="position:absolute;left:0;top:0;height:307;width:2133;" filled="f" stroked="f" coordsize="21600,21600">
            <v:path/>
            <v:fill on="f" focussize="0,0"/>
            <v:stroke on="f"/>
            <v:imagedata r:id="rId1" o:title=""/>
            <o:lock v:ext="edit" aspectratio="t"/>
          </v:shape>
          <v:shape id="_x0000_s2154" o:spid="_x0000_s2154" o:spt="202" type="#_x0000_t202" style="position:absolute;left:-20;top:-20;height:347;width:2173;" filled="f" stroked="f" coordsize="21600,21600">
            <v:path/>
            <v:fill on="f" focussize="0,0"/>
            <v:stroke on="f"/>
            <v:imagedata o:title=""/>
            <o:lock v:ext="edit" aspectratio="f"/>
            <v:textbox inset="0mm,0mm,0mm,0mm">
              <w:txbxContent>
                <w:p>
                  <w:pPr>
                    <w:spacing w:before="65" w:line="183" w:lineRule="auto"/>
                    <w:ind w:left="128"/>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2022</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1"/>
                      <w:sz w:val="20"/>
                      <w:szCs w:val="20"/>
                    </w:rPr>
                    <w:t>年第 10</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1"/>
                      <w:sz w:val="20"/>
                      <w:szCs w:val="20"/>
                    </w:rPr>
                    <w:t>期</w:t>
                  </w:r>
                </w:p>
              </w:txbxContent>
            </v:textbox>
          </v:shape>
          <w10:wrap type="none"/>
          <w10:anchorlock/>
        </v:group>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3" w:line="308" w:lineRule="exact"/>
      <w:ind w:firstLine="7710"/>
    </w:pPr>
    <w:r>
      <w:pict>
        <v:shape id="_x0000_s2156" o:spid="_x0000_s2156" style="position:absolute;left:0pt;margin-left:31pt;margin-top:35.4pt;height:1pt;width:481.5pt;mso-position-horizontal-relative:page;mso-position-vertical-relative:page;z-index:251787264;mso-width-relative:page;mso-height-relative:page;" filled="f" stroked="t" coordsize="9630,20" o:allowincell="f" path="m0,9l9629,9m0,9l9629,9m0,9l9629,9e">
          <v:fill on="f" focussize="0,0"/>
          <v:stroke weight="0.97pt" color="#231F20" miterlimit="4" joinstyle="miter"/>
          <v:imagedata o:title=""/>
          <o:lock v:ext="edit"/>
        </v:shape>
      </w:pict>
    </w:r>
    <w:r>
      <w:pict>
        <v:shape id="_x0000_s2157" o:spid="_x0000_s2157" o:spt="202" type="#_x0000_t202" style="position:absolute;left:0pt;margin-left:39.45pt;margin-top:16.3pt;height:20pt;width:82.65pt;mso-position-horizontal-relative:page;mso-position-vertical-relative:page;z-index:251785216;mso-width-relative:page;mso-height-relative:page;" filled="f" stroked="f" coordsize="21600,21600" o:allowincell="f">
          <v:path/>
          <v:fill on="f" focussize="0,0"/>
          <v:stroke on="f"/>
          <v:imagedata o:title=""/>
          <o:lock v:ext="edit" aspectratio="f"/>
          <v:textbox inset="0mm,0mm,0mm,0mm">
            <w:txbxContent>
              <w:p>
                <w:pPr>
                  <w:spacing w:before="20" w:line="359" w:lineRule="exact"/>
                  <w:ind w:left="20"/>
                  <w:rPr>
                    <w:rFonts w:ascii="宋体" w:hAnsi="宋体" w:eastAsia="宋体" w:cs="宋体"/>
                    <w:sz w:val="27"/>
                    <w:szCs w:val="27"/>
                  </w:rPr>
                </w:pPr>
                <w:r>
                  <w:rPr>
                    <w:rFonts w:ascii="宋体" w:hAnsi="宋体" w:eastAsia="宋体" w:cs="宋体"/>
                    <w:color w:val="231F20"/>
                    <w:spacing w:val="-2"/>
                    <w:position w:val="1"/>
                    <w:sz w:val="27"/>
                    <w:szCs w:val="27"/>
                  </w:rPr>
                  <w:t>中国高教研究</w:t>
                </w:r>
              </w:p>
            </w:txbxContent>
          </v:textbox>
        </v:shape>
      </w:pict>
    </w:r>
    <w:r>
      <w:rPr>
        <w:position w:val="-6"/>
      </w:rPr>
      <w:pict>
        <v:group id="_x0000_s2158" o:spid="_x0000_s2158" o:spt="203" style="height:15.45pt;width:106.6pt;" coordsize="2131,308">
          <o:lock v:ext="edit"/>
          <v:shape id="_x0000_s2159" o:spid="_x0000_s2159" o:spt="75" type="#_x0000_t75" style="position:absolute;left:0;top:0;height:308;width:2131;" filled="f" stroked="f" coordsize="21600,21600">
            <v:path/>
            <v:fill on="f" focussize="0,0"/>
            <v:stroke on="f"/>
            <v:imagedata r:id="rId1" o:title=""/>
            <o:lock v:ext="edit" aspectratio="t"/>
          </v:shape>
          <v:shape id="_x0000_s2160" o:spid="_x0000_s2160" o:spt="202" type="#_x0000_t202" style="position:absolute;left:-20;top:-20;height:349;width:2171;" filled="f" stroked="f" coordsize="21600,21600">
            <v:path/>
            <v:fill on="f" focussize="0,0"/>
            <v:stroke on="f"/>
            <v:imagedata o:title=""/>
            <o:lock v:ext="edit" aspectratio="f"/>
            <v:textbox inset="0mm,0mm,0mm,0mm">
              <w:txbxContent>
                <w:p>
                  <w:pPr>
                    <w:spacing w:before="63" w:line="183" w:lineRule="auto"/>
                    <w:ind w:left="720"/>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2022</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1"/>
                      <w:sz w:val="20"/>
                      <w:szCs w:val="20"/>
                    </w:rPr>
                    <w:t>年第 10</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1"/>
                      <w:sz w:val="20"/>
                      <w:szCs w:val="20"/>
                    </w:rPr>
                    <w:t>期</w:t>
                  </w:r>
                </w:p>
              </w:txbxContent>
            </v:textbox>
          </v:shape>
          <w10:wrap type="none"/>
          <w10:anchorlock/>
        </v:group>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308" w:lineRule="exact"/>
      <w:ind w:firstLine="186"/>
    </w:pPr>
    <w:r>
      <w:pict>
        <v:shape id="_x0000_s2162" o:spid="_x0000_s2162" style="position:absolute;left:0pt;margin-left:29.5pt;margin-top:35.4pt;height:1pt;width:481.5pt;mso-position-horizontal-relative:page;mso-position-vertical-relative:page;z-index:251777024;mso-width-relative:page;mso-height-relative:page;" filled="f" stroked="t" coordsize="9630,20" o:allowincell="f" path="m0,9l9630,9m0,9l9630,9m0,9l9630,9e">
          <v:fill on="f" focussize="0,0"/>
          <v:stroke weight="0.97pt" color="#231F20" miterlimit="4" joinstyle="miter"/>
          <v:imagedata o:title=""/>
          <o:lock v:ext="edit"/>
        </v:shape>
      </w:pict>
    </w:r>
    <w:r>
      <w:pict>
        <v:shape id="_x0000_s2163" o:spid="_x0000_s2163" o:spt="202" type="#_x0000_t202" style="position:absolute;left:0pt;margin-left:422.95pt;margin-top:16.3pt;height:20pt;width:82.65pt;mso-position-horizontal-relative:page;mso-position-vertical-relative:page;z-index:251776000;mso-width-relative:page;mso-height-relative:page;" filled="f" stroked="f" coordsize="21600,21600" o:allowincell="f">
          <v:path/>
          <v:fill on="f" focussize="0,0"/>
          <v:stroke on="f"/>
          <v:imagedata o:title=""/>
          <o:lock v:ext="edit" aspectratio="f"/>
          <v:textbox inset="0mm,0mm,0mm,0mm">
            <w:txbxContent>
              <w:p>
                <w:pPr>
                  <w:spacing w:before="20" w:line="359" w:lineRule="exact"/>
                  <w:ind w:left="20"/>
                  <w:rPr>
                    <w:rFonts w:ascii="宋体" w:hAnsi="宋体" w:eastAsia="宋体" w:cs="宋体"/>
                    <w:sz w:val="27"/>
                    <w:szCs w:val="27"/>
                  </w:rPr>
                </w:pPr>
                <w:r>
                  <w:rPr>
                    <w:rFonts w:ascii="宋体" w:hAnsi="宋体" w:eastAsia="宋体" w:cs="宋体"/>
                    <w:color w:val="231F20"/>
                    <w:spacing w:val="-2"/>
                    <w:position w:val="1"/>
                    <w:sz w:val="27"/>
                    <w:szCs w:val="27"/>
                  </w:rPr>
                  <w:t>中国高教研究</w:t>
                </w:r>
              </w:p>
            </w:txbxContent>
          </v:textbox>
        </v:shape>
      </w:pict>
    </w:r>
    <w:r>
      <w:rPr>
        <w:position w:val="-6"/>
      </w:rPr>
      <w:pict>
        <v:group id="_x0000_s2164" o:spid="_x0000_s2164" o:spt="203" style="height:15.4pt;width:106.65pt;" coordsize="2133,307">
          <o:lock v:ext="edit"/>
          <v:shape id="_x0000_s2165" o:spid="_x0000_s2165" o:spt="75" type="#_x0000_t75" style="position:absolute;left:0;top:0;height:307;width:2133;" filled="f" stroked="f" coordsize="21600,21600">
            <v:path/>
            <v:fill on="f" focussize="0,0"/>
            <v:stroke on="f"/>
            <v:imagedata r:id="rId1" o:title=""/>
            <o:lock v:ext="edit" aspectratio="t"/>
          </v:shape>
          <v:shape id="_x0000_s2166" o:spid="_x0000_s2166" o:spt="202" type="#_x0000_t202" style="position:absolute;left:-20;top:-20;height:347;width:2173;" filled="f" stroked="f" coordsize="21600,21600">
            <v:path/>
            <v:fill on="f" focussize="0,0"/>
            <v:stroke on="f"/>
            <v:imagedata o:title=""/>
            <o:lock v:ext="edit" aspectratio="f"/>
            <v:textbox inset="0mm,0mm,0mm,0mm">
              <w:txbxContent>
                <w:p>
                  <w:pPr>
                    <w:spacing w:before="65" w:line="183" w:lineRule="auto"/>
                    <w:ind w:left="128"/>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2022</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1"/>
                      <w:sz w:val="20"/>
                      <w:szCs w:val="20"/>
                    </w:rPr>
                    <w:t>年第 10</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1"/>
                      <w:sz w:val="20"/>
                      <w:szCs w:val="20"/>
                    </w:rPr>
                    <w:t>期</w:t>
                  </w:r>
                </w:p>
              </w:txbxContent>
            </v:textbox>
          </v:shape>
          <w10:wrap type="none"/>
          <w10:anchorlock/>
        </v:group>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3" w:line="308" w:lineRule="exact"/>
      <w:ind w:firstLine="7710"/>
    </w:pPr>
    <w:r>
      <w:pict>
        <v:shape id="_x0000_s2168" o:spid="_x0000_s2168" style="position:absolute;left:0pt;margin-left:31pt;margin-top:35.4pt;height:1pt;width:481.5pt;mso-position-horizontal-relative:page;mso-position-vertical-relative:page;z-index:251770880;mso-width-relative:page;mso-height-relative:page;" filled="f" stroked="t" coordsize="9630,20" o:allowincell="f" path="m0,9l9629,9m0,9l9629,9m0,9l9629,9e">
          <v:fill on="f" focussize="0,0"/>
          <v:stroke weight="0.97pt" color="#231F20" miterlimit="4" joinstyle="miter"/>
          <v:imagedata o:title=""/>
          <o:lock v:ext="edit"/>
        </v:shape>
      </w:pict>
    </w:r>
    <w:r>
      <w:pict>
        <v:shape id="_x0000_s2169" o:spid="_x0000_s2169" o:spt="202" type="#_x0000_t202" style="position:absolute;left:0pt;margin-left:39.45pt;margin-top:16.3pt;height:20pt;width:82.65pt;mso-position-horizontal-relative:page;mso-position-vertical-relative:page;z-index:251768832;mso-width-relative:page;mso-height-relative:page;" filled="f" stroked="f" coordsize="21600,21600" o:allowincell="f">
          <v:path/>
          <v:fill on="f" focussize="0,0"/>
          <v:stroke on="f"/>
          <v:imagedata o:title=""/>
          <o:lock v:ext="edit" aspectratio="f"/>
          <v:textbox inset="0mm,0mm,0mm,0mm">
            <w:txbxContent>
              <w:p>
                <w:pPr>
                  <w:spacing w:before="20" w:line="359" w:lineRule="exact"/>
                  <w:ind w:left="20"/>
                  <w:rPr>
                    <w:rFonts w:ascii="宋体" w:hAnsi="宋体" w:eastAsia="宋体" w:cs="宋体"/>
                    <w:sz w:val="27"/>
                    <w:szCs w:val="27"/>
                  </w:rPr>
                </w:pPr>
                <w:r>
                  <w:rPr>
                    <w:rFonts w:ascii="宋体" w:hAnsi="宋体" w:eastAsia="宋体" w:cs="宋体"/>
                    <w:color w:val="231F20"/>
                    <w:spacing w:val="-2"/>
                    <w:position w:val="1"/>
                    <w:sz w:val="27"/>
                    <w:szCs w:val="27"/>
                  </w:rPr>
                  <w:t>中国高教研究</w:t>
                </w:r>
              </w:p>
            </w:txbxContent>
          </v:textbox>
        </v:shape>
      </w:pict>
    </w:r>
    <w:r>
      <w:rPr>
        <w:position w:val="-6"/>
      </w:rPr>
      <w:pict>
        <v:group id="_x0000_s2170" o:spid="_x0000_s2170" o:spt="203" style="height:15.45pt;width:106.6pt;" coordsize="2131,308">
          <o:lock v:ext="edit"/>
          <v:shape id="_x0000_s2171" o:spid="_x0000_s2171" o:spt="75" type="#_x0000_t75" style="position:absolute;left:0;top:0;height:308;width:2131;" filled="f" stroked="f" coordsize="21600,21600">
            <v:path/>
            <v:fill on="f" focussize="0,0"/>
            <v:stroke on="f"/>
            <v:imagedata r:id="rId1" o:title=""/>
            <o:lock v:ext="edit" aspectratio="t"/>
          </v:shape>
          <v:shape id="_x0000_s2172" o:spid="_x0000_s2172" o:spt="202" type="#_x0000_t202" style="position:absolute;left:-20;top:-20;height:349;width:2171;" filled="f" stroked="f" coordsize="21600,21600">
            <v:path/>
            <v:fill on="f" focussize="0,0"/>
            <v:stroke on="f"/>
            <v:imagedata o:title=""/>
            <o:lock v:ext="edit" aspectratio="f"/>
            <v:textbox inset="0mm,0mm,0mm,0mm">
              <w:txbxContent>
                <w:p>
                  <w:pPr>
                    <w:spacing w:before="63" w:line="183" w:lineRule="auto"/>
                    <w:ind w:left="720"/>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2022</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1"/>
                      <w:sz w:val="20"/>
                      <w:szCs w:val="20"/>
                    </w:rPr>
                    <w:t>年第 10</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1"/>
                      <w:sz w:val="20"/>
                      <w:szCs w:val="20"/>
                    </w:rPr>
                    <w:t>期</w:t>
                  </w:r>
                </w:p>
              </w:txbxContent>
            </v:textbox>
          </v:shape>
          <w10:wrap type="none"/>
          <w10:anchorlock/>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6" w:lineRule="auto"/>
      <w:ind w:left="4080"/>
      <w:rPr>
        <w:rFonts w:ascii="微软雅黑" w:hAnsi="微软雅黑" w:eastAsia="微软雅黑" w:cs="微软雅黑"/>
        <w:sz w:val="20"/>
        <w:szCs w:val="20"/>
      </w:rPr>
    </w:pPr>
    <w:r>
      <w:pict>
        <v:shape id="_x0000_s2053" o:spid="_x0000_s2053" style="position:absolute;left:0pt;margin-left:65.15pt;margin-top:73.2pt;height:0.8pt;width:479.1pt;mso-position-horizontal-relative:page;mso-position-vertical-relative:page;z-index:251665408;mso-width-relative:page;mso-height-relative:page;" filled="f" stroked="t" coordsize="9582,16" o:allowincell="f" path="m0,6l9581,8e">
          <v:fill on="f" focussize="0,0"/>
          <v:stroke weight="0.68pt" color="#000000" miterlimit="4" joinstyle="miter"/>
          <v:imagedata o:title=""/>
          <o:lock v:ext="edit"/>
        </v:shape>
      </w:pict>
    </w:r>
    <w:r>
      <w:rPr>
        <w:rFonts w:ascii="微软雅黑" w:hAnsi="微软雅黑" w:eastAsia="微软雅黑" w:cs="微软雅黑"/>
        <w:color w:val="231F20"/>
        <w:spacing w:val="1"/>
        <w:sz w:val="20"/>
        <w:szCs w:val="20"/>
      </w:rPr>
      <w:t>高等教育质量文化：独特性与解释力</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308" w:lineRule="exact"/>
      <w:ind w:firstLine="186"/>
    </w:pPr>
    <w:r>
      <w:pict>
        <v:shape id="_x0000_s2174" o:spid="_x0000_s2174" style="position:absolute;left:0pt;margin-left:29.5pt;margin-top:35.4pt;height:1pt;width:481.5pt;mso-position-horizontal-relative:page;mso-position-vertical-relative:page;z-index:251792384;mso-width-relative:page;mso-height-relative:page;" filled="f" stroked="t" coordsize="9630,20" o:allowincell="f" path="m0,9l9630,9m0,9l9630,9m0,9l9630,9e">
          <v:fill on="f" focussize="0,0"/>
          <v:stroke weight="0.97pt" color="#231F20" miterlimit="4" joinstyle="miter"/>
          <v:imagedata o:title=""/>
          <o:lock v:ext="edit"/>
        </v:shape>
      </w:pict>
    </w:r>
    <w:r>
      <w:pict>
        <v:shape id="_x0000_s2175" o:spid="_x0000_s2175" o:spt="202" type="#_x0000_t202" style="position:absolute;left:0pt;margin-left:422.95pt;margin-top:16.3pt;height:20pt;width:82.65pt;mso-position-horizontal-relative:page;mso-position-vertical-relative:page;z-index:251791360;mso-width-relative:page;mso-height-relative:page;" filled="f" stroked="f" coordsize="21600,21600" o:allowincell="f">
          <v:path/>
          <v:fill on="f" focussize="0,0"/>
          <v:stroke on="f"/>
          <v:imagedata o:title=""/>
          <o:lock v:ext="edit" aspectratio="f"/>
          <v:textbox inset="0mm,0mm,0mm,0mm">
            <w:txbxContent>
              <w:p>
                <w:pPr>
                  <w:spacing w:before="20" w:line="359" w:lineRule="exact"/>
                  <w:ind w:left="20"/>
                  <w:rPr>
                    <w:rFonts w:ascii="宋体" w:hAnsi="宋体" w:eastAsia="宋体" w:cs="宋体"/>
                    <w:sz w:val="27"/>
                    <w:szCs w:val="27"/>
                  </w:rPr>
                </w:pPr>
                <w:r>
                  <w:rPr>
                    <w:rFonts w:ascii="宋体" w:hAnsi="宋体" w:eastAsia="宋体" w:cs="宋体"/>
                    <w:color w:val="231F20"/>
                    <w:spacing w:val="-2"/>
                    <w:position w:val="1"/>
                    <w:sz w:val="27"/>
                    <w:szCs w:val="27"/>
                  </w:rPr>
                  <w:t>中国高教研究</w:t>
                </w:r>
              </w:p>
            </w:txbxContent>
          </v:textbox>
        </v:shape>
      </w:pict>
    </w:r>
    <w:r>
      <w:rPr>
        <w:position w:val="-6"/>
      </w:rPr>
      <w:pict>
        <v:group id="_x0000_s2176" o:spid="_x0000_s2176" o:spt="203" style="height:15.4pt;width:106.65pt;" coordsize="2133,307">
          <o:lock v:ext="edit"/>
          <v:shape id="_x0000_s2177" o:spid="_x0000_s2177" o:spt="75" type="#_x0000_t75" style="position:absolute;left:0;top:0;height:307;width:2133;" filled="f" stroked="f" coordsize="21600,21600">
            <v:path/>
            <v:fill on="f" focussize="0,0"/>
            <v:stroke on="f"/>
            <v:imagedata r:id="rId1" o:title=""/>
            <o:lock v:ext="edit" aspectratio="t"/>
          </v:shape>
          <v:shape id="_x0000_s2178" o:spid="_x0000_s2178" o:spt="202" type="#_x0000_t202" style="position:absolute;left:-20;top:-20;height:347;width:2173;" filled="f" stroked="f" coordsize="21600,21600">
            <v:path/>
            <v:fill on="f" focussize="0,0"/>
            <v:stroke on="f"/>
            <v:imagedata o:title=""/>
            <o:lock v:ext="edit" aspectratio="f"/>
            <v:textbox inset="0mm,0mm,0mm,0mm">
              <w:txbxContent>
                <w:p>
                  <w:pPr>
                    <w:spacing w:before="65" w:line="183" w:lineRule="auto"/>
                    <w:ind w:left="128"/>
                    <w:rPr>
                      <w:rFonts w:ascii="微软雅黑" w:hAnsi="微软雅黑" w:eastAsia="微软雅黑" w:cs="微软雅黑"/>
                      <w:sz w:val="20"/>
                      <w:szCs w:val="20"/>
                    </w:rPr>
                  </w:pPr>
                  <w:r>
                    <w:rPr>
                      <w:rFonts w:ascii="微软雅黑" w:hAnsi="微软雅黑" w:eastAsia="微软雅黑" w:cs="微软雅黑"/>
                      <w:color w:val="231F20"/>
                      <w:spacing w:val="-11"/>
                      <w:sz w:val="20"/>
                      <w:szCs w:val="20"/>
                    </w:rPr>
                    <w:t>2022</w:t>
                  </w:r>
                  <w:r>
                    <w:rPr>
                      <w:rFonts w:ascii="微软雅黑" w:hAnsi="微软雅黑" w:eastAsia="微软雅黑" w:cs="微软雅黑"/>
                      <w:color w:val="231F20"/>
                      <w:spacing w:val="-20"/>
                      <w:sz w:val="20"/>
                      <w:szCs w:val="20"/>
                    </w:rPr>
                    <w:t xml:space="preserve"> </w:t>
                  </w:r>
                  <w:r>
                    <w:rPr>
                      <w:rFonts w:ascii="微软雅黑" w:hAnsi="微软雅黑" w:eastAsia="微软雅黑" w:cs="微软雅黑"/>
                      <w:color w:val="231F20"/>
                      <w:spacing w:val="-11"/>
                      <w:sz w:val="20"/>
                      <w:szCs w:val="20"/>
                    </w:rPr>
                    <w:t>年第 10</w:t>
                  </w:r>
                  <w:r>
                    <w:rPr>
                      <w:rFonts w:ascii="微软雅黑" w:hAnsi="微软雅黑" w:eastAsia="微软雅黑" w:cs="微软雅黑"/>
                      <w:color w:val="231F20"/>
                      <w:spacing w:val="-29"/>
                      <w:sz w:val="20"/>
                      <w:szCs w:val="20"/>
                    </w:rPr>
                    <w:t xml:space="preserve"> </w:t>
                  </w:r>
                  <w:r>
                    <w:rPr>
                      <w:rFonts w:ascii="微软雅黑" w:hAnsi="微软雅黑" w:eastAsia="微软雅黑" w:cs="微软雅黑"/>
                      <w:color w:val="231F20"/>
                      <w:spacing w:val="-11"/>
                      <w:sz w:val="20"/>
                      <w:szCs w:val="20"/>
                    </w:rPr>
                    <w:t>期</w:t>
                  </w:r>
                </w:p>
              </w:txbxContent>
            </v:textbox>
          </v:shape>
          <w10:wrap type="none"/>
          <w10:anchorlock/>
        </v:group>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94" w:line="197" w:lineRule="auto"/>
      <w:ind w:left="5"/>
      <w:rPr>
        <w:rFonts w:ascii="Arial" w:hAnsi="Arial" w:eastAsia="Arial" w:cs="Arial"/>
        <w:sz w:val="14"/>
        <w:szCs w:val="14"/>
      </w:rPr>
    </w:pPr>
    <w:r>
      <w:drawing>
        <wp:anchor distT="0" distB="0" distL="0" distR="0" simplePos="0" relativeHeight="251793408" behindDoc="0" locked="0" layoutInCell="0" allowOverlap="1">
          <wp:simplePos x="0" y="0"/>
          <wp:positionH relativeFrom="page">
            <wp:posOffset>4565650</wp:posOffset>
          </wp:positionH>
          <wp:positionV relativeFrom="page">
            <wp:posOffset>534670</wp:posOffset>
          </wp:positionV>
          <wp:extent cx="1088390" cy="30480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
                  <a:stretch>
                    <a:fillRect/>
                  </a:stretch>
                </pic:blipFill>
                <pic:spPr>
                  <a:xfrm>
                    <a:off x="0" y="0"/>
                    <a:ext cx="1088389" cy="304799"/>
                  </a:xfrm>
                  <a:prstGeom prst="rect">
                    <a:avLst/>
                  </a:prstGeom>
                </pic:spPr>
              </pic:pic>
            </a:graphicData>
          </a:graphic>
        </wp:anchor>
      </w:drawing>
    </w:r>
    <w:r>
      <w:rPr>
        <w:rFonts w:ascii="Arial" w:hAnsi="Arial" w:eastAsia="Arial" w:cs="Arial"/>
        <w:spacing w:val="-18"/>
        <w:sz w:val="14"/>
        <w:szCs w:val="14"/>
      </w:rPr>
      <w:t>STUDIES</w:t>
    </w:r>
    <w:r>
      <w:rPr>
        <w:rFonts w:ascii="Arial" w:hAnsi="Arial" w:eastAsia="Arial" w:cs="Arial"/>
        <w:spacing w:val="34"/>
        <w:sz w:val="14"/>
        <w:szCs w:val="14"/>
      </w:rPr>
      <w:t xml:space="preserve"> </w:t>
    </w:r>
    <w:r>
      <w:rPr>
        <w:rFonts w:ascii="Arial" w:hAnsi="Arial" w:eastAsia="Arial" w:cs="Arial"/>
        <w:spacing w:val="-18"/>
        <w:sz w:val="14"/>
        <w:szCs w:val="14"/>
      </w:rPr>
      <w:t>IN</w:t>
    </w:r>
    <w:r>
      <w:rPr>
        <w:rFonts w:ascii="Arial" w:hAnsi="Arial" w:eastAsia="Arial" w:cs="Arial"/>
        <w:spacing w:val="18"/>
        <w:sz w:val="14"/>
        <w:szCs w:val="14"/>
      </w:rPr>
      <w:t xml:space="preserve"> </w:t>
    </w:r>
    <w:r>
      <w:rPr>
        <w:rFonts w:ascii="Arial" w:hAnsi="Arial" w:eastAsia="Arial" w:cs="Arial"/>
        <w:spacing w:val="-18"/>
        <w:sz w:val="14"/>
        <w:szCs w:val="14"/>
      </w:rPr>
      <w:t>HIGHER</w:t>
    </w:r>
    <w:r>
      <w:rPr>
        <w:rFonts w:ascii="Arial" w:hAnsi="Arial" w:eastAsia="Arial" w:cs="Arial"/>
        <w:spacing w:val="17"/>
        <w:w w:val="101"/>
        <w:sz w:val="14"/>
        <w:szCs w:val="14"/>
      </w:rPr>
      <w:t xml:space="preserve"> </w:t>
    </w:r>
    <w:r>
      <w:rPr>
        <w:rFonts w:ascii="Arial" w:hAnsi="Arial" w:eastAsia="Arial" w:cs="Arial"/>
        <w:spacing w:val="-18"/>
        <w:sz w:val="14"/>
        <w:szCs w:val="14"/>
      </w:rPr>
      <w:t>EDUCATION</w:t>
    </w:r>
  </w:p>
  <w:p>
    <w:pPr>
      <w:spacing w:before="19" w:line="169" w:lineRule="exact"/>
      <w:ind w:left="10"/>
      <w:rPr>
        <w:rFonts w:ascii="Arial" w:hAnsi="Arial" w:eastAsia="Arial" w:cs="Arial"/>
        <w:sz w:val="14"/>
        <w:szCs w:val="14"/>
      </w:rPr>
    </w:pPr>
    <w:r>
      <w:fldChar w:fldCharType="begin"/>
    </w:r>
    <w:r>
      <w:instrText xml:space="preserve"> HYPERLINK "https://doi.org/10.1080/03075079.2019.1672639" </w:instrText>
    </w:r>
    <w:r>
      <w:fldChar w:fldCharType="separate"/>
    </w:r>
    <w:r>
      <w:rPr>
        <w:rFonts w:ascii="Arial" w:hAnsi="Arial" w:eastAsia="Arial" w:cs="Arial"/>
        <w:spacing w:val="-5"/>
        <w:position w:val="1"/>
        <w:sz w:val="14"/>
        <w:szCs w:val="14"/>
      </w:rPr>
      <w:t>https://doi.org/10.1080/03075079.2019.1672639</w:t>
    </w:r>
    <w:r>
      <w:rPr>
        <w:rFonts w:ascii="Arial" w:hAnsi="Arial" w:eastAsia="Arial" w:cs="Arial"/>
        <w:spacing w:val="-5"/>
        <w:position w:val="1"/>
        <w:sz w:val="14"/>
        <w:szCs w:val="14"/>
      </w:rPr>
      <w:fldChar w:fldCharType="end"/>
    </w:r>
  </w:p>
  <w:p>
    <w:pPr>
      <w:spacing w:before="82" w:line="11" w:lineRule="exact"/>
    </w:pPr>
    <w:r>
      <w:drawing>
        <wp:inline distT="0" distB="0" distL="0" distR="0">
          <wp:extent cx="5043805" cy="635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
                  <a:stretch>
                    <a:fillRect/>
                  </a:stretch>
                </pic:blipFill>
                <pic:spPr>
                  <a:xfrm>
                    <a:off x="0" y="0"/>
                    <a:ext cx="5044313" cy="6604"/>
                  </a:xfrm>
                  <a:prstGeom prst="rect">
                    <a:avLst/>
                  </a:prstGeom>
                </pic:spPr>
              </pic:pic>
            </a:graphicData>
          </a:graphic>
        </wp:inline>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05" w:lineRule="auto"/>
      <w:ind w:left="4547"/>
      <w:rPr>
        <w:rFonts w:ascii="微软雅黑" w:hAnsi="微软雅黑" w:eastAsia="微软雅黑" w:cs="微软雅黑"/>
        <w:sz w:val="20"/>
        <w:szCs w:val="20"/>
      </w:rPr>
    </w:pPr>
    <w:r>
      <w:pict>
        <v:shape id="_x0000_s2055" o:spid="_x0000_s2055" style="position:absolute;left:0pt;margin-left:76.5pt;margin-top:73.3pt;height:0.8pt;width:479.1pt;mso-position-horizontal-relative:page;mso-position-vertical-relative:page;z-index:251667456;mso-width-relative:page;mso-height-relative:page;" filled="f" stroked="t" coordsize="9582,16" o:allowincell="f" path="m0,6l9581,8e">
          <v:fill on="f" focussize="0,0"/>
          <v:stroke weight="0.68pt" color="#000000" miterlimit="4" joinstyle="miter"/>
          <v:imagedata o:title=""/>
          <o:lock v:ext="edit"/>
        </v:shape>
      </w:pict>
    </w:r>
    <w:r>
      <w:rPr>
        <w:rFonts w:ascii="微软雅黑" w:hAnsi="微软雅黑" w:eastAsia="微软雅黑" w:cs="微软雅黑"/>
        <w:color w:val="231F20"/>
        <w:spacing w:val="6"/>
        <w:sz w:val="20"/>
        <w:szCs w:val="20"/>
      </w:rPr>
      <w:t>教育学术月刊</w:t>
    </w:r>
    <w:r>
      <w:rPr>
        <w:rFonts w:ascii="微软雅黑" w:hAnsi="微软雅黑" w:eastAsia="微软雅黑" w:cs="微软雅黑"/>
        <w:color w:val="231F20"/>
        <w:spacing w:val="23"/>
        <w:sz w:val="20"/>
        <w:szCs w:val="20"/>
      </w:rPr>
      <w:t xml:space="preserve">  </w:t>
    </w:r>
    <w:r>
      <w:rPr>
        <w:rFonts w:ascii="宋体" w:hAnsi="宋体" w:eastAsia="宋体" w:cs="宋体"/>
        <w:color w:val="231F20"/>
        <w:spacing w:val="6"/>
        <w:sz w:val="20"/>
        <w:szCs w:val="20"/>
      </w:rPr>
      <w:t>2022</w:t>
    </w:r>
    <w:r>
      <w:rPr>
        <w:rFonts w:ascii="微软雅黑" w:hAnsi="微软雅黑" w:eastAsia="微软雅黑" w:cs="微软雅黑"/>
        <w:color w:val="231F20"/>
        <w:spacing w:val="6"/>
        <w:sz w:val="20"/>
        <w:szCs w:val="20"/>
      </w:rPr>
      <w:t>年第</w:t>
    </w:r>
    <w:r>
      <w:rPr>
        <w:rFonts w:ascii="微软雅黑" w:hAnsi="微软雅黑" w:eastAsia="微软雅黑" w:cs="微软雅黑"/>
        <w:color w:val="231F20"/>
        <w:spacing w:val="-10"/>
        <w:sz w:val="20"/>
        <w:szCs w:val="20"/>
      </w:rPr>
      <w:t xml:space="preserve"> </w:t>
    </w:r>
    <w:r>
      <w:rPr>
        <w:rFonts w:ascii="宋体" w:hAnsi="宋体" w:eastAsia="宋体" w:cs="宋体"/>
        <w:color w:val="231F20"/>
        <w:spacing w:val="6"/>
        <w:sz w:val="20"/>
        <w:szCs w:val="20"/>
      </w:rPr>
      <w:t>11</w:t>
    </w:r>
    <w:r>
      <w:rPr>
        <w:rFonts w:ascii="宋体" w:hAnsi="宋体" w:eastAsia="宋体" w:cs="宋体"/>
        <w:color w:val="231F20"/>
        <w:spacing w:val="-56"/>
        <w:sz w:val="20"/>
        <w:szCs w:val="20"/>
      </w:rPr>
      <w:t xml:space="preserve"> </w:t>
    </w:r>
    <w:r>
      <w:rPr>
        <w:rFonts w:ascii="微软雅黑" w:hAnsi="微软雅黑" w:eastAsia="微软雅黑" w:cs="微软雅黑"/>
        <w:color w:val="231F20"/>
        <w:spacing w:val="6"/>
        <w:sz w:val="20"/>
        <w:szCs w:val="20"/>
      </w:rPr>
      <w:t>期</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exact"/>
      <w:ind w:left="4080"/>
      <w:rPr>
        <w:rFonts w:ascii="微软雅黑" w:hAnsi="微软雅黑" w:eastAsia="微软雅黑" w:cs="微软雅黑"/>
        <w:sz w:val="20"/>
        <w:szCs w:val="20"/>
      </w:rPr>
    </w:pPr>
    <w:r>
      <w:rPr>
        <w:rFonts w:ascii="微软雅黑" w:hAnsi="微软雅黑" w:eastAsia="微软雅黑" w:cs="微软雅黑"/>
        <w:color w:val="231F20"/>
        <w:spacing w:val="1"/>
        <w:sz w:val="20"/>
        <w:szCs w:val="20"/>
      </w:rPr>
      <w:t>高等教育质量文化：独特性与解释力</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05" w:lineRule="auto"/>
      <w:ind w:left="4547"/>
      <w:rPr>
        <w:rFonts w:ascii="微软雅黑" w:hAnsi="微软雅黑" w:eastAsia="微软雅黑" w:cs="微软雅黑"/>
        <w:sz w:val="20"/>
        <w:szCs w:val="20"/>
      </w:rPr>
    </w:pPr>
    <w:r>
      <w:pict>
        <v:shape id="_x0000_s2058" o:spid="_x0000_s2058" style="position:absolute;left:0pt;margin-left:76.5pt;margin-top:73.3pt;height:0.8pt;width:479.1pt;mso-position-horizontal-relative:page;mso-position-vertical-relative:page;z-index:251670528;mso-width-relative:page;mso-height-relative:page;" filled="f" stroked="t" coordsize="9582,16" o:allowincell="f" path="m0,6l9581,8e">
          <v:fill on="f" focussize="0,0"/>
          <v:stroke weight="0.68pt" color="#000000" miterlimit="4" joinstyle="miter"/>
          <v:imagedata o:title=""/>
          <o:lock v:ext="edit"/>
        </v:shape>
      </w:pict>
    </w:r>
    <w:r>
      <w:rPr>
        <w:rFonts w:ascii="微软雅黑" w:hAnsi="微软雅黑" w:eastAsia="微软雅黑" w:cs="微软雅黑"/>
        <w:color w:val="231F20"/>
        <w:spacing w:val="3"/>
        <w:sz w:val="20"/>
        <w:szCs w:val="20"/>
      </w:rPr>
      <w:t>教育学术月刊</w:t>
    </w:r>
    <w:r>
      <w:rPr>
        <w:rFonts w:ascii="微软雅黑" w:hAnsi="微软雅黑" w:eastAsia="微软雅黑" w:cs="微软雅黑"/>
        <w:color w:val="231F20"/>
        <w:spacing w:val="22"/>
        <w:sz w:val="20"/>
        <w:szCs w:val="20"/>
      </w:rPr>
      <w:t xml:space="preserve">  </w:t>
    </w:r>
    <w:r>
      <w:rPr>
        <w:rFonts w:ascii="Times New Roman" w:hAnsi="Times New Roman" w:eastAsia="Times New Roman" w:cs="Times New Roman"/>
        <w:color w:val="231F20"/>
        <w:spacing w:val="3"/>
        <w:sz w:val="20"/>
        <w:szCs w:val="20"/>
      </w:rPr>
      <w:t>2022</w:t>
    </w:r>
    <w:r>
      <w:rPr>
        <w:rFonts w:ascii="Times New Roman" w:hAnsi="Times New Roman" w:eastAsia="Times New Roman" w:cs="Times New Roman"/>
        <w:color w:val="231F20"/>
        <w:spacing w:val="-12"/>
        <w:sz w:val="20"/>
        <w:szCs w:val="20"/>
      </w:rPr>
      <w:t xml:space="preserve"> </w:t>
    </w:r>
    <w:r>
      <w:rPr>
        <w:rFonts w:ascii="微软雅黑" w:hAnsi="微软雅黑" w:eastAsia="微软雅黑" w:cs="微软雅黑"/>
        <w:color w:val="231F20"/>
        <w:spacing w:val="3"/>
        <w:sz w:val="20"/>
        <w:szCs w:val="20"/>
      </w:rPr>
      <w:t>年第</w:t>
    </w:r>
    <w:r>
      <w:rPr>
        <w:rFonts w:ascii="微软雅黑" w:hAnsi="微软雅黑" w:eastAsia="微软雅黑" w:cs="微软雅黑"/>
        <w:color w:val="231F20"/>
        <w:spacing w:val="-10"/>
        <w:sz w:val="20"/>
        <w:szCs w:val="20"/>
      </w:rPr>
      <w:t xml:space="preserve"> </w:t>
    </w:r>
    <w:r>
      <w:rPr>
        <w:rFonts w:ascii="Times New Roman" w:hAnsi="Times New Roman" w:eastAsia="Times New Roman" w:cs="Times New Roman"/>
        <w:color w:val="231F20"/>
        <w:spacing w:val="3"/>
        <w:sz w:val="20"/>
        <w:szCs w:val="20"/>
      </w:rPr>
      <w:t xml:space="preserve">11 </w:t>
    </w:r>
    <w:r>
      <w:rPr>
        <w:rFonts w:ascii="微软雅黑" w:hAnsi="微软雅黑" w:eastAsia="微软雅黑" w:cs="微软雅黑"/>
        <w:color w:val="231F20"/>
        <w:spacing w:val="3"/>
        <w:sz w:val="20"/>
        <w:szCs w:val="20"/>
      </w:rPr>
      <w:t>期</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1073"/>
      <w:rPr>
        <w:rFonts w:ascii="黑体" w:hAnsi="黑体" w:eastAsia="黑体" w:cs="黑体"/>
        <w:sz w:val="19"/>
        <w:szCs w:val="19"/>
      </w:rPr>
    </w:pPr>
    <w:r>
      <w:pict>
        <v:shape id="_x0000_s2070" o:spid="_x0000_s2070" style="position:absolute;left:0pt;margin-left:451.95pt;margin-top:18.2pt;height:0.3pt;width:49.1pt;z-index:-251631616;mso-width-relative:page;mso-height-relative:page;" filled="f" stroked="t" coordsize="981,6" path="m981,2l0,2e">
          <v:fill on="f" focussize="0,0"/>
          <v:stroke weight="0.28pt" color="#231F20" miterlimit="4" joinstyle="miter"/>
          <v:imagedata o:title=""/>
          <o:lock v:ext="edit"/>
        </v:shape>
      </w:pict>
    </w:r>
    <w:r>
      <w:rPr>
        <w:rFonts w:ascii="微软雅黑" w:hAnsi="微软雅黑" w:eastAsia="微软雅黑" w:cs="微软雅黑"/>
        <w:color w:val="231F20"/>
        <w:spacing w:val="4"/>
        <w:position w:val="19"/>
        <w:sz w:val="16"/>
        <w:szCs w:val="16"/>
        <w:u w:val="single" w:color="auto"/>
      </w:rPr>
      <w:t>现代教育管理·</w:t>
    </w:r>
    <w:r>
      <w:rPr>
        <w:rFonts w:ascii="Times New Roman" w:hAnsi="Times New Roman" w:eastAsia="Times New Roman" w:cs="Times New Roman"/>
        <w:color w:val="231F20"/>
        <w:spacing w:val="4"/>
        <w:position w:val="19"/>
        <w:sz w:val="16"/>
        <w:szCs w:val="16"/>
        <w:u w:val="single" w:color="auto"/>
      </w:rPr>
      <w:t>2021</w:t>
    </w:r>
    <w:r>
      <w:rPr>
        <w:rFonts w:ascii="Times New Roman" w:hAnsi="Times New Roman" w:eastAsia="Times New Roman" w:cs="Times New Roman"/>
        <w:color w:val="231F20"/>
        <w:spacing w:val="-3"/>
        <w:position w:val="19"/>
        <w:sz w:val="16"/>
        <w:szCs w:val="16"/>
        <w:u w:val="single" w:color="auto"/>
      </w:rPr>
      <w:t xml:space="preserve"> </w:t>
    </w:r>
    <w:r>
      <w:rPr>
        <w:rFonts w:ascii="微软雅黑" w:hAnsi="微软雅黑" w:eastAsia="微软雅黑" w:cs="微软雅黑"/>
        <w:color w:val="231F20"/>
        <w:spacing w:val="4"/>
        <w:position w:val="19"/>
        <w:sz w:val="16"/>
        <w:szCs w:val="16"/>
        <w:u w:val="single" w:color="auto"/>
      </w:rPr>
      <w:t>年第</w:t>
    </w:r>
    <w:r>
      <w:rPr>
        <w:rFonts w:ascii="微软雅黑" w:hAnsi="微软雅黑" w:eastAsia="微软雅黑" w:cs="微软雅黑"/>
        <w:color w:val="231F20"/>
        <w:spacing w:val="-18"/>
        <w:position w:val="19"/>
        <w:sz w:val="16"/>
        <w:szCs w:val="16"/>
        <w:u w:val="single" w:color="auto"/>
      </w:rPr>
      <w:t xml:space="preserve"> </w:t>
    </w:r>
    <w:r>
      <w:rPr>
        <w:rFonts w:ascii="Times New Roman" w:hAnsi="Times New Roman" w:eastAsia="Times New Roman" w:cs="Times New Roman"/>
        <w:color w:val="231F20"/>
        <w:spacing w:val="4"/>
        <w:position w:val="19"/>
        <w:sz w:val="16"/>
        <w:szCs w:val="16"/>
        <w:u w:val="single" w:color="auto"/>
      </w:rPr>
      <w:t>7</w:t>
    </w:r>
    <w:r>
      <w:rPr>
        <w:rFonts w:ascii="Times New Roman" w:hAnsi="Times New Roman" w:eastAsia="Times New Roman" w:cs="Times New Roman"/>
        <w:color w:val="231F20"/>
        <w:spacing w:val="-15"/>
        <w:position w:val="19"/>
        <w:sz w:val="16"/>
        <w:szCs w:val="16"/>
        <w:u w:val="single" w:color="auto"/>
      </w:rPr>
      <w:t xml:space="preserve"> </w:t>
    </w:r>
    <w:r>
      <w:rPr>
        <w:rFonts w:ascii="微软雅黑" w:hAnsi="微软雅黑" w:eastAsia="微软雅黑" w:cs="微软雅黑"/>
        <w:color w:val="231F20"/>
        <w:spacing w:val="4"/>
        <w:position w:val="19"/>
        <w:sz w:val="16"/>
        <w:szCs w:val="16"/>
        <w:u w:val="single" w:color="auto"/>
      </w:rPr>
      <w:t>期</w:t>
    </w:r>
    <w:r>
      <w:rPr>
        <w:rFonts w:ascii="微软雅黑" w:hAnsi="微软雅黑" w:eastAsia="微软雅黑" w:cs="微软雅黑"/>
        <w:color w:val="231F20"/>
        <w:spacing w:val="1"/>
        <w:position w:val="19"/>
        <w:sz w:val="16"/>
        <w:szCs w:val="16"/>
        <w:u w:val="single" w:color="auto"/>
      </w:rPr>
      <w:t xml:space="preserve">                          </w:t>
    </w:r>
    <w:r>
      <w:rPr>
        <w:rFonts w:ascii="微软雅黑" w:hAnsi="微软雅黑" w:eastAsia="微软雅黑" w:cs="微软雅黑"/>
        <w:color w:val="231F20"/>
        <w:position w:val="19"/>
        <w:sz w:val="16"/>
        <w:szCs w:val="16"/>
        <w:u w:val="single" w:color="auto"/>
      </w:rPr>
      <w:t xml:space="preserve">                                                                                                   </w:t>
    </w:r>
    <w:r>
      <w:rPr>
        <w:rFonts w:ascii="微软雅黑" w:hAnsi="微软雅黑" w:eastAsia="微软雅黑" w:cs="微软雅黑"/>
        <w:color w:val="231F20"/>
        <w:spacing w:val="4"/>
        <w:position w:val="19"/>
        <w:sz w:val="16"/>
        <w:szCs w:val="16"/>
        <w:u w:val="single" w:color="auto"/>
        <w:shd w:val="clear" w:fill="231F20"/>
      </w:rPr>
      <w:t xml:space="preserve">  </w:t>
    </w:r>
    <w:r>
      <w:rPr>
        <w:rFonts w:ascii="黑体" w:hAnsi="黑体" w:eastAsia="黑体" w:cs="黑体"/>
        <w:color w:val="FFFFFF"/>
        <w:spacing w:val="4"/>
        <w:sz w:val="19"/>
        <w:szCs w:val="19"/>
        <w:u w:val="single" w:color="231F20"/>
        <w:shd w:val="clear" w:fill="231F20"/>
      </w:rPr>
      <w:t xml:space="preserve">理论视野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mZiNTVkYjFlMWRhMjAzNDA2NDI0MjI1MjZjYjIyZTAifQ=="/>
  </w:docVars>
  <w:rsids>
    <w:rsidRoot w:val="00000000"/>
    <w:rsid w:val="00C1755E"/>
    <w:rsid w:val="07294F08"/>
    <w:rsid w:val="13B32976"/>
    <w:rsid w:val="18070B00"/>
    <w:rsid w:val="42EE2881"/>
    <w:rsid w:val="5FFE275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楷体" w:hAnsi="楷体" w:eastAsia="楷体" w:cs="楷体"/>
      <w:sz w:val="31"/>
      <w:szCs w:val="3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17"/>
      <w:szCs w:val="17"/>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60.xml"/><Relationship Id="rId98" Type="http://schemas.openxmlformats.org/officeDocument/2006/relationships/header" Target="header35.xml"/><Relationship Id="rId97" Type="http://schemas.openxmlformats.org/officeDocument/2006/relationships/footer" Target="footer59.xml"/><Relationship Id="rId96" Type="http://schemas.openxmlformats.org/officeDocument/2006/relationships/header" Target="header34.xml"/><Relationship Id="rId95" Type="http://schemas.openxmlformats.org/officeDocument/2006/relationships/footer" Target="footer58.xml"/><Relationship Id="rId94" Type="http://schemas.openxmlformats.org/officeDocument/2006/relationships/header" Target="header33.xml"/><Relationship Id="rId93" Type="http://schemas.openxmlformats.org/officeDocument/2006/relationships/footer" Target="footer57.xml"/><Relationship Id="rId92" Type="http://schemas.openxmlformats.org/officeDocument/2006/relationships/header" Target="header32.xml"/><Relationship Id="rId91" Type="http://schemas.openxmlformats.org/officeDocument/2006/relationships/footer" Target="footer56.xml"/><Relationship Id="rId90" Type="http://schemas.openxmlformats.org/officeDocument/2006/relationships/header" Target="header31.xml"/><Relationship Id="rId9" Type="http://schemas.openxmlformats.org/officeDocument/2006/relationships/footer" Target="footer3.xml"/><Relationship Id="rId89" Type="http://schemas.openxmlformats.org/officeDocument/2006/relationships/footer" Target="footer55.xml"/><Relationship Id="rId88" Type="http://schemas.openxmlformats.org/officeDocument/2006/relationships/footer" Target="footer54.xml"/><Relationship Id="rId87" Type="http://schemas.openxmlformats.org/officeDocument/2006/relationships/footer" Target="footer53.xml"/><Relationship Id="rId86" Type="http://schemas.openxmlformats.org/officeDocument/2006/relationships/footer" Target="footer52.xml"/><Relationship Id="rId85" Type="http://schemas.openxmlformats.org/officeDocument/2006/relationships/footer" Target="footer51.xml"/><Relationship Id="rId84" Type="http://schemas.openxmlformats.org/officeDocument/2006/relationships/footer" Target="footer50.xml"/><Relationship Id="rId83" Type="http://schemas.openxmlformats.org/officeDocument/2006/relationships/footer" Target="footer49.xml"/><Relationship Id="rId82" Type="http://schemas.openxmlformats.org/officeDocument/2006/relationships/footer" Target="footer48.xml"/><Relationship Id="rId81" Type="http://schemas.openxmlformats.org/officeDocument/2006/relationships/footer" Target="footer47.xml"/><Relationship Id="rId80" Type="http://schemas.openxmlformats.org/officeDocument/2006/relationships/footer" Target="footer46.xml"/><Relationship Id="rId8" Type="http://schemas.openxmlformats.org/officeDocument/2006/relationships/header" Target="header2.xml"/><Relationship Id="rId79" Type="http://schemas.openxmlformats.org/officeDocument/2006/relationships/header" Target="header30.xml"/><Relationship Id="rId78" Type="http://schemas.openxmlformats.org/officeDocument/2006/relationships/footer" Target="footer45.xml"/><Relationship Id="rId77" Type="http://schemas.openxmlformats.org/officeDocument/2006/relationships/header" Target="header29.xml"/><Relationship Id="rId76" Type="http://schemas.openxmlformats.org/officeDocument/2006/relationships/footer" Target="footer44.xml"/><Relationship Id="rId75" Type="http://schemas.openxmlformats.org/officeDocument/2006/relationships/header" Target="header28.xml"/><Relationship Id="rId74" Type="http://schemas.openxmlformats.org/officeDocument/2006/relationships/footer" Target="footer43.xml"/><Relationship Id="rId73" Type="http://schemas.openxmlformats.org/officeDocument/2006/relationships/header" Target="header27.xml"/><Relationship Id="rId72" Type="http://schemas.openxmlformats.org/officeDocument/2006/relationships/footer" Target="footer42.xml"/><Relationship Id="rId71" Type="http://schemas.openxmlformats.org/officeDocument/2006/relationships/header" Target="header26.xml"/><Relationship Id="rId70" Type="http://schemas.openxmlformats.org/officeDocument/2006/relationships/footer" Target="footer41.xml"/><Relationship Id="rId7" Type="http://schemas.openxmlformats.org/officeDocument/2006/relationships/footer" Target="footer2.xml"/><Relationship Id="rId69" Type="http://schemas.openxmlformats.org/officeDocument/2006/relationships/header" Target="header25.xml"/><Relationship Id="rId68" Type="http://schemas.openxmlformats.org/officeDocument/2006/relationships/footer" Target="footer40.xml"/><Relationship Id="rId67" Type="http://schemas.openxmlformats.org/officeDocument/2006/relationships/header" Target="header24.xml"/><Relationship Id="rId66" Type="http://schemas.openxmlformats.org/officeDocument/2006/relationships/footer" Target="footer39.xml"/><Relationship Id="rId65" Type="http://schemas.openxmlformats.org/officeDocument/2006/relationships/header" Target="header23.xml"/><Relationship Id="rId64" Type="http://schemas.openxmlformats.org/officeDocument/2006/relationships/footer" Target="footer38.xml"/><Relationship Id="rId63" Type="http://schemas.openxmlformats.org/officeDocument/2006/relationships/header" Target="header22.xml"/><Relationship Id="rId62" Type="http://schemas.openxmlformats.org/officeDocument/2006/relationships/footer" Target="footer37.xml"/><Relationship Id="rId61" Type="http://schemas.openxmlformats.org/officeDocument/2006/relationships/header" Target="header21.xml"/><Relationship Id="rId60" Type="http://schemas.openxmlformats.org/officeDocument/2006/relationships/footer" Target="footer36.xml"/><Relationship Id="rId6" Type="http://schemas.openxmlformats.org/officeDocument/2006/relationships/footer" Target="footer1.xml"/><Relationship Id="rId59" Type="http://schemas.openxmlformats.org/officeDocument/2006/relationships/footer" Target="footer35.xml"/><Relationship Id="rId58" Type="http://schemas.openxmlformats.org/officeDocument/2006/relationships/footer" Target="footer34.xml"/><Relationship Id="rId57" Type="http://schemas.openxmlformats.org/officeDocument/2006/relationships/footer" Target="footer33.xml"/><Relationship Id="rId56" Type="http://schemas.openxmlformats.org/officeDocument/2006/relationships/footer" Target="footer32.xml"/><Relationship Id="rId55" Type="http://schemas.openxmlformats.org/officeDocument/2006/relationships/footer" Target="footer31.xml"/><Relationship Id="rId54" Type="http://schemas.openxmlformats.org/officeDocument/2006/relationships/footer" Target="footer30.xml"/><Relationship Id="rId53" Type="http://schemas.openxmlformats.org/officeDocument/2006/relationships/footer" Target="footer29.xml"/><Relationship Id="rId52" Type="http://schemas.openxmlformats.org/officeDocument/2006/relationships/header" Target="header20.xml"/><Relationship Id="rId51" Type="http://schemas.openxmlformats.org/officeDocument/2006/relationships/footer" Target="footer28.xml"/><Relationship Id="rId50" Type="http://schemas.openxmlformats.org/officeDocument/2006/relationships/header" Target="header19.xml"/><Relationship Id="rId5" Type="http://schemas.openxmlformats.org/officeDocument/2006/relationships/header" Target="header1.xml"/><Relationship Id="rId49" Type="http://schemas.openxmlformats.org/officeDocument/2006/relationships/footer" Target="footer27.xml"/><Relationship Id="rId48" Type="http://schemas.openxmlformats.org/officeDocument/2006/relationships/header" Target="header18.xml"/><Relationship Id="rId47" Type="http://schemas.openxmlformats.org/officeDocument/2006/relationships/footer" Target="footer26.xml"/><Relationship Id="rId46" Type="http://schemas.openxmlformats.org/officeDocument/2006/relationships/header" Target="header17.xml"/><Relationship Id="rId45" Type="http://schemas.openxmlformats.org/officeDocument/2006/relationships/footer" Target="footer25.xml"/><Relationship Id="rId44" Type="http://schemas.openxmlformats.org/officeDocument/2006/relationships/header" Target="header16.xml"/><Relationship Id="rId43" Type="http://schemas.openxmlformats.org/officeDocument/2006/relationships/footer" Target="footer24.xml"/><Relationship Id="rId42" Type="http://schemas.openxmlformats.org/officeDocument/2006/relationships/header" Target="header15.xml"/><Relationship Id="rId41" Type="http://schemas.openxmlformats.org/officeDocument/2006/relationships/footer" Target="footer23.xml"/><Relationship Id="rId40" Type="http://schemas.openxmlformats.org/officeDocument/2006/relationships/header" Target="header14.xml"/><Relationship Id="rId4" Type="http://schemas.openxmlformats.org/officeDocument/2006/relationships/endnotes" Target="endnotes.xml"/><Relationship Id="rId39" Type="http://schemas.openxmlformats.org/officeDocument/2006/relationships/footer" Target="footer22.xml"/><Relationship Id="rId38" Type="http://schemas.openxmlformats.org/officeDocument/2006/relationships/header" Target="header13.xml"/><Relationship Id="rId37" Type="http://schemas.openxmlformats.org/officeDocument/2006/relationships/footer" Target="footer21.xml"/><Relationship Id="rId36" Type="http://schemas.openxmlformats.org/officeDocument/2006/relationships/header" Target="header12.xml"/><Relationship Id="rId35" Type="http://schemas.openxmlformats.org/officeDocument/2006/relationships/footer" Target="footer20.xml"/><Relationship Id="rId34" Type="http://schemas.openxmlformats.org/officeDocument/2006/relationships/header" Target="header11.xml"/><Relationship Id="rId33" Type="http://schemas.openxmlformats.org/officeDocument/2006/relationships/header" Target="header10.xml"/><Relationship Id="rId32" Type="http://schemas.openxmlformats.org/officeDocument/2006/relationships/footer" Target="footer19.xml"/><Relationship Id="rId31" Type="http://schemas.openxmlformats.org/officeDocument/2006/relationships/header" Target="header9.xml"/><Relationship Id="rId30" Type="http://schemas.openxmlformats.org/officeDocument/2006/relationships/footer" Target="footer18.xml"/><Relationship Id="rId3" Type="http://schemas.openxmlformats.org/officeDocument/2006/relationships/footnotes" Target="footnotes.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2" Type="http://schemas.openxmlformats.org/officeDocument/2006/relationships/fontTable" Target="fontTable.xml"/><Relationship Id="rId181" Type="http://schemas.openxmlformats.org/officeDocument/2006/relationships/customXml" Target="../customXml/item1.xml"/><Relationship Id="rId180" Type="http://schemas.openxmlformats.org/officeDocument/2006/relationships/image" Target="media/image72.jpeg"/><Relationship Id="rId18" Type="http://schemas.openxmlformats.org/officeDocument/2006/relationships/header" Target="header7.xml"/><Relationship Id="rId179" Type="http://schemas.openxmlformats.org/officeDocument/2006/relationships/image" Target="media/image71.jpeg"/><Relationship Id="rId178" Type="http://schemas.openxmlformats.org/officeDocument/2006/relationships/image" Target="media/image70.jpeg"/><Relationship Id="rId177" Type="http://schemas.openxmlformats.org/officeDocument/2006/relationships/image" Target="media/image69.jpeg"/><Relationship Id="rId176" Type="http://schemas.openxmlformats.org/officeDocument/2006/relationships/image" Target="media/image68.jpeg"/><Relationship Id="rId175" Type="http://schemas.openxmlformats.org/officeDocument/2006/relationships/image" Target="media/image67.jpeg"/><Relationship Id="rId174" Type="http://schemas.openxmlformats.org/officeDocument/2006/relationships/image" Target="media/image66.jpeg"/><Relationship Id="rId173" Type="http://schemas.openxmlformats.org/officeDocument/2006/relationships/image" Target="media/image65.jpeg"/><Relationship Id="rId172" Type="http://schemas.openxmlformats.org/officeDocument/2006/relationships/image" Target="media/image64.jpeg"/><Relationship Id="rId171" Type="http://schemas.openxmlformats.org/officeDocument/2006/relationships/image" Target="media/image63.jpeg"/><Relationship Id="rId170" Type="http://schemas.openxmlformats.org/officeDocument/2006/relationships/image" Target="media/image62.jpeg"/><Relationship Id="rId17" Type="http://schemas.openxmlformats.org/officeDocument/2006/relationships/footer" Target="footer7.xml"/><Relationship Id="rId169" Type="http://schemas.openxmlformats.org/officeDocument/2006/relationships/image" Target="media/image61.jpeg"/><Relationship Id="rId168" Type="http://schemas.openxmlformats.org/officeDocument/2006/relationships/image" Target="media/image60.jpeg"/><Relationship Id="rId167" Type="http://schemas.openxmlformats.org/officeDocument/2006/relationships/image" Target="media/image59.jpeg"/><Relationship Id="rId166" Type="http://schemas.openxmlformats.org/officeDocument/2006/relationships/image" Target="media/image58.jpeg"/><Relationship Id="rId165" Type="http://schemas.openxmlformats.org/officeDocument/2006/relationships/image" Target="media/image57.jpeg"/><Relationship Id="rId164" Type="http://schemas.openxmlformats.org/officeDocument/2006/relationships/image" Target="media/image56.jpeg"/><Relationship Id="rId163" Type="http://schemas.openxmlformats.org/officeDocument/2006/relationships/image" Target="media/image55.jpeg"/><Relationship Id="rId162" Type="http://schemas.openxmlformats.org/officeDocument/2006/relationships/image" Target="media/image54.png"/><Relationship Id="rId161" Type="http://schemas.openxmlformats.org/officeDocument/2006/relationships/image" Target="media/image53.png"/><Relationship Id="rId160" Type="http://schemas.openxmlformats.org/officeDocument/2006/relationships/image" Target="media/image52.jpeg"/><Relationship Id="rId16" Type="http://schemas.openxmlformats.org/officeDocument/2006/relationships/header" Target="header6.xml"/><Relationship Id="rId159" Type="http://schemas.openxmlformats.org/officeDocument/2006/relationships/image" Target="media/image51.png"/><Relationship Id="rId158" Type="http://schemas.openxmlformats.org/officeDocument/2006/relationships/image" Target="media/image50.png"/><Relationship Id="rId157" Type="http://schemas.openxmlformats.org/officeDocument/2006/relationships/image" Target="media/image49.png"/><Relationship Id="rId156" Type="http://schemas.openxmlformats.org/officeDocument/2006/relationships/image" Target="media/image48.png"/><Relationship Id="rId155" Type="http://schemas.openxmlformats.org/officeDocument/2006/relationships/image" Target="media/image47.png"/><Relationship Id="rId154" Type="http://schemas.openxmlformats.org/officeDocument/2006/relationships/image" Target="media/image46.png"/><Relationship Id="rId153" Type="http://schemas.openxmlformats.org/officeDocument/2006/relationships/image" Target="media/image45.png"/><Relationship Id="rId152" Type="http://schemas.openxmlformats.org/officeDocument/2006/relationships/image" Target="media/image44.png"/><Relationship Id="rId151" Type="http://schemas.openxmlformats.org/officeDocument/2006/relationships/image" Target="media/image43.png"/><Relationship Id="rId150" Type="http://schemas.openxmlformats.org/officeDocument/2006/relationships/image" Target="media/image42.png"/><Relationship Id="rId15" Type="http://schemas.openxmlformats.org/officeDocument/2006/relationships/footer" Target="footer6.xml"/><Relationship Id="rId149" Type="http://schemas.openxmlformats.org/officeDocument/2006/relationships/hyperlink" Target="http://www.emeraldinsight.com/action/showImage?doi=10.1108/IJQSS-04-2017-0033%26iName=master.img-012.jpg%26w=168%26h=150" TargetMode="External"/><Relationship Id="rId148" Type="http://schemas.openxmlformats.org/officeDocument/2006/relationships/image" Target="media/image41.jpeg"/><Relationship Id="rId147" Type="http://schemas.openxmlformats.org/officeDocument/2006/relationships/image" Target="media/image40.jpeg"/><Relationship Id="rId146" Type="http://schemas.openxmlformats.org/officeDocument/2006/relationships/image" Target="media/image39.png"/><Relationship Id="rId145" Type="http://schemas.openxmlformats.org/officeDocument/2006/relationships/image" Target="media/image38.png"/><Relationship Id="rId144" Type="http://schemas.openxmlformats.org/officeDocument/2006/relationships/image" Target="media/image37.png"/><Relationship Id="rId143" Type="http://schemas.openxmlformats.org/officeDocument/2006/relationships/image" Target="media/image36.png"/><Relationship Id="rId142" Type="http://schemas.openxmlformats.org/officeDocument/2006/relationships/image" Target="media/image35.png"/><Relationship Id="rId141" Type="http://schemas.openxmlformats.org/officeDocument/2006/relationships/image" Target="media/image34.jpeg"/><Relationship Id="rId140" Type="http://schemas.openxmlformats.org/officeDocument/2006/relationships/image" Target="media/image33.png"/><Relationship Id="rId14" Type="http://schemas.openxmlformats.org/officeDocument/2006/relationships/header" Target="header5.xml"/><Relationship Id="rId139" Type="http://schemas.openxmlformats.org/officeDocument/2006/relationships/image" Target="media/image32.png"/><Relationship Id="rId138" Type="http://schemas.openxmlformats.org/officeDocument/2006/relationships/image" Target="media/image31.png"/><Relationship Id="rId137" Type="http://schemas.openxmlformats.org/officeDocument/2006/relationships/image" Target="media/image30.png"/><Relationship Id="rId136" Type="http://schemas.openxmlformats.org/officeDocument/2006/relationships/image" Target="media/image29.png"/><Relationship Id="rId135" Type="http://schemas.openxmlformats.org/officeDocument/2006/relationships/image" Target="media/image28.png"/><Relationship Id="rId134" Type="http://schemas.openxmlformats.org/officeDocument/2006/relationships/image" Target="media/image27.png"/><Relationship Id="rId133" Type="http://schemas.openxmlformats.org/officeDocument/2006/relationships/image" Target="media/image26.png"/><Relationship Id="rId132" Type="http://schemas.openxmlformats.org/officeDocument/2006/relationships/image" Target="media/image25.png"/><Relationship Id="rId131" Type="http://schemas.openxmlformats.org/officeDocument/2006/relationships/image" Target="media/image24.png"/><Relationship Id="rId130" Type="http://schemas.openxmlformats.org/officeDocument/2006/relationships/image" Target="media/image23.png"/><Relationship Id="rId13" Type="http://schemas.openxmlformats.org/officeDocument/2006/relationships/footer" Target="footer5.xml"/><Relationship Id="rId129" Type="http://schemas.openxmlformats.org/officeDocument/2006/relationships/image" Target="media/image22.png"/><Relationship Id="rId128" Type="http://schemas.openxmlformats.org/officeDocument/2006/relationships/image" Target="media/image21.jpeg"/><Relationship Id="rId127" Type="http://schemas.openxmlformats.org/officeDocument/2006/relationships/image" Target="media/image20.png"/><Relationship Id="rId126" Type="http://schemas.openxmlformats.org/officeDocument/2006/relationships/image" Target="media/image19.png"/><Relationship Id="rId125" Type="http://schemas.openxmlformats.org/officeDocument/2006/relationships/image" Target="media/image18.png"/><Relationship Id="rId124" Type="http://schemas.openxmlformats.org/officeDocument/2006/relationships/image" Target="media/image17.jpeg"/><Relationship Id="rId123" Type="http://schemas.openxmlformats.org/officeDocument/2006/relationships/image" Target="media/image16.png"/><Relationship Id="rId122" Type="http://schemas.openxmlformats.org/officeDocument/2006/relationships/image" Target="media/image15.png"/><Relationship Id="rId121" Type="http://schemas.openxmlformats.org/officeDocument/2006/relationships/image" Target="media/image14.png"/><Relationship Id="rId120" Type="http://schemas.openxmlformats.org/officeDocument/2006/relationships/image" Target="media/image13.png"/><Relationship Id="rId12" Type="http://schemas.openxmlformats.org/officeDocument/2006/relationships/header" Target="header4.xml"/><Relationship Id="rId119" Type="http://schemas.openxmlformats.org/officeDocument/2006/relationships/image" Target="media/image12.png"/><Relationship Id="rId118" Type="http://schemas.openxmlformats.org/officeDocument/2006/relationships/image" Target="media/image11.png"/><Relationship Id="rId117" Type="http://schemas.openxmlformats.org/officeDocument/2006/relationships/image" Target="media/image10.png"/><Relationship Id="rId116" Type="http://schemas.openxmlformats.org/officeDocument/2006/relationships/image" Target="media/image9.png"/><Relationship Id="rId115" Type="http://schemas.openxmlformats.org/officeDocument/2006/relationships/image" Target="media/image8.jpeg"/><Relationship Id="rId114" Type="http://schemas.openxmlformats.org/officeDocument/2006/relationships/theme" Target="theme/theme1.xml"/><Relationship Id="rId113" Type="http://schemas.openxmlformats.org/officeDocument/2006/relationships/footer" Target="footer67.xml"/><Relationship Id="rId112" Type="http://schemas.openxmlformats.org/officeDocument/2006/relationships/footer" Target="footer66.xml"/><Relationship Id="rId111" Type="http://schemas.openxmlformats.org/officeDocument/2006/relationships/header" Target="header42.xml"/><Relationship Id="rId110" Type="http://schemas.openxmlformats.org/officeDocument/2006/relationships/header" Target="header41.xml"/><Relationship Id="rId11" Type="http://schemas.openxmlformats.org/officeDocument/2006/relationships/footer" Target="footer4.xml"/><Relationship Id="rId109" Type="http://schemas.openxmlformats.org/officeDocument/2006/relationships/footer" Target="footer65.xml"/><Relationship Id="rId108" Type="http://schemas.openxmlformats.org/officeDocument/2006/relationships/header" Target="header40.xml"/><Relationship Id="rId107" Type="http://schemas.openxmlformats.org/officeDocument/2006/relationships/footer" Target="footer64.xml"/><Relationship Id="rId106" Type="http://schemas.openxmlformats.org/officeDocument/2006/relationships/header" Target="header39.xml"/><Relationship Id="rId105" Type="http://schemas.openxmlformats.org/officeDocument/2006/relationships/footer" Target="footer63.xml"/><Relationship Id="rId104" Type="http://schemas.openxmlformats.org/officeDocument/2006/relationships/header" Target="header38.xml"/><Relationship Id="rId103" Type="http://schemas.openxmlformats.org/officeDocument/2006/relationships/footer" Target="footer62.xml"/><Relationship Id="rId102" Type="http://schemas.openxmlformats.org/officeDocument/2006/relationships/header" Target="header37.xml"/><Relationship Id="rId101" Type="http://schemas.openxmlformats.org/officeDocument/2006/relationships/footer" Target="footer61.xml"/><Relationship Id="rId100" Type="http://schemas.openxmlformats.org/officeDocument/2006/relationships/header" Target="header36.xml"/><Relationship Id="rId10" Type="http://schemas.openxmlformats.org/officeDocument/2006/relationships/header" Target="header3.xml"/><Relationship Id="rId1" Type="http://schemas.openxmlformats.org/officeDocument/2006/relationships/styles" Target="styles.xml"/></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4.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4"/>
    <customShpInfo spid="_x0000_s2125"/>
    <customShpInfo spid="_x0000_s2123"/>
    <customShpInfo spid="_x0000_s2126"/>
    <customShpInfo spid="_x0000_s2127"/>
    <customShpInfo spid="_x0000_s2128"/>
    <customShpInfo spid="_x0000_s2130"/>
    <customShpInfo spid="_x0000_s2131"/>
    <customShpInfo spid="_x0000_s2129"/>
    <customShpInfo spid="_x0000_s2132"/>
    <customShpInfo spid="_x0000_s2133"/>
    <customShpInfo spid="_x0000_s2135"/>
    <customShpInfo spid="_x0000_s2136"/>
    <customShpInfo spid="_x0000_s2134"/>
    <customShpInfo spid="_x0000_s2137"/>
    <customShpInfo spid="_x0000_s2138"/>
    <customShpInfo spid="_x0000_s2139"/>
    <customShpInfo spid="_x0000_s2141"/>
    <customShpInfo spid="_x0000_s2142"/>
    <customShpInfo spid="_x0000_s2140"/>
    <customShpInfo spid="_x0000_s2143"/>
    <customShpInfo spid="_x0000_s2144"/>
    <customShpInfo spid="_x0000_s2145"/>
    <customShpInfo spid="_x0000_s2147"/>
    <customShpInfo spid="_x0000_s2148"/>
    <customShpInfo spid="_x0000_s2146"/>
    <customShpInfo spid="_x0000_s2149"/>
    <customShpInfo spid="_x0000_s2150"/>
    <customShpInfo spid="_x0000_s2151"/>
    <customShpInfo spid="_x0000_s2153"/>
    <customShpInfo spid="_x0000_s2154"/>
    <customShpInfo spid="_x0000_s2152"/>
    <customShpInfo spid="_x0000_s2155"/>
    <customShpInfo spid="_x0000_s2156"/>
    <customShpInfo spid="_x0000_s2157"/>
    <customShpInfo spid="_x0000_s2159"/>
    <customShpInfo spid="_x0000_s2160"/>
    <customShpInfo spid="_x0000_s2158"/>
    <customShpInfo spid="_x0000_s2161"/>
    <customShpInfo spid="_x0000_s2162"/>
    <customShpInfo spid="_x0000_s2163"/>
    <customShpInfo spid="_x0000_s2165"/>
    <customShpInfo spid="_x0000_s2166"/>
    <customShpInfo spid="_x0000_s2164"/>
    <customShpInfo spid="_x0000_s2167"/>
    <customShpInfo spid="_x0000_s2168"/>
    <customShpInfo spid="_x0000_s2169"/>
    <customShpInfo spid="_x0000_s2171"/>
    <customShpInfo spid="_x0000_s2172"/>
    <customShpInfo spid="_x0000_s2170"/>
    <customShpInfo spid="_x0000_s2173"/>
    <customShpInfo spid="_x0000_s2174"/>
    <customShpInfo spid="_x0000_s2175"/>
    <customShpInfo spid="_x0000_s2177"/>
    <customShpInfo spid="_x0000_s2178"/>
    <customShpInfo spid="_x0000_s2176"/>
    <customShpInfo spid="_x0000_s1026" textRotate="1"/>
    <customShpInfo spid="_x0000_s1027"/>
    <customShpInfo spid="_x0000_s1028"/>
    <customShpInfo spid="_x0000_s1030"/>
    <customShpInfo spid="_x0000_s1031"/>
    <customShpInfo spid="_x0000_s1029"/>
    <customShpInfo spid="_x0000_s1032"/>
    <customShpInfo spid="_x0000_s1033"/>
    <customShpInfo spid="_x0000_s1034"/>
    <customShpInfo spid="_x0000_s1035"/>
    <customShpInfo spid="_x0000_s1036"/>
    <customShpInfo spid="_x0000_s1039"/>
    <customShpInfo spid="_x0000_s1040"/>
    <customShpInfo spid="_x0000_s1038"/>
    <customShpInfo spid="_x0000_s1041"/>
    <customShpInfo spid="_x0000_s1037"/>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71"/>
    <customShpInfo spid="_x0000_s1072"/>
    <customShpInfo spid="_x0000_s1070"/>
    <customShpInfo spid="_x0000_s1073"/>
    <customShpInfo spid="_x0000_s1069"/>
    <customShpInfo spid="_x0000_s1076"/>
    <customShpInfo spid="_x0000_s1077"/>
    <customShpInfo spid="_x0000_s1075"/>
    <customShpInfo spid="_x0000_s1078"/>
    <customShpInfo spid="_x0000_s1074"/>
    <customShpInfo spid="_x0000_s1081"/>
    <customShpInfo spid="_x0000_s1082"/>
    <customShpInfo spid="_x0000_s1080"/>
    <customShpInfo spid="_x0000_s1083"/>
    <customShpInfo spid="_x0000_s1079"/>
    <customShpInfo spid="_x0000_s1086"/>
    <customShpInfo spid="_x0000_s1087"/>
    <customShpInfo spid="_x0000_s1085"/>
    <customShpInfo spid="_x0000_s1088"/>
    <customShpInfo spid="_x0000_s1084"/>
    <customShpInfo spid="_x0000_s1091"/>
    <customShpInfo spid="_x0000_s1092"/>
    <customShpInfo spid="_x0000_s1090"/>
    <customShpInfo spid="_x0000_s1093"/>
    <customShpInfo spid="_x0000_s1089"/>
    <customShpInfo spid="_x0000_s1096"/>
    <customShpInfo spid="_x0000_s1097"/>
    <customShpInfo spid="_x0000_s1095"/>
    <customShpInfo spid="_x0000_s1098"/>
    <customShpInfo spid="_x0000_s1094"/>
    <customShpInfo spid="_x0000_s1101"/>
    <customShpInfo spid="_x0000_s1102"/>
    <customShpInfo spid="_x0000_s1100"/>
    <customShpInfo spid="_x0000_s1103"/>
    <customShpInfo spid="_x0000_s1099"/>
    <customShpInfo spid="_x0000_s1106"/>
    <customShpInfo spid="_x0000_s1107"/>
    <customShpInfo spid="_x0000_s1105"/>
    <customShpInfo spid="_x0000_s1108"/>
    <customShpInfo spid="_x0000_s1104"/>
    <customShpInfo spid="_x0000_s1111"/>
    <customShpInfo spid="_x0000_s1112"/>
    <customShpInfo spid="_x0000_s1110"/>
    <customShpInfo spid="_x0000_s1113"/>
    <customShpInfo spid="_x0000_s1109"/>
    <customShpInfo spid="_x0000_s1116"/>
    <customShpInfo spid="_x0000_s1117"/>
    <customShpInfo spid="_x0000_s1115"/>
    <customShpInfo spid="_x0000_s1118"/>
    <customShpInfo spid="_x0000_s1114"/>
    <customShpInfo spid="_x0000_s1119"/>
    <customShpInfo spid="_x0000_s1120"/>
    <customShpInfo spid="_x0000_s1121"/>
    <customShpInfo spid="_x0000_s1122"/>
    <customShpInfo spid="_x0000_s1123"/>
    <customShpInfo spid="_x0000_s1124"/>
    <customShpInfo spid="_x0000_s1126"/>
    <customShpInfo spid="_x0000_s1127"/>
    <customShpInfo spid="_x0000_s1125"/>
    <customShpInfo spid="_x0000_s1128"/>
    <customShpInfo spid="_x0000_s1129"/>
    <customShpInfo spid="_x0000_s11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23</TotalTime>
  <ScaleCrop>false</ScaleCrop>
  <LinksUpToDate>false</LinksUpToDate>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2023-11-17T17:01:00Z</dcterms:created>
  <dc:creator>张晓倩</dc:creator>
  <cp:lastModifiedBy>Administrator</cp:lastModifiedBy>
  <dcterms:modified xsi:type="dcterms:W3CDTF">2024-03-01T07:54:10Z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2024-02-27T09:46:17Z</vt:filetime>
  </property>
  <property fmtid="{D5CDD505-2E9C-101B-9397-08002B2CF9AE}" pid="4" name="KSOProductBuildVer">
    <vt:lpwstr>2052-12.1.0.16388</vt:lpwstr>
  </property>
  <property fmtid="{D5CDD505-2E9C-101B-9397-08002B2CF9AE}" pid="5" name="ICV">
    <vt:lpwstr>AF2E4F7A070245ADAE909F6C85F2E968_13</vt:lpwstr>
  </property>
</Properties>
</file>